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14CDAE8" w14:textId="096863C1" w:rsidR="007478B6" w:rsidRPr="000973F2" w:rsidRDefault="007478B6" w:rsidP="00DA0B85">
      <w:pPr>
        <w:autoSpaceDE w:val="0"/>
        <w:autoSpaceDN w:val="0"/>
        <w:adjustRightInd w:val="0"/>
        <w:spacing w:after="0" w:line="240" w:lineRule="auto"/>
        <w:jc w:val="center"/>
        <w:rPr>
          <w:rFonts w:ascii="Times New Roman" w:hAnsi="Times New Roman" w:cs="Times New Roman"/>
          <w:sz w:val="44"/>
          <w:szCs w:val="44"/>
        </w:rPr>
      </w:pPr>
      <w:bookmarkStart w:id="0" w:name="_GoBack"/>
      <w:bookmarkEnd w:id="0"/>
    </w:p>
    <w:p w14:paraId="3C76D9F0" w14:textId="29E10A40" w:rsidR="007478B6" w:rsidRPr="000973F2" w:rsidRDefault="007478B6" w:rsidP="00DA0B85">
      <w:pPr>
        <w:autoSpaceDE w:val="0"/>
        <w:autoSpaceDN w:val="0"/>
        <w:adjustRightInd w:val="0"/>
        <w:spacing w:after="0" w:line="240" w:lineRule="auto"/>
        <w:jc w:val="center"/>
        <w:rPr>
          <w:rFonts w:ascii="Times New Roman" w:hAnsi="Times New Roman" w:cs="Times New Roman"/>
          <w:b/>
          <w:sz w:val="44"/>
          <w:szCs w:val="44"/>
        </w:rPr>
      </w:pPr>
      <w:r w:rsidRPr="000973F2">
        <w:rPr>
          <w:rFonts w:ascii="Times New Roman" w:hAnsi="Times New Roman" w:cs="Times New Roman"/>
          <w:b/>
          <w:sz w:val="44"/>
          <w:szCs w:val="44"/>
        </w:rPr>
        <w:t>Appendix H:</w:t>
      </w:r>
    </w:p>
    <w:p w14:paraId="369395FE" w14:textId="77777777" w:rsidR="007478B6" w:rsidRPr="000973F2" w:rsidRDefault="007478B6">
      <w:pPr>
        <w:autoSpaceDE w:val="0"/>
        <w:autoSpaceDN w:val="0"/>
        <w:adjustRightInd w:val="0"/>
        <w:spacing w:after="0" w:line="240" w:lineRule="auto"/>
        <w:jc w:val="center"/>
        <w:rPr>
          <w:rFonts w:ascii="Times New Roman" w:hAnsi="Times New Roman" w:cs="Times New Roman"/>
          <w:b/>
          <w:sz w:val="44"/>
          <w:szCs w:val="44"/>
        </w:rPr>
      </w:pPr>
    </w:p>
    <w:p w14:paraId="04B18EC6" w14:textId="2DAFC26F" w:rsidR="007478B6" w:rsidRPr="000973F2" w:rsidRDefault="00606428">
      <w:pPr>
        <w:autoSpaceDE w:val="0"/>
        <w:autoSpaceDN w:val="0"/>
        <w:adjustRightInd w:val="0"/>
        <w:spacing w:after="0" w:line="240" w:lineRule="auto"/>
        <w:jc w:val="center"/>
        <w:rPr>
          <w:rFonts w:ascii="Times New Roman" w:hAnsi="Times New Roman" w:cs="Times New Roman"/>
          <w:b/>
          <w:sz w:val="44"/>
          <w:szCs w:val="44"/>
        </w:rPr>
      </w:pPr>
      <w:r w:rsidRPr="000973F2">
        <w:rPr>
          <w:rFonts w:ascii="Times New Roman" w:hAnsi="Times New Roman" w:cs="Times New Roman"/>
          <w:b/>
          <w:sz w:val="44"/>
          <w:szCs w:val="44"/>
        </w:rPr>
        <w:t xml:space="preserve">Subpart-Specific </w:t>
      </w:r>
      <w:r w:rsidR="007478B6" w:rsidRPr="000973F2">
        <w:rPr>
          <w:rFonts w:ascii="Times New Roman" w:hAnsi="Times New Roman" w:cs="Times New Roman"/>
          <w:b/>
          <w:sz w:val="44"/>
          <w:szCs w:val="44"/>
        </w:rPr>
        <w:t>Cost Summaries</w:t>
      </w:r>
    </w:p>
    <w:p w14:paraId="30B18D2F" w14:textId="77777777" w:rsidR="00606428" w:rsidRPr="000973F2" w:rsidRDefault="007478B6">
      <w:pPr>
        <w:autoSpaceDE w:val="0"/>
        <w:autoSpaceDN w:val="0"/>
        <w:adjustRightInd w:val="0"/>
        <w:spacing w:after="0" w:line="240" w:lineRule="auto"/>
        <w:jc w:val="center"/>
        <w:rPr>
          <w:rFonts w:ascii="Times New Roman" w:hAnsi="Times New Roman" w:cs="Times New Roman"/>
          <w:b/>
          <w:sz w:val="44"/>
          <w:szCs w:val="44"/>
        </w:rPr>
      </w:pPr>
      <w:r w:rsidRPr="000973F2">
        <w:rPr>
          <w:rFonts w:ascii="Times New Roman" w:hAnsi="Times New Roman" w:cs="Times New Roman"/>
          <w:b/>
          <w:sz w:val="44"/>
          <w:szCs w:val="44"/>
        </w:rPr>
        <w:t>Greenhouse Gas Reporting Program</w:t>
      </w:r>
      <w:r w:rsidR="00606428" w:rsidRPr="000973F2">
        <w:rPr>
          <w:rFonts w:ascii="Times New Roman" w:hAnsi="Times New Roman" w:cs="Times New Roman"/>
          <w:b/>
          <w:sz w:val="44"/>
          <w:szCs w:val="44"/>
        </w:rPr>
        <w:t xml:space="preserve"> </w:t>
      </w:r>
    </w:p>
    <w:p w14:paraId="2ABEE659" w14:textId="4454F6BE" w:rsidR="007478B6" w:rsidRDefault="00606428">
      <w:pPr>
        <w:autoSpaceDE w:val="0"/>
        <w:autoSpaceDN w:val="0"/>
        <w:adjustRightInd w:val="0"/>
        <w:spacing w:after="0" w:line="240" w:lineRule="auto"/>
        <w:jc w:val="center"/>
        <w:rPr>
          <w:rFonts w:ascii="Times New Roman" w:hAnsi="Times New Roman" w:cs="Times New Roman"/>
          <w:b/>
          <w:sz w:val="44"/>
          <w:szCs w:val="44"/>
        </w:rPr>
      </w:pPr>
      <w:r w:rsidRPr="000973F2">
        <w:rPr>
          <w:rFonts w:ascii="Times New Roman" w:hAnsi="Times New Roman" w:cs="Times New Roman"/>
          <w:b/>
          <w:sz w:val="44"/>
          <w:szCs w:val="44"/>
        </w:rPr>
        <w:t>ICR Renewal</w:t>
      </w:r>
    </w:p>
    <w:p w14:paraId="0A8AC073" w14:textId="77777777" w:rsidR="009932F6" w:rsidRPr="000973F2" w:rsidRDefault="009932F6">
      <w:pPr>
        <w:autoSpaceDE w:val="0"/>
        <w:autoSpaceDN w:val="0"/>
        <w:adjustRightInd w:val="0"/>
        <w:spacing w:after="0" w:line="240" w:lineRule="auto"/>
        <w:jc w:val="center"/>
        <w:rPr>
          <w:rFonts w:ascii="Times New Roman" w:hAnsi="Times New Roman" w:cs="Times New Roman"/>
          <w:b/>
          <w:sz w:val="44"/>
          <w:szCs w:val="44"/>
        </w:rPr>
      </w:pPr>
    </w:p>
    <w:p w14:paraId="25958FD3" w14:textId="77777777" w:rsidR="00260534" w:rsidRPr="000973F2" w:rsidRDefault="00260534">
      <w:pPr>
        <w:autoSpaceDE w:val="0"/>
        <w:autoSpaceDN w:val="0"/>
        <w:adjustRightInd w:val="0"/>
        <w:spacing w:after="0" w:line="240" w:lineRule="auto"/>
        <w:jc w:val="center"/>
        <w:rPr>
          <w:rFonts w:ascii="Times New Roman" w:hAnsi="Times New Roman" w:cs="Times New Roman"/>
          <w:b/>
          <w:sz w:val="44"/>
          <w:szCs w:val="44"/>
        </w:rPr>
      </w:pPr>
    </w:p>
    <w:p w14:paraId="2AB5D2B4" w14:textId="76C37B0F" w:rsidR="009068CF" w:rsidRPr="000973F2" w:rsidRDefault="009932F6">
      <w:pPr>
        <w:autoSpaceDE w:val="0"/>
        <w:autoSpaceDN w:val="0"/>
        <w:adjustRightInd w:val="0"/>
        <w:spacing w:after="0" w:line="240" w:lineRule="auto"/>
        <w:jc w:val="center"/>
        <w:rPr>
          <w:rFonts w:ascii="Times New Roman" w:hAnsi="Times New Roman" w:cs="Times New Roman"/>
          <w:b/>
          <w:sz w:val="44"/>
          <w:szCs w:val="44"/>
        </w:rPr>
      </w:pPr>
      <w:r w:rsidRPr="009932F6">
        <w:rPr>
          <w:rFonts w:ascii="Times New Roman" w:hAnsi="Times New Roman" w:cs="Times New Roman"/>
          <w:b/>
          <w:sz w:val="40"/>
          <w:szCs w:val="40"/>
        </w:rPr>
        <w:t>June</w:t>
      </w:r>
      <w:r w:rsidR="00606428" w:rsidRPr="009932F6">
        <w:rPr>
          <w:rFonts w:ascii="Times New Roman" w:hAnsi="Times New Roman" w:cs="Times New Roman"/>
          <w:b/>
          <w:sz w:val="40"/>
          <w:szCs w:val="40"/>
        </w:rPr>
        <w:t xml:space="preserve"> 2019</w:t>
      </w:r>
      <w:r w:rsidR="009068CF" w:rsidRPr="000973F2">
        <w:rPr>
          <w:rFonts w:ascii="Times New Roman" w:hAnsi="Times New Roman" w:cs="Times New Roman"/>
          <w:b/>
          <w:sz w:val="44"/>
          <w:szCs w:val="44"/>
        </w:rPr>
        <w:br w:type="page"/>
      </w:r>
    </w:p>
    <w:sdt>
      <w:sdtPr>
        <w:rPr>
          <w:rFonts w:asciiTheme="minorHAnsi" w:hAnsiTheme="minorHAnsi" w:cstheme="minorBidi"/>
          <w:b w:val="0"/>
          <w:sz w:val="22"/>
        </w:rPr>
        <w:id w:val="-1956322940"/>
        <w:docPartObj>
          <w:docPartGallery w:val="Table of Contents"/>
          <w:docPartUnique/>
        </w:docPartObj>
      </w:sdtPr>
      <w:sdtEndPr>
        <w:rPr>
          <w:bCs/>
        </w:rPr>
      </w:sdtEndPr>
      <w:sdtContent>
        <w:p w14:paraId="2A3521DE" w14:textId="4CF3F2B3" w:rsidR="000C5C2A" w:rsidRPr="000973F2" w:rsidRDefault="000C5C2A" w:rsidP="00C00E4F">
          <w:pPr>
            <w:pStyle w:val="TOCHeading"/>
            <w:spacing w:line="240" w:lineRule="auto"/>
          </w:pPr>
          <w:r w:rsidRPr="000973F2">
            <w:t>Table of Contents</w:t>
          </w:r>
        </w:p>
        <w:p w14:paraId="0DED051B" w14:textId="15F49AB1" w:rsidR="001F5C3A" w:rsidRDefault="001F5C3A">
          <w:pPr>
            <w:pStyle w:val="TOC1"/>
            <w:rPr>
              <w:rFonts w:asciiTheme="minorHAnsi" w:eastAsiaTheme="minorEastAsia" w:hAnsiTheme="minorHAnsi"/>
              <w:noProof/>
            </w:rPr>
          </w:pPr>
          <w:r>
            <w:rPr>
              <w:rFonts w:cs="Times New Roman"/>
              <w:b/>
              <w:bCs/>
              <w:sz w:val="24"/>
            </w:rPr>
            <w:fldChar w:fldCharType="begin"/>
          </w:r>
          <w:r>
            <w:rPr>
              <w:rFonts w:cs="Times New Roman"/>
              <w:b/>
              <w:bCs/>
              <w:sz w:val="24"/>
            </w:rPr>
            <w:instrText xml:space="preserve"> TOC \o "1-1" \h \z \u </w:instrText>
          </w:r>
          <w:r>
            <w:rPr>
              <w:rFonts w:cs="Times New Roman"/>
              <w:b/>
              <w:bCs/>
              <w:sz w:val="24"/>
            </w:rPr>
            <w:fldChar w:fldCharType="separate"/>
          </w:r>
          <w:hyperlink w:anchor="_Toc10715593" w:history="1">
            <w:r w:rsidRPr="007C00F9">
              <w:rPr>
                <w:rStyle w:val="Hyperlink"/>
                <w:noProof/>
              </w:rPr>
              <w:t>Cost Appendix Introduction</w:t>
            </w:r>
            <w:r>
              <w:rPr>
                <w:noProof/>
                <w:webHidden/>
              </w:rPr>
              <w:tab/>
            </w:r>
            <w:r>
              <w:rPr>
                <w:noProof/>
                <w:webHidden/>
              </w:rPr>
              <w:fldChar w:fldCharType="begin"/>
            </w:r>
            <w:r>
              <w:rPr>
                <w:noProof/>
                <w:webHidden/>
              </w:rPr>
              <w:instrText xml:space="preserve"> PAGEREF _Toc10715593 \h </w:instrText>
            </w:r>
            <w:r>
              <w:rPr>
                <w:noProof/>
                <w:webHidden/>
              </w:rPr>
            </w:r>
            <w:r>
              <w:rPr>
                <w:noProof/>
                <w:webHidden/>
              </w:rPr>
              <w:fldChar w:fldCharType="separate"/>
            </w:r>
            <w:r>
              <w:rPr>
                <w:noProof/>
                <w:webHidden/>
              </w:rPr>
              <w:t>4</w:t>
            </w:r>
            <w:r>
              <w:rPr>
                <w:noProof/>
                <w:webHidden/>
              </w:rPr>
              <w:fldChar w:fldCharType="end"/>
            </w:r>
          </w:hyperlink>
        </w:p>
        <w:p w14:paraId="58E990BC" w14:textId="689F5DA5" w:rsidR="001F5C3A" w:rsidRDefault="00A859C1">
          <w:pPr>
            <w:pStyle w:val="TOC1"/>
            <w:rPr>
              <w:rFonts w:asciiTheme="minorHAnsi" w:eastAsiaTheme="minorEastAsia" w:hAnsiTheme="minorHAnsi"/>
              <w:noProof/>
            </w:rPr>
          </w:pPr>
          <w:hyperlink w:anchor="_Toc10715594" w:history="1">
            <w:r w:rsidR="001F5C3A" w:rsidRPr="007C00F9">
              <w:rPr>
                <w:rStyle w:val="Hyperlink"/>
                <w:noProof/>
              </w:rPr>
              <w:t>Acronyms</w:t>
            </w:r>
            <w:r w:rsidR="001F5C3A">
              <w:rPr>
                <w:noProof/>
                <w:webHidden/>
              </w:rPr>
              <w:tab/>
            </w:r>
            <w:r w:rsidR="001F5C3A">
              <w:rPr>
                <w:noProof/>
                <w:webHidden/>
              </w:rPr>
              <w:fldChar w:fldCharType="begin"/>
            </w:r>
            <w:r w:rsidR="001F5C3A">
              <w:rPr>
                <w:noProof/>
                <w:webHidden/>
              </w:rPr>
              <w:instrText xml:space="preserve"> PAGEREF _Toc10715594 \h </w:instrText>
            </w:r>
            <w:r w:rsidR="001F5C3A">
              <w:rPr>
                <w:noProof/>
                <w:webHidden/>
              </w:rPr>
            </w:r>
            <w:r w:rsidR="001F5C3A">
              <w:rPr>
                <w:noProof/>
                <w:webHidden/>
              </w:rPr>
              <w:fldChar w:fldCharType="separate"/>
            </w:r>
            <w:r w:rsidR="001F5C3A">
              <w:rPr>
                <w:noProof/>
                <w:webHidden/>
              </w:rPr>
              <w:t>9</w:t>
            </w:r>
            <w:r w:rsidR="001F5C3A">
              <w:rPr>
                <w:noProof/>
                <w:webHidden/>
              </w:rPr>
              <w:fldChar w:fldCharType="end"/>
            </w:r>
          </w:hyperlink>
        </w:p>
        <w:p w14:paraId="13625CEC" w14:textId="717B62D1" w:rsidR="001F5C3A" w:rsidRDefault="00A859C1">
          <w:pPr>
            <w:pStyle w:val="TOC1"/>
            <w:rPr>
              <w:rFonts w:asciiTheme="minorHAnsi" w:eastAsiaTheme="minorEastAsia" w:hAnsiTheme="minorHAnsi"/>
              <w:noProof/>
            </w:rPr>
          </w:pPr>
          <w:hyperlink w:anchor="_Toc10715595" w:history="1">
            <w:r w:rsidR="001F5C3A" w:rsidRPr="007C00F9">
              <w:rPr>
                <w:rStyle w:val="Hyperlink"/>
                <w:noProof/>
              </w:rPr>
              <w:t>Cost Appendix for Subpart C – General Stationary Combustion Sources</w:t>
            </w:r>
            <w:r w:rsidR="001F5C3A">
              <w:rPr>
                <w:noProof/>
                <w:webHidden/>
              </w:rPr>
              <w:tab/>
            </w:r>
            <w:r w:rsidR="001F5C3A">
              <w:rPr>
                <w:noProof/>
                <w:webHidden/>
              </w:rPr>
              <w:fldChar w:fldCharType="begin"/>
            </w:r>
            <w:r w:rsidR="001F5C3A">
              <w:rPr>
                <w:noProof/>
                <w:webHidden/>
              </w:rPr>
              <w:instrText xml:space="preserve"> PAGEREF _Toc10715595 \h </w:instrText>
            </w:r>
            <w:r w:rsidR="001F5C3A">
              <w:rPr>
                <w:noProof/>
                <w:webHidden/>
              </w:rPr>
            </w:r>
            <w:r w:rsidR="001F5C3A">
              <w:rPr>
                <w:noProof/>
                <w:webHidden/>
              </w:rPr>
              <w:fldChar w:fldCharType="separate"/>
            </w:r>
            <w:r w:rsidR="001F5C3A">
              <w:rPr>
                <w:noProof/>
                <w:webHidden/>
              </w:rPr>
              <w:t>12</w:t>
            </w:r>
            <w:r w:rsidR="001F5C3A">
              <w:rPr>
                <w:noProof/>
                <w:webHidden/>
              </w:rPr>
              <w:fldChar w:fldCharType="end"/>
            </w:r>
          </w:hyperlink>
        </w:p>
        <w:p w14:paraId="3F9372A5" w14:textId="51228DE2" w:rsidR="001F5C3A" w:rsidRDefault="00A859C1">
          <w:pPr>
            <w:pStyle w:val="TOC1"/>
            <w:rPr>
              <w:rFonts w:asciiTheme="minorHAnsi" w:eastAsiaTheme="minorEastAsia" w:hAnsiTheme="minorHAnsi"/>
              <w:noProof/>
            </w:rPr>
          </w:pPr>
          <w:hyperlink w:anchor="_Toc10715596" w:history="1">
            <w:r w:rsidR="001F5C3A" w:rsidRPr="007C00F9">
              <w:rPr>
                <w:rStyle w:val="Hyperlink"/>
                <w:noProof/>
              </w:rPr>
              <w:t>Cost Appendix for Subpart D – Electricity Generation</w:t>
            </w:r>
            <w:r w:rsidR="001F5C3A">
              <w:rPr>
                <w:noProof/>
                <w:webHidden/>
              </w:rPr>
              <w:tab/>
            </w:r>
            <w:r w:rsidR="001F5C3A">
              <w:rPr>
                <w:noProof/>
                <w:webHidden/>
              </w:rPr>
              <w:fldChar w:fldCharType="begin"/>
            </w:r>
            <w:r w:rsidR="001F5C3A">
              <w:rPr>
                <w:noProof/>
                <w:webHidden/>
              </w:rPr>
              <w:instrText xml:space="preserve"> PAGEREF _Toc10715596 \h </w:instrText>
            </w:r>
            <w:r w:rsidR="001F5C3A">
              <w:rPr>
                <w:noProof/>
                <w:webHidden/>
              </w:rPr>
            </w:r>
            <w:r w:rsidR="001F5C3A">
              <w:rPr>
                <w:noProof/>
                <w:webHidden/>
              </w:rPr>
              <w:fldChar w:fldCharType="separate"/>
            </w:r>
            <w:r w:rsidR="001F5C3A">
              <w:rPr>
                <w:noProof/>
                <w:webHidden/>
              </w:rPr>
              <w:t>26</w:t>
            </w:r>
            <w:r w:rsidR="001F5C3A">
              <w:rPr>
                <w:noProof/>
                <w:webHidden/>
              </w:rPr>
              <w:fldChar w:fldCharType="end"/>
            </w:r>
          </w:hyperlink>
        </w:p>
        <w:p w14:paraId="16A20487" w14:textId="173A48F6" w:rsidR="001F5C3A" w:rsidRDefault="00A859C1">
          <w:pPr>
            <w:pStyle w:val="TOC1"/>
            <w:rPr>
              <w:rFonts w:asciiTheme="minorHAnsi" w:eastAsiaTheme="minorEastAsia" w:hAnsiTheme="minorHAnsi"/>
              <w:noProof/>
            </w:rPr>
          </w:pPr>
          <w:hyperlink w:anchor="_Toc10715597" w:history="1">
            <w:r w:rsidR="001F5C3A" w:rsidRPr="007C00F9">
              <w:rPr>
                <w:rStyle w:val="Hyperlink"/>
                <w:noProof/>
              </w:rPr>
              <w:t>Cost Appendix for Subpart E – Adipic Acid Production</w:t>
            </w:r>
            <w:r w:rsidR="001F5C3A">
              <w:rPr>
                <w:noProof/>
                <w:webHidden/>
              </w:rPr>
              <w:tab/>
            </w:r>
            <w:r w:rsidR="001F5C3A">
              <w:rPr>
                <w:noProof/>
                <w:webHidden/>
              </w:rPr>
              <w:fldChar w:fldCharType="begin"/>
            </w:r>
            <w:r w:rsidR="001F5C3A">
              <w:rPr>
                <w:noProof/>
                <w:webHidden/>
              </w:rPr>
              <w:instrText xml:space="preserve"> PAGEREF _Toc10715597 \h </w:instrText>
            </w:r>
            <w:r w:rsidR="001F5C3A">
              <w:rPr>
                <w:noProof/>
                <w:webHidden/>
              </w:rPr>
            </w:r>
            <w:r w:rsidR="001F5C3A">
              <w:rPr>
                <w:noProof/>
                <w:webHidden/>
              </w:rPr>
              <w:fldChar w:fldCharType="separate"/>
            </w:r>
            <w:r w:rsidR="001F5C3A">
              <w:rPr>
                <w:noProof/>
                <w:webHidden/>
              </w:rPr>
              <w:t>28</w:t>
            </w:r>
            <w:r w:rsidR="001F5C3A">
              <w:rPr>
                <w:noProof/>
                <w:webHidden/>
              </w:rPr>
              <w:fldChar w:fldCharType="end"/>
            </w:r>
          </w:hyperlink>
        </w:p>
        <w:p w14:paraId="609467B0" w14:textId="02504031" w:rsidR="001F5C3A" w:rsidRDefault="00A859C1">
          <w:pPr>
            <w:pStyle w:val="TOC1"/>
            <w:rPr>
              <w:rFonts w:asciiTheme="minorHAnsi" w:eastAsiaTheme="minorEastAsia" w:hAnsiTheme="minorHAnsi"/>
              <w:noProof/>
            </w:rPr>
          </w:pPr>
          <w:hyperlink w:anchor="_Toc10715598" w:history="1">
            <w:r w:rsidR="001F5C3A" w:rsidRPr="007C00F9">
              <w:rPr>
                <w:rStyle w:val="Hyperlink"/>
                <w:noProof/>
              </w:rPr>
              <w:t>Cost Appendix for Subpart F – Aluminum Production</w:t>
            </w:r>
            <w:r w:rsidR="001F5C3A">
              <w:rPr>
                <w:noProof/>
                <w:webHidden/>
              </w:rPr>
              <w:tab/>
            </w:r>
            <w:r w:rsidR="001F5C3A">
              <w:rPr>
                <w:noProof/>
                <w:webHidden/>
              </w:rPr>
              <w:fldChar w:fldCharType="begin"/>
            </w:r>
            <w:r w:rsidR="001F5C3A">
              <w:rPr>
                <w:noProof/>
                <w:webHidden/>
              </w:rPr>
              <w:instrText xml:space="preserve"> PAGEREF _Toc10715598 \h </w:instrText>
            </w:r>
            <w:r w:rsidR="001F5C3A">
              <w:rPr>
                <w:noProof/>
                <w:webHidden/>
              </w:rPr>
            </w:r>
            <w:r w:rsidR="001F5C3A">
              <w:rPr>
                <w:noProof/>
                <w:webHidden/>
              </w:rPr>
              <w:fldChar w:fldCharType="separate"/>
            </w:r>
            <w:r w:rsidR="001F5C3A">
              <w:rPr>
                <w:noProof/>
                <w:webHidden/>
              </w:rPr>
              <w:t>32</w:t>
            </w:r>
            <w:r w:rsidR="001F5C3A">
              <w:rPr>
                <w:noProof/>
                <w:webHidden/>
              </w:rPr>
              <w:fldChar w:fldCharType="end"/>
            </w:r>
          </w:hyperlink>
        </w:p>
        <w:p w14:paraId="385AB111" w14:textId="033E0413" w:rsidR="001F5C3A" w:rsidRDefault="00A859C1">
          <w:pPr>
            <w:pStyle w:val="TOC1"/>
            <w:rPr>
              <w:rFonts w:asciiTheme="minorHAnsi" w:eastAsiaTheme="minorEastAsia" w:hAnsiTheme="minorHAnsi"/>
              <w:noProof/>
            </w:rPr>
          </w:pPr>
          <w:hyperlink w:anchor="_Toc10715599" w:history="1">
            <w:r w:rsidR="001F5C3A" w:rsidRPr="007C00F9">
              <w:rPr>
                <w:rStyle w:val="Hyperlink"/>
                <w:noProof/>
              </w:rPr>
              <w:t>Cost Appendix for Subpart G – Ammonia Manufacturing</w:t>
            </w:r>
            <w:r w:rsidR="001F5C3A">
              <w:rPr>
                <w:noProof/>
                <w:webHidden/>
              </w:rPr>
              <w:tab/>
            </w:r>
            <w:r w:rsidR="001F5C3A">
              <w:rPr>
                <w:noProof/>
                <w:webHidden/>
              </w:rPr>
              <w:fldChar w:fldCharType="begin"/>
            </w:r>
            <w:r w:rsidR="001F5C3A">
              <w:rPr>
                <w:noProof/>
                <w:webHidden/>
              </w:rPr>
              <w:instrText xml:space="preserve"> PAGEREF _Toc10715599 \h </w:instrText>
            </w:r>
            <w:r w:rsidR="001F5C3A">
              <w:rPr>
                <w:noProof/>
                <w:webHidden/>
              </w:rPr>
            </w:r>
            <w:r w:rsidR="001F5C3A">
              <w:rPr>
                <w:noProof/>
                <w:webHidden/>
              </w:rPr>
              <w:fldChar w:fldCharType="separate"/>
            </w:r>
            <w:r w:rsidR="001F5C3A">
              <w:rPr>
                <w:noProof/>
                <w:webHidden/>
              </w:rPr>
              <w:t>37</w:t>
            </w:r>
            <w:r w:rsidR="001F5C3A">
              <w:rPr>
                <w:noProof/>
                <w:webHidden/>
              </w:rPr>
              <w:fldChar w:fldCharType="end"/>
            </w:r>
          </w:hyperlink>
        </w:p>
        <w:p w14:paraId="0A47A2C2" w14:textId="132E8DD4" w:rsidR="001F5C3A" w:rsidRDefault="00A859C1">
          <w:pPr>
            <w:pStyle w:val="TOC1"/>
            <w:rPr>
              <w:rFonts w:asciiTheme="minorHAnsi" w:eastAsiaTheme="minorEastAsia" w:hAnsiTheme="minorHAnsi"/>
              <w:noProof/>
            </w:rPr>
          </w:pPr>
          <w:hyperlink w:anchor="_Toc10715600" w:history="1">
            <w:r w:rsidR="001F5C3A" w:rsidRPr="007C00F9">
              <w:rPr>
                <w:rStyle w:val="Hyperlink"/>
                <w:noProof/>
              </w:rPr>
              <w:t>Cost Appendix for Subpart H – Cement Production</w:t>
            </w:r>
            <w:r w:rsidR="001F5C3A">
              <w:rPr>
                <w:noProof/>
                <w:webHidden/>
              </w:rPr>
              <w:tab/>
            </w:r>
            <w:r w:rsidR="001F5C3A">
              <w:rPr>
                <w:noProof/>
                <w:webHidden/>
              </w:rPr>
              <w:fldChar w:fldCharType="begin"/>
            </w:r>
            <w:r w:rsidR="001F5C3A">
              <w:rPr>
                <w:noProof/>
                <w:webHidden/>
              </w:rPr>
              <w:instrText xml:space="preserve"> PAGEREF _Toc10715600 \h </w:instrText>
            </w:r>
            <w:r w:rsidR="001F5C3A">
              <w:rPr>
                <w:noProof/>
                <w:webHidden/>
              </w:rPr>
            </w:r>
            <w:r w:rsidR="001F5C3A">
              <w:rPr>
                <w:noProof/>
                <w:webHidden/>
              </w:rPr>
              <w:fldChar w:fldCharType="separate"/>
            </w:r>
            <w:r w:rsidR="001F5C3A">
              <w:rPr>
                <w:noProof/>
                <w:webHidden/>
              </w:rPr>
              <w:t>42</w:t>
            </w:r>
            <w:r w:rsidR="001F5C3A">
              <w:rPr>
                <w:noProof/>
                <w:webHidden/>
              </w:rPr>
              <w:fldChar w:fldCharType="end"/>
            </w:r>
          </w:hyperlink>
        </w:p>
        <w:p w14:paraId="793BAE2F" w14:textId="146AC89C" w:rsidR="001F5C3A" w:rsidRDefault="00A859C1">
          <w:pPr>
            <w:pStyle w:val="TOC1"/>
            <w:rPr>
              <w:rFonts w:asciiTheme="minorHAnsi" w:eastAsiaTheme="minorEastAsia" w:hAnsiTheme="minorHAnsi"/>
              <w:noProof/>
            </w:rPr>
          </w:pPr>
          <w:hyperlink w:anchor="_Toc10715601" w:history="1">
            <w:r w:rsidR="001F5C3A" w:rsidRPr="007C00F9">
              <w:rPr>
                <w:rStyle w:val="Hyperlink"/>
                <w:noProof/>
              </w:rPr>
              <w:t>Cost Appendix for Subpart I – Electronics Manufacturing</w:t>
            </w:r>
            <w:r w:rsidR="001F5C3A">
              <w:rPr>
                <w:noProof/>
                <w:webHidden/>
              </w:rPr>
              <w:tab/>
            </w:r>
            <w:r w:rsidR="001F5C3A">
              <w:rPr>
                <w:noProof/>
                <w:webHidden/>
              </w:rPr>
              <w:fldChar w:fldCharType="begin"/>
            </w:r>
            <w:r w:rsidR="001F5C3A">
              <w:rPr>
                <w:noProof/>
                <w:webHidden/>
              </w:rPr>
              <w:instrText xml:space="preserve"> PAGEREF _Toc10715601 \h </w:instrText>
            </w:r>
            <w:r w:rsidR="001F5C3A">
              <w:rPr>
                <w:noProof/>
                <w:webHidden/>
              </w:rPr>
            </w:r>
            <w:r w:rsidR="001F5C3A">
              <w:rPr>
                <w:noProof/>
                <w:webHidden/>
              </w:rPr>
              <w:fldChar w:fldCharType="separate"/>
            </w:r>
            <w:r w:rsidR="001F5C3A">
              <w:rPr>
                <w:noProof/>
                <w:webHidden/>
              </w:rPr>
              <w:t>45</w:t>
            </w:r>
            <w:r w:rsidR="001F5C3A">
              <w:rPr>
                <w:noProof/>
                <w:webHidden/>
              </w:rPr>
              <w:fldChar w:fldCharType="end"/>
            </w:r>
          </w:hyperlink>
        </w:p>
        <w:p w14:paraId="01964CBF" w14:textId="161C95AF" w:rsidR="001F5C3A" w:rsidRDefault="00A859C1">
          <w:pPr>
            <w:pStyle w:val="TOC1"/>
            <w:rPr>
              <w:rFonts w:asciiTheme="minorHAnsi" w:eastAsiaTheme="minorEastAsia" w:hAnsiTheme="minorHAnsi"/>
              <w:noProof/>
            </w:rPr>
          </w:pPr>
          <w:hyperlink w:anchor="_Toc10715602" w:history="1">
            <w:r w:rsidR="001F5C3A" w:rsidRPr="007C00F9">
              <w:rPr>
                <w:rStyle w:val="Hyperlink"/>
                <w:noProof/>
              </w:rPr>
              <w:t>Cost Appendix for Subpart K – Ferroalloy Production</w:t>
            </w:r>
            <w:r w:rsidR="001F5C3A">
              <w:rPr>
                <w:noProof/>
                <w:webHidden/>
              </w:rPr>
              <w:tab/>
            </w:r>
            <w:r w:rsidR="001F5C3A">
              <w:rPr>
                <w:noProof/>
                <w:webHidden/>
              </w:rPr>
              <w:fldChar w:fldCharType="begin"/>
            </w:r>
            <w:r w:rsidR="001F5C3A">
              <w:rPr>
                <w:noProof/>
                <w:webHidden/>
              </w:rPr>
              <w:instrText xml:space="preserve"> PAGEREF _Toc10715602 \h </w:instrText>
            </w:r>
            <w:r w:rsidR="001F5C3A">
              <w:rPr>
                <w:noProof/>
                <w:webHidden/>
              </w:rPr>
            </w:r>
            <w:r w:rsidR="001F5C3A">
              <w:rPr>
                <w:noProof/>
                <w:webHidden/>
              </w:rPr>
              <w:fldChar w:fldCharType="separate"/>
            </w:r>
            <w:r w:rsidR="001F5C3A">
              <w:rPr>
                <w:noProof/>
                <w:webHidden/>
              </w:rPr>
              <w:t>48</w:t>
            </w:r>
            <w:r w:rsidR="001F5C3A">
              <w:rPr>
                <w:noProof/>
                <w:webHidden/>
              </w:rPr>
              <w:fldChar w:fldCharType="end"/>
            </w:r>
          </w:hyperlink>
        </w:p>
        <w:p w14:paraId="020D81E6" w14:textId="3318D949" w:rsidR="001F5C3A" w:rsidRDefault="00A859C1">
          <w:pPr>
            <w:pStyle w:val="TOC1"/>
            <w:rPr>
              <w:rFonts w:asciiTheme="minorHAnsi" w:eastAsiaTheme="minorEastAsia" w:hAnsiTheme="minorHAnsi"/>
              <w:noProof/>
            </w:rPr>
          </w:pPr>
          <w:hyperlink w:anchor="_Toc10715604" w:history="1">
            <w:r w:rsidR="001F5C3A" w:rsidRPr="007C00F9">
              <w:rPr>
                <w:rStyle w:val="Hyperlink"/>
                <w:noProof/>
              </w:rPr>
              <w:t>Cost Appendix for Subpart L – Fluorinated Gas Production</w:t>
            </w:r>
            <w:r w:rsidR="001F5C3A">
              <w:rPr>
                <w:noProof/>
                <w:webHidden/>
              </w:rPr>
              <w:tab/>
            </w:r>
            <w:r w:rsidR="001F5C3A">
              <w:rPr>
                <w:noProof/>
                <w:webHidden/>
              </w:rPr>
              <w:fldChar w:fldCharType="begin"/>
            </w:r>
            <w:r w:rsidR="001F5C3A">
              <w:rPr>
                <w:noProof/>
                <w:webHidden/>
              </w:rPr>
              <w:instrText xml:space="preserve"> PAGEREF _Toc10715604 \h </w:instrText>
            </w:r>
            <w:r w:rsidR="001F5C3A">
              <w:rPr>
                <w:noProof/>
                <w:webHidden/>
              </w:rPr>
            </w:r>
            <w:r w:rsidR="001F5C3A">
              <w:rPr>
                <w:noProof/>
                <w:webHidden/>
              </w:rPr>
              <w:fldChar w:fldCharType="separate"/>
            </w:r>
            <w:r w:rsidR="001F5C3A">
              <w:rPr>
                <w:noProof/>
                <w:webHidden/>
              </w:rPr>
              <w:t>50</w:t>
            </w:r>
            <w:r w:rsidR="001F5C3A">
              <w:rPr>
                <w:noProof/>
                <w:webHidden/>
              </w:rPr>
              <w:fldChar w:fldCharType="end"/>
            </w:r>
          </w:hyperlink>
        </w:p>
        <w:p w14:paraId="5B3CF48C" w14:textId="265A5F70" w:rsidR="001F5C3A" w:rsidRDefault="00A859C1">
          <w:pPr>
            <w:pStyle w:val="TOC1"/>
            <w:rPr>
              <w:rFonts w:asciiTheme="minorHAnsi" w:eastAsiaTheme="minorEastAsia" w:hAnsiTheme="minorHAnsi"/>
              <w:noProof/>
            </w:rPr>
          </w:pPr>
          <w:hyperlink w:anchor="_Toc10715605" w:history="1">
            <w:r w:rsidR="001F5C3A" w:rsidRPr="007C00F9">
              <w:rPr>
                <w:rStyle w:val="Hyperlink"/>
                <w:noProof/>
              </w:rPr>
              <w:t>Cost Appendix for Subpart N – Glass Production</w:t>
            </w:r>
            <w:r w:rsidR="001F5C3A">
              <w:rPr>
                <w:noProof/>
                <w:webHidden/>
              </w:rPr>
              <w:tab/>
            </w:r>
            <w:r w:rsidR="001F5C3A">
              <w:rPr>
                <w:noProof/>
                <w:webHidden/>
              </w:rPr>
              <w:fldChar w:fldCharType="begin"/>
            </w:r>
            <w:r w:rsidR="001F5C3A">
              <w:rPr>
                <w:noProof/>
                <w:webHidden/>
              </w:rPr>
              <w:instrText xml:space="preserve"> PAGEREF _Toc10715605 \h </w:instrText>
            </w:r>
            <w:r w:rsidR="001F5C3A">
              <w:rPr>
                <w:noProof/>
                <w:webHidden/>
              </w:rPr>
            </w:r>
            <w:r w:rsidR="001F5C3A">
              <w:rPr>
                <w:noProof/>
                <w:webHidden/>
              </w:rPr>
              <w:fldChar w:fldCharType="separate"/>
            </w:r>
            <w:r w:rsidR="001F5C3A">
              <w:rPr>
                <w:noProof/>
                <w:webHidden/>
              </w:rPr>
              <w:t>57</w:t>
            </w:r>
            <w:r w:rsidR="001F5C3A">
              <w:rPr>
                <w:noProof/>
                <w:webHidden/>
              </w:rPr>
              <w:fldChar w:fldCharType="end"/>
            </w:r>
          </w:hyperlink>
        </w:p>
        <w:p w14:paraId="4C7E8E34" w14:textId="1F140CCA" w:rsidR="001F5C3A" w:rsidRDefault="00A859C1">
          <w:pPr>
            <w:pStyle w:val="TOC1"/>
            <w:rPr>
              <w:rFonts w:asciiTheme="minorHAnsi" w:eastAsiaTheme="minorEastAsia" w:hAnsiTheme="minorHAnsi"/>
              <w:noProof/>
            </w:rPr>
          </w:pPr>
          <w:hyperlink w:anchor="_Toc10715606" w:history="1">
            <w:r w:rsidR="001F5C3A" w:rsidRPr="007C00F9">
              <w:rPr>
                <w:rStyle w:val="Hyperlink"/>
                <w:noProof/>
              </w:rPr>
              <w:t>Cost Appendix for Subpart O – HCFC-22 Production and HFC-23 Destruction</w:t>
            </w:r>
            <w:r w:rsidR="001F5C3A">
              <w:rPr>
                <w:noProof/>
                <w:webHidden/>
              </w:rPr>
              <w:tab/>
            </w:r>
            <w:r w:rsidR="001F5C3A">
              <w:rPr>
                <w:noProof/>
                <w:webHidden/>
              </w:rPr>
              <w:fldChar w:fldCharType="begin"/>
            </w:r>
            <w:r w:rsidR="001F5C3A">
              <w:rPr>
                <w:noProof/>
                <w:webHidden/>
              </w:rPr>
              <w:instrText xml:space="preserve"> PAGEREF _Toc10715606 \h </w:instrText>
            </w:r>
            <w:r w:rsidR="001F5C3A">
              <w:rPr>
                <w:noProof/>
                <w:webHidden/>
              </w:rPr>
            </w:r>
            <w:r w:rsidR="001F5C3A">
              <w:rPr>
                <w:noProof/>
                <w:webHidden/>
              </w:rPr>
              <w:fldChar w:fldCharType="separate"/>
            </w:r>
            <w:r w:rsidR="001F5C3A">
              <w:rPr>
                <w:noProof/>
                <w:webHidden/>
              </w:rPr>
              <w:t>63</w:t>
            </w:r>
            <w:r w:rsidR="001F5C3A">
              <w:rPr>
                <w:noProof/>
                <w:webHidden/>
              </w:rPr>
              <w:fldChar w:fldCharType="end"/>
            </w:r>
          </w:hyperlink>
        </w:p>
        <w:p w14:paraId="2E224E96" w14:textId="1E0495AF" w:rsidR="001F5C3A" w:rsidRDefault="00A859C1">
          <w:pPr>
            <w:pStyle w:val="TOC1"/>
            <w:rPr>
              <w:rFonts w:asciiTheme="minorHAnsi" w:eastAsiaTheme="minorEastAsia" w:hAnsiTheme="minorHAnsi"/>
              <w:noProof/>
            </w:rPr>
          </w:pPr>
          <w:hyperlink w:anchor="_Toc10715607" w:history="1">
            <w:r w:rsidR="001F5C3A" w:rsidRPr="007C00F9">
              <w:rPr>
                <w:rStyle w:val="Hyperlink"/>
                <w:noProof/>
              </w:rPr>
              <w:t>Cost Appendix for Subpart P – Hydrogen Production</w:t>
            </w:r>
            <w:r w:rsidR="001F5C3A">
              <w:rPr>
                <w:noProof/>
                <w:webHidden/>
              </w:rPr>
              <w:tab/>
            </w:r>
            <w:r w:rsidR="001F5C3A">
              <w:rPr>
                <w:noProof/>
                <w:webHidden/>
              </w:rPr>
              <w:fldChar w:fldCharType="begin"/>
            </w:r>
            <w:r w:rsidR="001F5C3A">
              <w:rPr>
                <w:noProof/>
                <w:webHidden/>
              </w:rPr>
              <w:instrText xml:space="preserve"> PAGEREF _Toc10715607 \h </w:instrText>
            </w:r>
            <w:r w:rsidR="001F5C3A">
              <w:rPr>
                <w:noProof/>
                <w:webHidden/>
              </w:rPr>
            </w:r>
            <w:r w:rsidR="001F5C3A">
              <w:rPr>
                <w:noProof/>
                <w:webHidden/>
              </w:rPr>
              <w:fldChar w:fldCharType="separate"/>
            </w:r>
            <w:r w:rsidR="001F5C3A">
              <w:rPr>
                <w:noProof/>
                <w:webHidden/>
              </w:rPr>
              <w:t>66</w:t>
            </w:r>
            <w:r w:rsidR="001F5C3A">
              <w:rPr>
                <w:noProof/>
                <w:webHidden/>
              </w:rPr>
              <w:fldChar w:fldCharType="end"/>
            </w:r>
          </w:hyperlink>
        </w:p>
        <w:p w14:paraId="752DA755" w14:textId="35E5EA61" w:rsidR="001F5C3A" w:rsidRDefault="00A859C1">
          <w:pPr>
            <w:pStyle w:val="TOC1"/>
            <w:rPr>
              <w:rFonts w:asciiTheme="minorHAnsi" w:eastAsiaTheme="minorEastAsia" w:hAnsiTheme="minorHAnsi"/>
              <w:noProof/>
            </w:rPr>
          </w:pPr>
          <w:hyperlink w:anchor="_Toc10715608" w:history="1">
            <w:r w:rsidR="001F5C3A" w:rsidRPr="007C00F9">
              <w:rPr>
                <w:rStyle w:val="Hyperlink"/>
                <w:noProof/>
              </w:rPr>
              <w:t>Cost Appendix for Subpart Q – Iron and Steel Production</w:t>
            </w:r>
            <w:r w:rsidR="001F5C3A">
              <w:rPr>
                <w:noProof/>
                <w:webHidden/>
              </w:rPr>
              <w:tab/>
            </w:r>
            <w:r w:rsidR="001F5C3A">
              <w:rPr>
                <w:noProof/>
                <w:webHidden/>
              </w:rPr>
              <w:fldChar w:fldCharType="begin"/>
            </w:r>
            <w:r w:rsidR="001F5C3A">
              <w:rPr>
                <w:noProof/>
                <w:webHidden/>
              </w:rPr>
              <w:instrText xml:space="preserve"> PAGEREF _Toc10715608 \h </w:instrText>
            </w:r>
            <w:r w:rsidR="001F5C3A">
              <w:rPr>
                <w:noProof/>
                <w:webHidden/>
              </w:rPr>
            </w:r>
            <w:r w:rsidR="001F5C3A">
              <w:rPr>
                <w:noProof/>
                <w:webHidden/>
              </w:rPr>
              <w:fldChar w:fldCharType="separate"/>
            </w:r>
            <w:r w:rsidR="001F5C3A">
              <w:rPr>
                <w:noProof/>
                <w:webHidden/>
              </w:rPr>
              <w:t>77</w:t>
            </w:r>
            <w:r w:rsidR="001F5C3A">
              <w:rPr>
                <w:noProof/>
                <w:webHidden/>
              </w:rPr>
              <w:fldChar w:fldCharType="end"/>
            </w:r>
          </w:hyperlink>
        </w:p>
        <w:p w14:paraId="737955B9" w14:textId="045FF739" w:rsidR="001F5C3A" w:rsidRDefault="00A859C1">
          <w:pPr>
            <w:pStyle w:val="TOC1"/>
            <w:rPr>
              <w:rFonts w:asciiTheme="minorHAnsi" w:eastAsiaTheme="minorEastAsia" w:hAnsiTheme="minorHAnsi"/>
              <w:noProof/>
            </w:rPr>
          </w:pPr>
          <w:hyperlink w:anchor="_Toc10715609" w:history="1">
            <w:r w:rsidR="001F5C3A" w:rsidRPr="007C00F9">
              <w:rPr>
                <w:rStyle w:val="Hyperlink"/>
                <w:noProof/>
              </w:rPr>
              <w:t>Cost Appendix for Subpart R – Lead Production</w:t>
            </w:r>
            <w:r w:rsidR="001F5C3A">
              <w:rPr>
                <w:noProof/>
                <w:webHidden/>
              </w:rPr>
              <w:tab/>
            </w:r>
            <w:r w:rsidR="001F5C3A">
              <w:rPr>
                <w:noProof/>
                <w:webHidden/>
              </w:rPr>
              <w:fldChar w:fldCharType="begin"/>
            </w:r>
            <w:r w:rsidR="001F5C3A">
              <w:rPr>
                <w:noProof/>
                <w:webHidden/>
              </w:rPr>
              <w:instrText xml:space="preserve"> PAGEREF _Toc10715609 \h </w:instrText>
            </w:r>
            <w:r w:rsidR="001F5C3A">
              <w:rPr>
                <w:noProof/>
                <w:webHidden/>
              </w:rPr>
            </w:r>
            <w:r w:rsidR="001F5C3A">
              <w:rPr>
                <w:noProof/>
                <w:webHidden/>
              </w:rPr>
              <w:fldChar w:fldCharType="separate"/>
            </w:r>
            <w:r w:rsidR="001F5C3A">
              <w:rPr>
                <w:noProof/>
                <w:webHidden/>
              </w:rPr>
              <w:t>83</w:t>
            </w:r>
            <w:r w:rsidR="001F5C3A">
              <w:rPr>
                <w:noProof/>
                <w:webHidden/>
              </w:rPr>
              <w:fldChar w:fldCharType="end"/>
            </w:r>
          </w:hyperlink>
        </w:p>
        <w:p w14:paraId="10DA7F23" w14:textId="65FE5F2C" w:rsidR="001F5C3A" w:rsidRDefault="00A859C1">
          <w:pPr>
            <w:pStyle w:val="TOC1"/>
            <w:rPr>
              <w:rFonts w:asciiTheme="minorHAnsi" w:eastAsiaTheme="minorEastAsia" w:hAnsiTheme="minorHAnsi"/>
              <w:noProof/>
            </w:rPr>
          </w:pPr>
          <w:hyperlink w:anchor="_Toc10715610" w:history="1">
            <w:r w:rsidR="001F5C3A" w:rsidRPr="007C00F9">
              <w:rPr>
                <w:rStyle w:val="Hyperlink"/>
                <w:noProof/>
              </w:rPr>
              <w:t>Cost Appendix for Subpart S – Lime Manufacturing</w:t>
            </w:r>
            <w:r w:rsidR="001F5C3A">
              <w:rPr>
                <w:noProof/>
                <w:webHidden/>
              </w:rPr>
              <w:tab/>
            </w:r>
            <w:r w:rsidR="001F5C3A">
              <w:rPr>
                <w:noProof/>
                <w:webHidden/>
              </w:rPr>
              <w:fldChar w:fldCharType="begin"/>
            </w:r>
            <w:r w:rsidR="001F5C3A">
              <w:rPr>
                <w:noProof/>
                <w:webHidden/>
              </w:rPr>
              <w:instrText xml:space="preserve"> PAGEREF _Toc10715610 \h </w:instrText>
            </w:r>
            <w:r w:rsidR="001F5C3A">
              <w:rPr>
                <w:noProof/>
                <w:webHidden/>
              </w:rPr>
            </w:r>
            <w:r w:rsidR="001F5C3A">
              <w:rPr>
                <w:noProof/>
                <w:webHidden/>
              </w:rPr>
              <w:fldChar w:fldCharType="separate"/>
            </w:r>
            <w:r w:rsidR="001F5C3A">
              <w:rPr>
                <w:noProof/>
                <w:webHidden/>
              </w:rPr>
              <w:t>85</w:t>
            </w:r>
            <w:r w:rsidR="001F5C3A">
              <w:rPr>
                <w:noProof/>
                <w:webHidden/>
              </w:rPr>
              <w:fldChar w:fldCharType="end"/>
            </w:r>
          </w:hyperlink>
        </w:p>
        <w:p w14:paraId="294C2EF8" w14:textId="3828D48E" w:rsidR="001F5C3A" w:rsidRDefault="00A859C1">
          <w:pPr>
            <w:pStyle w:val="TOC1"/>
            <w:rPr>
              <w:rFonts w:asciiTheme="minorHAnsi" w:eastAsiaTheme="minorEastAsia" w:hAnsiTheme="minorHAnsi"/>
              <w:noProof/>
            </w:rPr>
          </w:pPr>
          <w:hyperlink w:anchor="_Toc10715611" w:history="1">
            <w:r w:rsidR="001F5C3A" w:rsidRPr="007C00F9">
              <w:rPr>
                <w:rStyle w:val="Hyperlink"/>
                <w:noProof/>
              </w:rPr>
              <w:t>Cost Appendix for Subpart T – Magnesium Production</w:t>
            </w:r>
            <w:r w:rsidR="001F5C3A">
              <w:rPr>
                <w:noProof/>
                <w:webHidden/>
              </w:rPr>
              <w:tab/>
            </w:r>
            <w:r w:rsidR="001F5C3A">
              <w:rPr>
                <w:noProof/>
                <w:webHidden/>
              </w:rPr>
              <w:fldChar w:fldCharType="begin"/>
            </w:r>
            <w:r w:rsidR="001F5C3A">
              <w:rPr>
                <w:noProof/>
                <w:webHidden/>
              </w:rPr>
              <w:instrText xml:space="preserve"> PAGEREF _Toc10715611 \h </w:instrText>
            </w:r>
            <w:r w:rsidR="001F5C3A">
              <w:rPr>
                <w:noProof/>
                <w:webHidden/>
              </w:rPr>
            </w:r>
            <w:r w:rsidR="001F5C3A">
              <w:rPr>
                <w:noProof/>
                <w:webHidden/>
              </w:rPr>
              <w:fldChar w:fldCharType="separate"/>
            </w:r>
            <w:r w:rsidR="001F5C3A">
              <w:rPr>
                <w:noProof/>
                <w:webHidden/>
              </w:rPr>
              <w:t>89</w:t>
            </w:r>
            <w:r w:rsidR="001F5C3A">
              <w:rPr>
                <w:noProof/>
                <w:webHidden/>
              </w:rPr>
              <w:fldChar w:fldCharType="end"/>
            </w:r>
          </w:hyperlink>
        </w:p>
        <w:p w14:paraId="6AB29DFB" w14:textId="4B37C06F" w:rsidR="001F5C3A" w:rsidRDefault="00A859C1">
          <w:pPr>
            <w:pStyle w:val="TOC1"/>
            <w:rPr>
              <w:rFonts w:asciiTheme="minorHAnsi" w:eastAsiaTheme="minorEastAsia" w:hAnsiTheme="minorHAnsi"/>
              <w:noProof/>
            </w:rPr>
          </w:pPr>
          <w:hyperlink w:anchor="_Toc10715612" w:history="1">
            <w:r w:rsidR="001F5C3A" w:rsidRPr="007C00F9">
              <w:rPr>
                <w:rStyle w:val="Hyperlink"/>
                <w:noProof/>
              </w:rPr>
              <w:t>Cost Appendix for Subpart U – Miscellaneous Uses of Carbonate</w:t>
            </w:r>
            <w:r w:rsidR="001F5C3A">
              <w:rPr>
                <w:noProof/>
                <w:webHidden/>
              </w:rPr>
              <w:tab/>
            </w:r>
            <w:r w:rsidR="001F5C3A">
              <w:rPr>
                <w:noProof/>
                <w:webHidden/>
              </w:rPr>
              <w:fldChar w:fldCharType="begin"/>
            </w:r>
            <w:r w:rsidR="001F5C3A">
              <w:rPr>
                <w:noProof/>
                <w:webHidden/>
              </w:rPr>
              <w:instrText xml:space="preserve"> PAGEREF _Toc10715612 \h </w:instrText>
            </w:r>
            <w:r w:rsidR="001F5C3A">
              <w:rPr>
                <w:noProof/>
                <w:webHidden/>
              </w:rPr>
            </w:r>
            <w:r w:rsidR="001F5C3A">
              <w:rPr>
                <w:noProof/>
                <w:webHidden/>
              </w:rPr>
              <w:fldChar w:fldCharType="separate"/>
            </w:r>
            <w:r w:rsidR="001F5C3A">
              <w:rPr>
                <w:noProof/>
                <w:webHidden/>
              </w:rPr>
              <w:t>92</w:t>
            </w:r>
            <w:r w:rsidR="001F5C3A">
              <w:rPr>
                <w:noProof/>
                <w:webHidden/>
              </w:rPr>
              <w:fldChar w:fldCharType="end"/>
            </w:r>
          </w:hyperlink>
        </w:p>
        <w:p w14:paraId="6163A7BC" w14:textId="4C5B98AE" w:rsidR="001F5C3A" w:rsidRDefault="00A859C1">
          <w:pPr>
            <w:pStyle w:val="TOC1"/>
            <w:rPr>
              <w:rFonts w:asciiTheme="minorHAnsi" w:eastAsiaTheme="minorEastAsia" w:hAnsiTheme="minorHAnsi"/>
              <w:noProof/>
            </w:rPr>
          </w:pPr>
          <w:hyperlink w:anchor="_Toc10715613" w:history="1">
            <w:r w:rsidR="001F5C3A" w:rsidRPr="007C00F9">
              <w:rPr>
                <w:rStyle w:val="Hyperlink"/>
                <w:noProof/>
              </w:rPr>
              <w:t>Cost Appendix for Subpart V – Nitric Acid Production</w:t>
            </w:r>
            <w:r w:rsidR="001F5C3A">
              <w:rPr>
                <w:noProof/>
                <w:webHidden/>
              </w:rPr>
              <w:tab/>
            </w:r>
            <w:r w:rsidR="001F5C3A">
              <w:rPr>
                <w:noProof/>
                <w:webHidden/>
              </w:rPr>
              <w:fldChar w:fldCharType="begin"/>
            </w:r>
            <w:r w:rsidR="001F5C3A">
              <w:rPr>
                <w:noProof/>
                <w:webHidden/>
              </w:rPr>
              <w:instrText xml:space="preserve"> PAGEREF _Toc10715613 \h </w:instrText>
            </w:r>
            <w:r w:rsidR="001F5C3A">
              <w:rPr>
                <w:noProof/>
                <w:webHidden/>
              </w:rPr>
            </w:r>
            <w:r w:rsidR="001F5C3A">
              <w:rPr>
                <w:noProof/>
                <w:webHidden/>
              </w:rPr>
              <w:fldChar w:fldCharType="separate"/>
            </w:r>
            <w:r w:rsidR="001F5C3A">
              <w:rPr>
                <w:noProof/>
                <w:webHidden/>
              </w:rPr>
              <w:t>95</w:t>
            </w:r>
            <w:r w:rsidR="001F5C3A">
              <w:rPr>
                <w:noProof/>
                <w:webHidden/>
              </w:rPr>
              <w:fldChar w:fldCharType="end"/>
            </w:r>
          </w:hyperlink>
        </w:p>
        <w:p w14:paraId="4726B34F" w14:textId="080BD4FD" w:rsidR="001F5C3A" w:rsidRDefault="00A859C1">
          <w:pPr>
            <w:pStyle w:val="TOC1"/>
            <w:rPr>
              <w:rFonts w:asciiTheme="minorHAnsi" w:eastAsiaTheme="minorEastAsia" w:hAnsiTheme="minorHAnsi"/>
              <w:noProof/>
            </w:rPr>
          </w:pPr>
          <w:hyperlink w:anchor="_Toc10715614" w:history="1">
            <w:r w:rsidR="001F5C3A" w:rsidRPr="007C00F9">
              <w:rPr>
                <w:rStyle w:val="Hyperlink"/>
                <w:noProof/>
              </w:rPr>
              <w:t>Cost Appendix for Subpart W – Petroleum and Natural Gas Systems</w:t>
            </w:r>
            <w:r w:rsidR="001F5C3A">
              <w:rPr>
                <w:noProof/>
                <w:webHidden/>
              </w:rPr>
              <w:tab/>
            </w:r>
            <w:r w:rsidR="001F5C3A">
              <w:rPr>
                <w:noProof/>
                <w:webHidden/>
              </w:rPr>
              <w:fldChar w:fldCharType="begin"/>
            </w:r>
            <w:r w:rsidR="001F5C3A">
              <w:rPr>
                <w:noProof/>
                <w:webHidden/>
              </w:rPr>
              <w:instrText xml:space="preserve"> PAGEREF _Toc10715614 \h </w:instrText>
            </w:r>
            <w:r w:rsidR="001F5C3A">
              <w:rPr>
                <w:noProof/>
                <w:webHidden/>
              </w:rPr>
            </w:r>
            <w:r w:rsidR="001F5C3A">
              <w:rPr>
                <w:noProof/>
                <w:webHidden/>
              </w:rPr>
              <w:fldChar w:fldCharType="separate"/>
            </w:r>
            <w:r w:rsidR="001F5C3A">
              <w:rPr>
                <w:noProof/>
                <w:webHidden/>
              </w:rPr>
              <w:t>101</w:t>
            </w:r>
            <w:r w:rsidR="001F5C3A">
              <w:rPr>
                <w:noProof/>
                <w:webHidden/>
              </w:rPr>
              <w:fldChar w:fldCharType="end"/>
            </w:r>
          </w:hyperlink>
        </w:p>
        <w:p w14:paraId="32B9B9A3" w14:textId="37038090" w:rsidR="001F5C3A" w:rsidRDefault="00A859C1">
          <w:pPr>
            <w:pStyle w:val="TOC1"/>
            <w:rPr>
              <w:rFonts w:asciiTheme="minorHAnsi" w:eastAsiaTheme="minorEastAsia" w:hAnsiTheme="minorHAnsi"/>
              <w:noProof/>
            </w:rPr>
          </w:pPr>
          <w:hyperlink w:anchor="_Toc10715615" w:history="1">
            <w:r w:rsidR="001F5C3A" w:rsidRPr="007C00F9">
              <w:rPr>
                <w:rStyle w:val="Hyperlink"/>
                <w:noProof/>
              </w:rPr>
              <w:t>Cost Appendix for Subpart X – Petrochemical Production</w:t>
            </w:r>
            <w:r w:rsidR="001F5C3A">
              <w:rPr>
                <w:noProof/>
                <w:webHidden/>
              </w:rPr>
              <w:tab/>
            </w:r>
            <w:r w:rsidR="001F5C3A">
              <w:rPr>
                <w:noProof/>
                <w:webHidden/>
              </w:rPr>
              <w:fldChar w:fldCharType="begin"/>
            </w:r>
            <w:r w:rsidR="001F5C3A">
              <w:rPr>
                <w:noProof/>
                <w:webHidden/>
              </w:rPr>
              <w:instrText xml:space="preserve"> PAGEREF _Toc10715615 \h </w:instrText>
            </w:r>
            <w:r w:rsidR="001F5C3A">
              <w:rPr>
                <w:noProof/>
                <w:webHidden/>
              </w:rPr>
            </w:r>
            <w:r w:rsidR="001F5C3A">
              <w:rPr>
                <w:noProof/>
                <w:webHidden/>
              </w:rPr>
              <w:fldChar w:fldCharType="separate"/>
            </w:r>
            <w:r w:rsidR="001F5C3A">
              <w:rPr>
                <w:noProof/>
                <w:webHidden/>
              </w:rPr>
              <w:t>116</w:t>
            </w:r>
            <w:r w:rsidR="001F5C3A">
              <w:rPr>
                <w:noProof/>
                <w:webHidden/>
              </w:rPr>
              <w:fldChar w:fldCharType="end"/>
            </w:r>
          </w:hyperlink>
        </w:p>
        <w:p w14:paraId="1A137730" w14:textId="2C3EB615" w:rsidR="001F5C3A" w:rsidRDefault="00A859C1">
          <w:pPr>
            <w:pStyle w:val="TOC1"/>
            <w:rPr>
              <w:rFonts w:asciiTheme="minorHAnsi" w:eastAsiaTheme="minorEastAsia" w:hAnsiTheme="minorHAnsi"/>
              <w:noProof/>
            </w:rPr>
          </w:pPr>
          <w:hyperlink w:anchor="_Toc10715616" w:history="1">
            <w:r w:rsidR="001F5C3A" w:rsidRPr="007C00F9">
              <w:rPr>
                <w:rStyle w:val="Hyperlink"/>
                <w:noProof/>
              </w:rPr>
              <w:t>Cost Appendix for Subpart Y – Petroleum Refineries</w:t>
            </w:r>
            <w:r w:rsidR="001F5C3A">
              <w:rPr>
                <w:noProof/>
                <w:webHidden/>
              </w:rPr>
              <w:tab/>
            </w:r>
            <w:r w:rsidR="001F5C3A">
              <w:rPr>
                <w:noProof/>
                <w:webHidden/>
              </w:rPr>
              <w:fldChar w:fldCharType="begin"/>
            </w:r>
            <w:r w:rsidR="001F5C3A">
              <w:rPr>
                <w:noProof/>
                <w:webHidden/>
              </w:rPr>
              <w:instrText xml:space="preserve"> PAGEREF _Toc10715616 \h </w:instrText>
            </w:r>
            <w:r w:rsidR="001F5C3A">
              <w:rPr>
                <w:noProof/>
                <w:webHidden/>
              </w:rPr>
            </w:r>
            <w:r w:rsidR="001F5C3A">
              <w:rPr>
                <w:noProof/>
                <w:webHidden/>
              </w:rPr>
              <w:fldChar w:fldCharType="separate"/>
            </w:r>
            <w:r w:rsidR="001F5C3A">
              <w:rPr>
                <w:noProof/>
                <w:webHidden/>
              </w:rPr>
              <w:t>122</w:t>
            </w:r>
            <w:r w:rsidR="001F5C3A">
              <w:rPr>
                <w:noProof/>
                <w:webHidden/>
              </w:rPr>
              <w:fldChar w:fldCharType="end"/>
            </w:r>
          </w:hyperlink>
        </w:p>
        <w:p w14:paraId="77D01F29" w14:textId="5BD490FB" w:rsidR="001F5C3A" w:rsidRDefault="00A859C1">
          <w:pPr>
            <w:pStyle w:val="TOC1"/>
            <w:rPr>
              <w:rFonts w:asciiTheme="minorHAnsi" w:eastAsiaTheme="minorEastAsia" w:hAnsiTheme="minorHAnsi"/>
              <w:noProof/>
            </w:rPr>
          </w:pPr>
          <w:hyperlink w:anchor="_Toc10715617" w:history="1">
            <w:r w:rsidR="001F5C3A" w:rsidRPr="007C00F9">
              <w:rPr>
                <w:rStyle w:val="Hyperlink"/>
                <w:noProof/>
              </w:rPr>
              <w:t>Cost Appendix for Subpart Z – Phosphoric Acid Production</w:t>
            </w:r>
            <w:r w:rsidR="001F5C3A">
              <w:rPr>
                <w:noProof/>
                <w:webHidden/>
              </w:rPr>
              <w:tab/>
            </w:r>
            <w:r w:rsidR="001F5C3A">
              <w:rPr>
                <w:noProof/>
                <w:webHidden/>
              </w:rPr>
              <w:fldChar w:fldCharType="begin"/>
            </w:r>
            <w:r w:rsidR="001F5C3A">
              <w:rPr>
                <w:noProof/>
                <w:webHidden/>
              </w:rPr>
              <w:instrText xml:space="preserve"> PAGEREF _Toc10715617 \h </w:instrText>
            </w:r>
            <w:r w:rsidR="001F5C3A">
              <w:rPr>
                <w:noProof/>
                <w:webHidden/>
              </w:rPr>
            </w:r>
            <w:r w:rsidR="001F5C3A">
              <w:rPr>
                <w:noProof/>
                <w:webHidden/>
              </w:rPr>
              <w:fldChar w:fldCharType="separate"/>
            </w:r>
            <w:r w:rsidR="001F5C3A">
              <w:rPr>
                <w:noProof/>
                <w:webHidden/>
              </w:rPr>
              <w:t>132</w:t>
            </w:r>
            <w:r w:rsidR="001F5C3A">
              <w:rPr>
                <w:noProof/>
                <w:webHidden/>
              </w:rPr>
              <w:fldChar w:fldCharType="end"/>
            </w:r>
          </w:hyperlink>
        </w:p>
        <w:p w14:paraId="064866FA" w14:textId="492E9AD2" w:rsidR="001F5C3A" w:rsidRDefault="00A859C1">
          <w:pPr>
            <w:pStyle w:val="TOC1"/>
            <w:rPr>
              <w:rFonts w:asciiTheme="minorHAnsi" w:eastAsiaTheme="minorEastAsia" w:hAnsiTheme="minorHAnsi"/>
              <w:noProof/>
            </w:rPr>
          </w:pPr>
          <w:hyperlink w:anchor="_Toc10715618" w:history="1">
            <w:r w:rsidR="001F5C3A" w:rsidRPr="007C00F9">
              <w:rPr>
                <w:rStyle w:val="Hyperlink"/>
                <w:noProof/>
              </w:rPr>
              <w:t>Cost Appendix for Subpart AA – Pulp and Paper Manufacturing</w:t>
            </w:r>
            <w:r w:rsidR="001F5C3A">
              <w:rPr>
                <w:noProof/>
                <w:webHidden/>
              </w:rPr>
              <w:tab/>
            </w:r>
            <w:r w:rsidR="001F5C3A">
              <w:rPr>
                <w:noProof/>
                <w:webHidden/>
              </w:rPr>
              <w:fldChar w:fldCharType="begin"/>
            </w:r>
            <w:r w:rsidR="001F5C3A">
              <w:rPr>
                <w:noProof/>
                <w:webHidden/>
              </w:rPr>
              <w:instrText xml:space="preserve"> PAGEREF _Toc10715618 \h </w:instrText>
            </w:r>
            <w:r w:rsidR="001F5C3A">
              <w:rPr>
                <w:noProof/>
                <w:webHidden/>
              </w:rPr>
            </w:r>
            <w:r w:rsidR="001F5C3A">
              <w:rPr>
                <w:noProof/>
                <w:webHidden/>
              </w:rPr>
              <w:fldChar w:fldCharType="separate"/>
            </w:r>
            <w:r w:rsidR="001F5C3A">
              <w:rPr>
                <w:noProof/>
                <w:webHidden/>
              </w:rPr>
              <w:t>134</w:t>
            </w:r>
            <w:r w:rsidR="001F5C3A">
              <w:rPr>
                <w:noProof/>
                <w:webHidden/>
              </w:rPr>
              <w:fldChar w:fldCharType="end"/>
            </w:r>
          </w:hyperlink>
        </w:p>
        <w:p w14:paraId="22A33AB2" w14:textId="4CCE8A23" w:rsidR="001F5C3A" w:rsidRDefault="00A859C1">
          <w:pPr>
            <w:pStyle w:val="TOC1"/>
            <w:rPr>
              <w:rFonts w:asciiTheme="minorHAnsi" w:eastAsiaTheme="minorEastAsia" w:hAnsiTheme="minorHAnsi"/>
              <w:noProof/>
            </w:rPr>
          </w:pPr>
          <w:hyperlink w:anchor="_Toc10715619" w:history="1">
            <w:r w:rsidR="001F5C3A" w:rsidRPr="007C00F9">
              <w:rPr>
                <w:rStyle w:val="Hyperlink"/>
                <w:noProof/>
              </w:rPr>
              <w:t>Cost Appendix for Subpart BB – Silicon Carbide Production</w:t>
            </w:r>
            <w:r w:rsidR="001F5C3A">
              <w:rPr>
                <w:noProof/>
                <w:webHidden/>
              </w:rPr>
              <w:tab/>
            </w:r>
            <w:r w:rsidR="001F5C3A">
              <w:rPr>
                <w:noProof/>
                <w:webHidden/>
              </w:rPr>
              <w:fldChar w:fldCharType="begin"/>
            </w:r>
            <w:r w:rsidR="001F5C3A">
              <w:rPr>
                <w:noProof/>
                <w:webHidden/>
              </w:rPr>
              <w:instrText xml:space="preserve"> PAGEREF _Toc10715619 \h </w:instrText>
            </w:r>
            <w:r w:rsidR="001F5C3A">
              <w:rPr>
                <w:noProof/>
                <w:webHidden/>
              </w:rPr>
            </w:r>
            <w:r w:rsidR="001F5C3A">
              <w:rPr>
                <w:noProof/>
                <w:webHidden/>
              </w:rPr>
              <w:fldChar w:fldCharType="separate"/>
            </w:r>
            <w:r w:rsidR="001F5C3A">
              <w:rPr>
                <w:noProof/>
                <w:webHidden/>
              </w:rPr>
              <w:t>136</w:t>
            </w:r>
            <w:r w:rsidR="001F5C3A">
              <w:rPr>
                <w:noProof/>
                <w:webHidden/>
              </w:rPr>
              <w:fldChar w:fldCharType="end"/>
            </w:r>
          </w:hyperlink>
        </w:p>
        <w:p w14:paraId="6B0F8924" w14:textId="4F0BBCC1" w:rsidR="001F5C3A" w:rsidRDefault="00A859C1">
          <w:pPr>
            <w:pStyle w:val="TOC1"/>
            <w:rPr>
              <w:rFonts w:asciiTheme="minorHAnsi" w:eastAsiaTheme="minorEastAsia" w:hAnsiTheme="minorHAnsi"/>
              <w:noProof/>
            </w:rPr>
          </w:pPr>
          <w:hyperlink w:anchor="_Toc10715620" w:history="1">
            <w:r w:rsidR="001F5C3A" w:rsidRPr="007C00F9">
              <w:rPr>
                <w:rStyle w:val="Hyperlink"/>
                <w:noProof/>
              </w:rPr>
              <w:t>Cost Appendix for Subpart CC – Soda Ash Manufacturing</w:t>
            </w:r>
            <w:r w:rsidR="001F5C3A">
              <w:rPr>
                <w:noProof/>
                <w:webHidden/>
              </w:rPr>
              <w:tab/>
            </w:r>
            <w:r w:rsidR="001F5C3A">
              <w:rPr>
                <w:noProof/>
                <w:webHidden/>
              </w:rPr>
              <w:fldChar w:fldCharType="begin"/>
            </w:r>
            <w:r w:rsidR="001F5C3A">
              <w:rPr>
                <w:noProof/>
                <w:webHidden/>
              </w:rPr>
              <w:instrText xml:space="preserve"> PAGEREF _Toc10715620 \h </w:instrText>
            </w:r>
            <w:r w:rsidR="001F5C3A">
              <w:rPr>
                <w:noProof/>
                <w:webHidden/>
              </w:rPr>
            </w:r>
            <w:r w:rsidR="001F5C3A">
              <w:rPr>
                <w:noProof/>
                <w:webHidden/>
              </w:rPr>
              <w:fldChar w:fldCharType="separate"/>
            </w:r>
            <w:r w:rsidR="001F5C3A">
              <w:rPr>
                <w:noProof/>
                <w:webHidden/>
              </w:rPr>
              <w:t>138</w:t>
            </w:r>
            <w:r w:rsidR="001F5C3A">
              <w:rPr>
                <w:noProof/>
                <w:webHidden/>
              </w:rPr>
              <w:fldChar w:fldCharType="end"/>
            </w:r>
          </w:hyperlink>
        </w:p>
        <w:p w14:paraId="4E0D190C" w14:textId="770AFB80" w:rsidR="001F5C3A" w:rsidRDefault="00A859C1">
          <w:pPr>
            <w:pStyle w:val="TOC1"/>
            <w:rPr>
              <w:rFonts w:asciiTheme="minorHAnsi" w:eastAsiaTheme="minorEastAsia" w:hAnsiTheme="minorHAnsi"/>
              <w:noProof/>
            </w:rPr>
          </w:pPr>
          <w:hyperlink w:anchor="_Toc10715621" w:history="1">
            <w:r w:rsidR="001F5C3A" w:rsidRPr="007C00F9">
              <w:rPr>
                <w:rStyle w:val="Hyperlink"/>
                <w:noProof/>
              </w:rPr>
              <w:t>Cost Appendix for Subpart DD – Electrical Transmission and Distribution Equipment Use</w:t>
            </w:r>
            <w:r w:rsidR="001F5C3A">
              <w:rPr>
                <w:noProof/>
                <w:webHidden/>
              </w:rPr>
              <w:tab/>
            </w:r>
            <w:r w:rsidR="001F5C3A">
              <w:rPr>
                <w:noProof/>
                <w:webHidden/>
              </w:rPr>
              <w:fldChar w:fldCharType="begin"/>
            </w:r>
            <w:r w:rsidR="001F5C3A">
              <w:rPr>
                <w:noProof/>
                <w:webHidden/>
              </w:rPr>
              <w:instrText xml:space="preserve"> PAGEREF _Toc10715621 \h </w:instrText>
            </w:r>
            <w:r w:rsidR="001F5C3A">
              <w:rPr>
                <w:noProof/>
                <w:webHidden/>
              </w:rPr>
            </w:r>
            <w:r w:rsidR="001F5C3A">
              <w:rPr>
                <w:noProof/>
                <w:webHidden/>
              </w:rPr>
              <w:fldChar w:fldCharType="separate"/>
            </w:r>
            <w:r w:rsidR="001F5C3A">
              <w:rPr>
                <w:noProof/>
                <w:webHidden/>
              </w:rPr>
              <w:t>143</w:t>
            </w:r>
            <w:r w:rsidR="001F5C3A">
              <w:rPr>
                <w:noProof/>
                <w:webHidden/>
              </w:rPr>
              <w:fldChar w:fldCharType="end"/>
            </w:r>
          </w:hyperlink>
        </w:p>
        <w:p w14:paraId="6786BBA5" w14:textId="7650F081" w:rsidR="001F5C3A" w:rsidRDefault="00A859C1">
          <w:pPr>
            <w:pStyle w:val="TOC1"/>
            <w:rPr>
              <w:rFonts w:asciiTheme="minorHAnsi" w:eastAsiaTheme="minorEastAsia" w:hAnsiTheme="minorHAnsi"/>
              <w:noProof/>
            </w:rPr>
          </w:pPr>
          <w:hyperlink w:anchor="_Toc10715622" w:history="1">
            <w:r w:rsidR="001F5C3A" w:rsidRPr="007C00F9">
              <w:rPr>
                <w:rStyle w:val="Hyperlink"/>
                <w:noProof/>
              </w:rPr>
              <w:t>Cost Appendix for Subpart EE – Titanium Dioxide Production</w:t>
            </w:r>
            <w:r w:rsidR="001F5C3A">
              <w:rPr>
                <w:noProof/>
                <w:webHidden/>
              </w:rPr>
              <w:tab/>
            </w:r>
            <w:r w:rsidR="001F5C3A">
              <w:rPr>
                <w:noProof/>
                <w:webHidden/>
              </w:rPr>
              <w:fldChar w:fldCharType="begin"/>
            </w:r>
            <w:r w:rsidR="001F5C3A">
              <w:rPr>
                <w:noProof/>
                <w:webHidden/>
              </w:rPr>
              <w:instrText xml:space="preserve"> PAGEREF _Toc10715622 \h </w:instrText>
            </w:r>
            <w:r w:rsidR="001F5C3A">
              <w:rPr>
                <w:noProof/>
                <w:webHidden/>
              </w:rPr>
            </w:r>
            <w:r w:rsidR="001F5C3A">
              <w:rPr>
                <w:noProof/>
                <w:webHidden/>
              </w:rPr>
              <w:fldChar w:fldCharType="separate"/>
            </w:r>
            <w:r w:rsidR="001F5C3A">
              <w:rPr>
                <w:noProof/>
                <w:webHidden/>
              </w:rPr>
              <w:t>145</w:t>
            </w:r>
            <w:r w:rsidR="001F5C3A">
              <w:rPr>
                <w:noProof/>
                <w:webHidden/>
              </w:rPr>
              <w:fldChar w:fldCharType="end"/>
            </w:r>
          </w:hyperlink>
        </w:p>
        <w:p w14:paraId="36D9A46D" w14:textId="26B92330" w:rsidR="001F5C3A" w:rsidRDefault="00A859C1">
          <w:pPr>
            <w:pStyle w:val="TOC1"/>
            <w:rPr>
              <w:rFonts w:asciiTheme="minorHAnsi" w:eastAsiaTheme="minorEastAsia" w:hAnsiTheme="minorHAnsi"/>
              <w:noProof/>
            </w:rPr>
          </w:pPr>
          <w:hyperlink w:anchor="_Toc10715623" w:history="1">
            <w:r w:rsidR="001F5C3A" w:rsidRPr="007C00F9">
              <w:rPr>
                <w:rStyle w:val="Hyperlink"/>
                <w:noProof/>
              </w:rPr>
              <w:t>Cost Appendix for Subpart FF – Underground Coal Mines</w:t>
            </w:r>
            <w:r w:rsidR="001F5C3A">
              <w:rPr>
                <w:noProof/>
                <w:webHidden/>
              </w:rPr>
              <w:tab/>
            </w:r>
            <w:r w:rsidR="001F5C3A">
              <w:rPr>
                <w:noProof/>
                <w:webHidden/>
              </w:rPr>
              <w:fldChar w:fldCharType="begin"/>
            </w:r>
            <w:r w:rsidR="001F5C3A">
              <w:rPr>
                <w:noProof/>
                <w:webHidden/>
              </w:rPr>
              <w:instrText xml:space="preserve"> PAGEREF _Toc10715623 \h </w:instrText>
            </w:r>
            <w:r w:rsidR="001F5C3A">
              <w:rPr>
                <w:noProof/>
                <w:webHidden/>
              </w:rPr>
            </w:r>
            <w:r w:rsidR="001F5C3A">
              <w:rPr>
                <w:noProof/>
                <w:webHidden/>
              </w:rPr>
              <w:fldChar w:fldCharType="separate"/>
            </w:r>
            <w:r w:rsidR="001F5C3A">
              <w:rPr>
                <w:noProof/>
                <w:webHidden/>
              </w:rPr>
              <w:t>147</w:t>
            </w:r>
            <w:r w:rsidR="001F5C3A">
              <w:rPr>
                <w:noProof/>
                <w:webHidden/>
              </w:rPr>
              <w:fldChar w:fldCharType="end"/>
            </w:r>
          </w:hyperlink>
        </w:p>
        <w:p w14:paraId="5685AA42" w14:textId="13607AAE" w:rsidR="001F5C3A" w:rsidRDefault="00A859C1">
          <w:pPr>
            <w:pStyle w:val="TOC1"/>
            <w:rPr>
              <w:rFonts w:asciiTheme="minorHAnsi" w:eastAsiaTheme="minorEastAsia" w:hAnsiTheme="minorHAnsi"/>
              <w:noProof/>
            </w:rPr>
          </w:pPr>
          <w:hyperlink w:anchor="_Toc10715624" w:history="1">
            <w:r w:rsidR="001F5C3A" w:rsidRPr="007C00F9">
              <w:rPr>
                <w:rStyle w:val="Hyperlink"/>
                <w:noProof/>
              </w:rPr>
              <w:t>Cost Appendix for Subpart GG – Zinc Production</w:t>
            </w:r>
            <w:r w:rsidR="001F5C3A">
              <w:rPr>
                <w:noProof/>
                <w:webHidden/>
              </w:rPr>
              <w:tab/>
            </w:r>
            <w:r w:rsidR="001F5C3A">
              <w:rPr>
                <w:noProof/>
                <w:webHidden/>
              </w:rPr>
              <w:fldChar w:fldCharType="begin"/>
            </w:r>
            <w:r w:rsidR="001F5C3A">
              <w:rPr>
                <w:noProof/>
                <w:webHidden/>
              </w:rPr>
              <w:instrText xml:space="preserve"> PAGEREF _Toc10715624 \h </w:instrText>
            </w:r>
            <w:r w:rsidR="001F5C3A">
              <w:rPr>
                <w:noProof/>
                <w:webHidden/>
              </w:rPr>
            </w:r>
            <w:r w:rsidR="001F5C3A">
              <w:rPr>
                <w:noProof/>
                <w:webHidden/>
              </w:rPr>
              <w:fldChar w:fldCharType="separate"/>
            </w:r>
            <w:r w:rsidR="001F5C3A">
              <w:rPr>
                <w:noProof/>
                <w:webHidden/>
              </w:rPr>
              <w:t>151</w:t>
            </w:r>
            <w:r w:rsidR="001F5C3A">
              <w:rPr>
                <w:noProof/>
                <w:webHidden/>
              </w:rPr>
              <w:fldChar w:fldCharType="end"/>
            </w:r>
          </w:hyperlink>
        </w:p>
        <w:p w14:paraId="60E19CD0" w14:textId="15F87B6F" w:rsidR="001F5C3A" w:rsidRDefault="00A859C1">
          <w:pPr>
            <w:pStyle w:val="TOC1"/>
            <w:rPr>
              <w:rFonts w:asciiTheme="minorHAnsi" w:eastAsiaTheme="minorEastAsia" w:hAnsiTheme="minorHAnsi"/>
              <w:noProof/>
            </w:rPr>
          </w:pPr>
          <w:hyperlink w:anchor="_Toc10715625" w:history="1">
            <w:r w:rsidR="001F5C3A" w:rsidRPr="007C00F9">
              <w:rPr>
                <w:rStyle w:val="Hyperlink"/>
                <w:noProof/>
              </w:rPr>
              <w:t>Cost Appendix for Subpart HH – Municipal Solid Waste Landfills</w:t>
            </w:r>
            <w:r w:rsidR="001F5C3A">
              <w:rPr>
                <w:noProof/>
                <w:webHidden/>
              </w:rPr>
              <w:tab/>
            </w:r>
            <w:r w:rsidR="001F5C3A">
              <w:rPr>
                <w:noProof/>
                <w:webHidden/>
              </w:rPr>
              <w:fldChar w:fldCharType="begin"/>
            </w:r>
            <w:r w:rsidR="001F5C3A">
              <w:rPr>
                <w:noProof/>
                <w:webHidden/>
              </w:rPr>
              <w:instrText xml:space="preserve"> PAGEREF _Toc10715625 \h </w:instrText>
            </w:r>
            <w:r w:rsidR="001F5C3A">
              <w:rPr>
                <w:noProof/>
                <w:webHidden/>
              </w:rPr>
            </w:r>
            <w:r w:rsidR="001F5C3A">
              <w:rPr>
                <w:noProof/>
                <w:webHidden/>
              </w:rPr>
              <w:fldChar w:fldCharType="separate"/>
            </w:r>
            <w:r w:rsidR="001F5C3A">
              <w:rPr>
                <w:noProof/>
                <w:webHidden/>
              </w:rPr>
              <w:t>153</w:t>
            </w:r>
            <w:r w:rsidR="001F5C3A">
              <w:rPr>
                <w:noProof/>
                <w:webHidden/>
              </w:rPr>
              <w:fldChar w:fldCharType="end"/>
            </w:r>
          </w:hyperlink>
        </w:p>
        <w:p w14:paraId="4A49B48C" w14:textId="24E83C50" w:rsidR="001F5C3A" w:rsidRDefault="00A859C1">
          <w:pPr>
            <w:pStyle w:val="TOC1"/>
            <w:rPr>
              <w:rFonts w:asciiTheme="minorHAnsi" w:eastAsiaTheme="minorEastAsia" w:hAnsiTheme="minorHAnsi"/>
              <w:noProof/>
            </w:rPr>
          </w:pPr>
          <w:hyperlink w:anchor="_Toc10715626" w:history="1">
            <w:r w:rsidR="001F5C3A" w:rsidRPr="007C00F9">
              <w:rPr>
                <w:rStyle w:val="Hyperlink"/>
                <w:noProof/>
              </w:rPr>
              <w:t>Cost Appendix for Subpart II – Industrial Wastewater Treatment</w:t>
            </w:r>
            <w:r w:rsidR="001F5C3A">
              <w:rPr>
                <w:noProof/>
                <w:webHidden/>
              </w:rPr>
              <w:tab/>
            </w:r>
            <w:r w:rsidR="001F5C3A">
              <w:rPr>
                <w:noProof/>
                <w:webHidden/>
              </w:rPr>
              <w:fldChar w:fldCharType="begin"/>
            </w:r>
            <w:r w:rsidR="001F5C3A">
              <w:rPr>
                <w:noProof/>
                <w:webHidden/>
              </w:rPr>
              <w:instrText xml:space="preserve"> PAGEREF _Toc10715626 \h </w:instrText>
            </w:r>
            <w:r w:rsidR="001F5C3A">
              <w:rPr>
                <w:noProof/>
                <w:webHidden/>
              </w:rPr>
            </w:r>
            <w:r w:rsidR="001F5C3A">
              <w:rPr>
                <w:noProof/>
                <w:webHidden/>
              </w:rPr>
              <w:fldChar w:fldCharType="separate"/>
            </w:r>
            <w:r w:rsidR="001F5C3A">
              <w:rPr>
                <w:noProof/>
                <w:webHidden/>
              </w:rPr>
              <w:t>157</w:t>
            </w:r>
            <w:r w:rsidR="001F5C3A">
              <w:rPr>
                <w:noProof/>
                <w:webHidden/>
              </w:rPr>
              <w:fldChar w:fldCharType="end"/>
            </w:r>
          </w:hyperlink>
        </w:p>
        <w:p w14:paraId="08A048A9" w14:textId="08B08A49" w:rsidR="001F5C3A" w:rsidRDefault="00A859C1">
          <w:pPr>
            <w:pStyle w:val="TOC1"/>
            <w:rPr>
              <w:rFonts w:asciiTheme="minorHAnsi" w:eastAsiaTheme="minorEastAsia" w:hAnsiTheme="minorHAnsi"/>
              <w:noProof/>
            </w:rPr>
          </w:pPr>
          <w:hyperlink w:anchor="_Toc10715627" w:history="1">
            <w:r w:rsidR="001F5C3A" w:rsidRPr="007C00F9">
              <w:rPr>
                <w:rStyle w:val="Hyperlink"/>
                <w:noProof/>
              </w:rPr>
              <w:t>Cost Appendix for Subpart LL – Suppliers of Coal-based Liquid Fuels</w:t>
            </w:r>
            <w:r w:rsidR="001F5C3A">
              <w:rPr>
                <w:noProof/>
                <w:webHidden/>
              </w:rPr>
              <w:tab/>
            </w:r>
            <w:r w:rsidR="001F5C3A">
              <w:rPr>
                <w:noProof/>
                <w:webHidden/>
              </w:rPr>
              <w:fldChar w:fldCharType="begin"/>
            </w:r>
            <w:r w:rsidR="001F5C3A">
              <w:rPr>
                <w:noProof/>
                <w:webHidden/>
              </w:rPr>
              <w:instrText xml:space="preserve"> PAGEREF _Toc10715627 \h </w:instrText>
            </w:r>
            <w:r w:rsidR="001F5C3A">
              <w:rPr>
                <w:noProof/>
                <w:webHidden/>
              </w:rPr>
            </w:r>
            <w:r w:rsidR="001F5C3A">
              <w:rPr>
                <w:noProof/>
                <w:webHidden/>
              </w:rPr>
              <w:fldChar w:fldCharType="separate"/>
            </w:r>
            <w:r w:rsidR="001F5C3A">
              <w:rPr>
                <w:noProof/>
                <w:webHidden/>
              </w:rPr>
              <w:t>159</w:t>
            </w:r>
            <w:r w:rsidR="001F5C3A">
              <w:rPr>
                <w:noProof/>
                <w:webHidden/>
              </w:rPr>
              <w:fldChar w:fldCharType="end"/>
            </w:r>
          </w:hyperlink>
        </w:p>
        <w:p w14:paraId="08104128" w14:textId="7706C9E7" w:rsidR="001F5C3A" w:rsidRDefault="00A859C1">
          <w:pPr>
            <w:pStyle w:val="TOC1"/>
            <w:rPr>
              <w:rFonts w:asciiTheme="minorHAnsi" w:eastAsiaTheme="minorEastAsia" w:hAnsiTheme="minorHAnsi"/>
              <w:noProof/>
            </w:rPr>
          </w:pPr>
          <w:hyperlink w:anchor="_Toc10715628" w:history="1">
            <w:r w:rsidR="001F5C3A" w:rsidRPr="007C00F9">
              <w:rPr>
                <w:rStyle w:val="Hyperlink"/>
                <w:noProof/>
              </w:rPr>
              <w:t>Cost Appendix for Subpart MM – Suppliers of Petroleum Products</w:t>
            </w:r>
            <w:r w:rsidR="001F5C3A">
              <w:rPr>
                <w:noProof/>
                <w:webHidden/>
              </w:rPr>
              <w:tab/>
            </w:r>
            <w:r w:rsidR="001F5C3A">
              <w:rPr>
                <w:noProof/>
                <w:webHidden/>
              </w:rPr>
              <w:fldChar w:fldCharType="begin"/>
            </w:r>
            <w:r w:rsidR="001F5C3A">
              <w:rPr>
                <w:noProof/>
                <w:webHidden/>
              </w:rPr>
              <w:instrText xml:space="preserve"> PAGEREF _Toc10715628 \h </w:instrText>
            </w:r>
            <w:r w:rsidR="001F5C3A">
              <w:rPr>
                <w:noProof/>
                <w:webHidden/>
              </w:rPr>
            </w:r>
            <w:r w:rsidR="001F5C3A">
              <w:rPr>
                <w:noProof/>
                <w:webHidden/>
              </w:rPr>
              <w:fldChar w:fldCharType="separate"/>
            </w:r>
            <w:r w:rsidR="001F5C3A">
              <w:rPr>
                <w:noProof/>
                <w:webHidden/>
              </w:rPr>
              <w:t>161</w:t>
            </w:r>
            <w:r w:rsidR="001F5C3A">
              <w:rPr>
                <w:noProof/>
                <w:webHidden/>
              </w:rPr>
              <w:fldChar w:fldCharType="end"/>
            </w:r>
          </w:hyperlink>
        </w:p>
        <w:p w14:paraId="72A05320" w14:textId="1CCE7E69" w:rsidR="001F5C3A" w:rsidRDefault="00A859C1">
          <w:pPr>
            <w:pStyle w:val="TOC1"/>
            <w:rPr>
              <w:rFonts w:asciiTheme="minorHAnsi" w:eastAsiaTheme="minorEastAsia" w:hAnsiTheme="minorHAnsi"/>
              <w:noProof/>
            </w:rPr>
          </w:pPr>
          <w:hyperlink w:anchor="_Toc10715629" w:history="1">
            <w:r w:rsidR="001F5C3A" w:rsidRPr="007C00F9">
              <w:rPr>
                <w:rStyle w:val="Hyperlink"/>
                <w:noProof/>
              </w:rPr>
              <w:t>Cost Appendix for Subpart NN – Suppliers of Natural Gas and Natural Gas Liquids</w:t>
            </w:r>
            <w:r w:rsidR="001F5C3A">
              <w:rPr>
                <w:noProof/>
                <w:webHidden/>
              </w:rPr>
              <w:tab/>
            </w:r>
            <w:r w:rsidR="001F5C3A">
              <w:rPr>
                <w:noProof/>
                <w:webHidden/>
              </w:rPr>
              <w:fldChar w:fldCharType="begin"/>
            </w:r>
            <w:r w:rsidR="001F5C3A">
              <w:rPr>
                <w:noProof/>
                <w:webHidden/>
              </w:rPr>
              <w:instrText xml:space="preserve"> PAGEREF _Toc10715629 \h </w:instrText>
            </w:r>
            <w:r w:rsidR="001F5C3A">
              <w:rPr>
                <w:noProof/>
                <w:webHidden/>
              </w:rPr>
            </w:r>
            <w:r w:rsidR="001F5C3A">
              <w:rPr>
                <w:noProof/>
                <w:webHidden/>
              </w:rPr>
              <w:fldChar w:fldCharType="separate"/>
            </w:r>
            <w:r w:rsidR="001F5C3A">
              <w:rPr>
                <w:noProof/>
                <w:webHidden/>
              </w:rPr>
              <w:t>163</w:t>
            </w:r>
            <w:r w:rsidR="001F5C3A">
              <w:rPr>
                <w:noProof/>
                <w:webHidden/>
              </w:rPr>
              <w:fldChar w:fldCharType="end"/>
            </w:r>
          </w:hyperlink>
        </w:p>
        <w:p w14:paraId="0BA1EA4A" w14:textId="3B1940D8" w:rsidR="001F5C3A" w:rsidRDefault="00A859C1">
          <w:pPr>
            <w:pStyle w:val="TOC1"/>
            <w:rPr>
              <w:rFonts w:asciiTheme="minorHAnsi" w:eastAsiaTheme="minorEastAsia" w:hAnsiTheme="minorHAnsi"/>
              <w:noProof/>
            </w:rPr>
          </w:pPr>
          <w:hyperlink w:anchor="_Toc10715630" w:history="1">
            <w:r w:rsidR="001F5C3A" w:rsidRPr="007C00F9">
              <w:rPr>
                <w:rStyle w:val="Hyperlink"/>
                <w:noProof/>
              </w:rPr>
              <w:t>Cost Appendix for Subpart OO – Suppliers of Industrial Greenhouse Gases</w:t>
            </w:r>
            <w:r w:rsidR="001F5C3A">
              <w:rPr>
                <w:noProof/>
                <w:webHidden/>
              </w:rPr>
              <w:tab/>
            </w:r>
            <w:r w:rsidR="001F5C3A">
              <w:rPr>
                <w:noProof/>
                <w:webHidden/>
              </w:rPr>
              <w:fldChar w:fldCharType="begin"/>
            </w:r>
            <w:r w:rsidR="001F5C3A">
              <w:rPr>
                <w:noProof/>
                <w:webHidden/>
              </w:rPr>
              <w:instrText xml:space="preserve"> PAGEREF _Toc10715630 \h </w:instrText>
            </w:r>
            <w:r w:rsidR="001F5C3A">
              <w:rPr>
                <w:noProof/>
                <w:webHidden/>
              </w:rPr>
            </w:r>
            <w:r w:rsidR="001F5C3A">
              <w:rPr>
                <w:noProof/>
                <w:webHidden/>
              </w:rPr>
              <w:fldChar w:fldCharType="separate"/>
            </w:r>
            <w:r w:rsidR="001F5C3A">
              <w:rPr>
                <w:noProof/>
                <w:webHidden/>
              </w:rPr>
              <w:t>167</w:t>
            </w:r>
            <w:r w:rsidR="001F5C3A">
              <w:rPr>
                <w:noProof/>
                <w:webHidden/>
              </w:rPr>
              <w:fldChar w:fldCharType="end"/>
            </w:r>
          </w:hyperlink>
        </w:p>
        <w:p w14:paraId="5DA5CF81" w14:textId="28D4C22C" w:rsidR="001F5C3A" w:rsidRDefault="00A859C1">
          <w:pPr>
            <w:pStyle w:val="TOC1"/>
            <w:rPr>
              <w:rFonts w:asciiTheme="minorHAnsi" w:eastAsiaTheme="minorEastAsia" w:hAnsiTheme="minorHAnsi"/>
              <w:noProof/>
            </w:rPr>
          </w:pPr>
          <w:hyperlink w:anchor="_Toc10715631" w:history="1">
            <w:r w:rsidR="001F5C3A" w:rsidRPr="007C00F9">
              <w:rPr>
                <w:rStyle w:val="Hyperlink"/>
                <w:noProof/>
              </w:rPr>
              <w:t>Cost Appendix for Subpart PP – Suppliers of Carbon Dioxide</w:t>
            </w:r>
            <w:r w:rsidR="001F5C3A">
              <w:rPr>
                <w:noProof/>
                <w:webHidden/>
              </w:rPr>
              <w:tab/>
            </w:r>
            <w:r w:rsidR="001F5C3A">
              <w:rPr>
                <w:noProof/>
                <w:webHidden/>
              </w:rPr>
              <w:fldChar w:fldCharType="begin"/>
            </w:r>
            <w:r w:rsidR="001F5C3A">
              <w:rPr>
                <w:noProof/>
                <w:webHidden/>
              </w:rPr>
              <w:instrText xml:space="preserve"> PAGEREF _Toc10715631 \h </w:instrText>
            </w:r>
            <w:r w:rsidR="001F5C3A">
              <w:rPr>
                <w:noProof/>
                <w:webHidden/>
              </w:rPr>
            </w:r>
            <w:r w:rsidR="001F5C3A">
              <w:rPr>
                <w:noProof/>
                <w:webHidden/>
              </w:rPr>
              <w:fldChar w:fldCharType="separate"/>
            </w:r>
            <w:r w:rsidR="001F5C3A">
              <w:rPr>
                <w:noProof/>
                <w:webHidden/>
              </w:rPr>
              <w:t>172</w:t>
            </w:r>
            <w:r w:rsidR="001F5C3A">
              <w:rPr>
                <w:noProof/>
                <w:webHidden/>
              </w:rPr>
              <w:fldChar w:fldCharType="end"/>
            </w:r>
          </w:hyperlink>
        </w:p>
        <w:p w14:paraId="3D1671AA" w14:textId="2DC44394" w:rsidR="001F5C3A" w:rsidRDefault="00A859C1">
          <w:pPr>
            <w:pStyle w:val="TOC1"/>
            <w:rPr>
              <w:rFonts w:asciiTheme="minorHAnsi" w:eastAsiaTheme="minorEastAsia" w:hAnsiTheme="minorHAnsi"/>
              <w:noProof/>
            </w:rPr>
          </w:pPr>
          <w:hyperlink w:anchor="_Toc10715632" w:history="1">
            <w:r w:rsidR="001F5C3A" w:rsidRPr="007C00F9">
              <w:rPr>
                <w:rStyle w:val="Hyperlink"/>
                <w:noProof/>
              </w:rPr>
              <w:t>Cost Appendix for Subpart QQ – Importers and Exporters of Fluorinated Greenhouse Gases Contained in Pre-Charged Equipment or Closed-Cell Foams</w:t>
            </w:r>
            <w:r w:rsidR="001F5C3A">
              <w:rPr>
                <w:noProof/>
                <w:webHidden/>
              </w:rPr>
              <w:tab/>
            </w:r>
            <w:r w:rsidR="001F5C3A">
              <w:rPr>
                <w:noProof/>
                <w:webHidden/>
              </w:rPr>
              <w:fldChar w:fldCharType="begin"/>
            </w:r>
            <w:r w:rsidR="001F5C3A">
              <w:rPr>
                <w:noProof/>
                <w:webHidden/>
              </w:rPr>
              <w:instrText xml:space="preserve"> PAGEREF _Toc10715632 \h </w:instrText>
            </w:r>
            <w:r w:rsidR="001F5C3A">
              <w:rPr>
                <w:noProof/>
                <w:webHidden/>
              </w:rPr>
            </w:r>
            <w:r w:rsidR="001F5C3A">
              <w:rPr>
                <w:noProof/>
                <w:webHidden/>
              </w:rPr>
              <w:fldChar w:fldCharType="separate"/>
            </w:r>
            <w:r w:rsidR="001F5C3A">
              <w:rPr>
                <w:noProof/>
                <w:webHidden/>
              </w:rPr>
              <w:t>174</w:t>
            </w:r>
            <w:r w:rsidR="001F5C3A">
              <w:rPr>
                <w:noProof/>
                <w:webHidden/>
              </w:rPr>
              <w:fldChar w:fldCharType="end"/>
            </w:r>
          </w:hyperlink>
        </w:p>
        <w:p w14:paraId="21134C85" w14:textId="62A9CF22" w:rsidR="001F5C3A" w:rsidRDefault="00A859C1">
          <w:pPr>
            <w:pStyle w:val="TOC1"/>
            <w:rPr>
              <w:rFonts w:asciiTheme="minorHAnsi" w:eastAsiaTheme="minorEastAsia" w:hAnsiTheme="minorHAnsi"/>
              <w:noProof/>
            </w:rPr>
          </w:pPr>
          <w:hyperlink w:anchor="_Toc10715633" w:history="1">
            <w:r w:rsidR="001F5C3A" w:rsidRPr="007C00F9">
              <w:rPr>
                <w:rStyle w:val="Hyperlink"/>
                <w:noProof/>
              </w:rPr>
              <w:t>Cost Appendix for Subpart RR – Geologic Sequestration of Carbon Dioxide</w:t>
            </w:r>
            <w:r w:rsidR="001F5C3A">
              <w:rPr>
                <w:noProof/>
                <w:webHidden/>
              </w:rPr>
              <w:tab/>
            </w:r>
            <w:r w:rsidR="001F5C3A">
              <w:rPr>
                <w:noProof/>
                <w:webHidden/>
              </w:rPr>
              <w:fldChar w:fldCharType="begin"/>
            </w:r>
            <w:r w:rsidR="001F5C3A">
              <w:rPr>
                <w:noProof/>
                <w:webHidden/>
              </w:rPr>
              <w:instrText xml:space="preserve"> PAGEREF _Toc10715633 \h </w:instrText>
            </w:r>
            <w:r w:rsidR="001F5C3A">
              <w:rPr>
                <w:noProof/>
                <w:webHidden/>
              </w:rPr>
            </w:r>
            <w:r w:rsidR="001F5C3A">
              <w:rPr>
                <w:noProof/>
                <w:webHidden/>
              </w:rPr>
              <w:fldChar w:fldCharType="separate"/>
            </w:r>
            <w:r w:rsidR="001F5C3A">
              <w:rPr>
                <w:noProof/>
                <w:webHidden/>
              </w:rPr>
              <w:t>176</w:t>
            </w:r>
            <w:r w:rsidR="001F5C3A">
              <w:rPr>
                <w:noProof/>
                <w:webHidden/>
              </w:rPr>
              <w:fldChar w:fldCharType="end"/>
            </w:r>
          </w:hyperlink>
        </w:p>
        <w:p w14:paraId="7C6B41E9" w14:textId="7E80567C" w:rsidR="001F5C3A" w:rsidRDefault="00A859C1">
          <w:pPr>
            <w:pStyle w:val="TOC1"/>
            <w:rPr>
              <w:rFonts w:asciiTheme="minorHAnsi" w:eastAsiaTheme="minorEastAsia" w:hAnsiTheme="minorHAnsi"/>
              <w:noProof/>
            </w:rPr>
          </w:pPr>
          <w:hyperlink w:anchor="_Toc10715634" w:history="1">
            <w:r w:rsidR="001F5C3A" w:rsidRPr="007C00F9">
              <w:rPr>
                <w:rStyle w:val="Hyperlink"/>
                <w:noProof/>
              </w:rPr>
              <w:t>Cost Appendix for Subpart SS – Electrical Equipment Manufacture or Refurbishment</w:t>
            </w:r>
            <w:r w:rsidR="001F5C3A">
              <w:rPr>
                <w:noProof/>
                <w:webHidden/>
              </w:rPr>
              <w:tab/>
            </w:r>
            <w:r w:rsidR="001F5C3A">
              <w:rPr>
                <w:noProof/>
                <w:webHidden/>
              </w:rPr>
              <w:fldChar w:fldCharType="begin"/>
            </w:r>
            <w:r w:rsidR="001F5C3A">
              <w:rPr>
                <w:noProof/>
                <w:webHidden/>
              </w:rPr>
              <w:instrText xml:space="preserve"> PAGEREF _Toc10715634 \h </w:instrText>
            </w:r>
            <w:r w:rsidR="001F5C3A">
              <w:rPr>
                <w:noProof/>
                <w:webHidden/>
              </w:rPr>
            </w:r>
            <w:r w:rsidR="001F5C3A">
              <w:rPr>
                <w:noProof/>
                <w:webHidden/>
              </w:rPr>
              <w:fldChar w:fldCharType="separate"/>
            </w:r>
            <w:r w:rsidR="001F5C3A">
              <w:rPr>
                <w:noProof/>
                <w:webHidden/>
              </w:rPr>
              <w:t>179</w:t>
            </w:r>
            <w:r w:rsidR="001F5C3A">
              <w:rPr>
                <w:noProof/>
                <w:webHidden/>
              </w:rPr>
              <w:fldChar w:fldCharType="end"/>
            </w:r>
          </w:hyperlink>
        </w:p>
        <w:p w14:paraId="39CC7F4E" w14:textId="4572F252" w:rsidR="001F5C3A" w:rsidRDefault="00A859C1">
          <w:pPr>
            <w:pStyle w:val="TOC1"/>
            <w:rPr>
              <w:rFonts w:asciiTheme="minorHAnsi" w:eastAsiaTheme="minorEastAsia" w:hAnsiTheme="minorHAnsi"/>
              <w:noProof/>
            </w:rPr>
          </w:pPr>
          <w:hyperlink w:anchor="_Toc10715635" w:history="1">
            <w:r w:rsidR="001F5C3A" w:rsidRPr="007C00F9">
              <w:rPr>
                <w:rStyle w:val="Hyperlink"/>
                <w:noProof/>
              </w:rPr>
              <w:t>Cost Appendix for Subpart TT – Industrial Waste Landfills</w:t>
            </w:r>
            <w:r w:rsidR="001F5C3A">
              <w:rPr>
                <w:noProof/>
                <w:webHidden/>
              </w:rPr>
              <w:tab/>
            </w:r>
            <w:r w:rsidR="001F5C3A">
              <w:rPr>
                <w:noProof/>
                <w:webHidden/>
              </w:rPr>
              <w:fldChar w:fldCharType="begin"/>
            </w:r>
            <w:r w:rsidR="001F5C3A">
              <w:rPr>
                <w:noProof/>
                <w:webHidden/>
              </w:rPr>
              <w:instrText xml:space="preserve"> PAGEREF _Toc10715635 \h </w:instrText>
            </w:r>
            <w:r w:rsidR="001F5C3A">
              <w:rPr>
                <w:noProof/>
                <w:webHidden/>
              </w:rPr>
            </w:r>
            <w:r w:rsidR="001F5C3A">
              <w:rPr>
                <w:noProof/>
                <w:webHidden/>
              </w:rPr>
              <w:fldChar w:fldCharType="separate"/>
            </w:r>
            <w:r w:rsidR="001F5C3A">
              <w:rPr>
                <w:noProof/>
                <w:webHidden/>
              </w:rPr>
              <w:t>181</w:t>
            </w:r>
            <w:r w:rsidR="001F5C3A">
              <w:rPr>
                <w:noProof/>
                <w:webHidden/>
              </w:rPr>
              <w:fldChar w:fldCharType="end"/>
            </w:r>
          </w:hyperlink>
        </w:p>
        <w:p w14:paraId="753CB052" w14:textId="55707772" w:rsidR="001F5C3A" w:rsidRDefault="00A859C1">
          <w:pPr>
            <w:pStyle w:val="TOC1"/>
            <w:rPr>
              <w:rFonts w:asciiTheme="minorHAnsi" w:eastAsiaTheme="minorEastAsia" w:hAnsiTheme="minorHAnsi"/>
              <w:noProof/>
            </w:rPr>
          </w:pPr>
          <w:hyperlink w:anchor="_Toc10715636" w:history="1">
            <w:r w:rsidR="001F5C3A" w:rsidRPr="007C00F9">
              <w:rPr>
                <w:rStyle w:val="Hyperlink"/>
                <w:noProof/>
              </w:rPr>
              <w:t>Cost Appendix for Subpart UU – Injection of Carbon Dioxide</w:t>
            </w:r>
            <w:r w:rsidR="001F5C3A">
              <w:rPr>
                <w:noProof/>
                <w:webHidden/>
              </w:rPr>
              <w:tab/>
            </w:r>
            <w:r w:rsidR="001F5C3A">
              <w:rPr>
                <w:noProof/>
                <w:webHidden/>
              </w:rPr>
              <w:fldChar w:fldCharType="begin"/>
            </w:r>
            <w:r w:rsidR="001F5C3A">
              <w:rPr>
                <w:noProof/>
                <w:webHidden/>
              </w:rPr>
              <w:instrText xml:space="preserve"> PAGEREF _Toc10715636 \h </w:instrText>
            </w:r>
            <w:r w:rsidR="001F5C3A">
              <w:rPr>
                <w:noProof/>
                <w:webHidden/>
              </w:rPr>
            </w:r>
            <w:r w:rsidR="001F5C3A">
              <w:rPr>
                <w:noProof/>
                <w:webHidden/>
              </w:rPr>
              <w:fldChar w:fldCharType="separate"/>
            </w:r>
            <w:r w:rsidR="001F5C3A">
              <w:rPr>
                <w:noProof/>
                <w:webHidden/>
              </w:rPr>
              <w:t>183</w:t>
            </w:r>
            <w:r w:rsidR="001F5C3A">
              <w:rPr>
                <w:noProof/>
                <w:webHidden/>
              </w:rPr>
              <w:fldChar w:fldCharType="end"/>
            </w:r>
          </w:hyperlink>
        </w:p>
        <w:p w14:paraId="5361138B" w14:textId="34E642C6" w:rsidR="000C5C2A" w:rsidRPr="000973F2" w:rsidRDefault="001F5C3A" w:rsidP="00C00E4F">
          <w:pPr>
            <w:spacing w:line="240" w:lineRule="auto"/>
            <w:rPr>
              <w:rFonts w:ascii="Times New Roman" w:hAnsi="Times New Roman" w:cs="Times New Roman"/>
              <w:sz w:val="24"/>
            </w:rPr>
          </w:pPr>
          <w:r>
            <w:rPr>
              <w:rFonts w:ascii="Times New Roman" w:hAnsi="Times New Roman" w:cs="Times New Roman"/>
              <w:b/>
              <w:bCs/>
              <w:sz w:val="24"/>
            </w:rPr>
            <w:fldChar w:fldCharType="end"/>
          </w:r>
        </w:p>
      </w:sdtContent>
    </w:sdt>
    <w:p w14:paraId="696E4DE0" w14:textId="5E8E8811" w:rsidR="007478B6" w:rsidRPr="000973F2" w:rsidRDefault="007478B6" w:rsidP="00C00E4F">
      <w:pPr>
        <w:spacing w:line="240" w:lineRule="auto"/>
        <w:rPr>
          <w:rFonts w:ascii="Times New Roman" w:hAnsi="Times New Roman" w:cs="Times New Roman"/>
          <w:b/>
          <w:sz w:val="24"/>
        </w:rPr>
      </w:pPr>
      <w:r w:rsidRPr="000973F2">
        <w:rPr>
          <w:rFonts w:ascii="Times New Roman" w:hAnsi="Times New Roman" w:cs="Times New Roman"/>
          <w:b/>
          <w:sz w:val="24"/>
        </w:rPr>
        <w:br w:type="page"/>
      </w:r>
    </w:p>
    <w:p w14:paraId="3563A5BB" w14:textId="6C3FDF81" w:rsidR="00A806BB" w:rsidRPr="000973F2" w:rsidRDefault="00A806BB" w:rsidP="00C00E4F">
      <w:pPr>
        <w:pStyle w:val="Heading1"/>
        <w:spacing w:line="240" w:lineRule="auto"/>
      </w:pPr>
      <w:bookmarkStart w:id="1" w:name="_Toc10715593"/>
      <w:r w:rsidRPr="000973F2">
        <w:t>Cost Appendix</w:t>
      </w:r>
      <w:r w:rsidR="00616CDE" w:rsidRPr="000973F2">
        <w:t xml:space="preserve"> Introduction</w:t>
      </w:r>
      <w:bookmarkEnd w:id="1"/>
    </w:p>
    <w:p w14:paraId="0D8B6B48" w14:textId="38569566" w:rsidR="00991E45" w:rsidRPr="000973F2" w:rsidRDefault="001824C4" w:rsidP="00B92AFE">
      <w:pPr>
        <w:pStyle w:val="BodyText"/>
      </w:pPr>
      <w:r w:rsidRPr="000973F2">
        <w:t xml:space="preserve">This Appendix documents the costs </w:t>
      </w:r>
      <w:r w:rsidR="0011075B" w:rsidRPr="000973F2">
        <w:t xml:space="preserve">that are expected to be </w:t>
      </w:r>
      <w:r w:rsidRPr="000973F2">
        <w:t>associated with compliance with the G</w:t>
      </w:r>
      <w:r w:rsidR="0011075B" w:rsidRPr="000973F2">
        <w:t xml:space="preserve">reenhouse </w:t>
      </w:r>
      <w:r w:rsidRPr="000973F2">
        <w:t>G</w:t>
      </w:r>
      <w:r w:rsidR="0011075B" w:rsidRPr="000973F2">
        <w:t xml:space="preserve">as </w:t>
      </w:r>
      <w:r w:rsidR="00A45744" w:rsidRPr="000973F2">
        <w:t>R</w:t>
      </w:r>
      <w:r w:rsidR="0011075B" w:rsidRPr="000973F2">
        <w:t xml:space="preserve">eporting </w:t>
      </w:r>
      <w:r w:rsidR="00A45744" w:rsidRPr="000973F2">
        <w:t>P</w:t>
      </w:r>
      <w:r w:rsidR="0011075B" w:rsidRPr="000973F2">
        <w:t>rogram (GHGRP)</w:t>
      </w:r>
      <w:r w:rsidRPr="000973F2">
        <w:t xml:space="preserve">. </w:t>
      </w:r>
      <w:r w:rsidR="00991E45" w:rsidRPr="000973F2">
        <w:t xml:space="preserve">As shown in the Table of Contents, the costs are presented in subpart-specific </w:t>
      </w:r>
      <w:r w:rsidR="000D741C" w:rsidRPr="000973F2">
        <w:t>sections</w:t>
      </w:r>
      <w:r w:rsidR="00991E45" w:rsidRPr="000973F2">
        <w:t xml:space="preserve">. Each </w:t>
      </w:r>
      <w:r w:rsidR="000D741C" w:rsidRPr="000973F2">
        <w:t>section</w:t>
      </w:r>
      <w:r w:rsidR="00991E45" w:rsidRPr="000973F2">
        <w:t xml:space="preserve"> includes a description of the industry covered by the subpart, the </w:t>
      </w:r>
      <w:r w:rsidR="000D741C" w:rsidRPr="000973F2">
        <w:t xml:space="preserve">methodological </w:t>
      </w:r>
      <w:r w:rsidR="00991E45" w:rsidRPr="000973F2">
        <w:t xml:space="preserve">option(s) given in Part 98 for determining greenhouse gas </w:t>
      </w:r>
      <w:r w:rsidR="00AD7891" w:rsidRPr="000973F2">
        <w:t xml:space="preserve">(GHG) </w:t>
      </w:r>
      <w:r w:rsidR="00991E45" w:rsidRPr="000973F2">
        <w:t xml:space="preserve">emissions from the subpart, and the number of </w:t>
      </w:r>
      <w:r w:rsidR="00616CDE" w:rsidRPr="000973F2">
        <w:t>facilities</w:t>
      </w:r>
      <w:r w:rsidR="00991E45" w:rsidRPr="000973F2">
        <w:t xml:space="preserve"> expected to use each option over the three-year period of th</w:t>
      </w:r>
      <w:r w:rsidR="00A6244D" w:rsidRPr="000973F2">
        <w:t>e</w:t>
      </w:r>
      <w:r w:rsidR="00991E45" w:rsidRPr="000973F2">
        <w:t xml:space="preserve"> ICR. </w:t>
      </w:r>
    </w:p>
    <w:p w14:paraId="1FDD9C9B" w14:textId="1BE12305" w:rsidR="00A806BB" w:rsidRPr="000973F2" w:rsidRDefault="001824C4" w:rsidP="00B92AFE">
      <w:pPr>
        <w:pStyle w:val="BodyText"/>
      </w:pPr>
      <w:r w:rsidRPr="000973F2">
        <w:t xml:space="preserve">Costs are divided between Labor Costs, which are included in Table 1 for each subpart and Capital and Operation and Maintenance </w:t>
      </w:r>
      <w:r w:rsidR="0011075B" w:rsidRPr="000973F2">
        <w:t xml:space="preserve">(O&amp;M) </w:t>
      </w:r>
      <w:r w:rsidRPr="000973F2">
        <w:t>costs, which are included in Table 2</w:t>
      </w:r>
      <w:r w:rsidR="007137BF" w:rsidRPr="000973F2">
        <w:t xml:space="preserve"> for each subpart</w:t>
      </w:r>
      <w:r w:rsidRPr="000973F2">
        <w:t xml:space="preserve">. Depending on the specific requirements within the subpart, costs for multiple </w:t>
      </w:r>
      <w:r w:rsidR="000D741C" w:rsidRPr="000973F2">
        <w:t>methodological</w:t>
      </w:r>
      <w:r w:rsidRPr="000973F2">
        <w:t xml:space="preserve"> options may be included, therefore some subparts have Table 1a, Table 1b, </w:t>
      </w:r>
      <w:r w:rsidR="000D741C" w:rsidRPr="000973F2">
        <w:t>etc</w:t>
      </w:r>
      <w:r w:rsidRPr="000973F2">
        <w:t>.</w:t>
      </w:r>
      <w:r w:rsidR="000773B1" w:rsidRPr="000973F2">
        <w:t xml:space="preserve"> </w:t>
      </w:r>
      <w:r w:rsidR="004B0E8D" w:rsidRPr="000973F2">
        <w:t>There are three exceptions to this labeling scheme throughout this Cost Appendix: for Subpart C, Subpart Y, and Subpart HH</w:t>
      </w:r>
      <w:r w:rsidR="000773B1" w:rsidRPr="000973F2">
        <w:t xml:space="preserve"> </w:t>
      </w:r>
      <w:r w:rsidR="00454D61" w:rsidRPr="000973F2">
        <w:t>labor</w:t>
      </w:r>
      <w:r w:rsidR="000C6BD5" w:rsidRPr="000973F2">
        <w:t xml:space="preserve"> costs </w:t>
      </w:r>
      <w:r w:rsidR="00454D61" w:rsidRPr="000973F2">
        <w:t xml:space="preserve">are shown </w:t>
      </w:r>
      <w:r w:rsidR="000C6BD5" w:rsidRPr="000973F2">
        <w:t>in Table</w:t>
      </w:r>
      <w:r w:rsidR="0094202F" w:rsidRPr="000973F2">
        <w:t> </w:t>
      </w:r>
      <w:r w:rsidR="000C6BD5" w:rsidRPr="000973F2">
        <w:t xml:space="preserve">2 and </w:t>
      </w:r>
      <w:r w:rsidR="00454D61" w:rsidRPr="000973F2">
        <w:t xml:space="preserve">capital and O&amp;M costs are shown in </w:t>
      </w:r>
      <w:r w:rsidR="000C6BD5" w:rsidRPr="000973F2">
        <w:t>Table 3 due to an add</w:t>
      </w:r>
      <w:r w:rsidR="00490F10" w:rsidRPr="000973F2">
        <w:t>ed</w:t>
      </w:r>
      <w:r w:rsidR="000C6BD5" w:rsidRPr="000973F2">
        <w:t xml:space="preserve"> </w:t>
      </w:r>
      <w:r w:rsidR="00454D61" w:rsidRPr="000973F2">
        <w:t>T</w:t>
      </w:r>
      <w:r w:rsidR="000C6BD5" w:rsidRPr="000973F2">
        <w:t>able</w:t>
      </w:r>
      <w:r w:rsidR="00454D61" w:rsidRPr="000973F2">
        <w:t xml:space="preserve"> 1</w:t>
      </w:r>
      <w:r w:rsidR="000C6BD5" w:rsidRPr="000973F2">
        <w:t xml:space="preserve"> that details facility counts for each GHG calculation option.</w:t>
      </w:r>
    </w:p>
    <w:p w14:paraId="15005E01" w14:textId="2E2FE5DF" w:rsidR="00552C5A" w:rsidRPr="000973F2" w:rsidRDefault="00C3085B" w:rsidP="00B92AFE">
      <w:pPr>
        <w:pStyle w:val="BodyText"/>
      </w:pPr>
      <w:r w:rsidRPr="000973F2">
        <w:t>When compared to the numbers in the individual columns in Table 1 and Table 2, the total</w:t>
      </w:r>
      <w:r w:rsidR="00CF7AE3" w:rsidRPr="000973F2">
        <w:t>s</w:t>
      </w:r>
      <w:r w:rsidR="00A3263A" w:rsidRPr="000973F2">
        <w:t xml:space="preserve"> may not add up due to rounding of the labor hours to the nearest tenth</w:t>
      </w:r>
      <w:r w:rsidR="00552C5A" w:rsidRPr="000973F2">
        <w:t xml:space="preserve"> of an hour</w:t>
      </w:r>
      <w:r w:rsidR="00A3263A" w:rsidRPr="000973F2">
        <w:t xml:space="preserve"> and rounding of costs to the nearest dollar.</w:t>
      </w:r>
    </w:p>
    <w:p w14:paraId="3D1FF6A7" w14:textId="790B2422" w:rsidR="00616CDE" w:rsidRPr="000973F2" w:rsidRDefault="00616CDE" w:rsidP="00B92AFE">
      <w:pPr>
        <w:pStyle w:val="BodyText"/>
      </w:pPr>
      <w:r w:rsidRPr="000973F2">
        <w:t>If one facility is subject to more than one subpart, note that the costs incurred for that facility are the sum of the costs for each subpart.</w:t>
      </w:r>
    </w:p>
    <w:p w14:paraId="71082D85" w14:textId="0EC91AB4" w:rsidR="004447D8" w:rsidRPr="000973F2" w:rsidRDefault="004447D8" w:rsidP="00E71DEE">
      <w:pPr>
        <w:pStyle w:val="Heading2"/>
      </w:pPr>
      <w:r w:rsidRPr="000973F2">
        <w:t>Labor Costs</w:t>
      </w:r>
    </w:p>
    <w:p w14:paraId="65A62EEB" w14:textId="46FE7798" w:rsidR="000E0430" w:rsidRPr="000973F2" w:rsidRDefault="006541EC" w:rsidP="0094202F">
      <w:pPr>
        <w:pStyle w:val="BodyText"/>
      </w:pPr>
      <w:r w:rsidRPr="000973F2">
        <w:t xml:space="preserve">Labor costs are the costs expected to be incurred by </w:t>
      </w:r>
      <w:r w:rsidR="00616CDE" w:rsidRPr="000973F2">
        <w:t>facilities</w:t>
      </w:r>
      <w:r w:rsidRPr="000973F2">
        <w:t xml:space="preserve"> </w:t>
      </w:r>
      <w:r w:rsidR="00906474" w:rsidRPr="000973F2">
        <w:t>that</w:t>
      </w:r>
      <w:r w:rsidRPr="000973F2">
        <w:t xml:space="preserve"> comply with the </w:t>
      </w:r>
      <w:r w:rsidR="000D741C" w:rsidRPr="000973F2">
        <w:t xml:space="preserve">requirements of the </w:t>
      </w:r>
      <w:r w:rsidRPr="000973F2">
        <w:t xml:space="preserve">GHGRP. </w:t>
      </w:r>
      <w:r w:rsidR="0024621D" w:rsidRPr="000973F2">
        <w:t xml:space="preserve">Labor categories are typically Lawyer, Industrial Manager, Industrial Engineer/Technician and Administrative Support. </w:t>
      </w:r>
      <w:r w:rsidR="0011075B" w:rsidRPr="000973F2">
        <w:t>For s</w:t>
      </w:r>
      <w:r w:rsidR="0024621D" w:rsidRPr="000973F2">
        <w:t xml:space="preserve">ubparts </w:t>
      </w:r>
      <w:r w:rsidR="000D741C" w:rsidRPr="000973F2">
        <w:t xml:space="preserve">with </w:t>
      </w:r>
      <w:r w:rsidR="0024621D" w:rsidRPr="000973F2">
        <w:t xml:space="preserve">labor categories </w:t>
      </w:r>
      <w:r w:rsidR="000D741C" w:rsidRPr="000973F2">
        <w:t xml:space="preserve">that </w:t>
      </w:r>
      <w:r w:rsidR="0024621D" w:rsidRPr="000973F2">
        <w:t>vary from this list</w:t>
      </w:r>
      <w:r w:rsidR="0011075B" w:rsidRPr="000973F2">
        <w:t>,</w:t>
      </w:r>
      <w:r w:rsidR="0024621D" w:rsidRPr="000973F2">
        <w:t xml:space="preserve"> the differences</w:t>
      </w:r>
      <w:r w:rsidR="0011075B" w:rsidRPr="000973F2">
        <w:t xml:space="preserve"> are discussed in the corresponding </w:t>
      </w:r>
      <w:r w:rsidR="005B2591" w:rsidRPr="000973F2">
        <w:t>section</w:t>
      </w:r>
      <w:r w:rsidR="0011075B" w:rsidRPr="000973F2">
        <w:t xml:space="preserve"> of this</w:t>
      </w:r>
      <w:r w:rsidR="0024621D" w:rsidRPr="000973F2">
        <w:t xml:space="preserve"> appendix.</w:t>
      </w:r>
      <w:r w:rsidR="00552C5A" w:rsidRPr="000973F2">
        <w:t xml:space="preserve"> </w:t>
      </w:r>
      <w:r w:rsidR="000E0430" w:rsidRPr="000973F2">
        <w:t xml:space="preserve">Labor costs are calculated by multiplying the number of labor hours for a specific labor category by the labor rate for that specific labor category. </w:t>
      </w:r>
      <w:r w:rsidR="00552C5A" w:rsidRPr="000973F2">
        <w:t xml:space="preserve">The labor rates used in this Cost Appendix are </w:t>
      </w:r>
      <w:r w:rsidR="00A143AB" w:rsidRPr="000973F2">
        <w:t>largely</w:t>
      </w:r>
      <w:r w:rsidR="00956E22" w:rsidRPr="000973F2">
        <w:t xml:space="preserve"> </w:t>
      </w:r>
      <w:r w:rsidR="00552C5A" w:rsidRPr="000973F2">
        <w:t>based on</w:t>
      </w:r>
      <w:r w:rsidR="000E0430" w:rsidRPr="000973F2">
        <w:t xml:space="preserve"> </w:t>
      </w:r>
      <w:r w:rsidR="00A143AB" w:rsidRPr="000973F2">
        <w:t>calendar year 2017</w:t>
      </w:r>
      <w:r w:rsidR="00DE0C93" w:rsidRPr="000973F2">
        <w:t xml:space="preserve"> data tables</w:t>
      </w:r>
      <w:r w:rsidR="00CB6572" w:rsidRPr="000973F2">
        <w:t xml:space="preserve"> available</w:t>
      </w:r>
      <w:r w:rsidR="00DE0C93" w:rsidRPr="000973F2">
        <w:t xml:space="preserve"> from </w:t>
      </w:r>
      <w:r w:rsidR="000E0430" w:rsidRPr="000973F2">
        <w:t xml:space="preserve">the </w:t>
      </w:r>
      <w:r w:rsidR="00552C5A" w:rsidRPr="000973F2">
        <w:t>Bureau of Labor and Statistics (BLS)</w:t>
      </w:r>
      <w:r w:rsidR="000E0430" w:rsidRPr="000973F2">
        <w:t>.</w:t>
      </w:r>
      <w:r w:rsidR="00552C5A" w:rsidRPr="000973F2">
        <w:t xml:space="preserve"> </w:t>
      </w:r>
      <w:r w:rsidR="000E0430" w:rsidRPr="000973F2">
        <w:t xml:space="preserve">For </w:t>
      </w:r>
      <w:r w:rsidR="000A549D" w:rsidRPr="000973F2">
        <w:t>specific</w:t>
      </w:r>
      <w:r w:rsidR="00510B00" w:rsidRPr="000973F2">
        <w:t xml:space="preserve"> source</w:t>
      </w:r>
      <w:r w:rsidR="000E0430" w:rsidRPr="000973F2">
        <w:t xml:space="preserve"> details</w:t>
      </w:r>
      <w:r w:rsidR="00510B00" w:rsidRPr="000973F2">
        <w:t>, which var</w:t>
      </w:r>
      <w:r w:rsidR="00DE0C93" w:rsidRPr="000973F2">
        <w:t>y</w:t>
      </w:r>
      <w:r w:rsidR="00510B00" w:rsidRPr="000973F2">
        <w:t xml:space="preserve"> by labor category,</w:t>
      </w:r>
      <w:r w:rsidR="000E0430" w:rsidRPr="000973F2">
        <w:t xml:space="preserve"> see Appendix D to the Supporting Statement.</w:t>
      </w:r>
    </w:p>
    <w:p w14:paraId="63AA3EF5" w14:textId="6227C8C2" w:rsidR="004D487D" w:rsidRPr="000973F2" w:rsidRDefault="006541EC" w:rsidP="0094202F">
      <w:pPr>
        <w:pStyle w:val="BodyText"/>
        <w:rPr>
          <w:rFonts w:eastAsia="Times New Roman"/>
        </w:rPr>
      </w:pPr>
      <w:r w:rsidRPr="000973F2">
        <w:t>Specific activities that incur l</w:t>
      </w:r>
      <w:r w:rsidR="004D487D" w:rsidRPr="000973F2">
        <w:t xml:space="preserve">abor costs are classified into the following categories: Planning, Quality Assurance/Quality Control (QA/QC), Recordkeeping, Sampling and Analysis (Calculations), and Reporting. </w:t>
      </w:r>
      <w:r w:rsidR="0024621D" w:rsidRPr="000973F2">
        <w:t xml:space="preserve">Planning activities generally include reading the Part 98 rule to become familiar with any changes to the rule requirements, planning for equipment shutdown for annual performance testing, contacting the test company, setting up the testing, asking questions about applicability, </w:t>
      </w:r>
      <w:r w:rsidR="00A45744" w:rsidRPr="000973F2">
        <w:t xml:space="preserve">reviewing </w:t>
      </w:r>
      <w:r w:rsidR="005B2591" w:rsidRPr="000973F2">
        <w:t xml:space="preserve">any </w:t>
      </w:r>
      <w:r w:rsidR="0024621D" w:rsidRPr="000973F2">
        <w:t>overlap in existing reporting programs, etc.</w:t>
      </w:r>
      <w:r w:rsidR="004D487D" w:rsidRPr="000973F2">
        <w:t xml:space="preserve"> </w:t>
      </w:r>
      <w:r w:rsidR="0024621D" w:rsidRPr="000973F2">
        <w:t>QA/QC activities</w:t>
      </w:r>
      <w:r w:rsidR="004D487D" w:rsidRPr="000973F2">
        <w:t xml:space="preserve"> may include many types of</w:t>
      </w:r>
      <w:r w:rsidR="0024621D" w:rsidRPr="000973F2">
        <w:t xml:space="preserve"> </w:t>
      </w:r>
      <w:r w:rsidR="0024621D" w:rsidRPr="000973F2">
        <w:rPr>
          <w:rFonts w:eastAsia="Times New Roman"/>
        </w:rPr>
        <w:t>review</w:t>
      </w:r>
      <w:r w:rsidR="004D487D" w:rsidRPr="000973F2">
        <w:rPr>
          <w:rFonts w:eastAsia="Times New Roman"/>
        </w:rPr>
        <w:t>, including review</w:t>
      </w:r>
      <w:r w:rsidR="0024621D" w:rsidRPr="000973F2">
        <w:rPr>
          <w:rFonts w:eastAsia="Times New Roman"/>
        </w:rPr>
        <w:t xml:space="preserve"> of </w:t>
      </w:r>
      <w:r w:rsidR="004D487D" w:rsidRPr="000973F2">
        <w:rPr>
          <w:rFonts w:eastAsia="Times New Roman"/>
        </w:rPr>
        <w:t>c</w:t>
      </w:r>
      <w:r w:rsidR="0024621D" w:rsidRPr="000973F2">
        <w:rPr>
          <w:rFonts w:eastAsia="Times New Roman"/>
        </w:rPr>
        <w:t>alculations, testing, and report</w:t>
      </w:r>
      <w:r w:rsidR="004D487D" w:rsidRPr="000973F2">
        <w:rPr>
          <w:rFonts w:eastAsia="Times New Roman"/>
        </w:rPr>
        <w:t>s</w:t>
      </w:r>
      <w:r w:rsidR="00A45744" w:rsidRPr="000973F2">
        <w:rPr>
          <w:rFonts w:eastAsia="Times New Roman"/>
        </w:rPr>
        <w:t>.</w:t>
      </w:r>
      <w:r w:rsidR="004D487D" w:rsidRPr="000973F2">
        <w:rPr>
          <w:rFonts w:eastAsia="Times New Roman"/>
        </w:rPr>
        <w:t xml:space="preserve"> Sampling and Analysis (Calculations) costs include all labor costs associated with sampling, </w:t>
      </w:r>
      <w:r w:rsidR="00DE3CE8" w:rsidRPr="000973F2">
        <w:rPr>
          <w:rFonts w:eastAsia="Times New Roman"/>
        </w:rPr>
        <w:t xml:space="preserve">operating and maintaining all sampling equipment, </w:t>
      </w:r>
      <w:r w:rsidR="004D487D" w:rsidRPr="000973F2">
        <w:rPr>
          <w:rFonts w:eastAsia="Times New Roman"/>
        </w:rPr>
        <w:t xml:space="preserve">performing calculations and analysis of samples or data, other than times when an independent contractor is hired to perform the testing. Hiring of an independent contractor is represented in the corresponding Table 2 as a capital cost. </w:t>
      </w:r>
      <w:r w:rsidR="002B2B8A" w:rsidRPr="000973F2">
        <w:rPr>
          <w:rFonts w:eastAsia="Times New Roman"/>
        </w:rPr>
        <w:t>The activities listed here are illustrative and not exhaustive</w:t>
      </w:r>
      <w:r w:rsidR="00B81ABA" w:rsidRPr="000973F2">
        <w:rPr>
          <w:rFonts w:eastAsia="Times New Roman"/>
        </w:rPr>
        <w:t>.</w:t>
      </w:r>
      <w:r w:rsidR="008401FB" w:rsidRPr="000973F2">
        <w:rPr>
          <w:rFonts w:eastAsia="Times New Roman"/>
        </w:rPr>
        <w:t xml:space="preserve"> </w:t>
      </w:r>
      <w:r w:rsidR="005B2591" w:rsidRPr="000973F2">
        <w:rPr>
          <w:rFonts w:eastAsia="Times New Roman"/>
        </w:rPr>
        <w:t>S</w:t>
      </w:r>
      <w:r w:rsidR="002B2B8A" w:rsidRPr="000973F2">
        <w:rPr>
          <w:rFonts w:eastAsia="Times New Roman"/>
        </w:rPr>
        <w:t>pecific</w:t>
      </w:r>
      <w:r w:rsidR="005B2591" w:rsidRPr="000973F2">
        <w:rPr>
          <w:rFonts w:eastAsia="Times New Roman"/>
        </w:rPr>
        <w:t xml:space="preserve"> subpart</w:t>
      </w:r>
      <w:r w:rsidR="002B2B8A" w:rsidRPr="000973F2">
        <w:rPr>
          <w:rFonts w:eastAsia="Times New Roman"/>
        </w:rPr>
        <w:t xml:space="preserve"> requirements are included in Part 98.</w:t>
      </w:r>
    </w:p>
    <w:p w14:paraId="0E419C42" w14:textId="2B4DA1BB" w:rsidR="00A3263A" w:rsidRPr="000973F2" w:rsidRDefault="00A3263A" w:rsidP="0094202F">
      <w:pPr>
        <w:pStyle w:val="BodyText"/>
      </w:pPr>
      <w:r w:rsidRPr="000973F2">
        <w:t xml:space="preserve">As shown in </w:t>
      </w:r>
      <w:r w:rsidR="005339BF" w:rsidRPr="000973F2">
        <w:t>Table 1</w:t>
      </w:r>
      <w:r w:rsidRPr="000973F2">
        <w:t xml:space="preserve"> within </w:t>
      </w:r>
      <w:r w:rsidR="002E5C36" w:rsidRPr="000973F2">
        <w:t xml:space="preserve">each </w:t>
      </w:r>
      <w:r w:rsidR="00620ADF" w:rsidRPr="000973F2">
        <w:t xml:space="preserve">subpart-specific </w:t>
      </w:r>
      <w:r w:rsidR="002E5C36" w:rsidRPr="000973F2">
        <w:t>section of</w:t>
      </w:r>
      <w:r w:rsidR="00620ADF" w:rsidRPr="000973F2">
        <w:t xml:space="preserve"> this</w:t>
      </w:r>
      <w:r w:rsidRPr="000973F2">
        <w:t xml:space="preserve"> Cost Appendix, planning activities often </w:t>
      </w:r>
      <w:r w:rsidR="005339BF" w:rsidRPr="000973F2">
        <w:t>include</w:t>
      </w:r>
      <w:r w:rsidRPr="000973F2">
        <w:t xml:space="preserve"> more hours for new facilities</w:t>
      </w:r>
      <w:r w:rsidR="00984A26" w:rsidRPr="000973F2">
        <w:t>, that is those reporting to the GHGRP for the first time,</w:t>
      </w:r>
      <w:r w:rsidRPr="000973F2">
        <w:t xml:space="preserve"> (in the Initial Year columns) </w:t>
      </w:r>
      <w:r w:rsidR="005339BF" w:rsidRPr="000973F2">
        <w:t>than for</w:t>
      </w:r>
      <w:r w:rsidRPr="000973F2">
        <w:t xml:space="preserve"> existing facilities</w:t>
      </w:r>
      <w:r w:rsidR="00984A26" w:rsidRPr="000973F2">
        <w:t>, that is those that have already been reporting,</w:t>
      </w:r>
      <w:r w:rsidRPr="000973F2">
        <w:t xml:space="preserve"> (in the Subsequent Year</w:t>
      </w:r>
      <w:r w:rsidR="00616CDE" w:rsidRPr="000973F2">
        <w:t>s</w:t>
      </w:r>
      <w:r w:rsidRPr="000973F2">
        <w:t xml:space="preserve"> columns). New facilities require more time to read Part 98</w:t>
      </w:r>
      <w:r w:rsidR="005339BF" w:rsidRPr="000973F2">
        <w:t xml:space="preserve">, become familiar with the requirements for their subpart, </w:t>
      </w:r>
      <w:r w:rsidR="00984A26" w:rsidRPr="000973F2">
        <w:t xml:space="preserve">plan </w:t>
      </w:r>
      <w:r w:rsidR="005339BF" w:rsidRPr="000973F2">
        <w:t>and set up</w:t>
      </w:r>
      <w:r w:rsidR="008401FB" w:rsidRPr="000973F2">
        <w:t xml:space="preserve"> </w:t>
      </w:r>
      <w:r w:rsidR="005B2591" w:rsidRPr="000973F2">
        <w:t xml:space="preserve">any </w:t>
      </w:r>
      <w:r w:rsidR="00984A26" w:rsidRPr="000973F2">
        <w:t xml:space="preserve">facility-specific </w:t>
      </w:r>
      <w:r w:rsidR="005B2591" w:rsidRPr="000973F2">
        <w:t>procedures required for reporting</w:t>
      </w:r>
      <w:r w:rsidR="005339BF" w:rsidRPr="000973F2">
        <w:t xml:space="preserve">. </w:t>
      </w:r>
    </w:p>
    <w:p w14:paraId="0850A1CE" w14:textId="7F333D53" w:rsidR="00A3263A" w:rsidRPr="000973F2" w:rsidRDefault="004D487D" w:rsidP="0094202F">
      <w:pPr>
        <w:pStyle w:val="BodyText"/>
      </w:pPr>
      <w:r w:rsidRPr="000973F2">
        <w:t xml:space="preserve">For reporting costs, </w:t>
      </w:r>
      <w:r w:rsidR="002015F9" w:rsidRPr="000973F2">
        <w:t xml:space="preserve">all </w:t>
      </w:r>
      <w:r w:rsidR="00A45744" w:rsidRPr="000973F2">
        <w:t>subparts</w:t>
      </w:r>
      <w:r w:rsidRPr="000973F2">
        <w:t xml:space="preserve"> were classified </w:t>
      </w:r>
      <w:r w:rsidR="000A70C9" w:rsidRPr="000973F2">
        <w:t>with</w:t>
      </w:r>
      <w:r w:rsidRPr="000973F2">
        <w:t xml:space="preserve"> a “high</w:t>
      </w:r>
      <w:r w:rsidR="002015F9" w:rsidRPr="000973F2">
        <w:t xml:space="preserve"> bin</w:t>
      </w:r>
      <w:r w:rsidRPr="000973F2">
        <w:t>,” “medium</w:t>
      </w:r>
      <w:r w:rsidR="002015F9" w:rsidRPr="000973F2">
        <w:t xml:space="preserve"> bin</w:t>
      </w:r>
      <w:r w:rsidRPr="000973F2">
        <w:t>” or “low bin</w:t>
      </w:r>
      <w:r w:rsidR="002015F9" w:rsidRPr="000973F2">
        <w:t>”</w:t>
      </w:r>
      <w:r w:rsidRPr="000973F2">
        <w:t xml:space="preserve"> </w:t>
      </w:r>
      <w:r w:rsidR="000A70C9" w:rsidRPr="000973F2">
        <w:t xml:space="preserve">designation </w:t>
      </w:r>
      <w:r w:rsidRPr="000973F2">
        <w:t>based on the number of pieces of data reported by the average facility complying with that subpart in RY2016. These costs represent only the time required to enter the data into</w:t>
      </w:r>
      <w:r w:rsidR="009D5969" w:rsidRPr="000973F2">
        <w:t xml:space="preserve"> EPA’s electronic Greenhouse Gas Reporting Tool (</w:t>
      </w:r>
      <w:r w:rsidRPr="000973F2">
        <w:t>e</w:t>
      </w:r>
      <w:r w:rsidR="00212E3B" w:rsidRPr="000973F2">
        <w:t>-GGRT</w:t>
      </w:r>
      <w:r w:rsidR="009D5969" w:rsidRPr="000973F2">
        <w:t>)</w:t>
      </w:r>
      <w:r w:rsidRPr="000973F2">
        <w:t xml:space="preserve"> and do not include the time for calculations or QA/QC. Recordkeeping labor costs were assigned as half the time necessary to report, </w:t>
      </w:r>
      <w:r w:rsidR="00D3165C" w:rsidRPr="000973F2">
        <w:t>in order to account for the time needed to create paper copies, backup to the cloud, or utilize another recordkeeping method</w:t>
      </w:r>
      <w:r w:rsidR="00552C5A" w:rsidRPr="000973F2">
        <w:t>;</w:t>
      </w:r>
      <w:r w:rsidR="00D3165C" w:rsidRPr="000973F2">
        <w:t xml:space="preserve"> </w:t>
      </w:r>
      <w:r w:rsidR="0011075B" w:rsidRPr="000973F2">
        <w:t>therefore the tables</w:t>
      </w:r>
      <w:r w:rsidRPr="000973F2">
        <w:t xml:space="preserve"> will show half as many hours </w:t>
      </w:r>
      <w:r w:rsidR="0011075B" w:rsidRPr="000973F2">
        <w:t>for</w:t>
      </w:r>
      <w:r w:rsidRPr="000973F2">
        <w:t xml:space="preserve"> recordkeeping as shown </w:t>
      </w:r>
      <w:r w:rsidR="0011075B" w:rsidRPr="000973F2">
        <w:t>for</w:t>
      </w:r>
      <w:r w:rsidRPr="000973F2">
        <w:t xml:space="preserve"> reporting.</w:t>
      </w:r>
    </w:p>
    <w:p w14:paraId="00CF3C37" w14:textId="5844362C" w:rsidR="0069096C" w:rsidRPr="000973F2" w:rsidRDefault="0069096C" w:rsidP="0094202F">
      <w:pPr>
        <w:pStyle w:val="BodyText"/>
      </w:pPr>
      <w:r w:rsidRPr="000973F2">
        <w:t xml:space="preserve">In cases where labor efforts are required by another regulation, these expenses are excluded from the total cost </w:t>
      </w:r>
      <w:r w:rsidR="005B2591" w:rsidRPr="000973F2">
        <w:t>expected to be incurred for the GHGRP</w:t>
      </w:r>
      <w:r w:rsidRPr="000973F2">
        <w:t xml:space="preserve">. Additionally, the </w:t>
      </w:r>
      <w:r w:rsidR="00457726" w:rsidRPr="000973F2">
        <w:t xml:space="preserve">labor </w:t>
      </w:r>
      <w:r w:rsidRPr="000973F2">
        <w:t xml:space="preserve">costs </w:t>
      </w:r>
      <w:r w:rsidR="00457726" w:rsidRPr="000973F2">
        <w:t>related to</w:t>
      </w:r>
      <w:r w:rsidRPr="000973F2">
        <w:t xml:space="preserve"> normal business operation</w:t>
      </w:r>
      <w:r w:rsidR="00DC5D61" w:rsidRPr="000973F2">
        <w:t>s</w:t>
      </w:r>
      <w:r w:rsidRPr="000973F2">
        <w:t xml:space="preserve"> are not considered an additional cost for complying with the GHGRP. For </w:t>
      </w:r>
      <w:r w:rsidR="0037184E" w:rsidRPr="000973F2">
        <w:t>example</w:t>
      </w:r>
      <w:r w:rsidRPr="000973F2">
        <w:t xml:space="preserve">, </w:t>
      </w:r>
      <w:r w:rsidR="006334BA" w:rsidRPr="000973F2">
        <w:t xml:space="preserve">labor costs </w:t>
      </w:r>
      <w:r w:rsidR="00F51C8C" w:rsidRPr="000973F2">
        <w:t>to conduct</w:t>
      </w:r>
      <w:r w:rsidR="006334BA" w:rsidRPr="000973F2">
        <w:t xml:space="preserve"> </w:t>
      </w:r>
      <w:r w:rsidRPr="000973F2">
        <w:t>regular calibration of measurement devices</w:t>
      </w:r>
      <w:r w:rsidR="005B2591" w:rsidRPr="000973F2">
        <w:t xml:space="preserve"> or performance </w:t>
      </w:r>
      <w:r w:rsidR="003C2F27" w:rsidRPr="000973F2">
        <w:t>o</w:t>
      </w:r>
      <w:r w:rsidR="005B2591" w:rsidRPr="000973F2">
        <w:t>f</w:t>
      </w:r>
      <w:r w:rsidRPr="000973F2">
        <w:t xml:space="preserve"> safety inspections, etc.</w:t>
      </w:r>
      <w:r w:rsidR="001A325C" w:rsidRPr="000973F2">
        <w:t>,</w:t>
      </w:r>
      <w:r w:rsidRPr="000973F2">
        <w:t xml:space="preserve"> </w:t>
      </w:r>
      <w:r w:rsidR="0037184E" w:rsidRPr="000973F2">
        <w:t>are</w:t>
      </w:r>
      <w:r w:rsidR="0006183C" w:rsidRPr="000973F2">
        <w:t xml:space="preserve"> expected to be </w:t>
      </w:r>
      <w:r w:rsidRPr="000973F2">
        <w:t xml:space="preserve">a part of normal </w:t>
      </w:r>
      <w:r w:rsidR="005F401B" w:rsidRPr="000973F2">
        <w:t xml:space="preserve">business </w:t>
      </w:r>
      <w:r w:rsidRPr="000973F2">
        <w:t>operati</w:t>
      </w:r>
      <w:r w:rsidR="005F401B" w:rsidRPr="000973F2">
        <w:t>o</w:t>
      </w:r>
      <w:r w:rsidRPr="000973F2">
        <w:t>n</w:t>
      </w:r>
      <w:r w:rsidR="005F401B" w:rsidRPr="000973F2">
        <w:t>s</w:t>
      </w:r>
      <w:r w:rsidR="00752163" w:rsidRPr="000973F2">
        <w:t>; therefore, those</w:t>
      </w:r>
      <w:r w:rsidR="0037184E" w:rsidRPr="000973F2">
        <w:t xml:space="preserve"> costs</w:t>
      </w:r>
      <w:r w:rsidR="00752163" w:rsidRPr="000973F2">
        <w:t xml:space="preserve"> are not included</w:t>
      </w:r>
      <w:r w:rsidR="008E1CF1" w:rsidRPr="000973F2">
        <w:t xml:space="preserve"> as costs related to the GHGRP</w:t>
      </w:r>
      <w:r w:rsidRPr="000973F2">
        <w:t>.</w:t>
      </w:r>
    </w:p>
    <w:p w14:paraId="56C0F61D" w14:textId="35E471A6" w:rsidR="004447D8" w:rsidRPr="000973F2" w:rsidRDefault="004447D8" w:rsidP="00E71DEE">
      <w:pPr>
        <w:pStyle w:val="Heading2"/>
      </w:pPr>
      <w:r w:rsidRPr="000973F2">
        <w:t xml:space="preserve">Capital </w:t>
      </w:r>
      <w:r w:rsidR="006541EC" w:rsidRPr="000973F2">
        <w:t xml:space="preserve">Costs </w:t>
      </w:r>
      <w:r w:rsidRPr="000973F2">
        <w:t>and Operation and Maintenance Costs</w:t>
      </w:r>
    </w:p>
    <w:p w14:paraId="1CD3E7D5" w14:textId="017D627F" w:rsidR="005339BF" w:rsidRPr="000973F2" w:rsidRDefault="00AA6DB3" w:rsidP="0094202F">
      <w:pPr>
        <w:pStyle w:val="BodyText"/>
      </w:pPr>
      <w:r w:rsidRPr="000973F2">
        <w:t xml:space="preserve">Capital </w:t>
      </w:r>
      <w:r w:rsidR="006541EC" w:rsidRPr="000973F2">
        <w:t xml:space="preserve">costs </w:t>
      </w:r>
      <w:r w:rsidRPr="000973F2">
        <w:t xml:space="preserve">and O&amp;M costs </w:t>
      </w:r>
      <w:r w:rsidR="004D487D" w:rsidRPr="000973F2">
        <w:t xml:space="preserve">are non-labor costs associated with compliance. These costs vary more significantly subpart-to-subpart, and may include </w:t>
      </w:r>
      <w:r w:rsidR="00702890" w:rsidRPr="000973F2">
        <w:t xml:space="preserve">costs to </w:t>
      </w:r>
      <w:r w:rsidR="004D487D" w:rsidRPr="000973F2">
        <w:t>hir</w:t>
      </w:r>
      <w:r w:rsidR="00702890" w:rsidRPr="000973F2">
        <w:t>e</w:t>
      </w:r>
      <w:r w:rsidR="004D487D" w:rsidRPr="000973F2">
        <w:t xml:space="preserve"> a contractor, purchase capital equipment, </w:t>
      </w:r>
      <w:r w:rsidR="009D5969" w:rsidRPr="000973F2">
        <w:t>those</w:t>
      </w:r>
      <w:r w:rsidR="004D487D" w:rsidRPr="000973F2">
        <w:t xml:space="preserve"> associated with O&amp;M</w:t>
      </w:r>
      <w:r w:rsidR="009000C8" w:rsidRPr="000973F2">
        <w:t xml:space="preserve"> (such as</w:t>
      </w:r>
      <w:r w:rsidR="00B75538" w:rsidRPr="000973F2">
        <w:t xml:space="preserve"> equipment calibration), etc</w:t>
      </w:r>
      <w:r w:rsidR="004D487D" w:rsidRPr="000973F2">
        <w:t>.</w:t>
      </w:r>
      <w:r w:rsidR="009000C8" w:rsidRPr="000973F2">
        <w:t xml:space="preserve"> </w:t>
      </w:r>
      <w:r w:rsidR="004D487D" w:rsidRPr="000973F2">
        <w:t xml:space="preserve">Recordkeeping costs were designated as $50 per year, which will cover the cost of whatever method facilities use to store their records, such as a flash drive, paper file or cloud storage. </w:t>
      </w:r>
      <w:r w:rsidR="00DD7FD2" w:rsidRPr="000973F2">
        <w:t>Due to the updates to the tax law for future years</w:t>
      </w:r>
      <w:r w:rsidR="00F54793" w:rsidRPr="000973F2">
        <w:t xml:space="preserve"> </w:t>
      </w:r>
      <w:r w:rsidR="0048172C" w:rsidRPr="000973F2">
        <w:t>(Tax Cuts and Jobs Act, Pub. L. No. 115–97 (2017))</w:t>
      </w:r>
      <w:r w:rsidR="00DD7FD2" w:rsidRPr="000973F2">
        <w:t xml:space="preserve"> and the benefit of writing off expenses in a higher-tax-rate period, we determined that the majority of </w:t>
      </w:r>
      <w:r w:rsidR="0011075B" w:rsidRPr="000973F2">
        <w:t xml:space="preserve">reporting </w:t>
      </w:r>
      <w:r w:rsidR="00DD7FD2" w:rsidRPr="000973F2">
        <w:t xml:space="preserve">facilities </w:t>
      </w:r>
      <w:r w:rsidR="0011075B" w:rsidRPr="000973F2">
        <w:t xml:space="preserve">will </w:t>
      </w:r>
      <w:r w:rsidR="009D5969" w:rsidRPr="000973F2">
        <w:t xml:space="preserve">have </w:t>
      </w:r>
      <w:r w:rsidR="00DD7FD2" w:rsidRPr="000973F2">
        <w:t>pa</w:t>
      </w:r>
      <w:r w:rsidR="009D5969" w:rsidRPr="000973F2">
        <w:t>id</w:t>
      </w:r>
      <w:r w:rsidR="00DD7FD2" w:rsidRPr="000973F2">
        <w:t xml:space="preserve"> off any remaining annualized capital costs associated with equipment</w:t>
      </w:r>
      <w:r w:rsidR="0011075B" w:rsidRPr="000973F2">
        <w:t xml:space="preserve"> that was</w:t>
      </w:r>
      <w:r w:rsidR="00DD7FD2" w:rsidRPr="000973F2">
        <w:t xml:space="preserve"> purchase</w:t>
      </w:r>
      <w:r w:rsidR="0011075B" w:rsidRPr="000973F2">
        <w:t>d</w:t>
      </w:r>
      <w:r w:rsidR="00DD7FD2" w:rsidRPr="000973F2">
        <w:t xml:space="preserve"> during initial compliance </w:t>
      </w:r>
      <w:r w:rsidR="009D5969" w:rsidRPr="000973F2">
        <w:t xml:space="preserve">prior to the three years covered by this ICR </w:t>
      </w:r>
      <w:r w:rsidR="00DD7FD2" w:rsidRPr="000973F2">
        <w:t>(e.g. installation of a Continuous Emissions Monitoring System (CEMS))</w:t>
      </w:r>
      <w:r w:rsidR="00221C40" w:rsidRPr="000973F2">
        <w:t>;</w:t>
      </w:r>
      <w:r w:rsidR="00DD7FD2" w:rsidRPr="000973F2">
        <w:t xml:space="preserve"> </w:t>
      </w:r>
      <w:r w:rsidR="0011075B" w:rsidRPr="000973F2">
        <w:t>therefore</w:t>
      </w:r>
      <w:r w:rsidR="001E4ED6" w:rsidRPr="000973F2">
        <w:t>,</w:t>
      </w:r>
      <w:r w:rsidR="00DD7FD2" w:rsidRPr="000973F2">
        <w:t xml:space="preserve"> those costs are not included in Table 2</w:t>
      </w:r>
      <w:r w:rsidR="0011075B" w:rsidRPr="000973F2">
        <w:t xml:space="preserve"> of the applicable subparts</w:t>
      </w:r>
      <w:r w:rsidR="00DD7FD2" w:rsidRPr="000973F2">
        <w:t>.</w:t>
      </w:r>
      <w:r w:rsidR="00B861DB" w:rsidRPr="000973F2">
        <w:t xml:space="preserve"> The only exception i</w:t>
      </w:r>
      <w:r w:rsidR="00FB7ABD" w:rsidRPr="000973F2">
        <w:t>n this appendix is for</w:t>
      </w:r>
      <w:r w:rsidR="00B861DB" w:rsidRPr="000973F2">
        <w:t xml:space="preserve"> Subpart C</w:t>
      </w:r>
      <w:r w:rsidR="00780E05" w:rsidRPr="000973F2">
        <w:t xml:space="preserve">, which requires that new facilities </w:t>
      </w:r>
      <w:r w:rsidR="002D521F" w:rsidRPr="000973F2">
        <w:t>using Tier 4 are required to</w:t>
      </w:r>
      <w:r w:rsidR="00780E05" w:rsidRPr="000973F2">
        <w:t xml:space="preserve"> purchase </w:t>
      </w:r>
      <w:r w:rsidR="002D521F" w:rsidRPr="000973F2">
        <w:t>C</w:t>
      </w:r>
      <w:r w:rsidR="00780E05" w:rsidRPr="000973F2">
        <w:t>EMS</w:t>
      </w:r>
      <w:r w:rsidR="002D521F" w:rsidRPr="000973F2">
        <w:t>.</w:t>
      </w:r>
      <w:r w:rsidR="00632785" w:rsidRPr="000973F2">
        <w:t xml:space="preserve"> It is not clear how th</w:t>
      </w:r>
      <w:r w:rsidR="00FB7ABD" w:rsidRPr="000973F2">
        <w:t>is</w:t>
      </w:r>
      <w:r w:rsidR="00632785" w:rsidRPr="000973F2">
        <w:t xml:space="preserve"> </w:t>
      </w:r>
      <w:r w:rsidR="00211C68" w:rsidRPr="000973F2">
        <w:t xml:space="preserve">tax law </w:t>
      </w:r>
      <w:r w:rsidR="00FB7ABD" w:rsidRPr="000973F2">
        <w:t xml:space="preserve">(or any </w:t>
      </w:r>
      <w:r w:rsidR="000211D0" w:rsidRPr="000973F2">
        <w:t>other future</w:t>
      </w:r>
      <w:r w:rsidR="00FB7ABD" w:rsidRPr="000973F2">
        <w:t xml:space="preserve"> tax laws) </w:t>
      </w:r>
      <w:r w:rsidR="00211C68" w:rsidRPr="000973F2">
        <w:t xml:space="preserve">will affect </w:t>
      </w:r>
      <w:r w:rsidR="0001708F" w:rsidRPr="000973F2">
        <w:t xml:space="preserve">new </w:t>
      </w:r>
      <w:r w:rsidR="00211C68" w:rsidRPr="000973F2">
        <w:t>facil</w:t>
      </w:r>
      <w:r w:rsidR="0001708F" w:rsidRPr="000973F2">
        <w:t>i</w:t>
      </w:r>
      <w:r w:rsidR="00211C68" w:rsidRPr="000973F2">
        <w:t xml:space="preserve">ties that purchase equipment </w:t>
      </w:r>
      <w:r w:rsidR="0001708F" w:rsidRPr="000973F2">
        <w:t>in 2019, 2020, or 2021; therefore, those capital costs are included</w:t>
      </w:r>
      <w:r w:rsidR="0075625E" w:rsidRPr="000973F2">
        <w:t xml:space="preserve"> in </w:t>
      </w:r>
      <w:r w:rsidR="000211D0" w:rsidRPr="000973F2">
        <w:t xml:space="preserve">the </w:t>
      </w:r>
      <w:r w:rsidR="0075625E" w:rsidRPr="000973F2">
        <w:t>applicable table of Subpart C as a conservative estimate of cost</w:t>
      </w:r>
      <w:r w:rsidR="009D5969" w:rsidRPr="000973F2">
        <w:t>s</w:t>
      </w:r>
      <w:r w:rsidR="0075625E" w:rsidRPr="000973F2">
        <w:t>.</w:t>
      </w:r>
    </w:p>
    <w:p w14:paraId="31CFD9C8" w14:textId="6FBE73FB" w:rsidR="004447D8" w:rsidRPr="000973F2" w:rsidRDefault="0069096C" w:rsidP="0094202F">
      <w:pPr>
        <w:pStyle w:val="BodyText"/>
        <w:rPr>
          <w:i/>
        </w:rPr>
      </w:pPr>
      <w:r w:rsidRPr="000973F2">
        <w:t>Facilities in some subparts will already have the equipment required to comply with the GHG</w:t>
      </w:r>
      <w:r w:rsidR="00342E45" w:rsidRPr="000973F2">
        <w:t>RP</w:t>
      </w:r>
      <w:r w:rsidRPr="000973F2">
        <w:t xml:space="preserve"> because that equipment is required for compliance with another regulation. In these cases (e.g.</w:t>
      </w:r>
      <w:r w:rsidR="00342E45" w:rsidRPr="000973F2">
        <w:t>,</w:t>
      </w:r>
      <w:r w:rsidRPr="000973F2">
        <w:t xml:space="preserve"> CEMS required by N</w:t>
      </w:r>
      <w:r w:rsidR="009D5969" w:rsidRPr="000973F2">
        <w:t xml:space="preserve">ew </w:t>
      </w:r>
      <w:r w:rsidRPr="000973F2">
        <w:t>S</w:t>
      </w:r>
      <w:r w:rsidR="009D5969" w:rsidRPr="000973F2">
        <w:t xml:space="preserve">ource </w:t>
      </w:r>
      <w:r w:rsidRPr="000973F2">
        <w:t>P</w:t>
      </w:r>
      <w:r w:rsidR="009D5969" w:rsidRPr="000973F2">
        <w:t xml:space="preserve">erformance </w:t>
      </w:r>
      <w:r w:rsidRPr="000973F2">
        <w:t>S</w:t>
      </w:r>
      <w:r w:rsidR="009D5969" w:rsidRPr="000973F2">
        <w:t>tandards (NSPS)</w:t>
      </w:r>
      <w:r w:rsidRPr="000973F2">
        <w:t xml:space="preserve"> or state programs) these equipment costs are not attributed to the GHGRP and therefore are not included in these estimates. Additionally, </w:t>
      </w:r>
      <w:r w:rsidR="00F54793" w:rsidRPr="000973F2">
        <w:t>f</w:t>
      </w:r>
      <w:r w:rsidRPr="000973F2">
        <w:t xml:space="preserve">acilities </w:t>
      </w:r>
      <w:r w:rsidR="00F54793" w:rsidRPr="000973F2">
        <w:t>are expected to have</w:t>
      </w:r>
      <w:r w:rsidRPr="000973F2">
        <w:t xml:space="preserve"> a means of electronically reporting, and </w:t>
      </w:r>
      <w:r w:rsidR="009D5969" w:rsidRPr="000973F2">
        <w:t xml:space="preserve">therefore, </w:t>
      </w:r>
      <w:r w:rsidRPr="000973F2">
        <w:t>no expenses for computer equipment, monthly internet access, or other computer-related items are included in the cost estimates.</w:t>
      </w:r>
    </w:p>
    <w:p w14:paraId="2D9FD552" w14:textId="413B91E0" w:rsidR="00C56167" w:rsidRPr="000973F2" w:rsidRDefault="00C56167" w:rsidP="00E71DEE">
      <w:pPr>
        <w:pStyle w:val="Heading2"/>
      </w:pPr>
      <w:r w:rsidRPr="000973F2">
        <w:t>Total Costs</w:t>
      </w:r>
    </w:p>
    <w:p w14:paraId="65A8F9AF" w14:textId="3D616088" w:rsidR="00537A80" w:rsidRPr="000973F2" w:rsidRDefault="00C56167" w:rsidP="0094202F">
      <w:pPr>
        <w:pStyle w:val="BodyText"/>
      </w:pPr>
      <w:r w:rsidRPr="000973F2">
        <w:t xml:space="preserve">At the end of each </w:t>
      </w:r>
      <w:r w:rsidR="003C6B0B" w:rsidRPr="000973F2">
        <w:t>section</w:t>
      </w:r>
      <w:r w:rsidRPr="000973F2">
        <w:t xml:space="preserve">, the total </w:t>
      </w:r>
      <w:r w:rsidR="00A6244D" w:rsidRPr="000973F2">
        <w:t xml:space="preserve">annual </w:t>
      </w:r>
      <w:r w:rsidRPr="000973F2">
        <w:t xml:space="preserve">costs for existing and new </w:t>
      </w:r>
      <w:r w:rsidR="00616CDE" w:rsidRPr="000973F2">
        <w:t>facilities</w:t>
      </w:r>
      <w:r w:rsidR="00122E83" w:rsidRPr="000973F2">
        <w:t>, the total cost per year,</w:t>
      </w:r>
      <w:r w:rsidRPr="000973F2">
        <w:t xml:space="preserve"> and the total cost over the three-year period </w:t>
      </w:r>
      <w:r w:rsidR="009D5969" w:rsidRPr="000973F2">
        <w:t>covered by</w:t>
      </w:r>
      <w:r w:rsidRPr="000973F2">
        <w:t xml:space="preserve"> th</w:t>
      </w:r>
      <w:r w:rsidR="009D5969" w:rsidRPr="000973F2">
        <w:t>is</w:t>
      </w:r>
      <w:r w:rsidRPr="000973F2">
        <w:t xml:space="preserve"> ICR</w:t>
      </w:r>
      <w:r w:rsidR="009D5969" w:rsidRPr="000973F2">
        <w:t xml:space="preserve"> (2019-2021)</w:t>
      </w:r>
      <w:r w:rsidRPr="000973F2">
        <w:t xml:space="preserve"> are presented</w:t>
      </w:r>
      <w:r w:rsidR="009D5969" w:rsidRPr="000973F2">
        <w:t xml:space="preserve"> for that subpart</w:t>
      </w:r>
      <w:r w:rsidRPr="000973F2">
        <w:t xml:space="preserve">. </w:t>
      </w:r>
      <w:r w:rsidR="00537A80" w:rsidRPr="000973F2">
        <w:t>Throughout this document, total costs are rounded to the nearest $100 for total</w:t>
      </w:r>
      <w:r w:rsidR="00DC3F93" w:rsidRPr="000973F2">
        <w:t xml:space="preserve"> costs</w:t>
      </w:r>
      <w:r w:rsidR="00537A80" w:rsidRPr="000973F2">
        <w:t xml:space="preserve"> less than</w:t>
      </w:r>
      <w:r w:rsidR="00C5658E" w:rsidRPr="000973F2">
        <w:t xml:space="preserve"> $</w:t>
      </w:r>
      <w:r w:rsidR="00030B07" w:rsidRPr="000973F2">
        <w:t>50,000 and to the nearest $1,000 for total costs greater than $50,000.</w:t>
      </w:r>
    </w:p>
    <w:p w14:paraId="3875A261" w14:textId="5BC12356" w:rsidR="00C56167" w:rsidRPr="000973F2" w:rsidRDefault="00BE5694" w:rsidP="0094202F">
      <w:pPr>
        <w:pStyle w:val="BodyText"/>
      </w:pPr>
      <w:r w:rsidRPr="000973F2">
        <w:t>Total</w:t>
      </w:r>
      <w:r w:rsidR="00C56167" w:rsidRPr="000973F2">
        <w:t xml:space="preserve"> costs </w:t>
      </w:r>
      <w:r w:rsidR="009D5969" w:rsidRPr="000973F2">
        <w:t xml:space="preserve">for the subpart </w:t>
      </w:r>
      <w:r w:rsidR="00C56167" w:rsidRPr="000973F2">
        <w:t xml:space="preserve">are calculated using the total labor costs in Table 1 and the total capital/O&amp;M costs in Table 2, multiplied by the total number of </w:t>
      </w:r>
      <w:r w:rsidR="00A6244D" w:rsidRPr="000973F2">
        <w:t xml:space="preserve">new and existing </w:t>
      </w:r>
      <w:r w:rsidR="00616CDE" w:rsidRPr="000973F2">
        <w:t>facilities</w:t>
      </w:r>
      <w:r w:rsidR="00C56167" w:rsidRPr="000973F2">
        <w:t xml:space="preserve"> using each presented </w:t>
      </w:r>
      <w:r w:rsidR="009D5969" w:rsidRPr="000973F2">
        <w:t xml:space="preserve">methodological </w:t>
      </w:r>
      <w:r w:rsidR="00C56167" w:rsidRPr="000973F2">
        <w:t xml:space="preserve">option. </w:t>
      </w:r>
      <w:r w:rsidR="00A6244D" w:rsidRPr="000973F2">
        <w:t xml:space="preserve">Initial Year costs apply to new </w:t>
      </w:r>
      <w:r w:rsidR="00616CDE" w:rsidRPr="000973F2">
        <w:t>facilities</w:t>
      </w:r>
      <w:r w:rsidR="00A6244D" w:rsidRPr="000973F2">
        <w:t xml:space="preserve"> and Subsequent Year costs apply to existing </w:t>
      </w:r>
      <w:r w:rsidR="00616CDE" w:rsidRPr="000973F2">
        <w:t>facilities</w:t>
      </w:r>
      <w:r w:rsidR="00A6244D" w:rsidRPr="000973F2">
        <w:t xml:space="preserve">. If the subpart has zero new </w:t>
      </w:r>
      <w:r w:rsidR="00616CDE" w:rsidRPr="000973F2">
        <w:t>facilities</w:t>
      </w:r>
      <w:r w:rsidR="00A6244D" w:rsidRPr="000973F2">
        <w:t>, the Initial Year costs are $0.</w:t>
      </w:r>
      <w:r w:rsidR="00453155" w:rsidRPr="000973F2">
        <w:t xml:space="preserve"> </w:t>
      </w:r>
      <w:r w:rsidR="0069096C" w:rsidRPr="000973F2">
        <w:t>Some</w:t>
      </w:r>
      <w:r w:rsidR="00453155" w:rsidRPr="000973F2">
        <w:t xml:space="preserve"> subparts have multiple options</w:t>
      </w:r>
      <w:r w:rsidR="0069096C" w:rsidRPr="000973F2">
        <w:t xml:space="preserve"> that can be used by each </w:t>
      </w:r>
      <w:r w:rsidR="00616CDE" w:rsidRPr="000973F2">
        <w:t>facility</w:t>
      </w:r>
      <w:r w:rsidR="0069096C" w:rsidRPr="000973F2">
        <w:t xml:space="preserve"> and other subparts only have one option for all </w:t>
      </w:r>
      <w:r w:rsidR="00616CDE" w:rsidRPr="000973F2">
        <w:t>facilities</w:t>
      </w:r>
      <w:r w:rsidR="0069096C" w:rsidRPr="000973F2">
        <w:t xml:space="preserve">. The number of options and the number of </w:t>
      </w:r>
      <w:r w:rsidR="00616CDE" w:rsidRPr="000973F2">
        <w:t>facilities</w:t>
      </w:r>
      <w:r w:rsidR="0069096C" w:rsidRPr="000973F2">
        <w:t xml:space="preserve"> using each option are detailed in each individual </w:t>
      </w:r>
      <w:r w:rsidR="003C6B0B" w:rsidRPr="000973F2">
        <w:t>section</w:t>
      </w:r>
      <w:r w:rsidR="0069096C" w:rsidRPr="000973F2">
        <w:t>.</w:t>
      </w:r>
    </w:p>
    <w:p w14:paraId="44D410CF" w14:textId="15571AF1" w:rsidR="00606428" w:rsidRPr="000973F2" w:rsidRDefault="00A6244D" w:rsidP="0094202F">
      <w:pPr>
        <w:pStyle w:val="BodyText"/>
      </w:pPr>
      <w:r w:rsidRPr="000973F2">
        <w:t>As an example,</w:t>
      </w:r>
      <w:r w:rsidR="00C56167" w:rsidRPr="000973F2">
        <w:t xml:space="preserve"> </w:t>
      </w:r>
      <w:r w:rsidRPr="000973F2">
        <w:t xml:space="preserve">the </w:t>
      </w:r>
      <w:r w:rsidR="00C56167" w:rsidRPr="000973F2">
        <w:t xml:space="preserve">Subpart E </w:t>
      </w:r>
      <w:r w:rsidR="003C6B0B" w:rsidRPr="000973F2">
        <w:t>section</w:t>
      </w:r>
      <w:r w:rsidRPr="000973F2">
        <w:t xml:space="preserve"> contains</w:t>
      </w:r>
      <w:r w:rsidR="00C56167" w:rsidRPr="000973F2">
        <w:t xml:space="preserve"> two options for calculating GHG emissions from the adipic acid industry. Option “a” is the annual performance test option and option “b” is the alternative monitoring method option. The labor costs for option “a” are shown in Table 1a and the capital/O&amp;M costs for option “a” are shown in Table 2a. The labor costs for option “b” are shown in Table 1b and the capital/O&amp;M costs for option “b” are shown in Table 2b.</w:t>
      </w:r>
      <w:r w:rsidRPr="000973F2">
        <w:t xml:space="preserve"> Subpart E is not expected to have any new </w:t>
      </w:r>
      <w:r w:rsidR="00616CDE" w:rsidRPr="000973F2">
        <w:t>facilities</w:t>
      </w:r>
      <w:r w:rsidR="00342E45" w:rsidRPr="000973F2">
        <w:t>;</w:t>
      </w:r>
      <w:r w:rsidR="00C57C21" w:rsidRPr="000973F2">
        <w:t xml:space="preserve"> </w:t>
      </w:r>
      <w:r w:rsidRPr="000973F2">
        <w:t xml:space="preserve">one </w:t>
      </w:r>
      <w:r w:rsidR="00C57C21" w:rsidRPr="000973F2">
        <w:t xml:space="preserve">existing </w:t>
      </w:r>
      <w:r w:rsidR="00616CDE" w:rsidRPr="000973F2">
        <w:t>facility</w:t>
      </w:r>
      <w:r w:rsidRPr="000973F2">
        <w:t xml:space="preserve"> is expected to use option “a”</w:t>
      </w:r>
      <w:r w:rsidR="00342E45" w:rsidRPr="000973F2">
        <w:t>;</w:t>
      </w:r>
      <w:r w:rsidRPr="000973F2">
        <w:t xml:space="preserve"> and one </w:t>
      </w:r>
      <w:r w:rsidR="00C57C21" w:rsidRPr="000973F2">
        <w:t xml:space="preserve">existing </w:t>
      </w:r>
      <w:r w:rsidR="00616CDE" w:rsidRPr="000973F2">
        <w:t>facility</w:t>
      </w:r>
      <w:r w:rsidRPr="000973F2">
        <w:t xml:space="preserve"> is expected to use option “b</w:t>
      </w:r>
      <w:r w:rsidR="007350C7" w:rsidRPr="000973F2">
        <w:t>.</w:t>
      </w:r>
      <w:r w:rsidRPr="000973F2">
        <w:t>”</w:t>
      </w:r>
    </w:p>
    <w:p w14:paraId="68824885" w14:textId="0076BFF2" w:rsidR="00A6244D" w:rsidRPr="000973F2" w:rsidRDefault="001E4ED6" w:rsidP="00252105">
      <w:pPr>
        <w:pStyle w:val="Tabletitlecontinued"/>
      </w:pPr>
      <w:r w:rsidRPr="000973F2">
        <w:t xml:space="preserve">Example Table 1. </w:t>
      </w:r>
      <w:r w:rsidR="0044747A" w:rsidRPr="000973F2">
        <w:t>Labor Costs</w:t>
      </w:r>
      <w:r w:rsidR="00CC6C17" w:rsidRPr="000973F2">
        <w:t xml:space="preserve"> – </w:t>
      </w:r>
      <w:r w:rsidR="00A6244D" w:rsidRPr="000973F2">
        <w:t xml:space="preserve">Subpart E </w:t>
      </w:r>
      <w:r w:rsidR="0044747A" w:rsidRPr="000973F2">
        <w:t>–</w:t>
      </w:r>
      <w:r w:rsidR="00A6244D" w:rsidRPr="000973F2">
        <w:t xml:space="preserve"> </w:t>
      </w:r>
      <w:r w:rsidR="0044747A" w:rsidRPr="000973F2">
        <w:t>Option “a”</w:t>
      </w:r>
      <w:r w:rsidR="00CC6C17" w:rsidRPr="000973F2">
        <w:t xml:space="preserve"> – </w:t>
      </w:r>
      <w:r w:rsidR="00A6244D" w:rsidRPr="000973F2">
        <w:t>Annual Performance Test</w:t>
      </w:r>
    </w:p>
    <w:tbl>
      <w:tblPr>
        <w:tblStyle w:val="PlainTable1"/>
        <w:tblW w:w="5000" w:type="pct"/>
        <w:jc w:val="left"/>
        <w:tblLayout w:type="fixed"/>
        <w:tblLook w:val="04A0" w:firstRow="1" w:lastRow="0" w:firstColumn="1" w:lastColumn="0" w:noHBand="0" w:noVBand="1"/>
      </w:tblPr>
      <w:tblGrid>
        <w:gridCol w:w="1364"/>
        <w:gridCol w:w="724"/>
        <w:gridCol w:w="849"/>
        <w:gridCol w:w="832"/>
        <w:gridCol w:w="833"/>
        <w:gridCol w:w="832"/>
        <w:gridCol w:w="833"/>
        <w:gridCol w:w="740"/>
        <w:gridCol w:w="927"/>
        <w:gridCol w:w="740"/>
        <w:gridCol w:w="902"/>
      </w:tblGrid>
      <w:tr w:rsidR="00A6244D" w:rsidRPr="000973F2" w14:paraId="45E26789" w14:textId="77777777" w:rsidTr="0085143F">
        <w:trPr>
          <w:cnfStyle w:val="100000000000" w:firstRow="1" w:lastRow="0" w:firstColumn="0" w:lastColumn="0" w:oddVBand="0" w:evenVBand="0" w:oddHBand="0" w:evenHBand="0" w:firstRowFirstColumn="0" w:firstRowLastColumn="0" w:lastRowFirstColumn="0" w:lastRowLastColumn="0"/>
          <w:jc w:val="left"/>
        </w:trPr>
        <w:tc>
          <w:tcPr>
            <w:cnfStyle w:val="001000000000" w:firstRow="0" w:lastRow="0" w:firstColumn="1" w:lastColumn="0" w:oddVBand="0" w:evenVBand="0" w:oddHBand="0" w:evenHBand="0" w:firstRowFirstColumn="0" w:firstRowLastColumn="0" w:lastRowFirstColumn="0" w:lastRowLastColumn="0"/>
            <w:tcW w:w="1366" w:type="dxa"/>
            <w:vMerge w:val="restart"/>
            <w:noWrap/>
            <w:vAlign w:val="top"/>
            <w:hideMark/>
          </w:tcPr>
          <w:p w14:paraId="6924F446" w14:textId="77777777" w:rsidR="00A6244D" w:rsidRPr="000973F2" w:rsidRDefault="00A6244D" w:rsidP="00CD7A06">
            <w:pPr>
              <w:spacing w:before="40" w:after="40"/>
              <w:rPr>
                <w:rFonts w:ascii="Times New Roman" w:eastAsia="Times New Roman" w:hAnsi="Times New Roman" w:cs="Times New Roman"/>
                <w:b w:val="0"/>
                <w:bCs w:val="0"/>
                <w:sz w:val="18"/>
                <w:szCs w:val="18"/>
              </w:rPr>
            </w:pPr>
            <w:r w:rsidRPr="000973F2">
              <w:rPr>
                <w:rFonts w:ascii="Times New Roman" w:eastAsia="Times New Roman" w:hAnsi="Times New Roman" w:cs="Times New Roman"/>
                <w:sz w:val="18"/>
                <w:szCs w:val="18"/>
              </w:rPr>
              <w:t>Activity</w:t>
            </w:r>
          </w:p>
        </w:tc>
        <w:tc>
          <w:tcPr>
            <w:tcW w:w="6584" w:type="dxa"/>
            <w:gridSpan w:val="8"/>
            <w:noWrap/>
            <w:vAlign w:val="top"/>
            <w:hideMark/>
          </w:tcPr>
          <w:p w14:paraId="49BC1917" w14:textId="77777777" w:rsidR="00A6244D" w:rsidRPr="000973F2" w:rsidRDefault="00A6244D" w:rsidP="00CD7A06">
            <w:pPr>
              <w:spacing w:before="40" w:after="40"/>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bCs w:val="0"/>
                <w:sz w:val="18"/>
                <w:szCs w:val="18"/>
              </w:rPr>
            </w:pPr>
            <w:r w:rsidRPr="000973F2">
              <w:rPr>
                <w:rFonts w:ascii="Times New Roman" w:eastAsia="Times New Roman" w:hAnsi="Times New Roman" w:cs="Times New Roman"/>
                <w:sz w:val="18"/>
                <w:szCs w:val="18"/>
              </w:rPr>
              <w:t>Labor Rates (per hour)</w:t>
            </w:r>
          </w:p>
        </w:tc>
        <w:tc>
          <w:tcPr>
            <w:tcW w:w="1645" w:type="dxa"/>
            <w:gridSpan w:val="2"/>
            <w:vMerge w:val="restart"/>
            <w:vAlign w:val="top"/>
            <w:hideMark/>
          </w:tcPr>
          <w:p w14:paraId="501B6444" w14:textId="0EA7A36E" w:rsidR="00A6244D" w:rsidRPr="000973F2" w:rsidRDefault="007478B6" w:rsidP="00CD7A06">
            <w:pPr>
              <w:spacing w:before="40" w:after="40"/>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bCs w:val="0"/>
                <w:sz w:val="18"/>
                <w:szCs w:val="18"/>
              </w:rPr>
            </w:pPr>
            <w:r w:rsidRPr="000973F2">
              <w:rPr>
                <w:rFonts w:ascii="Times New Roman" w:eastAsia="Times New Roman" w:hAnsi="Times New Roman" w:cs="Times New Roman"/>
                <w:sz w:val="18"/>
                <w:szCs w:val="18"/>
              </w:rPr>
              <w:t xml:space="preserve">Total </w:t>
            </w:r>
            <w:r w:rsidR="00A6244D" w:rsidRPr="000973F2">
              <w:rPr>
                <w:rFonts w:ascii="Times New Roman" w:eastAsia="Times New Roman" w:hAnsi="Times New Roman" w:cs="Times New Roman"/>
                <w:sz w:val="18"/>
                <w:szCs w:val="18"/>
              </w:rPr>
              <w:t xml:space="preserve">Labor Cost per Year per </w:t>
            </w:r>
            <w:r w:rsidRPr="000973F2">
              <w:rPr>
                <w:rFonts w:ascii="Times New Roman" w:eastAsia="Times New Roman" w:hAnsi="Times New Roman" w:cs="Times New Roman"/>
                <w:sz w:val="18"/>
                <w:szCs w:val="18"/>
              </w:rPr>
              <w:t>Facility (2017$)</w:t>
            </w:r>
          </w:p>
        </w:tc>
      </w:tr>
      <w:tr w:rsidR="00CD7A06" w:rsidRPr="000973F2" w14:paraId="5C990D83" w14:textId="77777777" w:rsidTr="0085143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66" w:type="dxa"/>
            <w:vMerge/>
            <w:hideMark/>
          </w:tcPr>
          <w:p w14:paraId="19AABCA7" w14:textId="77777777" w:rsidR="00A6244D" w:rsidRPr="000973F2" w:rsidRDefault="00A6244D" w:rsidP="00CD7A06">
            <w:pPr>
              <w:spacing w:before="40" w:after="40"/>
              <w:jc w:val="center"/>
              <w:rPr>
                <w:rFonts w:ascii="Times New Roman" w:eastAsia="Times New Roman" w:hAnsi="Times New Roman" w:cs="Times New Roman"/>
                <w:b/>
                <w:bCs w:val="0"/>
                <w:sz w:val="18"/>
                <w:szCs w:val="18"/>
              </w:rPr>
            </w:pPr>
          </w:p>
        </w:tc>
        <w:tc>
          <w:tcPr>
            <w:tcW w:w="1576" w:type="dxa"/>
            <w:gridSpan w:val="2"/>
            <w:noWrap/>
            <w:hideMark/>
          </w:tcPr>
          <w:p w14:paraId="461409E4" w14:textId="77777777" w:rsidR="00A6244D" w:rsidRPr="000973F2" w:rsidRDefault="00A6244D" w:rsidP="00CD7A06">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18"/>
                <w:szCs w:val="18"/>
              </w:rPr>
            </w:pPr>
            <w:r w:rsidRPr="000973F2">
              <w:rPr>
                <w:rFonts w:ascii="Times New Roman" w:eastAsia="Times New Roman" w:hAnsi="Times New Roman" w:cs="Times New Roman"/>
                <w:b/>
                <w:bCs/>
                <w:sz w:val="18"/>
                <w:szCs w:val="18"/>
              </w:rPr>
              <w:t>Lawyer</w:t>
            </w:r>
          </w:p>
        </w:tc>
        <w:tc>
          <w:tcPr>
            <w:tcW w:w="1669" w:type="dxa"/>
            <w:gridSpan w:val="2"/>
            <w:noWrap/>
            <w:hideMark/>
          </w:tcPr>
          <w:p w14:paraId="09CC44A7" w14:textId="77777777" w:rsidR="00A6244D" w:rsidRPr="000973F2" w:rsidRDefault="00A6244D" w:rsidP="00CD7A06">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18"/>
                <w:szCs w:val="18"/>
              </w:rPr>
            </w:pPr>
            <w:r w:rsidRPr="000973F2">
              <w:rPr>
                <w:rFonts w:ascii="Times New Roman" w:eastAsia="Times New Roman" w:hAnsi="Times New Roman" w:cs="Times New Roman"/>
                <w:b/>
                <w:bCs/>
                <w:sz w:val="18"/>
                <w:szCs w:val="18"/>
              </w:rPr>
              <w:t>Industrial Manager</w:t>
            </w:r>
          </w:p>
        </w:tc>
        <w:tc>
          <w:tcPr>
            <w:tcW w:w="1669" w:type="dxa"/>
            <w:gridSpan w:val="2"/>
            <w:hideMark/>
          </w:tcPr>
          <w:p w14:paraId="4AC4EC76" w14:textId="56ED7661" w:rsidR="00A6244D" w:rsidRPr="000973F2" w:rsidRDefault="00A6244D" w:rsidP="0085143F">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18"/>
                <w:szCs w:val="18"/>
              </w:rPr>
            </w:pPr>
            <w:r w:rsidRPr="000973F2">
              <w:rPr>
                <w:rFonts w:ascii="Times New Roman" w:eastAsia="Times New Roman" w:hAnsi="Times New Roman" w:cs="Times New Roman"/>
                <w:b/>
                <w:bCs/>
                <w:sz w:val="18"/>
                <w:szCs w:val="18"/>
              </w:rPr>
              <w:t>Industrial Engineer/</w:t>
            </w:r>
            <w:r w:rsidR="0085143F" w:rsidRPr="000973F2">
              <w:rPr>
                <w:rFonts w:ascii="Times New Roman" w:eastAsia="Times New Roman" w:hAnsi="Times New Roman" w:cs="Times New Roman"/>
                <w:b/>
                <w:bCs/>
                <w:sz w:val="18"/>
                <w:szCs w:val="18"/>
              </w:rPr>
              <w:t xml:space="preserve"> </w:t>
            </w:r>
            <w:r w:rsidRPr="000973F2">
              <w:rPr>
                <w:rFonts w:ascii="Times New Roman" w:eastAsia="Times New Roman" w:hAnsi="Times New Roman" w:cs="Times New Roman"/>
                <w:b/>
                <w:bCs/>
                <w:sz w:val="18"/>
                <w:szCs w:val="18"/>
              </w:rPr>
              <w:t>Technician</w:t>
            </w:r>
          </w:p>
        </w:tc>
        <w:tc>
          <w:tcPr>
            <w:tcW w:w="1669" w:type="dxa"/>
            <w:gridSpan w:val="2"/>
            <w:hideMark/>
          </w:tcPr>
          <w:p w14:paraId="7FB04680" w14:textId="77777777" w:rsidR="00A6244D" w:rsidRPr="000973F2" w:rsidRDefault="00A6244D" w:rsidP="00CD7A06">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18"/>
                <w:szCs w:val="18"/>
              </w:rPr>
            </w:pPr>
            <w:r w:rsidRPr="000973F2">
              <w:rPr>
                <w:rFonts w:ascii="Times New Roman" w:eastAsia="Times New Roman" w:hAnsi="Times New Roman" w:cs="Times New Roman"/>
                <w:b/>
                <w:bCs/>
                <w:sz w:val="18"/>
                <w:szCs w:val="18"/>
              </w:rPr>
              <w:t>Administrative Support</w:t>
            </w:r>
          </w:p>
        </w:tc>
        <w:tc>
          <w:tcPr>
            <w:tcW w:w="1645" w:type="dxa"/>
            <w:gridSpan w:val="2"/>
            <w:vMerge/>
            <w:hideMark/>
          </w:tcPr>
          <w:p w14:paraId="288DA253" w14:textId="77777777" w:rsidR="00A6244D" w:rsidRPr="000973F2" w:rsidRDefault="00A6244D" w:rsidP="00CD7A06">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18"/>
                <w:szCs w:val="18"/>
              </w:rPr>
            </w:pPr>
          </w:p>
        </w:tc>
      </w:tr>
      <w:tr w:rsidR="00A6244D" w:rsidRPr="000973F2" w14:paraId="71DDB5AD" w14:textId="77777777" w:rsidTr="0085143F">
        <w:tc>
          <w:tcPr>
            <w:cnfStyle w:val="001000000000" w:firstRow="0" w:lastRow="0" w:firstColumn="1" w:lastColumn="0" w:oddVBand="0" w:evenVBand="0" w:oddHBand="0" w:evenHBand="0" w:firstRowFirstColumn="0" w:firstRowLastColumn="0" w:lastRowFirstColumn="0" w:lastRowLastColumn="0"/>
            <w:tcW w:w="1366" w:type="dxa"/>
            <w:vMerge/>
            <w:hideMark/>
          </w:tcPr>
          <w:p w14:paraId="76A83FBD" w14:textId="77777777" w:rsidR="00A6244D" w:rsidRPr="000973F2" w:rsidRDefault="00A6244D" w:rsidP="00CD7A06">
            <w:pPr>
              <w:spacing w:before="40" w:after="40"/>
              <w:jc w:val="center"/>
              <w:rPr>
                <w:rFonts w:ascii="Times New Roman" w:eastAsia="Times New Roman" w:hAnsi="Times New Roman" w:cs="Times New Roman"/>
                <w:b/>
                <w:bCs w:val="0"/>
                <w:sz w:val="18"/>
                <w:szCs w:val="18"/>
              </w:rPr>
            </w:pPr>
          </w:p>
        </w:tc>
        <w:tc>
          <w:tcPr>
            <w:tcW w:w="1576" w:type="dxa"/>
            <w:gridSpan w:val="2"/>
            <w:noWrap/>
            <w:hideMark/>
          </w:tcPr>
          <w:p w14:paraId="2FA23E1B" w14:textId="573B3A38" w:rsidR="00A6244D" w:rsidRPr="000973F2" w:rsidRDefault="00A6244D" w:rsidP="00CD7A06">
            <w:pPr>
              <w:spacing w:before="40" w:after="4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sz w:val="18"/>
                <w:szCs w:val="18"/>
              </w:rPr>
            </w:pPr>
            <w:r w:rsidRPr="000973F2">
              <w:rPr>
                <w:rFonts w:ascii="Times New Roman" w:eastAsia="Times New Roman" w:hAnsi="Times New Roman" w:cs="Times New Roman"/>
                <w:b/>
                <w:bCs/>
                <w:sz w:val="18"/>
                <w:szCs w:val="18"/>
              </w:rPr>
              <w:t>$112.23</w:t>
            </w:r>
          </w:p>
        </w:tc>
        <w:tc>
          <w:tcPr>
            <w:tcW w:w="1669" w:type="dxa"/>
            <w:gridSpan w:val="2"/>
            <w:noWrap/>
            <w:hideMark/>
          </w:tcPr>
          <w:p w14:paraId="7E3562CD" w14:textId="163559B4" w:rsidR="00A6244D" w:rsidRPr="000973F2" w:rsidRDefault="00A6244D" w:rsidP="00CD7A06">
            <w:pPr>
              <w:spacing w:before="40" w:after="4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sz w:val="18"/>
                <w:szCs w:val="18"/>
              </w:rPr>
            </w:pPr>
            <w:r w:rsidRPr="000973F2">
              <w:rPr>
                <w:rFonts w:ascii="Times New Roman" w:eastAsia="Times New Roman" w:hAnsi="Times New Roman" w:cs="Times New Roman"/>
                <w:b/>
                <w:bCs/>
                <w:sz w:val="18"/>
                <w:szCs w:val="18"/>
              </w:rPr>
              <w:t>$87.45</w:t>
            </w:r>
          </w:p>
        </w:tc>
        <w:tc>
          <w:tcPr>
            <w:tcW w:w="1669" w:type="dxa"/>
            <w:gridSpan w:val="2"/>
            <w:noWrap/>
            <w:hideMark/>
          </w:tcPr>
          <w:p w14:paraId="611C603C" w14:textId="17BEFC53" w:rsidR="00A6244D" w:rsidRPr="000973F2" w:rsidRDefault="00A6244D" w:rsidP="00CD7A06">
            <w:pPr>
              <w:spacing w:before="40" w:after="4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sz w:val="18"/>
                <w:szCs w:val="18"/>
              </w:rPr>
            </w:pPr>
            <w:r w:rsidRPr="000973F2">
              <w:rPr>
                <w:rFonts w:ascii="Times New Roman" w:eastAsia="Times New Roman" w:hAnsi="Times New Roman" w:cs="Times New Roman"/>
                <w:b/>
                <w:bCs/>
                <w:sz w:val="18"/>
                <w:szCs w:val="18"/>
              </w:rPr>
              <w:t>$71.45</w:t>
            </w:r>
          </w:p>
        </w:tc>
        <w:tc>
          <w:tcPr>
            <w:tcW w:w="1669" w:type="dxa"/>
            <w:gridSpan w:val="2"/>
            <w:noWrap/>
            <w:hideMark/>
          </w:tcPr>
          <w:p w14:paraId="18A4D11D" w14:textId="14E2BCE5" w:rsidR="00A6244D" w:rsidRPr="000973F2" w:rsidRDefault="00A6244D" w:rsidP="00CD7A06">
            <w:pPr>
              <w:spacing w:before="40" w:after="4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sz w:val="18"/>
                <w:szCs w:val="18"/>
              </w:rPr>
            </w:pPr>
            <w:r w:rsidRPr="000973F2">
              <w:rPr>
                <w:rFonts w:ascii="Times New Roman" w:eastAsia="Times New Roman" w:hAnsi="Times New Roman" w:cs="Times New Roman"/>
                <w:b/>
                <w:bCs/>
                <w:sz w:val="18"/>
                <w:szCs w:val="18"/>
              </w:rPr>
              <w:t>$36.28</w:t>
            </w:r>
          </w:p>
        </w:tc>
        <w:tc>
          <w:tcPr>
            <w:tcW w:w="1645" w:type="dxa"/>
            <w:gridSpan w:val="2"/>
            <w:vMerge/>
            <w:hideMark/>
          </w:tcPr>
          <w:p w14:paraId="05F70DEB" w14:textId="77777777" w:rsidR="00A6244D" w:rsidRPr="000973F2" w:rsidRDefault="00A6244D" w:rsidP="00CD7A06">
            <w:pPr>
              <w:spacing w:before="40" w:after="4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sz w:val="18"/>
                <w:szCs w:val="18"/>
              </w:rPr>
            </w:pPr>
          </w:p>
        </w:tc>
      </w:tr>
      <w:tr w:rsidR="0085143F" w:rsidRPr="000973F2" w14:paraId="49AB79E8" w14:textId="77777777" w:rsidTr="006F53B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dxa"/>
            <w:vMerge/>
            <w:hideMark/>
          </w:tcPr>
          <w:p w14:paraId="618FAEB9" w14:textId="77777777" w:rsidR="00A6244D" w:rsidRPr="000973F2" w:rsidRDefault="00A6244D" w:rsidP="00CD7A06">
            <w:pPr>
              <w:spacing w:before="40" w:after="40"/>
              <w:jc w:val="center"/>
              <w:rPr>
                <w:rFonts w:ascii="Times New Roman" w:eastAsia="Times New Roman" w:hAnsi="Times New Roman" w:cs="Times New Roman"/>
                <w:b/>
                <w:bCs w:val="0"/>
                <w:sz w:val="18"/>
                <w:szCs w:val="18"/>
              </w:rPr>
            </w:pPr>
          </w:p>
        </w:tc>
        <w:tc>
          <w:tcPr>
            <w:tcW w:w="0" w:type="dxa"/>
            <w:tcMar>
              <w:left w:w="14" w:type="dxa"/>
              <w:right w:w="14" w:type="dxa"/>
            </w:tcMar>
            <w:hideMark/>
          </w:tcPr>
          <w:p w14:paraId="0050871A" w14:textId="53E46073" w:rsidR="00A6244D" w:rsidRPr="000973F2" w:rsidRDefault="00A6244D" w:rsidP="00CD7A06">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18"/>
                <w:szCs w:val="18"/>
              </w:rPr>
            </w:pPr>
            <w:r w:rsidRPr="000973F2">
              <w:rPr>
                <w:rFonts w:ascii="Times New Roman" w:eastAsia="Times New Roman" w:hAnsi="Times New Roman" w:cs="Times New Roman"/>
                <w:b/>
                <w:bCs/>
                <w:sz w:val="18"/>
                <w:szCs w:val="18"/>
              </w:rPr>
              <w:t>Initial Year</w:t>
            </w:r>
            <w:r w:rsidR="00E06B5E" w:rsidRPr="000973F2">
              <w:rPr>
                <w:rFonts w:ascii="Times New Roman" w:eastAsia="Times New Roman" w:hAnsi="Times New Roman" w:cs="Times New Roman"/>
                <w:b/>
                <w:bCs/>
                <w:sz w:val="18"/>
                <w:szCs w:val="18"/>
              </w:rPr>
              <w:t xml:space="preserve"> </w:t>
            </w:r>
            <w:r w:rsidRPr="000973F2">
              <w:rPr>
                <w:rFonts w:ascii="Times New Roman" w:eastAsia="Times New Roman" w:hAnsi="Times New Roman" w:cs="Times New Roman"/>
                <w:b/>
                <w:bCs/>
                <w:sz w:val="18"/>
                <w:szCs w:val="18"/>
              </w:rPr>
              <w:t>Hours</w:t>
            </w:r>
          </w:p>
        </w:tc>
        <w:tc>
          <w:tcPr>
            <w:tcW w:w="0" w:type="dxa"/>
            <w:tcMar>
              <w:left w:w="14" w:type="dxa"/>
              <w:right w:w="14" w:type="dxa"/>
            </w:tcMar>
            <w:hideMark/>
          </w:tcPr>
          <w:p w14:paraId="2C5B9BAE" w14:textId="77777777" w:rsidR="00A6244D" w:rsidRPr="000973F2" w:rsidRDefault="00A6244D" w:rsidP="00CD7A06">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18"/>
                <w:szCs w:val="18"/>
              </w:rPr>
            </w:pPr>
            <w:r w:rsidRPr="000973F2">
              <w:rPr>
                <w:rFonts w:ascii="Times New Roman" w:eastAsia="Times New Roman" w:hAnsi="Times New Roman" w:cs="Times New Roman"/>
                <w:b/>
                <w:bCs/>
                <w:sz w:val="18"/>
                <w:szCs w:val="18"/>
              </w:rPr>
              <w:t>Subseq. Year Hours</w:t>
            </w:r>
          </w:p>
        </w:tc>
        <w:tc>
          <w:tcPr>
            <w:tcW w:w="0" w:type="dxa"/>
            <w:tcMar>
              <w:left w:w="14" w:type="dxa"/>
              <w:right w:w="14" w:type="dxa"/>
            </w:tcMar>
            <w:hideMark/>
          </w:tcPr>
          <w:p w14:paraId="58A00B95" w14:textId="4FFA8BCF" w:rsidR="00A6244D" w:rsidRPr="000973F2" w:rsidRDefault="00A6244D" w:rsidP="006F53B3">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18"/>
                <w:szCs w:val="18"/>
              </w:rPr>
            </w:pPr>
            <w:r w:rsidRPr="000973F2">
              <w:rPr>
                <w:rFonts w:ascii="Times New Roman" w:eastAsia="Times New Roman" w:hAnsi="Times New Roman" w:cs="Times New Roman"/>
                <w:b/>
                <w:bCs/>
                <w:sz w:val="18"/>
                <w:szCs w:val="18"/>
              </w:rPr>
              <w:t>Initial Year</w:t>
            </w:r>
            <w:r w:rsidR="006F53B3" w:rsidRPr="000973F2">
              <w:rPr>
                <w:rFonts w:ascii="Times New Roman" w:eastAsia="Times New Roman" w:hAnsi="Times New Roman" w:cs="Times New Roman"/>
                <w:b/>
                <w:bCs/>
                <w:sz w:val="18"/>
                <w:szCs w:val="18"/>
              </w:rPr>
              <w:t xml:space="preserve"> </w:t>
            </w:r>
            <w:r w:rsidRPr="000973F2">
              <w:rPr>
                <w:rFonts w:ascii="Times New Roman" w:eastAsia="Times New Roman" w:hAnsi="Times New Roman" w:cs="Times New Roman"/>
                <w:b/>
                <w:bCs/>
                <w:sz w:val="18"/>
                <w:szCs w:val="18"/>
              </w:rPr>
              <w:t>Hours</w:t>
            </w:r>
          </w:p>
        </w:tc>
        <w:tc>
          <w:tcPr>
            <w:tcW w:w="0" w:type="dxa"/>
            <w:tcMar>
              <w:left w:w="14" w:type="dxa"/>
              <w:right w:w="14" w:type="dxa"/>
            </w:tcMar>
            <w:hideMark/>
          </w:tcPr>
          <w:p w14:paraId="0EE94014" w14:textId="77777777" w:rsidR="00A6244D" w:rsidRPr="000973F2" w:rsidRDefault="00A6244D" w:rsidP="00CD7A06">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18"/>
                <w:szCs w:val="18"/>
              </w:rPr>
            </w:pPr>
            <w:r w:rsidRPr="000973F2">
              <w:rPr>
                <w:rFonts w:ascii="Times New Roman" w:eastAsia="Times New Roman" w:hAnsi="Times New Roman" w:cs="Times New Roman"/>
                <w:b/>
                <w:bCs/>
                <w:sz w:val="18"/>
                <w:szCs w:val="18"/>
              </w:rPr>
              <w:t>Subseq. Year Hours</w:t>
            </w:r>
          </w:p>
        </w:tc>
        <w:tc>
          <w:tcPr>
            <w:tcW w:w="0" w:type="dxa"/>
            <w:tcMar>
              <w:left w:w="14" w:type="dxa"/>
              <w:right w:w="14" w:type="dxa"/>
            </w:tcMar>
            <w:hideMark/>
          </w:tcPr>
          <w:p w14:paraId="6E476DB6" w14:textId="08A6DA50" w:rsidR="00A6244D" w:rsidRPr="000973F2" w:rsidRDefault="00A6244D" w:rsidP="00CD7A06">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18"/>
                <w:szCs w:val="18"/>
              </w:rPr>
            </w:pPr>
            <w:r w:rsidRPr="000973F2">
              <w:rPr>
                <w:rFonts w:ascii="Times New Roman" w:eastAsia="Times New Roman" w:hAnsi="Times New Roman" w:cs="Times New Roman"/>
                <w:b/>
                <w:bCs/>
                <w:sz w:val="18"/>
                <w:szCs w:val="18"/>
              </w:rPr>
              <w:t>Initial Year</w:t>
            </w:r>
            <w:r w:rsidR="00E06B5E" w:rsidRPr="000973F2">
              <w:rPr>
                <w:rFonts w:ascii="Times New Roman" w:eastAsia="Times New Roman" w:hAnsi="Times New Roman" w:cs="Times New Roman"/>
                <w:b/>
                <w:bCs/>
                <w:sz w:val="18"/>
                <w:szCs w:val="18"/>
              </w:rPr>
              <w:t xml:space="preserve"> </w:t>
            </w:r>
            <w:r w:rsidRPr="000973F2">
              <w:rPr>
                <w:rFonts w:ascii="Times New Roman" w:eastAsia="Times New Roman" w:hAnsi="Times New Roman" w:cs="Times New Roman"/>
                <w:b/>
                <w:bCs/>
                <w:sz w:val="18"/>
                <w:szCs w:val="18"/>
              </w:rPr>
              <w:t>Hours</w:t>
            </w:r>
          </w:p>
        </w:tc>
        <w:tc>
          <w:tcPr>
            <w:tcW w:w="0" w:type="dxa"/>
            <w:tcMar>
              <w:left w:w="14" w:type="dxa"/>
              <w:right w:w="14" w:type="dxa"/>
            </w:tcMar>
            <w:hideMark/>
          </w:tcPr>
          <w:p w14:paraId="4548C026" w14:textId="77777777" w:rsidR="00A6244D" w:rsidRPr="000973F2" w:rsidRDefault="00A6244D" w:rsidP="00CD7A06">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18"/>
                <w:szCs w:val="18"/>
              </w:rPr>
            </w:pPr>
            <w:r w:rsidRPr="000973F2">
              <w:rPr>
                <w:rFonts w:ascii="Times New Roman" w:eastAsia="Times New Roman" w:hAnsi="Times New Roman" w:cs="Times New Roman"/>
                <w:b/>
                <w:bCs/>
                <w:sz w:val="18"/>
                <w:szCs w:val="18"/>
              </w:rPr>
              <w:t>Subseq. Year Hours</w:t>
            </w:r>
          </w:p>
        </w:tc>
        <w:tc>
          <w:tcPr>
            <w:tcW w:w="0" w:type="dxa"/>
            <w:tcMar>
              <w:left w:w="14" w:type="dxa"/>
              <w:right w:w="14" w:type="dxa"/>
            </w:tcMar>
            <w:hideMark/>
          </w:tcPr>
          <w:p w14:paraId="0EB03B9D" w14:textId="3B04B2A3" w:rsidR="00A6244D" w:rsidRPr="000973F2" w:rsidRDefault="00A6244D" w:rsidP="00CD7A06">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18"/>
                <w:szCs w:val="18"/>
              </w:rPr>
            </w:pPr>
            <w:r w:rsidRPr="000973F2">
              <w:rPr>
                <w:rFonts w:ascii="Times New Roman" w:eastAsia="Times New Roman" w:hAnsi="Times New Roman" w:cs="Times New Roman"/>
                <w:b/>
                <w:bCs/>
                <w:sz w:val="18"/>
                <w:szCs w:val="18"/>
              </w:rPr>
              <w:t>Initial Year</w:t>
            </w:r>
            <w:r w:rsidR="00E06B5E" w:rsidRPr="000973F2">
              <w:rPr>
                <w:rFonts w:ascii="Times New Roman" w:eastAsia="Times New Roman" w:hAnsi="Times New Roman" w:cs="Times New Roman"/>
                <w:b/>
                <w:bCs/>
                <w:sz w:val="18"/>
                <w:szCs w:val="18"/>
              </w:rPr>
              <w:t xml:space="preserve"> </w:t>
            </w:r>
            <w:r w:rsidRPr="000973F2">
              <w:rPr>
                <w:rFonts w:ascii="Times New Roman" w:eastAsia="Times New Roman" w:hAnsi="Times New Roman" w:cs="Times New Roman"/>
                <w:b/>
                <w:bCs/>
                <w:sz w:val="18"/>
                <w:szCs w:val="18"/>
              </w:rPr>
              <w:t>Hours</w:t>
            </w:r>
          </w:p>
        </w:tc>
        <w:tc>
          <w:tcPr>
            <w:tcW w:w="0" w:type="dxa"/>
            <w:tcMar>
              <w:left w:w="14" w:type="dxa"/>
              <w:right w:w="14" w:type="dxa"/>
            </w:tcMar>
            <w:hideMark/>
          </w:tcPr>
          <w:p w14:paraId="19EBBDBF" w14:textId="77777777" w:rsidR="00A6244D" w:rsidRPr="000973F2" w:rsidRDefault="00A6244D" w:rsidP="00CD7A06">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18"/>
                <w:szCs w:val="18"/>
              </w:rPr>
            </w:pPr>
            <w:r w:rsidRPr="000973F2">
              <w:rPr>
                <w:rFonts w:ascii="Times New Roman" w:eastAsia="Times New Roman" w:hAnsi="Times New Roman" w:cs="Times New Roman"/>
                <w:b/>
                <w:bCs/>
                <w:sz w:val="18"/>
                <w:szCs w:val="18"/>
              </w:rPr>
              <w:t>Subseq. Year Hours</w:t>
            </w:r>
          </w:p>
        </w:tc>
        <w:tc>
          <w:tcPr>
            <w:tcW w:w="0" w:type="dxa"/>
            <w:tcMar>
              <w:left w:w="14" w:type="dxa"/>
              <w:right w:w="14" w:type="dxa"/>
            </w:tcMar>
            <w:hideMark/>
          </w:tcPr>
          <w:p w14:paraId="03DAF559" w14:textId="77777777" w:rsidR="00A6244D" w:rsidRPr="000973F2" w:rsidRDefault="00A6244D" w:rsidP="00CD7A06">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18"/>
                <w:szCs w:val="18"/>
              </w:rPr>
            </w:pPr>
            <w:r w:rsidRPr="000973F2">
              <w:rPr>
                <w:rFonts w:ascii="Times New Roman" w:eastAsia="Times New Roman" w:hAnsi="Times New Roman" w:cs="Times New Roman"/>
                <w:b/>
                <w:bCs/>
                <w:sz w:val="18"/>
                <w:szCs w:val="18"/>
              </w:rPr>
              <w:t>Initial Year</w:t>
            </w:r>
          </w:p>
        </w:tc>
        <w:tc>
          <w:tcPr>
            <w:tcW w:w="0" w:type="dxa"/>
            <w:tcMar>
              <w:left w:w="14" w:type="dxa"/>
              <w:right w:w="14" w:type="dxa"/>
            </w:tcMar>
            <w:hideMark/>
          </w:tcPr>
          <w:p w14:paraId="02030A36" w14:textId="77777777" w:rsidR="00A6244D" w:rsidRPr="000973F2" w:rsidRDefault="00A6244D" w:rsidP="00CD7A06">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18"/>
                <w:szCs w:val="18"/>
              </w:rPr>
            </w:pPr>
            <w:r w:rsidRPr="000973F2">
              <w:rPr>
                <w:rFonts w:ascii="Times New Roman" w:eastAsia="Times New Roman" w:hAnsi="Times New Roman" w:cs="Times New Roman"/>
                <w:b/>
                <w:bCs/>
                <w:sz w:val="18"/>
                <w:szCs w:val="18"/>
              </w:rPr>
              <w:t>Subseq. Year</w:t>
            </w:r>
          </w:p>
        </w:tc>
      </w:tr>
      <w:tr w:rsidR="00CD7A06" w:rsidRPr="000973F2" w14:paraId="11A6AF9A" w14:textId="77777777" w:rsidTr="0085143F">
        <w:tc>
          <w:tcPr>
            <w:cnfStyle w:val="001000000000" w:firstRow="0" w:lastRow="0" w:firstColumn="1" w:lastColumn="0" w:oddVBand="0" w:evenVBand="0" w:oddHBand="0" w:evenHBand="0" w:firstRowFirstColumn="0" w:firstRowLastColumn="0" w:lastRowFirstColumn="0" w:lastRowLastColumn="0"/>
            <w:tcW w:w="0" w:type="dxa"/>
            <w:hideMark/>
          </w:tcPr>
          <w:p w14:paraId="52708D47" w14:textId="77777777" w:rsidR="00A6244D" w:rsidRPr="000973F2" w:rsidRDefault="00A6244D" w:rsidP="00E06B5E">
            <w:pPr>
              <w:spacing w:before="40" w:after="4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Planning</w:t>
            </w:r>
          </w:p>
        </w:tc>
        <w:tc>
          <w:tcPr>
            <w:tcW w:w="0" w:type="dxa"/>
            <w:noWrap/>
            <w:hideMark/>
          </w:tcPr>
          <w:p w14:paraId="42E8BF06" w14:textId="77777777" w:rsidR="00A6244D" w:rsidRPr="000973F2" w:rsidRDefault="00A6244D" w:rsidP="006F53B3">
            <w:pPr>
              <w:spacing w:before="40" w:after="4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0</w:t>
            </w:r>
          </w:p>
        </w:tc>
        <w:tc>
          <w:tcPr>
            <w:tcW w:w="0" w:type="dxa"/>
            <w:noWrap/>
            <w:hideMark/>
          </w:tcPr>
          <w:p w14:paraId="75F52809" w14:textId="77777777" w:rsidR="00A6244D" w:rsidRPr="000973F2" w:rsidRDefault="00A6244D" w:rsidP="006F53B3">
            <w:pPr>
              <w:spacing w:before="40" w:after="4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1</w:t>
            </w:r>
          </w:p>
        </w:tc>
        <w:tc>
          <w:tcPr>
            <w:tcW w:w="0" w:type="dxa"/>
            <w:noWrap/>
            <w:hideMark/>
          </w:tcPr>
          <w:p w14:paraId="590DDFD2" w14:textId="77777777" w:rsidR="00A6244D" w:rsidRPr="000973F2" w:rsidRDefault="00A6244D" w:rsidP="006F53B3">
            <w:pPr>
              <w:spacing w:before="40" w:after="4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0</w:t>
            </w:r>
          </w:p>
        </w:tc>
        <w:tc>
          <w:tcPr>
            <w:tcW w:w="0" w:type="dxa"/>
            <w:noWrap/>
            <w:hideMark/>
          </w:tcPr>
          <w:p w14:paraId="0450738E" w14:textId="77777777" w:rsidR="00A6244D" w:rsidRPr="000973F2" w:rsidRDefault="00A6244D" w:rsidP="006F53B3">
            <w:pPr>
              <w:tabs>
                <w:tab w:val="decimal" w:pos="274"/>
              </w:tabs>
              <w:spacing w:before="40" w:after="4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1.2</w:t>
            </w:r>
          </w:p>
        </w:tc>
        <w:tc>
          <w:tcPr>
            <w:tcW w:w="0" w:type="dxa"/>
            <w:noWrap/>
            <w:hideMark/>
          </w:tcPr>
          <w:p w14:paraId="1D6DB028" w14:textId="77777777" w:rsidR="00A6244D" w:rsidRPr="000973F2" w:rsidRDefault="00A6244D" w:rsidP="006F53B3">
            <w:pPr>
              <w:spacing w:before="40" w:after="4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0</w:t>
            </w:r>
          </w:p>
        </w:tc>
        <w:tc>
          <w:tcPr>
            <w:tcW w:w="0" w:type="dxa"/>
            <w:noWrap/>
            <w:hideMark/>
          </w:tcPr>
          <w:p w14:paraId="140BB065" w14:textId="77777777" w:rsidR="00A6244D" w:rsidRPr="000973F2" w:rsidRDefault="00A6244D" w:rsidP="006F53B3">
            <w:pPr>
              <w:tabs>
                <w:tab w:val="decimal" w:pos="365"/>
              </w:tabs>
              <w:spacing w:before="40" w:after="4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12</w:t>
            </w:r>
          </w:p>
        </w:tc>
        <w:tc>
          <w:tcPr>
            <w:tcW w:w="0" w:type="dxa"/>
            <w:noWrap/>
            <w:hideMark/>
          </w:tcPr>
          <w:p w14:paraId="1F7ADF92" w14:textId="77777777" w:rsidR="00A6244D" w:rsidRPr="000973F2" w:rsidRDefault="00A6244D" w:rsidP="006F53B3">
            <w:pPr>
              <w:spacing w:before="40" w:after="4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0</w:t>
            </w:r>
          </w:p>
        </w:tc>
        <w:tc>
          <w:tcPr>
            <w:tcW w:w="0" w:type="dxa"/>
            <w:noWrap/>
            <w:hideMark/>
          </w:tcPr>
          <w:p w14:paraId="47DFA574" w14:textId="77777777" w:rsidR="00A6244D" w:rsidRPr="000973F2" w:rsidRDefault="00A6244D" w:rsidP="006F53B3">
            <w:pPr>
              <w:tabs>
                <w:tab w:val="decimal" w:pos="346"/>
              </w:tabs>
              <w:spacing w:before="40" w:after="4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0.6</w:t>
            </w:r>
          </w:p>
        </w:tc>
        <w:tc>
          <w:tcPr>
            <w:tcW w:w="0" w:type="dxa"/>
            <w:noWrap/>
            <w:hideMark/>
          </w:tcPr>
          <w:p w14:paraId="69DB1C91" w14:textId="4EDBC5D1" w:rsidR="00A6244D" w:rsidRPr="000973F2" w:rsidRDefault="00A6244D" w:rsidP="006F53B3">
            <w:pPr>
              <w:spacing w:before="40" w:after="4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$0</w:t>
            </w:r>
          </w:p>
        </w:tc>
        <w:tc>
          <w:tcPr>
            <w:tcW w:w="0" w:type="dxa"/>
            <w:noWrap/>
            <w:hideMark/>
          </w:tcPr>
          <w:p w14:paraId="15E3E72E" w14:textId="77777777" w:rsidR="00A6244D" w:rsidRPr="000973F2" w:rsidRDefault="00A6244D" w:rsidP="006F53B3">
            <w:pPr>
              <w:tabs>
                <w:tab w:val="decimal" w:pos="524"/>
              </w:tabs>
              <w:spacing w:before="40" w:after="4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 xml:space="preserve">$1,096 </w:t>
            </w:r>
          </w:p>
        </w:tc>
      </w:tr>
      <w:tr w:rsidR="0085143F" w:rsidRPr="000973F2" w14:paraId="68DF79B1" w14:textId="77777777" w:rsidTr="0085143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dxa"/>
            <w:hideMark/>
          </w:tcPr>
          <w:p w14:paraId="27319819" w14:textId="77777777" w:rsidR="00A6244D" w:rsidRPr="000973F2" w:rsidRDefault="00A6244D" w:rsidP="00E06B5E">
            <w:pPr>
              <w:spacing w:before="40" w:after="4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QA/QC</w:t>
            </w:r>
          </w:p>
        </w:tc>
        <w:tc>
          <w:tcPr>
            <w:tcW w:w="0" w:type="dxa"/>
            <w:noWrap/>
            <w:hideMark/>
          </w:tcPr>
          <w:p w14:paraId="34A4C6CF" w14:textId="77777777" w:rsidR="00A6244D" w:rsidRPr="000973F2" w:rsidRDefault="00A6244D" w:rsidP="006F53B3">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0</w:t>
            </w:r>
          </w:p>
        </w:tc>
        <w:tc>
          <w:tcPr>
            <w:tcW w:w="0" w:type="dxa"/>
            <w:noWrap/>
            <w:hideMark/>
          </w:tcPr>
          <w:p w14:paraId="306BB0DE" w14:textId="77777777" w:rsidR="00A6244D" w:rsidRPr="000973F2" w:rsidRDefault="00A6244D" w:rsidP="006F53B3">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0</w:t>
            </w:r>
          </w:p>
        </w:tc>
        <w:tc>
          <w:tcPr>
            <w:tcW w:w="0" w:type="dxa"/>
            <w:noWrap/>
            <w:hideMark/>
          </w:tcPr>
          <w:p w14:paraId="2E6CFAEF" w14:textId="77777777" w:rsidR="00A6244D" w:rsidRPr="000973F2" w:rsidRDefault="00A6244D" w:rsidP="006F53B3">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0</w:t>
            </w:r>
          </w:p>
        </w:tc>
        <w:tc>
          <w:tcPr>
            <w:tcW w:w="0" w:type="dxa"/>
            <w:noWrap/>
            <w:hideMark/>
          </w:tcPr>
          <w:p w14:paraId="25E364D7" w14:textId="77777777" w:rsidR="00A6244D" w:rsidRPr="000973F2" w:rsidRDefault="00A6244D" w:rsidP="006F53B3">
            <w:pPr>
              <w:tabs>
                <w:tab w:val="decimal" w:pos="274"/>
              </w:tabs>
              <w:spacing w:before="40" w:after="4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0</w:t>
            </w:r>
          </w:p>
        </w:tc>
        <w:tc>
          <w:tcPr>
            <w:tcW w:w="0" w:type="dxa"/>
            <w:noWrap/>
            <w:hideMark/>
          </w:tcPr>
          <w:p w14:paraId="1FA0408F" w14:textId="77777777" w:rsidR="00A6244D" w:rsidRPr="000973F2" w:rsidRDefault="00A6244D" w:rsidP="006F53B3">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0</w:t>
            </w:r>
          </w:p>
        </w:tc>
        <w:tc>
          <w:tcPr>
            <w:tcW w:w="0" w:type="dxa"/>
            <w:noWrap/>
            <w:hideMark/>
          </w:tcPr>
          <w:p w14:paraId="61D9671E" w14:textId="77777777" w:rsidR="00A6244D" w:rsidRPr="000973F2" w:rsidRDefault="00A6244D" w:rsidP="006F53B3">
            <w:pPr>
              <w:tabs>
                <w:tab w:val="decimal" w:pos="365"/>
              </w:tabs>
              <w:spacing w:before="40" w:after="4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0</w:t>
            </w:r>
          </w:p>
        </w:tc>
        <w:tc>
          <w:tcPr>
            <w:tcW w:w="0" w:type="dxa"/>
            <w:noWrap/>
            <w:hideMark/>
          </w:tcPr>
          <w:p w14:paraId="6C55DA70" w14:textId="77777777" w:rsidR="00A6244D" w:rsidRPr="000973F2" w:rsidRDefault="00A6244D" w:rsidP="006F53B3">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0</w:t>
            </w:r>
          </w:p>
        </w:tc>
        <w:tc>
          <w:tcPr>
            <w:tcW w:w="0" w:type="dxa"/>
            <w:noWrap/>
            <w:hideMark/>
          </w:tcPr>
          <w:p w14:paraId="34A9F426" w14:textId="77777777" w:rsidR="00A6244D" w:rsidRPr="000973F2" w:rsidRDefault="00A6244D" w:rsidP="006F53B3">
            <w:pPr>
              <w:tabs>
                <w:tab w:val="decimal" w:pos="346"/>
              </w:tabs>
              <w:spacing w:before="40" w:after="4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0</w:t>
            </w:r>
          </w:p>
        </w:tc>
        <w:tc>
          <w:tcPr>
            <w:tcW w:w="0" w:type="dxa"/>
            <w:noWrap/>
            <w:hideMark/>
          </w:tcPr>
          <w:p w14:paraId="77081A36" w14:textId="6040C3BB" w:rsidR="00A6244D" w:rsidRPr="000973F2" w:rsidRDefault="00A6244D" w:rsidP="006F53B3">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$0</w:t>
            </w:r>
          </w:p>
        </w:tc>
        <w:tc>
          <w:tcPr>
            <w:tcW w:w="0" w:type="dxa"/>
            <w:noWrap/>
            <w:hideMark/>
          </w:tcPr>
          <w:p w14:paraId="0CE2839B" w14:textId="77777777" w:rsidR="00A6244D" w:rsidRPr="000973F2" w:rsidRDefault="00A6244D" w:rsidP="006F53B3">
            <w:pPr>
              <w:tabs>
                <w:tab w:val="decimal" w:pos="524"/>
              </w:tabs>
              <w:spacing w:before="40" w:after="4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 xml:space="preserve">$0 </w:t>
            </w:r>
          </w:p>
        </w:tc>
      </w:tr>
      <w:tr w:rsidR="00CD7A06" w:rsidRPr="000973F2" w14:paraId="3D64073A" w14:textId="77777777" w:rsidTr="0085143F">
        <w:tc>
          <w:tcPr>
            <w:cnfStyle w:val="001000000000" w:firstRow="0" w:lastRow="0" w:firstColumn="1" w:lastColumn="0" w:oddVBand="0" w:evenVBand="0" w:oddHBand="0" w:evenHBand="0" w:firstRowFirstColumn="0" w:firstRowLastColumn="0" w:lastRowFirstColumn="0" w:lastRowLastColumn="0"/>
            <w:tcW w:w="0" w:type="dxa"/>
            <w:hideMark/>
          </w:tcPr>
          <w:p w14:paraId="604C77D4" w14:textId="77777777" w:rsidR="00A6244D" w:rsidRPr="000973F2" w:rsidRDefault="00A6244D" w:rsidP="00E06B5E">
            <w:pPr>
              <w:spacing w:before="40" w:after="4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Recordkeeping</w:t>
            </w:r>
          </w:p>
        </w:tc>
        <w:tc>
          <w:tcPr>
            <w:tcW w:w="0" w:type="dxa"/>
            <w:noWrap/>
            <w:hideMark/>
          </w:tcPr>
          <w:p w14:paraId="709DFBDF" w14:textId="77777777" w:rsidR="00A6244D" w:rsidRPr="000973F2" w:rsidRDefault="00A6244D" w:rsidP="006F53B3">
            <w:pPr>
              <w:spacing w:before="40" w:after="4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0</w:t>
            </w:r>
          </w:p>
        </w:tc>
        <w:tc>
          <w:tcPr>
            <w:tcW w:w="0" w:type="dxa"/>
            <w:noWrap/>
            <w:hideMark/>
          </w:tcPr>
          <w:p w14:paraId="77D47D83" w14:textId="77777777" w:rsidR="00A6244D" w:rsidRPr="000973F2" w:rsidRDefault="00A6244D" w:rsidP="006F53B3">
            <w:pPr>
              <w:spacing w:before="40" w:after="4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0</w:t>
            </w:r>
          </w:p>
        </w:tc>
        <w:tc>
          <w:tcPr>
            <w:tcW w:w="0" w:type="dxa"/>
            <w:noWrap/>
            <w:hideMark/>
          </w:tcPr>
          <w:p w14:paraId="2DE01330" w14:textId="77777777" w:rsidR="00A6244D" w:rsidRPr="000973F2" w:rsidRDefault="00A6244D" w:rsidP="006F53B3">
            <w:pPr>
              <w:spacing w:before="40" w:after="4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0</w:t>
            </w:r>
          </w:p>
        </w:tc>
        <w:tc>
          <w:tcPr>
            <w:tcW w:w="0" w:type="dxa"/>
            <w:noWrap/>
            <w:hideMark/>
          </w:tcPr>
          <w:p w14:paraId="084CD103" w14:textId="77777777" w:rsidR="00A6244D" w:rsidRPr="000973F2" w:rsidRDefault="00A6244D" w:rsidP="006F53B3">
            <w:pPr>
              <w:tabs>
                <w:tab w:val="decimal" w:pos="274"/>
              </w:tabs>
              <w:spacing w:before="40" w:after="4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0.5</w:t>
            </w:r>
          </w:p>
        </w:tc>
        <w:tc>
          <w:tcPr>
            <w:tcW w:w="0" w:type="dxa"/>
            <w:noWrap/>
            <w:hideMark/>
          </w:tcPr>
          <w:p w14:paraId="05FB18E4" w14:textId="77777777" w:rsidR="00A6244D" w:rsidRPr="000973F2" w:rsidRDefault="00A6244D" w:rsidP="006F53B3">
            <w:pPr>
              <w:spacing w:before="40" w:after="4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0</w:t>
            </w:r>
          </w:p>
        </w:tc>
        <w:tc>
          <w:tcPr>
            <w:tcW w:w="0" w:type="dxa"/>
            <w:noWrap/>
            <w:hideMark/>
          </w:tcPr>
          <w:p w14:paraId="0CF68A2B" w14:textId="77777777" w:rsidR="00A6244D" w:rsidRPr="000973F2" w:rsidRDefault="00A6244D" w:rsidP="006F53B3">
            <w:pPr>
              <w:tabs>
                <w:tab w:val="decimal" w:pos="365"/>
              </w:tabs>
              <w:spacing w:before="40" w:after="4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2</w:t>
            </w:r>
          </w:p>
        </w:tc>
        <w:tc>
          <w:tcPr>
            <w:tcW w:w="0" w:type="dxa"/>
            <w:noWrap/>
            <w:hideMark/>
          </w:tcPr>
          <w:p w14:paraId="691F54F5" w14:textId="77777777" w:rsidR="00A6244D" w:rsidRPr="000973F2" w:rsidRDefault="00A6244D" w:rsidP="006F53B3">
            <w:pPr>
              <w:spacing w:before="40" w:after="4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0</w:t>
            </w:r>
          </w:p>
        </w:tc>
        <w:tc>
          <w:tcPr>
            <w:tcW w:w="0" w:type="dxa"/>
            <w:noWrap/>
            <w:hideMark/>
          </w:tcPr>
          <w:p w14:paraId="720B23D3" w14:textId="77777777" w:rsidR="00A6244D" w:rsidRPr="000973F2" w:rsidRDefault="00A6244D" w:rsidP="006F53B3">
            <w:pPr>
              <w:tabs>
                <w:tab w:val="decimal" w:pos="346"/>
              </w:tabs>
              <w:spacing w:before="40" w:after="4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0.5</w:t>
            </w:r>
          </w:p>
        </w:tc>
        <w:tc>
          <w:tcPr>
            <w:tcW w:w="0" w:type="dxa"/>
            <w:noWrap/>
            <w:hideMark/>
          </w:tcPr>
          <w:p w14:paraId="306A5A47" w14:textId="2FA1D0D9" w:rsidR="00A6244D" w:rsidRPr="000973F2" w:rsidRDefault="00A6244D" w:rsidP="006F53B3">
            <w:pPr>
              <w:spacing w:before="40" w:after="4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$0</w:t>
            </w:r>
          </w:p>
        </w:tc>
        <w:tc>
          <w:tcPr>
            <w:tcW w:w="0" w:type="dxa"/>
            <w:noWrap/>
            <w:hideMark/>
          </w:tcPr>
          <w:p w14:paraId="7B161CBF" w14:textId="77777777" w:rsidR="00A6244D" w:rsidRPr="000973F2" w:rsidRDefault="00A6244D" w:rsidP="006F53B3">
            <w:pPr>
              <w:tabs>
                <w:tab w:val="decimal" w:pos="524"/>
              </w:tabs>
              <w:spacing w:before="40" w:after="4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 xml:space="preserve">$205 </w:t>
            </w:r>
          </w:p>
        </w:tc>
      </w:tr>
      <w:tr w:rsidR="0085143F" w:rsidRPr="000973F2" w14:paraId="122A1F97" w14:textId="77777777" w:rsidTr="0085143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dxa"/>
            <w:hideMark/>
          </w:tcPr>
          <w:p w14:paraId="01F850C7" w14:textId="77777777" w:rsidR="00A6244D" w:rsidRPr="000973F2" w:rsidRDefault="00A6244D" w:rsidP="00E06B5E">
            <w:pPr>
              <w:spacing w:before="40" w:after="4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Sampling and Analysis (Calculations)</w:t>
            </w:r>
          </w:p>
        </w:tc>
        <w:tc>
          <w:tcPr>
            <w:tcW w:w="0" w:type="dxa"/>
            <w:noWrap/>
            <w:hideMark/>
          </w:tcPr>
          <w:p w14:paraId="2E3F8669" w14:textId="77777777" w:rsidR="00A6244D" w:rsidRPr="000973F2" w:rsidRDefault="00A6244D" w:rsidP="006F53B3">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0</w:t>
            </w:r>
          </w:p>
        </w:tc>
        <w:tc>
          <w:tcPr>
            <w:tcW w:w="0" w:type="dxa"/>
            <w:noWrap/>
            <w:hideMark/>
          </w:tcPr>
          <w:p w14:paraId="561432C0" w14:textId="77777777" w:rsidR="00A6244D" w:rsidRPr="000973F2" w:rsidRDefault="00A6244D" w:rsidP="006F53B3">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0</w:t>
            </w:r>
          </w:p>
        </w:tc>
        <w:tc>
          <w:tcPr>
            <w:tcW w:w="0" w:type="dxa"/>
            <w:noWrap/>
            <w:hideMark/>
          </w:tcPr>
          <w:p w14:paraId="5FEBE0F7" w14:textId="77777777" w:rsidR="00A6244D" w:rsidRPr="000973F2" w:rsidRDefault="00A6244D" w:rsidP="006F53B3">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0</w:t>
            </w:r>
          </w:p>
        </w:tc>
        <w:tc>
          <w:tcPr>
            <w:tcW w:w="0" w:type="dxa"/>
            <w:noWrap/>
            <w:hideMark/>
          </w:tcPr>
          <w:p w14:paraId="77224F2D" w14:textId="77777777" w:rsidR="00A6244D" w:rsidRPr="000973F2" w:rsidRDefault="00A6244D" w:rsidP="006F53B3">
            <w:pPr>
              <w:tabs>
                <w:tab w:val="decimal" w:pos="274"/>
              </w:tabs>
              <w:spacing w:before="40" w:after="4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0.1</w:t>
            </w:r>
          </w:p>
        </w:tc>
        <w:tc>
          <w:tcPr>
            <w:tcW w:w="0" w:type="dxa"/>
            <w:noWrap/>
            <w:hideMark/>
          </w:tcPr>
          <w:p w14:paraId="7A445D51" w14:textId="77777777" w:rsidR="00A6244D" w:rsidRPr="000973F2" w:rsidRDefault="00A6244D" w:rsidP="006F53B3">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0</w:t>
            </w:r>
          </w:p>
        </w:tc>
        <w:tc>
          <w:tcPr>
            <w:tcW w:w="0" w:type="dxa"/>
            <w:noWrap/>
            <w:hideMark/>
          </w:tcPr>
          <w:p w14:paraId="2BBCE2E4" w14:textId="77777777" w:rsidR="00A6244D" w:rsidRPr="000973F2" w:rsidRDefault="00A6244D" w:rsidP="006F53B3">
            <w:pPr>
              <w:tabs>
                <w:tab w:val="decimal" w:pos="365"/>
              </w:tabs>
              <w:spacing w:before="40" w:after="4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1</w:t>
            </w:r>
          </w:p>
        </w:tc>
        <w:tc>
          <w:tcPr>
            <w:tcW w:w="0" w:type="dxa"/>
            <w:noWrap/>
            <w:hideMark/>
          </w:tcPr>
          <w:p w14:paraId="0858FF0D" w14:textId="77777777" w:rsidR="00A6244D" w:rsidRPr="000973F2" w:rsidRDefault="00A6244D" w:rsidP="006F53B3">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0</w:t>
            </w:r>
          </w:p>
        </w:tc>
        <w:tc>
          <w:tcPr>
            <w:tcW w:w="0" w:type="dxa"/>
            <w:noWrap/>
            <w:hideMark/>
          </w:tcPr>
          <w:p w14:paraId="593D4E5E" w14:textId="3B03D467" w:rsidR="00A6244D" w:rsidRPr="000973F2" w:rsidRDefault="00A6244D" w:rsidP="006F53B3">
            <w:pPr>
              <w:tabs>
                <w:tab w:val="decimal" w:pos="346"/>
              </w:tabs>
              <w:spacing w:before="40" w:after="4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0.</w:t>
            </w:r>
            <w:r w:rsidR="007478B6" w:rsidRPr="000973F2">
              <w:rPr>
                <w:rFonts w:ascii="Times New Roman" w:eastAsia="Times New Roman" w:hAnsi="Times New Roman" w:cs="Times New Roman"/>
                <w:sz w:val="18"/>
                <w:szCs w:val="18"/>
              </w:rPr>
              <w:t>1</w:t>
            </w:r>
          </w:p>
        </w:tc>
        <w:tc>
          <w:tcPr>
            <w:tcW w:w="0" w:type="dxa"/>
            <w:noWrap/>
            <w:hideMark/>
          </w:tcPr>
          <w:p w14:paraId="1FF45247" w14:textId="6DD5EE98" w:rsidR="00A6244D" w:rsidRPr="000973F2" w:rsidRDefault="00A6244D" w:rsidP="006F53B3">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$0</w:t>
            </w:r>
          </w:p>
        </w:tc>
        <w:tc>
          <w:tcPr>
            <w:tcW w:w="0" w:type="dxa"/>
            <w:noWrap/>
            <w:hideMark/>
          </w:tcPr>
          <w:p w14:paraId="7B05375F" w14:textId="77777777" w:rsidR="00A6244D" w:rsidRPr="000973F2" w:rsidRDefault="00A6244D" w:rsidP="006F53B3">
            <w:pPr>
              <w:tabs>
                <w:tab w:val="decimal" w:pos="524"/>
              </w:tabs>
              <w:spacing w:before="40" w:after="4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 xml:space="preserve">$82 </w:t>
            </w:r>
          </w:p>
        </w:tc>
      </w:tr>
      <w:tr w:rsidR="00CD7A06" w:rsidRPr="000973F2" w14:paraId="07BFCEE5" w14:textId="77777777" w:rsidTr="0085143F">
        <w:tc>
          <w:tcPr>
            <w:cnfStyle w:val="001000000000" w:firstRow="0" w:lastRow="0" w:firstColumn="1" w:lastColumn="0" w:oddVBand="0" w:evenVBand="0" w:oddHBand="0" w:evenHBand="0" w:firstRowFirstColumn="0" w:firstRowLastColumn="0" w:lastRowFirstColumn="0" w:lastRowLastColumn="0"/>
            <w:tcW w:w="0" w:type="dxa"/>
            <w:hideMark/>
          </w:tcPr>
          <w:p w14:paraId="750AA2DE" w14:textId="77777777" w:rsidR="00A6244D" w:rsidRPr="000973F2" w:rsidRDefault="00A6244D" w:rsidP="00E06B5E">
            <w:pPr>
              <w:spacing w:before="40" w:after="4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Reporting</w:t>
            </w:r>
          </w:p>
        </w:tc>
        <w:tc>
          <w:tcPr>
            <w:tcW w:w="0" w:type="dxa"/>
            <w:noWrap/>
            <w:hideMark/>
          </w:tcPr>
          <w:p w14:paraId="341715A3" w14:textId="77777777" w:rsidR="00A6244D" w:rsidRPr="000973F2" w:rsidRDefault="00A6244D" w:rsidP="006F53B3">
            <w:pPr>
              <w:spacing w:before="40" w:after="4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0</w:t>
            </w:r>
          </w:p>
        </w:tc>
        <w:tc>
          <w:tcPr>
            <w:tcW w:w="0" w:type="dxa"/>
            <w:noWrap/>
            <w:hideMark/>
          </w:tcPr>
          <w:p w14:paraId="74A5D2C5" w14:textId="77777777" w:rsidR="00A6244D" w:rsidRPr="000973F2" w:rsidRDefault="00A6244D" w:rsidP="006F53B3">
            <w:pPr>
              <w:spacing w:before="40" w:after="4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0</w:t>
            </w:r>
          </w:p>
        </w:tc>
        <w:tc>
          <w:tcPr>
            <w:tcW w:w="0" w:type="dxa"/>
            <w:noWrap/>
            <w:hideMark/>
          </w:tcPr>
          <w:p w14:paraId="1893D77D" w14:textId="77777777" w:rsidR="00A6244D" w:rsidRPr="000973F2" w:rsidRDefault="00A6244D" w:rsidP="006F53B3">
            <w:pPr>
              <w:spacing w:before="40" w:after="4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0</w:t>
            </w:r>
          </w:p>
        </w:tc>
        <w:tc>
          <w:tcPr>
            <w:tcW w:w="0" w:type="dxa"/>
            <w:noWrap/>
            <w:hideMark/>
          </w:tcPr>
          <w:p w14:paraId="7ABE9D10" w14:textId="77777777" w:rsidR="00A6244D" w:rsidRPr="000973F2" w:rsidRDefault="00A6244D" w:rsidP="006F53B3">
            <w:pPr>
              <w:tabs>
                <w:tab w:val="decimal" w:pos="274"/>
              </w:tabs>
              <w:spacing w:before="40" w:after="4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1</w:t>
            </w:r>
          </w:p>
        </w:tc>
        <w:tc>
          <w:tcPr>
            <w:tcW w:w="0" w:type="dxa"/>
            <w:noWrap/>
            <w:hideMark/>
          </w:tcPr>
          <w:p w14:paraId="7D9C7A07" w14:textId="77777777" w:rsidR="00A6244D" w:rsidRPr="000973F2" w:rsidRDefault="00A6244D" w:rsidP="006F53B3">
            <w:pPr>
              <w:spacing w:before="40" w:after="4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0</w:t>
            </w:r>
          </w:p>
        </w:tc>
        <w:tc>
          <w:tcPr>
            <w:tcW w:w="0" w:type="dxa"/>
            <w:noWrap/>
            <w:hideMark/>
          </w:tcPr>
          <w:p w14:paraId="77024B43" w14:textId="77777777" w:rsidR="00A6244D" w:rsidRPr="000973F2" w:rsidRDefault="00A6244D" w:rsidP="006F53B3">
            <w:pPr>
              <w:tabs>
                <w:tab w:val="decimal" w:pos="365"/>
              </w:tabs>
              <w:spacing w:before="40" w:after="4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4</w:t>
            </w:r>
          </w:p>
        </w:tc>
        <w:tc>
          <w:tcPr>
            <w:tcW w:w="0" w:type="dxa"/>
            <w:noWrap/>
            <w:hideMark/>
          </w:tcPr>
          <w:p w14:paraId="2E0E38C2" w14:textId="77777777" w:rsidR="00A6244D" w:rsidRPr="000973F2" w:rsidRDefault="00A6244D" w:rsidP="006F53B3">
            <w:pPr>
              <w:spacing w:before="40" w:after="4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0</w:t>
            </w:r>
          </w:p>
        </w:tc>
        <w:tc>
          <w:tcPr>
            <w:tcW w:w="0" w:type="dxa"/>
            <w:noWrap/>
            <w:hideMark/>
          </w:tcPr>
          <w:p w14:paraId="72A44836" w14:textId="77777777" w:rsidR="00A6244D" w:rsidRPr="000973F2" w:rsidRDefault="00A6244D" w:rsidP="006F53B3">
            <w:pPr>
              <w:tabs>
                <w:tab w:val="decimal" w:pos="346"/>
              </w:tabs>
              <w:spacing w:before="40" w:after="4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1</w:t>
            </w:r>
          </w:p>
        </w:tc>
        <w:tc>
          <w:tcPr>
            <w:tcW w:w="0" w:type="dxa"/>
            <w:noWrap/>
            <w:hideMark/>
          </w:tcPr>
          <w:p w14:paraId="23732260" w14:textId="432F2E49" w:rsidR="00A6244D" w:rsidRPr="000973F2" w:rsidRDefault="00A6244D" w:rsidP="006F53B3">
            <w:pPr>
              <w:spacing w:before="40" w:after="4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$0</w:t>
            </w:r>
          </w:p>
        </w:tc>
        <w:tc>
          <w:tcPr>
            <w:tcW w:w="0" w:type="dxa"/>
            <w:noWrap/>
            <w:hideMark/>
          </w:tcPr>
          <w:p w14:paraId="12FA7FF0" w14:textId="77777777" w:rsidR="00A6244D" w:rsidRPr="000973F2" w:rsidRDefault="00A6244D" w:rsidP="006F53B3">
            <w:pPr>
              <w:tabs>
                <w:tab w:val="decimal" w:pos="524"/>
              </w:tabs>
              <w:spacing w:before="40" w:after="4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 xml:space="preserve">$410 </w:t>
            </w:r>
          </w:p>
        </w:tc>
      </w:tr>
      <w:tr w:rsidR="00CD7A06" w:rsidRPr="000973F2" w14:paraId="34F2A064" w14:textId="77777777" w:rsidTr="0085143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66" w:type="dxa"/>
            <w:noWrap/>
            <w:hideMark/>
          </w:tcPr>
          <w:p w14:paraId="4FC53ECC" w14:textId="77777777" w:rsidR="00A6244D" w:rsidRPr="000973F2" w:rsidRDefault="00A6244D" w:rsidP="00E06B5E">
            <w:pPr>
              <w:spacing w:before="40" w:after="40"/>
              <w:rPr>
                <w:rFonts w:ascii="Times New Roman" w:eastAsia="Times New Roman" w:hAnsi="Times New Roman" w:cs="Times New Roman"/>
                <w:b/>
                <w:bCs w:val="0"/>
                <w:sz w:val="18"/>
                <w:szCs w:val="18"/>
              </w:rPr>
            </w:pPr>
            <w:r w:rsidRPr="000973F2">
              <w:rPr>
                <w:rFonts w:ascii="Times New Roman" w:eastAsia="Times New Roman" w:hAnsi="Times New Roman" w:cs="Times New Roman"/>
                <w:b/>
                <w:sz w:val="18"/>
                <w:szCs w:val="18"/>
              </w:rPr>
              <w:t>Total</w:t>
            </w:r>
          </w:p>
        </w:tc>
        <w:tc>
          <w:tcPr>
            <w:tcW w:w="725" w:type="dxa"/>
            <w:noWrap/>
            <w:hideMark/>
          </w:tcPr>
          <w:p w14:paraId="5D06E788" w14:textId="77777777" w:rsidR="00A6244D" w:rsidRPr="000973F2" w:rsidRDefault="00A6244D" w:rsidP="006F53B3">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18"/>
                <w:szCs w:val="18"/>
              </w:rPr>
            </w:pPr>
            <w:r w:rsidRPr="000973F2">
              <w:rPr>
                <w:rFonts w:ascii="Times New Roman" w:eastAsia="Times New Roman" w:hAnsi="Times New Roman" w:cs="Times New Roman"/>
                <w:b/>
                <w:sz w:val="18"/>
                <w:szCs w:val="18"/>
              </w:rPr>
              <w:t>0</w:t>
            </w:r>
          </w:p>
        </w:tc>
        <w:tc>
          <w:tcPr>
            <w:tcW w:w="851" w:type="dxa"/>
            <w:noWrap/>
            <w:hideMark/>
          </w:tcPr>
          <w:p w14:paraId="6CED3AEC" w14:textId="77777777" w:rsidR="00A6244D" w:rsidRPr="000973F2" w:rsidRDefault="00A6244D" w:rsidP="006F53B3">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18"/>
                <w:szCs w:val="18"/>
              </w:rPr>
            </w:pPr>
            <w:r w:rsidRPr="000973F2">
              <w:rPr>
                <w:rFonts w:ascii="Times New Roman" w:eastAsia="Times New Roman" w:hAnsi="Times New Roman" w:cs="Times New Roman"/>
                <w:b/>
                <w:sz w:val="18"/>
                <w:szCs w:val="18"/>
              </w:rPr>
              <w:t>1</w:t>
            </w:r>
          </w:p>
        </w:tc>
        <w:tc>
          <w:tcPr>
            <w:tcW w:w="834" w:type="dxa"/>
            <w:noWrap/>
            <w:hideMark/>
          </w:tcPr>
          <w:p w14:paraId="63FA6CDD" w14:textId="77777777" w:rsidR="00A6244D" w:rsidRPr="000973F2" w:rsidRDefault="00A6244D" w:rsidP="006F53B3">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18"/>
                <w:szCs w:val="18"/>
              </w:rPr>
            </w:pPr>
            <w:r w:rsidRPr="000973F2">
              <w:rPr>
                <w:rFonts w:ascii="Times New Roman" w:eastAsia="Times New Roman" w:hAnsi="Times New Roman" w:cs="Times New Roman"/>
                <w:b/>
                <w:sz w:val="18"/>
                <w:szCs w:val="18"/>
              </w:rPr>
              <w:t>0</w:t>
            </w:r>
          </w:p>
        </w:tc>
        <w:tc>
          <w:tcPr>
            <w:tcW w:w="835" w:type="dxa"/>
            <w:noWrap/>
            <w:hideMark/>
          </w:tcPr>
          <w:p w14:paraId="192F4150" w14:textId="77777777" w:rsidR="00A6244D" w:rsidRPr="000973F2" w:rsidRDefault="00A6244D" w:rsidP="006F53B3">
            <w:pPr>
              <w:tabs>
                <w:tab w:val="decimal" w:pos="274"/>
              </w:tabs>
              <w:spacing w:before="40" w:after="4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18"/>
                <w:szCs w:val="18"/>
              </w:rPr>
            </w:pPr>
            <w:r w:rsidRPr="000973F2">
              <w:rPr>
                <w:rFonts w:ascii="Times New Roman" w:eastAsia="Times New Roman" w:hAnsi="Times New Roman" w:cs="Times New Roman"/>
                <w:b/>
                <w:sz w:val="18"/>
                <w:szCs w:val="18"/>
              </w:rPr>
              <w:t>2.8</w:t>
            </w:r>
          </w:p>
        </w:tc>
        <w:tc>
          <w:tcPr>
            <w:tcW w:w="834" w:type="dxa"/>
            <w:noWrap/>
            <w:hideMark/>
          </w:tcPr>
          <w:p w14:paraId="44E96A89" w14:textId="77777777" w:rsidR="00A6244D" w:rsidRPr="000973F2" w:rsidRDefault="00A6244D" w:rsidP="006F53B3">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18"/>
                <w:szCs w:val="18"/>
              </w:rPr>
            </w:pPr>
            <w:r w:rsidRPr="000973F2">
              <w:rPr>
                <w:rFonts w:ascii="Times New Roman" w:eastAsia="Times New Roman" w:hAnsi="Times New Roman" w:cs="Times New Roman"/>
                <w:b/>
                <w:sz w:val="18"/>
                <w:szCs w:val="18"/>
              </w:rPr>
              <w:t>0</w:t>
            </w:r>
          </w:p>
        </w:tc>
        <w:tc>
          <w:tcPr>
            <w:tcW w:w="835" w:type="dxa"/>
            <w:noWrap/>
            <w:hideMark/>
          </w:tcPr>
          <w:p w14:paraId="49A8E6C1" w14:textId="77777777" w:rsidR="00A6244D" w:rsidRPr="000973F2" w:rsidRDefault="00A6244D" w:rsidP="006F53B3">
            <w:pPr>
              <w:tabs>
                <w:tab w:val="decimal" w:pos="365"/>
              </w:tabs>
              <w:spacing w:before="40" w:after="4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18"/>
                <w:szCs w:val="18"/>
              </w:rPr>
            </w:pPr>
            <w:r w:rsidRPr="000973F2">
              <w:rPr>
                <w:rFonts w:ascii="Times New Roman" w:eastAsia="Times New Roman" w:hAnsi="Times New Roman" w:cs="Times New Roman"/>
                <w:b/>
                <w:sz w:val="18"/>
                <w:szCs w:val="18"/>
              </w:rPr>
              <w:t>19</w:t>
            </w:r>
          </w:p>
        </w:tc>
        <w:tc>
          <w:tcPr>
            <w:tcW w:w="741" w:type="dxa"/>
            <w:noWrap/>
            <w:hideMark/>
          </w:tcPr>
          <w:p w14:paraId="6FA963E9" w14:textId="77777777" w:rsidR="00A6244D" w:rsidRPr="000973F2" w:rsidRDefault="00A6244D" w:rsidP="006F53B3">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18"/>
                <w:szCs w:val="18"/>
              </w:rPr>
            </w:pPr>
            <w:r w:rsidRPr="000973F2">
              <w:rPr>
                <w:rFonts w:ascii="Times New Roman" w:eastAsia="Times New Roman" w:hAnsi="Times New Roman" w:cs="Times New Roman"/>
                <w:b/>
                <w:sz w:val="18"/>
                <w:szCs w:val="18"/>
              </w:rPr>
              <w:t>0</w:t>
            </w:r>
          </w:p>
        </w:tc>
        <w:tc>
          <w:tcPr>
            <w:tcW w:w="927" w:type="dxa"/>
            <w:noWrap/>
            <w:hideMark/>
          </w:tcPr>
          <w:p w14:paraId="506ACDC4" w14:textId="3962D47E" w:rsidR="00A6244D" w:rsidRPr="000973F2" w:rsidRDefault="00A6244D" w:rsidP="006F53B3">
            <w:pPr>
              <w:tabs>
                <w:tab w:val="decimal" w:pos="346"/>
              </w:tabs>
              <w:spacing w:before="40" w:after="4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18"/>
                <w:szCs w:val="18"/>
              </w:rPr>
            </w:pPr>
            <w:r w:rsidRPr="000973F2">
              <w:rPr>
                <w:rFonts w:ascii="Times New Roman" w:eastAsia="Times New Roman" w:hAnsi="Times New Roman" w:cs="Times New Roman"/>
                <w:b/>
                <w:sz w:val="18"/>
                <w:szCs w:val="18"/>
              </w:rPr>
              <w:t>2.</w:t>
            </w:r>
            <w:r w:rsidR="007478B6" w:rsidRPr="000973F2">
              <w:rPr>
                <w:rFonts w:ascii="Times New Roman" w:eastAsia="Times New Roman" w:hAnsi="Times New Roman" w:cs="Times New Roman"/>
                <w:b/>
                <w:sz w:val="18"/>
                <w:szCs w:val="18"/>
              </w:rPr>
              <w:t>2</w:t>
            </w:r>
          </w:p>
        </w:tc>
        <w:tc>
          <w:tcPr>
            <w:tcW w:w="741" w:type="dxa"/>
            <w:noWrap/>
            <w:hideMark/>
          </w:tcPr>
          <w:p w14:paraId="2C64B63D" w14:textId="040F841C" w:rsidR="00A6244D" w:rsidRPr="000973F2" w:rsidRDefault="00A6244D" w:rsidP="006F53B3">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18"/>
                <w:szCs w:val="18"/>
              </w:rPr>
            </w:pPr>
            <w:r w:rsidRPr="000973F2">
              <w:rPr>
                <w:rFonts w:ascii="Times New Roman" w:eastAsia="Times New Roman" w:hAnsi="Times New Roman" w:cs="Times New Roman"/>
                <w:b/>
                <w:sz w:val="18"/>
                <w:szCs w:val="18"/>
              </w:rPr>
              <w:t>$0</w:t>
            </w:r>
          </w:p>
        </w:tc>
        <w:tc>
          <w:tcPr>
            <w:tcW w:w="903" w:type="dxa"/>
            <w:noWrap/>
            <w:hideMark/>
          </w:tcPr>
          <w:p w14:paraId="2EB01A6D" w14:textId="77777777" w:rsidR="00A6244D" w:rsidRPr="000973F2" w:rsidRDefault="00A6244D" w:rsidP="006F53B3">
            <w:pPr>
              <w:tabs>
                <w:tab w:val="decimal" w:pos="524"/>
              </w:tabs>
              <w:spacing w:before="40" w:after="4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18"/>
                <w:szCs w:val="18"/>
              </w:rPr>
            </w:pPr>
            <w:r w:rsidRPr="000973F2">
              <w:rPr>
                <w:rFonts w:ascii="Times New Roman" w:eastAsia="Times New Roman" w:hAnsi="Times New Roman" w:cs="Times New Roman"/>
                <w:b/>
                <w:sz w:val="18"/>
                <w:szCs w:val="18"/>
              </w:rPr>
              <w:t xml:space="preserve">$1,793 </w:t>
            </w:r>
          </w:p>
        </w:tc>
      </w:tr>
    </w:tbl>
    <w:p w14:paraId="5AFFD92B" w14:textId="77777777" w:rsidR="00A6244D" w:rsidRPr="000973F2" w:rsidRDefault="00A6244D" w:rsidP="00C00E4F">
      <w:pPr>
        <w:spacing w:line="240" w:lineRule="auto"/>
        <w:rPr>
          <w:rFonts w:ascii="Times New Roman" w:hAnsi="Times New Roman" w:cs="Times New Roman"/>
          <w:b/>
          <w:i/>
        </w:rPr>
      </w:pPr>
    </w:p>
    <w:p w14:paraId="45120101" w14:textId="2167AA21" w:rsidR="00A6244D" w:rsidRPr="000973F2" w:rsidRDefault="001E4ED6" w:rsidP="00252105">
      <w:pPr>
        <w:pStyle w:val="Tabletitlecontinued"/>
      </w:pPr>
      <w:r w:rsidRPr="000973F2">
        <w:t xml:space="preserve">Example Table 2. </w:t>
      </w:r>
      <w:r w:rsidR="0044747A" w:rsidRPr="000973F2">
        <w:t>Capital and O&amp;M Costs</w:t>
      </w:r>
      <w:r w:rsidR="00CC6C17" w:rsidRPr="000973F2">
        <w:t xml:space="preserve"> – </w:t>
      </w:r>
      <w:r w:rsidR="00A6244D" w:rsidRPr="000973F2">
        <w:t xml:space="preserve">Subpart E </w:t>
      </w:r>
      <w:r w:rsidR="0044747A" w:rsidRPr="000973F2">
        <w:t>–</w:t>
      </w:r>
      <w:r w:rsidR="00A6244D" w:rsidRPr="000973F2">
        <w:t xml:space="preserve"> </w:t>
      </w:r>
      <w:r w:rsidR="0044747A" w:rsidRPr="000973F2">
        <w:t>Option “a”</w:t>
      </w:r>
      <w:r w:rsidR="00CC6C17" w:rsidRPr="000973F2">
        <w:t xml:space="preserve"> – </w:t>
      </w:r>
      <w:r w:rsidR="00A6244D" w:rsidRPr="000973F2">
        <w:t>Annual Performance Test</w:t>
      </w:r>
    </w:p>
    <w:tbl>
      <w:tblPr>
        <w:tblStyle w:val="PlainTable1"/>
        <w:tblW w:w="5000" w:type="pct"/>
        <w:jc w:val="left"/>
        <w:tblLayout w:type="fixed"/>
        <w:tblLook w:val="04A0" w:firstRow="1" w:lastRow="0" w:firstColumn="1" w:lastColumn="0" w:noHBand="0" w:noVBand="1"/>
      </w:tblPr>
      <w:tblGrid>
        <w:gridCol w:w="2940"/>
        <w:gridCol w:w="1223"/>
        <w:gridCol w:w="1079"/>
        <w:gridCol w:w="1250"/>
        <w:gridCol w:w="1171"/>
        <w:gridCol w:w="956"/>
        <w:gridCol w:w="957"/>
      </w:tblGrid>
      <w:tr w:rsidR="00FF36E8" w:rsidRPr="000973F2" w14:paraId="54AD7624" w14:textId="77777777" w:rsidTr="007C5F18">
        <w:trPr>
          <w:cnfStyle w:val="100000000000" w:firstRow="1" w:lastRow="0" w:firstColumn="0" w:lastColumn="0" w:oddVBand="0" w:evenVBand="0" w:oddHBand="0" w:evenHBand="0" w:firstRowFirstColumn="0" w:firstRowLastColumn="0" w:lastRowFirstColumn="0" w:lastRowLastColumn="0"/>
          <w:jc w:val="left"/>
        </w:trPr>
        <w:tc>
          <w:tcPr>
            <w:cnfStyle w:val="001000000000" w:firstRow="0" w:lastRow="0" w:firstColumn="1" w:lastColumn="0" w:oddVBand="0" w:evenVBand="0" w:oddHBand="0" w:evenHBand="0" w:firstRowFirstColumn="0" w:firstRowLastColumn="0" w:lastRowFirstColumn="0" w:lastRowLastColumn="0"/>
            <w:tcW w:w="2865" w:type="dxa"/>
            <w:vMerge w:val="restart"/>
            <w:noWrap/>
            <w:vAlign w:val="top"/>
            <w:hideMark/>
          </w:tcPr>
          <w:p w14:paraId="5EBD4A05" w14:textId="3ACBDED0" w:rsidR="00FF36E8" w:rsidRPr="000973F2" w:rsidRDefault="00FF36E8" w:rsidP="00E06B5E">
            <w:pPr>
              <w:spacing w:before="40" w:after="40"/>
              <w:rPr>
                <w:rFonts w:ascii="Times New Roman" w:eastAsia="Times New Roman" w:hAnsi="Times New Roman" w:cs="Times New Roman"/>
                <w:b w:val="0"/>
                <w:bCs w:val="0"/>
                <w:sz w:val="18"/>
                <w:szCs w:val="18"/>
              </w:rPr>
            </w:pPr>
            <w:r w:rsidRPr="000973F2">
              <w:rPr>
                <w:rFonts w:ascii="Times New Roman" w:eastAsia="Times New Roman" w:hAnsi="Times New Roman" w:cs="Times New Roman"/>
                <w:sz w:val="18"/>
                <w:szCs w:val="18"/>
              </w:rPr>
              <w:t>Activity</w:t>
            </w:r>
          </w:p>
        </w:tc>
        <w:tc>
          <w:tcPr>
            <w:tcW w:w="4602" w:type="dxa"/>
            <w:gridSpan w:val="4"/>
            <w:noWrap/>
            <w:vAlign w:val="top"/>
            <w:hideMark/>
          </w:tcPr>
          <w:p w14:paraId="1ECD9DAD" w14:textId="77777777" w:rsidR="00FF36E8" w:rsidRPr="000973F2" w:rsidRDefault="00FF36E8" w:rsidP="00E06B5E">
            <w:pPr>
              <w:spacing w:before="40" w:after="40"/>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bCs w:val="0"/>
                <w:sz w:val="18"/>
                <w:szCs w:val="18"/>
              </w:rPr>
            </w:pPr>
            <w:r w:rsidRPr="000973F2">
              <w:rPr>
                <w:rFonts w:ascii="Times New Roman" w:eastAsia="Times New Roman" w:hAnsi="Times New Roman" w:cs="Times New Roman"/>
                <w:sz w:val="18"/>
                <w:szCs w:val="18"/>
              </w:rPr>
              <w:t>Cost Categories</w:t>
            </w:r>
          </w:p>
        </w:tc>
        <w:tc>
          <w:tcPr>
            <w:tcW w:w="1863" w:type="dxa"/>
            <w:gridSpan w:val="2"/>
            <w:vAlign w:val="top"/>
            <w:hideMark/>
          </w:tcPr>
          <w:p w14:paraId="5126B2FD" w14:textId="5E7DBF76" w:rsidR="00FF36E8" w:rsidRPr="000973F2" w:rsidRDefault="00FF36E8" w:rsidP="00E06B5E">
            <w:pPr>
              <w:spacing w:before="40" w:after="40"/>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Cs w:val="0"/>
                <w:sz w:val="18"/>
                <w:szCs w:val="18"/>
              </w:rPr>
            </w:pPr>
            <w:r w:rsidRPr="000973F2">
              <w:rPr>
                <w:rFonts w:ascii="Times New Roman" w:eastAsia="Times New Roman" w:hAnsi="Times New Roman" w:cs="Times New Roman"/>
                <w:sz w:val="18"/>
                <w:szCs w:val="18"/>
              </w:rPr>
              <w:t>Total Capital and O&amp;M Cost per Year per Facility (2017$)</w:t>
            </w:r>
          </w:p>
        </w:tc>
      </w:tr>
      <w:tr w:rsidR="00FF36E8" w:rsidRPr="000973F2" w14:paraId="141B5389" w14:textId="77777777" w:rsidTr="007C5F1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65" w:type="dxa"/>
            <w:vMerge/>
            <w:noWrap/>
            <w:hideMark/>
          </w:tcPr>
          <w:p w14:paraId="1D9A21F1" w14:textId="2FC01AD7" w:rsidR="00FF36E8" w:rsidRPr="000973F2" w:rsidRDefault="00FF36E8" w:rsidP="00E06B5E">
            <w:pPr>
              <w:spacing w:before="40" w:after="40"/>
              <w:jc w:val="center"/>
              <w:rPr>
                <w:rFonts w:ascii="Times New Roman" w:eastAsia="Times New Roman" w:hAnsi="Times New Roman" w:cs="Times New Roman"/>
                <w:b/>
                <w:bCs w:val="0"/>
                <w:sz w:val="18"/>
                <w:szCs w:val="18"/>
              </w:rPr>
            </w:pPr>
          </w:p>
        </w:tc>
        <w:tc>
          <w:tcPr>
            <w:tcW w:w="1192" w:type="dxa"/>
            <w:tcMar>
              <w:left w:w="14" w:type="dxa"/>
              <w:right w:w="14" w:type="dxa"/>
            </w:tcMar>
            <w:hideMark/>
          </w:tcPr>
          <w:p w14:paraId="3D14CC61" w14:textId="77777777" w:rsidR="00FF36E8" w:rsidRPr="000973F2" w:rsidRDefault="00FF36E8" w:rsidP="00E06B5E">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18"/>
                <w:szCs w:val="18"/>
              </w:rPr>
            </w:pPr>
            <w:r w:rsidRPr="000973F2">
              <w:rPr>
                <w:rFonts w:ascii="Times New Roman" w:eastAsia="Times New Roman" w:hAnsi="Times New Roman" w:cs="Times New Roman"/>
                <w:b/>
                <w:bCs/>
                <w:sz w:val="18"/>
                <w:szCs w:val="18"/>
              </w:rPr>
              <w:t>Capital Cost (2017$)</w:t>
            </w:r>
          </w:p>
        </w:tc>
        <w:tc>
          <w:tcPr>
            <w:tcW w:w="1051" w:type="dxa"/>
            <w:tcMar>
              <w:left w:w="14" w:type="dxa"/>
              <w:right w:w="14" w:type="dxa"/>
            </w:tcMar>
            <w:hideMark/>
          </w:tcPr>
          <w:p w14:paraId="61F1770F" w14:textId="77777777" w:rsidR="00FF36E8" w:rsidRPr="000973F2" w:rsidRDefault="00FF36E8" w:rsidP="00E06B5E">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18"/>
                <w:szCs w:val="18"/>
              </w:rPr>
            </w:pPr>
            <w:r w:rsidRPr="000973F2">
              <w:rPr>
                <w:rFonts w:ascii="Times New Roman" w:eastAsia="Times New Roman" w:hAnsi="Times New Roman" w:cs="Times New Roman"/>
                <w:b/>
                <w:bCs/>
                <w:sz w:val="18"/>
                <w:szCs w:val="18"/>
              </w:rPr>
              <w:t>Equipment Lifetime</w:t>
            </w:r>
          </w:p>
        </w:tc>
        <w:tc>
          <w:tcPr>
            <w:tcW w:w="1218" w:type="dxa"/>
            <w:tcMar>
              <w:left w:w="14" w:type="dxa"/>
              <w:right w:w="14" w:type="dxa"/>
            </w:tcMar>
            <w:hideMark/>
          </w:tcPr>
          <w:p w14:paraId="077161C7" w14:textId="77777777" w:rsidR="00FF36E8" w:rsidRPr="000973F2" w:rsidRDefault="00FF36E8" w:rsidP="00E06B5E">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18"/>
                <w:szCs w:val="18"/>
              </w:rPr>
            </w:pPr>
            <w:r w:rsidRPr="000973F2">
              <w:rPr>
                <w:rFonts w:ascii="Times New Roman" w:eastAsia="Times New Roman" w:hAnsi="Times New Roman" w:cs="Times New Roman"/>
                <w:b/>
                <w:bCs/>
                <w:sz w:val="18"/>
                <w:szCs w:val="18"/>
              </w:rPr>
              <w:t>Annualized Capital Cost (2017$/year)</w:t>
            </w:r>
          </w:p>
        </w:tc>
        <w:tc>
          <w:tcPr>
            <w:tcW w:w="1141" w:type="dxa"/>
            <w:tcMar>
              <w:left w:w="14" w:type="dxa"/>
              <w:right w:w="14" w:type="dxa"/>
            </w:tcMar>
            <w:hideMark/>
          </w:tcPr>
          <w:p w14:paraId="23C0D547" w14:textId="77777777" w:rsidR="00FF36E8" w:rsidRPr="000973F2" w:rsidRDefault="00FF36E8" w:rsidP="00E06B5E">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18"/>
                <w:szCs w:val="18"/>
              </w:rPr>
            </w:pPr>
            <w:r w:rsidRPr="000973F2">
              <w:rPr>
                <w:rFonts w:ascii="Times New Roman" w:eastAsia="Times New Roman" w:hAnsi="Times New Roman" w:cs="Times New Roman"/>
                <w:b/>
                <w:bCs/>
                <w:sz w:val="18"/>
                <w:szCs w:val="18"/>
              </w:rPr>
              <w:t>O&amp;M Costs (2017$/year)</w:t>
            </w:r>
          </w:p>
        </w:tc>
        <w:tc>
          <w:tcPr>
            <w:tcW w:w="931" w:type="dxa"/>
            <w:tcMar>
              <w:left w:w="14" w:type="dxa"/>
              <w:right w:w="14" w:type="dxa"/>
            </w:tcMar>
            <w:hideMark/>
          </w:tcPr>
          <w:p w14:paraId="37C2D14C" w14:textId="77777777" w:rsidR="00FF36E8" w:rsidRPr="000973F2" w:rsidRDefault="00FF36E8" w:rsidP="00E06B5E">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18"/>
                <w:szCs w:val="18"/>
              </w:rPr>
            </w:pPr>
            <w:r w:rsidRPr="000973F2">
              <w:rPr>
                <w:rFonts w:ascii="Times New Roman" w:eastAsia="Times New Roman" w:hAnsi="Times New Roman" w:cs="Times New Roman"/>
                <w:b/>
                <w:bCs/>
                <w:sz w:val="18"/>
                <w:szCs w:val="18"/>
              </w:rPr>
              <w:t>Initial Year</w:t>
            </w:r>
          </w:p>
        </w:tc>
        <w:tc>
          <w:tcPr>
            <w:tcW w:w="932" w:type="dxa"/>
            <w:tcMar>
              <w:left w:w="14" w:type="dxa"/>
              <w:right w:w="14" w:type="dxa"/>
            </w:tcMar>
            <w:hideMark/>
          </w:tcPr>
          <w:p w14:paraId="47E4158B" w14:textId="77777777" w:rsidR="00FF36E8" w:rsidRPr="000973F2" w:rsidRDefault="00FF36E8" w:rsidP="00E06B5E">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18"/>
                <w:szCs w:val="18"/>
              </w:rPr>
            </w:pPr>
            <w:r w:rsidRPr="000973F2">
              <w:rPr>
                <w:rFonts w:ascii="Times New Roman" w:eastAsia="Times New Roman" w:hAnsi="Times New Roman" w:cs="Times New Roman"/>
                <w:b/>
                <w:bCs/>
                <w:sz w:val="18"/>
                <w:szCs w:val="18"/>
              </w:rPr>
              <w:t>Subseq. Years</w:t>
            </w:r>
          </w:p>
        </w:tc>
      </w:tr>
      <w:tr w:rsidR="008403B1" w:rsidRPr="000973F2" w14:paraId="39C6C119" w14:textId="77777777" w:rsidTr="007C5F18">
        <w:tc>
          <w:tcPr>
            <w:cnfStyle w:val="001000000000" w:firstRow="0" w:lastRow="0" w:firstColumn="1" w:lastColumn="0" w:oddVBand="0" w:evenVBand="0" w:oddHBand="0" w:evenHBand="0" w:firstRowFirstColumn="0" w:firstRowLastColumn="0" w:lastRowFirstColumn="0" w:lastRowLastColumn="0"/>
            <w:tcW w:w="2865" w:type="dxa"/>
            <w:hideMark/>
          </w:tcPr>
          <w:p w14:paraId="776060AB" w14:textId="77777777" w:rsidR="00A6244D" w:rsidRPr="000973F2" w:rsidRDefault="00A6244D" w:rsidP="00E06B5E">
            <w:pPr>
              <w:spacing w:before="40" w:after="4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Equipment (selection, purchase, installation)</w:t>
            </w:r>
          </w:p>
        </w:tc>
        <w:tc>
          <w:tcPr>
            <w:tcW w:w="1192" w:type="dxa"/>
            <w:noWrap/>
            <w:hideMark/>
          </w:tcPr>
          <w:p w14:paraId="47697F46" w14:textId="77777777" w:rsidR="00A6244D" w:rsidRPr="000973F2" w:rsidRDefault="00A6244D" w:rsidP="006F53B3">
            <w:pPr>
              <w:spacing w:before="40" w:after="4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$0</w:t>
            </w:r>
          </w:p>
        </w:tc>
        <w:tc>
          <w:tcPr>
            <w:tcW w:w="1051" w:type="dxa"/>
            <w:noWrap/>
          </w:tcPr>
          <w:p w14:paraId="354483B6" w14:textId="41819BC2" w:rsidR="00A6244D" w:rsidRPr="000973F2" w:rsidRDefault="00A6244D" w:rsidP="006F53B3">
            <w:pPr>
              <w:spacing w:before="40" w:after="4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p>
        </w:tc>
        <w:tc>
          <w:tcPr>
            <w:tcW w:w="1218" w:type="dxa"/>
            <w:noWrap/>
            <w:hideMark/>
          </w:tcPr>
          <w:p w14:paraId="207DAA72" w14:textId="77777777" w:rsidR="00A6244D" w:rsidRPr="000973F2" w:rsidRDefault="00A6244D" w:rsidP="006F53B3">
            <w:pPr>
              <w:spacing w:before="40" w:after="4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$0</w:t>
            </w:r>
          </w:p>
        </w:tc>
        <w:tc>
          <w:tcPr>
            <w:tcW w:w="1141" w:type="dxa"/>
            <w:noWrap/>
            <w:hideMark/>
          </w:tcPr>
          <w:p w14:paraId="10009C47" w14:textId="77777777" w:rsidR="00A6244D" w:rsidRPr="000973F2" w:rsidRDefault="00A6244D" w:rsidP="006F53B3">
            <w:pPr>
              <w:tabs>
                <w:tab w:val="decimal" w:pos="658"/>
              </w:tabs>
              <w:spacing w:before="40" w:after="4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$0</w:t>
            </w:r>
          </w:p>
        </w:tc>
        <w:tc>
          <w:tcPr>
            <w:tcW w:w="931" w:type="dxa"/>
            <w:noWrap/>
            <w:hideMark/>
          </w:tcPr>
          <w:p w14:paraId="02780080" w14:textId="77777777" w:rsidR="00A6244D" w:rsidRPr="000973F2" w:rsidRDefault="00A6244D" w:rsidP="006F53B3">
            <w:pPr>
              <w:spacing w:before="40" w:after="4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$0</w:t>
            </w:r>
          </w:p>
        </w:tc>
        <w:tc>
          <w:tcPr>
            <w:tcW w:w="932" w:type="dxa"/>
            <w:noWrap/>
            <w:hideMark/>
          </w:tcPr>
          <w:p w14:paraId="50B7E486" w14:textId="77777777" w:rsidR="00A6244D" w:rsidRPr="000973F2" w:rsidRDefault="00A6244D" w:rsidP="006F53B3">
            <w:pPr>
              <w:tabs>
                <w:tab w:val="decimal" w:pos="578"/>
              </w:tabs>
              <w:spacing w:before="40" w:after="4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$0</w:t>
            </w:r>
          </w:p>
        </w:tc>
      </w:tr>
      <w:tr w:rsidR="008403B1" w:rsidRPr="000973F2" w14:paraId="684FA34D" w14:textId="77777777" w:rsidTr="007C5F1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65" w:type="dxa"/>
            <w:hideMark/>
          </w:tcPr>
          <w:p w14:paraId="18EAB373" w14:textId="77777777" w:rsidR="00A6244D" w:rsidRPr="000973F2" w:rsidRDefault="00A6244D" w:rsidP="00E06B5E">
            <w:pPr>
              <w:spacing w:before="40" w:after="4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Performance testing</w:t>
            </w:r>
          </w:p>
        </w:tc>
        <w:tc>
          <w:tcPr>
            <w:tcW w:w="1192" w:type="dxa"/>
            <w:noWrap/>
            <w:hideMark/>
          </w:tcPr>
          <w:p w14:paraId="7EF314AC" w14:textId="77777777" w:rsidR="00A6244D" w:rsidRPr="000973F2" w:rsidRDefault="00A6244D" w:rsidP="006F53B3">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$0</w:t>
            </w:r>
          </w:p>
        </w:tc>
        <w:tc>
          <w:tcPr>
            <w:tcW w:w="1051" w:type="dxa"/>
            <w:noWrap/>
          </w:tcPr>
          <w:p w14:paraId="4E6CF8C7" w14:textId="24413613" w:rsidR="00A6244D" w:rsidRPr="000973F2" w:rsidRDefault="00A6244D" w:rsidP="006F53B3">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p>
        </w:tc>
        <w:tc>
          <w:tcPr>
            <w:tcW w:w="1218" w:type="dxa"/>
            <w:noWrap/>
            <w:hideMark/>
          </w:tcPr>
          <w:p w14:paraId="4590D285" w14:textId="77777777" w:rsidR="00A6244D" w:rsidRPr="000973F2" w:rsidRDefault="00A6244D" w:rsidP="006F53B3">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$0</w:t>
            </w:r>
          </w:p>
        </w:tc>
        <w:tc>
          <w:tcPr>
            <w:tcW w:w="1141" w:type="dxa"/>
            <w:noWrap/>
            <w:hideMark/>
          </w:tcPr>
          <w:p w14:paraId="5FE90531" w14:textId="77777777" w:rsidR="00A6244D" w:rsidRPr="000973F2" w:rsidRDefault="00A6244D" w:rsidP="006F53B3">
            <w:pPr>
              <w:tabs>
                <w:tab w:val="decimal" w:pos="658"/>
              </w:tabs>
              <w:spacing w:before="40" w:after="4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$5,437</w:t>
            </w:r>
          </w:p>
        </w:tc>
        <w:tc>
          <w:tcPr>
            <w:tcW w:w="931" w:type="dxa"/>
            <w:noWrap/>
            <w:hideMark/>
          </w:tcPr>
          <w:p w14:paraId="09791095" w14:textId="77777777" w:rsidR="00A6244D" w:rsidRPr="000973F2" w:rsidRDefault="00A6244D" w:rsidP="006F53B3">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$0</w:t>
            </w:r>
          </w:p>
        </w:tc>
        <w:tc>
          <w:tcPr>
            <w:tcW w:w="932" w:type="dxa"/>
            <w:noWrap/>
            <w:hideMark/>
          </w:tcPr>
          <w:p w14:paraId="047DC733" w14:textId="77777777" w:rsidR="00A6244D" w:rsidRPr="000973F2" w:rsidRDefault="00A6244D" w:rsidP="006F53B3">
            <w:pPr>
              <w:tabs>
                <w:tab w:val="decimal" w:pos="578"/>
              </w:tabs>
              <w:spacing w:before="40" w:after="4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$5,437</w:t>
            </w:r>
          </w:p>
        </w:tc>
      </w:tr>
      <w:tr w:rsidR="008403B1" w:rsidRPr="000973F2" w14:paraId="6575B73E" w14:textId="77777777" w:rsidTr="007C5F18">
        <w:tc>
          <w:tcPr>
            <w:cnfStyle w:val="001000000000" w:firstRow="0" w:lastRow="0" w:firstColumn="1" w:lastColumn="0" w:oddVBand="0" w:evenVBand="0" w:oddHBand="0" w:evenHBand="0" w:firstRowFirstColumn="0" w:firstRowLastColumn="0" w:lastRowFirstColumn="0" w:lastRowLastColumn="0"/>
            <w:tcW w:w="2865" w:type="dxa"/>
            <w:hideMark/>
          </w:tcPr>
          <w:p w14:paraId="5238AE84" w14:textId="77777777" w:rsidR="00A6244D" w:rsidRPr="000973F2" w:rsidRDefault="00A6244D" w:rsidP="00E06B5E">
            <w:pPr>
              <w:spacing w:before="40" w:after="4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Recordkeeping</w:t>
            </w:r>
          </w:p>
        </w:tc>
        <w:tc>
          <w:tcPr>
            <w:tcW w:w="1192" w:type="dxa"/>
            <w:noWrap/>
            <w:hideMark/>
          </w:tcPr>
          <w:p w14:paraId="638BED38" w14:textId="77777777" w:rsidR="00A6244D" w:rsidRPr="000973F2" w:rsidRDefault="00A6244D" w:rsidP="006F53B3">
            <w:pPr>
              <w:spacing w:before="40" w:after="4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$0</w:t>
            </w:r>
          </w:p>
        </w:tc>
        <w:tc>
          <w:tcPr>
            <w:tcW w:w="1051" w:type="dxa"/>
            <w:noWrap/>
          </w:tcPr>
          <w:p w14:paraId="0A18736F" w14:textId="74C42D26" w:rsidR="00A6244D" w:rsidRPr="000973F2" w:rsidRDefault="00A6244D" w:rsidP="006F53B3">
            <w:pPr>
              <w:spacing w:before="40" w:after="4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p>
        </w:tc>
        <w:tc>
          <w:tcPr>
            <w:tcW w:w="1218" w:type="dxa"/>
            <w:noWrap/>
            <w:hideMark/>
          </w:tcPr>
          <w:p w14:paraId="671126FD" w14:textId="77777777" w:rsidR="00A6244D" w:rsidRPr="000973F2" w:rsidRDefault="00A6244D" w:rsidP="006F53B3">
            <w:pPr>
              <w:spacing w:before="40" w:after="4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$0</w:t>
            </w:r>
          </w:p>
        </w:tc>
        <w:tc>
          <w:tcPr>
            <w:tcW w:w="1141" w:type="dxa"/>
            <w:noWrap/>
            <w:hideMark/>
          </w:tcPr>
          <w:p w14:paraId="1811A48F" w14:textId="77777777" w:rsidR="00A6244D" w:rsidRPr="000973F2" w:rsidRDefault="00A6244D" w:rsidP="006F53B3">
            <w:pPr>
              <w:tabs>
                <w:tab w:val="decimal" w:pos="658"/>
              </w:tabs>
              <w:spacing w:before="40" w:after="4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$50</w:t>
            </w:r>
          </w:p>
        </w:tc>
        <w:tc>
          <w:tcPr>
            <w:tcW w:w="931" w:type="dxa"/>
            <w:noWrap/>
            <w:hideMark/>
          </w:tcPr>
          <w:p w14:paraId="77E2C3F5" w14:textId="77777777" w:rsidR="00A6244D" w:rsidRPr="000973F2" w:rsidRDefault="00A6244D" w:rsidP="006F53B3">
            <w:pPr>
              <w:spacing w:before="40" w:after="4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$0</w:t>
            </w:r>
          </w:p>
        </w:tc>
        <w:tc>
          <w:tcPr>
            <w:tcW w:w="932" w:type="dxa"/>
            <w:noWrap/>
            <w:hideMark/>
          </w:tcPr>
          <w:p w14:paraId="51848F2E" w14:textId="77777777" w:rsidR="00A6244D" w:rsidRPr="000973F2" w:rsidRDefault="00A6244D" w:rsidP="006F53B3">
            <w:pPr>
              <w:tabs>
                <w:tab w:val="decimal" w:pos="578"/>
              </w:tabs>
              <w:spacing w:before="40" w:after="4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$50</w:t>
            </w:r>
          </w:p>
        </w:tc>
      </w:tr>
      <w:tr w:rsidR="008403B1" w:rsidRPr="000973F2" w14:paraId="4A244B88" w14:textId="77777777" w:rsidTr="007C5F1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65" w:type="dxa"/>
            <w:hideMark/>
          </w:tcPr>
          <w:p w14:paraId="7003B610" w14:textId="77777777" w:rsidR="00A6244D" w:rsidRPr="000973F2" w:rsidRDefault="00A6244D" w:rsidP="00E06B5E">
            <w:pPr>
              <w:spacing w:before="40" w:after="4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Travel</w:t>
            </w:r>
          </w:p>
        </w:tc>
        <w:tc>
          <w:tcPr>
            <w:tcW w:w="1192" w:type="dxa"/>
            <w:noWrap/>
            <w:hideMark/>
          </w:tcPr>
          <w:p w14:paraId="596C7D45" w14:textId="77777777" w:rsidR="00A6244D" w:rsidRPr="000973F2" w:rsidRDefault="00A6244D" w:rsidP="006F53B3">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$0</w:t>
            </w:r>
          </w:p>
        </w:tc>
        <w:tc>
          <w:tcPr>
            <w:tcW w:w="1051" w:type="dxa"/>
            <w:noWrap/>
          </w:tcPr>
          <w:p w14:paraId="320EAAD7" w14:textId="2504F821" w:rsidR="00A6244D" w:rsidRPr="000973F2" w:rsidRDefault="00A6244D" w:rsidP="006F53B3">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p>
        </w:tc>
        <w:tc>
          <w:tcPr>
            <w:tcW w:w="1218" w:type="dxa"/>
            <w:noWrap/>
            <w:hideMark/>
          </w:tcPr>
          <w:p w14:paraId="77BCCDB9" w14:textId="77777777" w:rsidR="00A6244D" w:rsidRPr="000973F2" w:rsidRDefault="00A6244D" w:rsidP="006F53B3">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$0</w:t>
            </w:r>
          </w:p>
        </w:tc>
        <w:tc>
          <w:tcPr>
            <w:tcW w:w="1141" w:type="dxa"/>
            <w:noWrap/>
            <w:hideMark/>
          </w:tcPr>
          <w:p w14:paraId="212D2752" w14:textId="77777777" w:rsidR="00A6244D" w:rsidRPr="000973F2" w:rsidRDefault="00A6244D" w:rsidP="006F53B3">
            <w:pPr>
              <w:tabs>
                <w:tab w:val="decimal" w:pos="658"/>
              </w:tabs>
              <w:spacing w:before="40" w:after="4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$0</w:t>
            </w:r>
          </w:p>
        </w:tc>
        <w:tc>
          <w:tcPr>
            <w:tcW w:w="931" w:type="dxa"/>
            <w:noWrap/>
            <w:hideMark/>
          </w:tcPr>
          <w:p w14:paraId="5C4A4B08" w14:textId="77777777" w:rsidR="00A6244D" w:rsidRPr="000973F2" w:rsidRDefault="00A6244D" w:rsidP="006F53B3">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$0</w:t>
            </w:r>
          </w:p>
        </w:tc>
        <w:tc>
          <w:tcPr>
            <w:tcW w:w="932" w:type="dxa"/>
            <w:noWrap/>
            <w:hideMark/>
          </w:tcPr>
          <w:p w14:paraId="292D4E5F" w14:textId="77777777" w:rsidR="00A6244D" w:rsidRPr="000973F2" w:rsidRDefault="00A6244D" w:rsidP="006F53B3">
            <w:pPr>
              <w:tabs>
                <w:tab w:val="decimal" w:pos="578"/>
              </w:tabs>
              <w:spacing w:before="40" w:after="4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$0</w:t>
            </w:r>
          </w:p>
        </w:tc>
      </w:tr>
      <w:tr w:rsidR="008403B1" w:rsidRPr="000973F2" w14:paraId="751DF08E" w14:textId="77777777" w:rsidTr="007C5F18">
        <w:tc>
          <w:tcPr>
            <w:cnfStyle w:val="001000000000" w:firstRow="0" w:lastRow="0" w:firstColumn="1" w:lastColumn="0" w:oddVBand="0" w:evenVBand="0" w:oddHBand="0" w:evenHBand="0" w:firstRowFirstColumn="0" w:firstRowLastColumn="0" w:lastRowFirstColumn="0" w:lastRowLastColumn="0"/>
            <w:tcW w:w="2865" w:type="dxa"/>
            <w:hideMark/>
          </w:tcPr>
          <w:p w14:paraId="6D728302" w14:textId="6D4EF479" w:rsidR="00A6244D" w:rsidRPr="000973F2" w:rsidRDefault="00A6244D" w:rsidP="00E06B5E">
            <w:pPr>
              <w:spacing w:before="40" w:after="4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 xml:space="preserve">Sampling </w:t>
            </w:r>
            <w:r w:rsidR="00430EC0" w:rsidRPr="000973F2">
              <w:rPr>
                <w:rFonts w:ascii="Times New Roman" w:eastAsia="Times New Roman" w:hAnsi="Times New Roman" w:cs="Times New Roman"/>
                <w:sz w:val="18"/>
                <w:szCs w:val="18"/>
              </w:rPr>
              <w:t xml:space="preserve">and Analysis </w:t>
            </w:r>
            <w:r w:rsidRPr="000973F2">
              <w:rPr>
                <w:rFonts w:ascii="Times New Roman" w:eastAsia="Times New Roman" w:hAnsi="Times New Roman" w:cs="Times New Roman"/>
                <w:sz w:val="18"/>
                <w:szCs w:val="18"/>
              </w:rPr>
              <w:t>Costs</w:t>
            </w:r>
          </w:p>
        </w:tc>
        <w:tc>
          <w:tcPr>
            <w:tcW w:w="1192" w:type="dxa"/>
            <w:noWrap/>
            <w:hideMark/>
          </w:tcPr>
          <w:p w14:paraId="5D18E56D" w14:textId="77777777" w:rsidR="00A6244D" w:rsidRPr="000973F2" w:rsidRDefault="00A6244D" w:rsidP="006F53B3">
            <w:pPr>
              <w:spacing w:before="40" w:after="4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$0</w:t>
            </w:r>
          </w:p>
        </w:tc>
        <w:tc>
          <w:tcPr>
            <w:tcW w:w="1051" w:type="dxa"/>
            <w:noWrap/>
          </w:tcPr>
          <w:p w14:paraId="1F2670A0" w14:textId="4AAFBE10" w:rsidR="00A6244D" w:rsidRPr="000973F2" w:rsidRDefault="00A6244D" w:rsidP="006F53B3">
            <w:pPr>
              <w:spacing w:before="40" w:after="4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p>
        </w:tc>
        <w:tc>
          <w:tcPr>
            <w:tcW w:w="1218" w:type="dxa"/>
            <w:noWrap/>
            <w:hideMark/>
          </w:tcPr>
          <w:p w14:paraId="20BB5E6D" w14:textId="77777777" w:rsidR="00A6244D" w:rsidRPr="000973F2" w:rsidRDefault="00A6244D" w:rsidP="006F53B3">
            <w:pPr>
              <w:spacing w:before="40" w:after="4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$0</w:t>
            </w:r>
          </w:p>
        </w:tc>
        <w:tc>
          <w:tcPr>
            <w:tcW w:w="1141" w:type="dxa"/>
            <w:noWrap/>
            <w:hideMark/>
          </w:tcPr>
          <w:p w14:paraId="4F224D32" w14:textId="77777777" w:rsidR="00A6244D" w:rsidRPr="000973F2" w:rsidRDefault="00A6244D" w:rsidP="006F53B3">
            <w:pPr>
              <w:tabs>
                <w:tab w:val="decimal" w:pos="658"/>
              </w:tabs>
              <w:spacing w:before="40" w:after="4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$0</w:t>
            </w:r>
          </w:p>
        </w:tc>
        <w:tc>
          <w:tcPr>
            <w:tcW w:w="931" w:type="dxa"/>
            <w:noWrap/>
            <w:hideMark/>
          </w:tcPr>
          <w:p w14:paraId="71F84995" w14:textId="77777777" w:rsidR="00A6244D" w:rsidRPr="000973F2" w:rsidRDefault="00A6244D" w:rsidP="006F53B3">
            <w:pPr>
              <w:spacing w:before="40" w:after="4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$0</w:t>
            </w:r>
          </w:p>
        </w:tc>
        <w:tc>
          <w:tcPr>
            <w:tcW w:w="932" w:type="dxa"/>
            <w:noWrap/>
            <w:hideMark/>
          </w:tcPr>
          <w:p w14:paraId="5D2BD1D6" w14:textId="77777777" w:rsidR="00A6244D" w:rsidRPr="000973F2" w:rsidRDefault="00A6244D" w:rsidP="006F53B3">
            <w:pPr>
              <w:tabs>
                <w:tab w:val="decimal" w:pos="578"/>
              </w:tabs>
              <w:spacing w:before="40" w:after="4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$0</w:t>
            </w:r>
          </w:p>
        </w:tc>
      </w:tr>
      <w:tr w:rsidR="008403B1" w:rsidRPr="000973F2" w14:paraId="05A371C0" w14:textId="77777777" w:rsidTr="007C5F1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65" w:type="dxa"/>
            <w:hideMark/>
          </w:tcPr>
          <w:p w14:paraId="18A2746B" w14:textId="77777777" w:rsidR="00A6244D" w:rsidRPr="000973F2" w:rsidRDefault="00A6244D" w:rsidP="00E06B5E">
            <w:pPr>
              <w:spacing w:before="40" w:after="40"/>
              <w:rPr>
                <w:rFonts w:ascii="Times New Roman" w:eastAsia="Times New Roman" w:hAnsi="Times New Roman" w:cs="Times New Roman"/>
                <w:b/>
                <w:bCs w:val="0"/>
                <w:sz w:val="18"/>
                <w:szCs w:val="18"/>
              </w:rPr>
            </w:pPr>
            <w:r w:rsidRPr="000973F2">
              <w:rPr>
                <w:rFonts w:ascii="Times New Roman" w:eastAsia="Times New Roman" w:hAnsi="Times New Roman" w:cs="Times New Roman"/>
                <w:b/>
                <w:sz w:val="18"/>
                <w:szCs w:val="18"/>
              </w:rPr>
              <w:t>Total</w:t>
            </w:r>
          </w:p>
        </w:tc>
        <w:tc>
          <w:tcPr>
            <w:tcW w:w="1192" w:type="dxa"/>
            <w:noWrap/>
            <w:hideMark/>
          </w:tcPr>
          <w:p w14:paraId="2B58F807" w14:textId="77777777" w:rsidR="00A6244D" w:rsidRPr="000973F2" w:rsidRDefault="00A6244D" w:rsidP="006F53B3">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sz w:val="18"/>
                <w:szCs w:val="18"/>
              </w:rPr>
            </w:pPr>
            <w:r w:rsidRPr="000973F2">
              <w:rPr>
                <w:rFonts w:ascii="Times New Roman" w:eastAsia="Times New Roman" w:hAnsi="Times New Roman" w:cs="Times New Roman"/>
                <w:b/>
                <w:sz w:val="18"/>
                <w:szCs w:val="18"/>
              </w:rPr>
              <w:t>$0</w:t>
            </w:r>
          </w:p>
        </w:tc>
        <w:tc>
          <w:tcPr>
            <w:tcW w:w="1051" w:type="dxa"/>
            <w:noWrap/>
          </w:tcPr>
          <w:p w14:paraId="0F2FDF24" w14:textId="531B4EDE" w:rsidR="00A6244D" w:rsidRPr="000973F2" w:rsidRDefault="00A6244D" w:rsidP="006F53B3">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sz w:val="18"/>
                <w:szCs w:val="18"/>
              </w:rPr>
            </w:pPr>
          </w:p>
        </w:tc>
        <w:tc>
          <w:tcPr>
            <w:tcW w:w="1218" w:type="dxa"/>
            <w:noWrap/>
            <w:hideMark/>
          </w:tcPr>
          <w:p w14:paraId="3A901D34" w14:textId="77777777" w:rsidR="00A6244D" w:rsidRPr="000973F2" w:rsidRDefault="00A6244D" w:rsidP="006F53B3">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sz w:val="18"/>
                <w:szCs w:val="18"/>
              </w:rPr>
            </w:pPr>
            <w:r w:rsidRPr="000973F2">
              <w:rPr>
                <w:rFonts w:ascii="Times New Roman" w:eastAsia="Times New Roman" w:hAnsi="Times New Roman" w:cs="Times New Roman"/>
                <w:b/>
                <w:sz w:val="18"/>
                <w:szCs w:val="18"/>
              </w:rPr>
              <w:t>$0</w:t>
            </w:r>
          </w:p>
        </w:tc>
        <w:tc>
          <w:tcPr>
            <w:tcW w:w="1141" w:type="dxa"/>
            <w:noWrap/>
            <w:hideMark/>
          </w:tcPr>
          <w:p w14:paraId="45BD256A" w14:textId="77777777" w:rsidR="00A6244D" w:rsidRPr="000973F2" w:rsidRDefault="00A6244D" w:rsidP="006F53B3">
            <w:pPr>
              <w:tabs>
                <w:tab w:val="decimal" w:pos="658"/>
              </w:tabs>
              <w:spacing w:before="40" w:after="4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sz w:val="18"/>
                <w:szCs w:val="18"/>
              </w:rPr>
            </w:pPr>
            <w:r w:rsidRPr="000973F2">
              <w:rPr>
                <w:rFonts w:ascii="Times New Roman" w:eastAsia="Times New Roman" w:hAnsi="Times New Roman" w:cs="Times New Roman"/>
                <w:b/>
                <w:sz w:val="18"/>
                <w:szCs w:val="18"/>
              </w:rPr>
              <w:t>$5,487</w:t>
            </w:r>
          </w:p>
        </w:tc>
        <w:tc>
          <w:tcPr>
            <w:tcW w:w="931" w:type="dxa"/>
            <w:noWrap/>
            <w:hideMark/>
          </w:tcPr>
          <w:p w14:paraId="04511EF7" w14:textId="77777777" w:rsidR="00A6244D" w:rsidRPr="000973F2" w:rsidRDefault="00A6244D" w:rsidP="006F53B3">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sz w:val="18"/>
                <w:szCs w:val="18"/>
              </w:rPr>
            </w:pPr>
            <w:r w:rsidRPr="000973F2">
              <w:rPr>
                <w:rFonts w:ascii="Times New Roman" w:eastAsia="Times New Roman" w:hAnsi="Times New Roman" w:cs="Times New Roman"/>
                <w:b/>
                <w:sz w:val="18"/>
                <w:szCs w:val="18"/>
              </w:rPr>
              <w:t>$0</w:t>
            </w:r>
          </w:p>
        </w:tc>
        <w:tc>
          <w:tcPr>
            <w:tcW w:w="932" w:type="dxa"/>
            <w:noWrap/>
            <w:hideMark/>
          </w:tcPr>
          <w:p w14:paraId="371D99D6" w14:textId="77777777" w:rsidR="00A6244D" w:rsidRPr="000973F2" w:rsidRDefault="00A6244D" w:rsidP="006F53B3">
            <w:pPr>
              <w:tabs>
                <w:tab w:val="decimal" w:pos="578"/>
              </w:tabs>
              <w:spacing w:before="40" w:after="4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sz w:val="18"/>
                <w:szCs w:val="18"/>
              </w:rPr>
            </w:pPr>
            <w:r w:rsidRPr="000973F2">
              <w:rPr>
                <w:rFonts w:ascii="Times New Roman" w:eastAsia="Times New Roman" w:hAnsi="Times New Roman" w:cs="Times New Roman"/>
                <w:b/>
                <w:sz w:val="18"/>
                <w:szCs w:val="18"/>
              </w:rPr>
              <w:t>$5,487</w:t>
            </w:r>
          </w:p>
        </w:tc>
      </w:tr>
    </w:tbl>
    <w:p w14:paraId="5EFD4F37" w14:textId="7E49E41E" w:rsidR="00436FD8" w:rsidRPr="000973F2" w:rsidRDefault="00C57C21" w:rsidP="00E06B5E">
      <w:pPr>
        <w:pStyle w:val="BodyTextfirst"/>
      </w:pPr>
      <w:r w:rsidRPr="000973F2">
        <w:t xml:space="preserve">The annual costs for existing </w:t>
      </w:r>
      <w:r w:rsidR="00616CDE" w:rsidRPr="000973F2">
        <w:t>facilities</w:t>
      </w:r>
      <w:r w:rsidRPr="000973F2">
        <w:t xml:space="preserve"> using option “a” are $1,793 per </w:t>
      </w:r>
      <w:r w:rsidR="00616CDE" w:rsidRPr="000973F2">
        <w:t>facility</w:t>
      </w:r>
      <w:r w:rsidRPr="000973F2">
        <w:t xml:space="preserve"> </w:t>
      </w:r>
      <w:r w:rsidR="004E0C2A" w:rsidRPr="000973F2">
        <w:t xml:space="preserve">for labor </w:t>
      </w:r>
      <w:r w:rsidRPr="000973F2">
        <w:t xml:space="preserve">plus $5,487 per </w:t>
      </w:r>
      <w:r w:rsidR="00616CDE" w:rsidRPr="000973F2">
        <w:t>facility</w:t>
      </w:r>
      <w:r w:rsidR="004E0C2A" w:rsidRPr="000973F2">
        <w:t xml:space="preserve"> for O&amp;M</w:t>
      </w:r>
      <w:r w:rsidRPr="000973F2">
        <w:t xml:space="preserve">, for a total of $7,290 per </w:t>
      </w:r>
      <w:r w:rsidR="004E0C2A" w:rsidRPr="000973F2">
        <w:t xml:space="preserve">facility </w:t>
      </w:r>
      <w:r w:rsidR="007528DE" w:rsidRPr="000973F2">
        <w:t>(using the “Subsequent Years” columns in Table 1a and Ta</w:t>
      </w:r>
      <w:r w:rsidR="007C5F18" w:rsidRPr="000973F2">
        <w:t>b</w:t>
      </w:r>
      <w:r w:rsidR="007528DE" w:rsidRPr="000973F2">
        <w:t>le 2a)</w:t>
      </w:r>
      <w:r w:rsidRPr="000973F2">
        <w:t xml:space="preserve">. The costs for new </w:t>
      </w:r>
      <w:r w:rsidR="00616CDE" w:rsidRPr="000973F2">
        <w:t>facilities</w:t>
      </w:r>
      <w:r w:rsidRPr="000973F2">
        <w:t xml:space="preserve"> using option “a” are $0. </w:t>
      </w:r>
      <w:r w:rsidR="004E0C2A" w:rsidRPr="000973F2">
        <w:t>O</w:t>
      </w:r>
      <w:r w:rsidRPr="000973F2">
        <w:t xml:space="preserve">ne existing </w:t>
      </w:r>
      <w:r w:rsidR="00616CDE" w:rsidRPr="000973F2">
        <w:t>facility</w:t>
      </w:r>
      <w:r w:rsidRPr="000973F2">
        <w:t xml:space="preserve"> </w:t>
      </w:r>
      <w:r w:rsidR="004E0C2A" w:rsidRPr="000973F2">
        <w:t xml:space="preserve">is </w:t>
      </w:r>
      <w:r w:rsidRPr="000973F2">
        <w:t>expected to use option</w:t>
      </w:r>
      <w:r w:rsidR="007528DE" w:rsidRPr="000973F2">
        <w:t xml:space="preserve"> “a</w:t>
      </w:r>
      <w:r w:rsidR="009B6A65" w:rsidRPr="000973F2">
        <w:t>.</w:t>
      </w:r>
      <w:r w:rsidR="007528DE" w:rsidRPr="000973F2">
        <w:t>”</w:t>
      </w:r>
    </w:p>
    <w:p w14:paraId="6355AB78" w14:textId="0CECABFD" w:rsidR="00A6244D" w:rsidRPr="000973F2" w:rsidRDefault="001E4ED6" w:rsidP="00252105">
      <w:pPr>
        <w:pStyle w:val="Tabletitlecontinued"/>
      </w:pPr>
      <w:r w:rsidRPr="000973F2">
        <w:t xml:space="preserve">Example Table 3. </w:t>
      </w:r>
      <w:r w:rsidR="0044747A" w:rsidRPr="000973F2">
        <w:t>Labor Costs</w:t>
      </w:r>
      <w:r w:rsidR="00CC6C17" w:rsidRPr="000973F2">
        <w:t xml:space="preserve"> – </w:t>
      </w:r>
      <w:r w:rsidR="00A6244D" w:rsidRPr="000973F2">
        <w:t xml:space="preserve">Subpart E </w:t>
      </w:r>
      <w:r w:rsidR="0044747A" w:rsidRPr="000973F2">
        <w:t>–</w:t>
      </w:r>
      <w:r w:rsidR="00A6244D" w:rsidRPr="000973F2">
        <w:t xml:space="preserve"> </w:t>
      </w:r>
      <w:r w:rsidR="0044747A" w:rsidRPr="000973F2">
        <w:t>Option “b”</w:t>
      </w:r>
      <w:r w:rsidR="00CC6C17" w:rsidRPr="000973F2">
        <w:t xml:space="preserve"> – </w:t>
      </w:r>
      <w:r w:rsidR="00A6244D" w:rsidRPr="000973F2">
        <w:t xml:space="preserve">Alternative Monitoring Method </w:t>
      </w:r>
    </w:p>
    <w:tbl>
      <w:tblPr>
        <w:tblStyle w:val="PlainTable1"/>
        <w:tblW w:w="5000" w:type="pct"/>
        <w:jc w:val="left"/>
        <w:tblLayout w:type="fixed"/>
        <w:tblCellMar>
          <w:left w:w="115" w:type="dxa"/>
          <w:right w:w="115" w:type="dxa"/>
        </w:tblCellMar>
        <w:tblLook w:val="04A0" w:firstRow="1" w:lastRow="0" w:firstColumn="1" w:lastColumn="0" w:noHBand="0" w:noVBand="1"/>
      </w:tblPr>
      <w:tblGrid>
        <w:gridCol w:w="1186"/>
        <w:gridCol w:w="844"/>
        <w:gridCol w:w="844"/>
        <w:gridCol w:w="844"/>
        <w:gridCol w:w="845"/>
        <w:gridCol w:w="844"/>
        <w:gridCol w:w="844"/>
        <w:gridCol w:w="844"/>
        <w:gridCol w:w="845"/>
        <w:gridCol w:w="809"/>
        <w:gridCol w:w="841"/>
      </w:tblGrid>
      <w:tr w:rsidR="00A6244D" w:rsidRPr="000973F2" w14:paraId="6A736F4C" w14:textId="77777777" w:rsidTr="0085143F">
        <w:trPr>
          <w:cnfStyle w:val="100000000000" w:firstRow="1" w:lastRow="0" w:firstColumn="0" w:lastColumn="0" w:oddVBand="0" w:evenVBand="0" w:oddHBand="0" w:evenHBand="0" w:firstRowFirstColumn="0" w:firstRowLastColumn="0" w:lastRowFirstColumn="0" w:lastRowLastColumn="0"/>
          <w:jc w:val="left"/>
        </w:trPr>
        <w:tc>
          <w:tcPr>
            <w:cnfStyle w:val="001000000000" w:firstRow="0" w:lastRow="0" w:firstColumn="1" w:lastColumn="0" w:oddVBand="0" w:evenVBand="0" w:oddHBand="0" w:evenHBand="0" w:firstRowFirstColumn="0" w:firstRowLastColumn="0" w:lastRowFirstColumn="0" w:lastRowLastColumn="0"/>
            <w:tcW w:w="1155" w:type="dxa"/>
            <w:vMerge w:val="restart"/>
            <w:noWrap/>
            <w:vAlign w:val="top"/>
            <w:hideMark/>
          </w:tcPr>
          <w:p w14:paraId="68A00836" w14:textId="77777777" w:rsidR="00A6244D" w:rsidRPr="000973F2" w:rsidRDefault="00A6244D" w:rsidP="00E06B5E">
            <w:pPr>
              <w:keepNext/>
              <w:spacing w:before="40" w:after="40"/>
              <w:rPr>
                <w:rFonts w:ascii="Times New Roman" w:eastAsia="Times New Roman" w:hAnsi="Times New Roman" w:cs="Times New Roman"/>
                <w:b w:val="0"/>
                <w:bCs w:val="0"/>
                <w:sz w:val="18"/>
                <w:szCs w:val="18"/>
              </w:rPr>
            </w:pPr>
            <w:r w:rsidRPr="000973F2">
              <w:rPr>
                <w:rFonts w:ascii="Times New Roman" w:eastAsia="Times New Roman" w:hAnsi="Times New Roman" w:cs="Times New Roman"/>
                <w:sz w:val="18"/>
                <w:szCs w:val="18"/>
              </w:rPr>
              <w:t>Activity</w:t>
            </w:r>
          </w:p>
        </w:tc>
        <w:tc>
          <w:tcPr>
            <w:tcW w:w="6570" w:type="dxa"/>
            <w:gridSpan w:val="8"/>
            <w:noWrap/>
            <w:vAlign w:val="top"/>
            <w:hideMark/>
          </w:tcPr>
          <w:p w14:paraId="5E67F5DA" w14:textId="77777777" w:rsidR="00A6244D" w:rsidRPr="000973F2" w:rsidRDefault="00A6244D" w:rsidP="00E06B5E">
            <w:pPr>
              <w:keepNext/>
              <w:spacing w:before="40" w:after="40"/>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bCs w:val="0"/>
                <w:sz w:val="18"/>
                <w:szCs w:val="18"/>
              </w:rPr>
            </w:pPr>
            <w:r w:rsidRPr="000973F2">
              <w:rPr>
                <w:rFonts w:ascii="Times New Roman" w:eastAsia="Times New Roman" w:hAnsi="Times New Roman" w:cs="Times New Roman"/>
                <w:sz w:val="18"/>
                <w:szCs w:val="18"/>
              </w:rPr>
              <w:t>Labor Rates (per hour)</w:t>
            </w:r>
          </w:p>
        </w:tc>
        <w:tc>
          <w:tcPr>
            <w:tcW w:w="1605" w:type="dxa"/>
            <w:gridSpan w:val="2"/>
            <w:vMerge w:val="restart"/>
            <w:vAlign w:val="top"/>
            <w:hideMark/>
          </w:tcPr>
          <w:p w14:paraId="554F9E29" w14:textId="4B518C29" w:rsidR="00A6244D" w:rsidRPr="000973F2" w:rsidRDefault="002E19F0" w:rsidP="00E06B5E">
            <w:pPr>
              <w:keepNext/>
              <w:spacing w:before="40" w:after="40"/>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bCs w:val="0"/>
                <w:sz w:val="18"/>
                <w:szCs w:val="18"/>
              </w:rPr>
            </w:pPr>
            <w:r w:rsidRPr="000973F2">
              <w:rPr>
                <w:rFonts w:ascii="Times New Roman" w:eastAsia="Times New Roman" w:hAnsi="Times New Roman" w:cs="Times New Roman"/>
                <w:sz w:val="18"/>
                <w:szCs w:val="18"/>
              </w:rPr>
              <w:t>Total Labor Cost per Year per Facility (2017$)</w:t>
            </w:r>
          </w:p>
        </w:tc>
      </w:tr>
      <w:tr w:rsidR="00A6244D" w:rsidRPr="000973F2" w14:paraId="72225026" w14:textId="77777777" w:rsidTr="0085143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55" w:type="dxa"/>
            <w:vMerge/>
            <w:hideMark/>
          </w:tcPr>
          <w:p w14:paraId="69819FBB" w14:textId="77777777" w:rsidR="00A6244D" w:rsidRPr="000973F2" w:rsidRDefault="00A6244D" w:rsidP="00E06B5E">
            <w:pPr>
              <w:keepNext/>
              <w:spacing w:before="40" w:after="40"/>
              <w:jc w:val="center"/>
              <w:rPr>
                <w:rFonts w:ascii="Times New Roman" w:eastAsia="Times New Roman" w:hAnsi="Times New Roman" w:cs="Times New Roman"/>
                <w:b/>
                <w:bCs w:val="0"/>
                <w:sz w:val="18"/>
                <w:szCs w:val="18"/>
              </w:rPr>
            </w:pPr>
          </w:p>
        </w:tc>
        <w:tc>
          <w:tcPr>
            <w:tcW w:w="1642" w:type="dxa"/>
            <w:gridSpan w:val="2"/>
            <w:noWrap/>
            <w:hideMark/>
          </w:tcPr>
          <w:p w14:paraId="2CD9C311" w14:textId="77777777" w:rsidR="00A6244D" w:rsidRPr="000973F2" w:rsidRDefault="00A6244D" w:rsidP="00E06B5E">
            <w:pPr>
              <w:keepNext/>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18"/>
                <w:szCs w:val="18"/>
              </w:rPr>
            </w:pPr>
            <w:r w:rsidRPr="000973F2">
              <w:rPr>
                <w:rFonts w:ascii="Times New Roman" w:eastAsia="Times New Roman" w:hAnsi="Times New Roman" w:cs="Times New Roman"/>
                <w:b/>
                <w:bCs/>
                <w:sz w:val="18"/>
                <w:szCs w:val="18"/>
              </w:rPr>
              <w:t>Lawyer</w:t>
            </w:r>
          </w:p>
        </w:tc>
        <w:tc>
          <w:tcPr>
            <w:tcW w:w="1643" w:type="dxa"/>
            <w:gridSpan w:val="2"/>
            <w:noWrap/>
            <w:hideMark/>
          </w:tcPr>
          <w:p w14:paraId="391D3FDD" w14:textId="77777777" w:rsidR="00A6244D" w:rsidRPr="000973F2" w:rsidRDefault="00A6244D" w:rsidP="00E06B5E">
            <w:pPr>
              <w:keepNext/>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18"/>
                <w:szCs w:val="18"/>
              </w:rPr>
            </w:pPr>
            <w:r w:rsidRPr="000973F2">
              <w:rPr>
                <w:rFonts w:ascii="Times New Roman" w:eastAsia="Times New Roman" w:hAnsi="Times New Roman" w:cs="Times New Roman"/>
                <w:b/>
                <w:bCs/>
                <w:sz w:val="18"/>
                <w:szCs w:val="18"/>
              </w:rPr>
              <w:t>Industrial Manager</w:t>
            </w:r>
          </w:p>
        </w:tc>
        <w:tc>
          <w:tcPr>
            <w:tcW w:w="1642" w:type="dxa"/>
            <w:gridSpan w:val="2"/>
            <w:hideMark/>
          </w:tcPr>
          <w:p w14:paraId="3C4520DC" w14:textId="2FE91E80" w:rsidR="00A6244D" w:rsidRPr="000973F2" w:rsidRDefault="00A6244D" w:rsidP="00E06B5E">
            <w:pPr>
              <w:keepNext/>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18"/>
                <w:szCs w:val="18"/>
              </w:rPr>
            </w:pPr>
            <w:r w:rsidRPr="000973F2">
              <w:rPr>
                <w:rFonts w:ascii="Times New Roman" w:eastAsia="Times New Roman" w:hAnsi="Times New Roman" w:cs="Times New Roman"/>
                <w:b/>
                <w:bCs/>
                <w:sz w:val="18"/>
                <w:szCs w:val="18"/>
              </w:rPr>
              <w:t>Industrial Engineer/</w:t>
            </w:r>
            <w:r w:rsidR="00E06B5E" w:rsidRPr="000973F2">
              <w:rPr>
                <w:rFonts w:ascii="Times New Roman" w:eastAsia="Times New Roman" w:hAnsi="Times New Roman" w:cs="Times New Roman"/>
                <w:b/>
                <w:bCs/>
                <w:sz w:val="18"/>
                <w:szCs w:val="18"/>
              </w:rPr>
              <w:t xml:space="preserve"> </w:t>
            </w:r>
            <w:r w:rsidRPr="000973F2">
              <w:rPr>
                <w:rFonts w:ascii="Times New Roman" w:eastAsia="Times New Roman" w:hAnsi="Times New Roman" w:cs="Times New Roman"/>
                <w:b/>
                <w:bCs/>
                <w:sz w:val="18"/>
                <w:szCs w:val="18"/>
              </w:rPr>
              <w:t>Technician</w:t>
            </w:r>
          </w:p>
        </w:tc>
        <w:tc>
          <w:tcPr>
            <w:tcW w:w="1643" w:type="dxa"/>
            <w:gridSpan w:val="2"/>
            <w:hideMark/>
          </w:tcPr>
          <w:p w14:paraId="430A7462" w14:textId="77777777" w:rsidR="00A6244D" w:rsidRPr="000973F2" w:rsidRDefault="00A6244D" w:rsidP="00E06B5E">
            <w:pPr>
              <w:keepNext/>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18"/>
                <w:szCs w:val="18"/>
              </w:rPr>
            </w:pPr>
            <w:r w:rsidRPr="000973F2">
              <w:rPr>
                <w:rFonts w:ascii="Times New Roman" w:eastAsia="Times New Roman" w:hAnsi="Times New Roman" w:cs="Times New Roman"/>
                <w:b/>
                <w:bCs/>
                <w:sz w:val="18"/>
                <w:szCs w:val="18"/>
              </w:rPr>
              <w:t>Administrative Support</w:t>
            </w:r>
          </w:p>
        </w:tc>
        <w:tc>
          <w:tcPr>
            <w:tcW w:w="1605" w:type="dxa"/>
            <w:gridSpan w:val="2"/>
            <w:vMerge/>
            <w:hideMark/>
          </w:tcPr>
          <w:p w14:paraId="031FB2FD" w14:textId="77777777" w:rsidR="00A6244D" w:rsidRPr="000973F2" w:rsidRDefault="00A6244D" w:rsidP="00E06B5E">
            <w:pPr>
              <w:keepNext/>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18"/>
                <w:szCs w:val="18"/>
              </w:rPr>
            </w:pPr>
          </w:p>
        </w:tc>
      </w:tr>
      <w:tr w:rsidR="00A6244D" w:rsidRPr="000973F2" w14:paraId="7813D9CE" w14:textId="77777777" w:rsidTr="0085143F">
        <w:tc>
          <w:tcPr>
            <w:cnfStyle w:val="001000000000" w:firstRow="0" w:lastRow="0" w:firstColumn="1" w:lastColumn="0" w:oddVBand="0" w:evenVBand="0" w:oddHBand="0" w:evenHBand="0" w:firstRowFirstColumn="0" w:firstRowLastColumn="0" w:lastRowFirstColumn="0" w:lastRowLastColumn="0"/>
            <w:tcW w:w="1155" w:type="dxa"/>
            <w:vMerge/>
            <w:hideMark/>
          </w:tcPr>
          <w:p w14:paraId="2969C382" w14:textId="77777777" w:rsidR="00A6244D" w:rsidRPr="000973F2" w:rsidRDefault="00A6244D" w:rsidP="00E06B5E">
            <w:pPr>
              <w:keepNext/>
              <w:spacing w:before="40" w:after="40"/>
              <w:jc w:val="center"/>
              <w:rPr>
                <w:rFonts w:ascii="Times New Roman" w:eastAsia="Times New Roman" w:hAnsi="Times New Roman" w:cs="Times New Roman"/>
                <w:b/>
                <w:bCs w:val="0"/>
                <w:sz w:val="18"/>
                <w:szCs w:val="18"/>
              </w:rPr>
            </w:pPr>
          </w:p>
        </w:tc>
        <w:tc>
          <w:tcPr>
            <w:tcW w:w="1642" w:type="dxa"/>
            <w:gridSpan w:val="2"/>
            <w:noWrap/>
            <w:hideMark/>
          </w:tcPr>
          <w:p w14:paraId="597E2CD0" w14:textId="0BEF2542" w:rsidR="00A6244D" w:rsidRPr="000973F2" w:rsidRDefault="00A6244D" w:rsidP="00E06B5E">
            <w:pPr>
              <w:keepNext/>
              <w:spacing w:before="40" w:after="4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sz w:val="18"/>
                <w:szCs w:val="18"/>
              </w:rPr>
            </w:pPr>
            <w:r w:rsidRPr="000973F2">
              <w:rPr>
                <w:rFonts w:ascii="Times New Roman" w:eastAsia="Times New Roman" w:hAnsi="Times New Roman" w:cs="Times New Roman"/>
                <w:b/>
                <w:bCs/>
                <w:sz w:val="18"/>
                <w:szCs w:val="18"/>
              </w:rPr>
              <w:t>$112.23</w:t>
            </w:r>
          </w:p>
        </w:tc>
        <w:tc>
          <w:tcPr>
            <w:tcW w:w="1643" w:type="dxa"/>
            <w:gridSpan w:val="2"/>
            <w:noWrap/>
            <w:hideMark/>
          </w:tcPr>
          <w:p w14:paraId="588A188E" w14:textId="70751F3A" w:rsidR="00A6244D" w:rsidRPr="000973F2" w:rsidRDefault="00A6244D" w:rsidP="00E06B5E">
            <w:pPr>
              <w:keepNext/>
              <w:spacing w:before="40" w:after="4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sz w:val="18"/>
                <w:szCs w:val="18"/>
              </w:rPr>
            </w:pPr>
            <w:r w:rsidRPr="000973F2">
              <w:rPr>
                <w:rFonts w:ascii="Times New Roman" w:eastAsia="Times New Roman" w:hAnsi="Times New Roman" w:cs="Times New Roman"/>
                <w:b/>
                <w:bCs/>
                <w:sz w:val="18"/>
                <w:szCs w:val="18"/>
              </w:rPr>
              <w:t>$87.45</w:t>
            </w:r>
          </w:p>
        </w:tc>
        <w:tc>
          <w:tcPr>
            <w:tcW w:w="1642" w:type="dxa"/>
            <w:gridSpan w:val="2"/>
            <w:noWrap/>
            <w:hideMark/>
          </w:tcPr>
          <w:p w14:paraId="44DCD621" w14:textId="583BF47F" w:rsidR="00A6244D" w:rsidRPr="000973F2" w:rsidRDefault="00A6244D" w:rsidP="00E06B5E">
            <w:pPr>
              <w:keepNext/>
              <w:spacing w:before="40" w:after="4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sz w:val="18"/>
                <w:szCs w:val="18"/>
              </w:rPr>
            </w:pPr>
            <w:r w:rsidRPr="000973F2">
              <w:rPr>
                <w:rFonts w:ascii="Times New Roman" w:eastAsia="Times New Roman" w:hAnsi="Times New Roman" w:cs="Times New Roman"/>
                <w:b/>
                <w:bCs/>
                <w:sz w:val="18"/>
                <w:szCs w:val="18"/>
              </w:rPr>
              <w:t>$71.45</w:t>
            </w:r>
          </w:p>
        </w:tc>
        <w:tc>
          <w:tcPr>
            <w:tcW w:w="1643" w:type="dxa"/>
            <w:gridSpan w:val="2"/>
            <w:noWrap/>
            <w:hideMark/>
          </w:tcPr>
          <w:p w14:paraId="670F81F5" w14:textId="0F1F92DE" w:rsidR="00A6244D" w:rsidRPr="000973F2" w:rsidRDefault="00A6244D" w:rsidP="00E06B5E">
            <w:pPr>
              <w:keepNext/>
              <w:spacing w:before="40" w:after="4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sz w:val="18"/>
                <w:szCs w:val="18"/>
              </w:rPr>
            </w:pPr>
            <w:r w:rsidRPr="000973F2">
              <w:rPr>
                <w:rFonts w:ascii="Times New Roman" w:eastAsia="Times New Roman" w:hAnsi="Times New Roman" w:cs="Times New Roman"/>
                <w:b/>
                <w:bCs/>
                <w:sz w:val="18"/>
                <w:szCs w:val="18"/>
              </w:rPr>
              <w:t>$36.28</w:t>
            </w:r>
          </w:p>
        </w:tc>
        <w:tc>
          <w:tcPr>
            <w:tcW w:w="1605" w:type="dxa"/>
            <w:gridSpan w:val="2"/>
            <w:vMerge/>
            <w:hideMark/>
          </w:tcPr>
          <w:p w14:paraId="58F98944" w14:textId="77777777" w:rsidR="00A6244D" w:rsidRPr="000973F2" w:rsidRDefault="00A6244D" w:rsidP="00E06B5E">
            <w:pPr>
              <w:keepNext/>
              <w:spacing w:before="40" w:after="4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sz w:val="18"/>
                <w:szCs w:val="18"/>
              </w:rPr>
            </w:pPr>
          </w:p>
        </w:tc>
      </w:tr>
      <w:tr w:rsidR="00A6244D" w:rsidRPr="000973F2" w14:paraId="5B8321F3" w14:textId="77777777" w:rsidTr="0085143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55" w:type="dxa"/>
            <w:vMerge/>
            <w:hideMark/>
          </w:tcPr>
          <w:p w14:paraId="2C97A774" w14:textId="77777777" w:rsidR="00A6244D" w:rsidRPr="000973F2" w:rsidRDefault="00A6244D" w:rsidP="00E06B5E">
            <w:pPr>
              <w:keepNext/>
              <w:spacing w:before="40" w:after="40"/>
              <w:jc w:val="center"/>
              <w:rPr>
                <w:rFonts w:ascii="Times New Roman" w:eastAsia="Times New Roman" w:hAnsi="Times New Roman" w:cs="Times New Roman"/>
                <w:b/>
                <w:bCs w:val="0"/>
                <w:sz w:val="18"/>
                <w:szCs w:val="18"/>
              </w:rPr>
            </w:pPr>
          </w:p>
        </w:tc>
        <w:tc>
          <w:tcPr>
            <w:tcW w:w="821" w:type="dxa"/>
            <w:tcMar>
              <w:left w:w="14" w:type="dxa"/>
              <w:right w:w="14" w:type="dxa"/>
            </w:tcMar>
            <w:hideMark/>
          </w:tcPr>
          <w:p w14:paraId="001FACF8" w14:textId="5041069E" w:rsidR="00A6244D" w:rsidRPr="000973F2" w:rsidRDefault="00A6244D" w:rsidP="00E06B5E">
            <w:pPr>
              <w:keepNext/>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18"/>
                <w:szCs w:val="18"/>
              </w:rPr>
            </w:pPr>
            <w:r w:rsidRPr="000973F2">
              <w:rPr>
                <w:rFonts w:ascii="Times New Roman" w:eastAsia="Times New Roman" w:hAnsi="Times New Roman" w:cs="Times New Roman"/>
                <w:b/>
                <w:bCs/>
                <w:sz w:val="18"/>
                <w:szCs w:val="18"/>
              </w:rPr>
              <w:t>Initial Year</w:t>
            </w:r>
            <w:r w:rsidR="00E06B5E" w:rsidRPr="000973F2">
              <w:rPr>
                <w:rFonts w:ascii="Times New Roman" w:eastAsia="Times New Roman" w:hAnsi="Times New Roman" w:cs="Times New Roman"/>
                <w:b/>
                <w:bCs/>
                <w:sz w:val="18"/>
                <w:szCs w:val="18"/>
              </w:rPr>
              <w:t xml:space="preserve"> </w:t>
            </w:r>
            <w:r w:rsidRPr="000973F2">
              <w:rPr>
                <w:rFonts w:ascii="Times New Roman" w:eastAsia="Times New Roman" w:hAnsi="Times New Roman" w:cs="Times New Roman"/>
                <w:b/>
                <w:bCs/>
                <w:sz w:val="18"/>
                <w:szCs w:val="18"/>
              </w:rPr>
              <w:t>Hours</w:t>
            </w:r>
          </w:p>
        </w:tc>
        <w:tc>
          <w:tcPr>
            <w:tcW w:w="821" w:type="dxa"/>
            <w:tcMar>
              <w:left w:w="14" w:type="dxa"/>
              <w:right w:w="14" w:type="dxa"/>
            </w:tcMar>
            <w:hideMark/>
          </w:tcPr>
          <w:p w14:paraId="5A3B579F" w14:textId="77777777" w:rsidR="00A6244D" w:rsidRPr="000973F2" w:rsidRDefault="00A6244D" w:rsidP="00E06B5E">
            <w:pPr>
              <w:keepNext/>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18"/>
                <w:szCs w:val="18"/>
              </w:rPr>
            </w:pPr>
            <w:r w:rsidRPr="000973F2">
              <w:rPr>
                <w:rFonts w:ascii="Times New Roman" w:eastAsia="Times New Roman" w:hAnsi="Times New Roman" w:cs="Times New Roman"/>
                <w:b/>
                <w:bCs/>
                <w:sz w:val="18"/>
                <w:szCs w:val="18"/>
              </w:rPr>
              <w:t>Subseq. Year Hours</w:t>
            </w:r>
          </w:p>
        </w:tc>
        <w:tc>
          <w:tcPr>
            <w:tcW w:w="821" w:type="dxa"/>
            <w:tcMar>
              <w:left w:w="14" w:type="dxa"/>
              <w:right w:w="14" w:type="dxa"/>
            </w:tcMar>
            <w:hideMark/>
          </w:tcPr>
          <w:p w14:paraId="7A55F7BB" w14:textId="4848F944" w:rsidR="00A6244D" w:rsidRPr="000973F2" w:rsidRDefault="00A6244D" w:rsidP="00E06B5E">
            <w:pPr>
              <w:keepNext/>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18"/>
                <w:szCs w:val="18"/>
              </w:rPr>
            </w:pPr>
            <w:r w:rsidRPr="000973F2">
              <w:rPr>
                <w:rFonts w:ascii="Times New Roman" w:eastAsia="Times New Roman" w:hAnsi="Times New Roman" w:cs="Times New Roman"/>
                <w:b/>
                <w:bCs/>
                <w:sz w:val="18"/>
                <w:szCs w:val="18"/>
              </w:rPr>
              <w:t>Initial Year</w:t>
            </w:r>
            <w:r w:rsidR="00E06B5E" w:rsidRPr="000973F2">
              <w:rPr>
                <w:rFonts w:ascii="Times New Roman" w:eastAsia="Times New Roman" w:hAnsi="Times New Roman" w:cs="Times New Roman"/>
                <w:b/>
                <w:bCs/>
                <w:sz w:val="18"/>
                <w:szCs w:val="18"/>
              </w:rPr>
              <w:t xml:space="preserve"> </w:t>
            </w:r>
            <w:r w:rsidRPr="000973F2">
              <w:rPr>
                <w:rFonts w:ascii="Times New Roman" w:eastAsia="Times New Roman" w:hAnsi="Times New Roman" w:cs="Times New Roman"/>
                <w:b/>
                <w:bCs/>
                <w:sz w:val="18"/>
                <w:szCs w:val="18"/>
              </w:rPr>
              <w:t>Hours</w:t>
            </w:r>
          </w:p>
        </w:tc>
        <w:tc>
          <w:tcPr>
            <w:tcW w:w="822" w:type="dxa"/>
            <w:tcMar>
              <w:left w:w="14" w:type="dxa"/>
              <w:right w:w="14" w:type="dxa"/>
            </w:tcMar>
            <w:hideMark/>
          </w:tcPr>
          <w:p w14:paraId="4F0DCD59" w14:textId="77777777" w:rsidR="00A6244D" w:rsidRPr="000973F2" w:rsidRDefault="00A6244D" w:rsidP="00E06B5E">
            <w:pPr>
              <w:keepNext/>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18"/>
                <w:szCs w:val="18"/>
              </w:rPr>
            </w:pPr>
            <w:r w:rsidRPr="000973F2">
              <w:rPr>
                <w:rFonts w:ascii="Times New Roman" w:eastAsia="Times New Roman" w:hAnsi="Times New Roman" w:cs="Times New Roman"/>
                <w:b/>
                <w:bCs/>
                <w:sz w:val="18"/>
                <w:szCs w:val="18"/>
              </w:rPr>
              <w:t>Subseq. Year Hours</w:t>
            </w:r>
          </w:p>
        </w:tc>
        <w:tc>
          <w:tcPr>
            <w:tcW w:w="821" w:type="dxa"/>
            <w:tcMar>
              <w:left w:w="14" w:type="dxa"/>
              <w:right w:w="14" w:type="dxa"/>
            </w:tcMar>
            <w:hideMark/>
          </w:tcPr>
          <w:p w14:paraId="0E303447" w14:textId="603A29D7" w:rsidR="00A6244D" w:rsidRPr="000973F2" w:rsidRDefault="00A6244D" w:rsidP="00E06B5E">
            <w:pPr>
              <w:keepNext/>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18"/>
                <w:szCs w:val="18"/>
              </w:rPr>
            </w:pPr>
            <w:r w:rsidRPr="000973F2">
              <w:rPr>
                <w:rFonts w:ascii="Times New Roman" w:eastAsia="Times New Roman" w:hAnsi="Times New Roman" w:cs="Times New Roman"/>
                <w:b/>
                <w:bCs/>
                <w:sz w:val="18"/>
                <w:szCs w:val="18"/>
              </w:rPr>
              <w:t>Initial Year</w:t>
            </w:r>
            <w:r w:rsidR="00E06B5E" w:rsidRPr="000973F2">
              <w:rPr>
                <w:rFonts w:ascii="Times New Roman" w:eastAsia="Times New Roman" w:hAnsi="Times New Roman" w:cs="Times New Roman"/>
                <w:b/>
                <w:bCs/>
                <w:sz w:val="18"/>
                <w:szCs w:val="18"/>
              </w:rPr>
              <w:t xml:space="preserve"> </w:t>
            </w:r>
            <w:r w:rsidRPr="000973F2">
              <w:rPr>
                <w:rFonts w:ascii="Times New Roman" w:eastAsia="Times New Roman" w:hAnsi="Times New Roman" w:cs="Times New Roman"/>
                <w:b/>
                <w:bCs/>
                <w:sz w:val="18"/>
                <w:szCs w:val="18"/>
              </w:rPr>
              <w:t>Hours</w:t>
            </w:r>
          </w:p>
        </w:tc>
        <w:tc>
          <w:tcPr>
            <w:tcW w:w="821" w:type="dxa"/>
            <w:tcMar>
              <w:left w:w="14" w:type="dxa"/>
              <w:right w:w="14" w:type="dxa"/>
            </w:tcMar>
            <w:hideMark/>
          </w:tcPr>
          <w:p w14:paraId="6A523E1D" w14:textId="77777777" w:rsidR="00A6244D" w:rsidRPr="000973F2" w:rsidRDefault="00A6244D" w:rsidP="00E06B5E">
            <w:pPr>
              <w:keepNext/>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18"/>
                <w:szCs w:val="18"/>
              </w:rPr>
            </w:pPr>
            <w:r w:rsidRPr="000973F2">
              <w:rPr>
                <w:rFonts w:ascii="Times New Roman" w:eastAsia="Times New Roman" w:hAnsi="Times New Roman" w:cs="Times New Roman"/>
                <w:b/>
                <w:bCs/>
                <w:sz w:val="18"/>
                <w:szCs w:val="18"/>
              </w:rPr>
              <w:t>Subseq. Year Hours</w:t>
            </w:r>
          </w:p>
        </w:tc>
        <w:tc>
          <w:tcPr>
            <w:tcW w:w="821" w:type="dxa"/>
            <w:tcMar>
              <w:left w:w="14" w:type="dxa"/>
              <w:right w:w="14" w:type="dxa"/>
            </w:tcMar>
            <w:hideMark/>
          </w:tcPr>
          <w:p w14:paraId="7615BEE4" w14:textId="44805FFC" w:rsidR="00A6244D" w:rsidRPr="000973F2" w:rsidRDefault="00A6244D" w:rsidP="00E06B5E">
            <w:pPr>
              <w:keepNext/>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18"/>
                <w:szCs w:val="18"/>
              </w:rPr>
            </w:pPr>
            <w:r w:rsidRPr="000973F2">
              <w:rPr>
                <w:rFonts w:ascii="Times New Roman" w:eastAsia="Times New Roman" w:hAnsi="Times New Roman" w:cs="Times New Roman"/>
                <w:b/>
                <w:bCs/>
                <w:sz w:val="18"/>
                <w:szCs w:val="18"/>
              </w:rPr>
              <w:t>Initial Year</w:t>
            </w:r>
            <w:r w:rsidR="00E06B5E" w:rsidRPr="000973F2">
              <w:rPr>
                <w:rFonts w:ascii="Times New Roman" w:eastAsia="Times New Roman" w:hAnsi="Times New Roman" w:cs="Times New Roman"/>
                <w:b/>
                <w:bCs/>
                <w:sz w:val="18"/>
                <w:szCs w:val="18"/>
              </w:rPr>
              <w:t xml:space="preserve"> </w:t>
            </w:r>
            <w:r w:rsidRPr="000973F2">
              <w:rPr>
                <w:rFonts w:ascii="Times New Roman" w:eastAsia="Times New Roman" w:hAnsi="Times New Roman" w:cs="Times New Roman"/>
                <w:b/>
                <w:bCs/>
                <w:sz w:val="18"/>
                <w:szCs w:val="18"/>
              </w:rPr>
              <w:t>Hours</w:t>
            </w:r>
          </w:p>
        </w:tc>
        <w:tc>
          <w:tcPr>
            <w:tcW w:w="822" w:type="dxa"/>
            <w:tcMar>
              <w:left w:w="14" w:type="dxa"/>
              <w:right w:w="14" w:type="dxa"/>
            </w:tcMar>
            <w:hideMark/>
          </w:tcPr>
          <w:p w14:paraId="3B4933BA" w14:textId="77777777" w:rsidR="00A6244D" w:rsidRPr="000973F2" w:rsidRDefault="00A6244D" w:rsidP="00E06B5E">
            <w:pPr>
              <w:keepNext/>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18"/>
                <w:szCs w:val="18"/>
              </w:rPr>
            </w:pPr>
            <w:r w:rsidRPr="000973F2">
              <w:rPr>
                <w:rFonts w:ascii="Times New Roman" w:eastAsia="Times New Roman" w:hAnsi="Times New Roman" w:cs="Times New Roman"/>
                <w:b/>
                <w:bCs/>
                <w:sz w:val="18"/>
                <w:szCs w:val="18"/>
              </w:rPr>
              <w:t>Subseq. Year Hours</w:t>
            </w:r>
          </w:p>
        </w:tc>
        <w:tc>
          <w:tcPr>
            <w:tcW w:w="787" w:type="dxa"/>
            <w:tcMar>
              <w:left w:w="14" w:type="dxa"/>
              <w:right w:w="14" w:type="dxa"/>
            </w:tcMar>
            <w:hideMark/>
          </w:tcPr>
          <w:p w14:paraId="02524D00" w14:textId="77777777" w:rsidR="00A6244D" w:rsidRPr="000973F2" w:rsidRDefault="00A6244D" w:rsidP="00E06B5E">
            <w:pPr>
              <w:keepNext/>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18"/>
                <w:szCs w:val="18"/>
              </w:rPr>
            </w:pPr>
            <w:r w:rsidRPr="000973F2">
              <w:rPr>
                <w:rFonts w:ascii="Times New Roman" w:eastAsia="Times New Roman" w:hAnsi="Times New Roman" w:cs="Times New Roman"/>
                <w:b/>
                <w:bCs/>
                <w:sz w:val="18"/>
                <w:szCs w:val="18"/>
              </w:rPr>
              <w:t>Initial Year</w:t>
            </w:r>
          </w:p>
        </w:tc>
        <w:tc>
          <w:tcPr>
            <w:tcW w:w="818" w:type="dxa"/>
            <w:tcMar>
              <w:left w:w="14" w:type="dxa"/>
              <w:right w:w="14" w:type="dxa"/>
            </w:tcMar>
            <w:hideMark/>
          </w:tcPr>
          <w:p w14:paraId="2A60B817" w14:textId="77777777" w:rsidR="00A6244D" w:rsidRPr="000973F2" w:rsidRDefault="00A6244D" w:rsidP="00E06B5E">
            <w:pPr>
              <w:keepNext/>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18"/>
                <w:szCs w:val="18"/>
              </w:rPr>
            </w:pPr>
            <w:r w:rsidRPr="000973F2">
              <w:rPr>
                <w:rFonts w:ascii="Times New Roman" w:eastAsia="Times New Roman" w:hAnsi="Times New Roman" w:cs="Times New Roman"/>
                <w:b/>
                <w:bCs/>
                <w:sz w:val="18"/>
                <w:szCs w:val="18"/>
              </w:rPr>
              <w:t>Subseq. Year</w:t>
            </w:r>
          </w:p>
        </w:tc>
      </w:tr>
      <w:tr w:rsidR="00A6244D" w:rsidRPr="000973F2" w14:paraId="6699D66C" w14:textId="77777777" w:rsidTr="0085143F">
        <w:tc>
          <w:tcPr>
            <w:cnfStyle w:val="001000000000" w:firstRow="0" w:lastRow="0" w:firstColumn="1" w:lastColumn="0" w:oddVBand="0" w:evenVBand="0" w:oddHBand="0" w:evenHBand="0" w:firstRowFirstColumn="0" w:firstRowLastColumn="0" w:lastRowFirstColumn="0" w:lastRowLastColumn="0"/>
            <w:tcW w:w="1155" w:type="dxa"/>
            <w:tcMar>
              <w:right w:w="14" w:type="dxa"/>
            </w:tcMar>
            <w:hideMark/>
          </w:tcPr>
          <w:p w14:paraId="50BA3EB8" w14:textId="77777777" w:rsidR="00A6244D" w:rsidRPr="000973F2" w:rsidRDefault="00A6244D" w:rsidP="00E06B5E">
            <w:pPr>
              <w:keepNext/>
              <w:spacing w:before="40" w:after="4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Planning</w:t>
            </w:r>
          </w:p>
        </w:tc>
        <w:tc>
          <w:tcPr>
            <w:tcW w:w="821" w:type="dxa"/>
            <w:noWrap/>
            <w:hideMark/>
          </w:tcPr>
          <w:p w14:paraId="1404F1B6" w14:textId="77777777" w:rsidR="00A6244D" w:rsidRPr="000973F2" w:rsidRDefault="00A6244D" w:rsidP="007C5F18">
            <w:pPr>
              <w:keepNext/>
              <w:spacing w:before="40" w:after="4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0</w:t>
            </w:r>
          </w:p>
        </w:tc>
        <w:tc>
          <w:tcPr>
            <w:tcW w:w="821" w:type="dxa"/>
            <w:noWrap/>
            <w:hideMark/>
          </w:tcPr>
          <w:p w14:paraId="1CB996EE" w14:textId="77777777" w:rsidR="00A6244D" w:rsidRPr="000973F2" w:rsidRDefault="00A6244D" w:rsidP="007C5F18">
            <w:pPr>
              <w:keepNext/>
              <w:spacing w:before="40" w:after="4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1</w:t>
            </w:r>
          </w:p>
        </w:tc>
        <w:tc>
          <w:tcPr>
            <w:tcW w:w="821" w:type="dxa"/>
            <w:noWrap/>
            <w:hideMark/>
          </w:tcPr>
          <w:p w14:paraId="16DFEAB3" w14:textId="77777777" w:rsidR="00A6244D" w:rsidRPr="000973F2" w:rsidRDefault="00A6244D" w:rsidP="007C5F18">
            <w:pPr>
              <w:keepNext/>
              <w:spacing w:before="40" w:after="4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0</w:t>
            </w:r>
          </w:p>
        </w:tc>
        <w:tc>
          <w:tcPr>
            <w:tcW w:w="822" w:type="dxa"/>
            <w:noWrap/>
            <w:hideMark/>
          </w:tcPr>
          <w:p w14:paraId="273B9E62" w14:textId="77777777" w:rsidR="00A6244D" w:rsidRPr="000973F2" w:rsidRDefault="00A6244D" w:rsidP="007C5F18">
            <w:pPr>
              <w:keepNext/>
              <w:tabs>
                <w:tab w:val="decimal" w:pos="300"/>
              </w:tabs>
              <w:spacing w:before="40" w:after="4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0.2</w:t>
            </w:r>
          </w:p>
        </w:tc>
        <w:tc>
          <w:tcPr>
            <w:tcW w:w="821" w:type="dxa"/>
            <w:noWrap/>
            <w:hideMark/>
          </w:tcPr>
          <w:p w14:paraId="3537E8C6" w14:textId="77777777" w:rsidR="00A6244D" w:rsidRPr="000973F2" w:rsidRDefault="00A6244D" w:rsidP="007C5F18">
            <w:pPr>
              <w:keepNext/>
              <w:spacing w:before="40" w:after="4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0</w:t>
            </w:r>
          </w:p>
        </w:tc>
        <w:tc>
          <w:tcPr>
            <w:tcW w:w="821" w:type="dxa"/>
            <w:noWrap/>
            <w:hideMark/>
          </w:tcPr>
          <w:p w14:paraId="3CE9BF3C" w14:textId="77777777" w:rsidR="00A6244D" w:rsidRPr="000973F2" w:rsidRDefault="00A6244D" w:rsidP="007C5F18">
            <w:pPr>
              <w:keepNext/>
              <w:tabs>
                <w:tab w:val="decimal" w:pos="323"/>
              </w:tabs>
              <w:spacing w:before="40" w:after="4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2</w:t>
            </w:r>
          </w:p>
        </w:tc>
        <w:tc>
          <w:tcPr>
            <w:tcW w:w="821" w:type="dxa"/>
            <w:noWrap/>
            <w:hideMark/>
          </w:tcPr>
          <w:p w14:paraId="6E5A2953" w14:textId="77777777" w:rsidR="00A6244D" w:rsidRPr="000973F2" w:rsidRDefault="00A6244D" w:rsidP="007C5F18">
            <w:pPr>
              <w:keepNext/>
              <w:spacing w:before="40" w:after="4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0</w:t>
            </w:r>
          </w:p>
        </w:tc>
        <w:tc>
          <w:tcPr>
            <w:tcW w:w="822" w:type="dxa"/>
            <w:noWrap/>
            <w:hideMark/>
          </w:tcPr>
          <w:p w14:paraId="13F04EC4" w14:textId="77777777" w:rsidR="00A6244D" w:rsidRPr="000973F2" w:rsidRDefault="00A6244D" w:rsidP="007C5F18">
            <w:pPr>
              <w:keepNext/>
              <w:spacing w:before="40" w:after="4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0.1</w:t>
            </w:r>
          </w:p>
        </w:tc>
        <w:tc>
          <w:tcPr>
            <w:tcW w:w="787" w:type="dxa"/>
            <w:noWrap/>
            <w:hideMark/>
          </w:tcPr>
          <w:p w14:paraId="050A6131" w14:textId="49B13E88" w:rsidR="00A6244D" w:rsidRPr="000973F2" w:rsidRDefault="00A6244D" w:rsidP="007C5F18">
            <w:pPr>
              <w:keepNext/>
              <w:spacing w:before="40" w:after="4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$0</w:t>
            </w:r>
          </w:p>
        </w:tc>
        <w:tc>
          <w:tcPr>
            <w:tcW w:w="818" w:type="dxa"/>
            <w:noWrap/>
            <w:hideMark/>
          </w:tcPr>
          <w:p w14:paraId="7A3F39D0" w14:textId="725E3AA9" w:rsidR="00A6244D" w:rsidRPr="000973F2" w:rsidRDefault="00A6244D" w:rsidP="007C5F18">
            <w:pPr>
              <w:keepNext/>
              <w:tabs>
                <w:tab w:val="decimal" w:pos="540"/>
              </w:tabs>
              <w:spacing w:before="40" w:after="4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$276</w:t>
            </w:r>
          </w:p>
        </w:tc>
      </w:tr>
      <w:tr w:rsidR="00A6244D" w:rsidRPr="000973F2" w14:paraId="6A8DD97C" w14:textId="77777777" w:rsidTr="0085143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55" w:type="dxa"/>
            <w:tcMar>
              <w:right w:w="14" w:type="dxa"/>
            </w:tcMar>
            <w:hideMark/>
          </w:tcPr>
          <w:p w14:paraId="36C3E2CC" w14:textId="77777777" w:rsidR="00A6244D" w:rsidRPr="000973F2" w:rsidRDefault="00A6244D" w:rsidP="00E06B5E">
            <w:pPr>
              <w:keepNext/>
              <w:spacing w:before="40" w:after="4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QA/QC</w:t>
            </w:r>
          </w:p>
        </w:tc>
        <w:tc>
          <w:tcPr>
            <w:tcW w:w="821" w:type="dxa"/>
            <w:noWrap/>
            <w:hideMark/>
          </w:tcPr>
          <w:p w14:paraId="13E085BA" w14:textId="77777777" w:rsidR="00A6244D" w:rsidRPr="000973F2" w:rsidRDefault="00A6244D" w:rsidP="007C5F18">
            <w:pPr>
              <w:keepNext/>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0</w:t>
            </w:r>
          </w:p>
        </w:tc>
        <w:tc>
          <w:tcPr>
            <w:tcW w:w="821" w:type="dxa"/>
            <w:noWrap/>
            <w:hideMark/>
          </w:tcPr>
          <w:p w14:paraId="2776ED57" w14:textId="77777777" w:rsidR="00A6244D" w:rsidRPr="000973F2" w:rsidRDefault="00A6244D" w:rsidP="007C5F18">
            <w:pPr>
              <w:keepNext/>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0</w:t>
            </w:r>
          </w:p>
        </w:tc>
        <w:tc>
          <w:tcPr>
            <w:tcW w:w="821" w:type="dxa"/>
            <w:noWrap/>
            <w:hideMark/>
          </w:tcPr>
          <w:p w14:paraId="187BE1FF" w14:textId="77777777" w:rsidR="00A6244D" w:rsidRPr="000973F2" w:rsidRDefault="00A6244D" w:rsidP="007C5F18">
            <w:pPr>
              <w:keepNext/>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0</w:t>
            </w:r>
          </w:p>
        </w:tc>
        <w:tc>
          <w:tcPr>
            <w:tcW w:w="822" w:type="dxa"/>
            <w:noWrap/>
            <w:hideMark/>
          </w:tcPr>
          <w:p w14:paraId="6399C0BC" w14:textId="77777777" w:rsidR="00A6244D" w:rsidRPr="000973F2" w:rsidRDefault="00A6244D" w:rsidP="007C5F18">
            <w:pPr>
              <w:keepNext/>
              <w:tabs>
                <w:tab w:val="decimal" w:pos="300"/>
              </w:tabs>
              <w:spacing w:before="40" w:after="4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0.5</w:t>
            </w:r>
          </w:p>
        </w:tc>
        <w:tc>
          <w:tcPr>
            <w:tcW w:w="821" w:type="dxa"/>
            <w:noWrap/>
            <w:hideMark/>
          </w:tcPr>
          <w:p w14:paraId="1C83E8FB" w14:textId="77777777" w:rsidR="00A6244D" w:rsidRPr="000973F2" w:rsidRDefault="00A6244D" w:rsidP="007C5F18">
            <w:pPr>
              <w:keepNext/>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0</w:t>
            </w:r>
          </w:p>
        </w:tc>
        <w:tc>
          <w:tcPr>
            <w:tcW w:w="821" w:type="dxa"/>
            <w:noWrap/>
            <w:hideMark/>
          </w:tcPr>
          <w:p w14:paraId="0B8DA241" w14:textId="77777777" w:rsidR="00A6244D" w:rsidRPr="000973F2" w:rsidRDefault="00A6244D" w:rsidP="007C5F18">
            <w:pPr>
              <w:keepNext/>
              <w:tabs>
                <w:tab w:val="decimal" w:pos="323"/>
              </w:tabs>
              <w:spacing w:before="40" w:after="4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5</w:t>
            </w:r>
          </w:p>
        </w:tc>
        <w:tc>
          <w:tcPr>
            <w:tcW w:w="821" w:type="dxa"/>
            <w:noWrap/>
            <w:hideMark/>
          </w:tcPr>
          <w:p w14:paraId="53964C83" w14:textId="77777777" w:rsidR="00A6244D" w:rsidRPr="000973F2" w:rsidRDefault="00A6244D" w:rsidP="007C5F18">
            <w:pPr>
              <w:keepNext/>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0</w:t>
            </w:r>
          </w:p>
        </w:tc>
        <w:tc>
          <w:tcPr>
            <w:tcW w:w="822" w:type="dxa"/>
            <w:noWrap/>
            <w:hideMark/>
          </w:tcPr>
          <w:p w14:paraId="48022092" w14:textId="796AFFF9" w:rsidR="00A6244D" w:rsidRPr="000973F2" w:rsidRDefault="00A6244D" w:rsidP="007C5F18">
            <w:pPr>
              <w:keepNext/>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0.</w:t>
            </w:r>
            <w:r w:rsidR="007478B6" w:rsidRPr="000973F2">
              <w:rPr>
                <w:rFonts w:ascii="Times New Roman" w:eastAsia="Times New Roman" w:hAnsi="Times New Roman" w:cs="Times New Roman"/>
                <w:sz w:val="18"/>
                <w:szCs w:val="18"/>
              </w:rPr>
              <w:t>3</w:t>
            </w:r>
          </w:p>
        </w:tc>
        <w:tc>
          <w:tcPr>
            <w:tcW w:w="787" w:type="dxa"/>
            <w:noWrap/>
            <w:hideMark/>
          </w:tcPr>
          <w:p w14:paraId="14A858DC" w14:textId="2FB8BCFA" w:rsidR="00A6244D" w:rsidRPr="000973F2" w:rsidRDefault="00A6244D" w:rsidP="007C5F18">
            <w:pPr>
              <w:keepNext/>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$0</w:t>
            </w:r>
          </w:p>
        </w:tc>
        <w:tc>
          <w:tcPr>
            <w:tcW w:w="818" w:type="dxa"/>
            <w:noWrap/>
            <w:hideMark/>
          </w:tcPr>
          <w:p w14:paraId="19659EE8" w14:textId="23FD4E99" w:rsidR="00A6244D" w:rsidRPr="000973F2" w:rsidRDefault="00A6244D" w:rsidP="007C5F18">
            <w:pPr>
              <w:keepNext/>
              <w:tabs>
                <w:tab w:val="decimal" w:pos="540"/>
              </w:tabs>
              <w:spacing w:before="40" w:after="4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$410</w:t>
            </w:r>
          </w:p>
        </w:tc>
      </w:tr>
      <w:tr w:rsidR="00A6244D" w:rsidRPr="000973F2" w14:paraId="663A72AA" w14:textId="77777777" w:rsidTr="0085143F">
        <w:tc>
          <w:tcPr>
            <w:cnfStyle w:val="001000000000" w:firstRow="0" w:lastRow="0" w:firstColumn="1" w:lastColumn="0" w:oddVBand="0" w:evenVBand="0" w:oddHBand="0" w:evenHBand="0" w:firstRowFirstColumn="0" w:firstRowLastColumn="0" w:lastRowFirstColumn="0" w:lastRowLastColumn="0"/>
            <w:tcW w:w="1155" w:type="dxa"/>
            <w:tcMar>
              <w:right w:w="14" w:type="dxa"/>
            </w:tcMar>
            <w:hideMark/>
          </w:tcPr>
          <w:p w14:paraId="5EDD5485" w14:textId="0750DD22" w:rsidR="00A6244D" w:rsidRPr="000973F2" w:rsidRDefault="00A6244D" w:rsidP="00E06B5E">
            <w:pPr>
              <w:keepNext/>
              <w:spacing w:before="40" w:after="4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Record</w:t>
            </w:r>
            <w:r w:rsidR="00252105" w:rsidRPr="000973F2">
              <w:rPr>
                <w:rFonts w:ascii="Times New Roman" w:eastAsia="Times New Roman" w:hAnsi="Times New Roman" w:cs="Times New Roman"/>
                <w:sz w:val="18"/>
                <w:szCs w:val="18"/>
              </w:rPr>
              <w:t>-</w:t>
            </w:r>
            <w:r w:rsidRPr="000973F2">
              <w:rPr>
                <w:rFonts w:ascii="Times New Roman" w:eastAsia="Times New Roman" w:hAnsi="Times New Roman" w:cs="Times New Roman"/>
                <w:sz w:val="18"/>
                <w:szCs w:val="18"/>
              </w:rPr>
              <w:t>keeping</w:t>
            </w:r>
          </w:p>
        </w:tc>
        <w:tc>
          <w:tcPr>
            <w:tcW w:w="821" w:type="dxa"/>
            <w:noWrap/>
            <w:hideMark/>
          </w:tcPr>
          <w:p w14:paraId="6C00506D" w14:textId="77777777" w:rsidR="00A6244D" w:rsidRPr="000973F2" w:rsidRDefault="00A6244D" w:rsidP="007C5F18">
            <w:pPr>
              <w:keepNext/>
              <w:spacing w:before="40" w:after="4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0</w:t>
            </w:r>
          </w:p>
        </w:tc>
        <w:tc>
          <w:tcPr>
            <w:tcW w:w="821" w:type="dxa"/>
            <w:noWrap/>
            <w:hideMark/>
          </w:tcPr>
          <w:p w14:paraId="631A44D4" w14:textId="77777777" w:rsidR="00A6244D" w:rsidRPr="000973F2" w:rsidRDefault="00A6244D" w:rsidP="007C5F18">
            <w:pPr>
              <w:keepNext/>
              <w:spacing w:before="40" w:after="4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0</w:t>
            </w:r>
          </w:p>
        </w:tc>
        <w:tc>
          <w:tcPr>
            <w:tcW w:w="821" w:type="dxa"/>
            <w:noWrap/>
            <w:hideMark/>
          </w:tcPr>
          <w:p w14:paraId="01CF7420" w14:textId="77777777" w:rsidR="00A6244D" w:rsidRPr="000973F2" w:rsidRDefault="00A6244D" w:rsidP="007C5F18">
            <w:pPr>
              <w:keepNext/>
              <w:spacing w:before="40" w:after="4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0</w:t>
            </w:r>
          </w:p>
        </w:tc>
        <w:tc>
          <w:tcPr>
            <w:tcW w:w="822" w:type="dxa"/>
            <w:noWrap/>
            <w:hideMark/>
          </w:tcPr>
          <w:p w14:paraId="0EA6B3D0" w14:textId="77777777" w:rsidR="00A6244D" w:rsidRPr="000973F2" w:rsidRDefault="00A6244D" w:rsidP="007C5F18">
            <w:pPr>
              <w:keepNext/>
              <w:tabs>
                <w:tab w:val="decimal" w:pos="300"/>
              </w:tabs>
              <w:spacing w:before="40" w:after="4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0.5</w:t>
            </w:r>
          </w:p>
        </w:tc>
        <w:tc>
          <w:tcPr>
            <w:tcW w:w="821" w:type="dxa"/>
            <w:noWrap/>
            <w:hideMark/>
          </w:tcPr>
          <w:p w14:paraId="2C4CF148" w14:textId="77777777" w:rsidR="00A6244D" w:rsidRPr="000973F2" w:rsidRDefault="00A6244D" w:rsidP="007C5F18">
            <w:pPr>
              <w:keepNext/>
              <w:spacing w:before="40" w:after="4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0</w:t>
            </w:r>
          </w:p>
        </w:tc>
        <w:tc>
          <w:tcPr>
            <w:tcW w:w="821" w:type="dxa"/>
            <w:noWrap/>
            <w:hideMark/>
          </w:tcPr>
          <w:p w14:paraId="1ED122E9" w14:textId="77777777" w:rsidR="00A6244D" w:rsidRPr="000973F2" w:rsidRDefault="00A6244D" w:rsidP="007C5F18">
            <w:pPr>
              <w:keepNext/>
              <w:tabs>
                <w:tab w:val="decimal" w:pos="323"/>
              </w:tabs>
              <w:spacing w:before="40" w:after="4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2</w:t>
            </w:r>
          </w:p>
        </w:tc>
        <w:tc>
          <w:tcPr>
            <w:tcW w:w="821" w:type="dxa"/>
            <w:noWrap/>
            <w:hideMark/>
          </w:tcPr>
          <w:p w14:paraId="5835109F" w14:textId="77777777" w:rsidR="00A6244D" w:rsidRPr="000973F2" w:rsidRDefault="00A6244D" w:rsidP="007C5F18">
            <w:pPr>
              <w:keepNext/>
              <w:spacing w:before="40" w:after="4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0</w:t>
            </w:r>
          </w:p>
        </w:tc>
        <w:tc>
          <w:tcPr>
            <w:tcW w:w="822" w:type="dxa"/>
            <w:noWrap/>
            <w:hideMark/>
          </w:tcPr>
          <w:p w14:paraId="06CB84A6" w14:textId="77777777" w:rsidR="00A6244D" w:rsidRPr="000973F2" w:rsidRDefault="00A6244D" w:rsidP="007C5F18">
            <w:pPr>
              <w:keepNext/>
              <w:spacing w:before="40" w:after="4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0.5</w:t>
            </w:r>
          </w:p>
        </w:tc>
        <w:tc>
          <w:tcPr>
            <w:tcW w:w="787" w:type="dxa"/>
            <w:noWrap/>
            <w:hideMark/>
          </w:tcPr>
          <w:p w14:paraId="48AC8276" w14:textId="5D3686EE" w:rsidR="00A6244D" w:rsidRPr="000973F2" w:rsidRDefault="00A6244D" w:rsidP="007C5F18">
            <w:pPr>
              <w:keepNext/>
              <w:spacing w:before="40" w:after="4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$0</w:t>
            </w:r>
          </w:p>
        </w:tc>
        <w:tc>
          <w:tcPr>
            <w:tcW w:w="818" w:type="dxa"/>
            <w:noWrap/>
            <w:hideMark/>
          </w:tcPr>
          <w:p w14:paraId="1D15BE83" w14:textId="47BCF7F5" w:rsidR="00A6244D" w:rsidRPr="000973F2" w:rsidRDefault="00A6244D" w:rsidP="007C5F18">
            <w:pPr>
              <w:keepNext/>
              <w:tabs>
                <w:tab w:val="decimal" w:pos="540"/>
              </w:tabs>
              <w:spacing w:before="40" w:after="4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$205</w:t>
            </w:r>
          </w:p>
        </w:tc>
      </w:tr>
      <w:tr w:rsidR="00A6244D" w:rsidRPr="000973F2" w14:paraId="2A2FCA8B" w14:textId="77777777" w:rsidTr="0085143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55" w:type="dxa"/>
            <w:tcMar>
              <w:right w:w="14" w:type="dxa"/>
            </w:tcMar>
            <w:hideMark/>
          </w:tcPr>
          <w:p w14:paraId="6B4DE41C" w14:textId="368C0E5A" w:rsidR="00A6244D" w:rsidRPr="000973F2" w:rsidRDefault="00A6244D" w:rsidP="00E06B5E">
            <w:pPr>
              <w:keepNext/>
              <w:spacing w:before="40" w:after="4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Sampling and Analysis (Calculations)</w:t>
            </w:r>
          </w:p>
        </w:tc>
        <w:tc>
          <w:tcPr>
            <w:tcW w:w="821" w:type="dxa"/>
            <w:noWrap/>
            <w:hideMark/>
          </w:tcPr>
          <w:p w14:paraId="2634E5C8" w14:textId="77777777" w:rsidR="00A6244D" w:rsidRPr="000973F2" w:rsidRDefault="00A6244D" w:rsidP="007C5F18">
            <w:pPr>
              <w:keepNext/>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0</w:t>
            </w:r>
          </w:p>
        </w:tc>
        <w:tc>
          <w:tcPr>
            <w:tcW w:w="821" w:type="dxa"/>
            <w:noWrap/>
            <w:hideMark/>
          </w:tcPr>
          <w:p w14:paraId="565FFACD" w14:textId="77777777" w:rsidR="00A6244D" w:rsidRPr="000973F2" w:rsidRDefault="00A6244D" w:rsidP="007C5F18">
            <w:pPr>
              <w:keepNext/>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0</w:t>
            </w:r>
          </w:p>
        </w:tc>
        <w:tc>
          <w:tcPr>
            <w:tcW w:w="821" w:type="dxa"/>
            <w:noWrap/>
            <w:hideMark/>
          </w:tcPr>
          <w:p w14:paraId="3B257FD0" w14:textId="77777777" w:rsidR="00A6244D" w:rsidRPr="000973F2" w:rsidRDefault="00A6244D" w:rsidP="007C5F18">
            <w:pPr>
              <w:keepNext/>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0</w:t>
            </w:r>
          </w:p>
        </w:tc>
        <w:tc>
          <w:tcPr>
            <w:tcW w:w="822" w:type="dxa"/>
            <w:noWrap/>
            <w:hideMark/>
          </w:tcPr>
          <w:p w14:paraId="28A51346" w14:textId="77777777" w:rsidR="00A6244D" w:rsidRPr="000973F2" w:rsidRDefault="00A6244D" w:rsidP="007C5F18">
            <w:pPr>
              <w:keepNext/>
              <w:tabs>
                <w:tab w:val="decimal" w:pos="300"/>
              </w:tabs>
              <w:spacing w:before="40" w:after="4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0.1</w:t>
            </w:r>
          </w:p>
        </w:tc>
        <w:tc>
          <w:tcPr>
            <w:tcW w:w="821" w:type="dxa"/>
            <w:noWrap/>
            <w:hideMark/>
          </w:tcPr>
          <w:p w14:paraId="5FE12D8F" w14:textId="77777777" w:rsidR="00A6244D" w:rsidRPr="000973F2" w:rsidRDefault="00A6244D" w:rsidP="007C5F18">
            <w:pPr>
              <w:keepNext/>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0</w:t>
            </w:r>
          </w:p>
        </w:tc>
        <w:tc>
          <w:tcPr>
            <w:tcW w:w="821" w:type="dxa"/>
            <w:noWrap/>
            <w:hideMark/>
          </w:tcPr>
          <w:p w14:paraId="5C9DAB94" w14:textId="77777777" w:rsidR="00A6244D" w:rsidRPr="000973F2" w:rsidRDefault="00A6244D" w:rsidP="007C5F18">
            <w:pPr>
              <w:keepNext/>
              <w:tabs>
                <w:tab w:val="decimal" w:pos="323"/>
              </w:tabs>
              <w:spacing w:before="40" w:after="4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1</w:t>
            </w:r>
          </w:p>
        </w:tc>
        <w:tc>
          <w:tcPr>
            <w:tcW w:w="821" w:type="dxa"/>
            <w:noWrap/>
            <w:hideMark/>
          </w:tcPr>
          <w:p w14:paraId="27CC246F" w14:textId="77777777" w:rsidR="00A6244D" w:rsidRPr="000973F2" w:rsidRDefault="00A6244D" w:rsidP="007C5F18">
            <w:pPr>
              <w:keepNext/>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0</w:t>
            </w:r>
          </w:p>
        </w:tc>
        <w:tc>
          <w:tcPr>
            <w:tcW w:w="822" w:type="dxa"/>
            <w:noWrap/>
            <w:hideMark/>
          </w:tcPr>
          <w:p w14:paraId="5D9E7DBB" w14:textId="58B21FAF" w:rsidR="00A6244D" w:rsidRPr="000973F2" w:rsidRDefault="00A6244D" w:rsidP="007C5F18">
            <w:pPr>
              <w:keepNext/>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0.</w:t>
            </w:r>
            <w:r w:rsidR="007478B6" w:rsidRPr="000973F2">
              <w:rPr>
                <w:rFonts w:ascii="Times New Roman" w:eastAsia="Times New Roman" w:hAnsi="Times New Roman" w:cs="Times New Roman"/>
                <w:sz w:val="18"/>
                <w:szCs w:val="18"/>
              </w:rPr>
              <w:t>1</w:t>
            </w:r>
          </w:p>
        </w:tc>
        <w:tc>
          <w:tcPr>
            <w:tcW w:w="787" w:type="dxa"/>
            <w:noWrap/>
            <w:hideMark/>
          </w:tcPr>
          <w:p w14:paraId="244A4CBF" w14:textId="0FE33693" w:rsidR="00A6244D" w:rsidRPr="000973F2" w:rsidRDefault="00A6244D" w:rsidP="007C5F18">
            <w:pPr>
              <w:keepNext/>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$0</w:t>
            </w:r>
          </w:p>
        </w:tc>
        <w:tc>
          <w:tcPr>
            <w:tcW w:w="818" w:type="dxa"/>
            <w:noWrap/>
            <w:hideMark/>
          </w:tcPr>
          <w:p w14:paraId="516EFEBF" w14:textId="37814A92" w:rsidR="00A6244D" w:rsidRPr="000973F2" w:rsidRDefault="00A6244D" w:rsidP="007C5F18">
            <w:pPr>
              <w:keepNext/>
              <w:tabs>
                <w:tab w:val="decimal" w:pos="540"/>
              </w:tabs>
              <w:spacing w:before="40" w:after="4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$82</w:t>
            </w:r>
          </w:p>
        </w:tc>
      </w:tr>
      <w:tr w:rsidR="00A6244D" w:rsidRPr="000973F2" w14:paraId="292E003D" w14:textId="77777777" w:rsidTr="0085143F">
        <w:tc>
          <w:tcPr>
            <w:cnfStyle w:val="001000000000" w:firstRow="0" w:lastRow="0" w:firstColumn="1" w:lastColumn="0" w:oddVBand="0" w:evenVBand="0" w:oddHBand="0" w:evenHBand="0" w:firstRowFirstColumn="0" w:firstRowLastColumn="0" w:lastRowFirstColumn="0" w:lastRowLastColumn="0"/>
            <w:tcW w:w="1155" w:type="dxa"/>
            <w:tcMar>
              <w:right w:w="14" w:type="dxa"/>
            </w:tcMar>
            <w:hideMark/>
          </w:tcPr>
          <w:p w14:paraId="0679F238" w14:textId="77777777" w:rsidR="00A6244D" w:rsidRPr="000973F2" w:rsidRDefault="00A6244D" w:rsidP="00E06B5E">
            <w:pPr>
              <w:keepNext/>
              <w:spacing w:before="40" w:after="4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Reporting</w:t>
            </w:r>
          </w:p>
        </w:tc>
        <w:tc>
          <w:tcPr>
            <w:tcW w:w="821" w:type="dxa"/>
            <w:noWrap/>
            <w:hideMark/>
          </w:tcPr>
          <w:p w14:paraId="0F4DF8E8" w14:textId="77777777" w:rsidR="00A6244D" w:rsidRPr="000973F2" w:rsidRDefault="00A6244D" w:rsidP="007C5F18">
            <w:pPr>
              <w:keepNext/>
              <w:spacing w:before="40" w:after="4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0</w:t>
            </w:r>
          </w:p>
        </w:tc>
        <w:tc>
          <w:tcPr>
            <w:tcW w:w="821" w:type="dxa"/>
            <w:noWrap/>
            <w:hideMark/>
          </w:tcPr>
          <w:p w14:paraId="3D52965A" w14:textId="77777777" w:rsidR="00A6244D" w:rsidRPr="000973F2" w:rsidRDefault="00A6244D" w:rsidP="007C5F18">
            <w:pPr>
              <w:keepNext/>
              <w:spacing w:before="40" w:after="4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0</w:t>
            </w:r>
          </w:p>
        </w:tc>
        <w:tc>
          <w:tcPr>
            <w:tcW w:w="821" w:type="dxa"/>
            <w:noWrap/>
            <w:hideMark/>
          </w:tcPr>
          <w:p w14:paraId="245ECBC5" w14:textId="77777777" w:rsidR="00A6244D" w:rsidRPr="000973F2" w:rsidRDefault="00A6244D" w:rsidP="007C5F18">
            <w:pPr>
              <w:keepNext/>
              <w:spacing w:before="40" w:after="4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0</w:t>
            </w:r>
          </w:p>
        </w:tc>
        <w:tc>
          <w:tcPr>
            <w:tcW w:w="822" w:type="dxa"/>
            <w:noWrap/>
            <w:hideMark/>
          </w:tcPr>
          <w:p w14:paraId="63BC0C92" w14:textId="77777777" w:rsidR="00A6244D" w:rsidRPr="000973F2" w:rsidRDefault="00A6244D" w:rsidP="007C5F18">
            <w:pPr>
              <w:keepNext/>
              <w:tabs>
                <w:tab w:val="decimal" w:pos="300"/>
              </w:tabs>
              <w:spacing w:before="40" w:after="4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1</w:t>
            </w:r>
          </w:p>
        </w:tc>
        <w:tc>
          <w:tcPr>
            <w:tcW w:w="821" w:type="dxa"/>
            <w:noWrap/>
            <w:hideMark/>
          </w:tcPr>
          <w:p w14:paraId="403B2C3C" w14:textId="77777777" w:rsidR="00A6244D" w:rsidRPr="000973F2" w:rsidRDefault="00A6244D" w:rsidP="007C5F18">
            <w:pPr>
              <w:keepNext/>
              <w:spacing w:before="40" w:after="4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0</w:t>
            </w:r>
          </w:p>
        </w:tc>
        <w:tc>
          <w:tcPr>
            <w:tcW w:w="821" w:type="dxa"/>
            <w:noWrap/>
            <w:hideMark/>
          </w:tcPr>
          <w:p w14:paraId="391CC28E" w14:textId="77777777" w:rsidR="00A6244D" w:rsidRPr="000973F2" w:rsidRDefault="00A6244D" w:rsidP="007C5F18">
            <w:pPr>
              <w:keepNext/>
              <w:tabs>
                <w:tab w:val="decimal" w:pos="323"/>
              </w:tabs>
              <w:spacing w:before="40" w:after="4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4</w:t>
            </w:r>
          </w:p>
        </w:tc>
        <w:tc>
          <w:tcPr>
            <w:tcW w:w="821" w:type="dxa"/>
            <w:noWrap/>
            <w:hideMark/>
          </w:tcPr>
          <w:p w14:paraId="1F608360" w14:textId="77777777" w:rsidR="00A6244D" w:rsidRPr="000973F2" w:rsidRDefault="00A6244D" w:rsidP="007C5F18">
            <w:pPr>
              <w:keepNext/>
              <w:spacing w:before="40" w:after="4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0</w:t>
            </w:r>
          </w:p>
        </w:tc>
        <w:tc>
          <w:tcPr>
            <w:tcW w:w="822" w:type="dxa"/>
            <w:noWrap/>
            <w:hideMark/>
          </w:tcPr>
          <w:p w14:paraId="549CBFC8" w14:textId="0F2800C8" w:rsidR="00A6244D" w:rsidRPr="000973F2" w:rsidRDefault="00A6244D" w:rsidP="007C5F18">
            <w:pPr>
              <w:keepNext/>
              <w:spacing w:before="40" w:after="4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1</w:t>
            </w:r>
            <w:r w:rsidR="007478B6" w:rsidRPr="000973F2">
              <w:rPr>
                <w:rFonts w:ascii="Times New Roman" w:eastAsia="Times New Roman" w:hAnsi="Times New Roman" w:cs="Times New Roman"/>
                <w:sz w:val="18"/>
                <w:szCs w:val="18"/>
              </w:rPr>
              <w:t>.0</w:t>
            </w:r>
          </w:p>
        </w:tc>
        <w:tc>
          <w:tcPr>
            <w:tcW w:w="787" w:type="dxa"/>
            <w:noWrap/>
            <w:hideMark/>
          </w:tcPr>
          <w:p w14:paraId="1C76478E" w14:textId="1AB15E47" w:rsidR="00A6244D" w:rsidRPr="000973F2" w:rsidRDefault="00A6244D" w:rsidP="007C5F18">
            <w:pPr>
              <w:keepNext/>
              <w:spacing w:before="40" w:after="4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$0</w:t>
            </w:r>
          </w:p>
        </w:tc>
        <w:tc>
          <w:tcPr>
            <w:tcW w:w="818" w:type="dxa"/>
            <w:noWrap/>
            <w:hideMark/>
          </w:tcPr>
          <w:p w14:paraId="00A3DBA5" w14:textId="76169156" w:rsidR="00A6244D" w:rsidRPr="000973F2" w:rsidRDefault="00A6244D" w:rsidP="007C5F18">
            <w:pPr>
              <w:keepNext/>
              <w:tabs>
                <w:tab w:val="decimal" w:pos="540"/>
              </w:tabs>
              <w:spacing w:before="40" w:after="4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$410</w:t>
            </w:r>
          </w:p>
        </w:tc>
      </w:tr>
      <w:tr w:rsidR="00A6244D" w:rsidRPr="000973F2" w14:paraId="4EA6A01A" w14:textId="77777777" w:rsidTr="0085143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55" w:type="dxa"/>
            <w:noWrap/>
            <w:tcMar>
              <w:right w:w="14" w:type="dxa"/>
            </w:tcMar>
            <w:hideMark/>
          </w:tcPr>
          <w:p w14:paraId="64CBFFF2" w14:textId="77777777" w:rsidR="00A6244D" w:rsidRPr="000973F2" w:rsidRDefault="00A6244D" w:rsidP="00E06B5E">
            <w:pPr>
              <w:keepNext/>
              <w:spacing w:before="40" w:after="40"/>
              <w:rPr>
                <w:rFonts w:ascii="Times New Roman" w:eastAsia="Times New Roman" w:hAnsi="Times New Roman" w:cs="Times New Roman"/>
                <w:b/>
                <w:bCs w:val="0"/>
                <w:sz w:val="18"/>
                <w:szCs w:val="18"/>
              </w:rPr>
            </w:pPr>
            <w:r w:rsidRPr="000973F2">
              <w:rPr>
                <w:rFonts w:ascii="Times New Roman" w:eastAsia="Times New Roman" w:hAnsi="Times New Roman" w:cs="Times New Roman"/>
                <w:b/>
                <w:sz w:val="18"/>
                <w:szCs w:val="18"/>
              </w:rPr>
              <w:t>Total</w:t>
            </w:r>
          </w:p>
        </w:tc>
        <w:tc>
          <w:tcPr>
            <w:tcW w:w="821" w:type="dxa"/>
            <w:noWrap/>
            <w:hideMark/>
          </w:tcPr>
          <w:p w14:paraId="0126DFD1" w14:textId="77777777" w:rsidR="00A6244D" w:rsidRPr="000973F2" w:rsidRDefault="00A6244D" w:rsidP="007C5F18">
            <w:pPr>
              <w:keepNext/>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18"/>
                <w:szCs w:val="18"/>
              </w:rPr>
            </w:pPr>
            <w:r w:rsidRPr="000973F2">
              <w:rPr>
                <w:rFonts w:ascii="Times New Roman" w:eastAsia="Times New Roman" w:hAnsi="Times New Roman" w:cs="Times New Roman"/>
                <w:b/>
                <w:bCs/>
                <w:sz w:val="18"/>
                <w:szCs w:val="18"/>
              </w:rPr>
              <w:t>0</w:t>
            </w:r>
          </w:p>
        </w:tc>
        <w:tc>
          <w:tcPr>
            <w:tcW w:w="821" w:type="dxa"/>
            <w:noWrap/>
            <w:hideMark/>
          </w:tcPr>
          <w:p w14:paraId="4B64F824" w14:textId="77777777" w:rsidR="00A6244D" w:rsidRPr="000973F2" w:rsidRDefault="00A6244D" w:rsidP="007C5F18">
            <w:pPr>
              <w:keepNext/>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18"/>
                <w:szCs w:val="18"/>
              </w:rPr>
            </w:pPr>
            <w:r w:rsidRPr="000973F2">
              <w:rPr>
                <w:rFonts w:ascii="Times New Roman" w:eastAsia="Times New Roman" w:hAnsi="Times New Roman" w:cs="Times New Roman"/>
                <w:b/>
                <w:bCs/>
                <w:sz w:val="18"/>
                <w:szCs w:val="18"/>
              </w:rPr>
              <w:t>1</w:t>
            </w:r>
          </w:p>
        </w:tc>
        <w:tc>
          <w:tcPr>
            <w:tcW w:w="821" w:type="dxa"/>
            <w:noWrap/>
            <w:hideMark/>
          </w:tcPr>
          <w:p w14:paraId="7B906527" w14:textId="77777777" w:rsidR="00A6244D" w:rsidRPr="000973F2" w:rsidRDefault="00A6244D" w:rsidP="007C5F18">
            <w:pPr>
              <w:keepNext/>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18"/>
                <w:szCs w:val="18"/>
              </w:rPr>
            </w:pPr>
            <w:r w:rsidRPr="000973F2">
              <w:rPr>
                <w:rFonts w:ascii="Times New Roman" w:eastAsia="Times New Roman" w:hAnsi="Times New Roman" w:cs="Times New Roman"/>
                <w:b/>
                <w:bCs/>
                <w:sz w:val="18"/>
                <w:szCs w:val="18"/>
              </w:rPr>
              <w:t>0</w:t>
            </w:r>
          </w:p>
        </w:tc>
        <w:tc>
          <w:tcPr>
            <w:tcW w:w="822" w:type="dxa"/>
            <w:noWrap/>
            <w:hideMark/>
          </w:tcPr>
          <w:p w14:paraId="6D8579EF" w14:textId="77777777" w:rsidR="00A6244D" w:rsidRPr="000973F2" w:rsidRDefault="00A6244D" w:rsidP="007C5F18">
            <w:pPr>
              <w:keepNext/>
              <w:tabs>
                <w:tab w:val="decimal" w:pos="300"/>
              </w:tabs>
              <w:spacing w:before="40" w:after="4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18"/>
                <w:szCs w:val="18"/>
              </w:rPr>
            </w:pPr>
            <w:r w:rsidRPr="000973F2">
              <w:rPr>
                <w:rFonts w:ascii="Times New Roman" w:eastAsia="Times New Roman" w:hAnsi="Times New Roman" w:cs="Times New Roman"/>
                <w:b/>
                <w:bCs/>
                <w:sz w:val="18"/>
                <w:szCs w:val="18"/>
              </w:rPr>
              <w:t>2.3</w:t>
            </w:r>
          </w:p>
        </w:tc>
        <w:tc>
          <w:tcPr>
            <w:tcW w:w="821" w:type="dxa"/>
            <w:noWrap/>
            <w:hideMark/>
          </w:tcPr>
          <w:p w14:paraId="34A3ADE7" w14:textId="77777777" w:rsidR="00A6244D" w:rsidRPr="000973F2" w:rsidRDefault="00A6244D" w:rsidP="007C5F18">
            <w:pPr>
              <w:keepNext/>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18"/>
                <w:szCs w:val="18"/>
              </w:rPr>
            </w:pPr>
            <w:r w:rsidRPr="000973F2">
              <w:rPr>
                <w:rFonts w:ascii="Times New Roman" w:eastAsia="Times New Roman" w:hAnsi="Times New Roman" w:cs="Times New Roman"/>
                <w:b/>
                <w:bCs/>
                <w:sz w:val="18"/>
                <w:szCs w:val="18"/>
              </w:rPr>
              <w:t>0</w:t>
            </w:r>
          </w:p>
        </w:tc>
        <w:tc>
          <w:tcPr>
            <w:tcW w:w="821" w:type="dxa"/>
            <w:noWrap/>
            <w:hideMark/>
          </w:tcPr>
          <w:p w14:paraId="065335F0" w14:textId="77777777" w:rsidR="00A6244D" w:rsidRPr="000973F2" w:rsidRDefault="00A6244D" w:rsidP="007C5F18">
            <w:pPr>
              <w:keepNext/>
              <w:tabs>
                <w:tab w:val="decimal" w:pos="323"/>
              </w:tabs>
              <w:spacing w:before="40" w:after="4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18"/>
                <w:szCs w:val="18"/>
              </w:rPr>
            </w:pPr>
            <w:r w:rsidRPr="000973F2">
              <w:rPr>
                <w:rFonts w:ascii="Times New Roman" w:eastAsia="Times New Roman" w:hAnsi="Times New Roman" w:cs="Times New Roman"/>
                <w:b/>
                <w:bCs/>
                <w:sz w:val="18"/>
                <w:szCs w:val="18"/>
              </w:rPr>
              <w:t>14</w:t>
            </w:r>
          </w:p>
        </w:tc>
        <w:tc>
          <w:tcPr>
            <w:tcW w:w="821" w:type="dxa"/>
            <w:noWrap/>
            <w:hideMark/>
          </w:tcPr>
          <w:p w14:paraId="4148E273" w14:textId="77777777" w:rsidR="00A6244D" w:rsidRPr="000973F2" w:rsidRDefault="00A6244D" w:rsidP="007C5F18">
            <w:pPr>
              <w:keepNext/>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18"/>
                <w:szCs w:val="18"/>
              </w:rPr>
            </w:pPr>
            <w:r w:rsidRPr="000973F2">
              <w:rPr>
                <w:rFonts w:ascii="Times New Roman" w:eastAsia="Times New Roman" w:hAnsi="Times New Roman" w:cs="Times New Roman"/>
                <w:b/>
                <w:bCs/>
                <w:sz w:val="18"/>
                <w:szCs w:val="18"/>
              </w:rPr>
              <w:t>0</w:t>
            </w:r>
          </w:p>
        </w:tc>
        <w:tc>
          <w:tcPr>
            <w:tcW w:w="822" w:type="dxa"/>
            <w:noWrap/>
            <w:hideMark/>
          </w:tcPr>
          <w:p w14:paraId="24241A57" w14:textId="77777777" w:rsidR="00A6244D" w:rsidRPr="000973F2" w:rsidRDefault="00A6244D" w:rsidP="007C5F18">
            <w:pPr>
              <w:keepNext/>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18"/>
                <w:szCs w:val="18"/>
              </w:rPr>
            </w:pPr>
            <w:r w:rsidRPr="000973F2">
              <w:rPr>
                <w:rFonts w:ascii="Times New Roman" w:eastAsia="Times New Roman" w:hAnsi="Times New Roman" w:cs="Times New Roman"/>
                <w:b/>
                <w:bCs/>
                <w:sz w:val="18"/>
                <w:szCs w:val="18"/>
              </w:rPr>
              <w:t>1.9</w:t>
            </w:r>
          </w:p>
        </w:tc>
        <w:tc>
          <w:tcPr>
            <w:tcW w:w="787" w:type="dxa"/>
            <w:noWrap/>
            <w:hideMark/>
          </w:tcPr>
          <w:p w14:paraId="181336CD" w14:textId="217A781A" w:rsidR="00A6244D" w:rsidRPr="000973F2" w:rsidRDefault="00A6244D" w:rsidP="007C5F18">
            <w:pPr>
              <w:keepNext/>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18"/>
                <w:szCs w:val="18"/>
              </w:rPr>
            </w:pPr>
            <w:r w:rsidRPr="000973F2">
              <w:rPr>
                <w:rFonts w:ascii="Times New Roman" w:eastAsia="Times New Roman" w:hAnsi="Times New Roman" w:cs="Times New Roman"/>
                <w:b/>
                <w:bCs/>
                <w:sz w:val="18"/>
                <w:szCs w:val="18"/>
              </w:rPr>
              <w:t>$0</w:t>
            </w:r>
          </w:p>
        </w:tc>
        <w:tc>
          <w:tcPr>
            <w:tcW w:w="818" w:type="dxa"/>
            <w:noWrap/>
            <w:hideMark/>
          </w:tcPr>
          <w:p w14:paraId="342A1CFB" w14:textId="5AD28953" w:rsidR="00A6244D" w:rsidRPr="000973F2" w:rsidRDefault="00A6244D" w:rsidP="007C5F18">
            <w:pPr>
              <w:keepNext/>
              <w:tabs>
                <w:tab w:val="decimal" w:pos="540"/>
              </w:tabs>
              <w:spacing w:before="40" w:after="4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18"/>
                <w:szCs w:val="18"/>
              </w:rPr>
            </w:pPr>
            <w:r w:rsidRPr="000973F2">
              <w:rPr>
                <w:rFonts w:ascii="Times New Roman" w:eastAsia="Times New Roman" w:hAnsi="Times New Roman" w:cs="Times New Roman"/>
                <w:b/>
                <w:bCs/>
                <w:sz w:val="18"/>
                <w:szCs w:val="18"/>
              </w:rPr>
              <w:t>$1,383</w:t>
            </w:r>
          </w:p>
        </w:tc>
      </w:tr>
    </w:tbl>
    <w:p w14:paraId="6958D3E5" w14:textId="77777777" w:rsidR="00A6244D" w:rsidRPr="000973F2" w:rsidRDefault="00A6244D" w:rsidP="007C5F18">
      <w:pPr>
        <w:pStyle w:val="AfterTable"/>
      </w:pPr>
    </w:p>
    <w:p w14:paraId="43870EE6" w14:textId="7255E203" w:rsidR="00A6244D" w:rsidRPr="000973F2" w:rsidRDefault="001E4ED6" w:rsidP="00252105">
      <w:pPr>
        <w:pStyle w:val="Tabletitlecontinued"/>
      </w:pPr>
      <w:r w:rsidRPr="000973F2">
        <w:t xml:space="preserve">Example Table 4. </w:t>
      </w:r>
      <w:r w:rsidR="0044747A" w:rsidRPr="000973F2">
        <w:t>Capital and O&amp;M Costs</w:t>
      </w:r>
      <w:r w:rsidR="00CC6C17" w:rsidRPr="000973F2">
        <w:t xml:space="preserve"> – </w:t>
      </w:r>
      <w:r w:rsidR="00A6244D" w:rsidRPr="000973F2">
        <w:t xml:space="preserve">Subpart E </w:t>
      </w:r>
      <w:r w:rsidR="0044747A" w:rsidRPr="000973F2">
        <w:t>–</w:t>
      </w:r>
      <w:r w:rsidR="00A6244D" w:rsidRPr="000973F2">
        <w:t xml:space="preserve"> </w:t>
      </w:r>
      <w:r w:rsidR="0044747A" w:rsidRPr="000973F2">
        <w:t>Option “b”</w:t>
      </w:r>
      <w:r w:rsidR="00CC6C17" w:rsidRPr="000973F2">
        <w:t xml:space="preserve"> – </w:t>
      </w:r>
      <w:r w:rsidR="00A6244D" w:rsidRPr="000973F2">
        <w:t>Alternative Monitoring Method</w:t>
      </w:r>
    </w:p>
    <w:tbl>
      <w:tblPr>
        <w:tblStyle w:val="PlainTable1"/>
        <w:tblW w:w="5000" w:type="pct"/>
        <w:jc w:val="left"/>
        <w:tblLayout w:type="fixed"/>
        <w:tblCellMar>
          <w:left w:w="115" w:type="dxa"/>
          <w:right w:w="115" w:type="dxa"/>
        </w:tblCellMar>
        <w:tblLook w:val="04A0" w:firstRow="1" w:lastRow="0" w:firstColumn="1" w:lastColumn="0" w:noHBand="0" w:noVBand="1"/>
      </w:tblPr>
      <w:tblGrid>
        <w:gridCol w:w="1649"/>
        <w:gridCol w:w="1261"/>
        <w:gridCol w:w="1262"/>
        <w:gridCol w:w="1354"/>
        <w:gridCol w:w="1396"/>
        <w:gridCol w:w="1313"/>
        <w:gridCol w:w="1355"/>
      </w:tblGrid>
      <w:tr w:rsidR="00FF36E8" w:rsidRPr="000973F2" w14:paraId="6D30A20B" w14:textId="77777777" w:rsidTr="007C5F18">
        <w:trPr>
          <w:cnfStyle w:val="100000000000" w:firstRow="1" w:lastRow="0" w:firstColumn="0" w:lastColumn="0" w:oddVBand="0" w:evenVBand="0" w:oddHBand="0" w:evenHBand="0" w:firstRowFirstColumn="0" w:firstRowLastColumn="0" w:lastRowFirstColumn="0" w:lastRowLastColumn="0"/>
          <w:jc w:val="left"/>
        </w:trPr>
        <w:tc>
          <w:tcPr>
            <w:cnfStyle w:val="001000000000" w:firstRow="0" w:lastRow="0" w:firstColumn="1" w:lastColumn="0" w:oddVBand="0" w:evenVBand="0" w:oddHBand="0" w:evenHBand="0" w:firstRowFirstColumn="0" w:firstRowLastColumn="0" w:lastRowFirstColumn="0" w:lastRowLastColumn="0"/>
            <w:tcW w:w="1605" w:type="dxa"/>
            <w:vMerge w:val="restart"/>
            <w:noWrap/>
            <w:vAlign w:val="top"/>
            <w:hideMark/>
          </w:tcPr>
          <w:p w14:paraId="2F535929" w14:textId="40BAFFE4" w:rsidR="00FF36E8" w:rsidRPr="000973F2" w:rsidRDefault="00FF36E8" w:rsidP="00252105">
            <w:pPr>
              <w:spacing w:before="40" w:after="40"/>
              <w:rPr>
                <w:rFonts w:ascii="Times New Roman" w:eastAsia="Times New Roman" w:hAnsi="Times New Roman" w:cs="Times New Roman"/>
                <w:b w:val="0"/>
                <w:bCs w:val="0"/>
                <w:sz w:val="18"/>
                <w:szCs w:val="18"/>
              </w:rPr>
            </w:pPr>
            <w:r w:rsidRPr="000973F2">
              <w:rPr>
                <w:rFonts w:ascii="Times New Roman" w:eastAsia="Times New Roman" w:hAnsi="Times New Roman" w:cs="Times New Roman"/>
                <w:sz w:val="18"/>
                <w:szCs w:val="18"/>
              </w:rPr>
              <w:t>Activity</w:t>
            </w:r>
          </w:p>
        </w:tc>
        <w:tc>
          <w:tcPr>
            <w:tcW w:w="5130" w:type="dxa"/>
            <w:gridSpan w:val="4"/>
            <w:noWrap/>
            <w:vAlign w:val="top"/>
            <w:hideMark/>
          </w:tcPr>
          <w:p w14:paraId="2B9037F0" w14:textId="77777777" w:rsidR="00FF36E8" w:rsidRPr="000973F2" w:rsidRDefault="00FF36E8" w:rsidP="00252105">
            <w:pPr>
              <w:spacing w:before="40" w:after="40"/>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bCs w:val="0"/>
                <w:sz w:val="18"/>
                <w:szCs w:val="18"/>
              </w:rPr>
            </w:pPr>
            <w:r w:rsidRPr="000973F2">
              <w:rPr>
                <w:rFonts w:ascii="Times New Roman" w:eastAsia="Times New Roman" w:hAnsi="Times New Roman" w:cs="Times New Roman"/>
                <w:sz w:val="18"/>
                <w:szCs w:val="18"/>
              </w:rPr>
              <w:t>Cost Categories</w:t>
            </w:r>
          </w:p>
        </w:tc>
        <w:tc>
          <w:tcPr>
            <w:tcW w:w="2595" w:type="dxa"/>
            <w:gridSpan w:val="2"/>
            <w:vAlign w:val="top"/>
            <w:hideMark/>
          </w:tcPr>
          <w:p w14:paraId="56BEB4F3" w14:textId="066F41F2" w:rsidR="00FF36E8" w:rsidRPr="000973F2" w:rsidRDefault="00FF36E8" w:rsidP="00252105">
            <w:pPr>
              <w:spacing w:before="40" w:after="40"/>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bCs w:val="0"/>
                <w:sz w:val="18"/>
                <w:szCs w:val="18"/>
              </w:rPr>
            </w:pPr>
            <w:r w:rsidRPr="000973F2">
              <w:rPr>
                <w:rFonts w:ascii="Times New Roman" w:eastAsia="Times New Roman" w:hAnsi="Times New Roman" w:cs="Times New Roman"/>
                <w:sz w:val="18"/>
                <w:szCs w:val="18"/>
              </w:rPr>
              <w:t xml:space="preserve">Total Capital and O&amp;M Cost per Year per </w:t>
            </w:r>
            <w:r w:rsidRPr="000973F2">
              <w:rPr>
                <w:rFonts w:ascii="Times New Roman" w:eastAsia="Times New Roman" w:hAnsi="Times New Roman" w:cs="Times New Roman"/>
                <w:bCs w:val="0"/>
                <w:sz w:val="18"/>
                <w:szCs w:val="18"/>
              </w:rPr>
              <w:t>Facility (2017$)</w:t>
            </w:r>
          </w:p>
        </w:tc>
      </w:tr>
      <w:tr w:rsidR="00FF36E8" w:rsidRPr="000973F2" w14:paraId="4A021CBA" w14:textId="77777777" w:rsidTr="007C5F1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05" w:type="dxa"/>
            <w:vMerge/>
            <w:noWrap/>
            <w:hideMark/>
          </w:tcPr>
          <w:p w14:paraId="7DC5830B" w14:textId="1966685A" w:rsidR="00FF36E8" w:rsidRPr="000973F2" w:rsidRDefault="00FF36E8" w:rsidP="00252105">
            <w:pPr>
              <w:spacing w:before="40" w:after="40"/>
              <w:jc w:val="center"/>
              <w:rPr>
                <w:rFonts w:ascii="Times New Roman" w:eastAsia="Times New Roman" w:hAnsi="Times New Roman" w:cs="Times New Roman"/>
                <w:b/>
                <w:bCs w:val="0"/>
                <w:sz w:val="18"/>
                <w:szCs w:val="18"/>
              </w:rPr>
            </w:pPr>
          </w:p>
        </w:tc>
        <w:tc>
          <w:tcPr>
            <w:tcW w:w="1227" w:type="dxa"/>
            <w:hideMark/>
          </w:tcPr>
          <w:p w14:paraId="1D41315D" w14:textId="77777777" w:rsidR="00FF36E8" w:rsidRPr="000973F2" w:rsidRDefault="00FF36E8" w:rsidP="00252105">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18"/>
                <w:szCs w:val="18"/>
              </w:rPr>
            </w:pPr>
            <w:r w:rsidRPr="000973F2">
              <w:rPr>
                <w:rFonts w:ascii="Times New Roman" w:eastAsia="Times New Roman" w:hAnsi="Times New Roman" w:cs="Times New Roman"/>
                <w:b/>
                <w:bCs/>
                <w:sz w:val="18"/>
                <w:szCs w:val="18"/>
              </w:rPr>
              <w:t>Capital Cost (2017$)</w:t>
            </w:r>
          </w:p>
        </w:tc>
        <w:tc>
          <w:tcPr>
            <w:tcW w:w="1228" w:type="dxa"/>
            <w:hideMark/>
          </w:tcPr>
          <w:p w14:paraId="690F73B5" w14:textId="77777777" w:rsidR="00FF36E8" w:rsidRPr="000973F2" w:rsidRDefault="00FF36E8" w:rsidP="00252105">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18"/>
                <w:szCs w:val="18"/>
              </w:rPr>
            </w:pPr>
            <w:r w:rsidRPr="000973F2">
              <w:rPr>
                <w:rFonts w:ascii="Times New Roman" w:eastAsia="Times New Roman" w:hAnsi="Times New Roman" w:cs="Times New Roman"/>
                <w:b/>
                <w:bCs/>
                <w:sz w:val="18"/>
                <w:szCs w:val="18"/>
              </w:rPr>
              <w:t>Equipment Lifetime</w:t>
            </w:r>
          </w:p>
        </w:tc>
        <w:tc>
          <w:tcPr>
            <w:tcW w:w="1317" w:type="dxa"/>
            <w:hideMark/>
          </w:tcPr>
          <w:p w14:paraId="10D6C611" w14:textId="77777777" w:rsidR="00FF36E8" w:rsidRPr="000973F2" w:rsidRDefault="00FF36E8" w:rsidP="00252105">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18"/>
                <w:szCs w:val="18"/>
              </w:rPr>
            </w:pPr>
            <w:r w:rsidRPr="000973F2">
              <w:rPr>
                <w:rFonts w:ascii="Times New Roman" w:eastAsia="Times New Roman" w:hAnsi="Times New Roman" w:cs="Times New Roman"/>
                <w:b/>
                <w:bCs/>
                <w:sz w:val="18"/>
                <w:szCs w:val="18"/>
              </w:rPr>
              <w:t>Annualized Capital Cost (2017$/year)</w:t>
            </w:r>
          </w:p>
        </w:tc>
        <w:tc>
          <w:tcPr>
            <w:tcW w:w="1358" w:type="dxa"/>
            <w:hideMark/>
          </w:tcPr>
          <w:p w14:paraId="1A792F74" w14:textId="77777777" w:rsidR="00FF36E8" w:rsidRPr="000973F2" w:rsidRDefault="00FF36E8" w:rsidP="00252105">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18"/>
                <w:szCs w:val="18"/>
              </w:rPr>
            </w:pPr>
            <w:r w:rsidRPr="000973F2">
              <w:rPr>
                <w:rFonts w:ascii="Times New Roman" w:eastAsia="Times New Roman" w:hAnsi="Times New Roman" w:cs="Times New Roman"/>
                <w:b/>
                <w:bCs/>
                <w:sz w:val="18"/>
                <w:szCs w:val="18"/>
              </w:rPr>
              <w:t>O&amp;M Costs (2017$/year)</w:t>
            </w:r>
          </w:p>
        </w:tc>
        <w:tc>
          <w:tcPr>
            <w:tcW w:w="1277" w:type="dxa"/>
            <w:hideMark/>
          </w:tcPr>
          <w:p w14:paraId="361E2E3D" w14:textId="77777777" w:rsidR="00FF36E8" w:rsidRPr="000973F2" w:rsidRDefault="00FF36E8" w:rsidP="00252105">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18"/>
                <w:szCs w:val="18"/>
              </w:rPr>
            </w:pPr>
            <w:r w:rsidRPr="000973F2">
              <w:rPr>
                <w:rFonts w:ascii="Times New Roman" w:eastAsia="Times New Roman" w:hAnsi="Times New Roman" w:cs="Times New Roman"/>
                <w:b/>
                <w:bCs/>
                <w:sz w:val="18"/>
                <w:szCs w:val="18"/>
              </w:rPr>
              <w:t>Initial Year</w:t>
            </w:r>
          </w:p>
        </w:tc>
        <w:tc>
          <w:tcPr>
            <w:tcW w:w="1318" w:type="dxa"/>
            <w:hideMark/>
          </w:tcPr>
          <w:p w14:paraId="3EE09D5F" w14:textId="77777777" w:rsidR="00FF36E8" w:rsidRPr="000973F2" w:rsidRDefault="00FF36E8" w:rsidP="00252105">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18"/>
                <w:szCs w:val="18"/>
              </w:rPr>
            </w:pPr>
            <w:r w:rsidRPr="000973F2">
              <w:rPr>
                <w:rFonts w:ascii="Times New Roman" w:eastAsia="Times New Roman" w:hAnsi="Times New Roman" w:cs="Times New Roman"/>
                <w:b/>
                <w:bCs/>
                <w:sz w:val="18"/>
                <w:szCs w:val="18"/>
              </w:rPr>
              <w:t>Subseq. Years</w:t>
            </w:r>
          </w:p>
        </w:tc>
      </w:tr>
      <w:tr w:rsidR="00A6244D" w:rsidRPr="000973F2" w14:paraId="3B6B011A" w14:textId="77777777" w:rsidTr="007C5F18">
        <w:tc>
          <w:tcPr>
            <w:cnfStyle w:val="001000000000" w:firstRow="0" w:lastRow="0" w:firstColumn="1" w:lastColumn="0" w:oddVBand="0" w:evenVBand="0" w:oddHBand="0" w:evenHBand="0" w:firstRowFirstColumn="0" w:firstRowLastColumn="0" w:lastRowFirstColumn="0" w:lastRowLastColumn="0"/>
            <w:tcW w:w="1605" w:type="dxa"/>
            <w:hideMark/>
          </w:tcPr>
          <w:p w14:paraId="4E14F5E5" w14:textId="77777777" w:rsidR="00A6244D" w:rsidRPr="000973F2" w:rsidRDefault="00A6244D" w:rsidP="00252105">
            <w:pPr>
              <w:spacing w:before="40" w:after="4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Equipment (selection, purchase, installation)</w:t>
            </w:r>
          </w:p>
        </w:tc>
        <w:tc>
          <w:tcPr>
            <w:tcW w:w="1227" w:type="dxa"/>
            <w:noWrap/>
            <w:hideMark/>
          </w:tcPr>
          <w:p w14:paraId="152A225E" w14:textId="77777777" w:rsidR="00A6244D" w:rsidRPr="000973F2" w:rsidRDefault="00A6244D" w:rsidP="007C5F18">
            <w:pPr>
              <w:spacing w:before="40" w:after="4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$0</w:t>
            </w:r>
          </w:p>
        </w:tc>
        <w:tc>
          <w:tcPr>
            <w:tcW w:w="1228" w:type="dxa"/>
            <w:noWrap/>
          </w:tcPr>
          <w:p w14:paraId="0C753144" w14:textId="59AD796E" w:rsidR="00A6244D" w:rsidRPr="000973F2" w:rsidRDefault="00A6244D" w:rsidP="007C5F18">
            <w:pPr>
              <w:spacing w:before="40" w:after="4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p>
        </w:tc>
        <w:tc>
          <w:tcPr>
            <w:tcW w:w="1317" w:type="dxa"/>
            <w:noWrap/>
            <w:hideMark/>
          </w:tcPr>
          <w:p w14:paraId="06EFAB43" w14:textId="77777777" w:rsidR="00A6244D" w:rsidRPr="000973F2" w:rsidRDefault="00A6244D" w:rsidP="007C5F18">
            <w:pPr>
              <w:spacing w:before="40" w:after="4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$0</w:t>
            </w:r>
          </w:p>
        </w:tc>
        <w:tc>
          <w:tcPr>
            <w:tcW w:w="1358" w:type="dxa"/>
            <w:noWrap/>
            <w:hideMark/>
          </w:tcPr>
          <w:p w14:paraId="3389ED9A" w14:textId="77777777" w:rsidR="00A6244D" w:rsidRPr="000973F2" w:rsidRDefault="00A6244D" w:rsidP="007C5F18">
            <w:pPr>
              <w:tabs>
                <w:tab w:val="decimal" w:pos="706"/>
              </w:tabs>
              <w:spacing w:before="40" w:after="4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$0</w:t>
            </w:r>
          </w:p>
        </w:tc>
        <w:tc>
          <w:tcPr>
            <w:tcW w:w="1277" w:type="dxa"/>
            <w:noWrap/>
            <w:hideMark/>
          </w:tcPr>
          <w:p w14:paraId="4D6CF2A1" w14:textId="77777777" w:rsidR="00A6244D" w:rsidRPr="000973F2" w:rsidRDefault="00A6244D" w:rsidP="007C5F18">
            <w:pPr>
              <w:spacing w:before="40" w:after="4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$0</w:t>
            </w:r>
          </w:p>
        </w:tc>
        <w:tc>
          <w:tcPr>
            <w:tcW w:w="1318" w:type="dxa"/>
            <w:noWrap/>
            <w:hideMark/>
          </w:tcPr>
          <w:p w14:paraId="67A4E17A" w14:textId="77777777" w:rsidR="00A6244D" w:rsidRPr="000973F2" w:rsidRDefault="00A6244D" w:rsidP="007C5F18">
            <w:pPr>
              <w:tabs>
                <w:tab w:val="decimal" w:pos="672"/>
              </w:tabs>
              <w:spacing w:before="40" w:after="4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$0</w:t>
            </w:r>
          </w:p>
        </w:tc>
      </w:tr>
      <w:tr w:rsidR="001A0E12" w:rsidRPr="000973F2" w14:paraId="212F57A1" w14:textId="77777777" w:rsidTr="007C5F1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05" w:type="dxa"/>
            <w:hideMark/>
          </w:tcPr>
          <w:p w14:paraId="13161EFC" w14:textId="77777777" w:rsidR="00A6244D" w:rsidRPr="000973F2" w:rsidRDefault="00A6244D" w:rsidP="00252105">
            <w:pPr>
              <w:spacing w:before="40" w:after="4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Performance testing</w:t>
            </w:r>
          </w:p>
        </w:tc>
        <w:tc>
          <w:tcPr>
            <w:tcW w:w="1227" w:type="dxa"/>
            <w:noWrap/>
            <w:hideMark/>
          </w:tcPr>
          <w:p w14:paraId="52AF6989" w14:textId="77777777" w:rsidR="00A6244D" w:rsidRPr="000973F2" w:rsidRDefault="00A6244D" w:rsidP="007C5F18">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$0</w:t>
            </w:r>
          </w:p>
        </w:tc>
        <w:tc>
          <w:tcPr>
            <w:tcW w:w="1228" w:type="dxa"/>
            <w:noWrap/>
          </w:tcPr>
          <w:p w14:paraId="2E708B41" w14:textId="6F18688B" w:rsidR="00A6244D" w:rsidRPr="000973F2" w:rsidRDefault="00A6244D" w:rsidP="007C5F18">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p>
        </w:tc>
        <w:tc>
          <w:tcPr>
            <w:tcW w:w="1317" w:type="dxa"/>
            <w:noWrap/>
            <w:hideMark/>
          </w:tcPr>
          <w:p w14:paraId="2E9B1854" w14:textId="77777777" w:rsidR="00A6244D" w:rsidRPr="000973F2" w:rsidRDefault="00A6244D" w:rsidP="007C5F18">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$0</w:t>
            </w:r>
          </w:p>
        </w:tc>
        <w:tc>
          <w:tcPr>
            <w:tcW w:w="1358" w:type="dxa"/>
            <w:noWrap/>
            <w:hideMark/>
          </w:tcPr>
          <w:p w14:paraId="0F010E95" w14:textId="77777777" w:rsidR="00A6244D" w:rsidRPr="000973F2" w:rsidRDefault="00A6244D" w:rsidP="007C5F18">
            <w:pPr>
              <w:tabs>
                <w:tab w:val="decimal" w:pos="706"/>
              </w:tabs>
              <w:spacing w:before="40" w:after="4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$0</w:t>
            </w:r>
          </w:p>
        </w:tc>
        <w:tc>
          <w:tcPr>
            <w:tcW w:w="1277" w:type="dxa"/>
            <w:noWrap/>
            <w:hideMark/>
          </w:tcPr>
          <w:p w14:paraId="36992938" w14:textId="77777777" w:rsidR="00A6244D" w:rsidRPr="000973F2" w:rsidRDefault="00A6244D" w:rsidP="007C5F18">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$0</w:t>
            </w:r>
          </w:p>
        </w:tc>
        <w:tc>
          <w:tcPr>
            <w:tcW w:w="1318" w:type="dxa"/>
            <w:noWrap/>
            <w:hideMark/>
          </w:tcPr>
          <w:p w14:paraId="2CCF20F0" w14:textId="77777777" w:rsidR="00A6244D" w:rsidRPr="000973F2" w:rsidRDefault="00A6244D" w:rsidP="007C5F18">
            <w:pPr>
              <w:tabs>
                <w:tab w:val="decimal" w:pos="672"/>
              </w:tabs>
              <w:spacing w:before="40" w:after="4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$0</w:t>
            </w:r>
          </w:p>
        </w:tc>
      </w:tr>
      <w:tr w:rsidR="00A6244D" w:rsidRPr="000973F2" w14:paraId="35A9745D" w14:textId="77777777" w:rsidTr="007C5F18">
        <w:tc>
          <w:tcPr>
            <w:cnfStyle w:val="001000000000" w:firstRow="0" w:lastRow="0" w:firstColumn="1" w:lastColumn="0" w:oddVBand="0" w:evenVBand="0" w:oddHBand="0" w:evenHBand="0" w:firstRowFirstColumn="0" w:firstRowLastColumn="0" w:lastRowFirstColumn="0" w:lastRowLastColumn="0"/>
            <w:tcW w:w="1605" w:type="dxa"/>
            <w:hideMark/>
          </w:tcPr>
          <w:p w14:paraId="3041770F" w14:textId="77777777" w:rsidR="00A6244D" w:rsidRPr="000973F2" w:rsidRDefault="00A6244D" w:rsidP="00252105">
            <w:pPr>
              <w:spacing w:before="40" w:after="4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Recordkeeping</w:t>
            </w:r>
          </w:p>
        </w:tc>
        <w:tc>
          <w:tcPr>
            <w:tcW w:w="1227" w:type="dxa"/>
            <w:noWrap/>
            <w:hideMark/>
          </w:tcPr>
          <w:p w14:paraId="5A813D6F" w14:textId="77777777" w:rsidR="00A6244D" w:rsidRPr="000973F2" w:rsidRDefault="00A6244D" w:rsidP="007C5F18">
            <w:pPr>
              <w:spacing w:before="40" w:after="4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$0</w:t>
            </w:r>
          </w:p>
        </w:tc>
        <w:tc>
          <w:tcPr>
            <w:tcW w:w="1228" w:type="dxa"/>
            <w:noWrap/>
          </w:tcPr>
          <w:p w14:paraId="2B1EB400" w14:textId="166F98CE" w:rsidR="00A6244D" w:rsidRPr="000973F2" w:rsidRDefault="00A6244D" w:rsidP="007C5F18">
            <w:pPr>
              <w:spacing w:before="40" w:after="4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p>
        </w:tc>
        <w:tc>
          <w:tcPr>
            <w:tcW w:w="1317" w:type="dxa"/>
            <w:noWrap/>
            <w:hideMark/>
          </w:tcPr>
          <w:p w14:paraId="53EC3452" w14:textId="77777777" w:rsidR="00A6244D" w:rsidRPr="000973F2" w:rsidRDefault="00A6244D" w:rsidP="007C5F18">
            <w:pPr>
              <w:spacing w:before="40" w:after="4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$0</w:t>
            </w:r>
          </w:p>
        </w:tc>
        <w:tc>
          <w:tcPr>
            <w:tcW w:w="1358" w:type="dxa"/>
            <w:noWrap/>
            <w:hideMark/>
          </w:tcPr>
          <w:p w14:paraId="27A02334" w14:textId="77777777" w:rsidR="00A6244D" w:rsidRPr="000973F2" w:rsidRDefault="00A6244D" w:rsidP="007C5F18">
            <w:pPr>
              <w:tabs>
                <w:tab w:val="decimal" w:pos="706"/>
              </w:tabs>
              <w:spacing w:before="40" w:after="4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$50</w:t>
            </w:r>
          </w:p>
        </w:tc>
        <w:tc>
          <w:tcPr>
            <w:tcW w:w="1277" w:type="dxa"/>
            <w:noWrap/>
            <w:hideMark/>
          </w:tcPr>
          <w:p w14:paraId="45734D91" w14:textId="77777777" w:rsidR="00A6244D" w:rsidRPr="000973F2" w:rsidRDefault="00A6244D" w:rsidP="007C5F18">
            <w:pPr>
              <w:spacing w:before="40" w:after="4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$0</w:t>
            </w:r>
          </w:p>
        </w:tc>
        <w:tc>
          <w:tcPr>
            <w:tcW w:w="1318" w:type="dxa"/>
            <w:noWrap/>
            <w:hideMark/>
          </w:tcPr>
          <w:p w14:paraId="73739F0C" w14:textId="77777777" w:rsidR="00A6244D" w:rsidRPr="000973F2" w:rsidRDefault="00A6244D" w:rsidP="007C5F18">
            <w:pPr>
              <w:tabs>
                <w:tab w:val="decimal" w:pos="672"/>
              </w:tabs>
              <w:spacing w:before="40" w:after="4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$50</w:t>
            </w:r>
          </w:p>
        </w:tc>
      </w:tr>
      <w:tr w:rsidR="001A0E12" w:rsidRPr="000973F2" w14:paraId="7A6C1F6A" w14:textId="77777777" w:rsidTr="007C5F1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05" w:type="dxa"/>
            <w:hideMark/>
          </w:tcPr>
          <w:p w14:paraId="40E1E7EE" w14:textId="77777777" w:rsidR="00A6244D" w:rsidRPr="000973F2" w:rsidRDefault="00A6244D" w:rsidP="00252105">
            <w:pPr>
              <w:spacing w:before="40" w:after="4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Travel</w:t>
            </w:r>
          </w:p>
        </w:tc>
        <w:tc>
          <w:tcPr>
            <w:tcW w:w="1227" w:type="dxa"/>
            <w:noWrap/>
            <w:hideMark/>
          </w:tcPr>
          <w:p w14:paraId="358B6EA0" w14:textId="77777777" w:rsidR="00A6244D" w:rsidRPr="000973F2" w:rsidRDefault="00A6244D" w:rsidP="007C5F18">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$0</w:t>
            </w:r>
          </w:p>
        </w:tc>
        <w:tc>
          <w:tcPr>
            <w:tcW w:w="1228" w:type="dxa"/>
            <w:noWrap/>
          </w:tcPr>
          <w:p w14:paraId="411FCFCF" w14:textId="5245D780" w:rsidR="00A6244D" w:rsidRPr="000973F2" w:rsidRDefault="00A6244D" w:rsidP="007C5F18">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p>
        </w:tc>
        <w:tc>
          <w:tcPr>
            <w:tcW w:w="1317" w:type="dxa"/>
            <w:noWrap/>
            <w:hideMark/>
          </w:tcPr>
          <w:p w14:paraId="7C741050" w14:textId="77777777" w:rsidR="00A6244D" w:rsidRPr="000973F2" w:rsidRDefault="00A6244D" w:rsidP="007C5F18">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$0</w:t>
            </w:r>
          </w:p>
        </w:tc>
        <w:tc>
          <w:tcPr>
            <w:tcW w:w="1358" w:type="dxa"/>
            <w:noWrap/>
            <w:hideMark/>
          </w:tcPr>
          <w:p w14:paraId="0BA2BE48" w14:textId="77777777" w:rsidR="00A6244D" w:rsidRPr="000973F2" w:rsidRDefault="00A6244D" w:rsidP="007C5F18">
            <w:pPr>
              <w:tabs>
                <w:tab w:val="decimal" w:pos="706"/>
              </w:tabs>
              <w:spacing w:before="40" w:after="4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$0</w:t>
            </w:r>
          </w:p>
        </w:tc>
        <w:tc>
          <w:tcPr>
            <w:tcW w:w="1277" w:type="dxa"/>
            <w:noWrap/>
            <w:hideMark/>
          </w:tcPr>
          <w:p w14:paraId="7D6A9550" w14:textId="77777777" w:rsidR="00A6244D" w:rsidRPr="000973F2" w:rsidRDefault="00A6244D" w:rsidP="007C5F18">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$0</w:t>
            </w:r>
          </w:p>
        </w:tc>
        <w:tc>
          <w:tcPr>
            <w:tcW w:w="1318" w:type="dxa"/>
            <w:noWrap/>
            <w:hideMark/>
          </w:tcPr>
          <w:p w14:paraId="7CEF1100" w14:textId="77777777" w:rsidR="00A6244D" w:rsidRPr="000973F2" w:rsidRDefault="00A6244D" w:rsidP="007C5F18">
            <w:pPr>
              <w:tabs>
                <w:tab w:val="decimal" w:pos="672"/>
              </w:tabs>
              <w:spacing w:before="40" w:after="4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$0</w:t>
            </w:r>
          </w:p>
        </w:tc>
      </w:tr>
      <w:tr w:rsidR="00A6244D" w:rsidRPr="000973F2" w14:paraId="7BF6A49B" w14:textId="77777777" w:rsidTr="007C5F18">
        <w:tc>
          <w:tcPr>
            <w:cnfStyle w:val="001000000000" w:firstRow="0" w:lastRow="0" w:firstColumn="1" w:lastColumn="0" w:oddVBand="0" w:evenVBand="0" w:oddHBand="0" w:evenHBand="0" w:firstRowFirstColumn="0" w:firstRowLastColumn="0" w:lastRowFirstColumn="0" w:lastRowLastColumn="0"/>
            <w:tcW w:w="1605" w:type="dxa"/>
            <w:hideMark/>
          </w:tcPr>
          <w:p w14:paraId="20FE0D70" w14:textId="0B2A3564" w:rsidR="00A6244D" w:rsidRPr="000973F2" w:rsidRDefault="00A6244D" w:rsidP="00252105">
            <w:pPr>
              <w:spacing w:before="40" w:after="4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 xml:space="preserve">Sampling </w:t>
            </w:r>
            <w:r w:rsidR="00430EC0" w:rsidRPr="000973F2">
              <w:rPr>
                <w:rFonts w:ascii="Times New Roman" w:eastAsia="Times New Roman" w:hAnsi="Times New Roman" w:cs="Times New Roman"/>
                <w:sz w:val="18"/>
                <w:szCs w:val="18"/>
              </w:rPr>
              <w:t xml:space="preserve">and Analysis </w:t>
            </w:r>
            <w:r w:rsidRPr="000973F2">
              <w:rPr>
                <w:rFonts w:ascii="Times New Roman" w:eastAsia="Times New Roman" w:hAnsi="Times New Roman" w:cs="Times New Roman"/>
                <w:sz w:val="18"/>
                <w:szCs w:val="18"/>
              </w:rPr>
              <w:t>Costs</w:t>
            </w:r>
          </w:p>
        </w:tc>
        <w:tc>
          <w:tcPr>
            <w:tcW w:w="1227" w:type="dxa"/>
            <w:noWrap/>
            <w:hideMark/>
          </w:tcPr>
          <w:p w14:paraId="4D5632C4" w14:textId="77777777" w:rsidR="00A6244D" w:rsidRPr="000973F2" w:rsidRDefault="00A6244D" w:rsidP="007C5F18">
            <w:pPr>
              <w:spacing w:before="40" w:after="4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$0</w:t>
            </w:r>
          </w:p>
        </w:tc>
        <w:tc>
          <w:tcPr>
            <w:tcW w:w="1228" w:type="dxa"/>
            <w:noWrap/>
          </w:tcPr>
          <w:p w14:paraId="7EE66211" w14:textId="5C6919F9" w:rsidR="00A6244D" w:rsidRPr="000973F2" w:rsidRDefault="00A6244D" w:rsidP="007C5F18">
            <w:pPr>
              <w:spacing w:before="40" w:after="4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p>
        </w:tc>
        <w:tc>
          <w:tcPr>
            <w:tcW w:w="1317" w:type="dxa"/>
            <w:noWrap/>
            <w:hideMark/>
          </w:tcPr>
          <w:p w14:paraId="674D1059" w14:textId="77777777" w:rsidR="00A6244D" w:rsidRPr="000973F2" w:rsidRDefault="00A6244D" w:rsidP="007C5F18">
            <w:pPr>
              <w:spacing w:before="40" w:after="4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$0</w:t>
            </w:r>
          </w:p>
        </w:tc>
        <w:tc>
          <w:tcPr>
            <w:tcW w:w="1358" w:type="dxa"/>
            <w:noWrap/>
            <w:hideMark/>
          </w:tcPr>
          <w:p w14:paraId="12790F03" w14:textId="77777777" w:rsidR="00A6244D" w:rsidRPr="000973F2" w:rsidRDefault="00A6244D" w:rsidP="007C5F18">
            <w:pPr>
              <w:tabs>
                <w:tab w:val="decimal" w:pos="706"/>
              </w:tabs>
              <w:spacing w:before="40" w:after="4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$0</w:t>
            </w:r>
          </w:p>
        </w:tc>
        <w:tc>
          <w:tcPr>
            <w:tcW w:w="1277" w:type="dxa"/>
            <w:noWrap/>
            <w:hideMark/>
          </w:tcPr>
          <w:p w14:paraId="4941900D" w14:textId="77777777" w:rsidR="00A6244D" w:rsidRPr="000973F2" w:rsidRDefault="00A6244D" w:rsidP="007C5F18">
            <w:pPr>
              <w:spacing w:before="40" w:after="4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$0</w:t>
            </w:r>
          </w:p>
        </w:tc>
        <w:tc>
          <w:tcPr>
            <w:tcW w:w="1318" w:type="dxa"/>
            <w:noWrap/>
            <w:hideMark/>
          </w:tcPr>
          <w:p w14:paraId="734011C5" w14:textId="77777777" w:rsidR="00A6244D" w:rsidRPr="000973F2" w:rsidRDefault="00A6244D" w:rsidP="007C5F18">
            <w:pPr>
              <w:tabs>
                <w:tab w:val="decimal" w:pos="672"/>
              </w:tabs>
              <w:spacing w:before="40" w:after="4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$0</w:t>
            </w:r>
          </w:p>
        </w:tc>
      </w:tr>
      <w:tr w:rsidR="00A6244D" w:rsidRPr="000973F2" w14:paraId="246F2CBC" w14:textId="77777777" w:rsidTr="007C5F1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05" w:type="dxa"/>
            <w:hideMark/>
          </w:tcPr>
          <w:p w14:paraId="4015B9D5" w14:textId="77777777" w:rsidR="00A6244D" w:rsidRPr="000973F2" w:rsidRDefault="00A6244D" w:rsidP="00252105">
            <w:pPr>
              <w:spacing w:before="40" w:after="40"/>
              <w:rPr>
                <w:rFonts w:ascii="Times New Roman" w:eastAsia="Times New Roman" w:hAnsi="Times New Roman" w:cs="Times New Roman"/>
                <w:b/>
                <w:bCs w:val="0"/>
                <w:sz w:val="18"/>
                <w:szCs w:val="18"/>
              </w:rPr>
            </w:pPr>
            <w:r w:rsidRPr="000973F2">
              <w:rPr>
                <w:rFonts w:ascii="Times New Roman" w:eastAsia="Times New Roman" w:hAnsi="Times New Roman" w:cs="Times New Roman"/>
                <w:b/>
                <w:sz w:val="18"/>
                <w:szCs w:val="18"/>
              </w:rPr>
              <w:t>Total</w:t>
            </w:r>
          </w:p>
        </w:tc>
        <w:tc>
          <w:tcPr>
            <w:tcW w:w="1227" w:type="dxa"/>
            <w:noWrap/>
            <w:hideMark/>
          </w:tcPr>
          <w:p w14:paraId="1C86ED08" w14:textId="77777777" w:rsidR="00A6244D" w:rsidRPr="000973F2" w:rsidRDefault="00A6244D" w:rsidP="007C5F18">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sz w:val="18"/>
                <w:szCs w:val="18"/>
              </w:rPr>
            </w:pPr>
            <w:r w:rsidRPr="000973F2">
              <w:rPr>
                <w:rFonts w:ascii="Times New Roman" w:eastAsia="Times New Roman" w:hAnsi="Times New Roman" w:cs="Times New Roman"/>
                <w:b/>
                <w:sz w:val="18"/>
                <w:szCs w:val="18"/>
              </w:rPr>
              <w:t>$0</w:t>
            </w:r>
          </w:p>
        </w:tc>
        <w:tc>
          <w:tcPr>
            <w:tcW w:w="1228" w:type="dxa"/>
            <w:noWrap/>
          </w:tcPr>
          <w:p w14:paraId="7F401EC6" w14:textId="47164271" w:rsidR="00A6244D" w:rsidRPr="000973F2" w:rsidRDefault="00A6244D" w:rsidP="007C5F18">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sz w:val="18"/>
                <w:szCs w:val="18"/>
              </w:rPr>
            </w:pPr>
          </w:p>
        </w:tc>
        <w:tc>
          <w:tcPr>
            <w:tcW w:w="1317" w:type="dxa"/>
            <w:noWrap/>
            <w:hideMark/>
          </w:tcPr>
          <w:p w14:paraId="59E98E16" w14:textId="77777777" w:rsidR="00A6244D" w:rsidRPr="000973F2" w:rsidRDefault="00A6244D" w:rsidP="007C5F18">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sz w:val="18"/>
                <w:szCs w:val="18"/>
              </w:rPr>
            </w:pPr>
            <w:r w:rsidRPr="000973F2">
              <w:rPr>
                <w:rFonts w:ascii="Times New Roman" w:eastAsia="Times New Roman" w:hAnsi="Times New Roman" w:cs="Times New Roman"/>
                <w:b/>
                <w:sz w:val="18"/>
                <w:szCs w:val="18"/>
              </w:rPr>
              <w:t>$0</w:t>
            </w:r>
          </w:p>
        </w:tc>
        <w:tc>
          <w:tcPr>
            <w:tcW w:w="1358" w:type="dxa"/>
            <w:noWrap/>
            <w:hideMark/>
          </w:tcPr>
          <w:p w14:paraId="6FFCBB14" w14:textId="77777777" w:rsidR="00A6244D" w:rsidRPr="000973F2" w:rsidRDefault="00A6244D" w:rsidP="007C5F18">
            <w:pPr>
              <w:tabs>
                <w:tab w:val="decimal" w:pos="706"/>
              </w:tabs>
              <w:spacing w:before="40" w:after="4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sz w:val="18"/>
                <w:szCs w:val="18"/>
              </w:rPr>
            </w:pPr>
            <w:r w:rsidRPr="000973F2">
              <w:rPr>
                <w:rFonts w:ascii="Times New Roman" w:eastAsia="Times New Roman" w:hAnsi="Times New Roman" w:cs="Times New Roman"/>
                <w:b/>
                <w:sz w:val="18"/>
                <w:szCs w:val="18"/>
              </w:rPr>
              <w:t>$50</w:t>
            </w:r>
          </w:p>
        </w:tc>
        <w:tc>
          <w:tcPr>
            <w:tcW w:w="1277" w:type="dxa"/>
            <w:noWrap/>
            <w:hideMark/>
          </w:tcPr>
          <w:p w14:paraId="4DA1ED58" w14:textId="77777777" w:rsidR="00A6244D" w:rsidRPr="000973F2" w:rsidRDefault="00A6244D" w:rsidP="007C5F18">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sz w:val="18"/>
                <w:szCs w:val="18"/>
              </w:rPr>
            </w:pPr>
            <w:r w:rsidRPr="000973F2">
              <w:rPr>
                <w:rFonts w:ascii="Times New Roman" w:eastAsia="Times New Roman" w:hAnsi="Times New Roman" w:cs="Times New Roman"/>
                <w:b/>
                <w:sz w:val="18"/>
                <w:szCs w:val="18"/>
              </w:rPr>
              <w:t>$0</w:t>
            </w:r>
          </w:p>
        </w:tc>
        <w:tc>
          <w:tcPr>
            <w:tcW w:w="1318" w:type="dxa"/>
            <w:noWrap/>
            <w:hideMark/>
          </w:tcPr>
          <w:p w14:paraId="581B2534" w14:textId="77777777" w:rsidR="00A6244D" w:rsidRPr="000973F2" w:rsidRDefault="00A6244D" w:rsidP="007C5F18">
            <w:pPr>
              <w:tabs>
                <w:tab w:val="decimal" w:pos="672"/>
              </w:tabs>
              <w:spacing w:before="40" w:after="4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sz w:val="18"/>
                <w:szCs w:val="18"/>
              </w:rPr>
            </w:pPr>
            <w:r w:rsidRPr="000973F2">
              <w:rPr>
                <w:rFonts w:ascii="Times New Roman" w:eastAsia="Times New Roman" w:hAnsi="Times New Roman" w:cs="Times New Roman"/>
                <w:b/>
                <w:sz w:val="18"/>
                <w:szCs w:val="18"/>
              </w:rPr>
              <w:t>$50</w:t>
            </w:r>
          </w:p>
        </w:tc>
      </w:tr>
    </w:tbl>
    <w:p w14:paraId="28A26CE3" w14:textId="4F1ED4FE" w:rsidR="00C57C21" w:rsidRPr="000973F2" w:rsidRDefault="00C57C21" w:rsidP="00252105">
      <w:pPr>
        <w:pStyle w:val="BodyTextfirst"/>
      </w:pPr>
      <w:r w:rsidRPr="000973F2">
        <w:t xml:space="preserve">The annual costs for existing </w:t>
      </w:r>
      <w:r w:rsidR="00616CDE" w:rsidRPr="000973F2">
        <w:t>facilities</w:t>
      </w:r>
      <w:r w:rsidRPr="000973F2">
        <w:t xml:space="preserve"> using option “b” are $1,383 per </w:t>
      </w:r>
      <w:r w:rsidR="00616CDE" w:rsidRPr="000973F2">
        <w:t>facility</w:t>
      </w:r>
      <w:r w:rsidRPr="000973F2">
        <w:t xml:space="preserve"> </w:t>
      </w:r>
      <w:r w:rsidR="004E0C2A" w:rsidRPr="000973F2">
        <w:t xml:space="preserve">for labor </w:t>
      </w:r>
      <w:r w:rsidRPr="000973F2">
        <w:t xml:space="preserve">plus $50 per </w:t>
      </w:r>
      <w:r w:rsidR="00616CDE" w:rsidRPr="000973F2">
        <w:t>facility</w:t>
      </w:r>
      <w:r w:rsidR="004E0C2A" w:rsidRPr="000973F2">
        <w:t xml:space="preserve"> for O&amp;M</w:t>
      </w:r>
      <w:r w:rsidRPr="000973F2">
        <w:t xml:space="preserve">, for a total of $1,433 per </w:t>
      </w:r>
      <w:r w:rsidR="00616CDE" w:rsidRPr="000973F2">
        <w:t>facility</w:t>
      </w:r>
      <w:r w:rsidRPr="000973F2">
        <w:t xml:space="preserve">. The costs for new </w:t>
      </w:r>
      <w:r w:rsidR="00616CDE" w:rsidRPr="000973F2">
        <w:t>facilities</w:t>
      </w:r>
      <w:r w:rsidRPr="000973F2">
        <w:t xml:space="preserve"> using option “b” are $0. </w:t>
      </w:r>
      <w:r w:rsidR="004E0C2A" w:rsidRPr="000973F2">
        <w:t>O</w:t>
      </w:r>
      <w:r w:rsidRPr="000973F2">
        <w:t xml:space="preserve">ne existing </w:t>
      </w:r>
      <w:r w:rsidR="00616CDE" w:rsidRPr="000973F2">
        <w:t>facility</w:t>
      </w:r>
      <w:r w:rsidRPr="000973F2">
        <w:t xml:space="preserve"> expected to use this option.</w:t>
      </w:r>
    </w:p>
    <w:p w14:paraId="3DE76F71" w14:textId="7FA318AA" w:rsidR="00C57C21" w:rsidRPr="000973F2" w:rsidRDefault="00C57C21" w:rsidP="00252105">
      <w:pPr>
        <w:pStyle w:val="BodyText"/>
      </w:pPr>
      <w:r w:rsidRPr="000973F2">
        <w:t>The total annual costs for Subpart E are approximately $8,7</w:t>
      </w:r>
      <w:r w:rsidR="00D443FA" w:rsidRPr="000973F2">
        <w:t>00</w:t>
      </w:r>
      <w:r w:rsidRPr="000973F2">
        <w:t xml:space="preserve"> per year ($7,290 plus $1,433</w:t>
      </w:r>
      <w:r w:rsidR="00D443FA" w:rsidRPr="000973F2">
        <w:t>, rounded to the nearest one hundred</w:t>
      </w:r>
      <w:r w:rsidR="00E27001" w:rsidRPr="000973F2">
        <w:t xml:space="preserve"> dollars</w:t>
      </w:r>
      <w:r w:rsidRPr="000973F2">
        <w:t xml:space="preserve">) and the total </w:t>
      </w:r>
      <w:r w:rsidR="004E0C2A" w:rsidRPr="000973F2">
        <w:t xml:space="preserve">cost </w:t>
      </w:r>
      <w:r w:rsidRPr="000973F2">
        <w:t>over the three</w:t>
      </w:r>
      <w:r w:rsidR="00051F9B">
        <w:t>-</w:t>
      </w:r>
      <w:r w:rsidRPr="000973F2">
        <w:t>year</w:t>
      </w:r>
      <w:r w:rsidR="00051F9B">
        <w:t xml:space="preserve"> </w:t>
      </w:r>
      <w:r w:rsidRPr="000973F2">
        <w:t xml:space="preserve">period is this total </w:t>
      </w:r>
      <w:r w:rsidR="004E0C2A" w:rsidRPr="000973F2">
        <w:t xml:space="preserve">cost </w:t>
      </w:r>
      <w:r w:rsidRPr="000973F2">
        <w:t>multiplied by three, or approximately $26,</w:t>
      </w:r>
      <w:r w:rsidR="00342E45" w:rsidRPr="000973F2">
        <w:t>1</w:t>
      </w:r>
      <w:r w:rsidRPr="000973F2">
        <w:t>00.</w:t>
      </w:r>
    </w:p>
    <w:p w14:paraId="62F3C184" w14:textId="77777777" w:rsidR="00F54793" w:rsidRPr="000973F2" w:rsidRDefault="007528DE" w:rsidP="00252105">
      <w:pPr>
        <w:pStyle w:val="BodyText"/>
      </w:pPr>
      <w:r w:rsidRPr="000973F2">
        <w:t xml:space="preserve">The total cost calculations for subparts with new sources are the same as for Subpart E, with an additional calculation for new facilities using the “Initial Year” column instead of the “Subsequent Years” column and the count of new facilities instead of the count of existing facilities. </w:t>
      </w:r>
    </w:p>
    <w:p w14:paraId="23071A1C" w14:textId="367A1598" w:rsidR="007528DE" w:rsidRPr="000973F2" w:rsidRDefault="002E19F0" w:rsidP="00252105">
      <w:pPr>
        <w:pStyle w:val="BodyText"/>
      </w:pPr>
      <w:r w:rsidRPr="000973F2">
        <w:t xml:space="preserve">In </w:t>
      </w:r>
      <w:r w:rsidR="004E0C2A" w:rsidRPr="000973F2">
        <w:t>each of the</w:t>
      </w:r>
      <w:r w:rsidRPr="000973F2">
        <w:t xml:space="preserve"> three years </w:t>
      </w:r>
      <w:r w:rsidR="004E0C2A" w:rsidRPr="000973F2">
        <w:t>covered by this</w:t>
      </w:r>
      <w:r w:rsidRPr="000973F2">
        <w:t xml:space="preserve"> ICR, the total annual costs are the sum of the annual costs for the existing facilities and the annual costs for the new facilities. The only difference is the number of facilities classified as existing facilities in each year. </w:t>
      </w:r>
      <w:r w:rsidR="001E4ED6" w:rsidRPr="000973F2">
        <w:t xml:space="preserve">New facilities only incur the “Initial Year” costs for one year. After the first year, the new facilities become existing facilities and incur the “Subsequent Year” costs. For example, if </w:t>
      </w:r>
      <w:r w:rsidR="004E0C2A" w:rsidRPr="000973F2">
        <w:t>a subpart</w:t>
      </w:r>
      <w:r w:rsidR="001E4ED6" w:rsidRPr="000973F2">
        <w:t xml:space="preserve"> </w:t>
      </w:r>
      <w:r w:rsidR="004E0C2A" w:rsidRPr="000973F2">
        <w:t>has</w:t>
      </w:r>
      <w:r w:rsidR="001E4ED6" w:rsidRPr="000973F2">
        <w:t xml:space="preserve"> 15 existing facilities </w:t>
      </w:r>
      <w:r w:rsidRPr="000973F2">
        <w:t xml:space="preserve">in Year 1 </w:t>
      </w:r>
      <w:r w:rsidR="001E4ED6" w:rsidRPr="000973F2">
        <w:t xml:space="preserve">and 5 new facilities </w:t>
      </w:r>
      <w:r w:rsidRPr="000973F2">
        <w:t xml:space="preserve">are expected in </w:t>
      </w:r>
      <w:r w:rsidR="004E0C2A" w:rsidRPr="000973F2">
        <w:t>each</w:t>
      </w:r>
      <w:r w:rsidRPr="000973F2">
        <w:t xml:space="preserve"> subsequent year</w:t>
      </w:r>
      <w:r w:rsidR="001E4ED6" w:rsidRPr="000973F2">
        <w:t>, the number of facilities</w:t>
      </w:r>
      <w:r w:rsidRPr="000973F2">
        <w:t xml:space="preserve"> each year are shown in </w:t>
      </w:r>
      <w:r w:rsidR="001E4ED6" w:rsidRPr="000973F2">
        <w:t>Example Table 5.</w:t>
      </w:r>
      <w:r w:rsidRPr="000973F2">
        <w:t xml:space="preserve"> To calculate total costs, multiply the number of facilities from Example Table 5 by the costs in Table 1 and Table 2 for each year of the three-year</w:t>
      </w:r>
      <w:r w:rsidR="00051F9B">
        <w:t xml:space="preserve"> </w:t>
      </w:r>
      <w:r w:rsidRPr="000973F2">
        <w:t>period of the ICR.</w:t>
      </w:r>
    </w:p>
    <w:p w14:paraId="44703F50" w14:textId="00EF3210" w:rsidR="001E4ED6" w:rsidRPr="000973F2" w:rsidRDefault="001E4ED6" w:rsidP="00252105">
      <w:pPr>
        <w:pStyle w:val="Tabletitlecontinued"/>
      </w:pPr>
      <w:r w:rsidRPr="000973F2">
        <w:t xml:space="preserve">Example Table 5. </w:t>
      </w:r>
      <w:r w:rsidR="00BA3792" w:rsidRPr="000973F2">
        <w:t>Facility Counts per Year</w:t>
      </w:r>
      <w:r w:rsidR="0044747A" w:rsidRPr="000973F2">
        <w:t xml:space="preserve"> Example</w:t>
      </w:r>
    </w:p>
    <w:tbl>
      <w:tblPr>
        <w:tblStyle w:val="PlainTable1"/>
        <w:tblW w:w="5000" w:type="pct"/>
        <w:jc w:val="left"/>
        <w:tblLayout w:type="fixed"/>
        <w:tblLook w:val="04A0" w:firstRow="1" w:lastRow="0" w:firstColumn="1" w:lastColumn="0" w:noHBand="0" w:noVBand="1"/>
      </w:tblPr>
      <w:tblGrid>
        <w:gridCol w:w="2004"/>
        <w:gridCol w:w="3786"/>
        <w:gridCol w:w="3786"/>
      </w:tblGrid>
      <w:tr w:rsidR="00252105" w:rsidRPr="000973F2" w14:paraId="2A45CA93" w14:textId="77777777" w:rsidTr="0085143F">
        <w:trPr>
          <w:cnfStyle w:val="100000000000" w:firstRow="1" w:lastRow="0" w:firstColumn="0" w:lastColumn="0" w:oddVBand="0" w:evenVBand="0" w:oddHBand="0" w:evenHBand="0" w:firstRowFirstColumn="0" w:firstRowLastColumn="0" w:lastRowFirstColumn="0" w:lastRowLastColumn="0"/>
          <w:jc w:val="left"/>
        </w:trPr>
        <w:tc>
          <w:tcPr>
            <w:cnfStyle w:val="001000000000" w:firstRow="0" w:lastRow="0" w:firstColumn="1" w:lastColumn="0" w:oddVBand="0" w:evenVBand="0" w:oddHBand="0" w:evenHBand="0" w:firstRowFirstColumn="0" w:firstRowLastColumn="0" w:lastRowFirstColumn="0" w:lastRowLastColumn="0"/>
            <w:tcW w:w="1315" w:type="dxa"/>
            <w:noWrap/>
            <w:vAlign w:val="top"/>
            <w:hideMark/>
          </w:tcPr>
          <w:p w14:paraId="226CF475" w14:textId="77777777" w:rsidR="00252105" w:rsidRPr="000973F2" w:rsidRDefault="00252105" w:rsidP="00252105">
            <w:pPr>
              <w:spacing w:before="40" w:after="40"/>
              <w:rPr>
                <w:rFonts w:ascii="Times New Roman" w:eastAsia="Times New Roman" w:hAnsi="Times New Roman" w:cs="Times New Roman"/>
                <w:b w:val="0"/>
                <w:color w:val="000000"/>
                <w:sz w:val="18"/>
                <w:szCs w:val="18"/>
              </w:rPr>
            </w:pPr>
            <w:r w:rsidRPr="000973F2">
              <w:rPr>
                <w:rFonts w:ascii="Times New Roman" w:eastAsia="Times New Roman" w:hAnsi="Times New Roman" w:cs="Times New Roman"/>
                <w:color w:val="000000"/>
                <w:sz w:val="18"/>
                <w:szCs w:val="18"/>
              </w:rPr>
              <w:t>ICR Period</w:t>
            </w:r>
          </w:p>
        </w:tc>
        <w:tc>
          <w:tcPr>
            <w:tcW w:w="2485" w:type="dxa"/>
            <w:noWrap/>
            <w:vAlign w:val="top"/>
            <w:hideMark/>
          </w:tcPr>
          <w:p w14:paraId="48EADE2E" w14:textId="3096D413" w:rsidR="00252105" w:rsidRPr="000973F2" w:rsidRDefault="00252105" w:rsidP="00252105">
            <w:pPr>
              <w:spacing w:before="40" w:after="40"/>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color w:val="000000"/>
                <w:sz w:val="18"/>
                <w:szCs w:val="18"/>
              </w:rPr>
            </w:pPr>
            <w:r w:rsidRPr="000973F2">
              <w:rPr>
                <w:rFonts w:ascii="Times New Roman" w:eastAsia="Times New Roman" w:hAnsi="Times New Roman" w:cs="Times New Roman"/>
                <w:color w:val="000000"/>
                <w:sz w:val="18"/>
                <w:szCs w:val="18"/>
              </w:rPr>
              <w:t>Number of existing facilities</w:t>
            </w:r>
            <w:r w:rsidRPr="000973F2">
              <w:rPr>
                <w:rFonts w:ascii="Times New Roman" w:eastAsia="Times New Roman" w:hAnsi="Times New Roman" w:cs="Times New Roman"/>
                <w:color w:val="000000"/>
                <w:sz w:val="18"/>
                <w:szCs w:val="18"/>
              </w:rPr>
              <w:br/>
              <w:t>(use “Subsequent Year” costs)</w:t>
            </w:r>
          </w:p>
        </w:tc>
        <w:tc>
          <w:tcPr>
            <w:tcW w:w="2485" w:type="dxa"/>
            <w:noWrap/>
            <w:vAlign w:val="top"/>
            <w:hideMark/>
          </w:tcPr>
          <w:p w14:paraId="755A74F5" w14:textId="4E79953A" w:rsidR="00252105" w:rsidRPr="000973F2" w:rsidRDefault="00252105" w:rsidP="00252105">
            <w:pPr>
              <w:spacing w:before="40" w:after="40"/>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color w:val="000000"/>
                <w:sz w:val="18"/>
                <w:szCs w:val="18"/>
              </w:rPr>
            </w:pPr>
            <w:r w:rsidRPr="000973F2">
              <w:rPr>
                <w:rFonts w:ascii="Times New Roman" w:eastAsia="Times New Roman" w:hAnsi="Times New Roman" w:cs="Times New Roman"/>
                <w:color w:val="000000"/>
                <w:sz w:val="18"/>
                <w:szCs w:val="18"/>
              </w:rPr>
              <w:t>Number of new facilities</w:t>
            </w:r>
            <w:r w:rsidRPr="000973F2">
              <w:rPr>
                <w:rFonts w:ascii="Times New Roman" w:eastAsia="Times New Roman" w:hAnsi="Times New Roman" w:cs="Times New Roman"/>
                <w:color w:val="000000"/>
                <w:sz w:val="18"/>
                <w:szCs w:val="18"/>
              </w:rPr>
              <w:br/>
              <w:t>(use “Initial Year” costs)</w:t>
            </w:r>
          </w:p>
        </w:tc>
      </w:tr>
      <w:tr w:rsidR="00252105" w:rsidRPr="000973F2" w14:paraId="7B802440" w14:textId="77777777" w:rsidTr="0085143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15" w:type="dxa"/>
            <w:noWrap/>
            <w:hideMark/>
          </w:tcPr>
          <w:p w14:paraId="52792EB6" w14:textId="77777777" w:rsidR="00252105" w:rsidRPr="000973F2" w:rsidRDefault="00252105" w:rsidP="00252105">
            <w:pPr>
              <w:spacing w:before="40" w:after="40"/>
              <w:jc w:val="center"/>
              <w:rPr>
                <w:rFonts w:ascii="Times New Roman" w:eastAsia="Times New Roman" w:hAnsi="Times New Roman" w:cs="Times New Roman"/>
                <w:color w:val="000000"/>
                <w:sz w:val="18"/>
                <w:szCs w:val="18"/>
              </w:rPr>
            </w:pPr>
            <w:r w:rsidRPr="000973F2">
              <w:rPr>
                <w:rFonts w:ascii="Times New Roman" w:eastAsia="Times New Roman" w:hAnsi="Times New Roman" w:cs="Times New Roman"/>
                <w:color w:val="000000"/>
                <w:sz w:val="18"/>
                <w:szCs w:val="18"/>
              </w:rPr>
              <w:t>2019</w:t>
            </w:r>
          </w:p>
        </w:tc>
        <w:tc>
          <w:tcPr>
            <w:tcW w:w="2485" w:type="dxa"/>
            <w:noWrap/>
            <w:hideMark/>
          </w:tcPr>
          <w:p w14:paraId="0E01D6A2" w14:textId="77777777" w:rsidR="00252105" w:rsidRPr="000973F2" w:rsidRDefault="00252105" w:rsidP="00252105">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18"/>
                <w:szCs w:val="18"/>
              </w:rPr>
            </w:pPr>
            <w:r w:rsidRPr="000973F2">
              <w:rPr>
                <w:rFonts w:ascii="Times New Roman" w:eastAsia="Times New Roman" w:hAnsi="Times New Roman" w:cs="Times New Roman"/>
                <w:color w:val="000000"/>
                <w:sz w:val="18"/>
                <w:szCs w:val="18"/>
              </w:rPr>
              <w:t>15</w:t>
            </w:r>
          </w:p>
        </w:tc>
        <w:tc>
          <w:tcPr>
            <w:tcW w:w="2485" w:type="dxa"/>
            <w:noWrap/>
            <w:hideMark/>
          </w:tcPr>
          <w:p w14:paraId="7793C882" w14:textId="77777777" w:rsidR="00252105" w:rsidRPr="000973F2" w:rsidRDefault="00252105" w:rsidP="00252105">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18"/>
                <w:szCs w:val="18"/>
              </w:rPr>
            </w:pPr>
            <w:r w:rsidRPr="000973F2">
              <w:rPr>
                <w:rFonts w:ascii="Times New Roman" w:eastAsia="Times New Roman" w:hAnsi="Times New Roman" w:cs="Times New Roman"/>
                <w:color w:val="000000"/>
                <w:sz w:val="18"/>
                <w:szCs w:val="18"/>
              </w:rPr>
              <w:t>5</w:t>
            </w:r>
          </w:p>
        </w:tc>
      </w:tr>
      <w:tr w:rsidR="00252105" w:rsidRPr="000973F2" w14:paraId="34BDA8BB" w14:textId="77777777" w:rsidTr="0085143F">
        <w:tc>
          <w:tcPr>
            <w:cnfStyle w:val="001000000000" w:firstRow="0" w:lastRow="0" w:firstColumn="1" w:lastColumn="0" w:oddVBand="0" w:evenVBand="0" w:oddHBand="0" w:evenHBand="0" w:firstRowFirstColumn="0" w:firstRowLastColumn="0" w:lastRowFirstColumn="0" w:lastRowLastColumn="0"/>
            <w:tcW w:w="1315" w:type="dxa"/>
            <w:noWrap/>
            <w:hideMark/>
          </w:tcPr>
          <w:p w14:paraId="7DFBA35B" w14:textId="77777777" w:rsidR="00252105" w:rsidRPr="000973F2" w:rsidRDefault="00252105" w:rsidP="00252105">
            <w:pPr>
              <w:spacing w:before="40" w:after="40"/>
              <w:jc w:val="center"/>
              <w:rPr>
                <w:rFonts w:ascii="Times New Roman" w:eastAsia="Times New Roman" w:hAnsi="Times New Roman" w:cs="Times New Roman"/>
                <w:color w:val="000000"/>
                <w:sz w:val="18"/>
                <w:szCs w:val="18"/>
              </w:rPr>
            </w:pPr>
            <w:r w:rsidRPr="000973F2">
              <w:rPr>
                <w:rFonts w:ascii="Times New Roman" w:eastAsia="Times New Roman" w:hAnsi="Times New Roman" w:cs="Times New Roman"/>
                <w:color w:val="000000"/>
                <w:sz w:val="18"/>
                <w:szCs w:val="18"/>
              </w:rPr>
              <w:t>2020</w:t>
            </w:r>
          </w:p>
        </w:tc>
        <w:tc>
          <w:tcPr>
            <w:tcW w:w="2485" w:type="dxa"/>
            <w:noWrap/>
            <w:hideMark/>
          </w:tcPr>
          <w:p w14:paraId="39B6E0DB" w14:textId="77777777" w:rsidR="00252105" w:rsidRPr="000973F2" w:rsidRDefault="00252105" w:rsidP="00252105">
            <w:pPr>
              <w:spacing w:before="40" w:after="4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8"/>
                <w:szCs w:val="18"/>
              </w:rPr>
            </w:pPr>
            <w:r w:rsidRPr="000973F2">
              <w:rPr>
                <w:rFonts w:ascii="Times New Roman" w:eastAsia="Times New Roman" w:hAnsi="Times New Roman" w:cs="Times New Roman"/>
                <w:color w:val="000000"/>
                <w:sz w:val="18"/>
                <w:szCs w:val="18"/>
              </w:rPr>
              <w:t>20</w:t>
            </w:r>
          </w:p>
        </w:tc>
        <w:tc>
          <w:tcPr>
            <w:tcW w:w="2485" w:type="dxa"/>
            <w:noWrap/>
            <w:hideMark/>
          </w:tcPr>
          <w:p w14:paraId="37DD02B5" w14:textId="77777777" w:rsidR="00252105" w:rsidRPr="000973F2" w:rsidRDefault="00252105" w:rsidP="00252105">
            <w:pPr>
              <w:spacing w:before="40" w:after="4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8"/>
                <w:szCs w:val="18"/>
              </w:rPr>
            </w:pPr>
            <w:r w:rsidRPr="000973F2">
              <w:rPr>
                <w:rFonts w:ascii="Times New Roman" w:eastAsia="Times New Roman" w:hAnsi="Times New Roman" w:cs="Times New Roman"/>
                <w:color w:val="000000"/>
                <w:sz w:val="18"/>
                <w:szCs w:val="18"/>
              </w:rPr>
              <w:t>5</w:t>
            </w:r>
          </w:p>
        </w:tc>
      </w:tr>
      <w:tr w:rsidR="00252105" w:rsidRPr="000973F2" w14:paraId="405C194A" w14:textId="77777777" w:rsidTr="0085143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15" w:type="dxa"/>
            <w:noWrap/>
            <w:hideMark/>
          </w:tcPr>
          <w:p w14:paraId="6AFED2A4" w14:textId="77777777" w:rsidR="00252105" w:rsidRPr="000973F2" w:rsidRDefault="00252105" w:rsidP="00252105">
            <w:pPr>
              <w:spacing w:before="40" w:after="40"/>
              <w:jc w:val="center"/>
              <w:rPr>
                <w:rFonts w:ascii="Times New Roman" w:eastAsia="Times New Roman" w:hAnsi="Times New Roman" w:cs="Times New Roman"/>
                <w:color w:val="000000"/>
                <w:sz w:val="18"/>
                <w:szCs w:val="18"/>
              </w:rPr>
            </w:pPr>
            <w:r w:rsidRPr="000973F2">
              <w:rPr>
                <w:rFonts w:ascii="Times New Roman" w:eastAsia="Times New Roman" w:hAnsi="Times New Roman" w:cs="Times New Roman"/>
                <w:color w:val="000000"/>
                <w:sz w:val="18"/>
                <w:szCs w:val="18"/>
              </w:rPr>
              <w:t>2021</w:t>
            </w:r>
          </w:p>
        </w:tc>
        <w:tc>
          <w:tcPr>
            <w:tcW w:w="2485" w:type="dxa"/>
            <w:noWrap/>
            <w:hideMark/>
          </w:tcPr>
          <w:p w14:paraId="4CE3CD12" w14:textId="77777777" w:rsidR="00252105" w:rsidRPr="000973F2" w:rsidRDefault="00252105" w:rsidP="00252105">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18"/>
                <w:szCs w:val="18"/>
              </w:rPr>
            </w:pPr>
            <w:r w:rsidRPr="000973F2">
              <w:rPr>
                <w:rFonts w:ascii="Times New Roman" w:eastAsia="Times New Roman" w:hAnsi="Times New Roman" w:cs="Times New Roman"/>
                <w:color w:val="000000"/>
                <w:sz w:val="18"/>
                <w:szCs w:val="18"/>
              </w:rPr>
              <w:t>25</w:t>
            </w:r>
          </w:p>
        </w:tc>
        <w:tc>
          <w:tcPr>
            <w:tcW w:w="2485" w:type="dxa"/>
            <w:noWrap/>
            <w:hideMark/>
          </w:tcPr>
          <w:p w14:paraId="5A3F102B" w14:textId="77777777" w:rsidR="00252105" w:rsidRPr="000973F2" w:rsidRDefault="00252105" w:rsidP="00252105">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18"/>
                <w:szCs w:val="18"/>
              </w:rPr>
            </w:pPr>
            <w:r w:rsidRPr="000973F2">
              <w:rPr>
                <w:rFonts w:ascii="Times New Roman" w:eastAsia="Times New Roman" w:hAnsi="Times New Roman" w:cs="Times New Roman"/>
                <w:color w:val="000000"/>
                <w:sz w:val="18"/>
                <w:szCs w:val="18"/>
              </w:rPr>
              <w:t>5</w:t>
            </w:r>
          </w:p>
        </w:tc>
      </w:tr>
    </w:tbl>
    <w:p w14:paraId="55F26B1D" w14:textId="77777777" w:rsidR="001E4ED6" w:rsidRPr="000973F2" w:rsidRDefault="001E4ED6" w:rsidP="00C00E4F">
      <w:pPr>
        <w:spacing w:line="240" w:lineRule="auto"/>
        <w:rPr>
          <w:rFonts w:ascii="Times New Roman" w:hAnsi="Times New Roman" w:cs="Times New Roman"/>
        </w:rPr>
      </w:pPr>
    </w:p>
    <w:p w14:paraId="2158EE7B" w14:textId="31C9B4BB" w:rsidR="00606428" w:rsidRPr="000973F2" w:rsidRDefault="00606428" w:rsidP="00C00E4F">
      <w:pPr>
        <w:spacing w:line="240" w:lineRule="auto"/>
        <w:rPr>
          <w:rFonts w:ascii="Times New Roman" w:hAnsi="Times New Roman" w:cs="Times New Roman"/>
        </w:rPr>
      </w:pPr>
      <w:r w:rsidRPr="000973F2">
        <w:rPr>
          <w:rFonts w:ascii="Times New Roman" w:hAnsi="Times New Roman" w:cs="Times New Roman"/>
        </w:rPr>
        <w:br w:type="page"/>
      </w:r>
    </w:p>
    <w:p w14:paraId="55A35123" w14:textId="756C7CDC" w:rsidR="00161EED" w:rsidRPr="000973F2" w:rsidRDefault="00161EED" w:rsidP="00C00E4F">
      <w:pPr>
        <w:pStyle w:val="Heading1"/>
        <w:spacing w:line="240" w:lineRule="auto"/>
      </w:pPr>
      <w:bookmarkStart w:id="2" w:name="_Toc10715594"/>
      <w:r w:rsidRPr="000973F2">
        <w:t>Acronyms</w:t>
      </w:r>
      <w:bookmarkEnd w:id="2"/>
    </w:p>
    <w:p w14:paraId="6C3EC4E8" w14:textId="0A590A86" w:rsidR="00025E97" w:rsidRPr="000973F2" w:rsidRDefault="00025E97" w:rsidP="00252105">
      <w:pPr>
        <w:spacing w:line="240" w:lineRule="auto"/>
        <w:ind w:left="1440" w:hanging="1440"/>
        <w:rPr>
          <w:rFonts w:ascii="Times New Roman" w:hAnsi="Times New Roman" w:cs="Times New Roman"/>
        </w:rPr>
      </w:pPr>
      <w:r w:rsidRPr="000973F2">
        <w:rPr>
          <w:rFonts w:ascii="Times New Roman" w:hAnsi="Times New Roman" w:cs="Times New Roman"/>
          <w:b/>
        </w:rPr>
        <w:t>AMA</w:t>
      </w:r>
      <w:r w:rsidR="00462DA7" w:rsidRPr="000973F2">
        <w:rPr>
          <w:rFonts w:ascii="Times New Roman" w:hAnsi="Times New Roman" w:cs="Times New Roman"/>
          <w:b/>
        </w:rPr>
        <w:tab/>
      </w:r>
      <w:r w:rsidR="00462DA7" w:rsidRPr="000973F2">
        <w:rPr>
          <w:rFonts w:ascii="Times New Roman" w:hAnsi="Times New Roman" w:cs="Times New Roman"/>
        </w:rPr>
        <w:t>Active Monitoring Area</w:t>
      </w:r>
    </w:p>
    <w:p w14:paraId="4C277B78" w14:textId="14F56C1B" w:rsidR="004A5F25" w:rsidRPr="000973F2" w:rsidRDefault="004A5F25" w:rsidP="00252105">
      <w:pPr>
        <w:spacing w:line="240" w:lineRule="auto"/>
        <w:ind w:left="1440" w:hanging="1440"/>
        <w:rPr>
          <w:rFonts w:ascii="Times New Roman" w:hAnsi="Times New Roman" w:cs="Times New Roman"/>
        </w:rPr>
      </w:pPr>
      <w:r w:rsidRPr="000973F2">
        <w:rPr>
          <w:rFonts w:ascii="Times New Roman" w:hAnsi="Times New Roman" w:cs="Times New Roman"/>
          <w:b/>
        </w:rPr>
        <w:t>ASTM</w:t>
      </w:r>
      <w:r w:rsidR="00E469BC" w:rsidRPr="000973F2">
        <w:rPr>
          <w:rFonts w:ascii="Times New Roman" w:hAnsi="Times New Roman" w:cs="Times New Roman"/>
          <w:b/>
        </w:rPr>
        <w:tab/>
      </w:r>
      <w:r w:rsidR="00E469BC" w:rsidRPr="000973F2">
        <w:rPr>
          <w:rFonts w:ascii="Times New Roman" w:hAnsi="Times New Roman" w:cs="Times New Roman"/>
        </w:rPr>
        <w:t>American Society for Testing and Materials</w:t>
      </w:r>
    </w:p>
    <w:p w14:paraId="55EE94A7" w14:textId="26410ED8" w:rsidR="004A5F25" w:rsidRPr="000973F2" w:rsidRDefault="004A5F25" w:rsidP="00252105">
      <w:pPr>
        <w:spacing w:line="240" w:lineRule="auto"/>
        <w:ind w:left="1440" w:hanging="1440"/>
        <w:rPr>
          <w:rFonts w:ascii="Times New Roman" w:hAnsi="Times New Roman" w:cs="Times New Roman"/>
          <w:b/>
        </w:rPr>
      </w:pPr>
      <w:r w:rsidRPr="000973F2">
        <w:rPr>
          <w:rFonts w:ascii="Times New Roman" w:hAnsi="Times New Roman" w:cs="Times New Roman"/>
          <w:b/>
        </w:rPr>
        <w:t>BLS</w:t>
      </w:r>
      <w:r w:rsidR="00094929" w:rsidRPr="000973F2">
        <w:rPr>
          <w:rFonts w:ascii="Times New Roman" w:hAnsi="Times New Roman" w:cs="Times New Roman"/>
          <w:b/>
        </w:rPr>
        <w:tab/>
      </w:r>
      <w:r w:rsidR="000E42CE" w:rsidRPr="000973F2">
        <w:rPr>
          <w:rFonts w:ascii="Times New Roman" w:hAnsi="Times New Roman" w:cs="Times New Roman"/>
        </w:rPr>
        <w:t>Bureau of Labor and Statistics</w:t>
      </w:r>
    </w:p>
    <w:p w14:paraId="3C076725" w14:textId="28E32F70" w:rsidR="00025E97" w:rsidRPr="000973F2" w:rsidRDefault="00025E97" w:rsidP="00252105">
      <w:pPr>
        <w:spacing w:line="240" w:lineRule="auto"/>
        <w:ind w:left="1440" w:hanging="1440"/>
        <w:rPr>
          <w:rFonts w:ascii="Times New Roman" w:hAnsi="Times New Roman" w:cs="Times New Roman"/>
        </w:rPr>
      </w:pPr>
      <w:r w:rsidRPr="000973F2">
        <w:rPr>
          <w:rFonts w:ascii="Times New Roman" w:hAnsi="Times New Roman" w:cs="Times New Roman"/>
          <w:b/>
        </w:rPr>
        <w:t>BTU</w:t>
      </w:r>
      <w:r w:rsidRPr="000973F2">
        <w:rPr>
          <w:rFonts w:ascii="Times New Roman" w:hAnsi="Times New Roman" w:cs="Times New Roman"/>
          <w:b/>
        </w:rPr>
        <w:tab/>
      </w:r>
      <w:r w:rsidRPr="000973F2">
        <w:rPr>
          <w:rFonts w:ascii="Times New Roman" w:hAnsi="Times New Roman" w:cs="Times New Roman"/>
        </w:rPr>
        <w:t>British Thermal Unit</w:t>
      </w:r>
    </w:p>
    <w:p w14:paraId="366C68B6" w14:textId="2E9FB3A8" w:rsidR="00415D17" w:rsidRPr="000973F2" w:rsidRDefault="00415D17" w:rsidP="00252105">
      <w:pPr>
        <w:spacing w:line="240" w:lineRule="auto"/>
        <w:ind w:left="1440" w:hanging="1440"/>
        <w:rPr>
          <w:rFonts w:ascii="Times New Roman" w:hAnsi="Times New Roman" w:cs="Times New Roman"/>
          <w:b/>
        </w:rPr>
      </w:pPr>
      <w:r w:rsidRPr="000973F2">
        <w:rPr>
          <w:rFonts w:ascii="Times New Roman" w:hAnsi="Times New Roman" w:cs="Times New Roman"/>
          <w:b/>
        </w:rPr>
        <w:t>C</w:t>
      </w:r>
      <w:r w:rsidRPr="000973F2">
        <w:rPr>
          <w:rFonts w:ascii="Times New Roman" w:hAnsi="Times New Roman" w:cs="Times New Roman"/>
          <w:b/>
          <w:vertAlign w:val="subscript"/>
        </w:rPr>
        <w:t>2</w:t>
      </w:r>
      <w:r w:rsidRPr="000973F2">
        <w:rPr>
          <w:rFonts w:ascii="Times New Roman" w:hAnsi="Times New Roman" w:cs="Times New Roman"/>
          <w:b/>
        </w:rPr>
        <w:t>F</w:t>
      </w:r>
      <w:r w:rsidRPr="000973F2">
        <w:rPr>
          <w:rFonts w:ascii="Times New Roman" w:hAnsi="Times New Roman" w:cs="Times New Roman"/>
          <w:b/>
          <w:vertAlign w:val="subscript"/>
        </w:rPr>
        <w:t>6</w:t>
      </w:r>
      <w:r w:rsidRPr="000973F2">
        <w:rPr>
          <w:rFonts w:ascii="Times New Roman" w:hAnsi="Times New Roman" w:cs="Times New Roman"/>
          <w:b/>
        </w:rPr>
        <w:t xml:space="preserve"> </w:t>
      </w:r>
      <w:r w:rsidRPr="000973F2">
        <w:rPr>
          <w:rFonts w:ascii="Times New Roman" w:hAnsi="Times New Roman" w:cs="Times New Roman"/>
          <w:b/>
        </w:rPr>
        <w:tab/>
      </w:r>
      <w:r w:rsidRPr="000973F2">
        <w:rPr>
          <w:rFonts w:ascii="Times New Roman" w:hAnsi="Times New Roman" w:cs="Times New Roman"/>
        </w:rPr>
        <w:t>Perfluoroethane</w:t>
      </w:r>
    </w:p>
    <w:p w14:paraId="313207F7" w14:textId="3FBBF0F3" w:rsidR="004A5F25" w:rsidRPr="000973F2" w:rsidRDefault="004A5F25" w:rsidP="00252105">
      <w:pPr>
        <w:spacing w:line="240" w:lineRule="auto"/>
        <w:ind w:left="1440" w:hanging="1440"/>
        <w:rPr>
          <w:rFonts w:ascii="Times New Roman" w:hAnsi="Times New Roman" w:cs="Times New Roman"/>
        </w:rPr>
      </w:pPr>
      <w:r w:rsidRPr="000973F2">
        <w:rPr>
          <w:rFonts w:ascii="Times New Roman" w:hAnsi="Times New Roman" w:cs="Times New Roman"/>
          <w:b/>
        </w:rPr>
        <w:t>CaO</w:t>
      </w:r>
      <w:r w:rsidRPr="000973F2">
        <w:rPr>
          <w:rFonts w:ascii="Times New Roman" w:hAnsi="Times New Roman" w:cs="Times New Roman"/>
          <w:b/>
        </w:rPr>
        <w:tab/>
      </w:r>
      <w:r w:rsidRPr="000973F2">
        <w:rPr>
          <w:rFonts w:ascii="Times New Roman" w:hAnsi="Times New Roman" w:cs="Times New Roman"/>
        </w:rPr>
        <w:t>Calcium oxide</w:t>
      </w:r>
    </w:p>
    <w:p w14:paraId="38BD839D" w14:textId="2817679B" w:rsidR="004A5F25" w:rsidRPr="000973F2" w:rsidRDefault="004A5F25" w:rsidP="00252105">
      <w:pPr>
        <w:spacing w:line="240" w:lineRule="auto"/>
        <w:ind w:left="1440" w:hanging="1440"/>
        <w:rPr>
          <w:rFonts w:ascii="Times New Roman" w:hAnsi="Times New Roman" w:cs="Times New Roman"/>
          <w:b/>
        </w:rPr>
      </w:pPr>
      <w:r w:rsidRPr="000973F2">
        <w:rPr>
          <w:rFonts w:ascii="Times New Roman" w:hAnsi="Times New Roman" w:cs="Times New Roman"/>
          <w:b/>
        </w:rPr>
        <w:t>CaCO</w:t>
      </w:r>
      <w:r w:rsidRPr="000973F2">
        <w:rPr>
          <w:rFonts w:ascii="Times New Roman" w:hAnsi="Times New Roman" w:cs="Times New Roman"/>
          <w:b/>
          <w:vertAlign w:val="subscript"/>
        </w:rPr>
        <w:t>3</w:t>
      </w:r>
      <w:r w:rsidRPr="000973F2">
        <w:rPr>
          <w:rFonts w:ascii="Times New Roman" w:hAnsi="Times New Roman" w:cs="Times New Roman"/>
          <w:b/>
        </w:rPr>
        <w:tab/>
      </w:r>
      <w:r w:rsidRPr="000973F2">
        <w:rPr>
          <w:rFonts w:ascii="Times New Roman" w:hAnsi="Times New Roman" w:cs="Times New Roman"/>
        </w:rPr>
        <w:t>Calcium carbonate</w:t>
      </w:r>
    </w:p>
    <w:p w14:paraId="29CEE5C8" w14:textId="24EE6A2B" w:rsidR="00415D17" w:rsidRPr="000973F2" w:rsidRDefault="00415D17" w:rsidP="00252105">
      <w:pPr>
        <w:spacing w:line="240" w:lineRule="auto"/>
        <w:ind w:left="1440" w:hanging="1440"/>
        <w:rPr>
          <w:rFonts w:ascii="Times New Roman" w:hAnsi="Times New Roman" w:cs="Times New Roman"/>
          <w:b/>
        </w:rPr>
      </w:pPr>
      <w:r w:rsidRPr="000973F2">
        <w:rPr>
          <w:rFonts w:ascii="Times New Roman" w:hAnsi="Times New Roman" w:cs="Times New Roman"/>
          <w:b/>
        </w:rPr>
        <w:t>CO</w:t>
      </w:r>
      <w:r w:rsidR="00E01A8F" w:rsidRPr="000973F2">
        <w:rPr>
          <w:rFonts w:ascii="Times New Roman" w:hAnsi="Times New Roman" w:cs="Times New Roman"/>
          <w:b/>
        </w:rPr>
        <w:tab/>
      </w:r>
      <w:r w:rsidR="00E01A8F" w:rsidRPr="000973F2">
        <w:rPr>
          <w:rFonts w:ascii="Times New Roman" w:hAnsi="Times New Roman" w:cs="Times New Roman"/>
        </w:rPr>
        <w:t xml:space="preserve">Carbon </w:t>
      </w:r>
      <w:r w:rsidR="005B341F" w:rsidRPr="000973F2">
        <w:rPr>
          <w:rFonts w:ascii="Times New Roman" w:hAnsi="Times New Roman" w:cs="Times New Roman"/>
        </w:rPr>
        <w:t>m</w:t>
      </w:r>
      <w:r w:rsidR="00E01A8F" w:rsidRPr="000973F2">
        <w:rPr>
          <w:rFonts w:ascii="Times New Roman" w:hAnsi="Times New Roman" w:cs="Times New Roman"/>
        </w:rPr>
        <w:t>onoxide</w:t>
      </w:r>
    </w:p>
    <w:p w14:paraId="2F48BBC0" w14:textId="696BCAB0" w:rsidR="00161EED" w:rsidRPr="000973F2" w:rsidRDefault="00161EED" w:rsidP="00252105">
      <w:pPr>
        <w:spacing w:line="240" w:lineRule="auto"/>
        <w:ind w:left="1440" w:hanging="1440"/>
        <w:rPr>
          <w:rFonts w:ascii="Times New Roman" w:hAnsi="Times New Roman" w:cs="Times New Roman"/>
        </w:rPr>
      </w:pPr>
      <w:r w:rsidRPr="000973F2">
        <w:rPr>
          <w:rFonts w:ascii="Times New Roman" w:hAnsi="Times New Roman" w:cs="Times New Roman"/>
          <w:b/>
        </w:rPr>
        <w:t>CO</w:t>
      </w:r>
      <w:r w:rsidRPr="000973F2">
        <w:rPr>
          <w:rFonts w:ascii="Times New Roman" w:hAnsi="Times New Roman" w:cs="Times New Roman"/>
          <w:b/>
          <w:vertAlign w:val="subscript"/>
        </w:rPr>
        <w:t>2</w:t>
      </w:r>
      <w:r w:rsidRPr="000973F2">
        <w:rPr>
          <w:rFonts w:ascii="Times New Roman" w:hAnsi="Times New Roman" w:cs="Times New Roman"/>
          <w:b/>
          <w:vertAlign w:val="subscript"/>
        </w:rPr>
        <w:tab/>
      </w:r>
      <w:r w:rsidRPr="000973F2">
        <w:rPr>
          <w:rFonts w:ascii="Times New Roman" w:hAnsi="Times New Roman" w:cs="Times New Roman"/>
        </w:rPr>
        <w:t>Carbon dioxide</w:t>
      </w:r>
    </w:p>
    <w:p w14:paraId="74951F34" w14:textId="674B9E52" w:rsidR="00415D17" w:rsidRPr="000973F2" w:rsidRDefault="00415D17" w:rsidP="00252105">
      <w:pPr>
        <w:spacing w:line="240" w:lineRule="auto"/>
        <w:ind w:left="1440" w:hanging="1440"/>
        <w:rPr>
          <w:rFonts w:ascii="Times New Roman" w:hAnsi="Times New Roman" w:cs="Times New Roman"/>
          <w:b/>
        </w:rPr>
      </w:pPr>
      <w:r w:rsidRPr="000973F2">
        <w:rPr>
          <w:rFonts w:ascii="Times New Roman" w:hAnsi="Times New Roman" w:cs="Times New Roman"/>
          <w:b/>
        </w:rPr>
        <w:t>CF</w:t>
      </w:r>
      <w:r w:rsidRPr="000973F2">
        <w:rPr>
          <w:rFonts w:ascii="Times New Roman" w:hAnsi="Times New Roman" w:cs="Times New Roman"/>
          <w:b/>
          <w:vertAlign w:val="subscript"/>
        </w:rPr>
        <w:t>4</w:t>
      </w:r>
      <w:r w:rsidRPr="000973F2">
        <w:rPr>
          <w:rFonts w:ascii="Times New Roman" w:hAnsi="Times New Roman" w:cs="Times New Roman"/>
          <w:b/>
        </w:rPr>
        <w:t xml:space="preserve"> </w:t>
      </w:r>
      <w:r w:rsidRPr="000973F2">
        <w:rPr>
          <w:rFonts w:ascii="Times New Roman" w:hAnsi="Times New Roman" w:cs="Times New Roman"/>
          <w:b/>
        </w:rPr>
        <w:tab/>
      </w:r>
      <w:r w:rsidRPr="000973F2">
        <w:rPr>
          <w:rFonts w:ascii="Times New Roman" w:hAnsi="Times New Roman" w:cs="Times New Roman"/>
        </w:rPr>
        <w:t xml:space="preserve">Perfluoromethane </w:t>
      </w:r>
    </w:p>
    <w:p w14:paraId="4FDF1E9B" w14:textId="5B05AE91" w:rsidR="00161EED" w:rsidRPr="000973F2" w:rsidRDefault="00161EED" w:rsidP="00252105">
      <w:pPr>
        <w:spacing w:line="240" w:lineRule="auto"/>
        <w:ind w:left="1440" w:hanging="1440"/>
        <w:rPr>
          <w:rFonts w:ascii="Times New Roman" w:hAnsi="Times New Roman" w:cs="Times New Roman"/>
          <w:b/>
        </w:rPr>
      </w:pPr>
      <w:r w:rsidRPr="000973F2">
        <w:rPr>
          <w:rFonts w:ascii="Times New Roman" w:hAnsi="Times New Roman" w:cs="Times New Roman"/>
          <w:b/>
        </w:rPr>
        <w:t>CH</w:t>
      </w:r>
      <w:r w:rsidRPr="000973F2">
        <w:rPr>
          <w:rFonts w:ascii="Times New Roman" w:hAnsi="Times New Roman" w:cs="Times New Roman"/>
          <w:b/>
          <w:vertAlign w:val="subscript"/>
        </w:rPr>
        <w:t>4</w:t>
      </w:r>
      <w:r w:rsidRPr="000973F2">
        <w:rPr>
          <w:rFonts w:ascii="Times New Roman" w:hAnsi="Times New Roman" w:cs="Times New Roman"/>
          <w:b/>
          <w:vertAlign w:val="subscript"/>
        </w:rPr>
        <w:tab/>
      </w:r>
      <w:r w:rsidRPr="000973F2">
        <w:rPr>
          <w:rFonts w:ascii="Times New Roman" w:hAnsi="Times New Roman" w:cs="Times New Roman"/>
        </w:rPr>
        <w:t>Methan</w:t>
      </w:r>
      <w:r w:rsidR="00A95276" w:rsidRPr="000973F2">
        <w:rPr>
          <w:rFonts w:ascii="Times New Roman" w:hAnsi="Times New Roman" w:cs="Times New Roman"/>
        </w:rPr>
        <w:t>e</w:t>
      </w:r>
    </w:p>
    <w:p w14:paraId="5DFEF942" w14:textId="0406D768" w:rsidR="00161EED" w:rsidRPr="000973F2" w:rsidRDefault="00161EED" w:rsidP="00252105">
      <w:pPr>
        <w:spacing w:line="240" w:lineRule="auto"/>
        <w:ind w:left="1440" w:hanging="1440"/>
        <w:rPr>
          <w:rFonts w:ascii="Times New Roman" w:hAnsi="Times New Roman" w:cs="Times New Roman"/>
          <w:b/>
        </w:rPr>
      </w:pPr>
      <w:r w:rsidRPr="000973F2">
        <w:rPr>
          <w:rFonts w:ascii="Times New Roman" w:hAnsi="Times New Roman" w:cs="Times New Roman"/>
          <w:b/>
        </w:rPr>
        <w:t>CEMS</w:t>
      </w:r>
      <w:r w:rsidRPr="000973F2">
        <w:rPr>
          <w:rFonts w:ascii="Times New Roman" w:hAnsi="Times New Roman" w:cs="Times New Roman"/>
          <w:b/>
        </w:rPr>
        <w:tab/>
      </w:r>
      <w:r w:rsidRPr="000973F2">
        <w:rPr>
          <w:rFonts w:ascii="Times New Roman" w:hAnsi="Times New Roman" w:cs="Times New Roman"/>
        </w:rPr>
        <w:t>Continuous Emissions Monitoring System</w:t>
      </w:r>
    </w:p>
    <w:p w14:paraId="4811F367" w14:textId="15826562" w:rsidR="00415D17" w:rsidRPr="000973F2" w:rsidRDefault="00415D17" w:rsidP="00252105">
      <w:pPr>
        <w:spacing w:line="240" w:lineRule="auto"/>
        <w:ind w:left="1440" w:hanging="1440"/>
        <w:rPr>
          <w:rFonts w:ascii="Times New Roman" w:hAnsi="Times New Roman" w:cs="Times New Roman"/>
        </w:rPr>
      </w:pPr>
      <w:r w:rsidRPr="000973F2">
        <w:rPr>
          <w:rFonts w:ascii="Times New Roman" w:hAnsi="Times New Roman" w:cs="Times New Roman"/>
          <w:b/>
        </w:rPr>
        <w:t>CEPCI</w:t>
      </w:r>
      <w:r w:rsidR="0032360B" w:rsidRPr="000973F2">
        <w:rPr>
          <w:rFonts w:ascii="Times New Roman" w:hAnsi="Times New Roman" w:cs="Times New Roman"/>
          <w:b/>
        </w:rPr>
        <w:tab/>
      </w:r>
      <w:r w:rsidR="0032360B" w:rsidRPr="000973F2">
        <w:rPr>
          <w:rFonts w:ascii="Times New Roman" w:hAnsi="Times New Roman" w:cs="Times New Roman"/>
        </w:rPr>
        <w:t>Chemical Engineering Plant Cost Index</w:t>
      </w:r>
    </w:p>
    <w:p w14:paraId="529FC44D" w14:textId="467827B5" w:rsidR="00415D17" w:rsidRPr="000973F2" w:rsidRDefault="00415D17" w:rsidP="00252105">
      <w:pPr>
        <w:spacing w:line="240" w:lineRule="auto"/>
        <w:ind w:left="1440" w:hanging="1440"/>
        <w:rPr>
          <w:rFonts w:ascii="Times New Roman" w:hAnsi="Times New Roman" w:cs="Times New Roman"/>
          <w:b/>
        </w:rPr>
      </w:pPr>
      <w:r w:rsidRPr="000973F2">
        <w:rPr>
          <w:rFonts w:ascii="Times New Roman" w:hAnsi="Times New Roman" w:cs="Times New Roman"/>
          <w:b/>
        </w:rPr>
        <w:t>CFC</w:t>
      </w:r>
      <w:r w:rsidR="00F56E49" w:rsidRPr="000973F2">
        <w:rPr>
          <w:rFonts w:ascii="Times New Roman" w:hAnsi="Times New Roman" w:cs="Times New Roman"/>
          <w:b/>
        </w:rPr>
        <w:tab/>
      </w:r>
      <w:r w:rsidR="00F56E49" w:rsidRPr="000973F2">
        <w:rPr>
          <w:rFonts w:ascii="Times New Roman" w:hAnsi="Times New Roman" w:cs="Times New Roman"/>
        </w:rPr>
        <w:t>Chlorofluorocarbons</w:t>
      </w:r>
    </w:p>
    <w:p w14:paraId="72118E2E" w14:textId="0A98330F" w:rsidR="00025E97" w:rsidRPr="000973F2" w:rsidRDefault="00025E97" w:rsidP="00252105">
      <w:pPr>
        <w:spacing w:line="240" w:lineRule="auto"/>
        <w:ind w:left="1440" w:hanging="1440"/>
        <w:rPr>
          <w:rFonts w:ascii="Times New Roman" w:hAnsi="Times New Roman" w:cs="Times New Roman"/>
          <w:b/>
        </w:rPr>
      </w:pPr>
      <w:r w:rsidRPr="000973F2">
        <w:rPr>
          <w:rFonts w:ascii="Times New Roman" w:hAnsi="Times New Roman" w:cs="Times New Roman"/>
          <w:b/>
        </w:rPr>
        <w:t>CKD</w:t>
      </w:r>
      <w:r w:rsidR="0082381C" w:rsidRPr="000973F2">
        <w:rPr>
          <w:rFonts w:ascii="Times New Roman" w:hAnsi="Times New Roman" w:cs="Times New Roman"/>
          <w:b/>
        </w:rPr>
        <w:tab/>
      </w:r>
      <w:r w:rsidR="0082381C" w:rsidRPr="000973F2">
        <w:rPr>
          <w:rFonts w:ascii="Times New Roman" w:hAnsi="Times New Roman" w:cs="Times New Roman"/>
        </w:rPr>
        <w:t>C</w:t>
      </w:r>
      <w:r w:rsidR="0082381C" w:rsidRPr="000973F2">
        <w:rPr>
          <w:rFonts w:ascii="Times New Roman" w:hAnsi="Times New Roman" w:cs="Times New Roman"/>
          <w:szCs w:val="24"/>
        </w:rPr>
        <w:t>ement kiln dust</w:t>
      </w:r>
    </w:p>
    <w:p w14:paraId="7DCD7068" w14:textId="0BEB73EF" w:rsidR="00415D17" w:rsidRPr="000973F2" w:rsidRDefault="00415D17" w:rsidP="00252105">
      <w:pPr>
        <w:spacing w:line="240" w:lineRule="auto"/>
        <w:ind w:left="1440" w:hanging="1440"/>
        <w:rPr>
          <w:rFonts w:ascii="Times New Roman" w:hAnsi="Times New Roman" w:cs="Times New Roman"/>
        </w:rPr>
      </w:pPr>
      <w:r w:rsidRPr="000973F2">
        <w:rPr>
          <w:rFonts w:ascii="Times New Roman" w:hAnsi="Times New Roman" w:cs="Times New Roman"/>
          <w:b/>
        </w:rPr>
        <w:t>DCU</w:t>
      </w:r>
      <w:r w:rsidR="002F7E82" w:rsidRPr="000973F2">
        <w:rPr>
          <w:rFonts w:ascii="Times New Roman" w:hAnsi="Times New Roman" w:cs="Times New Roman"/>
          <w:b/>
        </w:rPr>
        <w:tab/>
      </w:r>
      <w:r w:rsidR="002F7E82" w:rsidRPr="000973F2">
        <w:rPr>
          <w:rFonts w:ascii="Times New Roman" w:hAnsi="Times New Roman" w:cs="Times New Roman"/>
        </w:rPr>
        <w:t>Delayed coking units</w:t>
      </w:r>
    </w:p>
    <w:p w14:paraId="10FDA871" w14:textId="62CB551D" w:rsidR="006A77F5" w:rsidRPr="000973F2" w:rsidRDefault="006A77F5" w:rsidP="00252105">
      <w:pPr>
        <w:spacing w:line="240" w:lineRule="auto"/>
        <w:ind w:left="1440" w:hanging="1440"/>
        <w:rPr>
          <w:rFonts w:ascii="Times New Roman" w:hAnsi="Times New Roman" w:cs="Times New Roman"/>
          <w:b/>
        </w:rPr>
      </w:pPr>
      <w:r w:rsidRPr="000973F2">
        <w:rPr>
          <w:rFonts w:ascii="Times New Roman" w:hAnsi="Times New Roman" w:cs="Times New Roman"/>
          <w:b/>
        </w:rPr>
        <w:t>DOC</w:t>
      </w:r>
      <w:r w:rsidR="008C60CF" w:rsidRPr="000973F2">
        <w:rPr>
          <w:rFonts w:ascii="Times New Roman" w:hAnsi="Times New Roman" w:cs="Times New Roman"/>
          <w:b/>
        </w:rPr>
        <w:tab/>
      </w:r>
      <w:r w:rsidR="008C60CF" w:rsidRPr="000973F2">
        <w:rPr>
          <w:rFonts w:ascii="Times New Roman" w:hAnsi="Times New Roman" w:cs="Times New Roman"/>
        </w:rPr>
        <w:t>Degradable organic carbon</w:t>
      </w:r>
    </w:p>
    <w:p w14:paraId="10FBAE6E" w14:textId="2D8D29B4" w:rsidR="003B283B" w:rsidRPr="000973F2" w:rsidRDefault="003B283B" w:rsidP="00252105">
      <w:pPr>
        <w:spacing w:line="240" w:lineRule="auto"/>
        <w:ind w:left="1440" w:hanging="1440"/>
        <w:rPr>
          <w:rFonts w:ascii="Times New Roman" w:hAnsi="Times New Roman" w:cs="Times New Roman"/>
          <w:b/>
        </w:rPr>
      </w:pPr>
      <w:r w:rsidRPr="000973F2">
        <w:rPr>
          <w:rFonts w:ascii="Times New Roman" w:hAnsi="Times New Roman" w:cs="Times New Roman"/>
          <w:b/>
        </w:rPr>
        <w:t>DOE</w:t>
      </w:r>
      <w:r w:rsidRPr="000973F2">
        <w:rPr>
          <w:rFonts w:ascii="Times New Roman" w:hAnsi="Times New Roman" w:cs="Times New Roman"/>
          <w:b/>
        </w:rPr>
        <w:tab/>
      </w:r>
      <w:r w:rsidRPr="000973F2">
        <w:rPr>
          <w:rFonts w:ascii="Times New Roman" w:hAnsi="Times New Roman" w:cs="Times New Roman"/>
        </w:rPr>
        <w:t>Department of Energy</w:t>
      </w:r>
    </w:p>
    <w:p w14:paraId="679359F7" w14:textId="1B85B503" w:rsidR="00C260F8" w:rsidRPr="000973F2" w:rsidRDefault="00C260F8" w:rsidP="00252105">
      <w:pPr>
        <w:spacing w:line="240" w:lineRule="auto"/>
        <w:ind w:left="1440" w:hanging="1440"/>
        <w:rPr>
          <w:rFonts w:ascii="Times New Roman" w:hAnsi="Times New Roman" w:cs="Times New Roman"/>
          <w:b/>
        </w:rPr>
      </w:pPr>
      <w:r w:rsidRPr="000973F2">
        <w:rPr>
          <w:rFonts w:ascii="Times New Roman" w:hAnsi="Times New Roman" w:cs="Times New Roman"/>
          <w:b/>
        </w:rPr>
        <w:t>DR</w:t>
      </w:r>
      <w:r w:rsidR="00630E45" w:rsidRPr="000973F2">
        <w:rPr>
          <w:rFonts w:ascii="Times New Roman" w:hAnsi="Times New Roman" w:cs="Times New Roman"/>
          <w:b/>
        </w:rPr>
        <w:t>E</w:t>
      </w:r>
      <w:r w:rsidR="00366632" w:rsidRPr="000973F2">
        <w:rPr>
          <w:rFonts w:ascii="Times New Roman" w:hAnsi="Times New Roman" w:cs="Times New Roman"/>
          <w:b/>
        </w:rPr>
        <w:tab/>
      </w:r>
      <w:r w:rsidR="00CE3ABF" w:rsidRPr="000973F2">
        <w:rPr>
          <w:rFonts w:ascii="Times New Roman" w:hAnsi="Times New Roman" w:cs="Times New Roman"/>
        </w:rPr>
        <w:t>D</w:t>
      </w:r>
      <w:r w:rsidR="00366632" w:rsidRPr="000973F2">
        <w:rPr>
          <w:rFonts w:ascii="Times New Roman" w:hAnsi="Times New Roman" w:cs="Times New Roman"/>
        </w:rPr>
        <w:t>estruction or removal efficiency</w:t>
      </w:r>
    </w:p>
    <w:p w14:paraId="2898E010" w14:textId="79DC0280" w:rsidR="00161EED" w:rsidRPr="000973F2" w:rsidRDefault="00161EED" w:rsidP="00252105">
      <w:pPr>
        <w:spacing w:line="240" w:lineRule="auto"/>
        <w:ind w:left="1440" w:hanging="1440"/>
        <w:rPr>
          <w:rFonts w:ascii="Times New Roman" w:hAnsi="Times New Roman" w:cs="Times New Roman"/>
          <w:b/>
        </w:rPr>
      </w:pPr>
      <w:r w:rsidRPr="000973F2">
        <w:rPr>
          <w:rFonts w:ascii="Times New Roman" w:hAnsi="Times New Roman" w:cs="Times New Roman"/>
          <w:b/>
        </w:rPr>
        <w:t>e-GGRT</w:t>
      </w:r>
      <w:r w:rsidRPr="000973F2">
        <w:rPr>
          <w:rFonts w:ascii="Times New Roman" w:hAnsi="Times New Roman" w:cs="Times New Roman"/>
          <w:b/>
        </w:rPr>
        <w:tab/>
      </w:r>
      <w:r w:rsidR="004E0C2A" w:rsidRPr="000973F2">
        <w:rPr>
          <w:rFonts w:ascii="Times New Roman" w:hAnsi="Times New Roman" w:cs="Times New Roman"/>
        </w:rPr>
        <w:t>e</w:t>
      </w:r>
      <w:r w:rsidRPr="000973F2">
        <w:rPr>
          <w:rFonts w:ascii="Times New Roman" w:hAnsi="Times New Roman" w:cs="Times New Roman"/>
        </w:rPr>
        <w:t>lectronic Greenhouse Gas Reporting Tool</w:t>
      </w:r>
    </w:p>
    <w:p w14:paraId="5E743779" w14:textId="737DE6AA" w:rsidR="00415D17" w:rsidRPr="000973F2" w:rsidRDefault="00415D17" w:rsidP="00252105">
      <w:pPr>
        <w:spacing w:line="240" w:lineRule="auto"/>
        <w:ind w:left="1440" w:hanging="1440"/>
        <w:rPr>
          <w:rFonts w:ascii="Times New Roman" w:hAnsi="Times New Roman" w:cs="Times New Roman"/>
          <w:b/>
        </w:rPr>
      </w:pPr>
      <w:r w:rsidRPr="000973F2">
        <w:rPr>
          <w:rFonts w:ascii="Times New Roman" w:hAnsi="Times New Roman" w:cs="Times New Roman"/>
          <w:b/>
        </w:rPr>
        <w:t>EAF</w:t>
      </w:r>
      <w:r w:rsidR="0096063F" w:rsidRPr="000973F2">
        <w:rPr>
          <w:rFonts w:ascii="Times New Roman" w:hAnsi="Times New Roman" w:cs="Times New Roman"/>
          <w:b/>
        </w:rPr>
        <w:tab/>
      </w:r>
      <w:r w:rsidR="007C1A0D" w:rsidRPr="000973F2">
        <w:rPr>
          <w:rFonts w:ascii="Times New Roman" w:hAnsi="Times New Roman" w:cs="Times New Roman"/>
        </w:rPr>
        <w:t>E</w:t>
      </w:r>
      <w:r w:rsidR="0096063F" w:rsidRPr="000973F2">
        <w:rPr>
          <w:rFonts w:ascii="Times New Roman" w:hAnsi="Times New Roman" w:cs="Times New Roman"/>
        </w:rPr>
        <w:t>lectric arc furnace</w:t>
      </w:r>
    </w:p>
    <w:p w14:paraId="7B001877" w14:textId="4006F8E6" w:rsidR="00025E97" w:rsidRPr="000973F2" w:rsidRDefault="00025E97" w:rsidP="00252105">
      <w:pPr>
        <w:spacing w:line="240" w:lineRule="auto"/>
        <w:ind w:left="1440" w:hanging="1440"/>
        <w:rPr>
          <w:rFonts w:ascii="Times New Roman" w:hAnsi="Times New Roman" w:cs="Times New Roman"/>
          <w:b/>
        </w:rPr>
      </w:pPr>
      <w:r w:rsidRPr="000973F2">
        <w:rPr>
          <w:rFonts w:ascii="Times New Roman" w:hAnsi="Times New Roman" w:cs="Times New Roman"/>
          <w:b/>
        </w:rPr>
        <w:t>EGU</w:t>
      </w:r>
      <w:r w:rsidR="009C51A3" w:rsidRPr="000973F2">
        <w:rPr>
          <w:rFonts w:ascii="Times New Roman" w:hAnsi="Times New Roman" w:cs="Times New Roman"/>
          <w:b/>
        </w:rPr>
        <w:tab/>
      </w:r>
      <w:r w:rsidR="007C1A0D" w:rsidRPr="000973F2">
        <w:rPr>
          <w:rFonts w:ascii="Times New Roman" w:hAnsi="Times New Roman" w:cs="Times New Roman"/>
        </w:rPr>
        <w:t>E</w:t>
      </w:r>
      <w:r w:rsidR="009C51A3" w:rsidRPr="000973F2">
        <w:rPr>
          <w:rFonts w:ascii="Times New Roman" w:hAnsi="Times New Roman" w:cs="Times New Roman"/>
        </w:rPr>
        <w:t>lectricity-generating units</w:t>
      </w:r>
    </w:p>
    <w:p w14:paraId="01C11DB6" w14:textId="6687742E" w:rsidR="0023166B" w:rsidRPr="000973F2" w:rsidRDefault="0023166B" w:rsidP="00252105">
      <w:pPr>
        <w:spacing w:line="240" w:lineRule="auto"/>
        <w:ind w:left="1440" w:hanging="1440"/>
        <w:rPr>
          <w:rFonts w:ascii="Times New Roman" w:hAnsi="Times New Roman" w:cs="Times New Roman"/>
          <w:b/>
        </w:rPr>
      </w:pPr>
      <w:r w:rsidRPr="000973F2">
        <w:rPr>
          <w:rFonts w:ascii="Times New Roman" w:hAnsi="Times New Roman" w:cs="Times New Roman"/>
          <w:b/>
        </w:rPr>
        <w:t xml:space="preserve">EIA </w:t>
      </w:r>
      <w:r w:rsidRPr="000973F2">
        <w:rPr>
          <w:rFonts w:ascii="Times New Roman" w:hAnsi="Times New Roman" w:cs="Times New Roman"/>
          <w:b/>
        </w:rPr>
        <w:tab/>
      </w:r>
      <w:r w:rsidR="003B283B" w:rsidRPr="000973F2">
        <w:rPr>
          <w:rFonts w:ascii="Times New Roman" w:hAnsi="Times New Roman" w:cs="Times New Roman"/>
        </w:rPr>
        <w:t>DOE’s</w:t>
      </w:r>
      <w:r w:rsidRPr="000973F2">
        <w:rPr>
          <w:rFonts w:ascii="Times New Roman" w:hAnsi="Times New Roman" w:cs="Times New Roman"/>
        </w:rPr>
        <w:t xml:space="preserve"> Energy Information Administration</w:t>
      </w:r>
    </w:p>
    <w:p w14:paraId="69A524F0" w14:textId="758106BD" w:rsidR="00161EED" w:rsidRPr="000973F2" w:rsidRDefault="00161EED" w:rsidP="00252105">
      <w:pPr>
        <w:spacing w:line="240" w:lineRule="auto"/>
        <w:ind w:left="1440" w:hanging="1440"/>
        <w:rPr>
          <w:rFonts w:ascii="Times New Roman" w:hAnsi="Times New Roman" w:cs="Times New Roman"/>
          <w:b/>
        </w:rPr>
      </w:pPr>
      <w:r w:rsidRPr="000973F2">
        <w:rPr>
          <w:rFonts w:ascii="Times New Roman" w:hAnsi="Times New Roman" w:cs="Times New Roman"/>
          <w:b/>
        </w:rPr>
        <w:t>EPA</w:t>
      </w:r>
      <w:r w:rsidRPr="000973F2">
        <w:rPr>
          <w:rFonts w:ascii="Times New Roman" w:hAnsi="Times New Roman" w:cs="Times New Roman"/>
          <w:b/>
        </w:rPr>
        <w:tab/>
      </w:r>
      <w:r w:rsidRPr="000973F2">
        <w:rPr>
          <w:rFonts w:ascii="Times New Roman" w:hAnsi="Times New Roman" w:cs="Times New Roman"/>
        </w:rPr>
        <w:t>Environmental Protection Agency</w:t>
      </w:r>
    </w:p>
    <w:p w14:paraId="17D09C31" w14:textId="71EC6E6D" w:rsidR="00415D17" w:rsidRPr="000973F2" w:rsidRDefault="00415D17" w:rsidP="00252105">
      <w:pPr>
        <w:spacing w:line="240" w:lineRule="auto"/>
        <w:ind w:left="1440" w:hanging="1440"/>
        <w:rPr>
          <w:rFonts w:ascii="Times New Roman" w:hAnsi="Times New Roman" w:cs="Times New Roman"/>
          <w:b/>
        </w:rPr>
      </w:pPr>
      <w:r w:rsidRPr="000973F2">
        <w:rPr>
          <w:rFonts w:ascii="Times New Roman" w:hAnsi="Times New Roman" w:cs="Times New Roman"/>
          <w:b/>
        </w:rPr>
        <w:t>FCCU</w:t>
      </w:r>
      <w:r w:rsidR="007C1A0D" w:rsidRPr="000973F2">
        <w:rPr>
          <w:rFonts w:ascii="Times New Roman" w:hAnsi="Times New Roman" w:cs="Times New Roman"/>
          <w:b/>
        </w:rPr>
        <w:tab/>
      </w:r>
      <w:r w:rsidR="007C1A0D" w:rsidRPr="000973F2">
        <w:rPr>
          <w:rFonts w:ascii="Times New Roman" w:hAnsi="Times New Roman" w:cs="Times New Roman"/>
        </w:rPr>
        <w:t>Fluid catalytic cracking units</w:t>
      </w:r>
    </w:p>
    <w:p w14:paraId="6CD7362E" w14:textId="16554FD9" w:rsidR="00415D17" w:rsidRPr="000973F2" w:rsidRDefault="00415D17" w:rsidP="00252105">
      <w:pPr>
        <w:spacing w:line="240" w:lineRule="auto"/>
        <w:ind w:left="1440" w:hanging="1440"/>
        <w:rPr>
          <w:rFonts w:ascii="Times New Roman" w:hAnsi="Times New Roman" w:cs="Times New Roman"/>
          <w:b/>
        </w:rPr>
      </w:pPr>
      <w:r w:rsidRPr="000973F2">
        <w:rPr>
          <w:rFonts w:ascii="Times New Roman" w:hAnsi="Times New Roman" w:cs="Times New Roman"/>
          <w:b/>
        </w:rPr>
        <w:t>FCU</w:t>
      </w:r>
      <w:r w:rsidR="007C1A0D" w:rsidRPr="000973F2">
        <w:rPr>
          <w:rFonts w:ascii="Times New Roman" w:hAnsi="Times New Roman" w:cs="Times New Roman"/>
          <w:b/>
        </w:rPr>
        <w:tab/>
      </w:r>
      <w:r w:rsidR="007C1A0D" w:rsidRPr="000973F2">
        <w:rPr>
          <w:rFonts w:ascii="Times New Roman" w:hAnsi="Times New Roman" w:cs="Times New Roman"/>
        </w:rPr>
        <w:t>Fluid coking units</w:t>
      </w:r>
    </w:p>
    <w:p w14:paraId="00C97816" w14:textId="61E5023C" w:rsidR="00161EED" w:rsidRPr="000973F2" w:rsidRDefault="00161EED" w:rsidP="00252105">
      <w:pPr>
        <w:spacing w:line="240" w:lineRule="auto"/>
        <w:ind w:left="1440" w:hanging="1440"/>
        <w:rPr>
          <w:rFonts w:ascii="Times New Roman" w:hAnsi="Times New Roman" w:cs="Times New Roman"/>
          <w:b/>
        </w:rPr>
      </w:pPr>
      <w:r w:rsidRPr="000973F2">
        <w:rPr>
          <w:rFonts w:ascii="Times New Roman" w:hAnsi="Times New Roman" w:cs="Times New Roman"/>
          <w:b/>
        </w:rPr>
        <w:t>GHG</w:t>
      </w:r>
      <w:r w:rsidRPr="000973F2">
        <w:rPr>
          <w:rFonts w:ascii="Times New Roman" w:hAnsi="Times New Roman" w:cs="Times New Roman"/>
          <w:b/>
        </w:rPr>
        <w:tab/>
      </w:r>
      <w:r w:rsidRPr="000973F2">
        <w:rPr>
          <w:rFonts w:ascii="Times New Roman" w:hAnsi="Times New Roman" w:cs="Times New Roman"/>
        </w:rPr>
        <w:t>Greenhouse Gas</w:t>
      </w:r>
    </w:p>
    <w:p w14:paraId="0F23CE09" w14:textId="29939FCD" w:rsidR="00C2784E" w:rsidRPr="000973F2" w:rsidRDefault="00C2784E" w:rsidP="00252105">
      <w:pPr>
        <w:spacing w:line="240" w:lineRule="auto"/>
        <w:ind w:left="1440" w:hanging="1440"/>
        <w:rPr>
          <w:rFonts w:ascii="Times New Roman" w:hAnsi="Times New Roman" w:cs="Times New Roman"/>
          <w:b/>
        </w:rPr>
      </w:pPr>
      <w:r w:rsidRPr="000973F2">
        <w:rPr>
          <w:rFonts w:ascii="Times New Roman" w:hAnsi="Times New Roman" w:cs="Times New Roman"/>
          <w:b/>
        </w:rPr>
        <w:t>GHGs</w:t>
      </w:r>
      <w:r w:rsidRPr="000973F2">
        <w:rPr>
          <w:rFonts w:ascii="Times New Roman" w:hAnsi="Times New Roman" w:cs="Times New Roman"/>
          <w:b/>
        </w:rPr>
        <w:tab/>
      </w:r>
      <w:r w:rsidRPr="000973F2">
        <w:rPr>
          <w:rFonts w:ascii="Times New Roman" w:hAnsi="Times New Roman" w:cs="Times New Roman"/>
        </w:rPr>
        <w:t>Greenhouse Gases</w:t>
      </w:r>
    </w:p>
    <w:p w14:paraId="0BC01ECA" w14:textId="6502038D" w:rsidR="00161EED" w:rsidRPr="000973F2" w:rsidRDefault="00161EED" w:rsidP="00252105">
      <w:pPr>
        <w:spacing w:line="240" w:lineRule="auto"/>
        <w:ind w:left="1440" w:hanging="1440"/>
        <w:rPr>
          <w:rFonts w:ascii="Times New Roman" w:hAnsi="Times New Roman" w:cs="Times New Roman"/>
        </w:rPr>
      </w:pPr>
      <w:r w:rsidRPr="000973F2">
        <w:rPr>
          <w:rFonts w:ascii="Times New Roman" w:hAnsi="Times New Roman" w:cs="Times New Roman"/>
          <w:b/>
        </w:rPr>
        <w:t>GHGRP</w:t>
      </w:r>
      <w:r w:rsidRPr="000973F2">
        <w:rPr>
          <w:rFonts w:ascii="Times New Roman" w:hAnsi="Times New Roman" w:cs="Times New Roman"/>
          <w:b/>
        </w:rPr>
        <w:tab/>
      </w:r>
      <w:r w:rsidRPr="000973F2">
        <w:rPr>
          <w:rFonts w:ascii="Times New Roman" w:hAnsi="Times New Roman" w:cs="Times New Roman"/>
        </w:rPr>
        <w:t>Greenhouse Gas Reporting Program</w:t>
      </w:r>
    </w:p>
    <w:p w14:paraId="12ADAE33" w14:textId="1F663372" w:rsidR="00415D17" w:rsidRPr="000973F2" w:rsidRDefault="00415D17" w:rsidP="00252105">
      <w:pPr>
        <w:spacing w:line="240" w:lineRule="auto"/>
        <w:ind w:left="1440" w:hanging="1440"/>
        <w:rPr>
          <w:rFonts w:ascii="Times New Roman" w:hAnsi="Times New Roman" w:cs="Times New Roman"/>
          <w:b/>
        </w:rPr>
      </w:pPr>
      <w:r w:rsidRPr="000973F2">
        <w:rPr>
          <w:rFonts w:ascii="Times New Roman" w:hAnsi="Times New Roman" w:cs="Times New Roman"/>
          <w:b/>
        </w:rPr>
        <w:t>HCFC</w:t>
      </w:r>
      <w:r w:rsidR="00C400BF" w:rsidRPr="000973F2">
        <w:rPr>
          <w:rFonts w:ascii="Times New Roman" w:hAnsi="Times New Roman" w:cs="Times New Roman"/>
          <w:b/>
        </w:rPr>
        <w:tab/>
      </w:r>
      <w:r w:rsidR="00C400BF" w:rsidRPr="000973F2">
        <w:rPr>
          <w:rFonts w:ascii="Times New Roman" w:hAnsi="Times New Roman" w:cs="Times New Roman"/>
        </w:rPr>
        <w:t>Hy</w:t>
      </w:r>
      <w:r w:rsidR="008D726C" w:rsidRPr="000973F2">
        <w:rPr>
          <w:rFonts w:ascii="Times New Roman" w:hAnsi="Times New Roman" w:cs="Times New Roman"/>
        </w:rPr>
        <w:t>drochloroflurocarbons</w:t>
      </w:r>
    </w:p>
    <w:p w14:paraId="048394B1" w14:textId="2ED06A31" w:rsidR="006A77F5" w:rsidRPr="000973F2" w:rsidRDefault="006A77F5" w:rsidP="00252105">
      <w:pPr>
        <w:spacing w:line="240" w:lineRule="auto"/>
        <w:ind w:left="1440" w:hanging="1440"/>
        <w:rPr>
          <w:rFonts w:ascii="Times New Roman" w:hAnsi="Times New Roman" w:cs="Times New Roman"/>
          <w:b/>
        </w:rPr>
      </w:pPr>
      <w:r w:rsidRPr="000973F2">
        <w:rPr>
          <w:rFonts w:ascii="Times New Roman" w:hAnsi="Times New Roman" w:cs="Times New Roman"/>
          <w:b/>
        </w:rPr>
        <w:t>HF</w:t>
      </w:r>
      <w:r w:rsidR="008D726C" w:rsidRPr="000973F2">
        <w:rPr>
          <w:rFonts w:ascii="Times New Roman" w:hAnsi="Times New Roman" w:cs="Times New Roman"/>
          <w:b/>
        </w:rPr>
        <w:tab/>
      </w:r>
      <w:r w:rsidR="008D726C" w:rsidRPr="000973F2">
        <w:rPr>
          <w:rFonts w:ascii="Times New Roman" w:hAnsi="Times New Roman" w:cs="Times New Roman"/>
        </w:rPr>
        <w:t>Hydrogen fluoride</w:t>
      </w:r>
    </w:p>
    <w:p w14:paraId="53F8248A" w14:textId="0C86A21C" w:rsidR="00415D17" w:rsidRPr="000973F2" w:rsidRDefault="00415D17" w:rsidP="00252105">
      <w:pPr>
        <w:spacing w:line="240" w:lineRule="auto"/>
        <w:ind w:left="1440" w:hanging="1440"/>
        <w:rPr>
          <w:rFonts w:ascii="Times New Roman" w:hAnsi="Times New Roman" w:cs="Times New Roman"/>
        </w:rPr>
      </w:pPr>
      <w:r w:rsidRPr="000973F2">
        <w:rPr>
          <w:rFonts w:ascii="Times New Roman" w:hAnsi="Times New Roman" w:cs="Times New Roman"/>
          <w:b/>
        </w:rPr>
        <w:t>HFC</w:t>
      </w:r>
      <w:r w:rsidR="001146EB" w:rsidRPr="000973F2">
        <w:rPr>
          <w:rFonts w:ascii="Times New Roman" w:hAnsi="Times New Roman" w:cs="Times New Roman"/>
          <w:b/>
        </w:rPr>
        <w:tab/>
      </w:r>
      <w:r w:rsidR="001146EB" w:rsidRPr="000973F2">
        <w:rPr>
          <w:rFonts w:ascii="Times New Roman" w:hAnsi="Times New Roman" w:cs="Times New Roman"/>
        </w:rPr>
        <w:t>Hydrofluorocarbon</w:t>
      </w:r>
    </w:p>
    <w:p w14:paraId="2B88917E" w14:textId="2405CA84" w:rsidR="00025E97" w:rsidRPr="000973F2" w:rsidRDefault="00025E97" w:rsidP="00252105">
      <w:pPr>
        <w:spacing w:line="240" w:lineRule="auto"/>
        <w:ind w:left="1440" w:hanging="1440"/>
        <w:rPr>
          <w:rFonts w:ascii="Times New Roman" w:hAnsi="Times New Roman" w:cs="Times New Roman"/>
          <w:b/>
        </w:rPr>
      </w:pPr>
      <w:r w:rsidRPr="000973F2">
        <w:rPr>
          <w:rFonts w:ascii="Times New Roman" w:hAnsi="Times New Roman" w:cs="Times New Roman"/>
          <w:b/>
        </w:rPr>
        <w:t>HFE</w:t>
      </w:r>
      <w:r w:rsidR="005F65BC" w:rsidRPr="000973F2">
        <w:rPr>
          <w:rFonts w:ascii="Times New Roman" w:hAnsi="Times New Roman" w:cs="Times New Roman"/>
          <w:b/>
        </w:rPr>
        <w:tab/>
      </w:r>
      <w:r w:rsidR="005F65BC" w:rsidRPr="000973F2">
        <w:rPr>
          <w:rFonts w:ascii="Times New Roman" w:hAnsi="Times New Roman" w:cs="Times New Roman"/>
        </w:rPr>
        <w:t>Hydrofluoroether</w:t>
      </w:r>
    </w:p>
    <w:p w14:paraId="194F1489" w14:textId="0D36E23A" w:rsidR="004A5F25" w:rsidRPr="000973F2" w:rsidRDefault="004A5F25" w:rsidP="00252105">
      <w:pPr>
        <w:spacing w:line="240" w:lineRule="auto"/>
        <w:ind w:left="1440" w:hanging="1440"/>
        <w:rPr>
          <w:rFonts w:ascii="Times New Roman" w:hAnsi="Times New Roman" w:cs="Times New Roman"/>
          <w:b/>
        </w:rPr>
      </w:pPr>
      <w:r w:rsidRPr="000973F2">
        <w:rPr>
          <w:rFonts w:ascii="Times New Roman" w:hAnsi="Times New Roman" w:cs="Times New Roman"/>
          <w:b/>
        </w:rPr>
        <w:t>HHV</w:t>
      </w:r>
      <w:r w:rsidR="009753A9" w:rsidRPr="000973F2">
        <w:rPr>
          <w:rFonts w:ascii="Times New Roman" w:hAnsi="Times New Roman" w:cs="Times New Roman"/>
          <w:b/>
        </w:rPr>
        <w:tab/>
      </w:r>
      <w:r w:rsidR="009753A9" w:rsidRPr="000973F2">
        <w:rPr>
          <w:rFonts w:ascii="Times New Roman" w:hAnsi="Times New Roman" w:cs="Times New Roman"/>
        </w:rPr>
        <w:t>High heat values</w:t>
      </w:r>
    </w:p>
    <w:p w14:paraId="34C9CAA6" w14:textId="0D918E5C" w:rsidR="00007322" w:rsidRPr="000973F2" w:rsidRDefault="00415D17" w:rsidP="00252105">
      <w:pPr>
        <w:spacing w:line="240" w:lineRule="auto"/>
        <w:ind w:left="1440" w:hanging="1440"/>
        <w:rPr>
          <w:rFonts w:ascii="Times New Roman" w:hAnsi="Times New Roman" w:cs="Times New Roman"/>
          <w:b/>
        </w:rPr>
      </w:pPr>
      <w:r w:rsidRPr="000973F2">
        <w:rPr>
          <w:rFonts w:ascii="Times New Roman" w:hAnsi="Times New Roman" w:cs="Times New Roman"/>
          <w:b/>
        </w:rPr>
        <w:t>HTF</w:t>
      </w:r>
      <w:r w:rsidR="009753A9" w:rsidRPr="000973F2">
        <w:rPr>
          <w:rFonts w:ascii="Times New Roman" w:hAnsi="Times New Roman" w:cs="Times New Roman"/>
          <w:b/>
        </w:rPr>
        <w:tab/>
      </w:r>
      <w:r w:rsidR="009753A9" w:rsidRPr="000973F2">
        <w:rPr>
          <w:rFonts w:ascii="Times New Roman" w:hAnsi="Times New Roman" w:cs="Times New Roman"/>
        </w:rPr>
        <w:t>Heat transfer fluid</w:t>
      </w:r>
    </w:p>
    <w:p w14:paraId="2D671194" w14:textId="240F173F" w:rsidR="00415D17" w:rsidRPr="000973F2" w:rsidRDefault="00415D17" w:rsidP="00252105">
      <w:pPr>
        <w:spacing w:line="240" w:lineRule="auto"/>
        <w:ind w:left="1440" w:hanging="1440"/>
        <w:rPr>
          <w:rFonts w:ascii="Times New Roman" w:hAnsi="Times New Roman" w:cs="Times New Roman"/>
          <w:b/>
        </w:rPr>
      </w:pPr>
      <w:r w:rsidRPr="000973F2">
        <w:rPr>
          <w:rFonts w:ascii="Times New Roman" w:hAnsi="Times New Roman" w:cs="Times New Roman"/>
          <w:b/>
        </w:rPr>
        <w:t>LCD</w:t>
      </w:r>
      <w:r w:rsidR="0005470E" w:rsidRPr="000973F2">
        <w:rPr>
          <w:rFonts w:ascii="Times New Roman" w:hAnsi="Times New Roman" w:cs="Times New Roman"/>
          <w:b/>
        </w:rPr>
        <w:tab/>
      </w:r>
      <w:r w:rsidR="0005470E" w:rsidRPr="000973F2">
        <w:rPr>
          <w:rFonts w:ascii="Times New Roman" w:hAnsi="Times New Roman" w:cs="Times New Roman"/>
        </w:rPr>
        <w:t>Liquid crystal displays</w:t>
      </w:r>
    </w:p>
    <w:p w14:paraId="348162C7" w14:textId="71FB8BB9" w:rsidR="00007322" w:rsidRPr="000973F2" w:rsidRDefault="00025E97" w:rsidP="00252105">
      <w:pPr>
        <w:spacing w:line="240" w:lineRule="auto"/>
        <w:ind w:left="1440" w:hanging="1440"/>
        <w:rPr>
          <w:rFonts w:ascii="Times New Roman" w:hAnsi="Times New Roman" w:cs="Times New Roman"/>
          <w:b/>
        </w:rPr>
      </w:pPr>
      <w:r w:rsidRPr="000973F2">
        <w:rPr>
          <w:rFonts w:ascii="Times New Roman" w:hAnsi="Times New Roman" w:cs="Times New Roman"/>
          <w:b/>
        </w:rPr>
        <w:t>LDC</w:t>
      </w:r>
      <w:r w:rsidR="00342ED7" w:rsidRPr="000973F2">
        <w:rPr>
          <w:rFonts w:ascii="Times New Roman" w:hAnsi="Times New Roman" w:cs="Times New Roman"/>
          <w:b/>
        </w:rPr>
        <w:tab/>
      </w:r>
      <w:r w:rsidR="00342ED7" w:rsidRPr="000973F2">
        <w:rPr>
          <w:rFonts w:ascii="Times New Roman" w:hAnsi="Times New Roman" w:cs="Times New Roman"/>
        </w:rPr>
        <w:t>Local distribution companies</w:t>
      </w:r>
    </w:p>
    <w:p w14:paraId="2A750A43" w14:textId="5A2C2F1E" w:rsidR="00007322" w:rsidRPr="000973F2" w:rsidRDefault="006A77F5" w:rsidP="00252105">
      <w:pPr>
        <w:spacing w:line="240" w:lineRule="auto"/>
        <w:ind w:left="1440" w:hanging="1440"/>
        <w:rPr>
          <w:rFonts w:ascii="Times New Roman" w:hAnsi="Times New Roman" w:cs="Times New Roman"/>
          <w:b/>
        </w:rPr>
      </w:pPr>
      <w:r w:rsidRPr="000973F2">
        <w:rPr>
          <w:rFonts w:ascii="Times New Roman" w:hAnsi="Times New Roman" w:cs="Times New Roman"/>
          <w:b/>
        </w:rPr>
        <w:t>LNG</w:t>
      </w:r>
      <w:r w:rsidR="00342ED7" w:rsidRPr="000973F2">
        <w:rPr>
          <w:rFonts w:ascii="Times New Roman" w:hAnsi="Times New Roman" w:cs="Times New Roman"/>
          <w:b/>
        </w:rPr>
        <w:tab/>
      </w:r>
      <w:r w:rsidR="00342ED7" w:rsidRPr="000973F2">
        <w:rPr>
          <w:rFonts w:ascii="Times New Roman" w:hAnsi="Times New Roman" w:cs="Times New Roman"/>
        </w:rPr>
        <w:t>Liquefied Natural Gas</w:t>
      </w:r>
    </w:p>
    <w:p w14:paraId="10E8379D" w14:textId="6C1875ED" w:rsidR="004A5F25" w:rsidRPr="000973F2" w:rsidRDefault="004A5F25" w:rsidP="00252105">
      <w:pPr>
        <w:spacing w:line="240" w:lineRule="auto"/>
        <w:ind w:left="1440" w:hanging="1440"/>
        <w:rPr>
          <w:rFonts w:ascii="Times New Roman" w:hAnsi="Times New Roman" w:cs="Times New Roman"/>
          <w:b/>
        </w:rPr>
      </w:pPr>
      <w:r w:rsidRPr="000973F2">
        <w:rPr>
          <w:rFonts w:ascii="Times New Roman" w:hAnsi="Times New Roman" w:cs="Times New Roman"/>
          <w:b/>
        </w:rPr>
        <w:t>MEMS</w:t>
      </w:r>
      <w:r w:rsidR="00A06884" w:rsidRPr="000973F2">
        <w:rPr>
          <w:rFonts w:ascii="Times New Roman" w:hAnsi="Times New Roman" w:cs="Times New Roman"/>
          <w:b/>
        </w:rPr>
        <w:tab/>
      </w:r>
      <w:r w:rsidR="00A06884" w:rsidRPr="000973F2">
        <w:rPr>
          <w:rFonts w:ascii="Times New Roman" w:hAnsi="Times New Roman" w:cs="Times New Roman"/>
        </w:rPr>
        <w:t>Micro-Electromechanical Systems</w:t>
      </w:r>
    </w:p>
    <w:p w14:paraId="60BC093A" w14:textId="0170F1BF" w:rsidR="004A5F25" w:rsidRPr="000973F2" w:rsidRDefault="004A5F25" w:rsidP="00252105">
      <w:pPr>
        <w:spacing w:line="240" w:lineRule="auto"/>
        <w:ind w:left="1440" w:hanging="1440"/>
        <w:rPr>
          <w:rFonts w:ascii="Times New Roman" w:hAnsi="Times New Roman" w:cs="Times New Roman"/>
        </w:rPr>
      </w:pPr>
      <w:r w:rsidRPr="000973F2">
        <w:rPr>
          <w:rFonts w:ascii="Times New Roman" w:hAnsi="Times New Roman" w:cs="Times New Roman"/>
          <w:b/>
        </w:rPr>
        <w:t>MgO</w:t>
      </w:r>
      <w:r w:rsidRPr="000973F2">
        <w:rPr>
          <w:rFonts w:ascii="Times New Roman" w:hAnsi="Times New Roman" w:cs="Times New Roman"/>
          <w:b/>
        </w:rPr>
        <w:tab/>
      </w:r>
      <w:r w:rsidRPr="000973F2">
        <w:rPr>
          <w:rFonts w:ascii="Times New Roman" w:hAnsi="Times New Roman" w:cs="Times New Roman"/>
        </w:rPr>
        <w:t>Magnesium oxide</w:t>
      </w:r>
    </w:p>
    <w:p w14:paraId="5245ECA1" w14:textId="6E90210C" w:rsidR="00025E97" w:rsidRPr="000973F2" w:rsidRDefault="00025E97" w:rsidP="00252105">
      <w:pPr>
        <w:spacing w:line="240" w:lineRule="auto"/>
        <w:ind w:left="1440" w:hanging="1440"/>
        <w:rPr>
          <w:rFonts w:ascii="Times New Roman" w:hAnsi="Times New Roman" w:cs="Times New Roman"/>
          <w:b/>
        </w:rPr>
      </w:pPr>
      <w:r w:rsidRPr="000973F2">
        <w:rPr>
          <w:rFonts w:ascii="Times New Roman" w:hAnsi="Times New Roman" w:cs="Times New Roman"/>
          <w:b/>
        </w:rPr>
        <w:t>mmBTU</w:t>
      </w:r>
      <w:r w:rsidRPr="000973F2">
        <w:rPr>
          <w:rFonts w:ascii="Times New Roman" w:hAnsi="Times New Roman" w:cs="Times New Roman"/>
          <w:b/>
        </w:rPr>
        <w:tab/>
      </w:r>
      <w:r w:rsidRPr="000973F2">
        <w:rPr>
          <w:rFonts w:ascii="Times New Roman" w:hAnsi="Times New Roman" w:cs="Times New Roman"/>
        </w:rPr>
        <w:t>Million BTU</w:t>
      </w:r>
    </w:p>
    <w:p w14:paraId="09B2DB41" w14:textId="64F6EE8C" w:rsidR="00FD02DB" w:rsidRPr="000973F2" w:rsidRDefault="00FD02DB" w:rsidP="00252105">
      <w:pPr>
        <w:spacing w:line="240" w:lineRule="auto"/>
        <w:ind w:left="1440" w:hanging="1440"/>
        <w:rPr>
          <w:rFonts w:ascii="Times New Roman" w:hAnsi="Times New Roman" w:cs="Times New Roman"/>
          <w:b/>
        </w:rPr>
      </w:pPr>
      <w:r w:rsidRPr="000973F2">
        <w:rPr>
          <w:rFonts w:ascii="Times New Roman" w:hAnsi="Times New Roman" w:cs="Times New Roman"/>
          <w:b/>
        </w:rPr>
        <w:t>MRV</w:t>
      </w:r>
      <w:r w:rsidR="00740BE1" w:rsidRPr="000973F2">
        <w:rPr>
          <w:rFonts w:ascii="Times New Roman" w:hAnsi="Times New Roman" w:cs="Times New Roman"/>
          <w:b/>
        </w:rPr>
        <w:tab/>
      </w:r>
      <w:r w:rsidR="00740BE1" w:rsidRPr="000973F2">
        <w:rPr>
          <w:rFonts w:ascii="Times New Roman" w:hAnsi="Times New Roman" w:cs="Times New Roman"/>
        </w:rPr>
        <w:t>Monitoring, reporting, and verification</w:t>
      </w:r>
    </w:p>
    <w:p w14:paraId="70F86D3C" w14:textId="702A599C" w:rsidR="00025E97" w:rsidRPr="000973F2" w:rsidRDefault="00025E97" w:rsidP="00252105">
      <w:pPr>
        <w:spacing w:line="240" w:lineRule="auto"/>
        <w:ind w:left="1440" w:hanging="1440"/>
        <w:rPr>
          <w:rFonts w:ascii="Times New Roman" w:hAnsi="Times New Roman" w:cs="Times New Roman"/>
        </w:rPr>
      </w:pPr>
      <w:r w:rsidRPr="000973F2">
        <w:rPr>
          <w:rFonts w:ascii="Times New Roman" w:hAnsi="Times New Roman" w:cs="Times New Roman"/>
          <w:b/>
        </w:rPr>
        <w:t>MSHA</w:t>
      </w:r>
      <w:r w:rsidR="00740BE1" w:rsidRPr="000973F2">
        <w:rPr>
          <w:rFonts w:ascii="Times New Roman" w:hAnsi="Times New Roman" w:cs="Times New Roman"/>
          <w:b/>
        </w:rPr>
        <w:tab/>
      </w:r>
      <w:r w:rsidR="00740BE1" w:rsidRPr="000973F2">
        <w:rPr>
          <w:rFonts w:ascii="Times New Roman" w:hAnsi="Times New Roman" w:cs="Times New Roman"/>
          <w:szCs w:val="24"/>
        </w:rPr>
        <w:t>Mine Safety and Health Administration</w:t>
      </w:r>
    </w:p>
    <w:p w14:paraId="5058ACA1" w14:textId="23BC986E" w:rsidR="004A5F25" w:rsidRPr="000973F2" w:rsidRDefault="004A5F25" w:rsidP="00252105">
      <w:pPr>
        <w:spacing w:line="240" w:lineRule="auto"/>
        <w:ind w:left="1440" w:hanging="1440"/>
        <w:rPr>
          <w:rFonts w:ascii="Times New Roman" w:hAnsi="Times New Roman" w:cs="Times New Roman"/>
          <w:b/>
        </w:rPr>
      </w:pPr>
      <w:r w:rsidRPr="000973F2">
        <w:rPr>
          <w:rFonts w:ascii="Times New Roman" w:hAnsi="Times New Roman" w:cs="Times New Roman"/>
          <w:b/>
        </w:rPr>
        <w:t>MSW</w:t>
      </w:r>
      <w:r w:rsidRPr="000973F2">
        <w:rPr>
          <w:rFonts w:ascii="Times New Roman" w:hAnsi="Times New Roman" w:cs="Times New Roman"/>
          <w:b/>
        </w:rPr>
        <w:tab/>
      </w:r>
      <w:r w:rsidRPr="000973F2">
        <w:rPr>
          <w:rFonts w:ascii="Times New Roman" w:hAnsi="Times New Roman" w:cs="Times New Roman"/>
        </w:rPr>
        <w:t>Municipal Solid Waste</w:t>
      </w:r>
    </w:p>
    <w:p w14:paraId="57641EE2" w14:textId="15307706" w:rsidR="00161EED" w:rsidRPr="000973F2" w:rsidRDefault="00161EED" w:rsidP="00252105">
      <w:pPr>
        <w:spacing w:line="240" w:lineRule="auto"/>
        <w:ind w:left="1440" w:hanging="1440"/>
        <w:rPr>
          <w:rFonts w:ascii="Times New Roman" w:hAnsi="Times New Roman" w:cs="Times New Roman"/>
          <w:b/>
        </w:rPr>
      </w:pPr>
      <w:r w:rsidRPr="000973F2">
        <w:rPr>
          <w:rFonts w:ascii="Times New Roman" w:hAnsi="Times New Roman" w:cs="Times New Roman"/>
          <w:b/>
        </w:rPr>
        <w:t>N</w:t>
      </w:r>
      <w:r w:rsidRPr="000973F2">
        <w:rPr>
          <w:rFonts w:ascii="Times New Roman" w:hAnsi="Times New Roman" w:cs="Times New Roman"/>
          <w:b/>
          <w:vertAlign w:val="subscript"/>
        </w:rPr>
        <w:t>2</w:t>
      </w:r>
      <w:r w:rsidRPr="000973F2">
        <w:rPr>
          <w:rFonts w:ascii="Times New Roman" w:hAnsi="Times New Roman" w:cs="Times New Roman"/>
          <w:b/>
        </w:rPr>
        <w:t>O</w:t>
      </w:r>
      <w:r w:rsidRPr="000973F2">
        <w:rPr>
          <w:rFonts w:ascii="Times New Roman" w:hAnsi="Times New Roman" w:cs="Times New Roman"/>
          <w:b/>
        </w:rPr>
        <w:tab/>
      </w:r>
      <w:r w:rsidRPr="000973F2">
        <w:rPr>
          <w:rFonts w:ascii="Times New Roman" w:hAnsi="Times New Roman" w:cs="Times New Roman"/>
        </w:rPr>
        <w:t>Nitrous oxide</w:t>
      </w:r>
    </w:p>
    <w:p w14:paraId="23EEA07D" w14:textId="6C00C8F8" w:rsidR="004A5F25" w:rsidRPr="000973F2" w:rsidRDefault="004A5F25" w:rsidP="00252105">
      <w:pPr>
        <w:spacing w:line="240" w:lineRule="auto"/>
        <w:ind w:left="1440" w:hanging="1440"/>
        <w:rPr>
          <w:rFonts w:ascii="Times New Roman" w:hAnsi="Times New Roman" w:cs="Times New Roman"/>
          <w:b/>
        </w:rPr>
      </w:pPr>
      <w:r w:rsidRPr="000973F2">
        <w:rPr>
          <w:rFonts w:ascii="Times New Roman" w:hAnsi="Times New Roman" w:cs="Times New Roman"/>
          <w:b/>
        </w:rPr>
        <w:t>NESHAP</w:t>
      </w:r>
      <w:r w:rsidR="00A73A20" w:rsidRPr="000973F2">
        <w:rPr>
          <w:rFonts w:ascii="Times New Roman" w:hAnsi="Times New Roman" w:cs="Times New Roman"/>
          <w:b/>
        </w:rPr>
        <w:tab/>
      </w:r>
      <w:r w:rsidR="00A73A20" w:rsidRPr="000973F2">
        <w:rPr>
          <w:rFonts w:ascii="Times New Roman" w:hAnsi="Times New Roman" w:cs="Times New Roman"/>
        </w:rPr>
        <w:t>National Emission Standards for Hazardous Air Pollutants</w:t>
      </w:r>
    </w:p>
    <w:p w14:paraId="58D5B177" w14:textId="7F52EA75" w:rsidR="00025E97" w:rsidRPr="000973F2" w:rsidRDefault="00025E97" w:rsidP="00252105">
      <w:pPr>
        <w:spacing w:line="240" w:lineRule="auto"/>
        <w:ind w:left="1440" w:hanging="1440"/>
        <w:rPr>
          <w:rFonts w:ascii="Times New Roman" w:hAnsi="Times New Roman" w:cs="Times New Roman"/>
          <w:b/>
        </w:rPr>
      </w:pPr>
      <w:r w:rsidRPr="000973F2">
        <w:rPr>
          <w:rFonts w:ascii="Times New Roman" w:hAnsi="Times New Roman" w:cs="Times New Roman"/>
          <w:b/>
        </w:rPr>
        <w:t>NF3</w:t>
      </w:r>
      <w:r w:rsidR="00A73A20" w:rsidRPr="000973F2">
        <w:rPr>
          <w:rFonts w:ascii="Times New Roman" w:hAnsi="Times New Roman" w:cs="Times New Roman"/>
          <w:b/>
        </w:rPr>
        <w:tab/>
      </w:r>
      <w:r w:rsidR="00A73A20" w:rsidRPr="000973F2">
        <w:rPr>
          <w:rFonts w:ascii="Times New Roman" w:hAnsi="Times New Roman" w:cs="Times New Roman"/>
        </w:rPr>
        <w:t>Nitrogen Trifluoride</w:t>
      </w:r>
    </w:p>
    <w:p w14:paraId="291185FD" w14:textId="2AF97D12" w:rsidR="00025E97" w:rsidRPr="000973F2" w:rsidRDefault="00025E97" w:rsidP="00252105">
      <w:pPr>
        <w:spacing w:line="240" w:lineRule="auto"/>
        <w:ind w:left="1440" w:hanging="1440"/>
        <w:rPr>
          <w:rFonts w:ascii="Times New Roman" w:hAnsi="Times New Roman" w:cs="Times New Roman"/>
          <w:b/>
        </w:rPr>
      </w:pPr>
      <w:r w:rsidRPr="000973F2">
        <w:rPr>
          <w:rFonts w:ascii="Times New Roman" w:hAnsi="Times New Roman" w:cs="Times New Roman"/>
          <w:b/>
        </w:rPr>
        <w:t>NGL</w:t>
      </w:r>
      <w:r w:rsidR="00A73A20" w:rsidRPr="000973F2">
        <w:rPr>
          <w:rFonts w:ascii="Times New Roman" w:hAnsi="Times New Roman" w:cs="Times New Roman"/>
          <w:b/>
        </w:rPr>
        <w:tab/>
      </w:r>
      <w:r w:rsidR="00A73A20" w:rsidRPr="000973F2">
        <w:rPr>
          <w:rFonts w:ascii="Times New Roman" w:hAnsi="Times New Roman" w:cs="Times New Roman"/>
        </w:rPr>
        <w:t>Natural Gas Liqui</w:t>
      </w:r>
      <w:r w:rsidR="0065487B" w:rsidRPr="000973F2">
        <w:rPr>
          <w:rFonts w:ascii="Times New Roman" w:hAnsi="Times New Roman" w:cs="Times New Roman"/>
        </w:rPr>
        <w:t>d</w:t>
      </w:r>
      <w:r w:rsidR="00A73A20" w:rsidRPr="000973F2">
        <w:rPr>
          <w:rFonts w:ascii="Times New Roman" w:hAnsi="Times New Roman" w:cs="Times New Roman"/>
        </w:rPr>
        <w:t>s</w:t>
      </w:r>
    </w:p>
    <w:p w14:paraId="5F79608D" w14:textId="403FEB0A" w:rsidR="00FD02DB" w:rsidRPr="000973F2" w:rsidRDefault="00FD02DB" w:rsidP="00252105">
      <w:pPr>
        <w:spacing w:line="240" w:lineRule="auto"/>
        <w:ind w:left="1440" w:hanging="1440"/>
        <w:rPr>
          <w:rFonts w:ascii="Times New Roman" w:hAnsi="Times New Roman" w:cs="Times New Roman"/>
          <w:b/>
        </w:rPr>
      </w:pPr>
      <w:r w:rsidRPr="000973F2">
        <w:rPr>
          <w:rFonts w:ascii="Times New Roman" w:hAnsi="Times New Roman" w:cs="Times New Roman"/>
          <w:b/>
        </w:rPr>
        <w:t>NLA</w:t>
      </w:r>
      <w:r w:rsidR="00A73A20" w:rsidRPr="000973F2">
        <w:rPr>
          <w:rFonts w:ascii="Times New Roman" w:hAnsi="Times New Roman" w:cs="Times New Roman"/>
          <w:b/>
        </w:rPr>
        <w:tab/>
      </w:r>
      <w:r w:rsidR="00A73A20" w:rsidRPr="000973F2">
        <w:rPr>
          <w:rFonts w:ascii="Times New Roman" w:hAnsi="Times New Roman" w:cs="Times New Roman"/>
        </w:rPr>
        <w:t>National Lime Association</w:t>
      </w:r>
    </w:p>
    <w:p w14:paraId="15EB2A2B" w14:textId="6F28ADC1" w:rsidR="004A5F25" w:rsidRPr="000973F2" w:rsidRDefault="004A5F25" w:rsidP="00252105">
      <w:pPr>
        <w:spacing w:line="240" w:lineRule="auto"/>
        <w:ind w:left="1440" w:hanging="1440"/>
        <w:rPr>
          <w:rFonts w:ascii="Times New Roman" w:hAnsi="Times New Roman" w:cs="Times New Roman"/>
          <w:b/>
        </w:rPr>
      </w:pPr>
      <w:r w:rsidRPr="000973F2">
        <w:rPr>
          <w:rFonts w:ascii="Times New Roman" w:hAnsi="Times New Roman" w:cs="Times New Roman"/>
          <w:b/>
        </w:rPr>
        <w:t>NSPS</w:t>
      </w:r>
      <w:r w:rsidR="00A73A20" w:rsidRPr="000973F2">
        <w:rPr>
          <w:rFonts w:ascii="Times New Roman" w:hAnsi="Times New Roman" w:cs="Times New Roman"/>
          <w:b/>
        </w:rPr>
        <w:tab/>
      </w:r>
      <w:r w:rsidR="00A73A20" w:rsidRPr="000973F2">
        <w:rPr>
          <w:rFonts w:ascii="Times New Roman" w:hAnsi="Times New Roman" w:cs="Times New Roman"/>
        </w:rPr>
        <w:t>New Source Performance Standard</w:t>
      </w:r>
    </w:p>
    <w:p w14:paraId="5CEBC772" w14:textId="069EBE20" w:rsidR="002E3D4E" w:rsidRPr="000973F2" w:rsidRDefault="002E3D4E" w:rsidP="00252105">
      <w:pPr>
        <w:spacing w:line="240" w:lineRule="auto"/>
        <w:ind w:left="1440" w:hanging="1440"/>
        <w:rPr>
          <w:rFonts w:ascii="Times New Roman" w:hAnsi="Times New Roman" w:cs="Times New Roman"/>
          <w:b/>
        </w:rPr>
      </w:pPr>
      <w:r w:rsidRPr="000973F2">
        <w:rPr>
          <w:rFonts w:ascii="Times New Roman" w:hAnsi="Times New Roman" w:cs="Times New Roman"/>
          <w:b/>
        </w:rPr>
        <w:t>O&amp;M</w:t>
      </w:r>
      <w:r w:rsidRPr="000973F2">
        <w:rPr>
          <w:rFonts w:ascii="Times New Roman" w:hAnsi="Times New Roman" w:cs="Times New Roman"/>
          <w:b/>
        </w:rPr>
        <w:tab/>
      </w:r>
      <w:r w:rsidRPr="000973F2">
        <w:rPr>
          <w:rFonts w:ascii="Times New Roman" w:hAnsi="Times New Roman" w:cs="Times New Roman"/>
        </w:rPr>
        <w:t>Operation and Maintenance</w:t>
      </w:r>
    </w:p>
    <w:p w14:paraId="3E684E17" w14:textId="12F09297" w:rsidR="00161EED" w:rsidRPr="000973F2" w:rsidRDefault="00161EED" w:rsidP="00252105">
      <w:pPr>
        <w:spacing w:line="240" w:lineRule="auto"/>
        <w:ind w:left="1440" w:hanging="1440"/>
        <w:rPr>
          <w:rFonts w:ascii="Times New Roman" w:hAnsi="Times New Roman" w:cs="Times New Roman"/>
          <w:b/>
        </w:rPr>
      </w:pPr>
      <w:r w:rsidRPr="000973F2">
        <w:rPr>
          <w:rFonts w:ascii="Times New Roman" w:hAnsi="Times New Roman" w:cs="Times New Roman"/>
          <w:b/>
        </w:rPr>
        <w:t>PFC</w:t>
      </w:r>
      <w:r w:rsidRPr="000973F2">
        <w:rPr>
          <w:rFonts w:ascii="Times New Roman" w:hAnsi="Times New Roman" w:cs="Times New Roman"/>
          <w:b/>
        </w:rPr>
        <w:tab/>
      </w:r>
      <w:r w:rsidRPr="000973F2">
        <w:rPr>
          <w:rFonts w:ascii="Times New Roman" w:hAnsi="Times New Roman" w:cs="Times New Roman"/>
        </w:rPr>
        <w:t>Perfluor</w:t>
      </w:r>
      <w:r w:rsidR="002E3D4E" w:rsidRPr="000973F2">
        <w:rPr>
          <w:rFonts w:ascii="Times New Roman" w:hAnsi="Times New Roman" w:cs="Times New Roman"/>
        </w:rPr>
        <w:t>ocarbons</w:t>
      </w:r>
    </w:p>
    <w:p w14:paraId="69F443D7" w14:textId="323470D7" w:rsidR="00415D17" w:rsidRPr="000973F2" w:rsidRDefault="00415D17" w:rsidP="00252105">
      <w:pPr>
        <w:spacing w:line="240" w:lineRule="auto"/>
        <w:ind w:left="1440" w:hanging="1440"/>
        <w:rPr>
          <w:rFonts w:ascii="Times New Roman" w:hAnsi="Times New Roman" w:cs="Times New Roman"/>
          <w:b/>
        </w:rPr>
      </w:pPr>
      <w:r w:rsidRPr="000973F2">
        <w:rPr>
          <w:rFonts w:ascii="Times New Roman" w:hAnsi="Times New Roman" w:cs="Times New Roman"/>
          <w:b/>
        </w:rPr>
        <w:t>PV</w:t>
      </w:r>
      <w:r w:rsidR="00A06884" w:rsidRPr="000973F2">
        <w:rPr>
          <w:rFonts w:ascii="Times New Roman" w:hAnsi="Times New Roman" w:cs="Times New Roman"/>
          <w:b/>
        </w:rPr>
        <w:tab/>
      </w:r>
      <w:r w:rsidR="00A73A20" w:rsidRPr="000973F2">
        <w:rPr>
          <w:rFonts w:ascii="Times New Roman" w:hAnsi="Times New Roman" w:cs="Times New Roman"/>
        </w:rPr>
        <w:t>Photovoltaic Cells</w:t>
      </w:r>
    </w:p>
    <w:p w14:paraId="5786AC58" w14:textId="69F8B197" w:rsidR="002E3D4E" w:rsidRPr="000973F2" w:rsidRDefault="002E3D4E" w:rsidP="00252105">
      <w:pPr>
        <w:spacing w:line="240" w:lineRule="auto"/>
        <w:ind w:left="1440" w:hanging="1440"/>
        <w:rPr>
          <w:rFonts w:ascii="Times New Roman" w:hAnsi="Times New Roman" w:cs="Times New Roman"/>
          <w:b/>
        </w:rPr>
      </w:pPr>
      <w:r w:rsidRPr="000973F2">
        <w:rPr>
          <w:rFonts w:ascii="Times New Roman" w:hAnsi="Times New Roman" w:cs="Times New Roman"/>
          <w:b/>
        </w:rPr>
        <w:t>QA/QC</w:t>
      </w:r>
      <w:r w:rsidRPr="000973F2">
        <w:rPr>
          <w:rFonts w:ascii="Times New Roman" w:hAnsi="Times New Roman" w:cs="Times New Roman"/>
          <w:b/>
        </w:rPr>
        <w:tab/>
      </w:r>
      <w:r w:rsidRPr="000973F2">
        <w:rPr>
          <w:rFonts w:ascii="Times New Roman" w:hAnsi="Times New Roman" w:cs="Times New Roman"/>
        </w:rPr>
        <w:t>Quality Assurance / Quality Control</w:t>
      </w:r>
    </w:p>
    <w:p w14:paraId="0D84CDBB" w14:textId="4EB4ACEE" w:rsidR="00FD02DB" w:rsidRPr="000973F2" w:rsidRDefault="00FD02DB" w:rsidP="00252105">
      <w:pPr>
        <w:spacing w:line="240" w:lineRule="auto"/>
        <w:ind w:left="1440" w:hanging="1440"/>
        <w:rPr>
          <w:rFonts w:ascii="Times New Roman" w:hAnsi="Times New Roman" w:cs="Times New Roman"/>
          <w:b/>
        </w:rPr>
      </w:pPr>
      <w:r w:rsidRPr="000973F2">
        <w:rPr>
          <w:rFonts w:ascii="Times New Roman" w:hAnsi="Times New Roman" w:cs="Times New Roman"/>
          <w:b/>
        </w:rPr>
        <w:t>RCRA</w:t>
      </w:r>
      <w:r w:rsidR="000D396A" w:rsidRPr="000973F2">
        <w:rPr>
          <w:rFonts w:ascii="Times New Roman" w:hAnsi="Times New Roman" w:cs="Times New Roman"/>
          <w:b/>
        </w:rPr>
        <w:tab/>
      </w:r>
      <w:r w:rsidR="000D396A" w:rsidRPr="000973F2">
        <w:rPr>
          <w:rFonts w:ascii="Times New Roman" w:hAnsi="Times New Roman" w:cs="Times New Roman"/>
        </w:rPr>
        <w:t>Resource Conservation and Recovery Act</w:t>
      </w:r>
    </w:p>
    <w:p w14:paraId="71EEC404" w14:textId="21492107" w:rsidR="003B77D0" w:rsidRPr="000973F2" w:rsidRDefault="003B77D0" w:rsidP="00252105">
      <w:pPr>
        <w:spacing w:line="240" w:lineRule="auto"/>
        <w:ind w:left="1440" w:hanging="1440"/>
        <w:rPr>
          <w:rFonts w:ascii="Times New Roman" w:hAnsi="Times New Roman" w:cs="Times New Roman"/>
          <w:b/>
        </w:rPr>
      </w:pPr>
      <w:r w:rsidRPr="000973F2">
        <w:rPr>
          <w:rFonts w:ascii="Times New Roman" w:hAnsi="Times New Roman" w:cs="Times New Roman"/>
          <w:b/>
        </w:rPr>
        <w:t>RY2011</w:t>
      </w:r>
      <w:r w:rsidRPr="000973F2">
        <w:rPr>
          <w:rFonts w:ascii="Times New Roman" w:hAnsi="Times New Roman" w:cs="Times New Roman"/>
          <w:b/>
        </w:rPr>
        <w:tab/>
      </w:r>
      <w:r w:rsidRPr="000973F2">
        <w:rPr>
          <w:rFonts w:ascii="Times New Roman" w:hAnsi="Times New Roman" w:cs="Times New Roman"/>
        </w:rPr>
        <w:t>Reporting Year 2011 of the GHGRP</w:t>
      </w:r>
    </w:p>
    <w:p w14:paraId="1A449BC2" w14:textId="634C915A" w:rsidR="002E3D4E" w:rsidRPr="000973F2" w:rsidRDefault="002E3D4E" w:rsidP="00252105">
      <w:pPr>
        <w:spacing w:line="240" w:lineRule="auto"/>
        <w:ind w:left="1440" w:hanging="1440"/>
        <w:rPr>
          <w:rFonts w:ascii="Times New Roman" w:hAnsi="Times New Roman" w:cs="Times New Roman"/>
          <w:b/>
        </w:rPr>
      </w:pPr>
      <w:r w:rsidRPr="000973F2">
        <w:rPr>
          <w:rFonts w:ascii="Times New Roman" w:hAnsi="Times New Roman" w:cs="Times New Roman"/>
          <w:b/>
        </w:rPr>
        <w:t>RY2016</w:t>
      </w:r>
      <w:r w:rsidRPr="000973F2">
        <w:rPr>
          <w:rFonts w:ascii="Times New Roman" w:hAnsi="Times New Roman" w:cs="Times New Roman"/>
          <w:b/>
        </w:rPr>
        <w:tab/>
      </w:r>
      <w:r w:rsidRPr="000973F2">
        <w:rPr>
          <w:rFonts w:ascii="Times New Roman" w:hAnsi="Times New Roman" w:cs="Times New Roman"/>
        </w:rPr>
        <w:t>Reporting Year 2016 of the GHGRP</w:t>
      </w:r>
    </w:p>
    <w:p w14:paraId="0C7A4F99" w14:textId="3E5A3461" w:rsidR="00161EED" w:rsidRPr="000973F2" w:rsidRDefault="00161EED" w:rsidP="00252105">
      <w:pPr>
        <w:spacing w:line="240" w:lineRule="auto"/>
        <w:ind w:left="1440" w:hanging="1440"/>
        <w:rPr>
          <w:rFonts w:ascii="Times New Roman" w:hAnsi="Times New Roman" w:cs="Times New Roman"/>
          <w:b/>
        </w:rPr>
      </w:pPr>
      <w:r w:rsidRPr="000973F2">
        <w:rPr>
          <w:rFonts w:ascii="Times New Roman" w:hAnsi="Times New Roman" w:cs="Times New Roman"/>
          <w:b/>
        </w:rPr>
        <w:t>RY2017</w:t>
      </w:r>
      <w:r w:rsidRPr="000973F2">
        <w:rPr>
          <w:rFonts w:ascii="Times New Roman" w:hAnsi="Times New Roman" w:cs="Times New Roman"/>
          <w:b/>
        </w:rPr>
        <w:tab/>
      </w:r>
      <w:r w:rsidRPr="000973F2">
        <w:rPr>
          <w:rFonts w:ascii="Times New Roman" w:hAnsi="Times New Roman" w:cs="Times New Roman"/>
        </w:rPr>
        <w:t>Reporting Year 2017</w:t>
      </w:r>
      <w:r w:rsidR="002E3D4E" w:rsidRPr="000973F2">
        <w:rPr>
          <w:rFonts w:ascii="Times New Roman" w:hAnsi="Times New Roman" w:cs="Times New Roman"/>
        </w:rPr>
        <w:t xml:space="preserve"> of the GHGRP</w:t>
      </w:r>
    </w:p>
    <w:p w14:paraId="4FF7025F" w14:textId="2CD56ADC" w:rsidR="00834C45" w:rsidRPr="000973F2" w:rsidRDefault="00834C45" w:rsidP="00252105">
      <w:pPr>
        <w:spacing w:line="240" w:lineRule="auto"/>
        <w:ind w:left="1440" w:hanging="1440"/>
        <w:rPr>
          <w:rFonts w:ascii="Times New Roman" w:hAnsi="Times New Roman" w:cs="Times New Roman"/>
          <w:b/>
        </w:rPr>
      </w:pPr>
      <w:r w:rsidRPr="000973F2">
        <w:rPr>
          <w:rFonts w:ascii="Times New Roman" w:hAnsi="Times New Roman" w:cs="Times New Roman"/>
          <w:b/>
        </w:rPr>
        <w:t>RY2019</w:t>
      </w:r>
      <w:r w:rsidRPr="000973F2">
        <w:rPr>
          <w:rFonts w:ascii="Times New Roman" w:hAnsi="Times New Roman" w:cs="Times New Roman"/>
          <w:b/>
        </w:rPr>
        <w:tab/>
      </w:r>
      <w:r w:rsidRPr="000973F2">
        <w:rPr>
          <w:rFonts w:ascii="Times New Roman" w:hAnsi="Times New Roman" w:cs="Times New Roman"/>
        </w:rPr>
        <w:t>Reporting Year 2019 of the GHGRP</w:t>
      </w:r>
    </w:p>
    <w:p w14:paraId="5222E82D" w14:textId="25B64AA2" w:rsidR="00834C45" w:rsidRPr="000973F2" w:rsidRDefault="00834C45" w:rsidP="00252105">
      <w:pPr>
        <w:spacing w:line="240" w:lineRule="auto"/>
        <w:ind w:left="1440" w:hanging="1440"/>
        <w:rPr>
          <w:rFonts w:ascii="Times New Roman" w:hAnsi="Times New Roman" w:cs="Times New Roman"/>
          <w:b/>
        </w:rPr>
      </w:pPr>
      <w:r w:rsidRPr="000973F2">
        <w:rPr>
          <w:rFonts w:ascii="Times New Roman" w:hAnsi="Times New Roman" w:cs="Times New Roman"/>
          <w:b/>
        </w:rPr>
        <w:t>RY2020</w:t>
      </w:r>
      <w:r w:rsidRPr="000973F2">
        <w:rPr>
          <w:rFonts w:ascii="Times New Roman" w:hAnsi="Times New Roman" w:cs="Times New Roman"/>
          <w:b/>
        </w:rPr>
        <w:tab/>
      </w:r>
      <w:r w:rsidRPr="000973F2">
        <w:rPr>
          <w:rFonts w:ascii="Times New Roman" w:hAnsi="Times New Roman" w:cs="Times New Roman"/>
        </w:rPr>
        <w:t>Reporting Year 2020 of the GHGRP</w:t>
      </w:r>
    </w:p>
    <w:p w14:paraId="2031F53E" w14:textId="5C99E659" w:rsidR="00834C45" w:rsidRPr="000973F2" w:rsidRDefault="00834C45" w:rsidP="00252105">
      <w:pPr>
        <w:spacing w:line="240" w:lineRule="auto"/>
        <w:ind w:left="1440" w:hanging="1440"/>
        <w:rPr>
          <w:rFonts w:ascii="Times New Roman" w:hAnsi="Times New Roman" w:cs="Times New Roman"/>
          <w:b/>
        </w:rPr>
      </w:pPr>
      <w:r w:rsidRPr="000973F2">
        <w:rPr>
          <w:rFonts w:ascii="Times New Roman" w:hAnsi="Times New Roman" w:cs="Times New Roman"/>
          <w:b/>
        </w:rPr>
        <w:t>RY2021</w:t>
      </w:r>
      <w:r w:rsidRPr="000973F2">
        <w:rPr>
          <w:rFonts w:ascii="Times New Roman" w:hAnsi="Times New Roman" w:cs="Times New Roman"/>
          <w:b/>
        </w:rPr>
        <w:tab/>
      </w:r>
      <w:r w:rsidRPr="000973F2">
        <w:rPr>
          <w:rFonts w:ascii="Times New Roman" w:hAnsi="Times New Roman" w:cs="Times New Roman"/>
        </w:rPr>
        <w:t>Reporting Year 2021 of the GHGRP</w:t>
      </w:r>
    </w:p>
    <w:p w14:paraId="24BF26DD" w14:textId="20D9B49C" w:rsidR="00161EED" w:rsidRPr="000973F2" w:rsidRDefault="00161EED" w:rsidP="00252105">
      <w:pPr>
        <w:spacing w:line="240" w:lineRule="auto"/>
        <w:ind w:left="1440" w:hanging="1440"/>
        <w:rPr>
          <w:rFonts w:ascii="Times New Roman" w:hAnsi="Times New Roman" w:cs="Times New Roman"/>
        </w:rPr>
      </w:pPr>
      <w:r w:rsidRPr="000973F2">
        <w:rPr>
          <w:rFonts w:ascii="Times New Roman" w:hAnsi="Times New Roman" w:cs="Times New Roman"/>
          <w:b/>
        </w:rPr>
        <w:t>SF</w:t>
      </w:r>
      <w:r w:rsidRPr="000973F2">
        <w:rPr>
          <w:rFonts w:ascii="Times New Roman" w:hAnsi="Times New Roman" w:cs="Times New Roman"/>
          <w:b/>
          <w:vertAlign w:val="subscript"/>
        </w:rPr>
        <w:t>6</w:t>
      </w:r>
      <w:r w:rsidRPr="000973F2">
        <w:rPr>
          <w:rFonts w:ascii="Times New Roman" w:hAnsi="Times New Roman" w:cs="Times New Roman"/>
          <w:b/>
        </w:rPr>
        <w:tab/>
      </w:r>
      <w:r w:rsidR="002E3D4E" w:rsidRPr="000973F2">
        <w:rPr>
          <w:rFonts w:ascii="Times New Roman" w:hAnsi="Times New Roman" w:cs="Times New Roman"/>
        </w:rPr>
        <w:t>Sulfur hexafluoride</w:t>
      </w:r>
    </w:p>
    <w:p w14:paraId="5383A0A6" w14:textId="5AF2899B" w:rsidR="00025E97" w:rsidRPr="000973F2" w:rsidRDefault="00025E97" w:rsidP="00252105">
      <w:pPr>
        <w:spacing w:line="240" w:lineRule="auto"/>
        <w:ind w:left="1440" w:hanging="1440"/>
        <w:rPr>
          <w:rFonts w:ascii="Times New Roman" w:hAnsi="Times New Roman" w:cs="Times New Roman"/>
          <w:b/>
        </w:rPr>
      </w:pPr>
      <w:r w:rsidRPr="000973F2">
        <w:rPr>
          <w:rFonts w:ascii="Times New Roman" w:hAnsi="Times New Roman" w:cs="Times New Roman"/>
          <w:b/>
        </w:rPr>
        <w:t>TOC</w:t>
      </w:r>
      <w:r w:rsidR="00C20F02" w:rsidRPr="000973F2">
        <w:rPr>
          <w:rFonts w:ascii="Times New Roman" w:hAnsi="Times New Roman" w:cs="Times New Roman"/>
          <w:b/>
        </w:rPr>
        <w:tab/>
      </w:r>
      <w:r w:rsidR="00C20F02" w:rsidRPr="000973F2">
        <w:rPr>
          <w:rFonts w:ascii="Times New Roman" w:hAnsi="Times New Roman" w:cs="Times New Roman"/>
          <w:szCs w:val="24"/>
        </w:rPr>
        <w:t>Total organic carbon</w:t>
      </w:r>
    </w:p>
    <w:p w14:paraId="5FF37A8A" w14:textId="2595DD58" w:rsidR="00FD02DB" w:rsidRPr="000973F2" w:rsidRDefault="00FD02DB" w:rsidP="00252105">
      <w:pPr>
        <w:spacing w:line="240" w:lineRule="auto"/>
        <w:ind w:left="1440" w:hanging="1440"/>
        <w:rPr>
          <w:rFonts w:ascii="Times New Roman" w:hAnsi="Times New Roman" w:cs="Times New Roman"/>
          <w:b/>
        </w:rPr>
      </w:pPr>
      <w:r w:rsidRPr="000973F2">
        <w:rPr>
          <w:rFonts w:ascii="Times New Roman" w:hAnsi="Times New Roman" w:cs="Times New Roman"/>
          <w:b/>
        </w:rPr>
        <w:t>TSCA</w:t>
      </w:r>
      <w:r w:rsidR="00AB7629" w:rsidRPr="000973F2">
        <w:rPr>
          <w:rFonts w:ascii="Times New Roman" w:hAnsi="Times New Roman" w:cs="Times New Roman"/>
          <w:b/>
        </w:rPr>
        <w:tab/>
      </w:r>
      <w:r w:rsidR="00AB7629" w:rsidRPr="000973F2">
        <w:rPr>
          <w:rFonts w:ascii="Times New Roman" w:hAnsi="Times New Roman" w:cs="Times New Roman"/>
        </w:rPr>
        <w:t>Toxic Substances Control Act</w:t>
      </w:r>
    </w:p>
    <w:p w14:paraId="2EC6541A" w14:textId="0159513D" w:rsidR="00FD02DB" w:rsidRPr="000973F2" w:rsidRDefault="00FD02DB" w:rsidP="00252105">
      <w:pPr>
        <w:spacing w:line="240" w:lineRule="auto"/>
        <w:ind w:left="1440" w:hanging="1440"/>
        <w:rPr>
          <w:rFonts w:ascii="Times New Roman" w:hAnsi="Times New Roman" w:cs="Times New Roman"/>
          <w:b/>
        </w:rPr>
      </w:pPr>
      <w:r w:rsidRPr="000973F2">
        <w:rPr>
          <w:rFonts w:ascii="Times New Roman" w:hAnsi="Times New Roman" w:cs="Times New Roman"/>
          <w:b/>
        </w:rPr>
        <w:t>UIC</w:t>
      </w:r>
      <w:r w:rsidR="00AB7629" w:rsidRPr="000973F2">
        <w:rPr>
          <w:rFonts w:ascii="Times New Roman" w:hAnsi="Times New Roman" w:cs="Times New Roman"/>
          <w:b/>
        </w:rPr>
        <w:tab/>
      </w:r>
      <w:r w:rsidR="00AB7629" w:rsidRPr="000973F2">
        <w:rPr>
          <w:rFonts w:ascii="Times New Roman" w:hAnsi="Times New Roman"/>
        </w:rPr>
        <w:t>Underground Injection Control</w:t>
      </w:r>
    </w:p>
    <w:p w14:paraId="17BB3475" w14:textId="5A8E4396" w:rsidR="00FD02DB" w:rsidRPr="000973F2" w:rsidRDefault="00FD02DB" w:rsidP="00252105">
      <w:pPr>
        <w:spacing w:line="240" w:lineRule="auto"/>
        <w:ind w:left="1440" w:hanging="1440"/>
        <w:rPr>
          <w:rFonts w:ascii="Times New Roman" w:hAnsi="Times New Roman" w:cs="Times New Roman"/>
        </w:rPr>
      </w:pPr>
      <w:r w:rsidRPr="000973F2">
        <w:rPr>
          <w:rFonts w:ascii="Times New Roman" w:hAnsi="Times New Roman" w:cs="Times New Roman"/>
          <w:b/>
        </w:rPr>
        <w:t>XML</w:t>
      </w:r>
      <w:r w:rsidR="005F14DD" w:rsidRPr="000973F2">
        <w:rPr>
          <w:rFonts w:ascii="Times New Roman" w:hAnsi="Times New Roman" w:cs="Times New Roman"/>
          <w:b/>
        </w:rPr>
        <w:tab/>
      </w:r>
      <w:r w:rsidR="005F14DD" w:rsidRPr="000973F2">
        <w:rPr>
          <w:rFonts w:ascii="Times New Roman" w:hAnsi="Times New Roman" w:cs="Times New Roman"/>
        </w:rPr>
        <w:t>eXtensible Markup Language</w:t>
      </w:r>
    </w:p>
    <w:p w14:paraId="637AAB0A" w14:textId="7EA33132" w:rsidR="00161EED" w:rsidRPr="000973F2" w:rsidRDefault="00161EED" w:rsidP="00C00E4F">
      <w:pPr>
        <w:spacing w:line="240" w:lineRule="auto"/>
        <w:rPr>
          <w:rFonts w:ascii="Times New Roman" w:hAnsi="Times New Roman" w:cs="Times New Roman"/>
          <w:b/>
          <w:sz w:val="24"/>
        </w:rPr>
      </w:pPr>
      <w:r w:rsidRPr="000973F2">
        <w:rPr>
          <w:rFonts w:ascii="Times New Roman" w:hAnsi="Times New Roman" w:cs="Times New Roman"/>
          <w:b/>
          <w:sz w:val="24"/>
        </w:rPr>
        <w:br w:type="page"/>
      </w:r>
    </w:p>
    <w:p w14:paraId="470D8C19" w14:textId="77777777" w:rsidR="0001781A" w:rsidRPr="000973F2" w:rsidRDefault="0001781A" w:rsidP="00C00E4F">
      <w:pPr>
        <w:pStyle w:val="Heading1"/>
        <w:spacing w:line="240" w:lineRule="auto"/>
      </w:pPr>
      <w:bookmarkStart w:id="3" w:name="_Toc10715595"/>
      <w:r w:rsidRPr="000973F2">
        <w:t>Cost Appendix for Subpart C – General Stationary Combustion Sources</w:t>
      </w:r>
      <w:bookmarkEnd w:id="3"/>
    </w:p>
    <w:p w14:paraId="6DC481A8" w14:textId="77777777" w:rsidR="0001781A" w:rsidRPr="000973F2" w:rsidRDefault="0001781A" w:rsidP="00E71DEE">
      <w:pPr>
        <w:pStyle w:val="Heading2"/>
      </w:pPr>
      <w:r w:rsidRPr="000973F2">
        <w:t>Description of Subpart C</w:t>
      </w:r>
    </w:p>
    <w:p w14:paraId="26AEFD6C" w14:textId="3214F0D4" w:rsidR="0001781A" w:rsidRPr="000973F2" w:rsidRDefault="0001781A" w:rsidP="00CD7A06">
      <w:pPr>
        <w:pStyle w:val="BodyText"/>
      </w:pPr>
      <w:r w:rsidRPr="000973F2">
        <w:t>For purposes of the GHGRP, stationary fuel combustion source emissions</w:t>
      </w:r>
      <w:r w:rsidRPr="000973F2" w:rsidDel="008A55AC">
        <w:t xml:space="preserve"> </w:t>
      </w:r>
      <w:r w:rsidRPr="000973F2">
        <w:t>reported under Subpart C are from fuel combustion, resulting in the release of carbon dioxide (CO</w:t>
      </w:r>
      <w:r w:rsidRPr="000973F2">
        <w:rPr>
          <w:vertAlign w:val="subscript"/>
        </w:rPr>
        <w:t>2</w:t>
      </w:r>
      <w:r w:rsidRPr="000973F2">
        <w:t>), methane (CH</w:t>
      </w:r>
      <w:r w:rsidRPr="000973F2">
        <w:rPr>
          <w:vertAlign w:val="subscript"/>
        </w:rPr>
        <w:t>4</w:t>
      </w:r>
      <w:r w:rsidRPr="000973F2">
        <w:t>), and nitrous oxide (N</w:t>
      </w:r>
      <w:r w:rsidRPr="000973F2">
        <w:rPr>
          <w:vertAlign w:val="subscript"/>
        </w:rPr>
        <w:t>2</w:t>
      </w:r>
      <w:r w:rsidRPr="000973F2">
        <w:t>O). In RY2017, 5,276 facilities reported to Subpart C. The actual number of Subpart C facilities changes every year; on average, there were approximately 256 new facilities per year, over the past 5</w:t>
      </w:r>
      <w:r w:rsidR="00622EF9" w:rsidRPr="000973F2">
        <w:t> </w:t>
      </w:r>
      <w:r w:rsidRPr="000973F2">
        <w:t>years.</w:t>
      </w:r>
    </w:p>
    <w:p w14:paraId="223CE796" w14:textId="77777777" w:rsidR="0001781A" w:rsidRPr="000973F2" w:rsidRDefault="0001781A" w:rsidP="00CD7A06">
      <w:pPr>
        <w:pStyle w:val="BodyText"/>
      </w:pPr>
      <w:r w:rsidRPr="000973F2">
        <w:t>Facilities reporting to Subpart C must calculate CO</w:t>
      </w:r>
      <w:r w:rsidRPr="000973F2">
        <w:rPr>
          <w:vertAlign w:val="subscript"/>
        </w:rPr>
        <w:t>2</w:t>
      </w:r>
      <w:r w:rsidRPr="000973F2">
        <w:t xml:space="preserve"> emissions for each fuel combusted in each applicable unit using one of four methodological tiers, subject to certain restrictions based on unit size and fuel combusted; facilities that report year-round heat input data under 40 CFR Part 75 can use 40 CFR Part 75 methods. Included in Subpart C is Table C-1, which contains default CO</w:t>
      </w:r>
      <w:r w:rsidRPr="000973F2">
        <w:rPr>
          <w:vertAlign w:val="subscript"/>
        </w:rPr>
        <w:t>2</w:t>
      </w:r>
      <w:r w:rsidRPr="000973F2">
        <w:t xml:space="preserve"> emission factors and high heat values (HHV) for various types of fuel. Reporting of CO</w:t>
      </w:r>
      <w:r w:rsidRPr="000973F2">
        <w:rPr>
          <w:vertAlign w:val="subscript"/>
        </w:rPr>
        <w:t>2</w:t>
      </w:r>
      <w:r w:rsidRPr="000973F2">
        <w:t xml:space="preserve"> emissions is required for all fuel types, including those not listed in Tables C-1, with the exception of non-Table C-1 fuels combusted in units that are smaller than 250 million British thermal units per hour (mmBtu/hr). To calculate CH</w:t>
      </w:r>
      <w:r w:rsidRPr="000973F2">
        <w:rPr>
          <w:vertAlign w:val="subscript"/>
        </w:rPr>
        <w:t>4</w:t>
      </w:r>
      <w:r w:rsidRPr="000973F2">
        <w:t xml:space="preserve"> and N</w:t>
      </w:r>
      <w:r w:rsidRPr="000973F2">
        <w:rPr>
          <w:vertAlign w:val="subscript"/>
        </w:rPr>
        <w:t>2</w:t>
      </w:r>
      <w:r w:rsidRPr="000973F2">
        <w:t>O emissions, facilities must use default emission factors for each fuel, which are provided in Table C-2. CH</w:t>
      </w:r>
      <w:r w:rsidRPr="000973F2">
        <w:rPr>
          <w:vertAlign w:val="subscript"/>
        </w:rPr>
        <w:t>4</w:t>
      </w:r>
      <w:r w:rsidRPr="000973F2">
        <w:t xml:space="preserve"> and N</w:t>
      </w:r>
      <w:r w:rsidRPr="000973F2">
        <w:rPr>
          <w:vertAlign w:val="subscript"/>
        </w:rPr>
        <w:t>2</w:t>
      </w:r>
      <w:r w:rsidRPr="000973F2">
        <w:t>O emissions are not required to be reported for those fuels that are not listed in Table C-1, regardless of unit size. Facilities reporting to Subpart C determine fuel level emissions using one of the following approaches:</w:t>
      </w:r>
    </w:p>
    <w:p w14:paraId="158D26AF" w14:textId="77777777" w:rsidR="0001781A" w:rsidRPr="000973F2" w:rsidRDefault="0001781A" w:rsidP="00CD7A06">
      <w:pPr>
        <w:pStyle w:val="Bulletlist1"/>
      </w:pPr>
      <w:r w:rsidRPr="000973F2">
        <w:t>Tier 1 – CO</w:t>
      </w:r>
      <w:r w:rsidRPr="000973F2">
        <w:rPr>
          <w:vertAlign w:val="subscript"/>
        </w:rPr>
        <w:t>2</w:t>
      </w:r>
      <w:r w:rsidRPr="000973F2">
        <w:t>, CH</w:t>
      </w:r>
      <w:r w:rsidRPr="000973F2">
        <w:rPr>
          <w:vertAlign w:val="subscript"/>
        </w:rPr>
        <w:t>4</w:t>
      </w:r>
      <w:r w:rsidRPr="000973F2">
        <w:t>, and N</w:t>
      </w:r>
      <w:r w:rsidRPr="000973F2">
        <w:rPr>
          <w:vertAlign w:val="subscript"/>
        </w:rPr>
        <w:t>2</w:t>
      </w:r>
      <w:r w:rsidRPr="000973F2">
        <w:t>O emissions are estimated with Table C-1/C-2 default emission factors and default HHVs from Table C-1 multiplied by annual fuel use.</w:t>
      </w:r>
    </w:p>
    <w:p w14:paraId="6311BC19" w14:textId="77777777" w:rsidR="0001781A" w:rsidRPr="000973F2" w:rsidRDefault="0001781A" w:rsidP="00CD7A06">
      <w:pPr>
        <w:pStyle w:val="Bulletlist1"/>
      </w:pPr>
      <w:r w:rsidRPr="000973F2">
        <w:t>Tier 2 – CO</w:t>
      </w:r>
      <w:r w:rsidRPr="000973F2">
        <w:rPr>
          <w:vertAlign w:val="subscript"/>
        </w:rPr>
        <w:t>2</w:t>
      </w:r>
      <w:r w:rsidRPr="000973F2">
        <w:t>, CH</w:t>
      </w:r>
      <w:r w:rsidRPr="000973F2">
        <w:rPr>
          <w:vertAlign w:val="subscript"/>
        </w:rPr>
        <w:t>4</w:t>
      </w:r>
      <w:r w:rsidRPr="000973F2">
        <w:t>, and N</w:t>
      </w:r>
      <w:r w:rsidRPr="000973F2">
        <w:rPr>
          <w:vertAlign w:val="subscript"/>
        </w:rPr>
        <w:t>2</w:t>
      </w:r>
      <w:r w:rsidRPr="000973F2">
        <w:t>O emissions are estimated with Table C-1/C-2 default emission factors and measured HHV multiplied by annual fuel use. HHV sampling frequency (e.g., monthly, quarterly, semiannually, annually, or by lot) is fuel-specific and is provided in §98.34. Units that combust municipal solid waste (MSW) or other solid fuels and generate steam can use steam production (in place of fuel use) and Table C-1/C-2 default</w:t>
      </w:r>
      <w:r w:rsidRPr="000973F2" w:rsidDel="00953A08">
        <w:t xml:space="preserve"> </w:t>
      </w:r>
      <w:r w:rsidRPr="000973F2">
        <w:t>emission factors to estimate emissions.</w:t>
      </w:r>
    </w:p>
    <w:p w14:paraId="3A69F196" w14:textId="0CD7BB0A" w:rsidR="0001781A" w:rsidRPr="000973F2" w:rsidRDefault="0001781A" w:rsidP="00CD7A06">
      <w:pPr>
        <w:pStyle w:val="Bulletlist1"/>
      </w:pPr>
      <w:r w:rsidRPr="000973F2">
        <w:t>Tier 3 – CO</w:t>
      </w:r>
      <w:r w:rsidRPr="000973F2">
        <w:rPr>
          <w:vertAlign w:val="subscript"/>
        </w:rPr>
        <w:t>2</w:t>
      </w:r>
      <w:r w:rsidRPr="000973F2">
        <w:t xml:space="preserve"> emissions are estimated with measured carbon content, annual fuel use, and molecular weight (for gaseous fuels). Carbon content and molecular weight sampling frequency (e.g., monthly, quarterly, semiannually, annually, or by lot) is fuel-specific and is provided in §98.34. CH</w:t>
      </w:r>
      <w:r w:rsidRPr="000973F2">
        <w:rPr>
          <w:vertAlign w:val="subscript"/>
        </w:rPr>
        <w:t>4</w:t>
      </w:r>
      <w:r w:rsidRPr="000973F2">
        <w:t>, and N</w:t>
      </w:r>
      <w:r w:rsidRPr="000973F2">
        <w:rPr>
          <w:vertAlign w:val="subscript"/>
        </w:rPr>
        <w:t>2</w:t>
      </w:r>
      <w:r w:rsidRPr="000973F2">
        <w:t xml:space="preserve">O emissions are estimated with Table C-2 default emission factors, annual fuel use, and default or measured (optional) HHVs. </w:t>
      </w:r>
    </w:p>
    <w:p w14:paraId="0D65CD8E" w14:textId="36585A6A" w:rsidR="0001781A" w:rsidRPr="000973F2" w:rsidRDefault="0001781A" w:rsidP="00CD7A06">
      <w:pPr>
        <w:pStyle w:val="Bulletlist1"/>
      </w:pPr>
      <w:r w:rsidRPr="000973F2">
        <w:t>Tier 4 – CO</w:t>
      </w:r>
      <w:r w:rsidRPr="000973F2">
        <w:rPr>
          <w:vertAlign w:val="subscript"/>
        </w:rPr>
        <w:t>2</w:t>
      </w:r>
      <w:r w:rsidRPr="000973F2">
        <w:t xml:space="preserve"> emissions are estimated with CEMS. CH</w:t>
      </w:r>
      <w:r w:rsidRPr="000973F2">
        <w:rPr>
          <w:vertAlign w:val="subscript"/>
        </w:rPr>
        <w:t>4</w:t>
      </w:r>
      <w:r w:rsidRPr="000973F2">
        <w:t xml:space="preserve"> and N</w:t>
      </w:r>
      <w:r w:rsidRPr="000973F2">
        <w:rPr>
          <w:vertAlign w:val="subscript"/>
        </w:rPr>
        <w:t>2</w:t>
      </w:r>
      <w:r w:rsidRPr="000973F2">
        <w:t xml:space="preserve">O emissions are estimated with Table C-2 default emission factors </w:t>
      </w:r>
      <w:bookmarkStart w:id="4" w:name="_Hlk531247768"/>
      <w:r w:rsidRPr="000973F2">
        <w:t>and cumulative annual heat input.</w:t>
      </w:r>
      <w:bookmarkEnd w:id="4"/>
    </w:p>
    <w:p w14:paraId="158B6DB2" w14:textId="77777777" w:rsidR="0001781A" w:rsidRPr="000973F2" w:rsidRDefault="0001781A" w:rsidP="00CD7A06">
      <w:pPr>
        <w:pStyle w:val="Bulletlist1"/>
      </w:pPr>
      <w:r w:rsidRPr="000973F2">
        <w:t>Alternative 40 CFR Part 75 – CO</w:t>
      </w:r>
      <w:r w:rsidRPr="000973F2">
        <w:rPr>
          <w:vertAlign w:val="subscript"/>
        </w:rPr>
        <w:t>2</w:t>
      </w:r>
      <w:r w:rsidRPr="000973F2">
        <w:t xml:space="preserve"> emissions are estimated using the alternative CO</w:t>
      </w:r>
      <w:r w:rsidRPr="000973F2">
        <w:rPr>
          <w:vertAlign w:val="subscript"/>
        </w:rPr>
        <w:t>2</w:t>
      </w:r>
      <w:r w:rsidRPr="000973F2">
        <w:t xml:space="preserve"> mass emissions calculation methods in 40 CFR Part 75. CH</w:t>
      </w:r>
      <w:r w:rsidRPr="000973F2">
        <w:rPr>
          <w:vertAlign w:val="subscript"/>
        </w:rPr>
        <w:t>4</w:t>
      </w:r>
      <w:r w:rsidRPr="000973F2">
        <w:t xml:space="preserve"> and N</w:t>
      </w:r>
      <w:r w:rsidRPr="000973F2">
        <w:rPr>
          <w:vertAlign w:val="subscript"/>
        </w:rPr>
        <w:t>2</w:t>
      </w:r>
      <w:r w:rsidRPr="000973F2">
        <w:t>O emissions are estimated with Table C-2 default emission factors and cumulative annual heat input.</w:t>
      </w:r>
    </w:p>
    <w:p w14:paraId="20FC067B" w14:textId="76915C10" w:rsidR="0001781A" w:rsidRPr="000973F2" w:rsidRDefault="00883590" w:rsidP="00CD7A06">
      <w:pPr>
        <w:pStyle w:val="BodyTextfirst"/>
      </w:pPr>
      <w:r w:rsidRPr="000973F2">
        <w:t>In addition, Subpart C provides</w:t>
      </w:r>
      <w:r w:rsidR="0001781A" w:rsidRPr="000973F2">
        <w:t xml:space="preserve"> alternative reporting options for facilities with two or more small units that have a combined maximum rated heat input capacity of 250 mmBtu/hr or less. Those facilities may choose to report the combined emissions for the group of units in lieu of itemizing the GHG emissions from the individual units.</w:t>
      </w:r>
    </w:p>
    <w:p w14:paraId="7F9154BA" w14:textId="0D50BD4D" w:rsidR="0001781A" w:rsidRPr="000973F2" w:rsidRDefault="0001781A" w:rsidP="00CD7A06">
      <w:pPr>
        <w:pStyle w:val="BodyText"/>
      </w:pPr>
      <w:r w:rsidRPr="000973F2">
        <w:t>Facilities must also estimate biogenic CO</w:t>
      </w:r>
      <w:r w:rsidRPr="000973F2">
        <w:rPr>
          <w:vertAlign w:val="subscript"/>
        </w:rPr>
        <w:t>2</w:t>
      </w:r>
      <w:r w:rsidRPr="000973F2">
        <w:t xml:space="preserve"> emissions from combustion of the biomass fuels listed in Table</w:t>
      </w:r>
      <w:r w:rsidR="0085143F" w:rsidRPr="000973F2">
        <w:t> </w:t>
      </w:r>
      <w:r w:rsidRPr="000973F2">
        <w:t>C-1. Emissions generally may be estimated using the Tier 1 methodology described above. For units that combust municipal solid waste as the primary fuel or as the only fuel with a biogenic component, Subpar</w:t>
      </w:r>
      <w:r w:rsidR="00622EF9" w:rsidRPr="000973F2">
        <w:t>t </w:t>
      </w:r>
      <w:r w:rsidRPr="000973F2">
        <w:t xml:space="preserve">C requires quarterly </w:t>
      </w:r>
      <w:r w:rsidR="00AC18F5" w:rsidRPr="000973F2">
        <w:t>American Society for Testing and Materials (</w:t>
      </w:r>
      <w:r w:rsidRPr="000973F2">
        <w:t>ASTM</w:t>
      </w:r>
      <w:r w:rsidR="00AC18F5" w:rsidRPr="000973F2">
        <w:t>)</w:t>
      </w:r>
      <w:r w:rsidRPr="000973F2">
        <w:t xml:space="preserve"> method D7459-08 sampling and ASTM method D6866-08 analysis for determining the biogenic portion of CO</w:t>
      </w:r>
      <w:r w:rsidRPr="000973F2">
        <w:rPr>
          <w:vertAlign w:val="subscript"/>
        </w:rPr>
        <w:t>2</w:t>
      </w:r>
      <w:r w:rsidRPr="000973F2">
        <w:t xml:space="preserve"> emissions. These procedures also may be used for any unit that co-fires biomass and fossil fuels, including units equipped with a CO</w:t>
      </w:r>
      <w:r w:rsidRPr="000973F2">
        <w:rPr>
          <w:vertAlign w:val="subscript"/>
        </w:rPr>
        <w:t>2</w:t>
      </w:r>
      <w:r w:rsidRPr="000973F2">
        <w:t xml:space="preserve"> CEMS, and units for which optional separate reporting of biogenic CO</w:t>
      </w:r>
      <w:r w:rsidRPr="000973F2">
        <w:rPr>
          <w:vertAlign w:val="subscript"/>
        </w:rPr>
        <w:t>2</w:t>
      </w:r>
      <w:r w:rsidRPr="000973F2">
        <w:t xml:space="preserve"> emissions from the combustion of tires is selected.</w:t>
      </w:r>
    </w:p>
    <w:p w14:paraId="056C5EAE" w14:textId="77777777" w:rsidR="0001781A" w:rsidRPr="000973F2" w:rsidRDefault="0001781A" w:rsidP="00E71DEE">
      <w:pPr>
        <w:pStyle w:val="Heading2"/>
      </w:pPr>
      <w:r w:rsidRPr="000973F2">
        <w:t>Labor Costs for Subpart C</w:t>
      </w:r>
    </w:p>
    <w:p w14:paraId="2978FD79" w14:textId="3FDE399B" w:rsidR="0001781A" w:rsidRPr="000973F2" w:rsidRDefault="0001781A" w:rsidP="00CD7A06">
      <w:pPr>
        <w:pStyle w:val="BodyText"/>
      </w:pPr>
      <w:r w:rsidRPr="000973F2">
        <w:t xml:space="preserve">Appendix F to the Supporting Statement contains the burden and costs for Subpart C, including the detailed labor assumptions used for each activity required for each </w:t>
      </w:r>
      <w:r w:rsidR="00883590" w:rsidRPr="000973F2">
        <w:t>t</w:t>
      </w:r>
      <w:r w:rsidRPr="000973F2">
        <w:t>ier-specific approach in Subpart C. Subpart C costs are presented separately for facilities that reported only to Subpart C and for facilities that reported two or more subparts (i.e., Subpart C and an additional subpart). This is primarily due to</w:t>
      </w:r>
      <w:r w:rsidRPr="000973F2" w:rsidDel="00022AC3">
        <w:t xml:space="preserve"> </w:t>
      </w:r>
      <w:r w:rsidRPr="000973F2" w:rsidDel="001B18BF">
        <w:t>differing</w:t>
      </w:r>
      <w:r w:rsidRPr="000973F2" w:rsidDel="00022AC3">
        <w:t xml:space="preserve"> </w:t>
      </w:r>
      <w:r w:rsidRPr="000973F2" w:rsidDel="00951F7D">
        <w:t>planning</w:t>
      </w:r>
      <w:r w:rsidRPr="000973F2" w:rsidDel="00022AC3">
        <w:t xml:space="preserve"> costs</w:t>
      </w:r>
      <w:r w:rsidRPr="000973F2">
        <w:t>,</w:t>
      </w:r>
      <w:r w:rsidRPr="000973F2" w:rsidDel="00022AC3">
        <w:t xml:space="preserve"> </w:t>
      </w:r>
      <w:r w:rsidRPr="000973F2">
        <w:t xml:space="preserve">projected growth rates, and usage of each </w:t>
      </w:r>
      <w:r w:rsidR="00883590" w:rsidRPr="000973F2">
        <w:t>t</w:t>
      </w:r>
      <w:r w:rsidRPr="000973F2">
        <w:t>ier between facilities that report only to Subpart C and those that report Subpart C and at least one additional subpart. The costs in Appendix F to the Supporting Statement were calculated using the average number of fuels and the average number of combustion units per facility. The costs for Subpart C are presented as costs per facility to be consistent with all other subparts.</w:t>
      </w:r>
    </w:p>
    <w:p w14:paraId="21A0D0A4" w14:textId="4B54C21B" w:rsidR="0001781A" w:rsidRPr="000973F2" w:rsidRDefault="0001781A" w:rsidP="00CD7A06">
      <w:pPr>
        <w:pStyle w:val="BodyText"/>
      </w:pPr>
      <w:r w:rsidRPr="000973F2">
        <w:t>For facilities that reported only to Subpart C, costs and calculations are provided in Appendices F-1, F-2, and F-3 to the Supporting Statement for Years 1, 2, and 3 of the ICR Renewal period, respectively. The assumptions used to develop these costs are documented in Appendix F-4 to the Supporting Statement. For facilities that reported to Subpart C with at least one additional subpart, costs and calculations are provided in Appendices F-5, F-6, and F-7 to the Supporting Statement for Years 1, 2, and 3 of the ICR Renewal period, respectively, with assumptions provided in Appendix F-8 to the Supporting Statement. The total burden and costs for Subpart C are presented in Appendix F-9 to the Supporting Statement.</w:t>
      </w:r>
    </w:p>
    <w:p w14:paraId="3170FA92" w14:textId="68476648" w:rsidR="0001781A" w:rsidRPr="000973F2" w:rsidRDefault="0001781A" w:rsidP="00CD7A06">
      <w:pPr>
        <w:pStyle w:val="BodyText"/>
      </w:pPr>
      <w:r w:rsidRPr="000973F2">
        <w:t xml:space="preserve">In RY2017, 1,808 facilities reported only to Subpart C and 3,468 facilities reported Subpart C with at least one additional subpart. Note that facilities typically have multiple units and each unit may combust several fuels; as a result, facilities often report using multiple </w:t>
      </w:r>
      <w:r w:rsidR="00883590" w:rsidRPr="000973F2">
        <w:t xml:space="preserve">tier </w:t>
      </w:r>
      <w:r w:rsidRPr="000973F2">
        <w:t>calculation methodologies. Therefore</w:t>
      </w:r>
      <w:r w:rsidR="00302E41" w:rsidRPr="000973F2">
        <w:t>,</w:t>
      </w:r>
      <w:r w:rsidRPr="000973F2">
        <w:t xml:space="preserve"> the total number of facilities using each tier methodology will be greater than the total number of facilities that reported to Subpart C. It is expected that facility usage rate of each tier methodology will remain constant in future years. Of the Subpart C only facilities that reported in RY2017:</w:t>
      </w:r>
    </w:p>
    <w:p w14:paraId="56498875" w14:textId="77777777" w:rsidR="0001781A" w:rsidRPr="000973F2" w:rsidRDefault="0001781A" w:rsidP="00CD7A06">
      <w:pPr>
        <w:pStyle w:val="Bulletlist1"/>
      </w:pPr>
      <w:r w:rsidRPr="000973F2">
        <w:t xml:space="preserve">1,419 facilities used the Tier 1 methodology, </w:t>
      </w:r>
    </w:p>
    <w:p w14:paraId="5E04CD0A" w14:textId="77777777" w:rsidR="0001781A" w:rsidRPr="000973F2" w:rsidRDefault="0001781A" w:rsidP="00CD7A06">
      <w:pPr>
        <w:pStyle w:val="Bulletlist1"/>
      </w:pPr>
      <w:r w:rsidRPr="000973F2">
        <w:t>598 facilities used the Tier 2 methodology,</w:t>
      </w:r>
    </w:p>
    <w:p w14:paraId="793ADEFB" w14:textId="77777777" w:rsidR="0001781A" w:rsidRPr="000973F2" w:rsidRDefault="0001781A" w:rsidP="00CD7A06">
      <w:pPr>
        <w:pStyle w:val="Bulletlist1"/>
      </w:pPr>
      <w:r w:rsidRPr="000973F2">
        <w:t>69 facilities used the Tier 3 methodology,</w:t>
      </w:r>
    </w:p>
    <w:p w14:paraId="62894808" w14:textId="77777777" w:rsidR="0001781A" w:rsidRPr="000973F2" w:rsidRDefault="0001781A" w:rsidP="00CD7A06">
      <w:pPr>
        <w:pStyle w:val="Bulletlist1"/>
      </w:pPr>
      <w:r w:rsidRPr="000973F2">
        <w:t>63 facilities used the Tier 4 methodology, and</w:t>
      </w:r>
    </w:p>
    <w:p w14:paraId="479D36B1" w14:textId="77777777" w:rsidR="0001781A" w:rsidRPr="000973F2" w:rsidRDefault="0001781A" w:rsidP="00CD7A06">
      <w:pPr>
        <w:pStyle w:val="Bulletlist1"/>
      </w:pPr>
      <w:r w:rsidRPr="000973F2">
        <w:t>31 facilities used the Alternative 40 CFR Part 75 methodology.</w:t>
      </w:r>
    </w:p>
    <w:p w14:paraId="754811B1" w14:textId="77777777" w:rsidR="0001781A" w:rsidRPr="000973F2" w:rsidRDefault="0001781A" w:rsidP="00CD7A06">
      <w:pPr>
        <w:pStyle w:val="BodyTextfirst"/>
      </w:pPr>
      <w:r w:rsidRPr="000973F2">
        <w:t>In RY2017, the facilities that reported to Subpart C with at least one additional subpart used the following methodologies:</w:t>
      </w:r>
    </w:p>
    <w:p w14:paraId="68DBBAFE" w14:textId="77777777" w:rsidR="0001781A" w:rsidRPr="000973F2" w:rsidRDefault="0001781A" w:rsidP="00CD7A06">
      <w:pPr>
        <w:pStyle w:val="Bulletlist1"/>
      </w:pPr>
      <w:r w:rsidRPr="000973F2">
        <w:t xml:space="preserve">1,980 facilities used the Tier 1 methodology, </w:t>
      </w:r>
    </w:p>
    <w:p w14:paraId="50A1A0AD" w14:textId="77777777" w:rsidR="0001781A" w:rsidRPr="000973F2" w:rsidRDefault="0001781A" w:rsidP="00CD7A06">
      <w:pPr>
        <w:pStyle w:val="Bulletlist1"/>
      </w:pPr>
      <w:r w:rsidRPr="000973F2">
        <w:t>1,828 facilities used the Tier 2 methodology,</w:t>
      </w:r>
    </w:p>
    <w:p w14:paraId="639DF718" w14:textId="77777777" w:rsidR="0001781A" w:rsidRPr="000973F2" w:rsidRDefault="0001781A" w:rsidP="00CD7A06">
      <w:pPr>
        <w:pStyle w:val="Bulletlist1"/>
      </w:pPr>
      <w:r w:rsidRPr="000973F2">
        <w:t>234 facilities used the Tier 3 methodology,</w:t>
      </w:r>
    </w:p>
    <w:p w14:paraId="3E1D434A" w14:textId="77777777" w:rsidR="0001781A" w:rsidRPr="000973F2" w:rsidRDefault="0001781A" w:rsidP="00CD7A06">
      <w:pPr>
        <w:pStyle w:val="Bulletlist1"/>
      </w:pPr>
      <w:r w:rsidRPr="000973F2">
        <w:t>63 facilities used the Tier 4 methodology, and</w:t>
      </w:r>
    </w:p>
    <w:p w14:paraId="15E4357F" w14:textId="77777777" w:rsidR="00CD7A06" w:rsidRPr="000973F2" w:rsidRDefault="0001781A" w:rsidP="00CD7A06">
      <w:pPr>
        <w:pStyle w:val="Bulletlist1"/>
      </w:pPr>
      <w:r w:rsidRPr="000973F2">
        <w:t>31 facilities used the Alternative 40 CFR Part 75 methodology.</w:t>
      </w:r>
    </w:p>
    <w:p w14:paraId="59D4D971" w14:textId="77777777" w:rsidR="0001781A" w:rsidRPr="000973F2" w:rsidRDefault="0001781A" w:rsidP="00CD7A06">
      <w:pPr>
        <w:pStyle w:val="BodyTextfirst"/>
      </w:pPr>
      <w:r w:rsidRPr="000973F2">
        <w:t>On average, approximately 256 new facilities reported to Subpart C per reporting year. Of those new facilities, 95 facilities reported only to Subpart C, while the remaining 161 facilities reported to Subpart C with at least one additional subpart. In RY2017. the new facilities were divided among the five CO</w:t>
      </w:r>
      <w:r w:rsidRPr="000973F2">
        <w:rPr>
          <w:vertAlign w:val="subscript"/>
        </w:rPr>
        <w:t>2</w:t>
      </w:r>
      <w:r w:rsidRPr="000973F2">
        <w:t xml:space="preserve"> calculation methodologies as shown below:</w:t>
      </w:r>
    </w:p>
    <w:p w14:paraId="55A6B232" w14:textId="77777777" w:rsidR="0001781A" w:rsidRPr="000973F2" w:rsidRDefault="0001781A" w:rsidP="00CD7A06">
      <w:pPr>
        <w:pStyle w:val="Bulletlist1"/>
      </w:pPr>
      <w:r w:rsidRPr="000973F2">
        <w:t xml:space="preserve">Tier 1 methodology – 75 facilities per year reported only to Subpart C and 92 facilities per year reported to Subpart C with at least one additional subpart, </w:t>
      </w:r>
    </w:p>
    <w:p w14:paraId="770F0273" w14:textId="77777777" w:rsidR="0001781A" w:rsidRPr="000973F2" w:rsidRDefault="0001781A" w:rsidP="00CD7A06">
      <w:pPr>
        <w:pStyle w:val="Bulletlist1"/>
      </w:pPr>
      <w:r w:rsidRPr="000973F2">
        <w:t>Tier 2 methodology – 31 facilities per year reported only to Subpart C and 85 facilities per year reported to Subpart C with at least one additional subpart,</w:t>
      </w:r>
    </w:p>
    <w:p w14:paraId="15DDF143" w14:textId="77777777" w:rsidR="0001781A" w:rsidRPr="000973F2" w:rsidRDefault="0001781A" w:rsidP="00CD7A06">
      <w:pPr>
        <w:pStyle w:val="Bulletlist1"/>
      </w:pPr>
      <w:r w:rsidRPr="000973F2">
        <w:t>Tier 3 methodology – 4 facilities per year reported only to Subpart C and 11 facilities per year reported to Subpart C with at least one additional subpart,</w:t>
      </w:r>
    </w:p>
    <w:p w14:paraId="7E7D5800" w14:textId="77777777" w:rsidR="0001781A" w:rsidRPr="000973F2" w:rsidRDefault="0001781A" w:rsidP="00CD7A06">
      <w:pPr>
        <w:pStyle w:val="Bulletlist1"/>
      </w:pPr>
      <w:r w:rsidRPr="000973F2">
        <w:t>Tier 4 methodology – 3 facilities per year reported only to Subpart C and 3 facilities per year reported to Subpart C with at least one additional subpart, and</w:t>
      </w:r>
    </w:p>
    <w:p w14:paraId="29A5EED7" w14:textId="77777777" w:rsidR="0001781A" w:rsidRPr="000973F2" w:rsidRDefault="0001781A" w:rsidP="00CD7A06">
      <w:pPr>
        <w:pStyle w:val="Bulletlist1"/>
      </w:pPr>
      <w:r w:rsidRPr="000973F2">
        <w:t>Alternative 40 CFR Part 75 methodology – 2 facilities per year reported only to Subpart C and 1 facility per year reported to Subpart C with at least one additional subpart.</w:t>
      </w:r>
    </w:p>
    <w:p w14:paraId="5DC864E0" w14:textId="0856FFA6" w:rsidR="0001781A" w:rsidRPr="000973F2" w:rsidRDefault="0001781A" w:rsidP="00CD7A06">
      <w:pPr>
        <w:pStyle w:val="BodyTextfirst"/>
      </w:pPr>
      <w:r w:rsidRPr="000973F2">
        <w:t xml:space="preserve">Table </w:t>
      </w:r>
      <w:r w:rsidR="001A6C7E" w:rsidRPr="000973F2">
        <w:t>C-</w:t>
      </w:r>
      <w:r w:rsidRPr="000973F2">
        <w:t xml:space="preserve">1a and Table </w:t>
      </w:r>
      <w:r w:rsidR="001A6C7E" w:rsidRPr="000973F2">
        <w:t>C-</w:t>
      </w:r>
      <w:r w:rsidRPr="000973F2">
        <w:t xml:space="preserve">1b provide the new and existing facility counts (rounded) that have been used for each year of this ICR. It is expected that the same number of new facilities with the same breakdown among methodologies will report to Subpart C in each of the three years of this ICR. Note, the total number of new and existing facilities using each tier methodology, both in RY2017 and in Table </w:t>
      </w:r>
      <w:r w:rsidR="001A6C7E" w:rsidRPr="000973F2">
        <w:t>C-</w:t>
      </w:r>
      <w:r w:rsidRPr="000973F2">
        <w:t xml:space="preserve">1a and Table </w:t>
      </w:r>
      <w:r w:rsidR="001A6C7E" w:rsidRPr="000973F2">
        <w:t>C-</w:t>
      </w:r>
      <w:r w:rsidRPr="000973F2">
        <w:t xml:space="preserve">1b below, will be greater than the total number of new and existing facilities that reported to Subpart C because facilities typically have multiple units and </w:t>
      </w:r>
      <w:r w:rsidR="001813C6" w:rsidRPr="000973F2">
        <w:t>each</w:t>
      </w:r>
      <w:r w:rsidRPr="000973F2">
        <w:t xml:space="preserve"> unit may combust several fuels; as a result, facilities may report using multiple calculation methodologies.</w:t>
      </w:r>
    </w:p>
    <w:p w14:paraId="6BD2DD1C" w14:textId="2141D4B0" w:rsidR="0001781A" w:rsidRPr="000973F2" w:rsidRDefault="0001781A" w:rsidP="001A6C7E">
      <w:pPr>
        <w:pStyle w:val="Tabletitle"/>
      </w:pPr>
      <w:r w:rsidRPr="000973F2">
        <w:t xml:space="preserve">Table </w:t>
      </w:r>
      <w:r w:rsidR="00622EF9" w:rsidRPr="000973F2">
        <w:t>C</w:t>
      </w:r>
      <w:r w:rsidR="00CD7A06" w:rsidRPr="000973F2">
        <w:t>-</w:t>
      </w:r>
      <w:r w:rsidRPr="000973F2">
        <w:t xml:space="preserve">1a. Facility Counts Per Year by Calculation Methodology </w:t>
      </w:r>
      <w:r w:rsidR="00CD7A06" w:rsidRPr="000973F2">
        <w:t>–</w:t>
      </w:r>
      <w:r w:rsidRPr="000973F2">
        <w:t xml:space="preserve"> Subpart C Only</w:t>
      </w:r>
    </w:p>
    <w:tbl>
      <w:tblPr>
        <w:tblStyle w:val="PlainTable1"/>
        <w:tblW w:w="5000" w:type="pct"/>
        <w:jc w:val="left"/>
        <w:tblLayout w:type="fixed"/>
        <w:tblCellMar>
          <w:left w:w="115" w:type="dxa"/>
          <w:right w:w="115" w:type="dxa"/>
        </w:tblCellMar>
        <w:tblLook w:val="04A0" w:firstRow="1" w:lastRow="0" w:firstColumn="1" w:lastColumn="0" w:noHBand="0" w:noVBand="1"/>
      </w:tblPr>
      <w:tblGrid>
        <w:gridCol w:w="1464"/>
        <w:gridCol w:w="1353"/>
        <w:gridCol w:w="1355"/>
        <w:gridCol w:w="1354"/>
        <w:gridCol w:w="1355"/>
        <w:gridCol w:w="1354"/>
        <w:gridCol w:w="1355"/>
      </w:tblGrid>
      <w:tr w:rsidR="0001781A" w:rsidRPr="000973F2" w14:paraId="3CF3F6CC" w14:textId="77777777" w:rsidTr="001A6C7E">
        <w:trPr>
          <w:cnfStyle w:val="100000000000" w:firstRow="1" w:lastRow="0" w:firstColumn="0" w:lastColumn="0" w:oddVBand="0" w:evenVBand="0" w:oddHBand="0" w:evenHBand="0" w:firstRowFirstColumn="0" w:firstRowLastColumn="0" w:lastRowFirstColumn="0" w:lastRowLastColumn="0"/>
          <w:cantSplit/>
          <w:jc w:val="left"/>
        </w:trPr>
        <w:tc>
          <w:tcPr>
            <w:cnfStyle w:val="001000000000" w:firstRow="0" w:lastRow="0" w:firstColumn="1" w:lastColumn="0" w:oddVBand="0" w:evenVBand="0" w:oddHBand="0" w:evenHBand="0" w:firstRowFirstColumn="0" w:firstRowLastColumn="0" w:lastRowFirstColumn="0" w:lastRowLastColumn="0"/>
            <w:tcW w:w="1425" w:type="dxa"/>
            <w:vMerge w:val="restart"/>
            <w:vAlign w:val="top"/>
          </w:tcPr>
          <w:p w14:paraId="13795F0E" w14:textId="77777777" w:rsidR="0001781A" w:rsidRPr="000973F2" w:rsidRDefault="0001781A" w:rsidP="0085143F">
            <w:pPr>
              <w:spacing w:before="40" w:after="40"/>
              <w:rPr>
                <w:rFonts w:ascii="Times New Roman" w:hAnsi="Times New Roman" w:cs="Times New Roman"/>
                <w:b w:val="0"/>
                <w:sz w:val="18"/>
                <w:szCs w:val="18"/>
              </w:rPr>
            </w:pPr>
            <w:r w:rsidRPr="000973F2">
              <w:rPr>
                <w:rFonts w:ascii="Times New Roman" w:hAnsi="Times New Roman" w:cs="Times New Roman"/>
                <w:sz w:val="18"/>
                <w:szCs w:val="18"/>
              </w:rPr>
              <w:t>Calculation Methodology</w:t>
            </w:r>
          </w:p>
        </w:tc>
        <w:tc>
          <w:tcPr>
            <w:tcW w:w="2635" w:type="dxa"/>
            <w:gridSpan w:val="2"/>
            <w:vAlign w:val="top"/>
          </w:tcPr>
          <w:p w14:paraId="32405482" w14:textId="77777777" w:rsidR="0001781A" w:rsidRPr="000973F2" w:rsidRDefault="0001781A" w:rsidP="0085143F">
            <w:pPr>
              <w:spacing w:before="40" w:after="40"/>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sz w:val="18"/>
                <w:szCs w:val="18"/>
              </w:rPr>
            </w:pPr>
            <w:r w:rsidRPr="000973F2">
              <w:rPr>
                <w:rFonts w:ascii="Times New Roman" w:hAnsi="Times New Roman" w:cs="Times New Roman"/>
                <w:sz w:val="18"/>
                <w:szCs w:val="18"/>
              </w:rPr>
              <w:t>RY2019</w:t>
            </w:r>
          </w:p>
        </w:tc>
        <w:tc>
          <w:tcPr>
            <w:tcW w:w="2635" w:type="dxa"/>
            <w:gridSpan w:val="2"/>
            <w:vAlign w:val="top"/>
          </w:tcPr>
          <w:p w14:paraId="68F6D072" w14:textId="77777777" w:rsidR="0001781A" w:rsidRPr="000973F2" w:rsidRDefault="0001781A" w:rsidP="0085143F">
            <w:pPr>
              <w:spacing w:before="40" w:after="40"/>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sz w:val="18"/>
                <w:szCs w:val="18"/>
              </w:rPr>
            </w:pPr>
            <w:r w:rsidRPr="000973F2">
              <w:rPr>
                <w:rFonts w:ascii="Times New Roman" w:hAnsi="Times New Roman" w:cs="Times New Roman"/>
                <w:sz w:val="18"/>
                <w:szCs w:val="18"/>
              </w:rPr>
              <w:t>RY2020</w:t>
            </w:r>
          </w:p>
        </w:tc>
        <w:tc>
          <w:tcPr>
            <w:tcW w:w="2635" w:type="dxa"/>
            <w:gridSpan w:val="2"/>
            <w:vAlign w:val="top"/>
          </w:tcPr>
          <w:p w14:paraId="5FA7A1B8" w14:textId="77777777" w:rsidR="0001781A" w:rsidRPr="000973F2" w:rsidRDefault="0001781A" w:rsidP="0085143F">
            <w:pPr>
              <w:spacing w:before="40" w:after="40"/>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sz w:val="18"/>
                <w:szCs w:val="18"/>
              </w:rPr>
            </w:pPr>
            <w:r w:rsidRPr="000973F2">
              <w:rPr>
                <w:rFonts w:ascii="Times New Roman" w:hAnsi="Times New Roman" w:cs="Times New Roman"/>
                <w:sz w:val="18"/>
                <w:szCs w:val="18"/>
              </w:rPr>
              <w:t>RY2021</w:t>
            </w:r>
          </w:p>
        </w:tc>
      </w:tr>
      <w:tr w:rsidR="0001781A" w:rsidRPr="000973F2" w14:paraId="2D955179" w14:textId="77777777" w:rsidTr="001A6C7E">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1425" w:type="dxa"/>
            <w:vMerge/>
          </w:tcPr>
          <w:p w14:paraId="764FB99C" w14:textId="77777777" w:rsidR="0001781A" w:rsidRPr="000973F2" w:rsidRDefault="0001781A" w:rsidP="0085143F">
            <w:pPr>
              <w:spacing w:before="40" w:after="40"/>
              <w:rPr>
                <w:rFonts w:ascii="Times New Roman" w:hAnsi="Times New Roman" w:cs="Times New Roman"/>
                <w:b/>
                <w:sz w:val="18"/>
                <w:szCs w:val="18"/>
              </w:rPr>
            </w:pPr>
          </w:p>
        </w:tc>
        <w:tc>
          <w:tcPr>
            <w:tcW w:w="1317" w:type="dxa"/>
          </w:tcPr>
          <w:p w14:paraId="6B909D24" w14:textId="77777777" w:rsidR="0001781A" w:rsidRPr="000973F2" w:rsidRDefault="0001781A" w:rsidP="0085143F">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18"/>
                <w:szCs w:val="18"/>
              </w:rPr>
            </w:pPr>
            <w:r w:rsidRPr="000973F2">
              <w:rPr>
                <w:rFonts w:ascii="Times New Roman" w:hAnsi="Times New Roman" w:cs="Times New Roman"/>
                <w:b/>
                <w:sz w:val="18"/>
                <w:szCs w:val="18"/>
              </w:rPr>
              <w:t>New Facilities</w:t>
            </w:r>
          </w:p>
        </w:tc>
        <w:tc>
          <w:tcPr>
            <w:tcW w:w="1318" w:type="dxa"/>
          </w:tcPr>
          <w:p w14:paraId="25E95781" w14:textId="77777777" w:rsidR="0001781A" w:rsidRPr="000973F2" w:rsidRDefault="0001781A" w:rsidP="0085143F">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18"/>
                <w:szCs w:val="18"/>
              </w:rPr>
            </w:pPr>
            <w:r w:rsidRPr="000973F2">
              <w:rPr>
                <w:rFonts w:ascii="Times New Roman" w:hAnsi="Times New Roman" w:cs="Times New Roman"/>
                <w:b/>
                <w:sz w:val="18"/>
                <w:szCs w:val="18"/>
              </w:rPr>
              <w:t>Existing Facilities</w:t>
            </w:r>
          </w:p>
        </w:tc>
        <w:tc>
          <w:tcPr>
            <w:tcW w:w="1317" w:type="dxa"/>
          </w:tcPr>
          <w:p w14:paraId="03CEB939" w14:textId="77777777" w:rsidR="0001781A" w:rsidRPr="000973F2" w:rsidRDefault="0001781A" w:rsidP="0085143F">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18"/>
                <w:szCs w:val="18"/>
              </w:rPr>
            </w:pPr>
            <w:r w:rsidRPr="000973F2">
              <w:rPr>
                <w:rFonts w:ascii="Times New Roman" w:hAnsi="Times New Roman" w:cs="Times New Roman"/>
                <w:b/>
                <w:sz w:val="18"/>
                <w:szCs w:val="18"/>
              </w:rPr>
              <w:t>New Facilities</w:t>
            </w:r>
          </w:p>
        </w:tc>
        <w:tc>
          <w:tcPr>
            <w:tcW w:w="1318" w:type="dxa"/>
          </w:tcPr>
          <w:p w14:paraId="2CA46C84" w14:textId="77777777" w:rsidR="0001781A" w:rsidRPr="000973F2" w:rsidRDefault="0001781A" w:rsidP="0085143F">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18"/>
                <w:szCs w:val="18"/>
              </w:rPr>
            </w:pPr>
            <w:r w:rsidRPr="000973F2">
              <w:rPr>
                <w:rFonts w:ascii="Times New Roman" w:hAnsi="Times New Roman" w:cs="Times New Roman"/>
                <w:b/>
                <w:sz w:val="18"/>
                <w:szCs w:val="18"/>
              </w:rPr>
              <w:t>Existing Facilities</w:t>
            </w:r>
          </w:p>
        </w:tc>
        <w:tc>
          <w:tcPr>
            <w:tcW w:w="1317" w:type="dxa"/>
          </w:tcPr>
          <w:p w14:paraId="3AE3CF42" w14:textId="77777777" w:rsidR="0001781A" w:rsidRPr="000973F2" w:rsidRDefault="0001781A" w:rsidP="0085143F">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18"/>
                <w:szCs w:val="18"/>
              </w:rPr>
            </w:pPr>
            <w:r w:rsidRPr="000973F2">
              <w:rPr>
                <w:rFonts w:ascii="Times New Roman" w:hAnsi="Times New Roman" w:cs="Times New Roman"/>
                <w:b/>
                <w:sz w:val="18"/>
                <w:szCs w:val="18"/>
              </w:rPr>
              <w:t>New Facilities</w:t>
            </w:r>
          </w:p>
        </w:tc>
        <w:tc>
          <w:tcPr>
            <w:tcW w:w="1318" w:type="dxa"/>
          </w:tcPr>
          <w:p w14:paraId="5092DF82" w14:textId="77777777" w:rsidR="0001781A" w:rsidRPr="000973F2" w:rsidRDefault="0001781A" w:rsidP="0085143F">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18"/>
                <w:szCs w:val="18"/>
              </w:rPr>
            </w:pPr>
            <w:r w:rsidRPr="000973F2">
              <w:rPr>
                <w:rFonts w:ascii="Times New Roman" w:hAnsi="Times New Roman" w:cs="Times New Roman"/>
                <w:b/>
                <w:sz w:val="18"/>
                <w:szCs w:val="18"/>
              </w:rPr>
              <w:t>Existing Facilities</w:t>
            </w:r>
          </w:p>
        </w:tc>
      </w:tr>
      <w:tr w:rsidR="0001781A" w:rsidRPr="000973F2" w14:paraId="683F80E8" w14:textId="77777777" w:rsidTr="001A6C7E">
        <w:trPr>
          <w:cantSplit/>
        </w:trPr>
        <w:tc>
          <w:tcPr>
            <w:cnfStyle w:val="001000000000" w:firstRow="0" w:lastRow="0" w:firstColumn="1" w:lastColumn="0" w:oddVBand="0" w:evenVBand="0" w:oddHBand="0" w:evenHBand="0" w:firstRowFirstColumn="0" w:firstRowLastColumn="0" w:lastRowFirstColumn="0" w:lastRowLastColumn="0"/>
            <w:tcW w:w="1425" w:type="dxa"/>
          </w:tcPr>
          <w:p w14:paraId="5463613A" w14:textId="77777777" w:rsidR="0001781A" w:rsidRPr="000973F2" w:rsidRDefault="0001781A" w:rsidP="0085143F">
            <w:pPr>
              <w:spacing w:before="40" w:after="40"/>
              <w:rPr>
                <w:rFonts w:ascii="Times New Roman" w:hAnsi="Times New Roman" w:cs="Times New Roman"/>
                <w:sz w:val="18"/>
                <w:szCs w:val="18"/>
              </w:rPr>
            </w:pPr>
            <w:r w:rsidRPr="000973F2">
              <w:rPr>
                <w:rFonts w:ascii="Times New Roman" w:hAnsi="Times New Roman" w:cs="Times New Roman"/>
                <w:sz w:val="18"/>
                <w:szCs w:val="18"/>
              </w:rPr>
              <w:t>Tier 1</w:t>
            </w:r>
          </w:p>
        </w:tc>
        <w:tc>
          <w:tcPr>
            <w:tcW w:w="1317" w:type="dxa"/>
          </w:tcPr>
          <w:p w14:paraId="0395D8D9" w14:textId="77777777" w:rsidR="0001781A" w:rsidRPr="000973F2" w:rsidRDefault="0001781A" w:rsidP="001A6C7E">
            <w:pPr>
              <w:tabs>
                <w:tab w:val="decimal" w:pos="639"/>
              </w:tabs>
              <w:spacing w:before="40" w:after="4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0973F2">
              <w:rPr>
                <w:rFonts w:ascii="Times New Roman" w:hAnsi="Times New Roman" w:cs="Times New Roman"/>
                <w:sz w:val="18"/>
                <w:szCs w:val="18"/>
              </w:rPr>
              <w:t>75</w:t>
            </w:r>
          </w:p>
        </w:tc>
        <w:tc>
          <w:tcPr>
            <w:tcW w:w="1318" w:type="dxa"/>
          </w:tcPr>
          <w:p w14:paraId="26ACAA17" w14:textId="77777777" w:rsidR="0001781A" w:rsidRPr="000973F2" w:rsidRDefault="0001781A" w:rsidP="001A6C7E">
            <w:pPr>
              <w:tabs>
                <w:tab w:val="decimal" w:pos="664"/>
              </w:tabs>
              <w:spacing w:before="40" w:after="4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0973F2">
              <w:rPr>
                <w:rFonts w:ascii="Times New Roman" w:hAnsi="Times New Roman" w:cs="Times New Roman"/>
                <w:sz w:val="18"/>
                <w:szCs w:val="18"/>
              </w:rPr>
              <w:t>1,494</w:t>
            </w:r>
          </w:p>
        </w:tc>
        <w:tc>
          <w:tcPr>
            <w:tcW w:w="1317" w:type="dxa"/>
          </w:tcPr>
          <w:p w14:paraId="4906031B" w14:textId="77777777" w:rsidR="0001781A" w:rsidRPr="000973F2" w:rsidRDefault="0001781A" w:rsidP="001A6C7E">
            <w:pPr>
              <w:tabs>
                <w:tab w:val="decimal" w:pos="639"/>
              </w:tabs>
              <w:spacing w:before="40" w:after="4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0973F2">
              <w:rPr>
                <w:rFonts w:ascii="Times New Roman" w:hAnsi="Times New Roman" w:cs="Times New Roman"/>
                <w:sz w:val="18"/>
                <w:szCs w:val="18"/>
              </w:rPr>
              <w:t>75</w:t>
            </w:r>
          </w:p>
        </w:tc>
        <w:tc>
          <w:tcPr>
            <w:tcW w:w="1318" w:type="dxa"/>
          </w:tcPr>
          <w:p w14:paraId="06B1F8FB" w14:textId="77777777" w:rsidR="0001781A" w:rsidRPr="000973F2" w:rsidRDefault="0001781A" w:rsidP="001A6C7E">
            <w:pPr>
              <w:tabs>
                <w:tab w:val="decimal" w:pos="740"/>
              </w:tabs>
              <w:spacing w:before="40" w:after="4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0973F2">
              <w:rPr>
                <w:rFonts w:ascii="Times New Roman" w:hAnsi="Times New Roman" w:cs="Times New Roman"/>
                <w:sz w:val="18"/>
                <w:szCs w:val="18"/>
              </w:rPr>
              <w:t>1,568</w:t>
            </w:r>
          </w:p>
        </w:tc>
        <w:tc>
          <w:tcPr>
            <w:tcW w:w="1317" w:type="dxa"/>
          </w:tcPr>
          <w:p w14:paraId="74A96450" w14:textId="77777777" w:rsidR="0001781A" w:rsidRPr="000973F2" w:rsidRDefault="0001781A" w:rsidP="001A6C7E">
            <w:pPr>
              <w:tabs>
                <w:tab w:val="decimal" w:pos="639"/>
              </w:tabs>
              <w:spacing w:before="40" w:after="4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0973F2">
              <w:rPr>
                <w:rFonts w:ascii="Times New Roman" w:hAnsi="Times New Roman" w:cs="Times New Roman"/>
                <w:sz w:val="18"/>
                <w:szCs w:val="18"/>
              </w:rPr>
              <w:t>75</w:t>
            </w:r>
          </w:p>
        </w:tc>
        <w:tc>
          <w:tcPr>
            <w:tcW w:w="1318" w:type="dxa"/>
          </w:tcPr>
          <w:p w14:paraId="217A3492" w14:textId="77777777" w:rsidR="0001781A" w:rsidRPr="000973F2" w:rsidRDefault="0001781A" w:rsidP="001A6C7E">
            <w:pPr>
              <w:tabs>
                <w:tab w:val="decimal" w:pos="691"/>
              </w:tabs>
              <w:spacing w:before="40" w:after="4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0973F2">
              <w:rPr>
                <w:rFonts w:ascii="Times New Roman" w:hAnsi="Times New Roman" w:cs="Times New Roman"/>
                <w:sz w:val="18"/>
                <w:szCs w:val="18"/>
              </w:rPr>
              <w:t>1,643</w:t>
            </w:r>
          </w:p>
        </w:tc>
      </w:tr>
      <w:tr w:rsidR="0001781A" w:rsidRPr="000973F2" w14:paraId="1979C901" w14:textId="77777777" w:rsidTr="001A6C7E">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1425" w:type="dxa"/>
          </w:tcPr>
          <w:p w14:paraId="67412323" w14:textId="77777777" w:rsidR="0001781A" w:rsidRPr="000973F2" w:rsidRDefault="0001781A" w:rsidP="0085143F">
            <w:pPr>
              <w:spacing w:before="40" w:after="40"/>
              <w:rPr>
                <w:rFonts w:ascii="Times New Roman" w:hAnsi="Times New Roman" w:cs="Times New Roman"/>
                <w:sz w:val="18"/>
                <w:szCs w:val="18"/>
              </w:rPr>
            </w:pPr>
            <w:r w:rsidRPr="000973F2">
              <w:rPr>
                <w:rFonts w:ascii="Times New Roman" w:hAnsi="Times New Roman" w:cs="Times New Roman"/>
                <w:sz w:val="18"/>
                <w:szCs w:val="18"/>
              </w:rPr>
              <w:t>Tier 2</w:t>
            </w:r>
          </w:p>
        </w:tc>
        <w:tc>
          <w:tcPr>
            <w:tcW w:w="1317" w:type="dxa"/>
          </w:tcPr>
          <w:p w14:paraId="48EDF445" w14:textId="77777777" w:rsidR="0001781A" w:rsidRPr="000973F2" w:rsidRDefault="0001781A" w:rsidP="001A6C7E">
            <w:pPr>
              <w:tabs>
                <w:tab w:val="decimal" w:pos="639"/>
              </w:tabs>
              <w:spacing w:before="40" w:after="4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rPr>
            </w:pPr>
            <w:r w:rsidRPr="000973F2">
              <w:rPr>
                <w:rFonts w:ascii="Times New Roman" w:hAnsi="Times New Roman" w:cs="Times New Roman"/>
                <w:sz w:val="18"/>
                <w:szCs w:val="18"/>
              </w:rPr>
              <w:t>31</w:t>
            </w:r>
          </w:p>
        </w:tc>
        <w:tc>
          <w:tcPr>
            <w:tcW w:w="1318" w:type="dxa"/>
          </w:tcPr>
          <w:p w14:paraId="6BC0CCE3" w14:textId="77777777" w:rsidR="0001781A" w:rsidRPr="000973F2" w:rsidRDefault="0001781A" w:rsidP="001A6C7E">
            <w:pPr>
              <w:tabs>
                <w:tab w:val="decimal" w:pos="664"/>
              </w:tabs>
              <w:spacing w:before="40" w:after="4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rPr>
            </w:pPr>
            <w:r w:rsidRPr="000973F2">
              <w:rPr>
                <w:rFonts w:ascii="Times New Roman" w:hAnsi="Times New Roman" w:cs="Times New Roman"/>
                <w:sz w:val="18"/>
                <w:szCs w:val="18"/>
              </w:rPr>
              <w:t>629</w:t>
            </w:r>
          </w:p>
        </w:tc>
        <w:tc>
          <w:tcPr>
            <w:tcW w:w="1317" w:type="dxa"/>
          </w:tcPr>
          <w:p w14:paraId="5E8107CA" w14:textId="77777777" w:rsidR="0001781A" w:rsidRPr="000973F2" w:rsidRDefault="0001781A" w:rsidP="001A6C7E">
            <w:pPr>
              <w:tabs>
                <w:tab w:val="decimal" w:pos="639"/>
              </w:tabs>
              <w:spacing w:before="40" w:after="4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rPr>
            </w:pPr>
            <w:r w:rsidRPr="000973F2">
              <w:rPr>
                <w:rFonts w:ascii="Times New Roman" w:hAnsi="Times New Roman" w:cs="Times New Roman"/>
                <w:sz w:val="18"/>
                <w:szCs w:val="18"/>
              </w:rPr>
              <w:t>31</w:t>
            </w:r>
          </w:p>
        </w:tc>
        <w:tc>
          <w:tcPr>
            <w:tcW w:w="1318" w:type="dxa"/>
          </w:tcPr>
          <w:p w14:paraId="1714BCCF" w14:textId="77777777" w:rsidR="0001781A" w:rsidRPr="000973F2" w:rsidRDefault="0001781A" w:rsidP="001A6C7E">
            <w:pPr>
              <w:tabs>
                <w:tab w:val="decimal" w:pos="740"/>
              </w:tabs>
              <w:spacing w:before="40" w:after="4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rPr>
            </w:pPr>
            <w:r w:rsidRPr="000973F2">
              <w:rPr>
                <w:rFonts w:ascii="Times New Roman" w:hAnsi="Times New Roman" w:cs="Times New Roman"/>
                <w:sz w:val="18"/>
                <w:szCs w:val="18"/>
              </w:rPr>
              <w:t>661</w:t>
            </w:r>
          </w:p>
        </w:tc>
        <w:tc>
          <w:tcPr>
            <w:tcW w:w="1317" w:type="dxa"/>
          </w:tcPr>
          <w:p w14:paraId="119BFE4F" w14:textId="77777777" w:rsidR="0001781A" w:rsidRPr="000973F2" w:rsidRDefault="0001781A" w:rsidP="001A6C7E">
            <w:pPr>
              <w:tabs>
                <w:tab w:val="decimal" w:pos="639"/>
              </w:tabs>
              <w:spacing w:before="40" w:after="4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rPr>
            </w:pPr>
            <w:r w:rsidRPr="000973F2">
              <w:rPr>
                <w:rFonts w:ascii="Times New Roman" w:hAnsi="Times New Roman" w:cs="Times New Roman"/>
                <w:sz w:val="18"/>
                <w:szCs w:val="18"/>
              </w:rPr>
              <w:t>31</w:t>
            </w:r>
          </w:p>
        </w:tc>
        <w:tc>
          <w:tcPr>
            <w:tcW w:w="1318" w:type="dxa"/>
          </w:tcPr>
          <w:p w14:paraId="2877DD84" w14:textId="77777777" w:rsidR="0001781A" w:rsidRPr="000973F2" w:rsidRDefault="0001781A" w:rsidP="001A6C7E">
            <w:pPr>
              <w:tabs>
                <w:tab w:val="decimal" w:pos="691"/>
              </w:tabs>
              <w:spacing w:before="40" w:after="4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rPr>
            </w:pPr>
            <w:r w:rsidRPr="000973F2">
              <w:rPr>
                <w:rFonts w:ascii="Times New Roman" w:hAnsi="Times New Roman" w:cs="Times New Roman"/>
                <w:sz w:val="18"/>
                <w:szCs w:val="18"/>
              </w:rPr>
              <w:t>692</w:t>
            </w:r>
          </w:p>
        </w:tc>
      </w:tr>
      <w:tr w:rsidR="0001781A" w:rsidRPr="000973F2" w14:paraId="2C896516" w14:textId="77777777" w:rsidTr="001A6C7E">
        <w:trPr>
          <w:cantSplit/>
        </w:trPr>
        <w:tc>
          <w:tcPr>
            <w:cnfStyle w:val="001000000000" w:firstRow="0" w:lastRow="0" w:firstColumn="1" w:lastColumn="0" w:oddVBand="0" w:evenVBand="0" w:oddHBand="0" w:evenHBand="0" w:firstRowFirstColumn="0" w:firstRowLastColumn="0" w:lastRowFirstColumn="0" w:lastRowLastColumn="0"/>
            <w:tcW w:w="1425" w:type="dxa"/>
          </w:tcPr>
          <w:p w14:paraId="7020D9BE" w14:textId="77777777" w:rsidR="0001781A" w:rsidRPr="000973F2" w:rsidRDefault="0001781A" w:rsidP="0085143F">
            <w:pPr>
              <w:spacing w:before="40" w:after="40"/>
              <w:rPr>
                <w:rFonts w:ascii="Times New Roman" w:hAnsi="Times New Roman" w:cs="Times New Roman"/>
                <w:sz w:val="18"/>
                <w:szCs w:val="18"/>
              </w:rPr>
            </w:pPr>
            <w:r w:rsidRPr="000973F2">
              <w:rPr>
                <w:rFonts w:ascii="Times New Roman" w:hAnsi="Times New Roman" w:cs="Times New Roman"/>
                <w:sz w:val="18"/>
                <w:szCs w:val="18"/>
              </w:rPr>
              <w:t>Tier 3</w:t>
            </w:r>
          </w:p>
        </w:tc>
        <w:tc>
          <w:tcPr>
            <w:tcW w:w="1317" w:type="dxa"/>
          </w:tcPr>
          <w:p w14:paraId="374E3893" w14:textId="77777777" w:rsidR="0001781A" w:rsidRPr="000973F2" w:rsidRDefault="0001781A" w:rsidP="001A6C7E">
            <w:pPr>
              <w:tabs>
                <w:tab w:val="decimal" w:pos="639"/>
              </w:tabs>
              <w:spacing w:before="40" w:after="4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0973F2">
              <w:rPr>
                <w:rFonts w:ascii="Times New Roman" w:hAnsi="Times New Roman" w:cs="Times New Roman"/>
                <w:sz w:val="18"/>
                <w:szCs w:val="18"/>
              </w:rPr>
              <w:t>4</w:t>
            </w:r>
          </w:p>
        </w:tc>
        <w:tc>
          <w:tcPr>
            <w:tcW w:w="1318" w:type="dxa"/>
          </w:tcPr>
          <w:p w14:paraId="4EDD1E44" w14:textId="77777777" w:rsidR="0001781A" w:rsidRPr="000973F2" w:rsidRDefault="0001781A" w:rsidP="001A6C7E">
            <w:pPr>
              <w:tabs>
                <w:tab w:val="decimal" w:pos="664"/>
              </w:tabs>
              <w:spacing w:before="40" w:after="4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0973F2">
              <w:rPr>
                <w:rFonts w:ascii="Times New Roman" w:hAnsi="Times New Roman" w:cs="Times New Roman"/>
                <w:sz w:val="18"/>
                <w:szCs w:val="18"/>
              </w:rPr>
              <w:t>73</w:t>
            </w:r>
          </w:p>
        </w:tc>
        <w:tc>
          <w:tcPr>
            <w:tcW w:w="1317" w:type="dxa"/>
          </w:tcPr>
          <w:p w14:paraId="13DEFFC1" w14:textId="77777777" w:rsidR="0001781A" w:rsidRPr="000973F2" w:rsidRDefault="0001781A" w:rsidP="001A6C7E">
            <w:pPr>
              <w:tabs>
                <w:tab w:val="decimal" w:pos="639"/>
              </w:tabs>
              <w:spacing w:before="40" w:after="4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0973F2">
              <w:rPr>
                <w:rFonts w:ascii="Times New Roman" w:hAnsi="Times New Roman" w:cs="Times New Roman"/>
                <w:sz w:val="18"/>
                <w:szCs w:val="18"/>
              </w:rPr>
              <w:t>4</w:t>
            </w:r>
          </w:p>
        </w:tc>
        <w:tc>
          <w:tcPr>
            <w:tcW w:w="1318" w:type="dxa"/>
          </w:tcPr>
          <w:p w14:paraId="6D065BEA" w14:textId="77777777" w:rsidR="0001781A" w:rsidRPr="000973F2" w:rsidRDefault="0001781A" w:rsidP="001A6C7E">
            <w:pPr>
              <w:tabs>
                <w:tab w:val="decimal" w:pos="740"/>
              </w:tabs>
              <w:spacing w:before="40" w:after="4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0973F2">
              <w:rPr>
                <w:rFonts w:ascii="Times New Roman" w:hAnsi="Times New Roman" w:cs="Times New Roman"/>
                <w:sz w:val="18"/>
                <w:szCs w:val="18"/>
              </w:rPr>
              <w:t>76</w:t>
            </w:r>
          </w:p>
        </w:tc>
        <w:tc>
          <w:tcPr>
            <w:tcW w:w="1317" w:type="dxa"/>
          </w:tcPr>
          <w:p w14:paraId="280100D1" w14:textId="77777777" w:rsidR="0001781A" w:rsidRPr="000973F2" w:rsidRDefault="0001781A" w:rsidP="001A6C7E">
            <w:pPr>
              <w:tabs>
                <w:tab w:val="decimal" w:pos="639"/>
              </w:tabs>
              <w:spacing w:before="40" w:after="4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0973F2">
              <w:rPr>
                <w:rFonts w:ascii="Times New Roman" w:hAnsi="Times New Roman" w:cs="Times New Roman"/>
                <w:sz w:val="18"/>
                <w:szCs w:val="18"/>
              </w:rPr>
              <w:t>4</w:t>
            </w:r>
          </w:p>
        </w:tc>
        <w:tc>
          <w:tcPr>
            <w:tcW w:w="1318" w:type="dxa"/>
          </w:tcPr>
          <w:p w14:paraId="49891F7A" w14:textId="77777777" w:rsidR="0001781A" w:rsidRPr="000973F2" w:rsidRDefault="0001781A" w:rsidP="001A6C7E">
            <w:pPr>
              <w:tabs>
                <w:tab w:val="decimal" w:pos="691"/>
              </w:tabs>
              <w:spacing w:before="40" w:after="4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0973F2">
              <w:rPr>
                <w:rFonts w:ascii="Times New Roman" w:hAnsi="Times New Roman" w:cs="Times New Roman"/>
                <w:sz w:val="18"/>
                <w:szCs w:val="18"/>
              </w:rPr>
              <w:t>80</w:t>
            </w:r>
          </w:p>
        </w:tc>
      </w:tr>
      <w:tr w:rsidR="0001781A" w:rsidRPr="000973F2" w14:paraId="67B21569" w14:textId="77777777" w:rsidTr="001A6C7E">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1425" w:type="dxa"/>
          </w:tcPr>
          <w:p w14:paraId="2DF7C7B2" w14:textId="77777777" w:rsidR="0001781A" w:rsidRPr="000973F2" w:rsidRDefault="0001781A" w:rsidP="0085143F">
            <w:pPr>
              <w:spacing w:before="40" w:after="40"/>
              <w:rPr>
                <w:rFonts w:ascii="Times New Roman" w:hAnsi="Times New Roman" w:cs="Times New Roman"/>
                <w:sz w:val="18"/>
                <w:szCs w:val="18"/>
              </w:rPr>
            </w:pPr>
            <w:r w:rsidRPr="000973F2">
              <w:rPr>
                <w:rFonts w:ascii="Times New Roman" w:hAnsi="Times New Roman" w:cs="Times New Roman"/>
                <w:sz w:val="18"/>
                <w:szCs w:val="18"/>
              </w:rPr>
              <w:t>Tier 4</w:t>
            </w:r>
          </w:p>
        </w:tc>
        <w:tc>
          <w:tcPr>
            <w:tcW w:w="1317" w:type="dxa"/>
          </w:tcPr>
          <w:p w14:paraId="15B4D52D" w14:textId="77777777" w:rsidR="0001781A" w:rsidRPr="000973F2" w:rsidRDefault="0001781A" w:rsidP="001A6C7E">
            <w:pPr>
              <w:tabs>
                <w:tab w:val="decimal" w:pos="639"/>
              </w:tabs>
              <w:spacing w:before="40" w:after="4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rPr>
            </w:pPr>
            <w:r w:rsidRPr="000973F2">
              <w:rPr>
                <w:rFonts w:ascii="Times New Roman" w:hAnsi="Times New Roman" w:cs="Times New Roman"/>
                <w:sz w:val="18"/>
                <w:szCs w:val="18"/>
              </w:rPr>
              <w:t>3</w:t>
            </w:r>
          </w:p>
        </w:tc>
        <w:tc>
          <w:tcPr>
            <w:tcW w:w="1318" w:type="dxa"/>
          </w:tcPr>
          <w:p w14:paraId="5562ED32" w14:textId="77777777" w:rsidR="0001781A" w:rsidRPr="000973F2" w:rsidRDefault="0001781A" w:rsidP="001A6C7E">
            <w:pPr>
              <w:tabs>
                <w:tab w:val="decimal" w:pos="664"/>
              </w:tabs>
              <w:spacing w:before="40" w:after="4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rPr>
            </w:pPr>
            <w:r w:rsidRPr="000973F2">
              <w:rPr>
                <w:rFonts w:ascii="Times New Roman" w:hAnsi="Times New Roman" w:cs="Times New Roman"/>
                <w:sz w:val="18"/>
                <w:szCs w:val="18"/>
              </w:rPr>
              <w:t>66</w:t>
            </w:r>
          </w:p>
        </w:tc>
        <w:tc>
          <w:tcPr>
            <w:tcW w:w="1317" w:type="dxa"/>
          </w:tcPr>
          <w:p w14:paraId="4F328CCD" w14:textId="77777777" w:rsidR="0001781A" w:rsidRPr="000973F2" w:rsidRDefault="0001781A" w:rsidP="001A6C7E">
            <w:pPr>
              <w:tabs>
                <w:tab w:val="decimal" w:pos="639"/>
              </w:tabs>
              <w:spacing w:before="40" w:after="4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rPr>
            </w:pPr>
            <w:r w:rsidRPr="000973F2">
              <w:rPr>
                <w:rFonts w:ascii="Times New Roman" w:hAnsi="Times New Roman" w:cs="Times New Roman"/>
                <w:sz w:val="18"/>
                <w:szCs w:val="18"/>
              </w:rPr>
              <w:t>3</w:t>
            </w:r>
          </w:p>
        </w:tc>
        <w:tc>
          <w:tcPr>
            <w:tcW w:w="1318" w:type="dxa"/>
          </w:tcPr>
          <w:p w14:paraId="6150750E" w14:textId="77777777" w:rsidR="0001781A" w:rsidRPr="000973F2" w:rsidRDefault="0001781A" w:rsidP="001A6C7E">
            <w:pPr>
              <w:tabs>
                <w:tab w:val="decimal" w:pos="740"/>
              </w:tabs>
              <w:spacing w:before="40" w:after="4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rPr>
            </w:pPr>
            <w:r w:rsidRPr="000973F2">
              <w:rPr>
                <w:rFonts w:ascii="Times New Roman" w:hAnsi="Times New Roman" w:cs="Times New Roman"/>
                <w:sz w:val="18"/>
                <w:szCs w:val="18"/>
              </w:rPr>
              <w:t>70</w:t>
            </w:r>
          </w:p>
        </w:tc>
        <w:tc>
          <w:tcPr>
            <w:tcW w:w="1317" w:type="dxa"/>
          </w:tcPr>
          <w:p w14:paraId="66A77918" w14:textId="77777777" w:rsidR="0001781A" w:rsidRPr="000973F2" w:rsidRDefault="0001781A" w:rsidP="001A6C7E">
            <w:pPr>
              <w:tabs>
                <w:tab w:val="decimal" w:pos="639"/>
              </w:tabs>
              <w:spacing w:before="40" w:after="4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rPr>
            </w:pPr>
            <w:r w:rsidRPr="000973F2">
              <w:rPr>
                <w:rFonts w:ascii="Times New Roman" w:hAnsi="Times New Roman" w:cs="Times New Roman"/>
                <w:sz w:val="18"/>
                <w:szCs w:val="18"/>
              </w:rPr>
              <w:t>3</w:t>
            </w:r>
          </w:p>
        </w:tc>
        <w:tc>
          <w:tcPr>
            <w:tcW w:w="1318" w:type="dxa"/>
          </w:tcPr>
          <w:p w14:paraId="41DD73D9" w14:textId="77777777" w:rsidR="0001781A" w:rsidRPr="000973F2" w:rsidRDefault="0001781A" w:rsidP="001A6C7E">
            <w:pPr>
              <w:tabs>
                <w:tab w:val="decimal" w:pos="691"/>
              </w:tabs>
              <w:spacing w:before="40" w:after="4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rPr>
            </w:pPr>
            <w:r w:rsidRPr="000973F2">
              <w:rPr>
                <w:rFonts w:ascii="Times New Roman" w:hAnsi="Times New Roman" w:cs="Times New Roman"/>
                <w:sz w:val="18"/>
                <w:szCs w:val="18"/>
              </w:rPr>
              <w:t>73</w:t>
            </w:r>
          </w:p>
        </w:tc>
      </w:tr>
      <w:tr w:rsidR="0001781A" w:rsidRPr="000973F2" w14:paraId="3E5D43C4" w14:textId="77777777" w:rsidTr="001A6C7E">
        <w:trPr>
          <w:cantSplit/>
        </w:trPr>
        <w:tc>
          <w:tcPr>
            <w:cnfStyle w:val="001000000000" w:firstRow="0" w:lastRow="0" w:firstColumn="1" w:lastColumn="0" w:oddVBand="0" w:evenVBand="0" w:oddHBand="0" w:evenHBand="0" w:firstRowFirstColumn="0" w:firstRowLastColumn="0" w:lastRowFirstColumn="0" w:lastRowLastColumn="0"/>
            <w:tcW w:w="1425" w:type="dxa"/>
          </w:tcPr>
          <w:p w14:paraId="35EC4539" w14:textId="77777777" w:rsidR="0001781A" w:rsidRPr="000973F2" w:rsidRDefault="0001781A" w:rsidP="0085143F">
            <w:pPr>
              <w:spacing w:before="40" w:after="40"/>
              <w:rPr>
                <w:rFonts w:ascii="Times New Roman" w:hAnsi="Times New Roman" w:cs="Times New Roman"/>
                <w:sz w:val="18"/>
                <w:szCs w:val="18"/>
              </w:rPr>
            </w:pPr>
            <w:r w:rsidRPr="000973F2">
              <w:rPr>
                <w:rFonts w:ascii="Times New Roman" w:hAnsi="Times New Roman" w:cs="Times New Roman"/>
                <w:sz w:val="18"/>
                <w:szCs w:val="18"/>
              </w:rPr>
              <w:t>40 CFR Part 75</w:t>
            </w:r>
          </w:p>
        </w:tc>
        <w:tc>
          <w:tcPr>
            <w:tcW w:w="1317" w:type="dxa"/>
          </w:tcPr>
          <w:p w14:paraId="44285AA6" w14:textId="77777777" w:rsidR="0001781A" w:rsidRPr="000973F2" w:rsidRDefault="0001781A" w:rsidP="001A6C7E">
            <w:pPr>
              <w:tabs>
                <w:tab w:val="decimal" w:pos="639"/>
              </w:tabs>
              <w:spacing w:before="40" w:after="4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0973F2">
              <w:rPr>
                <w:rFonts w:ascii="Times New Roman" w:hAnsi="Times New Roman" w:cs="Times New Roman"/>
                <w:sz w:val="18"/>
                <w:szCs w:val="18"/>
              </w:rPr>
              <w:t>2</w:t>
            </w:r>
          </w:p>
        </w:tc>
        <w:tc>
          <w:tcPr>
            <w:tcW w:w="1318" w:type="dxa"/>
          </w:tcPr>
          <w:p w14:paraId="5B2A5BF5" w14:textId="77777777" w:rsidR="0001781A" w:rsidRPr="000973F2" w:rsidRDefault="0001781A" w:rsidP="001A6C7E">
            <w:pPr>
              <w:tabs>
                <w:tab w:val="decimal" w:pos="664"/>
              </w:tabs>
              <w:spacing w:before="40" w:after="4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0973F2">
              <w:rPr>
                <w:rFonts w:ascii="Times New Roman" w:hAnsi="Times New Roman" w:cs="Times New Roman"/>
                <w:sz w:val="18"/>
                <w:szCs w:val="18"/>
              </w:rPr>
              <w:t>33</w:t>
            </w:r>
          </w:p>
        </w:tc>
        <w:tc>
          <w:tcPr>
            <w:tcW w:w="1317" w:type="dxa"/>
          </w:tcPr>
          <w:p w14:paraId="0316B50D" w14:textId="77777777" w:rsidR="0001781A" w:rsidRPr="000973F2" w:rsidRDefault="0001781A" w:rsidP="001A6C7E">
            <w:pPr>
              <w:tabs>
                <w:tab w:val="decimal" w:pos="639"/>
              </w:tabs>
              <w:spacing w:before="40" w:after="4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0973F2">
              <w:rPr>
                <w:rFonts w:ascii="Times New Roman" w:hAnsi="Times New Roman" w:cs="Times New Roman"/>
                <w:sz w:val="18"/>
                <w:szCs w:val="18"/>
              </w:rPr>
              <w:t>2</w:t>
            </w:r>
          </w:p>
        </w:tc>
        <w:tc>
          <w:tcPr>
            <w:tcW w:w="1318" w:type="dxa"/>
          </w:tcPr>
          <w:p w14:paraId="192C6E8B" w14:textId="77777777" w:rsidR="0001781A" w:rsidRPr="000973F2" w:rsidRDefault="0001781A" w:rsidP="001A6C7E">
            <w:pPr>
              <w:tabs>
                <w:tab w:val="decimal" w:pos="740"/>
              </w:tabs>
              <w:spacing w:before="40" w:after="4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0973F2">
              <w:rPr>
                <w:rFonts w:ascii="Times New Roman" w:hAnsi="Times New Roman" w:cs="Times New Roman"/>
                <w:sz w:val="18"/>
                <w:szCs w:val="18"/>
              </w:rPr>
              <w:t>34</w:t>
            </w:r>
          </w:p>
        </w:tc>
        <w:tc>
          <w:tcPr>
            <w:tcW w:w="1317" w:type="dxa"/>
          </w:tcPr>
          <w:p w14:paraId="58999487" w14:textId="77777777" w:rsidR="0001781A" w:rsidRPr="000973F2" w:rsidRDefault="0001781A" w:rsidP="001A6C7E">
            <w:pPr>
              <w:tabs>
                <w:tab w:val="decimal" w:pos="639"/>
              </w:tabs>
              <w:spacing w:before="40" w:after="4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0973F2">
              <w:rPr>
                <w:rFonts w:ascii="Times New Roman" w:hAnsi="Times New Roman" w:cs="Times New Roman"/>
                <w:sz w:val="18"/>
                <w:szCs w:val="18"/>
              </w:rPr>
              <w:t>2</w:t>
            </w:r>
          </w:p>
        </w:tc>
        <w:tc>
          <w:tcPr>
            <w:tcW w:w="1318" w:type="dxa"/>
          </w:tcPr>
          <w:p w14:paraId="16E3DB35" w14:textId="77777777" w:rsidR="0001781A" w:rsidRPr="000973F2" w:rsidRDefault="0001781A" w:rsidP="001A6C7E">
            <w:pPr>
              <w:tabs>
                <w:tab w:val="decimal" w:pos="691"/>
              </w:tabs>
              <w:spacing w:before="40" w:after="4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0973F2">
              <w:rPr>
                <w:rFonts w:ascii="Times New Roman" w:hAnsi="Times New Roman" w:cs="Times New Roman"/>
                <w:sz w:val="18"/>
                <w:szCs w:val="18"/>
              </w:rPr>
              <w:t>36</w:t>
            </w:r>
          </w:p>
        </w:tc>
      </w:tr>
      <w:tr w:rsidR="0001781A" w:rsidRPr="000973F2" w14:paraId="48F92DC4" w14:textId="77777777" w:rsidTr="001A6C7E">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1425" w:type="dxa"/>
          </w:tcPr>
          <w:p w14:paraId="1AFD82EF" w14:textId="77777777" w:rsidR="0001781A" w:rsidRPr="000973F2" w:rsidRDefault="0001781A" w:rsidP="0085143F">
            <w:pPr>
              <w:spacing w:before="40" w:after="40"/>
              <w:rPr>
                <w:rFonts w:ascii="Times New Roman" w:hAnsi="Times New Roman" w:cs="Times New Roman"/>
                <w:b/>
                <w:sz w:val="18"/>
                <w:szCs w:val="18"/>
              </w:rPr>
            </w:pPr>
            <w:r w:rsidRPr="000973F2">
              <w:rPr>
                <w:rFonts w:ascii="Times New Roman" w:hAnsi="Times New Roman" w:cs="Times New Roman"/>
                <w:b/>
                <w:sz w:val="18"/>
                <w:szCs w:val="18"/>
              </w:rPr>
              <w:t>Total</w:t>
            </w:r>
          </w:p>
        </w:tc>
        <w:tc>
          <w:tcPr>
            <w:tcW w:w="1317" w:type="dxa"/>
          </w:tcPr>
          <w:p w14:paraId="0A94BE4E" w14:textId="77777777" w:rsidR="0001781A" w:rsidRPr="000973F2" w:rsidRDefault="0001781A" w:rsidP="001A6C7E">
            <w:pPr>
              <w:tabs>
                <w:tab w:val="decimal" w:pos="639"/>
              </w:tabs>
              <w:spacing w:before="40" w:after="4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18"/>
                <w:szCs w:val="18"/>
              </w:rPr>
            </w:pPr>
            <w:r w:rsidRPr="000973F2">
              <w:rPr>
                <w:rFonts w:ascii="Times New Roman" w:hAnsi="Times New Roman" w:cs="Times New Roman"/>
                <w:b/>
                <w:sz w:val="18"/>
                <w:szCs w:val="18"/>
              </w:rPr>
              <w:t>95</w:t>
            </w:r>
          </w:p>
        </w:tc>
        <w:tc>
          <w:tcPr>
            <w:tcW w:w="1318" w:type="dxa"/>
          </w:tcPr>
          <w:p w14:paraId="075561A6" w14:textId="77777777" w:rsidR="0001781A" w:rsidRPr="000973F2" w:rsidRDefault="0001781A" w:rsidP="001A6C7E">
            <w:pPr>
              <w:tabs>
                <w:tab w:val="decimal" w:pos="664"/>
              </w:tabs>
              <w:spacing w:before="40" w:after="4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18"/>
                <w:szCs w:val="18"/>
              </w:rPr>
            </w:pPr>
            <w:r w:rsidRPr="000973F2">
              <w:rPr>
                <w:rFonts w:ascii="Times New Roman" w:hAnsi="Times New Roman" w:cs="Times New Roman"/>
                <w:b/>
                <w:sz w:val="18"/>
                <w:szCs w:val="18"/>
              </w:rPr>
              <w:t>1,903</w:t>
            </w:r>
          </w:p>
        </w:tc>
        <w:tc>
          <w:tcPr>
            <w:tcW w:w="1317" w:type="dxa"/>
          </w:tcPr>
          <w:p w14:paraId="718FD054" w14:textId="77777777" w:rsidR="0001781A" w:rsidRPr="000973F2" w:rsidRDefault="0001781A" w:rsidP="001A6C7E">
            <w:pPr>
              <w:tabs>
                <w:tab w:val="decimal" w:pos="639"/>
              </w:tabs>
              <w:spacing w:before="40" w:after="4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18"/>
                <w:szCs w:val="18"/>
              </w:rPr>
            </w:pPr>
            <w:r w:rsidRPr="000973F2">
              <w:rPr>
                <w:rFonts w:ascii="Times New Roman" w:hAnsi="Times New Roman" w:cs="Times New Roman"/>
                <w:b/>
                <w:sz w:val="18"/>
                <w:szCs w:val="18"/>
              </w:rPr>
              <w:t>95</w:t>
            </w:r>
          </w:p>
        </w:tc>
        <w:tc>
          <w:tcPr>
            <w:tcW w:w="1318" w:type="dxa"/>
          </w:tcPr>
          <w:p w14:paraId="35381B1B" w14:textId="77777777" w:rsidR="0001781A" w:rsidRPr="000973F2" w:rsidRDefault="0001781A" w:rsidP="001A6C7E">
            <w:pPr>
              <w:tabs>
                <w:tab w:val="decimal" w:pos="740"/>
              </w:tabs>
              <w:spacing w:before="40" w:after="4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18"/>
                <w:szCs w:val="18"/>
              </w:rPr>
            </w:pPr>
            <w:r w:rsidRPr="000973F2">
              <w:rPr>
                <w:rFonts w:ascii="Times New Roman" w:hAnsi="Times New Roman" w:cs="Times New Roman"/>
                <w:b/>
                <w:sz w:val="18"/>
                <w:szCs w:val="18"/>
              </w:rPr>
              <w:t>1,998</w:t>
            </w:r>
          </w:p>
        </w:tc>
        <w:tc>
          <w:tcPr>
            <w:tcW w:w="1317" w:type="dxa"/>
          </w:tcPr>
          <w:p w14:paraId="4474A690" w14:textId="77777777" w:rsidR="0001781A" w:rsidRPr="000973F2" w:rsidRDefault="0001781A" w:rsidP="001A6C7E">
            <w:pPr>
              <w:tabs>
                <w:tab w:val="decimal" w:pos="639"/>
              </w:tabs>
              <w:spacing w:before="40" w:after="4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18"/>
                <w:szCs w:val="18"/>
              </w:rPr>
            </w:pPr>
            <w:r w:rsidRPr="000973F2">
              <w:rPr>
                <w:rFonts w:ascii="Times New Roman" w:hAnsi="Times New Roman" w:cs="Times New Roman"/>
                <w:b/>
                <w:sz w:val="18"/>
                <w:szCs w:val="18"/>
              </w:rPr>
              <w:t>95</w:t>
            </w:r>
          </w:p>
        </w:tc>
        <w:tc>
          <w:tcPr>
            <w:tcW w:w="1318" w:type="dxa"/>
          </w:tcPr>
          <w:p w14:paraId="4A26AE4A" w14:textId="77777777" w:rsidR="0001781A" w:rsidRPr="000973F2" w:rsidRDefault="0001781A" w:rsidP="001A6C7E">
            <w:pPr>
              <w:tabs>
                <w:tab w:val="decimal" w:pos="691"/>
              </w:tabs>
              <w:spacing w:before="40" w:after="4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18"/>
                <w:szCs w:val="18"/>
              </w:rPr>
            </w:pPr>
            <w:r w:rsidRPr="000973F2">
              <w:rPr>
                <w:rFonts w:ascii="Times New Roman" w:hAnsi="Times New Roman" w:cs="Times New Roman"/>
                <w:b/>
                <w:sz w:val="18"/>
                <w:szCs w:val="18"/>
              </w:rPr>
              <w:t>2,093</w:t>
            </w:r>
          </w:p>
        </w:tc>
      </w:tr>
    </w:tbl>
    <w:p w14:paraId="1A5D8CBA" w14:textId="77777777" w:rsidR="0001781A" w:rsidRPr="000973F2" w:rsidRDefault="0001781A" w:rsidP="00C00E4F">
      <w:pPr>
        <w:pStyle w:val="AfterTable"/>
      </w:pPr>
    </w:p>
    <w:p w14:paraId="11EC6ADA" w14:textId="6610747F" w:rsidR="0001781A" w:rsidRPr="000973F2" w:rsidRDefault="0001781A" w:rsidP="001A6C7E">
      <w:pPr>
        <w:pStyle w:val="Tabletitle"/>
      </w:pPr>
      <w:r w:rsidRPr="000973F2">
        <w:t xml:space="preserve">Table </w:t>
      </w:r>
      <w:r w:rsidR="00622EF9" w:rsidRPr="000973F2">
        <w:t>C-</w:t>
      </w:r>
      <w:r w:rsidRPr="000973F2">
        <w:t xml:space="preserve">1b. Facility Counts Per Year by Calculation Methodology </w:t>
      </w:r>
      <w:r w:rsidR="00622EF9" w:rsidRPr="000973F2">
        <w:t>–</w:t>
      </w:r>
      <w:r w:rsidRPr="000973F2">
        <w:t xml:space="preserve"> Subpart C With At Least One Additional Subpart</w:t>
      </w:r>
    </w:p>
    <w:tbl>
      <w:tblPr>
        <w:tblStyle w:val="PlainTable1"/>
        <w:tblW w:w="5000" w:type="pct"/>
        <w:jc w:val="left"/>
        <w:tblLook w:val="04A0" w:firstRow="1" w:lastRow="0" w:firstColumn="1" w:lastColumn="0" w:noHBand="0" w:noVBand="1"/>
      </w:tblPr>
      <w:tblGrid>
        <w:gridCol w:w="1462"/>
        <w:gridCol w:w="1351"/>
        <w:gridCol w:w="1353"/>
        <w:gridCol w:w="1352"/>
        <w:gridCol w:w="1353"/>
        <w:gridCol w:w="1352"/>
        <w:gridCol w:w="1353"/>
      </w:tblGrid>
      <w:tr w:rsidR="0001781A" w:rsidRPr="000973F2" w14:paraId="4694F05A" w14:textId="77777777" w:rsidTr="001A6C7E">
        <w:trPr>
          <w:cnfStyle w:val="100000000000" w:firstRow="1" w:lastRow="0" w:firstColumn="0" w:lastColumn="0" w:oddVBand="0" w:evenVBand="0" w:oddHBand="0" w:evenHBand="0" w:firstRowFirstColumn="0" w:firstRowLastColumn="0" w:lastRowFirstColumn="0" w:lastRowLastColumn="0"/>
          <w:cantSplit/>
          <w:jc w:val="left"/>
        </w:trPr>
        <w:tc>
          <w:tcPr>
            <w:cnfStyle w:val="001000000000" w:firstRow="0" w:lastRow="0" w:firstColumn="1" w:lastColumn="0" w:oddVBand="0" w:evenVBand="0" w:oddHBand="0" w:evenHBand="0" w:firstRowFirstColumn="0" w:firstRowLastColumn="0" w:lastRowFirstColumn="0" w:lastRowLastColumn="0"/>
            <w:tcW w:w="1425" w:type="dxa"/>
            <w:vMerge w:val="restart"/>
            <w:vAlign w:val="top"/>
          </w:tcPr>
          <w:p w14:paraId="35CBF846" w14:textId="77777777" w:rsidR="0001781A" w:rsidRPr="000973F2" w:rsidRDefault="0001781A" w:rsidP="00AC67CA">
            <w:pPr>
              <w:spacing w:before="40" w:after="40"/>
              <w:rPr>
                <w:rFonts w:ascii="Times New Roman" w:hAnsi="Times New Roman" w:cs="Times New Roman"/>
                <w:b w:val="0"/>
                <w:sz w:val="18"/>
                <w:szCs w:val="18"/>
              </w:rPr>
            </w:pPr>
            <w:r w:rsidRPr="000973F2">
              <w:rPr>
                <w:rFonts w:ascii="Times New Roman" w:hAnsi="Times New Roman" w:cs="Times New Roman"/>
                <w:sz w:val="18"/>
                <w:szCs w:val="18"/>
              </w:rPr>
              <w:t>Calculation Methodology</w:t>
            </w:r>
          </w:p>
        </w:tc>
        <w:tc>
          <w:tcPr>
            <w:tcW w:w="2635" w:type="dxa"/>
            <w:gridSpan w:val="2"/>
            <w:vAlign w:val="top"/>
          </w:tcPr>
          <w:p w14:paraId="6D006F6B" w14:textId="77777777" w:rsidR="0001781A" w:rsidRPr="000973F2" w:rsidRDefault="0001781A" w:rsidP="00AC67CA">
            <w:pPr>
              <w:spacing w:before="40" w:after="40"/>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sz w:val="18"/>
                <w:szCs w:val="18"/>
              </w:rPr>
            </w:pPr>
            <w:r w:rsidRPr="000973F2">
              <w:rPr>
                <w:rFonts w:ascii="Times New Roman" w:hAnsi="Times New Roman" w:cs="Times New Roman"/>
                <w:sz w:val="18"/>
                <w:szCs w:val="18"/>
              </w:rPr>
              <w:t>RY2019</w:t>
            </w:r>
          </w:p>
        </w:tc>
        <w:tc>
          <w:tcPr>
            <w:tcW w:w="2635" w:type="dxa"/>
            <w:gridSpan w:val="2"/>
            <w:vAlign w:val="top"/>
          </w:tcPr>
          <w:p w14:paraId="44BF3B7B" w14:textId="77777777" w:rsidR="0001781A" w:rsidRPr="000973F2" w:rsidRDefault="0001781A" w:rsidP="00AC67CA">
            <w:pPr>
              <w:spacing w:before="40" w:after="40"/>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sz w:val="18"/>
                <w:szCs w:val="18"/>
              </w:rPr>
            </w:pPr>
            <w:r w:rsidRPr="000973F2">
              <w:rPr>
                <w:rFonts w:ascii="Times New Roman" w:hAnsi="Times New Roman" w:cs="Times New Roman"/>
                <w:sz w:val="18"/>
                <w:szCs w:val="18"/>
              </w:rPr>
              <w:t>RY2020</w:t>
            </w:r>
          </w:p>
        </w:tc>
        <w:tc>
          <w:tcPr>
            <w:tcW w:w="2635" w:type="dxa"/>
            <w:gridSpan w:val="2"/>
            <w:vAlign w:val="top"/>
          </w:tcPr>
          <w:p w14:paraId="7759AED4" w14:textId="77777777" w:rsidR="0001781A" w:rsidRPr="000973F2" w:rsidRDefault="0001781A" w:rsidP="00AC67CA">
            <w:pPr>
              <w:spacing w:before="40" w:after="40"/>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sz w:val="18"/>
                <w:szCs w:val="18"/>
              </w:rPr>
            </w:pPr>
            <w:r w:rsidRPr="000973F2">
              <w:rPr>
                <w:rFonts w:ascii="Times New Roman" w:hAnsi="Times New Roman" w:cs="Times New Roman"/>
                <w:sz w:val="18"/>
                <w:szCs w:val="18"/>
              </w:rPr>
              <w:t>RY2021</w:t>
            </w:r>
          </w:p>
        </w:tc>
      </w:tr>
      <w:tr w:rsidR="0001781A" w:rsidRPr="000973F2" w14:paraId="6DAD33CD" w14:textId="77777777" w:rsidTr="001A6C7E">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1425" w:type="dxa"/>
            <w:vMerge/>
          </w:tcPr>
          <w:p w14:paraId="5AD597EB" w14:textId="77777777" w:rsidR="0001781A" w:rsidRPr="000973F2" w:rsidRDefault="0001781A" w:rsidP="00AC67CA">
            <w:pPr>
              <w:spacing w:before="40" w:after="40"/>
              <w:rPr>
                <w:rFonts w:ascii="Times New Roman" w:hAnsi="Times New Roman" w:cs="Times New Roman"/>
                <w:b/>
                <w:sz w:val="18"/>
                <w:szCs w:val="18"/>
              </w:rPr>
            </w:pPr>
          </w:p>
        </w:tc>
        <w:tc>
          <w:tcPr>
            <w:tcW w:w="1317" w:type="dxa"/>
          </w:tcPr>
          <w:p w14:paraId="4F31E970" w14:textId="77777777" w:rsidR="0001781A" w:rsidRPr="000973F2" w:rsidRDefault="0001781A" w:rsidP="00AC67CA">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18"/>
                <w:szCs w:val="18"/>
              </w:rPr>
            </w:pPr>
            <w:r w:rsidRPr="000973F2">
              <w:rPr>
                <w:rFonts w:ascii="Times New Roman" w:hAnsi="Times New Roman" w:cs="Times New Roman"/>
                <w:b/>
                <w:sz w:val="18"/>
                <w:szCs w:val="18"/>
              </w:rPr>
              <w:t>New Facilities</w:t>
            </w:r>
          </w:p>
        </w:tc>
        <w:tc>
          <w:tcPr>
            <w:tcW w:w="1318" w:type="dxa"/>
          </w:tcPr>
          <w:p w14:paraId="48D54A13" w14:textId="77777777" w:rsidR="0001781A" w:rsidRPr="000973F2" w:rsidRDefault="0001781A" w:rsidP="00AC67CA">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18"/>
                <w:szCs w:val="18"/>
              </w:rPr>
            </w:pPr>
            <w:r w:rsidRPr="000973F2">
              <w:rPr>
                <w:rFonts w:ascii="Times New Roman" w:hAnsi="Times New Roman" w:cs="Times New Roman"/>
                <w:b/>
                <w:sz w:val="18"/>
                <w:szCs w:val="18"/>
              </w:rPr>
              <w:t>Existing Facilities</w:t>
            </w:r>
          </w:p>
        </w:tc>
        <w:tc>
          <w:tcPr>
            <w:tcW w:w="1317" w:type="dxa"/>
          </w:tcPr>
          <w:p w14:paraId="39879352" w14:textId="77777777" w:rsidR="0001781A" w:rsidRPr="000973F2" w:rsidRDefault="0001781A" w:rsidP="00AC67CA">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18"/>
                <w:szCs w:val="18"/>
              </w:rPr>
            </w:pPr>
            <w:r w:rsidRPr="000973F2">
              <w:rPr>
                <w:rFonts w:ascii="Times New Roman" w:hAnsi="Times New Roman" w:cs="Times New Roman"/>
                <w:b/>
                <w:sz w:val="18"/>
                <w:szCs w:val="18"/>
              </w:rPr>
              <w:t>New Facilities</w:t>
            </w:r>
          </w:p>
        </w:tc>
        <w:tc>
          <w:tcPr>
            <w:tcW w:w="1318" w:type="dxa"/>
          </w:tcPr>
          <w:p w14:paraId="212B7128" w14:textId="77777777" w:rsidR="0001781A" w:rsidRPr="000973F2" w:rsidRDefault="0001781A" w:rsidP="00AC67CA">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18"/>
                <w:szCs w:val="18"/>
              </w:rPr>
            </w:pPr>
            <w:r w:rsidRPr="000973F2">
              <w:rPr>
                <w:rFonts w:ascii="Times New Roman" w:hAnsi="Times New Roman" w:cs="Times New Roman"/>
                <w:b/>
                <w:sz w:val="18"/>
                <w:szCs w:val="18"/>
              </w:rPr>
              <w:t>Existing Facilities</w:t>
            </w:r>
          </w:p>
        </w:tc>
        <w:tc>
          <w:tcPr>
            <w:tcW w:w="1317" w:type="dxa"/>
          </w:tcPr>
          <w:p w14:paraId="1AA0C022" w14:textId="77777777" w:rsidR="0001781A" w:rsidRPr="000973F2" w:rsidRDefault="0001781A" w:rsidP="00AC67CA">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18"/>
                <w:szCs w:val="18"/>
              </w:rPr>
            </w:pPr>
            <w:r w:rsidRPr="000973F2">
              <w:rPr>
                <w:rFonts w:ascii="Times New Roman" w:hAnsi="Times New Roman" w:cs="Times New Roman"/>
                <w:b/>
                <w:sz w:val="18"/>
                <w:szCs w:val="18"/>
              </w:rPr>
              <w:t>New Facilities</w:t>
            </w:r>
          </w:p>
        </w:tc>
        <w:tc>
          <w:tcPr>
            <w:tcW w:w="1318" w:type="dxa"/>
          </w:tcPr>
          <w:p w14:paraId="23F79F76" w14:textId="77777777" w:rsidR="0001781A" w:rsidRPr="000973F2" w:rsidRDefault="0001781A" w:rsidP="00AC67CA">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18"/>
                <w:szCs w:val="18"/>
              </w:rPr>
            </w:pPr>
            <w:r w:rsidRPr="000973F2">
              <w:rPr>
                <w:rFonts w:ascii="Times New Roman" w:hAnsi="Times New Roman" w:cs="Times New Roman"/>
                <w:b/>
                <w:sz w:val="18"/>
                <w:szCs w:val="18"/>
              </w:rPr>
              <w:t>Existing Facilities</w:t>
            </w:r>
          </w:p>
        </w:tc>
      </w:tr>
      <w:tr w:rsidR="0001781A" w:rsidRPr="000973F2" w14:paraId="09692EA5" w14:textId="77777777" w:rsidTr="001A6C7E">
        <w:trPr>
          <w:cantSplit/>
        </w:trPr>
        <w:tc>
          <w:tcPr>
            <w:cnfStyle w:val="001000000000" w:firstRow="0" w:lastRow="0" w:firstColumn="1" w:lastColumn="0" w:oddVBand="0" w:evenVBand="0" w:oddHBand="0" w:evenHBand="0" w:firstRowFirstColumn="0" w:firstRowLastColumn="0" w:lastRowFirstColumn="0" w:lastRowLastColumn="0"/>
            <w:tcW w:w="1425" w:type="dxa"/>
          </w:tcPr>
          <w:p w14:paraId="28A939AF" w14:textId="77777777" w:rsidR="0001781A" w:rsidRPr="000973F2" w:rsidRDefault="0001781A" w:rsidP="00AC67CA">
            <w:pPr>
              <w:spacing w:before="40" w:after="40"/>
              <w:rPr>
                <w:rFonts w:ascii="Times New Roman" w:hAnsi="Times New Roman" w:cs="Times New Roman"/>
                <w:sz w:val="18"/>
                <w:szCs w:val="18"/>
              </w:rPr>
            </w:pPr>
            <w:r w:rsidRPr="000973F2">
              <w:rPr>
                <w:rFonts w:ascii="Times New Roman" w:hAnsi="Times New Roman" w:cs="Times New Roman"/>
                <w:sz w:val="18"/>
                <w:szCs w:val="18"/>
              </w:rPr>
              <w:t>Tier 1</w:t>
            </w:r>
          </w:p>
        </w:tc>
        <w:tc>
          <w:tcPr>
            <w:tcW w:w="1317" w:type="dxa"/>
          </w:tcPr>
          <w:p w14:paraId="7F16ABF0" w14:textId="77777777" w:rsidR="0001781A" w:rsidRPr="000973F2" w:rsidRDefault="0001781A" w:rsidP="00AC67CA">
            <w:pPr>
              <w:tabs>
                <w:tab w:val="decimal" w:pos="611"/>
              </w:tabs>
              <w:spacing w:before="40" w:after="4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0973F2">
              <w:rPr>
                <w:rFonts w:ascii="Times New Roman" w:hAnsi="Times New Roman" w:cs="Times New Roman"/>
                <w:sz w:val="18"/>
                <w:szCs w:val="18"/>
              </w:rPr>
              <w:t>92</w:t>
            </w:r>
          </w:p>
        </w:tc>
        <w:tc>
          <w:tcPr>
            <w:tcW w:w="1318" w:type="dxa"/>
          </w:tcPr>
          <w:p w14:paraId="23CF0D53" w14:textId="77777777" w:rsidR="0001781A" w:rsidRPr="000973F2" w:rsidRDefault="0001781A" w:rsidP="00AC67CA">
            <w:pPr>
              <w:tabs>
                <w:tab w:val="decimal" w:pos="649"/>
              </w:tabs>
              <w:spacing w:before="40" w:after="4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0973F2">
              <w:rPr>
                <w:rFonts w:ascii="Times New Roman" w:hAnsi="Times New Roman" w:cs="Times New Roman"/>
                <w:sz w:val="18"/>
                <w:szCs w:val="18"/>
              </w:rPr>
              <w:t>2,072</w:t>
            </w:r>
          </w:p>
        </w:tc>
        <w:tc>
          <w:tcPr>
            <w:tcW w:w="1317" w:type="dxa"/>
          </w:tcPr>
          <w:p w14:paraId="593EFBCC" w14:textId="77777777" w:rsidR="0001781A" w:rsidRPr="000973F2" w:rsidRDefault="0001781A" w:rsidP="00AC67CA">
            <w:pPr>
              <w:tabs>
                <w:tab w:val="decimal" w:pos="620"/>
              </w:tabs>
              <w:spacing w:before="40" w:after="4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0973F2">
              <w:rPr>
                <w:rFonts w:ascii="Times New Roman" w:hAnsi="Times New Roman" w:cs="Times New Roman"/>
                <w:sz w:val="18"/>
                <w:szCs w:val="18"/>
              </w:rPr>
              <w:t>92</w:t>
            </w:r>
          </w:p>
        </w:tc>
        <w:tc>
          <w:tcPr>
            <w:tcW w:w="1318" w:type="dxa"/>
          </w:tcPr>
          <w:p w14:paraId="604EA85C" w14:textId="77777777" w:rsidR="0001781A" w:rsidRPr="000973F2" w:rsidRDefault="0001781A" w:rsidP="00AC67CA">
            <w:pPr>
              <w:tabs>
                <w:tab w:val="decimal" w:pos="766"/>
              </w:tabs>
              <w:spacing w:before="40" w:after="4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0973F2">
              <w:rPr>
                <w:rFonts w:ascii="Times New Roman" w:hAnsi="Times New Roman" w:cs="Times New Roman"/>
                <w:sz w:val="18"/>
                <w:szCs w:val="18"/>
              </w:rPr>
              <w:t>2,164</w:t>
            </w:r>
          </w:p>
        </w:tc>
        <w:tc>
          <w:tcPr>
            <w:tcW w:w="1317" w:type="dxa"/>
          </w:tcPr>
          <w:p w14:paraId="449DB6CD" w14:textId="77777777" w:rsidR="0001781A" w:rsidRPr="000973F2" w:rsidRDefault="0001781A" w:rsidP="00AC67CA">
            <w:pPr>
              <w:tabs>
                <w:tab w:val="decimal" w:pos="653"/>
              </w:tabs>
              <w:spacing w:before="40" w:after="4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0973F2">
              <w:rPr>
                <w:rFonts w:ascii="Times New Roman" w:hAnsi="Times New Roman" w:cs="Times New Roman"/>
                <w:sz w:val="18"/>
                <w:szCs w:val="18"/>
              </w:rPr>
              <w:t>92</w:t>
            </w:r>
          </w:p>
        </w:tc>
        <w:tc>
          <w:tcPr>
            <w:tcW w:w="1318" w:type="dxa"/>
          </w:tcPr>
          <w:p w14:paraId="717AA718" w14:textId="77777777" w:rsidR="0001781A" w:rsidRPr="000973F2" w:rsidRDefault="0001781A" w:rsidP="00AC67CA">
            <w:pPr>
              <w:tabs>
                <w:tab w:val="decimal" w:pos="691"/>
              </w:tabs>
              <w:spacing w:before="40" w:after="4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0973F2">
              <w:rPr>
                <w:rFonts w:ascii="Times New Roman" w:hAnsi="Times New Roman" w:cs="Times New Roman"/>
                <w:sz w:val="18"/>
                <w:szCs w:val="18"/>
              </w:rPr>
              <w:t>2,256</w:t>
            </w:r>
          </w:p>
        </w:tc>
      </w:tr>
      <w:tr w:rsidR="0001781A" w:rsidRPr="000973F2" w14:paraId="1F9A5A30" w14:textId="77777777" w:rsidTr="001A6C7E">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1425" w:type="dxa"/>
          </w:tcPr>
          <w:p w14:paraId="232F2B36" w14:textId="77777777" w:rsidR="0001781A" w:rsidRPr="000973F2" w:rsidRDefault="0001781A" w:rsidP="00AC67CA">
            <w:pPr>
              <w:spacing w:before="40" w:after="40"/>
              <w:rPr>
                <w:rFonts w:ascii="Times New Roman" w:hAnsi="Times New Roman" w:cs="Times New Roman"/>
                <w:sz w:val="18"/>
                <w:szCs w:val="18"/>
              </w:rPr>
            </w:pPr>
            <w:r w:rsidRPr="000973F2">
              <w:rPr>
                <w:rFonts w:ascii="Times New Roman" w:hAnsi="Times New Roman" w:cs="Times New Roman"/>
                <w:sz w:val="18"/>
                <w:szCs w:val="18"/>
              </w:rPr>
              <w:t>Tier 2</w:t>
            </w:r>
          </w:p>
        </w:tc>
        <w:tc>
          <w:tcPr>
            <w:tcW w:w="1317" w:type="dxa"/>
          </w:tcPr>
          <w:p w14:paraId="63998417" w14:textId="77777777" w:rsidR="0001781A" w:rsidRPr="000973F2" w:rsidRDefault="0001781A" w:rsidP="00AC67CA">
            <w:pPr>
              <w:tabs>
                <w:tab w:val="decimal" w:pos="611"/>
              </w:tabs>
              <w:spacing w:before="40" w:after="4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rPr>
            </w:pPr>
            <w:r w:rsidRPr="000973F2">
              <w:rPr>
                <w:rFonts w:ascii="Times New Roman" w:hAnsi="Times New Roman" w:cs="Times New Roman"/>
                <w:sz w:val="18"/>
                <w:szCs w:val="18"/>
              </w:rPr>
              <w:t>85</w:t>
            </w:r>
          </w:p>
        </w:tc>
        <w:tc>
          <w:tcPr>
            <w:tcW w:w="1318" w:type="dxa"/>
          </w:tcPr>
          <w:p w14:paraId="136D5F84" w14:textId="77777777" w:rsidR="0001781A" w:rsidRPr="000973F2" w:rsidRDefault="0001781A" w:rsidP="00AC67CA">
            <w:pPr>
              <w:tabs>
                <w:tab w:val="decimal" w:pos="649"/>
              </w:tabs>
              <w:spacing w:before="40" w:after="4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rPr>
            </w:pPr>
            <w:r w:rsidRPr="000973F2">
              <w:rPr>
                <w:rFonts w:ascii="Times New Roman" w:hAnsi="Times New Roman" w:cs="Times New Roman"/>
                <w:sz w:val="18"/>
                <w:szCs w:val="18"/>
              </w:rPr>
              <w:t>1,913</w:t>
            </w:r>
          </w:p>
        </w:tc>
        <w:tc>
          <w:tcPr>
            <w:tcW w:w="1317" w:type="dxa"/>
          </w:tcPr>
          <w:p w14:paraId="65F619C7" w14:textId="77777777" w:rsidR="0001781A" w:rsidRPr="000973F2" w:rsidRDefault="0001781A" w:rsidP="00AC67CA">
            <w:pPr>
              <w:tabs>
                <w:tab w:val="decimal" w:pos="620"/>
              </w:tabs>
              <w:spacing w:before="40" w:after="4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rPr>
            </w:pPr>
            <w:r w:rsidRPr="000973F2">
              <w:rPr>
                <w:rFonts w:ascii="Times New Roman" w:hAnsi="Times New Roman" w:cs="Times New Roman"/>
                <w:sz w:val="18"/>
                <w:szCs w:val="18"/>
              </w:rPr>
              <w:t>85</w:t>
            </w:r>
          </w:p>
        </w:tc>
        <w:tc>
          <w:tcPr>
            <w:tcW w:w="1318" w:type="dxa"/>
          </w:tcPr>
          <w:p w14:paraId="2D47C46E" w14:textId="77777777" w:rsidR="0001781A" w:rsidRPr="000973F2" w:rsidRDefault="0001781A" w:rsidP="00AC67CA">
            <w:pPr>
              <w:tabs>
                <w:tab w:val="decimal" w:pos="766"/>
              </w:tabs>
              <w:spacing w:before="40" w:after="4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rPr>
            </w:pPr>
            <w:r w:rsidRPr="000973F2">
              <w:rPr>
                <w:rFonts w:ascii="Times New Roman" w:hAnsi="Times New Roman" w:cs="Times New Roman"/>
                <w:sz w:val="18"/>
                <w:szCs w:val="18"/>
              </w:rPr>
              <w:t>1,998</w:t>
            </w:r>
          </w:p>
        </w:tc>
        <w:tc>
          <w:tcPr>
            <w:tcW w:w="1317" w:type="dxa"/>
          </w:tcPr>
          <w:p w14:paraId="35478156" w14:textId="77777777" w:rsidR="0001781A" w:rsidRPr="000973F2" w:rsidRDefault="0001781A" w:rsidP="00AC67CA">
            <w:pPr>
              <w:tabs>
                <w:tab w:val="decimal" w:pos="653"/>
              </w:tabs>
              <w:spacing w:before="40" w:after="4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rPr>
            </w:pPr>
            <w:r w:rsidRPr="000973F2">
              <w:rPr>
                <w:rFonts w:ascii="Times New Roman" w:hAnsi="Times New Roman" w:cs="Times New Roman"/>
                <w:sz w:val="18"/>
                <w:szCs w:val="18"/>
              </w:rPr>
              <w:t>85</w:t>
            </w:r>
          </w:p>
        </w:tc>
        <w:tc>
          <w:tcPr>
            <w:tcW w:w="1318" w:type="dxa"/>
          </w:tcPr>
          <w:p w14:paraId="13397DC3" w14:textId="77777777" w:rsidR="0001781A" w:rsidRPr="000973F2" w:rsidRDefault="0001781A" w:rsidP="00AC67CA">
            <w:pPr>
              <w:tabs>
                <w:tab w:val="decimal" w:pos="691"/>
              </w:tabs>
              <w:spacing w:before="40" w:after="4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rPr>
            </w:pPr>
            <w:r w:rsidRPr="000973F2">
              <w:rPr>
                <w:rFonts w:ascii="Times New Roman" w:hAnsi="Times New Roman" w:cs="Times New Roman"/>
                <w:sz w:val="18"/>
                <w:szCs w:val="18"/>
              </w:rPr>
              <w:t>2,083</w:t>
            </w:r>
          </w:p>
        </w:tc>
      </w:tr>
      <w:tr w:rsidR="0001781A" w:rsidRPr="000973F2" w14:paraId="453B4371" w14:textId="77777777" w:rsidTr="001A6C7E">
        <w:trPr>
          <w:cantSplit/>
        </w:trPr>
        <w:tc>
          <w:tcPr>
            <w:cnfStyle w:val="001000000000" w:firstRow="0" w:lastRow="0" w:firstColumn="1" w:lastColumn="0" w:oddVBand="0" w:evenVBand="0" w:oddHBand="0" w:evenHBand="0" w:firstRowFirstColumn="0" w:firstRowLastColumn="0" w:lastRowFirstColumn="0" w:lastRowLastColumn="0"/>
            <w:tcW w:w="1425" w:type="dxa"/>
          </w:tcPr>
          <w:p w14:paraId="7F82ADB0" w14:textId="77777777" w:rsidR="0001781A" w:rsidRPr="000973F2" w:rsidRDefault="0001781A" w:rsidP="00AC67CA">
            <w:pPr>
              <w:spacing w:before="40" w:after="40"/>
              <w:rPr>
                <w:rFonts w:ascii="Times New Roman" w:hAnsi="Times New Roman" w:cs="Times New Roman"/>
                <w:sz w:val="18"/>
                <w:szCs w:val="18"/>
              </w:rPr>
            </w:pPr>
            <w:r w:rsidRPr="000973F2">
              <w:rPr>
                <w:rFonts w:ascii="Times New Roman" w:hAnsi="Times New Roman" w:cs="Times New Roman"/>
                <w:sz w:val="18"/>
                <w:szCs w:val="18"/>
              </w:rPr>
              <w:t>Tier 3</w:t>
            </w:r>
          </w:p>
        </w:tc>
        <w:tc>
          <w:tcPr>
            <w:tcW w:w="1317" w:type="dxa"/>
          </w:tcPr>
          <w:p w14:paraId="534E395D" w14:textId="77777777" w:rsidR="0001781A" w:rsidRPr="000973F2" w:rsidRDefault="0001781A" w:rsidP="00AC67CA">
            <w:pPr>
              <w:tabs>
                <w:tab w:val="decimal" w:pos="611"/>
              </w:tabs>
              <w:spacing w:before="40" w:after="4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0973F2">
              <w:rPr>
                <w:rFonts w:ascii="Times New Roman" w:hAnsi="Times New Roman" w:cs="Times New Roman"/>
                <w:sz w:val="18"/>
                <w:szCs w:val="18"/>
              </w:rPr>
              <w:t>11</w:t>
            </w:r>
          </w:p>
        </w:tc>
        <w:tc>
          <w:tcPr>
            <w:tcW w:w="1318" w:type="dxa"/>
          </w:tcPr>
          <w:p w14:paraId="7AFB8B82" w14:textId="77777777" w:rsidR="0001781A" w:rsidRPr="000973F2" w:rsidRDefault="0001781A" w:rsidP="00AC67CA">
            <w:pPr>
              <w:tabs>
                <w:tab w:val="decimal" w:pos="649"/>
              </w:tabs>
              <w:spacing w:before="40" w:after="4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0973F2">
              <w:rPr>
                <w:rFonts w:ascii="Times New Roman" w:hAnsi="Times New Roman" w:cs="Times New Roman"/>
                <w:sz w:val="18"/>
                <w:szCs w:val="18"/>
              </w:rPr>
              <w:t>245</w:t>
            </w:r>
          </w:p>
        </w:tc>
        <w:tc>
          <w:tcPr>
            <w:tcW w:w="1317" w:type="dxa"/>
          </w:tcPr>
          <w:p w14:paraId="1F23FB8E" w14:textId="77777777" w:rsidR="0001781A" w:rsidRPr="000973F2" w:rsidRDefault="0001781A" w:rsidP="00AC67CA">
            <w:pPr>
              <w:tabs>
                <w:tab w:val="decimal" w:pos="620"/>
              </w:tabs>
              <w:spacing w:before="40" w:after="4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0973F2">
              <w:rPr>
                <w:rFonts w:ascii="Times New Roman" w:hAnsi="Times New Roman" w:cs="Times New Roman"/>
                <w:sz w:val="18"/>
                <w:szCs w:val="18"/>
              </w:rPr>
              <w:t>11</w:t>
            </w:r>
          </w:p>
        </w:tc>
        <w:tc>
          <w:tcPr>
            <w:tcW w:w="1318" w:type="dxa"/>
          </w:tcPr>
          <w:p w14:paraId="42763DD8" w14:textId="77777777" w:rsidR="0001781A" w:rsidRPr="000973F2" w:rsidRDefault="0001781A" w:rsidP="00AC67CA">
            <w:pPr>
              <w:tabs>
                <w:tab w:val="decimal" w:pos="766"/>
              </w:tabs>
              <w:spacing w:before="40" w:after="4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0973F2">
              <w:rPr>
                <w:rFonts w:ascii="Times New Roman" w:hAnsi="Times New Roman" w:cs="Times New Roman"/>
                <w:sz w:val="18"/>
                <w:szCs w:val="18"/>
              </w:rPr>
              <w:t>256</w:t>
            </w:r>
          </w:p>
        </w:tc>
        <w:tc>
          <w:tcPr>
            <w:tcW w:w="1317" w:type="dxa"/>
          </w:tcPr>
          <w:p w14:paraId="4D2F5758" w14:textId="77777777" w:rsidR="0001781A" w:rsidRPr="000973F2" w:rsidRDefault="0001781A" w:rsidP="00AC67CA">
            <w:pPr>
              <w:tabs>
                <w:tab w:val="decimal" w:pos="653"/>
              </w:tabs>
              <w:spacing w:before="40" w:after="4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0973F2">
              <w:rPr>
                <w:rFonts w:ascii="Times New Roman" w:hAnsi="Times New Roman" w:cs="Times New Roman"/>
                <w:sz w:val="18"/>
                <w:szCs w:val="18"/>
              </w:rPr>
              <w:t>11</w:t>
            </w:r>
          </w:p>
        </w:tc>
        <w:tc>
          <w:tcPr>
            <w:tcW w:w="1318" w:type="dxa"/>
          </w:tcPr>
          <w:p w14:paraId="2C369693" w14:textId="77777777" w:rsidR="0001781A" w:rsidRPr="000973F2" w:rsidRDefault="0001781A" w:rsidP="00AC67CA">
            <w:pPr>
              <w:tabs>
                <w:tab w:val="decimal" w:pos="691"/>
              </w:tabs>
              <w:spacing w:before="40" w:after="4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0973F2">
              <w:rPr>
                <w:rFonts w:ascii="Times New Roman" w:hAnsi="Times New Roman" w:cs="Times New Roman"/>
                <w:sz w:val="18"/>
                <w:szCs w:val="18"/>
              </w:rPr>
              <w:t>267</w:t>
            </w:r>
          </w:p>
        </w:tc>
      </w:tr>
      <w:tr w:rsidR="0001781A" w:rsidRPr="000973F2" w14:paraId="674BCACA" w14:textId="77777777" w:rsidTr="001A6C7E">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1425" w:type="dxa"/>
          </w:tcPr>
          <w:p w14:paraId="0D972F2E" w14:textId="77777777" w:rsidR="0001781A" w:rsidRPr="000973F2" w:rsidRDefault="0001781A" w:rsidP="00AC67CA">
            <w:pPr>
              <w:spacing w:before="40" w:after="40"/>
              <w:rPr>
                <w:rFonts w:ascii="Times New Roman" w:hAnsi="Times New Roman" w:cs="Times New Roman"/>
                <w:sz w:val="18"/>
                <w:szCs w:val="18"/>
              </w:rPr>
            </w:pPr>
            <w:r w:rsidRPr="000973F2">
              <w:rPr>
                <w:rFonts w:ascii="Times New Roman" w:hAnsi="Times New Roman" w:cs="Times New Roman"/>
                <w:sz w:val="18"/>
                <w:szCs w:val="18"/>
              </w:rPr>
              <w:t>Tier 4</w:t>
            </w:r>
          </w:p>
        </w:tc>
        <w:tc>
          <w:tcPr>
            <w:tcW w:w="1317" w:type="dxa"/>
          </w:tcPr>
          <w:p w14:paraId="7BF9A51D" w14:textId="77777777" w:rsidR="0001781A" w:rsidRPr="000973F2" w:rsidRDefault="0001781A" w:rsidP="00AC67CA">
            <w:pPr>
              <w:tabs>
                <w:tab w:val="decimal" w:pos="611"/>
              </w:tabs>
              <w:spacing w:before="40" w:after="4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rPr>
            </w:pPr>
            <w:r w:rsidRPr="000973F2">
              <w:rPr>
                <w:rFonts w:ascii="Times New Roman" w:hAnsi="Times New Roman" w:cs="Times New Roman"/>
                <w:sz w:val="18"/>
                <w:szCs w:val="18"/>
              </w:rPr>
              <w:t>3</w:t>
            </w:r>
          </w:p>
        </w:tc>
        <w:tc>
          <w:tcPr>
            <w:tcW w:w="1318" w:type="dxa"/>
          </w:tcPr>
          <w:p w14:paraId="33404C96" w14:textId="77777777" w:rsidR="0001781A" w:rsidRPr="000973F2" w:rsidRDefault="0001781A" w:rsidP="00AC67CA">
            <w:pPr>
              <w:tabs>
                <w:tab w:val="decimal" w:pos="649"/>
              </w:tabs>
              <w:spacing w:before="40" w:after="4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rPr>
            </w:pPr>
            <w:r w:rsidRPr="000973F2">
              <w:rPr>
                <w:rFonts w:ascii="Times New Roman" w:hAnsi="Times New Roman" w:cs="Times New Roman"/>
                <w:sz w:val="18"/>
                <w:szCs w:val="18"/>
              </w:rPr>
              <w:t>66</w:t>
            </w:r>
          </w:p>
        </w:tc>
        <w:tc>
          <w:tcPr>
            <w:tcW w:w="1317" w:type="dxa"/>
          </w:tcPr>
          <w:p w14:paraId="44C6E47E" w14:textId="77777777" w:rsidR="0001781A" w:rsidRPr="000973F2" w:rsidRDefault="0001781A" w:rsidP="00AC67CA">
            <w:pPr>
              <w:tabs>
                <w:tab w:val="decimal" w:pos="620"/>
              </w:tabs>
              <w:spacing w:before="40" w:after="4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rPr>
            </w:pPr>
            <w:r w:rsidRPr="000973F2">
              <w:rPr>
                <w:rFonts w:ascii="Times New Roman" w:hAnsi="Times New Roman" w:cs="Times New Roman"/>
                <w:sz w:val="18"/>
                <w:szCs w:val="18"/>
              </w:rPr>
              <w:t>3</w:t>
            </w:r>
          </w:p>
        </w:tc>
        <w:tc>
          <w:tcPr>
            <w:tcW w:w="1318" w:type="dxa"/>
          </w:tcPr>
          <w:p w14:paraId="1D3892FD" w14:textId="77777777" w:rsidR="0001781A" w:rsidRPr="000973F2" w:rsidRDefault="0001781A" w:rsidP="00AC67CA">
            <w:pPr>
              <w:tabs>
                <w:tab w:val="decimal" w:pos="766"/>
              </w:tabs>
              <w:spacing w:before="40" w:after="4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rPr>
            </w:pPr>
            <w:r w:rsidRPr="000973F2">
              <w:rPr>
                <w:rFonts w:ascii="Times New Roman" w:hAnsi="Times New Roman" w:cs="Times New Roman"/>
                <w:sz w:val="18"/>
                <w:szCs w:val="18"/>
              </w:rPr>
              <w:t>69</w:t>
            </w:r>
          </w:p>
        </w:tc>
        <w:tc>
          <w:tcPr>
            <w:tcW w:w="1317" w:type="dxa"/>
          </w:tcPr>
          <w:p w14:paraId="1E6BA5E4" w14:textId="77777777" w:rsidR="0001781A" w:rsidRPr="000973F2" w:rsidRDefault="0001781A" w:rsidP="00AC67CA">
            <w:pPr>
              <w:tabs>
                <w:tab w:val="decimal" w:pos="653"/>
              </w:tabs>
              <w:spacing w:before="40" w:after="4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rPr>
            </w:pPr>
            <w:r w:rsidRPr="000973F2">
              <w:rPr>
                <w:rFonts w:ascii="Times New Roman" w:hAnsi="Times New Roman" w:cs="Times New Roman"/>
                <w:sz w:val="18"/>
                <w:szCs w:val="18"/>
              </w:rPr>
              <w:t>3</w:t>
            </w:r>
          </w:p>
        </w:tc>
        <w:tc>
          <w:tcPr>
            <w:tcW w:w="1318" w:type="dxa"/>
          </w:tcPr>
          <w:p w14:paraId="22C7D53A" w14:textId="77777777" w:rsidR="0001781A" w:rsidRPr="000973F2" w:rsidRDefault="0001781A" w:rsidP="00AC67CA">
            <w:pPr>
              <w:tabs>
                <w:tab w:val="decimal" w:pos="691"/>
              </w:tabs>
              <w:spacing w:before="40" w:after="4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rPr>
            </w:pPr>
            <w:r w:rsidRPr="000973F2">
              <w:rPr>
                <w:rFonts w:ascii="Times New Roman" w:hAnsi="Times New Roman" w:cs="Times New Roman"/>
                <w:sz w:val="18"/>
                <w:szCs w:val="18"/>
              </w:rPr>
              <w:t>72</w:t>
            </w:r>
          </w:p>
        </w:tc>
      </w:tr>
      <w:tr w:rsidR="0001781A" w:rsidRPr="000973F2" w14:paraId="1E72F752" w14:textId="77777777" w:rsidTr="001A6C7E">
        <w:trPr>
          <w:cantSplit/>
        </w:trPr>
        <w:tc>
          <w:tcPr>
            <w:cnfStyle w:val="001000000000" w:firstRow="0" w:lastRow="0" w:firstColumn="1" w:lastColumn="0" w:oddVBand="0" w:evenVBand="0" w:oddHBand="0" w:evenHBand="0" w:firstRowFirstColumn="0" w:firstRowLastColumn="0" w:lastRowFirstColumn="0" w:lastRowLastColumn="0"/>
            <w:tcW w:w="1425" w:type="dxa"/>
          </w:tcPr>
          <w:p w14:paraId="61AF947A" w14:textId="77777777" w:rsidR="0001781A" w:rsidRPr="000973F2" w:rsidRDefault="0001781A" w:rsidP="00AC67CA">
            <w:pPr>
              <w:spacing w:before="40" w:after="40"/>
              <w:rPr>
                <w:rFonts w:ascii="Times New Roman" w:hAnsi="Times New Roman" w:cs="Times New Roman"/>
                <w:sz w:val="18"/>
                <w:szCs w:val="18"/>
              </w:rPr>
            </w:pPr>
            <w:r w:rsidRPr="000973F2">
              <w:rPr>
                <w:rFonts w:ascii="Times New Roman" w:hAnsi="Times New Roman" w:cs="Times New Roman"/>
                <w:sz w:val="18"/>
                <w:szCs w:val="18"/>
              </w:rPr>
              <w:t>40 CFR Part 75</w:t>
            </w:r>
          </w:p>
        </w:tc>
        <w:tc>
          <w:tcPr>
            <w:tcW w:w="1317" w:type="dxa"/>
          </w:tcPr>
          <w:p w14:paraId="27DFF825" w14:textId="77777777" w:rsidR="0001781A" w:rsidRPr="000973F2" w:rsidRDefault="0001781A" w:rsidP="00AC67CA">
            <w:pPr>
              <w:tabs>
                <w:tab w:val="decimal" w:pos="611"/>
              </w:tabs>
              <w:spacing w:before="40" w:after="4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0973F2">
              <w:rPr>
                <w:rFonts w:ascii="Times New Roman" w:hAnsi="Times New Roman" w:cs="Times New Roman"/>
                <w:sz w:val="18"/>
                <w:szCs w:val="18"/>
              </w:rPr>
              <w:t>1</w:t>
            </w:r>
          </w:p>
        </w:tc>
        <w:tc>
          <w:tcPr>
            <w:tcW w:w="1318" w:type="dxa"/>
          </w:tcPr>
          <w:p w14:paraId="563F6587" w14:textId="77777777" w:rsidR="0001781A" w:rsidRPr="000973F2" w:rsidRDefault="0001781A" w:rsidP="00AC67CA">
            <w:pPr>
              <w:tabs>
                <w:tab w:val="decimal" w:pos="649"/>
              </w:tabs>
              <w:spacing w:before="40" w:after="4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0973F2">
              <w:rPr>
                <w:rFonts w:ascii="Times New Roman" w:hAnsi="Times New Roman" w:cs="Times New Roman"/>
                <w:sz w:val="18"/>
                <w:szCs w:val="18"/>
              </w:rPr>
              <w:t>32</w:t>
            </w:r>
          </w:p>
        </w:tc>
        <w:tc>
          <w:tcPr>
            <w:tcW w:w="1317" w:type="dxa"/>
          </w:tcPr>
          <w:p w14:paraId="5926CDD3" w14:textId="77777777" w:rsidR="0001781A" w:rsidRPr="000973F2" w:rsidRDefault="0001781A" w:rsidP="00AC67CA">
            <w:pPr>
              <w:tabs>
                <w:tab w:val="decimal" w:pos="620"/>
              </w:tabs>
              <w:spacing w:before="40" w:after="4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0973F2">
              <w:rPr>
                <w:rFonts w:ascii="Times New Roman" w:hAnsi="Times New Roman" w:cs="Times New Roman"/>
                <w:sz w:val="18"/>
                <w:szCs w:val="18"/>
              </w:rPr>
              <w:t>1</w:t>
            </w:r>
          </w:p>
        </w:tc>
        <w:tc>
          <w:tcPr>
            <w:tcW w:w="1318" w:type="dxa"/>
          </w:tcPr>
          <w:p w14:paraId="40B2F311" w14:textId="77777777" w:rsidR="0001781A" w:rsidRPr="000973F2" w:rsidRDefault="0001781A" w:rsidP="00AC67CA">
            <w:pPr>
              <w:tabs>
                <w:tab w:val="decimal" w:pos="766"/>
              </w:tabs>
              <w:spacing w:before="40" w:after="4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0973F2">
              <w:rPr>
                <w:rFonts w:ascii="Times New Roman" w:hAnsi="Times New Roman" w:cs="Times New Roman"/>
                <w:sz w:val="18"/>
                <w:szCs w:val="18"/>
              </w:rPr>
              <w:t>34</w:t>
            </w:r>
          </w:p>
        </w:tc>
        <w:tc>
          <w:tcPr>
            <w:tcW w:w="1317" w:type="dxa"/>
          </w:tcPr>
          <w:p w14:paraId="2C239DBB" w14:textId="77777777" w:rsidR="0001781A" w:rsidRPr="000973F2" w:rsidRDefault="0001781A" w:rsidP="00AC67CA">
            <w:pPr>
              <w:tabs>
                <w:tab w:val="decimal" w:pos="653"/>
              </w:tabs>
              <w:spacing w:before="40" w:after="4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0973F2">
              <w:rPr>
                <w:rFonts w:ascii="Times New Roman" w:hAnsi="Times New Roman" w:cs="Times New Roman"/>
                <w:sz w:val="18"/>
                <w:szCs w:val="18"/>
              </w:rPr>
              <w:t>1</w:t>
            </w:r>
          </w:p>
        </w:tc>
        <w:tc>
          <w:tcPr>
            <w:tcW w:w="1318" w:type="dxa"/>
          </w:tcPr>
          <w:p w14:paraId="6D66DE81" w14:textId="77777777" w:rsidR="0001781A" w:rsidRPr="000973F2" w:rsidRDefault="0001781A" w:rsidP="00AC67CA">
            <w:pPr>
              <w:tabs>
                <w:tab w:val="decimal" w:pos="691"/>
              </w:tabs>
              <w:spacing w:before="40" w:after="4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0973F2">
              <w:rPr>
                <w:rFonts w:ascii="Times New Roman" w:hAnsi="Times New Roman" w:cs="Times New Roman"/>
                <w:sz w:val="18"/>
                <w:szCs w:val="18"/>
              </w:rPr>
              <w:t>35</w:t>
            </w:r>
          </w:p>
        </w:tc>
      </w:tr>
      <w:tr w:rsidR="0001781A" w:rsidRPr="000973F2" w14:paraId="674B3709" w14:textId="77777777" w:rsidTr="001A6C7E">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1425" w:type="dxa"/>
          </w:tcPr>
          <w:p w14:paraId="3B86D364" w14:textId="77777777" w:rsidR="0001781A" w:rsidRPr="000973F2" w:rsidRDefault="0001781A" w:rsidP="00AC67CA">
            <w:pPr>
              <w:spacing w:before="40" w:after="40"/>
              <w:rPr>
                <w:rFonts w:ascii="Times New Roman" w:hAnsi="Times New Roman" w:cs="Times New Roman"/>
                <w:b/>
                <w:sz w:val="18"/>
                <w:szCs w:val="18"/>
              </w:rPr>
            </w:pPr>
            <w:r w:rsidRPr="000973F2">
              <w:rPr>
                <w:rFonts w:ascii="Times New Roman" w:hAnsi="Times New Roman" w:cs="Times New Roman"/>
                <w:b/>
                <w:sz w:val="18"/>
                <w:szCs w:val="18"/>
              </w:rPr>
              <w:t>Total</w:t>
            </w:r>
          </w:p>
        </w:tc>
        <w:tc>
          <w:tcPr>
            <w:tcW w:w="1317" w:type="dxa"/>
          </w:tcPr>
          <w:p w14:paraId="3E686B8F" w14:textId="77777777" w:rsidR="0001781A" w:rsidRPr="000973F2" w:rsidRDefault="0001781A" w:rsidP="00AC67CA">
            <w:pPr>
              <w:tabs>
                <w:tab w:val="decimal" w:pos="611"/>
              </w:tabs>
              <w:spacing w:before="40" w:after="4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18"/>
                <w:szCs w:val="18"/>
              </w:rPr>
            </w:pPr>
            <w:r w:rsidRPr="000973F2">
              <w:rPr>
                <w:rFonts w:ascii="Times New Roman" w:hAnsi="Times New Roman" w:cs="Times New Roman"/>
                <w:b/>
                <w:sz w:val="18"/>
                <w:szCs w:val="18"/>
              </w:rPr>
              <w:t>161</w:t>
            </w:r>
          </w:p>
        </w:tc>
        <w:tc>
          <w:tcPr>
            <w:tcW w:w="1318" w:type="dxa"/>
          </w:tcPr>
          <w:p w14:paraId="46F32AAF" w14:textId="77777777" w:rsidR="0001781A" w:rsidRPr="000973F2" w:rsidRDefault="0001781A" w:rsidP="00AC67CA">
            <w:pPr>
              <w:tabs>
                <w:tab w:val="decimal" w:pos="649"/>
              </w:tabs>
              <w:spacing w:before="40" w:after="4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18"/>
                <w:szCs w:val="18"/>
              </w:rPr>
            </w:pPr>
            <w:r w:rsidRPr="000973F2">
              <w:rPr>
                <w:rFonts w:ascii="Times New Roman" w:hAnsi="Times New Roman" w:cs="Times New Roman"/>
                <w:b/>
                <w:sz w:val="18"/>
                <w:szCs w:val="18"/>
              </w:rPr>
              <w:t>3,629</w:t>
            </w:r>
          </w:p>
        </w:tc>
        <w:tc>
          <w:tcPr>
            <w:tcW w:w="1317" w:type="dxa"/>
          </w:tcPr>
          <w:p w14:paraId="79B95E54" w14:textId="77777777" w:rsidR="0001781A" w:rsidRPr="000973F2" w:rsidRDefault="0001781A" w:rsidP="00AC67CA">
            <w:pPr>
              <w:tabs>
                <w:tab w:val="decimal" w:pos="620"/>
              </w:tabs>
              <w:spacing w:before="40" w:after="4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18"/>
                <w:szCs w:val="18"/>
              </w:rPr>
            </w:pPr>
            <w:r w:rsidRPr="000973F2">
              <w:rPr>
                <w:rFonts w:ascii="Times New Roman" w:hAnsi="Times New Roman" w:cs="Times New Roman"/>
                <w:b/>
                <w:sz w:val="18"/>
                <w:szCs w:val="18"/>
              </w:rPr>
              <w:t>161</w:t>
            </w:r>
          </w:p>
        </w:tc>
        <w:tc>
          <w:tcPr>
            <w:tcW w:w="1318" w:type="dxa"/>
          </w:tcPr>
          <w:p w14:paraId="5764A5CA" w14:textId="77777777" w:rsidR="0001781A" w:rsidRPr="000973F2" w:rsidRDefault="0001781A" w:rsidP="00AC67CA">
            <w:pPr>
              <w:tabs>
                <w:tab w:val="decimal" w:pos="766"/>
              </w:tabs>
              <w:spacing w:before="40" w:after="4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18"/>
                <w:szCs w:val="18"/>
              </w:rPr>
            </w:pPr>
            <w:r w:rsidRPr="000973F2">
              <w:rPr>
                <w:rFonts w:ascii="Times New Roman" w:hAnsi="Times New Roman" w:cs="Times New Roman"/>
                <w:b/>
                <w:sz w:val="18"/>
                <w:szCs w:val="18"/>
              </w:rPr>
              <w:t>3,790</w:t>
            </w:r>
          </w:p>
        </w:tc>
        <w:tc>
          <w:tcPr>
            <w:tcW w:w="1317" w:type="dxa"/>
          </w:tcPr>
          <w:p w14:paraId="4B39182A" w14:textId="77777777" w:rsidR="0001781A" w:rsidRPr="000973F2" w:rsidRDefault="0001781A" w:rsidP="00AC67CA">
            <w:pPr>
              <w:tabs>
                <w:tab w:val="decimal" w:pos="653"/>
              </w:tabs>
              <w:spacing w:before="40" w:after="4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18"/>
                <w:szCs w:val="18"/>
              </w:rPr>
            </w:pPr>
            <w:r w:rsidRPr="000973F2">
              <w:rPr>
                <w:rFonts w:ascii="Times New Roman" w:hAnsi="Times New Roman" w:cs="Times New Roman"/>
                <w:b/>
                <w:sz w:val="18"/>
                <w:szCs w:val="18"/>
              </w:rPr>
              <w:t>161</w:t>
            </w:r>
          </w:p>
        </w:tc>
        <w:tc>
          <w:tcPr>
            <w:tcW w:w="1318" w:type="dxa"/>
          </w:tcPr>
          <w:p w14:paraId="6860DEAB" w14:textId="77777777" w:rsidR="0001781A" w:rsidRPr="000973F2" w:rsidRDefault="0001781A" w:rsidP="00AC67CA">
            <w:pPr>
              <w:tabs>
                <w:tab w:val="decimal" w:pos="691"/>
              </w:tabs>
              <w:spacing w:before="40" w:after="4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18"/>
                <w:szCs w:val="18"/>
              </w:rPr>
            </w:pPr>
            <w:r w:rsidRPr="000973F2">
              <w:rPr>
                <w:rFonts w:ascii="Times New Roman" w:hAnsi="Times New Roman" w:cs="Times New Roman"/>
                <w:b/>
                <w:sz w:val="18"/>
                <w:szCs w:val="18"/>
              </w:rPr>
              <w:t>3,951</w:t>
            </w:r>
          </w:p>
        </w:tc>
      </w:tr>
    </w:tbl>
    <w:p w14:paraId="79B9F7D6" w14:textId="77777777" w:rsidR="001A17A0" w:rsidRPr="000973F2" w:rsidRDefault="0001781A" w:rsidP="00AC67CA">
      <w:pPr>
        <w:pStyle w:val="BodyTextfirst"/>
      </w:pPr>
      <w:r w:rsidRPr="000973F2">
        <w:t xml:space="preserve">Table </w:t>
      </w:r>
      <w:r w:rsidR="001A6C7E" w:rsidRPr="000973F2">
        <w:t>C-</w:t>
      </w:r>
      <w:r w:rsidRPr="000973F2">
        <w:t xml:space="preserve">2a through Table </w:t>
      </w:r>
      <w:r w:rsidR="001A6C7E" w:rsidRPr="000973F2">
        <w:t>C-</w:t>
      </w:r>
      <w:r w:rsidRPr="000973F2">
        <w:t xml:space="preserve">2f summarize the expected labor costs for Subpart C. Most of the time required to comply with Subpart C is expected to be completed by the industrial engineer/technician labor category. Labor costs incurred for planning, QA/QC, recordkeeping, and reporting activities by any facility reporting to Subpart C are detailed </w:t>
      </w:r>
      <w:r w:rsidR="00883590" w:rsidRPr="000973F2">
        <w:t xml:space="preserve">as General Facility costs </w:t>
      </w:r>
      <w:r w:rsidRPr="000973F2">
        <w:t xml:space="preserve">in Table </w:t>
      </w:r>
      <w:r w:rsidR="001A6C7E" w:rsidRPr="000973F2">
        <w:t>C-</w:t>
      </w:r>
      <w:r w:rsidRPr="000973F2">
        <w:t xml:space="preserve">2a only. Recordkeeping and reporting labor costs are based on the “medium bin” designation as discussed in the Cost Appendix Introduction. Additional sampling and analysis labor costs specific to each tier approach are detailed in Table </w:t>
      </w:r>
      <w:r w:rsidR="001A17A0" w:rsidRPr="000973F2">
        <w:t>C-</w:t>
      </w:r>
      <w:r w:rsidRPr="000973F2">
        <w:t xml:space="preserve">2b through Table </w:t>
      </w:r>
      <w:r w:rsidR="001A17A0" w:rsidRPr="000973F2">
        <w:t>C-</w:t>
      </w:r>
      <w:r w:rsidRPr="000973F2">
        <w:t xml:space="preserve">2f. These costs are incurred only by the facilities that report using the specified </w:t>
      </w:r>
      <w:r w:rsidR="00883590" w:rsidRPr="000973F2">
        <w:t>t</w:t>
      </w:r>
      <w:r w:rsidRPr="000973F2">
        <w:t>ier. Activities included in each labor category are detailed in Appendix F to the Supporting Statement. In the tables below, costs are provided on a per facility basis and are presented separately for facilities that reported only to Subpart C and for facilities that reported to Subpart C with at least one additional subpart.</w:t>
      </w:r>
    </w:p>
    <w:p w14:paraId="632F89DB" w14:textId="7D953385" w:rsidR="0001781A" w:rsidRPr="000973F2" w:rsidRDefault="0001781A" w:rsidP="00EE0727">
      <w:pPr>
        <w:pStyle w:val="Tabletitle"/>
      </w:pPr>
      <w:r w:rsidRPr="000973F2">
        <w:t xml:space="preserve">Table </w:t>
      </w:r>
      <w:r w:rsidR="001A17A0" w:rsidRPr="000973F2">
        <w:t>C-</w:t>
      </w:r>
      <w:r w:rsidRPr="000973F2">
        <w:t>2a. Labor Costs</w:t>
      </w:r>
      <w:r w:rsidR="00CC6C17" w:rsidRPr="000973F2">
        <w:t xml:space="preserve"> – </w:t>
      </w:r>
      <w:r w:rsidRPr="000973F2">
        <w:t>Subpart C</w:t>
      </w:r>
      <w:r w:rsidR="00CC6C17" w:rsidRPr="000973F2">
        <w:t xml:space="preserve"> – </w:t>
      </w:r>
      <w:r w:rsidRPr="000973F2">
        <w:t>General Facility</w:t>
      </w:r>
    </w:p>
    <w:p w14:paraId="31C87E30" w14:textId="77777777" w:rsidR="0001781A" w:rsidRPr="000973F2" w:rsidRDefault="0001781A" w:rsidP="00C00E4F">
      <w:pPr>
        <w:rPr>
          <w:i/>
        </w:rPr>
      </w:pPr>
      <w:r w:rsidRPr="000973F2">
        <w:rPr>
          <w:rFonts w:ascii="Times New Roman" w:hAnsi="Times New Roman" w:cs="Times New Roman"/>
          <w:i/>
        </w:rPr>
        <w:t>Subpart C only</w:t>
      </w:r>
    </w:p>
    <w:tbl>
      <w:tblPr>
        <w:tblStyle w:val="PlainTable1"/>
        <w:tblW w:w="5000" w:type="pct"/>
        <w:jc w:val="left"/>
        <w:tblLayout w:type="fixed"/>
        <w:tblCellMar>
          <w:left w:w="115" w:type="dxa"/>
          <w:right w:w="115" w:type="dxa"/>
        </w:tblCellMar>
        <w:tblLook w:val="04A0" w:firstRow="1" w:lastRow="0" w:firstColumn="1" w:lastColumn="0" w:noHBand="0" w:noVBand="1"/>
      </w:tblPr>
      <w:tblGrid>
        <w:gridCol w:w="1269"/>
        <w:gridCol w:w="805"/>
        <w:gridCol w:w="808"/>
        <w:gridCol w:w="808"/>
        <w:gridCol w:w="806"/>
        <w:gridCol w:w="808"/>
        <w:gridCol w:w="808"/>
        <w:gridCol w:w="848"/>
        <w:gridCol w:w="850"/>
        <w:gridCol w:w="848"/>
        <w:gridCol w:w="846"/>
      </w:tblGrid>
      <w:tr w:rsidR="0001781A" w:rsidRPr="000973F2" w14:paraId="7D8EC7BC" w14:textId="77777777" w:rsidTr="00D47101">
        <w:trPr>
          <w:cnfStyle w:val="100000000000" w:firstRow="1" w:lastRow="0" w:firstColumn="0" w:lastColumn="0" w:oddVBand="0" w:evenVBand="0" w:oddHBand="0" w:evenHBand="0" w:firstRowFirstColumn="0" w:firstRowLastColumn="0" w:lastRowFirstColumn="0" w:lastRowLastColumn="0"/>
          <w:cantSplit/>
          <w:jc w:val="left"/>
        </w:trPr>
        <w:tc>
          <w:tcPr>
            <w:cnfStyle w:val="001000000000" w:firstRow="0" w:lastRow="0" w:firstColumn="1" w:lastColumn="0" w:oddVBand="0" w:evenVBand="0" w:oddHBand="0" w:evenHBand="0" w:firstRowFirstColumn="0" w:firstRowLastColumn="0" w:lastRowFirstColumn="0" w:lastRowLastColumn="0"/>
            <w:tcW w:w="668" w:type="pct"/>
            <w:vMerge w:val="restart"/>
            <w:noWrap/>
            <w:vAlign w:val="top"/>
            <w:hideMark/>
          </w:tcPr>
          <w:p w14:paraId="739DB2EE" w14:textId="77777777" w:rsidR="0001781A" w:rsidRPr="000973F2" w:rsidRDefault="0001781A" w:rsidP="00EE0727">
            <w:pPr>
              <w:spacing w:before="40" w:after="40"/>
              <w:rPr>
                <w:rFonts w:ascii="Times New Roman" w:eastAsia="Times New Roman" w:hAnsi="Times New Roman" w:cs="Times New Roman"/>
                <w:b w:val="0"/>
                <w:bCs w:val="0"/>
                <w:sz w:val="18"/>
                <w:szCs w:val="18"/>
              </w:rPr>
            </w:pPr>
            <w:r w:rsidRPr="000973F2">
              <w:rPr>
                <w:rFonts w:ascii="Times New Roman" w:eastAsia="Times New Roman" w:hAnsi="Times New Roman" w:cs="Times New Roman"/>
                <w:sz w:val="18"/>
                <w:szCs w:val="18"/>
              </w:rPr>
              <w:t>Activity</w:t>
            </w:r>
          </w:p>
        </w:tc>
        <w:tc>
          <w:tcPr>
            <w:tcW w:w="3441" w:type="pct"/>
            <w:gridSpan w:val="8"/>
            <w:noWrap/>
            <w:tcMar>
              <w:left w:w="29" w:type="dxa"/>
              <w:right w:w="29" w:type="dxa"/>
            </w:tcMar>
            <w:vAlign w:val="top"/>
            <w:hideMark/>
          </w:tcPr>
          <w:p w14:paraId="03E636D9" w14:textId="77777777" w:rsidR="0001781A" w:rsidRPr="000973F2" w:rsidRDefault="0001781A" w:rsidP="00EE0727">
            <w:pPr>
              <w:spacing w:before="40" w:after="40"/>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bCs w:val="0"/>
                <w:sz w:val="18"/>
                <w:szCs w:val="18"/>
              </w:rPr>
            </w:pPr>
            <w:r w:rsidRPr="000973F2">
              <w:rPr>
                <w:rFonts w:ascii="Times New Roman" w:eastAsia="Times New Roman" w:hAnsi="Times New Roman" w:cs="Times New Roman"/>
                <w:sz w:val="18"/>
                <w:szCs w:val="18"/>
              </w:rPr>
              <w:t>Labor Rates (per hour)</w:t>
            </w:r>
          </w:p>
        </w:tc>
        <w:tc>
          <w:tcPr>
            <w:tcW w:w="891" w:type="pct"/>
            <w:gridSpan w:val="2"/>
            <w:vMerge w:val="restart"/>
            <w:tcMar>
              <w:left w:w="29" w:type="dxa"/>
              <w:right w:w="29" w:type="dxa"/>
            </w:tcMar>
            <w:vAlign w:val="top"/>
            <w:hideMark/>
          </w:tcPr>
          <w:p w14:paraId="31D2C2FA" w14:textId="77777777" w:rsidR="0001781A" w:rsidRPr="000973F2" w:rsidRDefault="0001781A" w:rsidP="00EE0727">
            <w:pPr>
              <w:spacing w:before="40" w:after="40"/>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bCs w:val="0"/>
                <w:sz w:val="18"/>
                <w:szCs w:val="18"/>
              </w:rPr>
            </w:pPr>
            <w:r w:rsidRPr="000973F2">
              <w:rPr>
                <w:rFonts w:ascii="Times New Roman" w:eastAsia="Times New Roman" w:hAnsi="Times New Roman" w:cs="Times New Roman"/>
                <w:sz w:val="18"/>
                <w:szCs w:val="18"/>
              </w:rPr>
              <w:t>Total Labor Cost per Year per Facility (2017$)</w:t>
            </w:r>
          </w:p>
        </w:tc>
      </w:tr>
      <w:tr w:rsidR="0001781A" w:rsidRPr="000973F2" w14:paraId="75B3F62D" w14:textId="77777777" w:rsidTr="00D47101">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668" w:type="pct"/>
            <w:vMerge/>
            <w:hideMark/>
          </w:tcPr>
          <w:p w14:paraId="69916C1C" w14:textId="77777777" w:rsidR="0001781A" w:rsidRPr="000973F2" w:rsidRDefault="0001781A" w:rsidP="00EE0727">
            <w:pPr>
              <w:spacing w:before="40" w:after="40"/>
              <w:rPr>
                <w:rFonts w:ascii="Times New Roman" w:eastAsia="Times New Roman" w:hAnsi="Times New Roman" w:cs="Times New Roman"/>
                <w:b/>
                <w:bCs w:val="0"/>
                <w:sz w:val="18"/>
                <w:szCs w:val="18"/>
              </w:rPr>
            </w:pPr>
          </w:p>
        </w:tc>
        <w:tc>
          <w:tcPr>
            <w:tcW w:w="849" w:type="pct"/>
            <w:gridSpan w:val="2"/>
            <w:noWrap/>
            <w:tcMar>
              <w:left w:w="29" w:type="dxa"/>
              <w:right w:w="29" w:type="dxa"/>
            </w:tcMar>
            <w:hideMark/>
          </w:tcPr>
          <w:p w14:paraId="0AED4EE8" w14:textId="77777777" w:rsidR="0001781A" w:rsidRPr="000973F2" w:rsidRDefault="0001781A" w:rsidP="00EE0727">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18"/>
                <w:szCs w:val="18"/>
              </w:rPr>
            </w:pPr>
            <w:r w:rsidRPr="000973F2">
              <w:rPr>
                <w:rFonts w:ascii="Times New Roman" w:eastAsia="Times New Roman" w:hAnsi="Times New Roman" w:cs="Times New Roman"/>
                <w:b/>
                <w:bCs/>
                <w:sz w:val="18"/>
                <w:szCs w:val="18"/>
              </w:rPr>
              <w:t>Lawyer</w:t>
            </w:r>
          </w:p>
        </w:tc>
        <w:tc>
          <w:tcPr>
            <w:tcW w:w="849" w:type="pct"/>
            <w:gridSpan w:val="2"/>
            <w:noWrap/>
            <w:tcMar>
              <w:left w:w="29" w:type="dxa"/>
              <w:right w:w="29" w:type="dxa"/>
            </w:tcMar>
            <w:hideMark/>
          </w:tcPr>
          <w:p w14:paraId="4CF8E0DD" w14:textId="77777777" w:rsidR="0001781A" w:rsidRPr="000973F2" w:rsidRDefault="0001781A" w:rsidP="00EE0727">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18"/>
                <w:szCs w:val="18"/>
              </w:rPr>
            </w:pPr>
            <w:r w:rsidRPr="000973F2">
              <w:rPr>
                <w:rFonts w:ascii="Times New Roman" w:eastAsia="Times New Roman" w:hAnsi="Times New Roman" w:cs="Times New Roman"/>
                <w:b/>
                <w:bCs/>
                <w:sz w:val="18"/>
                <w:szCs w:val="18"/>
              </w:rPr>
              <w:t>Industrial Manager</w:t>
            </w:r>
          </w:p>
        </w:tc>
        <w:tc>
          <w:tcPr>
            <w:tcW w:w="850" w:type="pct"/>
            <w:gridSpan w:val="2"/>
            <w:tcMar>
              <w:left w:w="29" w:type="dxa"/>
              <w:right w:w="29" w:type="dxa"/>
            </w:tcMar>
            <w:hideMark/>
          </w:tcPr>
          <w:p w14:paraId="02D75C2D" w14:textId="1CAC4B76" w:rsidR="0001781A" w:rsidRPr="000973F2" w:rsidRDefault="0001781A" w:rsidP="00EE0727">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18"/>
                <w:szCs w:val="18"/>
              </w:rPr>
            </w:pPr>
            <w:r w:rsidRPr="000973F2">
              <w:rPr>
                <w:rFonts w:ascii="Times New Roman" w:eastAsia="Times New Roman" w:hAnsi="Times New Roman" w:cs="Times New Roman"/>
                <w:b/>
                <w:bCs/>
                <w:sz w:val="18"/>
                <w:szCs w:val="18"/>
              </w:rPr>
              <w:t>Industrial Engineer/</w:t>
            </w:r>
            <w:r w:rsidR="00EE0727" w:rsidRPr="000973F2">
              <w:rPr>
                <w:rFonts w:ascii="Times New Roman" w:eastAsia="Times New Roman" w:hAnsi="Times New Roman" w:cs="Times New Roman"/>
                <w:b/>
                <w:bCs/>
                <w:sz w:val="18"/>
                <w:szCs w:val="18"/>
              </w:rPr>
              <w:t xml:space="preserve"> </w:t>
            </w:r>
            <w:r w:rsidRPr="000973F2">
              <w:rPr>
                <w:rFonts w:ascii="Times New Roman" w:eastAsia="Times New Roman" w:hAnsi="Times New Roman" w:cs="Times New Roman"/>
                <w:b/>
                <w:bCs/>
                <w:sz w:val="18"/>
                <w:szCs w:val="18"/>
              </w:rPr>
              <w:t>Technician</w:t>
            </w:r>
          </w:p>
        </w:tc>
        <w:tc>
          <w:tcPr>
            <w:tcW w:w="893" w:type="pct"/>
            <w:gridSpan w:val="2"/>
            <w:tcMar>
              <w:left w:w="29" w:type="dxa"/>
              <w:right w:w="29" w:type="dxa"/>
            </w:tcMar>
            <w:hideMark/>
          </w:tcPr>
          <w:p w14:paraId="1AF7CE51" w14:textId="77777777" w:rsidR="0001781A" w:rsidRPr="000973F2" w:rsidRDefault="0001781A" w:rsidP="00EE0727">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18"/>
                <w:szCs w:val="18"/>
              </w:rPr>
            </w:pPr>
            <w:r w:rsidRPr="000973F2">
              <w:rPr>
                <w:rFonts w:ascii="Times New Roman" w:eastAsia="Times New Roman" w:hAnsi="Times New Roman" w:cs="Times New Roman"/>
                <w:b/>
                <w:bCs/>
                <w:sz w:val="18"/>
                <w:szCs w:val="18"/>
              </w:rPr>
              <w:t>Administrative Support</w:t>
            </w:r>
          </w:p>
        </w:tc>
        <w:tc>
          <w:tcPr>
            <w:tcW w:w="891" w:type="pct"/>
            <w:gridSpan w:val="2"/>
            <w:vMerge/>
            <w:tcMar>
              <w:left w:w="29" w:type="dxa"/>
              <w:right w:w="29" w:type="dxa"/>
            </w:tcMar>
            <w:hideMark/>
          </w:tcPr>
          <w:p w14:paraId="2FB2B419" w14:textId="77777777" w:rsidR="0001781A" w:rsidRPr="000973F2" w:rsidRDefault="0001781A" w:rsidP="00EE0727">
            <w:pPr>
              <w:spacing w:before="40" w:after="4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18"/>
                <w:szCs w:val="18"/>
              </w:rPr>
            </w:pPr>
          </w:p>
        </w:tc>
      </w:tr>
      <w:tr w:rsidR="0001781A" w:rsidRPr="000973F2" w14:paraId="6B3E0CB0" w14:textId="77777777" w:rsidTr="00D47101">
        <w:trPr>
          <w:cantSplit/>
        </w:trPr>
        <w:tc>
          <w:tcPr>
            <w:cnfStyle w:val="001000000000" w:firstRow="0" w:lastRow="0" w:firstColumn="1" w:lastColumn="0" w:oddVBand="0" w:evenVBand="0" w:oddHBand="0" w:evenHBand="0" w:firstRowFirstColumn="0" w:firstRowLastColumn="0" w:lastRowFirstColumn="0" w:lastRowLastColumn="0"/>
            <w:tcW w:w="668" w:type="pct"/>
            <w:vMerge/>
            <w:hideMark/>
          </w:tcPr>
          <w:p w14:paraId="13F8070C" w14:textId="77777777" w:rsidR="0001781A" w:rsidRPr="000973F2" w:rsidRDefault="0001781A" w:rsidP="00EE0727">
            <w:pPr>
              <w:spacing w:before="40" w:after="40"/>
              <w:rPr>
                <w:rFonts w:ascii="Times New Roman" w:eastAsia="Times New Roman" w:hAnsi="Times New Roman" w:cs="Times New Roman"/>
                <w:b/>
                <w:bCs w:val="0"/>
                <w:sz w:val="18"/>
                <w:szCs w:val="18"/>
              </w:rPr>
            </w:pPr>
          </w:p>
        </w:tc>
        <w:tc>
          <w:tcPr>
            <w:tcW w:w="849" w:type="pct"/>
            <w:gridSpan w:val="2"/>
            <w:noWrap/>
            <w:tcMar>
              <w:left w:w="29" w:type="dxa"/>
              <w:right w:w="29" w:type="dxa"/>
            </w:tcMar>
            <w:hideMark/>
          </w:tcPr>
          <w:p w14:paraId="2D332403" w14:textId="77777777" w:rsidR="0001781A" w:rsidRPr="000973F2" w:rsidRDefault="0001781A" w:rsidP="00EE0727">
            <w:pPr>
              <w:spacing w:before="40" w:after="4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sz w:val="18"/>
                <w:szCs w:val="18"/>
              </w:rPr>
            </w:pPr>
            <w:r w:rsidRPr="000973F2">
              <w:rPr>
                <w:rFonts w:ascii="Times New Roman" w:eastAsia="Times New Roman" w:hAnsi="Times New Roman" w:cs="Times New Roman"/>
                <w:b/>
                <w:bCs/>
                <w:sz w:val="18"/>
                <w:szCs w:val="18"/>
              </w:rPr>
              <w:t xml:space="preserve">$112.23 </w:t>
            </w:r>
          </w:p>
        </w:tc>
        <w:tc>
          <w:tcPr>
            <w:tcW w:w="849" w:type="pct"/>
            <w:gridSpan w:val="2"/>
            <w:noWrap/>
            <w:tcMar>
              <w:left w:w="29" w:type="dxa"/>
              <w:right w:w="29" w:type="dxa"/>
            </w:tcMar>
            <w:hideMark/>
          </w:tcPr>
          <w:p w14:paraId="1DF959F7" w14:textId="77777777" w:rsidR="0001781A" w:rsidRPr="000973F2" w:rsidRDefault="0001781A" w:rsidP="00EE0727">
            <w:pPr>
              <w:spacing w:before="40" w:after="4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sz w:val="18"/>
                <w:szCs w:val="18"/>
              </w:rPr>
            </w:pPr>
            <w:r w:rsidRPr="000973F2">
              <w:rPr>
                <w:rFonts w:ascii="Times New Roman" w:eastAsia="Times New Roman" w:hAnsi="Times New Roman" w:cs="Times New Roman"/>
                <w:b/>
                <w:bCs/>
                <w:sz w:val="18"/>
                <w:szCs w:val="18"/>
              </w:rPr>
              <w:t xml:space="preserve">$87.45 </w:t>
            </w:r>
          </w:p>
        </w:tc>
        <w:tc>
          <w:tcPr>
            <w:tcW w:w="850" w:type="pct"/>
            <w:gridSpan w:val="2"/>
            <w:noWrap/>
            <w:tcMar>
              <w:left w:w="29" w:type="dxa"/>
              <w:right w:w="29" w:type="dxa"/>
            </w:tcMar>
            <w:hideMark/>
          </w:tcPr>
          <w:p w14:paraId="01FD082A" w14:textId="77777777" w:rsidR="0001781A" w:rsidRPr="000973F2" w:rsidRDefault="0001781A" w:rsidP="00EE0727">
            <w:pPr>
              <w:spacing w:before="40" w:after="4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sz w:val="18"/>
                <w:szCs w:val="18"/>
              </w:rPr>
            </w:pPr>
            <w:r w:rsidRPr="000973F2">
              <w:rPr>
                <w:rFonts w:ascii="Times New Roman" w:eastAsia="Times New Roman" w:hAnsi="Times New Roman" w:cs="Times New Roman"/>
                <w:b/>
                <w:bCs/>
                <w:sz w:val="18"/>
                <w:szCs w:val="18"/>
              </w:rPr>
              <w:t xml:space="preserve">$71.45 </w:t>
            </w:r>
          </w:p>
        </w:tc>
        <w:tc>
          <w:tcPr>
            <w:tcW w:w="893" w:type="pct"/>
            <w:gridSpan w:val="2"/>
            <w:noWrap/>
            <w:tcMar>
              <w:left w:w="29" w:type="dxa"/>
              <w:right w:w="29" w:type="dxa"/>
            </w:tcMar>
            <w:hideMark/>
          </w:tcPr>
          <w:p w14:paraId="632EE5E8" w14:textId="77777777" w:rsidR="0001781A" w:rsidRPr="000973F2" w:rsidRDefault="0001781A" w:rsidP="00EE0727">
            <w:pPr>
              <w:spacing w:before="40" w:after="4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sz w:val="18"/>
                <w:szCs w:val="18"/>
              </w:rPr>
            </w:pPr>
            <w:r w:rsidRPr="000973F2">
              <w:rPr>
                <w:rFonts w:ascii="Times New Roman" w:eastAsia="Times New Roman" w:hAnsi="Times New Roman" w:cs="Times New Roman"/>
                <w:b/>
                <w:bCs/>
                <w:sz w:val="18"/>
                <w:szCs w:val="18"/>
              </w:rPr>
              <w:t xml:space="preserve">$36.28 </w:t>
            </w:r>
          </w:p>
        </w:tc>
        <w:tc>
          <w:tcPr>
            <w:tcW w:w="891" w:type="pct"/>
            <w:gridSpan w:val="2"/>
            <w:vMerge/>
            <w:tcMar>
              <w:left w:w="29" w:type="dxa"/>
              <w:right w:w="29" w:type="dxa"/>
            </w:tcMar>
            <w:hideMark/>
          </w:tcPr>
          <w:p w14:paraId="1936ED65" w14:textId="77777777" w:rsidR="0001781A" w:rsidRPr="000973F2" w:rsidRDefault="0001781A" w:rsidP="00EE0727">
            <w:pPr>
              <w:spacing w:before="40" w:after="4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sz w:val="18"/>
                <w:szCs w:val="18"/>
              </w:rPr>
            </w:pPr>
          </w:p>
        </w:tc>
      </w:tr>
      <w:tr w:rsidR="00EE0727" w:rsidRPr="000973F2" w14:paraId="56309FD4" w14:textId="77777777" w:rsidTr="00D47101">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668" w:type="pct"/>
            <w:vMerge/>
            <w:hideMark/>
          </w:tcPr>
          <w:p w14:paraId="4679A357" w14:textId="77777777" w:rsidR="0001781A" w:rsidRPr="000973F2" w:rsidRDefault="0001781A" w:rsidP="00EE0727">
            <w:pPr>
              <w:spacing w:before="40" w:after="40"/>
              <w:rPr>
                <w:rFonts w:ascii="Times New Roman" w:eastAsia="Times New Roman" w:hAnsi="Times New Roman" w:cs="Times New Roman"/>
                <w:b/>
                <w:bCs w:val="0"/>
                <w:sz w:val="18"/>
                <w:szCs w:val="18"/>
              </w:rPr>
            </w:pPr>
          </w:p>
        </w:tc>
        <w:tc>
          <w:tcPr>
            <w:tcW w:w="424" w:type="pct"/>
            <w:tcMar>
              <w:left w:w="29" w:type="dxa"/>
              <w:right w:w="29" w:type="dxa"/>
            </w:tcMar>
            <w:hideMark/>
          </w:tcPr>
          <w:p w14:paraId="0920EF55" w14:textId="3ED7E119" w:rsidR="0001781A" w:rsidRPr="000973F2" w:rsidRDefault="0001781A" w:rsidP="00EE0727">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18"/>
                <w:szCs w:val="18"/>
              </w:rPr>
            </w:pPr>
            <w:r w:rsidRPr="000973F2">
              <w:rPr>
                <w:rFonts w:ascii="Times New Roman" w:eastAsia="Times New Roman" w:hAnsi="Times New Roman" w:cs="Times New Roman"/>
                <w:b/>
                <w:bCs/>
                <w:sz w:val="18"/>
                <w:szCs w:val="18"/>
              </w:rPr>
              <w:t>Initial Year</w:t>
            </w:r>
            <w:r w:rsidR="001A17A0" w:rsidRPr="000973F2">
              <w:rPr>
                <w:rFonts w:ascii="Times New Roman" w:eastAsia="Times New Roman" w:hAnsi="Times New Roman" w:cs="Times New Roman"/>
                <w:b/>
                <w:bCs/>
                <w:sz w:val="18"/>
                <w:szCs w:val="18"/>
              </w:rPr>
              <w:t xml:space="preserve"> </w:t>
            </w:r>
            <w:r w:rsidRPr="000973F2">
              <w:rPr>
                <w:rFonts w:ascii="Times New Roman" w:eastAsia="Times New Roman" w:hAnsi="Times New Roman" w:cs="Times New Roman"/>
                <w:b/>
                <w:bCs/>
                <w:sz w:val="18"/>
                <w:szCs w:val="18"/>
              </w:rPr>
              <w:t>Hours</w:t>
            </w:r>
          </w:p>
        </w:tc>
        <w:tc>
          <w:tcPr>
            <w:tcW w:w="425" w:type="pct"/>
            <w:tcMar>
              <w:left w:w="29" w:type="dxa"/>
              <w:right w:w="29" w:type="dxa"/>
            </w:tcMar>
            <w:hideMark/>
          </w:tcPr>
          <w:p w14:paraId="08F2ECF4" w14:textId="7E139406" w:rsidR="0001781A" w:rsidRPr="000973F2" w:rsidRDefault="0001781A" w:rsidP="00EE0727">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18"/>
                <w:szCs w:val="18"/>
              </w:rPr>
            </w:pPr>
            <w:r w:rsidRPr="000973F2">
              <w:rPr>
                <w:rFonts w:ascii="Times New Roman" w:eastAsia="Times New Roman" w:hAnsi="Times New Roman" w:cs="Times New Roman"/>
                <w:b/>
                <w:bCs/>
                <w:sz w:val="18"/>
                <w:szCs w:val="18"/>
              </w:rPr>
              <w:t>Subseq. Year</w:t>
            </w:r>
            <w:r w:rsidR="001A17A0" w:rsidRPr="000973F2">
              <w:rPr>
                <w:rFonts w:ascii="Times New Roman" w:eastAsia="Times New Roman" w:hAnsi="Times New Roman" w:cs="Times New Roman"/>
                <w:b/>
                <w:bCs/>
                <w:sz w:val="18"/>
                <w:szCs w:val="18"/>
              </w:rPr>
              <w:t xml:space="preserve"> </w:t>
            </w:r>
            <w:r w:rsidRPr="000973F2">
              <w:rPr>
                <w:rFonts w:ascii="Times New Roman" w:eastAsia="Times New Roman" w:hAnsi="Times New Roman" w:cs="Times New Roman"/>
                <w:b/>
                <w:bCs/>
                <w:sz w:val="18"/>
                <w:szCs w:val="18"/>
              </w:rPr>
              <w:t>Hours</w:t>
            </w:r>
          </w:p>
        </w:tc>
        <w:tc>
          <w:tcPr>
            <w:tcW w:w="425" w:type="pct"/>
            <w:tcMar>
              <w:left w:w="29" w:type="dxa"/>
              <w:right w:w="29" w:type="dxa"/>
            </w:tcMar>
            <w:hideMark/>
          </w:tcPr>
          <w:p w14:paraId="417334A3" w14:textId="5CEF4359" w:rsidR="0001781A" w:rsidRPr="000973F2" w:rsidRDefault="0001781A" w:rsidP="00EE0727">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18"/>
                <w:szCs w:val="18"/>
              </w:rPr>
            </w:pPr>
            <w:r w:rsidRPr="000973F2">
              <w:rPr>
                <w:rFonts w:ascii="Times New Roman" w:eastAsia="Times New Roman" w:hAnsi="Times New Roman" w:cs="Times New Roman"/>
                <w:b/>
                <w:bCs/>
                <w:sz w:val="18"/>
                <w:szCs w:val="18"/>
              </w:rPr>
              <w:t>Initial Year</w:t>
            </w:r>
            <w:r w:rsidR="001A17A0" w:rsidRPr="000973F2">
              <w:rPr>
                <w:rFonts w:ascii="Times New Roman" w:eastAsia="Times New Roman" w:hAnsi="Times New Roman" w:cs="Times New Roman"/>
                <w:b/>
                <w:bCs/>
                <w:sz w:val="18"/>
                <w:szCs w:val="18"/>
              </w:rPr>
              <w:t xml:space="preserve"> </w:t>
            </w:r>
            <w:r w:rsidRPr="000973F2">
              <w:rPr>
                <w:rFonts w:ascii="Times New Roman" w:eastAsia="Times New Roman" w:hAnsi="Times New Roman" w:cs="Times New Roman"/>
                <w:b/>
                <w:bCs/>
                <w:sz w:val="18"/>
                <w:szCs w:val="18"/>
              </w:rPr>
              <w:t>Hours</w:t>
            </w:r>
          </w:p>
        </w:tc>
        <w:tc>
          <w:tcPr>
            <w:tcW w:w="424" w:type="pct"/>
            <w:tcMar>
              <w:left w:w="29" w:type="dxa"/>
              <w:right w:w="29" w:type="dxa"/>
            </w:tcMar>
            <w:hideMark/>
          </w:tcPr>
          <w:p w14:paraId="3BBF57FC" w14:textId="71038967" w:rsidR="0001781A" w:rsidRPr="000973F2" w:rsidRDefault="0001781A" w:rsidP="00EE0727">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18"/>
                <w:szCs w:val="18"/>
              </w:rPr>
            </w:pPr>
            <w:r w:rsidRPr="000973F2">
              <w:rPr>
                <w:rFonts w:ascii="Times New Roman" w:eastAsia="Times New Roman" w:hAnsi="Times New Roman" w:cs="Times New Roman"/>
                <w:b/>
                <w:bCs/>
                <w:sz w:val="18"/>
                <w:szCs w:val="18"/>
              </w:rPr>
              <w:t>Subseq. Year</w:t>
            </w:r>
            <w:r w:rsidR="001A17A0" w:rsidRPr="000973F2">
              <w:rPr>
                <w:rFonts w:ascii="Times New Roman" w:eastAsia="Times New Roman" w:hAnsi="Times New Roman" w:cs="Times New Roman"/>
                <w:b/>
                <w:bCs/>
                <w:sz w:val="18"/>
                <w:szCs w:val="18"/>
              </w:rPr>
              <w:t xml:space="preserve"> </w:t>
            </w:r>
            <w:r w:rsidRPr="000973F2">
              <w:rPr>
                <w:rFonts w:ascii="Times New Roman" w:eastAsia="Times New Roman" w:hAnsi="Times New Roman" w:cs="Times New Roman"/>
                <w:b/>
                <w:bCs/>
                <w:sz w:val="18"/>
                <w:szCs w:val="18"/>
              </w:rPr>
              <w:t>Hours</w:t>
            </w:r>
          </w:p>
        </w:tc>
        <w:tc>
          <w:tcPr>
            <w:tcW w:w="425" w:type="pct"/>
            <w:tcMar>
              <w:left w:w="29" w:type="dxa"/>
              <w:right w:w="29" w:type="dxa"/>
            </w:tcMar>
            <w:hideMark/>
          </w:tcPr>
          <w:p w14:paraId="14238C93" w14:textId="39D0811A" w:rsidR="0001781A" w:rsidRPr="000973F2" w:rsidRDefault="0001781A" w:rsidP="00EE0727">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18"/>
                <w:szCs w:val="18"/>
              </w:rPr>
            </w:pPr>
            <w:r w:rsidRPr="000973F2">
              <w:rPr>
                <w:rFonts w:ascii="Times New Roman" w:eastAsia="Times New Roman" w:hAnsi="Times New Roman" w:cs="Times New Roman"/>
                <w:b/>
                <w:bCs/>
                <w:sz w:val="18"/>
                <w:szCs w:val="18"/>
              </w:rPr>
              <w:t>Initial Year</w:t>
            </w:r>
            <w:r w:rsidR="001A17A0" w:rsidRPr="000973F2">
              <w:rPr>
                <w:rFonts w:ascii="Times New Roman" w:eastAsia="Times New Roman" w:hAnsi="Times New Roman" w:cs="Times New Roman"/>
                <w:b/>
                <w:bCs/>
                <w:sz w:val="18"/>
                <w:szCs w:val="18"/>
              </w:rPr>
              <w:t xml:space="preserve"> </w:t>
            </w:r>
            <w:r w:rsidRPr="000973F2">
              <w:rPr>
                <w:rFonts w:ascii="Times New Roman" w:eastAsia="Times New Roman" w:hAnsi="Times New Roman" w:cs="Times New Roman"/>
                <w:b/>
                <w:bCs/>
                <w:sz w:val="18"/>
                <w:szCs w:val="18"/>
              </w:rPr>
              <w:t>Hours</w:t>
            </w:r>
          </w:p>
        </w:tc>
        <w:tc>
          <w:tcPr>
            <w:tcW w:w="425" w:type="pct"/>
            <w:tcMar>
              <w:left w:w="29" w:type="dxa"/>
              <w:right w:w="29" w:type="dxa"/>
            </w:tcMar>
            <w:hideMark/>
          </w:tcPr>
          <w:p w14:paraId="1F205942" w14:textId="7D712599" w:rsidR="0001781A" w:rsidRPr="000973F2" w:rsidRDefault="0001781A" w:rsidP="00EE0727">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18"/>
                <w:szCs w:val="18"/>
              </w:rPr>
            </w:pPr>
            <w:r w:rsidRPr="000973F2">
              <w:rPr>
                <w:rFonts w:ascii="Times New Roman" w:eastAsia="Times New Roman" w:hAnsi="Times New Roman" w:cs="Times New Roman"/>
                <w:b/>
                <w:bCs/>
                <w:sz w:val="18"/>
                <w:szCs w:val="18"/>
              </w:rPr>
              <w:t>Subseq. Year</w:t>
            </w:r>
            <w:r w:rsidR="001A17A0" w:rsidRPr="000973F2">
              <w:rPr>
                <w:rFonts w:ascii="Times New Roman" w:eastAsia="Times New Roman" w:hAnsi="Times New Roman" w:cs="Times New Roman"/>
                <w:b/>
                <w:bCs/>
                <w:sz w:val="18"/>
                <w:szCs w:val="18"/>
              </w:rPr>
              <w:t xml:space="preserve"> </w:t>
            </w:r>
            <w:r w:rsidRPr="000973F2">
              <w:rPr>
                <w:rFonts w:ascii="Times New Roman" w:eastAsia="Times New Roman" w:hAnsi="Times New Roman" w:cs="Times New Roman"/>
                <w:b/>
                <w:bCs/>
                <w:sz w:val="18"/>
                <w:szCs w:val="18"/>
              </w:rPr>
              <w:t>Hours</w:t>
            </w:r>
          </w:p>
        </w:tc>
        <w:tc>
          <w:tcPr>
            <w:tcW w:w="446" w:type="pct"/>
            <w:tcMar>
              <w:left w:w="29" w:type="dxa"/>
              <w:right w:w="29" w:type="dxa"/>
            </w:tcMar>
            <w:hideMark/>
          </w:tcPr>
          <w:p w14:paraId="0A83BA04" w14:textId="6A489C53" w:rsidR="0001781A" w:rsidRPr="000973F2" w:rsidRDefault="0001781A" w:rsidP="00EE0727">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18"/>
                <w:szCs w:val="18"/>
              </w:rPr>
            </w:pPr>
            <w:r w:rsidRPr="000973F2">
              <w:rPr>
                <w:rFonts w:ascii="Times New Roman" w:eastAsia="Times New Roman" w:hAnsi="Times New Roman" w:cs="Times New Roman"/>
                <w:b/>
                <w:bCs/>
                <w:sz w:val="18"/>
                <w:szCs w:val="18"/>
              </w:rPr>
              <w:t>Initial Year</w:t>
            </w:r>
            <w:r w:rsidR="001A17A0" w:rsidRPr="000973F2">
              <w:rPr>
                <w:rFonts w:ascii="Times New Roman" w:eastAsia="Times New Roman" w:hAnsi="Times New Roman" w:cs="Times New Roman"/>
                <w:b/>
                <w:bCs/>
                <w:sz w:val="18"/>
                <w:szCs w:val="18"/>
              </w:rPr>
              <w:t xml:space="preserve"> </w:t>
            </w:r>
            <w:r w:rsidRPr="000973F2">
              <w:rPr>
                <w:rFonts w:ascii="Times New Roman" w:eastAsia="Times New Roman" w:hAnsi="Times New Roman" w:cs="Times New Roman"/>
                <w:b/>
                <w:bCs/>
                <w:sz w:val="18"/>
                <w:szCs w:val="18"/>
              </w:rPr>
              <w:t>Hours</w:t>
            </w:r>
          </w:p>
        </w:tc>
        <w:tc>
          <w:tcPr>
            <w:tcW w:w="447" w:type="pct"/>
            <w:tcMar>
              <w:left w:w="29" w:type="dxa"/>
              <w:right w:w="29" w:type="dxa"/>
            </w:tcMar>
            <w:hideMark/>
          </w:tcPr>
          <w:p w14:paraId="31C6CE38" w14:textId="27D6D265" w:rsidR="0001781A" w:rsidRPr="000973F2" w:rsidRDefault="0001781A" w:rsidP="00EE0727">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18"/>
                <w:szCs w:val="18"/>
              </w:rPr>
            </w:pPr>
            <w:r w:rsidRPr="000973F2">
              <w:rPr>
                <w:rFonts w:ascii="Times New Roman" w:eastAsia="Times New Roman" w:hAnsi="Times New Roman" w:cs="Times New Roman"/>
                <w:b/>
                <w:bCs/>
                <w:sz w:val="18"/>
                <w:szCs w:val="18"/>
              </w:rPr>
              <w:t>Subseq. Year</w:t>
            </w:r>
            <w:r w:rsidR="001A17A0" w:rsidRPr="000973F2">
              <w:rPr>
                <w:rFonts w:ascii="Times New Roman" w:eastAsia="Times New Roman" w:hAnsi="Times New Roman" w:cs="Times New Roman"/>
                <w:b/>
                <w:bCs/>
                <w:sz w:val="18"/>
                <w:szCs w:val="18"/>
              </w:rPr>
              <w:t xml:space="preserve"> </w:t>
            </w:r>
            <w:r w:rsidRPr="000973F2">
              <w:rPr>
                <w:rFonts w:ascii="Times New Roman" w:eastAsia="Times New Roman" w:hAnsi="Times New Roman" w:cs="Times New Roman"/>
                <w:b/>
                <w:bCs/>
                <w:sz w:val="18"/>
                <w:szCs w:val="18"/>
              </w:rPr>
              <w:t>Hours</w:t>
            </w:r>
          </w:p>
        </w:tc>
        <w:tc>
          <w:tcPr>
            <w:tcW w:w="446" w:type="pct"/>
            <w:tcMar>
              <w:left w:w="29" w:type="dxa"/>
              <w:right w:w="29" w:type="dxa"/>
            </w:tcMar>
            <w:hideMark/>
          </w:tcPr>
          <w:p w14:paraId="32E1FEE7" w14:textId="77777777" w:rsidR="0001781A" w:rsidRPr="000973F2" w:rsidRDefault="0001781A" w:rsidP="00EE0727">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18"/>
                <w:szCs w:val="18"/>
              </w:rPr>
            </w:pPr>
            <w:r w:rsidRPr="000973F2">
              <w:rPr>
                <w:rFonts w:ascii="Times New Roman" w:eastAsia="Times New Roman" w:hAnsi="Times New Roman" w:cs="Times New Roman"/>
                <w:b/>
                <w:bCs/>
                <w:sz w:val="18"/>
                <w:szCs w:val="18"/>
              </w:rPr>
              <w:t>Initial Year</w:t>
            </w:r>
          </w:p>
        </w:tc>
        <w:tc>
          <w:tcPr>
            <w:tcW w:w="445" w:type="pct"/>
            <w:tcMar>
              <w:left w:w="29" w:type="dxa"/>
              <w:right w:w="29" w:type="dxa"/>
            </w:tcMar>
            <w:hideMark/>
          </w:tcPr>
          <w:p w14:paraId="22FCC57A" w14:textId="77777777" w:rsidR="0001781A" w:rsidRPr="000973F2" w:rsidRDefault="0001781A" w:rsidP="00EE0727">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18"/>
                <w:szCs w:val="18"/>
              </w:rPr>
            </w:pPr>
            <w:r w:rsidRPr="000973F2">
              <w:rPr>
                <w:rFonts w:ascii="Times New Roman" w:eastAsia="Times New Roman" w:hAnsi="Times New Roman" w:cs="Times New Roman"/>
                <w:b/>
                <w:bCs/>
                <w:sz w:val="18"/>
                <w:szCs w:val="18"/>
              </w:rPr>
              <w:t>Subseq. Year</w:t>
            </w:r>
          </w:p>
        </w:tc>
      </w:tr>
      <w:tr w:rsidR="00EE0727" w:rsidRPr="000973F2" w14:paraId="62F61FB9" w14:textId="77777777" w:rsidTr="00D47101">
        <w:trPr>
          <w:cantSplit/>
        </w:trPr>
        <w:tc>
          <w:tcPr>
            <w:cnfStyle w:val="001000000000" w:firstRow="0" w:lastRow="0" w:firstColumn="1" w:lastColumn="0" w:oddVBand="0" w:evenVBand="0" w:oddHBand="0" w:evenHBand="0" w:firstRowFirstColumn="0" w:firstRowLastColumn="0" w:lastRowFirstColumn="0" w:lastRowLastColumn="0"/>
            <w:tcW w:w="668" w:type="pct"/>
            <w:tcMar>
              <w:left w:w="115" w:type="dxa"/>
              <w:right w:w="14" w:type="dxa"/>
            </w:tcMar>
            <w:hideMark/>
          </w:tcPr>
          <w:p w14:paraId="22705EEF" w14:textId="77777777" w:rsidR="0001781A" w:rsidRPr="000973F2" w:rsidRDefault="0001781A" w:rsidP="00EE0727">
            <w:pPr>
              <w:spacing w:before="40" w:after="4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Planning</w:t>
            </w:r>
          </w:p>
        </w:tc>
        <w:tc>
          <w:tcPr>
            <w:tcW w:w="424" w:type="pct"/>
            <w:noWrap/>
            <w:tcMar>
              <w:left w:w="29" w:type="dxa"/>
              <w:right w:w="29" w:type="dxa"/>
            </w:tcMar>
            <w:hideMark/>
          </w:tcPr>
          <w:p w14:paraId="4BF6C546" w14:textId="77777777" w:rsidR="0001781A" w:rsidRPr="000973F2" w:rsidRDefault="0001781A" w:rsidP="00EE0727">
            <w:pPr>
              <w:spacing w:before="40" w:after="4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0</w:t>
            </w:r>
          </w:p>
        </w:tc>
        <w:tc>
          <w:tcPr>
            <w:tcW w:w="425" w:type="pct"/>
            <w:noWrap/>
            <w:tcMar>
              <w:left w:w="29" w:type="dxa"/>
              <w:right w:w="29" w:type="dxa"/>
            </w:tcMar>
            <w:hideMark/>
          </w:tcPr>
          <w:p w14:paraId="54FAEF16" w14:textId="77777777" w:rsidR="0001781A" w:rsidRPr="000973F2" w:rsidRDefault="0001781A" w:rsidP="00EE0727">
            <w:pPr>
              <w:spacing w:before="40" w:after="4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0</w:t>
            </w:r>
          </w:p>
        </w:tc>
        <w:tc>
          <w:tcPr>
            <w:tcW w:w="425" w:type="pct"/>
            <w:noWrap/>
            <w:tcMar>
              <w:left w:w="29" w:type="dxa"/>
              <w:right w:w="29" w:type="dxa"/>
            </w:tcMar>
            <w:hideMark/>
          </w:tcPr>
          <w:p w14:paraId="39B304F8" w14:textId="77777777" w:rsidR="0001781A" w:rsidRPr="000973F2" w:rsidRDefault="0001781A" w:rsidP="00EE0727">
            <w:pPr>
              <w:tabs>
                <w:tab w:val="decimal" w:pos="402"/>
              </w:tabs>
              <w:spacing w:before="40" w:after="4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0</w:t>
            </w:r>
          </w:p>
        </w:tc>
        <w:tc>
          <w:tcPr>
            <w:tcW w:w="424" w:type="pct"/>
            <w:noWrap/>
            <w:tcMar>
              <w:left w:w="29" w:type="dxa"/>
              <w:right w:w="29" w:type="dxa"/>
            </w:tcMar>
            <w:hideMark/>
          </w:tcPr>
          <w:p w14:paraId="23D2801A" w14:textId="77777777" w:rsidR="0001781A" w:rsidRPr="000973F2" w:rsidRDefault="0001781A" w:rsidP="00EE0727">
            <w:pPr>
              <w:tabs>
                <w:tab w:val="decimal" w:pos="402"/>
              </w:tabs>
              <w:spacing w:before="40" w:after="4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0</w:t>
            </w:r>
          </w:p>
        </w:tc>
        <w:tc>
          <w:tcPr>
            <w:tcW w:w="425" w:type="pct"/>
            <w:noWrap/>
            <w:tcMar>
              <w:left w:w="29" w:type="dxa"/>
              <w:right w:w="29" w:type="dxa"/>
            </w:tcMar>
            <w:hideMark/>
          </w:tcPr>
          <w:p w14:paraId="5D892F66" w14:textId="77777777" w:rsidR="0001781A" w:rsidRPr="000973F2" w:rsidRDefault="0001781A" w:rsidP="00EE0727">
            <w:pPr>
              <w:tabs>
                <w:tab w:val="decimal" w:pos="402"/>
              </w:tabs>
              <w:spacing w:before="40" w:after="4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7</w:t>
            </w:r>
          </w:p>
        </w:tc>
        <w:tc>
          <w:tcPr>
            <w:tcW w:w="425" w:type="pct"/>
            <w:noWrap/>
            <w:tcMar>
              <w:left w:w="29" w:type="dxa"/>
              <w:right w:w="29" w:type="dxa"/>
            </w:tcMar>
            <w:hideMark/>
          </w:tcPr>
          <w:p w14:paraId="72EC409B" w14:textId="77777777" w:rsidR="0001781A" w:rsidRPr="000973F2" w:rsidRDefault="0001781A" w:rsidP="00EE0727">
            <w:pPr>
              <w:tabs>
                <w:tab w:val="decimal" w:pos="402"/>
              </w:tabs>
              <w:spacing w:before="40" w:after="4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7</w:t>
            </w:r>
          </w:p>
        </w:tc>
        <w:tc>
          <w:tcPr>
            <w:tcW w:w="446" w:type="pct"/>
            <w:noWrap/>
            <w:tcMar>
              <w:left w:w="29" w:type="dxa"/>
              <w:right w:w="29" w:type="dxa"/>
            </w:tcMar>
            <w:hideMark/>
          </w:tcPr>
          <w:p w14:paraId="6C77715E" w14:textId="77777777" w:rsidR="0001781A" w:rsidRPr="000973F2" w:rsidRDefault="0001781A" w:rsidP="00EE0727">
            <w:pPr>
              <w:tabs>
                <w:tab w:val="decimal" w:pos="402"/>
              </w:tabs>
              <w:spacing w:before="40" w:after="4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0</w:t>
            </w:r>
          </w:p>
        </w:tc>
        <w:tc>
          <w:tcPr>
            <w:tcW w:w="447" w:type="pct"/>
            <w:noWrap/>
            <w:tcMar>
              <w:left w:w="29" w:type="dxa"/>
              <w:right w:w="29" w:type="dxa"/>
            </w:tcMar>
            <w:hideMark/>
          </w:tcPr>
          <w:p w14:paraId="3D45151D" w14:textId="77777777" w:rsidR="0001781A" w:rsidRPr="000973F2" w:rsidRDefault="0001781A" w:rsidP="00EE0727">
            <w:pPr>
              <w:tabs>
                <w:tab w:val="decimal" w:pos="402"/>
              </w:tabs>
              <w:spacing w:before="40" w:after="4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0</w:t>
            </w:r>
          </w:p>
        </w:tc>
        <w:tc>
          <w:tcPr>
            <w:tcW w:w="446" w:type="pct"/>
            <w:noWrap/>
            <w:tcMar>
              <w:left w:w="29" w:type="dxa"/>
              <w:right w:w="29" w:type="dxa"/>
            </w:tcMar>
            <w:hideMark/>
          </w:tcPr>
          <w:p w14:paraId="1E47DE04" w14:textId="11CFE941" w:rsidR="0001781A" w:rsidRPr="000973F2" w:rsidRDefault="0001781A" w:rsidP="00EE0727">
            <w:pPr>
              <w:tabs>
                <w:tab w:val="decimal" w:pos="584"/>
              </w:tabs>
              <w:spacing w:before="40" w:after="4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$500</w:t>
            </w:r>
          </w:p>
        </w:tc>
        <w:tc>
          <w:tcPr>
            <w:tcW w:w="445" w:type="pct"/>
            <w:noWrap/>
            <w:tcMar>
              <w:left w:w="29" w:type="dxa"/>
              <w:right w:w="29" w:type="dxa"/>
            </w:tcMar>
            <w:hideMark/>
          </w:tcPr>
          <w:p w14:paraId="461D092F" w14:textId="708E5294" w:rsidR="0001781A" w:rsidRPr="000973F2" w:rsidRDefault="0001781A" w:rsidP="00EE0727">
            <w:pPr>
              <w:tabs>
                <w:tab w:val="decimal" w:pos="584"/>
              </w:tabs>
              <w:spacing w:before="40" w:after="4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$500</w:t>
            </w:r>
          </w:p>
        </w:tc>
      </w:tr>
      <w:tr w:rsidR="00EE0727" w:rsidRPr="000973F2" w14:paraId="15345FC0" w14:textId="77777777" w:rsidTr="00D47101">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668" w:type="pct"/>
            <w:tcMar>
              <w:left w:w="115" w:type="dxa"/>
              <w:right w:w="14" w:type="dxa"/>
            </w:tcMar>
            <w:hideMark/>
          </w:tcPr>
          <w:p w14:paraId="172BD945" w14:textId="77777777" w:rsidR="0001781A" w:rsidRPr="000973F2" w:rsidRDefault="0001781A" w:rsidP="00EE0727">
            <w:pPr>
              <w:spacing w:before="40" w:after="4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QA/QC</w:t>
            </w:r>
          </w:p>
        </w:tc>
        <w:tc>
          <w:tcPr>
            <w:tcW w:w="424" w:type="pct"/>
            <w:noWrap/>
            <w:tcMar>
              <w:left w:w="29" w:type="dxa"/>
              <w:right w:w="29" w:type="dxa"/>
            </w:tcMar>
            <w:hideMark/>
          </w:tcPr>
          <w:p w14:paraId="083AF679" w14:textId="77777777" w:rsidR="0001781A" w:rsidRPr="000973F2" w:rsidRDefault="0001781A" w:rsidP="00EE0727">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0</w:t>
            </w:r>
          </w:p>
        </w:tc>
        <w:tc>
          <w:tcPr>
            <w:tcW w:w="425" w:type="pct"/>
            <w:noWrap/>
            <w:tcMar>
              <w:left w:w="29" w:type="dxa"/>
              <w:right w:w="29" w:type="dxa"/>
            </w:tcMar>
            <w:hideMark/>
          </w:tcPr>
          <w:p w14:paraId="590E4198" w14:textId="77777777" w:rsidR="0001781A" w:rsidRPr="000973F2" w:rsidRDefault="0001781A" w:rsidP="00EE0727">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0</w:t>
            </w:r>
          </w:p>
        </w:tc>
        <w:tc>
          <w:tcPr>
            <w:tcW w:w="425" w:type="pct"/>
            <w:noWrap/>
            <w:tcMar>
              <w:left w:w="29" w:type="dxa"/>
              <w:right w:w="29" w:type="dxa"/>
            </w:tcMar>
            <w:hideMark/>
          </w:tcPr>
          <w:p w14:paraId="12F7428E" w14:textId="77777777" w:rsidR="0001781A" w:rsidRPr="000973F2" w:rsidRDefault="0001781A" w:rsidP="00EE0727">
            <w:pPr>
              <w:tabs>
                <w:tab w:val="decimal" w:pos="402"/>
              </w:tabs>
              <w:spacing w:before="40" w:after="4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1</w:t>
            </w:r>
          </w:p>
        </w:tc>
        <w:tc>
          <w:tcPr>
            <w:tcW w:w="424" w:type="pct"/>
            <w:noWrap/>
            <w:tcMar>
              <w:left w:w="29" w:type="dxa"/>
              <w:right w:w="29" w:type="dxa"/>
            </w:tcMar>
            <w:hideMark/>
          </w:tcPr>
          <w:p w14:paraId="32C10F5D" w14:textId="77777777" w:rsidR="0001781A" w:rsidRPr="000973F2" w:rsidRDefault="0001781A" w:rsidP="00EE0727">
            <w:pPr>
              <w:tabs>
                <w:tab w:val="decimal" w:pos="402"/>
              </w:tabs>
              <w:spacing w:before="40" w:after="4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1</w:t>
            </w:r>
          </w:p>
        </w:tc>
        <w:tc>
          <w:tcPr>
            <w:tcW w:w="425" w:type="pct"/>
            <w:noWrap/>
            <w:tcMar>
              <w:left w:w="29" w:type="dxa"/>
              <w:right w:w="29" w:type="dxa"/>
            </w:tcMar>
            <w:hideMark/>
          </w:tcPr>
          <w:p w14:paraId="33772B18" w14:textId="77777777" w:rsidR="0001781A" w:rsidRPr="000973F2" w:rsidRDefault="0001781A" w:rsidP="00EE0727">
            <w:pPr>
              <w:tabs>
                <w:tab w:val="decimal" w:pos="402"/>
              </w:tabs>
              <w:spacing w:before="40" w:after="4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0</w:t>
            </w:r>
          </w:p>
        </w:tc>
        <w:tc>
          <w:tcPr>
            <w:tcW w:w="425" w:type="pct"/>
            <w:noWrap/>
            <w:tcMar>
              <w:left w:w="29" w:type="dxa"/>
              <w:right w:w="29" w:type="dxa"/>
            </w:tcMar>
            <w:hideMark/>
          </w:tcPr>
          <w:p w14:paraId="7DBCF60E" w14:textId="77777777" w:rsidR="0001781A" w:rsidRPr="000973F2" w:rsidRDefault="0001781A" w:rsidP="00EE0727">
            <w:pPr>
              <w:tabs>
                <w:tab w:val="decimal" w:pos="402"/>
              </w:tabs>
              <w:spacing w:before="40" w:after="4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0</w:t>
            </w:r>
          </w:p>
        </w:tc>
        <w:tc>
          <w:tcPr>
            <w:tcW w:w="446" w:type="pct"/>
            <w:noWrap/>
            <w:tcMar>
              <w:left w:w="29" w:type="dxa"/>
              <w:right w:w="29" w:type="dxa"/>
            </w:tcMar>
            <w:hideMark/>
          </w:tcPr>
          <w:p w14:paraId="55387C15" w14:textId="77777777" w:rsidR="0001781A" w:rsidRPr="000973F2" w:rsidRDefault="0001781A" w:rsidP="00EE0727">
            <w:pPr>
              <w:tabs>
                <w:tab w:val="decimal" w:pos="402"/>
              </w:tabs>
              <w:spacing w:before="40" w:after="4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0</w:t>
            </w:r>
          </w:p>
        </w:tc>
        <w:tc>
          <w:tcPr>
            <w:tcW w:w="447" w:type="pct"/>
            <w:noWrap/>
            <w:tcMar>
              <w:left w:w="29" w:type="dxa"/>
              <w:right w:w="29" w:type="dxa"/>
            </w:tcMar>
            <w:hideMark/>
          </w:tcPr>
          <w:p w14:paraId="72FD1B5A" w14:textId="77777777" w:rsidR="0001781A" w:rsidRPr="000973F2" w:rsidRDefault="0001781A" w:rsidP="00EE0727">
            <w:pPr>
              <w:tabs>
                <w:tab w:val="decimal" w:pos="402"/>
              </w:tabs>
              <w:spacing w:before="40" w:after="4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0</w:t>
            </w:r>
          </w:p>
        </w:tc>
        <w:tc>
          <w:tcPr>
            <w:tcW w:w="446" w:type="pct"/>
            <w:noWrap/>
            <w:tcMar>
              <w:left w:w="29" w:type="dxa"/>
              <w:right w:w="29" w:type="dxa"/>
            </w:tcMar>
            <w:hideMark/>
          </w:tcPr>
          <w:p w14:paraId="730F30D9" w14:textId="70341543" w:rsidR="0001781A" w:rsidRPr="000973F2" w:rsidRDefault="0001781A" w:rsidP="00EE0727">
            <w:pPr>
              <w:tabs>
                <w:tab w:val="decimal" w:pos="584"/>
              </w:tabs>
              <w:spacing w:before="40" w:after="4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$87</w:t>
            </w:r>
          </w:p>
        </w:tc>
        <w:tc>
          <w:tcPr>
            <w:tcW w:w="445" w:type="pct"/>
            <w:noWrap/>
            <w:tcMar>
              <w:left w:w="29" w:type="dxa"/>
              <w:right w:w="29" w:type="dxa"/>
            </w:tcMar>
            <w:hideMark/>
          </w:tcPr>
          <w:p w14:paraId="28D1D711" w14:textId="1F02E277" w:rsidR="0001781A" w:rsidRPr="000973F2" w:rsidRDefault="0001781A" w:rsidP="00EE0727">
            <w:pPr>
              <w:tabs>
                <w:tab w:val="decimal" w:pos="584"/>
              </w:tabs>
              <w:spacing w:before="40" w:after="4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$87</w:t>
            </w:r>
          </w:p>
        </w:tc>
      </w:tr>
      <w:tr w:rsidR="00EE0727" w:rsidRPr="000973F2" w14:paraId="2EE84343" w14:textId="77777777" w:rsidTr="00D47101">
        <w:trPr>
          <w:cantSplit/>
        </w:trPr>
        <w:tc>
          <w:tcPr>
            <w:cnfStyle w:val="001000000000" w:firstRow="0" w:lastRow="0" w:firstColumn="1" w:lastColumn="0" w:oddVBand="0" w:evenVBand="0" w:oddHBand="0" w:evenHBand="0" w:firstRowFirstColumn="0" w:firstRowLastColumn="0" w:lastRowFirstColumn="0" w:lastRowLastColumn="0"/>
            <w:tcW w:w="668" w:type="pct"/>
            <w:tcMar>
              <w:left w:w="115" w:type="dxa"/>
              <w:right w:w="14" w:type="dxa"/>
            </w:tcMar>
            <w:hideMark/>
          </w:tcPr>
          <w:p w14:paraId="154A018C" w14:textId="77777777" w:rsidR="0001781A" w:rsidRPr="000973F2" w:rsidRDefault="0001781A" w:rsidP="00EE0727">
            <w:pPr>
              <w:spacing w:before="40" w:after="4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Recordkeeping</w:t>
            </w:r>
          </w:p>
        </w:tc>
        <w:tc>
          <w:tcPr>
            <w:tcW w:w="424" w:type="pct"/>
            <w:noWrap/>
            <w:tcMar>
              <w:left w:w="29" w:type="dxa"/>
              <w:right w:w="29" w:type="dxa"/>
            </w:tcMar>
            <w:hideMark/>
          </w:tcPr>
          <w:p w14:paraId="532A258F" w14:textId="77777777" w:rsidR="0001781A" w:rsidRPr="000973F2" w:rsidRDefault="0001781A" w:rsidP="00EE0727">
            <w:pPr>
              <w:spacing w:before="40" w:after="4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0</w:t>
            </w:r>
          </w:p>
        </w:tc>
        <w:tc>
          <w:tcPr>
            <w:tcW w:w="425" w:type="pct"/>
            <w:noWrap/>
            <w:tcMar>
              <w:left w:w="29" w:type="dxa"/>
              <w:right w:w="29" w:type="dxa"/>
            </w:tcMar>
            <w:hideMark/>
          </w:tcPr>
          <w:p w14:paraId="12EFC6A7" w14:textId="77777777" w:rsidR="0001781A" w:rsidRPr="000973F2" w:rsidRDefault="0001781A" w:rsidP="00EE0727">
            <w:pPr>
              <w:spacing w:before="40" w:after="4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0</w:t>
            </w:r>
          </w:p>
        </w:tc>
        <w:tc>
          <w:tcPr>
            <w:tcW w:w="425" w:type="pct"/>
            <w:noWrap/>
            <w:tcMar>
              <w:left w:w="29" w:type="dxa"/>
              <w:right w:w="29" w:type="dxa"/>
            </w:tcMar>
            <w:hideMark/>
          </w:tcPr>
          <w:p w14:paraId="13A4B722" w14:textId="77777777" w:rsidR="0001781A" w:rsidRPr="000973F2" w:rsidRDefault="0001781A" w:rsidP="00EE0727">
            <w:pPr>
              <w:tabs>
                <w:tab w:val="decimal" w:pos="402"/>
              </w:tabs>
              <w:spacing w:before="40" w:after="4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0.5</w:t>
            </w:r>
          </w:p>
        </w:tc>
        <w:tc>
          <w:tcPr>
            <w:tcW w:w="424" w:type="pct"/>
            <w:noWrap/>
            <w:tcMar>
              <w:left w:w="29" w:type="dxa"/>
              <w:right w:w="29" w:type="dxa"/>
            </w:tcMar>
            <w:hideMark/>
          </w:tcPr>
          <w:p w14:paraId="31124B40" w14:textId="77777777" w:rsidR="0001781A" w:rsidRPr="000973F2" w:rsidRDefault="0001781A" w:rsidP="00EE0727">
            <w:pPr>
              <w:tabs>
                <w:tab w:val="decimal" w:pos="402"/>
              </w:tabs>
              <w:spacing w:before="40" w:after="4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0.5</w:t>
            </w:r>
          </w:p>
        </w:tc>
        <w:tc>
          <w:tcPr>
            <w:tcW w:w="425" w:type="pct"/>
            <w:noWrap/>
            <w:tcMar>
              <w:left w:w="29" w:type="dxa"/>
              <w:right w:w="29" w:type="dxa"/>
            </w:tcMar>
            <w:hideMark/>
          </w:tcPr>
          <w:p w14:paraId="25DD9D0F" w14:textId="77777777" w:rsidR="0001781A" w:rsidRPr="000973F2" w:rsidRDefault="0001781A" w:rsidP="00EE0727">
            <w:pPr>
              <w:tabs>
                <w:tab w:val="decimal" w:pos="402"/>
              </w:tabs>
              <w:spacing w:before="40" w:after="4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5</w:t>
            </w:r>
          </w:p>
        </w:tc>
        <w:tc>
          <w:tcPr>
            <w:tcW w:w="425" w:type="pct"/>
            <w:noWrap/>
            <w:tcMar>
              <w:left w:w="29" w:type="dxa"/>
              <w:right w:w="29" w:type="dxa"/>
            </w:tcMar>
            <w:hideMark/>
          </w:tcPr>
          <w:p w14:paraId="41DF14E0" w14:textId="77777777" w:rsidR="0001781A" w:rsidRPr="000973F2" w:rsidRDefault="0001781A" w:rsidP="00EE0727">
            <w:pPr>
              <w:tabs>
                <w:tab w:val="decimal" w:pos="402"/>
              </w:tabs>
              <w:spacing w:before="40" w:after="4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5</w:t>
            </w:r>
          </w:p>
        </w:tc>
        <w:tc>
          <w:tcPr>
            <w:tcW w:w="446" w:type="pct"/>
            <w:noWrap/>
            <w:tcMar>
              <w:left w:w="29" w:type="dxa"/>
              <w:right w:w="29" w:type="dxa"/>
            </w:tcMar>
            <w:hideMark/>
          </w:tcPr>
          <w:p w14:paraId="2630B9B5" w14:textId="77777777" w:rsidR="0001781A" w:rsidRPr="000973F2" w:rsidRDefault="0001781A" w:rsidP="00EE0727">
            <w:pPr>
              <w:tabs>
                <w:tab w:val="decimal" w:pos="402"/>
              </w:tabs>
              <w:spacing w:before="40" w:after="4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0.5</w:t>
            </w:r>
          </w:p>
        </w:tc>
        <w:tc>
          <w:tcPr>
            <w:tcW w:w="447" w:type="pct"/>
            <w:noWrap/>
            <w:tcMar>
              <w:left w:w="29" w:type="dxa"/>
              <w:right w:w="29" w:type="dxa"/>
            </w:tcMar>
            <w:hideMark/>
          </w:tcPr>
          <w:p w14:paraId="3651108C" w14:textId="77777777" w:rsidR="0001781A" w:rsidRPr="000973F2" w:rsidRDefault="0001781A" w:rsidP="00EE0727">
            <w:pPr>
              <w:tabs>
                <w:tab w:val="decimal" w:pos="402"/>
              </w:tabs>
              <w:spacing w:before="40" w:after="4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0.5</w:t>
            </w:r>
          </w:p>
        </w:tc>
        <w:tc>
          <w:tcPr>
            <w:tcW w:w="446" w:type="pct"/>
            <w:noWrap/>
            <w:tcMar>
              <w:left w:w="29" w:type="dxa"/>
              <w:right w:w="29" w:type="dxa"/>
            </w:tcMar>
            <w:hideMark/>
          </w:tcPr>
          <w:p w14:paraId="5EF4A2C0" w14:textId="1920A374" w:rsidR="0001781A" w:rsidRPr="000973F2" w:rsidRDefault="0001781A" w:rsidP="00EE0727">
            <w:pPr>
              <w:tabs>
                <w:tab w:val="decimal" w:pos="584"/>
              </w:tabs>
              <w:spacing w:before="40" w:after="4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$419</w:t>
            </w:r>
          </w:p>
        </w:tc>
        <w:tc>
          <w:tcPr>
            <w:tcW w:w="445" w:type="pct"/>
            <w:noWrap/>
            <w:tcMar>
              <w:left w:w="29" w:type="dxa"/>
              <w:right w:w="29" w:type="dxa"/>
            </w:tcMar>
            <w:hideMark/>
          </w:tcPr>
          <w:p w14:paraId="6A147C0F" w14:textId="4CB6BBE2" w:rsidR="0001781A" w:rsidRPr="000973F2" w:rsidRDefault="0001781A" w:rsidP="00EE0727">
            <w:pPr>
              <w:tabs>
                <w:tab w:val="decimal" w:pos="584"/>
              </w:tabs>
              <w:spacing w:before="40" w:after="4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$419</w:t>
            </w:r>
          </w:p>
        </w:tc>
      </w:tr>
      <w:tr w:rsidR="00D47101" w:rsidRPr="000973F2" w14:paraId="22D790A8" w14:textId="77777777" w:rsidTr="00D47101">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668" w:type="pct"/>
            <w:tcMar>
              <w:left w:w="115" w:type="dxa"/>
              <w:right w:w="14" w:type="dxa"/>
            </w:tcMar>
            <w:hideMark/>
          </w:tcPr>
          <w:p w14:paraId="1F6925D4" w14:textId="77777777" w:rsidR="00D47101" w:rsidRPr="000973F2" w:rsidRDefault="00D47101" w:rsidP="00D47101">
            <w:pPr>
              <w:spacing w:before="40" w:after="4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Sampling and Analysis (Calculations)</w:t>
            </w:r>
          </w:p>
        </w:tc>
        <w:tc>
          <w:tcPr>
            <w:tcW w:w="424" w:type="pct"/>
            <w:noWrap/>
            <w:tcMar>
              <w:left w:w="29" w:type="dxa"/>
              <w:right w:w="29" w:type="dxa"/>
            </w:tcMar>
            <w:hideMark/>
          </w:tcPr>
          <w:p w14:paraId="1FDCEA3E" w14:textId="0E8C5065" w:rsidR="00D47101" w:rsidRPr="000973F2" w:rsidRDefault="00D47101" w:rsidP="00D47101">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w:t>
            </w:r>
          </w:p>
        </w:tc>
        <w:tc>
          <w:tcPr>
            <w:tcW w:w="425" w:type="pct"/>
            <w:noWrap/>
            <w:tcMar>
              <w:left w:w="29" w:type="dxa"/>
              <w:right w:w="29" w:type="dxa"/>
            </w:tcMar>
            <w:hideMark/>
          </w:tcPr>
          <w:p w14:paraId="79131726" w14:textId="1E34B809" w:rsidR="00D47101" w:rsidRPr="000973F2" w:rsidRDefault="00D47101" w:rsidP="00D47101">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w:t>
            </w:r>
          </w:p>
        </w:tc>
        <w:tc>
          <w:tcPr>
            <w:tcW w:w="425" w:type="pct"/>
            <w:noWrap/>
            <w:tcMar>
              <w:left w:w="29" w:type="dxa"/>
              <w:right w:w="29" w:type="dxa"/>
            </w:tcMar>
            <w:hideMark/>
          </w:tcPr>
          <w:p w14:paraId="6C6C09B5" w14:textId="7344E2A8" w:rsidR="00D47101" w:rsidRPr="000973F2" w:rsidRDefault="00D47101" w:rsidP="00D47101">
            <w:pPr>
              <w:tabs>
                <w:tab w:val="decimal" w:pos="402"/>
              </w:tabs>
              <w:spacing w:before="40" w:after="4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w:t>
            </w:r>
          </w:p>
        </w:tc>
        <w:tc>
          <w:tcPr>
            <w:tcW w:w="424" w:type="pct"/>
            <w:noWrap/>
            <w:tcMar>
              <w:left w:w="29" w:type="dxa"/>
              <w:right w:w="29" w:type="dxa"/>
            </w:tcMar>
            <w:hideMark/>
          </w:tcPr>
          <w:p w14:paraId="07BD5D2B" w14:textId="19334158" w:rsidR="00D47101" w:rsidRPr="000973F2" w:rsidRDefault="00D47101" w:rsidP="00D47101">
            <w:pPr>
              <w:tabs>
                <w:tab w:val="decimal" w:pos="402"/>
              </w:tabs>
              <w:spacing w:before="40" w:after="4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w:t>
            </w:r>
          </w:p>
        </w:tc>
        <w:tc>
          <w:tcPr>
            <w:tcW w:w="425" w:type="pct"/>
            <w:noWrap/>
            <w:tcMar>
              <w:left w:w="29" w:type="dxa"/>
              <w:right w:w="29" w:type="dxa"/>
            </w:tcMar>
            <w:hideMark/>
          </w:tcPr>
          <w:p w14:paraId="06ABEA34" w14:textId="6CB9ECD5" w:rsidR="00D47101" w:rsidRPr="000973F2" w:rsidRDefault="00D47101" w:rsidP="00D47101">
            <w:pPr>
              <w:tabs>
                <w:tab w:val="decimal" w:pos="402"/>
              </w:tabs>
              <w:spacing w:before="40" w:after="4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w:t>
            </w:r>
          </w:p>
        </w:tc>
        <w:tc>
          <w:tcPr>
            <w:tcW w:w="425" w:type="pct"/>
            <w:noWrap/>
            <w:tcMar>
              <w:left w:w="29" w:type="dxa"/>
              <w:right w:w="29" w:type="dxa"/>
            </w:tcMar>
            <w:hideMark/>
          </w:tcPr>
          <w:p w14:paraId="0C448D7B" w14:textId="55D866FD" w:rsidR="00D47101" w:rsidRPr="000973F2" w:rsidRDefault="00D47101" w:rsidP="00D47101">
            <w:pPr>
              <w:tabs>
                <w:tab w:val="decimal" w:pos="402"/>
              </w:tabs>
              <w:spacing w:before="40" w:after="4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w:t>
            </w:r>
          </w:p>
        </w:tc>
        <w:tc>
          <w:tcPr>
            <w:tcW w:w="446" w:type="pct"/>
            <w:noWrap/>
            <w:tcMar>
              <w:left w:w="29" w:type="dxa"/>
              <w:right w:w="29" w:type="dxa"/>
            </w:tcMar>
            <w:hideMark/>
          </w:tcPr>
          <w:p w14:paraId="3CF47130" w14:textId="49BFA48D" w:rsidR="00D47101" w:rsidRPr="000973F2" w:rsidRDefault="00D47101" w:rsidP="00D47101">
            <w:pPr>
              <w:tabs>
                <w:tab w:val="decimal" w:pos="402"/>
              </w:tabs>
              <w:spacing w:before="40" w:after="4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w:t>
            </w:r>
          </w:p>
        </w:tc>
        <w:tc>
          <w:tcPr>
            <w:tcW w:w="447" w:type="pct"/>
            <w:noWrap/>
            <w:tcMar>
              <w:left w:w="29" w:type="dxa"/>
              <w:right w:w="29" w:type="dxa"/>
            </w:tcMar>
            <w:hideMark/>
          </w:tcPr>
          <w:p w14:paraId="08A71F8C" w14:textId="41C20426" w:rsidR="00D47101" w:rsidRPr="000973F2" w:rsidRDefault="00D47101" w:rsidP="00D47101">
            <w:pPr>
              <w:tabs>
                <w:tab w:val="decimal" w:pos="402"/>
              </w:tabs>
              <w:spacing w:before="40" w:after="4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w:t>
            </w:r>
          </w:p>
        </w:tc>
        <w:tc>
          <w:tcPr>
            <w:tcW w:w="446" w:type="pct"/>
            <w:noWrap/>
            <w:tcMar>
              <w:left w:w="29" w:type="dxa"/>
              <w:right w:w="29" w:type="dxa"/>
            </w:tcMar>
            <w:hideMark/>
          </w:tcPr>
          <w:p w14:paraId="0E7200EC" w14:textId="0A37E0DA" w:rsidR="00D47101" w:rsidRPr="000973F2" w:rsidRDefault="00D47101" w:rsidP="00D47101">
            <w:pPr>
              <w:tabs>
                <w:tab w:val="decimal" w:pos="584"/>
              </w:tabs>
              <w:spacing w:before="40" w:after="4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w:t>
            </w:r>
          </w:p>
        </w:tc>
        <w:tc>
          <w:tcPr>
            <w:tcW w:w="445" w:type="pct"/>
            <w:noWrap/>
            <w:tcMar>
              <w:left w:w="29" w:type="dxa"/>
              <w:right w:w="29" w:type="dxa"/>
            </w:tcMar>
            <w:hideMark/>
          </w:tcPr>
          <w:p w14:paraId="469A2704" w14:textId="1D9AF53C" w:rsidR="00D47101" w:rsidRPr="000973F2" w:rsidRDefault="00D47101" w:rsidP="00D47101">
            <w:pPr>
              <w:tabs>
                <w:tab w:val="decimal" w:pos="584"/>
              </w:tabs>
              <w:spacing w:before="40" w:after="4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w:t>
            </w:r>
          </w:p>
        </w:tc>
      </w:tr>
      <w:tr w:rsidR="00EE0727" w:rsidRPr="000973F2" w14:paraId="7D17F759" w14:textId="77777777" w:rsidTr="00D47101">
        <w:trPr>
          <w:cantSplit/>
        </w:trPr>
        <w:tc>
          <w:tcPr>
            <w:cnfStyle w:val="001000000000" w:firstRow="0" w:lastRow="0" w:firstColumn="1" w:lastColumn="0" w:oddVBand="0" w:evenVBand="0" w:oddHBand="0" w:evenHBand="0" w:firstRowFirstColumn="0" w:firstRowLastColumn="0" w:lastRowFirstColumn="0" w:lastRowLastColumn="0"/>
            <w:tcW w:w="668" w:type="pct"/>
            <w:tcMar>
              <w:left w:w="115" w:type="dxa"/>
              <w:right w:w="14" w:type="dxa"/>
            </w:tcMar>
            <w:hideMark/>
          </w:tcPr>
          <w:p w14:paraId="42D54C75" w14:textId="77777777" w:rsidR="0001781A" w:rsidRPr="000973F2" w:rsidRDefault="0001781A" w:rsidP="00EE0727">
            <w:pPr>
              <w:spacing w:before="40" w:after="4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Reporting</w:t>
            </w:r>
          </w:p>
        </w:tc>
        <w:tc>
          <w:tcPr>
            <w:tcW w:w="424" w:type="pct"/>
            <w:noWrap/>
            <w:tcMar>
              <w:left w:w="29" w:type="dxa"/>
              <w:right w:w="29" w:type="dxa"/>
            </w:tcMar>
            <w:hideMark/>
          </w:tcPr>
          <w:p w14:paraId="0BE2ECAA" w14:textId="77777777" w:rsidR="0001781A" w:rsidRPr="000973F2" w:rsidRDefault="0001781A" w:rsidP="00EE0727">
            <w:pPr>
              <w:spacing w:before="40" w:after="4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0</w:t>
            </w:r>
          </w:p>
        </w:tc>
        <w:tc>
          <w:tcPr>
            <w:tcW w:w="425" w:type="pct"/>
            <w:noWrap/>
            <w:tcMar>
              <w:left w:w="29" w:type="dxa"/>
              <w:right w:w="29" w:type="dxa"/>
            </w:tcMar>
            <w:hideMark/>
          </w:tcPr>
          <w:p w14:paraId="1B9DE62A" w14:textId="77777777" w:rsidR="0001781A" w:rsidRPr="000973F2" w:rsidRDefault="0001781A" w:rsidP="00EE0727">
            <w:pPr>
              <w:spacing w:before="40" w:after="4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0</w:t>
            </w:r>
          </w:p>
        </w:tc>
        <w:tc>
          <w:tcPr>
            <w:tcW w:w="425" w:type="pct"/>
            <w:noWrap/>
            <w:tcMar>
              <w:left w:w="29" w:type="dxa"/>
              <w:right w:w="29" w:type="dxa"/>
            </w:tcMar>
            <w:hideMark/>
          </w:tcPr>
          <w:p w14:paraId="139399C6" w14:textId="77777777" w:rsidR="0001781A" w:rsidRPr="000973F2" w:rsidRDefault="0001781A" w:rsidP="00EE0727">
            <w:pPr>
              <w:tabs>
                <w:tab w:val="decimal" w:pos="402"/>
              </w:tabs>
              <w:spacing w:before="40" w:after="4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0</w:t>
            </w:r>
          </w:p>
        </w:tc>
        <w:tc>
          <w:tcPr>
            <w:tcW w:w="424" w:type="pct"/>
            <w:noWrap/>
            <w:tcMar>
              <w:left w:w="29" w:type="dxa"/>
              <w:right w:w="29" w:type="dxa"/>
            </w:tcMar>
            <w:hideMark/>
          </w:tcPr>
          <w:p w14:paraId="207F0378" w14:textId="77777777" w:rsidR="0001781A" w:rsidRPr="000973F2" w:rsidRDefault="0001781A" w:rsidP="00EE0727">
            <w:pPr>
              <w:tabs>
                <w:tab w:val="decimal" w:pos="402"/>
              </w:tabs>
              <w:spacing w:before="40" w:after="4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0</w:t>
            </w:r>
          </w:p>
        </w:tc>
        <w:tc>
          <w:tcPr>
            <w:tcW w:w="425" w:type="pct"/>
            <w:noWrap/>
            <w:tcMar>
              <w:left w:w="29" w:type="dxa"/>
              <w:right w:w="29" w:type="dxa"/>
            </w:tcMar>
            <w:hideMark/>
          </w:tcPr>
          <w:p w14:paraId="43B4D175" w14:textId="77777777" w:rsidR="0001781A" w:rsidRPr="000973F2" w:rsidRDefault="0001781A" w:rsidP="00EE0727">
            <w:pPr>
              <w:tabs>
                <w:tab w:val="decimal" w:pos="402"/>
              </w:tabs>
              <w:spacing w:before="40" w:after="4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10</w:t>
            </w:r>
          </w:p>
        </w:tc>
        <w:tc>
          <w:tcPr>
            <w:tcW w:w="425" w:type="pct"/>
            <w:noWrap/>
            <w:tcMar>
              <w:left w:w="29" w:type="dxa"/>
              <w:right w:w="29" w:type="dxa"/>
            </w:tcMar>
            <w:hideMark/>
          </w:tcPr>
          <w:p w14:paraId="0AD45E8F" w14:textId="77777777" w:rsidR="0001781A" w:rsidRPr="000973F2" w:rsidRDefault="0001781A" w:rsidP="00EE0727">
            <w:pPr>
              <w:tabs>
                <w:tab w:val="decimal" w:pos="402"/>
              </w:tabs>
              <w:spacing w:before="40" w:after="4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10</w:t>
            </w:r>
          </w:p>
        </w:tc>
        <w:tc>
          <w:tcPr>
            <w:tcW w:w="446" w:type="pct"/>
            <w:noWrap/>
            <w:tcMar>
              <w:left w:w="29" w:type="dxa"/>
              <w:right w:w="29" w:type="dxa"/>
            </w:tcMar>
            <w:hideMark/>
          </w:tcPr>
          <w:p w14:paraId="103C3A64" w14:textId="77777777" w:rsidR="0001781A" w:rsidRPr="000973F2" w:rsidRDefault="0001781A" w:rsidP="00EE0727">
            <w:pPr>
              <w:tabs>
                <w:tab w:val="decimal" w:pos="402"/>
              </w:tabs>
              <w:spacing w:before="40" w:after="4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1</w:t>
            </w:r>
          </w:p>
        </w:tc>
        <w:tc>
          <w:tcPr>
            <w:tcW w:w="447" w:type="pct"/>
            <w:noWrap/>
            <w:tcMar>
              <w:left w:w="29" w:type="dxa"/>
              <w:right w:w="29" w:type="dxa"/>
            </w:tcMar>
            <w:hideMark/>
          </w:tcPr>
          <w:p w14:paraId="7198C8C5" w14:textId="77777777" w:rsidR="0001781A" w:rsidRPr="000973F2" w:rsidRDefault="0001781A" w:rsidP="00EE0727">
            <w:pPr>
              <w:tabs>
                <w:tab w:val="decimal" w:pos="402"/>
              </w:tabs>
              <w:spacing w:before="40" w:after="4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1</w:t>
            </w:r>
          </w:p>
        </w:tc>
        <w:tc>
          <w:tcPr>
            <w:tcW w:w="446" w:type="pct"/>
            <w:noWrap/>
            <w:tcMar>
              <w:left w:w="29" w:type="dxa"/>
              <w:right w:w="29" w:type="dxa"/>
            </w:tcMar>
            <w:hideMark/>
          </w:tcPr>
          <w:p w14:paraId="0D5B217C" w14:textId="142B5337" w:rsidR="0001781A" w:rsidRPr="000973F2" w:rsidRDefault="0001781A" w:rsidP="00EE0727">
            <w:pPr>
              <w:tabs>
                <w:tab w:val="decimal" w:pos="584"/>
              </w:tabs>
              <w:spacing w:before="40" w:after="4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$751</w:t>
            </w:r>
          </w:p>
        </w:tc>
        <w:tc>
          <w:tcPr>
            <w:tcW w:w="445" w:type="pct"/>
            <w:noWrap/>
            <w:tcMar>
              <w:left w:w="29" w:type="dxa"/>
              <w:right w:w="29" w:type="dxa"/>
            </w:tcMar>
            <w:hideMark/>
          </w:tcPr>
          <w:p w14:paraId="7C204585" w14:textId="19529FFA" w:rsidR="0001781A" w:rsidRPr="000973F2" w:rsidRDefault="0001781A" w:rsidP="00EE0727">
            <w:pPr>
              <w:tabs>
                <w:tab w:val="decimal" w:pos="584"/>
              </w:tabs>
              <w:spacing w:before="40" w:after="4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$751</w:t>
            </w:r>
          </w:p>
        </w:tc>
      </w:tr>
      <w:tr w:rsidR="00EE0727" w:rsidRPr="000973F2" w14:paraId="14DAB7B0" w14:textId="77777777" w:rsidTr="00D47101">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668" w:type="pct"/>
            <w:noWrap/>
            <w:tcMar>
              <w:left w:w="115" w:type="dxa"/>
              <w:right w:w="14" w:type="dxa"/>
            </w:tcMar>
            <w:hideMark/>
          </w:tcPr>
          <w:p w14:paraId="1B79113D" w14:textId="77777777" w:rsidR="0001781A" w:rsidRPr="000973F2" w:rsidRDefault="0001781A" w:rsidP="00EE0727">
            <w:pPr>
              <w:spacing w:before="40" w:after="40"/>
              <w:rPr>
                <w:rFonts w:ascii="Times New Roman" w:eastAsia="Times New Roman" w:hAnsi="Times New Roman" w:cs="Times New Roman"/>
                <w:b/>
                <w:bCs w:val="0"/>
                <w:sz w:val="18"/>
                <w:szCs w:val="18"/>
              </w:rPr>
            </w:pPr>
            <w:r w:rsidRPr="000973F2">
              <w:rPr>
                <w:rFonts w:ascii="Times New Roman" w:eastAsia="Times New Roman" w:hAnsi="Times New Roman" w:cs="Times New Roman"/>
                <w:b/>
                <w:sz w:val="18"/>
                <w:szCs w:val="18"/>
              </w:rPr>
              <w:t>Total</w:t>
            </w:r>
          </w:p>
        </w:tc>
        <w:tc>
          <w:tcPr>
            <w:tcW w:w="424" w:type="pct"/>
            <w:noWrap/>
            <w:tcMar>
              <w:left w:w="29" w:type="dxa"/>
              <w:right w:w="29" w:type="dxa"/>
            </w:tcMar>
            <w:hideMark/>
          </w:tcPr>
          <w:p w14:paraId="0E970709" w14:textId="77777777" w:rsidR="0001781A" w:rsidRPr="000973F2" w:rsidRDefault="0001781A" w:rsidP="00EE0727">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18"/>
                <w:szCs w:val="18"/>
              </w:rPr>
            </w:pPr>
            <w:r w:rsidRPr="000973F2">
              <w:rPr>
                <w:rFonts w:ascii="Times New Roman" w:eastAsia="Times New Roman" w:hAnsi="Times New Roman" w:cs="Times New Roman"/>
                <w:b/>
                <w:bCs/>
                <w:sz w:val="18"/>
                <w:szCs w:val="18"/>
              </w:rPr>
              <w:t>0</w:t>
            </w:r>
          </w:p>
        </w:tc>
        <w:tc>
          <w:tcPr>
            <w:tcW w:w="425" w:type="pct"/>
            <w:noWrap/>
            <w:tcMar>
              <w:left w:w="29" w:type="dxa"/>
              <w:right w:w="29" w:type="dxa"/>
            </w:tcMar>
            <w:hideMark/>
          </w:tcPr>
          <w:p w14:paraId="52F5AEBF" w14:textId="77777777" w:rsidR="0001781A" w:rsidRPr="000973F2" w:rsidRDefault="0001781A" w:rsidP="00EE0727">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18"/>
                <w:szCs w:val="18"/>
              </w:rPr>
            </w:pPr>
            <w:r w:rsidRPr="000973F2">
              <w:rPr>
                <w:rFonts w:ascii="Times New Roman" w:eastAsia="Times New Roman" w:hAnsi="Times New Roman" w:cs="Times New Roman"/>
                <w:b/>
                <w:bCs/>
                <w:sz w:val="18"/>
                <w:szCs w:val="18"/>
              </w:rPr>
              <w:t>0</w:t>
            </w:r>
          </w:p>
        </w:tc>
        <w:tc>
          <w:tcPr>
            <w:tcW w:w="425" w:type="pct"/>
            <w:noWrap/>
            <w:tcMar>
              <w:left w:w="29" w:type="dxa"/>
              <w:right w:w="29" w:type="dxa"/>
            </w:tcMar>
            <w:hideMark/>
          </w:tcPr>
          <w:p w14:paraId="363DC45B" w14:textId="77777777" w:rsidR="0001781A" w:rsidRPr="000973F2" w:rsidRDefault="0001781A" w:rsidP="00EE0727">
            <w:pPr>
              <w:tabs>
                <w:tab w:val="decimal" w:pos="402"/>
              </w:tabs>
              <w:spacing w:before="40" w:after="4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18"/>
                <w:szCs w:val="18"/>
              </w:rPr>
            </w:pPr>
            <w:r w:rsidRPr="000973F2">
              <w:rPr>
                <w:rFonts w:ascii="Times New Roman" w:eastAsia="Times New Roman" w:hAnsi="Times New Roman" w:cs="Times New Roman"/>
                <w:b/>
                <w:bCs/>
                <w:sz w:val="18"/>
                <w:szCs w:val="18"/>
              </w:rPr>
              <w:t>1.5</w:t>
            </w:r>
          </w:p>
        </w:tc>
        <w:tc>
          <w:tcPr>
            <w:tcW w:w="424" w:type="pct"/>
            <w:noWrap/>
            <w:tcMar>
              <w:left w:w="29" w:type="dxa"/>
              <w:right w:w="29" w:type="dxa"/>
            </w:tcMar>
            <w:hideMark/>
          </w:tcPr>
          <w:p w14:paraId="7AA2B145" w14:textId="77777777" w:rsidR="0001781A" w:rsidRPr="000973F2" w:rsidRDefault="0001781A" w:rsidP="00EE0727">
            <w:pPr>
              <w:tabs>
                <w:tab w:val="decimal" w:pos="402"/>
              </w:tabs>
              <w:spacing w:before="40" w:after="4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18"/>
                <w:szCs w:val="18"/>
              </w:rPr>
            </w:pPr>
            <w:r w:rsidRPr="000973F2">
              <w:rPr>
                <w:rFonts w:ascii="Times New Roman" w:eastAsia="Times New Roman" w:hAnsi="Times New Roman" w:cs="Times New Roman"/>
                <w:b/>
                <w:bCs/>
                <w:sz w:val="18"/>
                <w:szCs w:val="18"/>
              </w:rPr>
              <w:t>1.5</w:t>
            </w:r>
          </w:p>
        </w:tc>
        <w:tc>
          <w:tcPr>
            <w:tcW w:w="425" w:type="pct"/>
            <w:noWrap/>
            <w:tcMar>
              <w:left w:w="29" w:type="dxa"/>
              <w:right w:w="29" w:type="dxa"/>
            </w:tcMar>
            <w:hideMark/>
          </w:tcPr>
          <w:p w14:paraId="4E779894" w14:textId="77777777" w:rsidR="0001781A" w:rsidRPr="000973F2" w:rsidRDefault="0001781A" w:rsidP="00EE0727">
            <w:pPr>
              <w:tabs>
                <w:tab w:val="decimal" w:pos="402"/>
              </w:tabs>
              <w:spacing w:before="40" w:after="4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18"/>
                <w:szCs w:val="18"/>
              </w:rPr>
            </w:pPr>
            <w:r w:rsidRPr="000973F2">
              <w:rPr>
                <w:rFonts w:ascii="Times New Roman" w:eastAsia="Times New Roman" w:hAnsi="Times New Roman" w:cs="Times New Roman"/>
                <w:b/>
                <w:bCs/>
                <w:sz w:val="18"/>
                <w:szCs w:val="18"/>
              </w:rPr>
              <w:t>22</w:t>
            </w:r>
          </w:p>
        </w:tc>
        <w:tc>
          <w:tcPr>
            <w:tcW w:w="425" w:type="pct"/>
            <w:noWrap/>
            <w:tcMar>
              <w:left w:w="29" w:type="dxa"/>
              <w:right w:w="29" w:type="dxa"/>
            </w:tcMar>
            <w:hideMark/>
          </w:tcPr>
          <w:p w14:paraId="5D2550FD" w14:textId="77777777" w:rsidR="0001781A" w:rsidRPr="000973F2" w:rsidRDefault="0001781A" w:rsidP="00EE0727">
            <w:pPr>
              <w:tabs>
                <w:tab w:val="decimal" w:pos="402"/>
              </w:tabs>
              <w:spacing w:before="40" w:after="4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18"/>
                <w:szCs w:val="18"/>
              </w:rPr>
            </w:pPr>
            <w:r w:rsidRPr="000973F2">
              <w:rPr>
                <w:rFonts w:ascii="Times New Roman" w:eastAsia="Times New Roman" w:hAnsi="Times New Roman" w:cs="Times New Roman"/>
                <w:b/>
                <w:bCs/>
                <w:sz w:val="18"/>
                <w:szCs w:val="18"/>
              </w:rPr>
              <w:t>22</w:t>
            </w:r>
          </w:p>
        </w:tc>
        <w:tc>
          <w:tcPr>
            <w:tcW w:w="446" w:type="pct"/>
            <w:noWrap/>
            <w:tcMar>
              <w:left w:w="29" w:type="dxa"/>
              <w:right w:w="29" w:type="dxa"/>
            </w:tcMar>
            <w:hideMark/>
          </w:tcPr>
          <w:p w14:paraId="7BA0D0F9" w14:textId="77777777" w:rsidR="0001781A" w:rsidRPr="000973F2" w:rsidRDefault="0001781A" w:rsidP="00EE0727">
            <w:pPr>
              <w:tabs>
                <w:tab w:val="decimal" w:pos="402"/>
              </w:tabs>
              <w:spacing w:before="40" w:after="4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18"/>
                <w:szCs w:val="18"/>
              </w:rPr>
            </w:pPr>
            <w:r w:rsidRPr="000973F2">
              <w:rPr>
                <w:rFonts w:ascii="Times New Roman" w:eastAsia="Times New Roman" w:hAnsi="Times New Roman" w:cs="Times New Roman"/>
                <w:b/>
                <w:bCs/>
                <w:sz w:val="18"/>
                <w:szCs w:val="18"/>
              </w:rPr>
              <w:t>1.5</w:t>
            </w:r>
          </w:p>
        </w:tc>
        <w:tc>
          <w:tcPr>
            <w:tcW w:w="447" w:type="pct"/>
            <w:noWrap/>
            <w:tcMar>
              <w:left w:w="29" w:type="dxa"/>
              <w:right w:w="29" w:type="dxa"/>
            </w:tcMar>
            <w:hideMark/>
          </w:tcPr>
          <w:p w14:paraId="637DE334" w14:textId="77777777" w:rsidR="0001781A" w:rsidRPr="000973F2" w:rsidRDefault="0001781A" w:rsidP="00EE0727">
            <w:pPr>
              <w:tabs>
                <w:tab w:val="decimal" w:pos="402"/>
              </w:tabs>
              <w:spacing w:before="40" w:after="4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18"/>
                <w:szCs w:val="18"/>
              </w:rPr>
            </w:pPr>
            <w:r w:rsidRPr="000973F2">
              <w:rPr>
                <w:rFonts w:ascii="Times New Roman" w:eastAsia="Times New Roman" w:hAnsi="Times New Roman" w:cs="Times New Roman"/>
                <w:b/>
                <w:bCs/>
                <w:sz w:val="18"/>
                <w:szCs w:val="18"/>
              </w:rPr>
              <w:t>1.5</w:t>
            </w:r>
          </w:p>
        </w:tc>
        <w:tc>
          <w:tcPr>
            <w:tcW w:w="446" w:type="pct"/>
            <w:noWrap/>
            <w:tcMar>
              <w:left w:w="29" w:type="dxa"/>
              <w:right w:w="29" w:type="dxa"/>
            </w:tcMar>
            <w:hideMark/>
          </w:tcPr>
          <w:p w14:paraId="6F8240BE" w14:textId="77777777" w:rsidR="0001781A" w:rsidRPr="000973F2" w:rsidRDefault="0001781A" w:rsidP="00EE0727">
            <w:pPr>
              <w:tabs>
                <w:tab w:val="decimal" w:pos="584"/>
              </w:tabs>
              <w:spacing w:before="40" w:after="4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18"/>
                <w:szCs w:val="18"/>
              </w:rPr>
            </w:pPr>
            <w:r w:rsidRPr="000973F2">
              <w:rPr>
                <w:rFonts w:ascii="Times New Roman" w:eastAsia="Times New Roman" w:hAnsi="Times New Roman" w:cs="Times New Roman"/>
                <w:b/>
                <w:bCs/>
                <w:sz w:val="18"/>
                <w:szCs w:val="18"/>
              </w:rPr>
              <w:t xml:space="preserve">$1,757 </w:t>
            </w:r>
          </w:p>
        </w:tc>
        <w:tc>
          <w:tcPr>
            <w:tcW w:w="445" w:type="pct"/>
            <w:noWrap/>
            <w:tcMar>
              <w:left w:w="29" w:type="dxa"/>
              <w:right w:w="29" w:type="dxa"/>
            </w:tcMar>
            <w:hideMark/>
          </w:tcPr>
          <w:p w14:paraId="72FAA6B7" w14:textId="77777777" w:rsidR="0001781A" w:rsidRPr="000973F2" w:rsidRDefault="0001781A" w:rsidP="00EE0727">
            <w:pPr>
              <w:tabs>
                <w:tab w:val="decimal" w:pos="584"/>
              </w:tabs>
              <w:spacing w:before="40" w:after="4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18"/>
                <w:szCs w:val="18"/>
              </w:rPr>
            </w:pPr>
            <w:r w:rsidRPr="000973F2">
              <w:rPr>
                <w:rFonts w:ascii="Times New Roman" w:eastAsia="Times New Roman" w:hAnsi="Times New Roman" w:cs="Times New Roman"/>
                <w:b/>
                <w:bCs/>
                <w:sz w:val="18"/>
                <w:szCs w:val="18"/>
              </w:rPr>
              <w:t xml:space="preserve">$1,757 </w:t>
            </w:r>
          </w:p>
        </w:tc>
      </w:tr>
    </w:tbl>
    <w:p w14:paraId="29F7A786" w14:textId="77777777" w:rsidR="0001781A" w:rsidRPr="000973F2" w:rsidRDefault="0001781A" w:rsidP="00C00E4F">
      <w:pPr>
        <w:pStyle w:val="AfterTable"/>
      </w:pPr>
    </w:p>
    <w:p w14:paraId="1CE27ACD" w14:textId="77777777" w:rsidR="0001781A" w:rsidRPr="000973F2" w:rsidRDefault="0001781A" w:rsidP="00C00E4F">
      <w:pPr>
        <w:rPr>
          <w:i/>
        </w:rPr>
      </w:pPr>
      <w:bookmarkStart w:id="5" w:name="_Hlk536798207"/>
      <w:r w:rsidRPr="000973F2">
        <w:rPr>
          <w:rFonts w:ascii="Times New Roman" w:hAnsi="Times New Roman" w:cs="Times New Roman"/>
          <w:i/>
        </w:rPr>
        <w:t>Subpart C with at least one additional subpart</w:t>
      </w:r>
      <w:bookmarkEnd w:id="5"/>
    </w:p>
    <w:tbl>
      <w:tblPr>
        <w:tblStyle w:val="PlainTable1"/>
        <w:tblW w:w="5000" w:type="pct"/>
        <w:jc w:val="left"/>
        <w:tblLayout w:type="fixed"/>
        <w:tblCellMar>
          <w:left w:w="115" w:type="dxa"/>
          <w:right w:w="115" w:type="dxa"/>
        </w:tblCellMar>
        <w:tblLook w:val="04A0" w:firstRow="1" w:lastRow="0" w:firstColumn="1" w:lastColumn="0" w:noHBand="0" w:noVBand="1"/>
      </w:tblPr>
      <w:tblGrid>
        <w:gridCol w:w="1278"/>
        <w:gridCol w:w="821"/>
        <w:gridCol w:w="821"/>
        <w:gridCol w:w="821"/>
        <w:gridCol w:w="821"/>
        <w:gridCol w:w="821"/>
        <w:gridCol w:w="821"/>
        <w:gridCol w:w="821"/>
        <w:gridCol w:w="823"/>
        <w:gridCol w:w="871"/>
        <w:gridCol w:w="871"/>
      </w:tblGrid>
      <w:tr w:rsidR="0001781A" w:rsidRPr="000973F2" w14:paraId="2E9F39FE" w14:textId="77777777" w:rsidTr="00D47101">
        <w:trPr>
          <w:cnfStyle w:val="100000000000" w:firstRow="1" w:lastRow="0" w:firstColumn="0" w:lastColumn="0" w:oddVBand="0" w:evenVBand="0" w:oddHBand="0" w:evenHBand="0" w:firstRowFirstColumn="0" w:firstRowLastColumn="0" w:lastRowFirstColumn="0" w:lastRowLastColumn="0"/>
          <w:cantSplit/>
          <w:jc w:val="left"/>
        </w:trPr>
        <w:tc>
          <w:tcPr>
            <w:cnfStyle w:val="001000000000" w:firstRow="0" w:lastRow="0" w:firstColumn="1" w:lastColumn="0" w:oddVBand="0" w:evenVBand="0" w:oddHBand="0" w:evenHBand="0" w:firstRowFirstColumn="0" w:firstRowLastColumn="0" w:lastRowFirstColumn="0" w:lastRowLastColumn="0"/>
            <w:tcW w:w="667" w:type="pct"/>
            <w:vMerge w:val="restart"/>
            <w:noWrap/>
            <w:vAlign w:val="top"/>
            <w:hideMark/>
          </w:tcPr>
          <w:p w14:paraId="378DCA03" w14:textId="77777777" w:rsidR="0001781A" w:rsidRPr="000973F2" w:rsidRDefault="0001781A" w:rsidP="00EE0727">
            <w:pPr>
              <w:spacing w:before="40" w:after="40"/>
              <w:rPr>
                <w:rFonts w:ascii="Times New Roman" w:eastAsia="Times New Roman" w:hAnsi="Times New Roman" w:cs="Times New Roman"/>
                <w:b w:val="0"/>
                <w:bCs w:val="0"/>
                <w:sz w:val="18"/>
                <w:szCs w:val="18"/>
              </w:rPr>
            </w:pPr>
            <w:r w:rsidRPr="000973F2">
              <w:rPr>
                <w:rFonts w:ascii="Times New Roman" w:eastAsia="Times New Roman" w:hAnsi="Times New Roman" w:cs="Times New Roman"/>
                <w:sz w:val="18"/>
                <w:szCs w:val="18"/>
              </w:rPr>
              <w:t>Activity</w:t>
            </w:r>
          </w:p>
        </w:tc>
        <w:tc>
          <w:tcPr>
            <w:tcW w:w="3425" w:type="pct"/>
            <w:gridSpan w:val="8"/>
            <w:noWrap/>
            <w:vAlign w:val="top"/>
            <w:hideMark/>
          </w:tcPr>
          <w:p w14:paraId="558BB020" w14:textId="77777777" w:rsidR="0001781A" w:rsidRPr="000973F2" w:rsidRDefault="0001781A" w:rsidP="00EE0727">
            <w:pPr>
              <w:spacing w:before="40" w:after="40"/>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bCs w:val="0"/>
                <w:sz w:val="18"/>
                <w:szCs w:val="18"/>
              </w:rPr>
            </w:pPr>
            <w:r w:rsidRPr="000973F2">
              <w:rPr>
                <w:rFonts w:ascii="Times New Roman" w:eastAsia="Times New Roman" w:hAnsi="Times New Roman" w:cs="Times New Roman"/>
                <w:sz w:val="18"/>
                <w:szCs w:val="18"/>
              </w:rPr>
              <w:t>Labor Rates (per hour)</w:t>
            </w:r>
          </w:p>
        </w:tc>
        <w:tc>
          <w:tcPr>
            <w:tcW w:w="908" w:type="pct"/>
            <w:gridSpan w:val="2"/>
            <w:vMerge w:val="restart"/>
            <w:vAlign w:val="top"/>
            <w:hideMark/>
          </w:tcPr>
          <w:p w14:paraId="6AF0B010" w14:textId="77777777" w:rsidR="0001781A" w:rsidRPr="000973F2" w:rsidRDefault="0001781A" w:rsidP="00EE0727">
            <w:pPr>
              <w:spacing w:before="40" w:after="40"/>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bCs w:val="0"/>
                <w:sz w:val="18"/>
                <w:szCs w:val="18"/>
              </w:rPr>
            </w:pPr>
            <w:r w:rsidRPr="000973F2">
              <w:rPr>
                <w:rFonts w:ascii="Times New Roman" w:eastAsia="Times New Roman" w:hAnsi="Times New Roman" w:cs="Times New Roman"/>
                <w:sz w:val="18"/>
                <w:szCs w:val="18"/>
              </w:rPr>
              <w:t>Total Labor Cost per Year per Facility (2017$)</w:t>
            </w:r>
          </w:p>
        </w:tc>
      </w:tr>
      <w:tr w:rsidR="0001781A" w:rsidRPr="000973F2" w14:paraId="2D486A6E" w14:textId="77777777" w:rsidTr="00D47101">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667" w:type="pct"/>
            <w:vMerge/>
            <w:hideMark/>
          </w:tcPr>
          <w:p w14:paraId="2D809992" w14:textId="77777777" w:rsidR="0001781A" w:rsidRPr="000973F2" w:rsidRDefault="0001781A" w:rsidP="00EE0727">
            <w:pPr>
              <w:spacing w:before="40" w:after="40"/>
              <w:rPr>
                <w:rFonts w:ascii="Times New Roman" w:eastAsia="Times New Roman" w:hAnsi="Times New Roman" w:cs="Times New Roman"/>
                <w:b/>
                <w:bCs w:val="0"/>
                <w:sz w:val="18"/>
                <w:szCs w:val="18"/>
              </w:rPr>
            </w:pPr>
          </w:p>
        </w:tc>
        <w:tc>
          <w:tcPr>
            <w:tcW w:w="856" w:type="pct"/>
            <w:gridSpan w:val="2"/>
            <w:noWrap/>
            <w:hideMark/>
          </w:tcPr>
          <w:p w14:paraId="399036C7" w14:textId="77777777" w:rsidR="0001781A" w:rsidRPr="000973F2" w:rsidRDefault="0001781A" w:rsidP="00EE0727">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18"/>
                <w:szCs w:val="18"/>
              </w:rPr>
            </w:pPr>
            <w:r w:rsidRPr="000973F2">
              <w:rPr>
                <w:rFonts w:ascii="Times New Roman" w:eastAsia="Times New Roman" w:hAnsi="Times New Roman" w:cs="Times New Roman"/>
                <w:b/>
                <w:bCs/>
                <w:sz w:val="18"/>
                <w:szCs w:val="18"/>
              </w:rPr>
              <w:t>Lawyer</w:t>
            </w:r>
          </w:p>
        </w:tc>
        <w:tc>
          <w:tcPr>
            <w:tcW w:w="856" w:type="pct"/>
            <w:gridSpan w:val="2"/>
            <w:noWrap/>
            <w:hideMark/>
          </w:tcPr>
          <w:p w14:paraId="6C9247BB" w14:textId="77777777" w:rsidR="0001781A" w:rsidRPr="000973F2" w:rsidRDefault="0001781A" w:rsidP="00EE0727">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18"/>
                <w:szCs w:val="18"/>
              </w:rPr>
            </w:pPr>
            <w:r w:rsidRPr="000973F2">
              <w:rPr>
                <w:rFonts w:ascii="Times New Roman" w:eastAsia="Times New Roman" w:hAnsi="Times New Roman" w:cs="Times New Roman"/>
                <w:b/>
                <w:bCs/>
                <w:sz w:val="18"/>
                <w:szCs w:val="18"/>
              </w:rPr>
              <w:t>Industrial Manager</w:t>
            </w:r>
          </w:p>
        </w:tc>
        <w:tc>
          <w:tcPr>
            <w:tcW w:w="856" w:type="pct"/>
            <w:gridSpan w:val="2"/>
            <w:hideMark/>
          </w:tcPr>
          <w:p w14:paraId="42D6D029" w14:textId="4290DB0F" w:rsidR="0001781A" w:rsidRPr="000973F2" w:rsidRDefault="0001781A" w:rsidP="00EE0727">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18"/>
                <w:szCs w:val="18"/>
              </w:rPr>
            </w:pPr>
            <w:r w:rsidRPr="000973F2">
              <w:rPr>
                <w:rFonts w:ascii="Times New Roman" w:eastAsia="Times New Roman" w:hAnsi="Times New Roman" w:cs="Times New Roman"/>
                <w:b/>
                <w:bCs/>
                <w:sz w:val="18"/>
                <w:szCs w:val="18"/>
              </w:rPr>
              <w:t>Industrial Engineer/</w:t>
            </w:r>
            <w:r w:rsidR="000372B9" w:rsidRPr="000973F2">
              <w:rPr>
                <w:rFonts w:ascii="Times New Roman" w:eastAsia="Times New Roman" w:hAnsi="Times New Roman" w:cs="Times New Roman"/>
                <w:b/>
                <w:bCs/>
                <w:sz w:val="18"/>
                <w:szCs w:val="18"/>
              </w:rPr>
              <w:t xml:space="preserve"> </w:t>
            </w:r>
            <w:r w:rsidRPr="000973F2">
              <w:rPr>
                <w:rFonts w:ascii="Times New Roman" w:eastAsia="Times New Roman" w:hAnsi="Times New Roman" w:cs="Times New Roman"/>
                <w:b/>
                <w:bCs/>
                <w:sz w:val="18"/>
                <w:szCs w:val="18"/>
              </w:rPr>
              <w:t>Technician</w:t>
            </w:r>
          </w:p>
        </w:tc>
        <w:tc>
          <w:tcPr>
            <w:tcW w:w="856" w:type="pct"/>
            <w:gridSpan w:val="2"/>
            <w:hideMark/>
          </w:tcPr>
          <w:p w14:paraId="45FC9F38" w14:textId="77777777" w:rsidR="0001781A" w:rsidRPr="000973F2" w:rsidRDefault="0001781A" w:rsidP="00EE0727">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18"/>
                <w:szCs w:val="18"/>
              </w:rPr>
            </w:pPr>
            <w:r w:rsidRPr="000973F2">
              <w:rPr>
                <w:rFonts w:ascii="Times New Roman" w:eastAsia="Times New Roman" w:hAnsi="Times New Roman" w:cs="Times New Roman"/>
                <w:b/>
                <w:bCs/>
                <w:sz w:val="18"/>
                <w:szCs w:val="18"/>
              </w:rPr>
              <w:t>Administrative Support</w:t>
            </w:r>
          </w:p>
        </w:tc>
        <w:tc>
          <w:tcPr>
            <w:tcW w:w="908" w:type="pct"/>
            <w:gridSpan w:val="2"/>
            <w:vMerge/>
            <w:hideMark/>
          </w:tcPr>
          <w:p w14:paraId="0774F785" w14:textId="77777777" w:rsidR="0001781A" w:rsidRPr="000973F2" w:rsidRDefault="0001781A" w:rsidP="00EE0727">
            <w:pPr>
              <w:spacing w:before="40" w:after="4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18"/>
                <w:szCs w:val="18"/>
              </w:rPr>
            </w:pPr>
          </w:p>
        </w:tc>
      </w:tr>
      <w:tr w:rsidR="0001781A" w:rsidRPr="000973F2" w14:paraId="2B275F11" w14:textId="77777777" w:rsidTr="00D47101">
        <w:trPr>
          <w:cantSplit/>
        </w:trPr>
        <w:tc>
          <w:tcPr>
            <w:cnfStyle w:val="001000000000" w:firstRow="0" w:lastRow="0" w:firstColumn="1" w:lastColumn="0" w:oddVBand="0" w:evenVBand="0" w:oddHBand="0" w:evenHBand="0" w:firstRowFirstColumn="0" w:firstRowLastColumn="0" w:lastRowFirstColumn="0" w:lastRowLastColumn="0"/>
            <w:tcW w:w="667" w:type="pct"/>
            <w:vMerge/>
            <w:hideMark/>
          </w:tcPr>
          <w:p w14:paraId="4E27D1E1" w14:textId="77777777" w:rsidR="0001781A" w:rsidRPr="000973F2" w:rsidRDefault="0001781A" w:rsidP="00EE0727">
            <w:pPr>
              <w:spacing w:before="40" w:after="40"/>
              <w:rPr>
                <w:rFonts w:ascii="Times New Roman" w:eastAsia="Times New Roman" w:hAnsi="Times New Roman" w:cs="Times New Roman"/>
                <w:b/>
                <w:bCs w:val="0"/>
                <w:sz w:val="18"/>
                <w:szCs w:val="18"/>
              </w:rPr>
            </w:pPr>
          </w:p>
        </w:tc>
        <w:tc>
          <w:tcPr>
            <w:tcW w:w="856" w:type="pct"/>
            <w:gridSpan w:val="2"/>
            <w:noWrap/>
            <w:hideMark/>
          </w:tcPr>
          <w:p w14:paraId="68AB8F5C" w14:textId="77777777" w:rsidR="0001781A" w:rsidRPr="000973F2" w:rsidRDefault="0001781A" w:rsidP="00EE0727">
            <w:pPr>
              <w:spacing w:before="40" w:after="4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sz w:val="18"/>
                <w:szCs w:val="18"/>
              </w:rPr>
            </w:pPr>
            <w:r w:rsidRPr="000973F2">
              <w:rPr>
                <w:rFonts w:ascii="Times New Roman" w:eastAsia="Times New Roman" w:hAnsi="Times New Roman" w:cs="Times New Roman"/>
                <w:b/>
                <w:bCs/>
                <w:sz w:val="18"/>
                <w:szCs w:val="18"/>
              </w:rPr>
              <w:t xml:space="preserve">$112.23 </w:t>
            </w:r>
          </w:p>
        </w:tc>
        <w:tc>
          <w:tcPr>
            <w:tcW w:w="856" w:type="pct"/>
            <w:gridSpan w:val="2"/>
            <w:noWrap/>
            <w:hideMark/>
          </w:tcPr>
          <w:p w14:paraId="18A7A879" w14:textId="77777777" w:rsidR="0001781A" w:rsidRPr="000973F2" w:rsidRDefault="0001781A" w:rsidP="00EE0727">
            <w:pPr>
              <w:spacing w:before="40" w:after="4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sz w:val="18"/>
                <w:szCs w:val="18"/>
              </w:rPr>
            </w:pPr>
            <w:r w:rsidRPr="000973F2">
              <w:rPr>
                <w:rFonts w:ascii="Times New Roman" w:eastAsia="Times New Roman" w:hAnsi="Times New Roman" w:cs="Times New Roman"/>
                <w:b/>
                <w:bCs/>
                <w:sz w:val="18"/>
                <w:szCs w:val="18"/>
              </w:rPr>
              <w:t xml:space="preserve">$87.45 </w:t>
            </w:r>
          </w:p>
        </w:tc>
        <w:tc>
          <w:tcPr>
            <w:tcW w:w="856" w:type="pct"/>
            <w:gridSpan w:val="2"/>
            <w:noWrap/>
            <w:hideMark/>
          </w:tcPr>
          <w:p w14:paraId="72F6DA95" w14:textId="77777777" w:rsidR="0001781A" w:rsidRPr="000973F2" w:rsidRDefault="0001781A" w:rsidP="00EE0727">
            <w:pPr>
              <w:spacing w:before="40" w:after="4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sz w:val="18"/>
                <w:szCs w:val="18"/>
              </w:rPr>
            </w:pPr>
            <w:r w:rsidRPr="000973F2">
              <w:rPr>
                <w:rFonts w:ascii="Times New Roman" w:eastAsia="Times New Roman" w:hAnsi="Times New Roman" w:cs="Times New Roman"/>
                <w:b/>
                <w:bCs/>
                <w:sz w:val="18"/>
                <w:szCs w:val="18"/>
              </w:rPr>
              <w:t xml:space="preserve">$71.45 </w:t>
            </w:r>
          </w:p>
        </w:tc>
        <w:tc>
          <w:tcPr>
            <w:tcW w:w="856" w:type="pct"/>
            <w:gridSpan w:val="2"/>
            <w:noWrap/>
            <w:hideMark/>
          </w:tcPr>
          <w:p w14:paraId="032C81EA" w14:textId="77777777" w:rsidR="0001781A" w:rsidRPr="000973F2" w:rsidRDefault="0001781A" w:rsidP="00EE0727">
            <w:pPr>
              <w:spacing w:before="40" w:after="4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sz w:val="18"/>
                <w:szCs w:val="18"/>
              </w:rPr>
            </w:pPr>
            <w:r w:rsidRPr="000973F2">
              <w:rPr>
                <w:rFonts w:ascii="Times New Roman" w:eastAsia="Times New Roman" w:hAnsi="Times New Roman" w:cs="Times New Roman"/>
                <w:b/>
                <w:bCs/>
                <w:sz w:val="18"/>
                <w:szCs w:val="18"/>
              </w:rPr>
              <w:t xml:space="preserve">$36.28 </w:t>
            </w:r>
          </w:p>
        </w:tc>
        <w:tc>
          <w:tcPr>
            <w:tcW w:w="908" w:type="pct"/>
            <w:gridSpan w:val="2"/>
            <w:vMerge/>
            <w:hideMark/>
          </w:tcPr>
          <w:p w14:paraId="5D80A42E" w14:textId="77777777" w:rsidR="0001781A" w:rsidRPr="000973F2" w:rsidRDefault="0001781A" w:rsidP="00EE0727">
            <w:pPr>
              <w:spacing w:before="40" w:after="4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sz w:val="18"/>
                <w:szCs w:val="18"/>
              </w:rPr>
            </w:pPr>
          </w:p>
        </w:tc>
      </w:tr>
      <w:tr w:rsidR="000372B9" w:rsidRPr="000973F2" w14:paraId="76B761A4" w14:textId="77777777" w:rsidTr="00D47101">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667" w:type="pct"/>
            <w:vMerge/>
            <w:hideMark/>
          </w:tcPr>
          <w:p w14:paraId="2076DE4D" w14:textId="77777777" w:rsidR="0001781A" w:rsidRPr="000973F2" w:rsidRDefault="0001781A" w:rsidP="00EE0727">
            <w:pPr>
              <w:spacing w:before="40" w:after="40"/>
              <w:rPr>
                <w:rFonts w:ascii="Times New Roman" w:eastAsia="Times New Roman" w:hAnsi="Times New Roman" w:cs="Times New Roman"/>
                <w:b/>
                <w:bCs w:val="0"/>
                <w:sz w:val="18"/>
                <w:szCs w:val="18"/>
              </w:rPr>
            </w:pPr>
          </w:p>
        </w:tc>
        <w:tc>
          <w:tcPr>
            <w:tcW w:w="428" w:type="pct"/>
            <w:tcMar>
              <w:left w:w="14" w:type="dxa"/>
              <w:right w:w="14" w:type="dxa"/>
            </w:tcMar>
            <w:hideMark/>
          </w:tcPr>
          <w:p w14:paraId="71E04EA6" w14:textId="7091BDA0" w:rsidR="0001781A" w:rsidRPr="000973F2" w:rsidRDefault="0001781A" w:rsidP="00EE0727">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18"/>
                <w:szCs w:val="18"/>
              </w:rPr>
            </w:pPr>
            <w:r w:rsidRPr="000973F2">
              <w:rPr>
                <w:rFonts w:ascii="Times New Roman" w:eastAsia="Times New Roman" w:hAnsi="Times New Roman" w:cs="Times New Roman"/>
                <w:b/>
                <w:bCs/>
                <w:sz w:val="18"/>
                <w:szCs w:val="18"/>
              </w:rPr>
              <w:t>Initial Year</w:t>
            </w:r>
            <w:r w:rsidR="00EE0727" w:rsidRPr="000973F2">
              <w:rPr>
                <w:rFonts w:ascii="Times New Roman" w:eastAsia="Times New Roman" w:hAnsi="Times New Roman" w:cs="Times New Roman"/>
                <w:b/>
                <w:bCs/>
                <w:sz w:val="18"/>
                <w:szCs w:val="18"/>
              </w:rPr>
              <w:t xml:space="preserve"> </w:t>
            </w:r>
            <w:r w:rsidRPr="000973F2">
              <w:rPr>
                <w:rFonts w:ascii="Times New Roman" w:eastAsia="Times New Roman" w:hAnsi="Times New Roman" w:cs="Times New Roman"/>
                <w:b/>
                <w:bCs/>
                <w:sz w:val="18"/>
                <w:szCs w:val="18"/>
              </w:rPr>
              <w:t>Hours</w:t>
            </w:r>
          </w:p>
        </w:tc>
        <w:tc>
          <w:tcPr>
            <w:tcW w:w="428" w:type="pct"/>
            <w:tcMar>
              <w:left w:w="14" w:type="dxa"/>
              <w:right w:w="14" w:type="dxa"/>
            </w:tcMar>
            <w:hideMark/>
          </w:tcPr>
          <w:p w14:paraId="47D0D946" w14:textId="7058D954" w:rsidR="0001781A" w:rsidRPr="000973F2" w:rsidRDefault="0001781A" w:rsidP="00EE0727">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18"/>
                <w:szCs w:val="18"/>
              </w:rPr>
            </w:pPr>
            <w:r w:rsidRPr="000973F2">
              <w:rPr>
                <w:rFonts w:ascii="Times New Roman" w:eastAsia="Times New Roman" w:hAnsi="Times New Roman" w:cs="Times New Roman"/>
                <w:b/>
                <w:bCs/>
                <w:sz w:val="18"/>
                <w:szCs w:val="18"/>
              </w:rPr>
              <w:t>Subseq. Year</w:t>
            </w:r>
            <w:r w:rsidR="00EE0727" w:rsidRPr="000973F2">
              <w:rPr>
                <w:rFonts w:ascii="Times New Roman" w:eastAsia="Times New Roman" w:hAnsi="Times New Roman" w:cs="Times New Roman"/>
                <w:b/>
                <w:bCs/>
                <w:sz w:val="18"/>
                <w:szCs w:val="18"/>
              </w:rPr>
              <w:t xml:space="preserve"> </w:t>
            </w:r>
            <w:r w:rsidRPr="000973F2">
              <w:rPr>
                <w:rFonts w:ascii="Times New Roman" w:eastAsia="Times New Roman" w:hAnsi="Times New Roman" w:cs="Times New Roman"/>
                <w:b/>
                <w:bCs/>
                <w:sz w:val="18"/>
                <w:szCs w:val="18"/>
              </w:rPr>
              <w:t>Hours</w:t>
            </w:r>
          </w:p>
        </w:tc>
        <w:tc>
          <w:tcPr>
            <w:tcW w:w="428" w:type="pct"/>
            <w:tcMar>
              <w:left w:w="14" w:type="dxa"/>
              <w:right w:w="14" w:type="dxa"/>
            </w:tcMar>
            <w:hideMark/>
          </w:tcPr>
          <w:p w14:paraId="61861D70" w14:textId="745BE76A" w:rsidR="0001781A" w:rsidRPr="000973F2" w:rsidRDefault="0001781A" w:rsidP="00EE0727">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18"/>
                <w:szCs w:val="18"/>
              </w:rPr>
            </w:pPr>
            <w:r w:rsidRPr="000973F2">
              <w:rPr>
                <w:rFonts w:ascii="Times New Roman" w:eastAsia="Times New Roman" w:hAnsi="Times New Roman" w:cs="Times New Roman"/>
                <w:b/>
                <w:bCs/>
                <w:sz w:val="18"/>
                <w:szCs w:val="18"/>
              </w:rPr>
              <w:t>Initial Year</w:t>
            </w:r>
            <w:r w:rsidR="00EE0727" w:rsidRPr="000973F2">
              <w:rPr>
                <w:rFonts w:ascii="Times New Roman" w:eastAsia="Times New Roman" w:hAnsi="Times New Roman" w:cs="Times New Roman"/>
                <w:b/>
                <w:bCs/>
                <w:sz w:val="18"/>
                <w:szCs w:val="18"/>
              </w:rPr>
              <w:t xml:space="preserve"> </w:t>
            </w:r>
            <w:r w:rsidRPr="000973F2">
              <w:rPr>
                <w:rFonts w:ascii="Times New Roman" w:eastAsia="Times New Roman" w:hAnsi="Times New Roman" w:cs="Times New Roman"/>
                <w:b/>
                <w:bCs/>
                <w:sz w:val="18"/>
                <w:szCs w:val="18"/>
              </w:rPr>
              <w:t>Hours</w:t>
            </w:r>
          </w:p>
        </w:tc>
        <w:tc>
          <w:tcPr>
            <w:tcW w:w="428" w:type="pct"/>
            <w:tcMar>
              <w:left w:w="14" w:type="dxa"/>
              <w:right w:w="14" w:type="dxa"/>
            </w:tcMar>
            <w:hideMark/>
          </w:tcPr>
          <w:p w14:paraId="168F2A39" w14:textId="49D4D43F" w:rsidR="0001781A" w:rsidRPr="000973F2" w:rsidRDefault="0001781A" w:rsidP="00EE0727">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18"/>
                <w:szCs w:val="18"/>
              </w:rPr>
            </w:pPr>
            <w:r w:rsidRPr="000973F2">
              <w:rPr>
                <w:rFonts w:ascii="Times New Roman" w:eastAsia="Times New Roman" w:hAnsi="Times New Roman" w:cs="Times New Roman"/>
                <w:b/>
                <w:bCs/>
                <w:sz w:val="18"/>
                <w:szCs w:val="18"/>
              </w:rPr>
              <w:t>Subseq. Year</w:t>
            </w:r>
            <w:r w:rsidR="00EE0727" w:rsidRPr="000973F2">
              <w:rPr>
                <w:rFonts w:ascii="Times New Roman" w:eastAsia="Times New Roman" w:hAnsi="Times New Roman" w:cs="Times New Roman"/>
                <w:b/>
                <w:bCs/>
                <w:sz w:val="18"/>
                <w:szCs w:val="18"/>
              </w:rPr>
              <w:t xml:space="preserve"> </w:t>
            </w:r>
            <w:r w:rsidRPr="000973F2">
              <w:rPr>
                <w:rFonts w:ascii="Times New Roman" w:eastAsia="Times New Roman" w:hAnsi="Times New Roman" w:cs="Times New Roman"/>
                <w:b/>
                <w:bCs/>
                <w:sz w:val="18"/>
                <w:szCs w:val="18"/>
              </w:rPr>
              <w:t>Hours</w:t>
            </w:r>
          </w:p>
        </w:tc>
        <w:tc>
          <w:tcPr>
            <w:tcW w:w="428" w:type="pct"/>
            <w:tcMar>
              <w:left w:w="14" w:type="dxa"/>
              <w:right w:w="14" w:type="dxa"/>
            </w:tcMar>
            <w:hideMark/>
          </w:tcPr>
          <w:p w14:paraId="5860919F" w14:textId="0401BC96" w:rsidR="0001781A" w:rsidRPr="000973F2" w:rsidRDefault="0001781A" w:rsidP="00EE0727">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18"/>
                <w:szCs w:val="18"/>
              </w:rPr>
            </w:pPr>
            <w:r w:rsidRPr="000973F2">
              <w:rPr>
                <w:rFonts w:ascii="Times New Roman" w:eastAsia="Times New Roman" w:hAnsi="Times New Roman" w:cs="Times New Roman"/>
                <w:b/>
                <w:bCs/>
                <w:sz w:val="18"/>
                <w:szCs w:val="18"/>
              </w:rPr>
              <w:t>Initial Year</w:t>
            </w:r>
            <w:r w:rsidR="00EE0727" w:rsidRPr="000973F2">
              <w:rPr>
                <w:rFonts w:ascii="Times New Roman" w:eastAsia="Times New Roman" w:hAnsi="Times New Roman" w:cs="Times New Roman"/>
                <w:b/>
                <w:bCs/>
                <w:sz w:val="18"/>
                <w:szCs w:val="18"/>
              </w:rPr>
              <w:t xml:space="preserve"> </w:t>
            </w:r>
            <w:r w:rsidRPr="000973F2">
              <w:rPr>
                <w:rFonts w:ascii="Times New Roman" w:eastAsia="Times New Roman" w:hAnsi="Times New Roman" w:cs="Times New Roman"/>
                <w:b/>
                <w:bCs/>
                <w:sz w:val="18"/>
                <w:szCs w:val="18"/>
              </w:rPr>
              <w:t>Hours</w:t>
            </w:r>
          </w:p>
        </w:tc>
        <w:tc>
          <w:tcPr>
            <w:tcW w:w="428" w:type="pct"/>
            <w:tcMar>
              <w:left w:w="14" w:type="dxa"/>
              <w:right w:w="14" w:type="dxa"/>
            </w:tcMar>
            <w:hideMark/>
          </w:tcPr>
          <w:p w14:paraId="4B5365F5" w14:textId="5F2963C6" w:rsidR="0001781A" w:rsidRPr="000973F2" w:rsidRDefault="0001781A" w:rsidP="00EE0727">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18"/>
                <w:szCs w:val="18"/>
              </w:rPr>
            </w:pPr>
            <w:r w:rsidRPr="000973F2">
              <w:rPr>
                <w:rFonts w:ascii="Times New Roman" w:eastAsia="Times New Roman" w:hAnsi="Times New Roman" w:cs="Times New Roman"/>
                <w:b/>
                <w:bCs/>
                <w:sz w:val="18"/>
                <w:szCs w:val="18"/>
              </w:rPr>
              <w:t>Subseq. Year</w:t>
            </w:r>
            <w:r w:rsidR="00EE0727" w:rsidRPr="000973F2">
              <w:rPr>
                <w:rFonts w:ascii="Times New Roman" w:eastAsia="Times New Roman" w:hAnsi="Times New Roman" w:cs="Times New Roman"/>
                <w:b/>
                <w:bCs/>
                <w:sz w:val="18"/>
                <w:szCs w:val="18"/>
              </w:rPr>
              <w:t xml:space="preserve"> </w:t>
            </w:r>
            <w:r w:rsidRPr="000973F2">
              <w:rPr>
                <w:rFonts w:ascii="Times New Roman" w:eastAsia="Times New Roman" w:hAnsi="Times New Roman" w:cs="Times New Roman"/>
                <w:b/>
                <w:bCs/>
                <w:sz w:val="18"/>
                <w:szCs w:val="18"/>
              </w:rPr>
              <w:t>Hours</w:t>
            </w:r>
          </w:p>
        </w:tc>
        <w:tc>
          <w:tcPr>
            <w:tcW w:w="428" w:type="pct"/>
            <w:tcMar>
              <w:left w:w="14" w:type="dxa"/>
              <w:right w:w="14" w:type="dxa"/>
            </w:tcMar>
            <w:hideMark/>
          </w:tcPr>
          <w:p w14:paraId="67189E78" w14:textId="706B4FA2" w:rsidR="0001781A" w:rsidRPr="000973F2" w:rsidRDefault="0001781A" w:rsidP="00EE0727">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18"/>
                <w:szCs w:val="18"/>
              </w:rPr>
            </w:pPr>
            <w:r w:rsidRPr="000973F2">
              <w:rPr>
                <w:rFonts w:ascii="Times New Roman" w:eastAsia="Times New Roman" w:hAnsi="Times New Roman" w:cs="Times New Roman"/>
                <w:b/>
                <w:bCs/>
                <w:sz w:val="18"/>
                <w:szCs w:val="18"/>
              </w:rPr>
              <w:t>Initial Year</w:t>
            </w:r>
            <w:r w:rsidR="00EE0727" w:rsidRPr="000973F2">
              <w:rPr>
                <w:rFonts w:ascii="Times New Roman" w:eastAsia="Times New Roman" w:hAnsi="Times New Roman" w:cs="Times New Roman"/>
                <w:b/>
                <w:bCs/>
                <w:sz w:val="18"/>
                <w:szCs w:val="18"/>
              </w:rPr>
              <w:t xml:space="preserve"> </w:t>
            </w:r>
            <w:r w:rsidRPr="000973F2">
              <w:rPr>
                <w:rFonts w:ascii="Times New Roman" w:eastAsia="Times New Roman" w:hAnsi="Times New Roman" w:cs="Times New Roman"/>
                <w:b/>
                <w:bCs/>
                <w:sz w:val="18"/>
                <w:szCs w:val="18"/>
              </w:rPr>
              <w:t>Hours</w:t>
            </w:r>
          </w:p>
        </w:tc>
        <w:tc>
          <w:tcPr>
            <w:tcW w:w="428" w:type="pct"/>
            <w:tcMar>
              <w:left w:w="14" w:type="dxa"/>
              <w:right w:w="14" w:type="dxa"/>
            </w:tcMar>
            <w:hideMark/>
          </w:tcPr>
          <w:p w14:paraId="0C1C49A7" w14:textId="6F729459" w:rsidR="0001781A" w:rsidRPr="000973F2" w:rsidRDefault="0001781A" w:rsidP="00EE0727">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18"/>
                <w:szCs w:val="18"/>
              </w:rPr>
            </w:pPr>
            <w:r w:rsidRPr="000973F2">
              <w:rPr>
                <w:rFonts w:ascii="Times New Roman" w:eastAsia="Times New Roman" w:hAnsi="Times New Roman" w:cs="Times New Roman"/>
                <w:b/>
                <w:bCs/>
                <w:sz w:val="18"/>
                <w:szCs w:val="18"/>
              </w:rPr>
              <w:t>Subseq. Year</w:t>
            </w:r>
            <w:r w:rsidR="00EE0727" w:rsidRPr="000973F2">
              <w:rPr>
                <w:rFonts w:ascii="Times New Roman" w:eastAsia="Times New Roman" w:hAnsi="Times New Roman" w:cs="Times New Roman"/>
                <w:b/>
                <w:bCs/>
                <w:sz w:val="18"/>
                <w:szCs w:val="18"/>
              </w:rPr>
              <w:t xml:space="preserve"> </w:t>
            </w:r>
            <w:r w:rsidRPr="000973F2">
              <w:rPr>
                <w:rFonts w:ascii="Times New Roman" w:eastAsia="Times New Roman" w:hAnsi="Times New Roman" w:cs="Times New Roman"/>
                <w:b/>
                <w:bCs/>
                <w:sz w:val="18"/>
                <w:szCs w:val="18"/>
              </w:rPr>
              <w:t>Hours</w:t>
            </w:r>
          </w:p>
        </w:tc>
        <w:tc>
          <w:tcPr>
            <w:tcW w:w="454" w:type="pct"/>
            <w:tcMar>
              <w:left w:w="14" w:type="dxa"/>
              <w:right w:w="14" w:type="dxa"/>
            </w:tcMar>
            <w:hideMark/>
          </w:tcPr>
          <w:p w14:paraId="34423C99" w14:textId="77777777" w:rsidR="0001781A" w:rsidRPr="000973F2" w:rsidRDefault="0001781A" w:rsidP="00EE0727">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18"/>
                <w:szCs w:val="18"/>
              </w:rPr>
            </w:pPr>
            <w:r w:rsidRPr="000973F2">
              <w:rPr>
                <w:rFonts w:ascii="Times New Roman" w:eastAsia="Times New Roman" w:hAnsi="Times New Roman" w:cs="Times New Roman"/>
                <w:b/>
                <w:bCs/>
                <w:sz w:val="18"/>
                <w:szCs w:val="18"/>
              </w:rPr>
              <w:t>Initial Year</w:t>
            </w:r>
          </w:p>
        </w:tc>
        <w:tc>
          <w:tcPr>
            <w:tcW w:w="454" w:type="pct"/>
            <w:tcMar>
              <w:left w:w="14" w:type="dxa"/>
              <w:right w:w="14" w:type="dxa"/>
            </w:tcMar>
            <w:hideMark/>
          </w:tcPr>
          <w:p w14:paraId="6C1B8482" w14:textId="77777777" w:rsidR="0001781A" w:rsidRPr="000973F2" w:rsidRDefault="0001781A" w:rsidP="00EE0727">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18"/>
                <w:szCs w:val="18"/>
              </w:rPr>
            </w:pPr>
            <w:r w:rsidRPr="000973F2">
              <w:rPr>
                <w:rFonts w:ascii="Times New Roman" w:eastAsia="Times New Roman" w:hAnsi="Times New Roman" w:cs="Times New Roman"/>
                <w:b/>
                <w:bCs/>
                <w:sz w:val="18"/>
                <w:szCs w:val="18"/>
              </w:rPr>
              <w:t>Subseq. Year</w:t>
            </w:r>
          </w:p>
        </w:tc>
      </w:tr>
      <w:tr w:rsidR="000372B9" w:rsidRPr="000973F2" w14:paraId="7331F90C" w14:textId="77777777" w:rsidTr="00D47101">
        <w:trPr>
          <w:cantSplit/>
        </w:trPr>
        <w:tc>
          <w:tcPr>
            <w:cnfStyle w:val="001000000000" w:firstRow="0" w:lastRow="0" w:firstColumn="1" w:lastColumn="0" w:oddVBand="0" w:evenVBand="0" w:oddHBand="0" w:evenHBand="0" w:firstRowFirstColumn="0" w:firstRowLastColumn="0" w:lastRowFirstColumn="0" w:lastRowLastColumn="0"/>
            <w:tcW w:w="667" w:type="pct"/>
            <w:tcMar>
              <w:left w:w="115" w:type="dxa"/>
              <w:right w:w="14" w:type="dxa"/>
            </w:tcMar>
            <w:hideMark/>
          </w:tcPr>
          <w:p w14:paraId="7429B880" w14:textId="77777777" w:rsidR="0001781A" w:rsidRPr="000973F2" w:rsidRDefault="0001781A" w:rsidP="00EE0727">
            <w:pPr>
              <w:spacing w:before="40" w:after="4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Planning</w:t>
            </w:r>
          </w:p>
        </w:tc>
        <w:tc>
          <w:tcPr>
            <w:tcW w:w="428" w:type="pct"/>
            <w:noWrap/>
            <w:hideMark/>
          </w:tcPr>
          <w:p w14:paraId="7F98044D" w14:textId="77777777" w:rsidR="0001781A" w:rsidRPr="000973F2" w:rsidRDefault="0001781A" w:rsidP="000372B9">
            <w:pPr>
              <w:spacing w:before="40" w:after="4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0</w:t>
            </w:r>
          </w:p>
        </w:tc>
        <w:tc>
          <w:tcPr>
            <w:tcW w:w="428" w:type="pct"/>
            <w:noWrap/>
            <w:hideMark/>
          </w:tcPr>
          <w:p w14:paraId="05E9FD48" w14:textId="77777777" w:rsidR="0001781A" w:rsidRPr="000973F2" w:rsidRDefault="0001781A" w:rsidP="000372B9">
            <w:pPr>
              <w:spacing w:before="40" w:after="4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0</w:t>
            </w:r>
          </w:p>
        </w:tc>
        <w:tc>
          <w:tcPr>
            <w:tcW w:w="428" w:type="pct"/>
            <w:noWrap/>
            <w:hideMark/>
          </w:tcPr>
          <w:p w14:paraId="7CA657A5" w14:textId="77777777" w:rsidR="0001781A" w:rsidRPr="000973F2" w:rsidRDefault="0001781A" w:rsidP="000372B9">
            <w:pPr>
              <w:tabs>
                <w:tab w:val="decimal" w:pos="292"/>
              </w:tabs>
              <w:spacing w:before="40" w:after="4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0</w:t>
            </w:r>
          </w:p>
        </w:tc>
        <w:tc>
          <w:tcPr>
            <w:tcW w:w="428" w:type="pct"/>
            <w:noWrap/>
            <w:hideMark/>
          </w:tcPr>
          <w:p w14:paraId="147D4064" w14:textId="77777777" w:rsidR="0001781A" w:rsidRPr="000973F2" w:rsidRDefault="0001781A" w:rsidP="000372B9">
            <w:pPr>
              <w:tabs>
                <w:tab w:val="decimal" w:pos="292"/>
              </w:tabs>
              <w:spacing w:before="40" w:after="4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0</w:t>
            </w:r>
          </w:p>
        </w:tc>
        <w:tc>
          <w:tcPr>
            <w:tcW w:w="428" w:type="pct"/>
            <w:noWrap/>
            <w:hideMark/>
          </w:tcPr>
          <w:p w14:paraId="241C0217" w14:textId="77777777" w:rsidR="0001781A" w:rsidRPr="000973F2" w:rsidRDefault="0001781A" w:rsidP="000372B9">
            <w:pPr>
              <w:tabs>
                <w:tab w:val="decimal" w:pos="292"/>
              </w:tabs>
              <w:spacing w:before="40" w:after="4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5</w:t>
            </w:r>
          </w:p>
        </w:tc>
        <w:tc>
          <w:tcPr>
            <w:tcW w:w="428" w:type="pct"/>
            <w:noWrap/>
            <w:hideMark/>
          </w:tcPr>
          <w:p w14:paraId="6188E3F3" w14:textId="77777777" w:rsidR="0001781A" w:rsidRPr="000973F2" w:rsidRDefault="0001781A" w:rsidP="000372B9">
            <w:pPr>
              <w:tabs>
                <w:tab w:val="decimal" w:pos="292"/>
              </w:tabs>
              <w:spacing w:before="40" w:after="4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5</w:t>
            </w:r>
          </w:p>
        </w:tc>
        <w:tc>
          <w:tcPr>
            <w:tcW w:w="428" w:type="pct"/>
            <w:noWrap/>
            <w:hideMark/>
          </w:tcPr>
          <w:p w14:paraId="5B9DD8F0" w14:textId="77777777" w:rsidR="0001781A" w:rsidRPr="000973F2" w:rsidRDefault="0001781A" w:rsidP="000372B9">
            <w:pPr>
              <w:tabs>
                <w:tab w:val="decimal" w:pos="292"/>
              </w:tabs>
              <w:spacing w:before="40" w:after="4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0</w:t>
            </w:r>
          </w:p>
        </w:tc>
        <w:tc>
          <w:tcPr>
            <w:tcW w:w="428" w:type="pct"/>
            <w:noWrap/>
            <w:hideMark/>
          </w:tcPr>
          <w:p w14:paraId="51984C19" w14:textId="77777777" w:rsidR="0001781A" w:rsidRPr="000973F2" w:rsidRDefault="0001781A" w:rsidP="000372B9">
            <w:pPr>
              <w:tabs>
                <w:tab w:val="decimal" w:pos="292"/>
              </w:tabs>
              <w:spacing w:before="40" w:after="4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0</w:t>
            </w:r>
          </w:p>
        </w:tc>
        <w:tc>
          <w:tcPr>
            <w:tcW w:w="454" w:type="pct"/>
            <w:noWrap/>
            <w:hideMark/>
          </w:tcPr>
          <w:p w14:paraId="5AAC3DE9" w14:textId="03667968" w:rsidR="0001781A" w:rsidRPr="000973F2" w:rsidRDefault="0001781A" w:rsidP="000372B9">
            <w:pPr>
              <w:tabs>
                <w:tab w:val="decimal" w:pos="475"/>
              </w:tabs>
              <w:spacing w:before="40" w:after="4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$357</w:t>
            </w:r>
          </w:p>
        </w:tc>
        <w:tc>
          <w:tcPr>
            <w:tcW w:w="454" w:type="pct"/>
            <w:noWrap/>
            <w:hideMark/>
          </w:tcPr>
          <w:p w14:paraId="1CD003E4" w14:textId="77777777" w:rsidR="0001781A" w:rsidRPr="000973F2" w:rsidRDefault="0001781A" w:rsidP="000372B9">
            <w:pPr>
              <w:tabs>
                <w:tab w:val="decimal" w:pos="475"/>
              </w:tabs>
              <w:spacing w:before="40" w:after="4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 xml:space="preserve">$357 </w:t>
            </w:r>
          </w:p>
        </w:tc>
      </w:tr>
      <w:tr w:rsidR="000372B9" w:rsidRPr="000973F2" w14:paraId="6DCAD4C6" w14:textId="77777777" w:rsidTr="00D47101">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667" w:type="pct"/>
            <w:tcMar>
              <w:left w:w="115" w:type="dxa"/>
              <w:right w:w="14" w:type="dxa"/>
            </w:tcMar>
            <w:hideMark/>
          </w:tcPr>
          <w:p w14:paraId="5F2C3C8A" w14:textId="77777777" w:rsidR="0001781A" w:rsidRPr="000973F2" w:rsidRDefault="0001781A" w:rsidP="00EE0727">
            <w:pPr>
              <w:spacing w:before="40" w:after="4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QA/QC</w:t>
            </w:r>
          </w:p>
        </w:tc>
        <w:tc>
          <w:tcPr>
            <w:tcW w:w="428" w:type="pct"/>
            <w:noWrap/>
            <w:hideMark/>
          </w:tcPr>
          <w:p w14:paraId="3F1B6BA6" w14:textId="77777777" w:rsidR="0001781A" w:rsidRPr="000973F2" w:rsidRDefault="0001781A" w:rsidP="000372B9">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0</w:t>
            </w:r>
          </w:p>
        </w:tc>
        <w:tc>
          <w:tcPr>
            <w:tcW w:w="428" w:type="pct"/>
            <w:noWrap/>
            <w:hideMark/>
          </w:tcPr>
          <w:p w14:paraId="19FDA044" w14:textId="77777777" w:rsidR="0001781A" w:rsidRPr="000973F2" w:rsidRDefault="0001781A" w:rsidP="000372B9">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0</w:t>
            </w:r>
          </w:p>
        </w:tc>
        <w:tc>
          <w:tcPr>
            <w:tcW w:w="428" w:type="pct"/>
            <w:noWrap/>
            <w:hideMark/>
          </w:tcPr>
          <w:p w14:paraId="31FA05D4" w14:textId="77777777" w:rsidR="0001781A" w:rsidRPr="000973F2" w:rsidRDefault="0001781A" w:rsidP="000372B9">
            <w:pPr>
              <w:tabs>
                <w:tab w:val="decimal" w:pos="292"/>
              </w:tabs>
              <w:spacing w:before="40" w:after="4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1</w:t>
            </w:r>
          </w:p>
        </w:tc>
        <w:tc>
          <w:tcPr>
            <w:tcW w:w="428" w:type="pct"/>
            <w:noWrap/>
            <w:hideMark/>
          </w:tcPr>
          <w:p w14:paraId="5FBE6789" w14:textId="77777777" w:rsidR="0001781A" w:rsidRPr="000973F2" w:rsidRDefault="0001781A" w:rsidP="000372B9">
            <w:pPr>
              <w:tabs>
                <w:tab w:val="decimal" w:pos="292"/>
              </w:tabs>
              <w:spacing w:before="40" w:after="4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1</w:t>
            </w:r>
          </w:p>
        </w:tc>
        <w:tc>
          <w:tcPr>
            <w:tcW w:w="428" w:type="pct"/>
            <w:noWrap/>
            <w:hideMark/>
          </w:tcPr>
          <w:p w14:paraId="2696E496" w14:textId="77777777" w:rsidR="0001781A" w:rsidRPr="000973F2" w:rsidRDefault="0001781A" w:rsidP="000372B9">
            <w:pPr>
              <w:tabs>
                <w:tab w:val="decimal" w:pos="292"/>
              </w:tabs>
              <w:spacing w:before="40" w:after="4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0</w:t>
            </w:r>
          </w:p>
        </w:tc>
        <w:tc>
          <w:tcPr>
            <w:tcW w:w="428" w:type="pct"/>
            <w:noWrap/>
            <w:hideMark/>
          </w:tcPr>
          <w:p w14:paraId="05CC24F7" w14:textId="77777777" w:rsidR="0001781A" w:rsidRPr="000973F2" w:rsidRDefault="0001781A" w:rsidP="000372B9">
            <w:pPr>
              <w:tabs>
                <w:tab w:val="decimal" w:pos="292"/>
              </w:tabs>
              <w:spacing w:before="40" w:after="4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0</w:t>
            </w:r>
          </w:p>
        </w:tc>
        <w:tc>
          <w:tcPr>
            <w:tcW w:w="428" w:type="pct"/>
            <w:noWrap/>
            <w:hideMark/>
          </w:tcPr>
          <w:p w14:paraId="03B2BC60" w14:textId="77777777" w:rsidR="0001781A" w:rsidRPr="000973F2" w:rsidRDefault="0001781A" w:rsidP="000372B9">
            <w:pPr>
              <w:tabs>
                <w:tab w:val="decimal" w:pos="292"/>
              </w:tabs>
              <w:spacing w:before="40" w:after="4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0</w:t>
            </w:r>
          </w:p>
        </w:tc>
        <w:tc>
          <w:tcPr>
            <w:tcW w:w="428" w:type="pct"/>
            <w:noWrap/>
            <w:hideMark/>
          </w:tcPr>
          <w:p w14:paraId="7AF15B87" w14:textId="77777777" w:rsidR="0001781A" w:rsidRPr="000973F2" w:rsidRDefault="0001781A" w:rsidP="000372B9">
            <w:pPr>
              <w:tabs>
                <w:tab w:val="decimal" w:pos="292"/>
              </w:tabs>
              <w:spacing w:before="40" w:after="4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0</w:t>
            </w:r>
          </w:p>
        </w:tc>
        <w:tc>
          <w:tcPr>
            <w:tcW w:w="454" w:type="pct"/>
            <w:noWrap/>
            <w:hideMark/>
          </w:tcPr>
          <w:p w14:paraId="18515423" w14:textId="0D4C31F9" w:rsidR="0001781A" w:rsidRPr="000973F2" w:rsidRDefault="0001781A" w:rsidP="000372B9">
            <w:pPr>
              <w:tabs>
                <w:tab w:val="decimal" w:pos="475"/>
              </w:tabs>
              <w:spacing w:before="40" w:after="4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$87</w:t>
            </w:r>
          </w:p>
        </w:tc>
        <w:tc>
          <w:tcPr>
            <w:tcW w:w="454" w:type="pct"/>
            <w:noWrap/>
            <w:hideMark/>
          </w:tcPr>
          <w:p w14:paraId="03159391" w14:textId="77777777" w:rsidR="0001781A" w:rsidRPr="000973F2" w:rsidRDefault="0001781A" w:rsidP="000372B9">
            <w:pPr>
              <w:tabs>
                <w:tab w:val="decimal" w:pos="475"/>
              </w:tabs>
              <w:spacing w:before="40" w:after="4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 xml:space="preserve">$87 </w:t>
            </w:r>
          </w:p>
        </w:tc>
      </w:tr>
      <w:tr w:rsidR="000372B9" w:rsidRPr="000973F2" w14:paraId="56A20513" w14:textId="77777777" w:rsidTr="00D47101">
        <w:trPr>
          <w:cantSplit/>
        </w:trPr>
        <w:tc>
          <w:tcPr>
            <w:cnfStyle w:val="001000000000" w:firstRow="0" w:lastRow="0" w:firstColumn="1" w:lastColumn="0" w:oddVBand="0" w:evenVBand="0" w:oddHBand="0" w:evenHBand="0" w:firstRowFirstColumn="0" w:firstRowLastColumn="0" w:lastRowFirstColumn="0" w:lastRowLastColumn="0"/>
            <w:tcW w:w="667" w:type="pct"/>
            <w:tcMar>
              <w:left w:w="115" w:type="dxa"/>
              <w:right w:w="14" w:type="dxa"/>
            </w:tcMar>
            <w:hideMark/>
          </w:tcPr>
          <w:p w14:paraId="1951AB7E" w14:textId="77777777" w:rsidR="0001781A" w:rsidRPr="000973F2" w:rsidRDefault="0001781A" w:rsidP="00EE0727">
            <w:pPr>
              <w:spacing w:before="40" w:after="4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Recordkeeping</w:t>
            </w:r>
          </w:p>
        </w:tc>
        <w:tc>
          <w:tcPr>
            <w:tcW w:w="428" w:type="pct"/>
            <w:noWrap/>
            <w:hideMark/>
          </w:tcPr>
          <w:p w14:paraId="6D2CB90B" w14:textId="77777777" w:rsidR="0001781A" w:rsidRPr="000973F2" w:rsidRDefault="0001781A" w:rsidP="000372B9">
            <w:pPr>
              <w:spacing w:before="40" w:after="4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0</w:t>
            </w:r>
          </w:p>
        </w:tc>
        <w:tc>
          <w:tcPr>
            <w:tcW w:w="428" w:type="pct"/>
            <w:noWrap/>
            <w:hideMark/>
          </w:tcPr>
          <w:p w14:paraId="67C3C4A5" w14:textId="77777777" w:rsidR="0001781A" w:rsidRPr="000973F2" w:rsidRDefault="0001781A" w:rsidP="000372B9">
            <w:pPr>
              <w:spacing w:before="40" w:after="4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0</w:t>
            </w:r>
          </w:p>
        </w:tc>
        <w:tc>
          <w:tcPr>
            <w:tcW w:w="428" w:type="pct"/>
            <w:noWrap/>
            <w:hideMark/>
          </w:tcPr>
          <w:p w14:paraId="5C5BCC46" w14:textId="77777777" w:rsidR="0001781A" w:rsidRPr="000973F2" w:rsidRDefault="0001781A" w:rsidP="000372B9">
            <w:pPr>
              <w:tabs>
                <w:tab w:val="decimal" w:pos="292"/>
              </w:tabs>
              <w:spacing w:before="40" w:after="4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0.5</w:t>
            </w:r>
          </w:p>
        </w:tc>
        <w:tc>
          <w:tcPr>
            <w:tcW w:w="428" w:type="pct"/>
            <w:noWrap/>
            <w:hideMark/>
          </w:tcPr>
          <w:p w14:paraId="48B88D91" w14:textId="77777777" w:rsidR="0001781A" w:rsidRPr="000973F2" w:rsidRDefault="0001781A" w:rsidP="000372B9">
            <w:pPr>
              <w:tabs>
                <w:tab w:val="decimal" w:pos="292"/>
              </w:tabs>
              <w:spacing w:before="40" w:after="4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0.5</w:t>
            </w:r>
          </w:p>
        </w:tc>
        <w:tc>
          <w:tcPr>
            <w:tcW w:w="428" w:type="pct"/>
            <w:noWrap/>
            <w:hideMark/>
          </w:tcPr>
          <w:p w14:paraId="6B1BE258" w14:textId="77777777" w:rsidR="0001781A" w:rsidRPr="000973F2" w:rsidRDefault="0001781A" w:rsidP="000372B9">
            <w:pPr>
              <w:tabs>
                <w:tab w:val="decimal" w:pos="292"/>
              </w:tabs>
              <w:spacing w:before="40" w:after="4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5</w:t>
            </w:r>
          </w:p>
        </w:tc>
        <w:tc>
          <w:tcPr>
            <w:tcW w:w="428" w:type="pct"/>
            <w:noWrap/>
            <w:hideMark/>
          </w:tcPr>
          <w:p w14:paraId="27C72EAD" w14:textId="77777777" w:rsidR="0001781A" w:rsidRPr="000973F2" w:rsidRDefault="0001781A" w:rsidP="000372B9">
            <w:pPr>
              <w:tabs>
                <w:tab w:val="decimal" w:pos="292"/>
              </w:tabs>
              <w:spacing w:before="40" w:after="4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5</w:t>
            </w:r>
          </w:p>
        </w:tc>
        <w:tc>
          <w:tcPr>
            <w:tcW w:w="428" w:type="pct"/>
            <w:noWrap/>
            <w:hideMark/>
          </w:tcPr>
          <w:p w14:paraId="1F565B1F" w14:textId="77777777" w:rsidR="0001781A" w:rsidRPr="000973F2" w:rsidRDefault="0001781A" w:rsidP="000372B9">
            <w:pPr>
              <w:tabs>
                <w:tab w:val="decimal" w:pos="292"/>
              </w:tabs>
              <w:spacing w:before="40" w:after="4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0.5</w:t>
            </w:r>
          </w:p>
        </w:tc>
        <w:tc>
          <w:tcPr>
            <w:tcW w:w="428" w:type="pct"/>
            <w:noWrap/>
            <w:hideMark/>
          </w:tcPr>
          <w:p w14:paraId="4EF2778C" w14:textId="77777777" w:rsidR="0001781A" w:rsidRPr="000973F2" w:rsidRDefault="0001781A" w:rsidP="000372B9">
            <w:pPr>
              <w:tabs>
                <w:tab w:val="decimal" w:pos="292"/>
              </w:tabs>
              <w:spacing w:before="40" w:after="4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0.5</w:t>
            </w:r>
          </w:p>
        </w:tc>
        <w:tc>
          <w:tcPr>
            <w:tcW w:w="454" w:type="pct"/>
            <w:noWrap/>
            <w:hideMark/>
          </w:tcPr>
          <w:p w14:paraId="46E1140B" w14:textId="3F25D0DC" w:rsidR="0001781A" w:rsidRPr="000973F2" w:rsidRDefault="0001781A" w:rsidP="000372B9">
            <w:pPr>
              <w:tabs>
                <w:tab w:val="decimal" w:pos="475"/>
              </w:tabs>
              <w:spacing w:before="40" w:after="4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$419</w:t>
            </w:r>
          </w:p>
        </w:tc>
        <w:tc>
          <w:tcPr>
            <w:tcW w:w="454" w:type="pct"/>
            <w:noWrap/>
            <w:hideMark/>
          </w:tcPr>
          <w:p w14:paraId="43CAD033" w14:textId="77777777" w:rsidR="0001781A" w:rsidRPr="000973F2" w:rsidRDefault="0001781A" w:rsidP="000372B9">
            <w:pPr>
              <w:tabs>
                <w:tab w:val="decimal" w:pos="475"/>
              </w:tabs>
              <w:spacing w:before="40" w:after="4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 xml:space="preserve">$419 </w:t>
            </w:r>
          </w:p>
        </w:tc>
      </w:tr>
      <w:tr w:rsidR="00D47101" w:rsidRPr="000973F2" w14:paraId="7B79B9A4" w14:textId="77777777" w:rsidTr="00D47101">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667" w:type="pct"/>
            <w:tcMar>
              <w:left w:w="115" w:type="dxa"/>
              <w:right w:w="14" w:type="dxa"/>
            </w:tcMar>
            <w:hideMark/>
          </w:tcPr>
          <w:p w14:paraId="20A98DDC" w14:textId="77777777" w:rsidR="00D47101" w:rsidRPr="000973F2" w:rsidRDefault="00D47101" w:rsidP="00D47101">
            <w:pPr>
              <w:spacing w:before="40" w:after="4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Sampling and Analysis (Calculations)</w:t>
            </w:r>
          </w:p>
        </w:tc>
        <w:tc>
          <w:tcPr>
            <w:tcW w:w="428" w:type="pct"/>
            <w:noWrap/>
            <w:hideMark/>
          </w:tcPr>
          <w:p w14:paraId="23B3F03D" w14:textId="5DEB1018" w:rsidR="00D47101" w:rsidRPr="000973F2" w:rsidRDefault="00D47101" w:rsidP="00D47101">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w:t>
            </w:r>
          </w:p>
        </w:tc>
        <w:tc>
          <w:tcPr>
            <w:tcW w:w="428" w:type="pct"/>
            <w:noWrap/>
            <w:hideMark/>
          </w:tcPr>
          <w:p w14:paraId="49141A4B" w14:textId="1B9200AA" w:rsidR="00D47101" w:rsidRPr="000973F2" w:rsidRDefault="00D47101" w:rsidP="00D47101">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w:t>
            </w:r>
          </w:p>
        </w:tc>
        <w:tc>
          <w:tcPr>
            <w:tcW w:w="428" w:type="pct"/>
            <w:noWrap/>
            <w:hideMark/>
          </w:tcPr>
          <w:p w14:paraId="234189B0" w14:textId="13BCB788" w:rsidR="00D47101" w:rsidRPr="000973F2" w:rsidRDefault="00D47101" w:rsidP="00D47101">
            <w:pPr>
              <w:tabs>
                <w:tab w:val="decimal" w:pos="292"/>
              </w:tabs>
              <w:spacing w:before="40" w:after="4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w:t>
            </w:r>
          </w:p>
        </w:tc>
        <w:tc>
          <w:tcPr>
            <w:tcW w:w="428" w:type="pct"/>
            <w:noWrap/>
            <w:hideMark/>
          </w:tcPr>
          <w:p w14:paraId="244BE1A2" w14:textId="39F60856" w:rsidR="00D47101" w:rsidRPr="000973F2" w:rsidRDefault="00D47101" w:rsidP="00D47101">
            <w:pPr>
              <w:tabs>
                <w:tab w:val="decimal" w:pos="292"/>
              </w:tabs>
              <w:spacing w:before="40" w:after="4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w:t>
            </w:r>
          </w:p>
        </w:tc>
        <w:tc>
          <w:tcPr>
            <w:tcW w:w="428" w:type="pct"/>
            <w:noWrap/>
            <w:hideMark/>
          </w:tcPr>
          <w:p w14:paraId="0E1BBC47" w14:textId="614A224B" w:rsidR="00D47101" w:rsidRPr="000973F2" w:rsidRDefault="00D47101" w:rsidP="00D47101">
            <w:pPr>
              <w:tabs>
                <w:tab w:val="decimal" w:pos="292"/>
              </w:tabs>
              <w:spacing w:before="40" w:after="4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w:t>
            </w:r>
          </w:p>
        </w:tc>
        <w:tc>
          <w:tcPr>
            <w:tcW w:w="428" w:type="pct"/>
            <w:noWrap/>
            <w:hideMark/>
          </w:tcPr>
          <w:p w14:paraId="59129AA7" w14:textId="05DEE442" w:rsidR="00D47101" w:rsidRPr="000973F2" w:rsidRDefault="00D47101" w:rsidP="00D47101">
            <w:pPr>
              <w:tabs>
                <w:tab w:val="decimal" w:pos="292"/>
              </w:tabs>
              <w:spacing w:before="40" w:after="4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w:t>
            </w:r>
          </w:p>
        </w:tc>
        <w:tc>
          <w:tcPr>
            <w:tcW w:w="428" w:type="pct"/>
            <w:noWrap/>
            <w:hideMark/>
          </w:tcPr>
          <w:p w14:paraId="39C3CE9D" w14:textId="13908D20" w:rsidR="00D47101" w:rsidRPr="000973F2" w:rsidRDefault="00D47101" w:rsidP="00D47101">
            <w:pPr>
              <w:tabs>
                <w:tab w:val="decimal" w:pos="292"/>
              </w:tabs>
              <w:spacing w:before="40" w:after="4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w:t>
            </w:r>
          </w:p>
        </w:tc>
        <w:tc>
          <w:tcPr>
            <w:tcW w:w="428" w:type="pct"/>
            <w:noWrap/>
            <w:hideMark/>
          </w:tcPr>
          <w:p w14:paraId="27DA1DA0" w14:textId="525EBDC9" w:rsidR="00D47101" w:rsidRPr="000973F2" w:rsidRDefault="00D47101" w:rsidP="00D47101">
            <w:pPr>
              <w:tabs>
                <w:tab w:val="decimal" w:pos="292"/>
              </w:tabs>
              <w:spacing w:before="40" w:after="4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w:t>
            </w:r>
          </w:p>
        </w:tc>
        <w:tc>
          <w:tcPr>
            <w:tcW w:w="454" w:type="pct"/>
            <w:noWrap/>
            <w:hideMark/>
          </w:tcPr>
          <w:p w14:paraId="75AF4CA0" w14:textId="7EEF1F46" w:rsidR="00D47101" w:rsidRPr="000973F2" w:rsidRDefault="00D47101" w:rsidP="00D47101">
            <w:pPr>
              <w:tabs>
                <w:tab w:val="decimal" w:pos="475"/>
              </w:tabs>
              <w:spacing w:before="40" w:after="4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w:t>
            </w:r>
          </w:p>
        </w:tc>
        <w:tc>
          <w:tcPr>
            <w:tcW w:w="454" w:type="pct"/>
            <w:noWrap/>
            <w:hideMark/>
          </w:tcPr>
          <w:p w14:paraId="611B9D98" w14:textId="45C6829D" w:rsidR="00D47101" w:rsidRPr="000973F2" w:rsidRDefault="00D47101" w:rsidP="00D47101">
            <w:pPr>
              <w:tabs>
                <w:tab w:val="decimal" w:pos="475"/>
              </w:tabs>
              <w:spacing w:before="40" w:after="4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w:t>
            </w:r>
          </w:p>
        </w:tc>
      </w:tr>
      <w:tr w:rsidR="000372B9" w:rsidRPr="000973F2" w14:paraId="449A8437" w14:textId="77777777" w:rsidTr="00D47101">
        <w:trPr>
          <w:cantSplit/>
        </w:trPr>
        <w:tc>
          <w:tcPr>
            <w:cnfStyle w:val="001000000000" w:firstRow="0" w:lastRow="0" w:firstColumn="1" w:lastColumn="0" w:oddVBand="0" w:evenVBand="0" w:oddHBand="0" w:evenHBand="0" w:firstRowFirstColumn="0" w:firstRowLastColumn="0" w:lastRowFirstColumn="0" w:lastRowLastColumn="0"/>
            <w:tcW w:w="667" w:type="pct"/>
            <w:tcMar>
              <w:left w:w="115" w:type="dxa"/>
              <w:right w:w="14" w:type="dxa"/>
            </w:tcMar>
            <w:hideMark/>
          </w:tcPr>
          <w:p w14:paraId="07D3B83A" w14:textId="77777777" w:rsidR="0001781A" w:rsidRPr="000973F2" w:rsidRDefault="0001781A" w:rsidP="00EE0727">
            <w:pPr>
              <w:spacing w:before="40" w:after="4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Reporting</w:t>
            </w:r>
          </w:p>
        </w:tc>
        <w:tc>
          <w:tcPr>
            <w:tcW w:w="428" w:type="pct"/>
            <w:noWrap/>
            <w:hideMark/>
          </w:tcPr>
          <w:p w14:paraId="604F2F0F" w14:textId="77777777" w:rsidR="0001781A" w:rsidRPr="000973F2" w:rsidRDefault="0001781A" w:rsidP="000372B9">
            <w:pPr>
              <w:spacing w:before="40" w:after="4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0</w:t>
            </w:r>
          </w:p>
        </w:tc>
        <w:tc>
          <w:tcPr>
            <w:tcW w:w="428" w:type="pct"/>
            <w:noWrap/>
            <w:hideMark/>
          </w:tcPr>
          <w:p w14:paraId="58CD2FCF" w14:textId="77777777" w:rsidR="0001781A" w:rsidRPr="000973F2" w:rsidRDefault="0001781A" w:rsidP="000372B9">
            <w:pPr>
              <w:spacing w:before="40" w:after="4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0</w:t>
            </w:r>
          </w:p>
        </w:tc>
        <w:tc>
          <w:tcPr>
            <w:tcW w:w="428" w:type="pct"/>
            <w:noWrap/>
            <w:hideMark/>
          </w:tcPr>
          <w:p w14:paraId="52AFFE7A" w14:textId="77777777" w:rsidR="0001781A" w:rsidRPr="000973F2" w:rsidRDefault="0001781A" w:rsidP="000372B9">
            <w:pPr>
              <w:tabs>
                <w:tab w:val="decimal" w:pos="292"/>
              </w:tabs>
              <w:spacing w:before="40" w:after="4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0</w:t>
            </w:r>
          </w:p>
        </w:tc>
        <w:tc>
          <w:tcPr>
            <w:tcW w:w="428" w:type="pct"/>
            <w:noWrap/>
            <w:hideMark/>
          </w:tcPr>
          <w:p w14:paraId="44C265D6" w14:textId="77777777" w:rsidR="0001781A" w:rsidRPr="000973F2" w:rsidRDefault="0001781A" w:rsidP="000372B9">
            <w:pPr>
              <w:tabs>
                <w:tab w:val="decimal" w:pos="292"/>
              </w:tabs>
              <w:spacing w:before="40" w:after="4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0</w:t>
            </w:r>
          </w:p>
        </w:tc>
        <w:tc>
          <w:tcPr>
            <w:tcW w:w="428" w:type="pct"/>
            <w:noWrap/>
            <w:hideMark/>
          </w:tcPr>
          <w:p w14:paraId="70C9A293" w14:textId="77777777" w:rsidR="0001781A" w:rsidRPr="000973F2" w:rsidRDefault="0001781A" w:rsidP="000372B9">
            <w:pPr>
              <w:tabs>
                <w:tab w:val="decimal" w:pos="292"/>
              </w:tabs>
              <w:spacing w:before="40" w:after="4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10</w:t>
            </w:r>
          </w:p>
        </w:tc>
        <w:tc>
          <w:tcPr>
            <w:tcW w:w="428" w:type="pct"/>
            <w:noWrap/>
            <w:hideMark/>
          </w:tcPr>
          <w:p w14:paraId="026EC775" w14:textId="77777777" w:rsidR="0001781A" w:rsidRPr="000973F2" w:rsidRDefault="0001781A" w:rsidP="000372B9">
            <w:pPr>
              <w:tabs>
                <w:tab w:val="decimal" w:pos="292"/>
              </w:tabs>
              <w:spacing w:before="40" w:after="4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10</w:t>
            </w:r>
          </w:p>
        </w:tc>
        <w:tc>
          <w:tcPr>
            <w:tcW w:w="428" w:type="pct"/>
            <w:noWrap/>
            <w:hideMark/>
          </w:tcPr>
          <w:p w14:paraId="6EE69643" w14:textId="77777777" w:rsidR="0001781A" w:rsidRPr="000973F2" w:rsidRDefault="0001781A" w:rsidP="000372B9">
            <w:pPr>
              <w:tabs>
                <w:tab w:val="decimal" w:pos="292"/>
              </w:tabs>
              <w:spacing w:before="40" w:after="4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1</w:t>
            </w:r>
          </w:p>
        </w:tc>
        <w:tc>
          <w:tcPr>
            <w:tcW w:w="428" w:type="pct"/>
            <w:noWrap/>
            <w:hideMark/>
          </w:tcPr>
          <w:p w14:paraId="1F1F827A" w14:textId="77777777" w:rsidR="0001781A" w:rsidRPr="000973F2" w:rsidRDefault="0001781A" w:rsidP="000372B9">
            <w:pPr>
              <w:tabs>
                <w:tab w:val="decimal" w:pos="292"/>
              </w:tabs>
              <w:spacing w:before="40" w:after="4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1</w:t>
            </w:r>
          </w:p>
        </w:tc>
        <w:tc>
          <w:tcPr>
            <w:tcW w:w="454" w:type="pct"/>
            <w:noWrap/>
            <w:hideMark/>
          </w:tcPr>
          <w:p w14:paraId="16DD4FB9" w14:textId="28CA52A1" w:rsidR="0001781A" w:rsidRPr="000973F2" w:rsidRDefault="0001781A" w:rsidP="000372B9">
            <w:pPr>
              <w:tabs>
                <w:tab w:val="decimal" w:pos="475"/>
              </w:tabs>
              <w:spacing w:before="40" w:after="4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$751</w:t>
            </w:r>
          </w:p>
        </w:tc>
        <w:tc>
          <w:tcPr>
            <w:tcW w:w="454" w:type="pct"/>
            <w:noWrap/>
            <w:hideMark/>
          </w:tcPr>
          <w:p w14:paraId="43483809" w14:textId="77777777" w:rsidR="0001781A" w:rsidRPr="000973F2" w:rsidRDefault="0001781A" w:rsidP="000372B9">
            <w:pPr>
              <w:tabs>
                <w:tab w:val="decimal" w:pos="475"/>
              </w:tabs>
              <w:spacing w:before="40" w:after="4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 xml:space="preserve">$751 </w:t>
            </w:r>
          </w:p>
        </w:tc>
      </w:tr>
      <w:tr w:rsidR="000372B9" w:rsidRPr="000973F2" w14:paraId="6740B77F" w14:textId="77777777" w:rsidTr="00D47101">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667" w:type="pct"/>
            <w:noWrap/>
            <w:tcMar>
              <w:left w:w="115" w:type="dxa"/>
              <w:right w:w="14" w:type="dxa"/>
            </w:tcMar>
            <w:hideMark/>
          </w:tcPr>
          <w:p w14:paraId="76CF0EBD" w14:textId="77777777" w:rsidR="0001781A" w:rsidRPr="000973F2" w:rsidRDefault="0001781A" w:rsidP="00EE0727">
            <w:pPr>
              <w:spacing w:before="40" w:after="40"/>
              <w:rPr>
                <w:rFonts w:ascii="Times New Roman" w:eastAsia="Times New Roman" w:hAnsi="Times New Roman" w:cs="Times New Roman"/>
                <w:b/>
                <w:bCs w:val="0"/>
                <w:sz w:val="18"/>
                <w:szCs w:val="18"/>
              </w:rPr>
            </w:pPr>
            <w:r w:rsidRPr="000973F2">
              <w:rPr>
                <w:rFonts w:ascii="Times New Roman" w:eastAsia="Times New Roman" w:hAnsi="Times New Roman" w:cs="Times New Roman"/>
                <w:b/>
                <w:sz w:val="18"/>
                <w:szCs w:val="18"/>
              </w:rPr>
              <w:t>Total</w:t>
            </w:r>
          </w:p>
        </w:tc>
        <w:tc>
          <w:tcPr>
            <w:tcW w:w="428" w:type="pct"/>
            <w:noWrap/>
            <w:hideMark/>
          </w:tcPr>
          <w:p w14:paraId="007563EC" w14:textId="77777777" w:rsidR="0001781A" w:rsidRPr="000973F2" w:rsidRDefault="0001781A" w:rsidP="000372B9">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18"/>
                <w:szCs w:val="18"/>
              </w:rPr>
            </w:pPr>
            <w:r w:rsidRPr="000973F2">
              <w:rPr>
                <w:rFonts w:ascii="Times New Roman" w:eastAsia="Times New Roman" w:hAnsi="Times New Roman" w:cs="Times New Roman"/>
                <w:b/>
                <w:bCs/>
                <w:sz w:val="18"/>
                <w:szCs w:val="18"/>
              </w:rPr>
              <w:t>0</w:t>
            </w:r>
          </w:p>
        </w:tc>
        <w:tc>
          <w:tcPr>
            <w:tcW w:w="428" w:type="pct"/>
            <w:noWrap/>
            <w:hideMark/>
          </w:tcPr>
          <w:p w14:paraId="32870092" w14:textId="77777777" w:rsidR="0001781A" w:rsidRPr="000973F2" w:rsidRDefault="0001781A" w:rsidP="000372B9">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18"/>
                <w:szCs w:val="18"/>
              </w:rPr>
            </w:pPr>
            <w:r w:rsidRPr="000973F2">
              <w:rPr>
                <w:rFonts w:ascii="Times New Roman" w:eastAsia="Times New Roman" w:hAnsi="Times New Roman" w:cs="Times New Roman"/>
                <w:b/>
                <w:bCs/>
                <w:sz w:val="18"/>
                <w:szCs w:val="18"/>
              </w:rPr>
              <w:t>0</w:t>
            </w:r>
          </w:p>
        </w:tc>
        <w:tc>
          <w:tcPr>
            <w:tcW w:w="428" w:type="pct"/>
            <w:noWrap/>
            <w:hideMark/>
          </w:tcPr>
          <w:p w14:paraId="002D9E7C" w14:textId="77777777" w:rsidR="0001781A" w:rsidRPr="000973F2" w:rsidRDefault="0001781A" w:rsidP="000372B9">
            <w:pPr>
              <w:tabs>
                <w:tab w:val="decimal" w:pos="292"/>
              </w:tabs>
              <w:spacing w:before="40" w:after="4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18"/>
                <w:szCs w:val="18"/>
              </w:rPr>
            </w:pPr>
            <w:r w:rsidRPr="000973F2">
              <w:rPr>
                <w:rFonts w:ascii="Times New Roman" w:eastAsia="Times New Roman" w:hAnsi="Times New Roman" w:cs="Times New Roman"/>
                <w:b/>
                <w:bCs/>
                <w:sz w:val="18"/>
                <w:szCs w:val="18"/>
              </w:rPr>
              <w:t>1.5</w:t>
            </w:r>
          </w:p>
        </w:tc>
        <w:tc>
          <w:tcPr>
            <w:tcW w:w="428" w:type="pct"/>
            <w:noWrap/>
            <w:hideMark/>
          </w:tcPr>
          <w:p w14:paraId="7125B7EC" w14:textId="77777777" w:rsidR="0001781A" w:rsidRPr="000973F2" w:rsidRDefault="0001781A" w:rsidP="000372B9">
            <w:pPr>
              <w:tabs>
                <w:tab w:val="decimal" w:pos="292"/>
              </w:tabs>
              <w:spacing w:before="40" w:after="4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18"/>
                <w:szCs w:val="18"/>
              </w:rPr>
            </w:pPr>
            <w:r w:rsidRPr="000973F2">
              <w:rPr>
                <w:rFonts w:ascii="Times New Roman" w:eastAsia="Times New Roman" w:hAnsi="Times New Roman" w:cs="Times New Roman"/>
                <w:b/>
                <w:bCs/>
                <w:sz w:val="18"/>
                <w:szCs w:val="18"/>
              </w:rPr>
              <w:t>1.5</w:t>
            </w:r>
          </w:p>
        </w:tc>
        <w:tc>
          <w:tcPr>
            <w:tcW w:w="428" w:type="pct"/>
            <w:noWrap/>
            <w:hideMark/>
          </w:tcPr>
          <w:p w14:paraId="4F0DDC1F" w14:textId="77777777" w:rsidR="0001781A" w:rsidRPr="000973F2" w:rsidRDefault="0001781A" w:rsidP="000372B9">
            <w:pPr>
              <w:tabs>
                <w:tab w:val="decimal" w:pos="292"/>
              </w:tabs>
              <w:spacing w:before="40" w:after="4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18"/>
                <w:szCs w:val="18"/>
              </w:rPr>
            </w:pPr>
            <w:r w:rsidRPr="000973F2">
              <w:rPr>
                <w:rFonts w:ascii="Times New Roman" w:eastAsia="Times New Roman" w:hAnsi="Times New Roman" w:cs="Times New Roman"/>
                <w:b/>
                <w:bCs/>
                <w:sz w:val="18"/>
                <w:szCs w:val="18"/>
              </w:rPr>
              <w:t>20</w:t>
            </w:r>
          </w:p>
        </w:tc>
        <w:tc>
          <w:tcPr>
            <w:tcW w:w="428" w:type="pct"/>
            <w:noWrap/>
            <w:hideMark/>
          </w:tcPr>
          <w:p w14:paraId="61C279C9" w14:textId="77777777" w:rsidR="0001781A" w:rsidRPr="000973F2" w:rsidRDefault="0001781A" w:rsidP="000372B9">
            <w:pPr>
              <w:tabs>
                <w:tab w:val="decimal" w:pos="292"/>
              </w:tabs>
              <w:spacing w:before="40" w:after="4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18"/>
                <w:szCs w:val="18"/>
              </w:rPr>
            </w:pPr>
            <w:r w:rsidRPr="000973F2">
              <w:rPr>
                <w:rFonts w:ascii="Times New Roman" w:eastAsia="Times New Roman" w:hAnsi="Times New Roman" w:cs="Times New Roman"/>
                <w:b/>
                <w:bCs/>
                <w:sz w:val="18"/>
                <w:szCs w:val="18"/>
              </w:rPr>
              <w:t>20</w:t>
            </w:r>
          </w:p>
        </w:tc>
        <w:tc>
          <w:tcPr>
            <w:tcW w:w="428" w:type="pct"/>
            <w:noWrap/>
            <w:hideMark/>
          </w:tcPr>
          <w:p w14:paraId="7CC6FCC4" w14:textId="77777777" w:rsidR="0001781A" w:rsidRPr="000973F2" w:rsidRDefault="0001781A" w:rsidP="000372B9">
            <w:pPr>
              <w:tabs>
                <w:tab w:val="decimal" w:pos="292"/>
              </w:tabs>
              <w:spacing w:before="40" w:after="4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18"/>
                <w:szCs w:val="18"/>
              </w:rPr>
            </w:pPr>
            <w:r w:rsidRPr="000973F2">
              <w:rPr>
                <w:rFonts w:ascii="Times New Roman" w:eastAsia="Times New Roman" w:hAnsi="Times New Roman" w:cs="Times New Roman"/>
                <w:b/>
                <w:bCs/>
                <w:sz w:val="18"/>
                <w:szCs w:val="18"/>
              </w:rPr>
              <w:t>1.5</w:t>
            </w:r>
          </w:p>
        </w:tc>
        <w:tc>
          <w:tcPr>
            <w:tcW w:w="428" w:type="pct"/>
            <w:noWrap/>
            <w:hideMark/>
          </w:tcPr>
          <w:p w14:paraId="78DBE8DB" w14:textId="77777777" w:rsidR="0001781A" w:rsidRPr="000973F2" w:rsidRDefault="0001781A" w:rsidP="000372B9">
            <w:pPr>
              <w:tabs>
                <w:tab w:val="decimal" w:pos="292"/>
              </w:tabs>
              <w:spacing w:before="40" w:after="4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18"/>
                <w:szCs w:val="18"/>
              </w:rPr>
            </w:pPr>
            <w:r w:rsidRPr="000973F2">
              <w:rPr>
                <w:rFonts w:ascii="Times New Roman" w:eastAsia="Times New Roman" w:hAnsi="Times New Roman" w:cs="Times New Roman"/>
                <w:b/>
                <w:bCs/>
                <w:sz w:val="18"/>
                <w:szCs w:val="18"/>
              </w:rPr>
              <w:t>1.5</w:t>
            </w:r>
          </w:p>
        </w:tc>
        <w:tc>
          <w:tcPr>
            <w:tcW w:w="454" w:type="pct"/>
            <w:noWrap/>
            <w:hideMark/>
          </w:tcPr>
          <w:p w14:paraId="27810AED" w14:textId="74D0A1A2" w:rsidR="0001781A" w:rsidRPr="000973F2" w:rsidRDefault="0001781A" w:rsidP="000372B9">
            <w:pPr>
              <w:tabs>
                <w:tab w:val="decimal" w:pos="475"/>
              </w:tabs>
              <w:spacing w:before="40" w:after="4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18"/>
                <w:szCs w:val="18"/>
              </w:rPr>
            </w:pPr>
            <w:r w:rsidRPr="000973F2">
              <w:rPr>
                <w:rFonts w:ascii="Times New Roman" w:eastAsia="Times New Roman" w:hAnsi="Times New Roman" w:cs="Times New Roman"/>
                <w:b/>
                <w:bCs/>
                <w:sz w:val="18"/>
                <w:szCs w:val="18"/>
              </w:rPr>
              <w:t>$1,615</w:t>
            </w:r>
          </w:p>
        </w:tc>
        <w:tc>
          <w:tcPr>
            <w:tcW w:w="454" w:type="pct"/>
            <w:noWrap/>
            <w:hideMark/>
          </w:tcPr>
          <w:p w14:paraId="1C8CF932" w14:textId="77777777" w:rsidR="0001781A" w:rsidRPr="000973F2" w:rsidRDefault="0001781A" w:rsidP="000372B9">
            <w:pPr>
              <w:tabs>
                <w:tab w:val="decimal" w:pos="475"/>
              </w:tabs>
              <w:spacing w:before="40" w:after="4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18"/>
                <w:szCs w:val="18"/>
              </w:rPr>
            </w:pPr>
            <w:r w:rsidRPr="000973F2">
              <w:rPr>
                <w:rFonts w:ascii="Times New Roman" w:eastAsia="Times New Roman" w:hAnsi="Times New Roman" w:cs="Times New Roman"/>
                <w:b/>
                <w:bCs/>
                <w:sz w:val="18"/>
                <w:szCs w:val="18"/>
              </w:rPr>
              <w:t xml:space="preserve">$1,615 </w:t>
            </w:r>
          </w:p>
        </w:tc>
      </w:tr>
    </w:tbl>
    <w:p w14:paraId="38CC7627" w14:textId="77777777" w:rsidR="0001781A" w:rsidRPr="000973F2" w:rsidRDefault="0001781A" w:rsidP="00C00E4F">
      <w:pPr>
        <w:pStyle w:val="TableName"/>
        <w:spacing w:line="240" w:lineRule="auto"/>
      </w:pPr>
      <w:r w:rsidRPr="000973F2">
        <w:br w:type="page"/>
      </w:r>
    </w:p>
    <w:p w14:paraId="16DD890B" w14:textId="5D68BF66" w:rsidR="0001781A" w:rsidRPr="000973F2" w:rsidRDefault="0001781A" w:rsidP="00C00E4F">
      <w:pPr>
        <w:spacing w:line="240" w:lineRule="auto"/>
        <w:rPr>
          <w:rFonts w:ascii="Times New Roman" w:hAnsi="Times New Roman" w:cs="Times New Roman"/>
          <w:b/>
        </w:rPr>
      </w:pPr>
      <w:r w:rsidRPr="000973F2">
        <w:rPr>
          <w:rFonts w:ascii="Times New Roman" w:hAnsi="Times New Roman" w:cs="Times New Roman"/>
          <w:b/>
        </w:rPr>
        <w:t xml:space="preserve">Table </w:t>
      </w:r>
      <w:r w:rsidR="00DC03A3" w:rsidRPr="000973F2">
        <w:rPr>
          <w:rFonts w:ascii="Times New Roman" w:hAnsi="Times New Roman" w:cs="Times New Roman"/>
          <w:b/>
        </w:rPr>
        <w:t>C-</w:t>
      </w:r>
      <w:r w:rsidRPr="000973F2">
        <w:rPr>
          <w:rFonts w:ascii="Times New Roman" w:hAnsi="Times New Roman" w:cs="Times New Roman"/>
          <w:b/>
        </w:rPr>
        <w:t>2b. – Labor Costs</w:t>
      </w:r>
      <w:r w:rsidR="00CC6C17" w:rsidRPr="000973F2">
        <w:rPr>
          <w:rFonts w:ascii="Times New Roman" w:hAnsi="Times New Roman" w:cs="Times New Roman"/>
          <w:b/>
        </w:rPr>
        <w:t xml:space="preserve"> – </w:t>
      </w:r>
      <w:r w:rsidRPr="000973F2">
        <w:rPr>
          <w:rFonts w:ascii="Times New Roman" w:hAnsi="Times New Roman" w:cs="Times New Roman"/>
          <w:b/>
        </w:rPr>
        <w:t>Subpart C</w:t>
      </w:r>
      <w:r w:rsidR="00CC6C17" w:rsidRPr="000973F2">
        <w:rPr>
          <w:rFonts w:ascii="Times New Roman" w:hAnsi="Times New Roman" w:cs="Times New Roman"/>
          <w:b/>
        </w:rPr>
        <w:t xml:space="preserve"> – </w:t>
      </w:r>
      <w:r w:rsidRPr="000973F2">
        <w:rPr>
          <w:rFonts w:ascii="Times New Roman" w:hAnsi="Times New Roman" w:cs="Times New Roman"/>
          <w:b/>
        </w:rPr>
        <w:t>Facilities reporting using Tier 1</w:t>
      </w:r>
    </w:p>
    <w:p w14:paraId="4BDF1A6D" w14:textId="77777777" w:rsidR="0001781A" w:rsidRPr="000973F2" w:rsidRDefault="0001781A" w:rsidP="00C00E4F">
      <w:pPr>
        <w:rPr>
          <w:i/>
        </w:rPr>
      </w:pPr>
      <w:r w:rsidRPr="000973F2">
        <w:rPr>
          <w:rFonts w:ascii="Times New Roman" w:hAnsi="Times New Roman" w:cs="Times New Roman"/>
          <w:i/>
        </w:rPr>
        <w:t>Subpart C only</w:t>
      </w:r>
    </w:p>
    <w:tbl>
      <w:tblPr>
        <w:tblStyle w:val="PlainTable1"/>
        <w:tblW w:w="5000" w:type="pct"/>
        <w:jc w:val="left"/>
        <w:tblLayout w:type="fixed"/>
        <w:tblCellMar>
          <w:left w:w="115" w:type="dxa"/>
          <w:right w:w="115" w:type="dxa"/>
        </w:tblCellMar>
        <w:tblLook w:val="04A0" w:firstRow="1" w:lastRow="0" w:firstColumn="1" w:lastColumn="0" w:noHBand="0" w:noVBand="1"/>
      </w:tblPr>
      <w:tblGrid>
        <w:gridCol w:w="1372"/>
        <w:gridCol w:w="810"/>
        <w:gridCol w:w="818"/>
        <w:gridCol w:w="809"/>
        <w:gridCol w:w="809"/>
        <w:gridCol w:w="809"/>
        <w:gridCol w:w="809"/>
        <w:gridCol w:w="809"/>
        <w:gridCol w:w="809"/>
        <w:gridCol w:w="871"/>
        <w:gridCol w:w="865"/>
      </w:tblGrid>
      <w:tr w:rsidR="0001781A" w:rsidRPr="000973F2" w14:paraId="547170B5" w14:textId="77777777" w:rsidTr="009B7774">
        <w:trPr>
          <w:cnfStyle w:val="100000000000" w:firstRow="1" w:lastRow="0" w:firstColumn="0" w:lastColumn="0" w:oddVBand="0" w:evenVBand="0" w:oddHBand="0" w:evenHBand="0" w:firstRowFirstColumn="0" w:firstRowLastColumn="0" w:lastRowFirstColumn="0" w:lastRowLastColumn="0"/>
          <w:cantSplit/>
          <w:jc w:val="left"/>
        </w:trPr>
        <w:tc>
          <w:tcPr>
            <w:cnfStyle w:val="001000000000" w:firstRow="0" w:lastRow="0" w:firstColumn="1" w:lastColumn="0" w:oddVBand="0" w:evenVBand="0" w:oddHBand="0" w:evenHBand="0" w:firstRowFirstColumn="0" w:firstRowLastColumn="0" w:lastRowFirstColumn="0" w:lastRowLastColumn="0"/>
            <w:tcW w:w="715" w:type="pct"/>
            <w:vMerge w:val="restart"/>
            <w:noWrap/>
            <w:vAlign w:val="top"/>
            <w:hideMark/>
          </w:tcPr>
          <w:p w14:paraId="4905A09D" w14:textId="77777777" w:rsidR="0001781A" w:rsidRPr="000973F2" w:rsidRDefault="0001781A" w:rsidP="0084264D">
            <w:pPr>
              <w:spacing w:before="40" w:after="40"/>
              <w:rPr>
                <w:rFonts w:ascii="Times New Roman" w:eastAsia="Times New Roman" w:hAnsi="Times New Roman" w:cs="Times New Roman"/>
                <w:b w:val="0"/>
                <w:bCs w:val="0"/>
                <w:sz w:val="18"/>
                <w:szCs w:val="18"/>
              </w:rPr>
            </w:pPr>
            <w:r w:rsidRPr="000973F2">
              <w:rPr>
                <w:rFonts w:ascii="Times New Roman" w:eastAsia="Times New Roman" w:hAnsi="Times New Roman" w:cs="Times New Roman"/>
                <w:sz w:val="18"/>
                <w:szCs w:val="18"/>
              </w:rPr>
              <w:t>Activity</w:t>
            </w:r>
          </w:p>
        </w:tc>
        <w:tc>
          <w:tcPr>
            <w:tcW w:w="3379" w:type="pct"/>
            <w:gridSpan w:val="8"/>
            <w:noWrap/>
            <w:vAlign w:val="top"/>
            <w:hideMark/>
          </w:tcPr>
          <w:p w14:paraId="77EF78C7" w14:textId="77777777" w:rsidR="0001781A" w:rsidRPr="000973F2" w:rsidRDefault="0001781A" w:rsidP="0084264D">
            <w:pPr>
              <w:spacing w:before="40" w:after="40"/>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bCs w:val="0"/>
                <w:sz w:val="18"/>
                <w:szCs w:val="18"/>
              </w:rPr>
            </w:pPr>
            <w:r w:rsidRPr="000973F2">
              <w:rPr>
                <w:rFonts w:ascii="Times New Roman" w:eastAsia="Times New Roman" w:hAnsi="Times New Roman" w:cs="Times New Roman"/>
                <w:sz w:val="18"/>
                <w:szCs w:val="18"/>
              </w:rPr>
              <w:t>Labor Rates (per hour)</w:t>
            </w:r>
          </w:p>
        </w:tc>
        <w:tc>
          <w:tcPr>
            <w:tcW w:w="906" w:type="pct"/>
            <w:gridSpan w:val="2"/>
            <w:vMerge w:val="restart"/>
            <w:vAlign w:val="top"/>
            <w:hideMark/>
          </w:tcPr>
          <w:p w14:paraId="38F97104" w14:textId="77777777" w:rsidR="0001781A" w:rsidRPr="000973F2" w:rsidRDefault="0001781A" w:rsidP="0084264D">
            <w:pPr>
              <w:spacing w:before="40" w:after="40"/>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bCs w:val="0"/>
                <w:sz w:val="18"/>
                <w:szCs w:val="18"/>
              </w:rPr>
            </w:pPr>
            <w:r w:rsidRPr="000973F2">
              <w:rPr>
                <w:rFonts w:ascii="Times New Roman" w:eastAsia="Times New Roman" w:hAnsi="Times New Roman" w:cs="Times New Roman"/>
                <w:sz w:val="18"/>
                <w:szCs w:val="18"/>
              </w:rPr>
              <w:t>Total Labor Cost per Year per Facility (2017$)</w:t>
            </w:r>
          </w:p>
        </w:tc>
      </w:tr>
      <w:tr w:rsidR="0001781A" w:rsidRPr="000973F2" w14:paraId="799A588D" w14:textId="77777777" w:rsidTr="009B7774">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715" w:type="pct"/>
            <w:vMerge/>
            <w:hideMark/>
          </w:tcPr>
          <w:p w14:paraId="1EFDA9D2" w14:textId="77777777" w:rsidR="0001781A" w:rsidRPr="000973F2" w:rsidRDefault="0001781A" w:rsidP="0084264D">
            <w:pPr>
              <w:spacing w:before="40" w:after="40"/>
              <w:rPr>
                <w:rFonts w:ascii="Times New Roman" w:eastAsia="Times New Roman" w:hAnsi="Times New Roman" w:cs="Times New Roman"/>
                <w:b/>
                <w:bCs w:val="0"/>
                <w:sz w:val="18"/>
                <w:szCs w:val="18"/>
              </w:rPr>
            </w:pPr>
          </w:p>
        </w:tc>
        <w:tc>
          <w:tcPr>
            <w:tcW w:w="848" w:type="pct"/>
            <w:gridSpan w:val="2"/>
            <w:noWrap/>
            <w:hideMark/>
          </w:tcPr>
          <w:p w14:paraId="04689D82" w14:textId="77777777" w:rsidR="0001781A" w:rsidRPr="000973F2" w:rsidRDefault="0001781A" w:rsidP="0084264D">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18"/>
                <w:szCs w:val="18"/>
              </w:rPr>
            </w:pPr>
            <w:r w:rsidRPr="000973F2">
              <w:rPr>
                <w:rFonts w:ascii="Times New Roman" w:eastAsia="Times New Roman" w:hAnsi="Times New Roman" w:cs="Times New Roman"/>
                <w:b/>
                <w:bCs/>
                <w:sz w:val="18"/>
                <w:szCs w:val="18"/>
              </w:rPr>
              <w:t>Lawyer</w:t>
            </w:r>
          </w:p>
        </w:tc>
        <w:tc>
          <w:tcPr>
            <w:tcW w:w="844" w:type="pct"/>
            <w:gridSpan w:val="2"/>
            <w:noWrap/>
            <w:hideMark/>
          </w:tcPr>
          <w:p w14:paraId="3C6F2AE4" w14:textId="77777777" w:rsidR="0001781A" w:rsidRPr="000973F2" w:rsidRDefault="0001781A" w:rsidP="0084264D">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18"/>
                <w:szCs w:val="18"/>
              </w:rPr>
            </w:pPr>
            <w:r w:rsidRPr="000973F2">
              <w:rPr>
                <w:rFonts w:ascii="Times New Roman" w:eastAsia="Times New Roman" w:hAnsi="Times New Roman" w:cs="Times New Roman"/>
                <w:b/>
                <w:bCs/>
                <w:sz w:val="18"/>
                <w:szCs w:val="18"/>
              </w:rPr>
              <w:t>Industrial Manager</w:t>
            </w:r>
          </w:p>
        </w:tc>
        <w:tc>
          <w:tcPr>
            <w:tcW w:w="844" w:type="pct"/>
            <w:gridSpan w:val="2"/>
            <w:hideMark/>
          </w:tcPr>
          <w:p w14:paraId="0FCD3C2E" w14:textId="7BC05CBD" w:rsidR="0001781A" w:rsidRPr="000973F2" w:rsidRDefault="0001781A" w:rsidP="0084264D">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18"/>
                <w:szCs w:val="18"/>
              </w:rPr>
            </w:pPr>
            <w:r w:rsidRPr="000973F2">
              <w:rPr>
                <w:rFonts w:ascii="Times New Roman" w:eastAsia="Times New Roman" w:hAnsi="Times New Roman" w:cs="Times New Roman"/>
                <w:b/>
                <w:bCs/>
                <w:sz w:val="18"/>
                <w:szCs w:val="18"/>
              </w:rPr>
              <w:t>Industrial Engineer/</w:t>
            </w:r>
            <w:r w:rsidR="0084264D" w:rsidRPr="000973F2">
              <w:rPr>
                <w:rFonts w:ascii="Times New Roman" w:eastAsia="Times New Roman" w:hAnsi="Times New Roman" w:cs="Times New Roman"/>
                <w:b/>
                <w:bCs/>
                <w:sz w:val="18"/>
                <w:szCs w:val="18"/>
              </w:rPr>
              <w:t xml:space="preserve"> </w:t>
            </w:r>
            <w:r w:rsidRPr="000973F2">
              <w:rPr>
                <w:rFonts w:ascii="Times New Roman" w:eastAsia="Times New Roman" w:hAnsi="Times New Roman" w:cs="Times New Roman"/>
                <w:b/>
                <w:bCs/>
                <w:sz w:val="18"/>
                <w:szCs w:val="18"/>
              </w:rPr>
              <w:t>Technician</w:t>
            </w:r>
          </w:p>
        </w:tc>
        <w:tc>
          <w:tcPr>
            <w:tcW w:w="844" w:type="pct"/>
            <w:gridSpan w:val="2"/>
            <w:hideMark/>
          </w:tcPr>
          <w:p w14:paraId="4F8A71E6" w14:textId="77777777" w:rsidR="0001781A" w:rsidRPr="000973F2" w:rsidRDefault="0001781A" w:rsidP="0084264D">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18"/>
                <w:szCs w:val="18"/>
              </w:rPr>
            </w:pPr>
            <w:r w:rsidRPr="000973F2">
              <w:rPr>
                <w:rFonts w:ascii="Times New Roman" w:eastAsia="Times New Roman" w:hAnsi="Times New Roman" w:cs="Times New Roman"/>
                <w:b/>
                <w:bCs/>
                <w:sz w:val="18"/>
                <w:szCs w:val="18"/>
              </w:rPr>
              <w:t>Administrative Support</w:t>
            </w:r>
          </w:p>
        </w:tc>
        <w:tc>
          <w:tcPr>
            <w:tcW w:w="906" w:type="pct"/>
            <w:gridSpan w:val="2"/>
            <w:vMerge/>
            <w:hideMark/>
          </w:tcPr>
          <w:p w14:paraId="0D405F72" w14:textId="77777777" w:rsidR="0001781A" w:rsidRPr="000973F2" w:rsidRDefault="0001781A" w:rsidP="0084264D">
            <w:pPr>
              <w:spacing w:before="40" w:after="4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18"/>
                <w:szCs w:val="18"/>
              </w:rPr>
            </w:pPr>
          </w:p>
        </w:tc>
      </w:tr>
      <w:tr w:rsidR="0001781A" w:rsidRPr="000973F2" w14:paraId="3CC32E05" w14:textId="77777777" w:rsidTr="009B7774">
        <w:trPr>
          <w:cantSplit/>
        </w:trPr>
        <w:tc>
          <w:tcPr>
            <w:cnfStyle w:val="001000000000" w:firstRow="0" w:lastRow="0" w:firstColumn="1" w:lastColumn="0" w:oddVBand="0" w:evenVBand="0" w:oddHBand="0" w:evenHBand="0" w:firstRowFirstColumn="0" w:firstRowLastColumn="0" w:lastRowFirstColumn="0" w:lastRowLastColumn="0"/>
            <w:tcW w:w="715" w:type="pct"/>
            <w:vMerge/>
            <w:hideMark/>
          </w:tcPr>
          <w:p w14:paraId="314405A5" w14:textId="77777777" w:rsidR="0001781A" w:rsidRPr="000973F2" w:rsidRDefault="0001781A" w:rsidP="0084264D">
            <w:pPr>
              <w:spacing w:before="40" w:after="40"/>
              <w:rPr>
                <w:rFonts w:ascii="Times New Roman" w:eastAsia="Times New Roman" w:hAnsi="Times New Roman" w:cs="Times New Roman"/>
                <w:b/>
                <w:bCs w:val="0"/>
                <w:sz w:val="18"/>
                <w:szCs w:val="18"/>
              </w:rPr>
            </w:pPr>
          </w:p>
        </w:tc>
        <w:tc>
          <w:tcPr>
            <w:tcW w:w="848" w:type="pct"/>
            <w:gridSpan w:val="2"/>
            <w:noWrap/>
            <w:hideMark/>
          </w:tcPr>
          <w:p w14:paraId="19995E7D" w14:textId="77777777" w:rsidR="0001781A" w:rsidRPr="000973F2" w:rsidRDefault="0001781A" w:rsidP="0084264D">
            <w:pPr>
              <w:spacing w:before="40" w:after="4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sz w:val="18"/>
                <w:szCs w:val="18"/>
              </w:rPr>
            </w:pPr>
            <w:r w:rsidRPr="000973F2">
              <w:rPr>
                <w:rFonts w:ascii="Times New Roman" w:eastAsia="Times New Roman" w:hAnsi="Times New Roman" w:cs="Times New Roman"/>
                <w:b/>
                <w:bCs/>
                <w:sz w:val="18"/>
                <w:szCs w:val="18"/>
              </w:rPr>
              <w:t xml:space="preserve">$112.23 </w:t>
            </w:r>
          </w:p>
        </w:tc>
        <w:tc>
          <w:tcPr>
            <w:tcW w:w="844" w:type="pct"/>
            <w:gridSpan w:val="2"/>
            <w:noWrap/>
            <w:hideMark/>
          </w:tcPr>
          <w:p w14:paraId="2BCAA931" w14:textId="77777777" w:rsidR="0001781A" w:rsidRPr="000973F2" w:rsidRDefault="0001781A" w:rsidP="0084264D">
            <w:pPr>
              <w:spacing w:before="40" w:after="4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sz w:val="18"/>
                <w:szCs w:val="18"/>
              </w:rPr>
            </w:pPr>
            <w:r w:rsidRPr="000973F2">
              <w:rPr>
                <w:rFonts w:ascii="Times New Roman" w:eastAsia="Times New Roman" w:hAnsi="Times New Roman" w:cs="Times New Roman"/>
                <w:b/>
                <w:bCs/>
                <w:sz w:val="18"/>
                <w:szCs w:val="18"/>
              </w:rPr>
              <w:t xml:space="preserve">$87.45 </w:t>
            </w:r>
          </w:p>
        </w:tc>
        <w:tc>
          <w:tcPr>
            <w:tcW w:w="844" w:type="pct"/>
            <w:gridSpan w:val="2"/>
            <w:noWrap/>
            <w:hideMark/>
          </w:tcPr>
          <w:p w14:paraId="18C99718" w14:textId="77777777" w:rsidR="0001781A" w:rsidRPr="000973F2" w:rsidRDefault="0001781A" w:rsidP="0084264D">
            <w:pPr>
              <w:spacing w:before="40" w:after="4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sz w:val="18"/>
                <w:szCs w:val="18"/>
              </w:rPr>
            </w:pPr>
            <w:r w:rsidRPr="000973F2">
              <w:rPr>
                <w:rFonts w:ascii="Times New Roman" w:eastAsia="Times New Roman" w:hAnsi="Times New Roman" w:cs="Times New Roman"/>
                <w:b/>
                <w:bCs/>
                <w:sz w:val="18"/>
                <w:szCs w:val="18"/>
              </w:rPr>
              <w:t xml:space="preserve">$71.45 </w:t>
            </w:r>
          </w:p>
        </w:tc>
        <w:tc>
          <w:tcPr>
            <w:tcW w:w="844" w:type="pct"/>
            <w:gridSpan w:val="2"/>
            <w:noWrap/>
            <w:hideMark/>
          </w:tcPr>
          <w:p w14:paraId="08B6227A" w14:textId="77777777" w:rsidR="0001781A" w:rsidRPr="000973F2" w:rsidRDefault="0001781A" w:rsidP="0084264D">
            <w:pPr>
              <w:spacing w:before="40" w:after="4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sz w:val="18"/>
                <w:szCs w:val="18"/>
              </w:rPr>
            </w:pPr>
            <w:r w:rsidRPr="000973F2">
              <w:rPr>
                <w:rFonts w:ascii="Times New Roman" w:eastAsia="Times New Roman" w:hAnsi="Times New Roman" w:cs="Times New Roman"/>
                <w:b/>
                <w:bCs/>
                <w:sz w:val="18"/>
                <w:szCs w:val="18"/>
              </w:rPr>
              <w:t xml:space="preserve">$36.28 </w:t>
            </w:r>
          </w:p>
        </w:tc>
        <w:tc>
          <w:tcPr>
            <w:tcW w:w="906" w:type="pct"/>
            <w:gridSpan w:val="2"/>
            <w:vMerge/>
            <w:hideMark/>
          </w:tcPr>
          <w:p w14:paraId="4E5562FC" w14:textId="77777777" w:rsidR="0001781A" w:rsidRPr="000973F2" w:rsidRDefault="0001781A" w:rsidP="0084264D">
            <w:pPr>
              <w:spacing w:before="40" w:after="4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sz w:val="18"/>
                <w:szCs w:val="18"/>
              </w:rPr>
            </w:pPr>
          </w:p>
        </w:tc>
      </w:tr>
      <w:tr w:rsidR="0084264D" w:rsidRPr="000973F2" w14:paraId="0B1845FB" w14:textId="77777777" w:rsidTr="009B7774">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715" w:type="pct"/>
            <w:vMerge/>
            <w:hideMark/>
          </w:tcPr>
          <w:p w14:paraId="26C952CE" w14:textId="77777777" w:rsidR="0001781A" w:rsidRPr="000973F2" w:rsidRDefault="0001781A" w:rsidP="0084264D">
            <w:pPr>
              <w:spacing w:before="40" w:after="40"/>
              <w:rPr>
                <w:rFonts w:ascii="Times New Roman" w:eastAsia="Times New Roman" w:hAnsi="Times New Roman" w:cs="Times New Roman"/>
                <w:b/>
                <w:bCs w:val="0"/>
                <w:sz w:val="18"/>
                <w:szCs w:val="18"/>
              </w:rPr>
            </w:pPr>
          </w:p>
        </w:tc>
        <w:tc>
          <w:tcPr>
            <w:tcW w:w="422" w:type="pct"/>
            <w:tcMar>
              <w:left w:w="14" w:type="dxa"/>
              <w:right w:w="14" w:type="dxa"/>
            </w:tcMar>
            <w:hideMark/>
          </w:tcPr>
          <w:p w14:paraId="37987F30" w14:textId="1F6E13E7" w:rsidR="0001781A" w:rsidRPr="000973F2" w:rsidRDefault="0001781A" w:rsidP="0084264D">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18"/>
                <w:szCs w:val="18"/>
              </w:rPr>
            </w:pPr>
            <w:r w:rsidRPr="000973F2">
              <w:rPr>
                <w:rFonts w:ascii="Times New Roman" w:eastAsia="Times New Roman" w:hAnsi="Times New Roman" w:cs="Times New Roman"/>
                <w:b/>
                <w:bCs/>
                <w:sz w:val="18"/>
                <w:szCs w:val="18"/>
              </w:rPr>
              <w:t>Initial Year</w:t>
            </w:r>
            <w:r w:rsidR="0084264D" w:rsidRPr="000973F2">
              <w:rPr>
                <w:rFonts w:ascii="Times New Roman" w:eastAsia="Times New Roman" w:hAnsi="Times New Roman" w:cs="Times New Roman"/>
                <w:b/>
                <w:bCs/>
                <w:sz w:val="18"/>
                <w:szCs w:val="18"/>
              </w:rPr>
              <w:t xml:space="preserve"> </w:t>
            </w:r>
            <w:r w:rsidRPr="000973F2">
              <w:rPr>
                <w:rFonts w:ascii="Times New Roman" w:eastAsia="Times New Roman" w:hAnsi="Times New Roman" w:cs="Times New Roman"/>
                <w:b/>
                <w:bCs/>
                <w:sz w:val="18"/>
                <w:szCs w:val="18"/>
              </w:rPr>
              <w:t>Hours</w:t>
            </w:r>
          </w:p>
        </w:tc>
        <w:tc>
          <w:tcPr>
            <w:tcW w:w="426" w:type="pct"/>
            <w:tcMar>
              <w:left w:w="14" w:type="dxa"/>
              <w:right w:w="14" w:type="dxa"/>
            </w:tcMar>
            <w:hideMark/>
          </w:tcPr>
          <w:p w14:paraId="691E445A" w14:textId="2CBF01A1" w:rsidR="0001781A" w:rsidRPr="000973F2" w:rsidRDefault="0001781A" w:rsidP="0084264D">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18"/>
                <w:szCs w:val="18"/>
              </w:rPr>
            </w:pPr>
            <w:r w:rsidRPr="000973F2">
              <w:rPr>
                <w:rFonts w:ascii="Times New Roman" w:eastAsia="Times New Roman" w:hAnsi="Times New Roman" w:cs="Times New Roman"/>
                <w:b/>
                <w:bCs/>
                <w:sz w:val="18"/>
                <w:szCs w:val="18"/>
              </w:rPr>
              <w:t>Subseq. Year</w:t>
            </w:r>
            <w:r w:rsidR="0084264D" w:rsidRPr="000973F2">
              <w:rPr>
                <w:rFonts w:ascii="Times New Roman" w:eastAsia="Times New Roman" w:hAnsi="Times New Roman" w:cs="Times New Roman"/>
                <w:b/>
                <w:bCs/>
                <w:sz w:val="18"/>
                <w:szCs w:val="18"/>
              </w:rPr>
              <w:t xml:space="preserve"> </w:t>
            </w:r>
            <w:r w:rsidRPr="000973F2">
              <w:rPr>
                <w:rFonts w:ascii="Times New Roman" w:eastAsia="Times New Roman" w:hAnsi="Times New Roman" w:cs="Times New Roman"/>
                <w:b/>
                <w:bCs/>
                <w:sz w:val="18"/>
                <w:szCs w:val="18"/>
              </w:rPr>
              <w:t>Hours</w:t>
            </w:r>
          </w:p>
        </w:tc>
        <w:tc>
          <w:tcPr>
            <w:tcW w:w="422" w:type="pct"/>
            <w:tcMar>
              <w:left w:w="14" w:type="dxa"/>
              <w:right w:w="14" w:type="dxa"/>
            </w:tcMar>
            <w:hideMark/>
          </w:tcPr>
          <w:p w14:paraId="79E6B602" w14:textId="36AE3696" w:rsidR="0001781A" w:rsidRPr="000973F2" w:rsidRDefault="0001781A" w:rsidP="0084264D">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18"/>
                <w:szCs w:val="18"/>
              </w:rPr>
            </w:pPr>
            <w:r w:rsidRPr="000973F2">
              <w:rPr>
                <w:rFonts w:ascii="Times New Roman" w:eastAsia="Times New Roman" w:hAnsi="Times New Roman" w:cs="Times New Roman"/>
                <w:b/>
                <w:bCs/>
                <w:sz w:val="18"/>
                <w:szCs w:val="18"/>
              </w:rPr>
              <w:t>Initial Year Hours</w:t>
            </w:r>
          </w:p>
        </w:tc>
        <w:tc>
          <w:tcPr>
            <w:tcW w:w="422" w:type="pct"/>
            <w:tcMar>
              <w:left w:w="14" w:type="dxa"/>
              <w:right w:w="14" w:type="dxa"/>
            </w:tcMar>
            <w:hideMark/>
          </w:tcPr>
          <w:p w14:paraId="39CDA0DE" w14:textId="5470DBB4" w:rsidR="0001781A" w:rsidRPr="000973F2" w:rsidRDefault="0001781A" w:rsidP="0084264D">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18"/>
                <w:szCs w:val="18"/>
              </w:rPr>
            </w:pPr>
            <w:r w:rsidRPr="000973F2">
              <w:rPr>
                <w:rFonts w:ascii="Times New Roman" w:eastAsia="Times New Roman" w:hAnsi="Times New Roman" w:cs="Times New Roman"/>
                <w:b/>
                <w:bCs/>
                <w:sz w:val="18"/>
                <w:szCs w:val="18"/>
              </w:rPr>
              <w:t>Subseq. Year Hours</w:t>
            </w:r>
          </w:p>
        </w:tc>
        <w:tc>
          <w:tcPr>
            <w:tcW w:w="422" w:type="pct"/>
            <w:tcMar>
              <w:left w:w="14" w:type="dxa"/>
              <w:right w:w="14" w:type="dxa"/>
            </w:tcMar>
            <w:hideMark/>
          </w:tcPr>
          <w:p w14:paraId="64AAB5CC" w14:textId="08A95F9C" w:rsidR="0001781A" w:rsidRPr="000973F2" w:rsidRDefault="0001781A" w:rsidP="0084264D">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18"/>
                <w:szCs w:val="18"/>
              </w:rPr>
            </w:pPr>
            <w:r w:rsidRPr="000973F2">
              <w:rPr>
                <w:rFonts w:ascii="Times New Roman" w:eastAsia="Times New Roman" w:hAnsi="Times New Roman" w:cs="Times New Roman"/>
                <w:b/>
                <w:bCs/>
                <w:sz w:val="18"/>
                <w:szCs w:val="18"/>
              </w:rPr>
              <w:t>Initial Year Hours</w:t>
            </w:r>
          </w:p>
        </w:tc>
        <w:tc>
          <w:tcPr>
            <w:tcW w:w="422" w:type="pct"/>
            <w:tcMar>
              <w:left w:w="14" w:type="dxa"/>
              <w:right w:w="14" w:type="dxa"/>
            </w:tcMar>
            <w:hideMark/>
          </w:tcPr>
          <w:p w14:paraId="09E987C9" w14:textId="64C5A7A1" w:rsidR="0001781A" w:rsidRPr="000973F2" w:rsidRDefault="0001781A" w:rsidP="0084264D">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18"/>
                <w:szCs w:val="18"/>
              </w:rPr>
            </w:pPr>
            <w:r w:rsidRPr="000973F2">
              <w:rPr>
                <w:rFonts w:ascii="Times New Roman" w:eastAsia="Times New Roman" w:hAnsi="Times New Roman" w:cs="Times New Roman"/>
                <w:b/>
                <w:bCs/>
                <w:sz w:val="18"/>
                <w:szCs w:val="18"/>
              </w:rPr>
              <w:t>Subseq. Year Hours</w:t>
            </w:r>
          </w:p>
        </w:tc>
        <w:tc>
          <w:tcPr>
            <w:tcW w:w="422" w:type="pct"/>
            <w:tcMar>
              <w:left w:w="14" w:type="dxa"/>
              <w:right w:w="14" w:type="dxa"/>
            </w:tcMar>
            <w:hideMark/>
          </w:tcPr>
          <w:p w14:paraId="42191DB1" w14:textId="0DBCC207" w:rsidR="0001781A" w:rsidRPr="000973F2" w:rsidRDefault="0001781A" w:rsidP="0084264D">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18"/>
                <w:szCs w:val="18"/>
              </w:rPr>
            </w:pPr>
            <w:r w:rsidRPr="000973F2">
              <w:rPr>
                <w:rFonts w:ascii="Times New Roman" w:eastAsia="Times New Roman" w:hAnsi="Times New Roman" w:cs="Times New Roman"/>
                <w:b/>
                <w:bCs/>
                <w:sz w:val="18"/>
                <w:szCs w:val="18"/>
              </w:rPr>
              <w:t>Initial Year Hours</w:t>
            </w:r>
          </w:p>
        </w:tc>
        <w:tc>
          <w:tcPr>
            <w:tcW w:w="422" w:type="pct"/>
            <w:tcMar>
              <w:left w:w="14" w:type="dxa"/>
              <w:right w:w="14" w:type="dxa"/>
            </w:tcMar>
            <w:hideMark/>
          </w:tcPr>
          <w:p w14:paraId="64A9B146" w14:textId="1D6C47A8" w:rsidR="0001781A" w:rsidRPr="000973F2" w:rsidRDefault="0001781A" w:rsidP="0084264D">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18"/>
                <w:szCs w:val="18"/>
              </w:rPr>
            </w:pPr>
            <w:r w:rsidRPr="000973F2">
              <w:rPr>
                <w:rFonts w:ascii="Times New Roman" w:eastAsia="Times New Roman" w:hAnsi="Times New Roman" w:cs="Times New Roman"/>
                <w:b/>
                <w:bCs/>
                <w:sz w:val="18"/>
                <w:szCs w:val="18"/>
              </w:rPr>
              <w:t>Subseq. Year Hours</w:t>
            </w:r>
          </w:p>
        </w:tc>
        <w:tc>
          <w:tcPr>
            <w:tcW w:w="454" w:type="pct"/>
            <w:tcMar>
              <w:left w:w="14" w:type="dxa"/>
              <w:right w:w="14" w:type="dxa"/>
            </w:tcMar>
            <w:hideMark/>
          </w:tcPr>
          <w:p w14:paraId="5D02AF48" w14:textId="77777777" w:rsidR="0001781A" w:rsidRPr="000973F2" w:rsidRDefault="0001781A" w:rsidP="0084264D">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18"/>
                <w:szCs w:val="18"/>
              </w:rPr>
            </w:pPr>
            <w:r w:rsidRPr="000973F2">
              <w:rPr>
                <w:rFonts w:ascii="Times New Roman" w:eastAsia="Times New Roman" w:hAnsi="Times New Roman" w:cs="Times New Roman"/>
                <w:b/>
                <w:bCs/>
                <w:sz w:val="18"/>
                <w:szCs w:val="18"/>
              </w:rPr>
              <w:t>Initial Year</w:t>
            </w:r>
          </w:p>
        </w:tc>
        <w:tc>
          <w:tcPr>
            <w:tcW w:w="452" w:type="pct"/>
            <w:tcMar>
              <w:left w:w="14" w:type="dxa"/>
              <w:right w:w="14" w:type="dxa"/>
            </w:tcMar>
            <w:hideMark/>
          </w:tcPr>
          <w:p w14:paraId="4B0B49BA" w14:textId="77777777" w:rsidR="0001781A" w:rsidRPr="000973F2" w:rsidRDefault="0001781A" w:rsidP="0084264D">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18"/>
                <w:szCs w:val="18"/>
              </w:rPr>
            </w:pPr>
            <w:r w:rsidRPr="000973F2">
              <w:rPr>
                <w:rFonts w:ascii="Times New Roman" w:eastAsia="Times New Roman" w:hAnsi="Times New Roman" w:cs="Times New Roman"/>
                <w:b/>
                <w:bCs/>
                <w:sz w:val="18"/>
                <w:szCs w:val="18"/>
              </w:rPr>
              <w:t>Subseq. Year</w:t>
            </w:r>
          </w:p>
        </w:tc>
      </w:tr>
      <w:tr w:rsidR="009B7774" w:rsidRPr="000973F2" w14:paraId="066F9C5A" w14:textId="77777777" w:rsidTr="009B7774">
        <w:trPr>
          <w:cantSplit/>
        </w:trPr>
        <w:tc>
          <w:tcPr>
            <w:cnfStyle w:val="001000000000" w:firstRow="0" w:lastRow="0" w:firstColumn="1" w:lastColumn="0" w:oddVBand="0" w:evenVBand="0" w:oddHBand="0" w:evenHBand="0" w:firstRowFirstColumn="0" w:firstRowLastColumn="0" w:lastRowFirstColumn="0" w:lastRowLastColumn="0"/>
            <w:tcW w:w="715" w:type="pct"/>
            <w:tcMar>
              <w:right w:w="14" w:type="dxa"/>
            </w:tcMar>
            <w:hideMark/>
          </w:tcPr>
          <w:p w14:paraId="3D4166C1" w14:textId="77777777" w:rsidR="009B7774" w:rsidRPr="000973F2" w:rsidRDefault="009B7774" w:rsidP="009B7774">
            <w:pPr>
              <w:spacing w:before="40" w:after="4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Planning</w:t>
            </w:r>
          </w:p>
        </w:tc>
        <w:tc>
          <w:tcPr>
            <w:tcW w:w="422" w:type="pct"/>
            <w:noWrap/>
            <w:hideMark/>
          </w:tcPr>
          <w:p w14:paraId="110FD947" w14:textId="3525E11A" w:rsidR="009B7774" w:rsidRPr="000973F2" w:rsidRDefault="009B7774" w:rsidP="009B7774">
            <w:pPr>
              <w:spacing w:before="40" w:after="4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w:t>
            </w:r>
          </w:p>
        </w:tc>
        <w:tc>
          <w:tcPr>
            <w:tcW w:w="426" w:type="pct"/>
            <w:noWrap/>
            <w:hideMark/>
          </w:tcPr>
          <w:p w14:paraId="280F2022" w14:textId="74463ACD" w:rsidR="009B7774" w:rsidRPr="000973F2" w:rsidRDefault="009B7774" w:rsidP="009B7774">
            <w:pPr>
              <w:spacing w:before="40" w:after="4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w:t>
            </w:r>
          </w:p>
        </w:tc>
        <w:tc>
          <w:tcPr>
            <w:tcW w:w="422" w:type="pct"/>
            <w:noWrap/>
            <w:hideMark/>
          </w:tcPr>
          <w:p w14:paraId="675079B0" w14:textId="19CA3DED" w:rsidR="009B7774" w:rsidRPr="000973F2" w:rsidRDefault="009B7774" w:rsidP="009B7774">
            <w:pPr>
              <w:spacing w:before="40" w:after="4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w:t>
            </w:r>
          </w:p>
        </w:tc>
        <w:tc>
          <w:tcPr>
            <w:tcW w:w="422" w:type="pct"/>
            <w:noWrap/>
            <w:hideMark/>
          </w:tcPr>
          <w:p w14:paraId="15593DC4" w14:textId="412C5C0E" w:rsidR="009B7774" w:rsidRPr="000973F2" w:rsidRDefault="009B7774" w:rsidP="009B7774">
            <w:pPr>
              <w:spacing w:before="40" w:after="4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w:t>
            </w:r>
          </w:p>
        </w:tc>
        <w:tc>
          <w:tcPr>
            <w:tcW w:w="422" w:type="pct"/>
            <w:noWrap/>
            <w:hideMark/>
          </w:tcPr>
          <w:p w14:paraId="1BA3401A" w14:textId="12134B51" w:rsidR="009B7774" w:rsidRPr="000973F2" w:rsidRDefault="009B7774" w:rsidP="009B7774">
            <w:pPr>
              <w:tabs>
                <w:tab w:val="decimal" w:pos="274"/>
              </w:tabs>
              <w:spacing w:before="40" w:after="4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w:t>
            </w:r>
          </w:p>
        </w:tc>
        <w:tc>
          <w:tcPr>
            <w:tcW w:w="422" w:type="pct"/>
            <w:noWrap/>
            <w:hideMark/>
          </w:tcPr>
          <w:p w14:paraId="60DEEC40" w14:textId="4D0276CC" w:rsidR="009B7774" w:rsidRPr="000973F2" w:rsidRDefault="009B7774" w:rsidP="009B7774">
            <w:pPr>
              <w:tabs>
                <w:tab w:val="decimal" w:pos="274"/>
              </w:tabs>
              <w:spacing w:before="40" w:after="4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w:t>
            </w:r>
          </w:p>
        </w:tc>
        <w:tc>
          <w:tcPr>
            <w:tcW w:w="422" w:type="pct"/>
            <w:noWrap/>
            <w:hideMark/>
          </w:tcPr>
          <w:p w14:paraId="631A460A" w14:textId="1F33A0A9" w:rsidR="009B7774" w:rsidRPr="000973F2" w:rsidRDefault="009B7774" w:rsidP="009B7774">
            <w:pPr>
              <w:spacing w:before="40" w:after="4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w:t>
            </w:r>
          </w:p>
        </w:tc>
        <w:tc>
          <w:tcPr>
            <w:tcW w:w="422" w:type="pct"/>
            <w:noWrap/>
            <w:hideMark/>
          </w:tcPr>
          <w:p w14:paraId="01FDD1F7" w14:textId="52648F7F" w:rsidR="009B7774" w:rsidRPr="000973F2" w:rsidRDefault="009B7774" w:rsidP="009B7774">
            <w:pPr>
              <w:spacing w:before="40" w:after="4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w:t>
            </w:r>
          </w:p>
        </w:tc>
        <w:tc>
          <w:tcPr>
            <w:tcW w:w="454" w:type="pct"/>
            <w:noWrap/>
            <w:hideMark/>
          </w:tcPr>
          <w:p w14:paraId="016CAC87" w14:textId="6D517499" w:rsidR="009B7774" w:rsidRPr="000973F2" w:rsidRDefault="009B7774" w:rsidP="009B7774">
            <w:pPr>
              <w:tabs>
                <w:tab w:val="decimal" w:pos="439"/>
              </w:tabs>
              <w:spacing w:before="40" w:after="4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w:t>
            </w:r>
          </w:p>
        </w:tc>
        <w:tc>
          <w:tcPr>
            <w:tcW w:w="452" w:type="pct"/>
            <w:noWrap/>
            <w:hideMark/>
          </w:tcPr>
          <w:p w14:paraId="41236893" w14:textId="4F774905" w:rsidR="009B7774" w:rsidRPr="000973F2" w:rsidRDefault="009B7774" w:rsidP="009B7774">
            <w:pPr>
              <w:tabs>
                <w:tab w:val="decimal" w:pos="439"/>
              </w:tabs>
              <w:spacing w:before="40" w:after="4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w:t>
            </w:r>
          </w:p>
        </w:tc>
      </w:tr>
      <w:tr w:rsidR="009B7774" w:rsidRPr="000973F2" w14:paraId="2D45E18D" w14:textId="77777777" w:rsidTr="009B7774">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715" w:type="pct"/>
            <w:tcMar>
              <w:right w:w="14" w:type="dxa"/>
            </w:tcMar>
            <w:hideMark/>
          </w:tcPr>
          <w:p w14:paraId="02CDDDF9" w14:textId="77777777" w:rsidR="009B7774" w:rsidRPr="000973F2" w:rsidRDefault="009B7774" w:rsidP="009B7774">
            <w:pPr>
              <w:spacing w:before="40" w:after="4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QA/QC</w:t>
            </w:r>
          </w:p>
        </w:tc>
        <w:tc>
          <w:tcPr>
            <w:tcW w:w="422" w:type="pct"/>
            <w:noWrap/>
            <w:hideMark/>
          </w:tcPr>
          <w:p w14:paraId="2EC9528E" w14:textId="7D3C6FDF" w:rsidR="009B7774" w:rsidRPr="000973F2" w:rsidRDefault="009B7774" w:rsidP="009B7774">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w:t>
            </w:r>
          </w:p>
        </w:tc>
        <w:tc>
          <w:tcPr>
            <w:tcW w:w="426" w:type="pct"/>
            <w:noWrap/>
            <w:hideMark/>
          </w:tcPr>
          <w:p w14:paraId="7C70D4CC" w14:textId="5EB8FE56" w:rsidR="009B7774" w:rsidRPr="000973F2" w:rsidRDefault="009B7774" w:rsidP="009B7774">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w:t>
            </w:r>
          </w:p>
        </w:tc>
        <w:tc>
          <w:tcPr>
            <w:tcW w:w="422" w:type="pct"/>
            <w:noWrap/>
            <w:hideMark/>
          </w:tcPr>
          <w:p w14:paraId="0FA08455" w14:textId="3769E4A4" w:rsidR="009B7774" w:rsidRPr="000973F2" w:rsidRDefault="009B7774" w:rsidP="009B7774">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w:t>
            </w:r>
          </w:p>
        </w:tc>
        <w:tc>
          <w:tcPr>
            <w:tcW w:w="422" w:type="pct"/>
            <w:noWrap/>
            <w:hideMark/>
          </w:tcPr>
          <w:p w14:paraId="1C016BDA" w14:textId="3578D0B9" w:rsidR="009B7774" w:rsidRPr="000973F2" w:rsidRDefault="009B7774" w:rsidP="009B7774">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w:t>
            </w:r>
          </w:p>
        </w:tc>
        <w:tc>
          <w:tcPr>
            <w:tcW w:w="422" w:type="pct"/>
            <w:noWrap/>
            <w:hideMark/>
          </w:tcPr>
          <w:p w14:paraId="7D933BCB" w14:textId="07D44CB7" w:rsidR="009B7774" w:rsidRPr="000973F2" w:rsidRDefault="009B7774" w:rsidP="009B7774">
            <w:pPr>
              <w:tabs>
                <w:tab w:val="decimal" w:pos="274"/>
              </w:tabs>
              <w:spacing w:before="40" w:after="4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w:t>
            </w:r>
          </w:p>
        </w:tc>
        <w:tc>
          <w:tcPr>
            <w:tcW w:w="422" w:type="pct"/>
            <w:noWrap/>
            <w:hideMark/>
          </w:tcPr>
          <w:p w14:paraId="1469E464" w14:textId="3E169EC0" w:rsidR="009B7774" w:rsidRPr="000973F2" w:rsidRDefault="009B7774" w:rsidP="009B7774">
            <w:pPr>
              <w:tabs>
                <w:tab w:val="decimal" w:pos="274"/>
              </w:tabs>
              <w:spacing w:before="40" w:after="4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w:t>
            </w:r>
          </w:p>
        </w:tc>
        <w:tc>
          <w:tcPr>
            <w:tcW w:w="422" w:type="pct"/>
            <w:noWrap/>
            <w:hideMark/>
          </w:tcPr>
          <w:p w14:paraId="3D6B9DBB" w14:textId="1A2363D5" w:rsidR="009B7774" w:rsidRPr="000973F2" w:rsidRDefault="009B7774" w:rsidP="009B7774">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w:t>
            </w:r>
          </w:p>
        </w:tc>
        <w:tc>
          <w:tcPr>
            <w:tcW w:w="422" w:type="pct"/>
            <w:noWrap/>
            <w:hideMark/>
          </w:tcPr>
          <w:p w14:paraId="648EDAC2" w14:textId="4F63FB9F" w:rsidR="009B7774" w:rsidRPr="000973F2" w:rsidRDefault="009B7774" w:rsidP="009B7774">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w:t>
            </w:r>
          </w:p>
        </w:tc>
        <w:tc>
          <w:tcPr>
            <w:tcW w:w="454" w:type="pct"/>
            <w:noWrap/>
            <w:hideMark/>
          </w:tcPr>
          <w:p w14:paraId="576B3DC9" w14:textId="4C71C6A2" w:rsidR="009B7774" w:rsidRPr="000973F2" w:rsidRDefault="009B7774" w:rsidP="009B7774">
            <w:pPr>
              <w:tabs>
                <w:tab w:val="decimal" w:pos="439"/>
              </w:tabs>
              <w:spacing w:before="40" w:after="4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w:t>
            </w:r>
          </w:p>
        </w:tc>
        <w:tc>
          <w:tcPr>
            <w:tcW w:w="452" w:type="pct"/>
            <w:noWrap/>
            <w:hideMark/>
          </w:tcPr>
          <w:p w14:paraId="482E24C8" w14:textId="6198F659" w:rsidR="009B7774" w:rsidRPr="000973F2" w:rsidRDefault="009B7774" w:rsidP="009B7774">
            <w:pPr>
              <w:tabs>
                <w:tab w:val="decimal" w:pos="439"/>
              </w:tabs>
              <w:spacing w:before="40" w:after="4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w:t>
            </w:r>
          </w:p>
        </w:tc>
      </w:tr>
      <w:tr w:rsidR="009B7774" w:rsidRPr="000973F2" w14:paraId="23325201" w14:textId="77777777" w:rsidTr="009B7774">
        <w:trPr>
          <w:cantSplit/>
        </w:trPr>
        <w:tc>
          <w:tcPr>
            <w:cnfStyle w:val="001000000000" w:firstRow="0" w:lastRow="0" w:firstColumn="1" w:lastColumn="0" w:oddVBand="0" w:evenVBand="0" w:oddHBand="0" w:evenHBand="0" w:firstRowFirstColumn="0" w:firstRowLastColumn="0" w:lastRowFirstColumn="0" w:lastRowLastColumn="0"/>
            <w:tcW w:w="715" w:type="pct"/>
            <w:tcMar>
              <w:right w:w="14" w:type="dxa"/>
            </w:tcMar>
            <w:hideMark/>
          </w:tcPr>
          <w:p w14:paraId="6CEAB057" w14:textId="77777777" w:rsidR="009B7774" w:rsidRPr="000973F2" w:rsidRDefault="009B7774" w:rsidP="009B7774">
            <w:pPr>
              <w:spacing w:before="40" w:after="4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Recordkeeping</w:t>
            </w:r>
          </w:p>
        </w:tc>
        <w:tc>
          <w:tcPr>
            <w:tcW w:w="422" w:type="pct"/>
            <w:noWrap/>
            <w:hideMark/>
          </w:tcPr>
          <w:p w14:paraId="027BFCCF" w14:textId="1EB09E64" w:rsidR="009B7774" w:rsidRPr="000973F2" w:rsidRDefault="009B7774" w:rsidP="009B7774">
            <w:pPr>
              <w:spacing w:before="40" w:after="4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w:t>
            </w:r>
          </w:p>
        </w:tc>
        <w:tc>
          <w:tcPr>
            <w:tcW w:w="426" w:type="pct"/>
            <w:noWrap/>
            <w:hideMark/>
          </w:tcPr>
          <w:p w14:paraId="699E46C5" w14:textId="3F47B43C" w:rsidR="009B7774" w:rsidRPr="000973F2" w:rsidRDefault="009B7774" w:rsidP="009B7774">
            <w:pPr>
              <w:spacing w:before="40" w:after="4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w:t>
            </w:r>
          </w:p>
        </w:tc>
        <w:tc>
          <w:tcPr>
            <w:tcW w:w="422" w:type="pct"/>
            <w:noWrap/>
            <w:hideMark/>
          </w:tcPr>
          <w:p w14:paraId="780DEEE6" w14:textId="51727682" w:rsidR="009B7774" w:rsidRPr="000973F2" w:rsidRDefault="009B7774" w:rsidP="009B7774">
            <w:pPr>
              <w:spacing w:before="40" w:after="4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w:t>
            </w:r>
          </w:p>
        </w:tc>
        <w:tc>
          <w:tcPr>
            <w:tcW w:w="422" w:type="pct"/>
            <w:noWrap/>
            <w:hideMark/>
          </w:tcPr>
          <w:p w14:paraId="4992DDA6" w14:textId="58887D61" w:rsidR="009B7774" w:rsidRPr="000973F2" w:rsidRDefault="009B7774" w:rsidP="009B7774">
            <w:pPr>
              <w:spacing w:before="40" w:after="4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w:t>
            </w:r>
          </w:p>
        </w:tc>
        <w:tc>
          <w:tcPr>
            <w:tcW w:w="422" w:type="pct"/>
            <w:noWrap/>
            <w:hideMark/>
          </w:tcPr>
          <w:p w14:paraId="224DF8F5" w14:textId="01D18733" w:rsidR="009B7774" w:rsidRPr="000973F2" w:rsidRDefault="009B7774" w:rsidP="009B7774">
            <w:pPr>
              <w:tabs>
                <w:tab w:val="decimal" w:pos="274"/>
              </w:tabs>
              <w:spacing w:before="40" w:after="4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w:t>
            </w:r>
          </w:p>
        </w:tc>
        <w:tc>
          <w:tcPr>
            <w:tcW w:w="422" w:type="pct"/>
            <w:noWrap/>
            <w:hideMark/>
          </w:tcPr>
          <w:p w14:paraId="245485B4" w14:textId="7C35B8A9" w:rsidR="009B7774" w:rsidRPr="000973F2" w:rsidRDefault="009B7774" w:rsidP="009B7774">
            <w:pPr>
              <w:tabs>
                <w:tab w:val="decimal" w:pos="274"/>
              </w:tabs>
              <w:spacing w:before="40" w:after="4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w:t>
            </w:r>
          </w:p>
        </w:tc>
        <w:tc>
          <w:tcPr>
            <w:tcW w:w="422" w:type="pct"/>
            <w:noWrap/>
            <w:hideMark/>
          </w:tcPr>
          <w:p w14:paraId="599A14CB" w14:textId="1E68D0B4" w:rsidR="009B7774" w:rsidRPr="000973F2" w:rsidRDefault="009B7774" w:rsidP="009B7774">
            <w:pPr>
              <w:spacing w:before="40" w:after="4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w:t>
            </w:r>
          </w:p>
        </w:tc>
        <w:tc>
          <w:tcPr>
            <w:tcW w:w="422" w:type="pct"/>
            <w:noWrap/>
            <w:hideMark/>
          </w:tcPr>
          <w:p w14:paraId="071C97C0" w14:textId="5729ECA1" w:rsidR="009B7774" w:rsidRPr="000973F2" w:rsidRDefault="009B7774" w:rsidP="009B7774">
            <w:pPr>
              <w:spacing w:before="40" w:after="4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w:t>
            </w:r>
          </w:p>
        </w:tc>
        <w:tc>
          <w:tcPr>
            <w:tcW w:w="454" w:type="pct"/>
            <w:noWrap/>
            <w:hideMark/>
          </w:tcPr>
          <w:p w14:paraId="6EF658B8" w14:textId="39900658" w:rsidR="009B7774" w:rsidRPr="000973F2" w:rsidRDefault="009B7774" w:rsidP="009B7774">
            <w:pPr>
              <w:tabs>
                <w:tab w:val="decimal" w:pos="439"/>
              </w:tabs>
              <w:spacing w:before="40" w:after="4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w:t>
            </w:r>
          </w:p>
        </w:tc>
        <w:tc>
          <w:tcPr>
            <w:tcW w:w="452" w:type="pct"/>
            <w:noWrap/>
            <w:hideMark/>
          </w:tcPr>
          <w:p w14:paraId="7BB67EFB" w14:textId="6FCCDB63" w:rsidR="009B7774" w:rsidRPr="000973F2" w:rsidRDefault="009B7774" w:rsidP="009B7774">
            <w:pPr>
              <w:tabs>
                <w:tab w:val="decimal" w:pos="439"/>
              </w:tabs>
              <w:spacing w:before="40" w:after="4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w:t>
            </w:r>
          </w:p>
        </w:tc>
      </w:tr>
      <w:tr w:rsidR="00D47101" w:rsidRPr="000973F2" w14:paraId="64D47BC2" w14:textId="77777777" w:rsidTr="009B7774">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715" w:type="pct"/>
            <w:tcMar>
              <w:right w:w="14" w:type="dxa"/>
            </w:tcMar>
            <w:hideMark/>
          </w:tcPr>
          <w:p w14:paraId="5C80BCB7" w14:textId="77777777" w:rsidR="00D47101" w:rsidRPr="000973F2" w:rsidRDefault="00D47101" w:rsidP="00D47101">
            <w:pPr>
              <w:spacing w:before="40" w:after="4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Sampling and Analysis (Calculations)</w:t>
            </w:r>
          </w:p>
        </w:tc>
        <w:tc>
          <w:tcPr>
            <w:tcW w:w="422" w:type="pct"/>
            <w:noWrap/>
            <w:hideMark/>
          </w:tcPr>
          <w:p w14:paraId="51D495D7" w14:textId="53F2EDDF" w:rsidR="00D47101" w:rsidRPr="000973F2" w:rsidRDefault="00D47101" w:rsidP="00D47101">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w:t>
            </w:r>
          </w:p>
        </w:tc>
        <w:tc>
          <w:tcPr>
            <w:tcW w:w="426" w:type="pct"/>
            <w:noWrap/>
            <w:hideMark/>
          </w:tcPr>
          <w:p w14:paraId="63853F61" w14:textId="717B26D4" w:rsidR="00D47101" w:rsidRPr="000973F2" w:rsidRDefault="00D47101" w:rsidP="00D47101">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w:t>
            </w:r>
          </w:p>
        </w:tc>
        <w:tc>
          <w:tcPr>
            <w:tcW w:w="422" w:type="pct"/>
            <w:noWrap/>
            <w:hideMark/>
          </w:tcPr>
          <w:p w14:paraId="09DD6A1F" w14:textId="79C69198" w:rsidR="00D47101" w:rsidRPr="000973F2" w:rsidRDefault="00D47101" w:rsidP="00D47101">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w:t>
            </w:r>
          </w:p>
        </w:tc>
        <w:tc>
          <w:tcPr>
            <w:tcW w:w="422" w:type="pct"/>
            <w:noWrap/>
            <w:hideMark/>
          </w:tcPr>
          <w:p w14:paraId="0E3CE0BC" w14:textId="2A5C1343" w:rsidR="00D47101" w:rsidRPr="000973F2" w:rsidRDefault="00D47101" w:rsidP="00D47101">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w:t>
            </w:r>
          </w:p>
        </w:tc>
        <w:tc>
          <w:tcPr>
            <w:tcW w:w="422" w:type="pct"/>
            <w:noWrap/>
            <w:hideMark/>
          </w:tcPr>
          <w:p w14:paraId="50864BFC" w14:textId="77777777" w:rsidR="00D47101" w:rsidRPr="000973F2" w:rsidRDefault="00D47101" w:rsidP="00D47101">
            <w:pPr>
              <w:tabs>
                <w:tab w:val="decimal" w:pos="274"/>
              </w:tabs>
              <w:spacing w:before="40" w:after="4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7.1</w:t>
            </w:r>
          </w:p>
        </w:tc>
        <w:tc>
          <w:tcPr>
            <w:tcW w:w="422" w:type="pct"/>
            <w:noWrap/>
            <w:hideMark/>
          </w:tcPr>
          <w:p w14:paraId="4B1DEB85" w14:textId="77777777" w:rsidR="00D47101" w:rsidRPr="000973F2" w:rsidRDefault="00D47101" w:rsidP="00D47101">
            <w:pPr>
              <w:tabs>
                <w:tab w:val="decimal" w:pos="274"/>
              </w:tabs>
              <w:spacing w:before="40" w:after="4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7.1</w:t>
            </w:r>
          </w:p>
        </w:tc>
        <w:tc>
          <w:tcPr>
            <w:tcW w:w="422" w:type="pct"/>
            <w:noWrap/>
            <w:hideMark/>
          </w:tcPr>
          <w:p w14:paraId="55E13983" w14:textId="3A12829F" w:rsidR="00D47101" w:rsidRPr="000973F2" w:rsidRDefault="00D47101" w:rsidP="00D47101">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w:t>
            </w:r>
          </w:p>
        </w:tc>
        <w:tc>
          <w:tcPr>
            <w:tcW w:w="422" w:type="pct"/>
            <w:noWrap/>
            <w:hideMark/>
          </w:tcPr>
          <w:p w14:paraId="3C683B85" w14:textId="263FD7CE" w:rsidR="00D47101" w:rsidRPr="000973F2" w:rsidRDefault="00D47101" w:rsidP="00D47101">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w:t>
            </w:r>
          </w:p>
        </w:tc>
        <w:tc>
          <w:tcPr>
            <w:tcW w:w="454" w:type="pct"/>
            <w:noWrap/>
            <w:hideMark/>
          </w:tcPr>
          <w:p w14:paraId="05C02A7F" w14:textId="402E0CB3" w:rsidR="00D47101" w:rsidRPr="000973F2" w:rsidRDefault="00D47101" w:rsidP="00D47101">
            <w:pPr>
              <w:tabs>
                <w:tab w:val="decimal" w:pos="439"/>
              </w:tabs>
              <w:spacing w:before="40" w:after="4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$510</w:t>
            </w:r>
          </w:p>
        </w:tc>
        <w:tc>
          <w:tcPr>
            <w:tcW w:w="452" w:type="pct"/>
            <w:noWrap/>
            <w:hideMark/>
          </w:tcPr>
          <w:p w14:paraId="382B010F" w14:textId="50D76D2F" w:rsidR="00D47101" w:rsidRPr="000973F2" w:rsidRDefault="00D47101" w:rsidP="00D47101">
            <w:pPr>
              <w:tabs>
                <w:tab w:val="decimal" w:pos="439"/>
              </w:tabs>
              <w:spacing w:before="40" w:after="4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$510</w:t>
            </w:r>
          </w:p>
        </w:tc>
      </w:tr>
      <w:tr w:rsidR="009B7774" w:rsidRPr="000973F2" w14:paraId="0346E045" w14:textId="77777777" w:rsidTr="009B7774">
        <w:trPr>
          <w:cantSplit/>
        </w:trPr>
        <w:tc>
          <w:tcPr>
            <w:cnfStyle w:val="001000000000" w:firstRow="0" w:lastRow="0" w:firstColumn="1" w:lastColumn="0" w:oddVBand="0" w:evenVBand="0" w:oddHBand="0" w:evenHBand="0" w:firstRowFirstColumn="0" w:firstRowLastColumn="0" w:lastRowFirstColumn="0" w:lastRowLastColumn="0"/>
            <w:tcW w:w="715" w:type="pct"/>
            <w:tcMar>
              <w:right w:w="14" w:type="dxa"/>
            </w:tcMar>
            <w:hideMark/>
          </w:tcPr>
          <w:p w14:paraId="469C9D1D" w14:textId="77777777" w:rsidR="009B7774" w:rsidRPr="000973F2" w:rsidRDefault="009B7774" w:rsidP="009B7774">
            <w:pPr>
              <w:spacing w:before="40" w:after="4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Reporting</w:t>
            </w:r>
          </w:p>
        </w:tc>
        <w:tc>
          <w:tcPr>
            <w:tcW w:w="422" w:type="pct"/>
            <w:noWrap/>
            <w:hideMark/>
          </w:tcPr>
          <w:p w14:paraId="014440FF" w14:textId="1F09025D" w:rsidR="009B7774" w:rsidRPr="000973F2" w:rsidRDefault="009B7774" w:rsidP="009B7774">
            <w:pPr>
              <w:spacing w:before="40" w:after="4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w:t>
            </w:r>
          </w:p>
        </w:tc>
        <w:tc>
          <w:tcPr>
            <w:tcW w:w="426" w:type="pct"/>
            <w:noWrap/>
            <w:hideMark/>
          </w:tcPr>
          <w:p w14:paraId="327E39D9" w14:textId="6AC7A1E8" w:rsidR="009B7774" w:rsidRPr="000973F2" w:rsidRDefault="009B7774" w:rsidP="009B7774">
            <w:pPr>
              <w:spacing w:before="40" w:after="4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w:t>
            </w:r>
          </w:p>
        </w:tc>
        <w:tc>
          <w:tcPr>
            <w:tcW w:w="422" w:type="pct"/>
            <w:noWrap/>
            <w:hideMark/>
          </w:tcPr>
          <w:p w14:paraId="2F7E110D" w14:textId="66C7EAD9" w:rsidR="009B7774" w:rsidRPr="000973F2" w:rsidRDefault="009B7774" w:rsidP="009B7774">
            <w:pPr>
              <w:spacing w:before="40" w:after="4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w:t>
            </w:r>
          </w:p>
        </w:tc>
        <w:tc>
          <w:tcPr>
            <w:tcW w:w="422" w:type="pct"/>
            <w:noWrap/>
            <w:hideMark/>
          </w:tcPr>
          <w:p w14:paraId="1260EF30" w14:textId="1AD22FAE" w:rsidR="009B7774" w:rsidRPr="000973F2" w:rsidRDefault="009B7774" w:rsidP="009B7774">
            <w:pPr>
              <w:spacing w:before="40" w:after="4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w:t>
            </w:r>
          </w:p>
        </w:tc>
        <w:tc>
          <w:tcPr>
            <w:tcW w:w="422" w:type="pct"/>
            <w:noWrap/>
            <w:hideMark/>
          </w:tcPr>
          <w:p w14:paraId="2BC4BCE6" w14:textId="08748E6E" w:rsidR="009B7774" w:rsidRPr="000973F2" w:rsidRDefault="009B7774" w:rsidP="009B7774">
            <w:pPr>
              <w:tabs>
                <w:tab w:val="decimal" w:pos="274"/>
              </w:tabs>
              <w:spacing w:before="40" w:after="4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w:t>
            </w:r>
          </w:p>
        </w:tc>
        <w:tc>
          <w:tcPr>
            <w:tcW w:w="422" w:type="pct"/>
            <w:noWrap/>
            <w:hideMark/>
          </w:tcPr>
          <w:p w14:paraId="358F8515" w14:textId="6B7891F4" w:rsidR="009B7774" w:rsidRPr="000973F2" w:rsidRDefault="009B7774" w:rsidP="009B7774">
            <w:pPr>
              <w:tabs>
                <w:tab w:val="decimal" w:pos="274"/>
              </w:tabs>
              <w:spacing w:before="40" w:after="4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w:t>
            </w:r>
          </w:p>
        </w:tc>
        <w:tc>
          <w:tcPr>
            <w:tcW w:w="422" w:type="pct"/>
            <w:noWrap/>
            <w:hideMark/>
          </w:tcPr>
          <w:p w14:paraId="5DF13754" w14:textId="68377C64" w:rsidR="009B7774" w:rsidRPr="000973F2" w:rsidRDefault="009B7774" w:rsidP="009B7774">
            <w:pPr>
              <w:spacing w:before="40" w:after="4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w:t>
            </w:r>
          </w:p>
        </w:tc>
        <w:tc>
          <w:tcPr>
            <w:tcW w:w="422" w:type="pct"/>
            <w:noWrap/>
            <w:hideMark/>
          </w:tcPr>
          <w:p w14:paraId="09E4789F" w14:textId="664C638E" w:rsidR="009B7774" w:rsidRPr="000973F2" w:rsidRDefault="009B7774" w:rsidP="009B7774">
            <w:pPr>
              <w:spacing w:before="40" w:after="4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w:t>
            </w:r>
          </w:p>
        </w:tc>
        <w:tc>
          <w:tcPr>
            <w:tcW w:w="454" w:type="pct"/>
            <w:noWrap/>
            <w:hideMark/>
          </w:tcPr>
          <w:p w14:paraId="1CF41CD8" w14:textId="1EFD96CB" w:rsidR="009B7774" w:rsidRPr="000973F2" w:rsidRDefault="009B7774" w:rsidP="009B7774">
            <w:pPr>
              <w:tabs>
                <w:tab w:val="decimal" w:pos="439"/>
              </w:tabs>
              <w:spacing w:before="40" w:after="4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w:t>
            </w:r>
          </w:p>
        </w:tc>
        <w:tc>
          <w:tcPr>
            <w:tcW w:w="452" w:type="pct"/>
            <w:noWrap/>
            <w:hideMark/>
          </w:tcPr>
          <w:p w14:paraId="5C033CF8" w14:textId="594BED32" w:rsidR="009B7774" w:rsidRPr="000973F2" w:rsidRDefault="009B7774" w:rsidP="009B7774">
            <w:pPr>
              <w:tabs>
                <w:tab w:val="decimal" w:pos="439"/>
              </w:tabs>
              <w:spacing w:before="40" w:after="4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w:t>
            </w:r>
          </w:p>
        </w:tc>
      </w:tr>
      <w:tr w:rsidR="0084264D" w:rsidRPr="000973F2" w14:paraId="68B4E3E4" w14:textId="77777777" w:rsidTr="009B7774">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715" w:type="pct"/>
            <w:noWrap/>
            <w:tcMar>
              <w:right w:w="14" w:type="dxa"/>
            </w:tcMar>
            <w:hideMark/>
          </w:tcPr>
          <w:p w14:paraId="5116794D" w14:textId="77777777" w:rsidR="0001781A" w:rsidRPr="000973F2" w:rsidRDefault="0001781A" w:rsidP="0084264D">
            <w:pPr>
              <w:spacing w:before="40" w:after="40"/>
              <w:rPr>
                <w:rFonts w:ascii="Times New Roman" w:eastAsia="Times New Roman" w:hAnsi="Times New Roman" w:cs="Times New Roman"/>
                <w:b/>
                <w:bCs w:val="0"/>
                <w:sz w:val="18"/>
                <w:szCs w:val="18"/>
              </w:rPr>
            </w:pPr>
            <w:r w:rsidRPr="000973F2">
              <w:rPr>
                <w:rFonts w:ascii="Times New Roman" w:eastAsia="Times New Roman" w:hAnsi="Times New Roman" w:cs="Times New Roman"/>
                <w:b/>
                <w:sz w:val="18"/>
                <w:szCs w:val="18"/>
              </w:rPr>
              <w:t>Total</w:t>
            </w:r>
          </w:p>
        </w:tc>
        <w:tc>
          <w:tcPr>
            <w:tcW w:w="422" w:type="pct"/>
            <w:noWrap/>
            <w:hideMark/>
          </w:tcPr>
          <w:p w14:paraId="66386EB1" w14:textId="77777777" w:rsidR="0001781A" w:rsidRPr="000973F2" w:rsidRDefault="0001781A" w:rsidP="0084264D">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18"/>
                <w:szCs w:val="18"/>
              </w:rPr>
            </w:pPr>
            <w:r w:rsidRPr="000973F2">
              <w:rPr>
                <w:rFonts w:ascii="Times New Roman" w:eastAsia="Times New Roman" w:hAnsi="Times New Roman" w:cs="Times New Roman"/>
                <w:b/>
                <w:bCs/>
                <w:sz w:val="18"/>
                <w:szCs w:val="18"/>
              </w:rPr>
              <w:t>0</w:t>
            </w:r>
          </w:p>
        </w:tc>
        <w:tc>
          <w:tcPr>
            <w:tcW w:w="426" w:type="pct"/>
            <w:noWrap/>
            <w:hideMark/>
          </w:tcPr>
          <w:p w14:paraId="1DFB667A" w14:textId="77777777" w:rsidR="0001781A" w:rsidRPr="000973F2" w:rsidRDefault="0001781A" w:rsidP="0084264D">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18"/>
                <w:szCs w:val="18"/>
              </w:rPr>
            </w:pPr>
            <w:r w:rsidRPr="000973F2">
              <w:rPr>
                <w:rFonts w:ascii="Times New Roman" w:eastAsia="Times New Roman" w:hAnsi="Times New Roman" w:cs="Times New Roman"/>
                <w:b/>
                <w:bCs/>
                <w:sz w:val="18"/>
                <w:szCs w:val="18"/>
              </w:rPr>
              <w:t>0</w:t>
            </w:r>
          </w:p>
        </w:tc>
        <w:tc>
          <w:tcPr>
            <w:tcW w:w="422" w:type="pct"/>
            <w:noWrap/>
            <w:hideMark/>
          </w:tcPr>
          <w:p w14:paraId="5097188E" w14:textId="77777777" w:rsidR="0001781A" w:rsidRPr="000973F2" w:rsidRDefault="0001781A" w:rsidP="0084264D">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18"/>
                <w:szCs w:val="18"/>
              </w:rPr>
            </w:pPr>
            <w:r w:rsidRPr="000973F2">
              <w:rPr>
                <w:rFonts w:ascii="Times New Roman" w:eastAsia="Times New Roman" w:hAnsi="Times New Roman" w:cs="Times New Roman"/>
                <w:b/>
                <w:bCs/>
                <w:sz w:val="18"/>
                <w:szCs w:val="18"/>
              </w:rPr>
              <w:t>0</w:t>
            </w:r>
          </w:p>
        </w:tc>
        <w:tc>
          <w:tcPr>
            <w:tcW w:w="422" w:type="pct"/>
            <w:noWrap/>
            <w:hideMark/>
          </w:tcPr>
          <w:p w14:paraId="4F95EF4E" w14:textId="77777777" w:rsidR="0001781A" w:rsidRPr="000973F2" w:rsidRDefault="0001781A" w:rsidP="0084264D">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18"/>
                <w:szCs w:val="18"/>
              </w:rPr>
            </w:pPr>
            <w:r w:rsidRPr="000973F2">
              <w:rPr>
                <w:rFonts w:ascii="Times New Roman" w:eastAsia="Times New Roman" w:hAnsi="Times New Roman" w:cs="Times New Roman"/>
                <w:b/>
                <w:bCs/>
                <w:sz w:val="18"/>
                <w:szCs w:val="18"/>
              </w:rPr>
              <w:t>0</w:t>
            </w:r>
          </w:p>
        </w:tc>
        <w:tc>
          <w:tcPr>
            <w:tcW w:w="422" w:type="pct"/>
            <w:noWrap/>
            <w:hideMark/>
          </w:tcPr>
          <w:p w14:paraId="460A5682" w14:textId="77777777" w:rsidR="0001781A" w:rsidRPr="000973F2" w:rsidRDefault="0001781A" w:rsidP="0084264D">
            <w:pPr>
              <w:tabs>
                <w:tab w:val="decimal" w:pos="274"/>
              </w:tabs>
              <w:spacing w:before="40" w:after="4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18"/>
                <w:szCs w:val="18"/>
              </w:rPr>
            </w:pPr>
            <w:r w:rsidRPr="000973F2">
              <w:rPr>
                <w:rFonts w:ascii="Times New Roman" w:eastAsia="Times New Roman" w:hAnsi="Times New Roman" w:cs="Times New Roman"/>
                <w:b/>
                <w:bCs/>
                <w:sz w:val="18"/>
                <w:szCs w:val="18"/>
              </w:rPr>
              <w:t>7.1</w:t>
            </w:r>
          </w:p>
        </w:tc>
        <w:tc>
          <w:tcPr>
            <w:tcW w:w="422" w:type="pct"/>
            <w:noWrap/>
            <w:hideMark/>
          </w:tcPr>
          <w:p w14:paraId="15A58488" w14:textId="77777777" w:rsidR="0001781A" w:rsidRPr="000973F2" w:rsidRDefault="0001781A" w:rsidP="0084264D">
            <w:pPr>
              <w:tabs>
                <w:tab w:val="decimal" w:pos="274"/>
              </w:tabs>
              <w:spacing w:before="40" w:after="4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18"/>
                <w:szCs w:val="18"/>
              </w:rPr>
            </w:pPr>
            <w:r w:rsidRPr="000973F2">
              <w:rPr>
                <w:rFonts w:ascii="Times New Roman" w:eastAsia="Times New Roman" w:hAnsi="Times New Roman" w:cs="Times New Roman"/>
                <w:b/>
                <w:bCs/>
                <w:sz w:val="18"/>
                <w:szCs w:val="18"/>
              </w:rPr>
              <w:t>7.1</w:t>
            </w:r>
          </w:p>
        </w:tc>
        <w:tc>
          <w:tcPr>
            <w:tcW w:w="422" w:type="pct"/>
            <w:noWrap/>
            <w:hideMark/>
          </w:tcPr>
          <w:p w14:paraId="09DA1DF1" w14:textId="77777777" w:rsidR="0001781A" w:rsidRPr="000973F2" w:rsidRDefault="0001781A" w:rsidP="0084264D">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18"/>
                <w:szCs w:val="18"/>
              </w:rPr>
            </w:pPr>
            <w:r w:rsidRPr="000973F2">
              <w:rPr>
                <w:rFonts w:ascii="Times New Roman" w:eastAsia="Times New Roman" w:hAnsi="Times New Roman" w:cs="Times New Roman"/>
                <w:b/>
                <w:bCs/>
                <w:sz w:val="18"/>
                <w:szCs w:val="18"/>
              </w:rPr>
              <w:t>0</w:t>
            </w:r>
          </w:p>
        </w:tc>
        <w:tc>
          <w:tcPr>
            <w:tcW w:w="422" w:type="pct"/>
            <w:noWrap/>
            <w:hideMark/>
          </w:tcPr>
          <w:p w14:paraId="0FBB5370" w14:textId="77777777" w:rsidR="0001781A" w:rsidRPr="000973F2" w:rsidRDefault="0001781A" w:rsidP="0084264D">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18"/>
                <w:szCs w:val="18"/>
              </w:rPr>
            </w:pPr>
            <w:r w:rsidRPr="000973F2">
              <w:rPr>
                <w:rFonts w:ascii="Times New Roman" w:eastAsia="Times New Roman" w:hAnsi="Times New Roman" w:cs="Times New Roman"/>
                <w:b/>
                <w:bCs/>
                <w:sz w:val="18"/>
                <w:szCs w:val="18"/>
              </w:rPr>
              <w:t>0</w:t>
            </w:r>
          </w:p>
        </w:tc>
        <w:tc>
          <w:tcPr>
            <w:tcW w:w="454" w:type="pct"/>
            <w:noWrap/>
            <w:hideMark/>
          </w:tcPr>
          <w:p w14:paraId="207C9B99" w14:textId="41A9FCA7" w:rsidR="0001781A" w:rsidRPr="000973F2" w:rsidRDefault="0001781A" w:rsidP="0084264D">
            <w:pPr>
              <w:tabs>
                <w:tab w:val="decimal" w:pos="439"/>
              </w:tabs>
              <w:spacing w:before="40" w:after="4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18"/>
                <w:szCs w:val="18"/>
              </w:rPr>
            </w:pPr>
            <w:r w:rsidRPr="000973F2">
              <w:rPr>
                <w:rFonts w:ascii="Times New Roman" w:eastAsia="Times New Roman" w:hAnsi="Times New Roman" w:cs="Times New Roman"/>
                <w:b/>
                <w:bCs/>
                <w:sz w:val="18"/>
                <w:szCs w:val="18"/>
              </w:rPr>
              <w:t>$510</w:t>
            </w:r>
          </w:p>
        </w:tc>
        <w:tc>
          <w:tcPr>
            <w:tcW w:w="452" w:type="pct"/>
            <w:noWrap/>
            <w:hideMark/>
          </w:tcPr>
          <w:p w14:paraId="676A00FD" w14:textId="314E7367" w:rsidR="0001781A" w:rsidRPr="000973F2" w:rsidRDefault="0001781A" w:rsidP="0084264D">
            <w:pPr>
              <w:tabs>
                <w:tab w:val="decimal" w:pos="439"/>
              </w:tabs>
              <w:spacing w:before="40" w:after="4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18"/>
                <w:szCs w:val="18"/>
              </w:rPr>
            </w:pPr>
            <w:r w:rsidRPr="000973F2">
              <w:rPr>
                <w:rFonts w:ascii="Times New Roman" w:eastAsia="Times New Roman" w:hAnsi="Times New Roman" w:cs="Times New Roman"/>
                <w:b/>
                <w:bCs/>
                <w:sz w:val="18"/>
                <w:szCs w:val="18"/>
              </w:rPr>
              <w:t>$510</w:t>
            </w:r>
          </w:p>
        </w:tc>
      </w:tr>
    </w:tbl>
    <w:p w14:paraId="7E9796F0" w14:textId="77777777" w:rsidR="0001781A" w:rsidRPr="000973F2" w:rsidRDefault="0001781A" w:rsidP="00C00E4F">
      <w:pPr>
        <w:pStyle w:val="AfterTable"/>
      </w:pPr>
    </w:p>
    <w:p w14:paraId="188671B9" w14:textId="77777777" w:rsidR="0001781A" w:rsidRPr="000973F2" w:rsidRDefault="0001781A" w:rsidP="00C00E4F">
      <w:pPr>
        <w:rPr>
          <w:i/>
        </w:rPr>
      </w:pPr>
      <w:r w:rsidRPr="000973F2">
        <w:rPr>
          <w:rFonts w:ascii="Times New Roman" w:hAnsi="Times New Roman" w:cs="Times New Roman"/>
          <w:i/>
        </w:rPr>
        <w:t>Subpart C with at least one additional subpart</w:t>
      </w:r>
    </w:p>
    <w:tbl>
      <w:tblPr>
        <w:tblStyle w:val="PlainTable1"/>
        <w:tblW w:w="5000" w:type="pct"/>
        <w:jc w:val="left"/>
        <w:tblLayout w:type="fixed"/>
        <w:tblCellMar>
          <w:left w:w="115" w:type="dxa"/>
          <w:right w:w="115" w:type="dxa"/>
        </w:tblCellMar>
        <w:tblLook w:val="04A0" w:firstRow="1" w:lastRow="0" w:firstColumn="1" w:lastColumn="0" w:noHBand="0" w:noVBand="1"/>
      </w:tblPr>
      <w:tblGrid>
        <w:gridCol w:w="1372"/>
        <w:gridCol w:w="810"/>
        <w:gridCol w:w="822"/>
        <w:gridCol w:w="809"/>
        <w:gridCol w:w="809"/>
        <w:gridCol w:w="809"/>
        <w:gridCol w:w="809"/>
        <w:gridCol w:w="809"/>
        <w:gridCol w:w="809"/>
        <w:gridCol w:w="871"/>
        <w:gridCol w:w="861"/>
      </w:tblGrid>
      <w:tr w:rsidR="0001781A" w:rsidRPr="000973F2" w14:paraId="3FAA8868" w14:textId="77777777" w:rsidTr="009B7774">
        <w:trPr>
          <w:cnfStyle w:val="100000000000" w:firstRow="1" w:lastRow="0" w:firstColumn="0" w:lastColumn="0" w:oddVBand="0" w:evenVBand="0" w:oddHBand="0" w:evenHBand="0" w:firstRowFirstColumn="0" w:firstRowLastColumn="0" w:lastRowFirstColumn="0" w:lastRowLastColumn="0"/>
          <w:cantSplit/>
          <w:jc w:val="left"/>
        </w:trPr>
        <w:tc>
          <w:tcPr>
            <w:cnfStyle w:val="001000000000" w:firstRow="0" w:lastRow="0" w:firstColumn="1" w:lastColumn="0" w:oddVBand="0" w:evenVBand="0" w:oddHBand="0" w:evenHBand="0" w:firstRowFirstColumn="0" w:firstRowLastColumn="0" w:lastRowFirstColumn="0" w:lastRowLastColumn="0"/>
            <w:tcW w:w="715" w:type="pct"/>
            <w:vMerge w:val="restart"/>
            <w:noWrap/>
            <w:vAlign w:val="top"/>
            <w:hideMark/>
          </w:tcPr>
          <w:p w14:paraId="78C5757C" w14:textId="77777777" w:rsidR="0001781A" w:rsidRPr="000973F2" w:rsidRDefault="0001781A" w:rsidP="003F4AFF">
            <w:pPr>
              <w:spacing w:before="40" w:after="40"/>
              <w:rPr>
                <w:rFonts w:ascii="Times New Roman" w:eastAsia="Times New Roman" w:hAnsi="Times New Roman" w:cs="Times New Roman"/>
                <w:b w:val="0"/>
                <w:bCs w:val="0"/>
                <w:sz w:val="18"/>
                <w:szCs w:val="18"/>
              </w:rPr>
            </w:pPr>
            <w:r w:rsidRPr="000973F2">
              <w:rPr>
                <w:rFonts w:ascii="Times New Roman" w:eastAsia="Times New Roman" w:hAnsi="Times New Roman" w:cs="Times New Roman"/>
                <w:sz w:val="18"/>
                <w:szCs w:val="18"/>
              </w:rPr>
              <w:t>Activity</w:t>
            </w:r>
          </w:p>
        </w:tc>
        <w:tc>
          <w:tcPr>
            <w:tcW w:w="3380" w:type="pct"/>
            <w:gridSpan w:val="8"/>
            <w:noWrap/>
            <w:vAlign w:val="top"/>
            <w:hideMark/>
          </w:tcPr>
          <w:p w14:paraId="4A39077D" w14:textId="77777777" w:rsidR="0001781A" w:rsidRPr="000973F2" w:rsidRDefault="0001781A" w:rsidP="003F4AFF">
            <w:pPr>
              <w:spacing w:before="40" w:after="40"/>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bCs w:val="0"/>
                <w:sz w:val="18"/>
                <w:szCs w:val="18"/>
              </w:rPr>
            </w:pPr>
            <w:r w:rsidRPr="000973F2">
              <w:rPr>
                <w:rFonts w:ascii="Times New Roman" w:eastAsia="Times New Roman" w:hAnsi="Times New Roman" w:cs="Times New Roman"/>
                <w:sz w:val="18"/>
                <w:szCs w:val="18"/>
              </w:rPr>
              <w:t>Labor Rates (per hour)</w:t>
            </w:r>
          </w:p>
        </w:tc>
        <w:tc>
          <w:tcPr>
            <w:tcW w:w="904" w:type="pct"/>
            <w:gridSpan w:val="2"/>
            <w:vMerge w:val="restart"/>
            <w:vAlign w:val="top"/>
            <w:hideMark/>
          </w:tcPr>
          <w:p w14:paraId="08E1208D" w14:textId="77777777" w:rsidR="0001781A" w:rsidRPr="000973F2" w:rsidRDefault="0001781A" w:rsidP="003F4AFF">
            <w:pPr>
              <w:spacing w:before="40" w:after="40"/>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bCs w:val="0"/>
                <w:sz w:val="18"/>
                <w:szCs w:val="18"/>
              </w:rPr>
            </w:pPr>
            <w:r w:rsidRPr="000973F2">
              <w:rPr>
                <w:rFonts w:ascii="Times New Roman" w:eastAsia="Times New Roman" w:hAnsi="Times New Roman" w:cs="Times New Roman"/>
                <w:sz w:val="18"/>
                <w:szCs w:val="18"/>
              </w:rPr>
              <w:t>Total Labor Cost per Year per Facility (2017$)</w:t>
            </w:r>
          </w:p>
        </w:tc>
      </w:tr>
      <w:tr w:rsidR="0001781A" w:rsidRPr="000973F2" w14:paraId="4E89A3DD" w14:textId="77777777" w:rsidTr="009B7774">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715" w:type="pct"/>
            <w:vMerge/>
            <w:hideMark/>
          </w:tcPr>
          <w:p w14:paraId="0C3FC6B1" w14:textId="77777777" w:rsidR="0001781A" w:rsidRPr="000973F2" w:rsidRDefault="0001781A" w:rsidP="003F4AFF">
            <w:pPr>
              <w:spacing w:before="40" w:after="40"/>
              <w:rPr>
                <w:rFonts w:ascii="Times New Roman" w:eastAsia="Times New Roman" w:hAnsi="Times New Roman" w:cs="Times New Roman"/>
                <w:b/>
                <w:bCs w:val="0"/>
                <w:sz w:val="18"/>
                <w:szCs w:val="18"/>
              </w:rPr>
            </w:pPr>
          </w:p>
        </w:tc>
        <w:tc>
          <w:tcPr>
            <w:tcW w:w="850" w:type="pct"/>
            <w:gridSpan w:val="2"/>
            <w:noWrap/>
            <w:hideMark/>
          </w:tcPr>
          <w:p w14:paraId="05B61DAA" w14:textId="77777777" w:rsidR="0001781A" w:rsidRPr="000973F2" w:rsidRDefault="0001781A" w:rsidP="003F4AFF">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18"/>
                <w:szCs w:val="18"/>
              </w:rPr>
            </w:pPr>
            <w:r w:rsidRPr="000973F2">
              <w:rPr>
                <w:rFonts w:ascii="Times New Roman" w:eastAsia="Times New Roman" w:hAnsi="Times New Roman" w:cs="Times New Roman"/>
                <w:b/>
                <w:bCs/>
                <w:sz w:val="18"/>
                <w:szCs w:val="18"/>
              </w:rPr>
              <w:t>Lawyer</w:t>
            </w:r>
          </w:p>
        </w:tc>
        <w:tc>
          <w:tcPr>
            <w:tcW w:w="844" w:type="pct"/>
            <w:gridSpan w:val="2"/>
            <w:noWrap/>
            <w:hideMark/>
          </w:tcPr>
          <w:p w14:paraId="369CC06D" w14:textId="77777777" w:rsidR="0001781A" w:rsidRPr="000973F2" w:rsidRDefault="0001781A" w:rsidP="003F4AFF">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18"/>
                <w:szCs w:val="18"/>
              </w:rPr>
            </w:pPr>
            <w:r w:rsidRPr="000973F2">
              <w:rPr>
                <w:rFonts w:ascii="Times New Roman" w:eastAsia="Times New Roman" w:hAnsi="Times New Roman" w:cs="Times New Roman"/>
                <w:b/>
                <w:bCs/>
                <w:sz w:val="18"/>
                <w:szCs w:val="18"/>
              </w:rPr>
              <w:t>Industrial Manager</w:t>
            </w:r>
          </w:p>
        </w:tc>
        <w:tc>
          <w:tcPr>
            <w:tcW w:w="844" w:type="pct"/>
            <w:gridSpan w:val="2"/>
            <w:hideMark/>
          </w:tcPr>
          <w:p w14:paraId="368EDBE2" w14:textId="27E070DC" w:rsidR="0001781A" w:rsidRPr="000973F2" w:rsidRDefault="0001781A" w:rsidP="003F4AFF">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18"/>
                <w:szCs w:val="18"/>
              </w:rPr>
            </w:pPr>
            <w:r w:rsidRPr="000973F2">
              <w:rPr>
                <w:rFonts w:ascii="Times New Roman" w:eastAsia="Times New Roman" w:hAnsi="Times New Roman" w:cs="Times New Roman"/>
                <w:b/>
                <w:bCs/>
                <w:sz w:val="18"/>
                <w:szCs w:val="18"/>
              </w:rPr>
              <w:t>Industrial Engineer/</w:t>
            </w:r>
            <w:r w:rsidR="003F4AFF" w:rsidRPr="000973F2">
              <w:rPr>
                <w:rFonts w:ascii="Times New Roman" w:eastAsia="Times New Roman" w:hAnsi="Times New Roman" w:cs="Times New Roman"/>
                <w:b/>
                <w:bCs/>
                <w:sz w:val="18"/>
                <w:szCs w:val="18"/>
              </w:rPr>
              <w:t xml:space="preserve"> </w:t>
            </w:r>
            <w:r w:rsidRPr="000973F2">
              <w:rPr>
                <w:rFonts w:ascii="Times New Roman" w:eastAsia="Times New Roman" w:hAnsi="Times New Roman" w:cs="Times New Roman"/>
                <w:b/>
                <w:bCs/>
                <w:sz w:val="18"/>
                <w:szCs w:val="18"/>
              </w:rPr>
              <w:t>Technician</w:t>
            </w:r>
          </w:p>
        </w:tc>
        <w:tc>
          <w:tcPr>
            <w:tcW w:w="844" w:type="pct"/>
            <w:gridSpan w:val="2"/>
            <w:hideMark/>
          </w:tcPr>
          <w:p w14:paraId="21962F1E" w14:textId="77777777" w:rsidR="0001781A" w:rsidRPr="000973F2" w:rsidRDefault="0001781A" w:rsidP="003F4AFF">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18"/>
                <w:szCs w:val="18"/>
              </w:rPr>
            </w:pPr>
            <w:r w:rsidRPr="000973F2">
              <w:rPr>
                <w:rFonts w:ascii="Times New Roman" w:eastAsia="Times New Roman" w:hAnsi="Times New Roman" w:cs="Times New Roman"/>
                <w:b/>
                <w:bCs/>
                <w:sz w:val="18"/>
                <w:szCs w:val="18"/>
              </w:rPr>
              <w:t>Administrative Support</w:t>
            </w:r>
          </w:p>
        </w:tc>
        <w:tc>
          <w:tcPr>
            <w:tcW w:w="904" w:type="pct"/>
            <w:gridSpan w:val="2"/>
            <w:vMerge/>
            <w:hideMark/>
          </w:tcPr>
          <w:p w14:paraId="199A465A" w14:textId="77777777" w:rsidR="0001781A" w:rsidRPr="000973F2" w:rsidRDefault="0001781A" w:rsidP="003F4AFF">
            <w:pPr>
              <w:spacing w:before="40" w:after="4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18"/>
                <w:szCs w:val="18"/>
              </w:rPr>
            </w:pPr>
          </w:p>
        </w:tc>
      </w:tr>
      <w:tr w:rsidR="0001781A" w:rsidRPr="000973F2" w14:paraId="2DB1112C" w14:textId="77777777" w:rsidTr="009B7774">
        <w:trPr>
          <w:cantSplit/>
        </w:trPr>
        <w:tc>
          <w:tcPr>
            <w:cnfStyle w:val="001000000000" w:firstRow="0" w:lastRow="0" w:firstColumn="1" w:lastColumn="0" w:oddVBand="0" w:evenVBand="0" w:oddHBand="0" w:evenHBand="0" w:firstRowFirstColumn="0" w:firstRowLastColumn="0" w:lastRowFirstColumn="0" w:lastRowLastColumn="0"/>
            <w:tcW w:w="715" w:type="pct"/>
            <w:vMerge/>
            <w:hideMark/>
          </w:tcPr>
          <w:p w14:paraId="116045D5" w14:textId="77777777" w:rsidR="0001781A" w:rsidRPr="000973F2" w:rsidRDefault="0001781A" w:rsidP="003F4AFF">
            <w:pPr>
              <w:spacing w:before="40" w:after="40"/>
              <w:rPr>
                <w:rFonts w:ascii="Times New Roman" w:eastAsia="Times New Roman" w:hAnsi="Times New Roman" w:cs="Times New Roman"/>
                <w:b/>
                <w:bCs w:val="0"/>
                <w:sz w:val="18"/>
                <w:szCs w:val="18"/>
              </w:rPr>
            </w:pPr>
          </w:p>
        </w:tc>
        <w:tc>
          <w:tcPr>
            <w:tcW w:w="850" w:type="pct"/>
            <w:gridSpan w:val="2"/>
            <w:noWrap/>
            <w:hideMark/>
          </w:tcPr>
          <w:p w14:paraId="3563A91D" w14:textId="77777777" w:rsidR="0001781A" w:rsidRPr="000973F2" w:rsidRDefault="0001781A" w:rsidP="003F4AFF">
            <w:pPr>
              <w:spacing w:before="40" w:after="4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sz w:val="18"/>
                <w:szCs w:val="18"/>
              </w:rPr>
            </w:pPr>
            <w:r w:rsidRPr="000973F2">
              <w:rPr>
                <w:rFonts w:ascii="Times New Roman" w:eastAsia="Times New Roman" w:hAnsi="Times New Roman" w:cs="Times New Roman"/>
                <w:b/>
                <w:bCs/>
                <w:sz w:val="18"/>
                <w:szCs w:val="18"/>
              </w:rPr>
              <w:t xml:space="preserve">$112.23 </w:t>
            </w:r>
          </w:p>
        </w:tc>
        <w:tc>
          <w:tcPr>
            <w:tcW w:w="844" w:type="pct"/>
            <w:gridSpan w:val="2"/>
            <w:noWrap/>
            <w:hideMark/>
          </w:tcPr>
          <w:p w14:paraId="4B5B81DF" w14:textId="77777777" w:rsidR="0001781A" w:rsidRPr="000973F2" w:rsidRDefault="0001781A" w:rsidP="003F4AFF">
            <w:pPr>
              <w:spacing w:before="40" w:after="4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sz w:val="18"/>
                <w:szCs w:val="18"/>
              </w:rPr>
            </w:pPr>
            <w:r w:rsidRPr="000973F2">
              <w:rPr>
                <w:rFonts w:ascii="Times New Roman" w:eastAsia="Times New Roman" w:hAnsi="Times New Roman" w:cs="Times New Roman"/>
                <w:b/>
                <w:bCs/>
                <w:sz w:val="18"/>
                <w:szCs w:val="18"/>
              </w:rPr>
              <w:t xml:space="preserve">$87.45 </w:t>
            </w:r>
          </w:p>
        </w:tc>
        <w:tc>
          <w:tcPr>
            <w:tcW w:w="844" w:type="pct"/>
            <w:gridSpan w:val="2"/>
            <w:noWrap/>
            <w:hideMark/>
          </w:tcPr>
          <w:p w14:paraId="109214AB" w14:textId="77777777" w:rsidR="0001781A" w:rsidRPr="000973F2" w:rsidRDefault="0001781A" w:rsidP="003F4AFF">
            <w:pPr>
              <w:spacing w:before="40" w:after="4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sz w:val="18"/>
                <w:szCs w:val="18"/>
              </w:rPr>
            </w:pPr>
            <w:r w:rsidRPr="000973F2">
              <w:rPr>
                <w:rFonts w:ascii="Times New Roman" w:eastAsia="Times New Roman" w:hAnsi="Times New Roman" w:cs="Times New Roman"/>
                <w:b/>
                <w:bCs/>
                <w:sz w:val="18"/>
                <w:szCs w:val="18"/>
              </w:rPr>
              <w:t xml:space="preserve">$71.45 </w:t>
            </w:r>
          </w:p>
        </w:tc>
        <w:tc>
          <w:tcPr>
            <w:tcW w:w="844" w:type="pct"/>
            <w:gridSpan w:val="2"/>
            <w:noWrap/>
            <w:hideMark/>
          </w:tcPr>
          <w:p w14:paraId="4F2F90A1" w14:textId="77777777" w:rsidR="0001781A" w:rsidRPr="000973F2" w:rsidRDefault="0001781A" w:rsidP="003F4AFF">
            <w:pPr>
              <w:spacing w:before="40" w:after="4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sz w:val="18"/>
                <w:szCs w:val="18"/>
              </w:rPr>
            </w:pPr>
            <w:r w:rsidRPr="000973F2">
              <w:rPr>
                <w:rFonts w:ascii="Times New Roman" w:eastAsia="Times New Roman" w:hAnsi="Times New Roman" w:cs="Times New Roman"/>
                <w:b/>
                <w:bCs/>
                <w:sz w:val="18"/>
                <w:szCs w:val="18"/>
              </w:rPr>
              <w:t xml:space="preserve">$36.28 </w:t>
            </w:r>
          </w:p>
        </w:tc>
        <w:tc>
          <w:tcPr>
            <w:tcW w:w="904" w:type="pct"/>
            <w:gridSpan w:val="2"/>
            <w:vMerge/>
            <w:hideMark/>
          </w:tcPr>
          <w:p w14:paraId="6ECC4647" w14:textId="77777777" w:rsidR="0001781A" w:rsidRPr="000973F2" w:rsidRDefault="0001781A" w:rsidP="003F4AFF">
            <w:pPr>
              <w:spacing w:before="40" w:after="4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sz w:val="18"/>
                <w:szCs w:val="18"/>
              </w:rPr>
            </w:pPr>
          </w:p>
        </w:tc>
      </w:tr>
      <w:tr w:rsidR="0001781A" w:rsidRPr="000973F2" w14:paraId="636D1BC1" w14:textId="77777777" w:rsidTr="009B7774">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715" w:type="pct"/>
            <w:vMerge/>
            <w:hideMark/>
          </w:tcPr>
          <w:p w14:paraId="7CEC96BA" w14:textId="77777777" w:rsidR="0001781A" w:rsidRPr="000973F2" w:rsidRDefault="0001781A" w:rsidP="003F4AFF">
            <w:pPr>
              <w:spacing w:before="40" w:after="40"/>
              <w:rPr>
                <w:rFonts w:ascii="Times New Roman" w:eastAsia="Times New Roman" w:hAnsi="Times New Roman" w:cs="Times New Roman"/>
                <w:b/>
                <w:bCs w:val="0"/>
                <w:sz w:val="18"/>
                <w:szCs w:val="18"/>
              </w:rPr>
            </w:pPr>
          </w:p>
        </w:tc>
        <w:tc>
          <w:tcPr>
            <w:tcW w:w="422" w:type="pct"/>
            <w:tcMar>
              <w:left w:w="14" w:type="dxa"/>
              <w:right w:w="14" w:type="dxa"/>
            </w:tcMar>
            <w:hideMark/>
          </w:tcPr>
          <w:p w14:paraId="35975B80" w14:textId="0E157CC8" w:rsidR="0001781A" w:rsidRPr="000973F2" w:rsidRDefault="0001781A" w:rsidP="003F4AFF">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18"/>
                <w:szCs w:val="18"/>
              </w:rPr>
            </w:pPr>
            <w:r w:rsidRPr="000973F2">
              <w:rPr>
                <w:rFonts w:ascii="Times New Roman" w:eastAsia="Times New Roman" w:hAnsi="Times New Roman" w:cs="Times New Roman"/>
                <w:b/>
                <w:bCs/>
                <w:sz w:val="18"/>
                <w:szCs w:val="18"/>
              </w:rPr>
              <w:t>Initial Year Hours</w:t>
            </w:r>
          </w:p>
        </w:tc>
        <w:tc>
          <w:tcPr>
            <w:tcW w:w="428" w:type="pct"/>
            <w:tcMar>
              <w:left w:w="14" w:type="dxa"/>
              <w:right w:w="14" w:type="dxa"/>
            </w:tcMar>
            <w:hideMark/>
          </w:tcPr>
          <w:p w14:paraId="6DFAD5E3" w14:textId="6960C7DD" w:rsidR="0001781A" w:rsidRPr="000973F2" w:rsidRDefault="0001781A" w:rsidP="003F4AFF">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18"/>
                <w:szCs w:val="18"/>
              </w:rPr>
            </w:pPr>
            <w:r w:rsidRPr="000973F2">
              <w:rPr>
                <w:rFonts w:ascii="Times New Roman" w:eastAsia="Times New Roman" w:hAnsi="Times New Roman" w:cs="Times New Roman"/>
                <w:b/>
                <w:bCs/>
                <w:sz w:val="18"/>
                <w:szCs w:val="18"/>
              </w:rPr>
              <w:t>Subseq. Year Hours</w:t>
            </w:r>
          </w:p>
        </w:tc>
        <w:tc>
          <w:tcPr>
            <w:tcW w:w="422" w:type="pct"/>
            <w:tcMar>
              <w:left w:w="14" w:type="dxa"/>
              <w:right w:w="14" w:type="dxa"/>
            </w:tcMar>
            <w:hideMark/>
          </w:tcPr>
          <w:p w14:paraId="681998E8" w14:textId="40E066DE" w:rsidR="0001781A" w:rsidRPr="000973F2" w:rsidRDefault="0001781A" w:rsidP="003F4AFF">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18"/>
                <w:szCs w:val="18"/>
              </w:rPr>
            </w:pPr>
            <w:r w:rsidRPr="000973F2">
              <w:rPr>
                <w:rFonts w:ascii="Times New Roman" w:eastAsia="Times New Roman" w:hAnsi="Times New Roman" w:cs="Times New Roman"/>
                <w:b/>
                <w:bCs/>
                <w:sz w:val="18"/>
                <w:szCs w:val="18"/>
              </w:rPr>
              <w:t>Initial Year Hours</w:t>
            </w:r>
          </w:p>
        </w:tc>
        <w:tc>
          <w:tcPr>
            <w:tcW w:w="422" w:type="pct"/>
            <w:tcMar>
              <w:left w:w="14" w:type="dxa"/>
              <w:right w:w="14" w:type="dxa"/>
            </w:tcMar>
            <w:hideMark/>
          </w:tcPr>
          <w:p w14:paraId="18303D45" w14:textId="7BD7169B" w:rsidR="0001781A" w:rsidRPr="000973F2" w:rsidRDefault="0001781A" w:rsidP="003F4AFF">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18"/>
                <w:szCs w:val="18"/>
              </w:rPr>
            </w:pPr>
            <w:r w:rsidRPr="000973F2">
              <w:rPr>
                <w:rFonts w:ascii="Times New Roman" w:eastAsia="Times New Roman" w:hAnsi="Times New Roman" w:cs="Times New Roman"/>
                <w:b/>
                <w:bCs/>
                <w:sz w:val="18"/>
                <w:szCs w:val="18"/>
              </w:rPr>
              <w:t>Subseq. Year Hours</w:t>
            </w:r>
          </w:p>
        </w:tc>
        <w:tc>
          <w:tcPr>
            <w:tcW w:w="422" w:type="pct"/>
            <w:tcMar>
              <w:left w:w="14" w:type="dxa"/>
              <w:right w:w="14" w:type="dxa"/>
            </w:tcMar>
            <w:hideMark/>
          </w:tcPr>
          <w:p w14:paraId="7DCAF74F" w14:textId="058B2ED9" w:rsidR="0001781A" w:rsidRPr="000973F2" w:rsidRDefault="0001781A" w:rsidP="003F4AFF">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18"/>
                <w:szCs w:val="18"/>
              </w:rPr>
            </w:pPr>
            <w:r w:rsidRPr="000973F2">
              <w:rPr>
                <w:rFonts w:ascii="Times New Roman" w:eastAsia="Times New Roman" w:hAnsi="Times New Roman" w:cs="Times New Roman"/>
                <w:b/>
                <w:bCs/>
                <w:sz w:val="18"/>
                <w:szCs w:val="18"/>
              </w:rPr>
              <w:t>Initial Year Hours</w:t>
            </w:r>
          </w:p>
        </w:tc>
        <w:tc>
          <w:tcPr>
            <w:tcW w:w="422" w:type="pct"/>
            <w:tcMar>
              <w:left w:w="14" w:type="dxa"/>
              <w:right w:w="14" w:type="dxa"/>
            </w:tcMar>
            <w:hideMark/>
          </w:tcPr>
          <w:p w14:paraId="07BBC7BC" w14:textId="4790FC18" w:rsidR="0001781A" w:rsidRPr="000973F2" w:rsidRDefault="0001781A" w:rsidP="003F4AFF">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18"/>
                <w:szCs w:val="18"/>
              </w:rPr>
            </w:pPr>
            <w:r w:rsidRPr="000973F2">
              <w:rPr>
                <w:rFonts w:ascii="Times New Roman" w:eastAsia="Times New Roman" w:hAnsi="Times New Roman" w:cs="Times New Roman"/>
                <w:b/>
                <w:bCs/>
                <w:sz w:val="18"/>
                <w:szCs w:val="18"/>
              </w:rPr>
              <w:t>Subseq. Year Hours</w:t>
            </w:r>
          </w:p>
        </w:tc>
        <w:tc>
          <w:tcPr>
            <w:tcW w:w="422" w:type="pct"/>
            <w:tcMar>
              <w:left w:w="14" w:type="dxa"/>
              <w:right w:w="14" w:type="dxa"/>
            </w:tcMar>
            <w:hideMark/>
          </w:tcPr>
          <w:p w14:paraId="3A409F88" w14:textId="20240694" w:rsidR="0001781A" w:rsidRPr="000973F2" w:rsidRDefault="0001781A" w:rsidP="003F4AFF">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18"/>
                <w:szCs w:val="18"/>
              </w:rPr>
            </w:pPr>
            <w:r w:rsidRPr="000973F2">
              <w:rPr>
                <w:rFonts w:ascii="Times New Roman" w:eastAsia="Times New Roman" w:hAnsi="Times New Roman" w:cs="Times New Roman"/>
                <w:b/>
                <w:bCs/>
                <w:sz w:val="18"/>
                <w:szCs w:val="18"/>
              </w:rPr>
              <w:t>Initial Year Hours</w:t>
            </w:r>
          </w:p>
        </w:tc>
        <w:tc>
          <w:tcPr>
            <w:tcW w:w="422" w:type="pct"/>
            <w:tcMar>
              <w:left w:w="14" w:type="dxa"/>
              <w:right w:w="14" w:type="dxa"/>
            </w:tcMar>
            <w:hideMark/>
          </w:tcPr>
          <w:p w14:paraId="744A73C0" w14:textId="211D17C9" w:rsidR="0001781A" w:rsidRPr="000973F2" w:rsidRDefault="0001781A" w:rsidP="003F4AFF">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18"/>
                <w:szCs w:val="18"/>
              </w:rPr>
            </w:pPr>
            <w:r w:rsidRPr="000973F2">
              <w:rPr>
                <w:rFonts w:ascii="Times New Roman" w:eastAsia="Times New Roman" w:hAnsi="Times New Roman" w:cs="Times New Roman"/>
                <w:b/>
                <w:bCs/>
                <w:sz w:val="18"/>
                <w:szCs w:val="18"/>
              </w:rPr>
              <w:t>Subseq. Year Hours</w:t>
            </w:r>
          </w:p>
        </w:tc>
        <w:tc>
          <w:tcPr>
            <w:tcW w:w="454" w:type="pct"/>
            <w:tcMar>
              <w:left w:w="14" w:type="dxa"/>
              <w:right w:w="14" w:type="dxa"/>
            </w:tcMar>
            <w:hideMark/>
          </w:tcPr>
          <w:p w14:paraId="674787DB" w14:textId="77777777" w:rsidR="0001781A" w:rsidRPr="000973F2" w:rsidRDefault="0001781A" w:rsidP="003F4AFF">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18"/>
                <w:szCs w:val="18"/>
              </w:rPr>
            </w:pPr>
            <w:r w:rsidRPr="000973F2">
              <w:rPr>
                <w:rFonts w:ascii="Times New Roman" w:eastAsia="Times New Roman" w:hAnsi="Times New Roman" w:cs="Times New Roman"/>
                <w:b/>
                <w:bCs/>
                <w:sz w:val="18"/>
                <w:szCs w:val="18"/>
              </w:rPr>
              <w:t>Initial Year</w:t>
            </w:r>
          </w:p>
        </w:tc>
        <w:tc>
          <w:tcPr>
            <w:tcW w:w="450" w:type="pct"/>
            <w:tcMar>
              <w:left w:w="14" w:type="dxa"/>
              <w:right w:w="14" w:type="dxa"/>
            </w:tcMar>
            <w:hideMark/>
          </w:tcPr>
          <w:p w14:paraId="3E33C72F" w14:textId="77777777" w:rsidR="0001781A" w:rsidRPr="000973F2" w:rsidRDefault="0001781A" w:rsidP="003F4AFF">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18"/>
                <w:szCs w:val="18"/>
              </w:rPr>
            </w:pPr>
            <w:r w:rsidRPr="000973F2">
              <w:rPr>
                <w:rFonts w:ascii="Times New Roman" w:eastAsia="Times New Roman" w:hAnsi="Times New Roman" w:cs="Times New Roman"/>
                <w:b/>
                <w:bCs/>
                <w:sz w:val="18"/>
                <w:szCs w:val="18"/>
              </w:rPr>
              <w:t>Subseq. Year</w:t>
            </w:r>
          </w:p>
        </w:tc>
      </w:tr>
      <w:tr w:rsidR="009B7774" w:rsidRPr="000973F2" w14:paraId="2DDD5E12" w14:textId="77777777" w:rsidTr="009B7774">
        <w:trPr>
          <w:cantSplit/>
        </w:trPr>
        <w:tc>
          <w:tcPr>
            <w:cnfStyle w:val="001000000000" w:firstRow="0" w:lastRow="0" w:firstColumn="1" w:lastColumn="0" w:oddVBand="0" w:evenVBand="0" w:oddHBand="0" w:evenHBand="0" w:firstRowFirstColumn="0" w:firstRowLastColumn="0" w:lastRowFirstColumn="0" w:lastRowLastColumn="0"/>
            <w:tcW w:w="715" w:type="pct"/>
            <w:tcMar>
              <w:right w:w="14" w:type="dxa"/>
            </w:tcMar>
            <w:hideMark/>
          </w:tcPr>
          <w:p w14:paraId="6BCEB877" w14:textId="77777777" w:rsidR="009B7774" w:rsidRPr="000973F2" w:rsidRDefault="009B7774" w:rsidP="009B7774">
            <w:pPr>
              <w:spacing w:before="40" w:after="4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Planning</w:t>
            </w:r>
          </w:p>
        </w:tc>
        <w:tc>
          <w:tcPr>
            <w:tcW w:w="422" w:type="pct"/>
            <w:noWrap/>
            <w:hideMark/>
          </w:tcPr>
          <w:p w14:paraId="7487A902" w14:textId="06DDA460" w:rsidR="009B7774" w:rsidRPr="000973F2" w:rsidRDefault="009B7774" w:rsidP="009B7774">
            <w:pPr>
              <w:spacing w:before="40" w:after="4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w:t>
            </w:r>
          </w:p>
        </w:tc>
        <w:tc>
          <w:tcPr>
            <w:tcW w:w="428" w:type="pct"/>
            <w:noWrap/>
            <w:hideMark/>
          </w:tcPr>
          <w:p w14:paraId="136BB4A1" w14:textId="4A0E9100" w:rsidR="009B7774" w:rsidRPr="000973F2" w:rsidRDefault="009B7774" w:rsidP="009B7774">
            <w:pPr>
              <w:spacing w:before="40" w:after="4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w:t>
            </w:r>
          </w:p>
        </w:tc>
        <w:tc>
          <w:tcPr>
            <w:tcW w:w="422" w:type="pct"/>
            <w:noWrap/>
            <w:hideMark/>
          </w:tcPr>
          <w:p w14:paraId="25FD448E" w14:textId="23DA8C33" w:rsidR="009B7774" w:rsidRPr="000973F2" w:rsidRDefault="009B7774" w:rsidP="009B7774">
            <w:pPr>
              <w:spacing w:before="40" w:after="4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w:t>
            </w:r>
          </w:p>
        </w:tc>
        <w:tc>
          <w:tcPr>
            <w:tcW w:w="422" w:type="pct"/>
            <w:noWrap/>
            <w:hideMark/>
          </w:tcPr>
          <w:p w14:paraId="003BBAAE" w14:textId="75904FC9" w:rsidR="009B7774" w:rsidRPr="000973F2" w:rsidRDefault="009B7774" w:rsidP="009B7774">
            <w:pPr>
              <w:spacing w:before="40" w:after="4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w:t>
            </w:r>
          </w:p>
        </w:tc>
        <w:tc>
          <w:tcPr>
            <w:tcW w:w="422" w:type="pct"/>
            <w:noWrap/>
            <w:hideMark/>
          </w:tcPr>
          <w:p w14:paraId="0E755671" w14:textId="47D0D67E" w:rsidR="009B7774" w:rsidRPr="000973F2" w:rsidRDefault="009B7774" w:rsidP="009B7774">
            <w:pPr>
              <w:tabs>
                <w:tab w:val="decimal" w:pos="249"/>
              </w:tabs>
              <w:spacing w:before="40" w:after="4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w:t>
            </w:r>
          </w:p>
        </w:tc>
        <w:tc>
          <w:tcPr>
            <w:tcW w:w="422" w:type="pct"/>
            <w:noWrap/>
            <w:hideMark/>
          </w:tcPr>
          <w:p w14:paraId="4681ED7E" w14:textId="67A1AE4F" w:rsidR="009B7774" w:rsidRPr="000973F2" w:rsidRDefault="009B7774" w:rsidP="009B7774">
            <w:pPr>
              <w:tabs>
                <w:tab w:val="decimal" w:pos="249"/>
              </w:tabs>
              <w:spacing w:before="40" w:after="4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w:t>
            </w:r>
          </w:p>
        </w:tc>
        <w:tc>
          <w:tcPr>
            <w:tcW w:w="422" w:type="pct"/>
            <w:noWrap/>
            <w:hideMark/>
          </w:tcPr>
          <w:p w14:paraId="0180C4B7" w14:textId="6029397A" w:rsidR="009B7774" w:rsidRPr="000973F2" w:rsidRDefault="009B7774" w:rsidP="009B7774">
            <w:pPr>
              <w:spacing w:before="40" w:after="4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w:t>
            </w:r>
          </w:p>
        </w:tc>
        <w:tc>
          <w:tcPr>
            <w:tcW w:w="422" w:type="pct"/>
            <w:noWrap/>
            <w:hideMark/>
          </w:tcPr>
          <w:p w14:paraId="4407402D" w14:textId="3E3F06AB" w:rsidR="009B7774" w:rsidRPr="000973F2" w:rsidRDefault="009B7774" w:rsidP="009B7774">
            <w:pPr>
              <w:spacing w:before="40" w:after="4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w:t>
            </w:r>
          </w:p>
        </w:tc>
        <w:tc>
          <w:tcPr>
            <w:tcW w:w="454" w:type="pct"/>
            <w:noWrap/>
            <w:hideMark/>
          </w:tcPr>
          <w:p w14:paraId="6535D1D1" w14:textId="54A9D087" w:rsidR="009B7774" w:rsidRPr="000973F2" w:rsidRDefault="009B7774" w:rsidP="009B7774">
            <w:pPr>
              <w:tabs>
                <w:tab w:val="decimal" w:pos="457"/>
              </w:tabs>
              <w:spacing w:before="40" w:after="4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w:t>
            </w:r>
          </w:p>
        </w:tc>
        <w:tc>
          <w:tcPr>
            <w:tcW w:w="450" w:type="pct"/>
            <w:noWrap/>
            <w:hideMark/>
          </w:tcPr>
          <w:p w14:paraId="5CBF3191" w14:textId="07624BC8" w:rsidR="009B7774" w:rsidRPr="000973F2" w:rsidRDefault="009B7774" w:rsidP="009B7774">
            <w:pPr>
              <w:tabs>
                <w:tab w:val="decimal" w:pos="457"/>
              </w:tabs>
              <w:spacing w:before="40" w:after="4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w:t>
            </w:r>
          </w:p>
        </w:tc>
      </w:tr>
      <w:tr w:rsidR="009B7774" w:rsidRPr="000973F2" w14:paraId="19278F0C" w14:textId="77777777" w:rsidTr="009B7774">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715" w:type="pct"/>
            <w:tcMar>
              <w:right w:w="14" w:type="dxa"/>
            </w:tcMar>
            <w:hideMark/>
          </w:tcPr>
          <w:p w14:paraId="206E9C94" w14:textId="77777777" w:rsidR="009B7774" w:rsidRPr="000973F2" w:rsidRDefault="009B7774" w:rsidP="009B7774">
            <w:pPr>
              <w:spacing w:before="40" w:after="4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QA/QC</w:t>
            </w:r>
          </w:p>
        </w:tc>
        <w:tc>
          <w:tcPr>
            <w:tcW w:w="422" w:type="pct"/>
            <w:noWrap/>
            <w:hideMark/>
          </w:tcPr>
          <w:p w14:paraId="4E798A8B" w14:textId="5C7A02EA" w:rsidR="009B7774" w:rsidRPr="000973F2" w:rsidRDefault="009B7774" w:rsidP="009B7774">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w:t>
            </w:r>
          </w:p>
        </w:tc>
        <w:tc>
          <w:tcPr>
            <w:tcW w:w="428" w:type="pct"/>
            <w:noWrap/>
            <w:hideMark/>
          </w:tcPr>
          <w:p w14:paraId="27C4D9DA" w14:textId="6CFDB29A" w:rsidR="009B7774" w:rsidRPr="000973F2" w:rsidRDefault="009B7774" w:rsidP="009B7774">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w:t>
            </w:r>
          </w:p>
        </w:tc>
        <w:tc>
          <w:tcPr>
            <w:tcW w:w="422" w:type="pct"/>
            <w:noWrap/>
            <w:hideMark/>
          </w:tcPr>
          <w:p w14:paraId="45E6547D" w14:textId="6B4C7255" w:rsidR="009B7774" w:rsidRPr="000973F2" w:rsidRDefault="009B7774" w:rsidP="009B7774">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w:t>
            </w:r>
          </w:p>
        </w:tc>
        <w:tc>
          <w:tcPr>
            <w:tcW w:w="422" w:type="pct"/>
            <w:noWrap/>
            <w:hideMark/>
          </w:tcPr>
          <w:p w14:paraId="30442683" w14:textId="262C3239" w:rsidR="009B7774" w:rsidRPr="000973F2" w:rsidRDefault="009B7774" w:rsidP="009B7774">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w:t>
            </w:r>
          </w:p>
        </w:tc>
        <w:tc>
          <w:tcPr>
            <w:tcW w:w="422" w:type="pct"/>
            <w:noWrap/>
            <w:hideMark/>
          </w:tcPr>
          <w:p w14:paraId="41864708" w14:textId="67B67E72" w:rsidR="009B7774" w:rsidRPr="000973F2" w:rsidRDefault="009B7774" w:rsidP="009B7774">
            <w:pPr>
              <w:tabs>
                <w:tab w:val="decimal" w:pos="249"/>
              </w:tabs>
              <w:spacing w:before="40" w:after="4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w:t>
            </w:r>
          </w:p>
        </w:tc>
        <w:tc>
          <w:tcPr>
            <w:tcW w:w="422" w:type="pct"/>
            <w:noWrap/>
            <w:hideMark/>
          </w:tcPr>
          <w:p w14:paraId="575FD6C5" w14:textId="30104F36" w:rsidR="009B7774" w:rsidRPr="000973F2" w:rsidRDefault="009B7774" w:rsidP="009B7774">
            <w:pPr>
              <w:tabs>
                <w:tab w:val="decimal" w:pos="249"/>
              </w:tabs>
              <w:spacing w:before="40" w:after="4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w:t>
            </w:r>
          </w:p>
        </w:tc>
        <w:tc>
          <w:tcPr>
            <w:tcW w:w="422" w:type="pct"/>
            <w:noWrap/>
            <w:hideMark/>
          </w:tcPr>
          <w:p w14:paraId="12BF2DBE" w14:textId="0F985B41" w:rsidR="009B7774" w:rsidRPr="000973F2" w:rsidRDefault="009B7774" w:rsidP="009B7774">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w:t>
            </w:r>
          </w:p>
        </w:tc>
        <w:tc>
          <w:tcPr>
            <w:tcW w:w="422" w:type="pct"/>
            <w:noWrap/>
            <w:hideMark/>
          </w:tcPr>
          <w:p w14:paraId="4B4A9442" w14:textId="0D452E7A" w:rsidR="009B7774" w:rsidRPr="000973F2" w:rsidRDefault="009B7774" w:rsidP="009B7774">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w:t>
            </w:r>
          </w:p>
        </w:tc>
        <w:tc>
          <w:tcPr>
            <w:tcW w:w="454" w:type="pct"/>
            <w:noWrap/>
            <w:hideMark/>
          </w:tcPr>
          <w:p w14:paraId="072697B3" w14:textId="69C124BC" w:rsidR="009B7774" w:rsidRPr="000973F2" w:rsidRDefault="009B7774" w:rsidP="009B7774">
            <w:pPr>
              <w:tabs>
                <w:tab w:val="decimal" w:pos="457"/>
              </w:tabs>
              <w:spacing w:before="40" w:after="4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w:t>
            </w:r>
          </w:p>
        </w:tc>
        <w:tc>
          <w:tcPr>
            <w:tcW w:w="450" w:type="pct"/>
            <w:noWrap/>
            <w:hideMark/>
          </w:tcPr>
          <w:p w14:paraId="6E965AD5" w14:textId="211C4F3C" w:rsidR="009B7774" w:rsidRPr="000973F2" w:rsidRDefault="009B7774" w:rsidP="009B7774">
            <w:pPr>
              <w:tabs>
                <w:tab w:val="decimal" w:pos="457"/>
              </w:tabs>
              <w:spacing w:before="40" w:after="4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w:t>
            </w:r>
          </w:p>
        </w:tc>
      </w:tr>
      <w:tr w:rsidR="009B7774" w:rsidRPr="000973F2" w14:paraId="2E85D91F" w14:textId="77777777" w:rsidTr="009B7774">
        <w:trPr>
          <w:cantSplit/>
        </w:trPr>
        <w:tc>
          <w:tcPr>
            <w:cnfStyle w:val="001000000000" w:firstRow="0" w:lastRow="0" w:firstColumn="1" w:lastColumn="0" w:oddVBand="0" w:evenVBand="0" w:oddHBand="0" w:evenHBand="0" w:firstRowFirstColumn="0" w:firstRowLastColumn="0" w:lastRowFirstColumn="0" w:lastRowLastColumn="0"/>
            <w:tcW w:w="715" w:type="pct"/>
            <w:tcMar>
              <w:right w:w="14" w:type="dxa"/>
            </w:tcMar>
            <w:hideMark/>
          </w:tcPr>
          <w:p w14:paraId="1DA787F8" w14:textId="77777777" w:rsidR="009B7774" w:rsidRPr="000973F2" w:rsidRDefault="009B7774" w:rsidP="009B7774">
            <w:pPr>
              <w:spacing w:before="40" w:after="4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Recordkeeping</w:t>
            </w:r>
          </w:p>
        </w:tc>
        <w:tc>
          <w:tcPr>
            <w:tcW w:w="422" w:type="pct"/>
            <w:noWrap/>
            <w:hideMark/>
          </w:tcPr>
          <w:p w14:paraId="3F17E8F2" w14:textId="4A4E3430" w:rsidR="009B7774" w:rsidRPr="000973F2" w:rsidRDefault="009B7774" w:rsidP="009B7774">
            <w:pPr>
              <w:spacing w:before="40" w:after="4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w:t>
            </w:r>
          </w:p>
        </w:tc>
        <w:tc>
          <w:tcPr>
            <w:tcW w:w="428" w:type="pct"/>
            <w:noWrap/>
            <w:hideMark/>
          </w:tcPr>
          <w:p w14:paraId="13505A11" w14:textId="7DFA5DFB" w:rsidR="009B7774" w:rsidRPr="000973F2" w:rsidRDefault="009B7774" w:rsidP="009B7774">
            <w:pPr>
              <w:spacing w:before="40" w:after="4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w:t>
            </w:r>
          </w:p>
        </w:tc>
        <w:tc>
          <w:tcPr>
            <w:tcW w:w="422" w:type="pct"/>
            <w:noWrap/>
            <w:hideMark/>
          </w:tcPr>
          <w:p w14:paraId="0C9C02F7" w14:textId="024286D5" w:rsidR="009B7774" w:rsidRPr="000973F2" w:rsidRDefault="009B7774" w:rsidP="009B7774">
            <w:pPr>
              <w:spacing w:before="40" w:after="4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w:t>
            </w:r>
          </w:p>
        </w:tc>
        <w:tc>
          <w:tcPr>
            <w:tcW w:w="422" w:type="pct"/>
            <w:noWrap/>
            <w:hideMark/>
          </w:tcPr>
          <w:p w14:paraId="582A6777" w14:textId="02EFA9FB" w:rsidR="009B7774" w:rsidRPr="000973F2" w:rsidRDefault="009B7774" w:rsidP="009B7774">
            <w:pPr>
              <w:spacing w:before="40" w:after="4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w:t>
            </w:r>
          </w:p>
        </w:tc>
        <w:tc>
          <w:tcPr>
            <w:tcW w:w="422" w:type="pct"/>
            <w:noWrap/>
            <w:hideMark/>
          </w:tcPr>
          <w:p w14:paraId="6DD020BC" w14:textId="138B3B99" w:rsidR="009B7774" w:rsidRPr="000973F2" w:rsidRDefault="009B7774" w:rsidP="009B7774">
            <w:pPr>
              <w:tabs>
                <w:tab w:val="decimal" w:pos="249"/>
              </w:tabs>
              <w:spacing w:before="40" w:after="4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w:t>
            </w:r>
          </w:p>
        </w:tc>
        <w:tc>
          <w:tcPr>
            <w:tcW w:w="422" w:type="pct"/>
            <w:noWrap/>
            <w:hideMark/>
          </w:tcPr>
          <w:p w14:paraId="6484CAB3" w14:textId="459B2E6F" w:rsidR="009B7774" w:rsidRPr="000973F2" w:rsidRDefault="009B7774" w:rsidP="009B7774">
            <w:pPr>
              <w:tabs>
                <w:tab w:val="decimal" w:pos="249"/>
              </w:tabs>
              <w:spacing w:before="40" w:after="4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w:t>
            </w:r>
          </w:p>
        </w:tc>
        <w:tc>
          <w:tcPr>
            <w:tcW w:w="422" w:type="pct"/>
            <w:noWrap/>
            <w:hideMark/>
          </w:tcPr>
          <w:p w14:paraId="55611F59" w14:textId="650E0C90" w:rsidR="009B7774" w:rsidRPr="000973F2" w:rsidRDefault="009B7774" w:rsidP="009B7774">
            <w:pPr>
              <w:spacing w:before="40" w:after="4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w:t>
            </w:r>
          </w:p>
        </w:tc>
        <w:tc>
          <w:tcPr>
            <w:tcW w:w="422" w:type="pct"/>
            <w:noWrap/>
            <w:hideMark/>
          </w:tcPr>
          <w:p w14:paraId="09FC8FDF" w14:textId="5EBC335E" w:rsidR="009B7774" w:rsidRPr="000973F2" w:rsidRDefault="009B7774" w:rsidP="009B7774">
            <w:pPr>
              <w:spacing w:before="40" w:after="4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w:t>
            </w:r>
          </w:p>
        </w:tc>
        <w:tc>
          <w:tcPr>
            <w:tcW w:w="454" w:type="pct"/>
            <w:noWrap/>
            <w:hideMark/>
          </w:tcPr>
          <w:p w14:paraId="39281F20" w14:textId="0D4734AE" w:rsidR="009B7774" w:rsidRPr="000973F2" w:rsidRDefault="009B7774" w:rsidP="009B7774">
            <w:pPr>
              <w:tabs>
                <w:tab w:val="decimal" w:pos="457"/>
              </w:tabs>
              <w:spacing w:before="40" w:after="4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w:t>
            </w:r>
          </w:p>
        </w:tc>
        <w:tc>
          <w:tcPr>
            <w:tcW w:w="450" w:type="pct"/>
            <w:noWrap/>
            <w:hideMark/>
          </w:tcPr>
          <w:p w14:paraId="533EE28B" w14:textId="01A05989" w:rsidR="009B7774" w:rsidRPr="000973F2" w:rsidRDefault="009B7774" w:rsidP="009B7774">
            <w:pPr>
              <w:tabs>
                <w:tab w:val="decimal" w:pos="457"/>
              </w:tabs>
              <w:spacing w:before="40" w:after="4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w:t>
            </w:r>
          </w:p>
        </w:tc>
      </w:tr>
      <w:tr w:rsidR="009B7774" w:rsidRPr="000973F2" w14:paraId="276FB31C" w14:textId="77777777" w:rsidTr="009B7774">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715" w:type="pct"/>
            <w:tcMar>
              <w:right w:w="14" w:type="dxa"/>
            </w:tcMar>
            <w:hideMark/>
          </w:tcPr>
          <w:p w14:paraId="5FE73FF2" w14:textId="77777777" w:rsidR="009B7774" w:rsidRPr="000973F2" w:rsidRDefault="009B7774" w:rsidP="009B7774">
            <w:pPr>
              <w:spacing w:before="40" w:after="4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Sampling and Analysis (Calculations)</w:t>
            </w:r>
          </w:p>
        </w:tc>
        <w:tc>
          <w:tcPr>
            <w:tcW w:w="422" w:type="pct"/>
            <w:noWrap/>
            <w:hideMark/>
          </w:tcPr>
          <w:p w14:paraId="458CFDE8" w14:textId="4893C7ED" w:rsidR="009B7774" w:rsidRPr="000973F2" w:rsidRDefault="009B7774" w:rsidP="009B7774">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6"/>
                <w:szCs w:val="16"/>
              </w:rPr>
              <w:t>0</w:t>
            </w:r>
          </w:p>
        </w:tc>
        <w:tc>
          <w:tcPr>
            <w:tcW w:w="428" w:type="pct"/>
            <w:noWrap/>
            <w:hideMark/>
          </w:tcPr>
          <w:p w14:paraId="4CF582B3" w14:textId="38D90CFB" w:rsidR="009B7774" w:rsidRPr="000973F2" w:rsidRDefault="009B7774" w:rsidP="009B7774">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6"/>
                <w:szCs w:val="16"/>
              </w:rPr>
              <w:t>0</w:t>
            </w:r>
          </w:p>
        </w:tc>
        <w:tc>
          <w:tcPr>
            <w:tcW w:w="422" w:type="pct"/>
            <w:noWrap/>
            <w:hideMark/>
          </w:tcPr>
          <w:p w14:paraId="01A3E991" w14:textId="4CFA6E5F" w:rsidR="009B7774" w:rsidRPr="000973F2" w:rsidRDefault="009B7774" w:rsidP="009B7774">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6"/>
                <w:szCs w:val="16"/>
              </w:rPr>
              <w:t>0</w:t>
            </w:r>
          </w:p>
        </w:tc>
        <w:tc>
          <w:tcPr>
            <w:tcW w:w="422" w:type="pct"/>
            <w:noWrap/>
            <w:hideMark/>
          </w:tcPr>
          <w:p w14:paraId="08441FAB" w14:textId="5E5F3220" w:rsidR="009B7774" w:rsidRPr="000973F2" w:rsidRDefault="009B7774" w:rsidP="009B7774">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6"/>
                <w:szCs w:val="16"/>
              </w:rPr>
              <w:t>0</w:t>
            </w:r>
          </w:p>
        </w:tc>
        <w:tc>
          <w:tcPr>
            <w:tcW w:w="422" w:type="pct"/>
            <w:noWrap/>
            <w:hideMark/>
          </w:tcPr>
          <w:p w14:paraId="387F9B3F" w14:textId="77777777" w:rsidR="009B7774" w:rsidRPr="000973F2" w:rsidRDefault="009B7774" w:rsidP="009B7774">
            <w:pPr>
              <w:tabs>
                <w:tab w:val="decimal" w:pos="249"/>
              </w:tabs>
              <w:spacing w:before="40" w:after="4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6.8</w:t>
            </w:r>
          </w:p>
        </w:tc>
        <w:tc>
          <w:tcPr>
            <w:tcW w:w="422" w:type="pct"/>
            <w:noWrap/>
            <w:hideMark/>
          </w:tcPr>
          <w:p w14:paraId="127380BE" w14:textId="77777777" w:rsidR="009B7774" w:rsidRPr="000973F2" w:rsidRDefault="009B7774" w:rsidP="009B7774">
            <w:pPr>
              <w:tabs>
                <w:tab w:val="decimal" w:pos="249"/>
              </w:tabs>
              <w:spacing w:before="40" w:after="4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6.8</w:t>
            </w:r>
          </w:p>
        </w:tc>
        <w:tc>
          <w:tcPr>
            <w:tcW w:w="422" w:type="pct"/>
            <w:noWrap/>
            <w:hideMark/>
          </w:tcPr>
          <w:p w14:paraId="741EA155" w14:textId="62B72F24" w:rsidR="009B7774" w:rsidRPr="000973F2" w:rsidRDefault="009B7774" w:rsidP="009B7774">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6"/>
                <w:szCs w:val="16"/>
              </w:rPr>
              <w:t>0</w:t>
            </w:r>
          </w:p>
        </w:tc>
        <w:tc>
          <w:tcPr>
            <w:tcW w:w="422" w:type="pct"/>
            <w:noWrap/>
            <w:hideMark/>
          </w:tcPr>
          <w:p w14:paraId="56202F71" w14:textId="7B318080" w:rsidR="009B7774" w:rsidRPr="000973F2" w:rsidRDefault="009B7774" w:rsidP="009B7774">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6"/>
                <w:szCs w:val="16"/>
              </w:rPr>
              <w:t>0</w:t>
            </w:r>
          </w:p>
        </w:tc>
        <w:tc>
          <w:tcPr>
            <w:tcW w:w="454" w:type="pct"/>
            <w:noWrap/>
            <w:hideMark/>
          </w:tcPr>
          <w:p w14:paraId="2BC8DBBE" w14:textId="6F582EF8" w:rsidR="009B7774" w:rsidRPr="000973F2" w:rsidRDefault="009B7774" w:rsidP="009B7774">
            <w:pPr>
              <w:tabs>
                <w:tab w:val="decimal" w:pos="457"/>
              </w:tabs>
              <w:spacing w:before="40" w:after="4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$488</w:t>
            </w:r>
          </w:p>
        </w:tc>
        <w:tc>
          <w:tcPr>
            <w:tcW w:w="450" w:type="pct"/>
            <w:noWrap/>
            <w:hideMark/>
          </w:tcPr>
          <w:p w14:paraId="53A2CBC2" w14:textId="6A4BD34E" w:rsidR="009B7774" w:rsidRPr="000973F2" w:rsidRDefault="009B7774" w:rsidP="009B7774">
            <w:pPr>
              <w:tabs>
                <w:tab w:val="decimal" w:pos="457"/>
              </w:tabs>
              <w:spacing w:before="40" w:after="4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$488</w:t>
            </w:r>
          </w:p>
        </w:tc>
      </w:tr>
      <w:tr w:rsidR="009B7774" w:rsidRPr="000973F2" w14:paraId="7AB56C2A" w14:textId="77777777" w:rsidTr="009B7774">
        <w:trPr>
          <w:cantSplit/>
        </w:trPr>
        <w:tc>
          <w:tcPr>
            <w:cnfStyle w:val="001000000000" w:firstRow="0" w:lastRow="0" w:firstColumn="1" w:lastColumn="0" w:oddVBand="0" w:evenVBand="0" w:oddHBand="0" w:evenHBand="0" w:firstRowFirstColumn="0" w:firstRowLastColumn="0" w:lastRowFirstColumn="0" w:lastRowLastColumn="0"/>
            <w:tcW w:w="715" w:type="pct"/>
            <w:tcMar>
              <w:right w:w="14" w:type="dxa"/>
            </w:tcMar>
            <w:hideMark/>
          </w:tcPr>
          <w:p w14:paraId="033706A7" w14:textId="77777777" w:rsidR="009B7774" w:rsidRPr="000973F2" w:rsidRDefault="009B7774" w:rsidP="009B7774">
            <w:pPr>
              <w:spacing w:before="40" w:after="4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Reporting</w:t>
            </w:r>
          </w:p>
        </w:tc>
        <w:tc>
          <w:tcPr>
            <w:tcW w:w="422" w:type="pct"/>
            <w:noWrap/>
            <w:hideMark/>
          </w:tcPr>
          <w:p w14:paraId="7106E119" w14:textId="24E8AC93" w:rsidR="009B7774" w:rsidRPr="000973F2" w:rsidRDefault="009B7774" w:rsidP="009B7774">
            <w:pPr>
              <w:spacing w:before="40" w:after="4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w:t>
            </w:r>
          </w:p>
        </w:tc>
        <w:tc>
          <w:tcPr>
            <w:tcW w:w="428" w:type="pct"/>
            <w:noWrap/>
            <w:hideMark/>
          </w:tcPr>
          <w:p w14:paraId="2FF67146" w14:textId="38013A26" w:rsidR="009B7774" w:rsidRPr="000973F2" w:rsidRDefault="009B7774" w:rsidP="009B7774">
            <w:pPr>
              <w:spacing w:before="40" w:after="4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w:t>
            </w:r>
          </w:p>
        </w:tc>
        <w:tc>
          <w:tcPr>
            <w:tcW w:w="422" w:type="pct"/>
            <w:noWrap/>
            <w:hideMark/>
          </w:tcPr>
          <w:p w14:paraId="1C645848" w14:textId="54CBBCF6" w:rsidR="009B7774" w:rsidRPr="000973F2" w:rsidRDefault="009B7774" w:rsidP="009B7774">
            <w:pPr>
              <w:spacing w:before="40" w:after="4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w:t>
            </w:r>
          </w:p>
        </w:tc>
        <w:tc>
          <w:tcPr>
            <w:tcW w:w="422" w:type="pct"/>
            <w:noWrap/>
            <w:hideMark/>
          </w:tcPr>
          <w:p w14:paraId="509B916E" w14:textId="21F67890" w:rsidR="009B7774" w:rsidRPr="000973F2" w:rsidRDefault="009B7774" w:rsidP="009B7774">
            <w:pPr>
              <w:spacing w:before="40" w:after="4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w:t>
            </w:r>
          </w:p>
        </w:tc>
        <w:tc>
          <w:tcPr>
            <w:tcW w:w="422" w:type="pct"/>
            <w:noWrap/>
            <w:hideMark/>
          </w:tcPr>
          <w:p w14:paraId="7B27098A" w14:textId="37D787F3" w:rsidR="009B7774" w:rsidRPr="000973F2" w:rsidRDefault="009B7774" w:rsidP="009B7774">
            <w:pPr>
              <w:tabs>
                <w:tab w:val="decimal" w:pos="249"/>
              </w:tabs>
              <w:spacing w:before="40" w:after="4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w:t>
            </w:r>
          </w:p>
        </w:tc>
        <w:tc>
          <w:tcPr>
            <w:tcW w:w="422" w:type="pct"/>
            <w:noWrap/>
            <w:hideMark/>
          </w:tcPr>
          <w:p w14:paraId="23A5F882" w14:textId="7BA846EE" w:rsidR="009B7774" w:rsidRPr="000973F2" w:rsidRDefault="009B7774" w:rsidP="009B7774">
            <w:pPr>
              <w:tabs>
                <w:tab w:val="decimal" w:pos="249"/>
              </w:tabs>
              <w:spacing w:before="40" w:after="4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w:t>
            </w:r>
          </w:p>
        </w:tc>
        <w:tc>
          <w:tcPr>
            <w:tcW w:w="422" w:type="pct"/>
            <w:noWrap/>
            <w:hideMark/>
          </w:tcPr>
          <w:p w14:paraId="313B52FE" w14:textId="409B11FD" w:rsidR="009B7774" w:rsidRPr="000973F2" w:rsidRDefault="009B7774" w:rsidP="009B7774">
            <w:pPr>
              <w:spacing w:before="40" w:after="4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w:t>
            </w:r>
          </w:p>
        </w:tc>
        <w:tc>
          <w:tcPr>
            <w:tcW w:w="422" w:type="pct"/>
            <w:noWrap/>
            <w:hideMark/>
          </w:tcPr>
          <w:p w14:paraId="4BEBA3DA" w14:textId="6B01F11A" w:rsidR="009B7774" w:rsidRPr="000973F2" w:rsidRDefault="009B7774" w:rsidP="009B7774">
            <w:pPr>
              <w:spacing w:before="40" w:after="4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w:t>
            </w:r>
          </w:p>
        </w:tc>
        <w:tc>
          <w:tcPr>
            <w:tcW w:w="454" w:type="pct"/>
            <w:noWrap/>
            <w:hideMark/>
          </w:tcPr>
          <w:p w14:paraId="29F9CA46" w14:textId="32EE30BF" w:rsidR="009B7774" w:rsidRPr="000973F2" w:rsidRDefault="009B7774" w:rsidP="009B7774">
            <w:pPr>
              <w:tabs>
                <w:tab w:val="decimal" w:pos="457"/>
              </w:tabs>
              <w:spacing w:before="40" w:after="4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w:t>
            </w:r>
          </w:p>
        </w:tc>
        <w:tc>
          <w:tcPr>
            <w:tcW w:w="450" w:type="pct"/>
            <w:noWrap/>
            <w:hideMark/>
          </w:tcPr>
          <w:p w14:paraId="6ED19E5E" w14:textId="43DE724A" w:rsidR="009B7774" w:rsidRPr="000973F2" w:rsidRDefault="009B7774" w:rsidP="009B7774">
            <w:pPr>
              <w:tabs>
                <w:tab w:val="decimal" w:pos="457"/>
              </w:tabs>
              <w:spacing w:before="40" w:after="4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w:t>
            </w:r>
          </w:p>
        </w:tc>
      </w:tr>
      <w:tr w:rsidR="0001781A" w:rsidRPr="000973F2" w14:paraId="64CA0646" w14:textId="77777777" w:rsidTr="009B7774">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715" w:type="pct"/>
            <w:noWrap/>
            <w:tcMar>
              <w:right w:w="14" w:type="dxa"/>
            </w:tcMar>
            <w:hideMark/>
          </w:tcPr>
          <w:p w14:paraId="1D037661" w14:textId="77777777" w:rsidR="0001781A" w:rsidRPr="000973F2" w:rsidRDefault="0001781A" w:rsidP="003F4AFF">
            <w:pPr>
              <w:spacing w:before="40" w:after="40"/>
              <w:rPr>
                <w:rFonts w:ascii="Times New Roman" w:eastAsia="Times New Roman" w:hAnsi="Times New Roman" w:cs="Times New Roman"/>
                <w:b/>
                <w:bCs w:val="0"/>
                <w:sz w:val="18"/>
                <w:szCs w:val="18"/>
              </w:rPr>
            </w:pPr>
            <w:r w:rsidRPr="000973F2">
              <w:rPr>
                <w:rFonts w:ascii="Times New Roman" w:eastAsia="Times New Roman" w:hAnsi="Times New Roman" w:cs="Times New Roman"/>
                <w:b/>
                <w:sz w:val="18"/>
                <w:szCs w:val="18"/>
              </w:rPr>
              <w:t>Total</w:t>
            </w:r>
          </w:p>
        </w:tc>
        <w:tc>
          <w:tcPr>
            <w:tcW w:w="422" w:type="pct"/>
            <w:noWrap/>
            <w:hideMark/>
          </w:tcPr>
          <w:p w14:paraId="28E1291A" w14:textId="77777777" w:rsidR="0001781A" w:rsidRPr="000973F2" w:rsidRDefault="0001781A" w:rsidP="00754E30">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18"/>
                <w:szCs w:val="18"/>
              </w:rPr>
            </w:pPr>
            <w:r w:rsidRPr="000973F2">
              <w:rPr>
                <w:rFonts w:ascii="Times New Roman" w:eastAsia="Times New Roman" w:hAnsi="Times New Roman" w:cs="Times New Roman"/>
                <w:b/>
                <w:bCs/>
                <w:sz w:val="18"/>
                <w:szCs w:val="18"/>
              </w:rPr>
              <w:t>0</w:t>
            </w:r>
          </w:p>
        </w:tc>
        <w:tc>
          <w:tcPr>
            <w:tcW w:w="428" w:type="pct"/>
            <w:noWrap/>
            <w:hideMark/>
          </w:tcPr>
          <w:p w14:paraId="60F29752" w14:textId="77777777" w:rsidR="0001781A" w:rsidRPr="000973F2" w:rsidRDefault="0001781A" w:rsidP="00754E30">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18"/>
                <w:szCs w:val="18"/>
              </w:rPr>
            </w:pPr>
            <w:r w:rsidRPr="000973F2">
              <w:rPr>
                <w:rFonts w:ascii="Times New Roman" w:eastAsia="Times New Roman" w:hAnsi="Times New Roman" w:cs="Times New Roman"/>
                <w:b/>
                <w:bCs/>
                <w:sz w:val="18"/>
                <w:szCs w:val="18"/>
              </w:rPr>
              <w:t>0</w:t>
            </w:r>
          </w:p>
        </w:tc>
        <w:tc>
          <w:tcPr>
            <w:tcW w:w="422" w:type="pct"/>
            <w:noWrap/>
            <w:hideMark/>
          </w:tcPr>
          <w:p w14:paraId="55A40C90" w14:textId="77777777" w:rsidR="0001781A" w:rsidRPr="000973F2" w:rsidRDefault="0001781A" w:rsidP="00754E30">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18"/>
                <w:szCs w:val="18"/>
              </w:rPr>
            </w:pPr>
            <w:r w:rsidRPr="000973F2">
              <w:rPr>
                <w:rFonts w:ascii="Times New Roman" w:eastAsia="Times New Roman" w:hAnsi="Times New Roman" w:cs="Times New Roman"/>
                <w:b/>
                <w:bCs/>
                <w:sz w:val="18"/>
                <w:szCs w:val="18"/>
              </w:rPr>
              <w:t>0</w:t>
            </w:r>
          </w:p>
        </w:tc>
        <w:tc>
          <w:tcPr>
            <w:tcW w:w="422" w:type="pct"/>
            <w:noWrap/>
            <w:hideMark/>
          </w:tcPr>
          <w:p w14:paraId="1182E01C" w14:textId="77777777" w:rsidR="0001781A" w:rsidRPr="000973F2" w:rsidRDefault="0001781A" w:rsidP="00754E30">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18"/>
                <w:szCs w:val="18"/>
              </w:rPr>
            </w:pPr>
            <w:r w:rsidRPr="000973F2">
              <w:rPr>
                <w:rFonts w:ascii="Times New Roman" w:eastAsia="Times New Roman" w:hAnsi="Times New Roman" w:cs="Times New Roman"/>
                <w:b/>
                <w:bCs/>
                <w:sz w:val="18"/>
                <w:szCs w:val="18"/>
              </w:rPr>
              <w:t>0</w:t>
            </w:r>
          </w:p>
        </w:tc>
        <w:tc>
          <w:tcPr>
            <w:tcW w:w="422" w:type="pct"/>
            <w:noWrap/>
            <w:hideMark/>
          </w:tcPr>
          <w:p w14:paraId="64DC45F2" w14:textId="77777777" w:rsidR="0001781A" w:rsidRPr="000973F2" w:rsidRDefault="0001781A" w:rsidP="00754E30">
            <w:pPr>
              <w:tabs>
                <w:tab w:val="decimal" w:pos="249"/>
              </w:tabs>
              <w:spacing w:before="40" w:after="4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18"/>
                <w:szCs w:val="18"/>
              </w:rPr>
            </w:pPr>
            <w:r w:rsidRPr="000973F2">
              <w:rPr>
                <w:rFonts w:ascii="Times New Roman" w:eastAsia="Times New Roman" w:hAnsi="Times New Roman" w:cs="Times New Roman"/>
                <w:b/>
                <w:bCs/>
                <w:sz w:val="18"/>
                <w:szCs w:val="18"/>
              </w:rPr>
              <w:t>6.8</w:t>
            </w:r>
          </w:p>
        </w:tc>
        <w:tc>
          <w:tcPr>
            <w:tcW w:w="422" w:type="pct"/>
            <w:noWrap/>
            <w:hideMark/>
          </w:tcPr>
          <w:p w14:paraId="71744275" w14:textId="77777777" w:rsidR="0001781A" w:rsidRPr="000973F2" w:rsidRDefault="0001781A" w:rsidP="00754E30">
            <w:pPr>
              <w:tabs>
                <w:tab w:val="decimal" w:pos="249"/>
              </w:tabs>
              <w:spacing w:before="40" w:after="4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18"/>
                <w:szCs w:val="18"/>
              </w:rPr>
            </w:pPr>
            <w:r w:rsidRPr="000973F2">
              <w:rPr>
                <w:rFonts w:ascii="Times New Roman" w:eastAsia="Times New Roman" w:hAnsi="Times New Roman" w:cs="Times New Roman"/>
                <w:b/>
                <w:bCs/>
                <w:sz w:val="18"/>
                <w:szCs w:val="18"/>
              </w:rPr>
              <w:t>6.8</w:t>
            </w:r>
          </w:p>
        </w:tc>
        <w:tc>
          <w:tcPr>
            <w:tcW w:w="422" w:type="pct"/>
            <w:noWrap/>
            <w:hideMark/>
          </w:tcPr>
          <w:p w14:paraId="142671C7" w14:textId="77777777" w:rsidR="0001781A" w:rsidRPr="000973F2" w:rsidRDefault="0001781A" w:rsidP="00754E30">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18"/>
                <w:szCs w:val="18"/>
              </w:rPr>
            </w:pPr>
            <w:r w:rsidRPr="000973F2">
              <w:rPr>
                <w:rFonts w:ascii="Times New Roman" w:eastAsia="Times New Roman" w:hAnsi="Times New Roman" w:cs="Times New Roman"/>
                <w:b/>
                <w:bCs/>
                <w:sz w:val="18"/>
                <w:szCs w:val="18"/>
              </w:rPr>
              <w:t>0</w:t>
            </w:r>
          </w:p>
        </w:tc>
        <w:tc>
          <w:tcPr>
            <w:tcW w:w="422" w:type="pct"/>
            <w:noWrap/>
            <w:hideMark/>
          </w:tcPr>
          <w:p w14:paraId="21E788BB" w14:textId="77777777" w:rsidR="0001781A" w:rsidRPr="000973F2" w:rsidRDefault="0001781A" w:rsidP="00754E30">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18"/>
                <w:szCs w:val="18"/>
              </w:rPr>
            </w:pPr>
            <w:r w:rsidRPr="000973F2">
              <w:rPr>
                <w:rFonts w:ascii="Times New Roman" w:eastAsia="Times New Roman" w:hAnsi="Times New Roman" w:cs="Times New Roman"/>
                <w:b/>
                <w:bCs/>
                <w:sz w:val="18"/>
                <w:szCs w:val="18"/>
              </w:rPr>
              <w:t>0</w:t>
            </w:r>
          </w:p>
        </w:tc>
        <w:tc>
          <w:tcPr>
            <w:tcW w:w="454" w:type="pct"/>
            <w:noWrap/>
            <w:hideMark/>
          </w:tcPr>
          <w:p w14:paraId="4A753291" w14:textId="250EDA01" w:rsidR="0001781A" w:rsidRPr="000973F2" w:rsidRDefault="0001781A" w:rsidP="00754E30">
            <w:pPr>
              <w:tabs>
                <w:tab w:val="decimal" w:pos="457"/>
              </w:tabs>
              <w:spacing w:before="40" w:after="4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18"/>
                <w:szCs w:val="18"/>
              </w:rPr>
            </w:pPr>
            <w:r w:rsidRPr="000973F2">
              <w:rPr>
                <w:rFonts w:ascii="Times New Roman" w:eastAsia="Times New Roman" w:hAnsi="Times New Roman" w:cs="Times New Roman"/>
                <w:b/>
                <w:bCs/>
                <w:sz w:val="18"/>
                <w:szCs w:val="18"/>
              </w:rPr>
              <w:t>$488</w:t>
            </w:r>
          </w:p>
        </w:tc>
        <w:tc>
          <w:tcPr>
            <w:tcW w:w="450" w:type="pct"/>
            <w:noWrap/>
            <w:hideMark/>
          </w:tcPr>
          <w:p w14:paraId="0D21CD34" w14:textId="79F64BB2" w:rsidR="0001781A" w:rsidRPr="000973F2" w:rsidRDefault="0001781A" w:rsidP="00754E30">
            <w:pPr>
              <w:tabs>
                <w:tab w:val="decimal" w:pos="457"/>
              </w:tabs>
              <w:spacing w:before="40" w:after="4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18"/>
                <w:szCs w:val="18"/>
              </w:rPr>
            </w:pPr>
            <w:r w:rsidRPr="000973F2">
              <w:rPr>
                <w:rFonts w:ascii="Times New Roman" w:eastAsia="Times New Roman" w:hAnsi="Times New Roman" w:cs="Times New Roman"/>
                <w:b/>
                <w:bCs/>
                <w:sz w:val="18"/>
                <w:szCs w:val="18"/>
              </w:rPr>
              <w:t>$488</w:t>
            </w:r>
          </w:p>
        </w:tc>
      </w:tr>
    </w:tbl>
    <w:p w14:paraId="355FA916" w14:textId="77777777" w:rsidR="0001781A" w:rsidRPr="000973F2" w:rsidRDefault="0001781A" w:rsidP="00C00E4F">
      <w:pPr>
        <w:pStyle w:val="TableName"/>
        <w:spacing w:line="240" w:lineRule="auto"/>
      </w:pPr>
      <w:r w:rsidRPr="000973F2">
        <w:br w:type="page"/>
      </w:r>
    </w:p>
    <w:p w14:paraId="31E67BEC" w14:textId="33F7D971" w:rsidR="0001781A" w:rsidRPr="000973F2" w:rsidRDefault="0001781A" w:rsidP="00754E30">
      <w:pPr>
        <w:pStyle w:val="Tabletitle"/>
      </w:pPr>
      <w:r w:rsidRPr="000973F2">
        <w:t xml:space="preserve">Table </w:t>
      </w:r>
      <w:r w:rsidR="00754E30" w:rsidRPr="000973F2">
        <w:t>C-</w:t>
      </w:r>
      <w:r w:rsidRPr="000973F2">
        <w:t>2c. Labor Costs</w:t>
      </w:r>
      <w:r w:rsidR="00CC6C17" w:rsidRPr="000973F2">
        <w:t xml:space="preserve"> – </w:t>
      </w:r>
      <w:r w:rsidRPr="000973F2">
        <w:t>Subpart C</w:t>
      </w:r>
      <w:r w:rsidR="00CC6C17" w:rsidRPr="000973F2">
        <w:t xml:space="preserve"> – </w:t>
      </w:r>
      <w:r w:rsidRPr="000973F2">
        <w:t>Facilities reporting using Tier 2</w:t>
      </w:r>
    </w:p>
    <w:p w14:paraId="722CD8C9" w14:textId="77777777" w:rsidR="0001781A" w:rsidRPr="000973F2" w:rsidRDefault="0001781A" w:rsidP="00C00E4F">
      <w:pPr>
        <w:rPr>
          <w:i/>
        </w:rPr>
      </w:pPr>
      <w:r w:rsidRPr="000973F2">
        <w:rPr>
          <w:rFonts w:ascii="Times New Roman" w:hAnsi="Times New Roman" w:cs="Times New Roman"/>
          <w:i/>
        </w:rPr>
        <w:t>Subpart C only</w:t>
      </w:r>
    </w:p>
    <w:tbl>
      <w:tblPr>
        <w:tblStyle w:val="PlainTable1"/>
        <w:tblW w:w="5000" w:type="pct"/>
        <w:jc w:val="left"/>
        <w:tblLayout w:type="fixed"/>
        <w:tblCellMar>
          <w:left w:w="115" w:type="dxa"/>
          <w:right w:w="115" w:type="dxa"/>
        </w:tblCellMar>
        <w:tblLook w:val="04A0" w:firstRow="1" w:lastRow="0" w:firstColumn="1" w:lastColumn="0" w:noHBand="0" w:noVBand="1"/>
      </w:tblPr>
      <w:tblGrid>
        <w:gridCol w:w="1372"/>
        <w:gridCol w:w="810"/>
        <w:gridCol w:w="818"/>
        <w:gridCol w:w="809"/>
        <w:gridCol w:w="809"/>
        <w:gridCol w:w="809"/>
        <w:gridCol w:w="809"/>
        <w:gridCol w:w="809"/>
        <w:gridCol w:w="809"/>
        <w:gridCol w:w="871"/>
        <w:gridCol w:w="865"/>
      </w:tblGrid>
      <w:tr w:rsidR="0001781A" w:rsidRPr="000973F2" w14:paraId="6493B998" w14:textId="77777777" w:rsidTr="009B7774">
        <w:trPr>
          <w:cnfStyle w:val="100000000000" w:firstRow="1" w:lastRow="0" w:firstColumn="0" w:lastColumn="0" w:oddVBand="0" w:evenVBand="0" w:oddHBand="0" w:evenHBand="0" w:firstRowFirstColumn="0" w:firstRowLastColumn="0" w:lastRowFirstColumn="0" w:lastRowLastColumn="0"/>
          <w:cantSplit/>
          <w:jc w:val="left"/>
        </w:trPr>
        <w:tc>
          <w:tcPr>
            <w:cnfStyle w:val="001000000000" w:firstRow="0" w:lastRow="0" w:firstColumn="1" w:lastColumn="0" w:oddVBand="0" w:evenVBand="0" w:oddHBand="0" w:evenHBand="0" w:firstRowFirstColumn="0" w:firstRowLastColumn="0" w:lastRowFirstColumn="0" w:lastRowLastColumn="0"/>
            <w:tcW w:w="715" w:type="pct"/>
            <w:vMerge w:val="restart"/>
            <w:noWrap/>
            <w:vAlign w:val="top"/>
            <w:hideMark/>
          </w:tcPr>
          <w:p w14:paraId="3D857EDF" w14:textId="77777777" w:rsidR="0001781A" w:rsidRPr="000973F2" w:rsidRDefault="0001781A" w:rsidP="006306B1">
            <w:pPr>
              <w:spacing w:before="40" w:after="40"/>
              <w:rPr>
                <w:rFonts w:ascii="Times New Roman" w:eastAsia="Times New Roman" w:hAnsi="Times New Roman" w:cs="Times New Roman"/>
                <w:b w:val="0"/>
                <w:bCs w:val="0"/>
                <w:sz w:val="18"/>
                <w:szCs w:val="18"/>
              </w:rPr>
            </w:pPr>
            <w:r w:rsidRPr="000973F2">
              <w:rPr>
                <w:rFonts w:ascii="Times New Roman" w:eastAsia="Times New Roman" w:hAnsi="Times New Roman" w:cs="Times New Roman"/>
                <w:sz w:val="18"/>
                <w:szCs w:val="18"/>
              </w:rPr>
              <w:t>Activity</w:t>
            </w:r>
          </w:p>
        </w:tc>
        <w:tc>
          <w:tcPr>
            <w:tcW w:w="3379" w:type="pct"/>
            <w:gridSpan w:val="8"/>
            <w:noWrap/>
            <w:vAlign w:val="top"/>
            <w:hideMark/>
          </w:tcPr>
          <w:p w14:paraId="4561018F" w14:textId="77777777" w:rsidR="0001781A" w:rsidRPr="000973F2" w:rsidRDefault="0001781A" w:rsidP="006306B1">
            <w:pPr>
              <w:spacing w:before="40" w:after="40"/>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bCs w:val="0"/>
                <w:sz w:val="18"/>
                <w:szCs w:val="18"/>
              </w:rPr>
            </w:pPr>
            <w:r w:rsidRPr="000973F2">
              <w:rPr>
                <w:rFonts w:ascii="Times New Roman" w:eastAsia="Times New Roman" w:hAnsi="Times New Roman" w:cs="Times New Roman"/>
                <w:sz w:val="18"/>
                <w:szCs w:val="18"/>
              </w:rPr>
              <w:t>Labor Rates (per hour)</w:t>
            </w:r>
          </w:p>
        </w:tc>
        <w:tc>
          <w:tcPr>
            <w:tcW w:w="906" w:type="pct"/>
            <w:gridSpan w:val="2"/>
            <w:vMerge w:val="restart"/>
            <w:vAlign w:val="top"/>
            <w:hideMark/>
          </w:tcPr>
          <w:p w14:paraId="3585AEE8" w14:textId="77777777" w:rsidR="0001781A" w:rsidRPr="000973F2" w:rsidRDefault="0001781A" w:rsidP="006306B1">
            <w:pPr>
              <w:spacing w:before="40" w:after="40"/>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bCs w:val="0"/>
                <w:sz w:val="18"/>
                <w:szCs w:val="18"/>
              </w:rPr>
            </w:pPr>
            <w:r w:rsidRPr="000973F2">
              <w:rPr>
                <w:rFonts w:ascii="Times New Roman" w:eastAsia="Times New Roman" w:hAnsi="Times New Roman" w:cs="Times New Roman"/>
                <w:sz w:val="18"/>
                <w:szCs w:val="18"/>
              </w:rPr>
              <w:t>Total Labor Cost per Year per Facility (2017$)</w:t>
            </w:r>
          </w:p>
        </w:tc>
      </w:tr>
      <w:tr w:rsidR="0001781A" w:rsidRPr="000973F2" w14:paraId="7359063E" w14:textId="77777777" w:rsidTr="009B7774">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715" w:type="pct"/>
            <w:vMerge/>
            <w:hideMark/>
          </w:tcPr>
          <w:p w14:paraId="1243E8B8" w14:textId="77777777" w:rsidR="0001781A" w:rsidRPr="000973F2" w:rsidRDefault="0001781A" w:rsidP="006306B1">
            <w:pPr>
              <w:spacing w:before="40" w:after="40"/>
              <w:rPr>
                <w:rFonts w:ascii="Times New Roman" w:eastAsia="Times New Roman" w:hAnsi="Times New Roman" w:cs="Times New Roman"/>
                <w:b/>
                <w:bCs w:val="0"/>
                <w:sz w:val="18"/>
                <w:szCs w:val="18"/>
              </w:rPr>
            </w:pPr>
          </w:p>
        </w:tc>
        <w:tc>
          <w:tcPr>
            <w:tcW w:w="848" w:type="pct"/>
            <w:gridSpan w:val="2"/>
            <w:noWrap/>
            <w:hideMark/>
          </w:tcPr>
          <w:p w14:paraId="52438EEB" w14:textId="77777777" w:rsidR="0001781A" w:rsidRPr="000973F2" w:rsidRDefault="0001781A" w:rsidP="006306B1">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18"/>
                <w:szCs w:val="18"/>
              </w:rPr>
            </w:pPr>
            <w:r w:rsidRPr="000973F2">
              <w:rPr>
                <w:rFonts w:ascii="Times New Roman" w:eastAsia="Times New Roman" w:hAnsi="Times New Roman" w:cs="Times New Roman"/>
                <w:b/>
                <w:bCs/>
                <w:sz w:val="18"/>
                <w:szCs w:val="18"/>
              </w:rPr>
              <w:t>Lawyer</w:t>
            </w:r>
          </w:p>
        </w:tc>
        <w:tc>
          <w:tcPr>
            <w:tcW w:w="844" w:type="pct"/>
            <w:gridSpan w:val="2"/>
            <w:noWrap/>
            <w:hideMark/>
          </w:tcPr>
          <w:p w14:paraId="04CEB06E" w14:textId="77777777" w:rsidR="0001781A" w:rsidRPr="000973F2" w:rsidRDefault="0001781A" w:rsidP="006306B1">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18"/>
                <w:szCs w:val="18"/>
              </w:rPr>
            </w:pPr>
            <w:r w:rsidRPr="000973F2">
              <w:rPr>
                <w:rFonts w:ascii="Times New Roman" w:eastAsia="Times New Roman" w:hAnsi="Times New Roman" w:cs="Times New Roman"/>
                <w:b/>
                <w:bCs/>
                <w:sz w:val="18"/>
                <w:szCs w:val="18"/>
              </w:rPr>
              <w:t>Industrial Manager</w:t>
            </w:r>
          </w:p>
        </w:tc>
        <w:tc>
          <w:tcPr>
            <w:tcW w:w="844" w:type="pct"/>
            <w:gridSpan w:val="2"/>
            <w:hideMark/>
          </w:tcPr>
          <w:p w14:paraId="08532463" w14:textId="2503942B" w:rsidR="0001781A" w:rsidRPr="000973F2" w:rsidRDefault="0001781A" w:rsidP="006306B1">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18"/>
                <w:szCs w:val="18"/>
              </w:rPr>
            </w:pPr>
            <w:r w:rsidRPr="000973F2">
              <w:rPr>
                <w:rFonts w:ascii="Times New Roman" w:eastAsia="Times New Roman" w:hAnsi="Times New Roman" w:cs="Times New Roman"/>
                <w:b/>
                <w:bCs/>
                <w:sz w:val="18"/>
                <w:szCs w:val="18"/>
              </w:rPr>
              <w:t>Industrial Engineer/</w:t>
            </w:r>
            <w:r w:rsidR="006306B1" w:rsidRPr="000973F2">
              <w:rPr>
                <w:rFonts w:ascii="Times New Roman" w:eastAsia="Times New Roman" w:hAnsi="Times New Roman" w:cs="Times New Roman"/>
                <w:b/>
                <w:bCs/>
                <w:sz w:val="18"/>
                <w:szCs w:val="18"/>
              </w:rPr>
              <w:t xml:space="preserve"> </w:t>
            </w:r>
            <w:r w:rsidRPr="000973F2">
              <w:rPr>
                <w:rFonts w:ascii="Times New Roman" w:eastAsia="Times New Roman" w:hAnsi="Times New Roman" w:cs="Times New Roman"/>
                <w:b/>
                <w:bCs/>
                <w:sz w:val="18"/>
                <w:szCs w:val="18"/>
              </w:rPr>
              <w:t>Technician</w:t>
            </w:r>
          </w:p>
        </w:tc>
        <w:tc>
          <w:tcPr>
            <w:tcW w:w="844" w:type="pct"/>
            <w:gridSpan w:val="2"/>
            <w:hideMark/>
          </w:tcPr>
          <w:p w14:paraId="78A794D2" w14:textId="77777777" w:rsidR="0001781A" w:rsidRPr="000973F2" w:rsidRDefault="0001781A" w:rsidP="006306B1">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18"/>
                <w:szCs w:val="18"/>
              </w:rPr>
            </w:pPr>
            <w:r w:rsidRPr="000973F2">
              <w:rPr>
                <w:rFonts w:ascii="Times New Roman" w:eastAsia="Times New Roman" w:hAnsi="Times New Roman" w:cs="Times New Roman"/>
                <w:b/>
                <w:bCs/>
                <w:sz w:val="18"/>
                <w:szCs w:val="18"/>
              </w:rPr>
              <w:t>Administrative Support</w:t>
            </w:r>
          </w:p>
        </w:tc>
        <w:tc>
          <w:tcPr>
            <w:tcW w:w="906" w:type="pct"/>
            <w:gridSpan w:val="2"/>
            <w:vMerge/>
            <w:hideMark/>
          </w:tcPr>
          <w:p w14:paraId="50053898" w14:textId="77777777" w:rsidR="0001781A" w:rsidRPr="000973F2" w:rsidRDefault="0001781A" w:rsidP="006306B1">
            <w:pPr>
              <w:spacing w:before="40" w:after="4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18"/>
                <w:szCs w:val="18"/>
              </w:rPr>
            </w:pPr>
          </w:p>
        </w:tc>
      </w:tr>
      <w:tr w:rsidR="0001781A" w:rsidRPr="000973F2" w14:paraId="5F2BA4EA" w14:textId="77777777" w:rsidTr="009B7774">
        <w:trPr>
          <w:cantSplit/>
        </w:trPr>
        <w:tc>
          <w:tcPr>
            <w:cnfStyle w:val="001000000000" w:firstRow="0" w:lastRow="0" w:firstColumn="1" w:lastColumn="0" w:oddVBand="0" w:evenVBand="0" w:oddHBand="0" w:evenHBand="0" w:firstRowFirstColumn="0" w:firstRowLastColumn="0" w:lastRowFirstColumn="0" w:lastRowLastColumn="0"/>
            <w:tcW w:w="715" w:type="pct"/>
            <w:vMerge/>
            <w:hideMark/>
          </w:tcPr>
          <w:p w14:paraId="39516F5C" w14:textId="77777777" w:rsidR="0001781A" w:rsidRPr="000973F2" w:rsidRDefault="0001781A" w:rsidP="006306B1">
            <w:pPr>
              <w:spacing w:before="40" w:after="40"/>
              <w:rPr>
                <w:rFonts w:ascii="Times New Roman" w:eastAsia="Times New Roman" w:hAnsi="Times New Roman" w:cs="Times New Roman"/>
                <w:b/>
                <w:bCs w:val="0"/>
                <w:sz w:val="18"/>
                <w:szCs w:val="18"/>
              </w:rPr>
            </w:pPr>
          </w:p>
        </w:tc>
        <w:tc>
          <w:tcPr>
            <w:tcW w:w="848" w:type="pct"/>
            <w:gridSpan w:val="2"/>
            <w:noWrap/>
            <w:hideMark/>
          </w:tcPr>
          <w:p w14:paraId="0429F990" w14:textId="77777777" w:rsidR="0001781A" w:rsidRPr="000973F2" w:rsidRDefault="0001781A" w:rsidP="006306B1">
            <w:pPr>
              <w:spacing w:before="40" w:after="4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sz w:val="18"/>
                <w:szCs w:val="18"/>
              </w:rPr>
            </w:pPr>
            <w:r w:rsidRPr="000973F2">
              <w:rPr>
                <w:rFonts w:ascii="Times New Roman" w:eastAsia="Times New Roman" w:hAnsi="Times New Roman" w:cs="Times New Roman"/>
                <w:b/>
                <w:bCs/>
                <w:sz w:val="18"/>
                <w:szCs w:val="18"/>
              </w:rPr>
              <w:t xml:space="preserve">$112.23 </w:t>
            </w:r>
          </w:p>
        </w:tc>
        <w:tc>
          <w:tcPr>
            <w:tcW w:w="844" w:type="pct"/>
            <w:gridSpan w:val="2"/>
            <w:noWrap/>
            <w:hideMark/>
          </w:tcPr>
          <w:p w14:paraId="5957B452" w14:textId="77777777" w:rsidR="0001781A" w:rsidRPr="000973F2" w:rsidRDefault="0001781A" w:rsidP="006306B1">
            <w:pPr>
              <w:spacing w:before="40" w:after="4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sz w:val="18"/>
                <w:szCs w:val="18"/>
              </w:rPr>
            </w:pPr>
            <w:r w:rsidRPr="000973F2">
              <w:rPr>
                <w:rFonts w:ascii="Times New Roman" w:eastAsia="Times New Roman" w:hAnsi="Times New Roman" w:cs="Times New Roman"/>
                <w:b/>
                <w:bCs/>
                <w:sz w:val="18"/>
                <w:szCs w:val="18"/>
              </w:rPr>
              <w:t xml:space="preserve">$87.45 </w:t>
            </w:r>
          </w:p>
        </w:tc>
        <w:tc>
          <w:tcPr>
            <w:tcW w:w="844" w:type="pct"/>
            <w:gridSpan w:val="2"/>
            <w:noWrap/>
            <w:hideMark/>
          </w:tcPr>
          <w:p w14:paraId="14AD91AC" w14:textId="77777777" w:rsidR="0001781A" w:rsidRPr="000973F2" w:rsidRDefault="0001781A" w:rsidP="006306B1">
            <w:pPr>
              <w:spacing w:before="40" w:after="4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sz w:val="18"/>
                <w:szCs w:val="18"/>
              </w:rPr>
            </w:pPr>
            <w:r w:rsidRPr="000973F2">
              <w:rPr>
                <w:rFonts w:ascii="Times New Roman" w:eastAsia="Times New Roman" w:hAnsi="Times New Roman" w:cs="Times New Roman"/>
                <w:b/>
                <w:bCs/>
                <w:sz w:val="18"/>
                <w:szCs w:val="18"/>
              </w:rPr>
              <w:t xml:space="preserve">$71.45 </w:t>
            </w:r>
          </w:p>
        </w:tc>
        <w:tc>
          <w:tcPr>
            <w:tcW w:w="844" w:type="pct"/>
            <w:gridSpan w:val="2"/>
            <w:noWrap/>
            <w:hideMark/>
          </w:tcPr>
          <w:p w14:paraId="61BA2BD4" w14:textId="77777777" w:rsidR="0001781A" w:rsidRPr="000973F2" w:rsidRDefault="0001781A" w:rsidP="006306B1">
            <w:pPr>
              <w:spacing w:before="40" w:after="4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sz w:val="18"/>
                <w:szCs w:val="18"/>
              </w:rPr>
            </w:pPr>
            <w:r w:rsidRPr="000973F2">
              <w:rPr>
                <w:rFonts w:ascii="Times New Roman" w:eastAsia="Times New Roman" w:hAnsi="Times New Roman" w:cs="Times New Roman"/>
                <w:b/>
                <w:bCs/>
                <w:sz w:val="18"/>
                <w:szCs w:val="18"/>
              </w:rPr>
              <w:t xml:space="preserve">$36.28 </w:t>
            </w:r>
          </w:p>
        </w:tc>
        <w:tc>
          <w:tcPr>
            <w:tcW w:w="906" w:type="pct"/>
            <w:gridSpan w:val="2"/>
            <w:vMerge/>
            <w:hideMark/>
          </w:tcPr>
          <w:p w14:paraId="3E3054A2" w14:textId="77777777" w:rsidR="0001781A" w:rsidRPr="000973F2" w:rsidRDefault="0001781A" w:rsidP="006306B1">
            <w:pPr>
              <w:spacing w:before="40" w:after="4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sz w:val="18"/>
                <w:szCs w:val="18"/>
              </w:rPr>
            </w:pPr>
          </w:p>
        </w:tc>
      </w:tr>
      <w:tr w:rsidR="0001781A" w:rsidRPr="000973F2" w14:paraId="74658905" w14:textId="77777777" w:rsidTr="009B7774">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715" w:type="pct"/>
            <w:vMerge/>
            <w:hideMark/>
          </w:tcPr>
          <w:p w14:paraId="28628B96" w14:textId="77777777" w:rsidR="0001781A" w:rsidRPr="000973F2" w:rsidRDefault="0001781A" w:rsidP="006306B1">
            <w:pPr>
              <w:spacing w:before="40" w:after="40"/>
              <w:rPr>
                <w:rFonts w:ascii="Times New Roman" w:eastAsia="Times New Roman" w:hAnsi="Times New Roman" w:cs="Times New Roman"/>
                <w:b/>
                <w:bCs w:val="0"/>
                <w:sz w:val="18"/>
                <w:szCs w:val="18"/>
              </w:rPr>
            </w:pPr>
          </w:p>
        </w:tc>
        <w:tc>
          <w:tcPr>
            <w:tcW w:w="422" w:type="pct"/>
            <w:tcMar>
              <w:left w:w="14" w:type="dxa"/>
              <w:right w:w="14" w:type="dxa"/>
            </w:tcMar>
            <w:hideMark/>
          </w:tcPr>
          <w:p w14:paraId="5E79ABAA" w14:textId="44A63A20" w:rsidR="0001781A" w:rsidRPr="000973F2" w:rsidRDefault="0001781A" w:rsidP="006306B1">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18"/>
                <w:szCs w:val="18"/>
              </w:rPr>
            </w:pPr>
            <w:r w:rsidRPr="000973F2">
              <w:rPr>
                <w:rFonts w:ascii="Times New Roman" w:eastAsia="Times New Roman" w:hAnsi="Times New Roman" w:cs="Times New Roman"/>
                <w:b/>
                <w:bCs/>
                <w:sz w:val="18"/>
                <w:szCs w:val="18"/>
              </w:rPr>
              <w:t>Initial Year Hours</w:t>
            </w:r>
          </w:p>
        </w:tc>
        <w:tc>
          <w:tcPr>
            <w:tcW w:w="426" w:type="pct"/>
            <w:tcMar>
              <w:left w:w="14" w:type="dxa"/>
              <w:right w:w="14" w:type="dxa"/>
            </w:tcMar>
            <w:hideMark/>
          </w:tcPr>
          <w:p w14:paraId="40363196" w14:textId="3810C7A6" w:rsidR="0001781A" w:rsidRPr="000973F2" w:rsidRDefault="0001781A" w:rsidP="006306B1">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18"/>
                <w:szCs w:val="18"/>
              </w:rPr>
            </w:pPr>
            <w:r w:rsidRPr="000973F2">
              <w:rPr>
                <w:rFonts w:ascii="Times New Roman" w:eastAsia="Times New Roman" w:hAnsi="Times New Roman" w:cs="Times New Roman"/>
                <w:b/>
                <w:bCs/>
                <w:sz w:val="18"/>
                <w:szCs w:val="18"/>
              </w:rPr>
              <w:t>Subseq. Year Hours</w:t>
            </w:r>
          </w:p>
        </w:tc>
        <w:tc>
          <w:tcPr>
            <w:tcW w:w="422" w:type="pct"/>
            <w:tcMar>
              <w:left w:w="14" w:type="dxa"/>
              <w:right w:w="14" w:type="dxa"/>
            </w:tcMar>
            <w:hideMark/>
          </w:tcPr>
          <w:p w14:paraId="33093591" w14:textId="76C805F7" w:rsidR="0001781A" w:rsidRPr="000973F2" w:rsidRDefault="0001781A" w:rsidP="006306B1">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18"/>
                <w:szCs w:val="18"/>
              </w:rPr>
            </w:pPr>
            <w:r w:rsidRPr="000973F2">
              <w:rPr>
                <w:rFonts w:ascii="Times New Roman" w:eastAsia="Times New Roman" w:hAnsi="Times New Roman" w:cs="Times New Roman"/>
                <w:b/>
                <w:bCs/>
                <w:sz w:val="18"/>
                <w:szCs w:val="18"/>
              </w:rPr>
              <w:t>Initial Year Hours</w:t>
            </w:r>
          </w:p>
        </w:tc>
        <w:tc>
          <w:tcPr>
            <w:tcW w:w="422" w:type="pct"/>
            <w:tcMar>
              <w:left w:w="14" w:type="dxa"/>
              <w:right w:w="14" w:type="dxa"/>
            </w:tcMar>
            <w:hideMark/>
          </w:tcPr>
          <w:p w14:paraId="00718CBC" w14:textId="7299CCB0" w:rsidR="0001781A" w:rsidRPr="000973F2" w:rsidRDefault="0001781A" w:rsidP="006306B1">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18"/>
                <w:szCs w:val="18"/>
              </w:rPr>
            </w:pPr>
            <w:r w:rsidRPr="000973F2">
              <w:rPr>
                <w:rFonts w:ascii="Times New Roman" w:eastAsia="Times New Roman" w:hAnsi="Times New Roman" w:cs="Times New Roman"/>
                <w:b/>
                <w:bCs/>
                <w:sz w:val="18"/>
                <w:szCs w:val="18"/>
              </w:rPr>
              <w:t>Subseq. Year Hours</w:t>
            </w:r>
          </w:p>
        </w:tc>
        <w:tc>
          <w:tcPr>
            <w:tcW w:w="422" w:type="pct"/>
            <w:tcMar>
              <w:left w:w="14" w:type="dxa"/>
              <w:right w:w="14" w:type="dxa"/>
            </w:tcMar>
            <w:hideMark/>
          </w:tcPr>
          <w:p w14:paraId="2BC8AACB" w14:textId="114E74CD" w:rsidR="0001781A" w:rsidRPr="000973F2" w:rsidRDefault="0001781A" w:rsidP="006306B1">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18"/>
                <w:szCs w:val="18"/>
              </w:rPr>
            </w:pPr>
            <w:r w:rsidRPr="000973F2">
              <w:rPr>
                <w:rFonts w:ascii="Times New Roman" w:eastAsia="Times New Roman" w:hAnsi="Times New Roman" w:cs="Times New Roman"/>
                <w:b/>
                <w:bCs/>
                <w:sz w:val="18"/>
                <w:szCs w:val="18"/>
              </w:rPr>
              <w:t>Initial Year Hours</w:t>
            </w:r>
          </w:p>
        </w:tc>
        <w:tc>
          <w:tcPr>
            <w:tcW w:w="422" w:type="pct"/>
            <w:tcMar>
              <w:left w:w="14" w:type="dxa"/>
              <w:right w:w="14" w:type="dxa"/>
            </w:tcMar>
            <w:hideMark/>
          </w:tcPr>
          <w:p w14:paraId="40EB3574" w14:textId="09E38F81" w:rsidR="0001781A" w:rsidRPr="000973F2" w:rsidRDefault="0001781A" w:rsidP="006306B1">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18"/>
                <w:szCs w:val="18"/>
              </w:rPr>
            </w:pPr>
            <w:r w:rsidRPr="000973F2">
              <w:rPr>
                <w:rFonts w:ascii="Times New Roman" w:eastAsia="Times New Roman" w:hAnsi="Times New Roman" w:cs="Times New Roman"/>
                <w:b/>
                <w:bCs/>
                <w:sz w:val="18"/>
                <w:szCs w:val="18"/>
              </w:rPr>
              <w:t>Subseq. Year Hours</w:t>
            </w:r>
          </w:p>
        </w:tc>
        <w:tc>
          <w:tcPr>
            <w:tcW w:w="422" w:type="pct"/>
            <w:tcMar>
              <w:left w:w="14" w:type="dxa"/>
              <w:right w:w="14" w:type="dxa"/>
            </w:tcMar>
            <w:hideMark/>
          </w:tcPr>
          <w:p w14:paraId="1DCB8331" w14:textId="7A04EFB9" w:rsidR="0001781A" w:rsidRPr="000973F2" w:rsidRDefault="0001781A" w:rsidP="006306B1">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18"/>
                <w:szCs w:val="18"/>
              </w:rPr>
            </w:pPr>
            <w:r w:rsidRPr="000973F2">
              <w:rPr>
                <w:rFonts w:ascii="Times New Roman" w:eastAsia="Times New Roman" w:hAnsi="Times New Roman" w:cs="Times New Roman"/>
                <w:b/>
                <w:bCs/>
                <w:sz w:val="18"/>
                <w:szCs w:val="18"/>
              </w:rPr>
              <w:t>Initial Year Hours</w:t>
            </w:r>
          </w:p>
        </w:tc>
        <w:tc>
          <w:tcPr>
            <w:tcW w:w="422" w:type="pct"/>
            <w:tcMar>
              <w:left w:w="14" w:type="dxa"/>
              <w:right w:w="14" w:type="dxa"/>
            </w:tcMar>
            <w:hideMark/>
          </w:tcPr>
          <w:p w14:paraId="4E68199C" w14:textId="2A6D7E53" w:rsidR="0001781A" w:rsidRPr="000973F2" w:rsidRDefault="0001781A" w:rsidP="006306B1">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18"/>
                <w:szCs w:val="18"/>
              </w:rPr>
            </w:pPr>
            <w:r w:rsidRPr="000973F2">
              <w:rPr>
                <w:rFonts w:ascii="Times New Roman" w:eastAsia="Times New Roman" w:hAnsi="Times New Roman" w:cs="Times New Roman"/>
                <w:b/>
                <w:bCs/>
                <w:sz w:val="18"/>
                <w:szCs w:val="18"/>
              </w:rPr>
              <w:t>Subseq. Year Hours</w:t>
            </w:r>
          </w:p>
        </w:tc>
        <w:tc>
          <w:tcPr>
            <w:tcW w:w="454" w:type="pct"/>
            <w:tcMar>
              <w:left w:w="14" w:type="dxa"/>
              <w:right w:w="14" w:type="dxa"/>
            </w:tcMar>
            <w:hideMark/>
          </w:tcPr>
          <w:p w14:paraId="0AAB4925" w14:textId="77777777" w:rsidR="0001781A" w:rsidRPr="000973F2" w:rsidRDefault="0001781A" w:rsidP="006306B1">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18"/>
                <w:szCs w:val="18"/>
              </w:rPr>
            </w:pPr>
            <w:r w:rsidRPr="000973F2">
              <w:rPr>
                <w:rFonts w:ascii="Times New Roman" w:eastAsia="Times New Roman" w:hAnsi="Times New Roman" w:cs="Times New Roman"/>
                <w:b/>
                <w:bCs/>
                <w:sz w:val="18"/>
                <w:szCs w:val="18"/>
              </w:rPr>
              <w:t>Initial Year</w:t>
            </w:r>
          </w:p>
        </w:tc>
        <w:tc>
          <w:tcPr>
            <w:tcW w:w="452" w:type="pct"/>
            <w:tcMar>
              <w:left w:w="14" w:type="dxa"/>
              <w:right w:w="14" w:type="dxa"/>
            </w:tcMar>
            <w:hideMark/>
          </w:tcPr>
          <w:p w14:paraId="6821D141" w14:textId="77777777" w:rsidR="0001781A" w:rsidRPr="000973F2" w:rsidRDefault="0001781A" w:rsidP="006306B1">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18"/>
                <w:szCs w:val="18"/>
              </w:rPr>
            </w:pPr>
            <w:r w:rsidRPr="000973F2">
              <w:rPr>
                <w:rFonts w:ascii="Times New Roman" w:eastAsia="Times New Roman" w:hAnsi="Times New Roman" w:cs="Times New Roman"/>
                <w:b/>
                <w:bCs/>
                <w:sz w:val="18"/>
                <w:szCs w:val="18"/>
              </w:rPr>
              <w:t>Subseq. Year</w:t>
            </w:r>
          </w:p>
        </w:tc>
      </w:tr>
      <w:tr w:rsidR="009B7774" w:rsidRPr="000973F2" w14:paraId="7532F1BD" w14:textId="77777777" w:rsidTr="009B7774">
        <w:trPr>
          <w:cantSplit/>
        </w:trPr>
        <w:tc>
          <w:tcPr>
            <w:cnfStyle w:val="001000000000" w:firstRow="0" w:lastRow="0" w:firstColumn="1" w:lastColumn="0" w:oddVBand="0" w:evenVBand="0" w:oddHBand="0" w:evenHBand="0" w:firstRowFirstColumn="0" w:firstRowLastColumn="0" w:lastRowFirstColumn="0" w:lastRowLastColumn="0"/>
            <w:tcW w:w="715" w:type="pct"/>
            <w:tcMar>
              <w:right w:w="14" w:type="dxa"/>
            </w:tcMar>
            <w:hideMark/>
          </w:tcPr>
          <w:p w14:paraId="76467FEC" w14:textId="77777777" w:rsidR="009B7774" w:rsidRPr="000973F2" w:rsidRDefault="009B7774" w:rsidP="009B7774">
            <w:pPr>
              <w:spacing w:before="40" w:after="4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Planning</w:t>
            </w:r>
          </w:p>
        </w:tc>
        <w:tc>
          <w:tcPr>
            <w:tcW w:w="422" w:type="pct"/>
            <w:noWrap/>
            <w:hideMark/>
          </w:tcPr>
          <w:p w14:paraId="09A66B5C" w14:textId="47D6AD92" w:rsidR="009B7774" w:rsidRPr="000973F2" w:rsidRDefault="009B7774" w:rsidP="009B7774">
            <w:pPr>
              <w:spacing w:before="40" w:after="4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w:t>
            </w:r>
          </w:p>
        </w:tc>
        <w:tc>
          <w:tcPr>
            <w:tcW w:w="426" w:type="pct"/>
            <w:noWrap/>
            <w:hideMark/>
          </w:tcPr>
          <w:p w14:paraId="50716E2E" w14:textId="6A5B809A" w:rsidR="009B7774" w:rsidRPr="000973F2" w:rsidRDefault="009B7774" w:rsidP="009B7774">
            <w:pPr>
              <w:spacing w:before="40" w:after="4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w:t>
            </w:r>
          </w:p>
        </w:tc>
        <w:tc>
          <w:tcPr>
            <w:tcW w:w="422" w:type="pct"/>
            <w:noWrap/>
            <w:hideMark/>
          </w:tcPr>
          <w:p w14:paraId="2A9CB8AC" w14:textId="3C3BA7A5" w:rsidR="009B7774" w:rsidRPr="000973F2" w:rsidRDefault="009B7774" w:rsidP="009B7774">
            <w:pPr>
              <w:spacing w:before="40" w:after="4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w:t>
            </w:r>
          </w:p>
        </w:tc>
        <w:tc>
          <w:tcPr>
            <w:tcW w:w="422" w:type="pct"/>
            <w:noWrap/>
            <w:hideMark/>
          </w:tcPr>
          <w:p w14:paraId="59656FC8" w14:textId="51FE1DBE" w:rsidR="009B7774" w:rsidRPr="000973F2" w:rsidRDefault="009B7774" w:rsidP="009B7774">
            <w:pPr>
              <w:spacing w:before="40" w:after="4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w:t>
            </w:r>
          </w:p>
        </w:tc>
        <w:tc>
          <w:tcPr>
            <w:tcW w:w="422" w:type="pct"/>
            <w:noWrap/>
            <w:hideMark/>
          </w:tcPr>
          <w:p w14:paraId="237E2892" w14:textId="181485EB" w:rsidR="009B7774" w:rsidRPr="000973F2" w:rsidRDefault="009B7774" w:rsidP="009B7774">
            <w:pPr>
              <w:tabs>
                <w:tab w:val="decimal" w:pos="339"/>
              </w:tabs>
              <w:spacing w:before="40" w:after="4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w:t>
            </w:r>
          </w:p>
        </w:tc>
        <w:tc>
          <w:tcPr>
            <w:tcW w:w="422" w:type="pct"/>
            <w:noWrap/>
            <w:hideMark/>
          </w:tcPr>
          <w:p w14:paraId="39E72582" w14:textId="697D615B" w:rsidR="009B7774" w:rsidRPr="000973F2" w:rsidRDefault="009B7774" w:rsidP="009B7774">
            <w:pPr>
              <w:tabs>
                <w:tab w:val="decimal" w:pos="339"/>
              </w:tabs>
              <w:spacing w:before="40" w:after="4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w:t>
            </w:r>
          </w:p>
        </w:tc>
        <w:tc>
          <w:tcPr>
            <w:tcW w:w="422" w:type="pct"/>
            <w:noWrap/>
            <w:hideMark/>
          </w:tcPr>
          <w:p w14:paraId="7396B61A" w14:textId="058AEB14" w:rsidR="009B7774" w:rsidRPr="000973F2" w:rsidRDefault="009B7774" w:rsidP="009B7774">
            <w:pPr>
              <w:spacing w:before="40" w:after="4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w:t>
            </w:r>
          </w:p>
        </w:tc>
        <w:tc>
          <w:tcPr>
            <w:tcW w:w="422" w:type="pct"/>
            <w:noWrap/>
            <w:hideMark/>
          </w:tcPr>
          <w:p w14:paraId="77D50764" w14:textId="7824D1FB" w:rsidR="009B7774" w:rsidRPr="000973F2" w:rsidRDefault="009B7774" w:rsidP="009B7774">
            <w:pPr>
              <w:spacing w:before="40" w:after="4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w:t>
            </w:r>
          </w:p>
        </w:tc>
        <w:tc>
          <w:tcPr>
            <w:tcW w:w="454" w:type="pct"/>
            <w:noWrap/>
            <w:hideMark/>
          </w:tcPr>
          <w:p w14:paraId="42898296" w14:textId="3818AF59" w:rsidR="009B7774" w:rsidRPr="000973F2" w:rsidRDefault="009B7774" w:rsidP="009B7774">
            <w:pPr>
              <w:tabs>
                <w:tab w:val="decimal" w:pos="457"/>
              </w:tabs>
              <w:spacing w:before="40" w:after="4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w:t>
            </w:r>
          </w:p>
        </w:tc>
        <w:tc>
          <w:tcPr>
            <w:tcW w:w="452" w:type="pct"/>
            <w:noWrap/>
            <w:hideMark/>
          </w:tcPr>
          <w:p w14:paraId="306386B1" w14:textId="0FDBFA70" w:rsidR="009B7774" w:rsidRPr="000973F2" w:rsidRDefault="009B7774" w:rsidP="009B7774">
            <w:pPr>
              <w:tabs>
                <w:tab w:val="decimal" w:pos="457"/>
              </w:tabs>
              <w:spacing w:before="40" w:after="4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w:t>
            </w:r>
          </w:p>
        </w:tc>
      </w:tr>
      <w:tr w:rsidR="009B7774" w:rsidRPr="000973F2" w14:paraId="5EBCBDB5" w14:textId="77777777" w:rsidTr="009B7774">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715" w:type="pct"/>
            <w:tcMar>
              <w:right w:w="14" w:type="dxa"/>
            </w:tcMar>
            <w:hideMark/>
          </w:tcPr>
          <w:p w14:paraId="3E70DDC4" w14:textId="77777777" w:rsidR="009B7774" w:rsidRPr="000973F2" w:rsidRDefault="009B7774" w:rsidP="009B7774">
            <w:pPr>
              <w:spacing w:before="40" w:after="4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QA/QC</w:t>
            </w:r>
          </w:p>
        </w:tc>
        <w:tc>
          <w:tcPr>
            <w:tcW w:w="422" w:type="pct"/>
            <w:noWrap/>
            <w:hideMark/>
          </w:tcPr>
          <w:p w14:paraId="0AF876A8" w14:textId="17F3C1CD" w:rsidR="009B7774" w:rsidRPr="000973F2" w:rsidRDefault="009B7774" w:rsidP="009B7774">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w:t>
            </w:r>
          </w:p>
        </w:tc>
        <w:tc>
          <w:tcPr>
            <w:tcW w:w="426" w:type="pct"/>
            <w:noWrap/>
            <w:hideMark/>
          </w:tcPr>
          <w:p w14:paraId="78ECC553" w14:textId="5F276260" w:rsidR="009B7774" w:rsidRPr="000973F2" w:rsidRDefault="009B7774" w:rsidP="009B7774">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w:t>
            </w:r>
          </w:p>
        </w:tc>
        <w:tc>
          <w:tcPr>
            <w:tcW w:w="422" w:type="pct"/>
            <w:noWrap/>
            <w:hideMark/>
          </w:tcPr>
          <w:p w14:paraId="2E5AE722" w14:textId="79EC8E84" w:rsidR="009B7774" w:rsidRPr="000973F2" w:rsidRDefault="009B7774" w:rsidP="009B7774">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w:t>
            </w:r>
          </w:p>
        </w:tc>
        <w:tc>
          <w:tcPr>
            <w:tcW w:w="422" w:type="pct"/>
            <w:noWrap/>
            <w:hideMark/>
          </w:tcPr>
          <w:p w14:paraId="7061BF11" w14:textId="3DF9548A" w:rsidR="009B7774" w:rsidRPr="000973F2" w:rsidRDefault="009B7774" w:rsidP="009B7774">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w:t>
            </w:r>
          </w:p>
        </w:tc>
        <w:tc>
          <w:tcPr>
            <w:tcW w:w="422" w:type="pct"/>
            <w:noWrap/>
            <w:hideMark/>
          </w:tcPr>
          <w:p w14:paraId="70EBE675" w14:textId="62C3F850" w:rsidR="009B7774" w:rsidRPr="000973F2" w:rsidRDefault="009B7774" w:rsidP="009B7774">
            <w:pPr>
              <w:tabs>
                <w:tab w:val="decimal" w:pos="339"/>
              </w:tabs>
              <w:spacing w:before="40" w:after="4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w:t>
            </w:r>
          </w:p>
        </w:tc>
        <w:tc>
          <w:tcPr>
            <w:tcW w:w="422" w:type="pct"/>
            <w:noWrap/>
            <w:hideMark/>
          </w:tcPr>
          <w:p w14:paraId="24F51D4D" w14:textId="2635F35D" w:rsidR="009B7774" w:rsidRPr="000973F2" w:rsidRDefault="009B7774" w:rsidP="009B7774">
            <w:pPr>
              <w:tabs>
                <w:tab w:val="decimal" w:pos="339"/>
              </w:tabs>
              <w:spacing w:before="40" w:after="4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w:t>
            </w:r>
          </w:p>
        </w:tc>
        <w:tc>
          <w:tcPr>
            <w:tcW w:w="422" w:type="pct"/>
            <w:noWrap/>
            <w:hideMark/>
          </w:tcPr>
          <w:p w14:paraId="6A71E41E" w14:textId="047E24D1" w:rsidR="009B7774" w:rsidRPr="000973F2" w:rsidRDefault="009B7774" w:rsidP="009B7774">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w:t>
            </w:r>
          </w:p>
        </w:tc>
        <w:tc>
          <w:tcPr>
            <w:tcW w:w="422" w:type="pct"/>
            <w:noWrap/>
            <w:hideMark/>
          </w:tcPr>
          <w:p w14:paraId="2E49483D" w14:textId="7291833E" w:rsidR="009B7774" w:rsidRPr="000973F2" w:rsidRDefault="009B7774" w:rsidP="009B7774">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w:t>
            </w:r>
          </w:p>
        </w:tc>
        <w:tc>
          <w:tcPr>
            <w:tcW w:w="454" w:type="pct"/>
            <w:noWrap/>
            <w:hideMark/>
          </w:tcPr>
          <w:p w14:paraId="4C6510DE" w14:textId="2CCF7AB5" w:rsidR="009B7774" w:rsidRPr="000973F2" w:rsidRDefault="009B7774" w:rsidP="009B7774">
            <w:pPr>
              <w:tabs>
                <w:tab w:val="decimal" w:pos="457"/>
              </w:tabs>
              <w:spacing w:before="40" w:after="4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w:t>
            </w:r>
          </w:p>
        </w:tc>
        <w:tc>
          <w:tcPr>
            <w:tcW w:w="452" w:type="pct"/>
            <w:noWrap/>
            <w:hideMark/>
          </w:tcPr>
          <w:p w14:paraId="5C450424" w14:textId="38F2D67B" w:rsidR="009B7774" w:rsidRPr="000973F2" w:rsidRDefault="009B7774" w:rsidP="009B7774">
            <w:pPr>
              <w:tabs>
                <w:tab w:val="decimal" w:pos="457"/>
              </w:tabs>
              <w:spacing w:before="40" w:after="4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w:t>
            </w:r>
          </w:p>
        </w:tc>
      </w:tr>
      <w:tr w:rsidR="009B7774" w:rsidRPr="000973F2" w14:paraId="1BD31233" w14:textId="77777777" w:rsidTr="009B7774">
        <w:trPr>
          <w:cantSplit/>
        </w:trPr>
        <w:tc>
          <w:tcPr>
            <w:cnfStyle w:val="001000000000" w:firstRow="0" w:lastRow="0" w:firstColumn="1" w:lastColumn="0" w:oddVBand="0" w:evenVBand="0" w:oddHBand="0" w:evenHBand="0" w:firstRowFirstColumn="0" w:firstRowLastColumn="0" w:lastRowFirstColumn="0" w:lastRowLastColumn="0"/>
            <w:tcW w:w="715" w:type="pct"/>
            <w:tcMar>
              <w:right w:w="14" w:type="dxa"/>
            </w:tcMar>
            <w:hideMark/>
          </w:tcPr>
          <w:p w14:paraId="09C6A06C" w14:textId="77777777" w:rsidR="009B7774" w:rsidRPr="000973F2" w:rsidRDefault="009B7774" w:rsidP="009B7774">
            <w:pPr>
              <w:spacing w:before="40" w:after="4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Recordkeeping</w:t>
            </w:r>
          </w:p>
        </w:tc>
        <w:tc>
          <w:tcPr>
            <w:tcW w:w="422" w:type="pct"/>
            <w:noWrap/>
            <w:hideMark/>
          </w:tcPr>
          <w:p w14:paraId="240516A5" w14:textId="2DDB4DE9" w:rsidR="009B7774" w:rsidRPr="000973F2" w:rsidRDefault="009B7774" w:rsidP="009B7774">
            <w:pPr>
              <w:spacing w:before="40" w:after="4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w:t>
            </w:r>
          </w:p>
        </w:tc>
        <w:tc>
          <w:tcPr>
            <w:tcW w:w="426" w:type="pct"/>
            <w:noWrap/>
            <w:hideMark/>
          </w:tcPr>
          <w:p w14:paraId="72426F63" w14:textId="6823A62A" w:rsidR="009B7774" w:rsidRPr="000973F2" w:rsidRDefault="009B7774" w:rsidP="009B7774">
            <w:pPr>
              <w:spacing w:before="40" w:after="4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w:t>
            </w:r>
          </w:p>
        </w:tc>
        <w:tc>
          <w:tcPr>
            <w:tcW w:w="422" w:type="pct"/>
            <w:noWrap/>
            <w:hideMark/>
          </w:tcPr>
          <w:p w14:paraId="79B812AF" w14:textId="2246186C" w:rsidR="009B7774" w:rsidRPr="000973F2" w:rsidRDefault="009B7774" w:rsidP="009B7774">
            <w:pPr>
              <w:spacing w:before="40" w:after="4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w:t>
            </w:r>
          </w:p>
        </w:tc>
        <w:tc>
          <w:tcPr>
            <w:tcW w:w="422" w:type="pct"/>
            <w:noWrap/>
            <w:hideMark/>
          </w:tcPr>
          <w:p w14:paraId="25B1CF2B" w14:textId="56C6F16C" w:rsidR="009B7774" w:rsidRPr="000973F2" w:rsidRDefault="009B7774" w:rsidP="009B7774">
            <w:pPr>
              <w:spacing w:before="40" w:after="4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w:t>
            </w:r>
          </w:p>
        </w:tc>
        <w:tc>
          <w:tcPr>
            <w:tcW w:w="422" w:type="pct"/>
            <w:noWrap/>
            <w:hideMark/>
          </w:tcPr>
          <w:p w14:paraId="31656762" w14:textId="651CE385" w:rsidR="009B7774" w:rsidRPr="000973F2" w:rsidRDefault="009B7774" w:rsidP="009B7774">
            <w:pPr>
              <w:tabs>
                <w:tab w:val="decimal" w:pos="339"/>
              </w:tabs>
              <w:spacing w:before="40" w:after="4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w:t>
            </w:r>
          </w:p>
        </w:tc>
        <w:tc>
          <w:tcPr>
            <w:tcW w:w="422" w:type="pct"/>
            <w:noWrap/>
            <w:hideMark/>
          </w:tcPr>
          <w:p w14:paraId="1A3BEE60" w14:textId="0F44DE21" w:rsidR="009B7774" w:rsidRPr="000973F2" w:rsidRDefault="009B7774" w:rsidP="009B7774">
            <w:pPr>
              <w:tabs>
                <w:tab w:val="decimal" w:pos="339"/>
              </w:tabs>
              <w:spacing w:before="40" w:after="4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w:t>
            </w:r>
          </w:p>
        </w:tc>
        <w:tc>
          <w:tcPr>
            <w:tcW w:w="422" w:type="pct"/>
            <w:noWrap/>
            <w:hideMark/>
          </w:tcPr>
          <w:p w14:paraId="08348F34" w14:textId="0836C1EB" w:rsidR="009B7774" w:rsidRPr="000973F2" w:rsidRDefault="009B7774" w:rsidP="009B7774">
            <w:pPr>
              <w:spacing w:before="40" w:after="4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w:t>
            </w:r>
          </w:p>
        </w:tc>
        <w:tc>
          <w:tcPr>
            <w:tcW w:w="422" w:type="pct"/>
            <w:noWrap/>
            <w:hideMark/>
          </w:tcPr>
          <w:p w14:paraId="63666573" w14:textId="5F0C5B90" w:rsidR="009B7774" w:rsidRPr="000973F2" w:rsidRDefault="009B7774" w:rsidP="009B7774">
            <w:pPr>
              <w:spacing w:before="40" w:after="4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w:t>
            </w:r>
          </w:p>
        </w:tc>
        <w:tc>
          <w:tcPr>
            <w:tcW w:w="454" w:type="pct"/>
            <w:noWrap/>
            <w:hideMark/>
          </w:tcPr>
          <w:p w14:paraId="6A4EE961" w14:textId="49DCD4C9" w:rsidR="009B7774" w:rsidRPr="000973F2" w:rsidRDefault="009B7774" w:rsidP="009B7774">
            <w:pPr>
              <w:tabs>
                <w:tab w:val="decimal" w:pos="457"/>
              </w:tabs>
              <w:spacing w:before="40" w:after="4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w:t>
            </w:r>
          </w:p>
        </w:tc>
        <w:tc>
          <w:tcPr>
            <w:tcW w:w="452" w:type="pct"/>
            <w:noWrap/>
            <w:hideMark/>
          </w:tcPr>
          <w:p w14:paraId="705C310F" w14:textId="3F217F08" w:rsidR="009B7774" w:rsidRPr="000973F2" w:rsidRDefault="009B7774" w:rsidP="009B7774">
            <w:pPr>
              <w:tabs>
                <w:tab w:val="decimal" w:pos="457"/>
              </w:tabs>
              <w:spacing w:before="40" w:after="4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w:t>
            </w:r>
          </w:p>
        </w:tc>
      </w:tr>
      <w:tr w:rsidR="009B7774" w:rsidRPr="000973F2" w14:paraId="07467885" w14:textId="77777777" w:rsidTr="009B7774">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715" w:type="pct"/>
            <w:tcMar>
              <w:right w:w="14" w:type="dxa"/>
            </w:tcMar>
            <w:hideMark/>
          </w:tcPr>
          <w:p w14:paraId="0B6DEAD9" w14:textId="77777777" w:rsidR="009B7774" w:rsidRPr="000973F2" w:rsidRDefault="009B7774" w:rsidP="009B7774">
            <w:pPr>
              <w:spacing w:before="40" w:after="4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Sampling and Analysis (Calculations)</w:t>
            </w:r>
          </w:p>
        </w:tc>
        <w:tc>
          <w:tcPr>
            <w:tcW w:w="422" w:type="pct"/>
            <w:noWrap/>
            <w:hideMark/>
          </w:tcPr>
          <w:p w14:paraId="12D742C7" w14:textId="217AB641" w:rsidR="009B7774" w:rsidRPr="000973F2" w:rsidRDefault="009B7774" w:rsidP="009B7774">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0</w:t>
            </w:r>
          </w:p>
        </w:tc>
        <w:tc>
          <w:tcPr>
            <w:tcW w:w="426" w:type="pct"/>
            <w:noWrap/>
            <w:hideMark/>
          </w:tcPr>
          <w:p w14:paraId="67298BC1" w14:textId="022F7BAB" w:rsidR="009B7774" w:rsidRPr="000973F2" w:rsidRDefault="009B7774" w:rsidP="009B7774">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0</w:t>
            </w:r>
          </w:p>
        </w:tc>
        <w:tc>
          <w:tcPr>
            <w:tcW w:w="422" w:type="pct"/>
            <w:noWrap/>
            <w:hideMark/>
          </w:tcPr>
          <w:p w14:paraId="3FE3658C" w14:textId="32251D02" w:rsidR="009B7774" w:rsidRPr="000973F2" w:rsidRDefault="009B7774" w:rsidP="009B7774">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0</w:t>
            </w:r>
          </w:p>
        </w:tc>
        <w:tc>
          <w:tcPr>
            <w:tcW w:w="422" w:type="pct"/>
            <w:noWrap/>
            <w:hideMark/>
          </w:tcPr>
          <w:p w14:paraId="11BB7E0F" w14:textId="49653301" w:rsidR="009B7774" w:rsidRPr="000973F2" w:rsidRDefault="009B7774" w:rsidP="009B7774">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0</w:t>
            </w:r>
          </w:p>
        </w:tc>
        <w:tc>
          <w:tcPr>
            <w:tcW w:w="422" w:type="pct"/>
            <w:noWrap/>
            <w:hideMark/>
          </w:tcPr>
          <w:p w14:paraId="60DFC2E4" w14:textId="77777777" w:rsidR="009B7774" w:rsidRPr="000973F2" w:rsidRDefault="009B7774" w:rsidP="009B7774">
            <w:pPr>
              <w:tabs>
                <w:tab w:val="decimal" w:pos="339"/>
              </w:tabs>
              <w:spacing w:before="40" w:after="4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20</w:t>
            </w:r>
          </w:p>
        </w:tc>
        <w:tc>
          <w:tcPr>
            <w:tcW w:w="422" w:type="pct"/>
            <w:noWrap/>
            <w:hideMark/>
          </w:tcPr>
          <w:p w14:paraId="03447C93" w14:textId="77777777" w:rsidR="009B7774" w:rsidRPr="000973F2" w:rsidRDefault="009B7774" w:rsidP="009B7774">
            <w:pPr>
              <w:tabs>
                <w:tab w:val="decimal" w:pos="339"/>
              </w:tabs>
              <w:spacing w:before="40" w:after="4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20</w:t>
            </w:r>
          </w:p>
        </w:tc>
        <w:tc>
          <w:tcPr>
            <w:tcW w:w="422" w:type="pct"/>
            <w:noWrap/>
            <w:hideMark/>
          </w:tcPr>
          <w:p w14:paraId="756BBB69" w14:textId="025125E9" w:rsidR="009B7774" w:rsidRPr="000973F2" w:rsidRDefault="009B7774" w:rsidP="009B7774">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0</w:t>
            </w:r>
          </w:p>
        </w:tc>
        <w:tc>
          <w:tcPr>
            <w:tcW w:w="422" w:type="pct"/>
            <w:noWrap/>
            <w:hideMark/>
          </w:tcPr>
          <w:p w14:paraId="4101AB33" w14:textId="60D91572" w:rsidR="009B7774" w:rsidRPr="000973F2" w:rsidRDefault="009B7774" w:rsidP="009B7774">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0</w:t>
            </w:r>
          </w:p>
        </w:tc>
        <w:tc>
          <w:tcPr>
            <w:tcW w:w="454" w:type="pct"/>
            <w:noWrap/>
            <w:hideMark/>
          </w:tcPr>
          <w:p w14:paraId="78119E43" w14:textId="54A39D99" w:rsidR="009B7774" w:rsidRPr="000973F2" w:rsidRDefault="009B7774" w:rsidP="009B7774">
            <w:pPr>
              <w:tabs>
                <w:tab w:val="decimal" w:pos="457"/>
              </w:tabs>
              <w:spacing w:before="40" w:after="4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$1,426</w:t>
            </w:r>
          </w:p>
        </w:tc>
        <w:tc>
          <w:tcPr>
            <w:tcW w:w="452" w:type="pct"/>
            <w:noWrap/>
            <w:hideMark/>
          </w:tcPr>
          <w:p w14:paraId="56F16F44" w14:textId="29532D6B" w:rsidR="009B7774" w:rsidRPr="000973F2" w:rsidRDefault="009B7774" w:rsidP="009B7774">
            <w:pPr>
              <w:tabs>
                <w:tab w:val="decimal" w:pos="457"/>
              </w:tabs>
              <w:spacing w:before="40" w:after="4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$1,426</w:t>
            </w:r>
          </w:p>
        </w:tc>
      </w:tr>
      <w:tr w:rsidR="009B7774" w:rsidRPr="000973F2" w14:paraId="7DFBC821" w14:textId="77777777" w:rsidTr="009B7774">
        <w:trPr>
          <w:cantSplit/>
        </w:trPr>
        <w:tc>
          <w:tcPr>
            <w:cnfStyle w:val="001000000000" w:firstRow="0" w:lastRow="0" w:firstColumn="1" w:lastColumn="0" w:oddVBand="0" w:evenVBand="0" w:oddHBand="0" w:evenHBand="0" w:firstRowFirstColumn="0" w:firstRowLastColumn="0" w:lastRowFirstColumn="0" w:lastRowLastColumn="0"/>
            <w:tcW w:w="715" w:type="pct"/>
            <w:tcMar>
              <w:right w:w="14" w:type="dxa"/>
            </w:tcMar>
            <w:hideMark/>
          </w:tcPr>
          <w:p w14:paraId="358A409D" w14:textId="77777777" w:rsidR="009B7774" w:rsidRPr="000973F2" w:rsidRDefault="009B7774" w:rsidP="009B7774">
            <w:pPr>
              <w:spacing w:before="40" w:after="4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Reporting</w:t>
            </w:r>
          </w:p>
        </w:tc>
        <w:tc>
          <w:tcPr>
            <w:tcW w:w="422" w:type="pct"/>
            <w:noWrap/>
            <w:hideMark/>
          </w:tcPr>
          <w:p w14:paraId="13DD86A7" w14:textId="07C7403F" w:rsidR="009B7774" w:rsidRPr="000973F2" w:rsidRDefault="009B7774" w:rsidP="009B7774">
            <w:pPr>
              <w:spacing w:before="40" w:after="4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w:t>
            </w:r>
          </w:p>
        </w:tc>
        <w:tc>
          <w:tcPr>
            <w:tcW w:w="426" w:type="pct"/>
            <w:noWrap/>
            <w:hideMark/>
          </w:tcPr>
          <w:p w14:paraId="34837050" w14:textId="33A77902" w:rsidR="009B7774" w:rsidRPr="000973F2" w:rsidRDefault="009B7774" w:rsidP="009B7774">
            <w:pPr>
              <w:spacing w:before="40" w:after="4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w:t>
            </w:r>
          </w:p>
        </w:tc>
        <w:tc>
          <w:tcPr>
            <w:tcW w:w="422" w:type="pct"/>
            <w:noWrap/>
            <w:hideMark/>
          </w:tcPr>
          <w:p w14:paraId="31787705" w14:textId="58ABDD07" w:rsidR="009B7774" w:rsidRPr="000973F2" w:rsidRDefault="009B7774" w:rsidP="009B7774">
            <w:pPr>
              <w:spacing w:before="40" w:after="4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w:t>
            </w:r>
          </w:p>
        </w:tc>
        <w:tc>
          <w:tcPr>
            <w:tcW w:w="422" w:type="pct"/>
            <w:noWrap/>
            <w:hideMark/>
          </w:tcPr>
          <w:p w14:paraId="757AB901" w14:textId="648DA6F3" w:rsidR="009B7774" w:rsidRPr="000973F2" w:rsidRDefault="009B7774" w:rsidP="009B7774">
            <w:pPr>
              <w:spacing w:before="40" w:after="4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w:t>
            </w:r>
          </w:p>
        </w:tc>
        <w:tc>
          <w:tcPr>
            <w:tcW w:w="422" w:type="pct"/>
            <w:noWrap/>
            <w:hideMark/>
          </w:tcPr>
          <w:p w14:paraId="0018526E" w14:textId="3223FD66" w:rsidR="009B7774" w:rsidRPr="000973F2" w:rsidRDefault="009B7774" w:rsidP="009B7774">
            <w:pPr>
              <w:tabs>
                <w:tab w:val="decimal" w:pos="339"/>
              </w:tabs>
              <w:spacing w:before="40" w:after="4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w:t>
            </w:r>
          </w:p>
        </w:tc>
        <w:tc>
          <w:tcPr>
            <w:tcW w:w="422" w:type="pct"/>
            <w:noWrap/>
            <w:hideMark/>
          </w:tcPr>
          <w:p w14:paraId="401EEB33" w14:textId="5583B618" w:rsidR="009B7774" w:rsidRPr="000973F2" w:rsidRDefault="009B7774" w:rsidP="009B7774">
            <w:pPr>
              <w:tabs>
                <w:tab w:val="decimal" w:pos="339"/>
              </w:tabs>
              <w:spacing w:before="40" w:after="4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w:t>
            </w:r>
          </w:p>
        </w:tc>
        <w:tc>
          <w:tcPr>
            <w:tcW w:w="422" w:type="pct"/>
            <w:noWrap/>
            <w:hideMark/>
          </w:tcPr>
          <w:p w14:paraId="7D31E7EE" w14:textId="0E08E187" w:rsidR="009B7774" w:rsidRPr="000973F2" w:rsidRDefault="009B7774" w:rsidP="009B7774">
            <w:pPr>
              <w:spacing w:before="40" w:after="4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w:t>
            </w:r>
          </w:p>
        </w:tc>
        <w:tc>
          <w:tcPr>
            <w:tcW w:w="422" w:type="pct"/>
            <w:noWrap/>
            <w:hideMark/>
          </w:tcPr>
          <w:p w14:paraId="7E9B8C38" w14:textId="4D1BEC7F" w:rsidR="009B7774" w:rsidRPr="000973F2" w:rsidRDefault="009B7774" w:rsidP="009B7774">
            <w:pPr>
              <w:spacing w:before="40" w:after="4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w:t>
            </w:r>
          </w:p>
        </w:tc>
        <w:tc>
          <w:tcPr>
            <w:tcW w:w="454" w:type="pct"/>
            <w:noWrap/>
            <w:hideMark/>
          </w:tcPr>
          <w:p w14:paraId="305F3CCD" w14:textId="6B304A31" w:rsidR="009B7774" w:rsidRPr="000973F2" w:rsidRDefault="009B7774" w:rsidP="009B7774">
            <w:pPr>
              <w:tabs>
                <w:tab w:val="decimal" w:pos="457"/>
              </w:tabs>
              <w:spacing w:before="40" w:after="4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w:t>
            </w:r>
          </w:p>
        </w:tc>
        <w:tc>
          <w:tcPr>
            <w:tcW w:w="452" w:type="pct"/>
            <w:noWrap/>
            <w:hideMark/>
          </w:tcPr>
          <w:p w14:paraId="50AC5312" w14:textId="7935CAE7" w:rsidR="009B7774" w:rsidRPr="000973F2" w:rsidRDefault="009B7774" w:rsidP="009B7774">
            <w:pPr>
              <w:tabs>
                <w:tab w:val="decimal" w:pos="457"/>
              </w:tabs>
              <w:spacing w:before="40" w:after="4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w:t>
            </w:r>
          </w:p>
        </w:tc>
      </w:tr>
      <w:tr w:rsidR="0001781A" w:rsidRPr="000973F2" w14:paraId="0FE38CF1" w14:textId="77777777" w:rsidTr="009B7774">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715" w:type="pct"/>
            <w:noWrap/>
            <w:tcMar>
              <w:right w:w="14" w:type="dxa"/>
            </w:tcMar>
            <w:hideMark/>
          </w:tcPr>
          <w:p w14:paraId="3F399E16" w14:textId="77777777" w:rsidR="0001781A" w:rsidRPr="000973F2" w:rsidRDefault="0001781A" w:rsidP="006306B1">
            <w:pPr>
              <w:spacing w:before="40" w:after="40"/>
              <w:rPr>
                <w:rFonts w:ascii="Times New Roman" w:eastAsia="Times New Roman" w:hAnsi="Times New Roman" w:cs="Times New Roman"/>
                <w:b/>
                <w:bCs w:val="0"/>
                <w:sz w:val="18"/>
                <w:szCs w:val="18"/>
              </w:rPr>
            </w:pPr>
            <w:r w:rsidRPr="000973F2">
              <w:rPr>
                <w:rFonts w:ascii="Times New Roman" w:eastAsia="Times New Roman" w:hAnsi="Times New Roman" w:cs="Times New Roman"/>
                <w:b/>
                <w:sz w:val="18"/>
                <w:szCs w:val="18"/>
              </w:rPr>
              <w:t>Total</w:t>
            </w:r>
          </w:p>
        </w:tc>
        <w:tc>
          <w:tcPr>
            <w:tcW w:w="422" w:type="pct"/>
            <w:noWrap/>
            <w:hideMark/>
          </w:tcPr>
          <w:p w14:paraId="207294D3" w14:textId="77777777" w:rsidR="0001781A" w:rsidRPr="000973F2" w:rsidRDefault="0001781A" w:rsidP="006306B1">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18"/>
                <w:szCs w:val="18"/>
              </w:rPr>
            </w:pPr>
            <w:r w:rsidRPr="000973F2">
              <w:rPr>
                <w:rFonts w:ascii="Times New Roman" w:eastAsia="Times New Roman" w:hAnsi="Times New Roman" w:cs="Times New Roman"/>
                <w:b/>
                <w:bCs/>
                <w:sz w:val="18"/>
                <w:szCs w:val="18"/>
              </w:rPr>
              <w:t>0</w:t>
            </w:r>
          </w:p>
        </w:tc>
        <w:tc>
          <w:tcPr>
            <w:tcW w:w="426" w:type="pct"/>
            <w:noWrap/>
            <w:hideMark/>
          </w:tcPr>
          <w:p w14:paraId="66C42C88" w14:textId="77777777" w:rsidR="0001781A" w:rsidRPr="000973F2" w:rsidRDefault="0001781A" w:rsidP="006306B1">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18"/>
                <w:szCs w:val="18"/>
              </w:rPr>
            </w:pPr>
            <w:r w:rsidRPr="000973F2">
              <w:rPr>
                <w:rFonts w:ascii="Times New Roman" w:eastAsia="Times New Roman" w:hAnsi="Times New Roman" w:cs="Times New Roman"/>
                <w:b/>
                <w:bCs/>
                <w:sz w:val="18"/>
                <w:szCs w:val="18"/>
              </w:rPr>
              <w:t>0</w:t>
            </w:r>
          </w:p>
        </w:tc>
        <w:tc>
          <w:tcPr>
            <w:tcW w:w="422" w:type="pct"/>
            <w:noWrap/>
            <w:hideMark/>
          </w:tcPr>
          <w:p w14:paraId="0EED3AFF" w14:textId="77777777" w:rsidR="0001781A" w:rsidRPr="000973F2" w:rsidRDefault="0001781A" w:rsidP="006306B1">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18"/>
                <w:szCs w:val="18"/>
              </w:rPr>
            </w:pPr>
            <w:r w:rsidRPr="000973F2">
              <w:rPr>
                <w:rFonts w:ascii="Times New Roman" w:eastAsia="Times New Roman" w:hAnsi="Times New Roman" w:cs="Times New Roman"/>
                <w:b/>
                <w:bCs/>
                <w:sz w:val="18"/>
                <w:szCs w:val="18"/>
              </w:rPr>
              <w:t>0</w:t>
            </w:r>
          </w:p>
        </w:tc>
        <w:tc>
          <w:tcPr>
            <w:tcW w:w="422" w:type="pct"/>
            <w:noWrap/>
            <w:hideMark/>
          </w:tcPr>
          <w:p w14:paraId="3DFCF718" w14:textId="77777777" w:rsidR="0001781A" w:rsidRPr="000973F2" w:rsidRDefault="0001781A" w:rsidP="006306B1">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18"/>
                <w:szCs w:val="18"/>
              </w:rPr>
            </w:pPr>
            <w:r w:rsidRPr="000973F2">
              <w:rPr>
                <w:rFonts w:ascii="Times New Roman" w:eastAsia="Times New Roman" w:hAnsi="Times New Roman" w:cs="Times New Roman"/>
                <w:b/>
                <w:bCs/>
                <w:sz w:val="18"/>
                <w:szCs w:val="18"/>
              </w:rPr>
              <w:t>0</w:t>
            </w:r>
          </w:p>
        </w:tc>
        <w:tc>
          <w:tcPr>
            <w:tcW w:w="422" w:type="pct"/>
            <w:noWrap/>
            <w:hideMark/>
          </w:tcPr>
          <w:p w14:paraId="2CA01EE0" w14:textId="77777777" w:rsidR="0001781A" w:rsidRPr="000973F2" w:rsidRDefault="0001781A" w:rsidP="006306B1">
            <w:pPr>
              <w:tabs>
                <w:tab w:val="decimal" w:pos="339"/>
              </w:tabs>
              <w:spacing w:before="40" w:after="4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18"/>
                <w:szCs w:val="18"/>
              </w:rPr>
            </w:pPr>
            <w:r w:rsidRPr="000973F2">
              <w:rPr>
                <w:rFonts w:ascii="Times New Roman" w:eastAsia="Times New Roman" w:hAnsi="Times New Roman" w:cs="Times New Roman"/>
                <w:b/>
                <w:bCs/>
                <w:sz w:val="18"/>
                <w:szCs w:val="18"/>
              </w:rPr>
              <w:t>20</w:t>
            </w:r>
          </w:p>
        </w:tc>
        <w:tc>
          <w:tcPr>
            <w:tcW w:w="422" w:type="pct"/>
            <w:noWrap/>
            <w:hideMark/>
          </w:tcPr>
          <w:p w14:paraId="15CD31F9" w14:textId="77777777" w:rsidR="0001781A" w:rsidRPr="000973F2" w:rsidRDefault="0001781A" w:rsidP="006306B1">
            <w:pPr>
              <w:tabs>
                <w:tab w:val="decimal" w:pos="339"/>
              </w:tabs>
              <w:spacing w:before="40" w:after="4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18"/>
                <w:szCs w:val="18"/>
              </w:rPr>
            </w:pPr>
            <w:r w:rsidRPr="000973F2">
              <w:rPr>
                <w:rFonts w:ascii="Times New Roman" w:eastAsia="Times New Roman" w:hAnsi="Times New Roman" w:cs="Times New Roman"/>
                <w:b/>
                <w:bCs/>
                <w:sz w:val="18"/>
                <w:szCs w:val="18"/>
              </w:rPr>
              <w:t>20</w:t>
            </w:r>
          </w:p>
        </w:tc>
        <w:tc>
          <w:tcPr>
            <w:tcW w:w="422" w:type="pct"/>
            <w:noWrap/>
            <w:hideMark/>
          </w:tcPr>
          <w:p w14:paraId="7C02D294" w14:textId="77777777" w:rsidR="0001781A" w:rsidRPr="000973F2" w:rsidRDefault="0001781A" w:rsidP="006306B1">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18"/>
                <w:szCs w:val="18"/>
              </w:rPr>
            </w:pPr>
            <w:r w:rsidRPr="000973F2">
              <w:rPr>
                <w:rFonts w:ascii="Times New Roman" w:eastAsia="Times New Roman" w:hAnsi="Times New Roman" w:cs="Times New Roman"/>
                <w:b/>
                <w:bCs/>
                <w:sz w:val="18"/>
                <w:szCs w:val="18"/>
              </w:rPr>
              <w:t>0</w:t>
            </w:r>
          </w:p>
        </w:tc>
        <w:tc>
          <w:tcPr>
            <w:tcW w:w="422" w:type="pct"/>
            <w:noWrap/>
            <w:hideMark/>
          </w:tcPr>
          <w:p w14:paraId="13556FA7" w14:textId="77777777" w:rsidR="0001781A" w:rsidRPr="000973F2" w:rsidRDefault="0001781A" w:rsidP="006306B1">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18"/>
                <w:szCs w:val="18"/>
              </w:rPr>
            </w:pPr>
            <w:r w:rsidRPr="000973F2">
              <w:rPr>
                <w:rFonts w:ascii="Times New Roman" w:eastAsia="Times New Roman" w:hAnsi="Times New Roman" w:cs="Times New Roman"/>
                <w:b/>
                <w:bCs/>
                <w:sz w:val="18"/>
                <w:szCs w:val="18"/>
              </w:rPr>
              <w:t>0</w:t>
            </w:r>
          </w:p>
        </w:tc>
        <w:tc>
          <w:tcPr>
            <w:tcW w:w="454" w:type="pct"/>
            <w:noWrap/>
            <w:hideMark/>
          </w:tcPr>
          <w:p w14:paraId="4FA9251F" w14:textId="23E1D272" w:rsidR="0001781A" w:rsidRPr="000973F2" w:rsidRDefault="0001781A" w:rsidP="006306B1">
            <w:pPr>
              <w:tabs>
                <w:tab w:val="decimal" w:pos="457"/>
              </w:tabs>
              <w:spacing w:before="40" w:after="4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18"/>
                <w:szCs w:val="18"/>
              </w:rPr>
            </w:pPr>
            <w:r w:rsidRPr="000973F2">
              <w:rPr>
                <w:rFonts w:ascii="Times New Roman" w:eastAsia="Times New Roman" w:hAnsi="Times New Roman" w:cs="Times New Roman"/>
                <w:b/>
                <w:bCs/>
                <w:sz w:val="18"/>
                <w:szCs w:val="18"/>
              </w:rPr>
              <w:t>$1,426</w:t>
            </w:r>
          </w:p>
        </w:tc>
        <w:tc>
          <w:tcPr>
            <w:tcW w:w="452" w:type="pct"/>
            <w:noWrap/>
            <w:hideMark/>
          </w:tcPr>
          <w:p w14:paraId="2701ECBB" w14:textId="770218B7" w:rsidR="0001781A" w:rsidRPr="000973F2" w:rsidRDefault="0001781A" w:rsidP="006306B1">
            <w:pPr>
              <w:tabs>
                <w:tab w:val="decimal" w:pos="457"/>
              </w:tabs>
              <w:spacing w:before="40" w:after="4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18"/>
                <w:szCs w:val="18"/>
              </w:rPr>
            </w:pPr>
            <w:r w:rsidRPr="000973F2">
              <w:rPr>
                <w:rFonts w:ascii="Times New Roman" w:eastAsia="Times New Roman" w:hAnsi="Times New Roman" w:cs="Times New Roman"/>
                <w:b/>
                <w:bCs/>
                <w:sz w:val="18"/>
                <w:szCs w:val="18"/>
              </w:rPr>
              <w:t>$1,426</w:t>
            </w:r>
          </w:p>
        </w:tc>
      </w:tr>
    </w:tbl>
    <w:p w14:paraId="27A2A636" w14:textId="77777777" w:rsidR="0001781A" w:rsidRPr="000973F2" w:rsidRDefault="0001781A" w:rsidP="00C00E4F">
      <w:pPr>
        <w:pStyle w:val="AfterTable"/>
      </w:pPr>
    </w:p>
    <w:p w14:paraId="25CF22FC" w14:textId="77777777" w:rsidR="0001781A" w:rsidRPr="000973F2" w:rsidRDefault="0001781A" w:rsidP="00C00E4F">
      <w:pPr>
        <w:rPr>
          <w:i/>
        </w:rPr>
      </w:pPr>
      <w:r w:rsidRPr="000973F2">
        <w:rPr>
          <w:rFonts w:ascii="Times New Roman" w:hAnsi="Times New Roman" w:cs="Times New Roman"/>
          <w:i/>
        </w:rPr>
        <w:t>Subpart C with at least one additional subpart</w:t>
      </w:r>
    </w:p>
    <w:tbl>
      <w:tblPr>
        <w:tblStyle w:val="PlainTable1"/>
        <w:tblW w:w="5000" w:type="pct"/>
        <w:jc w:val="left"/>
        <w:tblLayout w:type="fixed"/>
        <w:tblCellMar>
          <w:left w:w="115" w:type="dxa"/>
          <w:right w:w="115" w:type="dxa"/>
        </w:tblCellMar>
        <w:tblLook w:val="04A0" w:firstRow="1" w:lastRow="0" w:firstColumn="1" w:lastColumn="0" w:noHBand="0" w:noVBand="1"/>
      </w:tblPr>
      <w:tblGrid>
        <w:gridCol w:w="1372"/>
        <w:gridCol w:w="810"/>
        <w:gridCol w:w="818"/>
        <w:gridCol w:w="809"/>
        <w:gridCol w:w="809"/>
        <w:gridCol w:w="809"/>
        <w:gridCol w:w="809"/>
        <w:gridCol w:w="809"/>
        <w:gridCol w:w="809"/>
        <w:gridCol w:w="871"/>
        <w:gridCol w:w="865"/>
      </w:tblGrid>
      <w:tr w:rsidR="0001781A" w:rsidRPr="000973F2" w14:paraId="2B6F8000" w14:textId="77777777" w:rsidTr="009B7774">
        <w:trPr>
          <w:cnfStyle w:val="100000000000" w:firstRow="1" w:lastRow="0" w:firstColumn="0" w:lastColumn="0" w:oddVBand="0" w:evenVBand="0" w:oddHBand="0" w:evenHBand="0" w:firstRowFirstColumn="0" w:firstRowLastColumn="0" w:lastRowFirstColumn="0" w:lastRowLastColumn="0"/>
          <w:cantSplit/>
          <w:jc w:val="left"/>
        </w:trPr>
        <w:tc>
          <w:tcPr>
            <w:cnfStyle w:val="001000000000" w:firstRow="0" w:lastRow="0" w:firstColumn="1" w:lastColumn="0" w:oddVBand="0" w:evenVBand="0" w:oddHBand="0" w:evenHBand="0" w:firstRowFirstColumn="0" w:firstRowLastColumn="0" w:lastRowFirstColumn="0" w:lastRowLastColumn="0"/>
            <w:tcW w:w="715" w:type="pct"/>
            <w:vMerge w:val="restart"/>
            <w:noWrap/>
            <w:vAlign w:val="top"/>
            <w:hideMark/>
          </w:tcPr>
          <w:p w14:paraId="167DEE53" w14:textId="77777777" w:rsidR="0001781A" w:rsidRPr="000973F2" w:rsidRDefault="0001781A" w:rsidP="00043746">
            <w:pPr>
              <w:spacing w:before="40" w:after="40"/>
              <w:rPr>
                <w:rFonts w:ascii="Times New Roman" w:eastAsia="Times New Roman" w:hAnsi="Times New Roman" w:cs="Times New Roman"/>
                <w:b w:val="0"/>
                <w:bCs w:val="0"/>
                <w:sz w:val="18"/>
                <w:szCs w:val="18"/>
              </w:rPr>
            </w:pPr>
            <w:r w:rsidRPr="000973F2">
              <w:rPr>
                <w:rFonts w:ascii="Times New Roman" w:eastAsia="Times New Roman" w:hAnsi="Times New Roman" w:cs="Times New Roman"/>
                <w:sz w:val="18"/>
                <w:szCs w:val="18"/>
              </w:rPr>
              <w:t>Activity</w:t>
            </w:r>
          </w:p>
        </w:tc>
        <w:tc>
          <w:tcPr>
            <w:tcW w:w="3379" w:type="pct"/>
            <w:gridSpan w:val="8"/>
            <w:noWrap/>
            <w:vAlign w:val="top"/>
            <w:hideMark/>
          </w:tcPr>
          <w:p w14:paraId="782C9248" w14:textId="77777777" w:rsidR="0001781A" w:rsidRPr="000973F2" w:rsidRDefault="0001781A" w:rsidP="00043746">
            <w:pPr>
              <w:spacing w:before="40" w:after="40"/>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bCs w:val="0"/>
                <w:sz w:val="18"/>
                <w:szCs w:val="18"/>
              </w:rPr>
            </w:pPr>
            <w:r w:rsidRPr="000973F2">
              <w:rPr>
                <w:rFonts w:ascii="Times New Roman" w:eastAsia="Times New Roman" w:hAnsi="Times New Roman" w:cs="Times New Roman"/>
                <w:sz w:val="18"/>
                <w:szCs w:val="18"/>
              </w:rPr>
              <w:t>Labor Rates (per hour)</w:t>
            </w:r>
          </w:p>
        </w:tc>
        <w:tc>
          <w:tcPr>
            <w:tcW w:w="906" w:type="pct"/>
            <w:gridSpan w:val="2"/>
            <w:vMerge w:val="restart"/>
            <w:vAlign w:val="top"/>
            <w:hideMark/>
          </w:tcPr>
          <w:p w14:paraId="60F4D3D5" w14:textId="77777777" w:rsidR="0001781A" w:rsidRPr="000973F2" w:rsidRDefault="0001781A" w:rsidP="00043746">
            <w:pPr>
              <w:spacing w:before="40" w:after="40"/>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bCs w:val="0"/>
                <w:sz w:val="18"/>
                <w:szCs w:val="18"/>
              </w:rPr>
            </w:pPr>
            <w:r w:rsidRPr="000973F2">
              <w:rPr>
                <w:rFonts w:ascii="Times New Roman" w:eastAsia="Times New Roman" w:hAnsi="Times New Roman" w:cs="Times New Roman"/>
                <w:sz w:val="18"/>
                <w:szCs w:val="18"/>
              </w:rPr>
              <w:t>Total Labor Cost per Year per Facility (2017$)</w:t>
            </w:r>
          </w:p>
        </w:tc>
      </w:tr>
      <w:tr w:rsidR="0001781A" w:rsidRPr="000973F2" w14:paraId="4F448111" w14:textId="77777777" w:rsidTr="009B7774">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715" w:type="pct"/>
            <w:vMerge/>
            <w:hideMark/>
          </w:tcPr>
          <w:p w14:paraId="6F8E4FDF" w14:textId="77777777" w:rsidR="0001781A" w:rsidRPr="000973F2" w:rsidRDefault="0001781A" w:rsidP="00043746">
            <w:pPr>
              <w:spacing w:before="40" w:after="40"/>
              <w:rPr>
                <w:rFonts w:ascii="Times New Roman" w:eastAsia="Times New Roman" w:hAnsi="Times New Roman" w:cs="Times New Roman"/>
                <w:b/>
                <w:bCs w:val="0"/>
                <w:sz w:val="18"/>
                <w:szCs w:val="18"/>
              </w:rPr>
            </w:pPr>
          </w:p>
        </w:tc>
        <w:tc>
          <w:tcPr>
            <w:tcW w:w="848" w:type="pct"/>
            <w:gridSpan w:val="2"/>
            <w:noWrap/>
            <w:hideMark/>
          </w:tcPr>
          <w:p w14:paraId="419B0FFA" w14:textId="77777777" w:rsidR="0001781A" w:rsidRPr="000973F2" w:rsidRDefault="0001781A" w:rsidP="00043746">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18"/>
                <w:szCs w:val="18"/>
              </w:rPr>
            </w:pPr>
            <w:r w:rsidRPr="000973F2">
              <w:rPr>
                <w:rFonts w:ascii="Times New Roman" w:eastAsia="Times New Roman" w:hAnsi="Times New Roman" w:cs="Times New Roman"/>
                <w:b/>
                <w:bCs/>
                <w:sz w:val="18"/>
                <w:szCs w:val="18"/>
              </w:rPr>
              <w:t>Lawyer</w:t>
            </w:r>
          </w:p>
        </w:tc>
        <w:tc>
          <w:tcPr>
            <w:tcW w:w="844" w:type="pct"/>
            <w:gridSpan w:val="2"/>
            <w:noWrap/>
            <w:hideMark/>
          </w:tcPr>
          <w:p w14:paraId="74C0CE4C" w14:textId="77777777" w:rsidR="0001781A" w:rsidRPr="000973F2" w:rsidRDefault="0001781A" w:rsidP="00043746">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18"/>
                <w:szCs w:val="18"/>
              </w:rPr>
            </w:pPr>
            <w:r w:rsidRPr="000973F2">
              <w:rPr>
                <w:rFonts w:ascii="Times New Roman" w:eastAsia="Times New Roman" w:hAnsi="Times New Roman" w:cs="Times New Roman"/>
                <w:b/>
                <w:bCs/>
                <w:sz w:val="18"/>
                <w:szCs w:val="18"/>
              </w:rPr>
              <w:t>Industrial Manager</w:t>
            </w:r>
          </w:p>
        </w:tc>
        <w:tc>
          <w:tcPr>
            <w:tcW w:w="844" w:type="pct"/>
            <w:gridSpan w:val="2"/>
            <w:hideMark/>
          </w:tcPr>
          <w:p w14:paraId="23B729B4" w14:textId="7C4C0894" w:rsidR="0001781A" w:rsidRPr="000973F2" w:rsidRDefault="0001781A" w:rsidP="00043746">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18"/>
                <w:szCs w:val="18"/>
              </w:rPr>
            </w:pPr>
            <w:r w:rsidRPr="000973F2">
              <w:rPr>
                <w:rFonts w:ascii="Times New Roman" w:eastAsia="Times New Roman" w:hAnsi="Times New Roman" w:cs="Times New Roman"/>
                <w:b/>
                <w:bCs/>
                <w:sz w:val="18"/>
                <w:szCs w:val="18"/>
              </w:rPr>
              <w:t>Industrial Engineer/</w:t>
            </w:r>
            <w:r w:rsidR="00AC67CA" w:rsidRPr="000973F2">
              <w:rPr>
                <w:rFonts w:ascii="Times New Roman" w:eastAsia="Times New Roman" w:hAnsi="Times New Roman" w:cs="Times New Roman"/>
                <w:b/>
                <w:bCs/>
                <w:sz w:val="18"/>
                <w:szCs w:val="18"/>
              </w:rPr>
              <w:t xml:space="preserve"> </w:t>
            </w:r>
            <w:r w:rsidRPr="000973F2">
              <w:rPr>
                <w:rFonts w:ascii="Times New Roman" w:eastAsia="Times New Roman" w:hAnsi="Times New Roman" w:cs="Times New Roman"/>
                <w:b/>
                <w:bCs/>
                <w:sz w:val="18"/>
                <w:szCs w:val="18"/>
              </w:rPr>
              <w:t>Technician</w:t>
            </w:r>
          </w:p>
        </w:tc>
        <w:tc>
          <w:tcPr>
            <w:tcW w:w="844" w:type="pct"/>
            <w:gridSpan w:val="2"/>
            <w:hideMark/>
          </w:tcPr>
          <w:p w14:paraId="44C7AE0A" w14:textId="77777777" w:rsidR="0001781A" w:rsidRPr="000973F2" w:rsidRDefault="0001781A" w:rsidP="00043746">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18"/>
                <w:szCs w:val="18"/>
              </w:rPr>
            </w:pPr>
            <w:r w:rsidRPr="000973F2">
              <w:rPr>
                <w:rFonts w:ascii="Times New Roman" w:eastAsia="Times New Roman" w:hAnsi="Times New Roman" w:cs="Times New Roman"/>
                <w:b/>
                <w:bCs/>
                <w:sz w:val="18"/>
                <w:szCs w:val="18"/>
              </w:rPr>
              <w:t>Administrative Support</w:t>
            </w:r>
          </w:p>
        </w:tc>
        <w:tc>
          <w:tcPr>
            <w:tcW w:w="906" w:type="pct"/>
            <w:gridSpan w:val="2"/>
            <w:vMerge/>
            <w:hideMark/>
          </w:tcPr>
          <w:p w14:paraId="3B6C92B2" w14:textId="77777777" w:rsidR="0001781A" w:rsidRPr="000973F2" w:rsidRDefault="0001781A" w:rsidP="00043746">
            <w:pPr>
              <w:spacing w:before="40" w:after="4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18"/>
                <w:szCs w:val="18"/>
              </w:rPr>
            </w:pPr>
          </w:p>
        </w:tc>
      </w:tr>
      <w:tr w:rsidR="0001781A" w:rsidRPr="000973F2" w14:paraId="7451262E" w14:textId="77777777" w:rsidTr="009B7774">
        <w:trPr>
          <w:cantSplit/>
        </w:trPr>
        <w:tc>
          <w:tcPr>
            <w:cnfStyle w:val="001000000000" w:firstRow="0" w:lastRow="0" w:firstColumn="1" w:lastColumn="0" w:oddVBand="0" w:evenVBand="0" w:oddHBand="0" w:evenHBand="0" w:firstRowFirstColumn="0" w:firstRowLastColumn="0" w:lastRowFirstColumn="0" w:lastRowLastColumn="0"/>
            <w:tcW w:w="715" w:type="pct"/>
            <w:vMerge/>
            <w:hideMark/>
          </w:tcPr>
          <w:p w14:paraId="1218512E" w14:textId="77777777" w:rsidR="0001781A" w:rsidRPr="000973F2" w:rsidRDefault="0001781A" w:rsidP="00043746">
            <w:pPr>
              <w:spacing w:before="40" w:after="40"/>
              <w:rPr>
                <w:rFonts w:ascii="Times New Roman" w:eastAsia="Times New Roman" w:hAnsi="Times New Roman" w:cs="Times New Roman"/>
                <w:b/>
                <w:bCs w:val="0"/>
                <w:sz w:val="18"/>
                <w:szCs w:val="18"/>
              </w:rPr>
            </w:pPr>
          </w:p>
        </w:tc>
        <w:tc>
          <w:tcPr>
            <w:tcW w:w="848" w:type="pct"/>
            <w:gridSpan w:val="2"/>
            <w:noWrap/>
            <w:hideMark/>
          </w:tcPr>
          <w:p w14:paraId="49EF09AF" w14:textId="77777777" w:rsidR="0001781A" w:rsidRPr="000973F2" w:rsidRDefault="0001781A" w:rsidP="00043746">
            <w:pPr>
              <w:spacing w:before="40" w:after="4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sz w:val="18"/>
                <w:szCs w:val="18"/>
              </w:rPr>
            </w:pPr>
            <w:r w:rsidRPr="000973F2">
              <w:rPr>
                <w:rFonts w:ascii="Times New Roman" w:eastAsia="Times New Roman" w:hAnsi="Times New Roman" w:cs="Times New Roman"/>
                <w:b/>
                <w:bCs/>
                <w:sz w:val="18"/>
                <w:szCs w:val="18"/>
              </w:rPr>
              <w:t xml:space="preserve">$112.23 </w:t>
            </w:r>
          </w:p>
        </w:tc>
        <w:tc>
          <w:tcPr>
            <w:tcW w:w="844" w:type="pct"/>
            <w:gridSpan w:val="2"/>
            <w:noWrap/>
            <w:hideMark/>
          </w:tcPr>
          <w:p w14:paraId="72534C59" w14:textId="77777777" w:rsidR="0001781A" w:rsidRPr="000973F2" w:rsidRDefault="0001781A" w:rsidP="00043746">
            <w:pPr>
              <w:spacing w:before="40" w:after="4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sz w:val="18"/>
                <w:szCs w:val="18"/>
              </w:rPr>
            </w:pPr>
            <w:r w:rsidRPr="000973F2">
              <w:rPr>
                <w:rFonts w:ascii="Times New Roman" w:eastAsia="Times New Roman" w:hAnsi="Times New Roman" w:cs="Times New Roman"/>
                <w:b/>
                <w:bCs/>
                <w:sz w:val="18"/>
                <w:szCs w:val="18"/>
              </w:rPr>
              <w:t xml:space="preserve">$87.45 </w:t>
            </w:r>
          </w:p>
        </w:tc>
        <w:tc>
          <w:tcPr>
            <w:tcW w:w="844" w:type="pct"/>
            <w:gridSpan w:val="2"/>
            <w:noWrap/>
            <w:hideMark/>
          </w:tcPr>
          <w:p w14:paraId="00A4E101" w14:textId="77777777" w:rsidR="0001781A" w:rsidRPr="000973F2" w:rsidRDefault="0001781A" w:rsidP="00043746">
            <w:pPr>
              <w:spacing w:before="40" w:after="4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sz w:val="18"/>
                <w:szCs w:val="18"/>
              </w:rPr>
            </w:pPr>
            <w:r w:rsidRPr="000973F2">
              <w:rPr>
                <w:rFonts w:ascii="Times New Roman" w:eastAsia="Times New Roman" w:hAnsi="Times New Roman" w:cs="Times New Roman"/>
                <w:b/>
                <w:bCs/>
                <w:sz w:val="18"/>
                <w:szCs w:val="18"/>
              </w:rPr>
              <w:t xml:space="preserve">$71.45 </w:t>
            </w:r>
          </w:p>
        </w:tc>
        <w:tc>
          <w:tcPr>
            <w:tcW w:w="844" w:type="pct"/>
            <w:gridSpan w:val="2"/>
            <w:noWrap/>
            <w:hideMark/>
          </w:tcPr>
          <w:p w14:paraId="5058A1C7" w14:textId="77777777" w:rsidR="0001781A" w:rsidRPr="000973F2" w:rsidRDefault="0001781A" w:rsidP="00043746">
            <w:pPr>
              <w:spacing w:before="40" w:after="4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sz w:val="18"/>
                <w:szCs w:val="18"/>
              </w:rPr>
            </w:pPr>
            <w:r w:rsidRPr="000973F2">
              <w:rPr>
                <w:rFonts w:ascii="Times New Roman" w:eastAsia="Times New Roman" w:hAnsi="Times New Roman" w:cs="Times New Roman"/>
                <w:b/>
                <w:bCs/>
                <w:sz w:val="18"/>
                <w:szCs w:val="18"/>
              </w:rPr>
              <w:t xml:space="preserve">$36.28 </w:t>
            </w:r>
          </w:p>
        </w:tc>
        <w:tc>
          <w:tcPr>
            <w:tcW w:w="906" w:type="pct"/>
            <w:gridSpan w:val="2"/>
            <w:vMerge/>
            <w:hideMark/>
          </w:tcPr>
          <w:p w14:paraId="734334E5" w14:textId="77777777" w:rsidR="0001781A" w:rsidRPr="000973F2" w:rsidRDefault="0001781A" w:rsidP="00043746">
            <w:pPr>
              <w:spacing w:before="40" w:after="4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sz w:val="18"/>
                <w:szCs w:val="18"/>
              </w:rPr>
            </w:pPr>
          </w:p>
        </w:tc>
      </w:tr>
      <w:tr w:rsidR="00043746" w:rsidRPr="000973F2" w14:paraId="593449BE" w14:textId="77777777" w:rsidTr="009B7774">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715" w:type="pct"/>
            <w:vMerge/>
            <w:hideMark/>
          </w:tcPr>
          <w:p w14:paraId="6832AF9D" w14:textId="77777777" w:rsidR="0001781A" w:rsidRPr="000973F2" w:rsidRDefault="0001781A" w:rsidP="00043746">
            <w:pPr>
              <w:spacing w:before="40" w:after="40"/>
              <w:rPr>
                <w:rFonts w:ascii="Times New Roman" w:eastAsia="Times New Roman" w:hAnsi="Times New Roman" w:cs="Times New Roman"/>
                <w:b/>
                <w:bCs w:val="0"/>
                <w:sz w:val="18"/>
                <w:szCs w:val="18"/>
              </w:rPr>
            </w:pPr>
          </w:p>
        </w:tc>
        <w:tc>
          <w:tcPr>
            <w:tcW w:w="422" w:type="pct"/>
            <w:tcMar>
              <w:left w:w="14" w:type="dxa"/>
              <w:right w:w="14" w:type="dxa"/>
            </w:tcMar>
            <w:hideMark/>
          </w:tcPr>
          <w:p w14:paraId="2E387549" w14:textId="1DB1AF55" w:rsidR="0001781A" w:rsidRPr="000973F2" w:rsidRDefault="0001781A" w:rsidP="00043746">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18"/>
                <w:szCs w:val="18"/>
              </w:rPr>
            </w:pPr>
            <w:r w:rsidRPr="000973F2">
              <w:rPr>
                <w:rFonts w:ascii="Times New Roman" w:eastAsia="Times New Roman" w:hAnsi="Times New Roman" w:cs="Times New Roman"/>
                <w:b/>
                <w:bCs/>
                <w:sz w:val="18"/>
                <w:szCs w:val="18"/>
              </w:rPr>
              <w:t>Initial Year Hours</w:t>
            </w:r>
          </w:p>
        </w:tc>
        <w:tc>
          <w:tcPr>
            <w:tcW w:w="426" w:type="pct"/>
            <w:tcMar>
              <w:left w:w="14" w:type="dxa"/>
              <w:right w:w="14" w:type="dxa"/>
            </w:tcMar>
            <w:hideMark/>
          </w:tcPr>
          <w:p w14:paraId="39A19172" w14:textId="44A00A53" w:rsidR="0001781A" w:rsidRPr="000973F2" w:rsidRDefault="0001781A" w:rsidP="00043746">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18"/>
                <w:szCs w:val="18"/>
              </w:rPr>
            </w:pPr>
            <w:r w:rsidRPr="000973F2">
              <w:rPr>
                <w:rFonts w:ascii="Times New Roman" w:eastAsia="Times New Roman" w:hAnsi="Times New Roman" w:cs="Times New Roman"/>
                <w:b/>
                <w:bCs/>
                <w:sz w:val="18"/>
                <w:szCs w:val="18"/>
              </w:rPr>
              <w:t>Subseq. Year Hours</w:t>
            </w:r>
          </w:p>
        </w:tc>
        <w:tc>
          <w:tcPr>
            <w:tcW w:w="422" w:type="pct"/>
            <w:tcMar>
              <w:left w:w="14" w:type="dxa"/>
              <w:right w:w="14" w:type="dxa"/>
            </w:tcMar>
            <w:hideMark/>
          </w:tcPr>
          <w:p w14:paraId="1D247D9E" w14:textId="4AB8DFB4" w:rsidR="0001781A" w:rsidRPr="000973F2" w:rsidRDefault="0001781A" w:rsidP="00043746">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18"/>
                <w:szCs w:val="18"/>
              </w:rPr>
            </w:pPr>
            <w:r w:rsidRPr="000973F2">
              <w:rPr>
                <w:rFonts w:ascii="Times New Roman" w:eastAsia="Times New Roman" w:hAnsi="Times New Roman" w:cs="Times New Roman"/>
                <w:b/>
                <w:bCs/>
                <w:sz w:val="18"/>
                <w:szCs w:val="18"/>
              </w:rPr>
              <w:t>Initial Year Hours</w:t>
            </w:r>
          </w:p>
        </w:tc>
        <w:tc>
          <w:tcPr>
            <w:tcW w:w="422" w:type="pct"/>
            <w:tcMar>
              <w:left w:w="14" w:type="dxa"/>
              <w:right w:w="14" w:type="dxa"/>
            </w:tcMar>
            <w:hideMark/>
          </w:tcPr>
          <w:p w14:paraId="72216D38" w14:textId="316AD628" w:rsidR="0001781A" w:rsidRPr="000973F2" w:rsidRDefault="0001781A" w:rsidP="00043746">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18"/>
                <w:szCs w:val="18"/>
              </w:rPr>
            </w:pPr>
            <w:r w:rsidRPr="000973F2">
              <w:rPr>
                <w:rFonts w:ascii="Times New Roman" w:eastAsia="Times New Roman" w:hAnsi="Times New Roman" w:cs="Times New Roman"/>
                <w:b/>
                <w:bCs/>
                <w:sz w:val="18"/>
                <w:szCs w:val="18"/>
              </w:rPr>
              <w:t>Subseq. Year Hours</w:t>
            </w:r>
          </w:p>
        </w:tc>
        <w:tc>
          <w:tcPr>
            <w:tcW w:w="422" w:type="pct"/>
            <w:tcMar>
              <w:left w:w="14" w:type="dxa"/>
              <w:right w:w="14" w:type="dxa"/>
            </w:tcMar>
            <w:hideMark/>
          </w:tcPr>
          <w:p w14:paraId="375AA4F1" w14:textId="6AA6873C" w:rsidR="0001781A" w:rsidRPr="000973F2" w:rsidRDefault="0001781A" w:rsidP="00043746">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18"/>
                <w:szCs w:val="18"/>
              </w:rPr>
            </w:pPr>
            <w:r w:rsidRPr="000973F2">
              <w:rPr>
                <w:rFonts w:ascii="Times New Roman" w:eastAsia="Times New Roman" w:hAnsi="Times New Roman" w:cs="Times New Roman"/>
                <w:b/>
                <w:bCs/>
                <w:sz w:val="18"/>
                <w:szCs w:val="18"/>
              </w:rPr>
              <w:t>Initial Year Hours</w:t>
            </w:r>
          </w:p>
        </w:tc>
        <w:tc>
          <w:tcPr>
            <w:tcW w:w="422" w:type="pct"/>
            <w:tcMar>
              <w:left w:w="14" w:type="dxa"/>
              <w:right w:w="14" w:type="dxa"/>
            </w:tcMar>
            <w:hideMark/>
          </w:tcPr>
          <w:p w14:paraId="7ADA4F02" w14:textId="119EE64F" w:rsidR="0001781A" w:rsidRPr="000973F2" w:rsidRDefault="0001781A" w:rsidP="00043746">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18"/>
                <w:szCs w:val="18"/>
              </w:rPr>
            </w:pPr>
            <w:r w:rsidRPr="000973F2">
              <w:rPr>
                <w:rFonts w:ascii="Times New Roman" w:eastAsia="Times New Roman" w:hAnsi="Times New Roman" w:cs="Times New Roman"/>
                <w:b/>
                <w:bCs/>
                <w:sz w:val="18"/>
                <w:szCs w:val="18"/>
              </w:rPr>
              <w:t>Subseq. Year Hours</w:t>
            </w:r>
          </w:p>
        </w:tc>
        <w:tc>
          <w:tcPr>
            <w:tcW w:w="422" w:type="pct"/>
            <w:tcMar>
              <w:left w:w="14" w:type="dxa"/>
              <w:right w:w="14" w:type="dxa"/>
            </w:tcMar>
            <w:hideMark/>
          </w:tcPr>
          <w:p w14:paraId="7C69AF5F" w14:textId="17F6328D" w:rsidR="0001781A" w:rsidRPr="000973F2" w:rsidRDefault="0001781A" w:rsidP="00043746">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18"/>
                <w:szCs w:val="18"/>
              </w:rPr>
            </w:pPr>
            <w:r w:rsidRPr="000973F2">
              <w:rPr>
                <w:rFonts w:ascii="Times New Roman" w:eastAsia="Times New Roman" w:hAnsi="Times New Roman" w:cs="Times New Roman"/>
                <w:b/>
                <w:bCs/>
                <w:sz w:val="18"/>
                <w:szCs w:val="18"/>
              </w:rPr>
              <w:t>Initial Year Hours</w:t>
            </w:r>
          </w:p>
        </w:tc>
        <w:tc>
          <w:tcPr>
            <w:tcW w:w="422" w:type="pct"/>
            <w:tcMar>
              <w:left w:w="14" w:type="dxa"/>
              <w:right w:w="14" w:type="dxa"/>
            </w:tcMar>
            <w:hideMark/>
          </w:tcPr>
          <w:p w14:paraId="45EE881F" w14:textId="5AFE1A7F" w:rsidR="0001781A" w:rsidRPr="000973F2" w:rsidRDefault="0001781A" w:rsidP="00043746">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18"/>
                <w:szCs w:val="18"/>
              </w:rPr>
            </w:pPr>
            <w:r w:rsidRPr="000973F2">
              <w:rPr>
                <w:rFonts w:ascii="Times New Roman" w:eastAsia="Times New Roman" w:hAnsi="Times New Roman" w:cs="Times New Roman"/>
                <w:b/>
                <w:bCs/>
                <w:sz w:val="18"/>
                <w:szCs w:val="18"/>
              </w:rPr>
              <w:t>Subseq. Year Hours</w:t>
            </w:r>
          </w:p>
        </w:tc>
        <w:tc>
          <w:tcPr>
            <w:tcW w:w="454" w:type="pct"/>
            <w:tcMar>
              <w:left w:w="14" w:type="dxa"/>
              <w:right w:w="14" w:type="dxa"/>
            </w:tcMar>
            <w:hideMark/>
          </w:tcPr>
          <w:p w14:paraId="6AE8DC9C" w14:textId="77777777" w:rsidR="0001781A" w:rsidRPr="000973F2" w:rsidRDefault="0001781A" w:rsidP="00043746">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18"/>
                <w:szCs w:val="18"/>
              </w:rPr>
            </w:pPr>
            <w:r w:rsidRPr="000973F2">
              <w:rPr>
                <w:rFonts w:ascii="Times New Roman" w:eastAsia="Times New Roman" w:hAnsi="Times New Roman" w:cs="Times New Roman"/>
                <w:b/>
                <w:bCs/>
                <w:sz w:val="18"/>
                <w:szCs w:val="18"/>
              </w:rPr>
              <w:t>Initial Year</w:t>
            </w:r>
          </w:p>
        </w:tc>
        <w:tc>
          <w:tcPr>
            <w:tcW w:w="452" w:type="pct"/>
            <w:tcMar>
              <w:left w:w="14" w:type="dxa"/>
              <w:right w:w="14" w:type="dxa"/>
            </w:tcMar>
            <w:hideMark/>
          </w:tcPr>
          <w:p w14:paraId="0264343A" w14:textId="77777777" w:rsidR="0001781A" w:rsidRPr="000973F2" w:rsidRDefault="0001781A" w:rsidP="00043746">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18"/>
                <w:szCs w:val="18"/>
              </w:rPr>
            </w:pPr>
            <w:r w:rsidRPr="000973F2">
              <w:rPr>
                <w:rFonts w:ascii="Times New Roman" w:eastAsia="Times New Roman" w:hAnsi="Times New Roman" w:cs="Times New Roman"/>
                <w:b/>
                <w:bCs/>
                <w:sz w:val="18"/>
                <w:szCs w:val="18"/>
              </w:rPr>
              <w:t>Subseq. Year</w:t>
            </w:r>
          </w:p>
        </w:tc>
      </w:tr>
      <w:tr w:rsidR="009B7774" w:rsidRPr="000973F2" w14:paraId="567840F1" w14:textId="77777777" w:rsidTr="009B7774">
        <w:trPr>
          <w:cantSplit/>
        </w:trPr>
        <w:tc>
          <w:tcPr>
            <w:cnfStyle w:val="001000000000" w:firstRow="0" w:lastRow="0" w:firstColumn="1" w:lastColumn="0" w:oddVBand="0" w:evenVBand="0" w:oddHBand="0" w:evenHBand="0" w:firstRowFirstColumn="0" w:firstRowLastColumn="0" w:lastRowFirstColumn="0" w:lastRowLastColumn="0"/>
            <w:tcW w:w="715" w:type="pct"/>
            <w:hideMark/>
          </w:tcPr>
          <w:p w14:paraId="45FDF277" w14:textId="77777777" w:rsidR="009B7774" w:rsidRPr="000973F2" w:rsidRDefault="009B7774" w:rsidP="009B7774">
            <w:pPr>
              <w:spacing w:before="40" w:after="4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Planning</w:t>
            </w:r>
          </w:p>
        </w:tc>
        <w:tc>
          <w:tcPr>
            <w:tcW w:w="422" w:type="pct"/>
            <w:noWrap/>
            <w:hideMark/>
          </w:tcPr>
          <w:p w14:paraId="3A4B940D" w14:textId="6BE0C9D9" w:rsidR="009B7774" w:rsidRPr="000973F2" w:rsidRDefault="009B7774" w:rsidP="009B7774">
            <w:pPr>
              <w:spacing w:before="40" w:after="4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w:t>
            </w:r>
          </w:p>
        </w:tc>
        <w:tc>
          <w:tcPr>
            <w:tcW w:w="426" w:type="pct"/>
            <w:noWrap/>
            <w:hideMark/>
          </w:tcPr>
          <w:p w14:paraId="007B81E1" w14:textId="596C61B5" w:rsidR="009B7774" w:rsidRPr="000973F2" w:rsidRDefault="009B7774" w:rsidP="009B7774">
            <w:pPr>
              <w:spacing w:before="40" w:after="4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w:t>
            </w:r>
          </w:p>
        </w:tc>
        <w:tc>
          <w:tcPr>
            <w:tcW w:w="422" w:type="pct"/>
            <w:noWrap/>
            <w:hideMark/>
          </w:tcPr>
          <w:p w14:paraId="1D324F56" w14:textId="0AA5A42D" w:rsidR="009B7774" w:rsidRPr="000973F2" w:rsidRDefault="009B7774" w:rsidP="009B7774">
            <w:pPr>
              <w:spacing w:before="40" w:after="4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w:t>
            </w:r>
          </w:p>
        </w:tc>
        <w:tc>
          <w:tcPr>
            <w:tcW w:w="422" w:type="pct"/>
            <w:noWrap/>
            <w:hideMark/>
          </w:tcPr>
          <w:p w14:paraId="2E1A4B5E" w14:textId="5646BFC5" w:rsidR="009B7774" w:rsidRPr="000973F2" w:rsidRDefault="009B7774" w:rsidP="009B7774">
            <w:pPr>
              <w:spacing w:before="40" w:after="4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w:t>
            </w:r>
          </w:p>
        </w:tc>
        <w:tc>
          <w:tcPr>
            <w:tcW w:w="422" w:type="pct"/>
            <w:noWrap/>
            <w:hideMark/>
          </w:tcPr>
          <w:p w14:paraId="41CA322C" w14:textId="019DF3A8" w:rsidR="009B7774" w:rsidRPr="000973F2" w:rsidRDefault="009B7774" w:rsidP="009B7774">
            <w:pPr>
              <w:tabs>
                <w:tab w:val="decimal" w:pos="329"/>
              </w:tabs>
              <w:spacing w:before="40" w:after="4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w:t>
            </w:r>
          </w:p>
        </w:tc>
        <w:tc>
          <w:tcPr>
            <w:tcW w:w="422" w:type="pct"/>
            <w:noWrap/>
            <w:hideMark/>
          </w:tcPr>
          <w:p w14:paraId="04F39C17" w14:textId="47FA5BF7" w:rsidR="009B7774" w:rsidRPr="000973F2" w:rsidRDefault="009B7774" w:rsidP="009B7774">
            <w:pPr>
              <w:tabs>
                <w:tab w:val="decimal" w:pos="329"/>
              </w:tabs>
              <w:spacing w:before="40" w:after="4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w:t>
            </w:r>
          </w:p>
        </w:tc>
        <w:tc>
          <w:tcPr>
            <w:tcW w:w="422" w:type="pct"/>
            <w:noWrap/>
            <w:hideMark/>
          </w:tcPr>
          <w:p w14:paraId="10B7CEEA" w14:textId="5BE4398B" w:rsidR="009B7774" w:rsidRPr="000973F2" w:rsidRDefault="009B7774" w:rsidP="009B7774">
            <w:pPr>
              <w:spacing w:before="40" w:after="4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w:t>
            </w:r>
          </w:p>
        </w:tc>
        <w:tc>
          <w:tcPr>
            <w:tcW w:w="422" w:type="pct"/>
            <w:noWrap/>
            <w:hideMark/>
          </w:tcPr>
          <w:p w14:paraId="76898F17" w14:textId="23249842" w:rsidR="009B7774" w:rsidRPr="000973F2" w:rsidRDefault="009B7774" w:rsidP="009B7774">
            <w:pPr>
              <w:spacing w:before="40" w:after="4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w:t>
            </w:r>
          </w:p>
        </w:tc>
        <w:tc>
          <w:tcPr>
            <w:tcW w:w="454" w:type="pct"/>
            <w:noWrap/>
            <w:hideMark/>
          </w:tcPr>
          <w:p w14:paraId="16436C61" w14:textId="7D9338BE" w:rsidR="009B7774" w:rsidRPr="000973F2" w:rsidRDefault="009B7774" w:rsidP="009B7774">
            <w:pPr>
              <w:tabs>
                <w:tab w:val="decimal" w:pos="402"/>
              </w:tabs>
              <w:spacing w:before="40" w:after="4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w:t>
            </w:r>
          </w:p>
        </w:tc>
        <w:tc>
          <w:tcPr>
            <w:tcW w:w="452" w:type="pct"/>
            <w:noWrap/>
            <w:hideMark/>
          </w:tcPr>
          <w:p w14:paraId="33A18501" w14:textId="32A6A8D6" w:rsidR="009B7774" w:rsidRPr="000973F2" w:rsidRDefault="009B7774" w:rsidP="009B7774">
            <w:pPr>
              <w:tabs>
                <w:tab w:val="decimal" w:pos="402"/>
              </w:tabs>
              <w:spacing w:before="40" w:after="4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w:t>
            </w:r>
          </w:p>
        </w:tc>
      </w:tr>
      <w:tr w:rsidR="009B7774" w:rsidRPr="000973F2" w14:paraId="0C02DB17" w14:textId="77777777" w:rsidTr="009B7774">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715" w:type="pct"/>
            <w:hideMark/>
          </w:tcPr>
          <w:p w14:paraId="5E6045A0" w14:textId="77777777" w:rsidR="009B7774" w:rsidRPr="000973F2" w:rsidRDefault="009B7774" w:rsidP="009B7774">
            <w:pPr>
              <w:spacing w:before="40" w:after="4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QA/QC</w:t>
            </w:r>
          </w:p>
        </w:tc>
        <w:tc>
          <w:tcPr>
            <w:tcW w:w="422" w:type="pct"/>
            <w:noWrap/>
            <w:hideMark/>
          </w:tcPr>
          <w:p w14:paraId="2E5BF06E" w14:textId="02623F3A" w:rsidR="009B7774" w:rsidRPr="000973F2" w:rsidRDefault="009B7774" w:rsidP="009B7774">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w:t>
            </w:r>
          </w:p>
        </w:tc>
        <w:tc>
          <w:tcPr>
            <w:tcW w:w="426" w:type="pct"/>
            <w:noWrap/>
            <w:hideMark/>
          </w:tcPr>
          <w:p w14:paraId="1823759E" w14:textId="094B61AE" w:rsidR="009B7774" w:rsidRPr="000973F2" w:rsidRDefault="009B7774" w:rsidP="009B7774">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w:t>
            </w:r>
          </w:p>
        </w:tc>
        <w:tc>
          <w:tcPr>
            <w:tcW w:w="422" w:type="pct"/>
            <w:noWrap/>
            <w:hideMark/>
          </w:tcPr>
          <w:p w14:paraId="2363F715" w14:textId="412EF328" w:rsidR="009B7774" w:rsidRPr="000973F2" w:rsidRDefault="009B7774" w:rsidP="009B7774">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w:t>
            </w:r>
          </w:p>
        </w:tc>
        <w:tc>
          <w:tcPr>
            <w:tcW w:w="422" w:type="pct"/>
            <w:noWrap/>
            <w:hideMark/>
          </w:tcPr>
          <w:p w14:paraId="4D0A9B72" w14:textId="5E957038" w:rsidR="009B7774" w:rsidRPr="000973F2" w:rsidRDefault="009B7774" w:rsidP="009B7774">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w:t>
            </w:r>
          </w:p>
        </w:tc>
        <w:tc>
          <w:tcPr>
            <w:tcW w:w="422" w:type="pct"/>
            <w:noWrap/>
            <w:hideMark/>
          </w:tcPr>
          <w:p w14:paraId="2AFA54CF" w14:textId="214B7920" w:rsidR="009B7774" w:rsidRPr="000973F2" w:rsidRDefault="009B7774" w:rsidP="009B7774">
            <w:pPr>
              <w:tabs>
                <w:tab w:val="decimal" w:pos="329"/>
              </w:tabs>
              <w:spacing w:before="40" w:after="4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w:t>
            </w:r>
          </w:p>
        </w:tc>
        <w:tc>
          <w:tcPr>
            <w:tcW w:w="422" w:type="pct"/>
            <w:noWrap/>
            <w:hideMark/>
          </w:tcPr>
          <w:p w14:paraId="60944E5B" w14:textId="2F32C038" w:rsidR="009B7774" w:rsidRPr="000973F2" w:rsidRDefault="009B7774" w:rsidP="009B7774">
            <w:pPr>
              <w:tabs>
                <w:tab w:val="decimal" w:pos="329"/>
              </w:tabs>
              <w:spacing w:before="40" w:after="4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w:t>
            </w:r>
          </w:p>
        </w:tc>
        <w:tc>
          <w:tcPr>
            <w:tcW w:w="422" w:type="pct"/>
            <w:noWrap/>
            <w:hideMark/>
          </w:tcPr>
          <w:p w14:paraId="348EEC00" w14:textId="547BFB19" w:rsidR="009B7774" w:rsidRPr="000973F2" w:rsidRDefault="009B7774" w:rsidP="009B7774">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w:t>
            </w:r>
          </w:p>
        </w:tc>
        <w:tc>
          <w:tcPr>
            <w:tcW w:w="422" w:type="pct"/>
            <w:noWrap/>
            <w:hideMark/>
          </w:tcPr>
          <w:p w14:paraId="6A0087E6" w14:textId="0D56CD67" w:rsidR="009B7774" w:rsidRPr="000973F2" w:rsidRDefault="009B7774" w:rsidP="009B7774">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w:t>
            </w:r>
          </w:p>
        </w:tc>
        <w:tc>
          <w:tcPr>
            <w:tcW w:w="454" w:type="pct"/>
            <w:noWrap/>
            <w:hideMark/>
          </w:tcPr>
          <w:p w14:paraId="316A82D5" w14:textId="4897F693" w:rsidR="009B7774" w:rsidRPr="000973F2" w:rsidRDefault="009B7774" w:rsidP="009B7774">
            <w:pPr>
              <w:tabs>
                <w:tab w:val="decimal" w:pos="402"/>
              </w:tabs>
              <w:spacing w:before="40" w:after="4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w:t>
            </w:r>
          </w:p>
        </w:tc>
        <w:tc>
          <w:tcPr>
            <w:tcW w:w="452" w:type="pct"/>
            <w:noWrap/>
            <w:hideMark/>
          </w:tcPr>
          <w:p w14:paraId="5E29FE04" w14:textId="5C473404" w:rsidR="009B7774" w:rsidRPr="000973F2" w:rsidRDefault="009B7774" w:rsidP="009B7774">
            <w:pPr>
              <w:tabs>
                <w:tab w:val="decimal" w:pos="402"/>
              </w:tabs>
              <w:spacing w:before="40" w:after="4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w:t>
            </w:r>
          </w:p>
        </w:tc>
      </w:tr>
      <w:tr w:rsidR="009B7774" w:rsidRPr="000973F2" w14:paraId="140506DD" w14:textId="77777777" w:rsidTr="009B7774">
        <w:trPr>
          <w:cantSplit/>
        </w:trPr>
        <w:tc>
          <w:tcPr>
            <w:cnfStyle w:val="001000000000" w:firstRow="0" w:lastRow="0" w:firstColumn="1" w:lastColumn="0" w:oddVBand="0" w:evenVBand="0" w:oddHBand="0" w:evenHBand="0" w:firstRowFirstColumn="0" w:firstRowLastColumn="0" w:lastRowFirstColumn="0" w:lastRowLastColumn="0"/>
            <w:tcW w:w="715" w:type="pct"/>
            <w:hideMark/>
          </w:tcPr>
          <w:p w14:paraId="649BA997" w14:textId="77777777" w:rsidR="009B7774" w:rsidRPr="000973F2" w:rsidRDefault="009B7774" w:rsidP="009B7774">
            <w:pPr>
              <w:spacing w:before="40" w:after="4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Recordkeeping</w:t>
            </w:r>
          </w:p>
        </w:tc>
        <w:tc>
          <w:tcPr>
            <w:tcW w:w="422" w:type="pct"/>
            <w:noWrap/>
            <w:hideMark/>
          </w:tcPr>
          <w:p w14:paraId="42C5F473" w14:textId="0DEB6BE7" w:rsidR="009B7774" w:rsidRPr="000973F2" w:rsidRDefault="009B7774" w:rsidP="009B7774">
            <w:pPr>
              <w:spacing w:before="40" w:after="4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w:t>
            </w:r>
          </w:p>
        </w:tc>
        <w:tc>
          <w:tcPr>
            <w:tcW w:w="426" w:type="pct"/>
            <w:noWrap/>
            <w:hideMark/>
          </w:tcPr>
          <w:p w14:paraId="3F3FBD83" w14:textId="12F75B0E" w:rsidR="009B7774" w:rsidRPr="000973F2" w:rsidRDefault="009B7774" w:rsidP="009B7774">
            <w:pPr>
              <w:spacing w:before="40" w:after="4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w:t>
            </w:r>
          </w:p>
        </w:tc>
        <w:tc>
          <w:tcPr>
            <w:tcW w:w="422" w:type="pct"/>
            <w:noWrap/>
            <w:hideMark/>
          </w:tcPr>
          <w:p w14:paraId="0B562D59" w14:textId="4470DFCB" w:rsidR="009B7774" w:rsidRPr="000973F2" w:rsidRDefault="009B7774" w:rsidP="009B7774">
            <w:pPr>
              <w:spacing w:before="40" w:after="4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w:t>
            </w:r>
          </w:p>
        </w:tc>
        <w:tc>
          <w:tcPr>
            <w:tcW w:w="422" w:type="pct"/>
            <w:noWrap/>
            <w:hideMark/>
          </w:tcPr>
          <w:p w14:paraId="0416723F" w14:textId="566D0A68" w:rsidR="009B7774" w:rsidRPr="000973F2" w:rsidRDefault="009B7774" w:rsidP="009B7774">
            <w:pPr>
              <w:spacing w:before="40" w:after="4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w:t>
            </w:r>
          </w:p>
        </w:tc>
        <w:tc>
          <w:tcPr>
            <w:tcW w:w="422" w:type="pct"/>
            <w:noWrap/>
            <w:hideMark/>
          </w:tcPr>
          <w:p w14:paraId="6C29963A" w14:textId="5D8CFA48" w:rsidR="009B7774" w:rsidRPr="000973F2" w:rsidRDefault="009B7774" w:rsidP="009B7774">
            <w:pPr>
              <w:tabs>
                <w:tab w:val="decimal" w:pos="329"/>
              </w:tabs>
              <w:spacing w:before="40" w:after="4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w:t>
            </w:r>
          </w:p>
        </w:tc>
        <w:tc>
          <w:tcPr>
            <w:tcW w:w="422" w:type="pct"/>
            <w:noWrap/>
            <w:hideMark/>
          </w:tcPr>
          <w:p w14:paraId="127529E2" w14:textId="0656E59E" w:rsidR="009B7774" w:rsidRPr="000973F2" w:rsidRDefault="009B7774" w:rsidP="009B7774">
            <w:pPr>
              <w:tabs>
                <w:tab w:val="decimal" w:pos="329"/>
              </w:tabs>
              <w:spacing w:before="40" w:after="4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w:t>
            </w:r>
          </w:p>
        </w:tc>
        <w:tc>
          <w:tcPr>
            <w:tcW w:w="422" w:type="pct"/>
            <w:noWrap/>
            <w:hideMark/>
          </w:tcPr>
          <w:p w14:paraId="33D46B7D" w14:textId="266E89C6" w:rsidR="009B7774" w:rsidRPr="000973F2" w:rsidRDefault="009B7774" w:rsidP="009B7774">
            <w:pPr>
              <w:spacing w:before="40" w:after="4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w:t>
            </w:r>
          </w:p>
        </w:tc>
        <w:tc>
          <w:tcPr>
            <w:tcW w:w="422" w:type="pct"/>
            <w:noWrap/>
            <w:hideMark/>
          </w:tcPr>
          <w:p w14:paraId="772C7093" w14:textId="467D4DEE" w:rsidR="009B7774" w:rsidRPr="000973F2" w:rsidRDefault="009B7774" w:rsidP="009B7774">
            <w:pPr>
              <w:spacing w:before="40" w:after="4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w:t>
            </w:r>
          </w:p>
        </w:tc>
        <w:tc>
          <w:tcPr>
            <w:tcW w:w="454" w:type="pct"/>
            <w:noWrap/>
            <w:hideMark/>
          </w:tcPr>
          <w:p w14:paraId="7EE7B341" w14:textId="40F9772A" w:rsidR="009B7774" w:rsidRPr="000973F2" w:rsidRDefault="009B7774" w:rsidP="009B7774">
            <w:pPr>
              <w:tabs>
                <w:tab w:val="decimal" w:pos="402"/>
              </w:tabs>
              <w:spacing w:before="40" w:after="4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w:t>
            </w:r>
          </w:p>
        </w:tc>
        <w:tc>
          <w:tcPr>
            <w:tcW w:w="452" w:type="pct"/>
            <w:noWrap/>
            <w:hideMark/>
          </w:tcPr>
          <w:p w14:paraId="19D4CE8F" w14:textId="449AF577" w:rsidR="009B7774" w:rsidRPr="000973F2" w:rsidRDefault="009B7774" w:rsidP="009B7774">
            <w:pPr>
              <w:tabs>
                <w:tab w:val="decimal" w:pos="402"/>
              </w:tabs>
              <w:spacing w:before="40" w:after="4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w:t>
            </w:r>
          </w:p>
        </w:tc>
      </w:tr>
      <w:tr w:rsidR="009B7774" w:rsidRPr="000973F2" w14:paraId="6909ADD8" w14:textId="77777777" w:rsidTr="009B7774">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715" w:type="pct"/>
            <w:hideMark/>
          </w:tcPr>
          <w:p w14:paraId="1FE507A1" w14:textId="77777777" w:rsidR="009B7774" w:rsidRPr="000973F2" w:rsidRDefault="009B7774" w:rsidP="009B7774">
            <w:pPr>
              <w:spacing w:before="40" w:after="4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Sampling and Analysis (Calculations)</w:t>
            </w:r>
          </w:p>
        </w:tc>
        <w:tc>
          <w:tcPr>
            <w:tcW w:w="422" w:type="pct"/>
            <w:noWrap/>
            <w:hideMark/>
          </w:tcPr>
          <w:p w14:paraId="30627FEF" w14:textId="3561D555" w:rsidR="009B7774" w:rsidRPr="000973F2" w:rsidRDefault="009B7774" w:rsidP="009B7774">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0</w:t>
            </w:r>
          </w:p>
        </w:tc>
        <w:tc>
          <w:tcPr>
            <w:tcW w:w="426" w:type="pct"/>
            <w:noWrap/>
            <w:hideMark/>
          </w:tcPr>
          <w:p w14:paraId="4DD2C280" w14:textId="4B39E883" w:rsidR="009B7774" w:rsidRPr="000973F2" w:rsidRDefault="009B7774" w:rsidP="009B7774">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0</w:t>
            </w:r>
          </w:p>
        </w:tc>
        <w:tc>
          <w:tcPr>
            <w:tcW w:w="422" w:type="pct"/>
            <w:noWrap/>
            <w:hideMark/>
          </w:tcPr>
          <w:p w14:paraId="297C77B3" w14:textId="312781EB" w:rsidR="009B7774" w:rsidRPr="000973F2" w:rsidRDefault="009B7774" w:rsidP="009B7774">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0</w:t>
            </w:r>
          </w:p>
        </w:tc>
        <w:tc>
          <w:tcPr>
            <w:tcW w:w="422" w:type="pct"/>
            <w:noWrap/>
            <w:hideMark/>
          </w:tcPr>
          <w:p w14:paraId="2708E7A5" w14:textId="1DC89102" w:rsidR="009B7774" w:rsidRPr="000973F2" w:rsidRDefault="009B7774" w:rsidP="009B7774">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0</w:t>
            </w:r>
          </w:p>
        </w:tc>
        <w:tc>
          <w:tcPr>
            <w:tcW w:w="422" w:type="pct"/>
            <w:noWrap/>
            <w:hideMark/>
          </w:tcPr>
          <w:p w14:paraId="1BAB61B6" w14:textId="77777777" w:rsidR="009B7774" w:rsidRPr="000973F2" w:rsidRDefault="009B7774" w:rsidP="009B7774">
            <w:pPr>
              <w:tabs>
                <w:tab w:val="decimal" w:pos="329"/>
              </w:tabs>
              <w:spacing w:before="40" w:after="4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21</w:t>
            </w:r>
          </w:p>
        </w:tc>
        <w:tc>
          <w:tcPr>
            <w:tcW w:w="422" w:type="pct"/>
            <w:noWrap/>
            <w:hideMark/>
          </w:tcPr>
          <w:p w14:paraId="18D04282" w14:textId="77777777" w:rsidR="009B7774" w:rsidRPr="000973F2" w:rsidRDefault="009B7774" w:rsidP="009B7774">
            <w:pPr>
              <w:tabs>
                <w:tab w:val="decimal" w:pos="329"/>
              </w:tabs>
              <w:spacing w:before="40" w:after="4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21</w:t>
            </w:r>
          </w:p>
        </w:tc>
        <w:tc>
          <w:tcPr>
            <w:tcW w:w="422" w:type="pct"/>
            <w:noWrap/>
            <w:hideMark/>
          </w:tcPr>
          <w:p w14:paraId="08944255" w14:textId="0E916789" w:rsidR="009B7774" w:rsidRPr="000973F2" w:rsidRDefault="009B7774" w:rsidP="009B7774">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0</w:t>
            </w:r>
          </w:p>
        </w:tc>
        <w:tc>
          <w:tcPr>
            <w:tcW w:w="422" w:type="pct"/>
            <w:noWrap/>
            <w:hideMark/>
          </w:tcPr>
          <w:p w14:paraId="3AC166D5" w14:textId="065EF93A" w:rsidR="009B7774" w:rsidRPr="000973F2" w:rsidRDefault="009B7774" w:rsidP="009B7774">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0</w:t>
            </w:r>
          </w:p>
        </w:tc>
        <w:tc>
          <w:tcPr>
            <w:tcW w:w="454" w:type="pct"/>
            <w:noWrap/>
            <w:hideMark/>
          </w:tcPr>
          <w:p w14:paraId="2892DCCF" w14:textId="51AD13B5" w:rsidR="009B7774" w:rsidRPr="000973F2" w:rsidRDefault="009B7774" w:rsidP="009B7774">
            <w:pPr>
              <w:tabs>
                <w:tab w:val="decimal" w:pos="402"/>
              </w:tabs>
              <w:spacing w:before="40" w:after="4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$1,500</w:t>
            </w:r>
          </w:p>
        </w:tc>
        <w:tc>
          <w:tcPr>
            <w:tcW w:w="452" w:type="pct"/>
            <w:noWrap/>
            <w:hideMark/>
          </w:tcPr>
          <w:p w14:paraId="252DCC77" w14:textId="77D9F45F" w:rsidR="009B7774" w:rsidRPr="000973F2" w:rsidRDefault="009B7774" w:rsidP="009B7774">
            <w:pPr>
              <w:tabs>
                <w:tab w:val="decimal" w:pos="402"/>
              </w:tabs>
              <w:spacing w:before="40" w:after="4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$1,500</w:t>
            </w:r>
          </w:p>
        </w:tc>
      </w:tr>
      <w:tr w:rsidR="009B7774" w:rsidRPr="000973F2" w14:paraId="7C1E8FCA" w14:textId="77777777" w:rsidTr="009B7774">
        <w:trPr>
          <w:cantSplit/>
        </w:trPr>
        <w:tc>
          <w:tcPr>
            <w:cnfStyle w:val="001000000000" w:firstRow="0" w:lastRow="0" w:firstColumn="1" w:lastColumn="0" w:oddVBand="0" w:evenVBand="0" w:oddHBand="0" w:evenHBand="0" w:firstRowFirstColumn="0" w:firstRowLastColumn="0" w:lastRowFirstColumn="0" w:lastRowLastColumn="0"/>
            <w:tcW w:w="715" w:type="pct"/>
            <w:hideMark/>
          </w:tcPr>
          <w:p w14:paraId="335F35A6" w14:textId="77777777" w:rsidR="009B7774" w:rsidRPr="000973F2" w:rsidRDefault="009B7774" w:rsidP="009B7774">
            <w:pPr>
              <w:spacing w:before="40" w:after="4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Reporting</w:t>
            </w:r>
          </w:p>
        </w:tc>
        <w:tc>
          <w:tcPr>
            <w:tcW w:w="422" w:type="pct"/>
            <w:noWrap/>
            <w:hideMark/>
          </w:tcPr>
          <w:p w14:paraId="6699F6A5" w14:textId="1EAC4D3C" w:rsidR="009B7774" w:rsidRPr="000973F2" w:rsidRDefault="009B7774" w:rsidP="009B7774">
            <w:pPr>
              <w:spacing w:before="40" w:after="4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w:t>
            </w:r>
          </w:p>
        </w:tc>
        <w:tc>
          <w:tcPr>
            <w:tcW w:w="426" w:type="pct"/>
            <w:noWrap/>
            <w:hideMark/>
          </w:tcPr>
          <w:p w14:paraId="3B9813E0" w14:textId="68C1A131" w:rsidR="009B7774" w:rsidRPr="000973F2" w:rsidRDefault="009B7774" w:rsidP="009B7774">
            <w:pPr>
              <w:spacing w:before="40" w:after="4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w:t>
            </w:r>
          </w:p>
        </w:tc>
        <w:tc>
          <w:tcPr>
            <w:tcW w:w="422" w:type="pct"/>
            <w:noWrap/>
            <w:hideMark/>
          </w:tcPr>
          <w:p w14:paraId="543F3C7C" w14:textId="481AC7E8" w:rsidR="009B7774" w:rsidRPr="000973F2" w:rsidRDefault="009B7774" w:rsidP="009B7774">
            <w:pPr>
              <w:spacing w:before="40" w:after="4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w:t>
            </w:r>
          </w:p>
        </w:tc>
        <w:tc>
          <w:tcPr>
            <w:tcW w:w="422" w:type="pct"/>
            <w:noWrap/>
            <w:hideMark/>
          </w:tcPr>
          <w:p w14:paraId="19003F29" w14:textId="69BA254D" w:rsidR="009B7774" w:rsidRPr="000973F2" w:rsidRDefault="009B7774" w:rsidP="009B7774">
            <w:pPr>
              <w:spacing w:before="40" w:after="4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w:t>
            </w:r>
          </w:p>
        </w:tc>
        <w:tc>
          <w:tcPr>
            <w:tcW w:w="422" w:type="pct"/>
            <w:noWrap/>
            <w:hideMark/>
          </w:tcPr>
          <w:p w14:paraId="3983C0C4" w14:textId="1E48D4B1" w:rsidR="009B7774" w:rsidRPr="000973F2" w:rsidRDefault="009B7774" w:rsidP="009B7774">
            <w:pPr>
              <w:tabs>
                <w:tab w:val="decimal" w:pos="329"/>
              </w:tabs>
              <w:spacing w:before="40" w:after="4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w:t>
            </w:r>
          </w:p>
        </w:tc>
        <w:tc>
          <w:tcPr>
            <w:tcW w:w="422" w:type="pct"/>
            <w:noWrap/>
            <w:hideMark/>
          </w:tcPr>
          <w:p w14:paraId="0E86F3E0" w14:textId="05D74756" w:rsidR="009B7774" w:rsidRPr="000973F2" w:rsidRDefault="009B7774" w:rsidP="009B7774">
            <w:pPr>
              <w:tabs>
                <w:tab w:val="decimal" w:pos="329"/>
              </w:tabs>
              <w:spacing w:before="40" w:after="4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w:t>
            </w:r>
          </w:p>
        </w:tc>
        <w:tc>
          <w:tcPr>
            <w:tcW w:w="422" w:type="pct"/>
            <w:noWrap/>
            <w:hideMark/>
          </w:tcPr>
          <w:p w14:paraId="6A469597" w14:textId="3C9CF35D" w:rsidR="009B7774" w:rsidRPr="000973F2" w:rsidRDefault="009B7774" w:rsidP="009B7774">
            <w:pPr>
              <w:spacing w:before="40" w:after="4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w:t>
            </w:r>
          </w:p>
        </w:tc>
        <w:tc>
          <w:tcPr>
            <w:tcW w:w="422" w:type="pct"/>
            <w:noWrap/>
            <w:hideMark/>
          </w:tcPr>
          <w:p w14:paraId="30E5AB0E" w14:textId="3043A837" w:rsidR="009B7774" w:rsidRPr="000973F2" w:rsidRDefault="009B7774" w:rsidP="009B7774">
            <w:pPr>
              <w:spacing w:before="40" w:after="4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w:t>
            </w:r>
          </w:p>
        </w:tc>
        <w:tc>
          <w:tcPr>
            <w:tcW w:w="454" w:type="pct"/>
            <w:noWrap/>
            <w:hideMark/>
          </w:tcPr>
          <w:p w14:paraId="75E012D2" w14:textId="3F673B00" w:rsidR="009B7774" w:rsidRPr="000973F2" w:rsidRDefault="009B7774" w:rsidP="009B7774">
            <w:pPr>
              <w:tabs>
                <w:tab w:val="decimal" w:pos="402"/>
              </w:tabs>
              <w:spacing w:before="40" w:after="4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w:t>
            </w:r>
          </w:p>
        </w:tc>
        <w:tc>
          <w:tcPr>
            <w:tcW w:w="452" w:type="pct"/>
            <w:noWrap/>
            <w:hideMark/>
          </w:tcPr>
          <w:p w14:paraId="303F0138" w14:textId="5BFD6284" w:rsidR="009B7774" w:rsidRPr="000973F2" w:rsidRDefault="009B7774" w:rsidP="009B7774">
            <w:pPr>
              <w:tabs>
                <w:tab w:val="decimal" w:pos="402"/>
              </w:tabs>
              <w:spacing w:before="40" w:after="4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w:t>
            </w:r>
          </w:p>
        </w:tc>
      </w:tr>
      <w:tr w:rsidR="00043746" w:rsidRPr="000973F2" w14:paraId="03FD1D11" w14:textId="77777777" w:rsidTr="009B7774">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715" w:type="pct"/>
            <w:noWrap/>
            <w:hideMark/>
          </w:tcPr>
          <w:p w14:paraId="3B7F3F67" w14:textId="77777777" w:rsidR="0001781A" w:rsidRPr="000973F2" w:rsidRDefault="0001781A" w:rsidP="00043746">
            <w:pPr>
              <w:spacing w:before="40" w:after="40"/>
              <w:rPr>
                <w:rFonts w:ascii="Times New Roman" w:eastAsia="Times New Roman" w:hAnsi="Times New Roman" w:cs="Times New Roman"/>
                <w:b/>
                <w:bCs w:val="0"/>
                <w:sz w:val="18"/>
                <w:szCs w:val="18"/>
              </w:rPr>
            </w:pPr>
            <w:r w:rsidRPr="000973F2">
              <w:rPr>
                <w:rFonts w:ascii="Times New Roman" w:eastAsia="Times New Roman" w:hAnsi="Times New Roman" w:cs="Times New Roman"/>
                <w:b/>
                <w:sz w:val="18"/>
                <w:szCs w:val="18"/>
              </w:rPr>
              <w:t>Total</w:t>
            </w:r>
          </w:p>
        </w:tc>
        <w:tc>
          <w:tcPr>
            <w:tcW w:w="422" w:type="pct"/>
            <w:noWrap/>
            <w:hideMark/>
          </w:tcPr>
          <w:p w14:paraId="1BB0388C" w14:textId="77777777" w:rsidR="0001781A" w:rsidRPr="000973F2" w:rsidRDefault="0001781A" w:rsidP="00043746">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18"/>
                <w:szCs w:val="18"/>
              </w:rPr>
            </w:pPr>
            <w:r w:rsidRPr="000973F2">
              <w:rPr>
                <w:rFonts w:ascii="Times New Roman" w:eastAsia="Times New Roman" w:hAnsi="Times New Roman" w:cs="Times New Roman"/>
                <w:b/>
                <w:bCs/>
                <w:sz w:val="18"/>
                <w:szCs w:val="18"/>
              </w:rPr>
              <w:t>0</w:t>
            </w:r>
          </w:p>
        </w:tc>
        <w:tc>
          <w:tcPr>
            <w:tcW w:w="426" w:type="pct"/>
            <w:noWrap/>
            <w:hideMark/>
          </w:tcPr>
          <w:p w14:paraId="52761C70" w14:textId="77777777" w:rsidR="0001781A" w:rsidRPr="000973F2" w:rsidRDefault="0001781A" w:rsidP="00043746">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18"/>
                <w:szCs w:val="18"/>
              </w:rPr>
            </w:pPr>
            <w:r w:rsidRPr="000973F2">
              <w:rPr>
                <w:rFonts w:ascii="Times New Roman" w:eastAsia="Times New Roman" w:hAnsi="Times New Roman" w:cs="Times New Roman"/>
                <w:b/>
                <w:bCs/>
                <w:sz w:val="18"/>
                <w:szCs w:val="18"/>
              </w:rPr>
              <w:t>0</w:t>
            </w:r>
          </w:p>
        </w:tc>
        <w:tc>
          <w:tcPr>
            <w:tcW w:w="422" w:type="pct"/>
            <w:noWrap/>
            <w:hideMark/>
          </w:tcPr>
          <w:p w14:paraId="182DDCC4" w14:textId="77777777" w:rsidR="0001781A" w:rsidRPr="000973F2" w:rsidRDefault="0001781A" w:rsidP="00043746">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18"/>
                <w:szCs w:val="18"/>
              </w:rPr>
            </w:pPr>
            <w:r w:rsidRPr="000973F2">
              <w:rPr>
                <w:rFonts w:ascii="Times New Roman" w:eastAsia="Times New Roman" w:hAnsi="Times New Roman" w:cs="Times New Roman"/>
                <w:b/>
                <w:bCs/>
                <w:sz w:val="18"/>
                <w:szCs w:val="18"/>
              </w:rPr>
              <w:t>0</w:t>
            </w:r>
          </w:p>
        </w:tc>
        <w:tc>
          <w:tcPr>
            <w:tcW w:w="422" w:type="pct"/>
            <w:noWrap/>
            <w:hideMark/>
          </w:tcPr>
          <w:p w14:paraId="327B0A25" w14:textId="77777777" w:rsidR="0001781A" w:rsidRPr="000973F2" w:rsidRDefault="0001781A" w:rsidP="00043746">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18"/>
                <w:szCs w:val="18"/>
              </w:rPr>
            </w:pPr>
            <w:r w:rsidRPr="000973F2">
              <w:rPr>
                <w:rFonts w:ascii="Times New Roman" w:eastAsia="Times New Roman" w:hAnsi="Times New Roman" w:cs="Times New Roman"/>
                <w:b/>
                <w:bCs/>
                <w:sz w:val="18"/>
                <w:szCs w:val="18"/>
              </w:rPr>
              <w:t>0</w:t>
            </w:r>
          </w:p>
        </w:tc>
        <w:tc>
          <w:tcPr>
            <w:tcW w:w="422" w:type="pct"/>
            <w:noWrap/>
            <w:hideMark/>
          </w:tcPr>
          <w:p w14:paraId="3540F719" w14:textId="77777777" w:rsidR="0001781A" w:rsidRPr="000973F2" w:rsidRDefault="0001781A" w:rsidP="00043746">
            <w:pPr>
              <w:tabs>
                <w:tab w:val="decimal" w:pos="329"/>
              </w:tabs>
              <w:spacing w:before="40" w:after="4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18"/>
                <w:szCs w:val="18"/>
              </w:rPr>
            </w:pPr>
            <w:r w:rsidRPr="000973F2">
              <w:rPr>
                <w:rFonts w:ascii="Times New Roman" w:eastAsia="Times New Roman" w:hAnsi="Times New Roman" w:cs="Times New Roman"/>
                <w:b/>
                <w:bCs/>
                <w:sz w:val="18"/>
                <w:szCs w:val="18"/>
              </w:rPr>
              <w:t>21</w:t>
            </w:r>
          </w:p>
        </w:tc>
        <w:tc>
          <w:tcPr>
            <w:tcW w:w="422" w:type="pct"/>
            <w:noWrap/>
            <w:hideMark/>
          </w:tcPr>
          <w:p w14:paraId="185442C4" w14:textId="77777777" w:rsidR="0001781A" w:rsidRPr="000973F2" w:rsidRDefault="0001781A" w:rsidP="00043746">
            <w:pPr>
              <w:tabs>
                <w:tab w:val="decimal" w:pos="329"/>
              </w:tabs>
              <w:spacing w:before="40" w:after="4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18"/>
                <w:szCs w:val="18"/>
              </w:rPr>
            </w:pPr>
            <w:r w:rsidRPr="000973F2">
              <w:rPr>
                <w:rFonts w:ascii="Times New Roman" w:eastAsia="Times New Roman" w:hAnsi="Times New Roman" w:cs="Times New Roman"/>
                <w:b/>
                <w:bCs/>
                <w:sz w:val="18"/>
                <w:szCs w:val="18"/>
              </w:rPr>
              <w:t>21</w:t>
            </w:r>
          </w:p>
        </w:tc>
        <w:tc>
          <w:tcPr>
            <w:tcW w:w="422" w:type="pct"/>
            <w:noWrap/>
            <w:hideMark/>
          </w:tcPr>
          <w:p w14:paraId="73921405" w14:textId="77777777" w:rsidR="0001781A" w:rsidRPr="000973F2" w:rsidRDefault="0001781A" w:rsidP="00043746">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18"/>
                <w:szCs w:val="18"/>
              </w:rPr>
            </w:pPr>
            <w:r w:rsidRPr="000973F2">
              <w:rPr>
                <w:rFonts w:ascii="Times New Roman" w:eastAsia="Times New Roman" w:hAnsi="Times New Roman" w:cs="Times New Roman"/>
                <w:b/>
                <w:bCs/>
                <w:sz w:val="18"/>
                <w:szCs w:val="18"/>
              </w:rPr>
              <w:t>0</w:t>
            </w:r>
          </w:p>
        </w:tc>
        <w:tc>
          <w:tcPr>
            <w:tcW w:w="422" w:type="pct"/>
            <w:noWrap/>
            <w:hideMark/>
          </w:tcPr>
          <w:p w14:paraId="4616F435" w14:textId="77777777" w:rsidR="0001781A" w:rsidRPr="000973F2" w:rsidRDefault="0001781A" w:rsidP="00043746">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18"/>
                <w:szCs w:val="18"/>
              </w:rPr>
            </w:pPr>
            <w:r w:rsidRPr="000973F2">
              <w:rPr>
                <w:rFonts w:ascii="Times New Roman" w:eastAsia="Times New Roman" w:hAnsi="Times New Roman" w:cs="Times New Roman"/>
                <w:b/>
                <w:bCs/>
                <w:sz w:val="18"/>
                <w:szCs w:val="18"/>
              </w:rPr>
              <w:t>0</w:t>
            </w:r>
          </w:p>
        </w:tc>
        <w:tc>
          <w:tcPr>
            <w:tcW w:w="454" w:type="pct"/>
            <w:noWrap/>
            <w:hideMark/>
          </w:tcPr>
          <w:p w14:paraId="79A380C6" w14:textId="0CBB4F82" w:rsidR="0001781A" w:rsidRPr="000973F2" w:rsidRDefault="0001781A" w:rsidP="00043746">
            <w:pPr>
              <w:tabs>
                <w:tab w:val="decimal" w:pos="402"/>
              </w:tabs>
              <w:spacing w:before="40" w:after="4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18"/>
                <w:szCs w:val="18"/>
              </w:rPr>
            </w:pPr>
            <w:r w:rsidRPr="000973F2">
              <w:rPr>
                <w:rFonts w:ascii="Times New Roman" w:eastAsia="Times New Roman" w:hAnsi="Times New Roman" w:cs="Times New Roman"/>
                <w:b/>
                <w:bCs/>
                <w:sz w:val="18"/>
                <w:szCs w:val="18"/>
              </w:rPr>
              <w:t>$1,500</w:t>
            </w:r>
          </w:p>
        </w:tc>
        <w:tc>
          <w:tcPr>
            <w:tcW w:w="452" w:type="pct"/>
            <w:noWrap/>
            <w:hideMark/>
          </w:tcPr>
          <w:p w14:paraId="10901EDF" w14:textId="7F80D6BF" w:rsidR="0001781A" w:rsidRPr="000973F2" w:rsidRDefault="0001781A" w:rsidP="00043746">
            <w:pPr>
              <w:tabs>
                <w:tab w:val="decimal" w:pos="402"/>
              </w:tabs>
              <w:spacing w:before="40" w:after="4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18"/>
                <w:szCs w:val="18"/>
              </w:rPr>
            </w:pPr>
            <w:r w:rsidRPr="000973F2">
              <w:rPr>
                <w:rFonts w:ascii="Times New Roman" w:eastAsia="Times New Roman" w:hAnsi="Times New Roman" w:cs="Times New Roman"/>
                <w:b/>
                <w:bCs/>
                <w:sz w:val="18"/>
                <w:szCs w:val="18"/>
              </w:rPr>
              <w:t>$1,500</w:t>
            </w:r>
          </w:p>
        </w:tc>
      </w:tr>
    </w:tbl>
    <w:p w14:paraId="2050D6AA" w14:textId="77777777" w:rsidR="0001781A" w:rsidRPr="000973F2" w:rsidRDefault="0001781A" w:rsidP="00C00E4F">
      <w:pPr>
        <w:pStyle w:val="TableName"/>
        <w:spacing w:line="240" w:lineRule="auto"/>
      </w:pPr>
      <w:r w:rsidRPr="000973F2">
        <w:br w:type="page"/>
      </w:r>
    </w:p>
    <w:p w14:paraId="58480828" w14:textId="6B919CD0" w:rsidR="0001781A" w:rsidRPr="000973F2" w:rsidRDefault="0001781A" w:rsidP="00A43381">
      <w:pPr>
        <w:pStyle w:val="Tabletitle"/>
      </w:pPr>
      <w:r w:rsidRPr="000973F2">
        <w:t xml:space="preserve">Table </w:t>
      </w:r>
      <w:r w:rsidR="00A43381" w:rsidRPr="000973F2">
        <w:t>C-</w:t>
      </w:r>
      <w:r w:rsidRPr="000973F2">
        <w:t>2d</w:t>
      </w:r>
      <w:r w:rsidR="00A43381" w:rsidRPr="000973F2">
        <w:t>.</w:t>
      </w:r>
      <w:r w:rsidRPr="000973F2">
        <w:t xml:space="preserve"> Labor Costs</w:t>
      </w:r>
      <w:r w:rsidR="00CC6C17" w:rsidRPr="000973F2">
        <w:t xml:space="preserve"> – </w:t>
      </w:r>
      <w:r w:rsidRPr="000973F2">
        <w:t>Subpart C</w:t>
      </w:r>
      <w:r w:rsidR="00CC6C17" w:rsidRPr="000973F2">
        <w:t xml:space="preserve"> – </w:t>
      </w:r>
      <w:r w:rsidRPr="000973F2">
        <w:t>Facilities reporting using Tier 3</w:t>
      </w:r>
    </w:p>
    <w:p w14:paraId="5E6DBC8C" w14:textId="77777777" w:rsidR="0001781A" w:rsidRPr="000973F2" w:rsidRDefault="0001781A" w:rsidP="00C00E4F">
      <w:pPr>
        <w:rPr>
          <w:i/>
        </w:rPr>
      </w:pPr>
      <w:r w:rsidRPr="000973F2">
        <w:rPr>
          <w:rFonts w:ascii="Times New Roman" w:hAnsi="Times New Roman" w:cs="Times New Roman"/>
          <w:i/>
        </w:rPr>
        <w:t>Subpart C only</w:t>
      </w:r>
    </w:p>
    <w:tbl>
      <w:tblPr>
        <w:tblStyle w:val="PlainTable1"/>
        <w:tblW w:w="5000" w:type="pct"/>
        <w:jc w:val="left"/>
        <w:tblLayout w:type="fixed"/>
        <w:tblCellMar>
          <w:left w:w="115" w:type="dxa"/>
          <w:right w:w="115" w:type="dxa"/>
        </w:tblCellMar>
        <w:tblLook w:val="04A0" w:firstRow="1" w:lastRow="0" w:firstColumn="1" w:lastColumn="0" w:noHBand="0" w:noVBand="1"/>
      </w:tblPr>
      <w:tblGrid>
        <w:gridCol w:w="1190"/>
        <w:gridCol w:w="833"/>
        <w:gridCol w:w="833"/>
        <w:gridCol w:w="832"/>
        <w:gridCol w:w="832"/>
        <w:gridCol w:w="832"/>
        <w:gridCol w:w="832"/>
        <w:gridCol w:w="832"/>
        <w:gridCol w:w="838"/>
        <w:gridCol w:w="871"/>
        <w:gridCol w:w="865"/>
      </w:tblGrid>
      <w:tr w:rsidR="0001781A" w:rsidRPr="000973F2" w14:paraId="31A9AD84" w14:textId="77777777" w:rsidTr="000379A4">
        <w:trPr>
          <w:cnfStyle w:val="100000000000" w:firstRow="1" w:lastRow="0" w:firstColumn="0" w:lastColumn="0" w:oddVBand="0" w:evenVBand="0" w:oddHBand="0" w:evenHBand="0" w:firstRowFirstColumn="0" w:firstRowLastColumn="0" w:lastRowFirstColumn="0" w:lastRowLastColumn="0"/>
          <w:cantSplit/>
          <w:jc w:val="left"/>
        </w:trPr>
        <w:tc>
          <w:tcPr>
            <w:cnfStyle w:val="001000000000" w:firstRow="0" w:lastRow="0" w:firstColumn="1" w:lastColumn="0" w:oddVBand="0" w:evenVBand="0" w:oddHBand="0" w:evenHBand="0" w:firstRowFirstColumn="0" w:firstRowLastColumn="0" w:lastRowFirstColumn="0" w:lastRowLastColumn="0"/>
            <w:tcW w:w="620" w:type="pct"/>
            <w:vMerge w:val="restart"/>
            <w:noWrap/>
            <w:vAlign w:val="top"/>
            <w:hideMark/>
          </w:tcPr>
          <w:p w14:paraId="32E734C8" w14:textId="77777777" w:rsidR="0001781A" w:rsidRPr="000973F2" w:rsidRDefault="0001781A" w:rsidP="00A43381">
            <w:pPr>
              <w:spacing w:before="40" w:after="40"/>
              <w:rPr>
                <w:rFonts w:ascii="Times New Roman" w:eastAsia="Times New Roman" w:hAnsi="Times New Roman" w:cs="Times New Roman"/>
                <w:b w:val="0"/>
                <w:bCs w:val="0"/>
                <w:sz w:val="16"/>
                <w:szCs w:val="16"/>
              </w:rPr>
            </w:pPr>
            <w:r w:rsidRPr="000973F2">
              <w:rPr>
                <w:rFonts w:ascii="Times New Roman" w:eastAsia="Times New Roman" w:hAnsi="Times New Roman" w:cs="Times New Roman"/>
                <w:sz w:val="16"/>
                <w:szCs w:val="16"/>
              </w:rPr>
              <w:t>Activity</w:t>
            </w:r>
          </w:p>
        </w:tc>
        <w:tc>
          <w:tcPr>
            <w:tcW w:w="3475" w:type="pct"/>
            <w:gridSpan w:val="8"/>
            <w:noWrap/>
            <w:vAlign w:val="top"/>
            <w:hideMark/>
          </w:tcPr>
          <w:p w14:paraId="6AE0A20A" w14:textId="77777777" w:rsidR="0001781A" w:rsidRPr="000973F2" w:rsidRDefault="0001781A" w:rsidP="00A43381">
            <w:pPr>
              <w:spacing w:before="40" w:after="40"/>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bCs w:val="0"/>
                <w:sz w:val="16"/>
                <w:szCs w:val="16"/>
              </w:rPr>
            </w:pPr>
            <w:r w:rsidRPr="000973F2">
              <w:rPr>
                <w:rFonts w:ascii="Times New Roman" w:eastAsia="Times New Roman" w:hAnsi="Times New Roman" w:cs="Times New Roman"/>
                <w:sz w:val="16"/>
                <w:szCs w:val="16"/>
              </w:rPr>
              <w:t>Labor Rates (per hour)</w:t>
            </w:r>
          </w:p>
        </w:tc>
        <w:tc>
          <w:tcPr>
            <w:tcW w:w="905" w:type="pct"/>
            <w:gridSpan w:val="2"/>
            <w:vMerge w:val="restart"/>
            <w:vAlign w:val="top"/>
            <w:hideMark/>
          </w:tcPr>
          <w:p w14:paraId="46B53B1D" w14:textId="77777777" w:rsidR="0001781A" w:rsidRPr="000973F2" w:rsidRDefault="0001781A" w:rsidP="00A43381">
            <w:pPr>
              <w:spacing w:before="40" w:after="40"/>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bCs w:val="0"/>
                <w:sz w:val="16"/>
                <w:szCs w:val="16"/>
              </w:rPr>
            </w:pPr>
            <w:r w:rsidRPr="000973F2">
              <w:rPr>
                <w:rFonts w:ascii="Times New Roman" w:eastAsia="Times New Roman" w:hAnsi="Times New Roman" w:cs="Times New Roman"/>
                <w:sz w:val="16"/>
                <w:szCs w:val="16"/>
              </w:rPr>
              <w:t>Total Labor Cost per Year per Facility (2017$)</w:t>
            </w:r>
          </w:p>
        </w:tc>
      </w:tr>
      <w:tr w:rsidR="0001781A" w:rsidRPr="000973F2" w14:paraId="43DBC196" w14:textId="77777777" w:rsidTr="000379A4">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620" w:type="pct"/>
            <w:vMerge/>
            <w:hideMark/>
          </w:tcPr>
          <w:p w14:paraId="55725C98" w14:textId="77777777" w:rsidR="0001781A" w:rsidRPr="000973F2" w:rsidRDefault="0001781A" w:rsidP="00A43381">
            <w:pPr>
              <w:spacing w:before="40" w:after="40"/>
              <w:rPr>
                <w:rFonts w:ascii="Times New Roman" w:eastAsia="Times New Roman" w:hAnsi="Times New Roman" w:cs="Times New Roman"/>
                <w:b/>
                <w:bCs w:val="0"/>
                <w:sz w:val="16"/>
                <w:szCs w:val="16"/>
              </w:rPr>
            </w:pPr>
          </w:p>
        </w:tc>
        <w:tc>
          <w:tcPr>
            <w:tcW w:w="868" w:type="pct"/>
            <w:gridSpan w:val="2"/>
            <w:noWrap/>
            <w:hideMark/>
          </w:tcPr>
          <w:p w14:paraId="1F57238A" w14:textId="77777777" w:rsidR="0001781A" w:rsidRPr="000973F2" w:rsidRDefault="0001781A" w:rsidP="00A43381">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16"/>
                <w:szCs w:val="16"/>
              </w:rPr>
            </w:pPr>
            <w:r w:rsidRPr="000973F2">
              <w:rPr>
                <w:rFonts w:ascii="Times New Roman" w:eastAsia="Times New Roman" w:hAnsi="Times New Roman" w:cs="Times New Roman"/>
                <w:b/>
                <w:bCs/>
                <w:sz w:val="16"/>
                <w:szCs w:val="16"/>
              </w:rPr>
              <w:t>Lawyer</w:t>
            </w:r>
          </w:p>
        </w:tc>
        <w:tc>
          <w:tcPr>
            <w:tcW w:w="868" w:type="pct"/>
            <w:gridSpan w:val="2"/>
            <w:noWrap/>
            <w:hideMark/>
          </w:tcPr>
          <w:p w14:paraId="6CFB2352" w14:textId="77777777" w:rsidR="0001781A" w:rsidRPr="000973F2" w:rsidRDefault="0001781A" w:rsidP="00A43381">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16"/>
                <w:szCs w:val="16"/>
              </w:rPr>
            </w:pPr>
            <w:r w:rsidRPr="000973F2">
              <w:rPr>
                <w:rFonts w:ascii="Times New Roman" w:eastAsia="Times New Roman" w:hAnsi="Times New Roman" w:cs="Times New Roman"/>
                <w:b/>
                <w:bCs/>
                <w:sz w:val="16"/>
                <w:szCs w:val="16"/>
              </w:rPr>
              <w:t>Industrial Manager</w:t>
            </w:r>
          </w:p>
        </w:tc>
        <w:tc>
          <w:tcPr>
            <w:tcW w:w="868" w:type="pct"/>
            <w:gridSpan w:val="2"/>
            <w:hideMark/>
          </w:tcPr>
          <w:p w14:paraId="7986F7D9" w14:textId="2783E9F6" w:rsidR="0001781A" w:rsidRPr="000973F2" w:rsidRDefault="0001781A" w:rsidP="00A43381">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16"/>
                <w:szCs w:val="16"/>
              </w:rPr>
            </w:pPr>
            <w:r w:rsidRPr="000973F2">
              <w:rPr>
                <w:rFonts w:ascii="Times New Roman" w:eastAsia="Times New Roman" w:hAnsi="Times New Roman" w:cs="Times New Roman"/>
                <w:b/>
                <w:bCs/>
                <w:sz w:val="16"/>
                <w:szCs w:val="16"/>
              </w:rPr>
              <w:t>Industrial Engineer/</w:t>
            </w:r>
            <w:r w:rsidR="00A43381" w:rsidRPr="000973F2">
              <w:rPr>
                <w:rFonts w:ascii="Times New Roman" w:eastAsia="Times New Roman" w:hAnsi="Times New Roman" w:cs="Times New Roman"/>
                <w:b/>
                <w:bCs/>
                <w:sz w:val="16"/>
                <w:szCs w:val="16"/>
              </w:rPr>
              <w:t xml:space="preserve"> </w:t>
            </w:r>
            <w:r w:rsidRPr="000973F2">
              <w:rPr>
                <w:rFonts w:ascii="Times New Roman" w:eastAsia="Times New Roman" w:hAnsi="Times New Roman" w:cs="Times New Roman"/>
                <w:b/>
                <w:bCs/>
                <w:sz w:val="16"/>
                <w:szCs w:val="16"/>
              </w:rPr>
              <w:t>Technician</w:t>
            </w:r>
          </w:p>
        </w:tc>
        <w:tc>
          <w:tcPr>
            <w:tcW w:w="871" w:type="pct"/>
            <w:gridSpan w:val="2"/>
            <w:hideMark/>
          </w:tcPr>
          <w:p w14:paraId="49DF31CC" w14:textId="77777777" w:rsidR="0001781A" w:rsidRPr="000973F2" w:rsidRDefault="0001781A" w:rsidP="00A43381">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16"/>
                <w:szCs w:val="16"/>
              </w:rPr>
            </w:pPr>
            <w:r w:rsidRPr="000973F2">
              <w:rPr>
                <w:rFonts w:ascii="Times New Roman" w:eastAsia="Times New Roman" w:hAnsi="Times New Roman" w:cs="Times New Roman"/>
                <w:b/>
                <w:bCs/>
                <w:sz w:val="16"/>
                <w:szCs w:val="16"/>
              </w:rPr>
              <w:t>Administrative Support</w:t>
            </w:r>
          </w:p>
        </w:tc>
        <w:tc>
          <w:tcPr>
            <w:tcW w:w="905" w:type="pct"/>
            <w:gridSpan w:val="2"/>
            <w:vMerge/>
            <w:hideMark/>
          </w:tcPr>
          <w:p w14:paraId="12864397" w14:textId="77777777" w:rsidR="0001781A" w:rsidRPr="000973F2" w:rsidRDefault="0001781A" w:rsidP="00A43381">
            <w:pPr>
              <w:spacing w:before="40" w:after="4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16"/>
                <w:szCs w:val="16"/>
              </w:rPr>
            </w:pPr>
          </w:p>
        </w:tc>
      </w:tr>
      <w:tr w:rsidR="0001781A" w:rsidRPr="000973F2" w14:paraId="1184148B" w14:textId="77777777" w:rsidTr="000379A4">
        <w:trPr>
          <w:cantSplit/>
        </w:trPr>
        <w:tc>
          <w:tcPr>
            <w:cnfStyle w:val="001000000000" w:firstRow="0" w:lastRow="0" w:firstColumn="1" w:lastColumn="0" w:oddVBand="0" w:evenVBand="0" w:oddHBand="0" w:evenHBand="0" w:firstRowFirstColumn="0" w:firstRowLastColumn="0" w:lastRowFirstColumn="0" w:lastRowLastColumn="0"/>
            <w:tcW w:w="620" w:type="pct"/>
            <w:vMerge/>
            <w:hideMark/>
          </w:tcPr>
          <w:p w14:paraId="609E6724" w14:textId="77777777" w:rsidR="0001781A" w:rsidRPr="000973F2" w:rsidRDefault="0001781A" w:rsidP="00A43381">
            <w:pPr>
              <w:spacing w:before="40" w:after="40"/>
              <w:rPr>
                <w:rFonts w:ascii="Times New Roman" w:eastAsia="Times New Roman" w:hAnsi="Times New Roman" w:cs="Times New Roman"/>
                <w:b/>
                <w:bCs w:val="0"/>
                <w:sz w:val="16"/>
                <w:szCs w:val="16"/>
              </w:rPr>
            </w:pPr>
          </w:p>
        </w:tc>
        <w:tc>
          <w:tcPr>
            <w:tcW w:w="868" w:type="pct"/>
            <w:gridSpan w:val="2"/>
            <w:noWrap/>
            <w:hideMark/>
          </w:tcPr>
          <w:p w14:paraId="37E7AD24" w14:textId="77777777" w:rsidR="0001781A" w:rsidRPr="000973F2" w:rsidRDefault="0001781A" w:rsidP="00A43381">
            <w:pPr>
              <w:spacing w:before="40" w:after="4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sz w:val="16"/>
                <w:szCs w:val="16"/>
              </w:rPr>
            </w:pPr>
            <w:r w:rsidRPr="000973F2">
              <w:rPr>
                <w:rFonts w:ascii="Times New Roman" w:eastAsia="Times New Roman" w:hAnsi="Times New Roman" w:cs="Times New Roman"/>
                <w:b/>
                <w:bCs/>
                <w:sz w:val="16"/>
                <w:szCs w:val="16"/>
              </w:rPr>
              <w:t xml:space="preserve">$112.23 </w:t>
            </w:r>
          </w:p>
        </w:tc>
        <w:tc>
          <w:tcPr>
            <w:tcW w:w="868" w:type="pct"/>
            <w:gridSpan w:val="2"/>
            <w:noWrap/>
            <w:hideMark/>
          </w:tcPr>
          <w:p w14:paraId="4DEA087B" w14:textId="77777777" w:rsidR="0001781A" w:rsidRPr="000973F2" w:rsidRDefault="0001781A" w:rsidP="00A43381">
            <w:pPr>
              <w:spacing w:before="40" w:after="4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sz w:val="16"/>
                <w:szCs w:val="16"/>
              </w:rPr>
            </w:pPr>
            <w:r w:rsidRPr="000973F2">
              <w:rPr>
                <w:rFonts w:ascii="Times New Roman" w:eastAsia="Times New Roman" w:hAnsi="Times New Roman" w:cs="Times New Roman"/>
                <w:b/>
                <w:bCs/>
                <w:sz w:val="16"/>
                <w:szCs w:val="16"/>
              </w:rPr>
              <w:t xml:space="preserve">$87.45 </w:t>
            </w:r>
          </w:p>
        </w:tc>
        <w:tc>
          <w:tcPr>
            <w:tcW w:w="868" w:type="pct"/>
            <w:gridSpan w:val="2"/>
            <w:noWrap/>
            <w:hideMark/>
          </w:tcPr>
          <w:p w14:paraId="26543EB0" w14:textId="77777777" w:rsidR="0001781A" w:rsidRPr="000973F2" w:rsidRDefault="0001781A" w:rsidP="00A43381">
            <w:pPr>
              <w:spacing w:before="40" w:after="4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sz w:val="16"/>
                <w:szCs w:val="16"/>
              </w:rPr>
            </w:pPr>
            <w:r w:rsidRPr="000973F2">
              <w:rPr>
                <w:rFonts w:ascii="Times New Roman" w:eastAsia="Times New Roman" w:hAnsi="Times New Roman" w:cs="Times New Roman"/>
                <w:b/>
                <w:bCs/>
                <w:sz w:val="16"/>
                <w:szCs w:val="16"/>
              </w:rPr>
              <w:t xml:space="preserve">$71.45 </w:t>
            </w:r>
          </w:p>
        </w:tc>
        <w:tc>
          <w:tcPr>
            <w:tcW w:w="871" w:type="pct"/>
            <w:gridSpan w:val="2"/>
            <w:noWrap/>
            <w:hideMark/>
          </w:tcPr>
          <w:p w14:paraId="08F59DEA" w14:textId="77777777" w:rsidR="0001781A" w:rsidRPr="000973F2" w:rsidRDefault="0001781A" w:rsidP="00A43381">
            <w:pPr>
              <w:spacing w:before="40" w:after="4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sz w:val="16"/>
                <w:szCs w:val="16"/>
              </w:rPr>
            </w:pPr>
            <w:r w:rsidRPr="000973F2">
              <w:rPr>
                <w:rFonts w:ascii="Times New Roman" w:eastAsia="Times New Roman" w:hAnsi="Times New Roman" w:cs="Times New Roman"/>
                <w:b/>
                <w:bCs/>
                <w:sz w:val="16"/>
                <w:szCs w:val="16"/>
              </w:rPr>
              <w:t xml:space="preserve">$36.28 </w:t>
            </w:r>
          </w:p>
        </w:tc>
        <w:tc>
          <w:tcPr>
            <w:tcW w:w="905" w:type="pct"/>
            <w:gridSpan w:val="2"/>
            <w:vMerge/>
            <w:hideMark/>
          </w:tcPr>
          <w:p w14:paraId="51B7C16B" w14:textId="77777777" w:rsidR="0001781A" w:rsidRPr="000973F2" w:rsidRDefault="0001781A" w:rsidP="00A43381">
            <w:pPr>
              <w:spacing w:before="40" w:after="4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sz w:val="16"/>
                <w:szCs w:val="16"/>
              </w:rPr>
            </w:pPr>
          </w:p>
        </w:tc>
      </w:tr>
      <w:tr w:rsidR="0001781A" w:rsidRPr="000973F2" w14:paraId="3BE49869" w14:textId="77777777" w:rsidTr="000379A4">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620" w:type="pct"/>
            <w:vMerge/>
            <w:hideMark/>
          </w:tcPr>
          <w:p w14:paraId="1314D6D7" w14:textId="77777777" w:rsidR="0001781A" w:rsidRPr="000973F2" w:rsidRDefault="0001781A" w:rsidP="00A43381">
            <w:pPr>
              <w:spacing w:before="40" w:after="40"/>
              <w:rPr>
                <w:rFonts w:ascii="Times New Roman" w:eastAsia="Times New Roman" w:hAnsi="Times New Roman" w:cs="Times New Roman"/>
                <w:b/>
                <w:bCs w:val="0"/>
                <w:sz w:val="16"/>
                <w:szCs w:val="16"/>
              </w:rPr>
            </w:pPr>
          </w:p>
        </w:tc>
        <w:tc>
          <w:tcPr>
            <w:tcW w:w="434" w:type="pct"/>
            <w:tcMar>
              <w:left w:w="14" w:type="dxa"/>
              <w:right w:w="14" w:type="dxa"/>
            </w:tcMar>
            <w:hideMark/>
          </w:tcPr>
          <w:p w14:paraId="2D688286" w14:textId="2E145861" w:rsidR="0001781A" w:rsidRPr="000973F2" w:rsidRDefault="0001781A" w:rsidP="00A43381">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16"/>
                <w:szCs w:val="16"/>
              </w:rPr>
            </w:pPr>
            <w:r w:rsidRPr="000973F2">
              <w:rPr>
                <w:rFonts w:ascii="Times New Roman" w:eastAsia="Times New Roman" w:hAnsi="Times New Roman" w:cs="Times New Roman"/>
                <w:b/>
                <w:bCs/>
                <w:sz w:val="16"/>
                <w:szCs w:val="16"/>
              </w:rPr>
              <w:t>Initial Year Hours</w:t>
            </w:r>
          </w:p>
        </w:tc>
        <w:tc>
          <w:tcPr>
            <w:tcW w:w="434" w:type="pct"/>
            <w:tcMar>
              <w:left w:w="14" w:type="dxa"/>
              <w:right w:w="14" w:type="dxa"/>
            </w:tcMar>
            <w:hideMark/>
          </w:tcPr>
          <w:p w14:paraId="271A007D" w14:textId="43364270" w:rsidR="0001781A" w:rsidRPr="000973F2" w:rsidRDefault="00A43381" w:rsidP="00A43381">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16"/>
                <w:szCs w:val="16"/>
              </w:rPr>
            </w:pPr>
            <w:r w:rsidRPr="000973F2">
              <w:rPr>
                <w:rFonts w:ascii="Times New Roman" w:eastAsia="Times New Roman" w:hAnsi="Times New Roman" w:cs="Times New Roman"/>
                <w:b/>
                <w:bCs/>
                <w:sz w:val="16"/>
                <w:szCs w:val="16"/>
              </w:rPr>
              <w:t>Subseq. Year Hours</w:t>
            </w:r>
          </w:p>
        </w:tc>
        <w:tc>
          <w:tcPr>
            <w:tcW w:w="434" w:type="pct"/>
            <w:tcMar>
              <w:left w:w="14" w:type="dxa"/>
              <w:right w:w="14" w:type="dxa"/>
            </w:tcMar>
            <w:hideMark/>
          </w:tcPr>
          <w:p w14:paraId="09B319F6" w14:textId="2514332C" w:rsidR="0001781A" w:rsidRPr="000973F2" w:rsidRDefault="00A43381" w:rsidP="00A43381">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16"/>
                <w:szCs w:val="16"/>
              </w:rPr>
            </w:pPr>
            <w:r w:rsidRPr="000973F2">
              <w:rPr>
                <w:rFonts w:ascii="Times New Roman" w:eastAsia="Times New Roman" w:hAnsi="Times New Roman" w:cs="Times New Roman"/>
                <w:b/>
                <w:bCs/>
                <w:sz w:val="16"/>
                <w:szCs w:val="16"/>
              </w:rPr>
              <w:t>Initial Year Hours</w:t>
            </w:r>
          </w:p>
        </w:tc>
        <w:tc>
          <w:tcPr>
            <w:tcW w:w="434" w:type="pct"/>
            <w:tcMar>
              <w:left w:w="14" w:type="dxa"/>
              <w:right w:w="14" w:type="dxa"/>
            </w:tcMar>
            <w:hideMark/>
          </w:tcPr>
          <w:p w14:paraId="57684CB5" w14:textId="6D503832" w:rsidR="0001781A" w:rsidRPr="000973F2" w:rsidRDefault="00A43381" w:rsidP="00A43381">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16"/>
                <w:szCs w:val="16"/>
              </w:rPr>
            </w:pPr>
            <w:r w:rsidRPr="000973F2">
              <w:rPr>
                <w:rFonts w:ascii="Times New Roman" w:eastAsia="Times New Roman" w:hAnsi="Times New Roman" w:cs="Times New Roman"/>
                <w:b/>
                <w:bCs/>
                <w:sz w:val="16"/>
                <w:szCs w:val="16"/>
              </w:rPr>
              <w:t>Subseq. Year Hours</w:t>
            </w:r>
          </w:p>
        </w:tc>
        <w:tc>
          <w:tcPr>
            <w:tcW w:w="434" w:type="pct"/>
            <w:tcMar>
              <w:left w:w="14" w:type="dxa"/>
              <w:right w:w="14" w:type="dxa"/>
            </w:tcMar>
            <w:hideMark/>
          </w:tcPr>
          <w:p w14:paraId="3CB5B8DB" w14:textId="670CCDC1" w:rsidR="0001781A" w:rsidRPr="000973F2" w:rsidRDefault="00A43381" w:rsidP="00A43381">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16"/>
                <w:szCs w:val="16"/>
              </w:rPr>
            </w:pPr>
            <w:r w:rsidRPr="000973F2">
              <w:rPr>
                <w:rFonts w:ascii="Times New Roman" w:eastAsia="Times New Roman" w:hAnsi="Times New Roman" w:cs="Times New Roman"/>
                <w:b/>
                <w:bCs/>
                <w:sz w:val="16"/>
                <w:szCs w:val="16"/>
              </w:rPr>
              <w:t>Initial Year Hours</w:t>
            </w:r>
          </w:p>
        </w:tc>
        <w:tc>
          <w:tcPr>
            <w:tcW w:w="434" w:type="pct"/>
            <w:tcMar>
              <w:left w:w="14" w:type="dxa"/>
              <w:right w:w="14" w:type="dxa"/>
            </w:tcMar>
            <w:hideMark/>
          </w:tcPr>
          <w:p w14:paraId="5E586931" w14:textId="4F0B031F" w:rsidR="0001781A" w:rsidRPr="000973F2" w:rsidRDefault="00A43381" w:rsidP="00A43381">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16"/>
                <w:szCs w:val="16"/>
              </w:rPr>
            </w:pPr>
            <w:r w:rsidRPr="000973F2">
              <w:rPr>
                <w:rFonts w:ascii="Times New Roman" w:eastAsia="Times New Roman" w:hAnsi="Times New Roman" w:cs="Times New Roman"/>
                <w:b/>
                <w:bCs/>
                <w:sz w:val="16"/>
                <w:szCs w:val="16"/>
              </w:rPr>
              <w:t>Subseq. Year Hours</w:t>
            </w:r>
          </w:p>
        </w:tc>
        <w:tc>
          <w:tcPr>
            <w:tcW w:w="434" w:type="pct"/>
            <w:tcMar>
              <w:left w:w="14" w:type="dxa"/>
              <w:right w:w="14" w:type="dxa"/>
            </w:tcMar>
            <w:hideMark/>
          </w:tcPr>
          <w:p w14:paraId="201B29FA" w14:textId="7EE1C734" w:rsidR="0001781A" w:rsidRPr="000973F2" w:rsidRDefault="00A43381" w:rsidP="00A43381">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16"/>
                <w:szCs w:val="16"/>
              </w:rPr>
            </w:pPr>
            <w:r w:rsidRPr="000973F2">
              <w:rPr>
                <w:rFonts w:ascii="Times New Roman" w:eastAsia="Times New Roman" w:hAnsi="Times New Roman" w:cs="Times New Roman"/>
                <w:b/>
                <w:bCs/>
                <w:sz w:val="16"/>
                <w:szCs w:val="16"/>
              </w:rPr>
              <w:t>Initial Year Hours</w:t>
            </w:r>
          </w:p>
        </w:tc>
        <w:tc>
          <w:tcPr>
            <w:tcW w:w="437" w:type="pct"/>
            <w:tcMar>
              <w:left w:w="14" w:type="dxa"/>
              <w:right w:w="14" w:type="dxa"/>
            </w:tcMar>
            <w:hideMark/>
          </w:tcPr>
          <w:p w14:paraId="4B72CDC3" w14:textId="79B47780" w:rsidR="0001781A" w:rsidRPr="000973F2" w:rsidRDefault="00A43381" w:rsidP="00A43381">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16"/>
                <w:szCs w:val="16"/>
              </w:rPr>
            </w:pPr>
            <w:r w:rsidRPr="000973F2">
              <w:rPr>
                <w:rFonts w:ascii="Times New Roman" w:eastAsia="Times New Roman" w:hAnsi="Times New Roman" w:cs="Times New Roman"/>
                <w:b/>
                <w:bCs/>
                <w:sz w:val="16"/>
                <w:szCs w:val="16"/>
              </w:rPr>
              <w:t>Subseq. Year Hours</w:t>
            </w:r>
          </w:p>
        </w:tc>
        <w:tc>
          <w:tcPr>
            <w:tcW w:w="454" w:type="pct"/>
            <w:tcMar>
              <w:left w:w="14" w:type="dxa"/>
              <w:right w:w="14" w:type="dxa"/>
            </w:tcMar>
            <w:hideMark/>
          </w:tcPr>
          <w:p w14:paraId="0E4C8384" w14:textId="77777777" w:rsidR="0001781A" w:rsidRPr="000973F2" w:rsidRDefault="0001781A" w:rsidP="00A43381">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16"/>
                <w:szCs w:val="16"/>
              </w:rPr>
            </w:pPr>
            <w:r w:rsidRPr="000973F2">
              <w:rPr>
                <w:rFonts w:ascii="Times New Roman" w:eastAsia="Times New Roman" w:hAnsi="Times New Roman" w:cs="Times New Roman"/>
                <w:b/>
                <w:bCs/>
                <w:sz w:val="16"/>
                <w:szCs w:val="16"/>
              </w:rPr>
              <w:t>Initial Year</w:t>
            </w:r>
          </w:p>
        </w:tc>
        <w:tc>
          <w:tcPr>
            <w:tcW w:w="451" w:type="pct"/>
            <w:tcMar>
              <w:left w:w="14" w:type="dxa"/>
              <w:right w:w="14" w:type="dxa"/>
            </w:tcMar>
            <w:hideMark/>
          </w:tcPr>
          <w:p w14:paraId="285E11FB" w14:textId="77777777" w:rsidR="0001781A" w:rsidRPr="000973F2" w:rsidRDefault="0001781A" w:rsidP="00A43381">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16"/>
                <w:szCs w:val="16"/>
              </w:rPr>
            </w:pPr>
            <w:r w:rsidRPr="000973F2">
              <w:rPr>
                <w:rFonts w:ascii="Times New Roman" w:eastAsia="Times New Roman" w:hAnsi="Times New Roman" w:cs="Times New Roman"/>
                <w:b/>
                <w:bCs/>
                <w:sz w:val="16"/>
                <w:szCs w:val="16"/>
              </w:rPr>
              <w:t>Subseq. Year</w:t>
            </w:r>
          </w:p>
        </w:tc>
      </w:tr>
      <w:tr w:rsidR="000379A4" w:rsidRPr="000973F2" w14:paraId="0A694D6D" w14:textId="77777777" w:rsidTr="000379A4">
        <w:trPr>
          <w:cantSplit/>
        </w:trPr>
        <w:tc>
          <w:tcPr>
            <w:cnfStyle w:val="001000000000" w:firstRow="0" w:lastRow="0" w:firstColumn="1" w:lastColumn="0" w:oddVBand="0" w:evenVBand="0" w:oddHBand="0" w:evenHBand="0" w:firstRowFirstColumn="0" w:firstRowLastColumn="0" w:lastRowFirstColumn="0" w:lastRowLastColumn="0"/>
            <w:tcW w:w="620" w:type="pct"/>
            <w:tcMar>
              <w:right w:w="14" w:type="dxa"/>
            </w:tcMar>
            <w:hideMark/>
          </w:tcPr>
          <w:p w14:paraId="4BB7BFE6" w14:textId="77777777" w:rsidR="000379A4" w:rsidRPr="000973F2" w:rsidRDefault="000379A4" w:rsidP="000379A4">
            <w:pPr>
              <w:spacing w:before="40" w:after="40"/>
              <w:rPr>
                <w:rFonts w:ascii="Times New Roman" w:eastAsia="Times New Roman" w:hAnsi="Times New Roman" w:cs="Times New Roman"/>
                <w:sz w:val="16"/>
                <w:szCs w:val="16"/>
              </w:rPr>
            </w:pPr>
            <w:r w:rsidRPr="000973F2">
              <w:rPr>
                <w:rFonts w:ascii="Times New Roman" w:eastAsia="Times New Roman" w:hAnsi="Times New Roman" w:cs="Times New Roman"/>
                <w:sz w:val="16"/>
                <w:szCs w:val="16"/>
              </w:rPr>
              <w:t>Planning</w:t>
            </w:r>
          </w:p>
        </w:tc>
        <w:tc>
          <w:tcPr>
            <w:tcW w:w="434" w:type="pct"/>
            <w:noWrap/>
            <w:hideMark/>
          </w:tcPr>
          <w:p w14:paraId="6349A688" w14:textId="363582D3" w:rsidR="000379A4" w:rsidRPr="000973F2" w:rsidRDefault="000379A4" w:rsidP="000379A4">
            <w:pPr>
              <w:spacing w:before="40" w:after="4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6"/>
                <w:szCs w:val="16"/>
              </w:rPr>
            </w:pPr>
            <w:r w:rsidRPr="000973F2">
              <w:rPr>
                <w:rFonts w:ascii="Times New Roman" w:eastAsia="Times New Roman" w:hAnsi="Times New Roman" w:cs="Times New Roman"/>
                <w:sz w:val="18"/>
                <w:szCs w:val="18"/>
              </w:rPr>
              <w:t>–</w:t>
            </w:r>
          </w:p>
        </w:tc>
        <w:tc>
          <w:tcPr>
            <w:tcW w:w="434" w:type="pct"/>
            <w:noWrap/>
            <w:hideMark/>
          </w:tcPr>
          <w:p w14:paraId="1B86904B" w14:textId="207C5B52" w:rsidR="000379A4" w:rsidRPr="000973F2" w:rsidRDefault="000379A4" w:rsidP="000379A4">
            <w:pPr>
              <w:spacing w:before="40" w:after="4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6"/>
                <w:szCs w:val="16"/>
              </w:rPr>
            </w:pPr>
            <w:r w:rsidRPr="000973F2">
              <w:rPr>
                <w:rFonts w:ascii="Times New Roman" w:eastAsia="Times New Roman" w:hAnsi="Times New Roman" w:cs="Times New Roman"/>
                <w:sz w:val="18"/>
                <w:szCs w:val="18"/>
              </w:rPr>
              <w:t>–</w:t>
            </w:r>
          </w:p>
        </w:tc>
        <w:tc>
          <w:tcPr>
            <w:tcW w:w="434" w:type="pct"/>
            <w:noWrap/>
            <w:hideMark/>
          </w:tcPr>
          <w:p w14:paraId="145A3B68" w14:textId="2FE1F946" w:rsidR="000379A4" w:rsidRPr="000973F2" w:rsidRDefault="000379A4" w:rsidP="000379A4">
            <w:pPr>
              <w:spacing w:before="40" w:after="4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6"/>
                <w:szCs w:val="16"/>
              </w:rPr>
            </w:pPr>
            <w:r w:rsidRPr="000973F2">
              <w:rPr>
                <w:rFonts w:ascii="Times New Roman" w:eastAsia="Times New Roman" w:hAnsi="Times New Roman" w:cs="Times New Roman"/>
                <w:sz w:val="18"/>
                <w:szCs w:val="18"/>
              </w:rPr>
              <w:t>–</w:t>
            </w:r>
          </w:p>
        </w:tc>
        <w:tc>
          <w:tcPr>
            <w:tcW w:w="434" w:type="pct"/>
            <w:noWrap/>
            <w:hideMark/>
          </w:tcPr>
          <w:p w14:paraId="64A5B40F" w14:textId="1C89B294" w:rsidR="000379A4" w:rsidRPr="000973F2" w:rsidRDefault="000379A4" w:rsidP="000379A4">
            <w:pPr>
              <w:spacing w:before="40" w:after="4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6"/>
                <w:szCs w:val="16"/>
              </w:rPr>
            </w:pPr>
            <w:r w:rsidRPr="000973F2">
              <w:rPr>
                <w:rFonts w:ascii="Times New Roman" w:eastAsia="Times New Roman" w:hAnsi="Times New Roman" w:cs="Times New Roman"/>
                <w:sz w:val="18"/>
                <w:szCs w:val="18"/>
              </w:rPr>
              <w:t>–</w:t>
            </w:r>
          </w:p>
        </w:tc>
        <w:tc>
          <w:tcPr>
            <w:tcW w:w="434" w:type="pct"/>
            <w:noWrap/>
            <w:hideMark/>
          </w:tcPr>
          <w:p w14:paraId="43F994E4" w14:textId="3F8F6B60" w:rsidR="000379A4" w:rsidRPr="000973F2" w:rsidRDefault="000379A4" w:rsidP="000379A4">
            <w:pPr>
              <w:tabs>
                <w:tab w:val="decimal" w:pos="274"/>
              </w:tabs>
              <w:spacing w:before="40" w:after="4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6"/>
                <w:szCs w:val="16"/>
              </w:rPr>
            </w:pPr>
            <w:r w:rsidRPr="000973F2">
              <w:rPr>
                <w:rFonts w:ascii="Times New Roman" w:eastAsia="Times New Roman" w:hAnsi="Times New Roman" w:cs="Times New Roman"/>
                <w:sz w:val="18"/>
                <w:szCs w:val="18"/>
              </w:rPr>
              <w:t>–</w:t>
            </w:r>
          </w:p>
        </w:tc>
        <w:tc>
          <w:tcPr>
            <w:tcW w:w="434" w:type="pct"/>
            <w:noWrap/>
            <w:hideMark/>
          </w:tcPr>
          <w:p w14:paraId="58D1C8D1" w14:textId="1E77E2AE" w:rsidR="000379A4" w:rsidRPr="000973F2" w:rsidRDefault="000379A4" w:rsidP="000379A4">
            <w:pPr>
              <w:tabs>
                <w:tab w:val="decimal" w:pos="274"/>
              </w:tabs>
              <w:spacing w:before="40" w:after="4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6"/>
                <w:szCs w:val="16"/>
              </w:rPr>
            </w:pPr>
            <w:r w:rsidRPr="000973F2">
              <w:rPr>
                <w:rFonts w:ascii="Times New Roman" w:eastAsia="Times New Roman" w:hAnsi="Times New Roman" w:cs="Times New Roman"/>
                <w:sz w:val="18"/>
                <w:szCs w:val="18"/>
              </w:rPr>
              <w:t>–</w:t>
            </w:r>
          </w:p>
        </w:tc>
        <w:tc>
          <w:tcPr>
            <w:tcW w:w="434" w:type="pct"/>
            <w:noWrap/>
            <w:hideMark/>
          </w:tcPr>
          <w:p w14:paraId="0311D98A" w14:textId="0619FDA8" w:rsidR="000379A4" w:rsidRPr="000973F2" w:rsidRDefault="000379A4" w:rsidP="000379A4">
            <w:pPr>
              <w:spacing w:before="40" w:after="4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6"/>
                <w:szCs w:val="16"/>
              </w:rPr>
            </w:pPr>
            <w:r w:rsidRPr="000973F2">
              <w:rPr>
                <w:rFonts w:ascii="Times New Roman" w:eastAsia="Times New Roman" w:hAnsi="Times New Roman" w:cs="Times New Roman"/>
                <w:sz w:val="18"/>
                <w:szCs w:val="18"/>
              </w:rPr>
              <w:t>–</w:t>
            </w:r>
          </w:p>
        </w:tc>
        <w:tc>
          <w:tcPr>
            <w:tcW w:w="437" w:type="pct"/>
            <w:noWrap/>
            <w:hideMark/>
          </w:tcPr>
          <w:p w14:paraId="5ED32DEA" w14:textId="55B7C1DC" w:rsidR="000379A4" w:rsidRPr="000973F2" w:rsidRDefault="000379A4" w:rsidP="000379A4">
            <w:pPr>
              <w:spacing w:before="40" w:after="4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6"/>
                <w:szCs w:val="16"/>
              </w:rPr>
            </w:pPr>
            <w:r w:rsidRPr="000973F2">
              <w:rPr>
                <w:rFonts w:ascii="Times New Roman" w:eastAsia="Times New Roman" w:hAnsi="Times New Roman" w:cs="Times New Roman"/>
                <w:sz w:val="18"/>
                <w:szCs w:val="18"/>
              </w:rPr>
              <w:t>–</w:t>
            </w:r>
          </w:p>
        </w:tc>
        <w:tc>
          <w:tcPr>
            <w:tcW w:w="454" w:type="pct"/>
            <w:noWrap/>
            <w:hideMark/>
          </w:tcPr>
          <w:p w14:paraId="66955F59" w14:textId="028D4C77" w:rsidR="000379A4" w:rsidRPr="000973F2" w:rsidRDefault="000379A4" w:rsidP="000379A4">
            <w:pPr>
              <w:tabs>
                <w:tab w:val="decimal" w:pos="516"/>
              </w:tabs>
              <w:spacing w:before="40" w:after="4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6"/>
                <w:szCs w:val="16"/>
              </w:rPr>
            </w:pPr>
            <w:r w:rsidRPr="000973F2">
              <w:rPr>
                <w:rFonts w:ascii="Times New Roman" w:eastAsia="Times New Roman" w:hAnsi="Times New Roman" w:cs="Times New Roman"/>
                <w:sz w:val="18"/>
                <w:szCs w:val="18"/>
              </w:rPr>
              <w:t>–</w:t>
            </w:r>
          </w:p>
        </w:tc>
        <w:tc>
          <w:tcPr>
            <w:tcW w:w="451" w:type="pct"/>
            <w:noWrap/>
            <w:hideMark/>
          </w:tcPr>
          <w:p w14:paraId="0B77B50C" w14:textId="033CC847" w:rsidR="000379A4" w:rsidRPr="000973F2" w:rsidRDefault="000379A4" w:rsidP="000379A4">
            <w:pPr>
              <w:tabs>
                <w:tab w:val="decimal" w:pos="516"/>
              </w:tabs>
              <w:spacing w:before="40" w:after="4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6"/>
                <w:szCs w:val="16"/>
              </w:rPr>
            </w:pPr>
            <w:r w:rsidRPr="000973F2">
              <w:rPr>
                <w:rFonts w:ascii="Times New Roman" w:eastAsia="Times New Roman" w:hAnsi="Times New Roman" w:cs="Times New Roman"/>
                <w:sz w:val="18"/>
                <w:szCs w:val="18"/>
              </w:rPr>
              <w:t>–</w:t>
            </w:r>
          </w:p>
        </w:tc>
      </w:tr>
      <w:tr w:rsidR="000379A4" w:rsidRPr="000973F2" w14:paraId="525A5546" w14:textId="77777777" w:rsidTr="000379A4">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620" w:type="pct"/>
            <w:tcMar>
              <w:right w:w="14" w:type="dxa"/>
            </w:tcMar>
            <w:hideMark/>
          </w:tcPr>
          <w:p w14:paraId="04CC0DB1" w14:textId="77777777" w:rsidR="000379A4" w:rsidRPr="000973F2" w:rsidRDefault="000379A4" w:rsidP="000379A4">
            <w:pPr>
              <w:spacing w:before="40" w:after="40"/>
              <w:rPr>
                <w:rFonts w:ascii="Times New Roman" w:eastAsia="Times New Roman" w:hAnsi="Times New Roman" w:cs="Times New Roman"/>
                <w:sz w:val="16"/>
                <w:szCs w:val="16"/>
              </w:rPr>
            </w:pPr>
            <w:r w:rsidRPr="000973F2">
              <w:rPr>
                <w:rFonts w:ascii="Times New Roman" w:eastAsia="Times New Roman" w:hAnsi="Times New Roman" w:cs="Times New Roman"/>
                <w:sz w:val="16"/>
                <w:szCs w:val="16"/>
              </w:rPr>
              <w:t>QA/QC</w:t>
            </w:r>
          </w:p>
        </w:tc>
        <w:tc>
          <w:tcPr>
            <w:tcW w:w="434" w:type="pct"/>
            <w:noWrap/>
            <w:hideMark/>
          </w:tcPr>
          <w:p w14:paraId="2335F088" w14:textId="6328C938" w:rsidR="000379A4" w:rsidRPr="000973F2" w:rsidRDefault="000379A4" w:rsidP="000379A4">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6"/>
                <w:szCs w:val="16"/>
              </w:rPr>
            </w:pPr>
            <w:r w:rsidRPr="000973F2">
              <w:rPr>
                <w:rFonts w:ascii="Times New Roman" w:eastAsia="Times New Roman" w:hAnsi="Times New Roman" w:cs="Times New Roman"/>
                <w:sz w:val="18"/>
                <w:szCs w:val="18"/>
              </w:rPr>
              <w:t>–</w:t>
            </w:r>
          </w:p>
        </w:tc>
        <w:tc>
          <w:tcPr>
            <w:tcW w:w="434" w:type="pct"/>
            <w:noWrap/>
            <w:hideMark/>
          </w:tcPr>
          <w:p w14:paraId="675951D8" w14:textId="0C3B5C45" w:rsidR="000379A4" w:rsidRPr="000973F2" w:rsidRDefault="000379A4" w:rsidP="000379A4">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6"/>
                <w:szCs w:val="16"/>
              </w:rPr>
            </w:pPr>
            <w:r w:rsidRPr="000973F2">
              <w:rPr>
                <w:rFonts w:ascii="Times New Roman" w:eastAsia="Times New Roman" w:hAnsi="Times New Roman" w:cs="Times New Roman"/>
                <w:sz w:val="18"/>
                <w:szCs w:val="18"/>
              </w:rPr>
              <w:t>–</w:t>
            </w:r>
          </w:p>
        </w:tc>
        <w:tc>
          <w:tcPr>
            <w:tcW w:w="434" w:type="pct"/>
            <w:noWrap/>
            <w:hideMark/>
          </w:tcPr>
          <w:p w14:paraId="68A5AD66" w14:textId="05749B41" w:rsidR="000379A4" w:rsidRPr="000973F2" w:rsidRDefault="000379A4" w:rsidP="000379A4">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6"/>
                <w:szCs w:val="16"/>
              </w:rPr>
            </w:pPr>
            <w:r w:rsidRPr="000973F2">
              <w:rPr>
                <w:rFonts w:ascii="Times New Roman" w:eastAsia="Times New Roman" w:hAnsi="Times New Roman" w:cs="Times New Roman"/>
                <w:sz w:val="18"/>
                <w:szCs w:val="18"/>
              </w:rPr>
              <w:t>–</w:t>
            </w:r>
          </w:p>
        </w:tc>
        <w:tc>
          <w:tcPr>
            <w:tcW w:w="434" w:type="pct"/>
            <w:noWrap/>
            <w:hideMark/>
          </w:tcPr>
          <w:p w14:paraId="36FA0B68" w14:textId="4D97C5E5" w:rsidR="000379A4" w:rsidRPr="000973F2" w:rsidRDefault="000379A4" w:rsidP="000379A4">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6"/>
                <w:szCs w:val="16"/>
              </w:rPr>
            </w:pPr>
            <w:r w:rsidRPr="000973F2">
              <w:rPr>
                <w:rFonts w:ascii="Times New Roman" w:eastAsia="Times New Roman" w:hAnsi="Times New Roman" w:cs="Times New Roman"/>
                <w:sz w:val="18"/>
                <w:szCs w:val="18"/>
              </w:rPr>
              <w:t>–</w:t>
            </w:r>
          </w:p>
        </w:tc>
        <w:tc>
          <w:tcPr>
            <w:tcW w:w="434" w:type="pct"/>
            <w:noWrap/>
            <w:hideMark/>
          </w:tcPr>
          <w:p w14:paraId="31945718" w14:textId="4744FE78" w:rsidR="000379A4" w:rsidRPr="000973F2" w:rsidRDefault="000379A4" w:rsidP="000379A4">
            <w:pPr>
              <w:tabs>
                <w:tab w:val="decimal" w:pos="274"/>
              </w:tabs>
              <w:spacing w:before="40" w:after="4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6"/>
                <w:szCs w:val="16"/>
              </w:rPr>
            </w:pPr>
            <w:r w:rsidRPr="000973F2">
              <w:rPr>
                <w:rFonts w:ascii="Times New Roman" w:eastAsia="Times New Roman" w:hAnsi="Times New Roman" w:cs="Times New Roman"/>
                <w:sz w:val="18"/>
                <w:szCs w:val="18"/>
              </w:rPr>
              <w:t>–</w:t>
            </w:r>
          </w:p>
        </w:tc>
        <w:tc>
          <w:tcPr>
            <w:tcW w:w="434" w:type="pct"/>
            <w:noWrap/>
            <w:hideMark/>
          </w:tcPr>
          <w:p w14:paraId="22DE040B" w14:textId="702A3CC9" w:rsidR="000379A4" w:rsidRPr="000973F2" w:rsidRDefault="000379A4" w:rsidP="000379A4">
            <w:pPr>
              <w:tabs>
                <w:tab w:val="decimal" w:pos="274"/>
              </w:tabs>
              <w:spacing w:before="40" w:after="4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6"/>
                <w:szCs w:val="16"/>
              </w:rPr>
            </w:pPr>
            <w:r w:rsidRPr="000973F2">
              <w:rPr>
                <w:rFonts w:ascii="Times New Roman" w:eastAsia="Times New Roman" w:hAnsi="Times New Roman" w:cs="Times New Roman"/>
                <w:sz w:val="18"/>
                <w:szCs w:val="18"/>
              </w:rPr>
              <w:t>–</w:t>
            </w:r>
          </w:p>
        </w:tc>
        <w:tc>
          <w:tcPr>
            <w:tcW w:w="434" w:type="pct"/>
            <w:noWrap/>
            <w:hideMark/>
          </w:tcPr>
          <w:p w14:paraId="3A4DE90C" w14:textId="416F9448" w:rsidR="000379A4" w:rsidRPr="000973F2" w:rsidRDefault="000379A4" w:rsidP="000379A4">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6"/>
                <w:szCs w:val="16"/>
              </w:rPr>
            </w:pPr>
            <w:r w:rsidRPr="000973F2">
              <w:rPr>
                <w:rFonts w:ascii="Times New Roman" w:eastAsia="Times New Roman" w:hAnsi="Times New Roman" w:cs="Times New Roman"/>
                <w:sz w:val="18"/>
                <w:szCs w:val="18"/>
              </w:rPr>
              <w:t>–</w:t>
            </w:r>
          </w:p>
        </w:tc>
        <w:tc>
          <w:tcPr>
            <w:tcW w:w="437" w:type="pct"/>
            <w:noWrap/>
            <w:hideMark/>
          </w:tcPr>
          <w:p w14:paraId="59F23D09" w14:textId="234A62C2" w:rsidR="000379A4" w:rsidRPr="000973F2" w:rsidRDefault="000379A4" w:rsidP="000379A4">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6"/>
                <w:szCs w:val="16"/>
              </w:rPr>
            </w:pPr>
            <w:r w:rsidRPr="000973F2">
              <w:rPr>
                <w:rFonts w:ascii="Times New Roman" w:eastAsia="Times New Roman" w:hAnsi="Times New Roman" w:cs="Times New Roman"/>
                <w:sz w:val="18"/>
                <w:szCs w:val="18"/>
              </w:rPr>
              <w:t>–</w:t>
            </w:r>
          </w:p>
        </w:tc>
        <w:tc>
          <w:tcPr>
            <w:tcW w:w="454" w:type="pct"/>
            <w:noWrap/>
            <w:hideMark/>
          </w:tcPr>
          <w:p w14:paraId="3D1C6DA4" w14:textId="0B94C0FC" w:rsidR="000379A4" w:rsidRPr="000973F2" w:rsidRDefault="000379A4" w:rsidP="000379A4">
            <w:pPr>
              <w:tabs>
                <w:tab w:val="decimal" w:pos="516"/>
              </w:tabs>
              <w:spacing w:before="40" w:after="4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6"/>
                <w:szCs w:val="16"/>
              </w:rPr>
            </w:pPr>
            <w:r w:rsidRPr="000973F2">
              <w:rPr>
                <w:rFonts w:ascii="Times New Roman" w:eastAsia="Times New Roman" w:hAnsi="Times New Roman" w:cs="Times New Roman"/>
                <w:sz w:val="18"/>
                <w:szCs w:val="18"/>
              </w:rPr>
              <w:t>–</w:t>
            </w:r>
          </w:p>
        </w:tc>
        <w:tc>
          <w:tcPr>
            <w:tcW w:w="451" w:type="pct"/>
            <w:noWrap/>
            <w:hideMark/>
          </w:tcPr>
          <w:p w14:paraId="06A71196" w14:textId="258EBC39" w:rsidR="000379A4" w:rsidRPr="000973F2" w:rsidRDefault="000379A4" w:rsidP="000379A4">
            <w:pPr>
              <w:tabs>
                <w:tab w:val="decimal" w:pos="516"/>
              </w:tabs>
              <w:spacing w:before="40" w:after="4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6"/>
                <w:szCs w:val="16"/>
              </w:rPr>
            </w:pPr>
            <w:r w:rsidRPr="000973F2">
              <w:rPr>
                <w:rFonts w:ascii="Times New Roman" w:eastAsia="Times New Roman" w:hAnsi="Times New Roman" w:cs="Times New Roman"/>
                <w:sz w:val="18"/>
                <w:szCs w:val="18"/>
              </w:rPr>
              <w:t>–</w:t>
            </w:r>
          </w:p>
        </w:tc>
      </w:tr>
      <w:tr w:rsidR="000379A4" w:rsidRPr="000973F2" w14:paraId="13829C85" w14:textId="77777777" w:rsidTr="000379A4">
        <w:trPr>
          <w:cantSplit/>
        </w:trPr>
        <w:tc>
          <w:tcPr>
            <w:cnfStyle w:val="001000000000" w:firstRow="0" w:lastRow="0" w:firstColumn="1" w:lastColumn="0" w:oddVBand="0" w:evenVBand="0" w:oddHBand="0" w:evenHBand="0" w:firstRowFirstColumn="0" w:firstRowLastColumn="0" w:lastRowFirstColumn="0" w:lastRowLastColumn="0"/>
            <w:tcW w:w="620" w:type="pct"/>
            <w:tcMar>
              <w:right w:w="14" w:type="dxa"/>
            </w:tcMar>
            <w:hideMark/>
          </w:tcPr>
          <w:p w14:paraId="6E863798" w14:textId="77777777" w:rsidR="000379A4" w:rsidRPr="000973F2" w:rsidRDefault="000379A4" w:rsidP="000379A4">
            <w:pPr>
              <w:spacing w:before="40" w:after="40"/>
              <w:rPr>
                <w:rFonts w:ascii="Times New Roman" w:eastAsia="Times New Roman" w:hAnsi="Times New Roman" w:cs="Times New Roman"/>
                <w:sz w:val="16"/>
                <w:szCs w:val="16"/>
              </w:rPr>
            </w:pPr>
            <w:r w:rsidRPr="000973F2">
              <w:rPr>
                <w:rFonts w:ascii="Times New Roman" w:eastAsia="Times New Roman" w:hAnsi="Times New Roman" w:cs="Times New Roman"/>
                <w:sz w:val="16"/>
                <w:szCs w:val="16"/>
              </w:rPr>
              <w:t>Recordkeeping</w:t>
            </w:r>
          </w:p>
        </w:tc>
        <w:tc>
          <w:tcPr>
            <w:tcW w:w="434" w:type="pct"/>
            <w:noWrap/>
            <w:hideMark/>
          </w:tcPr>
          <w:p w14:paraId="2E0FA1E7" w14:textId="6EF6AA81" w:rsidR="000379A4" w:rsidRPr="000973F2" w:rsidRDefault="000379A4" w:rsidP="000379A4">
            <w:pPr>
              <w:spacing w:before="40" w:after="4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6"/>
                <w:szCs w:val="16"/>
              </w:rPr>
            </w:pPr>
            <w:r w:rsidRPr="000973F2">
              <w:rPr>
                <w:rFonts w:ascii="Times New Roman" w:eastAsia="Times New Roman" w:hAnsi="Times New Roman" w:cs="Times New Roman"/>
                <w:sz w:val="18"/>
                <w:szCs w:val="18"/>
              </w:rPr>
              <w:t>–</w:t>
            </w:r>
          </w:p>
        </w:tc>
        <w:tc>
          <w:tcPr>
            <w:tcW w:w="434" w:type="pct"/>
            <w:noWrap/>
            <w:hideMark/>
          </w:tcPr>
          <w:p w14:paraId="28C2F31C" w14:textId="4F4CCA61" w:rsidR="000379A4" w:rsidRPr="000973F2" w:rsidRDefault="000379A4" w:rsidP="000379A4">
            <w:pPr>
              <w:spacing w:before="40" w:after="4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6"/>
                <w:szCs w:val="16"/>
              </w:rPr>
            </w:pPr>
            <w:r w:rsidRPr="000973F2">
              <w:rPr>
                <w:rFonts w:ascii="Times New Roman" w:eastAsia="Times New Roman" w:hAnsi="Times New Roman" w:cs="Times New Roman"/>
                <w:sz w:val="18"/>
                <w:szCs w:val="18"/>
              </w:rPr>
              <w:t>–</w:t>
            </w:r>
          </w:p>
        </w:tc>
        <w:tc>
          <w:tcPr>
            <w:tcW w:w="434" w:type="pct"/>
            <w:noWrap/>
            <w:hideMark/>
          </w:tcPr>
          <w:p w14:paraId="59F54AFE" w14:textId="6EF0F34B" w:rsidR="000379A4" w:rsidRPr="000973F2" w:rsidRDefault="000379A4" w:rsidP="000379A4">
            <w:pPr>
              <w:spacing w:before="40" w:after="4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6"/>
                <w:szCs w:val="16"/>
              </w:rPr>
            </w:pPr>
            <w:r w:rsidRPr="000973F2">
              <w:rPr>
                <w:rFonts w:ascii="Times New Roman" w:eastAsia="Times New Roman" w:hAnsi="Times New Roman" w:cs="Times New Roman"/>
                <w:sz w:val="18"/>
                <w:szCs w:val="18"/>
              </w:rPr>
              <w:t>–</w:t>
            </w:r>
          </w:p>
        </w:tc>
        <w:tc>
          <w:tcPr>
            <w:tcW w:w="434" w:type="pct"/>
            <w:noWrap/>
            <w:hideMark/>
          </w:tcPr>
          <w:p w14:paraId="324AD99A" w14:textId="5337937F" w:rsidR="000379A4" w:rsidRPr="000973F2" w:rsidRDefault="000379A4" w:rsidP="000379A4">
            <w:pPr>
              <w:spacing w:before="40" w:after="4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6"/>
                <w:szCs w:val="16"/>
              </w:rPr>
            </w:pPr>
            <w:r w:rsidRPr="000973F2">
              <w:rPr>
                <w:rFonts w:ascii="Times New Roman" w:eastAsia="Times New Roman" w:hAnsi="Times New Roman" w:cs="Times New Roman"/>
                <w:sz w:val="18"/>
                <w:szCs w:val="18"/>
              </w:rPr>
              <w:t>–</w:t>
            </w:r>
          </w:p>
        </w:tc>
        <w:tc>
          <w:tcPr>
            <w:tcW w:w="434" w:type="pct"/>
            <w:noWrap/>
            <w:hideMark/>
          </w:tcPr>
          <w:p w14:paraId="7C8AAEED" w14:textId="62D78693" w:rsidR="000379A4" w:rsidRPr="000973F2" w:rsidRDefault="000379A4" w:rsidP="000379A4">
            <w:pPr>
              <w:tabs>
                <w:tab w:val="decimal" w:pos="274"/>
              </w:tabs>
              <w:spacing w:before="40" w:after="4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6"/>
                <w:szCs w:val="16"/>
              </w:rPr>
            </w:pPr>
            <w:r w:rsidRPr="000973F2">
              <w:rPr>
                <w:rFonts w:ascii="Times New Roman" w:eastAsia="Times New Roman" w:hAnsi="Times New Roman" w:cs="Times New Roman"/>
                <w:sz w:val="18"/>
                <w:szCs w:val="18"/>
              </w:rPr>
              <w:t>–</w:t>
            </w:r>
          </w:p>
        </w:tc>
        <w:tc>
          <w:tcPr>
            <w:tcW w:w="434" w:type="pct"/>
            <w:noWrap/>
            <w:hideMark/>
          </w:tcPr>
          <w:p w14:paraId="6F65ACF6" w14:textId="59A6D42A" w:rsidR="000379A4" w:rsidRPr="000973F2" w:rsidRDefault="000379A4" w:rsidP="000379A4">
            <w:pPr>
              <w:tabs>
                <w:tab w:val="decimal" w:pos="274"/>
              </w:tabs>
              <w:spacing w:before="40" w:after="4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6"/>
                <w:szCs w:val="16"/>
              </w:rPr>
            </w:pPr>
            <w:r w:rsidRPr="000973F2">
              <w:rPr>
                <w:rFonts w:ascii="Times New Roman" w:eastAsia="Times New Roman" w:hAnsi="Times New Roman" w:cs="Times New Roman"/>
                <w:sz w:val="18"/>
                <w:szCs w:val="18"/>
              </w:rPr>
              <w:t>–</w:t>
            </w:r>
          </w:p>
        </w:tc>
        <w:tc>
          <w:tcPr>
            <w:tcW w:w="434" w:type="pct"/>
            <w:noWrap/>
            <w:hideMark/>
          </w:tcPr>
          <w:p w14:paraId="2AA944BE" w14:textId="6BC15546" w:rsidR="000379A4" w:rsidRPr="000973F2" w:rsidRDefault="000379A4" w:rsidP="000379A4">
            <w:pPr>
              <w:spacing w:before="40" w:after="4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6"/>
                <w:szCs w:val="16"/>
              </w:rPr>
            </w:pPr>
            <w:r w:rsidRPr="000973F2">
              <w:rPr>
                <w:rFonts w:ascii="Times New Roman" w:eastAsia="Times New Roman" w:hAnsi="Times New Roman" w:cs="Times New Roman"/>
                <w:sz w:val="18"/>
                <w:szCs w:val="18"/>
              </w:rPr>
              <w:t>–</w:t>
            </w:r>
          </w:p>
        </w:tc>
        <w:tc>
          <w:tcPr>
            <w:tcW w:w="437" w:type="pct"/>
            <w:noWrap/>
            <w:hideMark/>
          </w:tcPr>
          <w:p w14:paraId="3ABEEBBD" w14:textId="2EE55454" w:rsidR="000379A4" w:rsidRPr="000973F2" w:rsidRDefault="000379A4" w:rsidP="000379A4">
            <w:pPr>
              <w:spacing w:before="40" w:after="4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6"/>
                <w:szCs w:val="16"/>
              </w:rPr>
            </w:pPr>
            <w:r w:rsidRPr="000973F2">
              <w:rPr>
                <w:rFonts w:ascii="Times New Roman" w:eastAsia="Times New Roman" w:hAnsi="Times New Roman" w:cs="Times New Roman"/>
                <w:sz w:val="18"/>
                <w:szCs w:val="18"/>
              </w:rPr>
              <w:t>–</w:t>
            </w:r>
          </w:p>
        </w:tc>
        <w:tc>
          <w:tcPr>
            <w:tcW w:w="454" w:type="pct"/>
            <w:noWrap/>
            <w:hideMark/>
          </w:tcPr>
          <w:p w14:paraId="49668CC6" w14:textId="3BF3D234" w:rsidR="000379A4" w:rsidRPr="000973F2" w:rsidRDefault="000379A4" w:rsidP="000379A4">
            <w:pPr>
              <w:tabs>
                <w:tab w:val="decimal" w:pos="516"/>
              </w:tabs>
              <w:spacing w:before="40" w:after="4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6"/>
                <w:szCs w:val="16"/>
              </w:rPr>
            </w:pPr>
            <w:r w:rsidRPr="000973F2">
              <w:rPr>
                <w:rFonts w:ascii="Times New Roman" w:eastAsia="Times New Roman" w:hAnsi="Times New Roman" w:cs="Times New Roman"/>
                <w:sz w:val="18"/>
                <w:szCs w:val="18"/>
              </w:rPr>
              <w:t>–</w:t>
            </w:r>
          </w:p>
        </w:tc>
        <w:tc>
          <w:tcPr>
            <w:tcW w:w="451" w:type="pct"/>
            <w:noWrap/>
            <w:hideMark/>
          </w:tcPr>
          <w:p w14:paraId="7E335CF8" w14:textId="4201EA0F" w:rsidR="000379A4" w:rsidRPr="000973F2" w:rsidRDefault="000379A4" w:rsidP="000379A4">
            <w:pPr>
              <w:tabs>
                <w:tab w:val="decimal" w:pos="516"/>
              </w:tabs>
              <w:spacing w:before="40" w:after="4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6"/>
                <w:szCs w:val="16"/>
              </w:rPr>
            </w:pPr>
            <w:r w:rsidRPr="000973F2">
              <w:rPr>
                <w:rFonts w:ascii="Times New Roman" w:eastAsia="Times New Roman" w:hAnsi="Times New Roman" w:cs="Times New Roman"/>
                <w:sz w:val="18"/>
                <w:szCs w:val="18"/>
              </w:rPr>
              <w:t>–</w:t>
            </w:r>
          </w:p>
        </w:tc>
      </w:tr>
      <w:tr w:rsidR="000379A4" w:rsidRPr="000973F2" w14:paraId="17219ECA" w14:textId="77777777" w:rsidTr="000379A4">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620" w:type="pct"/>
            <w:tcMar>
              <w:right w:w="14" w:type="dxa"/>
            </w:tcMar>
            <w:hideMark/>
          </w:tcPr>
          <w:p w14:paraId="14BB48B3" w14:textId="77777777" w:rsidR="000379A4" w:rsidRPr="000973F2" w:rsidRDefault="000379A4" w:rsidP="000379A4">
            <w:pPr>
              <w:spacing w:before="40" w:after="40"/>
              <w:rPr>
                <w:rFonts w:ascii="Times New Roman" w:eastAsia="Times New Roman" w:hAnsi="Times New Roman" w:cs="Times New Roman"/>
                <w:sz w:val="16"/>
                <w:szCs w:val="16"/>
              </w:rPr>
            </w:pPr>
            <w:r w:rsidRPr="000973F2">
              <w:rPr>
                <w:rFonts w:ascii="Times New Roman" w:eastAsia="Times New Roman" w:hAnsi="Times New Roman" w:cs="Times New Roman"/>
                <w:sz w:val="16"/>
                <w:szCs w:val="16"/>
              </w:rPr>
              <w:t>Sampling and Analysis (Calculations)</w:t>
            </w:r>
          </w:p>
        </w:tc>
        <w:tc>
          <w:tcPr>
            <w:tcW w:w="434" w:type="pct"/>
            <w:noWrap/>
            <w:hideMark/>
          </w:tcPr>
          <w:p w14:paraId="6FE0BF36" w14:textId="059D439C" w:rsidR="000379A4" w:rsidRPr="000973F2" w:rsidRDefault="000379A4" w:rsidP="000379A4">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6"/>
                <w:szCs w:val="16"/>
              </w:rPr>
            </w:pPr>
            <w:r w:rsidRPr="000973F2">
              <w:rPr>
                <w:rFonts w:ascii="Times New Roman" w:eastAsia="Times New Roman" w:hAnsi="Times New Roman" w:cs="Times New Roman"/>
                <w:sz w:val="16"/>
                <w:szCs w:val="16"/>
              </w:rPr>
              <w:t>0</w:t>
            </w:r>
          </w:p>
        </w:tc>
        <w:tc>
          <w:tcPr>
            <w:tcW w:w="434" w:type="pct"/>
            <w:noWrap/>
            <w:hideMark/>
          </w:tcPr>
          <w:p w14:paraId="1C145FB3" w14:textId="5016B97F" w:rsidR="000379A4" w:rsidRPr="000973F2" w:rsidRDefault="000379A4" w:rsidP="000379A4">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6"/>
                <w:szCs w:val="16"/>
              </w:rPr>
            </w:pPr>
            <w:r w:rsidRPr="000973F2">
              <w:rPr>
                <w:rFonts w:ascii="Times New Roman" w:eastAsia="Times New Roman" w:hAnsi="Times New Roman" w:cs="Times New Roman"/>
                <w:sz w:val="16"/>
                <w:szCs w:val="16"/>
              </w:rPr>
              <w:t>0</w:t>
            </w:r>
          </w:p>
        </w:tc>
        <w:tc>
          <w:tcPr>
            <w:tcW w:w="434" w:type="pct"/>
            <w:noWrap/>
            <w:hideMark/>
          </w:tcPr>
          <w:p w14:paraId="54A80ADA" w14:textId="613A3F40" w:rsidR="000379A4" w:rsidRPr="000973F2" w:rsidRDefault="000379A4" w:rsidP="000379A4">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6"/>
                <w:szCs w:val="16"/>
              </w:rPr>
            </w:pPr>
            <w:r w:rsidRPr="000973F2">
              <w:rPr>
                <w:rFonts w:ascii="Times New Roman" w:eastAsia="Times New Roman" w:hAnsi="Times New Roman" w:cs="Times New Roman"/>
                <w:sz w:val="16"/>
                <w:szCs w:val="16"/>
              </w:rPr>
              <w:t>0</w:t>
            </w:r>
          </w:p>
        </w:tc>
        <w:tc>
          <w:tcPr>
            <w:tcW w:w="434" w:type="pct"/>
            <w:noWrap/>
            <w:hideMark/>
          </w:tcPr>
          <w:p w14:paraId="4DB52935" w14:textId="1F1389D7" w:rsidR="000379A4" w:rsidRPr="000973F2" w:rsidRDefault="000379A4" w:rsidP="000379A4">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6"/>
                <w:szCs w:val="16"/>
              </w:rPr>
            </w:pPr>
            <w:r w:rsidRPr="000973F2">
              <w:rPr>
                <w:rFonts w:ascii="Times New Roman" w:eastAsia="Times New Roman" w:hAnsi="Times New Roman" w:cs="Times New Roman"/>
                <w:sz w:val="16"/>
                <w:szCs w:val="16"/>
              </w:rPr>
              <w:t>0</w:t>
            </w:r>
          </w:p>
        </w:tc>
        <w:tc>
          <w:tcPr>
            <w:tcW w:w="434" w:type="pct"/>
            <w:noWrap/>
            <w:hideMark/>
          </w:tcPr>
          <w:p w14:paraId="39FAB231" w14:textId="77777777" w:rsidR="000379A4" w:rsidRPr="000973F2" w:rsidRDefault="000379A4" w:rsidP="000379A4">
            <w:pPr>
              <w:tabs>
                <w:tab w:val="decimal" w:pos="274"/>
              </w:tabs>
              <w:spacing w:before="40" w:after="4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6"/>
                <w:szCs w:val="16"/>
              </w:rPr>
            </w:pPr>
            <w:r w:rsidRPr="000973F2">
              <w:rPr>
                <w:rFonts w:ascii="Times New Roman" w:eastAsia="Times New Roman" w:hAnsi="Times New Roman" w:cs="Times New Roman"/>
                <w:sz w:val="16"/>
                <w:szCs w:val="16"/>
              </w:rPr>
              <w:t>32.6</w:t>
            </w:r>
          </w:p>
        </w:tc>
        <w:tc>
          <w:tcPr>
            <w:tcW w:w="434" w:type="pct"/>
            <w:noWrap/>
            <w:hideMark/>
          </w:tcPr>
          <w:p w14:paraId="6192D6C5" w14:textId="77777777" w:rsidR="000379A4" w:rsidRPr="000973F2" w:rsidRDefault="000379A4" w:rsidP="000379A4">
            <w:pPr>
              <w:tabs>
                <w:tab w:val="decimal" w:pos="274"/>
              </w:tabs>
              <w:spacing w:before="40" w:after="4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6"/>
                <w:szCs w:val="16"/>
              </w:rPr>
            </w:pPr>
            <w:r w:rsidRPr="000973F2">
              <w:rPr>
                <w:rFonts w:ascii="Times New Roman" w:eastAsia="Times New Roman" w:hAnsi="Times New Roman" w:cs="Times New Roman"/>
                <w:sz w:val="16"/>
                <w:szCs w:val="16"/>
              </w:rPr>
              <w:t>32.6</w:t>
            </w:r>
          </w:p>
        </w:tc>
        <w:tc>
          <w:tcPr>
            <w:tcW w:w="434" w:type="pct"/>
            <w:noWrap/>
            <w:hideMark/>
          </w:tcPr>
          <w:p w14:paraId="59461CA8" w14:textId="511BB75E" w:rsidR="000379A4" w:rsidRPr="000973F2" w:rsidRDefault="000379A4" w:rsidP="000379A4">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6"/>
                <w:szCs w:val="16"/>
              </w:rPr>
            </w:pPr>
            <w:r w:rsidRPr="000973F2">
              <w:rPr>
                <w:rFonts w:ascii="Times New Roman" w:eastAsia="Times New Roman" w:hAnsi="Times New Roman" w:cs="Times New Roman"/>
                <w:sz w:val="16"/>
                <w:szCs w:val="16"/>
              </w:rPr>
              <w:t>0</w:t>
            </w:r>
          </w:p>
        </w:tc>
        <w:tc>
          <w:tcPr>
            <w:tcW w:w="437" w:type="pct"/>
            <w:noWrap/>
            <w:hideMark/>
          </w:tcPr>
          <w:p w14:paraId="71C631BE" w14:textId="2421DD41" w:rsidR="000379A4" w:rsidRPr="000973F2" w:rsidRDefault="000379A4" w:rsidP="000379A4">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6"/>
                <w:szCs w:val="16"/>
              </w:rPr>
            </w:pPr>
            <w:r w:rsidRPr="000973F2">
              <w:rPr>
                <w:rFonts w:ascii="Times New Roman" w:eastAsia="Times New Roman" w:hAnsi="Times New Roman" w:cs="Times New Roman"/>
                <w:sz w:val="16"/>
                <w:szCs w:val="16"/>
              </w:rPr>
              <w:t>0</w:t>
            </w:r>
          </w:p>
        </w:tc>
        <w:tc>
          <w:tcPr>
            <w:tcW w:w="454" w:type="pct"/>
            <w:noWrap/>
            <w:hideMark/>
          </w:tcPr>
          <w:p w14:paraId="5B6F489F" w14:textId="0AB359D0" w:rsidR="000379A4" w:rsidRPr="000973F2" w:rsidRDefault="000379A4" w:rsidP="000379A4">
            <w:pPr>
              <w:tabs>
                <w:tab w:val="decimal" w:pos="516"/>
              </w:tabs>
              <w:spacing w:before="40" w:after="4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6"/>
                <w:szCs w:val="16"/>
              </w:rPr>
            </w:pPr>
            <w:r w:rsidRPr="000973F2">
              <w:rPr>
                <w:rFonts w:ascii="Times New Roman" w:eastAsia="Times New Roman" w:hAnsi="Times New Roman" w:cs="Times New Roman"/>
                <w:sz w:val="16"/>
                <w:szCs w:val="16"/>
              </w:rPr>
              <w:t>$2,328</w:t>
            </w:r>
          </w:p>
        </w:tc>
        <w:tc>
          <w:tcPr>
            <w:tcW w:w="451" w:type="pct"/>
            <w:noWrap/>
            <w:hideMark/>
          </w:tcPr>
          <w:p w14:paraId="5741ECAD" w14:textId="36EB4F49" w:rsidR="000379A4" w:rsidRPr="000973F2" w:rsidRDefault="000379A4" w:rsidP="000379A4">
            <w:pPr>
              <w:tabs>
                <w:tab w:val="decimal" w:pos="516"/>
              </w:tabs>
              <w:spacing w:before="40" w:after="4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6"/>
                <w:szCs w:val="16"/>
              </w:rPr>
            </w:pPr>
            <w:r w:rsidRPr="000973F2">
              <w:rPr>
                <w:rFonts w:ascii="Times New Roman" w:eastAsia="Times New Roman" w:hAnsi="Times New Roman" w:cs="Times New Roman"/>
                <w:sz w:val="16"/>
                <w:szCs w:val="16"/>
              </w:rPr>
              <w:t>$2,328</w:t>
            </w:r>
          </w:p>
        </w:tc>
      </w:tr>
      <w:tr w:rsidR="000379A4" w:rsidRPr="000973F2" w14:paraId="731FBB5B" w14:textId="77777777" w:rsidTr="000379A4">
        <w:trPr>
          <w:cantSplit/>
        </w:trPr>
        <w:tc>
          <w:tcPr>
            <w:cnfStyle w:val="001000000000" w:firstRow="0" w:lastRow="0" w:firstColumn="1" w:lastColumn="0" w:oddVBand="0" w:evenVBand="0" w:oddHBand="0" w:evenHBand="0" w:firstRowFirstColumn="0" w:firstRowLastColumn="0" w:lastRowFirstColumn="0" w:lastRowLastColumn="0"/>
            <w:tcW w:w="620" w:type="pct"/>
            <w:tcMar>
              <w:right w:w="14" w:type="dxa"/>
            </w:tcMar>
            <w:hideMark/>
          </w:tcPr>
          <w:p w14:paraId="7FD55B1C" w14:textId="77777777" w:rsidR="000379A4" w:rsidRPr="000973F2" w:rsidRDefault="000379A4" w:rsidP="000379A4">
            <w:pPr>
              <w:spacing w:before="40" w:after="40"/>
              <w:rPr>
                <w:rFonts w:ascii="Times New Roman" w:eastAsia="Times New Roman" w:hAnsi="Times New Roman" w:cs="Times New Roman"/>
                <w:sz w:val="16"/>
                <w:szCs w:val="16"/>
              </w:rPr>
            </w:pPr>
            <w:r w:rsidRPr="000973F2">
              <w:rPr>
                <w:rFonts w:ascii="Times New Roman" w:eastAsia="Times New Roman" w:hAnsi="Times New Roman" w:cs="Times New Roman"/>
                <w:sz w:val="16"/>
                <w:szCs w:val="16"/>
              </w:rPr>
              <w:t>Reporting</w:t>
            </w:r>
          </w:p>
        </w:tc>
        <w:tc>
          <w:tcPr>
            <w:tcW w:w="434" w:type="pct"/>
            <w:noWrap/>
            <w:hideMark/>
          </w:tcPr>
          <w:p w14:paraId="37153610" w14:textId="3C832A3C" w:rsidR="000379A4" w:rsidRPr="000973F2" w:rsidRDefault="000379A4" w:rsidP="000379A4">
            <w:pPr>
              <w:spacing w:before="40" w:after="4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6"/>
                <w:szCs w:val="16"/>
              </w:rPr>
            </w:pPr>
            <w:r w:rsidRPr="000973F2">
              <w:rPr>
                <w:rFonts w:ascii="Times New Roman" w:eastAsia="Times New Roman" w:hAnsi="Times New Roman" w:cs="Times New Roman"/>
                <w:sz w:val="18"/>
                <w:szCs w:val="18"/>
              </w:rPr>
              <w:t>–</w:t>
            </w:r>
          </w:p>
        </w:tc>
        <w:tc>
          <w:tcPr>
            <w:tcW w:w="434" w:type="pct"/>
            <w:noWrap/>
            <w:hideMark/>
          </w:tcPr>
          <w:p w14:paraId="43C7C513" w14:textId="5EB756FD" w:rsidR="000379A4" w:rsidRPr="000973F2" w:rsidRDefault="000379A4" w:rsidP="000379A4">
            <w:pPr>
              <w:spacing w:before="40" w:after="4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6"/>
                <w:szCs w:val="16"/>
              </w:rPr>
            </w:pPr>
            <w:r w:rsidRPr="000973F2">
              <w:rPr>
                <w:rFonts w:ascii="Times New Roman" w:eastAsia="Times New Roman" w:hAnsi="Times New Roman" w:cs="Times New Roman"/>
                <w:sz w:val="18"/>
                <w:szCs w:val="18"/>
              </w:rPr>
              <w:t>–</w:t>
            </w:r>
          </w:p>
        </w:tc>
        <w:tc>
          <w:tcPr>
            <w:tcW w:w="434" w:type="pct"/>
            <w:noWrap/>
            <w:hideMark/>
          </w:tcPr>
          <w:p w14:paraId="61E04BC2" w14:textId="6B3E8EEA" w:rsidR="000379A4" w:rsidRPr="000973F2" w:rsidRDefault="000379A4" w:rsidP="000379A4">
            <w:pPr>
              <w:spacing w:before="40" w:after="4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6"/>
                <w:szCs w:val="16"/>
              </w:rPr>
            </w:pPr>
            <w:r w:rsidRPr="000973F2">
              <w:rPr>
                <w:rFonts w:ascii="Times New Roman" w:eastAsia="Times New Roman" w:hAnsi="Times New Roman" w:cs="Times New Roman"/>
                <w:sz w:val="18"/>
                <w:szCs w:val="18"/>
              </w:rPr>
              <w:t>–</w:t>
            </w:r>
          </w:p>
        </w:tc>
        <w:tc>
          <w:tcPr>
            <w:tcW w:w="434" w:type="pct"/>
            <w:noWrap/>
            <w:hideMark/>
          </w:tcPr>
          <w:p w14:paraId="74C733DB" w14:textId="72131F39" w:rsidR="000379A4" w:rsidRPr="000973F2" w:rsidRDefault="000379A4" w:rsidP="000379A4">
            <w:pPr>
              <w:spacing w:before="40" w:after="4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6"/>
                <w:szCs w:val="16"/>
              </w:rPr>
            </w:pPr>
            <w:r w:rsidRPr="000973F2">
              <w:rPr>
                <w:rFonts w:ascii="Times New Roman" w:eastAsia="Times New Roman" w:hAnsi="Times New Roman" w:cs="Times New Roman"/>
                <w:sz w:val="18"/>
                <w:szCs w:val="18"/>
              </w:rPr>
              <w:t>–</w:t>
            </w:r>
          </w:p>
        </w:tc>
        <w:tc>
          <w:tcPr>
            <w:tcW w:w="434" w:type="pct"/>
            <w:noWrap/>
            <w:hideMark/>
          </w:tcPr>
          <w:p w14:paraId="191D455B" w14:textId="7581C8A9" w:rsidR="000379A4" w:rsidRPr="000973F2" w:rsidRDefault="000379A4" w:rsidP="000379A4">
            <w:pPr>
              <w:tabs>
                <w:tab w:val="decimal" w:pos="274"/>
              </w:tabs>
              <w:spacing w:before="40" w:after="4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6"/>
                <w:szCs w:val="16"/>
              </w:rPr>
            </w:pPr>
            <w:r w:rsidRPr="000973F2">
              <w:rPr>
                <w:rFonts w:ascii="Times New Roman" w:eastAsia="Times New Roman" w:hAnsi="Times New Roman" w:cs="Times New Roman"/>
                <w:sz w:val="18"/>
                <w:szCs w:val="18"/>
              </w:rPr>
              <w:t>–</w:t>
            </w:r>
          </w:p>
        </w:tc>
        <w:tc>
          <w:tcPr>
            <w:tcW w:w="434" w:type="pct"/>
            <w:noWrap/>
            <w:hideMark/>
          </w:tcPr>
          <w:p w14:paraId="12FA8403" w14:textId="724F2127" w:rsidR="000379A4" w:rsidRPr="000973F2" w:rsidRDefault="000379A4" w:rsidP="000379A4">
            <w:pPr>
              <w:tabs>
                <w:tab w:val="decimal" w:pos="274"/>
              </w:tabs>
              <w:spacing w:before="40" w:after="4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6"/>
                <w:szCs w:val="16"/>
              </w:rPr>
            </w:pPr>
            <w:r w:rsidRPr="000973F2">
              <w:rPr>
                <w:rFonts w:ascii="Times New Roman" w:eastAsia="Times New Roman" w:hAnsi="Times New Roman" w:cs="Times New Roman"/>
                <w:sz w:val="18"/>
                <w:szCs w:val="18"/>
              </w:rPr>
              <w:t>–</w:t>
            </w:r>
          </w:p>
        </w:tc>
        <w:tc>
          <w:tcPr>
            <w:tcW w:w="434" w:type="pct"/>
            <w:noWrap/>
            <w:hideMark/>
          </w:tcPr>
          <w:p w14:paraId="2FA7134D" w14:textId="0717141F" w:rsidR="000379A4" w:rsidRPr="000973F2" w:rsidRDefault="000379A4" w:rsidP="000379A4">
            <w:pPr>
              <w:spacing w:before="40" w:after="4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6"/>
                <w:szCs w:val="16"/>
              </w:rPr>
            </w:pPr>
            <w:r w:rsidRPr="000973F2">
              <w:rPr>
                <w:rFonts w:ascii="Times New Roman" w:eastAsia="Times New Roman" w:hAnsi="Times New Roman" w:cs="Times New Roman"/>
                <w:sz w:val="18"/>
                <w:szCs w:val="18"/>
              </w:rPr>
              <w:t>–</w:t>
            </w:r>
          </w:p>
        </w:tc>
        <w:tc>
          <w:tcPr>
            <w:tcW w:w="437" w:type="pct"/>
            <w:noWrap/>
            <w:hideMark/>
          </w:tcPr>
          <w:p w14:paraId="379C2AE5" w14:textId="0C48DABD" w:rsidR="000379A4" w:rsidRPr="000973F2" w:rsidRDefault="000379A4" w:rsidP="000379A4">
            <w:pPr>
              <w:spacing w:before="40" w:after="4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6"/>
                <w:szCs w:val="16"/>
              </w:rPr>
            </w:pPr>
            <w:r w:rsidRPr="000973F2">
              <w:rPr>
                <w:rFonts w:ascii="Times New Roman" w:eastAsia="Times New Roman" w:hAnsi="Times New Roman" w:cs="Times New Roman"/>
                <w:sz w:val="18"/>
                <w:szCs w:val="18"/>
              </w:rPr>
              <w:t>–</w:t>
            </w:r>
          </w:p>
        </w:tc>
        <w:tc>
          <w:tcPr>
            <w:tcW w:w="454" w:type="pct"/>
            <w:noWrap/>
            <w:hideMark/>
          </w:tcPr>
          <w:p w14:paraId="7D265653" w14:textId="244A4528" w:rsidR="000379A4" w:rsidRPr="000973F2" w:rsidRDefault="000379A4" w:rsidP="000379A4">
            <w:pPr>
              <w:tabs>
                <w:tab w:val="decimal" w:pos="516"/>
              </w:tabs>
              <w:spacing w:before="40" w:after="4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6"/>
                <w:szCs w:val="16"/>
              </w:rPr>
            </w:pPr>
            <w:r w:rsidRPr="000973F2">
              <w:rPr>
                <w:rFonts w:ascii="Times New Roman" w:eastAsia="Times New Roman" w:hAnsi="Times New Roman" w:cs="Times New Roman"/>
                <w:sz w:val="18"/>
                <w:szCs w:val="18"/>
              </w:rPr>
              <w:t>–</w:t>
            </w:r>
          </w:p>
        </w:tc>
        <w:tc>
          <w:tcPr>
            <w:tcW w:w="451" w:type="pct"/>
            <w:noWrap/>
            <w:hideMark/>
          </w:tcPr>
          <w:p w14:paraId="42CAA4C4" w14:textId="0742815B" w:rsidR="000379A4" w:rsidRPr="000973F2" w:rsidRDefault="000379A4" w:rsidP="000379A4">
            <w:pPr>
              <w:tabs>
                <w:tab w:val="decimal" w:pos="516"/>
              </w:tabs>
              <w:spacing w:before="40" w:after="4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6"/>
                <w:szCs w:val="16"/>
              </w:rPr>
            </w:pPr>
            <w:r w:rsidRPr="000973F2">
              <w:rPr>
                <w:rFonts w:ascii="Times New Roman" w:eastAsia="Times New Roman" w:hAnsi="Times New Roman" w:cs="Times New Roman"/>
                <w:sz w:val="18"/>
                <w:szCs w:val="18"/>
              </w:rPr>
              <w:t>–</w:t>
            </w:r>
          </w:p>
        </w:tc>
      </w:tr>
      <w:tr w:rsidR="0001781A" w:rsidRPr="000973F2" w14:paraId="1B162C31" w14:textId="77777777" w:rsidTr="000379A4">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620" w:type="pct"/>
            <w:noWrap/>
            <w:tcMar>
              <w:right w:w="14" w:type="dxa"/>
            </w:tcMar>
            <w:hideMark/>
          </w:tcPr>
          <w:p w14:paraId="23638F31" w14:textId="77777777" w:rsidR="0001781A" w:rsidRPr="000973F2" w:rsidRDefault="0001781A" w:rsidP="00A43381">
            <w:pPr>
              <w:spacing w:before="40" w:after="40"/>
              <w:rPr>
                <w:rFonts w:ascii="Times New Roman" w:eastAsia="Times New Roman" w:hAnsi="Times New Roman" w:cs="Times New Roman"/>
                <w:b/>
                <w:bCs w:val="0"/>
                <w:sz w:val="16"/>
                <w:szCs w:val="16"/>
              </w:rPr>
            </w:pPr>
            <w:r w:rsidRPr="000973F2">
              <w:rPr>
                <w:rFonts w:ascii="Times New Roman" w:eastAsia="Times New Roman" w:hAnsi="Times New Roman" w:cs="Times New Roman"/>
                <w:b/>
                <w:sz w:val="16"/>
                <w:szCs w:val="16"/>
              </w:rPr>
              <w:t>Total</w:t>
            </w:r>
          </w:p>
        </w:tc>
        <w:tc>
          <w:tcPr>
            <w:tcW w:w="434" w:type="pct"/>
            <w:noWrap/>
            <w:hideMark/>
          </w:tcPr>
          <w:p w14:paraId="3D790B77" w14:textId="77777777" w:rsidR="0001781A" w:rsidRPr="000973F2" w:rsidRDefault="0001781A" w:rsidP="00222EC8">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16"/>
                <w:szCs w:val="16"/>
              </w:rPr>
            </w:pPr>
            <w:r w:rsidRPr="000973F2">
              <w:rPr>
                <w:rFonts w:ascii="Times New Roman" w:eastAsia="Times New Roman" w:hAnsi="Times New Roman" w:cs="Times New Roman"/>
                <w:b/>
                <w:bCs/>
                <w:sz w:val="16"/>
                <w:szCs w:val="16"/>
              </w:rPr>
              <w:t>0</w:t>
            </w:r>
          </w:p>
        </w:tc>
        <w:tc>
          <w:tcPr>
            <w:tcW w:w="434" w:type="pct"/>
            <w:noWrap/>
            <w:hideMark/>
          </w:tcPr>
          <w:p w14:paraId="67B9A4B4" w14:textId="77777777" w:rsidR="0001781A" w:rsidRPr="000973F2" w:rsidRDefault="0001781A" w:rsidP="00222EC8">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16"/>
                <w:szCs w:val="16"/>
              </w:rPr>
            </w:pPr>
            <w:r w:rsidRPr="000973F2">
              <w:rPr>
                <w:rFonts w:ascii="Times New Roman" w:eastAsia="Times New Roman" w:hAnsi="Times New Roman" w:cs="Times New Roman"/>
                <w:b/>
                <w:bCs/>
                <w:sz w:val="16"/>
                <w:szCs w:val="16"/>
              </w:rPr>
              <w:t>0</w:t>
            </w:r>
          </w:p>
        </w:tc>
        <w:tc>
          <w:tcPr>
            <w:tcW w:w="434" w:type="pct"/>
            <w:noWrap/>
            <w:hideMark/>
          </w:tcPr>
          <w:p w14:paraId="57F06A60" w14:textId="77777777" w:rsidR="0001781A" w:rsidRPr="000973F2" w:rsidRDefault="0001781A" w:rsidP="00222EC8">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16"/>
                <w:szCs w:val="16"/>
              </w:rPr>
            </w:pPr>
            <w:r w:rsidRPr="000973F2">
              <w:rPr>
                <w:rFonts w:ascii="Times New Roman" w:eastAsia="Times New Roman" w:hAnsi="Times New Roman" w:cs="Times New Roman"/>
                <w:b/>
                <w:bCs/>
                <w:sz w:val="16"/>
                <w:szCs w:val="16"/>
              </w:rPr>
              <w:t>0</w:t>
            </w:r>
          </w:p>
        </w:tc>
        <w:tc>
          <w:tcPr>
            <w:tcW w:w="434" w:type="pct"/>
            <w:noWrap/>
            <w:hideMark/>
          </w:tcPr>
          <w:p w14:paraId="3D2DCEAD" w14:textId="77777777" w:rsidR="0001781A" w:rsidRPr="000973F2" w:rsidRDefault="0001781A" w:rsidP="00222EC8">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16"/>
                <w:szCs w:val="16"/>
              </w:rPr>
            </w:pPr>
            <w:r w:rsidRPr="000973F2">
              <w:rPr>
                <w:rFonts w:ascii="Times New Roman" w:eastAsia="Times New Roman" w:hAnsi="Times New Roman" w:cs="Times New Roman"/>
                <w:b/>
                <w:bCs/>
                <w:sz w:val="16"/>
                <w:szCs w:val="16"/>
              </w:rPr>
              <w:t>0</w:t>
            </w:r>
          </w:p>
        </w:tc>
        <w:tc>
          <w:tcPr>
            <w:tcW w:w="434" w:type="pct"/>
            <w:noWrap/>
            <w:hideMark/>
          </w:tcPr>
          <w:p w14:paraId="215E889C" w14:textId="77777777" w:rsidR="0001781A" w:rsidRPr="000973F2" w:rsidRDefault="0001781A" w:rsidP="00222EC8">
            <w:pPr>
              <w:tabs>
                <w:tab w:val="decimal" w:pos="274"/>
              </w:tabs>
              <w:spacing w:before="40" w:after="4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16"/>
                <w:szCs w:val="16"/>
              </w:rPr>
            </w:pPr>
            <w:r w:rsidRPr="000973F2">
              <w:rPr>
                <w:rFonts w:ascii="Times New Roman" w:eastAsia="Times New Roman" w:hAnsi="Times New Roman" w:cs="Times New Roman"/>
                <w:b/>
                <w:bCs/>
                <w:sz w:val="16"/>
                <w:szCs w:val="16"/>
              </w:rPr>
              <w:t>32.6</w:t>
            </w:r>
          </w:p>
        </w:tc>
        <w:tc>
          <w:tcPr>
            <w:tcW w:w="434" w:type="pct"/>
            <w:noWrap/>
            <w:hideMark/>
          </w:tcPr>
          <w:p w14:paraId="42AB8045" w14:textId="77777777" w:rsidR="0001781A" w:rsidRPr="000973F2" w:rsidRDefault="0001781A" w:rsidP="00222EC8">
            <w:pPr>
              <w:tabs>
                <w:tab w:val="decimal" w:pos="274"/>
              </w:tabs>
              <w:spacing w:before="40" w:after="4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16"/>
                <w:szCs w:val="16"/>
              </w:rPr>
            </w:pPr>
            <w:r w:rsidRPr="000973F2">
              <w:rPr>
                <w:rFonts w:ascii="Times New Roman" w:eastAsia="Times New Roman" w:hAnsi="Times New Roman" w:cs="Times New Roman"/>
                <w:b/>
                <w:bCs/>
                <w:sz w:val="16"/>
                <w:szCs w:val="16"/>
              </w:rPr>
              <w:t>32.6</w:t>
            </w:r>
          </w:p>
        </w:tc>
        <w:tc>
          <w:tcPr>
            <w:tcW w:w="434" w:type="pct"/>
            <w:noWrap/>
            <w:hideMark/>
          </w:tcPr>
          <w:p w14:paraId="4864A85D" w14:textId="77777777" w:rsidR="0001781A" w:rsidRPr="000973F2" w:rsidRDefault="0001781A" w:rsidP="00222EC8">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16"/>
                <w:szCs w:val="16"/>
              </w:rPr>
            </w:pPr>
            <w:r w:rsidRPr="000973F2">
              <w:rPr>
                <w:rFonts w:ascii="Times New Roman" w:eastAsia="Times New Roman" w:hAnsi="Times New Roman" w:cs="Times New Roman"/>
                <w:b/>
                <w:bCs/>
                <w:sz w:val="16"/>
                <w:szCs w:val="16"/>
              </w:rPr>
              <w:t>0</w:t>
            </w:r>
          </w:p>
        </w:tc>
        <w:tc>
          <w:tcPr>
            <w:tcW w:w="437" w:type="pct"/>
            <w:noWrap/>
            <w:hideMark/>
          </w:tcPr>
          <w:p w14:paraId="589BD4B2" w14:textId="77777777" w:rsidR="0001781A" w:rsidRPr="000973F2" w:rsidRDefault="0001781A" w:rsidP="00222EC8">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16"/>
                <w:szCs w:val="16"/>
              </w:rPr>
            </w:pPr>
            <w:r w:rsidRPr="000973F2">
              <w:rPr>
                <w:rFonts w:ascii="Times New Roman" w:eastAsia="Times New Roman" w:hAnsi="Times New Roman" w:cs="Times New Roman"/>
                <w:b/>
                <w:bCs/>
                <w:sz w:val="16"/>
                <w:szCs w:val="16"/>
              </w:rPr>
              <w:t>0</w:t>
            </w:r>
          </w:p>
        </w:tc>
        <w:tc>
          <w:tcPr>
            <w:tcW w:w="454" w:type="pct"/>
            <w:noWrap/>
            <w:hideMark/>
          </w:tcPr>
          <w:p w14:paraId="6D3B937E" w14:textId="1D894A12" w:rsidR="0001781A" w:rsidRPr="000973F2" w:rsidRDefault="0001781A" w:rsidP="00222EC8">
            <w:pPr>
              <w:tabs>
                <w:tab w:val="decimal" w:pos="516"/>
              </w:tabs>
              <w:spacing w:before="40" w:after="4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16"/>
                <w:szCs w:val="16"/>
              </w:rPr>
            </w:pPr>
            <w:r w:rsidRPr="000973F2">
              <w:rPr>
                <w:rFonts w:ascii="Times New Roman" w:eastAsia="Times New Roman" w:hAnsi="Times New Roman" w:cs="Times New Roman"/>
                <w:b/>
                <w:bCs/>
                <w:sz w:val="16"/>
                <w:szCs w:val="16"/>
              </w:rPr>
              <w:t>$2,328</w:t>
            </w:r>
          </w:p>
        </w:tc>
        <w:tc>
          <w:tcPr>
            <w:tcW w:w="451" w:type="pct"/>
            <w:noWrap/>
            <w:hideMark/>
          </w:tcPr>
          <w:p w14:paraId="21963905" w14:textId="7C4D6694" w:rsidR="0001781A" w:rsidRPr="000973F2" w:rsidRDefault="0001781A" w:rsidP="00222EC8">
            <w:pPr>
              <w:tabs>
                <w:tab w:val="decimal" w:pos="516"/>
              </w:tabs>
              <w:spacing w:before="40" w:after="4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16"/>
                <w:szCs w:val="16"/>
              </w:rPr>
            </w:pPr>
            <w:r w:rsidRPr="000973F2">
              <w:rPr>
                <w:rFonts w:ascii="Times New Roman" w:eastAsia="Times New Roman" w:hAnsi="Times New Roman" w:cs="Times New Roman"/>
                <w:b/>
                <w:bCs/>
                <w:sz w:val="16"/>
                <w:szCs w:val="16"/>
              </w:rPr>
              <w:t>$2,328</w:t>
            </w:r>
          </w:p>
        </w:tc>
      </w:tr>
    </w:tbl>
    <w:p w14:paraId="3CAA1032" w14:textId="77777777" w:rsidR="0001781A" w:rsidRPr="000973F2" w:rsidRDefault="0001781A" w:rsidP="00C00E4F">
      <w:pPr>
        <w:pStyle w:val="AfterTable"/>
      </w:pPr>
    </w:p>
    <w:p w14:paraId="633C1113" w14:textId="77777777" w:rsidR="0001781A" w:rsidRPr="000973F2" w:rsidRDefault="0001781A" w:rsidP="00C00E4F">
      <w:pPr>
        <w:rPr>
          <w:i/>
        </w:rPr>
      </w:pPr>
      <w:r w:rsidRPr="000973F2">
        <w:rPr>
          <w:rFonts w:ascii="Times New Roman" w:hAnsi="Times New Roman" w:cs="Times New Roman"/>
          <w:i/>
        </w:rPr>
        <w:t>Subpart C with at least one additional subpart</w:t>
      </w:r>
    </w:p>
    <w:tbl>
      <w:tblPr>
        <w:tblStyle w:val="PlainTable1"/>
        <w:tblW w:w="5000" w:type="pct"/>
        <w:jc w:val="left"/>
        <w:tblLayout w:type="fixed"/>
        <w:tblCellMar>
          <w:left w:w="115" w:type="dxa"/>
          <w:right w:w="115" w:type="dxa"/>
        </w:tblCellMar>
        <w:tblLook w:val="04A0" w:firstRow="1" w:lastRow="0" w:firstColumn="1" w:lastColumn="0" w:noHBand="0" w:noVBand="1"/>
      </w:tblPr>
      <w:tblGrid>
        <w:gridCol w:w="1278"/>
        <w:gridCol w:w="821"/>
        <w:gridCol w:w="821"/>
        <w:gridCol w:w="821"/>
        <w:gridCol w:w="821"/>
        <w:gridCol w:w="821"/>
        <w:gridCol w:w="821"/>
        <w:gridCol w:w="821"/>
        <w:gridCol w:w="829"/>
        <w:gridCol w:w="871"/>
        <w:gridCol w:w="865"/>
      </w:tblGrid>
      <w:tr w:rsidR="0001781A" w:rsidRPr="000973F2" w14:paraId="04E7EF9B" w14:textId="77777777" w:rsidTr="000379A4">
        <w:trPr>
          <w:cnfStyle w:val="100000000000" w:firstRow="1" w:lastRow="0" w:firstColumn="0" w:lastColumn="0" w:oddVBand="0" w:evenVBand="0" w:oddHBand="0" w:evenHBand="0" w:firstRowFirstColumn="0" w:firstRowLastColumn="0" w:lastRowFirstColumn="0" w:lastRowLastColumn="0"/>
          <w:cantSplit/>
          <w:jc w:val="left"/>
        </w:trPr>
        <w:tc>
          <w:tcPr>
            <w:cnfStyle w:val="001000000000" w:firstRow="0" w:lastRow="0" w:firstColumn="1" w:lastColumn="0" w:oddVBand="0" w:evenVBand="0" w:oddHBand="0" w:evenHBand="0" w:firstRowFirstColumn="0" w:firstRowLastColumn="0" w:lastRowFirstColumn="0" w:lastRowLastColumn="0"/>
            <w:tcW w:w="667" w:type="pct"/>
            <w:vMerge w:val="restart"/>
            <w:noWrap/>
            <w:vAlign w:val="top"/>
            <w:hideMark/>
          </w:tcPr>
          <w:p w14:paraId="1267E79D" w14:textId="77777777" w:rsidR="0001781A" w:rsidRPr="000973F2" w:rsidRDefault="0001781A" w:rsidP="00367B6B">
            <w:pPr>
              <w:spacing w:before="40" w:after="40"/>
              <w:rPr>
                <w:rFonts w:ascii="Times New Roman" w:eastAsia="Times New Roman" w:hAnsi="Times New Roman" w:cs="Times New Roman"/>
                <w:b w:val="0"/>
                <w:bCs w:val="0"/>
                <w:sz w:val="18"/>
                <w:szCs w:val="18"/>
              </w:rPr>
            </w:pPr>
            <w:r w:rsidRPr="000973F2">
              <w:rPr>
                <w:rFonts w:ascii="Times New Roman" w:eastAsia="Times New Roman" w:hAnsi="Times New Roman" w:cs="Times New Roman"/>
                <w:sz w:val="18"/>
                <w:szCs w:val="18"/>
              </w:rPr>
              <w:t>Activity</w:t>
            </w:r>
          </w:p>
        </w:tc>
        <w:tc>
          <w:tcPr>
            <w:tcW w:w="3428" w:type="pct"/>
            <w:gridSpan w:val="8"/>
            <w:noWrap/>
            <w:vAlign w:val="top"/>
            <w:hideMark/>
          </w:tcPr>
          <w:p w14:paraId="372D201E" w14:textId="77777777" w:rsidR="0001781A" w:rsidRPr="000973F2" w:rsidRDefault="0001781A" w:rsidP="00367B6B">
            <w:pPr>
              <w:spacing w:before="40" w:after="40"/>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bCs w:val="0"/>
                <w:sz w:val="18"/>
                <w:szCs w:val="18"/>
              </w:rPr>
            </w:pPr>
            <w:r w:rsidRPr="000973F2">
              <w:rPr>
                <w:rFonts w:ascii="Times New Roman" w:eastAsia="Times New Roman" w:hAnsi="Times New Roman" w:cs="Times New Roman"/>
                <w:sz w:val="18"/>
                <w:szCs w:val="18"/>
              </w:rPr>
              <w:t>Labor Rates (per hour)</w:t>
            </w:r>
          </w:p>
        </w:tc>
        <w:tc>
          <w:tcPr>
            <w:tcW w:w="906" w:type="pct"/>
            <w:gridSpan w:val="2"/>
            <w:vMerge w:val="restart"/>
            <w:vAlign w:val="top"/>
            <w:hideMark/>
          </w:tcPr>
          <w:p w14:paraId="5935ED92" w14:textId="77777777" w:rsidR="0001781A" w:rsidRPr="000973F2" w:rsidRDefault="0001781A" w:rsidP="00367B6B">
            <w:pPr>
              <w:spacing w:before="40" w:after="40"/>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bCs w:val="0"/>
                <w:sz w:val="18"/>
                <w:szCs w:val="18"/>
              </w:rPr>
            </w:pPr>
            <w:r w:rsidRPr="000973F2">
              <w:rPr>
                <w:rFonts w:ascii="Times New Roman" w:eastAsia="Times New Roman" w:hAnsi="Times New Roman" w:cs="Times New Roman"/>
                <w:sz w:val="18"/>
                <w:szCs w:val="18"/>
              </w:rPr>
              <w:t>Total Labor Cost per Year per Facility (2017$)</w:t>
            </w:r>
          </w:p>
        </w:tc>
      </w:tr>
      <w:tr w:rsidR="0001781A" w:rsidRPr="000973F2" w14:paraId="2FC560D8" w14:textId="77777777" w:rsidTr="000379A4">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667" w:type="pct"/>
            <w:vMerge/>
            <w:hideMark/>
          </w:tcPr>
          <w:p w14:paraId="50DFC08F" w14:textId="77777777" w:rsidR="0001781A" w:rsidRPr="000973F2" w:rsidRDefault="0001781A" w:rsidP="00367B6B">
            <w:pPr>
              <w:spacing w:before="40" w:after="40"/>
              <w:rPr>
                <w:rFonts w:ascii="Times New Roman" w:eastAsia="Times New Roman" w:hAnsi="Times New Roman" w:cs="Times New Roman"/>
                <w:b/>
                <w:bCs w:val="0"/>
                <w:sz w:val="18"/>
                <w:szCs w:val="18"/>
              </w:rPr>
            </w:pPr>
          </w:p>
        </w:tc>
        <w:tc>
          <w:tcPr>
            <w:tcW w:w="856" w:type="pct"/>
            <w:gridSpan w:val="2"/>
            <w:noWrap/>
            <w:hideMark/>
          </w:tcPr>
          <w:p w14:paraId="32EB1115" w14:textId="77777777" w:rsidR="0001781A" w:rsidRPr="000973F2" w:rsidRDefault="0001781A" w:rsidP="00367B6B">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18"/>
                <w:szCs w:val="18"/>
              </w:rPr>
            </w:pPr>
            <w:r w:rsidRPr="000973F2">
              <w:rPr>
                <w:rFonts w:ascii="Times New Roman" w:eastAsia="Times New Roman" w:hAnsi="Times New Roman" w:cs="Times New Roman"/>
                <w:b/>
                <w:bCs/>
                <w:sz w:val="18"/>
                <w:szCs w:val="18"/>
              </w:rPr>
              <w:t>Lawyer</w:t>
            </w:r>
          </w:p>
        </w:tc>
        <w:tc>
          <w:tcPr>
            <w:tcW w:w="856" w:type="pct"/>
            <w:gridSpan w:val="2"/>
            <w:noWrap/>
            <w:hideMark/>
          </w:tcPr>
          <w:p w14:paraId="7EFB1204" w14:textId="77777777" w:rsidR="0001781A" w:rsidRPr="000973F2" w:rsidRDefault="0001781A" w:rsidP="00367B6B">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18"/>
                <w:szCs w:val="18"/>
              </w:rPr>
            </w:pPr>
            <w:r w:rsidRPr="000973F2">
              <w:rPr>
                <w:rFonts w:ascii="Times New Roman" w:eastAsia="Times New Roman" w:hAnsi="Times New Roman" w:cs="Times New Roman"/>
                <w:b/>
                <w:bCs/>
                <w:sz w:val="18"/>
                <w:szCs w:val="18"/>
              </w:rPr>
              <w:t>Industrial Manager</w:t>
            </w:r>
          </w:p>
        </w:tc>
        <w:tc>
          <w:tcPr>
            <w:tcW w:w="856" w:type="pct"/>
            <w:gridSpan w:val="2"/>
            <w:hideMark/>
          </w:tcPr>
          <w:p w14:paraId="00EF16EC" w14:textId="73DF9535" w:rsidR="0001781A" w:rsidRPr="000973F2" w:rsidRDefault="0001781A" w:rsidP="00367B6B">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18"/>
                <w:szCs w:val="18"/>
              </w:rPr>
            </w:pPr>
            <w:r w:rsidRPr="000973F2">
              <w:rPr>
                <w:rFonts w:ascii="Times New Roman" w:eastAsia="Times New Roman" w:hAnsi="Times New Roman" w:cs="Times New Roman"/>
                <w:b/>
                <w:bCs/>
                <w:sz w:val="18"/>
                <w:szCs w:val="18"/>
              </w:rPr>
              <w:t>Industrial Engineer/</w:t>
            </w:r>
            <w:r w:rsidR="00367B6B" w:rsidRPr="000973F2">
              <w:rPr>
                <w:rFonts w:ascii="Times New Roman" w:eastAsia="Times New Roman" w:hAnsi="Times New Roman" w:cs="Times New Roman"/>
                <w:b/>
                <w:bCs/>
                <w:sz w:val="18"/>
                <w:szCs w:val="18"/>
              </w:rPr>
              <w:t xml:space="preserve"> </w:t>
            </w:r>
            <w:r w:rsidRPr="000973F2">
              <w:rPr>
                <w:rFonts w:ascii="Times New Roman" w:eastAsia="Times New Roman" w:hAnsi="Times New Roman" w:cs="Times New Roman"/>
                <w:b/>
                <w:bCs/>
                <w:sz w:val="18"/>
                <w:szCs w:val="18"/>
              </w:rPr>
              <w:t>Technician</w:t>
            </w:r>
          </w:p>
        </w:tc>
        <w:tc>
          <w:tcPr>
            <w:tcW w:w="859" w:type="pct"/>
            <w:gridSpan w:val="2"/>
            <w:hideMark/>
          </w:tcPr>
          <w:p w14:paraId="6F4F0BC3" w14:textId="77777777" w:rsidR="0001781A" w:rsidRPr="000973F2" w:rsidRDefault="0001781A" w:rsidP="00367B6B">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18"/>
                <w:szCs w:val="18"/>
              </w:rPr>
            </w:pPr>
            <w:r w:rsidRPr="000973F2">
              <w:rPr>
                <w:rFonts w:ascii="Times New Roman" w:eastAsia="Times New Roman" w:hAnsi="Times New Roman" w:cs="Times New Roman"/>
                <w:b/>
                <w:bCs/>
                <w:sz w:val="18"/>
                <w:szCs w:val="18"/>
              </w:rPr>
              <w:t>Administrative Support</w:t>
            </w:r>
          </w:p>
        </w:tc>
        <w:tc>
          <w:tcPr>
            <w:tcW w:w="906" w:type="pct"/>
            <w:gridSpan w:val="2"/>
            <w:vMerge/>
            <w:hideMark/>
          </w:tcPr>
          <w:p w14:paraId="4683223D" w14:textId="77777777" w:rsidR="0001781A" w:rsidRPr="000973F2" w:rsidRDefault="0001781A" w:rsidP="00367B6B">
            <w:pPr>
              <w:spacing w:before="40" w:after="4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18"/>
                <w:szCs w:val="18"/>
              </w:rPr>
            </w:pPr>
          </w:p>
        </w:tc>
      </w:tr>
      <w:tr w:rsidR="0001781A" w:rsidRPr="000973F2" w14:paraId="32C88439" w14:textId="77777777" w:rsidTr="000379A4">
        <w:trPr>
          <w:cantSplit/>
        </w:trPr>
        <w:tc>
          <w:tcPr>
            <w:cnfStyle w:val="001000000000" w:firstRow="0" w:lastRow="0" w:firstColumn="1" w:lastColumn="0" w:oddVBand="0" w:evenVBand="0" w:oddHBand="0" w:evenHBand="0" w:firstRowFirstColumn="0" w:firstRowLastColumn="0" w:lastRowFirstColumn="0" w:lastRowLastColumn="0"/>
            <w:tcW w:w="667" w:type="pct"/>
            <w:vMerge/>
            <w:hideMark/>
          </w:tcPr>
          <w:p w14:paraId="4220FA69" w14:textId="77777777" w:rsidR="0001781A" w:rsidRPr="000973F2" w:rsidRDefault="0001781A" w:rsidP="00367B6B">
            <w:pPr>
              <w:spacing w:before="40" w:after="40"/>
              <w:rPr>
                <w:rFonts w:ascii="Times New Roman" w:eastAsia="Times New Roman" w:hAnsi="Times New Roman" w:cs="Times New Roman"/>
                <w:b/>
                <w:bCs w:val="0"/>
                <w:sz w:val="18"/>
                <w:szCs w:val="18"/>
              </w:rPr>
            </w:pPr>
          </w:p>
        </w:tc>
        <w:tc>
          <w:tcPr>
            <w:tcW w:w="856" w:type="pct"/>
            <w:gridSpan w:val="2"/>
            <w:noWrap/>
            <w:hideMark/>
          </w:tcPr>
          <w:p w14:paraId="063373FA" w14:textId="77777777" w:rsidR="0001781A" w:rsidRPr="000973F2" w:rsidRDefault="0001781A" w:rsidP="00367B6B">
            <w:pPr>
              <w:spacing w:before="40" w:after="4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sz w:val="18"/>
                <w:szCs w:val="18"/>
              </w:rPr>
            </w:pPr>
            <w:r w:rsidRPr="000973F2">
              <w:rPr>
                <w:rFonts w:ascii="Times New Roman" w:eastAsia="Times New Roman" w:hAnsi="Times New Roman" w:cs="Times New Roman"/>
                <w:b/>
                <w:bCs/>
                <w:sz w:val="18"/>
                <w:szCs w:val="18"/>
              </w:rPr>
              <w:t xml:space="preserve">$112.23 </w:t>
            </w:r>
          </w:p>
        </w:tc>
        <w:tc>
          <w:tcPr>
            <w:tcW w:w="856" w:type="pct"/>
            <w:gridSpan w:val="2"/>
            <w:noWrap/>
            <w:hideMark/>
          </w:tcPr>
          <w:p w14:paraId="7EF4EB86" w14:textId="77777777" w:rsidR="0001781A" w:rsidRPr="000973F2" w:rsidRDefault="0001781A" w:rsidP="00367B6B">
            <w:pPr>
              <w:spacing w:before="40" w:after="4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sz w:val="18"/>
                <w:szCs w:val="18"/>
              </w:rPr>
            </w:pPr>
            <w:r w:rsidRPr="000973F2">
              <w:rPr>
                <w:rFonts w:ascii="Times New Roman" w:eastAsia="Times New Roman" w:hAnsi="Times New Roman" w:cs="Times New Roman"/>
                <w:b/>
                <w:bCs/>
                <w:sz w:val="18"/>
                <w:szCs w:val="18"/>
              </w:rPr>
              <w:t xml:space="preserve">$87.45 </w:t>
            </w:r>
          </w:p>
        </w:tc>
        <w:tc>
          <w:tcPr>
            <w:tcW w:w="856" w:type="pct"/>
            <w:gridSpan w:val="2"/>
            <w:noWrap/>
            <w:hideMark/>
          </w:tcPr>
          <w:p w14:paraId="14FC6C3E" w14:textId="77777777" w:rsidR="0001781A" w:rsidRPr="000973F2" w:rsidRDefault="0001781A" w:rsidP="00367B6B">
            <w:pPr>
              <w:spacing w:before="40" w:after="4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sz w:val="18"/>
                <w:szCs w:val="18"/>
              </w:rPr>
            </w:pPr>
            <w:r w:rsidRPr="000973F2">
              <w:rPr>
                <w:rFonts w:ascii="Times New Roman" w:eastAsia="Times New Roman" w:hAnsi="Times New Roman" w:cs="Times New Roman"/>
                <w:b/>
                <w:bCs/>
                <w:sz w:val="18"/>
                <w:szCs w:val="18"/>
              </w:rPr>
              <w:t xml:space="preserve">$71.45 </w:t>
            </w:r>
          </w:p>
        </w:tc>
        <w:tc>
          <w:tcPr>
            <w:tcW w:w="859" w:type="pct"/>
            <w:gridSpan w:val="2"/>
            <w:noWrap/>
            <w:hideMark/>
          </w:tcPr>
          <w:p w14:paraId="32D1440A" w14:textId="77777777" w:rsidR="0001781A" w:rsidRPr="000973F2" w:rsidRDefault="0001781A" w:rsidP="00367B6B">
            <w:pPr>
              <w:spacing w:before="40" w:after="4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sz w:val="18"/>
                <w:szCs w:val="18"/>
              </w:rPr>
            </w:pPr>
            <w:r w:rsidRPr="000973F2">
              <w:rPr>
                <w:rFonts w:ascii="Times New Roman" w:eastAsia="Times New Roman" w:hAnsi="Times New Roman" w:cs="Times New Roman"/>
                <w:b/>
                <w:bCs/>
                <w:sz w:val="18"/>
                <w:szCs w:val="18"/>
              </w:rPr>
              <w:t xml:space="preserve">$36.28 </w:t>
            </w:r>
          </w:p>
        </w:tc>
        <w:tc>
          <w:tcPr>
            <w:tcW w:w="906" w:type="pct"/>
            <w:gridSpan w:val="2"/>
            <w:vMerge/>
            <w:hideMark/>
          </w:tcPr>
          <w:p w14:paraId="212C1258" w14:textId="77777777" w:rsidR="0001781A" w:rsidRPr="000973F2" w:rsidRDefault="0001781A" w:rsidP="00367B6B">
            <w:pPr>
              <w:spacing w:before="40" w:after="4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sz w:val="18"/>
                <w:szCs w:val="18"/>
              </w:rPr>
            </w:pPr>
          </w:p>
        </w:tc>
      </w:tr>
      <w:tr w:rsidR="0001781A" w:rsidRPr="000973F2" w14:paraId="07121D15" w14:textId="77777777" w:rsidTr="000379A4">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667" w:type="pct"/>
            <w:vMerge/>
            <w:hideMark/>
          </w:tcPr>
          <w:p w14:paraId="518558C5" w14:textId="77777777" w:rsidR="0001781A" w:rsidRPr="000973F2" w:rsidRDefault="0001781A" w:rsidP="00367B6B">
            <w:pPr>
              <w:spacing w:before="40" w:after="40"/>
              <w:rPr>
                <w:rFonts w:ascii="Times New Roman" w:eastAsia="Times New Roman" w:hAnsi="Times New Roman" w:cs="Times New Roman"/>
                <w:b/>
                <w:bCs w:val="0"/>
                <w:sz w:val="18"/>
                <w:szCs w:val="18"/>
              </w:rPr>
            </w:pPr>
          </w:p>
        </w:tc>
        <w:tc>
          <w:tcPr>
            <w:tcW w:w="428" w:type="pct"/>
            <w:tcMar>
              <w:left w:w="14" w:type="dxa"/>
              <w:right w:w="14" w:type="dxa"/>
            </w:tcMar>
            <w:hideMark/>
          </w:tcPr>
          <w:p w14:paraId="612DAC77" w14:textId="4D050A17" w:rsidR="0001781A" w:rsidRPr="000973F2" w:rsidRDefault="00A43381" w:rsidP="00367B6B">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18"/>
                <w:szCs w:val="18"/>
              </w:rPr>
            </w:pPr>
            <w:r w:rsidRPr="000973F2">
              <w:rPr>
                <w:rFonts w:ascii="Times New Roman" w:eastAsia="Times New Roman" w:hAnsi="Times New Roman" w:cs="Times New Roman"/>
                <w:b/>
                <w:bCs/>
                <w:sz w:val="18"/>
                <w:szCs w:val="18"/>
              </w:rPr>
              <w:t>Initial Year Hours</w:t>
            </w:r>
          </w:p>
        </w:tc>
        <w:tc>
          <w:tcPr>
            <w:tcW w:w="428" w:type="pct"/>
            <w:tcMar>
              <w:left w:w="14" w:type="dxa"/>
              <w:right w:w="14" w:type="dxa"/>
            </w:tcMar>
            <w:hideMark/>
          </w:tcPr>
          <w:p w14:paraId="6034731A" w14:textId="4CB8187D" w:rsidR="0001781A" w:rsidRPr="000973F2" w:rsidRDefault="00A43381" w:rsidP="00367B6B">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18"/>
                <w:szCs w:val="18"/>
              </w:rPr>
            </w:pPr>
            <w:r w:rsidRPr="000973F2">
              <w:rPr>
                <w:rFonts w:ascii="Times New Roman" w:eastAsia="Times New Roman" w:hAnsi="Times New Roman" w:cs="Times New Roman"/>
                <w:b/>
                <w:bCs/>
                <w:sz w:val="18"/>
                <w:szCs w:val="18"/>
              </w:rPr>
              <w:t>Subseq. Year Hours</w:t>
            </w:r>
          </w:p>
        </w:tc>
        <w:tc>
          <w:tcPr>
            <w:tcW w:w="428" w:type="pct"/>
            <w:tcMar>
              <w:left w:w="14" w:type="dxa"/>
              <w:right w:w="14" w:type="dxa"/>
            </w:tcMar>
            <w:hideMark/>
          </w:tcPr>
          <w:p w14:paraId="7BC4AE61" w14:textId="03315F3F" w:rsidR="0001781A" w:rsidRPr="000973F2" w:rsidRDefault="00A43381" w:rsidP="00367B6B">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18"/>
                <w:szCs w:val="18"/>
              </w:rPr>
            </w:pPr>
            <w:r w:rsidRPr="000973F2">
              <w:rPr>
                <w:rFonts w:ascii="Times New Roman" w:eastAsia="Times New Roman" w:hAnsi="Times New Roman" w:cs="Times New Roman"/>
                <w:b/>
                <w:bCs/>
                <w:sz w:val="18"/>
                <w:szCs w:val="18"/>
              </w:rPr>
              <w:t>Initial Year Hours</w:t>
            </w:r>
          </w:p>
        </w:tc>
        <w:tc>
          <w:tcPr>
            <w:tcW w:w="428" w:type="pct"/>
            <w:tcMar>
              <w:left w:w="14" w:type="dxa"/>
              <w:right w:w="14" w:type="dxa"/>
            </w:tcMar>
            <w:hideMark/>
          </w:tcPr>
          <w:p w14:paraId="3B6045F1" w14:textId="322196BF" w:rsidR="0001781A" w:rsidRPr="000973F2" w:rsidRDefault="00A43381" w:rsidP="00367B6B">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18"/>
                <w:szCs w:val="18"/>
              </w:rPr>
            </w:pPr>
            <w:r w:rsidRPr="000973F2">
              <w:rPr>
                <w:rFonts w:ascii="Times New Roman" w:eastAsia="Times New Roman" w:hAnsi="Times New Roman" w:cs="Times New Roman"/>
                <w:b/>
                <w:bCs/>
                <w:sz w:val="18"/>
                <w:szCs w:val="18"/>
              </w:rPr>
              <w:t>Subseq. Year Hours</w:t>
            </w:r>
          </w:p>
        </w:tc>
        <w:tc>
          <w:tcPr>
            <w:tcW w:w="428" w:type="pct"/>
            <w:tcMar>
              <w:left w:w="14" w:type="dxa"/>
              <w:right w:w="14" w:type="dxa"/>
            </w:tcMar>
            <w:hideMark/>
          </w:tcPr>
          <w:p w14:paraId="6A61F52A" w14:textId="0E92ECEC" w:rsidR="0001781A" w:rsidRPr="000973F2" w:rsidRDefault="00A43381" w:rsidP="00367B6B">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18"/>
                <w:szCs w:val="18"/>
              </w:rPr>
            </w:pPr>
            <w:r w:rsidRPr="000973F2">
              <w:rPr>
                <w:rFonts w:ascii="Times New Roman" w:eastAsia="Times New Roman" w:hAnsi="Times New Roman" w:cs="Times New Roman"/>
                <w:b/>
                <w:bCs/>
                <w:sz w:val="18"/>
                <w:szCs w:val="18"/>
              </w:rPr>
              <w:t>Initial Year Hours</w:t>
            </w:r>
          </w:p>
        </w:tc>
        <w:tc>
          <w:tcPr>
            <w:tcW w:w="428" w:type="pct"/>
            <w:tcMar>
              <w:left w:w="14" w:type="dxa"/>
              <w:right w:w="14" w:type="dxa"/>
            </w:tcMar>
            <w:hideMark/>
          </w:tcPr>
          <w:p w14:paraId="715AE48E" w14:textId="2F1A4D35" w:rsidR="0001781A" w:rsidRPr="000973F2" w:rsidRDefault="00A43381" w:rsidP="00367B6B">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18"/>
                <w:szCs w:val="18"/>
              </w:rPr>
            </w:pPr>
            <w:r w:rsidRPr="000973F2">
              <w:rPr>
                <w:rFonts w:ascii="Times New Roman" w:eastAsia="Times New Roman" w:hAnsi="Times New Roman" w:cs="Times New Roman"/>
                <w:b/>
                <w:bCs/>
                <w:sz w:val="18"/>
                <w:szCs w:val="18"/>
              </w:rPr>
              <w:t>Subseq. Year Hours</w:t>
            </w:r>
          </w:p>
        </w:tc>
        <w:tc>
          <w:tcPr>
            <w:tcW w:w="428" w:type="pct"/>
            <w:tcMar>
              <w:left w:w="14" w:type="dxa"/>
              <w:right w:w="14" w:type="dxa"/>
            </w:tcMar>
            <w:hideMark/>
          </w:tcPr>
          <w:p w14:paraId="41D47D69" w14:textId="1ED2FDD2" w:rsidR="0001781A" w:rsidRPr="000973F2" w:rsidRDefault="00A43381" w:rsidP="00367B6B">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18"/>
                <w:szCs w:val="18"/>
              </w:rPr>
            </w:pPr>
            <w:r w:rsidRPr="000973F2">
              <w:rPr>
                <w:rFonts w:ascii="Times New Roman" w:eastAsia="Times New Roman" w:hAnsi="Times New Roman" w:cs="Times New Roman"/>
                <w:b/>
                <w:bCs/>
                <w:sz w:val="18"/>
                <w:szCs w:val="18"/>
              </w:rPr>
              <w:t>Initial Year Hours</w:t>
            </w:r>
          </w:p>
        </w:tc>
        <w:tc>
          <w:tcPr>
            <w:tcW w:w="431" w:type="pct"/>
            <w:tcMar>
              <w:left w:w="14" w:type="dxa"/>
              <w:right w:w="14" w:type="dxa"/>
            </w:tcMar>
            <w:hideMark/>
          </w:tcPr>
          <w:p w14:paraId="02FA9BF1" w14:textId="5DDE6551" w:rsidR="0001781A" w:rsidRPr="000973F2" w:rsidRDefault="00A43381" w:rsidP="00367B6B">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18"/>
                <w:szCs w:val="18"/>
              </w:rPr>
            </w:pPr>
            <w:r w:rsidRPr="000973F2">
              <w:rPr>
                <w:rFonts w:ascii="Times New Roman" w:eastAsia="Times New Roman" w:hAnsi="Times New Roman" w:cs="Times New Roman"/>
                <w:b/>
                <w:bCs/>
                <w:sz w:val="18"/>
                <w:szCs w:val="18"/>
              </w:rPr>
              <w:t>Subseq. Year Hours</w:t>
            </w:r>
          </w:p>
        </w:tc>
        <w:tc>
          <w:tcPr>
            <w:tcW w:w="454" w:type="pct"/>
            <w:tcMar>
              <w:left w:w="14" w:type="dxa"/>
              <w:right w:w="14" w:type="dxa"/>
            </w:tcMar>
            <w:hideMark/>
          </w:tcPr>
          <w:p w14:paraId="633D2665" w14:textId="77777777" w:rsidR="0001781A" w:rsidRPr="000973F2" w:rsidRDefault="0001781A" w:rsidP="00367B6B">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18"/>
                <w:szCs w:val="18"/>
              </w:rPr>
            </w:pPr>
            <w:r w:rsidRPr="000973F2">
              <w:rPr>
                <w:rFonts w:ascii="Times New Roman" w:eastAsia="Times New Roman" w:hAnsi="Times New Roman" w:cs="Times New Roman"/>
                <w:b/>
                <w:bCs/>
                <w:sz w:val="18"/>
                <w:szCs w:val="18"/>
              </w:rPr>
              <w:t>Initial Year</w:t>
            </w:r>
          </w:p>
        </w:tc>
        <w:tc>
          <w:tcPr>
            <w:tcW w:w="452" w:type="pct"/>
            <w:tcMar>
              <w:left w:w="14" w:type="dxa"/>
              <w:right w:w="14" w:type="dxa"/>
            </w:tcMar>
            <w:hideMark/>
          </w:tcPr>
          <w:p w14:paraId="3BF6D33A" w14:textId="77777777" w:rsidR="0001781A" w:rsidRPr="000973F2" w:rsidRDefault="0001781A" w:rsidP="00367B6B">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18"/>
                <w:szCs w:val="18"/>
              </w:rPr>
            </w:pPr>
            <w:r w:rsidRPr="000973F2">
              <w:rPr>
                <w:rFonts w:ascii="Times New Roman" w:eastAsia="Times New Roman" w:hAnsi="Times New Roman" w:cs="Times New Roman"/>
                <w:b/>
                <w:bCs/>
                <w:sz w:val="18"/>
                <w:szCs w:val="18"/>
              </w:rPr>
              <w:t>Subseq. Year</w:t>
            </w:r>
          </w:p>
        </w:tc>
      </w:tr>
      <w:tr w:rsidR="000379A4" w:rsidRPr="000973F2" w14:paraId="4B67C665" w14:textId="77777777" w:rsidTr="000379A4">
        <w:trPr>
          <w:cantSplit/>
        </w:trPr>
        <w:tc>
          <w:tcPr>
            <w:cnfStyle w:val="001000000000" w:firstRow="0" w:lastRow="0" w:firstColumn="1" w:lastColumn="0" w:oddVBand="0" w:evenVBand="0" w:oddHBand="0" w:evenHBand="0" w:firstRowFirstColumn="0" w:firstRowLastColumn="0" w:lastRowFirstColumn="0" w:lastRowLastColumn="0"/>
            <w:tcW w:w="667" w:type="pct"/>
            <w:tcMar>
              <w:right w:w="14" w:type="dxa"/>
            </w:tcMar>
            <w:hideMark/>
          </w:tcPr>
          <w:p w14:paraId="5CF26D44" w14:textId="77777777" w:rsidR="000379A4" w:rsidRPr="000973F2" w:rsidRDefault="000379A4" w:rsidP="000379A4">
            <w:pPr>
              <w:spacing w:before="40" w:after="4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Planning</w:t>
            </w:r>
          </w:p>
        </w:tc>
        <w:tc>
          <w:tcPr>
            <w:tcW w:w="428" w:type="pct"/>
            <w:noWrap/>
            <w:hideMark/>
          </w:tcPr>
          <w:p w14:paraId="5B56C436" w14:textId="6091E63D" w:rsidR="000379A4" w:rsidRPr="000973F2" w:rsidRDefault="000379A4" w:rsidP="000379A4">
            <w:pPr>
              <w:spacing w:before="40" w:after="4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w:t>
            </w:r>
          </w:p>
        </w:tc>
        <w:tc>
          <w:tcPr>
            <w:tcW w:w="428" w:type="pct"/>
            <w:noWrap/>
            <w:hideMark/>
          </w:tcPr>
          <w:p w14:paraId="2AB224C9" w14:textId="5DDF56B5" w:rsidR="000379A4" w:rsidRPr="000973F2" w:rsidRDefault="000379A4" w:rsidP="000379A4">
            <w:pPr>
              <w:spacing w:before="40" w:after="4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w:t>
            </w:r>
          </w:p>
        </w:tc>
        <w:tc>
          <w:tcPr>
            <w:tcW w:w="428" w:type="pct"/>
            <w:noWrap/>
            <w:hideMark/>
          </w:tcPr>
          <w:p w14:paraId="0F39EC58" w14:textId="76B79F64" w:rsidR="000379A4" w:rsidRPr="000973F2" w:rsidRDefault="000379A4" w:rsidP="000379A4">
            <w:pPr>
              <w:spacing w:before="40" w:after="4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w:t>
            </w:r>
          </w:p>
        </w:tc>
        <w:tc>
          <w:tcPr>
            <w:tcW w:w="428" w:type="pct"/>
            <w:noWrap/>
            <w:hideMark/>
          </w:tcPr>
          <w:p w14:paraId="3C2C9DB9" w14:textId="0045F88F" w:rsidR="000379A4" w:rsidRPr="000973F2" w:rsidRDefault="000379A4" w:rsidP="000379A4">
            <w:pPr>
              <w:spacing w:before="40" w:after="4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w:t>
            </w:r>
          </w:p>
        </w:tc>
        <w:tc>
          <w:tcPr>
            <w:tcW w:w="428" w:type="pct"/>
            <w:noWrap/>
            <w:hideMark/>
          </w:tcPr>
          <w:p w14:paraId="16AB8D10" w14:textId="49B67A0C" w:rsidR="000379A4" w:rsidRPr="000973F2" w:rsidRDefault="000379A4" w:rsidP="000379A4">
            <w:pPr>
              <w:tabs>
                <w:tab w:val="decimal" w:pos="310"/>
              </w:tabs>
              <w:spacing w:before="40" w:after="4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w:t>
            </w:r>
          </w:p>
        </w:tc>
        <w:tc>
          <w:tcPr>
            <w:tcW w:w="428" w:type="pct"/>
            <w:noWrap/>
            <w:hideMark/>
          </w:tcPr>
          <w:p w14:paraId="4E4F63E5" w14:textId="37EFEA65" w:rsidR="000379A4" w:rsidRPr="000973F2" w:rsidRDefault="000379A4" w:rsidP="000379A4">
            <w:pPr>
              <w:tabs>
                <w:tab w:val="decimal" w:pos="310"/>
              </w:tabs>
              <w:spacing w:before="40" w:after="4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w:t>
            </w:r>
          </w:p>
        </w:tc>
        <w:tc>
          <w:tcPr>
            <w:tcW w:w="428" w:type="pct"/>
            <w:noWrap/>
            <w:hideMark/>
          </w:tcPr>
          <w:p w14:paraId="56B83429" w14:textId="18138C8F" w:rsidR="000379A4" w:rsidRPr="000973F2" w:rsidRDefault="000379A4" w:rsidP="000379A4">
            <w:pPr>
              <w:spacing w:before="40" w:after="4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w:t>
            </w:r>
          </w:p>
        </w:tc>
        <w:tc>
          <w:tcPr>
            <w:tcW w:w="431" w:type="pct"/>
            <w:noWrap/>
            <w:hideMark/>
          </w:tcPr>
          <w:p w14:paraId="73B5FF47" w14:textId="54E9A48E" w:rsidR="000379A4" w:rsidRPr="000973F2" w:rsidRDefault="000379A4" w:rsidP="000379A4">
            <w:pPr>
              <w:spacing w:before="40" w:after="4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w:t>
            </w:r>
          </w:p>
        </w:tc>
        <w:tc>
          <w:tcPr>
            <w:tcW w:w="454" w:type="pct"/>
            <w:noWrap/>
            <w:hideMark/>
          </w:tcPr>
          <w:p w14:paraId="280F46B3" w14:textId="2A96BF46" w:rsidR="000379A4" w:rsidRPr="000973F2" w:rsidRDefault="000379A4" w:rsidP="000379A4">
            <w:pPr>
              <w:tabs>
                <w:tab w:val="decimal" w:pos="493"/>
              </w:tabs>
              <w:spacing w:before="40" w:after="4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w:t>
            </w:r>
          </w:p>
        </w:tc>
        <w:tc>
          <w:tcPr>
            <w:tcW w:w="452" w:type="pct"/>
            <w:noWrap/>
            <w:hideMark/>
          </w:tcPr>
          <w:p w14:paraId="6D17F6E6" w14:textId="24650B8D" w:rsidR="000379A4" w:rsidRPr="000973F2" w:rsidRDefault="000379A4" w:rsidP="000379A4">
            <w:pPr>
              <w:tabs>
                <w:tab w:val="decimal" w:pos="493"/>
              </w:tabs>
              <w:spacing w:before="40" w:after="4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w:t>
            </w:r>
          </w:p>
        </w:tc>
      </w:tr>
      <w:tr w:rsidR="000379A4" w:rsidRPr="000973F2" w14:paraId="46084744" w14:textId="77777777" w:rsidTr="000379A4">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667" w:type="pct"/>
            <w:tcMar>
              <w:right w:w="14" w:type="dxa"/>
            </w:tcMar>
            <w:hideMark/>
          </w:tcPr>
          <w:p w14:paraId="6732FFCF" w14:textId="77777777" w:rsidR="000379A4" w:rsidRPr="000973F2" w:rsidRDefault="000379A4" w:rsidP="000379A4">
            <w:pPr>
              <w:spacing w:before="40" w:after="4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QA/QC</w:t>
            </w:r>
          </w:p>
        </w:tc>
        <w:tc>
          <w:tcPr>
            <w:tcW w:w="428" w:type="pct"/>
            <w:noWrap/>
            <w:hideMark/>
          </w:tcPr>
          <w:p w14:paraId="2A8C905A" w14:textId="2A631DC7" w:rsidR="000379A4" w:rsidRPr="000973F2" w:rsidRDefault="000379A4" w:rsidP="000379A4">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w:t>
            </w:r>
          </w:p>
        </w:tc>
        <w:tc>
          <w:tcPr>
            <w:tcW w:w="428" w:type="pct"/>
            <w:noWrap/>
            <w:hideMark/>
          </w:tcPr>
          <w:p w14:paraId="6D8A929A" w14:textId="6424A43D" w:rsidR="000379A4" w:rsidRPr="000973F2" w:rsidRDefault="000379A4" w:rsidP="000379A4">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w:t>
            </w:r>
          </w:p>
        </w:tc>
        <w:tc>
          <w:tcPr>
            <w:tcW w:w="428" w:type="pct"/>
            <w:noWrap/>
            <w:hideMark/>
          </w:tcPr>
          <w:p w14:paraId="782709D7" w14:textId="6CFB2D15" w:rsidR="000379A4" w:rsidRPr="000973F2" w:rsidRDefault="000379A4" w:rsidP="000379A4">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w:t>
            </w:r>
          </w:p>
        </w:tc>
        <w:tc>
          <w:tcPr>
            <w:tcW w:w="428" w:type="pct"/>
            <w:noWrap/>
            <w:hideMark/>
          </w:tcPr>
          <w:p w14:paraId="0CB16C87" w14:textId="6619F797" w:rsidR="000379A4" w:rsidRPr="000973F2" w:rsidRDefault="000379A4" w:rsidP="000379A4">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w:t>
            </w:r>
          </w:p>
        </w:tc>
        <w:tc>
          <w:tcPr>
            <w:tcW w:w="428" w:type="pct"/>
            <w:noWrap/>
            <w:hideMark/>
          </w:tcPr>
          <w:p w14:paraId="0D9D2E6B" w14:textId="396AA065" w:rsidR="000379A4" w:rsidRPr="000973F2" w:rsidRDefault="000379A4" w:rsidP="000379A4">
            <w:pPr>
              <w:tabs>
                <w:tab w:val="decimal" w:pos="310"/>
              </w:tabs>
              <w:spacing w:before="40" w:after="4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w:t>
            </w:r>
          </w:p>
        </w:tc>
        <w:tc>
          <w:tcPr>
            <w:tcW w:w="428" w:type="pct"/>
            <w:noWrap/>
            <w:hideMark/>
          </w:tcPr>
          <w:p w14:paraId="620A7B43" w14:textId="4680369E" w:rsidR="000379A4" w:rsidRPr="000973F2" w:rsidRDefault="000379A4" w:rsidP="000379A4">
            <w:pPr>
              <w:tabs>
                <w:tab w:val="decimal" w:pos="310"/>
              </w:tabs>
              <w:spacing w:before="40" w:after="4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w:t>
            </w:r>
          </w:p>
        </w:tc>
        <w:tc>
          <w:tcPr>
            <w:tcW w:w="428" w:type="pct"/>
            <w:noWrap/>
            <w:hideMark/>
          </w:tcPr>
          <w:p w14:paraId="4727A29D" w14:textId="10D73B44" w:rsidR="000379A4" w:rsidRPr="000973F2" w:rsidRDefault="000379A4" w:rsidP="000379A4">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w:t>
            </w:r>
          </w:p>
        </w:tc>
        <w:tc>
          <w:tcPr>
            <w:tcW w:w="431" w:type="pct"/>
            <w:noWrap/>
            <w:hideMark/>
          </w:tcPr>
          <w:p w14:paraId="569642BE" w14:textId="0043F54C" w:rsidR="000379A4" w:rsidRPr="000973F2" w:rsidRDefault="000379A4" w:rsidP="000379A4">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w:t>
            </w:r>
          </w:p>
        </w:tc>
        <w:tc>
          <w:tcPr>
            <w:tcW w:w="454" w:type="pct"/>
            <w:noWrap/>
            <w:hideMark/>
          </w:tcPr>
          <w:p w14:paraId="5D8B4777" w14:textId="62D90C96" w:rsidR="000379A4" w:rsidRPr="000973F2" w:rsidRDefault="000379A4" w:rsidP="000379A4">
            <w:pPr>
              <w:tabs>
                <w:tab w:val="decimal" w:pos="493"/>
              </w:tabs>
              <w:spacing w:before="40" w:after="4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w:t>
            </w:r>
          </w:p>
        </w:tc>
        <w:tc>
          <w:tcPr>
            <w:tcW w:w="452" w:type="pct"/>
            <w:noWrap/>
            <w:hideMark/>
          </w:tcPr>
          <w:p w14:paraId="43419545" w14:textId="06EF190D" w:rsidR="000379A4" w:rsidRPr="000973F2" w:rsidRDefault="000379A4" w:rsidP="000379A4">
            <w:pPr>
              <w:tabs>
                <w:tab w:val="decimal" w:pos="493"/>
              </w:tabs>
              <w:spacing w:before="40" w:after="4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w:t>
            </w:r>
          </w:p>
        </w:tc>
      </w:tr>
      <w:tr w:rsidR="000379A4" w:rsidRPr="000973F2" w14:paraId="144B6916" w14:textId="77777777" w:rsidTr="000379A4">
        <w:trPr>
          <w:cantSplit/>
        </w:trPr>
        <w:tc>
          <w:tcPr>
            <w:cnfStyle w:val="001000000000" w:firstRow="0" w:lastRow="0" w:firstColumn="1" w:lastColumn="0" w:oddVBand="0" w:evenVBand="0" w:oddHBand="0" w:evenHBand="0" w:firstRowFirstColumn="0" w:firstRowLastColumn="0" w:lastRowFirstColumn="0" w:lastRowLastColumn="0"/>
            <w:tcW w:w="667" w:type="pct"/>
            <w:tcMar>
              <w:right w:w="14" w:type="dxa"/>
            </w:tcMar>
            <w:hideMark/>
          </w:tcPr>
          <w:p w14:paraId="46A2D551" w14:textId="77777777" w:rsidR="000379A4" w:rsidRPr="000973F2" w:rsidRDefault="000379A4" w:rsidP="000379A4">
            <w:pPr>
              <w:spacing w:before="40" w:after="4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Recordkeeping</w:t>
            </w:r>
          </w:p>
        </w:tc>
        <w:tc>
          <w:tcPr>
            <w:tcW w:w="428" w:type="pct"/>
            <w:noWrap/>
            <w:hideMark/>
          </w:tcPr>
          <w:p w14:paraId="6FDE678E" w14:textId="44F7BDBA" w:rsidR="000379A4" w:rsidRPr="000973F2" w:rsidRDefault="000379A4" w:rsidP="000379A4">
            <w:pPr>
              <w:spacing w:before="40" w:after="4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w:t>
            </w:r>
          </w:p>
        </w:tc>
        <w:tc>
          <w:tcPr>
            <w:tcW w:w="428" w:type="pct"/>
            <w:noWrap/>
            <w:hideMark/>
          </w:tcPr>
          <w:p w14:paraId="42379857" w14:textId="11BE0699" w:rsidR="000379A4" w:rsidRPr="000973F2" w:rsidRDefault="000379A4" w:rsidP="000379A4">
            <w:pPr>
              <w:spacing w:before="40" w:after="4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w:t>
            </w:r>
          </w:p>
        </w:tc>
        <w:tc>
          <w:tcPr>
            <w:tcW w:w="428" w:type="pct"/>
            <w:noWrap/>
            <w:hideMark/>
          </w:tcPr>
          <w:p w14:paraId="69DC0EDB" w14:textId="59FBBE4D" w:rsidR="000379A4" w:rsidRPr="000973F2" w:rsidRDefault="000379A4" w:rsidP="000379A4">
            <w:pPr>
              <w:spacing w:before="40" w:after="4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w:t>
            </w:r>
          </w:p>
        </w:tc>
        <w:tc>
          <w:tcPr>
            <w:tcW w:w="428" w:type="pct"/>
            <w:noWrap/>
            <w:hideMark/>
          </w:tcPr>
          <w:p w14:paraId="3A32CBD0" w14:textId="5665D9B3" w:rsidR="000379A4" w:rsidRPr="000973F2" w:rsidRDefault="000379A4" w:rsidP="000379A4">
            <w:pPr>
              <w:spacing w:before="40" w:after="4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w:t>
            </w:r>
          </w:p>
        </w:tc>
        <w:tc>
          <w:tcPr>
            <w:tcW w:w="428" w:type="pct"/>
            <w:noWrap/>
            <w:hideMark/>
          </w:tcPr>
          <w:p w14:paraId="49C1C5C0" w14:textId="2D47055B" w:rsidR="000379A4" w:rsidRPr="000973F2" w:rsidRDefault="000379A4" w:rsidP="000379A4">
            <w:pPr>
              <w:tabs>
                <w:tab w:val="decimal" w:pos="310"/>
              </w:tabs>
              <w:spacing w:before="40" w:after="4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w:t>
            </w:r>
          </w:p>
        </w:tc>
        <w:tc>
          <w:tcPr>
            <w:tcW w:w="428" w:type="pct"/>
            <w:noWrap/>
            <w:hideMark/>
          </w:tcPr>
          <w:p w14:paraId="29CC32C3" w14:textId="14DEADF1" w:rsidR="000379A4" w:rsidRPr="000973F2" w:rsidRDefault="000379A4" w:rsidP="000379A4">
            <w:pPr>
              <w:tabs>
                <w:tab w:val="decimal" w:pos="310"/>
              </w:tabs>
              <w:spacing w:before="40" w:after="4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w:t>
            </w:r>
          </w:p>
        </w:tc>
        <w:tc>
          <w:tcPr>
            <w:tcW w:w="428" w:type="pct"/>
            <w:noWrap/>
            <w:hideMark/>
          </w:tcPr>
          <w:p w14:paraId="19C43EC8" w14:textId="30AAEA5C" w:rsidR="000379A4" w:rsidRPr="000973F2" w:rsidRDefault="000379A4" w:rsidP="000379A4">
            <w:pPr>
              <w:spacing w:before="40" w:after="4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w:t>
            </w:r>
          </w:p>
        </w:tc>
        <w:tc>
          <w:tcPr>
            <w:tcW w:w="431" w:type="pct"/>
            <w:noWrap/>
            <w:hideMark/>
          </w:tcPr>
          <w:p w14:paraId="18A92D44" w14:textId="6054AAC1" w:rsidR="000379A4" w:rsidRPr="000973F2" w:rsidRDefault="000379A4" w:rsidP="000379A4">
            <w:pPr>
              <w:spacing w:before="40" w:after="4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w:t>
            </w:r>
          </w:p>
        </w:tc>
        <w:tc>
          <w:tcPr>
            <w:tcW w:w="454" w:type="pct"/>
            <w:noWrap/>
            <w:hideMark/>
          </w:tcPr>
          <w:p w14:paraId="2D3A3C6E" w14:textId="3948F010" w:rsidR="000379A4" w:rsidRPr="000973F2" w:rsidRDefault="000379A4" w:rsidP="000379A4">
            <w:pPr>
              <w:tabs>
                <w:tab w:val="decimal" w:pos="493"/>
              </w:tabs>
              <w:spacing w:before="40" w:after="4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w:t>
            </w:r>
          </w:p>
        </w:tc>
        <w:tc>
          <w:tcPr>
            <w:tcW w:w="452" w:type="pct"/>
            <w:noWrap/>
            <w:hideMark/>
          </w:tcPr>
          <w:p w14:paraId="2E2D20AD" w14:textId="168F6A91" w:rsidR="000379A4" w:rsidRPr="000973F2" w:rsidRDefault="000379A4" w:rsidP="000379A4">
            <w:pPr>
              <w:tabs>
                <w:tab w:val="decimal" w:pos="493"/>
              </w:tabs>
              <w:spacing w:before="40" w:after="4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w:t>
            </w:r>
          </w:p>
        </w:tc>
      </w:tr>
      <w:tr w:rsidR="000379A4" w:rsidRPr="000973F2" w14:paraId="52BF31C2" w14:textId="77777777" w:rsidTr="000379A4">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667" w:type="pct"/>
            <w:tcMar>
              <w:right w:w="14" w:type="dxa"/>
            </w:tcMar>
            <w:hideMark/>
          </w:tcPr>
          <w:p w14:paraId="2C0B3B79" w14:textId="77777777" w:rsidR="000379A4" w:rsidRPr="000973F2" w:rsidRDefault="000379A4" w:rsidP="000379A4">
            <w:pPr>
              <w:spacing w:before="40" w:after="4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Sampling and Analysis (Calculations)</w:t>
            </w:r>
          </w:p>
        </w:tc>
        <w:tc>
          <w:tcPr>
            <w:tcW w:w="428" w:type="pct"/>
            <w:noWrap/>
            <w:hideMark/>
          </w:tcPr>
          <w:p w14:paraId="45F55990" w14:textId="001CE943" w:rsidR="000379A4" w:rsidRPr="000973F2" w:rsidRDefault="000379A4" w:rsidP="000379A4">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6"/>
                <w:szCs w:val="16"/>
              </w:rPr>
              <w:t>0</w:t>
            </w:r>
          </w:p>
        </w:tc>
        <w:tc>
          <w:tcPr>
            <w:tcW w:w="428" w:type="pct"/>
            <w:noWrap/>
            <w:hideMark/>
          </w:tcPr>
          <w:p w14:paraId="7079C386" w14:textId="18209E82" w:rsidR="000379A4" w:rsidRPr="000973F2" w:rsidRDefault="000379A4" w:rsidP="000379A4">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6"/>
                <w:szCs w:val="16"/>
              </w:rPr>
              <w:t>0</w:t>
            </w:r>
          </w:p>
        </w:tc>
        <w:tc>
          <w:tcPr>
            <w:tcW w:w="428" w:type="pct"/>
            <w:noWrap/>
            <w:hideMark/>
          </w:tcPr>
          <w:p w14:paraId="0A4EE032" w14:textId="259B074E" w:rsidR="000379A4" w:rsidRPr="000973F2" w:rsidRDefault="000379A4" w:rsidP="000379A4">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6"/>
                <w:szCs w:val="16"/>
              </w:rPr>
              <w:t>0</w:t>
            </w:r>
          </w:p>
        </w:tc>
        <w:tc>
          <w:tcPr>
            <w:tcW w:w="428" w:type="pct"/>
            <w:noWrap/>
            <w:hideMark/>
          </w:tcPr>
          <w:p w14:paraId="0EFBA307" w14:textId="48BC8F48" w:rsidR="000379A4" w:rsidRPr="000973F2" w:rsidRDefault="000379A4" w:rsidP="000379A4">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6"/>
                <w:szCs w:val="16"/>
              </w:rPr>
              <w:t>0</w:t>
            </w:r>
          </w:p>
        </w:tc>
        <w:tc>
          <w:tcPr>
            <w:tcW w:w="428" w:type="pct"/>
            <w:noWrap/>
            <w:hideMark/>
          </w:tcPr>
          <w:p w14:paraId="66A9F43F" w14:textId="77777777" w:rsidR="000379A4" w:rsidRPr="000973F2" w:rsidRDefault="000379A4" w:rsidP="000379A4">
            <w:pPr>
              <w:tabs>
                <w:tab w:val="decimal" w:pos="310"/>
              </w:tabs>
              <w:spacing w:before="40" w:after="4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68.5</w:t>
            </w:r>
          </w:p>
        </w:tc>
        <w:tc>
          <w:tcPr>
            <w:tcW w:w="428" w:type="pct"/>
            <w:noWrap/>
            <w:hideMark/>
          </w:tcPr>
          <w:p w14:paraId="210BF147" w14:textId="77777777" w:rsidR="000379A4" w:rsidRPr="000973F2" w:rsidRDefault="000379A4" w:rsidP="000379A4">
            <w:pPr>
              <w:tabs>
                <w:tab w:val="decimal" w:pos="310"/>
              </w:tabs>
              <w:spacing w:before="40" w:after="4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68.5</w:t>
            </w:r>
          </w:p>
        </w:tc>
        <w:tc>
          <w:tcPr>
            <w:tcW w:w="428" w:type="pct"/>
            <w:noWrap/>
            <w:hideMark/>
          </w:tcPr>
          <w:p w14:paraId="6233E2D8" w14:textId="267126FC" w:rsidR="000379A4" w:rsidRPr="000973F2" w:rsidRDefault="000379A4" w:rsidP="000379A4">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6"/>
                <w:szCs w:val="16"/>
              </w:rPr>
              <w:t>0</w:t>
            </w:r>
          </w:p>
        </w:tc>
        <w:tc>
          <w:tcPr>
            <w:tcW w:w="431" w:type="pct"/>
            <w:noWrap/>
            <w:hideMark/>
          </w:tcPr>
          <w:p w14:paraId="7B925F31" w14:textId="0DC653C6" w:rsidR="000379A4" w:rsidRPr="000973F2" w:rsidRDefault="000379A4" w:rsidP="000379A4">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6"/>
                <w:szCs w:val="16"/>
              </w:rPr>
              <w:t>0</w:t>
            </w:r>
          </w:p>
        </w:tc>
        <w:tc>
          <w:tcPr>
            <w:tcW w:w="454" w:type="pct"/>
            <w:noWrap/>
            <w:hideMark/>
          </w:tcPr>
          <w:p w14:paraId="395ADC21" w14:textId="4F1AF43E" w:rsidR="000379A4" w:rsidRPr="000973F2" w:rsidRDefault="000379A4" w:rsidP="000379A4">
            <w:pPr>
              <w:tabs>
                <w:tab w:val="decimal" w:pos="493"/>
              </w:tabs>
              <w:spacing w:before="40" w:after="4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$4,895</w:t>
            </w:r>
          </w:p>
        </w:tc>
        <w:tc>
          <w:tcPr>
            <w:tcW w:w="452" w:type="pct"/>
            <w:noWrap/>
            <w:hideMark/>
          </w:tcPr>
          <w:p w14:paraId="6DBBA53E" w14:textId="5818BCAC" w:rsidR="000379A4" w:rsidRPr="000973F2" w:rsidRDefault="000379A4" w:rsidP="000379A4">
            <w:pPr>
              <w:tabs>
                <w:tab w:val="decimal" w:pos="493"/>
              </w:tabs>
              <w:spacing w:before="40" w:after="4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$4,895</w:t>
            </w:r>
          </w:p>
        </w:tc>
      </w:tr>
      <w:tr w:rsidR="000379A4" w:rsidRPr="000973F2" w14:paraId="73599C65" w14:textId="77777777" w:rsidTr="000379A4">
        <w:trPr>
          <w:cantSplit/>
        </w:trPr>
        <w:tc>
          <w:tcPr>
            <w:cnfStyle w:val="001000000000" w:firstRow="0" w:lastRow="0" w:firstColumn="1" w:lastColumn="0" w:oddVBand="0" w:evenVBand="0" w:oddHBand="0" w:evenHBand="0" w:firstRowFirstColumn="0" w:firstRowLastColumn="0" w:lastRowFirstColumn="0" w:lastRowLastColumn="0"/>
            <w:tcW w:w="667" w:type="pct"/>
            <w:tcMar>
              <w:right w:w="14" w:type="dxa"/>
            </w:tcMar>
            <w:hideMark/>
          </w:tcPr>
          <w:p w14:paraId="0BE4D199" w14:textId="77777777" w:rsidR="000379A4" w:rsidRPr="000973F2" w:rsidRDefault="000379A4" w:rsidP="000379A4">
            <w:pPr>
              <w:spacing w:before="40" w:after="4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Reporting</w:t>
            </w:r>
          </w:p>
        </w:tc>
        <w:tc>
          <w:tcPr>
            <w:tcW w:w="428" w:type="pct"/>
            <w:noWrap/>
            <w:hideMark/>
          </w:tcPr>
          <w:p w14:paraId="64498032" w14:textId="16D27DA7" w:rsidR="000379A4" w:rsidRPr="000973F2" w:rsidRDefault="000379A4" w:rsidP="000379A4">
            <w:pPr>
              <w:spacing w:before="40" w:after="4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w:t>
            </w:r>
          </w:p>
        </w:tc>
        <w:tc>
          <w:tcPr>
            <w:tcW w:w="428" w:type="pct"/>
            <w:noWrap/>
            <w:hideMark/>
          </w:tcPr>
          <w:p w14:paraId="72C7DF0B" w14:textId="29936A37" w:rsidR="000379A4" w:rsidRPr="000973F2" w:rsidRDefault="000379A4" w:rsidP="000379A4">
            <w:pPr>
              <w:spacing w:before="40" w:after="4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w:t>
            </w:r>
          </w:p>
        </w:tc>
        <w:tc>
          <w:tcPr>
            <w:tcW w:w="428" w:type="pct"/>
            <w:noWrap/>
            <w:hideMark/>
          </w:tcPr>
          <w:p w14:paraId="78C4A3E0" w14:textId="1E8E5505" w:rsidR="000379A4" w:rsidRPr="000973F2" w:rsidRDefault="000379A4" w:rsidP="000379A4">
            <w:pPr>
              <w:spacing w:before="40" w:after="4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w:t>
            </w:r>
          </w:p>
        </w:tc>
        <w:tc>
          <w:tcPr>
            <w:tcW w:w="428" w:type="pct"/>
            <w:noWrap/>
            <w:hideMark/>
          </w:tcPr>
          <w:p w14:paraId="2ACFC462" w14:textId="70AD57F1" w:rsidR="000379A4" w:rsidRPr="000973F2" w:rsidRDefault="000379A4" w:rsidP="000379A4">
            <w:pPr>
              <w:spacing w:before="40" w:after="4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w:t>
            </w:r>
          </w:p>
        </w:tc>
        <w:tc>
          <w:tcPr>
            <w:tcW w:w="428" w:type="pct"/>
            <w:noWrap/>
            <w:hideMark/>
          </w:tcPr>
          <w:p w14:paraId="7FADAEC0" w14:textId="20A9559B" w:rsidR="000379A4" w:rsidRPr="000973F2" w:rsidRDefault="000379A4" w:rsidP="000379A4">
            <w:pPr>
              <w:tabs>
                <w:tab w:val="decimal" w:pos="310"/>
              </w:tabs>
              <w:spacing w:before="40" w:after="4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w:t>
            </w:r>
          </w:p>
        </w:tc>
        <w:tc>
          <w:tcPr>
            <w:tcW w:w="428" w:type="pct"/>
            <w:noWrap/>
            <w:hideMark/>
          </w:tcPr>
          <w:p w14:paraId="45160312" w14:textId="5FD8A9AA" w:rsidR="000379A4" w:rsidRPr="000973F2" w:rsidRDefault="000379A4" w:rsidP="000379A4">
            <w:pPr>
              <w:tabs>
                <w:tab w:val="decimal" w:pos="310"/>
              </w:tabs>
              <w:spacing w:before="40" w:after="4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w:t>
            </w:r>
          </w:p>
        </w:tc>
        <w:tc>
          <w:tcPr>
            <w:tcW w:w="428" w:type="pct"/>
            <w:noWrap/>
            <w:hideMark/>
          </w:tcPr>
          <w:p w14:paraId="7880A52C" w14:textId="77E718DC" w:rsidR="000379A4" w:rsidRPr="000973F2" w:rsidRDefault="000379A4" w:rsidP="000379A4">
            <w:pPr>
              <w:spacing w:before="40" w:after="4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w:t>
            </w:r>
          </w:p>
        </w:tc>
        <w:tc>
          <w:tcPr>
            <w:tcW w:w="431" w:type="pct"/>
            <w:noWrap/>
            <w:hideMark/>
          </w:tcPr>
          <w:p w14:paraId="7A4D8ECE" w14:textId="7545FE3C" w:rsidR="000379A4" w:rsidRPr="000973F2" w:rsidRDefault="000379A4" w:rsidP="000379A4">
            <w:pPr>
              <w:spacing w:before="40" w:after="4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w:t>
            </w:r>
          </w:p>
        </w:tc>
        <w:tc>
          <w:tcPr>
            <w:tcW w:w="454" w:type="pct"/>
            <w:noWrap/>
            <w:hideMark/>
          </w:tcPr>
          <w:p w14:paraId="0C6C5E90" w14:textId="7894819B" w:rsidR="000379A4" w:rsidRPr="000973F2" w:rsidRDefault="000379A4" w:rsidP="000379A4">
            <w:pPr>
              <w:tabs>
                <w:tab w:val="decimal" w:pos="493"/>
              </w:tabs>
              <w:spacing w:before="40" w:after="4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w:t>
            </w:r>
          </w:p>
        </w:tc>
        <w:tc>
          <w:tcPr>
            <w:tcW w:w="452" w:type="pct"/>
            <w:noWrap/>
            <w:hideMark/>
          </w:tcPr>
          <w:p w14:paraId="3474792E" w14:textId="65320021" w:rsidR="000379A4" w:rsidRPr="000973F2" w:rsidRDefault="000379A4" w:rsidP="000379A4">
            <w:pPr>
              <w:tabs>
                <w:tab w:val="decimal" w:pos="493"/>
              </w:tabs>
              <w:spacing w:before="40" w:after="4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w:t>
            </w:r>
          </w:p>
        </w:tc>
      </w:tr>
      <w:tr w:rsidR="0001781A" w:rsidRPr="000973F2" w14:paraId="6F18F778" w14:textId="77777777" w:rsidTr="000379A4">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667" w:type="pct"/>
            <w:noWrap/>
            <w:tcMar>
              <w:right w:w="14" w:type="dxa"/>
            </w:tcMar>
            <w:hideMark/>
          </w:tcPr>
          <w:p w14:paraId="4FD1C1DB" w14:textId="77777777" w:rsidR="0001781A" w:rsidRPr="000973F2" w:rsidRDefault="0001781A" w:rsidP="00367B6B">
            <w:pPr>
              <w:spacing w:before="40" w:after="40"/>
              <w:rPr>
                <w:rFonts w:ascii="Times New Roman" w:eastAsia="Times New Roman" w:hAnsi="Times New Roman" w:cs="Times New Roman"/>
                <w:b/>
                <w:bCs w:val="0"/>
                <w:sz w:val="18"/>
                <w:szCs w:val="18"/>
              </w:rPr>
            </w:pPr>
            <w:r w:rsidRPr="000973F2">
              <w:rPr>
                <w:rFonts w:ascii="Times New Roman" w:eastAsia="Times New Roman" w:hAnsi="Times New Roman" w:cs="Times New Roman"/>
                <w:b/>
                <w:sz w:val="18"/>
                <w:szCs w:val="18"/>
              </w:rPr>
              <w:t>Total</w:t>
            </w:r>
          </w:p>
        </w:tc>
        <w:tc>
          <w:tcPr>
            <w:tcW w:w="428" w:type="pct"/>
            <w:noWrap/>
            <w:hideMark/>
          </w:tcPr>
          <w:p w14:paraId="3D06CF71" w14:textId="77777777" w:rsidR="0001781A" w:rsidRPr="000973F2" w:rsidRDefault="0001781A" w:rsidP="00367B6B">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18"/>
                <w:szCs w:val="18"/>
              </w:rPr>
            </w:pPr>
            <w:r w:rsidRPr="000973F2">
              <w:rPr>
                <w:rFonts w:ascii="Times New Roman" w:eastAsia="Times New Roman" w:hAnsi="Times New Roman" w:cs="Times New Roman"/>
                <w:b/>
                <w:bCs/>
                <w:sz w:val="18"/>
                <w:szCs w:val="18"/>
              </w:rPr>
              <w:t>0</w:t>
            </w:r>
          </w:p>
        </w:tc>
        <w:tc>
          <w:tcPr>
            <w:tcW w:w="428" w:type="pct"/>
            <w:noWrap/>
            <w:hideMark/>
          </w:tcPr>
          <w:p w14:paraId="4950F692" w14:textId="77777777" w:rsidR="0001781A" w:rsidRPr="000973F2" w:rsidRDefault="0001781A" w:rsidP="00367B6B">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18"/>
                <w:szCs w:val="18"/>
              </w:rPr>
            </w:pPr>
            <w:r w:rsidRPr="000973F2">
              <w:rPr>
                <w:rFonts w:ascii="Times New Roman" w:eastAsia="Times New Roman" w:hAnsi="Times New Roman" w:cs="Times New Roman"/>
                <w:b/>
                <w:bCs/>
                <w:sz w:val="18"/>
                <w:szCs w:val="18"/>
              </w:rPr>
              <w:t>0</w:t>
            </w:r>
          </w:p>
        </w:tc>
        <w:tc>
          <w:tcPr>
            <w:tcW w:w="428" w:type="pct"/>
            <w:noWrap/>
            <w:hideMark/>
          </w:tcPr>
          <w:p w14:paraId="421014AF" w14:textId="77777777" w:rsidR="0001781A" w:rsidRPr="000973F2" w:rsidRDefault="0001781A" w:rsidP="00367B6B">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18"/>
                <w:szCs w:val="18"/>
              </w:rPr>
            </w:pPr>
            <w:r w:rsidRPr="000973F2">
              <w:rPr>
                <w:rFonts w:ascii="Times New Roman" w:eastAsia="Times New Roman" w:hAnsi="Times New Roman" w:cs="Times New Roman"/>
                <w:b/>
                <w:bCs/>
                <w:sz w:val="18"/>
                <w:szCs w:val="18"/>
              </w:rPr>
              <w:t>0</w:t>
            </w:r>
          </w:p>
        </w:tc>
        <w:tc>
          <w:tcPr>
            <w:tcW w:w="428" w:type="pct"/>
            <w:noWrap/>
            <w:hideMark/>
          </w:tcPr>
          <w:p w14:paraId="7DF648A6" w14:textId="77777777" w:rsidR="0001781A" w:rsidRPr="000973F2" w:rsidRDefault="0001781A" w:rsidP="00367B6B">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18"/>
                <w:szCs w:val="18"/>
              </w:rPr>
            </w:pPr>
            <w:r w:rsidRPr="000973F2">
              <w:rPr>
                <w:rFonts w:ascii="Times New Roman" w:eastAsia="Times New Roman" w:hAnsi="Times New Roman" w:cs="Times New Roman"/>
                <w:b/>
                <w:bCs/>
                <w:sz w:val="18"/>
                <w:szCs w:val="18"/>
              </w:rPr>
              <w:t>0</w:t>
            </w:r>
          </w:p>
        </w:tc>
        <w:tc>
          <w:tcPr>
            <w:tcW w:w="428" w:type="pct"/>
            <w:noWrap/>
            <w:hideMark/>
          </w:tcPr>
          <w:p w14:paraId="6C4E08A8" w14:textId="77777777" w:rsidR="0001781A" w:rsidRPr="000973F2" w:rsidRDefault="0001781A" w:rsidP="00367B6B">
            <w:pPr>
              <w:tabs>
                <w:tab w:val="decimal" w:pos="310"/>
              </w:tabs>
              <w:spacing w:before="40" w:after="4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18"/>
                <w:szCs w:val="18"/>
              </w:rPr>
            </w:pPr>
            <w:r w:rsidRPr="000973F2">
              <w:rPr>
                <w:rFonts w:ascii="Times New Roman" w:eastAsia="Times New Roman" w:hAnsi="Times New Roman" w:cs="Times New Roman"/>
                <w:b/>
                <w:bCs/>
                <w:sz w:val="18"/>
                <w:szCs w:val="18"/>
              </w:rPr>
              <w:t>68.5</w:t>
            </w:r>
          </w:p>
        </w:tc>
        <w:tc>
          <w:tcPr>
            <w:tcW w:w="428" w:type="pct"/>
            <w:noWrap/>
            <w:hideMark/>
          </w:tcPr>
          <w:p w14:paraId="08AEF4B8" w14:textId="77777777" w:rsidR="0001781A" w:rsidRPr="000973F2" w:rsidRDefault="0001781A" w:rsidP="00367B6B">
            <w:pPr>
              <w:tabs>
                <w:tab w:val="decimal" w:pos="310"/>
              </w:tabs>
              <w:spacing w:before="40" w:after="4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18"/>
                <w:szCs w:val="18"/>
              </w:rPr>
            </w:pPr>
            <w:r w:rsidRPr="000973F2">
              <w:rPr>
                <w:rFonts w:ascii="Times New Roman" w:eastAsia="Times New Roman" w:hAnsi="Times New Roman" w:cs="Times New Roman"/>
                <w:b/>
                <w:bCs/>
                <w:sz w:val="18"/>
                <w:szCs w:val="18"/>
              </w:rPr>
              <w:t>68.5</w:t>
            </w:r>
          </w:p>
        </w:tc>
        <w:tc>
          <w:tcPr>
            <w:tcW w:w="428" w:type="pct"/>
            <w:noWrap/>
            <w:hideMark/>
          </w:tcPr>
          <w:p w14:paraId="3AEEE8AC" w14:textId="77777777" w:rsidR="0001781A" w:rsidRPr="000973F2" w:rsidRDefault="0001781A" w:rsidP="00367B6B">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18"/>
                <w:szCs w:val="18"/>
              </w:rPr>
            </w:pPr>
            <w:r w:rsidRPr="000973F2">
              <w:rPr>
                <w:rFonts w:ascii="Times New Roman" w:eastAsia="Times New Roman" w:hAnsi="Times New Roman" w:cs="Times New Roman"/>
                <w:b/>
                <w:bCs/>
                <w:sz w:val="18"/>
                <w:szCs w:val="18"/>
              </w:rPr>
              <w:t>0</w:t>
            </w:r>
          </w:p>
        </w:tc>
        <w:tc>
          <w:tcPr>
            <w:tcW w:w="431" w:type="pct"/>
            <w:noWrap/>
            <w:hideMark/>
          </w:tcPr>
          <w:p w14:paraId="7A60E04E" w14:textId="77777777" w:rsidR="0001781A" w:rsidRPr="000973F2" w:rsidRDefault="0001781A" w:rsidP="00367B6B">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18"/>
                <w:szCs w:val="18"/>
              </w:rPr>
            </w:pPr>
            <w:r w:rsidRPr="000973F2">
              <w:rPr>
                <w:rFonts w:ascii="Times New Roman" w:eastAsia="Times New Roman" w:hAnsi="Times New Roman" w:cs="Times New Roman"/>
                <w:b/>
                <w:bCs/>
                <w:sz w:val="18"/>
                <w:szCs w:val="18"/>
              </w:rPr>
              <w:t>0</w:t>
            </w:r>
          </w:p>
        </w:tc>
        <w:tc>
          <w:tcPr>
            <w:tcW w:w="454" w:type="pct"/>
            <w:noWrap/>
            <w:hideMark/>
          </w:tcPr>
          <w:p w14:paraId="7189F7A9" w14:textId="68B0FFF3" w:rsidR="0001781A" w:rsidRPr="000973F2" w:rsidRDefault="0001781A" w:rsidP="00367B6B">
            <w:pPr>
              <w:tabs>
                <w:tab w:val="decimal" w:pos="493"/>
              </w:tabs>
              <w:spacing w:before="40" w:after="4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18"/>
                <w:szCs w:val="18"/>
              </w:rPr>
            </w:pPr>
            <w:r w:rsidRPr="000973F2">
              <w:rPr>
                <w:rFonts w:ascii="Times New Roman" w:eastAsia="Times New Roman" w:hAnsi="Times New Roman" w:cs="Times New Roman"/>
                <w:b/>
                <w:bCs/>
                <w:sz w:val="18"/>
                <w:szCs w:val="18"/>
              </w:rPr>
              <w:t>$4,895</w:t>
            </w:r>
          </w:p>
        </w:tc>
        <w:tc>
          <w:tcPr>
            <w:tcW w:w="452" w:type="pct"/>
            <w:noWrap/>
            <w:hideMark/>
          </w:tcPr>
          <w:p w14:paraId="54EEFAD1" w14:textId="480AFDA2" w:rsidR="0001781A" w:rsidRPr="000973F2" w:rsidRDefault="0001781A" w:rsidP="00367B6B">
            <w:pPr>
              <w:tabs>
                <w:tab w:val="decimal" w:pos="493"/>
              </w:tabs>
              <w:spacing w:before="40" w:after="4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18"/>
                <w:szCs w:val="18"/>
              </w:rPr>
            </w:pPr>
            <w:r w:rsidRPr="000973F2">
              <w:rPr>
                <w:rFonts w:ascii="Times New Roman" w:eastAsia="Times New Roman" w:hAnsi="Times New Roman" w:cs="Times New Roman"/>
                <w:b/>
                <w:bCs/>
                <w:sz w:val="18"/>
                <w:szCs w:val="18"/>
              </w:rPr>
              <w:t>$4,895</w:t>
            </w:r>
          </w:p>
        </w:tc>
      </w:tr>
    </w:tbl>
    <w:p w14:paraId="2BDAA4BD" w14:textId="77777777" w:rsidR="0001781A" w:rsidRPr="000973F2" w:rsidRDefault="0001781A" w:rsidP="00C00E4F">
      <w:pPr>
        <w:pStyle w:val="AfterTable"/>
      </w:pPr>
    </w:p>
    <w:p w14:paraId="7DEEC118" w14:textId="77777777" w:rsidR="0001781A" w:rsidRPr="000973F2" w:rsidRDefault="0001781A" w:rsidP="00C00E4F">
      <w:pPr>
        <w:pStyle w:val="TableName"/>
        <w:spacing w:line="240" w:lineRule="auto"/>
      </w:pPr>
      <w:r w:rsidRPr="000973F2">
        <w:br w:type="page"/>
      </w:r>
    </w:p>
    <w:p w14:paraId="4B72BF23" w14:textId="7D8BBAEE" w:rsidR="0001781A" w:rsidRPr="000973F2" w:rsidRDefault="0001781A" w:rsidP="00C52DF4">
      <w:pPr>
        <w:pStyle w:val="Tabletitle"/>
      </w:pPr>
      <w:r w:rsidRPr="000973F2">
        <w:t xml:space="preserve">Table </w:t>
      </w:r>
      <w:r w:rsidR="000D7DE6" w:rsidRPr="000973F2">
        <w:t>C-</w:t>
      </w:r>
      <w:r w:rsidRPr="000973F2">
        <w:t>2e. Labor Costs</w:t>
      </w:r>
      <w:r w:rsidR="00CC6C17" w:rsidRPr="000973F2">
        <w:t xml:space="preserve"> – </w:t>
      </w:r>
      <w:r w:rsidRPr="000973F2">
        <w:t>Subpart C</w:t>
      </w:r>
      <w:r w:rsidR="00CC6C17" w:rsidRPr="000973F2">
        <w:t xml:space="preserve"> – </w:t>
      </w:r>
      <w:r w:rsidRPr="000973F2">
        <w:t>Facilities reporting using Tier 4</w:t>
      </w:r>
    </w:p>
    <w:p w14:paraId="0C1B80A7" w14:textId="77777777" w:rsidR="0001781A" w:rsidRPr="000973F2" w:rsidRDefault="0001781A" w:rsidP="00C00E4F">
      <w:pPr>
        <w:rPr>
          <w:i/>
        </w:rPr>
      </w:pPr>
      <w:r w:rsidRPr="000973F2">
        <w:rPr>
          <w:rFonts w:ascii="Times New Roman" w:hAnsi="Times New Roman" w:cs="Times New Roman"/>
          <w:i/>
        </w:rPr>
        <w:t>Subpart C only</w:t>
      </w:r>
    </w:p>
    <w:tbl>
      <w:tblPr>
        <w:tblStyle w:val="PlainTable1"/>
        <w:tblW w:w="5000" w:type="pct"/>
        <w:jc w:val="left"/>
        <w:tblLayout w:type="fixed"/>
        <w:tblCellMar>
          <w:left w:w="115" w:type="dxa"/>
          <w:right w:w="115" w:type="dxa"/>
        </w:tblCellMar>
        <w:tblLook w:val="04A0" w:firstRow="1" w:lastRow="0" w:firstColumn="1" w:lastColumn="0" w:noHBand="0" w:noVBand="1"/>
      </w:tblPr>
      <w:tblGrid>
        <w:gridCol w:w="1372"/>
        <w:gridCol w:w="810"/>
        <w:gridCol w:w="818"/>
        <w:gridCol w:w="809"/>
        <w:gridCol w:w="809"/>
        <w:gridCol w:w="809"/>
        <w:gridCol w:w="809"/>
        <w:gridCol w:w="809"/>
        <w:gridCol w:w="809"/>
        <w:gridCol w:w="871"/>
        <w:gridCol w:w="865"/>
      </w:tblGrid>
      <w:tr w:rsidR="0001781A" w:rsidRPr="000973F2" w14:paraId="5CF384B8" w14:textId="77777777" w:rsidTr="000379A4">
        <w:trPr>
          <w:cnfStyle w:val="100000000000" w:firstRow="1" w:lastRow="0" w:firstColumn="0" w:lastColumn="0" w:oddVBand="0" w:evenVBand="0" w:oddHBand="0" w:evenHBand="0" w:firstRowFirstColumn="0" w:firstRowLastColumn="0" w:lastRowFirstColumn="0" w:lastRowLastColumn="0"/>
          <w:cantSplit/>
          <w:jc w:val="left"/>
        </w:trPr>
        <w:tc>
          <w:tcPr>
            <w:cnfStyle w:val="001000000000" w:firstRow="0" w:lastRow="0" w:firstColumn="1" w:lastColumn="0" w:oddVBand="0" w:evenVBand="0" w:oddHBand="0" w:evenHBand="0" w:firstRowFirstColumn="0" w:firstRowLastColumn="0" w:lastRowFirstColumn="0" w:lastRowLastColumn="0"/>
            <w:tcW w:w="715" w:type="pct"/>
            <w:vMerge w:val="restart"/>
            <w:noWrap/>
            <w:vAlign w:val="top"/>
            <w:hideMark/>
          </w:tcPr>
          <w:p w14:paraId="16233F77" w14:textId="77777777" w:rsidR="0001781A" w:rsidRPr="000973F2" w:rsidRDefault="0001781A" w:rsidP="008D49C3">
            <w:pPr>
              <w:spacing w:before="40" w:after="40"/>
              <w:rPr>
                <w:rFonts w:ascii="Times New Roman" w:eastAsia="Times New Roman" w:hAnsi="Times New Roman" w:cs="Times New Roman"/>
                <w:b w:val="0"/>
                <w:bCs w:val="0"/>
                <w:sz w:val="18"/>
                <w:szCs w:val="18"/>
              </w:rPr>
            </w:pPr>
            <w:r w:rsidRPr="000973F2">
              <w:rPr>
                <w:rFonts w:ascii="Times New Roman" w:eastAsia="Times New Roman" w:hAnsi="Times New Roman" w:cs="Times New Roman"/>
                <w:sz w:val="18"/>
                <w:szCs w:val="18"/>
              </w:rPr>
              <w:t>Activity</w:t>
            </w:r>
          </w:p>
        </w:tc>
        <w:tc>
          <w:tcPr>
            <w:tcW w:w="3379" w:type="pct"/>
            <w:gridSpan w:val="8"/>
            <w:noWrap/>
            <w:vAlign w:val="top"/>
            <w:hideMark/>
          </w:tcPr>
          <w:p w14:paraId="614685EE" w14:textId="77777777" w:rsidR="0001781A" w:rsidRPr="000973F2" w:rsidRDefault="0001781A" w:rsidP="008D49C3">
            <w:pPr>
              <w:spacing w:before="40" w:after="40"/>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bCs w:val="0"/>
                <w:sz w:val="18"/>
                <w:szCs w:val="18"/>
              </w:rPr>
            </w:pPr>
            <w:r w:rsidRPr="000973F2">
              <w:rPr>
                <w:rFonts w:ascii="Times New Roman" w:eastAsia="Times New Roman" w:hAnsi="Times New Roman" w:cs="Times New Roman"/>
                <w:sz w:val="18"/>
                <w:szCs w:val="18"/>
              </w:rPr>
              <w:t>Labor Rates (per hour)</w:t>
            </w:r>
          </w:p>
        </w:tc>
        <w:tc>
          <w:tcPr>
            <w:tcW w:w="906" w:type="pct"/>
            <w:gridSpan w:val="2"/>
            <w:vMerge w:val="restart"/>
            <w:vAlign w:val="top"/>
            <w:hideMark/>
          </w:tcPr>
          <w:p w14:paraId="698CE329" w14:textId="77777777" w:rsidR="0001781A" w:rsidRPr="000973F2" w:rsidRDefault="0001781A" w:rsidP="008D49C3">
            <w:pPr>
              <w:spacing w:before="40" w:after="40"/>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bCs w:val="0"/>
                <w:sz w:val="18"/>
                <w:szCs w:val="18"/>
              </w:rPr>
            </w:pPr>
            <w:r w:rsidRPr="000973F2">
              <w:rPr>
                <w:rFonts w:ascii="Times New Roman" w:eastAsia="Times New Roman" w:hAnsi="Times New Roman" w:cs="Times New Roman"/>
                <w:sz w:val="18"/>
                <w:szCs w:val="18"/>
              </w:rPr>
              <w:t>Total Labor Cost per Year per Facility (2017$)</w:t>
            </w:r>
          </w:p>
        </w:tc>
      </w:tr>
      <w:tr w:rsidR="0001781A" w:rsidRPr="000973F2" w14:paraId="397CF273" w14:textId="77777777" w:rsidTr="000379A4">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715" w:type="pct"/>
            <w:vMerge/>
            <w:hideMark/>
          </w:tcPr>
          <w:p w14:paraId="0537651C" w14:textId="77777777" w:rsidR="0001781A" w:rsidRPr="000973F2" w:rsidRDefault="0001781A" w:rsidP="008D49C3">
            <w:pPr>
              <w:spacing w:before="40" w:after="40"/>
              <w:rPr>
                <w:rFonts w:ascii="Times New Roman" w:eastAsia="Times New Roman" w:hAnsi="Times New Roman" w:cs="Times New Roman"/>
                <w:b/>
                <w:bCs w:val="0"/>
                <w:sz w:val="18"/>
                <w:szCs w:val="18"/>
              </w:rPr>
            </w:pPr>
          </w:p>
        </w:tc>
        <w:tc>
          <w:tcPr>
            <w:tcW w:w="848" w:type="pct"/>
            <w:gridSpan w:val="2"/>
            <w:noWrap/>
            <w:hideMark/>
          </w:tcPr>
          <w:p w14:paraId="392E839E" w14:textId="77777777" w:rsidR="0001781A" w:rsidRPr="000973F2" w:rsidRDefault="0001781A" w:rsidP="008D49C3">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18"/>
                <w:szCs w:val="18"/>
              </w:rPr>
            </w:pPr>
            <w:r w:rsidRPr="000973F2">
              <w:rPr>
                <w:rFonts w:ascii="Times New Roman" w:eastAsia="Times New Roman" w:hAnsi="Times New Roman" w:cs="Times New Roman"/>
                <w:b/>
                <w:bCs/>
                <w:sz w:val="18"/>
                <w:szCs w:val="18"/>
              </w:rPr>
              <w:t>Lawyer</w:t>
            </w:r>
          </w:p>
        </w:tc>
        <w:tc>
          <w:tcPr>
            <w:tcW w:w="844" w:type="pct"/>
            <w:gridSpan w:val="2"/>
            <w:noWrap/>
            <w:hideMark/>
          </w:tcPr>
          <w:p w14:paraId="487C10D3" w14:textId="77777777" w:rsidR="0001781A" w:rsidRPr="000973F2" w:rsidRDefault="0001781A" w:rsidP="008D49C3">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18"/>
                <w:szCs w:val="18"/>
              </w:rPr>
            </w:pPr>
            <w:r w:rsidRPr="000973F2">
              <w:rPr>
                <w:rFonts w:ascii="Times New Roman" w:eastAsia="Times New Roman" w:hAnsi="Times New Roman" w:cs="Times New Roman"/>
                <w:b/>
                <w:bCs/>
                <w:sz w:val="18"/>
                <w:szCs w:val="18"/>
              </w:rPr>
              <w:t>Industrial Manager</w:t>
            </w:r>
          </w:p>
        </w:tc>
        <w:tc>
          <w:tcPr>
            <w:tcW w:w="844" w:type="pct"/>
            <w:gridSpan w:val="2"/>
            <w:hideMark/>
          </w:tcPr>
          <w:p w14:paraId="5A9E52FB" w14:textId="231013F8" w:rsidR="0001781A" w:rsidRPr="000973F2" w:rsidRDefault="0001781A" w:rsidP="008D49C3">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18"/>
                <w:szCs w:val="18"/>
              </w:rPr>
            </w:pPr>
            <w:r w:rsidRPr="000973F2">
              <w:rPr>
                <w:rFonts w:ascii="Times New Roman" w:eastAsia="Times New Roman" w:hAnsi="Times New Roman" w:cs="Times New Roman"/>
                <w:b/>
                <w:bCs/>
                <w:sz w:val="18"/>
                <w:szCs w:val="18"/>
              </w:rPr>
              <w:t>Industrial Engineer/</w:t>
            </w:r>
            <w:r w:rsidR="008D49C3" w:rsidRPr="000973F2">
              <w:rPr>
                <w:rFonts w:ascii="Times New Roman" w:eastAsia="Times New Roman" w:hAnsi="Times New Roman" w:cs="Times New Roman"/>
                <w:b/>
                <w:bCs/>
                <w:sz w:val="18"/>
                <w:szCs w:val="18"/>
              </w:rPr>
              <w:t xml:space="preserve"> </w:t>
            </w:r>
            <w:r w:rsidRPr="000973F2">
              <w:rPr>
                <w:rFonts w:ascii="Times New Roman" w:eastAsia="Times New Roman" w:hAnsi="Times New Roman" w:cs="Times New Roman"/>
                <w:b/>
                <w:bCs/>
                <w:sz w:val="18"/>
                <w:szCs w:val="18"/>
              </w:rPr>
              <w:t>Technician</w:t>
            </w:r>
          </w:p>
        </w:tc>
        <w:tc>
          <w:tcPr>
            <w:tcW w:w="844" w:type="pct"/>
            <w:gridSpan w:val="2"/>
            <w:hideMark/>
          </w:tcPr>
          <w:p w14:paraId="06E24958" w14:textId="77777777" w:rsidR="0001781A" w:rsidRPr="000973F2" w:rsidRDefault="0001781A" w:rsidP="008D49C3">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18"/>
                <w:szCs w:val="18"/>
              </w:rPr>
            </w:pPr>
            <w:r w:rsidRPr="000973F2">
              <w:rPr>
                <w:rFonts w:ascii="Times New Roman" w:eastAsia="Times New Roman" w:hAnsi="Times New Roman" w:cs="Times New Roman"/>
                <w:b/>
                <w:bCs/>
                <w:sz w:val="18"/>
                <w:szCs w:val="18"/>
              </w:rPr>
              <w:t>Administrative Support</w:t>
            </w:r>
          </w:p>
        </w:tc>
        <w:tc>
          <w:tcPr>
            <w:tcW w:w="906" w:type="pct"/>
            <w:gridSpan w:val="2"/>
            <w:vMerge/>
            <w:hideMark/>
          </w:tcPr>
          <w:p w14:paraId="3224667F" w14:textId="77777777" w:rsidR="0001781A" w:rsidRPr="000973F2" w:rsidRDefault="0001781A" w:rsidP="008D49C3">
            <w:pPr>
              <w:spacing w:before="40" w:after="4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18"/>
                <w:szCs w:val="18"/>
              </w:rPr>
            </w:pPr>
          </w:p>
        </w:tc>
      </w:tr>
      <w:tr w:rsidR="0001781A" w:rsidRPr="000973F2" w14:paraId="54FC897C" w14:textId="77777777" w:rsidTr="000379A4">
        <w:trPr>
          <w:cantSplit/>
        </w:trPr>
        <w:tc>
          <w:tcPr>
            <w:cnfStyle w:val="001000000000" w:firstRow="0" w:lastRow="0" w:firstColumn="1" w:lastColumn="0" w:oddVBand="0" w:evenVBand="0" w:oddHBand="0" w:evenHBand="0" w:firstRowFirstColumn="0" w:firstRowLastColumn="0" w:lastRowFirstColumn="0" w:lastRowLastColumn="0"/>
            <w:tcW w:w="715" w:type="pct"/>
            <w:vMerge/>
            <w:hideMark/>
          </w:tcPr>
          <w:p w14:paraId="096DF73A" w14:textId="77777777" w:rsidR="0001781A" w:rsidRPr="000973F2" w:rsidRDefault="0001781A" w:rsidP="008D49C3">
            <w:pPr>
              <w:spacing w:before="40" w:after="40"/>
              <w:rPr>
                <w:rFonts w:ascii="Times New Roman" w:eastAsia="Times New Roman" w:hAnsi="Times New Roman" w:cs="Times New Roman"/>
                <w:b/>
                <w:bCs w:val="0"/>
                <w:sz w:val="18"/>
                <w:szCs w:val="18"/>
              </w:rPr>
            </w:pPr>
          </w:p>
        </w:tc>
        <w:tc>
          <w:tcPr>
            <w:tcW w:w="848" w:type="pct"/>
            <w:gridSpan w:val="2"/>
            <w:noWrap/>
            <w:hideMark/>
          </w:tcPr>
          <w:p w14:paraId="5AB2308E" w14:textId="77777777" w:rsidR="0001781A" w:rsidRPr="000973F2" w:rsidRDefault="0001781A" w:rsidP="008D49C3">
            <w:pPr>
              <w:spacing w:before="40" w:after="4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sz w:val="18"/>
                <w:szCs w:val="18"/>
              </w:rPr>
            </w:pPr>
            <w:r w:rsidRPr="000973F2">
              <w:rPr>
                <w:rFonts w:ascii="Times New Roman" w:eastAsia="Times New Roman" w:hAnsi="Times New Roman" w:cs="Times New Roman"/>
                <w:b/>
                <w:bCs/>
                <w:sz w:val="18"/>
                <w:szCs w:val="18"/>
              </w:rPr>
              <w:t xml:space="preserve">$112.23 </w:t>
            </w:r>
          </w:p>
        </w:tc>
        <w:tc>
          <w:tcPr>
            <w:tcW w:w="844" w:type="pct"/>
            <w:gridSpan w:val="2"/>
            <w:noWrap/>
            <w:hideMark/>
          </w:tcPr>
          <w:p w14:paraId="00FD922E" w14:textId="77777777" w:rsidR="0001781A" w:rsidRPr="000973F2" w:rsidRDefault="0001781A" w:rsidP="008D49C3">
            <w:pPr>
              <w:spacing w:before="40" w:after="4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sz w:val="18"/>
                <w:szCs w:val="18"/>
              </w:rPr>
            </w:pPr>
            <w:r w:rsidRPr="000973F2">
              <w:rPr>
                <w:rFonts w:ascii="Times New Roman" w:eastAsia="Times New Roman" w:hAnsi="Times New Roman" w:cs="Times New Roman"/>
                <w:b/>
                <w:bCs/>
                <w:sz w:val="18"/>
                <w:szCs w:val="18"/>
              </w:rPr>
              <w:t xml:space="preserve">$87.45 </w:t>
            </w:r>
          </w:p>
        </w:tc>
        <w:tc>
          <w:tcPr>
            <w:tcW w:w="844" w:type="pct"/>
            <w:gridSpan w:val="2"/>
            <w:noWrap/>
            <w:hideMark/>
          </w:tcPr>
          <w:p w14:paraId="1ADD92FB" w14:textId="77777777" w:rsidR="0001781A" w:rsidRPr="000973F2" w:rsidRDefault="0001781A" w:rsidP="008D49C3">
            <w:pPr>
              <w:spacing w:before="40" w:after="4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sz w:val="18"/>
                <w:szCs w:val="18"/>
              </w:rPr>
            </w:pPr>
            <w:r w:rsidRPr="000973F2">
              <w:rPr>
                <w:rFonts w:ascii="Times New Roman" w:eastAsia="Times New Roman" w:hAnsi="Times New Roman" w:cs="Times New Roman"/>
                <w:b/>
                <w:bCs/>
                <w:sz w:val="18"/>
                <w:szCs w:val="18"/>
              </w:rPr>
              <w:t xml:space="preserve">$71.45 </w:t>
            </w:r>
          </w:p>
        </w:tc>
        <w:tc>
          <w:tcPr>
            <w:tcW w:w="844" w:type="pct"/>
            <w:gridSpan w:val="2"/>
            <w:noWrap/>
            <w:hideMark/>
          </w:tcPr>
          <w:p w14:paraId="415C575D" w14:textId="77777777" w:rsidR="0001781A" w:rsidRPr="000973F2" w:rsidRDefault="0001781A" w:rsidP="008D49C3">
            <w:pPr>
              <w:spacing w:before="40" w:after="4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sz w:val="18"/>
                <w:szCs w:val="18"/>
              </w:rPr>
            </w:pPr>
            <w:r w:rsidRPr="000973F2">
              <w:rPr>
                <w:rFonts w:ascii="Times New Roman" w:eastAsia="Times New Roman" w:hAnsi="Times New Roman" w:cs="Times New Roman"/>
                <w:b/>
                <w:bCs/>
                <w:sz w:val="18"/>
                <w:szCs w:val="18"/>
              </w:rPr>
              <w:t xml:space="preserve">$36.28 </w:t>
            </w:r>
          </w:p>
        </w:tc>
        <w:tc>
          <w:tcPr>
            <w:tcW w:w="906" w:type="pct"/>
            <w:gridSpan w:val="2"/>
            <w:vMerge/>
            <w:hideMark/>
          </w:tcPr>
          <w:p w14:paraId="0E906843" w14:textId="77777777" w:rsidR="0001781A" w:rsidRPr="000973F2" w:rsidRDefault="0001781A" w:rsidP="008D49C3">
            <w:pPr>
              <w:spacing w:before="40" w:after="4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sz w:val="18"/>
                <w:szCs w:val="18"/>
              </w:rPr>
            </w:pPr>
          </w:p>
        </w:tc>
      </w:tr>
      <w:tr w:rsidR="008D49C3" w:rsidRPr="000973F2" w14:paraId="525BAC97" w14:textId="77777777" w:rsidTr="000379A4">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715" w:type="pct"/>
            <w:vMerge/>
            <w:hideMark/>
          </w:tcPr>
          <w:p w14:paraId="77334E42" w14:textId="77777777" w:rsidR="0001781A" w:rsidRPr="000973F2" w:rsidRDefault="0001781A" w:rsidP="008D49C3">
            <w:pPr>
              <w:spacing w:before="40" w:after="40"/>
              <w:rPr>
                <w:rFonts w:ascii="Times New Roman" w:eastAsia="Times New Roman" w:hAnsi="Times New Roman" w:cs="Times New Roman"/>
                <w:b/>
                <w:bCs w:val="0"/>
                <w:sz w:val="18"/>
                <w:szCs w:val="18"/>
              </w:rPr>
            </w:pPr>
          </w:p>
        </w:tc>
        <w:tc>
          <w:tcPr>
            <w:tcW w:w="422" w:type="pct"/>
            <w:tcMar>
              <w:left w:w="14" w:type="dxa"/>
              <w:right w:w="14" w:type="dxa"/>
            </w:tcMar>
            <w:hideMark/>
          </w:tcPr>
          <w:p w14:paraId="00857AC6" w14:textId="4808C6D6" w:rsidR="0001781A" w:rsidRPr="000973F2" w:rsidRDefault="00A43381" w:rsidP="008D49C3">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18"/>
                <w:szCs w:val="18"/>
              </w:rPr>
            </w:pPr>
            <w:r w:rsidRPr="000973F2">
              <w:rPr>
                <w:rFonts w:ascii="Times New Roman" w:eastAsia="Times New Roman" w:hAnsi="Times New Roman" w:cs="Times New Roman"/>
                <w:b/>
                <w:bCs/>
                <w:sz w:val="18"/>
                <w:szCs w:val="18"/>
              </w:rPr>
              <w:t>Initial Year Hours</w:t>
            </w:r>
          </w:p>
        </w:tc>
        <w:tc>
          <w:tcPr>
            <w:tcW w:w="426" w:type="pct"/>
            <w:tcMar>
              <w:left w:w="14" w:type="dxa"/>
              <w:right w:w="14" w:type="dxa"/>
            </w:tcMar>
            <w:hideMark/>
          </w:tcPr>
          <w:p w14:paraId="3A96F5B1" w14:textId="69C18309" w:rsidR="0001781A" w:rsidRPr="000973F2" w:rsidRDefault="00A43381" w:rsidP="008D49C3">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18"/>
                <w:szCs w:val="18"/>
              </w:rPr>
            </w:pPr>
            <w:r w:rsidRPr="000973F2">
              <w:rPr>
                <w:rFonts w:ascii="Times New Roman" w:eastAsia="Times New Roman" w:hAnsi="Times New Roman" w:cs="Times New Roman"/>
                <w:b/>
                <w:bCs/>
                <w:sz w:val="18"/>
                <w:szCs w:val="18"/>
              </w:rPr>
              <w:t>Subseq. Year Hours</w:t>
            </w:r>
          </w:p>
        </w:tc>
        <w:tc>
          <w:tcPr>
            <w:tcW w:w="422" w:type="pct"/>
            <w:tcMar>
              <w:left w:w="14" w:type="dxa"/>
              <w:right w:w="14" w:type="dxa"/>
            </w:tcMar>
            <w:hideMark/>
          </w:tcPr>
          <w:p w14:paraId="0E6DAAA3" w14:textId="66F24B9C" w:rsidR="0001781A" w:rsidRPr="000973F2" w:rsidRDefault="00A43381" w:rsidP="008D49C3">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18"/>
                <w:szCs w:val="18"/>
              </w:rPr>
            </w:pPr>
            <w:r w:rsidRPr="000973F2">
              <w:rPr>
                <w:rFonts w:ascii="Times New Roman" w:eastAsia="Times New Roman" w:hAnsi="Times New Roman" w:cs="Times New Roman"/>
                <w:b/>
                <w:bCs/>
                <w:sz w:val="18"/>
                <w:szCs w:val="18"/>
              </w:rPr>
              <w:t>Initial Year Hours</w:t>
            </w:r>
          </w:p>
        </w:tc>
        <w:tc>
          <w:tcPr>
            <w:tcW w:w="422" w:type="pct"/>
            <w:tcMar>
              <w:left w:w="14" w:type="dxa"/>
              <w:right w:w="14" w:type="dxa"/>
            </w:tcMar>
            <w:hideMark/>
          </w:tcPr>
          <w:p w14:paraId="18F54983" w14:textId="2FF67463" w:rsidR="0001781A" w:rsidRPr="000973F2" w:rsidRDefault="00A43381" w:rsidP="008D49C3">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18"/>
                <w:szCs w:val="18"/>
              </w:rPr>
            </w:pPr>
            <w:r w:rsidRPr="000973F2">
              <w:rPr>
                <w:rFonts w:ascii="Times New Roman" w:eastAsia="Times New Roman" w:hAnsi="Times New Roman" w:cs="Times New Roman"/>
                <w:b/>
                <w:bCs/>
                <w:sz w:val="18"/>
                <w:szCs w:val="18"/>
              </w:rPr>
              <w:t>Subseq. Year Hours</w:t>
            </w:r>
          </w:p>
        </w:tc>
        <w:tc>
          <w:tcPr>
            <w:tcW w:w="422" w:type="pct"/>
            <w:tcMar>
              <w:left w:w="14" w:type="dxa"/>
              <w:right w:w="14" w:type="dxa"/>
            </w:tcMar>
            <w:hideMark/>
          </w:tcPr>
          <w:p w14:paraId="6C00EC27" w14:textId="07FC2928" w:rsidR="0001781A" w:rsidRPr="000973F2" w:rsidRDefault="00A43381" w:rsidP="008D49C3">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18"/>
                <w:szCs w:val="18"/>
              </w:rPr>
            </w:pPr>
            <w:r w:rsidRPr="000973F2">
              <w:rPr>
                <w:rFonts w:ascii="Times New Roman" w:eastAsia="Times New Roman" w:hAnsi="Times New Roman" w:cs="Times New Roman"/>
                <w:b/>
                <w:bCs/>
                <w:sz w:val="18"/>
                <w:szCs w:val="18"/>
              </w:rPr>
              <w:t>Initial Year Hours</w:t>
            </w:r>
          </w:p>
        </w:tc>
        <w:tc>
          <w:tcPr>
            <w:tcW w:w="422" w:type="pct"/>
            <w:tcMar>
              <w:left w:w="14" w:type="dxa"/>
              <w:right w:w="14" w:type="dxa"/>
            </w:tcMar>
            <w:hideMark/>
          </w:tcPr>
          <w:p w14:paraId="482D3DF8" w14:textId="35655985" w:rsidR="0001781A" w:rsidRPr="000973F2" w:rsidRDefault="00A43381" w:rsidP="008D49C3">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18"/>
                <w:szCs w:val="18"/>
              </w:rPr>
            </w:pPr>
            <w:r w:rsidRPr="000973F2">
              <w:rPr>
                <w:rFonts w:ascii="Times New Roman" w:eastAsia="Times New Roman" w:hAnsi="Times New Roman" w:cs="Times New Roman"/>
                <w:b/>
                <w:bCs/>
                <w:sz w:val="18"/>
                <w:szCs w:val="18"/>
              </w:rPr>
              <w:t>Subseq. Year Hours</w:t>
            </w:r>
          </w:p>
        </w:tc>
        <w:tc>
          <w:tcPr>
            <w:tcW w:w="422" w:type="pct"/>
            <w:tcMar>
              <w:left w:w="14" w:type="dxa"/>
              <w:right w:w="14" w:type="dxa"/>
            </w:tcMar>
            <w:hideMark/>
          </w:tcPr>
          <w:p w14:paraId="001EBEB0" w14:textId="3B0C95DA" w:rsidR="0001781A" w:rsidRPr="000973F2" w:rsidRDefault="00A43381" w:rsidP="008D49C3">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18"/>
                <w:szCs w:val="18"/>
              </w:rPr>
            </w:pPr>
            <w:r w:rsidRPr="000973F2">
              <w:rPr>
                <w:rFonts w:ascii="Times New Roman" w:eastAsia="Times New Roman" w:hAnsi="Times New Roman" w:cs="Times New Roman"/>
                <w:b/>
                <w:bCs/>
                <w:sz w:val="18"/>
                <w:szCs w:val="18"/>
              </w:rPr>
              <w:t>Initial Year Hours</w:t>
            </w:r>
          </w:p>
        </w:tc>
        <w:tc>
          <w:tcPr>
            <w:tcW w:w="422" w:type="pct"/>
            <w:tcMar>
              <w:left w:w="14" w:type="dxa"/>
              <w:right w:w="14" w:type="dxa"/>
            </w:tcMar>
            <w:hideMark/>
          </w:tcPr>
          <w:p w14:paraId="4F05E626" w14:textId="7B54E94B" w:rsidR="0001781A" w:rsidRPr="000973F2" w:rsidRDefault="00A43381" w:rsidP="008D49C3">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18"/>
                <w:szCs w:val="18"/>
              </w:rPr>
            </w:pPr>
            <w:r w:rsidRPr="000973F2">
              <w:rPr>
                <w:rFonts w:ascii="Times New Roman" w:eastAsia="Times New Roman" w:hAnsi="Times New Roman" w:cs="Times New Roman"/>
                <w:b/>
                <w:bCs/>
                <w:sz w:val="18"/>
                <w:szCs w:val="18"/>
              </w:rPr>
              <w:t>Subseq. Year Hours</w:t>
            </w:r>
          </w:p>
        </w:tc>
        <w:tc>
          <w:tcPr>
            <w:tcW w:w="454" w:type="pct"/>
            <w:tcMar>
              <w:left w:w="14" w:type="dxa"/>
              <w:right w:w="14" w:type="dxa"/>
            </w:tcMar>
            <w:hideMark/>
          </w:tcPr>
          <w:p w14:paraId="305B29FB" w14:textId="77777777" w:rsidR="0001781A" w:rsidRPr="000973F2" w:rsidRDefault="0001781A" w:rsidP="008D49C3">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18"/>
                <w:szCs w:val="18"/>
              </w:rPr>
            </w:pPr>
            <w:r w:rsidRPr="000973F2">
              <w:rPr>
                <w:rFonts w:ascii="Times New Roman" w:eastAsia="Times New Roman" w:hAnsi="Times New Roman" w:cs="Times New Roman"/>
                <w:b/>
                <w:bCs/>
                <w:sz w:val="18"/>
                <w:szCs w:val="18"/>
              </w:rPr>
              <w:t>Initial Year</w:t>
            </w:r>
          </w:p>
        </w:tc>
        <w:tc>
          <w:tcPr>
            <w:tcW w:w="452" w:type="pct"/>
            <w:tcMar>
              <w:left w:w="14" w:type="dxa"/>
              <w:right w:w="14" w:type="dxa"/>
            </w:tcMar>
            <w:hideMark/>
          </w:tcPr>
          <w:p w14:paraId="3466446C" w14:textId="77777777" w:rsidR="0001781A" w:rsidRPr="000973F2" w:rsidRDefault="0001781A" w:rsidP="008D49C3">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18"/>
                <w:szCs w:val="18"/>
              </w:rPr>
            </w:pPr>
            <w:r w:rsidRPr="000973F2">
              <w:rPr>
                <w:rFonts w:ascii="Times New Roman" w:eastAsia="Times New Roman" w:hAnsi="Times New Roman" w:cs="Times New Roman"/>
                <w:b/>
                <w:bCs/>
                <w:sz w:val="18"/>
                <w:szCs w:val="18"/>
              </w:rPr>
              <w:t>Subseq. Year</w:t>
            </w:r>
          </w:p>
        </w:tc>
      </w:tr>
      <w:tr w:rsidR="000379A4" w:rsidRPr="000973F2" w14:paraId="56688930" w14:textId="77777777" w:rsidTr="000379A4">
        <w:trPr>
          <w:cantSplit/>
        </w:trPr>
        <w:tc>
          <w:tcPr>
            <w:cnfStyle w:val="001000000000" w:firstRow="0" w:lastRow="0" w:firstColumn="1" w:lastColumn="0" w:oddVBand="0" w:evenVBand="0" w:oddHBand="0" w:evenHBand="0" w:firstRowFirstColumn="0" w:firstRowLastColumn="0" w:lastRowFirstColumn="0" w:lastRowLastColumn="0"/>
            <w:tcW w:w="715" w:type="pct"/>
            <w:tcMar>
              <w:right w:w="14" w:type="dxa"/>
            </w:tcMar>
            <w:hideMark/>
          </w:tcPr>
          <w:p w14:paraId="21F8F007" w14:textId="77777777" w:rsidR="000379A4" w:rsidRPr="000973F2" w:rsidRDefault="000379A4" w:rsidP="000379A4">
            <w:pPr>
              <w:spacing w:before="40" w:after="4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Planning</w:t>
            </w:r>
          </w:p>
        </w:tc>
        <w:tc>
          <w:tcPr>
            <w:tcW w:w="422" w:type="pct"/>
            <w:noWrap/>
            <w:hideMark/>
          </w:tcPr>
          <w:p w14:paraId="661D07D8" w14:textId="1D11ECA5" w:rsidR="000379A4" w:rsidRPr="000973F2" w:rsidRDefault="000379A4" w:rsidP="000379A4">
            <w:pPr>
              <w:spacing w:before="40" w:after="4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w:t>
            </w:r>
          </w:p>
        </w:tc>
        <w:tc>
          <w:tcPr>
            <w:tcW w:w="426" w:type="pct"/>
            <w:noWrap/>
            <w:hideMark/>
          </w:tcPr>
          <w:p w14:paraId="02C2D85E" w14:textId="2CAF8BD0" w:rsidR="000379A4" w:rsidRPr="000973F2" w:rsidRDefault="000379A4" w:rsidP="000379A4">
            <w:pPr>
              <w:spacing w:before="40" w:after="4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w:t>
            </w:r>
          </w:p>
        </w:tc>
        <w:tc>
          <w:tcPr>
            <w:tcW w:w="422" w:type="pct"/>
            <w:noWrap/>
            <w:hideMark/>
          </w:tcPr>
          <w:p w14:paraId="07F33B09" w14:textId="31061FB9" w:rsidR="000379A4" w:rsidRPr="000973F2" w:rsidRDefault="000379A4" w:rsidP="000379A4">
            <w:pPr>
              <w:spacing w:before="40" w:after="4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w:t>
            </w:r>
          </w:p>
        </w:tc>
        <w:tc>
          <w:tcPr>
            <w:tcW w:w="422" w:type="pct"/>
            <w:noWrap/>
            <w:hideMark/>
          </w:tcPr>
          <w:p w14:paraId="192C742F" w14:textId="229FD86A" w:rsidR="000379A4" w:rsidRPr="000973F2" w:rsidRDefault="000379A4" w:rsidP="000379A4">
            <w:pPr>
              <w:spacing w:before="40" w:after="4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w:t>
            </w:r>
          </w:p>
        </w:tc>
        <w:tc>
          <w:tcPr>
            <w:tcW w:w="422" w:type="pct"/>
            <w:noWrap/>
            <w:hideMark/>
          </w:tcPr>
          <w:p w14:paraId="5971E41D" w14:textId="35F6CBF8" w:rsidR="000379A4" w:rsidRPr="000973F2" w:rsidRDefault="000379A4" w:rsidP="000379A4">
            <w:pPr>
              <w:tabs>
                <w:tab w:val="decimal" w:pos="365"/>
              </w:tabs>
              <w:spacing w:before="40" w:after="4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w:t>
            </w:r>
          </w:p>
        </w:tc>
        <w:tc>
          <w:tcPr>
            <w:tcW w:w="422" w:type="pct"/>
            <w:noWrap/>
            <w:hideMark/>
          </w:tcPr>
          <w:p w14:paraId="01490E35" w14:textId="702D1F99" w:rsidR="000379A4" w:rsidRPr="000973F2" w:rsidRDefault="000379A4" w:rsidP="000379A4">
            <w:pPr>
              <w:tabs>
                <w:tab w:val="decimal" w:pos="365"/>
              </w:tabs>
              <w:spacing w:before="40" w:after="4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w:t>
            </w:r>
          </w:p>
        </w:tc>
        <w:tc>
          <w:tcPr>
            <w:tcW w:w="422" w:type="pct"/>
            <w:noWrap/>
            <w:hideMark/>
          </w:tcPr>
          <w:p w14:paraId="6AB2C4FE" w14:textId="51EC1314" w:rsidR="000379A4" w:rsidRPr="000973F2" w:rsidRDefault="000379A4" w:rsidP="000379A4">
            <w:pPr>
              <w:spacing w:before="40" w:after="4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w:t>
            </w:r>
          </w:p>
        </w:tc>
        <w:tc>
          <w:tcPr>
            <w:tcW w:w="422" w:type="pct"/>
            <w:noWrap/>
            <w:hideMark/>
          </w:tcPr>
          <w:p w14:paraId="673C37E3" w14:textId="11CF8FFA" w:rsidR="000379A4" w:rsidRPr="000973F2" w:rsidRDefault="000379A4" w:rsidP="000379A4">
            <w:pPr>
              <w:spacing w:before="40" w:after="4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w:t>
            </w:r>
          </w:p>
        </w:tc>
        <w:tc>
          <w:tcPr>
            <w:tcW w:w="454" w:type="pct"/>
            <w:noWrap/>
            <w:hideMark/>
          </w:tcPr>
          <w:p w14:paraId="0C38EF30" w14:textId="028CBBE3" w:rsidR="000379A4" w:rsidRPr="000973F2" w:rsidRDefault="000379A4" w:rsidP="000379A4">
            <w:pPr>
              <w:tabs>
                <w:tab w:val="decimal" w:pos="516"/>
              </w:tabs>
              <w:spacing w:before="40" w:after="4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w:t>
            </w:r>
          </w:p>
        </w:tc>
        <w:tc>
          <w:tcPr>
            <w:tcW w:w="452" w:type="pct"/>
            <w:noWrap/>
            <w:hideMark/>
          </w:tcPr>
          <w:p w14:paraId="7F3CB13E" w14:textId="571A8F21" w:rsidR="000379A4" w:rsidRPr="000973F2" w:rsidRDefault="000379A4" w:rsidP="000379A4">
            <w:pPr>
              <w:tabs>
                <w:tab w:val="decimal" w:pos="516"/>
              </w:tabs>
              <w:spacing w:before="40" w:after="4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w:t>
            </w:r>
          </w:p>
        </w:tc>
      </w:tr>
      <w:tr w:rsidR="000379A4" w:rsidRPr="000973F2" w14:paraId="788D4C13" w14:textId="77777777" w:rsidTr="000379A4">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715" w:type="pct"/>
            <w:tcMar>
              <w:right w:w="14" w:type="dxa"/>
            </w:tcMar>
            <w:hideMark/>
          </w:tcPr>
          <w:p w14:paraId="0363E569" w14:textId="77777777" w:rsidR="000379A4" w:rsidRPr="000973F2" w:rsidRDefault="000379A4" w:rsidP="000379A4">
            <w:pPr>
              <w:spacing w:before="40" w:after="4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QA/QC</w:t>
            </w:r>
          </w:p>
        </w:tc>
        <w:tc>
          <w:tcPr>
            <w:tcW w:w="422" w:type="pct"/>
            <w:noWrap/>
            <w:hideMark/>
          </w:tcPr>
          <w:p w14:paraId="2A64A0FF" w14:textId="6767F3CB" w:rsidR="000379A4" w:rsidRPr="000973F2" w:rsidRDefault="000379A4" w:rsidP="000379A4">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w:t>
            </w:r>
          </w:p>
        </w:tc>
        <w:tc>
          <w:tcPr>
            <w:tcW w:w="426" w:type="pct"/>
            <w:noWrap/>
            <w:hideMark/>
          </w:tcPr>
          <w:p w14:paraId="718124C9" w14:textId="275F6BA4" w:rsidR="000379A4" w:rsidRPr="000973F2" w:rsidRDefault="000379A4" w:rsidP="000379A4">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w:t>
            </w:r>
          </w:p>
        </w:tc>
        <w:tc>
          <w:tcPr>
            <w:tcW w:w="422" w:type="pct"/>
            <w:noWrap/>
            <w:hideMark/>
          </w:tcPr>
          <w:p w14:paraId="026D1E2C" w14:textId="0C8E8F84" w:rsidR="000379A4" w:rsidRPr="000973F2" w:rsidRDefault="000379A4" w:rsidP="000379A4">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w:t>
            </w:r>
          </w:p>
        </w:tc>
        <w:tc>
          <w:tcPr>
            <w:tcW w:w="422" w:type="pct"/>
            <w:noWrap/>
            <w:hideMark/>
          </w:tcPr>
          <w:p w14:paraId="2F2B27DF" w14:textId="15093F7F" w:rsidR="000379A4" w:rsidRPr="000973F2" w:rsidRDefault="000379A4" w:rsidP="000379A4">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w:t>
            </w:r>
          </w:p>
        </w:tc>
        <w:tc>
          <w:tcPr>
            <w:tcW w:w="422" w:type="pct"/>
            <w:noWrap/>
            <w:hideMark/>
          </w:tcPr>
          <w:p w14:paraId="25A55E19" w14:textId="4E383D7A" w:rsidR="000379A4" w:rsidRPr="000973F2" w:rsidRDefault="000379A4" w:rsidP="000379A4">
            <w:pPr>
              <w:tabs>
                <w:tab w:val="decimal" w:pos="365"/>
              </w:tabs>
              <w:spacing w:before="40" w:after="4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w:t>
            </w:r>
          </w:p>
        </w:tc>
        <w:tc>
          <w:tcPr>
            <w:tcW w:w="422" w:type="pct"/>
            <w:noWrap/>
            <w:hideMark/>
          </w:tcPr>
          <w:p w14:paraId="5417A585" w14:textId="06B91468" w:rsidR="000379A4" w:rsidRPr="000973F2" w:rsidRDefault="000379A4" w:rsidP="000379A4">
            <w:pPr>
              <w:tabs>
                <w:tab w:val="decimal" w:pos="365"/>
              </w:tabs>
              <w:spacing w:before="40" w:after="4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w:t>
            </w:r>
          </w:p>
        </w:tc>
        <w:tc>
          <w:tcPr>
            <w:tcW w:w="422" w:type="pct"/>
            <w:noWrap/>
            <w:hideMark/>
          </w:tcPr>
          <w:p w14:paraId="2A35C140" w14:textId="5A1A4721" w:rsidR="000379A4" w:rsidRPr="000973F2" w:rsidRDefault="000379A4" w:rsidP="000379A4">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w:t>
            </w:r>
          </w:p>
        </w:tc>
        <w:tc>
          <w:tcPr>
            <w:tcW w:w="422" w:type="pct"/>
            <w:noWrap/>
            <w:hideMark/>
          </w:tcPr>
          <w:p w14:paraId="6B43773C" w14:textId="37304261" w:rsidR="000379A4" w:rsidRPr="000973F2" w:rsidRDefault="000379A4" w:rsidP="000379A4">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w:t>
            </w:r>
          </w:p>
        </w:tc>
        <w:tc>
          <w:tcPr>
            <w:tcW w:w="454" w:type="pct"/>
            <w:noWrap/>
            <w:hideMark/>
          </w:tcPr>
          <w:p w14:paraId="16422179" w14:textId="448064B5" w:rsidR="000379A4" w:rsidRPr="000973F2" w:rsidRDefault="000379A4" w:rsidP="000379A4">
            <w:pPr>
              <w:tabs>
                <w:tab w:val="decimal" w:pos="516"/>
              </w:tabs>
              <w:spacing w:before="40" w:after="4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w:t>
            </w:r>
          </w:p>
        </w:tc>
        <w:tc>
          <w:tcPr>
            <w:tcW w:w="452" w:type="pct"/>
            <w:noWrap/>
            <w:hideMark/>
          </w:tcPr>
          <w:p w14:paraId="020AEF5C" w14:textId="143C292C" w:rsidR="000379A4" w:rsidRPr="000973F2" w:rsidRDefault="000379A4" w:rsidP="000379A4">
            <w:pPr>
              <w:tabs>
                <w:tab w:val="decimal" w:pos="516"/>
              </w:tabs>
              <w:spacing w:before="40" w:after="4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w:t>
            </w:r>
          </w:p>
        </w:tc>
      </w:tr>
      <w:tr w:rsidR="000379A4" w:rsidRPr="000973F2" w14:paraId="3E0EB046" w14:textId="77777777" w:rsidTr="000379A4">
        <w:trPr>
          <w:cantSplit/>
        </w:trPr>
        <w:tc>
          <w:tcPr>
            <w:cnfStyle w:val="001000000000" w:firstRow="0" w:lastRow="0" w:firstColumn="1" w:lastColumn="0" w:oddVBand="0" w:evenVBand="0" w:oddHBand="0" w:evenHBand="0" w:firstRowFirstColumn="0" w:firstRowLastColumn="0" w:lastRowFirstColumn="0" w:lastRowLastColumn="0"/>
            <w:tcW w:w="715" w:type="pct"/>
            <w:tcMar>
              <w:right w:w="14" w:type="dxa"/>
            </w:tcMar>
            <w:hideMark/>
          </w:tcPr>
          <w:p w14:paraId="5FAC62D3" w14:textId="77777777" w:rsidR="000379A4" w:rsidRPr="000973F2" w:rsidRDefault="000379A4" w:rsidP="000379A4">
            <w:pPr>
              <w:spacing w:before="40" w:after="4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Recordkeeping</w:t>
            </w:r>
          </w:p>
        </w:tc>
        <w:tc>
          <w:tcPr>
            <w:tcW w:w="422" w:type="pct"/>
            <w:noWrap/>
            <w:hideMark/>
          </w:tcPr>
          <w:p w14:paraId="73581509" w14:textId="3529C96D" w:rsidR="000379A4" w:rsidRPr="000973F2" w:rsidRDefault="000379A4" w:rsidP="000379A4">
            <w:pPr>
              <w:spacing w:before="40" w:after="4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w:t>
            </w:r>
          </w:p>
        </w:tc>
        <w:tc>
          <w:tcPr>
            <w:tcW w:w="426" w:type="pct"/>
            <w:noWrap/>
            <w:hideMark/>
          </w:tcPr>
          <w:p w14:paraId="152BF90D" w14:textId="56029416" w:rsidR="000379A4" w:rsidRPr="000973F2" w:rsidRDefault="000379A4" w:rsidP="000379A4">
            <w:pPr>
              <w:spacing w:before="40" w:after="4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w:t>
            </w:r>
          </w:p>
        </w:tc>
        <w:tc>
          <w:tcPr>
            <w:tcW w:w="422" w:type="pct"/>
            <w:noWrap/>
            <w:hideMark/>
          </w:tcPr>
          <w:p w14:paraId="52FE2816" w14:textId="075D5A3E" w:rsidR="000379A4" w:rsidRPr="000973F2" w:rsidRDefault="000379A4" w:rsidP="000379A4">
            <w:pPr>
              <w:spacing w:before="40" w:after="4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w:t>
            </w:r>
          </w:p>
        </w:tc>
        <w:tc>
          <w:tcPr>
            <w:tcW w:w="422" w:type="pct"/>
            <w:noWrap/>
            <w:hideMark/>
          </w:tcPr>
          <w:p w14:paraId="7B54AEF4" w14:textId="0DBB55DA" w:rsidR="000379A4" w:rsidRPr="000973F2" w:rsidRDefault="000379A4" w:rsidP="000379A4">
            <w:pPr>
              <w:spacing w:before="40" w:after="4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w:t>
            </w:r>
          </w:p>
        </w:tc>
        <w:tc>
          <w:tcPr>
            <w:tcW w:w="422" w:type="pct"/>
            <w:noWrap/>
            <w:hideMark/>
          </w:tcPr>
          <w:p w14:paraId="7AC8B41C" w14:textId="7E678D39" w:rsidR="000379A4" w:rsidRPr="000973F2" w:rsidRDefault="000379A4" w:rsidP="000379A4">
            <w:pPr>
              <w:tabs>
                <w:tab w:val="decimal" w:pos="365"/>
              </w:tabs>
              <w:spacing w:before="40" w:after="4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w:t>
            </w:r>
          </w:p>
        </w:tc>
        <w:tc>
          <w:tcPr>
            <w:tcW w:w="422" w:type="pct"/>
            <w:noWrap/>
            <w:hideMark/>
          </w:tcPr>
          <w:p w14:paraId="00B27E8D" w14:textId="08C90020" w:rsidR="000379A4" w:rsidRPr="000973F2" w:rsidRDefault="000379A4" w:rsidP="000379A4">
            <w:pPr>
              <w:tabs>
                <w:tab w:val="decimal" w:pos="365"/>
              </w:tabs>
              <w:spacing w:before="40" w:after="4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w:t>
            </w:r>
          </w:p>
        </w:tc>
        <w:tc>
          <w:tcPr>
            <w:tcW w:w="422" w:type="pct"/>
            <w:noWrap/>
            <w:hideMark/>
          </w:tcPr>
          <w:p w14:paraId="5AAD9BBF" w14:textId="397AAC9E" w:rsidR="000379A4" w:rsidRPr="000973F2" w:rsidRDefault="000379A4" w:rsidP="000379A4">
            <w:pPr>
              <w:spacing w:before="40" w:after="4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w:t>
            </w:r>
          </w:p>
        </w:tc>
        <w:tc>
          <w:tcPr>
            <w:tcW w:w="422" w:type="pct"/>
            <w:noWrap/>
            <w:hideMark/>
          </w:tcPr>
          <w:p w14:paraId="513CD4E4" w14:textId="6941F1E0" w:rsidR="000379A4" w:rsidRPr="000973F2" w:rsidRDefault="000379A4" w:rsidP="000379A4">
            <w:pPr>
              <w:spacing w:before="40" w:after="4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w:t>
            </w:r>
          </w:p>
        </w:tc>
        <w:tc>
          <w:tcPr>
            <w:tcW w:w="454" w:type="pct"/>
            <w:noWrap/>
            <w:hideMark/>
          </w:tcPr>
          <w:p w14:paraId="25C0005A" w14:textId="34A11B12" w:rsidR="000379A4" w:rsidRPr="000973F2" w:rsidRDefault="000379A4" w:rsidP="000379A4">
            <w:pPr>
              <w:tabs>
                <w:tab w:val="decimal" w:pos="516"/>
              </w:tabs>
              <w:spacing w:before="40" w:after="4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w:t>
            </w:r>
          </w:p>
        </w:tc>
        <w:tc>
          <w:tcPr>
            <w:tcW w:w="452" w:type="pct"/>
            <w:noWrap/>
            <w:hideMark/>
          </w:tcPr>
          <w:p w14:paraId="51DA4826" w14:textId="27DC5F91" w:rsidR="000379A4" w:rsidRPr="000973F2" w:rsidRDefault="000379A4" w:rsidP="000379A4">
            <w:pPr>
              <w:tabs>
                <w:tab w:val="decimal" w:pos="516"/>
              </w:tabs>
              <w:spacing w:before="40" w:after="4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w:t>
            </w:r>
          </w:p>
        </w:tc>
      </w:tr>
      <w:tr w:rsidR="000379A4" w:rsidRPr="000973F2" w14:paraId="18578A95" w14:textId="77777777" w:rsidTr="000379A4">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715" w:type="pct"/>
            <w:tcMar>
              <w:right w:w="14" w:type="dxa"/>
            </w:tcMar>
            <w:hideMark/>
          </w:tcPr>
          <w:p w14:paraId="548D386F" w14:textId="77777777" w:rsidR="000379A4" w:rsidRPr="000973F2" w:rsidRDefault="000379A4" w:rsidP="000379A4">
            <w:pPr>
              <w:spacing w:before="40" w:after="4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Sampling and Analysis (Calculations)</w:t>
            </w:r>
          </w:p>
        </w:tc>
        <w:tc>
          <w:tcPr>
            <w:tcW w:w="422" w:type="pct"/>
            <w:noWrap/>
            <w:hideMark/>
          </w:tcPr>
          <w:p w14:paraId="48BACD58" w14:textId="4EB072DF" w:rsidR="000379A4" w:rsidRPr="000973F2" w:rsidRDefault="000379A4" w:rsidP="000379A4">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6"/>
                <w:szCs w:val="16"/>
              </w:rPr>
              <w:t>0</w:t>
            </w:r>
          </w:p>
        </w:tc>
        <w:tc>
          <w:tcPr>
            <w:tcW w:w="426" w:type="pct"/>
            <w:noWrap/>
            <w:hideMark/>
          </w:tcPr>
          <w:p w14:paraId="41648CB3" w14:textId="75CD1B96" w:rsidR="000379A4" w:rsidRPr="000973F2" w:rsidRDefault="000379A4" w:rsidP="000379A4">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6"/>
                <w:szCs w:val="16"/>
              </w:rPr>
              <w:t>0</w:t>
            </w:r>
          </w:p>
        </w:tc>
        <w:tc>
          <w:tcPr>
            <w:tcW w:w="422" w:type="pct"/>
            <w:noWrap/>
            <w:hideMark/>
          </w:tcPr>
          <w:p w14:paraId="49767FCD" w14:textId="49205A6E" w:rsidR="000379A4" w:rsidRPr="000973F2" w:rsidRDefault="000379A4" w:rsidP="000379A4">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6"/>
                <w:szCs w:val="16"/>
              </w:rPr>
              <w:t>0</w:t>
            </w:r>
          </w:p>
        </w:tc>
        <w:tc>
          <w:tcPr>
            <w:tcW w:w="422" w:type="pct"/>
            <w:noWrap/>
            <w:hideMark/>
          </w:tcPr>
          <w:p w14:paraId="6211ADF8" w14:textId="43F661E0" w:rsidR="000379A4" w:rsidRPr="000973F2" w:rsidRDefault="000379A4" w:rsidP="000379A4">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6"/>
                <w:szCs w:val="16"/>
              </w:rPr>
              <w:t>0</w:t>
            </w:r>
          </w:p>
        </w:tc>
        <w:tc>
          <w:tcPr>
            <w:tcW w:w="422" w:type="pct"/>
            <w:noWrap/>
            <w:hideMark/>
          </w:tcPr>
          <w:p w14:paraId="5B4BDC68" w14:textId="77777777" w:rsidR="000379A4" w:rsidRPr="000973F2" w:rsidRDefault="000379A4" w:rsidP="000379A4">
            <w:pPr>
              <w:tabs>
                <w:tab w:val="decimal" w:pos="365"/>
              </w:tabs>
              <w:spacing w:before="40" w:after="4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80</w:t>
            </w:r>
          </w:p>
        </w:tc>
        <w:tc>
          <w:tcPr>
            <w:tcW w:w="422" w:type="pct"/>
            <w:noWrap/>
            <w:hideMark/>
          </w:tcPr>
          <w:p w14:paraId="08536F68" w14:textId="77777777" w:rsidR="000379A4" w:rsidRPr="000973F2" w:rsidRDefault="000379A4" w:rsidP="000379A4">
            <w:pPr>
              <w:tabs>
                <w:tab w:val="decimal" w:pos="365"/>
              </w:tabs>
              <w:spacing w:before="40" w:after="4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80</w:t>
            </w:r>
          </w:p>
        </w:tc>
        <w:tc>
          <w:tcPr>
            <w:tcW w:w="422" w:type="pct"/>
            <w:noWrap/>
            <w:hideMark/>
          </w:tcPr>
          <w:p w14:paraId="03E5924C" w14:textId="56676690" w:rsidR="000379A4" w:rsidRPr="000973F2" w:rsidRDefault="000379A4" w:rsidP="000379A4">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6"/>
                <w:szCs w:val="16"/>
              </w:rPr>
              <w:t>0</w:t>
            </w:r>
          </w:p>
        </w:tc>
        <w:tc>
          <w:tcPr>
            <w:tcW w:w="422" w:type="pct"/>
            <w:noWrap/>
            <w:hideMark/>
          </w:tcPr>
          <w:p w14:paraId="192A12DA" w14:textId="594362E7" w:rsidR="000379A4" w:rsidRPr="000973F2" w:rsidRDefault="000379A4" w:rsidP="000379A4">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6"/>
                <w:szCs w:val="16"/>
              </w:rPr>
              <w:t>0</w:t>
            </w:r>
          </w:p>
        </w:tc>
        <w:tc>
          <w:tcPr>
            <w:tcW w:w="454" w:type="pct"/>
            <w:noWrap/>
            <w:hideMark/>
          </w:tcPr>
          <w:p w14:paraId="7E21F33C" w14:textId="62BED17C" w:rsidR="000379A4" w:rsidRPr="000973F2" w:rsidRDefault="000379A4" w:rsidP="000379A4">
            <w:pPr>
              <w:tabs>
                <w:tab w:val="decimal" w:pos="516"/>
              </w:tabs>
              <w:spacing w:before="40" w:after="4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$5,716</w:t>
            </w:r>
          </w:p>
        </w:tc>
        <w:tc>
          <w:tcPr>
            <w:tcW w:w="452" w:type="pct"/>
            <w:noWrap/>
            <w:hideMark/>
          </w:tcPr>
          <w:p w14:paraId="777D2DEB" w14:textId="4D777476" w:rsidR="000379A4" w:rsidRPr="000973F2" w:rsidRDefault="000379A4" w:rsidP="000379A4">
            <w:pPr>
              <w:tabs>
                <w:tab w:val="decimal" w:pos="516"/>
              </w:tabs>
              <w:spacing w:before="40" w:after="4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$5,716</w:t>
            </w:r>
          </w:p>
        </w:tc>
      </w:tr>
      <w:tr w:rsidR="000379A4" w:rsidRPr="000973F2" w14:paraId="709C9879" w14:textId="77777777" w:rsidTr="000379A4">
        <w:trPr>
          <w:cantSplit/>
        </w:trPr>
        <w:tc>
          <w:tcPr>
            <w:cnfStyle w:val="001000000000" w:firstRow="0" w:lastRow="0" w:firstColumn="1" w:lastColumn="0" w:oddVBand="0" w:evenVBand="0" w:oddHBand="0" w:evenHBand="0" w:firstRowFirstColumn="0" w:firstRowLastColumn="0" w:lastRowFirstColumn="0" w:lastRowLastColumn="0"/>
            <w:tcW w:w="715" w:type="pct"/>
            <w:tcMar>
              <w:right w:w="14" w:type="dxa"/>
            </w:tcMar>
            <w:hideMark/>
          </w:tcPr>
          <w:p w14:paraId="716C337E" w14:textId="77777777" w:rsidR="000379A4" w:rsidRPr="000973F2" w:rsidRDefault="000379A4" w:rsidP="000379A4">
            <w:pPr>
              <w:spacing w:before="40" w:after="4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Reporting</w:t>
            </w:r>
          </w:p>
        </w:tc>
        <w:tc>
          <w:tcPr>
            <w:tcW w:w="422" w:type="pct"/>
            <w:noWrap/>
            <w:hideMark/>
          </w:tcPr>
          <w:p w14:paraId="5F005FE8" w14:textId="664F0F1A" w:rsidR="000379A4" w:rsidRPr="000973F2" w:rsidRDefault="000379A4" w:rsidP="000379A4">
            <w:pPr>
              <w:spacing w:before="40" w:after="4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w:t>
            </w:r>
          </w:p>
        </w:tc>
        <w:tc>
          <w:tcPr>
            <w:tcW w:w="426" w:type="pct"/>
            <w:noWrap/>
            <w:hideMark/>
          </w:tcPr>
          <w:p w14:paraId="2C6C404B" w14:textId="50004871" w:rsidR="000379A4" w:rsidRPr="000973F2" w:rsidRDefault="000379A4" w:rsidP="000379A4">
            <w:pPr>
              <w:spacing w:before="40" w:after="4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w:t>
            </w:r>
          </w:p>
        </w:tc>
        <w:tc>
          <w:tcPr>
            <w:tcW w:w="422" w:type="pct"/>
            <w:noWrap/>
            <w:hideMark/>
          </w:tcPr>
          <w:p w14:paraId="4FEB3E22" w14:textId="1D566BE9" w:rsidR="000379A4" w:rsidRPr="000973F2" w:rsidRDefault="000379A4" w:rsidP="000379A4">
            <w:pPr>
              <w:spacing w:before="40" w:after="4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w:t>
            </w:r>
          </w:p>
        </w:tc>
        <w:tc>
          <w:tcPr>
            <w:tcW w:w="422" w:type="pct"/>
            <w:noWrap/>
            <w:hideMark/>
          </w:tcPr>
          <w:p w14:paraId="0EBB83BC" w14:textId="3BE3AF4F" w:rsidR="000379A4" w:rsidRPr="000973F2" w:rsidRDefault="000379A4" w:rsidP="000379A4">
            <w:pPr>
              <w:spacing w:before="40" w:after="4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w:t>
            </w:r>
          </w:p>
        </w:tc>
        <w:tc>
          <w:tcPr>
            <w:tcW w:w="422" w:type="pct"/>
            <w:noWrap/>
            <w:hideMark/>
          </w:tcPr>
          <w:p w14:paraId="4AB96D8E" w14:textId="49E0B172" w:rsidR="000379A4" w:rsidRPr="000973F2" w:rsidRDefault="000379A4" w:rsidP="000379A4">
            <w:pPr>
              <w:tabs>
                <w:tab w:val="decimal" w:pos="365"/>
              </w:tabs>
              <w:spacing w:before="40" w:after="4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w:t>
            </w:r>
          </w:p>
        </w:tc>
        <w:tc>
          <w:tcPr>
            <w:tcW w:w="422" w:type="pct"/>
            <w:noWrap/>
            <w:hideMark/>
          </w:tcPr>
          <w:p w14:paraId="46ACCB82" w14:textId="5A34D386" w:rsidR="000379A4" w:rsidRPr="000973F2" w:rsidRDefault="000379A4" w:rsidP="000379A4">
            <w:pPr>
              <w:tabs>
                <w:tab w:val="decimal" w:pos="365"/>
              </w:tabs>
              <w:spacing w:before="40" w:after="4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w:t>
            </w:r>
          </w:p>
        </w:tc>
        <w:tc>
          <w:tcPr>
            <w:tcW w:w="422" w:type="pct"/>
            <w:noWrap/>
            <w:hideMark/>
          </w:tcPr>
          <w:p w14:paraId="6E081BC8" w14:textId="1CCAFD0A" w:rsidR="000379A4" w:rsidRPr="000973F2" w:rsidRDefault="000379A4" w:rsidP="000379A4">
            <w:pPr>
              <w:spacing w:before="40" w:after="4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w:t>
            </w:r>
          </w:p>
        </w:tc>
        <w:tc>
          <w:tcPr>
            <w:tcW w:w="422" w:type="pct"/>
            <w:noWrap/>
            <w:hideMark/>
          </w:tcPr>
          <w:p w14:paraId="481EB487" w14:textId="46AD2791" w:rsidR="000379A4" w:rsidRPr="000973F2" w:rsidRDefault="000379A4" w:rsidP="000379A4">
            <w:pPr>
              <w:spacing w:before="40" w:after="4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w:t>
            </w:r>
          </w:p>
        </w:tc>
        <w:tc>
          <w:tcPr>
            <w:tcW w:w="454" w:type="pct"/>
            <w:noWrap/>
            <w:hideMark/>
          </w:tcPr>
          <w:p w14:paraId="5D007609" w14:textId="060DB521" w:rsidR="000379A4" w:rsidRPr="000973F2" w:rsidRDefault="000379A4" w:rsidP="000379A4">
            <w:pPr>
              <w:tabs>
                <w:tab w:val="decimal" w:pos="516"/>
              </w:tabs>
              <w:spacing w:before="40" w:after="4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w:t>
            </w:r>
          </w:p>
        </w:tc>
        <w:tc>
          <w:tcPr>
            <w:tcW w:w="452" w:type="pct"/>
            <w:noWrap/>
            <w:hideMark/>
          </w:tcPr>
          <w:p w14:paraId="75BD0CAF" w14:textId="780544F0" w:rsidR="000379A4" w:rsidRPr="000973F2" w:rsidRDefault="000379A4" w:rsidP="000379A4">
            <w:pPr>
              <w:tabs>
                <w:tab w:val="decimal" w:pos="516"/>
              </w:tabs>
              <w:spacing w:before="40" w:after="4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w:t>
            </w:r>
          </w:p>
        </w:tc>
      </w:tr>
      <w:tr w:rsidR="008D49C3" w:rsidRPr="000973F2" w14:paraId="6A6435BC" w14:textId="77777777" w:rsidTr="000379A4">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715" w:type="pct"/>
            <w:noWrap/>
            <w:tcMar>
              <w:right w:w="14" w:type="dxa"/>
            </w:tcMar>
            <w:hideMark/>
          </w:tcPr>
          <w:p w14:paraId="42924062" w14:textId="77777777" w:rsidR="0001781A" w:rsidRPr="000973F2" w:rsidRDefault="0001781A" w:rsidP="008D49C3">
            <w:pPr>
              <w:spacing w:before="40" w:after="40"/>
              <w:rPr>
                <w:rFonts w:ascii="Times New Roman" w:eastAsia="Times New Roman" w:hAnsi="Times New Roman" w:cs="Times New Roman"/>
                <w:b/>
                <w:bCs w:val="0"/>
                <w:sz w:val="18"/>
                <w:szCs w:val="18"/>
              </w:rPr>
            </w:pPr>
            <w:r w:rsidRPr="000973F2">
              <w:rPr>
                <w:rFonts w:ascii="Times New Roman" w:eastAsia="Times New Roman" w:hAnsi="Times New Roman" w:cs="Times New Roman"/>
                <w:b/>
                <w:sz w:val="18"/>
                <w:szCs w:val="18"/>
              </w:rPr>
              <w:t>Total</w:t>
            </w:r>
          </w:p>
        </w:tc>
        <w:tc>
          <w:tcPr>
            <w:tcW w:w="422" w:type="pct"/>
            <w:noWrap/>
            <w:hideMark/>
          </w:tcPr>
          <w:p w14:paraId="7FBCD520" w14:textId="77777777" w:rsidR="0001781A" w:rsidRPr="000973F2" w:rsidRDefault="0001781A" w:rsidP="008D49C3">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18"/>
                <w:szCs w:val="18"/>
              </w:rPr>
            </w:pPr>
            <w:r w:rsidRPr="000973F2">
              <w:rPr>
                <w:rFonts w:ascii="Times New Roman" w:eastAsia="Times New Roman" w:hAnsi="Times New Roman" w:cs="Times New Roman"/>
                <w:b/>
                <w:bCs/>
                <w:sz w:val="18"/>
                <w:szCs w:val="18"/>
              </w:rPr>
              <w:t>0</w:t>
            </w:r>
          </w:p>
        </w:tc>
        <w:tc>
          <w:tcPr>
            <w:tcW w:w="426" w:type="pct"/>
            <w:noWrap/>
            <w:hideMark/>
          </w:tcPr>
          <w:p w14:paraId="0A49318D" w14:textId="77777777" w:rsidR="0001781A" w:rsidRPr="000973F2" w:rsidRDefault="0001781A" w:rsidP="008D49C3">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18"/>
                <w:szCs w:val="18"/>
              </w:rPr>
            </w:pPr>
            <w:r w:rsidRPr="000973F2">
              <w:rPr>
                <w:rFonts w:ascii="Times New Roman" w:eastAsia="Times New Roman" w:hAnsi="Times New Roman" w:cs="Times New Roman"/>
                <w:b/>
                <w:bCs/>
                <w:sz w:val="18"/>
                <w:szCs w:val="18"/>
              </w:rPr>
              <w:t>0</w:t>
            </w:r>
          </w:p>
        </w:tc>
        <w:tc>
          <w:tcPr>
            <w:tcW w:w="422" w:type="pct"/>
            <w:noWrap/>
            <w:hideMark/>
          </w:tcPr>
          <w:p w14:paraId="34FEAAB1" w14:textId="77777777" w:rsidR="0001781A" w:rsidRPr="000973F2" w:rsidRDefault="0001781A" w:rsidP="008D49C3">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18"/>
                <w:szCs w:val="18"/>
              </w:rPr>
            </w:pPr>
            <w:r w:rsidRPr="000973F2">
              <w:rPr>
                <w:rFonts w:ascii="Times New Roman" w:eastAsia="Times New Roman" w:hAnsi="Times New Roman" w:cs="Times New Roman"/>
                <w:b/>
                <w:bCs/>
                <w:sz w:val="18"/>
                <w:szCs w:val="18"/>
              </w:rPr>
              <w:t>0</w:t>
            </w:r>
          </w:p>
        </w:tc>
        <w:tc>
          <w:tcPr>
            <w:tcW w:w="422" w:type="pct"/>
            <w:noWrap/>
            <w:hideMark/>
          </w:tcPr>
          <w:p w14:paraId="28E7122F" w14:textId="77777777" w:rsidR="0001781A" w:rsidRPr="000973F2" w:rsidRDefault="0001781A" w:rsidP="008D49C3">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18"/>
                <w:szCs w:val="18"/>
              </w:rPr>
            </w:pPr>
            <w:r w:rsidRPr="000973F2">
              <w:rPr>
                <w:rFonts w:ascii="Times New Roman" w:eastAsia="Times New Roman" w:hAnsi="Times New Roman" w:cs="Times New Roman"/>
                <w:b/>
                <w:bCs/>
                <w:sz w:val="18"/>
                <w:szCs w:val="18"/>
              </w:rPr>
              <w:t>0</w:t>
            </w:r>
          </w:p>
        </w:tc>
        <w:tc>
          <w:tcPr>
            <w:tcW w:w="422" w:type="pct"/>
            <w:noWrap/>
            <w:hideMark/>
          </w:tcPr>
          <w:p w14:paraId="43B14C4C" w14:textId="77777777" w:rsidR="0001781A" w:rsidRPr="000973F2" w:rsidRDefault="0001781A" w:rsidP="008D49C3">
            <w:pPr>
              <w:tabs>
                <w:tab w:val="decimal" w:pos="365"/>
              </w:tabs>
              <w:spacing w:before="40" w:after="4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18"/>
                <w:szCs w:val="18"/>
              </w:rPr>
            </w:pPr>
            <w:r w:rsidRPr="000973F2">
              <w:rPr>
                <w:rFonts w:ascii="Times New Roman" w:eastAsia="Times New Roman" w:hAnsi="Times New Roman" w:cs="Times New Roman"/>
                <w:b/>
                <w:bCs/>
                <w:sz w:val="18"/>
                <w:szCs w:val="18"/>
              </w:rPr>
              <w:t>80</w:t>
            </w:r>
          </w:p>
        </w:tc>
        <w:tc>
          <w:tcPr>
            <w:tcW w:w="422" w:type="pct"/>
            <w:noWrap/>
            <w:hideMark/>
          </w:tcPr>
          <w:p w14:paraId="03C8D46F" w14:textId="77777777" w:rsidR="0001781A" w:rsidRPr="000973F2" w:rsidRDefault="0001781A" w:rsidP="008D49C3">
            <w:pPr>
              <w:tabs>
                <w:tab w:val="decimal" w:pos="365"/>
              </w:tabs>
              <w:spacing w:before="40" w:after="4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18"/>
                <w:szCs w:val="18"/>
              </w:rPr>
            </w:pPr>
            <w:r w:rsidRPr="000973F2">
              <w:rPr>
                <w:rFonts w:ascii="Times New Roman" w:eastAsia="Times New Roman" w:hAnsi="Times New Roman" w:cs="Times New Roman"/>
                <w:b/>
                <w:bCs/>
                <w:sz w:val="18"/>
                <w:szCs w:val="18"/>
              </w:rPr>
              <w:t>80</w:t>
            </w:r>
          </w:p>
        </w:tc>
        <w:tc>
          <w:tcPr>
            <w:tcW w:w="422" w:type="pct"/>
            <w:noWrap/>
            <w:hideMark/>
          </w:tcPr>
          <w:p w14:paraId="4A8A4B1D" w14:textId="77777777" w:rsidR="0001781A" w:rsidRPr="000973F2" w:rsidRDefault="0001781A" w:rsidP="008D49C3">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18"/>
                <w:szCs w:val="18"/>
              </w:rPr>
            </w:pPr>
            <w:r w:rsidRPr="000973F2">
              <w:rPr>
                <w:rFonts w:ascii="Times New Roman" w:eastAsia="Times New Roman" w:hAnsi="Times New Roman" w:cs="Times New Roman"/>
                <w:b/>
                <w:bCs/>
                <w:sz w:val="18"/>
                <w:szCs w:val="18"/>
              </w:rPr>
              <w:t>0</w:t>
            </w:r>
          </w:p>
        </w:tc>
        <w:tc>
          <w:tcPr>
            <w:tcW w:w="422" w:type="pct"/>
            <w:noWrap/>
            <w:hideMark/>
          </w:tcPr>
          <w:p w14:paraId="3670787E" w14:textId="77777777" w:rsidR="0001781A" w:rsidRPr="000973F2" w:rsidRDefault="0001781A" w:rsidP="008D49C3">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18"/>
                <w:szCs w:val="18"/>
              </w:rPr>
            </w:pPr>
            <w:r w:rsidRPr="000973F2">
              <w:rPr>
                <w:rFonts w:ascii="Times New Roman" w:eastAsia="Times New Roman" w:hAnsi="Times New Roman" w:cs="Times New Roman"/>
                <w:b/>
                <w:bCs/>
                <w:sz w:val="18"/>
                <w:szCs w:val="18"/>
              </w:rPr>
              <w:t>0</w:t>
            </w:r>
          </w:p>
        </w:tc>
        <w:tc>
          <w:tcPr>
            <w:tcW w:w="454" w:type="pct"/>
            <w:noWrap/>
            <w:hideMark/>
          </w:tcPr>
          <w:p w14:paraId="13CB5544" w14:textId="7ABBBAB7" w:rsidR="0001781A" w:rsidRPr="000973F2" w:rsidRDefault="0001781A" w:rsidP="008D49C3">
            <w:pPr>
              <w:tabs>
                <w:tab w:val="decimal" w:pos="516"/>
              </w:tabs>
              <w:spacing w:before="40" w:after="4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18"/>
                <w:szCs w:val="18"/>
              </w:rPr>
            </w:pPr>
            <w:r w:rsidRPr="000973F2">
              <w:rPr>
                <w:rFonts w:ascii="Times New Roman" w:eastAsia="Times New Roman" w:hAnsi="Times New Roman" w:cs="Times New Roman"/>
                <w:b/>
                <w:bCs/>
                <w:sz w:val="18"/>
                <w:szCs w:val="18"/>
              </w:rPr>
              <w:t>$5,716</w:t>
            </w:r>
          </w:p>
        </w:tc>
        <w:tc>
          <w:tcPr>
            <w:tcW w:w="452" w:type="pct"/>
            <w:noWrap/>
            <w:hideMark/>
          </w:tcPr>
          <w:p w14:paraId="7A92BCDC" w14:textId="0EF6F53F" w:rsidR="0001781A" w:rsidRPr="000973F2" w:rsidRDefault="0001781A" w:rsidP="008D49C3">
            <w:pPr>
              <w:tabs>
                <w:tab w:val="decimal" w:pos="516"/>
              </w:tabs>
              <w:spacing w:before="40" w:after="4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18"/>
                <w:szCs w:val="18"/>
              </w:rPr>
            </w:pPr>
            <w:r w:rsidRPr="000973F2">
              <w:rPr>
                <w:rFonts w:ascii="Times New Roman" w:eastAsia="Times New Roman" w:hAnsi="Times New Roman" w:cs="Times New Roman"/>
                <w:b/>
                <w:bCs/>
                <w:sz w:val="18"/>
                <w:szCs w:val="18"/>
              </w:rPr>
              <w:t>$5,716</w:t>
            </w:r>
          </w:p>
        </w:tc>
      </w:tr>
    </w:tbl>
    <w:p w14:paraId="23ED1EDD" w14:textId="77777777" w:rsidR="0001781A" w:rsidRPr="000973F2" w:rsidRDefault="0001781A" w:rsidP="00C00E4F">
      <w:pPr>
        <w:pStyle w:val="AfterTable"/>
      </w:pPr>
    </w:p>
    <w:p w14:paraId="5AC5D32F" w14:textId="77777777" w:rsidR="0001781A" w:rsidRPr="000973F2" w:rsidRDefault="0001781A" w:rsidP="00C00E4F">
      <w:pPr>
        <w:rPr>
          <w:i/>
        </w:rPr>
      </w:pPr>
      <w:r w:rsidRPr="000973F2">
        <w:rPr>
          <w:rFonts w:ascii="Times New Roman" w:hAnsi="Times New Roman" w:cs="Times New Roman"/>
          <w:i/>
        </w:rPr>
        <w:t>Subpart C with at least one additional subpart</w:t>
      </w:r>
    </w:p>
    <w:tbl>
      <w:tblPr>
        <w:tblStyle w:val="PlainTable1"/>
        <w:tblW w:w="5000" w:type="pct"/>
        <w:jc w:val="left"/>
        <w:tblLayout w:type="fixed"/>
        <w:tblCellMar>
          <w:left w:w="115" w:type="dxa"/>
          <w:right w:w="115" w:type="dxa"/>
        </w:tblCellMar>
        <w:tblLook w:val="04A0" w:firstRow="1" w:lastRow="0" w:firstColumn="1" w:lastColumn="0" w:noHBand="0" w:noVBand="1"/>
      </w:tblPr>
      <w:tblGrid>
        <w:gridCol w:w="1372"/>
        <w:gridCol w:w="810"/>
        <w:gridCol w:w="818"/>
        <w:gridCol w:w="809"/>
        <w:gridCol w:w="809"/>
        <w:gridCol w:w="809"/>
        <w:gridCol w:w="809"/>
        <w:gridCol w:w="809"/>
        <w:gridCol w:w="809"/>
        <w:gridCol w:w="871"/>
        <w:gridCol w:w="865"/>
      </w:tblGrid>
      <w:tr w:rsidR="0001781A" w:rsidRPr="000973F2" w14:paraId="648592D1" w14:textId="77777777" w:rsidTr="000379A4">
        <w:trPr>
          <w:cnfStyle w:val="100000000000" w:firstRow="1" w:lastRow="0" w:firstColumn="0" w:lastColumn="0" w:oddVBand="0" w:evenVBand="0" w:oddHBand="0" w:evenHBand="0" w:firstRowFirstColumn="0" w:firstRowLastColumn="0" w:lastRowFirstColumn="0" w:lastRowLastColumn="0"/>
          <w:cantSplit/>
          <w:jc w:val="left"/>
        </w:trPr>
        <w:tc>
          <w:tcPr>
            <w:cnfStyle w:val="001000000000" w:firstRow="0" w:lastRow="0" w:firstColumn="1" w:lastColumn="0" w:oddVBand="0" w:evenVBand="0" w:oddHBand="0" w:evenHBand="0" w:firstRowFirstColumn="0" w:firstRowLastColumn="0" w:lastRowFirstColumn="0" w:lastRowLastColumn="0"/>
            <w:tcW w:w="715" w:type="pct"/>
            <w:vMerge w:val="restart"/>
            <w:noWrap/>
            <w:vAlign w:val="top"/>
            <w:hideMark/>
          </w:tcPr>
          <w:p w14:paraId="7243962D" w14:textId="77777777" w:rsidR="0001781A" w:rsidRPr="000973F2" w:rsidRDefault="0001781A" w:rsidP="00515E32">
            <w:pPr>
              <w:spacing w:before="40" w:after="40"/>
              <w:rPr>
                <w:rFonts w:ascii="Times New Roman" w:eastAsia="Times New Roman" w:hAnsi="Times New Roman" w:cs="Times New Roman"/>
                <w:b w:val="0"/>
                <w:bCs w:val="0"/>
                <w:sz w:val="18"/>
                <w:szCs w:val="18"/>
              </w:rPr>
            </w:pPr>
            <w:r w:rsidRPr="000973F2">
              <w:rPr>
                <w:rFonts w:ascii="Times New Roman" w:eastAsia="Times New Roman" w:hAnsi="Times New Roman" w:cs="Times New Roman"/>
                <w:sz w:val="18"/>
                <w:szCs w:val="18"/>
              </w:rPr>
              <w:t>Activity</w:t>
            </w:r>
          </w:p>
        </w:tc>
        <w:tc>
          <w:tcPr>
            <w:tcW w:w="3379" w:type="pct"/>
            <w:gridSpan w:val="8"/>
            <w:noWrap/>
            <w:vAlign w:val="top"/>
            <w:hideMark/>
          </w:tcPr>
          <w:p w14:paraId="25E52FF7" w14:textId="77777777" w:rsidR="0001781A" w:rsidRPr="000973F2" w:rsidRDefault="0001781A" w:rsidP="00515E32">
            <w:pPr>
              <w:spacing w:before="40" w:after="40"/>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bCs w:val="0"/>
                <w:sz w:val="18"/>
                <w:szCs w:val="18"/>
              </w:rPr>
            </w:pPr>
            <w:r w:rsidRPr="000973F2">
              <w:rPr>
                <w:rFonts w:ascii="Times New Roman" w:eastAsia="Times New Roman" w:hAnsi="Times New Roman" w:cs="Times New Roman"/>
                <w:sz w:val="18"/>
                <w:szCs w:val="18"/>
              </w:rPr>
              <w:t>Labor Rates (per hour)</w:t>
            </w:r>
          </w:p>
        </w:tc>
        <w:tc>
          <w:tcPr>
            <w:tcW w:w="906" w:type="pct"/>
            <w:gridSpan w:val="2"/>
            <w:vMerge w:val="restart"/>
            <w:vAlign w:val="top"/>
            <w:hideMark/>
          </w:tcPr>
          <w:p w14:paraId="646DD4B2" w14:textId="77777777" w:rsidR="0001781A" w:rsidRPr="000973F2" w:rsidRDefault="0001781A" w:rsidP="00515E32">
            <w:pPr>
              <w:spacing w:before="40" w:after="40"/>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bCs w:val="0"/>
                <w:sz w:val="18"/>
                <w:szCs w:val="18"/>
              </w:rPr>
            </w:pPr>
            <w:r w:rsidRPr="000973F2">
              <w:rPr>
                <w:rFonts w:ascii="Times New Roman" w:eastAsia="Times New Roman" w:hAnsi="Times New Roman" w:cs="Times New Roman"/>
                <w:sz w:val="18"/>
                <w:szCs w:val="18"/>
              </w:rPr>
              <w:t>Total Labor Cost per Year per Facility (2017$)</w:t>
            </w:r>
          </w:p>
        </w:tc>
      </w:tr>
      <w:tr w:rsidR="0001781A" w:rsidRPr="000973F2" w14:paraId="43F13353" w14:textId="77777777" w:rsidTr="000379A4">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715" w:type="pct"/>
            <w:vMerge/>
            <w:hideMark/>
          </w:tcPr>
          <w:p w14:paraId="735E5A2D" w14:textId="77777777" w:rsidR="0001781A" w:rsidRPr="000973F2" w:rsidRDefault="0001781A" w:rsidP="00515E32">
            <w:pPr>
              <w:spacing w:before="40" w:after="40"/>
              <w:rPr>
                <w:rFonts w:ascii="Times New Roman" w:eastAsia="Times New Roman" w:hAnsi="Times New Roman" w:cs="Times New Roman"/>
                <w:b/>
                <w:bCs w:val="0"/>
                <w:sz w:val="18"/>
                <w:szCs w:val="18"/>
              </w:rPr>
            </w:pPr>
          </w:p>
        </w:tc>
        <w:tc>
          <w:tcPr>
            <w:tcW w:w="848" w:type="pct"/>
            <w:gridSpan w:val="2"/>
            <w:noWrap/>
            <w:hideMark/>
          </w:tcPr>
          <w:p w14:paraId="05B67307" w14:textId="77777777" w:rsidR="0001781A" w:rsidRPr="000973F2" w:rsidRDefault="0001781A" w:rsidP="00515E32">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18"/>
                <w:szCs w:val="18"/>
              </w:rPr>
            </w:pPr>
            <w:r w:rsidRPr="000973F2">
              <w:rPr>
                <w:rFonts w:ascii="Times New Roman" w:eastAsia="Times New Roman" w:hAnsi="Times New Roman" w:cs="Times New Roman"/>
                <w:b/>
                <w:bCs/>
                <w:sz w:val="18"/>
                <w:szCs w:val="18"/>
              </w:rPr>
              <w:t>Lawyer</w:t>
            </w:r>
          </w:p>
        </w:tc>
        <w:tc>
          <w:tcPr>
            <w:tcW w:w="844" w:type="pct"/>
            <w:gridSpan w:val="2"/>
            <w:noWrap/>
            <w:hideMark/>
          </w:tcPr>
          <w:p w14:paraId="43677EA0" w14:textId="77777777" w:rsidR="0001781A" w:rsidRPr="000973F2" w:rsidRDefault="0001781A" w:rsidP="00515E32">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18"/>
                <w:szCs w:val="18"/>
              </w:rPr>
            </w:pPr>
            <w:r w:rsidRPr="000973F2">
              <w:rPr>
                <w:rFonts w:ascii="Times New Roman" w:eastAsia="Times New Roman" w:hAnsi="Times New Roman" w:cs="Times New Roman"/>
                <w:b/>
                <w:bCs/>
                <w:sz w:val="18"/>
                <w:szCs w:val="18"/>
              </w:rPr>
              <w:t>Industrial Manager</w:t>
            </w:r>
          </w:p>
        </w:tc>
        <w:tc>
          <w:tcPr>
            <w:tcW w:w="844" w:type="pct"/>
            <w:gridSpan w:val="2"/>
            <w:hideMark/>
          </w:tcPr>
          <w:p w14:paraId="7471AAF8" w14:textId="511D75BE" w:rsidR="0001781A" w:rsidRPr="000973F2" w:rsidRDefault="0001781A" w:rsidP="00515E32">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18"/>
                <w:szCs w:val="18"/>
              </w:rPr>
            </w:pPr>
            <w:r w:rsidRPr="000973F2">
              <w:rPr>
                <w:rFonts w:ascii="Times New Roman" w:eastAsia="Times New Roman" w:hAnsi="Times New Roman" w:cs="Times New Roman"/>
                <w:b/>
                <w:bCs/>
                <w:sz w:val="18"/>
                <w:szCs w:val="18"/>
              </w:rPr>
              <w:t>Industrial Engineer/</w:t>
            </w:r>
            <w:r w:rsidR="00515E32" w:rsidRPr="000973F2">
              <w:rPr>
                <w:rFonts w:ascii="Times New Roman" w:eastAsia="Times New Roman" w:hAnsi="Times New Roman" w:cs="Times New Roman"/>
                <w:b/>
                <w:bCs/>
                <w:sz w:val="18"/>
                <w:szCs w:val="18"/>
              </w:rPr>
              <w:t xml:space="preserve"> </w:t>
            </w:r>
            <w:r w:rsidRPr="000973F2">
              <w:rPr>
                <w:rFonts w:ascii="Times New Roman" w:eastAsia="Times New Roman" w:hAnsi="Times New Roman" w:cs="Times New Roman"/>
                <w:b/>
                <w:bCs/>
                <w:sz w:val="18"/>
                <w:szCs w:val="18"/>
              </w:rPr>
              <w:t>Technician</w:t>
            </w:r>
          </w:p>
        </w:tc>
        <w:tc>
          <w:tcPr>
            <w:tcW w:w="844" w:type="pct"/>
            <w:gridSpan w:val="2"/>
            <w:hideMark/>
          </w:tcPr>
          <w:p w14:paraId="47B8ED0C" w14:textId="77777777" w:rsidR="0001781A" w:rsidRPr="000973F2" w:rsidRDefault="0001781A" w:rsidP="00515E32">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18"/>
                <w:szCs w:val="18"/>
              </w:rPr>
            </w:pPr>
            <w:r w:rsidRPr="000973F2">
              <w:rPr>
                <w:rFonts w:ascii="Times New Roman" w:eastAsia="Times New Roman" w:hAnsi="Times New Roman" w:cs="Times New Roman"/>
                <w:b/>
                <w:bCs/>
                <w:sz w:val="18"/>
                <w:szCs w:val="18"/>
              </w:rPr>
              <w:t>Administrative Support</w:t>
            </w:r>
          </w:p>
        </w:tc>
        <w:tc>
          <w:tcPr>
            <w:tcW w:w="906" w:type="pct"/>
            <w:gridSpan w:val="2"/>
            <w:vMerge/>
            <w:hideMark/>
          </w:tcPr>
          <w:p w14:paraId="1C6AB011" w14:textId="77777777" w:rsidR="0001781A" w:rsidRPr="000973F2" w:rsidRDefault="0001781A" w:rsidP="00515E32">
            <w:pPr>
              <w:spacing w:before="40" w:after="4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18"/>
                <w:szCs w:val="18"/>
              </w:rPr>
            </w:pPr>
          </w:p>
        </w:tc>
      </w:tr>
      <w:tr w:rsidR="0001781A" w:rsidRPr="000973F2" w14:paraId="4AEDB856" w14:textId="77777777" w:rsidTr="000379A4">
        <w:trPr>
          <w:cantSplit/>
        </w:trPr>
        <w:tc>
          <w:tcPr>
            <w:cnfStyle w:val="001000000000" w:firstRow="0" w:lastRow="0" w:firstColumn="1" w:lastColumn="0" w:oddVBand="0" w:evenVBand="0" w:oddHBand="0" w:evenHBand="0" w:firstRowFirstColumn="0" w:firstRowLastColumn="0" w:lastRowFirstColumn="0" w:lastRowLastColumn="0"/>
            <w:tcW w:w="715" w:type="pct"/>
            <w:vMerge/>
            <w:hideMark/>
          </w:tcPr>
          <w:p w14:paraId="174AC501" w14:textId="77777777" w:rsidR="0001781A" w:rsidRPr="000973F2" w:rsidRDefault="0001781A" w:rsidP="00515E32">
            <w:pPr>
              <w:spacing w:before="40" w:after="40"/>
              <w:rPr>
                <w:rFonts w:ascii="Times New Roman" w:eastAsia="Times New Roman" w:hAnsi="Times New Roman" w:cs="Times New Roman"/>
                <w:b/>
                <w:bCs w:val="0"/>
                <w:sz w:val="18"/>
                <w:szCs w:val="18"/>
              </w:rPr>
            </w:pPr>
          </w:p>
        </w:tc>
        <w:tc>
          <w:tcPr>
            <w:tcW w:w="848" w:type="pct"/>
            <w:gridSpan w:val="2"/>
            <w:noWrap/>
            <w:hideMark/>
          </w:tcPr>
          <w:p w14:paraId="2A7486A4" w14:textId="77777777" w:rsidR="0001781A" w:rsidRPr="000973F2" w:rsidRDefault="0001781A" w:rsidP="00515E32">
            <w:pPr>
              <w:spacing w:before="40" w:after="4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sz w:val="18"/>
                <w:szCs w:val="18"/>
              </w:rPr>
            </w:pPr>
            <w:r w:rsidRPr="000973F2">
              <w:rPr>
                <w:rFonts w:ascii="Times New Roman" w:eastAsia="Times New Roman" w:hAnsi="Times New Roman" w:cs="Times New Roman"/>
                <w:b/>
                <w:bCs/>
                <w:sz w:val="18"/>
                <w:szCs w:val="18"/>
              </w:rPr>
              <w:t xml:space="preserve">$112.23 </w:t>
            </w:r>
          </w:p>
        </w:tc>
        <w:tc>
          <w:tcPr>
            <w:tcW w:w="844" w:type="pct"/>
            <w:gridSpan w:val="2"/>
            <w:noWrap/>
            <w:hideMark/>
          </w:tcPr>
          <w:p w14:paraId="535DFBCC" w14:textId="77777777" w:rsidR="0001781A" w:rsidRPr="000973F2" w:rsidRDefault="0001781A" w:rsidP="00515E32">
            <w:pPr>
              <w:spacing w:before="40" w:after="4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sz w:val="18"/>
                <w:szCs w:val="18"/>
              </w:rPr>
            </w:pPr>
            <w:r w:rsidRPr="000973F2">
              <w:rPr>
                <w:rFonts w:ascii="Times New Roman" w:eastAsia="Times New Roman" w:hAnsi="Times New Roman" w:cs="Times New Roman"/>
                <w:b/>
                <w:bCs/>
                <w:sz w:val="18"/>
                <w:szCs w:val="18"/>
              </w:rPr>
              <w:t xml:space="preserve">$87.45 </w:t>
            </w:r>
          </w:p>
        </w:tc>
        <w:tc>
          <w:tcPr>
            <w:tcW w:w="844" w:type="pct"/>
            <w:gridSpan w:val="2"/>
            <w:noWrap/>
            <w:hideMark/>
          </w:tcPr>
          <w:p w14:paraId="5791A01E" w14:textId="77777777" w:rsidR="0001781A" w:rsidRPr="000973F2" w:rsidRDefault="0001781A" w:rsidP="00515E32">
            <w:pPr>
              <w:spacing w:before="40" w:after="4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sz w:val="18"/>
                <w:szCs w:val="18"/>
              </w:rPr>
            </w:pPr>
            <w:r w:rsidRPr="000973F2">
              <w:rPr>
                <w:rFonts w:ascii="Times New Roman" w:eastAsia="Times New Roman" w:hAnsi="Times New Roman" w:cs="Times New Roman"/>
                <w:b/>
                <w:bCs/>
                <w:sz w:val="18"/>
                <w:szCs w:val="18"/>
              </w:rPr>
              <w:t xml:space="preserve">$71.45 </w:t>
            </w:r>
          </w:p>
        </w:tc>
        <w:tc>
          <w:tcPr>
            <w:tcW w:w="844" w:type="pct"/>
            <w:gridSpan w:val="2"/>
            <w:noWrap/>
            <w:hideMark/>
          </w:tcPr>
          <w:p w14:paraId="08B88508" w14:textId="77777777" w:rsidR="0001781A" w:rsidRPr="000973F2" w:rsidRDefault="0001781A" w:rsidP="00515E32">
            <w:pPr>
              <w:spacing w:before="40" w:after="4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sz w:val="18"/>
                <w:szCs w:val="18"/>
              </w:rPr>
            </w:pPr>
            <w:r w:rsidRPr="000973F2">
              <w:rPr>
                <w:rFonts w:ascii="Times New Roman" w:eastAsia="Times New Roman" w:hAnsi="Times New Roman" w:cs="Times New Roman"/>
                <w:b/>
                <w:bCs/>
                <w:sz w:val="18"/>
                <w:szCs w:val="18"/>
              </w:rPr>
              <w:t xml:space="preserve">$36.28 </w:t>
            </w:r>
          </w:p>
        </w:tc>
        <w:tc>
          <w:tcPr>
            <w:tcW w:w="906" w:type="pct"/>
            <w:gridSpan w:val="2"/>
            <w:vMerge/>
            <w:hideMark/>
          </w:tcPr>
          <w:p w14:paraId="29D42720" w14:textId="77777777" w:rsidR="0001781A" w:rsidRPr="000973F2" w:rsidRDefault="0001781A" w:rsidP="00515E32">
            <w:pPr>
              <w:spacing w:before="40" w:after="4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sz w:val="18"/>
                <w:szCs w:val="18"/>
              </w:rPr>
            </w:pPr>
          </w:p>
        </w:tc>
      </w:tr>
      <w:tr w:rsidR="0001781A" w:rsidRPr="000973F2" w14:paraId="161EC4AB" w14:textId="77777777" w:rsidTr="000379A4">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715" w:type="pct"/>
            <w:vMerge/>
            <w:hideMark/>
          </w:tcPr>
          <w:p w14:paraId="1CC5A08C" w14:textId="77777777" w:rsidR="0001781A" w:rsidRPr="000973F2" w:rsidRDefault="0001781A" w:rsidP="00515E32">
            <w:pPr>
              <w:spacing w:before="40" w:after="40"/>
              <w:rPr>
                <w:rFonts w:ascii="Times New Roman" w:eastAsia="Times New Roman" w:hAnsi="Times New Roman" w:cs="Times New Roman"/>
                <w:b/>
                <w:bCs w:val="0"/>
                <w:sz w:val="18"/>
                <w:szCs w:val="18"/>
              </w:rPr>
            </w:pPr>
          </w:p>
        </w:tc>
        <w:tc>
          <w:tcPr>
            <w:tcW w:w="422" w:type="pct"/>
            <w:tcMar>
              <w:left w:w="14" w:type="dxa"/>
              <w:right w:w="14" w:type="dxa"/>
            </w:tcMar>
            <w:hideMark/>
          </w:tcPr>
          <w:p w14:paraId="57C764A2" w14:textId="0C0F91C7" w:rsidR="0001781A" w:rsidRPr="000973F2" w:rsidRDefault="00A43381" w:rsidP="00515E32">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18"/>
                <w:szCs w:val="18"/>
              </w:rPr>
            </w:pPr>
            <w:r w:rsidRPr="000973F2">
              <w:rPr>
                <w:rFonts w:ascii="Times New Roman" w:eastAsia="Times New Roman" w:hAnsi="Times New Roman" w:cs="Times New Roman"/>
                <w:b/>
                <w:bCs/>
                <w:sz w:val="18"/>
                <w:szCs w:val="18"/>
              </w:rPr>
              <w:t>Initial Year Hours</w:t>
            </w:r>
          </w:p>
        </w:tc>
        <w:tc>
          <w:tcPr>
            <w:tcW w:w="426" w:type="pct"/>
            <w:tcMar>
              <w:left w:w="14" w:type="dxa"/>
              <w:right w:w="14" w:type="dxa"/>
            </w:tcMar>
            <w:hideMark/>
          </w:tcPr>
          <w:p w14:paraId="37DF2F4D" w14:textId="675F9652" w:rsidR="0001781A" w:rsidRPr="000973F2" w:rsidRDefault="00A43381" w:rsidP="00515E32">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18"/>
                <w:szCs w:val="18"/>
              </w:rPr>
            </w:pPr>
            <w:r w:rsidRPr="000973F2">
              <w:rPr>
                <w:rFonts w:ascii="Times New Roman" w:eastAsia="Times New Roman" w:hAnsi="Times New Roman" w:cs="Times New Roman"/>
                <w:b/>
                <w:bCs/>
                <w:sz w:val="18"/>
                <w:szCs w:val="18"/>
              </w:rPr>
              <w:t>Subseq. Year Hours</w:t>
            </w:r>
          </w:p>
        </w:tc>
        <w:tc>
          <w:tcPr>
            <w:tcW w:w="422" w:type="pct"/>
            <w:tcMar>
              <w:left w:w="14" w:type="dxa"/>
              <w:right w:w="14" w:type="dxa"/>
            </w:tcMar>
            <w:hideMark/>
          </w:tcPr>
          <w:p w14:paraId="438F7EEE" w14:textId="6C6D1A95" w:rsidR="0001781A" w:rsidRPr="000973F2" w:rsidRDefault="00A43381" w:rsidP="00515E32">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18"/>
                <w:szCs w:val="18"/>
              </w:rPr>
            </w:pPr>
            <w:r w:rsidRPr="000973F2">
              <w:rPr>
                <w:rFonts w:ascii="Times New Roman" w:eastAsia="Times New Roman" w:hAnsi="Times New Roman" w:cs="Times New Roman"/>
                <w:b/>
                <w:bCs/>
                <w:sz w:val="18"/>
                <w:szCs w:val="18"/>
              </w:rPr>
              <w:t>Initial Year Hours</w:t>
            </w:r>
          </w:p>
        </w:tc>
        <w:tc>
          <w:tcPr>
            <w:tcW w:w="422" w:type="pct"/>
            <w:tcMar>
              <w:left w:w="14" w:type="dxa"/>
              <w:right w:w="14" w:type="dxa"/>
            </w:tcMar>
            <w:hideMark/>
          </w:tcPr>
          <w:p w14:paraId="2AE995B3" w14:textId="563A7887" w:rsidR="0001781A" w:rsidRPr="000973F2" w:rsidRDefault="00A43381" w:rsidP="00515E32">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18"/>
                <w:szCs w:val="18"/>
              </w:rPr>
            </w:pPr>
            <w:r w:rsidRPr="000973F2">
              <w:rPr>
                <w:rFonts w:ascii="Times New Roman" w:eastAsia="Times New Roman" w:hAnsi="Times New Roman" w:cs="Times New Roman"/>
                <w:b/>
                <w:bCs/>
                <w:sz w:val="18"/>
                <w:szCs w:val="18"/>
              </w:rPr>
              <w:t>Subseq. Year Hours</w:t>
            </w:r>
          </w:p>
        </w:tc>
        <w:tc>
          <w:tcPr>
            <w:tcW w:w="422" w:type="pct"/>
            <w:tcMar>
              <w:left w:w="14" w:type="dxa"/>
              <w:right w:w="14" w:type="dxa"/>
            </w:tcMar>
            <w:hideMark/>
          </w:tcPr>
          <w:p w14:paraId="2B589164" w14:textId="4981B9C8" w:rsidR="0001781A" w:rsidRPr="000973F2" w:rsidRDefault="00A43381" w:rsidP="00515E32">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18"/>
                <w:szCs w:val="18"/>
              </w:rPr>
            </w:pPr>
            <w:r w:rsidRPr="000973F2">
              <w:rPr>
                <w:rFonts w:ascii="Times New Roman" w:eastAsia="Times New Roman" w:hAnsi="Times New Roman" w:cs="Times New Roman"/>
                <w:b/>
                <w:bCs/>
                <w:sz w:val="18"/>
                <w:szCs w:val="18"/>
              </w:rPr>
              <w:t>Initial Year Hours</w:t>
            </w:r>
          </w:p>
        </w:tc>
        <w:tc>
          <w:tcPr>
            <w:tcW w:w="422" w:type="pct"/>
            <w:tcMar>
              <w:left w:w="14" w:type="dxa"/>
              <w:right w:w="14" w:type="dxa"/>
            </w:tcMar>
            <w:hideMark/>
          </w:tcPr>
          <w:p w14:paraId="2EDBADB1" w14:textId="46C1FF3B" w:rsidR="0001781A" w:rsidRPr="000973F2" w:rsidRDefault="00A43381" w:rsidP="00515E32">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18"/>
                <w:szCs w:val="18"/>
              </w:rPr>
            </w:pPr>
            <w:r w:rsidRPr="000973F2">
              <w:rPr>
                <w:rFonts w:ascii="Times New Roman" w:eastAsia="Times New Roman" w:hAnsi="Times New Roman" w:cs="Times New Roman"/>
                <w:b/>
                <w:bCs/>
                <w:sz w:val="18"/>
                <w:szCs w:val="18"/>
              </w:rPr>
              <w:t>Subseq. Year Hours</w:t>
            </w:r>
          </w:p>
        </w:tc>
        <w:tc>
          <w:tcPr>
            <w:tcW w:w="422" w:type="pct"/>
            <w:tcMar>
              <w:left w:w="14" w:type="dxa"/>
              <w:right w:w="14" w:type="dxa"/>
            </w:tcMar>
            <w:hideMark/>
          </w:tcPr>
          <w:p w14:paraId="5D696506" w14:textId="572CD19C" w:rsidR="0001781A" w:rsidRPr="000973F2" w:rsidRDefault="00A43381" w:rsidP="00515E32">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18"/>
                <w:szCs w:val="18"/>
              </w:rPr>
            </w:pPr>
            <w:r w:rsidRPr="000973F2">
              <w:rPr>
                <w:rFonts w:ascii="Times New Roman" w:eastAsia="Times New Roman" w:hAnsi="Times New Roman" w:cs="Times New Roman"/>
                <w:b/>
                <w:bCs/>
                <w:sz w:val="18"/>
                <w:szCs w:val="18"/>
              </w:rPr>
              <w:t>Initial Year Hours</w:t>
            </w:r>
          </w:p>
        </w:tc>
        <w:tc>
          <w:tcPr>
            <w:tcW w:w="422" w:type="pct"/>
            <w:tcMar>
              <w:left w:w="14" w:type="dxa"/>
              <w:right w:w="14" w:type="dxa"/>
            </w:tcMar>
            <w:hideMark/>
          </w:tcPr>
          <w:p w14:paraId="7E2DC3D8" w14:textId="30578FAF" w:rsidR="0001781A" w:rsidRPr="000973F2" w:rsidRDefault="00A43381" w:rsidP="00515E32">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18"/>
                <w:szCs w:val="18"/>
              </w:rPr>
            </w:pPr>
            <w:r w:rsidRPr="000973F2">
              <w:rPr>
                <w:rFonts w:ascii="Times New Roman" w:eastAsia="Times New Roman" w:hAnsi="Times New Roman" w:cs="Times New Roman"/>
                <w:b/>
                <w:bCs/>
                <w:sz w:val="18"/>
                <w:szCs w:val="18"/>
              </w:rPr>
              <w:t>Subseq. Year Hours</w:t>
            </w:r>
          </w:p>
        </w:tc>
        <w:tc>
          <w:tcPr>
            <w:tcW w:w="454" w:type="pct"/>
            <w:tcMar>
              <w:left w:w="14" w:type="dxa"/>
              <w:right w:w="14" w:type="dxa"/>
            </w:tcMar>
            <w:hideMark/>
          </w:tcPr>
          <w:p w14:paraId="3CBF3047" w14:textId="77777777" w:rsidR="0001781A" w:rsidRPr="000973F2" w:rsidRDefault="0001781A" w:rsidP="00515E32">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18"/>
                <w:szCs w:val="18"/>
              </w:rPr>
            </w:pPr>
            <w:r w:rsidRPr="000973F2">
              <w:rPr>
                <w:rFonts w:ascii="Times New Roman" w:eastAsia="Times New Roman" w:hAnsi="Times New Roman" w:cs="Times New Roman"/>
                <w:b/>
                <w:bCs/>
                <w:sz w:val="18"/>
                <w:szCs w:val="18"/>
              </w:rPr>
              <w:t>Initial Year</w:t>
            </w:r>
          </w:p>
        </w:tc>
        <w:tc>
          <w:tcPr>
            <w:tcW w:w="452" w:type="pct"/>
            <w:tcMar>
              <w:left w:w="14" w:type="dxa"/>
              <w:right w:w="14" w:type="dxa"/>
            </w:tcMar>
            <w:hideMark/>
          </w:tcPr>
          <w:p w14:paraId="0DABE28C" w14:textId="77777777" w:rsidR="0001781A" w:rsidRPr="000973F2" w:rsidRDefault="0001781A" w:rsidP="00515E32">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18"/>
                <w:szCs w:val="18"/>
              </w:rPr>
            </w:pPr>
            <w:r w:rsidRPr="000973F2">
              <w:rPr>
                <w:rFonts w:ascii="Times New Roman" w:eastAsia="Times New Roman" w:hAnsi="Times New Roman" w:cs="Times New Roman"/>
                <w:b/>
                <w:bCs/>
                <w:sz w:val="18"/>
                <w:szCs w:val="18"/>
              </w:rPr>
              <w:t>Subseq. Year</w:t>
            </w:r>
          </w:p>
        </w:tc>
      </w:tr>
      <w:tr w:rsidR="000379A4" w:rsidRPr="000973F2" w14:paraId="472830DC" w14:textId="77777777" w:rsidTr="000379A4">
        <w:trPr>
          <w:cantSplit/>
        </w:trPr>
        <w:tc>
          <w:tcPr>
            <w:cnfStyle w:val="001000000000" w:firstRow="0" w:lastRow="0" w:firstColumn="1" w:lastColumn="0" w:oddVBand="0" w:evenVBand="0" w:oddHBand="0" w:evenHBand="0" w:firstRowFirstColumn="0" w:firstRowLastColumn="0" w:lastRowFirstColumn="0" w:lastRowLastColumn="0"/>
            <w:tcW w:w="715" w:type="pct"/>
            <w:tcMar>
              <w:right w:w="14" w:type="dxa"/>
            </w:tcMar>
            <w:hideMark/>
          </w:tcPr>
          <w:p w14:paraId="356B8341" w14:textId="77777777" w:rsidR="000379A4" w:rsidRPr="000973F2" w:rsidRDefault="000379A4" w:rsidP="000379A4">
            <w:pPr>
              <w:spacing w:before="40" w:after="4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Planning</w:t>
            </w:r>
          </w:p>
        </w:tc>
        <w:tc>
          <w:tcPr>
            <w:tcW w:w="422" w:type="pct"/>
            <w:noWrap/>
            <w:hideMark/>
          </w:tcPr>
          <w:p w14:paraId="789711C0" w14:textId="499EB346" w:rsidR="000379A4" w:rsidRPr="000973F2" w:rsidRDefault="000379A4" w:rsidP="000379A4">
            <w:pPr>
              <w:spacing w:before="40" w:after="4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w:t>
            </w:r>
          </w:p>
        </w:tc>
        <w:tc>
          <w:tcPr>
            <w:tcW w:w="426" w:type="pct"/>
            <w:noWrap/>
            <w:hideMark/>
          </w:tcPr>
          <w:p w14:paraId="5690FB58" w14:textId="6FCFBCA1" w:rsidR="000379A4" w:rsidRPr="000973F2" w:rsidRDefault="000379A4" w:rsidP="000379A4">
            <w:pPr>
              <w:spacing w:before="40" w:after="4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w:t>
            </w:r>
          </w:p>
        </w:tc>
        <w:tc>
          <w:tcPr>
            <w:tcW w:w="422" w:type="pct"/>
            <w:noWrap/>
            <w:hideMark/>
          </w:tcPr>
          <w:p w14:paraId="13073DE8" w14:textId="61485AA1" w:rsidR="000379A4" w:rsidRPr="000973F2" w:rsidRDefault="000379A4" w:rsidP="000379A4">
            <w:pPr>
              <w:spacing w:before="40" w:after="4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w:t>
            </w:r>
          </w:p>
        </w:tc>
        <w:tc>
          <w:tcPr>
            <w:tcW w:w="422" w:type="pct"/>
            <w:noWrap/>
            <w:hideMark/>
          </w:tcPr>
          <w:p w14:paraId="17DEA614" w14:textId="6BB04CF7" w:rsidR="000379A4" w:rsidRPr="000973F2" w:rsidRDefault="000379A4" w:rsidP="000379A4">
            <w:pPr>
              <w:spacing w:before="40" w:after="4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w:t>
            </w:r>
          </w:p>
        </w:tc>
        <w:tc>
          <w:tcPr>
            <w:tcW w:w="422" w:type="pct"/>
            <w:noWrap/>
            <w:hideMark/>
          </w:tcPr>
          <w:p w14:paraId="53961AF7" w14:textId="46F28471" w:rsidR="000379A4" w:rsidRPr="000973F2" w:rsidRDefault="000379A4" w:rsidP="000379A4">
            <w:pPr>
              <w:tabs>
                <w:tab w:val="decimal" w:pos="339"/>
              </w:tabs>
              <w:spacing w:before="40" w:after="4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w:t>
            </w:r>
          </w:p>
        </w:tc>
        <w:tc>
          <w:tcPr>
            <w:tcW w:w="422" w:type="pct"/>
            <w:noWrap/>
            <w:hideMark/>
          </w:tcPr>
          <w:p w14:paraId="40955D6E" w14:textId="1F0C6BCB" w:rsidR="000379A4" w:rsidRPr="000973F2" w:rsidRDefault="000379A4" w:rsidP="000379A4">
            <w:pPr>
              <w:tabs>
                <w:tab w:val="decimal" w:pos="339"/>
              </w:tabs>
              <w:spacing w:before="40" w:after="4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w:t>
            </w:r>
          </w:p>
        </w:tc>
        <w:tc>
          <w:tcPr>
            <w:tcW w:w="422" w:type="pct"/>
            <w:noWrap/>
            <w:hideMark/>
          </w:tcPr>
          <w:p w14:paraId="3D2E2DC9" w14:textId="1845BAFB" w:rsidR="000379A4" w:rsidRPr="000973F2" w:rsidRDefault="000379A4" w:rsidP="000379A4">
            <w:pPr>
              <w:spacing w:before="40" w:after="4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w:t>
            </w:r>
          </w:p>
        </w:tc>
        <w:tc>
          <w:tcPr>
            <w:tcW w:w="422" w:type="pct"/>
            <w:noWrap/>
            <w:hideMark/>
          </w:tcPr>
          <w:p w14:paraId="2F9F5648" w14:textId="473832B5" w:rsidR="000379A4" w:rsidRPr="000973F2" w:rsidRDefault="000379A4" w:rsidP="000379A4">
            <w:pPr>
              <w:spacing w:before="40" w:after="4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w:t>
            </w:r>
          </w:p>
        </w:tc>
        <w:tc>
          <w:tcPr>
            <w:tcW w:w="454" w:type="pct"/>
            <w:noWrap/>
            <w:hideMark/>
          </w:tcPr>
          <w:p w14:paraId="0EBDCEF8" w14:textId="678D4499" w:rsidR="000379A4" w:rsidRPr="000973F2" w:rsidRDefault="000379A4" w:rsidP="000379A4">
            <w:pPr>
              <w:tabs>
                <w:tab w:val="decimal" w:pos="475"/>
              </w:tabs>
              <w:spacing w:before="40" w:after="4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w:t>
            </w:r>
          </w:p>
        </w:tc>
        <w:tc>
          <w:tcPr>
            <w:tcW w:w="452" w:type="pct"/>
            <w:noWrap/>
            <w:hideMark/>
          </w:tcPr>
          <w:p w14:paraId="22B9A629" w14:textId="1E7F307B" w:rsidR="000379A4" w:rsidRPr="000973F2" w:rsidRDefault="000379A4" w:rsidP="000379A4">
            <w:pPr>
              <w:tabs>
                <w:tab w:val="decimal" w:pos="475"/>
              </w:tabs>
              <w:spacing w:before="40" w:after="4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w:t>
            </w:r>
          </w:p>
        </w:tc>
      </w:tr>
      <w:tr w:rsidR="000379A4" w:rsidRPr="000973F2" w14:paraId="356F6A56" w14:textId="77777777" w:rsidTr="000379A4">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715" w:type="pct"/>
            <w:tcMar>
              <w:right w:w="14" w:type="dxa"/>
            </w:tcMar>
            <w:hideMark/>
          </w:tcPr>
          <w:p w14:paraId="6BE74A13" w14:textId="77777777" w:rsidR="000379A4" w:rsidRPr="000973F2" w:rsidRDefault="000379A4" w:rsidP="000379A4">
            <w:pPr>
              <w:spacing w:before="40" w:after="4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QA/QC</w:t>
            </w:r>
          </w:p>
        </w:tc>
        <w:tc>
          <w:tcPr>
            <w:tcW w:w="422" w:type="pct"/>
            <w:noWrap/>
            <w:hideMark/>
          </w:tcPr>
          <w:p w14:paraId="2311B929" w14:textId="65FFD768" w:rsidR="000379A4" w:rsidRPr="000973F2" w:rsidRDefault="000379A4" w:rsidP="000379A4">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w:t>
            </w:r>
          </w:p>
        </w:tc>
        <w:tc>
          <w:tcPr>
            <w:tcW w:w="426" w:type="pct"/>
            <w:noWrap/>
            <w:hideMark/>
          </w:tcPr>
          <w:p w14:paraId="79F90FEA" w14:textId="1316E7AE" w:rsidR="000379A4" w:rsidRPr="000973F2" w:rsidRDefault="000379A4" w:rsidP="000379A4">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w:t>
            </w:r>
          </w:p>
        </w:tc>
        <w:tc>
          <w:tcPr>
            <w:tcW w:w="422" w:type="pct"/>
            <w:noWrap/>
            <w:hideMark/>
          </w:tcPr>
          <w:p w14:paraId="62E482C9" w14:textId="4D44FFD2" w:rsidR="000379A4" w:rsidRPr="000973F2" w:rsidRDefault="000379A4" w:rsidP="000379A4">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w:t>
            </w:r>
          </w:p>
        </w:tc>
        <w:tc>
          <w:tcPr>
            <w:tcW w:w="422" w:type="pct"/>
            <w:noWrap/>
            <w:hideMark/>
          </w:tcPr>
          <w:p w14:paraId="737A3FBE" w14:textId="6D47C7D1" w:rsidR="000379A4" w:rsidRPr="000973F2" w:rsidRDefault="000379A4" w:rsidP="000379A4">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w:t>
            </w:r>
          </w:p>
        </w:tc>
        <w:tc>
          <w:tcPr>
            <w:tcW w:w="422" w:type="pct"/>
            <w:noWrap/>
            <w:hideMark/>
          </w:tcPr>
          <w:p w14:paraId="33EC5D5A" w14:textId="41E79911" w:rsidR="000379A4" w:rsidRPr="000973F2" w:rsidRDefault="000379A4" w:rsidP="000379A4">
            <w:pPr>
              <w:tabs>
                <w:tab w:val="decimal" w:pos="339"/>
              </w:tabs>
              <w:spacing w:before="40" w:after="4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w:t>
            </w:r>
          </w:p>
        </w:tc>
        <w:tc>
          <w:tcPr>
            <w:tcW w:w="422" w:type="pct"/>
            <w:noWrap/>
            <w:hideMark/>
          </w:tcPr>
          <w:p w14:paraId="0DC60CF5" w14:textId="1C0B4951" w:rsidR="000379A4" w:rsidRPr="000973F2" w:rsidRDefault="000379A4" w:rsidP="000379A4">
            <w:pPr>
              <w:tabs>
                <w:tab w:val="decimal" w:pos="339"/>
              </w:tabs>
              <w:spacing w:before="40" w:after="4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w:t>
            </w:r>
          </w:p>
        </w:tc>
        <w:tc>
          <w:tcPr>
            <w:tcW w:w="422" w:type="pct"/>
            <w:noWrap/>
            <w:hideMark/>
          </w:tcPr>
          <w:p w14:paraId="01EBBC85" w14:textId="1E7A2674" w:rsidR="000379A4" w:rsidRPr="000973F2" w:rsidRDefault="000379A4" w:rsidP="000379A4">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w:t>
            </w:r>
          </w:p>
        </w:tc>
        <w:tc>
          <w:tcPr>
            <w:tcW w:w="422" w:type="pct"/>
            <w:noWrap/>
            <w:hideMark/>
          </w:tcPr>
          <w:p w14:paraId="4BABDF8E" w14:textId="62FD8C5E" w:rsidR="000379A4" w:rsidRPr="000973F2" w:rsidRDefault="000379A4" w:rsidP="000379A4">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w:t>
            </w:r>
          </w:p>
        </w:tc>
        <w:tc>
          <w:tcPr>
            <w:tcW w:w="454" w:type="pct"/>
            <w:noWrap/>
            <w:hideMark/>
          </w:tcPr>
          <w:p w14:paraId="1BAC2EFF" w14:textId="41D125FB" w:rsidR="000379A4" w:rsidRPr="000973F2" w:rsidRDefault="000379A4" w:rsidP="000379A4">
            <w:pPr>
              <w:tabs>
                <w:tab w:val="decimal" w:pos="475"/>
              </w:tabs>
              <w:spacing w:before="40" w:after="4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w:t>
            </w:r>
          </w:p>
        </w:tc>
        <w:tc>
          <w:tcPr>
            <w:tcW w:w="452" w:type="pct"/>
            <w:noWrap/>
            <w:hideMark/>
          </w:tcPr>
          <w:p w14:paraId="3793A00A" w14:textId="2C740A41" w:rsidR="000379A4" w:rsidRPr="000973F2" w:rsidRDefault="000379A4" w:rsidP="000379A4">
            <w:pPr>
              <w:tabs>
                <w:tab w:val="decimal" w:pos="475"/>
              </w:tabs>
              <w:spacing w:before="40" w:after="4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w:t>
            </w:r>
          </w:p>
        </w:tc>
      </w:tr>
      <w:tr w:rsidR="000379A4" w:rsidRPr="000973F2" w14:paraId="7FB1E0CD" w14:textId="77777777" w:rsidTr="000379A4">
        <w:trPr>
          <w:cantSplit/>
        </w:trPr>
        <w:tc>
          <w:tcPr>
            <w:cnfStyle w:val="001000000000" w:firstRow="0" w:lastRow="0" w:firstColumn="1" w:lastColumn="0" w:oddVBand="0" w:evenVBand="0" w:oddHBand="0" w:evenHBand="0" w:firstRowFirstColumn="0" w:firstRowLastColumn="0" w:lastRowFirstColumn="0" w:lastRowLastColumn="0"/>
            <w:tcW w:w="715" w:type="pct"/>
            <w:tcMar>
              <w:right w:w="14" w:type="dxa"/>
            </w:tcMar>
            <w:hideMark/>
          </w:tcPr>
          <w:p w14:paraId="0E4F42C2" w14:textId="77777777" w:rsidR="000379A4" w:rsidRPr="000973F2" w:rsidRDefault="000379A4" w:rsidP="000379A4">
            <w:pPr>
              <w:spacing w:before="40" w:after="4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Recordkeeping</w:t>
            </w:r>
          </w:p>
        </w:tc>
        <w:tc>
          <w:tcPr>
            <w:tcW w:w="422" w:type="pct"/>
            <w:noWrap/>
            <w:hideMark/>
          </w:tcPr>
          <w:p w14:paraId="11C0B3F8" w14:textId="78529CAB" w:rsidR="000379A4" w:rsidRPr="000973F2" w:rsidRDefault="000379A4" w:rsidP="000379A4">
            <w:pPr>
              <w:spacing w:before="40" w:after="4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w:t>
            </w:r>
          </w:p>
        </w:tc>
        <w:tc>
          <w:tcPr>
            <w:tcW w:w="426" w:type="pct"/>
            <w:noWrap/>
            <w:hideMark/>
          </w:tcPr>
          <w:p w14:paraId="28C4DA02" w14:textId="0A57C707" w:rsidR="000379A4" w:rsidRPr="000973F2" w:rsidRDefault="000379A4" w:rsidP="000379A4">
            <w:pPr>
              <w:spacing w:before="40" w:after="4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w:t>
            </w:r>
          </w:p>
        </w:tc>
        <w:tc>
          <w:tcPr>
            <w:tcW w:w="422" w:type="pct"/>
            <w:noWrap/>
            <w:hideMark/>
          </w:tcPr>
          <w:p w14:paraId="22EC38F3" w14:textId="52D18A68" w:rsidR="000379A4" w:rsidRPr="000973F2" w:rsidRDefault="000379A4" w:rsidP="000379A4">
            <w:pPr>
              <w:spacing w:before="40" w:after="4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w:t>
            </w:r>
          </w:p>
        </w:tc>
        <w:tc>
          <w:tcPr>
            <w:tcW w:w="422" w:type="pct"/>
            <w:noWrap/>
            <w:hideMark/>
          </w:tcPr>
          <w:p w14:paraId="5B517AEC" w14:textId="5DB902A8" w:rsidR="000379A4" w:rsidRPr="000973F2" w:rsidRDefault="000379A4" w:rsidP="000379A4">
            <w:pPr>
              <w:spacing w:before="40" w:after="4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w:t>
            </w:r>
          </w:p>
        </w:tc>
        <w:tc>
          <w:tcPr>
            <w:tcW w:w="422" w:type="pct"/>
            <w:noWrap/>
            <w:hideMark/>
          </w:tcPr>
          <w:p w14:paraId="5FE595DC" w14:textId="73DCFD09" w:rsidR="000379A4" w:rsidRPr="000973F2" w:rsidRDefault="000379A4" w:rsidP="000379A4">
            <w:pPr>
              <w:tabs>
                <w:tab w:val="decimal" w:pos="339"/>
              </w:tabs>
              <w:spacing w:before="40" w:after="4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w:t>
            </w:r>
          </w:p>
        </w:tc>
        <w:tc>
          <w:tcPr>
            <w:tcW w:w="422" w:type="pct"/>
            <w:noWrap/>
            <w:hideMark/>
          </w:tcPr>
          <w:p w14:paraId="05B308DE" w14:textId="7122015C" w:rsidR="000379A4" w:rsidRPr="000973F2" w:rsidRDefault="000379A4" w:rsidP="000379A4">
            <w:pPr>
              <w:tabs>
                <w:tab w:val="decimal" w:pos="339"/>
              </w:tabs>
              <w:spacing w:before="40" w:after="4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w:t>
            </w:r>
          </w:p>
        </w:tc>
        <w:tc>
          <w:tcPr>
            <w:tcW w:w="422" w:type="pct"/>
            <w:noWrap/>
            <w:hideMark/>
          </w:tcPr>
          <w:p w14:paraId="4067EE5C" w14:textId="563F9CE4" w:rsidR="000379A4" w:rsidRPr="000973F2" w:rsidRDefault="000379A4" w:rsidP="000379A4">
            <w:pPr>
              <w:spacing w:before="40" w:after="4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w:t>
            </w:r>
          </w:p>
        </w:tc>
        <w:tc>
          <w:tcPr>
            <w:tcW w:w="422" w:type="pct"/>
            <w:noWrap/>
            <w:hideMark/>
          </w:tcPr>
          <w:p w14:paraId="6E3024B9" w14:textId="0C3D5044" w:rsidR="000379A4" w:rsidRPr="000973F2" w:rsidRDefault="000379A4" w:rsidP="000379A4">
            <w:pPr>
              <w:spacing w:before="40" w:after="4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w:t>
            </w:r>
          </w:p>
        </w:tc>
        <w:tc>
          <w:tcPr>
            <w:tcW w:w="454" w:type="pct"/>
            <w:noWrap/>
            <w:hideMark/>
          </w:tcPr>
          <w:p w14:paraId="47FDBD3A" w14:textId="5582C594" w:rsidR="000379A4" w:rsidRPr="000973F2" w:rsidRDefault="000379A4" w:rsidP="000379A4">
            <w:pPr>
              <w:tabs>
                <w:tab w:val="decimal" w:pos="475"/>
              </w:tabs>
              <w:spacing w:before="40" w:after="4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w:t>
            </w:r>
          </w:p>
        </w:tc>
        <w:tc>
          <w:tcPr>
            <w:tcW w:w="452" w:type="pct"/>
            <w:noWrap/>
            <w:hideMark/>
          </w:tcPr>
          <w:p w14:paraId="6C5122D3" w14:textId="55C5AFCE" w:rsidR="000379A4" w:rsidRPr="000973F2" w:rsidRDefault="000379A4" w:rsidP="000379A4">
            <w:pPr>
              <w:tabs>
                <w:tab w:val="decimal" w:pos="475"/>
              </w:tabs>
              <w:spacing w:before="40" w:after="4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w:t>
            </w:r>
          </w:p>
        </w:tc>
      </w:tr>
      <w:tr w:rsidR="000379A4" w:rsidRPr="000973F2" w14:paraId="0F8FFF6B" w14:textId="77777777" w:rsidTr="000379A4">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715" w:type="pct"/>
            <w:tcMar>
              <w:right w:w="14" w:type="dxa"/>
            </w:tcMar>
            <w:hideMark/>
          </w:tcPr>
          <w:p w14:paraId="660A04E4" w14:textId="77777777" w:rsidR="000379A4" w:rsidRPr="000973F2" w:rsidRDefault="000379A4" w:rsidP="000379A4">
            <w:pPr>
              <w:spacing w:before="40" w:after="4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Sampling and Analysis (Calculations)</w:t>
            </w:r>
          </w:p>
        </w:tc>
        <w:tc>
          <w:tcPr>
            <w:tcW w:w="422" w:type="pct"/>
            <w:noWrap/>
            <w:hideMark/>
          </w:tcPr>
          <w:p w14:paraId="296A98BD" w14:textId="50B6004D" w:rsidR="000379A4" w:rsidRPr="000973F2" w:rsidRDefault="000379A4" w:rsidP="000379A4">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6"/>
                <w:szCs w:val="16"/>
              </w:rPr>
              <w:t>0</w:t>
            </w:r>
          </w:p>
        </w:tc>
        <w:tc>
          <w:tcPr>
            <w:tcW w:w="426" w:type="pct"/>
            <w:noWrap/>
            <w:hideMark/>
          </w:tcPr>
          <w:p w14:paraId="79725270" w14:textId="5193F239" w:rsidR="000379A4" w:rsidRPr="000973F2" w:rsidRDefault="000379A4" w:rsidP="000379A4">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6"/>
                <w:szCs w:val="16"/>
              </w:rPr>
              <w:t>0</w:t>
            </w:r>
          </w:p>
        </w:tc>
        <w:tc>
          <w:tcPr>
            <w:tcW w:w="422" w:type="pct"/>
            <w:noWrap/>
            <w:hideMark/>
          </w:tcPr>
          <w:p w14:paraId="31D19357" w14:textId="7210F3DC" w:rsidR="000379A4" w:rsidRPr="000973F2" w:rsidRDefault="000379A4" w:rsidP="000379A4">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6"/>
                <w:szCs w:val="16"/>
              </w:rPr>
              <w:t>0</w:t>
            </w:r>
          </w:p>
        </w:tc>
        <w:tc>
          <w:tcPr>
            <w:tcW w:w="422" w:type="pct"/>
            <w:noWrap/>
            <w:hideMark/>
          </w:tcPr>
          <w:p w14:paraId="500E45CC" w14:textId="29BE293E" w:rsidR="000379A4" w:rsidRPr="000973F2" w:rsidRDefault="000379A4" w:rsidP="000379A4">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6"/>
                <w:szCs w:val="16"/>
              </w:rPr>
              <w:t>0</w:t>
            </w:r>
          </w:p>
        </w:tc>
        <w:tc>
          <w:tcPr>
            <w:tcW w:w="422" w:type="pct"/>
            <w:noWrap/>
            <w:hideMark/>
          </w:tcPr>
          <w:p w14:paraId="4E98911B" w14:textId="77777777" w:rsidR="000379A4" w:rsidRPr="000973F2" w:rsidRDefault="000379A4" w:rsidP="000379A4">
            <w:pPr>
              <w:tabs>
                <w:tab w:val="decimal" w:pos="339"/>
              </w:tabs>
              <w:spacing w:before="40" w:after="4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80</w:t>
            </w:r>
          </w:p>
        </w:tc>
        <w:tc>
          <w:tcPr>
            <w:tcW w:w="422" w:type="pct"/>
            <w:noWrap/>
            <w:hideMark/>
          </w:tcPr>
          <w:p w14:paraId="4E038529" w14:textId="77777777" w:rsidR="000379A4" w:rsidRPr="000973F2" w:rsidRDefault="000379A4" w:rsidP="000379A4">
            <w:pPr>
              <w:tabs>
                <w:tab w:val="decimal" w:pos="339"/>
              </w:tabs>
              <w:spacing w:before="40" w:after="4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80</w:t>
            </w:r>
          </w:p>
        </w:tc>
        <w:tc>
          <w:tcPr>
            <w:tcW w:w="422" w:type="pct"/>
            <w:noWrap/>
            <w:hideMark/>
          </w:tcPr>
          <w:p w14:paraId="78185341" w14:textId="3E492173" w:rsidR="000379A4" w:rsidRPr="000973F2" w:rsidRDefault="000379A4" w:rsidP="000379A4">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6"/>
                <w:szCs w:val="16"/>
              </w:rPr>
              <w:t>0</w:t>
            </w:r>
          </w:p>
        </w:tc>
        <w:tc>
          <w:tcPr>
            <w:tcW w:w="422" w:type="pct"/>
            <w:noWrap/>
            <w:hideMark/>
          </w:tcPr>
          <w:p w14:paraId="583ECAE4" w14:textId="6F401158" w:rsidR="000379A4" w:rsidRPr="000973F2" w:rsidRDefault="000379A4" w:rsidP="000379A4">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6"/>
                <w:szCs w:val="16"/>
              </w:rPr>
              <w:t>0</w:t>
            </w:r>
          </w:p>
        </w:tc>
        <w:tc>
          <w:tcPr>
            <w:tcW w:w="454" w:type="pct"/>
            <w:noWrap/>
            <w:hideMark/>
          </w:tcPr>
          <w:p w14:paraId="7BFA646A" w14:textId="723AD176" w:rsidR="000379A4" w:rsidRPr="000973F2" w:rsidRDefault="000379A4" w:rsidP="000379A4">
            <w:pPr>
              <w:tabs>
                <w:tab w:val="decimal" w:pos="475"/>
              </w:tabs>
              <w:spacing w:before="40" w:after="4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$5,716</w:t>
            </w:r>
          </w:p>
        </w:tc>
        <w:tc>
          <w:tcPr>
            <w:tcW w:w="452" w:type="pct"/>
            <w:noWrap/>
            <w:hideMark/>
          </w:tcPr>
          <w:p w14:paraId="4FEB43AC" w14:textId="55829B18" w:rsidR="000379A4" w:rsidRPr="000973F2" w:rsidRDefault="000379A4" w:rsidP="000379A4">
            <w:pPr>
              <w:tabs>
                <w:tab w:val="decimal" w:pos="475"/>
              </w:tabs>
              <w:spacing w:before="40" w:after="4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$5,716</w:t>
            </w:r>
          </w:p>
        </w:tc>
      </w:tr>
      <w:tr w:rsidR="000379A4" w:rsidRPr="000973F2" w14:paraId="187D7087" w14:textId="77777777" w:rsidTr="000379A4">
        <w:trPr>
          <w:cantSplit/>
        </w:trPr>
        <w:tc>
          <w:tcPr>
            <w:cnfStyle w:val="001000000000" w:firstRow="0" w:lastRow="0" w:firstColumn="1" w:lastColumn="0" w:oddVBand="0" w:evenVBand="0" w:oddHBand="0" w:evenHBand="0" w:firstRowFirstColumn="0" w:firstRowLastColumn="0" w:lastRowFirstColumn="0" w:lastRowLastColumn="0"/>
            <w:tcW w:w="715" w:type="pct"/>
            <w:tcMar>
              <w:right w:w="14" w:type="dxa"/>
            </w:tcMar>
            <w:hideMark/>
          </w:tcPr>
          <w:p w14:paraId="22466EDC" w14:textId="77777777" w:rsidR="000379A4" w:rsidRPr="000973F2" w:rsidRDefault="000379A4" w:rsidP="000379A4">
            <w:pPr>
              <w:spacing w:before="40" w:after="4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Reporting</w:t>
            </w:r>
          </w:p>
        </w:tc>
        <w:tc>
          <w:tcPr>
            <w:tcW w:w="422" w:type="pct"/>
            <w:noWrap/>
            <w:hideMark/>
          </w:tcPr>
          <w:p w14:paraId="0317B03D" w14:textId="5BABE720" w:rsidR="000379A4" w:rsidRPr="000973F2" w:rsidRDefault="000379A4" w:rsidP="000379A4">
            <w:pPr>
              <w:spacing w:before="40" w:after="4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w:t>
            </w:r>
          </w:p>
        </w:tc>
        <w:tc>
          <w:tcPr>
            <w:tcW w:w="426" w:type="pct"/>
            <w:noWrap/>
            <w:hideMark/>
          </w:tcPr>
          <w:p w14:paraId="3ED0BE1F" w14:textId="4B387A86" w:rsidR="000379A4" w:rsidRPr="000973F2" w:rsidRDefault="000379A4" w:rsidP="000379A4">
            <w:pPr>
              <w:spacing w:before="40" w:after="4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w:t>
            </w:r>
          </w:p>
        </w:tc>
        <w:tc>
          <w:tcPr>
            <w:tcW w:w="422" w:type="pct"/>
            <w:noWrap/>
            <w:hideMark/>
          </w:tcPr>
          <w:p w14:paraId="691A7A50" w14:textId="20D4FFFE" w:rsidR="000379A4" w:rsidRPr="000973F2" w:rsidRDefault="000379A4" w:rsidP="000379A4">
            <w:pPr>
              <w:spacing w:before="40" w:after="4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w:t>
            </w:r>
          </w:p>
        </w:tc>
        <w:tc>
          <w:tcPr>
            <w:tcW w:w="422" w:type="pct"/>
            <w:noWrap/>
            <w:hideMark/>
          </w:tcPr>
          <w:p w14:paraId="37D331BE" w14:textId="4DFA6633" w:rsidR="000379A4" w:rsidRPr="000973F2" w:rsidRDefault="000379A4" w:rsidP="000379A4">
            <w:pPr>
              <w:spacing w:before="40" w:after="4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w:t>
            </w:r>
          </w:p>
        </w:tc>
        <w:tc>
          <w:tcPr>
            <w:tcW w:w="422" w:type="pct"/>
            <w:noWrap/>
            <w:hideMark/>
          </w:tcPr>
          <w:p w14:paraId="3C282854" w14:textId="2B0C5C23" w:rsidR="000379A4" w:rsidRPr="000973F2" w:rsidRDefault="000379A4" w:rsidP="000379A4">
            <w:pPr>
              <w:tabs>
                <w:tab w:val="decimal" w:pos="339"/>
              </w:tabs>
              <w:spacing w:before="40" w:after="4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w:t>
            </w:r>
          </w:p>
        </w:tc>
        <w:tc>
          <w:tcPr>
            <w:tcW w:w="422" w:type="pct"/>
            <w:noWrap/>
            <w:hideMark/>
          </w:tcPr>
          <w:p w14:paraId="6BA00457" w14:textId="2C338351" w:rsidR="000379A4" w:rsidRPr="000973F2" w:rsidRDefault="000379A4" w:rsidP="000379A4">
            <w:pPr>
              <w:tabs>
                <w:tab w:val="decimal" w:pos="339"/>
              </w:tabs>
              <w:spacing w:before="40" w:after="4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w:t>
            </w:r>
          </w:p>
        </w:tc>
        <w:tc>
          <w:tcPr>
            <w:tcW w:w="422" w:type="pct"/>
            <w:noWrap/>
            <w:hideMark/>
          </w:tcPr>
          <w:p w14:paraId="74D37809" w14:textId="2140CD9F" w:rsidR="000379A4" w:rsidRPr="000973F2" w:rsidRDefault="000379A4" w:rsidP="000379A4">
            <w:pPr>
              <w:spacing w:before="40" w:after="4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w:t>
            </w:r>
          </w:p>
        </w:tc>
        <w:tc>
          <w:tcPr>
            <w:tcW w:w="422" w:type="pct"/>
            <w:noWrap/>
            <w:hideMark/>
          </w:tcPr>
          <w:p w14:paraId="6FB0E9FA" w14:textId="49A4B593" w:rsidR="000379A4" w:rsidRPr="000973F2" w:rsidRDefault="000379A4" w:rsidP="000379A4">
            <w:pPr>
              <w:spacing w:before="40" w:after="4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w:t>
            </w:r>
          </w:p>
        </w:tc>
        <w:tc>
          <w:tcPr>
            <w:tcW w:w="454" w:type="pct"/>
            <w:noWrap/>
            <w:hideMark/>
          </w:tcPr>
          <w:p w14:paraId="710D0DA2" w14:textId="19CD8533" w:rsidR="000379A4" w:rsidRPr="000973F2" w:rsidRDefault="000379A4" w:rsidP="000379A4">
            <w:pPr>
              <w:tabs>
                <w:tab w:val="decimal" w:pos="475"/>
              </w:tabs>
              <w:spacing w:before="40" w:after="4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w:t>
            </w:r>
          </w:p>
        </w:tc>
        <w:tc>
          <w:tcPr>
            <w:tcW w:w="452" w:type="pct"/>
            <w:noWrap/>
            <w:hideMark/>
          </w:tcPr>
          <w:p w14:paraId="1CD0FCC2" w14:textId="31A47F4B" w:rsidR="000379A4" w:rsidRPr="000973F2" w:rsidRDefault="000379A4" w:rsidP="000379A4">
            <w:pPr>
              <w:tabs>
                <w:tab w:val="decimal" w:pos="475"/>
              </w:tabs>
              <w:spacing w:before="40" w:after="4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w:t>
            </w:r>
          </w:p>
        </w:tc>
      </w:tr>
      <w:tr w:rsidR="0001781A" w:rsidRPr="000973F2" w14:paraId="34384C93" w14:textId="77777777" w:rsidTr="000379A4">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715" w:type="pct"/>
            <w:noWrap/>
            <w:tcMar>
              <w:right w:w="14" w:type="dxa"/>
            </w:tcMar>
            <w:hideMark/>
          </w:tcPr>
          <w:p w14:paraId="1F529A8D" w14:textId="77777777" w:rsidR="0001781A" w:rsidRPr="000973F2" w:rsidRDefault="0001781A" w:rsidP="00515E32">
            <w:pPr>
              <w:spacing w:before="40" w:after="40"/>
              <w:rPr>
                <w:rFonts w:ascii="Times New Roman" w:eastAsia="Times New Roman" w:hAnsi="Times New Roman" w:cs="Times New Roman"/>
                <w:b/>
                <w:bCs w:val="0"/>
                <w:sz w:val="18"/>
                <w:szCs w:val="18"/>
              </w:rPr>
            </w:pPr>
            <w:r w:rsidRPr="000973F2">
              <w:rPr>
                <w:rFonts w:ascii="Times New Roman" w:eastAsia="Times New Roman" w:hAnsi="Times New Roman" w:cs="Times New Roman"/>
                <w:b/>
                <w:sz w:val="18"/>
                <w:szCs w:val="18"/>
              </w:rPr>
              <w:t>Total</w:t>
            </w:r>
          </w:p>
        </w:tc>
        <w:tc>
          <w:tcPr>
            <w:tcW w:w="422" w:type="pct"/>
            <w:noWrap/>
            <w:hideMark/>
          </w:tcPr>
          <w:p w14:paraId="3EFFCCD8" w14:textId="77777777" w:rsidR="0001781A" w:rsidRPr="000973F2" w:rsidRDefault="0001781A" w:rsidP="00515E32">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18"/>
                <w:szCs w:val="18"/>
              </w:rPr>
            </w:pPr>
            <w:r w:rsidRPr="000973F2">
              <w:rPr>
                <w:rFonts w:ascii="Times New Roman" w:eastAsia="Times New Roman" w:hAnsi="Times New Roman" w:cs="Times New Roman"/>
                <w:b/>
                <w:bCs/>
                <w:sz w:val="18"/>
                <w:szCs w:val="18"/>
              </w:rPr>
              <w:t>0</w:t>
            </w:r>
          </w:p>
        </w:tc>
        <w:tc>
          <w:tcPr>
            <w:tcW w:w="426" w:type="pct"/>
            <w:noWrap/>
            <w:hideMark/>
          </w:tcPr>
          <w:p w14:paraId="76624817" w14:textId="77777777" w:rsidR="0001781A" w:rsidRPr="000973F2" w:rsidRDefault="0001781A" w:rsidP="00515E32">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18"/>
                <w:szCs w:val="18"/>
              </w:rPr>
            </w:pPr>
            <w:r w:rsidRPr="000973F2">
              <w:rPr>
                <w:rFonts w:ascii="Times New Roman" w:eastAsia="Times New Roman" w:hAnsi="Times New Roman" w:cs="Times New Roman"/>
                <w:b/>
                <w:bCs/>
                <w:sz w:val="18"/>
                <w:szCs w:val="18"/>
              </w:rPr>
              <w:t>0</w:t>
            </w:r>
          </w:p>
        </w:tc>
        <w:tc>
          <w:tcPr>
            <w:tcW w:w="422" w:type="pct"/>
            <w:noWrap/>
            <w:hideMark/>
          </w:tcPr>
          <w:p w14:paraId="3374A174" w14:textId="77777777" w:rsidR="0001781A" w:rsidRPr="000973F2" w:rsidRDefault="0001781A" w:rsidP="00515E32">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18"/>
                <w:szCs w:val="18"/>
              </w:rPr>
            </w:pPr>
            <w:r w:rsidRPr="000973F2">
              <w:rPr>
                <w:rFonts w:ascii="Times New Roman" w:eastAsia="Times New Roman" w:hAnsi="Times New Roman" w:cs="Times New Roman"/>
                <w:b/>
                <w:bCs/>
                <w:sz w:val="18"/>
                <w:szCs w:val="18"/>
              </w:rPr>
              <w:t>0</w:t>
            </w:r>
          </w:p>
        </w:tc>
        <w:tc>
          <w:tcPr>
            <w:tcW w:w="422" w:type="pct"/>
            <w:noWrap/>
            <w:hideMark/>
          </w:tcPr>
          <w:p w14:paraId="1C62A5CD" w14:textId="77777777" w:rsidR="0001781A" w:rsidRPr="000973F2" w:rsidRDefault="0001781A" w:rsidP="00515E32">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18"/>
                <w:szCs w:val="18"/>
              </w:rPr>
            </w:pPr>
            <w:r w:rsidRPr="000973F2">
              <w:rPr>
                <w:rFonts w:ascii="Times New Roman" w:eastAsia="Times New Roman" w:hAnsi="Times New Roman" w:cs="Times New Roman"/>
                <w:b/>
                <w:bCs/>
                <w:sz w:val="18"/>
                <w:szCs w:val="18"/>
              </w:rPr>
              <w:t>0</w:t>
            </w:r>
          </w:p>
        </w:tc>
        <w:tc>
          <w:tcPr>
            <w:tcW w:w="422" w:type="pct"/>
            <w:noWrap/>
            <w:hideMark/>
          </w:tcPr>
          <w:p w14:paraId="0F7F67F7" w14:textId="77777777" w:rsidR="0001781A" w:rsidRPr="000973F2" w:rsidRDefault="0001781A" w:rsidP="00515E32">
            <w:pPr>
              <w:tabs>
                <w:tab w:val="decimal" w:pos="339"/>
              </w:tabs>
              <w:spacing w:before="40" w:after="4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18"/>
                <w:szCs w:val="18"/>
              </w:rPr>
            </w:pPr>
            <w:r w:rsidRPr="000973F2">
              <w:rPr>
                <w:rFonts w:ascii="Times New Roman" w:eastAsia="Times New Roman" w:hAnsi="Times New Roman" w:cs="Times New Roman"/>
                <w:b/>
                <w:bCs/>
                <w:sz w:val="18"/>
                <w:szCs w:val="18"/>
              </w:rPr>
              <w:t>80</w:t>
            </w:r>
          </w:p>
        </w:tc>
        <w:tc>
          <w:tcPr>
            <w:tcW w:w="422" w:type="pct"/>
            <w:noWrap/>
            <w:hideMark/>
          </w:tcPr>
          <w:p w14:paraId="25C434F1" w14:textId="77777777" w:rsidR="0001781A" w:rsidRPr="000973F2" w:rsidRDefault="0001781A" w:rsidP="00515E32">
            <w:pPr>
              <w:tabs>
                <w:tab w:val="decimal" w:pos="339"/>
              </w:tabs>
              <w:spacing w:before="40" w:after="4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18"/>
                <w:szCs w:val="18"/>
              </w:rPr>
            </w:pPr>
            <w:r w:rsidRPr="000973F2">
              <w:rPr>
                <w:rFonts w:ascii="Times New Roman" w:eastAsia="Times New Roman" w:hAnsi="Times New Roman" w:cs="Times New Roman"/>
                <w:b/>
                <w:bCs/>
                <w:sz w:val="18"/>
                <w:szCs w:val="18"/>
              </w:rPr>
              <w:t>80</w:t>
            </w:r>
          </w:p>
        </w:tc>
        <w:tc>
          <w:tcPr>
            <w:tcW w:w="422" w:type="pct"/>
            <w:noWrap/>
            <w:hideMark/>
          </w:tcPr>
          <w:p w14:paraId="732FBC97" w14:textId="77777777" w:rsidR="0001781A" w:rsidRPr="000973F2" w:rsidRDefault="0001781A" w:rsidP="00515E32">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18"/>
                <w:szCs w:val="18"/>
              </w:rPr>
            </w:pPr>
            <w:r w:rsidRPr="000973F2">
              <w:rPr>
                <w:rFonts w:ascii="Times New Roman" w:eastAsia="Times New Roman" w:hAnsi="Times New Roman" w:cs="Times New Roman"/>
                <w:b/>
                <w:bCs/>
                <w:sz w:val="18"/>
                <w:szCs w:val="18"/>
              </w:rPr>
              <w:t>0</w:t>
            </w:r>
          </w:p>
        </w:tc>
        <w:tc>
          <w:tcPr>
            <w:tcW w:w="422" w:type="pct"/>
            <w:noWrap/>
            <w:hideMark/>
          </w:tcPr>
          <w:p w14:paraId="0962F228" w14:textId="77777777" w:rsidR="0001781A" w:rsidRPr="000973F2" w:rsidRDefault="0001781A" w:rsidP="00515E32">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18"/>
                <w:szCs w:val="18"/>
              </w:rPr>
            </w:pPr>
            <w:r w:rsidRPr="000973F2">
              <w:rPr>
                <w:rFonts w:ascii="Times New Roman" w:eastAsia="Times New Roman" w:hAnsi="Times New Roman" w:cs="Times New Roman"/>
                <w:b/>
                <w:bCs/>
                <w:sz w:val="18"/>
                <w:szCs w:val="18"/>
              </w:rPr>
              <w:t>0</w:t>
            </w:r>
          </w:p>
        </w:tc>
        <w:tc>
          <w:tcPr>
            <w:tcW w:w="454" w:type="pct"/>
            <w:noWrap/>
            <w:hideMark/>
          </w:tcPr>
          <w:p w14:paraId="33F0A167" w14:textId="187AC02C" w:rsidR="0001781A" w:rsidRPr="000973F2" w:rsidRDefault="0001781A" w:rsidP="00515E32">
            <w:pPr>
              <w:tabs>
                <w:tab w:val="decimal" w:pos="475"/>
              </w:tabs>
              <w:spacing w:before="40" w:after="4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18"/>
                <w:szCs w:val="18"/>
              </w:rPr>
            </w:pPr>
            <w:r w:rsidRPr="000973F2">
              <w:rPr>
                <w:rFonts w:ascii="Times New Roman" w:eastAsia="Times New Roman" w:hAnsi="Times New Roman" w:cs="Times New Roman"/>
                <w:b/>
                <w:bCs/>
                <w:sz w:val="18"/>
                <w:szCs w:val="18"/>
              </w:rPr>
              <w:t>$5,716</w:t>
            </w:r>
          </w:p>
        </w:tc>
        <w:tc>
          <w:tcPr>
            <w:tcW w:w="452" w:type="pct"/>
            <w:noWrap/>
            <w:hideMark/>
          </w:tcPr>
          <w:p w14:paraId="316CC117" w14:textId="0E84D20C" w:rsidR="0001781A" w:rsidRPr="000973F2" w:rsidRDefault="0001781A" w:rsidP="00515E32">
            <w:pPr>
              <w:tabs>
                <w:tab w:val="decimal" w:pos="475"/>
              </w:tabs>
              <w:spacing w:before="40" w:after="4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18"/>
                <w:szCs w:val="18"/>
              </w:rPr>
            </w:pPr>
            <w:r w:rsidRPr="000973F2">
              <w:rPr>
                <w:rFonts w:ascii="Times New Roman" w:eastAsia="Times New Roman" w:hAnsi="Times New Roman" w:cs="Times New Roman"/>
                <w:b/>
                <w:bCs/>
                <w:sz w:val="18"/>
                <w:szCs w:val="18"/>
              </w:rPr>
              <w:t>$5,716</w:t>
            </w:r>
          </w:p>
        </w:tc>
      </w:tr>
    </w:tbl>
    <w:p w14:paraId="6EDE663C" w14:textId="77777777" w:rsidR="0001781A" w:rsidRPr="000973F2" w:rsidRDefault="0001781A" w:rsidP="00C00E4F">
      <w:pPr>
        <w:pStyle w:val="TableName"/>
        <w:spacing w:line="240" w:lineRule="auto"/>
      </w:pPr>
      <w:r w:rsidRPr="000973F2">
        <w:br w:type="page"/>
      </w:r>
    </w:p>
    <w:p w14:paraId="65050CE5" w14:textId="7FCB57B4" w:rsidR="0001781A" w:rsidRPr="000973F2" w:rsidRDefault="0001781A" w:rsidP="00515E32">
      <w:pPr>
        <w:pStyle w:val="Tabletitle"/>
      </w:pPr>
      <w:r w:rsidRPr="000973F2">
        <w:t xml:space="preserve">Table </w:t>
      </w:r>
      <w:r w:rsidR="00515E32" w:rsidRPr="000973F2">
        <w:t>C-</w:t>
      </w:r>
      <w:r w:rsidRPr="000973F2">
        <w:t>2f. Labor Costs</w:t>
      </w:r>
      <w:r w:rsidR="00CC6C17" w:rsidRPr="000973F2">
        <w:t xml:space="preserve"> – </w:t>
      </w:r>
      <w:r w:rsidRPr="000973F2">
        <w:t>Subpart C</w:t>
      </w:r>
      <w:r w:rsidR="00CC6C17" w:rsidRPr="000973F2">
        <w:t xml:space="preserve"> – </w:t>
      </w:r>
      <w:r w:rsidRPr="000973F2">
        <w:t>Facilities reporting using Alternative 40 CFR Part 75</w:t>
      </w:r>
    </w:p>
    <w:p w14:paraId="0DCCAC33" w14:textId="77777777" w:rsidR="0001781A" w:rsidRPr="000973F2" w:rsidRDefault="0001781A" w:rsidP="00C00E4F">
      <w:pPr>
        <w:rPr>
          <w:i/>
        </w:rPr>
      </w:pPr>
      <w:r w:rsidRPr="000973F2">
        <w:rPr>
          <w:rFonts w:ascii="Times New Roman" w:hAnsi="Times New Roman" w:cs="Times New Roman"/>
          <w:i/>
        </w:rPr>
        <w:t>Subpart C only</w:t>
      </w:r>
    </w:p>
    <w:tbl>
      <w:tblPr>
        <w:tblStyle w:val="PlainTable1"/>
        <w:tblW w:w="5000" w:type="pct"/>
        <w:jc w:val="left"/>
        <w:tblLayout w:type="fixed"/>
        <w:tblCellMar>
          <w:left w:w="115" w:type="dxa"/>
          <w:right w:w="115" w:type="dxa"/>
        </w:tblCellMar>
        <w:tblLook w:val="04A0" w:firstRow="1" w:lastRow="0" w:firstColumn="1" w:lastColumn="0" w:noHBand="0" w:noVBand="1"/>
      </w:tblPr>
      <w:tblGrid>
        <w:gridCol w:w="1372"/>
        <w:gridCol w:w="810"/>
        <w:gridCol w:w="818"/>
        <w:gridCol w:w="809"/>
        <w:gridCol w:w="809"/>
        <w:gridCol w:w="809"/>
        <w:gridCol w:w="809"/>
        <w:gridCol w:w="809"/>
        <w:gridCol w:w="809"/>
        <w:gridCol w:w="871"/>
        <w:gridCol w:w="865"/>
      </w:tblGrid>
      <w:tr w:rsidR="0001781A" w:rsidRPr="000973F2" w14:paraId="2B46EB20" w14:textId="77777777" w:rsidTr="00125923">
        <w:trPr>
          <w:cnfStyle w:val="100000000000" w:firstRow="1" w:lastRow="0" w:firstColumn="0" w:lastColumn="0" w:oddVBand="0" w:evenVBand="0" w:oddHBand="0" w:evenHBand="0" w:firstRowFirstColumn="0" w:firstRowLastColumn="0" w:lastRowFirstColumn="0" w:lastRowLastColumn="0"/>
          <w:cantSplit/>
          <w:jc w:val="left"/>
        </w:trPr>
        <w:tc>
          <w:tcPr>
            <w:cnfStyle w:val="001000000000" w:firstRow="0" w:lastRow="0" w:firstColumn="1" w:lastColumn="0" w:oddVBand="0" w:evenVBand="0" w:oddHBand="0" w:evenHBand="0" w:firstRowFirstColumn="0" w:firstRowLastColumn="0" w:lastRowFirstColumn="0" w:lastRowLastColumn="0"/>
            <w:tcW w:w="715" w:type="pct"/>
            <w:vMerge w:val="restart"/>
            <w:noWrap/>
            <w:vAlign w:val="top"/>
            <w:hideMark/>
          </w:tcPr>
          <w:p w14:paraId="7FF6CF6E" w14:textId="77777777" w:rsidR="0001781A" w:rsidRPr="000973F2" w:rsidRDefault="0001781A" w:rsidP="008548FA">
            <w:pPr>
              <w:spacing w:before="40" w:after="40"/>
              <w:rPr>
                <w:rFonts w:ascii="Times New Roman" w:eastAsia="Times New Roman" w:hAnsi="Times New Roman" w:cs="Times New Roman"/>
                <w:b w:val="0"/>
                <w:bCs w:val="0"/>
                <w:sz w:val="18"/>
                <w:szCs w:val="18"/>
              </w:rPr>
            </w:pPr>
            <w:r w:rsidRPr="000973F2">
              <w:rPr>
                <w:rFonts w:ascii="Times New Roman" w:eastAsia="Times New Roman" w:hAnsi="Times New Roman" w:cs="Times New Roman"/>
                <w:sz w:val="18"/>
                <w:szCs w:val="18"/>
              </w:rPr>
              <w:t>Activity</w:t>
            </w:r>
          </w:p>
        </w:tc>
        <w:tc>
          <w:tcPr>
            <w:tcW w:w="3379" w:type="pct"/>
            <w:gridSpan w:val="8"/>
            <w:noWrap/>
            <w:vAlign w:val="top"/>
            <w:hideMark/>
          </w:tcPr>
          <w:p w14:paraId="3A80A3ED" w14:textId="77777777" w:rsidR="0001781A" w:rsidRPr="000973F2" w:rsidRDefault="0001781A" w:rsidP="008548FA">
            <w:pPr>
              <w:spacing w:before="40" w:after="40"/>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bCs w:val="0"/>
                <w:sz w:val="18"/>
                <w:szCs w:val="18"/>
              </w:rPr>
            </w:pPr>
            <w:r w:rsidRPr="000973F2">
              <w:rPr>
                <w:rFonts w:ascii="Times New Roman" w:eastAsia="Times New Roman" w:hAnsi="Times New Roman" w:cs="Times New Roman"/>
                <w:sz w:val="18"/>
                <w:szCs w:val="18"/>
              </w:rPr>
              <w:t>Labor Rates (per hour)</w:t>
            </w:r>
          </w:p>
        </w:tc>
        <w:tc>
          <w:tcPr>
            <w:tcW w:w="906" w:type="pct"/>
            <w:gridSpan w:val="2"/>
            <w:vMerge w:val="restart"/>
            <w:vAlign w:val="top"/>
            <w:hideMark/>
          </w:tcPr>
          <w:p w14:paraId="741D8367" w14:textId="77777777" w:rsidR="0001781A" w:rsidRPr="000973F2" w:rsidRDefault="0001781A" w:rsidP="008548FA">
            <w:pPr>
              <w:spacing w:before="40" w:after="40"/>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bCs w:val="0"/>
                <w:sz w:val="18"/>
                <w:szCs w:val="18"/>
              </w:rPr>
            </w:pPr>
            <w:r w:rsidRPr="000973F2">
              <w:rPr>
                <w:rFonts w:ascii="Times New Roman" w:eastAsia="Times New Roman" w:hAnsi="Times New Roman" w:cs="Times New Roman"/>
                <w:sz w:val="18"/>
                <w:szCs w:val="18"/>
              </w:rPr>
              <w:t>Total Labor Cost per Year per Facility (2017$)</w:t>
            </w:r>
          </w:p>
        </w:tc>
      </w:tr>
      <w:tr w:rsidR="0001781A" w:rsidRPr="000973F2" w14:paraId="7CD5E2AB" w14:textId="77777777" w:rsidTr="00125923">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715" w:type="pct"/>
            <w:vMerge/>
            <w:hideMark/>
          </w:tcPr>
          <w:p w14:paraId="5AB6E2E5" w14:textId="77777777" w:rsidR="0001781A" w:rsidRPr="000973F2" w:rsidRDefault="0001781A" w:rsidP="008548FA">
            <w:pPr>
              <w:spacing w:before="40" w:after="40"/>
              <w:rPr>
                <w:rFonts w:ascii="Times New Roman" w:eastAsia="Times New Roman" w:hAnsi="Times New Roman" w:cs="Times New Roman"/>
                <w:b/>
                <w:bCs w:val="0"/>
                <w:sz w:val="18"/>
                <w:szCs w:val="18"/>
              </w:rPr>
            </w:pPr>
          </w:p>
        </w:tc>
        <w:tc>
          <w:tcPr>
            <w:tcW w:w="848" w:type="pct"/>
            <w:gridSpan w:val="2"/>
            <w:noWrap/>
            <w:hideMark/>
          </w:tcPr>
          <w:p w14:paraId="352B54D7" w14:textId="77777777" w:rsidR="0001781A" w:rsidRPr="000973F2" w:rsidRDefault="0001781A" w:rsidP="008548FA">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18"/>
                <w:szCs w:val="18"/>
              </w:rPr>
            </w:pPr>
            <w:r w:rsidRPr="000973F2">
              <w:rPr>
                <w:rFonts w:ascii="Times New Roman" w:eastAsia="Times New Roman" w:hAnsi="Times New Roman" w:cs="Times New Roman"/>
                <w:b/>
                <w:bCs/>
                <w:sz w:val="18"/>
                <w:szCs w:val="18"/>
              </w:rPr>
              <w:t>Lawyer</w:t>
            </w:r>
          </w:p>
        </w:tc>
        <w:tc>
          <w:tcPr>
            <w:tcW w:w="844" w:type="pct"/>
            <w:gridSpan w:val="2"/>
            <w:noWrap/>
            <w:hideMark/>
          </w:tcPr>
          <w:p w14:paraId="5A629A4A" w14:textId="77777777" w:rsidR="0001781A" w:rsidRPr="000973F2" w:rsidRDefault="0001781A" w:rsidP="008548FA">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18"/>
                <w:szCs w:val="18"/>
              </w:rPr>
            </w:pPr>
            <w:r w:rsidRPr="000973F2">
              <w:rPr>
                <w:rFonts w:ascii="Times New Roman" w:eastAsia="Times New Roman" w:hAnsi="Times New Roman" w:cs="Times New Roman"/>
                <w:b/>
                <w:bCs/>
                <w:sz w:val="18"/>
                <w:szCs w:val="18"/>
              </w:rPr>
              <w:t>Industrial Manager</w:t>
            </w:r>
          </w:p>
        </w:tc>
        <w:tc>
          <w:tcPr>
            <w:tcW w:w="844" w:type="pct"/>
            <w:gridSpan w:val="2"/>
            <w:hideMark/>
          </w:tcPr>
          <w:p w14:paraId="13C5EF17" w14:textId="698CB0A7" w:rsidR="0001781A" w:rsidRPr="000973F2" w:rsidRDefault="0001781A" w:rsidP="008548FA">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18"/>
                <w:szCs w:val="18"/>
              </w:rPr>
            </w:pPr>
            <w:r w:rsidRPr="000973F2">
              <w:rPr>
                <w:rFonts w:ascii="Times New Roman" w:eastAsia="Times New Roman" w:hAnsi="Times New Roman" w:cs="Times New Roman"/>
                <w:b/>
                <w:bCs/>
                <w:sz w:val="18"/>
                <w:szCs w:val="18"/>
              </w:rPr>
              <w:t>Industrial Engineer/</w:t>
            </w:r>
            <w:r w:rsidR="00D266A7" w:rsidRPr="000973F2">
              <w:rPr>
                <w:rFonts w:ascii="Times New Roman" w:eastAsia="Times New Roman" w:hAnsi="Times New Roman" w:cs="Times New Roman"/>
                <w:b/>
                <w:bCs/>
                <w:sz w:val="18"/>
                <w:szCs w:val="18"/>
              </w:rPr>
              <w:t xml:space="preserve"> </w:t>
            </w:r>
            <w:r w:rsidRPr="000973F2">
              <w:rPr>
                <w:rFonts w:ascii="Times New Roman" w:eastAsia="Times New Roman" w:hAnsi="Times New Roman" w:cs="Times New Roman"/>
                <w:b/>
                <w:bCs/>
                <w:sz w:val="18"/>
                <w:szCs w:val="18"/>
              </w:rPr>
              <w:t>Technician</w:t>
            </w:r>
          </w:p>
        </w:tc>
        <w:tc>
          <w:tcPr>
            <w:tcW w:w="844" w:type="pct"/>
            <w:gridSpan w:val="2"/>
            <w:hideMark/>
          </w:tcPr>
          <w:p w14:paraId="2B71EF8B" w14:textId="77777777" w:rsidR="0001781A" w:rsidRPr="000973F2" w:rsidRDefault="0001781A" w:rsidP="008548FA">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18"/>
                <w:szCs w:val="18"/>
              </w:rPr>
            </w:pPr>
            <w:r w:rsidRPr="000973F2">
              <w:rPr>
                <w:rFonts w:ascii="Times New Roman" w:eastAsia="Times New Roman" w:hAnsi="Times New Roman" w:cs="Times New Roman"/>
                <w:b/>
                <w:bCs/>
                <w:sz w:val="18"/>
                <w:szCs w:val="18"/>
              </w:rPr>
              <w:t>Administrative Support</w:t>
            </w:r>
          </w:p>
        </w:tc>
        <w:tc>
          <w:tcPr>
            <w:tcW w:w="906" w:type="pct"/>
            <w:gridSpan w:val="2"/>
            <w:vMerge/>
            <w:hideMark/>
          </w:tcPr>
          <w:p w14:paraId="4CFF6516" w14:textId="77777777" w:rsidR="0001781A" w:rsidRPr="000973F2" w:rsidRDefault="0001781A" w:rsidP="008548FA">
            <w:pPr>
              <w:spacing w:before="40" w:after="4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18"/>
                <w:szCs w:val="18"/>
              </w:rPr>
            </w:pPr>
          </w:p>
        </w:tc>
      </w:tr>
      <w:tr w:rsidR="0001781A" w:rsidRPr="000973F2" w14:paraId="5E39AB9E" w14:textId="77777777" w:rsidTr="00125923">
        <w:trPr>
          <w:cantSplit/>
        </w:trPr>
        <w:tc>
          <w:tcPr>
            <w:cnfStyle w:val="001000000000" w:firstRow="0" w:lastRow="0" w:firstColumn="1" w:lastColumn="0" w:oddVBand="0" w:evenVBand="0" w:oddHBand="0" w:evenHBand="0" w:firstRowFirstColumn="0" w:firstRowLastColumn="0" w:lastRowFirstColumn="0" w:lastRowLastColumn="0"/>
            <w:tcW w:w="715" w:type="pct"/>
            <w:vMerge/>
            <w:hideMark/>
          </w:tcPr>
          <w:p w14:paraId="3465A69E" w14:textId="77777777" w:rsidR="0001781A" w:rsidRPr="000973F2" w:rsidRDefault="0001781A" w:rsidP="008548FA">
            <w:pPr>
              <w:spacing w:before="40" w:after="40"/>
              <w:rPr>
                <w:rFonts w:ascii="Times New Roman" w:eastAsia="Times New Roman" w:hAnsi="Times New Roman" w:cs="Times New Roman"/>
                <w:b/>
                <w:bCs w:val="0"/>
                <w:sz w:val="18"/>
                <w:szCs w:val="18"/>
              </w:rPr>
            </w:pPr>
          </w:p>
        </w:tc>
        <w:tc>
          <w:tcPr>
            <w:tcW w:w="848" w:type="pct"/>
            <w:gridSpan w:val="2"/>
            <w:noWrap/>
            <w:hideMark/>
          </w:tcPr>
          <w:p w14:paraId="3AB5D5D6" w14:textId="77777777" w:rsidR="0001781A" w:rsidRPr="000973F2" w:rsidRDefault="0001781A" w:rsidP="008548FA">
            <w:pPr>
              <w:spacing w:before="40" w:after="4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sz w:val="18"/>
                <w:szCs w:val="18"/>
              </w:rPr>
            </w:pPr>
            <w:r w:rsidRPr="000973F2">
              <w:rPr>
                <w:rFonts w:ascii="Times New Roman" w:eastAsia="Times New Roman" w:hAnsi="Times New Roman" w:cs="Times New Roman"/>
                <w:b/>
                <w:bCs/>
                <w:sz w:val="18"/>
                <w:szCs w:val="18"/>
              </w:rPr>
              <w:t xml:space="preserve">$112.23 </w:t>
            </w:r>
          </w:p>
        </w:tc>
        <w:tc>
          <w:tcPr>
            <w:tcW w:w="844" w:type="pct"/>
            <w:gridSpan w:val="2"/>
            <w:noWrap/>
            <w:hideMark/>
          </w:tcPr>
          <w:p w14:paraId="6CD955CC" w14:textId="77777777" w:rsidR="0001781A" w:rsidRPr="000973F2" w:rsidRDefault="0001781A" w:rsidP="008548FA">
            <w:pPr>
              <w:spacing w:before="40" w:after="4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sz w:val="18"/>
                <w:szCs w:val="18"/>
              </w:rPr>
            </w:pPr>
            <w:r w:rsidRPr="000973F2">
              <w:rPr>
                <w:rFonts w:ascii="Times New Roman" w:eastAsia="Times New Roman" w:hAnsi="Times New Roman" w:cs="Times New Roman"/>
                <w:b/>
                <w:bCs/>
                <w:sz w:val="18"/>
                <w:szCs w:val="18"/>
              </w:rPr>
              <w:t xml:space="preserve">$87.45 </w:t>
            </w:r>
          </w:p>
        </w:tc>
        <w:tc>
          <w:tcPr>
            <w:tcW w:w="844" w:type="pct"/>
            <w:gridSpan w:val="2"/>
            <w:noWrap/>
            <w:hideMark/>
          </w:tcPr>
          <w:p w14:paraId="68BD51E4" w14:textId="77777777" w:rsidR="0001781A" w:rsidRPr="000973F2" w:rsidRDefault="0001781A" w:rsidP="008548FA">
            <w:pPr>
              <w:spacing w:before="40" w:after="4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sz w:val="18"/>
                <w:szCs w:val="18"/>
              </w:rPr>
            </w:pPr>
            <w:r w:rsidRPr="000973F2">
              <w:rPr>
                <w:rFonts w:ascii="Times New Roman" w:eastAsia="Times New Roman" w:hAnsi="Times New Roman" w:cs="Times New Roman"/>
                <w:b/>
                <w:bCs/>
                <w:sz w:val="18"/>
                <w:szCs w:val="18"/>
              </w:rPr>
              <w:t xml:space="preserve">$71.45 </w:t>
            </w:r>
          </w:p>
        </w:tc>
        <w:tc>
          <w:tcPr>
            <w:tcW w:w="844" w:type="pct"/>
            <w:gridSpan w:val="2"/>
            <w:noWrap/>
            <w:hideMark/>
          </w:tcPr>
          <w:p w14:paraId="41FB8F7D" w14:textId="77777777" w:rsidR="0001781A" w:rsidRPr="000973F2" w:rsidRDefault="0001781A" w:rsidP="008548FA">
            <w:pPr>
              <w:spacing w:before="40" w:after="4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sz w:val="18"/>
                <w:szCs w:val="18"/>
              </w:rPr>
            </w:pPr>
            <w:r w:rsidRPr="000973F2">
              <w:rPr>
                <w:rFonts w:ascii="Times New Roman" w:eastAsia="Times New Roman" w:hAnsi="Times New Roman" w:cs="Times New Roman"/>
                <w:b/>
                <w:bCs/>
                <w:sz w:val="18"/>
                <w:szCs w:val="18"/>
              </w:rPr>
              <w:t xml:space="preserve">$36.28 </w:t>
            </w:r>
          </w:p>
        </w:tc>
        <w:tc>
          <w:tcPr>
            <w:tcW w:w="906" w:type="pct"/>
            <w:gridSpan w:val="2"/>
            <w:vMerge/>
            <w:hideMark/>
          </w:tcPr>
          <w:p w14:paraId="6ABC8B52" w14:textId="77777777" w:rsidR="0001781A" w:rsidRPr="000973F2" w:rsidRDefault="0001781A" w:rsidP="008548FA">
            <w:pPr>
              <w:spacing w:before="40" w:after="4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sz w:val="18"/>
                <w:szCs w:val="18"/>
              </w:rPr>
            </w:pPr>
          </w:p>
        </w:tc>
      </w:tr>
      <w:tr w:rsidR="00515E32" w:rsidRPr="000973F2" w14:paraId="34D78876" w14:textId="77777777" w:rsidTr="00125923">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715" w:type="pct"/>
            <w:vMerge/>
            <w:hideMark/>
          </w:tcPr>
          <w:p w14:paraId="6579BCA4" w14:textId="77777777" w:rsidR="0001781A" w:rsidRPr="000973F2" w:rsidRDefault="0001781A" w:rsidP="008548FA">
            <w:pPr>
              <w:spacing w:before="40" w:after="40"/>
              <w:rPr>
                <w:rFonts w:ascii="Times New Roman" w:eastAsia="Times New Roman" w:hAnsi="Times New Roman" w:cs="Times New Roman"/>
                <w:b/>
                <w:bCs w:val="0"/>
                <w:sz w:val="18"/>
                <w:szCs w:val="18"/>
              </w:rPr>
            </w:pPr>
          </w:p>
        </w:tc>
        <w:tc>
          <w:tcPr>
            <w:tcW w:w="422" w:type="pct"/>
            <w:tcMar>
              <w:left w:w="14" w:type="dxa"/>
              <w:right w:w="14" w:type="dxa"/>
            </w:tcMar>
            <w:hideMark/>
          </w:tcPr>
          <w:p w14:paraId="56D3C913" w14:textId="52F79502" w:rsidR="0001781A" w:rsidRPr="000973F2" w:rsidRDefault="00A43381" w:rsidP="008548FA">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18"/>
                <w:szCs w:val="18"/>
              </w:rPr>
            </w:pPr>
            <w:r w:rsidRPr="000973F2">
              <w:rPr>
                <w:rFonts w:ascii="Times New Roman" w:eastAsia="Times New Roman" w:hAnsi="Times New Roman" w:cs="Times New Roman"/>
                <w:b/>
                <w:bCs/>
                <w:sz w:val="18"/>
                <w:szCs w:val="18"/>
              </w:rPr>
              <w:t>Initial Year Hours</w:t>
            </w:r>
          </w:p>
        </w:tc>
        <w:tc>
          <w:tcPr>
            <w:tcW w:w="426" w:type="pct"/>
            <w:tcMar>
              <w:left w:w="14" w:type="dxa"/>
              <w:right w:w="14" w:type="dxa"/>
            </w:tcMar>
            <w:hideMark/>
          </w:tcPr>
          <w:p w14:paraId="46831CD4" w14:textId="0DE35429" w:rsidR="0001781A" w:rsidRPr="000973F2" w:rsidRDefault="00A43381" w:rsidP="008548FA">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18"/>
                <w:szCs w:val="18"/>
              </w:rPr>
            </w:pPr>
            <w:r w:rsidRPr="000973F2">
              <w:rPr>
                <w:rFonts w:ascii="Times New Roman" w:eastAsia="Times New Roman" w:hAnsi="Times New Roman" w:cs="Times New Roman"/>
                <w:b/>
                <w:bCs/>
                <w:sz w:val="18"/>
                <w:szCs w:val="18"/>
              </w:rPr>
              <w:t>Subseq. Year Hours</w:t>
            </w:r>
          </w:p>
        </w:tc>
        <w:tc>
          <w:tcPr>
            <w:tcW w:w="422" w:type="pct"/>
            <w:tcMar>
              <w:left w:w="14" w:type="dxa"/>
              <w:right w:w="14" w:type="dxa"/>
            </w:tcMar>
            <w:hideMark/>
          </w:tcPr>
          <w:p w14:paraId="26B34263" w14:textId="795A29B5" w:rsidR="0001781A" w:rsidRPr="000973F2" w:rsidRDefault="00A43381" w:rsidP="008548FA">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18"/>
                <w:szCs w:val="18"/>
              </w:rPr>
            </w:pPr>
            <w:r w:rsidRPr="000973F2">
              <w:rPr>
                <w:rFonts w:ascii="Times New Roman" w:eastAsia="Times New Roman" w:hAnsi="Times New Roman" w:cs="Times New Roman"/>
                <w:b/>
                <w:bCs/>
                <w:sz w:val="18"/>
                <w:szCs w:val="18"/>
              </w:rPr>
              <w:t>Initial Year Hours</w:t>
            </w:r>
          </w:p>
        </w:tc>
        <w:tc>
          <w:tcPr>
            <w:tcW w:w="422" w:type="pct"/>
            <w:tcMar>
              <w:left w:w="14" w:type="dxa"/>
              <w:right w:w="14" w:type="dxa"/>
            </w:tcMar>
            <w:hideMark/>
          </w:tcPr>
          <w:p w14:paraId="06852E58" w14:textId="250E9F7D" w:rsidR="0001781A" w:rsidRPr="000973F2" w:rsidRDefault="00A43381" w:rsidP="008548FA">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18"/>
                <w:szCs w:val="18"/>
              </w:rPr>
            </w:pPr>
            <w:r w:rsidRPr="000973F2">
              <w:rPr>
                <w:rFonts w:ascii="Times New Roman" w:eastAsia="Times New Roman" w:hAnsi="Times New Roman" w:cs="Times New Roman"/>
                <w:b/>
                <w:bCs/>
                <w:sz w:val="18"/>
                <w:szCs w:val="18"/>
              </w:rPr>
              <w:t>Subseq. Year Hours</w:t>
            </w:r>
          </w:p>
        </w:tc>
        <w:tc>
          <w:tcPr>
            <w:tcW w:w="422" w:type="pct"/>
            <w:tcMar>
              <w:left w:w="14" w:type="dxa"/>
              <w:right w:w="14" w:type="dxa"/>
            </w:tcMar>
            <w:hideMark/>
          </w:tcPr>
          <w:p w14:paraId="0C8555B2" w14:textId="5DD26CB6" w:rsidR="0001781A" w:rsidRPr="000973F2" w:rsidRDefault="00A43381" w:rsidP="008548FA">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18"/>
                <w:szCs w:val="18"/>
              </w:rPr>
            </w:pPr>
            <w:r w:rsidRPr="000973F2">
              <w:rPr>
                <w:rFonts w:ascii="Times New Roman" w:eastAsia="Times New Roman" w:hAnsi="Times New Roman" w:cs="Times New Roman"/>
                <w:b/>
                <w:bCs/>
                <w:sz w:val="18"/>
                <w:szCs w:val="18"/>
              </w:rPr>
              <w:t>Initial Year Hours</w:t>
            </w:r>
          </w:p>
        </w:tc>
        <w:tc>
          <w:tcPr>
            <w:tcW w:w="422" w:type="pct"/>
            <w:tcMar>
              <w:left w:w="14" w:type="dxa"/>
              <w:right w:w="14" w:type="dxa"/>
            </w:tcMar>
            <w:hideMark/>
          </w:tcPr>
          <w:p w14:paraId="018C42AF" w14:textId="270D6925" w:rsidR="0001781A" w:rsidRPr="000973F2" w:rsidRDefault="00A43381" w:rsidP="008548FA">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18"/>
                <w:szCs w:val="18"/>
              </w:rPr>
            </w:pPr>
            <w:r w:rsidRPr="000973F2">
              <w:rPr>
                <w:rFonts w:ascii="Times New Roman" w:eastAsia="Times New Roman" w:hAnsi="Times New Roman" w:cs="Times New Roman"/>
                <w:b/>
                <w:bCs/>
                <w:sz w:val="18"/>
                <w:szCs w:val="18"/>
              </w:rPr>
              <w:t>Subseq. Year Hours</w:t>
            </w:r>
          </w:p>
        </w:tc>
        <w:tc>
          <w:tcPr>
            <w:tcW w:w="422" w:type="pct"/>
            <w:tcMar>
              <w:left w:w="14" w:type="dxa"/>
              <w:right w:w="14" w:type="dxa"/>
            </w:tcMar>
            <w:hideMark/>
          </w:tcPr>
          <w:p w14:paraId="4026BBD0" w14:textId="0A33FF6C" w:rsidR="0001781A" w:rsidRPr="000973F2" w:rsidRDefault="00A43381" w:rsidP="008548FA">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18"/>
                <w:szCs w:val="18"/>
              </w:rPr>
            </w:pPr>
            <w:r w:rsidRPr="000973F2">
              <w:rPr>
                <w:rFonts w:ascii="Times New Roman" w:eastAsia="Times New Roman" w:hAnsi="Times New Roman" w:cs="Times New Roman"/>
                <w:b/>
                <w:bCs/>
                <w:sz w:val="18"/>
                <w:szCs w:val="18"/>
              </w:rPr>
              <w:t>Initial Year Hours</w:t>
            </w:r>
          </w:p>
        </w:tc>
        <w:tc>
          <w:tcPr>
            <w:tcW w:w="422" w:type="pct"/>
            <w:tcMar>
              <w:left w:w="14" w:type="dxa"/>
              <w:right w:w="14" w:type="dxa"/>
            </w:tcMar>
            <w:hideMark/>
          </w:tcPr>
          <w:p w14:paraId="7C057F78" w14:textId="0F5885CB" w:rsidR="0001781A" w:rsidRPr="000973F2" w:rsidRDefault="00A43381" w:rsidP="008548FA">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18"/>
                <w:szCs w:val="18"/>
              </w:rPr>
            </w:pPr>
            <w:r w:rsidRPr="000973F2">
              <w:rPr>
                <w:rFonts w:ascii="Times New Roman" w:eastAsia="Times New Roman" w:hAnsi="Times New Roman" w:cs="Times New Roman"/>
                <w:b/>
                <w:bCs/>
                <w:sz w:val="18"/>
                <w:szCs w:val="18"/>
              </w:rPr>
              <w:t>Subseq. Year Hours</w:t>
            </w:r>
          </w:p>
        </w:tc>
        <w:tc>
          <w:tcPr>
            <w:tcW w:w="454" w:type="pct"/>
            <w:tcMar>
              <w:left w:w="14" w:type="dxa"/>
              <w:right w:w="14" w:type="dxa"/>
            </w:tcMar>
            <w:hideMark/>
          </w:tcPr>
          <w:p w14:paraId="79F81B0C" w14:textId="77777777" w:rsidR="0001781A" w:rsidRPr="000973F2" w:rsidRDefault="0001781A" w:rsidP="008548FA">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18"/>
                <w:szCs w:val="18"/>
              </w:rPr>
            </w:pPr>
            <w:r w:rsidRPr="000973F2">
              <w:rPr>
                <w:rFonts w:ascii="Times New Roman" w:eastAsia="Times New Roman" w:hAnsi="Times New Roman" w:cs="Times New Roman"/>
                <w:b/>
                <w:bCs/>
                <w:sz w:val="18"/>
                <w:szCs w:val="18"/>
              </w:rPr>
              <w:t>Initial Year</w:t>
            </w:r>
          </w:p>
        </w:tc>
        <w:tc>
          <w:tcPr>
            <w:tcW w:w="452" w:type="pct"/>
            <w:tcMar>
              <w:left w:w="14" w:type="dxa"/>
              <w:right w:w="14" w:type="dxa"/>
            </w:tcMar>
            <w:hideMark/>
          </w:tcPr>
          <w:p w14:paraId="3E329053" w14:textId="77777777" w:rsidR="0001781A" w:rsidRPr="000973F2" w:rsidRDefault="0001781A" w:rsidP="008548FA">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18"/>
                <w:szCs w:val="18"/>
              </w:rPr>
            </w:pPr>
            <w:r w:rsidRPr="000973F2">
              <w:rPr>
                <w:rFonts w:ascii="Times New Roman" w:eastAsia="Times New Roman" w:hAnsi="Times New Roman" w:cs="Times New Roman"/>
                <w:b/>
                <w:bCs/>
                <w:sz w:val="18"/>
                <w:szCs w:val="18"/>
              </w:rPr>
              <w:t>Subseq. Year</w:t>
            </w:r>
          </w:p>
        </w:tc>
      </w:tr>
      <w:tr w:rsidR="00125923" w:rsidRPr="000973F2" w14:paraId="6A8AA559" w14:textId="77777777" w:rsidTr="00125923">
        <w:trPr>
          <w:cantSplit/>
        </w:trPr>
        <w:tc>
          <w:tcPr>
            <w:cnfStyle w:val="001000000000" w:firstRow="0" w:lastRow="0" w:firstColumn="1" w:lastColumn="0" w:oddVBand="0" w:evenVBand="0" w:oddHBand="0" w:evenHBand="0" w:firstRowFirstColumn="0" w:firstRowLastColumn="0" w:lastRowFirstColumn="0" w:lastRowLastColumn="0"/>
            <w:tcW w:w="715" w:type="pct"/>
            <w:tcMar>
              <w:right w:w="14" w:type="dxa"/>
            </w:tcMar>
            <w:hideMark/>
          </w:tcPr>
          <w:p w14:paraId="4B9AD535" w14:textId="77777777" w:rsidR="00125923" w:rsidRPr="000973F2" w:rsidRDefault="00125923" w:rsidP="00125923">
            <w:pPr>
              <w:spacing w:before="40" w:after="4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Planning</w:t>
            </w:r>
          </w:p>
        </w:tc>
        <w:tc>
          <w:tcPr>
            <w:tcW w:w="422" w:type="pct"/>
            <w:noWrap/>
            <w:hideMark/>
          </w:tcPr>
          <w:p w14:paraId="0DF230E4" w14:textId="3614C893" w:rsidR="00125923" w:rsidRPr="000973F2" w:rsidRDefault="00125923" w:rsidP="00125923">
            <w:pPr>
              <w:spacing w:before="40" w:after="4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w:t>
            </w:r>
          </w:p>
        </w:tc>
        <w:tc>
          <w:tcPr>
            <w:tcW w:w="426" w:type="pct"/>
            <w:noWrap/>
            <w:hideMark/>
          </w:tcPr>
          <w:p w14:paraId="1F4A5E1E" w14:textId="27AE3D64" w:rsidR="00125923" w:rsidRPr="000973F2" w:rsidRDefault="00125923" w:rsidP="00125923">
            <w:pPr>
              <w:spacing w:before="40" w:after="4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w:t>
            </w:r>
          </w:p>
        </w:tc>
        <w:tc>
          <w:tcPr>
            <w:tcW w:w="422" w:type="pct"/>
            <w:noWrap/>
            <w:hideMark/>
          </w:tcPr>
          <w:p w14:paraId="03095CB9" w14:textId="2653A426" w:rsidR="00125923" w:rsidRPr="000973F2" w:rsidRDefault="00125923" w:rsidP="00125923">
            <w:pPr>
              <w:spacing w:before="40" w:after="4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w:t>
            </w:r>
          </w:p>
        </w:tc>
        <w:tc>
          <w:tcPr>
            <w:tcW w:w="422" w:type="pct"/>
            <w:noWrap/>
            <w:hideMark/>
          </w:tcPr>
          <w:p w14:paraId="1936E50C" w14:textId="634FA51D" w:rsidR="00125923" w:rsidRPr="000973F2" w:rsidRDefault="00125923" w:rsidP="00125923">
            <w:pPr>
              <w:spacing w:before="40" w:after="4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w:t>
            </w:r>
          </w:p>
        </w:tc>
        <w:tc>
          <w:tcPr>
            <w:tcW w:w="422" w:type="pct"/>
            <w:noWrap/>
            <w:hideMark/>
          </w:tcPr>
          <w:p w14:paraId="69FDCDE8" w14:textId="090A4793" w:rsidR="00125923" w:rsidRPr="000973F2" w:rsidRDefault="00125923" w:rsidP="00125923">
            <w:pPr>
              <w:tabs>
                <w:tab w:val="decimal" w:pos="329"/>
              </w:tabs>
              <w:spacing w:before="40" w:after="4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w:t>
            </w:r>
          </w:p>
        </w:tc>
        <w:tc>
          <w:tcPr>
            <w:tcW w:w="422" w:type="pct"/>
            <w:noWrap/>
            <w:hideMark/>
          </w:tcPr>
          <w:p w14:paraId="48D1383D" w14:textId="4829ABCC" w:rsidR="00125923" w:rsidRPr="000973F2" w:rsidRDefault="00125923" w:rsidP="00125923">
            <w:pPr>
              <w:tabs>
                <w:tab w:val="decimal" w:pos="329"/>
              </w:tabs>
              <w:spacing w:before="40" w:after="4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w:t>
            </w:r>
          </w:p>
        </w:tc>
        <w:tc>
          <w:tcPr>
            <w:tcW w:w="422" w:type="pct"/>
            <w:noWrap/>
            <w:hideMark/>
          </w:tcPr>
          <w:p w14:paraId="1D6758C6" w14:textId="695E244B" w:rsidR="00125923" w:rsidRPr="000973F2" w:rsidRDefault="00125923" w:rsidP="00125923">
            <w:pPr>
              <w:spacing w:before="40" w:after="4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w:t>
            </w:r>
          </w:p>
        </w:tc>
        <w:tc>
          <w:tcPr>
            <w:tcW w:w="422" w:type="pct"/>
            <w:noWrap/>
            <w:hideMark/>
          </w:tcPr>
          <w:p w14:paraId="20C56AE4" w14:textId="1FB865A5" w:rsidR="00125923" w:rsidRPr="000973F2" w:rsidRDefault="00125923" w:rsidP="00125923">
            <w:pPr>
              <w:spacing w:before="40" w:after="4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w:t>
            </w:r>
          </w:p>
        </w:tc>
        <w:tc>
          <w:tcPr>
            <w:tcW w:w="454" w:type="pct"/>
            <w:noWrap/>
            <w:hideMark/>
          </w:tcPr>
          <w:p w14:paraId="50A260D4" w14:textId="3D9137D1" w:rsidR="00125923" w:rsidRPr="000973F2" w:rsidRDefault="00125923" w:rsidP="00125923">
            <w:pPr>
              <w:tabs>
                <w:tab w:val="decimal" w:pos="384"/>
              </w:tabs>
              <w:spacing w:before="40" w:after="4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w:t>
            </w:r>
          </w:p>
        </w:tc>
        <w:tc>
          <w:tcPr>
            <w:tcW w:w="452" w:type="pct"/>
            <w:noWrap/>
            <w:hideMark/>
          </w:tcPr>
          <w:p w14:paraId="0069811B" w14:textId="1B34A189" w:rsidR="00125923" w:rsidRPr="000973F2" w:rsidRDefault="00125923" w:rsidP="00125923">
            <w:pPr>
              <w:tabs>
                <w:tab w:val="decimal" w:pos="384"/>
              </w:tabs>
              <w:spacing w:before="40" w:after="4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w:t>
            </w:r>
          </w:p>
        </w:tc>
      </w:tr>
      <w:tr w:rsidR="00125923" w:rsidRPr="000973F2" w14:paraId="584A3BBA" w14:textId="77777777" w:rsidTr="00125923">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715" w:type="pct"/>
            <w:tcMar>
              <w:right w:w="14" w:type="dxa"/>
            </w:tcMar>
            <w:hideMark/>
          </w:tcPr>
          <w:p w14:paraId="63F63E8B" w14:textId="77777777" w:rsidR="00125923" w:rsidRPr="000973F2" w:rsidRDefault="00125923" w:rsidP="00125923">
            <w:pPr>
              <w:spacing w:before="40" w:after="4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QA/QC</w:t>
            </w:r>
          </w:p>
        </w:tc>
        <w:tc>
          <w:tcPr>
            <w:tcW w:w="422" w:type="pct"/>
            <w:noWrap/>
            <w:hideMark/>
          </w:tcPr>
          <w:p w14:paraId="78CA4258" w14:textId="60610D9B" w:rsidR="00125923" w:rsidRPr="000973F2" w:rsidRDefault="00125923" w:rsidP="00125923">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w:t>
            </w:r>
          </w:p>
        </w:tc>
        <w:tc>
          <w:tcPr>
            <w:tcW w:w="426" w:type="pct"/>
            <w:noWrap/>
            <w:hideMark/>
          </w:tcPr>
          <w:p w14:paraId="026020BC" w14:textId="5BA691CC" w:rsidR="00125923" w:rsidRPr="000973F2" w:rsidRDefault="00125923" w:rsidP="00125923">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w:t>
            </w:r>
          </w:p>
        </w:tc>
        <w:tc>
          <w:tcPr>
            <w:tcW w:w="422" w:type="pct"/>
            <w:noWrap/>
            <w:hideMark/>
          </w:tcPr>
          <w:p w14:paraId="3CD47C07" w14:textId="63083E8A" w:rsidR="00125923" w:rsidRPr="000973F2" w:rsidRDefault="00125923" w:rsidP="00125923">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w:t>
            </w:r>
          </w:p>
        </w:tc>
        <w:tc>
          <w:tcPr>
            <w:tcW w:w="422" w:type="pct"/>
            <w:noWrap/>
            <w:hideMark/>
          </w:tcPr>
          <w:p w14:paraId="3EA6E712" w14:textId="0D23FE81" w:rsidR="00125923" w:rsidRPr="000973F2" w:rsidRDefault="00125923" w:rsidP="00125923">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w:t>
            </w:r>
          </w:p>
        </w:tc>
        <w:tc>
          <w:tcPr>
            <w:tcW w:w="422" w:type="pct"/>
            <w:noWrap/>
            <w:hideMark/>
          </w:tcPr>
          <w:p w14:paraId="23FB75CE" w14:textId="6BF207E8" w:rsidR="00125923" w:rsidRPr="000973F2" w:rsidRDefault="00125923" w:rsidP="00125923">
            <w:pPr>
              <w:tabs>
                <w:tab w:val="decimal" w:pos="329"/>
              </w:tabs>
              <w:spacing w:before="40" w:after="4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w:t>
            </w:r>
          </w:p>
        </w:tc>
        <w:tc>
          <w:tcPr>
            <w:tcW w:w="422" w:type="pct"/>
            <w:noWrap/>
            <w:hideMark/>
          </w:tcPr>
          <w:p w14:paraId="00E338A1" w14:textId="3782C1D0" w:rsidR="00125923" w:rsidRPr="000973F2" w:rsidRDefault="00125923" w:rsidP="00125923">
            <w:pPr>
              <w:tabs>
                <w:tab w:val="decimal" w:pos="329"/>
              </w:tabs>
              <w:spacing w:before="40" w:after="4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w:t>
            </w:r>
          </w:p>
        </w:tc>
        <w:tc>
          <w:tcPr>
            <w:tcW w:w="422" w:type="pct"/>
            <w:noWrap/>
            <w:hideMark/>
          </w:tcPr>
          <w:p w14:paraId="28003555" w14:textId="7038071F" w:rsidR="00125923" w:rsidRPr="000973F2" w:rsidRDefault="00125923" w:rsidP="00125923">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w:t>
            </w:r>
          </w:p>
        </w:tc>
        <w:tc>
          <w:tcPr>
            <w:tcW w:w="422" w:type="pct"/>
            <w:noWrap/>
            <w:hideMark/>
          </w:tcPr>
          <w:p w14:paraId="2B0AC43D" w14:textId="3D1D942E" w:rsidR="00125923" w:rsidRPr="000973F2" w:rsidRDefault="00125923" w:rsidP="00125923">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w:t>
            </w:r>
          </w:p>
        </w:tc>
        <w:tc>
          <w:tcPr>
            <w:tcW w:w="454" w:type="pct"/>
            <w:noWrap/>
            <w:hideMark/>
          </w:tcPr>
          <w:p w14:paraId="57172CA4" w14:textId="3F922716" w:rsidR="00125923" w:rsidRPr="000973F2" w:rsidRDefault="00125923" w:rsidP="00125923">
            <w:pPr>
              <w:tabs>
                <w:tab w:val="decimal" w:pos="384"/>
              </w:tabs>
              <w:spacing w:before="40" w:after="4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w:t>
            </w:r>
          </w:p>
        </w:tc>
        <w:tc>
          <w:tcPr>
            <w:tcW w:w="452" w:type="pct"/>
            <w:noWrap/>
            <w:hideMark/>
          </w:tcPr>
          <w:p w14:paraId="2F1874EC" w14:textId="406CBD88" w:rsidR="00125923" w:rsidRPr="000973F2" w:rsidRDefault="00125923" w:rsidP="00125923">
            <w:pPr>
              <w:tabs>
                <w:tab w:val="decimal" w:pos="384"/>
              </w:tabs>
              <w:spacing w:before="40" w:after="4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w:t>
            </w:r>
          </w:p>
        </w:tc>
      </w:tr>
      <w:tr w:rsidR="00125923" w:rsidRPr="000973F2" w14:paraId="7D075357" w14:textId="77777777" w:rsidTr="00125923">
        <w:trPr>
          <w:cantSplit/>
        </w:trPr>
        <w:tc>
          <w:tcPr>
            <w:cnfStyle w:val="001000000000" w:firstRow="0" w:lastRow="0" w:firstColumn="1" w:lastColumn="0" w:oddVBand="0" w:evenVBand="0" w:oddHBand="0" w:evenHBand="0" w:firstRowFirstColumn="0" w:firstRowLastColumn="0" w:lastRowFirstColumn="0" w:lastRowLastColumn="0"/>
            <w:tcW w:w="715" w:type="pct"/>
            <w:tcMar>
              <w:right w:w="14" w:type="dxa"/>
            </w:tcMar>
            <w:hideMark/>
          </w:tcPr>
          <w:p w14:paraId="32E23F0A" w14:textId="77777777" w:rsidR="00125923" w:rsidRPr="000973F2" w:rsidRDefault="00125923" w:rsidP="00125923">
            <w:pPr>
              <w:spacing w:before="40" w:after="4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Recordkeeping</w:t>
            </w:r>
          </w:p>
        </w:tc>
        <w:tc>
          <w:tcPr>
            <w:tcW w:w="422" w:type="pct"/>
            <w:noWrap/>
            <w:hideMark/>
          </w:tcPr>
          <w:p w14:paraId="2C992EC3" w14:textId="0CC75042" w:rsidR="00125923" w:rsidRPr="000973F2" w:rsidRDefault="00125923" w:rsidP="00125923">
            <w:pPr>
              <w:spacing w:before="40" w:after="4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w:t>
            </w:r>
          </w:p>
        </w:tc>
        <w:tc>
          <w:tcPr>
            <w:tcW w:w="426" w:type="pct"/>
            <w:noWrap/>
            <w:hideMark/>
          </w:tcPr>
          <w:p w14:paraId="0BA3B74D" w14:textId="2D3F0850" w:rsidR="00125923" w:rsidRPr="000973F2" w:rsidRDefault="00125923" w:rsidP="00125923">
            <w:pPr>
              <w:spacing w:before="40" w:after="4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w:t>
            </w:r>
          </w:p>
        </w:tc>
        <w:tc>
          <w:tcPr>
            <w:tcW w:w="422" w:type="pct"/>
            <w:noWrap/>
            <w:hideMark/>
          </w:tcPr>
          <w:p w14:paraId="22BBAAE3" w14:textId="1F757198" w:rsidR="00125923" w:rsidRPr="000973F2" w:rsidRDefault="00125923" w:rsidP="00125923">
            <w:pPr>
              <w:spacing w:before="40" w:after="4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w:t>
            </w:r>
          </w:p>
        </w:tc>
        <w:tc>
          <w:tcPr>
            <w:tcW w:w="422" w:type="pct"/>
            <w:noWrap/>
            <w:hideMark/>
          </w:tcPr>
          <w:p w14:paraId="14979CDC" w14:textId="75A37CF9" w:rsidR="00125923" w:rsidRPr="000973F2" w:rsidRDefault="00125923" w:rsidP="00125923">
            <w:pPr>
              <w:spacing w:before="40" w:after="4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w:t>
            </w:r>
          </w:p>
        </w:tc>
        <w:tc>
          <w:tcPr>
            <w:tcW w:w="422" w:type="pct"/>
            <w:noWrap/>
            <w:hideMark/>
          </w:tcPr>
          <w:p w14:paraId="176967F6" w14:textId="1DF65280" w:rsidR="00125923" w:rsidRPr="000973F2" w:rsidRDefault="00125923" w:rsidP="00125923">
            <w:pPr>
              <w:tabs>
                <w:tab w:val="decimal" w:pos="329"/>
              </w:tabs>
              <w:spacing w:before="40" w:after="4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w:t>
            </w:r>
          </w:p>
        </w:tc>
        <w:tc>
          <w:tcPr>
            <w:tcW w:w="422" w:type="pct"/>
            <w:noWrap/>
            <w:hideMark/>
          </w:tcPr>
          <w:p w14:paraId="41C5F925" w14:textId="4298AAE9" w:rsidR="00125923" w:rsidRPr="000973F2" w:rsidRDefault="00125923" w:rsidP="00125923">
            <w:pPr>
              <w:tabs>
                <w:tab w:val="decimal" w:pos="329"/>
              </w:tabs>
              <w:spacing w:before="40" w:after="4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w:t>
            </w:r>
          </w:p>
        </w:tc>
        <w:tc>
          <w:tcPr>
            <w:tcW w:w="422" w:type="pct"/>
            <w:noWrap/>
            <w:hideMark/>
          </w:tcPr>
          <w:p w14:paraId="62F3E3CB" w14:textId="1D9A916C" w:rsidR="00125923" w:rsidRPr="000973F2" w:rsidRDefault="00125923" w:rsidP="00125923">
            <w:pPr>
              <w:spacing w:before="40" w:after="4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w:t>
            </w:r>
          </w:p>
        </w:tc>
        <w:tc>
          <w:tcPr>
            <w:tcW w:w="422" w:type="pct"/>
            <w:noWrap/>
            <w:hideMark/>
          </w:tcPr>
          <w:p w14:paraId="4176DD67" w14:textId="4CE7F942" w:rsidR="00125923" w:rsidRPr="000973F2" w:rsidRDefault="00125923" w:rsidP="00125923">
            <w:pPr>
              <w:spacing w:before="40" w:after="4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w:t>
            </w:r>
          </w:p>
        </w:tc>
        <w:tc>
          <w:tcPr>
            <w:tcW w:w="454" w:type="pct"/>
            <w:noWrap/>
            <w:hideMark/>
          </w:tcPr>
          <w:p w14:paraId="08189F86" w14:textId="4563D018" w:rsidR="00125923" w:rsidRPr="000973F2" w:rsidRDefault="00125923" w:rsidP="00125923">
            <w:pPr>
              <w:tabs>
                <w:tab w:val="decimal" w:pos="384"/>
              </w:tabs>
              <w:spacing w:before="40" w:after="4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w:t>
            </w:r>
          </w:p>
        </w:tc>
        <w:tc>
          <w:tcPr>
            <w:tcW w:w="452" w:type="pct"/>
            <w:noWrap/>
            <w:hideMark/>
          </w:tcPr>
          <w:p w14:paraId="33AC88C2" w14:textId="3AC292F8" w:rsidR="00125923" w:rsidRPr="000973F2" w:rsidRDefault="00125923" w:rsidP="00125923">
            <w:pPr>
              <w:tabs>
                <w:tab w:val="decimal" w:pos="384"/>
              </w:tabs>
              <w:spacing w:before="40" w:after="4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w:t>
            </w:r>
          </w:p>
        </w:tc>
      </w:tr>
      <w:tr w:rsidR="00125923" w:rsidRPr="000973F2" w14:paraId="611BD3F1" w14:textId="77777777" w:rsidTr="00125923">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715" w:type="pct"/>
            <w:tcMar>
              <w:right w:w="14" w:type="dxa"/>
            </w:tcMar>
            <w:hideMark/>
          </w:tcPr>
          <w:p w14:paraId="1D151AC8" w14:textId="77777777" w:rsidR="00125923" w:rsidRPr="000973F2" w:rsidRDefault="00125923" w:rsidP="00125923">
            <w:pPr>
              <w:spacing w:before="40" w:after="4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Sampling and Analysis (Calculations)</w:t>
            </w:r>
          </w:p>
        </w:tc>
        <w:tc>
          <w:tcPr>
            <w:tcW w:w="422" w:type="pct"/>
            <w:noWrap/>
            <w:hideMark/>
          </w:tcPr>
          <w:p w14:paraId="4DB12CF8" w14:textId="0CAC9CD6" w:rsidR="00125923" w:rsidRPr="000973F2" w:rsidRDefault="00125923" w:rsidP="00125923">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0</w:t>
            </w:r>
          </w:p>
        </w:tc>
        <w:tc>
          <w:tcPr>
            <w:tcW w:w="426" w:type="pct"/>
            <w:noWrap/>
            <w:hideMark/>
          </w:tcPr>
          <w:p w14:paraId="2116F66B" w14:textId="694020DF" w:rsidR="00125923" w:rsidRPr="000973F2" w:rsidRDefault="00125923" w:rsidP="00125923">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0</w:t>
            </w:r>
          </w:p>
        </w:tc>
        <w:tc>
          <w:tcPr>
            <w:tcW w:w="422" w:type="pct"/>
            <w:noWrap/>
            <w:hideMark/>
          </w:tcPr>
          <w:p w14:paraId="08F835ED" w14:textId="37AAE73A" w:rsidR="00125923" w:rsidRPr="000973F2" w:rsidRDefault="00125923" w:rsidP="00125923">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0</w:t>
            </w:r>
          </w:p>
        </w:tc>
        <w:tc>
          <w:tcPr>
            <w:tcW w:w="422" w:type="pct"/>
            <w:noWrap/>
            <w:hideMark/>
          </w:tcPr>
          <w:p w14:paraId="35396A6A" w14:textId="5BC3E526" w:rsidR="00125923" w:rsidRPr="000973F2" w:rsidRDefault="00125923" w:rsidP="00125923">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0</w:t>
            </w:r>
          </w:p>
        </w:tc>
        <w:tc>
          <w:tcPr>
            <w:tcW w:w="422" w:type="pct"/>
            <w:noWrap/>
            <w:hideMark/>
          </w:tcPr>
          <w:p w14:paraId="76B42984" w14:textId="77777777" w:rsidR="00125923" w:rsidRPr="000973F2" w:rsidRDefault="00125923" w:rsidP="00125923">
            <w:pPr>
              <w:tabs>
                <w:tab w:val="decimal" w:pos="329"/>
              </w:tabs>
              <w:spacing w:before="40" w:after="4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0.5</w:t>
            </w:r>
          </w:p>
        </w:tc>
        <w:tc>
          <w:tcPr>
            <w:tcW w:w="422" w:type="pct"/>
            <w:noWrap/>
            <w:hideMark/>
          </w:tcPr>
          <w:p w14:paraId="78A991F4" w14:textId="77777777" w:rsidR="00125923" w:rsidRPr="000973F2" w:rsidRDefault="00125923" w:rsidP="00125923">
            <w:pPr>
              <w:tabs>
                <w:tab w:val="decimal" w:pos="329"/>
              </w:tabs>
              <w:spacing w:before="40" w:after="4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0.5</w:t>
            </w:r>
          </w:p>
        </w:tc>
        <w:tc>
          <w:tcPr>
            <w:tcW w:w="422" w:type="pct"/>
            <w:noWrap/>
            <w:hideMark/>
          </w:tcPr>
          <w:p w14:paraId="1C513827" w14:textId="3399B434" w:rsidR="00125923" w:rsidRPr="000973F2" w:rsidRDefault="00125923" w:rsidP="00125923">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0</w:t>
            </w:r>
          </w:p>
        </w:tc>
        <w:tc>
          <w:tcPr>
            <w:tcW w:w="422" w:type="pct"/>
            <w:noWrap/>
            <w:hideMark/>
          </w:tcPr>
          <w:p w14:paraId="72E3E30B" w14:textId="4BCC3D05" w:rsidR="00125923" w:rsidRPr="000973F2" w:rsidRDefault="00125923" w:rsidP="00125923">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0</w:t>
            </w:r>
          </w:p>
        </w:tc>
        <w:tc>
          <w:tcPr>
            <w:tcW w:w="454" w:type="pct"/>
            <w:noWrap/>
            <w:hideMark/>
          </w:tcPr>
          <w:p w14:paraId="2B8A03A6" w14:textId="08290716" w:rsidR="00125923" w:rsidRPr="000973F2" w:rsidRDefault="00125923" w:rsidP="00125923">
            <w:pPr>
              <w:tabs>
                <w:tab w:val="decimal" w:pos="384"/>
              </w:tabs>
              <w:spacing w:before="40" w:after="4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$37</w:t>
            </w:r>
          </w:p>
        </w:tc>
        <w:tc>
          <w:tcPr>
            <w:tcW w:w="452" w:type="pct"/>
            <w:noWrap/>
            <w:hideMark/>
          </w:tcPr>
          <w:p w14:paraId="68BACB72" w14:textId="29018214" w:rsidR="00125923" w:rsidRPr="000973F2" w:rsidRDefault="00125923" w:rsidP="00125923">
            <w:pPr>
              <w:tabs>
                <w:tab w:val="decimal" w:pos="384"/>
              </w:tabs>
              <w:spacing w:before="40" w:after="4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$37</w:t>
            </w:r>
          </w:p>
        </w:tc>
      </w:tr>
      <w:tr w:rsidR="00125923" w:rsidRPr="000973F2" w14:paraId="46D2E9A8" w14:textId="77777777" w:rsidTr="00125923">
        <w:trPr>
          <w:cantSplit/>
        </w:trPr>
        <w:tc>
          <w:tcPr>
            <w:cnfStyle w:val="001000000000" w:firstRow="0" w:lastRow="0" w:firstColumn="1" w:lastColumn="0" w:oddVBand="0" w:evenVBand="0" w:oddHBand="0" w:evenHBand="0" w:firstRowFirstColumn="0" w:firstRowLastColumn="0" w:lastRowFirstColumn="0" w:lastRowLastColumn="0"/>
            <w:tcW w:w="715" w:type="pct"/>
            <w:tcMar>
              <w:right w:w="14" w:type="dxa"/>
            </w:tcMar>
            <w:hideMark/>
          </w:tcPr>
          <w:p w14:paraId="039EA43D" w14:textId="77777777" w:rsidR="00125923" w:rsidRPr="000973F2" w:rsidRDefault="00125923" w:rsidP="00125923">
            <w:pPr>
              <w:spacing w:before="40" w:after="4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Reporting</w:t>
            </w:r>
          </w:p>
        </w:tc>
        <w:tc>
          <w:tcPr>
            <w:tcW w:w="422" w:type="pct"/>
            <w:noWrap/>
            <w:hideMark/>
          </w:tcPr>
          <w:p w14:paraId="780F69E9" w14:textId="677AA1B9" w:rsidR="00125923" w:rsidRPr="000973F2" w:rsidRDefault="00125923" w:rsidP="00125923">
            <w:pPr>
              <w:spacing w:before="40" w:after="4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w:t>
            </w:r>
          </w:p>
        </w:tc>
        <w:tc>
          <w:tcPr>
            <w:tcW w:w="426" w:type="pct"/>
            <w:noWrap/>
            <w:hideMark/>
          </w:tcPr>
          <w:p w14:paraId="025F00DE" w14:textId="66D7619D" w:rsidR="00125923" w:rsidRPr="000973F2" w:rsidRDefault="00125923" w:rsidP="00125923">
            <w:pPr>
              <w:spacing w:before="40" w:after="4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w:t>
            </w:r>
          </w:p>
        </w:tc>
        <w:tc>
          <w:tcPr>
            <w:tcW w:w="422" w:type="pct"/>
            <w:noWrap/>
            <w:hideMark/>
          </w:tcPr>
          <w:p w14:paraId="11B0E372" w14:textId="023FFF4E" w:rsidR="00125923" w:rsidRPr="000973F2" w:rsidRDefault="00125923" w:rsidP="00125923">
            <w:pPr>
              <w:spacing w:before="40" w:after="4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w:t>
            </w:r>
          </w:p>
        </w:tc>
        <w:tc>
          <w:tcPr>
            <w:tcW w:w="422" w:type="pct"/>
            <w:noWrap/>
            <w:hideMark/>
          </w:tcPr>
          <w:p w14:paraId="4A1258FE" w14:textId="5533B722" w:rsidR="00125923" w:rsidRPr="000973F2" w:rsidRDefault="00125923" w:rsidP="00125923">
            <w:pPr>
              <w:spacing w:before="40" w:after="4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w:t>
            </w:r>
          </w:p>
        </w:tc>
        <w:tc>
          <w:tcPr>
            <w:tcW w:w="422" w:type="pct"/>
            <w:noWrap/>
            <w:hideMark/>
          </w:tcPr>
          <w:p w14:paraId="3CECEB2E" w14:textId="39F2632D" w:rsidR="00125923" w:rsidRPr="000973F2" w:rsidRDefault="00125923" w:rsidP="00125923">
            <w:pPr>
              <w:tabs>
                <w:tab w:val="decimal" w:pos="329"/>
              </w:tabs>
              <w:spacing w:before="40" w:after="4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w:t>
            </w:r>
          </w:p>
        </w:tc>
        <w:tc>
          <w:tcPr>
            <w:tcW w:w="422" w:type="pct"/>
            <w:noWrap/>
            <w:hideMark/>
          </w:tcPr>
          <w:p w14:paraId="6807148E" w14:textId="291D76A1" w:rsidR="00125923" w:rsidRPr="000973F2" w:rsidRDefault="00125923" w:rsidP="00125923">
            <w:pPr>
              <w:tabs>
                <w:tab w:val="decimal" w:pos="329"/>
              </w:tabs>
              <w:spacing w:before="40" w:after="4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w:t>
            </w:r>
          </w:p>
        </w:tc>
        <w:tc>
          <w:tcPr>
            <w:tcW w:w="422" w:type="pct"/>
            <w:noWrap/>
            <w:hideMark/>
          </w:tcPr>
          <w:p w14:paraId="72AC8B69" w14:textId="038B46BB" w:rsidR="00125923" w:rsidRPr="000973F2" w:rsidRDefault="00125923" w:rsidP="00125923">
            <w:pPr>
              <w:spacing w:before="40" w:after="4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w:t>
            </w:r>
          </w:p>
        </w:tc>
        <w:tc>
          <w:tcPr>
            <w:tcW w:w="422" w:type="pct"/>
            <w:noWrap/>
            <w:hideMark/>
          </w:tcPr>
          <w:p w14:paraId="606D36B3" w14:textId="5965B8D1" w:rsidR="00125923" w:rsidRPr="000973F2" w:rsidRDefault="00125923" w:rsidP="00125923">
            <w:pPr>
              <w:spacing w:before="40" w:after="4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w:t>
            </w:r>
          </w:p>
        </w:tc>
        <w:tc>
          <w:tcPr>
            <w:tcW w:w="454" w:type="pct"/>
            <w:noWrap/>
            <w:hideMark/>
          </w:tcPr>
          <w:p w14:paraId="58D85F19" w14:textId="1A3C08A7" w:rsidR="00125923" w:rsidRPr="000973F2" w:rsidRDefault="00125923" w:rsidP="00125923">
            <w:pPr>
              <w:tabs>
                <w:tab w:val="decimal" w:pos="384"/>
              </w:tabs>
              <w:spacing w:before="40" w:after="4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w:t>
            </w:r>
          </w:p>
        </w:tc>
        <w:tc>
          <w:tcPr>
            <w:tcW w:w="452" w:type="pct"/>
            <w:noWrap/>
            <w:hideMark/>
          </w:tcPr>
          <w:p w14:paraId="7FC51566" w14:textId="78108D35" w:rsidR="00125923" w:rsidRPr="000973F2" w:rsidRDefault="00125923" w:rsidP="00125923">
            <w:pPr>
              <w:tabs>
                <w:tab w:val="decimal" w:pos="384"/>
              </w:tabs>
              <w:spacing w:before="40" w:after="4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w:t>
            </w:r>
          </w:p>
        </w:tc>
      </w:tr>
      <w:tr w:rsidR="00515E32" w:rsidRPr="000973F2" w14:paraId="108AA9E5" w14:textId="77777777" w:rsidTr="00125923">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715" w:type="pct"/>
            <w:noWrap/>
            <w:tcMar>
              <w:right w:w="14" w:type="dxa"/>
            </w:tcMar>
            <w:hideMark/>
          </w:tcPr>
          <w:p w14:paraId="245AB8C3" w14:textId="77777777" w:rsidR="0001781A" w:rsidRPr="000973F2" w:rsidRDefault="0001781A" w:rsidP="008548FA">
            <w:pPr>
              <w:spacing w:before="40" w:after="40"/>
              <w:rPr>
                <w:rFonts w:ascii="Times New Roman" w:eastAsia="Times New Roman" w:hAnsi="Times New Roman" w:cs="Times New Roman"/>
                <w:b/>
                <w:bCs w:val="0"/>
                <w:sz w:val="18"/>
                <w:szCs w:val="18"/>
              </w:rPr>
            </w:pPr>
            <w:r w:rsidRPr="000973F2">
              <w:rPr>
                <w:rFonts w:ascii="Times New Roman" w:eastAsia="Times New Roman" w:hAnsi="Times New Roman" w:cs="Times New Roman"/>
                <w:b/>
                <w:sz w:val="18"/>
                <w:szCs w:val="18"/>
              </w:rPr>
              <w:t>Total</w:t>
            </w:r>
          </w:p>
        </w:tc>
        <w:tc>
          <w:tcPr>
            <w:tcW w:w="422" w:type="pct"/>
            <w:noWrap/>
            <w:hideMark/>
          </w:tcPr>
          <w:p w14:paraId="476EC570" w14:textId="77777777" w:rsidR="0001781A" w:rsidRPr="000973F2" w:rsidRDefault="0001781A" w:rsidP="008548FA">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18"/>
                <w:szCs w:val="18"/>
              </w:rPr>
            </w:pPr>
            <w:r w:rsidRPr="000973F2">
              <w:rPr>
                <w:rFonts w:ascii="Times New Roman" w:eastAsia="Times New Roman" w:hAnsi="Times New Roman" w:cs="Times New Roman"/>
                <w:b/>
                <w:bCs/>
                <w:sz w:val="18"/>
                <w:szCs w:val="18"/>
              </w:rPr>
              <w:t>0</w:t>
            </w:r>
          </w:p>
        </w:tc>
        <w:tc>
          <w:tcPr>
            <w:tcW w:w="426" w:type="pct"/>
            <w:noWrap/>
            <w:hideMark/>
          </w:tcPr>
          <w:p w14:paraId="7F994727" w14:textId="77777777" w:rsidR="0001781A" w:rsidRPr="000973F2" w:rsidRDefault="0001781A" w:rsidP="008548FA">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18"/>
                <w:szCs w:val="18"/>
              </w:rPr>
            </w:pPr>
            <w:r w:rsidRPr="000973F2">
              <w:rPr>
                <w:rFonts w:ascii="Times New Roman" w:eastAsia="Times New Roman" w:hAnsi="Times New Roman" w:cs="Times New Roman"/>
                <w:b/>
                <w:bCs/>
                <w:sz w:val="18"/>
                <w:szCs w:val="18"/>
              </w:rPr>
              <w:t>0</w:t>
            </w:r>
          </w:p>
        </w:tc>
        <w:tc>
          <w:tcPr>
            <w:tcW w:w="422" w:type="pct"/>
            <w:noWrap/>
            <w:hideMark/>
          </w:tcPr>
          <w:p w14:paraId="364BB1D5" w14:textId="77777777" w:rsidR="0001781A" w:rsidRPr="000973F2" w:rsidRDefault="0001781A" w:rsidP="008548FA">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18"/>
                <w:szCs w:val="18"/>
              </w:rPr>
            </w:pPr>
            <w:r w:rsidRPr="000973F2">
              <w:rPr>
                <w:rFonts w:ascii="Times New Roman" w:eastAsia="Times New Roman" w:hAnsi="Times New Roman" w:cs="Times New Roman"/>
                <w:b/>
                <w:bCs/>
                <w:sz w:val="18"/>
                <w:szCs w:val="18"/>
              </w:rPr>
              <w:t>0</w:t>
            </w:r>
          </w:p>
        </w:tc>
        <w:tc>
          <w:tcPr>
            <w:tcW w:w="422" w:type="pct"/>
            <w:noWrap/>
            <w:hideMark/>
          </w:tcPr>
          <w:p w14:paraId="10F20C3A" w14:textId="77777777" w:rsidR="0001781A" w:rsidRPr="000973F2" w:rsidRDefault="0001781A" w:rsidP="008548FA">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18"/>
                <w:szCs w:val="18"/>
              </w:rPr>
            </w:pPr>
            <w:r w:rsidRPr="000973F2">
              <w:rPr>
                <w:rFonts w:ascii="Times New Roman" w:eastAsia="Times New Roman" w:hAnsi="Times New Roman" w:cs="Times New Roman"/>
                <w:b/>
                <w:bCs/>
                <w:sz w:val="18"/>
                <w:szCs w:val="18"/>
              </w:rPr>
              <w:t>0</w:t>
            </w:r>
          </w:p>
        </w:tc>
        <w:tc>
          <w:tcPr>
            <w:tcW w:w="422" w:type="pct"/>
            <w:noWrap/>
            <w:hideMark/>
          </w:tcPr>
          <w:p w14:paraId="30CBCA5D" w14:textId="77777777" w:rsidR="0001781A" w:rsidRPr="000973F2" w:rsidRDefault="0001781A" w:rsidP="008548FA">
            <w:pPr>
              <w:tabs>
                <w:tab w:val="decimal" w:pos="329"/>
              </w:tabs>
              <w:spacing w:before="40" w:after="4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18"/>
                <w:szCs w:val="18"/>
              </w:rPr>
            </w:pPr>
            <w:r w:rsidRPr="000973F2">
              <w:rPr>
                <w:rFonts w:ascii="Times New Roman" w:eastAsia="Times New Roman" w:hAnsi="Times New Roman" w:cs="Times New Roman"/>
                <w:b/>
                <w:bCs/>
                <w:sz w:val="18"/>
                <w:szCs w:val="18"/>
              </w:rPr>
              <w:t>0.5</w:t>
            </w:r>
          </w:p>
        </w:tc>
        <w:tc>
          <w:tcPr>
            <w:tcW w:w="422" w:type="pct"/>
            <w:noWrap/>
            <w:hideMark/>
          </w:tcPr>
          <w:p w14:paraId="151F1B98" w14:textId="77777777" w:rsidR="0001781A" w:rsidRPr="000973F2" w:rsidRDefault="0001781A" w:rsidP="008548FA">
            <w:pPr>
              <w:tabs>
                <w:tab w:val="decimal" w:pos="329"/>
              </w:tabs>
              <w:spacing w:before="40" w:after="4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18"/>
                <w:szCs w:val="18"/>
              </w:rPr>
            </w:pPr>
            <w:r w:rsidRPr="000973F2">
              <w:rPr>
                <w:rFonts w:ascii="Times New Roman" w:eastAsia="Times New Roman" w:hAnsi="Times New Roman" w:cs="Times New Roman"/>
                <w:b/>
                <w:bCs/>
                <w:sz w:val="18"/>
                <w:szCs w:val="18"/>
              </w:rPr>
              <w:t>0.5</w:t>
            </w:r>
          </w:p>
        </w:tc>
        <w:tc>
          <w:tcPr>
            <w:tcW w:w="422" w:type="pct"/>
            <w:noWrap/>
            <w:hideMark/>
          </w:tcPr>
          <w:p w14:paraId="65724678" w14:textId="77777777" w:rsidR="0001781A" w:rsidRPr="000973F2" w:rsidRDefault="0001781A" w:rsidP="008548FA">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18"/>
                <w:szCs w:val="18"/>
              </w:rPr>
            </w:pPr>
            <w:r w:rsidRPr="000973F2">
              <w:rPr>
                <w:rFonts w:ascii="Times New Roman" w:eastAsia="Times New Roman" w:hAnsi="Times New Roman" w:cs="Times New Roman"/>
                <w:b/>
                <w:bCs/>
                <w:sz w:val="18"/>
                <w:szCs w:val="18"/>
              </w:rPr>
              <w:t>0</w:t>
            </w:r>
          </w:p>
        </w:tc>
        <w:tc>
          <w:tcPr>
            <w:tcW w:w="422" w:type="pct"/>
            <w:noWrap/>
            <w:hideMark/>
          </w:tcPr>
          <w:p w14:paraId="6C0668E5" w14:textId="77777777" w:rsidR="0001781A" w:rsidRPr="000973F2" w:rsidRDefault="0001781A" w:rsidP="008548FA">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18"/>
                <w:szCs w:val="18"/>
              </w:rPr>
            </w:pPr>
            <w:r w:rsidRPr="000973F2">
              <w:rPr>
                <w:rFonts w:ascii="Times New Roman" w:eastAsia="Times New Roman" w:hAnsi="Times New Roman" w:cs="Times New Roman"/>
                <w:b/>
                <w:bCs/>
                <w:sz w:val="18"/>
                <w:szCs w:val="18"/>
              </w:rPr>
              <w:t>0</w:t>
            </w:r>
          </w:p>
        </w:tc>
        <w:tc>
          <w:tcPr>
            <w:tcW w:w="454" w:type="pct"/>
            <w:noWrap/>
            <w:hideMark/>
          </w:tcPr>
          <w:p w14:paraId="4CF30A55" w14:textId="6AD7C2FF" w:rsidR="0001781A" w:rsidRPr="000973F2" w:rsidRDefault="0001781A" w:rsidP="008548FA">
            <w:pPr>
              <w:tabs>
                <w:tab w:val="decimal" w:pos="384"/>
              </w:tabs>
              <w:spacing w:before="40" w:after="4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18"/>
                <w:szCs w:val="18"/>
              </w:rPr>
            </w:pPr>
            <w:r w:rsidRPr="000973F2">
              <w:rPr>
                <w:rFonts w:ascii="Times New Roman" w:eastAsia="Times New Roman" w:hAnsi="Times New Roman" w:cs="Times New Roman"/>
                <w:b/>
                <w:bCs/>
                <w:sz w:val="18"/>
                <w:szCs w:val="18"/>
              </w:rPr>
              <w:t>$37</w:t>
            </w:r>
          </w:p>
        </w:tc>
        <w:tc>
          <w:tcPr>
            <w:tcW w:w="452" w:type="pct"/>
            <w:noWrap/>
            <w:hideMark/>
          </w:tcPr>
          <w:p w14:paraId="22E04382" w14:textId="726094F7" w:rsidR="0001781A" w:rsidRPr="000973F2" w:rsidRDefault="0001781A" w:rsidP="008548FA">
            <w:pPr>
              <w:tabs>
                <w:tab w:val="decimal" w:pos="384"/>
              </w:tabs>
              <w:spacing w:before="40" w:after="4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18"/>
                <w:szCs w:val="18"/>
              </w:rPr>
            </w:pPr>
            <w:r w:rsidRPr="000973F2">
              <w:rPr>
                <w:rFonts w:ascii="Times New Roman" w:eastAsia="Times New Roman" w:hAnsi="Times New Roman" w:cs="Times New Roman"/>
                <w:b/>
                <w:bCs/>
                <w:sz w:val="18"/>
                <w:szCs w:val="18"/>
              </w:rPr>
              <w:t>$37</w:t>
            </w:r>
          </w:p>
        </w:tc>
      </w:tr>
    </w:tbl>
    <w:p w14:paraId="32A47D99" w14:textId="77777777" w:rsidR="0001781A" w:rsidRPr="000973F2" w:rsidRDefault="0001781A" w:rsidP="00C00E4F">
      <w:pPr>
        <w:pStyle w:val="AfterTable"/>
      </w:pPr>
    </w:p>
    <w:p w14:paraId="6B733464" w14:textId="77777777" w:rsidR="0001781A" w:rsidRPr="000973F2" w:rsidRDefault="0001781A" w:rsidP="00C00E4F">
      <w:pPr>
        <w:rPr>
          <w:i/>
        </w:rPr>
      </w:pPr>
      <w:r w:rsidRPr="000973F2">
        <w:rPr>
          <w:rFonts w:ascii="Times New Roman" w:hAnsi="Times New Roman" w:cs="Times New Roman"/>
          <w:i/>
        </w:rPr>
        <w:t>Subpart C with at least one additional subpart</w:t>
      </w:r>
    </w:p>
    <w:tbl>
      <w:tblPr>
        <w:tblStyle w:val="PlainTable1"/>
        <w:tblW w:w="5000" w:type="pct"/>
        <w:jc w:val="left"/>
        <w:tblLayout w:type="fixed"/>
        <w:tblCellMar>
          <w:left w:w="115" w:type="dxa"/>
          <w:right w:w="115" w:type="dxa"/>
        </w:tblCellMar>
        <w:tblLook w:val="04A0" w:firstRow="1" w:lastRow="0" w:firstColumn="1" w:lastColumn="0" w:noHBand="0" w:noVBand="1"/>
      </w:tblPr>
      <w:tblGrid>
        <w:gridCol w:w="1372"/>
        <w:gridCol w:w="810"/>
        <w:gridCol w:w="818"/>
        <w:gridCol w:w="809"/>
        <w:gridCol w:w="809"/>
        <w:gridCol w:w="809"/>
        <w:gridCol w:w="809"/>
        <w:gridCol w:w="809"/>
        <w:gridCol w:w="809"/>
        <w:gridCol w:w="871"/>
        <w:gridCol w:w="865"/>
      </w:tblGrid>
      <w:tr w:rsidR="0001781A" w:rsidRPr="000973F2" w14:paraId="62ED4B51" w14:textId="77777777" w:rsidTr="00125923">
        <w:trPr>
          <w:cnfStyle w:val="100000000000" w:firstRow="1" w:lastRow="0" w:firstColumn="0" w:lastColumn="0" w:oddVBand="0" w:evenVBand="0" w:oddHBand="0" w:evenHBand="0" w:firstRowFirstColumn="0" w:firstRowLastColumn="0" w:lastRowFirstColumn="0" w:lastRowLastColumn="0"/>
          <w:cantSplit/>
          <w:jc w:val="left"/>
        </w:trPr>
        <w:tc>
          <w:tcPr>
            <w:cnfStyle w:val="001000000000" w:firstRow="0" w:lastRow="0" w:firstColumn="1" w:lastColumn="0" w:oddVBand="0" w:evenVBand="0" w:oddHBand="0" w:evenHBand="0" w:firstRowFirstColumn="0" w:firstRowLastColumn="0" w:lastRowFirstColumn="0" w:lastRowLastColumn="0"/>
            <w:tcW w:w="715" w:type="pct"/>
            <w:vMerge w:val="restart"/>
            <w:noWrap/>
            <w:vAlign w:val="top"/>
            <w:hideMark/>
          </w:tcPr>
          <w:p w14:paraId="3DADCA0D" w14:textId="77777777" w:rsidR="0001781A" w:rsidRPr="000973F2" w:rsidRDefault="0001781A" w:rsidP="00D266A7">
            <w:pPr>
              <w:spacing w:before="40" w:after="40"/>
              <w:rPr>
                <w:rFonts w:ascii="Times New Roman" w:eastAsia="Times New Roman" w:hAnsi="Times New Roman" w:cs="Times New Roman"/>
                <w:b w:val="0"/>
                <w:bCs w:val="0"/>
                <w:sz w:val="18"/>
                <w:szCs w:val="18"/>
              </w:rPr>
            </w:pPr>
            <w:r w:rsidRPr="000973F2">
              <w:rPr>
                <w:rFonts w:ascii="Times New Roman" w:eastAsia="Times New Roman" w:hAnsi="Times New Roman" w:cs="Times New Roman"/>
                <w:sz w:val="18"/>
                <w:szCs w:val="18"/>
              </w:rPr>
              <w:t>Activity</w:t>
            </w:r>
          </w:p>
        </w:tc>
        <w:tc>
          <w:tcPr>
            <w:tcW w:w="3379" w:type="pct"/>
            <w:gridSpan w:val="8"/>
            <w:noWrap/>
            <w:vAlign w:val="top"/>
            <w:hideMark/>
          </w:tcPr>
          <w:p w14:paraId="4F2D39F3" w14:textId="77777777" w:rsidR="0001781A" w:rsidRPr="000973F2" w:rsidRDefault="0001781A" w:rsidP="00D266A7">
            <w:pPr>
              <w:spacing w:before="40" w:after="40"/>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bCs w:val="0"/>
                <w:sz w:val="18"/>
                <w:szCs w:val="18"/>
              </w:rPr>
            </w:pPr>
            <w:r w:rsidRPr="000973F2">
              <w:rPr>
                <w:rFonts w:ascii="Times New Roman" w:eastAsia="Times New Roman" w:hAnsi="Times New Roman" w:cs="Times New Roman"/>
                <w:sz w:val="18"/>
                <w:szCs w:val="18"/>
              </w:rPr>
              <w:t>Labor Rates (per hour)</w:t>
            </w:r>
          </w:p>
        </w:tc>
        <w:tc>
          <w:tcPr>
            <w:tcW w:w="906" w:type="pct"/>
            <w:gridSpan w:val="2"/>
            <w:vMerge w:val="restart"/>
            <w:vAlign w:val="top"/>
            <w:hideMark/>
          </w:tcPr>
          <w:p w14:paraId="15150854" w14:textId="77777777" w:rsidR="0001781A" w:rsidRPr="000973F2" w:rsidRDefault="0001781A" w:rsidP="00D266A7">
            <w:pPr>
              <w:spacing w:before="40" w:after="40"/>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bCs w:val="0"/>
                <w:sz w:val="18"/>
                <w:szCs w:val="18"/>
              </w:rPr>
            </w:pPr>
            <w:r w:rsidRPr="000973F2">
              <w:rPr>
                <w:rFonts w:ascii="Times New Roman" w:eastAsia="Times New Roman" w:hAnsi="Times New Roman" w:cs="Times New Roman"/>
                <w:sz w:val="18"/>
                <w:szCs w:val="18"/>
              </w:rPr>
              <w:t>Total Labor Cost per Year per Facility (2017$)</w:t>
            </w:r>
          </w:p>
        </w:tc>
      </w:tr>
      <w:tr w:rsidR="0001781A" w:rsidRPr="000973F2" w14:paraId="781D99A7" w14:textId="77777777" w:rsidTr="00125923">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715" w:type="pct"/>
            <w:vMerge/>
            <w:hideMark/>
          </w:tcPr>
          <w:p w14:paraId="446F433C" w14:textId="77777777" w:rsidR="0001781A" w:rsidRPr="000973F2" w:rsidRDefault="0001781A" w:rsidP="00D266A7">
            <w:pPr>
              <w:spacing w:before="40" w:after="40"/>
              <w:rPr>
                <w:rFonts w:ascii="Times New Roman" w:eastAsia="Times New Roman" w:hAnsi="Times New Roman" w:cs="Times New Roman"/>
                <w:b/>
                <w:bCs w:val="0"/>
                <w:sz w:val="18"/>
                <w:szCs w:val="18"/>
              </w:rPr>
            </w:pPr>
          </w:p>
        </w:tc>
        <w:tc>
          <w:tcPr>
            <w:tcW w:w="848" w:type="pct"/>
            <w:gridSpan w:val="2"/>
            <w:noWrap/>
            <w:hideMark/>
          </w:tcPr>
          <w:p w14:paraId="7B732258" w14:textId="77777777" w:rsidR="0001781A" w:rsidRPr="000973F2" w:rsidRDefault="0001781A" w:rsidP="00D266A7">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18"/>
                <w:szCs w:val="18"/>
              </w:rPr>
            </w:pPr>
            <w:r w:rsidRPr="000973F2">
              <w:rPr>
                <w:rFonts w:ascii="Times New Roman" w:eastAsia="Times New Roman" w:hAnsi="Times New Roman" w:cs="Times New Roman"/>
                <w:b/>
                <w:bCs/>
                <w:sz w:val="18"/>
                <w:szCs w:val="18"/>
              </w:rPr>
              <w:t>Lawyer</w:t>
            </w:r>
          </w:p>
        </w:tc>
        <w:tc>
          <w:tcPr>
            <w:tcW w:w="844" w:type="pct"/>
            <w:gridSpan w:val="2"/>
            <w:noWrap/>
            <w:hideMark/>
          </w:tcPr>
          <w:p w14:paraId="0AF98A1A" w14:textId="77777777" w:rsidR="0001781A" w:rsidRPr="000973F2" w:rsidRDefault="0001781A" w:rsidP="00D266A7">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18"/>
                <w:szCs w:val="18"/>
              </w:rPr>
            </w:pPr>
            <w:r w:rsidRPr="000973F2">
              <w:rPr>
                <w:rFonts w:ascii="Times New Roman" w:eastAsia="Times New Roman" w:hAnsi="Times New Roman" w:cs="Times New Roman"/>
                <w:b/>
                <w:bCs/>
                <w:sz w:val="18"/>
                <w:szCs w:val="18"/>
              </w:rPr>
              <w:t>Industrial Manager</w:t>
            </w:r>
          </w:p>
        </w:tc>
        <w:tc>
          <w:tcPr>
            <w:tcW w:w="844" w:type="pct"/>
            <w:gridSpan w:val="2"/>
            <w:hideMark/>
          </w:tcPr>
          <w:p w14:paraId="2233ABF0" w14:textId="5561E569" w:rsidR="0001781A" w:rsidRPr="000973F2" w:rsidRDefault="0001781A" w:rsidP="00D266A7">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18"/>
                <w:szCs w:val="18"/>
              </w:rPr>
            </w:pPr>
            <w:r w:rsidRPr="000973F2">
              <w:rPr>
                <w:rFonts w:ascii="Times New Roman" w:eastAsia="Times New Roman" w:hAnsi="Times New Roman" w:cs="Times New Roman"/>
                <w:b/>
                <w:bCs/>
                <w:sz w:val="18"/>
                <w:szCs w:val="18"/>
              </w:rPr>
              <w:t>Industrial Engineer/</w:t>
            </w:r>
            <w:r w:rsidR="00D266A7" w:rsidRPr="000973F2">
              <w:rPr>
                <w:rFonts w:ascii="Times New Roman" w:eastAsia="Times New Roman" w:hAnsi="Times New Roman" w:cs="Times New Roman"/>
                <w:b/>
                <w:bCs/>
                <w:sz w:val="18"/>
                <w:szCs w:val="18"/>
              </w:rPr>
              <w:t xml:space="preserve"> </w:t>
            </w:r>
            <w:r w:rsidRPr="000973F2">
              <w:rPr>
                <w:rFonts w:ascii="Times New Roman" w:eastAsia="Times New Roman" w:hAnsi="Times New Roman" w:cs="Times New Roman"/>
                <w:b/>
                <w:bCs/>
                <w:sz w:val="18"/>
                <w:szCs w:val="18"/>
              </w:rPr>
              <w:t>Technician</w:t>
            </w:r>
          </w:p>
        </w:tc>
        <w:tc>
          <w:tcPr>
            <w:tcW w:w="844" w:type="pct"/>
            <w:gridSpan w:val="2"/>
            <w:hideMark/>
          </w:tcPr>
          <w:p w14:paraId="3357DB46" w14:textId="77777777" w:rsidR="0001781A" w:rsidRPr="000973F2" w:rsidRDefault="0001781A" w:rsidP="00D266A7">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18"/>
                <w:szCs w:val="18"/>
              </w:rPr>
            </w:pPr>
            <w:r w:rsidRPr="000973F2">
              <w:rPr>
                <w:rFonts w:ascii="Times New Roman" w:eastAsia="Times New Roman" w:hAnsi="Times New Roman" w:cs="Times New Roman"/>
                <w:b/>
                <w:bCs/>
                <w:sz w:val="18"/>
                <w:szCs w:val="18"/>
              </w:rPr>
              <w:t>Administrative Support</w:t>
            </w:r>
          </w:p>
        </w:tc>
        <w:tc>
          <w:tcPr>
            <w:tcW w:w="906" w:type="pct"/>
            <w:gridSpan w:val="2"/>
            <w:vMerge/>
            <w:hideMark/>
          </w:tcPr>
          <w:p w14:paraId="4C83D20A" w14:textId="77777777" w:rsidR="0001781A" w:rsidRPr="000973F2" w:rsidRDefault="0001781A" w:rsidP="00D266A7">
            <w:pPr>
              <w:spacing w:before="40" w:after="4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18"/>
                <w:szCs w:val="18"/>
              </w:rPr>
            </w:pPr>
          </w:p>
        </w:tc>
      </w:tr>
      <w:tr w:rsidR="0001781A" w:rsidRPr="000973F2" w14:paraId="5D4A53B7" w14:textId="77777777" w:rsidTr="00125923">
        <w:trPr>
          <w:cantSplit/>
        </w:trPr>
        <w:tc>
          <w:tcPr>
            <w:cnfStyle w:val="001000000000" w:firstRow="0" w:lastRow="0" w:firstColumn="1" w:lastColumn="0" w:oddVBand="0" w:evenVBand="0" w:oddHBand="0" w:evenHBand="0" w:firstRowFirstColumn="0" w:firstRowLastColumn="0" w:lastRowFirstColumn="0" w:lastRowLastColumn="0"/>
            <w:tcW w:w="715" w:type="pct"/>
            <w:vMerge/>
            <w:hideMark/>
          </w:tcPr>
          <w:p w14:paraId="229C9B93" w14:textId="77777777" w:rsidR="0001781A" w:rsidRPr="000973F2" w:rsidRDefault="0001781A" w:rsidP="00D266A7">
            <w:pPr>
              <w:spacing w:before="40" w:after="40"/>
              <w:rPr>
                <w:rFonts w:ascii="Times New Roman" w:eastAsia="Times New Roman" w:hAnsi="Times New Roman" w:cs="Times New Roman"/>
                <w:b/>
                <w:bCs w:val="0"/>
                <w:sz w:val="18"/>
                <w:szCs w:val="18"/>
              </w:rPr>
            </w:pPr>
          </w:p>
        </w:tc>
        <w:tc>
          <w:tcPr>
            <w:tcW w:w="848" w:type="pct"/>
            <w:gridSpan w:val="2"/>
            <w:noWrap/>
            <w:hideMark/>
          </w:tcPr>
          <w:p w14:paraId="6D090C46" w14:textId="77777777" w:rsidR="0001781A" w:rsidRPr="000973F2" w:rsidRDefault="0001781A" w:rsidP="00D266A7">
            <w:pPr>
              <w:spacing w:before="40" w:after="4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sz w:val="18"/>
                <w:szCs w:val="18"/>
              </w:rPr>
            </w:pPr>
            <w:r w:rsidRPr="000973F2">
              <w:rPr>
                <w:rFonts w:ascii="Times New Roman" w:eastAsia="Times New Roman" w:hAnsi="Times New Roman" w:cs="Times New Roman"/>
                <w:b/>
                <w:bCs/>
                <w:sz w:val="18"/>
                <w:szCs w:val="18"/>
              </w:rPr>
              <w:t xml:space="preserve">$112.23 </w:t>
            </w:r>
          </w:p>
        </w:tc>
        <w:tc>
          <w:tcPr>
            <w:tcW w:w="844" w:type="pct"/>
            <w:gridSpan w:val="2"/>
            <w:noWrap/>
            <w:hideMark/>
          </w:tcPr>
          <w:p w14:paraId="0F28CA46" w14:textId="77777777" w:rsidR="0001781A" w:rsidRPr="000973F2" w:rsidRDefault="0001781A" w:rsidP="00D266A7">
            <w:pPr>
              <w:spacing w:before="40" w:after="4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sz w:val="18"/>
                <w:szCs w:val="18"/>
              </w:rPr>
            </w:pPr>
            <w:r w:rsidRPr="000973F2">
              <w:rPr>
                <w:rFonts w:ascii="Times New Roman" w:eastAsia="Times New Roman" w:hAnsi="Times New Roman" w:cs="Times New Roman"/>
                <w:b/>
                <w:bCs/>
                <w:sz w:val="18"/>
                <w:szCs w:val="18"/>
              </w:rPr>
              <w:t xml:space="preserve">$87.45 </w:t>
            </w:r>
          </w:p>
        </w:tc>
        <w:tc>
          <w:tcPr>
            <w:tcW w:w="844" w:type="pct"/>
            <w:gridSpan w:val="2"/>
            <w:noWrap/>
            <w:hideMark/>
          </w:tcPr>
          <w:p w14:paraId="2AE4A830" w14:textId="77777777" w:rsidR="0001781A" w:rsidRPr="000973F2" w:rsidRDefault="0001781A" w:rsidP="00D266A7">
            <w:pPr>
              <w:spacing w:before="40" w:after="4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sz w:val="18"/>
                <w:szCs w:val="18"/>
              </w:rPr>
            </w:pPr>
            <w:r w:rsidRPr="000973F2">
              <w:rPr>
                <w:rFonts w:ascii="Times New Roman" w:eastAsia="Times New Roman" w:hAnsi="Times New Roman" w:cs="Times New Roman"/>
                <w:b/>
                <w:bCs/>
                <w:sz w:val="18"/>
                <w:szCs w:val="18"/>
              </w:rPr>
              <w:t xml:space="preserve">$71.45 </w:t>
            </w:r>
          </w:p>
        </w:tc>
        <w:tc>
          <w:tcPr>
            <w:tcW w:w="844" w:type="pct"/>
            <w:gridSpan w:val="2"/>
            <w:noWrap/>
            <w:hideMark/>
          </w:tcPr>
          <w:p w14:paraId="2114FB3A" w14:textId="77777777" w:rsidR="0001781A" w:rsidRPr="000973F2" w:rsidRDefault="0001781A" w:rsidP="00D266A7">
            <w:pPr>
              <w:spacing w:before="40" w:after="4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sz w:val="18"/>
                <w:szCs w:val="18"/>
              </w:rPr>
            </w:pPr>
            <w:r w:rsidRPr="000973F2">
              <w:rPr>
                <w:rFonts w:ascii="Times New Roman" w:eastAsia="Times New Roman" w:hAnsi="Times New Roman" w:cs="Times New Roman"/>
                <w:b/>
                <w:bCs/>
                <w:sz w:val="18"/>
                <w:szCs w:val="18"/>
              </w:rPr>
              <w:t xml:space="preserve">$36.28 </w:t>
            </w:r>
          </w:p>
        </w:tc>
        <w:tc>
          <w:tcPr>
            <w:tcW w:w="906" w:type="pct"/>
            <w:gridSpan w:val="2"/>
            <w:vMerge/>
            <w:hideMark/>
          </w:tcPr>
          <w:p w14:paraId="3CF6A5FB" w14:textId="77777777" w:rsidR="0001781A" w:rsidRPr="000973F2" w:rsidRDefault="0001781A" w:rsidP="00D266A7">
            <w:pPr>
              <w:spacing w:before="40" w:after="4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sz w:val="18"/>
                <w:szCs w:val="18"/>
              </w:rPr>
            </w:pPr>
          </w:p>
        </w:tc>
      </w:tr>
      <w:tr w:rsidR="0001781A" w:rsidRPr="000973F2" w14:paraId="51882934" w14:textId="77777777" w:rsidTr="00125923">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715" w:type="pct"/>
            <w:vMerge/>
            <w:hideMark/>
          </w:tcPr>
          <w:p w14:paraId="077A82E7" w14:textId="77777777" w:rsidR="0001781A" w:rsidRPr="000973F2" w:rsidRDefault="0001781A" w:rsidP="00D266A7">
            <w:pPr>
              <w:spacing w:before="40" w:after="40"/>
              <w:rPr>
                <w:rFonts w:ascii="Times New Roman" w:eastAsia="Times New Roman" w:hAnsi="Times New Roman" w:cs="Times New Roman"/>
                <w:b/>
                <w:bCs w:val="0"/>
                <w:sz w:val="18"/>
                <w:szCs w:val="18"/>
              </w:rPr>
            </w:pPr>
          </w:p>
        </w:tc>
        <w:tc>
          <w:tcPr>
            <w:tcW w:w="422" w:type="pct"/>
            <w:tcMar>
              <w:left w:w="14" w:type="dxa"/>
              <w:right w:w="14" w:type="dxa"/>
            </w:tcMar>
            <w:hideMark/>
          </w:tcPr>
          <w:p w14:paraId="510F0CC4" w14:textId="66C99775" w:rsidR="0001781A" w:rsidRPr="000973F2" w:rsidRDefault="00A43381" w:rsidP="00D266A7">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18"/>
                <w:szCs w:val="18"/>
              </w:rPr>
            </w:pPr>
            <w:r w:rsidRPr="000973F2">
              <w:rPr>
                <w:rFonts w:ascii="Times New Roman" w:eastAsia="Times New Roman" w:hAnsi="Times New Roman" w:cs="Times New Roman"/>
                <w:b/>
                <w:bCs/>
                <w:sz w:val="18"/>
                <w:szCs w:val="18"/>
              </w:rPr>
              <w:t>Initial Year Hours</w:t>
            </w:r>
          </w:p>
        </w:tc>
        <w:tc>
          <w:tcPr>
            <w:tcW w:w="426" w:type="pct"/>
            <w:tcMar>
              <w:left w:w="14" w:type="dxa"/>
              <w:right w:w="14" w:type="dxa"/>
            </w:tcMar>
            <w:hideMark/>
          </w:tcPr>
          <w:p w14:paraId="7575EDEA" w14:textId="0316605B" w:rsidR="0001781A" w:rsidRPr="000973F2" w:rsidRDefault="00A43381" w:rsidP="00D266A7">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18"/>
                <w:szCs w:val="18"/>
              </w:rPr>
            </w:pPr>
            <w:r w:rsidRPr="000973F2">
              <w:rPr>
                <w:rFonts w:ascii="Times New Roman" w:eastAsia="Times New Roman" w:hAnsi="Times New Roman" w:cs="Times New Roman"/>
                <w:b/>
                <w:bCs/>
                <w:sz w:val="18"/>
                <w:szCs w:val="18"/>
              </w:rPr>
              <w:t>Subseq. Year Hours</w:t>
            </w:r>
          </w:p>
        </w:tc>
        <w:tc>
          <w:tcPr>
            <w:tcW w:w="422" w:type="pct"/>
            <w:tcMar>
              <w:left w:w="14" w:type="dxa"/>
              <w:right w:w="14" w:type="dxa"/>
            </w:tcMar>
            <w:hideMark/>
          </w:tcPr>
          <w:p w14:paraId="38FD7E3F" w14:textId="2CDC0354" w:rsidR="0001781A" w:rsidRPr="000973F2" w:rsidRDefault="00A43381" w:rsidP="00D266A7">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18"/>
                <w:szCs w:val="18"/>
              </w:rPr>
            </w:pPr>
            <w:r w:rsidRPr="000973F2">
              <w:rPr>
                <w:rFonts w:ascii="Times New Roman" w:eastAsia="Times New Roman" w:hAnsi="Times New Roman" w:cs="Times New Roman"/>
                <w:b/>
                <w:bCs/>
                <w:sz w:val="18"/>
                <w:szCs w:val="18"/>
              </w:rPr>
              <w:t>Initial Year Hours</w:t>
            </w:r>
          </w:p>
        </w:tc>
        <w:tc>
          <w:tcPr>
            <w:tcW w:w="422" w:type="pct"/>
            <w:tcMar>
              <w:left w:w="14" w:type="dxa"/>
              <w:right w:w="14" w:type="dxa"/>
            </w:tcMar>
            <w:hideMark/>
          </w:tcPr>
          <w:p w14:paraId="2773EAF2" w14:textId="6DE51792" w:rsidR="0001781A" w:rsidRPr="000973F2" w:rsidRDefault="00A43381" w:rsidP="00D266A7">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18"/>
                <w:szCs w:val="18"/>
              </w:rPr>
            </w:pPr>
            <w:r w:rsidRPr="000973F2">
              <w:rPr>
                <w:rFonts w:ascii="Times New Roman" w:eastAsia="Times New Roman" w:hAnsi="Times New Roman" w:cs="Times New Roman"/>
                <w:b/>
                <w:bCs/>
                <w:sz w:val="18"/>
                <w:szCs w:val="18"/>
              </w:rPr>
              <w:t>Subseq. Year Hours</w:t>
            </w:r>
          </w:p>
        </w:tc>
        <w:tc>
          <w:tcPr>
            <w:tcW w:w="422" w:type="pct"/>
            <w:tcMar>
              <w:left w:w="14" w:type="dxa"/>
              <w:right w:w="14" w:type="dxa"/>
            </w:tcMar>
            <w:hideMark/>
          </w:tcPr>
          <w:p w14:paraId="64993FE5" w14:textId="1A166BF6" w:rsidR="0001781A" w:rsidRPr="000973F2" w:rsidRDefault="00A43381" w:rsidP="00D266A7">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18"/>
                <w:szCs w:val="18"/>
              </w:rPr>
            </w:pPr>
            <w:r w:rsidRPr="000973F2">
              <w:rPr>
                <w:rFonts w:ascii="Times New Roman" w:eastAsia="Times New Roman" w:hAnsi="Times New Roman" w:cs="Times New Roman"/>
                <w:b/>
                <w:bCs/>
                <w:sz w:val="18"/>
                <w:szCs w:val="18"/>
              </w:rPr>
              <w:t>Initial Year Hours</w:t>
            </w:r>
          </w:p>
        </w:tc>
        <w:tc>
          <w:tcPr>
            <w:tcW w:w="422" w:type="pct"/>
            <w:tcMar>
              <w:left w:w="14" w:type="dxa"/>
              <w:right w:w="14" w:type="dxa"/>
            </w:tcMar>
            <w:hideMark/>
          </w:tcPr>
          <w:p w14:paraId="1EC3BF6C" w14:textId="3641206F" w:rsidR="0001781A" w:rsidRPr="000973F2" w:rsidRDefault="00A43381" w:rsidP="00D266A7">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18"/>
                <w:szCs w:val="18"/>
              </w:rPr>
            </w:pPr>
            <w:r w:rsidRPr="000973F2">
              <w:rPr>
                <w:rFonts w:ascii="Times New Roman" w:eastAsia="Times New Roman" w:hAnsi="Times New Roman" w:cs="Times New Roman"/>
                <w:b/>
                <w:bCs/>
                <w:sz w:val="18"/>
                <w:szCs w:val="18"/>
              </w:rPr>
              <w:t>Subseq. Year Hours</w:t>
            </w:r>
          </w:p>
        </w:tc>
        <w:tc>
          <w:tcPr>
            <w:tcW w:w="422" w:type="pct"/>
            <w:tcMar>
              <w:left w:w="14" w:type="dxa"/>
              <w:right w:w="14" w:type="dxa"/>
            </w:tcMar>
            <w:hideMark/>
          </w:tcPr>
          <w:p w14:paraId="6D5E8C56" w14:textId="3954D308" w:rsidR="0001781A" w:rsidRPr="000973F2" w:rsidRDefault="00A43381" w:rsidP="00D266A7">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18"/>
                <w:szCs w:val="18"/>
              </w:rPr>
            </w:pPr>
            <w:r w:rsidRPr="000973F2">
              <w:rPr>
                <w:rFonts w:ascii="Times New Roman" w:eastAsia="Times New Roman" w:hAnsi="Times New Roman" w:cs="Times New Roman"/>
                <w:b/>
                <w:bCs/>
                <w:sz w:val="18"/>
                <w:szCs w:val="18"/>
              </w:rPr>
              <w:t>Initial Year Hours</w:t>
            </w:r>
          </w:p>
        </w:tc>
        <w:tc>
          <w:tcPr>
            <w:tcW w:w="422" w:type="pct"/>
            <w:tcMar>
              <w:left w:w="14" w:type="dxa"/>
              <w:right w:w="14" w:type="dxa"/>
            </w:tcMar>
            <w:hideMark/>
          </w:tcPr>
          <w:p w14:paraId="681AB4D6" w14:textId="62387156" w:rsidR="0001781A" w:rsidRPr="000973F2" w:rsidRDefault="00A43381" w:rsidP="00D266A7">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18"/>
                <w:szCs w:val="18"/>
              </w:rPr>
            </w:pPr>
            <w:r w:rsidRPr="000973F2">
              <w:rPr>
                <w:rFonts w:ascii="Times New Roman" w:eastAsia="Times New Roman" w:hAnsi="Times New Roman" w:cs="Times New Roman"/>
                <w:b/>
                <w:bCs/>
                <w:sz w:val="18"/>
                <w:szCs w:val="18"/>
              </w:rPr>
              <w:t>Subseq. Year Hours</w:t>
            </w:r>
          </w:p>
        </w:tc>
        <w:tc>
          <w:tcPr>
            <w:tcW w:w="454" w:type="pct"/>
            <w:tcMar>
              <w:left w:w="14" w:type="dxa"/>
              <w:right w:w="14" w:type="dxa"/>
            </w:tcMar>
            <w:hideMark/>
          </w:tcPr>
          <w:p w14:paraId="63986755" w14:textId="77777777" w:rsidR="0001781A" w:rsidRPr="000973F2" w:rsidRDefault="0001781A" w:rsidP="00D266A7">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18"/>
                <w:szCs w:val="18"/>
              </w:rPr>
            </w:pPr>
            <w:r w:rsidRPr="000973F2">
              <w:rPr>
                <w:rFonts w:ascii="Times New Roman" w:eastAsia="Times New Roman" w:hAnsi="Times New Roman" w:cs="Times New Roman"/>
                <w:b/>
                <w:bCs/>
                <w:sz w:val="18"/>
                <w:szCs w:val="18"/>
              </w:rPr>
              <w:t>Initial Year</w:t>
            </w:r>
          </w:p>
        </w:tc>
        <w:tc>
          <w:tcPr>
            <w:tcW w:w="452" w:type="pct"/>
            <w:tcMar>
              <w:left w:w="14" w:type="dxa"/>
              <w:right w:w="14" w:type="dxa"/>
            </w:tcMar>
            <w:hideMark/>
          </w:tcPr>
          <w:p w14:paraId="68C10FCD" w14:textId="77777777" w:rsidR="0001781A" w:rsidRPr="000973F2" w:rsidRDefault="0001781A" w:rsidP="00D266A7">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18"/>
                <w:szCs w:val="18"/>
              </w:rPr>
            </w:pPr>
            <w:r w:rsidRPr="000973F2">
              <w:rPr>
                <w:rFonts w:ascii="Times New Roman" w:eastAsia="Times New Roman" w:hAnsi="Times New Roman" w:cs="Times New Roman"/>
                <w:b/>
                <w:bCs/>
                <w:sz w:val="18"/>
                <w:szCs w:val="18"/>
              </w:rPr>
              <w:t>Subseq. Year</w:t>
            </w:r>
          </w:p>
        </w:tc>
      </w:tr>
      <w:tr w:rsidR="00125923" w:rsidRPr="000973F2" w14:paraId="757BD1D5" w14:textId="77777777" w:rsidTr="00125923">
        <w:trPr>
          <w:cantSplit/>
        </w:trPr>
        <w:tc>
          <w:tcPr>
            <w:cnfStyle w:val="001000000000" w:firstRow="0" w:lastRow="0" w:firstColumn="1" w:lastColumn="0" w:oddVBand="0" w:evenVBand="0" w:oddHBand="0" w:evenHBand="0" w:firstRowFirstColumn="0" w:firstRowLastColumn="0" w:lastRowFirstColumn="0" w:lastRowLastColumn="0"/>
            <w:tcW w:w="715" w:type="pct"/>
            <w:tcMar>
              <w:right w:w="14" w:type="dxa"/>
            </w:tcMar>
            <w:hideMark/>
          </w:tcPr>
          <w:p w14:paraId="6FA181C9" w14:textId="77777777" w:rsidR="00125923" w:rsidRPr="000973F2" w:rsidRDefault="00125923" w:rsidP="00125923">
            <w:pPr>
              <w:spacing w:before="40" w:after="4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Planning</w:t>
            </w:r>
          </w:p>
        </w:tc>
        <w:tc>
          <w:tcPr>
            <w:tcW w:w="422" w:type="pct"/>
            <w:noWrap/>
            <w:hideMark/>
          </w:tcPr>
          <w:p w14:paraId="21FCEA51" w14:textId="2CF577C5" w:rsidR="00125923" w:rsidRPr="000973F2" w:rsidRDefault="00125923" w:rsidP="00125923">
            <w:pPr>
              <w:spacing w:before="40" w:after="4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w:t>
            </w:r>
          </w:p>
        </w:tc>
        <w:tc>
          <w:tcPr>
            <w:tcW w:w="426" w:type="pct"/>
            <w:noWrap/>
            <w:hideMark/>
          </w:tcPr>
          <w:p w14:paraId="7EB5E749" w14:textId="0D2E5323" w:rsidR="00125923" w:rsidRPr="000973F2" w:rsidRDefault="00125923" w:rsidP="00125923">
            <w:pPr>
              <w:spacing w:before="40" w:after="4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w:t>
            </w:r>
          </w:p>
        </w:tc>
        <w:tc>
          <w:tcPr>
            <w:tcW w:w="422" w:type="pct"/>
            <w:noWrap/>
            <w:hideMark/>
          </w:tcPr>
          <w:p w14:paraId="2376CEC3" w14:textId="65D5180C" w:rsidR="00125923" w:rsidRPr="000973F2" w:rsidRDefault="00125923" w:rsidP="00125923">
            <w:pPr>
              <w:spacing w:before="40" w:after="4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w:t>
            </w:r>
          </w:p>
        </w:tc>
        <w:tc>
          <w:tcPr>
            <w:tcW w:w="422" w:type="pct"/>
            <w:noWrap/>
            <w:hideMark/>
          </w:tcPr>
          <w:p w14:paraId="1FE6D068" w14:textId="4F2EACDE" w:rsidR="00125923" w:rsidRPr="000973F2" w:rsidRDefault="00125923" w:rsidP="00125923">
            <w:pPr>
              <w:spacing w:before="40" w:after="4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w:t>
            </w:r>
          </w:p>
        </w:tc>
        <w:tc>
          <w:tcPr>
            <w:tcW w:w="422" w:type="pct"/>
            <w:noWrap/>
            <w:hideMark/>
          </w:tcPr>
          <w:p w14:paraId="74D5D6C8" w14:textId="3706CBD8" w:rsidR="00125923" w:rsidRPr="000973F2" w:rsidRDefault="00125923" w:rsidP="00125923">
            <w:pPr>
              <w:tabs>
                <w:tab w:val="decimal" w:pos="311"/>
              </w:tabs>
              <w:spacing w:before="40" w:after="4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w:t>
            </w:r>
          </w:p>
        </w:tc>
        <w:tc>
          <w:tcPr>
            <w:tcW w:w="422" w:type="pct"/>
            <w:noWrap/>
            <w:hideMark/>
          </w:tcPr>
          <w:p w14:paraId="4A9DAEEA" w14:textId="5B7B00DB" w:rsidR="00125923" w:rsidRPr="000973F2" w:rsidRDefault="00125923" w:rsidP="00125923">
            <w:pPr>
              <w:tabs>
                <w:tab w:val="decimal" w:pos="311"/>
              </w:tabs>
              <w:spacing w:before="40" w:after="4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w:t>
            </w:r>
          </w:p>
        </w:tc>
        <w:tc>
          <w:tcPr>
            <w:tcW w:w="422" w:type="pct"/>
            <w:noWrap/>
            <w:hideMark/>
          </w:tcPr>
          <w:p w14:paraId="1E4C3561" w14:textId="735EC9AB" w:rsidR="00125923" w:rsidRPr="000973F2" w:rsidRDefault="00125923" w:rsidP="00125923">
            <w:pPr>
              <w:spacing w:before="40" w:after="4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w:t>
            </w:r>
          </w:p>
        </w:tc>
        <w:tc>
          <w:tcPr>
            <w:tcW w:w="422" w:type="pct"/>
            <w:noWrap/>
            <w:hideMark/>
          </w:tcPr>
          <w:p w14:paraId="6CA89311" w14:textId="39987F93" w:rsidR="00125923" w:rsidRPr="000973F2" w:rsidRDefault="00125923" w:rsidP="00125923">
            <w:pPr>
              <w:spacing w:before="40" w:after="4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w:t>
            </w:r>
          </w:p>
        </w:tc>
        <w:tc>
          <w:tcPr>
            <w:tcW w:w="454" w:type="pct"/>
            <w:noWrap/>
            <w:hideMark/>
          </w:tcPr>
          <w:p w14:paraId="1A1EE24C" w14:textId="20116943" w:rsidR="00125923" w:rsidRPr="000973F2" w:rsidRDefault="00125923" w:rsidP="00125923">
            <w:pPr>
              <w:tabs>
                <w:tab w:val="decimal" w:pos="475"/>
              </w:tabs>
              <w:spacing w:before="40" w:after="4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w:t>
            </w:r>
          </w:p>
        </w:tc>
        <w:tc>
          <w:tcPr>
            <w:tcW w:w="452" w:type="pct"/>
            <w:noWrap/>
            <w:hideMark/>
          </w:tcPr>
          <w:p w14:paraId="2DDC3F79" w14:textId="35CC2E23" w:rsidR="00125923" w:rsidRPr="000973F2" w:rsidRDefault="00125923" w:rsidP="00125923">
            <w:pPr>
              <w:tabs>
                <w:tab w:val="decimal" w:pos="475"/>
              </w:tabs>
              <w:spacing w:before="40" w:after="4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w:t>
            </w:r>
          </w:p>
        </w:tc>
      </w:tr>
      <w:tr w:rsidR="00125923" w:rsidRPr="000973F2" w14:paraId="7FBDA3C2" w14:textId="77777777" w:rsidTr="00125923">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715" w:type="pct"/>
            <w:tcMar>
              <w:right w:w="14" w:type="dxa"/>
            </w:tcMar>
            <w:hideMark/>
          </w:tcPr>
          <w:p w14:paraId="2A2DC028" w14:textId="77777777" w:rsidR="00125923" w:rsidRPr="000973F2" w:rsidRDefault="00125923" w:rsidP="00125923">
            <w:pPr>
              <w:spacing w:before="40" w:after="4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QA/QC</w:t>
            </w:r>
          </w:p>
        </w:tc>
        <w:tc>
          <w:tcPr>
            <w:tcW w:w="422" w:type="pct"/>
            <w:noWrap/>
            <w:hideMark/>
          </w:tcPr>
          <w:p w14:paraId="38318809" w14:textId="1395C533" w:rsidR="00125923" w:rsidRPr="000973F2" w:rsidRDefault="00125923" w:rsidP="00125923">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w:t>
            </w:r>
          </w:p>
        </w:tc>
        <w:tc>
          <w:tcPr>
            <w:tcW w:w="426" w:type="pct"/>
            <w:noWrap/>
            <w:hideMark/>
          </w:tcPr>
          <w:p w14:paraId="5F3CA260" w14:textId="67D6B703" w:rsidR="00125923" w:rsidRPr="000973F2" w:rsidRDefault="00125923" w:rsidP="00125923">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w:t>
            </w:r>
          </w:p>
        </w:tc>
        <w:tc>
          <w:tcPr>
            <w:tcW w:w="422" w:type="pct"/>
            <w:noWrap/>
            <w:hideMark/>
          </w:tcPr>
          <w:p w14:paraId="342E264D" w14:textId="461294CF" w:rsidR="00125923" w:rsidRPr="000973F2" w:rsidRDefault="00125923" w:rsidP="00125923">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w:t>
            </w:r>
          </w:p>
        </w:tc>
        <w:tc>
          <w:tcPr>
            <w:tcW w:w="422" w:type="pct"/>
            <w:noWrap/>
            <w:hideMark/>
          </w:tcPr>
          <w:p w14:paraId="69802140" w14:textId="252645FB" w:rsidR="00125923" w:rsidRPr="000973F2" w:rsidRDefault="00125923" w:rsidP="00125923">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w:t>
            </w:r>
          </w:p>
        </w:tc>
        <w:tc>
          <w:tcPr>
            <w:tcW w:w="422" w:type="pct"/>
            <w:noWrap/>
            <w:hideMark/>
          </w:tcPr>
          <w:p w14:paraId="738886D0" w14:textId="676B59E9" w:rsidR="00125923" w:rsidRPr="000973F2" w:rsidRDefault="00125923" w:rsidP="00125923">
            <w:pPr>
              <w:tabs>
                <w:tab w:val="decimal" w:pos="311"/>
              </w:tabs>
              <w:spacing w:before="40" w:after="4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w:t>
            </w:r>
          </w:p>
        </w:tc>
        <w:tc>
          <w:tcPr>
            <w:tcW w:w="422" w:type="pct"/>
            <w:noWrap/>
            <w:hideMark/>
          </w:tcPr>
          <w:p w14:paraId="57A8CF59" w14:textId="70CB5678" w:rsidR="00125923" w:rsidRPr="000973F2" w:rsidRDefault="00125923" w:rsidP="00125923">
            <w:pPr>
              <w:tabs>
                <w:tab w:val="decimal" w:pos="311"/>
              </w:tabs>
              <w:spacing w:before="40" w:after="4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w:t>
            </w:r>
          </w:p>
        </w:tc>
        <w:tc>
          <w:tcPr>
            <w:tcW w:w="422" w:type="pct"/>
            <w:noWrap/>
            <w:hideMark/>
          </w:tcPr>
          <w:p w14:paraId="022777DB" w14:textId="31E9043E" w:rsidR="00125923" w:rsidRPr="000973F2" w:rsidRDefault="00125923" w:rsidP="00125923">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w:t>
            </w:r>
          </w:p>
        </w:tc>
        <w:tc>
          <w:tcPr>
            <w:tcW w:w="422" w:type="pct"/>
            <w:noWrap/>
            <w:hideMark/>
          </w:tcPr>
          <w:p w14:paraId="3F2DBCF6" w14:textId="6D523161" w:rsidR="00125923" w:rsidRPr="000973F2" w:rsidRDefault="00125923" w:rsidP="00125923">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w:t>
            </w:r>
          </w:p>
        </w:tc>
        <w:tc>
          <w:tcPr>
            <w:tcW w:w="454" w:type="pct"/>
            <w:noWrap/>
            <w:hideMark/>
          </w:tcPr>
          <w:p w14:paraId="58B7103F" w14:textId="6B09EC18" w:rsidR="00125923" w:rsidRPr="000973F2" w:rsidRDefault="00125923" w:rsidP="00125923">
            <w:pPr>
              <w:tabs>
                <w:tab w:val="decimal" w:pos="475"/>
              </w:tabs>
              <w:spacing w:before="40" w:after="4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w:t>
            </w:r>
          </w:p>
        </w:tc>
        <w:tc>
          <w:tcPr>
            <w:tcW w:w="452" w:type="pct"/>
            <w:noWrap/>
            <w:hideMark/>
          </w:tcPr>
          <w:p w14:paraId="01F71A6E" w14:textId="587D371A" w:rsidR="00125923" w:rsidRPr="000973F2" w:rsidRDefault="00125923" w:rsidP="00125923">
            <w:pPr>
              <w:tabs>
                <w:tab w:val="decimal" w:pos="475"/>
              </w:tabs>
              <w:spacing w:before="40" w:after="4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w:t>
            </w:r>
          </w:p>
        </w:tc>
      </w:tr>
      <w:tr w:rsidR="00125923" w:rsidRPr="000973F2" w14:paraId="334E1420" w14:textId="77777777" w:rsidTr="00125923">
        <w:trPr>
          <w:cantSplit/>
        </w:trPr>
        <w:tc>
          <w:tcPr>
            <w:cnfStyle w:val="001000000000" w:firstRow="0" w:lastRow="0" w:firstColumn="1" w:lastColumn="0" w:oddVBand="0" w:evenVBand="0" w:oddHBand="0" w:evenHBand="0" w:firstRowFirstColumn="0" w:firstRowLastColumn="0" w:lastRowFirstColumn="0" w:lastRowLastColumn="0"/>
            <w:tcW w:w="715" w:type="pct"/>
            <w:tcMar>
              <w:right w:w="14" w:type="dxa"/>
            </w:tcMar>
            <w:hideMark/>
          </w:tcPr>
          <w:p w14:paraId="2940335B" w14:textId="77777777" w:rsidR="00125923" w:rsidRPr="000973F2" w:rsidRDefault="00125923" w:rsidP="00125923">
            <w:pPr>
              <w:spacing w:before="40" w:after="4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Recordkeeping</w:t>
            </w:r>
          </w:p>
        </w:tc>
        <w:tc>
          <w:tcPr>
            <w:tcW w:w="422" w:type="pct"/>
            <w:noWrap/>
            <w:hideMark/>
          </w:tcPr>
          <w:p w14:paraId="1EFEE76D" w14:textId="0053AC3D" w:rsidR="00125923" w:rsidRPr="000973F2" w:rsidRDefault="00125923" w:rsidP="00125923">
            <w:pPr>
              <w:spacing w:before="40" w:after="4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w:t>
            </w:r>
          </w:p>
        </w:tc>
        <w:tc>
          <w:tcPr>
            <w:tcW w:w="426" w:type="pct"/>
            <w:noWrap/>
            <w:hideMark/>
          </w:tcPr>
          <w:p w14:paraId="3401115F" w14:textId="09A13D6E" w:rsidR="00125923" w:rsidRPr="000973F2" w:rsidRDefault="00125923" w:rsidP="00125923">
            <w:pPr>
              <w:spacing w:before="40" w:after="4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w:t>
            </w:r>
          </w:p>
        </w:tc>
        <w:tc>
          <w:tcPr>
            <w:tcW w:w="422" w:type="pct"/>
            <w:noWrap/>
            <w:hideMark/>
          </w:tcPr>
          <w:p w14:paraId="28043C02" w14:textId="5B9ADE72" w:rsidR="00125923" w:rsidRPr="000973F2" w:rsidRDefault="00125923" w:rsidP="00125923">
            <w:pPr>
              <w:spacing w:before="40" w:after="4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w:t>
            </w:r>
          </w:p>
        </w:tc>
        <w:tc>
          <w:tcPr>
            <w:tcW w:w="422" w:type="pct"/>
            <w:noWrap/>
            <w:hideMark/>
          </w:tcPr>
          <w:p w14:paraId="457EF20B" w14:textId="4AD1F194" w:rsidR="00125923" w:rsidRPr="000973F2" w:rsidRDefault="00125923" w:rsidP="00125923">
            <w:pPr>
              <w:spacing w:before="40" w:after="4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w:t>
            </w:r>
          </w:p>
        </w:tc>
        <w:tc>
          <w:tcPr>
            <w:tcW w:w="422" w:type="pct"/>
            <w:noWrap/>
            <w:hideMark/>
          </w:tcPr>
          <w:p w14:paraId="32185741" w14:textId="671DD57E" w:rsidR="00125923" w:rsidRPr="000973F2" w:rsidRDefault="00125923" w:rsidP="00125923">
            <w:pPr>
              <w:tabs>
                <w:tab w:val="decimal" w:pos="311"/>
              </w:tabs>
              <w:spacing w:before="40" w:after="4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w:t>
            </w:r>
          </w:p>
        </w:tc>
        <w:tc>
          <w:tcPr>
            <w:tcW w:w="422" w:type="pct"/>
            <w:noWrap/>
            <w:hideMark/>
          </w:tcPr>
          <w:p w14:paraId="6AD8287C" w14:textId="15454BC0" w:rsidR="00125923" w:rsidRPr="000973F2" w:rsidRDefault="00125923" w:rsidP="00125923">
            <w:pPr>
              <w:tabs>
                <w:tab w:val="decimal" w:pos="311"/>
              </w:tabs>
              <w:spacing w:before="40" w:after="4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w:t>
            </w:r>
          </w:p>
        </w:tc>
        <w:tc>
          <w:tcPr>
            <w:tcW w:w="422" w:type="pct"/>
            <w:noWrap/>
            <w:hideMark/>
          </w:tcPr>
          <w:p w14:paraId="01960F04" w14:textId="1C5DE7E8" w:rsidR="00125923" w:rsidRPr="000973F2" w:rsidRDefault="00125923" w:rsidP="00125923">
            <w:pPr>
              <w:spacing w:before="40" w:after="4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w:t>
            </w:r>
          </w:p>
        </w:tc>
        <w:tc>
          <w:tcPr>
            <w:tcW w:w="422" w:type="pct"/>
            <w:noWrap/>
            <w:hideMark/>
          </w:tcPr>
          <w:p w14:paraId="74CACA91" w14:textId="7CE0F568" w:rsidR="00125923" w:rsidRPr="000973F2" w:rsidRDefault="00125923" w:rsidP="00125923">
            <w:pPr>
              <w:spacing w:before="40" w:after="4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w:t>
            </w:r>
          </w:p>
        </w:tc>
        <w:tc>
          <w:tcPr>
            <w:tcW w:w="454" w:type="pct"/>
            <w:noWrap/>
            <w:hideMark/>
          </w:tcPr>
          <w:p w14:paraId="22CA0CC6" w14:textId="627AC84B" w:rsidR="00125923" w:rsidRPr="000973F2" w:rsidRDefault="00125923" w:rsidP="00125923">
            <w:pPr>
              <w:tabs>
                <w:tab w:val="decimal" w:pos="475"/>
              </w:tabs>
              <w:spacing w:before="40" w:after="4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w:t>
            </w:r>
          </w:p>
        </w:tc>
        <w:tc>
          <w:tcPr>
            <w:tcW w:w="452" w:type="pct"/>
            <w:noWrap/>
            <w:hideMark/>
          </w:tcPr>
          <w:p w14:paraId="3C58BCC1" w14:textId="36E4B9AE" w:rsidR="00125923" w:rsidRPr="000973F2" w:rsidRDefault="00125923" w:rsidP="00125923">
            <w:pPr>
              <w:tabs>
                <w:tab w:val="decimal" w:pos="475"/>
              </w:tabs>
              <w:spacing w:before="40" w:after="4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w:t>
            </w:r>
          </w:p>
        </w:tc>
      </w:tr>
      <w:tr w:rsidR="00125923" w:rsidRPr="000973F2" w14:paraId="7310DB6E" w14:textId="77777777" w:rsidTr="00125923">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715" w:type="pct"/>
            <w:tcMar>
              <w:right w:w="14" w:type="dxa"/>
            </w:tcMar>
            <w:hideMark/>
          </w:tcPr>
          <w:p w14:paraId="5566EB90" w14:textId="77777777" w:rsidR="00125923" w:rsidRPr="000973F2" w:rsidRDefault="00125923" w:rsidP="00125923">
            <w:pPr>
              <w:spacing w:before="40" w:after="4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Sampling and Analysis (Calculations)</w:t>
            </w:r>
          </w:p>
        </w:tc>
        <w:tc>
          <w:tcPr>
            <w:tcW w:w="422" w:type="pct"/>
            <w:noWrap/>
            <w:hideMark/>
          </w:tcPr>
          <w:p w14:paraId="6867C847" w14:textId="498C84B5" w:rsidR="00125923" w:rsidRPr="000973F2" w:rsidRDefault="00125923" w:rsidP="00125923">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0</w:t>
            </w:r>
          </w:p>
        </w:tc>
        <w:tc>
          <w:tcPr>
            <w:tcW w:w="426" w:type="pct"/>
            <w:noWrap/>
            <w:hideMark/>
          </w:tcPr>
          <w:p w14:paraId="707B4B3E" w14:textId="5DF6EDF4" w:rsidR="00125923" w:rsidRPr="000973F2" w:rsidRDefault="00125923" w:rsidP="00125923">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0</w:t>
            </w:r>
          </w:p>
        </w:tc>
        <w:tc>
          <w:tcPr>
            <w:tcW w:w="422" w:type="pct"/>
            <w:noWrap/>
            <w:hideMark/>
          </w:tcPr>
          <w:p w14:paraId="4502889A" w14:textId="3A5FA392" w:rsidR="00125923" w:rsidRPr="000973F2" w:rsidRDefault="00125923" w:rsidP="00125923">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0</w:t>
            </w:r>
          </w:p>
        </w:tc>
        <w:tc>
          <w:tcPr>
            <w:tcW w:w="422" w:type="pct"/>
            <w:noWrap/>
            <w:hideMark/>
          </w:tcPr>
          <w:p w14:paraId="0D3F582F" w14:textId="2943D407" w:rsidR="00125923" w:rsidRPr="000973F2" w:rsidRDefault="00125923" w:rsidP="00125923">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0</w:t>
            </w:r>
          </w:p>
        </w:tc>
        <w:tc>
          <w:tcPr>
            <w:tcW w:w="422" w:type="pct"/>
            <w:noWrap/>
            <w:hideMark/>
          </w:tcPr>
          <w:p w14:paraId="5226CD8D" w14:textId="77777777" w:rsidR="00125923" w:rsidRPr="000973F2" w:rsidRDefault="00125923" w:rsidP="00125923">
            <w:pPr>
              <w:tabs>
                <w:tab w:val="decimal" w:pos="311"/>
              </w:tabs>
              <w:spacing w:before="40" w:after="4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0.7</w:t>
            </w:r>
          </w:p>
        </w:tc>
        <w:tc>
          <w:tcPr>
            <w:tcW w:w="422" w:type="pct"/>
            <w:noWrap/>
            <w:hideMark/>
          </w:tcPr>
          <w:p w14:paraId="35A88931" w14:textId="77777777" w:rsidR="00125923" w:rsidRPr="000973F2" w:rsidRDefault="00125923" w:rsidP="00125923">
            <w:pPr>
              <w:tabs>
                <w:tab w:val="decimal" w:pos="311"/>
              </w:tabs>
              <w:spacing w:before="40" w:after="4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0.7</w:t>
            </w:r>
          </w:p>
        </w:tc>
        <w:tc>
          <w:tcPr>
            <w:tcW w:w="422" w:type="pct"/>
            <w:noWrap/>
            <w:hideMark/>
          </w:tcPr>
          <w:p w14:paraId="1DA3F704" w14:textId="257F0AC1" w:rsidR="00125923" w:rsidRPr="000973F2" w:rsidRDefault="00125923" w:rsidP="00125923">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0</w:t>
            </w:r>
          </w:p>
        </w:tc>
        <w:tc>
          <w:tcPr>
            <w:tcW w:w="422" w:type="pct"/>
            <w:noWrap/>
            <w:hideMark/>
          </w:tcPr>
          <w:p w14:paraId="3648229B" w14:textId="5DAB8E16" w:rsidR="00125923" w:rsidRPr="000973F2" w:rsidRDefault="00125923" w:rsidP="00125923">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0</w:t>
            </w:r>
          </w:p>
        </w:tc>
        <w:tc>
          <w:tcPr>
            <w:tcW w:w="454" w:type="pct"/>
            <w:noWrap/>
            <w:hideMark/>
          </w:tcPr>
          <w:p w14:paraId="08645919" w14:textId="7220D32F" w:rsidR="00125923" w:rsidRPr="000973F2" w:rsidRDefault="00125923" w:rsidP="00125923">
            <w:pPr>
              <w:tabs>
                <w:tab w:val="decimal" w:pos="475"/>
              </w:tabs>
              <w:spacing w:before="40" w:after="4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$47</w:t>
            </w:r>
          </w:p>
        </w:tc>
        <w:tc>
          <w:tcPr>
            <w:tcW w:w="452" w:type="pct"/>
            <w:noWrap/>
            <w:hideMark/>
          </w:tcPr>
          <w:p w14:paraId="0CBABDD2" w14:textId="7052AE01" w:rsidR="00125923" w:rsidRPr="000973F2" w:rsidRDefault="00125923" w:rsidP="00125923">
            <w:pPr>
              <w:tabs>
                <w:tab w:val="decimal" w:pos="475"/>
              </w:tabs>
              <w:spacing w:before="40" w:after="4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$47</w:t>
            </w:r>
          </w:p>
        </w:tc>
      </w:tr>
      <w:tr w:rsidR="00125923" w:rsidRPr="000973F2" w14:paraId="17FF14E5" w14:textId="77777777" w:rsidTr="00125923">
        <w:trPr>
          <w:cantSplit/>
        </w:trPr>
        <w:tc>
          <w:tcPr>
            <w:cnfStyle w:val="001000000000" w:firstRow="0" w:lastRow="0" w:firstColumn="1" w:lastColumn="0" w:oddVBand="0" w:evenVBand="0" w:oddHBand="0" w:evenHBand="0" w:firstRowFirstColumn="0" w:firstRowLastColumn="0" w:lastRowFirstColumn="0" w:lastRowLastColumn="0"/>
            <w:tcW w:w="715" w:type="pct"/>
            <w:tcMar>
              <w:right w:w="14" w:type="dxa"/>
            </w:tcMar>
            <w:hideMark/>
          </w:tcPr>
          <w:p w14:paraId="68BF095D" w14:textId="77777777" w:rsidR="00125923" w:rsidRPr="000973F2" w:rsidRDefault="00125923" w:rsidP="00125923">
            <w:pPr>
              <w:spacing w:before="40" w:after="4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Reporting</w:t>
            </w:r>
          </w:p>
        </w:tc>
        <w:tc>
          <w:tcPr>
            <w:tcW w:w="422" w:type="pct"/>
            <w:noWrap/>
            <w:hideMark/>
          </w:tcPr>
          <w:p w14:paraId="03D71F1D" w14:textId="7EE8BE89" w:rsidR="00125923" w:rsidRPr="000973F2" w:rsidRDefault="00125923" w:rsidP="00125923">
            <w:pPr>
              <w:spacing w:before="40" w:after="4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w:t>
            </w:r>
          </w:p>
        </w:tc>
        <w:tc>
          <w:tcPr>
            <w:tcW w:w="426" w:type="pct"/>
            <w:noWrap/>
            <w:hideMark/>
          </w:tcPr>
          <w:p w14:paraId="6ED14558" w14:textId="2AACC3CC" w:rsidR="00125923" w:rsidRPr="000973F2" w:rsidRDefault="00125923" w:rsidP="00125923">
            <w:pPr>
              <w:spacing w:before="40" w:after="4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w:t>
            </w:r>
          </w:p>
        </w:tc>
        <w:tc>
          <w:tcPr>
            <w:tcW w:w="422" w:type="pct"/>
            <w:noWrap/>
            <w:hideMark/>
          </w:tcPr>
          <w:p w14:paraId="6D5E2871" w14:textId="71C68BE0" w:rsidR="00125923" w:rsidRPr="000973F2" w:rsidRDefault="00125923" w:rsidP="00125923">
            <w:pPr>
              <w:spacing w:before="40" w:after="4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w:t>
            </w:r>
          </w:p>
        </w:tc>
        <w:tc>
          <w:tcPr>
            <w:tcW w:w="422" w:type="pct"/>
            <w:noWrap/>
            <w:hideMark/>
          </w:tcPr>
          <w:p w14:paraId="50427168" w14:textId="01D6BDCC" w:rsidR="00125923" w:rsidRPr="000973F2" w:rsidRDefault="00125923" w:rsidP="00125923">
            <w:pPr>
              <w:spacing w:before="40" w:after="4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w:t>
            </w:r>
          </w:p>
        </w:tc>
        <w:tc>
          <w:tcPr>
            <w:tcW w:w="422" w:type="pct"/>
            <w:noWrap/>
            <w:hideMark/>
          </w:tcPr>
          <w:p w14:paraId="20059473" w14:textId="63BB67FC" w:rsidR="00125923" w:rsidRPr="000973F2" w:rsidRDefault="00125923" w:rsidP="00125923">
            <w:pPr>
              <w:tabs>
                <w:tab w:val="decimal" w:pos="311"/>
              </w:tabs>
              <w:spacing w:before="40" w:after="4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w:t>
            </w:r>
          </w:p>
        </w:tc>
        <w:tc>
          <w:tcPr>
            <w:tcW w:w="422" w:type="pct"/>
            <w:noWrap/>
            <w:hideMark/>
          </w:tcPr>
          <w:p w14:paraId="111CC850" w14:textId="046873B5" w:rsidR="00125923" w:rsidRPr="000973F2" w:rsidRDefault="00125923" w:rsidP="00125923">
            <w:pPr>
              <w:tabs>
                <w:tab w:val="decimal" w:pos="311"/>
              </w:tabs>
              <w:spacing w:before="40" w:after="4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w:t>
            </w:r>
          </w:p>
        </w:tc>
        <w:tc>
          <w:tcPr>
            <w:tcW w:w="422" w:type="pct"/>
            <w:noWrap/>
            <w:hideMark/>
          </w:tcPr>
          <w:p w14:paraId="183D51F3" w14:textId="408C6955" w:rsidR="00125923" w:rsidRPr="000973F2" w:rsidRDefault="00125923" w:rsidP="00125923">
            <w:pPr>
              <w:spacing w:before="40" w:after="4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w:t>
            </w:r>
          </w:p>
        </w:tc>
        <w:tc>
          <w:tcPr>
            <w:tcW w:w="422" w:type="pct"/>
            <w:noWrap/>
            <w:hideMark/>
          </w:tcPr>
          <w:p w14:paraId="037D8330" w14:textId="6D5BE072" w:rsidR="00125923" w:rsidRPr="000973F2" w:rsidRDefault="00125923" w:rsidP="00125923">
            <w:pPr>
              <w:spacing w:before="40" w:after="4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w:t>
            </w:r>
          </w:p>
        </w:tc>
        <w:tc>
          <w:tcPr>
            <w:tcW w:w="454" w:type="pct"/>
            <w:noWrap/>
            <w:hideMark/>
          </w:tcPr>
          <w:p w14:paraId="011E8CDA" w14:textId="3C2651FE" w:rsidR="00125923" w:rsidRPr="000973F2" w:rsidRDefault="00125923" w:rsidP="00125923">
            <w:pPr>
              <w:tabs>
                <w:tab w:val="decimal" w:pos="475"/>
              </w:tabs>
              <w:spacing w:before="40" w:after="4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w:t>
            </w:r>
          </w:p>
        </w:tc>
        <w:tc>
          <w:tcPr>
            <w:tcW w:w="452" w:type="pct"/>
            <w:noWrap/>
            <w:hideMark/>
          </w:tcPr>
          <w:p w14:paraId="0C0E3475" w14:textId="7E290576" w:rsidR="00125923" w:rsidRPr="000973F2" w:rsidRDefault="00125923" w:rsidP="00125923">
            <w:pPr>
              <w:tabs>
                <w:tab w:val="decimal" w:pos="475"/>
              </w:tabs>
              <w:spacing w:before="40" w:after="4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w:t>
            </w:r>
          </w:p>
        </w:tc>
      </w:tr>
      <w:tr w:rsidR="0001781A" w:rsidRPr="000973F2" w14:paraId="5E83AA1A" w14:textId="77777777" w:rsidTr="00125923">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715" w:type="pct"/>
            <w:noWrap/>
            <w:tcMar>
              <w:right w:w="14" w:type="dxa"/>
            </w:tcMar>
            <w:hideMark/>
          </w:tcPr>
          <w:p w14:paraId="2FD15080" w14:textId="77777777" w:rsidR="0001781A" w:rsidRPr="000973F2" w:rsidRDefault="0001781A" w:rsidP="00D266A7">
            <w:pPr>
              <w:spacing w:before="40" w:after="40"/>
              <w:rPr>
                <w:rFonts w:ascii="Times New Roman" w:eastAsia="Times New Roman" w:hAnsi="Times New Roman" w:cs="Times New Roman"/>
                <w:b/>
                <w:bCs w:val="0"/>
                <w:sz w:val="18"/>
                <w:szCs w:val="18"/>
              </w:rPr>
            </w:pPr>
            <w:r w:rsidRPr="000973F2">
              <w:rPr>
                <w:rFonts w:ascii="Times New Roman" w:eastAsia="Times New Roman" w:hAnsi="Times New Roman" w:cs="Times New Roman"/>
                <w:b/>
                <w:sz w:val="18"/>
                <w:szCs w:val="18"/>
              </w:rPr>
              <w:t>Total</w:t>
            </w:r>
          </w:p>
        </w:tc>
        <w:tc>
          <w:tcPr>
            <w:tcW w:w="422" w:type="pct"/>
            <w:noWrap/>
            <w:hideMark/>
          </w:tcPr>
          <w:p w14:paraId="0C09FC48" w14:textId="77777777" w:rsidR="0001781A" w:rsidRPr="000973F2" w:rsidRDefault="0001781A" w:rsidP="00D266A7">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18"/>
                <w:szCs w:val="18"/>
              </w:rPr>
            </w:pPr>
            <w:r w:rsidRPr="000973F2">
              <w:rPr>
                <w:rFonts w:ascii="Times New Roman" w:eastAsia="Times New Roman" w:hAnsi="Times New Roman" w:cs="Times New Roman"/>
                <w:b/>
                <w:bCs/>
                <w:sz w:val="18"/>
                <w:szCs w:val="18"/>
              </w:rPr>
              <w:t>0</w:t>
            </w:r>
          </w:p>
        </w:tc>
        <w:tc>
          <w:tcPr>
            <w:tcW w:w="426" w:type="pct"/>
            <w:noWrap/>
            <w:hideMark/>
          </w:tcPr>
          <w:p w14:paraId="762013B5" w14:textId="77777777" w:rsidR="0001781A" w:rsidRPr="000973F2" w:rsidRDefault="0001781A" w:rsidP="00D266A7">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18"/>
                <w:szCs w:val="18"/>
              </w:rPr>
            </w:pPr>
            <w:r w:rsidRPr="000973F2">
              <w:rPr>
                <w:rFonts w:ascii="Times New Roman" w:eastAsia="Times New Roman" w:hAnsi="Times New Roman" w:cs="Times New Roman"/>
                <w:b/>
                <w:bCs/>
                <w:sz w:val="18"/>
                <w:szCs w:val="18"/>
              </w:rPr>
              <w:t>0</w:t>
            </w:r>
          </w:p>
        </w:tc>
        <w:tc>
          <w:tcPr>
            <w:tcW w:w="422" w:type="pct"/>
            <w:noWrap/>
            <w:hideMark/>
          </w:tcPr>
          <w:p w14:paraId="47A0FC21" w14:textId="77777777" w:rsidR="0001781A" w:rsidRPr="000973F2" w:rsidRDefault="0001781A" w:rsidP="00D266A7">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18"/>
                <w:szCs w:val="18"/>
              </w:rPr>
            </w:pPr>
            <w:r w:rsidRPr="000973F2">
              <w:rPr>
                <w:rFonts w:ascii="Times New Roman" w:eastAsia="Times New Roman" w:hAnsi="Times New Roman" w:cs="Times New Roman"/>
                <w:b/>
                <w:bCs/>
                <w:sz w:val="18"/>
                <w:szCs w:val="18"/>
              </w:rPr>
              <w:t>0</w:t>
            </w:r>
          </w:p>
        </w:tc>
        <w:tc>
          <w:tcPr>
            <w:tcW w:w="422" w:type="pct"/>
            <w:noWrap/>
            <w:hideMark/>
          </w:tcPr>
          <w:p w14:paraId="05F5597B" w14:textId="77777777" w:rsidR="0001781A" w:rsidRPr="000973F2" w:rsidRDefault="0001781A" w:rsidP="00D266A7">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18"/>
                <w:szCs w:val="18"/>
              </w:rPr>
            </w:pPr>
            <w:r w:rsidRPr="000973F2">
              <w:rPr>
                <w:rFonts w:ascii="Times New Roman" w:eastAsia="Times New Roman" w:hAnsi="Times New Roman" w:cs="Times New Roman"/>
                <w:b/>
                <w:bCs/>
                <w:sz w:val="18"/>
                <w:szCs w:val="18"/>
              </w:rPr>
              <w:t>0</w:t>
            </w:r>
          </w:p>
        </w:tc>
        <w:tc>
          <w:tcPr>
            <w:tcW w:w="422" w:type="pct"/>
            <w:noWrap/>
            <w:hideMark/>
          </w:tcPr>
          <w:p w14:paraId="30766ED8" w14:textId="77777777" w:rsidR="0001781A" w:rsidRPr="000973F2" w:rsidRDefault="0001781A" w:rsidP="00D266A7">
            <w:pPr>
              <w:tabs>
                <w:tab w:val="decimal" w:pos="311"/>
              </w:tabs>
              <w:spacing w:before="40" w:after="4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18"/>
                <w:szCs w:val="18"/>
              </w:rPr>
            </w:pPr>
            <w:r w:rsidRPr="000973F2">
              <w:rPr>
                <w:rFonts w:ascii="Times New Roman" w:eastAsia="Times New Roman" w:hAnsi="Times New Roman" w:cs="Times New Roman"/>
                <w:b/>
                <w:bCs/>
                <w:sz w:val="18"/>
                <w:szCs w:val="18"/>
              </w:rPr>
              <w:t>0.7</w:t>
            </w:r>
          </w:p>
        </w:tc>
        <w:tc>
          <w:tcPr>
            <w:tcW w:w="422" w:type="pct"/>
            <w:noWrap/>
            <w:hideMark/>
          </w:tcPr>
          <w:p w14:paraId="4A871FEC" w14:textId="77777777" w:rsidR="0001781A" w:rsidRPr="000973F2" w:rsidRDefault="0001781A" w:rsidP="00D266A7">
            <w:pPr>
              <w:tabs>
                <w:tab w:val="decimal" w:pos="311"/>
              </w:tabs>
              <w:spacing w:before="40" w:after="4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18"/>
                <w:szCs w:val="18"/>
              </w:rPr>
            </w:pPr>
            <w:r w:rsidRPr="000973F2">
              <w:rPr>
                <w:rFonts w:ascii="Times New Roman" w:eastAsia="Times New Roman" w:hAnsi="Times New Roman" w:cs="Times New Roman"/>
                <w:b/>
                <w:bCs/>
                <w:sz w:val="18"/>
                <w:szCs w:val="18"/>
              </w:rPr>
              <w:t>0.7</w:t>
            </w:r>
          </w:p>
        </w:tc>
        <w:tc>
          <w:tcPr>
            <w:tcW w:w="422" w:type="pct"/>
            <w:noWrap/>
            <w:hideMark/>
          </w:tcPr>
          <w:p w14:paraId="3CE07734" w14:textId="77777777" w:rsidR="0001781A" w:rsidRPr="000973F2" w:rsidRDefault="0001781A" w:rsidP="00D266A7">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18"/>
                <w:szCs w:val="18"/>
              </w:rPr>
            </w:pPr>
            <w:r w:rsidRPr="000973F2">
              <w:rPr>
                <w:rFonts w:ascii="Times New Roman" w:eastAsia="Times New Roman" w:hAnsi="Times New Roman" w:cs="Times New Roman"/>
                <w:b/>
                <w:bCs/>
                <w:sz w:val="18"/>
                <w:szCs w:val="18"/>
              </w:rPr>
              <w:t>0</w:t>
            </w:r>
          </w:p>
        </w:tc>
        <w:tc>
          <w:tcPr>
            <w:tcW w:w="422" w:type="pct"/>
            <w:noWrap/>
            <w:hideMark/>
          </w:tcPr>
          <w:p w14:paraId="0A49D0E6" w14:textId="77777777" w:rsidR="0001781A" w:rsidRPr="000973F2" w:rsidRDefault="0001781A" w:rsidP="00D266A7">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18"/>
                <w:szCs w:val="18"/>
              </w:rPr>
            </w:pPr>
            <w:r w:rsidRPr="000973F2">
              <w:rPr>
                <w:rFonts w:ascii="Times New Roman" w:eastAsia="Times New Roman" w:hAnsi="Times New Roman" w:cs="Times New Roman"/>
                <w:b/>
                <w:bCs/>
                <w:sz w:val="18"/>
                <w:szCs w:val="18"/>
              </w:rPr>
              <w:t>0</w:t>
            </w:r>
          </w:p>
        </w:tc>
        <w:tc>
          <w:tcPr>
            <w:tcW w:w="454" w:type="pct"/>
            <w:noWrap/>
            <w:hideMark/>
          </w:tcPr>
          <w:p w14:paraId="4CDFB436" w14:textId="6CB21DAA" w:rsidR="0001781A" w:rsidRPr="000973F2" w:rsidRDefault="0001781A" w:rsidP="00D266A7">
            <w:pPr>
              <w:tabs>
                <w:tab w:val="decimal" w:pos="475"/>
              </w:tabs>
              <w:spacing w:before="40" w:after="4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18"/>
                <w:szCs w:val="18"/>
              </w:rPr>
            </w:pPr>
            <w:r w:rsidRPr="000973F2">
              <w:rPr>
                <w:rFonts w:ascii="Times New Roman" w:eastAsia="Times New Roman" w:hAnsi="Times New Roman" w:cs="Times New Roman"/>
                <w:b/>
                <w:bCs/>
                <w:sz w:val="18"/>
                <w:szCs w:val="18"/>
              </w:rPr>
              <w:t>$47</w:t>
            </w:r>
          </w:p>
        </w:tc>
        <w:tc>
          <w:tcPr>
            <w:tcW w:w="452" w:type="pct"/>
            <w:noWrap/>
            <w:hideMark/>
          </w:tcPr>
          <w:p w14:paraId="3D115F59" w14:textId="2EEA46FD" w:rsidR="0001781A" w:rsidRPr="000973F2" w:rsidRDefault="0001781A" w:rsidP="00D266A7">
            <w:pPr>
              <w:tabs>
                <w:tab w:val="decimal" w:pos="475"/>
              </w:tabs>
              <w:spacing w:before="40" w:after="4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18"/>
                <w:szCs w:val="18"/>
              </w:rPr>
            </w:pPr>
            <w:r w:rsidRPr="000973F2">
              <w:rPr>
                <w:rFonts w:ascii="Times New Roman" w:eastAsia="Times New Roman" w:hAnsi="Times New Roman" w:cs="Times New Roman"/>
                <w:b/>
                <w:bCs/>
                <w:sz w:val="18"/>
                <w:szCs w:val="18"/>
              </w:rPr>
              <w:t>$47</w:t>
            </w:r>
          </w:p>
        </w:tc>
      </w:tr>
    </w:tbl>
    <w:p w14:paraId="7C21A04D" w14:textId="77777777" w:rsidR="0001781A" w:rsidRPr="000973F2" w:rsidRDefault="0001781A" w:rsidP="00C00E4F">
      <w:pPr>
        <w:pStyle w:val="AfterTable"/>
      </w:pPr>
    </w:p>
    <w:p w14:paraId="310FA9A7" w14:textId="77777777" w:rsidR="0001781A" w:rsidRPr="000973F2" w:rsidRDefault="0001781A" w:rsidP="00C00E4F">
      <w:pPr>
        <w:spacing w:line="240" w:lineRule="auto"/>
        <w:rPr>
          <w:rFonts w:ascii="Times New Roman" w:hAnsi="Times New Roman" w:cs="Times New Roman"/>
        </w:rPr>
      </w:pPr>
      <w:r w:rsidRPr="000973F2">
        <w:rPr>
          <w:rFonts w:ascii="Times New Roman" w:hAnsi="Times New Roman" w:cs="Times New Roman"/>
        </w:rPr>
        <w:br w:type="page"/>
      </w:r>
    </w:p>
    <w:p w14:paraId="40EC32ED" w14:textId="77777777" w:rsidR="0001781A" w:rsidRPr="000973F2" w:rsidRDefault="0001781A" w:rsidP="00E71DEE">
      <w:pPr>
        <w:pStyle w:val="Heading2"/>
      </w:pPr>
      <w:r w:rsidRPr="000973F2">
        <w:t>Capital and O&amp;M Costs for Subpart C</w:t>
      </w:r>
    </w:p>
    <w:p w14:paraId="406A7DF9" w14:textId="3DD8FA15" w:rsidR="0001781A" w:rsidRPr="000973F2" w:rsidRDefault="0001781A" w:rsidP="00E71DEE">
      <w:pPr>
        <w:pStyle w:val="BodyText"/>
      </w:pPr>
      <w:r w:rsidRPr="000973F2">
        <w:t xml:space="preserve">Appendix F to the Supporting Statement provides the capital and O&amp;M costs required for each </w:t>
      </w:r>
      <w:r w:rsidR="001C374D" w:rsidRPr="000973F2">
        <w:t>t</w:t>
      </w:r>
      <w:r w:rsidRPr="000973F2">
        <w:t xml:space="preserve">ier in Subpart C. Capital and O&amp;M costs are detailed in Appendices F-1, F-2, and F-3 to the Supporting Statement for facilities that reported only to Subpart C for Years 1, 2, and 3 of the ICR Renewal period, respectively, and in Appendices F-5, F-6, and F-7 to the Supporting Statement for facilities that reported to Subpart C with at least one additional subpart for Years 1, 2, and 3 of the ICR Renewal period, respectively. </w:t>
      </w:r>
    </w:p>
    <w:p w14:paraId="506F850F" w14:textId="33840C87" w:rsidR="0001781A" w:rsidRPr="000973F2" w:rsidRDefault="0001781A" w:rsidP="00E71DEE">
      <w:pPr>
        <w:pStyle w:val="BodyText"/>
      </w:pPr>
      <w:r w:rsidRPr="000973F2">
        <w:t xml:space="preserve">Table </w:t>
      </w:r>
      <w:r w:rsidR="00E71DEE" w:rsidRPr="000973F2">
        <w:t>C-</w:t>
      </w:r>
      <w:r w:rsidRPr="000973F2">
        <w:t xml:space="preserve">3a through </w:t>
      </w:r>
      <w:r w:rsidR="00E71DEE" w:rsidRPr="000973F2">
        <w:t>C-</w:t>
      </w:r>
      <w:r w:rsidRPr="000973F2">
        <w:t>Table 3</w:t>
      </w:r>
      <w:r w:rsidR="007638B7" w:rsidRPr="000973F2">
        <w:t>d</w:t>
      </w:r>
      <w:r w:rsidRPr="000973F2">
        <w:t xml:space="preserve"> summarize the capital and O&amp;M costs expected for Subpart C. Capital and O&amp;M costs incurred for performance testing (including biogenic sampling and analysis), recordkeeping, and travel activities by any facility reporting to Subpart C are detailed</w:t>
      </w:r>
      <w:r w:rsidR="007638B7" w:rsidRPr="000973F2">
        <w:t xml:space="preserve"> as General Facility costs</w:t>
      </w:r>
      <w:r w:rsidRPr="000973F2">
        <w:t xml:space="preserve"> in Table </w:t>
      </w:r>
      <w:r w:rsidR="000D7DE6" w:rsidRPr="000973F2">
        <w:t>C-</w:t>
      </w:r>
      <w:r w:rsidRPr="000973F2">
        <w:t xml:space="preserve">3a. Additional capital and O&amp;M costs related to equipment and sampling specific to </w:t>
      </w:r>
      <w:r w:rsidR="007638B7" w:rsidRPr="000973F2">
        <w:t>a</w:t>
      </w:r>
      <w:r w:rsidRPr="000973F2">
        <w:t xml:space="preserve"> </w:t>
      </w:r>
      <w:r w:rsidR="007638B7" w:rsidRPr="000973F2">
        <w:t>t</w:t>
      </w:r>
      <w:r w:rsidRPr="000973F2">
        <w:t xml:space="preserve">ier approach are detailed in Table </w:t>
      </w:r>
      <w:r w:rsidR="00E71DEE" w:rsidRPr="000973F2">
        <w:t>C-</w:t>
      </w:r>
      <w:r w:rsidRPr="000973F2">
        <w:t xml:space="preserve">3b through Table </w:t>
      </w:r>
      <w:r w:rsidR="000D7DE6" w:rsidRPr="000973F2">
        <w:t>C-</w:t>
      </w:r>
      <w:r w:rsidRPr="000973F2">
        <w:t>3</w:t>
      </w:r>
      <w:r w:rsidR="007638B7" w:rsidRPr="000973F2">
        <w:t>d</w:t>
      </w:r>
      <w:r w:rsidRPr="000973F2">
        <w:t xml:space="preserve"> and are incurred only by facilities that report using that </w:t>
      </w:r>
      <w:r w:rsidR="007638B7" w:rsidRPr="000973F2">
        <w:t>t</w:t>
      </w:r>
      <w:r w:rsidRPr="000973F2">
        <w:t xml:space="preserve">ier approach. Table </w:t>
      </w:r>
      <w:r w:rsidR="00E71DEE" w:rsidRPr="000973F2">
        <w:t>C-</w:t>
      </w:r>
      <w:r w:rsidRPr="000973F2">
        <w:t xml:space="preserve">3b details the sampling O&amp;M costs applicable to all facilities using Tier 2. Tier 3 facilities are expected to have sampling O&amp;M costs and an additional equipment O&amp;M cost in their initial year, as shown in Table </w:t>
      </w:r>
      <w:r w:rsidR="00E71DEE" w:rsidRPr="000973F2">
        <w:t>C-</w:t>
      </w:r>
      <w:r w:rsidRPr="000973F2">
        <w:t xml:space="preserve">3c. </w:t>
      </w:r>
      <w:r w:rsidR="00055A8A" w:rsidRPr="000973F2">
        <w:rPr>
          <w:szCs w:val="20"/>
        </w:rPr>
        <w:t>Due to the low cost of this O&amp;M</w:t>
      </w:r>
      <w:r w:rsidR="009807DE" w:rsidRPr="000973F2">
        <w:rPr>
          <w:szCs w:val="20"/>
        </w:rPr>
        <w:t xml:space="preserve"> equipment</w:t>
      </w:r>
      <w:r w:rsidR="00055A8A" w:rsidRPr="000973F2">
        <w:rPr>
          <w:szCs w:val="20"/>
        </w:rPr>
        <w:t xml:space="preserve"> expenditure in the Tier 3 facility’s first year ($1,000), the costs were classified as O&amp;M costs rather than capital costs; reporters are not expected to classify such a small annual cost as a capital expenditure, which would accrue interest payments over time.</w:t>
      </w:r>
    </w:p>
    <w:p w14:paraId="615074DA" w14:textId="79DE2101" w:rsidR="0001781A" w:rsidRPr="000973F2" w:rsidRDefault="0001781A" w:rsidP="00E71DEE">
      <w:pPr>
        <w:pStyle w:val="BodyText"/>
      </w:pPr>
      <w:r w:rsidRPr="000973F2">
        <w:t xml:space="preserve">Table </w:t>
      </w:r>
      <w:r w:rsidR="00E71DEE" w:rsidRPr="000973F2">
        <w:t>C-</w:t>
      </w:r>
      <w:r w:rsidRPr="000973F2">
        <w:t xml:space="preserve">3d provides the capital cost associated with Tier 4 reporting, which is only applicable to new Tier 4 facilities reporting during the three years of this ICR Renewal period. It should be noted that subsequent year costs are provided in addition to initial year costs in Table </w:t>
      </w:r>
      <w:r w:rsidR="00E71DEE" w:rsidRPr="000973F2">
        <w:t>C-</w:t>
      </w:r>
      <w:r w:rsidRPr="000973F2">
        <w:t xml:space="preserve">3d, as the total capital equipment cost has been annualized. The subsequent year costs are only applicable to Tier 4 facilities with units that have become subject to Subpart C in the previous reporting year. For example, for Tier 4 facilities only reporting for Subpart C: </w:t>
      </w:r>
    </w:p>
    <w:p w14:paraId="669FB851" w14:textId="77777777" w:rsidR="0001781A" w:rsidRPr="000973F2" w:rsidRDefault="0001781A" w:rsidP="00E71DEE">
      <w:pPr>
        <w:pStyle w:val="Bulletlist1"/>
      </w:pPr>
      <w:r w:rsidRPr="000973F2">
        <w:t>In 2019, 3 new facilities are expected to incur initial year costs, and no facilities are expected to incur subsequent year costs;</w:t>
      </w:r>
    </w:p>
    <w:p w14:paraId="186EF590" w14:textId="77777777" w:rsidR="0001781A" w:rsidRPr="000973F2" w:rsidRDefault="0001781A" w:rsidP="00E71DEE">
      <w:pPr>
        <w:pStyle w:val="Bulletlist1"/>
      </w:pPr>
      <w:r w:rsidRPr="000973F2">
        <w:t>In 2020, 3 new facilities are expected to incur initial year costs, and the 3 facilities which began reporting in 2019 are expected to incur subsequent year costs; and</w:t>
      </w:r>
    </w:p>
    <w:p w14:paraId="73CF4BA2" w14:textId="77777777" w:rsidR="0001781A" w:rsidRPr="000973F2" w:rsidRDefault="0001781A" w:rsidP="00E71DEE">
      <w:pPr>
        <w:pStyle w:val="Bulletlist1"/>
      </w:pPr>
      <w:r w:rsidRPr="000973F2">
        <w:t xml:space="preserve">In 2021, 3 new facilities are expected to incur initial year costs, and the 3 facilities which began reporting in 2019 and the 3 facilities which began reporting in 2020 are both expected to incur subsequent year costs. </w:t>
      </w:r>
    </w:p>
    <w:p w14:paraId="72957A23" w14:textId="52854269" w:rsidR="0001781A" w:rsidRPr="000973F2" w:rsidRDefault="0001781A" w:rsidP="00E71DEE">
      <w:pPr>
        <w:pStyle w:val="BodyTextfirst"/>
      </w:pPr>
      <w:r w:rsidRPr="000973F2">
        <w:t xml:space="preserve">Facilities using Tier 1, Alternative 40 CFR Part 75, and existing facilities using Tier 4 are not expected to have additional O&amp;M or capital costs associated with the use of that calculation methodology. </w:t>
      </w:r>
      <w:r w:rsidR="007638B7" w:rsidRPr="000973F2">
        <w:t xml:space="preserve">Facilities reporting using these methodological tiers will only incur General Facility capital and O&amp;M costs as shown in Table </w:t>
      </w:r>
      <w:r w:rsidR="000D7DE6" w:rsidRPr="000973F2">
        <w:t>C-</w:t>
      </w:r>
      <w:r w:rsidR="007638B7" w:rsidRPr="000973F2">
        <w:t xml:space="preserve">3a. </w:t>
      </w:r>
      <w:r w:rsidRPr="000973F2">
        <w:t xml:space="preserve">Costs are provided on a per facility basis and are presented separately for facilities that report only to Subpart C and for facilities that report to Subpart C and at least one additional subpart. Similar to the labor costs, projected growth rate and average usage of each </w:t>
      </w:r>
      <w:r w:rsidR="007638B7" w:rsidRPr="000973F2">
        <w:t>t</w:t>
      </w:r>
      <w:r w:rsidRPr="000973F2">
        <w:t>ier causes variances between facility-level costs for facilities that report only to Subpart C and for facilities that report to Subpart C and at least one additional subpart. A detailed explanation of the activities included in the capital and O&amp;M costs are included in Appendix F to the Supporting Statement.</w:t>
      </w:r>
      <w:r w:rsidRPr="000973F2">
        <w:br w:type="page"/>
      </w:r>
    </w:p>
    <w:p w14:paraId="6B7B8D51" w14:textId="2FAE6B39" w:rsidR="0001781A" w:rsidRPr="000973F2" w:rsidRDefault="0001781A" w:rsidP="00E71DEE">
      <w:pPr>
        <w:pStyle w:val="Tabletitle"/>
      </w:pPr>
      <w:r w:rsidRPr="000973F2">
        <w:t xml:space="preserve">Table </w:t>
      </w:r>
      <w:r w:rsidR="00E71DEE" w:rsidRPr="000973F2">
        <w:t>C-</w:t>
      </w:r>
      <w:r w:rsidRPr="000973F2">
        <w:t>3a. Capital and O&amp;M Costs – Subpart C – General Facility</w:t>
      </w:r>
    </w:p>
    <w:p w14:paraId="7DE95F52" w14:textId="77777777" w:rsidR="0001781A" w:rsidRPr="000973F2" w:rsidRDefault="0001781A" w:rsidP="00C00E4F">
      <w:pPr>
        <w:rPr>
          <w:i/>
        </w:rPr>
      </w:pPr>
      <w:r w:rsidRPr="000973F2">
        <w:rPr>
          <w:rFonts w:ascii="Times New Roman" w:hAnsi="Times New Roman" w:cs="Times New Roman"/>
          <w:i/>
        </w:rPr>
        <w:t>Subpart C only</w:t>
      </w:r>
    </w:p>
    <w:tbl>
      <w:tblPr>
        <w:tblStyle w:val="PlainTable1"/>
        <w:tblW w:w="5000" w:type="pct"/>
        <w:jc w:val="left"/>
        <w:tblLayout w:type="fixed"/>
        <w:tblCellMar>
          <w:left w:w="115" w:type="dxa"/>
          <w:right w:w="115" w:type="dxa"/>
        </w:tblCellMar>
        <w:tblLook w:val="04A0" w:firstRow="1" w:lastRow="0" w:firstColumn="1" w:lastColumn="0" w:noHBand="0" w:noVBand="1"/>
      </w:tblPr>
      <w:tblGrid>
        <w:gridCol w:w="1840"/>
        <w:gridCol w:w="1255"/>
        <w:gridCol w:w="1254"/>
        <w:gridCol w:w="1254"/>
        <w:gridCol w:w="1254"/>
        <w:gridCol w:w="1369"/>
        <w:gridCol w:w="1364"/>
      </w:tblGrid>
      <w:tr w:rsidR="0001781A" w:rsidRPr="000973F2" w14:paraId="2CF19863" w14:textId="77777777" w:rsidTr="00125923">
        <w:trPr>
          <w:cnfStyle w:val="100000000000" w:firstRow="1" w:lastRow="0" w:firstColumn="0" w:lastColumn="0" w:oddVBand="0" w:evenVBand="0" w:oddHBand="0" w:evenHBand="0" w:firstRowFirstColumn="0" w:firstRowLastColumn="0" w:lastRowFirstColumn="0" w:lastRowLastColumn="0"/>
          <w:cantSplit/>
          <w:jc w:val="left"/>
        </w:trPr>
        <w:tc>
          <w:tcPr>
            <w:cnfStyle w:val="001000000000" w:firstRow="0" w:lastRow="0" w:firstColumn="1" w:lastColumn="0" w:oddVBand="0" w:evenVBand="0" w:oddHBand="0" w:evenHBand="0" w:firstRowFirstColumn="0" w:firstRowLastColumn="0" w:lastRowFirstColumn="0" w:lastRowLastColumn="0"/>
            <w:tcW w:w="959" w:type="pct"/>
            <w:vMerge w:val="restart"/>
            <w:noWrap/>
            <w:vAlign w:val="top"/>
            <w:hideMark/>
          </w:tcPr>
          <w:p w14:paraId="7CFAD993" w14:textId="77777777" w:rsidR="0001781A" w:rsidRPr="000973F2" w:rsidRDefault="0001781A" w:rsidP="00BD6F7A">
            <w:pPr>
              <w:spacing w:before="40" w:after="40"/>
              <w:rPr>
                <w:rFonts w:ascii="Times New Roman" w:eastAsia="Times New Roman" w:hAnsi="Times New Roman" w:cs="Times New Roman"/>
                <w:b w:val="0"/>
                <w:bCs w:val="0"/>
                <w:sz w:val="18"/>
                <w:szCs w:val="18"/>
              </w:rPr>
            </w:pPr>
            <w:r w:rsidRPr="000973F2">
              <w:rPr>
                <w:rFonts w:ascii="Times New Roman" w:eastAsia="Times New Roman" w:hAnsi="Times New Roman" w:cs="Times New Roman"/>
                <w:sz w:val="18"/>
                <w:szCs w:val="18"/>
              </w:rPr>
              <w:t>Activity</w:t>
            </w:r>
          </w:p>
        </w:tc>
        <w:tc>
          <w:tcPr>
            <w:tcW w:w="2616" w:type="pct"/>
            <w:gridSpan w:val="4"/>
            <w:noWrap/>
            <w:vAlign w:val="top"/>
            <w:hideMark/>
          </w:tcPr>
          <w:p w14:paraId="3E79E84B" w14:textId="77777777" w:rsidR="0001781A" w:rsidRPr="000973F2" w:rsidRDefault="0001781A" w:rsidP="00BD6F7A">
            <w:pPr>
              <w:spacing w:before="40" w:after="40"/>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bCs w:val="0"/>
                <w:sz w:val="18"/>
                <w:szCs w:val="18"/>
              </w:rPr>
            </w:pPr>
            <w:r w:rsidRPr="000973F2">
              <w:rPr>
                <w:rFonts w:ascii="Times New Roman" w:eastAsia="Times New Roman" w:hAnsi="Times New Roman" w:cs="Times New Roman"/>
                <w:sz w:val="18"/>
                <w:szCs w:val="18"/>
              </w:rPr>
              <w:t>Cost Categories</w:t>
            </w:r>
          </w:p>
        </w:tc>
        <w:tc>
          <w:tcPr>
            <w:tcW w:w="1425" w:type="pct"/>
            <w:gridSpan w:val="2"/>
            <w:vAlign w:val="top"/>
            <w:hideMark/>
          </w:tcPr>
          <w:p w14:paraId="65D163E1" w14:textId="77777777" w:rsidR="0001781A" w:rsidRPr="000973F2" w:rsidRDefault="0001781A" w:rsidP="00BD6F7A">
            <w:pPr>
              <w:spacing w:before="40" w:after="40"/>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bCs w:val="0"/>
                <w:sz w:val="18"/>
                <w:szCs w:val="18"/>
              </w:rPr>
            </w:pPr>
            <w:r w:rsidRPr="000973F2">
              <w:rPr>
                <w:rFonts w:ascii="Times New Roman" w:eastAsia="Times New Roman" w:hAnsi="Times New Roman" w:cs="Times New Roman"/>
                <w:sz w:val="18"/>
                <w:szCs w:val="18"/>
              </w:rPr>
              <w:t>Total Capital and O&amp;M Cost per Year per Facility (2017$)</w:t>
            </w:r>
          </w:p>
        </w:tc>
      </w:tr>
      <w:tr w:rsidR="0001781A" w:rsidRPr="000973F2" w14:paraId="7933F0D7" w14:textId="77777777" w:rsidTr="00125923">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959" w:type="pct"/>
            <w:vMerge/>
            <w:hideMark/>
          </w:tcPr>
          <w:p w14:paraId="4B6FEC26" w14:textId="77777777" w:rsidR="0001781A" w:rsidRPr="000973F2" w:rsidRDefault="0001781A" w:rsidP="00BD6F7A">
            <w:pPr>
              <w:spacing w:before="40" w:after="40"/>
              <w:rPr>
                <w:rFonts w:ascii="Times New Roman" w:eastAsia="Times New Roman" w:hAnsi="Times New Roman" w:cs="Times New Roman"/>
                <w:b/>
                <w:bCs w:val="0"/>
                <w:sz w:val="18"/>
                <w:szCs w:val="18"/>
              </w:rPr>
            </w:pPr>
          </w:p>
        </w:tc>
        <w:tc>
          <w:tcPr>
            <w:tcW w:w="654" w:type="pct"/>
            <w:hideMark/>
          </w:tcPr>
          <w:p w14:paraId="1FC35402" w14:textId="77777777" w:rsidR="0001781A" w:rsidRPr="000973F2" w:rsidRDefault="0001781A" w:rsidP="00BD6F7A">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18"/>
                <w:szCs w:val="18"/>
              </w:rPr>
            </w:pPr>
            <w:r w:rsidRPr="000973F2">
              <w:rPr>
                <w:rFonts w:ascii="Times New Roman" w:eastAsia="Times New Roman" w:hAnsi="Times New Roman" w:cs="Times New Roman"/>
                <w:b/>
                <w:bCs/>
                <w:sz w:val="18"/>
                <w:szCs w:val="18"/>
              </w:rPr>
              <w:t>Capital Cost ($)</w:t>
            </w:r>
          </w:p>
        </w:tc>
        <w:tc>
          <w:tcPr>
            <w:tcW w:w="654" w:type="pct"/>
            <w:hideMark/>
          </w:tcPr>
          <w:p w14:paraId="237AA147" w14:textId="77777777" w:rsidR="0001781A" w:rsidRPr="000973F2" w:rsidRDefault="0001781A" w:rsidP="00BD6F7A">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18"/>
                <w:szCs w:val="18"/>
              </w:rPr>
            </w:pPr>
            <w:r w:rsidRPr="000973F2">
              <w:rPr>
                <w:rFonts w:ascii="Times New Roman" w:eastAsia="Times New Roman" w:hAnsi="Times New Roman" w:cs="Times New Roman"/>
                <w:b/>
                <w:bCs/>
                <w:sz w:val="18"/>
                <w:szCs w:val="18"/>
              </w:rPr>
              <w:t>Equipment Lifetime</w:t>
            </w:r>
          </w:p>
        </w:tc>
        <w:tc>
          <w:tcPr>
            <w:tcW w:w="654" w:type="pct"/>
            <w:hideMark/>
          </w:tcPr>
          <w:p w14:paraId="3289DE63" w14:textId="77777777" w:rsidR="0001781A" w:rsidRPr="000973F2" w:rsidRDefault="0001781A" w:rsidP="00BD6F7A">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18"/>
                <w:szCs w:val="18"/>
              </w:rPr>
            </w:pPr>
            <w:r w:rsidRPr="000973F2">
              <w:rPr>
                <w:rFonts w:ascii="Times New Roman" w:eastAsia="Times New Roman" w:hAnsi="Times New Roman" w:cs="Times New Roman"/>
                <w:b/>
                <w:bCs/>
                <w:sz w:val="18"/>
                <w:szCs w:val="18"/>
              </w:rPr>
              <w:t>Annualized Capital Cost ($/year)</w:t>
            </w:r>
          </w:p>
        </w:tc>
        <w:tc>
          <w:tcPr>
            <w:tcW w:w="654" w:type="pct"/>
            <w:hideMark/>
          </w:tcPr>
          <w:p w14:paraId="6E253B47" w14:textId="77777777" w:rsidR="0001781A" w:rsidRPr="000973F2" w:rsidRDefault="0001781A" w:rsidP="00BD6F7A">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18"/>
                <w:szCs w:val="18"/>
              </w:rPr>
            </w:pPr>
            <w:r w:rsidRPr="000973F2">
              <w:rPr>
                <w:rFonts w:ascii="Times New Roman" w:eastAsia="Times New Roman" w:hAnsi="Times New Roman" w:cs="Times New Roman"/>
                <w:b/>
                <w:bCs/>
                <w:sz w:val="18"/>
                <w:szCs w:val="18"/>
              </w:rPr>
              <w:t>O&amp;M Costs ($/year)</w:t>
            </w:r>
          </w:p>
        </w:tc>
        <w:tc>
          <w:tcPr>
            <w:tcW w:w="714" w:type="pct"/>
            <w:hideMark/>
          </w:tcPr>
          <w:p w14:paraId="255FFF4B" w14:textId="77777777" w:rsidR="0001781A" w:rsidRPr="000973F2" w:rsidRDefault="0001781A" w:rsidP="00BD6F7A">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18"/>
                <w:szCs w:val="18"/>
              </w:rPr>
            </w:pPr>
            <w:r w:rsidRPr="000973F2">
              <w:rPr>
                <w:rFonts w:ascii="Times New Roman" w:eastAsia="Times New Roman" w:hAnsi="Times New Roman" w:cs="Times New Roman"/>
                <w:b/>
                <w:bCs/>
                <w:sz w:val="18"/>
                <w:szCs w:val="18"/>
              </w:rPr>
              <w:t>Initial Year</w:t>
            </w:r>
          </w:p>
        </w:tc>
        <w:tc>
          <w:tcPr>
            <w:tcW w:w="711" w:type="pct"/>
            <w:hideMark/>
          </w:tcPr>
          <w:p w14:paraId="6ED19452" w14:textId="77777777" w:rsidR="0001781A" w:rsidRPr="000973F2" w:rsidRDefault="0001781A" w:rsidP="00BD6F7A">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18"/>
                <w:szCs w:val="18"/>
              </w:rPr>
            </w:pPr>
            <w:r w:rsidRPr="000973F2">
              <w:rPr>
                <w:rFonts w:ascii="Times New Roman" w:eastAsia="Times New Roman" w:hAnsi="Times New Roman" w:cs="Times New Roman"/>
                <w:b/>
                <w:bCs/>
                <w:sz w:val="18"/>
                <w:szCs w:val="18"/>
              </w:rPr>
              <w:t>Subseq. Years</w:t>
            </w:r>
          </w:p>
        </w:tc>
      </w:tr>
      <w:tr w:rsidR="00125923" w:rsidRPr="000973F2" w14:paraId="3EEECBD0" w14:textId="77777777" w:rsidTr="00125923">
        <w:trPr>
          <w:cantSplit/>
        </w:trPr>
        <w:tc>
          <w:tcPr>
            <w:cnfStyle w:val="001000000000" w:firstRow="0" w:lastRow="0" w:firstColumn="1" w:lastColumn="0" w:oddVBand="0" w:evenVBand="0" w:oddHBand="0" w:evenHBand="0" w:firstRowFirstColumn="0" w:firstRowLastColumn="0" w:lastRowFirstColumn="0" w:lastRowLastColumn="0"/>
            <w:tcW w:w="959" w:type="pct"/>
            <w:tcMar>
              <w:right w:w="14" w:type="dxa"/>
            </w:tcMar>
            <w:hideMark/>
          </w:tcPr>
          <w:p w14:paraId="58AB6D67" w14:textId="77777777" w:rsidR="00125923" w:rsidRPr="000973F2" w:rsidRDefault="00125923" w:rsidP="00125923">
            <w:pPr>
              <w:spacing w:before="40" w:after="4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Equipment (selection, purchase, installation)</w:t>
            </w:r>
          </w:p>
        </w:tc>
        <w:tc>
          <w:tcPr>
            <w:tcW w:w="654" w:type="pct"/>
            <w:noWrap/>
            <w:hideMark/>
          </w:tcPr>
          <w:p w14:paraId="4390E7A7" w14:textId="4A5BC7F6" w:rsidR="00125923" w:rsidRPr="000973F2" w:rsidRDefault="00125923" w:rsidP="00125923">
            <w:pPr>
              <w:spacing w:before="40" w:after="4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w:t>
            </w:r>
          </w:p>
        </w:tc>
        <w:tc>
          <w:tcPr>
            <w:tcW w:w="654" w:type="pct"/>
            <w:noWrap/>
          </w:tcPr>
          <w:p w14:paraId="2913C657" w14:textId="79C16300" w:rsidR="00125923" w:rsidRPr="000973F2" w:rsidRDefault="00125923" w:rsidP="00125923">
            <w:pPr>
              <w:spacing w:before="40" w:after="4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p>
        </w:tc>
        <w:tc>
          <w:tcPr>
            <w:tcW w:w="654" w:type="pct"/>
            <w:noWrap/>
            <w:hideMark/>
          </w:tcPr>
          <w:p w14:paraId="76ACB4D2" w14:textId="2C0EA61B" w:rsidR="00125923" w:rsidRPr="000973F2" w:rsidRDefault="00125923" w:rsidP="00125923">
            <w:pPr>
              <w:spacing w:before="40" w:after="4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w:t>
            </w:r>
          </w:p>
        </w:tc>
        <w:tc>
          <w:tcPr>
            <w:tcW w:w="654" w:type="pct"/>
            <w:noWrap/>
            <w:hideMark/>
          </w:tcPr>
          <w:p w14:paraId="5AA1C57D" w14:textId="348EB664" w:rsidR="00125923" w:rsidRPr="000973F2" w:rsidRDefault="00125923" w:rsidP="00125923">
            <w:pPr>
              <w:tabs>
                <w:tab w:val="decimal" w:pos="693"/>
              </w:tabs>
              <w:spacing w:before="40" w:after="4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w:t>
            </w:r>
          </w:p>
        </w:tc>
        <w:tc>
          <w:tcPr>
            <w:tcW w:w="714" w:type="pct"/>
            <w:noWrap/>
            <w:hideMark/>
          </w:tcPr>
          <w:p w14:paraId="0B222727" w14:textId="7F7331E5" w:rsidR="00125923" w:rsidRPr="000973F2" w:rsidRDefault="00125923" w:rsidP="00125923">
            <w:pPr>
              <w:tabs>
                <w:tab w:val="decimal" w:pos="693"/>
              </w:tabs>
              <w:spacing w:before="40" w:after="4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w:t>
            </w:r>
          </w:p>
        </w:tc>
        <w:tc>
          <w:tcPr>
            <w:tcW w:w="711" w:type="pct"/>
            <w:noWrap/>
            <w:hideMark/>
          </w:tcPr>
          <w:p w14:paraId="3844B55F" w14:textId="2BC5E7E4" w:rsidR="00125923" w:rsidRPr="000973F2" w:rsidRDefault="00125923" w:rsidP="00125923">
            <w:pPr>
              <w:tabs>
                <w:tab w:val="decimal" w:pos="693"/>
              </w:tabs>
              <w:spacing w:before="40" w:after="4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w:t>
            </w:r>
          </w:p>
        </w:tc>
      </w:tr>
      <w:tr w:rsidR="00125923" w:rsidRPr="000973F2" w14:paraId="245BE750" w14:textId="77777777" w:rsidTr="00125923">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959" w:type="pct"/>
            <w:tcMar>
              <w:right w:w="14" w:type="dxa"/>
            </w:tcMar>
            <w:hideMark/>
          </w:tcPr>
          <w:p w14:paraId="6A0DBD48" w14:textId="77777777" w:rsidR="00125923" w:rsidRPr="000973F2" w:rsidRDefault="00125923" w:rsidP="00125923">
            <w:pPr>
              <w:spacing w:before="40" w:after="4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Performance testing</w:t>
            </w:r>
          </w:p>
        </w:tc>
        <w:tc>
          <w:tcPr>
            <w:tcW w:w="654" w:type="pct"/>
            <w:noWrap/>
            <w:hideMark/>
          </w:tcPr>
          <w:p w14:paraId="2C236161" w14:textId="77777777" w:rsidR="00125923" w:rsidRPr="000973F2" w:rsidRDefault="00125923" w:rsidP="00125923">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$0</w:t>
            </w:r>
          </w:p>
        </w:tc>
        <w:tc>
          <w:tcPr>
            <w:tcW w:w="654" w:type="pct"/>
            <w:noWrap/>
          </w:tcPr>
          <w:p w14:paraId="645B8121" w14:textId="38CD3406" w:rsidR="00125923" w:rsidRPr="000973F2" w:rsidRDefault="00125923" w:rsidP="00125923">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p>
        </w:tc>
        <w:tc>
          <w:tcPr>
            <w:tcW w:w="654" w:type="pct"/>
            <w:noWrap/>
            <w:hideMark/>
          </w:tcPr>
          <w:p w14:paraId="2575C65A" w14:textId="77777777" w:rsidR="00125923" w:rsidRPr="000973F2" w:rsidRDefault="00125923" w:rsidP="00125923">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$0</w:t>
            </w:r>
          </w:p>
        </w:tc>
        <w:tc>
          <w:tcPr>
            <w:tcW w:w="654" w:type="pct"/>
            <w:noWrap/>
            <w:hideMark/>
          </w:tcPr>
          <w:p w14:paraId="32472BBC" w14:textId="77777777" w:rsidR="00125923" w:rsidRPr="000973F2" w:rsidRDefault="00125923" w:rsidP="00125923">
            <w:pPr>
              <w:tabs>
                <w:tab w:val="decimal" w:pos="693"/>
              </w:tabs>
              <w:spacing w:before="40" w:after="4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$563</w:t>
            </w:r>
          </w:p>
        </w:tc>
        <w:tc>
          <w:tcPr>
            <w:tcW w:w="714" w:type="pct"/>
            <w:noWrap/>
            <w:hideMark/>
          </w:tcPr>
          <w:p w14:paraId="6F65983F" w14:textId="77777777" w:rsidR="00125923" w:rsidRPr="000973F2" w:rsidRDefault="00125923" w:rsidP="00125923">
            <w:pPr>
              <w:tabs>
                <w:tab w:val="decimal" w:pos="693"/>
              </w:tabs>
              <w:spacing w:before="40" w:after="4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$563</w:t>
            </w:r>
          </w:p>
        </w:tc>
        <w:tc>
          <w:tcPr>
            <w:tcW w:w="711" w:type="pct"/>
            <w:noWrap/>
            <w:hideMark/>
          </w:tcPr>
          <w:p w14:paraId="278E97A2" w14:textId="77777777" w:rsidR="00125923" w:rsidRPr="000973F2" w:rsidRDefault="00125923" w:rsidP="00125923">
            <w:pPr>
              <w:tabs>
                <w:tab w:val="decimal" w:pos="693"/>
              </w:tabs>
              <w:spacing w:before="40" w:after="4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$563</w:t>
            </w:r>
          </w:p>
        </w:tc>
      </w:tr>
      <w:tr w:rsidR="00125923" w:rsidRPr="000973F2" w14:paraId="3D7C80A4" w14:textId="77777777" w:rsidTr="00125923">
        <w:trPr>
          <w:cantSplit/>
        </w:trPr>
        <w:tc>
          <w:tcPr>
            <w:cnfStyle w:val="001000000000" w:firstRow="0" w:lastRow="0" w:firstColumn="1" w:lastColumn="0" w:oddVBand="0" w:evenVBand="0" w:oddHBand="0" w:evenHBand="0" w:firstRowFirstColumn="0" w:firstRowLastColumn="0" w:lastRowFirstColumn="0" w:lastRowLastColumn="0"/>
            <w:tcW w:w="959" w:type="pct"/>
            <w:tcMar>
              <w:right w:w="14" w:type="dxa"/>
            </w:tcMar>
            <w:hideMark/>
          </w:tcPr>
          <w:p w14:paraId="74C5AA25" w14:textId="77777777" w:rsidR="00125923" w:rsidRPr="000973F2" w:rsidRDefault="00125923" w:rsidP="00125923">
            <w:pPr>
              <w:spacing w:before="40" w:after="4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Recordkeeping</w:t>
            </w:r>
          </w:p>
        </w:tc>
        <w:tc>
          <w:tcPr>
            <w:tcW w:w="654" w:type="pct"/>
            <w:noWrap/>
            <w:hideMark/>
          </w:tcPr>
          <w:p w14:paraId="5E1D5596" w14:textId="77777777" w:rsidR="00125923" w:rsidRPr="000973F2" w:rsidRDefault="00125923" w:rsidP="00125923">
            <w:pPr>
              <w:spacing w:before="40" w:after="4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$0</w:t>
            </w:r>
          </w:p>
        </w:tc>
        <w:tc>
          <w:tcPr>
            <w:tcW w:w="654" w:type="pct"/>
            <w:noWrap/>
          </w:tcPr>
          <w:p w14:paraId="266936FB" w14:textId="33519A35" w:rsidR="00125923" w:rsidRPr="000973F2" w:rsidRDefault="00125923" w:rsidP="00125923">
            <w:pPr>
              <w:spacing w:before="40" w:after="4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p>
        </w:tc>
        <w:tc>
          <w:tcPr>
            <w:tcW w:w="654" w:type="pct"/>
            <w:noWrap/>
            <w:hideMark/>
          </w:tcPr>
          <w:p w14:paraId="2D6F0CB5" w14:textId="77777777" w:rsidR="00125923" w:rsidRPr="000973F2" w:rsidRDefault="00125923" w:rsidP="00125923">
            <w:pPr>
              <w:spacing w:before="40" w:after="4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$0</w:t>
            </w:r>
          </w:p>
        </w:tc>
        <w:tc>
          <w:tcPr>
            <w:tcW w:w="654" w:type="pct"/>
            <w:noWrap/>
            <w:hideMark/>
          </w:tcPr>
          <w:p w14:paraId="18474736" w14:textId="77777777" w:rsidR="00125923" w:rsidRPr="000973F2" w:rsidRDefault="00125923" w:rsidP="00125923">
            <w:pPr>
              <w:tabs>
                <w:tab w:val="decimal" w:pos="693"/>
              </w:tabs>
              <w:spacing w:before="40" w:after="4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$50</w:t>
            </w:r>
          </w:p>
        </w:tc>
        <w:tc>
          <w:tcPr>
            <w:tcW w:w="714" w:type="pct"/>
            <w:noWrap/>
            <w:hideMark/>
          </w:tcPr>
          <w:p w14:paraId="018392BA" w14:textId="77777777" w:rsidR="00125923" w:rsidRPr="000973F2" w:rsidRDefault="00125923" w:rsidP="00125923">
            <w:pPr>
              <w:tabs>
                <w:tab w:val="decimal" w:pos="693"/>
              </w:tabs>
              <w:spacing w:before="40" w:after="4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$50</w:t>
            </w:r>
          </w:p>
        </w:tc>
        <w:tc>
          <w:tcPr>
            <w:tcW w:w="711" w:type="pct"/>
            <w:noWrap/>
            <w:hideMark/>
          </w:tcPr>
          <w:p w14:paraId="2FA08E36" w14:textId="77777777" w:rsidR="00125923" w:rsidRPr="000973F2" w:rsidRDefault="00125923" w:rsidP="00125923">
            <w:pPr>
              <w:tabs>
                <w:tab w:val="decimal" w:pos="693"/>
              </w:tabs>
              <w:spacing w:before="40" w:after="4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$50</w:t>
            </w:r>
          </w:p>
        </w:tc>
      </w:tr>
      <w:tr w:rsidR="00125923" w:rsidRPr="000973F2" w14:paraId="558B12FD" w14:textId="77777777" w:rsidTr="00125923">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959" w:type="pct"/>
            <w:tcMar>
              <w:right w:w="14" w:type="dxa"/>
            </w:tcMar>
            <w:hideMark/>
          </w:tcPr>
          <w:p w14:paraId="6C5FDC72" w14:textId="77777777" w:rsidR="00125923" w:rsidRPr="000973F2" w:rsidRDefault="00125923" w:rsidP="00125923">
            <w:pPr>
              <w:spacing w:before="40" w:after="4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Travel</w:t>
            </w:r>
          </w:p>
        </w:tc>
        <w:tc>
          <w:tcPr>
            <w:tcW w:w="654" w:type="pct"/>
            <w:noWrap/>
            <w:hideMark/>
          </w:tcPr>
          <w:p w14:paraId="3498E0E0" w14:textId="77777777" w:rsidR="00125923" w:rsidRPr="000973F2" w:rsidRDefault="00125923" w:rsidP="00125923">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$0</w:t>
            </w:r>
          </w:p>
        </w:tc>
        <w:tc>
          <w:tcPr>
            <w:tcW w:w="654" w:type="pct"/>
            <w:noWrap/>
          </w:tcPr>
          <w:p w14:paraId="67F7B4BC" w14:textId="5C95A1E4" w:rsidR="00125923" w:rsidRPr="000973F2" w:rsidRDefault="00125923" w:rsidP="00125923">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p>
        </w:tc>
        <w:tc>
          <w:tcPr>
            <w:tcW w:w="654" w:type="pct"/>
            <w:noWrap/>
            <w:hideMark/>
          </w:tcPr>
          <w:p w14:paraId="24DD7574" w14:textId="77777777" w:rsidR="00125923" w:rsidRPr="000973F2" w:rsidRDefault="00125923" w:rsidP="00125923">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$0</w:t>
            </w:r>
          </w:p>
        </w:tc>
        <w:tc>
          <w:tcPr>
            <w:tcW w:w="654" w:type="pct"/>
            <w:noWrap/>
            <w:hideMark/>
          </w:tcPr>
          <w:p w14:paraId="5EEF9EDB" w14:textId="77777777" w:rsidR="00125923" w:rsidRPr="000973F2" w:rsidRDefault="00125923" w:rsidP="00125923">
            <w:pPr>
              <w:tabs>
                <w:tab w:val="decimal" w:pos="693"/>
              </w:tabs>
              <w:spacing w:before="40" w:after="4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$0</w:t>
            </w:r>
          </w:p>
        </w:tc>
        <w:tc>
          <w:tcPr>
            <w:tcW w:w="714" w:type="pct"/>
            <w:noWrap/>
            <w:hideMark/>
          </w:tcPr>
          <w:p w14:paraId="29AE2ED9" w14:textId="77777777" w:rsidR="00125923" w:rsidRPr="000973F2" w:rsidRDefault="00125923" w:rsidP="00125923">
            <w:pPr>
              <w:tabs>
                <w:tab w:val="decimal" w:pos="693"/>
              </w:tabs>
              <w:spacing w:before="40" w:after="4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$0</w:t>
            </w:r>
          </w:p>
        </w:tc>
        <w:tc>
          <w:tcPr>
            <w:tcW w:w="711" w:type="pct"/>
            <w:noWrap/>
            <w:hideMark/>
          </w:tcPr>
          <w:p w14:paraId="1A47F4E7" w14:textId="77777777" w:rsidR="00125923" w:rsidRPr="000973F2" w:rsidRDefault="00125923" w:rsidP="00125923">
            <w:pPr>
              <w:tabs>
                <w:tab w:val="decimal" w:pos="693"/>
              </w:tabs>
              <w:spacing w:before="40" w:after="4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$0</w:t>
            </w:r>
          </w:p>
        </w:tc>
      </w:tr>
      <w:tr w:rsidR="00125923" w:rsidRPr="000973F2" w14:paraId="0A364CFB" w14:textId="77777777" w:rsidTr="00125923">
        <w:trPr>
          <w:cantSplit/>
        </w:trPr>
        <w:tc>
          <w:tcPr>
            <w:cnfStyle w:val="001000000000" w:firstRow="0" w:lastRow="0" w:firstColumn="1" w:lastColumn="0" w:oddVBand="0" w:evenVBand="0" w:oddHBand="0" w:evenHBand="0" w:firstRowFirstColumn="0" w:firstRowLastColumn="0" w:lastRowFirstColumn="0" w:lastRowLastColumn="0"/>
            <w:tcW w:w="959" w:type="pct"/>
            <w:tcMar>
              <w:right w:w="14" w:type="dxa"/>
            </w:tcMar>
            <w:hideMark/>
          </w:tcPr>
          <w:p w14:paraId="53646247" w14:textId="77777777" w:rsidR="00125923" w:rsidRPr="000973F2" w:rsidRDefault="00125923" w:rsidP="00125923">
            <w:pPr>
              <w:spacing w:before="40" w:after="4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Sampling and Analysis Costs</w:t>
            </w:r>
          </w:p>
        </w:tc>
        <w:tc>
          <w:tcPr>
            <w:tcW w:w="654" w:type="pct"/>
            <w:noWrap/>
            <w:hideMark/>
          </w:tcPr>
          <w:p w14:paraId="4D1B2CFC" w14:textId="2807A23D" w:rsidR="00125923" w:rsidRPr="000973F2" w:rsidRDefault="00125923" w:rsidP="00125923">
            <w:pPr>
              <w:spacing w:before="40" w:after="4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w:t>
            </w:r>
          </w:p>
        </w:tc>
        <w:tc>
          <w:tcPr>
            <w:tcW w:w="654" w:type="pct"/>
            <w:noWrap/>
          </w:tcPr>
          <w:p w14:paraId="2699AEAB" w14:textId="47E7B575" w:rsidR="00125923" w:rsidRPr="000973F2" w:rsidRDefault="00125923" w:rsidP="00125923">
            <w:pPr>
              <w:spacing w:before="40" w:after="4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w:t>
            </w:r>
          </w:p>
        </w:tc>
        <w:tc>
          <w:tcPr>
            <w:tcW w:w="654" w:type="pct"/>
            <w:noWrap/>
            <w:hideMark/>
          </w:tcPr>
          <w:p w14:paraId="70CE97E8" w14:textId="08887548" w:rsidR="00125923" w:rsidRPr="000973F2" w:rsidRDefault="00125923" w:rsidP="00125923">
            <w:pPr>
              <w:spacing w:before="40" w:after="4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w:t>
            </w:r>
          </w:p>
        </w:tc>
        <w:tc>
          <w:tcPr>
            <w:tcW w:w="654" w:type="pct"/>
            <w:noWrap/>
            <w:hideMark/>
          </w:tcPr>
          <w:p w14:paraId="40A68B8E" w14:textId="2CDFD198" w:rsidR="00125923" w:rsidRPr="000973F2" w:rsidRDefault="00125923" w:rsidP="00125923">
            <w:pPr>
              <w:tabs>
                <w:tab w:val="decimal" w:pos="693"/>
              </w:tabs>
              <w:spacing w:before="40" w:after="4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w:t>
            </w:r>
          </w:p>
        </w:tc>
        <w:tc>
          <w:tcPr>
            <w:tcW w:w="714" w:type="pct"/>
            <w:noWrap/>
            <w:hideMark/>
          </w:tcPr>
          <w:p w14:paraId="50448C32" w14:textId="249ED8C9" w:rsidR="00125923" w:rsidRPr="000973F2" w:rsidRDefault="00125923" w:rsidP="00125923">
            <w:pPr>
              <w:tabs>
                <w:tab w:val="decimal" w:pos="693"/>
              </w:tabs>
              <w:spacing w:before="40" w:after="4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w:t>
            </w:r>
          </w:p>
        </w:tc>
        <w:tc>
          <w:tcPr>
            <w:tcW w:w="711" w:type="pct"/>
            <w:noWrap/>
            <w:hideMark/>
          </w:tcPr>
          <w:p w14:paraId="70C32A2F" w14:textId="04686C09" w:rsidR="00125923" w:rsidRPr="000973F2" w:rsidRDefault="00125923" w:rsidP="00125923">
            <w:pPr>
              <w:tabs>
                <w:tab w:val="decimal" w:pos="693"/>
              </w:tabs>
              <w:spacing w:before="40" w:after="4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w:t>
            </w:r>
          </w:p>
        </w:tc>
      </w:tr>
      <w:tr w:rsidR="00125923" w:rsidRPr="000973F2" w14:paraId="0BB05BD0" w14:textId="77777777" w:rsidTr="00125923">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959" w:type="pct"/>
            <w:tcMar>
              <w:right w:w="14" w:type="dxa"/>
            </w:tcMar>
            <w:hideMark/>
          </w:tcPr>
          <w:p w14:paraId="6033EF0E" w14:textId="77777777" w:rsidR="00125923" w:rsidRPr="000973F2" w:rsidRDefault="00125923" w:rsidP="00125923">
            <w:pPr>
              <w:spacing w:before="40" w:after="40"/>
              <w:rPr>
                <w:rFonts w:ascii="Times New Roman" w:eastAsia="Times New Roman" w:hAnsi="Times New Roman" w:cs="Times New Roman"/>
                <w:b/>
                <w:bCs w:val="0"/>
                <w:sz w:val="18"/>
                <w:szCs w:val="18"/>
              </w:rPr>
            </w:pPr>
            <w:r w:rsidRPr="000973F2">
              <w:rPr>
                <w:rFonts w:ascii="Times New Roman" w:eastAsia="Times New Roman" w:hAnsi="Times New Roman" w:cs="Times New Roman"/>
                <w:b/>
                <w:sz w:val="18"/>
                <w:szCs w:val="18"/>
              </w:rPr>
              <w:t xml:space="preserve">Total </w:t>
            </w:r>
          </w:p>
        </w:tc>
        <w:tc>
          <w:tcPr>
            <w:tcW w:w="654" w:type="pct"/>
            <w:noWrap/>
            <w:hideMark/>
          </w:tcPr>
          <w:p w14:paraId="4366DCEE" w14:textId="77777777" w:rsidR="00125923" w:rsidRPr="000973F2" w:rsidRDefault="00125923" w:rsidP="00125923">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$0</w:t>
            </w:r>
          </w:p>
        </w:tc>
        <w:tc>
          <w:tcPr>
            <w:tcW w:w="654" w:type="pct"/>
            <w:noWrap/>
            <w:hideMark/>
          </w:tcPr>
          <w:p w14:paraId="5C365F11" w14:textId="2112B9D4" w:rsidR="00125923" w:rsidRPr="000973F2" w:rsidRDefault="00125923" w:rsidP="00125923">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p>
        </w:tc>
        <w:tc>
          <w:tcPr>
            <w:tcW w:w="654" w:type="pct"/>
            <w:noWrap/>
            <w:hideMark/>
          </w:tcPr>
          <w:p w14:paraId="2CE9E964" w14:textId="77777777" w:rsidR="00125923" w:rsidRPr="000973F2" w:rsidRDefault="00125923" w:rsidP="00125923">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$0</w:t>
            </w:r>
          </w:p>
        </w:tc>
        <w:tc>
          <w:tcPr>
            <w:tcW w:w="654" w:type="pct"/>
            <w:noWrap/>
            <w:hideMark/>
          </w:tcPr>
          <w:p w14:paraId="24AB6F7B" w14:textId="77777777" w:rsidR="00125923" w:rsidRPr="000973F2" w:rsidRDefault="00125923" w:rsidP="00125923">
            <w:pPr>
              <w:tabs>
                <w:tab w:val="decimal" w:pos="693"/>
              </w:tabs>
              <w:spacing w:before="40" w:after="4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$613</w:t>
            </w:r>
          </w:p>
        </w:tc>
        <w:tc>
          <w:tcPr>
            <w:tcW w:w="714" w:type="pct"/>
            <w:noWrap/>
            <w:hideMark/>
          </w:tcPr>
          <w:p w14:paraId="5FE08677" w14:textId="77777777" w:rsidR="00125923" w:rsidRPr="000973F2" w:rsidRDefault="00125923" w:rsidP="00125923">
            <w:pPr>
              <w:tabs>
                <w:tab w:val="decimal" w:pos="693"/>
              </w:tabs>
              <w:spacing w:before="40" w:after="4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$613</w:t>
            </w:r>
          </w:p>
        </w:tc>
        <w:tc>
          <w:tcPr>
            <w:tcW w:w="711" w:type="pct"/>
            <w:noWrap/>
            <w:hideMark/>
          </w:tcPr>
          <w:p w14:paraId="439379B1" w14:textId="77777777" w:rsidR="00125923" w:rsidRPr="000973F2" w:rsidRDefault="00125923" w:rsidP="00125923">
            <w:pPr>
              <w:tabs>
                <w:tab w:val="decimal" w:pos="693"/>
              </w:tabs>
              <w:spacing w:before="40" w:after="4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$613</w:t>
            </w:r>
          </w:p>
        </w:tc>
      </w:tr>
    </w:tbl>
    <w:p w14:paraId="4279CA69" w14:textId="77777777" w:rsidR="0001781A" w:rsidRPr="000973F2" w:rsidRDefault="0001781A" w:rsidP="00C00E4F">
      <w:pPr>
        <w:pStyle w:val="AfterTable"/>
      </w:pPr>
    </w:p>
    <w:p w14:paraId="5556E759" w14:textId="77777777" w:rsidR="0001781A" w:rsidRPr="000973F2" w:rsidRDefault="0001781A" w:rsidP="00C00E4F">
      <w:pPr>
        <w:rPr>
          <w:i/>
        </w:rPr>
      </w:pPr>
      <w:r w:rsidRPr="000973F2">
        <w:rPr>
          <w:rFonts w:ascii="Times New Roman" w:hAnsi="Times New Roman" w:cs="Times New Roman"/>
          <w:i/>
        </w:rPr>
        <w:t>Subpart C with at least one additional subpart</w:t>
      </w:r>
    </w:p>
    <w:tbl>
      <w:tblPr>
        <w:tblStyle w:val="PlainTable1"/>
        <w:tblW w:w="5000" w:type="pct"/>
        <w:jc w:val="left"/>
        <w:tblLayout w:type="fixed"/>
        <w:tblCellMar>
          <w:left w:w="115" w:type="dxa"/>
          <w:right w:w="115" w:type="dxa"/>
        </w:tblCellMar>
        <w:tblLook w:val="04A0" w:firstRow="1" w:lastRow="0" w:firstColumn="1" w:lastColumn="0" w:noHBand="0" w:noVBand="1"/>
      </w:tblPr>
      <w:tblGrid>
        <w:gridCol w:w="1840"/>
        <w:gridCol w:w="1253"/>
        <w:gridCol w:w="1254"/>
        <w:gridCol w:w="1254"/>
        <w:gridCol w:w="1254"/>
        <w:gridCol w:w="1369"/>
        <w:gridCol w:w="1366"/>
      </w:tblGrid>
      <w:tr w:rsidR="0001781A" w:rsidRPr="000973F2" w14:paraId="28207A85" w14:textId="77777777" w:rsidTr="00125923">
        <w:trPr>
          <w:cnfStyle w:val="100000000000" w:firstRow="1" w:lastRow="0" w:firstColumn="0" w:lastColumn="0" w:oddVBand="0" w:evenVBand="0" w:oddHBand="0" w:evenHBand="0" w:firstRowFirstColumn="0" w:firstRowLastColumn="0" w:lastRowFirstColumn="0" w:lastRowLastColumn="0"/>
          <w:cantSplit/>
          <w:jc w:val="left"/>
        </w:trPr>
        <w:tc>
          <w:tcPr>
            <w:cnfStyle w:val="001000000000" w:firstRow="0" w:lastRow="0" w:firstColumn="1" w:lastColumn="0" w:oddVBand="0" w:evenVBand="0" w:oddHBand="0" w:evenHBand="0" w:firstRowFirstColumn="0" w:firstRowLastColumn="0" w:lastRowFirstColumn="0" w:lastRowLastColumn="0"/>
            <w:tcW w:w="959" w:type="pct"/>
            <w:vMerge w:val="restart"/>
            <w:noWrap/>
            <w:vAlign w:val="top"/>
            <w:hideMark/>
          </w:tcPr>
          <w:p w14:paraId="01F62CEF" w14:textId="77777777" w:rsidR="0001781A" w:rsidRPr="000973F2" w:rsidRDefault="0001781A" w:rsidP="008A4A3A">
            <w:pPr>
              <w:spacing w:before="40" w:after="40"/>
              <w:rPr>
                <w:rFonts w:ascii="Times New Roman" w:eastAsia="Times New Roman" w:hAnsi="Times New Roman" w:cs="Times New Roman"/>
                <w:b w:val="0"/>
                <w:bCs w:val="0"/>
                <w:sz w:val="18"/>
                <w:szCs w:val="18"/>
              </w:rPr>
            </w:pPr>
            <w:r w:rsidRPr="000973F2">
              <w:rPr>
                <w:rFonts w:ascii="Times New Roman" w:eastAsia="Times New Roman" w:hAnsi="Times New Roman" w:cs="Times New Roman"/>
                <w:sz w:val="18"/>
                <w:szCs w:val="18"/>
              </w:rPr>
              <w:t>Activity</w:t>
            </w:r>
          </w:p>
        </w:tc>
        <w:tc>
          <w:tcPr>
            <w:tcW w:w="2615" w:type="pct"/>
            <w:gridSpan w:val="4"/>
            <w:noWrap/>
            <w:vAlign w:val="top"/>
            <w:hideMark/>
          </w:tcPr>
          <w:p w14:paraId="5C267A01" w14:textId="77777777" w:rsidR="0001781A" w:rsidRPr="000973F2" w:rsidRDefault="0001781A" w:rsidP="008A4A3A">
            <w:pPr>
              <w:spacing w:before="40" w:after="40"/>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bCs w:val="0"/>
                <w:sz w:val="18"/>
                <w:szCs w:val="18"/>
              </w:rPr>
            </w:pPr>
            <w:r w:rsidRPr="000973F2">
              <w:rPr>
                <w:rFonts w:ascii="Times New Roman" w:eastAsia="Times New Roman" w:hAnsi="Times New Roman" w:cs="Times New Roman"/>
                <w:sz w:val="18"/>
                <w:szCs w:val="18"/>
              </w:rPr>
              <w:t>Cost Categories</w:t>
            </w:r>
          </w:p>
        </w:tc>
        <w:tc>
          <w:tcPr>
            <w:tcW w:w="1426" w:type="pct"/>
            <w:gridSpan w:val="2"/>
            <w:vAlign w:val="top"/>
            <w:hideMark/>
          </w:tcPr>
          <w:p w14:paraId="4B236683" w14:textId="77777777" w:rsidR="0001781A" w:rsidRPr="000973F2" w:rsidRDefault="0001781A" w:rsidP="008A4A3A">
            <w:pPr>
              <w:spacing w:before="40" w:after="40"/>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bCs w:val="0"/>
                <w:sz w:val="18"/>
                <w:szCs w:val="18"/>
              </w:rPr>
            </w:pPr>
            <w:r w:rsidRPr="000973F2">
              <w:rPr>
                <w:rFonts w:ascii="Times New Roman" w:eastAsia="Times New Roman" w:hAnsi="Times New Roman" w:cs="Times New Roman"/>
                <w:sz w:val="18"/>
                <w:szCs w:val="18"/>
              </w:rPr>
              <w:t>Total Capital and O&amp;M Cost per Year per Facility (2017$)</w:t>
            </w:r>
          </w:p>
        </w:tc>
      </w:tr>
      <w:tr w:rsidR="0001781A" w:rsidRPr="000973F2" w14:paraId="3DA0F82A" w14:textId="77777777" w:rsidTr="00125923">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959" w:type="pct"/>
            <w:vMerge/>
            <w:hideMark/>
          </w:tcPr>
          <w:p w14:paraId="01090C5F" w14:textId="77777777" w:rsidR="0001781A" w:rsidRPr="000973F2" w:rsidRDefault="0001781A" w:rsidP="008A4A3A">
            <w:pPr>
              <w:spacing w:before="40" w:after="40"/>
              <w:rPr>
                <w:rFonts w:ascii="Times New Roman" w:eastAsia="Times New Roman" w:hAnsi="Times New Roman" w:cs="Times New Roman"/>
                <w:b/>
                <w:bCs w:val="0"/>
                <w:sz w:val="18"/>
                <w:szCs w:val="18"/>
              </w:rPr>
            </w:pPr>
          </w:p>
        </w:tc>
        <w:tc>
          <w:tcPr>
            <w:tcW w:w="653" w:type="pct"/>
            <w:hideMark/>
          </w:tcPr>
          <w:p w14:paraId="532C5A00" w14:textId="77777777" w:rsidR="0001781A" w:rsidRPr="000973F2" w:rsidRDefault="0001781A" w:rsidP="008A4A3A">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18"/>
                <w:szCs w:val="18"/>
              </w:rPr>
            </w:pPr>
            <w:r w:rsidRPr="000973F2">
              <w:rPr>
                <w:rFonts w:ascii="Times New Roman" w:eastAsia="Times New Roman" w:hAnsi="Times New Roman" w:cs="Times New Roman"/>
                <w:b/>
                <w:bCs/>
                <w:sz w:val="18"/>
                <w:szCs w:val="18"/>
              </w:rPr>
              <w:t>Capital Cost ($)</w:t>
            </w:r>
          </w:p>
        </w:tc>
        <w:tc>
          <w:tcPr>
            <w:tcW w:w="654" w:type="pct"/>
            <w:hideMark/>
          </w:tcPr>
          <w:p w14:paraId="67858266" w14:textId="77777777" w:rsidR="0001781A" w:rsidRPr="000973F2" w:rsidRDefault="0001781A" w:rsidP="008A4A3A">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18"/>
                <w:szCs w:val="18"/>
              </w:rPr>
            </w:pPr>
            <w:r w:rsidRPr="000973F2">
              <w:rPr>
                <w:rFonts w:ascii="Times New Roman" w:eastAsia="Times New Roman" w:hAnsi="Times New Roman" w:cs="Times New Roman"/>
                <w:b/>
                <w:bCs/>
                <w:sz w:val="18"/>
                <w:szCs w:val="18"/>
              </w:rPr>
              <w:t>Equipment Lifetime</w:t>
            </w:r>
          </w:p>
        </w:tc>
        <w:tc>
          <w:tcPr>
            <w:tcW w:w="654" w:type="pct"/>
            <w:hideMark/>
          </w:tcPr>
          <w:p w14:paraId="07E8648A" w14:textId="77777777" w:rsidR="0001781A" w:rsidRPr="000973F2" w:rsidRDefault="0001781A" w:rsidP="008A4A3A">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18"/>
                <w:szCs w:val="18"/>
              </w:rPr>
            </w:pPr>
            <w:r w:rsidRPr="000973F2">
              <w:rPr>
                <w:rFonts w:ascii="Times New Roman" w:eastAsia="Times New Roman" w:hAnsi="Times New Roman" w:cs="Times New Roman"/>
                <w:b/>
                <w:bCs/>
                <w:sz w:val="18"/>
                <w:szCs w:val="18"/>
              </w:rPr>
              <w:t>Annualized Capital Cost ($/year)</w:t>
            </w:r>
          </w:p>
        </w:tc>
        <w:tc>
          <w:tcPr>
            <w:tcW w:w="654" w:type="pct"/>
            <w:hideMark/>
          </w:tcPr>
          <w:p w14:paraId="7965C1AB" w14:textId="77777777" w:rsidR="0001781A" w:rsidRPr="000973F2" w:rsidRDefault="0001781A" w:rsidP="008A4A3A">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18"/>
                <w:szCs w:val="18"/>
              </w:rPr>
            </w:pPr>
            <w:r w:rsidRPr="000973F2">
              <w:rPr>
                <w:rFonts w:ascii="Times New Roman" w:eastAsia="Times New Roman" w:hAnsi="Times New Roman" w:cs="Times New Roman"/>
                <w:b/>
                <w:bCs/>
                <w:sz w:val="18"/>
                <w:szCs w:val="18"/>
              </w:rPr>
              <w:t>O&amp;M Costs ($/year)</w:t>
            </w:r>
          </w:p>
        </w:tc>
        <w:tc>
          <w:tcPr>
            <w:tcW w:w="714" w:type="pct"/>
            <w:hideMark/>
          </w:tcPr>
          <w:p w14:paraId="4FC3BE86" w14:textId="77777777" w:rsidR="0001781A" w:rsidRPr="000973F2" w:rsidRDefault="0001781A" w:rsidP="008A4A3A">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18"/>
                <w:szCs w:val="18"/>
              </w:rPr>
            </w:pPr>
            <w:r w:rsidRPr="000973F2">
              <w:rPr>
                <w:rFonts w:ascii="Times New Roman" w:eastAsia="Times New Roman" w:hAnsi="Times New Roman" w:cs="Times New Roman"/>
                <w:b/>
                <w:bCs/>
                <w:sz w:val="18"/>
                <w:szCs w:val="18"/>
              </w:rPr>
              <w:t>Initial Year</w:t>
            </w:r>
          </w:p>
        </w:tc>
        <w:tc>
          <w:tcPr>
            <w:tcW w:w="712" w:type="pct"/>
            <w:hideMark/>
          </w:tcPr>
          <w:p w14:paraId="2370E8D5" w14:textId="77777777" w:rsidR="0001781A" w:rsidRPr="000973F2" w:rsidRDefault="0001781A" w:rsidP="008A4A3A">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18"/>
                <w:szCs w:val="18"/>
              </w:rPr>
            </w:pPr>
            <w:r w:rsidRPr="000973F2">
              <w:rPr>
                <w:rFonts w:ascii="Times New Roman" w:eastAsia="Times New Roman" w:hAnsi="Times New Roman" w:cs="Times New Roman"/>
                <w:b/>
                <w:bCs/>
                <w:sz w:val="18"/>
                <w:szCs w:val="18"/>
              </w:rPr>
              <w:t>Subseq. Years</w:t>
            </w:r>
          </w:p>
        </w:tc>
      </w:tr>
      <w:tr w:rsidR="00125923" w:rsidRPr="000973F2" w14:paraId="2444614B" w14:textId="77777777" w:rsidTr="00125923">
        <w:trPr>
          <w:cantSplit/>
        </w:trPr>
        <w:tc>
          <w:tcPr>
            <w:cnfStyle w:val="001000000000" w:firstRow="0" w:lastRow="0" w:firstColumn="1" w:lastColumn="0" w:oddVBand="0" w:evenVBand="0" w:oddHBand="0" w:evenHBand="0" w:firstRowFirstColumn="0" w:firstRowLastColumn="0" w:lastRowFirstColumn="0" w:lastRowLastColumn="0"/>
            <w:tcW w:w="959" w:type="pct"/>
            <w:tcMar>
              <w:right w:w="14" w:type="dxa"/>
            </w:tcMar>
            <w:hideMark/>
          </w:tcPr>
          <w:p w14:paraId="635D335B" w14:textId="77777777" w:rsidR="00125923" w:rsidRPr="000973F2" w:rsidRDefault="00125923" w:rsidP="00125923">
            <w:pPr>
              <w:spacing w:before="40" w:after="4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Equipment (selection, purchase, installation)</w:t>
            </w:r>
          </w:p>
        </w:tc>
        <w:tc>
          <w:tcPr>
            <w:tcW w:w="653" w:type="pct"/>
            <w:noWrap/>
            <w:hideMark/>
          </w:tcPr>
          <w:p w14:paraId="09880A92" w14:textId="4D86E371" w:rsidR="00125923" w:rsidRPr="000973F2" w:rsidRDefault="00125923" w:rsidP="00125923">
            <w:pPr>
              <w:spacing w:before="40" w:after="4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w:t>
            </w:r>
          </w:p>
        </w:tc>
        <w:tc>
          <w:tcPr>
            <w:tcW w:w="654" w:type="pct"/>
            <w:noWrap/>
          </w:tcPr>
          <w:p w14:paraId="430A34B7" w14:textId="4AD049A1" w:rsidR="00125923" w:rsidRPr="000973F2" w:rsidRDefault="00125923" w:rsidP="00125923">
            <w:pPr>
              <w:spacing w:before="40" w:after="4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w:t>
            </w:r>
          </w:p>
        </w:tc>
        <w:tc>
          <w:tcPr>
            <w:tcW w:w="654" w:type="pct"/>
            <w:noWrap/>
            <w:hideMark/>
          </w:tcPr>
          <w:p w14:paraId="79953ABA" w14:textId="715FD0AC" w:rsidR="00125923" w:rsidRPr="000973F2" w:rsidRDefault="00125923" w:rsidP="00125923">
            <w:pPr>
              <w:spacing w:before="40" w:after="4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w:t>
            </w:r>
          </w:p>
        </w:tc>
        <w:tc>
          <w:tcPr>
            <w:tcW w:w="654" w:type="pct"/>
            <w:noWrap/>
            <w:hideMark/>
          </w:tcPr>
          <w:p w14:paraId="6CFAE123" w14:textId="2A3A91F6" w:rsidR="00125923" w:rsidRPr="000973F2" w:rsidRDefault="00125923" w:rsidP="00125923">
            <w:pPr>
              <w:tabs>
                <w:tab w:val="decimal" w:pos="633"/>
              </w:tabs>
              <w:spacing w:before="40" w:after="4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w:t>
            </w:r>
          </w:p>
        </w:tc>
        <w:tc>
          <w:tcPr>
            <w:tcW w:w="714" w:type="pct"/>
            <w:noWrap/>
            <w:hideMark/>
          </w:tcPr>
          <w:p w14:paraId="6F9BE762" w14:textId="6C9CED5F" w:rsidR="00125923" w:rsidRPr="000973F2" w:rsidRDefault="00125923" w:rsidP="00125923">
            <w:pPr>
              <w:tabs>
                <w:tab w:val="decimal" w:pos="633"/>
              </w:tabs>
              <w:spacing w:before="40" w:after="4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w:t>
            </w:r>
          </w:p>
        </w:tc>
        <w:tc>
          <w:tcPr>
            <w:tcW w:w="712" w:type="pct"/>
            <w:noWrap/>
            <w:hideMark/>
          </w:tcPr>
          <w:p w14:paraId="4B089B8E" w14:textId="6F9DB345" w:rsidR="00125923" w:rsidRPr="000973F2" w:rsidRDefault="00125923" w:rsidP="00125923">
            <w:pPr>
              <w:tabs>
                <w:tab w:val="decimal" w:pos="633"/>
              </w:tabs>
              <w:spacing w:before="40" w:after="4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w:t>
            </w:r>
          </w:p>
        </w:tc>
      </w:tr>
      <w:tr w:rsidR="0001781A" w:rsidRPr="000973F2" w14:paraId="53EF60CB" w14:textId="77777777" w:rsidTr="00125923">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959" w:type="pct"/>
            <w:tcMar>
              <w:right w:w="14" w:type="dxa"/>
            </w:tcMar>
            <w:hideMark/>
          </w:tcPr>
          <w:p w14:paraId="6E553164" w14:textId="77777777" w:rsidR="0001781A" w:rsidRPr="000973F2" w:rsidRDefault="0001781A" w:rsidP="008A4A3A">
            <w:pPr>
              <w:spacing w:before="40" w:after="4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Performance testing</w:t>
            </w:r>
          </w:p>
        </w:tc>
        <w:tc>
          <w:tcPr>
            <w:tcW w:w="653" w:type="pct"/>
            <w:noWrap/>
            <w:hideMark/>
          </w:tcPr>
          <w:p w14:paraId="5554BD8A" w14:textId="77777777" w:rsidR="0001781A" w:rsidRPr="000973F2" w:rsidRDefault="0001781A" w:rsidP="008A4A3A">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$0</w:t>
            </w:r>
          </w:p>
        </w:tc>
        <w:tc>
          <w:tcPr>
            <w:tcW w:w="654" w:type="pct"/>
            <w:noWrap/>
          </w:tcPr>
          <w:p w14:paraId="2EF84CD9" w14:textId="53ABB6E0" w:rsidR="0001781A" w:rsidRPr="000973F2" w:rsidRDefault="0001781A" w:rsidP="008A4A3A">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p>
        </w:tc>
        <w:tc>
          <w:tcPr>
            <w:tcW w:w="654" w:type="pct"/>
            <w:noWrap/>
            <w:hideMark/>
          </w:tcPr>
          <w:p w14:paraId="06A8E206" w14:textId="77777777" w:rsidR="0001781A" w:rsidRPr="000973F2" w:rsidRDefault="0001781A" w:rsidP="008A4A3A">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$0</w:t>
            </w:r>
          </w:p>
        </w:tc>
        <w:tc>
          <w:tcPr>
            <w:tcW w:w="654" w:type="pct"/>
            <w:noWrap/>
            <w:hideMark/>
          </w:tcPr>
          <w:p w14:paraId="17F3B4B5" w14:textId="77777777" w:rsidR="0001781A" w:rsidRPr="000973F2" w:rsidRDefault="0001781A" w:rsidP="008A4A3A">
            <w:pPr>
              <w:tabs>
                <w:tab w:val="decimal" w:pos="633"/>
              </w:tabs>
              <w:spacing w:before="40" w:after="4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$189</w:t>
            </w:r>
          </w:p>
        </w:tc>
        <w:tc>
          <w:tcPr>
            <w:tcW w:w="714" w:type="pct"/>
            <w:noWrap/>
            <w:hideMark/>
          </w:tcPr>
          <w:p w14:paraId="7B6843E4" w14:textId="77777777" w:rsidR="0001781A" w:rsidRPr="000973F2" w:rsidRDefault="0001781A" w:rsidP="008A4A3A">
            <w:pPr>
              <w:tabs>
                <w:tab w:val="decimal" w:pos="633"/>
              </w:tabs>
              <w:spacing w:before="40" w:after="4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$189</w:t>
            </w:r>
          </w:p>
        </w:tc>
        <w:tc>
          <w:tcPr>
            <w:tcW w:w="712" w:type="pct"/>
            <w:noWrap/>
            <w:hideMark/>
          </w:tcPr>
          <w:p w14:paraId="6A016E3F" w14:textId="77777777" w:rsidR="0001781A" w:rsidRPr="000973F2" w:rsidRDefault="0001781A" w:rsidP="008A4A3A">
            <w:pPr>
              <w:tabs>
                <w:tab w:val="decimal" w:pos="633"/>
              </w:tabs>
              <w:spacing w:before="40" w:after="4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$189</w:t>
            </w:r>
          </w:p>
        </w:tc>
      </w:tr>
      <w:tr w:rsidR="0001781A" w:rsidRPr="000973F2" w14:paraId="5B65EB13" w14:textId="77777777" w:rsidTr="00125923">
        <w:trPr>
          <w:cantSplit/>
        </w:trPr>
        <w:tc>
          <w:tcPr>
            <w:cnfStyle w:val="001000000000" w:firstRow="0" w:lastRow="0" w:firstColumn="1" w:lastColumn="0" w:oddVBand="0" w:evenVBand="0" w:oddHBand="0" w:evenHBand="0" w:firstRowFirstColumn="0" w:firstRowLastColumn="0" w:lastRowFirstColumn="0" w:lastRowLastColumn="0"/>
            <w:tcW w:w="959" w:type="pct"/>
            <w:tcMar>
              <w:right w:w="14" w:type="dxa"/>
            </w:tcMar>
            <w:hideMark/>
          </w:tcPr>
          <w:p w14:paraId="216139E5" w14:textId="77777777" w:rsidR="0001781A" w:rsidRPr="000973F2" w:rsidRDefault="0001781A" w:rsidP="008A4A3A">
            <w:pPr>
              <w:spacing w:before="40" w:after="4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Recordkeeping</w:t>
            </w:r>
          </w:p>
        </w:tc>
        <w:tc>
          <w:tcPr>
            <w:tcW w:w="653" w:type="pct"/>
            <w:noWrap/>
            <w:hideMark/>
          </w:tcPr>
          <w:p w14:paraId="29F6BA1E" w14:textId="77777777" w:rsidR="0001781A" w:rsidRPr="000973F2" w:rsidRDefault="0001781A" w:rsidP="008A4A3A">
            <w:pPr>
              <w:spacing w:before="40" w:after="4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$0</w:t>
            </w:r>
          </w:p>
        </w:tc>
        <w:tc>
          <w:tcPr>
            <w:tcW w:w="654" w:type="pct"/>
            <w:noWrap/>
          </w:tcPr>
          <w:p w14:paraId="794EE604" w14:textId="7D93A41C" w:rsidR="0001781A" w:rsidRPr="000973F2" w:rsidRDefault="0001781A" w:rsidP="008A4A3A">
            <w:pPr>
              <w:spacing w:before="40" w:after="4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p>
        </w:tc>
        <w:tc>
          <w:tcPr>
            <w:tcW w:w="654" w:type="pct"/>
            <w:noWrap/>
            <w:hideMark/>
          </w:tcPr>
          <w:p w14:paraId="62DB0E7A" w14:textId="77777777" w:rsidR="0001781A" w:rsidRPr="000973F2" w:rsidRDefault="0001781A" w:rsidP="008A4A3A">
            <w:pPr>
              <w:spacing w:before="40" w:after="4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$0</w:t>
            </w:r>
          </w:p>
        </w:tc>
        <w:tc>
          <w:tcPr>
            <w:tcW w:w="654" w:type="pct"/>
            <w:noWrap/>
            <w:hideMark/>
          </w:tcPr>
          <w:p w14:paraId="08C7553C" w14:textId="77777777" w:rsidR="0001781A" w:rsidRPr="000973F2" w:rsidRDefault="0001781A" w:rsidP="008A4A3A">
            <w:pPr>
              <w:tabs>
                <w:tab w:val="decimal" w:pos="633"/>
              </w:tabs>
              <w:spacing w:before="40" w:after="4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$50</w:t>
            </w:r>
          </w:p>
        </w:tc>
        <w:tc>
          <w:tcPr>
            <w:tcW w:w="714" w:type="pct"/>
            <w:noWrap/>
            <w:hideMark/>
          </w:tcPr>
          <w:p w14:paraId="621D9C63" w14:textId="77777777" w:rsidR="0001781A" w:rsidRPr="000973F2" w:rsidRDefault="0001781A" w:rsidP="008A4A3A">
            <w:pPr>
              <w:tabs>
                <w:tab w:val="decimal" w:pos="633"/>
              </w:tabs>
              <w:spacing w:before="40" w:after="4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$50</w:t>
            </w:r>
          </w:p>
        </w:tc>
        <w:tc>
          <w:tcPr>
            <w:tcW w:w="712" w:type="pct"/>
            <w:noWrap/>
            <w:hideMark/>
          </w:tcPr>
          <w:p w14:paraId="250567A5" w14:textId="77777777" w:rsidR="0001781A" w:rsidRPr="000973F2" w:rsidRDefault="0001781A" w:rsidP="008A4A3A">
            <w:pPr>
              <w:tabs>
                <w:tab w:val="decimal" w:pos="633"/>
              </w:tabs>
              <w:spacing w:before="40" w:after="4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$50</w:t>
            </w:r>
          </w:p>
        </w:tc>
      </w:tr>
      <w:tr w:rsidR="00ED4BCB" w:rsidRPr="000973F2" w14:paraId="3B539B15" w14:textId="77777777" w:rsidTr="00125923">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959" w:type="pct"/>
            <w:tcMar>
              <w:right w:w="14" w:type="dxa"/>
            </w:tcMar>
            <w:hideMark/>
          </w:tcPr>
          <w:p w14:paraId="6FF81257" w14:textId="77777777" w:rsidR="0001781A" w:rsidRPr="000973F2" w:rsidRDefault="0001781A" w:rsidP="008A4A3A">
            <w:pPr>
              <w:spacing w:before="40" w:after="4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Travel</w:t>
            </w:r>
          </w:p>
        </w:tc>
        <w:tc>
          <w:tcPr>
            <w:tcW w:w="653" w:type="pct"/>
            <w:noWrap/>
            <w:hideMark/>
          </w:tcPr>
          <w:p w14:paraId="1AE476AA" w14:textId="77777777" w:rsidR="0001781A" w:rsidRPr="000973F2" w:rsidRDefault="0001781A" w:rsidP="008A2B1B">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$0</w:t>
            </w:r>
          </w:p>
        </w:tc>
        <w:tc>
          <w:tcPr>
            <w:tcW w:w="654" w:type="pct"/>
            <w:noWrap/>
          </w:tcPr>
          <w:p w14:paraId="49A91054" w14:textId="1D69AEB3" w:rsidR="0001781A" w:rsidRPr="000973F2" w:rsidRDefault="0001781A" w:rsidP="008A2B1B">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p>
        </w:tc>
        <w:tc>
          <w:tcPr>
            <w:tcW w:w="654" w:type="pct"/>
            <w:noWrap/>
            <w:hideMark/>
          </w:tcPr>
          <w:p w14:paraId="75E445AC" w14:textId="77777777" w:rsidR="0001781A" w:rsidRPr="000973F2" w:rsidRDefault="0001781A" w:rsidP="008A2B1B">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$0</w:t>
            </w:r>
          </w:p>
        </w:tc>
        <w:tc>
          <w:tcPr>
            <w:tcW w:w="654" w:type="pct"/>
            <w:noWrap/>
            <w:hideMark/>
          </w:tcPr>
          <w:p w14:paraId="5151CB8C" w14:textId="77777777" w:rsidR="0001781A" w:rsidRPr="000973F2" w:rsidRDefault="0001781A" w:rsidP="008A2B1B">
            <w:pPr>
              <w:tabs>
                <w:tab w:val="decimal" w:pos="633"/>
              </w:tabs>
              <w:spacing w:before="40" w:after="4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$0</w:t>
            </w:r>
          </w:p>
        </w:tc>
        <w:tc>
          <w:tcPr>
            <w:tcW w:w="714" w:type="pct"/>
            <w:noWrap/>
            <w:hideMark/>
          </w:tcPr>
          <w:p w14:paraId="49FAA1A3" w14:textId="77777777" w:rsidR="0001781A" w:rsidRPr="000973F2" w:rsidRDefault="0001781A" w:rsidP="008A2B1B">
            <w:pPr>
              <w:tabs>
                <w:tab w:val="decimal" w:pos="633"/>
              </w:tabs>
              <w:spacing w:before="40" w:after="4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$0</w:t>
            </w:r>
          </w:p>
        </w:tc>
        <w:tc>
          <w:tcPr>
            <w:tcW w:w="712" w:type="pct"/>
            <w:noWrap/>
            <w:hideMark/>
          </w:tcPr>
          <w:p w14:paraId="2F17B3A5" w14:textId="77777777" w:rsidR="0001781A" w:rsidRPr="000973F2" w:rsidRDefault="0001781A" w:rsidP="008A2B1B">
            <w:pPr>
              <w:tabs>
                <w:tab w:val="decimal" w:pos="633"/>
              </w:tabs>
              <w:spacing w:before="40" w:after="4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$0</w:t>
            </w:r>
          </w:p>
        </w:tc>
      </w:tr>
      <w:tr w:rsidR="00260534" w:rsidRPr="000973F2" w14:paraId="31337366" w14:textId="77777777" w:rsidTr="00125923">
        <w:trPr>
          <w:cantSplit/>
        </w:trPr>
        <w:tc>
          <w:tcPr>
            <w:cnfStyle w:val="001000000000" w:firstRow="0" w:lastRow="0" w:firstColumn="1" w:lastColumn="0" w:oddVBand="0" w:evenVBand="0" w:oddHBand="0" w:evenHBand="0" w:firstRowFirstColumn="0" w:firstRowLastColumn="0" w:lastRowFirstColumn="0" w:lastRowLastColumn="0"/>
            <w:tcW w:w="959" w:type="pct"/>
            <w:shd w:val="clear" w:color="auto" w:fill="auto"/>
            <w:tcMar>
              <w:right w:w="14" w:type="dxa"/>
            </w:tcMar>
            <w:hideMark/>
          </w:tcPr>
          <w:p w14:paraId="11713BD0" w14:textId="77777777" w:rsidR="00125923" w:rsidRPr="000973F2" w:rsidRDefault="00125923" w:rsidP="00125923">
            <w:pPr>
              <w:spacing w:before="40" w:after="4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Sampling and Analysis Costs</w:t>
            </w:r>
          </w:p>
        </w:tc>
        <w:tc>
          <w:tcPr>
            <w:tcW w:w="653" w:type="pct"/>
            <w:shd w:val="clear" w:color="auto" w:fill="auto"/>
            <w:noWrap/>
            <w:hideMark/>
          </w:tcPr>
          <w:p w14:paraId="40106378" w14:textId="28189D72" w:rsidR="00125923" w:rsidRPr="000973F2" w:rsidRDefault="00125923" w:rsidP="008A2B1B">
            <w:pPr>
              <w:spacing w:before="40" w:after="4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w:t>
            </w:r>
          </w:p>
        </w:tc>
        <w:tc>
          <w:tcPr>
            <w:tcW w:w="654" w:type="pct"/>
            <w:shd w:val="clear" w:color="auto" w:fill="auto"/>
            <w:noWrap/>
          </w:tcPr>
          <w:p w14:paraId="4FC4C251" w14:textId="2B9961BE" w:rsidR="00125923" w:rsidRPr="000973F2" w:rsidRDefault="00125923" w:rsidP="008A2B1B">
            <w:pPr>
              <w:spacing w:before="40" w:after="4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w:t>
            </w:r>
          </w:p>
        </w:tc>
        <w:tc>
          <w:tcPr>
            <w:tcW w:w="654" w:type="pct"/>
            <w:shd w:val="clear" w:color="auto" w:fill="auto"/>
            <w:noWrap/>
            <w:hideMark/>
          </w:tcPr>
          <w:p w14:paraId="4A5F8174" w14:textId="5145B263" w:rsidR="00125923" w:rsidRPr="000973F2" w:rsidRDefault="00125923" w:rsidP="008A2B1B">
            <w:pPr>
              <w:spacing w:before="40" w:after="4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w:t>
            </w:r>
          </w:p>
        </w:tc>
        <w:tc>
          <w:tcPr>
            <w:tcW w:w="654" w:type="pct"/>
            <w:shd w:val="clear" w:color="auto" w:fill="auto"/>
            <w:noWrap/>
            <w:hideMark/>
          </w:tcPr>
          <w:p w14:paraId="4CF62BC9" w14:textId="2100F4E6" w:rsidR="00125923" w:rsidRPr="000973F2" w:rsidRDefault="00125923" w:rsidP="008A2B1B">
            <w:pPr>
              <w:tabs>
                <w:tab w:val="decimal" w:pos="633"/>
              </w:tabs>
              <w:spacing w:before="40" w:after="4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w:t>
            </w:r>
          </w:p>
        </w:tc>
        <w:tc>
          <w:tcPr>
            <w:tcW w:w="714" w:type="pct"/>
            <w:shd w:val="clear" w:color="auto" w:fill="auto"/>
            <w:noWrap/>
            <w:hideMark/>
          </w:tcPr>
          <w:p w14:paraId="1AFAA666" w14:textId="29E8845E" w:rsidR="00125923" w:rsidRPr="000973F2" w:rsidRDefault="00125923" w:rsidP="008A2B1B">
            <w:pPr>
              <w:tabs>
                <w:tab w:val="decimal" w:pos="633"/>
              </w:tabs>
              <w:spacing w:before="40" w:after="4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w:t>
            </w:r>
          </w:p>
        </w:tc>
        <w:tc>
          <w:tcPr>
            <w:tcW w:w="712" w:type="pct"/>
            <w:shd w:val="clear" w:color="auto" w:fill="auto"/>
            <w:noWrap/>
            <w:hideMark/>
          </w:tcPr>
          <w:p w14:paraId="1CCE4B82" w14:textId="7D4E970C" w:rsidR="00125923" w:rsidRPr="000973F2" w:rsidRDefault="00125923" w:rsidP="008A2B1B">
            <w:pPr>
              <w:tabs>
                <w:tab w:val="decimal" w:pos="633"/>
              </w:tabs>
              <w:spacing w:before="40" w:after="4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w:t>
            </w:r>
          </w:p>
        </w:tc>
      </w:tr>
      <w:tr w:rsidR="00260534" w:rsidRPr="000973F2" w14:paraId="6F1DBB21" w14:textId="77777777" w:rsidTr="00125923">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959" w:type="pct"/>
            <w:tcMar>
              <w:right w:w="14" w:type="dxa"/>
            </w:tcMar>
            <w:hideMark/>
          </w:tcPr>
          <w:p w14:paraId="1DDEDA3C" w14:textId="77777777" w:rsidR="00125923" w:rsidRPr="000973F2" w:rsidRDefault="00125923" w:rsidP="00125923">
            <w:pPr>
              <w:spacing w:before="40" w:after="40"/>
              <w:rPr>
                <w:rFonts w:ascii="Times New Roman" w:eastAsia="Times New Roman" w:hAnsi="Times New Roman" w:cs="Times New Roman"/>
                <w:b/>
                <w:bCs w:val="0"/>
                <w:sz w:val="18"/>
                <w:szCs w:val="18"/>
              </w:rPr>
            </w:pPr>
            <w:r w:rsidRPr="000973F2">
              <w:rPr>
                <w:rFonts w:ascii="Times New Roman" w:eastAsia="Times New Roman" w:hAnsi="Times New Roman" w:cs="Times New Roman"/>
                <w:b/>
                <w:sz w:val="18"/>
                <w:szCs w:val="18"/>
              </w:rPr>
              <w:t xml:space="preserve">Total </w:t>
            </w:r>
          </w:p>
        </w:tc>
        <w:tc>
          <w:tcPr>
            <w:tcW w:w="653" w:type="pct"/>
            <w:noWrap/>
            <w:hideMark/>
          </w:tcPr>
          <w:p w14:paraId="096702E5" w14:textId="77777777" w:rsidR="00125923" w:rsidRPr="000973F2" w:rsidRDefault="00125923" w:rsidP="008A2B1B">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$0</w:t>
            </w:r>
          </w:p>
        </w:tc>
        <w:tc>
          <w:tcPr>
            <w:tcW w:w="654" w:type="pct"/>
            <w:noWrap/>
            <w:hideMark/>
          </w:tcPr>
          <w:p w14:paraId="4FE6CF86" w14:textId="1EBA2C31" w:rsidR="00125923" w:rsidRPr="000973F2" w:rsidRDefault="00125923" w:rsidP="008A2B1B">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p>
        </w:tc>
        <w:tc>
          <w:tcPr>
            <w:tcW w:w="654" w:type="pct"/>
            <w:noWrap/>
            <w:hideMark/>
          </w:tcPr>
          <w:p w14:paraId="64B43AB1" w14:textId="77777777" w:rsidR="00125923" w:rsidRPr="000973F2" w:rsidRDefault="00125923" w:rsidP="008A2B1B">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$0</w:t>
            </w:r>
          </w:p>
        </w:tc>
        <w:tc>
          <w:tcPr>
            <w:tcW w:w="654" w:type="pct"/>
            <w:noWrap/>
            <w:hideMark/>
          </w:tcPr>
          <w:p w14:paraId="713C9188" w14:textId="77777777" w:rsidR="00125923" w:rsidRPr="000973F2" w:rsidRDefault="00125923" w:rsidP="008A2B1B">
            <w:pPr>
              <w:tabs>
                <w:tab w:val="decimal" w:pos="633"/>
              </w:tabs>
              <w:spacing w:before="40" w:after="4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$239</w:t>
            </w:r>
          </w:p>
        </w:tc>
        <w:tc>
          <w:tcPr>
            <w:tcW w:w="714" w:type="pct"/>
            <w:noWrap/>
            <w:hideMark/>
          </w:tcPr>
          <w:p w14:paraId="3BA80A90" w14:textId="77777777" w:rsidR="00125923" w:rsidRPr="000973F2" w:rsidRDefault="00125923" w:rsidP="008A2B1B">
            <w:pPr>
              <w:tabs>
                <w:tab w:val="decimal" w:pos="633"/>
              </w:tabs>
              <w:spacing w:before="40" w:after="4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$239</w:t>
            </w:r>
          </w:p>
        </w:tc>
        <w:tc>
          <w:tcPr>
            <w:tcW w:w="712" w:type="pct"/>
            <w:noWrap/>
            <w:hideMark/>
          </w:tcPr>
          <w:p w14:paraId="38AA0F67" w14:textId="77777777" w:rsidR="00125923" w:rsidRPr="000973F2" w:rsidRDefault="00125923" w:rsidP="008A2B1B">
            <w:pPr>
              <w:tabs>
                <w:tab w:val="decimal" w:pos="633"/>
              </w:tabs>
              <w:spacing w:before="40" w:after="4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$239</w:t>
            </w:r>
          </w:p>
        </w:tc>
      </w:tr>
    </w:tbl>
    <w:p w14:paraId="62A0E396" w14:textId="77777777" w:rsidR="0001781A" w:rsidRPr="000973F2" w:rsidRDefault="0001781A" w:rsidP="00486D91">
      <w:pPr>
        <w:pStyle w:val="FootnoteText"/>
      </w:pPr>
      <w:r w:rsidRPr="000973F2">
        <w:t>.</w:t>
      </w:r>
    </w:p>
    <w:p w14:paraId="5147E269" w14:textId="77777777" w:rsidR="0001781A" w:rsidRPr="000973F2" w:rsidRDefault="0001781A" w:rsidP="00C00E4F">
      <w:pPr>
        <w:pStyle w:val="TableName"/>
        <w:spacing w:line="240" w:lineRule="auto"/>
      </w:pPr>
      <w:r w:rsidRPr="000973F2">
        <w:br w:type="page"/>
      </w:r>
    </w:p>
    <w:p w14:paraId="4DC5A5B8" w14:textId="314AA54E" w:rsidR="0001781A" w:rsidRPr="000973F2" w:rsidRDefault="0001781A" w:rsidP="0017349F">
      <w:pPr>
        <w:pStyle w:val="Tabletitle"/>
      </w:pPr>
      <w:r w:rsidRPr="000973F2">
        <w:t xml:space="preserve">Table </w:t>
      </w:r>
      <w:r w:rsidR="0017349F" w:rsidRPr="000973F2">
        <w:t>C-</w:t>
      </w:r>
      <w:r w:rsidRPr="000973F2">
        <w:t>3b. Capital and O&amp;M Costs – Subpart C – Tier 2 Facilities</w:t>
      </w:r>
    </w:p>
    <w:p w14:paraId="327359F0" w14:textId="77777777" w:rsidR="0001781A" w:rsidRPr="000973F2" w:rsidRDefault="0001781A" w:rsidP="00C00E4F">
      <w:pPr>
        <w:rPr>
          <w:i/>
        </w:rPr>
      </w:pPr>
      <w:r w:rsidRPr="000973F2">
        <w:rPr>
          <w:rFonts w:ascii="Times New Roman" w:hAnsi="Times New Roman" w:cs="Times New Roman"/>
          <w:i/>
        </w:rPr>
        <w:t>Subpart C only</w:t>
      </w:r>
    </w:p>
    <w:tbl>
      <w:tblPr>
        <w:tblStyle w:val="PlainTable1"/>
        <w:tblW w:w="5016" w:type="pct"/>
        <w:jc w:val="left"/>
        <w:tblLayout w:type="fixed"/>
        <w:tblLook w:val="04A0" w:firstRow="1" w:lastRow="0" w:firstColumn="1" w:lastColumn="0" w:noHBand="0" w:noVBand="1"/>
      </w:tblPr>
      <w:tblGrid>
        <w:gridCol w:w="1841"/>
        <w:gridCol w:w="1270"/>
        <w:gridCol w:w="1270"/>
        <w:gridCol w:w="1270"/>
        <w:gridCol w:w="1264"/>
        <w:gridCol w:w="1349"/>
        <w:gridCol w:w="1343"/>
      </w:tblGrid>
      <w:tr w:rsidR="005A77CE" w:rsidRPr="000973F2" w14:paraId="652B231E" w14:textId="77777777" w:rsidTr="00125923">
        <w:trPr>
          <w:cnfStyle w:val="100000000000" w:firstRow="1" w:lastRow="0" w:firstColumn="0" w:lastColumn="0" w:oddVBand="0" w:evenVBand="0" w:oddHBand="0" w:evenHBand="0" w:firstRowFirstColumn="0" w:firstRowLastColumn="0" w:lastRowFirstColumn="0" w:lastRowLastColumn="0"/>
          <w:trHeight w:val="566"/>
          <w:jc w:val="left"/>
        </w:trPr>
        <w:tc>
          <w:tcPr>
            <w:cnfStyle w:val="001000000000" w:firstRow="0" w:lastRow="0" w:firstColumn="1" w:lastColumn="0" w:oddVBand="0" w:evenVBand="0" w:oddHBand="0" w:evenHBand="0" w:firstRowFirstColumn="0" w:firstRowLastColumn="0" w:lastRowFirstColumn="0" w:lastRowLastColumn="0"/>
            <w:tcW w:w="958" w:type="pct"/>
            <w:vMerge w:val="restart"/>
            <w:noWrap/>
            <w:vAlign w:val="top"/>
            <w:hideMark/>
          </w:tcPr>
          <w:p w14:paraId="0E4E1AB7" w14:textId="77777777" w:rsidR="0001781A" w:rsidRPr="000973F2" w:rsidRDefault="0001781A" w:rsidP="0017349F">
            <w:pPr>
              <w:spacing w:before="40" w:after="40"/>
              <w:rPr>
                <w:rFonts w:ascii="Times New Roman" w:eastAsia="Times New Roman" w:hAnsi="Times New Roman" w:cs="Times New Roman"/>
                <w:b w:val="0"/>
                <w:bCs w:val="0"/>
                <w:sz w:val="18"/>
                <w:szCs w:val="18"/>
              </w:rPr>
            </w:pPr>
            <w:r w:rsidRPr="000973F2">
              <w:rPr>
                <w:rFonts w:ascii="Times New Roman" w:eastAsia="Times New Roman" w:hAnsi="Times New Roman" w:cs="Times New Roman"/>
                <w:sz w:val="18"/>
                <w:szCs w:val="18"/>
              </w:rPr>
              <w:t>Activity</w:t>
            </w:r>
          </w:p>
        </w:tc>
        <w:tc>
          <w:tcPr>
            <w:tcW w:w="2640" w:type="pct"/>
            <w:gridSpan w:val="4"/>
            <w:noWrap/>
            <w:vAlign w:val="top"/>
            <w:hideMark/>
          </w:tcPr>
          <w:p w14:paraId="65639FBE" w14:textId="77777777" w:rsidR="0001781A" w:rsidRPr="000973F2" w:rsidRDefault="0001781A" w:rsidP="0017349F">
            <w:pPr>
              <w:spacing w:before="40" w:after="40"/>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bCs w:val="0"/>
                <w:sz w:val="18"/>
                <w:szCs w:val="18"/>
              </w:rPr>
            </w:pPr>
            <w:r w:rsidRPr="000973F2">
              <w:rPr>
                <w:rFonts w:ascii="Times New Roman" w:eastAsia="Times New Roman" w:hAnsi="Times New Roman" w:cs="Times New Roman"/>
                <w:sz w:val="18"/>
                <w:szCs w:val="18"/>
              </w:rPr>
              <w:t>Cost Categories</w:t>
            </w:r>
          </w:p>
        </w:tc>
        <w:tc>
          <w:tcPr>
            <w:tcW w:w="1401" w:type="pct"/>
            <w:gridSpan w:val="2"/>
            <w:vAlign w:val="top"/>
            <w:hideMark/>
          </w:tcPr>
          <w:p w14:paraId="39F41DE1" w14:textId="77777777" w:rsidR="0001781A" w:rsidRPr="000973F2" w:rsidRDefault="0001781A" w:rsidP="0017349F">
            <w:pPr>
              <w:spacing w:before="40" w:after="40"/>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bCs w:val="0"/>
                <w:sz w:val="18"/>
                <w:szCs w:val="18"/>
              </w:rPr>
            </w:pPr>
            <w:r w:rsidRPr="000973F2">
              <w:rPr>
                <w:rFonts w:ascii="Times New Roman" w:eastAsia="Times New Roman" w:hAnsi="Times New Roman" w:cs="Times New Roman"/>
                <w:sz w:val="18"/>
                <w:szCs w:val="18"/>
              </w:rPr>
              <w:t>Total Capital and O&amp;M Cost per Year per Facility (2017$)</w:t>
            </w:r>
          </w:p>
        </w:tc>
      </w:tr>
      <w:tr w:rsidR="0017349F" w:rsidRPr="000973F2" w14:paraId="7ECE8E7C" w14:textId="77777777" w:rsidTr="00125923">
        <w:trPr>
          <w:cnfStyle w:val="000000100000" w:firstRow="0" w:lastRow="0" w:firstColumn="0" w:lastColumn="0" w:oddVBand="0" w:evenVBand="0" w:oddHBand="1" w:evenHBand="0" w:firstRowFirstColumn="0" w:firstRowLastColumn="0" w:lastRowFirstColumn="0" w:lastRowLastColumn="0"/>
          <w:trHeight w:val="405"/>
        </w:trPr>
        <w:tc>
          <w:tcPr>
            <w:cnfStyle w:val="001000000000" w:firstRow="0" w:lastRow="0" w:firstColumn="1" w:lastColumn="0" w:oddVBand="0" w:evenVBand="0" w:oddHBand="0" w:evenHBand="0" w:firstRowFirstColumn="0" w:firstRowLastColumn="0" w:lastRowFirstColumn="0" w:lastRowLastColumn="0"/>
            <w:tcW w:w="958" w:type="pct"/>
            <w:vMerge/>
            <w:hideMark/>
          </w:tcPr>
          <w:p w14:paraId="42EF22B2" w14:textId="77777777" w:rsidR="0001781A" w:rsidRPr="000973F2" w:rsidRDefault="0001781A" w:rsidP="0017349F">
            <w:pPr>
              <w:spacing w:before="40" w:after="40"/>
              <w:rPr>
                <w:rFonts w:ascii="Times New Roman" w:eastAsia="Times New Roman" w:hAnsi="Times New Roman" w:cs="Times New Roman"/>
                <w:b/>
                <w:bCs w:val="0"/>
                <w:sz w:val="18"/>
                <w:szCs w:val="18"/>
              </w:rPr>
            </w:pPr>
          </w:p>
        </w:tc>
        <w:tc>
          <w:tcPr>
            <w:tcW w:w="661" w:type="pct"/>
            <w:hideMark/>
          </w:tcPr>
          <w:p w14:paraId="6B12D69C" w14:textId="77777777" w:rsidR="0001781A" w:rsidRPr="000973F2" w:rsidRDefault="0001781A" w:rsidP="0017349F">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18"/>
                <w:szCs w:val="18"/>
              </w:rPr>
            </w:pPr>
            <w:r w:rsidRPr="000973F2">
              <w:rPr>
                <w:rFonts w:ascii="Times New Roman" w:eastAsia="Times New Roman" w:hAnsi="Times New Roman" w:cs="Times New Roman"/>
                <w:b/>
                <w:bCs/>
                <w:sz w:val="18"/>
                <w:szCs w:val="18"/>
              </w:rPr>
              <w:t>Capital Cost ($)</w:t>
            </w:r>
          </w:p>
        </w:tc>
        <w:tc>
          <w:tcPr>
            <w:tcW w:w="661" w:type="pct"/>
            <w:hideMark/>
          </w:tcPr>
          <w:p w14:paraId="4CC0179B" w14:textId="77777777" w:rsidR="0001781A" w:rsidRPr="000973F2" w:rsidRDefault="0001781A" w:rsidP="0017349F">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18"/>
                <w:szCs w:val="18"/>
              </w:rPr>
            </w:pPr>
            <w:r w:rsidRPr="000973F2">
              <w:rPr>
                <w:rFonts w:ascii="Times New Roman" w:eastAsia="Times New Roman" w:hAnsi="Times New Roman" w:cs="Times New Roman"/>
                <w:b/>
                <w:bCs/>
                <w:sz w:val="18"/>
                <w:szCs w:val="18"/>
              </w:rPr>
              <w:t>Equipment Lifetime</w:t>
            </w:r>
          </w:p>
        </w:tc>
        <w:tc>
          <w:tcPr>
            <w:tcW w:w="661" w:type="pct"/>
            <w:hideMark/>
          </w:tcPr>
          <w:p w14:paraId="005675BF" w14:textId="77777777" w:rsidR="0001781A" w:rsidRPr="000973F2" w:rsidRDefault="0001781A" w:rsidP="0017349F">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18"/>
                <w:szCs w:val="18"/>
              </w:rPr>
            </w:pPr>
            <w:r w:rsidRPr="000973F2">
              <w:rPr>
                <w:rFonts w:ascii="Times New Roman" w:eastAsia="Times New Roman" w:hAnsi="Times New Roman" w:cs="Times New Roman"/>
                <w:b/>
                <w:bCs/>
                <w:sz w:val="18"/>
                <w:szCs w:val="18"/>
              </w:rPr>
              <w:t>Annualized Capital Cost ($/year)</w:t>
            </w:r>
          </w:p>
        </w:tc>
        <w:tc>
          <w:tcPr>
            <w:tcW w:w="658" w:type="pct"/>
            <w:hideMark/>
          </w:tcPr>
          <w:p w14:paraId="0FEFCB19" w14:textId="77777777" w:rsidR="0001781A" w:rsidRPr="000973F2" w:rsidRDefault="0001781A" w:rsidP="0017349F">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18"/>
                <w:szCs w:val="18"/>
              </w:rPr>
            </w:pPr>
            <w:r w:rsidRPr="000973F2">
              <w:rPr>
                <w:rFonts w:ascii="Times New Roman" w:eastAsia="Times New Roman" w:hAnsi="Times New Roman" w:cs="Times New Roman"/>
                <w:b/>
                <w:bCs/>
                <w:sz w:val="18"/>
                <w:szCs w:val="18"/>
              </w:rPr>
              <w:t>O&amp;M Costs ($/year)</w:t>
            </w:r>
          </w:p>
        </w:tc>
        <w:tc>
          <w:tcPr>
            <w:tcW w:w="702" w:type="pct"/>
            <w:hideMark/>
          </w:tcPr>
          <w:p w14:paraId="7D4F4616" w14:textId="77777777" w:rsidR="0001781A" w:rsidRPr="000973F2" w:rsidRDefault="0001781A" w:rsidP="0017349F">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18"/>
                <w:szCs w:val="18"/>
              </w:rPr>
            </w:pPr>
            <w:r w:rsidRPr="000973F2">
              <w:rPr>
                <w:rFonts w:ascii="Times New Roman" w:eastAsia="Times New Roman" w:hAnsi="Times New Roman" w:cs="Times New Roman"/>
                <w:b/>
                <w:bCs/>
                <w:sz w:val="18"/>
                <w:szCs w:val="18"/>
              </w:rPr>
              <w:t>Initial Year</w:t>
            </w:r>
          </w:p>
        </w:tc>
        <w:tc>
          <w:tcPr>
            <w:tcW w:w="699" w:type="pct"/>
            <w:hideMark/>
          </w:tcPr>
          <w:p w14:paraId="6540B78D" w14:textId="77777777" w:rsidR="0001781A" w:rsidRPr="000973F2" w:rsidRDefault="0001781A" w:rsidP="0017349F">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18"/>
                <w:szCs w:val="18"/>
              </w:rPr>
            </w:pPr>
            <w:r w:rsidRPr="000973F2">
              <w:rPr>
                <w:rFonts w:ascii="Times New Roman" w:eastAsia="Times New Roman" w:hAnsi="Times New Roman" w:cs="Times New Roman"/>
                <w:b/>
                <w:bCs/>
                <w:sz w:val="18"/>
                <w:szCs w:val="18"/>
              </w:rPr>
              <w:t>Subseq. Years</w:t>
            </w:r>
          </w:p>
        </w:tc>
      </w:tr>
      <w:tr w:rsidR="00125923" w:rsidRPr="000973F2" w14:paraId="635D2694" w14:textId="77777777" w:rsidTr="00125923">
        <w:trPr>
          <w:trHeight w:val="244"/>
        </w:trPr>
        <w:tc>
          <w:tcPr>
            <w:cnfStyle w:val="001000000000" w:firstRow="0" w:lastRow="0" w:firstColumn="1" w:lastColumn="0" w:oddVBand="0" w:evenVBand="0" w:oddHBand="0" w:evenHBand="0" w:firstRowFirstColumn="0" w:firstRowLastColumn="0" w:lastRowFirstColumn="0" w:lastRowLastColumn="0"/>
            <w:tcW w:w="958" w:type="pct"/>
            <w:tcMar>
              <w:left w:w="115" w:type="dxa"/>
              <w:right w:w="14" w:type="dxa"/>
            </w:tcMar>
            <w:hideMark/>
          </w:tcPr>
          <w:p w14:paraId="553D2B53" w14:textId="77777777" w:rsidR="00125923" w:rsidRPr="000973F2" w:rsidRDefault="00125923" w:rsidP="00125923">
            <w:pPr>
              <w:spacing w:before="40" w:after="4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Equipment (selection, purchase, installation)</w:t>
            </w:r>
          </w:p>
        </w:tc>
        <w:tc>
          <w:tcPr>
            <w:tcW w:w="661" w:type="pct"/>
            <w:noWrap/>
            <w:hideMark/>
          </w:tcPr>
          <w:p w14:paraId="26B3E7CB" w14:textId="2CAC4F37" w:rsidR="00125923" w:rsidRPr="000973F2" w:rsidRDefault="00125923" w:rsidP="00125923">
            <w:pPr>
              <w:spacing w:before="40" w:after="4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w:t>
            </w:r>
          </w:p>
        </w:tc>
        <w:tc>
          <w:tcPr>
            <w:tcW w:w="661" w:type="pct"/>
            <w:noWrap/>
          </w:tcPr>
          <w:p w14:paraId="5ED02C03" w14:textId="22D789DD" w:rsidR="00125923" w:rsidRPr="000973F2" w:rsidRDefault="00125923" w:rsidP="00125923">
            <w:pPr>
              <w:spacing w:before="40" w:after="4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p>
        </w:tc>
        <w:tc>
          <w:tcPr>
            <w:tcW w:w="661" w:type="pct"/>
            <w:noWrap/>
            <w:hideMark/>
          </w:tcPr>
          <w:p w14:paraId="7335640D" w14:textId="125B95CD" w:rsidR="00125923" w:rsidRPr="000973F2" w:rsidRDefault="00125923" w:rsidP="00125923">
            <w:pPr>
              <w:spacing w:before="40" w:after="4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w:t>
            </w:r>
          </w:p>
        </w:tc>
        <w:tc>
          <w:tcPr>
            <w:tcW w:w="658" w:type="pct"/>
            <w:noWrap/>
            <w:hideMark/>
          </w:tcPr>
          <w:p w14:paraId="624C3551" w14:textId="1E409243" w:rsidR="00125923" w:rsidRPr="000973F2" w:rsidRDefault="00125923" w:rsidP="00125923">
            <w:pPr>
              <w:tabs>
                <w:tab w:val="decimal" w:pos="668"/>
              </w:tabs>
              <w:spacing w:before="40" w:after="4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w:t>
            </w:r>
          </w:p>
        </w:tc>
        <w:tc>
          <w:tcPr>
            <w:tcW w:w="702" w:type="pct"/>
            <w:noWrap/>
            <w:hideMark/>
          </w:tcPr>
          <w:p w14:paraId="20A6422A" w14:textId="2E7A9D45" w:rsidR="00125923" w:rsidRPr="000973F2" w:rsidRDefault="00125923" w:rsidP="00125923">
            <w:pPr>
              <w:tabs>
                <w:tab w:val="decimal" w:pos="668"/>
              </w:tabs>
              <w:spacing w:before="40" w:after="4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w:t>
            </w:r>
          </w:p>
        </w:tc>
        <w:tc>
          <w:tcPr>
            <w:tcW w:w="699" w:type="pct"/>
            <w:noWrap/>
            <w:hideMark/>
          </w:tcPr>
          <w:p w14:paraId="254501A7" w14:textId="089465DB" w:rsidR="00125923" w:rsidRPr="000973F2" w:rsidRDefault="00125923" w:rsidP="00125923">
            <w:pPr>
              <w:tabs>
                <w:tab w:val="decimal" w:pos="668"/>
              </w:tabs>
              <w:spacing w:before="40" w:after="4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w:t>
            </w:r>
          </w:p>
        </w:tc>
      </w:tr>
      <w:tr w:rsidR="00125923" w:rsidRPr="000973F2" w14:paraId="0A4E2F25" w14:textId="77777777" w:rsidTr="00125923">
        <w:trPr>
          <w:cnfStyle w:val="000000100000" w:firstRow="0" w:lastRow="0" w:firstColumn="0" w:lastColumn="0" w:oddVBand="0" w:evenVBand="0" w:oddHBand="1" w:evenHBand="0" w:firstRowFirstColumn="0" w:firstRowLastColumn="0" w:lastRowFirstColumn="0" w:lastRowLastColumn="0"/>
          <w:trHeight w:val="298"/>
        </w:trPr>
        <w:tc>
          <w:tcPr>
            <w:cnfStyle w:val="001000000000" w:firstRow="0" w:lastRow="0" w:firstColumn="1" w:lastColumn="0" w:oddVBand="0" w:evenVBand="0" w:oddHBand="0" w:evenHBand="0" w:firstRowFirstColumn="0" w:firstRowLastColumn="0" w:lastRowFirstColumn="0" w:lastRowLastColumn="0"/>
            <w:tcW w:w="958" w:type="pct"/>
            <w:tcMar>
              <w:left w:w="115" w:type="dxa"/>
              <w:right w:w="14" w:type="dxa"/>
            </w:tcMar>
            <w:hideMark/>
          </w:tcPr>
          <w:p w14:paraId="079DDD7A" w14:textId="77777777" w:rsidR="00125923" w:rsidRPr="000973F2" w:rsidRDefault="00125923" w:rsidP="00125923">
            <w:pPr>
              <w:spacing w:before="40" w:after="4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Performance testing</w:t>
            </w:r>
          </w:p>
        </w:tc>
        <w:tc>
          <w:tcPr>
            <w:tcW w:w="661" w:type="pct"/>
            <w:noWrap/>
            <w:hideMark/>
          </w:tcPr>
          <w:p w14:paraId="4E463F67" w14:textId="1EC7056F" w:rsidR="00125923" w:rsidRPr="000973F2" w:rsidRDefault="00125923" w:rsidP="00125923">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w:t>
            </w:r>
          </w:p>
        </w:tc>
        <w:tc>
          <w:tcPr>
            <w:tcW w:w="661" w:type="pct"/>
            <w:noWrap/>
          </w:tcPr>
          <w:p w14:paraId="77FB2117" w14:textId="41D0B136" w:rsidR="00125923" w:rsidRPr="000973F2" w:rsidRDefault="00125923" w:rsidP="00125923">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p>
        </w:tc>
        <w:tc>
          <w:tcPr>
            <w:tcW w:w="661" w:type="pct"/>
            <w:noWrap/>
            <w:hideMark/>
          </w:tcPr>
          <w:p w14:paraId="783164EA" w14:textId="264BC137" w:rsidR="00125923" w:rsidRPr="000973F2" w:rsidRDefault="00125923" w:rsidP="00125923">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w:t>
            </w:r>
          </w:p>
        </w:tc>
        <w:tc>
          <w:tcPr>
            <w:tcW w:w="658" w:type="pct"/>
            <w:noWrap/>
            <w:hideMark/>
          </w:tcPr>
          <w:p w14:paraId="19F96510" w14:textId="0C660572" w:rsidR="00125923" w:rsidRPr="000973F2" w:rsidRDefault="00125923" w:rsidP="00125923">
            <w:pPr>
              <w:tabs>
                <w:tab w:val="decimal" w:pos="668"/>
              </w:tabs>
              <w:spacing w:before="40" w:after="4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w:t>
            </w:r>
          </w:p>
        </w:tc>
        <w:tc>
          <w:tcPr>
            <w:tcW w:w="702" w:type="pct"/>
            <w:noWrap/>
            <w:hideMark/>
          </w:tcPr>
          <w:p w14:paraId="0FA6DAA0" w14:textId="75C51363" w:rsidR="00125923" w:rsidRPr="000973F2" w:rsidRDefault="00125923" w:rsidP="00125923">
            <w:pPr>
              <w:tabs>
                <w:tab w:val="decimal" w:pos="668"/>
              </w:tabs>
              <w:spacing w:before="40" w:after="4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w:t>
            </w:r>
          </w:p>
        </w:tc>
        <w:tc>
          <w:tcPr>
            <w:tcW w:w="699" w:type="pct"/>
            <w:noWrap/>
            <w:hideMark/>
          </w:tcPr>
          <w:p w14:paraId="0F1DEE5D" w14:textId="3A944256" w:rsidR="00125923" w:rsidRPr="000973F2" w:rsidRDefault="00125923" w:rsidP="00125923">
            <w:pPr>
              <w:tabs>
                <w:tab w:val="decimal" w:pos="668"/>
              </w:tabs>
              <w:spacing w:before="40" w:after="4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w:t>
            </w:r>
          </w:p>
        </w:tc>
      </w:tr>
      <w:tr w:rsidR="00125923" w:rsidRPr="000973F2" w14:paraId="46264F2D" w14:textId="77777777" w:rsidTr="00125923">
        <w:trPr>
          <w:trHeight w:val="298"/>
        </w:trPr>
        <w:tc>
          <w:tcPr>
            <w:cnfStyle w:val="001000000000" w:firstRow="0" w:lastRow="0" w:firstColumn="1" w:lastColumn="0" w:oddVBand="0" w:evenVBand="0" w:oddHBand="0" w:evenHBand="0" w:firstRowFirstColumn="0" w:firstRowLastColumn="0" w:lastRowFirstColumn="0" w:lastRowLastColumn="0"/>
            <w:tcW w:w="958" w:type="pct"/>
            <w:tcMar>
              <w:left w:w="115" w:type="dxa"/>
              <w:right w:w="14" w:type="dxa"/>
            </w:tcMar>
            <w:hideMark/>
          </w:tcPr>
          <w:p w14:paraId="74734B3F" w14:textId="77777777" w:rsidR="00125923" w:rsidRPr="000973F2" w:rsidRDefault="00125923" w:rsidP="00125923">
            <w:pPr>
              <w:spacing w:before="40" w:after="4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Recordkeeping</w:t>
            </w:r>
          </w:p>
        </w:tc>
        <w:tc>
          <w:tcPr>
            <w:tcW w:w="661" w:type="pct"/>
            <w:noWrap/>
            <w:hideMark/>
          </w:tcPr>
          <w:p w14:paraId="061AA18F" w14:textId="5629F1B7" w:rsidR="00125923" w:rsidRPr="000973F2" w:rsidRDefault="00125923" w:rsidP="00125923">
            <w:pPr>
              <w:spacing w:before="40" w:after="4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w:t>
            </w:r>
          </w:p>
        </w:tc>
        <w:tc>
          <w:tcPr>
            <w:tcW w:w="661" w:type="pct"/>
            <w:noWrap/>
          </w:tcPr>
          <w:p w14:paraId="46B48D31" w14:textId="7E2B3ADB" w:rsidR="00125923" w:rsidRPr="000973F2" w:rsidRDefault="00125923" w:rsidP="00125923">
            <w:pPr>
              <w:spacing w:before="40" w:after="4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p>
        </w:tc>
        <w:tc>
          <w:tcPr>
            <w:tcW w:w="661" w:type="pct"/>
            <w:noWrap/>
            <w:hideMark/>
          </w:tcPr>
          <w:p w14:paraId="17996B04" w14:textId="29E5ECB7" w:rsidR="00125923" w:rsidRPr="000973F2" w:rsidRDefault="00125923" w:rsidP="00125923">
            <w:pPr>
              <w:spacing w:before="40" w:after="4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w:t>
            </w:r>
          </w:p>
        </w:tc>
        <w:tc>
          <w:tcPr>
            <w:tcW w:w="658" w:type="pct"/>
            <w:noWrap/>
            <w:hideMark/>
          </w:tcPr>
          <w:p w14:paraId="73AB469A" w14:textId="2BF4F48F" w:rsidR="00125923" w:rsidRPr="000973F2" w:rsidRDefault="00125923" w:rsidP="00125923">
            <w:pPr>
              <w:tabs>
                <w:tab w:val="decimal" w:pos="668"/>
              </w:tabs>
              <w:spacing w:before="40" w:after="4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w:t>
            </w:r>
          </w:p>
        </w:tc>
        <w:tc>
          <w:tcPr>
            <w:tcW w:w="702" w:type="pct"/>
            <w:noWrap/>
            <w:hideMark/>
          </w:tcPr>
          <w:p w14:paraId="0CC06D19" w14:textId="74F8A50D" w:rsidR="00125923" w:rsidRPr="000973F2" w:rsidRDefault="00125923" w:rsidP="00125923">
            <w:pPr>
              <w:tabs>
                <w:tab w:val="decimal" w:pos="668"/>
              </w:tabs>
              <w:spacing w:before="40" w:after="4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w:t>
            </w:r>
          </w:p>
        </w:tc>
        <w:tc>
          <w:tcPr>
            <w:tcW w:w="699" w:type="pct"/>
            <w:noWrap/>
            <w:hideMark/>
          </w:tcPr>
          <w:p w14:paraId="4D2601F7" w14:textId="2913C99C" w:rsidR="00125923" w:rsidRPr="000973F2" w:rsidRDefault="00125923" w:rsidP="00125923">
            <w:pPr>
              <w:tabs>
                <w:tab w:val="decimal" w:pos="668"/>
              </w:tabs>
              <w:spacing w:before="40" w:after="4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w:t>
            </w:r>
          </w:p>
        </w:tc>
      </w:tr>
      <w:tr w:rsidR="00125923" w:rsidRPr="000973F2" w14:paraId="040DA4A7" w14:textId="77777777" w:rsidTr="00125923">
        <w:trPr>
          <w:cnfStyle w:val="000000100000" w:firstRow="0" w:lastRow="0" w:firstColumn="0" w:lastColumn="0" w:oddVBand="0" w:evenVBand="0" w:oddHBand="1" w:evenHBand="0" w:firstRowFirstColumn="0" w:firstRowLastColumn="0" w:lastRowFirstColumn="0" w:lastRowLastColumn="0"/>
          <w:trHeight w:val="298"/>
        </w:trPr>
        <w:tc>
          <w:tcPr>
            <w:cnfStyle w:val="001000000000" w:firstRow="0" w:lastRow="0" w:firstColumn="1" w:lastColumn="0" w:oddVBand="0" w:evenVBand="0" w:oddHBand="0" w:evenHBand="0" w:firstRowFirstColumn="0" w:firstRowLastColumn="0" w:lastRowFirstColumn="0" w:lastRowLastColumn="0"/>
            <w:tcW w:w="958" w:type="pct"/>
            <w:tcMar>
              <w:left w:w="115" w:type="dxa"/>
              <w:right w:w="14" w:type="dxa"/>
            </w:tcMar>
            <w:hideMark/>
          </w:tcPr>
          <w:p w14:paraId="46B84125" w14:textId="77777777" w:rsidR="00125923" w:rsidRPr="000973F2" w:rsidRDefault="00125923" w:rsidP="00125923">
            <w:pPr>
              <w:spacing w:before="40" w:after="4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Travel</w:t>
            </w:r>
          </w:p>
        </w:tc>
        <w:tc>
          <w:tcPr>
            <w:tcW w:w="661" w:type="pct"/>
            <w:noWrap/>
            <w:hideMark/>
          </w:tcPr>
          <w:p w14:paraId="25A81371" w14:textId="526D3D96" w:rsidR="00125923" w:rsidRPr="000973F2" w:rsidRDefault="00125923" w:rsidP="00125923">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w:t>
            </w:r>
          </w:p>
        </w:tc>
        <w:tc>
          <w:tcPr>
            <w:tcW w:w="661" w:type="pct"/>
            <w:noWrap/>
          </w:tcPr>
          <w:p w14:paraId="3BFE9837" w14:textId="5B7DE662" w:rsidR="00125923" w:rsidRPr="000973F2" w:rsidRDefault="00125923" w:rsidP="00125923">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p>
        </w:tc>
        <w:tc>
          <w:tcPr>
            <w:tcW w:w="661" w:type="pct"/>
            <w:noWrap/>
            <w:hideMark/>
          </w:tcPr>
          <w:p w14:paraId="3122385E" w14:textId="703F687D" w:rsidR="00125923" w:rsidRPr="000973F2" w:rsidRDefault="00125923" w:rsidP="00125923">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w:t>
            </w:r>
          </w:p>
        </w:tc>
        <w:tc>
          <w:tcPr>
            <w:tcW w:w="658" w:type="pct"/>
            <w:noWrap/>
            <w:hideMark/>
          </w:tcPr>
          <w:p w14:paraId="08D94572" w14:textId="3451778B" w:rsidR="00125923" w:rsidRPr="000973F2" w:rsidRDefault="00125923" w:rsidP="00125923">
            <w:pPr>
              <w:tabs>
                <w:tab w:val="decimal" w:pos="668"/>
              </w:tabs>
              <w:spacing w:before="40" w:after="4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w:t>
            </w:r>
          </w:p>
        </w:tc>
        <w:tc>
          <w:tcPr>
            <w:tcW w:w="702" w:type="pct"/>
            <w:noWrap/>
            <w:hideMark/>
          </w:tcPr>
          <w:p w14:paraId="1249CAFB" w14:textId="2A801104" w:rsidR="00125923" w:rsidRPr="000973F2" w:rsidRDefault="00125923" w:rsidP="00125923">
            <w:pPr>
              <w:tabs>
                <w:tab w:val="decimal" w:pos="668"/>
              </w:tabs>
              <w:spacing w:before="40" w:after="4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w:t>
            </w:r>
          </w:p>
        </w:tc>
        <w:tc>
          <w:tcPr>
            <w:tcW w:w="699" w:type="pct"/>
            <w:noWrap/>
            <w:hideMark/>
          </w:tcPr>
          <w:p w14:paraId="33FCCB3D" w14:textId="0763B7B7" w:rsidR="00125923" w:rsidRPr="000973F2" w:rsidRDefault="00125923" w:rsidP="00125923">
            <w:pPr>
              <w:tabs>
                <w:tab w:val="decimal" w:pos="668"/>
              </w:tabs>
              <w:spacing w:before="40" w:after="4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w:t>
            </w:r>
          </w:p>
        </w:tc>
      </w:tr>
      <w:tr w:rsidR="005A77CE" w:rsidRPr="000973F2" w14:paraId="5936E521" w14:textId="77777777" w:rsidTr="00125923">
        <w:trPr>
          <w:trHeight w:val="298"/>
        </w:trPr>
        <w:tc>
          <w:tcPr>
            <w:cnfStyle w:val="001000000000" w:firstRow="0" w:lastRow="0" w:firstColumn="1" w:lastColumn="0" w:oddVBand="0" w:evenVBand="0" w:oddHBand="0" w:evenHBand="0" w:firstRowFirstColumn="0" w:firstRowLastColumn="0" w:lastRowFirstColumn="0" w:lastRowLastColumn="0"/>
            <w:tcW w:w="958" w:type="pct"/>
            <w:tcMar>
              <w:left w:w="115" w:type="dxa"/>
              <w:right w:w="14" w:type="dxa"/>
            </w:tcMar>
            <w:hideMark/>
          </w:tcPr>
          <w:p w14:paraId="1A7244B5" w14:textId="77777777" w:rsidR="0001781A" w:rsidRPr="000973F2" w:rsidRDefault="0001781A" w:rsidP="0017349F">
            <w:pPr>
              <w:spacing w:before="40" w:after="4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Sampling and Analysis Costs</w:t>
            </w:r>
          </w:p>
        </w:tc>
        <w:tc>
          <w:tcPr>
            <w:tcW w:w="661" w:type="pct"/>
            <w:noWrap/>
            <w:hideMark/>
          </w:tcPr>
          <w:p w14:paraId="2CC28369" w14:textId="66E523D6" w:rsidR="0001781A" w:rsidRPr="000973F2" w:rsidRDefault="00125923" w:rsidP="0017349F">
            <w:pPr>
              <w:spacing w:before="40" w:after="4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$0</w:t>
            </w:r>
          </w:p>
        </w:tc>
        <w:tc>
          <w:tcPr>
            <w:tcW w:w="661" w:type="pct"/>
            <w:noWrap/>
          </w:tcPr>
          <w:p w14:paraId="3D381AB4" w14:textId="446C7E66" w:rsidR="0001781A" w:rsidRPr="000973F2" w:rsidRDefault="0001781A" w:rsidP="0017349F">
            <w:pPr>
              <w:spacing w:before="40" w:after="4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p>
        </w:tc>
        <w:tc>
          <w:tcPr>
            <w:tcW w:w="661" w:type="pct"/>
            <w:noWrap/>
            <w:hideMark/>
          </w:tcPr>
          <w:p w14:paraId="2C6530C7" w14:textId="38049511" w:rsidR="0001781A" w:rsidRPr="000973F2" w:rsidRDefault="00125923" w:rsidP="0017349F">
            <w:pPr>
              <w:spacing w:before="40" w:after="4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$0</w:t>
            </w:r>
          </w:p>
        </w:tc>
        <w:tc>
          <w:tcPr>
            <w:tcW w:w="658" w:type="pct"/>
            <w:noWrap/>
            <w:hideMark/>
          </w:tcPr>
          <w:p w14:paraId="410CFD69" w14:textId="77777777" w:rsidR="0001781A" w:rsidRPr="000973F2" w:rsidRDefault="0001781A" w:rsidP="0017349F">
            <w:pPr>
              <w:tabs>
                <w:tab w:val="decimal" w:pos="668"/>
              </w:tabs>
              <w:spacing w:before="40" w:after="4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$942</w:t>
            </w:r>
          </w:p>
        </w:tc>
        <w:tc>
          <w:tcPr>
            <w:tcW w:w="702" w:type="pct"/>
            <w:noWrap/>
            <w:hideMark/>
          </w:tcPr>
          <w:p w14:paraId="2A628B0C" w14:textId="77777777" w:rsidR="0001781A" w:rsidRPr="000973F2" w:rsidRDefault="0001781A" w:rsidP="0017349F">
            <w:pPr>
              <w:tabs>
                <w:tab w:val="decimal" w:pos="668"/>
              </w:tabs>
              <w:spacing w:before="40" w:after="4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$942</w:t>
            </w:r>
          </w:p>
        </w:tc>
        <w:tc>
          <w:tcPr>
            <w:tcW w:w="699" w:type="pct"/>
            <w:noWrap/>
            <w:hideMark/>
          </w:tcPr>
          <w:p w14:paraId="217D2666" w14:textId="77777777" w:rsidR="0001781A" w:rsidRPr="000973F2" w:rsidRDefault="0001781A" w:rsidP="0017349F">
            <w:pPr>
              <w:tabs>
                <w:tab w:val="decimal" w:pos="668"/>
              </w:tabs>
              <w:spacing w:before="40" w:after="4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$942</w:t>
            </w:r>
          </w:p>
        </w:tc>
      </w:tr>
      <w:tr w:rsidR="0017349F" w:rsidRPr="000973F2" w14:paraId="6E7D8E2F" w14:textId="77777777" w:rsidTr="00125923">
        <w:trPr>
          <w:cnfStyle w:val="000000100000" w:firstRow="0" w:lastRow="0" w:firstColumn="0" w:lastColumn="0" w:oddVBand="0" w:evenVBand="0" w:oddHBand="1" w:evenHBand="0" w:firstRowFirstColumn="0" w:firstRowLastColumn="0" w:lastRowFirstColumn="0" w:lastRowLastColumn="0"/>
          <w:trHeight w:val="283"/>
        </w:trPr>
        <w:tc>
          <w:tcPr>
            <w:cnfStyle w:val="001000000000" w:firstRow="0" w:lastRow="0" w:firstColumn="1" w:lastColumn="0" w:oddVBand="0" w:evenVBand="0" w:oddHBand="0" w:evenHBand="0" w:firstRowFirstColumn="0" w:firstRowLastColumn="0" w:lastRowFirstColumn="0" w:lastRowLastColumn="0"/>
            <w:tcW w:w="958" w:type="pct"/>
            <w:tcMar>
              <w:left w:w="115" w:type="dxa"/>
              <w:right w:w="14" w:type="dxa"/>
            </w:tcMar>
            <w:hideMark/>
          </w:tcPr>
          <w:p w14:paraId="2A01072B" w14:textId="77777777" w:rsidR="0001781A" w:rsidRPr="000973F2" w:rsidRDefault="0001781A" w:rsidP="0017349F">
            <w:pPr>
              <w:spacing w:before="40" w:after="40"/>
              <w:rPr>
                <w:rFonts w:ascii="Times New Roman" w:eastAsia="Times New Roman" w:hAnsi="Times New Roman" w:cs="Times New Roman"/>
                <w:b/>
                <w:bCs w:val="0"/>
                <w:sz w:val="18"/>
                <w:szCs w:val="18"/>
              </w:rPr>
            </w:pPr>
            <w:r w:rsidRPr="000973F2">
              <w:rPr>
                <w:rFonts w:ascii="Times New Roman" w:eastAsia="Times New Roman" w:hAnsi="Times New Roman" w:cs="Times New Roman"/>
                <w:b/>
                <w:sz w:val="18"/>
                <w:szCs w:val="18"/>
              </w:rPr>
              <w:t xml:space="preserve">Total </w:t>
            </w:r>
          </w:p>
        </w:tc>
        <w:tc>
          <w:tcPr>
            <w:tcW w:w="661" w:type="pct"/>
            <w:noWrap/>
            <w:hideMark/>
          </w:tcPr>
          <w:p w14:paraId="047CD0D8" w14:textId="77777777" w:rsidR="0001781A" w:rsidRPr="000973F2" w:rsidRDefault="0001781A" w:rsidP="0017349F">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$0</w:t>
            </w:r>
          </w:p>
        </w:tc>
        <w:tc>
          <w:tcPr>
            <w:tcW w:w="661" w:type="pct"/>
            <w:noWrap/>
          </w:tcPr>
          <w:p w14:paraId="4364A83D" w14:textId="1139E2AE" w:rsidR="0001781A" w:rsidRPr="000973F2" w:rsidRDefault="0001781A" w:rsidP="0017349F">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p>
        </w:tc>
        <w:tc>
          <w:tcPr>
            <w:tcW w:w="661" w:type="pct"/>
            <w:noWrap/>
            <w:hideMark/>
          </w:tcPr>
          <w:p w14:paraId="079707BA" w14:textId="77777777" w:rsidR="0001781A" w:rsidRPr="000973F2" w:rsidRDefault="0001781A" w:rsidP="0017349F">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$0</w:t>
            </w:r>
          </w:p>
        </w:tc>
        <w:tc>
          <w:tcPr>
            <w:tcW w:w="658" w:type="pct"/>
            <w:noWrap/>
            <w:hideMark/>
          </w:tcPr>
          <w:p w14:paraId="48101CB2" w14:textId="77777777" w:rsidR="0001781A" w:rsidRPr="000973F2" w:rsidRDefault="0001781A" w:rsidP="0017349F">
            <w:pPr>
              <w:tabs>
                <w:tab w:val="decimal" w:pos="668"/>
              </w:tabs>
              <w:spacing w:before="40" w:after="4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$942</w:t>
            </w:r>
          </w:p>
        </w:tc>
        <w:tc>
          <w:tcPr>
            <w:tcW w:w="702" w:type="pct"/>
            <w:noWrap/>
            <w:hideMark/>
          </w:tcPr>
          <w:p w14:paraId="2D29C65C" w14:textId="77777777" w:rsidR="0001781A" w:rsidRPr="000973F2" w:rsidRDefault="0001781A" w:rsidP="0017349F">
            <w:pPr>
              <w:tabs>
                <w:tab w:val="decimal" w:pos="668"/>
              </w:tabs>
              <w:spacing w:before="40" w:after="4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$942</w:t>
            </w:r>
          </w:p>
        </w:tc>
        <w:tc>
          <w:tcPr>
            <w:tcW w:w="699" w:type="pct"/>
            <w:noWrap/>
            <w:hideMark/>
          </w:tcPr>
          <w:p w14:paraId="36AB8E44" w14:textId="77777777" w:rsidR="0001781A" w:rsidRPr="000973F2" w:rsidRDefault="0001781A" w:rsidP="0017349F">
            <w:pPr>
              <w:tabs>
                <w:tab w:val="decimal" w:pos="668"/>
              </w:tabs>
              <w:spacing w:before="40" w:after="4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$942</w:t>
            </w:r>
          </w:p>
        </w:tc>
      </w:tr>
    </w:tbl>
    <w:p w14:paraId="4B4FE1DF" w14:textId="77777777" w:rsidR="0001781A" w:rsidRPr="000973F2" w:rsidRDefault="0001781A" w:rsidP="00C00E4F">
      <w:pPr>
        <w:pStyle w:val="AfterTable"/>
      </w:pPr>
    </w:p>
    <w:p w14:paraId="52991482" w14:textId="71E9E85E" w:rsidR="0001781A" w:rsidRPr="000973F2" w:rsidRDefault="0001781A" w:rsidP="00C00E4F">
      <w:pPr>
        <w:rPr>
          <w:i/>
        </w:rPr>
      </w:pPr>
      <w:r w:rsidRPr="000973F2">
        <w:rPr>
          <w:rFonts w:ascii="Times New Roman" w:hAnsi="Times New Roman" w:cs="Times New Roman"/>
          <w:i/>
        </w:rPr>
        <w:t>Subpart C with at least one additional subpart</w:t>
      </w:r>
    </w:p>
    <w:tbl>
      <w:tblPr>
        <w:tblStyle w:val="PlainTable1"/>
        <w:tblW w:w="5024" w:type="pct"/>
        <w:jc w:val="left"/>
        <w:tblLook w:val="04A0" w:firstRow="1" w:lastRow="0" w:firstColumn="1" w:lastColumn="0" w:noHBand="0" w:noVBand="1"/>
      </w:tblPr>
      <w:tblGrid>
        <w:gridCol w:w="1826"/>
        <w:gridCol w:w="1270"/>
        <w:gridCol w:w="1270"/>
        <w:gridCol w:w="1270"/>
        <w:gridCol w:w="1276"/>
        <w:gridCol w:w="1355"/>
        <w:gridCol w:w="1355"/>
      </w:tblGrid>
      <w:tr w:rsidR="0001781A" w:rsidRPr="000973F2" w14:paraId="29AF028E" w14:textId="77777777" w:rsidTr="00125923">
        <w:trPr>
          <w:cnfStyle w:val="100000000000" w:firstRow="1" w:lastRow="0" w:firstColumn="0" w:lastColumn="0" w:oddVBand="0" w:evenVBand="0" w:oddHBand="0" w:evenHBand="0" w:firstRowFirstColumn="0" w:firstRowLastColumn="0" w:lastRowFirstColumn="0" w:lastRowLastColumn="0"/>
          <w:trHeight w:val="555"/>
          <w:jc w:val="left"/>
        </w:trPr>
        <w:tc>
          <w:tcPr>
            <w:cnfStyle w:val="001000000000" w:firstRow="0" w:lastRow="0" w:firstColumn="1" w:lastColumn="0" w:oddVBand="0" w:evenVBand="0" w:oddHBand="0" w:evenHBand="0" w:firstRowFirstColumn="0" w:firstRowLastColumn="0" w:lastRowFirstColumn="0" w:lastRowLastColumn="0"/>
            <w:tcW w:w="949" w:type="pct"/>
            <w:vMerge w:val="restart"/>
            <w:noWrap/>
            <w:vAlign w:val="top"/>
            <w:hideMark/>
          </w:tcPr>
          <w:p w14:paraId="55B499AA" w14:textId="77777777" w:rsidR="0001781A" w:rsidRPr="000973F2" w:rsidRDefault="0001781A" w:rsidP="00D14A29">
            <w:pPr>
              <w:spacing w:before="40" w:after="40"/>
              <w:rPr>
                <w:rFonts w:ascii="Times New Roman" w:eastAsia="Times New Roman" w:hAnsi="Times New Roman" w:cs="Times New Roman"/>
                <w:b w:val="0"/>
                <w:bCs w:val="0"/>
                <w:sz w:val="18"/>
                <w:szCs w:val="18"/>
              </w:rPr>
            </w:pPr>
            <w:r w:rsidRPr="000973F2">
              <w:rPr>
                <w:rFonts w:ascii="Times New Roman" w:eastAsia="Times New Roman" w:hAnsi="Times New Roman" w:cs="Times New Roman"/>
                <w:sz w:val="18"/>
                <w:szCs w:val="18"/>
              </w:rPr>
              <w:t>Activity</w:t>
            </w:r>
          </w:p>
        </w:tc>
        <w:tc>
          <w:tcPr>
            <w:tcW w:w="2643" w:type="pct"/>
            <w:gridSpan w:val="4"/>
            <w:noWrap/>
            <w:vAlign w:val="top"/>
            <w:hideMark/>
          </w:tcPr>
          <w:p w14:paraId="0C77F1D1" w14:textId="77777777" w:rsidR="0001781A" w:rsidRPr="000973F2" w:rsidRDefault="0001781A" w:rsidP="00D14A29">
            <w:pPr>
              <w:spacing w:before="40" w:after="40"/>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bCs w:val="0"/>
                <w:sz w:val="18"/>
                <w:szCs w:val="18"/>
              </w:rPr>
            </w:pPr>
            <w:r w:rsidRPr="000973F2">
              <w:rPr>
                <w:rFonts w:ascii="Times New Roman" w:eastAsia="Times New Roman" w:hAnsi="Times New Roman" w:cs="Times New Roman"/>
                <w:sz w:val="18"/>
                <w:szCs w:val="18"/>
              </w:rPr>
              <w:t>Cost Categories</w:t>
            </w:r>
          </w:p>
        </w:tc>
        <w:tc>
          <w:tcPr>
            <w:tcW w:w="1408" w:type="pct"/>
            <w:gridSpan w:val="2"/>
            <w:vAlign w:val="top"/>
            <w:hideMark/>
          </w:tcPr>
          <w:p w14:paraId="70849758" w14:textId="77777777" w:rsidR="0001781A" w:rsidRPr="000973F2" w:rsidRDefault="0001781A" w:rsidP="00D14A29">
            <w:pPr>
              <w:spacing w:before="40" w:after="40"/>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bCs w:val="0"/>
                <w:sz w:val="18"/>
                <w:szCs w:val="18"/>
              </w:rPr>
            </w:pPr>
            <w:r w:rsidRPr="000973F2">
              <w:rPr>
                <w:rFonts w:ascii="Times New Roman" w:eastAsia="Times New Roman" w:hAnsi="Times New Roman" w:cs="Times New Roman"/>
                <w:sz w:val="18"/>
                <w:szCs w:val="18"/>
              </w:rPr>
              <w:t>Total Capital and O&amp;M Cost per Year per Facility (2017$)</w:t>
            </w:r>
          </w:p>
        </w:tc>
      </w:tr>
      <w:tr w:rsidR="0007063A" w:rsidRPr="000973F2" w14:paraId="21BF87DE" w14:textId="77777777" w:rsidTr="00125923">
        <w:trPr>
          <w:cnfStyle w:val="000000100000" w:firstRow="0" w:lastRow="0" w:firstColumn="0" w:lastColumn="0" w:oddVBand="0" w:evenVBand="0" w:oddHBand="1" w:evenHBand="0" w:firstRowFirstColumn="0" w:firstRowLastColumn="0" w:lastRowFirstColumn="0" w:lastRowLastColumn="0"/>
          <w:trHeight w:val="585"/>
        </w:trPr>
        <w:tc>
          <w:tcPr>
            <w:cnfStyle w:val="001000000000" w:firstRow="0" w:lastRow="0" w:firstColumn="1" w:lastColumn="0" w:oddVBand="0" w:evenVBand="0" w:oddHBand="0" w:evenHBand="0" w:firstRowFirstColumn="0" w:firstRowLastColumn="0" w:lastRowFirstColumn="0" w:lastRowLastColumn="0"/>
            <w:tcW w:w="949" w:type="pct"/>
            <w:vMerge/>
            <w:hideMark/>
          </w:tcPr>
          <w:p w14:paraId="3A01D788" w14:textId="77777777" w:rsidR="0001781A" w:rsidRPr="000973F2" w:rsidRDefault="0001781A" w:rsidP="00D14A29">
            <w:pPr>
              <w:spacing w:before="40" w:after="40"/>
              <w:rPr>
                <w:rFonts w:ascii="Times New Roman" w:eastAsia="Times New Roman" w:hAnsi="Times New Roman" w:cs="Times New Roman"/>
                <w:b/>
                <w:bCs w:val="0"/>
                <w:sz w:val="18"/>
                <w:szCs w:val="18"/>
              </w:rPr>
            </w:pPr>
          </w:p>
        </w:tc>
        <w:tc>
          <w:tcPr>
            <w:tcW w:w="660" w:type="pct"/>
            <w:hideMark/>
          </w:tcPr>
          <w:p w14:paraId="73B63CFE" w14:textId="77777777" w:rsidR="0001781A" w:rsidRPr="000973F2" w:rsidRDefault="0001781A" w:rsidP="00D14A29">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18"/>
                <w:szCs w:val="18"/>
              </w:rPr>
            </w:pPr>
            <w:r w:rsidRPr="000973F2">
              <w:rPr>
                <w:rFonts w:ascii="Times New Roman" w:eastAsia="Times New Roman" w:hAnsi="Times New Roman" w:cs="Times New Roman"/>
                <w:b/>
                <w:bCs/>
                <w:sz w:val="18"/>
                <w:szCs w:val="18"/>
              </w:rPr>
              <w:t>Capital Cost ($)</w:t>
            </w:r>
          </w:p>
        </w:tc>
        <w:tc>
          <w:tcPr>
            <w:tcW w:w="660" w:type="pct"/>
            <w:hideMark/>
          </w:tcPr>
          <w:p w14:paraId="314ECC25" w14:textId="77777777" w:rsidR="0001781A" w:rsidRPr="000973F2" w:rsidRDefault="0001781A" w:rsidP="00D14A29">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18"/>
                <w:szCs w:val="18"/>
              </w:rPr>
            </w:pPr>
            <w:r w:rsidRPr="000973F2">
              <w:rPr>
                <w:rFonts w:ascii="Times New Roman" w:eastAsia="Times New Roman" w:hAnsi="Times New Roman" w:cs="Times New Roman"/>
                <w:b/>
                <w:bCs/>
                <w:sz w:val="18"/>
                <w:szCs w:val="18"/>
              </w:rPr>
              <w:t>Equipment Lifetime</w:t>
            </w:r>
          </w:p>
        </w:tc>
        <w:tc>
          <w:tcPr>
            <w:tcW w:w="660" w:type="pct"/>
            <w:hideMark/>
          </w:tcPr>
          <w:p w14:paraId="36FA6243" w14:textId="77777777" w:rsidR="0001781A" w:rsidRPr="000973F2" w:rsidRDefault="0001781A" w:rsidP="00D14A29">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18"/>
                <w:szCs w:val="18"/>
              </w:rPr>
            </w:pPr>
            <w:r w:rsidRPr="000973F2">
              <w:rPr>
                <w:rFonts w:ascii="Times New Roman" w:eastAsia="Times New Roman" w:hAnsi="Times New Roman" w:cs="Times New Roman"/>
                <w:b/>
                <w:bCs/>
                <w:sz w:val="18"/>
                <w:szCs w:val="18"/>
              </w:rPr>
              <w:t>Annualized Capital Cost ($/year)</w:t>
            </w:r>
          </w:p>
        </w:tc>
        <w:tc>
          <w:tcPr>
            <w:tcW w:w="662" w:type="pct"/>
            <w:hideMark/>
          </w:tcPr>
          <w:p w14:paraId="3E986E5F" w14:textId="77777777" w:rsidR="0001781A" w:rsidRPr="000973F2" w:rsidRDefault="0001781A" w:rsidP="00D14A29">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18"/>
                <w:szCs w:val="18"/>
              </w:rPr>
            </w:pPr>
            <w:r w:rsidRPr="000973F2">
              <w:rPr>
                <w:rFonts w:ascii="Times New Roman" w:eastAsia="Times New Roman" w:hAnsi="Times New Roman" w:cs="Times New Roman"/>
                <w:b/>
                <w:bCs/>
                <w:sz w:val="18"/>
                <w:szCs w:val="18"/>
              </w:rPr>
              <w:t>O&amp;M Costs ($/year)</w:t>
            </w:r>
          </w:p>
        </w:tc>
        <w:tc>
          <w:tcPr>
            <w:tcW w:w="704" w:type="pct"/>
            <w:hideMark/>
          </w:tcPr>
          <w:p w14:paraId="78CEF7AB" w14:textId="77777777" w:rsidR="0001781A" w:rsidRPr="000973F2" w:rsidRDefault="0001781A" w:rsidP="00D14A29">
            <w:pPr>
              <w:tabs>
                <w:tab w:val="decimal" w:pos="784"/>
              </w:tabs>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18"/>
                <w:szCs w:val="18"/>
              </w:rPr>
            </w:pPr>
            <w:r w:rsidRPr="000973F2">
              <w:rPr>
                <w:rFonts w:ascii="Times New Roman" w:eastAsia="Times New Roman" w:hAnsi="Times New Roman" w:cs="Times New Roman"/>
                <w:b/>
                <w:bCs/>
                <w:sz w:val="18"/>
                <w:szCs w:val="18"/>
              </w:rPr>
              <w:t>Initial Year</w:t>
            </w:r>
          </w:p>
        </w:tc>
        <w:tc>
          <w:tcPr>
            <w:tcW w:w="704" w:type="pct"/>
            <w:hideMark/>
          </w:tcPr>
          <w:p w14:paraId="37004E10" w14:textId="77777777" w:rsidR="0001781A" w:rsidRPr="000973F2" w:rsidRDefault="0001781A" w:rsidP="00D14A29">
            <w:pPr>
              <w:tabs>
                <w:tab w:val="decimal" w:pos="784"/>
              </w:tabs>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18"/>
                <w:szCs w:val="18"/>
              </w:rPr>
            </w:pPr>
            <w:r w:rsidRPr="000973F2">
              <w:rPr>
                <w:rFonts w:ascii="Times New Roman" w:eastAsia="Times New Roman" w:hAnsi="Times New Roman" w:cs="Times New Roman"/>
                <w:b/>
                <w:bCs/>
                <w:sz w:val="18"/>
                <w:szCs w:val="18"/>
              </w:rPr>
              <w:t>Subseq. Years</w:t>
            </w:r>
          </w:p>
        </w:tc>
      </w:tr>
      <w:tr w:rsidR="00125923" w:rsidRPr="000973F2" w14:paraId="0E62EFEF" w14:textId="77777777" w:rsidTr="00125923">
        <w:trPr>
          <w:trHeight w:val="221"/>
        </w:trPr>
        <w:tc>
          <w:tcPr>
            <w:cnfStyle w:val="001000000000" w:firstRow="0" w:lastRow="0" w:firstColumn="1" w:lastColumn="0" w:oddVBand="0" w:evenVBand="0" w:oddHBand="0" w:evenHBand="0" w:firstRowFirstColumn="0" w:firstRowLastColumn="0" w:lastRowFirstColumn="0" w:lastRowLastColumn="0"/>
            <w:tcW w:w="949" w:type="pct"/>
            <w:tcMar>
              <w:left w:w="115" w:type="dxa"/>
              <w:right w:w="14" w:type="dxa"/>
            </w:tcMar>
            <w:hideMark/>
          </w:tcPr>
          <w:p w14:paraId="4BCC1123" w14:textId="77777777" w:rsidR="00125923" w:rsidRPr="000973F2" w:rsidRDefault="00125923" w:rsidP="00125923">
            <w:pPr>
              <w:spacing w:before="40" w:after="4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Equipment (selection, purchase, installation)</w:t>
            </w:r>
          </w:p>
        </w:tc>
        <w:tc>
          <w:tcPr>
            <w:tcW w:w="660" w:type="pct"/>
            <w:noWrap/>
            <w:hideMark/>
          </w:tcPr>
          <w:p w14:paraId="6EBA3C1C" w14:textId="144DA4BA" w:rsidR="00125923" w:rsidRPr="000973F2" w:rsidRDefault="00125923" w:rsidP="00125923">
            <w:pPr>
              <w:spacing w:before="40" w:after="4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w:t>
            </w:r>
          </w:p>
        </w:tc>
        <w:tc>
          <w:tcPr>
            <w:tcW w:w="660" w:type="pct"/>
            <w:noWrap/>
          </w:tcPr>
          <w:p w14:paraId="79A0FA8D" w14:textId="393D0C4A" w:rsidR="00125923" w:rsidRPr="000973F2" w:rsidRDefault="00125923" w:rsidP="00125923">
            <w:pPr>
              <w:spacing w:before="40" w:after="4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p>
        </w:tc>
        <w:tc>
          <w:tcPr>
            <w:tcW w:w="660" w:type="pct"/>
            <w:noWrap/>
            <w:hideMark/>
          </w:tcPr>
          <w:p w14:paraId="2FB8E125" w14:textId="658D512C" w:rsidR="00125923" w:rsidRPr="000973F2" w:rsidRDefault="00125923" w:rsidP="00125923">
            <w:pPr>
              <w:spacing w:before="40" w:after="4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w:t>
            </w:r>
          </w:p>
        </w:tc>
        <w:tc>
          <w:tcPr>
            <w:tcW w:w="662" w:type="pct"/>
            <w:noWrap/>
            <w:hideMark/>
          </w:tcPr>
          <w:p w14:paraId="62A20DE6" w14:textId="588F7F1A" w:rsidR="00125923" w:rsidRPr="000973F2" w:rsidRDefault="00125923" w:rsidP="00125923">
            <w:pPr>
              <w:tabs>
                <w:tab w:val="decimal" w:pos="729"/>
              </w:tabs>
              <w:spacing w:before="40" w:after="4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w:t>
            </w:r>
          </w:p>
        </w:tc>
        <w:tc>
          <w:tcPr>
            <w:tcW w:w="704" w:type="pct"/>
            <w:noWrap/>
            <w:hideMark/>
          </w:tcPr>
          <w:p w14:paraId="7DFC1900" w14:textId="2F24F139" w:rsidR="00125923" w:rsidRPr="000973F2" w:rsidRDefault="00125923" w:rsidP="00125923">
            <w:pPr>
              <w:tabs>
                <w:tab w:val="decimal" w:pos="784"/>
              </w:tabs>
              <w:spacing w:before="40" w:after="4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w:t>
            </w:r>
          </w:p>
        </w:tc>
        <w:tc>
          <w:tcPr>
            <w:tcW w:w="704" w:type="pct"/>
            <w:noWrap/>
            <w:hideMark/>
          </w:tcPr>
          <w:p w14:paraId="4B581D25" w14:textId="37DE3755" w:rsidR="00125923" w:rsidRPr="000973F2" w:rsidRDefault="00125923" w:rsidP="00125923">
            <w:pPr>
              <w:tabs>
                <w:tab w:val="decimal" w:pos="784"/>
              </w:tabs>
              <w:spacing w:before="40" w:after="4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w:t>
            </w:r>
          </w:p>
        </w:tc>
      </w:tr>
      <w:tr w:rsidR="00125923" w:rsidRPr="000973F2" w14:paraId="0BE5D95B" w14:textId="77777777" w:rsidTr="00125923">
        <w:trPr>
          <w:cnfStyle w:val="000000100000" w:firstRow="0" w:lastRow="0" w:firstColumn="0" w:lastColumn="0" w:oddVBand="0" w:evenVBand="0" w:oddHBand="1" w:evenHBand="0" w:firstRowFirstColumn="0" w:firstRowLastColumn="0" w:lastRowFirstColumn="0" w:lastRowLastColumn="0"/>
          <w:trHeight w:val="293"/>
        </w:trPr>
        <w:tc>
          <w:tcPr>
            <w:cnfStyle w:val="001000000000" w:firstRow="0" w:lastRow="0" w:firstColumn="1" w:lastColumn="0" w:oddVBand="0" w:evenVBand="0" w:oddHBand="0" w:evenHBand="0" w:firstRowFirstColumn="0" w:firstRowLastColumn="0" w:lastRowFirstColumn="0" w:lastRowLastColumn="0"/>
            <w:tcW w:w="949" w:type="pct"/>
            <w:tcMar>
              <w:left w:w="115" w:type="dxa"/>
              <w:right w:w="14" w:type="dxa"/>
            </w:tcMar>
            <w:hideMark/>
          </w:tcPr>
          <w:p w14:paraId="049B4EFD" w14:textId="77777777" w:rsidR="00125923" w:rsidRPr="000973F2" w:rsidRDefault="00125923" w:rsidP="00125923">
            <w:pPr>
              <w:spacing w:before="40" w:after="4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Performance testing</w:t>
            </w:r>
          </w:p>
        </w:tc>
        <w:tc>
          <w:tcPr>
            <w:tcW w:w="660" w:type="pct"/>
            <w:noWrap/>
            <w:hideMark/>
          </w:tcPr>
          <w:p w14:paraId="5531E500" w14:textId="450A492C" w:rsidR="00125923" w:rsidRPr="000973F2" w:rsidRDefault="00125923" w:rsidP="00125923">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w:t>
            </w:r>
          </w:p>
        </w:tc>
        <w:tc>
          <w:tcPr>
            <w:tcW w:w="660" w:type="pct"/>
            <w:noWrap/>
          </w:tcPr>
          <w:p w14:paraId="762B0777" w14:textId="760D5064" w:rsidR="00125923" w:rsidRPr="000973F2" w:rsidRDefault="00125923" w:rsidP="00125923">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p>
        </w:tc>
        <w:tc>
          <w:tcPr>
            <w:tcW w:w="660" w:type="pct"/>
            <w:noWrap/>
            <w:hideMark/>
          </w:tcPr>
          <w:p w14:paraId="6BCA5198" w14:textId="27A7142D" w:rsidR="00125923" w:rsidRPr="000973F2" w:rsidRDefault="00125923" w:rsidP="00125923">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w:t>
            </w:r>
          </w:p>
        </w:tc>
        <w:tc>
          <w:tcPr>
            <w:tcW w:w="662" w:type="pct"/>
            <w:noWrap/>
            <w:hideMark/>
          </w:tcPr>
          <w:p w14:paraId="4BA92DAD" w14:textId="3DD81B99" w:rsidR="00125923" w:rsidRPr="000973F2" w:rsidRDefault="00125923" w:rsidP="00125923">
            <w:pPr>
              <w:tabs>
                <w:tab w:val="decimal" w:pos="729"/>
              </w:tabs>
              <w:spacing w:before="40" w:after="4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w:t>
            </w:r>
          </w:p>
        </w:tc>
        <w:tc>
          <w:tcPr>
            <w:tcW w:w="704" w:type="pct"/>
            <w:noWrap/>
            <w:hideMark/>
          </w:tcPr>
          <w:p w14:paraId="344A309F" w14:textId="35BAA6C8" w:rsidR="00125923" w:rsidRPr="000973F2" w:rsidRDefault="00125923" w:rsidP="00125923">
            <w:pPr>
              <w:tabs>
                <w:tab w:val="decimal" w:pos="784"/>
              </w:tabs>
              <w:spacing w:before="40" w:after="4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w:t>
            </w:r>
          </w:p>
        </w:tc>
        <w:tc>
          <w:tcPr>
            <w:tcW w:w="704" w:type="pct"/>
            <w:noWrap/>
            <w:hideMark/>
          </w:tcPr>
          <w:p w14:paraId="1D381762" w14:textId="2B5ED506" w:rsidR="00125923" w:rsidRPr="000973F2" w:rsidRDefault="00125923" w:rsidP="00125923">
            <w:pPr>
              <w:tabs>
                <w:tab w:val="decimal" w:pos="784"/>
              </w:tabs>
              <w:spacing w:before="40" w:after="4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w:t>
            </w:r>
          </w:p>
        </w:tc>
      </w:tr>
      <w:tr w:rsidR="00125923" w:rsidRPr="000973F2" w14:paraId="66F2ED69" w14:textId="77777777" w:rsidTr="00125923">
        <w:trPr>
          <w:trHeight w:val="293"/>
        </w:trPr>
        <w:tc>
          <w:tcPr>
            <w:cnfStyle w:val="001000000000" w:firstRow="0" w:lastRow="0" w:firstColumn="1" w:lastColumn="0" w:oddVBand="0" w:evenVBand="0" w:oddHBand="0" w:evenHBand="0" w:firstRowFirstColumn="0" w:firstRowLastColumn="0" w:lastRowFirstColumn="0" w:lastRowLastColumn="0"/>
            <w:tcW w:w="949" w:type="pct"/>
            <w:tcMar>
              <w:left w:w="115" w:type="dxa"/>
              <w:right w:w="14" w:type="dxa"/>
            </w:tcMar>
            <w:hideMark/>
          </w:tcPr>
          <w:p w14:paraId="0BD027DE" w14:textId="77777777" w:rsidR="00125923" w:rsidRPr="000973F2" w:rsidRDefault="00125923" w:rsidP="00125923">
            <w:pPr>
              <w:spacing w:before="40" w:after="4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Recordkeeping</w:t>
            </w:r>
          </w:p>
        </w:tc>
        <w:tc>
          <w:tcPr>
            <w:tcW w:w="660" w:type="pct"/>
            <w:noWrap/>
            <w:hideMark/>
          </w:tcPr>
          <w:p w14:paraId="4B961EC7" w14:textId="72941648" w:rsidR="00125923" w:rsidRPr="000973F2" w:rsidRDefault="00125923" w:rsidP="00125923">
            <w:pPr>
              <w:spacing w:before="40" w:after="4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w:t>
            </w:r>
          </w:p>
        </w:tc>
        <w:tc>
          <w:tcPr>
            <w:tcW w:w="660" w:type="pct"/>
            <w:noWrap/>
          </w:tcPr>
          <w:p w14:paraId="59279BCC" w14:textId="77D2008A" w:rsidR="00125923" w:rsidRPr="000973F2" w:rsidRDefault="00125923" w:rsidP="00125923">
            <w:pPr>
              <w:spacing w:before="40" w:after="4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p>
        </w:tc>
        <w:tc>
          <w:tcPr>
            <w:tcW w:w="660" w:type="pct"/>
            <w:noWrap/>
            <w:hideMark/>
          </w:tcPr>
          <w:p w14:paraId="5F90C357" w14:textId="05EC42CA" w:rsidR="00125923" w:rsidRPr="000973F2" w:rsidRDefault="00125923" w:rsidP="00125923">
            <w:pPr>
              <w:spacing w:before="40" w:after="4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w:t>
            </w:r>
          </w:p>
        </w:tc>
        <w:tc>
          <w:tcPr>
            <w:tcW w:w="662" w:type="pct"/>
            <w:noWrap/>
            <w:hideMark/>
          </w:tcPr>
          <w:p w14:paraId="4FA2BF77" w14:textId="2D0A25A1" w:rsidR="00125923" w:rsidRPr="000973F2" w:rsidRDefault="00125923" w:rsidP="00125923">
            <w:pPr>
              <w:tabs>
                <w:tab w:val="decimal" w:pos="729"/>
              </w:tabs>
              <w:spacing w:before="40" w:after="4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w:t>
            </w:r>
          </w:p>
        </w:tc>
        <w:tc>
          <w:tcPr>
            <w:tcW w:w="704" w:type="pct"/>
            <w:noWrap/>
            <w:hideMark/>
          </w:tcPr>
          <w:p w14:paraId="3198106C" w14:textId="7556AD94" w:rsidR="00125923" w:rsidRPr="000973F2" w:rsidRDefault="00125923" w:rsidP="00125923">
            <w:pPr>
              <w:tabs>
                <w:tab w:val="decimal" w:pos="784"/>
              </w:tabs>
              <w:spacing w:before="40" w:after="4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w:t>
            </w:r>
          </w:p>
        </w:tc>
        <w:tc>
          <w:tcPr>
            <w:tcW w:w="704" w:type="pct"/>
            <w:noWrap/>
            <w:hideMark/>
          </w:tcPr>
          <w:p w14:paraId="31BAD10F" w14:textId="62CCDA10" w:rsidR="00125923" w:rsidRPr="000973F2" w:rsidRDefault="00125923" w:rsidP="00125923">
            <w:pPr>
              <w:tabs>
                <w:tab w:val="decimal" w:pos="784"/>
              </w:tabs>
              <w:spacing w:before="40" w:after="4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w:t>
            </w:r>
          </w:p>
        </w:tc>
      </w:tr>
      <w:tr w:rsidR="00125923" w:rsidRPr="000973F2" w14:paraId="47702416" w14:textId="77777777" w:rsidTr="00125923">
        <w:trPr>
          <w:cnfStyle w:val="000000100000" w:firstRow="0" w:lastRow="0" w:firstColumn="0" w:lastColumn="0" w:oddVBand="0" w:evenVBand="0" w:oddHBand="1" w:evenHBand="0" w:firstRowFirstColumn="0" w:firstRowLastColumn="0" w:lastRowFirstColumn="0" w:lastRowLastColumn="0"/>
          <w:trHeight w:val="293"/>
        </w:trPr>
        <w:tc>
          <w:tcPr>
            <w:cnfStyle w:val="001000000000" w:firstRow="0" w:lastRow="0" w:firstColumn="1" w:lastColumn="0" w:oddVBand="0" w:evenVBand="0" w:oddHBand="0" w:evenHBand="0" w:firstRowFirstColumn="0" w:firstRowLastColumn="0" w:lastRowFirstColumn="0" w:lastRowLastColumn="0"/>
            <w:tcW w:w="949" w:type="pct"/>
            <w:tcMar>
              <w:left w:w="115" w:type="dxa"/>
              <w:right w:w="14" w:type="dxa"/>
            </w:tcMar>
            <w:hideMark/>
          </w:tcPr>
          <w:p w14:paraId="108AC17E" w14:textId="77777777" w:rsidR="00125923" w:rsidRPr="000973F2" w:rsidRDefault="00125923" w:rsidP="00125923">
            <w:pPr>
              <w:spacing w:before="40" w:after="4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Travel</w:t>
            </w:r>
          </w:p>
        </w:tc>
        <w:tc>
          <w:tcPr>
            <w:tcW w:w="660" w:type="pct"/>
            <w:noWrap/>
            <w:hideMark/>
          </w:tcPr>
          <w:p w14:paraId="362DCB47" w14:textId="59980DCE" w:rsidR="00125923" w:rsidRPr="000973F2" w:rsidRDefault="00125923" w:rsidP="00125923">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w:t>
            </w:r>
          </w:p>
        </w:tc>
        <w:tc>
          <w:tcPr>
            <w:tcW w:w="660" w:type="pct"/>
            <w:noWrap/>
          </w:tcPr>
          <w:p w14:paraId="15DC27BB" w14:textId="4E6BA3D8" w:rsidR="00125923" w:rsidRPr="000973F2" w:rsidRDefault="00125923" w:rsidP="00125923">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p>
        </w:tc>
        <w:tc>
          <w:tcPr>
            <w:tcW w:w="660" w:type="pct"/>
            <w:noWrap/>
            <w:hideMark/>
          </w:tcPr>
          <w:p w14:paraId="39ECE89B" w14:textId="6665AFCB" w:rsidR="00125923" w:rsidRPr="000973F2" w:rsidRDefault="00125923" w:rsidP="00125923">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w:t>
            </w:r>
          </w:p>
        </w:tc>
        <w:tc>
          <w:tcPr>
            <w:tcW w:w="662" w:type="pct"/>
            <w:noWrap/>
            <w:hideMark/>
          </w:tcPr>
          <w:p w14:paraId="50A45A93" w14:textId="73449492" w:rsidR="00125923" w:rsidRPr="000973F2" w:rsidRDefault="00125923" w:rsidP="00125923">
            <w:pPr>
              <w:tabs>
                <w:tab w:val="decimal" w:pos="729"/>
              </w:tabs>
              <w:spacing w:before="40" w:after="4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w:t>
            </w:r>
          </w:p>
        </w:tc>
        <w:tc>
          <w:tcPr>
            <w:tcW w:w="704" w:type="pct"/>
            <w:noWrap/>
            <w:hideMark/>
          </w:tcPr>
          <w:p w14:paraId="4C339231" w14:textId="2931C113" w:rsidR="00125923" w:rsidRPr="000973F2" w:rsidRDefault="00125923" w:rsidP="00125923">
            <w:pPr>
              <w:tabs>
                <w:tab w:val="decimal" w:pos="784"/>
              </w:tabs>
              <w:spacing w:before="40" w:after="4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w:t>
            </w:r>
          </w:p>
        </w:tc>
        <w:tc>
          <w:tcPr>
            <w:tcW w:w="704" w:type="pct"/>
            <w:noWrap/>
            <w:hideMark/>
          </w:tcPr>
          <w:p w14:paraId="717C4501" w14:textId="53A3428D" w:rsidR="00125923" w:rsidRPr="000973F2" w:rsidRDefault="00125923" w:rsidP="00125923">
            <w:pPr>
              <w:tabs>
                <w:tab w:val="decimal" w:pos="784"/>
              </w:tabs>
              <w:spacing w:before="40" w:after="4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w:t>
            </w:r>
          </w:p>
        </w:tc>
      </w:tr>
      <w:tr w:rsidR="003966CF" w:rsidRPr="000973F2" w14:paraId="77A517D7" w14:textId="77777777" w:rsidTr="00125923">
        <w:trPr>
          <w:trHeight w:val="293"/>
        </w:trPr>
        <w:tc>
          <w:tcPr>
            <w:cnfStyle w:val="001000000000" w:firstRow="0" w:lastRow="0" w:firstColumn="1" w:lastColumn="0" w:oddVBand="0" w:evenVBand="0" w:oddHBand="0" w:evenHBand="0" w:firstRowFirstColumn="0" w:firstRowLastColumn="0" w:lastRowFirstColumn="0" w:lastRowLastColumn="0"/>
            <w:tcW w:w="949" w:type="pct"/>
            <w:tcMar>
              <w:left w:w="115" w:type="dxa"/>
              <w:right w:w="14" w:type="dxa"/>
            </w:tcMar>
            <w:hideMark/>
          </w:tcPr>
          <w:p w14:paraId="3425290C" w14:textId="77777777" w:rsidR="0001781A" w:rsidRPr="000973F2" w:rsidRDefault="0001781A" w:rsidP="00D14A29">
            <w:pPr>
              <w:spacing w:before="40" w:after="4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Sampling and Analysis Costs</w:t>
            </w:r>
          </w:p>
        </w:tc>
        <w:tc>
          <w:tcPr>
            <w:tcW w:w="660" w:type="pct"/>
            <w:noWrap/>
            <w:hideMark/>
          </w:tcPr>
          <w:p w14:paraId="10A48F06" w14:textId="57E760C8" w:rsidR="0001781A" w:rsidRPr="000973F2" w:rsidRDefault="00125923" w:rsidP="00D14A29">
            <w:pPr>
              <w:spacing w:before="40" w:after="4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$0</w:t>
            </w:r>
          </w:p>
        </w:tc>
        <w:tc>
          <w:tcPr>
            <w:tcW w:w="660" w:type="pct"/>
            <w:noWrap/>
          </w:tcPr>
          <w:p w14:paraId="140F8E9B" w14:textId="42A15A42" w:rsidR="0001781A" w:rsidRPr="000973F2" w:rsidRDefault="0001781A" w:rsidP="00D14A29">
            <w:pPr>
              <w:spacing w:before="40" w:after="4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p>
        </w:tc>
        <w:tc>
          <w:tcPr>
            <w:tcW w:w="660" w:type="pct"/>
            <w:noWrap/>
            <w:hideMark/>
          </w:tcPr>
          <w:p w14:paraId="33DE9757" w14:textId="4E3BC317" w:rsidR="0001781A" w:rsidRPr="000973F2" w:rsidRDefault="00125923" w:rsidP="00D14A29">
            <w:pPr>
              <w:spacing w:before="40" w:after="4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$0</w:t>
            </w:r>
          </w:p>
        </w:tc>
        <w:tc>
          <w:tcPr>
            <w:tcW w:w="662" w:type="pct"/>
            <w:noWrap/>
            <w:hideMark/>
          </w:tcPr>
          <w:p w14:paraId="7D60C5EF" w14:textId="77777777" w:rsidR="0001781A" w:rsidRPr="000973F2" w:rsidRDefault="0001781A" w:rsidP="00D14A29">
            <w:pPr>
              <w:tabs>
                <w:tab w:val="decimal" w:pos="729"/>
              </w:tabs>
              <w:spacing w:before="40" w:after="4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$1,018</w:t>
            </w:r>
          </w:p>
        </w:tc>
        <w:tc>
          <w:tcPr>
            <w:tcW w:w="704" w:type="pct"/>
            <w:noWrap/>
            <w:hideMark/>
          </w:tcPr>
          <w:p w14:paraId="04966028" w14:textId="77777777" w:rsidR="0001781A" w:rsidRPr="000973F2" w:rsidRDefault="0001781A" w:rsidP="00D14A29">
            <w:pPr>
              <w:tabs>
                <w:tab w:val="decimal" w:pos="784"/>
              </w:tabs>
              <w:spacing w:before="40" w:after="4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$1,018</w:t>
            </w:r>
          </w:p>
        </w:tc>
        <w:tc>
          <w:tcPr>
            <w:tcW w:w="704" w:type="pct"/>
            <w:noWrap/>
            <w:hideMark/>
          </w:tcPr>
          <w:p w14:paraId="17F39B9A" w14:textId="77777777" w:rsidR="0001781A" w:rsidRPr="000973F2" w:rsidRDefault="0001781A" w:rsidP="00D14A29">
            <w:pPr>
              <w:tabs>
                <w:tab w:val="decimal" w:pos="784"/>
              </w:tabs>
              <w:spacing w:before="40" w:after="4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$1,018</w:t>
            </w:r>
          </w:p>
        </w:tc>
      </w:tr>
      <w:tr w:rsidR="0007063A" w:rsidRPr="000973F2" w14:paraId="249B1CDD" w14:textId="77777777" w:rsidTr="00125923">
        <w:trPr>
          <w:cnfStyle w:val="000000100000" w:firstRow="0" w:lastRow="0" w:firstColumn="0" w:lastColumn="0" w:oddVBand="0" w:evenVBand="0" w:oddHBand="1" w:evenHBand="0" w:firstRowFirstColumn="0" w:firstRowLastColumn="0" w:lastRowFirstColumn="0" w:lastRowLastColumn="0"/>
          <w:trHeight w:val="277"/>
        </w:trPr>
        <w:tc>
          <w:tcPr>
            <w:cnfStyle w:val="001000000000" w:firstRow="0" w:lastRow="0" w:firstColumn="1" w:lastColumn="0" w:oddVBand="0" w:evenVBand="0" w:oddHBand="0" w:evenHBand="0" w:firstRowFirstColumn="0" w:firstRowLastColumn="0" w:lastRowFirstColumn="0" w:lastRowLastColumn="0"/>
            <w:tcW w:w="949" w:type="pct"/>
            <w:tcMar>
              <w:left w:w="115" w:type="dxa"/>
              <w:right w:w="14" w:type="dxa"/>
            </w:tcMar>
            <w:hideMark/>
          </w:tcPr>
          <w:p w14:paraId="13909C74" w14:textId="77777777" w:rsidR="0001781A" w:rsidRPr="000973F2" w:rsidRDefault="0001781A" w:rsidP="00D14A29">
            <w:pPr>
              <w:spacing w:before="40" w:after="40"/>
              <w:rPr>
                <w:rFonts w:ascii="Times New Roman" w:eastAsia="Times New Roman" w:hAnsi="Times New Roman" w:cs="Times New Roman"/>
                <w:b/>
                <w:bCs w:val="0"/>
                <w:sz w:val="18"/>
                <w:szCs w:val="18"/>
              </w:rPr>
            </w:pPr>
            <w:r w:rsidRPr="000973F2">
              <w:rPr>
                <w:rFonts w:ascii="Times New Roman" w:eastAsia="Times New Roman" w:hAnsi="Times New Roman" w:cs="Times New Roman"/>
                <w:b/>
                <w:sz w:val="18"/>
                <w:szCs w:val="18"/>
              </w:rPr>
              <w:t xml:space="preserve">Total </w:t>
            </w:r>
          </w:p>
        </w:tc>
        <w:tc>
          <w:tcPr>
            <w:tcW w:w="660" w:type="pct"/>
            <w:noWrap/>
            <w:hideMark/>
          </w:tcPr>
          <w:p w14:paraId="2DCEBFAB" w14:textId="77777777" w:rsidR="0001781A" w:rsidRPr="000973F2" w:rsidRDefault="0001781A" w:rsidP="00D14A29">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$0</w:t>
            </w:r>
          </w:p>
        </w:tc>
        <w:tc>
          <w:tcPr>
            <w:tcW w:w="660" w:type="pct"/>
            <w:noWrap/>
            <w:hideMark/>
          </w:tcPr>
          <w:p w14:paraId="6F9BDF6E" w14:textId="496A552E" w:rsidR="0001781A" w:rsidRPr="000973F2" w:rsidRDefault="0001781A" w:rsidP="00D14A29">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p>
        </w:tc>
        <w:tc>
          <w:tcPr>
            <w:tcW w:w="660" w:type="pct"/>
            <w:noWrap/>
            <w:hideMark/>
          </w:tcPr>
          <w:p w14:paraId="49D776C5" w14:textId="77777777" w:rsidR="0001781A" w:rsidRPr="000973F2" w:rsidRDefault="0001781A" w:rsidP="00D14A29">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$0</w:t>
            </w:r>
          </w:p>
        </w:tc>
        <w:tc>
          <w:tcPr>
            <w:tcW w:w="662" w:type="pct"/>
            <w:noWrap/>
            <w:hideMark/>
          </w:tcPr>
          <w:p w14:paraId="69F44E7D" w14:textId="77777777" w:rsidR="0001781A" w:rsidRPr="000973F2" w:rsidRDefault="0001781A" w:rsidP="00D14A29">
            <w:pPr>
              <w:tabs>
                <w:tab w:val="decimal" w:pos="729"/>
              </w:tabs>
              <w:spacing w:before="40" w:after="4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$1,018</w:t>
            </w:r>
          </w:p>
        </w:tc>
        <w:tc>
          <w:tcPr>
            <w:tcW w:w="704" w:type="pct"/>
            <w:noWrap/>
            <w:hideMark/>
          </w:tcPr>
          <w:p w14:paraId="5C73F2F7" w14:textId="77777777" w:rsidR="0001781A" w:rsidRPr="000973F2" w:rsidRDefault="0001781A" w:rsidP="00D14A29">
            <w:pPr>
              <w:tabs>
                <w:tab w:val="decimal" w:pos="784"/>
              </w:tabs>
              <w:spacing w:before="40" w:after="4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$1,018</w:t>
            </w:r>
          </w:p>
        </w:tc>
        <w:tc>
          <w:tcPr>
            <w:tcW w:w="704" w:type="pct"/>
            <w:noWrap/>
            <w:hideMark/>
          </w:tcPr>
          <w:p w14:paraId="673CDA99" w14:textId="77777777" w:rsidR="0001781A" w:rsidRPr="000973F2" w:rsidRDefault="0001781A" w:rsidP="00D14A29">
            <w:pPr>
              <w:tabs>
                <w:tab w:val="decimal" w:pos="784"/>
              </w:tabs>
              <w:spacing w:before="40" w:after="4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$1,018</w:t>
            </w:r>
          </w:p>
        </w:tc>
      </w:tr>
    </w:tbl>
    <w:p w14:paraId="6DAF18BC" w14:textId="0F5294FD" w:rsidR="0001781A" w:rsidRPr="000973F2" w:rsidRDefault="0001781A" w:rsidP="00486D91">
      <w:pPr>
        <w:pStyle w:val="FootnoteText"/>
      </w:pPr>
    </w:p>
    <w:p w14:paraId="7154C4F4" w14:textId="77777777" w:rsidR="0001781A" w:rsidRPr="000973F2" w:rsidRDefault="0001781A" w:rsidP="00C00E4F">
      <w:pPr>
        <w:pStyle w:val="TableName"/>
        <w:spacing w:line="240" w:lineRule="auto"/>
      </w:pPr>
      <w:r w:rsidRPr="000973F2">
        <w:br w:type="page"/>
      </w:r>
    </w:p>
    <w:p w14:paraId="5C14AAC4" w14:textId="37C4921A" w:rsidR="0001781A" w:rsidRPr="000973F2" w:rsidRDefault="0001781A" w:rsidP="00C00E4F">
      <w:pPr>
        <w:spacing w:line="240" w:lineRule="auto"/>
        <w:rPr>
          <w:rFonts w:ascii="Times New Roman" w:hAnsi="Times New Roman" w:cs="Times New Roman"/>
          <w:b/>
        </w:rPr>
      </w:pPr>
      <w:r w:rsidRPr="000973F2">
        <w:rPr>
          <w:rFonts w:ascii="Times New Roman" w:hAnsi="Times New Roman" w:cs="Times New Roman"/>
          <w:b/>
        </w:rPr>
        <w:t xml:space="preserve">Table </w:t>
      </w:r>
      <w:r w:rsidR="00D14A29" w:rsidRPr="000973F2">
        <w:rPr>
          <w:rFonts w:ascii="Times New Roman" w:hAnsi="Times New Roman" w:cs="Times New Roman"/>
          <w:b/>
        </w:rPr>
        <w:t>C-</w:t>
      </w:r>
      <w:r w:rsidRPr="000973F2">
        <w:rPr>
          <w:rFonts w:ascii="Times New Roman" w:hAnsi="Times New Roman" w:cs="Times New Roman"/>
          <w:b/>
        </w:rPr>
        <w:t>3c. Capital and O&amp;M Costs</w:t>
      </w:r>
      <w:r w:rsidR="00CC6C17" w:rsidRPr="000973F2">
        <w:rPr>
          <w:rFonts w:ascii="Times New Roman" w:hAnsi="Times New Roman" w:cs="Times New Roman"/>
          <w:b/>
        </w:rPr>
        <w:t xml:space="preserve"> – </w:t>
      </w:r>
      <w:r w:rsidRPr="000973F2">
        <w:rPr>
          <w:rFonts w:ascii="Times New Roman" w:hAnsi="Times New Roman" w:cs="Times New Roman"/>
          <w:b/>
        </w:rPr>
        <w:t>Subpart C</w:t>
      </w:r>
      <w:r w:rsidR="00CC6C17" w:rsidRPr="000973F2">
        <w:rPr>
          <w:rFonts w:ascii="Times New Roman" w:hAnsi="Times New Roman" w:cs="Times New Roman"/>
          <w:b/>
        </w:rPr>
        <w:t xml:space="preserve"> – </w:t>
      </w:r>
      <w:r w:rsidRPr="000973F2">
        <w:rPr>
          <w:rFonts w:ascii="Times New Roman" w:hAnsi="Times New Roman" w:cs="Times New Roman"/>
          <w:b/>
        </w:rPr>
        <w:t>Tier 3 Facilities</w:t>
      </w:r>
    </w:p>
    <w:p w14:paraId="1FE81139" w14:textId="77777777" w:rsidR="0001781A" w:rsidRPr="000973F2" w:rsidRDefault="0001781A" w:rsidP="00C00E4F">
      <w:pPr>
        <w:rPr>
          <w:i/>
        </w:rPr>
      </w:pPr>
      <w:r w:rsidRPr="000973F2">
        <w:rPr>
          <w:rFonts w:ascii="Times New Roman" w:hAnsi="Times New Roman" w:cs="Times New Roman"/>
          <w:i/>
        </w:rPr>
        <w:t>Subpart C only</w:t>
      </w:r>
    </w:p>
    <w:tbl>
      <w:tblPr>
        <w:tblStyle w:val="PlainTable1"/>
        <w:tblW w:w="5015" w:type="pct"/>
        <w:jc w:val="left"/>
        <w:tblLayout w:type="fixed"/>
        <w:tblCellMar>
          <w:left w:w="115" w:type="dxa"/>
          <w:right w:w="115" w:type="dxa"/>
        </w:tblCellMar>
        <w:tblLook w:val="04A0" w:firstRow="1" w:lastRow="0" w:firstColumn="1" w:lastColumn="0" w:noHBand="0" w:noVBand="1"/>
      </w:tblPr>
      <w:tblGrid>
        <w:gridCol w:w="1836"/>
        <w:gridCol w:w="1271"/>
        <w:gridCol w:w="1272"/>
        <w:gridCol w:w="1272"/>
        <w:gridCol w:w="1272"/>
        <w:gridCol w:w="1347"/>
        <w:gridCol w:w="1349"/>
      </w:tblGrid>
      <w:tr w:rsidR="0001781A" w:rsidRPr="000973F2" w14:paraId="1B92B4E7" w14:textId="77777777" w:rsidTr="003966CF">
        <w:trPr>
          <w:cnfStyle w:val="100000000000" w:firstRow="1" w:lastRow="0" w:firstColumn="0" w:lastColumn="0" w:oddVBand="0" w:evenVBand="0" w:oddHBand="0" w:evenHBand="0" w:firstRowFirstColumn="0" w:firstRowLastColumn="0" w:lastRowFirstColumn="0" w:lastRowLastColumn="0"/>
          <w:cantSplit/>
          <w:jc w:val="left"/>
        </w:trPr>
        <w:tc>
          <w:tcPr>
            <w:cnfStyle w:val="001000000000" w:firstRow="0" w:lastRow="0" w:firstColumn="1" w:lastColumn="0" w:oddVBand="0" w:evenVBand="0" w:oddHBand="0" w:evenHBand="0" w:firstRowFirstColumn="0" w:firstRowLastColumn="0" w:lastRowFirstColumn="0" w:lastRowLastColumn="0"/>
            <w:tcW w:w="955" w:type="pct"/>
            <w:vMerge w:val="restart"/>
            <w:noWrap/>
            <w:vAlign w:val="top"/>
            <w:hideMark/>
          </w:tcPr>
          <w:p w14:paraId="24E98064" w14:textId="77777777" w:rsidR="0001781A" w:rsidRPr="000973F2" w:rsidRDefault="0001781A" w:rsidP="00D14A29">
            <w:pPr>
              <w:spacing w:before="40" w:after="40"/>
              <w:rPr>
                <w:rFonts w:ascii="Times New Roman" w:eastAsia="Times New Roman" w:hAnsi="Times New Roman" w:cs="Times New Roman"/>
                <w:b w:val="0"/>
                <w:bCs w:val="0"/>
                <w:sz w:val="18"/>
                <w:szCs w:val="18"/>
              </w:rPr>
            </w:pPr>
            <w:r w:rsidRPr="000973F2">
              <w:rPr>
                <w:rFonts w:ascii="Times New Roman" w:eastAsia="Times New Roman" w:hAnsi="Times New Roman" w:cs="Times New Roman"/>
                <w:sz w:val="18"/>
                <w:szCs w:val="18"/>
              </w:rPr>
              <w:t>Activity</w:t>
            </w:r>
          </w:p>
        </w:tc>
        <w:tc>
          <w:tcPr>
            <w:tcW w:w="2644" w:type="pct"/>
            <w:gridSpan w:val="4"/>
            <w:noWrap/>
            <w:vAlign w:val="top"/>
            <w:hideMark/>
          </w:tcPr>
          <w:p w14:paraId="2CEF3726" w14:textId="77777777" w:rsidR="0001781A" w:rsidRPr="000973F2" w:rsidRDefault="0001781A" w:rsidP="00D14A29">
            <w:pPr>
              <w:spacing w:before="40" w:after="40"/>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bCs w:val="0"/>
                <w:sz w:val="18"/>
                <w:szCs w:val="18"/>
              </w:rPr>
            </w:pPr>
            <w:r w:rsidRPr="000973F2">
              <w:rPr>
                <w:rFonts w:ascii="Times New Roman" w:eastAsia="Times New Roman" w:hAnsi="Times New Roman" w:cs="Times New Roman"/>
                <w:sz w:val="18"/>
                <w:szCs w:val="18"/>
              </w:rPr>
              <w:t>Cost Categories</w:t>
            </w:r>
          </w:p>
        </w:tc>
        <w:tc>
          <w:tcPr>
            <w:tcW w:w="1401" w:type="pct"/>
            <w:gridSpan w:val="2"/>
            <w:vAlign w:val="top"/>
            <w:hideMark/>
          </w:tcPr>
          <w:p w14:paraId="702376D5" w14:textId="77777777" w:rsidR="0001781A" w:rsidRPr="000973F2" w:rsidRDefault="0001781A" w:rsidP="00D14A29">
            <w:pPr>
              <w:spacing w:before="40" w:after="40"/>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bCs w:val="0"/>
                <w:sz w:val="18"/>
                <w:szCs w:val="18"/>
              </w:rPr>
            </w:pPr>
            <w:r w:rsidRPr="000973F2">
              <w:rPr>
                <w:rFonts w:ascii="Times New Roman" w:eastAsia="Times New Roman" w:hAnsi="Times New Roman" w:cs="Times New Roman"/>
                <w:sz w:val="18"/>
                <w:szCs w:val="18"/>
              </w:rPr>
              <w:t>Total Capital and O&amp;M Cost per Year per Facility (2017$)</w:t>
            </w:r>
          </w:p>
        </w:tc>
      </w:tr>
      <w:tr w:rsidR="003966CF" w:rsidRPr="000973F2" w14:paraId="46263B5B" w14:textId="77777777" w:rsidTr="00034890">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955" w:type="pct"/>
            <w:vMerge/>
            <w:hideMark/>
          </w:tcPr>
          <w:p w14:paraId="6632CE91" w14:textId="77777777" w:rsidR="0001781A" w:rsidRPr="000973F2" w:rsidRDefault="0001781A" w:rsidP="00D14A29">
            <w:pPr>
              <w:spacing w:before="40" w:after="40"/>
              <w:rPr>
                <w:rFonts w:ascii="Times New Roman" w:eastAsia="Times New Roman" w:hAnsi="Times New Roman" w:cs="Times New Roman"/>
                <w:b/>
                <w:bCs w:val="0"/>
                <w:sz w:val="18"/>
                <w:szCs w:val="18"/>
              </w:rPr>
            </w:pPr>
          </w:p>
        </w:tc>
        <w:tc>
          <w:tcPr>
            <w:tcW w:w="661" w:type="pct"/>
            <w:hideMark/>
          </w:tcPr>
          <w:p w14:paraId="462B89E9" w14:textId="77777777" w:rsidR="0001781A" w:rsidRPr="000973F2" w:rsidRDefault="0001781A" w:rsidP="00D14A29">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18"/>
                <w:szCs w:val="18"/>
              </w:rPr>
            </w:pPr>
            <w:r w:rsidRPr="000973F2">
              <w:rPr>
                <w:rFonts w:ascii="Times New Roman" w:eastAsia="Times New Roman" w:hAnsi="Times New Roman" w:cs="Times New Roman"/>
                <w:b/>
                <w:bCs/>
                <w:sz w:val="18"/>
                <w:szCs w:val="18"/>
              </w:rPr>
              <w:t>Capital Cost ($)</w:t>
            </w:r>
          </w:p>
        </w:tc>
        <w:tc>
          <w:tcPr>
            <w:tcW w:w="661" w:type="pct"/>
            <w:hideMark/>
          </w:tcPr>
          <w:p w14:paraId="0F568571" w14:textId="77777777" w:rsidR="0001781A" w:rsidRPr="000973F2" w:rsidRDefault="0001781A" w:rsidP="00D14A29">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18"/>
                <w:szCs w:val="18"/>
              </w:rPr>
            </w:pPr>
            <w:r w:rsidRPr="000973F2">
              <w:rPr>
                <w:rFonts w:ascii="Times New Roman" w:eastAsia="Times New Roman" w:hAnsi="Times New Roman" w:cs="Times New Roman"/>
                <w:b/>
                <w:bCs/>
                <w:sz w:val="18"/>
                <w:szCs w:val="18"/>
              </w:rPr>
              <w:t>Equipment Lifetime</w:t>
            </w:r>
          </w:p>
        </w:tc>
        <w:tc>
          <w:tcPr>
            <w:tcW w:w="661" w:type="pct"/>
            <w:hideMark/>
          </w:tcPr>
          <w:p w14:paraId="0549F2B5" w14:textId="77777777" w:rsidR="0001781A" w:rsidRPr="000973F2" w:rsidRDefault="0001781A" w:rsidP="00D14A29">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18"/>
                <w:szCs w:val="18"/>
              </w:rPr>
            </w:pPr>
            <w:r w:rsidRPr="000973F2">
              <w:rPr>
                <w:rFonts w:ascii="Times New Roman" w:eastAsia="Times New Roman" w:hAnsi="Times New Roman" w:cs="Times New Roman"/>
                <w:b/>
                <w:bCs/>
                <w:sz w:val="18"/>
                <w:szCs w:val="18"/>
              </w:rPr>
              <w:t>Annualized Capital Cost ($/year)</w:t>
            </w:r>
          </w:p>
        </w:tc>
        <w:tc>
          <w:tcPr>
            <w:tcW w:w="661" w:type="pct"/>
            <w:hideMark/>
          </w:tcPr>
          <w:p w14:paraId="00F0B524" w14:textId="77777777" w:rsidR="0001781A" w:rsidRPr="000973F2" w:rsidRDefault="0001781A" w:rsidP="00D14A29">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18"/>
                <w:szCs w:val="18"/>
              </w:rPr>
            </w:pPr>
            <w:r w:rsidRPr="000973F2">
              <w:rPr>
                <w:rFonts w:ascii="Times New Roman" w:eastAsia="Times New Roman" w:hAnsi="Times New Roman" w:cs="Times New Roman"/>
                <w:b/>
                <w:bCs/>
                <w:sz w:val="18"/>
                <w:szCs w:val="18"/>
              </w:rPr>
              <w:t>O&amp;M Costs ($/year)</w:t>
            </w:r>
          </w:p>
        </w:tc>
        <w:tc>
          <w:tcPr>
            <w:tcW w:w="700" w:type="pct"/>
            <w:tcMar>
              <w:left w:w="14" w:type="dxa"/>
              <w:right w:w="14" w:type="dxa"/>
            </w:tcMar>
            <w:hideMark/>
          </w:tcPr>
          <w:p w14:paraId="2D61E013" w14:textId="77777777" w:rsidR="0001781A" w:rsidRPr="000973F2" w:rsidRDefault="0001781A" w:rsidP="00D14A29">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18"/>
                <w:szCs w:val="18"/>
              </w:rPr>
            </w:pPr>
            <w:r w:rsidRPr="000973F2">
              <w:rPr>
                <w:rFonts w:ascii="Times New Roman" w:eastAsia="Times New Roman" w:hAnsi="Times New Roman" w:cs="Times New Roman"/>
                <w:b/>
                <w:bCs/>
                <w:sz w:val="18"/>
                <w:szCs w:val="18"/>
              </w:rPr>
              <w:t>Initial Year</w:t>
            </w:r>
          </w:p>
        </w:tc>
        <w:tc>
          <w:tcPr>
            <w:tcW w:w="701" w:type="pct"/>
            <w:tcMar>
              <w:left w:w="14" w:type="dxa"/>
              <w:right w:w="14" w:type="dxa"/>
            </w:tcMar>
            <w:hideMark/>
          </w:tcPr>
          <w:p w14:paraId="1EDE0303" w14:textId="77777777" w:rsidR="0001781A" w:rsidRPr="000973F2" w:rsidRDefault="0001781A" w:rsidP="00D14A29">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18"/>
                <w:szCs w:val="18"/>
              </w:rPr>
            </w:pPr>
            <w:r w:rsidRPr="000973F2">
              <w:rPr>
                <w:rFonts w:ascii="Times New Roman" w:eastAsia="Times New Roman" w:hAnsi="Times New Roman" w:cs="Times New Roman"/>
                <w:b/>
                <w:bCs/>
                <w:sz w:val="18"/>
                <w:szCs w:val="18"/>
              </w:rPr>
              <w:t>Subseq. Years</w:t>
            </w:r>
          </w:p>
        </w:tc>
      </w:tr>
      <w:tr w:rsidR="003966CF" w:rsidRPr="000973F2" w14:paraId="3BE719E1" w14:textId="77777777" w:rsidTr="00034890">
        <w:trPr>
          <w:cantSplit/>
        </w:trPr>
        <w:tc>
          <w:tcPr>
            <w:cnfStyle w:val="001000000000" w:firstRow="0" w:lastRow="0" w:firstColumn="1" w:lastColumn="0" w:oddVBand="0" w:evenVBand="0" w:oddHBand="0" w:evenHBand="0" w:firstRowFirstColumn="0" w:firstRowLastColumn="0" w:lastRowFirstColumn="0" w:lastRowLastColumn="0"/>
            <w:tcW w:w="955" w:type="pct"/>
            <w:tcMar>
              <w:left w:w="115" w:type="dxa"/>
              <w:right w:w="14" w:type="dxa"/>
            </w:tcMar>
            <w:hideMark/>
          </w:tcPr>
          <w:p w14:paraId="43BFE92A" w14:textId="2223A0F4" w:rsidR="0001781A" w:rsidRPr="000973F2" w:rsidRDefault="0001781A" w:rsidP="00D14A29">
            <w:pPr>
              <w:spacing w:before="40" w:after="4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Equipment (selection, purchase, installation)</w:t>
            </w:r>
          </w:p>
        </w:tc>
        <w:tc>
          <w:tcPr>
            <w:tcW w:w="661" w:type="pct"/>
            <w:noWrap/>
            <w:hideMark/>
          </w:tcPr>
          <w:p w14:paraId="3460BCFC" w14:textId="5B617E80" w:rsidR="0001781A" w:rsidRPr="000973F2" w:rsidRDefault="00034890" w:rsidP="00D14A29">
            <w:pPr>
              <w:spacing w:before="40" w:after="4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$0</w:t>
            </w:r>
          </w:p>
        </w:tc>
        <w:tc>
          <w:tcPr>
            <w:tcW w:w="661" w:type="pct"/>
            <w:noWrap/>
          </w:tcPr>
          <w:p w14:paraId="7E3EE962" w14:textId="43106CD2" w:rsidR="0001781A" w:rsidRPr="000973F2" w:rsidRDefault="0001781A" w:rsidP="00D14A29">
            <w:pPr>
              <w:spacing w:before="40" w:after="4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p>
        </w:tc>
        <w:tc>
          <w:tcPr>
            <w:tcW w:w="661" w:type="pct"/>
            <w:noWrap/>
            <w:hideMark/>
          </w:tcPr>
          <w:p w14:paraId="4E8C4CA3" w14:textId="6939D403" w:rsidR="0001781A" w:rsidRPr="000973F2" w:rsidRDefault="00034890" w:rsidP="00D14A29">
            <w:pPr>
              <w:spacing w:before="40" w:after="4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$0</w:t>
            </w:r>
          </w:p>
        </w:tc>
        <w:tc>
          <w:tcPr>
            <w:tcW w:w="661" w:type="pct"/>
            <w:noWrap/>
            <w:hideMark/>
          </w:tcPr>
          <w:p w14:paraId="7764E2C0" w14:textId="77777777" w:rsidR="0001781A" w:rsidRPr="000973F2" w:rsidRDefault="0001781A" w:rsidP="00D14A29">
            <w:pPr>
              <w:tabs>
                <w:tab w:val="decimal" w:pos="766"/>
              </w:tabs>
              <w:spacing w:before="40" w:after="4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$1,819</w:t>
            </w:r>
          </w:p>
        </w:tc>
        <w:tc>
          <w:tcPr>
            <w:tcW w:w="700" w:type="pct"/>
            <w:noWrap/>
            <w:hideMark/>
          </w:tcPr>
          <w:p w14:paraId="745BE246" w14:textId="77777777" w:rsidR="0001781A" w:rsidRPr="000973F2" w:rsidRDefault="0001781A" w:rsidP="00D14A29">
            <w:pPr>
              <w:tabs>
                <w:tab w:val="decimal" w:pos="766"/>
              </w:tabs>
              <w:spacing w:before="40" w:after="4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$1,819</w:t>
            </w:r>
          </w:p>
        </w:tc>
        <w:tc>
          <w:tcPr>
            <w:tcW w:w="701" w:type="pct"/>
            <w:noWrap/>
            <w:hideMark/>
          </w:tcPr>
          <w:p w14:paraId="04048175" w14:textId="58B97D58" w:rsidR="0001781A" w:rsidRPr="000973F2" w:rsidRDefault="0001781A" w:rsidP="00D14A29">
            <w:pPr>
              <w:tabs>
                <w:tab w:val="decimal" w:pos="763"/>
              </w:tabs>
              <w:spacing w:before="40" w:after="4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0</w:t>
            </w:r>
          </w:p>
        </w:tc>
      </w:tr>
      <w:tr w:rsidR="00034890" w:rsidRPr="000973F2" w14:paraId="2C9FDBA3" w14:textId="77777777" w:rsidTr="00034890">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955" w:type="pct"/>
            <w:tcMar>
              <w:left w:w="115" w:type="dxa"/>
              <w:right w:w="14" w:type="dxa"/>
            </w:tcMar>
            <w:hideMark/>
          </w:tcPr>
          <w:p w14:paraId="2BD8A54E" w14:textId="77777777" w:rsidR="00034890" w:rsidRPr="000973F2" w:rsidRDefault="00034890" w:rsidP="00034890">
            <w:pPr>
              <w:spacing w:before="40" w:after="4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Performance testing</w:t>
            </w:r>
          </w:p>
        </w:tc>
        <w:tc>
          <w:tcPr>
            <w:tcW w:w="661" w:type="pct"/>
            <w:noWrap/>
            <w:hideMark/>
          </w:tcPr>
          <w:p w14:paraId="314A6FA3" w14:textId="2499271A" w:rsidR="00034890" w:rsidRPr="000973F2" w:rsidRDefault="00034890" w:rsidP="00034890">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w:t>
            </w:r>
          </w:p>
        </w:tc>
        <w:tc>
          <w:tcPr>
            <w:tcW w:w="661" w:type="pct"/>
            <w:noWrap/>
          </w:tcPr>
          <w:p w14:paraId="0FA992F0" w14:textId="682B7BC5" w:rsidR="00034890" w:rsidRPr="000973F2" w:rsidRDefault="00034890" w:rsidP="00034890">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p>
        </w:tc>
        <w:tc>
          <w:tcPr>
            <w:tcW w:w="661" w:type="pct"/>
            <w:noWrap/>
            <w:hideMark/>
          </w:tcPr>
          <w:p w14:paraId="7776C90A" w14:textId="7EAF63BB" w:rsidR="00034890" w:rsidRPr="000973F2" w:rsidRDefault="00034890" w:rsidP="00034890">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w:t>
            </w:r>
          </w:p>
        </w:tc>
        <w:tc>
          <w:tcPr>
            <w:tcW w:w="661" w:type="pct"/>
            <w:noWrap/>
            <w:hideMark/>
          </w:tcPr>
          <w:p w14:paraId="230B8C41" w14:textId="5D8F9D27" w:rsidR="00034890" w:rsidRPr="000973F2" w:rsidRDefault="00034890" w:rsidP="00034890">
            <w:pPr>
              <w:tabs>
                <w:tab w:val="decimal" w:pos="766"/>
              </w:tabs>
              <w:spacing w:before="40" w:after="4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w:t>
            </w:r>
          </w:p>
        </w:tc>
        <w:tc>
          <w:tcPr>
            <w:tcW w:w="700" w:type="pct"/>
            <w:noWrap/>
            <w:hideMark/>
          </w:tcPr>
          <w:p w14:paraId="0D106AC4" w14:textId="41762E96" w:rsidR="00034890" w:rsidRPr="000973F2" w:rsidRDefault="00034890" w:rsidP="00034890">
            <w:pPr>
              <w:tabs>
                <w:tab w:val="decimal" w:pos="766"/>
              </w:tabs>
              <w:spacing w:before="40" w:after="4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w:t>
            </w:r>
          </w:p>
        </w:tc>
        <w:tc>
          <w:tcPr>
            <w:tcW w:w="701" w:type="pct"/>
            <w:noWrap/>
            <w:hideMark/>
          </w:tcPr>
          <w:p w14:paraId="49DC89D0" w14:textId="2F3538E3" w:rsidR="00034890" w:rsidRPr="000973F2" w:rsidRDefault="00034890" w:rsidP="00034890">
            <w:pPr>
              <w:tabs>
                <w:tab w:val="decimal" w:pos="763"/>
              </w:tabs>
              <w:spacing w:before="40" w:after="4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w:t>
            </w:r>
          </w:p>
        </w:tc>
      </w:tr>
      <w:tr w:rsidR="00034890" w:rsidRPr="000973F2" w14:paraId="7563EF38" w14:textId="77777777" w:rsidTr="00034890">
        <w:trPr>
          <w:cantSplit/>
        </w:trPr>
        <w:tc>
          <w:tcPr>
            <w:cnfStyle w:val="001000000000" w:firstRow="0" w:lastRow="0" w:firstColumn="1" w:lastColumn="0" w:oddVBand="0" w:evenVBand="0" w:oddHBand="0" w:evenHBand="0" w:firstRowFirstColumn="0" w:firstRowLastColumn="0" w:lastRowFirstColumn="0" w:lastRowLastColumn="0"/>
            <w:tcW w:w="955" w:type="pct"/>
            <w:tcMar>
              <w:left w:w="115" w:type="dxa"/>
              <w:right w:w="14" w:type="dxa"/>
            </w:tcMar>
            <w:hideMark/>
          </w:tcPr>
          <w:p w14:paraId="0BB9C559" w14:textId="77777777" w:rsidR="00034890" w:rsidRPr="000973F2" w:rsidRDefault="00034890" w:rsidP="00034890">
            <w:pPr>
              <w:spacing w:before="40" w:after="4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Recordkeeping</w:t>
            </w:r>
          </w:p>
        </w:tc>
        <w:tc>
          <w:tcPr>
            <w:tcW w:w="661" w:type="pct"/>
            <w:noWrap/>
            <w:hideMark/>
          </w:tcPr>
          <w:p w14:paraId="70D4A598" w14:textId="4FFCCD72" w:rsidR="00034890" w:rsidRPr="000973F2" w:rsidRDefault="00034890" w:rsidP="00034890">
            <w:pPr>
              <w:spacing w:before="40" w:after="4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w:t>
            </w:r>
          </w:p>
        </w:tc>
        <w:tc>
          <w:tcPr>
            <w:tcW w:w="661" w:type="pct"/>
            <w:noWrap/>
          </w:tcPr>
          <w:p w14:paraId="28E1B640" w14:textId="67381958" w:rsidR="00034890" w:rsidRPr="000973F2" w:rsidRDefault="00034890" w:rsidP="00034890">
            <w:pPr>
              <w:spacing w:before="40" w:after="4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p>
        </w:tc>
        <w:tc>
          <w:tcPr>
            <w:tcW w:w="661" w:type="pct"/>
            <w:noWrap/>
            <w:hideMark/>
          </w:tcPr>
          <w:p w14:paraId="76197CCE" w14:textId="5BA37736" w:rsidR="00034890" w:rsidRPr="000973F2" w:rsidRDefault="00034890" w:rsidP="00034890">
            <w:pPr>
              <w:spacing w:before="40" w:after="4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w:t>
            </w:r>
          </w:p>
        </w:tc>
        <w:tc>
          <w:tcPr>
            <w:tcW w:w="661" w:type="pct"/>
            <w:noWrap/>
            <w:hideMark/>
          </w:tcPr>
          <w:p w14:paraId="4AD5D695" w14:textId="7893B798" w:rsidR="00034890" w:rsidRPr="000973F2" w:rsidRDefault="00034890" w:rsidP="00034890">
            <w:pPr>
              <w:tabs>
                <w:tab w:val="decimal" w:pos="766"/>
              </w:tabs>
              <w:spacing w:before="40" w:after="4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w:t>
            </w:r>
          </w:p>
        </w:tc>
        <w:tc>
          <w:tcPr>
            <w:tcW w:w="700" w:type="pct"/>
            <w:noWrap/>
            <w:hideMark/>
          </w:tcPr>
          <w:p w14:paraId="0895F3C4" w14:textId="0F5D0C3E" w:rsidR="00034890" w:rsidRPr="000973F2" w:rsidRDefault="00034890" w:rsidP="00034890">
            <w:pPr>
              <w:tabs>
                <w:tab w:val="decimal" w:pos="766"/>
              </w:tabs>
              <w:spacing w:before="40" w:after="4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w:t>
            </w:r>
          </w:p>
        </w:tc>
        <w:tc>
          <w:tcPr>
            <w:tcW w:w="701" w:type="pct"/>
            <w:noWrap/>
            <w:hideMark/>
          </w:tcPr>
          <w:p w14:paraId="7BB54D50" w14:textId="6A1615C6" w:rsidR="00034890" w:rsidRPr="000973F2" w:rsidRDefault="00034890" w:rsidP="00034890">
            <w:pPr>
              <w:tabs>
                <w:tab w:val="decimal" w:pos="763"/>
              </w:tabs>
              <w:spacing w:before="40" w:after="4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w:t>
            </w:r>
          </w:p>
        </w:tc>
      </w:tr>
      <w:tr w:rsidR="00034890" w:rsidRPr="000973F2" w14:paraId="23EAE50E" w14:textId="77777777" w:rsidTr="00034890">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955" w:type="pct"/>
            <w:tcMar>
              <w:left w:w="115" w:type="dxa"/>
              <w:right w:w="14" w:type="dxa"/>
            </w:tcMar>
            <w:hideMark/>
          </w:tcPr>
          <w:p w14:paraId="15DD2C9C" w14:textId="77777777" w:rsidR="00034890" w:rsidRPr="000973F2" w:rsidRDefault="00034890" w:rsidP="00034890">
            <w:pPr>
              <w:spacing w:before="40" w:after="4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Travel</w:t>
            </w:r>
          </w:p>
        </w:tc>
        <w:tc>
          <w:tcPr>
            <w:tcW w:w="661" w:type="pct"/>
            <w:noWrap/>
            <w:hideMark/>
          </w:tcPr>
          <w:p w14:paraId="61051A7C" w14:textId="4BBEE658" w:rsidR="00034890" w:rsidRPr="000973F2" w:rsidRDefault="00034890" w:rsidP="00034890">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w:t>
            </w:r>
          </w:p>
        </w:tc>
        <w:tc>
          <w:tcPr>
            <w:tcW w:w="661" w:type="pct"/>
            <w:noWrap/>
          </w:tcPr>
          <w:p w14:paraId="1BD601A2" w14:textId="6E312A92" w:rsidR="00034890" w:rsidRPr="000973F2" w:rsidRDefault="00034890" w:rsidP="00034890">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p>
        </w:tc>
        <w:tc>
          <w:tcPr>
            <w:tcW w:w="661" w:type="pct"/>
            <w:noWrap/>
            <w:hideMark/>
          </w:tcPr>
          <w:p w14:paraId="7C095D9E" w14:textId="0AB60FCF" w:rsidR="00034890" w:rsidRPr="000973F2" w:rsidRDefault="00034890" w:rsidP="00034890">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w:t>
            </w:r>
          </w:p>
        </w:tc>
        <w:tc>
          <w:tcPr>
            <w:tcW w:w="661" w:type="pct"/>
            <w:noWrap/>
            <w:hideMark/>
          </w:tcPr>
          <w:p w14:paraId="0E597854" w14:textId="7A65FD21" w:rsidR="00034890" w:rsidRPr="000973F2" w:rsidRDefault="00034890" w:rsidP="00034890">
            <w:pPr>
              <w:tabs>
                <w:tab w:val="decimal" w:pos="766"/>
              </w:tabs>
              <w:spacing w:before="40" w:after="4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w:t>
            </w:r>
          </w:p>
        </w:tc>
        <w:tc>
          <w:tcPr>
            <w:tcW w:w="700" w:type="pct"/>
            <w:noWrap/>
            <w:hideMark/>
          </w:tcPr>
          <w:p w14:paraId="1969E0CC" w14:textId="131FE0F5" w:rsidR="00034890" w:rsidRPr="000973F2" w:rsidRDefault="00034890" w:rsidP="00034890">
            <w:pPr>
              <w:tabs>
                <w:tab w:val="decimal" w:pos="766"/>
              </w:tabs>
              <w:spacing w:before="40" w:after="4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w:t>
            </w:r>
          </w:p>
        </w:tc>
        <w:tc>
          <w:tcPr>
            <w:tcW w:w="701" w:type="pct"/>
            <w:noWrap/>
            <w:hideMark/>
          </w:tcPr>
          <w:p w14:paraId="0DE1A105" w14:textId="7FC8103F" w:rsidR="00034890" w:rsidRPr="000973F2" w:rsidRDefault="00034890" w:rsidP="00034890">
            <w:pPr>
              <w:tabs>
                <w:tab w:val="decimal" w:pos="763"/>
              </w:tabs>
              <w:spacing w:before="40" w:after="4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w:t>
            </w:r>
          </w:p>
        </w:tc>
      </w:tr>
      <w:tr w:rsidR="003966CF" w:rsidRPr="000973F2" w14:paraId="182F85EC" w14:textId="77777777" w:rsidTr="00034890">
        <w:trPr>
          <w:cantSplit/>
        </w:trPr>
        <w:tc>
          <w:tcPr>
            <w:cnfStyle w:val="001000000000" w:firstRow="0" w:lastRow="0" w:firstColumn="1" w:lastColumn="0" w:oddVBand="0" w:evenVBand="0" w:oddHBand="0" w:evenHBand="0" w:firstRowFirstColumn="0" w:firstRowLastColumn="0" w:lastRowFirstColumn="0" w:lastRowLastColumn="0"/>
            <w:tcW w:w="955" w:type="pct"/>
            <w:tcMar>
              <w:left w:w="115" w:type="dxa"/>
              <w:right w:w="14" w:type="dxa"/>
            </w:tcMar>
            <w:hideMark/>
          </w:tcPr>
          <w:p w14:paraId="05621252" w14:textId="77777777" w:rsidR="0001781A" w:rsidRPr="000973F2" w:rsidRDefault="0001781A" w:rsidP="00D14A29">
            <w:pPr>
              <w:spacing w:before="40" w:after="4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Sampling and Analysis Costs</w:t>
            </w:r>
          </w:p>
        </w:tc>
        <w:tc>
          <w:tcPr>
            <w:tcW w:w="661" w:type="pct"/>
            <w:noWrap/>
            <w:hideMark/>
          </w:tcPr>
          <w:p w14:paraId="1E658B2A" w14:textId="76FC7D8B" w:rsidR="0001781A" w:rsidRPr="000973F2" w:rsidRDefault="00034890" w:rsidP="00D14A29">
            <w:pPr>
              <w:spacing w:before="40" w:after="4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$0</w:t>
            </w:r>
          </w:p>
        </w:tc>
        <w:tc>
          <w:tcPr>
            <w:tcW w:w="661" w:type="pct"/>
            <w:noWrap/>
          </w:tcPr>
          <w:p w14:paraId="389886A7" w14:textId="6F3B0890" w:rsidR="0001781A" w:rsidRPr="000973F2" w:rsidRDefault="0001781A" w:rsidP="00D14A29">
            <w:pPr>
              <w:spacing w:before="40" w:after="4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p>
        </w:tc>
        <w:tc>
          <w:tcPr>
            <w:tcW w:w="661" w:type="pct"/>
            <w:noWrap/>
            <w:hideMark/>
          </w:tcPr>
          <w:p w14:paraId="4E727794" w14:textId="138D8C7C" w:rsidR="0001781A" w:rsidRPr="000973F2" w:rsidRDefault="00034890" w:rsidP="00D14A29">
            <w:pPr>
              <w:spacing w:before="40" w:after="4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$0</w:t>
            </w:r>
          </w:p>
        </w:tc>
        <w:tc>
          <w:tcPr>
            <w:tcW w:w="661" w:type="pct"/>
            <w:noWrap/>
            <w:hideMark/>
          </w:tcPr>
          <w:p w14:paraId="18624A7A" w14:textId="77777777" w:rsidR="0001781A" w:rsidRPr="000973F2" w:rsidRDefault="0001781A" w:rsidP="00D14A29">
            <w:pPr>
              <w:tabs>
                <w:tab w:val="decimal" w:pos="766"/>
              </w:tabs>
              <w:spacing w:before="40" w:after="4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$1,593</w:t>
            </w:r>
          </w:p>
        </w:tc>
        <w:tc>
          <w:tcPr>
            <w:tcW w:w="700" w:type="pct"/>
            <w:noWrap/>
            <w:hideMark/>
          </w:tcPr>
          <w:p w14:paraId="0DCFD868" w14:textId="77777777" w:rsidR="0001781A" w:rsidRPr="000973F2" w:rsidRDefault="0001781A" w:rsidP="00D14A29">
            <w:pPr>
              <w:tabs>
                <w:tab w:val="decimal" w:pos="766"/>
              </w:tabs>
              <w:spacing w:before="40" w:after="4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$1,593</w:t>
            </w:r>
          </w:p>
        </w:tc>
        <w:tc>
          <w:tcPr>
            <w:tcW w:w="701" w:type="pct"/>
            <w:noWrap/>
            <w:hideMark/>
          </w:tcPr>
          <w:p w14:paraId="79ADB617" w14:textId="77777777" w:rsidR="0001781A" w:rsidRPr="000973F2" w:rsidRDefault="0001781A" w:rsidP="00D14A29">
            <w:pPr>
              <w:tabs>
                <w:tab w:val="decimal" w:pos="763"/>
              </w:tabs>
              <w:spacing w:before="40" w:after="4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$1,593</w:t>
            </w:r>
          </w:p>
        </w:tc>
      </w:tr>
      <w:tr w:rsidR="003966CF" w:rsidRPr="000973F2" w14:paraId="2A19B390" w14:textId="77777777" w:rsidTr="00034890">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955" w:type="pct"/>
            <w:tcMar>
              <w:left w:w="115" w:type="dxa"/>
              <w:right w:w="14" w:type="dxa"/>
            </w:tcMar>
            <w:hideMark/>
          </w:tcPr>
          <w:p w14:paraId="7231620F" w14:textId="77777777" w:rsidR="0001781A" w:rsidRPr="000973F2" w:rsidRDefault="0001781A" w:rsidP="00D14A29">
            <w:pPr>
              <w:spacing w:before="40" w:after="40"/>
              <w:rPr>
                <w:rFonts w:ascii="Times New Roman" w:eastAsia="Times New Roman" w:hAnsi="Times New Roman" w:cs="Times New Roman"/>
                <w:b/>
                <w:bCs w:val="0"/>
                <w:sz w:val="18"/>
                <w:szCs w:val="18"/>
              </w:rPr>
            </w:pPr>
            <w:r w:rsidRPr="000973F2">
              <w:rPr>
                <w:rFonts w:ascii="Times New Roman" w:eastAsia="Times New Roman" w:hAnsi="Times New Roman" w:cs="Times New Roman"/>
                <w:b/>
                <w:sz w:val="18"/>
                <w:szCs w:val="18"/>
              </w:rPr>
              <w:t xml:space="preserve">Total </w:t>
            </w:r>
          </w:p>
        </w:tc>
        <w:tc>
          <w:tcPr>
            <w:tcW w:w="661" w:type="pct"/>
            <w:noWrap/>
            <w:hideMark/>
          </w:tcPr>
          <w:p w14:paraId="6B8BC38C" w14:textId="77777777" w:rsidR="0001781A" w:rsidRPr="000973F2" w:rsidRDefault="0001781A" w:rsidP="00D14A29">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$0</w:t>
            </w:r>
          </w:p>
        </w:tc>
        <w:tc>
          <w:tcPr>
            <w:tcW w:w="661" w:type="pct"/>
            <w:noWrap/>
            <w:hideMark/>
          </w:tcPr>
          <w:p w14:paraId="6BD9B37D" w14:textId="5F0A6D1D" w:rsidR="0001781A" w:rsidRPr="000973F2" w:rsidRDefault="0001781A" w:rsidP="00D14A29">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p>
        </w:tc>
        <w:tc>
          <w:tcPr>
            <w:tcW w:w="661" w:type="pct"/>
            <w:noWrap/>
            <w:hideMark/>
          </w:tcPr>
          <w:p w14:paraId="19C7B654" w14:textId="77777777" w:rsidR="0001781A" w:rsidRPr="000973F2" w:rsidRDefault="0001781A" w:rsidP="00D14A29">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$0</w:t>
            </w:r>
          </w:p>
        </w:tc>
        <w:tc>
          <w:tcPr>
            <w:tcW w:w="661" w:type="pct"/>
            <w:noWrap/>
            <w:hideMark/>
          </w:tcPr>
          <w:p w14:paraId="1DAA67FE" w14:textId="77777777" w:rsidR="0001781A" w:rsidRPr="000973F2" w:rsidRDefault="0001781A" w:rsidP="00D14A29">
            <w:pPr>
              <w:tabs>
                <w:tab w:val="decimal" w:pos="766"/>
              </w:tabs>
              <w:spacing w:before="40" w:after="4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$3,412</w:t>
            </w:r>
          </w:p>
        </w:tc>
        <w:tc>
          <w:tcPr>
            <w:tcW w:w="700" w:type="pct"/>
            <w:noWrap/>
            <w:hideMark/>
          </w:tcPr>
          <w:p w14:paraId="2D644CF2" w14:textId="77777777" w:rsidR="0001781A" w:rsidRPr="000973F2" w:rsidRDefault="0001781A" w:rsidP="00D14A29">
            <w:pPr>
              <w:tabs>
                <w:tab w:val="decimal" w:pos="766"/>
              </w:tabs>
              <w:spacing w:before="40" w:after="4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$3,412</w:t>
            </w:r>
          </w:p>
        </w:tc>
        <w:tc>
          <w:tcPr>
            <w:tcW w:w="701" w:type="pct"/>
            <w:noWrap/>
            <w:hideMark/>
          </w:tcPr>
          <w:p w14:paraId="7BE8B94D" w14:textId="77777777" w:rsidR="0001781A" w:rsidRPr="000973F2" w:rsidRDefault="0001781A" w:rsidP="00D14A29">
            <w:pPr>
              <w:tabs>
                <w:tab w:val="decimal" w:pos="763"/>
              </w:tabs>
              <w:spacing w:before="40" w:after="4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$1,593</w:t>
            </w:r>
          </w:p>
        </w:tc>
      </w:tr>
    </w:tbl>
    <w:p w14:paraId="2520C328" w14:textId="77777777" w:rsidR="0001781A" w:rsidRPr="000973F2" w:rsidRDefault="0001781A" w:rsidP="00C00E4F">
      <w:pPr>
        <w:pStyle w:val="AfterTable"/>
      </w:pPr>
    </w:p>
    <w:p w14:paraId="74EB900C" w14:textId="77777777" w:rsidR="0001781A" w:rsidRPr="000973F2" w:rsidRDefault="0001781A" w:rsidP="00C00E4F">
      <w:pPr>
        <w:rPr>
          <w:i/>
        </w:rPr>
      </w:pPr>
      <w:r w:rsidRPr="000973F2">
        <w:rPr>
          <w:rFonts w:ascii="Times New Roman" w:hAnsi="Times New Roman" w:cs="Times New Roman"/>
          <w:i/>
        </w:rPr>
        <w:t>Subpart C with at least one additional subpart</w:t>
      </w:r>
    </w:p>
    <w:tbl>
      <w:tblPr>
        <w:tblStyle w:val="PlainTable1"/>
        <w:tblW w:w="5000" w:type="pct"/>
        <w:jc w:val="left"/>
        <w:tblLayout w:type="fixed"/>
        <w:tblCellMar>
          <w:left w:w="115" w:type="dxa"/>
          <w:right w:w="115" w:type="dxa"/>
        </w:tblCellMar>
        <w:tblLook w:val="04A0" w:firstRow="1" w:lastRow="0" w:firstColumn="1" w:lastColumn="0" w:noHBand="0" w:noVBand="1"/>
      </w:tblPr>
      <w:tblGrid>
        <w:gridCol w:w="1838"/>
        <w:gridCol w:w="1272"/>
        <w:gridCol w:w="1272"/>
        <w:gridCol w:w="1272"/>
        <w:gridCol w:w="1272"/>
        <w:gridCol w:w="1333"/>
        <w:gridCol w:w="1331"/>
      </w:tblGrid>
      <w:tr w:rsidR="0001781A" w:rsidRPr="000973F2" w14:paraId="190E0C05" w14:textId="77777777" w:rsidTr="00405052">
        <w:trPr>
          <w:cnfStyle w:val="100000000000" w:firstRow="1" w:lastRow="0" w:firstColumn="0" w:lastColumn="0" w:oddVBand="0" w:evenVBand="0" w:oddHBand="0" w:evenHBand="0" w:firstRowFirstColumn="0" w:firstRowLastColumn="0" w:lastRowFirstColumn="0" w:lastRowLastColumn="0"/>
          <w:cantSplit/>
          <w:jc w:val="left"/>
        </w:trPr>
        <w:tc>
          <w:tcPr>
            <w:cnfStyle w:val="001000000000" w:firstRow="0" w:lastRow="0" w:firstColumn="1" w:lastColumn="0" w:oddVBand="0" w:evenVBand="0" w:oddHBand="0" w:evenHBand="0" w:firstRowFirstColumn="0" w:firstRowLastColumn="0" w:lastRowFirstColumn="0" w:lastRowLastColumn="0"/>
            <w:tcW w:w="959" w:type="pct"/>
            <w:vMerge w:val="restart"/>
            <w:noWrap/>
            <w:vAlign w:val="top"/>
            <w:hideMark/>
          </w:tcPr>
          <w:p w14:paraId="0C02173F" w14:textId="77777777" w:rsidR="0001781A" w:rsidRPr="000973F2" w:rsidRDefault="0001781A" w:rsidP="00405052">
            <w:pPr>
              <w:spacing w:before="40" w:after="40"/>
              <w:rPr>
                <w:rFonts w:ascii="Times New Roman" w:eastAsia="Times New Roman" w:hAnsi="Times New Roman" w:cs="Times New Roman"/>
                <w:b w:val="0"/>
                <w:bCs w:val="0"/>
                <w:sz w:val="18"/>
                <w:szCs w:val="18"/>
              </w:rPr>
            </w:pPr>
            <w:r w:rsidRPr="000973F2">
              <w:rPr>
                <w:rFonts w:ascii="Times New Roman" w:eastAsia="Times New Roman" w:hAnsi="Times New Roman" w:cs="Times New Roman"/>
                <w:sz w:val="18"/>
                <w:szCs w:val="18"/>
              </w:rPr>
              <w:t>Activity</w:t>
            </w:r>
          </w:p>
        </w:tc>
        <w:tc>
          <w:tcPr>
            <w:tcW w:w="2652" w:type="pct"/>
            <w:gridSpan w:val="4"/>
            <w:noWrap/>
            <w:vAlign w:val="top"/>
            <w:hideMark/>
          </w:tcPr>
          <w:p w14:paraId="47427B2B" w14:textId="77777777" w:rsidR="0001781A" w:rsidRPr="000973F2" w:rsidRDefault="0001781A" w:rsidP="00405052">
            <w:pPr>
              <w:spacing w:before="40" w:after="40"/>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bCs w:val="0"/>
                <w:sz w:val="18"/>
                <w:szCs w:val="18"/>
              </w:rPr>
            </w:pPr>
            <w:r w:rsidRPr="000973F2">
              <w:rPr>
                <w:rFonts w:ascii="Times New Roman" w:eastAsia="Times New Roman" w:hAnsi="Times New Roman" w:cs="Times New Roman"/>
                <w:sz w:val="18"/>
                <w:szCs w:val="18"/>
              </w:rPr>
              <w:t>Cost Categories</w:t>
            </w:r>
          </w:p>
        </w:tc>
        <w:tc>
          <w:tcPr>
            <w:tcW w:w="1389" w:type="pct"/>
            <w:gridSpan w:val="2"/>
            <w:vAlign w:val="top"/>
            <w:hideMark/>
          </w:tcPr>
          <w:p w14:paraId="5C7BEBB3" w14:textId="77777777" w:rsidR="0001781A" w:rsidRPr="000973F2" w:rsidRDefault="0001781A" w:rsidP="00405052">
            <w:pPr>
              <w:spacing w:before="40" w:after="40"/>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bCs w:val="0"/>
                <w:sz w:val="18"/>
                <w:szCs w:val="18"/>
              </w:rPr>
            </w:pPr>
            <w:r w:rsidRPr="000973F2">
              <w:rPr>
                <w:rFonts w:ascii="Times New Roman" w:eastAsia="Times New Roman" w:hAnsi="Times New Roman" w:cs="Times New Roman"/>
                <w:sz w:val="18"/>
                <w:szCs w:val="18"/>
              </w:rPr>
              <w:t>Total Capital and O&amp;M Cost per Year per Facility (2017$)</w:t>
            </w:r>
          </w:p>
        </w:tc>
      </w:tr>
      <w:tr w:rsidR="00405052" w:rsidRPr="000973F2" w14:paraId="7AB420B1" w14:textId="77777777" w:rsidTr="00034890">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959" w:type="pct"/>
            <w:vMerge/>
            <w:hideMark/>
          </w:tcPr>
          <w:p w14:paraId="4AEFD510" w14:textId="77777777" w:rsidR="0001781A" w:rsidRPr="000973F2" w:rsidRDefault="0001781A" w:rsidP="00405052">
            <w:pPr>
              <w:spacing w:before="40" w:after="40"/>
              <w:rPr>
                <w:rFonts w:ascii="Times New Roman" w:eastAsia="Times New Roman" w:hAnsi="Times New Roman" w:cs="Times New Roman"/>
                <w:b/>
                <w:bCs w:val="0"/>
                <w:sz w:val="18"/>
                <w:szCs w:val="18"/>
              </w:rPr>
            </w:pPr>
          </w:p>
        </w:tc>
        <w:tc>
          <w:tcPr>
            <w:tcW w:w="663" w:type="pct"/>
            <w:hideMark/>
          </w:tcPr>
          <w:p w14:paraId="6DCD97F5" w14:textId="77777777" w:rsidR="0001781A" w:rsidRPr="000973F2" w:rsidRDefault="0001781A" w:rsidP="00405052">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18"/>
                <w:szCs w:val="18"/>
              </w:rPr>
            </w:pPr>
            <w:r w:rsidRPr="000973F2">
              <w:rPr>
                <w:rFonts w:ascii="Times New Roman" w:eastAsia="Times New Roman" w:hAnsi="Times New Roman" w:cs="Times New Roman"/>
                <w:b/>
                <w:bCs/>
                <w:sz w:val="18"/>
                <w:szCs w:val="18"/>
              </w:rPr>
              <w:t>Capital Cost ($)</w:t>
            </w:r>
          </w:p>
        </w:tc>
        <w:tc>
          <w:tcPr>
            <w:tcW w:w="663" w:type="pct"/>
            <w:hideMark/>
          </w:tcPr>
          <w:p w14:paraId="034B8758" w14:textId="77777777" w:rsidR="0001781A" w:rsidRPr="000973F2" w:rsidRDefault="0001781A" w:rsidP="00405052">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18"/>
                <w:szCs w:val="18"/>
              </w:rPr>
            </w:pPr>
            <w:r w:rsidRPr="000973F2">
              <w:rPr>
                <w:rFonts w:ascii="Times New Roman" w:eastAsia="Times New Roman" w:hAnsi="Times New Roman" w:cs="Times New Roman"/>
                <w:b/>
                <w:bCs/>
                <w:sz w:val="18"/>
                <w:szCs w:val="18"/>
              </w:rPr>
              <w:t>Equipment Lifetime</w:t>
            </w:r>
          </w:p>
        </w:tc>
        <w:tc>
          <w:tcPr>
            <w:tcW w:w="663" w:type="pct"/>
            <w:hideMark/>
          </w:tcPr>
          <w:p w14:paraId="0393FFD5" w14:textId="77777777" w:rsidR="0001781A" w:rsidRPr="000973F2" w:rsidRDefault="0001781A" w:rsidP="00405052">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18"/>
                <w:szCs w:val="18"/>
              </w:rPr>
            </w:pPr>
            <w:r w:rsidRPr="000973F2">
              <w:rPr>
                <w:rFonts w:ascii="Times New Roman" w:eastAsia="Times New Roman" w:hAnsi="Times New Roman" w:cs="Times New Roman"/>
                <w:b/>
                <w:bCs/>
                <w:sz w:val="18"/>
                <w:szCs w:val="18"/>
              </w:rPr>
              <w:t>Annualized Capital Cost ($/year)</w:t>
            </w:r>
          </w:p>
        </w:tc>
        <w:tc>
          <w:tcPr>
            <w:tcW w:w="663" w:type="pct"/>
            <w:hideMark/>
          </w:tcPr>
          <w:p w14:paraId="5FCA3F15" w14:textId="77777777" w:rsidR="0001781A" w:rsidRPr="000973F2" w:rsidRDefault="0001781A" w:rsidP="00405052">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18"/>
                <w:szCs w:val="18"/>
              </w:rPr>
            </w:pPr>
            <w:r w:rsidRPr="000973F2">
              <w:rPr>
                <w:rFonts w:ascii="Times New Roman" w:eastAsia="Times New Roman" w:hAnsi="Times New Roman" w:cs="Times New Roman"/>
                <w:b/>
                <w:bCs/>
                <w:sz w:val="18"/>
                <w:szCs w:val="18"/>
              </w:rPr>
              <w:t>O&amp;M Costs ($/year)</w:t>
            </w:r>
          </w:p>
        </w:tc>
        <w:tc>
          <w:tcPr>
            <w:tcW w:w="695" w:type="pct"/>
            <w:tcMar>
              <w:left w:w="14" w:type="dxa"/>
              <w:right w:w="14" w:type="dxa"/>
            </w:tcMar>
            <w:hideMark/>
          </w:tcPr>
          <w:p w14:paraId="6CE2FC02" w14:textId="77777777" w:rsidR="0001781A" w:rsidRPr="000973F2" w:rsidRDefault="0001781A" w:rsidP="00405052">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18"/>
                <w:szCs w:val="18"/>
              </w:rPr>
            </w:pPr>
            <w:r w:rsidRPr="000973F2">
              <w:rPr>
                <w:rFonts w:ascii="Times New Roman" w:eastAsia="Times New Roman" w:hAnsi="Times New Roman" w:cs="Times New Roman"/>
                <w:b/>
                <w:bCs/>
                <w:sz w:val="18"/>
                <w:szCs w:val="18"/>
              </w:rPr>
              <w:t>Initial Year</w:t>
            </w:r>
          </w:p>
        </w:tc>
        <w:tc>
          <w:tcPr>
            <w:tcW w:w="694" w:type="pct"/>
            <w:tcMar>
              <w:left w:w="14" w:type="dxa"/>
              <w:right w:w="14" w:type="dxa"/>
            </w:tcMar>
            <w:hideMark/>
          </w:tcPr>
          <w:p w14:paraId="5AEABF27" w14:textId="77777777" w:rsidR="0001781A" w:rsidRPr="000973F2" w:rsidRDefault="0001781A" w:rsidP="00405052">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18"/>
                <w:szCs w:val="18"/>
              </w:rPr>
            </w:pPr>
            <w:r w:rsidRPr="000973F2">
              <w:rPr>
                <w:rFonts w:ascii="Times New Roman" w:eastAsia="Times New Roman" w:hAnsi="Times New Roman" w:cs="Times New Roman"/>
                <w:b/>
                <w:bCs/>
                <w:sz w:val="18"/>
                <w:szCs w:val="18"/>
              </w:rPr>
              <w:t>Subseq. Years</w:t>
            </w:r>
          </w:p>
        </w:tc>
      </w:tr>
      <w:tr w:rsidR="003966CF" w:rsidRPr="000973F2" w14:paraId="1C29E040" w14:textId="77777777" w:rsidTr="00034890">
        <w:trPr>
          <w:cantSplit/>
        </w:trPr>
        <w:tc>
          <w:tcPr>
            <w:cnfStyle w:val="001000000000" w:firstRow="0" w:lastRow="0" w:firstColumn="1" w:lastColumn="0" w:oddVBand="0" w:evenVBand="0" w:oddHBand="0" w:evenHBand="0" w:firstRowFirstColumn="0" w:firstRowLastColumn="0" w:lastRowFirstColumn="0" w:lastRowLastColumn="0"/>
            <w:tcW w:w="959" w:type="pct"/>
            <w:tcMar>
              <w:right w:w="14" w:type="dxa"/>
            </w:tcMar>
            <w:hideMark/>
          </w:tcPr>
          <w:p w14:paraId="6B572B39" w14:textId="4E4F2847" w:rsidR="0001781A" w:rsidRPr="000973F2" w:rsidRDefault="0001781A" w:rsidP="00405052">
            <w:pPr>
              <w:spacing w:before="40" w:after="4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Equipment (selection, purchase, installation)</w:t>
            </w:r>
          </w:p>
        </w:tc>
        <w:tc>
          <w:tcPr>
            <w:tcW w:w="663" w:type="pct"/>
            <w:noWrap/>
            <w:hideMark/>
          </w:tcPr>
          <w:p w14:paraId="0A220C8B" w14:textId="5A4CEE25" w:rsidR="0001781A" w:rsidRPr="000973F2" w:rsidRDefault="00034890" w:rsidP="00405052">
            <w:pPr>
              <w:spacing w:before="40" w:after="4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$0</w:t>
            </w:r>
          </w:p>
        </w:tc>
        <w:tc>
          <w:tcPr>
            <w:tcW w:w="663" w:type="pct"/>
            <w:noWrap/>
          </w:tcPr>
          <w:p w14:paraId="5747D416" w14:textId="46C4814F" w:rsidR="0001781A" w:rsidRPr="000973F2" w:rsidRDefault="0001781A" w:rsidP="00405052">
            <w:pPr>
              <w:spacing w:before="40" w:after="4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p>
        </w:tc>
        <w:tc>
          <w:tcPr>
            <w:tcW w:w="663" w:type="pct"/>
            <w:noWrap/>
            <w:hideMark/>
          </w:tcPr>
          <w:p w14:paraId="79A0348B" w14:textId="6DFA4759" w:rsidR="0001781A" w:rsidRPr="000973F2" w:rsidRDefault="0001781A" w:rsidP="00405052">
            <w:pPr>
              <w:spacing w:before="40" w:after="4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0</w:t>
            </w:r>
          </w:p>
        </w:tc>
        <w:tc>
          <w:tcPr>
            <w:tcW w:w="663" w:type="pct"/>
            <w:noWrap/>
            <w:hideMark/>
          </w:tcPr>
          <w:p w14:paraId="120CAF8F" w14:textId="77777777" w:rsidR="0001781A" w:rsidRPr="000973F2" w:rsidRDefault="0001781A" w:rsidP="00405052">
            <w:pPr>
              <w:tabs>
                <w:tab w:val="decimal" w:pos="748"/>
              </w:tabs>
              <w:spacing w:before="40" w:after="4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$11,726</w:t>
            </w:r>
          </w:p>
        </w:tc>
        <w:tc>
          <w:tcPr>
            <w:tcW w:w="695" w:type="pct"/>
            <w:noWrap/>
            <w:hideMark/>
          </w:tcPr>
          <w:p w14:paraId="0BB7CC8E" w14:textId="77777777" w:rsidR="0001781A" w:rsidRPr="000973F2" w:rsidRDefault="0001781A" w:rsidP="00405052">
            <w:pPr>
              <w:tabs>
                <w:tab w:val="decimal" w:pos="868"/>
              </w:tabs>
              <w:spacing w:before="40" w:after="4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$11,726</w:t>
            </w:r>
          </w:p>
        </w:tc>
        <w:tc>
          <w:tcPr>
            <w:tcW w:w="694" w:type="pct"/>
            <w:noWrap/>
            <w:hideMark/>
          </w:tcPr>
          <w:p w14:paraId="252F21A1" w14:textId="77777777" w:rsidR="0001781A" w:rsidRPr="000973F2" w:rsidRDefault="0001781A" w:rsidP="00405052">
            <w:pPr>
              <w:tabs>
                <w:tab w:val="decimal" w:pos="868"/>
              </w:tabs>
              <w:spacing w:before="40" w:after="4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$0</w:t>
            </w:r>
          </w:p>
        </w:tc>
      </w:tr>
      <w:tr w:rsidR="00034890" w:rsidRPr="000973F2" w14:paraId="5720709D" w14:textId="77777777" w:rsidTr="00034890">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959" w:type="pct"/>
            <w:tcMar>
              <w:right w:w="14" w:type="dxa"/>
            </w:tcMar>
            <w:hideMark/>
          </w:tcPr>
          <w:p w14:paraId="0D8CCB06" w14:textId="77777777" w:rsidR="00034890" w:rsidRPr="000973F2" w:rsidRDefault="00034890" w:rsidP="00034890">
            <w:pPr>
              <w:spacing w:before="40" w:after="4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Performance testing</w:t>
            </w:r>
          </w:p>
        </w:tc>
        <w:tc>
          <w:tcPr>
            <w:tcW w:w="663" w:type="pct"/>
            <w:noWrap/>
            <w:hideMark/>
          </w:tcPr>
          <w:p w14:paraId="6D555B80" w14:textId="260096DE" w:rsidR="00034890" w:rsidRPr="000973F2" w:rsidRDefault="00034890" w:rsidP="00034890">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w:t>
            </w:r>
          </w:p>
        </w:tc>
        <w:tc>
          <w:tcPr>
            <w:tcW w:w="663" w:type="pct"/>
            <w:noWrap/>
          </w:tcPr>
          <w:p w14:paraId="7EA431C9" w14:textId="7BA19D6B" w:rsidR="00034890" w:rsidRPr="000973F2" w:rsidRDefault="00034890" w:rsidP="00034890">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p>
        </w:tc>
        <w:tc>
          <w:tcPr>
            <w:tcW w:w="663" w:type="pct"/>
            <w:noWrap/>
            <w:hideMark/>
          </w:tcPr>
          <w:p w14:paraId="7C16E89F" w14:textId="1D919116" w:rsidR="00034890" w:rsidRPr="000973F2" w:rsidRDefault="00034890" w:rsidP="00034890">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w:t>
            </w:r>
          </w:p>
        </w:tc>
        <w:tc>
          <w:tcPr>
            <w:tcW w:w="663" w:type="pct"/>
            <w:noWrap/>
            <w:hideMark/>
          </w:tcPr>
          <w:p w14:paraId="15E71EAA" w14:textId="30C98A9E" w:rsidR="00034890" w:rsidRPr="000973F2" w:rsidRDefault="00034890" w:rsidP="00034890">
            <w:pPr>
              <w:tabs>
                <w:tab w:val="decimal" w:pos="748"/>
              </w:tabs>
              <w:spacing w:before="40" w:after="4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w:t>
            </w:r>
          </w:p>
        </w:tc>
        <w:tc>
          <w:tcPr>
            <w:tcW w:w="695" w:type="pct"/>
            <w:noWrap/>
            <w:hideMark/>
          </w:tcPr>
          <w:p w14:paraId="5E901FD2" w14:textId="45F8EA50" w:rsidR="00034890" w:rsidRPr="000973F2" w:rsidRDefault="00034890" w:rsidP="00034890">
            <w:pPr>
              <w:tabs>
                <w:tab w:val="decimal" w:pos="868"/>
              </w:tabs>
              <w:spacing w:before="40" w:after="4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w:t>
            </w:r>
          </w:p>
        </w:tc>
        <w:tc>
          <w:tcPr>
            <w:tcW w:w="694" w:type="pct"/>
            <w:noWrap/>
            <w:hideMark/>
          </w:tcPr>
          <w:p w14:paraId="5A21A0BE" w14:textId="70612E1C" w:rsidR="00034890" w:rsidRPr="000973F2" w:rsidRDefault="00034890" w:rsidP="00034890">
            <w:pPr>
              <w:tabs>
                <w:tab w:val="decimal" w:pos="868"/>
              </w:tabs>
              <w:spacing w:before="40" w:after="4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w:t>
            </w:r>
          </w:p>
        </w:tc>
      </w:tr>
      <w:tr w:rsidR="00034890" w:rsidRPr="000973F2" w14:paraId="714F8B7A" w14:textId="77777777" w:rsidTr="00034890">
        <w:trPr>
          <w:cantSplit/>
        </w:trPr>
        <w:tc>
          <w:tcPr>
            <w:cnfStyle w:val="001000000000" w:firstRow="0" w:lastRow="0" w:firstColumn="1" w:lastColumn="0" w:oddVBand="0" w:evenVBand="0" w:oddHBand="0" w:evenHBand="0" w:firstRowFirstColumn="0" w:firstRowLastColumn="0" w:lastRowFirstColumn="0" w:lastRowLastColumn="0"/>
            <w:tcW w:w="959" w:type="pct"/>
            <w:tcMar>
              <w:right w:w="14" w:type="dxa"/>
            </w:tcMar>
            <w:hideMark/>
          </w:tcPr>
          <w:p w14:paraId="128D1DD7" w14:textId="77777777" w:rsidR="00034890" w:rsidRPr="000973F2" w:rsidRDefault="00034890" w:rsidP="00034890">
            <w:pPr>
              <w:spacing w:before="40" w:after="4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Recordkeeping</w:t>
            </w:r>
          </w:p>
        </w:tc>
        <w:tc>
          <w:tcPr>
            <w:tcW w:w="663" w:type="pct"/>
            <w:noWrap/>
            <w:hideMark/>
          </w:tcPr>
          <w:p w14:paraId="4ABE7CAC" w14:textId="027CB99A" w:rsidR="00034890" w:rsidRPr="000973F2" w:rsidRDefault="00034890" w:rsidP="00034890">
            <w:pPr>
              <w:spacing w:before="40" w:after="4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w:t>
            </w:r>
          </w:p>
        </w:tc>
        <w:tc>
          <w:tcPr>
            <w:tcW w:w="663" w:type="pct"/>
            <w:noWrap/>
          </w:tcPr>
          <w:p w14:paraId="08C1BBD6" w14:textId="02211D64" w:rsidR="00034890" w:rsidRPr="000973F2" w:rsidRDefault="00034890" w:rsidP="00034890">
            <w:pPr>
              <w:spacing w:before="40" w:after="4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p>
        </w:tc>
        <w:tc>
          <w:tcPr>
            <w:tcW w:w="663" w:type="pct"/>
            <w:noWrap/>
            <w:hideMark/>
          </w:tcPr>
          <w:p w14:paraId="0B4FC30F" w14:textId="6FD279DE" w:rsidR="00034890" w:rsidRPr="000973F2" w:rsidRDefault="00034890" w:rsidP="00034890">
            <w:pPr>
              <w:spacing w:before="40" w:after="4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w:t>
            </w:r>
          </w:p>
        </w:tc>
        <w:tc>
          <w:tcPr>
            <w:tcW w:w="663" w:type="pct"/>
            <w:noWrap/>
            <w:hideMark/>
          </w:tcPr>
          <w:p w14:paraId="0DFAC06A" w14:textId="4E570134" w:rsidR="00034890" w:rsidRPr="000973F2" w:rsidRDefault="00034890" w:rsidP="00034890">
            <w:pPr>
              <w:tabs>
                <w:tab w:val="decimal" w:pos="748"/>
              </w:tabs>
              <w:spacing w:before="40" w:after="4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w:t>
            </w:r>
          </w:p>
        </w:tc>
        <w:tc>
          <w:tcPr>
            <w:tcW w:w="695" w:type="pct"/>
            <w:noWrap/>
            <w:hideMark/>
          </w:tcPr>
          <w:p w14:paraId="67B44B31" w14:textId="4A0C8801" w:rsidR="00034890" w:rsidRPr="000973F2" w:rsidRDefault="00034890" w:rsidP="00034890">
            <w:pPr>
              <w:tabs>
                <w:tab w:val="decimal" w:pos="868"/>
              </w:tabs>
              <w:spacing w:before="40" w:after="4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w:t>
            </w:r>
          </w:p>
        </w:tc>
        <w:tc>
          <w:tcPr>
            <w:tcW w:w="694" w:type="pct"/>
            <w:noWrap/>
            <w:hideMark/>
          </w:tcPr>
          <w:p w14:paraId="0AB588D8" w14:textId="36E19D86" w:rsidR="00034890" w:rsidRPr="000973F2" w:rsidRDefault="00034890" w:rsidP="00034890">
            <w:pPr>
              <w:tabs>
                <w:tab w:val="decimal" w:pos="868"/>
              </w:tabs>
              <w:spacing w:before="40" w:after="4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w:t>
            </w:r>
          </w:p>
        </w:tc>
      </w:tr>
      <w:tr w:rsidR="00034890" w:rsidRPr="000973F2" w14:paraId="03A95D7D" w14:textId="77777777" w:rsidTr="00034890">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959" w:type="pct"/>
            <w:tcMar>
              <w:right w:w="14" w:type="dxa"/>
            </w:tcMar>
            <w:hideMark/>
          </w:tcPr>
          <w:p w14:paraId="13A6AC54" w14:textId="77777777" w:rsidR="00034890" w:rsidRPr="000973F2" w:rsidRDefault="00034890" w:rsidP="00034890">
            <w:pPr>
              <w:spacing w:before="40" w:after="4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Travel</w:t>
            </w:r>
          </w:p>
        </w:tc>
        <w:tc>
          <w:tcPr>
            <w:tcW w:w="663" w:type="pct"/>
            <w:noWrap/>
            <w:hideMark/>
          </w:tcPr>
          <w:p w14:paraId="7C2DC04B" w14:textId="589570F9" w:rsidR="00034890" w:rsidRPr="000973F2" w:rsidRDefault="00034890" w:rsidP="00034890">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w:t>
            </w:r>
          </w:p>
        </w:tc>
        <w:tc>
          <w:tcPr>
            <w:tcW w:w="663" w:type="pct"/>
            <w:noWrap/>
          </w:tcPr>
          <w:p w14:paraId="0236FCC7" w14:textId="4B714132" w:rsidR="00034890" w:rsidRPr="000973F2" w:rsidRDefault="00034890" w:rsidP="00034890">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p>
        </w:tc>
        <w:tc>
          <w:tcPr>
            <w:tcW w:w="663" w:type="pct"/>
            <w:noWrap/>
            <w:hideMark/>
          </w:tcPr>
          <w:p w14:paraId="128C17C4" w14:textId="7E2CFEB0" w:rsidR="00034890" w:rsidRPr="000973F2" w:rsidRDefault="00034890" w:rsidP="00034890">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w:t>
            </w:r>
          </w:p>
        </w:tc>
        <w:tc>
          <w:tcPr>
            <w:tcW w:w="663" w:type="pct"/>
            <w:noWrap/>
            <w:hideMark/>
          </w:tcPr>
          <w:p w14:paraId="237879E6" w14:textId="1D95EC84" w:rsidR="00034890" w:rsidRPr="000973F2" w:rsidRDefault="00034890" w:rsidP="00034890">
            <w:pPr>
              <w:tabs>
                <w:tab w:val="decimal" w:pos="748"/>
              </w:tabs>
              <w:spacing w:before="40" w:after="4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w:t>
            </w:r>
          </w:p>
        </w:tc>
        <w:tc>
          <w:tcPr>
            <w:tcW w:w="695" w:type="pct"/>
            <w:noWrap/>
            <w:hideMark/>
          </w:tcPr>
          <w:p w14:paraId="5FE91FCE" w14:textId="22DD6D7C" w:rsidR="00034890" w:rsidRPr="000973F2" w:rsidRDefault="00034890" w:rsidP="00034890">
            <w:pPr>
              <w:tabs>
                <w:tab w:val="decimal" w:pos="868"/>
              </w:tabs>
              <w:spacing w:before="40" w:after="4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w:t>
            </w:r>
          </w:p>
        </w:tc>
        <w:tc>
          <w:tcPr>
            <w:tcW w:w="694" w:type="pct"/>
            <w:noWrap/>
            <w:hideMark/>
          </w:tcPr>
          <w:p w14:paraId="0D7604F8" w14:textId="48842C34" w:rsidR="00034890" w:rsidRPr="000973F2" w:rsidRDefault="00034890" w:rsidP="00034890">
            <w:pPr>
              <w:tabs>
                <w:tab w:val="decimal" w:pos="868"/>
              </w:tabs>
              <w:spacing w:before="40" w:after="4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w:t>
            </w:r>
          </w:p>
        </w:tc>
      </w:tr>
      <w:tr w:rsidR="003966CF" w:rsidRPr="000973F2" w14:paraId="43CEFB19" w14:textId="77777777" w:rsidTr="00034890">
        <w:trPr>
          <w:cantSplit/>
        </w:trPr>
        <w:tc>
          <w:tcPr>
            <w:cnfStyle w:val="001000000000" w:firstRow="0" w:lastRow="0" w:firstColumn="1" w:lastColumn="0" w:oddVBand="0" w:evenVBand="0" w:oddHBand="0" w:evenHBand="0" w:firstRowFirstColumn="0" w:firstRowLastColumn="0" w:lastRowFirstColumn="0" w:lastRowLastColumn="0"/>
            <w:tcW w:w="959" w:type="pct"/>
            <w:tcMar>
              <w:right w:w="14" w:type="dxa"/>
            </w:tcMar>
            <w:hideMark/>
          </w:tcPr>
          <w:p w14:paraId="13742B27" w14:textId="77777777" w:rsidR="0001781A" w:rsidRPr="000973F2" w:rsidRDefault="0001781A" w:rsidP="00405052">
            <w:pPr>
              <w:spacing w:before="40" w:after="4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Sampling and Analysis Costs</w:t>
            </w:r>
          </w:p>
        </w:tc>
        <w:tc>
          <w:tcPr>
            <w:tcW w:w="663" w:type="pct"/>
            <w:noWrap/>
            <w:hideMark/>
          </w:tcPr>
          <w:p w14:paraId="6AA8271F" w14:textId="72BB49FA" w:rsidR="0001781A" w:rsidRPr="000973F2" w:rsidRDefault="00034890" w:rsidP="00405052">
            <w:pPr>
              <w:spacing w:before="40" w:after="4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$0</w:t>
            </w:r>
          </w:p>
        </w:tc>
        <w:tc>
          <w:tcPr>
            <w:tcW w:w="663" w:type="pct"/>
            <w:noWrap/>
          </w:tcPr>
          <w:p w14:paraId="4FF1B3B1" w14:textId="52DEFA06" w:rsidR="0001781A" w:rsidRPr="000973F2" w:rsidRDefault="0001781A" w:rsidP="00405052">
            <w:pPr>
              <w:spacing w:before="40" w:after="4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p>
        </w:tc>
        <w:tc>
          <w:tcPr>
            <w:tcW w:w="663" w:type="pct"/>
            <w:noWrap/>
            <w:hideMark/>
          </w:tcPr>
          <w:p w14:paraId="06876891" w14:textId="49495795" w:rsidR="0001781A" w:rsidRPr="000973F2" w:rsidRDefault="00034890" w:rsidP="00405052">
            <w:pPr>
              <w:spacing w:before="40" w:after="4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$0</w:t>
            </w:r>
          </w:p>
        </w:tc>
        <w:tc>
          <w:tcPr>
            <w:tcW w:w="663" w:type="pct"/>
            <w:noWrap/>
            <w:hideMark/>
          </w:tcPr>
          <w:p w14:paraId="13C33F4C" w14:textId="77777777" w:rsidR="0001781A" w:rsidRPr="000973F2" w:rsidRDefault="0001781A" w:rsidP="00405052">
            <w:pPr>
              <w:tabs>
                <w:tab w:val="decimal" w:pos="748"/>
              </w:tabs>
              <w:spacing w:before="40" w:after="4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$1,369</w:t>
            </w:r>
          </w:p>
        </w:tc>
        <w:tc>
          <w:tcPr>
            <w:tcW w:w="695" w:type="pct"/>
            <w:noWrap/>
            <w:hideMark/>
          </w:tcPr>
          <w:p w14:paraId="445FF810" w14:textId="77777777" w:rsidR="0001781A" w:rsidRPr="000973F2" w:rsidRDefault="0001781A" w:rsidP="00405052">
            <w:pPr>
              <w:tabs>
                <w:tab w:val="decimal" w:pos="868"/>
              </w:tabs>
              <w:spacing w:before="40" w:after="4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$1,369</w:t>
            </w:r>
          </w:p>
        </w:tc>
        <w:tc>
          <w:tcPr>
            <w:tcW w:w="694" w:type="pct"/>
            <w:noWrap/>
            <w:hideMark/>
          </w:tcPr>
          <w:p w14:paraId="30BC5328" w14:textId="77777777" w:rsidR="0001781A" w:rsidRPr="000973F2" w:rsidRDefault="0001781A" w:rsidP="00405052">
            <w:pPr>
              <w:tabs>
                <w:tab w:val="decimal" w:pos="868"/>
              </w:tabs>
              <w:spacing w:before="40" w:after="4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$1,369</w:t>
            </w:r>
          </w:p>
        </w:tc>
      </w:tr>
      <w:tr w:rsidR="00405052" w:rsidRPr="000973F2" w14:paraId="17095CC6" w14:textId="77777777" w:rsidTr="00034890">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959" w:type="pct"/>
            <w:tcMar>
              <w:right w:w="14" w:type="dxa"/>
            </w:tcMar>
            <w:hideMark/>
          </w:tcPr>
          <w:p w14:paraId="7683D88D" w14:textId="77777777" w:rsidR="0001781A" w:rsidRPr="000973F2" w:rsidRDefault="0001781A" w:rsidP="00405052">
            <w:pPr>
              <w:spacing w:before="40" w:after="40"/>
              <w:rPr>
                <w:rFonts w:ascii="Times New Roman" w:eastAsia="Times New Roman" w:hAnsi="Times New Roman" w:cs="Times New Roman"/>
                <w:b/>
                <w:bCs w:val="0"/>
                <w:sz w:val="18"/>
                <w:szCs w:val="18"/>
              </w:rPr>
            </w:pPr>
            <w:r w:rsidRPr="000973F2">
              <w:rPr>
                <w:rFonts w:ascii="Times New Roman" w:eastAsia="Times New Roman" w:hAnsi="Times New Roman" w:cs="Times New Roman"/>
                <w:b/>
                <w:sz w:val="18"/>
                <w:szCs w:val="18"/>
              </w:rPr>
              <w:t xml:space="preserve">Total </w:t>
            </w:r>
          </w:p>
        </w:tc>
        <w:tc>
          <w:tcPr>
            <w:tcW w:w="663" w:type="pct"/>
            <w:noWrap/>
            <w:hideMark/>
          </w:tcPr>
          <w:p w14:paraId="3B179DB2" w14:textId="77777777" w:rsidR="0001781A" w:rsidRPr="000973F2" w:rsidRDefault="0001781A" w:rsidP="00405052">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$0</w:t>
            </w:r>
          </w:p>
        </w:tc>
        <w:tc>
          <w:tcPr>
            <w:tcW w:w="663" w:type="pct"/>
            <w:noWrap/>
            <w:hideMark/>
          </w:tcPr>
          <w:p w14:paraId="140994E7" w14:textId="09A45846" w:rsidR="0001781A" w:rsidRPr="000973F2" w:rsidRDefault="0001781A" w:rsidP="00405052">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p>
        </w:tc>
        <w:tc>
          <w:tcPr>
            <w:tcW w:w="663" w:type="pct"/>
            <w:noWrap/>
            <w:hideMark/>
          </w:tcPr>
          <w:p w14:paraId="4EA21039" w14:textId="77777777" w:rsidR="0001781A" w:rsidRPr="000973F2" w:rsidRDefault="0001781A" w:rsidP="00405052">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$0</w:t>
            </w:r>
          </w:p>
        </w:tc>
        <w:tc>
          <w:tcPr>
            <w:tcW w:w="663" w:type="pct"/>
            <w:noWrap/>
            <w:hideMark/>
          </w:tcPr>
          <w:p w14:paraId="3A553E4A" w14:textId="77777777" w:rsidR="0001781A" w:rsidRPr="000973F2" w:rsidRDefault="0001781A" w:rsidP="00405052">
            <w:pPr>
              <w:tabs>
                <w:tab w:val="decimal" w:pos="748"/>
              </w:tabs>
              <w:spacing w:before="40" w:after="4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$13,096</w:t>
            </w:r>
          </w:p>
        </w:tc>
        <w:tc>
          <w:tcPr>
            <w:tcW w:w="695" w:type="pct"/>
            <w:noWrap/>
            <w:hideMark/>
          </w:tcPr>
          <w:p w14:paraId="73435FB7" w14:textId="77777777" w:rsidR="0001781A" w:rsidRPr="000973F2" w:rsidRDefault="0001781A" w:rsidP="00405052">
            <w:pPr>
              <w:tabs>
                <w:tab w:val="decimal" w:pos="868"/>
              </w:tabs>
              <w:spacing w:before="40" w:after="4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$13,096</w:t>
            </w:r>
          </w:p>
        </w:tc>
        <w:tc>
          <w:tcPr>
            <w:tcW w:w="694" w:type="pct"/>
            <w:noWrap/>
            <w:hideMark/>
          </w:tcPr>
          <w:p w14:paraId="7ABBF094" w14:textId="77777777" w:rsidR="0001781A" w:rsidRPr="000973F2" w:rsidRDefault="0001781A" w:rsidP="00405052">
            <w:pPr>
              <w:tabs>
                <w:tab w:val="decimal" w:pos="868"/>
              </w:tabs>
              <w:spacing w:before="40" w:after="4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$1,369</w:t>
            </w:r>
          </w:p>
        </w:tc>
      </w:tr>
    </w:tbl>
    <w:p w14:paraId="6633AE36" w14:textId="48FC2F7D" w:rsidR="0001781A" w:rsidRPr="000973F2" w:rsidRDefault="0001781A" w:rsidP="00D14A29">
      <w:pPr>
        <w:pStyle w:val="AfterTable"/>
      </w:pPr>
      <w:r w:rsidRPr="000973F2">
        <w:br w:type="page"/>
      </w:r>
    </w:p>
    <w:p w14:paraId="1B49295E" w14:textId="1DF2863B" w:rsidR="00357440" w:rsidRPr="000973F2" w:rsidRDefault="00357440" w:rsidP="00CC6C17">
      <w:pPr>
        <w:pStyle w:val="Tabletitle"/>
      </w:pPr>
      <w:r w:rsidRPr="000973F2">
        <w:t xml:space="preserve">Table </w:t>
      </w:r>
      <w:r w:rsidR="00CC6C17" w:rsidRPr="000973F2">
        <w:t>C-</w:t>
      </w:r>
      <w:r w:rsidRPr="000973F2">
        <w:t>3d. Capital and O&amp;M Costs</w:t>
      </w:r>
      <w:r w:rsidR="00CC6C17" w:rsidRPr="000973F2">
        <w:t xml:space="preserve"> – </w:t>
      </w:r>
      <w:r w:rsidRPr="000973F2">
        <w:t>Subpart C</w:t>
      </w:r>
      <w:r w:rsidR="00CC6C17" w:rsidRPr="000973F2">
        <w:t xml:space="preserve"> – </w:t>
      </w:r>
      <w:r w:rsidRPr="000973F2">
        <w:t>Tier 4 Facilities (New Facilities Only)</w:t>
      </w:r>
    </w:p>
    <w:p w14:paraId="60C4CA0C" w14:textId="77777777" w:rsidR="00357440" w:rsidRPr="000973F2" w:rsidRDefault="00357440" w:rsidP="00357440">
      <w:pPr>
        <w:rPr>
          <w:i/>
        </w:rPr>
      </w:pPr>
      <w:r w:rsidRPr="000973F2">
        <w:rPr>
          <w:rFonts w:ascii="Times New Roman" w:hAnsi="Times New Roman" w:cs="Times New Roman"/>
          <w:i/>
        </w:rPr>
        <w:t>Subpart C only</w:t>
      </w:r>
    </w:p>
    <w:tbl>
      <w:tblPr>
        <w:tblStyle w:val="PlainTable1"/>
        <w:tblW w:w="5016" w:type="pct"/>
        <w:jc w:val="left"/>
        <w:tblLayout w:type="fixed"/>
        <w:tblCellMar>
          <w:left w:w="115" w:type="dxa"/>
          <w:right w:w="115" w:type="dxa"/>
        </w:tblCellMar>
        <w:tblLook w:val="04A0" w:firstRow="1" w:lastRow="0" w:firstColumn="1" w:lastColumn="0" w:noHBand="0" w:noVBand="1"/>
      </w:tblPr>
      <w:tblGrid>
        <w:gridCol w:w="1839"/>
        <w:gridCol w:w="1272"/>
        <w:gridCol w:w="1272"/>
        <w:gridCol w:w="1272"/>
        <w:gridCol w:w="1272"/>
        <w:gridCol w:w="1349"/>
        <w:gridCol w:w="1345"/>
      </w:tblGrid>
      <w:tr w:rsidR="00357440" w:rsidRPr="000973F2" w14:paraId="6120083F" w14:textId="77777777" w:rsidTr="00034890">
        <w:trPr>
          <w:cnfStyle w:val="100000000000" w:firstRow="1" w:lastRow="0" w:firstColumn="0" w:lastColumn="0" w:oddVBand="0" w:evenVBand="0" w:oddHBand="0" w:evenHBand="0" w:firstRowFirstColumn="0" w:firstRowLastColumn="0" w:lastRowFirstColumn="0" w:lastRowLastColumn="0"/>
          <w:cantSplit/>
          <w:jc w:val="left"/>
        </w:trPr>
        <w:tc>
          <w:tcPr>
            <w:cnfStyle w:val="001000000000" w:firstRow="0" w:lastRow="0" w:firstColumn="1" w:lastColumn="0" w:oddVBand="0" w:evenVBand="0" w:oddHBand="0" w:evenHBand="0" w:firstRowFirstColumn="0" w:firstRowLastColumn="0" w:lastRowFirstColumn="0" w:lastRowLastColumn="0"/>
            <w:tcW w:w="956" w:type="pct"/>
            <w:vMerge w:val="restart"/>
            <w:noWrap/>
            <w:vAlign w:val="top"/>
            <w:hideMark/>
          </w:tcPr>
          <w:p w14:paraId="78881276" w14:textId="77777777" w:rsidR="00357440" w:rsidRPr="000973F2" w:rsidRDefault="00357440" w:rsidP="003966CF">
            <w:pPr>
              <w:spacing w:before="40" w:after="40"/>
              <w:rPr>
                <w:rFonts w:ascii="Times New Roman" w:eastAsia="Times New Roman" w:hAnsi="Times New Roman" w:cs="Times New Roman"/>
                <w:b w:val="0"/>
                <w:bCs w:val="0"/>
                <w:sz w:val="18"/>
                <w:szCs w:val="18"/>
              </w:rPr>
            </w:pPr>
            <w:r w:rsidRPr="000973F2">
              <w:rPr>
                <w:rFonts w:ascii="Times New Roman" w:eastAsia="Times New Roman" w:hAnsi="Times New Roman" w:cs="Times New Roman"/>
                <w:sz w:val="18"/>
                <w:szCs w:val="18"/>
              </w:rPr>
              <w:t>Activity</w:t>
            </w:r>
          </w:p>
        </w:tc>
        <w:tc>
          <w:tcPr>
            <w:tcW w:w="2644" w:type="pct"/>
            <w:gridSpan w:val="4"/>
            <w:noWrap/>
            <w:vAlign w:val="top"/>
            <w:hideMark/>
          </w:tcPr>
          <w:p w14:paraId="17392C7C" w14:textId="77777777" w:rsidR="00357440" w:rsidRPr="000973F2" w:rsidRDefault="00357440" w:rsidP="003966CF">
            <w:pPr>
              <w:spacing w:before="40" w:after="40"/>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bCs w:val="0"/>
                <w:sz w:val="18"/>
                <w:szCs w:val="18"/>
              </w:rPr>
            </w:pPr>
            <w:r w:rsidRPr="000973F2">
              <w:rPr>
                <w:rFonts w:ascii="Times New Roman" w:eastAsia="Times New Roman" w:hAnsi="Times New Roman" w:cs="Times New Roman"/>
                <w:sz w:val="18"/>
                <w:szCs w:val="18"/>
              </w:rPr>
              <w:t>Cost Categories</w:t>
            </w:r>
          </w:p>
        </w:tc>
        <w:tc>
          <w:tcPr>
            <w:tcW w:w="1401" w:type="pct"/>
            <w:gridSpan w:val="2"/>
            <w:vAlign w:val="top"/>
            <w:hideMark/>
          </w:tcPr>
          <w:p w14:paraId="076C4F04" w14:textId="77777777" w:rsidR="00357440" w:rsidRPr="000973F2" w:rsidRDefault="00357440" w:rsidP="003966CF">
            <w:pPr>
              <w:spacing w:before="40" w:after="40"/>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bCs w:val="0"/>
                <w:sz w:val="18"/>
                <w:szCs w:val="18"/>
              </w:rPr>
            </w:pPr>
            <w:r w:rsidRPr="000973F2">
              <w:rPr>
                <w:rFonts w:ascii="Times New Roman" w:eastAsia="Times New Roman" w:hAnsi="Times New Roman" w:cs="Times New Roman"/>
                <w:sz w:val="18"/>
                <w:szCs w:val="18"/>
              </w:rPr>
              <w:t>Total Capital and O&amp;M Cost per Year per Facility (2017$)</w:t>
            </w:r>
          </w:p>
        </w:tc>
      </w:tr>
      <w:tr w:rsidR="003966CF" w:rsidRPr="000973F2" w14:paraId="4D67968E" w14:textId="77777777" w:rsidTr="00034890">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956" w:type="pct"/>
            <w:vMerge/>
            <w:hideMark/>
          </w:tcPr>
          <w:p w14:paraId="24E930C8" w14:textId="77777777" w:rsidR="00357440" w:rsidRPr="000973F2" w:rsidRDefault="00357440" w:rsidP="003966CF">
            <w:pPr>
              <w:spacing w:before="40" w:after="40"/>
              <w:rPr>
                <w:rFonts w:ascii="Times New Roman" w:eastAsia="Times New Roman" w:hAnsi="Times New Roman" w:cs="Times New Roman"/>
                <w:b/>
                <w:bCs w:val="0"/>
                <w:sz w:val="18"/>
                <w:szCs w:val="18"/>
              </w:rPr>
            </w:pPr>
          </w:p>
        </w:tc>
        <w:tc>
          <w:tcPr>
            <w:tcW w:w="661" w:type="pct"/>
            <w:hideMark/>
          </w:tcPr>
          <w:p w14:paraId="21011E9B" w14:textId="77777777" w:rsidR="00357440" w:rsidRPr="000973F2" w:rsidRDefault="00357440" w:rsidP="003966CF">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18"/>
                <w:szCs w:val="18"/>
              </w:rPr>
            </w:pPr>
            <w:r w:rsidRPr="000973F2">
              <w:rPr>
                <w:rFonts w:ascii="Times New Roman" w:eastAsia="Times New Roman" w:hAnsi="Times New Roman" w:cs="Times New Roman"/>
                <w:b/>
                <w:bCs/>
                <w:sz w:val="18"/>
                <w:szCs w:val="18"/>
              </w:rPr>
              <w:t>Capital Cost ($)</w:t>
            </w:r>
          </w:p>
        </w:tc>
        <w:tc>
          <w:tcPr>
            <w:tcW w:w="661" w:type="pct"/>
            <w:hideMark/>
          </w:tcPr>
          <w:p w14:paraId="42FFF1C1" w14:textId="77777777" w:rsidR="00357440" w:rsidRPr="000973F2" w:rsidRDefault="00357440" w:rsidP="003966CF">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18"/>
                <w:szCs w:val="18"/>
              </w:rPr>
            </w:pPr>
            <w:r w:rsidRPr="000973F2">
              <w:rPr>
                <w:rFonts w:ascii="Times New Roman" w:eastAsia="Times New Roman" w:hAnsi="Times New Roman" w:cs="Times New Roman"/>
                <w:b/>
                <w:bCs/>
                <w:sz w:val="18"/>
                <w:szCs w:val="18"/>
              </w:rPr>
              <w:t>Equipment Lifetime</w:t>
            </w:r>
          </w:p>
        </w:tc>
        <w:tc>
          <w:tcPr>
            <w:tcW w:w="661" w:type="pct"/>
            <w:hideMark/>
          </w:tcPr>
          <w:p w14:paraId="6FEA63F5" w14:textId="77777777" w:rsidR="00357440" w:rsidRPr="000973F2" w:rsidRDefault="00357440" w:rsidP="003966CF">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18"/>
                <w:szCs w:val="18"/>
              </w:rPr>
            </w:pPr>
            <w:r w:rsidRPr="000973F2">
              <w:rPr>
                <w:rFonts w:ascii="Times New Roman" w:eastAsia="Times New Roman" w:hAnsi="Times New Roman" w:cs="Times New Roman"/>
                <w:b/>
                <w:bCs/>
                <w:sz w:val="18"/>
                <w:szCs w:val="18"/>
              </w:rPr>
              <w:t>Annualized Capital Cost ($/year)</w:t>
            </w:r>
          </w:p>
        </w:tc>
        <w:tc>
          <w:tcPr>
            <w:tcW w:w="661" w:type="pct"/>
            <w:hideMark/>
          </w:tcPr>
          <w:p w14:paraId="0E09AEF5" w14:textId="77777777" w:rsidR="00357440" w:rsidRPr="000973F2" w:rsidRDefault="00357440" w:rsidP="003966CF">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18"/>
                <w:szCs w:val="18"/>
              </w:rPr>
            </w:pPr>
            <w:r w:rsidRPr="000973F2">
              <w:rPr>
                <w:rFonts w:ascii="Times New Roman" w:eastAsia="Times New Roman" w:hAnsi="Times New Roman" w:cs="Times New Roman"/>
                <w:b/>
                <w:bCs/>
                <w:sz w:val="18"/>
                <w:szCs w:val="18"/>
              </w:rPr>
              <w:t>O&amp;M Costs ($/year)</w:t>
            </w:r>
          </w:p>
        </w:tc>
        <w:tc>
          <w:tcPr>
            <w:tcW w:w="701" w:type="pct"/>
            <w:tcMar>
              <w:left w:w="29" w:type="dxa"/>
              <w:right w:w="29" w:type="dxa"/>
            </w:tcMar>
            <w:hideMark/>
          </w:tcPr>
          <w:p w14:paraId="2489B7B6" w14:textId="77777777" w:rsidR="00357440" w:rsidRPr="000973F2" w:rsidRDefault="00357440" w:rsidP="003966CF">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18"/>
                <w:szCs w:val="18"/>
              </w:rPr>
            </w:pPr>
            <w:r w:rsidRPr="000973F2">
              <w:rPr>
                <w:rFonts w:ascii="Times New Roman" w:eastAsia="Times New Roman" w:hAnsi="Times New Roman" w:cs="Times New Roman"/>
                <w:b/>
                <w:bCs/>
                <w:sz w:val="18"/>
                <w:szCs w:val="18"/>
              </w:rPr>
              <w:t>Initial Year</w:t>
            </w:r>
          </w:p>
        </w:tc>
        <w:tc>
          <w:tcPr>
            <w:tcW w:w="700" w:type="pct"/>
            <w:tcMar>
              <w:left w:w="29" w:type="dxa"/>
              <w:right w:w="29" w:type="dxa"/>
            </w:tcMar>
            <w:hideMark/>
          </w:tcPr>
          <w:p w14:paraId="52597843" w14:textId="77777777" w:rsidR="00357440" w:rsidRPr="000973F2" w:rsidRDefault="00357440" w:rsidP="003966CF">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18"/>
                <w:szCs w:val="18"/>
              </w:rPr>
            </w:pPr>
            <w:r w:rsidRPr="000973F2">
              <w:rPr>
                <w:rFonts w:ascii="Times New Roman" w:eastAsia="Times New Roman" w:hAnsi="Times New Roman" w:cs="Times New Roman"/>
                <w:b/>
                <w:bCs/>
                <w:sz w:val="18"/>
                <w:szCs w:val="18"/>
              </w:rPr>
              <w:t>Subseq. Years</w:t>
            </w:r>
          </w:p>
        </w:tc>
      </w:tr>
      <w:tr w:rsidR="00357440" w:rsidRPr="000973F2" w14:paraId="072D79FA" w14:textId="77777777" w:rsidTr="00034890">
        <w:trPr>
          <w:cantSplit/>
        </w:trPr>
        <w:tc>
          <w:tcPr>
            <w:cnfStyle w:val="001000000000" w:firstRow="0" w:lastRow="0" w:firstColumn="1" w:lastColumn="0" w:oddVBand="0" w:evenVBand="0" w:oddHBand="0" w:evenHBand="0" w:firstRowFirstColumn="0" w:firstRowLastColumn="0" w:lastRowFirstColumn="0" w:lastRowLastColumn="0"/>
            <w:tcW w:w="956" w:type="pct"/>
            <w:hideMark/>
          </w:tcPr>
          <w:p w14:paraId="1A0794DD" w14:textId="5B2FEEA4" w:rsidR="00357440" w:rsidRPr="000973F2" w:rsidRDefault="00357440" w:rsidP="003966CF">
            <w:pPr>
              <w:spacing w:before="40" w:after="4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Equipment (selection, purchase, installation)</w:t>
            </w:r>
          </w:p>
        </w:tc>
        <w:tc>
          <w:tcPr>
            <w:tcW w:w="661" w:type="pct"/>
            <w:noWrap/>
            <w:hideMark/>
          </w:tcPr>
          <w:p w14:paraId="2FE69C81" w14:textId="1532EF75" w:rsidR="00357440" w:rsidRPr="000973F2" w:rsidRDefault="00357440" w:rsidP="003966CF">
            <w:pPr>
              <w:tabs>
                <w:tab w:val="decimal" w:pos="787"/>
              </w:tabs>
              <w:spacing w:before="40" w:after="4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244,063</w:t>
            </w:r>
          </w:p>
        </w:tc>
        <w:tc>
          <w:tcPr>
            <w:tcW w:w="661" w:type="pct"/>
            <w:noWrap/>
            <w:hideMark/>
          </w:tcPr>
          <w:p w14:paraId="3D0EDFDF" w14:textId="77777777" w:rsidR="00357440" w:rsidRPr="000973F2" w:rsidRDefault="00357440" w:rsidP="003966CF">
            <w:pPr>
              <w:tabs>
                <w:tab w:val="decimal" w:pos="547"/>
              </w:tabs>
              <w:spacing w:before="40" w:after="4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10</w:t>
            </w:r>
          </w:p>
        </w:tc>
        <w:tc>
          <w:tcPr>
            <w:tcW w:w="661" w:type="pct"/>
            <w:noWrap/>
            <w:hideMark/>
          </w:tcPr>
          <w:p w14:paraId="7EAF5423" w14:textId="05F29BBC" w:rsidR="00357440" w:rsidRPr="000973F2" w:rsidRDefault="00357440" w:rsidP="003966CF">
            <w:pPr>
              <w:tabs>
                <w:tab w:val="decimal" w:pos="738"/>
              </w:tabs>
              <w:spacing w:before="40" w:after="4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34,749</w:t>
            </w:r>
          </w:p>
        </w:tc>
        <w:tc>
          <w:tcPr>
            <w:tcW w:w="661" w:type="pct"/>
            <w:noWrap/>
            <w:hideMark/>
          </w:tcPr>
          <w:p w14:paraId="273BB2A9" w14:textId="760B3EFB" w:rsidR="00357440" w:rsidRPr="000973F2" w:rsidRDefault="00357440" w:rsidP="003966CF">
            <w:pPr>
              <w:spacing w:before="40" w:after="4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0</w:t>
            </w:r>
          </w:p>
        </w:tc>
        <w:tc>
          <w:tcPr>
            <w:tcW w:w="701" w:type="pct"/>
            <w:noWrap/>
            <w:hideMark/>
          </w:tcPr>
          <w:p w14:paraId="3841BF42" w14:textId="3A3043B3" w:rsidR="00357440" w:rsidRPr="000973F2" w:rsidRDefault="00357440" w:rsidP="003966CF">
            <w:pPr>
              <w:tabs>
                <w:tab w:val="decimal" w:pos="778"/>
              </w:tabs>
              <w:spacing w:before="40" w:after="4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34,749</w:t>
            </w:r>
          </w:p>
        </w:tc>
        <w:tc>
          <w:tcPr>
            <w:tcW w:w="700" w:type="pct"/>
            <w:noWrap/>
            <w:hideMark/>
          </w:tcPr>
          <w:p w14:paraId="4D5313DA" w14:textId="29DD146F" w:rsidR="00357440" w:rsidRPr="000973F2" w:rsidRDefault="00357440" w:rsidP="003966CF">
            <w:pPr>
              <w:tabs>
                <w:tab w:val="decimal" w:pos="726"/>
              </w:tabs>
              <w:spacing w:before="40" w:after="4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34,749</w:t>
            </w:r>
          </w:p>
        </w:tc>
      </w:tr>
      <w:tr w:rsidR="003966CF" w:rsidRPr="000973F2" w14:paraId="550FF147" w14:textId="77777777" w:rsidTr="00034890">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956" w:type="pct"/>
            <w:hideMark/>
          </w:tcPr>
          <w:p w14:paraId="76AD0EE2" w14:textId="77777777" w:rsidR="00357440" w:rsidRPr="000973F2" w:rsidRDefault="00357440" w:rsidP="003966CF">
            <w:pPr>
              <w:spacing w:before="40" w:after="4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Performance testing</w:t>
            </w:r>
          </w:p>
        </w:tc>
        <w:tc>
          <w:tcPr>
            <w:tcW w:w="661" w:type="pct"/>
            <w:noWrap/>
          </w:tcPr>
          <w:p w14:paraId="6820F49A" w14:textId="77777777" w:rsidR="00357440" w:rsidRPr="000973F2" w:rsidRDefault="00357440" w:rsidP="003966CF">
            <w:pPr>
              <w:tabs>
                <w:tab w:val="decimal" w:pos="787"/>
              </w:tabs>
              <w:spacing w:before="40" w:after="4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p>
        </w:tc>
        <w:tc>
          <w:tcPr>
            <w:tcW w:w="661" w:type="pct"/>
            <w:noWrap/>
          </w:tcPr>
          <w:p w14:paraId="5354A591" w14:textId="77777777" w:rsidR="00357440" w:rsidRPr="000973F2" w:rsidRDefault="00357440" w:rsidP="003966CF">
            <w:pPr>
              <w:tabs>
                <w:tab w:val="decimal" w:pos="547"/>
              </w:tabs>
              <w:spacing w:before="40" w:after="4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p>
        </w:tc>
        <w:tc>
          <w:tcPr>
            <w:tcW w:w="661" w:type="pct"/>
            <w:noWrap/>
          </w:tcPr>
          <w:p w14:paraId="71607B8C" w14:textId="77777777" w:rsidR="00357440" w:rsidRPr="000973F2" w:rsidRDefault="00357440" w:rsidP="003966CF">
            <w:pPr>
              <w:tabs>
                <w:tab w:val="decimal" w:pos="738"/>
              </w:tabs>
              <w:spacing w:before="40" w:after="4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p>
        </w:tc>
        <w:tc>
          <w:tcPr>
            <w:tcW w:w="661" w:type="pct"/>
            <w:noWrap/>
          </w:tcPr>
          <w:p w14:paraId="1D709BD4" w14:textId="77777777" w:rsidR="00357440" w:rsidRPr="000973F2" w:rsidRDefault="00357440" w:rsidP="003966CF">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p>
        </w:tc>
        <w:tc>
          <w:tcPr>
            <w:tcW w:w="701" w:type="pct"/>
            <w:noWrap/>
          </w:tcPr>
          <w:p w14:paraId="0416D223" w14:textId="77777777" w:rsidR="00357440" w:rsidRPr="000973F2" w:rsidRDefault="00357440" w:rsidP="003966CF">
            <w:pPr>
              <w:tabs>
                <w:tab w:val="decimal" w:pos="778"/>
              </w:tabs>
              <w:spacing w:before="40" w:after="4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p>
        </w:tc>
        <w:tc>
          <w:tcPr>
            <w:tcW w:w="700" w:type="pct"/>
            <w:noWrap/>
          </w:tcPr>
          <w:p w14:paraId="7A882C14" w14:textId="77777777" w:rsidR="00357440" w:rsidRPr="000973F2" w:rsidRDefault="00357440" w:rsidP="003966CF">
            <w:pPr>
              <w:tabs>
                <w:tab w:val="decimal" w:pos="726"/>
              </w:tabs>
              <w:spacing w:before="40" w:after="4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p>
        </w:tc>
      </w:tr>
      <w:tr w:rsidR="00357440" w:rsidRPr="000973F2" w14:paraId="37B2C350" w14:textId="77777777" w:rsidTr="00034890">
        <w:trPr>
          <w:cantSplit/>
        </w:trPr>
        <w:tc>
          <w:tcPr>
            <w:cnfStyle w:val="001000000000" w:firstRow="0" w:lastRow="0" w:firstColumn="1" w:lastColumn="0" w:oddVBand="0" w:evenVBand="0" w:oddHBand="0" w:evenHBand="0" w:firstRowFirstColumn="0" w:firstRowLastColumn="0" w:lastRowFirstColumn="0" w:lastRowLastColumn="0"/>
            <w:tcW w:w="956" w:type="pct"/>
            <w:hideMark/>
          </w:tcPr>
          <w:p w14:paraId="5FA80DED" w14:textId="77777777" w:rsidR="00357440" w:rsidRPr="000973F2" w:rsidRDefault="00357440" w:rsidP="003966CF">
            <w:pPr>
              <w:spacing w:before="40" w:after="4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Recordkeeping</w:t>
            </w:r>
          </w:p>
        </w:tc>
        <w:tc>
          <w:tcPr>
            <w:tcW w:w="661" w:type="pct"/>
            <w:noWrap/>
          </w:tcPr>
          <w:p w14:paraId="4D2B34D5" w14:textId="77777777" w:rsidR="00357440" w:rsidRPr="000973F2" w:rsidRDefault="00357440" w:rsidP="003966CF">
            <w:pPr>
              <w:tabs>
                <w:tab w:val="decimal" w:pos="787"/>
              </w:tabs>
              <w:spacing w:before="40" w:after="4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p>
        </w:tc>
        <w:tc>
          <w:tcPr>
            <w:tcW w:w="661" w:type="pct"/>
            <w:noWrap/>
          </w:tcPr>
          <w:p w14:paraId="0D96B343" w14:textId="77777777" w:rsidR="00357440" w:rsidRPr="000973F2" w:rsidRDefault="00357440" w:rsidP="003966CF">
            <w:pPr>
              <w:tabs>
                <w:tab w:val="decimal" w:pos="547"/>
              </w:tabs>
              <w:spacing w:before="40" w:after="4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p>
        </w:tc>
        <w:tc>
          <w:tcPr>
            <w:tcW w:w="661" w:type="pct"/>
            <w:noWrap/>
          </w:tcPr>
          <w:p w14:paraId="6967C9AF" w14:textId="77777777" w:rsidR="00357440" w:rsidRPr="000973F2" w:rsidRDefault="00357440" w:rsidP="003966CF">
            <w:pPr>
              <w:tabs>
                <w:tab w:val="decimal" w:pos="738"/>
              </w:tabs>
              <w:spacing w:before="40" w:after="4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p>
        </w:tc>
        <w:tc>
          <w:tcPr>
            <w:tcW w:w="661" w:type="pct"/>
            <w:noWrap/>
          </w:tcPr>
          <w:p w14:paraId="4DB12F31" w14:textId="77777777" w:rsidR="00357440" w:rsidRPr="000973F2" w:rsidRDefault="00357440" w:rsidP="003966CF">
            <w:pPr>
              <w:spacing w:before="40" w:after="4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p>
        </w:tc>
        <w:tc>
          <w:tcPr>
            <w:tcW w:w="701" w:type="pct"/>
            <w:noWrap/>
          </w:tcPr>
          <w:p w14:paraId="216C44DE" w14:textId="77777777" w:rsidR="00357440" w:rsidRPr="000973F2" w:rsidRDefault="00357440" w:rsidP="003966CF">
            <w:pPr>
              <w:tabs>
                <w:tab w:val="decimal" w:pos="778"/>
              </w:tabs>
              <w:spacing w:before="40" w:after="4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p>
        </w:tc>
        <w:tc>
          <w:tcPr>
            <w:tcW w:w="700" w:type="pct"/>
            <w:noWrap/>
          </w:tcPr>
          <w:p w14:paraId="519AB8DC" w14:textId="77777777" w:rsidR="00357440" w:rsidRPr="000973F2" w:rsidRDefault="00357440" w:rsidP="003966CF">
            <w:pPr>
              <w:tabs>
                <w:tab w:val="decimal" w:pos="726"/>
              </w:tabs>
              <w:spacing w:before="40" w:after="4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p>
        </w:tc>
      </w:tr>
      <w:tr w:rsidR="003966CF" w:rsidRPr="000973F2" w14:paraId="4A32E8DD" w14:textId="77777777" w:rsidTr="00034890">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956" w:type="pct"/>
            <w:hideMark/>
          </w:tcPr>
          <w:p w14:paraId="5FFBA369" w14:textId="77777777" w:rsidR="00357440" w:rsidRPr="000973F2" w:rsidRDefault="00357440" w:rsidP="003966CF">
            <w:pPr>
              <w:spacing w:before="40" w:after="4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Travel</w:t>
            </w:r>
          </w:p>
        </w:tc>
        <w:tc>
          <w:tcPr>
            <w:tcW w:w="661" w:type="pct"/>
            <w:noWrap/>
          </w:tcPr>
          <w:p w14:paraId="53B8DAB2" w14:textId="77777777" w:rsidR="00357440" w:rsidRPr="000973F2" w:rsidRDefault="00357440" w:rsidP="003966CF">
            <w:pPr>
              <w:tabs>
                <w:tab w:val="decimal" w:pos="787"/>
              </w:tabs>
              <w:spacing w:before="40" w:after="4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p>
        </w:tc>
        <w:tc>
          <w:tcPr>
            <w:tcW w:w="661" w:type="pct"/>
            <w:noWrap/>
          </w:tcPr>
          <w:p w14:paraId="75AAB98D" w14:textId="77777777" w:rsidR="00357440" w:rsidRPr="000973F2" w:rsidRDefault="00357440" w:rsidP="003966CF">
            <w:pPr>
              <w:tabs>
                <w:tab w:val="decimal" w:pos="547"/>
              </w:tabs>
              <w:spacing w:before="40" w:after="4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p>
        </w:tc>
        <w:tc>
          <w:tcPr>
            <w:tcW w:w="661" w:type="pct"/>
            <w:noWrap/>
          </w:tcPr>
          <w:p w14:paraId="319D3CBA" w14:textId="77777777" w:rsidR="00357440" w:rsidRPr="000973F2" w:rsidRDefault="00357440" w:rsidP="003966CF">
            <w:pPr>
              <w:tabs>
                <w:tab w:val="decimal" w:pos="738"/>
              </w:tabs>
              <w:spacing w:before="40" w:after="4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p>
        </w:tc>
        <w:tc>
          <w:tcPr>
            <w:tcW w:w="661" w:type="pct"/>
            <w:noWrap/>
          </w:tcPr>
          <w:p w14:paraId="782F71A0" w14:textId="77777777" w:rsidR="00357440" w:rsidRPr="000973F2" w:rsidRDefault="00357440" w:rsidP="003966CF">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p>
        </w:tc>
        <w:tc>
          <w:tcPr>
            <w:tcW w:w="701" w:type="pct"/>
            <w:noWrap/>
          </w:tcPr>
          <w:p w14:paraId="4F2700F5" w14:textId="77777777" w:rsidR="00357440" w:rsidRPr="000973F2" w:rsidRDefault="00357440" w:rsidP="003966CF">
            <w:pPr>
              <w:tabs>
                <w:tab w:val="decimal" w:pos="778"/>
              </w:tabs>
              <w:spacing w:before="40" w:after="4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p>
        </w:tc>
        <w:tc>
          <w:tcPr>
            <w:tcW w:w="700" w:type="pct"/>
            <w:noWrap/>
          </w:tcPr>
          <w:p w14:paraId="265C9E55" w14:textId="77777777" w:rsidR="00357440" w:rsidRPr="000973F2" w:rsidRDefault="00357440" w:rsidP="003966CF">
            <w:pPr>
              <w:tabs>
                <w:tab w:val="decimal" w:pos="726"/>
              </w:tabs>
              <w:spacing w:before="40" w:after="4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p>
        </w:tc>
      </w:tr>
      <w:tr w:rsidR="00034890" w:rsidRPr="000973F2" w14:paraId="092513B9" w14:textId="77777777" w:rsidTr="00034890">
        <w:trPr>
          <w:cantSplit/>
        </w:trPr>
        <w:tc>
          <w:tcPr>
            <w:cnfStyle w:val="001000000000" w:firstRow="0" w:lastRow="0" w:firstColumn="1" w:lastColumn="0" w:oddVBand="0" w:evenVBand="0" w:oddHBand="0" w:evenHBand="0" w:firstRowFirstColumn="0" w:firstRowLastColumn="0" w:lastRowFirstColumn="0" w:lastRowLastColumn="0"/>
            <w:tcW w:w="956" w:type="pct"/>
            <w:hideMark/>
          </w:tcPr>
          <w:p w14:paraId="1E1C32CA" w14:textId="77777777" w:rsidR="00034890" w:rsidRPr="000973F2" w:rsidRDefault="00034890" w:rsidP="00034890">
            <w:pPr>
              <w:spacing w:before="40" w:after="4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Sampling and Analysis Costs</w:t>
            </w:r>
          </w:p>
        </w:tc>
        <w:tc>
          <w:tcPr>
            <w:tcW w:w="661" w:type="pct"/>
            <w:noWrap/>
            <w:hideMark/>
          </w:tcPr>
          <w:p w14:paraId="3AD53451" w14:textId="4B54A2CA" w:rsidR="00034890" w:rsidRPr="000973F2" w:rsidRDefault="00034890" w:rsidP="00034890">
            <w:pPr>
              <w:tabs>
                <w:tab w:val="decimal" w:pos="787"/>
              </w:tabs>
              <w:spacing w:before="40" w:after="4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$0</w:t>
            </w:r>
          </w:p>
        </w:tc>
        <w:tc>
          <w:tcPr>
            <w:tcW w:w="661" w:type="pct"/>
            <w:noWrap/>
            <w:hideMark/>
          </w:tcPr>
          <w:p w14:paraId="2044E577" w14:textId="77777777" w:rsidR="00034890" w:rsidRPr="000973F2" w:rsidRDefault="00034890" w:rsidP="00034890">
            <w:pPr>
              <w:tabs>
                <w:tab w:val="decimal" w:pos="547"/>
              </w:tabs>
              <w:spacing w:before="40" w:after="4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0</w:t>
            </w:r>
          </w:p>
        </w:tc>
        <w:tc>
          <w:tcPr>
            <w:tcW w:w="661" w:type="pct"/>
            <w:noWrap/>
            <w:hideMark/>
          </w:tcPr>
          <w:p w14:paraId="0E23B823" w14:textId="5D13CC26" w:rsidR="00034890" w:rsidRPr="000973F2" w:rsidRDefault="00034890" w:rsidP="00034890">
            <w:pPr>
              <w:tabs>
                <w:tab w:val="decimal" w:pos="738"/>
              </w:tabs>
              <w:spacing w:before="40" w:after="4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$0</w:t>
            </w:r>
          </w:p>
        </w:tc>
        <w:tc>
          <w:tcPr>
            <w:tcW w:w="661" w:type="pct"/>
            <w:noWrap/>
            <w:hideMark/>
          </w:tcPr>
          <w:p w14:paraId="0B5BC925" w14:textId="5EF7FCE8" w:rsidR="00034890" w:rsidRPr="000973F2" w:rsidRDefault="00034890" w:rsidP="00034890">
            <w:pPr>
              <w:spacing w:before="40" w:after="4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$0</w:t>
            </w:r>
          </w:p>
        </w:tc>
        <w:tc>
          <w:tcPr>
            <w:tcW w:w="701" w:type="pct"/>
            <w:noWrap/>
            <w:hideMark/>
          </w:tcPr>
          <w:p w14:paraId="5B404D48" w14:textId="3BABBE38" w:rsidR="00034890" w:rsidRPr="000973F2" w:rsidRDefault="00034890" w:rsidP="00034890">
            <w:pPr>
              <w:tabs>
                <w:tab w:val="decimal" w:pos="778"/>
              </w:tabs>
              <w:spacing w:before="40" w:after="4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$0</w:t>
            </w:r>
          </w:p>
        </w:tc>
        <w:tc>
          <w:tcPr>
            <w:tcW w:w="700" w:type="pct"/>
            <w:noWrap/>
            <w:hideMark/>
          </w:tcPr>
          <w:p w14:paraId="4CE1AFE0" w14:textId="015F8244" w:rsidR="00034890" w:rsidRPr="000973F2" w:rsidRDefault="00034890" w:rsidP="00034890">
            <w:pPr>
              <w:tabs>
                <w:tab w:val="decimal" w:pos="726"/>
              </w:tabs>
              <w:spacing w:before="40" w:after="4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$0</w:t>
            </w:r>
          </w:p>
        </w:tc>
      </w:tr>
      <w:tr w:rsidR="003966CF" w:rsidRPr="000973F2" w14:paraId="2D5816E3" w14:textId="77777777" w:rsidTr="00034890">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956" w:type="pct"/>
            <w:hideMark/>
          </w:tcPr>
          <w:p w14:paraId="6E725089" w14:textId="77777777" w:rsidR="00357440" w:rsidRPr="000973F2" w:rsidRDefault="00357440" w:rsidP="003966CF">
            <w:pPr>
              <w:spacing w:before="40" w:after="40"/>
              <w:rPr>
                <w:rFonts w:ascii="Times New Roman" w:eastAsia="Times New Roman" w:hAnsi="Times New Roman" w:cs="Times New Roman"/>
                <w:b/>
                <w:bCs w:val="0"/>
                <w:sz w:val="18"/>
                <w:szCs w:val="18"/>
              </w:rPr>
            </w:pPr>
            <w:r w:rsidRPr="000973F2">
              <w:rPr>
                <w:rFonts w:ascii="Times New Roman" w:eastAsia="Times New Roman" w:hAnsi="Times New Roman" w:cs="Times New Roman"/>
                <w:b/>
                <w:sz w:val="18"/>
                <w:szCs w:val="18"/>
              </w:rPr>
              <w:t xml:space="preserve">Total </w:t>
            </w:r>
          </w:p>
        </w:tc>
        <w:tc>
          <w:tcPr>
            <w:tcW w:w="661" w:type="pct"/>
            <w:noWrap/>
            <w:hideMark/>
          </w:tcPr>
          <w:p w14:paraId="328877AE" w14:textId="77777777" w:rsidR="00357440" w:rsidRPr="000973F2" w:rsidRDefault="00357440" w:rsidP="003966CF">
            <w:pPr>
              <w:tabs>
                <w:tab w:val="decimal" w:pos="787"/>
              </w:tabs>
              <w:spacing w:before="40" w:after="4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$244,063</w:t>
            </w:r>
          </w:p>
        </w:tc>
        <w:tc>
          <w:tcPr>
            <w:tcW w:w="661" w:type="pct"/>
            <w:noWrap/>
            <w:hideMark/>
          </w:tcPr>
          <w:p w14:paraId="386414DE" w14:textId="77777777" w:rsidR="00357440" w:rsidRPr="000973F2" w:rsidRDefault="00357440" w:rsidP="003966CF">
            <w:pPr>
              <w:tabs>
                <w:tab w:val="decimal" w:pos="547"/>
              </w:tabs>
              <w:spacing w:before="40" w:after="4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 </w:t>
            </w:r>
          </w:p>
        </w:tc>
        <w:tc>
          <w:tcPr>
            <w:tcW w:w="661" w:type="pct"/>
            <w:noWrap/>
            <w:hideMark/>
          </w:tcPr>
          <w:p w14:paraId="72816D80" w14:textId="77777777" w:rsidR="00357440" w:rsidRPr="000973F2" w:rsidRDefault="00357440" w:rsidP="003966CF">
            <w:pPr>
              <w:tabs>
                <w:tab w:val="decimal" w:pos="738"/>
              </w:tabs>
              <w:spacing w:before="40" w:after="4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$34,749</w:t>
            </w:r>
          </w:p>
        </w:tc>
        <w:tc>
          <w:tcPr>
            <w:tcW w:w="661" w:type="pct"/>
            <w:noWrap/>
            <w:hideMark/>
          </w:tcPr>
          <w:p w14:paraId="6A52B412" w14:textId="77777777" w:rsidR="00357440" w:rsidRPr="000973F2" w:rsidRDefault="00357440" w:rsidP="003966CF">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$0</w:t>
            </w:r>
          </w:p>
        </w:tc>
        <w:tc>
          <w:tcPr>
            <w:tcW w:w="701" w:type="pct"/>
            <w:noWrap/>
            <w:hideMark/>
          </w:tcPr>
          <w:p w14:paraId="01D2F806" w14:textId="77777777" w:rsidR="00357440" w:rsidRPr="000973F2" w:rsidRDefault="00357440" w:rsidP="003966CF">
            <w:pPr>
              <w:tabs>
                <w:tab w:val="decimal" w:pos="778"/>
              </w:tabs>
              <w:spacing w:before="40" w:after="4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$34,749</w:t>
            </w:r>
          </w:p>
        </w:tc>
        <w:tc>
          <w:tcPr>
            <w:tcW w:w="700" w:type="pct"/>
            <w:noWrap/>
            <w:hideMark/>
          </w:tcPr>
          <w:p w14:paraId="1581BDB9" w14:textId="77777777" w:rsidR="00357440" w:rsidRPr="000973F2" w:rsidRDefault="00357440" w:rsidP="003966CF">
            <w:pPr>
              <w:tabs>
                <w:tab w:val="decimal" w:pos="726"/>
              </w:tabs>
              <w:spacing w:before="40" w:after="4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$34,749</w:t>
            </w:r>
          </w:p>
        </w:tc>
      </w:tr>
    </w:tbl>
    <w:p w14:paraId="32CA237E" w14:textId="77777777" w:rsidR="0001781A" w:rsidRPr="000973F2" w:rsidRDefault="0001781A" w:rsidP="00C00E4F">
      <w:pPr>
        <w:pStyle w:val="AfterTable"/>
      </w:pPr>
    </w:p>
    <w:p w14:paraId="0FC06940" w14:textId="77777777" w:rsidR="0001781A" w:rsidRPr="000973F2" w:rsidRDefault="0001781A" w:rsidP="00C00E4F">
      <w:pPr>
        <w:rPr>
          <w:i/>
        </w:rPr>
      </w:pPr>
      <w:r w:rsidRPr="000973F2">
        <w:rPr>
          <w:rFonts w:ascii="Times New Roman" w:hAnsi="Times New Roman" w:cs="Times New Roman"/>
          <w:i/>
        </w:rPr>
        <w:t>Subpart C with at least one additional subpart</w:t>
      </w:r>
    </w:p>
    <w:tbl>
      <w:tblPr>
        <w:tblStyle w:val="PlainTable1"/>
        <w:tblW w:w="5008" w:type="pct"/>
        <w:jc w:val="left"/>
        <w:tblLayout w:type="fixed"/>
        <w:tblCellMar>
          <w:left w:w="115" w:type="dxa"/>
          <w:right w:w="115" w:type="dxa"/>
        </w:tblCellMar>
        <w:tblLook w:val="04A0" w:firstRow="1" w:lastRow="0" w:firstColumn="1" w:lastColumn="0" w:noHBand="0" w:noVBand="1"/>
      </w:tblPr>
      <w:tblGrid>
        <w:gridCol w:w="1839"/>
        <w:gridCol w:w="1256"/>
        <w:gridCol w:w="1256"/>
        <w:gridCol w:w="1256"/>
        <w:gridCol w:w="1256"/>
        <w:gridCol w:w="1372"/>
        <w:gridCol w:w="1370"/>
      </w:tblGrid>
      <w:tr w:rsidR="0001781A" w:rsidRPr="000973F2" w14:paraId="0825E2C1" w14:textId="77777777" w:rsidTr="00034890">
        <w:trPr>
          <w:cnfStyle w:val="100000000000" w:firstRow="1" w:lastRow="0" w:firstColumn="0" w:lastColumn="0" w:oddVBand="0" w:evenVBand="0" w:oddHBand="0" w:evenHBand="0" w:firstRowFirstColumn="0" w:firstRowLastColumn="0" w:lastRowFirstColumn="0" w:lastRowLastColumn="0"/>
          <w:cantSplit/>
          <w:jc w:val="left"/>
        </w:trPr>
        <w:tc>
          <w:tcPr>
            <w:cnfStyle w:val="001000000000" w:firstRow="0" w:lastRow="0" w:firstColumn="1" w:lastColumn="0" w:oddVBand="0" w:evenVBand="0" w:oddHBand="0" w:evenHBand="0" w:firstRowFirstColumn="0" w:firstRowLastColumn="0" w:lastRowFirstColumn="0" w:lastRowLastColumn="0"/>
            <w:tcW w:w="957" w:type="pct"/>
            <w:vMerge w:val="restart"/>
            <w:noWrap/>
            <w:vAlign w:val="top"/>
            <w:hideMark/>
          </w:tcPr>
          <w:p w14:paraId="639272DF" w14:textId="77777777" w:rsidR="0001781A" w:rsidRPr="000973F2" w:rsidRDefault="0001781A" w:rsidP="00CC0A49">
            <w:pPr>
              <w:spacing w:before="40" w:after="40"/>
              <w:rPr>
                <w:rFonts w:ascii="Times New Roman" w:eastAsia="Times New Roman" w:hAnsi="Times New Roman" w:cs="Times New Roman"/>
                <w:b w:val="0"/>
                <w:bCs w:val="0"/>
                <w:sz w:val="18"/>
                <w:szCs w:val="18"/>
              </w:rPr>
            </w:pPr>
            <w:r w:rsidRPr="000973F2">
              <w:rPr>
                <w:rFonts w:ascii="Times New Roman" w:eastAsia="Times New Roman" w:hAnsi="Times New Roman" w:cs="Times New Roman"/>
                <w:sz w:val="18"/>
                <w:szCs w:val="18"/>
              </w:rPr>
              <w:t>Activity</w:t>
            </w:r>
          </w:p>
        </w:tc>
        <w:tc>
          <w:tcPr>
            <w:tcW w:w="2616" w:type="pct"/>
            <w:gridSpan w:val="4"/>
            <w:noWrap/>
            <w:vAlign w:val="top"/>
            <w:hideMark/>
          </w:tcPr>
          <w:p w14:paraId="044DBED0" w14:textId="77777777" w:rsidR="0001781A" w:rsidRPr="000973F2" w:rsidRDefault="0001781A" w:rsidP="00CC0A49">
            <w:pPr>
              <w:spacing w:before="40" w:after="40"/>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bCs w:val="0"/>
                <w:sz w:val="18"/>
                <w:szCs w:val="18"/>
              </w:rPr>
            </w:pPr>
            <w:r w:rsidRPr="000973F2">
              <w:rPr>
                <w:rFonts w:ascii="Times New Roman" w:eastAsia="Times New Roman" w:hAnsi="Times New Roman" w:cs="Times New Roman"/>
                <w:sz w:val="18"/>
                <w:szCs w:val="18"/>
              </w:rPr>
              <w:t>Cost Categories</w:t>
            </w:r>
          </w:p>
        </w:tc>
        <w:tc>
          <w:tcPr>
            <w:tcW w:w="1428" w:type="pct"/>
            <w:gridSpan w:val="2"/>
            <w:vAlign w:val="top"/>
            <w:hideMark/>
          </w:tcPr>
          <w:p w14:paraId="359DF752" w14:textId="77777777" w:rsidR="0001781A" w:rsidRPr="000973F2" w:rsidRDefault="0001781A" w:rsidP="00CC0A49">
            <w:pPr>
              <w:spacing w:before="40" w:after="40"/>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bCs w:val="0"/>
                <w:sz w:val="18"/>
                <w:szCs w:val="18"/>
              </w:rPr>
            </w:pPr>
            <w:r w:rsidRPr="000973F2">
              <w:rPr>
                <w:rFonts w:ascii="Times New Roman" w:eastAsia="Times New Roman" w:hAnsi="Times New Roman" w:cs="Times New Roman"/>
                <w:sz w:val="18"/>
                <w:szCs w:val="18"/>
              </w:rPr>
              <w:t>Total Capital and O&amp;M Cost per Year per Facility (2017$)</w:t>
            </w:r>
          </w:p>
        </w:tc>
      </w:tr>
      <w:tr w:rsidR="007D3795" w:rsidRPr="000973F2" w14:paraId="22A1FE90" w14:textId="77777777" w:rsidTr="00034890">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957" w:type="pct"/>
            <w:vMerge/>
            <w:hideMark/>
          </w:tcPr>
          <w:p w14:paraId="3078B10C" w14:textId="77777777" w:rsidR="0001781A" w:rsidRPr="000973F2" w:rsidRDefault="0001781A" w:rsidP="00CC0A49">
            <w:pPr>
              <w:spacing w:before="40" w:after="40"/>
              <w:rPr>
                <w:rFonts w:ascii="Times New Roman" w:eastAsia="Times New Roman" w:hAnsi="Times New Roman" w:cs="Times New Roman"/>
                <w:b/>
                <w:bCs w:val="0"/>
                <w:sz w:val="18"/>
                <w:szCs w:val="18"/>
              </w:rPr>
            </w:pPr>
          </w:p>
        </w:tc>
        <w:tc>
          <w:tcPr>
            <w:tcW w:w="654" w:type="pct"/>
            <w:hideMark/>
          </w:tcPr>
          <w:p w14:paraId="212CF646" w14:textId="77777777" w:rsidR="0001781A" w:rsidRPr="000973F2" w:rsidRDefault="0001781A" w:rsidP="00CC0A49">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18"/>
                <w:szCs w:val="18"/>
              </w:rPr>
            </w:pPr>
            <w:r w:rsidRPr="000973F2">
              <w:rPr>
                <w:rFonts w:ascii="Times New Roman" w:eastAsia="Times New Roman" w:hAnsi="Times New Roman" w:cs="Times New Roman"/>
                <w:b/>
                <w:bCs/>
                <w:sz w:val="18"/>
                <w:szCs w:val="18"/>
              </w:rPr>
              <w:t>Capital Cost ($)</w:t>
            </w:r>
          </w:p>
        </w:tc>
        <w:tc>
          <w:tcPr>
            <w:tcW w:w="654" w:type="pct"/>
            <w:hideMark/>
          </w:tcPr>
          <w:p w14:paraId="54F097E5" w14:textId="77777777" w:rsidR="0001781A" w:rsidRPr="000973F2" w:rsidRDefault="0001781A" w:rsidP="00CC0A49">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18"/>
                <w:szCs w:val="18"/>
              </w:rPr>
            </w:pPr>
            <w:r w:rsidRPr="000973F2">
              <w:rPr>
                <w:rFonts w:ascii="Times New Roman" w:eastAsia="Times New Roman" w:hAnsi="Times New Roman" w:cs="Times New Roman"/>
                <w:b/>
                <w:bCs/>
                <w:sz w:val="18"/>
                <w:szCs w:val="18"/>
              </w:rPr>
              <w:t>Equipment Lifetime</w:t>
            </w:r>
          </w:p>
        </w:tc>
        <w:tc>
          <w:tcPr>
            <w:tcW w:w="654" w:type="pct"/>
            <w:hideMark/>
          </w:tcPr>
          <w:p w14:paraId="2D001C6F" w14:textId="77777777" w:rsidR="0001781A" w:rsidRPr="000973F2" w:rsidRDefault="0001781A" w:rsidP="00CC0A49">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18"/>
                <w:szCs w:val="18"/>
              </w:rPr>
            </w:pPr>
            <w:r w:rsidRPr="000973F2">
              <w:rPr>
                <w:rFonts w:ascii="Times New Roman" w:eastAsia="Times New Roman" w:hAnsi="Times New Roman" w:cs="Times New Roman"/>
                <w:b/>
                <w:bCs/>
                <w:sz w:val="18"/>
                <w:szCs w:val="18"/>
              </w:rPr>
              <w:t>Annualized Capital Cost ($/year)</w:t>
            </w:r>
          </w:p>
        </w:tc>
        <w:tc>
          <w:tcPr>
            <w:tcW w:w="654" w:type="pct"/>
            <w:hideMark/>
          </w:tcPr>
          <w:p w14:paraId="784FABE8" w14:textId="77777777" w:rsidR="0001781A" w:rsidRPr="000973F2" w:rsidRDefault="0001781A" w:rsidP="00CC0A49">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18"/>
                <w:szCs w:val="18"/>
              </w:rPr>
            </w:pPr>
            <w:r w:rsidRPr="000973F2">
              <w:rPr>
                <w:rFonts w:ascii="Times New Roman" w:eastAsia="Times New Roman" w:hAnsi="Times New Roman" w:cs="Times New Roman"/>
                <w:b/>
                <w:bCs/>
                <w:sz w:val="18"/>
                <w:szCs w:val="18"/>
              </w:rPr>
              <w:t>O&amp;M Costs ($/year)</w:t>
            </w:r>
          </w:p>
        </w:tc>
        <w:tc>
          <w:tcPr>
            <w:tcW w:w="714" w:type="pct"/>
            <w:hideMark/>
          </w:tcPr>
          <w:p w14:paraId="2382DE77" w14:textId="77777777" w:rsidR="0001781A" w:rsidRPr="000973F2" w:rsidRDefault="0001781A" w:rsidP="00CC0A49">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18"/>
                <w:szCs w:val="18"/>
              </w:rPr>
            </w:pPr>
            <w:r w:rsidRPr="000973F2">
              <w:rPr>
                <w:rFonts w:ascii="Times New Roman" w:eastAsia="Times New Roman" w:hAnsi="Times New Roman" w:cs="Times New Roman"/>
                <w:b/>
                <w:bCs/>
                <w:sz w:val="18"/>
                <w:szCs w:val="18"/>
              </w:rPr>
              <w:t>Initial Year</w:t>
            </w:r>
          </w:p>
        </w:tc>
        <w:tc>
          <w:tcPr>
            <w:tcW w:w="714" w:type="pct"/>
            <w:hideMark/>
          </w:tcPr>
          <w:p w14:paraId="6E9D4662" w14:textId="77777777" w:rsidR="0001781A" w:rsidRPr="000973F2" w:rsidRDefault="0001781A" w:rsidP="00CC0A49">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18"/>
                <w:szCs w:val="18"/>
              </w:rPr>
            </w:pPr>
            <w:r w:rsidRPr="000973F2">
              <w:rPr>
                <w:rFonts w:ascii="Times New Roman" w:eastAsia="Times New Roman" w:hAnsi="Times New Roman" w:cs="Times New Roman"/>
                <w:b/>
                <w:bCs/>
                <w:sz w:val="18"/>
                <w:szCs w:val="18"/>
              </w:rPr>
              <w:t>Subseq. Years</w:t>
            </w:r>
          </w:p>
        </w:tc>
      </w:tr>
      <w:tr w:rsidR="007D3795" w:rsidRPr="000973F2" w14:paraId="34905B35" w14:textId="77777777" w:rsidTr="00034890">
        <w:trPr>
          <w:cantSplit/>
        </w:trPr>
        <w:tc>
          <w:tcPr>
            <w:cnfStyle w:val="001000000000" w:firstRow="0" w:lastRow="0" w:firstColumn="1" w:lastColumn="0" w:oddVBand="0" w:evenVBand="0" w:oddHBand="0" w:evenHBand="0" w:firstRowFirstColumn="0" w:firstRowLastColumn="0" w:lastRowFirstColumn="0" w:lastRowLastColumn="0"/>
            <w:tcW w:w="957" w:type="pct"/>
            <w:hideMark/>
          </w:tcPr>
          <w:p w14:paraId="3BAF8F96" w14:textId="3BA58F3F" w:rsidR="0001781A" w:rsidRPr="000973F2" w:rsidRDefault="0001781A" w:rsidP="00CC0A49">
            <w:pPr>
              <w:spacing w:before="40" w:after="4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Equipment (selection, purchase, installation)</w:t>
            </w:r>
          </w:p>
        </w:tc>
        <w:tc>
          <w:tcPr>
            <w:tcW w:w="654" w:type="pct"/>
            <w:noWrap/>
            <w:hideMark/>
          </w:tcPr>
          <w:p w14:paraId="59244CF3" w14:textId="77777777" w:rsidR="0001781A" w:rsidRPr="000973F2" w:rsidRDefault="0001781A" w:rsidP="00CC0A49">
            <w:pPr>
              <w:tabs>
                <w:tab w:val="decimal" w:pos="787"/>
              </w:tabs>
              <w:spacing w:before="40" w:after="4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$218,476</w:t>
            </w:r>
          </w:p>
        </w:tc>
        <w:tc>
          <w:tcPr>
            <w:tcW w:w="654" w:type="pct"/>
            <w:noWrap/>
            <w:hideMark/>
          </w:tcPr>
          <w:p w14:paraId="60A8EFDA" w14:textId="77777777" w:rsidR="0001781A" w:rsidRPr="000973F2" w:rsidRDefault="0001781A" w:rsidP="00CC0A49">
            <w:pPr>
              <w:tabs>
                <w:tab w:val="decimal" w:pos="555"/>
              </w:tabs>
              <w:spacing w:before="40" w:after="4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10</w:t>
            </w:r>
          </w:p>
        </w:tc>
        <w:tc>
          <w:tcPr>
            <w:tcW w:w="654" w:type="pct"/>
            <w:noWrap/>
            <w:hideMark/>
          </w:tcPr>
          <w:p w14:paraId="4C065569" w14:textId="77777777" w:rsidR="0001781A" w:rsidRPr="000973F2" w:rsidRDefault="0001781A" w:rsidP="00CC0A49">
            <w:pPr>
              <w:tabs>
                <w:tab w:val="decimal" w:pos="774"/>
              </w:tabs>
              <w:spacing w:before="40" w:after="4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$31,106</w:t>
            </w:r>
          </w:p>
        </w:tc>
        <w:tc>
          <w:tcPr>
            <w:tcW w:w="654" w:type="pct"/>
            <w:noWrap/>
            <w:hideMark/>
          </w:tcPr>
          <w:p w14:paraId="2A078778" w14:textId="77777777" w:rsidR="0001781A" w:rsidRPr="000973F2" w:rsidRDefault="0001781A" w:rsidP="00CC0A49">
            <w:pPr>
              <w:spacing w:before="40" w:after="4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$0</w:t>
            </w:r>
          </w:p>
        </w:tc>
        <w:tc>
          <w:tcPr>
            <w:tcW w:w="714" w:type="pct"/>
            <w:noWrap/>
            <w:hideMark/>
          </w:tcPr>
          <w:p w14:paraId="7DE4D6C3" w14:textId="77777777" w:rsidR="0001781A" w:rsidRPr="000973F2" w:rsidRDefault="0001781A" w:rsidP="00CC0A49">
            <w:pPr>
              <w:tabs>
                <w:tab w:val="decimal" w:pos="852"/>
              </w:tabs>
              <w:spacing w:before="40" w:after="4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$31,106</w:t>
            </w:r>
          </w:p>
        </w:tc>
        <w:tc>
          <w:tcPr>
            <w:tcW w:w="714" w:type="pct"/>
            <w:noWrap/>
            <w:hideMark/>
          </w:tcPr>
          <w:p w14:paraId="4F1004AE" w14:textId="77777777" w:rsidR="0001781A" w:rsidRPr="000973F2" w:rsidRDefault="0001781A" w:rsidP="00CC0A49">
            <w:pPr>
              <w:tabs>
                <w:tab w:val="decimal" w:pos="762"/>
              </w:tabs>
              <w:spacing w:before="40" w:after="4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$31,106</w:t>
            </w:r>
          </w:p>
        </w:tc>
      </w:tr>
      <w:tr w:rsidR="00034890" w:rsidRPr="000973F2" w14:paraId="32F1C15F" w14:textId="77777777" w:rsidTr="00034890">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957" w:type="pct"/>
            <w:hideMark/>
          </w:tcPr>
          <w:p w14:paraId="2107CB7C" w14:textId="77777777" w:rsidR="00034890" w:rsidRPr="000973F2" w:rsidRDefault="00034890" w:rsidP="00034890">
            <w:pPr>
              <w:spacing w:before="40" w:after="4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Performance testing</w:t>
            </w:r>
          </w:p>
        </w:tc>
        <w:tc>
          <w:tcPr>
            <w:tcW w:w="654" w:type="pct"/>
            <w:noWrap/>
            <w:hideMark/>
          </w:tcPr>
          <w:p w14:paraId="4316159C" w14:textId="4179EF6F" w:rsidR="00034890" w:rsidRPr="000973F2" w:rsidRDefault="00034890" w:rsidP="00034890">
            <w:pPr>
              <w:tabs>
                <w:tab w:val="decimal" w:pos="787"/>
              </w:tabs>
              <w:spacing w:before="40" w:after="4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w:t>
            </w:r>
          </w:p>
        </w:tc>
        <w:tc>
          <w:tcPr>
            <w:tcW w:w="654" w:type="pct"/>
            <w:noWrap/>
          </w:tcPr>
          <w:p w14:paraId="4147D90A" w14:textId="7DE350F5" w:rsidR="00034890" w:rsidRPr="000973F2" w:rsidRDefault="00034890" w:rsidP="00034890">
            <w:pPr>
              <w:tabs>
                <w:tab w:val="decimal" w:pos="555"/>
              </w:tabs>
              <w:spacing w:before="40" w:after="4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w:t>
            </w:r>
          </w:p>
        </w:tc>
        <w:tc>
          <w:tcPr>
            <w:tcW w:w="654" w:type="pct"/>
            <w:noWrap/>
            <w:hideMark/>
          </w:tcPr>
          <w:p w14:paraId="7C5E2687" w14:textId="1EF3FAFD" w:rsidR="00034890" w:rsidRPr="000973F2" w:rsidRDefault="00034890" w:rsidP="00034890">
            <w:pPr>
              <w:tabs>
                <w:tab w:val="decimal" w:pos="774"/>
              </w:tabs>
              <w:spacing w:before="40" w:after="4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w:t>
            </w:r>
          </w:p>
        </w:tc>
        <w:tc>
          <w:tcPr>
            <w:tcW w:w="654" w:type="pct"/>
            <w:noWrap/>
            <w:hideMark/>
          </w:tcPr>
          <w:p w14:paraId="42F8F756" w14:textId="75B11AD2" w:rsidR="00034890" w:rsidRPr="000973F2" w:rsidRDefault="00034890" w:rsidP="00034890">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w:t>
            </w:r>
          </w:p>
        </w:tc>
        <w:tc>
          <w:tcPr>
            <w:tcW w:w="714" w:type="pct"/>
            <w:noWrap/>
            <w:hideMark/>
          </w:tcPr>
          <w:p w14:paraId="64358677" w14:textId="610315A5" w:rsidR="00034890" w:rsidRPr="000973F2" w:rsidRDefault="00034890" w:rsidP="00034890">
            <w:pPr>
              <w:tabs>
                <w:tab w:val="decimal" w:pos="852"/>
              </w:tabs>
              <w:spacing w:before="40" w:after="4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w:t>
            </w:r>
          </w:p>
        </w:tc>
        <w:tc>
          <w:tcPr>
            <w:tcW w:w="714" w:type="pct"/>
            <w:noWrap/>
            <w:hideMark/>
          </w:tcPr>
          <w:p w14:paraId="74747678" w14:textId="28956E12" w:rsidR="00034890" w:rsidRPr="000973F2" w:rsidRDefault="00034890" w:rsidP="00034890">
            <w:pPr>
              <w:tabs>
                <w:tab w:val="decimal" w:pos="762"/>
              </w:tabs>
              <w:spacing w:before="40" w:after="4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w:t>
            </w:r>
          </w:p>
        </w:tc>
      </w:tr>
      <w:tr w:rsidR="00034890" w:rsidRPr="000973F2" w14:paraId="3F38BFEC" w14:textId="77777777" w:rsidTr="00034890">
        <w:trPr>
          <w:cantSplit/>
        </w:trPr>
        <w:tc>
          <w:tcPr>
            <w:cnfStyle w:val="001000000000" w:firstRow="0" w:lastRow="0" w:firstColumn="1" w:lastColumn="0" w:oddVBand="0" w:evenVBand="0" w:oddHBand="0" w:evenHBand="0" w:firstRowFirstColumn="0" w:firstRowLastColumn="0" w:lastRowFirstColumn="0" w:lastRowLastColumn="0"/>
            <w:tcW w:w="957" w:type="pct"/>
            <w:hideMark/>
          </w:tcPr>
          <w:p w14:paraId="7F942303" w14:textId="77777777" w:rsidR="00034890" w:rsidRPr="000973F2" w:rsidRDefault="00034890" w:rsidP="00034890">
            <w:pPr>
              <w:spacing w:before="40" w:after="4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Recordkeeping</w:t>
            </w:r>
          </w:p>
        </w:tc>
        <w:tc>
          <w:tcPr>
            <w:tcW w:w="654" w:type="pct"/>
            <w:noWrap/>
            <w:hideMark/>
          </w:tcPr>
          <w:p w14:paraId="7110318F" w14:textId="37AFA461" w:rsidR="00034890" w:rsidRPr="000973F2" w:rsidRDefault="00034890" w:rsidP="00034890">
            <w:pPr>
              <w:tabs>
                <w:tab w:val="decimal" w:pos="787"/>
              </w:tabs>
              <w:spacing w:before="40" w:after="4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w:t>
            </w:r>
          </w:p>
        </w:tc>
        <w:tc>
          <w:tcPr>
            <w:tcW w:w="654" w:type="pct"/>
            <w:noWrap/>
          </w:tcPr>
          <w:p w14:paraId="154A2460" w14:textId="6841DC07" w:rsidR="00034890" w:rsidRPr="000973F2" w:rsidRDefault="00034890" w:rsidP="00034890">
            <w:pPr>
              <w:tabs>
                <w:tab w:val="decimal" w:pos="555"/>
              </w:tabs>
              <w:spacing w:before="40" w:after="4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w:t>
            </w:r>
          </w:p>
        </w:tc>
        <w:tc>
          <w:tcPr>
            <w:tcW w:w="654" w:type="pct"/>
            <w:noWrap/>
            <w:hideMark/>
          </w:tcPr>
          <w:p w14:paraId="5862403B" w14:textId="1FD2D27E" w:rsidR="00034890" w:rsidRPr="000973F2" w:rsidRDefault="00034890" w:rsidP="00034890">
            <w:pPr>
              <w:tabs>
                <w:tab w:val="decimal" w:pos="774"/>
              </w:tabs>
              <w:spacing w:before="40" w:after="4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w:t>
            </w:r>
          </w:p>
        </w:tc>
        <w:tc>
          <w:tcPr>
            <w:tcW w:w="654" w:type="pct"/>
            <w:noWrap/>
            <w:hideMark/>
          </w:tcPr>
          <w:p w14:paraId="4C46EA9B" w14:textId="76947C87" w:rsidR="00034890" w:rsidRPr="000973F2" w:rsidRDefault="00034890" w:rsidP="00034890">
            <w:pPr>
              <w:spacing w:before="40" w:after="4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w:t>
            </w:r>
          </w:p>
        </w:tc>
        <w:tc>
          <w:tcPr>
            <w:tcW w:w="714" w:type="pct"/>
            <w:noWrap/>
            <w:hideMark/>
          </w:tcPr>
          <w:p w14:paraId="57A3079C" w14:textId="7EC523E9" w:rsidR="00034890" w:rsidRPr="000973F2" w:rsidRDefault="00034890" w:rsidP="00034890">
            <w:pPr>
              <w:tabs>
                <w:tab w:val="decimal" w:pos="852"/>
              </w:tabs>
              <w:spacing w:before="40" w:after="4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w:t>
            </w:r>
          </w:p>
        </w:tc>
        <w:tc>
          <w:tcPr>
            <w:tcW w:w="714" w:type="pct"/>
            <w:noWrap/>
            <w:hideMark/>
          </w:tcPr>
          <w:p w14:paraId="2467DA91" w14:textId="45C6380C" w:rsidR="00034890" w:rsidRPr="000973F2" w:rsidRDefault="00034890" w:rsidP="00034890">
            <w:pPr>
              <w:tabs>
                <w:tab w:val="decimal" w:pos="762"/>
              </w:tabs>
              <w:spacing w:before="40" w:after="4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w:t>
            </w:r>
          </w:p>
        </w:tc>
      </w:tr>
      <w:tr w:rsidR="00034890" w:rsidRPr="000973F2" w14:paraId="009A4225" w14:textId="77777777" w:rsidTr="00034890">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957" w:type="pct"/>
            <w:hideMark/>
          </w:tcPr>
          <w:p w14:paraId="7F279301" w14:textId="77777777" w:rsidR="00034890" w:rsidRPr="000973F2" w:rsidRDefault="00034890" w:rsidP="00034890">
            <w:pPr>
              <w:spacing w:before="40" w:after="4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Travel</w:t>
            </w:r>
          </w:p>
        </w:tc>
        <w:tc>
          <w:tcPr>
            <w:tcW w:w="654" w:type="pct"/>
            <w:noWrap/>
            <w:hideMark/>
          </w:tcPr>
          <w:p w14:paraId="2C3F7823" w14:textId="1FA9FD0D" w:rsidR="00034890" w:rsidRPr="000973F2" w:rsidRDefault="00034890" w:rsidP="00034890">
            <w:pPr>
              <w:tabs>
                <w:tab w:val="decimal" w:pos="787"/>
              </w:tabs>
              <w:spacing w:before="40" w:after="4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w:t>
            </w:r>
          </w:p>
        </w:tc>
        <w:tc>
          <w:tcPr>
            <w:tcW w:w="654" w:type="pct"/>
            <w:noWrap/>
          </w:tcPr>
          <w:p w14:paraId="19F0AA6A" w14:textId="575D95CA" w:rsidR="00034890" w:rsidRPr="000973F2" w:rsidRDefault="00034890" w:rsidP="00034890">
            <w:pPr>
              <w:tabs>
                <w:tab w:val="decimal" w:pos="555"/>
              </w:tabs>
              <w:spacing w:before="40" w:after="4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w:t>
            </w:r>
          </w:p>
        </w:tc>
        <w:tc>
          <w:tcPr>
            <w:tcW w:w="654" w:type="pct"/>
            <w:noWrap/>
            <w:hideMark/>
          </w:tcPr>
          <w:p w14:paraId="40C653DD" w14:textId="243CBFED" w:rsidR="00034890" w:rsidRPr="000973F2" w:rsidRDefault="00034890" w:rsidP="00034890">
            <w:pPr>
              <w:tabs>
                <w:tab w:val="decimal" w:pos="774"/>
              </w:tabs>
              <w:spacing w:before="40" w:after="4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w:t>
            </w:r>
          </w:p>
        </w:tc>
        <w:tc>
          <w:tcPr>
            <w:tcW w:w="654" w:type="pct"/>
            <w:noWrap/>
            <w:hideMark/>
          </w:tcPr>
          <w:p w14:paraId="138C1756" w14:textId="76067736" w:rsidR="00034890" w:rsidRPr="000973F2" w:rsidRDefault="00034890" w:rsidP="00034890">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w:t>
            </w:r>
          </w:p>
        </w:tc>
        <w:tc>
          <w:tcPr>
            <w:tcW w:w="714" w:type="pct"/>
            <w:noWrap/>
            <w:hideMark/>
          </w:tcPr>
          <w:p w14:paraId="0067EDC0" w14:textId="06B0DD6C" w:rsidR="00034890" w:rsidRPr="000973F2" w:rsidRDefault="00034890" w:rsidP="00034890">
            <w:pPr>
              <w:tabs>
                <w:tab w:val="decimal" w:pos="852"/>
              </w:tabs>
              <w:spacing w:before="40" w:after="4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w:t>
            </w:r>
          </w:p>
        </w:tc>
        <w:tc>
          <w:tcPr>
            <w:tcW w:w="714" w:type="pct"/>
            <w:noWrap/>
            <w:hideMark/>
          </w:tcPr>
          <w:p w14:paraId="2E18985F" w14:textId="77A59ADA" w:rsidR="00034890" w:rsidRPr="000973F2" w:rsidRDefault="00034890" w:rsidP="00034890">
            <w:pPr>
              <w:tabs>
                <w:tab w:val="decimal" w:pos="762"/>
              </w:tabs>
              <w:spacing w:before="40" w:after="4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w:t>
            </w:r>
          </w:p>
        </w:tc>
      </w:tr>
      <w:tr w:rsidR="00034890" w:rsidRPr="000973F2" w14:paraId="3235580D" w14:textId="77777777" w:rsidTr="00034890">
        <w:trPr>
          <w:cantSplit/>
        </w:trPr>
        <w:tc>
          <w:tcPr>
            <w:cnfStyle w:val="001000000000" w:firstRow="0" w:lastRow="0" w:firstColumn="1" w:lastColumn="0" w:oddVBand="0" w:evenVBand="0" w:oddHBand="0" w:evenHBand="0" w:firstRowFirstColumn="0" w:firstRowLastColumn="0" w:lastRowFirstColumn="0" w:lastRowLastColumn="0"/>
            <w:tcW w:w="957" w:type="pct"/>
            <w:hideMark/>
          </w:tcPr>
          <w:p w14:paraId="38E827D6" w14:textId="77777777" w:rsidR="00034890" w:rsidRPr="000973F2" w:rsidRDefault="00034890" w:rsidP="00034890">
            <w:pPr>
              <w:spacing w:before="40" w:after="4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Sampling and Analysis Costs</w:t>
            </w:r>
          </w:p>
        </w:tc>
        <w:tc>
          <w:tcPr>
            <w:tcW w:w="654" w:type="pct"/>
            <w:noWrap/>
            <w:hideMark/>
          </w:tcPr>
          <w:p w14:paraId="3D4CFE88" w14:textId="3F44094C" w:rsidR="00034890" w:rsidRPr="000973F2" w:rsidRDefault="00034890" w:rsidP="00034890">
            <w:pPr>
              <w:tabs>
                <w:tab w:val="decimal" w:pos="787"/>
              </w:tabs>
              <w:spacing w:before="40" w:after="4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w:t>
            </w:r>
          </w:p>
        </w:tc>
        <w:tc>
          <w:tcPr>
            <w:tcW w:w="654" w:type="pct"/>
            <w:noWrap/>
          </w:tcPr>
          <w:p w14:paraId="4DCD78C7" w14:textId="30257171" w:rsidR="00034890" w:rsidRPr="000973F2" w:rsidRDefault="00034890" w:rsidP="00034890">
            <w:pPr>
              <w:tabs>
                <w:tab w:val="decimal" w:pos="555"/>
              </w:tabs>
              <w:spacing w:before="40" w:after="4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w:t>
            </w:r>
          </w:p>
        </w:tc>
        <w:tc>
          <w:tcPr>
            <w:tcW w:w="654" w:type="pct"/>
            <w:noWrap/>
            <w:hideMark/>
          </w:tcPr>
          <w:p w14:paraId="5E9F4E2C" w14:textId="4CACB9EE" w:rsidR="00034890" w:rsidRPr="000973F2" w:rsidRDefault="00034890" w:rsidP="00034890">
            <w:pPr>
              <w:tabs>
                <w:tab w:val="decimal" w:pos="774"/>
              </w:tabs>
              <w:spacing w:before="40" w:after="4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w:t>
            </w:r>
          </w:p>
        </w:tc>
        <w:tc>
          <w:tcPr>
            <w:tcW w:w="654" w:type="pct"/>
            <w:noWrap/>
            <w:hideMark/>
          </w:tcPr>
          <w:p w14:paraId="2086CCB2" w14:textId="6F96843A" w:rsidR="00034890" w:rsidRPr="000973F2" w:rsidRDefault="00034890" w:rsidP="00034890">
            <w:pPr>
              <w:spacing w:before="40" w:after="4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w:t>
            </w:r>
          </w:p>
        </w:tc>
        <w:tc>
          <w:tcPr>
            <w:tcW w:w="714" w:type="pct"/>
            <w:noWrap/>
            <w:hideMark/>
          </w:tcPr>
          <w:p w14:paraId="6E6792EA" w14:textId="5A90F207" w:rsidR="00034890" w:rsidRPr="000973F2" w:rsidRDefault="00034890" w:rsidP="00034890">
            <w:pPr>
              <w:tabs>
                <w:tab w:val="decimal" w:pos="852"/>
              </w:tabs>
              <w:spacing w:before="40" w:after="4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w:t>
            </w:r>
          </w:p>
        </w:tc>
        <w:tc>
          <w:tcPr>
            <w:tcW w:w="714" w:type="pct"/>
            <w:noWrap/>
            <w:hideMark/>
          </w:tcPr>
          <w:p w14:paraId="167C1B70" w14:textId="2BAFF22E" w:rsidR="00034890" w:rsidRPr="000973F2" w:rsidRDefault="00034890" w:rsidP="00034890">
            <w:pPr>
              <w:tabs>
                <w:tab w:val="decimal" w:pos="762"/>
              </w:tabs>
              <w:spacing w:before="40" w:after="4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w:t>
            </w:r>
          </w:p>
        </w:tc>
      </w:tr>
      <w:tr w:rsidR="0001781A" w:rsidRPr="000973F2" w14:paraId="6B8BB2D8" w14:textId="77777777" w:rsidTr="00034890">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957" w:type="pct"/>
            <w:hideMark/>
          </w:tcPr>
          <w:p w14:paraId="437FC5B0" w14:textId="77777777" w:rsidR="0001781A" w:rsidRPr="000973F2" w:rsidRDefault="0001781A" w:rsidP="00CC0A49">
            <w:pPr>
              <w:spacing w:before="40" w:after="40"/>
              <w:rPr>
                <w:rFonts w:ascii="Times New Roman" w:eastAsia="Times New Roman" w:hAnsi="Times New Roman" w:cs="Times New Roman"/>
                <w:b/>
                <w:bCs w:val="0"/>
                <w:sz w:val="18"/>
                <w:szCs w:val="18"/>
              </w:rPr>
            </w:pPr>
            <w:r w:rsidRPr="000973F2">
              <w:rPr>
                <w:rFonts w:ascii="Times New Roman" w:eastAsia="Times New Roman" w:hAnsi="Times New Roman" w:cs="Times New Roman"/>
                <w:b/>
                <w:sz w:val="18"/>
                <w:szCs w:val="18"/>
              </w:rPr>
              <w:t xml:space="preserve">Total </w:t>
            </w:r>
          </w:p>
        </w:tc>
        <w:tc>
          <w:tcPr>
            <w:tcW w:w="654" w:type="pct"/>
            <w:noWrap/>
            <w:hideMark/>
          </w:tcPr>
          <w:p w14:paraId="17CFB80C" w14:textId="77777777" w:rsidR="0001781A" w:rsidRPr="000973F2" w:rsidRDefault="0001781A" w:rsidP="00CC0A49">
            <w:pPr>
              <w:tabs>
                <w:tab w:val="decimal" w:pos="787"/>
              </w:tabs>
              <w:spacing w:before="40" w:after="4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$218,476</w:t>
            </w:r>
          </w:p>
        </w:tc>
        <w:tc>
          <w:tcPr>
            <w:tcW w:w="654" w:type="pct"/>
            <w:noWrap/>
            <w:hideMark/>
          </w:tcPr>
          <w:p w14:paraId="16D4664D" w14:textId="77777777" w:rsidR="0001781A" w:rsidRPr="000973F2" w:rsidRDefault="0001781A" w:rsidP="00CC0A49">
            <w:pPr>
              <w:tabs>
                <w:tab w:val="decimal" w:pos="555"/>
              </w:tabs>
              <w:spacing w:before="40" w:after="4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 </w:t>
            </w:r>
          </w:p>
        </w:tc>
        <w:tc>
          <w:tcPr>
            <w:tcW w:w="654" w:type="pct"/>
            <w:noWrap/>
            <w:hideMark/>
          </w:tcPr>
          <w:p w14:paraId="6D654574" w14:textId="77777777" w:rsidR="0001781A" w:rsidRPr="000973F2" w:rsidRDefault="0001781A" w:rsidP="00CC0A49">
            <w:pPr>
              <w:tabs>
                <w:tab w:val="decimal" w:pos="774"/>
              </w:tabs>
              <w:spacing w:before="40" w:after="4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$31,106</w:t>
            </w:r>
          </w:p>
        </w:tc>
        <w:tc>
          <w:tcPr>
            <w:tcW w:w="654" w:type="pct"/>
            <w:noWrap/>
            <w:hideMark/>
          </w:tcPr>
          <w:p w14:paraId="612656CB" w14:textId="77777777" w:rsidR="0001781A" w:rsidRPr="000973F2" w:rsidRDefault="0001781A" w:rsidP="00CC0A49">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$0</w:t>
            </w:r>
          </w:p>
        </w:tc>
        <w:tc>
          <w:tcPr>
            <w:tcW w:w="714" w:type="pct"/>
            <w:noWrap/>
            <w:hideMark/>
          </w:tcPr>
          <w:p w14:paraId="16DC9A11" w14:textId="77777777" w:rsidR="0001781A" w:rsidRPr="000973F2" w:rsidRDefault="0001781A" w:rsidP="00CC0A49">
            <w:pPr>
              <w:tabs>
                <w:tab w:val="decimal" w:pos="852"/>
              </w:tabs>
              <w:spacing w:before="40" w:after="4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$31,106</w:t>
            </w:r>
          </w:p>
        </w:tc>
        <w:tc>
          <w:tcPr>
            <w:tcW w:w="714" w:type="pct"/>
            <w:noWrap/>
            <w:hideMark/>
          </w:tcPr>
          <w:p w14:paraId="280F3C5E" w14:textId="77777777" w:rsidR="0001781A" w:rsidRPr="000973F2" w:rsidRDefault="0001781A" w:rsidP="00CC0A49">
            <w:pPr>
              <w:tabs>
                <w:tab w:val="decimal" w:pos="762"/>
              </w:tabs>
              <w:spacing w:before="40" w:after="4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$31,106</w:t>
            </w:r>
          </w:p>
        </w:tc>
      </w:tr>
    </w:tbl>
    <w:p w14:paraId="158978DC" w14:textId="77777777" w:rsidR="0001781A" w:rsidRPr="000973F2" w:rsidRDefault="0001781A" w:rsidP="00CC6C17">
      <w:pPr>
        <w:pStyle w:val="AfterTable"/>
      </w:pPr>
    </w:p>
    <w:p w14:paraId="55EE56CE" w14:textId="77777777" w:rsidR="0001781A" w:rsidRPr="000973F2" w:rsidRDefault="0001781A" w:rsidP="00CC6C17">
      <w:pPr>
        <w:pStyle w:val="Heading2"/>
      </w:pPr>
      <w:r w:rsidRPr="000973F2">
        <w:t>Total Costs for Subpart C</w:t>
      </w:r>
    </w:p>
    <w:p w14:paraId="680A1EA7" w14:textId="540D16DD" w:rsidR="006A6FFF" w:rsidRPr="000973F2" w:rsidRDefault="0001781A" w:rsidP="00CC6C17">
      <w:pPr>
        <w:pStyle w:val="BodyText"/>
      </w:pPr>
      <w:r w:rsidRPr="000973F2">
        <w:t>The total costs related to Subpart C for existing facilities are approximately $21.9 million in 2019, $23.1</w:t>
      </w:r>
      <w:r w:rsidR="003966CF" w:rsidRPr="000973F2">
        <w:t> </w:t>
      </w:r>
      <w:r w:rsidRPr="000973F2">
        <w:t>million in 2020, and $24.3 million in 2021. The total cost for new facilities to Subpart C is approximately $1.4 million per year</w:t>
      </w:r>
      <w:r w:rsidR="006D0010" w:rsidRPr="000973F2">
        <w:t xml:space="preserve"> for </w:t>
      </w:r>
      <w:r w:rsidR="00DD3E89" w:rsidRPr="000973F2">
        <w:t xml:space="preserve">a total of </w:t>
      </w:r>
      <w:r w:rsidR="006D0010" w:rsidRPr="000973F2">
        <w:t>appro</w:t>
      </w:r>
      <w:r w:rsidR="004220E6" w:rsidRPr="000973F2">
        <w:t>x</w:t>
      </w:r>
      <w:r w:rsidR="006D0010" w:rsidRPr="000973F2">
        <w:t>imately</w:t>
      </w:r>
      <w:r w:rsidR="00470775" w:rsidRPr="000973F2">
        <w:t xml:space="preserve"> </w:t>
      </w:r>
      <w:r w:rsidR="00DD3E89" w:rsidRPr="000973F2">
        <w:t>$24</w:t>
      </w:r>
      <w:r w:rsidR="00470775" w:rsidRPr="000973F2">
        <w:t>.5 million</w:t>
      </w:r>
      <w:r w:rsidR="00DD3E89" w:rsidRPr="000973F2">
        <w:t xml:space="preserve"> per year</w:t>
      </w:r>
      <w:r w:rsidRPr="000973F2">
        <w:t>. The total industry cost for Subpart C is approximately $73.4 million over the three-year period of the ICR. A detailed explanation of these totals is provided in Appendix F to the Supporting Statement.</w:t>
      </w:r>
      <w:r w:rsidR="006A6FFF" w:rsidRPr="000973F2">
        <w:br w:type="page"/>
      </w:r>
    </w:p>
    <w:p w14:paraId="08300235" w14:textId="77777777" w:rsidR="00DD5929" w:rsidRPr="000973F2" w:rsidRDefault="00DD5929" w:rsidP="009663E4">
      <w:pPr>
        <w:pStyle w:val="Heading1"/>
      </w:pPr>
      <w:bookmarkStart w:id="6" w:name="_Toc10715596"/>
      <w:r w:rsidRPr="000973F2">
        <w:t>Cost Appendix for Subpart D – Electricity Generation</w:t>
      </w:r>
      <w:bookmarkEnd w:id="6"/>
    </w:p>
    <w:p w14:paraId="34D16FBD" w14:textId="77777777" w:rsidR="00DD5929" w:rsidRPr="000973F2" w:rsidRDefault="00DD5929" w:rsidP="009663E4">
      <w:pPr>
        <w:pStyle w:val="Heading2"/>
      </w:pPr>
      <w:r w:rsidRPr="000973F2">
        <w:t>Description of Subpart D</w:t>
      </w:r>
    </w:p>
    <w:p w14:paraId="61B8803F" w14:textId="7337F5D4" w:rsidR="00DD5929" w:rsidRPr="000973F2" w:rsidRDefault="00DD5929" w:rsidP="009663E4">
      <w:pPr>
        <w:pStyle w:val="BodyText"/>
      </w:pPr>
      <w:r w:rsidRPr="000973F2">
        <w:t>Per the applicability of §98.40(a), the electricity generation source category consists of electricity-generating units (EGUs) that are either subject to the requirements of the Acid Rain Reporting Program or are otherwise required to monitor and report CO</w:t>
      </w:r>
      <w:r w:rsidRPr="000973F2">
        <w:rPr>
          <w:vertAlign w:val="subscript"/>
        </w:rPr>
        <w:t>2</w:t>
      </w:r>
      <w:r w:rsidRPr="000973F2">
        <w:t xml:space="preserve"> emissions year-round according to 40 CFR Part 75. In </w:t>
      </w:r>
      <w:r w:rsidR="009F5E7A" w:rsidRPr="000973F2">
        <w:t>RY</w:t>
      </w:r>
      <w:r w:rsidRPr="000973F2">
        <w:t>2017, 1,</w:t>
      </w:r>
      <w:r w:rsidR="00473864" w:rsidRPr="000973F2">
        <w:t>124</w:t>
      </w:r>
      <w:r w:rsidRPr="000973F2">
        <w:t xml:space="preserve"> power plants reported their GHG emissions under Subpart D. The number of facilities has decreased since 2010; therefore, no new facilities are expected to report to Subpart D </w:t>
      </w:r>
      <w:r w:rsidR="00922980" w:rsidRPr="000973F2">
        <w:t xml:space="preserve">during </w:t>
      </w:r>
      <w:r w:rsidRPr="000973F2">
        <w:t xml:space="preserve">the </w:t>
      </w:r>
      <w:r w:rsidR="009663E4" w:rsidRPr="000973F2">
        <w:t>three-year</w:t>
      </w:r>
      <w:r w:rsidR="00922980" w:rsidRPr="000973F2">
        <w:t xml:space="preserve"> period covered by</w:t>
      </w:r>
      <w:r w:rsidRPr="000973F2">
        <w:t xml:space="preserve"> this ICR.</w:t>
      </w:r>
    </w:p>
    <w:p w14:paraId="7E1CE1E0" w14:textId="77777777" w:rsidR="00DD5929" w:rsidRPr="000973F2" w:rsidRDefault="00DD5929" w:rsidP="009663E4">
      <w:pPr>
        <w:pStyle w:val="Heading2"/>
      </w:pPr>
      <w:r w:rsidRPr="000973F2">
        <w:t>Labor Costs for Subpart D</w:t>
      </w:r>
    </w:p>
    <w:p w14:paraId="35124B48" w14:textId="0DFD60AD" w:rsidR="00DD5929" w:rsidRPr="000973F2" w:rsidRDefault="00DD5929" w:rsidP="009663E4">
      <w:pPr>
        <w:pStyle w:val="BodyText"/>
      </w:pPr>
      <w:r w:rsidRPr="000973F2">
        <w:t xml:space="preserve">Labor costs for Subpart D are shown in Table </w:t>
      </w:r>
      <w:r w:rsidR="009663E4" w:rsidRPr="000973F2">
        <w:t>D-</w:t>
      </w:r>
      <w:r w:rsidRPr="000973F2">
        <w:t>1. Facilities must utilize the same CO</w:t>
      </w:r>
      <w:r w:rsidRPr="000973F2">
        <w:rPr>
          <w:vertAlign w:val="subscript"/>
        </w:rPr>
        <w:t>2</w:t>
      </w:r>
      <w:r w:rsidRPr="000973F2">
        <w:t xml:space="preserve"> calculation methodologies for Part 98 as </w:t>
      </w:r>
      <w:r w:rsidR="00D45837" w:rsidRPr="000973F2">
        <w:t xml:space="preserve">are </w:t>
      </w:r>
      <w:r w:rsidRPr="000973F2">
        <w:t>used for Part 75 reporting purposes. Therefore, no planning costs or QA/QC costs are attributed to Subpart D. The only calculations that would be required by Subpart D but are not already required by Part 75 are the conversion of CO</w:t>
      </w:r>
      <w:r w:rsidRPr="000973F2">
        <w:rPr>
          <w:vertAlign w:val="subscript"/>
        </w:rPr>
        <w:t>2</w:t>
      </w:r>
      <w:r w:rsidRPr="000973F2">
        <w:t xml:space="preserve"> emissions from short tons to metric tons, the calculation of CH</w:t>
      </w:r>
      <w:r w:rsidRPr="000973F2">
        <w:rPr>
          <w:vertAlign w:val="subscript"/>
        </w:rPr>
        <w:t>4</w:t>
      </w:r>
      <w:r w:rsidRPr="000973F2">
        <w:t xml:space="preserve"> and nitrous oxide N</w:t>
      </w:r>
      <w:r w:rsidRPr="000973F2">
        <w:rPr>
          <w:vertAlign w:val="subscript"/>
        </w:rPr>
        <w:t>2</w:t>
      </w:r>
      <w:r w:rsidRPr="000973F2">
        <w:t>O emissions, and the calculation of biogenic CO</w:t>
      </w:r>
      <w:r w:rsidRPr="000973F2">
        <w:rPr>
          <w:vertAlign w:val="subscript"/>
        </w:rPr>
        <w:t>2</w:t>
      </w:r>
      <w:r w:rsidRPr="000973F2">
        <w:t xml:space="preserve"> emissions. These calculations are automatically generated by e-GGRT, when each facility submits the GHGRP report. Therefore, those costs are not attributed to Subpart D calculation costs but are included as part of reporting costs. </w:t>
      </w:r>
      <w:r w:rsidR="00D45837" w:rsidRPr="000973F2">
        <w:t xml:space="preserve">Starting in RY2017, EPA simplified reporting for Subpart D by allowing data submitted for Part 75 to be carried over into e-GGRT. Therefore, recordkeeping and reporting costs in Table </w:t>
      </w:r>
      <w:r w:rsidR="000D7DE6" w:rsidRPr="000973F2">
        <w:t>D-</w:t>
      </w:r>
      <w:r w:rsidR="00D45837" w:rsidRPr="000973F2">
        <w:t xml:space="preserve">1 are based on </w:t>
      </w:r>
      <w:r w:rsidRPr="000973F2">
        <w:t xml:space="preserve">50% of the usual hours assigned to the </w:t>
      </w:r>
      <w:r w:rsidR="002506E0" w:rsidRPr="000973F2">
        <w:t>“</w:t>
      </w:r>
      <w:r w:rsidRPr="000973F2">
        <w:t>low bin</w:t>
      </w:r>
      <w:r w:rsidR="002506E0" w:rsidRPr="000973F2">
        <w:t>”</w:t>
      </w:r>
      <w:r w:rsidR="00E21360" w:rsidRPr="000973F2">
        <w:t xml:space="preserve"> </w:t>
      </w:r>
      <w:r w:rsidR="00D45837" w:rsidRPr="000973F2">
        <w:t>d</w:t>
      </w:r>
      <w:r w:rsidR="00E21360" w:rsidRPr="000973F2">
        <w:t>esignation</w:t>
      </w:r>
      <w:r w:rsidR="00D45837" w:rsidRPr="000973F2">
        <w:t xml:space="preserve"> to reflect this simplified reporting for Subpart D</w:t>
      </w:r>
      <w:r w:rsidR="00E21360" w:rsidRPr="000973F2">
        <w:t>.</w:t>
      </w:r>
      <w:r w:rsidRPr="000973F2">
        <w:t xml:space="preserve"> </w:t>
      </w:r>
    </w:p>
    <w:p w14:paraId="1B13167E" w14:textId="6283AC4C" w:rsidR="001E33B1" w:rsidRPr="000973F2" w:rsidRDefault="001E33B1" w:rsidP="009663E4">
      <w:pPr>
        <w:pStyle w:val="Tabletitle"/>
      </w:pPr>
      <w:r w:rsidRPr="000973F2">
        <w:t xml:space="preserve">Table </w:t>
      </w:r>
      <w:r w:rsidR="009663E4" w:rsidRPr="000973F2">
        <w:t>D-</w:t>
      </w:r>
      <w:r w:rsidRPr="000973F2">
        <w:t xml:space="preserve">1. Labor Costs </w:t>
      </w:r>
      <w:r w:rsidR="009663E4" w:rsidRPr="000973F2">
        <w:t>–</w:t>
      </w:r>
      <w:r w:rsidRPr="000973F2">
        <w:t xml:space="preserve"> Subpart D</w:t>
      </w:r>
    </w:p>
    <w:tbl>
      <w:tblPr>
        <w:tblStyle w:val="PlainTable1"/>
        <w:tblW w:w="5000" w:type="pct"/>
        <w:jc w:val="left"/>
        <w:tblLayout w:type="fixed"/>
        <w:tblCellMar>
          <w:left w:w="115" w:type="dxa"/>
          <w:right w:w="115" w:type="dxa"/>
        </w:tblCellMar>
        <w:tblLook w:val="04A0" w:firstRow="1" w:lastRow="0" w:firstColumn="1" w:lastColumn="0" w:noHBand="0" w:noVBand="1"/>
      </w:tblPr>
      <w:tblGrid>
        <w:gridCol w:w="1367"/>
        <w:gridCol w:w="823"/>
        <w:gridCol w:w="823"/>
        <w:gridCol w:w="822"/>
        <w:gridCol w:w="822"/>
        <w:gridCol w:w="822"/>
        <w:gridCol w:w="822"/>
        <w:gridCol w:w="822"/>
        <w:gridCol w:w="823"/>
        <w:gridCol w:w="822"/>
        <w:gridCol w:w="822"/>
      </w:tblGrid>
      <w:tr w:rsidR="001E33B1" w:rsidRPr="000973F2" w14:paraId="64C4F7A1" w14:textId="77777777" w:rsidTr="009663E4">
        <w:trPr>
          <w:cnfStyle w:val="100000000000" w:firstRow="1" w:lastRow="0" w:firstColumn="0" w:lastColumn="0" w:oddVBand="0" w:evenVBand="0" w:oddHBand="0" w:evenHBand="0" w:firstRowFirstColumn="0" w:firstRowLastColumn="0" w:lastRowFirstColumn="0" w:lastRowLastColumn="0"/>
          <w:cantSplit/>
          <w:jc w:val="left"/>
        </w:trPr>
        <w:tc>
          <w:tcPr>
            <w:cnfStyle w:val="001000000000" w:firstRow="0" w:lastRow="0" w:firstColumn="1" w:lastColumn="0" w:oddVBand="0" w:evenVBand="0" w:oddHBand="0" w:evenHBand="0" w:firstRowFirstColumn="0" w:firstRowLastColumn="0" w:lastRowFirstColumn="0" w:lastRowLastColumn="0"/>
            <w:tcW w:w="1329" w:type="dxa"/>
            <w:vMerge w:val="restart"/>
            <w:noWrap/>
            <w:vAlign w:val="top"/>
            <w:hideMark/>
          </w:tcPr>
          <w:p w14:paraId="4652AF33" w14:textId="77777777" w:rsidR="001E33B1" w:rsidRPr="000973F2" w:rsidRDefault="001E33B1" w:rsidP="009663E4">
            <w:pPr>
              <w:spacing w:before="40" w:after="40"/>
              <w:rPr>
                <w:rFonts w:ascii="Times New Roman" w:eastAsia="Times New Roman" w:hAnsi="Times New Roman" w:cs="Times New Roman"/>
                <w:b w:val="0"/>
                <w:bCs w:val="0"/>
                <w:sz w:val="18"/>
                <w:szCs w:val="18"/>
              </w:rPr>
            </w:pPr>
            <w:r w:rsidRPr="000973F2">
              <w:rPr>
                <w:rFonts w:ascii="Times New Roman" w:eastAsia="Times New Roman" w:hAnsi="Times New Roman" w:cs="Times New Roman"/>
                <w:sz w:val="18"/>
                <w:szCs w:val="18"/>
              </w:rPr>
              <w:t>Activity</w:t>
            </w:r>
          </w:p>
        </w:tc>
        <w:tc>
          <w:tcPr>
            <w:tcW w:w="6401" w:type="dxa"/>
            <w:gridSpan w:val="8"/>
            <w:noWrap/>
            <w:vAlign w:val="top"/>
            <w:hideMark/>
          </w:tcPr>
          <w:p w14:paraId="6D17FFAE" w14:textId="77777777" w:rsidR="001E33B1" w:rsidRPr="000973F2" w:rsidRDefault="001E33B1" w:rsidP="009663E4">
            <w:pPr>
              <w:spacing w:before="40" w:after="40"/>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bCs w:val="0"/>
                <w:sz w:val="18"/>
                <w:szCs w:val="18"/>
              </w:rPr>
            </w:pPr>
            <w:r w:rsidRPr="000973F2">
              <w:rPr>
                <w:rFonts w:ascii="Times New Roman" w:eastAsia="Times New Roman" w:hAnsi="Times New Roman" w:cs="Times New Roman"/>
                <w:sz w:val="18"/>
                <w:szCs w:val="18"/>
              </w:rPr>
              <w:t>Labor Rates (per hour)</w:t>
            </w:r>
          </w:p>
        </w:tc>
        <w:tc>
          <w:tcPr>
            <w:tcW w:w="1600" w:type="dxa"/>
            <w:gridSpan w:val="2"/>
            <w:vMerge w:val="restart"/>
            <w:vAlign w:val="top"/>
            <w:hideMark/>
          </w:tcPr>
          <w:p w14:paraId="4CB8B357" w14:textId="77777777" w:rsidR="001E33B1" w:rsidRPr="000973F2" w:rsidRDefault="001E33B1" w:rsidP="009663E4">
            <w:pPr>
              <w:spacing w:before="40" w:after="40"/>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bCs w:val="0"/>
                <w:sz w:val="18"/>
                <w:szCs w:val="18"/>
              </w:rPr>
            </w:pPr>
            <w:r w:rsidRPr="000973F2">
              <w:rPr>
                <w:rFonts w:ascii="Times New Roman" w:eastAsia="Times New Roman" w:hAnsi="Times New Roman" w:cs="Times New Roman"/>
                <w:sz w:val="18"/>
                <w:szCs w:val="18"/>
              </w:rPr>
              <w:t>Total Labor Cost per Year per Facility (2017$)</w:t>
            </w:r>
          </w:p>
        </w:tc>
      </w:tr>
      <w:tr w:rsidR="001E33B1" w:rsidRPr="000973F2" w14:paraId="4B98A572" w14:textId="77777777" w:rsidTr="009663E4">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1329" w:type="dxa"/>
            <w:vMerge/>
            <w:hideMark/>
          </w:tcPr>
          <w:p w14:paraId="735CD252" w14:textId="77777777" w:rsidR="001E33B1" w:rsidRPr="000973F2" w:rsidRDefault="001E33B1" w:rsidP="009663E4">
            <w:pPr>
              <w:spacing w:before="40" w:after="40"/>
              <w:rPr>
                <w:rFonts w:ascii="Times New Roman" w:eastAsia="Times New Roman" w:hAnsi="Times New Roman" w:cs="Times New Roman"/>
                <w:b/>
                <w:bCs w:val="0"/>
                <w:sz w:val="18"/>
                <w:szCs w:val="18"/>
              </w:rPr>
            </w:pPr>
          </w:p>
        </w:tc>
        <w:tc>
          <w:tcPr>
            <w:tcW w:w="1600" w:type="dxa"/>
            <w:gridSpan w:val="2"/>
            <w:noWrap/>
            <w:hideMark/>
          </w:tcPr>
          <w:p w14:paraId="4AFD9723" w14:textId="77777777" w:rsidR="001E33B1" w:rsidRPr="000973F2" w:rsidRDefault="001E33B1" w:rsidP="009663E4">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18"/>
                <w:szCs w:val="18"/>
              </w:rPr>
            </w:pPr>
            <w:r w:rsidRPr="000973F2">
              <w:rPr>
                <w:rFonts w:ascii="Times New Roman" w:eastAsia="Times New Roman" w:hAnsi="Times New Roman" w:cs="Times New Roman"/>
                <w:b/>
                <w:bCs/>
                <w:sz w:val="18"/>
                <w:szCs w:val="18"/>
              </w:rPr>
              <w:t>Lawyer</w:t>
            </w:r>
          </w:p>
        </w:tc>
        <w:tc>
          <w:tcPr>
            <w:tcW w:w="1600" w:type="dxa"/>
            <w:gridSpan w:val="2"/>
            <w:noWrap/>
            <w:hideMark/>
          </w:tcPr>
          <w:p w14:paraId="7D9C0396" w14:textId="77777777" w:rsidR="001E33B1" w:rsidRPr="000973F2" w:rsidRDefault="001E33B1" w:rsidP="009663E4">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18"/>
                <w:szCs w:val="18"/>
              </w:rPr>
            </w:pPr>
            <w:r w:rsidRPr="000973F2">
              <w:rPr>
                <w:rFonts w:ascii="Times New Roman" w:eastAsia="Times New Roman" w:hAnsi="Times New Roman" w:cs="Times New Roman"/>
                <w:b/>
                <w:bCs/>
                <w:sz w:val="18"/>
                <w:szCs w:val="18"/>
              </w:rPr>
              <w:t>Industrial Manager</w:t>
            </w:r>
          </w:p>
        </w:tc>
        <w:tc>
          <w:tcPr>
            <w:tcW w:w="1600" w:type="dxa"/>
            <w:gridSpan w:val="2"/>
            <w:hideMark/>
          </w:tcPr>
          <w:p w14:paraId="43E521F8" w14:textId="71C6F9F8" w:rsidR="001E33B1" w:rsidRPr="000973F2" w:rsidRDefault="001E33B1" w:rsidP="009663E4">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18"/>
                <w:szCs w:val="18"/>
              </w:rPr>
            </w:pPr>
            <w:r w:rsidRPr="000973F2">
              <w:rPr>
                <w:rFonts w:ascii="Times New Roman" w:eastAsia="Times New Roman" w:hAnsi="Times New Roman" w:cs="Times New Roman"/>
                <w:b/>
                <w:bCs/>
                <w:sz w:val="18"/>
                <w:szCs w:val="18"/>
              </w:rPr>
              <w:t>Industrial Engineer/</w:t>
            </w:r>
            <w:r w:rsidR="009663E4" w:rsidRPr="000973F2">
              <w:rPr>
                <w:rFonts w:ascii="Times New Roman" w:eastAsia="Times New Roman" w:hAnsi="Times New Roman" w:cs="Times New Roman"/>
                <w:b/>
                <w:bCs/>
                <w:sz w:val="18"/>
                <w:szCs w:val="18"/>
              </w:rPr>
              <w:t xml:space="preserve"> </w:t>
            </w:r>
            <w:r w:rsidRPr="000973F2">
              <w:rPr>
                <w:rFonts w:ascii="Times New Roman" w:eastAsia="Times New Roman" w:hAnsi="Times New Roman" w:cs="Times New Roman"/>
                <w:b/>
                <w:bCs/>
                <w:sz w:val="18"/>
                <w:szCs w:val="18"/>
              </w:rPr>
              <w:t>Technician</w:t>
            </w:r>
          </w:p>
        </w:tc>
        <w:tc>
          <w:tcPr>
            <w:tcW w:w="1601" w:type="dxa"/>
            <w:gridSpan w:val="2"/>
            <w:hideMark/>
          </w:tcPr>
          <w:p w14:paraId="4854F8C4" w14:textId="77777777" w:rsidR="001E33B1" w:rsidRPr="000973F2" w:rsidRDefault="001E33B1" w:rsidP="009663E4">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18"/>
                <w:szCs w:val="18"/>
              </w:rPr>
            </w:pPr>
            <w:r w:rsidRPr="000973F2">
              <w:rPr>
                <w:rFonts w:ascii="Times New Roman" w:eastAsia="Times New Roman" w:hAnsi="Times New Roman" w:cs="Times New Roman"/>
                <w:b/>
                <w:bCs/>
                <w:sz w:val="18"/>
                <w:szCs w:val="18"/>
              </w:rPr>
              <w:t>Administrative Support</w:t>
            </w:r>
          </w:p>
        </w:tc>
        <w:tc>
          <w:tcPr>
            <w:tcW w:w="1600" w:type="dxa"/>
            <w:gridSpan w:val="2"/>
            <w:vMerge/>
            <w:hideMark/>
          </w:tcPr>
          <w:p w14:paraId="7ED85097" w14:textId="77777777" w:rsidR="001E33B1" w:rsidRPr="000973F2" w:rsidRDefault="001E33B1" w:rsidP="009663E4">
            <w:pPr>
              <w:spacing w:before="40" w:after="4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18"/>
                <w:szCs w:val="18"/>
              </w:rPr>
            </w:pPr>
          </w:p>
        </w:tc>
      </w:tr>
      <w:tr w:rsidR="001E33B1" w:rsidRPr="000973F2" w14:paraId="281CA18F" w14:textId="77777777" w:rsidTr="009663E4">
        <w:trPr>
          <w:cantSplit/>
        </w:trPr>
        <w:tc>
          <w:tcPr>
            <w:cnfStyle w:val="001000000000" w:firstRow="0" w:lastRow="0" w:firstColumn="1" w:lastColumn="0" w:oddVBand="0" w:evenVBand="0" w:oddHBand="0" w:evenHBand="0" w:firstRowFirstColumn="0" w:firstRowLastColumn="0" w:lastRowFirstColumn="0" w:lastRowLastColumn="0"/>
            <w:tcW w:w="1329" w:type="dxa"/>
            <w:vMerge/>
            <w:hideMark/>
          </w:tcPr>
          <w:p w14:paraId="3A0FD22B" w14:textId="77777777" w:rsidR="001E33B1" w:rsidRPr="000973F2" w:rsidRDefault="001E33B1" w:rsidP="009663E4">
            <w:pPr>
              <w:spacing w:before="40" w:after="40"/>
              <w:rPr>
                <w:rFonts w:ascii="Times New Roman" w:eastAsia="Times New Roman" w:hAnsi="Times New Roman" w:cs="Times New Roman"/>
                <w:b/>
                <w:bCs w:val="0"/>
                <w:sz w:val="18"/>
                <w:szCs w:val="18"/>
              </w:rPr>
            </w:pPr>
          </w:p>
        </w:tc>
        <w:tc>
          <w:tcPr>
            <w:tcW w:w="1600" w:type="dxa"/>
            <w:gridSpan w:val="2"/>
            <w:noWrap/>
            <w:hideMark/>
          </w:tcPr>
          <w:p w14:paraId="0BFE879A" w14:textId="77777777" w:rsidR="001E33B1" w:rsidRPr="000973F2" w:rsidRDefault="001E33B1" w:rsidP="009663E4">
            <w:pPr>
              <w:spacing w:before="40" w:after="4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sz w:val="18"/>
                <w:szCs w:val="18"/>
              </w:rPr>
            </w:pPr>
            <w:r w:rsidRPr="000973F2">
              <w:rPr>
                <w:rFonts w:ascii="Times New Roman" w:eastAsia="Times New Roman" w:hAnsi="Times New Roman" w:cs="Times New Roman"/>
                <w:b/>
                <w:bCs/>
                <w:sz w:val="18"/>
                <w:szCs w:val="18"/>
              </w:rPr>
              <w:t xml:space="preserve">$112.23 </w:t>
            </w:r>
          </w:p>
        </w:tc>
        <w:tc>
          <w:tcPr>
            <w:tcW w:w="1600" w:type="dxa"/>
            <w:gridSpan w:val="2"/>
            <w:noWrap/>
            <w:hideMark/>
          </w:tcPr>
          <w:p w14:paraId="3EA4D977" w14:textId="77777777" w:rsidR="001E33B1" w:rsidRPr="000973F2" w:rsidRDefault="001E33B1" w:rsidP="009663E4">
            <w:pPr>
              <w:spacing w:before="40" w:after="4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sz w:val="18"/>
                <w:szCs w:val="18"/>
              </w:rPr>
            </w:pPr>
            <w:r w:rsidRPr="000973F2">
              <w:rPr>
                <w:rFonts w:ascii="Times New Roman" w:eastAsia="Times New Roman" w:hAnsi="Times New Roman" w:cs="Times New Roman"/>
                <w:b/>
                <w:bCs/>
                <w:sz w:val="18"/>
                <w:szCs w:val="18"/>
              </w:rPr>
              <w:t xml:space="preserve">$87.45 </w:t>
            </w:r>
          </w:p>
        </w:tc>
        <w:tc>
          <w:tcPr>
            <w:tcW w:w="1600" w:type="dxa"/>
            <w:gridSpan w:val="2"/>
            <w:noWrap/>
            <w:hideMark/>
          </w:tcPr>
          <w:p w14:paraId="55377EC0" w14:textId="77777777" w:rsidR="001E33B1" w:rsidRPr="000973F2" w:rsidRDefault="001E33B1" w:rsidP="009663E4">
            <w:pPr>
              <w:spacing w:before="40" w:after="4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sz w:val="18"/>
                <w:szCs w:val="18"/>
              </w:rPr>
            </w:pPr>
            <w:r w:rsidRPr="000973F2">
              <w:rPr>
                <w:rFonts w:ascii="Times New Roman" w:eastAsia="Times New Roman" w:hAnsi="Times New Roman" w:cs="Times New Roman"/>
                <w:b/>
                <w:bCs/>
                <w:sz w:val="18"/>
                <w:szCs w:val="18"/>
              </w:rPr>
              <w:t xml:space="preserve">$71.45 </w:t>
            </w:r>
          </w:p>
        </w:tc>
        <w:tc>
          <w:tcPr>
            <w:tcW w:w="1601" w:type="dxa"/>
            <w:gridSpan w:val="2"/>
            <w:noWrap/>
            <w:hideMark/>
          </w:tcPr>
          <w:p w14:paraId="4D066164" w14:textId="77777777" w:rsidR="001E33B1" w:rsidRPr="000973F2" w:rsidRDefault="001E33B1" w:rsidP="009663E4">
            <w:pPr>
              <w:spacing w:before="40" w:after="4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sz w:val="18"/>
                <w:szCs w:val="18"/>
              </w:rPr>
            </w:pPr>
            <w:r w:rsidRPr="000973F2">
              <w:rPr>
                <w:rFonts w:ascii="Times New Roman" w:eastAsia="Times New Roman" w:hAnsi="Times New Roman" w:cs="Times New Roman"/>
                <w:b/>
                <w:bCs/>
                <w:sz w:val="18"/>
                <w:szCs w:val="18"/>
              </w:rPr>
              <w:t xml:space="preserve">$36.28 </w:t>
            </w:r>
          </w:p>
        </w:tc>
        <w:tc>
          <w:tcPr>
            <w:tcW w:w="1600" w:type="dxa"/>
            <w:gridSpan w:val="2"/>
            <w:vMerge/>
            <w:hideMark/>
          </w:tcPr>
          <w:p w14:paraId="08D32AC6" w14:textId="77777777" w:rsidR="001E33B1" w:rsidRPr="000973F2" w:rsidRDefault="001E33B1" w:rsidP="009663E4">
            <w:pPr>
              <w:spacing w:before="40" w:after="4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sz w:val="18"/>
                <w:szCs w:val="18"/>
              </w:rPr>
            </w:pPr>
          </w:p>
        </w:tc>
      </w:tr>
      <w:tr w:rsidR="001E33B1" w:rsidRPr="000973F2" w14:paraId="34D75A23" w14:textId="77777777" w:rsidTr="009663E4">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1329" w:type="dxa"/>
            <w:vMerge/>
            <w:hideMark/>
          </w:tcPr>
          <w:p w14:paraId="6D6EA431" w14:textId="77777777" w:rsidR="001E33B1" w:rsidRPr="000973F2" w:rsidRDefault="001E33B1" w:rsidP="009663E4">
            <w:pPr>
              <w:spacing w:before="40" w:after="40"/>
              <w:rPr>
                <w:rFonts w:ascii="Times New Roman" w:eastAsia="Times New Roman" w:hAnsi="Times New Roman" w:cs="Times New Roman"/>
                <w:b/>
                <w:bCs w:val="0"/>
                <w:sz w:val="18"/>
                <w:szCs w:val="18"/>
              </w:rPr>
            </w:pPr>
          </w:p>
        </w:tc>
        <w:tc>
          <w:tcPr>
            <w:tcW w:w="800" w:type="dxa"/>
            <w:tcMar>
              <w:left w:w="14" w:type="dxa"/>
              <w:right w:w="14" w:type="dxa"/>
            </w:tcMar>
            <w:hideMark/>
          </w:tcPr>
          <w:p w14:paraId="6C26431C" w14:textId="6D321FAB" w:rsidR="001E33B1" w:rsidRPr="000973F2" w:rsidRDefault="001E33B1" w:rsidP="009663E4">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18"/>
                <w:szCs w:val="18"/>
              </w:rPr>
            </w:pPr>
            <w:r w:rsidRPr="000973F2">
              <w:rPr>
                <w:rFonts w:ascii="Times New Roman" w:eastAsia="Times New Roman" w:hAnsi="Times New Roman" w:cs="Times New Roman"/>
                <w:b/>
                <w:bCs/>
                <w:sz w:val="18"/>
                <w:szCs w:val="18"/>
              </w:rPr>
              <w:t>Initial Year</w:t>
            </w:r>
            <w:r w:rsidR="009663E4" w:rsidRPr="000973F2">
              <w:rPr>
                <w:rFonts w:ascii="Times New Roman" w:eastAsia="Times New Roman" w:hAnsi="Times New Roman" w:cs="Times New Roman"/>
                <w:b/>
                <w:bCs/>
                <w:sz w:val="18"/>
                <w:szCs w:val="18"/>
              </w:rPr>
              <w:t xml:space="preserve"> </w:t>
            </w:r>
            <w:r w:rsidRPr="000973F2">
              <w:rPr>
                <w:rFonts w:ascii="Times New Roman" w:eastAsia="Times New Roman" w:hAnsi="Times New Roman" w:cs="Times New Roman"/>
                <w:b/>
                <w:bCs/>
                <w:sz w:val="18"/>
                <w:szCs w:val="18"/>
              </w:rPr>
              <w:t>Hours</w:t>
            </w:r>
          </w:p>
        </w:tc>
        <w:tc>
          <w:tcPr>
            <w:tcW w:w="800" w:type="dxa"/>
            <w:tcMar>
              <w:left w:w="14" w:type="dxa"/>
              <w:right w:w="14" w:type="dxa"/>
            </w:tcMar>
            <w:hideMark/>
          </w:tcPr>
          <w:p w14:paraId="12E97B37" w14:textId="77777777" w:rsidR="001E33B1" w:rsidRPr="000973F2" w:rsidRDefault="001E33B1" w:rsidP="009663E4">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18"/>
                <w:szCs w:val="18"/>
              </w:rPr>
            </w:pPr>
            <w:r w:rsidRPr="000973F2">
              <w:rPr>
                <w:rFonts w:ascii="Times New Roman" w:eastAsia="Times New Roman" w:hAnsi="Times New Roman" w:cs="Times New Roman"/>
                <w:b/>
                <w:bCs/>
                <w:sz w:val="18"/>
                <w:szCs w:val="18"/>
              </w:rPr>
              <w:t>Subseq. Year Hours</w:t>
            </w:r>
          </w:p>
        </w:tc>
        <w:tc>
          <w:tcPr>
            <w:tcW w:w="800" w:type="dxa"/>
            <w:tcMar>
              <w:left w:w="14" w:type="dxa"/>
              <w:right w:w="14" w:type="dxa"/>
            </w:tcMar>
            <w:hideMark/>
          </w:tcPr>
          <w:p w14:paraId="0E46DBA8" w14:textId="1121C448" w:rsidR="001E33B1" w:rsidRPr="000973F2" w:rsidRDefault="001E33B1" w:rsidP="009663E4">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18"/>
                <w:szCs w:val="18"/>
              </w:rPr>
            </w:pPr>
            <w:r w:rsidRPr="000973F2">
              <w:rPr>
                <w:rFonts w:ascii="Times New Roman" w:eastAsia="Times New Roman" w:hAnsi="Times New Roman" w:cs="Times New Roman"/>
                <w:b/>
                <w:bCs/>
                <w:sz w:val="18"/>
                <w:szCs w:val="18"/>
              </w:rPr>
              <w:t>Initial Year</w:t>
            </w:r>
            <w:r w:rsidR="009663E4" w:rsidRPr="000973F2">
              <w:rPr>
                <w:rFonts w:ascii="Times New Roman" w:eastAsia="Times New Roman" w:hAnsi="Times New Roman" w:cs="Times New Roman"/>
                <w:b/>
                <w:bCs/>
                <w:sz w:val="18"/>
                <w:szCs w:val="18"/>
              </w:rPr>
              <w:t xml:space="preserve"> </w:t>
            </w:r>
            <w:r w:rsidRPr="000973F2">
              <w:rPr>
                <w:rFonts w:ascii="Times New Roman" w:eastAsia="Times New Roman" w:hAnsi="Times New Roman" w:cs="Times New Roman"/>
                <w:b/>
                <w:bCs/>
                <w:sz w:val="18"/>
                <w:szCs w:val="18"/>
              </w:rPr>
              <w:t>Hours</w:t>
            </w:r>
          </w:p>
        </w:tc>
        <w:tc>
          <w:tcPr>
            <w:tcW w:w="800" w:type="dxa"/>
            <w:tcMar>
              <w:left w:w="14" w:type="dxa"/>
              <w:right w:w="14" w:type="dxa"/>
            </w:tcMar>
            <w:hideMark/>
          </w:tcPr>
          <w:p w14:paraId="4F6587EF" w14:textId="77777777" w:rsidR="001E33B1" w:rsidRPr="000973F2" w:rsidRDefault="001E33B1" w:rsidP="009663E4">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18"/>
                <w:szCs w:val="18"/>
              </w:rPr>
            </w:pPr>
            <w:r w:rsidRPr="000973F2">
              <w:rPr>
                <w:rFonts w:ascii="Times New Roman" w:eastAsia="Times New Roman" w:hAnsi="Times New Roman" w:cs="Times New Roman"/>
                <w:b/>
                <w:bCs/>
                <w:sz w:val="18"/>
                <w:szCs w:val="18"/>
              </w:rPr>
              <w:t>Subseq. Year Hours</w:t>
            </w:r>
          </w:p>
        </w:tc>
        <w:tc>
          <w:tcPr>
            <w:tcW w:w="800" w:type="dxa"/>
            <w:tcMar>
              <w:left w:w="14" w:type="dxa"/>
              <w:right w:w="14" w:type="dxa"/>
            </w:tcMar>
            <w:hideMark/>
          </w:tcPr>
          <w:p w14:paraId="3974EC4D" w14:textId="10075C46" w:rsidR="001E33B1" w:rsidRPr="000973F2" w:rsidRDefault="001E33B1" w:rsidP="009663E4">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18"/>
                <w:szCs w:val="18"/>
              </w:rPr>
            </w:pPr>
            <w:r w:rsidRPr="000973F2">
              <w:rPr>
                <w:rFonts w:ascii="Times New Roman" w:eastAsia="Times New Roman" w:hAnsi="Times New Roman" w:cs="Times New Roman"/>
                <w:b/>
                <w:bCs/>
                <w:sz w:val="18"/>
                <w:szCs w:val="18"/>
              </w:rPr>
              <w:t>Initial Year</w:t>
            </w:r>
            <w:r w:rsidR="009663E4" w:rsidRPr="000973F2">
              <w:rPr>
                <w:rFonts w:ascii="Times New Roman" w:eastAsia="Times New Roman" w:hAnsi="Times New Roman" w:cs="Times New Roman"/>
                <w:b/>
                <w:bCs/>
                <w:sz w:val="18"/>
                <w:szCs w:val="18"/>
              </w:rPr>
              <w:t xml:space="preserve"> </w:t>
            </w:r>
            <w:r w:rsidRPr="000973F2">
              <w:rPr>
                <w:rFonts w:ascii="Times New Roman" w:eastAsia="Times New Roman" w:hAnsi="Times New Roman" w:cs="Times New Roman"/>
                <w:b/>
                <w:bCs/>
                <w:sz w:val="18"/>
                <w:szCs w:val="18"/>
              </w:rPr>
              <w:t>Hours</w:t>
            </w:r>
          </w:p>
        </w:tc>
        <w:tc>
          <w:tcPr>
            <w:tcW w:w="800" w:type="dxa"/>
            <w:tcMar>
              <w:left w:w="14" w:type="dxa"/>
              <w:right w:w="14" w:type="dxa"/>
            </w:tcMar>
            <w:hideMark/>
          </w:tcPr>
          <w:p w14:paraId="559A1B3D" w14:textId="77777777" w:rsidR="001E33B1" w:rsidRPr="000973F2" w:rsidRDefault="001E33B1" w:rsidP="009663E4">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18"/>
                <w:szCs w:val="18"/>
              </w:rPr>
            </w:pPr>
            <w:r w:rsidRPr="000973F2">
              <w:rPr>
                <w:rFonts w:ascii="Times New Roman" w:eastAsia="Times New Roman" w:hAnsi="Times New Roman" w:cs="Times New Roman"/>
                <w:b/>
                <w:bCs/>
                <w:sz w:val="18"/>
                <w:szCs w:val="18"/>
              </w:rPr>
              <w:t>Subseq. Year Hours</w:t>
            </w:r>
          </w:p>
        </w:tc>
        <w:tc>
          <w:tcPr>
            <w:tcW w:w="800" w:type="dxa"/>
            <w:tcMar>
              <w:left w:w="14" w:type="dxa"/>
              <w:right w:w="14" w:type="dxa"/>
            </w:tcMar>
            <w:hideMark/>
          </w:tcPr>
          <w:p w14:paraId="5ABCDBDB" w14:textId="50446483" w:rsidR="001E33B1" w:rsidRPr="000973F2" w:rsidRDefault="001E33B1" w:rsidP="009663E4">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18"/>
                <w:szCs w:val="18"/>
              </w:rPr>
            </w:pPr>
            <w:r w:rsidRPr="000973F2">
              <w:rPr>
                <w:rFonts w:ascii="Times New Roman" w:eastAsia="Times New Roman" w:hAnsi="Times New Roman" w:cs="Times New Roman"/>
                <w:b/>
                <w:bCs/>
                <w:sz w:val="18"/>
                <w:szCs w:val="18"/>
              </w:rPr>
              <w:t xml:space="preserve">Initial </w:t>
            </w:r>
            <w:r w:rsidR="00132320" w:rsidRPr="000973F2">
              <w:rPr>
                <w:rFonts w:ascii="Times New Roman" w:eastAsia="Times New Roman" w:hAnsi="Times New Roman" w:cs="Times New Roman"/>
                <w:b/>
                <w:bCs/>
                <w:sz w:val="18"/>
                <w:szCs w:val="18"/>
              </w:rPr>
              <w:t>Year Hours</w:t>
            </w:r>
          </w:p>
        </w:tc>
        <w:tc>
          <w:tcPr>
            <w:tcW w:w="801" w:type="dxa"/>
            <w:tcMar>
              <w:left w:w="14" w:type="dxa"/>
              <w:right w:w="14" w:type="dxa"/>
            </w:tcMar>
            <w:hideMark/>
          </w:tcPr>
          <w:p w14:paraId="1A4B3E4C" w14:textId="77777777" w:rsidR="001E33B1" w:rsidRPr="000973F2" w:rsidRDefault="001E33B1" w:rsidP="009663E4">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18"/>
                <w:szCs w:val="18"/>
              </w:rPr>
            </w:pPr>
            <w:r w:rsidRPr="000973F2">
              <w:rPr>
                <w:rFonts w:ascii="Times New Roman" w:eastAsia="Times New Roman" w:hAnsi="Times New Roman" w:cs="Times New Roman"/>
                <w:b/>
                <w:bCs/>
                <w:sz w:val="18"/>
                <w:szCs w:val="18"/>
              </w:rPr>
              <w:t>Subseq. Year Hours</w:t>
            </w:r>
          </w:p>
        </w:tc>
        <w:tc>
          <w:tcPr>
            <w:tcW w:w="800" w:type="dxa"/>
            <w:tcMar>
              <w:left w:w="14" w:type="dxa"/>
              <w:right w:w="14" w:type="dxa"/>
            </w:tcMar>
            <w:hideMark/>
          </w:tcPr>
          <w:p w14:paraId="53A1A600" w14:textId="77777777" w:rsidR="001E33B1" w:rsidRPr="000973F2" w:rsidRDefault="001E33B1" w:rsidP="009663E4">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18"/>
                <w:szCs w:val="18"/>
              </w:rPr>
            </w:pPr>
            <w:r w:rsidRPr="000973F2">
              <w:rPr>
                <w:rFonts w:ascii="Times New Roman" w:eastAsia="Times New Roman" w:hAnsi="Times New Roman" w:cs="Times New Roman"/>
                <w:b/>
                <w:bCs/>
                <w:sz w:val="18"/>
                <w:szCs w:val="18"/>
              </w:rPr>
              <w:t>Initial Year</w:t>
            </w:r>
          </w:p>
        </w:tc>
        <w:tc>
          <w:tcPr>
            <w:tcW w:w="800" w:type="dxa"/>
            <w:tcMar>
              <w:left w:w="14" w:type="dxa"/>
              <w:right w:w="14" w:type="dxa"/>
            </w:tcMar>
            <w:hideMark/>
          </w:tcPr>
          <w:p w14:paraId="7B6A3745" w14:textId="77777777" w:rsidR="001E33B1" w:rsidRPr="000973F2" w:rsidRDefault="001E33B1" w:rsidP="009663E4">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18"/>
                <w:szCs w:val="18"/>
              </w:rPr>
            </w:pPr>
            <w:r w:rsidRPr="000973F2">
              <w:rPr>
                <w:rFonts w:ascii="Times New Roman" w:eastAsia="Times New Roman" w:hAnsi="Times New Roman" w:cs="Times New Roman"/>
                <w:b/>
                <w:bCs/>
                <w:sz w:val="18"/>
                <w:szCs w:val="18"/>
              </w:rPr>
              <w:t>Subseq. Year</w:t>
            </w:r>
          </w:p>
        </w:tc>
      </w:tr>
      <w:tr w:rsidR="001E33B1" w:rsidRPr="000973F2" w14:paraId="2912463A" w14:textId="77777777" w:rsidTr="009663E4">
        <w:trPr>
          <w:cantSplit/>
        </w:trPr>
        <w:tc>
          <w:tcPr>
            <w:cnfStyle w:val="001000000000" w:firstRow="0" w:lastRow="0" w:firstColumn="1" w:lastColumn="0" w:oddVBand="0" w:evenVBand="0" w:oddHBand="0" w:evenHBand="0" w:firstRowFirstColumn="0" w:firstRowLastColumn="0" w:lastRowFirstColumn="0" w:lastRowLastColumn="0"/>
            <w:tcW w:w="1329" w:type="dxa"/>
            <w:tcMar>
              <w:right w:w="14" w:type="dxa"/>
            </w:tcMar>
            <w:hideMark/>
          </w:tcPr>
          <w:p w14:paraId="44A9C529" w14:textId="77777777" w:rsidR="001E33B1" w:rsidRPr="000973F2" w:rsidRDefault="001E33B1" w:rsidP="009663E4">
            <w:pPr>
              <w:spacing w:before="40" w:after="4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Planning</w:t>
            </w:r>
          </w:p>
        </w:tc>
        <w:tc>
          <w:tcPr>
            <w:tcW w:w="800" w:type="dxa"/>
            <w:noWrap/>
            <w:hideMark/>
          </w:tcPr>
          <w:p w14:paraId="3FFD8492" w14:textId="77777777" w:rsidR="001E33B1" w:rsidRPr="000973F2" w:rsidRDefault="001E33B1" w:rsidP="009663E4">
            <w:pPr>
              <w:spacing w:before="40" w:after="4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0</w:t>
            </w:r>
          </w:p>
        </w:tc>
        <w:tc>
          <w:tcPr>
            <w:tcW w:w="800" w:type="dxa"/>
            <w:noWrap/>
            <w:hideMark/>
          </w:tcPr>
          <w:p w14:paraId="7BD3A43C" w14:textId="77777777" w:rsidR="001E33B1" w:rsidRPr="000973F2" w:rsidRDefault="001E33B1" w:rsidP="009663E4">
            <w:pPr>
              <w:spacing w:before="40" w:after="4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0</w:t>
            </w:r>
          </w:p>
        </w:tc>
        <w:tc>
          <w:tcPr>
            <w:tcW w:w="800" w:type="dxa"/>
            <w:noWrap/>
            <w:hideMark/>
          </w:tcPr>
          <w:p w14:paraId="015091C7" w14:textId="77777777" w:rsidR="001E33B1" w:rsidRPr="000973F2" w:rsidRDefault="001E33B1" w:rsidP="009663E4">
            <w:pPr>
              <w:spacing w:before="40" w:after="4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0</w:t>
            </w:r>
          </w:p>
        </w:tc>
        <w:tc>
          <w:tcPr>
            <w:tcW w:w="800" w:type="dxa"/>
            <w:noWrap/>
            <w:hideMark/>
          </w:tcPr>
          <w:p w14:paraId="0AF53C10" w14:textId="77777777" w:rsidR="001E33B1" w:rsidRPr="000973F2" w:rsidRDefault="001E33B1" w:rsidP="009663E4">
            <w:pPr>
              <w:tabs>
                <w:tab w:val="decimal" w:pos="292"/>
              </w:tabs>
              <w:spacing w:before="40" w:after="4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0</w:t>
            </w:r>
          </w:p>
        </w:tc>
        <w:tc>
          <w:tcPr>
            <w:tcW w:w="800" w:type="dxa"/>
            <w:noWrap/>
            <w:hideMark/>
          </w:tcPr>
          <w:p w14:paraId="7D0DF133" w14:textId="77777777" w:rsidR="001E33B1" w:rsidRPr="000973F2" w:rsidRDefault="001E33B1" w:rsidP="009663E4">
            <w:pPr>
              <w:spacing w:before="40" w:after="4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0</w:t>
            </w:r>
          </w:p>
        </w:tc>
        <w:tc>
          <w:tcPr>
            <w:tcW w:w="800" w:type="dxa"/>
            <w:noWrap/>
            <w:hideMark/>
          </w:tcPr>
          <w:p w14:paraId="1AEB307F" w14:textId="77777777" w:rsidR="001E33B1" w:rsidRPr="000973F2" w:rsidRDefault="001E33B1" w:rsidP="009663E4">
            <w:pPr>
              <w:spacing w:before="40" w:after="4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0</w:t>
            </w:r>
          </w:p>
        </w:tc>
        <w:tc>
          <w:tcPr>
            <w:tcW w:w="800" w:type="dxa"/>
            <w:noWrap/>
            <w:hideMark/>
          </w:tcPr>
          <w:p w14:paraId="4BB036DA" w14:textId="77777777" w:rsidR="001E33B1" w:rsidRPr="000973F2" w:rsidRDefault="001E33B1" w:rsidP="009663E4">
            <w:pPr>
              <w:spacing w:before="40" w:after="4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0</w:t>
            </w:r>
          </w:p>
        </w:tc>
        <w:tc>
          <w:tcPr>
            <w:tcW w:w="801" w:type="dxa"/>
            <w:noWrap/>
            <w:hideMark/>
          </w:tcPr>
          <w:p w14:paraId="4235244F" w14:textId="77777777" w:rsidR="001E33B1" w:rsidRPr="000973F2" w:rsidRDefault="001E33B1" w:rsidP="00034890">
            <w:pPr>
              <w:tabs>
                <w:tab w:val="decimal" w:pos="320"/>
              </w:tabs>
              <w:spacing w:before="40" w:after="4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0</w:t>
            </w:r>
          </w:p>
        </w:tc>
        <w:tc>
          <w:tcPr>
            <w:tcW w:w="800" w:type="dxa"/>
            <w:noWrap/>
            <w:hideMark/>
          </w:tcPr>
          <w:p w14:paraId="0BBEBFBF" w14:textId="056B9232" w:rsidR="001E33B1" w:rsidRPr="000973F2" w:rsidRDefault="001E33B1" w:rsidP="009663E4">
            <w:pPr>
              <w:spacing w:before="40" w:after="4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$0</w:t>
            </w:r>
          </w:p>
        </w:tc>
        <w:tc>
          <w:tcPr>
            <w:tcW w:w="800" w:type="dxa"/>
            <w:noWrap/>
            <w:hideMark/>
          </w:tcPr>
          <w:p w14:paraId="2FCEBC15" w14:textId="77777777" w:rsidR="001E33B1" w:rsidRPr="000973F2" w:rsidRDefault="001E33B1" w:rsidP="009663E4">
            <w:pPr>
              <w:tabs>
                <w:tab w:val="decimal" w:pos="432"/>
              </w:tabs>
              <w:spacing w:before="40" w:after="4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$0</w:t>
            </w:r>
          </w:p>
        </w:tc>
      </w:tr>
      <w:tr w:rsidR="001E33B1" w:rsidRPr="000973F2" w14:paraId="447AE679" w14:textId="77777777" w:rsidTr="009663E4">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1329" w:type="dxa"/>
            <w:tcMar>
              <w:right w:w="14" w:type="dxa"/>
            </w:tcMar>
            <w:hideMark/>
          </w:tcPr>
          <w:p w14:paraId="3D1CD552" w14:textId="77777777" w:rsidR="001E33B1" w:rsidRPr="000973F2" w:rsidRDefault="001E33B1" w:rsidP="009663E4">
            <w:pPr>
              <w:spacing w:before="40" w:after="4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QA/QC</w:t>
            </w:r>
          </w:p>
        </w:tc>
        <w:tc>
          <w:tcPr>
            <w:tcW w:w="800" w:type="dxa"/>
            <w:noWrap/>
            <w:hideMark/>
          </w:tcPr>
          <w:p w14:paraId="163071C0" w14:textId="77777777" w:rsidR="001E33B1" w:rsidRPr="000973F2" w:rsidRDefault="001E33B1" w:rsidP="009663E4">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0</w:t>
            </w:r>
          </w:p>
        </w:tc>
        <w:tc>
          <w:tcPr>
            <w:tcW w:w="800" w:type="dxa"/>
            <w:noWrap/>
            <w:hideMark/>
          </w:tcPr>
          <w:p w14:paraId="5B8886C0" w14:textId="77777777" w:rsidR="001E33B1" w:rsidRPr="000973F2" w:rsidRDefault="001E33B1" w:rsidP="009663E4">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0</w:t>
            </w:r>
          </w:p>
        </w:tc>
        <w:tc>
          <w:tcPr>
            <w:tcW w:w="800" w:type="dxa"/>
            <w:noWrap/>
            <w:hideMark/>
          </w:tcPr>
          <w:p w14:paraId="1FA64FD7" w14:textId="77777777" w:rsidR="001E33B1" w:rsidRPr="000973F2" w:rsidRDefault="001E33B1" w:rsidP="009663E4">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0</w:t>
            </w:r>
          </w:p>
        </w:tc>
        <w:tc>
          <w:tcPr>
            <w:tcW w:w="800" w:type="dxa"/>
            <w:noWrap/>
            <w:hideMark/>
          </w:tcPr>
          <w:p w14:paraId="4A51A7A6" w14:textId="77777777" w:rsidR="001E33B1" w:rsidRPr="000973F2" w:rsidRDefault="001E33B1" w:rsidP="009663E4">
            <w:pPr>
              <w:tabs>
                <w:tab w:val="decimal" w:pos="292"/>
              </w:tabs>
              <w:spacing w:before="40" w:after="4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0</w:t>
            </w:r>
          </w:p>
        </w:tc>
        <w:tc>
          <w:tcPr>
            <w:tcW w:w="800" w:type="dxa"/>
            <w:noWrap/>
            <w:hideMark/>
          </w:tcPr>
          <w:p w14:paraId="39995C27" w14:textId="77777777" w:rsidR="001E33B1" w:rsidRPr="000973F2" w:rsidRDefault="001E33B1" w:rsidP="009663E4">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0</w:t>
            </w:r>
          </w:p>
        </w:tc>
        <w:tc>
          <w:tcPr>
            <w:tcW w:w="800" w:type="dxa"/>
            <w:noWrap/>
            <w:hideMark/>
          </w:tcPr>
          <w:p w14:paraId="4B711DA2" w14:textId="77777777" w:rsidR="001E33B1" w:rsidRPr="000973F2" w:rsidRDefault="001E33B1" w:rsidP="009663E4">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0</w:t>
            </w:r>
          </w:p>
        </w:tc>
        <w:tc>
          <w:tcPr>
            <w:tcW w:w="800" w:type="dxa"/>
            <w:noWrap/>
            <w:hideMark/>
          </w:tcPr>
          <w:p w14:paraId="4D8AA50B" w14:textId="77777777" w:rsidR="001E33B1" w:rsidRPr="000973F2" w:rsidRDefault="001E33B1" w:rsidP="009663E4">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0</w:t>
            </w:r>
          </w:p>
        </w:tc>
        <w:tc>
          <w:tcPr>
            <w:tcW w:w="801" w:type="dxa"/>
            <w:noWrap/>
            <w:hideMark/>
          </w:tcPr>
          <w:p w14:paraId="5AEA84FD" w14:textId="77777777" w:rsidR="001E33B1" w:rsidRPr="000973F2" w:rsidRDefault="001E33B1" w:rsidP="00034890">
            <w:pPr>
              <w:tabs>
                <w:tab w:val="decimal" w:pos="320"/>
              </w:tabs>
              <w:spacing w:before="40" w:after="4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0</w:t>
            </w:r>
          </w:p>
        </w:tc>
        <w:tc>
          <w:tcPr>
            <w:tcW w:w="800" w:type="dxa"/>
            <w:noWrap/>
            <w:hideMark/>
          </w:tcPr>
          <w:p w14:paraId="71FCD09F" w14:textId="0AD43473" w:rsidR="001E33B1" w:rsidRPr="000973F2" w:rsidRDefault="001E33B1" w:rsidP="009663E4">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$0</w:t>
            </w:r>
          </w:p>
        </w:tc>
        <w:tc>
          <w:tcPr>
            <w:tcW w:w="800" w:type="dxa"/>
            <w:noWrap/>
            <w:hideMark/>
          </w:tcPr>
          <w:p w14:paraId="0ADC677D" w14:textId="09ECE0AB" w:rsidR="001E33B1" w:rsidRPr="000973F2" w:rsidRDefault="001E33B1" w:rsidP="009663E4">
            <w:pPr>
              <w:tabs>
                <w:tab w:val="decimal" w:pos="432"/>
              </w:tabs>
              <w:spacing w:before="40" w:after="4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$0</w:t>
            </w:r>
          </w:p>
        </w:tc>
      </w:tr>
      <w:tr w:rsidR="001E33B1" w:rsidRPr="000973F2" w14:paraId="6CFF6E49" w14:textId="77777777" w:rsidTr="009663E4">
        <w:trPr>
          <w:cantSplit/>
        </w:trPr>
        <w:tc>
          <w:tcPr>
            <w:cnfStyle w:val="001000000000" w:firstRow="0" w:lastRow="0" w:firstColumn="1" w:lastColumn="0" w:oddVBand="0" w:evenVBand="0" w:oddHBand="0" w:evenHBand="0" w:firstRowFirstColumn="0" w:firstRowLastColumn="0" w:lastRowFirstColumn="0" w:lastRowLastColumn="0"/>
            <w:tcW w:w="1329" w:type="dxa"/>
            <w:tcMar>
              <w:right w:w="14" w:type="dxa"/>
            </w:tcMar>
            <w:hideMark/>
          </w:tcPr>
          <w:p w14:paraId="39E89569" w14:textId="77777777" w:rsidR="001E33B1" w:rsidRPr="000973F2" w:rsidRDefault="001E33B1" w:rsidP="009663E4">
            <w:pPr>
              <w:spacing w:before="40" w:after="4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Recordkeeping</w:t>
            </w:r>
          </w:p>
        </w:tc>
        <w:tc>
          <w:tcPr>
            <w:tcW w:w="800" w:type="dxa"/>
            <w:noWrap/>
            <w:hideMark/>
          </w:tcPr>
          <w:p w14:paraId="2AB8B4BD" w14:textId="77777777" w:rsidR="001E33B1" w:rsidRPr="000973F2" w:rsidRDefault="001E33B1" w:rsidP="009663E4">
            <w:pPr>
              <w:spacing w:before="40" w:after="4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0</w:t>
            </w:r>
          </w:p>
        </w:tc>
        <w:tc>
          <w:tcPr>
            <w:tcW w:w="800" w:type="dxa"/>
            <w:noWrap/>
            <w:hideMark/>
          </w:tcPr>
          <w:p w14:paraId="0AFA771A" w14:textId="77777777" w:rsidR="001E33B1" w:rsidRPr="000973F2" w:rsidRDefault="001E33B1" w:rsidP="009663E4">
            <w:pPr>
              <w:spacing w:before="40" w:after="4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0</w:t>
            </w:r>
          </w:p>
        </w:tc>
        <w:tc>
          <w:tcPr>
            <w:tcW w:w="800" w:type="dxa"/>
            <w:noWrap/>
            <w:hideMark/>
          </w:tcPr>
          <w:p w14:paraId="45B7DC03" w14:textId="77777777" w:rsidR="001E33B1" w:rsidRPr="000973F2" w:rsidRDefault="001E33B1" w:rsidP="009663E4">
            <w:pPr>
              <w:spacing w:before="40" w:after="4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0</w:t>
            </w:r>
          </w:p>
        </w:tc>
        <w:tc>
          <w:tcPr>
            <w:tcW w:w="800" w:type="dxa"/>
            <w:noWrap/>
            <w:hideMark/>
          </w:tcPr>
          <w:p w14:paraId="39804871" w14:textId="77777777" w:rsidR="001E33B1" w:rsidRPr="000973F2" w:rsidRDefault="001E33B1" w:rsidP="009663E4">
            <w:pPr>
              <w:tabs>
                <w:tab w:val="decimal" w:pos="292"/>
              </w:tabs>
              <w:spacing w:before="40" w:after="4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0.3</w:t>
            </w:r>
          </w:p>
        </w:tc>
        <w:tc>
          <w:tcPr>
            <w:tcW w:w="800" w:type="dxa"/>
            <w:noWrap/>
            <w:hideMark/>
          </w:tcPr>
          <w:p w14:paraId="0967D95E" w14:textId="77777777" w:rsidR="001E33B1" w:rsidRPr="000973F2" w:rsidRDefault="001E33B1" w:rsidP="009663E4">
            <w:pPr>
              <w:spacing w:before="40" w:after="4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0</w:t>
            </w:r>
          </w:p>
        </w:tc>
        <w:tc>
          <w:tcPr>
            <w:tcW w:w="800" w:type="dxa"/>
            <w:noWrap/>
            <w:hideMark/>
          </w:tcPr>
          <w:p w14:paraId="700A951B" w14:textId="77777777" w:rsidR="001E33B1" w:rsidRPr="000973F2" w:rsidRDefault="001E33B1" w:rsidP="009663E4">
            <w:pPr>
              <w:spacing w:before="40" w:after="4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1</w:t>
            </w:r>
          </w:p>
        </w:tc>
        <w:tc>
          <w:tcPr>
            <w:tcW w:w="800" w:type="dxa"/>
            <w:noWrap/>
            <w:hideMark/>
          </w:tcPr>
          <w:p w14:paraId="61072238" w14:textId="77777777" w:rsidR="001E33B1" w:rsidRPr="000973F2" w:rsidRDefault="001E33B1" w:rsidP="009663E4">
            <w:pPr>
              <w:spacing w:before="40" w:after="4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0</w:t>
            </w:r>
          </w:p>
        </w:tc>
        <w:tc>
          <w:tcPr>
            <w:tcW w:w="801" w:type="dxa"/>
            <w:noWrap/>
            <w:hideMark/>
          </w:tcPr>
          <w:p w14:paraId="69B8B075" w14:textId="77777777" w:rsidR="001E33B1" w:rsidRPr="000973F2" w:rsidRDefault="001E33B1" w:rsidP="00034890">
            <w:pPr>
              <w:tabs>
                <w:tab w:val="decimal" w:pos="320"/>
              </w:tabs>
              <w:spacing w:before="40" w:after="4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0.3</w:t>
            </w:r>
          </w:p>
        </w:tc>
        <w:tc>
          <w:tcPr>
            <w:tcW w:w="800" w:type="dxa"/>
            <w:noWrap/>
            <w:hideMark/>
          </w:tcPr>
          <w:p w14:paraId="6D566AD8" w14:textId="5F73BF22" w:rsidR="001E33B1" w:rsidRPr="000973F2" w:rsidRDefault="001E33B1" w:rsidP="009663E4">
            <w:pPr>
              <w:spacing w:before="40" w:after="4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$0</w:t>
            </w:r>
          </w:p>
        </w:tc>
        <w:tc>
          <w:tcPr>
            <w:tcW w:w="800" w:type="dxa"/>
            <w:noWrap/>
            <w:hideMark/>
          </w:tcPr>
          <w:p w14:paraId="274DC15A" w14:textId="76787256" w:rsidR="001E33B1" w:rsidRPr="000973F2" w:rsidRDefault="001E33B1" w:rsidP="009663E4">
            <w:pPr>
              <w:tabs>
                <w:tab w:val="decimal" w:pos="432"/>
              </w:tabs>
              <w:spacing w:before="40" w:after="4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$102</w:t>
            </w:r>
          </w:p>
        </w:tc>
      </w:tr>
      <w:tr w:rsidR="001E33B1" w:rsidRPr="000973F2" w14:paraId="10C657D5" w14:textId="77777777" w:rsidTr="009663E4">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1329" w:type="dxa"/>
            <w:tcMar>
              <w:right w:w="14" w:type="dxa"/>
            </w:tcMar>
            <w:hideMark/>
          </w:tcPr>
          <w:p w14:paraId="1E36E97F" w14:textId="77777777" w:rsidR="001E33B1" w:rsidRPr="000973F2" w:rsidRDefault="001E33B1" w:rsidP="009663E4">
            <w:pPr>
              <w:spacing w:before="40" w:after="4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Sampling and Analysis (Calculations)</w:t>
            </w:r>
          </w:p>
        </w:tc>
        <w:tc>
          <w:tcPr>
            <w:tcW w:w="800" w:type="dxa"/>
            <w:noWrap/>
            <w:hideMark/>
          </w:tcPr>
          <w:p w14:paraId="3BA87418" w14:textId="77777777" w:rsidR="001E33B1" w:rsidRPr="000973F2" w:rsidRDefault="001E33B1" w:rsidP="009663E4">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0</w:t>
            </w:r>
          </w:p>
        </w:tc>
        <w:tc>
          <w:tcPr>
            <w:tcW w:w="800" w:type="dxa"/>
            <w:noWrap/>
            <w:hideMark/>
          </w:tcPr>
          <w:p w14:paraId="487A9715" w14:textId="77777777" w:rsidR="001E33B1" w:rsidRPr="000973F2" w:rsidRDefault="001E33B1" w:rsidP="009663E4">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0</w:t>
            </w:r>
          </w:p>
        </w:tc>
        <w:tc>
          <w:tcPr>
            <w:tcW w:w="800" w:type="dxa"/>
            <w:noWrap/>
            <w:hideMark/>
          </w:tcPr>
          <w:p w14:paraId="2202DCB8" w14:textId="77777777" w:rsidR="001E33B1" w:rsidRPr="000973F2" w:rsidRDefault="001E33B1" w:rsidP="009663E4">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0</w:t>
            </w:r>
          </w:p>
        </w:tc>
        <w:tc>
          <w:tcPr>
            <w:tcW w:w="800" w:type="dxa"/>
            <w:noWrap/>
            <w:hideMark/>
          </w:tcPr>
          <w:p w14:paraId="62DA3B62" w14:textId="77777777" w:rsidR="001E33B1" w:rsidRPr="000973F2" w:rsidRDefault="001E33B1" w:rsidP="009663E4">
            <w:pPr>
              <w:tabs>
                <w:tab w:val="decimal" w:pos="292"/>
              </w:tabs>
              <w:spacing w:before="40" w:after="4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0</w:t>
            </w:r>
          </w:p>
        </w:tc>
        <w:tc>
          <w:tcPr>
            <w:tcW w:w="800" w:type="dxa"/>
            <w:noWrap/>
            <w:hideMark/>
          </w:tcPr>
          <w:p w14:paraId="692515CF" w14:textId="77777777" w:rsidR="001E33B1" w:rsidRPr="000973F2" w:rsidRDefault="001E33B1" w:rsidP="009663E4">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0</w:t>
            </w:r>
          </w:p>
        </w:tc>
        <w:tc>
          <w:tcPr>
            <w:tcW w:w="800" w:type="dxa"/>
            <w:noWrap/>
            <w:hideMark/>
          </w:tcPr>
          <w:p w14:paraId="4EC2A607" w14:textId="77777777" w:rsidR="001E33B1" w:rsidRPr="000973F2" w:rsidRDefault="001E33B1" w:rsidP="009663E4">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0</w:t>
            </w:r>
          </w:p>
        </w:tc>
        <w:tc>
          <w:tcPr>
            <w:tcW w:w="800" w:type="dxa"/>
            <w:noWrap/>
            <w:hideMark/>
          </w:tcPr>
          <w:p w14:paraId="1C682FBD" w14:textId="77777777" w:rsidR="001E33B1" w:rsidRPr="000973F2" w:rsidRDefault="001E33B1" w:rsidP="009663E4">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0</w:t>
            </w:r>
          </w:p>
        </w:tc>
        <w:tc>
          <w:tcPr>
            <w:tcW w:w="801" w:type="dxa"/>
            <w:noWrap/>
            <w:hideMark/>
          </w:tcPr>
          <w:p w14:paraId="63FC2D4A" w14:textId="77777777" w:rsidR="001E33B1" w:rsidRPr="000973F2" w:rsidRDefault="001E33B1" w:rsidP="00034890">
            <w:pPr>
              <w:tabs>
                <w:tab w:val="decimal" w:pos="320"/>
              </w:tabs>
              <w:spacing w:before="40" w:after="4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0</w:t>
            </w:r>
          </w:p>
        </w:tc>
        <w:tc>
          <w:tcPr>
            <w:tcW w:w="800" w:type="dxa"/>
            <w:noWrap/>
            <w:hideMark/>
          </w:tcPr>
          <w:p w14:paraId="5C626299" w14:textId="05C7382B" w:rsidR="001E33B1" w:rsidRPr="000973F2" w:rsidRDefault="001E33B1" w:rsidP="009663E4">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$0</w:t>
            </w:r>
          </w:p>
        </w:tc>
        <w:tc>
          <w:tcPr>
            <w:tcW w:w="800" w:type="dxa"/>
            <w:noWrap/>
            <w:hideMark/>
          </w:tcPr>
          <w:p w14:paraId="456D64F1" w14:textId="46C284E4" w:rsidR="001E33B1" w:rsidRPr="000973F2" w:rsidRDefault="001E33B1" w:rsidP="009663E4">
            <w:pPr>
              <w:tabs>
                <w:tab w:val="decimal" w:pos="432"/>
              </w:tabs>
              <w:spacing w:before="40" w:after="4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$0</w:t>
            </w:r>
          </w:p>
        </w:tc>
      </w:tr>
      <w:tr w:rsidR="001E33B1" w:rsidRPr="000973F2" w14:paraId="62D6282A" w14:textId="77777777" w:rsidTr="009663E4">
        <w:trPr>
          <w:cantSplit/>
        </w:trPr>
        <w:tc>
          <w:tcPr>
            <w:cnfStyle w:val="001000000000" w:firstRow="0" w:lastRow="0" w:firstColumn="1" w:lastColumn="0" w:oddVBand="0" w:evenVBand="0" w:oddHBand="0" w:evenHBand="0" w:firstRowFirstColumn="0" w:firstRowLastColumn="0" w:lastRowFirstColumn="0" w:lastRowLastColumn="0"/>
            <w:tcW w:w="1329" w:type="dxa"/>
            <w:tcMar>
              <w:right w:w="14" w:type="dxa"/>
            </w:tcMar>
            <w:hideMark/>
          </w:tcPr>
          <w:p w14:paraId="24243789" w14:textId="77777777" w:rsidR="001E33B1" w:rsidRPr="000973F2" w:rsidRDefault="001E33B1" w:rsidP="009663E4">
            <w:pPr>
              <w:spacing w:before="40" w:after="4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Reporting</w:t>
            </w:r>
          </w:p>
        </w:tc>
        <w:tc>
          <w:tcPr>
            <w:tcW w:w="800" w:type="dxa"/>
            <w:noWrap/>
            <w:hideMark/>
          </w:tcPr>
          <w:p w14:paraId="1C733C3E" w14:textId="77777777" w:rsidR="001E33B1" w:rsidRPr="000973F2" w:rsidRDefault="001E33B1" w:rsidP="009663E4">
            <w:pPr>
              <w:spacing w:before="40" w:after="4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0</w:t>
            </w:r>
          </w:p>
        </w:tc>
        <w:tc>
          <w:tcPr>
            <w:tcW w:w="800" w:type="dxa"/>
            <w:noWrap/>
            <w:hideMark/>
          </w:tcPr>
          <w:p w14:paraId="0BDAD637" w14:textId="77777777" w:rsidR="001E33B1" w:rsidRPr="000973F2" w:rsidRDefault="001E33B1" w:rsidP="009663E4">
            <w:pPr>
              <w:spacing w:before="40" w:after="4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0</w:t>
            </w:r>
          </w:p>
        </w:tc>
        <w:tc>
          <w:tcPr>
            <w:tcW w:w="800" w:type="dxa"/>
            <w:noWrap/>
            <w:hideMark/>
          </w:tcPr>
          <w:p w14:paraId="6558BE97" w14:textId="77777777" w:rsidR="001E33B1" w:rsidRPr="000973F2" w:rsidRDefault="001E33B1" w:rsidP="009663E4">
            <w:pPr>
              <w:spacing w:before="40" w:after="4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0</w:t>
            </w:r>
          </w:p>
        </w:tc>
        <w:tc>
          <w:tcPr>
            <w:tcW w:w="800" w:type="dxa"/>
            <w:noWrap/>
            <w:hideMark/>
          </w:tcPr>
          <w:p w14:paraId="1894930E" w14:textId="77777777" w:rsidR="001E33B1" w:rsidRPr="000973F2" w:rsidRDefault="001E33B1" w:rsidP="009663E4">
            <w:pPr>
              <w:tabs>
                <w:tab w:val="decimal" w:pos="292"/>
              </w:tabs>
              <w:spacing w:before="40" w:after="4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0.5</w:t>
            </w:r>
          </w:p>
        </w:tc>
        <w:tc>
          <w:tcPr>
            <w:tcW w:w="800" w:type="dxa"/>
            <w:noWrap/>
            <w:hideMark/>
          </w:tcPr>
          <w:p w14:paraId="16DA3EA7" w14:textId="77777777" w:rsidR="001E33B1" w:rsidRPr="000973F2" w:rsidRDefault="001E33B1" w:rsidP="009663E4">
            <w:pPr>
              <w:spacing w:before="40" w:after="4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0</w:t>
            </w:r>
          </w:p>
        </w:tc>
        <w:tc>
          <w:tcPr>
            <w:tcW w:w="800" w:type="dxa"/>
            <w:noWrap/>
            <w:hideMark/>
          </w:tcPr>
          <w:p w14:paraId="4DA259D8" w14:textId="77777777" w:rsidR="001E33B1" w:rsidRPr="000973F2" w:rsidRDefault="001E33B1" w:rsidP="009663E4">
            <w:pPr>
              <w:spacing w:before="40" w:after="4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2</w:t>
            </w:r>
          </w:p>
        </w:tc>
        <w:tc>
          <w:tcPr>
            <w:tcW w:w="800" w:type="dxa"/>
            <w:noWrap/>
            <w:hideMark/>
          </w:tcPr>
          <w:p w14:paraId="685D90C1" w14:textId="77777777" w:rsidR="001E33B1" w:rsidRPr="000973F2" w:rsidRDefault="001E33B1" w:rsidP="009663E4">
            <w:pPr>
              <w:spacing w:before="40" w:after="4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0</w:t>
            </w:r>
          </w:p>
        </w:tc>
        <w:tc>
          <w:tcPr>
            <w:tcW w:w="801" w:type="dxa"/>
            <w:noWrap/>
            <w:hideMark/>
          </w:tcPr>
          <w:p w14:paraId="68871B6B" w14:textId="77777777" w:rsidR="001E33B1" w:rsidRPr="000973F2" w:rsidRDefault="001E33B1" w:rsidP="00034890">
            <w:pPr>
              <w:tabs>
                <w:tab w:val="decimal" w:pos="320"/>
              </w:tabs>
              <w:spacing w:before="40" w:after="4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0.5</w:t>
            </w:r>
          </w:p>
        </w:tc>
        <w:tc>
          <w:tcPr>
            <w:tcW w:w="800" w:type="dxa"/>
            <w:noWrap/>
            <w:hideMark/>
          </w:tcPr>
          <w:p w14:paraId="2233D9E0" w14:textId="2F70EC4E" w:rsidR="001E33B1" w:rsidRPr="000973F2" w:rsidRDefault="001E33B1" w:rsidP="009663E4">
            <w:pPr>
              <w:spacing w:before="40" w:after="4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$0</w:t>
            </w:r>
          </w:p>
        </w:tc>
        <w:tc>
          <w:tcPr>
            <w:tcW w:w="800" w:type="dxa"/>
            <w:noWrap/>
            <w:hideMark/>
          </w:tcPr>
          <w:p w14:paraId="3A3A1F79" w14:textId="1A263F22" w:rsidR="001E33B1" w:rsidRPr="000973F2" w:rsidRDefault="001E33B1" w:rsidP="009663E4">
            <w:pPr>
              <w:tabs>
                <w:tab w:val="decimal" w:pos="432"/>
              </w:tabs>
              <w:spacing w:before="40" w:after="4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$205</w:t>
            </w:r>
          </w:p>
        </w:tc>
      </w:tr>
      <w:tr w:rsidR="001E33B1" w:rsidRPr="000973F2" w14:paraId="62BFE74D" w14:textId="77777777" w:rsidTr="009663E4">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1329" w:type="dxa"/>
            <w:noWrap/>
            <w:tcMar>
              <w:right w:w="14" w:type="dxa"/>
            </w:tcMar>
            <w:hideMark/>
          </w:tcPr>
          <w:p w14:paraId="4CCFD0D6" w14:textId="77777777" w:rsidR="001E33B1" w:rsidRPr="000973F2" w:rsidRDefault="001E33B1" w:rsidP="009663E4">
            <w:pPr>
              <w:spacing w:before="40" w:after="40"/>
              <w:rPr>
                <w:rFonts w:ascii="Times New Roman" w:eastAsia="Times New Roman" w:hAnsi="Times New Roman" w:cs="Times New Roman"/>
                <w:b/>
                <w:bCs w:val="0"/>
                <w:sz w:val="18"/>
                <w:szCs w:val="18"/>
              </w:rPr>
            </w:pPr>
            <w:r w:rsidRPr="000973F2">
              <w:rPr>
                <w:rFonts w:ascii="Times New Roman" w:eastAsia="Times New Roman" w:hAnsi="Times New Roman" w:cs="Times New Roman"/>
                <w:b/>
                <w:sz w:val="18"/>
                <w:szCs w:val="18"/>
              </w:rPr>
              <w:t>Total</w:t>
            </w:r>
          </w:p>
        </w:tc>
        <w:tc>
          <w:tcPr>
            <w:tcW w:w="800" w:type="dxa"/>
            <w:noWrap/>
            <w:hideMark/>
          </w:tcPr>
          <w:p w14:paraId="5B8B8C10" w14:textId="77777777" w:rsidR="001E33B1" w:rsidRPr="000973F2" w:rsidRDefault="001E33B1" w:rsidP="009663E4">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18"/>
                <w:szCs w:val="18"/>
              </w:rPr>
            </w:pPr>
            <w:r w:rsidRPr="000973F2">
              <w:rPr>
                <w:rFonts w:ascii="Times New Roman" w:eastAsia="Times New Roman" w:hAnsi="Times New Roman" w:cs="Times New Roman"/>
                <w:b/>
                <w:bCs/>
                <w:sz w:val="18"/>
                <w:szCs w:val="18"/>
              </w:rPr>
              <w:t>0</w:t>
            </w:r>
          </w:p>
        </w:tc>
        <w:tc>
          <w:tcPr>
            <w:tcW w:w="800" w:type="dxa"/>
            <w:noWrap/>
            <w:hideMark/>
          </w:tcPr>
          <w:p w14:paraId="1389385A" w14:textId="77777777" w:rsidR="001E33B1" w:rsidRPr="000973F2" w:rsidRDefault="001E33B1" w:rsidP="009663E4">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18"/>
                <w:szCs w:val="18"/>
              </w:rPr>
            </w:pPr>
            <w:r w:rsidRPr="000973F2">
              <w:rPr>
                <w:rFonts w:ascii="Times New Roman" w:eastAsia="Times New Roman" w:hAnsi="Times New Roman" w:cs="Times New Roman"/>
                <w:b/>
                <w:bCs/>
                <w:sz w:val="18"/>
                <w:szCs w:val="18"/>
              </w:rPr>
              <w:t>0</w:t>
            </w:r>
          </w:p>
        </w:tc>
        <w:tc>
          <w:tcPr>
            <w:tcW w:w="800" w:type="dxa"/>
            <w:noWrap/>
            <w:hideMark/>
          </w:tcPr>
          <w:p w14:paraId="124395D0" w14:textId="77777777" w:rsidR="001E33B1" w:rsidRPr="000973F2" w:rsidRDefault="001E33B1" w:rsidP="009663E4">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18"/>
                <w:szCs w:val="18"/>
              </w:rPr>
            </w:pPr>
            <w:r w:rsidRPr="000973F2">
              <w:rPr>
                <w:rFonts w:ascii="Times New Roman" w:eastAsia="Times New Roman" w:hAnsi="Times New Roman" w:cs="Times New Roman"/>
                <w:b/>
                <w:bCs/>
                <w:sz w:val="18"/>
                <w:szCs w:val="18"/>
              </w:rPr>
              <w:t>0</w:t>
            </w:r>
          </w:p>
        </w:tc>
        <w:tc>
          <w:tcPr>
            <w:tcW w:w="800" w:type="dxa"/>
            <w:noWrap/>
            <w:hideMark/>
          </w:tcPr>
          <w:p w14:paraId="45D6FA1E" w14:textId="77777777" w:rsidR="001E33B1" w:rsidRPr="000973F2" w:rsidRDefault="001E33B1" w:rsidP="009663E4">
            <w:pPr>
              <w:tabs>
                <w:tab w:val="decimal" w:pos="292"/>
              </w:tabs>
              <w:spacing w:before="40" w:after="4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18"/>
                <w:szCs w:val="18"/>
              </w:rPr>
            </w:pPr>
            <w:r w:rsidRPr="000973F2">
              <w:rPr>
                <w:rFonts w:ascii="Times New Roman" w:eastAsia="Times New Roman" w:hAnsi="Times New Roman" w:cs="Times New Roman"/>
                <w:b/>
                <w:bCs/>
                <w:sz w:val="18"/>
                <w:szCs w:val="18"/>
              </w:rPr>
              <w:t>0.8</w:t>
            </w:r>
          </w:p>
        </w:tc>
        <w:tc>
          <w:tcPr>
            <w:tcW w:w="800" w:type="dxa"/>
            <w:noWrap/>
            <w:hideMark/>
          </w:tcPr>
          <w:p w14:paraId="63463B85" w14:textId="77777777" w:rsidR="001E33B1" w:rsidRPr="000973F2" w:rsidRDefault="001E33B1" w:rsidP="009663E4">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18"/>
                <w:szCs w:val="18"/>
              </w:rPr>
            </w:pPr>
            <w:r w:rsidRPr="000973F2">
              <w:rPr>
                <w:rFonts w:ascii="Times New Roman" w:eastAsia="Times New Roman" w:hAnsi="Times New Roman" w:cs="Times New Roman"/>
                <w:b/>
                <w:bCs/>
                <w:sz w:val="18"/>
                <w:szCs w:val="18"/>
              </w:rPr>
              <w:t>0</w:t>
            </w:r>
          </w:p>
        </w:tc>
        <w:tc>
          <w:tcPr>
            <w:tcW w:w="800" w:type="dxa"/>
            <w:noWrap/>
            <w:hideMark/>
          </w:tcPr>
          <w:p w14:paraId="1866495E" w14:textId="77777777" w:rsidR="001E33B1" w:rsidRPr="000973F2" w:rsidRDefault="001E33B1" w:rsidP="009663E4">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18"/>
                <w:szCs w:val="18"/>
              </w:rPr>
            </w:pPr>
            <w:r w:rsidRPr="000973F2">
              <w:rPr>
                <w:rFonts w:ascii="Times New Roman" w:eastAsia="Times New Roman" w:hAnsi="Times New Roman" w:cs="Times New Roman"/>
                <w:b/>
                <w:bCs/>
                <w:sz w:val="18"/>
                <w:szCs w:val="18"/>
              </w:rPr>
              <w:t>3</w:t>
            </w:r>
          </w:p>
        </w:tc>
        <w:tc>
          <w:tcPr>
            <w:tcW w:w="800" w:type="dxa"/>
            <w:noWrap/>
            <w:hideMark/>
          </w:tcPr>
          <w:p w14:paraId="27194BC7" w14:textId="77777777" w:rsidR="001E33B1" w:rsidRPr="000973F2" w:rsidRDefault="001E33B1" w:rsidP="009663E4">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18"/>
                <w:szCs w:val="18"/>
              </w:rPr>
            </w:pPr>
            <w:r w:rsidRPr="000973F2">
              <w:rPr>
                <w:rFonts w:ascii="Times New Roman" w:eastAsia="Times New Roman" w:hAnsi="Times New Roman" w:cs="Times New Roman"/>
                <w:b/>
                <w:bCs/>
                <w:sz w:val="18"/>
                <w:szCs w:val="18"/>
              </w:rPr>
              <w:t>0</w:t>
            </w:r>
          </w:p>
        </w:tc>
        <w:tc>
          <w:tcPr>
            <w:tcW w:w="801" w:type="dxa"/>
            <w:noWrap/>
            <w:hideMark/>
          </w:tcPr>
          <w:p w14:paraId="107CE6B7" w14:textId="77777777" w:rsidR="001E33B1" w:rsidRPr="000973F2" w:rsidRDefault="001E33B1" w:rsidP="00034890">
            <w:pPr>
              <w:tabs>
                <w:tab w:val="decimal" w:pos="320"/>
              </w:tabs>
              <w:spacing w:before="40" w:after="4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18"/>
                <w:szCs w:val="18"/>
              </w:rPr>
            </w:pPr>
            <w:r w:rsidRPr="000973F2">
              <w:rPr>
                <w:rFonts w:ascii="Times New Roman" w:eastAsia="Times New Roman" w:hAnsi="Times New Roman" w:cs="Times New Roman"/>
                <w:b/>
                <w:bCs/>
                <w:sz w:val="18"/>
                <w:szCs w:val="18"/>
              </w:rPr>
              <w:t>0.8</w:t>
            </w:r>
          </w:p>
        </w:tc>
        <w:tc>
          <w:tcPr>
            <w:tcW w:w="800" w:type="dxa"/>
            <w:noWrap/>
            <w:hideMark/>
          </w:tcPr>
          <w:p w14:paraId="22ABB0A8" w14:textId="4850CA2D" w:rsidR="001E33B1" w:rsidRPr="000973F2" w:rsidRDefault="001E33B1" w:rsidP="009663E4">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18"/>
                <w:szCs w:val="18"/>
              </w:rPr>
            </w:pPr>
            <w:r w:rsidRPr="000973F2">
              <w:rPr>
                <w:rFonts w:ascii="Times New Roman" w:eastAsia="Times New Roman" w:hAnsi="Times New Roman" w:cs="Times New Roman"/>
                <w:b/>
                <w:bCs/>
                <w:sz w:val="18"/>
                <w:szCs w:val="18"/>
              </w:rPr>
              <w:t>$0</w:t>
            </w:r>
          </w:p>
        </w:tc>
        <w:tc>
          <w:tcPr>
            <w:tcW w:w="800" w:type="dxa"/>
            <w:noWrap/>
            <w:hideMark/>
          </w:tcPr>
          <w:p w14:paraId="2FA4DD05" w14:textId="77777777" w:rsidR="001E33B1" w:rsidRPr="000973F2" w:rsidRDefault="001E33B1" w:rsidP="009663E4">
            <w:pPr>
              <w:tabs>
                <w:tab w:val="decimal" w:pos="432"/>
              </w:tabs>
              <w:spacing w:before="40" w:after="4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18"/>
                <w:szCs w:val="18"/>
              </w:rPr>
            </w:pPr>
            <w:r w:rsidRPr="000973F2">
              <w:rPr>
                <w:rFonts w:ascii="Times New Roman" w:eastAsia="Times New Roman" w:hAnsi="Times New Roman" w:cs="Times New Roman"/>
                <w:b/>
                <w:bCs/>
                <w:sz w:val="18"/>
                <w:szCs w:val="18"/>
              </w:rPr>
              <w:t>$307</w:t>
            </w:r>
          </w:p>
        </w:tc>
      </w:tr>
    </w:tbl>
    <w:p w14:paraId="771950AF" w14:textId="77777777" w:rsidR="001E33B1" w:rsidRPr="000973F2" w:rsidRDefault="001E33B1" w:rsidP="001E33B1">
      <w:pPr>
        <w:spacing w:line="240" w:lineRule="auto"/>
        <w:rPr>
          <w:rFonts w:ascii="Times New Roman" w:hAnsi="Times New Roman" w:cs="Times New Roman"/>
          <w:i/>
        </w:rPr>
      </w:pPr>
    </w:p>
    <w:p w14:paraId="44313555" w14:textId="77777777" w:rsidR="00DD5929" w:rsidRPr="000973F2" w:rsidRDefault="00DD5929" w:rsidP="00C00E4F">
      <w:pPr>
        <w:spacing w:line="240" w:lineRule="auto"/>
        <w:rPr>
          <w:rFonts w:ascii="Times New Roman" w:hAnsi="Times New Roman" w:cs="Times New Roman"/>
          <w:i/>
        </w:rPr>
      </w:pPr>
    </w:p>
    <w:p w14:paraId="2ED7E5F5" w14:textId="77777777" w:rsidR="00DD5929" w:rsidRPr="000973F2" w:rsidRDefault="00DD5929" w:rsidP="00C00E4F">
      <w:pPr>
        <w:spacing w:line="240" w:lineRule="auto"/>
        <w:rPr>
          <w:rFonts w:ascii="Times New Roman" w:hAnsi="Times New Roman" w:cs="Times New Roman"/>
          <w:i/>
        </w:rPr>
      </w:pPr>
      <w:r w:rsidRPr="000973F2">
        <w:rPr>
          <w:rFonts w:ascii="Times New Roman" w:hAnsi="Times New Roman" w:cs="Times New Roman"/>
          <w:i/>
        </w:rPr>
        <w:br w:type="page"/>
      </w:r>
    </w:p>
    <w:p w14:paraId="2B9DA6F2" w14:textId="77777777" w:rsidR="00DD5929" w:rsidRPr="000973F2" w:rsidRDefault="00DD5929" w:rsidP="007F466B">
      <w:pPr>
        <w:pStyle w:val="Heading2"/>
      </w:pPr>
      <w:r w:rsidRPr="000973F2">
        <w:t>Capital and O&amp;M Costs for Subpart D</w:t>
      </w:r>
    </w:p>
    <w:p w14:paraId="5A1A5B91" w14:textId="3F121739" w:rsidR="00DD5929" w:rsidRPr="000973F2" w:rsidRDefault="00DD5929" w:rsidP="007F466B">
      <w:pPr>
        <w:pStyle w:val="BodyText"/>
      </w:pPr>
      <w:r w:rsidRPr="000973F2">
        <w:t xml:space="preserve">Capital and O&amp;M costs are shown in Table </w:t>
      </w:r>
      <w:r w:rsidR="007F466B" w:rsidRPr="000973F2">
        <w:t>D-</w:t>
      </w:r>
      <w:r w:rsidRPr="000973F2">
        <w:t>2. Per the applicability of §98.40(a), Subpart D comprises EGUs that are subject to the requirements of the Acid Rain Program and any other electricity</w:t>
      </w:r>
      <w:r w:rsidR="00051F9B">
        <w:t>-</w:t>
      </w:r>
      <w:r w:rsidRPr="000973F2">
        <w:t>generating units that are required to monitor and report to EPA CO</w:t>
      </w:r>
      <w:r w:rsidRPr="000973F2">
        <w:rPr>
          <w:vertAlign w:val="subscript"/>
        </w:rPr>
        <w:t>2</w:t>
      </w:r>
      <w:r w:rsidRPr="000973F2">
        <w:t xml:space="preserve"> mass emissions year-round according to 40 CFR part 75, therefore no capital and O&amp;M costs are attributed to Part 98 other than recordkeeping costs. The O&amp;M costs associated with recordkeeping are discussed in the Cost Appendix Introduction.</w:t>
      </w:r>
    </w:p>
    <w:p w14:paraId="34B64C07" w14:textId="661AFE49" w:rsidR="00DD5929" w:rsidRPr="000973F2" w:rsidRDefault="00805713" w:rsidP="007F466B">
      <w:pPr>
        <w:pStyle w:val="Tabletitle"/>
      </w:pPr>
      <w:r w:rsidRPr="000973F2">
        <w:t xml:space="preserve">Table </w:t>
      </w:r>
      <w:r w:rsidR="007F466B" w:rsidRPr="000973F2">
        <w:t>D-</w:t>
      </w:r>
      <w:r w:rsidRPr="000973F2">
        <w:t xml:space="preserve">2. Capital and O&amp;M Costs </w:t>
      </w:r>
      <w:r w:rsidR="007F466B" w:rsidRPr="000973F2">
        <w:t>–</w:t>
      </w:r>
      <w:r w:rsidRPr="000973F2">
        <w:t xml:space="preserve"> </w:t>
      </w:r>
      <w:r w:rsidR="00DD5929" w:rsidRPr="000973F2">
        <w:t>Subpart D</w:t>
      </w:r>
    </w:p>
    <w:tbl>
      <w:tblPr>
        <w:tblStyle w:val="PlainTable1"/>
        <w:tblW w:w="5000" w:type="pct"/>
        <w:jc w:val="left"/>
        <w:tblLayout w:type="fixed"/>
        <w:tblCellMar>
          <w:left w:w="115" w:type="dxa"/>
          <w:right w:w="115" w:type="dxa"/>
        </w:tblCellMar>
        <w:tblLook w:val="04A0" w:firstRow="1" w:lastRow="0" w:firstColumn="1" w:lastColumn="0" w:noHBand="0" w:noVBand="1"/>
      </w:tblPr>
      <w:tblGrid>
        <w:gridCol w:w="2668"/>
        <w:gridCol w:w="1154"/>
        <w:gridCol w:w="1154"/>
        <w:gridCol w:w="1153"/>
        <w:gridCol w:w="1154"/>
        <w:gridCol w:w="10"/>
        <w:gridCol w:w="1143"/>
        <w:gridCol w:w="1154"/>
      </w:tblGrid>
      <w:tr w:rsidR="00FF36E8" w:rsidRPr="000973F2" w14:paraId="5DB73CBB" w14:textId="77777777" w:rsidTr="007F466B">
        <w:trPr>
          <w:cnfStyle w:val="100000000000" w:firstRow="1" w:lastRow="0" w:firstColumn="0" w:lastColumn="0" w:oddVBand="0" w:evenVBand="0" w:oddHBand="0" w:evenHBand="0" w:firstRowFirstColumn="0" w:firstRowLastColumn="0" w:lastRowFirstColumn="0" w:lastRowLastColumn="0"/>
          <w:cantSplit/>
          <w:jc w:val="left"/>
        </w:trPr>
        <w:tc>
          <w:tcPr>
            <w:cnfStyle w:val="001000000000" w:firstRow="0" w:lastRow="0" w:firstColumn="1" w:lastColumn="0" w:oddVBand="0" w:evenVBand="0" w:oddHBand="0" w:evenHBand="0" w:firstRowFirstColumn="0" w:firstRowLastColumn="0" w:lastRowFirstColumn="0" w:lastRowLastColumn="0"/>
            <w:tcW w:w="2595" w:type="dxa"/>
            <w:vMerge w:val="restart"/>
            <w:noWrap/>
            <w:vAlign w:val="top"/>
            <w:hideMark/>
          </w:tcPr>
          <w:p w14:paraId="508F7292" w14:textId="2E5F97F8" w:rsidR="00FF36E8" w:rsidRPr="000973F2" w:rsidRDefault="00FF36E8" w:rsidP="007F466B">
            <w:pPr>
              <w:spacing w:before="40" w:after="40"/>
              <w:rPr>
                <w:rFonts w:ascii="Times New Roman" w:eastAsia="Times New Roman" w:hAnsi="Times New Roman" w:cs="Times New Roman"/>
                <w:b w:val="0"/>
                <w:bCs w:val="0"/>
                <w:sz w:val="18"/>
                <w:szCs w:val="18"/>
              </w:rPr>
            </w:pPr>
            <w:r w:rsidRPr="000973F2">
              <w:rPr>
                <w:rFonts w:ascii="Times New Roman" w:eastAsia="Times New Roman" w:hAnsi="Times New Roman" w:cs="Times New Roman"/>
                <w:sz w:val="18"/>
                <w:szCs w:val="18"/>
              </w:rPr>
              <w:t>Activity</w:t>
            </w:r>
          </w:p>
        </w:tc>
        <w:tc>
          <w:tcPr>
            <w:tcW w:w="4500" w:type="dxa"/>
            <w:gridSpan w:val="5"/>
            <w:noWrap/>
            <w:vAlign w:val="top"/>
            <w:hideMark/>
          </w:tcPr>
          <w:p w14:paraId="2A2B3690" w14:textId="77777777" w:rsidR="00FF36E8" w:rsidRPr="000973F2" w:rsidRDefault="00FF36E8" w:rsidP="007F466B">
            <w:pPr>
              <w:spacing w:before="40" w:after="40"/>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bCs w:val="0"/>
                <w:sz w:val="18"/>
                <w:szCs w:val="18"/>
              </w:rPr>
            </w:pPr>
            <w:r w:rsidRPr="000973F2">
              <w:rPr>
                <w:rFonts w:ascii="Times New Roman" w:eastAsia="Times New Roman" w:hAnsi="Times New Roman" w:cs="Times New Roman"/>
                <w:sz w:val="18"/>
                <w:szCs w:val="18"/>
              </w:rPr>
              <w:t>Cost Categories</w:t>
            </w:r>
          </w:p>
        </w:tc>
        <w:tc>
          <w:tcPr>
            <w:tcW w:w="2235" w:type="dxa"/>
            <w:gridSpan w:val="2"/>
            <w:vAlign w:val="top"/>
            <w:hideMark/>
          </w:tcPr>
          <w:p w14:paraId="56D8FEE3" w14:textId="77777777" w:rsidR="00FF36E8" w:rsidRPr="000973F2" w:rsidRDefault="00FF36E8" w:rsidP="007F466B">
            <w:pPr>
              <w:spacing w:before="40" w:after="40"/>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bCs w:val="0"/>
                <w:sz w:val="18"/>
                <w:szCs w:val="18"/>
              </w:rPr>
            </w:pPr>
            <w:r w:rsidRPr="000973F2">
              <w:rPr>
                <w:rFonts w:ascii="Times New Roman" w:eastAsia="Times New Roman" w:hAnsi="Times New Roman" w:cs="Times New Roman"/>
                <w:sz w:val="18"/>
                <w:szCs w:val="18"/>
              </w:rPr>
              <w:t>Total Capital and O&amp;M Cost per Year Per Facility (2017$)</w:t>
            </w:r>
          </w:p>
        </w:tc>
      </w:tr>
      <w:tr w:rsidR="00FF36E8" w:rsidRPr="000973F2" w14:paraId="7C450B91" w14:textId="77777777" w:rsidTr="007F466B">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2595" w:type="dxa"/>
            <w:vMerge/>
            <w:noWrap/>
            <w:hideMark/>
          </w:tcPr>
          <w:p w14:paraId="59A1ABD9" w14:textId="16933E25" w:rsidR="00FF36E8" w:rsidRPr="000973F2" w:rsidRDefault="00FF36E8" w:rsidP="007F466B">
            <w:pPr>
              <w:spacing w:before="40" w:after="40"/>
              <w:jc w:val="center"/>
              <w:rPr>
                <w:rFonts w:ascii="Times New Roman" w:eastAsia="Times New Roman" w:hAnsi="Times New Roman" w:cs="Times New Roman"/>
                <w:b/>
                <w:bCs w:val="0"/>
                <w:sz w:val="18"/>
                <w:szCs w:val="18"/>
              </w:rPr>
            </w:pPr>
          </w:p>
        </w:tc>
        <w:tc>
          <w:tcPr>
            <w:tcW w:w="1122" w:type="dxa"/>
            <w:hideMark/>
          </w:tcPr>
          <w:p w14:paraId="2A4A7C79" w14:textId="77777777" w:rsidR="00FF36E8" w:rsidRPr="000973F2" w:rsidRDefault="00FF36E8" w:rsidP="007F466B">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18"/>
                <w:szCs w:val="18"/>
              </w:rPr>
            </w:pPr>
            <w:r w:rsidRPr="000973F2">
              <w:rPr>
                <w:rFonts w:ascii="Times New Roman" w:eastAsia="Times New Roman" w:hAnsi="Times New Roman" w:cs="Times New Roman"/>
                <w:b/>
                <w:bCs/>
                <w:sz w:val="18"/>
                <w:szCs w:val="18"/>
              </w:rPr>
              <w:t>Capital Cost (2017$)</w:t>
            </w:r>
          </w:p>
        </w:tc>
        <w:tc>
          <w:tcPr>
            <w:tcW w:w="1123" w:type="dxa"/>
            <w:hideMark/>
          </w:tcPr>
          <w:p w14:paraId="0696033B" w14:textId="77777777" w:rsidR="00FF36E8" w:rsidRPr="000973F2" w:rsidRDefault="00FF36E8" w:rsidP="007F466B">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18"/>
                <w:szCs w:val="18"/>
              </w:rPr>
            </w:pPr>
            <w:r w:rsidRPr="000973F2">
              <w:rPr>
                <w:rFonts w:ascii="Times New Roman" w:eastAsia="Times New Roman" w:hAnsi="Times New Roman" w:cs="Times New Roman"/>
                <w:b/>
                <w:bCs/>
                <w:sz w:val="18"/>
                <w:szCs w:val="18"/>
              </w:rPr>
              <w:t>Equipment Lifetime</w:t>
            </w:r>
          </w:p>
        </w:tc>
        <w:tc>
          <w:tcPr>
            <w:tcW w:w="1122" w:type="dxa"/>
            <w:tcMar>
              <w:left w:w="14" w:type="dxa"/>
              <w:right w:w="14" w:type="dxa"/>
            </w:tcMar>
            <w:hideMark/>
          </w:tcPr>
          <w:p w14:paraId="440696AC" w14:textId="77777777" w:rsidR="00FF36E8" w:rsidRPr="000973F2" w:rsidRDefault="00FF36E8" w:rsidP="007F466B">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18"/>
                <w:szCs w:val="18"/>
              </w:rPr>
            </w:pPr>
            <w:r w:rsidRPr="000973F2">
              <w:rPr>
                <w:rFonts w:ascii="Times New Roman" w:eastAsia="Times New Roman" w:hAnsi="Times New Roman" w:cs="Times New Roman"/>
                <w:b/>
                <w:bCs/>
                <w:sz w:val="18"/>
                <w:szCs w:val="18"/>
              </w:rPr>
              <w:t>Annualized Capital Cost (2017$/year)</w:t>
            </w:r>
          </w:p>
        </w:tc>
        <w:tc>
          <w:tcPr>
            <w:tcW w:w="1123" w:type="dxa"/>
            <w:tcMar>
              <w:left w:w="14" w:type="dxa"/>
              <w:right w:w="14" w:type="dxa"/>
            </w:tcMar>
            <w:hideMark/>
          </w:tcPr>
          <w:p w14:paraId="4BCF0CB7" w14:textId="77777777" w:rsidR="00FF36E8" w:rsidRPr="000973F2" w:rsidRDefault="00FF36E8" w:rsidP="007F466B">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18"/>
                <w:szCs w:val="18"/>
              </w:rPr>
            </w:pPr>
            <w:r w:rsidRPr="000973F2">
              <w:rPr>
                <w:rFonts w:ascii="Times New Roman" w:eastAsia="Times New Roman" w:hAnsi="Times New Roman" w:cs="Times New Roman"/>
                <w:b/>
                <w:bCs/>
                <w:sz w:val="18"/>
                <w:szCs w:val="18"/>
              </w:rPr>
              <w:t>O&amp;M Costs (2017$/year)</w:t>
            </w:r>
          </w:p>
        </w:tc>
        <w:tc>
          <w:tcPr>
            <w:tcW w:w="1122" w:type="dxa"/>
            <w:gridSpan w:val="2"/>
            <w:hideMark/>
          </w:tcPr>
          <w:p w14:paraId="6127A637" w14:textId="77777777" w:rsidR="00FF36E8" w:rsidRPr="000973F2" w:rsidRDefault="00FF36E8" w:rsidP="007F466B">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18"/>
                <w:szCs w:val="18"/>
              </w:rPr>
            </w:pPr>
            <w:r w:rsidRPr="000973F2">
              <w:rPr>
                <w:rFonts w:ascii="Times New Roman" w:eastAsia="Times New Roman" w:hAnsi="Times New Roman" w:cs="Times New Roman"/>
                <w:b/>
                <w:bCs/>
                <w:sz w:val="18"/>
                <w:szCs w:val="18"/>
              </w:rPr>
              <w:t>Initial Year</w:t>
            </w:r>
          </w:p>
        </w:tc>
        <w:tc>
          <w:tcPr>
            <w:tcW w:w="1123" w:type="dxa"/>
            <w:hideMark/>
          </w:tcPr>
          <w:p w14:paraId="49206EBC" w14:textId="77777777" w:rsidR="00FF36E8" w:rsidRPr="000973F2" w:rsidRDefault="00FF36E8" w:rsidP="007F466B">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18"/>
                <w:szCs w:val="18"/>
              </w:rPr>
            </w:pPr>
            <w:r w:rsidRPr="000973F2">
              <w:rPr>
                <w:rFonts w:ascii="Times New Roman" w:eastAsia="Times New Roman" w:hAnsi="Times New Roman" w:cs="Times New Roman"/>
                <w:b/>
                <w:bCs/>
                <w:sz w:val="18"/>
                <w:szCs w:val="18"/>
              </w:rPr>
              <w:t>Subseq. Years</w:t>
            </w:r>
          </w:p>
        </w:tc>
      </w:tr>
      <w:tr w:rsidR="00034890" w:rsidRPr="000973F2" w14:paraId="127D0BB3" w14:textId="77777777" w:rsidTr="007F466B">
        <w:trPr>
          <w:cantSplit/>
        </w:trPr>
        <w:tc>
          <w:tcPr>
            <w:cnfStyle w:val="001000000000" w:firstRow="0" w:lastRow="0" w:firstColumn="1" w:lastColumn="0" w:oddVBand="0" w:evenVBand="0" w:oddHBand="0" w:evenHBand="0" w:firstRowFirstColumn="0" w:firstRowLastColumn="0" w:lastRowFirstColumn="0" w:lastRowLastColumn="0"/>
            <w:tcW w:w="2595" w:type="dxa"/>
            <w:hideMark/>
          </w:tcPr>
          <w:p w14:paraId="7FD9C1BE" w14:textId="77777777" w:rsidR="00034890" w:rsidRPr="000973F2" w:rsidRDefault="00034890" w:rsidP="00034890">
            <w:pPr>
              <w:spacing w:before="40" w:after="4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Equipment (selection, purchase, installation)</w:t>
            </w:r>
          </w:p>
        </w:tc>
        <w:tc>
          <w:tcPr>
            <w:tcW w:w="1122" w:type="dxa"/>
            <w:noWrap/>
            <w:hideMark/>
          </w:tcPr>
          <w:p w14:paraId="5FEA90D4" w14:textId="1516C923" w:rsidR="00034890" w:rsidRPr="000973F2" w:rsidRDefault="00034890" w:rsidP="00034890">
            <w:pPr>
              <w:spacing w:before="40" w:after="4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w:t>
            </w:r>
          </w:p>
        </w:tc>
        <w:tc>
          <w:tcPr>
            <w:tcW w:w="1123" w:type="dxa"/>
            <w:noWrap/>
          </w:tcPr>
          <w:p w14:paraId="44C30A21" w14:textId="5797D667" w:rsidR="00034890" w:rsidRPr="000973F2" w:rsidRDefault="00034890" w:rsidP="00034890">
            <w:pPr>
              <w:spacing w:before="40" w:after="4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p>
        </w:tc>
        <w:tc>
          <w:tcPr>
            <w:tcW w:w="1122" w:type="dxa"/>
            <w:noWrap/>
            <w:hideMark/>
          </w:tcPr>
          <w:p w14:paraId="09686A29" w14:textId="4B75E358" w:rsidR="00034890" w:rsidRPr="000973F2" w:rsidRDefault="00034890" w:rsidP="00034890">
            <w:pPr>
              <w:spacing w:before="40" w:after="4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w:t>
            </w:r>
          </w:p>
        </w:tc>
        <w:tc>
          <w:tcPr>
            <w:tcW w:w="1123" w:type="dxa"/>
            <w:noWrap/>
            <w:hideMark/>
          </w:tcPr>
          <w:p w14:paraId="05BD5607" w14:textId="75769E5E" w:rsidR="00034890" w:rsidRPr="000973F2" w:rsidRDefault="00034890" w:rsidP="00034890">
            <w:pPr>
              <w:spacing w:before="40" w:after="4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w:t>
            </w:r>
          </w:p>
        </w:tc>
        <w:tc>
          <w:tcPr>
            <w:tcW w:w="1122" w:type="dxa"/>
            <w:gridSpan w:val="2"/>
            <w:noWrap/>
            <w:hideMark/>
          </w:tcPr>
          <w:p w14:paraId="4B9A07AF" w14:textId="075C2917" w:rsidR="00034890" w:rsidRPr="000973F2" w:rsidRDefault="00034890" w:rsidP="00034890">
            <w:pPr>
              <w:spacing w:before="40" w:after="4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w:t>
            </w:r>
          </w:p>
        </w:tc>
        <w:tc>
          <w:tcPr>
            <w:tcW w:w="1123" w:type="dxa"/>
            <w:noWrap/>
            <w:hideMark/>
          </w:tcPr>
          <w:p w14:paraId="6F25A6CD" w14:textId="3E34DE89" w:rsidR="00034890" w:rsidRPr="000973F2" w:rsidRDefault="00034890" w:rsidP="00034890">
            <w:pPr>
              <w:spacing w:before="40" w:after="4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w:t>
            </w:r>
          </w:p>
        </w:tc>
      </w:tr>
      <w:tr w:rsidR="00034890" w:rsidRPr="000973F2" w14:paraId="47E26D87" w14:textId="77777777" w:rsidTr="007F466B">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2595" w:type="dxa"/>
            <w:hideMark/>
          </w:tcPr>
          <w:p w14:paraId="62368401" w14:textId="77777777" w:rsidR="00034890" w:rsidRPr="000973F2" w:rsidRDefault="00034890" w:rsidP="00034890">
            <w:pPr>
              <w:spacing w:before="40" w:after="4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Performance testing</w:t>
            </w:r>
          </w:p>
        </w:tc>
        <w:tc>
          <w:tcPr>
            <w:tcW w:w="1122" w:type="dxa"/>
            <w:noWrap/>
            <w:hideMark/>
          </w:tcPr>
          <w:p w14:paraId="6072FA1F" w14:textId="012FFA66" w:rsidR="00034890" w:rsidRPr="000973F2" w:rsidRDefault="00034890" w:rsidP="00034890">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w:t>
            </w:r>
          </w:p>
        </w:tc>
        <w:tc>
          <w:tcPr>
            <w:tcW w:w="1123" w:type="dxa"/>
            <w:noWrap/>
          </w:tcPr>
          <w:p w14:paraId="35F25659" w14:textId="77090561" w:rsidR="00034890" w:rsidRPr="000973F2" w:rsidRDefault="00034890" w:rsidP="00034890">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p>
        </w:tc>
        <w:tc>
          <w:tcPr>
            <w:tcW w:w="1122" w:type="dxa"/>
            <w:noWrap/>
            <w:hideMark/>
          </w:tcPr>
          <w:p w14:paraId="2CE75B11" w14:textId="293F4BF6" w:rsidR="00034890" w:rsidRPr="000973F2" w:rsidRDefault="00034890" w:rsidP="00034890">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w:t>
            </w:r>
          </w:p>
        </w:tc>
        <w:tc>
          <w:tcPr>
            <w:tcW w:w="1123" w:type="dxa"/>
            <w:noWrap/>
          </w:tcPr>
          <w:p w14:paraId="429D60A2" w14:textId="6A6B79F5" w:rsidR="00034890" w:rsidRPr="000973F2" w:rsidRDefault="00034890" w:rsidP="00034890">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w:t>
            </w:r>
          </w:p>
        </w:tc>
        <w:tc>
          <w:tcPr>
            <w:tcW w:w="1122" w:type="dxa"/>
            <w:gridSpan w:val="2"/>
            <w:noWrap/>
            <w:hideMark/>
          </w:tcPr>
          <w:p w14:paraId="2A910F4E" w14:textId="698EDA4F" w:rsidR="00034890" w:rsidRPr="000973F2" w:rsidRDefault="00034890" w:rsidP="00034890">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w:t>
            </w:r>
          </w:p>
        </w:tc>
        <w:tc>
          <w:tcPr>
            <w:tcW w:w="1123" w:type="dxa"/>
            <w:noWrap/>
            <w:hideMark/>
          </w:tcPr>
          <w:p w14:paraId="1A04DEC2" w14:textId="215F143B" w:rsidR="00034890" w:rsidRPr="000973F2" w:rsidRDefault="00034890" w:rsidP="00034890">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w:t>
            </w:r>
          </w:p>
        </w:tc>
      </w:tr>
      <w:tr w:rsidR="00DD5929" w:rsidRPr="000973F2" w14:paraId="41FF2260" w14:textId="77777777" w:rsidTr="007F466B">
        <w:trPr>
          <w:cantSplit/>
        </w:trPr>
        <w:tc>
          <w:tcPr>
            <w:cnfStyle w:val="001000000000" w:firstRow="0" w:lastRow="0" w:firstColumn="1" w:lastColumn="0" w:oddVBand="0" w:evenVBand="0" w:oddHBand="0" w:evenHBand="0" w:firstRowFirstColumn="0" w:firstRowLastColumn="0" w:lastRowFirstColumn="0" w:lastRowLastColumn="0"/>
            <w:tcW w:w="2595" w:type="dxa"/>
            <w:hideMark/>
          </w:tcPr>
          <w:p w14:paraId="54909E98" w14:textId="77777777" w:rsidR="00DD5929" w:rsidRPr="000973F2" w:rsidRDefault="00DD5929" w:rsidP="007F466B">
            <w:pPr>
              <w:spacing w:before="40" w:after="4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Recordkeeping</w:t>
            </w:r>
          </w:p>
        </w:tc>
        <w:tc>
          <w:tcPr>
            <w:tcW w:w="1122" w:type="dxa"/>
            <w:noWrap/>
            <w:hideMark/>
          </w:tcPr>
          <w:p w14:paraId="4B212328" w14:textId="77777777" w:rsidR="00DD5929" w:rsidRPr="000973F2" w:rsidRDefault="00DD5929" w:rsidP="007F466B">
            <w:pPr>
              <w:spacing w:before="40" w:after="4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$0</w:t>
            </w:r>
          </w:p>
        </w:tc>
        <w:tc>
          <w:tcPr>
            <w:tcW w:w="1123" w:type="dxa"/>
            <w:noWrap/>
          </w:tcPr>
          <w:p w14:paraId="514E8BA0" w14:textId="77777777" w:rsidR="00DD5929" w:rsidRPr="000973F2" w:rsidRDefault="00DD5929" w:rsidP="007F466B">
            <w:pPr>
              <w:spacing w:before="40" w:after="4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p>
        </w:tc>
        <w:tc>
          <w:tcPr>
            <w:tcW w:w="1122" w:type="dxa"/>
            <w:noWrap/>
            <w:hideMark/>
          </w:tcPr>
          <w:p w14:paraId="4D4F47A6" w14:textId="77777777" w:rsidR="00DD5929" w:rsidRPr="000973F2" w:rsidRDefault="00DD5929" w:rsidP="007F466B">
            <w:pPr>
              <w:spacing w:before="40" w:after="4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$0</w:t>
            </w:r>
          </w:p>
        </w:tc>
        <w:tc>
          <w:tcPr>
            <w:tcW w:w="1123" w:type="dxa"/>
            <w:noWrap/>
            <w:hideMark/>
          </w:tcPr>
          <w:p w14:paraId="757C92ED" w14:textId="77777777" w:rsidR="00DD5929" w:rsidRPr="000973F2" w:rsidRDefault="00DD5929" w:rsidP="007F466B">
            <w:pPr>
              <w:spacing w:before="40" w:after="4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$50</w:t>
            </w:r>
          </w:p>
        </w:tc>
        <w:tc>
          <w:tcPr>
            <w:tcW w:w="1122" w:type="dxa"/>
            <w:gridSpan w:val="2"/>
            <w:noWrap/>
            <w:hideMark/>
          </w:tcPr>
          <w:p w14:paraId="471D9651" w14:textId="77777777" w:rsidR="00DD5929" w:rsidRPr="000973F2" w:rsidRDefault="00DD5929" w:rsidP="007F466B">
            <w:pPr>
              <w:spacing w:before="40" w:after="4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$0</w:t>
            </w:r>
          </w:p>
        </w:tc>
        <w:tc>
          <w:tcPr>
            <w:tcW w:w="1123" w:type="dxa"/>
            <w:noWrap/>
            <w:hideMark/>
          </w:tcPr>
          <w:p w14:paraId="551C83F5" w14:textId="77777777" w:rsidR="00DD5929" w:rsidRPr="000973F2" w:rsidRDefault="00DD5929" w:rsidP="007F466B">
            <w:pPr>
              <w:spacing w:before="40" w:after="4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$50</w:t>
            </w:r>
          </w:p>
        </w:tc>
      </w:tr>
      <w:tr w:rsidR="00034890" w:rsidRPr="000973F2" w14:paraId="3D9A9653" w14:textId="77777777" w:rsidTr="007F466B">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2595" w:type="dxa"/>
            <w:hideMark/>
          </w:tcPr>
          <w:p w14:paraId="73D68494" w14:textId="77777777" w:rsidR="00034890" w:rsidRPr="000973F2" w:rsidRDefault="00034890" w:rsidP="00034890">
            <w:pPr>
              <w:spacing w:before="40" w:after="4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Travel</w:t>
            </w:r>
          </w:p>
        </w:tc>
        <w:tc>
          <w:tcPr>
            <w:tcW w:w="1122" w:type="dxa"/>
            <w:noWrap/>
            <w:hideMark/>
          </w:tcPr>
          <w:p w14:paraId="07A91B74" w14:textId="00815126" w:rsidR="00034890" w:rsidRPr="000973F2" w:rsidRDefault="00034890" w:rsidP="00034890">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w:t>
            </w:r>
          </w:p>
        </w:tc>
        <w:tc>
          <w:tcPr>
            <w:tcW w:w="1123" w:type="dxa"/>
            <w:noWrap/>
          </w:tcPr>
          <w:p w14:paraId="7D8EE403" w14:textId="249A659A" w:rsidR="00034890" w:rsidRPr="000973F2" w:rsidRDefault="00034890" w:rsidP="00034890">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p>
        </w:tc>
        <w:tc>
          <w:tcPr>
            <w:tcW w:w="1122" w:type="dxa"/>
            <w:noWrap/>
            <w:hideMark/>
          </w:tcPr>
          <w:p w14:paraId="6DCE541A" w14:textId="4DAC5DEF" w:rsidR="00034890" w:rsidRPr="000973F2" w:rsidRDefault="00034890" w:rsidP="00034890">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w:t>
            </w:r>
          </w:p>
        </w:tc>
        <w:tc>
          <w:tcPr>
            <w:tcW w:w="1123" w:type="dxa"/>
            <w:noWrap/>
            <w:hideMark/>
          </w:tcPr>
          <w:p w14:paraId="1F7D63F5" w14:textId="533C6761" w:rsidR="00034890" w:rsidRPr="000973F2" w:rsidRDefault="00034890" w:rsidP="00034890">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w:t>
            </w:r>
          </w:p>
        </w:tc>
        <w:tc>
          <w:tcPr>
            <w:tcW w:w="1122" w:type="dxa"/>
            <w:gridSpan w:val="2"/>
            <w:noWrap/>
            <w:hideMark/>
          </w:tcPr>
          <w:p w14:paraId="287060E2" w14:textId="458BC9D0" w:rsidR="00034890" w:rsidRPr="000973F2" w:rsidRDefault="00034890" w:rsidP="00034890">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w:t>
            </w:r>
          </w:p>
        </w:tc>
        <w:tc>
          <w:tcPr>
            <w:tcW w:w="1123" w:type="dxa"/>
            <w:noWrap/>
            <w:hideMark/>
          </w:tcPr>
          <w:p w14:paraId="7A417E63" w14:textId="4657561A" w:rsidR="00034890" w:rsidRPr="000973F2" w:rsidRDefault="00034890" w:rsidP="00034890">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w:t>
            </w:r>
          </w:p>
        </w:tc>
      </w:tr>
      <w:tr w:rsidR="00034890" w:rsidRPr="000973F2" w14:paraId="055E4C63" w14:textId="77777777" w:rsidTr="007F466B">
        <w:trPr>
          <w:cantSplit/>
        </w:trPr>
        <w:tc>
          <w:tcPr>
            <w:cnfStyle w:val="001000000000" w:firstRow="0" w:lastRow="0" w:firstColumn="1" w:lastColumn="0" w:oddVBand="0" w:evenVBand="0" w:oddHBand="0" w:evenHBand="0" w:firstRowFirstColumn="0" w:firstRowLastColumn="0" w:lastRowFirstColumn="0" w:lastRowLastColumn="0"/>
            <w:tcW w:w="2595" w:type="dxa"/>
            <w:hideMark/>
          </w:tcPr>
          <w:p w14:paraId="6E85B974" w14:textId="47B40BCD" w:rsidR="00034890" w:rsidRPr="000973F2" w:rsidRDefault="00034890" w:rsidP="00034890">
            <w:pPr>
              <w:spacing w:before="40" w:after="4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Sampling and Analysis Costs</w:t>
            </w:r>
          </w:p>
        </w:tc>
        <w:tc>
          <w:tcPr>
            <w:tcW w:w="1122" w:type="dxa"/>
            <w:noWrap/>
            <w:hideMark/>
          </w:tcPr>
          <w:p w14:paraId="1B288609" w14:textId="71B1F820" w:rsidR="00034890" w:rsidRPr="000973F2" w:rsidRDefault="00034890" w:rsidP="00034890">
            <w:pPr>
              <w:spacing w:before="40" w:after="4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w:t>
            </w:r>
          </w:p>
        </w:tc>
        <w:tc>
          <w:tcPr>
            <w:tcW w:w="1123" w:type="dxa"/>
            <w:noWrap/>
          </w:tcPr>
          <w:p w14:paraId="7CAADA83" w14:textId="52388528" w:rsidR="00034890" w:rsidRPr="000973F2" w:rsidRDefault="00034890" w:rsidP="00034890">
            <w:pPr>
              <w:spacing w:before="40" w:after="4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p>
        </w:tc>
        <w:tc>
          <w:tcPr>
            <w:tcW w:w="1122" w:type="dxa"/>
            <w:noWrap/>
            <w:hideMark/>
          </w:tcPr>
          <w:p w14:paraId="418DCC3A" w14:textId="526B8D12" w:rsidR="00034890" w:rsidRPr="000973F2" w:rsidRDefault="00034890" w:rsidP="00034890">
            <w:pPr>
              <w:spacing w:before="40" w:after="4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w:t>
            </w:r>
          </w:p>
        </w:tc>
        <w:tc>
          <w:tcPr>
            <w:tcW w:w="1123" w:type="dxa"/>
            <w:noWrap/>
            <w:hideMark/>
          </w:tcPr>
          <w:p w14:paraId="77E091A0" w14:textId="11F98A8C" w:rsidR="00034890" w:rsidRPr="000973F2" w:rsidRDefault="00034890" w:rsidP="00034890">
            <w:pPr>
              <w:spacing w:before="40" w:after="4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w:t>
            </w:r>
          </w:p>
        </w:tc>
        <w:tc>
          <w:tcPr>
            <w:tcW w:w="1122" w:type="dxa"/>
            <w:gridSpan w:val="2"/>
            <w:noWrap/>
            <w:hideMark/>
          </w:tcPr>
          <w:p w14:paraId="7D3FAF0B" w14:textId="4A52D9CE" w:rsidR="00034890" w:rsidRPr="000973F2" w:rsidRDefault="00034890" w:rsidP="00034890">
            <w:pPr>
              <w:spacing w:before="40" w:after="4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w:t>
            </w:r>
          </w:p>
        </w:tc>
        <w:tc>
          <w:tcPr>
            <w:tcW w:w="1123" w:type="dxa"/>
            <w:noWrap/>
            <w:hideMark/>
          </w:tcPr>
          <w:p w14:paraId="0F2B2605" w14:textId="6454CF1D" w:rsidR="00034890" w:rsidRPr="000973F2" w:rsidRDefault="00034890" w:rsidP="00034890">
            <w:pPr>
              <w:spacing w:before="40" w:after="4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w:t>
            </w:r>
          </w:p>
        </w:tc>
      </w:tr>
      <w:tr w:rsidR="00807024" w:rsidRPr="000973F2" w14:paraId="3330F6AC" w14:textId="77777777" w:rsidTr="007F466B">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2595" w:type="dxa"/>
            <w:hideMark/>
          </w:tcPr>
          <w:p w14:paraId="0DA518C8" w14:textId="77777777" w:rsidR="00DD5929" w:rsidRPr="000973F2" w:rsidRDefault="00DD5929" w:rsidP="007F466B">
            <w:pPr>
              <w:spacing w:before="40" w:after="40"/>
              <w:rPr>
                <w:rFonts w:ascii="Times New Roman" w:eastAsia="Times New Roman" w:hAnsi="Times New Roman" w:cs="Times New Roman"/>
                <w:b/>
                <w:bCs w:val="0"/>
                <w:sz w:val="18"/>
                <w:szCs w:val="18"/>
              </w:rPr>
            </w:pPr>
            <w:r w:rsidRPr="000973F2">
              <w:rPr>
                <w:rFonts w:ascii="Times New Roman" w:eastAsia="Times New Roman" w:hAnsi="Times New Roman" w:cs="Times New Roman"/>
                <w:b/>
                <w:sz w:val="18"/>
                <w:szCs w:val="18"/>
              </w:rPr>
              <w:t>Total</w:t>
            </w:r>
          </w:p>
        </w:tc>
        <w:tc>
          <w:tcPr>
            <w:tcW w:w="1122" w:type="dxa"/>
            <w:noWrap/>
            <w:hideMark/>
          </w:tcPr>
          <w:p w14:paraId="11B46795" w14:textId="77777777" w:rsidR="00DD5929" w:rsidRPr="000973F2" w:rsidRDefault="00DD5929" w:rsidP="007F466B">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$0</w:t>
            </w:r>
          </w:p>
        </w:tc>
        <w:tc>
          <w:tcPr>
            <w:tcW w:w="1123" w:type="dxa"/>
            <w:noWrap/>
          </w:tcPr>
          <w:p w14:paraId="50F67813" w14:textId="77777777" w:rsidR="00DD5929" w:rsidRPr="000973F2" w:rsidRDefault="00DD5929" w:rsidP="007F466B">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p>
        </w:tc>
        <w:tc>
          <w:tcPr>
            <w:tcW w:w="1122" w:type="dxa"/>
            <w:noWrap/>
            <w:hideMark/>
          </w:tcPr>
          <w:p w14:paraId="1A694C8B" w14:textId="77777777" w:rsidR="00DD5929" w:rsidRPr="000973F2" w:rsidRDefault="00DD5929" w:rsidP="007F466B">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$0</w:t>
            </w:r>
          </w:p>
        </w:tc>
        <w:tc>
          <w:tcPr>
            <w:tcW w:w="1123" w:type="dxa"/>
            <w:noWrap/>
            <w:hideMark/>
          </w:tcPr>
          <w:p w14:paraId="54AA2997" w14:textId="77777777" w:rsidR="00DD5929" w:rsidRPr="000973F2" w:rsidRDefault="00DD5929" w:rsidP="007F466B">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$50</w:t>
            </w:r>
          </w:p>
        </w:tc>
        <w:tc>
          <w:tcPr>
            <w:tcW w:w="1122" w:type="dxa"/>
            <w:gridSpan w:val="2"/>
            <w:noWrap/>
            <w:hideMark/>
          </w:tcPr>
          <w:p w14:paraId="1F0A6F6F" w14:textId="77777777" w:rsidR="00DD5929" w:rsidRPr="000973F2" w:rsidRDefault="00DD5929" w:rsidP="007F466B">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$0</w:t>
            </w:r>
          </w:p>
        </w:tc>
        <w:tc>
          <w:tcPr>
            <w:tcW w:w="1123" w:type="dxa"/>
            <w:noWrap/>
            <w:hideMark/>
          </w:tcPr>
          <w:p w14:paraId="6E61A62D" w14:textId="77777777" w:rsidR="00DD5929" w:rsidRPr="000973F2" w:rsidRDefault="00DD5929" w:rsidP="007F466B">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$50</w:t>
            </w:r>
          </w:p>
        </w:tc>
      </w:tr>
    </w:tbl>
    <w:p w14:paraId="01316C0B" w14:textId="77777777" w:rsidR="0095570F" w:rsidRPr="000973F2" w:rsidRDefault="0095570F" w:rsidP="007F466B">
      <w:pPr>
        <w:pStyle w:val="AfterTable"/>
      </w:pPr>
      <w:bookmarkStart w:id="7" w:name="_Hlk521075352"/>
    </w:p>
    <w:p w14:paraId="13809862" w14:textId="2B4E9831" w:rsidR="00DD5929" w:rsidRPr="000973F2" w:rsidRDefault="00DD5929" w:rsidP="007F466B">
      <w:pPr>
        <w:pStyle w:val="Heading2"/>
      </w:pPr>
      <w:r w:rsidRPr="000973F2">
        <w:t>Total Costs for Subpart D</w:t>
      </w:r>
    </w:p>
    <w:p w14:paraId="47629130" w14:textId="116E5DA0" w:rsidR="00DD5929" w:rsidRPr="000973F2" w:rsidRDefault="00DD5929" w:rsidP="00C00E4F">
      <w:pPr>
        <w:spacing w:line="240" w:lineRule="auto"/>
        <w:rPr>
          <w:rFonts w:ascii="Times New Roman" w:hAnsi="Times New Roman" w:cs="Times New Roman"/>
        </w:rPr>
      </w:pPr>
      <w:bookmarkStart w:id="8" w:name="_Hlk521075374"/>
      <w:bookmarkEnd w:id="7"/>
      <w:r w:rsidRPr="000973F2">
        <w:rPr>
          <w:rFonts w:ascii="Times New Roman" w:hAnsi="Times New Roman" w:cs="Times New Roman"/>
        </w:rPr>
        <w:t>The total industry costs related to Subpart D are approximately $</w:t>
      </w:r>
      <w:r w:rsidR="00871D79" w:rsidRPr="000973F2">
        <w:rPr>
          <w:rFonts w:ascii="Times New Roman" w:hAnsi="Times New Roman" w:cs="Times New Roman"/>
        </w:rPr>
        <w:t>401,</w:t>
      </w:r>
      <w:r w:rsidR="00BB0935" w:rsidRPr="000973F2">
        <w:rPr>
          <w:rFonts w:ascii="Times New Roman" w:hAnsi="Times New Roman" w:cs="Times New Roman"/>
        </w:rPr>
        <w:t>0</w:t>
      </w:r>
      <w:r w:rsidR="00871D79" w:rsidRPr="000973F2">
        <w:rPr>
          <w:rFonts w:ascii="Times New Roman" w:hAnsi="Times New Roman" w:cs="Times New Roman"/>
        </w:rPr>
        <w:t>00</w:t>
      </w:r>
      <w:r w:rsidRPr="000973F2">
        <w:rPr>
          <w:rFonts w:ascii="Times New Roman" w:hAnsi="Times New Roman" w:cs="Times New Roman"/>
        </w:rPr>
        <w:t xml:space="preserve"> per year for a total of $</w:t>
      </w:r>
      <w:r w:rsidR="00BB0935" w:rsidRPr="000973F2">
        <w:rPr>
          <w:rFonts w:ascii="Times New Roman" w:hAnsi="Times New Roman" w:cs="Times New Roman"/>
        </w:rPr>
        <w:t>1,204,000</w:t>
      </w:r>
      <w:r w:rsidRPr="000973F2">
        <w:rPr>
          <w:rFonts w:ascii="Times New Roman" w:hAnsi="Times New Roman" w:cs="Times New Roman"/>
        </w:rPr>
        <w:t xml:space="preserve"> over the three-year period of the ICR. Approximately 1,</w:t>
      </w:r>
      <w:r w:rsidR="00873E9F" w:rsidRPr="000973F2">
        <w:rPr>
          <w:rFonts w:ascii="Times New Roman" w:hAnsi="Times New Roman" w:cs="Times New Roman"/>
        </w:rPr>
        <w:t>124</w:t>
      </w:r>
      <w:r w:rsidRPr="000973F2">
        <w:rPr>
          <w:rFonts w:ascii="Times New Roman" w:hAnsi="Times New Roman" w:cs="Times New Roman"/>
        </w:rPr>
        <w:t xml:space="preserve"> facilities are expected to report in 2019, 2020, and 2021.</w:t>
      </w:r>
    </w:p>
    <w:bookmarkEnd w:id="8"/>
    <w:p w14:paraId="2B68B103" w14:textId="77777777" w:rsidR="00DD5929" w:rsidRPr="000973F2" w:rsidRDefault="00DD5929" w:rsidP="00C00E4F">
      <w:pPr>
        <w:spacing w:line="240" w:lineRule="auto"/>
        <w:rPr>
          <w:rFonts w:ascii="Times New Roman" w:hAnsi="Times New Roman" w:cs="Times New Roman"/>
        </w:rPr>
      </w:pPr>
    </w:p>
    <w:p w14:paraId="7BD644B7" w14:textId="5264883A" w:rsidR="00DD5929" w:rsidRPr="000973F2" w:rsidRDefault="00DD5929" w:rsidP="00C00E4F">
      <w:pPr>
        <w:spacing w:line="240" w:lineRule="auto"/>
        <w:rPr>
          <w:rFonts w:ascii="Times New Roman" w:hAnsi="Times New Roman" w:cs="Times New Roman"/>
        </w:rPr>
      </w:pPr>
      <w:r w:rsidRPr="000973F2">
        <w:rPr>
          <w:rFonts w:ascii="Times New Roman" w:hAnsi="Times New Roman" w:cs="Times New Roman"/>
        </w:rPr>
        <w:br w:type="page"/>
      </w:r>
    </w:p>
    <w:p w14:paraId="218D471A" w14:textId="53D2332B" w:rsidR="00EF7301" w:rsidRPr="000973F2" w:rsidRDefault="00EF7301" w:rsidP="00C00E4F">
      <w:pPr>
        <w:pStyle w:val="Heading1"/>
        <w:spacing w:line="240" w:lineRule="auto"/>
      </w:pPr>
      <w:bookmarkStart w:id="9" w:name="_Toc10715597"/>
      <w:r w:rsidRPr="000973F2">
        <w:t>Cost Appendix</w:t>
      </w:r>
      <w:r w:rsidR="002A4792" w:rsidRPr="000973F2">
        <w:t xml:space="preserve"> for</w:t>
      </w:r>
      <w:r w:rsidRPr="000973F2">
        <w:t xml:space="preserve"> Subpart E </w:t>
      </w:r>
      <w:r w:rsidR="007F466B" w:rsidRPr="000973F2">
        <w:t>–</w:t>
      </w:r>
      <w:r w:rsidRPr="000973F2">
        <w:t xml:space="preserve"> Adipic Acid Production</w:t>
      </w:r>
      <w:bookmarkEnd w:id="9"/>
    </w:p>
    <w:p w14:paraId="43ED8617" w14:textId="77777777" w:rsidR="00EF7301" w:rsidRPr="000973F2" w:rsidRDefault="00EF7301" w:rsidP="007F466B">
      <w:pPr>
        <w:pStyle w:val="Heading2"/>
      </w:pPr>
      <w:r w:rsidRPr="000973F2">
        <w:t>Description of Subpart E</w:t>
      </w:r>
    </w:p>
    <w:p w14:paraId="0A3DEB70" w14:textId="5C836F90" w:rsidR="00EF7301" w:rsidRPr="000973F2" w:rsidRDefault="00EF7301" w:rsidP="007F466B">
      <w:pPr>
        <w:pStyle w:val="BodyText"/>
      </w:pPr>
      <w:r w:rsidRPr="000973F2">
        <w:t xml:space="preserve">For purposes of the GHGRP, the adipic acid production source category consists of facilities that use oxidation to produce adipic acid. In </w:t>
      </w:r>
      <w:r w:rsidR="009F5E7A" w:rsidRPr="000973F2">
        <w:t>RY</w:t>
      </w:r>
      <w:r w:rsidRPr="000973F2">
        <w:t xml:space="preserve">2017, two facilities reported to Subpart E, each with one adipic acid production unit. The number of facilities that are subject to </w:t>
      </w:r>
      <w:r w:rsidR="003F501C" w:rsidRPr="000973F2">
        <w:t>S</w:t>
      </w:r>
      <w:r w:rsidRPr="000973F2">
        <w:t xml:space="preserve">ubpart E has not changed since the inception of the program. Based on available information, zero new facilities are expected during the </w:t>
      </w:r>
      <w:r w:rsidR="007F466B" w:rsidRPr="000973F2">
        <w:t>three-year</w:t>
      </w:r>
      <w:r w:rsidRPr="000973F2">
        <w:t xml:space="preserve"> period</w:t>
      </w:r>
      <w:r w:rsidR="00427C61" w:rsidRPr="000973F2">
        <w:t xml:space="preserve"> covered by this ICR</w:t>
      </w:r>
      <w:r w:rsidRPr="000973F2">
        <w:t>. Initial year costs apply only to new facilities; therefore, these costs are zero in the tables below.</w:t>
      </w:r>
    </w:p>
    <w:p w14:paraId="047DDB51" w14:textId="7B455C30" w:rsidR="00EF7301" w:rsidRPr="000973F2" w:rsidRDefault="00EF7301" w:rsidP="007F466B">
      <w:pPr>
        <w:pStyle w:val="BodyText"/>
      </w:pPr>
      <w:r w:rsidRPr="000973F2">
        <w:t>There are two options for determining emissions under Subpart E. The annual performance test option at 98.54(a)(1) requires an annual performance test to determine the N</w:t>
      </w:r>
      <w:r w:rsidRPr="000973F2">
        <w:rPr>
          <w:vertAlign w:val="subscript"/>
        </w:rPr>
        <w:t>2</w:t>
      </w:r>
      <w:r w:rsidRPr="000973F2">
        <w:t>O emission factor, which is then used to calculate N</w:t>
      </w:r>
      <w:r w:rsidRPr="000973F2">
        <w:rPr>
          <w:vertAlign w:val="subscript"/>
        </w:rPr>
        <w:t>2</w:t>
      </w:r>
      <w:r w:rsidRPr="000973F2">
        <w:t>O emissions, using the total annual adipic acid production rate. The alternative monitoring method option at 98.53(b) allows facilities to use existing monitoring equipment (such as continuous monitoring of N</w:t>
      </w:r>
      <w:r w:rsidRPr="000973F2">
        <w:rPr>
          <w:vertAlign w:val="subscript"/>
        </w:rPr>
        <w:t>2</w:t>
      </w:r>
      <w:r w:rsidRPr="000973F2">
        <w:t>O emissions) to determine total N</w:t>
      </w:r>
      <w:r w:rsidRPr="000973F2">
        <w:rPr>
          <w:vertAlign w:val="subscript"/>
        </w:rPr>
        <w:t>2</w:t>
      </w:r>
      <w:r w:rsidRPr="000973F2">
        <w:t xml:space="preserve">O emissions. For the two facilities that report to </w:t>
      </w:r>
      <w:r w:rsidR="003F501C" w:rsidRPr="000973F2">
        <w:t>S</w:t>
      </w:r>
      <w:r w:rsidRPr="000973F2">
        <w:t xml:space="preserve">ubpart E, one uses the annual performance test option and the other uses the alternative monitoring method option. </w:t>
      </w:r>
    </w:p>
    <w:p w14:paraId="7A5676A1" w14:textId="77777777" w:rsidR="00EF7301" w:rsidRPr="000973F2" w:rsidRDefault="00EF7301" w:rsidP="007F466B">
      <w:pPr>
        <w:pStyle w:val="Heading2"/>
      </w:pPr>
      <w:r w:rsidRPr="000973F2">
        <w:t>Labor Costs for Subpart E - Annual Performance Test Option</w:t>
      </w:r>
    </w:p>
    <w:p w14:paraId="6211F3E6" w14:textId="14C51087" w:rsidR="00EF7301" w:rsidRPr="000973F2" w:rsidRDefault="00EF7301" w:rsidP="00C00E4F">
      <w:pPr>
        <w:spacing w:line="240" w:lineRule="auto"/>
        <w:rPr>
          <w:rFonts w:ascii="Times New Roman" w:hAnsi="Times New Roman" w:cs="Times New Roman"/>
        </w:rPr>
      </w:pPr>
      <w:bookmarkStart w:id="10" w:name="_Hlk521075424"/>
      <w:r w:rsidRPr="000973F2">
        <w:rPr>
          <w:rFonts w:ascii="Times New Roman" w:hAnsi="Times New Roman" w:cs="Times New Roman"/>
        </w:rPr>
        <w:t xml:space="preserve">Table </w:t>
      </w:r>
      <w:r w:rsidR="007F466B" w:rsidRPr="000973F2">
        <w:rPr>
          <w:rFonts w:ascii="Times New Roman" w:hAnsi="Times New Roman" w:cs="Times New Roman"/>
        </w:rPr>
        <w:t>E-</w:t>
      </w:r>
      <w:r w:rsidRPr="000973F2">
        <w:rPr>
          <w:rFonts w:ascii="Times New Roman" w:hAnsi="Times New Roman" w:cs="Times New Roman"/>
        </w:rPr>
        <w:t xml:space="preserve">1a below includes the labor hours for the annual performance test option. </w:t>
      </w:r>
      <w:bookmarkStart w:id="11" w:name="_Hlk521075547"/>
      <w:bookmarkEnd w:id="10"/>
      <w:r w:rsidRPr="000973F2">
        <w:rPr>
          <w:rFonts w:ascii="Times New Roman" w:hAnsi="Times New Roman" w:cs="Times New Roman"/>
        </w:rPr>
        <w:t xml:space="preserve">Typical activities related to planning, QA/QC, recordkeeping and reporting, and sampling and analysis (which includes emissions calculations) are discussed in the Cost Appendix Introduction. </w:t>
      </w:r>
      <w:bookmarkEnd w:id="11"/>
      <w:r w:rsidRPr="000973F2">
        <w:rPr>
          <w:rFonts w:ascii="Times New Roman" w:hAnsi="Times New Roman" w:cs="Times New Roman"/>
          <w:iCs/>
        </w:rPr>
        <w:t>L</w:t>
      </w:r>
      <w:r w:rsidRPr="000973F2">
        <w:rPr>
          <w:rFonts w:ascii="Times New Roman" w:hAnsi="Times New Roman" w:cs="Times New Roman"/>
        </w:rPr>
        <w:t xml:space="preserve">abor hours related to the required annual performance test include planning for equipment shutdown prior to testing, contacting the test company, setting up the testing, attending the performance test, etc. </w:t>
      </w:r>
      <w:bookmarkStart w:id="12" w:name="_Hlk521075569"/>
      <w:r w:rsidRPr="000973F2">
        <w:rPr>
          <w:rFonts w:ascii="Times New Roman" w:hAnsi="Times New Roman" w:cs="Times New Roman"/>
        </w:rPr>
        <w:t xml:space="preserve">Recordkeeping and reporting hours for Subpart E are based on the “low bin” designation, as discussed in the Cost Appendix Introduction. </w:t>
      </w:r>
      <w:bookmarkEnd w:id="12"/>
      <w:r w:rsidRPr="000973F2">
        <w:rPr>
          <w:rFonts w:ascii="Times New Roman" w:hAnsi="Times New Roman" w:cs="Times New Roman"/>
        </w:rPr>
        <w:t xml:space="preserve">Unlike most subparts, Subpart E is not expected to have labor hours related to QA/QC because the annual performance test is performed by a contractor and these costs are represented as O&amp;M costs (see Table E-2a below) rather than as labor costs. </w:t>
      </w:r>
    </w:p>
    <w:p w14:paraId="65C6B0AB" w14:textId="14D19AEE" w:rsidR="00EF7301" w:rsidRPr="000973F2" w:rsidRDefault="00EF7301" w:rsidP="00C00E4F">
      <w:pPr>
        <w:spacing w:line="240" w:lineRule="auto"/>
        <w:rPr>
          <w:rFonts w:ascii="Times New Roman" w:hAnsi="Times New Roman" w:cs="Times New Roman"/>
        </w:rPr>
      </w:pPr>
      <w:r w:rsidRPr="000973F2">
        <w:rPr>
          <w:rFonts w:ascii="Times New Roman" w:hAnsi="Times New Roman" w:cs="Times New Roman"/>
        </w:rPr>
        <w:t>Sampling and analysis costs for the annual performance test option include time to calculate the N</w:t>
      </w:r>
      <w:r w:rsidRPr="000973F2">
        <w:rPr>
          <w:rFonts w:ascii="Times New Roman" w:hAnsi="Times New Roman" w:cs="Times New Roman"/>
          <w:vertAlign w:val="subscript"/>
        </w:rPr>
        <w:t>2</w:t>
      </w:r>
      <w:r w:rsidRPr="000973F2">
        <w:rPr>
          <w:rFonts w:ascii="Times New Roman" w:hAnsi="Times New Roman" w:cs="Times New Roman"/>
        </w:rPr>
        <w:t>O emission factor using the information gathered during the performance test and calculate total N</w:t>
      </w:r>
      <w:r w:rsidRPr="000973F2">
        <w:rPr>
          <w:rFonts w:ascii="Times New Roman" w:hAnsi="Times New Roman" w:cs="Times New Roman"/>
          <w:vertAlign w:val="subscript"/>
        </w:rPr>
        <w:t>2</w:t>
      </w:r>
      <w:r w:rsidRPr="000973F2">
        <w:rPr>
          <w:rFonts w:ascii="Times New Roman" w:hAnsi="Times New Roman" w:cs="Times New Roman"/>
        </w:rPr>
        <w:t>O emissions from the adipic acid production unit. Because the facility using the annual performance test option does not have an abatement device, no additional labor hours are expected to determine the destruction efficiency of an N</w:t>
      </w:r>
      <w:r w:rsidRPr="000973F2">
        <w:rPr>
          <w:rFonts w:ascii="Times New Roman" w:hAnsi="Times New Roman" w:cs="Times New Roman"/>
          <w:vertAlign w:val="subscript"/>
        </w:rPr>
        <w:t>2</w:t>
      </w:r>
      <w:r w:rsidRPr="000973F2">
        <w:rPr>
          <w:rFonts w:ascii="Times New Roman" w:hAnsi="Times New Roman" w:cs="Times New Roman"/>
        </w:rPr>
        <w:t>O abatement device.</w:t>
      </w:r>
    </w:p>
    <w:p w14:paraId="12748277" w14:textId="77777777" w:rsidR="00EF7301" w:rsidRPr="000973F2" w:rsidRDefault="00EF7301" w:rsidP="00C00E4F">
      <w:pPr>
        <w:spacing w:line="240" w:lineRule="auto"/>
        <w:jc w:val="center"/>
        <w:rPr>
          <w:rFonts w:ascii="Times New Roman" w:hAnsi="Times New Roman" w:cs="Times New Roman"/>
          <w:b/>
        </w:rPr>
      </w:pPr>
      <w:r w:rsidRPr="000973F2">
        <w:rPr>
          <w:rFonts w:ascii="Times New Roman" w:hAnsi="Times New Roman" w:cs="Times New Roman"/>
          <w:b/>
        </w:rPr>
        <w:br w:type="page"/>
      </w:r>
    </w:p>
    <w:p w14:paraId="1ABDC9C1" w14:textId="47B335AE" w:rsidR="00EF7301" w:rsidRPr="000973F2" w:rsidRDefault="00805713" w:rsidP="007F466B">
      <w:pPr>
        <w:pStyle w:val="Tabletitle"/>
      </w:pPr>
      <w:r w:rsidRPr="000973F2">
        <w:t xml:space="preserve">Table </w:t>
      </w:r>
      <w:r w:rsidR="007F466B" w:rsidRPr="000973F2">
        <w:t>E-</w:t>
      </w:r>
      <w:r w:rsidRPr="000973F2">
        <w:t xml:space="preserve">1a. </w:t>
      </w:r>
      <w:r w:rsidR="00F05337" w:rsidRPr="000973F2">
        <w:t xml:space="preserve">Labor Costs </w:t>
      </w:r>
      <w:r w:rsidR="00E63D1D" w:rsidRPr="000973F2">
        <w:t>–</w:t>
      </w:r>
      <w:r w:rsidR="00F05337" w:rsidRPr="000973F2">
        <w:t xml:space="preserve"> </w:t>
      </w:r>
      <w:r w:rsidR="00EF7301" w:rsidRPr="000973F2">
        <w:t xml:space="preserve">Subpart E </w:t>
      </w:r>
      <w:r w:rsidR="00E63D1D" w:rsidRPr="000973F2">
        <w:t>–</w:t>
      </w:r>
      <w:r w:rsidR="00EF7301" w:rsidRPr="000973F2">
        <w:t xml:space="preserve"> Annual Performance Test Option</w:t>
      </w:r>
    </w:p>
    <w:tbl>
      <w:tblPr>
        <w:tblStyle w:val="PlainTable1"/>
        <w:tblW w:w="5000" w:type="pct"/>
        <w:jc w:val="left"/>
        <w:tblLayout w:type="fixed"/>
        <w:tblCellMar>
          <w:left w:w="115" w:type="dxa"/>
          <w:right w:w="115" w:type="dxa"/>
        </w:tblCellMar>
        <w:tblLook w:val="04A0" w:firstRow="1" w:lastRow="0" w:firstColumn="1" w:lastColumn="0" w:noHBand="0" w:noVBand="1"/>
      </w:tblPr>
      <w:tblGrid>
        <w:gridCol w:w="1364"/>
        <w:gridCol w:w="823"/>
        <w:gridCol w:w="823"/>
        <w:gridCol w:w="823"/>
        <w:gridCol w:w="822"/>
        <w:gridCol w:w="822"/>
        <w:gridCol w:w="823"/>
        <w:gridCol w:w="822"/>
        <w:gridCol w:w="823"/>
        <w:gridCol w:w="742"/>
        <w:gridCol w:w="903"/>
      </w:tblGrid>
      <w:tr w:rsidR="00EF7301" w:rsidRPr="000973F2" w14:paraId="49DF1DAB" w14:textId="77777777" w:rsidTr="007F466B">
        <w:trPr>
          <w:cnfStyle w:val="100000000000" w:firstRow="1" w:lastRow="0" w:firstColumn="0" w:lastColumn="0" w:oddVBand="0" w:evenVBand="0" w:oddHBand="0" w:evenHBand="0" w:firstRowFirstColumn="0" w:firstRowLastColumn="0" w:lastRowFirstColumn="0" w:lastRowLastColumn="0"/>
          <w:cantSplit/>
          <w:jc w:val="left"/>
        </w:trPr>
        <w:tc>
          <w:tcPr>
            <w:cnfStyle w:val="001000000000" w:firstRow="0" w:lastRow="0" w:firstColumn="1" w:lastColumn="0" w:oddVBand="0" w:evenVBand="0" w:oddHBand="0" w:evenHBand="0" w:firstRowFirstColumn="0" w:firstRowLastColumn="0" w:lastRowFirstColumn="0" w:lastRowLastColumn="0"/>
            <w:tcW w:w="1326" w:type="dxa"/>
            <w:vMerge w:val="restart"/>
            <w:noWrap/>
            <w:vAlign w:val="top"/>
            <w:hideMark/>
          </w:tcPr>
          <w:p w14:paraId="7DF19F44" w14:textId="77777777" w:rsidR="00EF7301" w:rsidRPr="000973F2" w:rsidRDefault="00EF7301" w:rsidP="007F466B">
            <w:pPr>
              <w:spacing w:before="40" w:after="40"/>
              <w:rPr>
                <w:rFonts w:ascii="Times New Roman" w:eastAsia="Times New Roman" w:hAnsi="Times New Roman" w:cs="Times New Roman"/>
                <w:b w:val="0"/>
                <w:bCs w:val="0"/>
                <w:sz w:val="18"/>
                <w:szCs w:val="18"/>
              </w:rPr>
            </w:pPr>
            <w:r w:rsidRPr="000973F2">
              <w:rPr>
                <w:rFonts w:ascii="Times New Roman" w:eastAsia="Times New Roman" w:hAnsi="Times New Roman" w:cs="Times New Roman"/>
                <w:sz w:val="18"/>
                <w:szCs w:val="18"/>
              </w:rPr>
              <w:t>Activity</w:t>
            </w:r>
          </w:p>
        </w:tc>
        <w:tc>
          <w:tcPr>
            <w:tcW w:w="6403" w:type="dxa"/>
            <w:gridSpan w:val="8"/>
            <w:noWrap/>
            <w:vAlign w:val="top"/>
            <w:hideMark/>
          </w:tcPr>
          <w:p w14:paraId="3977EFB6" w14:textId="77777777" w:rsidR="00EF7301" w:rsidRPr="000973F2" w:rsidRDefault="00EF7301" w:rsidP="007F466B">
            <w:pPr>
              <w:spacing w:before="40" w:after="40"/>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bCs w:val="0"/>
                <w:sz w:val="18"/>
                <w:szCs w:val="18"/>
              </w:rPr>
            </w:pPr>
            <w:r w:rsidRPr="000973F2">
              <w:rPr>
                <w:rFonts w:ascii="Times New Roman" w:eastAsia="Times New Roman" w:hAnsi="Times New Roman" w:cs="Times New Roman"/>
                <w:sz w:val="18"/>
                <w:szCs w:val="18"/>
              </w:rPr>
              <w:t>Labor Rates (per hour)</w:t>
            </w:r>
          </w:p>
        </w:tc>
        <w:tc>
          <w:tcPr>
            <w:tcW w:w="1601" w:type="dxa"/>
            <w:gridSpan w:val="2"/>
            <w:vMerge w:val="restart"/>
            <w:vAlign w:val="top"/>
            <w:hideMark/>
          </w:tcPr>
          <w:p w14:paraId="66C90C06" w14:textId="6F5000BA" w:rsidR="00EF7301" w:rsidRPr="000973F2" w:rsidRDefault="00EF7301" w:rsidP="007F466B">
            <w:pPr>
              <w:spacing w:before="40" w:after="40"/>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bCs w:val="0"/>
                <w:sz w:val="18"/>
                <w:szCs w:val="18"/>
              </w:rPr>
            </w:pPr>
            <w:r w:rsidRPr="000973F2">
              <w:rPr>
                <w:rFonts w:ascii="Times New Roman" w:eastAsia="Times New Roman" w:hAnsi="Times New Roman" w:cs="Times New Roman"/>
                <w:sz w:val="18"/>
                <w:szCs w:val="18"/>
              </w:rPr>
              <w:t>Total Labor Cost per Year per Facility</w:t>
            </w:r>
            <w:r w:rsidR="008266EE" w:rsidRPr="000973F2">
              <w:rPr>
                <w:rFonts w:ascii="Times New Roman" w:eastAsia="Times New Roman" w:hAnsi="Times New Roman" w:cs="Times New Roman"/>
                <w:sz w:val="18"/>
                <w:szCs w:val="18"/>
              </w:rPr>
              <w:t xml:space="preserve"> </w:t>
            </w:r>
            <w:r w:rsidRPr="000973F2">
              <w:rPr>
                <w:rFonts w:ascii="Times New Roman" w:eastAsia="Times New Roman" w:hAnsi="Times New Roman" w:cs="Times New Roman"/>
                <w:sz w:val="18"/>
                <w:szCs w:val="18"/>
              </w:rPr>
              <w:t>(2017$)</w:t>
            </w:r>
          </w:p>
        </w:tc>
      </w:tr>
      <w:tr w:rsidR="00EF7301" w:rsidRPr="000973F2" w14:paraId="13B85B20" w14:textId="77777777" w:rsidTr="007F466B">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1326" w:type="dxa"/>
            <w:vMerge/>
            <w:hideMark/>
          </w:tcPr>
          <w:p w14:paraId="0F81FAA5" w14:textId="77777777" w:rsidR="00EF7301" w:rsidRPr="000973F2" w:rsidRDefault="00EF7301" w:rsidP="007F466B">
            <w:pPr>
              <w:spacing w:before="40" w:after="40"/>
              <w:rPr>
                <w:rFonts w:ascii="Times New Roman" w:eastAsia="Times New Roman" w:hAnsi="Times New Roman" w:cs="Times New Roman"/>
                <w:b/>
                <w:bCs w:val="0"/>
                <w:sz w:val="18"/>
                <w:szCs w:val="18"/>
              </w:rPr>
            </w:pPr>
          </w:p>
        </w:tc>
        <w:tc>
          <w:tcPr>
            <w:tcW w:w="1600" w:type="dxa"/>
            <w:gridSpan w:val="2"/>
            <w:noWrap/>
            <w:hideMark/>
          </w:tcPr>
          <w:p w14:paraId="08795766" w14:textId="77777777" w:rsidR="00EF7301" w:rsidRPr="000973F2" w:rsidRDefault="00EF7301" w:rsidP="007F466B">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18"/>
                <w:szCs w:val="18"/>
              </w:rPr>
            </w:pPr>
            <w:r w:rsidRPr="000973F2">
              <w:rPr>
                <w:rFonts w:ascii="Times New Roman" w:eastAsia="Times New Roman" w:hAnsi="Times New Roman" w:cs="Times New Roman"/>
                <w:b/>
                <w:bCs/>
                <w:sz w:val="18"/>
                <w:szCs w:val="18"/>
              </w:rPr>
              <w:t>Lawyer</w:t>
            </w:r>
          </w:p>
        </w:tc>
        <w:tc>
          <w:tcPr>
            <w:tcW w:w="1601" w:type="dxa"/>
            <w:gridSpan w:val="2"/>
            <w:noWrap/>
            <w:hideMark/>
          </w:tcPr>
          <w:p w14:paraId="321A9429" w14:textId="77777777" w:rsidR="00EF7301" w:rsidRPr="000973F2" w:rsidRDefault="00EF7301" w:rsidP="007F466B">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18"/>
                <w:szCs w:val="18"/>
              </w:rPr>
            </w:pPr>
            <w:r w:rsidRPr="000973F2">
              <w:rPr>
                <w:rFonts w:ascii="Times New Roman" w:eastAsia="Times New Roman" w:hAnsi="Times New Roman" w:cs="Times New Roman"/>
                <w:b/>
                <w:bCs/>
                <w:sz w:val="18"/>
                <w:szCs w:val="18"/>
              </w:rPr>
              <w:t>Industrial Manager</w:t>
            </w:r>
          </w:p>
        </w:tc>
        <w:tc>
          <w:tcPr>
            <w:tcW w:w="1601" w:type="dxa"/>
            <w:gridSpan w:val="2"/>
            <w:hideMark/>
          </w:tcPr>
          <w:p w14:paraId="22AC5194" w14:textId="50A1EEB9" w:rsidR="00EF7301" w:rsidRPr="000973F2" w:rsidRDefault="00EF7301" w:rsidP="007F466B">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18"/>
                <w:szCs w:val="18"/>
              </w:rPr>
            </w:pPr>
            <w:r w:rsidRPr="000973F2">
              <w:rPr>
                <w:rFonts w:ascii="Times New Roman" w:eastAsia="Times New Roman" w:hAnsi="Times New Roman" w:cs="Times New Roman"/>
                <w:b/>
                <w:bCs/>
                <w:sz w:val="18"/>
                <w:szCs w:val="18"/>
              </w:rPr>
              <w:t>Industrial Engineer/</w:t>
            </w:r>
            <w:r w:rsidR="007F466B" w:rsidRPr="000973F2">
              <w:rPr>
                <w:rFonts w:ascii="Times New Roman" w:eastAsia="Times New Roman" w:hAnsi="Times New Roman" w:cs="Times New Roman"/>
                <w:b/>
                <w:bCs/>
                <w:sz w:val="18"/>
                <w:szCs w:val="18"/>
              </w:rPr>
              <w:t xml:space="preserve"> </w:t>
            </w:r>
            <w:r w:rsidRPr="000973F2">
              <w:rPr>
                <w:rFonts w:ascii="Times New Roman" w:eastAsia="Times New Roman" w:hAnsi="Times New Roman" w:cs="Times New Roman"/>
                <w:b/>
                <w:bCs/>
                <w:sz w:val="18"/>
                <w:szCs w:val="18"/>
              </w:rPr>
              <w:t>Technician</w:t>
            </w:r>
          </w:p>
        </w:tc>
        <w:tc>
          <w:tcPr>
            <w:tcW w:w="1601" w:type="dxa"/>
            <w:gridSpan w:val="2"/>
            <w:hideMark/>
          </w:tcPr>
          <w:p w14:paraId="47C25822" w14:textId="77777777" w:rsidR="00EF7301" w:rsidRPr="000973F2" w:rsidRDefault="00EF7301" w:rsidP="007F466B">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18"/>
                <w:szCs w:val="18"/>
              </w:rPr>
            </w:pPr>
            <w:r w:rsidRPr="000973F2">
              <w:rPr>
                <w:rFonts w:ascii="Times New Roman" w:eastAsia="Times New Roman" w:hAnsi="Times New Roman" w:cs="Times New Roman"/>
                <w:b/>
                <w:bCs/>
                <w:sz w:val="18"/>
                <w:szCs w:val="18"/>
              </w:rPr>
              <w:t>Administrative Support</w:t>
            </w:r>
          </w:p>
        </w:tc>
        <w:tc>
          <w:tcPr>
            <w:tcW w:w="1601" w:type="dxa"/>
            <w:gridSpan w:val="2"/>
            <w:vMerge/>
            <w:hideMark/>
          </w:tcPr>
          <w:p w14:paraId="05BBE121" w14:textId="77777777" w:rsidR="00EF7301" w:rsidRPr="000973F2" w:rsidRDefault="00EF7301" w:rsidP="007F466B">
            <w:pPr>
              <w:spacing w:before="40" w:after="4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18"/>
                <w:szCs w:val="18"/>
              </w:rPr>
            </w:pPr>
          </w:p>
        </w:tc>
      </w:tr>
      <w:tr w:rsidR="00EF7301" w:rsidRPr="000973F2" w14:paraId="6CF2C7C7" w14:textId="77777777" w:rsidTr="007F466B">
        <w:trPr>
          <w:cantSplit/>
        </w:trPr>
        <w:tc>
          <w:tcPr>
            <w:cnfStyle w:val="001000000000" w:firstRow="0" w:lastRow="0" w:firstColumn="1" w:lastColumn="0" w:oddVBand="0" w:evenVBand="0" w:oddHBand="0" w:evenHBand="0" w:firstRowFirstColumn="0" w:firstRowLastColumn="0" w:lastRowFirstColumn="0" w:lastRowLastColumn="0"/>
            <w:tcW w:w="1326" w:type="dxa"/>
            <w:vMerge/>
            <w:hideMark/>
          </w:tcPr>
          <w:p w14:paraId="228C8D94" w14:textId="77777777" w:rsidR="00EF7301" w:rsidRPr="000973F2" w:rsidRDefault="00EF7301" w:rsidP="007F466B">
            <w:pPr>
              <w:spacing w:before="40" w:after="40"/>
              <w:rPr>
                <w:rFonts w:ascii="Times New Roman" w:eastAsia="Times New Roman" w:hAnsi="Times New Roman" w:cs="Times New Roman"/>
                <w:b/>
                <w:bCs w:val="0"/>
                <w:sz w:val="18"/>
                <w:szCs w:val="18"/>
              </w:rPr>
            </w:pPr>
          </w:p>
        </w:tc>
        <w:tc>
          <w:tcPr>
            <w:tcW w:w="1600" w:type="dxa"/>
            <w:gridSpan w:val="2"/>
            <w:noWrap/>
            <w:hideMark/>
          </w:tcPr>
          <w:p w14:paraId="05202E07" w14:textId="77777777" w:rsidR="00EF7301" w:rsidRPr="000973F2" w:rsidRDefault="00EF7301" w:rsidP="007F466B">
            <w:pPr>
              <w:spacing w:before="40" w:after="4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sz w:val="18"/>
                <w:szCs w:val="18"/>
              </w:rPr>
            </w:pPr>
            <w:r w:rsidRPr="000973F2">
              <w:rPr>
                <w:rFonts w:ascii="Times New Roman" w:eastAsia="Times New Roman" w:hAnsi="Times New Roman" w:cs="Times New Roman"/>
                <w:b/>
                <w:bCs/>
                <w:sz w:val="18"/>
                <w:szCs w:val="18"/>
              </w:rPr>
              <w:t xml:space="preserve">$112.23 </w:t>
            </w:r>
          </w:p>
        </w:tc>
        <w:tc>
          <w:tcPr>
            <w:tcW w:w="1601" w:type="dxa"/>
            <w:gridSpan w:val="2"/>
            <w:noWrap/>
            <w:hideMark/>
          </w:tcPr>
          <w:p w14:paraId="3E926C0E" w14:textId="77777777" w:rsidR="00EF7301" w:rsidRPr="000973F2" w:rsidRDefault="00EF7301" w:rsidP="007F466B">
            <w:pPr>
              <w:spacing w:before="40" w:after="4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sz w:val="18"/>
                <w:szCs w:val="18"/>
              </w:rPr>
            </w:pPr>
            <w:r w:rsidRPr="000973F2">
              <w:rPr>
                <w:rFonts w:ascii="Times New Roman" w:eastAsia="Times New Roman" w:hAnsi="Times New Roman" w:cs="Times New Roman"/>
                <w:b/>
                <w:bCs/>
                <w:sz w:val="18"/>
                <w:szCs w:val="18"/>
              </w:rPr>
              <w:t xml:space="preserve">$87.45 </w:t>
            </w:r>
          </w:p>
        </w:tc>
        <w:tc>
          <w:tcPr>
            <w:tcW w:w="1601" w:type="dxa"/>
            <w:gridSpan w:val="2"/>
            <w:noWrap/>
            <w:hideMark/>
          </w:tcPr>
          <w:p w14:paraId="124820B1" w14:textId="77777777" w:rsidR="00EF7301" w:rsidRPr="000973F2" w:rsidRDefault="00EF7301" w:rsidP="007F466B">
            <w:pPr>
              <w:spacing w:before="40" w:after="4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sz w:val="18"/>
                <w:szCs w:val="18"/>
              </w:rPr>
            </w:pPr>
            <w:r w:rsidRPr="000973F2">
              <w:rPr>
                <w:rFonts w:ascii="Times New Roman" w:eastAsia="Times New Roman" w:hAnsi="Times New Roman" w:cs="Times New Roman"/>
                <w:b/>
                <w:bCs/>
                <w:sz w:val="18"/>
                <w:szCs w:val="18"/>
              </w:rPr>
              <w:t xml:space="preserve">$71.45 </w:t>
            </w:r>
          </w:p>
        </w:tc>
        <w:tc>
          <w:tcPr>
            <w:tcW w:w="1601" w:type="dxa"/>
            <w:gridSpan w:val="2"/>
            <w:noWrap/>
            <w:hideMark/>
          </w:tcPr>
          <w:p w14:paraId="741AE457" w14:textId="77777777" w:rsidR="00EF7301" w:rsidRPr="000973F2" w:rsidRDefault="00EF7301" w:rsidP="007F466B">
            <w:pPr>
              <w:spacing w:before="40" w:after="4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sz w:val="18"/>
                <w:szCs w:val="18"/>
              </w:rPr>
            </w:pPr>
            <w:r w:rsidRPr="000973F2">
              <w:rPr>
                <w:rFonts w:ascii="Times New Roman" w:eastAsia="Times New Roman" w:hAnsi="Times New Roman" w:cs="Times New Roman"/>
                <w:b/>
                <w:bCs/>
                <w:sz w:val="18"/>
                <w:szCs w:val="18"/>
              </w:rPr>
              <w:t xml:space="preserve">$36.28 </w:t>
            </w:r>
          </w:p>
        </w:tc>
        <w:tc>
          <w:tcPr>
            <w:tcW w:w="1601" w:type="dxa"/>
            <w:gridSpan w:val="2"/>
            <w:vMerge/>
            <w:hideMark/>
          </w:tcPr>
          <w:p w14:paraId="46B6C6BB" w14:textId="77777777" w:rsidR="00EF7301" w:rsidRPr="000973F2" w:rsidRDefault="00EF7301" w:rsidP="007F466B">
            <w:pPr>
              <w:spacing w:before="40" w:after="4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sz w:val="18"/>
                <w:szCs w:val="18"/>
              </w:rPr>
            </w:pPr>
          </w:p>
        </w:tc>
      </w:tr>
      <w:tr w:rsidR="00302E41" w:rsidRPr="000973F2" w14:paraId="2F690FBA" w14:textId="77777777" w:rsidTr="007F466B">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1326" w:type="dxa"/>
            <w:vMerge/>
            <w:hideMark/>
          </w:tcPr>
          <w:p w14:paraId="38E700F3" w14:textId="77777777" w:rsidR="00EF7301" w:rsidRPr="000973F2" w:rsidRDefault="00EF7301" w:rsidP="007F466B">
            <w:pPr>
              <w:spacing w:before="40" w:after="40"/>
              <w:rPr>
                <w:rFonts w:ascii="Times New Roman" w:eastAsia="Times New Roman" w:hAnsi="Times New Roman" w:cs="Times New Roman"/>
                <w:b/>
                <w:bCs w:val="0"/>
                <w:sz w:val="18"/>
                <w:szCs w:val="18"/>
              </w:rPr>
            </w:pPr>
          </w:p>
        </w:tc>
        <w:tc>
          <w:tcPr>
            <w:tcW w:w="800" w:type="dxa"/>
            <w:tcMar>
              <w:left w:w="14" w:type="dxa"/>
              <w:right w:w="14" w:type="dxa"/>
            </w:tcMar>
            <w:hideMark/>
          </w:tcPr>
          <w:p w14:paraId="020C9FFE" w14:textId="74D2FDC5" w:rsidR="00EF7301" w:rsidRPr="000973F2" w:rsidRDefault="00EF7301" w:rsidP="007F466B">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18"/>
                <w:szCs w:val="18"/>
              </w:rPr>
            </w:pPr>
            <w:r w:rsidRPr="000973F2">
              <w:rPr>
                <w:rFonts w:ascii="Times New Roman" w:eastAsia="Times New Roman" w:hAnsi="Times New Roman" w:cs="Times New Roman"/>
                <w:b/>
                <w:bCs/>
                <w:sz w:val="18"/>
                <w:szCs w:val="18"/>
              </w:rPr>
              <w:t>Initial Year</w:t>
            </w:r>
            <w:r w:rsidR="007F466B" w:rsidRPr="000973F2">
              <w:rPr>
                <w:rFonts w:ascii="Times New Roman" w:eastAsia="Times New Roman" w:hAnsi="Times New Roman" w:cs="Times New Roman"/>
                <w:b/>
                <w:bCs/>
                <w:sz w:val="18"/>
                <w:szCs w:val="18"/>
              </w:rPr>
              <w:t xml:space="preserve"> </w:t>
            </w:r>
            <w:r w:rsidRPr="000973F2">
              <w:rPr>
                <w:rFonts w:ascii="Times New Roman" w:eastAsia="Times New Roman" w:hAnsi="Times New Roman" w:cs="Times New Roman"/>
                <w:b/>
                <w:bCs/>
                <w:sz w:val="18"/>
                <w:szCs w:val="18"/>
              </w:rPr>
              <w:t>Hours</w:t>
            </w:r>
          </w:p>
        </w:tc>
        <w:tc>
          <w:tcPr>
            <w:tcW w:w="800" w:type="dxa"/>
            <w:tcMar>
              <w:left w:w="14" w:type="dxa"/>
              <w:right w:w="14" w:type="dxa"/>
            </w:tcMar>
            <w:hideMark/>
          </w:tcPr>
          <w:p w14:paraId="39627D9C" w14:textId="77777777" w:rsidR="00EF7301" w:rsidRPr="000973F2" w:rsidRDefault="00EF7301" w:rsidP="007F466B">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18"/>
                <w:szCs w:val="18"/>
              </w:rPr>
            </w:pPr>
            <w:r w:rsidRPr="000973F2">
              <w:rPr>
                <w:rFonts w:ascii="Times New Roman" w:eastAsia="Times New Roman" w:hAnsi="Times New Roman" w:cs="Times New Roman"/>
                <w:b/>
                <w:bCs/>
                <w:sz w:val="18"/>
                <w:szCs w:val="18"/>
              </w:rPr>
              <w:t>Subseq. Year Hours</w:t>
            </w:r>
          </w:p>
        </w:tc>
        <w:tc>
          <w:tcPr>
            <w:tcW w:w="801" w:type="dxa"/>
            <w:tcMar>
              <w:left w:w="14" w:type="dxa"/>
              <w:right w:w="14" w:type="dxa"/>
            </w:tcMar>
            <w:hideMark/>
          </w:tcPr>
          <w:p w14:paraId="5D5DB9F7" w14:textId="0B61C697" w:rsidR="00EF7301" w:rsidRPr="000973F2" w:rsidRDefault="00EF7301" w:rsidP="007F466B">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18"/>
                <w:szCs w:val="18"/>
              </w:rPr>
            </w:pPr>
            <w:r w:rsidRPr="000973F2">
              <w:rPr>
                <w:rFonts w:ascii="Times New Roman" w:eastAsia="Times New Roman" w:hAnsi="Times New Roman" w:cs="Times New Roman"/>
                <w:b/>
                <w:bCs/>
                <w:sz w:val="18"/>
                <w:szCs w:val="18"/>
              </w:rPr>
              <w:t>Initial Year</w:t>
            </w:r>
            <w:r w:rsidR="007F466B" w:rsidRPr="000973F2">
              <w:rPr>
                <w:rFonts w:ascii="Times New Roman" w:eastAsia="Times New Roman" w:hAnsi="Times New Roman" w:cs="Times New Roman"/>
                <w:b/>
                <w:bCs/>
                <w:sz w:val="18"/>
                <w:szCs w:val="18"/>
              </w:rPr>
              <w:t xml:space="preserve"> </w:t>
            </w:r>
            <w:r w:rsidRPr="000973F2">
              <w:rPr>
                <w:rFonts w:ascii="Times New Roman" w:eastAsia="Times New Roman" w:hAnsi="Times New Roman" w:cs="Times New Roman"/>
                <w:b/>
                <w:bCs/>
                <w:sz w:val="18"/>
                <w:szCs w:val="18"/>
              </w:rPr>
              <w:t>Hours</w:t>
            </w:r>
          </w:p>
        </w:tc>
        <w:tc>
          <w:tcPr>
            <w:tcW w:w="800" w:type="dxa"/>
            <w:tcMar>
              <w:left w:w="14" w:type="dxa"/>
              <w:right w:w="14" w:type="dxa"/>
            </w:tcMar>
            <w:hideMark/>
          </w:tcPr>
          <w:p w14:paraId="6FB41CE8" w14:textId="77777777" w:rsidR="00EF7301" w:rsidRPr="000973F2" w:rsidRDefault="00EF7301" w:rsidP="007F466B">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18"/>
                <w:szCs w:val="18"/>
              </w:rPr>
            </w:pPr>
            <w:r w:rsidRPr="000973F2">
              <w:rPr>
                <w:rFonts w:ascii="Times New Roman" w:eastAsia="Times New Roman" w:hAnsi="Times New Roman" w:cs="Times New Roman"/>
                <w:b/>
                <w:bCs/>
                <w:sz w:val="18"/>
                <w:szCs w:val="18"/>
              </w:rPr>
              <w:t>Subseq. Year Hours</w:t>
            </w:r>
          </w:p>
        </w:tc>
        <w:tc>
          <w:tcPr>
            <w:tcW w:w="800" w:type="dxa"/>
            <w:tcMar>
              <w:left w:w="14" w:type="dxa"/>
              <w:right w:w="14" w:type="dxa"/>
            </w:tcMar>
            <w:hideMark/>
          </w:tcPr>
          <w:p w14:paraId="22D0006C" w14:textId="11B501E3" w:rsidR="00EF7301" w:rsidRPr="000973F2" w:rsidRDefault="00EF7301" w:rsidP="007F466B">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18"/>
                <w:szCs w:val="18"/>
              </w:rPr>
            </w:pPr>
            <w:r w:rsidRPr="000973F2">
              <w:rPr>
                <w:rFonts w:ascii="Times New Roman" w:eastAsia="Times New Roman" w:hAnsi="Times New Roman" w:cs="Times New Roman"/>
                <w:b/>
                <w:bCs/>
                <w:sz w:val="18"/>
                <w:szCs w:val="18"/>
              </w:rPr>
              <w:t>Initial Year</w:t>
            </w:r>
            <w:r w:rsidR="007F466B" w:rsidRPr="000973F2">
              <w:rPr>
                <w:rFonts w:ascii="Times New Roman" w:eastAsia="Times New Roman" w:hAnsi="Times New Roman" w:cs="Times New Roman"/>
                <w:b/>
                <w:bCs/>
                <w:sz w:val="18"/>
                <w:szCs w:val="18"/>
              </w:rPr>
              <w:t xml:space="preserve"> </w:t>
            </w:r>
            <w:r w:rsidRPr="000973F2">
              <w:rPr>
                <w:rFonts w:ascii="Times New Roman" w:eastAsia="Times New Roman" w:hAnsi="Times New Roman" w:cs="Times New Roman"/>
                <w:b/>
                <w:bCs/>
                <w:sz w:val="18"/>
                <w:szCs w:val="18"/>
              </w:rPr>
              <w:t>Hours</w:t>
            </w:r>
          </w:p>
        </w:tc>
        <w:tc>
          <w:tcPr>
            <w:tcW w:w="801" w:type="dxa"/>
            <w:tcMar>
              <w:left w:w="14" w:type="dxa"/>
              <w:right w:w="14" w:type="dxa"/>
            </w:tcMar>
            <w:hideMark/>
          </w:tcPr>
          <w:p w14:paraId="20ACE483" w14:textId="77777777" w:rsidR="00EF7301" w:rsidRPr="000973F2" w:rsidRDefault="00EF7301" w:rsidP="007F466B">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18"/>
                <w:szCs w:val="18"/>
              </w:rPr>
            </w:pPr>
            <w:r w:rsidRPr="000973F2">
              <w:rPr>
                <w:rFonts w:ascii="Times New Roman" w:eastAsia="Times New Roman" w:hAnsi="Times New Roman" w:cs="Times New Roman"/>
                <w:b/>
                <w:bCs/>
                <w:sz w:val="18"/>
                <w:szCs w:val="18"/>
              </w:rPr>
              <w:t>Subseq. Year Hours</w:t>
            </w:r>
          </w:p>
        </w:tc>
        <w:tc>
          <w:tcPr>
            <w:tcW w:w="800" w:type="dxa"/>
            <w:tcMar>
              <w:left w:w="14" w:type="dxa"/>
              <w:right w:w="14" w:type="dxa"/>
            </w:tcMar>
            <w:hideMark/>
          </w:tcPr>
          <w:p w14:paraId="2B56D926" w14:textId="316D9BE3" w:rsidR="00EF7301" w:rsidRPr="000973F2" w:rsidRDefault="00EF7301" w:rsidP="007F466B">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18"/>
                <w:szCs w:val="18"/>
              </w:rPr>
            </w:pPr>
            <w:r w:rsidRPr="000973F2">
              <w:rPr>
                <w:rFonts w:ascii="Times New Roman" w:eastAsia="Times New Roman" w:hAnsi="Times New Roman" w:cs="Times New Roman"/>
                <w:b/>
                <w:bCs/>
                <w:sz w:val="18"/>
                <w:szCs w:val="18"/>
              </w:rPr>
              <w:t>Initial Year</w:t>
            </w:r>
            <w:r w:rsidR="007F466B" w:rsidRPr="000973F2">
              <w:rPr>
                <w:rFonts w:ascii="Times New Roman" w:eastAsia="Times New Roman" w:hAnsi="Times New Roman" w:cs="Times New Roman"/>
                <w:b/>
                <w:bCs/>
                <w:sz w:val="18"/>
                <w:szCs w:val="18"/>
              </w:rPr>
              <w:t xml:space="preserve"> </w:t>
            </w:r>
            <w:r w:rsidRPr="000973F2">
              <w:rPr>
                <w:rFonts w:ascii="Times New Roman" w:eastAsia="Times New Roman" w:hAnsi="Times New Roman" w:cs="Times New Roman"/>
                <w:b/>
                <w:bCs/>
                <w:sz w:val="18"/>
                <w:szCs w:val="18"/>
              </w:rPr>
              <w:t>Hours</w:t>
            </w:r>
          </w:p>
        </w:tc>
        <w:tc>
          <w:tcPr>
            <w:tcW w:w="801" w:type="dxa"/>
            <w:tcMar>
              <w:left w:w="14" w:type="dxa"/>
              <w:right w:w="14" w:type="dxa"/>
            </w:tcMar>
            <w:hideMark/>
          </w:tcPr>
          <w:p w14:paraId="3DD55E06" w14:textId="77777777" w:rsidR="00EF7301" w:rsidRPr="000973F2" w:rsidRDefault="00EF7301" w:rsidP="007F466B">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18"/>
                <w:szCs w:val="18"/>
              </w:rPr>
            </w:pPr>
            <w:r w:rsidRPr="000973F2">
              <w:rPr>
                <w:rFonts w:ascii="Times New Roman" w:eastAsia="Times New Roman" w:hAnsi="Times New Roman" w:cs="Times New Roman"/>
                <w:b/>
                <w:bCs/>
                <w:sz w:val="18"/>
                <w:szCs w:val="18"/>
              </w:rPr>
              <w:t>Subseq. Year Hours</w:t>
            </w:r>
          </w:p>
        </w:tc>
        <w:tc>
          <w:tcPr>
            <w:tcW w:w="722" w:type="dxa"/>
            <w:tcMar>
              <w:left w:w="14" w:type="dxa"/>
              <w:right w:w="14" w:type="dxa"/>
            </w:tcMar>
            <w:hideMark/>
          </w:tcPr>
          <w:p w14:paraId="3D84D024" w14:textId="77777777" w:rsidR="00EF7301" w:rsidRPr="000973F2" w:rsidRDefault="00EF7301" w:rsidP="007F466B">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18"/>
                <w:szCs w:val="18"/>
              </w:rPr>
            </w:pPr>
            <w:r w:rsidRPr="000973F2">
              <w:rPr>
                <w:rFonts w:ascii="Times New Roman" w:eastAsia="Times New Roman" w:hAnsi="Times New Roman" w:cs="Times New Roman"/>
                <w:b/>
                <w:bCs/>
                <w:sz w:val="18"/>
                <w:szCs w:val="18"/>
              </w:rPr>
              <w:t>Initial Year</w:t>
            </w:r>
          </w:p>
        </w:tc>
        <w:tc>
          <w:tcPr>
            <w:tcW w:w="879" w:type="dxa"/>
            <w:tcMar>
              <w:left w:w="14" w:type="dxa"/>
              <w:right w:w="14" w:type="dxa"/>
            </w:tcMar>
            <w:hideMark/>
          </w:tcPr>
          <w:p w14:paraId="2B31C541" w14:textId="77777777" w:rsidR="00EF7301" w:rsidRPr="000973F2" w:rsidRDefault="00EF7301" w:rsidP="007F466B">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18"/>
                <w:szCs w:val="18"/>
              </w:rPr>
            </w:pPr>
            <w:r w:rsidRPr="000973F2">
              <w:rPr>
                <w:rFonts w:ascii="Times New Roman" w:eastAsia="Times New Roman" w:hAnsi="Times New Roman" w:cs="Times New Roman"/>
                <w:b/>
                <w:bCs/>
                <w:sz w:val="18"/>
                <w:szCs w:val="18"/>
              </w:rPr>
              <w:t>Subseq. Year</w:t>
            </w:r>
          </w:p>
        </w:tc>
      </w:tr>
      <w:tr w:rsidR="00EF7301" w:rsidRPr="000973F2" w14:paraId="761ABF32" w14:textId="77777777" w:rsidTr="007F466B">
        <w:trPr>
          <w:cantSplit/>
        </w:trPr>
        <w:tc>
          <w:tcPr>
            <w:cnfStyle w:val="001000000000" w:firstRow="0" w:lastRow="0" w:firstColumn="1" w:lastColumn="0" w:oddVBand="0" w:evenVBand="0" w:oddHBand="0" w:evenHBand="0" w:firstRowFirstColumn="0" w:firstRowLastColumn="0" w:lastRowFirstColumn="0" w:lastRowLastColumn="0"/>
            <w:tcW w:w="1326" w:type="dxa"/>
            <w:hideMark/>
          </w:tcPr>
          <w:p w14:paraId="6C8D267D" w14:textId="77777777" w:rsidR="00EF7301" w:rsidRPr="000973F2" w:rsidRDefault="00EF7301" w:rsidP="007F466B">
            <w:pPr>
              <w:spacing w:before="40" w:after="4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Planning</w:t>
            </w:r>
          </w:p>
        </w:tc>
        <w:tc>
          <w:tcPr>
            <w:tcW w:w="800" w:type="dxa"/>
            <w:noWrap/>
            <w:hideMark/>
          </w:tcPr>
          <w:p w14:paraId="7E0A7408" w14:textId="77777777" w:rsidR="00EF7301" w:rsidRPr="000973F2" w:rsidRDefault="00EF7301" w:rsidP="00083B9F">
            <w:pPr>
              <w:spacing w:before="40" w:after="4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0</w:t>
            </w:r>
          </w:p>
        </w:tc>
        <w:tc>
          <w:tcPr>
            <w:tcW w:w="800" w:type="dxa"/>
            <w:noWrap/>
            <w:hideMark/>
          </w:tcPr>
          <w:p w14:paraId="72124306" w14:textId="77777777" w:rsidR="00EF7301" w:rsidRPr="000973F2" w:rsidRDefault="00EF7301" w:rsidP="00083B9F">
            <w:pPr>
              <w:spacing w:before="40" w:after="4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1</w:t>
            </w:r>
          </w:p>
        </w:tc>
        <w:tc>
          <w:tcPr>
            <w:tcW w:w="801" w:type="dxa"/>
            <w:noWrap/>
            <w:hideMark/>
          </w:tcPr>
          <w:p w14:paraId="41A24194" w14:textId="77777777" w:rsidR="00EF7301" w:rsidRPr="000973F2" w:rsidRDefault="00EF7301" w:rsidP="00083B9F">
            <w:pPr>
              <w:spacing w:before="40" w:after="4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0</w:t>
            </w:r>
          </w:p>
        </w:tc>
        <w:tc>
          <w:tcPr>
            <w:tcW w:w="800" w:type="dxa"/>
            <w:noWrap/>
            <w:hideMark/>
          </w:tcPr>
          <w:p w14:paraId="08BAA31C" w14:textId="77777777" w:rsidR="00EF7301" w:rsidRPr="000973F2" w:rsidRDefault="00EF7301" w:rsidP="00B25EE1">
            <w:pPr>
              <w:spacing w:before="40" w:after="4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1.2</w:t>
            </w:r>
          </w:p>
        </w:tc>
        <w:tc>
          <w:tcPr>
            <w:tcW w:w="800" w:type="dxa"/>
            <w:noWrap/>
            <w:hideMark/>
          </w:tcPr>
          <w:p w14:paraId="7B102290" w14:textId="77777777" w:rsidR="00EF7301" w:rsidRPr="000973F2" w:rsidRDefault="00EF7301" w:rsidP="00083B9F">
            <w:pPr>
              <w:spacing w:before="40" w:after="4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0</w:t>
            </w:r>
          </w:p>
        </w:tc>
        <w:tc>
          <w:tcPr>
            <w:tcW w:w="801" w:type="dxa"/>
            <w:noWrap/>
            <w:hideMark/>
          </w:tcPr>
          <w:p w14:paraId="350AF3C3" w14:textId="77777777" w:rsidR="00EF7301" w:rsidRPr="000973F2" w:rsidRDefault="00EF7301" w:rsidP="00083B9F">
            <w:pPr>
              <w:tabs>
                <w:tab w:val="decimal" w:pos="310"/>
              </w:tabs>
              <w:spacing w:before="40" w:after="4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12</w:t>
            </w:r>
          </w:p>
        </w:tc>
        <w:tc>
          <w:tcPr>
            <w:tcW w:w="800" w:type="dxa"/>
            <w:noWrap/>
            <w:hideMark/>
          </w:tcPr>
          <w:p w14:paraId="003646A7" w14:textId="77777777" w:rsidR="00EF7301" w:rsidRPr="000973F2" w:rsidRDefault="00EF7301" w:rsidP="00083B9F">
            <w:pPr>
              <w:spacing w:before="40" w:after="4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0</w:t>
            </w:r>
          </w:p>
        </w:tc>
        <w:tc>
          <w:tcPr>
            <w:tcW w:w="801" w:type="dxa"/>
            <w:noWrap/>
            <w:hideMark/>
          </w:tcPr>
          <w:p w14:paraId="3D411ABB" w14:textId="77777777" w:rsidR="00EF7301" w:rsidRPr="000973F2" w:rsidRDefault="00EF7301" w:rsidP="00083B9F">
            <w:pPr>
              <w:spacing w:before="40" w:after="4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0.6</w:t>
            </w:r>
          </w:p>
        </w:tc>
        <w:tc>
          <w:tcPr>
            <w:tcW w:w="722" w:type="dxa"/>
            <w:noWrap/>
            <w:hideMark/>
          </w:tcPr>
          <w:p w14:paraId="05AB5C45" w14:textId="155AED4D" w:rsidR="00EF7301" w:rsidRPr="000973F2" w:rsidRDefault="00EF7301" w:rsidP="00083B9F">
            <w:pPr>
              <w:spacing w:before="40" w:after="4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$0</w:t>
            </w:r>
          </w:p>
        </w:tc>
        <w:tc>
          <w:tcPr>
            <w:tcW w:w="879" w:type="dxa"/>
            <w:noWrap/>
            <w:hideMark/>
          </w:tcPr>
          <w:p w14:paraId="19FF66E3" w14:textId="5C4E4FC7" w:rsidR="00EF7301" w:rsidRPr="000973F2" w:rsidRDefault="00EF7301" w:rsidP="00083B9F">
            <w:pPr>
              <w:tabs>
                <w:tab w:val="decimal" w:pos="415"/>
              </w:tabs>
              <w:spacing w:before="40" w:after="4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$1,096</w:t>
            </w:r>
          </w:p>
        </w:tc>
      </w:tr>
      <w:tr w:rsidR="00034890" w:rsidRPr="000973F2" w14:paraId="04C74828" w14:textId="77777777" w:rsidTr="007F466B">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1326" w:type="dxa"/>
            <w:hideMark/>
          </w:tcPr>
          <w:p w14:paraId="7B25CBDC" w14:textId="77777777" w:rsidR="00034890" w:rsidRPr="000973F2" w:rsidRDefault="00034890" w:rsidP="00034890">
            <w:pPr>
              <w:spacing w:before="40" w:after="4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QA/QC</w:t>
            </w:r>
          </w:p>
        </w:tc>
        <w:tc>
          <w:tcPr>
            <w:tcW w:w="800" w:type="dxa"/>
            <w:noWrap/>
            <w:hideMark/>
          </w:tcPr>
          <w:p w14:paraId="740AA9EF" w14:textId="7112250C" w:rsidR="00034890" w:rsidRPr="000973F2" w:rsidRDefault="00034890" w:rsidP="00034890">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w:t>
            </w:r>
          </w:p>
        </w:tc>
        <w:tc>
          <w:tcPr>
            <w:tcW w:w="800" w:type="dxa"/>
            <w:noWrap/>
            <w:hideMark/>
          </w:tcPr>
          <w:p w14:paraId="58262F22" w14:textId="68663A20" w:rsidR="00034890" w:rsidRPr="000973F2" w:rsidRDefault="00034890" w:rsidP="00034890">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w:t>
            </w:r>
          </w:p>
        </w:tc>
        <w:tc>
          <w:tcPr>
            <w:tcW w:w="801" w:type="dxa"/>
            <w:noWrap/>
            <w:hideMark/>
          </w:tcPr>
          <w:p w14:paraId="4BEB0830" w14:textId="48E121F5" w:rsidR="00034890" w:rsidRPr="000973F2" w:rsidRDefault="00034890" w:rsidP="00034890">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w:t>
            </w:r>
          </w:p>
        </w:tc>
        <w:tc>
          <w:tcPr>
            <w:tcW w:w="800" w:type="dxa"/>
            <w:noWrap/>
            <w:hideMark/>
          </w:tcPr>
          <w:p w14:paraId="12A5F54D" w14:textId="674C2B01" w:rsidR="00034890" w:rsidRPr="000973F2" w:rsidRDefault="00034890" w:rsidP="00034890">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w:t>
            </w:r>
          </w:p>
        </w:tc>
        <w:tc>
          <w:tcPr>
            <w:tcW w:w="800" w:type="dxa"/>
            <w:noWrap/>
            <w:hideMark/>
          </w:tcPr>
          <w:p w14:paraId="03C058FA" w14:textId="4DE09FEF" w:rsidR="00034890" w:rsidRPr="000973F2" w:rsidRDefault="00034890" w:rsidP="00034890">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w:t>
            </w:r>
          </w:p>
        </w:tc>
        <w:tc>
          <w:tcPr>
            <w:tcW w:w="801" w:type="dxa"/>
            <w:noWrap/>
            <w:hideMark/>
          </w:tcPr>
          <w:p w14:paraId="052225AC" w14:textId="519EDB1E" w:rsidR="00034890" w:rsidRPr="000973F2" w:rsidRDefault="00034890" w:rsidP="00034890">
            <w:pPr>
              <w:tabs>
                <w:tab w:val="decimal" w:pos="310"/>
              </w:tabs>
              <w:spacing w:before="40" w:after="4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w:t>
            </w:r>
          </w:p>
        </w:tc>
        <w:tc>
          <w:tcPr>
            <w:tcW w:w="800" w:type="dxa"/>
            <w:noWrap/>
            <w:hideMark/>
          </w:tcPr>
          <w:p w14:paraId="0A0BE977" w14:textId="4764BE85" w:rsidR="00034890" w:rsidRPr="000973F2" w:rsidRDefault="00034890" w:rsidP="00034890">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w:t>
            </w:r>
          </w:p>
        </w:tc>
        <w:tc>
          <w:tcPr>
            <w:tcW w:w="801" w:type="dxa"/>
            <w:noWrap/>
            <w:hideMark/>
          </w:tcPr>
          <w:p w14:paraId="060833A1" w14:textId="042D24A8" w:rsidR="00034890" w:rsidRPr="000973F2" w:rsidRDefault="00034890" w:rsidP="00034890">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w:t>
            </w:r>
          </w:p>
        </w:tc>
        <w:tc>
          <w:tcPr>
            <w:tcW w:w="722" w:type="dxa"/>
            <w:noWrap/>
            <w:hideMark/>
          </w:tcPr>
          <w:p w14:paraId="03B16037" w14:textId="0C73048F" w:rsidR="00034890" w:rsidRPr="000973F2" w:rsidRDefault="00034890" w:rsidP="00034890">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w:t>
            </w:r>
          </w:p>
        </w:tc>
        <w:tc>
          <w:tcPr>
            <w:tcW w:w="879" w:type="dxa"/>
            <w:noWrap/>
            <w:hideMark/>
          </w:tcPr>
          <w:p w14:paraId="46C4BE59" w14:textId="357CF352" w:rsidR="00034890" w:rsidRPr="000973F2" w:rsidRDefault="00034890" w:rsidP="00034890">
            <w:pPr>
              <w:tabs>
                <w:tab w:val="decimal" w:pos="415"/>
              </w:tabs>
              <w:spacing w:before="40" w:after="4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w:t>
            </w:r>
          </w:p>
        </w:tc>
      </w:tr>
      <w:tr w:rsidR="00EF7301" w:rsidRPr="000973F2" w14:paraId="5AD0D8FB" w14:textId="77777777" w:rsidTr="007F466B">
        <w:trPr>
          <w:cantSplit/>
        </w:trPr>
        <w:tc>
          <w:tcPr>
            <w:cnfStyle w:val="001000000000" w:firstRow="0" w:lastRow="0" w:firstColumn="1" w:lastColumn="0" w:oddVBand="0" w:evenVBand="0" w:oddHBand="0" w:evenHBand="0" w:firstRowFirstColumn="0" w:firstRowLastColumn="0" w:lastRowFirstColumn="0" w:lastRowLastColumn="0"/>
            <w:tcW w:w="1326" w:type="dxa"/>
            <w:hideMark/>
          </w:tcPr>
          <w:p w14:paraId="6C27E89E" w14:textId="77777777" w:rsidR="00EF7301" w:rsidRPr="000973F2" w:rsidRDefault="00EF7301" w:rsidP="007F466B">
            <w:pPr>
              <w:spacing w:before="40" w:after="4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Recordkeeping</w:t>
            </w:r>
          </w:p>
        </w:tc>
        <w:tc>
          <w:tcPr>
            <w:tcW w:w="800" w:type="dxa"/>
            <w:noWrap/>
            <w:hideMark/>
          </w:tcPr>
          <w:p w14:paraId="5213D72E" w14:textId="77777777" w:rsidR="00EF7301" w:rsidRPr="000973F2" w:rsidRDefault="00EF7301" w:rsidP="00083B9F">
            <w:pPr>
              <w:spacing w:before="40" w:after="4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0</w:t>
            </w:r>
          </w:p>
        </w:tc>
        <w:tc>
          <w:tcPr>
            <w:tcW w:w="800" w:type="dxa"/>
            <w:noWrap/>
            <w:hideMark/>
          </w:tcPr>
          <w:p w14:paraId="5E32DB32" w14:textId="77777777" w:rsidR="00EF7301" w:rsidRPr="000973F2" w:rsidRDefault="00EF7301" w:rsidP="00083B9F">
            <w:pPr>
              <w:spacing w:before="40" w:after="4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0</w:t>
            </w:r>
          </w:p>
        </w:tc>
        <w:tc>
          <w:tcPr>
            <w:tcW w:w="801" w:type="dxa"/>
            <w:noWrap/>
            <w:hideMark/>
          </w:tcPr>
          <w:p w14:paraId="6010050C" w14:textId="77777777" w:rsidR="00EF7301" w:rsidRPr="000973F2" w:rsidRDefault="00EF7301" w:rsidP="00083B9F">
            <w:pPr>
              <w:spacing w:before="40" w:after="4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0</w:t>
            </w:r>
          </w:p>
        </w:tc>
        <w:tc>
          <w:tcPr>
            <w:tcW w:w="800" w:type="dxa"/>
            <w:noWrap/>
            <w:hideMark/>
          </w:tcPr>
          <w:p w14:paraId="619E8F2C" w14:textId="77777777" w:rsidR="00EF7301" w:rsidRPr="000973F2" w:rsidRDefault="00EF7301" w:rsidP="00B25EE1">
            <w:pPr>
              <w:spacing w:before="40" w:after="4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0.5</w:t>
            </w:r>
          </w:p>
        </w:tc>
        <w:tc>
          <w:tcPr>
            <w:tcW w:w="800" w:type="dxa"/>
            <w:noWrap/>
            <w:hideMark/>
          </w:tcPr>
          <w:p w14:paraId="1AE787D1" w14:textId="77777777" w:rsidR="00EF7301" w:rsidRPr="000973F2" w:rsidRDefault="00EF7301" w:rsidP="00083B9F">
            <w:pPr>
              <w:spacing w:before="40" w:after="4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0</w:t>
            </w:r>
          </w:p>
        </w:tc>
        <w:tc>
          <w:tcPr>
            <w:tcW w:w="801" w:type="dxa"/>
            <w:noWrap/>
            <w:hideMark/>
          </w:tcPr>
          <w:p w14:paraId="3F5227EE" w14:textId="77777777" w:rsidR="00EF7301" w:rsidRPr="000973F2" w:rsidRDefault="00EF7301" w:rsidP="00083B9F">
            <w:pPr>
              <w:tabs>
                <w:tab w:val="decimal" w:pos="310"/>
              </w:tabs>
              <w:spacing w:before="40" w:after="4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2</w:t>
            </w:r>
          </w:p>
        </w:tc>
        <w:tc>
          <w:tcPr>
            <w:tcW w:w="800" w:type="dxa"/>
            <w:noWrap/>
            <w:hideMark/>
          </w:tcPr>
          <w:p w14:paraId="4DD2A87B" w14:textId="77777777" w:rsidR="00EF7301" w:rsidRPr="000973F2" w:rsidRDefault="00EF7301" w:rsidP="00083B9F">
            <w:pPr>
              <w:spacing w:before="40" w:after="4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0</w:t>
            </w:r>
          </w:p>
        </w:tc>
        <w:tc>
          <w:tcPr>
            <w:tcW w:w="801" w:type="dxa"/>
            <w:noWrap/>
            <w:hideMark/>
          </w:tcPr>
          <w:p w14:paraId="25965A6A" w14:textId="77777777" w:rsidR="00EF7301" w:rsidRPr="000973F2" w:rsidRDefault="00EF7301" w:rsidP="00083B9F">
            <w:pPr>
              <w:spacing w:before="40" w:after="4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0.5</w:t>
            </w:r>
          </w:p>
        </w:tc>
        <w:tc>
          <w:tcPr>
            <w:tcW w:w="722" w:type="dxa"/>
            <w:noWrap/>
            <w:hideMark/>
          </w:tcPr>
          <w:p w14:paraId="14176549" w14:textId="435776F6" w:rsidR="00EF7301" w:rsidRPr="000973F2" w:rsidRDefault="00EF7301" w:rsidP="00083B9F">
            <w:pPr>
              <w:spacing w:before="40" w:after="4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$0</w:t>
            </w:r>
          </w:p>
        </w:tc>
        <w:tc>
          <w:tcPr>
            <w:tcW w:w="879" w:type="dxa"/>
            <w:noWrap/>
            <w:hideMark/>
          </w:tcPr>
          <w:p w14:paraId="60954DA7" w14:textId="0D7B83E7" w:rsidR="00EF7301" w:rsidRPr="000973F2" w:rsidRDefault="00EF7301" w:rsidP="00083B9F">
            <w:pPr>
              <w:tabs>
                <w:tab w:val="decimal" w:pos="415"/>
              </w:tabs>
              <w:spacing w:before="40" w:after="4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$205</w:t>
            </w:r>
          </w:p>
        </w:tc>
      </w:tr>
      <w:tr w:rsidR="00B00587" w:rsidRPr="000973F2" w14:paraId="65580437" w14:textId="77777777" w:rsidTr="007F466B">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1326" w:type="dxa"/>
            <w:hideMark/>
          </w:tcPr>
          <w:p w14:paraId="192102CE" w14:textId="77777777" w:rsidR="00EF7301" w:rsidRPr="000973F2" w:rsidRDefault="00EF7301" w:rsidP="007F466B">
            <w:pPr>
              <w:spacing w:before="40" w:after="4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Sampling and Analysis (Calculations)</w:t>
            </w:r>
          </w:p>
        </w:tc>
        <w:tc>
          <w:tcPr>
            <w:tcW w:w="800" w:type="dxa"/>
            <w:noWrap/>
            <w:hideMark/>
          </w:tcPr>
          <w:p w14:paraId="227568B6" w14:textId="77777777" w:rsidR="00EF7301" w:rsidRPr="000973F2" w:rsidRDefault="00EF7301" w:rsidP="00083B9F">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0</w:t>
            </w:r>
          </w:p>
        </w:tc>
        <w:tc>
          <w:tcPr>
            <w:tcW w:w="800" w:type="dxa"/>
            <w:noWrap/>
            <w:hideMark/>
          </w:tcPr>
          <w:p w14:paraId="0D3ED9B9" w14:textId="77777777" w:rsidR="00EF7301" w:rsidRPr="000973F2" w:rsidRDefault="00EF7301" w:rsidP="00083B9F">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0</w:t>
            </w:r>
          </w:p>
        </w:tc>
        <w:tc>
          <w:tcPr>
            <w:tcW w:w="801" w:type="dxa"/>
            <w:noWrap/>
            <w:hideMark/>
          </w:tcPr>
          <w:p w14:paraId="3F334C3F" w14:textId="77777777" w:rsidR="00EF7301" w:rsidRPr="000973F2" w:rsidRDefault="00EF7301" w:rsidP="00083B9F">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0</w:t>
            </w:r>
          </w:p>
        </w:tc>
        <w:tc>
          <w:tcPr>
            <w:tcW w:w="800" w:type="dxa"/>
            <w:noWrap/>
            <w:hideMark/>
          </w:tcPr>
          <w:p w14:paraId="2E00F603" w14:textId="77777777" w:rsidR="00EF7301" w:rsidRPr="000973F2" w:rsidRDefault="00EF7301" w:rsidP="00B25EE1">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0.1</w:t>
            </w:r>
          </w:p>
        </w:tc>
        <w:tc>
          <w:tcPr>
            <w:tcW w:w="800" w:type="dxa"/>
            <w:noWrap/>
            <w:hideMark/>
          </w:tcPr>
          <w:p w14:paraId="75EAA4DB" w14:textId="77777777" w:rsidR="00EF7301" w:rsidRPr="000973F2" w:rsidRDefault="00EF7301" w:rsidP="00083B9F">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0</w:t>
            </w:r>
          </w:p>
        </w:tc>
        <w:tc>
          <w:tcPr>
            <w:tcW w:w="801" w:type="dxa"/>
            <w:noWrap/>
            <w:hideMark/>
          </w:tcPr>
          <w:p w14:paraId="45C3689C" w14:textId="77777777" w:rsidR="00EF7301" w:rsidRPr="000973F2" w:rsidRDefault="00EF7301" w:rsidP="00083B9F">
            <w:pPr>
              <w:tabs>
                <w:tab w:val="decimal" w:pos="310"/>
              </w:tabs>
              <w:spacing w:before="40" w:after="4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1</w:t>
            </w:r>
          </w:p>
        </w:tc>
        <w:tc>
          <w:tcPr>
            <w:tcW w:w="800" w:type="dxa"/>
            <w:noWrap/>
            <w:hideMark/>
          </w:tcPr>
          <w:p w14:paraId="7490F6AB" w14:textId="77777777" w:rsidR="00EF7301" w:rsidRPr="000973F2" w:rsidRDefault="00EF7301" w:rsidP="00083B9F">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0</w:t>
            </w:r>
          </w:p>
        </w:tc>
        <w:tc>
          <w:tcPr>
            <w:tcW w:w="801" w:type="dxa"/>
            <w:noWrap/>
            <w:hideMark/>
          </w:tcPr>
          <w:p w14:paraId="785401B1" w14:textId="77777777" w:rsidR="00EF7301" w:rsidRPr="000973F2" w:rsidRDefault="00EF7301" w:rsidP="00083B9F">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0.1</w:t>
            </w:r>
          </w:p>
        </w:tc>
        <w:tc>
          <w:tcPr>
            <w:tcW w:w="722" w:type="dxa"/>
            <w:noWrap/>
            <w:hideMark/>
          </w:tcPr>
          <w:p w14:paraId="49D1E201" w14:textId="567FE1CD" w:rsidR="00EF7301" w:rsidRPr="000973F2" w:rsidRDefault="00EF7301" w:rsidP="00083B9F">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$0</w:t>
            </w:r>
          </w:p>
        </w:tc>
        <w:tc>
          <w:tcPr>
            <w:tcW w:w="879" w:type="dxa"/>
            <w:noWrap/>
            <w:hideMark/>
          </w:tcPr>
          <w:p w14:paraId="13D82033" w14:textId="030647BF" w:rsidR="00EF7301" w:rsidRPr="000973F2" w:rsidRDefault="00EF7301" w:rsidP="00083B9F">
            <w:pPr>
              <w:tabs>
                <w:tab w:val="decimal" w:pos="415"/>
              </w:tabs>
              <w:spacing w:before="40" w:after="4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$82</w:t>
            </w:r>
          </w:p>
        </w:tc>
      </w:tr>
      <w:tr w:rsidR="00EF7301" w:rsidRPr="000973F2" w14:paraId="220928CB" w14:textId="77777777" w:rsidTr="007F466B">
        <w:trPr>
          <w:cantSplit/>
        </w:trPr>
        <w:tc>
          <w:tcPr>
            <w:cnfStyle w:val="001000000000" w:firstRow="0" w:lastRow="0" w:firstColumn="1" w:lastColumn="0" w:oddVBand="0" w:evenVBand="0" w:oddHBand="0" w:evenHBand="0" w:firstRowFirstColumn="0" w:firstRowLastColumn="0" w:lastRowFirstColumn="0" w:lastRowLastColumn="0"/>
            <w:tcW w:w="1326" w:type="dxa"/>
            <w:hideMark/>
          </w:tcPr>
          <w:p w14:paraId="7CA69AF4" w14:textId="77777777" w:rsidR="00EF7301" w:rsidRPr="000973F2" w:rsidRDefault="00EF7301" w:rsidP="007F466B">
            <w:pPr>
              <w:spacing w:before="40" w:after="4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Reporting</w:t>
            </w:r>
          </w:p>
        </w:tc>
        <w:tc>
          <w:tcPr>
            <w:tcW w:w="800" w:type="dxa"/>
            <w:noWrap/>
            <w:hideMark/>
          </w:tcPr>
          <w:p w14:paraId="1E936ED7" w14:textId="77777777" w:rsidR="00EF7301" w:rsidRPr="000973F2" w:rsidRDefault="00EF7301" w:rsidP="00083B9F">
            <w:pPr>
              <w:spacing w:before="40" w:after="4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0</w:t>
            </w:r>
          </w:p>
        </w:tc>
        <w:tc>
          <w:tcPr>
            <w:tcW w:w="800" w:type="dxa"/>
            <w:noWrap/>
            <w:hideMark/>
          </w:tcPr>
          <w:p w14:paraId="190FECAC" w14:textId="77777777" w:rsidR="00EF7301" w:rsidRPr="000973F2" w:rsidRDefault="00EF7301" w:rsidP="00083B9F">
            <w:pPr>
              <w:spacing w:before="40" w:after="4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0</w:t>
            </w:r>
          </w:p>
        </w:tc>
        <w:tc>
          <w:tcPr>
            <w:tcW w:w="801" w:type="dxa"/>
            <w:noWrap/>
            <w:hideMark/>
          </w:tcPr>
          <w:p w14:paraId="12F74FAA" w14:textId="77777777" w:rsidR="00EF7301" w:rsidRPr="000973F2" w:rsidRDefault="00EF7301" w:rsidP="00083B9F">
            <w:pPr>
              <w:spacing w:before="40" w:after="4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0</w:t>
            </w:r>
          </w:p>
        </w:tc>
        <w:tc>
          <w:tcPr>
            <w:tcW w:w="800" w:type="dxa"/>
            <w:noWrap/>
            <w:hideMark/>
          </w:tcPr>
          <w:p w14:paraId="34B7E3AE" w14:textId="77777777" w:rsidR="00EF7301" w:rsidRPr="000973F2" w:rsidRDefault="00EF7301" w:rsidP="00B25EE1">
            <w:pPr>
              <w:spacing w:before="40" w:after="4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1.0</w:t>
            </w:r>
          </w:p>
        </w:tc>
        <w:tc>
          <w:tcPr>
            <w:tcW w:w="800" w:type="dxa"/>
            <w:noWrap/>
            <w:hideMark/>
          </w:tcPr>
          <w:p w14:paraId="0DA66986" w14:textId="77777777" w:rsidR="00EF7301" w:rsidRPr="000973F2" w:rsidRDefault="00EF7301" w:rsidP="00083B9F">
            <w:pPr>
              <w:spacing w:before="40" w:after="4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0</w:t>
            </w:r>
          </w:p>
        </w:tc>
        <w:tc>
          <w:tcPr>
            <w:tcW w:w="801" w:type="dxa"/>
            <w:noWrap/>
            <w:hideMark/>
          </w:tcPr>
          <w:p w14:paraId="442AEEF4" w14:textId="77777777" w:rsidR="00EF7301" w:rsidRPr="000973F2" w:rsidRDefault="00EF7301" w:rsidP="00083B9F">
            <w:pPr>
              <w:tabs>
                <w:tab w:val="decimal" w:pos="310"/>
              </w:tabs>
              <w:spacing w:before="40" w:after="4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4</w:t>
            </w:r>
          </w:p>
        </w:tc>
        <w:tc>
          <w:tcPr>
            <w:tcW w:w="800" w:type="dxa"/>
            <w:noWrap/>
            <w:hideMark/>
          </w:tcPr>
          <w:p w14:paraId="3E1DE61A" w14:textId="77777777" w:rsidR="00EF7301" w:rsidRPr="000973F2" w:rsidRDefault="00EF7301" w:rsidP="00083B9F">
            <w:pPr>
              <w:spacing w:before="40" w:after="4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0</w:t>
            </w:r>
          </w:p>
        </w:tc>
        <w:tc>
          <w:tcPr>
            <w:tcW w:w="801" w:type="dxa"/>
            <w:noWrap/>
            <w:hideMark/>
          </w:tcPr>
          <w:p w14:paraId="1C1136A9" w14:textId="77777777" w:rsidR="00EF7301" w:rsidRPr="000973F2" w:rsidRDefault="00EF7301" w:rsidP="00083B9F">
            <w:pPr>
              <w:spacing w:before="40" w:after="4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1.0</w:t>
            </w:r>
          </w:p>
        </w:tc>
        <w:tc>
          <w:tcPr>
            <w:tcW w:w="722" w:type="dxa"/>
            <w:noWrap/>
            <w:hideMark/>
          </w:tcPr>
          <w:p w14:paraId="5B6AA23F" w14:textId="22FB2ECC" w:rsidR="00EF7301" w:rsidRPr="000973F2" w:rsidRDefault="00EF7301" w:rsidP="00083B9F">
            <w:pPr>
              <w:spacing w:before="40" w:after="4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$0</w:t>
            </w:r>
          </w:p>
        </w:tc>
        <w:tc>
          <w:tcPr>
            <w:tcW w:w="879" w:type="dxa"/>
            <w:noWrap/>
            <w:hideMark/>
          </w:tcPr>
          <w:p w14:paraId="24DF3536" w14:textId="193F1BBC" w:rsidR="00EF7301" w:rsidRPr="000973F2" w:rsidRDefault="00EF7301" w:rsidP="00083B9F">
            <w:pPr>
              <w:tabs>
                <w:tab w:val="decimal" w:pos="415"/>
              </w:tabs>
              <w:spacing w:before="40" w:after="4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$410</w:t>
            </w:r>
          </w:p>
        </w:tc>
      </w:tr>
      <w:tr w:rsidR="00B00587" w:rsidRPr="000973F2" w14:paraId="0095F956" w14:textId="77777777" w:rsidTr="007F466B">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1326" w:type="dxa"/>
            <w:noWrap/>
            <w:hideMark/>
          </w:tcPr>
          <w:p w14:paraId="546EB4DC" w14:textId="77777777" w:rsidR="00EF7301" w:rsidRPr="000973F2" w:rsidRDefault="00EF7301" w:rsidP="007F466B">
            <w:pPr>
              <w:spacing w:before="40" w:after="40"/>
              <w:rPr>
                <w:rFonts w:ascii="Times New Roman" w:eastAsia="Times New Roman" w:hAnsi="Times New Roman" w:cs="Times New Roman"/>
                <w:b/>
                <w:bCs w:val="0"/>
                <w:sz w:val="18"/>
                <w:szCs w:val="18"/>
              </w:rPr>
            </w:pPr>
            <w:r w:rsidRPr="000973F2">
              <w:rPr>
                <w:rFonts w:ascii="Times New Roman" w:eastAsia="Times New Roman" w:hAnsi="Times New Roman" w:cs="Times New Roman"/>
                <w:b/>
                <w:sz w:val="18"/>
                <w:szCs w:val="18"/>
              </w:rPr>
              <w:t>Total</w:t>
            </w:r>
          </w:p>
        </w:tc>
        <w:tc>
          <w:tcPr>
            <w:tcW w:w="800" w:type="dxa"/>
            <w:noWrap/>
            <w:hideMark/>
          </w:tcPr>
          <w:p w14:paraId="361D2FD8" w14:textId="77777777" w:rsidR="00EF7301" w:rsidRPr="000973F2" w:rsidRDefault="00EF7301" w:rsidP="00083B9F">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18"/>
                <w:szCs w:val="18"/>
              </w:rPr>
            </w:pPr>
            <w:r w:rsidRPr="000973F2">
              <w:rPr>
                <w:rFonts w:ascii="Times New Roman" w:eastAsia="Times New Roman" w:hAnsi="Times New Roman" w:cs="Times New Roman"/>
                <w:b/>
                <w:bCs/>
                <w:sz w:val="18"/>
                <w:szCs w:val="18"/>
              </w:rPr>
              <w:t>0</w:t>
            </w:r>
          </w:p>
        </w:tc>
        <w:tc>
          <w:tcPr>
            <w:tcW w:w="800" w:type="dxa"/>
            <w:noWrap/>
            <w:hideMark/>
          </w:tcPr>
          <w:p w14:paraId="18C135BB" w14:textId="77777777" w:rsidR="00EF7301" w:rsidRPr="000973F2" w:rsidRDefault="00EF7301" w:rsidP="00083B9F">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18"/>
                <w:szCs w:val="18"/>
              </w:rPr>
            </w:pPr>
            <w:r w:rsidRPr="000973F2">
              <w:rPr>
                <w:rFonts w:ascii="Times New Roman" w:eastAsia="Times New Roman" w:hAnsi="Times New Roman" w:cs="Times New Roman"/>
                <w:b/>
                <w:bCs/>
                <w:sz w:val="18"/>
                <w:szCs w:val="18"/>
              </w:rPr>
              <w:t>1</w:t>
            </w:r>
          </w:p>
        </w:tc>
        <w:tc>
          <w:tcPr>
            <w:tcW w:w="801" w:type="dxa"/>
            <w:noWrap/>
            <w:hideMark/>
          </w:tcPr>
          <w:p w14:paraId="47370C9E" w14:textId="77777777" w:rsidR="00EF7301" w:rsidRPr="000973F2" w:rsidRDefault="00EF7301" w:rsidP="00083B9F">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18"/>
                <w:szCs w:val="18"/>
              </w:rPr>
            </w:pPr>
            <w:r w:rsidRPr="000973F2">
              <w:rPr>
                <w:rFonts w:ascii="Times New Roman" w:eastAsia="Times New Roman" w:hAnsi="Times New Roman" w:cs="Times New Roman"/>
                <w:b/>
                <w:bCs/>
                <w:sz w:val="18"/>
                <w:szCs w:val="18"/>
              </w:rPr>
              <w:t>0</w:t>
            </w:r>
          </w:p>
        </w:tc>
        <w:tc>
          <w:tcPr>
            <w:tcW w:w="800" w:type="dxa"/>
            <w:noWrap/>
            <w:hideMark/>
          </w:tcPr>
          <w:p w14:paraId="25EBE064" w14:textId="77777777" w:rsidR="00EF7301" w:rsidRPr="000973F2" w:rsidRDefault="00EF7301" w:rsidP="00B25EE1">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18"/>
                <w:szCs w:val="18"/>
              </w:rPr>
            </w:pPr>
            <w:r w:rsidRPr="000973F2">
              <w:rPr>
                <w:rFonts w:ascii="Times New Roman" w:eastAsia="Times New Roman" w:hAnsi="Times New Roman" w:cs="Times New Roman"/>
                <w:b/>
                <w:bCs/>
                <w:sz w:val="18"/>
                <w:szCs w:val="18"/>
              </w:rPr>
              <w:t>2.8</w:t>
            </w:r>
          </w:p>
        </w:tc>
        <w:tc>
          <w:tcPr>
            <w:tcW w:w="800" w:type="dxa"/>
            <w:noWrap/>
            <w:hideMark/>
          </w:tcPr>
          <w:p w14:paraId="650C31BF" w14:textId="77777777" w:rsidR="00EF7301" w:rsidRPr="000973F2" w:rsidRDefault="00EF7301" w:rsidP="00083B9F">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18"/>
                <w:szCs w:val="18"/>
              </w:rPr>
            </w:pPr>
            <w:r w:rsidRPr="000973F2">
              <w:rPr>
                <w:rFonts w:ascii="Times New Roman" w:eastAsia="Times New Roman" w:hAnsi="Times New Roman" w:cs="Times New Roman"/>
                <w:b/>
                <w:bCs/>
                <w:sz w:val="18"/>
                <w:szCs w:val="18"/>
              </w:rPr>
              <w:t>0</w:t>
            </w:r>
          </w:p>
        </w:tc>
        <w:tc>
          <w:tcPr>
            <w:tcW w:w="801" w:type="dxa"/>
            <w:noWrap/>
            <w:hideMark/>
          </w:tcPr>
          <w:p w14:paraId="1FDD48ED" w14:textId="77777777" w:rsidR="00EF7301" w:rsidRPr="000973F2" w:rsidRDefault="00EF7301" w:rsidP="00083B9F">
            <w:pPr>
              <w:tabs>
                <w:tab w:val="decimal" w:pos="310"/>
              </w:tabs>
              <w:spacing w:before="40" w:after="4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18"/>
                <w:szCs w:val="18"/>
              </w:rPr>
            </w:pPr>
            <w:r w:rsidRPr="000973F2">
              <w:rPr>
                <w:rFonts w:ascii="Times New Roman" w:eastAsia="Times New Roman" w:hAnsi="Times New Roman" w:cs="Times New Roman"/>
                <w:b/>
                <w:bCs/>
                <w:sz w:val="18"/>
                <w:szCs w:val="18"/>
              </w:rPr>
              <w:t>19</w:t>
            </w:r>
          </w:p>
        </w:tc>
        <w:tc>
          <w:tcPr>
            <w:tcW w:w="800" w:type="dxa"/>
            <w:noWrap/>
            <w:hideMark/>
          </w:tcPr>
          <w:p w14:paraId="07436C17" w14:textId="77777777" w:rsidR="00EF7301" w:rsidRPr="000973F2" w:rsidRDefault="00EF7301" w:rsidP="00083B9F">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18"/>
                <w:szCs w:val="18"/>
              </w:rPr>
            </w:pPr>
            <w:r w:rsidRPr="000973F2">
              <w:rPr>
                <w:rFonts w:ascii="Times New Roman" w:eastAsia="Times New Roman" w:hAnsi="Times New Roman" w:cs="Times New Roman"/>
                <w:b/>
                <w:bCs/>
                <w:sz w:val="18"/>
                <w:szCs w:val="18"/>
              </w:rPr>
              <w:t>0</w:t>
            </w:r>
          </w:p>
        </w:tc>
        <w:tc>
          <w:tcPr>
            <w:tcW w:w="801" w:type="dxa"/>
            <w:noWrap/>
            <w:hideMark/>
          </w:tcPr>
          <w:p w14:paraId="4096667A" w14:textId="77777777" w:rsidR="00EF7301" w:rsidRPr="000973F2" w:rsidRDefault="00EF7301" w:rsidP="00083B9F">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18"/>
                <w:szCs w:val="18"/>
              </w:rPr>
            </w:pPr>
            <w:r w:rsidRPr="000973F2">
              <w:rPr>
                <w:rFonts w:ascii="Times New Roman" w:eastAsia="Times New Roman" w:hAnsi="Times New Roman" w:cs="Times New Roman"/>
                <w:b/>
                <w:bCs/>
                <w:sz w:val="18"/>
                <w:szCs w:val="18"/>
              </w:rPr>
              <w:t>2.2</w:t>
            </w:r>
          </w:p>
        </w:tc>
        <w:tc>
          <w:tcPr>
            <w:tcW w:w="722" w:type="dxa"/>
            <w:noWrap/>
            <w:hideMark/>
          </w:tcPr>
          <w:p w14:paraId="64E63208" w14:textId="2517BAB0" w:rsidR="00EF7301" w:rsidRPr="000973F2" w:rsidRDefault="00EF7301" w:rsidP="00083B9F">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18"/>
                <w:szCs w:val="18"/>
              </w:rPr>
            </w:pPr>
            <w:r w:rsidRPr="000973F2">
              <w:rPr>
                <w:rFonts w:ascii="Times New Roman" w:eastAsia="Times New Roman" w:hAnsi="Times New Roman" w:cs="Times New Roman"/>
                <w:b/>
                <w:bCs/>
                <w:sz w:val="18"/>
                <w:szCs w:val="18"/>
              </w:rPr>
              <w:t>$0</w:t>
            </w:r>
          </w:p>
        </w:tc>
        <w:tc>
          <w:tcPr>
            <w:tcW w:w="879" w:type="dxa"/>
            <w:noWrap/>
            <w:hideMark/>
          </w:tcPr>
          <w:p w14:paraId="6E1A4355" w14:textId="1A61BF0B" w:rsidR="00EF7301" w:rsidRPr="000973F2" w:rsidRDefault="00EF7301" w:rsidP="00083B9F">
            <w:pPr>
              <w:tabs>
                <w:tab w:val="decimal" w:pos="415"/>
              </w:tabs>
              <w:spacing w:before="40" w:after="4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18"/>
                <w:szCs w:val="18"/>
              </w:rPr>
            </w:pPr>
            <w:r w:rsidRPr="000973F2">
              <w:rPr>
                <w:rFonts w:ascii="Times New Roman" w:eastAsia="Times New Roman" w:hAnsi="Times New Roman" w:cs="Times New Roman"/>
                <w:b/>
                <w:bCs/>
                <w:sz w:val="18"/>
                <w:szCs w:val="18"/>
              </w:rPr>
              <w:t>$1,793</w:t>
            </w:r>
          </w:p>
        </w:tc>
      </w:tr>
    </w:tbl>
    <w:p w14:paraId="148B099F" w14:textId="77777777" w:rsidR="00EF7301" w:rsidRPr="000973F2" w:rsidRDefault="00EF7301" w:rsidP="00083B9F">
      <w:pPr>
        <w:pStyle w:val="AfterTable"/>
      </w:pPr>
    </w:p>
    <w:p w14:paraId="34FCE724" w14:textId="77777777" w:rsidR="00EF7301" w:rsidRPr="000973F2" w:rsidRDefault="00EF7301" w:rsidP="00083B9F">
      <w:pPr>
        <w:pStyle w:val="Heading2"/>
      </w:pPr>
      <w:r w:rsidRPr="000973F2">
        <w:t>Capital and O&amp;M Costs for Subpart E -Annual Performance Test Option</w:t>
      </w:r>
    </w:p>
    <w:p w14:paraId="653C0EE7" w14:textId="01C839AF" w:rsidR="00EF7301" w:rsidRPr="000973F2" w:rsidRDefault="00EF7301" w:rsidP="00083B9F">
      <w:pPr>
        <w:pStyle w:val="BodyText"/>
      </w:pPr>
      <w:bookmarkStart w:id="13" w:name="_Hlk521075801"/>
      <w:r w:rsidRPr="000973F2">
        <w:t xml:space="preserve">Table </w:t>
      </w:r>
      <w:r w:rsidR="00083B9F" w:rsidRPr="000973F2">
        <w:t>E-</w:t>
      </w:r>
      <w:r w:rsidRPr="000973F2">
        <w:t>2a below includes the capital and O&amp;M costs for the annual performance test option. Typical costs related to recordkeeping are discussed in the Cost Appendix Introduction.</w:t>
      </w:r>
    </w:p>
    <w:bookmarkEnd w:id="13"/>
    <w:p w14:paraId="4C14ACAA" w14:textId="77777777" w:rsidR="00EF7301" w:rsidRPr="000973F2" w:rsidRDefault="00EF7301" w:rsidP="00083B9F">
      <w:pPr>
        <w:pStyle w:val="BodyText"/>
        <w:rPr>
          <w:b/>
          <w:bCs/>
        </w:rPr>
      </w:pPr>
      <w:r w:rsidRPr="000973F2">
        <w:t xml:space="preserve">$5,437 will be incurred per year for performance testing. The cost estimate is based on a comment letter from Dow Chemical Company, dated June 9, 2009. Comment letter EPA-HQ-OAR-2008-0508-0533 stated that for Subpart V, nitric acid production, the “cost to perform the tests would be $5,000 per test" (page 21 of 37). The test methods used in Subpart E, adipic acid production, are identical to the test methods used in Subpart V, nitric acid production. Therefore, the costs suggested for Subpart V have also been applied to Subpart E. The costs from 2009 have been scaled up to 2017 dollars. </w:t>
      </w:r>
    </w:p>
    <w:p w14:paraId="5030D7C3" w14:textId="46A2F146" w:rsidR="00EF7301" w:rsidRPr="000973F2" w:rsidRDefault="00F05337" w:rsidP="00083B9F">
      <w:pPr>
        <w:pStyle w:val="Tabletitle"/>
      </w:pPr>
      <w:r w:rsidRPr="000973F2">
        <w:t xml:space="preserve">Table </w:t>
      </w:r>
      <w:r w:rsidR="00083B9F" w:rsidRPr="000973F2">
        <w:t>E-</w:t>
      </w:r>
      <w:r w:rsidRPr="000973F2">
        <w:t xml:space="preserve">2a. Capital and O&amp;M Costs </w:t>
      </w:r>
      <w:r w:rsidR="00B960CC" w:rsidRPr="000973F2">
        <w:t>–</w:t>
      </w:r>
      <w:r w:rsidRPr="000973F2">
        <w:t xml:space="preserve"> </w:t>
      </w:r>
      <w:r w:rsidR="00EF7301" w:rsidRPr="000973F2">
        <w:t>Subpart E - Annual Performance Test Option</w:t>
      </w:r>
    </w:p>
    <w:tbl>
      <w:tblPr>
        <w:tblStyle w:val="PlainTable1"/>
        <w:tblW w:w="5000" w:type="pct"/>
        <w:jc w:val="left"/>
        <w:tblLayout w:type="fixed"/>
        <w:tblCellMar>
          <w:left w:w="115" w:type="dxa"/>
          <w:right w:w="115" w:type="dxa"/>
        </w:tblCellMar>
        <w:tblLook w:val="04A0" w:firstRow="1" w:lastRow="0" w:firstColumn="1" w:lastColumn="0" w:noHBand="0" w:noVBand="1"/>
      </w:tblPr>
      <w:tblGrid>
        <w:gridCol w:w="1370"/>
        <w:gridCol w:w="1550"/>
        <w:gridCol w:w="1550"/>
        <w:gridCol w:w="1550"/>
        <w:gridCol w:w="1551"/>
        <w:gridCol w:w="1009"/>
        <w:gridCol w:w="1010"/>
      </w:tblGrid>
      <w:tr w:rsidR="007548EE" w:rsidRPr="000973F2" w14:paraId="1615D23C" w14:textId="77777777" w:rsidTr="00ED4BCB">
        <w:trPr>
          <w:cnfStyle w:val="100000000000" w:firstRow="1" w:lastRow="0" w:firstColumn="0" w:lastColumn="0" w:oddVBand="0" w:evenVBand="0" w:oddHBand="0" w:evenHBand="0" w:firstRowFirstColumn="0" w:firstRowLastColumn="0" w:lastRowFirstColumn="0" w:lastRowLastColumn="0"/>
          <w:cantSplit/>
          <w:jc w:val="left"/>
        </w:trPr>
        <w:tc>
          <w:tcPr>
            <w:cnfStyle w:val="001000000000" w:firstRow="0" w:lastRow="0" w:firstColumn="1" w:lastColumn="0" w:oddVBand="0" w:evenVBand="0" w:oddHBand="0" w:evenHBand="0" w:firstRowFirstColumn="0" w:firstRowLastColumn="0" w:lastRowFirstColumn="0" w:lastRowLastColumn="0"/>
            <w:tcW w:w="1332" w:type="dxa"/>
            <w:vMerge w:val="restart"/>
            <w:noWrap/>
            <w:vAlign w:val="top"/>
            <w:hideMark/>
          </w:tcPr>
          <w:p w14:paraId="7CD24427" w14:textId="0D451A0C" w:rsidR="007548EE" w:rsidRPr="000973F2" w:rsidRDefault="007548EE" w:rsidP="00ED4BCB">
            <w:pPr>
              <w:spacing w:before="40" w:after="40"/>
              <w:rPr>
                <w:rFonts w:ascii="Times New Roman" w:eastAsia="Times New Roman" w:hAnsi="Times New Roman" w:cs="Times New Roman"/>
                <w:b w:val="0"/>
                <w:bCs w:val="0"/>
                <w:sz w:val="18"/>
                <w:szCs w:val="18"/>
              </w:rPr>
            </w:pPr>
            <w:r w:rsidRPr="000973F2">
              <w:rPr>
                <w:rFonts w:ascii="Times New Roman" w:eastAsia="Times New Roman" w:hAnsi="Times New Roman" w:cs="Times New Roman"/>
                <w:sz w:val="18"/>
                <w:szCs w:val="18"/>
              </w:rPr>
              <w:t>Activity</w:t>
            </w:r>
          </w:p>
        </w:tc>
        <w:tc>
          <w:tcPr>
            <w:tcW w:w="6033" w:type="dxa"/>
            <w:gridSpan w:val="4"/>
            <w:noWrap/>
            <w:vAlign w:val="top"/>
            <w:hideMark/>
          </w:tcPr>
          <w:p w14:paraId="298D9716" w14:textId="77777777" w:rsidR="007548EE" w:rsidRPr="000973F2" w:rsidRDefault="007548EE" w:rsidP="00ED4BCB">
            <w:pPr>
              <w:spacing w:before="40" w:after="40"/>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bCs w:val="0"/>
                <w:sz w:val="18"/>
                <w:szCs w:val="18"/>
              </w:rPr>
            </w:pPr>
            <w:r w:rsidRPr="000973F2">
              <w:rPr>
                <w:rFonts w:ascii="Times New Roman" w:eastAsia="Times New Roman" w:hAnsi="Times New Roman" w:cs="Times New Roman"/>
                <w:sz w:val="18"/>
                <w:szCs w:val="18"/>
              </w:rPr>
              <w:t>Cost Categories</w:t>
            </w:r>
          </w:p>
        </w:tc>
        <w:tc>
          <w:tcPr>
            <w:tcW w:w="1965" w:type="dxa"/>
            <w:gridSpan w:val="2"/>
            <w:vAlign w:val="top"/>
            <w:hideMark/>
          </w:tcPr>
          <w:p w14:paraId="25D5CC92" w14:textId="2CDAAD26" w:rsidR="007548EE" w:rsidRPr="000973F2" w:rsidRDefault="007548EE" w:rsidP="00ED4BCB">
            <w:pPr>
              <w:spacing w:before="40" w:after="40"/>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bCs w:val="0"/>
                <w:sz w:val="18"/>
                <w:szCs w:val="18"/>
              </w:rPr>
            </w:pPr>
            <w:r w:rsidRPr="000973F2">
              <w:rPr>
                <w:rFonts w:ascii="Times New Roman" w:eastAsia="Times New Roman" w:hAnsi="Times New Roman" w:cs="Times New Roman"/>
                <w:sz w:val="18"/>
                <w:szCs w:val="18"/>
              </w:rPr>
              <w:t>Total Capital and O&amp;M Cost per Year per Facility (2017$)</w:t>
            </w:r>
          </w:p>
        </w:tc>
      </w:tr>
      <w:tr w:rsidR="00ED4BCB" w:rsidRPr="000973F2" w14:paraId="4BD0F855" w14:textId="77777777" w:rsidTr="00ED4BCB">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1332" w:type="dxa"/>
            <w:vMerge/>
            <w:noWrap/>
            <w:hideMark/>
          </w:tcPr>
          <w:p w14:paraId="5E2F0F6D" w14:textId="16365E4C" w:rsidR="007548EE" w:rsidRPr="000973F2" w:rsidRDefault="007548EE" w:rsidP="00ED4BCB">
            <w:pPr>
              <w:spacing w:before="40" w:after="40"/>
              <w:jc w:val="center"/>
              <w:rPr>
                <w:rFonts w:ascii="Times New Roman" w:eastAsia="Times New Roman" w:hAnsi="Times New Roman" w:cs="Times New Roman"/>
                <w:b/>
                <w:bCs w:val="0"/>
                <w:sz w:val="18"/>
                <w:szCs w:val="18"/>
              </w:rPr>
            </w:pPr>
          </w:p>
        </w:tc>
        <w:tc>
          <w:tcPr>
            <w:tcW w:w="1508" w:type="dxa"/>
            <w:hideMark/>
          </w:tcPr>
          <w:p w14:paraId="4E6FBB50" w14:textId="77777777" w:rsidR="007548EE" w:rsidRPr="000973F2" w:rsidRDefault="007548EE" w:rsidP="00ED4BCB">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18"/>
                <w:szCs w:val="18"/>
              </w:rPr>
            </w:pPr>
            <w:r w:rsidRPr="000973F2">
              <w:rPr>
                <w:rFonts w:ascii="Times New Roman" w:eastAsia="Times New Roman" w:hAnsi="Times New Roman" w:cs="Times New Roman"/>
                <w:b/>
                <w:bCs/>
                <w:sz w:val="18"/>
                <w:szCs w:val="18"/>
              </w:rPr>
              <w:t>Capital Cost (2017$)</w:t>
            </w:r>
          </w:p>
        </w:tc>
        <w:tc>
          <w:tcPr>
            <w:tcW w:w="1508" w:type="dxa"/>
            <w:hideMark/>
          </w:tcPr>
          <w:p w14:paraId="2F71C96D" w14:textId="77777777" w:rsidR="007548EE" w:rsidRPr="000973F2" w:rsidRDefault="007548EE" w:rsidP="00ED4BCB">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18"/>
                <w:szCs w:val="18"/>
              </w:rPr>
            </w:pPr>
            <w:r w:rsidRPr="000973F2">
              <w:rPr>
                <w:rFonts w:ascii="Times New Roman" w:eastAsia="Times New Roman" w:hAnsi="Times New Roman" w:cs="Times New Roman"/>
                <w:b/>
                <w:bCs/>
                <w:sz w:val="18"/>
                <w:szCs w:val="18"/>
              </w:rPr>
              <w:t>Equipment Lifetime</w:t>
            </w:r>
          </w:p>
        </w:tc>
        <w:tc>
          <w:tcPr>
            <w:tcW w:w="1508" w:type="dxa"/>
            <w:hideMark/>
          </w:tcPr>
          <w:p w14:paraId="3B491A83" w14:textId="77777777" w:rsidR="007548EE" w:rsidRPr="000973F2" w:rsidRDefault="007548EE" w:rsidP="00ED4BCB">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18"/>
                <w:szCs w:val="18"/>
              </w:rPr>
            </w:pPr>
            <w:r w:rsidRPr="000973F2">
              <w:rPr>
                <w:rFonts w:ascii="Times New Roman" w:eastAsia="Times New Roman" w:hAnsi="Times New Roman" w:cs="Times New Roman"/>
                <w:b/>
                <w:bCs/>
                <w:sz w:val="18"/>
                <w:szCs w:val="18"/>
              </w:rPr>
              <w:t>Annualized Capital Cost (2017$/year)</w:t>
            </w:r>
          </w:p>
        </w:tc>
        <w:tc>
          <w:tcPr>
            <w:tcW w:w="1509" w:type="dxa"/>
            <w:hideMark/>
          </w:tcPr>
          <w:p w14:paraId="7E8AEB1A" w14:textId="77777777" w:rsidR="007548EE" w:rsidRPr="000973F2" w:rsidRDefault="007548EE" w:rsidP="00ED4BCB">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18"/>
                <w:szCs w:val="18"/>
              </w:rPr>
            </w:pPr>
            <w:r w:rsidRPr="000973F2">
              <w:rPr>
                <w:rFonts w:ascii="Times New Roman" w:eastAsia="Times New Roman" w:hAnsi="Times New Roman" w:cs="Times New Roman"/>
                <w:b/>
                <w:bCs/>
                <w:sz w:val="18"/>
                <w:szCs w:val="18"/>
              </w:rPr>
              <w:t>O&amp;M Costs (2017$/year)</w:t>
            </w:r>
          </w:p>
        </w:tc>
        <w:tc>
          <w:tcPr>
            <w:tcW w:w="982" w:type="dxa"/>
            <w:hideMark/>
          </w:tcPr>
          <w:p w14:paraId="326A4AA5" w14:textId="77777777" w:rsidR="007548EE" w:rsidRPr="000973F2" w:rsidRDefault="007548EE" w:rsidP="00ED4BCB">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18"/>
                <w:szCs w:val="18"/>
              </w:rPr>
            </w:pPr>
            <w:r w:rsidRPr="000973F2">
              <w:rPr>
                <w:rFonts w:ascii="Times New Roman" w:eastAsia="Times New Roman" w:hAnsi="Times New Roman" w:cs="Times New Roman"/>
                <w:b/>
                <w:bCs/>
                <w:sz w:val="18"/>
                <w:szCs w:val="18"/>
              </w:rPr>
              <w:t>Initial Year</w:t>
            </w:r>
          </w:p>
        </w:tc>
        <w:tc>
          <w:tcPr>
            <w:tcW w:w="983" w:type="dxa"/>
            <w:hideMark/>
          </w:tcPr>
          <w:p w14:paraId="32BE5BB5" w14:textId="77777777" w:rsidR="007548EE" w:rsidRPr="000973F2" w:rsidRDefault="007548EE" w:rsidP="00ED4BCB">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18"/>
                <w:szCs w:val="18"/>
              </w:rPr>
            </w:pPr>
            <w:r w:rsidRPr="000973F2">
              <w:rPr>
                <w:rFonts w:ascii="Times New Roman" w:eastAsia="Times New Roman" w:hAnsi="Times New Roman" w:cs="Times New Roman"/>
                <w:b/>
                <w:bCs/>
                <w:sz w:val="18"/>
                <w:szCs w:val="18"/>
              </w:rPr>
              <w:t>Subseq. Years</w:t>
            </w:r>
          </w:p>
        </w:tc>
      </w:tr>
      <w:tr w:rsidR="00034890" w:rsidRPr="000973F2" w14:paraId="39DAA1E4" w14:textId="77777777" w:rsidTr="00ED4BCB">
        <w:trPr>
          <w:cantSplit/>
        </w:trPr>
        <w:tc>
          <w:tcPr>
            <w:cnfStyle w:val="001000000000" w:firstRow="0" w:lastRow="0" w:firstColumn="1" w:lastColumn="0" w:oddVBand="0" w:evenVBand="0" w:oddHBand="0" w:evenHBand="0" w:firstRowFirstColumn="0" w:firstRowLastColumn="0" w:lastRowFirstColumn="0" w:lastRowLastColumn="0"/>
            <w:tcW w:w="1332" w:type="dxa"/>
            <w:hideMark/>
          </w:tcPr>
          <w:p w14:paraId="2AD3BCF5" w14:textId="77777777" w:rsidR="00034890" w:rsidRPr="000973F2" w:rsidRDefault="00034890" w:rsidP="00034890">
            <w:pPr>
              <w:spacing w:before="40" w:after="4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Equipment (selection, purchase, installation)</w:t>
            </w:r>
          </w:p>
        </w:tc>
        <w:tc>
          <w:tcPr>
            <w:tcW w:w="1508" w:type="dxa"/>
            <w:noWrap/>
            <w:hideMark/>
          </w:tcPr>
          <w:p w14:paraId="1804C1F2" w14:textId="0B2E7FE5" w:rsidR="00034890" w:rsidRPr="000973F2" w:rsidRDefault="00034890" w:rsidP="00034890">
            <w:pPr>
              <w:spacing w:before="40" w:after="4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w:t>
            </w:r>
          </w:p>
        </w:tc>
        <w:tc>
          <w:tcPr>
            <w:tcW w:w="1508" w:type="dxa"/>
            <w:noWrap/>
          </w:tcPr>
          <w:p w14:paraId="09912A92" w14:textId="752ABB8C" w:rsidR="00034890" w:rsidRPr="000973F2" w:rsidRDefault="00034890" w:rsidP="00034890">
            <w:pPr>
              <w:spacing w:before="40" w:after="4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p>
        </w:tc>
        <w:tc>
          <w:tcPr>
            <w:tcW w:w="1508" w:type="dxa"/>
            <w:noWrap/>
            <w:hideMark/>
          </w:tcPr>
          <w:p w14:paraId="211AEBB9" w14:textId="0277DCC2" w:rsidR="00034890" w:rsidRPr="000973F2" w:rsidRDefault="00034890" w:rsidP="00034890">
            <w:pPr>
              <w:spacing w:before="40" w:after="4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w:t>
            </w:r>
          </w:p>
        </w:tc>
        <w:tc>
          <w:tcPr>
            <w:tcW w:w="1509" w:type="dxa"/>
            <w:noWrap/>
            <w:hideMark/>
          </w:tcPr>
          <w:p w14:paraId="20D1D307" w14:textId="4031B7A6" w:rsidR="00034890" w:rsidRPr="000973F2" w:rsidRDefault="00034890" w:rsidP="00034890">
            <w:pPr>
              <w:tabs>
                <w:tab w:val="decimal" w:pos="741"/>
              </w:tabs>
              <w:spacing w:before="40" w:after="4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w:t>
            </w:r>
          </w:p>
        </w:tc>
        <w:tc>
          <w:tcPr>
            <w:tcW w:w="982" w:type="dxa"/>
            <w:noWrap/>
            <w:hideMark/>
          </w:tcPr>
          <w:p w14:paraId="2C997D93" w14:textId="351F22C5" w:rsidR="00034890" w:rsidRPr="000973F2" w:rsidRDefault="00034890" w:rsidP="00034890">
            <w:pPr>
              <w:spacing w:before="40" w:after="4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w:t>
            </w:r>
          </w:p>
        </w:tc>
        <w:tc>
          <w:tcPr>
            <w:tcW w:w="983" w:type="dxa"/>
            <w:noWrap/>
            <w:hideMark/>
          </w:tcPr>
          <w:p w14:paraId="17733590" w14:textId="5251E606" w:rsidR="00034890" w:rsidRPr="000973F2" w:rsidRDefault="00034890" w:rsidP="00034890">
            <w:pPr>
              <w:tabs>
                <w:tab w:val="decimal" w:pos="784"/>
              </w:tabs>
              <w:spacing w:before="40" w:after="4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w:t>
            </w:r>
          </w:p>
        </w:tc>
      </w:tr>
      <w:tr w:rsidR="00ED4BCB" w:rsidRPr="000973F2" w14:paraId="19AFF1D0" w14:textId="77777777" w:rsidTr="00ED4BCB">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1332" w:type="dxa"/>
            <w:hideMark/>
          </w:tcPr>
          <w:p w14:paraId="138173BC" w14:textId="77777777" w:rsidR="00EF7301" w:rsidRPr="000973F2" w:rsidRDefault="00EF7301" w:rsidP="00ED4BCB">
            <w:pPr>
              <w:spacing w:before="40" w:after="4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Performance testing</w:t>
            </w:r>
          </w:p>
        </w:tc>
        <w:tc>
          <w:tcPr>
            <w:tcW w:w="1508" w:type="dxa"/>
            <w:noWrap/>
            <w:hideMark/>
          </w:tcPr>
          <w:p w14:paraId="6841A6D8" w14:textId="77777777" w:rsidR="00EF7301" w:rsidRPr="000973F2" w:rsidRDefault="00EF7301" w:rsidP="00ED4BCB">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$0</w:t>
            </w:r>
          </w:p>
        </w:tc>
        <w:tc>
          <w:tcPr>
            <w:tcW w:w="1508" w:type="dxa"/>
            <w:noWrap/>
          </w:tcPr>
          <w:p w14:paraId="39AAAB79" w14:textId="0D3D39BE" w:rsidR="00EF7301" w:rsidRPr="000973F2" w:rsidRDefault="00EF7301" w:rsidP="00ED4BCB">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p>
        </w:tc>
        <w:tc>
          <w:tcPr>
            <w:tcW w:w="1508" w:type="dxa"/>
            <w:noWrap/>
            <w:hideMark/>
          </w:tcPr>
          <w:p w14:paraId="63811639" w14:textId="77777777" w:rsidR="00EF7301" w:rsidRPr="000973F2" w:rsidRDefault="00EF7301" w:rsidP="00ED4BCB">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$0</w:t>
            </w:r>
          </w:p>
        </w:tc>
        <w:tc>
          <w:tcPr>
            <w:tcW w:w="1509" w:type="dxa"/>
            <w:noWrap/>
            <w:hideMark/>
          </w:tcPr>
          <w:p w14:paraId="6A3E7DAB" w14:textId="77777777" w:rsidR="00EF7301" w:rsidRPr="000973F2" w:rsidRDefault="00EF7301" w:rsidP="00ED4BCB">
            <w:pPr>
              <w:tabs>
                <w:tab w:val="decimal" w:pos="741"/>
              </w:tabs>
              <w:spacing w:before="40" w:after="4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$5,437</w:t>
            </w:r>
          </w:p>
        </w:tc>
        <w:tc>
          <w:tcPr>
            <w:tcW w:w="982" w:type="dxa"/>
            <w:noWrap/>
            <w:hideMark/>
          </w:tcPr>
          <w:p w14:paraId="7A67F7B6" w14:textId="77777777" w:rsidR="00EF7301" w:rsidRPr="000973F2" w:rsidRDefault="00EF7301" w:rsidP="00ED4BCB">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$0</w:t>
            </w:r>
          </w:p>
        </w:tc>
        <w:tc>
          <w:tcPr>
            <w:tcW w:w="983" w:type="dxa"/>
            <w:noWrap/>
            <w:hideMark/>
          </w:tcPr>
          <w:p w14:paraId="01970538" w14:textId="77777777" w:rsidR="00EF7301" w:rsidRPr="000973F2" w:rsidRDefault="00EF7301" w:rsidP="00ED4BCB">
            <w:pPr>
              <w:tabs>
                <w:tab w:val="decimal" w:pos="784"/>
              </w:tabs>
              <w:spacing w:before="40" w:after="4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$5,437</w:t>
            </w:r>
          </w:p>
        </w:tc>
      </w:tr>
      <w:tr w:rsidR="00EF7301" w:rsidRPr="000973F2" w14:paraId="164BE443" w14:textId="77777777" w:rsidTr="00ED4BCB">
        <w:trPr>
          <w:cantSplit/>
        </w:trPr>
        <w:tc>
          <w:tcPr>
            <w:cnfStyle w:val="001000000000" w:firstRow="0" w:lastRow="0" w:firstColumn="1" w:lastColumn="0" w:oddVBand="0" w:evenVBand="0" w:oddHBand="0" w:evenHBand="0" w:firstRowFirstColumn="0" w:firstRowLastColumn="0" w:lastRowFirstColumn="0" w:lastRowLastColumn="0"/>
            <w:tcW w:w="1332" w:type="dxa"/>
            <w:hideMark/>
          </w:tcPr>
          <w:p w14:paraId="0DDC8272" w14:textId="77777777" w:rsidR="00EF7301" w:rsidRPr="000973F2" w:rsidRDefault="00EF7301" w:rsidP="00ED4BCB">
            <w:pPr>
              <w:spacing w:before="40" w:after="4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Recordkeeping</w:t>
            </w:r>
          </w:p>
        </w:tc>
        <w:tc>
          <w:tcPr>
            <w:tcW w:w="1508" w:type="dxa"/>
            <w:noWrap/>
            <w:hideMark/>
          </w:tcPr>
          <w:p w14:paraId="5F851223" w14:textId="77777777" w:rsidR="00EF7301" w:rsidRPr="000973F2" w:rsidRDefault="00EF7301" w:rsidP="00ED4BCB">
            <w:pPr>
              <w:spacing w:before="40" w:after="4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$0</w:t>
            </w:r>
          </w:p>
        </w:tc>
        <w:tc>
          <w:tcPr>
            <w:tcW w:w="1508" w:type="dxa"/>
            <w:noWrap/>
          </w:tcPr>
          <w:p w14:paraId="0F15AC2F" w14:textId="00DCF5CF" w:rsidR="00EF7301" w:rsidRPr="000973F2" w:rsidRDefault="00EF7301" w:rsidP="00ED4BCB">
            <w:pPr>
              <w:spacing w:before="40" w:after="4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p>
        </w:tc>
        <w:tc>
          <w:tcPr>
            <w:tcW w:w="1508" w:type="dxa"/>
            <w:noWrap/>
            <w:hideMark/>
          </w:tcPr>
          <w:p w14:paraId="4D7B529A" w14:textId="77777777" w:rsidR="00EF7301" w:rsidRPr="000973F2" w:rsidRDefault="00EF7301" w:rsidP="00ED4BCB">
            <w:pPr>
              <w:spacing w:before="40" w:after="4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$0</w:t>
            </w:r>
          </w:p>
        </w:tc>
        <w:tc>
          <w:tcPr>
            <w:tcW w:w="1509" w:type="dxa"/>
            <w:noWrap/>
            <w:hideMark/>
          </w:tcPr>
          <w:p w14:paraId="0F1CBB62" w14:textId="77777777" w:rsidR="00EF7301" w:rsidRPr="000973F2" w:rsidRDefault="00EF7301" w:rsidP="00ED4BCB">
            <w:pPr>
              <w:tabs>
                <w:tab w:val="decimal" w:pos="741"/>
              </w:tabs>
              <w:spacing w:before="40" w:after="4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$50</w:t>
            </w:r>
          </w:p>
        </w:tc>
        <w:tc>
          <w:tcPr>
            <w:tcW w:w="982" w:type="dxa"/>
            <w:noWrap/>
            <w:hideMark/>
          </w:tcPr>
          <w:p w14:paraId="5C4D657B" w14:textId="77777777" w:rsidR="00EF7301" w:rsidRPr="000973F2" w:rsidRDefault="00EF7301" w:rsidP="00ED4BCB">
            <w:pPr>
              <w:spacing w:before="40" w:after="4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$0</w:t>
            </w:r>
          </w:p>
        </w:tc>
        <w:tc>
          <w:tcPr>
            <w:tcW w:w="983" w:type="dxa"/>
            <w:noWrap/>
            <w:hideMark/>
          </w:tcPr>
          <w:p w14:paraId="203B1972" w14:textId="77777777" w:rsidR="00EF7301" w:rsidRPr="000973F2" w:rsidRDefault="00EF7301" w:rsidP="00ED4BCB">
            <w:pPr>
              <w:tabs>
                <w:tab w:val="decimal" w:pos="784"/>
              </w:tabs>
              <w:spacing w:before="40" w:after="4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$50</w:t>
            </w:r>
          </w:p>
        </w:tc>
      </w:tr>
      <w:tr w:rsidR="00034890" w:rsidRPr="000973F2" w14:paraId="65835ACF" w14:textId="77777777" w:rsidTr="00ED4BCB">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1332" w:type="dxa"/>
            <w:hideMark/>
          </w:tcPr>
          <w:p w14:paraId="78809A81" w14:textId="77777777" w:rsidR="00034890" w:rsidRPr="000973F2" w:rsidRDefault="00034890" w:rsidP="00034890">
            <w:pPr>
              <w:spacing w:before="40" w:after="4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Travel</w:t>
            </w:r>
          </w:p>
        </w:tc>
        <w:tc>
          <w:tcPr>
            <w:tcW w:w="1508" w:type="dxa"/>
            <w:noWrap/>
            <w:hideMark/>
          </w:tcPr>
          <w:p w14:paraId="78B44198" w14:textId="50977EA0" w:rsidR="00034890" w:rsidRPr="000973F2" w:rsidRDefault="00034890" w:rsidP="00034890">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w:t>
            </w:r>
          </w:p>
        </w:tc>
        <w:tc>
          <w:tcPr>
            <w:tcW w:w="1508" w:type="dxa"/>
            <w:noWrap/>
          </w:tcPr>
          <w:p w14:paraId="36455270" w14:textId="0369CF04" w:rsidR="00034890" w:rsidRPr="000973F2" w:rsidRDefault="00034890" w:rsidP="00034890">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p>
        </w:tc>
        <w:tc>
          <w:tcPr>
            <w:tcW w:w="1508" w:type="dxa"/>
            <w:noWrap/>
            <w:hideMark/>
          </w:tcPr>
          <w:p w14:paraId="1C787406" w14:textId="2D31FEEC" w:rsidR="00034890" w:rsidRPr="000973F2" w:rsidRDefault="00034890" w:rsidP="00034890">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w:t>
            </w:r>
          </w:p>
        </w:tc>
        <w:tc>
          <w:tcPr>
            <w:tcW w:w="1509" w:type="dxa"/>
            <w:noWrap/>
            <w:hideMark/>
          </w:tcPr>
          <w:p w14:paraId="5407BBC8" w14:textId="08EDD538" w:rsidR="00034890" w:rsidRPr="000973F2" w:rsidRDefault="00034890" w:rsidP="00034890">
            <w:pPr>
              <w:tabs>
                <w:tab w:val="decimal" w:pos="741"/>
              </w:tabs>
              <w:spacing w:before="40" w:after="4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w:t>
            </w:r>
          </w:p>
        </w:tc>
        <w:tc>
          <w:tcPr>
            <w:tcW w:w="982" w:type="dxa"/>
            <w:noWrap/>
            <w:hideMark/>
          </w:tcPr>
          <w:p w14:paraId="47BBCAF0" w14:textId="5F0864A8" w:rsidR="00034890" w:rsidRPr="000973F2" w:rsidRDefault="00034890" w:rsidP="00034890">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w:t>
            </w:r>
          </w:p>
        </w:tc>
        <w:tc>
          <w:tcPr>
            <w:tcW w:w="983" w:type="dxa"/>
            <w:noWrap/>
            <w:hideMark/>
          </w:tcPr>
          <w:p w14:paraId="0A652684" w14:textId="0AE210F1" w:rsidR="00034890" w:rsidRPr="000973F2" w:rsidRDefault="00034890" w:rsidP="00034890">
            <w:pPr>
              <w:tabs>
                <w:tab w:val="decimal" w:pos="784"/>
              </w:tabs>
              <w:spacing w:before="40" w:after="4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w:t>
            </w:r>
          </w:p>
        </w:tc>
      </w:tr>
      <w:tr w:rsidR="00034890" w:rsidRPr="000973F2" w14:paraId="4165469B" w14:textId="77777777" w:rsidTr="00ED4BCB">
        <w:trPr>
          <w:cantSplit/>
        </w:trPr>
        <w:tc>
          <w:tcPr>
            <w:cnfStyle w:val="001000000000" w:firstRow="0" w:lastRow="0" w:firstColumn="1" w:lastColumn="0" w:oddVBand="0" w:evenVBand="0" w:oddHBand="0" w:evenHBand="0" w:firstRowFirstColumn="0" w:firstRowLastColumn="0" w:lastRowFirstColumn="0" w:lastRowLastColumn="0"/>
            <w:tcW w:w="1332" w:type="dxa"/>
            <w:hideMark/>
          </w:tcPr>
          <w:p w14:paraId="7B3FB4A0" w14:textId="6E40D18D" w:rsidR="00034890" w:rsidRPr="000973F2" w:rsidRDefault="00034890" w:rsidP="00034890">
            <w:pPr>
              <w:spacing w:before="40" w:after="4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Sampling and Analysis Costs</w:t>
            </w:r>
          </w:p>
        </w:tc>
        <w:tc>
          <w:tcPr>
            <w:tcW w:w="1508" w:type="dxa"/>
            <w:noWrap/>
            <w:hideMark/>
          </w:tcPr>
          <w:p w14:paraId="560160E0" w14:textId="1162540B" w:rsidR="00034890" w:rsidRPr="000973F2" w:rsidRDefault="00034890" w:rsidP="00034890">
            <w:pPr>
              <w:spacing w:before="40" w:after="4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w:t>
            </w:r>
          </w:p>
        </w:tc>
        <w:tc>
          <w:tcPr>
            <w:tcW w:w="1508" w:type="dxa"/>
            <w:noWrap/>
          </w:tcPr>
          <w:p w14:paraId="0DEE49DE" w14:textId="0D378853" w:rsidR="00034890" w:rsidRPr="000973F2" w:rsidRDefault="00034890" w:rsidP="00034890">
            <w:pPr>
              <w:spacing w:before="40" w:after="4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p>
        </w:tc>
        <w:tc>
          <w:tcPr>
            <w:tcW w:w="1508" w:type="dxa"/>
            <w:noWrap/>
            <w:hideMark/>
          </w:tcPr>
          <w:p w14:paraId="099490FC" w14:textId="169BE935" w:rsidR="00034890" w:rsidRPr="000973F2" w:rsidRDefault="00034890" w:rsidP="00034890">
            <w:pPr>
              <w:spacing w:before="40" w:after="4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w:t>
            </w:r>
          </w:p>
        </w:tc>
        <w:tc>
          <w:tcPr>
            <w:tcW w:w="1509" w:type="dxa"/>
            <w:noWrap/>
            <w:hideMark/>
          </w:tcPr>
          <w:p w14:paraId="238AC407" w14:textId="34751C59" w:rsidR="00034890" w:rsidRPr="000973F2" w:rsidRDefault="00034890" w:rsidP="00034890">
            <w:pPr>
              <w:tabs>
                <w:tab w:val="decimal" w:pos="741"/>
              </w:tabs>
              <w:spacing w:before="40" w:after="4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w:t>
            </w:r>
          </w:p>
        </w:tc>
        <w:tc>
          <w:tcPr>
            <w:tcW w:w="982" w:type="dxa"/>
            <w:noWrap/>
            <w:hideMark/>
          </w:tcPr>
          <w:p w14:paraId="1D8F0807" w14:textId="1DBC4898" w:rsidR="00034890" w:rsidRPr="000973F2" w:rsidRDefault="00034890" w:rsidP="00034890">
            <w:pPr>
              <w:spacing w:before="40" w:after="4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w:t>
            </w:r>
          </w:p>
        </w:tc>
        <w:tc>
          <w:tcPr>
            <w:tcW w:w="983" w:type="dxa"/>
            <w:noWrap/>
            <w:hideMark/>
          </w:tcPr>
          <w:p w14:paraId="1333B2F6" w14:textId="501FF5EF" w:rsidR="00034890" w:rsidRPr="000973F2" w:rsidRDefault="00034890" w:rsidP="00034890">
            <w:pPr>
              <w:tabs>
                <w:tab w:val="decimal" w:pos="784"/>
              </w:tabs>
              <w:spacing w:before="40" w:after="4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w:t>
            </w:r>
          </w:p>
        </w:tc>
      </w:tr>
      <w:tr w:rsidR="00ED4BCB" w:rsidRPr="000973F2" w14:paraId="0671B459" w14:textId="77777777" w:rsidTr="00ED4BCB">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1332" w:type="dxa"/>
            <w:hideMark/>
          </w:tcPr>
          <w:p w14:paraId="65528DD6" w14:textId="77777777" w:rsidR="00EF7301" w:rsidRPr="000973F2" w:rsidRDefault="00EF7301" w:rsidP="00ED4BCB">
            <w:pPr>
              <w:spacing w:before="40" w:after="40"/>
              <w:rPr>
                <w:rFonts w:ascii="Times New Roman" w:eastAsia="Times New Roman" w:hAnsi="Times New Roman" w:cs="Times New Roman"/>
                <w:b/>
                <w:bCs w:val="0"/>
                <w:sz w:val="18"/>
                <w:szCs w:val="18"/>
              </w:rPr>
            </w:pPr>
            <w:r w:rsidRPr="000973F2">
              <w:rPr>
                <w:rFonts w:ascii="Times New Roman" w:eastAsia="Times New Roman" w:hAnsi="Times New Roman" w:cs="Times New Roman"/>
                <w:b/>
                <w:sz w:val="18"/>
                <w:szCs w:val="18"/>
              </w:rPr>
              <w:t>Total</w:t>
            </w:r>
          </w:p>
        </w:tc>
        <w:tc>
          <w:tcPr>
            <w:tcW w:w="1508" w:type="dxa"/>
            <w:noWrap/>
            <w:hideMark/>
          </w:tcPr>
          <w:p w14:paraId="2B18294E" w14:textId="77777777" w:rsidR="00EF7301" w:rsidRPr="000973F2" w:rsidRDefault="00EF7301" w:rsidP="00ED4BCB">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$0</w:t>
            </w:r>
          </w:p>
        </w:tc>
        <w:tc>
          <w:tcPr>
            <w:tcW w:w="1508" w:type="dxa"/>
            <w:noWrap/>
            <w:hideMark/>
          </w:tcPr>
          <w:p w14:paraId="58F551A7" w14:textId="6FFD919A" w:rsidR="00EF7301" w:rsidRPr="000973F2" w:rsidRDefault="00EF7301" w:rsidP="00ED4BCB">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p>
        </w:tc>
        <w:tc>
          <w:tcPr>
            <w:tcW w:w="1508" w:type="dxa"/>
            <w:noWrap/>
            <w:hideMark/>
          </w:tcPr>
          <w:p w14:paraId="564A55F9" w14:textId="77777777" w:rsidR="00EF7301" w:rsidRPr="000973F2" w:rsidRDefault="00EF7301" w:rsidP="00ED4BCB">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$0</w:t>
            </w:r>
          </w:p>
        </w:tc>
        <w:tc>
          <w:tcPr>
            <w:tcW w:w="1509" w:type="dxa"/>
            <w:noWrap/>
            <w:hideMark/>
          </w:tcPr>
          <w:p w14:paraId="7CD11748" w14:textId="77777777" w:rsidR="00EF7301" w:rsidRPr="000973F2" w:rsidRDefault="00EF7301" w:rsidP="00ED4BCB">
            <w:pPr>
              <w:tabs>
                <w:tab w:val="decimal" w:pos="741"/>
              </w:tabs>
              <w:spacing w:before="40" w:after="4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$5,487</w:t>
            </w:r>
          </w:p>
        </w:tc>
        <w:tc>
          <w:tcPr>
            <w:tcW w:w="982" w:type="dxa"/>
            <w:noWrap/>
            <w:hideMark/>
          </w:tcPr>
          <w:p w14:paraId="7C771F96" w14:textId="77777777" w:rsidR="00EF7301" w:rsidRPr="000973F2" w:rsidRDefault="00EF7301" w:rsidP="00ED4BCB">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$0</w:t>
            </w:r>
          </w:p>
        </w:tc>
        <w:tc>
          <w:tcPr>
            <w:tcW w:w="983" w:type="dxa"/>
            <w:noWrap/>
            <w:hideMark/>
          </w:tcPr>
          <w:p w14:paraId="0103B635" w14:textId="77777777" w:rsidR="00EF7301" w:rsidRPr="000973F2" w:rsidRDefault="00EF7301" w:rsidP="00ED4BCB">
            <w:pPr>
              <w:tabs>
                <w:tab w:val="decimal" w:pos="784"/>
              </w:tabs>
              <w:spacing w:before="40" w:after="4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$5,487</w:t>
            </w:r>
          </w:p>
        </w:tc>
      </w:tr>
    </w:tbl>
    <w:p w14:paraId="53206A70" w14:textId="77777777" w:rsidR="00EF7301" w:rsidRPr="000973F2" w:rsidRDefault="00EF7301" w:rsidP="00C00E4F">
      <w:pPr>
        <w:spacing w:line="240" w:lineRule="auto"/>
        <w:rPr>
          <w:rFonts w:ascii="Times New Roman" w:hAnsi="Times New Roman" w:cs="Times New Roman"/>
          <w:b/>
          <w:i/>
        </w:rPr>
      </w:pPr>
      <w:r w:rsidRPr="000973F2">
        <w:rPr>
          <w:rFonts w:ascii="Times New Roman" w:hAnsi="Times New Roman" w:cs="Times New Roman"/>
          <w:b/>
          <w:i/>
        </w:rPr>
        <w:br w:type="page"/>
      </w:r>
    </w:p>
    <w:p w14:paraId="1DA02131" w14:textId="77777777" w:rsidR="00EF7301" w:rsidRPr="000973F2" w:rsidRDefault="00EF7301" w:rsidP="009C4191">
      <w:pPr>
        <w:pStyle w:val="Heading2"/>
      </w:pPr>
      <w:r w:rsidRPr="000973F2">
        <w:t>Labor Costs for Subpart E - Alternative Monitoring Method Option</w:t>
      </w:r>
    </w:p>
    <w:p w14:paraId="23260881" w14:textId="27C41782" w:rsidR="00EF7301" w:rsidRPr="000973F2" w:rsidRDefault="00EF7301" w:rsidP="00ED4BCB">
      <w:pPr>
        <w:pStyle w:val="BodyText"/>
      </w:pPr>
      <w:r w:rsidRPr="000973F2">
        <w:t xml:space="preserve">Table </w:t>
      </w:r>
      <w:r w:rsidR="00ED4BCB" w:rsidRPr="000973F2">
        <w:t>E-</w:t>
      </w:r>
      <w:r w:rsidRPr="000973F2">
        <w:t>1b below includes the labor hours for the alternative monitoring method option. Typical activities related to planning, QA/QC, recordkeeping and reporting, and sampling and analysis (which includes emissions calculations) are discussed in the Cost Appendix Introduction. Recordkeeping and reporting hours for Subpart E are based on the “low bin” designation, as discussed in the Cost Appendix Introduction. For the alterative monitoring method option, the facility is expected to have QA/QC hours related to maintaining the equipment used to comply with the alternative monitoring method option in 98.53(b), along with review of all measurements and calculations used to determine emissions. Sampling and analysis costs include time to calculate the total N</w:t>
      </w:r>
      <w:r w:rsidRPr="000973F2">
        <w:rPr>
          <w:vertAlign w:val="subscript"/>
        </w:rPr>
        <w:t>2</w:t>
      </w:r>
      <w:r w:rsidRPr="000973F2">
        <w:t>O emissions using the alternative monitoring procedures already in place.</w:t>
      </w:r>
    </w:p>
    <w:p w14:paraId="5D99B54A" w14:textId="10F3FE2C" w:rsidR="00EF7301" w:rsidRPr="000973F2" w:rsidRDefault="00565CCC" w:rsidP="00E63D1D">
      <w:pPr>
        <w:pStyle w:val="Tabletitle"/>
      </w:pPr>
      <w:r w:rsidRPr="000973F2">
        <w:t xml:space="preserve">Table </w:t>
      </w:r>
      <w:r w:rsidR="00ED4BCB" w:rsidRPr="000973F2">
        <w:t>E-</w:t>
      </w:r>
      <w:r w:rsidRPr="000973F2">
        <w:t xml:space="preserve">1b. Labor Costs </w:t>
      </w:r>
      <w:r w:rsidR="00ED4BCB" w:rsidRPr="000973F2">
        <w:t>–</w:t>
      </w:r>
      <w:r w:rsidRPr="000973F2">
        <w:t xml:space="preserve"> </w:t>
      </w:r>
      <w:r w:rsidR="00EF7301" w:rsidRPr="000973F2">
        <w:t xml:space="preserve">Subpart E </w:t>
      </w:r>
      <w:r w:rsidR="00ED4BCB" w:rsidRPr="000973F2">
        <w:t>–</w:t>
      </w:r>
      <w:r w:rsidR="00EF7301" w:rsidRPr="000973F2">
        <w:t xml:space="preserve"> Alternative Monitoring Method Option</w:t>
      </w:r>
    </w:p>
    <w:tbl>
      <w:tblPr>
        <w:tblStyle w:val="PlainTable1"/>
        <w:tblW w:w="5000" w:type="pct"/>
        <w:jc w:val="left"/>
        <w:tblLayout w:type="fixed"/>
        <w:tblCellMar>
          <w:left w:w="115" w:type="dxa"/>
          <w:right w:w="115" w:type="dxa"/>
        </w:tblCellMar>
        <w:tblLook w:val="04A0" w:firstRow="1" w:lastRow="0" w:firstColumn="1" w:lastColumn="0" w:noHBand="0" w:noVBand="1"/>
      </w:tblPr>
      <w:tblGrid>
        <w:gridCol w:w="1400"/>
        <w:gridCol w:w="760"/>
        <w:gridCol w:w="881"/>
        <w:gridCol w:w="759"/>
        <w:gridCol w:w="881"/>
        <w:gridCol w:w="759"/>
        <w:gridCol w:w="881"/>
        <w:gridCol w:w="759"/>
        <w:gridCol w:w="881"/>
        <w:gridCol w:w="748"/>
        <w:gridCol w:w="881"/>
      </w:tblGrid>
      <w:tr w:rsidR="00EF7301" w:rsidRPr="000973F2" w14:paraId="38D89EC8" w14:textId="77777777" w:rsidTr="00E63D1D">
        <w:trPr>
          <w:cnfStyle w:val="100000000000" w:firstRow="1" w:lastRow="0" w:firstColumn="0" w:lastColumn="0" w:oddVBand="0" w:evenVBand="0" w:oddHBand="0" w:evenHBand="0" w:firstRowFirstColumn="0" w:firstRowLastColumn="0" w:lastRowFirstColumn="0" w:lastRowLastColumn="0"/>
          <w:cantSplit/>
          <w:jc w:val="left"/>
        </w:trPr>
        <w:tc>
          <w:tcPr>
            <w:cnfStyle w:val="001000000000" w:firstRow="0" w:lastRow="0" w:firstColumn="1" w:lastColumn="0" w:oddVBand="0" w:evenVBand="0" w:oddHBand="0" w:evenHBand="0" w:firstRowFirstColumn="0" w:firstRowLastColumn="0" w:lastRowFirstColumn="0" w:lastRowLastColumn="0"/>
            <w:tcW w:w="1318" w:type="dxa"/>
            <w:vMerge w:val="restart"/>
            <w:noWrap/>
            <w:vAlign w:val="top"/>
            <w:hideMark/>
          </w:tcPr>
          <w:p w14:paraId="6CCCCD98" w14:textId="77777777" w:rsidR="00EF7301" w:rsidRPr="000973F2" w:rsidRDefault="00EF7301" w:rsidP="00E63D1D">
            <w:pPr>
              <w:spacing w:before="40" w:after="40"/>
              <w:rPr>
                <w:rFonts w:ascii="Times New Roman" w:eastAsia="Times New Roman" w:hAnsi="Times New Roman" w:cs="Times New Roman"/>
                <w:b w:val="0"/>
                <w:bCs w:val="0"/>
                <w:sz w:val="18"/>
                <w:szCs w:val="18"/>
              </w:rPr>
            </w:pPr>
            <w:r w:rsidRPr="000973F2">
              <w:rPr>
                <w:rFonts w:ascii="Times New Roman" w:eastAsia="Times New Roman" w:hAnsi="Times New Roman" w:cs="Times New Roman"/>
                <w:sz w:val="18"/>
                <w:szCs w:val="18"/>
              </w:rPr>
              <w:t>Activity</w:t>
            </w:r>
          </w:p>
        </w:tc>
        <w:tc>
          <w:tcPr>
            <w:tcW w:w="6180" w:type="dxa"/>
            <w:gridSpan w:val="8"/>
            <w:noWrap/>
            <w:vAlign w:val="top"/>
            <w:hideMark/>
          </w:tcPr>
          <w:p w14:paraId="07F827C6" w14:textId="77777777" w:rsidR="00EF7301" w:rsidRPr="000973F2" w:rsidRDefault="00EF7301" w:rsidP="00E63D1D">
            <w:pPr>
              <w:spacing w:before="40" w:after="40"/>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bCs w:val="0"/>
                <w:sz w:val="18"/>
                <w:szCs w:val="18"/>
              </w:rPr>
            </w:pPr>
            <w:r w:rsidRPr="000973F2">
              <w:rPr>
                <w:rFonts w:ascii="Times New Roman" w:eastAsia="Times New Roman" w:hAnsi="Times New Roman" w:cs="Times New Roman"/>
                <w:sz w:val="18"/>
                <w:szCs w:val="18"/>
              </w:rPr>
              <w:t>Labor Rates (per hour)</w:t>
            </w:r>
          </w:p>
        </w:tc>
        <w:tc>
          <w:tcPr>
            <w:tcW w:w="1535" w:type="dxa"/>
            <w:gridSpan w:val="2"/>
            <w:vMerge w:val="restart"/>
            <w:vAlign w:val="top"/>
            <w:hideMark/>
          </w:tcPr>
          <w:p w14:paraId="561A8B9A" w14:textId="77777777" w:rsidR="00EF7301" w:rsidRPr="000973F2" w:rsidRDefault="00EF7301" w:rsidP="00E63D1D">
            <w:pPr>
              <w:spacing w:before="40" w:after="40"/>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bCs w:val="0"/>
                <w:sz w:val="18"/>
                <w:szCs w:val="18"/>
              </w:rPr>
            </w:pPr>
            <w:r w:rsidRPr="000973F2">
              <w:rPr>
                <w:rFonts w:ascii="Times New Roman" w:eastAsia="Times New Roman" w:hAnsi="Times New Roman" w:cs="Times New Roman"/>
                <w:sz w:val="18"/>
                <w:szCs w:val="18"/>
              </w:rPr>
              <w:t>Total Labor Cost per Year per Facility</w:t>
            </w:r>
          </w:p>
          <w:p w14:paraId="536A8762" w14:textId="77777777" w:rsidR="00EF7301" w:rsidRPr="000973F2" w:rsidRDefault="00EF7301" w:rsidP="00E63D1D">
            <w:pPr>
              <w:spacing w:before="40" w:after="40"/>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bCs w:val="0"/>
                <w:sz w:val="18"/>
                <w:szCs w:val="18"/>
              </w:rPr>
            </w:pPr>
            <w:r w:rsidRPr="000973F2">
              <w:rPr>
                <w:rFonts w:ascii="Times New Roman" w:eastAsia="Times New Roman" w:hAnsi="Times New Roman" w:cs="Times New Roman"/>
                <w:sz w:val="18"/>
                <w:szCs w:val="18"/>
              </w:rPr>
              <w:t>(2017$)</w:t>
            </w:r>
          </w:p>
        </w:tc>
      </w:tr>
      <w:tr w:rsidR="00EF7301" w:rsidRPr="000973F2" w14:paraId="57DC5797" w14:textId="77777777" w:rsidTr="00E63D1D">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1318" w:type="dxa"/>
            <w:vMerge/>
            <w:hideMark/>
          </w:tcPr>
          <w:p w14:paraId="695032E0" w14:textId="77777777" w:rsidR="00EF7301" w:rsidRPr="000973F2" w:rsidRDefault="00EF7301" w:rsidP="00E63D1D">
            <w:pPr>
              <w:spacing w:before="40" w:after="40"/>
              <w:rPr>
                <w:rFonts w:ascii="Times New Roman" w:eastAsia="Times New Roman" w:hAnsi="Times New Roman" w:cs="Times New Roman"/>
                <w:b/>
                <w:bCs w:val="0"/>
                <w:sz w:val="18"/>
                <w:szCs w:val="18"/>
              </w:rPr>
            </w:pPr>
          </w:p>
        </w:tc>
        <w:tc>
          <w:tcPr>
            <w:tcW w:w="1545" w:type="dxa"/>
            <w:gridSpan w:val="2"/>
            <w:noWrap/>
            <w:hideMark/>
          </w:tcPr>
          <w:p w14:paraId="44BC9B82" w14:textId="77777777" w:rsidR="00EF7301" w:rsidRPr="000973F2" w:rsidRDefault="00EF7301" w:rsidP="00E63D1D">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18"/>
                <w:szCs w:val="18"/>
              </w:rPr>
            </w:pPr>
            <w:r w:rsidRPr="000973F2">
              <w:rPr>
                <w:rFonts w:ascii="Times New Roman" w:eastAsia="Times New Roman" w:hAnsi="Times New Roman" w:cs="Times New Roman"/>
                <w:b/>
                <w:bCs/>
                <w:sz w:val="18"/>
                <w:szCs w:val="18"/>
              </w:rPr>
              <w:t>Lawyer</w:t>
            </w:r>
          </w:p>
        </w:tc>
        <w:tc>
          <w:tcPr>
            <w:tcW w:w="1545" w:type="dxa"/>
            <w:gridSpan w:val="2"/>
            <w:noWrap/>
            <w:hideMark/>
          </w:tcPr>
          <w:p w14:paraId="12A6A5CB" w14:textId="77777777" w:rsidR="00EF7301" w:rsidRPr="000973F2" w:rsidRDefault="00EF7301" w:rsidP="00E63D1D">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18"/>
                <w:szCs w:val="18"/>
              </w:rPr>
            </w:pPr>
            <w:r w:rsidRPr="000973F2">
              <w:rPr>
                <w:rFonts w:ascii="Times New Roman" w:eastAsia="Times New Roman" w:hAnsi="Times New Roman" w:cs="Times New Roman"/>
                <w:b/>
                <w:bCs/>
                <w:sz w:val="18"/>
                <w:szCs w:val="18"/>
              </w:rPr>
              <w:t>Industrial Manager</w:t>
            </w:r>
          </w:p>
        </w:tc>
        <w:tc>
          <w:tcPr>
            <w:tcW w:w="1545" w:type="dxa"/>
            <w:gridSpan w:val="2"/>
            <w:hideMark/>
          </w:tcPr>
          <w:p w14:paraId="1E330EE0" w14:textId="77777777" w:rsidR="00EF7301" w:rsidRPr="000973F2" w:rsidRDefault="00EF7301" w:rsidP="00E63D1D">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18"/>
                <w:szCs w:val="18"/>
              </w:rPr>
            </w:pPr>
            <w:r w:rsidRPr="000973F2">
              <w:rPr>
                <w:rFonts w:ascii="Times New Roman" w:eastAsia="Times New Roman" w:hAnsi="Times New Roman" w:cs="Times New Roman"/>
                <w:b/>
                <w:bCs/>
                <w:sz w:val="18"/>
                <w:szCs w:val="18"/>
              </w:rPr>
              <w:t>Industrial Engineer/</w:t>
            </w:r>
          </w:p>
          <w:p w14:paraId="27CE6EB5" w14:textId="77777777" w:rsidR="00EF7301" w:rsidRPr="000973F2" w:rsidRDefault="00EF7301" w:rsidP="00E63D1D">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18"/>
                <w:szCs w:val="18"/>
              </w:rPr>
            </w:pPr>
            <w:r w:rsidRPr="000973F2">
              <w:rPr>
                <w:rFonts w:ascii="Times New Roman" w:eastAsia="Times New Roman" w:hAnsi="Times New Roman" w:cs="Times New Roman"/>
                <w:b/>
                <w:bCs/>
                <w:sz w:val="18"/>
                <w:szCs w:val="18"/>
              </w:rPr>
              <w:t>Technician</w:t>
            </w:r>
          </w:p>
        </w:tc>
        <w:tc>
          <w:tcPr>
            <w:tcW w:w="1545" w:type="dxa"/>
            <w:gridSpan w:val="2"/>
            <w:hideMark/>
          </w:tcPr>
          <w:p w14:paraId="3579EC99" w14:textId="77777777" w:rsidR="00EF7301" w:rsidRPr="000973F2" w:rsidRDefault="00EF7301" w:rsidP="00E63D1D">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18"/>
                <w:szCs w:val="18"/>
              </w:rPr>
            </w:pPr>
            <w:r w:rsidRPr="000973F2">
              <w:rPr>
                <w:rFonts w:ascii="Times New Roman" w:eastAsia="Times New Roman" w:hAnsi="Times New Roman" w:cs="Times New Roman"/>
                <w:b/>
                <w:bCs/>
                <w:sz w:val="18"/>
                <w:szCs w:val="18"/>
              </w:rPr>
              <w:t>Administrative Support</w:t>
            </w:r>
          </w:p>
        </w:tc>
        <w:tc>
          <w:tcPr>
            <w:tcW w:w="1535" w:type="dxa"/>
            <w:gridSpan w:val="2"/>
            <w:vMerge/>
            <w:hideMark/>
          </w:tcPr>
          <w:p w14:paraId="21767111" w14:textId="77777777" w:rsidR="00EF7301" w:rsidRPr="000973F2" w:rsidRDefault="00EF7301" w:rsidP="00E63D1D">
            <w:pPr>
              <w:spacing w:before="40" w:after="4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18"/>
                <w:szCs w:val="18"/>
              </w:rPr>
            </w:pPr>
          </w:p>
        </w:tc>
      </w:tr>
      <w:tr w:rsidR="00EF7301" w:rsidRPr="000973F2" w14:paraId="6C1A9EE0" w14:textId="77777777" w:rsidTr="00E63D1D">
        <w:trPr>
          <w:cantSplit/>
        </w:trPr>
        <w:tc>
          <w:tcPr>
            <w:cnfStyle w:val="001000000000" w:firstRow="0" w:lastRow="0" w:firstColumn="1" w:lastColumn="0" w:oddVBand="0" w:evenVBand="0" w:oddHBand="0" w:evenHBand="0" w:firstRowFirstColumn="0" w:firstRowLastColumn="0" w:lastRowFirstColumn="0" w:lastRowLastColumn="0"/>
            <w:tcW w:w="1318" w:type="dxa"/>
            <w:vMerge/>
            <w:hideMark/>
          </w:tcPr>
          <w:p w14:paraId="3B192175" w14:textId="77777777" w:rsidR="00EF7301" w:rsidRPr="000973F2" w:rsidRDefault="00EF7301" w:rsidP="00E63D1D">
            <w:pPr>
              <w:spacing w:before="40" w:after="40"/>
              <w:rPr>
                <w:rFonts w:ascii="Times New Roman" w:eastAsia="Times New Roman" w:hAnsi="Times New Roman" w:cs="Times New Roman"/>
                <w:b/>
                <w:bCs w:val="0"/>
                <w:sz w:val="18"/>
                <w:szCs w:val="18"/>
              </w:rPr>
            </w:pPr>
          </w:p>
        </w:tc>
        <w:tc>
          <w:tcPr>
            <w:tcW w:w="1545" w:type="dxa"/>
            <w:gridSpan w:val="2"/>
            <w:noWrap/>
            <w:hideMark/>
          </w:tcPr>
          <w:p w14:paraId="4E256B08" w14:textId="77777777" w:rsidR="00EF7301" w:rsidRPr="000973F2" w:rsidRDefault="00EF7301" w:rsidP="00E63D1D">
            <w:pPr>
              <w:spacing w:before="40" w:after="4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sz w:val="18"/>
                <w:szCs w:val="18"/>
              </w:rPr>
            </w:pPr>
            <w:r w:rsidRPr="000973F2">
              <w:rPr>
                <w:rFonts w:ascii="Times New Roman" w:eastAsia="Times New Roman" w:hAnsi="Times New Roman" w:cs="Times New Roman"/>
                <w:b/>
                <w:bCs/>
                <w:sz w:val="18"/>
                <w:szCs w:val="18"/>
              </w:rPr>
              <w:t xml:space="preserve">$112.23 </w:t>
            </w:r>
          </w:p>
        </w:tc>
        <w:tc>
          <w:tcPr>
            <w:tcW w:w="1545" w:type="dxa"/>
            <w:gridSpan w:val="2"/>
            <w:noWrap/>
            <w:hideMark/>
          </w:tcPr>
          <w:p w14:paraId="0C87F078" w14:textId="77777777" w:rsidR="00EF7301" w:rsidRPr="000973F2" w:rsidRDefault="00EF7301" w:rsidP="00E63D1D">
            <w:pPr>
              <w:spacing w:before="40" w:after="4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sz w:val="18"/>
                <w:szCs w:val="18"/>
              </w:rPr>
            </w:pPr>
            <w:r w:rsidRPr="000973F2">
              <w:rPr>
                <w:rFonts w:ascii="Times New Roman" w:eastAsia="Times New Roman" w:hAnsi="Times New Roman" w:cs="Times New Roman"/>
                <w:b/>
                <w:bCs/>
                <w:sz w:val="18"/>
                <w:szCs w:val="18"/>
              </w:rPr>
              <w:t xml:space="preserve">$87.45 </w:t>
            </w:r>
          </w:p>
        </w:tc>
        <w:tc>
          <w:tcPr>
            <w:tcW w:w="1545" w:type="dxa"/>
            <w:gridSpan w:val="2"/>
            <w:noWrap/>
            <w:hideMark/>
          </w:tcPr>
          <w:p w14:paraId="5620E7E9" w14:textId="77777777" w:rsidR="00EF7301" w:rsidRPr="000973F2" w:rsidRDefault="00EF7301" w:rsidP="00E63D1D">
            <w:pPr>
              <w:spacing w:before="40" w:after="4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sz w:val="18"/>
                <w:szCs w:val="18"/>
              </w:rPr>
            </w:pPr>
            <w:r w:rsidRPr="000973F2">
              <w:rPr>
                <w:rFonts w:ascii="Times New Roman" w:eastAsia="Times New Roman" w:hAnsi="Times New Roman" w:cs="Times New Roman"/>
                <w:b/>
                <w:bCs/>
                <w:sz w:val="18"/>
                <w:szCs w:val="18"/>
              </w:rPr>
              <w:t xml:space="preserve">$71.45 </w:t>
            </w:r>
          </w:p>
        </w:tc>
        <w:tc>
          <w:tcPr>
            <w:tcW w:w="1545" w:type="dxa"/>
            <w:gridSpan w:val="2"/>
            <w:noWrap/>
            <w:hideMark/>
          </w:tcPr>
          <w:p w14:paraId="476DB7F3" w14:textId="77777777" w:rsidR="00EF7301" w:rsidRPr="000973F2" w:rsidRDefault="00EF7301" w:rsidP="00E63D1D">
            <w:pPr>
              <w:spacing w:before="40" w:after="4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sz w:val="18"/>
                <w:szCs w:val="18"/>
              </w:rPr>
            </w:pPr>
            <w:r w:rsidRPr="000973F2">
              <w:rPr>
                <w:rFonts w:ascii="Times New Roman" w:eastAsia="Times New Roman" w:hAnsi="Times New Roman" w:cs="Times New Roman"/>
                <w:b/>
                <w:bCs/>
                <w:sz w:val="18"/>
                <w:szCs w:val="18"/>
              </w:rPr>
              <w:t xml:space="preserve">$36.28 </w:t>
            </w:r>
          </w:p>
        </w:tc>
        <w:tc>
          <w:tcPr>
            <w:tcW w:w="1535" w:type="dxa"/>
            <w:gridSpan w:val="2"/>
            <w:vMerge/>
            <w:hideMark/>
          </w:tcPr>
          <w:p w14:paraId="5736CB1B" w14:textId="77777777" w:rsidR="00EF7301" w:rsidRPr="000973F2" w:rsidRDefault="00EF7301" w:rsidP="00E63D1D">
            <w:pPr>
              <w:spacing w:before="40" w:after="4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sz w:val="18"/>
                <w:szCs w:val="18"/>
              </w:rPr>
            </w:pPr>
          </w:p>
        </w:tc>
      </w:tr>
      <w:tr w:rsidR="00E63D1D" w:rsidRPr="000973F2" w14:paraId="35CE1957" w14:textId="77777777" w:rsidTr="00B013A0">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1318" w:type="dxa"/>
            <w:vMerge/>
            <w:hideMark/>
          </w:tcPr>
          <w:p w14:paraId="544DEFEF" w14:textId="77777777" w:rsidR="00EF7301" w:rsidRPr="000973F2" w:rsidRDefault="00EF7301" w:rsidP="00E63D1D">
            <w:pPr>
              <w:spacing w:before="40" w:after="40"/>
              <w:rPr>
                <w:rFonts w:ascii="Times New Roman" w:eastAsia="Times New Roman" w:hAnsi="Times New Roman" w:cs="Times New Roman"/>
                <w:b/>
                <w:bCs w:val="0"/>
                <w:sz w:val="18"/>
                <w:szCs w:val="18"/>
              </w:rPr>
            </w:pPr>
          </w:p>
        </w:tc>
        <w:tc>
          <w:tcPr>
            <w:tcW w:w="715" w:type="dxa"/>
            <w:tcMar>
              <w:left w:w="29" w:type="dxa"/>
              <w:right w:w="29" w:type="dxa"/>
            </w:tcMar>
            <w:hideMark/>
          </w:tcPr>
          <w:p w14:paraId="4234E31A" w14:textId="077AE538" w:rsidR="00EF7301" w:rsidRPr="000973F2" w:rsidRDefault="00EF7301" w:rsidP="00E63D1D">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18"/>
                <w:szCs w:val="18"/>
              </w:rPr>
            </w:pPr>
            <w:r w:rsidRPr="000973F2">
              <w:rPr>
                <w:rFonts w:ascii="Times New Roman" w:eastAsia="Times New Roman" w:hAnsi="Times New Roman" w:cs="Times New Roman"/>
                <w:b/>
                <w:bCs/>
                <w:sz w:val="18"/>
                <w:szCs w:val="18"/>
              </w:rPr>
              <w:t>Initial Year</w:t>
            </w:r>
            <w:r w:rsidR="00E63D1D" w:rsidRPr="000973F2">
              <w:rPr>
                <w:rFonts w:ascii="Times New Roman" w:eastAsia="Times New Roman" w:hAnsi="Times New Roman" w:cs="Times New Roman"/>
                <w:b/>
                <w:bCs/>
                <w:sz w:val="18"/>
                <w:szCs w:val="18"/>
              </w:rPr>
              <w:t xml:space="preserve"> </w:t>
            </w:r>
            <w:r w:rsidRPr="000973F2">
              <w:rPr>
                <w:rFonts w:ascii="Times New Roman" w:eastAsia="Times New Roman" w:hAnsi="Times New Roman" w:cs="Times New Roman"/>
                <w:b/>
                <w:bCs/>
                <w:sz w:val="18"/>
                <w:szCs w:val="18"/>
              </w:rPr>
              <w:t>Hours</w:t>
            </w:r>
          </w:p>
        </w:tc>
        <w:tc>
          <w:tcPr>
            <w:tcW w:w="829" w:type="dxa"/>
            <w:tcMar>
              <w:left w:w="29" w:type="dxa"/>
              <w:right w:w="29" w:type="dxa"/>
            </w:tcMar>
            <w:hideMark/>
          </w:tcPr>
          <w:p w14:paraId="01F926B4" w14:textId="77777777" w:rsidR="00EF7301" w:rsidRPr="000973F2" w:rsidRDefault="00EF7301" w:rsidP="00E63D1D">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18"/>
                <w:szCs w:val="18"/>
              </w:rPr>
            </w:pPr>
            <w:r w:rsidRPr="000973F2">
              <w:rPr>
                <w:rFonts w:ascii="Times New Roman" w:eastAsia="Times New Roman" w:hAnsi="Times New Roman" w:cs="Times New Roman"/>
                <w:b/>
                <w:bCs/>
                <w:sz w:val="18"/>
                <w:szCs w:val="18"/>
              </w:rPr>
              <w:t>Subseq. Year Hours</w:t>
            </w:r>
          </w:p>
        </w:tc>
        <w:tc>
          <w:tcPr>
            <w:tcW w:w="715" w:type="dxa"/>
            <w:tcMar>
              <w:left w:w="29" w:type="dxa"/>
              <w:right w:w="29" w:type="dxa"/>
            </w:tcMar>
            <w:hideMark/>
          </w:tcPr>
          <w:p w14:paraId="33D507F0" w14:textId="0641EF52" w:rsidR="00EF7301" w:rsidRPr="000973F2" w:rsidRDefault="00EF7301" w:rsidP="00E63D1D">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18"/>
                <w:szCs w:val="18"/>
              </w:rPr>
            </w:pPr>
            <w:r w:rsidRPr="000973F2">
              <w:rPr>
                <w:rFonts w:ascii="Times New Roman" w:eastAsia="Times New Roman" w:hAnsi="Times New Roman" w:cs="Times New Roman"/>
                <w:b/>
                <w:bCs/>
                <w:sz w:val="18"/>
                <w:szCs w:val="18"/>
              </w:rPr>
              <w:t>Initial Year</w:t>
            </w:r>
            <w:r w:rsidR="00E63D1D" w:rsidRPr="000973F2">
              <w:rPr>
                <w:rFonts w:ascii="Times New Roman" w:eastAsia="Times New Roman" w:hAnsi="Times New Roman" w:cs="Times New Roman"/>
                <w:b/>
                <w:bCs/>
                <w:sz w:val="18"/>
                <w:szCs w:val="18"/>
              </w:rPr>
              <w:t xml:space="preserve"> </w:t>
            </w:r>
            <w:r w:rsidRPr="000973F2">
              <w:rPr>
                <w:rFonts w:ascii="Times New Roman" w:eastAsia="Times New Roman" w:hAnsi="Times New Roman" w:cs="Times New Roman"/>
                <w:b/>
                <w:bCs/>
                <w:sz w:val="18"/>
                <w:szCs w:val="18"/>
              </w:rPr>
              <w:t>Hours</w:t>
            </w:r>
          </w:p>
        </w:tc>
        <w:tc>
          <w:tcPr>
            <w:tcW w:w="829" w:type="dxa"/>
            <w:tcMar>
              <w:left w:w="29" w:type="dxa"/>
              <w:right w:w="29" w:type="dxa"/>
            </w:tcMar>
            <w:hideMark/>
          </w:tcPr>
          <w:p w14:paraId="0E9E3FDB" w14:textId="77777777" w:rsidR="00EF7301" w:rsidRPr="000973F2" w:rsidRDefault="00EF7301" w:rsidP="00E63D1D">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18"/>
                <w:szCs w:val="18"/>
              </w:rPr>
            </w:pPr>
            <w:r w:rsidRPr="000973F2">
              <w:rPr>
                <w:rFonts w:ascii="Times New Roman" w:eastAsia="Times New Roman" w:hAnsi="Times New Roman" w:cs="Times New Roman"/>
                <w:b/>
                <w:bCs/>
                <w:sz w:val="18"/>
                <w:szCs w:val="18"/>
              </w:rPr>
              <w:t>Subseq. Year Hours</w:t>
            </w:r>
          </w:p>
        </w:tc>
        <w:tc>
          <w:tcPr>
            <w:tcW w:w="715" w:type="dxa"/>
            <w:tcMar>
              <w:left w:w="29" w:type="dxa"/>
              <w:right w:w="29" w:type="dxa"/>
            </w:tcMar>
            <w:hideMark/>
          </w:tcPr>
          <w:p w14:paraId="0EE9727C" w14:textId="131599AD" w:rsidR="00EF7301" w:rsidRPr="000973F2" w:rsidRDefault="00EF7301" w:rsidP="00E63D1D">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18"/>
                <w:szCs w:val="18"/>
              </w:rPr>
            </w:pPr>
            <w:r w:rsidRPr="000973F2">
              <w:rPr>
                <w:rFonts w:ascii="Times New Roman" w:eastAsia="Times New Roman" w:hAnsi="Times New Roman" w:cs="Times New Roman"/>
                <w:b/>
                <w:bCs/>
                <w:sz w:val="18"/>
                <w:szCs w:val="18"/>
              </w:rPr>
              <w:t>Initial Year</w:t>
            </w:r>
            <w:r w:rsidR="00E63D1D" w:rsidRPr="000973F2">
              <w:rPr>
                <w:rFonts w:ascii="Times New Roman" w:eastAsia="Times New Roman" w:hAnsi="Times New Roman" w:cs="Times New Roman"/>
                <w:b/>
                <w:bCs/>
                <w:sz w:val="18"/>
                <w:szCs w:val="18"/>
              </w:rPr>
              <w:t xml:space="preserve"> </w:t>
            </w:r>
            <w:r w:rsidRPr="000973F2">
              <w:rPr>
                <w:rFonts w:ascii="Times New Roman" w:eastAsia="Times New Roman" w:hAnsi="Times New Roman" w:cs="Times New Roman"/>
                <w:b/>
                <w:bCs/>
                <w:sz w:val="18"/>
                <w:szCs w:val="18"/>
              </w:rPr>
              <w:t>Hours</w:t>
            </w:r>
          </w:p>
        </w:tc>
        <w:tc>
          <w:tcPr>
            <w:tcW w:w="829" w:type="dxa"/>
            <w:tcMar>
              <w:left w:w="29" w:type="dxa"/>
              <w:right w:w="29" w:type="dxa"/>
            </w:tcMar>
            <w:hideMark/>
          </w:tcPr>
          <w:p w14:paraId="2CD9B380" w14:textId="77777777" w:rsidR="00EF7301" w:rsidRPr="000973F2" w:rsidRDefault="00EF7301" w:rsidP="00E63D1D">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18"/>
                <w:szCs w:val="18"/>
              </w:rPr>
            </w:pPr>
            <w:r w:rsidRPr="000973F2">
              <w:rPr>
                <w:rFonts w:ascii="Times New Roman" w:eastAsia="Times New Roman" w:hAnsi="Times New Roman" w:cs="Times New Roman"/>
                <w:b/>
                <w:bCs/>
                <w:sz w:val="18"/>
                <w:szCs w:val="18"/>
              </w:rPr>
              <w:t>Subseq. Year Hours</w:t>
            </w:r>
          </w:p>
        </w:tc>
        <w:tc>
          <w:tcPr>
            <w:tcW w:w="715" w:type="dxa"/>
            <w:tcMar>
              <w:left w:w="29" w:type="dxa"/>
              <w:right w:w="29" w:type="dxa"/>
            </w:tcMar>
            <w:hideMark/>
          </w:tcPr>
          <w:p w14:paraId="2F1C06AA" w14:textId="77F6434B" w:rsidR="00EF7301" w:rsidRPr="000973F2" w:rsidRDefault="00EF7301" w:rsidP="00B013A0">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18"/>
                <w:szCs w:val="18"/>
              </w:rPr>
            </w:pPr>
            <w:r w:rsidRPr="000973F2">
              <w:rPr>
                <w:rFonts w:ascii="Times New Roman" w:eastAsia="Times New Roman" w:hAnsi="Times New Roman" w:cs="Times New Roman"/>
                <w:b/>
                <w:bCs/>
                <w:sz w:val="18"/>
                <w:szCs w:val="18"/>
              </w:rPr>
              <w:t>Initial Year</w:t>
            </w:r>
            <w:r w:rsidR="00B013A0" w:rsidRPr="000973F2">
              <w:rPr>
                <w:rFonts w:ascii="Times New Roman" w:eastAsia="Times New Roman" w:hAnsi="Times New Roman" w:cs="Times New Roman"/>
                <w:b/>
                <w:bCs/>
                <w:sz w:val="18"/>
                <w:szCs w:val="18"/>
              </w:rPr>
              <w:t xml:space="preserve"> </w:t>
            </w:r>
            <w:r w:rsidRPr="000973F2">
              <w:rPr>
                <w:rFonts w:ascii="Times New Roman" w:eastAsia="Times New Roman" w:hAnsi="Times New Roman" w:cs="Times New Roman"/>
                <w:b/>
                <w:bCs/>
                <w:sz w:val="18"/>
                <w:szCs w:val="18"/>
              </w:rPr>
              <w:t>Hours</w:t>
            </w:r>
          </w:p>
        </w:tc>
        <w:tc>
          <w:tcPr>
            <w:tcW w:w="829" w:type="dxa"/>
            <w:tcMar>
              <w:left w:w="29" w:type="dxa"/>
              <w:right w:w="29" w:type="dxa"/>
            </w:tcMar>
            <w:hideMark/>
          </w:tcPr>
          <w:p w14:paraId="61387ADA" w14:textId="77777777" w:rsidR="00EF7301" w:rsidRPr="000973F2" w:rsidRDefault="00EF7301" w:rsidP="00E63D1D">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18"/>
                <w:szCs w:val="18"/>
              </w:rPr>
            </w:pPr>
            <w:r w:rsidRPr="000973F2">
              <w:rPr>
                <w:rFonts w:ascii="Times New Roman" w:eastAsia="Times New Roman" w:hAnsi="Times New Roman" w:cs="Times New Roman"/>
                <w:b/>
                <w:bCs/>
                <w:sz w:val="18"/>
                <w:szCs w:val="18"/>
              </w:rPr>
              <w:t>Subseq. Year Hours</w:t>
            </w:r>
          </w:p>
        </w:tc>
        <w:tc>
          <w:tcPr>
            <w:tcW w:w="705" w:type="dxa"/>
            <w:tcMar>
              <w:left w:w="29" w:type="dxa"/>
              <w:right w:w="29" w:type="dxa"/>
            </w:tcMar>
            <w:hideMark/>
          </w:tcPr>
          <w:p w14:paraId="4ECDE7E5" w14:textId="77777777" w:rsidR="00EF7301" w:rsidRPr="000973F2" w:rsidRDefault="00EF7301" w:rsidP="00E63D1D">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18"/>
                <w:szCs w:val="18"/>
              </w:rPr>
            </w:pPr>
            <w:r w:rsidRPr="000973F2">
              <w:rPr>
                <w:rFonts w:ascii="Times New Roman" w:eastAsia="Times New Roman" w:hAnsi="Times New Roman" w:cs="Times New Roman"/>
                <w:b/>
                <w:bCs/>
                <w:sz w:val="18"/>
                <w:szCs w:val="18"/>
              </w:rPr>
              <w:t>Initial Year</w:t>
            </w:r>
          </w:p>
        </w:tc>
        <w:tc>
          <w:tcPr>
            <w:tcW w:w="829" w:type="dxa"/>
            <w:tcMar>
              <w:left w:w="29" w:type="dxa"/>
              <w:right w:w="29" w:type="dxa"/>
            </w:tcMar>
            <w:hideMark/>
          </w:tcPr>
          <w:p w14:paraId="4C4608D8" w14:textId="77777777" w:rsidR="00EF7301" w:rsidRPr="000973F2" w:rsidRDefault="00EF7301" w:rsidP="00E63D1D">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18"/>
                <w:szCs w:val="18"/>
              </w:rPr>
            </w:pPr>
            <w:r w:rsidRPr="000973F2">
              <w:rPr>
                <w:rFonts w:ascii="Times New Roman" w:eastAsia="Times New Roman" w:hAnsi="Times New Roman" w:cs="Times New Roman"/>
                <w:b/>
                <w:bCs/>
                <w:sz w:val="18"/>
                <w:szCs w:val="18"/>
              </w:rPr>
              <w:t>Subseq. Year</w:t>
            </w:r>
          </w:p>
        </w:tc>
      </w:tr>
      <w:tr w:rsidR="00EF7301" w:rsidRPr="000973F2" w14:paraId="36D64211" w14:textId="77777777" w:rsidTr="00E63D1D">
        <w:trPr>
          <w:cantSplit/>
        </w:trPr>
        <w:tc>
          <w:tcPr>
            <w:cnfStyle w:val="001000000000" w:firstRow="0" w:lastRow="0" w:firstColumn="1" w:lastColumn="0" w:oddVBand="0" w:evenVBand="0" w:oddHBand="0" w:evenHBand="0" w:firstRowFirstColumn="0" w:firstRowLastColumn="0" w:lastRowFirstColumn="0" w:lastRowLastColumn="0"/>
            <w:tcW w:w="1318" w:type="dxa"/>
            <w:hideMark/>
          </w:tcPr>
          <w:p w14:paraId="3EAEF466" w14:textId="77777777" w:rsidR="00EF7301" w:rsidRPr="000973F2" w:rsidRDefault="00EF7301" w:rsidP="00E63D1D">
            <w:pPr>
              <w:spacing w:before="40" w:after="4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Planning</w:t>
            </w:r>
          </w:p>
        </w:tc>
        <w:tc>
          <w:tcPr>
            <w:tcW w:w="715" w:type="dxa"/>
            <w:noWrap/>
            <w:hideMark/>
          </w:tcPr>
          <w:p w14:paraId="58E2C611" w14:textId="77777777" w:rsidR="00EF7301" w:rsidRPr="000973F2" w:rsidRDefault="00EF7301" w:rsidP="00B013A0">
            <w:pPr>
              <w:spacing w:before="40" w:after="4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0</w:t>
            </w:r>
          </w:p>
        </w:tc>
        <w:tc>
          <w:tcPr>
            <w:tcW w:w="829" w:type="dxa"/>
            <w:noWrap/>
            <w:hideMark/>
          </w:tcPr>
          <w:p w14:paraId="0ED5724A" w14:textId="77777777" w:rsidR="00EF7301" w:rsidRPr="000973F2" w:rsidRDefault="00EF7301" w:rsidP="00B013A0">
            <w:pPr>
              <w:spacing w:before="40" w:after="4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1</w:t>
            </w:r>
          </w:p>
        </w:tc>
        <w:tc>
          <w:tcPr>
            <w:tcW w:w="715" w:type="dxa"/>
            <w:noWrap/>
            <w:hideMark/>
          </w:tcPr>
          <w:p w14:paraId="2D8E3AE1" w14:textId="77777777" w:rsidR="00EF7301" w:rsidRPr="000973F2" w:rsidRDefault="00EF7301" w:rsidP="00B013A0">
            <w:pPr>
              <w:spacing w:before="40" w:after="4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0</w:t>
            </w:r>
          </w:p>
        </w:tc>
        <w:tc>
          <w:tcPr>
            <w:tcW w:w="829" w:type="dxa"/>
            <w:noWrap/>
            <w:hideMark/>
          </w:tcPr>
          <w:p w14:paraId="447593D8" w14:textId="77777777" w:rsidR="00EF7301" w:rsidRPr="000973F2" w:rsidRDefault="00EF7301" w:rsidP="00B013A0">
            <w:pPr>
              <w:spacing w:before="40" w:after="4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0.2</w:t>
            </w:r>
          </w:p>
        </w:tc>
        <w:tc>
          <w:tcPr>
            <w:tcW w:w="715" w:type="dxa"/>
            <w:noWrap/>
            <w:hideMark/>
          </w:tcPr>
          <w:p w14:paraId="6DB59198" w14:textId="77777777" w:rsidR="00EF7301" w:rsidRPr="000973F2" w:rsidRDefault="00EF7301" w:rsidP="00B013A0">
            <w:pPr>
              <w:spacing w:before="40" w:after="4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0</w:t>
            </w:r>
          </w:p>
        </w:tc>
        <w:tc>
          <w:tcPr>
            <w:tcW w:w="829" w:type="dxa"/>
            <w:noWrap/>
            <w:hideMark/>
          </w:tcPr>
          <w:p w14:paraId="699F6309" w14:textId="77777777" w:rsidR="00EF7301" w:rsidRPr="000973F2" w:rsidRDefault="00EF7301" w:rsidP="00B013A0">
            <w:pPr>
              <w:tabs>
                <w:tab w:val="decimal" w:pos="383"/>
              </w:tabs>
              <w:spacing w:before="40" w:after="4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2</w:t>
            </w:r>
          </w:p>
        </w:tc>
        <w:tc>
          <w:tcPr>
            <w:tcW w:w="715" w:type="dxa"/>
            <w:noWrap/>
            <w:hideMark/>
          </w:tcPr>
          <w:p w14:paraId="22A742FD" w14:textId="77777777" w:rsidR="00EF7301" w:rsidRPr="000973F2" w:rsidRDefault="00EF7301" w:rsidP="00B013A0">
            <w:pPr>
              <w:spacing w:before="40" w:after="4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0</w:t>
            </w:r>
          </w:p>
        </w:tc>
        <w:tc>
          <w:tcPr>
            <w:tcW w:w="829" w:type="dxa"/>
            <w:noWrap/>
            <w:hideMark/>
          </w:tcPr>
          <w:p w14:paraId="05C19AE9" w14:textId="77777777" w:rsidR="00EF7301" w:rsidRPr="000973F2" w:rsidRDefault="00EF7301" w:rsidP="00B013A0">
            <w:pPr>
              <w:spacing w:before="40" w:after="4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0.1</w:t>
            </w:r>
          </w:p>
        </w:tc>
        <w:tc>
          <w:tcPr>
            <w:tcW w:w="705" w:type="dxa"/>
            <w:noWrap/>
            <w:hideMark/>
          </w:tcPr>
          <w:p w14:paraId="6F609C8E" w14:textId="02CB5DC5" w:rsidR="00EF7301" w:rsidRPr="000973F2" w:rsidRDefault="00EF7301" w:rsidP="00B013A0">
            <w:pPr>
              <w:spacing w:before="40" w:after="4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$0</w:t>
            </w:r>
          </w:p>
        </w:tc>
        <w:tc>
          <w:tcPr>
            <w:tcW w:w="829" w:type="dxa"/>
            <w:noWrap/>
            <w:hideMark/>
          </w:tcPr>
          <w:p w14:paraId="6862F177" w14:textId="4ED8FD8C" w:rsidR="00EF7301" w:rsidRPr="000973F2" w:rsidRDefault="00EF7301" w:rsidP="00B013A0">
            <w:pPr>
              <w:tabs>
                <w:tab w:val="decimal" w:pos="487"/>
              </w:tabs>
              <w:spacing w:before="40" w:after="4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$276</w:t>
            </w:r>
          </w:p>
        </w:tc>
      </w:tr>
      <w:tr w:rsidR="00E63D1D" w:rsidRPr="000973F2" w14:paraId="5A62A6DA" w14:textId="77777777" w:rsidTr="00E63D1D">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1318" w:type="dxa"/>
            <w:hideMark/>
          </w:tcPr>
          <w:p w14:paraId="54B145DD" w14:textId="77777777" w:rsidR="00EF7301" w:rsidRPr="000973F2" w:rsidRDefault="00EF7301" w:rsidP="00E63D1D">
            <w:pPr>
              <w:spacing w:before="40" w:after="4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QA/QC</w:t>
            </w:r>
          </w:p>
        </w:tc>
        <w:tc>
          <w:tcPr>
            <w:tcW w:w="715" w:type="dxa"/>
            <w:noWrap/>
            <w:hideMark/>
          </w:tcPr>
          <w:p w14:paraId="2FD21843" w14:textId="77777777" w:rsidR="00EF7301" w:rsidRPr="000973F2" w:rsidRDefault="00EF7301" w:rsidP="00B013A0">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0</w:t>
            </w:r>
          </w:p>
        </w:tc>
        <w:tc>
          <w:tcPr>
            <w:tcW w:w="829" w:type="dxa"/>
            <w:noWrap/>
            <w:hideMark/>
          </w:tcPr>
          <w:p w14:paraId="29F9882D" w14:textId="77777777" w:rsidR="00EF7301" w:rsidRPr="000973F2" w:rsidRDefault="00EF7301" w:rsidP="00B013A0">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0</w:t>
            </w:r>
          </w:p>
        </w:tc>
        <w:tc>
          <w:tcPr>
            <w:tcW w:w="715" w:type="dxa"/>
            <w:noWrap/>
            <w:hideMark/>
          </w:tcPr>
          <w:p w14:paraId="64E9E4E9" w14:textId="77777777" w:rsidR="00EF7301" w:rsidRPr="000973F2" w:rsidRDefault="00EF7301" w:rsidP="00B013A0">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0</w:t>
            </w:r>
          </w:p>
        </w:tc>
        <w:tc>
          <w:tcPr>
            <w:tcW w:w="829" w:type="dxa"/>
            <w:noWrap/>
            <w:hideMark/>
          </w:tcPr>
          <w:p w14:paraId="7BFFB22E" w14:textId="77777777" w:rsidR="00EF7301" w:rsidRPr="000973F2" w:rsidRDefault="00EF7301" w:rsidP="00B013A0">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0.5</w:t>
            </w:r>
          </w:p>
        </w:tc>
        <w:tc>
          <w:tcPr>
            <w:tcW w:w="715" w:type="dxa"/>
            <w:noWrap/>
            <w:hideMark/>
          </w:tcPr>
          <w:p w14:paraId="1B63925D" w14:textId="77777777" w:rsidR="00EF7301" w:rsidRPr="000973F2" w:rsidRDefault="00EF7301" w:rsidP="00B013A0">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0</w:t>
            </w:r>
          </w:p>
        </w:tc>
        <w:tc>
          <w:tcPr>
            <w:tcW w:w="829" w:type="dxa"/>
            <w:noWrap/>
            <w:hideMark/>
          </w:tcPr>
          <w:p w14:paraId="55F2B2CE" w14:textId="77777777" w:rsidR="00EF7301" w:rsidRPr="000973F2" w:rsidRDefault="00EF7301" w:rsidP="00B013A0">
            <w:pPr>
              <w:tabs>
                <w:tab w:val="decimal" w:pos="383"/>
              </w:tabs>
              <w:spacing w:before="40" w:after="4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5</w:t>
            </w:r>
          </w:p>
        </w:tc>
        <w:tc>
          <w:tcPr>
            <w:tcW w:w="715" w:type="dxa"/>
            <w:noWrap/>
            <w:hideMark/>
          </w:tcPr>
          <w:p w14:paraId="5AC26B71" w14:textId="77777777" w:rsidR="00EF7301" w:rsidRPr="000973F2" w:rsidRDefault="00EF7301" w:rsidP="00B013A0">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0</w:t>
            </w:r>
          </w:p>
        </w:tc>
        <w:tc>
          <w:tcPr>
            <w:tcW w:w="829" w:type="dxa"/>
            <w:noWrap/>
            <w:hideMark/>
          </w:tcPr>
          <w:p w14:paraId="6FA0A963" w14:textId="77777777" w:rsidR="00EF7301" w:rsidRPr="000973F2" w:rsidRDefault="00EF7301" w:rsidP="00B013A0">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0.3</w:t>
            </w:r>
          </w:p>
        </w:tc>
        <w:tc>
          <w:tcPr>
            <w:tcW w:w="705" w:type="dxa"/>
            <w:noWrap/>
            <w:hideMark/>
          </w:tcPr>
          <w:p w14:paraId="018F24EB" w14:textId="7583B96D" w:rsidR="00EF7301" w:rsidRPr="000973F2" w:rsidRDefault="00EF7301" w:rsidP="00B013A0">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$0</w:t>
            </w:r>
          </w:p>
        </w:tc>
        <w:tc>
          <w:tcPr>
            <w:tcW w:w="829" w:type="dxa"/>
            <w:noWrap/>
            <w:hideMark/>
          </w:tcPr>
          <w:p w14:paraId="6B87F8DA" w14:textId="596D8C13" w:rsidR="00EF7301" w:rsidRPr="000973F2" w:rsidRDefault="00EF7301" w:rsidP="00B013A0">
            <w:pPr>
              <w:tabs>
                <w:tab w:val="decimal" w:pos="487"/>
              </w:tabs>
              <w:spacing w:before="40" w:after="4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$410</w:t>
            </w:r>
          </w:p>
        </w:tc>
      </w:tr>
      <w:tr w:rsidR="00EF7301" w:rsidRPr="000973F2" w14:paraId="219E1FC6" w14:textId="77777777" w:rsidTr="00E63D1D">
        <w:trPr>
          <w:cantSplit/>
        </w:trPr>
        <w:tc>
          <w:tcPr>
            <w:cnfStyle w:val="001000000000" w:firstRow="0" w:lastRow="0" w:firstColumn="1" w:lastColumn="0" w:oddVBand="0" w:evenVBand="0" w:oddHBand="0" w:evenHBand="0" w:firstRowFirstColumn="0" w:firstRowLastColumn="0" w:lastRowFirstColumn="0" w:lastRowLastColumn="0"/>
            <w:tcW w:w="1318" w:type="dxa"/>
            <w:hideMark/>
          </w:tcPr>
          <w:p w14:paraId="15A7CE8B" w14:textId="77777777" w:rsidR="00EF7301" w:rsidRPr="000973F2" w:rsidRDefault="00EF7301" w:rsidP="00E63D1D">
            <w:pPr>
              <w:spacing w:before="40" w:after="4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Recordkeeping</w:t>
            </w:r>
          </w:p>
        </w:tc>
        <w:tc>
          <w:tcPr>
            <w:tcW w:w="715" w:type="dxa"/>
            <w:noWrap/>
            <w:hideMark/>
          </w:tcPr>
          <w:p w14:paraId="61AB59B3" w14:textId="77777777" w:rsidR="00EF7301" w:rsidRPr="000973F2" w:rsidRDefault="00EF7301" w:rsidP="00B013A0">
            <w:pPr>
              <w:spacing w:before="40" w:after="4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0</w:t>
            </w:r>
          </w:p>
        </w:tc>
        <w:tc>
          <w:tcPr>
            <w:tcW w:w="829" w:type="dxa"/>
            <w:noWrap/>
            <w:hideMark/>
          </w:tcPr>
          <w:p w14:paraId="059D1281" w14:textId="77777777" w:rsidR="00EF7301" w:rsidRPr="000973F2" w:rsidRDefault="00EF7301" w:rsidP="00B013A0">
            <w:pPr>
              <w:spacing w:before="40" w:after="4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0</w:t>
            </w:r>
          </w:p>
        </w:tc>
        <w:tc>
          <w:tcPr>
            <w:tcW w:w="715" w:type="dxa"/>
            <w:noWrap/>
            <w:hideMark/>
          </w:tcPr>
          <w:p w14:paraId="75DB969B" w14:textId="77777777" w:rsidR="00EF7301" w:rsidRPr="000973F2" w:rsidRDefault="00EF7301" w:rsidP="00B013A0">
            <w:pPr>
              <w:spacing w:before="40" w:after="4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0</w:t>
            </w:r>
          </w:p>
        </w:tc>
        <w:tc>
          <w:tcPr>
            <w:tcW w:w="829" w:type="dxa"/>
            <w:noWrap/>
            <w:hideMark/>
          </w:tcPr>
          <w:p w14:paraId="042DBDE9" w14:textId="77777777" w:rsidR="00EF7301" w:rsidRPr="000973F2" w:rsidRDefault="00EF7301" w:rsidP="00B013A0">
            <w:pPr>
              <w:spacing w:before="40" w:after="4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0.5</w:t>
            </w:r>
          </w:p>
        </w:tc>
        <w:tc>
          <w:tcPr>
            <w:tcW w:w="715" w:type="dxa"/>
            <w:noWrap/>
            <w:hideMark/>
          </w:tcPr>
          <w:p w14:paraId="69DB4206" w14:textId="77777777" w:rsidR="00EF7301" w:rsidRPr="000973F2" w:rsidRDefault="00EF7301" w:rsidP="00B013A0">
            <w:pPr>
              <w:spacing w:before="40" w:after="4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0</w:t>
            </w:r>
          </w:p>
        </w:tc>
        <w:tc>
          <w:tcPr>
            <w:tcW w:w="829" w:type="dxa"/>
            <w:noWrap/>
            <w:hideMark/>
          </w:tcPr>
          <w:p w14:paraId="1B80CABB" w14:textId="77777777" w:rsidR="00EF7301" w:rsidRPr="000973F2" w:rsidRDefault="00EF7301" w:rsidP="00B013A0">
            <w:pPr>
              <w:tabs>
                <w:tab w:val="decimal" w:pos="383"/>
              </w:tabs>
              <w:spacing w:before="40" w:after="4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2</w:t>
            </w:r>
          </w:p>
        </w:tc>
        <w:tc>
          <w:tcPr>
            <w:tcW w:w="715" w:type="dxa"/>
            <w:noWrap/>
            <w:hideMark/>
          </w:tcPr>
          <w:p w14:paraId="36EE26A6" w14:textId="77777777" w:rsidR="00EF7301" w:rsidRPr="000973F2" w:rsidRDefault="00EF7301" w:rsidP="00B013A0">
            <w:pPr>
              <w:spacing w:before="40" w:after="4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0</w:t>
            </w:r>
          </w:p>
        </w:tc>
        <w:tc>
          <w:tcPr>
            <w:tcW w:w="829" w:type="dxa"/>
            <w:noWrap/>
            <w:hideMark/>
          </w:tcPr>
          <w:p w14:paraId="694D896A" w14:textId="77777777" w:rsidR="00EF7301" w:rsidRPr="000973F2" w:rsidRDefault="00EF7301" w:rsidP="00B013A0">
            <w:pPr>
              <w:spacing w:before="40" w:after="4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0.5</w:t>
            </w:r>
          </w:p>
        </w:tc>
        <w:tc>
          <w:tcPr>
            <w:tcW w:w="705" w:type="dxa"/>
            <w:noWrap/>
            <w:hideMark/>
          </w:tcPr>
          <w:p w14:paraId="5E9DA2EA" w14:textId="5AA389F2" w:rsidR="00EF7301" w:rsidRPr="000973F2" w:rsidRDefault="00EF7301" w:rsidP="00B013A0">
            <w:pPr>
              <w:spacing w:before="40" w:after="4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$0</w:t>
            </w:r>
          </w:p>
        </w:tc>
        <w:tc>
          <w:tcPr>
            <w:tcW w:w="829" w:type="dxa"/>
            <w:noWrap/>
            <w:hideMark/>
          </w:tcPr>
          <w:p w14:paraId="607FCB10" w14:textId="4EEFE8F9" w:rsidR="00EF7301" w:rsidRPr="000973F2" w:rsidRDefault="00EF7301" w:rsidP="00B013A0">
            <w:pPr>
              <w:tabs>
                <w:tab w:val="decimal" w:pos="487"/>
              </w:tabs>
              <w:spacing w:before="40" w:after="4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$205</w:t>
            </w:r>
          </w:p>
        </w:tc>
      </w:tr>
      <w:tr w:rsidR="00E63D1D" w:rsidRPr="000973F2" w14:paraId="18993C94" w14:textId="77777777" w:rsidTr="00E63D1D">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1318" w:type="dxa"/>
            <w:hideMark/>
          </w:tcPr>
          <w:p w14:paraId="4A35A52D" w14:textId="77777777" w:rsidR="00EF7301" w:rsidRPr="000973F2" w:rsidRDefault="00EF7301" w:rsidP="00E63D1D">
            <w:pPr>
              <w:spacing w:before="40" w:after="4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Sampling and Analysis (Calculations)</w:t>
            </w:r>
          </w:p>
        </w:tc>
        <w:tc>
          <w:tcPr>
            <w:tcW w:w="715" w:type="dxa"/>
            <w:noWrap/>
            <w:hideMark/>
          </w:tcPr>
          <w:p w14:paraId="070E9CAC" w14:textId="77777777" w:rsidR="00EF7301" w:rsidRPr="000973F2" w:rsidRDefault="00EF7301" w:rsidP="00B013A0">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0</w:t>
            </w:r>
          </w:p>
        </w:tc>
        <w:tc>
          <w:tcPr>
            <w:tcW w:w="829" w:type="dxa"/>
            <w:noWrap/>
            <w:hideMark/>
          </w:tcPr>
          <w:p w14:paraId="569D267C" w14:textId="77777777" w:rsidR="00EF7301" w:rsidRPr="000973F2" w:rsidRDefault="00EF7301" w:rsidP="00B013A0">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0</w:t>
            </w:r>
          </w:p>
        </w:tc>
        <w:tc>
          <w:tcPr>
            <w:tcW w:w="715" w:type="dxa"/>
            <w:noWrap/>
            <w:hideMark/>
          </w:tcPr>
          <w:p w14:paraId="65DA3F22" w14:textId="77777777" w:rsidR="00EF7301" w:rsidRPr="000973F2" w:rsidRDefault="00EF7301" w:rsidP="00B013A0">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0</w:t>
            </w:r>
          </w:p>
        </w:tc>
        <w:tc>
          <w:tcPr>
            <w:tcW w:w="829" w:type="dxa"/>
            <w:noWrap/>
            <w:hideMark/>
          </w:tcPr>
          <w:p w14:paraId="00B4DE43" w14:textId="77777777" w:rsidR="00EF7301" w:rsidRPr="000973F2" w:rsidRDefault="00EF7301" w:rsidP="00B013A0">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0.1</w:t>
            </w:r>
          </w:p>
        </w:tc>
        <w:tc>
          <w:tcPr>
            <w:tcW w:w="715" w:type="dxa"/>
            <w:noWrap/>
            <w:hideMark/>
          </w:tcPr>
          <w:p w14:paraId="35BF5AD3" w14:textId="77777777" w:rsidR="00EF7301" w:rsidRPr="000973F2" w:rsidRDefault="00EF7301" w:rsidP="00B013A0">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0</w:t>
            </w:r>
          </w:p>
        </w:tc>
        <w:tc>
          <w:tcPr>
            <w:tcW w:w="829" w:type="dxa"/>
            <w:noWrap/>
            <w:hideMark/>
          </w:tcPr>
          <w:p w14:paraId="090C2A1F" w14:textId="77777777" w:rsidR="00EF7301" w:rsidRPr="000973F2" w:rsidRDefault="00EF7301" w:rsidP="00B013A0">
            <w:pPr>
              <w:tabs>
                <w:tab w:val="decimal" w:pos="383"/>
              </w:tabs>
              <w:spacing w:before="40" w:after="4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1</w:t>
            </w:r>
          </w:p>
        </w:tc>
        <w:tc>
          <w:tcPr>
            <w:tcW w:w="715" w:type="dxa"/>
            <w:noWrap/>
            <w:hideMark/>
          </w:tcPr>
          <w:p w14:paraId="32B8A18F" w14:textId="77777777" w:rsidR="00EF7301" w:rsidRPr="000973F2" w:rsidRDefault="00EF7301" w:rsidP="00B013A0">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0</w:t>
            </w:r>
          </w:p>
        </w:tc>
        <w:tc>
          <w:tcPr>
            <w:tcW w:w="829" w:type="dxa"/>
            <w:noWrap/>
            <w:hideMark/>
          </w:tcPr>
          <w:p w14:paraId="701AAA90" w14:textId="77777777" w:rsidR="00EF7301" w:rsidRPr="000973F2" w:rsidRDefault="00EF7301" w:rsidP="00B013A0">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0.1</w:t>
            </w:r>
          </w:p>
        </w:tc>
        <w:tc>
          <w:tcPr>
            <w:tcW w:w="705" w:type="dxa"/>
            <w:noWrap/>
            <w:hideMark/>
          </w:tcPr>
          <w:p w14:paraId="4A0E3852" w14:textId="64C96D0D" w:rsidR="00EF7301" w:rsidRPr="000973F2" w:rsidRDefault="00EF7301" w:rsidP="00B013A0">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$0</w:t>
            </w:r>
          </w:p>
        </w:tc>
        <w:tc>
          <w:tcPr>
            <w:tcW w:w="829" w:type="dxa"/>
            <w:noWrap/>
            <w:hideMark/>
          </w:tcPr>
          <w:p w14:paraId="1E936BBF" w14:textId="1E696856" w:rsidR="00EF7301" w:rsidRPr="000973F2" w:rsidRDefault="00EF7301" w:rsidP="00B013A0">
            <w:pPr>
              <w:tabs>
                <w:tab w:val="decimal" w:pos="487"/>
              </w:tabs>
              <w:spacing w:before="40" w:after="4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$82</w:t>
            </w:r>
          </w:p>
        </w:tc>
      </w:tr>
      <w:tr w:rsidR="00EF7301" w:rsidRPr="000973F2" w14:paraId="65839912" w14:textId="77777777" w:rsidTr="00E63D1D">
        <w:trPr>
          <w:cantSplit/>
        </w:trPr>
        <w:tc>
          <w:tcPr>
            <w:cnfStyle w:val="001000000000" w:firstRow="0" w:lastRow="0" w:firstColumn="1" w:lastColumn="0" w:oddVBand="0" w:evenVBand="0" w:oddHBand="0" w:evenHBand="0" w:firstRowFirstColumn="0" w:firstRowLastColumn="0" w:lastRowFirstColumn="0" w:lastRowLastColumn="0"/>
            <w:tcW w:w="1318" w:type="dxa"/>
            <w:hideMark/>
          </w:tcPr>
          <w:p w14:paraId="49B5CA77" w14:textId="77777777" w:rsidR="00EF7301" w:rsidRPr="000973F2" w:rsidRDefault="00EF7301" w:rsidP="00E63D1D">
            <w:pPr>
              <w:spacing w:before="40" w:after="4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Reporting</w:t>
            </w:r>
          </w:p>
        </w:tc>
        <w:tc>
          <w:tcPr>
            <w:tcW w:w="715" w:type="dxa"/>
            <w:noWrap/>
            <w:hideMark/>
          </w:tcPr>
          <w:p w14:paraId="5E2502C2" w14:textId="77777777" w:rsidR="00EF7301" w:rsidRPr="000973F2" w:rsidRDefault="00EF7301" w:rsidP="00B013A0">
            <w:pPr>
              <w:spacing w:before="40" w:after="4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0</w:t>
            </w:r>
          </w:p>
        </w:tc>
        <w:tc>
          <w:tcPr>
            <w:tcW w:w="829" w:type="dxa"/>
            <w:noWrap/>
            <w:hideMark/>
          </w:tcPr>
          <w:p w14:paraId="4CE7A9E9" w14:textId="77777777" w:rsidR="00EF7301" w:rsidRPr="000973F2" w:rsidRDefault="00EF7301" w:rsidP="00B013A0">
            <w:pPr>
              <w:spacing w:before="40" w:after="4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0</w:t>
            </w:r>
          </w:p>
        </w:tc>
        <w:tc>
          <w:tcPr>
            <w:tcW w:w="715" w:type="dxa"/>
            <w:noWrap/>
            <w:hideMark/>
          </w:tcPr>
          <w:p w14:paraId="6E6E3CE3" w14:textId="77777777" w:rsidR="00EF7301" w:rsidRPr="000973F2" w:rsidRDefault="00EF7301" w:rsidP="00B013A0">
            <w:pPr>
              <w:spacing w:before="40" w:after="4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0</w:t>
            </w:r>
          </w:p>
        </w:tc>
        <w:tc>
          <w:tcPr>
            <w:tcW w:w="829" w:type="dxa"/>
            <w:noWrap/>
            <w:hideMark/>
          </w:tcPr>
          <w:p w14:paraId="1622CA3A" w14:textId="77777777" w:rsidR="00EF7301" w:rsidRPr="000973F2" w:rsidRDefault="00EF7301" w:rsidP="00B013A0">
            <w:pPr>
              <w:spacing w:before="40" w:after="4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1.0</w:t>
            </w:r>
          </w:p>
        </w:tc>
        <w:tc>
          <w:tcPr>
            <w:tcW w:w="715" w:type="dxa"/>
            <w:noWrap/>
            <w:hideMark/>
          </w:tcPr>
          <w:p w14:paraId="4FB4CCFD" w14:textId="77777777" w:rsidR="00EF7301" w:rsidRPr="000973F2" w:rsidRDefault="00EF7301" w:rsidP="00B013A0">
            <w:pPr>
              <w:spacing w:before="40" w:after="4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0</w:t>
            </w:r>
          </w:p>
        </w:tc>
        <w:tc>
          <w:tcPr>
            <w:tcW w:w="829" w:type="dxa"/>
            <w:noWrap/>
            <w:hideMark/>
          </w:tcPr>
          <w:p w14:paraId="6628EF68" w14:textId="77777777" w:rsidR="00EF7301" w:rsidRPr="000973F2" w:rsidRDefault="00EF7301" w:rsidP="00B013A0">
            <w:pPr>
              <w:tabs>
                <w:tab w:val="decimal" w:pos="383"/>
              </w:tabs>
              <w:spacing w:before="40" w:after="4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4</w:t>
            </w:r>
          </w:p>
        </w:tc>
        <w:tc>
          <w:tcPr>
            <w:tcW w:w="715" w:type="dxa"/>
            <w:noWrap/>
            <w:hideMark/>
          </w:tcPr>
          <w:p w14:paraId="4B755F64" w14:textId="77777777" w:rsidR="00EF7301" w:rsidRPr="000973F2" w:rsidRDefault="00EF7301" w:rsidP="00B013A0">
            <w:pPr>
              <w:spacing w:before="40" w:after="4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0</w:t>
            </w:r>
          </w:p>
        </w:tc>
        <w:tc>
          <w:tcPr>
            <w:tcW w:w="829" w:type="dxa"/>
            <w:noWrap/>
            <w:hideMark/>
          </w:tcPr>
          <w:p w14:paraId="70D96DC5" w14:textId="77777777" w:rsidR="00EF7301" w:rsidRPr="000973F2" w:rsidRDefault="00EF7301" w:rsidP="00B013A0">
            <w:pPr>
              <w:spacing w:before="40" w:after="4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1.0</w:t>
            </w:r>
          </w:p>
        </w:tc>
        <w:tc>
          <w:tcPr>
            <w:tcW w:w="705" w:type="dxa"/>
            <w:noWrap/>
            <w:hideMark/>
          </w:tcPr>
          <w:p w14:paraId="605514BA" w14:textId="4CD47233" w:rsidR="00EF7301" w:rsidRPr="000973F2" w:rsidRDefault="00EF7301" w:rsidP="00B013A0">
            <w:pPr>
              <w:spacing w:before="40" w:after="4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$0</w:t>
            </w:r>
          </w:p>
        </w:tc>
        <w:tc>
          <w:tcPr>
            <w:tcW w:w="829" w:type="dxa"/>
            <w:noWrap/>
            <w:hideMark/>
          </w:tcPr>
          <w:p w14:paraId="3B090EA5" w14:textId="0D2DE8E5" w:rsidR="00EF7301" w:rsidRPr="000973F2" w:rsidRDefault="00EF7301" w:rsidP="00B013A0">
            <w:pPr>
              <w:tabs>
                <w:tab w:val="decimal" w:pos="487"/>
              </w:tabs>
              <w:spacing w:before="40" w:after="4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$410</w:t>
            </w:r>
          </w:p>
        </w:tc>
      </w:tr>
      <w:tr w:rsidR="00E63D1D" w:rsidRPr="000973F2" w14:paraId="03FC5E6E" w14:textId="77777777" w:rsidTr="00E63D1D">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1318" w:type="dxa"/>
            <w:noWrap/>
            <w:hideMark/>
          </w:tcPr>
          <w:p w14:paraId="04942C2C" w14:textId="77777777" w:rsidR="00EF7301" w:rsidRPr="000973F2" w:rsidRDefault="00EF7301" w:rsidP="00E63D1D">
            <w:pPr>
              <w:spacing w:before="40" w:after="40"/>
              <w:rPr>
                <w:rFonts w:ascii="Times New Roman" w:eastAsia="Times New Roman" w:hAnsi="Times New Roman" w:cs="Times New Roman"/>
                <w:b/>
                <w:bCs w:val="0"/>
                <w:sz w:val="18"/>
                <w:szCs w:val="18"/>
              </w:rPr>
            </w:pPr>
            <w:r w:rsidRPr="000973F2">
              <w:rPr>
                <w:rFonts w:ascii="Times New Roman" w:eastAsia="Times New Roman" w:hAnsi="Times New Roman" w:cs="Times New Roman"/>
                <w:b/>
                <w:sz w:val="18"/>
                <w:szCs w:val="18"/>
              </w:rPr>
              <w:t>Total</w:t>
            </w:r>
          </w:p>
        </w:tc>
        <w:tc>
          <w:tcPr>
            <w:tcW w:w="715" w:type="dxa"/>
            <w:noWrap/>
            <w:hideMark/>
          </w:tcPr>
          <w:p w14:paraId="436F454A" w14:textId="77777777" w:rsidR="00EF7301" w:rsidRPr="000973F2" w:rsidRDefault="00EF7301" w:rsidP="00B013A0">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18"/>
                <w:szCs w:val="18"/>
              </w:rPr>
            </w:pPr>
            <w:r w:rsidRPr="000973F2">
              <w:rPr>
                <w:rFonts w:ascii="Times New Roman" w:eastAsia="Times New Roman" w:hAnsi="Times New Roman" w:cs="Times New Roman"/>
                <w:b/>
                <w:bCs/>
                <w:sz w:val="18"/>
                <w:szCs w:val="18"/>
              </w:rPr>
              <w:t>0</w:t>
            </w:r>
          </w:p>
        </w:tc>
        <w:tc>
          <w:tcPr>
            <w:tcW w:w="829" w:type="dxa"/>
            <w:noWrap/>
            <w:hideMark/>
          </w:tcPr>
          <w:p w14:paraId="1EC1EF4B" w14:textId="77777777" w:rsidR="00EF7301" w:rsidRPr="000973F2" w:rsidRDefault="00EF7301" w:rsidP="00B013A0">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18"/>
                <w:szCs w:val="18"/>
              </w:rPr>
            </w:pPr>
            <w:r w:rsidRPr="000973F2">
              <w:rPr>
                <w:rFonts w:ascii="Times New Roman" w:eastAsia="Times New Roman" w:hAnsi="Times New Roman" w:cs="Times New Roman"/>
                <w:b/>
                <w:bCs/>
                <w:sz w:val="18"/>
                <w:szCs w:val="18"/>
              </w:rPr>
              <w:t>1</w:t>
            </w:r>
          </w:p>
        </w:tc>
        <w:tc>
          <w:tcPr>
            <w:tcW w:w="715" w:type="dxa"/>
            <w:noWrap/>
            <w:hideMark/>
          </w:tcPr>
          <w:p w14:paraId="1105C7B2" w14:textId="77777777" w:rsidR="00EF7301" w:rsidRPr="000973F2" w:rsidRDefault="00EF7301" w:rsidP="00B013A0">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18"/>
                <w:szCs w:val="18"/>
              </w:rPr>
            </w:pPr>
            <w:r w:rsidRPr="000973F2">
              <w:rPr>
                <w:rFonts w:ascii="Times New Roman" w:eastAsia="Times New Roman" w:hAnsi="Times New Roman" w:cs="Times New Roman"/>
                <w:b/>
                <w:bCs/>
                <w:sz w:val="18"/>
                <w:szCs w:val="18"/>
              </w:rPr>
              <w:t>0</w:t>
            </w:r>
          </w:p>
        </w:tc>
        <w:tc>
          <w:tcPr>
            <w:tcW w:w="829" w:type="dxa"/>
            <w:noWrap/>
            <w:hideMark/>
          </w:tcPr>
          <w:p w14:paraId="25CABB07" w14:textId="77777777" w:rsidR="00EF7301" w:rsidRPr="000973F2" w:rsidRDefault="00EF7301" w:rsidP="00B013A0">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18"/>
                <w:szCs w:val="18"/>
              </w:rPr>
            </w:pPr>
            <w:r w:rsidRPr="000973F2">
              <w:rPr>
                <w:rFonts w:ascii="Times New Roman" w:eastAsia="Times New Roman" w:hAnsi="Times New Roman" w:cs="Times New Roman"/>
                <w:b/>
                <w:bCs/>
                <w:sz w:val="18"/>
                <w:szCs w:val="18"/>
              </w:rPr>
              <w:t>2.3</w:t>
            </w:r>
          </w:p>
        </w:tc>
        <w:tc>
          <w:tcPr>
            <w:tcW w:w="715" w:type="dxa"/>
            <w:noWrap/>
            <w:hideMark/>
          </w:tcPr>
          <w:p w14:paraId="6D75BA55" w14:textId="77777777" w:rsidR="00EF7301" w:rsidRPr="000973F2" w:rsidRDefault="00EF7301" w:rsidP="00B013A0">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18"/>
                <w:szCs w:val="18"/>
              </w:rPr>
            </w:pPr>
            <w:r w:rsidRPr="000973F2">
              <w:rPr>
                <w:rFonts w:ascii="Times New Roman" w:eastAsia="Times New Roman" w:hAnsi="Times New Roman" w:cs="Times New Roman"/>
                <w:b/>
                <w:bCs/>
                <w:sz w:val="18"/>
                <w:szCs w:val="18"/>
              </w:rPr>
              <w:t>0</w:t>
            </w:r>
          </w:p>
        </w:tc>
        <w:tc>
          <w:tcPr>
            <w:tcW w:w="829" w:type="dxa"/>
            <w:noWrap/>
            <w:hideMark/>
          </w:tcPr>
          <w:p w14:paraId="587A30F5" w14:textId="77777777" w:rsidR="00EF7301" w:rsidRPr="000973F2" w:rsidRDefault="00EF7301" w:rsidP="00B013A0">
            <w:pPr>
              <w:tabs>
                <w:tab w:val="decimal" w:pos="383"/>
              </w:tabs>
              <w:spacing w:before="40" w:after="4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18"/>
                <w:szCs w:val="18"/>
              </w:rPr>
            </w:pPr>
            <w:r w:rsidRPr="000973F2">
              <w:rPr>
                <w:rFonts w:ascii="Times New Roman" w:eastAsia="Times New Roman" w:hAnsi="Times New Roman" w:cs="Times New Roman"/>
                <w:b/>
                <w:bCs/>
                <w:sz w:val="18"/>
                <w:szCs w:val="18"/>
              </w:rPr>
              <w:t>14</w:t>
            </w:r>
          </w:p>
        </w:tc>
        <w:tc>
          <w:tcPr>
            <w:tcW w:w="715" w:type="dxa"/>
            <w:noWrap/>
            <w:hideMark/>
          </w:tcPr>
          <w:p w14:paraId="62B51E5D" w14:textId="77777777" w:rsidR="00EF7301" w:rsidRPr="000973F2" w:rsidRDefault="00EF7301" w:rsidP="00B013A0">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18"/>
                <w:szCs w:val="18"/>
              </w:rPr>
            </w:pPr>
            <w:r w:rsidRPr="000973F2">
              <w:rPr>
                <w:rFonts w:ascii="Times New Roman" w:eastAsia="Times New Roman" w:hAnsi="Times New Roman" w:cs="Times New Roman"/>
                <w:b/>
                <w:bCs/>
                <w:sz w:val="18"/>
                <w:szCs w:val="18"/>
              </w:rPr>
              <w:t>0</w:t>
            </w:r>
          </w:p>
        </w:tc>
        <w:tc>
          <w:tcPr>
            <w:tcW w:w="829" w:type="dxa"/>
            <w:noWrap/>
            <w:hideMark/>
          </w:tcPr>
          <w:p w14:paraId="595ABD2F" w14:textId="77777777" w:rsidR="00EF7301" w:rsidRPr="000973F2" w:rsidRDefault="00EF7301" w:rsidP="00B013A0">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18"/>
                <w:szCs w:val="18"/>
              </w:rPr>
            </w:pPr>
            <w:r w:rsidRPr="000973F2">
              <w:rPr>
                <w:rFonts w:ascii="Times New Roman" w:eastAsia="Times New Roman" w:hAnsi="Times New Roman" w:cs="Times New Roman"/>
                <w:b/>
                <w:bCs/>
                <w:sz w:val="18"/>
                <w:szCs w:val="18"/>
              </w:rPr>
              <w:t>1.9</w:t>
            </w:r>
          </w:p>
        </w:tc>
        <w:tc>
          <w:tcPr>
            <w:tcW w:w="705" w:type="dxa"/>
            <w:noWrap/>
            <w:hideMark/>
          </w:tcPr>
          <w:p w14:paraId="0918A764" w14:textId="354C4EEA" w:rsidR="00EF7301" w:rsidRPr="000973F2" w:rsidRDefault="00EF7301" w:rsidP="00B013A0">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18"/>
                <w:szCs w:val="18"/>
              </w:rPr>
            </w:pPr>
            <w:r w:rsidRPr="000973F2">
              <w:rPr>
                <w:rFonts w:ascii="Times New Roman" w:eastAsia="Times New Roman" w:hAnsi="Times New Roman" w:cs="Times New Roman"/>
                <w:b/>
                <w:bCs/>
                <w:sz w:val="18"/>
                <w:szCs w:val="18"/>
              </w:rPr>
              <w:t>$0</w:t>
            </w:r>
          </w:p>
        </w:tc>
        <w:tc>
          <w:tcPr>
            <w:tcW w:w="829" w:type="dxa"/>
            <w:noWrap/>
            <w:hideMark/>
          </w:tcPr>
          <w:p w14:paraId="11DA6FB6" w14:textId="4B7C49EA" w:rsidR="00EF7301" w:rsidRPr="000973F2" w:rsidRDefault="00EF7301" w:rsidP="00B013A0">
            <w:pPr>
              <w:tabs>
                <w:tab w:val="decimal" w:pos="487"/>
              </w:tabs>
              <w:spacing w:before="40" w:after="4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18"/>
                <w:szCs w:val="18"/>
              </w:rPr>
            </w:pPr>
            <w:r w:rsidRPr="000973F2">
              <w:rPr>
                <w:rFonts w:ascii="Times New Roman" w:eastAsia="Times New Roman" w:hAnsi="Times New Roman" w:cs="Times New Roman"/>
                <w:b/>
                <w:bCs/>
                <w:sz w:val="18"/>
                <w:szCs w:val="18"/>
              </w:rPr>
              <w:t>$1,383</w:t>
            </w:r>
          </w:p>
        </w:tc>
      </w:tr>
    </w:tbl>
    <w:p w14:paraId="03BF561D" w14:textId="77777777" w:rsidR="00EF7301" w:rsidRPr="000973F2" w:rsidRDefault="00EF7301" w:rsidP="00C00E4F">
      <w:pPr>
        <w:spacing w:line="240" w:lineRule="auto"/>
        <w:rPr>
          <w:rFonts w:ascii="Times New Roman" w:hAnsi="Times New Roman" w:cs="Times New Roman"/>
          <w:i/>
        </w:rPr>
      </w:pPr>
    </w:p>
    <w:p w14:paraId="5E575A32" w14:textId="77777777" w:rsidR="00EF7301" w:rsidRPr="000973F2" w:rsidRDefault="00EF7301" w:rsidP="00C00E4F">
      <w:pPr>
        <w:spacing w:line="240" w:lineRule="auto"/>
        <w:rPr>
          <w:rFonts w:ascii="Times New Roman" w:hAnsi="Times New Roman" w:cs="Times New Roman"/>
          <w:i/>
        </w:rPr>
      </w:pPr>
    </w:p>
    <w:p w14:paraId="582C0AD3" w14:textId="77777777" w:rsidR="00EF7301" w:rsidRPr="000973F2" w:rsidRDefault="00EF7301" w:rsidP="00C00E4F">
      <w:pPr>
        <w:spacing w:line="240" w:lineRule="auto"/>
        <w:rPr>
          <w:rFonts w:ascii="Times New Roman" w:hAnsi="Times New Roman" w:cs="Times New Roman"/>
          <w:i/>
        </w:rPr>
      </w:pPr>
      <w:r w:rsidRPr="000973F2">
        <w:rPr>
          <w:rFonts w:ascii="Times New Roman" w:hAnsi="Times New Roman" w:cs="Times New Roman"/>
          <w:i/>
        </w:rPr>
        <w:br w:type="page"/>
      </w:r>
    </w:p>
    <w:p w14:paraId="2CA8389D" w14:textId="7F8838B2" w:rsidR="00EF7301" w:rsidRPr="000973F2" w:rsidRDefault="00EF7301" w:rsidP="009C4191">
      <w:pPr>
        <w:pStyle w:val="Heading2"/>
      </w:pPr>
      <w:r w:rsidRPr="000973F2">
        <w:t xml:space="preserve">Capital and O&amp;M Costs for Subpart E </w:t>
      </w:r>
      <w:r w:rsidR="00B013A0" w:rsidRPr="000973F2">
        <w:t>–</w:t>
      </w:r>
      <w:r w:rsidRPr="000973F2">
        <w:t xml:space="preserve"> Alternative Monitoring Method Option</w:t>
      </w:r>
    </w:p>
    <w:p w14:paraId="4C90B175" w14:textId="68B2B2F2" w:rsidR="00EF7301" w:rsidRPr="000973F2" w:rsidRDefault="00EF7301" w:rsidP="00B013A0">
      <w:pPr>
        <w:pStyle w:val="BodyText"/>
      </w:pPr>
      <w:r w:rsidRPr="000973F2">
        <w:t xml:space="preserve">Table </w:t>
      </w:r>
      <w:r w:rsidR="00B013A0" w:rsidRPr="000973F2">
        <w:t>E-</w:t>
      </w:r>
      <w:r w:rsidRPr="000973F2">
        <w:t>2b below includes the capital and O&amp;M costs for the alternative monitoring method option. The costs related to recordkeeping are discussed in the Cost Appendix Introduction. The alternative monitoring method option at 98.53(b) allows facilities to use existing monitoring equipment to determine total N</w:t>
      </w:r>
      <w:r w:rsidRPr="000973F2">
        <w:rPr>
          <w:vertAlign w:val="subscript"/>
        </w:rPr>
        <w:t>2</w:t>
      </w:r>
      <w:r w:rsidRPr="000973F2">
        <w:t xml:space="preserve">O emissions; therefore, there are no equipment costs related to the GHGRP in Table </w:t>
      </w:r>
      <w:r w:rsidR="00B013A0" w:rsidRPr="000973F2">
        <w:t>E-</w:t>
      </w:r>
      <w:r w:rsidRPr="000973F2">
        <w:t>2b.</w:t>
      </w:r>
    </w:p>
    <w:p w14:paraId="75D82192" w14:textId="7A329E6B" w:rsidR="00EF7301" w:rsidRPr="000973F2" w:rsidRDefault="00036136" w:rsidP="00B013A0">
      <w:pPr>
        <w:pStyle w:val="Tabletitle"/>
      </w:pPr>
      <w:r w:rsidRPr="000973F2">
        <w:t xml:space="preserve">Table </w:t>
      </w:r>
      <w:r w:rsidR="00B013A0" w:rsidRPr="000973F2">
        <w:t>E-</w:t>
      </w:r>
      <w:r w:rsidRPr="000973F2">
        <w:t xml:space="preserve">2b. Capital and O&amp;M Costs </w:t>
      </w:r>
      <w:r w:rsidR="00B960CC" w:rsidRPr="000973F2">
        <w:t>–</w:t>
      </w:r>
      <w:r w:rsidRPr="000973F2">
        <w:t xml:space="preserve"> </w:t>
      </w:r>
      <w:r w:rsidR="00EF7301" w:rsidRPr="000973F2">
        <w:t xml:space="preserve">Subpart E </w:t>
      </w:r>
      <w:r w:rsidR="003F42BB" w:rsidRPr="000973F2">
        <w:t>–</w:t>
      </w:r>
      <w:r w:rsidR="00EF7301" w:rsidRPr="000973F2">
        <w:t xml:space="preserve"> Alternative Monitoring Method Option</w:t>
      </w:r>
    </w:p>
    <w:tbl>
      <w:tblPr>
        <w:tblStyle w:val="PlainTable1"/>
        <w:tblW w:w="5000" w:type="pct"/>
        <w:jc w:val="left"/>
        <w:tblLayout w:type="fixed"/>
        <w:tblCellMar>
          <w:left w:w="115" w:type="dxa"/>
          <w:right w:w="115" w:type="dxa"/>
        </w:tblCellMar>
        <w:tblLook w:val="04A0" w:firstRow="1" w:lastRow="0" w:firstColumn="1" w:lastColumn="0" w:noHBand="0" w:noVBand="1"/>
      </w:tblPr>
      <w:tblGrid>
        <w:gridCol w:w="1836"/>
        <w:gridCol w:w="1342"/>
        <w:gridCol w:w="1341"/>
        <w:gridCol w:w="1341"/>
        <w:gridCol w:w="1341"/>
        <w:gridCol w:w="1194"/>
        <w:gridCol w:w="1195"/>
      </w:tblGrid>
      <w:tr w:rsidR="007548EE" w:rsidRPr="000973F2" w14:paraId="055F527E" w14:textId="77777777" w:rsidTr="00B013A0">
        <w:trPr>
          <w:cnfStyle w:val="100000000000" w:firstRow="1" w:lastRow="0" w:firstColumn="0" w:lastColumn="0" w:oddVBand="0" w:evenVBand="0" w:oddHBand="0" w:evenHBand="0" w:firstRowFirstColumn="0" w:firstRowLastColumn="0" w:lastRowFirstColumn="0" w:lastRowLastColumn="0"/>
          <w:cantSplit/>
          <w:jc w:val="left"/>
        </w:trPr>
        <w:tc>
          <w:tcPr>
            <w:cnfStyle w:val="001000000000" w:firstRow="0" w:lastRow="0" w:firstColumn="1" w:lastColumn="0" w:oddVBand="0" w:evenVBand="0" w:oddHBand="0" w:evenHBand="0" w:firstRowFirstColumn="0" w:firstRowLastColumn="0" w:lastRowFirstColumn="0" w:lastRowLastColumn="0"/>
            <w:tcW w:w="1785" w:type="dxa"/>
            <w:vMerge w:val="restart"/>
            <w:noWrap/>
            <w:vAlign w:val="top"/>
            <w:hideMark/>
          </w:tcPr>
          <w:p w14:paraId="7F8CD3E6" w14:textId="705F8743" w:rsidR="007548EE" w:rsidRPr="000973F2" w:rsidRDefault="007548EE" w:rsidP="00B013A0">
            <w:pPr>
              <w:spacing w:before="40" w:after="40"/>
              <w:rPr>
                <w:rFonts w:ascii="Times New Roman" w:eastAsia="Times New Roman" w:hAnsi="Times New Roman" w:cs="Times New Roman"/>
                <w:b w:val="0"/>
                <w:bCs w:val="0"/>
                <w:sz w:val="18"/>
                <w:szCs w:val="18"/>
              </w:rPr>
            </w:pPr>
            <w:r w:rsidRPr="000973F2">
              <w:rPr>
                <w:rFonts w:ascii="Times New Roman" w:eastAsia="Times New Roman" w:hAnsi="Times New Roman" w:cs="Times New Roman"/>
                <w:sz w:val="18"/>
                <w:szCs w:val="18"/>
              </w:rPr>
              <w:t>Activity</w:t>
            </w:r>
          </w:p>
        </w:tc>
        <w:tc>
          <w:tcPr>
            <w:tcW w:w="5220" w:type="dxa"/>
            <w:gridSpan w:val="4"/>
            <w:noWrap/>
            <w:vAlign w:val="top"/>
            <w:hideMark/>
          </w:tcPr>
          <w:p w14:paraId="58AA141E" w14:textId="77777777" w:rsidR="007548EE" w:rsidRPr="000973F2" w:rsidRDefault="007548EE" w:rsidP="00B013A0">
            <w:pPr>
              <w:spacing w:before="40" w:after="40"/>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bCs w:val="0"/>
                <w:sz w:val="18"/>
                <w:szCs w:val="18"/>
              </w:rPr>
            </w:pPr>
            <w:r w:rsidRPr="000973F2">
              <w:rPr>
                <w:rFonts w:ascii="Times New Roman" w:eastAsia="Times New Roman" w:hAnsi="Times New Roman" w:cs="Times New Roman"/>
                <w:sz w:val="18"/>
                <w:szCs w:val="18"/>
              </w:rPr>
              <w:t>Cost Categories</w:t>
            </w:r>
          </w:p>
        </w:tc>
        <w:tc>
          <w:tcPr>
            <w:tcW w:w="2325" w:type="dxa"/>
            <w:gridSpan w:val="2"/>
            <w:vAlign w:val="top"/>
            <w:hideMark/>
          </w:tcPr>
          <w:p w14:paraId="1DCE1098" w14:textId="1D97DC9F" w:rsidR="007548EE" w:rsidRPr="000973F2" w:rsidRDefault="007548EE" w:rsidP="00B013A0">
            <w:pPr>
              <w:spacing w:before="40" w:after="40"/>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bCs w:val="0"/>
                <w:sz w:val="18"/>
                <w:szCs w:val="18"/>
              </w:rPr>
            </w:pPr>
            <w:r w:rsidRPr="000973F2">
              <w:rPr>
                <w:rFonts w:ascii="Times New Roman" w:eastAsia="Times New Roman" w:hAnsi="Times New Roman" w:cs="Times New Roman"/>
                <w:sz w:val="18"/>
                <w:szCs w:val="18"/>
              </w:rPr>
              <w:t>Total Capital and O&amp;M Cost per Year per Facility (2017$)</w:t>
            </w:r>
          </w:p>
        </w:tc>
      </w:tr>
      <w:tr w:rsidR="007548EE" w:rsidRPr="000973F2" w14:paraId="7E2B1D1F" w14:textId="77777777" w:rsidTr="00B013A0">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1785" w:type="dxa"/>
            <w:vMerge/>
            <w:noWrap/>
            <w:hideMark/>
          </w:tcPr>
          <w:p w14:paraId="34EC52E3" w14:textId="3367977B" w:rsidR="007548EE" w:rsidRPr="000973F2" w:rsidRDefault="007548EE" w:rsidP="00B013A0">
            <w:pPr>
              <w:spacing w:before="40" w:after="40"/>
              <w:jc w:val="center"/>
              <w:rPr>
                <w:rFonts w:ascii="Times New Roman" w:eastAsia="Times New Roman" w:hAnsi="Times New Roman" w:cs="Times New Roman"/>
                <w:b/>
                <w:bCs w:val="0"/>
                <w:sz w:val="18"/>
                <w:szCs w:val="18"/>
              </w:rPr>
            </w:pPr>
          </w:p>
        </w:tc>
        <w:tc>
          <w:tcPr>
            <w:tcW w:w="1305" w:type="dxa"/>
            <w:hideMark/>
          </w:tcPr>
          <w:p w14:paraId="6934A142" w14:textId="77777777" w:rsidR="007548EE" w:rsidRPr="000973F2" w:rsidRDefault="007548EE" w:rsidP="00B013A0">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18"/>
                <w:szCs w:val="18"/>
              </w:rPr>
            </w:pPr>
            <w:r w:rsidRPr="000973F2">
              <w:rPr>
                <w:rFonts w:ascii="Times New Roman" w:eastAsia="Times New Roman" w:hAnsi="Times New Roman" w:cs="Times New Roman"/>
                <w:b/>
                <w:bCs/>
                <w:sz w:val="18"/>
                <w:szCs w:val="18"/>
              </w:rPr>
              <w:t>Capital Cost (2017$)</w:t>
            </w:r>
          </w:p>
        </w:tc>
        <w:tc>
          <w:tcPr>
            <w:tcW w:w="1305" w:type="dxa"/>
            <w:hideMark/>
          </w:tcPr>
          <w:p w14:paraId="231B562B" w14:textId="77777777" w:rsidR="007548EE" w:rsidRPr="000973F2" w:rsidRDefault="007548EE" w:rsidP="00B013A0">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18"/>
                <w:szCs w:val="18"/>
              </w:rPr>
            </w:pPr>
            <w:r w:rsidRPr="000973F2">
              <w:rPr>
                <w:rFonts w:ascii="Times New Roman" w:eastAsia="Times New Roman" w:hAnsi="Times New Roman" w:cs="Times New Roman"/>
                <w:b/>
                <w:bCs/>
                <w:sz w:val="18"/>
                <w:szCs w:val="18"/>
              </w:rPr>
              <w:t>Equipment Lifetime</w:t>
            </w:r>
          </w:p>
        </w:tc>
        <w:tc>
          <w:tcPr>
            <w:tcW w:w="1305" w:type="dxa"/>
            <w:hideMark/>
          </w:tcPr>
          <w:p w14:paraId="6AC56664" w14:textId="77777777" w:rsidR="007548EE" w:rsidRPr="000973F2" w:rsidRDefault="007548EE" w:rsidP="00B013A0">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18"/>
                <w:szCs w:val="18"/>
              </w:rPr>
            </w:pPr>
            <w:r w:rsidRPr="000973F2">
              <w:rPr>
                <w:rFonts w:ascii="Times New Roman" w:eastAsia="Times New Roman" w:hAnsi="Times New Roman" w:cs="Times New Roman"/>
                <w:b/>
                <w:bCs/>
                <w:sz w:val="18"/>
                <w:szCs w:val="18"/>
              </w:rPr>
              <w:t>Annualized Capital Cost (2017$/year)</w:t>
            </w:r>
          </w:p>
        </w:tc>
        <w:tc>
          <w:tcPr>
            <w:tcW w:w="1305" w:type="dxa"/>
            <w:hideMark/>
          </w:tcPr>
          <w:p w14:paraId="31F60211" w14:textId="77777777" w:rsidR="007548EE" w:rsidRPr="000973F2" w:rsidRDefault="007548EE" w:rsidP="00B013A0">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18"/>
                <w:szCs w:val="18"/>
              </w:rPr>
            </w:pPr>
            <w:r w:rsidRPr="000973F2">
              <w:rPr>
                <w:rFonts w:ascii="Times New Roman" w:eastAsia="Times New Roman" w:hAnsi="Times New Roman" w:cs="Times New Roman"/>
                <w:b/>
                <w:bCs/>
                <w:sz w:val="18"/>
                <w:szCs w:val="18"/>
              </w:rPr>
              <w:t>O&amp;M Costs (2017$/year)</w:t>
            </w:r>
          </w:p>
        </w:tc>
        <w:tc>
          <w:tcPr>
            <w:tcW w:w="1162" w:type="dxa"/>
            <w:hideMark/>
          </w:tcPr>
          <w:p w14:paraId="45BA03D7" w14:textId="77777777" w:rsidR="007548EE" w:rsidRPr="000973F2" w:rsidRDefault="007548EE" w:rsidP="00B013A0">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18"/>
                <w:szCs w:val="18"/>
              </w:rPr>
            </w:pPr>
            <w:r w:rsidRPr="000973F2">
              <w:rPr>
                <w:rFonts w:ascii="Times New Roman" w:eastAsia="Times New Roman" w:hAnsi="Times New Roman" w:cs="Times New Roman"/>
                <w:b/>
                <w:bCs/>
                <w:sz w:val="18"/>
                <w:szCs w:val="18"/>
              </w:rPr>
              <w:t>Initial Year</w:t>
            </w:r>
          </w:p>
        </w:tc>
        <w:tc>
          <w:tcPr>
            <w:tcW w:w="1163" w:type="dxa"/>
            <w:hideMark/>
          </w:tcPr>
          <w:p w14:paraId="0C323BC1" w14:textId="77777777" w:rsidR="007548EE" w:rsidRPr="000973F2" w:rsidRDefault="007548EE" w:rsidP="00B013A0">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18"/>
                <w:szCs w:val="18"/>
              </w:rPr>
            </w:pPr>
            <w:r w:rsidRPr="000973F2">
              <w:rPr>
                <w:rFonts w:ascii="Times New Roman" w:eastAsia="Times New Roman" w:hAnsi="Times New Roman" w:cs="Times New Roman"/>
                <w:b/>
                <w:bCs/>
                <w:sz w:val="18"/>
                <w:szCs w:val="18"/>
              </w:rPr>
              <w:t>Subseq. Years</w:t>
            </w:r>
          </w:p>
        </w:tc>
      </w:tr>
      <w:tr w:rsidR="00034890" w:rsidRPr="000973F2" w14:paraId="6D537E2A" w14:textId="77777777" w:rsidTr="00B013A0">
        <w:trPr>
          <w:cantSplit/>
        </w:trPr>
        <w:tc>
          <w:tcPr>
            <w:cnfStyle w:val="001000000000" w:firstRow="0" w:lastRow="0" w:firstColumn="1" w:lastColumn="0" w:oddVBand="0" w:evenVBand="0" w:oddHBand="0" w:evenHBand="0" w:firstRowFirstColumn="0" w:firstRowLastColumn="0" w:lastRowFirstColumn="0" w:lastRowLastColumn="0"/>
            <w:tcW w:w="1785" w:type="dxa"/>
            <w:hideMark/>
          </w:tcPr>
          <w:p w14:paraId="57092F70" w14:textId="77777777" w:rsidR="00034890" w:rsidRPr="000973F2" w:rsidRDefault="00034890" w:rsidP="00034890">
            <w:pPr>
              <w:spacing w:before="40" w:after="4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Equipment (selection, purchase, installation)</w:t>
            </w:r>
          </w:p>
        </w:tc>
        <w:tc>
          <w:tcPr>
            <w:tcW w:w="1305" w:type="dxa"/>
            <w:noWrap/>
            <w:hideMark/>
          </w:tcPr>
          <w:p w14:paraId="166DBB39" w14:textId="05ECD7A9" w:rsidR="00034890" w:rsidRPr="000973F2" w:rsidRDefault="00034890" w:rsidP="00034890">
            <w:pPr>
              <w:spacing w:before="40" w:after="4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w:t>
            </w:r>
          </w:p>
        </w:tc>
        <w:tc>
          <w:tcPr>
            <w:tcW w:w="1305" w:type="dxa"/>
            <w:noWrap/>
          </w:tcPr>
          <w:p w14:paraId="0AB443E4" w14:textId="724698D3" w:rsidR="00034890" w:rsidRPr="000973F2" w:rsidRDefault="00034890" w:rsidP="00034890">
            <w:pPr>
              <w:spacing w:before="40" w:after="4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p>
        </w:tc>
        <w:tc>
          <w:tcPr>
            <w:tcW w:w="1305" w:type="dxa"/>
            <w:noWrap/>
            <w:hideMark/>
          </w:tcPr>
          <w:p w14:paraId="409D2E90" w14:textId="441999E0" w:rsidR="00034890" w:rsidRPr="000973F2" w:rsidRDefault="00034890" w:rsidP="00034890">
            <w:pPr>
              <w:spacing w:before="40" w:after="4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w:t>
            </w:r>
          </w:p>
        </w:tc>
        <w:tc>
          <w:tcPr>
            <w:tcW w:w="1305" w:type="dxa"/>
            <w:noWrap/>
            <w:hideMark/>
          </w:tcPr>
          <w:p w14:paraId="69100EA5" w14:textId="64384BC5" w:rsidR="00034890" w:rsidRPr="000973F2" w:rsidRDefault="00034890" w:rsidP="00034890">
            <w:pPr>
              <w:spacing w:before="40" w:after="4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w:t>
            </w:r>
          </w:p>
        </w:tc>
        <w:tc>
          <w:tcPr>
            <w:tcW w:w="1162" w:type="dxa"/>
            <w:noWrap/>
            <w:hideMark/>
          </w:tcPr>
          <w:p w14:paraId="280EC2F5" w14:textId="2AA2D881" w:rsidR="00034890" w:rsidRPr="000973F2" w:rsidRDefault="00034890" w:rsidP="00034890">
            <w:pPr>
              <w:spacing w:before="40" w:after="4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w:t>
            </w:r>
          </w:p>
        </w:tc>
        <w:tc>
          <w:tcPr>
            <w:tcW w:w="1163" w:type="dxa"/>
            <w:noWrap/>
            <w:hideMark/>
          </w:tcPr>
          <w:p w14:paraId="595A03E0" w14:textId="142EC509" w:rsidR="00034890" w:rsidRPr="000973F2" w:rsidRDefault="00034890" w:rsidP="00034890">
            <w:pPr>
              <w:spacing w:before="40" w:after="4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w:t>
            </w:r>
          </w:p>
        </w:tc>
      </w:tr>
      <w:tr w:rsidR="00034890" w:rsidRPr="000973F2" w14:paraId="7340E822" w14:textId="77777777" w:rsidTr="00B013A0">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1785" w:type="dxa"/>
            <w:hideMark/>
          </w:tcPr>
          <w:p w14:paraId="371C10A3" w14:textId="77777777" w:rsidR="00034890" w:rsidRPr="000973F2" w:rsidRDefault="00034890" w:rsidP="00034890">
            <w:pPr>
              <w:spacing w:before="40" w:after="4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Performance testing</w:t>
            </w:r>
          </w:p>
        </w:tc>
        <w:tc>
          <w:tcPr>
            <w:tcW w:w="1305" w:type="dxa"/>
            <w:noWrap/>
            <w:hideMark/>
          </w:tcPr>
          <w:p w14:paraId="4AB70EF6" w14:textId="3CB16881" w:rsidR="00034890" w:rsidRPr="000973F2" w:rsidRDefault="00034890" w:rsidP="00034890">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w:t>
            </w:r>
          </w:p>
        </w:tc>
        <w:tc>
          <w:tcPr>
            <w:tcW w:w="1305" w:type="dxa"/>
            <w:noWrap/>
          </w:tcPr>
          <w:p w14:paraId="6BC5D3B9" w14:textId="1961DCC7" w:rsidR="00034890" w:rsidRPr="000973F2" w:rsidRDefault="00034890" w:rsidP="00034890">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p>
        </w:tc>
        <w:tc>
          <w:tcPr>
            <w:tcW w:w="1305" w:type="dxa"/>
            <w:noWrap/>
            <w:hideMark/>
          </w:tcPr>
          <w:p w14:paraId="1F5850AD" w14:textId="7C939AC1" w:rsidR="00034890" w:rsidRPr="000973F2" w:rsidRDefault="00034890" w:rsidP="00034890">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w:t>
            </w:r>
          </w:p>
        </w:tc>
        <w:tc>
          <w:tcPr>
            <w:tcW w:w="1305" w:type="dxa"/>
            <w:noWrap/>
            <w:hideMark/>
          </w:tcPr>
          <w:p w14:paraId="1A1BC90D" w14:textId="603F6330" w:rsidR="00034890" w:rsidRPr="000973F2" w:rsidRDefault="00034890" w:rsidP="00034890">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w:t>
            </w:r>
          </w:p>
        </w:tc>
        <w:tc>
          <w:tcPr>
            <w:tcW w:w="1162" w:type="dxa"/>
            <w:noWrap/>
            <w:hideMark/>
          </w:tcPr>
          <w:p w14:paraId="36FCC726" w14:textId="6326982C" w:rsidR="00034890" w:rsidRPr="000973F2" w:rsidRDefault="00034890" w:rsidP="00034890">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w:t>
            </w:r>
          </w:p>
        </w:tc>
        <w:tc>
          <w:tcPr>
            <w:tcW w:w="1163" w:type="dxa"/>
            <w:noWrap/>
            <w:hideMark/>
          </w:tcPr>
          <w:p w14:paraId="1A70C4F7" w14:textId="18619D75" w:rsidR="00034890" w:rsidRPr="000973F2" w:rsidRDefault="00034890" w:rsidP="00034890">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w:t>
            </w:r>
          </w:p>
        </w:tc>
      </w:tr>
      <w:tr w:rsidR="00EF7301" w:rsidRPr="000973F2" w14:paraId="74F73B24" w14:textId="77777777" w:rsidTr="00B013A0">
        <w:trPr>
          <w:cantSplit/>
        </w:trPr>
        <w:tc>
          <w:tcPr>
            <w:cnfStyle w:val="001000000000" w:firstRow="0" w:lastRow="0" w:firstColumn="1" w:lastColumn="0" w:oddVBand="0" w:evenVBand="0" w:oddHBand="0" w:evenHBand="0" w:firstRowFirstColumn="0" w:firstRowLastColumn="0" w:lastRowFirstColumn="0" w:lastRowLastColumn="0"/>
            <w:tcW w:w="1785" w:type="dxa"/>
            <w:hideMark/>
          </w:tcPr>
          <w:p w14:paraId="1C16473B" w14:textId="77777777" w:rsidR="00EF7301" w:rsidRPr="000973F2" w:rsidRDefault="00EF7301" w:rsidP="00B013A0">
            <w:pPr>
              <w:spacing w:before="40" w:after="4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Recordkeeping</w:t>
            </w:r>
          </w:p>
        </w:tc>
        <w:tc>
          <w:tcPr>
            <w:tcW w:w="1305" w:type="dxa"/>
            <w:noWrap/>
            <w:hideMark/>
          </w:tcPr>
          <w:p w14:paraId="1DB7650C" w14:textId="77777777" w:rsidR="00EF7301" w:rsidRPr="000973F2" w:rsidRDefault="00EF7301" w:rsidP="00B013A0">
            <w:pPr>
              <w:spacing w:before="40" w:after="4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$0</w:t>
            </w:r>
          </w:p>
        </w:tc>
        <w:tc>
          <w:tcPr>
            <w:tcW w:w="1305" w:type="dxa"/>
            <w:noWrap/>
          </w:tcPr>
          <w:p w14:paraId="1FAC4332" w14:textId="2FE67D61" w:rsidR="00EF7301" w:rsidRPr="000973F2" w:rsidRDefault="00EF7301" w:rsidP="00B013A0">
            <w:pPr>
              <w:spacing w:before="40" w:after="4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p>
        </w:tc>
        <w:tc>
          <w:tcPr>
            <w:tcW w:w="1305" w:type="dxa"/>
            <w:noWrap/>
            <w:hideMark/>
          </w:tcPr>
          <w:p w14:paraId="2E9A93BB" w14:textId="77777777" w:rsidR="00EF7301" w:rsidRPr="000973F2" w:rsidRDefault="00EF7301" w:rsidP="00B013A0">
            <w:pPr>
              <w:spacing w:before="40" w:after="4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$0</w:t>
            </w:r>
          </w:p>
        </w:tc>
        <w:tc>
          <w:tcPr>
            <w:tcW w:w="1305" w:type="dxa"/>
            <w:noWrap/>
            <w:hideMark/>
          </w:tcPr>
          <w:p w14:paraId="7B223A1B" w14:textId="77777777" w:rsidR="00EF7301" w:rsidRPr="000973F2" w:rsidRDefault="00EF7301" w:rsidP="00B013A0">
            <w:pPr>
              <w:spacing w:before="40" w:after="4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$50</w:t>
            </w:r>
          </w:p>
        </w:tc>
        <w:tc>
          <w:tcPr>
            <w:tcW w:w="1162" w:type="dxa"/>
            <w:noWrap/>
            <w:hideMark/>
          </w:tcPr>
          <w:p w14:paraId="6B1C2175" w14:textId="77777777" w:rsidR="00EF7301" w:rsidRPr="000973F2" w:rsidRDefault="00EF7301" w:rsidP="00B013A0">
            <w:pPr>
              <w:spacing w:before="40" w:after="4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$0</w:t>
            </w:r>
          </w:p>
        </w:tc>
        <w:tc>
          <w:tcPr>
            <w:tcW w:w="1163" w:type="dxa"/>
            <w:noWrap/>
            <w:hideMark/>
          </w:tcPr>
          <w:p w14:paraId="313C64E4" w14:textId="77777777" w:rsidR="00EF7301" w:rsidRPr="000973F2" w:rsidRDefault="00EF7301" w:rsidP="00B013A0">
            <w:pPr>
              <w:spacing w:before="40" w:after="4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$50</w:t>
            </w:r>
          </w:p>
        </w:tc>
      </w:tr>
      <w:tr w:rsidR="00034890" w:rsidRPr="000973F2" w14:paraId="39E323C6" w14:textId="77777777" w:rsidTr="00B013A0">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1785" w:type="dxa"/>
            <w:hideMark/>
          </w:tcPr>
          <w:p w14:paraId="4BA4DCBF" w14:textId="77777777" w:rsidR="00034890" w:rsidRPr="000973F2" w:rsidRDefault="00034890" w:rsidP="00034890">
            <w:pPr>
              <w:spacing w:before="40" w:after="4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Travel</w:t>
            </w:r>
          </w:p>
        </w:tc>
        <w:tc>
          <w:tcPr>
            <w:tcW w:w="1305" w:type="dxa"/>
            <w:noWrap/>
            <w:hideMark/>
          </w:tcPr>
          <w:p w14:paraId="0EB57138" w14:textId="3522077F" w:rsidR="00034890" w:rsidRPr="000973F2" w:rsidRDefault="00034890" w:rsidP="00034890">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w:t>
            </w:r>
          </w:p>
        </w:tc>
        <w:tc>
          <w:tcPr>
            <w:tcW w:w="1305" w:type="dxa"/>
            <w:noWrap/>
          </w:tcPr>
          <w:p w14:paraId="61C51F0C" w14:textId="5A5F772A" w:rsidR="00034890" w:rsidRPr="000973F2" w:rsidRDefault="00034890" w:rsidP="00034890">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p>
        </w:tc>
        <w:tc>
          <w:tcPr>
            <w:tcW w:w="1305" w:type="dxa"/>
            <w:noWrap/>
            <w:hideMark/>
          </w:tcPr>
          <w:p w14:paraId="624507EB" w14:textId="7F0D4564" w:rsidR="00034890" w:rsidRPr="000973F2" w:rsidRDefault="00034890" w:rsidP="00034890">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w:t>
            </w:r>
          </w:p>
        </w:tc>
        <w:tc>
          <w:tcPr>
            <w:tcW w:w="1305" w:type="dxa"/>
            <w:noWrap/>
            <w:hideMark/>
          </w:tcPr>
          <w:p w14:paraId="0D4DA62E" w14:textId="25EFF6A2" w:rsidR="00034890" w:rsidRPr="000973F2" w:rsidRDefault="00034890" w:rsidP="00034890">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w:t>
            </w:r>
          </w:p>
        </w:tc>
        <w:tc>
          <w:tcPr>
            <w:tcW w:w="1162" w:type="dxa"/>
            <w:noWrap/>
            <w:hideMark/>
          </w:tcPr>
          <w:p w14:paraId="76ECE416" w14:textId="72D4F65A" w:rsidR="00034890" w:rsidRPr="000973F2" w:rsidRDefault="00034890" w:rsidP="00034890">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w:t>
            </w:r>
          </w:p>
        </w:tc>
        <w:tc>
          <w:tcPr>
            <w:tcW w:w="1163" w:type="dxa"/>
            <w:noWrap/>
            <w:hideMark/>
          </w:tcPr>
          <w:p w14:paraId="78F714BA" w14:textId="4DDA0AE7" w:rsidR="00034890" w:rsidRPr="000973F2" w:rsidRDefault="00034890" w:rsidP="00034890">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w:t>
            </w:r>
          </w:p>
        </w:tc>
      </w:tr>
      <w:tr w:rsidR="00034890" w:rsidRPr="000973F2" w14:paraId="30F900DF" w14:textId="77777777" w:rsidTr="00B013A0">
        <w:trPr>
          <w:cantSplit/>
        </w:trPr>
        <w:tc>
          <w:tcPr>
            <w:cnfStyle w:val="001000000000" w:firstRow="0" w:lastRow="0" w:firstColumn="1" w:lastColumn="0" w:oddVBand="0" w:evenVBand="0" w:oddHBand="0" w:evenHBand="0" w:firstRowFirstColumn="0" w:firstRowLastColumn="0" w:lastRowFirstColumn="0" w:lastRowLastColumn="0"/>
            <w:tcW w:w="1785" w:type="dxa"/>
            <w:hideMark/>
          </w:tcPr>
          <w:p w14:paraId="59E034AD" w14:textId="04D32DAB" w:rsidR="00034890" w:rsidRPr="000973F2" w:rsidRDefault="00034890" w:rsidP="00034890">
            <w:pPr>
              <w:spacing w:before="40" w:after="4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Sampling and Analysis Costs</w:t>
            </w:r>
          </w:p>
        </w:tc>
        <w:tc>
          <w:tcPr>
            <w:tcW w:w="1305" w:type="dxa"/>
            <w:noWrap/>
            <w:hideMark/>
          </w:tcPr>
          <w:p w14:paraId="0951B136" w14:textId="75F26E2E" w:rsidR="00034890" w:rsidRPr="000973F2" w:rsidRDefault="00034890" w:rsidP="00034890">
            <w:pPr>
              <w:spacing w:before="40" w:after="4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w:t>
            </w:r>
          </w:p>
        </w:tc>
        <w:tc>
          <w:tcPr>
            <w:tcW w:w="1305" w:type="dxa"/>
            <w:noWrap/>
          </w:tcPr>
          <w:p w14:paraId="1E08085C" w14:textId="1B6B5AEE" w:rsidR="00034890" w:rsidRPr="000973F2" w:rsidRDefault="00034890" w:rsidP="00034890">
            <w:pPr>
              <w:spacing w:before="40" w:after="4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p>
        </w:tc>
        <w:tc>
          <w:tcPr>
            <w:tcW w:w="1305" w:type="dxa"/>
            <w:noWrap/>
            <w:hideMark/>
          </w:tcPr>
          <w:p w14:paraId="35357D8D" w14:textId="7308E4E6" w:rsidR="00034890" w:rsidRPr="000973F2" w:rsidRDefault="00034890" w:rsidP="00034890">
            <w:pPr>
              <w:spacing w:before="40" w:after="4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w:t>
            </w:r>
          </w:p>
        </w:tc>
        <w:tc>
          <w:tcPr>
            <w:tcW w:w="1305" w:type="dxa"/>
            <w:noWrap/>
            <w:hideMark/>
          </w:tcPr>
          <w:p w14:paraId="601E52AD" w14:textId="017BC71B" w:rsidR="00034890" w:rsidRPr="000973F2" w:rsidRDefault="00034890" w:rsidP="00034890">
            <w:pPr>
              <w:spacing w:before="40" w:after="4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w:t>
            </w:r>
          </w:p>
        </w:tc>
        <w:tc>
          <w:tcPr>
            <w:tcW w:w="1162" w:type="dxa"/>
            <w:noWrap/>
            <w:hideMark/>
          </w:tcPr>
          <w:p w14:paraId="0656A97E" w14:textId="15FF40A7" w:rsidR="00034890" w:rsidRPr="000973F2" w:rsidRDefault="00034890" w:rsidP="00034890">
            <w:pPr>
              <w:spacing w:before="40" w:after="4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w:t>
            </w:r>
          </w:p>
        </w:tc>
        <w:tc>
          <w:tcPr>
            <w:tcW w:w="1163" w:type="dxa"/>
            <w:noWrap/>
            <w:hideMark/>
          </w:tcPr>
          <w:p w14:paraId="45B0F6CD" w14:textId="0A4E20A2" w:rsidR="00034890" w:rsidRPr="000973F2" w:rsidRDefault="00034890" w:rsidP="00034890">
            <w:pPr>
              <w:spacing w:before="40" w:after="4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w:t>
            </w:r>
          </w:p>
        </w:tc>
      </w:tr>
      <w:tr w:rsidR="00EF7301" w:rsidRPr="000973F2" w14:paraId="095FC810" w14:textId="77777777" w:rsidTr="00B013A0">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1785" w:type="dxa"/>
            <w:hideMark/>
          </w:tcPr>
          <w:p w14:paraId="5BA34227" w14:textId="77777777" w:rsidR="00EF7301" w:rsidRPr="000973F2" w:rsidRDefault="00EF7301" w:rsidP="00B013A0">
            <w:pPr>
              <w:spacing w:before="40" w:after="40"/>
              <w:rPr>
                <w:rFonts w:ascii="Times New Roman" w:eastAsia="Times New Roman" w:hAnsi="Times New Roman" w:cs="Times New Roman"/>
                <w:b/>
                <w:bCs w:val="0"/>
                <w:sz w:val="18"/>
                <w:szCs w:val="18"/>
              </w:rPr>
            </w:pPr>
            <w:r w:rsidRPr="000973F2">
              <w:rPr>
                <w:rFonts w:ascii="Times New Roman" w:eastAsia="Times New Roman" w:hAnsi="Times New Roman" w:cs="Times New Roman"/>
                <w:b/>
                <w:sz w:val="18"/>
                <w:szCs w:val="18"/>
              </w:rPr>
              <w:t>Total</w:t>
            </w:r>
          </w:p>
        </w:tc>
        <w:tc>
          <w:tcPr>
            <w:tcW w:w="1305" w:type="dxa"/>
            <w:noWrap/>
            <w:hideMark/>
          </w:tcPr>
          <w:p w14:paraId="212DB586" w14:textId="77777777" w:rsidR="00EF7301" w:rsidRPr="000973F2" w:rsidRDefault="00EF7301" w:rsidP="00B013A0">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$0</w:t>
            </w:r>
          </w:p>
        </w:tc>
        <w:tc>
          <w:tcPr>
            <w:tcW w:w="1305" w:type="dxa"/>
            <w:noWrap/>
            <w:hideMark/>
          </w:tcPr>
          <w:p w14:paraId="7199A9F9" w14:textId="65F78D9C" w:rsidR="00EF7301" w:rsidRPr="000973F2" w:rsidRDefault="00EF7301" w:rsidP="00B013A0">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p>
        </w:tc>
        <w:tc>
          <w:tcPr>
            <w:tcW w:w="1305" w:type="dxa"/>
            <w:noWrap/>
            <w:hideMark/>
          </w:tcPr>
          <w:p w14:paraId="2F1A9C8F" w14:textId="77777777" w:rsidR="00EF7301" w:rsidRPr="000973F2" w:rsidRDefault="00EF7301" w:rsidP="00B013A0">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$0</w:t>
            </w:r>
          </w:p>
        </w:tc>
        <w:tc>
          <w:tcPr>
            <w:tcW w:w="1305" w:type="dxa"/>
            <w:noWrap/>
            <w:hideMark/>
          </w:tcPr>
          <w:p w14:paraId="2AF4F164" w14:textId="77777777" w:rsidR="00EF7301" w:rsidRPr="000973F2" w:rsidRDefault="00EF7301" w:rsidP="00B013A0">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$50</w:t>
            </w:r>
          </w:p>
        </w:tc>
        <w:tc>
          <w:tcPr>
            <w:tcW w:w="1162" w:type="dxa"/>
            <w:noWrap/>
            <w:hideMark/>
          </w:tcPr>
          <w:p w14:paraId="11DD6232" w14:textId="77777777" w:rsidR="00EF7301" w:rsidRPr="000973F2" w:rsidRDefault="00EF7301" w:rsidP="00B013A0">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$0</w:t>
            </w:r>
          </w:p>
        </w:tc>
        <w:tc>
          <w:tcPr>
            <w:tcW w:w="1163" w:type="dxa"/>
            <w:noWrap/>
            <w:hideMark/>
          </w:tcPr>
          <w:p w14:paraId="750CDBF9" w14:textId="77777777" w:rsidR="00EF7301" w:rsidRPr="000973F2" w:rsidRDefault="00EF7301" w:rsidP="00B013A0">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$50</w:t>
            </w:r>
          </w:p>
        </w:tc>
      </w:tr>
    </w:tbl>
    <w:p w14:paraId="3A8AB0CE" w14:textId="77777777" w:rsidR="00EF7301" w:rsidRPr="000973F2" w:rsidRDefault="00EF7301" w:rsidP="00B013A0">
      <w:pPr>
        <w:pStyle w:val="AfterTable"/>
      </w:pPr>
    </w:p>
    <w:p w14:paraId="212CF208" w14:textId="77777777" w:rsidR="00EF7301" w:rsidRPr="000973F2" w:rsidRDefault="00EF7301" w:rsidP="00B013A0">
      <w:pPr>
        <w:pStyle w:val="Heading2"/>
      </w:pPr>
      <w:r w:rsidRPr="000973F2">
        <w:t>Total Costs for Subpart E</w:t>
      </w:r>
    </w:p>
    <w:p w14:paraId="544DE583" w14:textId="6C1A6806" w:rsidR="00EF7301" w:rsidRPr="000973F2" w:rsidRDefault="00EF7301" w:rsidP="00B013A0">
      <w:pPr>
        <w:pStyle w:val="BodyText"/>
      </w:pPr>
      <w:r w:rsidRPr="000973F2">
        <w:t>The total industry costs related to Subpart E are approximately $8,700 per year for a total of approximately $26,</w:t>
      </w:r>
      <w:r w:rsidR="00F17E45" w:rsidRPr="000973F2">
        <w:t>1</w:t>
      </w:r>
      <w:r w:rsidRPr="000973F2">
        <w:t>00 over the three-year period of the ICR. Two facilities are expected to report in 2019, 2020, and 2021.</w:t>
      </w:r>
    </w:p>
    <w:p w14:paraId="4B6AACCE" w14:textId="77777777" w:rsidR="00EF7301" w:rsidRPr="000973F2" w:rsidRDefault="00EF7301" w:rsidP="00C00E4F">
      <w:pPr>
        <w:spacing w:line="240" w:lineRule="auto"/>
        <w:rPr>
          <w:rFonts w:ascii="Times New Roman" w:hAnsi="Times New Roman" w:cs="Times New Roman"/>
        </w:rPr>
      </w:pPr>
    </w:p>
    <w:p w14:paraId="75CAE951" w14:textId="415536B2" w:rsidR="00EF7301" w:rsidRPr="000973F2" w:rsidRDefault="00EF7301" w:rsidP="00C00E4F">
      <w:pPr>
        <w:spacing w:line="240" w:lineRule="auto"/>
        <w:rPr>
          <w:rFonts w:ascii="Times New Roman" w:hAnsi="Times New Roman" w:cs="Times New Roman"/>
        </w:rPr>
      </w:pPr>
      <w:r w:rsidRPr="000973F2">
        <w:rPr>
          <w:rFonts w:ascii="Times New Roman" w:hAnsi="Times New Roman" w:cs="Times New Roman"/>
        </w:rPr>
        <w:br w:type="page"/>
      </w:r>
    </w:p>
    <w:p w14:paraId="6C65F9B3" w14:textId="77777777" w:rsidR="001A5460" w:rsidRPr="000973F2" w:rsidRDefault="001A5460" w:rsidP="00C00E4F">
      <w:pPr>
        <w:pStyle w:val="Heading1"/>
        <w:spacing w:line="240" w:lineRule="auto"/>
      </w:pPr>
      <w:bookmarkStart w:id="14" w:name="_Toc10715598"/>
      <w:r w:rsidRPr="000973F2">
        <w:t>Cost Appendix for Subpart F – Aluminum Production</w:t>
      </w:r>
      <w:bookmarkEnd w:id="14"/>
    </w:p>
    <w:p w14:paraId="1F293520" w14:textId="77777777" w:rsidR="001A5460" w:rsidRPr="000973F2" w:rsidRDefault="001A5460" w:rsidP="009C4191">
      <w:pPr>
        <w:pStyle w:val="Heading2"/>
      </w:pPr>
      <w:r w:rsidRPr="000973F2">
        <w:t>Description of Subpart F</w:t>
      </w:r>
    </w:p>
    <w:p w14:paraId="0AE7D216" w14:textId="2D5D0BBC" w:rsidR="001A5460" w:rsidRPr="000973F2" w:rsidRDefault="001A5460" w:rsidP="00B013A0">
      <w:pPr>
        <w:pStyle w:val="BodyText"/>
      </w:pPr>
      <w:r w:rsidRPr="000973F2">
        <w:t>For purposes of the GHGRP, the aluminum production source category cons</w:t>
      </w:r>
      <w:r w:rsidR="006B0E0A" w:rsidRPr="000973F2">
        <w:t>ists of</w:t>
      </w:r>
      <w:r w:rsidRPr="000973F2">
        <w:t xml:space="preserve"> facilities that produce primary aluminum using the Hall-Héroult process. The primary aluminum process includes electrolysis in prebake and Søderberg cells, and anode baking for prebake cells. Over the course of the GHGRP, the number of facilities subject to Subpart F has dropped from 12 in RY2010 to 7 in RY2017. There has been no growth in Subpart F since RY2010; therefore, zero new facilities are expected </w:t>
      </w:r>
      <w:r w:rsidR="006B0E0A" w:rsidRPr="000973F2">
        <w:t>during the three year period covered by this ICR</w:t>
      </w:r>
      <w:r w:rsidRPr="000973F2">
        <w:t>. Initial year costs apply to new facilities; therefore, those costs are zero in the tables below.</w:t>
      </w:r>
    </w:p>
    <w:p w14:paraId="7A735813" w14:textId="039451A3" w:rsidR="001A5460" w:rsidRPr="000973F2" w:rsidRDefault="001A5460" w:rsidP="00B013A0">
      <w:pPr>
        <w:pStyle w:val="BodyText"/>
      </w:pPr>
      <w:r w:rsidRPr="000973F2">
        <w:t>Under Subpart F, facilities must report perfluoromethane (CF</w:t>
      </w:r>
      <w:r w:rsidRPr="000973F2">
        <w:rPr>
          <w:vertAlign w:val="subscript"/>
        </w:rPr>
        <w:t>4</w:t>
      </w:r>
      <w:r w:rsidRPr="000973F2">
        <w:t>), and perfluoroethane (C</w:t>
      </w:r>
      <w:r w:rsidRPr="000973F2">
        <w:rPr>
          <w:vertAlign w:val="subscript"/>
        </w:rPr>
        <w:t>2</w:t>
      </w:r>
      <w:r w:rsidRPr="000973F2">
        <w:t>F</w:t>
      </w:r>
      <w:r w:rsidRPr="000973F2">
        <w:rPr>
          <w:vertAlign w:val="subscript"/>
        </w:rPr>
        <w:t>6</w:t>
      </w:r>
      <w:r w:rsidRPr="000973F2">
        <w:t>) emissions from anode effects in all prebake and Søderberg electrolysis cells; CO</w:t>
      </w:r>
      <w:r w:rsidRPr="000973F2">
        <w:rPr>
          <w:vertAlign w:val="subscript"/>
        </w:rPr>
        <w:t>2</w:t>
      </w:r>
      <w:r w:rsidRPr="000973F2">
        <w:t xml:space="preserve"> emissions from anode consumption during electrolysis in all prebake and Søderberg electrolysis cells; and CO</w:t>
      </w:r>
      <w:r w:rsidRPr="000973F2">
        <w:rPr>
          <w:vertAlign w:val="subscript"/>
        </w:rPr>
        <w:t>2</w:t>
      </w:r>
      <w:r w:rsidRPr="000973F2">
        <w:t xml:space="preserve"> emissions from on</w:t>
      </w:r>
      <w:r w:rsidR="00051F9B">
        <w:t>site</w:t>
      </w:r>
      <w:r w:rsidRPr="000973F2">
        <w:t xml:space="preserve"> anode baking.</w:t>
      </w:r>
    </w:p>
    <w:p w14:paraId="3606D90C" w14:textId="71E405F9" w:rsidR="001A5460" w:rsidRPr="000973F2" w:rsidRDefault="001A5460" w:rsidP="00B013A0">
      <w:pPr>
        <w:pStyle w:val="BodyText"/>
      </w:pPr>
      <w:r w:rsidRPr="000973F2">
        <w:t xml:space="preserve">Anode effect frequency and duration are monitored and recorded using computer systems already in place at smelters. Because these systems are instrumental to the proper functioning of the smelter, the capital costs of these systems are not included as costs attributed to the GHGRP. Similarly, metal production and carbon anode consumption are routinely monitored and recorded using systems already in place at smelters, </w:t>
      </w:r>
      <w:r w:rsidR="006B0E0A" w:rsidRPr="000973F2">
        <w:t>therefore these</w:t>
      </w:r>
      <w:r w:rsidRPr="000973F2">
        <w:t xml:space="preserve"> costs are not included in the </w:t>
      </w:r>
      <w:r w:rsidR="006B0E0A" w:rsidRPr="000973F2">
        <w:t xml:space="preserve">GHGRP </w:t>
      </w:r>
      <w:r w:rsidRPr="000973F2">
        <w:t>costs for tracking emissions of CO</w:t>
      </w:r>
      <w:r w:rsidRPr="000973F2">
        <w:rPr>
          <w:vertAlign w:val="subscript"/>
        </w:rPr>
        <w:t>2</w:t>
      </w:r>
      <w:r w:rsidRPr="000973F2">
        <w:t>.</w:t>
      </w:r>
    </w:p>
    <w:p w14:paraId="3FC17CD9" w14:textId="77777777" w:rsidR="001A5460" w:rsidRPr="000973F2" w:rsidRDefault="001A5460" w:rsidP="00C00E4F">
      <w:pPr>
        <w:spacing w:line="240" w:lineRule="auto"/>
        <w:rPr>
          <w:rFonts w:ascii="Times New Roman" w:hAnsi="Times New Roman" w:cs="Times New Roman"/>
        </w:rPr>
      </w:pPr>
      <w:r w:rsidRPr="000973F2">
        <w:rPr>
          <w:rFonts w:ascii="Times New Roman" w:hAnsi="Times New Roman" w:cs="Times New Roman"/>
        </w:rPr>
        <w:t>To calculate CF</w:t>
      </w:r>
      <w:r w:rsidRPr="000973F2">
        <w:rPr>
          <w:rFonts w:ascii="Times New Roman" w:hAnsi="Times New Roman" w:cs="Times New Roman"/>
          <w:vertAlign w:val="subscript"/>
        </w:rPr>
        <w:t>4</w:t>
      </w:r>
      <w:r w:rsidRPr="000973F2">
        <w:rPr>
          <w:rFonts w:ascii="Times New Roman" w:hAnsi="Times New Roman" w:cs="Times New Roman"/>
        </w:rPr>
        <w:t xml:space="preserve"> emissions, smelter specific slope coefficients are used in Equation F-2. The slope coefficients must be measured once every 10 years according to §98.64(a). There are two options for complying with this requirement. Subpart F facilities can either use in-house testing equipment or opt to use a contractor and rented testing equipment. While CEMS are an option for Subpart F, no facilities currently use CEMS and no facilities are expected to begin using CEMS in the next three years.</w:t>
      </w:r>
    </w:p>
    <w:p w14:paraId="7CDF625A" w14:textId="77777777" w:rsidR="001A5460" w:rsidRPr="000973F2" w:rsidRDefault="001A5460" w:rsidP="00B013A0">
      <w:pPr>
        <w:pStyle w:val="BodyText"/>
      </w:pPr>
      <w:r w:rsidRPr="000973F2">
        <w:t>Because facilities are not required to provide information on the option used to derive the slope coefficients, the cost estimates below are based on direct knowledge of the 14 aluminum production facilities that were operating in 2009. To update the costs for the years of this ICR, the same ratio of total facilities using each option in 2009 (ten with in-house slope coefficient equipment and four without in-house slope coefficient equipment) was used to estimate the current number of facilities using each option (five with in-house slope coefficient equipment and two without in-house slope coefficient equipment).</w:t>
      </w:r>
    </w:p>
    <w:p w14:paraId="20CD0883" w14:textId="77777777" w:rsidR="001A5460" w:rsidRPr="000973F2" w:rsidRDefault="001A5460" w:rsidP="00C00E4F">
      <w:pPr>
        <w:spacing w:line="240" w:lineRule="auto"/>
        <w:rPr>
          <w:rFonts w:ascii="Times New Roman" w:hAnsi="Times New Roman" w:cs="Times New Roman"/>
          <w:b/>
          <w:i/>
        </w:rPr>
      </w:pPr>
    </w:p>
    <w:p w14:paraId="74CC6021" w14:textId="77777777" w:rsidR="001A5460" w:rsidRPr="000973F2" w:rsidRDefault="001A5460" w:rsidP="00C00E4F">
      <w:pPr>
        <w:spacing w:line="240" w:lineRule="auto"/>
        <w:rPr>
          <w:rFonts w:ascii="Times New Roman" w:hAnsi="Times New Roman" w:cs="Times New Roman"/>
          <w:b/>
          <w:i/>
        </w:rPr>
      </w:pPr>
      <w:r w:rsidRPr="000973F2">
        <w:rPr>
          <w:rFonts w:ascii="Times New Roman" w:hAnsi="Times New Roman" w:cs="Times New Roman"/>
          <w:b/>
          <w:i/>
        </w:rPr>
        <w:br w:type="page"/>
      </w:r>
    </w:p>
    <w:p w14:paraId="5F90CA52" w14:textId="77777777" w:rsidR="001A5460" w:rsidRPr="000973F2" w:rsidRDefault="001A5460" w:rsidP="009C4191">
      <w:pPr>
        <w:pStyle w:val="Heading2"/>
      </w:pPr>
      <w:r w:rsidRPr="000973F2">
        <w:t>Labor Costs for Subpart F- Measurement of Slope Coefficients using a Contractor and Rented Equipment</w:t>
      </w:r>
    </w:p>
    <w:p w14:paraId="50AEA133" w14:textId="4AD6AE9F" w:rsidR="001A5460" w:rsidRPr="000973F2" w:rsidRDefault="001A5460" w:rsidP="00C00E4F">
      <w:pPr>
        <w:spacing w:line="240" w:lineRule="auto"/>
        <w:rPr>
          <w:rFonts w:ascii="Times New Roman" w:hAnsi="Times New Roman" w:cs="Times New Roman"/>
        </w:rPr>
      </w:pPr>
      <w:r w:rsidRPr="000973F2">
        <w:rPr>
          <w:rFonts w:ascii="Times New Roman" w:hAnsi="Times New Roman" w:cs="Times New Roman"/>
          <w:iCs/>
        </w:rPr>
        <w:t xml:space="preserve">Table </w:t>
      </w:r>
      <w:r w:rsidR="00B013A0" w:rsidRPr="000973F2">
        <w:rPr>
          <w:rFonts w:ascii="Times New Roman" w:hAnsi="Times New Roman" w:cs="Times New Roman"/>
          <w:iCs/>
        </w:rPr>
        <w:t>F-</w:t>
      </w:r>
      <w:r w:rsidRPr="000973F2">
        <w:rPr>
          <w:rFonts w:ascii="Times New Roman" w:hAnsi="Times New Roman" w:cs="Times New Roman"/>
          <w:iCs/>
        </w:rPr>
        <w:t>1a below includes the labor hours for each of the two facilities using a contractor to measure the slope coefficients to comply with Subpart F. Typical activities related to planning, QA/QC, recordkeeping and reporting, and sampling and analysis (which includes emissions calculations) are discussed in the Cost Appendix Introduction. In addition, s</w:t>
      </w:r>
      <w:r w:rsidRPr="000973F2">
        <w:rPr>
          <w:rFonts w:ascii="Times New Roman" w:hAnsi="Times New Roman" w:cs="Times New Roman"/>
        </w:rPr>
        <w:t xml:space="preserve">ampling and analysis activities for Subpart F include time for scheduling and oversight of contractor testing (50 hours per test, performed once every 10 years, for a total of 5 hours per year) and for calculating GHGRP emissions (4 hours per year). </w:t>
      </w:r>
      <w:r w:rsidRPr="000973F2">
        <w:rPr>
          <w:rFonts w:ascii="Times New Roman" w:hAnsi="Times New Roman" w:cs="Times New Roman"/>
          <w:iCs/>
        </w:rPr>
        <w:t>Recordkeeping and reporting hours for Subpart F are based on the “low bin” designation, as discussed in the Cost Appendix Introduction.</w:t>
      </w:r>
    </w:p>
    <w:p w14:paraId="5B10FFB0" w14:textId="03B42ADB" w:rsidR="00122A62" w:rsidRPr="000973F2" w:rsidRDefault="00122A62" w:rsidP="00B013A0">
      <w:pPr>
        <w:pStyle w:val="Tabletitle"/>
      </w:pPr>
      <w:r w:rsidRPr="000973F2">
        <w:t xml:space="preserve">Table </w:t>
      </w:r>
      <w:r w:rsidR="00B013A0" w:rsidRPr="000973F2">
        <w:t>F-</w:t>
      </w:r>
      <w:r w:rsidRPr="000973F2">
        <w:t xml:space="preserve">1a. Labor Costs </w:t>
      </w:r>
      <w:r w:rsidR="00B013A0" w:rsidRPr="000973F2">
        <w:t>–</w:t>
      </w:r>
      <w:r w:rsidRPr="000973F2">
        <w:t xml:space="preserve"> Subpart F – Measurement of Slope Coefficients Using a Contractor and Rented Equipment</w:t>
      </w:r>
    </w:p>
    <w:tbl>
      <w:tblPr>
        <w:tblStyle w:val="PlainTable1"/>
        <w:tblW w:w="5000" w:type="pct"/>
        <w:jc w:val="left"/>
        <w:tblLayout w:type="fixed"/>
        <w:tblCellMar>
          <w:left w:w="115" w:type="dxa"/>
          <w:right w:w="115" w:type="dxa"/>
        </w:tblCellMar>
        <w:tblLook w:val="04A0" w:firstRow="1" w:lastRow="0" w:firstColumn="1" w:lastColumn="0" w:noHBand="0" w:noVBand="1"/>
      </w:tblPr>
      <w:tblGrid>
        <w:gridCol w:w="1367"/>
        <w:gridCol w:w="726"/>
        <w:gridCol w:w="849"/>
        <w:gridCol w:w="730"/>
        <w:gridCol w:w="939"/>
        <w:gridCol w:w="715"/>
        <w:gridCol w:w="952"/>
        <w:gridCol w:w="741"/>
        <w:gridCol w:w="927"/>
        <w:gridCol w:w="741"/>
        <w:gridCol w:w="903"/>
      </w:tblGrid>
      <w:tr w:rsidR="00122A62" w:rsidRPr="000973F2" w14:paraId="1EB0452C" w14:textId="77777777" w:rsidTr="00B013A0">
        <w:trPr>
          <w:cnfStyle w:val="100000000000" w:firstRow="1" w:lastRow="0" w:firstColumn="0" w:lastColumn="0" w:oddVBand="0" w:evenVBand="0" w:oddHBand="0" w:evenHBand="0" w:firstRowFirstColumn="0" w:firstRowLastColumn="0" w:lastRowFirstColumn="0" w:lastRowLastColumn="0"/>
          <w:cantSplit/>
          <w:jc w:val="left"/>
        </w:trPr>
        <w:tc>
          <w:tcPr>
            <w:cnfStyle w:val="001000000000" w:firstRow="0" w:lastRow="0" w:firstColumn="1" w:lastColumn="0" w:oddVBand="0" w:evenVBand="0" w:oddHBand="0" w:evenHBand="0" w:firstRowFirstColumn="0" w:firstRowLastColumn="0" w:lastRowFirstColumn="0" w:lastRowLastColumn="0"/>
            <w:tcW w:w="0" w:type="dxa"/>
            <w:vMerge w:val="restart"/>
            <w:noWrap/>
            <w:vAlign w:val="top"/>
            <w:hideMark/>
          </w:tcPr>
          <w:p w14:paraId="362DE47F" w14:textId="77777777" w:rsidR="00122A62" w:rsidRPr="000973F2" w:rsidRDefault="00122A62" w:rsidP="00B013A0">
            <w:pPr>
              <w:spacing w:before="40" w:after="40"/>
              <w:rPr>
                <w:rFonts w:ascii="Times New Roman" w:eastAsia="Times New Roman" w:hAnsi="Times New Roman" w:cs="Times New Roman"/>
                <w:b w:val="0"/>
                <w:bCs w:val="0"/>
                <w:sz w:val="18"/>
                <w:szCs w:val="18"/>
              </w:rPr>
            </w:pPr>
            <w:r w:rsidRPr="000973F2">
              <w:rPr>
                <w:rFonts w:ascii="Times New Roman" w:eastAsia="Times New Roman" w:hAnsi="Times New Roman" w:cs="Times New Roman"/>
                <w:sz w:val="18"/>
                <w:szCs w:val="18"/>
              </w:rPr>
              <w:t>Activity</w:t>
            </w:r>
          </w:p>
        </w:tc>
        <w:tc>
          <w:tcPr>
            <w:tcW w:w="0" w:type="dxa"/>
            <w:gridSpan w:val="8"/>
            <w:noWrap/>
            <w:vAlign w:val="top"/>
            <w:hideMark/>
          </w:tcPr>
          <w:p w14:paraId="19A3A2A6" w14:textId="77777777" w:rsidR="00122A62" w:rsidRPr="000973F2" w:rsidRDefault="00122A62" w:rsidP="00B013A0">
            <w:pPr>
              <w:spacing w:before="40" w:after="40"/>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bCs w:val="0"/>
                <w:sz w:val="18"/>
                <w:szCs w:val="18"/>
              </w:rPr>
            </w:pPr>
            <w:r w:rsidRPr="000973F2">
              <w:rPr>
                <w:rFonts w:ascii="Times New Roman" w:eastAsia="Times New Roman" w:hAnsi="Times New Roman" w:cs="Times New Roman"/>
                <w:sz w:val="18"/>
                <w:szCs w:val="18"/>
              </w:rPr>
              <w:t>Labor Rates (per hour)</w:t>
            </w:r>
          </w:p>
        </w:tc>
        <w:tc>
          <w:tcPr>
            <w:tcW w:w="0" w:type="dxa"/>
            <w:gridSpan w:val="2"/>
            <w:vMerge w:val="restart"/>
            <w:vAlign w:val="top"/>
            <w:hideMark/>
          </w:tcPr>
          <w:p w14:paraId="5947485F" w14:textId="228F919F" w:rsidR="00122A62" w:rsidRPr="000973F2" w:rsidRDefault="00122A62" w:rsidP="004D00B0">
            <w:pPr>
              <w:spacing w:before="40" w:after="40"/>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bCs w:val="0"/>
                <w:sz w:val="18"/>
                <w:szCs w:val="18"/>
              </w:rPr>
            </w:pPr>
            <w:r w:rsidRPr="000973F2">
              <w:rPr>
                <w:rFonts w:ascii="Times New Roman" w:eastAsia="Times New Roman" w:hAnsi="Times New Roman" w:cs="Times New Roman"/>
                <w:sz w:val="18"/>
                <w:szCs w:val="18"/>
              </w:rPr>
              <w:t>Total Labor Cost per Year per Facility</w:t>
            </w:r>
            <w:r w:rsidR="004D00B0" w:rsidRPr="000973F2">
              <w:rPr>
                <w:rFonts w:ascii="Times New Roman" w:eastAsia="Times New Roman" w:hAnsi="Times New Roman" w:cs="Times New Roman"/>
                <w:sz w:val="18"/>
                <w:szCs w:val="18"/>
              </w:rPr>
              <w:t xml:space="preserve"> </w:t>
            </w:r>
            <w:r w:rsidRPr="000973F2">
              <w:rPr>
                <w:rFonts w:ascii="Times New Roman" w:eastAsia="Times New Roman" w:hAnsi="Times New Roman" w:cs="Times New Roman"/>
                <w:sz w:val="18"/>
                <w:szCs w:val="18"/>
              </w:rPr>
              <w:t>(2017$)</w:t>
            </w:r>
          </w:p>
        </w:tc>
      </w:tr>
      <w:tr w:rsidR="00122A62" w:rsidRPr="000973F2" w14:paraId="2BCD9AA1" w14:textId="77777777" w:rsidTr="00B013A0">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0" w:type="dxa"/>
            <w:vMerge/>
            <w:hideMark/>
          </w:tcPr>
          <w:p w14:paraId="6B5A6899" w14:textId="77777777" w:rsidR="00122A62" w:rsidRPr="000973F2" w:rsidRDefault="00122A62" w:rsidP="00B013A0">
            <w:pPr>
              <w:spacing w:before="40" w:after="40"/>
              <w:rPr>
                <w:rFonts w:ascii="Times New Roman" w:eastAsia="Times New Roman" w:hAnsi="Times New Roman" w:cs="Times New Roman"/>
                <w:b/>
                <w:bCs w:val="0"/>
                <w:sz w:val="18"/>
                <w:szCs w:val="18"/>
              </w:rPr>
            </w:pPr>
          </w:p>
        </w:tc>
        <w:tc>
          <w:tcPr>
            <w:tcW w:w="0" w:type="dxa"/>
            <w:gridSpan w:val="2"/>
            <w:noWrap/>
            <w:hideMark/>
          </w:tcPr>
          <w:p w14:paraId="066B9798" w14:textId="77777777" w:rsidR="00122A62" w:rsidRPr="000973F2" w:rsidRDefault="00122A62" w:rsidP="00B013A0">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18"/>
                <w:szCs w:val="18"/>
              </w:rPr>
            </w:pPr>
            <w:r w:rsidRPr="000973F2">
              <w:rPr>
                <w:rFonts w:ascii="Times New Roman" w:eastAsia="Times New Roman" w:hAnsi="Times New Roman" w:cs="Times New Roman"/>
                <w:b/>
                <w:bCs/>
                <w:sz w:val="18"/>
                <w:szCs w:val="18"/>
              </w:rPr>
              <w:t>Lawyer</w:t>
            </w:r>
          </w:p>
        </w:tc>
        <w:tc>
          <w:tcPr>
            <w:tcW w:w="0" w:type="dxa"/>
            <w:gridSpan w:val="2"/>
            <w:noWrap/>
            <w:hideMark/>
          </w:tcPr>
          <w:p w14:paraId="68A345CF" w14:textId="77777777" w:rsidR="00122A62" w:rsidRPr="000973F2" w:rsidRDefault="00122A62" w:rsidP="00B013A0">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18"/>
                <w:szCs w:val="18"/>
              </w:rPr>
            </w:pPr>
            <w:r w:rsidRPr="000973F2">
              <w:rPr>
                <w:rFonts w:ascii="Times New Roman" w:eastAsia="Times New Roman" w:hAnsi="Times New Roman" w:cs="Times New Roman"/>
                <w:b/>
                <w:bCs/>
                <w:sz w:val="18"/>
                <w:szCs w:val="18"/>
              </w:rPr>
              <w:t>Industrial Manager</w:t>
            </w:r>
          </w:p>
        </w:tc>
        <w:tc>
          <w:tcPr>
            <w:tcW w:w="0" w:type="dxa"/>
            <w:gridSpan w:val="2"/>
            <w:hideMark/>
          </w:tcPr>
          <w:p w14:paraId="2BD58ED0" w14:textId="63A547E3" w:rsidR="00122A62" w:rsidRPr="000973F2" w:rsidRDefault="00122A62" w:rsidP="004D00B0">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18"/>
                <w:szCs w:val="18"/>
              </w:rPr>
            </w:pPr>
            <w:r w:rsidRPr="000973F2">
              <w:rPr>
                <w:rFonts w:ascii="Times New Roman" w:eastAsia="Times New Roman" w:hAnsi="Times New Roman" w:cs="Times New Roman"/>
                <w:b/>
                <w:bCs/>
                <w:sz w:val="18"/>
                <w:szCs w:val="18"/>
              </w:rPr>
              <w:t>Industrial Engineer/</w:t>
            </w:r>
            <w:r w:rsidR="004D00B0" w:rsidRPr="000973F2">
              <w:rPr>
                <w:rFonts w:ascii="Times New Roman" w:eastAsia="Times New Roman" w:hAnsi="Times New Roman" w:cs="Times New Roman"/>
                <w:b/>
                <w:bCs/>
                <w:sz w:val="18"/>
                <w:szCs w:val="18"/>
              </w:rPr>
              <w:t xml:space="preserve"> </w:t>
            </w:r>
            <w:r w:rsidRPr="000973F2">
              <w:rPr>
                <w:rFonts w:ascii="Times New Roman" w:eastAsia="Times New Roman" w:hAnsi="Times New Roman" w:cs="Times New Roman"/>
                <w:b/>
                <w:bCs/>
                <w:sz w:val="18"/>
                <w:szCs w:val="18"/>
              </w:rPr>
              <w:t>Technician</w:t>
            </w:r>
          </w:p>
        </w:tc>
        <w:tc>
          <w:tcPr>
            <w:tcW w:w="0" w:type="dxa"/>
            <w:gridSpan w:val="2"/>
            <w:hideMark/>
          </w:tcPr>
          <w:p w14:paraId="3AD48D17" w14:textId="77777777" w:rsidR="00122A62" w:rsidRPr="000973F2" w:rsidRDefault="00122A62" w:rsidP="00B013A0">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18"/>
                <w:szCs w:val="18"/>
              </w:rPr>
            </w:pPr>
            <w:r w:rsidRPr="000973F2">
              <w:rPr>
                <w:rFonts w:ascii="Times New Roman" w:eastAsia="Times New Roman" w:hAnsi="Times New Roman" w:cs="Times New Roman"/>
                <w:b/>
                <w:bCs/>
                <w:sz w:val="18"/>
                <w:szCs w:val="18"/>
              </w:rPr>
              <w:t>Administrative Support</w:t>
            </w:r>
          </w:p>
        </w:tc>
        <w:tc>
          <w:tcPr>
            <w:tcW w:w="0" w:type="dxa"/>
            <w:gridSpan w:val="2"/>
            <w:vMerge/>
            <w:hideMark/>
          </w:tcPr>
          <w:p w14:paraId="073588CB" w14:textId="77777777" w:rsidR="00122A62" w:rsidRPr="000973F2" w:rsidRDefault="00122A62" w:rsidP="00B013A0">
            <w:pPr>
              <w:spacing w:before="40" w:after="4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18"/>
                <w:szCs w:val="18"/>
              </w:rPr>
            </w:pPr>
          </w:p>
        </w:tc>
      </w:tr>
      <w:tr w:rsidR="00122A62" w:rsidRPr="000973F2" w14:paraId="0CE2CF2B" w14:textId="77777777" w:rsidTr="00B013A0">
        <w:trPr>
          <w:cantSplit/>
        </w:trPr>
        <w:tc>
          <w:tcPr>
            <w:cnfStyle w:val="001000000000" w:firstRow="0" w:lastRow="0" w:firstColumn="1" w:lastColumn="0" w:oddVBand="0" w:evenVBand="0" w:oddHBand="0" w:evenHBand="0" w:firstRowFirstColumn="0" w:firstRowLastColumn="0" w:lastRowFirstColumn="0" w:lastRowLastColumn="0"/>
            <w:tcW w:w="0" w:type="dxa"/>
            <w:vMerge/>
            <w:hideMark/>
          </w:tcPr>
          <w:p w14:paraId="09B1E5E3" w14:textId="77777777" w:rsidR="00122A62" w:rsidRPr="000973F2" w:rsidRDefault="00122A62" w:rsidP="00B013A0">
            <w:pPr>
              <w:spacing w:before="40" w:after="40"/>
              <w:rPr>
                <w:rFonts w:ascii="Times New Roman" w:eastAsia="Times New Roman" w:hAnsi="Times New Roman" w:cs="Times New Roman"/>
                <w:b/>
                <w:bCs w:val="0"/>
                <w:sz w:val="18"/>
                <w:szCs w:val="18"/>
              </w:rPr>
            </w:pPr>
          </w:p>
        </w:tc>
        <w:tc>
          <w:tcPr>
            <w:tcW w:w="0" w:type="dxa"/>
            <w:gridSpan w:val="2"/>
            <w:noWrap/>
            <w:hideMark/>
          </w:tcPr>
          <w:p w14:paraId="08CCEF50" w14:textId="5B7EEEBA" w:rsidR="00122A62" w:rsidRPr="000973F2" w:rsidRDefault="00122A62" w:rsidP="00B013A0">
            <w:pPr>
              <w:spacing w:before="40" w:after="4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sz w:val="18"/>
                <w:szCs w:val="18"/>
              </w:rPr>
            </w:pPr>
            <w:r w:rsidRPr="000973F2">
              <w:rPr>
                <w:rFonts w:ascii="Times New Roman" w:eastAsia="Times New Roman" w:hAnsi="Times New Roman" w:cs="Times New Roman"/>
                <w:b/>
                <w:bCs/>
                <w:sz w:val="18"/>
                <w:szCs w:val="18"/>
              </w:rPr>
              <w:t>$112.23</w:t>
            </w:r>
          </w:p>
        </w:tc>
        <w:tc>
          <w:tcPr>
            <w:tcW w:w="0" w:type="dxa"/>
            <w:gridSpan w:val="2"/>
            <w:noWrap/>
            <w:hideMark/>
          </w:tcPr>
          <w:p w14:paraId="39058C3B" w14:textId="2F994A4F" w:rsidR="00122A62" w:rsidRPr="000973F2" w:rsidRDefault="00122A62" w:rsidP="00B013A0">
            <w:pPr>
              <w:spacing w:before="40" w:after="4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sz w:val="18"/>
                <w:szCs w:val="18"/>
              </w:rPr>
            </w:pPr>
            <w:r w:rsidRPr="000973F2">
              <w:rPr>
                <w:rFonts w:ascii="Times New Roman" w:eastAsia="Times New Roman" w:hAnsi="Times New Roman" w:cs="Times New Roman"/>
                <w:b/>
                <w:bCs/>
                <w:sz w:val="18"/>
                <w:szCs w:val="18"/>
              </w:rPr>
              <w:t>$87.45</w:t>
            </w:r>
          </w:p>
        </w:tc>
        <w:tc>
          <w:tcPr>
            <w:tcW w:w="0" w:type="dxa"/>
            <w:gridSpan w:val="2"/>
            <w:noWrap/>
            <w:hideMark/>
          </w:tcPr>
          <w:p w14:paraId="24E187CE" w14:textId="26C49264" w:rsidR="00122A62" w:rsidRPr="000973F2" w:rsidRDefault="00122A62" w:rsidP="00B013A0">
            <w:pPr>
              <w:spacing w:before="40" w:after="4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sz w:val="18"/>
                <w:szCs w:val="18"/>
              </w:rPr>
            </w:pPr>
            <w:r w:rsidRPr="000973F2">
              <w:rPr>
                <w:rFonts w:ascii="Times New Roman" w:eastAsia="Times New Roman" w:hAnsi="Times New Roman" w:cs="Times New Roman"/>
                <w:b/>
                <w:bCs/>
                <w:sz w:val="18"/>
                <w:szCs w:val="18"/>
              </w:rPr>
              <w:t>$71.45</w:t>
            </w:r>
          </w:p>
        </w:tc>
        <w:tc>
          <w:tcPr>
            <w:tcW w:w="0" w:type="dxa"/>
            <w:gridSpan w:val="2"/>
            <w:noWrap/>
            <w:hideMark/>
          </w:tcPr>
          <w:p w14:paraId="7B23B18A" w14:textId="5E30CA10" w:rsidR="00122A62" w:rsidRPr="000973F2" w:rsidRDefault="00122A62" w:rsidP="00B013A0">
            <w:pPr>
              <w:spacing w:before="40" w:after="4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sz w:val="18"/>
                <w:szCs w:val="18"/>
              </w:rPr>
            </w:pPr>
            <w:r w:rsidRPr="000973F2">
              <w:rPr>
                <w:rFonts w:ascii="Times New Roman" w:eastAsia="Times New Roman" w:hAnsi="Times New Roman" w:cs="Times New Roman"/>
                <w:b/>
                <w:bCs/>
                <w:sz w:val="18"/>
                <w:szCs w:val="18"/>
              </w:rPr>
              <w:t>$36.28</w:t>
            </w:r>
          </w:p>
        </w:tc>
        <w:tc>
          <w:tcPr>
            <w:tcW w:w="0" w:type="dxa"/>
            <w:gridSpan w:val="2"/>
            <w:vMerge/>
            <w:hideMark/>
          </w:tcPr>
          <w:p w14:paraId="235EF4D2" w14:textId="77777777" w:rsidR="00122A62" w:rsidRPr="000973F2" w:rsidRDefault="00122A62" w:rsidP="00B013A0">
            <w:pPr>
              <w:spacing w:before="40" w:after="4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sz w:val="18"/>
                <w:szCs w:val="18"/>
              </w:rPr>
            </w:pPr>
          </w:p>
        </w:tc>
      </w:tr>
      <w:tr w:rsidR="00122A62" w:rsidRPr="000973F2" w14:paraId="2D0CE82B" w14:textId="77777777" w:rsidTr="00B013A0">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0" w:type="dxa"/>
            <w:vMerge/>
            <w:hideMark/>
          </w:tcPr>
          <w:p w14:paraId="743264E8" w14:textId="77777777" w:rsidR="00122A62" w:rsidRPr="000973F2" w:rsidRDefault="00122A62" w:rsidP="00B013A0">
            <w:pPr>
              <w:spacing w:before="40" w:after="40"/>
              <w:rPr>
                <w:rFonts w:ascii="Times New Roman" w:eastAsia="Times New Roman" w:hAnsi="Times New Roman" w:cs="Times New Roman"/>
                <w:b/>
                <w:bCs w:val="0"/>
                <w:sz w:val="18"/>
                <w:szCs w:val="18"/>
              </w:rPr>
            </w:pPr>
          </w:p>
        </w:tc>
        <w:tc>
          <w:tcPr>
            <w:tcW w:w="0" w:type="dxa"/>
            <w:tcMar>
              <w:left w:w="29" w:type="dxa"/>
              <w:right w:w="29" w:type="dxa"/>
            </w:tcMar>
            <w:hideMark/>
          </w:tcPr>
          <w:p w14:paraId="1D15E8E2" w14:textId="0E02A1A2" w:rsidR="00122A62" w:rsidRPr="000973F2" w:rsidRDefault="00122A62" w:rsidP="00B013A0">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18"/>
                <w:szCs w:val="18"/>
              </w:rPr>
            </w:pPr>
            <w:r w:rsidRPr="000973F2">
              <w:rPr>
                <w:rFonts w:ascii="Times New Roman" w:eastAsia="Times New Roman" w:hAnsi="Times New Roman" w:cs="Times New Roman"/>
                <w:b/>
                <w:bCs/>
                <w:sz w:val="18"/>
                <w:szCs w:val="18"/>
              </w:rPr>
              <w:t>Initial Year</w:t>
            </w:r>
            <w:r w:rsidR="00B013A0" w:rsidRPr="000973F2">
              <w:rPr>
                <w:rFonts w:ascii="Times New Roman" w:eastAsia="Times New Roman" w:hAnsi="Times New Roman" w:cs="Times New Roman"/>
                <w:b/>
                <w:bCs/>
                <w:sz w:val="18"/>
                <w:szCs w:val="18"/>
              </w:rPr>
              <w:t xml:space="preserve"> </w:t>
            </w:r>
            <w:r w:rsidRPr="000973F2">
              <w:rPr>
                <w:rFonts w:ascii="Times New Roman" w:eastAsia="Times New Roman" w:hAnsi="Times New Roman" w:cs="Times New Roman"/>
                <w:b/>
                <w:bCs/>
                <w:sz w:val="18"/>
                <w:szCs w:val="18"/>
              </w:rPr>
              <w:t>Hours</w:t>
            </w:r>
          </w:p>
        </w:tc>
        <w:tc>
          <w:tcPr>
            <w:tcW w:w="0" w:type="dxa"/>
            <w:tcMar>
              <w:left w:w="29" w:type="dxa"/>
              <w:right w:w="29" w:type="dxa"/>
            </w:tcMar>
            <w:hideMark/>
          </w:tcPr>
          <w:p w14:paraId="6C93EEA1" w14:textId="77777777" w:rsidR="00122A62" w:rsidRPr="000973F2" w:rsidRDefault="00122A62" w:rsidP="00B013A0">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18"/>
                <w:szCs w:val="18"/>
              </w:rPr>
            </w:pPr>
            <w:r w:rsidRPr="000973F2">
              <w:rPr>
                <w:rFonts w:ascii="Times New Roman" w:eastAsia="Times New Roman" w:hAnsi="Times New Roman" w:cs="Times New Roman"/>
                <w:b/>
                <w:bCs/>
                <w:sz w:val="18"/>
                <w:szCs w:val="18"/>
              </w:rPr>
              <w:t>Subseq. Year Hours</w:t>
            </w:r>
          </w:p>
        </w:tc>
        <w:tc>
          <w:tcPr>
            <w:tcW w:w="0" w:type="dxa"/>
            <w:tcMar>
              <w:left w:w="29" w:type="dxa"/>
              <w:right w:w="29" w:type="dxa"/>
            </w:tcMar>
            <w:hideMark/>
          </w:tcPr>
          <w:p w14:paraId="0242E16F" w14:textId="05357BD2" w:rsidR="00122A62" w:rsidRPr="000973F2" w:rsidRDefault="00122A62" w:rsidP="00B013A0">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18"/>
                <w:szCs w:val="18"/>
              </w:rPr>
            </w:pPr>
            <w:r w:rsidRPr="000973F2">
              <w:rPr>
                <w:rFonts w:ascii="Times New Roman" w:eastAsia="Times New Roman" w:hAnsi="Times New Roman" w:cs="Times New Roman"/>
                <w:b/>
                <w:bCs/>
                <w:sz w:val="18"/>
                <w:szCs w:val="18"/>
              </w:rPr>
              <w:t>Initial Year</w:t>
            </w:r>
            <w:r w:rsidR="00B013A0" w:rsidRPr="000973F2">
              <w:rPr>
                <w:rFonts w:ascii="Times New Roman" w:eastAsia="Times New Roman" w:hAnsi="Times New Roman" w:cs="Times New Roman"/>
                <w:b/>
                <w:bCs/>
                <w:sz w:val="18"/>
                <w:szCs w:val="18"/>
              </w:rPr>
              <w:t xml:space="preserve"> </w:t>
            </w:r>
            <w:r w:rsidRPr="000973F2">
              <w:rPr>
                <w:rFonts w:ascii="Times New Roman" w:eastAsia="Times New Roman" w:hAnsi="Times New Roman" w:cs="Times New Roman"/>
                <w:b/>
                <w:bCs/>
                <w:sz w:val="18"/>
                <w:szCs w:val="18"/>
              </w:rPr>
              <w:t>Hours</w:t>
            </w:r>
          </w:p>
        </w:tc>
        <w:tc>
          <w:tcPr>
            <w:tcW w:w="0" w:type="dxa"/>
            <w:tcMar>
              <w:left w:w="29" w:type="dxa"/>
              <w:right w:w="29" w:type="dxa"/>
            </w:tcMar>
            <w:hideMark/>
          </w:tcPr>
          <w:p w14:paraId="5ACF0457" w14:textId="77777777" w:rsidR="00122A62" w:rsidRPr="000973F2" w:rsidRDefault="00122A62" w:rsidP="00B013A0">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18"/>
                <w:szCs w:val="18"/>
              </w:rPr>
            </w:pPr>
            <w:r w:rsidRPr="000973F2">
              <w:rPr>
                <w:rFonts w:ascii="Times New Roman" w:eastAsia="Times New Roman" w:hAnsi="Times New Roman" w:cs="Times New Roman"/>
                <w:b/>
                <w:bCs/>
                <w:sz w:val="18"/>
                <w:szCs w:val="18"/>
              </w:rPr>
              <w:t>Subseq. Year Hours</w:t>
            </w:r>
          </w:p>
        </w:tc>
        <w:tc>
          <w:tcPr>
            <w:tcW w:w="0" w:type="dxa"/>
            <w:tcMar>
              <w:left w:w="29" w:type="dxa"/>
              <w:right w:w="29" w:type="dxa"/>
            </w:tcMar>
            <w:hideMark/>
          </w:tcPr>
          <w:p w14:paraId="6B9B1E39" w14:textId="5F9E0BCC" w:rsidR="00122A62" w:rsidRPr="000973F2" w:rsidRDefault="00122A62" w:rsidP="00B013A0">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18"/>
                <w:szCs w:val="18"/>
              </w:rPr>
            </w:pPr>
            <w:r w:rsidRPr="000973F2">
              <w:rPr>
                <w:rFonts w:ascii="Times New Roman" w:eastAsia="Times New Roman" w:hAnsi="Times New Roman" w:cs="Times New Roman"/>
                <w:b/>
                <w:bCs/>
                <w:sz w:val="18"/>
                <w:szCs w:val="18"/>
              </w:rPr>
              <w:t>Initial Year</w:t>
            </w:r>
            <w:r w:rsidR="00B013A0" w:rsidRPr="000973F2">
              <w:rPr>
                <w:rFonts w:ascii="Times New Roman" w:eastAsia="Times New Roman" w:hAnsi="Times New Roman" w:cs="Times New Roman"/>
                <w:b/>
                <w:bCs/>
                <w:sz w:val="18"/>
                <w:szCs w:val="18"/>
              </w:rPr>
              <w:t xml:space="preserve"> </w:t>
            </w:r>
            <w:r w:rsidRPr="000973F2">
              <w:rPr>
                <w:rFonts w:ascii="Times New Roman" w:eastAsia="Times New Roman" w:hAnsi="Times New Roman" w:cs="Times New Roman"/>
                <w:b/>
                <w:bCs/>
                <w:sz w:val="18"/>
                <w:szCs w:val="18"/>
              </w:rPr>
              <w:t>Hours</w:t>
            </w:r>
          </w:p>
        </w:tc>
        <w:tc>
          <w:tcPr>
            <w:tcW w:w="0" w:type="dxa"/>
            <w:tcMar>
              <w:left w:w="29" w:type="dxa"/>
              <w:right w:w="29" w:type="dxa"/>
            </w:tcMar>
            <w:hideMark/>
          </w:tcPr>
          <w:p w14:paraId="38E35650" w14:textId="77777777" w:rsidR="00122A62" w:rsidRPr="000973F2" w:rsidRDefault="00122A62" w:rsidP="00B013A0">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18"/>
                <w:szCs w:val="18"/>
              </w:rPr>
            </w:pPr>
            <w:r w:rsidRPr="000973F2">
              <w:rPr>
                <w:rFonts w:ascii="Times New Roman" w:eastAsia="Times New Roman" w:hAnsi="Times New Roman" w:cs="Times New Roman"/>
                <w:b/>
                <w:bCs/>
                <w:sz w:val="18"/>
                <w:szCs w:val="18"/>
              </w:rPr>
              <w:t>Subseq. Year Hours</w:t>
            </w:r>
          </w:p>
        </w:tc>
        <w:tc>
          <w:tcPr>
            <w:tcW w:w="0" w:type="dxa"/>
            <w:tcMar>
              <w:left w:w="29" w:type="dxa"/>
              <w:right w:w="29" w:type="dxa"/>
            </w:tcMar>
            <w:hideMark/>
          </w:tcPr>
          <w:p w14:paraId="49F661A1" w14:textId="645EE34E" w:rsidR="00122A62" w:rsidRPr="000973F2" w:rsidRDefault="00122A62" w:rsidP="00B013A0">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18"/>
                <w:szCs w:val="18"/>
              </w:rPr>
            </w:pPr>
            <w:r w:rsidRPr="000973F2">
              <w:rPr>
                <w:rFonts w:ascii="Times New Roman" w:eastAsia="Times New Roman" w:hAnsi="Times New Roman" w:cs="Times New Roman"/>
                <w:b/>
                <w:bCs/>
                <w:sz w:val="18"/>
                <w:szCs w:val="18"/>
              </w:rPr>
              <w:t>Initial Year</w:t>
            </w:r>
            <w:r w:rsidR="00B013A0" w:rsidRPr="000973F2">
              <w:rPr>
                <w:rFonts w:ascii="Times New Roman" w:eastAsia="Times New Roman" w:hAnsi="Times New Roman" w:cs="Times New Roman"/>
                <w:b/>
                <w:bCs/>
                <w:sz w:val="18"/>
                <w:szCs w:val="18"/>
              </w:rPr>
              <w:t xml:space="preserve"> </w:t>
            </w:r>
            <w:r w:rsidRPr="000973F2">
              <w:rPr>
                <w:rFonts w:ascii="Times New Roman" w:eastAsia="Times New Roman" w:hAnsi="Times New Roman" w:cs="Times New Roman"/>
                <w:b/>
                <w:bCs/>
                <w:sz w:val="18"/>
                <w:szCs w:val="18"/>
              </w:rPr>
              <w:t>Hours</w:t>
            </w:r>
          </w:p>
        </w:tc>
        <w:tc>
          <w:tcPr>
            <w:tcW w:w="0" w:type="dxa"/>
            <w:tcMar>
              <w:left w:w="29" w:type="dxa"/>
              <w:right w:w="29" w:type="dxa"/>
            </w:tcMar>
            <w:hideMark/>
          </w:tcPr>
          <w:p w14:paraId="0C0C402C" w14:textId="77777777" w:rsidR="00122A62" w:rsidRPr="000973F2" w:rsidRDefault="00122A62" w:rsidP="00B013A0">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18"/>
                <w:szCs w:val="18"/>
              </w:rPr>
            </w:pPr>
            <w:r w:rsidRPr="000973F2">
              <w:rPr>
                <w:rFonts w:ascii="Times New Roman" w:eastAsia="Times New Roman" w:hAnsi="Times New Roman" w:cs="Times New Roman"/>
                <w:b/>
                <w:bCs/>
                <w:sz w:val="18"/>
                <w:szCs w:val="18"/>
              </w:rPr>
              <w:t>Subseq. Year Hours</w:t>
            </w:r>
          </w:p>
        </w:tc>
        <w:tc>
          <w:tcPr>
            <w:tcW w:w="0" w:type="dxa"/>
            <w:tcMar>
              <w:left w:w="29" w:type="dxa"/>
              <w:right w:w="29" w:type="dxa"/>
            </w:tcMar>
            <w:hideMark/>
          </w:tcPr>
          <w:p w14:paraId="4D0693ED" w14:textId="77777777" w:rsidR="00122A62" w:rsidRPr="000973F2" w:rsidRDefault="00122A62" w:rsidP="00B013A0">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18"/>
                <w:szCs w:val="18"/>
              </w:rPr>
            </w:pPr>
            <w:r w:rsidRPr="000973F2">
              <w:rPr>
                <w:rFonts w:ascii="Times New Roman" w:eastAsia="Times New Roman" w:hAnsi="Times New Roman" w:cs="Times New Roman"/>
                <w:b/>
                <w:bCs/>
                <w:sz w:val="18"/>
                <w:szCs w:val="18"/>
              </w:rPr>
              <w:t>Initial Year</w:t>
            </w:r>
          </w:p>
        </w:tc>
        <w:tc>
          <w:tcPr>
            <w:tcW w:w="0" w:type="dxa"/>
            <w:tcMar>
              <w:left w:w="29" w:type="dxa"/>
              <w:right w:w="29" w:type="dxa"/>
            </w:tcMar>
            <w:hideMark/>
          </w:tcPr>
          <w:p w14:paraId="1065D0EE" w14:textId="77777777" w:rsidR="00122A62" w:rsidRPr="000973F2" w:rsidRDefault="00122A62" w:rsidP="00B013A0">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18"/>
                <w:szCs w:val="18"/>
              </w:rPr>
            </w:pPr>
            <w:r w:rsidRPr="000973F2">
              <w:rPr>
                <w:rFonts w:ascii="Times New Roman" w:eastAsia="Times New Roman" w:hAnsi="Times New Roman" w:cs="Times New Roman"/>
                <w:b/>
                <w:bCs/>
                <w:sz w:val="18"/>
                <w:szCs w:val="18"/>
              </w:rPr>
              <w:t>Subseq. Year</w:t>
            </w:r>
          </w:p>
        </w:tc>
      </w:tr>
      <w:tr w:rsidR="00122A62" w:rsidRPr="000973F2" w14:paraId="030E766B" w14:textId="77777777" w:rsidTr="00B013A0">
        <w:trPr>
          <w:cantSplit/>
        </w:trPr>
        <w:tc>
          <w:tcPr>
            <w:cnfStyle w:val="001000000000" w:firstRow="0" w:lastRow="0" w:firstColumn="1" w:lastColumn="0" w:oddVBand="0" w:evenVBand="0" w:oddHBand="0" w:evenHBand="0" w:firstRowFirstColumn="0" w:firstRowLastColumn="0" w:lastRowFirstColumn="0" w:lastRowLastColumn="0"/>
            <w:tcW w:w="0" w:type="dxa"/>
            <w:hideMark/>
          </w:tcPr>
          <w:p w14:paraId="63338BD1" w14:textId="77777777" w:rsidR="00122A62" w:rsidRPr="000973F2" w:rsidRDefault="00122A62" w:rsidP="00B013A0">
            <w:pPr>
              <w:spacing w:before="40" w:after="4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Planning</w:t>
            </w:r>
          </w:p>
        </w:tc>
        <w:tc>
          <w:tcPr>
            <w:tcW w:w="0" w:type="dxa"/>
            <w:noWrap/>
            <w:hideMark/>
          </w:tcPr>
          <w:p w14:paraId="4B87B4BB" w14:textId="77777777" w:rsidR="00122A62" w:rsidRPr="000973F2" w:rsidRDefault="00122A62" w:rsidP="00B013A0">
            <w:pPr>
              <w:spacing w:before="40" w:after="4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0</w:t>
            </w:r>
          </w:p>
        </w:tc>
        <w:tc>
          <w:tcPr>
            <w:tcW w:w="0" w:type="dxa"/>
            <w:noWrap/>
            <w:hideMark/>
          </w:tcPr>
          <w:p w14:paraId="302D41AD" w14:textId="77777777" w:rsidR="00122A62" w:rsidRPr="000973F2" w:rsidRDefault="00122A62" w:rsidP="004D00B0">
            <w:pPr>
              <w:tabs>
                <w:tab w:val="decimal" w:pos="292"/>
              </w:tabs>
              <w:spacing w:before="40" w:after="4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1</w:t>
            </w:r>
          </w:p>
        </w:tc>
        <w:tc>
          <w:tcPr>
            <w:tcW w:w="0" w:type="dxa"/>
            <w:noWrap/>
            <w:hideMark/>
          </w:tcPr>
          <w:p w14:paraId="533D5839" w14:textId="77777777" w:rsidR="00122A62" w:rsidRPr="000973F2" w:rsidRDefault="00122A62" w:rsidP="00B013A0">
            <w:pPr>
              <w:spacing w:before="40" w:after="4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0</w:t>
            </w:r>
          </w:p>
        </w:tc>
        <w:tc>
          <w:tcPr>
            <w:tcW w:w="0" w:type="dxa"/>
            <w:noWrap/>
            <w:hideMark/>
          </w:tcPr>
          <w:p w14:paraId="736E5C65" w14:textId="77777777" w:rsidR="00122A62" w:rsidRPr="000973F2" w:rsidRDefault="00122A62" w:rsidP="00B013A0">
            <w:pPr>
              <w:spacing w:before="40" w:after="4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0.2</w:t>
            </w:r>
          </w:p>
        </w:tc>
        <w:tc>
          <w:tcPr>
            <w:tcW w:w="0" w:type="dxa"/>
            <w:noWrap/>
            <w:hideMark/>
          </w:tcPr>
          <w:p w14:paraId="6BDB78CA" w14:textId="77777777" w:rsidR="00122A62" w:rsidRPr="000973F2" w:rsidRDefault="00122A62" w:rsidP="00B013A0">
            <w:pPr>
              <w:spacing w:before="40" w:after="4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0</w:t>
            </w:r>
          </w:p>
        </w:tc>
        <w:tc>
          <w:tcPr>
            <w:tcW w:w="0" w:type="dxa"/>
            <w:noWrap/>
            <w:hideMark/>
          </w:tcPr>
          <w:p w14:paraId="5DB5BF03" w14:textId="77777777" w:rsidR="00122A62" w:rsidRPr="000973F2" w:rsidRDefault="00122A62" w:rsidP="004D00B0">
            <w:pPr>
              <w:tabs>
                <w:tab w:val="decimal" w:pos="366"/>
              </w:tabs>
              <w:spacing w:before="40" w:after="4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2</w:t>
            </w:r>
          </w:p>
        </w:tc>
        <w:tc>
          <w:tcPr>
            <w:tcW w:w="0" w:type="dxa"/>
            <w:noWrap/>
            <w:hideMark/>
          </w:tcPr>
          <w:p w14:paraId="206DCA02" w14:textId="77777777" w:rsidR="00122A62" w:rsidRPr="000973F2" w:rsidRDefault="00122A62" w:rsidP="004D00B0">
            <w:pPr>
              <w:spacing w:before="40" w:after="4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0</w:t>
            </w:r>
          </w:p>
        </w:tc>
        <w:tc>
          <w:tcPr>
            <w:tcW w:w="0" w:type="dxa"/>
            <w:noWrap/>
            <w:hideMark/>
          </w:tcPr>
          <w:p w14:paraId="2EEB6221" w14:textId="77777777" w:rsidR="00122A62" w:rsidRPr="000973F2" w:rsidRDefault="00122A62" w:rsidP="004D00B0">
            <w:pPr>
              <w:spacing w:before="40" w:after="4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0.1</w:t>
            </w:r>
          </w:p>
        </w:tc>
        <w:tc>
          <w:tcPr>
            <w:tcW w:w="0" w:type="dxa"/>
            <w:noWrap/>
            <w:hideMark/>
          </w:tcPr>
          <w:p w14:paraId="172056B2" w14:textId="021E3DFA" w:rsidR="00122A62" w:rsidRPr="000973F2" w:rsidRDefault="00122A62" w:rsidP="004D00B0">
            <w:pPr>
              <w:spacing w:before="40" w:after="4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$0</w:t>
            </w:r>
          </w:p>
        </w:tc>
        <w:tc>
          <w:tcPr>
            <w:tcW w:w="0" w:type="dxa"/>
            <w:noWrap/>
            <w:hideMark/>
          </w:tcPr>
          <w:p w14:paraId="4EAAA1D0" w14:textId="6BFA0300" w:rsidR="00122A62" w:rsidRPr="000973F2" w:rsidRDefault="00122A62" w:rsidP="004D00B0">
            <w:pPr>
              <w:tabs>
                <w:tab w:val="decimal" w:pos="595"/>
              </w:tabs>
              <w:spacing w:before="40" w:after="4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$276</w:t>
            </w:r>
          </w:p>
        </w:tc>
      </w:tr>
      <w:tr w:rsidR="00122A62" w:rsidRPr="000973F2" w14:paraId="4488736E" w14:textId="77777777" w:rsidTr="00B013A0">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0" w:type="dxa"/>
            <w:hideMark/>
          </w:tcPr>
          <w:p w14:paraId="5CE18FC8" w14:textId="77777777" w:rsidR="00122A62" w:rsidRPr="000973F2" w:rsidRDefault="00122A62" w:rsidP="00B013A0">
            <w:pPr>
              <w:spacing w:before="40" w:after="4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QA/QC</w:t>
            </w:r>
          </w:p>
        </w:tc>
        <w:tc>
          <w:tcPr>
            <w:tcW w:w="0" w:type="dxa"/>
            <w:noWrap/>
            <w:hideMark/>
          </w:tcPr>
          <w:p w14:paraId="5455CC3E" w14:textId="77777777" w:rsidR="00122A62" w:rsidRPr="000973F2" w:rsidRDefault="00122A62" w:rsidP="00B013A0">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0</w:t>
            </w:r>
          </w:p>
        </w:tc>
        <w:tc>
          <w:tcPr>
            <w:tcW w:w="0" w:type="dxa"/>
            <w:noWrap/>
            <w:hideMark/>
          </w:tcPr>
          <w:p w14:paraId="7A89362B" w14:textId="77777777" w:rsidR="00122A62" w:rsidRPr="000973F2" w:rsidRDefault="00122A62" w:rsidP="004D00B0">
            <w:pPr>
              <w:tabs>
                <w:tab w:val="decimal" w:pos="292"/>
              </w:tabs>
              <w:spacing w:before="40" w:after="4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0</w:t>
            </w:r>
          </w:p>
        </w:tc>
        <w:tc>
          <w:tcPr>
            <w:tcW w:w="0" w:type="dxa"/>
            <w:noWrap/>
            <w:hideMark/>
          </w:tcPr>
          <w:p w14:paraId="7CF0130B" w14:textId="77777777" w:rsidR="00122A62" w:rsidRPr="000973F2" w:rsidRDefault="00122A62" w:rsidP="00B013A0">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0</w:t>
            </w:r>
          </w:p>
        </w:tc>
        <w:tc>
          <w:tcPr>
            <w:tcW w:w="0" w:type="dxa"/>
            <w:noWrap/>
            <w:hideMark/>
          </w:tcPr>
          <w:p w14:paraId="21177DEA" w14:textId="77777777" w:rsidR="00122A62" w:rsidRPr="000973F2" w:rsidRDefault="00122A62" w:rsidP="00B013A0">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0.1</w:t>
            </w:r>
          </w:p>
        </w:tc>
        <w:tc>
          <w:tcPr>
            <w:tcW w:w="0" w:type="dxa"/>
            <w:noWrap/>
            <w:hideMark/>
          </w:tcPr>
          <w:p w14:paraId="1D4649A9" w14:textId="77777777" w:rsidR="00122A62" w:rsidRPr="000973F2" w:rsidRDefault="00122A62" w:rsidP="00B013A0">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0</w:t>
            </w:r>
          </w:p>
        </w:tc>
        <w:tc>
          <w:tcPr>
            <w:tcW w:w="0" w:type="dxa"/>
            <w:noWrap/>
            <w:hideMark/>
          </w:tcPr>
          <w:p w14:paraId="2C848F18" w14:textId="77777777" w:rsidR="00122A62" w:rsidRPr="000973F2" w:rsidRDefault="00122A62" w:rsidP="004D00B0">
            <w:pPr>
              <w:tabs>
                <w:tab w:val="decimal" w:pos="366"/>
              </w:tabs>
              <w:spacing w:before="40" w:after="4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1</w:t>
            </w:r>
          </w:p>
        </w:tc>
        <w:tc>
          <w:tcPr>
            <w:tcW w:w="0" w:type="dxa"/>
            <w:noWrap/>
            <w:hideMark/>
          </w:tcPr>
          <w:p w14:paraId="7472561F" w14:textId="77777777" w:rsidR="00122A62" w:rsidRPr="000973F2" w:rsidRDefault="00122A62" w:rsidP="004D00B0">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0</w:t>
            </w:r>
          </w:p>
        </w:tc>
        <w:tc>
          <w:tcPr>
            <w:tcW w:w="0" w:type="dxa"/>
            <w:noWrap/>
            <w:hideMark/>
          </w:tcPr>
          <w:p w14:paraId="615ECB43" w14:textId="77777777" w:rsidR="00122A62" w:rsidRPr="000973F2" w:rsidRDefault="00122A62" w:rsidP="004D00B0">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0.1</w:t>
            </w:r>
          </w:p>
        </w:tc>
        <w:tc>
          <w:tcPr>
            <w:tcW w:w="0" w:type="dxa"/>
            <w:noWrap/>
            <w:hideMark/>
          </w:tcPr>
          <w:p w14:paraId="0CA8A7AE" w14:textId="5D3C40F0" w:rsidR="00122A62" w:rsidRPr="000973F2" w:rsidRDefault="00122A62" w:rsidP="004D00B0">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$0</w:t>
            </w:r>
          </w:p>
        </w:tc>
        <w:tc>
          <w:tcPr>
            <w:tcW w:w="0" w:type="dxa"/>
            <w:noWrap/>
            <w:hideMark/>
          </w:tcPr>
          <w:p w14:paraId="3D3565A0" w14:textId="715206DE" w:rsidR="00122A62" w:rsidRPr="000973F2" w:rsidRDefault="00122A62" w:rsidP="004D00B0">
            <w:pPr>
              <w:tabs>
                <w:tab w:val="decimal" w:pos="595"/>
              </w:tabs>
              <w:spacing w:before="40" w:after="4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$82</w:t>
            </w:r>
          </w:p>
        </w:tc>
      </w:tr>
      <w:tr w:rsidR="00122A62" w:rsidRPr="000973F2" w14:paraId="636C004F" w14:textId="77777777" w:rsidTr="00B013A0">
        <w:trPr>
          <w:cantSplit/>
        </w:trPr>
        <w:tc>
          <w:tcPr>
            <w:cnfStyle w:val="001000000000" w:firstRow="0" w:lastRow="0" w:firstColumn="1" w:lastColumn="0" w:oddVBand="0" w:evenVBand="0" w:oddHBand="0" w:evenHBand="0" w:firstRowFirstColumn="0" w:firstRowLastColumn="0" w:lastRowFirstColumn="0" w:lastRowLastColumn="0"/>
            <w:tcW w:w="0" w:type="dxa"/>
            <w:hideMark/>
          </w:tcPr>
          <w:p w14:paraId="41C127AA" w14:textId="77777777" w:rsidR="00122A62" w:rsidRPr="000973F2" w:rsidRDefault="00122A62" w:rsidP="00B013A0">
            <w:pPr>
              <w:spacing w:before="40" w:after="4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Recordkeeping</w:t>
            </w:r>
          </w:p>
        </w:tc>
        <w:tc>
          <w:tcPr>
            <w:tcW w:w="0" w:type="dxa"/>
            <w:noWrap/>
            <w:hideMark/>
          </w:tcPr>
          <w:p w14:paraId="2A1B8365" w14:textId="77777777" w:rsidR="00122A62" w:rsidRPr="000973F2" w:rsidRDefault="00122A62" w:rsidP="00B013A0">
            <w:pPr>
              <w:spacing w:before="40" w:after="4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0</w:t>
            </w:r>
          </w:p>
        </w:tc>
        <w:tc>
          <w:tcPr>
            <w:tcW w:w="0" w:type="dxa"/>
            <w:noWrap/>
            <w:hideMark/>
          </w:tcPr>
          <w:p w14:paraId="7C8C7CF9" w14:textId="77777777" w:rsidR="00122A62" w:rsidRPr="000973F2" w:rsidRDefault="00122A62" w:rsidP="004D00B0">
            <w:pPr>
              <w:tabs>
                <w:tab w:val="decimal" w:pos="292"/>
              </w:tabs>
              <w:spacing w:before="40" w:after="4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0</w:t>
            </w:r>
          </w:p>
        </w:tc>
        <w:tc>
          <w:tcPr>
            <w:tcW w:w="0" w:type="dxa"/>
            <w:noWrap/>
            <w:hideMark/>
          </w:tcPr>
          <w:p w14:paraId="34A36102" w14:textId="77777777" w:rsidR="00122A62" w:rsidRPr="000973F2" w:rsidRDefault="00122A62" w:rsidP="00B013A0">
            <w:pPr>
              <w:spacing w:before="40" w:after="4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0</w:t>
            </w:r>
          </w:p>
        </w:tc>
        <w:tc>
          <w:tcPr>
            <w:tcW w:w="0" w:type="dxa"/>
            <w:noWrap/>
            <w:hideMark/>
          </w:tcPr>
          <w:p w14:paraId="7ACD49A3" w14:textId="77777777" w:rsidR="00122A62" w:rsidRPr="000973F2" w:rsidRDefault="00122A62" w:rsidP="00B013A0">
            <w:pPr>
              <w:spacing w:before="40" w:after="4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0.5</w:t>
            </w:r>
          </w:p>
        </w:tc>
        <w:tc>
          <w:tcPr>
            <w:tcW w:w="0" w:type="dxa"/>
            <w:noWrap/>
            <w:hideMark/>
          </w:tcPr>
          <w:p w14:paraId="308EF018" w14:textId="77777777" w:rsidR="00122A62" w:rsidRPr="000973F2" w:rsidRDefault="00122A62" w:rsidP="00B013A0">
            <w:pPr>
              <w:spacing w:before="40" w:after="4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0</w:t>
            </w:r>
          </w:p>
        </w:tc>
        <w:tc>
          <w:tcPr>
            <w:tcW w:w="0" w:type="dxa"/>
            <w:noWrap/>
            <w:hideMark/>
          </w:tcPr>
          <w:p w14:paraId="769DA88D" w14:textId="77777777" w:rsidR="00122A62" w:rsidRPr="000973F2" w:rsidRDefault="00122A62" w:rsidP="004D00B0">
            <w:pPr>
              <w:tabs>
                <w:tab w:val="decimal" w:pos="366"/>
              </w:tabs>
              <w:spacing w:before="40" w:after="4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2</w:t>
            </w:r>
          </w:p>
        </w:tc>
        <w:tc>
          <w:tcPr>
            <w:tcW w:w="0" w:type="dxa"/>
            <w:noWrap/>
            <w:hideMark/>
          </w:tcPr>
          <w:p w14:paraId="19580F47" w14:textId="77777777" w:rsidR="00122A62" w:rsidRPr="000973F2" w:rsidRDefault="00122A62" w:rsidP="004D00B0">
            <w:pPr>
              <w:spacing w:before="40" w:after="4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0</w:t>
            </w:r>
          </w:p>
        </w:tc>
        <w:tc>
          <w:tcPr>
            <w:tcW w:w="0" w:type="dxa"/>
            <w:noWrap/>
            <w:hideMark/>
          </w:tcPr>
          <w:p w14:paraId="624ED98D" w14:textId="77777777" w:rsidR="00122A62" w:rsidRPr="000973F2" w:rsidRDefault="00122A62" w:rsidP="004D00B0">
            <w:pPr>
              <w:spacing w:before="40" w:after="4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0.5</w:t>
            </w:r>
          </w:p>
        </w:tc>
        <w:tc>
          <w:tcPr>
            <w:tcW w:w="0" w:type="dxa"/>
            <w:noWrap/>
            <w:hideMark/>
          </w:tcPr>
          <w:p w14:paraId="05FCF05C" w14:textId="6B942776" w:rsidR="00122A62" w:rsidRPr="000973F2" w:rsidRDefault="00122A62" w:rsidP="004D00B0">
            <w:pPr>
              <w:spacing w:before="40" w:after="4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$0</w:t>
            </w:r>
          </w:p>
        </w:tc>
        <w:tc>
          <w:tcPr>
            <w:tcW w:w="0" w:type="dxa"/>
            <w:noWrap/>
            <w:hideMark/>
          </w:tcPr>
          <w:p w14:paraId="539DAFBE" w14:textId="72DE6AC1" w:rsidR="00122A62" w:rsidRPr="000973F2" w:rsidRDefault="00122A62" w:rsidP="004D00B0">
            <w:pPr>
              <w:tabs>
                <w:tab w:val="decimal" w:pos="595"/>
              </w:tabs>
              <w:spacing w:before="40" w:after="4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$205</w:t>
            </w:r>
          </w:p>
        </w:tc>
      </w:tr>
      <w:tr w:rsidR="00122A62" w:rsidRPr="000973F2" w14:paraId="5FC1EB3A" w14:textId="77777777" w:rsidTr="00B013A0">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0" w:type="dxa"/>
            <w:hideMark/>
          </w:tcPr>
          <w:p w14:paraId="4154D34E" w14:textId="77777777" w:rsidR="00122A62" w:rsidRPr="000973F2" w:rsidRDefault="00122A62" w:rsidP="00B013A0">
            <w:pPr>
              <w:spacing w:before="40" w:after="4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Sampling and Analysis (Calculations)</w:t>
            </w:r>
          </w:p>
        </w:tc>
        <w:tc>
          <w:tcPr>
            <w:tcW w:w="0" w:type="dxa"/>
            <w:noWrap/>
            <w:hideMark/>
          </w:tcPr>
          <w:p w14:paraId="6E3B33CC" w14:textId="77777777" w:rsidR="00122A62" w:rsidRPr="000973F2" w:rsidRDefault="00122A62" w:rsidP="00B013A0">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0</w:t>
            </w:r>
          </w:p>
        </w:tc>
        <w:tc>
          <w:tcPr>
            <w:tcW w:w="0" w:type="dxa"/>
            <w:noWrap/>
            <w:hideMark/>
          </w:tcPr>
          <w:p w14:paraId="703EF87E" w14:textId="77777777" w:rsidR="00122A62" w:rsidRPr="000973F2" w:rsidRDefault="00122A62" w:rsidP="004D00B0">
            <w:pPr>
              <w:tabs>
                <w:tab w:val="decimal" w:pos="292"/>
              </w:tabs>
              <w:spacing w:before="40" w:after="4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0</w:t>
            </w:r>
          </w:p>
        </w:tc>
        <w:tc>
          <w:tcPr>
            <w:tcW w:w="0" w:type="dxa"/>
            <w:noWrap/>
            <w:hideMark/>
          </w:tcPr>
          <w:p w14:paraId="3ACFDC74" w14:textId="77777777" w:rsidR="00122A62" w:rsidRPr="000973F2" w:rsidRDefault="00122A62" w:rsidP="00B013A0">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0</w:t>
            </w:r>
          </w:p>
        </w:tc>
        <w:tc>
          <w:tcPr>
            <w:tcW w:w="0" w:type="dxa"/>
            <w:noWrap/>
            <w:hideMark/>
          </w:tcPr>
          <w:p w14:paraId="53493085" w14:textId="77777777" w:rsidR="00122A62" w:rsidRPr="000973F2" w:rsidRDefault="00122A62" w:rsidP="00B013A0">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1.9</w:t>
            </w:r>
          </w:p>
        </w:tc>
        <w:tc>
          <w:tcPr>
            <w:tcW w:w="0" w:type="dxa"/>
            <w:noWrap/>
            <w:hideMark/>
          </w:tcPr>
          <w:p w14:paraId="39D74B1D" w14:textId="77777777" w:rsidR="00122A62" w:rsidRPr="000973F2" w:rsidRDefault="00122A62" w:rsidP="00B013A0">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0</w:t>
            </w:r>
          </w:p>
        </w:tc>
        <w:tc>
          <w:tcPr>
            <w:tcW w:w="0" w:type="dxa"/>
            <w:noWrap/>
            <w:hideMark/>
          </w:tcPr>
          <w:p w14:paraId="1369677D" w14:textId="77777777" w:rsidR="00122A62" w:rsidRPr="000973F2" w:rsidRDefault="00122A62" w:rsidP="004D00B0">
            <w:pPr>
              <w:tabs>
                <w:tab w:val="decimal" w:pos="366"/>
              </w:tabs>
              <w:spacing w:before="40" w:after="4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19</w:t>
            </w:r>
          </w:p>
        </w:tc>
        <w:tc>
          <w:tcPr>
            <w:tcW w:w="0" w:type="dxa"/>
            <w:noWrap/>
            <w:hideMark/>
          </w:tcPr>
          <w:p w14:paraId="4DB3D29E" w14:textId="77777777" w:rsidR="00122A62" w:rsidRPr="000973F2" w:rsidRDefault="00122A62" w:rsidP="004D00B0">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0</w:t>
            </w:r>
          </w:p>
        </w:tc>
        <w:tc>
          <w:tcPr>
            <w:tcW w:w="0" w:type="dxa"/>
            <w:noWrap/>
            <w:hideMark/>
          </w:tcPr>
          <w:p w14:paraId="06A3D7AF" w14:textId="77777777" w:rsidR="00122A62" w:rsidRPr="000973F2" w:rsidRDefault="00122A62" w:rsidP="004D00B0">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1.0</w:t>
            </w:r>
          </w:p>
        </w:tc>
        <w:tc>
          <w:tcPr>
            <w:tcW w:w="0" w:type="dxa"/>
            <w:noWrap/>
            <w:hideMark/>
          </w:tcPr>
          <w:p w14:paraId="569617B5" w14:textId="2DBADD85" w:rsidR="00122A62" w:rsidRPr="000973F2" w:rsidRDefault="00122A62" w:rsidP="004D00B0">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$0</w:t>
            </w:r>
          </w:p>
        </w:tc>
        <w:tc>
          <w:tcPr>
            <w:tcW w:w="0" w:type="dxa"/>
            <w:noWrap/>
            <w:hideMark/>
          </w:tcPr>
          <w:p w14:paraId="5718715D" w14:textId="59B274E8" w:rsidR="00122A62" w:rsidRPr="000973F2" w:rsidRDefault="00122A62" w:rsidP="004D00B0">
            <w:pPr>
              <w:tabs>
                <w:tab w:val="decimal" w:pos="595"/>
              </w:tabs>
              <w:spacing w:before="40" w:after="4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$1,558</w:t>
            </w:r>
          </w:p>
        </w:tc>
      </w:tr>
      <w:tr w:rsidR="00122A62" w:rsidRPr="000973F2" w14:paraId="66B1EEF4" w14:textId="77777777" w:rsidTr="00B013A0">
        <w:trPr>
          <w:cantSplit/>
        </w:trPr>
        <w:tc>
          <w:tcPr>
            <w:cnfStyle w:val="001000000000" w:firstRow="0" w:lastRow="0" w:firstColumn="1" w:lastColumn="0" w:oddVBand="0" w:evenVBand="0" w:oddHBand="0" w:evenHBand="0" w:firstRowFirstColumn="0" w:firstRowLastColumn="0" w:lastRowFirstColumn="0" w:lastRowLastColumn="0"/>
            <w:tcW w:w="0" w:type="dxa"/>
            <w:hideMark/>
          </w:tcPr>
          <w:p w14:paraId="2D6A063C" w14:textId="77777777" w:rsidR="00122A62" w:rsidRPr="000973F2" w:rsidRDefault="00122A62" w:rsidP="00B013A0">
            <w:pPr>
              <w:spacing w:before="40" w:after="4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Reporting</w:t>
            </w:r>
          </w:p>
        </w:tc>
        <w:tc>
          <w:tcPr>
            <w:tcW w:w="0" w:type="dxa"/>
            <w:noWrap/>
            <w:hideMark/>
          </w:tcPr>
          <w:p w14:paraId="577DF06E" w14:textId="77777777" w:rsidR="00122A62" w:rsidRPr="000973F2" w:rsidRDefault="00122A62" w:rsidP="00B013A0">
            <w:pPr>
              <w:spacing w:before="40" w:after="4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0</w:t>
            </w:r>
          </w:p>
        </w:tc>
        <w:tc>
          <w:tcPr>
            <w:tcW w:w="0" w:type="dxa"/>
            <w:noWrap/>
            <w:hideMark/>
          </w:tcPr>
          <w:p w14:paraId="157D947D" w14:textId="77777777" w:rsidR="00122A62" w:rsidRPr="000973F2" w:rsidRDefault="00122A62" w:rsidP="004D00B0">
            <w:pPr>
              <w:tabs>
                <w:tab w:val="decimal" w:pos="292"/>
              </w:tabs>
              <w:spacing w:before="40" w:after="4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0</w:t>
            </w:r>
          </w:p>
        </w:tc>
        <w:tc>
          <w:tcPr>
            <w:tcW w:w="0" w:type="dxa"/>
            <w:noWrap/>
            <w:hideMark/>
          </w:tcPr>
          <w:p w14:paraId="0DB641CD" w14:textId="77777777" w:rsidR="00122A62" w:rsidRPr="000973F2" w:rsidRDefault="00122A62" w:rsidP="00B013A0">
            <w:pPr>
              <w:spacing w:before="40" w:after="4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0</w:t>
            </w:r>
          </w:p>
        </w:tc>
        <w:tc>
          <w:tcPr>
            <w:tcW w:w="0" w:type="dxa"/>
            <w:noWrap/>
            <w:hideMark/>
          </w:tcPr>
          <w:p w14:paraId="24070667" w14:textId="77777777" w:rsidR="00122A62" w:rsidRPr="000973F2" w:rsidRDefault="00122A62" w:rsidP="00B013A0">
            <w:pPr>
              <w:spacing w:before="40" w:after="4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1.0</w:t>
            </w:r>
          </w:p>
        </w:tc>
        <w:tc>
          <w:tcPr>
            <w:tcW w:w="0" w:type="dxa"/>
            <w:noWrap/>
            <w:hideMark/>
          </w:tcPr>
          <w:p w14:paraId="3C8D6859" w14:textId="77777777" w:rsidR="00122A62" w:rsidRPr="000973F2" w:rsidRDefault="00122A62" w:rsidP="00B013A0">
            <w:pPr>
              <w:spacing w:before="40" w:after="4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0</w:t>
            </w:r>
          </w:p>
        </w:tc>
        <w:tc>
          <w:tcPr>
            <w:tcW w:w="0" w:type="dxa"/>
            <w:noWrap/>
            <w:hideMark/>
          </w:tcPr>
          <w:p w14:paraId="17E8EA63" w14:textId="77777777" w:rsidR="00122A62" w:rsidRPr="000973F2" w:rsidRDefault="00122A62" w:rsidP="004D00B0">
            <w:pPr>
              <w:tabs>
                <w:tab w:val="decimal" w:pos="366"/>
              </w:tabs>
              <w:spacing w:before="40" w:after="4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4</w:t>
            </w:r>
          </w:p>
        </w:tc>
        <w:tc>
          <w:tcPr>
            <w:tcW w:w="0" w:type="dxa"/>
            <w:noWrap/>
            <w:hideMark/>
          </w:tcPr>
          <w:p w14:paraId="5D749973" w14:textId="77777777" w:rsidR="00122A62" w:rsidRPr="000973F2" w:rsidRDefault="00122A62" w:rsidP="004D00B0">
            <w:pPr>
              <w:spacing w:before="40" w:after="4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0</w:t>
            </w:r>
          </w:p>
        </w:tc>
        <w:tc>
          <w:tcPr>
            <w:tcW w:w="0" w:type="dxa"/>
            <w:noWrap/>
            <w:hideMark/>
          </w:tcPr>
          <w:p w14:paraId="5D2FC78A" w14:textId="77777777" w:rsidR="00122A62" w:rsidRPr="000973F2" w:rsidRDefault="00122A62" w:rsidP="004D00B0">
            <w:pPr>
              <w:spacing w:before="40" w:after="4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1.0</w:t>
            </w:r>
          </w:p>
        </w:tc>
        <w:tc>
          <w:tcPr>
            <w:tcW w:w="0" w:type="dxa"/>
            <w:noWrap/>
            <w:hideMark/>
          </w:tcPr>
          <w:p w14:paraId="0D06CF27" w14:textId="74D0F055" w:rsidR="00122A62" w:rsidRPr="000973F2" w:rsidRDefault="00122A62" w:rsidP="004D00B0">
            <w:pPr>
              <w:spacing w:before="40" w:after="4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$0</w:t>
            </w:r>
          </w:p>
        </w:tc>
        <w:tc>
          <w:tcPr>
            <w:tcW w:w="0" w:type="dxa"/>
            <w:noWrap/>
            <w:hideMark/>
          </w:tcPr>
          <w:p w14:paraId="5945D2B9" w14:textId="2E3BDFCB" w:rsidR="00122A62" w:rsidRPr="000973F2" w:rsidRDefault="00122A62" w:rsidP="004D00B0">
            <w:pPr>
              <w:tabs>
                <w:tab w:val="decimal" w:pos="595"/>
              </w:tabs>
              <w:spacing w:before="40" w:after="4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$410</w:t>
            </w:r>
          </w:p>
        </w:tc>
      </w:tr>
      <w:tr w:rsidR="00122A62" w:rsidRPr="000973F2" w14:paraId="5A4D9F8D" w14:textId="77777777" w:rsidTr="00B013A0">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1327" w:type="dxa"/>
            <w:noWrap/>
            <w:hideMark/>
          </w:tcPr>
          <w:p w14:paraId="5328E81F" w14:textId="77777777" w:rsidR="00122A62" w:rsidRPr="000973F2" w:rsidRDefault="00122A62" w:rsidP="00B013A0">
            <w:pPr>
              <w:spacing w:before="40" w:after="40"/>
              <w:rPr>
                <w:rFonts w:ascii="Times New Roman" w:eastAsia="Times New Roman" w:hAnsi="Times New Roman" w:cs="Times New Roman"/>
                <w:b/>
                <w:bCs w:val="0"/>
                <w:sz w:val="18"/>
                <w:szCs w:val="18"/>
              </w:rPr>
            </w:pPr>
            <w:r w:rsidRPr="000973F2">
              <w:rPr>
                <w:rFonts w:ascii="Times New Roman" w:eastAsia="Times New Roman" w:hAnsi="Times New Roman" w:cs="Times New Roman"/>
                <w:b/>
                <w:sz w:val="18"/>
                <w:szCs w:val="18"/>
              </w:rPr>
              <w:t>Total</w:t>
            </w:r>
          </w:p>
        </w:tc>
        <w:tc>
          <w:tcPr>
            <w:tcW w:w="705" w:type="dxa"/>
            <w:noWrap/>
            <w:hideMark/>
          </w:tcPr>
          <w:p w14:paraId="635DD32A" w14:textId="77777777" w:rsidR="00122A62" w:rsidRPr="000973F2" w:rsidRDefault="00122A62" w:rsidP="00B013A0">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18"/>
                <w:szCs w:val="18"/>
              </w:rPr>
            </w:pPr>
            <w:r w:rsidRPr="000973F2">
              <w:rPr>
                <w:rFonts w:ascii="Times New Roman" w:eastAsia="Times New Roman" w:hAnsi="Times New Roman" w:cs="Times New Roman"/>
                <w:b/>
                <w:bCs/>
                <w:sz w:val="18"/>
                <w:szCs w:val="18"/>
              </w:rPr>
              <w:t>0</w:t>
            </w:r>
          </w:p>
        </w:tc>
        <w:tc>
          <w:tcPr>
            <w:tcW w:w="825" w:type="dxa"/>
            <w:noWrap/>
            <w:hideMark/>
          </w:tcPr>
          <w:p w14:paraId="217ACD4C" w14:textId="77777777" w:rsidR="00122A62" w:rsidRPr="000973F2" w:rsidRDefault="00122A62" w:rsidP="004D00B0">
            <w:pPr>
              <w:tabs>
                <w:tab w:val="decimal" w:pos="292"/>
              </w:tabs>
              <w:spacing w:before="40" w:after="4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18"/>
                <w:szCs w:val="18"/>
              </w:rPr>
            </w:pPr>
            <w:r w:rsidRPr="000973F2">
              <w:rPr>
                <w:rFonts w:ascii="Times New Roman" w:eastAsia="Times New Roman" w:hAnsi="Times New Roman" w:cs="Times New Roman"/>
                <w:b/>
                <w:bCs/>
                <w:sz w:val="18"/>
                <w:szCs w:val="18"/>
              </w:rPr>
              <w:t>1.0</w:t>
            </w:r>
          </w:p>
        </w:tc>
        <w:tc>
          <w:tcPr>
            <w:tcW w:w="709" w:type="dxa"/>
            <w:noWrap/>
            <w:hideMark/>
          </w:tcPr>
          <w:p w14:paraId="7F22AAAE" w14:textId="77777777" w:rsidR="00122A62" w:rsidRPr="000973F2" w:rsidRDefault="00122A62" w:rsidP="00B013A0">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18"/>
                <w:szCs w:val="18"/>
              </w:rPr>
            </w:pPr>
            <w:r w:rsidRPr="000973F2">
              <w:rPr>
                <w:rFonts w:ascii="Times New Roman" w:eastAsia="Times New Roman" w:hAnsi="Times New Roman" w:cs="Times New Roman"/>
                <w:b/>
                <w:bCs/>
                <w:sz w:val="18"/>
                <w:szCs w:val="18"/>
              </w:rPr>
              <w:t>0</w:t>
            </w:r>
          </w:p>
        </w:tc>
        <w:tc>
          <w:tcPr>
            <w:tcW w:w="912" w:type="dxa"/>
            <w:noWrap/>
            <w:hideMark/>
          </w:tcPr>
          <w:p w14:paraId="6FFADFC0" w14:textId="77777777" w:rsidR="00122A62" w:rsidRPr="000973F2" w:rsidRDefault="00122A62" w:rsidP="00B013A0">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18"/>
                <w:szCs w:val="18"/>
              </w:rPr>
            </w:pPr>
            <w:r w:rsidRPr="000973F2">
              <w:rPr>
                <w:rFonts w:ascii="Times New Roman" w:eastAsia="Times New Roman" w:hAnsi="Times New Roman" w:cs="Times New Roman"/>
                <w:b/>
                <w:bCs/>
                <w:sz w:val="18"/>
                <w:szCs w:val="18"/>
              </w:rPr>
              <w:t>3.7</w:t>
            </w:r>
          </w:p>
        </w:tc>
        <w:tc>
          <w:tcPr>
            <w:tcW w:w="694" w:type="dxa"/>
            <w:noWrap/>
            <w:hideMark/>
          </w:tcPr>
          <w:p w14:paraId="0666C369" w14:textId="77777777" w:rsidR="00122A62" w:rsidRPr="000973F2" w:rsidRDefault="00122A62" w:rsidP="00B013A0">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18"/>
                <w:szCs w:val="18"/>
              </w:rPr>
            </w:pPr>
            <w:r w:rsidRPr="000973F2">
              <w:rPr>
                <w:rFonts w:ascii="Times New Roman" w:eastAsia="Times New Roman" w:hAnsi="Times New Roman" w:cs="Times New Roman"/>
                <w:b/>
                <w:bCs/>
                <w:sz w:val="18"/>
                <w:szCs w:val="18"/>
              </w:rPr>
              <w:t>0</w:t>
            </w:r>
          </w:p>
        </w:tc>
        <w:tc>
          <w:tcPr>
            <w:tcW w:w="925" w:type="dxa"/>
            <w:noWrap/>
            <w:hideMark/>
          </w:tcPr>
          <w:p w14:paraId="2F6353F5" w14:textId="77777777" w:rsidR="00122A62" w:rsidRPr="000973F2" w:rsidRDefault="00122A62" w:rsidP="004D00B0">
            <w:pPr>
              <w:tabs>
                <w:tab w:val="decimal" w:pos="366"/>
              </w:tabs>
              <w:spacing w:before="40" w:after="4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18"/>
                <w:szCs w:val="18"/>
              </w:rPr>
            </w:pPr>
            <w:r w:rsidRPr="000973F2">
              <w:rPr>
                <w:rFonts w:ascii="Times New Roman" w:eastAsia="Times New Roman" w:hAnsi="Times New Roman" w:cs="Times New Roman"/>
                <w:b/>
                <w:bCs/>
                <w:sz w:val="18"/>
                <w:szCs w:val="18"/>
              </w:rPr>
              <w:t>28</w:t>
            </w:r>
          </w:p>
        </w:tc>
        <w:tc>
          <w:tcPr>
            <w:tcW w:w="720" w:type="dxa"/>
            <w:noWrap/>
            <w:hideMark/>
          </w:tcPr>
          <w:p w14:paraId="1098BC6B" w14:textId="77777777" w:rsidR="00122A62" w:rsidRPr="000973F2" w:rsidRDefault="00122A62" w:rsidP="004D00B0">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18"/>
                <w:szCs w:val="18"/>
              </w:rPr>
            </w:pPr>
            <w:r w:rsidRPr="000973F2">
              <w:rPr>
                <w:rFonts w:ascii="Times New Roman" w:eastAsia="Times New Roman" w:hAnsi="Times New Roman" w:cs="Times New Roman"/>
                <w:b/>
                <w:bCs/>
                <w:sz w:val="18"/>
                <w:szCs w:val="18"/>
              </w:rPr>
              <w:t>0</w:t>
            </w:r>
          </w:p>
        </w:tc>
        <w:tc>
          <w:tcPr>
            <w:tcW w:w="900" w:type="dxa"/>
            <w:noWrap/>
            <w:hideMark/>
          </w:tcPr>
          <w:p w14:paraId="4E810340" w14:textId="77777777" w:rsidR="00122A62" w:rsidRPr="000973F2" w:rsidRDefault="00122A62" w:rsidP="004D00B0">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18"/>
                <w:szCs w:val="18"/>
              </w:rPr>
            </w:pPr>
            <w:r w:rsidRPr="000973F2">
              <w:rPr>
                <w:rFonts w:ascii="Times New Roman" w:eastAsia="Times New Roman" w:hAnsi="Times New Roman" w:cs="Times New Roman"/>
                <w:b/>
                <w:bCs/>
                <w:sz w:val="18"/>
                <w:szCs w:val="18"/>
              </w:rPr>
              <w:t>2.6</w:t>
            </w:r>
          </w:p>
        </w:tc>
        <w:tc>
          <w:tcPr>
            <w:tcW w:w="720" w:type="dxa"/>
            <w:noWrap/>
            <w:hideMark/>
          </w:tcPr>
          <w:p w14:paraId="466698CC" w14:textId="0EA0F5DA" w:rsidR="00122A62" w:rsidRPr="000973F2" w:rsidRDefault="00122A62" w:rsidP="004D00B0">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18"/>
                <w:szCs w:val="18"/>
              </w:rPr>
            </w:pPr>
            <w:r w:rsidRPr="000973F2">
              <w:rPr>
                <w:rFonts w:ascii="Times New Roman" w:eastAsia="Times New Roman" w:hAnsi="Times New Roman" w:cs="Times New Roman"/>
                <w:b/>
                <w:bCs/>
                <w:sz w:val="18"/>
                <w:szCs w:val="18"/>
              </w:rPr>
              <w:t>$0</w:t>
            </w:r>
          </w:p>
        </w:tc>
        <w:tc>
          <w:tcPr>
            <w:tcW w:w="877" w:type="dxa"/>
            <w:noWrap/>
            <w:hideMark/>
          </w:tcPr>
          <w:p w14:paraId="6900AF2F" w14:textId="4A053DB8" w:rsidR="00122A62" w:rsidRPr="000973F2" w:rsidRDefault="00122A62" w:rsidP="004D00B0">
            <w:pPr>
              <w:tabs>
                <w:tab w:val="decimal" w:pos="595"/>
              </w:tabs>
              <w:spacing w:before="40" w:after="4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18"/>
                <w:szCs w:val="18"/>
              </w:rPr>
            </w:pPr>
            <w:r w:rsidRPr="000973F2">
              <w:rPr>
                <w:rFonts w:ascii="Times New Roman" w:eastAsia="Times New Roman" w:hAnsi="Times New Roman" w:cs="Times New Roman"/>
                <w:b/>
                <w:bCs/>
                <w:sz w:val="18"/>
                <w:szCs w:val="18"/>
              </w:rPr>
              <w:t>$2,531</w:t>
            </w:r>
          </w:p>
        </w:tc>
      </w:tr>
    </w:tbl>
    <w:p w14:paraId="5B06B762" w14:textId="77777777" w:rsidR="001A5460" w:rsidRPr="000973F2" w:rsidRDefault="001A5460" w:rsidP="00C00E4F">
      <w:pPr>
        <w:spacing w:line="240" w:lineRule="auto"/>
        <w:rPr>
          <w:rFonts w:ascii="Times New Roman" w:hAnsi="Times New Roman" w:cs="Times New Roman"/>
          <w:b/>
          <w:i/>
        </w:rPr>
      </w:pPr>
    </w:p>
    <w:p w14:paraId="2BB61587" w14:textId="77777777" w:rsidR="001A5460" w:rsidRPr="000973F2" w:rsidRDefault="001A5460" w:rsidP="00C00E4F">
      <w:pPr>
        <w:spacing w:line="240" w:lineRule="auto"/>
        <w:rPr>
          <w:rFonts w:ascii="Times New Roman" w:hAnsi="Times New Roman" w:cs="Times New Roman"/>
          <w:b/>
          <w:i/>
        </w:rPr>
      </w:pPr>
      <w:r w:rsidRPr="000973F2">
        <w:rPr>
          <w:rFonts w:ascii="Times New Roman" w:hAnsi="Times New Roman" w:cs="Times New Roman"/>
          <w:b/>
          <w:i/>
        </w:rPr>
        <w:br w:type="page"/>
      </w:r>
    </w:p>
    <w:p w14:paraId="0364A2B4" w14:textId="3F2C1D0B" w:rsidR="001A5460" w:rsidRPr="000973F2" w:rsidRDefault="001A5460" w:rsidP="00192F0B">
      <w:pPr>
        <w:pStyle w:val="Heading2"/>
      </w:pPr>
      <w:r w:rsidRPr="000973F2">
        <w:t>Capital and O&amp;M Costs for Subpart F</w:t>
      </w:r>
      <w:r w:rsidR="00192F0B" w:rsidRPr="000973F2">
        <w:t>–</w:t>
      </w:r>
      <w:r w:rsidRPr="000973F2">
        <w:t xml:space="preserve"> Measurement of Slope Coefficients using a Contractor and Rented Equipment </w:t>
      </w:r>
    </w:p>
    <w:p w14:paraId="46C291E1" w14:textId="3F94BB80" w:rsidR="001A5460" w:rsidRPr="000973F2" w:rsidRDefault="001A5460" w:rsidP="00192F0B">
      <w:pPr>
        <w:pStyle w:val="BodyText"/>
      </w:pPr>
      <w:r w:rsidRPr="000973F2">
        <w:t xml:space="preserve">Table </w:t>
      </w:r>
      <w:r w:rsidR="00192F0B" w:rsidRPr="000973F2">
        <w:t>F-</w:t>
      </w:r>
      <w:r w:rsidRPr="000973F2">
        <w:t>2a below includes the capital and O&amp;M costs for each of the two facilities using a contractor and rented equipment to comply with Subpart F. Typical costs related to equipment and recordkeeping are discussed in the Cost Appendix Introduction.</w:t>
      </w:r>
    </w:p>
    <w:p w14:paraId="31635150" w14:textId="3FCBFA9E" w:rsidR="001A5460" w:rsidRPr="000973F2" w:rsidRDefault="001A5460" w:rsidP="00C00E4F">
      <w:pPr>
        <w:spacing w:line="240" w:lineRule="auto"/>
        <w:rPr>
          <w:rFonts w:ascii="Times New Roman" w:hAnsi="Times New Roman" w:cs="Times New Roman"/>
          <w:i/>
        </w:rPr>
      </w:pPr>
      <w:r w:rsidRPr="000973F2">
        <w:rPr>
          <w:rFonts w:ascii="Times New Roman" w:hAnsi="Times New Roman" w:cs="Times New Roman"/>
        </w:rPr>
        <w:t xml:space="preserve">Sampling costs for contractors to be hired to conduct the slope coefficient test are based on actual costs of $6,250 per test in 2008$ (includes $2,250 for equipment rental costs and $4,000 for travel, food, and lodging for contracted consultant). These costs were scaled to $6,164 per test in 2017$. Each Subpart F facility has an average of 3 smelters </w:t>
      </w:r>
      <w:r w:rsidR="008670D5" w:rsidRPr="000973F2">
        <w:rPr>
          <w:rFonts w:ascii="Times New Roman" w:hAnsi="Times New Roman" w:cs="Times New Roman"/>
        </w:rPr>
        <w:t>for a</w:t>
      </w:r>
      <w:r w:rsidRPr="000973F2">
        <w:rPr>
          <w:rFonts w:ascii="Times New Roman" w:hAnsi="Times New Roman" w:cs="Times New Roman"/>
        </w:rPr>
        <w:t xml:space="preserve"> total testing cost</w:t>
      </w:r>
      <w:r w:rsidR="008670D5" w:rsidRPr="000973F2">
        <w:rPr>
          <w:rFonts w:ascii="Times New Roman" w:hAnsi="Times New Roman" w:cs="Times New Roman"/>
        </w:rPr>
        <w:t xml:space="preserve"> of</w:t>
      </w:r>
      <w:r w:rsidRPr="000973F2">
        <w:rPr>
          <w:rFonts w:ascii="Times New Roman" w:hAnsi="Times New Roman" w:cs="Times New Roman"/>
        </w:rPr>
        <w:t xml:space="preserve"> $18,492 per facility. </w:t>
      </w:r>
      <w:r w:rsidR="008670D5" w:rsidRPr="000973F2">
        <w:rPr>
          <w:rFonts w:ascii="Times New Roman" w:hAnsi="Times New Roman" w:cs="Times New Roman"/>
        </w:rPr>
        <w:t>However, t</w:t>
      </w:r>
      <w:r w:rsidRPr="000973F2">
        <w:rPr>
          <w:rFonts w:ascii="Times New Roman" w:hAnsi="Times New Roman" w:cs="Times New Roman"/>
        </w:rPr>
        <w:t xml:space="preserve">he tests are only required once every ten years, </w:t>
      </w:r>
      <w:r w:rsidR="008670D5" w:rsidRPr="000973F2">
        <w:rPr>
          <w:rFonts w:ascii="Times New Roman" w:hAnsi="Times New Roman" w:cs="Times New Roman"/>
        </w:rPr>
        <w:t>for a</w:t>
      </w:r>
      <w:r w:rsidRPr="000973F2">
        <w:rPr>
          <w:rFonts w:ascii="Times New Roman" w:hAnsi="Times New Roman" w:cs="Times New Roman"/>
        </w:rPr>
        <w:t xml:space="preserve"> yearly cost</w:t>
      </w:r>
      <w:r w:rsidR="00F11F0B" w:rsidRPr="000973F2">
        <w:rPr>
          <w:rFonts w:ascii="Times New Roman" w:hAnsi="Times New Roman" w:cs="Times New Roman"/>
        </w:rPr>
        <w:t xml:space="preserve"> </w:t>
      </w:r>
      <w:r w:rsidR="008670D5" w:rsidRPr="000973F2">
        <w:rPr>
          <w:rFonts w:ascii="Times New Roman" w:hAnsi="Times New Roman" w:cs="Times New Roman"/>
        </w:rPr>
        <w:t>of</w:t>
      </w:r>
      <w:r w:rsidRPr="000973F2">
        <w:rPr>
          <w:rFonts w:ascii="Times New Roman" w:hAnsi="Times New Roman" w:cs="Times New Roman"/>
        </w:rPr>
        <w:t xml:space="preserve"> $1,849 per facility </w:t>
      </w:r>
      <w:r w:rsidR="008670D5" w:rsidRPr="000973F2">
        <w:rPr>
          <w:rFonts w:ascii="Times New Roman" w:hAnsi="Times New Roman" w:cs="Times New Roman"/>
        </w:rPr>
        <w:t xml:space="preserve">to </w:t>
      </w:r>
      <w:r w:rsidRPr="000973F2">
        <w:rPr>
          <w:rFonts w:ascii="Times New Roman" w:hAnsi="Times New Roman" w:cs="Times New Roman"/>
        </w:rPr>
        <w:t>us</w:t>
      </w:r>
      <w:r w:rsidR="008670D5" w:rsidRPr="000973F2">
        <w:rPr>
          <w:rFonts w:ascii="Times New Roman" w:hAnsi="Times New Roman" w:cs="Times New Roman"/>
        </w:rPr>
        <w:t>e</w:t>
      </w:r>
      <w:r w:rsidRPr="000973F2">
        <w:rPr>
          <w:rFonts w:ascii="Times New Roman" w:hAnsi="Times New Roman" w:cs="Times New Roman"/>
        </w:rPr>
        <w:t xml:space="preserve"> a contractor and rented equipment. The number of facilities using this option was scaled to RY2017 facility counts, as discussed above.</w:t>
      </w:r>
    </w:p>
    <w:p w14:paraId="27235BBF" w14:textId="4B892E6A" w:rsidR="001A5460" w:rsidRPr="000973F2" w:rsidRDefault="00036136" w:rsidP="00192F0B">
      <w:pPr>
        <w:pStyle w:val="Tabletitle"/>
      </w:pPr>
      <w:r w:rsidRPr="000973F2">
        <w:t xml:space="preserve">Table </w:t>
      </w:r>
      <w:r w:rsidR="00192F0B" w:rsidRPr="000973F2">
        <w:t>F-</w:t>
      </w:r>
      <w:r w:rsidRPr="000973F2">
        <w:t xml:space="preserve">2a. Capital and O&amp;M Costs </w:t>
      </w:r>
      <w:r w:rsidR="00192F0B" w:rsidRPr="000973F2">
        <w:t>–</w:t>
      </w:r>
      <w:r w:rsidRPr="000973F2">
        <w:t xml:space="preserve"> </w:t>
      </w:r>
      <w:r w:rsidR="001A5460" w:rsidRPr="000973F2">
        <w:t xml:space="preserve">Subpart F </w:t>
      </w:r>
      <w:r w:rsidR="00192F0B" w:rsidRPr="000973F2">
        <w:t>–</w:t>
      </w:r>
      <w:r w:rsidR="001A5460" w:rsidRPr="000973F2">
        <w:t xml:space="preserve"> Measurement of Slope Coefficients </w:t>
      </w:r>
      <w:r w:rsidR="006A53C9" w:rsidRPr="000973F2">
        <w:t>U</w:t>
      </w:r>
      <w:r w:rsidR="001A5460" w:rsidRPr="000973F2">
        <w:t>sing a Contractor and Rented Equipment</w:t>
      </w:r>
      <w:bookmarkStart w:id="15" w:name="_Hlk520965656"/>
      <w:bookmarkEnd w:id="15"/>
    </w:p>
    <w:tbl>
      <w:tblPr>
        <w:tblStyle w:val="PlainTable1"/>
        <w:tblW w:w="5000" w:type="pct"/>
        <w:jc w:val="left"/>
        <w:tblLayout w:type="fixed"/>
        <w:tblCellMar>
          <w:left w:w="115" w:type="dxa"/>
          <w:right w:w="115" w:type="dxa"/>
        </w:tblCellMar>
        <w:tblLook w:val="04A0" w:firstRow="1" w:lastRow="0" w:firstColumn="1" w:lastColumn="0" w:noHBand="0" w:noVBand="1"/>
      </w:tblPr>
      <w:tblGrid>
        <w:gridCol w:w="1370"/>
        <w:gridCol w:w="1370"/>
        <w:gridCol w:w="1370"/>
        <w:gridCol w:w="1370"/>
        <w:gridCol w:w="1370"/>
        <w:gridCol w:w="1370"/>
        <w:gridCol w:w="1370"/>
      </w:tblGrid>
      <w:tr w:rsidR="00FF36E8" w:rsidRPr="000973F2" w14:paraId="52B2DA52" w14:textId="77777777" w:rsidTr="00034890">
        <w:trPr>
          <w:cnfStyle w:val="100000000000" w:firstRow="1" w:lastRow="0" w:firstColumn="0" w:lastColumn="0" w:oddVBand="0" w:evenVBand="0" w:oddHBand="0" w:evenHBand="0" w:firstRowFirstColumn="0" w:firstRowLastColumn="0" w:lastRowFirstColumn="0" w:lastRowLastColumn="0"/>
          <w:cantSplit/>
          <w:jc w:val="left"/>
        </w:trPr>
        <w:tc>
          <w:tcPr>
            <w:cnfStyle w:val="001000000000" w:firstRow="0" w:lastRow="0" w:firstColumn="1" w:lastColumn="0" w:oddVBand="0" w:evenVBand="0" w:oddHBand="0" w:evenHBand="0" w:firstRowFirstColumn="0" w:firstRowLastColumn="0" w:lastRowFirstColumn="0" w:lastRowLastColumn="0"/>
            <w:tcW w:w="1332" w:type="dxa"/>
            <w:vMerge w:val="restart"/>
            <w:noWrap/>
            <w:vAlign w:val="top"/>
            <w:hideMark/>
          </w:tcPr>
          <w:p w14:paraId="1283672F" w14:textId="766AF658" w:rsidR="00FF36E8" w:rsidRPr="000973F2" w:rsidRDefault="00FF36E8" w:rsidP="00192F0B">
            <w:pPr>
              <w:spacing w:before="40" w:after="40"/>
              <w:rPr>
                <w:rFonts w:ascii="Times New Roman" w:eastAsia="Times New Roman" w:hAnsi="Times New Roman" w:cs="Times New Roman"/>
                <w:b w:val="0"/>
                <w:bCs w:val="0"/>
                <w:sz w:val="18"/>
                <w:szCs w:val="18"/>
              </w:rPr>
            </w:pPr>
            <w:r w:rsidRPr="000973F2">
              <w:rPr>
                <w:rFonts w:ascii="Times New Roman" w:eastAsia="Times New Roman" w:hAnsi="Times New Roman" w:cs="Times New Roman"/>
                <w:sz w:val="18"/>
                <w:szCs w:val="18"/>
              </w:rPr>
              <w:t>Activity</w:t>
            </w:r>
          </w:p>
        </w:tc>
        <w:tc>
          <w:tcPr>
            <w:tcW w:w="5332" w:type="dxa"/>
            <w:gridSpan w:val="4"/>
            <w:noWrap/>
            <w:vAlign w:val="top"/>
            <w:hideMark/>
          </w:tcPr>
          <w:p w14:paraId="561A43C6" w14:textId="77777777" w:rsidR="00FF36E8" w:rsidRPr="000973F2" w:rsidRDefault="00FF36E8" w:rsidP="00192F0B">
            <w:pPr>
              <w:spacing w:before="40" w:after="40"/>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bCs w:val="0"/>
                <w:sz w:val="18"/>
                <w:szCs w:val="18"/>
              </w:rPr>
            </w:pPr>
            <w:r w:rsidRPr="000973F2">
              <w:rPr>
                <w:rFonts w:ascii="Times New Roman" w:eastAsia="Times New Roman" w:hAnsi="Times New Roman" w:cs="Times New Roman"/>
                <w:sz w:val="18"/>
                <w:szCs w:val="18"/>
              </w:rPr>
              <w:t>Cost Categories</w:t>
            </w:r>
          </w:p>
        </w:tc>
        <w:tc>
          <w:tcPr>
            <w:tcW w:w="2666" w:type="dxa"/>
            <w:gridSpan w:val="2"/>
            <w:vAlign w:val="top"/>
            <w:hideMark/>
          </w:tcPr>
          <w:p w14:paraId="46840B50" w14:textId="58FED9A2" w:rsidR="00FF36E8" w:rsidRPr="000973F2" w:rsidRDefault="00FF36E8" w:rsidP="00192F0B">
            <w:pPr>
              <w:spacing w:before="40" w:after="40"/>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bCs w:val="0"/>
                <w:sz w:val="18"/>
                <w:szCs w:val="18"/>
              </w:rPr>
            </w:pPr>
            <w:r w:rsidRPr="000973F2">
              <w:rPr>
                <w:rFonts w:ascii="Times New Roman" w:eastAsia="Times New Roman" w:hAnsi="Times New Roman" w:cs="Times New Roman"/>
                <w:sz w:val="18"/>
                <w:szCs w:val="18"/>
              </w:rPr>
              <w:t>Total Capital and O&amp;M Cost per Year per Facility (2017$)</w:t>
            </w:r>
          </w:p>
        </w:tc>
      </w:tr>
      <w:tr w:rsidR="00FF36E8" w:rsidRPr="000973F2" w14:paraId="36FF7289" w14:textId="77777777" w:rsidTr="00034890">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1332" w:type="dxa"/>
            <w:vMerge/>
            <w:noWrap/>
            <w:hideMark/>
          </w:tcPr>
          <w:p w14:paraId="326E68F6" w14:textId="20D4094A" w:rsidR="00FF36E8" w:rsidRPr="000973F2" w:rsidRDefault="00FF36E8" w:rsidP="00192F0B">
            <w:pPr>
              <w:spacing w:before="40" w:after="40"/>
              <w:jc w:val="center"/>
              <w:rPr>
                <w:rFonts w:ascii="Times New Roman" w:eastAsia="Times New Roman" w:hAnsi="Times New Roman" w:cs="Times New Roman"/>
                <w:b/>
                <w:bCs w:val="0"/>
                <w:sz w:val="18"/>
                <w:szCs w:val="18"/>
              </w:rPr>
            </w:pPr>
          </w:p>
        </w:tc>
        <w:tc>
          <w:tcPr>
            <w:tcW w:w="1333" w:type="dxa"/>
            <w:hideMark/>
          </w:tcPr>
          <w:p w14:paraId="50BD71CB" w14:textId="77777777" w:rsidR="00FF36E8" w:rsidRPr="000973F2" w:rsidRDefault="00FF36E8" w:rsidP="00192F0B">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18"/>
                <w:szCs w:val="18"/>
              </w:rPr>
            </w:pPr>
            <w:r w:rsidRPr="000973F2">
              <w:rPr>
                <w:rFonts w:ascii="Times New Roman" w:eastAsia="Times New Roman" w:hAnsi="Times New Roman" w:cs="Times New Roman"/>
                <w:b/>
                <w:bCs/>
                <w:sz w:val="18"/>
                <w:szCs w:val="18"/>
              </w:rPr>
              <w:t>Capital Cost (2017$)</w:t>
            </w:r>
          </w:p>
        </w:tc>
        <w:tc>
          <w:tcPr>
            <w:tcW w:w="1333" w:type="dxa"/>
            <w:hideMark/>
          </w:tcPr>
          <w:p w14:paraId="0EC35D14" w14:textId="77777777" w:rsidR="00FF36E8" w:rsidRPr="000973F2" w:rsidRDefault="00FF36E8" w:rsidP="00192F0B">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18"/>
                <w:szCs w:val="18"/>
              </w:rPr>
            </w:pPr>
            <w:r w:rsidRPr="000973F2">
              <w:rPr>
                <w:rFonts w:ascii="Times New Roman" w:eastAsia="Times New Roman" w:hAnsi="Times New Roman" w:cs="Times New Roman"/>
                <w:b/>
                <w:bCs/>
                <w:sz w:val="18"/>
                <w:szCs w:val="18"/>
              </w:rPr>
              <w:t>Equipment Lifetime</w:t>
            </w:r>
          </w:p>
        </w:tc>
        <w:tc>
          <w:tcPr>
            <w:tcW w:w="1333" w:type="dxa"/>
            <w:hideMark/>
          </w:tcPr>
          <w:p w14:paraId="77D6840E" w14:textId="77777777" w:rsidR="00FF36E8" w:rsidRPr="000973F2" w:rsidRDefault="00FF36E8" w:rsidP="00192F0B">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18"/>
                <w:szCs w:val="18"/>
              </w:rPr>
            </w:pPr>
            <w:r w:rsidRPr="000973F2">
              <w:rPr>
                <w:rFonts w:ascii="Times New Roman" w:eastAsia="Times New Roman" w:hAnsi="Times New Roman" w:cs="Times New Roman"/>
                <w:b/>
                <w:bCs/>
                <w:sz w:val="18"/>
                <w:szCs w:val="18"/>
              </w:rPr>
              <w:t>Annualized Capital Cost (2017$/year)</w:t>
            </w:r>
          </w:p>
        </w:tc>
        <w:tc>
          <w:tcPr>
            <w:tcW w:w="1333" w:type="dxa"/>
            <w:hideMark/>
          </w:tcPr>
          <w:p w14:paraId="7B950B56" w14:textId="77777777" w:rsidR="00FF36E8" w:rsidRPr="000973F2" w:rsidRDefault="00FF36E8" w:rsidP="00192F0B">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18"/>
                <w:szCs w:val="18"/>
              </w:rPr>
            </w:pPr>
            <w:r w:rsidRPr="000973F2">
              <w:rPr>
                <w:rFonts w:ascii="Times New Roman" w:eastAsia="Times New Roman" w:hAnsi="Times New Roman" w:cs="Times New Roman"/>
                <w:b/>
                <w:bCs/>
                <w:sz w:val="18"/>
                <w:szCs w:val="18"/>
              </w:rPr>
              <w:t>O&amp;M Costs (2017$/year)</w:t>
            </w:r>
          </w:p>
        </w:tc>
        <w:tc>
          <w:tcPr>
            <w:tcW w:w="1333" w:type="dxa"/>
            <w:hideMark/>
          </w:tcPr>
          <w:p w14:paraId="1FE0E4FF" w14:textId="77777777" w:rsidR="00FF36E8" w:rsidRPr="000973F2" w:rsidRDefault="00FF36E8" w:rsidP="00192F0B">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18"/>
                <w:szCs w:val="18"/>
              </w:rPr>
            </w:pPr>
            <w:r w:rsidRPr="000973F2">
              <w:rPr>
                <w:rFonts w:ascii="Times New Roman" w:eastAsia="Times New Roman" w:hAnsi="Times New Roman" w:cs="Times New Roman"/>
                <w:b/>
                <w:bCs/>
                <w:sz w:val="18"/>
                <w:szCs w:val="18"/>
              </w:rPr>
              <w:t>Initial Year</w:t>
            </w:r>
          </w:p>
        </w:tc>
        <w:tc>
          <w:tcPr>
            <w:tcW w:w="1333" w:type="dxa"/>
            <w:hideMark/>
          </w:tcPr>
          <w:p w14:paraId="11BDBCC4" w14:textId="77777777" w:rsidR="00FF36E8" w:rsidRPr="000973F2" w:rsidRDefault="00FF36E8" w:rsidP="00192F0B">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18"/>
                <w:szCs w:val="18"/>
              </w:rPr>
            </w:pPr>
            <w:r w:rsidRPr="000973F2">
              <w:rPr>
                <w:rFonts w:ascii="Times New Roman" w:eastAsia="Times New Roman" w:hAnsi="Times New Roman" w:cs="Times New Roman"/>
                <w:b/>
                <w:bCs/>
                <w:sz w:val="18"/>
                <w:szCs w:val="18"/>
              </w:rPr>
              <w:t>Subseq. Years</w:t>
            </w:r>
          </w:p>
        </w:tc>
      </w:tr>
      <w:tr w:rsidR="00034890" w:rsidRPr="000973F2" w14:paraId="2750B7BD" w14:textId="77777777" w:rsidTr="00034890">
        <w:trPr>
          <w:cantSplit/>
        </w:trPr>
        <w:tc>
          <w:tcPr>
            <w:cnfStyle w:val="001000000000" w:firstRow="0" w:lastRow="0" w:firstColumn="1" w:lastColumn="0" w:oddVBand="0" w:evenVBand="0" w:oddHBand="0" w:evenHBand="0" w:firstRowFirstColumn="0" w:firstRowLastColumn="0" w:lastRowFirstColumn="0" w:lastRowLastColumn="0"/>
            <w:tcW w:w="1332" w:type="dxa"/>
            <w:hideMark/>
          </w:tcPr>
          <w:p w14:paraId="00D9C89E" w14:textId="77777777" w:rsidR="00034890" w:rsidRPr="000973F2" w:rsidRDefault="00034890" w:rsidP="00034890">
            <w:pPr>
              <w:spacing w:before="40" w:after="4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Equipment (selection, purchase, installation)</w:t>
            </w:r>
          </w:p>
        </w:tc>
        <w:tc>
          <w:tcPr>
            <w:tcW w:w="1333" w:type="dxa"/>
            <w:noWrap/>
            <w:hideMark/>
          </w:tcPr>
          <w:p w14:paraId="3DF1F684" w14:textId="62FFFE4F" w:rsidR="00034890" w:rsidRPr="000973F2" w:rsidRDefault="00034890" w:rsidP="00034890">
            <w:pPr>
              <w:spacing w:before="40" w:after="4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w:t>
            </w:r>
          </w:p>
        </w:tc>
        <w:tc>
          <w:tcPr>
            <w:tcW w:w="1333" w:type="dxa"/>
            <w:noWrap/>
          </w:tcPr>
          <w:p w14:paraId="068B0ABD" w14:textId="11448DFB" w:rsidR="00034890" w:rsidRPr="000973F2" w:rsidRDefault="00034890" w:rsidP="00034890">
            <w:pPr>
              <w:spacing w:before="40" w:after="4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p>
        </w:tc>
        <w:tc>
          <w:tcPr>
            <w:tcW w:w="1333" w:type="dxa"/>
            <w:noWrap/>
            <w:hideMark/>
          </w:tcPr>
          <w:p w14:paraId="1F279901" w14:textId="4B78AFCA" w:rsidR="00034890" w:rsidRPr="000973F2" w:rsidRDefault="00034890" w:rsidP="00034890">
            <w:pPr>
              <w:spacing w:before="40" w:after="4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w:t>
            </w:r>
          </w:p>
        </w:tc>
        <w:tc>
          <w:tcPr>
            <w:tcW w:w="1333" w:type="dxa"/>
            <w:noWrap/>
            <w:hideMark/>
          </w:tcPr>
          <w:p w14:paraId="4D257283" w14:textId="4B11D49B" w:rsidR="00034890" w:rsidRPr="000973F2" w:rsidRDefault="00034890" w:rsidP="00034890">
            <w:pPr>
              <w:tabs>
                <w:tab w:val="decimal" w:pos="741"/>
              </w:tabs>
              <w:spacing w:before="40" w:after="4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w:t>
            </w:r>
          </w:p>
        </w:tc>
        <w:tc>
          <w:tcPr>
            <w:tcW w:w="1333" w:type="dxa"/>
            <w:noWrap/>
            <w:hideMark/>
          </w:tcPr>
          <w:p w14:paraId="30A6D971" w14:textId="016E158B" w:rsidR="00034890" w:rsidRPr="000973F2" w:rsidRDefault="00034890" w:rsidP="00034890">
            <w:pPr>
              <w:spacing w:before="40" w:after="4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w:t>
            </w:r>
          </w:p>
        </w:tc>
        <w:tc>
          <w:tcPr>
            <w:tcW w:w="1333" w:type="dxa"/>
            <w:noWrap/>
            <w:hideMark/>
          </w:tcPr>
          <w:p w14:paraId="0BF09354" w14:textId="02145638" w:rsidR="00034890" w:rsidRPr="000973F2" w:rsidRDefault="00034890" w:rsidP="00034890">
            <w:pPr>
              <w:tabs>
                <w:tab w:val="decimal" w:pos="748"/>
              </w:tabs>
              <w:spacing w:before="40" w:after="4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w:t>
            </w:r>
          </w:p>
        </w:tc>
      </w:tr>
      <w:tr w:rsidR="00034890" w:rsidRPr="000973F2" w14:paraId="18172DF9" w14:textId="77777777" w:rsidTr="00034890">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1332" w:type="dxa"/>
            <w:hideMark/>
          </w:tcPr>
          <w:p w14:paraId="5EA5864E" w14:textId="77777777" w:rsidR="00034890" w:rsidRPr="000973F2" w:rsidRDefault="00034890" w:rsidP="00034890">
            <w:pPr>
              <w:spacing w:before="40" w:after="4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Performance testing</w:t>
            </w:r>
          </w:p>
        </w:tc>
        <w:tc>
          <w:tcPr>
            <w:tcW w:w="1333" w:type="dxa"/>
            <w:noWrap/>
            <w:hideMark/>
          </w:tcPr>
          <w:p w14:paraId="0F1E4477" w14:textId="5330AE88" w:rsidR="00034890" w:rsidRPr="000973F2" w:rsidRDefault="00034890" w:rsidP="00034890">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w:t>
            </w:r>
          </w:p>
        </w:tc>
        <w:tc>
          <w:tcPr>
            <w:tcW w:w="1333" w:type="dxa"/>
            <w:noWrap/>
          </w:tcPr>
          <w:p w14:paraId="173552D0" w14:textId="0E079C3F" w:rsidR="00034890" w:rsidRPr="000973F2" w:rsidRDefault="00034890" w:rsidP="00034890">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p>
        </w:tc>
        <w:tc>
          <w:tcPr>
            <w:tcW w:w="1333" w:type="dxa"/>
            <w:noWrap/>
            <w:hideMark/>
          </w:tcPr>
          <w:p w14:paraId="73B6B746" w14:textId="1789C869" w:rsidR="00034890" w:rsidRPr="000973F2" w:rsidRDefault="00034890" w:rsidP="00034890">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w:t>
            </w:r>
          </w:p>
        </w:tc>
        <w:tc>
          <w:tcPr>
            <w:tcW w:w="1333" w:type="dxa"/>
            <w:noWrap/>
            <w:hideMark/>
          </w:tcPr>
          <w:p w14:paraId="43A1DDBC" w14:textId="1CFC1011" w:rsidR="00034890" w:rsidRPr="000973F2" w:rsidRDefault="00034890" w:rsidP="00034890">
            <w:pPr>
              <w:tabs>
                <w:tab w:val="decimal" w:pos="741"/>
              </w:tabs>
              <w:spacing w:before="40" w:after="4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w:t>
            </w:r>
          </w:p>
        </w:tc>
        <w:tc>
          <w:tcPr>
            <w:tcW w:w="1333" w:type="dxa"/>
            <w:noWrap/>
            <w:hideMark/>
          </w:tcPr>
          <w:p w14:paraId="33C43EF4" w14:textId="613F7BC6" w:rsidR="00034890" w:rsidRPr="000973F2" w:rsidRDefault="00034890" w:rsidP="00034890">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w:t>
            </w:r>
          </w:p>
        </w:tc>
        <w:tc>
          <w:tcPr>
            <w:tcW w:w="1333" w:type="dxa"/>
            <w:noWrap/>
            <w:hideMark/>
          </w:tcPr>
          <w:p w14:paraId="0AAFDF53" w14:textId="4A2EB6A4" w:rsidR="00034890" w:rsidRPr="000973F2" w:rsidRDefault="00034890" w:rsidP="00034890">
            <w:pPr>
              <w:tabs>
                <w:tab w:val="decimal" w:pos="748"/>
              </w:tabs>
              <w:spacing w:before="40" w:after="4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w:t>
            </w:r>
          </w:p>
        </w:tc>
      </w:tr>
      <w:tr w:rsidR="001A5460" w:rsidRPr="000973F2" w14:paraId="5DBADFDD" w14:textId="77777777" w:rsidTr="00034890">
        <w:trPr>
          <w:cantSplit/>
        </w:trPr>
        <w:tc>
          <w:tcPr>
            <w:cnfStyle w:val="001000000000" w:firstRow="0" w:lastRow="0" w:firstColumn="1" w:lastColumn="0" w:oddVBand="0" w:evenVBand="0" w:oddHBand="0" w:evenHBand="0" w:firstRowFirstColumn="0" w:firstRowLastColumn="0" w:lastRowFirstColumn="0" w:lastRowLastColumn="0"/>
            <w:tcW w:w="1332" w:type="dxa"/>
            <w:hideMark/>
          </w:tcPr>
          <w:p w14:paraId="4C4B737C" w14:textId="77777777" w:rsidR="001A5460" w:rsidRPr="000973F2" w:rsidRDefault="001A5460" w:rsidP="00192F0B">
            <w:pPr>
              <w:spacing w:before="40" w:after="4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Recordkeeping</w:t>
            </w:r>
          </w:p>
        </w:tc>
        <w:tc>
          <w:tcPr>
            <w:tcW w:w="1333" w:type="dxa"/>
            <w:noWrap/>
            <w:hideMark/>
          </w:tcPr>
          <w:p w14:paraId="059A4793" w14:textId="77777777" w:rsidR="001A5460" w:rsidRPr="000973F2" w:rsidRDefault="001A5460" w:rsidP="00192F0B">
            <w:pPr>
              <w:spacing w:before="40" w:after="4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$0</w:t>
            </w:r>
          </w:p>
        </w:tc>
        <w:tc>
          <w:tcPr>
            <w:tcW w:w="1333" w:type="dxa"/>
            <w:noWrap/>
          </w:tcPr>
          <w:p w14:paraId="0AB8789F" w14:textId="739B2F4C" w:rsidR="001A5460" w:rsidRPr="000973F2" w:rsidRDefault="001A5460" w:rsidP="00192F0B">
            <w:pPr>
              <w:spacing w:before="40" w:after="4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p>
        </w:tc>
        <w:tc>
          <w:tcPr>
            <w:tcW w:w="1333" w:type="dxa"/>
            <w:noWrap/>
            <w:hideMark/>
          </w:tcPr>
          <w:p w14:paraId="61F8114D" w14:textId="77777777" w:rsidR="001A5460" w:rsidRPr="000973F2" w:rsidRDefault="001A5460" w:rsidP="00192F0B">
            <w:pPr>
              <w:spacing w:before="40" w:after="4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$0</w:t>
            </w:r>
          </w:p>
        </w:tc>
        <w:tc>
          <w:tcPr>
            <w:tcW w:w="1333" w:type="dxa"/>
            <w:noWrap/>
            <w:hideMark/>
          </w:tcPr>
          <w:p w14:paraId="04BC90E4" w14:textId="77777777" w:rsidR="001A5460" w:rsidRPr="000973F2" w:rsidRDefault="001A5460" w:rsidP="00192F0B">
            <w:pPr>
              <w:tabs>
                <w:tab w:val="decimal" w:pos="741"/>
              </w:tabs>
              <w:spacing w:before="40" w:after="4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$50</w:t>
            </w:r>
          </w:p>
        </w:tc>
        <w:tc>
          <w:tcPr>
            <w:tcW w:w="1333" w:type="dxa"/>
            <w:noWrap/>
            <w:hideMark/>
          </w:tcPr>
          <w:p w14:paraId="510F2D1B" w14:textId="77777777" w:rsidR="001A5460" w:rsidRPr="000973F2" w:rsidRDefault="001A5460" w:rsidP="00192F0B">
            <w:pPr>
              <w:spacing w:before="40" w:after="4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$0</w:t>
            </w:r>
          </w:p>
        </w:tc>
        <w:tc>
          <w:tcPr>
            <w:tcW w:w="1333" w:type="dxa"/>
            <w:noWrap/>
            <w:hideMark/>
          </w:tcPr>
          <w:p w14:paraId="4E423A14" w14:textId="77777777" w:rsidR="001A5460" w:rsidRPr="000973F2" w:rsidRDefault="001A5460" w:rsidP="00192F0B">
            <w:pPr>
              <w:tabs>
                <w:tab w:val="decimal" w:pos="748"/>
              </w:tabs>
              <w:spacing w:before="40" w:after="4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$50</w:t>
            </w:r>
          </w:p>
        </w:tc>
      </w:tr>
      <w:tr w:rsidR="00034890" w:rsidRPr="000973F2" w14:paraId="51EBC2BB" w14:textId="77777777" w:rsidTr="00034890">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1332" w:type="dxa"/>
            <w:hideMark/>
          </w:tcPr>
          <w:p w14:paraId="652B0FE1" w14:textId="77777777" w:rsidR="00034890" w:rsidRPr="000973F2" w:rsidRDefault="00034890" w:rsidP="00034890">
            <w:pPr>
              <w:spacing w:before="40" w:after="4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Travel</w:t>
            </w:r>
          </w:p>
        </w:tc>
        <w:tc>
          <w:tcPr>
            <w:tcW w:w="1333" w:type="dxa"/>
            <w:noWrap/>
            <w:hideMark/>
          </w:tcPr>
          <w:p w14:paraId="400D0879" w14:textId="1C89C602" w:rsidR="00034890" w:rsidRPr="000973F2" w:rsidRDefault="00034890" w:rsidP="00034890">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w:t>
            </w:r>
          </w:p>
        </w:tc>
        <w:tc>
          <w:tcPr>
            <w:tcW w:w="1333" w:type="dxa"/>
            <w:noWrap/>
          </w:tcPr>
          <w:p w14:paraId="4F0AECB6" w14:textId="5501C9FE" w:rsidR="00034890" w:rsidRPr="000973F2" w:rsidRDefault="00034890" w:rsidP="00034890">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p>
        </w:tc>
        <w:tc>
          <w:tcPr>
            <w:tcW w:w="1333" w:type="dxa"/>
            <w:noWrap/>
            <w:hideMark/>
          </w:tcPr>
          <w:p w14:paraId="7127EB64" w14:textId="417C13AE" w:rsidR="00034890" w:rsidRPr="000973F2" w:rsidRDefault="00034890" w:rsidP="00034890">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w:t>
            </w:r>
          </w:p>
        </w:tc>
        <w:tc>
          <w:tcPr>
            <w:tcW w:w="1333" w:type="dxa"/>
            <w:noWrap/>
            <w:hideMark/>
          </w:tcPr>
          <w:p w14:paraId="237E3D09" w14:textId="70DB6801" w:rsidR="00034890" w:rsidRPr="000973F2" w:rsidRDefault="00034890" w:rsidP="00034890">
            <w:pPr>
              <w:tabs>
                <w:tab w:val="decimal" w:pos="741"/>
              </w:tabs>
              <w:spacing w:before="40" w:after="4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w:t>
            </w:r>
          </w:p>
        </w:tc>
        <w:tc>
          <w:tcPr>
            <w:tcW w:w="1333" w:type="dxa"/>
            <w:noWrap/>
            <w:hideMark/>
          </w:tcPr>
          <w:p w14:paraId="3CF856B7" w14:textId="10AE7877" w:rsidR="00034890" w:rsidRPr="000973F2" w:rsidRDefault="00034890" w:rsidP="00034890">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w:t>
            </w:r>
          </w:p>
        </w:tc>
        <w:tc>
          <w:tcPr>
            <w:tcW w:w="1333" w:type="dxa"/>
            <w:noWrap/>
            <w:hideMark/>
          </w:tcPr>
          <w:p w14:paraId="1E237928" w14:textId="6F1199C2" w:rsidR="00034890" w:rsidRPr="000973F2" w:rsidRDefault="00034890" w:rsidP="00034890">
            <w:pPr>
              <w:tabs>
                <w:tab w:val="decimal" w:pos="748"/>
              </w:tabs>
              <w:spacing w:before="40" w:after="4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w:t>
            </w:r>
          </w:p>
        </w:tc>
      </w:tr>
      <w:tr w:rsidR="001A5460" w:rsidRPr="000973F2" w14:paraId="4C217DC0" w14:textId="77777777" w:rsidTr="00034890">
        <w:trPr>
          <w:cantSplit/>
        </w:trPr>
        <w:tc>
          <w:tcPr>
            <w:cnfStyle w:val="001000000000" w:firstRow="0" w:lastRow="0" w:firstColumn="1" w:lastColumn="0" w:oddVBand="0" w:evenVBand="0" w:oddHBand="0" w:evenHBand="0" w:firstRowFirstColumn="0" w:firstRowLastColumn="0" w:lastRowFirstColumn="0" w:lastRowLastColumn="0"/>
            <w:tcW w:w="1332" w:type="dxa"/>
            <w:hideMark/>
          </w:tcPr>
          <w:p w14:paraId="5C9A598C" w14:textId="4CC38BB3" w:rsidR="001A5460" w:rsidRPr="000973F2" w:rsidRDefault="001A5460" w:rsidP="00192F0B">
            <w:pPr>
              <w:spacing w:before="40" w:after="4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 xml:space="preserve">Sampling </w:t>
            </w:r>
            <w:r w:rsidR="00C805F3" w:rsidRPr="000973F2">
              <w:rPr>
                <w:rFonts w:ascii="Times New Roman" w:eastAsia="Times New Roman" w:hAnsi="Times New Roman" w:cs="Times New Roman"/>
                <w:sz w:val="18"/>
                <w:szCs w:val="18"/>
              </w:rPr>
              <w:t xml:space="preserve">and Analysis </w:t>
            </w:r>
            <w:r w:rsidRPr="000973F2">
              <w:rPr>
                <w:rFonts w:ascii="Times New Roman" w:eastAsia="Times New Roman" w:hAnsi="Times New Roman" w:cs="Times New Roman"/>
                <w:sz w:val="18"/>
                <w:szCs w:val="18"/>
              </w:rPr>
              <w:t>Costs</w:t>
            </w:r>
          </w:p>
        </w:tc>
        <w:tc>
          <w:tcPr>
            <w:tcW w:w="1333" w:type="dxa"/>
            <w:noWrap/>
            <w:hideMark/>
          </w:tcPr>
          <w:p w14:paraId="286A32FE" w14:textId="77777777" w:rsidR="001A5460" w:rsidRPr="000973F2" w:rsidRDefault="001A5460" w:rsidP="00192F0B">
            <w:pPr>
              <w:spacing w:before="40" w:after="4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$0</w:t>
            </w:r>
          </w:p>
        </w:tc>
        <w:tc>
          <w:tcPr>
            <w:tcW w:w="1333" w:type="dxa"/>
            <w:noWrap/>
          </w:tcPr>
          <w:p w14:paraId="0D32F9AB" w14:textId="3B77F625" w:rsidR="001A5460" w:rsidRPr="000973F2" w:rsidRDefault="001A5460" w:rsidP="00192F0B">
            <w:pPr>
              <w:spacing w:before="40" w:after="4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p>
        </w:tc>
        <w:tc>
          <w:tcPr>
            <w:tcW w:w="1333" w:type="dxa"/>
            <w:noWrap/>
            <w:hideMark/>
          </w:tcPr>
          <w:p w14:paraId="77A0BBDB" w14:textId="77777777" w:rsidR="001A5460" w:rsidRPr="000973F2" w:rsidRDefault="001A5460" w:rsidP="00192F0B">
            <w:pPr>
              <w:spacing w:before="40" w:after="4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$0</w:t>
            </w:r>
          </w:p>
        </w:tc>
        <w:tc>
          <w:tcPr>
            <w:tcW w:w="1333" w:type="dxa"/>
            <w:noWrap/>
            <w:hideMark/>
          </w:tcPr>
          <w:p w14:paraId="6C53BD3D" w14:textId="77777777" w:rsidR="001A5460" w:rsidRPr="000973F2" w:rsidRDefault="001A5460" w:rsidP="00192F0B">
            <w:pPr>
              <w:tabs>
                <w:tab w:val="decimal" w:pos="741"/>
              </w:tabs>
              <w:spacing w:before="40" w:after="4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$1,849</w:t>
            </w:r>
          </w:p>
        </w:tc>
        <w:tc>
          <w:tcPr>
            <w:tcW w:w="1333" w:type="dxa"/>
            <w:noWrap/>
            <w:hideMark/>
          </w:tcPr>
          <w:p w14:paraId="638FB097" w14:textId="77777777" w:rsidR="001A5460" w:rsidRPr="000973F2" w:rsidRDefault="001A5460" w:rsidP="00192F0B">
            <w:pPr>
              <w:spacing w:before="40" w:after="4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$0</w:t>
            </w:r>
          </w:p>
        </w:tc>
        <w:tc>
          <w:tcPr>
            <w:tcW w:w="1333" w:type="dxa"/>
            <w:noWrap/>
            <w:hideMark/>
          </w:tcPr>
          <w:p w14:paraId="1A766C32" w14:textId="77777777" w:rsidR="001A5460" w:rsidRPr="000973F2" w:rsidRDefault="001A5460" w:rsidP="00192F0B">
            <w:pPr>
              <w:tabs>
                <w:tab w:val="decimal" w:pos="748"/>
              </w:tabs>
              <w:spacing w:before="40" w:after="4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$1,849</w:t>
            </w:r>
          </w:p>
        </w:tc>
      </w:tr>
      <w:tr w:rsidR="001A5460" w:rsidRPr="000973F2" w14:paraId="739C1718" w14:textId="77777777" w:rsidTr="00034890">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1332" w:type="dxa"/>
            <w:hideMark/>
          </w:tcPr>
          <w:p w14:paraId="3BE20272" w14:textId="77777777" w:rsidR="001A5460" w:rsidRPr="000973F2" w:rsidRDefault="001A5460" w:rsidP="00192F0B">
            <w:pPr>
              <w:spacing w:before="40" w:after="40"/>
              <w:rPr>
                <w:rFonts w:ascii="Times New Roman" w:eastAsia="Times New Roman" w:hAnsi="Times New Roman" w:cs="Times New Roman"/>
                <w:b/>
                <w:bCs w:val="0"/>
                <w:sz w:val="18"/>
                <w:szCs w:val="18"/>
              </w:rPr>
            </w:pPr>
            <w:r w:rsidRPr="000973F2">
              <w:rPr>
                <w:rFonts w:ascii="Times New Roman" w:eastAsia="Times New Roman" w:hAnsi="Times New Roman" w:cs="Times New Roman"/>
                <w:b/>
                <w:sz w:val="18"/>
                <w:szCs w:val="18"/>
              </w:rPr>
              <w:t>Total</w:t>
            </w:r>
          </w:p>
        </w:tc>
        <w:tc>
          <w:tcPr>
            <w:tcW w:w="1333" w:type="dxa"/>
            <w:noWrap/>
            <w:hideMark/>
          </w:tcPr>
          <w:p w14:paraId="6884A521" w14:textId="77777777" w:rsidR="001A5460" w:rsidRPr="000973F2" w:rsidRDefault="001A5460" w:rsidP="00192F0B">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$0</w:t>
            </w:r>
          </w:p>
        </w:tc>
        <w:tc>
          <w:tcPr>
            <w:tcW w:w="1333" w:type="dxa"/>
            <w:noWrap/>
          </w:tcPr>
          <w:p w14:paraId="43BFDB66" w14:textId="3F45AD0D" w:rsidR="001A5460" w:rsidRPr="000973F2" w:rsidRDefault="001A5460" w:rsidP="00192F0B">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p>
        </w:tc>
        <w:tc>
          <w:tcPr>
            <w:tcW w:w="1333" w:type="dxa"/>
            <w:noWrap/>
            <w:hideMark/>
          </w:tcPr>
          <w:p w14:paraId="3250ADEC" w14:textId="77777777" w:rsidR="001A5460" w:rsidRPr="000973F2" w:rsidRDefault="001A5460" w:rsidP="00192F0B">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$0</w:t>
            </w:r>
          </w:p>
        </w:tc>
        <w:tc>
          <w:tcPr>
            <w:tcW w:w="1333" w:type="dxa"/>
            <w:noWrap/>
            <w:hideMark/>
          </w:tcPr>
          <w:p w14:paraId="5C2D16B7" w14:textId="77777777" w:rsidR="001A5460" w:rsidRPr="000973F2" w:rsidRDefault="001A5460" w:rsidP="00192F0B">
            <w:pPr>
              <w:tabs>
                <w:tab w:val="decimal" w:pos="741"/>
              </w:tabs>
              <w:spacing w:before="40" w:after="4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$1,899</w:t>
            </w:r>
          </w:p>
        </w:tc>
        <w:tc>
          <w:tcPr>
            <w:tcW w:w="1333" w:type="dxa"/>
            <w:noWrap/>
            <w:hideMark/>
          </w:tcPr>
          <w:p w14:paraId="48CD5E78" w14:textId="77777777" w:rsidR="001A5460" w:rsidRPr="000973F2" w:rsidRDefault="001A5460" w:rsidP="00192F0B">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$0</w:t>
            </w:r>
          </w:p>
        </w:tc>
        <w:tc>
          <w:tcPr>
            <w:tcW w:w="1333" w:type="dxa"/>
            <w:noWrap/>
            <w:hideMark/>
          </w:tcPr>
          <w:p w14:paraId="09AE0254" w14:textId="77777777" w:rsidR="001A5460" w:rsidRPr="000973F2" w:rsidRDefault="001A5460" w:rsidP="00192F0B">
            <w:pPr>
              <w:tabs>
                <w:tab w:val="decimal" w:pos="748"/>
              </w:tabs>
              <w:spacing w:before="40" w:after="4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$1,899</w:t>
            </w:r>
          </w:p>
        </w:tc>
      </w:tr>
    </w:tbl>
    <w:p w14:paraId="462EF7F8" w14:textId="77777777" w:rsidR="001A5460" w:rsidRPr="000973F2" w:rsidRDefault="001A5460" w:rsidP="00C00E4F">
      <w:pPr>
        <w:spacing w:line="240" w:lineRule="auto"/>
        <w:rPr>
          <w:rFonts w:ascii="Times New Roman" w:hAnsi="Times New Roman" w:cs="Times New Roman"/>
          <w:i/>
        </w:rPr>
      </w:pPr>
    </w:p>
    <w:p w14:paraId="12EBAF80" w14:textId="77777777" w:rsidR="001A5460" w:rsidRPr="000973F2" w:rsidRDefault="001A5460" w:rsidP="00C00E4F">
      <w:pPr>
        <w:spacing w:line="240" w:lineRule="auto"/>
        <w:rPr>
          <w:rFonts w:ascii="Times New Roman" w:hAnsi="Times New Roman" w:cs="Times New Roman"/>
          <w:b/>
          <w:i/>
        </w:rPr>
      </w:pPr>
      <w:r w:rsidRPr="000973F2">
        <w:rPr>
          <w:rFonts w:ascii="Times New Roman" w:hAnsi="Times New Roman" w:cs="Times New Roman"/>
          <w:b/>
          <w:i/>
        </w:rPr>
        <w:br w:type="page"/>
      </w:r>
    </w:p>
    <w:p w14:paraId="76B88322" w14:textId="77777777" w:rsidR="001A5460" w:rsidRPr="000973F2" w:rsidRDefault="001A5460" w:rsidP="00192F0B">
      <w:pPr>
        <w:pStyle w:val="Heading2"/>
      </w:pPr>
      <w:r w:rsidRPr="000973F2">
        <w:t>Labor Costs for Subpart F- Measurement of Slope Coefficients using In-House Equipment</w:t>
      </w:r>
    </w:p>
    <w:p w14:paraId="1F8BB40D" w14:textId="080831AE" w:rsidR="001A5460" w:rsidRPr="000973F2" w:rsidRDefault="001A5460" w:rsidP="00192F0B">
      <w:pPr>
        <w:pStyle w:val="BodyText"/>
      </w:pPr>
      <w:r w:rsidRPr="000973F2">
        <w:t xml:space="preserve">Table </w:t>
      </w:r>
      <w:r w:rsidR="00192F0B" w:rsidRPr="000973F2">
        <w:t>F-</w:t>
      </w:r>
      <w:r w:rsidRPr="000973F2">
        <w:t xml:space="preserve">1b below includes the labor hours for each of the five facilities using in-house equipment to measure the slope coefficients to comply with Subpart F. Typical activities related to planning and recordkeeping and reporting are discussed in the Cost Appendix Introduction. In addition, QA/QC activities for Subpart F include time to maintain measurement equipment and review the calculations. Sampling and analysis activities for Subpart F include time for conducting slope coefficient measurements. According to documentation from 2008, the labor costs for conducting a slope coefficient test was $35,000 in 2008$, which assumed 185 hours of technical labor and 20.5 hours of managerial labor per test. Each facility has an average of 3 smelters </w:t>
      </w:r>
      <w:r w:rsidR="008670D5" w:rsidRPr="000973F2">
        <w:t>for</w:t>
      </w:r>
      <w:r w:rsidRPr="000973F2">
        <w:t xml:space="preserve"> a total of 3 slope coefficients</w:t>
      </w:r>
      <w:r w:rsidR="008670D5" w:rsidRPr="000973F2">
        <w:t xml:space="preserve"> that</w:t>
      </w:r>
      <w:r w:rsidRPr="000973F2">
        <w:t xml:space="preserve"> are measured for each facility, </w:t>
      </w:r>
      <w:r w:rsidR="008670D5" w:rsidRPr="000973F2">
        <w:t>and</w:t>
      </w:r>
      <w:r w:rsidRPr="000973F2">
        <w:t xml:space="preserve"> a total of 555 technical hours and 61.5 managerial hours per facility. </w:t>
      </w:r>
      <w:r w:rsidR="008670D5" w:rsidRPr="000973F2">
        <w:t>However, t</w:t>
      </w:r>
      <w:r w:rsidRPr="000973F2">
        <w:t xml:space="preserve">he tests are performed once every 10 years, </w:t>
      </w:r>
      <w:r w:rsidR="008670D5" w:rsidRPr="000973F2">
        <w:t>for a</w:t>
      </w:r>
      <w:r w:rsidRPr="000973F2">
        <w:t xml:space="preserve"> total </w:t>
      </w:r>
      <w:r w:rsidR="008670D5" w:rsidRPr="000973F2">
        <w:t>of</w:t>
      </w:r>
      <w:r w:rsidRPr="000973F2">
        <w:t xml:space="preserve"> 55.5 technical hours and 6.15 (rounded to 6.2) managerial hours</w:t>
      </w:r>
      <w:r w:rsidR="008670D5" w:rsidRPr="000973F2">
        <w:t xml:space="preserve"> per facility per year</w:t>
      </w:r>
      <w:r w:rsidRPr="000973F2">
        <w:t>. Recordkeeping and reporting hours for Subpart F are based on the “low bin” designation, as discussed in the Cost Appendix Introduction.</w:t>
      </w:r>
    </w:p>
    <w:p w14:paraId="5492EAAD" w14:textId="2DD1F1CA" w:rsidR="001A5460" w:rsidRPr="000973F2" w:rsidRDefault="00036136" w:rsidP="00192F0B">
      <w:pPr>
        <w:pStyle w:val="Tabletitle"/>
      </w:pPr>
      <w:r w:rsidRPr="000973F2">
        <w:t xml:space="preserve">Table </w:t>
      </w:r>
      <w:r w:rsidR="00192F0B" w:rsidRPr="000973F2">
        <w:t>F-</w:t>
      </w:r>
      <w:r w:rsidRPr="000973F2">
        <w:t xml:space="preserve">1b. Labor Costs </w:t>
      </w:r>
      <w:r w:rsidR="00192F0B" w:rsidRPr="000973F2">
        <w:t>–</w:t>
      </w:r>
      <w:r w:rsidRPr="000973F2">
        <w:t xml:space="preserve"> </w:t>
      </w:r>
      <w:r w:rsidR="001A5460" w:rsidRPr="000973F2">
        <w:t xml:space="preserve">Subpart F </w:t>
      </w:r>
      <w:r w:rsidR="00192F0B" w:rsidRPr="000973F2">
        <w:t>–</w:t>
      </w:r>
      <w:r w:rsidR="001A5460" w:rsidRPr="000973F2">
        <w:t xml:space="preserve"> Measurement of Slope Coefficients using In-House Equipment</w:t>
      </w:r>
    </w:p>
    <w:tbl>
      <w:tblPr>
        <w:tblStyle w:val="PlainTable1"/>
        <w:tblW w:w="5000" w:type="pct"/>
        <w:jc w:val="left"/>
        <w:tblLayout w:type="fixed"/>
        <w:tblCellMar>
          <w:left w:w="115" w:type="dxa"/>
          <w:right w:w="115" w:type="dxa"/>
        </w:tblCellMar>
        <w:tblLook w:val="04A0" w:firstRow="1" w:lastRow="0" w:firstColumn="1" w:lastColumn="0" w:noHBand="0" w:noVBand="1"/>
      </w:tblPr>
      <w:tblGrid>
        <w:gridCol w:w="1457"/>
        <w:gridCol w:w="739"/>
        <w:gridCol w:w="829"/>
        <w:gridCol w:w="661"/>
        <w:gridCol w:w="833"/>
        <w:gridCol w:w="738"/>
        <w:gridCol w:w="832"/>
        <w:gridCol w:w="737"/>
        <w:gridCol w:w="794"/>
        <w:gridCol w:w="818"/>
        <w:gridCol w:w="1152"/>
      </w:tblGrid>
      <w:tr w:rsidR="001A5460" w:rsidRPr="000973F2" w14:paraId="3D23D94A" w14:textId="77777777" w:rsidTr="00192F0B">
        <w:trPr>
          <w:cnfStyle w:val="100000000000" w:firstRow="1" w:lastRow="0" w:firstColumn="0" w:lastColumn="0" w:oddVBand="0" w:evenVBand="0" w:oddHBand="0" w:evenHBand="0" w:firstRowFirstColumn="0" w:firstRowLastColumn="0" w:lastRowFirstColumn="0" w:lastRowLastColumn="0"/>
          <w:cantSplit/>
          <w:jc w:val="left"/>
        </w:trPr>
        <w:tc>
          <w:tcPr>
            <w:cnfStyle w:val="001000000000" w:firstRow="0" w:lastRow="0" w:firstColumn="1" w:lastColumn="0" w:oddVBand="0" w:evenVBand="0" w:oddHBand="0" w:evenHBand="0" w:firstRowFirstColumn="0" w:firstRowLastColumn="0" w:lastRowFirstColumn="0" w:lastRowLastColumn="0"/>
            <w:tcW w:w="1402" w:type="dxa"/>
            <w:vMerge w:val="restart"/>
            <w:noWrap/>
            <w:vAlign w:val="top"/>
            <w:hideMark/>
          </w:tcPr>
          <w:p w14:paraId="2341CF6F" w14:textId="77777777" w:rsidR="001A5460" w:rsidRPr="000973F2" w:rsidRDefault="001A5460" w:rsidP="00192F0B">
            <w:pPr>
              <w:spacing w:before="40" w:after="40"/>
              <w:rPr>
                <w:rFonts w:ascii="Times New Roman" w:eastAsia="Times New Roman" w:hAnsi="Times New Roman" w:cs="Times New Roman"/>
                <w:b w:val="0"/>
                <w:bCs w:val="0"/>
                <w:sz w:val="18"/>
                <w:szCs w:val="18"/>
              </w:rPr>
            </w:pPr>
            <w:r w:rsidRPr="000973F2">
              <w:rPr>
                <w:rFonts w:ascii="Times New Roman" w:eastAsia="Times New Roman" w:hAnsi="Times New Roman" w:cs="Times New Roman"/>
                <w:sz w:val="18"/>
                <w:szCs w:val="18"/>
              </w:rPr>
              <w:t>Activity</w:t>
            </w:r>
          </w:p>
        </w:tc>
        <w:tc>
          <w:tcPr>
            <w:tcW w:w="5928" w:type="dxa"/>
            <w:gridSpan w:val="8"/>
            <w:noWrap/>
            <w:vAlign w:val="top"/>
            <w:hideMark/>
          </w:tcPr>
          <w:p w14:paraId="2EBF8DF9" w14:textId="77777777" w:rsidR="001A5460" w:rsidRPr="000973F2" w:rsidRDefault="001A5460" w:rsidP="00192F0B">
            <w:pPr>
              <w:spacing w:before="40" w:after="40"/>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bCs w:val="0"/>
                <w:sz w:val="18"/>
                <w:szCs w:val="18"/>
              </w:rPr>
            </w:pPr>
            <w:r w:rsidRPr="000973F2">
              <w:rPr>
                <w:rFonts w:ascii="Times New Roman" w:eastAsia="Times New Roman" w:hAnsi="Times New Roman" w:cs="Times New Roman"/>
                <w:sz w:val="18"/>
                <w:szCs w:val="18"/>
              </w:rPr>
              <w:t>Labor Rates (per hour)</w:t>
            </w:r>
          </w:p>
        </w:tc>
        <w:tc>
          <w:tcPr>
            <w:tcW w:w="1895" w:type="dxa"/>
            <w:gridSpan w:val="2"/>
            <w:vMerge w:val="restart"/>
            <w:vAlign w:val="top"/>
            <w:hideMark/>
          </w:tcPr>
          <w:p w14:paraId="05B6493A" w14:textId="77777777" w:rsidR="001A5460" w:rsidRPr="000973F2" w:rsidRDefault="001A5460" w:rsidP="00192F0B">
            <w:pPr>
              <w:spacing w:before="40" w:after="40"/>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bCs w:val="0"/>
                <w:sz w:val="18"/>
                <w:szCs w:val="18"/>
              </w:rPr>
            </w:pPr>
            <w:r w:rsidRPr="000973F2">
              <w:rPr>
                <w:rFonts w:ascii="Times New Roman" w:eastAsia="Times New Roman" w:hAnsi="Times New Roman" w:cs="Times New Roman"/>
                <w:sz w:val="18"/>
                <w:szCs w:val="18"/>
              </w:rPr>
              <w:t>Total Labor Cost per Year per Facility (2017$)</w:t>
            </w:r>
          </w:p>
        </w:tc>
      </w:tr>
      <w:tr w:rsidR="001A5460" w:rsidRPr="000973F2" w14:paraId="1BE2653C" w14:textId="77777777" w:rsidTr="00192F0B">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1402" w:type="dxa"/>
            <w:vMerge/>
            <w:hideMark/>
          </w:tcPr>
          <w:p w14:paraId="2353AD99" w14:textId="77777777" w:rsidR="001A5460" w:rsidRPr="000973F2" w:rsidRDefault="001A5460" w:rsidP="00192F0B">
            <w:pPr>
              <w:spacing w:before="40" w:after="40"/>
              <w:rPr>
                <w:rFonts w:ascii="Times New Roman" w:eastAsia="Times New Roman" w:hAnsi="Times New Roman" w:cs="Times New Roman"/>
                <w:b/>
                <w:bCs w:val="0"/>
                <w:sz w:val="18"/>
                <w:szCs w:val="18"/>
              </w:rPr>
            </w:pPr>
          </w:p>
        </w:tc>
        <w:tc>
          <w:tcPr>
            <w:tcW w:w="1508" w:type="dxa"/>
            <w:gridSpan w:val="2"/>
            <w:noWrap/>
            <w:hideMark/>
          </w:tcPr>
          <w:p w14:paraId="5C378585" w14:textId="77777777" w:rsidR="001A5460" w:rsidRPr="000973F2" w:rsidRDefault="001A5460" w:rsidP="00192F0B">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18"/>
                <w:szCs w:val="18"/>
              </w:rPr>
            </w:pPr>
            <w:r w:rsidRPr="000973F2">
              <w:rPr>
                <w:rFonts w:ascii="Times New Roman" w:eastAsia="Times New Roman" w:hAnsi="Times New Roman" w:cs="Times New Roman"/>
                <w:b/>
                <w:bCs/>
                <w:sz w:val="18"/>
                <w:szCs w:val="18"/>
              </w:rPr>
              <w:t>Lawyer</w:t>
            </w:r>
          </w:p>
        </w:tc>
        <w:tc>
          <w:tcPr>
            <w:tcW w:w="1437" w:type="dxa"/>
            <w:gridSpan w:val="2"/>
            <w:noWrap/>
            <w:hideMark/>
          </w:tcPr>
          <w:p w14:paraId="590A2F55" w14:textId="77777777" w:rsidR="001A5460" w:rsidRPr="000973F2" w:rsidRDefault="001A5460" w:rsidP="00192F0B">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18"/>
                <w:szCs w:val="18"/>
              </w:rPr>
            </w:pPr>
            <w:r w:rsidRPr="000973F2">
              <w:rPr>
                <w:rFonts w:ascii="Times New Roman" w:eastAsia="Times New Roman" w:hAnsi="Times New Roman" w:cs="Times New Roman"/>
                <w:b/>
                <w:bCs/>
                <w:sz w:val="18"/>
                <w:szCs w:val="18"/>
              </w:rPr>
              <w:t>Industrial Manager</w:t>
            </w:r>
          </w:p>
        </w:tc>
        <w:tc>
          <w:tcPr>
            <w:tcW w:w="1510" w:type="dxa"/>
            <w:gridSpan w:val="2"/>
            <w:hideMark/>
          </w:tcPr>
          <w:p w14:paraId="76C6BEEB" w14:textId="77777777" w:rsidR="001A5460" w:rsidRPr="000973F2" w:rsidRDefault="001A5460" w:rsidP="00192F0B">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18"/>
                <w:szCs w:val="18"/>
              </w:rPr>
            </w:pPr>
            <w:r w:rsidRPr="000973F2">
              <w:rPr>
                <w:rFonts w:ascii="Times New Roman" w:eastAsia="Times New Roman" w:hAnsi="Times New Roman" w:cs="Times New Roman"/>
                <w:b/>
                <w:bCs/>
                <w:sz w:val="18"/>
                <w:szCs w:val="18"/>
              </w:rPr>
              <w:t>Industrial Engineer/</w:t>
            </w:r>
          </w:p>
          <w:p w14:paraId="419744EB" w14:textId="77777777" w:rsidR="001A5460" w:rsidRPr="000973F2" w:rsidRDefault="001A5460" w:rsidP="00192F0B">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18"/>
                <w:szCs w:val="18"/>
              </w:rPr>
            </w:pPr>
            <w:r w:rsidRPr="000973F2">
              <w:rPr>
                <w:rFonts w:ascii="Times New Roman" w:eastAsia="Times New Roman" w:hAnsi="Times New Roman" w:cs="Times New Roman"/>
                <w:b/>
                <w:bCs/>
                <w:sz w:val="18"/>
                <w:szCs w:val="18"/>
              </w:rPr>
              <w:t>Technician</w:t>
            </w:r>
          </w:p>
        </w:tc>
        <w:tc>
          <w:tcPr>
            <w:tcW w:w="1470" w:type="dxa"/>
            <w:gridSpan w:val="2"/>
            <w:hideMark/>
          </w:tcPr>
          <w:p w14:paraId="633BB579" w14:textId="77777777" w:rsidR="001A5460" w:rsidRPr="000973F2" w:rsidRDefault="001A5460" w:rsidP="00192F0B">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18"/>
                <w:szCs w:val="18"/>
              </w:rPr>
            </w:pPr>
            <w:r w:rsidRPr="000973F2">
              <w:rPr>
                <w:rFonts w:ascii="Times New Roman" w:eastAsia="Times New Roman" w:hAnsi="Times New Roman" w:cs="Times New Roman"/>
                <w:b/>
                <w:bCs/>
                <w:sz w:val="18"/>
                <w:szCs w:val="18"/>
              </w:rPr>
              <w:t>Administrative Support</w:t>
            </w:r>
          </w:p>
        </w:tc>
        <w:tc>
          <w:tcPr>
            <w:tcW w:w="1895" w:type="dxa"/>
            <w:gridSpan w:val="2"/>
            <w:vMerge/>
            <w:hideMark/>
          </w:tcPr>
          <w:p w14:paraId="04ADD574" w14:textId="77777777" w:rsidR="001A5460" w:rsidRPr="000973F2" w:rsidRDefault="001A5460" w:rsidP="00192F0B">
            <w:pPr>
              <w:spacing w:before="40" w:after="4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18"/>
                <w:szCs w:val="18"/>
              </w:rPr>
            </w:pPr>
          </w:p>
        </w:tc>
      </w:tr>
      <w:tr w:rsidR="001A5460" w:rsidRPr="000973F2" w14:paraId="0B333DF9" w14:textId="77777777" w:rsidTr="00192F0B">
        <w:trPr>
          <w:cantSplit/>
        </w:trPr>
        <w:tc>
          <w:tcPr>
            <w:cnfStyle w:val="001000000000" w:firstRow="0" w:lastRow="0" w:firstColumn="1" w:lastColumn="0" w:oddVBand="0" w:evenVBand="0" w:oddHBand="0" w:evenHBand="0" w:firstRowFirstColumn="0" w:firstRowLastColumn="0" w:lastRowFirstColumn="0" w:lastRowLastColumn="0"/>
            <w:tcW w:w="1402" w:type="dxa"/>
            <w:vMerge/>
            <w:hideMark/>
          </w:tcPr>
          <w:p w14:paraId="57527B13" w14:textId="77777777" w:rsidR="001A5460" w:rsidRPr="000973F2" w:rsidRDefault="001A5460" w:rsidP="00192F0B">
            <w:pPr>
              <w:spacing w:before="40" w:after="40"/>
              <w:rPr>
                <w:rFonts w:ascii="Times New Roman" w:eastAsia="Times New Roman" w:hAnsi="Times New Roman" w:cs="Times New Roman"/>
                <w:b/>
                <w:bCs w:val="0"/>
                <w:sz w:val="18"/>
                <w:szCs w:val="18"/>
              </w:rPr>
            </w:pPr>
          </w:p>
        </w:tc>
        <w:tc>
          <w:tcPr>
            <w:tcW w:w="1508" w:type="dxa"/>
            <w:gridSpan w:val="2"/>
            <w:noWrap/>
            <w:hideMark/>
          </w:tcPr>
          <w:p w14:paraId="12485E4C" w14:textId="77777777" w:rsidR="001A5460" w:rsidRPr="000973F2" w:rsidRDefault="001A5460" w:rsidP="00192F0B">
            <w:pPr>
              <w:spacing w:before="40" w:after="4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sz w:val="18"/>
                <w:szCs w:val="18"/>
              </w:rPr>
            </w:pPr>
            <w:r w:rsidRPr="000973F2">
              <w:rPr>
                <w:rFonts w:ascii="Times New Roman" w:eastAsia="Times New Roman" w:hAnsi="Times New Roman" w:cs="Times New Roman"/>
                <w:b/>
                <w:bCs/>
                <w:sz w:val="18"/>
                <w:szCs w:val="18"/>
              </w:rPr>
              <w:t xml:space="preserve">$112.23 </w:t>
            </w:r>
          </w:p>
        </w:tc>
        <w:tc>
          <w:tcPr>
            <w:tcW w:w="1437" w:type="dxa"/>
            <w:gridSpan w:val="2"/>
            <w:noWrap/>
            <w:hideMark/>
          </w:tcPr>
          <w:p w14:paraId="7D564DA4" w14:textId="77777777" w:rsidR="001A5460" w:rsidRPr="000973F2" w:rsidRDefault="001A5460" w:rsidP="00192F0B">
            <w:pPr>
              <w:spacing w:before="40" w:after="4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sz w:val="18"/>
                <w:szCs w:val="18"/>
              </w:rPr>
            </w:pPr>
            <w:r w:rsidRPr="000973F2">
              <w:rPr>
                <w:rFonts w:ascii="Times New Roman" w:eastAsia="Times New Roman" w:hAnsi="Times New Roman" w:cs="Times New Roman"/>
                <w:b/>
                <w:bCs/>
                <w:sz w:val="18"/>
                <w:szCs w:val="18"/>
              </w:rPr>
              <w:t xml:space="preserve">$87.45 </w:t>
            </w:r>
          </w:p>
        </w:tc>
        <w:tc>
          <w:tcPr>
            <w:tcW w:w="1510" w:type="dxa"/>
            <w:gridSpan w:val="2"/>
            <w:noWrap/>
            <w:hideMark/>
          </w:tcPr>
          <w:p w14:paraId="72ED8A15" w14:textId="77777777" w:rsidR="001A5460" w:rsidRPr="000973F2" w:rsidRDefault="001A5460" w:rsidP="00192F0B">
            <w:pPr>
              <w:spacing w:before="40" w:after="4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sz w:val="18"/>
                <w:szCs w:val="18"/>
              </w:rPr>
            </w:pPr>
            <w:r w:rsidRPr="000973F2">
              <w:rPr>
                <w:rFonts w:ascii="Times New Roman" w:eastAsia="Times New Roman" w:hAnsi="Times New Roman" w:cs="Times New Roman"/>
                <w:b/>
                <w:bCs/>
                <w:sz w:val="18"/>
                <w:szCs w:val="18"/>
              </w:rPr>
              <w:t xml:space="preserve">$71.45 </w:t>
            </w:r>
          </w:p>
        </w:tc>
        <w:tc>
          <w:tcPr>
            <w:tcW w:w="1470" w:type="dxa"/>
            <w:gridSpan w:val="2"/>
            <w:noWrap/>
            <w:hideMark/>
          </w:tcPr>
          <w:p w14:paraId="1DD72B10" w14:textId="77777777" w:rsidR="001A5460" w:rsidRPr="000973F2" w:rsidRDefault="001A5460" w:rsidP="00192F0B">
            <w:pPr>
              <w:spacing w:before="40" w:after="4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sz w:val="18"/>
                <w:szCs w:val="18"/>
              </w:rPr>
            </w:pPr>
            <w:r w:rsidRPr="000973F2">
              <w:rPr>
                <w:rFonts w:ascii="Times New Roman" w:eastAsia="Times New Roman" w:hAnsi="Times New Roman" w:cs="Times New Roman"/>
                <w:b/>
                <w:bCs/>
                <w:sz w:val="18"/>
                <w:szCs w:val="18"/>
              </w:rPr>
              <w:t xml:space="preserve">$36.28 </w:t>
            </w:r>
          </w:p>
        </w:tc>
        <w:tc>
          <w:tcPr>
            <w:tcW w:w="1895" w:type="dxa"/>
            <w:gridSpan w:val="2"/>
            <w:vMerge/>
            <w:hideMark/>
          </w:tcPr>
          <w:p w14:paraId="629BB9C9" w14:textId="77777777" w:rsidR="001A5460" w:rsidRPr="000973F2" w:rsidRDefault="001A5460" w:rsidP="00192F0B">
            <w:pPr>
              <w:spacing w:before="40" w:after="4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sz w:val="18"/>
                <w:szCs w:val="18"/>
              </w:rPr>
            </w:pPr>
          </w:p>
        </w:tc>
      </w:tr>
      <w:tr w:rsidR="00F11F0B" w:rsidRPr="000973F2" w14:paraId="08D00678" w14:textId="77777777" w:rsidTr="00192F0B">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0" w:type="dxa"/>
            <w:vMerge/>
            <w:hideMark/>
          </w:tcPr>
          <w:p w14:paraId="47DD26CA" w14:textId="77777777" w:rsidR="001A5460" w:rsidRPr="000973F2" w:rsidRDefault="001A5460" w:rsidP="00192F0B">
            <w:pPr>
              <w:spacing w:before="40" w:after="40"/>
              <w:rPr>
                <w:rFonts w:ascii="Times New Roman" w:eastAsia="Times New Roman" w:hAnsi="Times New Roman" w:cs="Times New Roman"/>
                <w:b/>
                <w:bCs w:val="0"/>
                <w:sz w:val="18"/>
                <w:szCs w:val="18"/>
              </w:rPr>
            </w:pPr>
          </w:p>
        </w:tc>
        <w:tc>
          <w:tcPr>
            <w:tcW w:w="0" w:type="dxa"/>
            <w:tcMar>
              <w:left w:w="14" w:type="dxa"/>
              <w:right w:w="14" w:type="dxa"/>
            </w:tcMar>
            <w:hideMark/>
          </w:tcPr>
          <w:p w14:paraId="6B6C5C7D" w14:textId="5880A13A" w:rsidR="001A5460" w:rsidRPr="000973F2" w:rsidRDefault="001A5460" w:rsidP="00192F0B">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18"/>
                <w:szCs w:val="18"/>
              </w:rPr>
            </w:pPr>
            <w:r w:rsidRPr="000973F2">
              <w:rPr>
                <w:rFonts w:ascii="Times New Roman" w:eastAsia="Times New Roman" w:hAnsi="Times New Roman" w:cs="Times New Roman"/>
                <w:b/>
                <w:bCs/>
                <w:sz w:val="18"/>
                <w:szCs w:val="18"/>
              </w:rPr>
              <w:t>Initial Year</w:t>
            </w:r>
            <w:r w:rsidR="00192F0B" w:rsidRPr="000973F2">
              <w:rPr>
                <w:rFonts w:ascii="Times New Roman" w:eastAsia="Times New Roman" w:hAnsi="Times New Roman" w:cs="Times New Roman"/>
                <w:b/>
                <w:bCs/>
                <w:sz w:val="18"/>
                <w:szCs w:val="18"/>
              </w:rPr>
              <w:t xml:space="preserve"> </w:t>
            </w:r>
            <w:r w:rsidRPr="000973F2">
              <w:rPr>
                <w:rFonts w:ascii="Times New Roman" w:eastAsia="Times New Roman" w:hAnsi="Times New Roman" w:cs="Times New Roman"/>
                <w:b/>
                <w:bCs/>
                <w:sz w:val="18"/>
                <w:szCs w:val="18"/>
              </w:rPr>
              <w:t>Hours</w:t>
            </w:r>
          </w:p>
        </w:tc>
        <w:tc>
          <w:tcPr>
            <w:tcW w:w="0" w:type="dxa"/>
            <w:tcMar>
              <w:left w:w="14" w:type="dxa"/>
              <w:right w:w="14" w:type="dxa"/>
            </w:tcMar>
            <w:hideMark/>
          </w:tcPr>
          <w:p w14:paraId="372523A4" w14:textId="77777777" w:rsidR="001A5460" w:rsidRPr="000973F2" w:rsidRDefault="001A5460" w:rsidP="00192F0B">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18"/>
                <w:szCs w:val="18"/>
              </w:rPr>
            </w:pPr>
            <w:r w:rsidRPr="000973F2">
              <w:rPr>
                <w:rFonts w:ascii="Times New Roman" w:eastAsia="Times New Roman" w:hAnsi="Times New Roman" w:cs="Times New Roman"/>
                <w:b/>
                <w:bCs/>
                <w:sz w:val="18"/>
                <w:szCs w:val="18"/>
              </w:rPr>
              <w:t>Subseq. Year Hours</w:t>
            </w:r>
          </w:p>
        </w:tc>
        <w:tc>
          <w:tcPr>
            <w:tcW w:w="0" w:type="dxa"/>
            <w:tcMar>
              <w:left w:w="14" w:type="dxa"/>
              <w:right w:w="14" w:type="dxa"/>
            </w:tcMar>
            <w:hideMark/>
          </w:tcPr>
          <w:p w14:paraId="5AD463AE" w14:textId="3AF7DDAD" w:rsidR="001A5460" w:rsidRPr="000973F2" w:rsidRDefault="001A5460" w:rsidP="00192F0B">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18"/>
                <w:szCs w:val="18"/>
              </w:rPr>
            </w:pPr>
            <w:r w:rsidRPr="000973F2">
              <w:rPr>
                <w:rFonts w:ascii="Times New Roman" w:eastAsia="Times New Roman" w:hAnsi="Times New Roman" w:cs="Times New Roman"/>
                <w:b/>
                <w:bCs/>
                <w:sz w:val="18"/>
                <w:szCs w:val="18"/>
              </w:rPr>
              <w:t>Initial Year</w:t>
            </w:r>
            <w:r w:rsidR="00192F0B" w:rsidRPr="000973F2">
              <w:rPr>
                <w:rFonts w:ascii="Times New Roman" w:eastAsia="Times New Roman" w:hAnsi="Times New Roman" w:cs="Times New Roman"/>
                <w:b/>
                <w:bCs/>
                <w:sz w:val="18"/>
                <w:szCs w:val="18"/>
              </w:rPr>
              <w:t xml:space="preserve"> </w:t>
            </w:r>
            <w:r w:rsidRPr="000973F2">
              <w:rPr>
                <w:rFonts w:ascii="Times New Roman" w:eastAsia="Times New Roman" w:hAnsi="Times New Roman" w:cs="Times New Roman"/>
                <w:b/>
                <w:bCs/>
                <w:sz w:val="18"/>
                <w:szCs w:val="18"/>
              </w:rPr>
              <w:t>Hours</w:t>
            </w:r>
          </w:p>
        </w:tc>
        <w:tc>
          <w:tcPr>
            <w:tcW w:w="0" w:type="dxa"/>
            <w:tcMar>
              <w:left w:w="14" w:type="dxa"/>
              <w:right w:w="14" w:type="dxa"/>
            </w:tcMar>
            <w:hideMark/>
          </w:tcPr>
          <w:p w14:paraId="2100E2B4" w14:textId="77777777" w:rsidR="001A5460" w:rsidRPr="000973F2" w:rsidRDefault="001A5460" w:rsidP="00192F0B">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18"/>
                <w:szCs w:val="18"/>
              </w:rPr>
            </w:pPr>
            <w:r w:rsidRPr="000973F2">
              <w:rPr>
                <w:rFonts w:ascii="Times New Roman" w:eastAsia="Times New Roman" w:hAnsi="Times New Roman" w:cs="Times New Roman"/>
                <w:b/>
                <w:bCs/>
                <w:sz w:val="18"/>
                <w:szCs w:val="18"/>
              </w:rPr>
              <w:t>Subseq. Year Hours</w:t>
            </w:r>
          </w:p>
        </w:tc>
        <w:tc>
          <w:tcPr>
            <w:tcW w:w="0" w:type="dxa"/>
            <w:tcMar>
              <w:left w:w="14" w:type="dxa"/>
              <w:right w:w="14" w:type="dxa"/>
            </w:tcMar>
            <w:hideMark/>
          </w:tcPr>
          <w:p w14:paraId="0DA4C20D" w14:textId="63F14C71" w:rsidR="001A5460" w:rsidRPr="000973F2" w:rsidRDefault="001A5460" w:rsidP="00192F0B">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18"/>
                <w:szCs w:val="18"/>
              </w:rPr>
            </w:pPr>
            <w:r w:rsidRPr="000973F2">
              <w:rPr>
                <w:rFonts w:ascii="Times New Roman" w:eastAsia="Times New Roman" w:hAnsi="Times New Roman" w:cs="Times New Roman"/>
                <w:b/>
                <w:bCs/>
                <w:sz w:val="18"/>
                <w:szCs w:val="18"/>
              </w:rPr>
              <w:t>Initial Year</w:t>
            </w:r>
            <w:r w:rsidR="00192F0B" w:rsidRPr="000973F2">
              <w:rPr>
                <w:rFonts w:ascii="Times New Roman" w:eastAsia="Times New Roman" w:hAnsi="Times New Roman" w:cs="Times New Roman"/>
                <w:b/>
                <w:bCs/>
                <w:sz w:val="18"/>
                <w:szCs w:val="18"/>
              </w:rPr>
              <w:t xml:space="preserve"> </w:t>
            </w:r>
            <w:r w:rsidRPr="000973F2">
              <w:rPr>
                <w:rFonts w:ascii="Times New Roman" w:eastAsia="Times New Roman" w:hAnsi="Times New Roman" w:cs="Times New Roman"/>
                <w:b/>
                <w:bCs/>
                <w:sz w:val="18"/>
                <w:szCs w:val="18"/>
              </w:rPr>
              <w:t>Hours</w:t>
            </w:r>
          </w:p>
        </w:tc>
        <w:tc>
          <w:tcPr>
            <w:tcW w:w="0" w:type="dxa"/>
            <w:tcMar>
              <w:left w:w="14" w:type="dxa"/>
              <w:right w:w="14" w:type="dxa"/>
            </w:tcMar>
            <w:hideMark/>
          </w:tcPr>
          <w:p w14:paraId="04B53435" w14:textId="77777777" w:rsidR="001A5460" w:rsidRPr="000973F2" w:rsidRDefault="001A5460" w:rsidP="00192F0B">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18"/>
                <w:szCs w:val="18"/>
              </w:rPr>
            </w:pPr>
            <w:r w:rsidRPr="000973F2">
              <w:rPr>
                <w:rFonts w:ascii="Times New Roman" w:eastAsia="Times New Roman" w:hAnsi="Times New Roman" w:cs="Times New Roman"/>
                <w:b/>
                <w:bCs/>
                <w:sz w:val="18"/>
                <w:szCs w:val="18"/>
              </w:rPr>
              <w:t>Subseq. Year Hours</w:t>
            </w:r>
          </w:p>
        </w:tc>
        <w:tc>
          <w:tcPr>
            <w:tcW w:w="0" w:type="dxa"/>
            <w:tcMar>
              <w:left w:w="14" w:type="dxa"/>
              <w:right w:w="14" w:type="dxa"/>
            </w:tcMar>
            <w:hideMark/>
          </w:tcPr>
          <w:p w14:paraId="494DECB9" w14:textId="32AE8B96" w:rsidR="001A5460" w:rsidRPr="000973F2" w:rsidRDefault="001A5460" w:rsidP="00192F0B">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18"/>
                <w:szCs w:val="18"/>
              </w:rPr>
            </w:pPr>
            <w:r w:rsidRPr="000973F2">
              <w:rPr>
                <w:rFonts w:ascii="Times New Roman" w:eastAsia="Times New Roman" w:hAnsi="Times New Roman" w:cs="Times New Roman"/>
                <w:b/>
                <w:bCs/>
                <w:sz w:val="18"/>
                <w:szCs w:val="18"/>
              </w:rPr>
              <w:t>Initial Year</w:t>
            </w:r>
            <w:r w:rsidR="00192F0B" w:rsidRPr="000973F2">
              <w:rPr>
                <w:rFonts w:ascii="Times New Roman" w:eastAsia="Times New Roman" w:hAnsi="Times New Roman" w:cs="Times New Roman"/>
                <w:b/>
                <w:bCs/>
                <w:sz w:val="18"/>
                <w:szCs w:val="18"/>
              </w:rPr>
              <w:t xml:space="preserve"> </w:t>
            </w:r>
            <w:r w:rsidRPr="000973F2">
              <w:rPr>
                <w:rFonts w:ascii="Times New Roman" w:eastAsia="Times New Roman" w:hAnsi="Times New Roman" w:cs="Times New Roman"/>
                <w:b/>
                <w:bCs/>
                <w:sz w:val="18"/>
                <w:szCs w:val="18"/>
              </w:rPr>
              <w:t>Hours</w:t>
            </w:r>
          </w:p>
        </w:tc>
        <w:tc>
          <w:tcPr>
            <w:tcW w:w="0" w:type="dxa"/>
            <w:tcMar>
              <w:left w:w="14" w:type="dxa"/>
              <w:right w:w="14" w:type="dxa"/>
            </w:tcMar>
            <w:hideMark/>
          </w:tcPr>
          <w:p w14:paraId="4D7F5ABC" w14:textId="77777777" w:rsidR="001A5460" w:rsidRPr="000973F2" w:rsidRDefault="001A5460" w:rsidP="00192F0B">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18"/>
                <w:szCs w:val="18"/>
              </w:rPr>
            </w:pPr>
            <w:r w:rsidRPr="000973F2">
              <w:rPr>
                <w:rFonts w:ascii="Times New Roman" w:eastAsia="Times New Roman" w:hAnsi="Times New Roman" w:cs="Times New Roman"/>
                <w:b/>
                <w:bCs/>
                <w:sz w:val="18"/>
                <w:szCs w:val="18"/>
              </w:rPr>
              <w:t>Subseq. Year Hours</w:t>
            </w:r>
          </w:p>
        </w:tc>
        <w:tc>
          <w:tcPr>
            <w:tcW w:w="0" w:type="dxa"/>
            <w:tcMar>
              <w:left w:w="14" w:type="dxa"/>
              <w:right w:w="14" w:type="dxa"/>
            </w:tcMar>
            <w:hideMark/>
          </w:tcPr>
          <w:p w14:paraId="29C8BCDC" w14:textId="77777777" w:rsidR="001A5460" w:rsidRPr="000973F2" w:rsidRDefault="001A5460" w:rsidP="00192F0B">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18"/>
                <w:szCs w:val="18"/>
              </w:rPr>
            </w:pPr>
            <w:r w:rsidRPr="000973F2">
              <w:rPr>
                <w:rFonts w:ascii="Times New Roman" w:eastAsia="Times New Roman" w:hAnsi="Times New Roman" w:cs="Times New Roman"/>
                <w:b/>
                <w:bCs/>
                <w:sz w:val="18"/>
                <w:szCs w:val="18"/>
              </w:rPr>
              <w:t>Initial Year</w:t>
            </w:r>
          </w:p>
        </w:tc>
        <w:tc>
          <w:tcPr>
            <w:tcW w:w="0" w:type="dxa"/>
            <w:tcMar>
              <w:left w:w="14" w:type="dxa"/>
              <w:right w:w="14" w:type="dxa"/>
            </w:tcMar>
            <w:hideMark/>
          </w:tcPr>
          <w:p w14:paraId="1502003E" w14:textId="77777777" w:rsidR="001A5460" w:rsidRPr="000973F2" w:rsidRDefault="001A5460" w:rsidP="00192F0B">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18"/>
                <w:szCs w:val="18"/>
              </w:rPr>
            </w:pPr>
            <w:r w:rsidRPr="000973F2">
              <w:rPr>
                <w:rFonts w:ascii="Times New Roman" w:eastAsia="Times New Roman" w:hAnsi="Times New Roman" w:cs="Times New Roman"/>
                <w:b/>
                <w:bCs/>
                <w:sz w:val="18"/>
                <w:szCs w:val="18"/>
              </w:rPr>
              <w:t>Subseq. Year</w:t>
            </w:r>
          </w:p>
        </w:tc>
      </w:tr>
      <w:tr w:rsidR="001A5460" w:rsidRPr="000973F2" w14:paraId="23F1C104" w14:textId="77777777" w:rsidTr="00192F0B">
        <w:trPr>
          <w:cantSplit/>
        </w:trPr>
        <w:tc>
          <w:tcPr>
            <w:cnfStyle w:val="001000000000" w:firstRow="0" w:lastRow="0" w:firstColumn="1" w:lastColumn="0" w:oddVBand="0" w:evenVBand="0" w:oddHBand="0" w:evenHBand="0" w:firstRowFirstColumn="0" w:firstRowLastColumn="0" w:lastRowFirstColumn="0" w:lastRowLastColumn="0"/>
            <w:tcW w:w="1402" w:type="dxa"/>
            <w:hideMark/>
          </w:tcPr>
          <w:p w14:paraId="2F94E90F" w14:textId="77777777" w:rsidR="001A5460" w:rsidRPr="000973F2" w:rsidRDefault="001A5460" w:rsidP="00192F0B">
            <w:pPr>
              <w:spacing w:before="40" w:after="4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Planning</w:t>
            </w:r>
          </w:p>
        </w:tc>
        <w:tc>
          <w:tcPr>
            <w:tcW w:w="711" w:type="dxa"/>
            <w:noWrap/>
            <w:hideMark/>
          </w:tcPr>
          <w:p w14:paraId="7EBDB884" w14:textId="77777777" w:rsidR="001A5460" w:rsidRPr="000973F2" w:rsidRDefault="001A5460" w:rsidP="00192F0B">
            <w:pPr>
              <w:spacing w:before="40" w:after="4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0</w:t>
            </w:r>
          </w:p>
        </w:tc>
        <w:tc>
          <w:tcPr>
            <w:tcW w:w="797" w:type="dxa"/>
            <w:noWrap/>
            <w:hideMark/>
          </w:tcPr>
          <w:p w14:paraId="4F5C9883" w14:textId="77777777" w:rsidR="001A5460" w:rsidRPr="000973F2" w:rsidRDefault="001A5460" w:rsidP="00192F0B">
            <w:pPr>
              <w:tabs>
                <w:tab w:val="decimal" w:pos="260"/>
              </w:tabs>
              <w:spacing w:before="40" w:after="4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1</w:t>
            </w:r>
          </w:p>
        </w:tc>
        <w:tc>
          <w:tcPr>
            <w:tcW w:w="636" w:type="dxa"/>
            <w:noWrap/>
            <w:hideMark/>
          </w:tcPr>
          <w:p w14:paraId="2E53BD78" w14:textId="77777777" w:rsidR="001A5460" w:rsidRPr="000973F2" w:rsidRDefault="001A5460" w:rsidP="00192F0B">
            <w:pPr>
              <w:spacing w:before="40" w:after="4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0</w:t>
            </w:r>
          </w:p>
        </w:tc>
        <w:tc>
          <w:tcPr>
            <w:tcW w:w="801" w:type="dxa"/>
            <w:noWrap/>
            <w:hideMark/>
          </w:tcPr>
          <w:p w14:paraId="5D98834D" w14:textId="77777777" w:rsidR="001A5460" w:rsidRPr="000973F2" w:rsidRDefault="001A5460" w:rsidP="00192F0B">
            <w:pPr>
              <w:spacing w:before="40" w:after="4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0.2</w:t>
            </w:r>
          </w:p>
        </w:tc>
        <w:tc>
          <w:tcPr>
            <w:tcW w:w="710" w:type="dxa"/>
            <w:noWrap/>
            <w:hideMark/>
          </w:tcPr>
          <w:p w14:paraId="3EF21197" w14:textId="77777777" w:rsidR="001A5460" w:rsidRPr="000973F2" w:rsidRDefault="001A5460" w:rsidP="00192F0B">
            <w:pPr>
              <w:spacing w:before="40" w:after="4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0</w:t>
            </w:r>
          </w:p>
        </w:tc>
        <w:tc>
          <w:tcPr>
            <w:tcW w:w="800" w:type="dxa"/>
            <w:noWrap/>
            <w:hideMark/>
          </w:tcPr>
          <w:p w14:paraId="6799A7EB" w14:textId="77777777" w:rsidR="001A5460" w:rsidRPr="000973F2" w:rsidRDefault="001A5460" w:rsidP="00192F0B">
            <w:pPr>
              <w:tabs>
                <w:tab w:val="decimal" w:pos="291"/>
              </w:tabs>
              <w:spacing w:before="40" w:after="4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2</w:t>
            </w:r>
          </w:p>
        </w:tc>
        <w:tc>
          <w:tcPr>
            <w:tcW w:w="709" w:type="dxa"/>
            <w:noWrap/>
            <w:hideMark/>
          </w:tcPr>
          <w:p w14:paraId="0CCBC8F4" w14:textId="77777777" w:rsidR="001A5460" w:rsidRPr="000973F2" w:rsidRDefault="001A5460" w:rsidP="00192F0B">
            <w:pPr>
              <w:spacing w:before="40" w:after="4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0</w:t>
            </w:r>
          </w:p>
        </w:tc>
        <w:tc>
          <w:tcPr>
            <w:tcW w:w="761" w:type="dxa"/>
            <w:noWrap/>
            <w:hideMark/>
          </w:tcPr>
          <w:p w14:paraId="00E8DF4F" w14:textId="77777777" w:rsidR="001A5460" w:rsidRPr="000973F2" w:rsidRDefault="001A5460" w:rsidP="00192F0B">
            <w:pPr>
              <w:spacing w:before="40" w:after="4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0.1</w:t>
            </w:r>
          </w:p>
        </w:tc>
        <w:tc>
          <w:tcPr>
            <w:tcW w:w="787" w:type="dxa"/>
            <w:noWrap/>
            <w:hideMark/>
          </w:tcPr>
          <w:p w14:paraId="00CB82B0" w14:textId="6D2DCFBB" w:rsidR="001A5460" w:rsidRPr="000973F2" w:rsidRDefault="001A5460" w:rsidP="00192F0B">
            <w:pPr>
              <w:spacing w:before="40" w:after="4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$0</w:t>
            </w:r>
          </w:p>
        </w:tc>
        <w:tc>
          <w:tcPr>
            <w:tcW w:w="1103" w:type="dxa"/>
            <w:noWrap/>
            <w:hideMark/>
          </w:tcPr>
          <w:p w14:paraId="1A615B21" w14:textId="11873BC3" w:rsidR="001A5460" w:rsidRPr="000973F2" w:rsidRDefault="001A5460" w:rsidP="00192F0B">
            <w:pPr>
              <w:tabs>
                <w:tab w:val="decimal" w:pos="638"/>
              </w:tabs>
              <w:spacing w:before="40" w:after="4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$276</w:t>
            </w:r>
          </w:p>
        </w:tc>
      </w:tr>
      <w:tr w:rsidR="00F11F0B" w:rsidRPr="000973F2" w14:paraId="5C447CEF" w14:textId="77777777" w:rsidTr="00192F0B">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0" w:type="dxa"/>
            <w:hideMark/>
          </w:tcPr>
          <w:p w14:paraId="0C866E3E" w14:textId="77777777" w:rsidR="001A5460" w:rsidRPr="000973F2" w:rsidRDefault="001A5460" w:rsidP="00192F0B">
            <w:pPr>
              <w:spacing w:before="40" w:after="4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QA/QC</w:t>
            </w:r>
          </w:p>
        </w:tc>
        <w:tc>
          <w:tcPr>
            <w:tcW w:w="0" w:type="dxa"/>
            <w:noWrap/>
            <w:hideMark/>
          </w:tcPr>
          <w:p w14:paraId="1C3FE9B3" w14:textId="77777777" w:rsidR="001A5460" w:rsidRPr="000973F2" w:rsidRDefault="001A5460" w:rsidP="00192F0B">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0</w:t>
            </w:r>
          </w:p>
        </w:tc>
        <w:tc>
          <w:tcPr>
            <w:tcW w:w="0" w:type="dxa"/>
            <w:noWrap/>
            <w:hideMark/>
          </w:tcPr>
          <w:p w14:paraId="5AF53774" w14:textId="77777777" w:rsidR="001A5460" w:rsidRPr="000973F2" w:rsidRDefault="001A5460" w:rsidP="00192F0B">
            <w:pPr>
              <w:tabs>
                <w:tab w:val="decimal" w:pos="260"/>
              </w:tabs>
              <w:spacing w:before="40" w:after="4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0</w:t>
            </w:r>
          </w:p>
        </w:tc>
        <w:tc>
          <w:tcPr>
            <w:tcW w:w="0" w:type="dxa"/>
            <w:noWrap/>
            <w:hideMark/>
          </w:tcPr>
          <w:p w14:paraId="0C5D40E9" w14:textId="77777777" w:rsidR="001A5460" w:rsidRPr="000973F2" w:rsidRDefault="001A5460" w:rsidP="00192F0B">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0</w:t>
            </w:r>
          </w:p>
        </w:tc>
        <w:tc>
          <w:tcPr>
            <w:tcW w:w="0" w:type="dxa"/>
            <w:noWrap/>
            <w:hideMark/>
          </w:tcPr>
          <w:p w14:paraId="708FEBAE" w14:textId="77777777" w:rsidR="001A5460" w:rsidRPr="000973F2" w:rsidRDefault="001A5460" w:rsidP="00192F0B">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0.1</w:t>
            </w:r>
          </w:p>
        </w:tc>
        <w:tc>
          <w:tcPr>
            <w:tcW w:w="0" w:type="dxa"/>
            <w:noWrap/>
            <w:hideMark/>
          </w:tcPr>
          <w:p w14:paraId="5C516586" w14:textId="77777777" w:rsidR="001A5460" w:rsidRPr="000973F2" w:rsidRDefault="001A5460" w:rsidP="00192F0B">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0</w:t>
            </w:r>
          </w:p>
        </w:tc>
        <w:tc>
          <w:tcPr>
            <w:tcW w:w="0" w:type="dxa"/>
            <w:noWrap/>
            <w:hideMark/>
          </w:tcPr>
          <w:p w14:paraId="39B0B480" w14:textId="77777777" w:rsidR="001A5460" w:rsidRPr="000973F2" w:rsidRDefault="001A5460" w:rsidP="00192F0B">
            <w:pPr>
              <w:tabs>
                <w:tab w:val="decimal" w:pos="291"/>
              </w:tabs>
              <w:spacing w:before="40" w:after="4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1</w:t>
            </w:r>
          </w:p>
        </w:tc>
        <w:tc>
          <w:tcPr>
            <w:tcW w:w="0" w:type="dxa"/>
            <w:noWrap/>
            <w:hideMark/>
          </w:tcPr>
          <w:p w14:paraId="4B095EC7" w14:textId="77777777" w:rsidR="001A5460" w:rsidRPr="000973F2" w:rsidRDefault="001A5460" w:rsidP="00192F0B">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0</w:t>
            </w:r>
          </w:p>
        </w:tc>
        <w:tc>
          <w:tcPr>
            <w:tcW w:w="0" w:type="dxa"/>
            <w:noWrap/>
            <w:hideMark/>
          </w:tcPr>
          <w:p w14:paraId="4185CEAF" w14:textId="77777777" w:rsidR="001A5460" w:rsidRPr="000973F2" w:rsidRDefault="001A5460" w:rsidP="00192F0B">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0.1</w:t>
            </w:r>
          </w:p>
        </w:tc>
        <w:tc>
          <w:tcPr>
            <w:tcW w:w="0" w:type="dxa"/>
            <w:noWrap/>
            <w:hideMark/>
          </w:tcPr>
          <w:p w14:paraId="4556F9F9" w14:textId="0C0C6103" w:rsidR="001A5460" w:rsidRPr="000973F2" w:rsidRDefault="001A5460" w:rsidP="00192F0B">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$0</w:t>
            </w:r>
          </w:p>
        </w:tc>
        <w:tc>
          <w:tcPr>
            <w:tcW w:w="0" w:type="dxa"/>
            <w:noWrap/>
            <w:hideMark/>
          </w:tcPr>
          <w:p w14:paraId="34C09C9A" w14:textId="51F27A45" w:rsidR="001A5460" w:rsidRPr="000973F2" w:rsidRDefault="001A5460" w:rsidP="00192F0B">
            <w:pPr>
              <w:tabs>
                <w:tab w:val="decimal" w:pos="638"/>
              </w:tabs>
              <w:spacing w:before="40" w:after="4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$82</w:t>
            </w:r>
          </w:p>
        </w:tc>
      </w:tr>
      <w:tr w:rsidR="001A5460" w:rsidRPr="000973F2" w14:paraId="67A032CE" w14:textId="77777777" w:rsidTr="00192F0B">
        <w:trPr>
          <w:cantSplit/>
        </w:trPr>
        <w:tc>
          <w:tcPr>
            <w:cnfStyle w:val="001000000000" w:firstRow="0" w:lastRow="0" w:firstColumn="1" w:lastColumn="0" w:oddVBand="0" w:evenVBand="0" w:oddHBand="0" w:evenHBand="0" w:firstRowFirstColumn="0" w:firstRowLastColumn="0" w:lastRowFirstColumn="0" w:lastRowLastColumn="0"/>
            <w:tcW w:w="1402" w:type="dxa"/>
            <w:hideMark/>
          </w:tcPr>
          <w:p w14:paraId="4A79D77B" w14:textId="77777777" w:rsidR="001A5460" w:rsidRPr="000973F2" w:rsidRDefault="001A5460" w:rsidP="00192F0B">
            <w:pPr>
              <w:spacing w:before="40" w:after="4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Recordkeeping</w:t>
            </w:r>
          </w:p>
        </w:tc>
        <w:tc>
          <w:tcPr>
            <w:tcW w:w="711" w:type="dxa"/>
            <w:noWrap/>
            <w:hideMark/>
          </w:tcPr>
          <w:p w14:paraId="3F4C70C9" w14:textId="77777777" w:rsidR="001A5460" w:rsidRPr="000973F2" w:rsidRDefault="001A5460" w:rsidP="00192F0B">
            <w:pPr>
              <w:spacing w:before="40" w:after="4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0</w:t>
            </w:r>
          </w:p>
        </w:tc>
        <w:tc>
          <w:tcPr>
            <w:tcW w:w="797" w:type="dxa"/>
            <w:noWrap/>
            <w:hideMark/>
          </w:tcPr>
          <w:p w14:paraId="728FA675" w14:textId="77777777" w:rsidR="001A5460" w:rsidRPr="000973F2" w:rsidRDefault="001A5460" w:rsidP="00192F0B">
            <w:pPr>
              <w:tabs>
                <w:tab w:val="decimal" w:pos="260"/>
              </w:tabs>
              <w:spacing w:before="40" w:after="4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0</w:t>
            </w:r>
          </w:p>
        </w:tc>
        <w:tc>
          <w:tcPr>
            <w:tcW w:w="636" w:type="dxa"/>
            <w:noWrap/>
            <w:hideMark/>
          </w:tcPr>
          <w:p w14:paraId="0BF1D5BC" w14:textId="77777777" w:rsidR="001A5460" w:rsidRPr="000973F2" w:rsidRDefault="001A5460" w:rsidP="00192F0B">
            <w:pPr>
              <w:spacing w:before="40" w:after="4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0</w:t>
            </w:r>
          </w:p>
        </w:tc>
        <w:tc>
          <w:tcPr>
            <w:tcW w:w="801" w:type="dxa"/>
            <w:noWrap/>
            <w:hideMark/>
          </w:tcPr>
          <w:p w14:paraId="57A15141" w14:textId="77777777" w:rsidR="001A5460" w:rsidRPr="000973F2" w:rsidRDefault="001A5460" w:rsidP="00192F0B">
            <w:pPr>
              <w:spacing w:before="40" w:after="4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0.5</w:t>
            </w:r>
          </w:p>
        </w:tc>
        <w:tc>
          <w:tcPr>
            <w:tcW w:w="710" w:type="dxa"/>
            <w:noWrap/>
            <w:hideMark/>
          </w:tcPr>
          <w:p w14:paraId="62B72126" w14:textId="77777777" w:rsidR="001A5460" w:rsidRPr="000973F2" w:rsidRDefault="001A5460" w:rsidP="00192F0B">
            <w:pPr>
              <w:spacing w:before="40" w:after="4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0</w:t>
            </w:r>
          </w:p>
        </w:tc>
        <w:tc>
          <w:tcPr>
            <w:tcW w:w="800" w:type="dxa"/>
            <w:noWrap/>
            <w:hideMark/>
          </w:tcPr>
          <w:p w14:paraId="267F9648" w14:textId="77777777" w:rsidR="001A5460" w:rsidRPr="000973F2" w:rsidRDefault="001A5460" w:rsidP="00192F0B">
            <w:pPr>
              <w:tabs>
                <w:tab w:val="decimal" w:pos="291"/>
              </w:tabs>
              <w:spacing w:before="40" w:after="4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2</w:t>
            </w:r>
          </w:p>
        </w:tc>
        <w:tc>
          <w:tcPr>
            <w:tcW w:w="709" w:type="dxa"/>
            <w:noWrap/>
            <w:hideMark/>
          </w:tcPr>
          <w:p w14:paraId="07B51C14" w14:textId="77777777" w:rsidR="001A5460" w:rsidRPr="000973F2" w:rsidRDefault="001A5460" w:rsidP="00192F0B">
            <w:pPr>
              <w:spacing w:before="40" w:after="4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0</w:t>
            </w:r>
          </w:p>
        </w:tc>
        <w:tc>
          <w:tcPr>
            <w:tcW w:w="761" w:type="dxa"/>
            <w:noWrap/>
            <w:hideMark/>
          </w:tcPr>
          <w:p w14:paraId="4A02EF86" w14:textId="77777777" w:rsidR="001A5460" w:rsidRPr="000973F2" w:rsidRDefault="001A5460" w:rsidP="00192F0B">
            <w:pPr>
              <w:spacing w:before="40" w:after="4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0.5</w:t>
            </w:r>
          </w:p>
        </w:tc>
        <w:tc>
          <w:tcPr>
            <w:tcW w:w="787" w:type="dxa"/>
            <w:noWrap/>
            <w:hideMark/>
          </w:tcPr>
          <w:p w14:paraId="6DABD3B9" w14:textId="5E497C29" w:rsidR="001A5460" w:rsidRPr="000973F2" w:rsidRDefault="001A5460" w:rsidP="00192F0B">
            <w:pPr>
              <w:spacing w:before="40" w:after="4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$0</w:t>
            </w:r>
          </w:p>
        </w:tc>
        <w:tc>
          <w:tcPr>
            <w:tcW w:w="1103" w:type="dxa"/>
            <w:noWrap/>
            <w:hideMark/>
          </w:tcPr>
          <w:p w14:paraId="73E65D8F" w14:textId="442D1B98" w:rsidR="001A5460" w:rsidRPr="000973F2" w:rsidRDefault="001A5460" w:rsidP="00192F0B">
            <w:pPr>
              <w:tabs>
                <w:tab w:val="decimal" w:pos="638"/>
              </w:tabs>
              <w:spacing w:before="40" w:after="4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$205</w:t>
            </w:r>
          </w:p>
        </w:tc>
      </w:tr>
      <w:tr w:rsidR="00F11F0B" w:rsidRPr="000973F2" w14:paraId="4BE952B4" w14:textId="77777777" w:rsidTr="00192F0B">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0" w:type="dxa"/>
            <w:hideMark/>
          </w:tcPr>
          <w:p w14:paraId="07C9EC6B" w14:textId="77777777" w:rsidR="001A5460" w:rsidRPr="000973F2" w:rsidRDefault="001A5460" w:rsidP="00192F0B">
            <w:pPr>
              <w:spacing w:before="40" w:after="4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Sampling and Analysis (Calculations)</w:t>
            </w:r>
          </w:p>
        </w:tc>
        <w:tc>
          <w:tcPr>
            <w:tcW w:w="0" w:type="dxa"/>
            <w:noWrap/>
            <w:hideMark/>
          </w:tcPr>
          <w:p w14:paraId="687F87B4" w14:textId="77777777" w:rsidR="001A5460" w:rsidRPr="000973F2" w:rsidRDefault="001A5460" w:rsidP="00192F0B">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0</w:t>
            </w:r>
          </w:p>
        </w:tc>
        <w:tc>
          <w:tcPr>
            <w:tcW w:w="0" w:type="dxa"/>
            <w:noWrap/>
            <w:hideMark/>
          </w:tcPr>
          <w:p w14:paraId="7F86057D" w14:textId="77777777" w:rsidR="001A5460" w:rsidRPr="000973F2" w:rsidRDefault="001A5460" w:rsidP="00192F0B">
            <w:pPr>
              <w:tabs>
                <w:tab w:val="decimal" w:pos="260"/>
              </w:tabs>
              <w:spacing w:before="40" w:after="4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0</w:t>
            </w:r>
          </w:p>
        </w:tc>
        <w:tc>
          <w:tcPr>
            <w:tcW w:w="0" w:type="dxa"/>
            <w:noWrap/>
            <w:hideMark/>
          </w:tcPr>
          <w:p w14:paraId="538D8B56" w14:textId="77777777" w:rsidR="001A5460" w:rsidRPr="000973F2" w:rsidRDefault="001A5460" w:rsidP="00192F0B">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0</w:t>
            </w:r>
          </w:p>
        </w:tc>
        <w:tc>
          <w:tcPr>
            <w:tcW w:w="0" w:type="dxa"/>
            <w:noWrap/>
            <w:hideMark/>
          </w:tcPr>
          <w:p w14:paraId="7827570D" w14:textId="77777777" w:rsidR="001A5460" w:rsidRPr="000973F2" w:rsidRDefault="001A5460" w:rsidP="00192F0B">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6.2</w:t>
            </w:r>
          </w:p>
        </w:tc>
        <w:tc>
          <w:tcPr>
            <w:tcW w:w="0" w:type="dxa"/>
            <w:noWrap/>
            <w:hideMark/>
          </w:tcPr>
          <w:p w14:paraId="184394BF" w14:textId="77777777" w:rsidR="001A5460" w:rsidRPr="000973F2" w:rsidRDefault="001A5460" w:rsidP="00192F0B">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0</w:t>
            </w:r>
          </w:p>
        </w:tc>
        <w:tc>
          <w:tcPr>
            <w:tcW w:w="0" w:type="dxa"/>
            <w:noWrap/>
            <w:hideMark/>
          </w:tcPr>
          <w:p w14:paraId="73AE2326" w14:textId="77777777" w:rsidR="001A5460" w:rsidRPr="000973F2" w:rsidRDefault="001A5460" w:rsidP="00192F0B">
            <w:pPr>
              <w:tabs>
                <w:tab w:val="decimal" w:pos="291"/>
              </w:tabs>
              <w:spacing w:before="40" w:after="4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55.5</w:t>
            </w:r>
          </w:p>
        </w:tc>
        <w:tc>
          <w:tcPr>
            <w:tcW w:w="0" w:type="dxa"/>
            <w:noWrap/>
            <w:hideMark/>
          </w:tcPr>
          <w:p w14:paraId="7A8758BF" w14:textId="77777777" w:rsidR="001A5460" w:rsidRPr="000973F2" w:rsidRDefault="001A5460" w:rsidP="00192F0B">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0</w:t>
            </w:r>
          </w:p>
        </w:tc>
        <w:tc>
          <w:tcPr>
            <w:tcW w:w="0" w:type="dxa"/>
            <w:noWrap/>
            <w:hideMark/>
          </w:tcPr>
          <w:p w14:paraId="35647F9D" w14:textId="77777777" w:rsidR="001A5460" w:rsidRPr="000973F2" w:rsidRDefault="001A5460" w:rsidP="00192F0B">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0.0</w:t>
            </w:r>
          </w:p>
        </w:tc>
        <w:tc>
          <w:tcPr>
            <w:tcW w:w="0" w:type="dxa"/>
            <w:noWrap/>
            <w:hideMark/>
          </w:tcPr>
          <w:p w14:paraId="6B8076FC" w14:textId="118862E0" w:rsidR="001A5460" w:rsidRPr="000973F2" w:rsidRDefault="001A5460" w:rsidP="00192F0B">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$0</w:t>
            </w:r>
          </w:p>
        </w:tc>
        <w:tc>
          <w:tcPr>
            <w:tcW w:w="0" w:type="dxa"/>
            <w:noWrap/>
            <w:hideMark/>
          </w:tcPr>
          <w:p w14:paraId="3A61904B" w14:textId="3845D7E2" w:rsidR="001A5460" w:rsidRPr="000973F2" w:rsidRDefault="001A5460" w:rsidP="00192F0B">
            <w:pPr>
              <w:tabs>
                <w:tab w:val="decimal" w:pos="638"/>
              </w:tabs>
              <w:spacing w:before="40" w:after="4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$4,503</w:t>
            </w:r>
          </w:p>
        </w:tc>
      </w:tr>
      <w:tr w:rsidR="00F11F0B" w:rsidRPr="000973F2" w14:paraId="06D8BF43" w14:textId="77777777" w:rsidTr="00192F0B">
        <w:trPr>
          <w:cantSplit/>
        </w:trPr>
        <w:tc>
          <w:tcPr>
            <w:cnfStyle w:val="001000000000" w:firstRow="0" w:lastRow="0" w:firstColumn="1" w:lastColumn="0" w:oddVBand="0" w:evenVBand="0" w:oddHBand="0" w:evenHBand="0" w:firstRowFirstColumn="0" w:firstRowLastColumn="0" w:lastRowFirstColumn="0" w:lastRowLastColumn="0"/>
            <w:tcW w:w="1402" w:type="dxa"/>
            <w:hideMark/>
          </w:tcPr>
          <w:p w14:paraId="5116ABD7" w14:textId="77777777" w:rsidR="001A5460" w:rsidRPr="000973F2" w:rsidRDefault="001A5460" w:rsidP="00192F0B">
            <w:pPr>
              <w:spacing w:before="40" w:after="4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Reporting</w:t>
            </w:r>
          </w:p>
        </w:tc>
        <w:tc>
          <w:tcPr>
            <w:tcW w:w="711" w:type="dxa"/>
            <w:noWrap/>
            <w:hideMark/>
          </w:tcPr>
          <w:p w14:paraId="6DCB38E2" w14:textId="77777777" w:rsidR="001A5460" w:rsidRPr="000973F2" w:rsidRDefault="001A5460" w:rsidP="00192F0B">
            <w:pPr>
              <w:spacing w:before="40" w:after="4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0</w:t>
            </w:r>
          </w:p>
        </w:tc>
        <w:tc>
          <w:tcPr>
            <w:tcW w:w="797" w:type="dxa"/>
            <w:noWrap/>
            <w:hideMark/>
          </w:tcPr>
          <w:p w14:paraId="285237E1" w14:textId="77777777" w:rsidR="001A5460" w:rsidRPr="000973F2" w:rsidRDefault="001A5460" w:rsidP="00192F0B">
            <w:pPr>
              <w:tabs>
                <w:tab w:val="decimal" w:pos="260"/>
              </w:tabs>
              <w:spacing w:before="40" w:after="4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0</w:t>
            </w:r>
          </w:p>
        </w:tc>
        <w:tc>
          <w:tcPr>
            <w:tcW w:w="636" w:type="dxa"/>
            <w:noWrap/>
            <w:hideMark/>
          </w:tcPr>
          <w:p w14:paraId="75367D4A" w14:textId="77777777" w:rsidR="001A5460" w:rsidRPr="000973F2" w:rsidRDefault="001A5460" w:rsidP="00192F0B">
            <w:pPr>
              <w:spacing w:before="40" w:after="4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0</w:t>
            </w:r>
          </w:p>
        </w:tc>
        <w:tc>
          <w:tcPr>
            <w:tcW w:w="801" w:type="dxa"/>
            <w:noWrap/>
            <w:hideMark/>
          </w:tcPr>
          <w:p w14:paraId="467175D2" w14:textId="77777777" w:rsidR="001A5460" w:rsidRPr="000973F2" w:rsidRDefault="001A5460" w:rsidP="00192F0B">
            <w:pPr>
              <w:spacing w:before="40" w:after="4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1.0</w:t>
            </w:r>
          </w:p>
        </w:tc>
        <w:tc>
          <w:tcPr>
            <w:tcW w:w="710" w:type="dxa"/>
            <w:noWrap/>
            <w:hideMark/>
          </w:tcPr>
          <w:p w14:paraId="09C1CF89" w14:textId="77777777" w:rsidR="001A5460" w:rsidRPr="000973F2" w:rsidRDefault="001A5460" w:rsidP="00192F0B">
            <w:pPr>
              <w:spacing w:before="40" w:after="4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0</w:t>
            </w:r>
          </w:p>
        </w:tc>
        <w:tc>
          <w:tcPr>
            <w:tcW w:w="800" w:type="dxa"/>
            <w:noWrap/>
            <w:hideMark/>
          </w:tcPr>
          <w:p w14:paraId="6B4370DE" w14:textId="77777777" w:rsidR="001A5460" w:rsidRPr="000973F2" w:rsidRDefault="001A5460" w:rsidP="00192F0B">
            <w:pPr>
              <w:tabs>
                <w:tab w:val="decimal" w:pos="291"/>
              </w:tabs>
              <w:spacing w:before="40" w:after="4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4</w:t>
            </w:r>
          </w:p>
        </w:tc>
        <w:tc>
          <w:tcPr>
            <w:tcW w:w="709" w:type="dxa"/>
            <w:noWrap/>
            <w:hideMark/>
          </w:tcPr>
          <w:p w14:paraId="154DD409" w14:textId="77777777" w:rsidR="001A5460" w:rsidRPr="000973F2" w:rsidRDefault="001A5460" w:rsidP="00192F0B">
            <w:pPr>
              <w:spacing w:before="40" w:after="4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0</w:t>
            </w:r>
          </w:p>
        </w:tc>
        <w:tc>
          <w:tcPr>
            <w:tcW w:w="761" w:type="dxa"/>
            <w:noWrap/>
            <w:hideMark/>
          </w:tcPr>
          <w:p w14:paraId="65CC1996" w14:textId="77777777" w:rsidR="001A5460" w:rsidRPr="000973F2" w:rsidRDefault="001A5460" w:rsidP="00192F0B">
            <w:pPr>
              <w:spacing w:before="40" w:after="4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1.0</w:t>
            </w:r>
          </w:p>
        </w:tc>
        <w:tc>
          <w:tcPr>
            <w:tcW w:w="787" w:type="dxa"/>
            <w:noWrap/>
            <w:hideMark/>
          </w:tcPr>
          <w:p w14:paraId="61FE71CC" w14:textId="6A77CEE4" w:rsidR="001A5460" w:rsidRPr="000973F2" w:rsidRDefault="001A5460" w:rsidP="00192F0B">
            <w:pPr>
              <w:spacing w:before="40" w:after="4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$0</w:t>
            </w:r>
          </w:p>
        </w:tc>
        <w:tc>
          <w:tcPr>
            <w:tcW w:w="1103" w:type="dxa"/>
            <w:noWrap/>
            <w:hideMark/>
          </w:tcPr>
          <w:p w14:paraId="796084EF" w14:textId="11490036" w:rsidR="001A5460" w:rsidRPr="000973F2" w:rsidRDefault="001A5460" w:rsidP="00192F0B">
            <w:pPr>
              <w:tabs>
                <w:tab w:val="decimal" w:pos="638"/>
              </w:tabs>
              <w:spacing w:before="40" w:after="4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$410</w:t>
            </w:r>
          </w:p>
        </w:tc>
      </w:tr>
      <w:tr w:rsidR="00F11F0B" w:rsidRPr="000973F2" w14:paraId="3BF0F812" w14:textId="77777777" w:rsidTr="00192F0B">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1402" w:type="dxa"/>
            <w:noWrap/>
            <w:hideMark/>
          </w:tcPr>
          <w:p w14:paraId="442E1953" w14:textId="77777777" w:rsidR="001A5460" w:rsidRPr="000973F2" w:rsidRDefault="001A5460" w:rsidP="00192F0B">
            <w:pPr>
              <w:spacing w:before="40" w:after="40"/>
              <w:rPr>
                <w:rFonts w:ascii="Times New Roman" w:eastAsia="Times New Roman" w:hAnsi="Times New Roman" w:cs="Times New Roman"/>
                <w:b/>
                <w:bCs w:val="0"/>
                <w:sz w:val="18"/>
                <w:szCs w:val="18"/>
              </w:rPr>
            </w:pPr>
            <w:r w:rsidRPr="000973F2">
              <w:rPr>
                <w:rFonts w:ascii="Times New Roman" w:eastAsia="Times New Roman" w:hAnsi="Times New Roman" w:cs="Times New Roman"/>
                <w:b/>
                <w:sz w:val="18"/>
                <w:szCs w:val="18"/>
              </w:rPr>
              <w:t>Total</w:t>
            </w:r>
          </w:p>
        </w:tc>
        <w:tc>
          <w:tcPr>
            <w:tcW w:w="711" w:type="dxa"/>
            <w:noWrap/>
            <w:hideMark/>
          </w:tcPr>
          <w:p w14:paraId="378E5088" w14:textId="77777777" w:rsidR="001A5460" w:rsidRPr="000973F2" w:rsidRDefault="001A5460" w:rsidP="00192F0B">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18"/>
                <w:szCs w:val="18"/>
              </w:rPr>
            </w:pPr>
            <w:r w:rsidRPr="000973F2">
              <w:rPr>
                <w:rFonts w:ascii="Times New Roman" w:eastAsia="Times New Roman" w:hAnsi="Times New Roman" w:cs="Times New Roman"/>
                <w:b/>
                <w:bCs/>
                <w:sz w:val="18"/>
                <w:szCs w:val="18"/>
              </w:rPr>
              <w:t>0</w:t>
            </w:r>
          </w:p>
        </w:tc>
        <w:tc>
          <w:tcPr>
            <w:tcW w:w="797" w:type="dxa"/>
            <w:noWrap/>
            <w:hideMark/>
          </w:tcPr>
          <w:p w14:paraId="69B440E7" w14:textId="77777777" w:rsidR="001A5460" w:rsidRPr="000973F2" w:rsidRDefault="001A5460" w:rsidP="00192F0B">
            <w:pPr>
              <w:tabs>
                <w:tab w:val="decimal" w:pos="260"/>
              </w:tabs>
              <w:spacing w:before="40" w:after="4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18"/>
                <w:szCs w:val="18"/>
              </w:rPr>
            </w:pPr>
            <w:r w:rsidRPr="000973F2">
              <w:rPr>
                <w:rFonts w:ascii="Times New Roman" w:eastAsia="Times New Roman" w:hAnsi="Times New Roman" w:cs="Times New Roman"/>
                <w:b/>
                <w:bCs/>
                <w:sz w:val="18"/>
                <w:szCs w:val="18"/>
              </w:rPr>
              <w:t>1.0</w:t>
            </w:r>
          </w:p>
        </w:tc>
        <w:tc>
          <w:tcPr>
            <w:tcW w:w="636" w:type="dxa"/>
            <w:noWrap/>
            <w:hideMark/>
          </w:tcPr>
          <w:p w14:paraId="432AD368" w14:textId="77777777" w:rsidR="001A5460" w:rsidRPr="000973F2" w:rsidRDefault="001A5460" w:rsidP="00192F0B">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18"/>
                <w:szCs w:val="18"/>
              </w:rPr>
            </w:pPr>
            <w:r w:rsidRPr="000973F2">
              <w:rPr>
                <w:rFonts w:ascii="Times New Roman" w:eastAsia="Times New Roman" w:hAnsi="Times New Roman" w:cs="Times New Roman"/>
                <w:b/>
                <w:bCs/>
                <w:sz w:val="18"/>
                <w:szCs w:val="18"/>
              </w:rPr>
              <w:t>0</w:t>
            </w:r>
          </w:p>
        </w:tc>
        <w:tc>
          <w:tcPr>
            <w:tcW w:w="801" w:type="dxa"/>
            <w:noWrap/>
            <w:hideMark/>
          </w:tcPr>
          <w:p w14:paraId="5CFD0F6D" w14:textId="77777777" w:rsidR="001A5460" w:rsidRPr="000973F2" w:rsidRDefault="001A5460" w:rsidP="00192F0B">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18"/>
                <w:szCs w:val="18"/>
              </w:rPr>
            </w:pPr>
            <w:r w:rsidRPr="000973F2">
              <w:rPr>
                <w:rFonts w:ascii="Times New Roman" w:eastAsia="Times New Roman" w:hAnsi="Times New Roman" w:cs="Times New Roman"/>
                <w:b/>
                <w:bCs/>
                <w:sz w:val="18"/>
                <w:szCs w:val="18"/>
              </w:rPr>
              <w:t>8.0</w:t>
            </w:r>
          </w:p>
        </w:tc>
        <w:tc>
          <w:tcPr>
            <w:tcW w:w="710" w:type="dxa"/>
            <w:noWrap/>
            <w:hideMark/>
          </w:tcPr>
          <w:p w14:paraId="7345AFD9" w14:textId="77777777" w:rsidR="001A5460" w:rsidRPr="000973F2" w:rsidRDefault="001A5460" w:rsidP="00192F0B">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18"/>
                <w:szCs w:val="18"/>
              </w:rPr>
            </w:pPr>
            <w:r w:rsidRPr="000973F2">
              <w:rPr>
                <w:rFonts w:ascii="Times New Roman" w:eastAsia="Times New Roman" w:hAnsi="Times New Roman" w:cs="Times New Roman"/>
                <w:b/>
                <w:bCs/>
                <w:sz w:val="18"/>
                <w:szCs w:val="18"/>
              </w:rPr>
              <w:t>0</w:t>
            </w:r>
          </w:p>
        </w:tc>
        <w:tc>
          <w:tcPr>
            <w:tcW w:w="800" w:type="dxa"/>
            <w:noWrap/>
            <w:hideMark/>
          </w:tcPr>
          <w:p w14:paraId="5377FD36" w14:textId="77777777" w:rsidR="001A5460" w:rsidRPr="000973F2" w:rsidRDefault="001A5460" w:rsidP="00192F0B">
            <w:pPr>
              <w:tabs>
                <w:tab w:val="decimal" w:pos="291"/>
              </w:tabs>
              <w:spacing w:before="40" w:after="4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18"/>
                <w:szCs w:val="18"/>
              </w:rPr>
            </w:pPr>
            <w:r w:rsidRPr="000973F2">
              <w:rPr>
                <w:rFonts w:ascii="Times New Roman" w:eastAsia="Times New Roman" w:hAnsi="Times New Roman" w:cs="Times New Roman"/>
                <w:b/>
                <w:bCs/>
                <w:sz w:val="18"/>
                <w:szCs w:val="18"/>
              </w:rPr>
              <w:t>64.5</w:t>
            </w:r>
          </w:p>
        </w:tc>
        <w:tc>
          <w:tcPr>
            <w:tcW w:w="709" w:type="dxa"/>
            <w:noWrap/>
            <w:hideMark/>
          </w:tcPr>
          <w:p w14:paraId="3D39D151" w14:textId="77777777" w:rsidR="001A5460" w:rsidRPr="000973F2" w:rsidRDefault="001A5460" w:rsidP="00192F0B">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18"/>
                <w:szCs w:val="18"/>
              </w:rPr>
            </w:pPr>
            <w:r w:rsidRPr="000973F2">
              <w:rPr>
                <w:rFonts w:ascii="Times New Roman" w:eastAsia="Times New Roman" w:hAnsi="Times New Roman" w:cs="Times New Roman"/>
                <w:b/>
                <w:bCs/>
                <w:sz w:val="18"/>
                <w:szCs w:val="18"/>
              </w:rPr>
              <w:t>0</w:t>
            </w:r>
          </w:p>
        </w:tc>
        <w:tc>
          <w:tcPr>
            <w:tcW w:w="761" w:type="dxa"/>
            <w:noWrap/>
            <w:hideMark/>
          </w:tcPr>
          <w:p w14:paraId="6E1FDBF3" w14:textId="77777777" w:rsidR="001A5460" w:rsidRPr="000973F2" w:rsidRDefault="001A5460" w:rsidP="00192F0B">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18"/>
                <w:szCs w:val="18"/>
              </w:rPr>
            </w:pPr>
            <w:r w:rsidRPr="000973F2">
              <w:rPr>
                <w:rFonts w:ascii="Times New Roman" w:eastAsia="Times New Roman" w:hAnsi="Times New Roman" w:cs="Times New Roman"/>
                <w:b/>
                <w:bCs/>
                <w:sz w:val="18"/>
                <w:szCs w:val="18"/>
              </w:rPr>
              <w:t>1.7</w:t>
            </w:r>
          </w:p>
        </w:tc>
        <w:tc>
          <w:tcPr>
            <w:tcW w:w="787" w:type="dxa"/>
            <w:noWrap/>
            <w:hideMark/>
          </w:tcPr>
          <w:p w14:paraId="5745FD13" w14:textId="3899C300" w:rsidR="001A5460" w:rsidRPr="000973F2" w:rsidRDefault="001A5460" w:rsidP="00192F0B">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18"/>
                <w:szCs w:val="18"/>
              </w:rPr>
            </w:pPr>
            <w:r w:rsidRPr="000973F2">
              <w:rPr>
                <w:rFonts w:ascii="Times New Roman" w:eastAsia="Times New Roman" w:hAnsi="Times New Roman" w:cs="Times New Roman"/>
                <w:b/>
                <w:bCs/>
                <w:sz w:val="18"/>
                <w:szCs w:val="18"/>
              </w:rPr>
              <w:t>$0</w:t>
            </w:r>
          </w:p>
        </w:tc>
        <w:tc>
          <w:tcPr>
            <w:tcW w:w="1103" w:type="dxa"/>
            <w:noWrap/>
            <w:hideMark/>
          </w:tcPr>
          <w:p w14:paraId="330AAF39" w14:textId="7DDAB75B" w:rsidR="001A5460" w:rsidRPr="000973F2" w:rsidRDefault="001A5460" w:rsidP="00192F0B">
            <w:pPr>
              <w:tabs>
                <w:tab w:val="decimal" w:pos="638"/>
              </w:tabs>
              <w:spacing w:before="40" w:after="4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18"/>
                <w:szCs w:val="18"/>
              </w:rPr>
            </w:pPr>
            <w:r w:rsidRPr="000973F2">
              <w:rPr>
                <w:rFonts w:ascii="Times New Roman" w:eastAsia="Times New Roman" w:hAnsi="Times New Roman" w:cs="Times New Roman"/>
                <w:b/>
                <w:bCs/>
                <w:sz w:val="18"/>
                <w:szCs w:val="18"/>
              </w:rPr>
              <w:t>$5,476</w:t>
            </w:r>
          </w:p>
        </w:tc>
      </w:tr>
    </w:tbl>
    <w:p w14:paraId="2669A6A1" w14:textId="77777777" w:rsidR="001A5460" w:rsidRPr="000973F2" w:rsidRDefault="001A5460" w:rsidP="00C00E4F">
      <w:pPr>
        <w:spacing w:line="240" w:lineRule="auto"/>
        <w:rPr>
          <w:rFonts w:ascii="Times New Roman" w:hAnsi="Times New Roman" w:cs="Times New Roman"/>
          <w:b/>
          <w:i/>
        </w:rPr>
      </w:pPr>
      <w:r w:rsidRPr="000973F2">
        <w:rPr>
          <w:rFonts w:ascii="Times New Roman" w:hAnsi="Times New Roman" w:cs="Times New Roman"/>
          <w:b/>
          <w:i/>
        </w:rPr>
        <w:br w:type="page"/>
      </w:r>
    </w:p>
    <w:p w14:paraId="3E2A2B08" w14:textId="76FB6346" w:rsidR="001A5460" w:rsidRPr="000973F2" w:rsidRDefault="001A5460" w:rsidP="003D4EAC">
      <w:pPr>
        <w:pStyle w:val="Heading2"/>
      </w:pPr>
      <w:r w:rsidRPr="000973F2">
        <w:t xml:space="preserve">Capital and O&amp;M Costs for Subpart F </w:t>
      </w:r>
      <w:r w:rsidR="00B64386" w:rsidRPr="000973F2">
        <w:t>–</w:t>
      </w:r>
      <w:r w:rsidRPr="000973F2">
        <w:t xml:space="preserve"> Measurement of Slope Coefficients using In-House Equipment</w:t>
      </w:r>
    </w:p>
    <w:p w14:paraId="72C1A2C0" w14:textId="0F257FF2" w:rsidR="001A5460" w:rsidRPr="000973F2" w:rsidRDefault="001A5460" w:rsidP="003D4EAC">
      <w:pPr>
        <w:pStyle w:val="BodyText"/>
      </w:pPr>
      <w:r w:rsidRPr="000973F2">
        <w:t xml:space="preserve">Table </w:t>
      </w:r>
      <w:r w:rsidR="003D4EAC" w:rsidRPr="000973F2">
        <w:t>F-</w:t>
      </w:r>
      <w:r w:rsidRPr="000973F2">
        <w:t>2b below includes the capital and O&amp;M costs for each of the five facilities using in-house slope coefficient measurement equipment to comply with Subpart F. The O&amp;M costs related to recordkeeping are discussed in the Cost Appendix Introduction. No capital costs are expected because in-house equipment is expected to have been installed prior to the GHGRP; therefore, these costs are not attributed to the GHGRP.</w:t>
      </w:r>
    </w:p>
    <w:p w14:paraId="192FC61D" w14:textId="64FFB422" w:rsidR="001A5460" w:rsidRPr="000973F2" w:rsidRDefault="00036136" w:rsidP="00B64386">
      <w:pPr>
        <w:pStyle w:val="Tabletitle"/>
      </w:pPr>
      <w:r w:rsidRPr="000973F2">
        <w:t xml:space="preserve">Table </w:t>
      </w:r>
      <w:r w:rsidR="003D4EAC" w:rsidRPr="000973F2">
        <w:t>F-</w:t>
      </w:r>
      <w:r w:rsidRPr="000973F2">
        <w:t xml:space="preserve">2b. Capital and O&amp;M Costs </w:t>
      </w:r>
      <w:r w:rsidR="003D4EAC" w:rsidRPr="000973F2">
        <w:t>–</w:t>
      </w:r>
      <w:r w:rsidRPr="000973F2">
        <w:t xml:space="preserve"> </w:t>
      </w:r>
      <w:r w:rsidR="001A5460" w:rsidRPr="000973F2">
        <w:t>Subpart F – Measurement of Slope Coefficients using In-House Equipment</w:t>
      </w:r>
    </w:p>
    <w:tbl>
      <w:tblPr>
        <w:tblStyle w:val="PlainTable1"/>
        <w:tblW w:w="5000" w:type="pct"/>
        <w:jc w:val="left"/>
        <w:tblLayout w:type="fixed"/>
        <w:tblCellMar>
          <w:left w:w="115" w:type="dxa"/>
          <w:right w:w="115" w:type="dxa"/>
        </w:tblCellMar>
        <w:tblLook w:val="04A0" w:firstRow="1" w:lastRow="0" w:firstColumn="1" w:lastColumn="0" w:noHBand="0" w:noVBand="1"/>
      </w:tblPr>
      <w:tblGrid>
        <w:gridCol w:w="1370"/>
        <w:gridCol w:w="1370"/>
        <w:gridCol w:w="1370"/>
        <w:gridCol w:w="1370"/>
        <w:gridCol w:w="1370"/>
        <w:gridCol w:w="1370"/>
        <w:gridCol w:w="1370"/>
      </w:tblGrid>
      <w:tr w:rsidR="00FF36E8" w:rsidRPr="000973F2" w14:paraId="5FC6AC1D" w14:textId="77777777" w:rsidTr="00034890">
        <w:trPr>
          <w:cnfStyle w:val="100000000000" w:firstRow="1" w:lastRow="0" w:firstColumn="0" w:lastColumn="0" w:oddVBand="0" w:evenVBand="0" w:oddHBand="0" w:evenHBand="0" w:firstRowFirstColumn="0" w:firstRowLastColumn="0" w:lastRowFirstColumn="0" w:lastRowLastColumn="0"/>
          <w:cantSplit/>
          <w:jc w:val="left"/>
        </w:trPr>
        <w:tc>
          <w:tcPr>
            <w:cnfStyle w:val="001000000000" w:firstRow="0" w:lastRow="0" w:firstColumn="1" w:lastColumn="0" w:oddVBand="0" w:evenVBand="0" w:oddHBand="0" w:evenHBand="0" w:firstRowFirstColumn="0" w:firstRowLastColumn="0" w:lastRowFirstColumn="0" w:lastRowLastColumn="0"/>
            <w:tcW w:w="1332" w:type="dxa"/>
            <w:vMerge w:val="restart"/>
            <w:noWrap/>
            <w:vAlign w:val="top"/>
            <w:hideMark/>
          </w:tcPr>
          <w:p w14:paraId="58CFF5BD" w14:textId="63A805E2" w:rsidR="00FF36E8" w:rsidRPr="000973F2" w:rsidRDefault="00FF36E8" w:rsidP="003D4EAC">
            <w:pPr>
              <w:spacing w:before="40" w:after="40"/>
              <w:rPr>
                <w:rFonts w:ascii="Times New Roman" w:eastAsia="Times New Roman" w:hAnsi="Times New Roman" w:cs="Times New Roman"/>
                <w:b w:val="0"/>
                <w:bCs w:val="0"/>
                <w:sz w:val="18"/>
                <w:szCs w:val="18"/>
              </w:rPr>
            </w:pPr>
            <w:r w:rsidRPr="000973F2">
              <w:rPr>
                <w:rFonts w:ascii="Times New Roman" w:eastAsia="Times New Roman" w:hAnsi="Times New Roman" w:cs="Times New Roman"/>
                <w:sz w:val="18"/>
                <w:szCs w:val="18"/>
              </w:rPr>
              <w:t>Activity</w:t>
            </w:r>
          </w:p>
        </w:tc>
        <w:tc>
          <w:tcPr>
            <w:tcW w:w="5332" w:type="dxa"/>
            <w:gridSpan w:val="4"/>
            <w:noWrap/>
            <w:vAlign w:val="top"/>
            <w:hideMark/>
          </w:tcPr>
          <w:p w14:paraId="3D133E22" w14:textId="77777777" w:rsidR="00FF36E8" w:rsidRPr="000973F2" w:rsidRDefault="00FF36E8" w:rsidP="003D4EAC">
            <w:pPr>
              <w:spacing w:before="40" w:after="40"/>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bCs w:val="0"/>
                <w:sz w:val="18"/>
                <w:szCs w:val="18"/>
              </w:rPr>
            </w:pPr>
            <w:r w:rsidRPr="000973F2">
              <w:rPr>
                <w:rFonts w:ascii="Times New Roman" w:eastAsia="Times New Roman" w:hAnsi="Times New Roman" w:cs="Times New Roman"/>
                <w:sz w:val="18"/>
                <w:szCs w:val="18"/>
              </w:rPr>
              <w:t>Cost Categories</w:t>
            </w:r>
          </w:p>
        </w:tc>
        <w:tc>
          <w:tcPr>
            <w:tcW w:w="2666" w:type="dxa"/>
            <w:gridSpan w:val="2"/>
            <w:vAlign w:val="top"/>
            <w:hideMark/>
          </w:tcPr>
          <w:p w14:paraId="060A9A1B" w14:textId="7BBA4122" w:rsidR="00FF36E8" w:rsidRPr="000973F2" w:rsidRDefault="00FF36E8" w:rsidP="003D4EAC">
            <w:pPr>
              <w:spacing w:before="40" w:after="40"/>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bCs w:val="0"/>
                <w:sz w:val="18"/>
                <w:szCs w:val="18"/>
              </w:rPr>
            </w:pPr>
            <w:r w:rsidRPr="000973F2">
              <w:rPr>
                <w:rFonts w:ascii="Times New Roman" w:eastAsia="Times New Roman" w:hAnsi="Times New Roman" w:cs="Times New Roman"/>
                <w:sz w:val="18"/>
                <w:szCs w:val="18"/>
              </w:rPr>
              <w:t>Total Capital and O&amp;M Cost per Year per Facility (2017$)</w:t>
            </w:r>
          </w:p>
        </w:tc>
      </w:tr>
      <w:tr w:rsidR="00FF36E8" w:rsidRPr="000973F2" w14:paraId="37ECEB49" w14:textId="77777777" w:rsidTr="00034890">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1332" w:type="dxa"/>
            <w:vMerge/>
            <w:noWrap/>
            <w:hideMark/>
          </w:tcPr>
          <w:p w14:paraId="63C5B81D" w14:textId="1B2E2F50" w:rsidR="00FF36E8" w:rsidRPr="000973F2" w:rsidRDefault="00FF36E8" w:rsidP="003D4EAC">
            <w:pPr>
              <w:spacing w:before="40" w:after="40"/>
              <w:jc w:val="center"/>
              <w:rPr>
                <w:rFonts w:ascii="Times New Roman" w:eastAsia="Times New Roman" w:hAnsi="Times New Roman" w:cs="Times New Roman"/>
                <w:b/>
                <w:bCs w:val="0"/>
                <w:sz w:val="18"/>
                <w:szCs w:val="18"/>
              </w:rPr>
            </w:pPr>
          </w:p>
        </w:tc>
        <w:tc>
          <w:tcPr>
            <w:tcW w:w="1333" w:type="dxa"/>
            <w:hideMark/>
          </w:tcPr>
          <w:p w14:paraId="333519BC" w14:textId="77777777" w:rsidR="00FF36E8" w:rsidRPr="000973F2" w:rsidRDefault="00FF36E8" w:rsidP="003D4EAC">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18"/>
                <w:szCs w:val="18"/>
              </w:rPr>
            </w:pPr>
            <w:r w:rsidRPr="000973F2">
              <w:rPr>
                <w:rFonts w:ascii="Times New Roman" w:eastAsia="Times New Roman" w:hAnsi="Times New Roman" w:cs="Times New Roman"/>
                <w:b/>
                <w:bCs/>
                <w:sz w:val="18"/>
                <w:szCs w:val="18"/>
              </w:rPr>
              <w:t>Capital Cost (2017$)</w:t>
            </w:r>
          </w:p>
        </w:tc>
        <w:tc>
          <w:tcPr>
            <w:tcW w:w="1333" w:type="dxa"/>
            <w:hideMark/>
          </w:tcPr>
          <w:p w14:paraId="17291C0A" w14:textId="77777777" w:rsidR="00FF36E8" w:rsidRPr="000973F2" w:rsidRDefault="00FF36E8" w:rsidP="003D4EAC">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18"/>
                <w:szCs w:val="18"/>
              </w:rPr>
            </w:pPr>
            <w:r w:rsidRPr="000973F2">
              <w:rPr>
                <w:rFonts w:ascii="Times New Roman" w:eastAsia="Times New Roman" w:hAnsi="Times New Roman" w:cs="Times New Roman"/>
                <w:b/>
                <w:bCs/>
                <w:sz w:val="18"/>
                <w:szCs w:val="18"/>
              </w:rPr>
              <w:t>Equipment Lifetime</w:t>
            </w:r>
          </w:p>
        </w:tc>
        <w:tc>
          <w:tcPr>
            <w:tcW w:w="1333" w:type="dxa"/>
            <w:hideMark/>
          </w:tcPr>
          <w:p w14:paraId="1F255DD6" w14:textId="77777777" w:rsidR="00FF36E8" w:rsidRPr="000973F2" w:rsidRDefault="00FF36E8" w:rsidP="003D4EAC">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18"/>
                <w:szCs w:val="18"/>
              </w:rPr>
            </w:pPr>
            <w:r w:rsidRPr="000973F2">
              <w:rPr>
                <w:rFonts w:ascii="Times New Roman" w:eastAsia="Times New Roman" w:hAnsi="Times New Roman" w:cs="Times New Roman"/>
                <w:b/>
                <w:bCs/>
                <w:sz w:val="18"/>
                <w:szCs w:val="18"/>
              </w:rPr>
              <w:t>Annualized Capital Cost (2017$/year)</w:t>
            </w:r>
          </w:p>
        </w:tc>
        <w:tc>
          <w:tcPr>
            <w:tcW w:w="1333" w:type="dxa"/>
            <w:hideMark/>
          </w:tcPr>
          <w:p w14:paraId="778DA90A" w14:textId="77777777" w:rsidR="00FF36E8" w:rsidRPr="000973F2" w:rsidRDefault="00FF36E8" w:rsidP="003D4EAC">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18"/>
                <w:szCs w:val="18"/>
              </w:rPr>
            </w:pPr>
            <w:r w:rsidRPr="000973F2">
              <w:rPr>
                <w:rFonts w:ascii="Times New Roman" w:eastAsia="Times New Roman" w:hAnsi="Times New Roman" w:cs="Times New Roman"/>
                <w:b/>
                <w:bCs/>
                <w:sz w:val="18"/>
                <w:szCs w:val="18"/>
              </w:rPr>
              <w:t>O&amp;M Costs (2017$/year)</w:t>
            </w:r>
          </w:p>
        </w:tc>
        <w:tc>
          <w:tcPr>
            <w:tcW w:w="1333" w:type="dxa"/>
            <w:hideMark/>
          </w:tcPr>
          <w:p w14:paraId="109ADDB8" w14:textId="77777777" w:rsidR="00FF36E8" w:rsidRPr="000973F2" w:rsidRDefault="00FF36E8" w:rsidP="003D4EAC">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18"/>
                <w:szCs w:val="18"/>
              </w:rPr>
            </w:pPr>
            <w:r w:rsidRPr="000973F2">
              <w:rPr>
                <w:rFonts w:ascii="Times New Roman" w:eastAsia="Times New Roman" w:hAnsi="Times New Roman" w:cs="Times New Roman"/>
                <w:b/>
                <w:bCs/>
                <w:sz w:val="18"/>
                <w:szCs w:val="18"/>
              </w:rPr>
              <w:t>Initial Year</w:t>
            </w:r>
          </w:p>
        </w:tc>
        <w:tc>
          <w:tcPr>
            <w:tcW w:w="1333" w:type="dxa"/>
            <w:hideMark/>
          </w:tcPr>
          <w:p w14:paraId="2038A3B4" w14:textId="77777777" w:rsidR="00FF36E8" w:rsidRPr="000973F2" w:rsidRDefault="00FF36E8" w:rsidP="003D4EAC">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18"/>
                <w:szCs w:val="18"/>
              </w:rPr>
            </w:pPr>
            <w:r w:rsidRPr="000973F2">
              <w:rPr>
                <w:rFonts w:ascii="Times New Roman" w:eastAsia="Times New Roman" w:hAnsi="Times New Roman" w:cs="Times New Roman"/>
                <w:b/>
                <w:bCs/>
                <w:sz w:val="18"/>
                <w:szCs w:val="18"/>
              </w:rPr>
              <w:t>Subseq. Years</w:t>
            </w:r>
          </w:p>
        </w:tc>
      </w:tr>
      <w:tr w:rsidR="00034890" w:rsidRPr="000973F2" w14:paraId="06FCE183" w14:textId="77777777" w:rsidTr="00034890">
        <w:trPr>
          <w:cantSplit/>
        </w:trPr>
        <w:tc>
          <w:tcPr>
            <w:cnfStyle w:val="001000000000" w:firstRow="0" w:lastRow="0" w:firstColumn="1" w:lastColumn="0" w:oddVBand="0" w:evenVBand="0" w:oddHBand="0" w:evenHBand="0" w:firstRowFirstColumn="0" w:firstRowLastColumn="0" w:lastRowFirstColumn="0" w:lastRowLastColumn="0"/>
            <w:tcW w:w="1332" w:type="dxa"/>
            <w:hideMark/>
          </w:tcPr>
          <w:p w14:paraId="170B2085" w14:textId="77777777" w:rsidR="00034890" w:rsidRPr="000973F2" w:rsidRDefault="00034890" w:rsidP="00034890">
            <w:pPr>
              <w:spacing w:before="40" w:after="4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Equipment (selection, purchase, installation)</w:t>
            </w:r>
          </w:p>
        </w:tc>
        <w:tc>
          <w:tcPr>
            <w:tcW w:w="1333" w:type="dxa"/>
            <w:noWrap/>
            <w:hideMark/>
          </w:tcPr>
          <w:p w14:paraId="20EB4F5B" w14:textId="70B92433" w:rsidR="00034890" w:rsidRPr="000973F2" w:rsidRDefault="00034890" w:rsidP="00034890">
            <w:pPr>
              <w:spacing w:before="40" w:after="4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w:t>
            </w:r>
          </w:p>
        </w:tc>
        <w:tc>
          <w:tcPr>
            <w:tcW w:w="1333" w:type="dxa"/>
            <w:noWrap/>
          </w:tcPr>
          <w:p w14:paraId="7E502302" w14:textId="30AD806E" w:rsidR="00034890" w:rsidRPr="000973F2" w:rsidRDefault="00034890" w:rsidP="00034890">
            <w:pPr>
              <w:spacing w:before="40" w:after="4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p>
        </w:tc>
        <w:tc>
          <w:tcPr>
            <w:tcW w:w="1333" w:type="dxa"/>
            <w:noWrap/>
            <w:hideMark/>
          </w:tcPr>
          <w:p w14:paraId="635BF278" w14:textId="040A972C" w:rsidR="00034890" w:rsidRPr="000973F2" w:rsidRDefault="00034890" w:rsidP="00034890">
            <w:pPr>
              <w:spacing w:before="40" w:after="4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w:t>
            </w:r>
          </w:p>
        </w:tc>
        <w:tc>
          <w:tcPr>
            <w:tcW w:w="1333" w:type="dxa"/>
            <w:noWrap/>
            <w:hideMark/>
          </w:tcPr>
          <w:p w14:paraId="5971D16A" w14:textId="7544EC14" w:rsidR="00034890" w:rsidRPr="000973F2" w:rsidRDefault="00034890" w:rsidP="00034890">
            <w:pPr>
              <w:spacing w:before="40" w:after="4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w:t>
            </w:r>
          </w:p>
        </w:tc>
        <w:tc>
          <w:tcPr>
            <w:tcW w:w="1333" w:type="dxa"/>
            <w:noWrap/>
            <w:hideMark/>
          </w:tcPr>
          <w:p w14:paraId="7E7BB7F4" w14:textId="3655E4D4" w:rsidR="00034890" w:rsidRPr="000973F2" w:rsidRDefault="00034890" w:rsidP="00034890">
            <w:pPr>
              <w:spacing w:before="40" w:after="4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w:t>
            </w:r>
          </w:p>
        </w:tc>
        <w:tc>
          <w:tcPr>
            <w:tcW w:w="1333" w:type="dxa"/>
            <w:noWrap/>
            <w:hideMark/>
          </w:tcPr>
          <w:p w14:paraId="6B4D13C8" w14:textId="474D9C3B" w:rsidR="00034890" w:rsidRPr="000973F2" w:rsidRDefault="00034890" w:rsidP="00034890">
            <w:pPr>
              <w:spacing w:before="40" w:after="4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w:t>
            </w:r>
          </w:p>
        </w:tc>
      </w:tr>
      <w:tr w:rsidR="00034890" w:rsidRPr="000973F2" w14:paraId="0A7C9A43" w14:textId="77777777" w:rsidTr="00034890">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1332" w:type="dxa"/>
            <w:hideMark/>
          </w:tcPr>
          <w:p w14:paraId="2E6409D3" w14:textId="77777777" w:rsidR="00034890" w:rsidRPr="000973F2" w:rsidRDefault="00034890" w:rsidP="00034890">
            <w:pPr>
              <w:spacing w:before="40" w:after="4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Performance testing</w:t>
            </w:r>
          </w:p>
        </w:tc>
        <w:tc>
          <w:tcPr>
            <w:tcW w:w="1333" w:type="dxa"/>
            <w:noWrap/>
            <w:hideMark/>
          </w:tcPr>
          <w:p w14:paraId="4ED9B613" w14:textId="63BAEE2D" w:rsidR="00034890" w:rsidRPr="000973F2" w:rsidRDefault="00034890" w:rsidP="00034890">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w:t>
            </w:r>
          </w:p>
        </w:tc>
        <w:tc>
          <w:tcPr>
            <w:tcW w:w="1333" w:type="dxa"/>
            <w:noWrap/>
          </w:tcPr>
          <w:p w14:paraId="112AC940" w14:textId="0B24D31B" w:rsidR="00034890" w:rsidRPr="000973F2" w:rsidRDefault="00034890" w:rsidP="00034890">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p>
        </w:tc>
        <w:tc>
          <w:tcPr>
            <w:tcW w:w="1333" w:type="dxa"/>
            <w:noWrap/>
            <w:hideMark/>
          </w:tcPr>
          <w:p w14:paraId="317767A1" w14:textId="58D41FC2" w:rsidR="00034890" w:rsidRPr="000973F2" w:rsidRDefault="00034890" w:rsidP="00034890">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w:t>
            </w:r>
          </w:p>
        </w:tc>
        <w:tc>
          <w:tcPr>
            <w:tcW w:w="1333" w:type="dxa"/>
            <w:noWrap/>
            <w:hideMark/>
          </w:tcPr>
          <w:p w14:paraId="4CCF5AFD" w14:textId="2C2A0F57" w:rsidR="00034890" w:rsidRPr="000973F2" w:rsidRDefault="00034890" w:rsidP="00034890">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w:t>
            </w:r>
          </w:p>
        </w:tc>
        <w:tc>
          <w:tcPr>
            <w:tcW w:w="1333" w:type="dxa"/>
            <w:noWrap/>
            <w:hideMark/>
          </w:tcPr>
          <w:p w14:paraId="49E26B09" w14:textId="58EF3A5B" w:rsidR="00034890" w:rsidRPr="000973F2" w:rsidRDefault="00034890" w:rsidP="00034890">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w:t>
            </w:r>
          </w:p>
        </w:tc>
        <w:tc>
          <w:tcPr>
            <w:tcW w:w="1333" w:type="dxa"/>
            <w:noWrap/>
            <w:hideMark/>
          </w:tcPr>
          <w:p w14:paraId="0E310AEB" w14:textId="1B7ACC9B" w:rsidR="00034890" w:rsidRPr="000973F2" w:rsidRDefault="00034890" w:rsidP="00034890">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w:t>
            </w:r>
          </w:p>
        </w:tc>
      </w:tr>
      <w:tr w:rsidR="001A5460" w:rsidRPr="000973F2" w14:paraId="6B3FD605" w14:textId="77777777" w:rsidTr="00034890">
        <w:trPr>
          <w:cantSplit/>
        </w:trPr>
        <w:tc>
          <w:tcPr>
            <w:cnfStyle w:val="001000000000" w:firstRow="0" w:lastRow="0" w:firstColumn="1" w:lastColumn="0" w:oddVBand="0" w:evenVBand="0" w:oddHBand="0" w:evenHBand="0" w:firstRowFirstColumn="0" w:firstRowLastColumn="0" w:lastRowFirstColumn="0" w:lastRowLastColumn="0"/>
            <w:tcW w:w="1332" w:type="dxa"/>
            <w:hideMark/>
          </w:tcPr>
          <w:p w14:paraId="6936BB5A" w14:textId="77777777" w:rsidR="001A5460" w:rsidRPr="000973F2" w:rsidRDefault="001A5460" w:rsidP="003D4EAC">
            <w:pPr>
              <w:spacing w:before="40" w:after="4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Recordkeeping</w:t>
            </w:r>
          </w:p>
        </w:tc>
        <w:tc>
          <w:tcPr>
            <w:tcW w:w="1333" w:type="dxa"/>
            <w:noWrap/>
            <w:hideMark/>
          </w:tcPr>
          <w:p w14:paraId="73BE62AE" w14:textId="77777777" w:rsidR="001A5460" w:rsidRPr="000973F2" w:rsidRDefault="001A5460" w:rsidP="00566E27">
            <w:pPr>
              <w:spacing w:before="40" w:after="4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$0</w:t>
            </w:r>
          </w:p>
        </w:tc>
        <w:tc>
          <w:tcPr>
            <w:tcW w:w="1333" w:type="dxa"/>
            <w:noWrap/>
          </w:tcPr>
          <w:p w14:paraId="69DC9822" w14:textId="4F8ED410" w:rsidR="001A5460" w:rsidRPr="000973F2" w:rsidRDefault="001A5460" w:rsidP="00566E27">
            <w:pPr>
              <w:spacing w:before="40" w:after="4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p>
        </w:tc>
        <w:tc>
          <w:tcPr>
            <w:tcW w:w="1333" w:type="dxa"/>
            <w:noWrap/>
            <w:hideMark/>
          </w:tcPr>
          <w:p w14:paraId="4EC531FC" w14:textId="77777777" w:rsidR="001A5460" w:rsidRPr="000973F2" w:rsidRDefault="001A5460" w:rsidP="00566E27">
            <w:pPr>
              <w:spacing w:before="40" w:after="4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$0</w:t>
            </w:r>
          </w:p>
        </w:tc>
        <w:tc>
          <w:tcPr>
            <w:tcW w:w="1333" w:type="dxa"/>
            <w:noWrap/>
            <w:hideMark/>
          </w:tcPr>
          <w:p w14:paraId="7E1B5E05" w14:textId="77777777" w:rsidR="001A5460" w:rsidRPr="000973F2" w:rsidRDefault="001A5460" w:rsidP="00566E27">
            <w:pPr>
              <w:spacing w:before="40" w:after="4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$50</w:t>
            </w:r>
          </w:p>
        </w:tc>
        <w:tc>
          <w:tcPr>
            <w:tcW w:w="1333" w:type="dxa"/>
            <w:noWrap/>
            <w:hideMark/>
          </w:tcPr>
          <w:p w14:paraId="7AF2DEF9" w14:textId="77777777" w:rsidR="001A5460" w:rsidRPr="000973F2" w:rsidRDefault="001A5460" w:rsidP="00566E27">
            <w:pPr>
              <w:spacing w:before="40" w:after="4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$0</w:t>
            </w:r>
          </w:p>
        </w:tc>
        <w:tc>
          <w:tcPr>
            <w:tcW w:w="1333" w:type="dxa"/>
            <w:noWrap/>
            <w:hideMark/>
          </w:tcPr>
          <w:p w14:paraId="5260EBB8" w14:textId="77777777" w:rsidR="001A5460" w:rsidRPr="000973F2" w:rsidRDefault="001A5460" w:rsidP="00566E27">
            <w:pPr>
              <w:spacing w:before="40" w:after="4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$50</w:t>
            </w:r>
          </w:p>
        </w:tc>
      </w:tr>
      <w:tr w:rsidR="00034890" w:rsidRPr="000973F2" w14:paraId="65321452" w14:textId="77777777" w:rsidTr="00034890">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1332" w:type="dxa"/>
            <w:hideMark/>
          </w:tcPr>
          <w:p w14:paraId="0B027867" w14:textId="77777777" w:rsidR="00034890" w:rsidRPr="000973F2" w:rsidRDefault="00034890" w:rsidP="00034890">
            <w:pPr>
              <w:spacing w:before="40" w:after="4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Travel</w:t>
            </w:r>
          </w:p>
        </w:tc>
        <w:tc>
          <w:tcPr>
            <w:tcW w:w="1333" w:type="dxa"/>
            <w:noWrap/>
            <w:hideMark/>
          </w:tcPr>
          <w:p w14:paraId="78D1C12F" w14:textId="43A8AB03" w:rsidR="00034890" w:rsidRPr="000973F2" w:rsidRDefault="00034890" w:rsidP="00034890">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w:t>
            </w:r>
          </w:p>
        </w:tc>
        <w:tc>
          <w:tcPr>
            <w:tcW w:w="1333" w:type="dxa"/>
            <w:noWrap/>
          </w:tcPr>
          <w:p w14:paraId="21ED2A01" w14:textId="1EC36FCD" w:rsidR="00034890" w:rsidRPr="000973F2" w:rsidRDefault="00034890" w:rsidP="00034890">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p>
        </w:tc>
        <w:tc>
          <w:tcPr>
            <w:tcW w:w="1333" w:type="dxa"/>
            <w:noWrap/>
            <w:hideMark/>
          </w:tcPr>
          <w:p w14:paraId="22711AA4" w14:textId="697D792B" w:rsidR="00034890" w:rsidRPr="000973F2" w:rsidRDefault="00034890" w:rsidP="00034890">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w:t>
            </w:r>
          </w:p>
        </w:tc>
        <w:tc>
          <w:tcPr>
            <w:tcW w:w="1333" w:type="dxa"/>
            <w:noWrap/>
            <w:hideMark/>
          </w:tcPr>
          <w:p w14:paraId="6817DAD8" w14:textId="0F2C51BA" w:rsidR="00034890" w:rsidRPr="000973F2" w:rsidRDefault="00034890" w:rsidP="00034890">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w:t>
            </w:r>
          </w:p>
        </w:tc>
        <w:tc>
          <w:tcPr>
            <w:tcW w:w="1333" w:type="dxa"/>
            <w:noWrap/>
            <w:hideMark/>
          </w:tcPr>
          <w:p w14:paraId="7633856E" w14:textId="12FA6741" w:rsidR="00034890" w:rsidRPr="000973F2" w:rsidRDefault="00034890" w:rsidP="00034890">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w:t>
            </w:r>
          </w:p>
        </w:tc>
        <w:tc>
          <w:tcPr>
            <w:tcW w:w="1333" w:type="dxa"/>
            <w:noWrap/>
            <w:hideMark/>
          </w:tcPr>
          <w:p w14:paraId="3192BB8E" w14:textId="630B0264" w:rsidR="00034890" w:rsidRPr="000973F2" w:rsidRDefault="00034890" w:rsidP="00034890">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w:t>
            </w:r>
          </w:p>
        </w:tc>
      </w:tr>
      <w:tr w:rsidR="00034890" w:rsidRPr="000973F2" w14:paraId="2C26BE77" w14:textId="77777777" w:rsidTr="00034890">
        <w:trPr>
          <w:cantSplit/>
        </w:trPr>
        <w:tc>
          <w:tcPr>
            <w:cnfStyle w:val="001000000000" w:firstRow="0" w:lastRow="0" w:firstColumn="1" w:lastColumn="0" w:oddVBand="0" w:evenVBand="0" w:oddHBand="0" w:evenHBand="0" w:firstRowFirstColumn="0" w:firstRowLastColumn="0" w:lastRowFirstColumn="0" w:lastRowLastColumn="0"/>
            <w:tcW w:w="1332" w:type="dxa"/>
            <w:hideMark/>
          </w:tcPr>
          <w:p w14:paraId="4D42708B" w14:textId="70356DD6" w:rsidR="00034890" w:rsidRPr="000973F2" w:rsidRDefault="00034890" w:rsidP="00034890">
            <w:pPr>
              <w:spacing w:before="40" w:after="4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Sampling and Analysis Costs</w:t>
            </w:r>
          </w:p>
        </w:tc>
        <w:tc>
          <w:tcPr>
            <w:tcW w:w="1333" w:type="dxa"/>
            <w:noWrap/>
            <w:hideMark/>
          </w:tcPr>
          <w:p w14:paraId="08E46DC6" w14:textId="6B7C15A6" w:rsidR="00034890" w:rsidRPr="000973F2" w:rsidRDefault="00034890" w:rsidP="00034890">
            <w:pPr>
              <w:spacing w:before="40" w:after="4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w:t>
            </w:r>
          </w:p>
        </w:tc>
        <w:tc>
          <w:tcPr>
            <w:tcW w:w="1333" w:type="dxa"/>
            <w:noWrap/>
          </w:tcPr>
          <w:p w14:paraId="3E540046" w14:textId="4AA4DFC4" w:rsidR="00034890" w:rsidRPr="000973F2" w:rsidRDefault="00034890" w:rsidP="00034890">
            <w:pPr>
              <w:spacing w:before="40" w:after="4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p>
        </w:tc>
        <w:tc>
          <w:tcPr>
            <w:tcW w:w="1333" w:type="dxa"/>
            <w:noWrap/>
            <w:hideMark/>
          </w:tcPr>
          <w:p w14:paraId="379B51E0" w14:textId="0FCC174F" w:rsidR="00034890" w:rsidRPr="000973F2" w:rsidRDefault="00034890" w:rsidP="00034890">
            <w:pPr>
              <w:spacing w:before="40" w:after="4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w:t>
            </w:r>
          </w:p>
        </w:tc>
        <w:tc>
          <w:tcPr>
            <w:tcW w:w="1333" w:type="dxa"/>
            <w:noWrap/>
            <w:hideMark/>
          </w:tcPr>
          <w:p w14:paraId="5CA0CD0C" w14:textId="5702E661" w:rsidR="00034890" w:rsidRPr="000973F2" w:rsidRDefault="00034890" w:rsidP="00034890">
            <w:pPr>
              <w:spacing w:before="40" w:after="4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w:t>
            </w:r>
          </w:p>
        </w:tc>
        <w:tc>
          <w:tcPr>
            <w:tcW w:w="1333" w:type="dxa"/>
            <w:noWrap/>
            <w:hideMark/>
          </w:tcPr>
          <w:p w14:paraId="1FE73AED" w14:textId="79770341" w:rsidR="00034890" w:rsidRPr="000973F2" w:rsidRDefault="00034890" w:rsidP="00034890">
            <w:pPr>
              <w:spacing w:before="40" w:after="4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w:t>
            </w:r>
          </w:p>
        </w:tc>
        <w:tc>
          <w:tcPr>
            <w:tcW w:w="1333" w:type="dxa"/>
            <w:noWrap/>
            <w:hideMark/>
          </w:tcPr>
          <w:p w14:paraId="04CC495A" w14:textId="493C7DA8" w:rsidR="00034890" w:rsidRPr="000973F2" w:rsidRDefault="00034890" w:rsidP="00034890">
            <w:pPr>
              <w:spacing w:before="40" w:after="4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w:t>
            </w:r>
          </w:p>
        </w:tc>
      </w:tr>
      <w:tr w:rsidR="001A5460" w:rsidRPr="000973F2" w14:paraId="7BD7743A" w14:textId="77777777" w:rsidTr="00034890">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1332" w:type="dxa"/>
            <w:hideMark/>
          </w:tcPr>
          <w:p w14:paraId="65659A9E" w14:textId="77777777" w:rsidR="001A5460" w:rsidRPr="000973F2" w:rsidRDefault="001A5460" w:rsidP="003D4EAC">
            <w:pPr>
              <w:spacing w:before="40" w:after="40"/>
              <w:rPr>
                <w:rFonts w:ascii="Times New Roman" w:eastAsia="Times New Roman" w:hAnsi="Times New Roman" w:cs="Times New Roman"/>
                <w:b/>
                <w:bCs w:val="0"/>
                <w:sz w:val="18"/>
                <w:szCs w:val="18"/>
              </w:rPr>
            </w:pPr>
            <w:r w:rsidRPr="000973F2">
              <w:rPr>
                <w:rFonts w:ascii="Times New Roman" w:eastAsia="Times New Roman" w:hAnsi="Times New Roman" w:cs="Times New Roman"/>
                <w:b/>
                <w:sz w:val="18"/>
                <w:szCs w:val="18"/>
              </w:rPr>
              <w:t>Total</w:t>
            </w:r>
          </w:p>
        </w:tc>
        <w:tc>
          <w:tcPr>
            <w:tcW w:w="1333" w:type="dxa"/>
            <w:noWrap/>
            <w:hideMark/>
          </w:tcPr>
          <w:p w14:paraId="05E992DE" w14:textId="77777777" w:rsidR="001A5460" w:rsidRPr="000973F2" w:rsidRDefault="001A5460" w:rsidP="00566E27">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$0</w:t>
            </w:r>
          </w:p>
        </w:tc>
        <w:tc>
          <w:tcPr>
            <w:tcW w:w="1333" w:type="dxa"/>
            <w:noWrap/>
            <w:hideMark/>
          </w:tcPr>
          <w:p w14:paraId="6CB3FE9A" w14:textId="17C54D48" w:rsidR="001A5460" w:rsidRPr="000973F2" w:rsidRDefault="001A5460" w:rsidP="00566E27">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p>
        </w:tc>
        <w:tc>
          <w:tcPr>
            <w:tcW w:w="1333" w:type="dxa"/>
            <w:noWrap/>
            <w:hideMark/>
          </w:tcPr>
          <w:p w14:paraId="503B3D60" w14:textId="77777777" w:rsidR="001A5460" w:rsidRPr="000973F2" w:rsidRDefault="001A5460" w:rsidP="00566E27">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$0</w:t>
            </w:r>
          </w:p>
        </w:tc>
        <w:tc>
          <w:tcPr>
            <w:tcW w:w="1333" w:type="dxa"/>
            <w:noWrap/>
            <w:hideMark/>
          </w:tcPr>
          <w:p w14:paraId="0BAE6737" w14:textId="77777777" w:rsidR="001A5460" w:rsidRPr="000973F2" w:rsidRDefault="001A5460" w:rsidP="00566E27">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$50</w:t>
            </w:r>
          </w:p>
        </w:tc>
        <w:tc>
          <w:tcPr>
            <w:tcW w:w="1333" w:type="dxa"/>
            <w:noWrap/>
            <w:hideMark/>
          </w:tcPr>
          <w:p w14:paraId="3CBA6C91" w14:textId="77777777" w:rsidR="001A5460" w:rsidRPr="000973F2" w:rsidRDefault="001A5460" w:rsidP="00566E27">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$0</w:t>
            </w:r>
          </w:p>
        </w:tc>
        <w:tc>
          <w:tcPr>
            <w:tcW w:w="1333" w:type="dxa"/>
            <w:noWrap/>
            <w:hideMark/>
          </w:tcPr>
          <w:p w14:paraId="56E3CA5F" w14:textId="77777777" w:rsidR="001A5460" w:rsidRPr="000973F2" w:rsidRDefault="001A5460" w:rsidP="00566E27">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$50</w:t>
            </w:r>
          </w:p>
        </w:tc>
      </w:tr>
    </w:tbl>
    <w:p w14:paraId="1392CD7C" w14:textId="77777777" w:rsidR="001A5460" w:rsidRPr="000973F2" w:rsidRDefault="001A5460" w:rsidP="00566E27">
      <w:pPr>
        <w:pStyle w:val="AfterTable"/>
      </w:pPr>
    </w:p>
    <w:p w14:paraId="4C348A13" w14:textId="77777777" w:rsidR="001A5460" w:rsidRPr="000973F2" w:rsidRDefault="001A5460" w:rsidP="009C4191">
      <w:pPr>
        <w:pStyle w:val="Heading2"/>
      </w:pPr>
      <w:r w:rsidRPr="000973F2">
        <w:t>Total Costs for Subpart F</w:t>
      </w:r>
    </w:p>
    <w:p w14:paraId="16A1EAC7" w14:textId="21167503" w:rsidR="001A5460" w:rsidRPr="000973F2" w:rsidRDefault="001A5460" w:rsidP="00566E27">
      <w:pPr>
        <w:pStyle w:val="BodyText"/>
      </w:pPr>
      <w:r w:rsidRPr="000973F2">
        <w:t>The total industry costs related to Subpart F are approximately $36,500 per year for a total of $1</w:t>
      </w:r>
      <w:r w:rsidR="00924B91" w:rsidRPr="000973F2">
        <w:t>10</w:t>
      </w:r>
      <w:r w:rsidRPr="000973F2">
        <w:t>,</w:t>
      </w:r>
      <w:r w:rsidR="00924B91" w:rsidRPr="000973F2">
        <w:t>0</w:t>
      </w:r>
      <w:r w:rsidRPr="000973F2">
        <w:t xml:space="preserve">00 over the three-year period of the ICR. Seven facilities are expected to report in 2019, 2020, and 2021. </w:t>
      </w:r>
    </w:p>
    <w:p w14:paraId="5CB87FAD" w14:textId="77777777" w:rsidR="001A5460" w:rsidRPr="000973F2" w:rsidRDefault="001A5460" w:rsidP="00C00E4F">
      <w:pPr>
        <w:spacing w:line="240" w:lineRule="auto"/>
        <w:rPr>
          <w:rFonts w:ascii="Times New Roman" w:hAnsi="Times New Roman" w:cs="Times New Roman"/>
        </w:rPr>
      </w:pPr>
    </w:p>
    <w:p w14:paraId="7D201AC2" w14:textId="7E39EB5B" w:rsidR="001A5460" w:rsidRPr="000973F2" w:rsidRDefault="001A5460" w:rsidP="00C00E4F">
      <w:pPr>
        <w:spacing w:line="240" w:lineRule="auto"/>
        <w:rPr>
          <w:rFonts w:ascii="Times New Roman" w:hAnsi="Times New Roman" w:cs="Times New Roman"/>
        </w:rPr>
      </w:pPr>
      <w:r w:rsidRPr="000973F2">
        <w:rPr>
          <w:rFonts w:ascii="Times New Roman" w:hAnsi="Times New Roman" w:cs="Times New Roman"/>
        </w:rPr>
        <w:br w:type="page"/>
      </w:r>
    </w:p>
    <w:p w14:paraId="61A380D2" w14:textId="7593C23D" w:rsidR="009876CC" w:rsidRPr="000973F2" w:rsidRDefault="009876CC" w:rsidP="00B64386">
      <w:pPr>
        <w:pStyle w:val="Heading1"/>
      </w:pPr>
      <w:bookmarkStart w:id="16" w:name="_Toc10715599"/>
      <w:r w:rsidRPr="000973F2">
        <w:t>Cost Appendix</w:t>
      </w:r>
      <w:r w:rsidR="002A4792" w:rsidRPr="000973F2">
        <w:t xml:space="preserve"> for </w:t>
      </w:r>
      <w:r w:rsidRPr="000973F2">
        <w:t>Subpart G – Ammonia Manufacturing</w:t>
      </w:r>
      <w:bookmarkEnd w:id="16"/>
    </w:p>
    <w:p w14:paraId="5891DFFD" w14:textId="77777777" w:rsidR="009876CC" w:rsidRPr="000973F2" w:rsidRDefault="009876CC" w:rsidP="00B64386">
      <w:pPr>
        <w:pStyle w:val="Heading2"/>
      </w:pPr>
      <w:r w:rsidRPr="000973F2">
        <w:t>Description of Subpart G</w:t>
      </w:r>
    </w:p>
    <w:p w14:paraId="6F4AD5BB" w14:textId="77777777" w:rsidR="009876CC" w:rsidRPr="000973F2" w:rsidRDefault="009876CC" w:rsidP="00B64386">
      <w:pPr>
        <w:pStyle w:val="BodyText"/>
      </w:pPr>
      <w:r w:rsidRPr="000973F2">
        <w:t>For purposes of the GHGRP, ammonia manufacturing consists of facilities that manufacture ammonia from a fossil-based feedstock via steam reforming of a hydrocarbon or through the gasification of solid and liquid raw material. In RY2017, 28 facilities reported to Subpart G. Most facilities reporting to Subpart G have 1 or 2 ammonia production units per facility, with an average of 1.3 ammonia production units per facility. Based on the number of facilities reporting to Subpart G over the most recent period, two new facilities are expected to report in each of the next 3 reporting years. Due to this industry growth, the number of facilities per year will vary from 30 existing facilities and two new facilities in RY2019 to 32 existing facilities and two new facilities in RY2020 to 34 existing facilities and two new facilities in RY2021. Initial year costs apply only to new facilities.</w:t>
      </w:r>
    </w:p>
    <w:p w14:paraId="24F66B8F" w14:textId="2014207A" w:rsidR="009876CC" w:rsidRPr="000973F2" w:rsidRDefault="009876CC" w:rsidP="00B64386">
      <w:pPr>
        <w:pStyle w:val="BodyText"/>
      </w:pPr>
      <w:r w:rsidRPr="000973F2">
        <w:t xml:space="preserve">There are two options for determining GHG emissions under Subpart G. The CEMS option at </w:t>
      </w:r>
      <w:r w:rsidR="0012538C" w:rsidRPr="000973F2">
        <w:t>§</w:t>
      </w:r>
      <w:r w:rsidRPr="000973F2">
        <w:t xml:space="preserve">98.73(a) allows the use of CEMS to comply with Subpart G. The second option in </w:t>
      </w:r>
      <w:r w:rsidR="0012538C" w:rsidRPr="000973F2">
        <w:t>§</w:t>
      </w:r>
      <w:r w:rsidRPr="000973F2">
        <w:t>98.73(b) allows the use of monitoring and calculations to estimate process</w:t>
      </w:r>
      <w:r w:rsidR="00051F9B">
        <w:t>-</w:t>
      </w:r>
      <w:r w:rsidRPr="000973F2">
        <w:t>related emissions under Subpart G. Because no facilities reporting to Subpart G have used CEMS since the GHGRP began, zero facilities are expected to use CEMS under Subpart G in the next three years. Therefore, the costs for using the CEMS option were not estimated. Facilities using monitoring and calculations requirements in Subpart G to estimate process</w:t>
      </w:r>
      <w:r w:rsidR="00051F9B">
        <w:t>-</w:t>
      </w:r>
      <w:r w:rsidRPr="000973F2">
        <w:t xml:space="preserve">related emissions have two options for determining carbon content of feedstock. They can either use feedstock supplier data to determine carbon content of feedstocks or conduct monthly sampling of feedstocks to determine carbon content. Of the 28 facilities currently reporting to Subpart G, 16 use supplier data, and 12 use monthly sampling. Because the facility cost of using supplier data for the carbon content of feedstock is lower than the facility cost of sampling the feedstock on a monthly basis to determine the carbon content, new sources are expected to use feedstock supplier data rather than conducting monthly sampling. </w:t>
      </w:r>
    </w:p>
    <w:p w14:paraId="51CD85A5" w14:textId="77777777" w:rsidR="009876CC" w:rsidRPr="000973F2" w:rsidRDefault="009876CC" w:rsidP="009C4191">
      <w:pPr>
        <w:pStyle w:val="Heading2"/>
      </w:pPr>
      <w:r w:rsidRPr="000973F2">
        <w:t>Labor Costs for Subpart G – Using Supplier Data to Determine Carbon Content</w:t>
      </w:r>
    </w:p>
    <w:p w14:paraId="548CE707" w14:textId="4CE49CEE" w:rsidR="009876CC" w:rsidRPr="000973F2" w:rsidRDefault="009876CC" w:rsidP="00B64386">
      <w:pPr>
        <w:pStyle w:val="BodyText"/>
        <w:rPr>
          <w:b/>
          <w:bCs/>
        </w:rPr>
      </w:pPr>
      <w:r w:rsidRPr="000973F2">
        <w:t xml:space="preserve">Table </w:t>
      </w:r>
      <w:r w:rsidR="00B64386" w:rsidRPr="000973F2">
        <w:t>G-</w:t>
      </w:r>
      <w:r w:rsidRPr="000973F2">
        <w:t>1a below includes the labor hours for each of the 18 existing facilities (in RY2019) and any new facilities (shown as initial costs) reporting to Subpart G to use supplier data to determine carbon content. Typical activities related to planning, QA/QC, recordkeeping and reporting, and sampling and analysis (which includes emissions calculations) are discussed in the Cost Appendix Introduction. In addition, sampling and analysis costs include time to contact the feedstock supplier(s) to obtain carbon content of feedstock. Recordkeeping and reporting hours for Subpart G are based on the “medium bin” designation, as discussed in the Cost Appendix Introduction.</w:t>
      </w:r>
    </w:p>
    <w:p w14:paraId="3C87DA73" w14:textId="77777777" w:rsidR="009876CC" w:rsidRPr="000973F2" w:rsidRDefault="009876CC" w:rsidP="00C00E4F">
      <w:pPr>
        <w:spacing w:line="240" w:lineRule="auto"/>
        <w:jc w:val="center"/>
        <w:rPr>
          <w:rFonts w:ascii="Times New Roman" w:hAnsi="Times New Roman" w:cs="Times New Roman"/>
          <w:b/>
          <w:bCs/>
        </w:rPr>
      </w:pPr>
      <w:r w:rsidRPr="000973F2">
        <w:rPr>
          <w:rFonts w:ascii="Times New Roman" w:hAnsi="Times New Roman" w:cs="Times New Roman"/>
          <w:b/>
          <w:bCs/>
        </w:rPr>
        <w:br w:type="page"/>
      </w:r>
    </w:p>
    <w:p w14:paraId="42D43EA0" w14:textId="1EF11267" w:rsidR="009876CC" w:rsidRPr="000973F2" w:rsidRDefault="00836FDB" w:rsidP="00C00E4F">
      <w:pPr>
        <w:spacing w:after="0" w:line="240" w:lineRule="auto"/>
        <w:rPr>
          <w:rFonts w:ascii="Times New Roman" w:hAnsi="Times New Roman" w:cs="Times New Roman"/>
          <w:b/>
          <w:bCs/>
        </w:rPr>
      </w:pPr>
      <w:r w:rsidRPr="000973F2">
        <w:rPr>
          <w:rFonts w:ascii="Times New Roman" w:hAnsi="Times New Roman" w:cs="Times New Roman"/>
          <w:b/>
          <w:bCs/>
        </w:rPr>
        <w:t xml:space="preserve">Table </w:t>
      </w:r>
      <w:r w:rsidR="00B64386" w:rsidRPr="000973F2">
        <w:rPr>
          <w:rFonts w:ascii="Times New Roman" w:hAnsi="Times New Roman" w:cs="Times New Roman"/>
          <w:b/>
          <w:bCs/>
        </w:rPr>
        <w:t>G-</w:t>
      </w:r>
      <w:r w:rsidRPr="000973F2">
        <w:rPr>
          <w:rFonts w:ascii="Times New Roman" w:hAnsi="Times New Roman" w:cs="Times New Roman"/>
          <w:b/>
          <w:bCs/>
        </w:rPr>
        <w:t xml:space="preserve">1a. Labor Costs </w:t>
      </w:r>
      <w:r w:rsidR="00B64386" w:rsidRPr="000973F2">
        <w:rPr>
          <w:rFonts w:ascii="Times New Roman" w:hAnsi="Times New Roman" w:cs="Times New Roman"/>
          <w:b/>
          <w:bCs/>
        </w:rPr>
        <w:t>–</w:t>
      </w:r>
      <w:r w:rsidRPr="000973F2">
        <w:rPr>
          <w:rFonts w:ascii="Times New Roman" w:hAnsi="Times New Roman" w:cs="Times New Roman"/>
          <w:b/>
          <w:bCs/>
        </w:rPr>
        <w:t xml:space="preserve"> </w:t>
      </w:r>
      <w:r w:rsidR="009876CC" w:rsidRPr="000973F2">
        <w:rPr>
          <w:rFonts w:ascii="Times New Roman" w:hAnsi="Times New Roman" w:cs="Times New Roman"/>
          <w:b/>
          <w:bCs/>
        </w:rPr>
        <w:t>Subpart G – Using Supplier Data to Determine Carbon Content</w:t>
      </w:r>
    </w:p>
    <w:p w14:paraId="63735996" w14:textId="77777777" w:rsidR="009876CC" w:rsidRPr="000973F2" w:rsidRDefault="009876CC" w:rsidP="00C00E4F">
      <w:pPr>
        <w:spacing w:line="240" w:lineRule="auto"/>
        <w:jc w:val="center"/>
        <w:rPr>
          <w:rFonts w:ascii="Times New Roman" w:hAnsi="Times New Roman" w:cs="Times New Roman"/>
          <w:sz w:val="2"/>
        </w:rPr>
      </w:pPr>
    </w:p>
    <w:tbl>
      <w:tblPr>
        <w:tblStyle w:val="PlainTable1"/>
        <w:tblW w:w="5000" w:type="pct"/>
        <w:jc w:val="left"/>
        <w:tblLayout w:type="fixed"/>
        <w:tblCellMar>
          <w:left w:w="115" w:type="dxa"/>
          <w:right w:w="115" w:type="dxa"/>
        </w:tblCellMar>
        <w:tblLook w:val="04A0" w:firstRow="1" w:lastRow="0" w:firstColumn="1" w:lastColumn="0" w:noHBand="0" w:noVBand="1"/>
      </w:tblPr>
      <w:tblGrid>
        <w:gridCol w:w="1331"/>
        <w:gridCol w:w="837"/>
        <w:gridCol w:w="838"/>
        <w:gridCol w:w="838"/>
        <w:gridCol w:w="839"/>
        <w:gridCol w:w="838"/>
        <w:gridCol w:w="838"/>
        <w:gridCol w:w="838"/>
        <w:gridCol w:w="839"/>
        <w:gridCol w:w="777"/>
        <w:gridCol w:w="777"/>
      </w:tblGrid>
      <w:tr w:rsidR="009876CC" w:rsidRPr="000973F2" w14:paraId="181A5425" w14:textId="77777777" w:rsidTr="007D5F58">
        <w:trPr>
          <w:cnfStyle w:val="100000000000" w:firstRow="1" w:lastRow="0" w:firstColumn="0" w:lastColumn="0" w:oddVBand="0" w:evenVBand="0" w:oddHBand="0" w:evenHBand="0" w:firstRowFirstColumn="0" w:firstRowLastColumn="0" w:lastRowFirstColumn="0" w:lastRowLastColumn="0"/>
          <w:cantSplit/>
          <w:jc w:val="left"/>
        </w:trPr>
        <w:tc>
          <w:tcPr>
            <w:cnfStyle w:val="001000000000" w:firstRow="0" w:lastRow="0" w:firstColumn="1" w:lastColumn="0" w:oddVBand="0" w:evenVBand="0" w:oddHBand="0" w:evenHBand="0" w:firstRowFirstColumn="0" w:firstRowLastColumn="0" w:lastRowFirstColumn="0" w:lastRowLastColumn="0"/>
            <w:tcW w:w="1296" w:type="dxa"/>
            <w:vMerge w:val="restart"/>
            <w:noWrap/>
            <w:vAlign w:val="top"/>
            <w:hideMark/>
          </w:tcPr>
          <w:p w14:paraId="5B40CB0C" w14:textId="77777777" w:rsidR="009876CC" w:rsidRPr="000973F2" w:rsidRDefault="009876CC" w:rsidP="007D5F58">
            <w:pPr>
              <w:spacing w:before="40" w:after="40"/>
              <w:rPr>
                <w:rFonts w:ascii="Times New Roman" w:eastAsia="Times New Roman" w:hAnsi="Times New Roman" w:cs="Times New Roman"/>
                <w:b w:val="0"/>
                <w:bCs w:val="0"/>
                <w:sz w:val="18"/>
                <w:szCs w:val="18"/>
              </w:rPr>
            </w:pPr>
            <w:r w:rsidRPr="000973F2">
              <w:rPr>
                <w:rFonts w:ascii="Times New Roman" w:eastAsia="Times New Roman" w:hAnsi="Times New Roman" w:cs="Times New Roman"/>
                <w:sz w:val="18"/>
                <w:szCs w:val="18"/>
              </w:rPr>
              <w:t>Activity</w:t>
            </w:r>
          </w:p>
        </w:tc>
        <w:tc>
          <w:tcPr>
            <w:tcW w:w="6522" w:type="dxa"/>
            <w:gridSpan w:val="8"/>
            <w:noWrap/>
            <w:vAlign w:val="top"/>
            <w:hideMark/>
          </w:tcPr>
          <w:p w14:paraId="5FBA795A" w14:textId="77777777" w:rsidR="009876CC" w:rsidRPr="000973F2" w:rsidRDefault="009876CC" w:rsidP="007D5F58">
            <w:pPr>
              <w:spacing w:before="40" w:after="40"/>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bCs w:val="0"/>
                <w:sz w:val="18"/>
                <w:szCs w:val="18"/>
              </w:rPr>
            </w:pPr>
            <w:r w:rsidRPr="000973F2">
              <w:rPr>
                <w:rFonts w:ascii="Times New Roman" w:eastAsia="Times New Roman" w:hAnsi="Times New Roman" w:cs="Times New Roman"/>
                <w:sz w:val="18"/>
                <w:szCs w:val="18"/>
              </w:rPr>
              <w:t>Labor Rates (per hour)</w:t>
            </w:r>
          </w:p>
        </w:tc>
        <w:tc>
          <w:tcPr>
            <w:tcW w:w="1512" w:type="dxa"/>
            <w:gridSpan w:val="2"/>
            <w:vMerge w:val="restart"/>
            <w:vAlign w:val="top"/>
            <w:hideMark/>
          </w:tcPr>
          <w:p w14:paraId="0FCE646A" w14:textId="77777777" w:rsidR="009876CC" w:rsidRPr="000973F2" w:rsidRDefault="009876CC" w:rsidP="007D5F58">
            <w:pPr>
              <w:spacing w:before="40" w:after="40"/>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bCs w:val="0"/>
                <w:sz w:val="18"/>
                <w:szCs w:val="18"/>
              </w:rPr>
            </w:pPr>
            <w:r w:rsidRPr="000973F2">
              <w:rPr>
                <w:rFonts w:ascii="Times New Roman" w:eastAsia="Times New Roman" w:hAnsi="Times New Roman" w:cs="Times New Roman"/>
                <w:sz w:val="18"/>
                <w:szCs w:val="18"/>
              </w:rPr>
              <w:t>Total Labor Cost per Year per Facility</w:t>
            </w:r>
          </w:p>
          <w:p w14:paraId="7BEEED80" w14:textId="77777777" w:rsidR="009876CC" w:rsidRPr="000973F2" w:rsidRDefault="009876CC" w:rsidP="007D5F58">
            <w:pPr>
              <w:spacing w:before="40" w:after="40"/>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bCs w:val="0"/>
                <w:sz w:val="18"/>
                <w:szCs w:val="18"/>
              </w:rPr>
            </w:pPr>
            <w:r w:rsidRPr="000973F2">
              <w:rPr>
                <w:rFonts w:ascii="Times New Roman" w:eastAsia="Times New Roman" w:hAnsi="Times New Roman" w:cs="Times New Roman"/>
                <w:sz w:val="18"/>
                <w:szCs w:val="18"/>
              </w:rPr>
              <w:t>(2017$)</w:t>
            </w:r>
          </w:p>
        </w:tc>
      </w:tr>
      <w:tr w:rsidR="009876CC" w:rsidRPr="000973F2" w14:paraId="22045058" w14:textId="77777777" w:rsidTr="007D5F58">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1296" w:type="dxa"/>
            <w:vMerge/>
            <w:hideMark/>
          </w:tcPr>
          <w:p w14:paraId="451AC0AB" w14:textId="77777777" w:rsidR="009876CC" w:rsidRPr="000973F2" w:rsidRDefault="009876CC" w:rsidP="007D5F58">
            <w:pPr>
              <w:spacing w:before="40" w:after="40"/>
              <w:rPr>
                <w:rFonts w:ascii="Times New Roman" w:eastAsia="Times New Roman" w:hAnsi="Times New Roman" w:cs="Times New Roman"/>
                <w:b/>
                <w:bCs w:val="0"/>
                <w:sz w:val="18"/>
                <w:szCs w:val="18"/>
              </w:rPr>
            </w:pPr>
          </w:p>
        </w:tc>
        <w:tc>
          <w:tcPr>
            <w:tcW w:w="1630" w:type="dxa"/>
            <w:gridSpan w:val="2"/>
            <w:noWrap/>
            <w:hideMark/>
          </w:tcPr>
          <w:p w14:paraId="2E5E46ED" w14:textId="77777777" w:rsidR="009876CC" w:rsidRPr="000973F2" w:rsidRDefault="009876CC" w:rsidP="007D5F58">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18"/>
                <w:szCs w:val="18"/>
              </w:rPr>
            </w:pPr>
            <w:r w:rsidRPr="000973F2">
              <w:rPr>
                <w:rFonts w:ascii="Times New Roman" w:eastAsia="Times New Roman" w:hAnsi="Times New Roman" w:cs="Times New Roman"/>
                <w:b/>
                <w:bCs/>
                <w:sz w:val="18"/>
                <w:szCs w:val="18"/>
              </w:rPr>
              <w:t>Lawyer</w:t>
            </w:r>
          </w:p>
        </w:tc>
        <w:tc>
          <w:tcPr>
            <w:tcW w:w="1631" w:type="dxa"/>
            <w:gridSpan w:val="2"/>
            <w:noWrap/>
            <w:hideMark/>
          </w:tcPr>
          <w:p w14:paraId="71D3ADAA" w14:textId="77777777" w:rsidR="009876CC" w:rsidRPr="000973F2" w:rsidRDefault="009876CC" w:rsidP="007D5F58">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18"/>
                <w:szCs w:val="18"/>
              </w:rPr>
            </w:pPr>
            <w:r w:rsidRPr="000973F2">
              <w:rPr>
                <w:rFonts w:ascii="Times New Roman" w:eastAsia="Times New Roman" w:hAnsi="Times New Roman" w:cs="Times New Roman"/>
                <w:b/>
                <w:bCs/>
                <w:sz w:val="18"/>
                <w:szCs w:val="18"/>
              </w:rPr>
              <w:t>Industrial Manager</w:t>
            </w:r>
          </w:p>
        </w:tc>
        <w:tc>
          <w:tcPr>
            <w:tcW w:w="1630" w:type="dxa"/>
            <w:gridSpan w:val="2"/>
            <w:hideMark/>
          </w:tcPr>
          <w:p w14:paraId="60BA3C1B" w14:textId="6272AB94" w:rsidR="009876CC" w:rsidRPr="000973F2" w:rsidRDefault="009876CC" w:rsidP="007D5F58">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18"/>
                <w:szCs w:val="18"/>
              </w:rPr>
            </w:pPr>
            <w:r w:rsidRPr="000973F2">
              <w:rPr>
                <w:rFonts w:ascii="Times New Roman" w:eastAsia="Times New Roman" w:hAnsi="Times New Roman" w:cs="Times New Roman"/>
                <w:b/>
                <w:bCs/>
                <w:sz w:val="18"/>
                <w:szCs w:val="18"/>
              </w:rPr>
              <w:t>Industrial Engineer/</w:t>
            </w:r>
            <w:r w:rsidR="007D5F58" w:rsidRPr="000973F2">
              <w:rPr>
                <w:rFonts w:ascii="Times New Roman" w:eastAsia="Times New Roman" w:hAnsi="Times New Roman" w:cs="Times New Roman"/>
                <w:b/>
                <w:bCs/>
                <w:sz w:val="18"/>
                <w:szCs w:val="18"/>
              </w:rPr>
              <w:t xml:space="preserve"> </w:t>
            </w:r>
            <w:r w:rsidRPr="000973F2">
              <w:rPr>
                <w:rFonts w:ascii="Times New Roman" w:eastAsia="Times New Roman" w:hAnsi="Times New Roman" w:cs="Times New Roman"/>
                <w:b/>
                <w:bCs/>
                <w:sz w:val="18"/>
                <w:szCs w:val="18"/>
              </w:rPr>
              <w:t>Technician</w:t>
            </w:r>
          </w:p>
        </w:tc>
        <w:tc>
          <w:tcPr>
            <w:tcW w:w="1631" w:type="dxa"/>
            <w:gridSpan w:val="2"/>
            <w:hideMark/>
          </w:tcPr>
          <w:p w14:paraId="63A0C0A2" w14:textId="77777777" w:rsidR="009876CC" w:rsidRPr="000973F2" w:rsidRDefault="009876CC" w:rsidP="007D5F58">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18"/>
                <w:szCs w:val="18"/>
              </w:rPr>
            </w:pPr>
            <w:r w:rsidRPr="000973F2">
              <w:rPr>
                <w:rFonts w:ascii="Times New Roman" w:eastAsia="Times New Roman" w:hAnsi="Times New Roman" w:cs="Times New Roman"/>
                <w:b/>
                <w:bCs/>
                <w:sz w:val="18"/>
                <w:szCs w:val="18"/>
              </w:rPr>
              <w:t>Administrative Support</w:t>
            </w:r>
          </w:p>
        </w:tc>
        <w:tc>
          <w:tcPr>
            <w:tcW w:w="1512" w:type="dxa"/>
            <w:gridSpan w:val="2"/>
            <w:vMerge/>
            <w:hideMark/>
          </w:tcPr>
          <w:p w14:paraId="290AE51D" w14:textId="77777777" w:rsidR="009876CC" w:rsidRPr="000973F2" w:rsidRDefault="009876CC" w:rsidP="007D5F58">
            <w:pPr>
              <w:spacing w:before="40" w:after="4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18"/>
                <w:szCs w:val="18"/>
              </w:rPr>
            </w:pPr>
          </w:p>
        </w:tc>
      </w:tr>
      <w:tr w:rsidR="009876CC" w:rsidRPr="000973F2" w14:paraId="156961D1" w14:textId="77777777" w:rsidTr="007D5F58">
        <w:trPr>
          <w:cantSplit/>
        </w:trPr>
        <w:tc>
          <w:tcPr>
            <w:cnfStyle w:val="001000000000" w:firstRow="0" w:lastRow="0" w:firstColumn="1" w:lastColumn="0" w:oddVBand="0" w:evenVBand="0" w:oddHBand="0" w:evenHBand="0" w:firstRowFirstColumn="0" w:firstRowLastColumn="0" w:lastRowFirstColumn="0" w:lastRowLastColumn="0"/>
            <w:tcW w:w="1296" w:type="dxa"/>
            <w:vMerge/>
            <w:hideMark/>
          </w:tcPr>
          <w:p w14:paraId="1A8B0C66" w14:textId="77777777" w:rsidR="009876CC" w:rsidRPr="000973F2" w:rsidRDefault="009876CC" w:rsidP="007D5F58">
            <w:pPr>
              <w:spacing w:before="40" w:after="40"/>
              <w:rPr>
                <w:rFonts w:ascii="Times New Roman" w:eastAsia="Times New Roman" w:hAnsi="Times New Roman" w:cs="Times New Roman"/>
                <w:b/>
                <w:bCs w:val="0"/>
                <w:sz w:val="18"/>
                <w:szCs w:val="18"/>
              </w:rPr>
            </w:pPr>
          </w:p>
        </w:tc>
        <w:tc>
          <w:tcPr>
            <w:tcW w:w="1630" w:type="dxa"/>
            <w:gridSpan w:val="2"/>
            <w:noWrap/>
            <w:hideMark/>
          </w:tcPr>
          <w:p w14:paraId="63676305" w14:textId="0F06206C" w:rsidR="009876CC" w:rsidRPr="000973F2" w:rsidRDefault="009876CC" w:rsidP="007D5F58">
            <w:pPr>
              <w:spacing w:before="40" w:after="4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sz w:val="18"/>
                <w:szCs w:val="18"/>
              </w:rPr>
            </w:pPr>
            <w:r w:rsidRPr="000973F2">
              <w:rPr>
                <w:rFonts w:ascii="Times New Roman" w:eastAsia="Times New Roman" w:hAnsi="Times New Roman" w:cs="Times New Roman"/>
                <w:b/>
                <w:bCs/>
                <w:sz w:val="18"/>
                <w:szCs w:val="18"/>
              </w:rPr>
              <w:t>$112.23</w:t>
            </w:r>
          </w:p>
        </w:tc>
        <w:tc>
          <w:tcPr>
            <w:tcW w:w="1631" w:type="dxa"/>
            <w:gridSpan w:val="2"/>
            <w:noWrap/>
            <w:hideMark/>
          </w:tcPr>
          <w:p w14:paraId="104E98FA" w14:textId="7916785E" w:rsidR="009876CC" w:rsidRPr="000973F2" w:rsidRDefault="009876CC" w:rsidP="007D5F58">
            <w:pPr>
              <w:spacing w:before="40" w:after="4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sz w:val="18"/>
                <w:szCs w:val="18"/>
              </w:rPr>
            </w:pPr>
            <w:r w:rsidRPr="000973F2">
              <w:rPr>
                <w:rFonts w:ascii="Times New Roman" w:eastAsia="Times New Roman" w:hAnsi="Times New Roman" w:cs="Times New Roman"/>
                <w:b/>
                <w:bCs/>
                <w:sz w:val="18"/>
                <w:szCs w:val="18"/>
              </w:rPr>
              <w:t>$87.45</w:t>
            </w:r>
          </w:p>
        </w:tc>
        <w:tc>
          <w:tcPr>
            <w:tcW w:w="1630" w:type="dxa"/>
            <w:gridSpan w:val="2"/>
            <w:noWrap/>
            <w:hideMark/>
          </w:tcPr>
          <w:p w14:paraId="324F6059" w14:textId="6E14A3A2" w:rsidR="009876CC" w:rsidRPr="000973F2" w:rsidRDefault="009876CC" w:rsidP="007D5F58">
            <w:pPr>
              <w:spacing w:before="40" w:after="4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sz w:val="18"/>
                <w:szCs w:val="18"/>
              </w:rPr>
            </w:pPr>
            <w:r w:rsidRPr="000973F2">
              <w:rPr>
                <w:rFonts w:ascii="Times New Roman" w:eastAsia="Times New Roman" w:hAnsi="Times New Roman" w:cs="Times New Roman"/>
                <w:b/>
                <w:bCs/>
                <w:sz w:val="18"/>
                <w:szCs w:val="18"/>
              </w:rPr>
              <w:t>$71.45</w:t>
            </w:r>
          </w:p>
        </w:tc>
        <w:tc>
          <w:tcPr>
            <w:tcW w:w="1631" w:type="dxa"/>
            <w:gridSpan w:val="2"/>
            <w:noWrap/>
            <w:hideMark/>
          </w:tcPr>
          <w:p w14:paraId="2A3012A5" w14:textId="28D676DD" w:rsidR="009876CC" w:rsidRPr="000973F2" w:rsidRDefault="009876CC" w:rsidP="007D5F58">
            <w:pPr>
              <w:spacing w:before="40" w:after="4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sz w:val="18"/>
                <w:szCs w:val="18"/>
              </w:rPr>
            </w:pPr>
            <w:r w:rsidRPr="000973F2">
              <w:rPr>
                <w:rFonts w:ascii="Times New Roman" w:eastAsia="Times New Roman" w:hAnsi="Times New Roman" w:cs="Times New Roman"/>
                <w:b/>
                <w:bCs/>
                <w:sz w:val="18"/>
                <w:szCs w:val="18"/>
              </w:rPr>
              <w:t>$36.28</w:t>
            </w:r>
          </w:p>
        </w:tc>
        <w:tc>
          <w:tcPr>
            <w:tcW w:w="1512" w:type="dxa"/>
            <w:gridSpan w:val="2"/>
            <w:vMerge/>
            <w:hideMark/>
          </w:tcPr>
          <w:p w14:paraId="11481564" w14:textId="77777777" w:rsidR="009876CC" w:rsidRPr="000973F2" w:rsidRDefault="009876CC" w:rsidP="007D5F58">
            <w:pPr>
              <w:spacing w:before="40" w:after="4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sz w:val="18"/>
                <w:szCs w:val="18"/>
              </w:rPr>
            </w:pPr>
          </w:p>
        </w:tc>
      </w:tr>
      <w:tr w:rsidR="007D5F58" w:rsidRPr="000973F2" w14:paraId="00F3B0AD" w14:textId="77777777" w:rsidTr="007D5F58">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1296" w:type="dxa"/>
            <w:vMerge/>
            <w:hideMark/>
          </w:tcPr>
          <w:p w14:paraId="06DA4328" w14:textId="77777777" w:rsidR="009876CC" w:rsidRPr="000973F2" w:rsidRDefault="009876CC" w:rsidP="007D5F58">
            <w:pPr>
              <w:spacing w:before="40" w:after="40"/>
              <w:rPr>
                <w:rFonts w:ascii="Times New Roman" w:eastAsia="Times New Roman" w:hAnsi="Times New Roman" w:cs="Times New Roman"/>
                <w:b/>
                <w:bCs w:val="0"/>
                <w:sz w:val="18"/>
                <w:szCs w:val="18"/>
              </w:rPr>
            </w:pPr>
          </w:p>
        </w:tc>
        <w:tc>
          <w:tcPr>
            <w:tcW w:w="815" w:type="dxa"/>
            <w:tcMar>
              <w:left w:w="29" w:type="dxa"/>
              <w:right w:w="29" w:type="dxa"/>
            </w:tcMar>
            <w:hideMark/>
          </w:tcPr>
          <w:p w14:paraId="36D1DDA7" w14:textId="0C242A2D" w:rsidR="009876CC" w:rsidRPr="000973F2" w:rsidRDefault="009876CC" w:rsidP="007D5F58">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18"/>
                <w:szCs w:val="18"/>
              </w:rPr>
            </w:pPr>
            <w:r w:rsidRPr="000973F2">
              <w:rPr>
                <w:rFonts w:ascii="Times New Roman" w:eastAsia="Times New Roman" w:hAnsi="Times New Roman" w:cs="Times New Roman"/>
                <w:b/>
                <w:bCs/>
                <w:sz w:val="18"/>
                <w:szCs w:val="18"/>
              </w:rPr>
              <w:t>Initial Year</w:t>
            </w:r>
            <w:r w:rsidR="007D5F58" w:rsidRPr="000973F2">
              <w:rPr>
                <w:rFonts w:ascii="Times New Roman" w:eastAsia="Times New Roman" w:hAnsi="Times New Roman" w:cs="Times New Roman"/>
                <w:b/>
                <w:bCs/>
                <w:sz w:val="18"/>
                <w:szCs w:val="18"/>
              </w:rPr>
              <w:t xml:space="preserve"> </w:t>
            </w:r>
            <w:r w:rsidRPr="000973F2">
              <w:rPr>
                <w:rFonts w:ascii="Times New Roman" w:eastAsia="Times New Roman" w:hAnsi="Times New Roman" w:cs="Times New Roman"/>
                <w:b/>
                <w:bCs/>
                <w:sz w:val="18"/>
                <w:szCs w:val="18"/>
              </w:rPr>
              <w:t>Hours</w:t>
            </w:r>
          </w:p>
        </w:tc>
        <w:tc>
          <w:tcPr>
            <w:tcW w:w="815" w:type="dxa"/>
            <w:tcMar>
              <w:left w:w="29" w:type="dxa"/>
              <w:right w:w="29" w:type="dxa"/>
            </w:tcMar>
            <w:hideMark/>
          </w:tcPr>
          <w:p w14:paraId="73E73F58" w14:textId="5FA9F6C3" w:rsidR="009876CC" w:rsidRPr="000973F2" w:rsidRDefault="009876CC" w:rsidP="007D5F58">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18"/>
                <w:szCs w:val="18"/>
              </w:rPr>
            </w:pPr>
            <w:r w:rsidRPr="000973F2">
              <w:rPr>
                <w:rFonts w:ascii="Times New Roman" w:eastAsia="Times New Roman" w:hAnsi="Times New Roman" w:cs="Times New Roman"/>
                <w:b/>
                <w:bCs/>
                <w:sz w:val="18"/>
                <w:szCs w:val="18"/>
              </w:rPr>
              <w:t>Subseq. Year</w:t>
            </w:r>
            <w:r w:rsidR="007D5F58" w:rsidRPr="000973F2">
              <w:rPr>
                <w:rFonts w:ascii="Times New Roman" w:eastAsia="Times New Roman" w:hAnsi="Times New Roman" w:cs="Times New Roman"/>
                <w:b/>
                <w:bCs/>
                <w:sz w:val="18"/>
                <w:szCs w:val="18"/>
              </w:rPr>
              <w:t xml:space="preserve"> </w:t>
            </w:r>
            <w:r w:rsidRPr="000973F2">
              <w:rPr>
                <w:rFonts w:ascii="Times New Roman" w:eastAsia="Times New Roman" w:hAnsi="Times New Roman" w:cs="Times New Roman"/>
                <w:b/>
                <w:bCs/>
                <w:sz w:val="18"/>
                <w:szCs w:val="18"/>
              </w:rPr>
              <w:t>Hours</w:t>
            </w:r>
          </w:p>
        </w:tc>
        <w:tc>
          <w:tcPr>
            <w:tcW w:w="815" w:type="dxa"/>
            <w:tcMar>
              <w:left w:w="29" w:type="dxa"/>
              <w:right w:w="29" w:type="dxa"/>
            </w:tcMar>
            <w:hideMark/>
          </w:tcPr>
          <w:p w14:paraId="12B60621" w14:textId="5B1FBE61" w:rsidR="009876CC" w:rsidRPr="000973F2" w:rsidRDefault="009876CC" w:rsidP="007D5F58">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18"/>
                <w:szCs w:val="18"/>
              </w:rPr>
            </w:pPr>
            <w:r w:rsidRPr="000973F2">
              <w:rPr>
                <w:rFonts w:ascii="Times New Roman" w:eastAsia="Times New Roman" w:hAnsi="Times New Roman" w:cs="Times New Roman"/>
                <w:b/>
                <w:bCs/>
                <w:sz w:val="18"/>
                <w:szCs w:val="18"/>
              </w:rPr>
              <w:t>Initial Year</w:t>
            </w:r>
            <w:r w:rsidR="007D5F58" w:rsidRPr="000973F2">
              <w:rPr>
                <w:rFonts w:ascii="Times New Roman" w:eastAsia="Times New Roman" w:hAnsi="Times New Roman" w:cs="Times New Roman"/>
                <w:b/>
                <w:bCs/>
                <w:sz w:val="18"/>
                <w:szCs w:val="18"/>
              </w:rPr>
              <w:t xml:space="preserve"> </w:t>
            </w:r>
            <w:r w:rsidRPr="000973F2">
              <w:rPr>
                <w:rFonts w:ascii="Times New Roman" w:eastAsia="Times New Roman" w:hAnsi="Times New Roman" w:cs="Times New Roman"/>
                <w:b/>
                <w:bCs/>
                <w:sz w:val="18"/>
                <w:szCs w:val="18"/>
              </w:rPr>
              <w:t>Hours</w:t>
            </w:r>
          </w:p>
        </w:tc>
        <w:tc>
          <w:tcPr>
            <w:tcW w:w="816" w:type="dxa"/>
            <w:tcMar>
              <w:left w:w="29" w:type="dxa"/>
              <w:right w:w="29" w:type="dxa"/>
            </w:tcMar>
            <w:hideMark/>
          </w:tcPr>
          <w:p w14:paraId="1E7215FB" w14:textId="439BE248" w:rsidR="009876CC" w:rsidRPr="000973F2" w:rsidRDefault="009876CC" w:rsidP="007D5F58">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18"/>
                <w:szCs w:val="18"/>
              </w:rPr>
            </w:pPr>
            <w:r w:rsidRPr="000973F2">
              <w:rPr>
                <w:rFonts w:ascii="Times New Roman" w:eastAsia="Times New Roman" w:hAnsi="Times New Roman" w:cs="Times New Roman"/>
                <w:b/>
                <w:bCs/>
                <w:sz w:val="18"/>
                <w:szCs w:val="18"/>
              </w:rPr>
              <w:t>Subseq. Year</w:t>
            </w:r>
            <w:r w:rsidR="007D5F58" w:rsidRPr="000973F2">
              <w:rPr>
                <w:rFonts w:ascii="Times New Roman" w:eastAsia="Times New Roman" w:hAnsi="Times New Roman" w:cs="Times New Roman"/>
                <w:b/>
                <w:bCs/>
                <w:sz w:val="18"/>
                <w:szCs w:val="18"/>
              </w:rPr>
              <w:t xml:space="preserve"> </w:t>
            </w:r>
            <w:r w:rsidRPr="000973F2">
              <w:rPr>
                <w:rFonts w:ascii="Times New Roman" w:eastAsia="Times New Roman" w:hAnsi="Times New Roman" w:cs="Times New Roman"/>
                <w:b/>
                <w:bCs/>
                <w:sz w:val="18"/>
                <w:szCs w:val="18"/>
              </w:rPr>
              <w:t>Hours</w:t>
            </w:r>
          </w:p>
        </w:tc>
        <w:tc>
          <w:tcPr>
            <w:tcW w:w="815" w:type="dxa"/>
            <w:tcMar>
              <w:left w:w="29" w:type="dxa"/>
              <w:right w:w="29" w:type="dxa"/>
            </w:tcMar>
            <w:hideMark/>
          </w:tcPr>
          <w:p w14:paraId="410D2A4F" w14:textId="3C4B478E" w:rsidR="009876CC" w:rsidRPr="000973F2" w:rsidRDefault="009876CC" w:rsidP="007D5F58">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18"/>
                <w:szCs w:val="18"/>
              </w:rPr>
            </w:pPr>
            <w:r w:rsidRPr="000973F2">
              <w:rPr>
                <w:rFonts w:ascii="Times New Roman" w:eastAsia="Times New Roman" w:hAnsi="Times New Roman" w:cs="Times New Roman"/>
                <w:b/>
                <w:bCs/>
                <w:sz w:val="18"/>
                <w:szCs w:val="18"/>
              </w:rPr>
              <w:t>Initial Year</w:t>
            </w:r>
            <w:r w:rsidR="007D5F58" w:rsidRPr="000973F2">
              <w:rPr>
                <w:rFonts w:ascii="Times New Roman" w:eastAsia="Times New Roman" w:hAnsi="Times New Roman" w:cs="Times New Roman"/>
                <w:b/>
                <w:bCs/>
                <w:sz w:val="18"/>
                <w:szCs w:val="18"/>
              </w:rPr>
              <w:t xml:space="preserve"> </w:t>
            </w:r>
            <w:r w:rsidRPr="000973F2">
              <w:rPr>
                <w:rFonts w:ascii="Times New Roman" w:eastAsia="Times New Roman" w:hAnsi="Times New Roman" w:cs="Times New Roman"/>
                <w:b/>
                <w:bCs/>
                <w:sz w:val="18"/>
                <w:szCs w:val="18"/>
              </w:rPr>
              <w:t>Hours</w:t>
            </w:r>
          </w:p>
        </w:tc>
        <w:tc>
          <w:tcPr>
            <w:tcW w:w="815" w:type="dxa"/>
            <w:tcMar>
              <w:left w:w="29" w:type="dxa"/>
              <w:right w:w="29" w:type="dxa"/>
            </w:tcMar>
            <w:hideMark/>
          </w:tcPr>
          <w:p w14:paraId="3BF0C811" w14:textId="67DB46B4" w:rsidR="009876CC" w:rsidRPr="000973F2" w:rsidRDefault="009876CC" w:rsidP="007D5F58">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18"/>
                <w:szCs w:val="18"/>
              </w:rPr>
            </w:pPr>
            <w:r w:rsidRPr="000973F2">
              <w:rPr>
                <w:rFonts w:ascii="Times New Roman" w:eastAsia="Times New Roman" w:hAnsi="Times New Roman" w:cs="Times New Roman"/>
                <w:b/>
                <w:bCs/>
                <w:sz w:val="18"/>
                <w:szCs w:val="18"/>
              </w:rPr>
              <w:t>Subseq. Year</w:t>
            </w:r>
            <w:r w:rsidR="007D5F58" w:rsidRPr="000973F2">
              <w:rPr>
                <w:rFonts w:ascii="Times New Roman" w:eastAsia="Times New Roman" w:hAnsi="Times New Roman" w:cs="Times New Roman"/>
                <w:b/>
                <w:bCs/>
                <w:sz w:val="18"/>
                <w:szCs w:val="18"/>
              </w:rPr>
              <w:t xml:space="preserve"> </w:t>
            </w:r>
            <w:r w:rsidRPr="000973F2">
              <w:rPr>
                <w:rFonts w:ascii="Times New Roman" w:eastAsia="Times New Roman" w:hAnsi="Times New Roman" w:cs="Times New Roman"/>
                <w:b/>
                <w:bCs/>
                <w:sz w:val="18"/>
                <w:szCs w:val="18"/>
              </w:rPr>
              <w:t>Hours</w:t>
            </w:r>
          </w:p>
        </w:tc>
        <w:tc>
          <w:tcPr>
            <w:tcW w:w="815" w:type="dxa"/>
            <w:tcMar>
              <w:left w:w="29" w:type="dxa"/>
              <w:right w:w="29" w:type="dxa"/>
            </w:tcMar>
            <w:hideMark/>
          </w:tcPr>
          <w:p w14:paraId="453678D9" w14:textId="1B9FCECF" w:rsidR="009876CC" w:rsidRPr="000973F2" w:rsidRDefault="009876CC" w:rsidP="007D5F58">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18"/>
                <w:szCs w:val="18"/>
              </w:rPr>
            </w:pPr>
            <w:r w:rsidRPr="000973F2">
              <w:rPr>
                <w:rFonts w:ascii="Times New Roman" w:eastAsia="Times New Roman" w:hAnsi="Times New Roman" w:cs="Times New Roman"/>
                <w:b/>
                <w:bCs/>
                <w:sz w:val="18"/>
                <w:szCs w:val="18"/>
              </w:rPr>
              <w:t>Initial Year</w:t>
            </w:r>
            <w:r w:rsidR="007D5F58" w:rsidRPr="000973F2">
              <w:rPr>
                <w:rFonts w:ascii="Times New Roman" w:eastAsia="Times New Roman" w:hAnsi="Times New Roman" w:cs="Times New Roman"/>
                <w:b/>
                <w:bCs/>
                <w:sz w:val="18"/>
                <w:szCs w:val="18"/>
              </w:rPr>
              <w:t xml:space="preserve"> </w:t>
            </w:r>
            <w:r w:rsidRPr="000973F2">
              <w:rPr>
                <w:rFonts w:ascii="Times New Roman" w:eastAsia="Times New Roman" w:hAnsi="Times New Roman" w:cs="Times New Roman"/>
                <w:b/>
                <w:bCs/>
                <w:sz w:val="18"/>
                <w:szCs w:val="18"/>
              </w:rPr>
              <w:t>Hours</w:t>
            </w:r>
          </w:p>
        </w:tc>
        <w:tc>
          <w:tcPr>
            <w:tcW w:w="816" w:type="dxa"/>
            <w:tcMar>
              <w:left w:w="29" w:type="dxa"/>
              <w:right w:w="29" w:type="dxa"/>
            </w:tcMar>
            <w:hideMark/>
          </w:tcPr>
          <w:p w14:paraId="4D98AEA8" w14:textId="59178FC8" w:rsidR="009876CC" w:rsidRPr="000973F2" w:rsidRDefault="009876CC" w:rsidP="007D5F58">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18"/>
                <w:szCs w:val="18"/>
              </w:rPr>
            </w:pPr>
            <w:r w:rsidRPr="000973F2">
              <w:rPr>
                <w:rFonts w:ascii="Times New Roman" w:eastAsia="Times New Roman" w:hAnsi="Times New Roman" w:cs="Times New Roman"/>
                <w:b/>
                <w:bCs/>
                <w:sz w:val="18"/>
                <w:szCs w:val="18"/>
              </w:rPr>
              <w:t>Subseq. Year</w:t>
            </w:r>
            <w:r w:rsidR="007D5F58" w:rsidRPr="000973F2">
              <w:rPr>
                <w:rFonts w:ascii="Times New Roman" w:eastAsia="Times New Roman" w:hAnsi="Times New Roman" w:cs="Times New Roman"/>
                <w:b/>
                <w:bCs/>
                <w:sz w:val="18"/>
                <w:szCs w:val="18"/>
              </w:rPr>
              <w:t xml:space="preserve"> </w:t>
            </w:r>
            <w:r w:rsidRPr="000973F2">
              <w:rPr>
                <w:rFonts w:ascii="Times New Roman" w:eastAsia="Times New Roman" w:hAnsi="Times New Roman" w:cs="Times New Roman"/>
                <w:b/>
                <w:bCs/>
                <w:sz w:val="18"/>
                <w:szCs w:val="18"/>
              </w:rPr>
              <w:t>Hours</w:t>
            </w:r>
          </w:p>
        </w:tc>
        <w:tc>
          <w:tcPr>
            <w:tcW w:w="756" w:type="dxa"/>
            <w:tcMar>
              <w:left w:w="29" w:type="dxa"/>
              <w:right w:w="29" w:type="dxa"/>
            </w:tcMar>
            <w:hideMark/>
          </w:tcPr>
          <w:p w14:paraId="75713394" w14:textId="77777777" w:rsidR="009876CC" w:rsidRPr="000973F2" w:rsidRDefault="009876CC" w:rsidP="007D5F58">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18"/>
                <w:szCs w:val="18"/>
              </w:rPr>
            </w:pPr>
            <w:r w:rsidRPr="000973F2">
              <w:rPr>
                <w:rFonts w:ascii="Times New Roman" w:eastAsia="Times New Roman" w:hAnsi="Times New Roman" w:cs="Times New Roman"/>
                <w:b/>
                <w:bCs/>
                <w:sz w:val="18"/>
                <w:szCs w:val="18"/>
              </w:rPr>
              <w:t>Initial Year</w:t>
            </w:r>
          </w:p>
        </w:tc>
        <w:tc>
          <w:tcPr>
            <w:tcW w:w="756" w:type="dxa"/>
            <w:tcMar>
              <w:left w:w="29" w:type="dxa"/>
              <w:right w:w="29" w:type="dxa"/>
            </w:tcMar>
            <w:hideMark/>
          </w:tcPr>
          <w:p w14:paraId="12D498B9" w14:textId="77777777" w:rsidR="009876CC" w:rsidRPr="000973F2" w:rsidRDefault="009876CC" w:rsidP="007D5F58">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18"/>
                <w:szCs w:val="18"/>
              </w:rPr>
            </w:pPr>
            <w:r w:rsidRPr="000973F2">
              <w:rPr>
                <w:rFonts w:ascii="Times New Roman" w:eastAsia="Times New Roman" w:hAnsi="Times New Roman" w:cs="Times New Roman"/>
                <w:b/>
                <w:bCs/>
                <w:sz w:val="18"/>
                <w:szCs w:val="18"/>
              </w:rPr>
              <w:t>Subseq. Year</w:t>
            </w:r>
          </w:p>
        </w:tc>
      </w:tr>
      <w:tr w:rsidR="009876CC" w:rsidRPr="000973F2" w14:paraId="6EFA17B4" w14:textId="77777777" w:rsidTr="007D5F58">
        <w:trPr>
          <w:cantSplit/>
        </w:trPr>
        <w:tc>
          <w:tcPr>
            <w:cnfStyle w:val="001000000000" w:firstRow="0" w:lastRow="0" w:firstColumn="1" w:lastColumn="0" w:oddVBand="0" w:evenVBand="0" w:oddHBand="0" w:evenHBand="0" w:firstRowFirstColumn="0" w:firstRowLastColumn="0" w:lastRowFirstColumn="0" w:lastRowLastColumn="0"/>
            <w:tcW w:w="1296" w:type="dxa"/>
            <w:tcMar>
              <w:right w:w="14" w:type="dxa"/>
            </w:tcMar>
            <w:hideMark/>
          </w:tcPr>
          <w:p w14:paraId="1FCD8A8E" w14:textId="77777777" w:rsidR="009876CC" w:rsidRPr="000973F2" w:rsidRDefault="009876CC" w:rsidP="007D5F58">
            <w:pPr>
              <w:spacing w:before="40" w:after="4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Planning</w:t>
            </w:r>
          </w:p>
        </w:tc>
        <w:tc>
          <w:tcPr>
            <w:tcW w:w="815" w:type="dxa"/>
            <w:noWrap/>
            <w:hideMark/>
          </w:tcPr>
          <w:p w14:paraId="2B493BC9" w14:textId="77777777" w:rsidR="009876CC" w:rsidRPr="000973F2" w:rsidRDefault="009876CC" w:rsidP="007D5F58">
            <w:pPr>
              <w:spacing w:before="40" w:after="4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1.0</w:t>
            </w:r>
          </w:p>
        </w:tc>
        <w:tc>
          <w:tcPr>
            <w:tcW w:w="815" w:type="dxa"/>
            <w:noWrap/>
            <w:hideMark/>
          </w:tcPr>
          <w:p w14:paraId="338756F7" w14:textId="77777777" w:rsidR="009876CC" w:rsidRPr="000973F2" w:rsidRDefault="009876CC" w:rsidP="007D5F58">
            <w:pPr>
              <w:spacing w:before="40" w:after="4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1.0</w:t>
            </w:r>
          </w:p>
        </w:tc>
        <w:tc>
          <w:tcPr>
            <w:tcW w:w="815" w:type="dxa"/>
            <w:noWrap/>
            <w:hideMark/>
          </w:tcPr>
          <w:p w14:paraId="6A2001C1" w14:textId="77777777" w:rsidR="009876CC" w:rsidRPr="000973F2" w:rsidRDefault="009876CC" w:rsidP="007D5F58">
            <w:pPr>
              <w:spacing w:before="40" w:after="4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0.5</w:t>
            </w:r>
          </w:p>
        </w:tc>
        <w:tc>
          <w:tcPr>
            <w:tcW w:w="816" w:type="dxa"/>
            <w:noWrap/>
            <w:hideMark/>
          </w:tcPr>
          <w:p w14:paraId="68F03E43" w14:textId="77777777" w:rsidR="009876CC" w:rsidRPr="000973F2" w:rsidRDefault="009876CC" w:rsidP="007D5F58">
            <w:pPr>
              <w:spacing w:before="40" w:after="4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0.3</w:t>
            </w:r>
          </w:p>
        </w:tc>
        <w:tc>
          <w:tcPr>
            <w:tcW w:w="815" w:type="dxa"/>
            <w:noWrap/>
            <w:hideMark/>
          </w:tcPr>
          <w:p w14:paraId="63917D22" w14:textId="77777777" w:rsidR="009876CC" w:rsidRPr="000973F2" w:rsidRDefault="009876CC" w:rsidP="007D5F58">
            <w:pPr>
              <w:tabs>
                <w:tab w:val="decimal" w:pos="329"/>
              </w:tabs>
              <w:spacing w:before="40" w:after="4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5.3</w:t>
            </w:r>
          </w:p>
        </w:tc>
        <w:tc>
          <w:tcPr>
            <w:tcW w:w="815" w:type="dxa"/>
            <w:noWrap/>
            <w:hideMark/>
          </w:tcPr>
          <w:p w14:paraId="5F7A77A9" w14:textId="77777777" w:rsidR="009876CC" w:rsidRPr="000973F2" w:rsidRDefault="009876CC" w:rsidP="007D5F58">
            <w:pPr>
              <w:tabs>
                <w:tab w:val="decimal" w:pos="329"/>
              </w:tabs>
              <w:spacing w:before="40" w:after="4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2.6</w:t>
            </w:r>
          </w:p>
        </w:tc>
        <w:tc>
          <w:tcPr>
            <w:tcW w:w="815" w:type="dxa"/>
            <w:noWrap/>
            <w:hideMark/>
          </w:tcPr>
          <w:p w14:paraId="784D8753" w14:textId="77777777" w:rsidR="009876CC" w:rsidRPr="000973F2" w:rsidRDefault="009876CC" w:rsidP="007D5F58">
            <w:pPr>
              <w:spacing w:before="40" w:after="4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0.3</w:t>
            </w:r>
          </w:p>
        </w:tc>
        <w:tc>
          <w:tcPr>
            <w:tcW w:w="816" w:type="dxa"/>
            <w:noWrap/>
            <w:hideMark/>
          </w:tcPr>
          <w:p w14:paraId="514D81CC" w14:textId="77777777" w:rsidR="009876CC" w:rsidRPr="000973F2" w:rsidRDefault="009876CC" w:rsidP="007D5F58">
            <w:pPr>
              <w:spacing w:before="40" w:after="4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0.1</w:t>
            </w:r>
          </w:p>
        </w:tc>
        <w:tc>
          <w:tcPr>
            <w:tcW w:w="756" w:type="dxa"/>
            <w:noWrap/>
            <w:hideMark/>
          </w:tcPr>
          <w:p w14:paraId="257958AF" w14:textId="469ABD3F" w:rsidR="009876CC" w:rsidRPr="000973F2" w:rsidRDefault="009876CC" w:rsidP="007D5F58">
            <w:pPr>
              <w:tabs>
                <w:tab w:val="decimal" w:pos="513"/>
              </w:tabs>
              <w:spacing w:before="40" w:after="4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$546</w:t>
            </w:r>
          </w:p>
        </w:tc>
        <w:tc>
          <w:tcPr>
            <w:tcW w:w="756" w:type="dxa"/>
            <w:noWrap/>
            <w:hideMark/>
          </w:tcPr>
          <w:p w14:paraId="3B4C08CB" w14:textId="395B063C" w:rsidR="009876CC" w:rsidRPr="000973F2" w:rsidRDefault="009876CC" w:rsidP="007D5F58">
            <w:pPr>
              <w:tabs>
                <w:tab w:val="decimal" w:pos="513"/>
              </w:tabs>
              <w:spacing w:before="40" w:after="4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$329</w:t>
            </w:r>
          </w:p>
        </w:tc>
      </w:tr>
      <w:tr w:rsidR="007D5F58" w:rsidRPr="000973F2" w14:paraId="4124077F" w14:textId="77777777" w:rsidTr="007D5F58">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1296" w:type="dxa"/>
            <w:tcMar>
              <w:right w:w="14" w:type="dxa"/>
            </w:tcMar>
            <w:hideMark/>
          </w:tcPr>
          <w:p w14:paraId="0B6C4AEE" w14:textId="77777777" w:rsidR="009876CC" w:rsidRPr="000973F2" w:rsidRDefault="009876CC" w:rsidP="007D5F58">
            <w:pPr>
              <w:spacing w:before="40" w:after="4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QA/QC</w:t>
            </w:r>
          </w:p>
        </w:tc>
        <w:tc>
          <w:tcPr>
            <w:tcW w:w="815" w:type="dxa"/>
            <w:noWrap/>
            <w:hideMark/>
          </w:tcPr>
          <w:p w14:paraId="54834DB9" w14:textId="77777777" w:rsidR="009876CC" w:rsidRPr="000973F2" w:rsidRDefault="009876CC" w:rsidP="007D5F58">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0.0</w:t>
            </w:r>
          </w:p>
        </w:tc>
        <w:tc>
          <w:tcPr>
            <w:tcW w:w="815" w:type="dxa"/>
            <w:noWrap/>
            <w:hideMark/>
          </w:tcPr>
          <w:p w14:paraId="4C499410" w14:textId="77777777" w:rsidR="009876CC" w:rsidRPr="000973F2" w:rsidRDefault="009876CC" w:rsidP="007D5F58">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0.0</w:t>
            </w:r>
          </w:p>
        </w:tc>
        <w:tc>
          <w:tcPr>
            <w:tcW w:w="815" w:type="dxa"/>
            <w:noWrap/>
            <w:hideMark/>
          </w:tcPr>
          <w:p w14:paraId="3DC20C32" w14:textId="77777777" w:rsidR="009876CC" w:rsidRPr="000973F2" w:rsidRDefault="009876CC" w:rsidP="007D5F58">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0.3</w:t>
            </w:r>
          </w:p>
        </w:tc>
        <w:tc>
          <w:tcPr>
            <w:tcW w:w="816" w:type="dxa"/>
            <w:noWrap/>
            <w:hideMark/>
          </w:tcPr>
          <w:p w14:paraId="585AA098" w14:textId="77777777" w:rsidR="009876CC" w:rsidRPr="000973F2" w:rsidRDefault="009876CC" w:rsidP="007D5F58">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0.3</w:t>
            </w:r>
          </w:p>
        </w:tc>
        <w:tc>
          <w:tcPr>
            <w:tcW w:w="815" w:type="dxa"/>
            <w:noWrap/>
            <w:hideMark/>
          </w:tcPr>
          <w:p w14:paraId="27CFDD88" w14:textId="77777777" w:rsidR="009876CC" w:rsidRPr="000973F2" w:rsidRDefault="009876CC" w:rsidP="007D5F58">
            <w:pPr>
              <w:tabs>
                <w:tab w:val="decimal" w:pos="329"/>
              </w:tabs>
              <w:spacing w:before="40" w:after="4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2.6</w:t>
            </w:r>
          </w:p>
        </w:tc>
        <w:tc>
          <w:tcPr>
            <w:tcW w:w="815" w:type="dxa"/>
            <w:noWrap/>
            <w:hideMark/>
          </w:tcPr>
          <w:p w14:paraId="6C727CFA" w14:textId="77777777" w:rsidR="009876CC" w:rsidRPr="000973F2" w:rsidRDefault="009876CC" w:rsidP="007D5F58">
            <w:pPr>
              <w:tabs>
                <w:tab w:val="decimal" w:pos="329"/>
              </w:tabs>
              <w:spacing w:before="40" w:after="4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2.6</w:t>
            </w:r>
          </w:p>
        </w:tc>
        <w:tc>
          <w:tcPr>
            <w:tcW w:w="815" w:type="dxa"/>
            <w:noWrap/>
            <w:hideMark/>
          </w:tcPr>
          <w:p w14:paraId="7F31631A" w14:textId="77777777" w:rsidR="009876CC" w:rsidRPr="000973F2" w:rsidRDefault="009876CC" w:rsidP="007D5F58">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0.1</w:t>
            </w:r>
          </w:p>
        </w:tc>
        <w:tc>
          <w:tcPr>
            <w:tcW w:w="816" w:type="dxa"/>
            <w:noWrap/>
            <w:hideMark/>
          </w:tcPr>
          <w:p w14:paraId="24B3C605" w14:textId="77777777" w:rsidR="009876CC" w:rsidRPr="000973F2" w:rsidRDefault="009876CC" w:rsidP="007D5F58">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0.1</w:t>
            </w:r>
          </w:p>
        </w:tc>
        <w:tc>
          <w:tcPr>
            <w:tcW w:w="756" w:type="dxa"/>
            <w:noWrap/>
            <w:hideMark/>
          </w:tcPr>
          <w:p w14:paraId="1FC0851C" w14:textId="740AF84C" w:rsidR="009876CC" w:rsidRPr="000973F2" w:rsidRDefault="009876CC" w:rsidP="007D5F58">
            <w:pPr>
              <w:tabs>
                <w:tab w:val="decimal" w:pos="513"/>
              </w:tabs>
              <w:spacing w:before="40" w:after="4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$217</w:t>
            </w:r>
          </w:p>
        </w:tc>
        <w:tc>
          <w:tcPr>
            <w:tcW w:w="756" w:type="dxa"/>
            <w:noWrap/>
            <w:hideMark/>
          </w:tcPr>
          <w:p w14:paraId="37BF4E1A" w14:textId="63E466E8" w:rsidR="009876CC" w:rsidRPr="000973F2" w:rsidRDefault="009876CC" w:rsidP="007D5F58">
            <w:pPr>
              <w:tabs>
                <w:tab w:val="decimal" w:pos="513"/>
              </w:tabs>
              <w:spacing w:before="40" w:after="4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$217</w:t>
            </w:r>
          </w:p>
        </w:tc>
      </w:tr>
      <w:tr w:rsidR="009876CC" w:rsidRPr="000973F2" w14:paraId="57BEA7D0" w14:textId="77777777" w:rsidTr="007D5F58">
        <w:trPr>
          <w:cantSplit/>
        </w:trPr>
        <w:tc>
          <w:tcPr>
            <w:cnfStyle w:val="001000000000" w:firstRow="0" w:lastRow="0" w:firstColumn="1" w:lastColumn="0" w:oddVBand="0" w:evenVBand="0" w:oddHBand="0" w:evenHBand="0" w:firstRowFirstColumn="0" w:firstRowLastColumn="0" w:lastRowFirstColumn="0" w:lastRowLastColumn="0"/>
            <w:tcW w:w="1296" w:type="dxa"/>
            <w:tcMar>
              <w:right w:w="14" w:type="dxa"/>
            </w:tcMar>
            <w:hideMark/>
          </w:tcPr>
          <w:p w14:paraId="1E407AFD" w14:textId="77777777" w:rsidR="009876CC" w:rsidRPr="000973F2" w:rsidRDefault="009876CC" w:rsidP="007D5F58">
            <w:pPr>
              <w:spacing w:before="40" w:after="4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Recordkeeping</w:t>
            </w:r>
          </w:p>
        </w:tc>
        <w:tc>
          <w:tcPr>
            <w:tcW w:w="815" w:type="dxa"/>
            <w:noWrap/>
            <w:hideMark/>
          </w:tcPr>
          <w:p w14:paraId="2ABB0C4F" w14:textId="77777777" w:rsidR="009876CC" w:rsidRPr="000973F2" w:rsidRDefault="009876CC" w:rsidP="007D5F58">
            <w:pPr>
              <w:spacing w:before="40" w:after="4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0.0</w:t>
            </w:r>
          </w:p>
        </w:tc>
        <w:tc>
          <w:tcPr>
            <w:tcW w:w="815" w:type="dxa"/>
            <w:noWrap/>
            <w:hideMark/>
          </w:tcPr>
          <w:p w14:paraId="64D408B7" w14:textId="77777777" w:rsidR="009876CC" w:rsidRPr="000973F2" w:rsidRDefault="009876CC" w:rsidP="007D5F58">
            <w:pPr>
              <w:spacing w:before="40" w:after="4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0.0</w:t>
            </w:r>
          </w:p>
        </w:tc>
        <w:tc>
          <w:tcPr>
            <w:tcW w:w="815" w:type="dxa"/>
            <w:noWrap/>
            <w:hideMark/>
          </w:tcPr>
          <w:p w14:paraId="355F4267" w14:textId="77777777" w:rsidR="009876CC" w:rsidRPr="000973F2" w:rsidRDefault="009876CC" w:rsidP="007D5F58">
            <w:pPr>
              <w:spacing w:before="40" w:after="4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0.5</w:t>
            </w:r>
          </w:p>
        </w:tc>
        <w:tc>
          <w:tcPr>
            <w:tcW w:w="816" w:type="dxa"/>
            <w:noWrap/>
            <w:hideMark/>
          </w:tcPr>
          <w:p w14:paraId="22832ECE" w14:textId="77777777" w:rsidR="009876CC" w:rsidRPr="000973F2" w:rsidRDefault="009876CC" w:rsidP="007D5F58">
            <w:pPr>
              <w:spacing w:before="40" w:after="4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0.5</w:t>
            </w:r>
          </w:p>
        </w:tc>
        <w:tc>
          <w:tcPr>
            <w:tcW w:w="815" w:type="dxa"/>
            <w:noWrap/>
            <w:hideMark/>
          </w:tcPr>
          <w:p w14:paraId="1DA74FF5" w14:textId="77777777" w:rsidR="009876CC" w:rsidRPr="000973F2" w:rsidRDefault="009876CC" w:rsidP="007D5F58">
            <w:pPr>
              <w:tabs>
                <w:tab w:val="decimal" w:pos="329"/>
              </w:tabs>
              <w:spacing w:before="40" w:after="4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5.0</w:t>
            </w:r>
          </w:p>
        </w:tc>
        <w:tc>
          <w:tcPr>
            <w:tcW w:w="815" w:type="dxa"/>
            <w:noWrap/>
            <w:hideMark/>
          </w:tcPr>
          <w:p w14:paraId="36B3298B" w14:textId="77777777" w:rsidR="009876CC" w:rsidRPr="000973F2" w:rsidRDefault="009876CC" w:rsidP="007D5F58">
            <w:pPr>
              <w:tabs>
                <w:tab w:val="decimal" w:pos="329"/>
              </w:tabs>
              <w:spacing w:before="40" w:after="4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5.0</w:t>
            </w:r>
          </w:p>
        </w:tc>
        <w:tc>
          <w:tcPr>
            <w:tcW w:w="815" w:type="dxa"/>
            <w:noWrap/>
            <w:hideMark/>
          </w:tcPr>
          <w:p w14:paraId="124D9489" w14:textId="77777777" w:rsidR="009876CC" w:rsidRPr="000973F2" w:rsidRDefault="009876CC" w:rsidP="007D5F58">
            <w:pPr>
              <w:spacing w:before="40" w:after="4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0.5</w:t>
            </w:r>
          </w:p>
        </w:tc>
        <w:tc>
          <w:tcPr>
            <w:tcW w:w="816" w:type="dxa"/>
            <w:noWrap/>
            <w:hideMark/>
          </w:tcPr>
          <w:p w14:paraId="454819D8" w14:textId="77777777" w:rsidR="009876CC" w:rsidRPr="000973F2" w:rsidRDefault="009876CC" w:rsidP="007D5F58">
            <w:pPr>
              <w:spacing w:before="40" w:after="4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0.5</w:t>
            </w:r>
          </w:p>
        </w:tc>
        <w:tc>
          <w:tcPr>
            <w:tcW w:w="756" w:type="dxa"/>
            <w:noWrap/>
            <w:hideMark/>
          </w:tcPr>
          <w:p w14:paraId="7A1457A5" w14:textId="4C4CB051" w:rsidR="009876CC" w:rsidRPr="000973F2" w:rsidRDefault="009876CC" w:rsidP="007D5F58">
            <w:pPr>
              <w:tabs>
                <w:tab w:val="decimal" w:pos="513"/>
              </w:tabs>
              <w:spacing w:before="40" w:after="4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$419</w:t>
            </w:r>
          </w:p>
        </w:tc>
        <w:tc>
          <w:tcPr>
            <w:tcW w:w="756" w:type="dxa"/>
            <w:noWrap/>
            <w:hideMark/>
          </w:tcPr>
          <w:p w14:paraId="79734F85" w14:textId="3514EBB1" w:rsidR="009876CC" w:rsidRPr="000973F2" w:rsidRDefault="009876CC" w:rsidP="007D5F58">
            <w:pPr>
              <w:tabs>
                <w:tab w:val="decimal" w:pos="513"/>
              </w:tabs>
              <w:spacing w:before="40" w:after="4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$419</w:t>
            </w:r>
          </w:p>
        </w:tc>
      </w:tr>
      <w:tr w:rsidR="007D5F58" w:rsidRPr="000973F2" w14:paraId="12A6E8DB" w14:textId="77777777" w:rsidTr="007D5F58">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1296" w:type="dxa"/>
            <w:tcMar>
              <w:right w:w="14" w:type="dxa"/>
            </w:tcMar>
            <w:hideMark/>
          </w:tcPr>
          <w:p w14:paraId="4838B233" w14:textId="77777777" w:rsidR="009876CC" w:rsidRPr="000973F2" w:rsidRDefault="009876CC" w:rsidP="007D5F58">
            <w:pPr>
              <w:spacing w:before="40" w:after="4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Sampling and Analysis (Calculations)</w:t>
            </w:r>
          </w:p>
        </w:tc>
        <w:tc>
          <w:tcPr>
            <w:tcW w:w="815" w:type="dxa"/>
            <w:noWrap/>
            <w:hideMark/>
          </w:tcPr>
          <w:p w14:paraId="42192DFC" w14:textId="77777777" w:rsidR="009876CC" w:rsidRPr="000973F2" w:rsidRDefault="009876CC" w:rsidP="007D5F58">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0.0</w:t>
            </w:r>
          </w:p>
        </w:tc>
        <w:tc>
          <w:tcPr>
            <w:tcW w:w="815" w:type="dxa"/>
            <w:noWrap/>
            <w:hideMark/>
          </w:tcPr>
          <w:p w14:paraId="5B06061F" w14:textId="77777777" w:rsidR="009876CC" w:rsidRPr="000973F2" w:rsidRDefault="009876CC" w:rsidP="007D5F58">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0.0</w:t>
            </w:r>
          </w:p>
        </w:tc>
        <w:tc>
          <w:tcPr>
            <w:tcW w:w="815" w:type="dxa"/>
            <w:noWrap/>
            <w:hideMark/>
          </w:tcPr>
          <w:p w14:paraId="1125AA7B" w14:textId="77777777" w:rsidR="009876CC" w:rsidRPr="000973F2" w:rsidRDefault="009876CC" w:rsidP="007D5F58">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0.9</w:t>
            </w:r>
          </w:p>
        </w:tc>
        <w:tc>
          <w:tcPr>
            <w:tcW w:w="816" w:type="dxa"/>
            <w:noWrap/>
            <w:hideMark/>
          </w:tcPr>
          <w:p w14:paraId="6D09F4A4" w14:textId="77777777" w:rsidR="009876CC" w:rsidRPr="000973F2" w:rsidRDefault="009876CC" w:rsidP="007D5F58">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0.9</w:t>
            </w:r>
          </w:p>
        </w:tc>
        <w:tc>
          <w:tcPr>
            <w:tcW w:w="815" w:type="dxa"/>
            <w:noWrap/>
            <w:hideMark/>
          </w:tcPr>
          <w:p w14:paraId="31FB2E1E" w14:textId="77777777" w:rsidR="009876CC" w:rsidRPr="000973F2" w:rsidRDefault="009876CC" w:rsidP="007D5F58">
            <w:pPr>
              <w:tabs>
                <w:tab w:val="decimal" w:pos="329"/>
              </w:tabs>
              <w:spacing w:before="40" w:after="4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8.9</w:t>
            </w:r>
          </w:p>
        </w:tc>
        <w:tc>
          <w:tcPr>
            <w:tcW w:w="815" w:type="dxa"/>
            <w:noWrap/>
            <w:hideMark/>
          </w:tcPr>
          <w:p w14:paraId="0C24F62A" w14:textId="77777777" w:rsidR="009876CC" w:rsidRPr="000973F2" w:rsidRDefault="009876CC" w:rsidP="007D5F58">
            <w:pPr>
              <w:tabs>
                <w:tab w:val="decimal" w:pos="329"/>
              </w:tabs>
              <w:spacing w:before="40" w:after="4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8.9</w:t>
            </w:r>
          </w:p>
        </w:tc>
        <w:tc>
          <w:tcPr>
            <w:tcW w:w="815" w:type="dxa"/>
            <w:noWrap/>
            <w:hideMark/>
          </w:tcPr>
          <w:p w14:paraId="010464C1" w14:textId="77777777" w:rsidR="009876CC" w:rsidRPr="000973F2" w:rsidRDefault="009876CC" w:rsidP="007D5F58">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0.4</w:t>
            </w:r>
          </w:p>
        </w:tc>
        <w:tc>
          <w:tcPr>
            <w:tcW w:w="816" w:type="dxa"/>
            <w:noWrap/>
            <w:hideMark/>
          </w:tcPr>
          <w:p w14:paraId="2099FC22" w14:textId="77777777" w:rsidR="009876CC" w:rsidRPr="000973F2" w:rsidRDefault="009876CC" w:rsidP="007D5F58">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0.4</w:t>
            </w:r>
          </w:p>
        </w:tc>
        <w:tc>
          <w:tcPr>
            <w:tcW w:w="756" w:type="dxa"/>
            <w:noWrap/>
            <w:hideMark/>
          </w:tcPr>
          <w:p w14:paraId="4E6A6AC9" w14:textId="7EA2BE16" w:rsidR="009876CC" w:rsidRPr="000973F2" w:rsidRDefault="009876CC" w:rsidP="007D5F58">
            <w:pPr>
              <w:tabs>
                <w:tab w:val="decimal" w:pos="513"/>
              </w:tabs>
              <w:spacing w:before="40" w:after="4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$732</w:t>
            </w:r>
          </w:p>
        </w:tc>
        <w:tc>
          <w:tcPr>
            <w:tcW w:w="756" w:type="dxa"/>
            <w:noWrap/>
            <w:hideMark/>
          </w:tcPr>
          <w:p w14:paraId="638F7C78" w14:textId="44635B90" w:rsidR="009876CC" w:rsidRPr="000973F2" w:rsidRDefault="009876CC" w:rsidP="007D5F58">
            <w:pPr>
              <w:tabs>
                <w:tab w:val="decimal" w:pos="513"/>
              </w:tabs>
              <w:spacing w:before="40" w:after="4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$732</w:t>
            </w:r>
          </w:p>
        </w:tc>
      </w:tr>
      <w:tr w:rsidR="009876CC" w:rsidRPr="000973F2" w14:paraId="683B9536" w14:textId="77777777" w:rsidTr="007D5F58">
        <w:trPr>
          <w:cantSplit/>
        </w:trPr>
        <w:tc>
          <w:tcPr>
            <w:cnfStyle w:val="001000000000" w:firstRow="0" w:lastRow="0" w:firstColumn="1" w:lastColumn="0" w:oddVBand="0" w:evenVBand="0" w:oddHBand="0" w:evenHBand="0" w:firstRowFirstColumn="0" w:firstRowLastColumn="0" w:lastRowFirstColumn="0" w:lastRowLastColumn="0"/>
            <w:tcW w:w="1296" w:type="dxa"/>
            <w:tcMar>
              <w:right w:w="14" w:type="dxa"/>
            </w:tcMar>
            <w:hideMark/>
          </w:tcPr>
          <w:p w14:paraId="283FC432" w14:textId="77777777" w:rsidR="009876CC" w:rsidRPr="000973F2" w:rsidRDefault="009876CC" w:rsidP="007D5F58">
            <w:pPr>
              <w:spacing w:before="40" w:after="4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Reporting</w:t>
            </w:r>
          </w:p>
        </w:tc>
        <w:tc>
          <w:tcPr>
            <w:tcW w:w="815" w:type="dxa"/>
            <w:noWrap/>
            <w:hideMark/>
          </w:tcPr>
          <w:p w14:paraId="31567334" w14:textId="77777777" w:rsidR="009876CC" w:rsidRPr="000973F2" w:rsidRDefault="009876CC" w:rsidP="007D5F58">
            <w:pPr>
              <w:spacing w:before="40" w:after="4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0.0</w:t>
            </w:r>
          </w:p>
        </w:tc>
        <w:tc>
          <w:tcPr>
            <w:tcW w:w="815" w:type="dxa"/>
            <w:noWrap/>
            <w:hideMark/>
          </w:tcPr>
          <w:p w14:paraId="5C8E5ED7" w14:textId="77777777" w:rsidR="009876CC" w:rsidRPr="000973F2" w:rsidRDefault="009876CC" w:rsidP="007D5F58">
            <w:pPr>
              <w:spacing w:before="40" w:after="4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0.0</w:t>
            </w:r>
          </w:p>
        </w:tc>
        <w:tc>
          <w:tcPr>
            <w:tcW w:w="815" w:type="dxa"/>
            <w:noWrap/>
            <w:hideMark/>
          </w:tcPr>
          <w:p w14:paraId="5CD94CD9" w14:textId="77777777" w:rsidR="009876CC" w:rsidRPr="000973F2" w:rsidRDefault="009876CC" w:rsidP="007D5F58">
            <w:pPr>
              <w:spacing w:before="40" w:after="4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1.0</w:t>
            </w:r>
          </w:p>
        </w:tc>
        <w:tc>
          <w:tcPr>
            <w:tcW w:w="816" w:type="dxa"/>
            <w:noWrap/>
            <w:hideMark/>
          </w:tcPr>
          <w:p w14:paraId="17660C82" w14:textId="77777777" w:rsidR="009876CC" w:rsidRPr="000973F2" w:rsidRDefault="009876CC" w:rsidP="007D5F58">
            <w:pPr>
              <w:spacing w:before="40" w:after="4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1.0</w:t>
            </w:r>
          </w:p>
        </w:tc>
        <w:tc>
          <w:tcPr>
            <w:tcW w:w="815" w:type="dxa"/>
            <w:noWrap/>
            <w:hideMark/>
          </w:tcPr>
          <w:p w14:paraId="40FA8B60" w14:textId="77777777" w:rsidR="009876CC" w:rsidRPr="000973F2" w:rsidRDefault="009876CC" w:rsidP="007D5F58">
            <w:pPr>
              <w:tabs>
                <w:tab w:val="decimal" w:pos="329"/>
              </w:tabs>
              <w:spacing w:before="40" w:after="4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10.0</w:t>
            </w:r>
          </w:p>
        </w:tc>
        <w:tc>
          <w:tcPr>
            <w:tcW w:w="815" w:type="dxa"/>
            <w:noWrap/>
            <w:hideMark/>
          </w:tcPr>
          <w:p w14:paraId="66C1CBE6" w14:textId="77777777" w:rsidR="009876CC" w:rsidRPr="000973F2" w:rsidRDefault="009876CC" w:rsidP="007D5F58">
            <w:pPr>
              <w:tabs>
                <w:tab w:val="decimal" w:pos="329"/>
              </w:tabs>
              <w:spacing w:before="40" w:after="4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10.0</w:t>
            </w:r>
          </w:p>
        </w:tc>
        <w:tc>
          <w:tcPr>
            <w:tcW w:w="815" w:type="dxa"/>
            <w:noWrap/>
            <w:hideMark/>
          </w:tcPr>
          <w:p w14:paraId="33B81138" w14:textId="77777777" w:rsidR="009876CC" w:rsidRPr="000973F2" w:rsidRDefault="009876CC" w:rsidP="007D5F58">
            <w:pPr>
              <w:spacing w:before="40" w:after="4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1.0</w:t>
            </w:r>
          </w:p>
        </w:tc>
        <w:tc>
          <w:tcPr>
            <w:tcW w:w="816" w:type="dxa"/>
            <w:noWrap/>
            <w:hideMark/>
          </w:tcPr>
          <w:p w14:paraId="377962F1" w14:textId="77777777" w:rsidR="009876CC" w:rsidRPr="000973F2" w:rsidRDefault="009876CC" w:rsidP="007D5F58">
            <w:pPr>
              <w:spacing w:before="40" w:after="4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1.0</w:t>
            </w:r>
          </w:p>
        </w:tc>
        <w:tc>
          <w:tcPr>
            <w:tcW w:w="756" w:type="dxa"/>
            <w:noWrap/>
            <w:hideMark/>
          </w:tcPr>
          <w:p w14:paraId="46D589F9" w14:textId="32BC69AC" w:rsidR="009876CC" w:rsidRPr="000973F2" w:rsidRDefault="009876CC" w:rsidP="007D5F58">
            <w:pPr>
              <w:tabs>
                <w:tab w:val="decimal" w:pos="513"/>
              </w:tabs>
              <w:spacing w:before="40" w:after="4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$838</w:t>
            </w:r>
          </w:p>
        </w:tc>
        <w:tc>
          <w:tcPr>
            <w:tcW w:w="756" w:type="dxa"/>
            <w:noWrap/>
            <w:hideMark/>
          </w:tcPr>
          <w:p w14:paraId="091AE7CF" w14:textId="012EB478" w:rsidR="009876CC" w:rsidRPr="000973F2" w:rsidRDefault="009876CC" w:rsidP="007D5F58">
            <w:pPr>
              <w:tabs>
                <w:tab w:val="decimal" w:pos="513"/>
              </w:tabs>
              <w:spacing w:before="40" w:after="4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$838</w:t>
            </w:r>
          </w:p>
        </w:tc>
      </w:tr>
      <w:tr w:rsidR="007D5F58" w:rsidRPr="000973F2" w14:paraId="6C1883C3" w14:textId="77777777" w:rsidTr="007D5F58">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1296" w:type="dxa"/>
            <w:noWrap/>
            <w:tcMar>
              <w:right w:w="14" w:type="dxa"/>
            </w:tcMar>
            <w:hideMark/>
          </w:tcPr>
          <w:p w14:paraId="50D82E7B" w14:textId="77777777" w:rsidR="009876CC" w:rsidRPr="000973F2" w:rsidRDefault="009876CC" w:rsidP="007D5F58">
            <w:pPr>
              <w:spacing w:before="40" w:after="40"/>
              <w:rPr>
                <w:rFonts w:ascii="Times New Roman" w:eastAsia="Times New Roman" w:hAnsi="Times New Roman" w:cs="Times New Roman"/>
                <w:b/>
                <w:bCs w:val="0"/>
                <w:sz w:val="18"/>
                <w:szCs w:val="18"/>
              </w:rPr>
            </w:pPr>
            <w:r w:rsidRPr="000973F2">
              <w:rPr>
                <w:rFonts w:ascii="Times New Roman" w:eastAsia="Times New Roman" w:hAnsi="Times New Roman" w:cs="Times New Roman"/>
                <w:b/>
                <w:sz w:val="18"/>
                <w:szCs w:val="18"/>
              </w:rPr>
              <w:t>Total</w:t>
            </w:r>
          </w:p>
        </w:tc>
        <w:tc>
          <w:tcPr>
            <w:tcW w:w="815" w:type="dxa"/>
            <w:noWrap/>
            <w:hideMark/>
          </w:tcPr>
          <w:p w14:paraId="107BF3D0" w14:textId="77777777" w:rsidR="009876CC" w:rsidRPr="000973F2" w:rsidRDefault="009876CC" w:rsidP="007D5F58">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18"/>
                <w:szCs w:val="18"/>
              </w:rPr>
            </w:pPr>
            <w:r w:rsidRPr="000973F2">
              <w:rPr>
                <w:rFonts w:ascii="Times New Roman" w:eastAsia="Times New Roman" w:hAnsi="Times New Roman" w:cs="Times New Roman"/>
                <w:b/>
                <w:bCs/>
                <w:sz w:val="18"/>
                <w:szCs w:val="18"/>
              </w:rPr>
              <w:t>1.0</w:t>
            </w:r>
          </w:p>
        </w:tc>
        <w:tc>
          <w:tcPr>
            <w:tcW w:w="815" w:type="dxa"/>
            <w:noWrap/>
            <w:hideMark/>
          </w:tcPr>
          <w:p w14:paraId="7E451ED7" w14:textId="77777777" w:rsidR="009876CC" w:rsidRPr="000973F2" w:rsidRDefault="009876CC" w:rsidP="007D5F58">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18"/>
                <w:szCs w:val="18"/>
              </w:rPr>
            </w:pPr>
            <w:r w:rsidRPr="000973F2">
              <w:rPr>
                <w:rFonts w:ascii="Times New Roman" w:eastAsia="Times New Roman" w:hAnsi="Times New Roman" w:cs="Times New Roman"/>
                <w:b/>
                <w:bCs/>
                <w:sz w:val="18"/>
                <w:szCs w:val="18"/>
              </w:rPr>
              <w:t>1.0</w:t>
            </w:r>
          </w:p>
        </w:tc>
        <w:tc>
          <w:tcPr>
            <w:tcW w:w="815" w:type="dxa"/>
            <w:noWrap/>
            <w:hideMark/>
          </w:tcPr>
          <w:p w14:paraId="3CBD2BB8" w14:textId="77777777" w:rsidR="009876CC" w:rsidRPr="000973F2" w:rsidRDefault="009876CC" w:rsidP="007D5F58">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18"/>
                <w:szCs w:val="18"/>
              </w:rPr>
            </w:pPr>
            <w:r w:rsidRPr="000973F2">
              <w:rPr>
                <w:rFonts w:ascii="Times New Roman" w:eastAsia="Times New Roman" w:hAnsi="Times New Roman" w:cs="Times New Roman"/>
                <w:b/>
                <w:bCs/>
                <w:sz w:val="18"/>
                <w:szCs w:val="18"/>
              </w:rPr>
              <w:t>3.2</w:t>
            </w:r>
          </w:p>
        </w:tc>
        <w:tc>
          <w:tcPr>
            <w:tcW w:w="816" w:type="dxa"/>
            <w:noWrap/>
            <w:hideMark/>
          </w:tcPr>
          <w:p w14:paraId="4043175F" w14:textId="77777777" w:rsidR="009876CC" w:rsidRPr="000973F2" w:rsidRDefault="009876CC" w:rsidP="007D5F58">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18"/>
                <w:szCs w:val="18"/>
              </w:rPr>
            </w:pPr>
            <w:r w:rsidRPr="000973F2">
              <w:rPr>
                <w:rFonts w:ascii="Times New Roman" w:eastAsia="Times New Roman" w:hAnsi="Times New Roman" w:cs="Times New Roman"/>
                <w:b/>
                <w:bCs/>
                <w:sz w:val="18"/>
                <w:szCs w:val="18"/>
              </w:rPr>
              <w:t>2.9</w:t>
            </w:r>
          </w:p>
        </w:tc>
        <w:tc>
          <w:tcPr>
            <w:tcW w:w="815" w:type="dxa"/>
            <w:noWrap/>
            <w:hideMark/>
          </w:tcPr>
          <w:p w14:paraId="68E47612" w14:textId="77777777" w:rsidR="009876CC" w:rsidRPr="000973F2" w:rsidRDefault="009876CC" w:rsidP="007D5F58">
            <w:pPr>
              <w:tabs>
                <w:tab w:val="decimal" w:pos="329"/>
              </w:tabs>
              <w:spacing w:before="40" w:after="4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18"/>
                <w:szCs w:val="18"/>
              </w:rPr>
            </w:pPr>
            <w:r w:rsidRPr="000973F2">
              <w:rPr>
                <w:rFonts w:ascii="Times New Roman" w:eastAsia="Times New Roman" w:hAnsi="Times New Roman" w:cs="Times New Roman"/>
                <w:b/>
                <w:bCs/>
                <w:sz w:val="18"/>
                <w:szCs w:val="18"/>
              </w:rPr>
              <w:t>31.9</w:t>
            </w:r>
          </w:p>
        </w:tc>
        <w:tc>
          <w:tcPr>
            <w:tcW w:w="815" w:type="dxa"/>
            <w:noWrap/>
            <w:hideMark/>
          </w:tcPr>
          <w:p w14:paraId="1F927339" w14:textId="77777777" w:rsidR="009876CC" w:rsidRPr="000973F2" w:rsidRDefault="009876CC" w:rsidP="007D5F58">
            <w:pPr>
              <w:tabs>
                <w:tab w:val="decimal" w:pos="329"/>
              </w:tabs>
              <w:spacing w:before="40" w:after="4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18"/>
                <w:szCs w:val="18"/>
              </w:rPr>
            </w:pPr>
            <w:r w:rsidRPr="000973F2">
              <w:rPr>
                <w:rFonts w:ascii="Times New Roman" w:eastAsia="Times New Roman" w:hAnsi="Times New Roman" w:cs="Times New Roman"/>
                <w:b/>
                <w:bCs/>
                <w:sz w:val="18"/>
                <w:szCs w:val="18"/>
              </w:rPr>
              <w:t>29.2</w:t>
            </w:r>
          </w:p>
        </w:tc>
        <w:tc>
          <w:tcPr>
            <w:tcW w:w="815" w:type="dxa"/>
            <w:noWrap/>
            <w:hideMark/>
          </w:tcPr>
          <w:p w14:paraId="505B0DA6" w14:textId="77777777" w:rsidR="009876CC" w:rsidRPr="000973F2" w:rsidRDefault="009876CC" w:rsidP="007D5F58">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18"/>
                <w:szCs w:val="18"/>
              </w:rPr>
            </w:pPr>
            <w:r w:rsidRPr="000973F2">
              <w:rPr>
                <w:rFonts w:ascii="Times New Roman" w:eastAsia="Times New Roman" w:hAnsi="Times New Roman" w:cs="Times New Roman"/>
                <w:b/>
                <w:bCs/>
                <w:sz w:val="18"/>
                <w:szCs w:val="18"/>
              </w:rPr>
              <w:t>2.3</w:t>
            </w:r>
          </w:p>
        </w:tc>
        <w:tc>
          <w:tcPr>
            <w:tcW w:w="816" w:type="dxa"/>
            <w:noWrap/>
            <w:hideMark/>
          </w:tcPr>
          <w:p w14:paraId="50277F22" w14:textId="77777777" w:rsidR="009876CC" w:rsidRPr="000973F2" w:rsidRDefault="009876CC" w:rsidP="007D5F58">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18"/>
                <w:szCs w:val="18"/>
              </w:rPr>
            </w:pPr>
            <w:r w:rsidRPr="000973F2">
              <w:rPr>
                <w:rFonts w:ascii="Times New Roman" w:eastAsia="Times New Roman" w:hAnsi="Times New Roman" w:cs="Times New Roman"/>
                <w:b/>
                <w:bCs/>
                <w:sz w:val="18"/>
                <w:szCs w:val="18"/>
              </w:rPr>
              <w:t>2.2</w:t>
            </w:r>
          </w:p>
        </w:tc>
        <w:tc>
          <w:tcPr>
            <w:tcW w:w="756" w:type="dxa"/>
            <w:noWrap/>
            <w:hideMark/>
          </w:tcPr>
          <w:p w14:paraId="16450F6D" w14:textId="77CE0FEB" w:rsidR="009876CC" w:rsidRPr="000973F2" w:rsidRDefault="009876CC" w:rsidP="007D5F58">
            <w:pPr>
              <w:tabs>
                <w:tab w:val="decimal" w:pos="513"/>
              </w:tabs>
              <w:spacing w:before="40" w:after="4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18"/>
                <w:szCs w:val="18"/>
              </w:rPr>
            </w:pPr>
            <w:r w:rsidRPr="000973F2">
              <w:rPr>
                <w:rFonts w:ascii="Times New Roman" w:eastAsia="Times New Roman" w:hAnsi="Times New Roman" w:cs="Times New Roman"/>
                <w:b/>
                <w:bCs/>
                <w:sz w:val="18"/>
                <w:szCs w:val="18"/>
              </w:rPr>
              <w:t>$2,752</w:t>
            </w:r>
          </w:p>
        </w:tc>
        <w:tc>
          <w:tcPr>
            <w:tcW w:w="756" w:type="dxa"/>
            <w:noWrap/>
            <w:hideMark/>
          </w:tcPr>
          <w:p w14:paraId="726D746E" w14:textId="3745B0A5" w:rsidR="009876CC" w:rsidRPr="000973F2" w:rsidRDefault="009876CC" w:rsidP="007D5F58">
            <w:pPr>
              <w:tabs>
                <w:tab w:val="decimal" w:pos="513"/>
              </w:tabs>
              <w:spacing w:before="40" w:after="4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18"/>
                <w:szCs w:val="18"/>
              </w:rPr>
            </w:pPr>
            <w:r w:rsidRPr="000973F2">
              <w:rPr>
                <w:rFonts w:ascii="Times New Roman" w:eastAsia="Times New Roman" w:hAnsi="Times New Roman" w:cs="Times New Roman"/>
                <w:b/>
                <w:bCs/>
                <w:sz w:val="18"/>
                <w:szCs w:val="18"/>
              </w:rPr>
              <w:t>$2,535</w:t>
            </w:r>
          </w:p>
        </w:tc>
      </w:tr>
    </w:tbl>
    <w:p w14:paraId="69278BCE" w14:textId="77777777" w:rsidR="00097D64" w:rsidRPr="000973F2" w:rsidRDefault="00097D64" w:rsidP="00C00E4F">
      <w:pPr>
        <w:spacing w:line="240" w:lineRule="auto"/>
        <w:rPr>
          <w:rFonts w:ascii="Times New Roman" w:hAnsi="Times New Roman" w:cs="Times New Roman"/>
          <w:b/>
          <w:i/>
        </w:rPr>
      </w:pPr>
      <w:r w:rsidRPr="000973F2">
        <w:rPr>
          <w:rFonts w:ascii="Times New Roman" w:hAnsi="Times New Roman" w:cs="Times New Roman"/>
          <w:b/>
          <w:i/>
        </w:rPr>
        <w:br w:type="page"/>
      </w:r>
    </w:p>
    <w:p w14:paraId="72808B5C" w14:textId="18755AC2" w:rsidR="009876CC" w:rsidRPr="000973F2" w:rsidRDefault="009876CC" w:rsidP="009C4191">
      <w:pPr>
        <w:pStyle w:val="Heading2"/>
      </w:pPr>
      <w:r w:rsidRPr="000973F2">
        <w:t xml:space="preserve">Capital and O&amp;M Costs for Subpart G – Using Supplier Data to Determine Carbon Content </w:t>
      </w:r>
    </w:p>
    <w:p w14:paraId="486F4F71" w14:textId="098BDB95" w:rsidR="009876CC" w:rsidRPr="000973F2" w:rsidRDefault="009876CC" w:rsidP="006B6D25">
      <w:pPr>
        <w:pStyle w:val="BodyText"/>
      </w:pPr>
      <w:r w:rsidRPr="000973F2">
        <w:t xml:space="preserve">Table </w:t>
      </w:r>
      <w:r w:rsidR="006B6D25" w:rsidRPr="000973F2">
        <w:t>G-</w:t>
      </w:r>
      <w:r w:rsidRPr="000973F2">
        <w:t>2a below includes the capital and O&amp;M costs for each of the 18 existing facilities (in RY2019) and any new facilities (shown as initial year costs) reporting to Subpart G. Typical costs related to recordkeeping are discussed in the Cost Appendix Introduction.</w:t>
      </w:r>
    </w:p>
    <w:p w14:paraId="7147882D" w14:textId="0F60C3F8" w:rsidR="009876CC" w:rsidRPr="000973F2" w:rsidRDefault="009876CC" w:rsidP="006B6D25">
      <w:pPr>
        <w:pStyle w:val="BodyText"/>
        <w:rPr>
          <w:b/>
        </w:rPr>
      </w:pPr>
      <w:bookmarkStart w:id="17" w:name="_Hlk521407900"/>
      <w:r w:rsidRPr="000973F2">
        <w:t xml:space="preserve">For quality assurance and quality control of the supplier data, </w:t>
      </w:r>
      <w:r w:rsidR="0012538C" w:rsidRPr="000973F2">
        <w:t>§</w:t>
      </w:r>
      <w:r w:rsidRPr="000973F2">
        <w:t xml:space="preserve">98.74(c) requires facilities to sample and determine the carbon contents of all feedstocks consumed on a yearly basis. </w:t>
      </w:r>
      <w:r w:rsidR="009A4E0C" w:rsidRPr="000973F2">
        <w:t>A</w:t>
      </w:r>
      <w:r w:rsidRPr="000973F2">
        <w:t xml:space="preserve">n internet search of costs for </w:t>
      </w:r>
      <w:r w:rsidR="009A4E0C" w:rsidRPr="000973F2">
        <w:t xml:space="preserve">performing </w:t>
      </w:r>
      <w:r w:rsidRPr="000973F2">
        <w:t>ASTM D1945-03 (testing carbon content of natural gas by gas chromatography) or ASTM 5373-08 (testing carbon content of solid feedstock) yielded no results. To be conservative, a cost of $1,000 per sample was used. Each ammonia manufacturing facility uses one feedstock per year, either natural gas or solid feedstock, so the costs are based on a sample of one feedstock per facility.</w:t>
      </w:r>
      <w:bookmarkEnd w:id="17"/>
    </w:p>
    <w:p w14:paraId="15A3FD1C" w14:textId="2B7BA37E" w:rsidR="009876CC" w:rsidRPr="000973F2" w:rsidRDefault="00836FDB" w:rsidP="006B6D25">
      <w:pPr>
        <w:pStyle w:val="Tabletitle"/>
      </w:pPr>
      <w:r w:rsidRPr="000973F2">
        <w:t xml:space="preserve">Table </w:t>
      </w:r>
      <w:r w:rsidR="006B6D25" w:rsidRPr="000973F2">
        <w:t>G-</w:t>
      </w:r>
      <w:r w:rsidRPr="000973F2">
        <w:t xml:space="preserve">2a. Capital and O&amp;M Costs </w:t>
      </w:r>
      <w:r w:rsidR="006B6D25" w:rsidRPr="000973F2">
        <w:t>–</w:t>
      </w:r>
      <w:r w:rsidRPr="000973F2">
        <w:t xml:space="preserve"> </w:t>
      </w:r>
      <w:r w:rsidR="009876CC" w:rsidRPr="000973F2">
        <w:t>Subpart G – Using Supplier Data to Determine Carbon Content</w:t>
      </w:r>
    </w:p>
    <w:tbl>
      <w:tblPr>
        <w:tblStyle w:val="PlainTable1"/>
        <w:tblW w:w="5000" w:type="pct"/>
        <w:jc w:val="left"/>
        <w:tblLayout w:type="fixed"/>
        <w:tblCellMar>
          <w:left w:w="115" w:type="dxa"/>
          <w:right w:w="115" w:type="dxa"/>
        </w:tblCellMar>
        <w:tblLook w:val="04A0" w:firstRow="1" w:lastRow="0" w:firstColumn="1" w:lastColumn="0" w:noHBand="0" w:noVBand="1"/>
      </w:tblPr>
      <w:tblGrid>
        <w:gridCol w:w="3223"/>
        <w:gridCol w:w="1112"/>
        <w:gridCol w:w="1113"/>
        <w:gridCol w:w="1113"/>
        <w:gridCol w:w="1113"/>
        <w:gridCol w:w="958"/>
        <w:gridCol w:w="958"/>
      </w:tblGrid>
      <w:tr w:rsidR="00FF36E8" w:rsidRPr="000973F2" w14:paraId="50E0004F" w14:textId="77777777" w:rsidTr="006B6D25">
        <w:trPr>
          <w:cnfStyle w:val="100000000000" w:firstRow="1" w:lastRow="0" w:firstColumn="0" w:lastColumn="0" w:oddVBand="0" w:evenVBand="0" w:oddHBand="0" w:evenHBand="0" w:firstRowFirstColumn="0" w:firstRowLastColumn="0" w:lastRowFirstColumn="0" w:lastRowLastColumn="0"/>
          <w:cantSplit/>
          <w:jc w:val="left"/>
        </w:trPr>
        <w:tc>
          <w:tcPr>
            <w:cnfStyle w:val="001000000000" w:firstRow="0" w:lastRow="0" w:firstColumn="1" w:lastColumn="0" w:oddVBand="0" w:evenVBand="0" w:oddHBand="0" w:evenHBand="0" w:firstRowFirstColumn="0" w:firstRowLastColumn="0" w:lastRowFirstColumn="0" w:lastRowLastColumn="0"/>
            <w:tcW w:w="3135" w:type="dxa"/>
            <w:vMerge w:val="restart"/>
            <w:noWrap/>
            <w:vAlign w:val="top"/>
            <w:hideMark/>
          </w:tcPr>
          <w:p w14:paraId="4F31E80C" w14:textId="160EB175" w:rsidR="00FF36E8" w:rsidRPr="000973F2" w:rsidRDefault="00FF36E8" w:rsidP="006B6D25">
            <w:pPr>
              <w:spacing w:before="40" w:after="40"/>
              <w:rPr>
                <w:rFonts w:ascii="Times New Roman" w:eastAsia="Times New Roman" w:hAnsi="Times New Roman" w:cs="Times New Roman"/>
                <w:b w:val="0"/>
                <w:bCs w:val="0"/>
                <w:sz w:val="16"/>
                <w:szCs w:val="18"/>
              </w:rPr>
            </w:pPr>
            <w:r w:rsidRPr="000973F2">
              <w:rPr>
                <w:rFonts w:ascii="Times New Roman" w:eastAsia="Times New Roman" w:hAnsi="Times New Roman" w:cs="Times New Roman"/>
                <w:sz w:val="16"/>
                <w:szCs w:val="18"/>
              </w:rPr>
              <w:t>Activity</w:t>
            </w:r>
          </w:p>
        </w:tc>
        <w:tc>
          <w:tcPr>
            <w:tcW w:w="4331" w:type="dxa"/>
            <w:gridSpan w:val="4"/>
            <w:noWrap/>
            <w:vAlign w:val="top"/>
            <w:hideMark/>
          </w:tcPr>
          <w:p w14:paraId="489FFC23" w14:textId="77777777" w:rsidR="00FF36E8" w:rsidRPr="000973F2" w:rsidRDefault="00FF36E8" w:rsidP="006B6D25">
            <w:pPr>
              <w:spacing w:before="40" w:after="40"/>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bCs w:val="0"/>
                <w:sz w:val="16"/>
                <w:szCs w:val="18"/>
              </w:rPr>
            </w:pPr>
            <w:r w:rsidRPr="000973F2">
              <w:rPr>
                <w:rFonts w:ascii="Times New Roman" w:eastAsia="Times New Roman" w:hAnsi="Times New Roman" w:cs="Times New Roman"/>
                <w:sz w:val="16"/>
                <w:szCs w:val="18"/>
              </w:rPr>
              <w:t>Cost Categories</w:t>
            </w:r>
          </w:p>
        </w:tc>
        <w:tc>
          <w:tcPr>
            <w:tcW w:w="1864" w:type="dxa"/>
            <w:gridSpan w:val="2"/>
            <w:vAlign w:val="top"/>
            <w:hideMark/>
          </w:tcPr>
          <w:p w14:paraId="44782995" w14:textId="413BD9F6" w:rsidR="00FF36E8" w:rsidRPr="000973F2" w:rsidRDefault="00FF36E8" w:rsidP="006B6D25">
            <w:pPr>
              <w:spacing w:before="40" w:after="40"/>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bCs w:val="0"/>
                <w:sz w:val="16"/>
                <w:szCs w:val="18"/>
              </w:rPr>
            </w:pPr>
            <w:r w:rsidRPr="000973F2">
              <w:rPr>
                <w:rFonts w:ascii="Times New Roman" w:eastAsia="Times New Roman" w:hAnsi="Times New Roman" w:cs="Times New Roman"/>
                <w:sz w:val="16"/>
                <w:szCs w:val="18"/>
              </w:rPr>
              <w:t>Total Capital and O&amp;M Cost per Year per Facility (2017$)</w:t>
            </w:r>
          </w:p>
        </w:tc>
      </w:tr>
      <w:tr w:rsidR="00FF36E8" w:rsidRPr="000973F2" w14:paraId="39B114F4" w14:textId="77777777" w:rsidTr="006B6D25">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3135" w:type="dxa"/>
            <w:vMerge/>
            <w:noWrap/>
            <w:hideMark/>
          </w:tcPr>
          <w:p w14:paraId="3C78C5F8" w14:textId="68C2FFDD" w:rsidR="00FF36E8" w:rsidRPr="000973F2" w:rsidRDefault="00FF36E8" w:rsidP="006B6D25">
            <w:pPr>
              <w:spacing w:before="40" w:after="40"/>
              <w:jc w:val="center"/>
              <w:rPr>
                <w:rFonts w:ascii="Times New Roman" w:eastAsia="Times New Roman" w:hAnsi="Times New Roman" w:cs="Times New Roman"/>
                <w:b/>
                <w:bCs w:val="0"/>
                <w:sz w:val="16"/>
                <w:szCs w:val="18"/>
              </w:rPr>
            </w:pPr>
          </w:p>
        </w:tc>
        <w:tc>
          <w:tcPr>
            <w:tcW w:w="1082" w:type="dxa"/>
            <w:hideMark/>
          </w:tcPr>
          <w:p w14:paraId="004F8AD2" w14:textId="77777777" w:rsidR="00FF36E8" w:rsidRPr="000973F2" w:rsidRDefault="00FF36E8" w:rsidP="006B6D25">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16"/>
                <w:szCs w:val="18"/>
              </w:rPr>
            </w:pPr>
            <w:r w:rsidRPr="000973F2">
              <w:rPr>
                <w:rFonts w:ascii="Times New Roman" w:eastAsia="Times New Roman" w:hAnsi="Times New Roman" w:cs="Times New Roman"/>
                <w:b/>
                <w:bCs/>
                <w:sz w:val="16"/>
                <w:szCs w:val="18"/>
              </w:rPr>
              <w:t>Capital Cost (2017$)</w:t>
            </w:r>
          </w:p>
        </w:tc>
        <w:tc>
          <w:tcPr>
            <w:tcW w:w="1083" w:type="dxa"/>
            <w:hideMark/>
          </w:tcPr>
          <w:p w14:paraId="068D57F5" w14:textId="77777777" w:rsidR="00FF36E8" w:rsidRPr="000973F2" w:rsidRDefault="00FF36E8" w:rsidP="006B6D25">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16"/>
                <w:szCs w:val="18"/>
              </w:rPr>
            </w:pPr>
            <w:r w:rsidRPr="000973F2">
              <w:rPr>
                <w:rFonts w:ascii="Times New Roman" w:eastAsia="Times New Roman" w:hAnsi="Times New Roman" w:cs="Times New Roman"/>
                <w:b/>
                <w:bCs/>
                <w:sz w:val="16"/>
                <w:szCs w:val="18"/>
              </w:rPr>
              <w:t>Equipment Lifetime</w:t>
            </w:r>
          </w:p>
        </w:tc>
        <w:tc>
          <w:tcPr>
            <w:tcW w:w="1083" w:type="dxa"/>
            <w:hideMark/>
          </w:tcPr>
          <w:p w14:paraId="77741849" w14:textId="0D262F4E" w:rsidR="00FF36E8" w:rsidRPr="000973F2" w:rsidRDefault="00FF36E8" w:rsidP="006B6D25">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16"/>
                <w:szCs w:val="18"/>
              </w:rPr>
            </w:pPr>
            <w:r w:rsidRPr="000973F2">
              <w:rPr>
                <w:rFonts w:ascii="Times New Roman" w:eastAsia="Times New Roman" w:hAnsi="Times New Roman" w:cs="Times New Roman"/>
                <w:b/>
                <w:bCs/>
                <w:sz w:val="16"/>
                <w:szCs w:val="18"/>
              </w:rPr>
              <w:t>Annualized Capital Cost (2017$/</w:t>
            </w:r>
            <w:r w:rsidR="006B6D25" w:rsidRPr="000973F2">
              <w:rPr>
                <w:rFonts w:ascii="Times New Roman" w:eastAsia="Times New Roman" w:hAnsi="Times New Roman" w:cs="Times New Roman"/>
                <w:b/>
                <w:bCs/>
                <w:sz w:val="16"/>
                <w:szCs w:val="18"/>
              </w:rPr>
              <w:t xml:space="preserve"> </w:t>
            </w:r>
            <w:r w:rsidRPr="000973F2">
              <w:rPr>
                <w:rFonts w:ascii="Times New Roman" w:eastAsia="Times New Roman" w:hAnsi="Times New Roman" w:cs="Times New Roman"/>
                <w:b/>
                <w:bCs/>
                <w:sz w:val="16"/>
                <w:szCs w:val="18"/>
              </w:rPr>
              <w:t>year)</w:t>
            </w:r>
          </w:p>
        </w:tc>
        <w:tc>
          <w:tcPr>
            <w:tcW w:w="1083" w:type="dxa"/>
            <w:hideMark/>
          </w:tcPr>
          <w:p w14:paraId="3BD49F44" w14:textId="0CF16CC7" w:rsidR="00FF36E8" w:rsidRPr="000973F2" w:rsidRDefault="00FF36E8" w:rsidP="006B6D25">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16"/>
                <w:szCs w:val="18"/>
              </w:rPr>
            </w:pPr>
            <w:r w:rsidRPr="000973F2">
              <w:rPr>
                <w:rFonts w:ascii="Times New Roman" w:eastAsia="Times New Roman" w:hAnsi="Times New Roman" w:cs="Times New Roman"/>
                <w:b/>
                <w:bCs/>
                <w:sz w:val="16"/>
                <w:szCs w:val="18"/>
              </w:rPr>
              <w:t>O&amp;M Costs (2017$/</w:t>
            </w:r>
            <w:r w:rsidR="006B6D25" w:rsidRPr="000973F2">
              <w:rPr>
                <w:rFonts w:ascii="Times New Roman" w:eastAsia="Times New Roman" w:hAnsi="Times New Roman" w:cs="Times New Roman"/>
                <w:b/>
                <w:bCs/>
                <w:sz w:val="16"/>
                <w:szCs w:val="18"/>
              </w:rPr>
              <w:t xml:space="preserve"> </w:t>
            </w:r>
            <w:r w:rsidRPr="000973F2">
              <w:rPr>
                <w:rFonts w:ascii="Times New Roman" w:eastAsia="Times New Roman" w:hAnsi="Times New Roman" w:cs="Times New Roman"/>
                <w:b/>
                <w:bCs/>
                <w:sz w:val="16"/>
                <w:szCs w:val="18"/>
              </w:rPr>
              <w:t>year)</w:t>
            </w:r>
          </w:p>
        </w:tc>
        <w:tc>
          <w:tcPr>
            <w:tcW w:w="932" w:type="dxa"/>
            <w:hideMark/>
          </w:tcPr>
          <w:p w14:paraId="66EED93B" w14:textId="77777777" w:rsidR="00FF36E8" w:rsidRPr="000973F2" w:rsidRDefault="00FF36E8" w:rsidP="006B6D25">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16"/>
                <w:szCs w:val="18"/>
              </w:rPr>
            </w:pPr>
            <w:r w:rsidRPr="000973F2">
              <w:rPr>
                <w:rFonts w:ascii="Times New Roman" w:eastAsia="Times New Roman" w:hAnsi="Times New Roman" w:cs="Times New Roman"/>
                <w:b/>
                <w:bCs/>
                <w:sz w:val="16"/>
                <w:szCs w:val="18"/>
              </w:rPr>
              <w:t>Initial Year</w:t>
            </w:r>
          </w:p>
        </w:tc>
        <w:tc>
          <w:tcPr>
            <w:tcW w:w="932" w:type="dxa"/>
            <w:hideMark/>
          </w:tcPr>
          <w:p w14:paraId="74108AFE" w14:textId="77777777" w:rsidR="00FF36E8" w:rsidRPr="000973F2" w:rsidRDefault="00FF36E8" w:rsidP="006B6D25">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16"/>
                <w:szCs w:val="18"/>
              </w:rPr>
            </w:pPr>
            <w:r w:rsidRPr="000973F2">
              <w:rPr>
                <w:rFonts w:ascii="Times New Roman" w:eastAsia="Times New Roman" w:hAnsi="Times New Roman" w:cs="Times New Roman"/>
                <w:b/>
                <w:bCs/>
                <w:sz w:val="16"/>
                <w:szCs w:val="18"/>
              </w:rPr>
              <w:t>Subseq. Years</w:t>
            </w:r>
          </w:p>
        </w:tc>
      </w:tr>
      <w:tr w:rsidR="00034890" w:rsidRPr="000973F2" w14:paraId="579273BA" w14:textId="77777777" w:rsidTr="006B6D25">
        <w:trPr>
          <w:cantSplit/>
        </w:trPr>
        <w:tc>
          <w:tcPr>
            <w:cnfStyle w:val="001000000000" w:firstRow="0" w:lastRow="0" w:firstColumn="1" w:lastColumn="0" w:oddVBand="0" w:evenVBand="0" w:oddHBand="0" w:evenHBand="0" w:firstRowFirstColumn="0" w:firstRowLastColumn="0" w:lastRowFirstColumn="0" w:lastRowLastColumn="0"/>
            <w:tcW w:w="3135" w:type="dxa"/>
            <w:hideMark/>
          </w:tcPr>
          <w:p w14:paraId="597DB705" w14:textId="77777777" w:rsidR="00034890" w:rsidRPr="000973F2" w:rsidRDefault="00034890" w:rsidP="00034890">
            <w:pPr>
              <w:spacing w:before="40" w:after="40"/>
              <w:rPr>
                <w:rFonts w:ascii="Times New Roman" w:eastAsia="Times New Roman" w:hAnsi="Times New Roman" w:cs="Times New Roman"/>
                <w:sz w:val="16"/>
                <w:szCs w:val="18"/>
              </w:rPr>
            </w:pPr>
            <w:r w:rsidRPr="000973F2">
              <w:rPr>
                <w:rFonts w:ascii="Times New Roman" w:eastAsia="Times New Roman" w:hAnsi="Times New Roman" w:cs="Times New Roman"/>
                <w:sz w:val="16"/>
                <w:szCs w:val="18"/>
              </w:rPr>
              <w:t>Equipment (selection, purchase, installation)</w:t>
            </w:r>
          </w:p>
        </w:tc>
        <w:tc>
          <w:tcPr>
            <w:tcW w:w="1082" w:type="dxa"/>
            <w:noWrap/>
            <w:hideMark/>
          </w:tcPr>
          <w:p w14:paraId="46E3279D" w14:textId="1B5E9548" w:rsidR="00034890" w:rsidRPr="000973F2" w:rsidRDefault="00034890" w:rsidP="00034890">
            <w:pPr>
              <w:spacing w:before="40" w:after="4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6"/>
                <w:szCs w:val="18"/>
              </w:rPr>
            </w:pPr>
            <w:r w:rsidRPr="000973F2">
              <w:rPr>
                <w:rFonts w:ascii="Times New Roman" w:eastAsia="Times New Roman" w:hAnsi="Times New Roman" w:cs="Times New Roman"/>
                <w:sz w:val="18"/>
                <w:szCs w:val="18"/>
              </w:rPr>
              <w:t>–</w:t>
            </w:r>
          </w:p>
        </w:tc>
        <w:tc>
          <w:tcPr>
            <w:tcW w:w="1083" w:type="dxa"/>
            <w:noWrap/>
          </w:tcPr>
          <w:p w14:paraId="137381FD" w14:textId="67F89718" w:rsidR="00034890" w:rsidRPr="000973F2" w:rsidRDefault="00034890" w:rsidP="00034890">
            <w:pPr>
              <w:spacing w:before="40" w:after="4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6"/>
                <w:szCs w:val="18"/>
              </w:rPr>
            </w:pPr>
          </w:p>
        </w:tc>
        <w:tc>
          <w:tcPr>
            <w:tcW w:w="1083" w:type="dxa"/>
            <w:noWrap/>
            <w:hideMark/>
          </w:tcPr>
          <w:p w14:paraId="514E731E" w14:textId="7C0BFD81" w:rsidR="00034890" w:rsidRPr="000973F2" w:rsidRDefault="00034890" w:rsidP="00034890">
            <w:pPr>
              <w:spacing w:before="40" w:after="4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6"/>
                <w:szCs w:val="18"/>
              </w:rPr>
            </w:pPr>
            <w:r w:rsidRPr="000973F2">
              <w:rPr>
                <w:rFonts w:ascii="Times New Roman" w:eastAsia="Times New Roman" w:hAnsi="Times New Roman" w:cs="Times New Roman"/>
                <w:sz w:val="18"/>
                <w:szCs w:val="18"/>
              </w:rPr>
              <w:t>–</w:t>
            </w:r>
          </w:p>
        </w:tc>
        <w:tc>
          <w:tcPr>
            <w:tcW w:w="1083" w:type="dxa"/>
            <w:noWrap/>
            <w:hideMark/>
          </w:tcPr>
          <w:p w14:paraId="49A3262E" w14:textId="429C5AFF" w:rsidR="00034890" w:rsidRPr="000973F2" w:rsidRDefault="00034890" w:rsidP="00034890">
            <w:pPr>
              <w:tabs>
                <w:tab w:val="decimal" w:pos="616"/>
              </w:tabs>
              <w:spacing w:before="40" w:after="4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6"/>
                <w:szCs w:val="18"/>
              </w:rPr>
            </w:pPr>
            <w:r w:rsidRPr="000973F2">
              <w:rPr>
                <w:rFonts w:ascii="Times New Roman" w:eastAsia="Times New Roman" w:hAnsi="Times New Roman" w:cs="Times New Roman"/>
                <w:sz w:val="18"/>
                <w:szCs w:val="18"/>
              </w:rPr>
              <w:t>–</w:t>
            </w:r>
          </w:p>
        </w:tc>
        <w:tc>
          <w:tcPr>
            <w:tcW w:w="932" w:type="dxa"/>
            <w:noWrap/>
            <w:hideMark/>
          </w:tcPr>
          <w:p w14:paraId="12FC9C37" w14:textId="2013273C" w:rsidR="00034890" w:rsidRPr="000973F2" w:rsidRDefault="00034890" w:rsidP="00034890">
            <w:pPr>
              <w:tabs>
                <w:tab w:val="decimal" w:pos="511"/>
              </w:tabs>
              <w:spacing w:before="40" w:after="4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6"/>
                <w:szCs w:val="18"/>
              </w:rPr>
            </w:pPr>
            <w:r w:rsidRPr="000973F2">
              <w:rPr>
                <w:rFonts w:ascii="Times New Roman" w:eastAsia="Times New Roman" w:hAnsi="Times New Roman" w:cs="Times New Roman"/>
                <w:sz w:val="18"/>
                <w:szCs w:val="18"/>
              </w:rPr>
              <w:t>–</w:t>
            </w:r>
          </w:p>
        </w:tc>
        <w:tc>
          <w:tcPr>
            <w:tcW w:w="932" w:type="dxa"/>
            <w:noWrap/>
            <w:hideMark/>
          </w:tcPr>
          <w:p w14:paraId="000193DF" w14:textId="19439660" w:rsidR="00034890" w:rsidRPr="000973F2" w:rsidRDefault="00034890" w:rsidP="00034890">
            <w:pPr>
              <w:tabs>
                <w:tab w:val="decimal" w:pos="511"/>
              </w:tabs>
              <w:spacing w:before="40" w:after="4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6"/>
                <w:szCs w:val="18"/>
              </w:rPr>
            </w:pPr>
            <w:r w:rsidRPr="000973F2">
              <w:rPr>
                <w:rFonts w:ascii="Times New Roman" w:eastAsia="Times New Roman" w:hAnsi="Times New Roman" w:cs="Times New Roman"/>
                <w:sz w:val="18"/>
                <w:szCs w:val="18"/>
              </w:rPr>
              <w:t>–</w:t>
            </w:r>
          </w:p>
        </w:tc>
      </w:tr>
      <w:tr w:rsidR="00034890" w:rsidRPr="000973F2" w14:paraId="11454E88" w14:textId="77777777" w:rsidTr="006B6D25">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3135" w:type="dxa"/>
            <w:hideMark/>
          </w:tcPr>
          <w:p w14:paraId="286E9CBC" w14:textId="77777777" w:rsidR="00034890" w:rsidRPr="000973F2" w:rsidRDefault="00034890" w:rsidP="00034890">
            <w:pPr>
              <w:spacing w:before="40" w:after="40"/>
              <w:rPr>
                <w:rFonts w:ascii="Times New Roman" w:eastAsia="Times New Roman" w:hAnsi="Times New Roman" w:cs="Times New Roman"/>
                <w:sz w:val="16"/>
                <w:szCs w:val="18"/>
              </w:rPr>
            </w:pPr>
            <w:r w:rsidRPr="000973F2">
              <w:rPr>
                <w:rFonts w:ascii="Times New Roman" w:eastAsia="Times New Roman" w:hAnsi="Times New Roman" w:cs="Times New Roman"/>
                <w:sz w:val="16"/>
                <w:szCs w:val="18"/>
              </w:rPr>
              <w:t>Performance testing</w:t>
            </w:r>
          </w:p>
        </w:tc>
        <w:tc>
          <w:tcPr>
            <w:tcW w:w="1082" w:type="dxa"/>
            <w:noWrap/>
            <w:hideMark/>
          </w:tcPr>
          <w:p w14:paraId="367FAACB" w14:textId="691E0EBD" w:rsidR="00034890" w:rsidRPr="000973F2" w:rsidRDefault="00034890" w:rsidP="00034890">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6"/>
                <w:szCs w:val="18"/>
              </w:rPr>
            </w:pPr>
            <w:r w:rsidRPr="000973F2">
              <w:rPr>
                <w:rFonts w:ascii="Times New Roman" w:eastAsia="Times New Roman" w:hAnsi="Times New Roman" w:cs="Times New Roman"/>
                <w:sz w:val="18"/>
                <w:szCs w:val="18"/>
              </w:rPr>
              <w:t>–</w:t>
            </w:r>
          </w:p>
        </w:tc>
        <w:tc>
          <w:tcPr>
            <w:tcW w:w="1083" w:type="dxa"/>
            <w:noWrap/>
          </w:tcPr>
          <w:p w14:paraId="5AC8070F" w14:textId="46C96F0D" w:rsidR="00034890" w:rsidRPr="000973F2" w:rsidRDefault="00034890" w:rsidP="00034890">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6"/>
                <w:szCs w:val="18"/>
              </w:rPr>
            </w:pPr>
          </w:p>
        </w:tc>
        <w:tc>
          <w:tcPr>
            <w:tcW w:w="1083" w:type="dxa"/>
            <w:noWrap/>
            <w:hideMark/>
          </w:tcPr>
          <w:p w14:paraId="46C3B812" w14:textId="73828581" w:rsidR="00034890" w:rsidRPr="000973F2" w:rsidRDefault="00034890" w:rsidP="00034890">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6"/>
                <w:szCs w:val="18"/>
              </w:rPr>
            </w:pPr>
            <w:r w:rsidRPr="000973F2">
              <w:rPr>
                <w:rFonts w:ascii="Times New Roman" w:eastAsia="Times New Roman" w:hAnsi="Times New Roman" w:cs="Times New Roman"/>
                <w:sz w:val="18"/>
                <w:szCs w:val="18"/>
              </w:rPr>
              <w:t>–</w:t>
            </w:r>
          </w:p>
        </w:tc>
        <w:tc>
          <w:tcPr>
            <w:tcW w:w="1083" w:type="dxa"/>
            <w:noWrap/>
            <w:hideMark/>
          </w:tcPr>
          <w:p w14:paraId="5D795A69" w14:textId="0AD86EC5" w:rsidR="00034890" w:rsidRPr="000973F2" w:rsidRDefault="00034890" w:rsidP="00034890">
            <w:pPr>
              <w:tabs>
                <w:tab w:val="decimal" w:pos="616"/>
              </w:tabs>
              <w:spacing w:before="40" w:after="4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6"/>
                <w:szCs w:val="18"/>
              </w:rPr>
            </w:pPr>
            <w:r w:rsidRPr="000973F2">
              <w:rPr>
                <w:rFonts w:ascii="Times New Roman" w:eastAsia="Times New Roman" w:hAnsi="Times New Roman" w:cs="Times New Roman"/>
                <w:sz w:val="18"/>
                <w:szCs w:val="18"/>
              </w:rPr>
              <w:t>–</w:t>
            </w:r>
          </w:p>
        </w:tc>
        <w:tc>
          <w:tcPr>
            <w:tcW w:w="932" w:type="dxa"/>
            <w:noWrap/>
            <w:hideMark/>
          </w:tcPr>
          <w:p w14:paraId="138E601D" w14:textId="21C7328E" w:rsidR="00034890" w:rsidRPr="000973F2" w:rsidRDefault="00034890" w:rsidP="00034890">
            <w:pPr>
              <w:tabs>
                <w:tab w:val="decimal" w:pos="511"/>
              </w:tabs>
              <w:spacing w:before="40" w:after="4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6"/>
                <w:szCs w:val="18"/>
              </w:rPr>
            </w:pPr>
            <w:r w:rsidRPr="000973F2">
              <w:rPr>
                <w:rFonts w:ascii="Times New Roman" w:eastAsia="Times New Roman" w:hAnsi="Times New Roman" w:cs="Times New Roman"/>
                <w:sz w:val="18"/>
                <w:szCs w:val="18"/>
              </w:rPr>
              <w:t>–</w:t>
            </w:r>
          </w:p>
        </w:tc>
        <w:tc>
          <w:tcPr>
            <w:tcW w:w="932" w:type="dxa"/>
            <w:noWrap/>
            <w:hideMark/>
          </w:tcPr>
          <w:p w14:paraId="5809F693" w14:textId="6835833D" w:rsidR="00034890" w:rsidRPr="000973F2" w:rsidRDefault="00034890" w:rsidP="00034890">
            <w:pPr>
              <w:tabs>
                <w:tab w:val="decimal" w:pos="511"/>
              </w:tabs>
              <w:spacing w:before="40" w:after="4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6"/>
                <w:szCs w:val="18"/>
              </w:rPr>
            </w:pPr>
            <w:r w:rsidRPr="000973F2">
              <w:rPr>
                <w:rFonts w:ascii="Times New Roman" w:eastAsia="Times New Roman" w:hAnsi="Times New Roman" w:cs="Times New Roman"/>
                <w:sz w:val="18"/>
                <w:szCs w:val="18"/>
              </w:rPr>
              <w:t>–</w:t>
            </w:r>
          </w:p>
        </w:tc>
      </w:tr>
      <w:tr w:rsidR="009876CC" w:rsidRPr="000973F2" w14:paraId="23D54974" w14:textId="77777777" w:rsidTr="006B6D25">
        <w:trPr>
          <w:cantSplit/>
        </w:trPr>
        <w:tc>
          <w:tcPr>
            <w:cnfStyle w:val="001000000000" w:firstRow="0" w:lastRow="0" w:firstColumn="1" w:lastColumn="0" w:oddVBand="0" w:evenVBand="0" w:oddHBand="0" w:evenHBand="0" w:firstRowFirstColumn="0" w:firstRowLastColumn="0" w:lastRowFirstColumn="0" w:lastRowLastColumn="0"/>
            <w:tcW w:w="3135" w:type="dxa"/>
            <w:hideMark/>
          </w:tcPr>
          <w:p w14:paraId="2AE264D0" w14:textId="77777777" w:rsidR="009876CC" w:rsidRPr="000973F2" w:rsidRDefault="009876CC" w:rsidP="006B6D25">
            <w:pPr>
              <w:spacing w:before="40" w:after="40"/>
              <w:rPr>
                <w:rFonts w:ascii="Times New Roman" w:eastAsia="Times New Roman" w:hAnsi="Times New Roman" w:cs="Times New Roman"/>
                <w:sz w:val="16"/>
                <w:szCs w:val="18"/>
              </w:rPr>
            </w:pPr>
            <w:r w:rsidRPr="000973F2">
              <w:rPr>
                <w:rFonts w:ascii="Times New Roman" w:eastAsia="Times New Roman" w:hAnsi="Times New Roman" w:cs="Times New Roman"/>
                <w:sz w:val="16"/>
                <w:szCs w:val="18"/>
              </w:rPr>
              <w:t>Recordkeeping</w:t>
            </w:r>
          </w:p>
        </w:tc>
        <w:tc>
          <w:tcPr>
            <w:tcW w:w="1082" w:type="dxa"/>
            <w:noWrap/>
            <w:hideMark/>
          </w:tcPr>
          <w:p w14:paraId="4A425C40" w14:textId="77777777" w:rsidR="009876CC" w:rsidRPr="000973F2" w:rsidRDefault="009876CC" w:rsidP="006F44A8">
            <w:pPr>
              <w:spacing w:before="40" w:after="4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6"/>
                <w:szCs w:val="18"/>
              </w:rPr>
            </w:pPr>
            <w:r w:rsidRPr="000973F2">
              <w:rPr>
                <w:rFonts w:ascii="Times New Roman" w:eastAsia="Times New Roman" w:hAnsi="Times New Roman" w:cs="Times New Roman"/>
                <w:sz w:val="16"/>
                <w:szCs w:val="18"/>
              </w:rPr>
              <w:t>$0</w:t>
            </w:r>
          </w:p>
        </w:tc>
        <w:tc>
          <w:tcPr>
            <w:tcW w:w="1083" w:type="dxa"/>
            <w:noWrap/>
          </w:tcPr>
          <w:p w14:paraId="6ED9D12C" w14:textId="27624F20" w:rsidR="009876CC" w:rsidRPr="000973F2" w:rsidRDefault="009876CC" w:rsidP="006F44A8">
            <w:pPr>
              <w:spacing w:before="40" w:after="4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6"/>
                <w:szCs w:val="18"/>
              </w:rPr>
            </w:pPr>
          </w:p>
        </w:tc>
        <w:tc>
          <w:tcPr>
            <w:tcW w:w="1083" w:type="dxa"/>
            <w:noWrap/>
            <w:hideMark/>
          </w:tcPr>
          <w:p w14:paraId="353A8197" w14:textId="77777777" w:rsidR="009876CC" w:rsidRPr="000973F2" w:rsidRDefault="009876CC" w:rsidP="006F44A8">
            <w:pPr>
              <w:spacing w:before="40" w:after="4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6"/>
                <w:szCs w:val="18"/>
              </w:rPr>
            </w:pPr>
            <w:r w:rsidRPr="000973F2">
              <w:rPr>
                <w:rFonts w:ascii="Times New Roman" w:eastAsia="Times New Roman" w:hAnsi="Times New Roman" w:cs="Times New Roman"/>
                <w:sz w:val="16"/>
                <w:szCs w:val="18"/>
              </w:rPr>
              <w:t>$0</w:t>
            </w:r>
          </w:p>
        </w:tc>
        <w:tc>
          <w:tcPr>
            <w:tcW w:w="1083" w:type="dxa"/>
            <w:noWrap/>
            <w:hideMark/>
          </w:tcPr>
          <w:p w14:paraId="208A5A65" w14:textId="77777777" w:rsidR="009876CC" w:rsidRPr="000973F2" w:rsidRDefault="009876CC" w:rsidP="006F44A8">
            <w:pPr>
              <w:tabs>
                <w:tab w:val="decimal" w:pos="616"/>
              </w:tabs>
              <w:spacing w:before="40" w:after="4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6"/>
                <w:szCs w:val="18"/>
              </w:rPr>
            </w:pPr>
            <w:r w:rsidRPr="000973F2">
              <w:rPr>
                <w:rFonts w:ascii="Times New Roman" w:eastAsia="Times New Roman" w:hAnsi="Times New Roman" w:cs="Times New Roman"/>
                <w:sz w:val="16"/>
                <w:szCs w:val="18"/>
              </w:rPr>
              <w:t>$50</w:t>
            </w:r>
          </w:p>
        </w:tc>
        <w:tc>
          <w:tcPr>
            <w:tcW w:w="932" w:type="dxa"/>
            <w:noWrap/>
            <w:hideMark/>
          </w:tcPr>
          <w:p w14:paraId="76BA94AD" w14:textId="77777777" w:rsidR="009876CC" w:rsidRPr="000973F2" w:rsidRDefault="009876CC" w:rsidP="006F44A8">
            <w:pPr>
              <w:tabs>
                <w:tab w:val="decimal" w:pos="511"/>
              </w:tabs>
              <w:spacing w:before="40" w:after="4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6"/>
                <w:szCs w:val="18"/>
              </w:rPr>
            </w:pPr>
            <w:r w:rsidRPr="000973F2">
              <w:rPr>
                <w:rFonts w:ascii="Times New Roman" w:eastAsia="Times New Roman" w:hAnsi="Times New Roman" w:cs="Times New Roman"/>
                <w:sz w:val="16"/>
                <w:szCs w:val="18"/>
              </w:rPr>
              <w:t>$50</w:t>
            </w:r>
          </w:p>
        </w:tc>
        <w:tc>
          <w:tcPr>
            <w:tcW w:w="932" w:type="dxa"/>
            <w:noWrap/>
            <w:hideMark/>
          </w:tcPr>
          <w:p w14:paraId="6EE6B5B1" w14:textId="77777777" w:rsidR="009876CC" w:rsidRPr="000973F2" w:rsidRDefault="009876CC" w:rsidP="006F44A8">
            <w:pPr>
              <w:tabs>
                <w:tab w:val="decimal" w:pos="511"/>
              </w:tabs>
              <w:spacing w:before="40" w:after="4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6"/>
                <w:szCs w:val="18"/>
              </w:rPr>
            </w:pPr>
            <w:r w:rsidRPr="000973F2">
              <w:rPr>
                <w:rFonts w:ascii="Times New Roman" w:eastAsia="Times New Roman" w:hAnsi="Times New Roman" w:cs="Times New Roman"/>
                <w:sz w:val="16"/>
                <w:szCs w:val="18"/>
              </w:rPr>
              <w:t>$50</w:t>
            </w:r>
          </w:p>
        </w:tc>
      </w:tr>
      <w:tr w:rsidR="00034890" w:rsidRPr="000973F2" w14:paraId="317A6F97" w14:textId="77777777" w:rsidTr="006B6D25">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3135" w:type="dxa"/>
            <w:hideMark/>
          </w:tcPr>
          <w:p w14:paraId="486FAE3F" w14:textId="77777777" w:rsidR="00034890" w:rsidRPr="000973F2" w:rsidRDefault="00034890" w:rsidP="00034890">
            <w:pPr>
              <w:spacing w:before="40" w:after="40"/>
              <w:rPr>
                <w:rFonts w:ascii="Times New Roman" w:eastAsia="Times New Roman" w:hAnsi="Times New Roman" w:cs="Times New Roman"/>
                <w:sz w:val="16"/>
                <w:szCs w:val="18"/>
              </w:rPr>
            </w:pPr>
            <w:r w:rsidRPr="000973F2">
              <w:rPr>
                <w:rFonts w:ascii="Times New Roman" w:eastAsia="Times New Roman" w:hAnsi="Times New Roman" w:cs="Times New Roman"/>
                <w:sz w:val="16"/>
                <w:szCs w:val="18"/>
              </w:rPr>
              <w:t>Travel</w:t>
            </w:r>
          </w:p>
        </w:tc>
        <w:tc>
          <w:tcPr>
            <w:tcW w:w="1082" w:type="dxa"/>
            <w:noWrap/>
            <w:hideMark/>
          </w:tcPr>
          <w:p w14:paraId="7F7C8F2F" w14:textId="4D065041" w:rsidR="00034890" w:rsidRPr="000973F2" w:rsidRDefault="00034890" w:rsidP="00034890">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6"/>
                <w:szCs w:val="18"/>
              </w:rPr>
            </w:pPr>
            <w:r w:rsidRPr="000973F2">
              <w:rPr>
                <w:rFonts w:ascii="Times New Roman" w:eastAsia="Times New Roman" w:hAnsi="Times New Roman" w:cs="Times New Roman"/>
                <w:sz w:val="18"/>
                <w:szCs w:val="18"/>
              </w:rPr>
              <w:t>–</w:t>
            </w:r>
          </w:p>
        </w:tc>
        <w:tc>
          <w:tcPr>
            <w:tcW w:w="1083" w:type="dxa"/>
            <w:noWrap/>
          </w:tcPr>
          <w:p w14:paraId="688DF848" w14:textId="7AA55E26" w:rsidR="00034890" w:rsidRPr="000973F2" w:rsidRDefault="00034890" w:rsidP="00034890">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6"/>
                <w:szCs w:val="18"/>
              </w:rPr>
            </w:pPr>
          </w:p>
        </w:tc>
        <w:tc>
          <w:tcPr>
            <w:tcW w:w="1083" w:type="dxa"/>
            <w:noWrap/>
            <w:hideMark/>
          </w:tcPr>
          <w:p w14:paraId="297AC5E3" w14:textId="38A52402" w:rsidR="00034890" w:rsidRPr="000973F2" w:rsidRDefault="00034890" w:rsidP="00034890">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6"/>
                <w:szCs w:val="18"/>
              </w:rPr>
            </w:pPr>
            <w:r w:rsidRPr="000973F2">
              <w:rPr>
                <w:rFonts w:ascii="Times New Roman" w:eastAsia="Times New Roman" w:hAnsi="Times New Roman" w:cs="Times New Roman"/>
                <w:sz w:val="18"/>
                <w:szCs w:val="18"/>
              </w:rPr>
              <w:t>–</w:t>
            </w:r>
          </w:p>
        </w:tc>
        <w:tc>
          <w:tcPr>
            <w:tcW w:w="1083" w:type="dxa"/>
            <w:noWrap/>
            <w:hideMark/>
          </w:tcPr>
          <w:p w14:paraId="6606663C" w14:textId="24CA72D7" w:rsidR="00034890" w:rsidRPr="000973F2" w:rsidRDefault="00034890" w:rsidP="00034890">
            <w:pPr>
              <w:tabs>
                <w:tab w:val="decimal" w:pos="616"/>
              </w:tabs>
              <w:spacing w:before="40" w:after="4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6"/>
                <w:szCs w:val="18"/>
              </w:rPr>
            </w:pPr>
            <w:r w:rsidRPr="000973F2">
              <w:rPr>
                <w:rFonts w:ascii="Times New Roman" w:eastAsia="Times New Roman" w:hAnsi="Times New Roman" w:cs="Times New Roman"/>
                <w:sz w:val="18"/>
                <w:szCs w:val="18"/>
              </w:rPr>
              <w:t>–</w:t>
            </w:r>
          </w:p>
        </w:tc>
        <w:tc>
          <w:tcPr>
            <w:tcW w:w="932" w:type="dxa"/>
            <w:noWrap/>
            <w:hideMark/>
          </w:tcPr>
          <w:p w14:paraId="1E8D04A9" w14:textId="0EE98A7B" w:rsidR="00034890" w:rsidRPr="000973F2" w:rsidRDefault="00034890" w:rsidP="00034890">
            <w:pPr>
              <w:tabs>
                <w:tab w:val="decimal" w:pos="511"/>
              </w:tabs>
              <w:spacing w:before="40" w:after="4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6"/>
                <w:szCs w:val="18"/>
              </w:rPr>
            </w:pPr>
            <w:r w:rsidRPr="000973F2">
              <w:rPr>
                <w:rFonts w:ascii="Times New Roman" w:eastAsia="Times New Roman" w:hAnsi="Times New Roman" w:cs="Times New Roman"/>
                <w:sz w:val="18"/>
                <w:szCs w:val="18"/>
              </w:rPr>
              <w:t>–</w:t>
            </w:r>
          </w:p>
        </w:tc>
        <w:tc>
          <w:tcPr>
            <w:tcW w:w="932" w:type="dxa"/>
            <w:noWrap/>
            <w:hideMark/>
          </w:tcPr>
          <w:p w14:paraId="22F87A59" w14:textId="2D56EBEB" w:rsidR="00034890" w:rsidRPr="000973F2" w:rsidRDefault="00034890" w:rsidP="00034890">
            <w:pPr>
              <w:tabs>
                <w:tab w:val="decimal" w:pos="511"/>
              </w:tabs>
              <w:spacing w:before="40" w:after="4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6"/>
                <w:szCs w:val="18"/>
              </w:rPr>
            </w:pPr>
            <w:r w:rsidRPr="000973F2">
              <w:rPr>
                <w:rFonts w:ascii="Times New Roman" w:eastAsia="Times New Roman" w:hAnsi="Times New Roman" w:cs="Times New Roman"/>
                <w:sz w:val="18"/>
                <w:szCs w:val="18"/>
              </w:rPr>
              <w:t>–</w:t>
            </w:r>
          </w:p>
        </w:tc>
      </w:tr>
      <w:tr w:rsidR="00ED1CBD" w:rsidRPr="000973F2" w14:paraId="6539243C" w14:textId="77777777" w:rsidTr="006B6D25">
        <w:trPr>
          <w:cantSplit/>
        </w:trPr>
        <w:tc>
          <w:tcPr>
            <w:cnfStyle w:val="001000000000" w:firstRow="0" w:lastRow="0" w:firstColumn="1" w:lastColumn="0" w:oddVBand="0" w:evenVBand="0" w:oddHBand="0" w:evenHBand="0" w:firstRowFirstColumn="0" w:firstRowLastColumn="0" w:lastRowFirstColumn="0" w:lastRowLastColumn="0"/>
            <w:tcW w:w="3135" w:type="dxa"/>
            <w:hideMark/>
          </w:tcPr>
          <w:p w14:paraId="4117C3BB" w14:textId="4D23C47A" w:rsidR="009876CC" w:rsidRPr="000973F2" w:rsidRDefault="009876CC" w:rsidP="006B6D25">
            <w:pPr>
              <w:spacing w:before="40" w:after="40"/>
              <w:rPr>
                <w:rFonts w:ascii="Times New Roman" w:eastAsia="Times New Roman" w:hAnsi="Times New Roman" w:cs="Times New Roman"/>
                <w:sz w:val="16"/>
                <w:szCs w:val="18"/>
              </w:rPr>
            </w:pPr>
            <w:r w:rsidRPr="000973F2">
              <w:rPr>
                <w:rFonts w:ascii="Times New Roman" w:eastAsia="Times New Roman" w:hAnsi="Times New Roman" w:cs="Times New Roman"/>
                <w:sz w:val="16"/>
                <w:szCs w:val="18"/>
              </w:rPr>
              <w:t xml:space="preserve">Sampling </w:t>
            </w:r>
            <w:r w:rsidR="00C805F3" w:rsidRPr="000973F2">
              <w:rPr>
                <w:rFonts w:ascii="Times New Roman" w:eastAsia="Times New Roman" w:hAnsi="Times New Roman" w:cs="Times New Roman"/>
                <w:sz w:val="16"/>
                <w:szCs w:val="18"/>
              </w:rPr>
              <w:t xml:space="preserve">and Analysis </w:t>
            </w:r>
            <w:r w:rsidRPr="000973F2">
              <w:rPr>
                <w:rFonts w:ascii="Times New Roman" w:eastAsia="Times New Roman" w:hAnsi="Times New Roman" w:cs="Times New Roman"/>
                <w:sz w:val="16"/>
                <w:szCs w:val="18"/>
              </w:rPr>
              <w:t>Costs</w:t>
            </w:r>
          </w:p>
        </w:tc>
        <w:tc>
          <w:tcPr>
            <w:tcW w:w="1082" w:type="dxa"/>
            <w:noWrap/>
            <w:hideMark/>
          </w:tcPr>
          <w:p w14:paraId="47BCA889" w14:textId="77777777" w:rsidR="009876CC" w:rsidRPr="000973F2" w:rsidRDefault="009876CC" w:rsidP="006F44A8">
            <w:pPr>
              <w:spacing w:before="40" w:after="4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6"/>
                <w:szCs w:val="18"/>
              </w:rPr>
            </w:pPr>
            <w:r w:rsidRPr="000973F2">
              <w:rPr>
                <w:rFonts w:ascii="Times New Roman" w:eastAsia="Times New Roman" w:hAnsi="Times New Roman" w:cs="Times New Roman"/>
                <w:sz w:val="16"/>
                <w:szCs w:val="18"/>
              </w:rPr>
              <w:t>$0</w:t>
            </w:r>
          </w:p>
        </w:tc>
        <w:tc>
          <w:tcPr>
            <w:tcW w:w="1083" w:type="dxa"/>
            <w:noWrap/>
            <w:hideMark/>
          </w:tcPr>
          <w:p w14:paraId="2B9A742D" w14:textId="44F10D50" w:rsidR="009876CC" w:rsidRPr="000973F2" w:rsidRDefault="009876CC" w:rsidP="006F44A8">
            <w:pPr>
              <w:spacing w:before="40" w:after="4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6"/>
                <w:szCs w:val="18"/>
              </w:rPr>
            </w:pPr>
          </w:p>
        </w:tc>
        <w:tc>
          <w:tcPr>
            <w:tcW w:w="1083" w:type="dxa"/>
            <w:noWrap/>
            <w:hideMark/>
          </w:tcPr>
          <w:p w14:paraId="5F67A51B" w14:textId="77777777" w:rsidR="009876CC" w:rsidRPr="000973F2" w:rsidRDefault="009876CC" w:rsidP="006F44A8">
            <w:pPr>
              <w:spacing w:before="40" w:after="4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6"/>
                <w:szCs w:val="18"/>
              </w:rPr>
            </w:pPr>
            <w:r w:rsidRPr="000973F2">
              <w:rPr>
                <w:rFonts w:ascii="Times New Roman" w:eastAsia="Times New Roman" w:hAnsi="Times New Roman" w:cs="Times New Roman"/>
                <w:sz w:val="16"/>
                <w:szCs w:val="18"/>
              </w:rPr>
              <w:t>$0</w:t>
            </w:r>
          </w:p>
        </w:tc>
        <w:tc>
          <w:tcPr>
            <w:tcW w:w="1083" w:type="dxa"/>
            <w:noWrap/>
            <w:hideMark/>
          </w:tcPr>
          <w:p w14:paraId="2635F6F2" w14:textId="77777777" w:rsidR="009876CC" w:rsidRPr="000973F2" w:rsidRDefault="009876CC" w:rsidP="006F44A8">
            <w:pPr>
              <w:tabs>
                <w:tab w:val="decimal" w:pos="616"/>
              </w:tabs>
              <w:spacing w:before="40" w:after="4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6"/>
                <w:szCs w:val="18"/>
              </w:rPr>
            </w:pPr>
            <w:r w:rsidRPr="000973F2">
              <w:rPr>
                <w:rFonts w:ascii="Times New Roman" w:eastAsia="Times New Roman" w:hAnsi="Times New Roman" w:cs="Times New Roman"/>
                <w:sz w:val="16"/>
                <w:szCs w:val="18"/>
              </w:rPr>
              <w:t>$1,000</w:t>
            </w:r>
          </w:p>
        </w:tc>
        <w:tc>
          <w:tcPr>
            <w:tcW w:w="932" w:type="dxa"/>
            <w:noWrap/>
            <w:hideMark/>
          </w:tcPr>
          <w:p w14:paraId="7F4F583C" w14:textId="77777777" w:rsidR="009876CC" w:rsidRPr="000973F2" w:rsidRDefault="009876CC" w:rsidP="006F44A8">
            <w:pPr>
              <w:tabs>
                <w:tab w:val="decimal" w:pos="511"/>
              </w:tabs>
              <w:spacing w:before="40" w:after="4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6"/>
                <w:szCs w:val="18"/>
              </w:rPr>
            </w:pPr>
            <w:r w:rsidRPr="000973F2">
              <w:rPr>
                <w:rFonts w:ascii="Times New Roman" w:eastAsia="Times New Roman" w:hAnsi="Times New Roman" w:cs="Times New Roman"/>
                <w:sz w:val="16"/>
                <w:szCs w:val="18"/>
              </w:rPr>
              <w:t>$1,000</w:t>
            </w:r>
          </w:p>
        </w:tc>
        <w:tc>
          <w:tcPr>
            <w:tcW w:w="932" w:type="dxa"/>
            <w:noWrap/>
            <w:hideMark/>
          </w:tcPr>
          <w:p w14:paraId="21F8EA16" w14:textId="77777777" w:rsidR="009876CC" w:rsidRPr="000973F2" w:rsidRDefault="009876CC" w:rsidP="006F44A8">
            <w:pPr>
              <w:tabs>
                <w:tab w:val="decimal" w:pos="511"/>
              </w:tabs>
              <w:spacing w:before="40" w:after="4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6"/>
                <w:szCs w:val="18"/>
              </w:rPr>
            </w:pPr>
            <w:r w:rsidRPr="000973F2">
              <w:rPr>
                <w:rFonts w:ascii="Times New Roman" w:eastAsia="Times New Roman" w:hAnsi="Times New Roman" w:cs="Times New Roman"/>
                <w:sz w:val="16"/>
                <w:szCs w:val="18"/>
              </w:rPr>
              <w:t>$1,000</w:t>
            </w:r>
          </w:p>
        </w:tc>
      </w:tr>
      <w:tr w:rsidR="00ED1CBD" w:rsidRPr="000973F2" w14:paraId="633A7315" w14:textId="77777777" w:rsidTr="006B6D25">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3135" w:type="dxa"/>
            <w:hideMark/>
          </w:tcPr>
          <w:p w14:paraId="5C2FEE42" w14:textId="77777777" w:rsidR="009876CC" w:rsidRPr="000973F2" w:rsidRDefault="009876CC" w:rsidP="006B6D25">
            <w:pPr>
              <w:spacing w:before="40" w:after="40"/>
              <w:rPr>
                <w:rFonts w:ascii="Times New Roman" w:eastAsia="Times New Roman" w:hAnsi="Times New Roman" w:cs="Times New Roman"/>
                <w:b/>
                <w:bCs w:val="0"/>
                <w:sz w:val="16"/>
                <w:szCs w:val="18"/>
              </w:rPr>
            </w:pPr>
            <w:r w:rsidRPr="000973F2">
              <w:rPr>
                <w:rFonts w:ascii="Times New Roman" w:eastAsia="Times New Roman" w:hAnsi="Times New Roman" w:cs="Times New Roman"/>
                <w:b/>
                <w:sz w:val="16"/>
                <w:szCs w:val="18"/>
              </w:rPr>
              <w:t>Total</w:t>
            </w:r>
          </w:p>
        </w:tc>
        <w:tc>
          <w:tcPr>
            <w:tcW w:w="1082" w:type="dxa"/>
            <w:noWrap/>
            <w:hideMark/>
          </w:tcPr>
          <w:p w14:paraId="35D4395C" w14:textId="77777777" w:rsidR="009876CC" w:rsidRPr="000973F2" w:rsidRDefault="009876CC" w:rsidP="006F44A8">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sz w:val="16"/>
                <w:szCs w:val="18"/>
              </w:rPr>
            </w:pPr>
            <w:r w:rsidRPr="000973F2">
              <w:rPr>
                <w:rFonts w:ascii="Times New Roman" w:eastAsia="Times New Roman" w:hAnsi="Times New Roman" w:cs="Times New Roman"/>
                <w:b/>
                <w:sz w:val="16"/>
                <w:szCs w:val="18"/>
              </w:rPr>
              <w:t>$0</w:t>
            </w:r>
          </w:p>
        </w:tc>
        <w:tc>
          <w:tcPr>
            <w:tcW w:w="1083" w:type="dxa"/>
            <w:noWrap/>
            <w:hideMark/>
          </w:tcPr>
          <w:p w14:paraId="29A96107" w14:textId="6E988CAD" w:rsidR="009876CC" w:rsidRPr="000973F2" w:rsidRDefault="009876CC" w:rsidP="006F44A8">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sz w:val="16"/>
                <w:szCs w:val="18"/>
              </w:rPr>
            </w:pPr>
          </w:p>
        </w:tc>
        <w:tc>
          <w:tcPr>
            <w:tcW w:w="1083" w:type="dxa"/>
            <w:noWrap/>
            <w:hideMark/>
          </w:tcPr>
          <w:p w14:paraId="61FC24E1" w14:textId="77777777" w:rsidR="009876CC" w:rsidRPr="000973F2" w:rsidRDefault="009876CC" w:rsidP="006F44A8">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sz w:val="16"/>
                <w:szCs w:val="18"/>
              </w:rPr>
            </w:pPr>
            <w:r w:rsidRPr="000973F2">
              <w:rPr>
                <w:rFonts w:ascii="Times New Roman" w:eastAsia="Times New Roman" w:hAnsi="Times New Roman" w:cs="Times New Roman"/>
                <w:b/>
                <w:sz w:val="16"/>
                <w:szCs w:val="18"/>
              </w:rPr>
              <w:t>$0</w:t>
            </w:r>
          </w:p>
        </w:tc>
        <w:tc>
          <w:tcPr>
            <w:tcW w:w="1083" w:type="dxa"/>
            <w:noWrap/>
            <w:hideMark/>
          </w:tcPr>
          <w:p w14:paraId="211FB5B0" w14:textId="77777777" w:rsidR="009876CC" w:rsidRPr="000973F2" w:rsidRDefault="009876CC" w:rsidP="006F44A8">
            <w:pPr>
              <w:tabs>
                <w:tab w:val="decimal" w:pos="616"/>
              </w:tabs>
              <w:spacing w:before="40" w:after="4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sz w:val="16"/>
                <w:szCs w:val="18"/>
              </w:rPr>
            </w:pPr>
            <w:r w:rsidRPr="000973F2">
              <w:rPr>
                <w:rFonts w:ascii="Times New Roman" w:eastAsia="Times New Roman" w:hAnsi="Times New Roman" w:cs="Times New Roman"/>
                <w:b/>
                <w:sz w:val="16"/>
                <w:szCs w:val="18"/>
              </w:rPr>
              <w:t>$1,050</w:t>
            </w:r>
          </w:p>
        </w:tc>
        <w:tc>
          <w:tcPr>
            <w:tcW w:w="932" w:type="dxa"/>
            <w:noWrap/>
            <w:hideMark/>
          </w:tcPr>
          <w:p w14:paraId="5889F4A2" w14:textId="77777777" w:rsidR="009876CC" w:rsidRPr="000973F2" w:rsidRDefault="009876CC" w:rsidP="006F44A8">
            <w:pPr>
              <w:tabs>
                <w:tab w:val="decimal" w:pos="511"/>
              </w:tabs>
              <w:spacing w:before="40" w:after="4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sz w:val="16"/>
                <w:szCs w:val="18"/>
              </w:rPr>
            </w:pPr>
            <w:r w:rsidRPr="000973F2">
              <w:rPr>
                <w:rFonts w:ascii="Times New Roman" w:eastAsia="Times New Roman" w:hAnsi="Times New Roman" w:cs="Times New Roman"/>
                <w:b/>
                <w:sz w:val="16"/>
                <w:szCs w:val="18"/>
              </w:rPr>
              <w:t>$1,050</w:t>
            </w:r>
          </w:p>
        </w:tc>
        <w:tc>
          <w:tcPr>
            <w:tcW w:w="932" w:type="dxa"/>
            <w:noWrap/>
            <w:hideMark/>
          </w:tcPr>
          <w:p w14:paraId="3F7AC092" w14:textId="77777777" w:rsidR="009876CC" w:rsidRPr="000973F2" w:rsidRDefault="009876CC" w:rsidP="006F44A8">
            <w:pPr>
              <w:tabs>
                <w:tab w:val="decimal" w:pos="511"/>
              </w:tabs>
              <w:spacing w:before="40" w:after="4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sz w:val="16"/>
                <w:szCs w:val="18"/>
              </w:rPr>
            </w:pPr>
            <w:r w:rsidRPr="000973F2">
              <w:rPr>
                <w:rFonts w:ascii="Times New Roman" w:eastAsia="Times New Roman" w:hAnsi="Times New Roman" w:cs="Times New Roman"/>
                <w:b/>
                <w:sz w:val="16"/>
                <w:szCs w:val="18"/>
              </w:rPr>
              <w:t>$1,050</w:t>
            </w:r>
          </w:p>
        </w:tc>
      </w:tr>
    </w:tbl>
    <w:p w14:paraId="71C43919" w14:textId="6D7EBBB8" w:rsidR="00097D64" w:rsidRPr="000973F2" w:rsidRDefault="00097D64" w:rsidP="00C00E4F">
      <w:pPr>
        <w:spacing w:line="240" w:lineRule="auto"/>
        <w:rPr>
          <w:rFonts w:ascii="Times New Roman" w:hAnsi="Times New Roman" w:cs="Times New Roman"/>
          <w:b/>
          <w:i/>
        </w:rPr>
      </w:pPr>
    </w:p>
    <w:p w14:paraId="1AAC31C5" w14:textId="77777777" w:rsidR="00097D64" w:rsidRPr="000973F2" w:rsidRDefault="00097D64" w:rsidP="00C00E4F">
      <w:pPr>
        <w:spacing w:line="240" w:lineRule="auto"/>
        <w:rPr>
          <w:rFonts w:ascii="Times New Roman" w:hAnsi="Times New Roman" w:cs="Times New Roman"/>
          <w:b/>
          <w:i/>
        </w:rPr>
      </w:pPr>
      <w:r w:rsidRPr="000973F2">
        <w:rPr>
          <w:rFonts w:ascii="Times New Roman" w:hAnsi="Times New Roman" w:cs="Times New Roman"/>
          <w:b/>
          <w:i/>
        </w:rPr>
        <w:br w:type="page"/>
      </w:r>
    </w:p>
    <w:p w14:paraId="545DE8DC" w14:textId="20B3540D" w:rsidR="009876CC" w:rsidRPr="000973F2" w:rsidRDefault="009876CC" w:rsidP="009C4191">
      <w:pPr>
        <w:pStyle w:val="Heading2"/>
      </w:pPr>
      <w:r w:rsidRPr="000973F2">
        <w:t>Labor Costs for Subpart G – Using Monthly Sampling Data to Determine Carbon Content</w:t>
      </w:r>
    </w:p>
    <w:p w14:paraId="31BB1FE8" w14:textId="28604B06" w:rsidR="009876CC" w:rsidRPr="000973F2" w:rsidRDefault="009876CC" w:rsidP="006F44A8">
      <w:pPr>
        <w:pStyle w:val="BodyText"/>
      </w:pPr>
      <w:r w:rsidRPr="000973F2">
        <w:t xml:space="preserve">Table </w:t>
      </w:r>
      <w:r w:rsidR="006F44A8" w:rsidRPr="000973F2">
        <w:t>G-</w:t>
      </w:r>
      <w:r w:rsidRPr="000973F2">
        <w:t xml:space="preserve">1b below includes the labor hours for each of the 12 facilities reporting to Subpart G per year to use monthly sampling data to determine carbon content. Typical activities related to planning, QA/QC, recordkeeping and reporting, and sampling and analysis (which includes emissions calculations) are discussed in the Cost Appendix Introduction. </w:t>
      </w:r>
    </w:p>
    <w:p w14:paraId="72C3D4E7" w14:textId="1546F219" w:rsidR="009876CC" w:rsidRPr="000973F2" w:rsidRDefault="009876CC" w:rsidP="006F44A8">
      <w:pPr>
        <w:pStyle w:val="BodyText"/>
      </w:pPr>
      <w:r w:rsidRPr="000973F2">
        <w:t>Sampling and analysis costs also include time to collect samples of feedstocks on a monthly basis.</w:t>
      </w:r>
      <w:r w:rsidR="00861D32" w:rsidRPr="000973F2">
        <w:t xml:space="preserve"> All Subpart G facilities report a single feedstock.</w:t>
      </w:r>
      <w:r w:rsidRPr="000973F2">
        <w:t xml:space="preserve"> Recordkeeping and reporting hours for Subpart G are based on the “medium bin” designation, as discussed in the Cost Appendix Introduction.</w:t>
      </w:r>
    </w:p>
    <w:p w14:paraId="691FC51C" w14:textId="26C152F0" w:rsidR="009876CC" w:rsidRPr="000973F2" w:rsidRDefault="00836FDB" w:rsidP="006F44A8">
      <w:pPr>
        <w:pStyle w:val="Tabletitle"/>
      </w:pPr>
      <w:r w:rsidRPr="000973F2">
        <w:t xml:space="preserve">Table </w:t>
      </w:r>
      <w:r w:rsidR="006F44A8" w:rsidRPr="000973F2">
        <w:t>G-</w:t>
      </w:r>
      <w:r w:rsidRPr="000973F2">
        <w:t xml:space="preserve">1b. Labor Costs </w:t>
      </w:r>
      <w:r w:rsidR="006F44A8" w:rsidRPr="000973F2">
        <w:t>–</w:t>
      </w:r>
      <w:r w:rsidRPr="000973F2">
        <w:t xml:space="preserve"> </w:t>
      </w:r>
      <w:r w:rsidR="009876CC" w:rsidRPr="000973F2">
        <w:t>Subpart G – Using Monthly Sampling</w:t>
      </w:r>
      <w:r w:rsidR="009876CC" w:rsidRPr="000973F2">
        <w:rPr>
          <w:i/>
        </w:rPr>
        <w:t xml:space="preserve"> </w:t>
      </w:r>
      <w:r w:rsidR="009876CC" w:rsidRPr="000973F2">
        <w:t>Data to Determine Carbon Content</w:t>
      </w:r>
    </w:p>
    <w:tbl>
      <w:tblPr>
        <w:tblStyle w:val="PlainTable1"/>
        <w:tblW w:w="5000" w:type="pct"/>
        <w:jc w:val="left"/>
        <w:tblLayout w:type="fixed"/>
        <w:tblCellMar>
          <w:left w:w="115" w:type="dxa"/>
          <w:right w:w="115" w:type="dxa"/>
        </w:tblCellMar>
        <w:tblLook w:val="04A0" w:firstRow="1" w:lastRow="0" w:firstColumn="1" w:lastColumn="0" w:noHBand="0" w:noVBand="1"/>
      </w:tblPr>
      <w:tblGrid>
        <w:gridCol w:w="1371"/>
        <w:gridCol w:w="833"/>
        <w:gridCol w:w="834"/>
        <w:gridCol w:w="835"/>
        <w:gridCol w:w="835"/>
        <w:gridCol w:w="834"/>
        <w:gridCol w:w="835"/>
        <w:gridCol w:w="835"/>
        <w:gridCol w:w="835"/>
        <w:gridCol w:w="722"/>
        <w:gridCol w:w="821"/>
      </w:tblGrid>
      <w:tr w:rsidR="009876CC" w:rsidRPr="000973F2" w14:paraId="3DDAB68F" w14:textId="77777777" w:rsidTr="006F44A8">
        <w:trPr>
          <w:cnfStyle w:val="100000000000" w:firstRow="1" w:lastRow="0" w:firstColumn="0" w:lastColumn="0" w:oddVBand="0" w:evenVBand="0" w:oddHBand="0" w:evenHBand="0" w:firstRowFirstColumn="0" w:firstRowLastColumn="0" w:lastRowFirstColumn="0" w:lastRowLastColumn="0"/>
          <w:cantSplit/>
          <w:jc w:val="left"/>
        </w:trPr>
        <w:tc>
          <w:tcPr>
            <w:cnfStyle w:val="001000000000" w:firstRow="0" w:lastRow="0" w:firstColumn="1" w:lastColumn="0" w:oddVBand="0" w:evenVBand="0" w:oddHBand="0" w:evenHBand="0" w:firstRowFirstColumn="0" w:firstRowLastColumn="0" w:lastRowFirstColumn="0" w:lastRowLastColumn="0"/>
            <w:tcW w:w="1335" w:type="dxa"/>
            <w:vMerge w:val="restart"/>
            <w:noWrap/>
            <w:vAlign w:val="top"/>
            <w:hideMark/>
          </w:tcPr>
          <w:p w14:paraId="02D9A808" w14:textId="77777777" w:rsidR="009876CC" w:rsidRPr="000973F2" w:rsidRDefault="009876CC" w:rsidP="006F44A8">
            <w:pPr>
              <w:spacing w:before="40" w:after="40"/>
              <w:rPr>
                <w:rFonts w:ascii="Times New Roman" w:eastAsia="Times New Roman" w:hAnsi="Times New Roman" w:cs="Times New Roman"/>
                <w:b w:val="0"/>
                <w:bCs w:val="0"/>
                <w:sz w:val="18"/>
                <w:szCs w:val="18"/>
              </w:rPr>
            </w:pPr>
            <w:r w:rsidRPr="000973F2">
              <w:rPr>
                <w:rFonts w:ascii="Times New Roman" w:eastAsia="Times New Roman" w:hAnsi="Times New Roman" w:cs="Times New Roman"/>
                <w:sz w:val="18"/>
                <w:szCs w:val="18"/>
              </w:rPr>
              <w:t>Activity</w:t>
            </w:r>
          </w:p>
        </w:tc>
        <w:tc>
          <w:tcPr>
            <w:tcW w:w="6494" w:type="dxa"/>
            <w:gridSpan w:val="8"/>
            <w:noWrap/>
            <w:vAlign w:val="top"/>
            <w:hideMark/>
          </w:tcPr>
          <w:p w14:paraId="730FDABF" w14:textId="77777777" w:rsidR="009876CC" w:rsidRPr="000973F2" w:rsidRDefault="009876CC" w:rsidP="006F44A8">
            <w:pPr>
              <w:spacing w:before="40" w:after="40"/>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bCs w:val="0"/>
                <w:sz w:val="18"/>
                <w:szCs w:val="18"/>
              </w:rPr>
            </w:pPr>
            <w:r w:rsidRPr="000973F2">
              <w:rPr>
                <w:rFonts w:ascii="Times New Roman" w:eastAsia="Times New Roman" w:hAnsi="Times New Roman" w:cs="Times New Roman"/>
                <w:sz w:val="18"/>
                <w:szCs w:val="18"/>
              </w:rPr>
              <w:t>Labor Rates (per hour)</w:t>
            </w:r>
          </w:p>
        </w:tc>
        <w:tc>
          <w:tcPr>
            <w:tcW w:w="1501" w:type="dxa"/>
            <w:gridSpan w:val="2"/>
            <w:vMerge w:val="restart"/>
            <w:vAlign w:val="top"/>
            <w:hideMark/>
          </w:tcPr>
          <w:p w14:paraId="5962C98B" w14:textId="09CF6125" w:rsidR="009876CC" w:rsidRPr="000973F2" w:rsidRDefault="009876CC" w:rsidP="006F44A8">
            <w:pPr>
              <w:spacing w:before="40" w:after="40"/>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bCs w:val="0"/>
                <w:sz w:val="18"/>
                <w:szCs w:val="18"/>
              </w:rPr>
            </w:pPr>
            <w:r w:rsidRPr="000973F2">
              <w:rPr>
                <w:rFonts w:ascii="Times New Roman" w:eastAsia="Times New Roman" w:hAnsi="Times New Roman" w:cs="Times New Roman"/>
                <w:sz w:val="18"/>
                <w:szCs w:val="18"/>
              </w:rPr>
              <w:t>Total Labor Cost per Year per Facility</w:t>
            </w:r>
            <w:r w:rsidR="006F44A8" w:rsidRPr="000973F2">
              <w:rPr>
                <w:rFonts w:ascii="Times New Roman" w:eastAsia="Times New Roman" w:hAnsi="Times New Roman" w:cs="Times New Roman"/>
                <w:sz w:val="18"/>
                <w:szCs w:val="18"/>
              </w:rPr>
              <w:t xml:space="preserve"> </w:t>
            </w:r>
            <w:r w:rsidRPr="000973F2">
              <w:rPr>
                <w:rFonts w:ascii="Times New Roman" w:eastAsia="Times New Roman" w:hAnsi="Times New Roman" w:cs="Times New Roman"/>
                <w:sz w:val="18"/>
                <w:szCs w:val="18"/>
              </w:rPr>
              <w:t>(2017$)</w:t>
            </w:r>
          </w:p>
        </w:tc>
      </w:tr>
      <w:tr w:rsidR="008D32E6" w:rsidRPr="000973F2" w14:paraId="3666B6D1" w14:textId="77777777" w:rsidTr="006F44A8">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1335" w:type="dxa"/>
            <w:vMerge/>
            <w:hideMark/>
          </w:tcPr>
          <w:p w14:paraId="0A9A565B" w14:textId="77777777" w:rsidR="009876CC" w:rsidRPr="000973F2" w:rsidRDefault="009876CC" w:rsidP="006F44A8">
            <w:pPr>
              <w:spacing w:before="40" w:after="40"/>
              <w:rPr>
                <w:rFonts w:ascii="Times New Roman" w:eastAsia="Times New Roman" w:hAnsi="Times New Roman" w:cs="Times New Roman"/>
                <w:b/>
                <w:bCs w:val="0"/>
                <w:sz w:val="18"/>
                <w:szCs w:val="18"/>
              </w:rPr>
            </w:pPr>
          </w:p>
        </w:tc>
        <w:tc>
          <w:tcPr>
            <w:tcW w:w="1623" w:type="dxa"/>
            <w:gridSpan w:val="2"/>
            <w:noWrap/>
            <w:hideMark/>
          </w:tcPr>
          <w:p w14:paraId="5DEFA2B2" w14:textId="77777777" w:rsidR="009876CC" w:rsidRPr="000973F2" w:rsidRDefault="009876CC" w:rsidP="006F44A8">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18"/>
                <w:szCs w:val="18"/>
              </w:rPr>
            </w:pPr>
            <w:r w:rsidRPr="000973F2">
              <w:rPr>
                <w:rFonts w:ascii="Times New Roman" w:eastAsia="Times New Roman" w:hAnsi="Times New Roman" w:cs="Times New Roman"/>
                <w:b/>
                <w:bCs/>
                <w:sz w:val="18"/>
                <w:szCs w:val="18"/>
              </w:rPr>
              <w:t>Lawyer</w:t>
            </w:r>
          </w:p>
        </w:tc>
        <w:tc>
          <w:tcPr>
            <w:tcW w:w="1624" w:type="dxa"/>
            <w:gridSpan w:val="2"/>
            <w:noWrap/>
            <w:hideMark/>
          </w:tcPr>
          <w:p w14:paraId="4D416500" w14:textId="77777777" w:rsidR="009876CC" w:rsidRPr="000973F2" w:rsidRDefault="009876CC" w:rsidP="006F44A8">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18"/>
                <w:szCs w:val="18"/>
              </w:rPr>
            </w:pPr>
            <w:r w:rsidRPr="000973F2">
              <w:rPr>
                <w:rFonts w:ascii="Times New Roman" w:eastAsia="Times New Roman" w:hAnsi="Times New Roman" w:cs="Times New Roman"/>
                <w:b/>
                <w:bCs/>
                <w:sz w:val="18"/>
                <w:szCs w:val="18"/>
              </w:rPr>
              <w:t>Industrial Manager</w:t>
            </w:r>
          </w:p>
        </w:tc>
        <w:tc>
          <w:tcPr>
            <w:tcW w:w="1623" w:type="dxa"/>
            <w:gridSpan w:val="2"/>
            <w:hideMark/>
          </w:tcPr>
          <w:p w14:paraId="2028609A" w14:textId="71662BFB" w:rsidR="009876CC" w:rsidRPr="000973F2" w:rsidRDefault="009876CC" w:rsidP="006F44A8">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18"/>
                <w:szCs w:val="18"/>
              </w:rPr>
            </w:pPr>
            <w:r w:rsidRPr="000973F2">
              <w:rPr>
                <w:rFonts w:ascii="Times New Roman" w:eastAsia="Times New Roman" w:hAnsi="Times New Roman" w:cs="Times New Roman"/>
                <w:b/>
                <w:bCs/>
                <w:sz w:val="18"/>
                <w:szCs w:val="18"/>
              </w:rPr>
              <w:t>Industrial Engineer/</w:t>
            </w:r>
            <w:r w:rsidR="006F44A8" w:rsidRPr="000973F2">
              <w:rPr>
                <w:rFonts w:ascii="Times New Roman" w:eastAsia="Times New Roman" w:hAnsi="Times New Roman" w:cs="Times New Roman"/>
                <w:b/>
                <w:bCs/>
                <w:sz w:val="18"/>
                <w:szCs w:val="18"/>
              </w:rPr>
              <w:t xml:space="preserve"> </w:t>
            </w:r>
            <w:r w:rsidRPr="000973F2">
              <w:rPr>
                <w:rFonts w:ascii="Times New Roman" w:eastAsia="Times New Roman" w:hAnsi="Times New Roman" w:cs="Times New Roman"/>
                <w:b/>
                <w:bCs/>
                <w:sz w:val="18"/>
                <w:szCs w:val="18"/>
              </w:rPr>
              <w:t>Technician</w:t>
            </w:r>
          </w:p>
        </w:tc>
        <w:tc>
          <w:tcPr>
            <w:tcW w:w="1624" w:type="dxa"/>
            <w:gridSpan w:val="2"/>
            <w:hideMark/>
          </w:tcPr>
          <w:p w14:paraId="480EB249" w14:textId="77777777" w:rsidR="009876CC" w:rsidRPr="000973F2" w:rsidRDefault="009876CC" w:rsidP="006F44A8">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18"/>
                <w:szCs w:val="18"/>
              </w:rPr>
            </w:pPr>
            <w:r w:rsidRPr="000973F2">
              <w:rPr>
                <w:rFonts w:ascii="Times New Roman" w:eastAsia="Times New Roman" w:hAnsi="Times New Roman" w:cs="Times New Roman"/>
                <w:b/>
                <w:bCs/>
                <w:sz w:val="18"/>
                <w:szCs w:val="18"/>
              </w:rPr>
              <w:t>Administrative Support</w:t>
            </w:r>
          </w:p>
        </w:tc>
        <w:tc>
          <w:tcPr>
            <w:tcW w:w="1501" w:type="dxa"/>
            <w:gridSpan w:val="2"/>
            <w:vMerge/>
            <w:hideMark/>
          </w:tcPr>
          <w:p w14:paraId="76DA7927" w14:textId="77777777" w:rsidR="009876CC" w:rsidRPr="000973F2" w:rsidRDefault="009876CC" w:rsidP="006F44A8">
            <w:pPr>
              <w:spacing w:before="40" w:after="4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18"/>
                <w:szCs w:val="18"/>
              </w:rPr>
            </w:pPr>
          </w:p>
        </w:tc>
      </w:tr>
      <w:tr w:rsidR="008D32E6" w:rsidRPr="000973F2" w14:paraId="24FA85A8" w14:textId="77777777" w:rsidTr="006F44A8">
        <w:trPr>
          <w:cantSplit/>
        </w:trPr>
        <w:tc>
          <w:tcPr>
            <w:cnfStyle w:val="001000000000" w:firstRow="0" w:lastRow="0" w:firstColumn="1" w:lastColumn="0" w:oddVBand="0" w:evenVBand="0" w:oddHBand="0" w:evenHBand="0" w:firstRowFirstColumn="0" w:firstRowLastColumn="0" w:lastRowFirstColumn="0" w:lastRowLastColumn="0"/>
            <w:tcW w:w="1335" w:type="dxa"/>
            <w:vMerge/>
            <w:hideMark/>
          </w:tcPr>
          <w:p w14:paraId="1D804E43" w14:textId="77777777" w:rsidR="009876CC" w:rsidRPr="000973F2" w:rsidRDefault="009876CC" w:rsidP="006F44A8">
            <w:pPr>
              <w:spacing w:before="40" w:after="40"/>
              <w:rPr>
                <w:rFonts w:ascii="Times New Roman" w:eastAsia="Times New Roman" w:hAnsi="Times New Roman" w:cs="Times New Roman"/>
                <w:b/>
                <w:bCs w:val="0"/>
                <w:sz w:val="18"/>
                <w:szCs w:val="18"/>
              </w:rPr>
            </w:pPr>
          </w:p>
        </w:tc>
        <w:tc>
          <w:tcPr>
            <w:tcW w:w="1623" w:type="dxa"/>
            <w:gridSpan w:val="2"/>
            <w:noWrap/>
            <w:hideMark/>
          </w:tcPr>
          <w:p w14:paraId="5E472E1D" w14:textId="1195934E" w:rsidR="009876CC" w:rsidRPr="000973F2" w:rsidRDefault="009876CC" w:rsidP="006F44A8">
            <w:pPr>
              <w:spacing w:before="40" w:after="4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sz w:val="18"/>
                <w:szCs w:val="18"/>
              </w:rPr>
            </w:pPr>
            <w:r w:rsidRPr="000973F2">
              <w:rPr>
                <w:rFonts w:ascii="Times New Roman" w:eastAsia="Times New Roman" w:hAnsi="Times New Roman" w:cs="Times New Roman"/>
                <w:b/>
                <w:bCs/>
                <w:sz w:val="18"/>
                <w:szCs w:val="18"/>
              </w:rPr>
              <w:t>$112.23</w:t>
            </w:r>
          </w:p>
        </w:tc>
        <w:tc>
          <w:tcPr>
            <w:tcW w:w="1624" w:type="dxa"/>
            <w:gridSpan w:val="2"/>
            <w:noWrap/>
            <w:hideMark/>
          </w:tcPr>
          <w:p w14:paraId="6BC0FD34" w14:textId="3240CF02" w:rsidR="009876CC" w:rsidRPr="000973F2" w:rsidRDefault="009876CC" w:rsidP="006F44A8">
            <w:pPr>
              <w:spacing w:before="40" w:after="4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sz w:val="18"/>
                <w:szCs w:val="18"/>
              </w:rPr>
            </w:pPr>
            <w:r w:rsidRPr="000973F2">
              <w:rPr>
                <w:rFonts w:ascii="Times New Roman" w:eastAsia="Times New Roman" w:hAnsi="Times New Roman" w:cs="Times New Roman"/>
                <w:b/>
                <w:bCs/>
                <w:sz w:val="18"/>
                <w:szCs w:val="18"/>
              </w:rPr>
              <w:t>$87.45</w:t>
            </w:r>
          </w:p>
        </w:tc>
        <w:tc>
          <w:tcPr>
            <w:tcW w:w="1623" w:type="dxa"/>
            <w:gridSpan w:val="2"/>
            <w:noWrap/>
            <w:hideMark/>
          </w:tcPr>
          <w:p w14:paraId="65BE9898" w14:textId="7B5257FD" w:rsidR="009876CC" w:rsidRPr="000973F2" w:rsidRDefault="009876CC" w:rsidP="006F44A8">
            <w:pPr>
              <w:spacing w:before="40" w:after="4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sz w:val="18"/>
                <w:szCs w:val="18"/>
              </w:rPr>
            </w:pPr>
            <w:r w:rsidRPr="000973F2">
              <w:rPr>
                <w:rFonts w:ascii="Times New Roman" w:eastAsia="Times New Roman" w:hAnsi="Times New Roman" w:cs="Times New Roman"/>
                <w:b/>
                <w:bCs/>
                <w:sz w:val="18"/>
                <w:szCs w:val="18"/>
              </w:rPr>
              <w:t>$71.45</w:t>
            </w:r>
          </w:p>
        </w:tc>
        <w:tc>
          <w:tcPr>
            <w:tcW w:w="1624" w:type="dxa"/>
            <w:gridSpan w:val="2"/>
            <w:noWrap/>
            <w:hideMark/>
          </w:tcPr>
          <w:p w14:paraId="5BF0DDDA" w14:textId="21068411" w:rsidR="009876CC" w:rsidRPr="000973F2" w:rsidRDefault="009876CC" w:rsidP="006F44A8">
            <w:pPr>
              <w:spacing w:before="40" w:after="4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sz w:val="18"/>
                <w:szCs w:val="18"/>
              </w:rPr>
            </w:pPr>
            <w:r w:rsidRPr="000973F2">
              <w:rPr>
                <w:rFonts w:ascii="Times New Roman" w:eastAsia="Times New Roman" w:hAnsi="Times New Roman" w:cs="Times New Roman"/>
                <w:b/>
                <w:bCs/>
                <w:sz w:val="18"/>
                <w:szCs w:val="18"/>
              </w:rPr>
              <w:t>$36.28</w:t>
            </w:r>
          </w:p>
        </w:tc>
        <w:tc>
          <w:tcPr>
            <w:tcW w:w="1501" w:type="dxa"/>
            <w:gridSpan w:val="2"/>
            <w:vMerge/>
            <w:hideMark/>
          </w:tcPr>
          <w:p w14:paraId="427BDDD8" w14:textId="77777777" w:rsidR="009876CC" w:rsidRPr="000973F2" w:rsidRDefault="009876CC" w:rsidP="006F44A8">
            <w:pPr>
              <w:spacing w:before="40" w:after="4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sz w:val="18"/>
                <w:szCs w:val="18"/>
              </w:rPr>
            </w:pPr>
          </w:p>
        </w:tc>
      </w:tr>
      <w:tr w:rsidR="006F44A8" w:rsidRPr="000973F2" w14:paraId="6FB4DB6B" w14:textId="77777777" w:rsidTr="006F44A8">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1335" w:type="dxa"/>
            <w:vMerge/>
            <w:hideMark/>
          </w:tcPr>
          <w:p w14:paraId="39E63DDF" w14:textId="77777777" w:rsidR="009876CC" w:rsidRPr="000973F2" w:rsidRDefault="009876CC" w:rsidP="006F44A8">
            <w:pPr>
              <w:spacing w:before="40" w:after="40"/>
              <w:rPr>
                <w:rFonts w:ascii="Times New Roman" w:eastAsia="Times New Roman" w:hAnsi="Times New Roman" w:cs="Times New Roman"/>
                <w:b/>
                <w:bCs w:val="0"/>
                <w:sz w:val="18"/>
                <w:szCs w:val="18"/>
              </w:rPr>
            </w:pPr>
          </w:p>
        </w:tc>
        <w:tc>
          <w:tcPr>
            <w:tcW w:w="811" w:type="dxa"/>
            <w:tcMar>
              <w:left w:w="29" w:type="dxa"/>
              <w:right w:w="29" w:type="dxa"/>
            </w:tcMar>
            <w:hideMark/>
          </w:tcPr>
          <w:p w14:paraId="4B7EA5E7" w14:textId="0F73D51B" w:rsidR="009876CC" w:rsidRPr="000973F2" w:rsidRDefault="009876CC" w:rsidP="006F44A8">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18"/>
                <w:szCs w:val="18"/>
              </w:rPr>
            </w:pPr>
            <w:r w:rsidRPr="000973F2">
              <w:rPr>
                <w:rFonts w:ascii="Times New Roman" w:eastAsia="Times New Roman" w:hAnsi="Times New Roman" w:cs="Times New Roman"/>
                <w:b/>
                <w:bCs/>
                <w:sz w:val="18"/>
                <w:szCs w:val="18"/>
              </w:rPr>
              <w:t>Initial Year</w:t>
            </w:r>
            <w:r w:rsidR="006F44A8" w:rsidRPr="000973F2">
              <w:rPr>
                <w:rFonts w:ascii="Times New Roman" w:eastAsia="Times New Roman" w:hAnsi="Times New Roman" w:cs="Times New Roman"/>
                <w:b/>
                <w:bCs/>
                <w:sz w:val="18"/>
                <w:szCs w:val="18"/>
              </w:rPr>
              <w:t xml:space="preserve"> </w:t>
            </w:r>
            <w:r w:rsidRPr="000973F2">
              <w:rPr>
                <w:rFonts w:ascii="Times New Roman" w:eastAsia="Times New Roman" w:hAnsi="Times New Roman" w:cs="Times New Roman"/>
                <w:b/>
                <w:bCs/>
                <w:sz w:val="18"/>
                <w:szCs w:val="18"/>
              </w:rPr>
              <w:t>Hours</w:t>
            </w:r>
          </w:p>
        </w:tc>
        <w:tc>
          <w:tcPr>
            <w:tcW w:w="812" w:type="dxa"/>
            <w:tcMar>
              <w:left w:w="29" w:type="dxa"/>
              <w:right w:w="29" w:type="dxa"/>
            </w:tcMar>
            <w:hideMark/>
          </w:tcPr>
          <w:p w14:paraId="54AF7498" w14:textId="77777777" w:rsidR="009876CC" w:rsidRPr="000973F2" w:rsidRDefault="009876CC" w:rsidP="006F44A8">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18"/>
                <w:szCs w:val="18"/>
              </w:rPr>
            </w:pPr>
            <w:r w:rsidRPr="000973F2">
              <w:rPr>
                <w:rFonts w:ascii="Times New Roman" w:eastAsia="Times New Roman" w:hAnsi="Times New Roman" w:cs="Times New Roman"/>
                <w:b/>
                <w:bCs/>
                <w:sz w:val="18"/>
                <w:szCs w:val="18"/>
              </w:rPr>
              <w:t>Subseq. Year Hours</w:t>
            </w:r>
          </w:p>
        </w:tc>
        <w:tc>
          <w:tcPr>
            <w:tcW w:w="812" w:type="dxa"/>
            <w:tcMar>
              <w:left w:w="29" w:type="dxa"/>
              <w:right w:w="29" w:type="dxa"/>
            </w:tcMar>
            <w:hideMark/>
          </w:tcPr>
          <w:p w14:paraId="561861EB" w14:textId="00D69E5F" w:rsidR="009876CC" w:rsidRPr="000973F2" w:rsidRDefault="009876CC" w:rsidP="006F44A8">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18"/>
                <w:szCs w:val="18"/>
              </w:rPr>
            </w:pPr>
            <w:r w:rsidRPr="000973F2">
              <w:rPr>
                <w:rFonts w:ascii="Times New Roman" w:eastAsia="Times New Roman" w:hAnsi="Times New Roman" w:cs="Times New Roman"/>
                <w:b/>
                <w:bCs/>
                <w:sz w:val="18"/>
                <w:szCs w:val="18"/>
              </w:rPr>
              <w:t>Initial Year</w:t>
            </w:r>
            <w:r w:rsidR="006F44A8" w:rsidRPr="000973F2">
              <w:rPr>
                <w:rFonts w:ascii="Times New Roman" w:eastAsia="Times New Roman" w:hAnsi="Times New Roman" w:cs="Times New Roman"/>
                <w:b/>
                <w:bCs/>
                <w:sz w:val="18"/>
                <w:szCs w:val="18"/>
              </w:rPr>
              <w:t xml:space="preserve"> </w:t>
            </w:r>
            <w:r w:rsidRPr="000973F2">
              <w:rPr>
                <w:rFonts w:ascii="Times New Roman" w:eastAsia="Times New Roman" w:hAnsi="Times New Roman" w:cs="Times New Roman"/>
                <w:b/>
                <w:bCs/>
                <w:sz w:val="18"/>
                <w:szCs w:val="18"/>
              </w:rPr>
              <w:t>Hours</w:t>
            </w:r>
          </w:p>
        </w:tc>
        <w:tc>
          <w:tcPr>
            <w:tcW w:w="812" w:type="dxa"/>
            <w:tcMar>
              <w:left w:w="29" w:type="dxa"/>
              <w:right w:w="29" w:type="dxa"/>
            </w:tcMar>
            <w:hideMark/>
          </w:tcPr>
          <w:p w14:paraId="0071576E" w14:textId="77777777" w:rsidR="009876CC" w:rsidRPr="000973F2" w:rsidRDefault="009876CC" w:rsidP="006F44A8">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18"/>
                <w:szCs w:val="18"/>
              </w:rPr>
            </w:pPr>
            <w:r w:rsidRPr="000973F2">
              <w:rPr>
                <w:rFonts w:ascii="Times New Roman" w:eastAsia="Times New Roman" w:hAnsi="Times New Roman" w:cs="Times New Roman"/>
                <w:b/>
                <w:bCs/>
                <w:sz w:val="18"/>
                <w:szCs w:val="18"/>
              </w:rPr>
              <w:t>Subseq. Year Hours</w:t>
            </w:r>
          </w:p>
        </w:tc>
        <w:tc>
          <w:tcPr>
            <w:tcW w:w="811" w:type="dxa"/>
            <w:tcMar>
              <w:left w:w="29" w:type="dxa"/>
              <w:right w:w="29" w:type="dxa"/>
            </w:tcMar>
            <w:hideMark/>
          </w:tcPr>
          <w:p w14:paraId="39A7B3D3" w14:textId="71F3AD31" w:rsidR="009876CC" w:rsidRPr="000973F2" w:rsidRDefault="009876CC" w:rsidP="006F44A8">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18"/>
                <w:szCs w:val="18"/>
              </w:rPr>
            </w:pPr>
            <w:r w:rsidRPr="000973F2">
              <w:rPr>
                <w:rFonts w:ascii="Times New Roman" w:eastAsia="Times New Roman" w:hAnsi="Times New Roman" w:cs="Times New Roman"/>
                <w:b/>
                <w:bCs/>
                <w:sz w:val="18"/>
                <w:szCs w:val="18"/>
              </w:rPr>
              <w:t>Initial Year</w:t>
            </w:r>
            <w:r w:rsidR="006F44A8" w:rsidRPr="000973F2">
              <w:rPr>
                <w:rFonts w:ascii="Times New Roman" w:eastAsia="Times New Roman" w:hAnsi="Times New Roman" w:cs="Times New Roman"/>
                <w:b/>
                <w:bCs/>
                <w:sz w:val="18"/>
                <w:szCs w:val="18"/>
              </w:rPr>
              <w:t xml:space="preserve"> </w:t>
            </w:r>
            <w:r w:rsidRPr="000973F2">
              <w:rPr>
                <w:rFonts w:ascii="Times New Roman" w:eastAsia="Times New Roman" w:hAnsi="Times New Roman" w:cs="Times New Roman"/>
                <w:b/>
                <w:bCs/>
                <w:sz w:val="18"/>
                <w:szCs w:val="18"/>
              </w:rPr>
              <w:t>Hours</w:t>
            </w:r>
          </w:p>
        </w:tc>
        <w:tc>
          <w:tcPr>
            <w:tcW w:w="812" w:type="dxa"/>
            <w:tcMar>
              <w:left w:w="29" w:type="dxa"/>
              <w:right w:w="29" w:type="dxa"/>
            </w:tcMar>
            <w:hideMark/>
          </w:tcPr>
          <w:p w14:paraId="71AA8718" w14:textId="77777777" w:rsidR="009876CC" w:rsidRPr="000973F2" w:rsidRDefault="009876CC" w:rsidP="006F44A8">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18"/>
                <w:szCs w:val="18"/>
              </w:rPr>
            </w:pPr>
            <w:r w:rsidRPr="000973F2">
              <w:rPr>
                <w:rFonts w:ascii="Times New Roman" w:eastAsia="Times New Roman" w:hAnsi="Times New Roman" w:cs="Times New Roman"/>
                <w:b/>
                <w:bCs/>
                <w:sz w:val="18"/>
                <w:szCs w:val="18"/>
              </w:rPr>
              <w:t>Subseq. Year Hours</w:t>
            </w:r>
          </w:p>
        </w:tc>
        <w:tc>
          <w:tcPr>
            <w:tcW w:w="812" w:type="dxa"/>
            <w:tcMar>
              <w:left w:w="29" w:type="dxa"/>
              <w:right w:w="29" w:type="dxa"/>
            </w:tcMar>
            <w:hideMark/>
          </w:tcPr>
          <w:p w14:paraId="42C118CB" w14:textId="65B2A5F5" w:rsidR="009876CC" w:rsidRPr="000973F2" w:rsidRDefault="009876CC" w:rsidP="006F44A8">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18"/>
                <w:szCs w:val="18"/>
              </w:rPr>
            </w:pPr>
            <w:r w:rsidRPr="000973F2">
              <w:rPr>
                <w:rFonts w:ascii="Times New Roman" w:eastAsia="Times New Roman" w:hAnsi="Times New Roman" w:cs="Times New Roman"/>
                <w:b/>
                <w:bCs/>
                <w:sz w:val="18"/>
                <w:szCs w:val="18"/>
              </w:rPr>
              <w:t>Initial Year</w:t>
            </w:r>
            <w:r w:rsidR="006F44A8" w:rsidRPr="000973F2">
              <w:rPr>
                <w:rFonts w:ascii="Times New Roman" w:eastAsia="Times New Roman" w:hAnsi="Times New Roman" w:cs="Times New Roman"/>
                <w:b/>
                <w:bCs/>
                <w:sz w:val="18"/>
                <w:szCs w:val="18"/>
              </w:rPr>
              <w:t xml:space="preserve"> </w:t>
            </w:r>
            <w:r w:rsidRPr="000973F2">
              <w:rPr>
                <w:rFonts w:ascii="Times New Roman" w:eastAsia="Times New Roman" w:hAnsi="Times New Roman" w:cs="Times New Roman"/>
                <w:b/>
                <w:bCs/>
                <w:sz w:val="18"/>
                <w:szCs w:val="18"/>
              </w:rPr>
              <w:t>Hours</w:t>
            </w:r>
          </w:p>
        </w:tc>
        <w:tc>
          <w:tcPr>
            <w:tcW w:w="812" w:type="dxa"/>
            <w:tcMar>
              <w:left w:w="29" w:type="dxa"/>
              <w:right w:w="29" w:type="dxa"/>
            </w:tcMar>
            <w:hideMark/>
          </w:tcPr>
          <w:p w14:paraId="04E0EA55" w14:textId="77777777" w:rsidR="009876CC" w:rsidRPr="000973F2" w:rsidRDefault="009876CC" w:rsidP="006F44A8">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18"/>
                <w:szCs w:val="18"/>
              </w:rPr>
            </w:pPr>
            <w:r w:rsidRPr="000973F2">
              <w:rPr>
                <w:rFonts w:ascii="Times New Roman" w:eastAsia="Times New Roman" w:hAnsi="Times New Roman" w:cs="Times New Roman"/>
                <w:b/>
                <w:bCs/>
                <w:sz w:val="18"/>
                <w:szCs w:val="18"/>
              </w:rPr>
              <w:t>Subseq. Year Hours</w:t>
            </w:r>
          </w:p>
        </w:tc>
        <w:tc>
          <w:tcPr>
            <w:tcW w:w="702" w:type="dxa"/>
            <w:tcMar>
              <w:left w:w="29" w:type="dxa"/>
              <w:right w:w="29" w:type="dxa"/>
            </w:tcMar>
            <w:hideMark/>
          </w:tcPr>
          <w:p w14:paraId="438A7667" w14:textId="77777777" w:rsidR="009876CC" w:rsidRPr="000973F2" w:rsidRDefault="009876CC" w:rsidP="006F44A8">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18"/>
                <w:szCs w:val="18"/>
              </w:rPr>
            </w:pPr>
            <w:r w:rsidRPr="000973F2">
              <w:rPr>
                <w:rFonts w:ascii="Times New Roman" w:eastAsia="Times New Roman" w:hAnsi="Times New Roman" w:cs="Times New Roman"/>
                <w:b/>
                <w:bCs/>
                <w:sz w:val="18"/>
                <w:szCs w:val="18"/>
              </w:rPr>
              <w:t>Initial Year</w:t>
            </w:r>
          </w:p>
        </w:tc>
        <w:tc>
          <w:tcPr>
            <w:tcW w:w="799" w:type="dxa"/>
            <w:tcMar>
              <w:left w:w="29" w:type="dxa"/>
              <w:right w:w="29" w:type="dxa"/>
            </w:tcMar>
            <w:hideMark/>
          </w:tcPr>
          <w:p w14:paraId="31ED17BF" w14:textId="77777777" w:rsidR="009876CC" w:rsidRPr="000973F2" w:rsidRDefault="009876CC" w:rsidP="006F44A8">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18"/>
                <w:szCs w:val="18"/>
              </w:rPr>
            </w:pPr>
            <w:r w:rsidRPr="000973F2">
              <w:rPr>
                <w:rFonts w:ascii="Times New Roman" w:eastAsia="Times New Roman" w:hAnsi="Times New Roman" w:cs="Times New Roman"/>
                <w:b/>
                <w:bCs/>
                <w:sz w:val="18"/>
                <w:szCs w:val="18"/>
              </w:rPr>
              <w:t>Subseq. Year</w:t>
            </w:r>
          </w:p>
        </w:tc>
      </w:tr>
      <w:tr w:rsidR="008D32E6" w:rsidRPr="000973F2" w14:paraId="10EBFB3F" w14:textId="77777777" w:rsidTr="006F44A8">
        <w:trPr>
          <w:cantSplit/>
        </w:trPr>
        <w:tc>
          <w:tcPr>
            <w:cnfStyle w:val="001000000000" w:firstRow="0" w:lastRow="0" w:firstColumn="1" w:lastColumn="0" w:oddVBand="0" w:evenVBand="0" w:oddHBand="0" w:evenHBand="0" w:firstRowFirstColumn="0" w:firstRowLastColumn="0" w:lastRowFirstColumn="0" w:lastRowLastColumn="0"/>
            <w:tcW w:w="1335" w:type="dxa"/>
            <w:tcMar>
              <w:right w:w="14" w:type="dxa"/>
            </w:tcMar>
            <w:hideMark/>
          </w:tcPr>
          <w:p w14:paraId="08527A55" w14:textId="77777777" w:rsidR="009876CC" w:rsidRPr="000973F2" w:rsidRDefault="009876CC" w:rsidP="006F44A8">
            <w:pPr>
              <w:spacing w:before="40" w:after="4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Planning</w:t>
            </w:r>
          </w:p>
        </w:tc>
        <w:tc>
          <w:tcPr>
            <w:tcW w:w="811" w:type="dxa"/>
            <w:noWrap/>
            <w:hideMark/>
          </w:tcPr>
          <w:p w14:paraId="5F2BB611" w14:textId="77777777" w:rsidR="009876CC" w:rsidRPr="000973F2" w:rsidRDefault="009876CC" w:rsidP="006F44A8">
            <w:pPr>
              <w:spacing w:before="40" w:after="4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hAnsi="Times New Roman" w:cs="Times New Roman"/>
                <w:sz w:val="18"/>
                <w:szCs w:val="18"/>
              </w:rPr>
              <w:t>0.0</w:t>
            </w:r>
          </w:p>
        </w:tc>
        <w:tc>
          <w:tcPr>
            <w:tcW w:w="812" w:type="dxa"/>
            <w:noWrap/>
            <w:hideMark/>
          </w:tcPr>
          <w:p w14:paraId="2AF483F1" w14:textId="77777777" w:rsidR="009876CC" w:rsidRPr="000973F2" w:rsidRDefault="009876CC" w:rsidP="006F44A8">
            <w:pPr>
              <w:spacing w:before="40" w:after="4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hAnsi="Times New Roman" w:cs="Times New Roman"/>
                <w:sz w:val="18"/>
                <w:szCs w:val="18"/>
              </w:rPr>
              <w:t>1.0</w:t>
            </w:r>
          </w:p>
        </w:tc>
        <w:tc>
          <w:tcPr>
            <w:tcW w:w="812" w:type="dxa"/>
            <w:noWrap/>
            <w:hideMark/>
          </w:tcPr>
          <w:p w14:paraId="01767F42" w14:textId="77777777" w:rsidR="009876CC" w:rsidRPr="000973F2" w:rsidRDefault="009876CC" w:rsidP="006F44A8">
            <w:pPr>
              <w:spacing w:before="40" w:after="4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hAnsi="Times New Roman" w:cs="Times New Roman"/>
                <w:sz w:val="18"/>
                <w:szCs w:val="18"/>
              </w:rPr>
              <w:t>0.0</w:t>
            </w:r>
          </w:p>
        </w:tc>
        <w:tc>
          <w:tcPr>
            <w:tcW w:w="812" w:type="dxa"/>
            <w:noWrap/>
            <w:hideMark/>
          </w:tcPr>
          <w:p w14:paraId="39FCBE20" w14:textId="77777777" w:rsidR="009876CC" w:rsidRPr="000973F2" w:rsidRDefault="009876CC" w:rsidP="006F44A8">
            <w:pPr>
              <w:spacing w:before="40" w:after="4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hAnsi="Times New Roman" w:cs="Times New Roman"/>
                <w:sz w:val="18"/>
                <w:szCs w:val="18"/>
              </w:rPr>
              <w:t>0.3</w:t>
            </w:r>
          </w:p>
        </w:tc>
        <w:tc>
          <w:tcPr>
            <w:tcW w:w="811" w:type="dxa"/>
            <w:noWrap/>
            <w:hideMark/>
          </w:tcPr>
          <w:p w14:paraId="30169F7A" w14:textId="77777777" w:rsidR="009876CC" w:rsidRPr="000973F2" w:rsidRDefault="009876CC" w:rsidP="006F44A8">
            <w:pPr>
              <w:spacing w:before="40" w:after="4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hAnsi="Times New Roman" w:cs="Times New Roman"/>
                <w:sz w:val="18"/>
                <w:szCs w:val="18"/>
              </w:rPr>
              <w:t>0.0</w:t>
            </w:r>
          </w:p>
        </w:tc>
        <w:tc>
          <w:tcPr>
            <w:tcW w:w="812" w:type="dxa"/>
            <w:noWrap/>
            <w:hideMark/>
          </w:tcPr>
          <w:p w14:paraId="6EF0E60E" w14:textId="77777777" w:rsidR="009876CC" w:rsidRPr="000973F2" w:rsidRDefault="009876CC" w:rsidP="006F44A8">
            <w:pPr>
              <w:tabs>
                <w:tab w:val="decimal" w:pos="331"/>
              </w:tabs>
              <w:spacing w:before="40" w:after="4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hAnsi="Times New Roman" w:cs="Times New Roman"/>
                <w:sz w:val="18"/>
                <w:szCs w:val="18"/>
              </w:rPr>
              <w:t>2.6</w:t>
            </w:r>
          </w:p>
        </w:tc>
        <w:tc>
          <w:tcPr>
            <w:tcW w:w="812" w:type="dxa"/>
            <w:noWrap/>
            <w:hideMark/>
          </w:tcPr>
          <w:p w14:paraId="2AB6A604" w14:textId="77777777" w:rsidR="009876CC" w:rsidRPr="000973F2" w:rsidRDefault="009876CC" w:rsidP="006F44A8">
            <w:pPr>
              <w:spacing w:before="40" w:after="4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hAnsi="Times New Roman" w:cs="Times New Roman"/>
                <w:sz w:val="18"/>
                <w:szCs w:val="18"/>
              </w:rPr>
              <w:t>0.0</w:t>
            </w:r>
          </w:p>
        </w:tc>
        <w:tc>
          <w:tcPr>
            <w:tcW w:w="812" w:type="dxa"/>
            <w:noWrap/>
            <w:hideMark/>
          </w:tcPr>
          <w:p w14:paraId="3C0BB5E7" w14:textId="77777777" w:rsidR="009876CC" w:rsidRPr="000973F2" w:rsidRDefault="009876CC" w:rsidP="006F44A8">
            <w:pPr>
              <w:spacing w:before="40" w:after="4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hAnsi="Times New Roman" w:cs="Times New Roman"/>
                <w:sz w:val="18"/>
                <w:szCs w:val="18"/>
              </w:rPr>
              <w:t>0.1</w:t>
            </w:r>
          </w:p>
        </w:tc>
        <w:tc>
          <w:tcPr>
            <w:tcW w:w="702" w:type="dxa"/>
            <w:noWrap/>
            <w:hideMark/>
          </w:tcPr>
          <w:p w14:paraId="284E3F94" w14:textId="12053D18" w:rsidR="009876CC" w:rsidRPr="000973F2" w:rsidRDefault="009876CC" w:rsidP="006F44A8">
            <w:pPr>
              <w:spacing w:before="40" w:after="4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hAnsi="Times New Roman" w:cs="Times New Roman"/>
                <w:sz w:val="18"/>
                <w:szCs w:val="18"/>
              </w:rPr>
              <w:t>$0</w:t>
            </w:r>
          </w:p>
        </w:tc>
        <w:tc>
          <w:tcPr>
            <w:tcW w:w="799" w:type="dxa"/>
            <w:noWrap/>
            <w:hideMark/>
          </w:tcPr>
          <w:p w14:paraId="5CE9D061" w14:textId="6E058F0B" w:rsidR="009876CC" w:rsidRPr="000973F2" w:rsidRDefault="009876CC" w:rsidP="006F44A8">
            <w:pPr>
              <w:tabs>
                <w:tab w:val="decimal" w:pos="526"/>
              </w:tabs>
              <w:spacing w:before="40" w:after="4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hAnsi="Times New Roman" w:cs="Times New Roman"/>
                <w:sz w:val="18"/>
                <w:szCs w:val="18"/>
              </w:rPr>
              <w:t>$329</w:t>
            </w:r>
          </w:p>
        </w:tc>
      </w:tr>
      <w:tr w:rsidR="00034890" w:rsidRPr="000973F2" w14:paraId="3CE64509" w14:textId="77777777" w:rsidTr="006F44A8">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1335" w:type="dxa"/>
            <w:tcMar>
              <w:right w:w="14" w:type="dxa"/>
            </w:tcMar>
            <w:hideMark/>
          </w:tcPr>
          <w:p w14:paraId="481269D7" w14:textId="77777777" w:rsidR="00034890" w:rsidRPr="000973F2" w:rsidRDefault="00034890" w:rsidP="00034890">
            <w:pPr>
              <w:spacing w:before="40" w:after="4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QA/QC</w:t>
            </w:r>
          </w:p>
        </w:tc>
        <w:tc>
          <w:tcPr>
            <w:tcW w:w="811" w:type="dxa"/>
            <w:noWrap/>
            <w:hideMark/>
          </w:tcPr>
          <w:p w14:paraId="057341AA" w14:textId="0D4CCFAB" w:rsidR="00034890" w:rsidRPr="000973F2" w:rsidRDefault="00034890" w:rsidP="00034890">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w:t>
            </w:r>
          </w:p>
        </w:tc>
        <w:tc>
          <w:tcPr>
            <w:tcW w:w="812" w:type="dxa"/>
            <w:noWrap/>
            <w:hideMark/>
          </w:tcPr>
          <w:p w14:paraId="31AAC118" w14:textId="3F2A5143" w:rsidR="00034890" w:rsidRPr="000973F2" w:rsidRDefault="00034890" w:rsidP="00034890">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w:t>
            </w:r>
          </w:p>
        </w:tc>
        <w:tc>
          <w:tcPr>
            <w:tcW w:w="812" w:type="dxa"/>
            <w:noWrap/>
            <w:hideMark/>
          </w:tcPr>
          <w:p w14:paraId="7EBE813E" w14:textId="1F17AE4E" w:rsidR="00034890" w:rsidRPr="000973F2" w:rsidRDefault="00034890" w:rsidP="00034890">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w:t>
            </w:r>
          </w:p>
        </w:tc>
        <w:tc>
          <w:tcPr>
            <w:tcW w:w="812" w:type="dxa"/>
            <w:noWrap/>
            <w:hideMark/>
          </w:tcPr>
          <w:p w14:paraId="6D712B52" w14:textId="4B87D28D" w:rsidR="00034890" w:rsidRPr="000973F2" w:rsidRDefault="00034890" w:rsidP="00034890">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w:t>
            </w:r>
          </w:p>
        </w:tc>
        <w:tc>
          <w:tcPr>
            <w:tcW w:w="811" w:type="dxa"/>
            <w:noWrap/>
            <w:hideMark/>
          </w:tcPr>
          <w:p w14:paraId="2997D61C" w14:textId="41717E57" w:rsidR="00034890" w:rsidRPr="000973F2" w:rsidRDefault="00034890" w:rsidP="00034890">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w:t>
            </w:r>
          </w:p>
        </w:tc>
        <w:tc>
          <w:tcPr>
            <w:tcW w:w="812" w:type="dxa"/>
            <w:noWrap/>
            <w:hideMark/>
          </w:tcPr>
          <w:p w14:paraId="40FDCA9C" w14:textId="7A2B22A4" w:rsidR="00034890" w:rsidRPr="000973F2" w:rsidRDefault="00034890" w:rsidP="00034890">
            <w:pPr>
              <w:tabs>
                <w:tab w:val="decimal" w:pos="331"/>
              </w:tabs>
              <w:spacing w:before="40" w:after="4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w:t>
            </w:r>
          </w:p>
        </w:tc>
        <w:tc>
          <w:tcPr>
            <w:tcW w:w="812" w:type="dxa"/>
            <w:noWrap/>
            <w:hideMark/>
          </w:tcPr>
          <w:p w14:paraId="6352A5BA" w14:textId="2E7279C8" w:rsidR="00034890" w:rsidRPr="000973F2" w:rsidRDefault="00034890" w:rsidP="00034890">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w:t>
            </w:r>
          </w:p>
        </w:tc>
        <w:tc>
          <w:tcPr>
            <w:tcW w:w="812" w:type="dxa"/>
            <w:noWrap/>
            <w:hideMark/>
          </w:tcPr>
          <w:p w14:paraId="74ACAF5A" w14:textId="13027380" w:rsidR="00034890" w:rsidRPr="000973F2" w:rsidRDefault="00034890" w:rsidP="00034890">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w:t>
            </w:r>
          </w:p>
        </w:tc>
        <w:tc>
          <w:tcPr>
            <w:tcW w:w="702" w:type="dxa"/>
            <w:noWrap/>
            <w:hideMark/>
          </w:tcPr>
          <w:p w14:paraId="1FD00748" w14:textId="38AD1FC1" w:rsidR="00034890" w:rsidRPr="000973F2" w:rsidRDefault="00034890" w:rsidP="00034890">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w:t>
            </w:r>
          </w:p>
        </w:tc>
        <w:tc>
          <w:tcPr>
            <w:tcW w:w="799" w:type="dxa"/>
            <w:noWrap/>
            <w:hideMark/>
          </w:tcPr>
          <w:p w14:paraId="0AB42B1A" w14:textId="1B7DE08F" w:rsidR="00034890" w:rsidRPr="000973F2" w:rsidRDefault="00034890" w:rsidP="00034890">
            <w:pPr>
              <w:tabs>
                <w:tab w:val="decimal" w:pos="526"/>
              </w:tabs>
              <w:spacing w:before="40" w:after="4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w:t>
            </w:r>
          </w:p>
        </w:tc>
      </w:tr>
      <w:tr w:rsidR="008D32E6" w:rsidRPr="000973F2" w14:paraId="7D277ECC" w14:textId="77777777" w:rsidTr="006F44A8">
        <w:trPr>
          <w:cantSplit/>
        </w:trPr>
        <w:tc>
          <w:tcPr>
            <w:cnfStyle w:val="001000000000" w:firstRow="0" w:lastRow="0" w:firstColumn="1" w:lastColumn="0" w:oddVBand="0" w:evenVBand="0" w:oddHBand="0" w:evenHBand="0" w:firstRowFirstColumn="0" w:firstRowLastColumn="0" w:lastRowFirstColumn="0" w:lastRowLastColumn="0"/>
            <w:tcW w:w="1335" w:type="dxa"/>
            <w:tcMar>
              <w:right w:w="14" w:type="dxa"/>
            </w:tcMar>
            <w:hideMark/>
          </w:tcPr>
          <w:p w14:paraId="68F333C6" w14:textId="77777777" w:rsidR="009876CC" w:rsidRPr="000973F2" w:rsidRDefault="009876CC" w:rsidP="006F44A8">
            <w:pPr>
              <w:spacing w:before="40" w:after="4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Recordkeeping</w:t>
            </w:r>
          </w:p>
        </w:tc>
        <w:tc>
          <w:tcPr>
            <w:tcW w:w="811" w:type="dxa"/>
            <w:noWrap/>
            <w:hideMark/>
          </w:tcPr>
          <w:p w14:paraId="55161409" w14:textId="77777777" w:rsidR="009876CC" w:rsidRPr="000973F2" w:rsidRDefault="009876CC" w:rsidP="006F44A8">
            <w:pPr>
              <w:spacing w:before="40" w:after="4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hAnsi="Times New Roman" w:cs="Times New Roman"/>
                <w:sz w:val="18"/>
                <w:szCs w:val="18"/>
              </w:rPr>
              <w:t>0.0</w:t>
            </w:r>
          </w:p>
        </w:tc>
        <w:tc>
          <w:tcPr>
            <w:tcW w:w="812" w:type="dxa"/>
            <w:noWrap/>
            <w:hideMark/>
          </w:tcPr>
          <w:p w14:paraId="4B0B86B1" w14:textId="77777777" w:rsidR="009876CC" w:rsidRPr="000973F2" w:rsidRDefault="009876CC" w:rsidP="006F44A8">
            <w:pPr>
              <w:spacing w:before="40" w:after="4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hAnsi="Times New Roman" w:cs="Times New Roman"/>
                <w:sz w:val="18"/>
                <w:szCs w:val="18"/>
              </w:rPr>
              <w:t>0.0</w:t>
            </w:r>
          </w:p>
        </w:tc>
        <w:tc>
          <w:tcPr>
            <w:tcW w:w="812" w:type="dxa"/>
            <w:noWrap/>
            <w:hideMark/>
          </w:tcPr>
          <w:p w14:paraId="143B23F2" w14:textId="77777777" w:rsidR="009876CC" w:rsidRPr="000973F2" w:rsidRDefault="009876CC" w:rsidP="006F44A8">
            <w:pPr>
              <w:spacing w:before="40" w:after="4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hAnsi="Times New Roman" w:cs="Times New Roman"/>
                <w:sz w:val="18"/>
                <w:szCs w:val="18"/>
              </w:rPr>
              <w:t>0.0</w:t>
            </w:r>
          </w:p>
        </w:tc>
        <w:tc>
          <w:tcPr>
            <w:tcW w:w="812" w:type="dxa"/>
            <w:noWrap/>
            <w:hideMark/>
          </w:tcPr>
          <w:p w14:paraId="3BDEC71E" w14:textId="77777777" w:rsidR="009876CC" w:rsidRPr="000973F2" w:rsidRDefault="009876CC" w:rsidP="006F44A8">
            <w:pPr>
              <w:spacing w:before="40" w:after="4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hAnsi="Times New Roman" w:cs="Times New Roman"/>
                <w:sz w:val="18"/>
                <w:szCs w:val="18"/>
              </w:rPr>
              <w:t>0.5</w:t>
            </w:r>
          </w:p>
        </w:tc>
        <w:tc>
          <w:tcPr>
            <w:tcW w:w="811" w:type="dxa"/>
            <w:noWrap/>
            <w:hideMark/>
          </w:tcPr>
          <w:p w14:paraId="6C899952" w14:textId="77777777" w:rsidR="009876CC" w:rsidRPr="000973F2" w:rsidRDefault="009876CC" w:rsidP="006F44A8">
            <w:pPr>
              <w:spacing w:before="40" w:after="4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hAnsi="Times New Roman" w:cs="Times New Roman"/>
                <w:sz w:val="18"/>
                <w:szCs w:val="18"/>
              </w:rPr>
              <w:t>0.0</w:t>
            </w:r>
          </w:p>
        </w:tc>
        <w:tc>
          <w:tcPr>
            <w:tcW w:w="812" w:type="dxa"/>
            <w:noWrap/>
            <w:hideMark/>
          </w:tcPr>
          <w:p w14:paraId="75CBCD4E" w14:textId="77777777" w:rsidR="009876CC" w:rsidRPr="000973F2" w:rsidRDefault="009876CC" w:rsidP="006F44A8">
            <w:pPr>
              <w:tabs>
                <w:tab w:val="decimal" w:pos="331"/>
              </w:tabs>
              <w:spacing w:before="40" w:after="4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hAnsi="Times New Roman" w:cs="Times New Roman"/>
                <w:sz w:val="18"/>
                <w:szCs w:val="18"/>
              </w:rPr>
              <w:t>5.0</w:t>
            </w:r>
          </w:p>
        </w:tc>
        <w:tc>
          <w:tcPr>
            <w:tcW w:w="812" w:type="dxa"/>
            <w:noWrap/>
            <w:hideMark/>
          </w:tcPr>
          <w:p w14:paraId="2690268B" w14:textId="77777777" w:rsidR="009876CC" w:rsidRPr="000973F2" w:rsidRDefault="009876CC" w:rsidP="006F44A8">
            <w:pPr>
              <w:spacing w:before="40" w:after="4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hAnsi="Times New Roman" w:cs="Times New Roman"/>
                <w:sz w:val="18"/>
                <w:szCs w:val="18"/>
              </w:rPr>
              <w:t>0.0</w:t>
            </w:r>
          </w:p>
        </w:tc>
        <w:tc>
          <w:tcPr>
            <w:tcW w:w="812" w:type="dxa"/>
            <w:noWrap/>
            <w:hideMark/>
          </w:tcPr>
          <w:p w14:paraId="03236A0F" w14:textId="77777777" w:rsidR="009876CC" w:rsidRPr="000973F2" w:rsidRDefault="009876CC" w:rsidP="006F44A8">
            <w:pPr>
              <w:spacing w:before="40" w:after="4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hAnsi="Times New Roman" w:cs="Times New Roman"/>
                <w:sz w:val="18"/>
                <w:szCs w:val="18"/>
              </w:rPr>
              <w:t>0.5</w:t>
            </w:r>
          </w:p>
        </w:tc>
        <w:tc>
          <w:tcPr>
            <w:tcW w:w="702" w:type="dxa"/>
            <w:noWrap/>
            <w:hideMark/>
          </w:tcPr>
          <w:p w14:paraId="00A86079" w14:textId="664D8437" w:rsidR="009876CC" w:rsidRPr="000973F2" w:rsidRDefault="009876CC" w:rsidP="006F44A8">
            <w:pPr>
              <w:spacing w:before="40" w:after="4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hAnsi="Times New Roman" w:cs="Times New Roman"/>
                <w:sz w:val="18"/>
                <w:szCs w:val="18"/>
              </w:rPr>
              <w:t>$0</w:t>
            </w:r>
          </w:p>
        </w:tc>
        <w:tc>
          <w:tcPr>
            <w:tcW w:w="799" w:type="dxa"/>
            <w:noWrap/>
            <w:hideMark/>
          </w:tcPr>
          <w:p w14:paraId="5689BD14" w14:textId="46D62F7C" w:rsidR="009876CC" w:rsidRPr="000973F2" w:rsidRDefault="009876CC" w:rsidP="006F44A8">
            <w:pPr>
              <w:tabs>
                <w:tab w:val="decimal" w:pos="526"/>
              </w:tabs>
              <w:spacing w:before="40" w:after="4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hAnsi="Times New Roman" w:cs="Times New Roman"/>
                <w:sz w:val="18"/>
                <w:szCs w:val="18"/>
              </w:rPr>
              <w:t>$419</w:t>
            </w:r>
          </w:p>
        </w:tc>
      </w:tr>
      <w:tr w:rsidR="006F44A8" w:rsidRPr="000973F2" w14:paraId="6CFAB4C6" w14:textId="77777777" w:rsidTr="006F44A8">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1335" w:type="dxa"/>
            <w:tcMar>
              <w:right w:w="14" w:type="dxa"/>
            </w:tcMar>
            <w:hideMark/>
          </w:tcPr>
          <w:p w14:paraId="6F3863B3" w14:textId="77777777" w:rsidR="009876CC" w:rsidRPr="000973F2" w:rsidRDefault="009876CC" w:rsidP="006F44A8">
            <w:pPr>
              <w:spacing w:before="40" w:after="4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Sampling and Analysis (Calculations)</w:t>
            </w:r>
          </w:p>
        </w:tc>
        <w:tc>
          <w:tcPr>
            <w:tcW w:w="811" w:type="dxa"/>
            <w:noWrap/>
            <w:hideMark/>
          </w:tcPr>
          <w:p w14:paraId="6155B326" w14:textId="77777777" w:rsidR="009876CC" w:rsidRPr="000973F2" w:rsidRDefault="009876CC" w:rsidP="006F44A8">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hAnsi="Times New Roman" w:cs="Times New Roman"/>
                <w:sz w:val="18"/>
                <w:szCs w:val="18"/>
              </w:rPr>
              <w:t>0.0</w:t>
            </w:r>
          </w:p>
        </w:tc>
        <w:tc>
          <w:tcPr>
            <w:tcW w:w="812" w:type="dxa"/>
            <w:noWrap/>
            <w:hideMark/>
          </w:tcPr>
          <w:p w14:paraId="2FC6B304" w14:textId="77777777" w:rsidR="009876CC" w:rsidRPr="000973F2" w:rsidRDefault="009876CC" w:rsidP="006F44A8">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hAnsi="Times New Roman" w:cs="Times New Roman"/>
                <w:sz w:val="18"/>
                <w:szCs w:val="18"/>
              </w:rPr>
              <w:t>0.0</w:t>
            </w:r>
          </w:p>
        </w:tc>
        <w:tc>
          <w:tcPr>
            <w:tcW w:w="812" w:type="dxa"/>
            <w:noWrap/>
            <w:hideMark/>
          </w:tcPr>
          <w:p w14:paraId="74CE5DBE" w14:textId="77777777" w:rsidR="009876CC" w:rsidRPr="000973F2" w:rsidRDefault="009876CC" w:rsidP="006F44A8">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hAnsi="Times New Roman" w:cs="Times New Roman"/>
                <w:sz w:val="18"/>
                <w:szCs w:val="18"/>
              </w:rPr>
              <w:t>0.0</w:t>
            </w:r>
          </w:p>
        </w:tc>
        <w:tc>
          <w:tcPr>
            <w:tcW w:w="812" w:type="dxa"/>
            <w:noWrap/>
            <w:hideMark/>
          </w:tcPr>
          <w:p w14:paraId="2BEF3231" w14:textId="77777777" w:rsidR="009876CC" w:rsidRPr="000973F2" w:rsidRDefault="009876CC" w:rsidP="006F44A8">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hAnsi="Times New Roman" w:cs="Times New Roman"/>
                <w:sz w:val="18"/>
                <w:szCs w:val="18"/>
              </w:rPr>
              <w:t>3.2</w:t>
            </w:r>
          </w:p>
        </w:tc>
        <w:tc>
          <w:tcPr>
            <w:tcW w:w="811" w:type="dxa"/>
            <w:noWrap/>
            <w:hideMark/>
          </w:tcPr>
          <w:p w14:paraId="1265587F" w14:textId="77777777" w:rsidR="009876CC" w:rsidRPr="000973F2" w:rsidRDefault="009876CC" w:rsidP="006F44A8">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hAnsi="Times New Roman" w:cs="Times New Roman"/>
                <w:sz w:val="18"/>
                <w:szCs w:val="18"/>
              </w:rPr>
              <w:t>0.0</w:t>
            </w:r>
          </w:p>
        </w:tc>
        <w:tc>
          <w:tcPr>
            <w:tcW w:w="812" w:type="dxa"/>
            <w:noWrap/>
            <w:hideMark/>
          </w:tcPr>
          <w:p w14:paraId="5500B9AE" w14:textId="77777777" w:rsidR="009876CC" w:rsidRPr="000973F2" w:rsidRDefault="009876CC" w:rsidP="006F44A8">
            <w:pPr>
              <w:tabs>
                <w:tab w:val="decimal" w:pos="331"/>
              </w:tabs>
              <w:spacing w:before="40" w:after="4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hAnsi="Times New Roman" w:cs="Times New Roman"/>
                <w:sz w:val="18"/>
                <w:szCs w:val="18"/>
              </w:rPr>
              <w:t>31.9</w:t>
            </w:r>
          </w:p>
        </w:tc>
        <w:tc>
          <w:tcPr>
            <w:tcW w:w="812" w:type="dxa"/>
            <w:noWrap/>
            <w:hideMark/>
          </w:tcPr>
          <w:p w14:paraId="17E0353C" w14:textId="77777777" w:rsidR="009876CC" w:rsidRPr="000973F2" w:rsidRDefault="009876CC" w:rsidP="006F44A8">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hAnsi="Times New Roman" w:cs="Times New Roman"/>
                <w:sz w:val="18"/>
                <w:szCs w:val="18"/>
              </w:rPr>
              <w:t>0.0</w:t>
            </w:r>
          </w:p>
        </w:tc>
        <w:tc>
          <w:tcPr>
            <w:tcW w:w="812" w:type="dxa"/>
            <w:noWrap/>
            <w:hideMark/>
          </w:tcPr>
          <w:p w14:paraId="0F66FD4A" w14:textId="77777777" w:rsidR="009876CC" w:rsidRPr="000973F2" w:rsidRDefault="009876CC" w:rsidP="006F44A8">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hAnsi="Times New Roman" w:cs="Times New Roman"/>
                <w:sz w:val="18"/>
                <w:szCs w:val="18"/>
              </w:rPr>
              <w:t>1.6</w:t>
            </w:r>
          </w:p>
        </w:tc>
        <w:tc>
          <w:tcPr>
            <w:tcW w:w="702" w:type="dxa"/>
            <w:noWrap/>
            <w:hideMark/>
          </w:tcPr>
          <w:p w14:paraId="7D0FC616" w14:textId="21E88B67" w:rsidR="009876CC" w:rsidRPr="000973F2" w:rsidRDefault="009876CC" w:rsidP="006F44A8">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hAnsi="Times New Roman" w:cs="Times New Roman"/>
                <w:sz w:val="18"/>
                <w:szCs w:val="18"/>
              </w:rPr>
              <w:t>$0</w:t>
            </w:r>
          </w:p>
        </w:tc>
        <w:tc>
          <w:tcPr>
            <w:tcW w:w="799" w:type="dxa"/>
            <w:noWrap/>
            <w:hideMark/>
          </w:tcPr>
          <w:p w14:paraId="612F41C3" w14:textId="7138C2B6" w:rsidR="009876CC" w:rsidRPr="000973F2" w:rsidRDefault="009876CC" w:rsidP="006F44A8">
            <w:pPr>
              <w:tabs>
                <w:tab w:val="decimal" w:pos="526"/>
              </w:tabs>
              <w:spacing w:before="40" w:after="4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hAnsi="Times New Roman" w:cs="Times New Roman"/>
                <w:sz w:val="18"/>
                <w:szCs w:val="18"/>
              </w:rPr>
              <w:t>$2,618</w:t>
            </w:r>
          </w:p>
        </w:tc>
      </w:tr>
      <w:tr w:rsidR="008D32E6" w:rsidRPr="000973F2" w14:paraId="2596EB5D" w14:textId="77777777" w:rsidTr="006F44A8">
        <w:trPr>
          <w:cantSplit/>
        </w:trPr>
        <w:tc>
          <w:tcPr>
            <w:cnfStyle w:val="001000000000" w:firstRow="0" w:lastRow="0" w:firstColumn="1" w:lastColumn="0" w:oddVBand="0" w:evenVBand="0" w:oddHBand="0" w:evenHBand="0" w:firstRowFirstColumn="0" w:firstRowLastColumn="0" w:lastRowFirstColumn="0" w:lastRowLastColumn="0"/>
            <w:tcW w:w="1335" w:type="dxa"/>
            <w:tcMar>
              <w:right w:w="14" w:type="dxa"/>
            </w:tcMar>
            <w:hideMark/>
          </w:tcPr>
          <w:p w14:paraId="68F5EF16" w14:textId="77777777" w:rsidR="009876CC" w:rsidRPr="000973F2" w:rsidRDefault="009876CC" w:rsidP="006F44A8">
            <w:pPr>
              <w:spacing w:before="40" w:after="4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Reporting</w:t>
            </w:r>
          </w:p>
        </w:tc>
        <w:tc>
          <w:tcPr>
            <w:tcW w:w="811" w:type="dxa"/>
            <w:noWrap/>
            <w:hideMark/>
          </w:tcPr>
          <w:p w14:paraId="3DE21335" w14:textId="77777777" w:rsidR="009876CC" w:rsidRPr="000973F2" w:rsidRDefault="009876CC" w:rsidP="006F44A8">
            <w:pPr>
              <w:spacing w:before="40" w:after="4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hAnsi="Times New Roman" w:cs="Times New Roman"/>
                <w:sz w:val="18"/>
                <w:szCs w:val="18"/>
              </w:rPr>
              <w:t>0.0</w:t>
            </w:r>
          </w:p>
        </w:tc>
        <w:tc>
          <w:tcPr>
            <w:tcW w:w="812" w:type="dxa"/>
            <w:noWrap/>
            <w:hideMark/>
          </w:tcPr>
          <w:p w14:paraId="2507A788" w14:textId="77777777" w:rsidR="009876CC" w:rsidRPr="000973F2" w:rsidRDefault="009876CC" w:rsidP="006F44A8">
            <w:pPr>
              <w:spacing w:before="40" w:after="4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hAnsi="Times New Roman" w:cs="Times New Roman"/>
                <w:sz w:val="18"/>
                <w:szCs w:val="18"/>
              </w:rPr>
              <w:t>0.0</w:t>
            </w:r>
          </w:p>
        </w:tc>
        <w:tc>
          <w:tcPr>
            <w:tcW w:w="812" w:type="dxa"/>
            <w:noWrap/>
            <w:hideMark/>
          </w:tcPr>
          <w:p w14:paraId="31B2C6A0" w14:textId="77777777" w:rsidR="009876CC" w:rsidRPr="000973F2" w:rsidRDefault="009876CC" w:rsidP="006F44A8">
            <w:pPr>
              <w:spacing w:before="40" w:after="4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hAnsi="Times New Roman" w:cs="Times New Roman"/>
                <w:sz w:val="18"/>
                <w:szCs w:val="18"/>
              </w:rPr>
              <w:t>0.0</w:t>
            </w:r>
          </w:p>
        </w:tc>
        <w:tc>
          <w:tcPr>
            <w:tcW w:w="812" w:type="dxa"/>
            <w:noWrap/>
            <w:hideMark/>
          </w:tcPr>
          <w:p w14:paraId="327AC723" w14:textId="77777777" w:rsidR="009876CC" w:rsidRPr="000973F2" w:rsidRDefault="009876CC" w:rsidP="006F44A8">
            <w:pPr>
              <w:spacing w:before="40" w:after="4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hAnsi="Times New Roman" w:cs="Times New Roman"/>
                <w:sz w:val="18"/>
                <w:szCs w:val="18"/>
              </w:rPr>
              <w:t>1.0</w:t>
            </w:r>
          </w:p>
        </w:tc>
        <w:tc>
          <w:tcPr>
            <w:tcW w:w="811" w:type="dxa"/>
            <w:noWrap/>
            <w:hideMark/>
          </w:tcPr>
          <w:p w14:paraId="2B36497B" w14:textId="77777777" w:rsidR="009876CC" w:rsidRPr="000973F2" w:rsidRDefault="009876CC" w:rsidP="006F44A8">
            <w:pPr>
              <w:spacing w:before="40" w:after="4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hAnsi="Times New Roman" w:cs="Times New Roman"/>
                <w:sz w:val="18"/>
                <w:szCs w:val="18"/>
              </w:rPr>
              <w:t>0.0</w:t>
            </w:r>
          </w:p>
        </w:tc>
        <w:tc>
          <w:tcPr>
            <w:tcW w:w="812" w:type="dxa"/>
            <w:noWrap/>
            <w:hideMark/>
          </w:tcPr>
          <w:p w14:paraId="5CADBD43" w14:textId="77777777" w:rsidR="009876CC" w:rsidRPr="000973F2" w:rsidRDefault="009876CC" w:rsidP="006F44A8">
            <w:pPr>
              <w:tabs>
                <w:tab w:val="decimal" w:pos="331"/>
              </w:tabs>
              <w:spacing w:before="40" w:after="4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hAnsi="Times New Roman" w:cs="Times New Roman"/>
                <w:sz w:val="18"/>
                <w:szCs w:val="18"/>
              </w:rPr>
              <w:t>10.0</w:t>
            </w:r>
          </w:p>
        </w:tc>
        <w:tc>
          <w:tcPr>
            <w:tcW w:w="812" w:type="dxa"/>
            <w:noWrap/>
            <w:hideMark/>
          </w:tcPr>
          <w:p w14:paraId="10429B6B" w14:textId="77777777" w:rsidR="009876CC" w:rsidRPr="000973F2" w:rsidRDefault="009876CC" w:rsidP="006F44A8">
            <w:pPr>
              <w:spacing w:before="40" w:after="4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hAnsi="Times New Roman" w:cs="Times New Roman"/>
                <w:sz w:val="18"/>
                <w:szCs w:val="18"/>
              </w:rPr>
              <w:t>0.0</w:t>
            </w:r>
          </w:p>
        </w:tc>
        <w:tc>
          <w:tcPr>
            <w:tcW w:w="812" w:type="dxa"/>
            <w:noWrap/>
            <w:hideMark/>
          </w:tcPr>
          <w:p w14:paraId="665116CF" w14:textId="77777777" w:rsidR="009876CC" w:rsidRPr="000973F2" w:rsidRDefault="009876CC" w:rsidP="006F44A8">
            <w:pPr>
              <w:spacing w:before="40" w:after="4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hAnsi="Times New Roman" w:cs="Times New Roman"/>
                <w:sz w:val="18"/>
                <w:szCs w:val="18"/>
              </w:rPr>
              <w:t>1.0</w:t>
            </w:r>
          </w:p>
        </w:tc>
        <w:tc>
          <w:tcPr>
            <w:tcW w:w="702" w:type="dxa"/>
            <w:noWrap/>
            <w:hideMark/>
          </w:tcPr>
          <w:p w14:paraId="4FE4F337" w14:textId="2992A738" w:rsidR="009876CC" w:rsidRPr="000973F2" w:rsidRDefault="009876CC" w:rsidP="006F44A8">
            <w:pPr>
              <w:spacing w:before="40" w:after="4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hAnsi="Times New Roman" w:cs="Times New Roman"/>
                <w:sz w:val="18"/>
                <w:szCs w:val="18"/>
              </w:rPr>
              <w:t>$0</w:t>
            </w:r>
          </w:p>
        </w:tc>
        <w:tc>
          <w:tcPr>
            <w:tcW w:w="799" w:type="dxa"/>
            <w:noWrap/>
            <w:hideMark/>
          </w:tcPr>
          <w:p w14:paraId="1D537407" w14:textId="7A25E6C8" w:rsidR="009876CC" w:rsidRPr="000973F2" w:rsidRDefault="009876CC" w:rsidP="006F44A8">
            <w:pPr>
              <w:tabs>
                <w:tab w:val="decimal" w:pos="526"/>
              </w:tabs>
              <w:spacing w:before="40" w:after="4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hAnsi="Times New Roman" w:cs="Times New Roman"/>
                <w:sz w:val="18"/>
                <w:szCs w:val="18"/>
              </w:rPr>
              <w:t>$838</w:t>
            </w:r>
          </w:p>
        </w:tc>
      </w:tr>
      <w:tr w:rsidR="006F44A8" w:rsidRPr="000973F2" w14:paraId="7252B6A0" w14:textId="77777777" w:rsidTr="006F44A8">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1335" w:type="dxa"/>
            <w:noWrap/>
            <w:tcMar>
              <w:right w:w="14" w:type="dxa"/>
            </w:tcMar>
            <w:hideMark/>
          </w:tcPr>
          <w:p w14:paraId="29D018D1" w14:textId="77777777" w:rsidR="009876CC" w:rsidRPr="000973F2" w:rsidRDefault="009876CC" w:rsidP="006F44A8">
            <w:pPr>
              <w:spacing w:before="40" w:after="40"/>
              <w:rPr>
                <w:rFonts w:ascii="Times New Roman" w:eastAsia="Times New Roman" w:hAnsi="Times New Roman" w:cs="Times New Roman"/>
                <w:b/>
                <w:bCs w:val="0"/>
                <w:sz w:val="18"/>
                <w:szCs w:val="18"/>
              </w:rPr>
            </w:pPr>
            <w:r w:rsidRPr="000973F2">
              <w:rPr>
                <w:rFonts w:ascii="Times New Roman" w:eastAsia="Times New Roman" w:hAnsi="Times New Roman" w:cs="Times New Roman"/>
                <w:b/>
                <w:sz w:val="18"/>
                <w:szCs w:val="18"/>
              </w:rPr>
              <w:t>Total</w:t>
            </w:r>
          </w:p>
        </w:tc>
        <w:tc>
          <w:tcPr>
            <w:tcW w:w="811" w:type="dxa"/>
            <w:noWrap/>
            <w:hideMark/>
          </w:tcPr>
          <w:p w14:paraId="2F54CF16" w14:textId="77777777" w:rsidR="009876CC" w:rsidRPr="000973F2" w:rsidRDefault="009876CC" w:rsidP="006F44A8">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18"/>
                <w:szCs w:val="18"/>
              </w:rPr>
            </w:pPr>
            <w:r w:rsidRPr="000973F2">
              <w:rPr>
                <w:rFonts w:ascii="Times New Roman" w:hAnsi="Times New Roman" w:cs="Times New Roman"/>
                <w:b/>
                <w:bCs/>
                <w:sz w:val="18"/>
                <w:szCs w:val="18"/>
              </w:rPr>
              <w:t>0.0</w:t>
            </w:r>
          </w:p>
        </w:tc>
        <w:tc>
          <w:tcPr>
            <w:tcW w:w="812" w:type="dxa"/>
            <w:noWrap/>
            <w:hideMark/>
          </w:tcPr>
          <w:p w14:paraId="63994B91" w14:textId="77777777" w:rsidR="009876CC" w:rsidRPr="000973F2" w:rsidRDefault="009876CC" w:rsidP="006F44A8">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18"/>
                <w:szCs w:val="18"/>
              </w:rPr>
            </w:pPr>
            <w:r w:rsidRPr="000973F2">
              <w:rPr>
                <w:rFonts w:ascii="Times New Roman" w:hAnsi="Times New Roman" w:cs="Times New Roman"/>
                <w:b/>
                <w:bCs/>
                <w:sz w:val="18"/>
                <w:szCs w:val="18"/>
              </w:rPr>
              <w:t>1.0</w:t>
            </w:r>
          </w:p>
        </w:tc>
        <w:tc>
          <w:tcPr>
            <w:tcW w:w="812" w:type="dxa"/>
            <w:noWrap/>
            <w:hideMark/>
          </w:tcPr>
          <w:p w14:paraId="0AF4EBF2" w14:textId="77777777" w:rsidR="009876CC" w:rsidRPr="000973F2" w:rsidRDefault="009876CC" w:rsidP="006F44A8">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18"/>
                <w:szCs w:val="18"/>
              </w:rPr>
            </w:pPr>
            <w:r w:rsidRPr="000973F2">
              <w:rPr>
                <w:rFonts w:ascii="Times New Roman" w:hAnsi="Times New Roman" w:cs="Times New Roman"/>
                <w:b/>
                <w:bCs/>
                <w:sz w:val="18"/>
                <w:szCs w:val="18"/>
              </w:rPr>
              <w:t>0.0</w:t>
            </w:r>
          </w:p>
        </w:tc>
        <w:tc>
          <w:tcPr>
            <w:tcW w:w="812" w:type="dxa"/>
            <w:noWrap/>
            <w:hideMark/>
          </w:tcPr>
          <w:p w14:paraId="710C5676" w14:textId="77777777" w:rsidR="009876CC" w:rsidRPr="000973F2" w:rsidRDefault="009876CC" w:rsidP="006F44A8">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18"/>
                <w:szCs w:val="18"/>
              </w:rPr>
            </w:pPr>
            <w:r w:rsidRPr="000973F2">
              <w:rPr>
                <w:rFonts w:ascii="Times New Roman" w:hAnsi="Times New Roman" w:cs="Times New Roman"/>
                <w:b/>
                <w:bCs/>
                <w:sz w:val="18"/>
                <w:szCs w:val="18"/>
              </w:rPr>
              <w:t>5.0</w:t>
            </w:r>
          </w:p>
        </w:tc>
        <w:tc>
          <w:tcPr>
            <w:tcW w:w="811" w:type="dxa"/>
            <w:noWrap/>
            <w:hideMark/>
          </w:tcPr>
          <w:p w14:paraId="015DEBE0" w14:textId="77777777" w:rsidR="009876CC" w:rsidRPr="000973F2" w:rsidRDefault="009876CC" w:rsidP="006F44A8">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18"/>
                <w:szCs w:val="18"/>
              </w:rPr>
            </w:pPr>
            <w:r w:rsidRPr="000973F2">
              <w:rPr>
                <w:rFonts w:ascii="Times New Roman" w:hAnsi="Times New Roman" w:cs="Times New Roman"/>
                <w:b/>
                <w:bCs/>
                <w:sz w:val="18"/>
                <w:szCs w:val="18"/>
              </w:rPr>
              <w:t>0.0</w:t>
            </w:r>
          </w:p>
        </w:tc>
        <w:tc>
          <w:tcPr>
            <w:tcW w:w="812" w:type="dxa"/>
            <w:noWrap/>
            <w:hideMark/>
          </w:tcPr>
          <w:p w14:paraId="0B2E9F5C" w14:textId="77777777" w:rsidR="009876CC" w:rsidRPr="000973F2" w:rsidRDefault="009876CC" w:rsidP="006F44A8">
            <w:pPr>
              <w:tabs>
                <w:tab w:val="decimal" w:pos="331"/>
              </w:tabs>
              <w:spacing w:before="40" w:after="4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18"/>
                <w:szCs w:val="18"/>
              </w:rPr>
            </w:pPr>
            <w:r w:rsidRPr="000973F2">
              <w:rPr>
                <w:rFonts w:ascii="Times New Roman" w:hAnsi="Times New Roman" w:cs="Times New Roman"/>
                <w:b/>
                <w:bCs/>
                <w:sz w:val="18"/>
                <w:szCs w:val="18"/>
              </w:rPr>
              <w:t>49.6</w:t>
            </w:r>
          </w:p>
        </w:tc>
        <w:tc>
          <w:tcPr>
            <w:tcW w:w="812" w:type="dxa"/>
            <w:noWrap/>
            <w:hideMark/>
          </w:tcPr>
          <w:p w14:paraId="16A43BA1" w14:textId="77777777" w:rsidR="009876CC" w:rsidRPr="000973F2" w:rsidRDefault="009876CC" w:rsidP="006F44A8">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18"/>
                <w:szCs w:val="18"/>
              </w:rPr>
            </w:pPr>
            <w:r w:rsidRPr="000973F2">
              <w:rPr>
                <w:rFonts w:ascii="Times New Roman" w:hAnsi="Times New Roman" w:cs="Times New Roman"/>
                <w:b/>
                <w:bCs/>
                <w:sz w:val="18"/>
                <w:szCs w:val="18"/>
              </w:rPr>
              <w:t>0.0</w:t>
            </w:r>
          </w:p>
        </w:tc>
        <w:tc>
          <w:tcPr>
            <w:tcW w:w="812" w:type="dxa"/>
            <w:noWrap/>
            <w:hideMark/>
          </w:tcPr>
          <w:p w14:paraId="35905F1A" w14:textId="77777777" w:rsidR="009876CC" w:rsidRPr="000973F2" w:rsidRDefault="009876CC" w:rsidP="006F44A8">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18"/>
                <w:szCs w:val="18"/>
              </w:rPr>
            </w:pPr>
            <w:r w:rsidRPr="000973F2">
              <w:rPr>
                <w:rFonts w:ascii="Times New Roman" w:hAnsi="Times New Roman" w:cs="Times New Roman"/>
                <w:b/>
                <w:bCs/>
                <w:sz w:val="18"/>
                <w:szCs w:val="18"/>
              </w:rPr>
              <w:t>3.2</w:t>
            </w:r>
          </w:p>
        </w:tc>
        <w:tc>
          <w:tcPr>
            <w:tcW w:w="702" w:type="dxa"/>
            <w:noWrap/>
            <w:hideMark/>
          </w:tcPr>
          <w:p w14:paraId="7E9D2ED6" w14:textId="1B1385E3" w:rsidR="009876CC" w:rsidRPr="000973F2" w:rsidRDefault="009876CC" w:rsidP="006F44A8">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18"/>
                <w:szCs w:val="18"/>
              </w:rPr>
            </w:pPr>
            <w:r w:rsidRPr="000973F2">
              <w:rPr>
                <w:rFonts w:ascii="Times New Roman" w:hAnsi="Times New Roman" w:cs="Times New Roman"/>
                <w:b/>
                <w:bCs/>
                <w:sz w:val="18"/>
                <w:szCs w:val="18"/>
              </w:rPr>
              <w:t>$0</w:t>
            </w:r>
          </w:p>
        </w:tc>
        <w:tc>
          <w:tcPr>
            <w:tcW w:w="799" w:type="dxa"/>
            <w:noWrap/>
            <w:hideMark/>
          </w:tcPr>
          <w:p w14:paraId="6F1ACDB6" w14:textId="5704196C" w:rsidR="009876CC" w:rsidRPr="000973F2" w:rsidRDefault="009876CC" w:rsidP="006F44A8">
            <w:pPr>
              <w:tabs>
                <w:tab w:val="decimal" w:pos="526"/>
              </w:tabs>
              <w:spacing w:before="40" w:after="4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18"/>
                <w:szCs w:val="18"/>
              </w:rPr>
            </w:pPr>
            <w:r w:rsidRPr="000973F2">
              <w:rPr>
                <w:rFonts w:ascii="Times New Roman" w:hAnsi="Times New Roman" w:cs="Times New Roman"/>
                <w:b/>
                <w:bCs/>
                <w:sz w:val="18"/>
                <w:szCs w:val="18"/>
              </w:rPr>
              <w:t>$4,205</w:t>
            </w:r>
          </w:p>
        </w:tc>
      </w:tr>
    </w:tbl>
    <w:p w14:paraId="105532E3" w14:textId="77777777" w:rsidR="009876CC" w:rsidRPr="000973F2" w:rsidRDefault="009876CC" w:rsidP="00C00E4F">
      <w:pPr>
        <w:spacing w:line="240" w:lineRule="auto"/>
        <w:rPr>
          <w:rFonts w:ascii="Times New Roman" w:hAnsi="Times New Roman" w:cs="Times New Roman"/>
          <w:b/>
        </w:rPr>
      </w:pPr>
    </w:p>
    <w:p w14:paraId="2F8DFA72" w14:textId="77777777" w:rsidR="009876CC" w:rsidRPr="000973F2" w:rsidRDefault="009876CC" w:rsidP="00C00E4F">
      <w:pPr>
        <w:spacing w:line="240" w:lineRule="auto"/>
        <w:rPr>
          <w:rFonts w:ascii="Times New Roman" w:hAnsi="Times New Roman" w:cs="Times New Roman"/>
          <w:b/>
          <w:i/>
        </w:rPr>
      </w:pPr>
      <w:r w:rsidRPr="000973F2">
        <w:rPr>
          <w:rFonts w:ascii="Times New Roman" w:hAnsi="Times New Roman" w:cs="Times New Roman"/>
          <w:b/>
          <w:i/>
        </w:rPr>
        <w:br w:type="page"/>
      </w:r>
    </w:p>
    <w:p w14:paraId="74CDA1EE" w14:textId="31CE2D1C" w:rsidR="009876CC" w:rsidRPr="000973F2" w:rsidRDefault="009876CC" w:rsidP="006F44A8">
      <w:pPr>
        <w:pStyle w:val="Heading2"/>
      </w:pPr>
      <w:r w:rsidRPr="000973F2">
        <w:t>Capital and O&amp;M Costs for Subpart G</w:t>
      </w:r>
      <w:r w:rsidR="006F44A8" w:rsidRPr="000973F2">
        <w:t xml:space="preserve"> – </w:t>
      </w:r>
      <w:r w:rsidRPr="000973F2">
        <w:t xml:space="preserve">Using Monthly Sampling Data to Determine Carbon Content </w:t>
      </w:r>
    </w:p>
    <w:p w14:paraId="0FCA2259" w14:textId="58F3A5DF" w:rsidR="009876CC" w:rsidRPr="000973F2" w:rsidRDefault="009876CC" w:rsidP="006F44A8">
      <w:pPr>
        <w:pStyle w:val="BodyText"/>
      </w:pPr>
      <w:r w:rsidRPr="000973F2">
        <w:t xml:space="preserve">Table </w:t>
      </w:r>
      <w:r w:rsidR="006F44A8" w:rsidRPr="000973F2">
        <w:t>G-</w:t>
      </w:r>
      <w:r w:rsidRPr="000973F2">
        <w:t>2b below includes the capital and O&amp;M costs for each of the 12 facilities reporting to Subpart G using monthly sampling data to determine carbon content. Typical costs related to recordkeeping are discussed in the Cost Appendix Introduction.</w:t>
      </w:r>
    </w:p>
    <w:p w14:paraId="58945F9C" w14:textId="77777777" w:rsidR="009876CC" w:rsidRPr="000973F2" w:rsidRDefault="009876CC" w:rsidP="006F44A8">
      <w:pPr>
        <w:pStyle w:val="BodyText"/>
      </w:pPr>
      <w:r w:rsidRPr="000973F2">
        <w:t>For monthly sampling of each feedstock, the same testing costs as discussed above were used ($1,000 per sample or $12,000 per year).</w:t>
      </w:r>
    </w:p>
    <w:p w14:paraId="53109386" w14:textId="27741C15" w:rsidR="009876CC" w:rsidRPr="000973F2" w:rsidRDefault="00836FDB" w:rsidP="006F44A8">
      <w:pPr>
        <w:pStyle w:val="Tabletitle"/>
      </w:pPr>
      <w:r w:rsidRPr="000973F2">
        <w:t xml:space="preserve">Table </w:t>
      </w:r>
      <w:r w:rsidR="006F44A8" w:rsidRPr="000973F2">
        <w:t>G-</w:t>
      </w:r>
      <w:r w:rsidRPr="000973F2">
        <w:t xml:space="preserve">2b. Capital and O&amp;M Costs </w:t>
      </w:r>
      <w:r w:rsidR="006F44A8" w:rsidRPr="000973F2">
        <w:t>–</w:t>
      </w:r>
      <w:r w:rsidRPr="000973F2">
        <w:t xml:space="preserve"> </w:t>
      </w:r>
      <w:r w:rsidR="009876CC" w:rsidRPr="000973F2">
        <w:t>Subpart G – Using Monthly Sampling Data to Determine Carbon Content</w:t>
      </w:r>
    </w:p>
    <w:tbl>
      <w:tblPr>
        <w:tblStyle w:val="PlainTable1"/>
        <w:tblW w:w="5000" w:type="pct"/>
        <w:jc w:val="left"/>
        <w:tblLayout w:type="fixed"/>
        <w:tblCellMar>
          <w:left w:w="115" w:type="dxa"/>
          <w:right w:w="115" w:type="dxa"/>
        </w:tblCellMar>
        <w:tblLook w:val="04A0" w:firstRow="1" w:lastRow="0" w:firstColumn="1" w:lastColumn="0" w:noHBand="0" w:noVBand="1"/>
      </w:tblPr>
      <w:tblGrid>
        <w:gridCol w:w="1650"/>
        <w:gridCol w:w="1323"/>
        <w:gridCol w:w="1324"/>
        <w:gridCol w:w="1323"/>
        <w:gridCol w:w="1303"/>
        <w:gridCol w:w="1343"/>
        <w:gridCol w:w="1324"/>
      </w:tblGrid>
      <w:tr w:rsidR="00FF36E8" w:rsidRPr="000973F2" w14:paraId="0C012A70" w14:textId="77777777" w:rsidTr="005062BC">
        <w:trPr>
          <w:cnfStyle w:val="100000000000" w:firstRow="1" w:lastRow="0" w:firstColumn="0" w:lastColumn="0" w:oddVBand="0" w:evenVBand="0" w:oddHBand="0" w:evenHBand="0" w:firstRowFirstColumn="0" w:firstRowLastColumn="0" w:lastRowFirstColumn="0" w:lastRowLastColumn="0"/>
          <w:cantSplit/>
          <w:jc w:val="left"/>
        </w:trPr>
        <w:tc>
          <w:tcPr>
            <w:cnfStyle w:val="001000000000" w:firstRow="0" w:lastRow="0" w:firstColumn="1" w:lastColumn="0" w:oddVBand="0" w:evenVBand="0" w:oddHBand="0" w:evenHBand="0" w:firstRowFirstColumn="0" w:firstRowLastColumn="0" w:lastRowFirstColumn="0" w:lastRowLastColumn="0"/>
            <w:tcW w:w="1605" w:type="dxa"/>
            <w:vMerge w:val="restart"/>
            <w:noWrap/>
            <w:vAlign w:val="top"/>
            <w:hideMark/>
          </w:tcPr>
          <w:p w14:paraId="3DF85B4A" w14:textId="3719B48A" w:rsidR="00FF36E8" w:rsidRPr="000973F2" w:rsidRDefault="00FF36E8" w:rsidP="005062BC">
            <w:pPr>
              <w:spacing w:before="40" w:after="40"/>
              <w:rPr>
                <w:rFonts w:ascii="Times New Roman" w:eastAsia="Times New Roman" w:hAnsi="Times New Roman" w:cs="Times New Roman"/>
                <w:b w:val="0"/>
                <w:bCs w:val="0"/>
                <w:sz w:val="16"/>
                <w:szCs w:val="18"/>
              </w:rPr>
            </w:pPr>
            <w:r w:rsidRPr="000973F2">
              <w:rPr>
                <w:rFonts w:ascii="Times New Roman" w:eastAsia="Times New Roman" w:hAnsi="Times New Roman" w:cs="Times New Roman"/>
                <w:sz w:val="16"/>
                <w:szCs w:val="18"/>
              </w:rPr>
              <w:t>Activity</w:t>
            </w:r>
          </w:p>
        </w:tc>
        <w:tc>
          <w:tcPr>
            <w:tcW w:w="5130" w:type="dxa"/>
            <w:gridSpan w:val="4"/>
            <w:noWrap/>
            <w:vAlign w:val="top"/>
            <w:hideMark/>
          </w:tcPr>
          <w:p w14:paraId="7BD2F707" w14:textId="77777777" w:rsidR="00FF36E8" w:rsidRPr="000973F2" w:rsidRDefault="00FF36E8" w:rsidP="005062BC">
            <w:pPr>
              <w:spacing w:before="40" w:after="40"/>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bCs w:val="0"/>
                <w:sz w:val="16"/>
                <w:szCs w:val="18"/>
              </w:rPr>
            </w:pPr>
            <w:r w:rsidRPr="000973F2">
              <w:rPr>
                <w:rFonts w:ascii="Times New Roman" w:eastAsia="Times New Roman" w:hAnsi="Times New Roman" w:cs="Times New Roman"/>
                <w:sz w:val="16"/>
                <w:szCs w:val="18"/>
              </w:rPr>
              <w:t>Cost Categories</w:t>
            </w:r>
          </w:p>
        </w:tc>
        <w:tc>
          <w:tcPr>
            <w:tcW w:w="2595" w:type="dxa"/>
            <w:gridSpan w:val="2"/>
            <w:vAlign w:val="top"/>
            <w:hideMark/>
          </w:tcPr>
          <w:p w14:paraId="4569EEF6" w14:textId="6459C663" w:rsidR="00FF36E8" w:rsidRPr="000973F2" w:rsidRDefault="00FF36E8" w:rsidP="005062BC">
            <w:pPr>
              <w:spacing w:before="40" w:after="40"/>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bCs w:val="0"/>
                <w:sz w:val="16"/>
                <w:szCs w:val="18"/>
              </w:rPr>
            </w:pPr>
            <w:r w:rsidRPr="000973F2">
              <w:rPr>
                <w:rFonts w:ascii="Times New Roman" w:eastAsia="Times New Roman" w:hAnsi="Times New Roman" w:cs="Times New Roman"/>
                <w:sz w:val="16"/>
                <w:szCs w:val="18"/>
              </w:rPr>
              <w:t>Total Capital and O&amp;M Cost per Year per Facility (2017$)</w:t>
            </w:r>
          </w:p>
        </w:tc>
      </w:tr>
      <w:tr w:rsidR="00FF36E8" w:rsidRPr="000973F2" w14:paraId="1C8D8B9C" w14:textId="77777777" w:rsidTr="005062BC">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1605" w:type="dxa"/>
            <w:vMerge/>
            <w:noWrap/>
            <w:hideMark/>
          </w:tcPr>
          <w:p w14:paraId="23C5C0B6" w14:textId="49A9D5A2" w:rsidR="00FF36E8" w:rsidRPr="000973F2" w:rsidRDefault="00FF36E8" w:rsidP="005062BC">
            <w:pPr>
              <w:spacing w:before="40" w:after="40"/>
              <w:jc w:val="center"/>
              <w:rPr>
                <w:rFonts w:ascii="Times New Roman" w:eastAsia="Times New Roman" w:hAnsi="Times New Roman" w:cs="Times New Roman"/>
                <w:b/>
                <w:bCs w:val="0"/>
                <w:sz w:val="16"/>
                <w:szCs w:val="18"/>
              </w:rPr>
            </w:pPr>
          </w:p>
        </w:tc>
        <w:tc>
          <w:tcPr>
            <w:tcW w:w="1287" w:type="dxa"/>
            <w:hideMark/>
          </w:tcPr>
          <w:p w14:paraId="747EDE88" w14:textId="77777777" w:rsidR="00FF36E8" w:rsidRPr="000973F2" w:rsidRDefault="00FF36E8" w:rsidP="005062BC">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16"/>
                <w:szCs w:val="18"/>
              </w:rPr>
            </w:pPr>
            <w:r w:rsidRPr="000973F2">
              <w:rPr>
                <w:rFonts w:ascii="Times New Roman" w:eastAsia="Times New Roman" w:hAnsi="Times New Roman" w:cs="Times New Roman"/>
                <w:b/>
                <w:bCs/>
                <w:sz w:val="16"/>
                <w:szCs w:val="18"/>
              </w:rPr>
              <w:t>Capital Cost (2017$)</w:t>
            </w:r>
          </w:p>
        </w:tc>
        <w:tc>
          <w:tcPr>
            <w:tcW w:w="1288" w:type="dxa"/>
            <w:hideMark/>
          </w:tcPr>
          <w:p w14:paraId="422BEE22" w14:textId="77777777" w:rsidR="00FF36E8" w:rsidRPr="000973F2" w:rsidRDefault="00FF36E8" w:rsidP="005062BC">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16"/>
                <w:szCs w:val="18"/>
              </w:rPr>
            </w:pPr>
            <w:r w:rsidRPr="000973F2">
              <w:rPr>
                <w:rFonts w:ascii="Times New Roman" w:eastAsia="Times New Roman" w:hAnsi="Times New Roman" w:cs="Times New Roman"/>
                <w:b/>
                <w:bCs/>
                <w:sz w:val="16"/>
                <w:szCs w:val="18"/>
              </w:rPr>
              <w:t>Equipment Lifetime</w:t>
            </w:r>
          </w:p>
        </w:tc>
        <w:tc>
          <w:tcPr>
            <w:tcW w:w="1287" w:type="dxa"/>
            <w:hideMark/>
          </w:tcPr>
          <w:p w14:paraId="2A5B6964" w14:textId="77777777" w:rsidR="00FF36E8" w:rsidRPr="000973F2" w:rsidRDefault="00FF36E8" w:rsidP="005062BC">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16"/>
                <w:szCs w:val="18"/>
              </w:rPr>
            </w:pPr>
            <w:r w:rsidRPr="000973F2">
              <w:rPr>
                <w:rFonts w:ascii="Times New Roman" w:eastAsia="Times New Roman" w:hAnsi="Times New Roman" w:cs="Times New Roman"/>
                <w:b/>
                <w:bCs/>
                <w:sz w:val="16"/>
                <w:szCs w:val="18"/>
              </w:rPr>
              <w:t>Annualized Capital Cost (2017$/year)</w:t>
            </w:r>
          </w:p>
        </w:tc>
        <w:tc>
          <w:tcPr>
            <w:tcW w:w="1268" w:type="dxa"/>
            <w:hideMark/>
          </w:tcPr>
          <w:p w14:paraId="0FE6EF68" w14:textId="77777777" w:rsidR="00FF36E8" w:rsidRPr="000973F2" w:rsidRDefault="00FF36E8" w:rsidP="005062BC">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16"/>
                <w:szCs w:val="18"/>
              </w:rPr>
            </w:pPr>
            <w:r w:rsidRPr="000973F2">
              <w:rPr>
                <w:rFonts w:ascii="Times New Roman" w:eastAsia="Times New Roman" w:hAnsi="Times New Roman" w:cs="Times New Roman"/>
                <w:b/>
                <w:bCs/>
                <w:sz w:val="16"/>
                <w:szCs w:val="18"/>
              </w:rPr>
              <w:t>O&amp;M Costs (2017$/year)</w:t>
            </w:r>
          </w:p>
        </w:tc>
        <w:tc>
          <w:tcPr>
            <w:tcW w:w="1307" w:type="dxa"/>
            <w:hideMark/>
          </w:tcPr>
          <w:p w14:paraId="297B2699" w14:textId="77777777" w:rsidR="00FF36E8" w:rsidRPr="000973F2" w:rsidRDefault="00FF36E8" w:rsidP="005062BC">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16"/>
                <w:szCs w:val="18"/>
              </w:rPr>
            </w:pPr>
            <w:r w:rsidRPr="000973F2">
              <w:rPr>
                <w:rFonts w:ascii="Times New Roman" w:eastAsia="Times New Roman" w:hAnsi="Times New Roman" w:cs="Times New Roman"/>
                <w:b/>
                <w:bCs/>
                <w:sz w:val="16"/>
                <w:szCs w:val="18"/>
              </w:rPr>
              <w:t>Initial Year</w:t>
            </w:r>
          </w:p>
        </w:tc>
        <w:tc>
          <w:tcPr>
            <w:tcW w:w="1288" w:type="dxa"/>
            <w:hideMark/>
          </w:tcPr>
          <w:p w14:paraId="74848FCC" w14:textId="77777777" w:rsidR="00FF36E8" w:rsidRPr="000973F2" w:rsidRDefault="00FF36E8" w:rsidP="005062BC">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16"/>
                <w:szCs w:val="18"/>
              </w:rPr>
            </w:pPr>
            <w:r w:rsidRPr="000973F2">
              <w:rPr>
                <w:rFonts w:ascii="Times New Roman" w:eastAsia="Times New Roman" w:hAnsi="Times New Roman" w:cs="Times New Roman"/>
                <w:b/>
                <w:bCs/>
                <w:sz w:val="16"/>
                <w:szCs w:val="18"/>
              </w:rPr>
              <w:t>Subseq. Years</w:t>
            </w:r>
          </w:p>
        </w:tc>
      </w:tr>
      <w:tr w:rsidR="00034890" w:rsidRPr="000973F2" w14:paraId="354F8CDC" w14:textId="77777777" w:rsidTr="005062BC">
        <w:trPr>
          <w:cantSplit/>
        </w:trPr>
        <w:tc>
          <w:tcPr>
            <w:cnfStyle w:val="001000000000" w:firstRow="0" w:lastRow="0" w:firstColumn="1" w:lastColumn="0" w:oddVBand="0" w:evenVBand="0" w:oddHBand="0" w:evenHBand="0" w:firstRowFirstColumn="0" w:firstRowLastColumn="0" w:lastRowFirstColumn="0" w:lastRowLastColumn="0"/>
            <w:tcW w:w="1605" w:type="dxa"/>
            <w:tcMar>
              <w:right w:w="14" w:type="dxa"/>
            </w:tcMar>
            <w:hideMark/>
          </w:tcPr>
          <w:p w14:paraId="7D3194F1" w14:textId="77777777" w:rsidR="00034890" w:rsidRPr="000973F2" w:rsidRDefault="00034890" w:rsidP="00034890">
            <w:pPr>
              <w:spacing w:before="40" w:after="40"/>
              <w:rPr>
                <w:rFonts w:ascii="Times New Roman" w:eastAsia="Times New Roman" w:hAnsi="Times New Roman" w:cs="Times New Roman"/>
                <w:sz w:val="16"/>
                <w:szCs w:val="18"/>
              </w:rPr>
            </w:pPr>
            <w:r w:rsidRPr="000973F2">
              <w:rPr>
                <w:rFonts w:ascii="Times New Roman" w:eastAsia="Times New Roman" w:hAnsi="Times New Roman" w:cs="Times New Roman"/>
                <w:sz w:val="16"/>
                <w:szCs w:val="18"/>
              </w:rPr>
              <w:t>Equipment (selection, purchase, installation)</w:t>
            </w:r>
          </w:p>
        </w:tc>
        <w:tc>
          <w:tcPr>
            <w:tcW w:w="1287" w:type="dxa"/>
            <w:noWrap/>
            <w:hideMark/>
          </w:tcPr>
          <w:p w14:paraId="722BE75F" w14:textId="15F9C664" w:rsidR="00034890" w:rsidRPr="000973F2" w:rsidRDefault="00034890" w:rsidP="00034890">
            <w:pPr>
              <w:spacing w:before="40" w:after="4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6"/>
                <w:szCs w:val="18"/>
              </w:rPr>
            </w:pPr>
            <w:r w:rsidRPr="000973F2">
              <w:rPr>
                <w:rFonts w:ascii="Times New Roman" w:eastAsia="Times New Roman" w:hAnsi="Times New Roman" w:cs="Times New Roman"/>
                <w:sz w:val="18"/>
                <w:szCs w:val="18"/>
              </w:rPr>
              <w:t>–</w:t>
            </w:r>
          </w:p>
        </w:tc>
        <w:tc>
          <w:tcPr>
            <w:tcW w:w="1288" w:type="dxa"/>
            <w:noWrap/>
          </w:tcPr>
          <w:p w14:paraId="1958113D" w14:textId="322992FB" w:rsidR="00034890" w:rsidRPr="000973F2" w:rsidRDefault="00034890" w:rsidP="00034890">
            <w:pPr>
              <w:spacing w:before="40" w:after="4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6"/>
                <w:szCs w:val="18"/>
              </w:rPr>
            </w:pPr>
          </w:p>
        </w:tc>
        <w:tc>
          <w:tcPr>
            <w:tcW w:w="1287" w:type="dxa"/>
            <w:noWrap/>
            <w:hideMark/>
          </w:tcPr>
          <w:p w14:paraId="629A1006" w14:textId="731A1208" w:rsidR="00034890" w:rsidRPr="000973F2" w:rsidRDefault="00034890" w:rsidP="00034890">
            <w:pPr>
              <w:spacing w:before="40" w:after="4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6"/>
                <w:szCs w:val="18"/>
              </w:rPr>
            </w:pPr>
            <w:r w:rsidRPr="000973F2">
              <w:rPr>
                <w:rFonts w:ascii="Times New Roman" w:eastAsia="Times New Roman" w:hAnsi="Times New Roman" w:cs="Times New Roman"/>
                <w:sz w:val="18"/>
                <w:szCs w:val="18"/>
              </w:rPr>
              <w:t>–</w:t>
            </w:r>
          </w:p>
        </w:tc>
        <w:tc>
          <w:tcPr>
            <w:tcW w:w="1268" w:type="dxa"/>
            <w:noWrap/>
            <w:hideMark/>
          </w:tcPr>
          <w:p w14:paraId="4B659F3B" w14:textId="17263194" w:rsidR="00034890" w:rsidRPr="000973F2" w:rsidRDefault="00034890" w:rsidP="00034890">
            <w:pPr>
              <w:tabs>
                <w:tab w:val="decimal" w:pos="796"/>
              </w:tabs>
              <w:spacing w:before="40" w:after="4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6"/>
                <w:szCs w:val="18"/>
              </w:rPr>
            </w:pPr>
            <w:r w:rsidRPr="000973F2">
              <w:rPr>
                <w:rFonts w:ascii="Times New Roman" w:eastAsia="Times New Roman" w:hAnsi="Times New Roman" w:cs="Times New Roman"/>
                <w:sz w:val="18"/>
                <w:szCs w:val="18"/>
              </w:rPr>
              <w:t>–</w:t>
            </w:r>
          </w:p>
        </w:tc>
        <w:tc>
          <w:tcPr>
            <w:tcW w:w="1307" w:type="dxa"/>
            <w:noWrap/>
            <w:hideMark/>
          </w:tcPr>
          <w:p w14:paraId="149A673D" w14:textId="0F55C3A1" w:rsidR="00034890" w:rsidRPr="000973F2" w:rsidRDefault="00034890" w:rsidP="00034890">
            <w:pPr>
              <w:spacing w:before="40" w:after="4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6"/>
                <w:szCs w:val="18"/>
              </w:rPr>
            </w:pPr>
            <w:r w:rsidRPr="000973F2">
              <w:rPr>
                <w:rFonts w:ascii="Times New Roman" w:eastAsia="Times New Roman" w:hAnsi="Times New Roman" w:cs="Times New Roman"/>
                <w:sz w:val="18"/>
                <w:szCs w:val="18"/>
              </w:rPr>
              <w:t>–</w:t>
            </w:r>
          </w:p>
        </w:tc>
        <w:tc>
          <w:tcPr>
            <w:tcW w:w="1288" w:type="dxa"/>
            <w:noWrap/>
            <w:hideMark/>
          </w:tcPr>
          <w:p w14:paraId="0277499C" w14:textId="47D57008" w:rsidR="00034890" w:rsidRPr="000973F2" w:rsidRDefault="00034890" w:rsidP="00034890">
            <w:pPr>
              <w:tabs>
                <w:tab w:val="decimal" w:pos="736"/>
              </w:tabs>
              <w:spacing w:before="40" w:after="4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6"/>
                <w:szCs w:val="18"/>
              </w:rPr>
            </w:pPr>
            <w:r w:rsidRPr="000973F2">
              <w:rPr>
                <w:rFonts w:ascii="Times New Roman" w:eastAsia="Times New Roman" w:hAnsi="Times New Roman" w:cs="Times New Roman"/>
                <w:sz w:val="18"/>
                <w:szCs w:val="18"/>
              </w:rPr>
              <w:t>–</w:t>
            </w:r>
          </w:p>
        </w:tc>
      </w:tr>
      <w:tr w:rsidR="00034890" w:rsidRPr="000973F2" w14:paraId="69C94823" w14:textId="77777777" w:rsidTr="005062BC">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1605" w:type="dxa"/>
            <w:tcMar>
              <w:right w:w="14" w:type="dxa"/>
            </w:tcMar>
            <w:hideMark/>
          </w:tcPr>
          <w:p w14:paraId="47DBADB0" w14:textId="77777777" w:rsidR="00034890" w:rsidRPr="000973F2" w:rsidRDefault="00034890" w:rsidP="00034890">
            <w:pPr>
              <w:spacing w:before="40" w:after="40"/>
              <w:rPr>
                <w:rFonts w:ascii="Times New Roman" w:eastAsia="Times New Roman" w:hAnsi="Times New Roman" w:cs="Times New Roman"/>
                <w:sz w:val="16"/>
                <w:szCs w:val="18"/>
              </w:rPr>
            </w:pPr>
            <w:r w:rsidRPr="000973F2">
              <w:rPr>
                <w:rFonts w:ascii="Times New Roman" w:eastAsia="Times New Roman" w:hAnsi="Times New Roman" w:cs="Times New Roman"/>
                <w:sz w:val="16"/>
                <w:szCs w:val="18"/>
              </w:rPr>
              <w:t>Performance testing</w:t>
            </w:r>
          </w:p>
        </w:tc>
        <w:tc>
          <w:tcPr>
            <w:tcW w:w="1287" w:type="dxa"/>
            <w:noWrap/>
            <w:hideMark/>
          </w:tcPr>
          <w:p w14:paraId="51A31AA5" w14:textId="763D4860" w:rsidR="00034890" w:rsidRPr="000973F2" w:rsidRDefault="00034890" w:rsidP="00034890">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6"/>
                <w:szCs w:val="18"/>
              </w:rPr>
            </w:pPr>
            <w:r w:rsidRPr="000973F2">
              <w:rPr>
                <w:rFonts w:ascii="Times New Roman" w:eastAsia="Times New Roman" w:hAnsi="Times New Roman" w:cs="Times New Roman"/>
                <w:sz w:val="18"/>
                <w:szCs w:val="18"/>
              </w:rPr>
              <w:t>–</w:t>
            </w:r>
          </w:p>
        </w:tc>
        <w:tc>
          <w:tcPr>
            <w:tcW w:w="1288" w:type="dxa"/>
            <w:noWrap/>
          </w:tcPr>
          <w:p w14:paraId="79420062" w14:textId="7FF86838" w:rsidR="00034890" w:rsidRPr="000973F2" w:rsidRDefault="00034890" w:rsidP="00034890">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6"/>
                <w:szCs w:val="18"/>
              </w:rPr>
            </w:pPr>
          </w:p>
        </w:tc>
        <w:tc>
          <w:tcPr>
            <w:tcW w:w="1287" w:type="dxa"/>
            <w:noWrap/>
            <w:hideMark/>
          </w:tcPr>
          <w:p w14:paraId="7415A4A3" w14:textId="1287EFBE" w:rsidR="00034890" w:rsidRPr="000973F2" w:rsidRDefault="00034890" w:rsidP="00034890">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6"/>
                <w:szCs w:val="18"/>
              </w:rPr>
            </w:pPr>
            <w:r w:rsidRPr="000973F2">
              <w:rPr>
                <w:rFonts w:ascii="Times New Roman" w:eastAsia="Times New Roman" w:hAnsi="Times New Roman" w:cs="Times New Roman"/>
                <w:sz w:val="18"/>
                <w:szCs w:val="18"/>
              </w:rPr>
              <w:t>–</w:t>
            </w:r>
          </w:p>
        </w:tc>
        <w:tc>
          <w:tcPr>
            <w:tcW w:w="1268" w:type="dxa"/>
            <w:noWrap/>
            <w:hideMark/>
          </w:tcPr>
          <w:p w14:paraId="7D59F6EC" w14:textId="4E7D06AA" w:rsidR="00034890" w:rsidRPr="000973F2" w:rsidRDefault="00034890" w:rsidP="00034890">
            <w:pPr>
              <w:tabs>
                <w:tab w:val="decimal" w:pos="796"/>
              </w:tabs>
              <w:spacing w:before="40" w:after="4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6"/>
                <w:szCs w:val="18"/>
              </w:rPr>
            </w:pPr>
            <w:r w:rsidRPr="000973F2">
              <w:rPr>
                <w:rFonts w:ascii="Times New Roman" w:eastAsia="Times New Roman" w:hAnsi="Times New Roman" w:cs="Times New Roman"/>
                <w:sz w:val="18"/>
                <w:szCs w:val="18"/>
              </w:rPr>
              <w:t>–</w:t>
            </w:r>
          </w:p>
        </w:tc>
        <w:tc>
          <w:tcPr>
            <w:tcW w:w="1307" w:type="dxa"/>
            <w:noWrap/>
            <w:hideMark/>
          </w:tcPr>
          <w:p w14:paraId="7F62C9B8" w14:textId="0E8A65FC" w:rsidR="00034890" w:rsidRPr="000973F2" w:rsidRDefault="00034890" w:rsidP="00034890">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6"/>
                <w:szCs w:val="18"/>
              </w:rPr>
            </w:pPr>
            <w:r w:rsidRPr="000973F2">
              <w:rPr>
                <w:rFonts w:ascii="Times New Roman" w:eastAsia="Times New Roman" w:hAnsi="Times New Roman" w:cs="Times New Roman"/>
                <w:sz w:val="18"/>
                <w:szCs w:val="18"/>
              </w:rPr>
              <w:t>–</w:t>
            </w:r>
          </w:p>
        </w:tc>
        <w:tc>
          <w:tcPr>
            <w:tcW w:w="1288" w:type="dxa"/>
            <w:noWrap/>
            <w:hideMark/>
          </w:tcPr>
          <w:p w14:paraId="0BE1A024" w14:textId="6E948556" w:rsidR="00034890" w:rsidRPr="000973F2" w:rsidRDefault="00034890" w:rsidP="00034890">
            <w:pPr>
              <w:tabs>
                <w:tab w:val="decimal" w:pos="736"/>
              </w:tabs>
              <w:spacing w:before="40" w:after="4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6"/>
                <w:szCs w:val="18"/>
              </w:rPr>
            </w:pPr>
            <w:r w:rsidRPr="000973F2">
              <w:rPr>
                <w:rFonts w:ascii="Times New Roman" w:eastAsia="Times New Roman" w:hAnsi="Times New Roman" w:cs="Times New Roman"/>
                <w:sz w:val="18"/>
                <w:szCs w:val="18"/>
              </w:rPr>
              <w:t>–</w:t>
            </w:r>
          </w:p>
        </w:tc>
      </w:tr>
      <w:tr w:rsidR="009876CC" w:rsidRPr="000973F2" w14:paraId="40B4AF75" w14:textId="77777777" w:rsidTr="005062BC">
        <w:trPr>
          <w:cantSplit/>
        </w:trPr>
        <w:tc>
          <w:tcPr>
            <w:cnfStyle w:val="001000000000" w:firstRow="0" w:lastRow="0" w:firstColumn="1" w:lastColumn="0" w:oddVBand="0" w:evenVBand="0" w:oddHBand="0" w:evenHBand="0" w:firstRowFirstColumn="0" w:firstRowLastColumn="0" w:lastRowFirstColumn="0" w:lastRowLastColumn="0"/>
            <w:tcW w:w="1605" w:type="dxa"/>
            <w:tcMar>
              <w:right w:w="14" w:type="dxa"/>
            </w:tcMar>
            <w:hideMark/>
          </w:tcPr>
          <w:p w14:paraId="69E1565B" w14:textId="77777777" w:rsidR="009876CC" w:rsidRPr="000973F2" w:rsidRDefault="009876CC" w:rsidP="005062BC">
            <w:pPr>
              <w:spacing w:before="40" w:after="40"/>
              <w:rPr>
                <w:rFonts w:ascii="Times New Roman" w:eastAsia="Times New Roman" w:hAnsi="Times New Roman" w:cs="Times New Roman"/>
                <w:sz w:val="16"/>
                <w:szCs w:val="18"/>
              </w:rPr>
            </w:pPr>
            <w:r w:rsidRPr="000973F2">
              <w:rPr>
                <w:rFonts w:ascii="Times New Roman" w:eastAsia="Times New Roman" w:hAnsi="Times New Roman" w:cs="Times New Roman"/>
                <w:sz w:val="16"/>
                <w:szCs w:val="18"/>
              </w:rPr>
              <w:t>Recordkeeping</w:t>
            </w:r>
          </w:p>
        </w:tc>
        <w:tc>
          <w:tcPr>
            <w:tcW w:w="1287" w:type="dxa"/>
            <w:noWrap/>
            <w:hideMark/>
          </w:tcPr>
          <w:p w14:paraId="04BAD3A1" w14:textId="77777777" w:rsidR="009876CC" w:rsidRPr="000973F2" w:rsidRDefault="009876CC" w:rsidP="005062BC">
            <w:pPr>
              <w:spacing w:before="40" w:after="4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6"/>
                <w:szCs w:val="18"/>
              </w:rPr>
            </w:pPr>
            <w:r w:rsidRPr="000973F2">
              <w:rPr>
                <w:rFonts w:ascii="Times New Roman" w:eastAsia="Times New Roman" w:hAnsi="Times New Roman" w:cs="Times New Roman"/>
                <w:sz w:val="16"/>
                <w:szCs w:val="18"/>
              </w:rPr>
              <w:t>$0</w:t>
            </w:r>
          </w:p>
        </w:tc>
        <w:tc>
          <w:tcPr>
            <w:tcW w:w="1288" w:type="dxa"/>
            <w:noWrap/>
          </w:tcPr>
          <w:p w14:paraId="0E55708D" w14:textId="706C6ED8" w:rsidR="009876CC" w:rsidRPr="000973F2" w:rsidRDefault="009876CC" w:rsidP="005062BC">
            <w:pPr>
              <w:spacing w:before="40" w:after="4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6"/>
                <w:szCs w:val="18"/>
              </w:rPr>
            </w:pPr>
          </w:p>
        </w:tc>
        <w:tc>
          <w:tcPr>
            <w:tcW w:w="1287" w:type="dxa"/>
            <w:noWrap/>
            <w:hideMark/>
          </w:tcPr>
          <w:p w14:paraId="7ECB9960" w14:textId="77777777" w:rsidR="009876CC" w:rsidRPr="000973F2" w:rsidRDefault="009876CC" w:rsidP="005062BC">
            <w:pPr>
              <w:spacing w:before="40" w:after="4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6"/>
                <w:szCs w:val="18"/>
              </w:rPr>
            </w:pPr>
            <w:r w:rsidRPr="000973F2">
              <w:rPr>
                <w:rFonts w:ascii="Times New Roman" w:eastAsia="Times New Roman" w:hAnsi="Times New Roman" w:cs="Times New Roman"/>
                <w:sz w:val="16"/>
                <w:szCs w:val="18"/>
              </w:rPr>
              <w:t>$0</w:t>
            </w:r>
          </w:p>
        </w:tc>
        <w:tc>
          <w:tcPr>
            <w:tcW w:w="1268" w:type="dxa"/>
            <w:noWrap/>
            <w:hideMark/>
          </w:tcPr>
          <w:p w14:paraId="63C7F501" w14:textId="77777777" w:rsidR="009876CC" w:rsidRPr="000973F2" w:rsidRDefault="009876CC" w:rsidP="005062BC">
            <w:pPr>
              <w:tabs>
                <w:tab w:val="decimal" w:pos="796"/>
              </w:tabs>
              <w:spacing w:before="40" w:after="4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6"/>
                <w:szCs w:val="18"/>
              </w:rPr>
            </w:pPr>
            <w:r w:rsidRPr="000973F2">
              <w:rPr>
                <w:rFonts w:ascii="Times New Roman" w:eastAsia="Times New Roman" w:hAnsi="Times New Roman" w:cs="Times New Roman"/>
                <w:sz w:val="16"/>
                <w:szCs w:val="18"/>
              </w:rPr>
              <w:t>$50</w:t>
            </w:r>
          </w:p>
        </w:tc>
        <w:tc>
          <w:tcPr>
            <w:tcW w:w="1307" w:type="dxa"/>
            <w:noWrap/>
            <w:hideMark/>
          </w:tcPr>
          <w:p w14:paraId="090F0E65" w14:textId="77777777" w:rsidR="009876CC" w:rsidRPr="000973F2" w:rsidRDefault="009876CC" w:rsidP="005062BC">
            <w:pPr>
              <w:spacing w:before="40" w:after="4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6"/>
                <w:szCs w:val="18"/>
              </w:rPr>
            </w:pPr>
            <w:r w:rsidRPr="000973F2">
              <w:rPr>
                <w:rFonts w:ascii="Times New Roman" w:eastAsia="Times New Roman" w:hAnsi="Times New Roman" w:cs="Times New Roman"/>
                <w:sz w:val="16"/>
                <w:szCs w:val="18"/>
              </w:rPr>
              <w:t>$0</w:t>
            </w:r>
          </w:p>
        </w:tc>
        <w:tc>
          <w:tcPr>
            <w:tcW w:w="1288" w:type="dxa"/>
            <w:noWrap/>
            <w:hideMark/>
          </w:tcPr>
          <w:p w14:paraId="21A7E2CE" w14:textId="77777777" w:rsidR="009876CC" w:rsidRPr="000973F2" w:rsidRDefault="009876CC" w:rsidP="005062BC">
            <w:pPr>
              <w:tabs>
                <w:tab w:val="decimal" w:pos="736"/>
              </w:tabs>
              <w:spacing w:before="40" w:after="4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6"/>
                <w:szCs w:val="18"/>
              </w:rPr>
            </w:pPr>
            <w:r w:rsidRPr="000973F2">
              <w:rPr>
                <w:rFonts w:ascii="Times New Roman" w:eastAsia="Times New Roman" w:hAnsi="Times New Roman" w:cs="Times New Roman"/>
                <w:sz w:val="16"/>
                <w:szCs w:val="18"/>
              </w:rPr>
              <w:t>$50</w:t>
            </w:r>
          </w:p>
        </w:tc>
      </w:tr>
      <w:tr w:rsidR="00034890" w:rsidRPr="000973F2" w14:paraId="5EC9030B" w14:textId="77777777" w:rsidTr="005062BC">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1605" w:type="dxa"/>
            <w:tcMar>
              <w:right w:w="14" w:type="dxa"/>
            </w:tcMar>
            <w:hideMark/>
          </w:tcPr>
          <w:p w14:paraId="6EBC054D" w14:textId="77777777" w:rsidR="00034890" w:rsidRPr="000973F2" w:rsidRDefault="00034890" w:rsidP="00034890">
            <w:pPr>
              <w:spacing w:before="40" w:after="40"/>
              <w:rPr>
                <w:rFonts w:ascii="Times New Roman" w:eastAsia="Times New Roman" w:hAnsi="Times New Roman" w:cs="Times New Roman"/>
                <w:sz w:val="16"/>
                <w:szCs w:val="18"/>
              </w:rPr>
            </w:pPr>
            <w:r w:rsidRPr="000973F2">
              <w:rPr>
                <w:rFonts w:ascii="Times New Roman" w:eastAsia="Times New Roman" w:hAnsi="Times New Roman" w:cs="Times New Roman"/>
                <w:sz w:val="16"/>
                <w:szCs w:val="18"/>
              </w:rPr>
              <w:t>Travel</w:t>
            </w:r>
          </w:p>
        </w:tc>
        <w:tc>
          <w:tcPr>
            <w:tcW w:w="1287" w:type="dxa"/>
            <w:noWrap/>
            <w:hideMark/>
          </w:tcPr>
          <w:p w14:paraId="3E244718" w14:textId="6F31B730" w:rsidR="00034890" w:rsidRPr="000973F2" w:rsidRDefault="00034890" w:rsidP="00034890">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6"/>
                <w:szCs w:val="18"/>
              </w:rPr>
            </w:pPr>
            <w:r w:rsidRPr="000973F2">
              <w:rPr>
                <w:rFonts w:ascii="Times New Roman" w:eastAsia="Times New Roman" w:hAnsi="Times New Roman" w:cs="Times New Roman"/>
                <w:sz w:val="18"/>
                <w:szCs w:val="18"/>
              </w:rPr>
              <w:t>–</w:t>
            </w:r>
          </w:p>
        </w:tc>
        <w:tc>
          <w:tcPr>
            <w:tcW w:w="1288" w:type="dxa"/>
            <w:noWrap/>
          </w:tcPr>
          <w:p w14:paraId="10C841C2" w14:textId="77C31FA8" w:rsidR="00034890" w:rsidRPr="000973F2" w:rsidRDefault="00034890" w:rsidP="00034890">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6"/>
                <w:szCs w:val="18"/>
              </w:rPr>
            </w:pPr>
          </w:p>
        </w:tc>
        <w:tc>
          <w:tcPr>
            <w:tcW w:w="1287" w:type="dxa"/>
            <w:noWrap/>
            <w:hideMark/>
          </w:tcPr>
          <w:p w14:paraId="6D8F6160" w14:textId="1AB10FDB" w:rsidR="00034890" w:rsidRPr="000973F2" w:rsidRDefault="00034890" w:rsidP="00034890">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6"/>
                <w:szCs w:val="18"/>
              </w:rPr>
            </w:pPr>
            <w:r w:rsidRPr="000973F2">
              <w:rPr>
                <w:rFonts w:ascii="Times New Roman" w:eastAsia="Times New Roman" w:hAnsi="Times New Roman" w:cs="Times New Roman"/>
                <w:sz w:val="18"/>
                <w:szCs w:val="18"/>
              </w:rPr>
              <w:t>–</w:t>
            </w:r>
          </w:p>
        </w:tc>
        <w:tc>
          <w:tcPr>
            <w:tcW w:w="1268" w:type="dxa"/>
            <w:noWrap/>
            <w:hideMark/>
          </w:tcPr>
          <w:p w14:paraId="30979F08" w14:textId="1A8FC164" w:rsidR="00034890" w:rsidRPr="000973F2" w:rsidRDefault="00034890" w:rsidP="00034890">
            <w:pPr>
              <w:tabs>
                <w:tab w:val="decimal" w:pos="796"/>
              </w:tabs>
              <w:spacing w:before="40" w:after="4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6"/>
                <w:szCs w:val="18"/>
              </w:rPr>
            </w:pPr>
            <w:r w:rsidRPr="000973F2">
              <w:rPr>
                <w:rFonts w:ascii="Times New Roman" w:eastAsia="Times New Roman" w:hAnsi="Times New Roman" w:cs="Times New Roman"/>
                <w:sz w:val="18"/>
                <w:szCs w:val="18"/>
              </w:rPr>
              <w:t>–</w:t>
            </w:r>
          </w:p>
        </w:tc>
        <w:tc>
          <w:tcPr>
            <w:tcW w:w="1307" w:type="dxa"/>
            <w:noWrap/>
            <w:hideMark/>
          </w:tcPr>
          <w:p w14:paraId="43BCB2D3" w14:textId="0F94DE36" w:rsidR="00034890" w:rsidRPr="000973F2" w:rsidRDefault="00034890" w:rsidP="00034890">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6"/>
                <w:szCs w:val="18"/>
              </w:rPr>
            </w:pPr>
            <w:r w:rsidRPr="000973F2">
              <w:rPr>
                <w:rFonts w:ascii="Times New Roman" w:eastAsia="Times New Roman" w:hAnsi="Times New Roman" w:cs="Times New Roman"/>
                <w:sz w:val="18"/>
                <w:szCs w:val="18"/>
              </w:rPr>
              <w:t>–</w:t>
            </w:r>
          </w:p>
        </w:tc>
        <w:tc>
          <w:tcPr>
            <w:tcW w:w="1288" w:type="dxa"/>
            <w:noWrap/>
            <w:hideMark/>
          </w:tcPr>
          <w:p w14:paraId="392515FB" w14:textId="50965437" w:rsidR="00034890" w:rsidRPr="000973F2" w:rsidRDefault="00034890" w:rsidP="00034890">
            <w:pPr>
              <w:tabs>
                <w:tab w:val="decimal" w:pos="736"/>
              </w:tabs>
              <w:spacing w:before="40" w:after="4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6"/>
                <w:szCs w:val="18"/>
              </w:rPr>
            </w:pPr>
            <w:r w:rsidRPr="000973F2">
              <w:rPr>
                <w:rFonts w:ascii="Times New Roman" w:eastAsia="Times New Roman" w:hAnsi="Times New Roman" w:cs="Times New Roman"/>
                <w:sz w:val="18"/>
                <w:szCs w:val="18"/>
              </w:rPr>
              <w:t>–</w:t>
            </w:r>
          </w:p>
        </w:tc>
      </w:tr>
      <w:tr w:rsidR="009876CC" w:rsidRPr="000973F2" w14:paraId="254578C1" w14:textId="77777777" w:rsidTr="005062BC">
        <w:trPr>
          <w:cantSplit/>
        </w:trPr>
        <w:tc>
          <w:tcPr>
            <w:cnfStyle w:val="001000000000" w:firstRow="0" w:lastRow="0" w:firstColumn="1" w:lastColumn="0" w:oddVBand="0" w:evenVBand="0" w:oddHBand="0" w:evenHBand="0" w:firstRowFirstColumn="0" w:firstRowLastColumn="0" w:lastRowFirstColumn="0" w:lastRowLastColumn="0"/>
            <w:tcW w:w="1605" w:type="dxa"/>
            <w:tcMar>
              <w:right w:w="14" w:type="dxa"/>
            </w:tcMar>
            <w:hideMark/>
          </w:tcPr>
          <w:p w14:paraId="60869410" w14:textId="2B6141BD" w:rsidR="009876CC" w:rsidRPr="000973F2" w:rsidRDefault="009876CC" w:rsidP="005062BC">
            <w:pPr>
              <w:spacing w:before="40" w:after="40"/>
              <w:rPr>
                <w:rFonts w:ascii="Times New Roman" w:eastAsia="Times New Roman" w:hAnsi="Times New Roman" w:cs="Times New Roman"/>
                <w:sz w:val="16"/>
                <w:szCs w:val="18"/>
              </w:rPr>
            </w:pPr>
            <w:r w:rsidRPr="000973F2">
              <w:rPr>
                <w:rFonts w:ascii="Times New Roman" w:eastAsia="Times New Roman" w:hAnsi="Times New Roman" w:cs="Times New Roman"/>
                <w:sz w:val="16"/>
                <w:szCs w:val="18"/>
              </w:rPr>
              <w:t>Sampling</w:t>
            </w:r>
            <w:r w:rsidR="00C805F3" w:rsidRPr="000973F2">
              <w:rPr>
                <w:rFonts w:ascii="Times New Roman" w:eastAsia="Times New Roman" w:hAnsi="Times New Roman" w:cs="Times New Roman"/>
                <w:sz w:val="16"/>
                <w:szCs w:val="18"/>
              </w:rPr>
              <w:t xml:space="preserve"> and Analysis</w:t>
            </w:r>
            <w:r w:rsidRPr="000973F2">
              <w:rPr>
                <w:rFonts w:ascii="Times New Roman" w:eastAsia="Times New Roman" w:hAnsi="Times New Roman" w:cs="Times New Roman"/>
                <w:sz w:val="16"/>
                <w:szCs w:val="18"/>
              </w:rPr>
              <w:t xml:space="preserve"> Costs</w:t>
            </w:r>
          </w:p>
        </w:tc>
        <w:tc>
          <w:tcPr>
            <w:tcW w:w="1287" w:type="dxa"/>
            <w:noWrap/>
            <w:hideMark/>
          </w:tcPr>
          <w:p w14:paraId="25EB0633" w14:textId="77777777" w:rsidR="009876CC" w:rsidRPr="000973F2" w:rsidRDefault="009876CC" w:rsidP="005062BC">
            <w:pPr>
              <w:spacing w:before="40" w:after="4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6"/>
                <w:szCs w:val="18"/>
              </w:rPr>
            </w:pPr>
            <w:r w:rsidRPr="000973F2">
              <w:rPr>
                <w:rFonts w:ascii="Times New Roman" w:eastAsia="Times New Roman" w:hAnsi="Times New Roman" w:cs="Times New Roman"/>
                <w:sz w:val="16"/>
                <w:szCs w:val="18"/>
              </w:rPr>
              <w:t>$0</w:t>
            </w:r>
          </w:p>
        </w:tc>
        <w:tc>
          <w:tcPr>
            <w:tcW w:w="1288" w:type="dxa"/>
            <w:noWrap/>
          </w:tcPr>
          <w:p w14:paraId="4459AAF1" w14:textId="104AD706" w:rsidR="009876CC" w:rsidRPr="000973F2" w:rsidRDefault="009876CC" w:rsidP="005062BC">
            <w:pPr>
              <w:spacing w:before="40" w:after="4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6"/>
                <w:szCs w:val="18"/>
              </w:rPr>
            </w:pPr>
          </w:p>
        </w:tc>
        <w:tc>
          <w:tcPr>
            <w:tcW w:w="1287" w:type="dxa"/>
            <w:noWrap/>
            <w:hideMark/>
          </w:tcPr>
          <w:p w14:paraId="3EFFC647" w14:textId="77777777" w:rsidR="009876CC" w:rsidRPr="000973F2" w:rsidRDefault="009876CC" w:rsidP="005062BC">
            <w:pPr>
              <w:spacing w:before="40" w:after="4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6"/>
                <w:szCs w:val="18"/>
              </w:rPr>
            </w:pPr>
            <w:r w:rsidRPr="000973F2">
              <w:rPr>
                <w:rFonts w:ascii="Times New Roman" w:eastAsia="Times New Roman" w:hAnsi="Times New Roman" w:cs="Times New Roman"/>
                <w:sz w:val="16"/>
                <w:szCs w:val="18"/>
              </w:rPr>
              <w:t>$0</w:t>
            </w:r>
          </w:p>
        </w:tc>
        <w:tc>
          <w:tcPr>
            <w:tcW w:w="1268" w:type="dxa"/>
            <w:noWrap/>
            <w:hideMark/>
          </w:tcPr>
          <w:p w14:paraId="75666CC1" w14:textId="77777777" w:rsidR="009876CC" w:rsidRPr="000973F2" w:rsidRDefault="009876CC" w:rsidP="005062BC">
            <w:pPr>
              <w:tabs>
                <w:tab w:val="decimal" w:pos="796"/>
              </w:tabs>
              <w:spacing w:before="40" w:after="4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6"/>
                <w:szCs w:val="18"/>
              </w:rPr>
            </w:pPr>
            <w:r w:rsidRPr="000973F2">
              <w:rPr>
                <w:rFonts w:ascii="Times New Roman" w:eastAsia="Times New Roman" w:hAnsi="Times New Roman" w:cs="Times New Roman"/>
                <w:sz w:val="16"/>
                <w:szCs w:val="18"/>
              </w:rPr>
              <w:t>$12,000</w:t>
            </w:r>
          </w:p>
        </w:tc>
        <w:tc>
          <w:tcPr>
            <w:tcW w:w="1307" w:type="dxa"/>
            <w:noWrap/>
            <w:hideMark/>
          </w:tcPr>
          <w:p w14:paraId="75671595" w14:textId="77777777" w:rsidR="009876CC" w:rsidRPr="000973F2" w:rsidRDefault="009876CC" w:rsidP="005062BC">
            <w:pPr>
              <w:spacing w:before="40" w:after="4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6"/>
                <w:szCs w:val="18"/>
              </w:rPr>
            </w:pPr>
            <w:r w:rsidRPr="000973F2">
              <w:rPr>
                <w:rFonts w:ascii="Times New Roman" w:eastAsia="Times New Roman" w:hAnsi="Times New Roman" w:cs="Times New Roman"/>
                <w:sz w:val="16"/>
                <w:szCs w:val="18"/>
              </w:rPr>
              <w:t>$0</w:t>
            </w:r>
          </w:p>
        </w:tc>
        <w:tc>
          <w:tcPr>
            <w:tcW w:w="1288" w:type="dxa"/>
            <w:noWrap/>
            <w:hideMark/>
          </w:tcPr>
          <w:p w14:paraId="0EB3DD82" w14:textId="77777777" w:rsidR="009876CC" w:rsidRPr="000973F2" w:rsidRDefault="009876CC" w:rsidP="005062BC">
            <w:pPr>
              <w:tabs>
                <w:tab w:val="decimal" w:pos="736"/>
              </w:tabs>
              <w:spacing w:before="40" w:after="4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6"/>
                <w:szCs w:val="18"/>
              </w:rPr>
            </w:pPr>
            <w:r w:rsidRPr="000973F2">
              <w:rPr>
                <w:rFonts w:ascii="Times New Roman" w:eastAsia="Times New Roman" w:hAnsi="Times New Roman" w:cs="Times New Roman"/>
                <w:sz w:val="16"/>
                <w:szCs w:val="18"/>
              </w:rPr>
              <w:t>$12,000</w:t>
            </w:r>
          </w:p>
        </w:tc>
      </w:tr>
      <w:tr w:rsidR="009876CC" w:rsidRPr="000973F2" w14:paraId="02C9C0B5" w14:textId="77777777" w:rsidTr="00034890">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1605" w:type="dxa"/>
            <w:tcMar>
              <w:right w:w="14" w:type="dxa"/>
            </w:tcMar>
            <w:hideMark/>
          </w:tcPr>
          <w:p w14:paraId="75364440" w14:textId="77777777" w:rsidR="009876CC" w:rsidRPr="000973F2" w:rsidRDefault="009876CC" w:rsidP="005062BC">
            <w:pPr>
              <w:spacing w:before="40" w:after="40"/>
              <w:rPr>
                <w:rFonts w:ascii="Times New Roman" w:eastAsia="Times New Roman" w:hAnsi="Times New Roman" w:cs="Times New Roman"/>
                <w:b/>
                <w:bCs w:val="0"/>
                <w:sz w:val="16"/>
                <w:szCs w:val="18"/>
              </w:rPr>
            </w:pPr>
            <w:r w:rsidRPr="000973F2">
              <w:rPr>
                <w:rFonts w:ascii="Times New Roman" w:eastAsia="Times New Roman" w:hAnsi="Times New Roman" w:cs="Times New Roman"/>
                <w:b/>
                <w:sz w:val="16"/>
                <w:szCs w:val="18"/>
              </w:rPr>
              <w:t>Total</w:t>
            </w:r>
          </w:p>
        </w:tc>
        <w:tc>
          <w:tcPr>
            <w:tcW w:w="1287" w:type="dxa"/>
            <w:noWrap/>
            <w:hideMark/>
          </w:tcPr>
          <w:p w14:paraId="3DE537AC" w14:textId="77777777" w:rsidR="009876CC" w:rsidRPr="000973F2" w:rsidRDefault="009876CC" w:rsidP="005062BC">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sz w:val="16"/>
                <w:szCs w:val="18"/>
              </w:rPr>
            </w:pPr>
            <w:r w:rsidRPr="000973F2">
              <w:rPr>
                <w:rFonts w:ascii="Times New Roman" w:eastAsia="Times New Roman" w:hAnsi="Times New Roman" w:cs="Times New Roman"/>
                <w:b/>
                <w:sz w:val="16"/>
                <w:szCs w:val="18"/>
              </w:rPr>
              <w:t>$0</w:t>
            </w:r>
          </w:p>
        </w:tc>
        <w:tc>
          <w:tcPr>
            <w:tcW w:w="1288" w:type="dxa"/>
            <w:noWrap/>
          </w:tcPr>
          <w:p w14:paraId="1D959508" w14:textId="3689CBD1" w:rsidR="009876CC" w:rsidRPr="000973F2" w:rsidRDefault="009876CC" w:rsidP="005062BC">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sz w:val="16"/>
                <w:szCs w:val="18"/>
              </w:rPr>
            </w:pPr>
          </w:p>
        </w:tc>
        <w:tc>
          <w:tcPr>
            <w:tcW w:w="1287" w:type="dxa"/>
            <w:noWrap/>
            <w:hideMark/>
          </w:tcPr>
          <w:p w14:paraId="0E831BB1" w14:textId="77777777" w:rsidR="009876CC" w:rsidRPr="000973F2" w:rsidRDefault="009876CC" w:rsidP="005062BC">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sz w:val="16"/>
                <w:szCs w:val="18"/>
              </w:rPr>
            </w:pPr>
            <w:r w:rsidRPr="000973F2">
              <w:rPr>
                <w:rFonts w:ascii="Times New Roman" w:eastAsia="Times New Roman" w:hAnsi="Times New Roman" w:cs="Times New Roman"/>
                <w:b/>
                <w:sz w:val="16"/>
                <w:szCs w:val="18"/>
              </w:rPr>
              <w:t>$0</w:t>
            </w:r>
          </w:p>
        </w:tc>
        <w:tc>
          <w:tcPr>
            <w:tcW w:w="1268" w:type="dxa"/>
            <w:noWrap/>
            <w:hideMark/>
          </w:tcPr>
          <w:p w14:paraId="56CA093A" w14:textId="77777777" w:rsidR="009876CC" w:rsidRPr="000973F2" w:rsidRDefault="009876CC" w:rsidP="005062BC">
            <w:pPr>
              <w:tabs>
                <w:tab w:val="decimal" w:pos="796"/>
              </w:tabs>
              <w:spacing w:before="40" w:after="4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sz w:val="16"/>
                <w:szCs w:val="18"/>
              </w:rPr>
            </w:pPr>
            <w:r w:rsidRPr="000973F2">
              <w:rPr>
                <w:rFonts w:ascii="Times New Roman" w:eastAsia="Times New Roman" w:hAnsi="Times New Roman" w:cs="Times New Roman"/>
                <w:b/>
                <w:sz w:val="16"/>
                <w:szCs w:val="18"/>
              </w:rPr>
              <w:t>$12,050</w:t>
            </w:r>
          </w:p>
        </w:tc>
        <w:tc>
          <w:tcPr>
            <w:tcW w:w="1307" w:type="dxa"/>
            <w:noWrap/>
            <w:hideMark/>
          </w:tcPr>
          <w:p w14:paraId="1FD0CB31" w14:textId="77777777" w:rsidR="009876CC" w:rsidRPr="000973F2" w:rsidRDefault="009876CC" w:rsidP="005062BC">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sz w:val="16"/>
                <w:szCs w:val="18"/>
              </w:rPr>
            </w:pPr>
            <w:r w:rsidRPr="000973F2">
              <w:rPr>
                <w:rFonts w:ascii="Times New Roman" w:eastAsia="Times New Roman" w:hAnsi="Times New Roman" w:cs="Times New Roman"/>
                <w:b/>
                <w:sz w:val="16"/>
                <w:szCs w:val="18"/>
              </w:rPr>
              <w:t>$0</w:t>
            </w:r>
          </w:p>
        </w:tc>
        <w:tc>
          <w:tcPr>
            <w:tcW w:w="1288" w:type="dxa"/>
            <w:noWrap/>
            <w:hideMark/>
          </w:tcPr>
          <w:p w14:paraId="280FD777" w14:textId="77777777" w:rsidR="009876CC" w:rsidRPr="000973F2" w:rsidRDefault="009876CC" w:rsidP="005062BC">
            <w:pPr>
              <w:tabs>
                <w:tab w:val="decimal" w:pos="736"/>
              </w:tabs>
              <w:spacing w:before="40" w:after="4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sz w:val="16"/>
                <w:szCs w:val="18"/>
              </w:rPr>
            </w:pPr>
            <w:r w:rsidRPr="000973F2">
              <w:rPr>
                <w:rFonts w:ascii="Times New Roman" w:eastAsia="Times New Roman" w:hAnsi="Times New Roman" w:cs="Times New Roman"/>
                <w:b/>
                <w:sz w:val="16"/>
                <w:szCs w:val="18"/>
              </w:rPr>
              <w:t>$12,050</w:t>
            </w:r>
          </w:p>
        </w:tc>
      </w:tr>
    </w:tbl>
    <w:p w14:paraId="10F29661" w14:textId="77777777" w:rsidR="009876CC" w:rsidRPr="000973F2" w:rsidRDefault="009876CC" w:rsidP="005062BC">
      <w:pPr>
        <w:pStyle w:val="AfterTable"/>
      </w:pPr>
    </w:p>
    <w:p w14:paraId="528F2B9C" w14:textId="77777777" w:rsidR="009876CC" w:rsidRPr="000973F2" w:rsidRDefault="009876CC" w:rsidP="009C4191">
      <w:pPr>
        <w:pStyle w:val="Heading2"/>
      </w:pPr>
      <w:r w:rsidRPr="000973F2">
        <w:t>Total Costs for Subpart G</w:t>
      </w:r>
    </w:p>
    <w:p w14:paraId="5988D490" w14:textId="6A2D4CF9" w:rsidR="009876CC" w:rsidRPr="000973F2" w:rsidRDefault="009876CC" w:rsidP="005062BC">
      <w:pPr>
        <w:pStyle w:val="BodyText"/>
      </w:pPr>
      <w:r w:rsidRPr="000973F2">
        <w:t>The total industry costs related to Subpart G average approximately $26</w:t>
      </w:r>
      <w:r w:rsidR="001F1417" w:rsidRPr="000973F2">
        <w:t>6,8</w:t>
      </w:r>
      <w:r w:rsidRPr="000973F2">
        <w:t>00 per year for existing sources and approximately $7,600 per year for new sources, for a total of approximately $274,000 per year and approximately $823,000 over the three-year period of the ICR. Total costs are based on 32 facilities in 2019, 34 in 2020, and 36 in 2021, which accounts for the 2 new facilities per year.</w:t>
      </w:r>
    </w:p>
    <w:p w14:paraId="0F06F48D" w14:textId="2680466B" w:rsidR="009876CC" w:rsidRPr="000973F2" w:rsidRDefault="009876CC" w:rsidP="00C00E4F">
      <w:pPr>
        <w:spacing w:line="240" w:lineRule="auto"/>
        <w:rPr>
          <w:rFonts w:ascii="Times New Roman" w:hAnsi="Times New Roman" w:cs="Times New Roman"/>
        </w:rPr>
      </w:pPr>
      <w:r w:rsidRPr="000973F2">
        <w:rPr>
          <w:rFonts w:ascii="Times New Roman" w:hAnsi="Times New Roman" w:cs="Times New Roman"/>
        </w:rPr>
        <w:br w:type="page"/>
      </w:r>
    </w:p>
    <w:p w14:paraId="5D520E59" w14:textId="6B33E3A2" w:rsidR="00FC1EBC" w:rsidRPr="000973F2" w:rsidRDefault="00FC1EBC" w:rsidP="00C00E4F">
      <w:pPr>
        <w:pStyle w:val="Heading1"/>
        <w:spacing w:line="240" w:lineRule="auto"/>
      </w:pPr>
      <w:bookmarkStart w:id="18" w:name="_Toc10715600"/>
      <w:r w:rsidRPr="000973F2">
        <w:t xml:space="preserve">Cost Appendix for Subpart H </w:t>
      </w:r>
      <w:r w:rsidR="005062BC" w:rsidRPr="000973F2">
        <w:t>–</w:t>
      </w:r>
      <w:r w:rsidRPr="000973F2">
        <w:t xml:space="preserve"> Cement Production</w:t>
      </w:r>
      <w:bookmarkEnd w:id="18"/>
    </w:p>
    <w:p w14:paraId="2FFD4220" w14:textId="77777777" w:rsidR="00FC1EBC" w:rsidRPr="000973F2" w:rsidRDefault="00FC1EBC" w:rsidP="009C4191">
      <w:pPr>
        <w:pStyle w:val="Heading2"/>
      </w:pPr>
      <w:r w:rsidRPr="000973F2">
        <w:t>Description of Subpart H</w:t>
      </w:r>
    </w:p>
    <w:p w14:paraId="21DE9EA4" w14:textId="7BBFA45B" w:rsidR="00FC1EBC" w:rsidRPr="000973F2" w:rsidRDefault="00FC1EBC" w:rsidP="005062BC">
      <w:pPr>
        <w:pStyle w:val="BodyText"/>
      </w:pPr>
      <w:r w:rsidRPr="000973F2">
        <w:t xml:space="preserve">For purposes of the GHGRP, cement production includes Portland cement facilities that process limestone and other materials in high temperature kilns to produce clinker, which is then used to produce cement. For </w:t>
      </w:r>
      <w:r w:rsidR="009F5E7A" w:rsidRPr="000973F2">
        <w:t>RY</w:t>
      </w:r>
      <w:r w:rsidRPr="000973F2">
        <w:t xml:space="preserve">2017, 94 Portland cement facilities reported to Subpart H. The number of operating Portland cement facilities has changed little in recent years. Based on available information, no new facilities are expected to begin operation during the </w:t>
      </w:r>
      <w:r w:rsidR="005062BC" w:rsidRPr="000973F2">
        <w:t>three-year</w:t>
      </w:r>
      <w:r w:rsidRPr="000973F2">
        <w:t xml:space="preserve"> period</w:t>
      </w:r>
      <w:r w:rsidR="009A4E0C" w:rsidRPr="000973F2">
        <w:t xml:space="preserve"> covered by this ICR</w:t>
      </w:r>
      <w:r w:rsidRPr="000973F2">
        <w:t>. Initial year costs apply to new facilities; therefore, those costs are zero in the tables below.</w:t>
      </w:r>
    </w:p>
    <w:p w14:paraId="7478CB52" w14:textId="1A157CE5" w:rsidR="00FC1EBC" w:rsidRPr="000973F2" w:rsidRDefault="00FC1EBC" w:rsidP="005062BC">
      <w:pPr>
        <w:pStyle w:val="BodyText"/>
      </w:pPr>
      <w:r w:rsidRPr="000973F2">
        <w:t>For Subpart H, facilities have two options to determine CO</w:t>
      </w:r>
      <w:r w:rsidRPr="000973F2">
        <w:rPr>
          <w:vertAlign w:val="subscript"/>
        </w:rPr>
        <w:t>2</w:t>
      </w:r>
      <w:r w:rsidRPr="000973F2">
        <w:t xml:space="preserve"> emissions from cement production. Facilities have the option to calculate and report process and combustion CO</w:t>
      </w:r>
      <w:r w:rsidRPr="000973F2">
        <w:rPr>
          <w:vertAlign w:val="subscript"/>
        </w:rPr>
        <w:t>2</w:t>
      </w:r>
      <w:r w:rsidRPr="000973F2">
        <w:t xml:space="preserve"> emissions separately according to §98.83(d) or to operate and maintain a CEMS to measure combined process and combustion CO</w:t>
      </w:r>
      <w:r w:rsidRPr="000973F2">
        <w:rPr>
          <w:vertAlign w:val="subscript"/>
        </w:rPr>
        <w:t>2</w:t>
      </w:r>
      <w:r w:rsidRPr="000973F2">
        <w:t xml:space="preserve"> emissions according to §98.83(a). A total of 83 cement facilities monitor their GHG emissions using CEMS and 11 cement facilities calculate CO</w:t>
      </w:r>
      <w:r w:rsidRPr="000973F2">
        <w:rPr>
          <w:vertAlign w:val="subscript"/>
        </w:rPr>
        <w:t>2</w:t>
      </w:r>
      <w:r w:rsidRPr="000973F2">
        <w:t xml:space="preserve"> emissions according to §98.83(d).</w:t>
      </w:r>
    </w:p>
    <w:p w14:paraId="591D0F82" w14:textId="29967CD4" w:rsidR="00FC1EBC" w:rsidRPr="000973F2" w:rsidRDefault="00FC1EBC" w:rsidP="005062BC">
      <w:pPr>
        <w:pStyle w:val="BodyText"/>
        <w:rPr>
          <w:szCs w:val="24"/>
        </w:rPr>
      </w:pPr>
      <w:r w:rsidRPr="000973F2">
        <w:rPr>
          <w:szCs w:val="24"/>
        </w:rPr>
        <w:t xml:space="preserve">Under the GHGRP, all cement facilities must report their clinker and cement production (§98.86). </w:t>
      </w:r>
      <w:r w:rsidRPr="000973F2">
        <w:t>Clinker and cement production are monitored by cement facilities as part of normal business operations. In addition, clinker production is required to be reported for compliance with EPA</w:t>
      </w:r>
      <w:r w:rsidR="00492E3B" w:rsidRPr="000973F2">
        <w:t>’s</w:t>
      </w:r>
      <w:r w:rsidRPr="000973F2">
        <w:t xml:space="preserve"> NSPS and NESHAP regulations; therefore, no costs are attributed to the GHGRP for the monitoring of clinker or cement production. </w:t>
      </w:r>
      <w:r w:rsidRPr="000973F2">
        <w:rPr>
          <w:szCs w:val="24"/>
        </w:rPr>
        <w:t>Cement facilities that do not use CEMS to monitor GHG emissions must also report the calcium oxide (CaO) and magnesium oxide (MgO) content of clinker and cement kiln dust (CKD), and the total organic carbon (TOC) of raw materials (§98.84).</w:t>
      </w:r>
      <w:r w:rsidRPr="000973F2">
        <w:t xml:space="preserve"> Measurements of CaO, MgO, and TOC are already conducted as part of normal business operations and Subpart H also allows the use of default factors in place of actual measurement data; therefore, no costs are attributed to the GHGRP for these activities.</w:t>
      </w:r>
      <w:r w:rsidRPr="000973F2">
        <w:rPr>
          <w:szCs w:val="24"/>
        </w:rPr>
        <w:t xml:space="preserve"> </w:t>
      </w:r>
    </w:p>
    <w:p w14:paraId="4AE8DED8" w14:textId="77777777" w:rsidR="00FC1EBC" w:rsidRPr="000973F2" w:rsidRDefault="00FC1EBC" w:rsidP="005062BC">
      <w:pPr>
        <w:pStyle w:val="BodyText"/>
      </w:pPr>
      <w:r w:rsidRPr="000973F2">
        <w:t>Despite some differences in the types of information reported, labor and capital and O&amp;M costs are estimated to be the same for facilities that use CEMS and those that do not.</w:t>
      </w:r>
    </w:p>
    <w:p w14:paraId="62B9DE88" w14:textId="77777777" w:rsidR="00FC1EBC" w:rsidRPr="000973F2" w:rsidRDefault="00FC1EBC" w:rsidP="00C00E4F">
      <w:pPr>
        <w:spacing w:line="240" w:lineRule="auto"/>
        <w:rPr>
          <w:rFonts w:ascii="Times New Roman" w:hAnsi="Times New Roman" w:cs="Times New Roman"/>
          <w:b/>
          <w:i/>
          <w:szCs w:val="24"/>
        </w:rPr>
      </w:pPr>
      <w:r w:rsidRPr="000973F2">
        <w:rPr>
          <w:rFonts w:ascii="Times New Roman" w:hAnsi="Times New Roman" w:cs="Times New Roman"/>
          <w:b/>
          <w:i/>
          <w:szCs w:val="24"/>
        </w:rPr>
        <w:br w:type="page"/>
      </w:r>
    </w:p>
    <w:p w14:paraId="0F9AEDFD" w14:textId="77777777" w:rsidR="00FC1EBC" w:rsidRPr="000973F2" w:rsidRDefault="00FC1EBC" w:rsidP="005062BC">
      <w:pPr>
        <w:pStyle w:val="Heading2"/>
      </w:pPr>
      <w:r w:rsidRPr="000973F2">
        <w:t>Labor Costs for Subpart H</w:t>
      </w:r>
    </w:p>
    <w:p w14:paraId="45A8A993" w14:textId="5278E163" w:rsidR="00FC1EBC" w:rsidRPr="000973F2" w:rsidRDefault="00FC1EBC" w:rsidP="005062BC">
      <w:pPr>
        <w:pStyle w:val="BodyText"/>
      </w:pPr>
      <w:r w:rsidRPr="000973F2">
        <w:t xml:space="preserve">Table </w:t>
      </w:r>
      <w:r w:rsidR="005062BC" w:rsidRPr="000973F2">
        <w:t>H-</w:t>
      </w:r>
      <w:r w:rsidRPr="000973F2">
        <w:t xml:space="preserve">1 below summarizes the labor costs for Subpart H. Typical activities for each of the labor activities are included in the Cost Appendix Introduction. Recordkeeping and reporting hours </w:t>
      </w:r>
      <w:r w:rsidR="00252A6A" w:rsidRPr="000973F2">
        <w:t>are based on</w:t>
      </w:r>
      <w:r w:rsidRPr="000973F2">
        <w:t xml:space="preserve"> the “medium bin”</w:t>
      </w:r>
      <w:r w:rsidR="00252A6A" w:rsidRPr="000973F2">
        <w:t xml:space="preserve"> designation.</w:t>
      </w:r>
      <w:r w:rsidRPr="000973F2">
        <w:t xml:space="preserve"> Sampling and analysis (calculations) hours include completion of the measurements and calculations detailed in §98.83(a) and (d).</w:t>
      </w:r>
    </w:p>
    <w:p w14:paraId="063C9CEF" w14:textId="6CB5DDF7" w:rsidR="00836FDB" w:rsidRPr="000973F2" w:rsidRDefault="00836FDB" w:rsidP="005062BC">
      <w:pPr>
        <w:pStyle w:val="Tabletitle"/>
      </w:pPr>
      <w:r w:rsidRPr="000973F2">
        <w:t xml:space="preserve">Table </w:t>
      </w:r>
      <w:r w:rsidR="005062BC" w:rsidRPr="000973F2">
        <w:t>H-</w:t>
      </w:r>
      <w:r w:rsidRPr="000973F2">
        <w:t>1. Labor Costs – Subpart H</w:t>
      </w:r>
    </w:p>
    <w:tbl>
      <w:tblPr>
        <w:tblStyle w:val="PlainTable1"/>
        <w:tblW w:w="5000" w:type="pct"/>
        <w:jc w:val="left"/>
        <w:tblLayout w:type="fixed"/>
        <w:tblLook w:val="04A0" w:firstRow="1" w:lastRow="0" w:firstColumn="1" w:lastColumn="0" w:noHBand="0" w:noVBand="1"/>
      </w:tblPr>
      <w:tblGrid>
        <w:gridCol w:w="1378"/>
        <w:gridCol w:w="736"/>
        <w:gridCol w:w="921"/>
        <w:gridCol w:w="737"/>
        <w:gridCol w:w="828"/>
        <w:gridCol w:w="737"/>
        <w:gridCol w:w="1012"/>
        <w:gridCol w:w="737"/>
        <w:gridCol w:w="832"/>
        <w:gridCol w:w="737"/>
        <w:gridCol w:w="921"/>
      </w:tblGrid>
      <w:tr w:rsidR="005135FE" w:rsidRPr="000973F2" w14:paraId="70EEF7CB" w14:textId="77777777" w:rsidTr="005062BC">
        <w:trPr>
          <w:cnfStyle w:val="100000000000" w:firstRow="1" w:lastRow="0" w:firstColumn="0" w:lastColumn="0" w:oddVBand="0" w:evenVBand="0" w:oddHBand="0" w:evenHBand="0" w:firstRowFirstColumn="0" w:firstRowLastColumn="0" w:lastRowFirstColumn="0" w:lastRowLastColumn="0"/>
          <w:jc w:val="left"/>
        </w:trPr>
        <w:tc>
          <w:tcPr>
            <w:cnfStyle w:val="001000000000" w:firstRow="0" w:lastRow="0" w:firstColumn="1" w:lastColumn="0" w:oddVBand="0" w:evenVBand="0" w:oddHBand="0" w:evenHBand="0" w:firstRowFirstColumn="0" w:firstRowLastColumn="0" w:lastRowFirstColumn="0" w:lastRowLastColumn="0"/>
            <w:tcW w:w="1343" w:type="dxa"/>
            <w:vMerge w:val="restart"/>
            <w:noWrap/>
            <w:vAlign w:val="top"/>
            <w:hideMark/>
          </w:tcPr>
          <w:p w14:paraId="44959103" w14:textId="77777777" w:rsidR="00FC1EBC" w:rsidRPr="000973F2" w:rsidRDefault="00FC1EBC" w:rsidP="005062BC">
            <w:pPr>
              <w:spacing w:before="40" w:after="40"/>
              <w:rPr>
                <w:rFonts w:ascii="Times New Roman" w:eastAsia="Times New Roman" w:hAnsi="Times New Roman" w:cs="Times New Roman"/>
                <w:bCs w:val="0"/>
                <w:sz w:val="18"/>
                <w:szCs w:val="18"/>
              </w:rPr>
            </w:pPr>
            <w:r w:rsidRPr="000973F2">
              <w:rPr>
                <w:rFonts w:ascii="Times New Roman" w:eastAsia="Times New Roman" w:hAnsi="Times New Roman" w:cs="Times New Roman"/>
                <w:sz w:val="18"/>
                <w:szCs w:val="18"/>
              </w:rPr>
              <w:t>Activity</w:t>
            </w:r>
          </w:p>
        </w:tc>
        <w:tc>
          <w:tcPr>
            <w:tcW w:w="6372" w:type="dxa"/>
            <w:gridSpan w:val="8"/>
            <w:noWrap/>
            <w:vAlign w:val="top"/>
            <w:hideMark/>
          </w:tcPr>
          <w:p w14:paraId="38E8EE3E" w14:textId="77777777" w:rsidR="00FC1EBC" w:rsidRPr="000973F2" w:rsidRDefault="00FC1EBC" w:rsidP="005062BC">
            <w:pPr>
              <w:spacing w:before="40" w:after="40"/>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Cs w:val="0"/>
                <w:sz w:val="18"/>
                <w:szCs w:val="18"/>
              </w:rPr>
            </w:pPr>
            <w:r w:rsidRPr="000973F2">
              <w:rPr>
                <w:rFonts w:ascii="Times New Roman" w:eastAsia="Times New Roman" w:hAnsi="Times New Roman" w:cs="Times New Roman"/>
                <w:bCs w:val="0"/>
                <w:sz w:val="18"/>
                <w:szCs w:val="18"/>
              </w:rPr>
              <w:t>Labor Rates (per hour)</w:t>
            </w:r>
          </w:p>
        </w:tc>
        <w:tc>
          <w:tcPr>
            <w:tcW w:w="1615" w:type="dxa"/>
            <w:gridSpan w:val="2"/>
            <w:vMerge w:val="restart"/>
            <w:vAlign w:val="top"/>
            <w:hideMark/>
          </w:tcPr>
          <w:p w14:paraId="5B08854E" w14:textId="11851494" w:rsidR="00FC1EBC" w:rsidRPr="000973F2" w:rsidRDefault="00FC1EBC" w:rsidP="005062BC">
            <w:pPr>
              <w:spacing w:before="40" w:after="40"/>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Cs w:val="0"/>
                <w:sz w:val="18"/>
                <w:szCs w:val="18"/>
              </w:rPr>
            </w:pPr>
            <w:r w:rsidRPr="000973F2">
              <w:rPr>
                <w:rFonts w:ascii="Times New Roman" w:eastAsia="Times New Roman" w:hAnsi="Times New Roman" w:cs="Times New Roman"/>
                <w:bCs w:val="0"/>
                <w:sz w:val="18"/>
                <w:szCs w:val="18"/>
              </w:rPr>
              <w:t xml:space="preserve">Total Labor Cost per Year per Facility (2017$) </w:t>
            </w:r>
          </w:p>
        </w:tc>
      </w:tr>
      <w:tr w:rsidR="00FE2D2C" w:rsidRPr="000973F2" w14:paraId="200F13BA" w14:textId="77777777" w:rsidTr="005062B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43" w:type="dxa"/>
            <w:vMerge/>
            <w:hideMark/>
          </w:tcPr>
          <w:p w14:paraId="1AA52D9F" w14:textId="77777777" w:rsidR="00FC1EBC" w:rsidRPr="000973F2" w:rsidRDefault="00FC1EBC" w:rsidP="005062BC">
            <w:pPr>
              <w:spacing w:before="40" w:after="40"/>
              <w:rPr>
                <w:rFonts w:ascii="Times New Roman" w:eastAsia="Times New Roman" w:hAnsi="Times New Roman" w:cs="Times New Roman"/>
                <w:b/>
                <w:bCs w:val="0"/>
                <w:sz w:val="18"/>
                <w:szCs w:val="18"/>
              </w:rPr>
            </w:pPr>
          </w:p>
        </w:tc>
        <w:tc>
          <w:tcPr>
            <w:tcW w:w="1614" w:type="dxa"/>
            <w:gridSpan w:val="2"/>
            <w:noWrap/>
            <w:hideMark/>
          </w:tcPr>
          <w:p w14:paraId="4DD3DE70" w14:textId="77777777" w:rsidR="00FC1EBC" w:rsidRPr="000973F2" w:rsidRDefault="00FC1EBC" w:rsidP="005062BC">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18"/>
                <w:szCs w:val="18"/>
              </w:rPr>
            </w:pPr>
            <w:r w:rsidRPr="000973F2">
              <w:rPr>
                <w:rFonts w:ascii="Times New Roman" w:eastAsia="Times New Roman" w:hAnsi="Times New Roman" w:cs="Times New Roman"/>
                <w:b/>
                <w:bCs/>
                <w:sz w:val="18"/>
                <w:szCs w:val="18"/>
              </w:rPr>
              <w:t>Lawyer</w:t>
            </w:r>
          </w:p>
        </w:tc>
        <w:tc>
          <w:tcPr>
            <w:tcW w:w="1525" w:type="dxa"/>
            <w:gridSpan w:val="2"/>
            <w:noWrap/>
            <w:hideMark/>
          </w:tcPr>
          <w:p w14:paraId="540958EF" w14:textId="77777777" w:rsidR="00FC1EBC" w:rsidRPr="000973F2" w:rsidRDefault="00FC1EBC" w:rsidP="005062BC">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18"/>
                <w:szCs w:val="18"/>
              </w:rPr>
            </w:pPr>
            <w:r w:rsidRPr="000973F2">
              <w:rPr>
                <w:rFonts w:ascii="Times New Roman" w:eastAsia="Times New Roman" w:hAnsi="Times New Roman" w:cs="Times New Roman"/>
                <w:b/>
                <w:bCs/>
                <w:sz w:val="18"/>
                <w:szCs w:val="18"/>
              </w:rPr>
              <w:t>Industrial Manager</w:t>
            </w:r>
          </w:p>
        </w:tc>
        <w:tc>
          <w:tcPr>
            <w:tcW w:w="1704" w:type="dxa"/>
            <w:gridSpan w:val="2"/>
            <w:hideMark/>
          </w:tcPr>
          <w:p w14:paraId="05A5B865" w14:textId="4EC627AC" w:rsidR="00FC1EBC" w:rsidRPr="000973F2" w:rsidRDefault="00FC1EBC" w:rsidP="005062BC">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18"/>
                <w:szCs w:val="18"/>
              </w:rPr>
            </w:pPr>
            <w:r w:rsidRPr="000973F2">
              <w:rPr>
                <w:rFonts w:ascii="Times New Roman" w:eastAsia="Times New Roman" w:hAnsi="Times New Roman" w:cs="Times New Roman"/>
                <w:b/>
                <w:bCs/>
                <w:sz w:val="18"/>
                <w:szCs w:val="18"/>
              </w:rPr>
              <w:t>Industrial Engineer/</w:t>
            </w:r>
            <w:r w:rsidR="009C4191" w:rsidRPr="000973F2">
              <w:rPr>
                <w:rFonts w:ascii="Times New Roman" w:eastAsia="Times New Roman" w:hAnsi="Times New Roman" w:cs="Times New Roman"/>
                <w:b/>
                <w:bCs/>
                <w:sz w:val="18"/>
                <w:szCs w:val="18"/>
              </w:rPr>
              <w:t xml:space="preserve"> </w:t>
            </w:r>
            <w:r w:rsidRPr="000973F2">
              <w:rPr>
                <w:rFonts w:ascii="Times New Roman" w:eastAsia="Times New Roman" w:hAnsi="Times New Roman" w:cs="Times New Roman"/>
                <w:b/>
                <w:bCs/>
                <w:sz w:val="18"/>
                <w:szCs w:val="18"/>
              </w:rPr>
              <w:t>Technician</w:t>
            </w:r>
          </w:p>
        </w:tc>
        <w:tc>
          <w:tcPr>
            <w:tcW w:w="1529" w:type="dxa"/>
            <w:gridSpan w:val="2"/>
            <w:hideMark/>
          </w:tcPr>
          <w:p w14:paraId="419FBFED" w14:textId="77777777" w:rsidR="00FC1EBC" w:rsidRPr="000973F2" w:rsidRDefault="00FC1EBC" w:rsidP="005062BC">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18"/>
                <w:szCs w:val="18"/>
              </w:rPr>
            </w:pPr>
            <w:r w:rsidRPr="000973F2">
              <w:rPr>
                <w:rFonts w:ascii="Times New Roman" w:eastAsia="Times New Roman" w:hAnsi="Times New Roman" w:cs="Times New Roman"/>
                <w:b/>
                <w:bCs/>
                <w:sz w:val="18"/>
                <w:szCs w:val="18"/>
              </w:rPr>
              <w:t>Administrative Support</w:t>
            </w:r>
          </w:p>
        </w:tc>
        <w:tc>
          <w:tcPr>
            <w:tcW w:w="1615" w:type="dxa"/>
            <w:gridSpan w:val="2"/>
            <w:vMerge/>
            <w:hideMark/>
          </w:tcPr>
          <w:p w14:paraId="2892BAA5" w14:textId="77777777" w:rsidR="00FC1EBC" w:rsidRPr="000973F2" w:rsidRDefault="00FC1EBC" w:rsidP="005062BC">
            <w:pPr>
              <w:spacing w:before="40" w:after="4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18"/>
                <w:szCs w:val="18"/>
              </w:rPr>
            </w:pPr>
          </w:p>
        </w:tc>
      </w:tr>
      <w:tr w:rsidR="00FE2D2C" w:rsidRPr="000973F2" w14:paraId="6D61849F" w14:textId="77777777" w:rsidTr="005062BC">
        <w:tc>
          <w:tcPr>
            <w:cnfStyle w:val="001000000000" w:firstRow="0" w:lastRow="0" w:firstColumn="1" w:lastColumn="0" w:oddVBand="0" w:evenVBand="0" w:oddHBand="0" w:evenHBand="0" w:firstRowFirstColumn="0" w:firstRowLastColumn="0" w:lastRowFirstColumn="0" w:lastRowLastColumn="0"/>
            <w:tcW w:w="1343" w:type="dxa"/>
            <w:vMerge/>
            <w:hideMark/>
          </w:tcPr>
          <w:p w14:paraId="7D747A7E" w14:textId="77777777" w:rsidR="00FC1EBC" w:rsidRPr="000973F2" w:rsidRDefault="00FC1EBC" w:rsidP="005062BC">
            <w:pPr>
              <w:spacing w:before="40" w:after="40"/>
              <w:rPr>
                <w:rFonts w:ascii="Times New Roman" w:eastAsia="Times New Roman" w:hAnsi="Times New Roman" w:cs="Times New Roman"/>
                <w:b/>
                <w:bCs w:val="0"/>
                <w:sz w:val="18"/>
                <w:szCs w:val="18"/>
              </w:rPr>
            </w:pPr>
          </w:p>
        </w:tc>
        <w:tc>
          <w:tcPr>
            <w:tcW w:w="1614" w:type="dxa"/>
            <w:gridSpan w:val="2"/>
            <w:noWrap/>
            <w:hideMark/>
          </w:tcPr>
          <w:p w14:paraId="788C2F41" w14:textId="77777777" w:rsidR="00FC1EBC" w:rsidRPr="000973F2" w:rsidRDefault="00FC1EBC" w:rsidP="005062BC">
            <w:pPr>
              <w:spacing w:before="40" w:after="4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sz w:val="18"/>
                <w:szCs w:val="18"/>
              </w:rPr>
            </w:pPr>
            <w:r w:rsidRPr="000973F2">
              <w:rPr>
                <w:rFonts w:ascii="Times New Roman" w:eastAsia="Times New Roman" w:hAnsi="Times New Roman" w:cs="Times New Roman"/>
                <w:b/>
                <w:bCs/>
                <w:sz w:val="18"/>
                <w:szCs w:val="18"/>
              </w:rPr>
              <w:t xml:space="preserve">$112.23 </w:t>
            </w:r>
          </w:p>
        </w:tc>
        <w:tc>
          <w:tcPr>
            <w:tcW w:w="1525" w:type="dxa"/>
            <w:gridSpan w:val="2"/>
            <w:noWrap/>
            <w:hideMark/>
          </w:tcPr>
          <w:p w14:paraId="34FDB7A4" w14:textId="77777777" w:rsidR="00FC1EBC" w:rsidRPr="000973F2" w:rsidRDefault="00FC1EBC" w:rsidP="005062BC">
            <w:pPr>
              <w:spacing w:before="40" w:after="4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sz w:val="18"/>
                <w:szCs w:val="18"/>
              </w:rPr>
            </w:pPr>
            <w:r w:rsidRPr="000973F2">
              <w:rPr>
                <w:rFonts w:ascii="Times New Roman" w:eastAsia="Times New Roman" w:hAnsi="Times New Roman" w:cs="Times New Roman"/>
                <w:b/>
                <w:bCs/>
                <w:sz w:val="18"/>
                <w:szCs w:val="18"/>
              </w:rPr>
              <w:t xml:space="preserve">$87.45 </w:t>
            </w:r>
          </w:p>
        </w:tc>
        <w:tc>
          <w:tcPr>
            <w:tcW w:w="1704" w:type="dxa"/>
            <w:gridSpan w:val="2"/>
            <w:noWrap/>
            <w:hideMark/>
          </w:tcPr>
          <w:p w14:paraId="047ADF21" w14:textId="77777777" w:rsidR="00FC1EBC" w:rsidRPr="000973F2" w:rsidRDefault="00FC1EBC" w:rsidP="005062BC">
            <w:pPr>
              <w:spacing w:before="40" w:after="4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sz w:val="18"/>
                <w:szCs w:val="18"/>
              </w:rPr>
            </w:pPr>
            <w:r w:rsidRPr="000973F2">
              <w:rPr>
                <w:rFonts w:ascii="Times New Roman" w:eastAsia="Times New Roman" w:hAnsi="Times New Roman" w:cs="Times New Roman"/>
                <w:b/>
                <w:bCs/>
                <w:sz w:val="18"/>
                <w:szCs w:val="18"/>
              </w:rPr>
              <w:t xml:space="preserve">$71.45 </w:t>
            </w:r>
          </w:p>
        </w:tc>
        <w:tc>
          <w:tcPr>
            <w:tcW w:w="1529" w:type="dxa"/>
            <w:gridSpan w:val="2"/>
            <w:noWrap/>
            <w:hideMark/>
          </w:tcPr>
          <w:p w14:paraId="78CEB294" w14:textId="77777777" w:rsidR="00FC1EBC" w:rsidRPr="000973F2" w:rsidRDefault="00FC1EBC" w:rsidP="005062BC">
            <w:pPr>
              <w:spacing w:before="40" w:after="4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sz w:val="18"/>
                <w:szCs w:val="18"/>
              </w:rPr>
            </w:pPr>
            <w:r w:rsidRPr="000973F2">
              <w:rPr>
                <w:rFonts w:ascii="Times New Roman" w:eastAsia="Times New Roman" w:hAnsi="Times New Roman" w:cs="Times New Roman"/>
                <w:b/>
                <w:bCs/>
                <w:sz w:val="18"/>
                <w:szCs w:val="18"/>
              </w:rPr>
              <w:t xml:space="preserve">$36.28 </w:t>
            </w:r>
          </w:p>
        </w:tc>
        <w:tc>
          <w:tcPr>
            <w:tcW w:w="1615" w:type="dxa"/>
            <w:gridSpan w:val="2"/>
            <w:vMerge/>
            <w:hideMark/>
          </w:tcPr>
          <w:p w14:paraId="2CA5BD72" w14:textId="77777777" w:rsidR="00FC1EBC" w:rsidRPr="000973F2" w:rsidRDefault="00FC1EBC" w:rsidP="005062BC">
            <w:pPr>
              <w:spacing w:before="40" w:after="4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sz w:val="18"/>
                <w:szCs w:val="18"/>
              </w:rPr>
            </w:pPr>
          </w:p>
        </w:tc>
      </w:tr>
      <w:tr w:rsidR="005062BC" w:rsidRPr="000973F2" w14:paraId="59B57E33" w14:textId="77777777" w:rsidTr="005062B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43" w:type="dxa"/>
            <w:vMerge/>
            <w:hideMark/>
          </w:tcPr>
          <w:p w14:paraId="5129A92B" w14:textId="77777777" w:rsidR="00FC1EBC" w:rsidRPr="000973F2" w:rsidRDefault="00FC1EBC" w:rsidP="005062BC">
            <w:pPr>
              <w:spacing w:before="40" w:after="40"/>
              <w:rPr>
                <w:rFonts w:ascii="Times New Roman" w:eastAsia="Times New Roman" w:hAnsi="Times New Roman" w:cs="Times New Roman"/>
                <w:b/>
                <w:bCs w:val="0"/>
                <w:sz w:val="18"/>
                <w:szCs w:val="18"/>
              </w:rPr>
            </w:pPr>
          </w:p>
        </w:tc>
        <w:tc>
          <w:tcPr>
            <w:tcW w:w="717" w:type="dxa"/>
            <w:hideMark/>
          </w:tcPr>
          <w:p w14:paraId="6180E7BE" w14:textId="7C929955" w:rsidR="00FC1EBC" w:rsidRPr="000973F2" w:rsidRDefault="00FC1EBC" w:rsidP="005062BC">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18"/>
                <w:szCs w:val="18"/>
              </w:rPr>
            </w:pPr>
            <w:r w:rsidRPr="000973F2">
              <w:rPr>
                <w:rFonts w:ascii="Times New Roman" w:eastAsia="Times New Roman" w:hAnsi="Times New Roman" w:cs="Times New Roman"/>
                <w:b/>
                <w:bCs/>
                <w:sz w:val="18"/>
                <w:szCs w:val="18"/>
              </w:rPr>
              <w:t>Initial Year</w:t>
            </w:r>
            <w:r w:rsidR="005062BC" w:rsidRPr="000973F2">
              <w:rPr>
                <w:rFonts w:ascii="Times New Roman" w:eastAsia="Times New Roman" w:hAnsi="Times New Roman" w:cs="Times New Roman"/>
                <w:b/>
                <w:bCs/>
                <w:sz w:val="18"/>
                <w:szCs w:val="18"/>
              </w:rPr>
              <w:t xml:space="preserve"> </w:t>
            </w:r>
            <w:r w:rsidRPr="000973F2">
              <w:rPr>
                <w:rFonts w:ascii="Times New Roman" w:eastAsia="Times New Roman" w:hAnsi="Times New Roman" w:cs="Times New Roman"/>
                <w:b/>
                <w:bCs/>
                <w:sz w:val="18"/>
                <w:szCs w:val="18"/>
              </w:rPr>
              <w:t>Hours</w:t>
            </w:r>
          </w:p>
        </w:tc>
        <w:tc>
          <w:tcPr>
            <w:tcW w:w="897" w:type="dxa"/>
            <w:hideMark/>
          </w:tcPr>
          <w:p w14:paraId="310B2BB2" w14:textId="76980099" w:rsidR="00FC1EBC" w:rsidRPr="000973F2" w:rsidRDefault="00FC1EBC" w:rsidP="005062BC">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18"/>
                <w:szCs w:val="18"/>
              </w:rPr>
            </w:pPr>
            <w:r w:rsidRPr="000973F2">
              <w:rPr>
                <w:rFonts w:ascii="Times New Roman" w:eastAsia="Times New Roman" w:hAnsi="Times New Roman" w:cs="Times New Roman"/>
                <w:b/>
                <w:bCs/>
                <w:sz w:val="18"/>
                <w:szCs w:val="18"/>
              </w:rPr>
              <w:t>Subseq. Year</w:t>
            </w:r>
            <w:r w:rsidR="005062BC" w:rsidRPr="000973F2">
              <w:rPr>
                <w:rFonts w:ascii="Times New Roman" w:eastAsia="Times New Roman" w:hAnsi="Times New Roman" w:cs="Times New Roman"/>
                <w:b/>
                <w:bCs/>
                <w:sz w:val="18"/>
                <w:szCs w:val="18"/>
              </w:rPr>
              <w:t xml:space="preserve"> </w:t>
            </w:r>
            <w:r w:rsidRPr="000973F2">
              <w:rPr>
                <w:rFonts w:ascii="Times New Roman" w:eastAsia="Times New Roman" w:hAnsi="Times New Roman" w:cs="Times New Roman"/>
                <w:b/>
                <w:bCs/>
                <w:sz w:val="18"/>
                <w:szCs w:val="18"/>
              </w:rPr>
              <w:t>Hours</w:t>
            </w:r>
          </w:p>
        </w:tc>
        <w:tc>
          <w:tcPr>
            <w:tcW w:w="718" w:type="dxa"/>
            <w:hideMark/>
          </w:tcPr>
          <w:p w14:paraId="2862BFE3" w14:textId="0281D11D" w:rsidR="00FC1EBC" w:rsidRPr="000973F2" w:rsidRDefault="00FC1EBC" w:rsidP="005062BC">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18"/>
                <w:szCs w:val="18"/>
              </w:rPr>
            </w:pPr>
            <w:r w:rsidRPr="000973F2">
              <w:rPr>
                <w:rFonts w:ascii="Times New Roman" w:eastAsia="Times New Roman" w:hAnsi="Times New Roman" w:cs="Times New Roman"/>
                <w:b/>
                <w:bCs/>
                <w:sz w:val="18"/>
                <w:szCs w:val="18"/>
              </w:rPr>
              <w:t>Initial Year</w:t>
            </w:r>
            <w:r w:rsidR="005062BC" w:rsidRPr="000973F2">
              <w:rPr>
                <w:rFonts w:ascii="Times New Roman" w:eastAsia="Times New Roman" w:hAnsi="Times New Roman" w:cs="Times New Roman"/>
                <w:b/>
                <w:bCs/>
                <w:sz w:val="18"/>
                <w:szCs w:val="18"/>
              </w:rPr>
              <w:t xml:space="preserve"> </w:t>
            </w:r>
            <w:r w:rsidRPr="000973F2">
              <w:rPr>
                <w:rFonts w:ascii="Times New Roman" w:eastAsia="Times New Roman" w:hAnsi="Times New Roman" w:cs="Times New Roman"/>
                <w:b/>
                <w:bCs/>
                <w:sz w:val="18"/>
                <w:szCs w:val="18"/>
              </w:rPr>
              <w:t>Hours</w:t>
            </w:r>
          </w:p>
        </w:tc>
        <w:tc>
          <w:tcPr>
            <w:tcW w:w="807" w:type="dxa"/>
            <w:hideMark/>
          </w:tcPr>
          <w:p w14:paraId="0AC3FFDC" w14:textId="26FCA12E" w:rsidR="00FC1EBC" w:rsidRPr="000973F2" w:rsidRDefault="00FC1EBC" w:rsidP="005062BC">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18"/>
                <w:szCs w:val="18"/>
              </w:rPr>
            </w:pPr>
            <w:r w:rsidRPr="000973F2">
              <w:rPr>
                <w:rFonts w:ascii="Times New Roman" w:eastAsia="Times New Roman" w:hAnsi="Times New Roman" w:cs="Times New Roman"/>
                <w:b/>
                <w:bCs/>
                <w:sz w:val="18"/>
                <w:szCs w:val="18"/>
              </w:rPr>
              <w:t>Subseq</w:t>
            </w:r>
            <w:r w:rsidR="000973F2">
              <w:rPr>
                <w:rFonts w:ascii="Times New Roman" w:eastAsia="Times New Roman" w:hAnsi="Times New Roman" w:cs="Times New Roman"/>
                <w:b/>
                <w:bCs/>
                <w:sz w:val="18"/>
                <w:szCs w:val="18"/>
              </w:rPr>
              <w:t xml:space="preserve"> </w:t>
            </w:r>
            <w:r w:rsidRPr="000973F2">
              <w:rPr>
                <w:rFonts w:ascii="Times New Roman" w:eastAsia="Times New Roman" w:hAnsi="Times New Roman" w:cs="Times New Roman"/>
                <w:b/>
                <w:bCs/>
                <w:sz w:val="18"/>
                <w:szCs w:val="18"/>
              </w:rPr>
              <w:t>Year</w:t>
            </w:r>
            <w:r w:rsidR="005062BC" w:rsidRPr="000973F2">
              <w:rPr>
                <w:rFonts w:ascii="Times New Roman" w:eastAsia="Times New Roman" w:hAnsi="Times New Roman" w:cs="Times New Roman"/>
                <w:b/>
                <w:bCs/>
                <w:sz w:val="18"/>
                <w:szCs w:val="18"/>
              </w:rPr>
              <w:t xml:space="preserve"> </w:t>
            </w:r>
            <w:r w:rsidRPr="000973F2">
              <w:rPr>
                <w:rFonts w:ascii="Times New Roman" w:eastAsia="Times New Roman" w:hAnsi="Times New Roman" w:cs="Times New Roman"/>
                <w:b/>
                <w:bCs/>
                <w:sz w:val="18"/>
                <w:szCs w:val="18"/>
              </w:rPr>
              <w:t>Hours</w:t>
            </w:r>
          </w:p>
        </w:tc>
        <w:tc>
          <w:tcPr>
            <w:tcW w:w="718" w:type="dxa"/>
            <w:hideMark/>
          </w:tcPr>
          <w:p w14:paraId="2BCDDE9F" w14:textId="30F8C741" w:rsidR="00FC1EBC" w:rsidRPr="000973F2" w:rsidRDefault="00FC1EBC" w:rsidP="005062BC">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18"/>
                <w:szCs w:val="18"/>
              </w:rPr>
            </w:pPr>
            <w:r w:rsidRPr="000973F2">
              <w:rPr>
                <w:rFonts w:ascii="Times New Roman" w:eastAsia="Times New Roman" w:hAnsi="Times New Roman" w:cs="Times New Roman"/>
                <w:b/>
                <w:bCs/>
                <w:sz w:val="18"/>
                <w:szCs w:val="18"/>
              </w:rPr>
              <w:t>Initial Year</w:t>
            </w:r>
            <w:r w:rsidR="005062BC" w:rsidRPr="000973F2">
              <w:rPr>
                <w:rFonts w:ascii="Times New Roman" w:eastAsia="Times New Roman" w:hAnsi="Times New Roman" w:cs="Times New Roman"/>
                <w:b/>
                <w:bCs/>
                <w:sz w:val="18"/>
                <w:szCs w:val="18"/>
              </w:rPr>
              <w:t xml:space="preserve"> </w:t>
            </w:r>
            <w:r w:rsidRPr="000973F2">
              <w:rPr>
                <w:rFonts w:ascii="Times New Roman" w:eastAsia="Times New Roman" w:hAnsi="Times New Roman" w:cs="Times New Roman"/>
                <w:b/>
                <w:bCs/>
                <w:sz w:val="18"/>
                <w:szCs w:val="18"/>
              </w:rPr>
              <w:t>Hours</w:t>
            </w:r>
          </w:p>
        </w:tc>
        <w:tc>
          <w:tcPr>
            <w:tcW w:w="986" w:type="dxa"/>
            <w:hideMark/>
          </w:tcPr>
          <w:p w14:paraId="6C634FFA" w14:textId="63A331D2" w:rsidR="00FC1EBC" w:rsidRPr="000973F2" w:rsidRDefault="00FC1EBC" w:rsidP="005062BC">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18"/>
                <w:szCs w:val="18"/>
              </w:rPr>
            </w:pPr>
            <w:r w:rsidRPr="000973F2">
              <w:rPr>
                <w:rFonts w:ascii="Times New Roman" w:eastAsia="Times New Roman" w:hAnsi="Times New Roman" w:cs="Times New Roman"/>
                <w:b/>
                <w:bCs/>
                <w:sz w:val="18"/>
                <w:szCs w:val="18"/>
              </w:rPr>
              <w:t>Subseq. Year</w:t>
            </w:r>
            <w:r w:rsidR="005062BC" w:rsidRPr="000973F2">
              <w:rPr>
                <w:rFonts w:ascii="Times New Roman" w:eastAsia="Times New Roman" w:hAnsi="Times New Roman" w:cs="Times New Roman"/>
                <w:b/>
                <w:bCs/>
                <w:sz w:val="18"/>
                <w:szCs w:val="18"/>
              </w:rPr>
              <w:t xml:space="preserve"> </w:t>
            </w:r>
            <w:r w:rsidRPr="000973F2">
              <w:rPr>
                <w:rFonts w:ascii="Times New Roman" w:eastAsia="Times New Roman" w:hAnsi="Times New Roman" w:cs="Times New Roman"/>
                <w:b/>
                <w:bCs/>
                <w:sz w:val="18"/>
                <w:szCs w:val="18"/>
              </w:rPr>
              <w:t>Hours</w:t>
            </w:r>
          </w:p>
        </w:tc>
        <w:tc>
          <w:tcPr>
            <w:tcW w:w="718" w:type="dxa"/>
            <w:hideMark/>
          </w:tcPr>
          <w:p w14:paraId="55170869" w14:textId="557A9194" w:rsidR="00FC1EBC" w:rsidRPr="000973F2" w:rsidRDefault="00FC1EBC" w:rsidP="005062BC">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18"/>
                <w:szCs w:val="18"/>
              </w:rPr>
            </w:pPr>
            <w:r w:rsidRPr="000973F2">
              <w:rPr>
                <w:rFonts w:ascii="Times New Roman" w:eastAsia="Times New Roman" w:hAnsi="Times New Roman" w:cs="Times New Roman"/>
                <w:b/>
                <w:bCs/>
                <w:sz w:val="18"/>
                <w:szCs w:val="18"/>
              </w:rPr>
              <w:t>Initial Year</w:t>
            </w:r>
            <w:r w:rsidR="005062BC" w:rsidRPr="000973F2">
              <w:rPr>
                <w:rFonts w:ascii="Times New Roman" w:eastAsia="Times New Roman" w:hAnsi="Times New Roman" w:cs="Times New Roman"/>
                <w:b/>
                <w:bCs/>
                <w:sz w:val="18"/>
                <w:szCs w:val="18"/>
              </w:rPr>
              <w:t xml:space="preserve"> </w:t>
            </w:r>
            <w:r w:rsidRPr="000973F2">
              <w:rPr>
                <w:rFonts w:ascii="Times New Roman" w:eastAsia="Times New Roman" w:hAnsi="Times New Roman" w:cs="Times New Roman"/>
                <w:b/>
                <w:bCs/>
                <w:sz w:val="18"/>
                <w:szCs w:val="18"/>
              </w:rPr>
              <w:t>Hours</w:t>
            </w:r>
          </w:p>
        </w:tc>
        <w:tc>
          <w:tcPr>
            <w:tcW w:w="811" w:type="dxa"/>
            <w:hideMark/>
          </w:tcPr>
          <w:p w14:paraId="7BD810E5" w14:textId="75F0B04B" w:rsidR="00FC1EBC" w:rsidRPr="000973F2" w:rsidRDefault="00FC1EBC" w:rsidP="005062BC">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18"/>
                <w:szCs w:val="18"/>
              </w:rPr>
            </w:pPr>
            <w:r w:rsidRPr="000973F2">
              <w:rPr>
                <w:rFonts w:ascii="Times New Roman" w:eastAsia="Times New Roman" w:hAnsi="Times New Roman" w:cs="Times New Roman"/>
                <w:b/>
                <w:bCs/>
                <w:sz w:val="18"/>
                <w:szCs w:val="18"/>
              </w:rPr>
              <w:t>Subseq Year</w:t>
            </w:r>
            <w:r w:rsidR="005062BC" w:rsidRPr="000973F2">
              <w:rPr>
                <w:rFonts w:ascii="Times New Roman" w:eastAsia="Times New Roman" w:hAnsi="Times New Roman" w:cs="Times New Roman"/>
                <w:b/>
                <w:bCs/>
                <w:sz w:val="18"/>
                <w:szCs w:val="18"/>
              </w:rPr>
              <w:t xml:space="preserve"> </w:t>
            </w:r>
            <w:r w:rsidRPr="000973F2">
              <w:rPr>
                <w:rFonts w:ascii="Times New Roman" w:eastAsia="Times New Roman" w:hAnsi="Times New Roman" w:cs="Times New Roman"/>
                <w:b/>
                <w:bCs/>
                <w:sz w:val="18"/>
                <w:szCs w:val="18"/>
              </w:rPr>
              <w:t>Hours</w:t>
            </w:r>
          </w:p>
        </w:tc>
        <w:tc>
          <w:tcPr>
            <w:tcW w:w="718" w:type="dxa"/>
            <w:hideMark/>
          </w:tcPr>
          <w:p w14:paraId="2B0D1E8C" w14:textId="77777777" w:rsidR="00FC1EBC" w:rsidRPr="000973F2" w:rsidRDefault="00FC1EBC" w:rsidP="005062BC">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18"/>
                <w:szCs w:val="18"/>
              </w:rPr>
            </w:pPr>
            <w:r w:rsidRPr="000973F2">
              <w:rPr>
                <w:rFonts w:ascii="Times New Roman" w:eastAsia="Times New Roman" w:hAnsi="Times New Roman" w:cs="Times New Roman"/>
                <w:b/>
                <w:bCs/>
                <w:sz w:val="18"/>
                <w:szCs w:val="18"/>
              </w:rPr>
              <w:t>Initial Year</w:t>
            </w:r>
          </w:p>
        </w:tc>
        <w:tc>
          <w:tcPr>
            <w:tcW w:w="897" w:type="dxa"/>
            <w:hideMark/>
          </w:tcPr>
          <w:p w14:paraId="3159B65B" w14:textId="77777777" w:rsidR="00FC1EBC" w:rsidRPr="000973F2" w:rsidRDefault="00FC1EBC" w:rsidP="005062BC">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18"/>
                <w:szCs w:val="18"/>
              </w:rPr>
            </w:pPr>
            <w:r w:rsidRPr="000973F2">
              <w:rPr>
                <w:rFonts w:ascii="Times New Roman" w:eastAsia="Times New Roman" w:hAnsi="Times New Roman" w:cs="Times New Roman"/>
                <w:b/>
                <w:bCs/>
                <w:sz w:val="18"/>
                <w:szCs w:val="18"/>
              </w:rPr>
              <w:t>Subseq. Year</w:t>
            </w:r>
          </w:p>
        </w:tc>
      </w:tr>
      <w:tr w:rsidR="005062BC" w:rsidRPr="000973F2" w14:paraId="2B7CF531" w14:textId="77777777" w:rsidTr="005062BC">
        <w:tc>
          <w:tcPr>
            <w:cnfStyle w:val="001000000000" w:firstRow="0" w:lastRow="0" w:firstColumn="1" w:lastColumn="0" w:oddVBand="0" w:evenVBand="0" w:oddHBand="0" w:evenHBand="0" w:firstRowFirstColumn="0" w:firstRowLastColumn="0" w:lastRowFirstColumn="0" w:lastRowLastColumn="0"/>
            <w:tcW w:w="1343" w:type="dxa"/>
            <w:hideMark/>
          </w:tcPr>
          <w:p w14:paraId="22B74CC3" w14:textId="77777777" w:rsidR="00FC1EBC" w:rsidRPr="000973F2" w:rsidRDefault="00FC1EBC" w:rsidP="005062BC">
            <w:pPr>
              <w:spacing w:before="40" w:after="4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Planning</w:t>
            </w:r>
          </w:p>
        </w:tc>
        <w:tc>
          <w:tcPr>
            <w:tcW w:w="717" w:type="dxa"/>
            <w:noWrap/>
            <w:hideMark/>
          </w:tcPr>
          <w:p w14:paraId="6D088D55" w14:textId="77777777" w:rsidR="00FC1EBC" w:rsidRPr="000973F2" w:rsidRDefault="00FC1EBC" w:rsidP="00BE7252">
            <w:pPr>
              <w:spacing w:before="40" w:after="4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0</w:t>
            </w:r>
          </w:p>
        </w:tc>
        <w:tc>
          <w:tcPr>
            <w:tcW w:w="897" w:type="dxa"/>
            <w:noWrap/>
            <w:hideMark/>
          </w:tcPr>
          <w:p w14:paraId="7C22F46E" w14:textId="77777777" w:rsidR="00FC1EBC" w:rsidRPr="000973F2" w:rsidRDefault="00FC1EBC" w:rsidP="00BE7252">
            <w:pPr>
              <w:tabs>
                <w:tab w:val="decimal" w:pos="331"/>
              </w:tabs>
              <w:spacing w:before="40" w:after="4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0.3</w:t>
            </w:r>
          </w:p>
        </w:tc>
        <w:tc>
          <w:tcPr>
            <w:tcW w:w="718" w:type="dxa"/>
            <w:noWrap/>
            <w:hideMark/>
          </w:tcPr>
          <w:p w14:paraId="64081838" w14:textId="77777777" w:rsidR="00FC1EBC" w:rsidRPr="000973F2" w:rsidRDefault="00FC1EBC" w:rsidP="00BE7252">
            <w:pPr>
              <w:spacing w:before="40" w:after="4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0</w:t>
            </w:r>
          </w:p>
        </w:tc>
        <w:tc>
          <w:tcPr>
            <w:tcW w:w="807" w:type="dxa"/>
            <w:noWrap/>
            <w:hideMark/>
          </w:tcPr>
          <w:p w14:paraId="25960AB7" w14:textId="77777777" w:rsidR="00FC1EBC" w:rsidRPr="000973F2" w:rsidRDefault="00FC1EBC" w:rsidP="00BE7252">
            <w:pPr>
              <w:tabs>
                <w:tab w:val="decimal" w:pos="331"/>
              </w:tabs>
              <w:spacing w:before="40" w:after="4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0.5</w:t>
            </w:r>
          </w:p>
        </w:tc>
        <w:tc>
          <w:tcPr>
            <w:tcW w:w="718" w:type="dxa"/>
            <w:noWrap/>
            <w:hideMark/>
          </w:tcPr>
          <w:p w14:paraId="0825D751" w14:textId="77777777" w:rsidR="00FC1EBC" w:rsidRPr="000973F2" w:rsidRDefault="00FC1EBC" w:rsidP="00BE7252">
            <w:pPr>
              <w:spacing w:before="40" w:after="4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0</w:t>
            </w:r>
          </w:p>
        </w:tc>
        <w:tc>
          <w:tcPr>
            <w:tcW w:w="986" w:type="dxa"/>
            <w:noWrap/>
            <w:hideMark/>
          </w:tcPr>
          <w:p w14:paraId="2EC1E0D2" w14:textId="77777777" w:rsidR="00FC1EBC" w:rsidRPr="000973F2" w:rsidRDefault="00FC1EBC" w:rsidP="00BE7252">
            <w:pPr>
              <w:tabs>
                <w:tab w:val="decimal" w:pos="481"/>
              </w:tabs>
              <w:spacing w:before="40" w:after="4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1</w:t>
            </w:r>
          </w:p>
        </w:tc>
        <w:tc>
          <w:tcPr>
            <w:tcW w:w="718" w:type="dxa"/>
            <w:noWrap/>
            <w:hideMark/>
          </w:tcPr>
          <w:p w14:paraId="5EDA9A13" w14:textId="77777777" w:rsidR="00FC1EBC" w:rsidRPr="000973F2" w:rsidRDefault="00FC1EBC" w:rsidP="00BE7252">
            <w:pPr>
              <w:spacing w:before="40" w:after="4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0</w:t>
            </w:r>
          </w:p>
        </w:tc>
        <w:tc>
          <w:tcPr>
            <w:tcW w:w="811" w:type="dxa"/>
            <w:noWrap/>
            <w:hideMark/>
          </w:tcPr>
          <w:p w14:paraId="0355B72E" w14:textId="77777777" w:rsidR="00FC1EBC" w:rsidRPr="000973F2" w:rsidRDefault="00FC1EBC" w:rsidP="005062BC">
            <w:pPr>
              <w:spacing w:before="40" w:after="40"/>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1</w:t>
            </w:r>
          </w:p>
        </w:tc>
        <w:tc>
          <w:tcPr>
            <w:tcW w:w="718" w:type="dxa"/>
            <w:noWrap/>
            <w:hideMark/>
          </w:tcPr>
          <w:p w14:paraId="0A60FEE2" w14:textId="2DA820C9" w:rsidR="00FC1EBC" w:rsidRPr="000973F2" w:rsidRDefault="00FC1EBC" w:rsidP="00BE7252">
            <w:pPr>
              <w:spacing w:before="40" w:after="4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$0</w:t>
            </w:r>
          </w:p>
        </w:tc>
        <w:tc>
          <w:tcPr>
            <w:tcW w:w="897" w:type="dxa"/>
            <w:noWrap/>
            <w:hideMark/>
          </w:tcPr>
          <w:p w14:paraId="461EED28" w14:textId="25FE9C75" w:rsidR="00FC1EBC" w:rsidRPr="000973F2" w:rsidRDefault="00FC1EBC" w:rsidP="00BE7252">
            <w:pPr>
              <w:tabs>
                <w:tab w:val="decimal" w:pos="571"/>
              </w:tabs>
              <w:spacing w:before="40" w:after="4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$180</w:t>
            </w:r>
          </w:p>
        </w:tc>
      </w:tr>
      <w:tr w:rsidR="005062BC" w:rsidRPr="000973F2" w14:paraId="0330D65E" w14:textId="77777777" w:rsidTr="005062B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43" w:type="dxa"/>
            <w:hideMark/>
          </w:tcPr>
          <w:p w14:paraId="73D73496" w14:textId="77777777" w:rsidR="00FC1EBC" w:rsidRPr="000973F2" w:rsidRDefault="00FC1EBC" w:rsidP="005062BC">
            <w:pPr>
              <w:spacing w:before="40" w:after="4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QA/QC</w:t>
            </w:r>
          </w:p>
        </w:tc>
        <w:tc>
          <w:tcPr>
            <w:tcW w:w="717" w:type="dxa"/>
            <w:noWrap/>
            <w:hideMark/>
          </w:tcPr>
          <w:p w14:paraId="22094BE4" w14:textId="77777777" w:rsidR="00FC1EBC" w:rsidRPr="000973F2" w:rsidRDefault="00FC1EBC" w:rsidP="00BE7252">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0</w:t>
            </w:r>
          </w:p>
        </w:tc>
        <w:tc>
          <w:tcPr>
            <w:tcW w:w="897" w:type="dxa"/>
            <w:noWrap/>
            <w:hideMark/>
          </w:tcPr>
          <w:p w14:paraId="59B124CC" w14:textId="77777777" w:rsidR="00FC1EBC" w:rsidRPr="000973F2" w:rsidRDefault="00FC1EBC" w:rsidP="00BE7252">
            <w:pPr>
              <w:tabs>
                <w:tab w:val="decimal" w:pos="331"/>
              </w:tabs>
              <w:spacing w:before="40" w:after="4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0</w:t>
            </w:r>
          </w:p>
        </w:tc>
        <w:tc>
          <w:tcPr>
            <w:tcW w:w="718" w:type="dxa"/>
            <w:noWrap/>
            <w:hideMark/>
          </w:tcPr>
          <w:p w14:paraId="7BDD7E12" w14:textId="77777777" w:rsidR="00FC1EBC" w:rsidRPr="000973F2" w:rsidRDefault="00FC1EBC" w:rsidP="00BE7252">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0</w:t>
            </w:r>
          </w:p>
        </w:tc>
        <w:tc>
          <w:tcPr>
            <w:tcW w:w="807" w:type="dxa"/>
            <w:noWrap/>
            <w:hideMark/>
          </w:tcPr>
          <w:p w14:paraId="7B3A822E" w14:textId="77777777" w:rsidR="00FC1EBC" w:rsidRPr="000973F2" w:rsidRDefault="00FC1EBC" w:rsidP="00BE7252">
            <w:pPr>
              <w:tabs>
                <w:tab w:val="decimal" w:pos="331"/>
              </w:tabs>
              <w:spacing w:before="40" w:after="4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0.5</w:t>
            </w:r>
          </w:p>
        </w:tc>
        <w:tc>
          <w:tcPr>
            <w:tcW w:w="718" w:type="dxa"/>
            <w:noWrap/>
            <w:hideMark/>
          </w:tcPr>
          <w:p w14:paraId="0EA1127A" w14:textId="77777777" w:rsidR="00FC1EBC" w:rsidRPr="000973F2" w:rsidRDefault="00FC1EBC" w:rsidP="00BE7252">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0</w:t>
            </w:r>
          </w:p>
        </w:tc>
        <w:tc>
          <w:tcPr>
            <w:tcW w:w="986" w:type="dxa"/>
            <w:noWrap/>
            <w:hideMark/>
          </w:tcPr>
          <w:p w14:paraId="544E9E39" w14:textId="77777777" w:rsidR="00FC1EBC" w:rsidRPr="000973F2" w:rsidRDefault="00FC1EBC" w:rsidP="00BE7252">
            <w:pPr>
              <w:tabs>
                <w:tab w:val="decimal" w:pos="481"/>
              </w:tabs>
              <w:spacing w:before="40" w:after="4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1</w:t>
            </w:r>
          </w:p>
        </w:tc>
        <w:tc>
          <w:tcPr>
            <w:tcW w:w="718" w:type="dxa"/>
            <w:noWrap/>
            <w:hideMark/>
          </w:tcPr>
          <w:p w14:paraId="6718CA9E" w14:textId="77777777" w:rsidR="00FC1EBC" w:rsidRPr="000973F2" w:rsidRDefault="00FC1EBC" w:rsidP="00BE7252">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0</w:t>
            </w:r>
          </w:p>
        </w:tc>
        <w:tc>
          <w:tcPr>
            <w:tcW w:w="811" w:type="dxa"/>
            <w:noWrap/>
            <w:hideMark/>
          </w:tcPr>
          <w:p w14:paraId="3D220E67" w14:textId="77777777" w:rsidR="00FC1EBC" w:rsidRPr="000973F2" w:rsidRDefault="00FC1EBC" w:rsidP="005062BC">
            <w:pPr>
              <w:spacing w:before="40" w:after="40"/>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1</w:t>
            </w:r>
          </w:p>
        </w:tc>
        <w:tc>
          <w:tcPr>
            <w:tcW w:w="718" w:type="dxa"/>
            <w:noWrap/>
            <w:hideMark/>
          </w:tcPr>
          <w:p w14:paraId="5E8F5AAF" w14:textId="33C4FB63" w:rsidR="00FC1EBC" w:rsidRPr="000973F2" w:rsidRDefault="00FC1EBC" w:rsidP="00BE7252">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$0</w:t>
            </w:r>
          </w:p>
        </w:tc>
        <w:tc>
          <w:tcPr>
            <w:tcW w:w="897" w:type="dxa"/>
            <w:noWrap/>
            <w:hideMark/>
          </w:tcPr>
          <w:p w14:paraId="3C96E08A" w14:textId="26ECD85D" w:rsidR="00FC1EBC" w:rsidRPr="000973F2" w:rsidRDefault="00FC1EBC" w:rsidP="00BE7252">
            <w:pPr>
              <w:tabs>
                <w:tab w:val="decimal" w:pos="571"/>
              </w:tabs>
              <w:spacing w:before="40" w:after="4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$151</w:t>
            </w:r>
          </w:p>
        </w:tc>
      </w:tr>
      <w:tr w:rsidR="005062BC" w:rsidRPr="000973F2" w14:paraId="47E76B71" w14:textId="77777777" w:rsidTr="005062BC">
        <w:tc>
          <w:tcPr>
            <w:cnfStyle w:val="001000000000" w:firstRow="0" w:lastRow="0" w:firstColumn="1" w:lastColumn="0" w:oddVBand="0" w:evenVBand="0" w:oddHBand="0" w:evenHBand="0" w:firstRowFirstColumn="0" w:firstRowLastColumn="0" w:lastRowFirstColumn="0" w:lastRowLastColumn="0"/>
            <w:tcW w:w="1343" w:type="dxa"/>
            <w:hideMark/>
          </w:tcPr>
          <w:p w14:paraId="039C8B86" w14:textId="77777777" w:rsidR="00FC1EBC" w:rsidRPr="000973F2" w:rsidRDefault="00FC1EBC" w:rsidP="005062BC">
            <w:pPr>
              <w:spacing w:before="40" w:after="4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Recordkeeping</w:t>
            </w:r>
          </w:p>
        </w:tc>
        <w:tc>
          <w:tcPr>
            <w:tcW w:w="717" w:type="dxa"/>
            <w:noWrap/>
            <w:hideMark/>
          </w:tcPr>
          <w:p w14:paraId="27A15013" w14:textId="77777777" w:rsidR="00FC1EBC" w:rsidRPr="000973F2" w:rsidRDefault="00FC1EBC" w:rsidP="00BE7252">
            <w:pPr>
              <w:spacing w:before="40" w:after="4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0</w:t>
            </w:r>
          </w:p>
        </w:tc>
        <w:tc>
          <w:tcPr>
            <w:tcW w:w="897" w:type="dxa"/>
            <w:noWrap/>
            <w:hideMark/>
          </w:tcPr>
          <w:p w14:paraId="7289C2CE" w14:textId="77777777" w:rsidR="00FC1EBC" w:rsidRPr="000973F2" w:rsidRDefault="00FC1EBC" w:rsidP="00BE7252">
            <w:pPr>
              <w:tabs>
                <w:tab w:val="decimal" w:pos="331"/>
              </w:tabs>
              <w:spacing w:before="40" w:after="4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0</w:t>
            </w:r>
          </w:p>
        </w:tc>
        <w:tc>
          <w:tcPr>
            <w:tcW w:w="718" w:type="dxa"/>
            <w:noWrap/>
            <w:hideMark/>
          </w:tcPr>
          <w:p w14:paraId="2A034898" w14:textId="77777777" w:rsidR="00FC1EBC" w:rsidRPr="000973F2" w:rsidRDefault="00FC1EBC" w:rsidP="00BE7252">
            <w:pPr>
              <w:spacing w:before="40" w:after="4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0</w:t>
            </w:r>
          </w:p>
        </w:tc>
        <w:tc>
          <w:tcPr>
            <w:tcW w:w="807" w:type="dxa"/>
            <w:noWrap/>
            <w:hideMark/>
          </w:tcPr>
          <w:p w14:paraId="5B04B2BA" w14:textId="77777777" w:rsidR="00FC1EBC" w:rsidRPr="000973F2" w:rsidRDefault="00FC1EBC" w:rsidP="00BE7252">
            <w:pPr>
              <w:tabs>
                <w:tab w:val="decimal" w:pos="331"/>
              </w:tabs>
              <w:spacing w:before="40" w:after="4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0.5</w:t>
            </w:r>
          </w:p>
        </w:tc>
        <w:tc>
          <w:tcPr>
            <w:tcW w:w="718" w:type="dxa"/>
            <w:noWrap/>
            <w:hideMark/>
          </w:tcPr>
          <w:p w14:paraId="5E497CA9" w14:textId="77777777" w:rsidR="00FC1EBC" w:rsidRPr="000973F2" w:rsidRDefault="00FC1EBC" w:rsidP="00BE7252">
            <w:pPr>
              <w:spacing w:before="40" w:after="4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0</w:t>
            </w:r>
          </w:p>
        </w:tc>
        <w:tc>
          <w:tcPr>
            <w:tcW w:w="986" w:type="dxa"/>
            <w:noWrap/>
            <w:hideMark/>
          </w:tcPr>
          <w:p w14:paraId="4440393C" w14:textId="77777777" w:rsidR="00FC1EBC" w:rsidRPr="000973F2" w:rsidRDefault="00FC1EBC" w:rsidP="00BE7252">
            <w:pPr>
              <w:tabs>
                <w:tab w:val="decimal" w:pos="481"/>
              </w:tabs>
              <w:spacing w:before="40" w:after="4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5</w:t>
            </w:r>
          </w:p>
        </w:tc>
        <w:tc>
          <w:tcPr>
            <w:tcW w:w="718" w:type="dxa"/>
            <w:noWrap/>
            <w:hideMark/>
          </w:tcPr>
          <w:p w14:paraId="6EE08477" w14:textId="77777777" w:rsidR="00FC1EBC" w:rsidRPr="000973F2" w:rsidRDefault="00FC1EBC" w:rsidP="00BE7252">
            <w:pPr>
              <w:spacing w:before="40" w:after="4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0</w:t>
            </w:r>
          </w:p>
        </w:tc>
        <w:tc>
          <w:tcPr>
            <w:tcW w:w="811" w:type="dxa"/>
            <w:noWrap/>
            <w:hideMark/>
          </w:tcPr>
          <w:p w14:paraId="3646C8FC" w14:textId="77777777" w:rsidR="00FC1EBC" w:rsidRPr="000973F2" w:rsidRDefault="00FC1EBC" w:rsidP="005062BC">
            <w:pPr>
              <w:spacing w:before="40" w:after="40"/>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0.5</w:t>
            </w:r>
          </w:p>
        </w:tc>
        <w:tc>
          <w:tcPr>
            <w:tcW w:w="718" w:type="dxa"/>
            <w:noWrap/>
            <w:hideMark/>
          </w:tcPr>
          <w:p w14:paraId="549939D9" w14:textId="673521A1" w:rsidR="00FC1EBC" w:rsidRPr="000973F2" w:rsidRDefault="00FC1EBC" w:rsidP="00BE7252">
            <w:pPr>
              <w:spacing w:before="40" w:after="4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$0</w:t>
            </w:r>
          </w:p>
        </w:tc>
        <w:tc>
          <w:tcPr>
            <w:tcW w:w="897" w:type="dxa"/>
            <w:noWrap/>
            <w:hideMark/>
          </w:tcPr>
          <w:p w14:paraId="154D0C8E" w14:textId="7C580004" w:rsidR="00FC1EBC" w:rsidRPr="000973F2" w:rsidRDefault="00FC1EBC" w:rsidP="00BE7252">
            <w:pPr>
              <w:tabs>
                <w:tab w:val="decimal" w:pos="571"/>
              </w:tabs>
              <w:spacing w:before="40" w:after="4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$419</w:t>
            </w:r>
          </w:p>
        </w:tc>
      </w:tr>
      <w:tr w:rsidR="005062BC" w:rsidRPr="000973F2" w14:paraId="63599257" w14:textId="77777777" w:rsidTr="005062B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43" w:type="dxa"/>
            <w:hideMark/>
          </w:tcPr>
          <w:p w14:paraId="1411AF50" w14:textId="77777777" w:rsidR="00FC1EBC" w:rsidRPr="000973F2" w:rsidRDefault="00FC1EBC" w:rsidP="005062BC">
            <w:pPr>
              <w:spacing w:before="40" w:after="4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Sampling and Analysis (Calculations)</w:t>
            </w:r>
          </w:p>
        </w:tc>
        <w:tc>
          <w:tcPr>
            <w:tcW w:w="717" w:type="dxa"/>
            <w:noWrap/>
            <w:hideMark/>
          </w:tcPr>
          <w:p w14:paraId="057F3AB3" w14:textId="77777777" w:rsidR="00FC1EBC" w:rsidRPr="000973F2" w:rsidRDefault="00FC1EBC" w:rsidP="00BE7252">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0</w:t>
            </w:r>
          </w:p>
        </w:tc>
        <w:tc>
          <w:tcPr>
            <w:tcW w:w="897" w:type="dxa"/>
            <w:noWrap/>
            <w:hideMark/>
          </w:tcPr>
          <w:p w14:paraId="7CFBA610" w14:textId="77777777" w:rsidR="00FC1EBC" w:rsidRPr="000973F2" w:rsidRDefault="00FC1EBC" w:rsidP="00BE7252">
            <w:pPr>
              <w:tabs>
                <w:tab w:val="decimal" w:pos="331"/>
              </w:tabs>
              <w:spacing w:before="40" w:after="4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0</w:t>
            </w:r>
          </w:p>
        </w:tc>
        <w:tc>
          <w:tcPr>
            <w:tcW w:w="718" w:type="dxa"/>
            <w:noWrap/>
            <w:hideMark/>
          </w:tcPr>
          <w:p w14:paraId="5D1EA720" w14:textId="77777777" w:rsidR="00FC1EBC" w:rsidRPr="000973F2" w:rsidRDefault="00FC1EBC" w:rsidP="00BE7252">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0</w:t>
            </w:r>
          </w:p>
        </w:tc>
        <w:tc>
          <w:tcPr>
            <w:tcW w:w="807" w:type="dxa"/>
            <w:noWrap/>
            <w:hideMark/>
          </w:tcPr>
          <w:p w14:paraId="7BFE6571" w14:textId="77777777" w:rsidR="00FC1EBC" w:rsidRPr="000973F2" w:rsidRDefault="00FC1EBC" w:rsidP="00BE7252">
            <w:pPr>
              <w:tabs>
                <w:tab w:val="decimal" w:pos="331"/>
              </w:tabs>
              <w:spacing w:before="40" w:after="4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0</w:t>
            </w:r>
          </w:p>
        </w:tc>
        <w:tc>
          <w:tcPr>
            <w:tcW w:w="718" w:type="dxa"/>
            <w:noWrap/>
            <w:hideMark/>
          </w:tcPr>
          <w:p w14:paraId="698692B0" w14:textId="77777777" w:rsidR="00FC1EBC" w:rsidRPr="000973F2" w:rsidRDefault="00FC1EBC" w:rsidP="00BE7252">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0</w:t>
            </w:r>
          </w:p>
        </w:tc>
        <w:tc>
          <w:tcPr>
            <w:tcW w:w="986" w:type="dxa"/>
            <w:noWrap/>
            <w:hideMark/>
          </w:tcPr>
          <w:p w14:paraId="6AB666D7" w14:textId="77777777" w:rsidR="00FC1EBC" w:rsidRPr="000973F2" w:rsidRDefault="00FC1EBC" w:rsidP="00BE7252">
            <w:pPr>
              <w:tabs>
                <w:tab w:val="decimal" w:pos="481"/>
              </w:tabs>
              <w:spacing w:before="40" w:after="4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1</w:t>
            </w:r>
          </w:p>
        </w:tc>
        <w:tc>
          <w:tcPr>
            <w:tcW w:w="718" w:type="dxa"/>
            <w:noWrap/>
            <w:hideMark/>
          </w:tcPr>
          <w:p w14:paraId="72943E70" w14:textId="77777777" w:rsidR="00FC1EBC" w:rsidRPr="000973F2" w:rsidRDefault="00FC1EBC" w:rsidP="00BE7252">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0</w:t>
            </w:r>
          </w:p>
        </w:tc>
        <w:tc>
          <w:tcPr>
            <w:tcW w:w="811" w:type="dxa"/>
            <w:noWrap/>
            <w:hideMark/>
          </w:tcPr>
          <w:p w14:paraId="3C2C43F3" w14:textId="77777777" w:rsidR="00FC1EBC" w:rsidRPr="000973F2" w:rsidRDefault="00FC1EBC" w:rsidP="005062BC">
            <w:pPr>
              <w:spacing w:before="40" w:after="40"/>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0</w:t>
            </w:r>
          </w:p>
        </w:tc>
        <w:tc>
          <w:tcPr>
            <w:tcW w:w="718" w:type="dxa"/>
            <w:noWrap/>
            <w:hideMark/>
          </w:tcPr>
          <w:p w14:paraId="0937A576" w14:textId="5705942F" w:rsidR="00FC1EBC" w:rsidRPr="000973F2" w:rsidRDefault="00FC1EBC" w:rsidP="00BE7252">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$0</w:t>
            </w:r>
          </w:p>
        </w:tc>
        <w:tc>
          <w:tcPr>
            <w:tcW w:w="897" w:type="dxa"/>
            <w:noWrap/>
            <w:hideMark/>
          </w:tcPr>
          <w:p w14:paraId="36D34DB9" w14:textId="0C12BD4C" w:rsidR="00FC1EBC" w:rsidRPr="000973F2" w:rsidRDefault="00FC1EBC" w:rsidP="00BE7252">
            <w:pPr>
              <w:tabs>
                <w:tab w:val="decimal" w:pos="571"/>
              </w:tabs>
              <w:spacing w:before="40" w:after="4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$71</w:t>
            </w:r>
          </w:p>
        </w:tc>
      </w:tr>
      <w:tr w:rsidR="005062BC" w:rsidRPr="000973F2" w14:paraId="31D855AD" w14:textId="77777777" w:rsidTr="005062BC">
        <w:tc>
          <w:tcPr>
            <w:cnfStyle w:val="001000000000" w:firstRow="0" w:lastRow="0" w:firstColumn="1" w:lastColumn="0" w:oddVBand="0" w:evenVBand="0" w:oddHBand="0" w:evenHBand="0" w:firstRowFirstColumn="0" w:firstRowLastColumn="0" w:lastRowFirstColumn="0" w:lastRowLastColumn="0"/>
            <w:tcW w:w="1343" w:type="dxa"/>
            <w:hideMark/>
          </w:tcPr>
          <w:p w14:paraId="7E4FEF2A" w14:textId="77777777" w:rsidR="00FC1EBC" w:rsidRPr="000973F2" w:rsidRDefault="00FC1EBC" w:rsidP="005062BC">
            <w:pPr>
              <w:spacing w:before="40" w:after="4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Reporting</w:t>
            </w:r>
          </w:p>
        </w:tc>
        <w:tc>
          <w:tcPr>
            <w:tcW w:w="717" w:type="dxa"/>
            <w:noWrap/>
            <w:hideMark/>
          </w:tcPr>
          <w:p w14:paraId="5B971D1C" w14:textId="77777777" w:rsidR="00FC1EBC" w:rsidRPr="000973F2" w:rsidRDefault="00FC1EBC" w:rsidP="00BE7252">
            <w:pPr>
              <w:spacing w:before="40" w:after="4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0</w:t>
            </w:r>
          </w:p>
        </w:tc>
        <w:tc>
          <w:tcPr>
            <w:tcW w:w="897" w:type="dxa"/>
            <w:noWrap/>
            <w:hideMark/>
          </w:tcPr>
          <w:p w14:paraId="4F44A8F1" w14:textId="77777777" w:rsidR="00FC1EBC" w:rsidRPr="000973F2" w:rsidRDefault="00FC1EBC" w:rsidP="00BE7252">
            <w:pPr>
              <w:tabs>
                <w:tab w:val="decimal" w:pos="331"/>
              </w:tabs>
              <w:spacing w:before="40" w:after="4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0</w:t>
            </w:r>
          </w:p>
        </w:tc>
        <w:tc>
          <w:tcPr>
            <w:tcW w:w="718" w:type="dxa"/>
            <w:noWrap/>
            <w:hideMark/>
          </w:tcPr>
          <w:p w14:paraId="1812035D" w14:textId="77777777" w:rsidR="00FC1EBC" w:rsidRPr="000973F2" w:rsidRDefault="00FC1EBC" w:rsidP="00BE7252">
            <w:pPr>
              <w:spacing w:before="40" w:after="4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0</w:t>
            </w:r>
          </w:p>
        </w:tc>
        <w:tc>
          <w:tcPr>
            <w:tcW w:w="807" w:type="dxa"/>
            <w:noWrap/>
            <w:hideMark/>
          </w:tcPr>
          <w:p w14:paraId="0617CA26" w14:textId="77777777" w:rsidR="00FC1EBC" w:rsidRPr="000973F2" w:rsidRDefault="00FC1EBC" w:rsidP="00BE7252">
            <w:pPr>
              <w:tabs>
                <w:tab w:val="decimal" w:pos="331"/>
              </w:tabs>
              <w:spacing w:before="40" w:after="4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1.0</w:t>
            </w:r>
          </w:p>
        </w:tc>
        <w:tc>
          <w:tcPr>
            <w:tcW w:w="718" w:type="dxa"/>
            <w:noWrap/>
            <w:hideMark/>
          </w:tcPr>
          <w:p w14:paraId="59B2D298" w14:textId="77777777" w:rsidR="00FC1EBC" w:rsidRPr="000973F2" w:rsidRDefault="00FC1EBC" w:rsidP="00BE7252">
            <w:pPr>
              <w:spacing w:before="40" w:after="4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0</w:t>
            </w:r>
          </w:p>
        </w:tc>
        <w:tc>
          <w:tcPr>
            <w:tcW w:w="986" w:type="dxa"/>
            <w:noWrap/>
            <w:hideMark/>
          </w:tcPr>
          <w:p w14:paraId="3C45F34D" w14:textId="77777777" w:rsidR="00FC1EBC" w:rsidRPr="000973F2" w:rsidRDefault="00FC1EBC" w:rsidP="00BE7252">
            <w:pPr>
              <w:tabs>
                <w:tab w:val="decimal" w:pos="481"/>
              </w:tabs>
              <w:spacing w:before="40" w:after="4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10</w:t>
            </w:r>
          </w:p>
        </w:tc>
        <w:tc>
          <w:tcPr>
            <w:tcW w:w="718" w:type="dxa"/>
            <w:noWrap/>
            <w:hideMark/>
          </w:tcPr>
          <w:p w14:paraId="6293A1E5" w14:textId="77777777" w:rsidR="00FC1EBC" w:rsidRPr="000973F2" w:rsidRDefault="00FC1EBC" w:rsidP="00BE7252">
            <w:pPr>
              <w:spacing w:before="40" w:after="4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0</w:t>
            </w:r>
          </w:p>
        </w:tc>
        <w:tc>
          <w:tcPr>
            <w:tcW w:w="811" w:type="dxa"/>
            <w:noWrap/>
            <w:hideMark/>
          </w:tcPr>
          <w:p w14:paraId="54B6AEA0" w14:textId="77777777" w:rsidR="00FC1EBC" w:rsidRPr="000973F2" w:rsidRDefault="00FC1EBC" w:rsidP="005062BC">
            <w:pPr>
              <w:spacing w:before="40" w:after="40"/>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1</w:t>
            </w:r>
          </w:p>
        </w:tc>
        <w:tc>
          <w:tcPr>
            <w:tcW w:w="718" w:type="dxa"/>
            <w:noWrap/>
            <w:hideMark/>
          </w:tcPr>
          <w:p w14:paraId="7F560132" w14:textId="45F4C781" w:rsidR="00FC1EBC" w:rsidRPr="000973F2" w:rsidRDefault="00FC1EBC" w:rsidP="00BE7252">
            <w:pPr>
              <w:spacing w:before="40" w:after="4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$0</w:t>
            </w:r>
          </w:p>
        </w:tc>
        <w:tc>
          <w:tcPr>
            <w:tcW w:w="897" w:type="dxa"/>
            <w:noWrap/>
            <w:hideMark/>
          </w:tcPr>
          <w:p w14:paraId="2178C989" w14:textId="5A9670DC" w:rsidR="00FC1EBC" w:rsidRPr="000973F2" w:rsidRDefault="00FC1EBC" w:rsidP="00BE7252">
            <w:pPr>
              <w:tabs>
                <w:tab w:val="decimal" w:pos="571"/>
              </w:tabs>
              <w:spacing w:before="40" w:after="4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$838</w:t>
            </w:r>
          </w:p>
        </w:tc>
      </w:tr>
      <w:tr w:rsidR="005062BC" w:rsidRPr="000973F2" w14:paraId="6B801D55" w14:textId="77777777" w:rsidTr="005062B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43" w:type="dxa"/>
            <w:noWrap/>
            <w:hideMark/>
          </w:tcPr>
          <w:p w14:paraId="535B9D92" w14:textId="77777777" w:rsidR="00FC1EBC" w:rsidRPr="000973F2" w:rsidRDefault="00FC1EBC" w:rsidP="005062BC">
            <w:pPr>
              <w:spacing w:before="40" w:after="40"/>
              <w:rPr>
                <w:rFonts w:ascii="Times New Roman" w:eastAsia="Times New Roman" w:hAnsi="Times New Roman" w:cs="Times New Roman"/>
                <w:b/>
                <w:bCs w:val="0"/>
                <w:sz w:val="18"/>
                <w:szCs w:val="18"/>
              </w:rPr>
            </w:pPr>
            <w:r w:rsidRPr="000973F2">
              <w:rPr>
                <w:rFonts w:ascii="Times New Roman" w:eastAsia="Times New Roman" w:hAnsi="Times New Roman" w:cs="Times New Roman"/>
                <w:b/>
                <w:sz w:val="18"/>
                <w:szCs w:val="18"/>
              </w:rPr>
              <w:t>Total</w:t>
            </w:r>
          </w:p>
        </w:tc>
        <w:tc>
          <w:tcPr>
            <w:tcW w:w="717" w:type="dxa"/>
            <w:noWrap/>
            <w:hideMark/>
          </w:tcPr>
          <w:p w14:paraId="7CB8CE11" w14:textId="77777777" w:rsidR="00FC1EBC" w:rsidRPr="000973F2" w:rsidRDefault="00FC1EBC" w:rsidP="00BE7252">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18"/>
                <w:szCs w:val="18"/>
              </w:rPr>
            </w:pPr>
            <w:r w:rsidRPr="000973F2">
              <w:rPr>
                <w:rFonts w:ascii="Times New Roman" w:eastAsia="Times New Roman" w:hAnsi="Times New Roman" w:cs="Times New Roman"/>
                <w:b/>
                <w:bCs/>
                <w:sz w:val="18"/>
                <w:szCs w:val="18"/>
              </w:rPr>
              <w:t>0</w:t>
            </w:r>
          </w:p>
        </w:tc>
        <w:tc>
          <w:tcPr>
            <w:tcW w:w="897" w:type="dxa"/>
            <w:noWrap/>
            <w:hideMark/>
          </w:tcPr>
          <w:p w14:paraId="58C64ED2" w14:textId="77777777" w:rsidR="00FC1EBC" w:rsidRPr="000973F2" w:rsidRDefault="00FC1EBC" w:rsidP="00BE7252">
            <w:pPr>
              <w:tabs>
                <w:tab w:val="decimal" w:pos="331"/>
              </w:tabs>
              <w:spacing w:before="40" w:after="4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18"/>
                <w:szCs w:val="18"/>
              </w:rPr>
            </w:pPr>
            <w:r w:rsidRPr="000973F2">
              <w:rPr>
                <w:rFonts w:ascii="Times New Roman" w:eastAsia="Times New Roman" w:hAnsi="Times New Roman" w:cs="Times New Roman"/>
                <w:b/>
                <w:bCs/>
                <w:sz w:val="18"/>
                <w:szCs w:val="18"/>
              </w:rPr>
              <w:t>0.3</w:t>
            </w:r>
          </w:p>
        </w:tc>
        <w:tc>
          <w:tcPr>
            <w:tcW w:w="718" w:type="dxa"/>
            <w:noWrap/>
            <w:hideMark/>
          </w:tcPr>
          <w:p w14:paraId="4ACAB6D0" w14:textId="77777777" w:rsidR="00FC1EBC" w:rsidRPr="000973F2" w:rsidRDefault="00FC1EBC" w:rsidP="00BE7252">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18"/>
                <w:szCs w:val="18"/>
              </w:rPr>
            </w:pPr>
            <w:r w:rsidRPr="000973F2">
              <w:rPr>
                <w:rFonts w:ascii="Times New Roman" w:eastAsia="Times New Roman" w:hAnsi="Times New Roman" w:cs="Times New Roman"/>
                <w:b/>
                <w:bCs/>
                <w:sz w:val="18"/>
                <w:szCs w:val="18"/>
              </w:rPr>
              <w:t>0</w:t>
            </w:r>
          </w:p>
        </w:tc>
        <w:tc>
          <w:tcPr>
            <w:tcW w:w="807" w:type="dxa"/>
            <w:noWrap/>
            <w:hideMark/>
          </w:tcPr>
          <w:p w14:paraId="5DD43250" w14:textId="77777777" w:rsidR="00FC1EBC" w:rsidRPr="000973F2" w:rsidRDefault="00FC1EBC" w:rsidP="00BE7252">
            <w:pPr>
              <w:tabs>
                <w:tab w:val="decimal" w:pos="331"/>
              </w:tabs>
              <w:spacing w:before="40" w:after="4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18"/>
                <w:szCs w:val="18"/>
              </w:rPr>
            </w:pPr>
            <w:r w:rsidRPr="000973F2">
              <w:rPr>
                <w:rFonts w:ascii="Times New Roman" w:eastAsia="Times New Roman" w:hAnsi="Times New Roman" w:cs="Times New Roman"/>
                <w:b/>
                <w:bCs/>
                <w:sz w:val="18"/>
                <w:szCs w:val="18"/>
              </w:rPr>
              <w:t>2.5</w:t>
            </w:r>
          </w:p>
        </w:tc>
        <w:tc>
          <w:tcPr>
            <w:tcW w:w="718" w:type="dxa"/>
            <w:noWrap/>
            <w:hideMark/>
          </w:tcPr>
          <w:p w14:paraId="309AFE5B" w14:textId="77777777" w:rsidR="00FC1EBC" w:rsidRPr="000973F2" w:rsidRDefault="00FC1EBC" w:rsidP="00BE7252">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18"/>
                <w:szCs w:val="18"/>
              </w:rPr>
            </w:pPr>
            <w:r w:rsidRPr="000973F2">
              <w:rPr>
                <w:rFonts w:ascii="Times New Roman" w:eastAsia="Times New Roman" w:hAnsi="Times New Roman" w:cs="Times New Roman"/>
                <w:b/>
                <w:bCs/>
                <w:sz w:val="18"/>
                <w:szCs w:val="18"/>
              </w:rPr>
              <w:t>0</w:t>
            </w:r>
          </w:p>
        </w:tc>
        <w:tc>
          <w:tcPr>
            <w:tcW w:w="986" w:type="dxa"/>
            <w:noWrap/>
            <w:hideMark/>
          </w:tcPr>
          <w:p w14:paraId="451CB3FD" w14:textId="77777777" w:rsidR="00FC1EBC" w:rsidRPr="000973F2" w:rsidRDefault="00FC1EBC" w:rsidP="00BE7252">
            <w:pPr>
              <w:tabs>
                <w:tab w:val="decimal" w:pos="481"/>
              </w:tabs>
              <w:spacing w:before="40" w:after="4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18"/>
                <w:szCs w:val="18"/>
              </w:rPr>
            </w:pPr>
            <w:r w:rsidRPr="000973F2">
              <w:rPr>
                <w:rFonts w:ascii="Times New Roman" w:eastAsia="Times New Roman" w:hAnsi="Times New Roman" w:cs="Times New Roman"/>
                <w:b/>
                <w:bCs/>
                <w:sz w:val="18"/>
                <w:szCs w:val="18"/>
              </w:rPr>
              <w:t>18</w:t>
            </w:r>
          </w:p>
        </w:tc>
        <w:tc>
          <w:tcPr>
            <w:tcW w:w="718" w:type="dxa"/>
            <w:noWrap/>
            <w:hideMark/>
          </w:tcPr>
          <w:p w14:paraId="7931BCF6" w14:textId="77777777" w:rsidR="00FC1EBC" w:rsidRPr="000973F2" w:rsidRDefault="00FC1EBC" w:rsidP="00BE7252">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18"/>
                <w:szCs w:val="18"/>
              </w:rPr>
            </w:pPr>
            <w:r w:rsidRPr="000973F2">
              <w:rPr>
                <w:rFonts w:ascii="Times New Roman" w:eastAsia="Times New Roman" w:hAnsi="Times New Roman" w:cs="Times New Roman"/>
                <w:b/>
                <w:bCs/>
                <w:sz w:val="18"/>
                <w:szCs w:val="18"/>
              </w:rPr>
              <w:t>0</w:t>
            </w:r>
          </w:p>
        </w:tc>
        <w:tc>
          <w:tcPr>
            <w:tcW w:w="811" w:type="dxa"/>
            <w:noWrap/>
            <w:hideMark/>
          </w:tcPr>
          <w:p w14:paraId="042B1139" w14:textId="77777777" w:rsidR="00FC1EBC" w:rsidRPr="000973F2" w:rsidRDefault="00FC1EBC" w:rsidP="005062BC">
            <w:pPr>
              <w:spacing w:before="40" w:after="40"/>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18"/>
                <w:szCs w:val="18"/>
              </w:rPr>
            </w:pPr>
            <w:r w:rsidRPr="000973F2">
              <w:rPr>
                <w:rFonts w:ascii="Times New Roman" w:eastAsia="Times New Roman" w:hAnsi="Times New Roman" w:cs="Times New Roman"/>
                <w:b/>
                <w:bCs/>
                <w:sz w:val="18"/>
                <w:szCs w:val="18"/>
              </w:rPr>
              <w:t>3.5</w:t>
            </w:r>
          </w:p>
        </w:tc>
        <w:tc>
          <w:tcPr>
            <w:tcW w:w="718" w:type="dxa"/>
            <w:noWrap/>
            <w:hideMark/>
          </w:tcPr>
          <w:p w14:paraId="034061E5" w14:textId="58748F52" w:rsidR="00FC1EBC" w:rsidRPr="000973F2" w:rsidRDefault="00FC1EBC" w:rsidP="00BE7252">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18"/>
                <w:szCs w:val="18"/>
              </w:rPr>
            </w:pPr>
            <w:r w:rsidRPr="000973F2">
              <w:rPr>
                <w:rFonts w:ascii="Times New Roman" w:eastAsia="Times New Roman" w:hAnsi="Times New Roman" w:cs="Times New Roman"/>
                <w:b/>
                <w:bCs/>
                <w:sz w:val="18"/>
                <w:szCs w:val="18"/>
              </w:rPr>
              <w:t>$0</w:t>
            </w:r>
          </w:p>
        </w:tc>
        <w:tc>
          <w:tcPr>
            <w:tcW w:w="897" w:type="dxa"/>
            <w:noWrap/>
            <w:hideMark/>
          </w:tcPr>
          <w:p w14:paraId="57F84BC8" w14:textId="0AAB301B" w:rsidR="00FC1EBC" w:rsidRPr="000973F2" w:rsidRDefault="00FC1EBC" w:rsidP="00BE7252">
            <w:pPr>
              <w:tabs>
                <w:tab w:val="decimal" w:pos="571"/>
              </w:tabs>
              <w:spacing w:before="40" w:after="4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18"/>
                <w:szCs w:val="18"/>
              </w:rPr>
            </w:pPr>
            <w:r w:rsidRPr="000973F2">
              <w:rPr>
                <w:rFonts w:ascii="Times New Roman" w:eastAsia="Times New Roman" w:hAnsi="Times New Roman" w:cs="Times New Roman"/>
                <w:b/>
                <w:bCs/>
                <w:sz w:val="18"/>
                <w:szCs w:val="18"/>
              </w:rPr>
              <w:t>$1,660</w:t>
            </w:r>
          </w:p>
        </w:tc>
      </w:tr>
    </w:tbl>
    <w:p w14:paraId="2CF24961" w14:textId="77777777" w:rsidR="00FC1EBC" w:rsidRPr="000973F2" w:rsidRDefault="00FC1EBC" w:rsidP="005062BC">
      <w:pPr>
        <w:pStyle w:val="AfterTable"/>
      </w:pPr>
    </w:p>
    <w:p w14:paraId="65F5DFAF" w14:textId="77777777" w:rsidR="00FC1EBC" w:rsidRPr="000973F2" w:rsidRDefault="00FC1EBC" w:rsidP="009C4191">
      <w:pPr>
        <w:pStyle w:val="Heading2"/>
      </w:pPr>
      <w:r w:rsidRPr="000973F2">
        <w:t>Capital and O&amp;M Costs for Subpart H</w:t>
      </w:r>
    </w:p>
    <w:p w14:paraId="2493276D" w14:textId="2B9A3931" w:rsidR="00FC1EBC" w:rsidRPr="000973F2" w:rsidRDefault="00FC1EBC" w:rsidP="009C4191">
      <w:pPr>
        <w:pStyle w:val="BodyText"/>
      </w:pPr>
      <w:r w:rsidRPr="000973F2">
        <w:t xml:space="preserve">Table </w:t>
      </w:r>
      <w:r w:rsidR="009C4191" w:rsidRPr="000973F2">
        <w:t>H-</w:t>
      </w:r>
      <w:r w:rsidRPr="000973F2">
        <w:t>2 below summarizes the capital and O&amp;M costs for all Subpart H facilities. Facilities will only incur O&amp;M costs associated with recordkeeping, as discussed in the Cost Appendix Introduction. No capital costs are expected for Subpart H.</w:t>
      </w:r>
    </w:p>
    <w:p w14:paraId="0E19E87C" w14:textId="0CB6D83E" w:rsidR="00477424" w:rsidRPr="000973F2" w:rsidRDefault="00477424" w:rsidP="009C4191">
      <w:pPr>
        <w:pStyle w:val="Tabletitle"/>
      </w:pPr>
      <w:r w:rsidRPr="000973F2">
        <w:t xml:space="preserve">Table </w:t>
      </w:r>
      <w:r w:rsidR="009C4191" w:rsidRPr="000973F2">
        <w:t>H-</w:t>
      </w:r>
      <w:r w:rsidRPr="000973F2">
        <w:t>2. Capital and O&amp;M Costs – Subpart H</w:t>
      </w:r>
    </w:p>
    <w:tbl>
      <w:tblPr>
        <w:tblStyle w:val="PlainTable1"/>
        <w:tblW w:w="5000" w:type="pct"/>
        <w:jc w:val="left"/>
        <w:tblLayout w:type="fixed"/>
        <w:tblCellMar>
          <w:left w:w="115" w:type="dxa"/>
          <w:right w:w="115" w:type="dxa"/>
        </w:tblCellMar>
        <w:tblLook w:val="04A0" w:firstRow="1" w:lastRow="0" w:firstColumn="1" w:lastColumn="0" w:noHBand="0" w:noVBand="1"/>
      </w:tblPr>
      <w:tblGrid>
        <w:gridCol w:w="3540"/>
        <w:gridCol w:w="1121"/>
        <w:gridCol w:w="1122"/>
        <w:gridCol w:w="1122"/>
        <w:gridCol w:w="1022"/>
        <w:gridCol w:w="831"/>
        <w:gridCol w:w="832"/>
      </w:tblGrid>
      <w:tr w:rsidR="00FF36E8" w:rsidRPr="000973F2" w14:paraId="7BD4EF83" w14:textId="77777777" w:rsidTr="009C4191">
        <w:trPr>
          <w:cnfStyle w:val="100000000000" w:firstRow="1" w:lastRow="0" w:firstColumn="0" w:lastColumn="0" w:oddVBand="0" w:evenVBand="0" w:oddHBand="0" w:evenHBand="0" w:firstRowFirstColumn="0" w:firstRowLastColumn="0" w:lastRowFirstColumn="0" w:lastRowLastColumn="0"/>
          <w:cantSplit/>
          <w:jc w:val="left"/>
        </w:trPr>
        <w:tc>
          <w:tcPr>
            <w:cnfStyle w:val="001000000000" w:firstRow="0" w:lastRow="0" w:firstColumn="1" w:lastColumn="0" w:oddVBand="0" w:evenVBand="0" w:oddHBand="0" w:evenHBand="0" w:firstRowFirstColumn="0" w:firstRowLastColumn="0" w:lastRowFirstColumn="0" w:lastRowLastColumn="0"/>
            <w:tcW w:w="3444" w:type="dxa"/>
            <w:vMerge w:val="restart"/>
            <w:noWrap/>
            <w:vAlign w:val="top"/>
            <w:hideMark/>
          </w:tcPr>
          <w:p w14:paraId="7D4D39FF" w14:textId="701B2B97" w:rsidR="009C6AD0" w:rsidRPr="000973F2" w:rsidRDefault="00FF36E8" w:rsidP="009C4191">
            <w:pPr>
              <w:spacing w:before="40" w:after="40"/>
              <w:rPr>
                <w:rFonts w:ascii="Times New Roman" w:eastAsia="Times New Roman" w:hAnsi="Times New Roman" w:cs="Times New Roman"/>
                <w:sz w:val="18"/>
                <w:szCs w:val="18"/>
              </w:rPr>
            </w:pPr>
            <w:r w:rsidRPr="000973F2">
              <w:rPr>
                <w:rFonts w:ascii="Times New Roman" w:eastAsia="Times New Roman" w:hAnsi="Times New Roman" w:cs="Times New Roman"/>
                <w:color w:val="000000"/>
                <w:sz w:val="18"/>
                <w:szCs w:val="18"/>
              </w:rPr>
              <w:t>Activity</w:t>
            </w:r>
          </w:p>
        </w:tc>
        <w:tc>
          <w:tcPr>
            <w:tcW w:w="4269" w:type="dxa"/>
            <w:gridSpan w:val="4"/>
            <w:noWrap/>
            <w:vAlign w:val="top"/>
            <w:hideMark/>
          </w:tcPr>
          <w:p w14:paraId="16B6E0E7" w14:textId="77777777" w:rsidR="00FF36E8" w:rsidRPr="000973F2" w:rsidRDefault="00FF36E8" w:rsidP="009C4191">
            <w:pPr>
              <w:spacing w:before="40" w:after="40"/>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Cs w:val="0"/>
                <w:color w:val="000000"/>
                <w:sz w:val="18"/>
                <w:szCs w:val="18"/>
              </w:rPr>
            </w:pPr>
            <w:r w:rsidRPr="000973F2">
              <w:rPr>
                <w:rFonts w:ascii="Times New Roman" w:eastAsia="Times New Roman" w:hAnsi="Times New Roman" w:cs="Times New Roman"/>
                <w:bCs w:val="0"/>
                <w:color w:val="000000"/>
                <w:sz w:val="18"/>
                <w:szCs w:val="18"/>
              </w:rPr>
              <w:t>Cost Categories</w:t>
            </w:r>
          </w:p>
        </w:tc>
        <w:tc>
          <w:tcPr>
            <w:tcW w:w="1617" w:type="dxa"/>
            <w:gridSpan w:val="2"/>
            <w:vAlign w:val="top"/>
            <w:hideMark/>
          </w:tcPr>
          <w:p w14:paraId="00DEBBBD" w14:textId="77777777" w:rsidR="00FF36E8" w:rsidRPr="000973F2" w:rsidRDefault="00FF36E8" w:rsidP="009C4191">
            <w:pPr>
              <w:spacing w:before="40" w:after="40"/>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Cs w:val="0"/>
                <w:color w:val="000000"/>
                <w:sz w:val="18"/>
                <w:szCs w:val="18"/>
              </w:rPr>
            </w:pPr>
            <w:r w:rsidRPr="000973F2">
              <w:rPr>
                <w:rFonts w:ascii="Times New Roman" w:hAnsi="Times New Roman" w:cs="Times New Roman"/>
                <w:bCs w:val="0"/>
                <w:sz w:val="18"/>
                <w:szCs w:val="18"/>
              </w:rPr>
              <w:t>Total Capital and O&amp;M Cost per Year per Facility (2017$)</w:t>
            </w:r>
          </w:p>
        </w:tc>
      </w:tr>
      <w:tr w:rsidR="009C4191" w:rsidRPr="000973F2" w14:paraId="56527C8A" w14:textId="77777777" w:rsidTr="009C4191">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3444" w:type="dxa"/>
            <w:vMerge/>
            <w:noWrap/>
            <w:hideMark/>
          </w:tcPr>
          <w:p w14:paraId="32F57B17" w14:textId="0FE17D51" w:rsidR="00FF36E8" w:rsidRPr="000973F2" w:rsidRDefault="00FF36E8" w:rsidP="009C4191">
            <w:pPr>
              <w:spacing w:before="40" w:after="40"/>
              <w:jc w:val="center"/>
              <w:rPr>
                <w:rFonts w:ascii="Times New Roman" w:eastAsia="Times New Roman" w:hAnsi="Times New Roman" w:cs="Times New Roman"/>
                <w:b/>
                <w:bCs w:val="0"/>
                <w:color w:val="000000"/>
                <w:sz w:val="18"/>
                <w:szCs w:val="18"/>
              </w:rPr>
            </w:pPr>
          </w:p>
        </w:tc>
        <w:tc>
          <w:tcPr>
            <w:tcW w:w="1091" w:type="dxa"/>
            <w:tcMar>
              <w:left w:w="29" w:type="dxa"/>
              <w:right w:w="29" w:type="dxa"/>
            </w:tcMar>
            <w:hideMark/>
          </w:tcPr>
          <w:p w14:paraId="0E7FE22C" w14:textId="77777777" w:rsidR="00FF36E8" w:rsidRPr="000973F2" w:rsidRDefault="00FF36E8" w:rsidP="009C4191">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color w:val="000000"/>
                <w:sz w:val="18"/>
                <w:szCs w:val="18"/>
              </w:rPr>
            </w:pPr>
            <w:r w:rsidRPr="000973F2">
              <w:rPr>
                <w:rFonts w:ascii="Times New Roman" w:eastAsia="Times New Roman" w:hAnsi="Times New Roman" w:cs="Times New Roman"/>
                <w:b/>
                <w:bCs/>
                <w:color w:val="000000"/>
                <w:sz w:val="18"/>
                <w:szCs w:val="18"/>
              </w:rPr>
              <w:t>Capital Cost (2017$)</w:t>
            </w:r>
          </w:p>
        </w:tc>
        <w:tc>
          <w:tcPr>
            <w:tcW w:w="1092" w:type="dxa"/>
            <w:tcMar>
              <w:left w:w="29" w:type="dxa"/>
              <w:right w:w="29" w:type="dxa"/>
            </w:tcMar>
            <w:hideMark/>
          </w:tcPr>
          <w:p w14:paraId="5B146A08" w14:textId="77777777" w:rsidR="00FF36E8" w:rsidRPr="000973F2" w:rsidRDefault="00FF36E8" w:rsidP="009C4191">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color w:val="000000"/>
                <w:sz w:val="18"/>
                <w:szCs w:val="18"/>
              </w:rPr>
            </w:pPr>
            <w:r w:rsidRPr="000973F2">
              <w:rPr>
                <w:rFonts w:ascii="Times New Roman" w:eastAsia="Times New Roman" w:hAnsi="Times New Roman" w:cs="Times New Roman"/>
                <w:b/>
                <w:bCs/>
                <w:color w:val="000000"/>
                <w:sz w:val="18"/>
                <w:szCs w:val="18"/>
              </w:rPr>
              <w:t>Equipment Lifetime</w:t>
            </w:r>
          </w:p>
        </w:tc>
        <w:tc>
          <w:tcPr>
            <w:tcW w:w="1092" w:type="dxa"/>
            <w:tcMar>
              <w:left w:w="29" w:type="dxa"/>
              <w:right w:w="29" w:type="dxa"/>
            </w:tcMar>
            <w:hideMark/>
          </w:tcPr>
          <w:p w14:paraId="393489A7" w14:textId="0C44684E" w:rsidR="00FF36E8" w:rsidRPr="000973F2" w:rsidRDefault="00FF36E8" w:rsidP="009C4191">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color w:val="000000"/>
                <w:sz w:val="18"/>
                <w:szCs w:val="18"/>
              </w:rPr>
            </w:pPr>
            <w:r w:rsidRPr="000973F2">
              <w:rPr>
                <w:rFonts w:ascii="Times New Roman" w:eastAsia="Times New Roman" w:hAnsi="Times New Roman" w:cs="Times New Roman"/>
                <w:b/>
                <w:bCs/>
                <w:color w:val="000000"/>
                <w:sz w:val="18"/>
                <w:szCs w:val="18"/>
              </w:rPr>
              <w:t>Annualized Capital Cost (2017$/</w:t>
            </w:r>
            <w:r w:rsidR="009C4191" w:rsidRPr="000973F2">
              <w:rPr>
                <w:rFonts w:ascii="Times New Roman" w:eastAsia="Times New Roman" w:hAnsi="Times New Roman" w:cs="Times New Roman"/>
                <w:b/>
                <w:bCs/>
                <w:color w:val="000000"/>
                <w:sz w:val="18"/>
                <w:szCs w:val="18"/>
              </w:rPr>
              <w:t xml:space="preserve"> </w:t>
            </w:r>
            <w:r w:rsidRPr="000973F2">
              <w:rPr>
                <w:rFonts w:ascii="Times New Roman" w:eastAsia="Times New Roman" w:hAnsi="Times New Roman" w:cs="Times New Roman"/>
                <w:b/>
                <w:bCs/>
                <w:color w:val="000000"/>
                <w:sz w:val="18"/>
                <w:szCs w:val="18"/>
              </w:rPr>
              <w:t>year)</w:t>
            </w:r>
          </w:p>
        </w:tc>
        <w:tc>
          <w:tcPr>
            <w:tcW w:w="994" w:type="dxa"/>
            <w:tcMar>
              <w:left w:w="29" w:type="dxa"/>
              <w:right w:w="29" w:type="dxa"/>
            </w:tcMar>
            <w:hideMark/>
          </w:tcPr>
          <w:p w14:paraId="2F918FDB" w14:textId="37623F98" w:rsidR="00FF36E8" w:rsidRPr="000973F2" w:rsidRDefault="00FF36E8" w:rsidP="009C4191">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color w:val="000000"/>
                <w:sz w:val="18"/>
                <w:szCs w:val="18"/>
              </w:rPr>
            </w:pPr>
            <w:r w:rsidRPr="000973F2">
              <w:rPr>
                <w:rFonts w:ascii="Times New Roman" w:eastAsia="Times New Roman" w:hAnsi="Times New Roman" w:cs="Times New Roman"/>
                <w:b/>
                <w:bCs/>
                <w:color w:val="000000"/>
                <w:sz w:val="18"/>
                <w:szCs w:val="18"/>
              </w:rPr>
              <w:t>O&amp;M Costs (2017$/</w:t>
            </w:r>
            <w:r w:rsidR="009C4191" w:rsidRPr="000973F2">
              <w:rPr>
                <w:rFonts w:ascii="Times New Roman" w:eastAsia="Times New Roman" w:hAnsi="Times New Roman" w:cs="Times New Roman"/>
                <w:b/>
                <w:bCs/>
                <w:color w:val="000000"/>
                <w:sz w:val="18"/>
                <w:szCs w:val="18"/>
              </w:rPr>
              <w:t xml:space="preserve"> </w:t>
            </w:r>
            <w:r w:rsidRPr="000973F2">
              <w:rPr>
                <w:rFonts w:ascii="Times New Roman" w:eastAsia="Times New Roman" w:hAnsi="Times New Roman" w:cs="Times New Roman"/>
                <w:b/>
                <w:bCs/>
                <w:color w:val="000000"/>
                <w:sz w:val="18"/>
                <w:szCs w:val="18"/>
              </w:rPr>
              <w:t>year)</w:t>
            </w:r>
          </w:p>
        </w:tc>
        <w:tc>
          <w:tcPr>
            <w:tcW w:w="808" w:type="dxa"/>
            <w:tcMar>
              <w:left w:w="29" w:type="dxa"/>
              <w:right w:w="29" w:type="dxa"/>
            </w:tcMar>
            <w:hideMark/>
          </w:tcPr>
          <w:p w14:paraId="7E488345" w14:textId="77777777" w:rsidR="00FF36E8" w:rsidRPr="000973F2" w:rsidRDefault="00FF36E8" w:rsidP="009C4191">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color w:val="000000"/>
                <w:sz w:val="18"/>
                <w:szCs w:val="18"/>
              </w:rPr>
            </w:pPr>
            <w:r w:rsidRPr="000973F2">
              <w:rPr>
                <w:rFonts w:ascii="Times New Roman" w:eastAsia="Times New Roman" w:hAnsi="Times New Roman" w:cs="Times New Roman"/>
                <w:b/>
                <w:bCs/>
                <w:color w:val="000000"/>
                <w:sz w:val="18"/>
                <w:szCs w:val="18"/>
              </w:rPr>
              <w:t>Initial Year</w:t>
            </w:r>
          </w:p>
        </w:tc>
        <w:tc>
          <w:tcPr>
            <w:tcW w:w="809" w:type="dxa"/>
            <w:tcMar>
              <w:left w:w="29" w:type="dxa"/>
              <w:right w:w="29" w:type="dxa"/>
            </w:tcMar>
            <w:hideMark/>
          </w:tcPr>
          <w:p w14:paraId="3EE0EF8B" w14:textId="77777777" w:rsidR="00FF36E8" w:rsidRPr="000973F2" w:rsidRDefault="00FF36E8" w:rsidP="009C4191">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color w:val="000000"/>
                <w:sz w:val="18"/>
                <w:szCs w:val="18"/>
              </w:rPr>
            </w:pPr>
            <w:r w:rsidRPr="000973F2">
              <w:rPr>
                <w:rFonts w:ascii="Times New Roman" w:eastAsia="Times New Roman" w:hAnsi="Times New Roman" w:cs="Times New Roman"/>
                <w:b/>
                <w:bCs/>
                <w:color w:val="000000"/>
                <w:sz w:val="18"/>
                <w:szCs w:val="18"/>
              </w:rPr>
              <w:t>Subseq. Years</w:t>
            </w:r>
          </w:p>
        </w:tc>
      </w:tr>
      <w:tr w:rsidR="009C4191" w:rsidRPr="000973F2" w14:paraId="1EBB3874" w14:textId="77777777" w:rsidTr="009C4191">
        <w:trPr>
          <w:cantSplit/>
        </w:trPr>
        <w:tc>
          <w:tcPr>
            <w:cnfStyle w:val="001000000000" w:firstRow="0" w:lastRow="0" w:firstColumn="1" w:lastColumn="0" w:oddVBand="0" w:evenVBand="0" w:oddHBand="0" w:evenHBand="0" w:firstRowFirstColumn="0" w:firstRowLastColumn="0" w:lastRowFirstColumn="0" w:lastRowLastColumn="0"/>
            <w:tcW w:w="3444" w:type="dxa"/>
            <w:tcMar>
              <w:right w:w="29" w:type="dxa"/>
            </w:tcMar>
            <w:hideMark/>
          </w:tcPr>
          <w:p w14:paraId="35809A31" w14:textId="77777777" w:rsidR="003E005F" w:rsidRPr="000973F2" w:rsidRDefault="003E005F" w:rsidP="009C4191">
            <w:pPr>
              <w:spacing w:before="40" w:after="40"/>
              <w:rPr>
                <w:rFonts w:ascii="Times New Roman" w:eastAsia="Times New Roman" w:hAnsi="Times New Roman" w:cs="Times New Roman"/>
                <w:color w:val="000000"/>
                <w:sz w:val="18"/>
                <w:szCs w:val="18"/>
              </w:rPr>
            </w:pPr>
            <w:r w:rsidRPr="000973F2">
              <w:rPr>
                <w:rFonts w:ascii="Times New Roman" w:eastAsia="Times New Roman" w:hAnsi="Times New Roman" w:cs="Times New Roman"/>
                <w:color w:val="000000"/>
                <w:sz w:val="18"/>
                <w:szCs w:val="18"/>
              </w:rPr>
              <w:t>Equipment (selection, purchase, installation)</w:t>
            </w:r>
          </w:p>
        </w:tc>
        <w:tc>
          <w:tcPr>
            <w:tcW w:w="1091" w:type="dxa"/>
            <w:noWrap/>
            <w:hideMark/>
          </w:tcPr>
          <w:p w14:paraId="21A81E66" w14:textId="707934C3" w:rsidR="003E005F" w:rsidRPr="000973F2" w:rsidRDefault="003E005F" w:rsidP="009C4191">
            <w:pPr>
              <w:spacing w:before="40" w:after="4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8"/>
                <w:szCs w:val="18"/>
              </w:rPr>
            </w:pPr>
            <w:r w:rsidRPr="000973F2">
              <w:rPr>
                <w:rFonts w:ascii="Times New Roman" w:eastAsia="Times New Roman" w:hAnsi="Times New Roman" w:cs="Times New Roman"/>
                <w:sz w:val="18"/>
                <w:szCs w:val="18"/>
              </w:rPr>
              <w:t>-</w:t>
            </w:r>
          </w:p>
        </w:tc>
        <w:tc>
          <w:tcPr>
            <w:tcW w:w="1092" w:type="dxa"/>
            <w:noWrap/>
          </w:tcPr>
          <w:p w14:paraId="49A2E54D" w14:textId="6D68637A" w:rsidR="003E005F" w:rsidRPr="000973F2" w:rsidRDefault="003E005F" w:rsidP="009C4191">
            <w:pPr>
              <w:spacing w:before="40" w:after="4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p>
        </w:tc>
        <w:tc>
          <w:tcPr>
            <w:tcW w:w="1092" w:type="dxa"/>
            <w:noWrap/>
            <w:hideMark/>
          </w:tcPr>
          <w:p w14:paraId="0943A84C" w14:textId="74EA0417" w:rsidR="003E005F" w:rsidRPr="000973F2" w:rsidRDefault="003E005F" w:rsidP="009C4191">
            <w:pPr>
              <w:spacing w:before="40" w:after="4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8"/>
                <w:szCs w:val="18"/>
              </w:rPr>
            </w:pPr>
            <w:r w:rsidRPr="000973F2">
              <w:rPr>
                <w:rFonts w:ascii="Times New Roman" w:eastAsia="Times New Roman" w:hAnsi="Times New Roman" w:cs="Times New Roman"/>
                <w:sz w:val="18"/>
                <w:szCs w:val="18"/>
              </w:rPr>
              <w:t>-</w:t>
            </w:r>
          </w:p>
        </w:tc>
        <w:tc>
          <w:tcPr>
            <w:tcW w:w="994" w:type="dxa"/>
            <w:noWrap/>
            <w:hideMark/>
          </w:tcPr>
          <w:p w14:paraId="039C1F9D" w14:textId="50ABCBE2" w:rsidR="003E005F" w:rsidRPr="000973F2" w:rsidRDefault="003E005F" w:rsidP="009C4191">
            <w:pPr>
              <w:spacing w:before="40" w:after="4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8"/>
                <w:szCs w:val="18"/>
              </w:rPr>
            </w:pPr>
            <w:r w:rsidRPr="000973F2">
              <w:rPr>
                <w:rFonts w:ascii="Times New Roman" w:eastAsia="Times New Roman" w:hAnsi="Times New Roman" w:cs="Times New Roman"/>
                <w:sz w:val="18"/>
                <w:szCs w:val="18"/>
              </w:rPr>
              <w:t>-</w:t>
            </w:r>
          </w:p>
        </w:tc>
        <w:tc>
          <w:tcPr>
            <w:tcW w:w="808" w:type="dxa"/>
            <w:noWrap/>
            <w:hideMark/>
          </w:tcPr>
          <w:p w14:paraId="17757FC3" w14:textId="69B97BBC" w:rsidR="003E005F" w:rsidRPr="000973F2" w:rsidRDefault="003E005F" w:rsidP="009C4191">
            <w:pPr>
              <w:spacing w:before="40" w:after="4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8"/>
                <w:szCs w:val="18"/>
              </w:rPr>
            </w:pPr>
            <w:r w:rsidRPr="000973F2">
              <w:rPr>
                <w:rFonts w:ascii="Times New Roman" w:eastAsia="Times New Roman" w:hAnsi="Times New Roman" w:cs="Times New Roman"/>
                <w:sz w:val="18"/>
                <w:szCs w:val="18"/>
              </w:rPr>
              <w:t>-</w:t>
            </w:r>
          </w:p>
        </w:tc>
        <w:tc>
          <w:tcPr>
            <w:tcW w:w="809" w:type="dxa"/>
            <w:noWrap/>
            <w:hideMark/>
          </w:tcPr>
          <w:p w14:paraId="11B31863" w14:textId="0BCCC4F3" w:rsidR="003E005F" w:rsidRPr="000973F2" w:rsidRDefault="003E005F" w:rsidP="009C4191">
            <w:pPr>
              <w:spacing w:before="40" w:after="4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8"/>
                <w:szCs w:val="18"/>
              </w:rPr>
            </w:pPr>
            <w:r w:rsidRPr="000973F2">
              <w:rPr>
                <w:rFonts w:ascii="Times New Roman" w:eastAsia="Times New Roman" w:hAnsi="Times New Roman" w:cs="Times New Roman"/>
                <w:sz w:val="18"/>
                <w:szCs w:val="18"/>
              </w:rPr>
              <w:t>-</w:t>
            </w:r>
          </w:p>
        </w:tc>
      </w:tr>
      <w:tr w:rsidR="009C4191" w:rsidRPr="000973F2" w14:paraId="365646D8" w14:textId="77777777" w:rsidTr="009C4191">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3444" w:type="dxa"/>
            <w:tcMar>
              <w:right w:w="29" w:type="dxa"/>
            </w:tcMar>
            <w:hideMark/>
          </w:tcPr>
          <w:p w14:paraId="0F716D3F" w14:textId="77777777" w:rsidR="003E005F" w:rsidRPr="000973F2" w:rsidRDefault="003E005F" w:rsidP="009C4191">
            <w:pPr>
              <w:spacing w:before="40" w:after="40"/>
              <w:rPr>
                <w:rFonts w:ascii="Times New Roman" w:eastAsia="Times New Roman" w:hAnsi="Times New Roman" w:cs="Times New Roman"/>
                <w:color w:val="000000"/>
                <w:sz w:val="18"/>
                <w:szCs w:val="18"/>
              </w:rPr>
            </w:pPr>
            <w:r w:rsidRPr="000973F2">
              <w:rPr>
                <w:rFonts w:ascii="Times New Roman" w:eastAsia="Times New Roman" w:hAnsi="Times New Roman" w:cs="Times New Roman"/>
                <w:color w:val="000000"/>
                <w:sz w:val="18"/>
                <w:szCs w:val="18"/>
              </w:rPr>
              <w:t>Performance testing</w:t>
            </w:r>
          </w:p>
        </w:tc>
        <w:tc>
          <w:tcPr>
            <w:tcW w:w="1091" w:type="dxa"/>
            <w:noWrap/>
            <w:hideMark/>
          </w:tcPr>
          <w:p w14:paraId="0D78B8B8" w14:textId="49AC5619" w:rsidR="003E005F" w:rsidRPr="000973F2" w:rsidRDefault="003E005F" w:rsidP="009C4191">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18"/>
                <w:szCs w:val="18"/>
              </w:rPr>
            </w:pPr>
            <w:r w:rsidRPr="000973F2">
              <w:rPr>
                <w:rFonts w:ascii="Times New Roman" w:eastAsia="Times New Roman" w:hAnsi="Times New Roman" w:cs="Times New Roman"/>
                <w:sz w:val="18"/>
                <w:szCs w:val="18"/>
              </w:rPr>
              <w:t>-</w:t>
            </w:r>
          </w:p>
        </w:tc>
        <w:tc>
          <w:tcPr>
            <w:tcW w:w="1092" w:type="dxa"/>
            <w:noWrap/>
          </w:tcPr>
          <w:p w14:paraId="6B533279" w14:textId="58BD26A5" w:rsidR="003E005F" w:rsidRPr="000973F2" w:rsidRDefault="003E005F" w:rsidP="009C4191">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p>
        </w:tc>
        <w:tc>
          <w:tcPr>
            <w:tcW w:w="1092" w:type="dxa"/>
            <w:noWrap/>
            <w:hideMark/>
          </w:tcPr>
          <w:p w14:paraId="71C43EAB" w14:textId="736FE348" w:rsidR="003E005F" w:rsidRPr="000973F2" w:rsidRDefault="003E005F" w:rsidP="009C4191">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18"/>
                <w:szCs w:val="18"/>
              </w:rPr>
            </w:pPr>
            <w:r w:rsidRPr="000973F2">
              <w:rPr>
                <w:rFonts w:ascii="Times New Roman" w:eastAsia="Times New Roman" w:hAnsi="Times New Roman" w:cs="Times New Roman"/>
                <w:sz w:val="18"/>
                <w:szCs w:val="18"/>
              </w:rPr>
              <w:t>-</w:t>
            </w:r>
          </w:p>
        </w:tc>
        <w:tc>
          <w:tcPr>
            <w:tcW w:w="994" w:type="dxa"/>
            <w:noWrap/>
            <w:hideMark/>
          </w:tcPr>
          <w:p w14:paraId="10A529EC" w14:textId="266F3812" w:rsidR="003E005F" w:rsidRPr="000973F2" w:rsidRDefault="003E005F" w:rsidP="009C4191">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18"/>
                <w:szCs w:val="18"/>
              </w:rPr>
            </w:pPr>
            <w:r w:rsidRPr="000973F2">
              <w:rPr>
                <w:rFonts w:ascii="Times New Roman" w:eastAsia="Times New Roman" w:hAnsi="Times New Roman" w:cs="Times New Roman"/>
                <w:sz w:val="18"/>
                <w:szCs w:val="18"/>
              </w:rPr>
              <w:t>-</w:t>
            </w:r>
          </w:p>
        </w:tc>
        <w:tc>
          <w:tcPr>
            <w:tcW w:w="808" w:type="dxa"/>
            <w:noWrap/>
            <w:hideMark/>
          </w:tcPr>
          <w:p w14:paraId="2B4609B1" w14:textId="13C6C835" w:rsidR="003E005F" w:rsidRPr="000973F2" w:rsidRDefault="003E005F" w:rsidP="009C4191">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18"/>
                <w:szCs w:val="18"/>
              </w:rPr>
            </w:pPr>
            <w:r w:rsidRPr="000973F2">
              <w:rPr>
                <w:rFonts w:ascii="Times New Roman" w:eastAsia="Times New Roman" w:hAnsi="Times New Roman" w:cs="Times New Roman"/>
                <w:sz w:val="18"/>
                <w:szCs w:val="18"/>
              </w:rPr>
              <w:t>-</w:t>
            </w:r>
          </w:p>
        </w:tc>
        <w:tc>
          <w:tcPr>
            <w:tcW w:w="809" w:type="dxa"/>
            <w:noWrap/>
            <w:hideMark/>
          </w:tcPr>
          <w:p w14:paraId="38EEA5AA" w14:textId="4BFB5F89" w:rsidR="003E005F" w:rsidRPr="000973F2" w:rsidRDefault="003E005F" w:rsidP="009C4191">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18"/>
                <w:szCs w:val="18"/>
              </w:rPr>
            </w:pPr>
            <w:r w:rsidRPr="000973F2">
              <w:rPr>
                <w:rFonts w:ascii="Times New Roman" w:eastAsia="Times New Roman" w:hAnsi="Times New Roman" w:cs="Times New Roman"/>
                <w:sz w:val="18"/>
                <w:szCs w:val="18"/>
              </w:rPr>
              <w:t>-</w:t>
            </w:r>
          </w:p>
        </w:tc>
      </w:tr>
      <w:tr w:rsidR="009C4191" w:rsidRPr="000973F2" w14:paraId="1F43CE74" w14:textId="77777777" w:rsidTr="009C4191">
        <w:trPr>
          <w:cantSplit/>
        </w:trPr>
        <w:tc>
          <w:tcPr>
            <w:cnfStyle w:val="001000000000" w:firstRow="0" w:lastRow="0" w:firstColumn="1" w:lastColumn="0" w:oddVBand="0" w:evenVBand="0" w:oddHBand="0" w:evenHBand="0" w:firstRowFirstColumn="0" w:firstRowLastColumn="0" w:lastRowFirstColumn="0" w:lastRowLastColumn="0"/>
            <w:tcW w:w="3444" w:type="dxa"/>
            <w:tcMar>
              <w:right w:w="29" w:type="dxa"/>
            </w:tcMar>
            <w:hideMark/>
          </w:tcPr>
          <w:p w14:paraId="26E8AF60" w14:textId="77777777" w:rsidR="00FC1EBC" w:rsidRPr="000973F2" w:rsidRDefault="00FC1EBC" w:rsidP="009C4191">
            <w:pPr>
              <w:spacing w:before="40" w:after="40"/>
              <w:rPr>
                <w:rFonts w:ascii="Times New Roman" w:eastAsia="Times New Roman" w:hAnsi="Times New Roman" w:cs="Times New Roman"/>
                <w:color w:val="000000"/>
                <w:sz w:val="18"/>
                <w:szCs w:val="18"/>
              </w:rPr>
            </w:pPr>
            <w:r w:rsidRPr="000973F2">
              <w:rPr>
                <w:rFonts w:ascii="Times New Roman" w:eastAsia="Times New Roman" w:hAnsi="Times New Roman" w:cs="Times New Roman"/>
                <w:color w:val="000000"/>
                <w:sz w:val="18"/>
                <w:szCs w:val="18"/>
              </w:rPr>
              <w:t>Recordkeeping</w:t>
            </w:r>
          </w:p>
        </w:tc>
        <w:tc>
          <w:tcPr>
            <w:tcW w:w="1091" w:type="dxa"/>
            <w:noWrap/>
            <w:hideMark/>
          </w:tcPr>
          <w:p w14:paraId="479CC6B9" w14:textId="77777777" w:rsidR="00FC1EBC" w:rsidRPr="000973F2" w:rsidRDefault="00FC1EBC" w:rsidP="009C4191">
            <w:pPr>
              <w:spacing w:before="40" w:after="4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8"/>
                <w:szCs w:val="18"/>
              </w:rPr>
            </w:pPr>
            <w:r w:rsidRPr="000973F2">
              <w:rPr>
                <w:rFonts w:ascii="Times New Roman" w:eastAsia="Times New Roman" w:hAnsi="Times New Roman" w:cs="Times New Roman"/>
                <w:color w:val="000000"/>
                <w:sz w:val="18"/>
                <w:szCs w:val="18"/>
              </w:rPr>
              <w:t>$0</w:t>
            </w:r>
          </w:p>
        </w:tc>
        <w:tc>
          <w:tcPr>
            <w:tcW w:w="1092" w:type="dxa"/>
            <w:noWrap/>
          </w:tcPr>
          <w:p w14:paraId="648080AB" w14:textId="77777777" w:rsidR="00FC1EBC" w:rsidRPr="000973F2" w:rsidRDefault="00FC1EBC" w:rsidP="009C4191">
            <w:pPr>
              <w:spacing w:before="40" w:after="4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p>
        </w:tc>
        <w:tc>
          <w:tcPr>
            <w:tcW w:w="1092" w:type="dxa"/>
            <w:noWrap/>
            <w:hideMark/>
          </w:tcPr>
          <w:p w14:paraId="30D51BAE" w14:textId="77777777" w:rsidR="00FC1EBC" w:rsidRPr="000973F2" w:rsidRDefault="00FC1EBC" w:rsidP="009C4191">
            <w:pPr>
              <w:spacing w:before="40" w:after="4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8"/>
                <w:szCs w:val="18"/>
              </w:rPr>
            </w:pPr>
            <w:r w:rsidRPr="000973F2">
              <w:rPr>
                <w:rFonts w:ascii="Times New Roman" w:eastAsia="Times New Roman" w:hAnsi="Times New Roman" w:cs="Times New Roman"/>
                <w:color w:val="000000"/>
                <w:sz w:val="18"/>
                <w:szCs w:val="18"/>
              </w:rPr>
              <w:t>$0</w:t>
            </w:r>
          </w:p>
        </w:tc>
        <w:tc>
          <w:tcPr>
            <w:tcW w:w="994" w:type="dxa"/>
            <w:noWrap/>
            <w:hideMark/>
          </w:tcPr>
          <w:p w14:paraId="7A93A9D7" w14:textId="77777777" w:rsidR="00FC1EBC" w:rsidRPr="000973F2" w:rsidRDefault="00FC1EBC" w:rsidP="009C4191">
            <w:pPr>
              <w:spacing w:before="40" w:after="4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8"/>
                <w:szCs w:val="18"/>
              </w:rPr>
            </w:pPr>
            <w:r w:rsidRPr="000973F2">
              <w:rPr>
                <w:rFonts w:ascii="Times New Roman" w:eastAsia="Times New Roman" w:hAnsi="Times New Roman" w:cs="Times New Roman"/>
                <w:color w:val="000000"/>
                <w:sz w:val="18"/>
                <w:szCs w:val="18"/>
              </w:rPr>
              <w:t>$50</w:t>
            </w:r>
          </w:p>
        </w:tc>
        <w:tc>
          <w:tcPr>
            <w:tcW w:w="808" w:type="dxa"/>
            <w:noWrap/>
            <w:hideMark/>
          </w:tcPr>
          <w:p w14:paraId="0DE78FD3" w14:textId="77777777" w:rsidR="00FC1EBC" w:rsidRPr="000973F2" w:rsidRDefault="00FC1EBC" w:rsidP="009C4191">
            <w:pPr>
              <w:spacing w:before="40" w:after="4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8"/>
                <w:szCs w:val="18"/>
              </w:rPr>
            </w:pPr>
            <w:r w:rsidRPr="000973F2">
              <w:rPr>
                <w:rFonts w:ascii="Times New Roman" w:eastAsia="Times New Roman" w:hAnsi="Times New Roman" w:cs="Times New Roman"/>
                <w:color w:val="000000"/>
                <w:sz w:val="18"/>
                <w:szCs w:val="18"/>
              </w:rPr>
              <w:t>$0</w:t>
            </w:r>
          </w:p>
        </w:tc>
        <w:tc>
          <w:tcPr>
            <w:tcW w:w="809" w:type="dxa"/>
            <w:noWrap/>
            <w:hideMark/>
          </w:tcPr>
          <w:p w14:paraId="078548BA" w14:textId="77777777" w:rsidR="00FC1EBC" w:rsidRPr="000973F2" w:rsidRDefault="00FC1EBC" w:rsidP="009C4191">
            <w:pPr>
              <w:spacing w:before="40" w:after="4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8"/>
                <w:szCs w:val="18"/>
              </w:rPr>
            </w:pPr>
            <w:r w:rsidRPr="000973F2">
              <w:rPr>
                <w:rFonts w:ascii="Times New Roman" w:eastAsia="Times New Roman" w:hAnsi="Times New Roman" w:cs="Times New Roman"/>
                <w:color w:val="000000"/>
                <w:sz w:val="18"/>
                <w:szCs w:val="18"/>
              </w:rPr>
              <w:t>$50</w:t>
            </w:r>
          </w:p>
        </w:tc>
      </w:tr>
      <w:tr w:rsidR="009C4191" w:rsidRPr="000973F2" w14:paraId="653C64C1" w14:textId="77777777" w:rsidTr="009C4191">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3444" w:type="dxa"/>
            <w:tcMar>
              <w:right w:w="29" w:type="dxa"/>
            </w:tcMar>
            <w:hideMark/>
          </w:tcPr>
          <w:p w14:paraId="07540B8A" w14:textId="77777777" w:rsidR="003E005F" w:rsidRPr="000973F2" w:rsidRDefault="003E005F" w:rsidP="009C4191">
            <w:pPr>
              <w:spacing w:before="40" w:after="40"/>
              <w:rPr>
                <w:rFonts w:ascii="Times New Roman" w:eastAsia="Times New Roman" w:hAnsi="Times New Roman" w:cs="Times New Roman"/>
                <w:color w:val="000000"/>
                <w:sz w:val="18"/>
                <w:szCs w:val="18"/>
              </w:rPr>
            </w:pPr>
            <w:r w:rsidRPr="000973F2">
              <w:rPr>
                <w:rFonts w:ascii="Times New Roman" w:eastAsia="Times New Roman" w:hAnsi="Times New Roman" w:cs="Times New Roman"/>
                <w:color w:val="000000"/>
                <w:sz w:val="18"/>
                <w:szCs w:val="18"/>
              </w:rPr>
              <w:t>Travel</w:t>
            </w:r>
          </w:p>
        </w:tc>
        <w:tc>
          <w:tcPr>
            <w:tcW w:w="1091" w:type="dxa"/>
            <w:noWrap/>
            <w:hideMark/>
          </w:tcPr>
          <w:p w14:paraId="3E4B66FA" w14:textId="058CF326" w:rsidR="003E005F" w:rsidRPr="000973F2" w:rsidRDefault="003E005F" w:rsidP="009C4191">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18"/>
                <w:szCs w:val="18"/>
              </w:rPr>
            </w:pPr>
            <w:r w:rsidRPr="000973F2">
              <w:rPr>
                <w:rFonts w:ascii="Times New Roman" w:eastAsia="Times New Roman" w:hAnsi="Times New Roman" w:cs="Times New Roman"/>
                <w:sz w:val="18"/>
                <w:szCs w:val="18"/>
              </w:rPr>
              <w:t>-</w:t>
            </w:r>
          </w:p>
        </w:tc>
        <w:tc>
          <w:tcPr>
            <w:tcW w:w="1092" w:type="dxa"/>
            <w:noWrap/>
          </w:tcPr>
          <w:p w14:paraId="6DBA6759" w14:textId="6B80745C" w:rsidR="003E005F" w:rsidRPr="000973F2" w:rsidRDefault="003E005F" w:rsidP="009C4191">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p>
        </w:tc>
        <w:tc>
          <w:tcPr>
            <w:tcW w:w="1092" w:type="dxa"/>
            <w:noWrap/>
            <w:hideMark/>
          </w:tcPr>
          <w:p w14:paraId="231BBC11" w14:textId="0B58AD42" w:rsidR="003E005F" w:rsidRPr="000973F2" w:rsidRDefault="003E005F" w:rsidP="009C4191">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18"/>
                <w:szCs w:val="18"/>
              </w:rPr>
            </w:pPr>
            <w:r w:rsidRPr="000973F2">
              <w:rPr>
                <w:rFonts w:ascii="Times New Roman" w:eastAsia="Times New Roman" w:hAnsi="Times New Roman" w:cs="Times New Roman"/>
                <w:sz w:val="18"/>
                <w:szCs w:val="18"/>
              </w:rPr>
              <w:t>-</w:t>
            </w:r>
          </w:p>
        </w:tc>
        <w:tc>
          <w:tcPr>
            <w:tcW w:w="994" w:type="dxa"/>
            <w:noWrap/>
            <w:hideMark/>
          </w:tcPr>
          <w:p w14:paraId="7A0AA007" w14:textId="63FB7625" w:rsidR="003E005F" w:rsidRPr="000973F2" w:rsidRDefault="003E005F" w:rsidP="009C4191">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18"/>
                <w:szCs w:val="18"/>
              </w:rPr>
            </w:pPr>
            <w:r w:rsidRPr="000973F2">
              <w:rPr>
                <w:rFonts w:ascii="Times New Roman" w:eastAsia="Times New Roman" w:hAnsi="Times New Roman" w:cs="Times New Roman"/>
                <w:sz w:val="18"/>
                <w:szCs w:val="18"/>
              </w:rPr>
              <w:t>-</w:t>
            </w:r>
          </w:p>
        </w:tc>
        <w:tc>
          <w:tcPr>
            <w:tcW w:w="808" w:type="dxa"/>
            <w:noWrap/>
            <w:hideMark/>
          </w:tcPr>
          <w:p w14:paraId="04AA342B" w14:textId="40F059FC" w:rsidR="003E005F" w:rsidRPr="000973F2" w:rsidRDefault="003E005F" w:rsidP="009C4191">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18"/>
                <w:szCs w:val="18"/>
              </w:rPr>
            </w:pPr>
            <w:r w:rsidRPr="000973F2">
              <w:rPr>
                <w:rFonts w:ascii="Times New Roman" w:eastAsia="Times New Roman" w:hAnsi="Times New Roman" w:cs="Times New Roman"/>
                <w:sz w:val="18"/>
                <w:szCs w:val="18"/>
              </w:rPr>
              <w:t>-</w:t>
            </w:r>
          </w:p>
        </w:tc>
        <w:tc>
          <w:tcPr>
            <w:tcW w:w="809" w:type="dxa"/>
            <w:noWrap/>
            <w:hideMark/>
          </w:tcPr>
          <w:p w14:paraId="10A00069" w14:textId="5FB8EBA4" w:rsidR="003E005F" w:rsidRPr="000973F2" w:rsidRDefault="003E005F" w:rsidP="009C4191">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18"/>
                <w:szCs w:val="18"/>
              </w:rPr>
            </w:pPr>
            <w:r w:rsidRPr="000973F2">
              <w:rPr>
                <w:rFonts w:ascii="Times New Roman" w:eastAsia="Times New Roman" w:hAnsi="Times New Roman" w:cs="Times New Roman"/>
                <w:sz w:val="18"/>
                <w:szCs w:val="18"/>
              </w:rPr>
              <w:t>-</w:t>
            </w:r>
          </w:p>
        </w:tc>
      </w:tr>
      <w:tr w:rsidR="009C4191" w:rsidRPr="000973F2" w14:paraId="5D566F08" w14:textId="77777777" w:rsidTr="009C4191">
        <w:trPr>
          <w:cantSplit/>
        </w:trPr>
        <w:tc>
          <w:tcPr>
            <w:cnfStyle w:val="001000000000" w:firstRow="0" w:lastRow="0" w:firstColumn="1" w:lastColumn="0" w:oddVBand="0" w:evenVBand="0" w:oddHBand="0" w:evenHBand="0" w:firstRowFirstColumn="0" w:firstRowLastColumn="0" w:lastRowFirstColumn="0" w:lastRowLastColumn="0"/>
            <w:tcW w:w="3444" w:type="dxa"/>
            <w:tcMar>
              <w:right w:w="29" w:type="dxa"/>
            </w:tcMar>
            <w:hideMark/>
          </w:tcPr>
          <w:p w14:paraId="58F22B2F" w14:textId="31E7D91A" w:rsidR="003E005F" w:rsidRPr="000973F2" w:rsidRDefault="003E005F" w:rsidP="009C4191">
            <w:pPr>
              <w:spacing w:before="40" w:after="40"/>
              <w:rPr>
                <w:rFonts w:ascii="Times New Roman" w:eastAsia="Times New Roman" w:hAnsi="Times New Roman" w:cs="Times New Roman"/>
                <w:color w:val="000000"/>
                <w:sz w:val="18"/>
                <w:szCs w:val="18"/>
              </w:rPr>
            </w:pPr>
            <w:r w:rsidRPr="000973F2">
              <w:rPr>
                <w:rFonts w:ascii="Times New Roman" w:eastAsia="Times New Roman" w:hAnsi="Times New Roman" w:cs="Times New Roman"/>
                <w:color w:val="000000"/>
                <w:sz w:val="18"/>
                <w:szCs w:val="18"/>
              </w:rPr>
              <w:t xml:space="preserve">Sampling </w:t>
            </w:r>
            <w:r w:rsidRPr="000973F2">
              <w:rPr>
                <w:rFonts w:ascii="Times New Roman" w:eastAsia="Times New Roman" w:hAnsi="Times New Roman" w:cs="Times New Roman"/>
                <w:sz w:val="18"/>
                <w:szCs w:val="18"/>
              </w:rPr>
              <w:t xml:space="preserve">and Analysis </w:t>
            </w:r>
            <w:r w:rsidRPr="000973F2">
              <w:rPr>
                <w:rFonts w:ascii="Times New Roman" w:eastAsia="Times New Roman" w:hAnsi="Times New Roman" w:cs="Times New Roman"/>
                <w:color w:val="000000"/>
                <w:sz w:val="18"/>
                <w:szCs w:val="18"/>
              </w:rPr>
              <w:t>Costs</w:t>
            </w:r>
          </w:p>
        </w:tc>
        <w:tc>
          <w:tcPr>
            <w:tcW w:w="1091" w:type="dxa"/>
            <w:noWrap/>
            <w:hideMark/>
          </w:tcPr>
          <w:p w14:paraId="5D6F9991" w14:textId="5434DD46" w:rsidR="003E005F" w:rsidRPr="000973F2" w:rsidRDefault="003E005F" w:rsidP="009C4191">
            <w:pPr>
              <w:spacing w:before="40" w:after="4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8"/>
                <w:szCs w:val="18"/>
              </w:rPr>
            </w:pPr>
            <w:r w:rsidRPr="000973F2">
              <w:rPr>
                <w:rFonts w:ascii="Times New Roman" w:eastAsia="Times New Roman" w:hAnsi="Times New Roman" w:cs="Times New Roman"/>
                <w:sz w:val="18"/>
                <w:szCs w:val="18"/>
              </w:rPr>
              <w:t>-</w:t>
            </w:r>
          </w:p>
        </w:tc>
        <w:tc>
          <w:tcPr>
            <w:tcW w:w="1092" w:type="dxa"/>
            <w:noWrap/>
          </w:tcPr>
          <w:p w14:paraId="1D63344F" w14:textId="39FCE742" w:rsidR="003E005F" w:rsidRPr="000973F2" w:rsidRDefault="003E005F" w:rsidP="009C4191">
            <w:pPr>
              <w:spacing w:before="40" w:after="4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8"/>
                <w:szCs w:val="18"/>
              </w:rPr>
            </w:pPr>
          </w:p>
        </w:tc>
        <w:tc>
          <w:tcPr>
            <w:tcW w:w="1092" w:type="dxa"/>
            <w:noWrap/>
            <w:hideMark/>
          </w:tcPr>
          <w:p w14:paraId="01DA6C02" w14:textId="0B19B973" w:rsidR="003E005F" w:rsidRPr="000973F2" w:rsidRDefault="003E005F" w:rsidP="009C4191">
            <w:pPr>
              <w:spacing w:before="40" w:after="4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8"/>
                <w:szCs w:val="18"/>
              </w:rPr>
            </w:pPr>
            <w:r w:rsidRPr="000973F2">
              <w:rPr>
                <w:rFonts w:ascii="Times New Roman" w:eastAsia="Times New Roman" w:hAnsi="Times New Roman" w:cs="Times New Roman"/>
                <w:sz w:val="18"/>
                <w:szCs w:val="18"/>
              </w:rPr>
              <w:t>-</w:t>
            </w:r>
          </w:p>
        </w:tc>
        <w:tc>
          <w:tcPr>
            <w:tcW w:w="994" w:type="dxa"/>
            <w:noWrap/>
            <w:hideMark/>
          </w:tcPr>
          <w:p w14:paraId="336E29C5" w14:textId="74EC1D48" w:rsidR="003E005F" w:rsidRPr="000973F2" w:rsidRDefault="003E005F" w:rsidP="009C4191">
            <w:pPr>
              <w:spacing w:before="40" w:after="4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8"/>
                <w:szCs w:val="18"/>
              </w:rPr>
            </w:pPr>
            <w:r w:rsidRPr="000973F2">
              <w:rPr>
                <w:rFonts w:ascii="Times New Roman" w:eastAsia="Times New Roman" w:hAnsi="Times New Roman" w:cs="Times New Roman"/>
                <w:sz w:val="18"/>
                <w:szCs w:val="18"/>
              </w:rPr>
              <w:t>-</w:t>
            </w:r>
          </w:p>
        </w:tc>
        <w:tc>
          <w:tcPr>
            <w:tcW w:w="808" w:type="dxa"/>
            <w:noWrap/>
            <w:hideMark/>
          </w:tcPr>
          <w:p w14:paraId="24454862" w14:textId="212C4F51" w:rsidR="003E005F" w:rsidRPr="000973F2" w:rsidRDefault="003E005F" w:rsidP="009C4191">
            <w:pPr>
              <w:spacing w:before="40" w:after="4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8"/>
                <w:szCs w:val="18"/>
              </w:rPr>
            </w:pPr>
            <w:r w:rsidRPr="000973F2">
              <w:rPr>
                <w:rFonts w:ascii="Times New Roman" w:eastAsia="Times New Roman" w:hAnsi="Times New Roman" w:cs="Times New Roman"/>
                <w:sz w:val="18"/>
                <w:szCs w:val="18"/>
              </w:rPr>
              <w:t>-</w:t>
            </w:r>
          </w:p>
        </w:tc>
        <w:tc>
          <w:tcPr>
            <w:tcW w:w="809" w:type="dxa"/>
            <w:noWrap/>
            <w:hideMark/>
          </w:tcPr>
          <w:p w14:paraId="10F68B9B" w14:textId="3BEB8927" w:rsidR="003E005F" w:rsidRPr="000973F2" w:rsidRDefault="003E005F" w:rsidP="009C4191">
            <w:pPr>
              <w:spacing w:before="40" w:after="4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8"/>
                <w:szCs w:val="18"/>
              </w:rPr>
            </w:pPr>
            <w:r w:rsidRPr="000973F2">
              <w:rPr>
                <w:rFonts w:ascii="Times New Roman" w:eastAsia="Times New Roman" w:hAnsi="Times New Roman" w:cs="Times New Roman"/>
                <w:sz w:val="18"/>
                <w:szCs w:val="18"/>
              </w:rPr>
              <w:t>-</w:t>
            </w:r>
          </w:p>
        </w:tc>
      </w:tr>
      <w:tr w:rsidR="009C4191" w:rsidRPr="000973F2" w14:paraId="1E346382" w14:textId="77777777" w:rsidTr="009C4191">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3444" w:type="dxa"/>
            <w:tcMar>
              <w:right w:w="29" w:type="dxa"/>
            </w:tcMar>
            <w:hideMark/>
          </w:tcPr>
          <w:p w14:paraId="57EE68CF" w14:textId="77777777" w:rsidR="00FC1EBC" w:rsidRPr="000973F2" w:rsidRDefault="00FC1EBC" w:rsidP="009C4191">
            <w:pPr>
              <w:spacing w:before="40" w:after="40"/>
              <w:rPr>
                <w:rFonts w:ascii="Times New Roman" w:eastAsia="Times New Roman" w:hAnsi="Times New Roman" w:cs="Times New Roman"/>
                <w:b/>
                <w:bCs w:val="0"/>
                <w:color w:val="000000"/>
                <w:sz w:val="18"/>
                <w:szCs w:val="18"/>
              </w:rPr>
            </w:pPr>
            <w:r w:rsidRPr="000973F2">
              <w:rPr>
                <w:rFonts w:ascii="Times New Roman" w:eastAsia="Times New Roman" w:hAnsi="Times New Roman" w:cs="Times New Roman"/>
                <w:b/>
                <w:color w:val="000000"/>
                <w:sz w:val="18"/>
                <w:szCs w:val="18"/>
              </w:rPr>
              <w:t xml:space="preserve">Total </w:t>
            </w:r>
          </w:p>
        </w:tc>
        <w:tc>
          <w:tcPr>
            <w:tcW w:w="1091" w:type="dxa"/>
            <w:noWrap/>
            <w:hideMark/>
          </w:tcPr>
          <w:p w14:paraId="7037C468" w14:textId="77777777" w:rsidR="00FC1EBC" w:rsidRPr="000973F2" w:rsidRDefault="00FC1EBC" w:rsidP="009C4191">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$0</w:t>
            </w:r>
          </w:p>
        </w:tc>
        <w:tc>
          <w:tcPr>
            <w:tcW w:w="1092" w:type="dxa"/>
            <w:noWrap/>
            <w:hideMark/>
          </w:tcPr>
          <w:p w14:paraId="2676C99C" w14:textId="5D926AE9" w:rsidR="00FC1EBC" w:rsidRPr="000973F2" w:rsidRDefault="00FC1EBC" w:rsidP="009C4191">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p>
        </w:tc>
        <w:tc>
          <w:tcPr>
            <w:tcW w:w="1092" w:type="dxa"/>
            <w:noWrap/>
            <w:hideMark/>
          </w:tcPr>
          <w:p w14:paraId="36213B04" w14:textId="77777777" w:rsidR="00FC1EBC" w:rsidRPr="000973F2" w:rsidRDefault="00FC1EBC" w:rsidP="009C4191">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$0</w:t>
            </w:r>
          </w:p>
        </w:tc>
        <w:tc>
          <w:tcPr>
            <w:tcW w:w="994" w:type="dxa"/>
            <w:noWrap/>
            <w:hideMark/>
          </w:tcPr>
          <w:p w14:paraId="33E1DE06" w14:textId="77777777" w:rsidR="00FC1EBC" w:rsidRPr="000973F2" w:rsidRDefault="00FC1EBC" w:rsidP="009C4191">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$50</w:t>
            </w:r>
          </w:p>
        </w:tc>
        <w:tc>
          <w:tcPr>
            <w:tcW w:w="808" w:type="dxa"/>
            <w:noWrap/>
            <w:hideMark/>
          </w:tcPr>
          <w:p w14:paraId="7B0F5049" w14:textId="77777777" w:rsidR="00FC1EBC" w:rsidRPr="000973F2" w:rsidRDefault="00FC1EBC" w:rsidP="009C4191">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$0</w:t>
            </w:r>
          </w:p>
        </w:tc>
        <w:tc>
          <w:tcPr>
            <w:tcW w:w="809" w:type="dxa"/>
            <w:noWrap/>
            <w:hideMark/>
          </w:tcPr>
          <w:p w14:paraId="158804FF" w14:textId="77777777" w:rsidR="00FC1EBC" w:rsidRPr="000973F2" w:rsidRDefault="00FC1EBC" w:rsidP="009C4191">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$50</w:t>
            </w:r>
          </w:p>
        </w:tc>
      </w:tr>
    </w:tbl>
    <w:p w14:paraId="5ADA46E5" w14:textId="77777777" w:rsidR="00FC1EBC" w:rsidRPr="000973F2" w:rsidRDefault="00FC1EBC" w:rsidP="009C4191">
      <w:pPr>
        <w:pStyle w:val="AfterTable"/>
      </w:pPr>
    </w:p>
    <w:p w14:paraId="321748C4" w14:textId="4C03F21A" w:rsidR="00FC1EBC" w:rsidRPr="000973F2" w:rsidRDefault="00FC1EBC" w:rsidP="004037CA">
      <w:pPr>
        <w:pStyle w:val="Heading2"/>
      </w:pPr>
      <w:r w:rsidRPr="000973F2">
        <w:t>Total Costs for Subpart H</w:t>
      </w:r>
    </w:p>
    <w:p w14:paraId="424F61F2" w14:textId="49D3368D" w:rsidR="001B195A" w:rsidRPr="000973F2" w:rsidRDefault="00FC1EBC" w:rsidP="004037CA">
      <w:pPr>
        <w:pStyle w:val="BodyText"/>
      </w:pPr>
      <w:r w:rsidRPr="000973F2">
        <w:t>The total industry costs related to Subpart H are approximately $161,000 per year for a total of $482,000 over the three-year period of the ICR. An estimated 94 facilities are expected to report in 2019, 2020, and 2021.</w:t>
      </w:r>
      <w:r w:rsidR="001B195A" w:rsidRPr="000973F2">
        <w:br w:type="page"/>
      </w:r>
    </w:p>
    <w:p w14:paraId="323FE245" w14:textId="77777777" w:rsidR="001B195A" w:rsidRPr="000973F2" w:rsidRDefault="001B195A" w:rsidP="004037CA">
      <w:pPr>
        <w:pStyle w:val="Heading1"/>
      </w:pPr>
      <w:bookmarkStart w:id="19" w:name="_Toc10715601"/>
      <w:r w:rsidRPr="000973F2">
        <w:t>Cost Appendix for Subpart I – Electronics Manufacturing</w:t>
      </w:r>
      <w:bookmarkEnd w:id="19"/>
      <w:r w:rsidRPr="000973F2">
        <w:t xml:space="preserve"> </w:t>
      </w:r>
    </w:p>
    <w:p w14:paraId="57D837CC" w14:textId="77777777" w:rsidR="001B195A" w:rsidRPr="000973F2" w:rsidRDefault="001B195A" w:rsidP="004037CA">
      <w:pPr>
        <w:pStyle w:val="Heading2"/>
      </w:pPr>
      <w:r w:rsidRPr="000973F2">
        <w:t>Description of Subpart I</w:t>
      </w:r>
    </w:p>
    <w:p w14:paraId="1CE178EF" w14:textId="484CAC2C" w:rsidR="001B195A" w:rsidRPr="000973F2" w:rsidRDefault="001B195A" w:rsidP="004037CA">
      <w:pPr>
        <w:pStyle w:val="BodyText"/>
      </w:pPr>
      <w:r w:rsidRPr="000973F2">
        <w:t>For purposes of the GHGRP, electronics manufacturing includes, but is not limited to, facilities that manufacture semiconductors (including light-emitting diodes), micro-electromechanical systems (MEMS), liquid crystal displays (LCDs), and photovoltaic cells (PV). Specifically, this sector consists of electronics manufacturing facilities with production processes that use plasma-generated fluorine atoms and other reactive fluorine-containing fragments to etch thin films, clean chambers for depositing thin films, clean wafers, or remove residual material. It also includes electronics manufacturing facilities with chemical vapor deposition processes or other production processes that use N</w:t>
      </w:r>
      <w:r w:rsidRPr="000973F2">
        <w:rPr>
          <w:vertAlign w:val="subscript"/>
        </w:rPr>
        <w:t>2</w:t>
      </w:r>
      <w:r w:rsidRPr="000973F2">
        <w:t xml:space="preserve">O, and facilities with processes that use fluorinated GHGs as heat transfer fluids (HTF) to control temperature or clean surfaces. Facilities reporting under Subpart I have the option to calculate their emissions or use stack testing methods to comply with the rule. Currently, none of the existing facilities use the stack testing method; therefore, cost estimates for this method are not included here. In RY2017, 52 facilities reported, and it is anticipated that Subpart I will have one additional facility </w:t>
      </w:r>
      <w:r w:rsidR="00492E3B" w:rsidRPr="000973F2">
        <w:t xml:space="preserve">per year during the </w:t>
      </w:r>
      <w:r w:rsidR="004037CA" w:rsidRPr="000973F2">
        <w:t>three-year</w:t>
      </w:r>
      <w:r w:rsidR="00492E3B" w:rsidRPr="000973F2">
        <w:t xml:space="preserve"> period covered by this ICR</w:t>
      </w:r>
      <w:r w:rsidRPr="000973F2">
        <w:t xml:space="preserve">. </w:t>
      </w:r>
    </w:p>
    <w:p w14:paraId="10E92AEA" w14:textId="77777777" w:rsidR="001B195A" w:rsidRPr="000973F2" w:rsidRDefault="001B195A" w:rsidP="004037CA">
      <w:pPr>
        <w:pStyle w:val="Heading2"/>
      </w:pPr>
      <w:r w:rsidRPr="000973F2">
        <w:t>Labor Costs for Subpart I</w:t>
      </w:r>
    </w:p>
    <w:p w14:paraId="5C200E6D" w14:textId="6971DD0A" w:rsidR="001B195A" w:rsidRPr="000973F2" w:rsidRDefault="001B195A" w:rsidP="004037CA">
      <w:pPr>
        <w:pStyle w:val="BodyText"/>
      </w:pPr>
      <w:r w:rsidRPr="000973F2">
        <w:t xml:space="preserve">Table </w:t>
      </w:r>
      <w:r w:rsidR="004037CA" w:rsidRPr="000973F2">
        <w:t>I-</w:t>
      </w:r>
      <w:r w:rsidRPr="000973F2">
        <w:t xml:space="preserve">1 below includes the labor hours for each of the facilities reporting to Subpart I using the emissions calculation method. Typical activities related to planning, QA/QC, recordkeeping and reporting, and sampling and analysis (which includes emissions calculations) are discussed in the Cost Appendix Introduction. Recordkeeping and Reporting hours are based on the “high bin” designation. Planning costs also include the completion of </w:t>
      </w:r>
      <w:r w:rsidR="00492E3B" w:rsidRPr="000973F2">
        <w:t>a technology assessment r</w:t>
      </w:r>
      <w:r w:rsidRPr="000973F2">
        <w:t>eport</w:t>
      </w:r>
      <w:r w:rsidR="00492E3B" w:rsidRPr="000973F2">
        <w:t xml:space="preserve"> (submission of which occurs once every three years)</w:t>
      </w:r>
      <w:r w:rsidRPr="000973F2">
        <w:t xml:space="preserve"> for approximately one third of the facilities each year of this ICR. For some facilities with shared parent companies, the </w:t>
      </w:r>
      <w:r w:rsidR="00492E3B" w:rsidRPr="000973F2">
        <w:t>technology assessment</w:t>
      </w:r>
      <w:r w:rsidRPr="000973F2">
        <w:t xml:space="preserve"> </w:t>
      </w:r>
      <w:r w:rsidR="00492E3B" w:rsidRPr="000973F2">
        <w:t>r</w:t>
      </w:r>
      <w:r w:rsidRPr="000973F2">
        <w:t>eport is submitted jointly, and this reduced cost was accounted for in the cost estimates below.</w:t>
      </w:r>
    </w:p>
    <w:p w14:paraId="54D64702" w14:textId="6071C293" w:rsidR="001B195A" w:rsidRPr="000973F2" w:rsidRDefault="001B195A" w:rsidP="004037CA">
      <w:pPr>
        <w:pStyle w:val="BodyText"/>
      </w:pPr>
      <w:r w:rsidRPr="000973F2">
        <w:t xml:space="preserve">New facilities in their initial year of reporting will incur additional time associated with planning, reading the rule and </w:t>
      </w:r>
      <w:r w:rsidR="00351976" w:rsidRPr="000973F2">
        <w:t xml:space="preserve">development of the </w:t>
      </w:r>
      <w:r w:rsidRPr="000973F2">
        <w:t>QA/QC</w:t>
      </w:r>
      <w:r w:rsidR="00351976" w:rsidRPr="000973F2">
        <w:t xml:space="preserve"> plan</w:t>
      </w:r>
      <w:r w:rsidRPr="000973F2">
        <w:t xml:space="preserve">, in addition to calculation hours. </w:t>
      </w:r>
    </w:p>
    <w:p w14:paraId="2DAB7184" w14:textId="51BE23BA" w:rsidR="001B195A" w:rsidRPr="000973F2" w:rsidRDefault="001B195A" w:rsidP="001B195A">
      <w:pPr>
        <w:rPr>
          <w:rFonts w:ascii="Times New Roman" w:hAnsi="Times New Roman" w:cs="Times New Roman"/>
          <w:i/>
        </w:rPr>
      </w:pPr>
      <w:r w:rsidRPr="000973F2">
        <w:rPr>
          <w:rFonts w:ascii="Times New Roman" w:eastAsia="Times New Roman" w:hAnsi="Times New Roman" w:cs="Times New Roman"/>
          <w:b/>
          <w:bCs/>
        </w:rPr>
        <w:t xml:space="preserve">Table </w:t>
      </w:r>
      <w:r w:rsidR="004037CA" w:rsidRPr="000973F2">
        <w:rPr>
          <w:rFonts w:ascii="Times New Roman" w:eastAsia="Times New Roman" w:hAnsi="Times New Roman" w:cs="Times New Roman"/>
          <w:b/>
          <w:bCs/>
        </w:rPr>
        <w:t>I-</w:t>
      </w:r>
      <w:r w:rsidRPr="000973F2">
        <w:rPr>
          <w:rFonts w:ascii="Times New Roman" w:eastAsia="Times New Roman" w:hAnsi="Times New Roman" w:cs="Times New Roman"/>
          <w:b/>
          <w:bCs/>
        </w:rPr>
        <w:t>1. Labor Costs – Subpart I</w:t>
      </w:r>
    </w:p>
    <w:tbl>
      <w:tblPr>
        <w:tblStyle w:val="PlainTable1"/>
        <w:tblW w:w="5000" w:type="pct"/>
        <w:jc w:val="left"/>
        <w:tblLayout w:type="fixed"/>
        <w:tblLook w:val="04A0" w:firstRow="1" w:lastRow="0" w:firstColumn="1" w:lastColumn="0" w:noHBand="0" w:noVBand="1"/>
      </w:tblPr>
      <w:tblGrid>
        <w:gridCol w:w="1369"/>
        <w:gridCol w:w="808"/>
        <w:gridCol w:w="808"/>
        <w:gridCol w:w="809"/>
        <w:gridCol w:w="808"/>
        <w:gridCol w:w="808"/>
        <w:gridCol w:w="809"/>
        <w:gridCol w:w="808"/>
        <w:gridCol w:w="809"/>
        <w:gridCol w:w="870"/>
        <w:gridCol w:w="870"/>
      </w:tblGrid>
      <w:tr w:rsidR="001B195A" w:rsidRPr="000973F2" w14:paraId="3F3A9EFB" w14:textId="77777777" w:rsidTr="004037CA">
        <w:trPr>
          <w:cnfStyle w:val="100000000000" w:firstRow="1" w:lastRow="0" w:firstColumn="0" w:lastColumn="0" w:oddVBand="0" w:evenVBand="0" w:oddHBand="0" w:evenHBand="0" w:firstRowFirstColumn="0" w:firstRowLastColumn="0" w:lastRowFirstColumn="0" w:lastRowLastColumn="0"/>
          <w:jc w:val="left"/>
        </w:trPr>
        <w:tc>
          <w:tcPr>
            <w:cnfStyle w:val="001000000000" w:firstRow="0" w:lastRow="0" w:firstColumn="1" w:lastColumn="0" w:oddVBand="0" w:evenVBand="0" w:oddHBand="0" w:evenHBand="0" w:firstRowFirstColumn="0" w:firstRowLastColumn="0" w:lastRowFirstColumn="0" w:lastRowLastColumn="0"/>
            <w:tcW w:w="1335" w:type="dxa"/>
            <w:vMerge w:val="restart"/>
            <w:noWrap/>
            <w:vAlign w:val="top"/>
            <w:hideMark/>
          </w:tcPr>
          <w:p w14:paraId="252EAB0C" w14:textId="77777777" w:rsidR="001B195A" w:rsidRPr="000973F2" w:rsidRDefault="001B195A" w:rsidP="004037CA">
            <w:pPr>
              <w:spacing w:before="40" w:after="40"/>
              <w:rPr>
                <w:rFonts w:ascii="Times New Roman" w:eastAsia="Times New Roman" w:hAnsi="Times New Roman" w:cs="Times New Roman"/>
                <w:b w:val="0"/>
                <w:bCs w:val="0"/>
                <w:sz w:val="18"/>
                <w:szCs w:val="18"/>
              </w:rPr>
            </w:pPr>
            <w:r w:rsidRPr="000973F2">
              <w:rPr>
                <w:rFonts w:ascii="Times New Roman" w:eastAsia="Times New Roman" w:hAnsi="Times New Roman" w:cs="Times New Roman"/>
                <w:sz w:val="18"/>
                <w:szCs w:val="18"/>
              </w:rPr>
              <w:t>Activity</w:t>
            </w:r>
          </w:p>
        </w:tc>
        <w:tc>
          <w:tcPr>
            <w:tcW w:w="6299" w:type="dxa"/>
            <w:gridSpan w:val="8"/>
            <w:noWrap/>
            <w:vAlign w:val="top"/>
            <w:hideMark/>
          </w:tcPr>
          <w:p w14:paraId="0A64B9E3" w14:textId="77777777" w:rsidR="001B195A" w:rsidRPr="000973F2" w:rsidRDefault="001B195A" w:rsidP="004037CA">
            <w:pPr>
              <w:spacing w:before="40" w:after="40"/>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bCs w:val="0"/>
                <w:sz w:val="18"/>
                <w:szCs w:val="18"/>
              </w:rPr>
            </w:pPr>
            <w:r w:rsidRPr="000973F2">
              <w:rPr>
                <w:rFonts w:ascii="Times New Roman" w:eastAsia="Times New Roman" w:hAnsi="Times New Roman" w:cs="Times New Roman"/>
                <w:sz w:val="18"/>
                <w:szCs w:val="18"/>
              </w:rPr>
              <w:t>Labor Rates (per hour)</w:t>
            </w:r>
          </w:p>
        </w:tc>
        <w:tc>
          <w:tcPr>
            <w:tcW w:w="1696" w:type="dxa"/>
            <w:gridSpan w:val="2"/>
            <w:vMerge w:val="restart"/>
            <w:vAlign w:val="top"/>
            <w:hideMark/>
          </w:tcPr>
          <w:p w14:paraId="553BFABA" w14:textId="77777777" w:rsidR="001B195A" w:rsidRPr="000973F2" w:rsidRDefault="001B195A" w:rsidP="004037CA">
            <w:pPr>
              <w:spacing w:before="40" w:after="40"/>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sz w:val="18"/>
                <w:szCs w:val="18"/>
              </w:rPr>
            </w:pPr>
            <w:r w:rsidRPr="000973F2">
              <w:rPr>
                <w:rFonts w:ascii="Times New Roman" w:eastAsia="Times New Roman" w:hAnsi="Times New Roman" w:cs="Times New Roman"/>
                <w:sz w:val="18"/>
                <w:szCs w:val="18"/>
              </w:rPr>
              <w:t>Total Labor Cost per Year per Facility</w:t>
            </w:r>
          </w:p>
          <w:p w14:paraId="790E936C" w14:textId="77777777" w:rsidR="001B195A" w:rsidRPr="000973F2" w:rsidRDefault="001B195A" w:rsidP="004037CA">
            <w:pPr>
              <w:spacing w:before="40" w:after="40"/>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sz w:val="18"/>
                <w:szCs w:val="18"/>
              </w:rPr>
            </w:pPr>
            <w:r w:rsidRPr="000973F2">
              <w:rPr>
                <w:rFonts w:ascii="Times New Roman" w:eastAsia="Times New Roman" w:hAnsi="Times New Roman" w:cs="Times New Roman"/>
                <w:sz w:val="18"/>
                <w:szCs w:val="18"/>
              </w:rPr>
              <w:t>(2017$)</w:t>
            </w:r>
          </w:p>
        </w:tc>
      </w:tr>
      <w:tr w:rsidR="001B195A" w:rsidRPr="000973F2" w14:paraId="0AC7A9C4" w14:textId="77777777" w:rsidTr="004037C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35" w:type="dxa"/>
            <w:vMerge/>
            <w:hideMark/>
          </w:tcPr>
          <w:p w14:paraId="46F1C9B1" w14:textId="77777777" w:rsidR="001B195A" w:rsidRPr="000973F2" w:rsidRDefault="001B195A" w:rsidP="004037CA">
            <w:pPr>
              <w:spacing w:before="40" w:after="40"/>
              <w:rPr>
                <w:rFonts w:ascii="Times New Roman" w:eastAsia="Times New Roman" w:hAnsi="Times New Roman" w:cs="Times New Roman"/>
                <w:b/>
                <w:bCs w:val="0"/>
                <w:sz w:val="18"/>
                <w:szCs w:val="18"/>
              </w:rPr>
            </w:pPr>
          </w:p>
        </w:tc>
        <w:tc>
          <w:tcPr>
            <w:tcW w:w="1574" w:type="dxa"/>
            <w:gridSpan w:val="2"/>
            <w:noWrap/>
            <w:hideMark/>
          </w:tcPr>
          <w:p w14:paraId="44D36238" w14:textId="77777777" w:rsidR="001B195A" w:rsidRPr="000973F2" w:rsidRDefault="001B195A" w:rsidP="004037CA">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18"/>
                <w:szCs w:val="18"/>
              </w:rPr>
            </w:pPr>
            <w:r w:rsidRPr="000973F2">
              <w:rPr>
                <w:rFonts w:ascii="Times New Roman" w:eastAsia="Times New Roman" w:hAnsi="Times New Roman" w:cs="Times New Roman"/>
                <w:b/>
                <w:bCs/>
                <w:sz w:val="18"/>
                <w:szCs w:val="18"/>
              </w:rPr>
              <w:t>Lawyer</w:t>
            </w:r>
          </w:p>
        </w:tc>
        <w:tc>
          <w:tcPr>
            <w:tcW w:w="1575" w:type="dxa"/>
            <w:gridSpan w:val="2"/>
            <w:noWrap/>
            <w:hideMark/>
          </w:tcPr>
          <w:p w14:paraId="7C6BCCCA" w14:textId="77777777" w:rsidR="001B195A" w:rsidRPr="000973F2" w:rsidRDefault="001B195A" w:rsidP="004037CA">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18"/>
                <w:szCs w:val="18"/>
              </w:rPr>
            </w:pPr>
            <w:r w:rsidRPr="000973F2">
              <w:rPr>
                <w:rFonts w:ascii="Times New Roman" w:eastAsia="Times New Roman" w:hAnsi="Times New Roman" w:cs="Times New Roman"/>
                <w:b/>
                <w:bCs/>
                <w:sz w:val="18"/>
                <w:szCs w:val="18"/>
              </w:rPr>
              <w:t>Industrial Manager</w:t>
            </w:r>
          </w:p>
        </w:tc>
        <w:tc>
          <w:tcPr>
            <w:tcW w:w="1575" w:type="dxa"/>
            <w:gridSpan w:val="2"/>
            <w:hideMark/>
          </w:tcPr>
          <w:p w14:paraId="4E9C6867" w14:textId="7502FEDE" w:rsidR="001B195A" w:rsidRPr="000973F2" w:rsidRDefault="001B195A" w:rsidP="004037CA">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18"/>
                <w:szCs w:val="18"/>
              </w:rPr>
            </w:pPr>
            <w:r w:rsidRPr="000973F2">
              <w:rPr>
                <w:rFonts w:ascii="Times New Roman" w:eastAsia="Times New Roman" w:hAnsi="Times New Roman" w:cs="Times New Roman"/>
                <w:b/>
                <w:bCs/>
                <w:sz w:val="18"/>
                <w:szCs w:val="18"/>
              </w:rPr>
              <w:t>Industrial Engineer/</w:t>
            </w:r>
            <w:r w:rsidR="004037CA" w:rsidRPr="000973F2">
              <w:rPr>
                <w:rFonts w:ascii="Times New Roman" w:eastAsia="Times New Roman" w:hAnsi="Times New Roman" w:cs="Times New Roman"/>
                <w:b/>
                <w:bCs/>
                <w:sz w:val="18"/>
                <w:szCs w:val="18"/>
              </w:rPr>
              <w:t xml:space="preserve"> </w:t>
            </w:r>
            <w:r w:rsidRPr="000973F2">
              <w:rPr>
                <w:rFonts w:ascii="Times New Roman" w:eastAsia="Times New Roman" w:hAnsi="Times New Roman" w:cs="Times New Roman"/>
                <w:b/>
                <w:bCs/>
                <w:sz w:val="18"/>
                <w:szCs w:val="18"/>
              </w:rPr>
              <w:t>Technician</w:t>
            </w:r>
          </w:p>
        </w:tc>
        <w:tc>
          <w:tcPr>
            <w:tcW w:w="1575" w:type="dxa"/>
            <w:gridSpan w:val="2"/>
            <w:hideMark/>
          </w:tcPr>
          <w:p w14:paraId="615E1D8B" w14:textId="77777777" w:rsidR="001B195A" w:rsidRPr="000973F2" w:rsidRDefault="001B195A" w:rsidP="004037CA">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18"/>
                <w:szCs w:val="18"/>
              </w:rPr>
            </w:pPr>
            <w:r w:rsidRPr="000973F2">
              <w:rPr>
                <w:rFonts w:ascii="Times New Roman" w:eastAsia="Times New Roman" w:hAnsi="Times New Roman" w:cs="Times New Roman"/>
                <w:b/>
                <w:bCs/>
                <w:sz w:val="18"/>
                <w:szCs w:val="18"/>
              </w:rPr>
              <w:t>Administrative Support</w:t>
            </w:r>
          </w:p>
        </w:tc>
        <w:tc>
          <w:tcPr>
            <w:tcW w:w="1696" w:type="dxa"/>
            <w:gridSpan w:val="2"/>
            <w:vMerge/>
            <w:hideMark/>
          </w:tcPr>
          <w:p w14:paraId="72A04D70" w14:textId="77777777" w:rsidR="001B195A" w:rsidRPr="000973F2" w:rsidRDefault="001B195A" w:rsidP="004037CA">
            <w:pPr>
              <w:spacing w:before="40" w:after="4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18"/>
                <w:szCs w:val="18"/>
              </w:rPr>
            </w:pPr>
          </w:p>
        </w:tc>
      </w:tr>
      <w:tr w:rsidR="001B195A" w:rsidRPr="000973F2" w14:paraId="6885B006" w14:textId="77777777" w:rsidTr="004037CA">
        <w:tc>
          <w:tcPr>
            <w:cnfStyle w:val="001000000000" w:firstRow="0" w:lastRow="0" w:firstColumn="1" w:lastColumn="0" w:oddVBand="0" w:evenVBand="0" w:oddHBand="0" w:evenHBand="0" w:firstRowFirstColumn="0" w:firstRowLastColumn="0" w:lastRowFirstColumn="0" w:lastRowLastColumn="0"/>
            <w:tcW w:w="1335" w:type="dxa"/>
            <w:vMerge/>
            <w:hideMark/>
          </w:tcPr>
          <w:p w14:paraId="28C88338" w14:textId="77777777" w:rsidR="001B195A" w:rsidRPr="000973F2" w:rsidRDefault="001B195A" w:rsidP="004037CA">
            <w:pPr>
              <w:spacing w:before="40" w:after="40"/>
              <w:rPr>
                <w:rFonts w:ascii="Times New Roman" w:eastAsia="Times New Roman" w:hAnsi="Times New Roman" w:cs="Times New Roman"/>
                <w:b/>
                <w:bCs w:val="0"/>
                <w:sz w:val="18"/>
                <w:szCs w:val="18"/>
              </w:rPr>
            </w:pPr>
          </w:p>
        </w:tc>
        <w:tc>
          <w:tcPr>
            <w:tcW w:w="1574" w:type="dxa"/>
            <w:gridSpan w:val="2"/>
            <w:noWrap/>
            <w:hideMark/>
          </w:tcPr>
          <w:p w14:paraId="2F5ECBF8" w14:textId="79B93738" w:rsidR="001B195A" w:rsidRPr="000973F2" w:rsidRDefault="001B195A" w:rsidP="004037CA">
            <w:pPr>
              <w:spacing w:before="40" w:after="4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sz w:val="18"/>
                <w:szCs w:val="18"/>
              </w:rPr>
            </w:pPr>
            <w:r w:rsidRPr="000973F2">
              <w:rPr>
                <w:rFonts w:ascii="Times New Roman" w:eastAsia="Times New Roman" w:hAnsi="Times New Roman" w:cs="Times New Roman"/>
                <w:b/>
                <w:bCs/>
                <w:sz w:val="18"/>
                <w:szCs w:val="18"/>
              </w:rPr>
              <w:t>$112.23</w:t>
            </w:r>
          </w:p>
        </w:tc>
        <w:tc>
          <w:tcPr>
            <w:tcW w:w="1575" w:type="dxa"/>
            <w:gridSpan w:val="2"/>
            <w:noWrap/>
            <w:hideMark/>
          </w:tcPr>
          <w:p w14:paraId="62C3ADA7" w14:textId="51885D4C" w:rsidR="001B195A" w:rsidRPr="000973F2" w:rsidRDefault="001B195A" w:rsidP="004037CA">
            <w:pPr>
              <w:spacing w:before="40" w:after="4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sz w:val="18"/>
                <w:szCs w:val="18"/>
              </w:rPr>
            </w:pPr>
            <w:r w:rsidRPr="000973F2">
              <w:rPr>
                <w:rFonts w:ascii="Times New Roman" w:eastAsia="Times New Roman" w:hAnsi="Times New Roman" w:cs="Times New Roman"/>
                <w:b/>
                <w:bCs/>
                <w:sz w:val="18"/>
                <w:szCs w:val="18"/>
              </w:rPr>
              <w:t>$87.45</w:t>
            </w:r>
          </w:p>
        </w:tc>
        <w:tc>
          <w:tcPr>
            <w:tcW w:w="1575" w:type="dxa"/>
            <w:gridSpan w:val="2"/>
            <w:noWrap/>
            <w:hideMark/>
          </w:tcPr>
          <w:p w14:paraId="07E9C13A" w14:textId="7770137C" w:rsidR="001B195A" w:rsidRPr="000973F2" w:rsidRDefault="001B195A" w:rsidP="004037CA">
            <w:pPr>
              <w:spacing w:before="40" w:after="4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sz w:val="18"/>
                <w:szCs w:val="18"/>
              </w:rPr>
            </w:pPr>
            <w:r w:rsidRPr="000973F2">
              <w:rPr>
                <w:rFonts w:ascii="Times New Roman" w:eastAsia="Times New Roman" w:hAnsi="Times New Roman" w:cs="Times New Roman"/>
                <w:b/>
                <w:bCs/>
                <w:sz w:val="18"/>
                <w:szCs w:val="18"/>
              </w:rPr>
              <w:t>$71.45</w:t>
            </w:r>
          </w:p>
        </w:tc>
        <w:tc>
          <w:tcPr>
            <w:tcW w:w="1575" w:type="dxa"/>
            <w:gridSpan w:val="2"/>
            <w:noWrap/>
            <w:hideMark/>
          </w:tcPr>
          <w:p w14:paraId="2DA69494" w14:textId="21A864F3" w:rsidR="001B195A" w:rsidRPr="000973F2" w:rsidRDefault="001B195A" w:rsidP="004037CA">
            <w:pPr>
              <w:spacing w:before="40" w:after="4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sz w:val="18"/>
                <w:szCs w:val="18"/>
              </w:rPr>
            </w:pPr>
            <w:r w:rsidRPr="000973F2">
              <w:rPr>
                <w:rFonts w:ascii="Times New Roman" w:eastAsia="Times New Roman" w:hAnsi="Times New Roman" w:cs="Times New Roman"/>
                <w:b/>
                <w:bCs/>
                <w:sz w:val="18"/>
                <w:szCs w:val="18"/>
              </w:rPr>
              <w:t>$36.28</w:t>
            </w:r>
          </w:p>
        </w:tc>
        <w:tc>
          <w:tcPr>
            <w:tcW w:w="1696" w:type="dxa"/>
            <w:gridSpan w:val="2"/>
            <w:vMerge/>
            <w:hideMark/>
          </w:tcPr>
          <w:p w14:paraId="6A9EC8AE" w14:textId="77777777" w:rsidR="001B195A" w:rsidRPr="000973F2" w:rsidRDefault="001B195A" w:rsidP="004037CA">
            <w:pPr>
              <w:spacing w:before="40" w:after="4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sz w:val="18"/>
                <w:szCs w:val="18"/>
              </w:rPr>
            </w:pPr>
          </w:p>
        </w:tc>
      </w:tr>
      <w:tr w:rsidR="004037CA" w:rsidRPr="000973F2" w14:paraId="3D8B2701" w14:textId="77777777" w:rsidTr="004037C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35" w:type="dxa"/>
            <w:vMerge/>
            <w:hideMark/>
          </w:tcPr>
          <w:p w14:paraId="6BBEB6D6" w14:textId="77777777" w:rsidR="001B195A" w:rsidRPr="000973F2" w:rsidRDefault="001B195A" w:rsidP="004037CA">
            <w:pPr>
              <w:spacing w:before="40" w:after="40"/>
              <w:rPr>
                <w:rFonts w:ascii="Times New Roman" w:eastAsia="Times New Roman" w:hAnsi="Times New Roman" w:cs="Times New Roman"/>
                <w:b/>
                <w:bCs w:val="0"/>
                <w:sz w:val="18"/>
                <w:szCs w:val="18"/>
              </w:rPr>
            </w:pPr>
          </w:p>
        </w:tc>
        <w:tc>
          <w:tcPr>
            <w:tcW w:w="787" w:type="dxa"/>
            <w:tcMar>
              <w:left w:w="14" w:type="dxa"/>
              <w:right w:w="14" w:type="dxa"/>
            </w:tcMar>
            <w:hideMark/>
          </w:tcPr>
          <w:p w14:paraId="564315ED" w14:textId="48915CD0" w:rsidR="001B195A" w:rsidRPr="000973F2" w:rsidRDefault="001B195A" w:rsidP="004037CA">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18"/>
                <w:szCs w:val="18"/>
              </w:rPr>
            </w:pPr>
            <w:r w:rsidRPr="000973F2">
              <w:rPr>
                <w:rFonts w:ascii="Times New Roman" w:eastAsia="Times New Roman" w:hAnsi="Times New Roman" w:cs="Times New Roman"/>
                <w:b/>
                <w:bCs/>
                <w:sz w:val="18"/>
                <w:szCs w:val="18"/>
              </w:rPr>
              <w:t>Initial Year</w:t>
            </w:r>
            <w:r w:rsidR="004037CA" w:rsidRPr="000973F2">
              <w:rPr>
                <w:rFonts w:ascii="Times New Roman" w:eastAsia="Times New Roman" w:hAnsi="Times New Roman" w:cs="Times New Roman"/>
                <w:b/>
                <w:bCs/>
                <w:sz w:val="18"/>
                <w:szCs w:val="18"/>
              </w:rPr>
              <w:t xml:space="preserve"> </w:t>
            </w:r>
            <w:r w:rsidRPr="000973F2">
              <w:rPr>
                <w:rFonts w:ascii="Times New Roman" w:eastAsia="Times New Roman" w:hAnsi="Times New Roman" w:cs="Times New Roman"/>
                <w:b/>
                <w:bCs/>
                <w:sz w:val="18"/>
                <w:szCs w:val="18"/>
              </w:rPr>
              <w:t>Hours</w:t>
            </w:r>
          </w:p>
        </w:tc>
        <w:tc>
          <w:tcPr>
            <w:tcW w:w="787" w:type="dxa"/>
            <w:tcMar>
              <w:left w:w="14" w:type="dxa"/>
              <w:right w:w="14" w:type="dxa"/>
            </w:tcMar>
            <w:hideMark/>
          </w:tcPr>
          <w:p w14:paraId="1466FE41" w14:textId="73217FDC" w:rsidR="001B195A" w:rsidRPr="000973F2" w:rsidRDefault="001B195A" w:rsidP="004037CA">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18"/>
                <w:szCs w:val="18"/>
              </w:rPr>
            </w:pPr>
            <w:r w:rsidRPr="000973F2">
              <w:rPr>
                <w:rFonts w:ascii="Times New Roman" w:eastAsia="Times New Roman" w:hAnsi="Times New Roman" w:cs="Times New Roman"/>
                <w:b/>
                <w:bCs/>
                <w:sz w:val="18"/>
                <w:szCs w:val="18"/>
              </w:rPr>
              <w:t>Subseq. Year</w:t>
            </w:r>
            <w:r w:rsidR="004037CA" w:rsidRPr="000973F2">
              <w:rPr>
                <w:rFonts w:ascii="Times New Roman" w:eastAsia="Times New Roman" w:hAnsi="Times New Roman" w:cs="Times New Roman"/>
                <w:b/>
                <w:bCs/>
                <w:sz w:val="18"/>
                <w:szCs w:val="18"/>
              </w:rPr>
              <w:t xml:space="preserve"> </w:t>
            </w:r>
            <w:r w:rsidRPr="000973F2">
              <w:rPr>
                <w:rFonts w:ascii="Times New Roman" w:eastAsia="Times New Roman" w:hAnsi="Times New Roman" w:cs="Times New Roman"/>
                <w:b/>
                <w:bCs/>
                <w:sz w:val="18"/>
                <w:szCs w:val="18"/>
              </w:rPr>
              <w:t>Hours</w:t>
            </w:r>
          </w:p>
        </w:tc>
        <w:tc>
          <w:tcPr>
            <w:tcW w:w="788" w:type="dxa"/>
            <w:tcMar>
              <w:left w:w="14" w:type="dxa"/>
              <w:right w:w="14" w:type="dxa"/>
            </w:tcMar>
            <w:hideMark/>
          </w:tcPr>
          <w:p w14:paraId="56106E28" w14:textId="185A9D27" w:rsidR="001B195A" w:rsidRPr="000973F2" w:rsidRDefault="001B195A" w:rsidP="004037CA">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18"/>
                <w:szCs w:val="18"/>
              </w:rPr>
            </w:pPr>
            <w:r w:rsidRPr="000973F2">
              <w:rPr>
                <w:rFonts w:ascii="Times New Roman" w:eastAsia="Times New Roman" w:hAnsi="Times New Roman" w:cs="Times New Roman"/>
                <w:b/>
                <w:bCs/>
                <w:sz w:val="18"/>
                <w:szCs w:val="18"/>
              </w:rPr>
              <w:t>Initial Year</w:t>
            </w:r>
            <w:r w:rsidR="004037CA" w:rsidRPr="000973F2">
              <w:rPr>
                <w:rFonts w:ascii="Times New Roman" w:eastAsia="Times New Roman" w:hAnsi="Times New Roman" w:cs="Times New Roman"/>
                <w:b/>
                <w:bCs/>
                <w:sz w:val="18"/>
                <w:szCs w:val="18"/>
              </w:rPr>
              <w:t xml:space="preserve"> </w:t>
            </w:r>
            <w:r w:rsidRPr="000973F2">
              <w:rPr>
                <w:rFonts w:ascii="Times New Roman" w:eastAsia="Times New Roman" w:hAnsi="Times New Roman" w:cs="Times New Roman"/>
                <w:b/>
                <w:bCs/>
                <w:sz w:val="18"/>
                <w:szCs w:val="18"/>
              </w:rPr>
              <w:t>Hours</w:t>
            </w:r>
          </w:p>
        </w:tc>
        <w:tc>
          <w:tcPr>
            <w:tcW w:w="787" w:type="dxa"/>
            <w:tcMar>
              <w:left w:w="14" w:type="dxa"/>
              <w:right w:w="14" w:type="dxa"/>
            </w:tcMar>
            <w:hideMark/>
          </w:tcPr>
          <w:p w14:paraId="06531F54" w14:textId="2FA160FE" w:rsidR="001B195A" w:rsidRPr="000973F2" w:rsidRDefault="001B195A" w:rsidP="004037CA">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18"/>
                <w:szCs w:val="18"/>
              </w:rPr>
            </w:pPr>
            <w:r w:rsidRPr="000973F2">
              <w:rPr>
                <w:rFonts w:ascii="Times New Roman" w:eastAsia="Times New Roman" w:hAnsi="Times New Roman" w:cs="Times New Roman"/>
                <w:b/>
                <w:bCs/>
                <w:sz w:val="18"/>
                <w:szCs w:val="18"/>
              </w:rPr>
              <w:t>Subseq. Year</w:t>
            </w:r>
            <w:r w:rsidR="004037CA" w:rsidRPr="000973F2">
              <w:rPr>
                <w:rFonts w:ascii="Times New Roman" w:eastAsia="Times New Roman" w:hAnsi="Times New Roman" w:cs="Times New Roman"/>
                <w:b/>
                <w:bCs/>
                <w:sz w:val="18"/>
                <w:szCs w:val="18"/>
              </w:rPr>
              <w:t xml:space="preserve"> </w:t>
            </w:r>
            <w:r w:rsidRPr="000973F2">
              <w:rPr>
                <w:rFonts w:ascii="Times New Roman" w:eastAsia="Times New Roman" w:hAnsi="Times New Roman" w:cs="Times New Roman"/>
                <w:b/>
                <w:bCs/>
                <w:sz w:val="18"/>
                <w:szCs w:val="18"/>
              </w:rPr>
              <w:t>Hours</w:t>
            </w:r>
          </w:p>
        </w:tc>
        <w:tc>
          <w:tcPr>
            <w:tcW w:w="787" w:type="dxa"/>
            <w:tcMar>
              <w:left w:w="14" w:type="dxa"/>
              <w:right w:w="14" w:type="dxa"/>
            </w:tcMar>
            <w:hideMark/>
          </w:tcPr>
          <w:p w14:paraId="2C83C53F" w14:textId="5D46E4EF" w:rsidR="001B195A" w:rsidRPr="000973F2" w:rsidRDefault="001B195A" w:rsidP="004037CA">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18"/>
                <w:szCs w:val="18"/>
              </w:rPr>
            </w:pPr>
            <w:r w:rsidRPr="000973F2">
              <w:rPr>
                <w:rFonts w:ascii="Times New Roman" w:eastAsia="Times New Roman" w:hAnsi="Times New Roman" w:cs="Times New Roman"/>
                <w:b/>
                <w:bCs/>
                <w:sz w:val="18"/>
                <w:szCs w:val="18"/>
              </w:rPr>
              <w:t>Initial Year</w:t>
            </w:r>
            <w:r w:rsidR="004037CA" w:rsidRPr="000973F2">
              <w:rPr>
                <w:rFonts w:ascii="Times New Roman" w:eastAsia="Times New Roman" w:hAnsi="Times New Roman" w:cs="Times New Roman"/>
                <w:b/>
                <w:bCs/>
                <w:sz w:val="18"/>
                <w:szCs w:val="18"/>
              </w:rPr>
              <w:t xml:space="preserve"> </w:t>
            </w:r>
            <w:r w:rsidRPr="000973F2">
              <w:rPr>
                <w:rFonts w:ascii="Times New Roman" w:eastAsia="Times New Roman" w:hAnsi="Times New Roman" w:cs="Times New Roman"/>
                <w:b/>
                <w:bCs/>
                <w:sz w:val="18"/>
                <w:szCs w:val="18"/>
              </w:rPr>
              <w:t>Hours</w:t>
            </w:r>
          </w:p>
        </w:tc>
        <w:tc>
          <w:tcPr>
            <w:tcW w:w="788" w:type="dxa"/>
            <w:tcMar>
              <w:left w:w="14" w:type="dxa"/>
              <w:right w:w="14" w:type="dxa"/>
            </w:tcMar>
            <w:hideMark/>
          </w:tcPr>
          <w:p w14:paraId="75194349" w14:textId="333FBEF6" w:rsidR="001B195A" w:rsidRPr="000973F2" w:rsidRDefault="001B195A" w:rsidP="004037CA">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18"/>
                <w:szCs w:val="18"/>
              </w:rPr>
            </w:pPr>
            <w:r w:rsidRPr="000973F2">
              <w:rPr>
                <w:rFonts w:ascii="Times New Roman" w:eastAsia="Times New Roman" w:hAnsi="Times New Roman" w:cs="Times New Roman"/>
                <w:b/>
                <w:bCs/>
                <w:sz w:val="18"/>
                <w:szCs w:val="18"/>
              </w:rPr>
              <w:t>Subseq. Year</w:t>
            </w:r>
            <w:r w:rsidR="004037CA" w:rsidRPr="000973F2">
              <w:rPr>
                <w:rFonts w:ascii="Times New Roman" w:eastAsia="Times New Roman" w:hAnsi="Times New Roman" w:cs="Times New Roman"/>
                <w:b/>
                <w:bCs/>
                <w:sz w:val="18"/>
                <w:szCs w:val="18"/>
              </w:rPr>
              <w:t xml:space="preserve"> </w:t>
            </w:r>
            <w:r w:rsidRPr="000973F2">
              <w:rPr>
                <w:rFonts w:ascii="Times New Roman" w:eastAsia="Times New Roman" w:hAnsi="Times New Roman" w:cs="Times New Roman"/>
                <w:b/>
                <w:bCs/>
                <w:sz w:val="18"/>
                <w:szCs w:val="18"/>
              </w:rPr>
              <w:t>Hours</w:t>
            </w:r>
          </w:p>
        </w:tc>
        <w:tc>
          <w:tcPr>
            <w:tcW w:w="787" w:type="dxa"/>
            <w:tcMar>
              <w:left w:w="14" w:type="dxa"/>
              <w:right w:w="14" w:type="dxa"/>
            </w:tcMar>
            <w:hideMark/>
          </w:tcPr>
          <w:p w14:paraId="1559EF70" w14:textId="6B6FB591" w:rsidR="001B195A" w:rsidRPr="000973F2" w:rsidRDefault="001B195A" w:rsidP="004037CA">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18"/>
                <w:szCs w:val="18"/>
              </w:rPr>
            </w:pPr>
            <w:r w:rsidRPr="000973F2">
              <w:rPr>
                <w:rFonts w:ascii="Times New Roman" w:eastAsia="Times New Roman" w:hAnsi="Times New Roman" w:cs="Times New Roman"/>
                <w:b/>
                <w:bCs/>
                <w:sz w:val="18"/>
                <w:szCs w:val="18"/>
              </w:rPr>
              <w:t xml:space="preserve">Initial </w:t>
            </w:r>
            <w:r w:rsidR="00132320" w:rsidRPr="000973F2">
              <w:rPr>
                <w:rFonts w:ascii="Times New Roman" w:eastAsia="Times New Roman" w:hAnsi="Times New Roman" w:cs="Times New Roman"/>
                <w:b/>
                <w:bCs/>
                <w:sz w:val="18"/>
                <w:szCs w:val="18"/>
              </w:rPr>
              <w:t>Year Hours</w:t>
            </w:r>
          </w:p>
        </w:tc>
        <w:tc>
          <w:tcPr>
            <w:tcW w:w="788" w:type="dxa"/>
            <w:tcMar>
              <w:left w:w="14" w:type="dxa"/>
              <w:right w:w="14" w:type="dxa"/>
            </w:tcMar>
            <w:hideMark/>
          </w:tcPr>
          <w:p w14:paraId="4E85F856" w14:textId="691F68C3" w:rsidR="001B195A" w:rsidRPr="000973F2" w:rsidRDefault="001B195A" w:rsidP="004037CA">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18"/>
                <w:szCs w:val="18"/>
              </w:rPr>
            </w:pPr>
            <w:r w:rsidRPr="000973F2">
              <w:rPr>
                <w:rFonts w:ascii="Times New Roman" w:eastAsia="Times New Roman" w:hAnsi="Times New Roman" w:cs="Times New Roman"/>
                <w:b/>
                <w:bCs/>
                <w:sz w:val="18"/>
                <w:szCs w:val="18"/>
              </w:rPr>
              <w:t>Subseq. Year</w:t>
            </w:r>
            <w:r w:rsidR="004037CA" w:rsidRPr="000973F2">
              <w:rPr>
                <w:rFonts w:ascii="Times New Roman" w:eastAsia="Times New Roman" w:hAnsi="Times New Roman" w:cs="Times New Roman"/>
                <w:b/>
                <w:bCs/>
                <w:sz w:val="18"/>
                <w:szCs w:val="18"/>
              </w:rPr>
              <w:t xml:space="preserve"> </w:t>
            </w:r>
            <w:r w:rsidRPr="000973F2">
              <w:rPr>
                <w:rFonts w:ascii="Times New Roman" w:eastAsia="Times New Roman" w:hAnsi="Times New Roman" w:cs="Times New Roman"/>
                <w:b/>
                <w:bCs/>
                <w:sz w:val="18"/>
                <w:szCs w:val="18"/>
              </w:rPr>
              <w:t>Hours</w:t>
            </w:r>
          </w:p>
        </w:tc>
        <w:tc>
          <w:tcPr>
            <w:tcW w:w="848" w:type="dxa"/>
            <w:tcMar>
              <w:left w:w="14" w:type="dxa"/>
              <w:right w:w="14" w:type="dxa"/>
            </w:tcMar>
            <w:hideMark/>
          </w:tcPr>
          <w:p w14:paraId="0494D3F6" w14:textId="77777777" w:rsidR="001B195A" w:rsidRPr="000973F2" w:rsidRDefault="001B195A" w:rsidP="004037CA">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18"/>
                <w:szCs w:val="18"/>
              </w:rPr>
            </w:pPr>
            <w:r w:rsidRPr="000973F2">
              <w:rPr>
                <w:rFonts w:ascii="Times New Roman" w:eastAsia="Times New Roman" w:hAnsi="Times New Roman" w:cs="Times New Roman"/>
                <w:b/>
                <w:bCs/>
                <w:sz w:val="18"/>
                <w:szCs w:val="18"/>
              </w:rPr>
              <w:t>Initial Year</w:t>
            </w:r>
          </w:p>
        </w:tc>
        <w:tc>
          <w:tcPr>
            <w:tcW w:w="848" w:type="dxa"/>
            <w:tcMar>
              <w:left w:w="14" w:type="dxa"/>
              <w:right w:w="14" w:type="dxa"/>
            </w:tcMar>
            <w:hideMark/>
          </w:tcPr>
          <w:p w14:paraId="5C943A3D" w14:textId="77777777" w:rsidR="001B195A" w:rsidRPr="000973F2" w:rsidRDefault="001B195A" w:rsidP="004037CA">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18"/>
                <w:szCs w:val="18"/>
              </w:rPr>
            </w:pPr>
            <w:r w:rsidRPr="000973F2">
              <w:rPr>
                <w:rFonts w:ascii="Times New Roman" w:eastAsia="Times New Roman" w:hAnsi="Times New Roman" w:cs="Times New Roman"/>
                <w:b/>
                <w:bCs/>
                <w:sz w:val="18"/>
                <w:szCs w:val="18"/>
              </w:rPr>
              <w:t>Subseq. Year</w:t>
            </w:r>
          </w:p>
        </w:tc>
      </w:tr>
      <w:tr w:rsidR="001B195A" w:rsidRPr="000973F2" w14:paraId="3FEF5800" w14:textId="77777777" w:rsidTr="004037CA">
        <w:tc>
          <w:tcPr>
            <w:cnfStyle w:val="001000000000" w:firstRow="0" w:lastRow="0" w:firstColumn="1" w:lastColumn="0" w:oddVBand="0" w:evenVBand="0" w:oddHBand="0" w:evenHBand="0" w:firstRowFirstColumn="0" w:firstRowLastColumn="0" w:lastRowFirstColumn="0" w:lastRowLastColumn="0"/>
            <w:tcW w:w="1335" w:type="dxa"/>
            <w:tcMar>
              <w:left w:w="115" w:type="dxa"/>
              <w:right w:w="14" w:type="dxa"/>
            </w:tcMar>
            <w:hideMark/>
          </w:tcPr>
          <w:p w14:paraId="1E6419F9" w14:textId="77777777" w:rsidR="001B195A" w:rsidRPr="000973F2" w:rsidRDefault="001B195A" w:rsidP="004037CA">
            <w:pPr>
              <w:spacing w:before="40" w:after="4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Planning</w:t>
            </w:r>
          </w:p>
        </w:tc>
        <w:tc>
          <w:tcPr>
            <w:tcW w:w="787" w:type="dxa"/>
            <w:noWrap/>
            <w:hideMark/>
          </w:tcPr>
          <w:p w14:paraId="01451950" w14:textId="77777777" w:rsidR="001B195A" w:rsidRPr="000973F2" w:rsidRDefault="001B195A" w:rsidP="004037CA">
            <w:pPr>
              <w:tabs>
                <w:tab w:val="decimal" w:pos="256"/>
              </w:tabs>
              <w:spacing w:before="40" w:after="4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hAnsi="Times New Roman" w:cs="Times New Roman"/>
                <w:sz w:val="18"/>
                <w:szCs w:val="18"/>
              </w:rPr>
              <w:t>1.2</w:t>
            </w:r>
          </w:p>
        </w:tc>
        <w:tc>
          <w:tcPr>
            <w:tcW w:w="787" w:type="dxa"/>
            <w:noWrap/>
            <w:hideMark/>
          </w:tcPr>
          <w:p w14:paraId="52E8B9D9" w14:textId="77777777" w:rsidR="001B195A" w:rsidRPr="000973F2" w:rsidRDefault="001B195A" w:rsidP="004037CA">
            <w:pPr>
              <w:tabs>
                <w:tab w:val="decimal" w:pos="256"/>
              </w:tabs>
              <w:spacing w:before="40" w:after="4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hAnsi="Times New Roman" w:cs="Times New Roman"/>
                <w:sz w:val="18"/>
                <w:szCs w:val="18"/>
              </w:rPr>
              <w:t>1.2</w:t>
            </w:r>
          </w:p>
        </w:tc>
        <w:tc>
          <w:tcPr>
            <w:tcW w:w="788" w:type="dxa"/>
            <w:noWrap/>
            <w:hideMark/>
          </w:tcPr>
          <w:p w14:paraId="452EA4FB" w14:textId="77777777" w:rsidR="001B195A" w:rsidRPr="000973F2" w:rsidRDefault="001B195A" w:rsidP="004037CA">
            <w:pPr>
              <w:tabs>
                <w:tab w:val="decimal" w:pos="256"/>
              </w:tabs>
              <w:spacing w:before="40" w:after="4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hAnsi="Times New Roman" w:cs="Times New Roman"/>
                <w:sz w:val="18"/>
                <w:szCs w:val="18"/>
              </w:rPr>
              <w:t>2.6</w:t>
            </w:r>
          </w:p>
        </w:tc>
        <w:tc>
          <w:tcPr>
            <w:tcW w:w="787" w:type="dxa"/>
            <w:noWrap/>
            <w:hideMark/>
          </w:tcPr>
          <w:p w14:paraId="297C0CBF" w14:textId="77777777" w:rsidR="001B195A" w:rsidRPr="000973F2" w:rsidRDefault="001B195A" w:rsidP="004037CA">
            <w:pPr>
              <w:tabs>
                <w:tab w:val="decimal" w:pos="256"/>
              </w:tabs>
              <w:spacing w:before="40" w:after="4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hAnsi="Times New Roman" w:cs="Times New Roman"/>
                <w:sz w:val="18"/>
                <w:szCs w:val="18"/>
              </w:rPr>
              <w:t>1.6</w:t>
            </w:r>
          </w:p>
        </w:tc>
        <w:tc>
          <w:tcPr>
            <w:tcW w:w="787" w:type="dxa"/>
            <w:noWrap/>
            <w:hideMark/>
          </w:tcPr>
          <w:p w14:paraId="1701D3E1" w14:textId="77777777" w:rsidR="001B195A" w:rsidRPr="000973F2" w:rsidRDefault="001B195A" w:rsidP="004037CA">
            <w:pPr>
              <w:tabs>
                <w:tab w:val="decimal" w:pos="361"/>
              </w:tabs>
              <w:spacing w:before="40" w:after="4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hAnsi="Times New Roman" w:cs="Times New Roman"/>
                <w:sz w:val="18"/>
                <w:szCs w:val="18"/>
              </w:rPr>
              <w:t>4.6</w:t>
            </w:r>
          </w:p>
        </w:tc>
        <w:tc>
          <w:tcPr>
            <w:tcW w:w="788" w:type="dxa"/>
            <w:noWrap/>
            <w:hideMark/>
          </w:tcPr>
          <w:p w14:paraId="3C2A2612" w14:textId="77777777" w:rsidR="001B195A" w:rsidRPr="000973F2" w:rsidRDefault="001B195A" w:rsidP="004037CA">
            <w:pPr>
              <w:tabs>
                <w:tab w:val="decimal" w:pos="361"/>
              </w:tabs>
              <w:spacing w:before="40" w:after="4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hAnsi="Times New Roman" w:cs="Times New Roman"/>
                <w:sz w:val="18"/>
                <w:szCs w:val="18"/>
              </w:rPr>
              <w:t>1.6</w:t>
            </w:r>
          </w:p>
        </w:tc>
        <w:tc>
          <w:tcPr>
            <w:tcW w:w="787" w:type="dxa"/>
            <w:noWrap/>
            <w:hideMark/>
          </w:tcPr>
          <w:p w14:paraId="38035762" w14:textId="77777777" w:rsidR="001B195A" w:rsidRPr="000973F2" w:rsidRDefault="001B195A" w:rsidP="004037CA">
            <w:pPr>
              <w:tabs>
                <w:tab w:val="decimal" w:pos="331"/>
              </w:tabs>
              <w:spacing w:before="40" w:after="4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hAnsi="Times New Roman" w:cs="Times New Roman"/>
                <w:sz w:val="18"/>
                <w:szCs w:val="18"/>
              </w:rPr>
              <w:t>2.0</w:t>
            </w:r>
          </w:p>
        </w:tc>
        <w:tc>
          <w:tcPr>
            <w:tcW w:w="788" w:type="dxa"/>
            <w:noWrap/>
            <w:hideMark/>
          </w:tcPr>
          <w:p w14:paraId="733C1215" w14:textId="77777777" w:rsidR="001B195A" w:rsidRPr="000973F2" w:rsidRDefault="001B195A" w:rsidP="004037CA">
            <w:pPr>
              <w:tabs>
                <w:tab w:val="decimal" w:pos="331"/>
              </w:tabs>
              <w:spacing w:before="40" w:after="4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hAnsi="Times New Roman" w:cs="Times New Roman"/>
                <w:sz w:val="18"/>
                <w:szCs w:val="18"/>
              </w:rPr>
              <w:t>0</w:t>
            </w:r>
          </w:p>
        </w:tc>
        <w:tc>
          <w:tcPr>
            <w:tcW w:w="848" w:type="dxa"/>
            <w:noWrap/>
            <w:hideMark/>
          </w:tcPr>
          <w:p w14:paraId="628E9468" w14:textId="26F8817E" w:rsidR="001B195A" w:rsidRPr="000973F2" w:rsidRDefault="001B195A" w:rsidP="004037CA">
            <w:pPr>
              <w:tabs>
                <w:tab w:val="decimal" w:pos="616"/>
              </w:tabs>
              <w:spacing w:before="40" w:after="4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hAnsi="Times New Roman" w:cs="Times New Roman"/>
                <w:sz w:val="18"/>
                <w:szCs w:val="18"/>
              </w:rPr>
              <w:t>$726</w:t>
            </w:r>
          </w:p>
        </w:tc>
        <w:tc>
          <w:tcPr>
            <w:tcW w:w="848" w:type="dxa"/>
            <w:noWrap/>
            <w:hideMark/>
          </w:tcPr>
          <w:p w14:paraId="12E03F76" w14:textId="268C9804" w:rsidR="001B195A" w:rsidRPr="000973F2" w:rsidRDefault="001B195A" w:rsidP="004037CA">
            <w:pPr>
              <w:tabs>
                <w:tab w:val="decimal" w:pos="616"/>
              </w:tabs>
              <w:spacing w:before="40" w:after="4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hAnsi="Times New Roman" w:cs="Times New Roman"/>
                <w:sz w:val="18"/>
                <w:szCs w:val="18"/>
              </w:rPr>
              <w:t>$388</w:t>
            </w:r>
          </w:p>
        </w:tc>
      </w:tr>
      <w:tr w:rsidR="004037CA" w:rsidRPr="000973F2" w14:paraId="00EF4693" w14:textId="77777777" w:rsidTr="004037C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35" w:type="dxa"/>
            <w:tcMar>
              <w:left w:w="115" w:type="dxa"/>
              <w:right w:w="14" w:type="dxa"/>
            </w:tcMar>
            <w:hideMark/>
          </w:tcPr>
          <w:p w14:paraId="5C0FD270" w14:textId="77777777" w:rsidR="001B195A" w:rsidRPr="000973F2" w:rsidRDefault="001B195A" w:rsidP="004037CA">
            <w:pPr>
              <w:spacing w:before="40" w:after="4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QA/QC</w:t>
            </w:r>
          </w:p>
        </w:tc>
        <w:tc>
          <w:tcPr>
            <w:tcW w:w="787" w:type="dxa"/>
            <w:noWrap/>
            <w:hideMark/>
          </w:tcPr>
          <w:p w14:paraId="6608F5BE" w14:textId="77777777" w:rsidR="001B195A" w:rsidRPr="000973F2" w:rsidRDefault="001B195A" w:rsidP="004037CA">
            <w:pPr>
              <w:tabs>
                <w:tab w:val="decimal" w:pos="256"/>
              </w:tabs>
              <w:spacing w:before="40" w:after="4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hAnsi="Times New Roman" w:cs="Times New Roman"/>
                <w:sz w:val="18"/>
                <w:szCs w:val="18"/>
              </w:rPr>
              <w:t>0</w:t>
            </w:r>
          </w:p>
        </w:tc>
        <w:tc>
          <w:tcPr>
            <w:tcW w:w="787" w:type="dxa"/>
            <w:noWrap/>
            <w:hideMark/>
          </w:tcPr>
          <w:p w14:paraId="00C858D0" w14:textId="77777777" w:rsidR="001B195A" w:rsidRPr="000973F2" w:rsidRDefault="001B195A" w:rsidP="004037CA">
            <w:pPr>
              <w:tabs>
                <w:tab w:val="decimal" w:pos="256"/>
              </w:tabs>
              <w:spacing w:before="40" w:after="4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hAnsi="Times New Roman" w:cs="Times New Roman"/>
                <w:sz w:val="18"/>
                <w:szCs w:val="18"/>
              </w:rPr>
              <w:t>0</w:t>
            </w:r>
          </w:p>
        </w:tc>
        <w:tc>
          <w:tcPr>
            <w:tcW w:w="788" w:type="dxa"/>
            <w:noWrap/>
            <w:hideMark/>
          </w:tcPr>
          <w:p w14:paraId="2103CE6C" w14:textId="77777777" w:rsidR="001B195A" w:rsidRPr="000973F2" w:rsidRDefault="001B195A" w:rsidP="004037CA">
            <w:pPr>
              <w:tabs>
                <w:tab w:val="decimal" w:pos="256"/>
              </w:tabs>
              <w:spacing w:before="40" w:after="4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hAnsi="Times New Roman" w:cs="Times New Roman"/>
                <w:sz w:val="18"/>
                <w:szCs w:val="18"/>
              </w:rPr>
              <w:t>1.0</w:t>
            </w:r>
          </w:p>
        </w:tc>
        <w:tc>
          <w:tcPr>
            <w:tcW w:w="787" w:type="dxa"/>
            <w:noWrap/>
            <w:hideMark/>
          </w:tcPr>
          <w:p w14:paraId="2A12DB2E" w14:textId="77777777" w:rsidR="001B195A" w:rsidRPr="000973F2" w:rsidRDefault="001B195A" w:rsidP="004037CA">
            <w:pPr>
              <w:tabs>
                <w:tab w:val="decimal" w:pos="256"/>
              </w:tabs>
              <w:spacing w:before="40" w:after="4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hAnsi="Times New Roman" w:cs="Times New Roman"/>
                <w:sz w:val="18"/>
                <w:szCs w:val="18"/>
              </w:rPr>
              <w:t>1.0</w:t>
            </w:r>
          </w:p>
        </w:tc>
        <w:tc>
          <w:tcPr>
            <w:tcW w:w="787" w:type="dxa"/>
            <w:noWrap/>
            <w:hideMark/>
          </w:tcPr>
          <w:p w14:paraId="306F3FCD" w14:textId="77777777" w:rsidR="001B195A" w:rsidRPr="000973F2" w:rsidRDefault="001B195A" w:rsidP="004037CA">
            <w:pPr>
              <w:tabs>
                <w:tab w:val="decimal" w:pos="361"/>
              </w:tabs>
              <w:spacing w:before="40" w:after="4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hAnsi="Times New Roman" w:cs="Times New Roman"/>
                <w:sz w:val="18"/>
                <w:szCs w:val="18"/>
              </w:rPr>
              <w:t>5.0</w:t>
            </w:r>
          </w:p>
        </w:tc>
        <w:tc>
          <w:tcPr>
            <w:tcW w:w="788" w:type="dxa"/>
            <w:noWrap/>
            <w:hideMark/>
          </w:tcPr>
          <w:p w14:paraId="36EF73A0" w14:textId="77777777" w:rsidR="001B195A" w:rsidRPr="000973F2" w:rsidRDefault="001B195A" w:rsidP="004037CA">
            <w:pPr>
              <w:tabs>
                <w:tab w:val="decimal" w:pos="361"/>
              </w:tabs>
              <w:spacing w:before="40" w:after="4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hAnsi="Times New Roman" w:cs="Times New Roman"/>
                <w:sz w:val="18"/>
                <w:szCs w:val="18"/>
              </w:rPr>
              <w:t>5.0</w:t>
            </w:r>
          </w:p>
        </w:tc>
        <w:tc>
          <w:tcPr>
            <w:tcW w:w="787" w:type="dxa"/>
            <w:noWrap/>
            <w:hideMark/>
          </w:tcPr>
          <w:p w14:paraId="1B33A2A6" w14:textId="77777777" w:rsidR="001B195A" w:rsidRPr="000973F2" w:rsidRDefault="001B195A" w:rsidP="004037CA">
            <w:pPr>
              <w:tabs>
                <w:tab w:val="decimal" w:pos="331"/>
              </w:tabs>
              <w:spacing w:before="40" w:after="4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hAnsi="Times New Roman" w:cs="Times New Roman"/>
                <w:sz w:val="18"/>
                <w:szCs w:val="18"/>
              </w:rPr>
              <w:t>0.5</w:t>
            </w:r>
          </w:p>
        </w:tc>
        <w:tc>
          <w:tcPr>
            <w:tcW w:w="788" w:type="dxa"/>
            <w:noWrap/>
            <w:hideMark/>
          </w:tcPr>
          <w:p w14:paraId="26F36A1C" w14:textId="77777777" w:rsidR="001B195A" w:rsidRPr="000973F2" w:rsidRDefault="001B195A" w:rsidP="004037CA">
            <w:pPr>
              <w:tabs>
                <w:tab w:val="decimal" w:pos="331"/>
              </w:tabs>
              <w:spacing w:before="40" w:after="4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hAnsi="Times New Roman" w:cs="Times New Roman"/>
                <w:sz w:val="18"/>
                <w:szCs w:val="18"/>
              </w:rPr>
              <w:t>0.5</w:t>
            </w:r>
          </w:p>
        </w:tc>
        <w:tc>
          <w:tcPr>
            <w:tcW w:w="848" w:type="dxa"/>
            <w:noWrap/>
            <w:hideMark/>
          </w:tcPr>
          <w:p w14:paraId="633A89AA" w14:textId="7AB091BD" w:rsidR="001B195A" w:rsidRPr="000973F2" w:rsidRDefault="001B195A" w:rsidP="004037CA">
            <w:pPr>
              <w:tabs>
                <w:tab w:val="decimal" w:pos="616"/>
              </w:tabs>
              <w:spacing w:before="40" w:after="4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hAnsi="Times New Roman" w:cs="Times New Roman"/>
                <w:sz w:val="18"/>
                <w:szCs w:val="18"/>
              </w:rPr>
              <w:t>$463</w:t>
            </w:r>
          </w:p>
        </w:tc>
        <w:tc>
          <w:tcPr>
            <w:tcW w:w="848" w:type="dxa"/>
            <w:noWrap/>
            <w:hideMark/>
          </w:tcPr>
          <w:p w14:paraId="57C02243" w14:textId="62D3FA04" w:rsidR="001B195A" w:rsidRPr="000973F2" w:rsidRDefault="001B195A" w:rsidP="004037CA">
            <w:pPr>
              <w:tabs>
                <w:tab w:val="decimal" w:pos="616"/>
              </w:tabs>
              <w:spacing w:before="40" w:after="4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hAnsi="Times New Roman" w:cs="Times New Roman"/>
                <w:sz w:val="18"/>
                <w:szCs w:val="18"/>
              </w:rPr>
              <w:t>$463</w:t>
            </w:r>
          </w:p>
        </w:tc>
      </w:tr>
      <w:tr w:rsidR="001B195A" w:rsidRPr="000973F2" w14:paraId="14C1EC0F" w14:textId="77777777" w:rsidTr="004037CA">
        <w:tc>
          <w:tcPr>
            <w:cnfStyle w:val="001000000000" w:firstRow="0" w:lastRow="0" w:firstColumn="1" w:lastColumn="0" w:oddVBand="0" w:evenVBand="0" w:oddHBand="0" w:evenHBand="0" w:firstRowFirstColumn="0" w:firstRowLastColumn="0" w:lastRowFirstColumn="0" w:lastRowLastColumn="0"/>
            <w:tcW w:w="1335" w:type="dxa"/>
            <w:tcMar>
              <w:left w:w="115" w:type="dxa"/>
              <w:right w:w="14" w:type="dxa"/>
            </w:tcMar>
            <w:hideMark/>
          </w:tcPr>
          <w:p w14:paraId="76732DE5" w14:textId="77777777" w:rsidR="001B195A" w:rsidRPr="000973F2" w:rsidRDefault="001B195A" w:rsidP="004037CA">
            <w:pPr>
              <w:spacing w:before="40" w:after="4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Recordkeeping</w:t>
            </w:r>
          </w:p>
        </w:tc>
        <w:tc>
          <w:tcPr>
            <w:tcW w:w="787" w:type="dxa"/>
            <w:noWrap/>
            <w:hideMark/>
          </w:tcPr>
          <w:p w14:paraId="3BB4A8BF" w14:textId="77777777" w:rsidR="001B195A" w:rsidRPr="000973F2" w:rsidRDefault="001B195A" w:rsidP="004037CA">
            <w:pPr>
              <w:tabs>
                <w:tab w:val="decimal" w:pos="256"/>
              </w:tabs>
              <w:spacing w:before="40" w:after="4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hAnsi="Times New Roman" w:cs="Times New Roman"/>
                <w:sz w:val="18"/>
                <w:szCs w:val="18"/>
              </w:rPr>
              <w:t>0</w:t>
            </w:r>
          </w:p>
        </w:tc>
        <w:tc>
          <w:tcPr>
            <w:tcW w:w="787" w:type="dxa"/>
            <w:noWrap/>
            <w:hideMark/>
          </w:tcPr>
          <w:p w14:paraId="1CBA84D3" w14:textId="77777777" w:rsidR="001B195A" w:rsidRPr="000973F2" w:rsidRDefault="001B195A" w:rsidP="004037CA">
            <w:pPr>
              <w:tabs>
                <w:tab w:val="decimal" w:pos="256"/>
              </w:tabs>
              <w:spacing w:before="40" w:after="4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hAnsi="Times New Roman" w:cs="Times New Roman"/>
                <w:sz w:val="18"/>
                <w:szCs w:val="18"/>
              </w:rPr>
              <w:t>0</w:t>
            </w:r>
          </w:p>
        </w:tc>
        <w:tc>
          <w:tcPr>
            <w:tcW w:w="788" w:type="dxa"/>
            <w:noWrap/>
            <w:hideMark/>
          </w:tcPr>
          <w:p w14:paraId="3A865989" w14:textId="77777777" w:rsidR="001B195A" w:rsidRPr="000973F2" w:rsidRDefault="001B195A" w:rsidP="004037CA">
            <w:pPr>
              <w:tabs>
                <w:tab w:val="decimal" w:pos="256"/>
              </w:tabs>
              <w:spacing w:before="40" w:after="4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hAnsi="Times New Roman" w:cs="Times New Roman"/>
                <w:sz w:val="18"/>
                <w:szCs w:val="18"/>
              </w:rPr>
              <w:t>1.0</w:t>
            </w:r>
          </w:p>
        </w:tc>
        <w:tc>
          <w:tcPr>
            <w:tcW w:w="787" w:type="dxa"/>
            <w:noWrap/>
            <w:hideMark/>
          </w:tcPr>
          <w:p w14:paraId="4F25B02A" w14:textId="77777777" w:rsidR="001B195A" w:rsidRPr="000973F2" w:rsidRDefault="001B195A" w:rsidP="004037CA">
            <w:pPr>
              <w:tabs>
                <w:tab w:val="decimal" w:pos="256"/>
              </w:tabs>
              <w:spacing w:before="40" w:after="4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hAnsi="Times New Roman" w:cs="Times New Roman"/>
                <w:sz w:val="18"/>
                <w:szCs w:val="18"/>
              </w:rPr>
              <w:t>1.0</w:t>
            </w:r>
          </w:p>
        </w:tc>
        <w:tc>
          <w:tcPr>
            <w:tcW w:w="787" w:type="dxa"/>
            <w:noWrap/>
            <w:hideMark/>
          </w:tcPr>
          <w:p w14:paraId="73E41B77" w14:textId="77777777" w:rsidR="001B195A" w:rsidRPr="000973F2" w:rsidRDefault="001B195A" w:rsidP="004037CA">
            <w:pPr>
              <w:tabs>
                <w:tab w:val="decimal" w:pos="361"/>
              </w:tabs>
              <w:spacing w:before="40" w:after="4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hAnsi="Times New Roman" w:cs="Times New Roman"/>
                <w:sz w:val="18"/>
                <w:szCs w:val="18"/>
              </w:rPr>
              <w:t>13.0</w:t>
            </w:r>
          </w:p>
        </w:tc>
        <w:tc>
          <w:tcPr>
            <w:tcW w:w="788" w:type="dxa"/>
            <w:noWrap/>
            <w:hideMark/>
          </w:tcPr>
          <w:p w14:paraId="10FE86C4" w14:textId="77777777" w:rsidR="001B195A" w:rsidRPr="000973F2" w:rsidRDefault="001B195A" w:rsidP="004037CA">
            <w:pPr>
              <w:tabs>
                <w:tab w:val="decimal" w:pos="361"/>
              </w:tabs>
              <w:spacing w:before="40" w:after="4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hAnsi="Times New Roman" w:cs="Times New Roman"/>
                <w:sz w:val="18"/>
                <w:szCs w:val="18"/>
              </w:rPr>
              <w:t>13.0</w:t>
            </w:r>
          </w:p>
        </w:tc>
        <w:tc>
          <w:tcPr>
            <w:tcW w:w="787" w:type="dxa"/>
            <w:noWrap/>
            <w:hideMark/>
          </w:tcPr>
          <w:p w14:paraId="0F84BB4A" w14:textId="77777777" w:rsidR="001B195A" w:rsidRPr="000973F2" w:rsidRDefault="001B195A" w:rsidP="004037CA">
            <w:pPr>
              <w:tabs>
                <w:tab w:val="decimal" w:pos="331"/>
              </w:tabs>
              <w:spacing w:before="40" w:after="4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hAnsi="Times New Roman" w:cs="Times New Roman"/>
                <w:sz w:val="18"/>
                <w:szCs w:val="18"/>
              </w:rPr>
              <w:t>1.0</w:t>
            </w:r>
          </w:p>
        </w:tc>
        <w:tc>
          <w:tcPr>
            <w:tcW w:w="788" w:type="dxa"/>
            <w:noWrap/>
            <w:hideMark/>
          </w:tcPr>
          <w:p w14:paraId="7211AE31" w14:textId="77777777" w:rsidR="001B195A" w:rsidRPr="000973F2" w:rsidRDefault="001B195A" w:rsidP="004037CA">
            <w:pPr>
              <w:tabs>
                <w:tab w:val="decimal" w:pos="331"/>
              </w:tabs>
              <w:spacing w:before="40" w:after="4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hAnsi="Times New Roman" w:cs="Times New Roman"/>
                <w:sz w:val="18"/>
                <w:szCs w:val="18"/>
              </w:rPr>
              <w:t>1.0</w:t>
            </w:r>
          </w:p>
        </w:tc>
        <w:tc>
          <w:tcPr>
            <w:tcW w:w="848" w:type="dxa"/>
            <w:noWrap/>
            <w:hideMark/>
          </w:tcPr>
          <w:p w14:paraId="2B54835D" w14:textId="792B5D1E" w:rsidR="001B195A" w:rsidRPr="000973F2" w:rsidRDefault="001B195A" w:rsidP="004037CA">
            <w:pPr>
              <w:tabs>
                <w:tab w:val="decimal" w:pos="616"/>
              </w:tabs>
              <w:spacing w:before="40" w:after="4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hAnsi="Times New Roman" w:cs="Times New Roman"/>
                <w:sz w:val="18"/>
                <w:szCs w:val="18"/>
              </w:rPr>
              <w:t>$1,053</w:t>
            </w:r>
          </w:p>
        </w:tc>
        <w:tc>
          <w:tcPr>
            <w:tcW w:w="848" w:type="dxa"/>
            <w:noWrap/>
            <w:hideMark/>
          </w:tcPr>
          <w:p w14:paraId="64406079" w14:textId="0FA036CC" w:rsidR="001B195A" w:rsidRPr="000973F2" w:rsidRDefault="001B195A" w:rsidP="004037CA">
            <w:pPr>
              <w:tabs>
                <w:tab w:val="decimal" w:pos="616"/>
              </w:tabs>
              <w:spacing w:before="40" w:after="4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hAnsi="Times New Roman" w:cs="Times New Roman"/>
                <w:sz w:val="18"/>
                <w:szCs w:val="18"/>
              </w:rPr>
              <w:t>$1,053</w:t>
            </w:r>
          </w:p>
        </w:tc>
      </w:tr>
      <w:tr w:rsidR="004037CA" w:rsidRPr="000973F2" w14:paraId="26F2848E" w14:textId="77777777" w:rsidTr="004037C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35" w:type="dxa"/>
            <w:tcMar>
              <w:left w:w="115" w:type="dxa"/>
              <w:right w:w="14" w:type="dxa"/>
            </w:tcMar>
            <w:hideMark/>
          </w:tcPr>
          <w:p w14:paraId="6E89B6B7" w14:textId="77777777" w:rsidR="001B195A" w:rsidRPr="000973F2" w:rsidRDefault="001B195A" w:rsidP="004037CA">
            <w:pPr>
              <w:spacing w:before="40" w:after="4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Sampling and Analysis (Calculations)</w:t>
            </w:r>
          </w:p>
        </w:tc>
        <w:tc>
          <w:tcPr>
            <w:tcW w:w="787" w:type="dxa"/>
            <w:noWrap/>
            <w:hideMark/>
          </w:tcPr>
          <w:p w14:paraId="34337E52" w14:textId="77777777" w:rsidR="001B195A" w:rsidRPr="000973F2" w:rsidRDefault="001B195A" w:rsidP="004037CA">
            <w:pPr>
              <w:tabs>
                <w:tab w:val="decimal" w:pos="256"/>
              </w:tabs>
              <w:spacing w:before="40" w:after="4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hAnsi="Times New Roman" w:cs="Times New Roman"/>
                <w:sz w:val="18"/>
                <w:szCs w:val="18"/>
              </w:rPr>
              <w:t>0</w:t>
            </w:r>
          </w:p>
        </w:tc>
        <w:tc>
          <w:tcPr>
            <w:tcW w:w="787" w:type="dxa"/>
            <w:noWrap/>
            <w:hideMark/>
          </w:tcPr>
          <w:p w14:paraId="3681E2BC" w14:textId="77777777" w:rsidR="001B195A" w:rsidRPr="000973F2" w:rsidRDefault="001B195A" w:rsidP="004037CA">
            <w:pPr>
              <w:tabs>
                <w:tab w:val="decimal" w:pos="256"/>
              </w:tabs>
              <w:spacing w:before="40" w:after="4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hAnsi="Times New Roman" w:cs="Times New Roman"/>
                <w:sz w:val="18"/>
                <w:szCs w:val="18"/>
              </w:rPr>
              <w:t>0</w:t>
            </w:r>
          </w:p>
        </w:tc>
        <w:tc>
          <w:tcPr>
            <w:tcW w:w="788" w:type="dxa"/>
            <w:noWrap/>
            <w:hideMark/>
          </w:tcPr>
          <w:p w14:paraId="2FE4230F" w14:textId="77777777" w:rsidR="001B195A" w:rsidRPr="000973F2" w:rsidRDefault="001B195A" w:rsidP="004037CA">
            <w:pPr>
              <w:tabs>
                <w:tab w:val="decimal" w:pos="256"/>
              </w:tabs>
              <w:spacing w:before="40" w:after="4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hAnsi="Times New Roman" w:cs="Times New Roman"/>
                <w:sz w:val="18"/>
                <w:szCs w:val="18"/>
              </w:rPr>
              <w:t>11.9</w:t>
            </w:r>
          </w:p>
        </w:tc>
        <w:tc>
          <w:tcPr>
            <w:tcW w:w="787" w:type="dxa"/>
            <w:noWrap/>
            <w:hideMark/>
          </w:tcPr>
          <w:p w14:paraId="5E21CB57" w14:textId="77777777" w:rsidR="001B195A" w:rsidRPr="000973F2" w:rsidRDefault="001B195A" w:rsidP="004037CA">
            <w:pPr>
              <w:tabs>
                <w:tab w:val="decimal" w:pos="256"/>
              </w:tabs>
              <w:spacing w:before="40" w:after="4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hAnsi="Times New Roman" w:cs="Times New Roman"/>
                <w:sz w:val="18"/>
                <w:szCs w:val="18"/>
              </w:rPr>
              <w:t>11.9</w:t>
            </w:r>
          </w:p>
        </w:tc>
        <w:tc>
          <w:tcPr>
            <w:tcW w:w="787" w:type="dxa"/>
            <w:noWrap/>
            <w:hideMark/>
          </w:tcPr>
          <w:p w14:paraId="5182C117" w14:textId="77777777" w:rsidR="001B195A" w:rsidRPr="000973F2" w:rsidRDefault="001B195A" w:rsidP="004037CA">
            <w:pPr>
              <w:tabs>
                <w:tab w:val="decimal" w:pos="361"/>
              </w:tabs>
              <w:spacing w:before="40" w:after="4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hAnsi="Times New Roman" w:cs="Times New Roman"/>
                <w:sz w:val="18"/>
                <w:szCs w:val="18"/>
              </w:rPr>
              <w:t>183.3</w:t>
            </w:r>
          </w:p>
        </w:tc>
        <w:tc>
          <w:tcPr>
            <w:tcW w:w="788" w:type="dxa"/>
            <w:noWrap/>
            <w:hideMark/>
          </w:tcPr>
          <w:p w14:paraId="20366C32" w14:textId="77777777" w:rsidR="001B195A" w:rsidRPr="000973F2" w:rsidRDefault="001B195A" w:rsidP="004037CA">
            <w:pPr>
              <w:tabs>
                <w:tab w:val="decimal" w:pos="361"/>
              </w:tabs>
              <w:spacing w:before="40" w:after="4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hAnsi="Times New Roman" w:cs="Times New Roman"/>
                <w:sz w:val="18"/>
                <w:szCs w:val="18"/>
              </w:rPr>
              <w:t>163.3</w:t>
            </w:r>
          </w:p>
        </w:tc>
        <w:tc>
          <w:tcPr>
            <w:tcW w:w="787" w:type="dxa"/>
            <w:noWrap/>
            <w:hideMark/>
          </w:tcPr>
          <w:p w14:paraId="62E16FA9" w14:textId="77777777" w:rsidR="001B195A" w:rsidRPr="000973F2" w:rsidRDefault="001B195A" w:rsidP="004037CA">
            <w:pPr>
              <w:tabs>
                <w:tab w:val="decimal" w:pos="331"/>
              </w:tabs>
              <w:spacing w:before="40" w:after="4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hAnsi="Times New Roman" w:cs="Times New Roman"/>
                <w:sz w:val="18"/>
                <w:szCs w:val="18"/>
              </w:rPr>
              <w:t>7.4</w:t>
            </w:r>
          </w:p>
        </w:tc>
        <w:tc>
          <w:tcPr>
            <w:tcW w:w="788" w:type="dxa"/>
            <w:noWrap/>
            <w:hideMark/>
          </w:tcPr>
          <w:p w14:paraId="7D859AC1" w14:textId="77777777" w:rsidR="001B195A" w:rsidRPr="000973F2" w:rsidRDefault="001B195A" w:rsidP="004037CA">
            <w:pPr>
              <w:tabs>
                <w:tab w:val="decimal" w:pos="331"/>
              </w:tabs>
              <w:spacing w:before="40" w:after="4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hAnsi="Times New Roman" w:cs="Times New Roman"/>
                <w:sz w:val="18"/>
                <w:szCs w:val="18"/>
              </w:rPr>
              <w:t>7.4</w:t>
            </w:r>
          </w:p>
        </w:tc>
        <w:tc>
          <w:tcPr>
            <w:tcW w:w="848" w:type="dxa"/>
            <w:noWrap/>
            <w:hideMark/>
          </w:tcPr>
          <w:p w14:paraId="098EE1B1" w14:textId="1062DCFF" w:rsidR="001B195A" w:rsidRPr="000973F2" w:rsidRDefault="001B195A" w:rsidP="004037CA">
            <w:pPr>
              <w:tabs>
                <w:tab w:val="decimal" w:pos="616"/>
              </w:tabs>
              <w:spacing w:before="40" w:after="4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hAnsi="Times New Roman" w:cs="Times New Roman"/>
                <w:sz w:val="18"/>
                <w:szCs w:val="18"/>
              </w:rPr>
              <w:t>$14,403</w:t>
            </w:r>
          </w:p>
        </w:tc>
        <w:tc>
          <w:tcPr>
            <w:tcW w:w="848" w:type="dxa"/>
            <w:noWrap/>
            <w:hideMark/>
          </w:tcPr>
          <w:p w14:paraId="4974F547" w14:textId="3BC4CE8C" w:rsidR="001B195A" w:rsidRPr="000973F2" w:rsidRDefault="001B195A" w:rsidP="004037CA">
            <w:pPr>
              <w:tabs>
                <w:tab w:val="decimal" w:pos="616"/>
              </w:tabs>
              <w:spacing w:before="40" w:after="4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hAnsi="Times New Roman" w:cs="Times New Roman"/>
                <w:sz w:val="18"/>
                <w:szCs w:val="18"/>
              </w:rPr>
              <w:t>$12,974</w:t>
            </w:r>
          </w:p>
        </w:tc>
      </w:tr>
      <w:tr w:rsidR="001B195A" w:rsidRPr="000973F2" w14:paraId="579F4CDF" w14:textId="77777777" w:rsidTr="004037CA">
        <w:tc>
          <w:tcPr>
            <w:cnfStyle w:val="001000000000" w:firstRow="0" w:lastRow="0" w:firstColumn="1" w:lastColumn="0" w:oddVBand="0" w:evenVBand="0" w:oddHBand="0" w:evenHBand="0" w:firstRowFirstColumn="0" w:firstRowLastColumn="0" w:lastRowFirstColumn="0" w:lastRowLastColumn="0"/>
            <w:tcW w:w="1335" w:type="dxa"/>
            <w:tcMar>
              <w:left w:w="115" w:type="dxa"/>
              <w:right w:w="14" w:type="dxa"/>
            </w:tcMar>
            <w:hideMark/>
          </w:tcPr>
          <w:p w14:paraId="40D3F44F" w14:textId="77777777" w:rsidR="001B195A" w:rsidRPr="000973F2" w:rsidRDefault="001B195A" w:rsidP="004037CA">
            <w:pPr>
              <w:spacing w:before="40" w:after="4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Reporting</w:t>
            </w:r>
          </w:p>
        </w:tc>
        <w:tc>
          <w:tcPr>
            <w:tcW w:w="787" w:type="dxa"/>
            <w:noWrap/>
            <w:hideMark/>
          </w:tcPr>
          <w:p w14:paraId="1E50416F" w14:textId="77777777" w:rsidR="001B195A" w:rsidRPr="000973F2" w:rsidRDefault="001B195A" w:rsidP="004037CA">
            <w:pPr>
              <w:tabs>
                <w:tab w:val="decimal" w:pos="256"/>
              </w:tabs>
              <w:spacing w:before="40" w:after="4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hAnsi="Times New Roman" w:cs="Times New Roman"/>
                <w:sz w:val="18"/>
                <w:szCs w:val="18"/>
              </w:rPr>
              <w:t>0</w:t>
            </w:r>
          </w:p>
        </w:tc>
        <w:tc>
          <w:tcPr>
            <w:tcW w:w="787" w:type="dxa"/>
            <w:noWrap/>
            <w:hideMark/>
          </w:tcPr>
          <w:p w14:paraId="07EB04C9" w14:textId="77777777" w:rsidR="001B195A" w:rsidRPr="000973F2" w:rsidRDefault="001B195A" w:rsidP="004037CA">
            <w:pPr>
              <w:tabs>
                <w:tab w:val="decimal" w:pos="256"/>
              </w:tabs>
              <w:spacing w:before="40" w:after="4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hAnsi="Times New Roman" w:cs="Times New Roman"/>
                <w:sz w:val="18"/>
                <w:szCs w:val="18"/>
              </w:rPr>
              <w:t>0</w:t>
            </w:r>
          </w:p>
        </w:tc>
        <w:tc>
          <w:tcPr>
            <w:tcW w:w="788" w:type="dxa"/>
            <w:noWrap/>
            <w:hideMark/>
          </w:tcPr>
          <w:p w14:paraId="5E23551B" w14:textId="77777777" w:rsidR="001B195A" w:rsidRPr="000973F2" w:rsidRDefault="001B195A" w:rsidP="004037CA">
            <w:pPr>
              <w:tabs>
                <w:tab w:val="decimal" w:pos="256"/>
              </w:tabs>
              <w:spacing w:before="40" w:after="4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hAnsi="Times New Roman" w:cs="Times New Roman"/>
                <w:sz w:val="18"/>
                <w:szCs w:val="18"/>
              </w:rPr>
              <w:t>2.0</w:t>
            </w:r>
          </w:p>
        </w:tc>
        <w:tc>
          <w:tcPr>
            <w:tcW w:w="787" w:type="dxa"/>
            <w:noWrap/>
            <w:hideMark/>
          </w:tcPr>
          <w:p w14:paraId="0C84CE98" w14:textId="77777777" w:rsidR="001B195A" w:rsidRPr="000973F2" w:rsidRDefault="001B195A" w:rsidP="004037CA">
            <w:pPr>
              <w:tabs>
                <w:tab w:val="decimal" w:pos="256"/>
              </w:tabs>
              <w:spacing w:before="40" w:after="4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hAnsi="Times New Roman" w:cs="Times New Roman"/>
                <w:sz w:val="18"/>
                <w:szCs w:val="18"/>
              </w:rPr>
              <w:t>2.0</w:t>
            </w:r>
          </w:p>
        </w:tc>
        <w:tc>
          <w:tcPr>
            <w:tcW w:w="787" w:type="dxa"/>
            <w:noWrap/>
            <w:hideMark/>
          </w:tcPr>
          <w:p w14:paraId="5DF65244" w14:textId="77777777" w:rsidR="001B195A" w:rsidRPr="000973F2" w:rsidRDefault="001B195A" w:rsidP="004037CA">
            <w:pPr>
              <w:tabs>
                <w:tab w:val="decimal" w:pos="361"/>
              </w:tabs>
              <w:spacing w:before="40" w:after="4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hAnsi="Times New Roman" w:cs="Times New Roman"/>
                <w:sz w:val="18"/>
                <w:szCs w:val="18"/>
              </w:rPr>
              <w:t>26.0</w:t>
            </w:r>
          </w:p>
        </w:tc>
        <w:tc>
          <w:tcPr>
            <w:tcW w:w="788" w:type="dxa"/>
            <w:noWrap/>
            <w:hideMark/>
          </w:tcPr>
          <w:p w14:paraId="4DBEEB9F" w14:textId="77777777" w:rsidR="001B195A" w:rsidRPr="000973F2" w:rsidRDefault="001B195A" w:rsidP="004037CA">
            <w:pPr>
              <w:tabs>
                <w:tab w:val="decimal" w:pos="361"/>
              </w:tabs>
              <w:spacing w:before="40" w:after="4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hAnsi="Times New Roman" w:cs="Times New Roman"/>
                <w:sz w:val="18"/>
                <w:szCs w:val="18"/>
              </w:rPr>
              <w:t>26.0</w:t>
            </w:r>
          </w:p>
        </w:tc>
        <w:tc>
          <w:tcPr>
            <w:tcW w:w="787" w:type="dxa"/>
            <w:noWrap/>
            <w:hideMark/>
          </w:tcPr>
          <w:p w14:paraId="30620256" w14:textId="77777777" w:rsidR="001B195A" w:rsidRPr="000973F2" w:rsidRDefault="001B195A" w:rsidP="004037CA">
            <w:pPr>
              <w:tabs>
                <w:tab w:val="decimal" w:pos="331"/>
              </w:tabs>
              <w:spacing w:before="40" w:after="4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hAnsi="Times New Roman" w:cs="Times New Roman"/>
                <w:sz w:val="18"/>
                <w:szCs w:val="18"/>
              </w:rPr>
              <w:t>1.0</w:t>
            </w:r>
          </w:p>
        </w:tc>
        <w:tc>
          <w:tcPr>
            <w:tcW w:w="788" w:type="dxa"/>
            <w:noWrap/>
            <w:hideMark/>
          </w:tcPr>
          <w:p w14:paraId="3B007356" w14:textId="77777777" w:rsidR="001B195A" w:rsidRPr="000973F2" w:rsidRDefault="001B195A" w:rsidP="004037CA">
            <w:pPr>
              <w:tabs>
                <w:tab w:val="decimal" w:pos="331"/>
              </w:tabs>
              <w:spacing w:before="40" w:after="4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hAnsi="Times New Roman" w:cs="Times New Roman"/>
                <w:sz w:val="18"/>
                <w:szCs w:val="18"/>
              </w:rPr>
              <w:t>1.0</w:t>
            </w:r>
          </w:p>
        </w:tc>
        <w:tc>
          <w:tcPr>
            <w:tcW w:w="848" w:type="dxa"/>
            <w:noWrap/>
            <w:hideMark/>
          </w:tcPr>
          <w:p w14:paraId="1B5578C5" w14:textId="08349546" w:rsidR="001B195A" w:rsidRPr="000973F2" w:rsidRDefault="001B195A" w:rsidP="004037CA">
            <w:pPr>
              <w:tabs>
                <w:tab w:val="decimal" w:pos="616"/>
              </w:tabs>
              <w:spacing w:before="40" w:after="4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hAnsi="Times New Roman" w:cs="Times New Roman"/>
                <w:sz w:val="18"/>
                <w:szCs w:val="18"/>
              </w:rPr>
              <w:t>$2,105</w:t>
            </w:r>
          </w:p>
        </w:tc>
        <w:tc>
          <w:tcPr>
            <w:tcW w:w="848" w:type="dxa"/>
            <w:noWrap/>
            <w:hideMark/>
          </w:tcPr>
          <w:p w14:paraId="3906DED4" w14:textId="644F4BAF" w:rsidR="001B195A" w:rsidRPr="000973F2" w:rsidRDefault="001B195A" w:rsidP="004037CA">
            <w:pPr>
              <w:tabs>
                <w:tab w:val="decimal" w:pos="616"/>
              </w:tabs>
              <w:spacing w:before="40" w:after="4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hAnsi="Times New Roman" w:cs="Times New Roman"/>
                <w:sz w:val="18"/>
                <w:szCs w:val="18"/>
              </w:rPr>
              <w:t>$2,105</w:t>
            </w:r>
          </w:p>
        </w:tc>
      </w:tr>
      <w:tr w:rsidR="004037CA" w:rsidRPr="000973F2" w14:paraId="39FD7CD3" w14:textId="77777777" w:rsidTr="004037C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35" w:type="dxa"/>
            <w:noWrap/>
            <w:tcMar>
              <w:left w:w="115" w:type="dxa"/>
              <w:right w:w="14" w:type="dxa"/>
            </w:tcMar>
            <w:hideMark/>
          </w:tcPr>
          <w:p w14:paraId="1554E965" w14:textId="77777777" w:rsidR="001B195A" w:rsidRPr="000973F2" w:rsidRDefault="001B195A" w:rsidP="004037CA">
            <w:pPr>
              <w:spacing w:before="40" w:after="40"/>
              <w:rPr>
                <w:rFonts w:ascii="Times New Roman" w:eastAsia="Times New Roman" w:hAnsi="Times New Roman" w:cs="Times New Roman"/>
                <w:b/>
                <w:bCs w:val="0"/>
                <w:sz w:val="18"/>
                <w:szCs w:val="18"/>
              </w:rPr>
            </w:pPr>
            <w:r w:rsidRPr="000973F2">
              <w:rPr>
                <w:rFonts w:ascii="Times New Roman" w:eastAsia="Times New Roman" w:hAnsi="Times New Roman" w:cs="Times New Roman"/>
                <w:b/>
                <w:sz w:val="18"/>
                <w:szCs w:val="18"/>
              </w:rPr>
              <w:t>Total</w:t>
            </w:r>
          </w:p>
        </w:tc>
        <w:tc>
          <w:tcPr>
            <w:tcW w:w="787" w:type="dxa"/>
            <w:noWrap/>
            <w:hideMark/>
          </w:tcPr>
          <w:p w14:paraId="758A8E1F" w14:textId="77777777" w:rsidR="001B195A" w:rsidRPr="000973F2" w:rsidRDefault="001B195A" w:rsidP="004037CA">
            <w:pPr>
              <w:tabs>
                <w:tab w:val="decimal" w:pos="256"/>
              </w:tabs>
              <w:spacing w:before="40" w:after="4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18"/>
                <w:szCs w:val="18"/>
              </w:rPr>
            </w:pPr>
            <w:r w:rsidRPr="000973F2">
              <w:rPr>
                <w:rFonts w:ascii="Times New Roman" w:hAnsi="Times New Roman" w:cs="Times New Roman"/>
                <w:b/>
                <w:bCs/>
                <w:sz w:val="18"/>
                <w:szCs w:val="18"/>
              </w:rPr>
              <w:t>1.2</w:t>
            </w:r>
          </w:p>
        </w:tc>
        <w:tc>
          <w:tcPr>
            <w:tcW w:w="787" w:type="dxa"/>
            <w:noWrap/>
            <w:hideMark/>
          </w:tcPr>
          <w:p w14:paraId="5F7B3192" w14:textId="77777777" w:rsidR="001B195A" w:rsidRPr="000973F2" w:rsidRDefault="001B195A" w:rsidP="004037CA">
            <w:pPr>
              <w:tabs>
                <w:tab w:val="decimal" w:pos="256"/>
              </w:tabs>
              <w:spacing w:before="40" w:after="4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18"/>
                <w:szCs w:val="18"/>
              </w:rPr>
            </w:pPr>
            <w:r w:rsidRPr="000973F2">
              <w:rPr>
                <w:rFonts w:ascii="Times New Roman" w:hAnsi="Times New Roman" w:cs="Times New Roman"/>
                <w:b/>
                <w:bCs/>
                <w:sz w:val="18"/>
                <w:szCs w:val="18"/>
              </w:rPr>
              <w:t>1.2</w:t>
            </w:r>
          </w:p>
        </w:tc>
        <w:tc>
          <w:tcPr>
            <w:tcW w:w="788" w:type="dxa"/>
            <w:noWrap/>
            <w:hideMark/>
          </w:tcPr>
          <w:p w14:paraId="1429A70D" w14:textId="77777777" w:rsidR="001B195A" w:rsidRPr="000973F2" w:rsidRDefault="001B195A" w:rsidP="004037CA">
            <w:pPr>
              <w:tabs>
                <w:tab w:val="decimal" w:pos="256"/>
              </w:tabs>
              <w:spacing w:before="40" w:after="4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18"/>
                <w:szCs w:val="18"/>
              </w:rPr>
            </w:pPr>
            <w:r w:rsidRPr="000973F2">
              <w:rPr>
                <w:rFonts w:ascii="Times New Roman" w:hAnsi="Times New Roman" w:cs="Times New Roman"/>
                <w:b/>
                <w:bCs/>
                <w:sz w:val="18"/>
                <w:szCs w:val="18"/>
              </w:rPr>
              <w:t>18.45</w:t>
            </w:r>
          </w:p>
        </w:tc>
        <w:tc>
          <w:tcPr>
            <w:tcW w:w="787" w:type="dxa"/>
            <w:noWrap/>
            <w:hideMark/>
          </w:tcPr>
          <w:p w14:paraId="1CFA5E9D" w14:textId="77777777" w:rsidR="001B195A" w:rsidRPr="000973F2" w:rsidRDefault="001B195A" w:rsidP="004037CA">
            <w:pPr>
              <w:tabs>
                <w:tab w:val="decimal" w:pos="256"/>
              </w:tabs>
              <w:spacing w:before="40" w:after="4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18"/>
                <w:szCs w:val="18"/>
              </w:rPr>
            </w:pPr>
            <w:r w:rsidRPr="000973F2">
              <w:rPr>
                <w:rFonts w:ascii="Times New Roman" w:hAnsi="Times New Roman" w:cs="Times New Roman"/>
                <w:b/>
                <w:bCs/>
                <w:sz w:val="18"/>
                <w:szCs w:val="18"/>
              </w:rPr>
              <w:t>17.45</w:t>
            </w:r>
          </w:p>
        </w:tc>
        <w:tc>
          <w:tcPr>
            <w:tcW w:w="787" w:type="dxa"/>
            <w:noWrap/>
            <w:hideMark/>
          </w:tcPr>
          <w:p w14:paraId="4C0C6C0D" w14:textId="77777777" w:rsidR="001B195A" w:rsidRPr="000973F2" w:rsidRDefault="001B195A" w:rsidP="004037CA">
            <w:pPr>
              <w:tabs>
                <w:tab w:val="decimal" w:pos="361"/>
              </w:tabs>
              <w:spacing w:before="40" w:after="4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18"/>
                <w:szCs w:val="18"/>
              </w:rPr>
            </w:pPr>
            <w:r w:rsidRPr="000973F2">
              <w:rPr>
                <w:rFonts w:ascii="Times New Roman" w:hAnsi="Times New Roman" w:cs="Times New Roman"/>
                <w:b/>
                <w:bCs/>
                <w:sz w:val="18"/>
                <w:szCs w:val="18"/>
              </w:rPr>
              <w:t>231.93</w:t>
            </w:r>
          </w:p>
        </w:tc>
        <w:tc>
          <w:tcPr>
            <w:tcW w:w="788" w:type="dxa"/>
            <w:noWrap/>
            <w:hideMark/>
          </w:tcPr>
          <w:p w14:paraId="1399FF59" w14:textId="77777777" w:rsidR="001B195A" w:rsidRPr="000973F2" w:rsidRDefault="001B195A" w:rsidP="004037CA">
            <w:pPr>
              <w:tabs>
                <w:tab w:val="decimal" w:pos="361"/>
              </w:tabs>
              <w:spacing w:before="40" w:after="4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18"/>
                <w:szCs w:val="18"/>
              </w:rPr>
            </w:pPr>
            <w:r w:rsidRPr="000973F2">
              <w:rPr>
                <w:rFonts w:ascii="Times New Roman" w:hAnsi="Times New Roman" w:cs="Times New Roman"/>
                <w:b/>
                <w:bCs/>
                <w:sz w:val="18"/>
                <w:szCs w:val="18"/>
              </w:rPr>
              <w:t>208.93</w:t>
            </w:r>
          </w:p>
        </w:tc>
        <w:tc>
          <w:tcPr>
            <w:tcW w:w="787" w:type="dxa"/>
            <w:noWrap/>
            <w:hideMark/>
          </w:tcPr>
          <w:p w14:paraId="15E5BDE5" w14:textId="77777777" w:rsidR="001B195A" w:rsidRPr="000973F2" w:rsidRDefault="001B195A" w:rsidP="004037CA">
            <w:pPr>
              <w:tabs>
                <w:tab w:val="decimal" w:pos="331"/>
              </w:tabs>
              <w:spacing w:before="40" w:after="4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18"/>
                <w:szCs w:val="18"/>
              </w:rPr>
            </w:pPr>
            <w:r w:rsidRPr="000973F2">
              <w:rPr>
                <w:rFonts w:ascii="Times New Roman" w:hAnsi="Times New Roman" w:cs="Times New Roman"/>
                <w:b/>
                <w:bCs/>
                <w:sz w:val="18"/>
                <w:szCs w:val="18"/>
              </w:rPr>
              <w:t>12.86</w:t>
            </w:r>
          </w:p>
        </w:tc>
        <w:tc>
          <w:tcPr>
            <w:tcW w:w="788" w:type="dxa"/>
            <w:noWrap/>
            <w:hideMark/>
          </w:tcPr>
          <w:p w14:paraId="29B2B563" w14:textId="77777777" w:rsidR="001B195A" w:rsidRPr="000973F2" w:rsidRDefault="001B195A" w:rsidP="004037CA">
            <w:pPr>
              <w:tabs>
                <w:tab w:val="decimal" w:pos="331"/>
              </w:tabs>
              <w:spacing w:before="40" w:after="4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18"/>
                <w:szCs w:val="18"/>
              </w:rPr>
            </w:pPr>
            <w:r w:rsidRPr="000973F2">
              <w:rPr>
                <w:rFonts w:ascii="Times New Roman" w:hAnsi="Times New Roman" w:cs="Times New Roman"/>
                <w:b/>
                <w:bCs/>
                <w:sz w:val="18"/>
                <w:szCs w:val="18"/>
              </w:rPr>
              <w:t>10.86</w:t>
            </w:r>
          </w:p>
        </w:tc>
        <w:tc>
          <w:tcPr>
            <w:tcW w:w="848" w:type="dxa"/>
            <w:noWrap/>
            <w:hideMark/>
          </w:tcPr>
          <w:p w14:paraId="47E55D79" w14:textId="51176DB0" w:rsidR="001B195A" w:rsidRPr="000973F2" w:rsidRDefault="001B195A" w:rsidP="004037CA">
            <w:pPr>
              <w:tabs>
                <w:tab w:val="decimal" w:pos="616"/>
              </w:tabs>
              <w:spacing w:before="40" w:after="4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18"/>
                <w:szCs w:val="18"/>
              </w:rPr>
            </w:pPr>
            <w:r w:rsidRPr="000973F2">
              <w:rPr>
                <w:rFonts w:ascii="Times New Roman" w:hAnsi="Times New Roman" w:cs="Times New Roman"/>
                <w:b/>
                <w:bCs/>
                <w:sz w:val="18"/>
                <w:szCs w:val="18"/>
              </w:rPr>
              <w:t>$18,786</w:t>
            </w:r>
          </w:p>
        </w:tc>
        <w:tc>
          <w:tcPr>
            <w:tcW w:w="848" w:type="dxa"/>
            <w:noWrap/>
            <w:hideMark/>
          </w:tcPr>
          <w:p w14:paraId="453FC1E0" w14:textId="0AD7CF1C" w:rsidR="001B195A" w:rsidRPr="000973F2" w:rsidRDefault="001B195A" w:rsidP="004037CA">
            <w:pPr>
              <w:tabs>
                <w:tab w:val="decimal" w:pos="616"/>
              </w:tabs>
              <w:spacing w:before="40" w:after="4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18"/>
                <w:szCs w:val="18"/>
              </w:rPr>
            </w:pPr>
            <w:r w:rsidRPr="000973F2">
              <w:rPr>
                <w:rFonts w:ascii="Times New Roman" w:hAnsi="Times New Roman" w:cs="Times New Roman"/>
                <w:b/>
                <w:bCs/>
                <w:sz w:val="18"/>
                <w:szCs w:val="18"/>
              </w:rPr>
              <w:t>$16,982</w:t>
            </w:r>
          </w:p>
        </w:tc>
      </w:tr>
    </w:tbl>
    <w:p w14:paraId="45AF3BAD" w14:textId="77777777" w:rsidR="001B195A" w:rsidRPr="000973F2" w:rsidRDefault="001B195A" w:rsidP="001B195A">
      <w:pPr>
        <w:rPr>
          <w:rFonts w:ascii="Times New Roman" w:hAnsi="Times New Roman" w:cs="Times New Roman"/>
          <w:i/>
        </w:rPr>
      </w:pPr>
      <w:r w:rsidRPr="000973F2">
        <w:rPr>
          <w:rFonts w:ascii="Times New Roman" w:hAnsi="Times New Roman" w:cs="Times New Roman"/>
          <w:i/>
        </w:rPr>
        <w:br w:type="page"/>
      </w:r>
    </w:p>
    <w:p w14:paraId="6E913DDA" w14:textId="77777777" w:rsidR="001B195A" w:rsidRPr="000973F2" w:rsidRDefault="001B195A" w:rsidP="0060777B">
      <w:pPr>
        <w:pStyle w:val="Heading2"/>
      </w:pPr>
      <w:r w:rsidRPr="000973F2">
        <w:t>Capital and O&amp;M Costs for Subpart I – All facilities</w:t>
      </w:r>
    </w:p>
    <w:p w14:paraId="54FEC483" w14:textId="7B174AD4" w:rsidR="001B195A" w:rsidRPr="000973F2" w:rsidRDefault="001B195A" w:rsidP="0060777B">
      <w:pPr>
        <w:pStyle w:val="BodyText"/>
        <w:rPr>
          <w:i/>
        </w:rPr>
      </w:pPr>
      <w:r w:rsidRPr="000973F2">
        <w:t xml:space="preserve">As shown in Table </w:t>
      </w:r>
      <w:r w:rsidR="004037CA" w:rsidRPr="000973F2">
        <w:t>I-</w:t>
      </w:r>
      <w:r w:rsidRPr="000973F2">
        <w:t>2a all new and existing facilities will incur an O&amp;M cost of $50 per year for recordkeeping, as discussed in the Cost Appendix Introduction. If a facility has abatement tools, they have 3 options on how to report their emissions: (1) use the default destruction or removal efficiency (DRE) for each abatement tool</w:t>
      </w:r>
      <w:r w:rsidR="00190518" w:rsidRPr="000973F2">
        <w:t xml:space="preserve"> provided in Table I-16</w:t>
      </w:r>
      <w:r w:rsidR="008938EC">
        <w:t xml:space="preserve"> of Part 98</w:t>
      </w:r>
      <w:r w:rsidRPr="000973F2">
        <w:t xml:space="preserve">, (2) measure site-specific DRE for each abatement tool and/or (3) not claim abatement (or any combination of the 3). Options 1 and 3 do not incur a measurement/sampling cost. </w:t>
      </w:r>
    </w:p>
    <w:p w14:paraId="5885CE02" w14:textId="1518241E" w:rsidR="001B195A" w:rsidRPr="000973F2" w:rsidRDefault="001B195A" w:rsidP="0060777B">
      <w:pPr>
        <w:pStyle w:val="Tabletitle"/>
      </w:pPr>
      <w:r w:rsidRPr="000973F2">
        <w:t xml:space="preserve">Table </w:t>
      </w:r>
      <w:r w:rsidR="004037CA" w:rsidRPr="000973F2">
        <w:t>I-</w:t>
      </w:r>
      <w:r w:rsidRPr="000973F2">
        <w:t xml:space="preserve">2a. Capital and O&amp;M Costs </w:t>
      </w:r>
      <w:r w:rsidR="0060777B" w:rsidRPr="000973F2">
        <w:t>–</w:t>
      </w:r>
      <w:r w:rsidRPr="000973F2">
        <w:t xml:space="preserve"> Subpart I – All facilities</w:t>
      </w:r>
    </w:p>
    <w:tbl>
      <w:tblPr>
        <w:tblStyle w:val="PlainTable1"/>
        <w:tblW w:w="5000" w:type="pct"/>
        <w:jc w:val="left"/>
        <w:tblLayout w:type="fixed"/>
        <w:tblLook w:val="04A0" w:firstRow="1" w:lastRow="0" w:firstColumn="1" w:lastColumn="0" w:noHBand="0" w:noVBand="1"/>
      </w:tblPr>
      <w:tblGrid>
        <w:gridCol w:w="1739"/>
        <w:gridCol w:w="1305"/>
        <w:gridCol w:w="1307"/>
        <w:gridCol w:w="1306"/>
        <w:gridCol w:w="1348"/>
        <w:gridCol w:w="1264"/>
        <w:gridCol w:w="1307"/>
      </w:tblGrid>
      <w:tr w:rsidR="00FF36E8" w:rsidRPr="000973F2" w14:paraId="517CA03B" w14:textId="77777777" w:rsidTr="000936D6">
        <w:trPr>
          <w:cnfStyle w:val="100000000000" w:firstRow="1" w:lastRow="0" w:firstColumn="0" w:lastColumn="0" w:oddVBand="0" w:evenVBand="0" w:oddHBand="0" w:evenHBand="0" w:firstRowFirstColumn="0" w:firstRowLastColumn="0" w:lastRowFirstColumn="0" w:lastRowLastColumn="0"/>
          <w:jc w:val="left"/>
        </w:trPr>
        <w:tc>
          <w:tcPr>
            <w:cnfStyle w:val="001000000000" w:firstRow="0" w:lastRow="0" w:firstColumn="1" w:lastColumn="0" w:oddVBand="0" w:evenVBand="0" w:oddHBand="0" w:evenHBand="0" w:firstRowFirstColumn="0" w:firstRowLastColumn="0" w:lastRowFirstColumn="0" w:lastRowLastColumn="0"/>
            <w:tcW w:w="1695" w:type="dxa"/>
            <w:vMerge w:val="restart"/>
            <w:noWrap/>
            <w:vAlign w:val="top"/>
            <w:hideMark/>
          </w:tcPr>
          <w:p w14:paraId="203D1080" w14:textId="6AA3607C" w:rsidR="00FF36E8" w:rsidRPr="000973F2" w:rsidRDefault="00FF36E8" w:rsidP="00F57A82">
            <w:pPr>
              <w:spacing w:before="40" w:after="40"/>
              <w:rPr>
                <w:rFonts w:ascii="Times New Roman" w:eastAsia="Times New Roman" w:hAnsi="Times New Roman" w:cs="Times New Roman"/>
                <w:b w:val="0"/>
                <w:bCs w:val="0"/>
                <w:sz w:val="18"/>
                <w:szCs w:val="18"/>
              </w:rPr>
            </w:pPr>
            <w:r w:rsidRPr="000973F2">
              <w:rPr>
                <w:rFonts w:ascii="Times New Roman" w:eastAsia="Times New Roman" w:hAnsi="Times New Roman" w:cs="Times New Roman"/>
                <w:sz w:val="18"/>
                <w:szCs w:val="18"/>
              </w:rPr>
              <w:t>Activity</w:t>
            </w:r>
          </w:p>
        </w:tc>
        <w:tc>
          <w:tcPr>
            <w:tcW w:w="5130" w:type="dxa"/>
            <w:gridSpan w:val="4"/>
            <w:noWrap/>
            <w:vAlign w:val="top"/>
            <w:hideMark/>
          </w:tcPr>
          <w:p w14:paraId="61AEB5F2" w14:textId="77777777" w:rsidR="00FF36E8" w:rsidRPr="000973F2" w:rsidRDefault="00FF36E8" w:rsidP="00F57A82">
            <w:pPr>
              <w:spacing w:before="40" w:after="40"/>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bCs w:val="0"/>
                <w:sz w:val="18"/>
                <w:szCs w:val="18"/>
              </w:rPr>
            </w:pPr>
            <w:r w:rsidRPr="000973F2">
              <w:rPr>
                <w:rFonts w:ascii="Times New Roman" w:eastAsia="Times New Roman" w:hAnsi="Times New Roman" w:cs="Times New Roman"/>
                <w:sz w:val="18"/>
                <w:szCs w:val="18"/>
              </w:rPr>
              <w:t>Cost Categories</w:t>
            </w:r>
          </w:p>
        </w:tc>
        <w:tc>
          <w:tcPr>
            <w:tcW w:w="2505" w:type="dxa"/>
            <w:gridSpan w:val="2"/>
            <w:vAlign w:val="top"/>
            <w:hideMark/>
          </w:tcPr>
          <w:p w14:paraId="017DC85F" w14:textId="6145BA88" w:rsidR="00FF36E8" w:rsidRPr="000973F2" w:rsidRDefault="00FF36E8" w:rsidP="00F57A82">
            <w:pPr>
              <w:spacing w:before="40" w:after="40"/>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sz w:val="18"/>
                <w:szCs w:val="18"/>
              </w:rPr>
            </w:pPr>
            <w:r w:rsidRPr="000973F2">
              <w:rPr>
                <w:rFonts w:ascii="Times New Roman" w:eastAsia="Times New Roman" w:hAnsi="Times New Roman" w:cs="Times New Roman"/>
                <w:sz w:val="18"/>
                <w:szCs w:val="18"/>
              </w:rPr>
              <w:t>Total Capital and O&amp;M Cost per Year per Facility (2017$)</w:t>
            </w:r>
          </w:p>
        </w:tc>
      </w:tr>
      <w:tr w:rsidR="0060777B" w:rsidRPr="000973F2" w14:paraId="4EEA67EE" w14:textId="77777777" w:rsidTr="000936D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95" w:type="dxa"/>
            <w:vMerge/>
            <w:noWrap/>
            <w:hideMark/>
          </w:tcPr>
          <w:p w14:paraId="351BC85C" w14:textId="2F0BA001" w:rsidR="00FF36E8" w:rsidRPr="000973F2" w:rsidRDefault="00FF36E8" w:rsidP="00F57A82">
            <w:pPr>
              <w:spacing w:before="40" w:after="40"/>
              <w:jc w:val="center"/>
              <w:rPr>
                <w:rFonts w:ascii="Times New Roman" w:eastAsia="Times New Roman" w:hAnsi="Times New Roman" w:cs="Times New Roman"/>
                <w:b/>
                <w:bCs w:val="0"/>
                <w:sz w:val="18"/>
                <w:szCs w:val="18"/>
              </w:rPr>
            </w:pPr>
          </w:p>
        </w:tc>
        <w:tc>
          <w:tcPr>
            <w:tcW w:w="1272" w:type="dxa"/>
            <w:hideMark/>
          </w:tcPr>
          <w:p w14:paraId="05E236F6" w14:textId="77777777" w:rsidR="00FF36E8" w:rsidRPr="000973F2" w:rsidRDefault="00FF36E8" w:rsidP="00F57A82">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18"/>
                <w:szCs w:val="18"/>
              </w:rPr>
            </w:pPr>
            <w:bookmarkStart w:id="20" w:name="_Hlk10448841"/>
            <w:r w:rsidRPr="000973F2">
              <w:rPr>
                <w:rFonts w:ascii="Times New Roman" w:eastAsia="Times New Roman" w:hAnsi="Times New Roman" w:cs="Times New Roman"/>
                <w:b/>
                <w:bCs/>
                <w:sz w:val="18"/>
                <w:szCs w:val="18"/>
              </w:rPr>
              <w:t>Capital Cost (2017$)</w:t>
            </w:r>
            <w:bookmarkEnd w:id="20"/>
          </w:p>
        </w:tc>
        <w:tc>
          <w:tcPr>
            <w:tcW w:w="1273" w:type="dxa"/>
            <w:hideMark/>
          </w:tcPr>
          <w:p w14:paraId="52631E0F" w14:textId="77777777" w:rsidR="00FF36E8" w:rsidRPr="000973F2" w:rsidRDefault="00FF36E8" w:rsidP="00F57A82">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18"/>
                <w:szCs w:val="18"/>
              </w:rPr>
            </w:pPr>
            <w:r w:rsidRPr="000973F2">
              <w:rPr>
                <w:rFonts w:ascii="Times New Roman" w:eastAsia="Times New Roman" w:hAnsi="Times New Roman" w:cs="Times New Roman"/>
                <w:b/>
                <w:bCs/>
                <w:sz w:val="18"/>
                <w:szCs w:val="18"/>
              </w:rPr>
              <w:t>Equipment Lifetime</w:t>
            </w:r>
          </w:p>
        </w:tc>
        <w:tc>
          <w:tcPr>
            <w:tcW w:w="1272" w:type="dxa"/>
            <w:hideMark/>
          </w:tcPr>
          <w:p w14:paraId="3F85031C" w14:textId="77777777" w:rsidR="00FF36E8" w:rsidRPr="000973F2" w:rsidRDefault="00FF36E8" w:rsidP="00F57A82">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18"/>
                <w:szCs w:val="18"/>
              </w:rPr>
            </w:pPr>
            <w:r w:rsidRPr="000973F2">
              <w:rPr>
                <w:rFonts w:ascii="Times New Roman" w:eastAsia="Times New Roman" w:hAnsi="Times New Roman" w:cs="Times New Roman"/>
                <w:b/>
                <w:bCs/>
                <w:sz w:val="18"/>
                <w:szCs w:val="18"/>
              </w:rPr>
              <w:t>Annualized Capital Cost (2017$/year)</w:t>
            </w:r>
          </w:p>
        </w:tc>
        <w:tc>
          <w:tcPr>
            <w:tcW w:w="1313" w:type="dxa"/>
            <w:hideMark/>
          </w:tcPr>
          <w:p w14:paraId="6CD524F5" w14:textId="77777777" w:rsidR="00FF36E8" w:rsidRPr="000973F2" w:rsidRDefault="00FF36E8" w:rsidP="00F57A82">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18"/>
                <w:szCs w:val="18"/>
              </w:rPr>
            </w:pPr>
            <w:r w:rsidRPr="000973F2">
              <w:rPr>
                <w:rFonts w:ascii="Times New Roman" w:eastAsia="Times New Roman" w:hAnsi="Times New Roman" w:cs="Times New Roman"/>
                <w:b/>
                <w:bCs/>
                <w:sz w:val="18"/>
                <w:szCs w:val="18"/>
              </w:rPr>
              <w:t>O&amp;M Costs (2017$/year)</w:t>
            </w:r>
          </w:p>
        </w:tc>
        <w:tc>
          <w:tcPr>
            <w:tcW w:w="1232" w:type="dxa"/>
            <w:hideMark/>
          </w:tcPr>
          <w:p w14:paraId="47F7B866" w14:textId="77777777" w:rsidR="00FF36E8" w:rsidRPr="000973F2" w:rsidRDefault="00FF36E8" w:rsidP="00F57A82">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18"/>
                <w:szCs w:val="18"/>
              </w:rPr>
            </w:pPr>
            <w:r w:rsidRPr="000973F2">
              <w:rPr>
                <w:rFonts w:ascii="Times New Roman" w:eastAsia="Times New Roman" w:hAnsi="Times New Roman" w:cs="Times New Roman"/>
                <w:b/>
                <w:bCs/>
                <w:sz w:val="18"/>
                <w:szCs w:val="18"/>
              </w:rPr>
              <w:t>Initial Year</w:t>
            </w:r>
          </w:p>
        </w:tc>
        <w:tc>
          <w:tcPr>
            <w:tcW w:w="1273" w:type="dxa"/>
            <w:hideMark/>
          </w:tcPr>
          <w:p w14:paraId="056A0264" w14:textId="77777777" w:rsidR="00FF36E8" w:rsidRPr="000973F2" w:rsidRDefault="00FF36E8" w:rsidP="00F57A82">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18"/>
                <w:szCs w:val="18"/>
              </w:rPr>
            </w:pPr>
            <w:r w:rsidRPr="000973F2">
              <w:rPr>
                <w:rFonts w:ascii="Times New Roman" w:eastAsia="Times New Roman" w:hAnsi="Times New Roman" w:cs="Times New Roman"/>
                <w:b/>
                <w:bCs/>
                <w:sz w:val="18"/>
                <w:szCs w:val="18"/>
              </w:rPr>
              <w:t>Subseq. Years</w:t>
            </w:r>
          </w:p>
        </w:tc>
      </w:tr>
      <w:tr w:rsidR="00034890" w:rsidRPr="000973F2" w14:paraId="3248AE1C" w14:textId="77777777" w:rsidTr="000936D6">
        <w:tc>
          <w:tcPr>
            <w:cnfStyle w:val="001000000000" w:firstRow="0" w:lastRow="0" w:firstColumn="1" w:lastColumn="0" w:oddVBand="0" w:evenVBand="0" w:oddHBand="0" w:evenHBand="0" w:firstRowFirstColumn="0" w:firstRowLastColumn="0" w:lastRowFirstColumn="0" w:lastRowLastColumn="0"/>
            <w:tcW w:w="1695" w:type="dxa"/>
            <w:hideMark/>
          </w:tcPr>
          <w:p w14:paraId="11A1F8BE" w14:textId="77777777" w:rsidR="00034890" w:rsidRPr="000973F2" w:rsidRDefault="00034890" w:rsidP="00034890">
            <w:pPr>
              <w:spacing w:before="40" w:after="4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Equipment (selection, purchase, installation)</w:t>
            </w:r>
          </w:p>
        </w:tc>
        <w:tc>
          <w:tcPr>
            <w:tcW w:w="1272" w:type="dxa"/>
            <w:noWrap/>
            <w:hideMark/>
          </w:tcPr>
          <w:p w14:paraId="0DD05E5A" w14:textId="43E621A0" w:rsidR="00034890" w:rsidRPr="000973F2" w:rsidRDefault="00034890" w:rsidP="00034890">
            <w:pPr>
              <w:spacing w:before="40" w:after="4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w:t>
            </w:r>
          </w:p>
        </w:tc>
        <w:tc>
          <w:tcPr>
            <w:tcW w:w="1273" w:type="dxa"/>
            <w:noWrap/>
          </w:tcPr>
          <w:p w14:paraId="0DC0678F" w14:textId="37EC36E9" w:rsidR="00034890" w:rsidRPr="000973F2" w:rsidRDefault="00034890" w:rsidP="00034890">
            <w:pPr>
              <w:spacing w:before="40" w:after="4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p>
        </w:tc>
        <w:tc>
          <w:tcPr>
            <w:tcW w:w="1272" w:type="dxa"/>
            <w:noWrap/>
            <w:hideMark/>
          </w:tcPr>
          <w:p w14:paraId="295189A8" w14:textId="30B1B7A0" w:rsidR="00034890" w:rsidRPr="000973F2" w:rsidRDefault="00034890" w:rsidP="00034890">
            <w:pPr>
              <w:spacing w:before="40" w:after="4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w:t>
            </w:r>
          </w:p>
        </w:tc>
        <w:tc>
          <w:tcPr>
            <w:tcW w:w="1313" w:type="dxa"/>
            <w:noWrap/>
            <w:hideMark/>
          </w:tcPr>
          <w:p w14:paraId="381AA80E" w14:textId="67D2E80A" w:rsidR="00034890" w:rsidRPr="000973F2" w:rsidRDefault="00034890" w:rsidP="00034890">
            <w:pPr>
              <w:spacing w:before="40" w:after="4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w:t>
            </w:r>
          </w:p>
        </w:tc>
        <w:tc>
          <w:tcPr>
            <w:tcW w:w="1232" w:type="dxa"/>
            <w:noWrap/>
            <w:hideMark/>
          </w:tcPr>
          <w:p w14:paraId="71ADF980" w14:textId="4CA270AB" w:rsidR="00034890" w:rsidRPr="000973F2" w:rsidRDefault="00034890" w:rsidP="00034890">
            <w:pPr>
              <w:spacing w:before="40" w:after="4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w:t>
            </w:r>
          </w:p>
        </w:tc>
        <w:tc>
          <w:tcPr>
            <w:tcW w:w="1273" w:type="dxa"/>
            <w:noWrap/>
            <w:hideMark/>
          </w:tcPr>
          <w:p w14:paraId="3A498A3A" w14:textId="56BD4FA4" w:rsidR="00034890" w:rsidRPr="000973F2" w:rsidRDefault="00034890" w:rsidP="00034890">
            <w:pPr>
              <w:spacing w:before="40" w:after="4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w:t>
            </w:r>
          </w:p>
        </w:tc>
      </w:tr>
      <w:tr w:rsidR="00034890" w:rsidRPr="000973F2" w14:paraId="39765799" w14:textId="77777777" w:rsidTr="000936D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95" w:type="dxa"/>
            <w:hideMark/>
          </w:tcPr>
          <w:p w14:paraId="294C3640" w14:textId="77777777" w:rsidR="00034890" w:rsidRPr="000973F2" w:rsidRDefault="00034890" w:rsidP="00034890">
            <w:pPr>
              <w:spacing w:before="40" w:after="4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Performance testing</w:t>
            </w:r>
          </w:p>
        </w:tc>
        <w:tc>
          <w:tcPr>
            <w:tcW w:w="1272" w:type="dxa"/>
            <w:noWrap/>
            <w:hideMark/>
          </w:tcPr>
          <w:p w14:paraId="6BC9F310" w14:textId="55A1660F" w:rsidR="00034890" w:rsidRPr="000973F2" w:rsidRDefault="00034890" w:rsidP="00034890">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w:t>
            </w:r>
          </w:p>
        </w:tc>
        <w:tc>
          <w:tcPr>
            <w:tcW w:w="1273" w:type="dxa"/>
            <w:noWrap/>
          </w:tcPr>
          <w:p w14:paraId="3D7EA765" w14:textId="7C035E49" w:rsidR="00034890" w:rsidRPr="000973F2" w:rsidRDefault="00034890" w:rsidP="00034890">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p>
        </w:tc>
        <w:tc>
          <w:tcPr>
            <w:tcW w:w="1272" w:type="dxa"/>
            <w:noWrap/>
            <w:hideMark/>
          </w:tcPr>
          <w:p w14:paraId="3EE8ADD3" w14:textId="638AE3B2" w:rsidR="00034890" w:rsidRPr="000973F2" w:rsidRDefault="00034890" w:rsidP="00034890">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w:t>
            </w:r>
          </w:p>
        </w:tc>
        <w:tc>
          <w:tcPr>
            <w:tcW w:w="1313" w:type="dxa"/>
            <w:noWrap/>
            <w:hideMark/>
          </w:tcPr>
          <w:p w14:paraId="7F615336" w14:textId="666D3F3D" w:rsidR="00034890" w:rsidRPr="000973F2" w:rsidRDefault="00034890" w:rsidP="00034890">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w:t>
            </w:r>
          </w:p>
        </w:tc>
        <w:tc>
          <w:tcPr>
            <w:tcW w:w="1232" w:type="dxa"/>
            <w:noWrap/>
            <w:hideMark/>
          </w:tcPr>
          <w:p w14:paraId="53C23D78" w14:textId="56C7E44C" w:rsidR="00034890" w:rsidRPr="000973F2" w:rsidRDefault="00034890" w:rsidP="00034890">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w:t>
            </w:r>
          </w:p>
        </w:tc>
        <w:tc>
          <w:tcPr>
            <w:tcW w:w="1273" w:type="dxa"/>
            <w:noWrap/>
            <w:hideMark/>
          </w:tcPr>
          <w:p w14:paraId="5DBD125D" w14:textId="61315890" w:rsidR="00034890" w:rsidRPr="000973F2" w:rsidRDefault="00034890" w:rsidP="00034890">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w:t>
            </w:r>
          </w:p>
        </w:tc>
      </w:tr>
      <w:tr w:rsidR="001B195A" w:rsidRPr="000973F2" w14:paraId="2450EBC5" w14:textId="77777777" w:rsidTr="000936D6">
        <w:tc>
          <w:tcPr>
            <w:cnfStyle w:val="001000000000" w:firstRow="0" w:lastRow="0" w:firstColumn="1" w:lastColumn="0" w:oddVBand="0" w:evenVBand="0" w:oddHBand="0" w:evenHBand="0" w:firstRowFirstColumn="0" w:firstRowLastColumn="0" w:lastRowFirstColumn="0" w:lastRowLastColumn="0"/>
            <w:tcW w:w="1695" w:type="dxa"/>
            <w:hideMark/>
          </w:tcPr>
          <w:p w14:paraId="0C0B4BF2" w14:textId="77777777" w:rsidR="001B195A" w:rsidRPr="000973F2" w:rsidRDefault="001B195A" w:rsidP="00F57A82">
            <w:pPr>
              <w:spacing w:before="40" w:after="4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Recordkeeping</w:t>
            </w:r>
          </w:p>
        </w:tc>
        <w:tc>
          <w:tcPr>
            <w:tcW w:w="1272" w:type="dxa"/>
            <w:noWrap/>
            <w:hideMark/>
          </w:tcPr>
          <w:p w14:paraId="286D41B5" w14:textId="77777777" w:rsidR="001B195A" w:rsidRPr="000973F2" w:rsidRDefault="001B195A" w:rsidP="00F57A82">
            <w:pPr>
              <w:spacing w:before="40" w:after="4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$0</w:t>
            </w:r>
          </w:p>
        </w:tc>
        <w:tc>
          <w:tcPr>
            <w:tcW w:w="1273" w:type="dxa"/>
            <w:noWrap/>
          </w:tcPr>
          <w:p w14:paraId="027E787A" w14:textId="2319C3BF" w:rsidR="001B195A" w:rsidRPr="000973F2" w:rsidRDefault="001B195A" w:rsidP="00F57A82">
            <w:pPr>
              <w:spacing w:before="40" w:after="4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p>
        </w:tc>
        <w:tc>
          <w:tcPr>
            <w:tcW w:w="1272" w:type="dxa"/>
            <w:noWrap/>
            <w:hideMark/>
          </w:tcPr>
          <w:p w14:paraId="48E08AE1" w14:textId="77777777" w:rsidR="001B195A" w:rsidRPr="000973F2" w:rsidRDefault="001B195A" w:rsidP="00F57A82">
            <w:pPr>
              <w:spacing w:before="40" w:after="4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$0</w:t>
            </w:r>
          </w:p>
        </w:tc>
        <w:tc>
          <w:tcPr>
            <w:tcW w:w="1313" w:type="dxa"/>
            <w:noWrap/>
            <w:hideMark/>
          </w:tcPr>
          <w:p w14:paraId="693CBA2C" w14:textId="77777777" w:rsidR="001B195A" w:rsidRPr="000973F2" w:rsidRDefault="001B195A" w:rsidP="00F57A82">
            <w:pPr>
              <w:spacing w:before="40" w:after="4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$50</w:t>
            </w:r>
          </w:p>
        </w:tc>
        <w:tc>
          <w:tcPr>
            <w:tcW w:w="1232" w:type="dxa"/>
            <w:noWrap/>
            <w:hideMark/>
          </w:tcPr>
          <w:p w14:paraId="59BF120F" w14:textId="77777777" w:rsidR="001B195A" w:rsidRPr="000973F2" w:rsidRDefault="001B195A" w:rsidP="00F57A82">
            <w:pPr>
              <w:spacing w:before="40" w:after="4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$50</w:t>
            </w:r>
          </w:p>
        </w:tc>
        <w:tc>
          <w:tcPr>
            <w:tcW w:w="1273" w:type="dxa"/>
            <w:noWrap/>
            <w:hideMark/>
          </w:tcPr>
          <w:p w14:paraId="1224AEC1" w14:textId="77777777" w:rsidR="001B195A" w:rsidRPr="000973F2" w:rsidRDefault="001B195A" w:rsidP="00F57A82">
            <w:pPr>
              <w:spacing w:before="40" w:after="4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$50</w:t>
            </w:r>
          </w:p>
        </w:tc>
      </w:tr>
      <w:tr w:rsidR="00034890" w:rsidRPr="000973F2" w14:paraId="2F01348D" w14:textId="77777777" w:rsidTr="000936D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95" w:type="dxa"/>
            <w:hideMark/>
          </w:tcPr>
          <w:p w14:paraId="4F71AD3F" w14:textId="77777777" w:rsidR="00034890" w:rsidRPr="000973F2" w:rsidRDefault="00034890" w:rsidP="00034890">
            <w:pPr>
              <w:spacing w:before="40" w:after="4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Travel</w:t>
            </w:r>
          </w:p>
        </w:tc>
        <w:tc>
          <w:tcPr>
            <w:tcW w:w="1272" w:type="dxa"/>
            <w:noWrap/>
            <w:hideMark/>
          </w:tcPr>
          <w:p w14:paraId="57102B11" w14:textId="72CB7C95" w:rsidR="00034890" w:rsidRPr="000973F2" w:rsidRDefault="00034890" w:rsidP="00034890">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w:t>
            </w:r>
          </w:p>
        </w:tc>
        <w:tc>
          <w:tcPr>
            <w:tcW w:w="1273" w:type="dxa"/>
            <w:noWrap/>
          </w:tcPr>
          <w:p w14:paraId="22511B92" w14:textId="284507F6" w:rsidR="00034890" w:rsidRPr="000973F2" w:rsidRDefault="00034890" w:rsidP="00034890">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p>
        </w:tc>
        <w:tc>
          <w:tcPr>
            <w:tcW w:w="1272" w:type="dxa"/>
            <w:noWrap/>
            <w:hideMark/>
          </w:tcPr>
          <w:p w14:paraId="1C9B7533" w14:textId="1FDBB975" w:rsidR="00034890" w:rsidRPr="000973F2" w:rsidRDefault="00034890" w:rsidP="00034890">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w:t>
            </w:r>
          </w:p>
        </w:tc>
        <w:tc>
          <w:tcPr>
            <w:tcW w:w="1313" w:type="dxa"/>
            <w:noWrap/>
            <w:hideMark/>
          </w:tcPr>
          <w:p w14:paraId="12EBF21B" w14:textId="351192F5" w:rsidR="00034890" w:rsidRPr="000973F2" w:rsidRDefault="00034890" w:rsidP="00034890">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w:t>
            </w:r>
          </w:p>
        </w:tc>
        <w:tc>
          <w:tcPr>
            <w:tcW w:w="1232" w:type="dxa"/>
            <w:noWrap/>
            <w:hideMark/>
          </w:tcPr>
          <w:p w14:paraId="00B3C1B7" w14:textId="505CCBBD" w:rsidR="00034890" w:rsidRPr="000973F2" w:rsidRDefault="00034890" w:rsidP="00034890">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w:t>
            </w:r>
          </w:p>
        </w:tc>
        <w:tc>
          <w:tcPr>
            <w:tcW w:w="1273" w:type="dxa"/>
            <w:noWrap/>
            <w:hideMark/>
          </w:tcPr>
          <w:p w14:paraId="0B1B3D09" w14:textId="241E0D45" w:rsidR="00034890" w:rsidRPr="000973F2" w:rsidRDefault="00034890" w:rsidP="00034890">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w:t>
            </w:r>
          </w:p>
        </w:tc>
      </w:tr>
      <w:tr w:rsidR="00034890" w:rsidRPr="000973F2" w14:paraId="33DB8DCD" w14:textId="77777777" w:rsidTr="000936D6">
        <w:tc>
          <w:tcPr>
            <w:cnfStyle w:val="001000000000" w:firstRow="0" w:lastRow="0" w:firstColumn="1" w:lastColumn="0" w:oddVBand="0" w:evenVBand="0" w:oddHBand="0" w:evenHBand="0" w:firstRowFirstColumn="0" w:firstRowLastColumn="0" w:lastRowFirstColumn="0" w:lastRowLastColumn="0"/>
            <w:tcW w:w="1695" w:type="dxa"/>
            <w:hideMark/>
          </w:tcPr>
          <w:p w14:paraId="5C49BFA1" w14:textId="77777777" w:rsidR="00034890" w:rsidRPr="000973F2" w:rsidRDefault="00034890" w:rsidP="00034890">
            <w:pPr>
              <w:spacing w:before="40" w:after="4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Sampling and Analysis Costs</w:t>
            </w:r>
          </w:p>
        </w:tc>
        <w:tc>
          <w:tcPr>
            <w:tcW w:w="1272" w:type="dxa"/>
            <w:noWrap/>
            <w:hideMark/>
          </w:tcPr>
          <w:p w14:paraId="144960BD" w14:textId="7EB9B642" w:rsidR="00034890" w:rsidRPr="000973F2" w:rsidRDefault="00034890" w:rsidP="00034890">
            <w:pPr>
              <w:spacing w:before="40" w:after="4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w:t>
            </w:r>
          </w:p>
        </w:tc>
        <w:tc>
          <w:tcPr>
            <w:tcW w:w="1273" w:type="dxa"/>
            <w:noWrap/>
          </w:tcPr>
          <w:p w14:paraId="5E10FB57" w14:textId="7B4F4281" w:rsidR="00034890" w:rsidRPr="000973F2" w:rsidRDefault="00034890" w:rsidP="00034890">
            <w:pPr>
              <w:spacing w:before="40" w:after="4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p>
        </w:tc>
        <w:tc>
          <w:tcPr>
            <w:tcW w:w="1272" w:type="dxa"/>
            <w:noWrap/>
            <w:hideMark/>
          </w:tcPr>
          <w:p w14:paraId="4C8719C9" w14:textId="69BF5B28" w:rsidR="00034890" w:rsidRPr="000973F2" w:rsidRDefault="00034890" w:rsidP="00034890">
            <w:pPr>
              <w:spacing w:before="40" w:after="4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w:t>
            </w:r>
          </w:p>
        </w:tc>
        <w:tc>
          <w:tcPr>
            <w:tcW w:w="1313" w:type="dxa"/>
            <w:noWrap/>
            <w:hideMark/>
          </w:tcPr>
          <w:p w14:paraId="75F52469" w14:textId="7084ECC4" w:rsidR="00034890" w:rsidRPr="000973F2" w:rsidRDefault="00034890" w:rsidP="00034890">
            <w:pPr>
              <w:spacing w:before="40" w:after="4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w:t>
            </w:r>
          </w:p>
        </w:tc>
        <w:tc>
          <w:tcPr>
            <w:tcW w:w="1232" w:type="dxa"/>
            <w:noWrap/>
            <w:hideMark/>
          </w:tcPr>
          <w:p w14:paraId="5882BBAA" w14:textId="202FAF00" w:rsidR="00034890" w:rsidRPr="000973F2" w:rsidRDefault="00034890" w:rsidP="00034890">
            <w:pPr>
              <w:spacing w:before="40" w:after="4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w:t>
            </w:r>
          </w:p>
        </w:tc>
        <w:tc>
          <w:tcPr>
            <w:tcW w:w="1273" w:type="dxa"/>
            <w:noWrap/>
            <w:hideMark/>
          </w:tcPr>
          <w:p w14:paraId="2A665BC6" w14:textId="5F9D7DB3" w:rsidR="00034890" w:rsidRPr="000973F2" w:rsidRDefault="00034890" w:rsidP="00034890">
            <w:pPr>
              <w:spacing w:before="40" w:after="4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w:t>
            </w:r>
          </w:p>
        </w:tc>
      </w:tr>
      <w:tr w:rsidR="0060777B" w:rsidRPr="000973F2" w14:paraId="110AC85D" w14:textId="77777777" w:rsidTr="0003489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95" w:type="dxa"/>
            <w:hideMark/>
          </w:tcPr>
          <w:p w14:paraId="08DBC745" w14:textId="77777777" w:rsidR="001B195A" w:rsidRPr="000973F2" w:rsidRDefault="001B195A" w:rsidP="00F57A82">
            <w:pPr>
              <w:spacing w:before="40" w:after="40"/>
              <w:rPr>
                <w:rFonts w:ascii="Times New Roman" w:eastAsia="Times New Roman" w:hAnsi="Times New Roman" w:cs="Times New Roman"/>
                <w:b/>
                <w:bCs w:val="0"/>
                <w:sz w:val="18"/>
                <w:szCs w:val="18"/>
              </w:rPr>
            </w:pPr>
            <w:r w:rsidRPr="000973F2">
              <w:rPr>
                <w:rFonts w:ascii="Times New Roman" w:eastAsia="Times New Roman" w:hAnsi="Times New Roman" w:cs="Times New Roman"/>
                <w:b/>
                <w:sz w:val="18"/>
                <w:szCs w:val="18"/>
              </w:rPr>
              <w:t>Total</w:t>
            </w:r>
          </w:p>
        </w:tc>
        <w:tc>
          <w:tcPr>
            <w:tcW w:w="1272" w:type="dxa"/>
            <w:noWrap/>
            <w:hideMark/>
          </w:tcPr>
          <w:p w14:paraId="727854B7" w14:textId="77777777" w:rsidR="001B195A" w:rsidRPr="000973F2" w:rsidRDefault="001B195A" w:rsidP="00F57A82">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$0</w:t>
            </w:r>
          </w:p>
        </w:tc>
        <w:tc>
          <w:tcPr>
            <w:tcW w:w="1273" w:type="dxa"/>
            <w:noWrap/>
          </w:tcPr>
          <w:p w14:paraId="0D56E898" w14:textId="67FB0137" w:rsidR="001B195A" w:rsidRPr="000973F2" w:rsidRDefault="001B195A" w:rsidP="00F57A82">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p>
        </w:tc>
        <w:tc>
          <w:tcPr>
            <w:tcW w:w="1272" w:type="dxa"/>
            <w:noWrap/>
            <w:hideMark/>
          </w:tcPr>
          <w:p w14:paraId="5A25C949" w14:textId="77777777" w:rsidR="001B195A" w:rsidRPr="000973F2" w:rsidRDefault="001B195A" w:rsidP="00F57A82">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$0</w:t>
            </w:r>
          </w:p>
        </w:tc>
        <w:tc>
          <w:tcPr>
            <w:tcW w:w="1313" w:type="dxa"/>
            <w:noWrap/>
            <w:hideMark/>
          </w:tcPr>
          <w:p w14:paraId="76A7ECF4" w14:textId="77777777" w:rsidR="001B195A" w:rsidRPr="000973F2" w:rsidRDefault="001B195A" w:rsidP="00F57A82">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$50</w:t>
            </w:r>
          </w:p>
        </w:tc>
        <w:tc>
          <w:tcPr>
            <w:tcW w:w="1232" w:type="dxa"/>
            <w:noWrap/>
            <w:hideMark/>
          </w:tcPr>
          <w:p w14:paraId="233A3B03" w14:textId="77777777" w:rsidR="001B195A" w:rsidRPr="000973F2" w:rsidRDefault="001B195A" w:rsidP="00F57A82">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$50</w:t>
            </w:r>
          </w:p>
        </w:tc>
        <w:tc>
          <w:tcPr>
            <w:tcW w:w="1273" w:type="dxa"/>
            <w:noWrap/>
            <w:hideMark/>
          </w:tcPr>
          <w:p w14:paraId="0BF6AB00" w14:textId="77777777" w:rsidR="001B195A" w:rsidRPr="000973F2" w:rsidRDefault="001B195A" w:rsidP="00F57A82">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$50</w:t>
            </w:r>
          </w:p>
        </w:tc>
      </w:tr>
    </w:tbl>
    <w:p w14:paraId="65B55573" w14:textId="77777777" w:rsidR="001B195A" w:rsidRPr="000973F2" w:rsidRDefault="001B195A" w:rsidP="0060777B">
      <w:pPr>
        <w:pStyle w:val="AfterTable"/>
      </w:pPr>
    </w:p>
    <w:p w14:paraId="789C096C" w14:textId="77777777" w:rsidR="001B195A" w:rsidRPr="000973F2" w:rsidRDefault="001B195A" w:rsidP="00F57A82">
      <w:pPr>
        <w:pStyle w:val="Heading2"/>
      </w:pPr>
      <w:r w:rsidRPr="000973F2">
        <w:t>Capital and O&amp;M Costs for Subpart I – Facilities with Abatement Systems That Measure DRE</w:t>
      </w:r>
    </w:p>
    <w:p w14:paraId="15225C9D" w14:textId="0CC449B9" w:rsidR="001B195A" w:rsidRPr="000973F2" w:rsidRDefault="001B195A" w:rsidP="000936D6">
      <w:pPr>
        <w:pStyle w:val="BodyText"/>
        <w:rPr>
          <w:i/>
        </w:rPr>
      </w:pPr>
      <w:r w:rsidRPr="000973F2">
        <w:t xml:space="preserve">As shown in Table </w:t>
      </w:r>
      <w:r w:rsidR="000936D6" w:rsidRPr="000973F2">
        <w:t>I-</w:t>
      </w:r>
      <w:r w:rsidRPr="000973F2">
        <w:t>2b, six facilities incur a cost of $36,971 per year per facility as O&amp;M costs related to measuring site-specific DRE. Costs were based on petitions and public comments indicating that facilities typically incur $71,766 to measure 10 abatement tools per year</w:t>
      </w:r>
      <w:r w:rsidRPr="000973F2">
        <w:rPr>
          <w:rStyle w:val="FootnoteReference"/>
        </w:rPr>
        <w:footnoteReference w:id="2"/>
      </w:r>
      <w:r w:rsidRPr="000973F2">
        <w:rPr>
          <w:vertAlign w:val="superscript"/>
        </w:rPr>
        <w:t>,</w:t>
      </w:r>
      <w:r w:rsidRPr="000973F2">
        <w:rPr>
          <w:rStyle w:val="FootnoteReference"/>
        </w:rPr>
        <w:footnoteReference w:id="3"/>
      </w:r>
      <w:r w:rsidRPr="000973F2">
        <w:t>. Costs were annualized based on scaling the dollars to 2017 dollars using the Chemical Engineering Plant Cost Index (CEPCI) and the fact that facilities were estimated to have to test 5 abatement tools per facility per year, instead of 10. It is anticipated that no new facilities will incur this cost.</w:t>
      </w:r>
    </w:p>
    <w:p w14:paraId="6247A78F" w14:textId="77777777" w:rsidR="001B195A" w:rsidRPr="000973F2" w:rsidRDefault="001B195A" w:rsidP="001B195A">
      <w:pPr>
        <w:rPr>
          <w:rFonts w:ascii="Times New Roman" w:hAnsi="Times New Roman" w:cs="Times New Roman"/>
        </w:rPr>
      </w:pPr>
    </w:p>
    <w:p w14:paraId="71F3FF73" w14:textId="77777777" w:rsidR="001B195A" w:rsidRPr="000973F2" w:rsidRDefault="001B195A" w:rsidP="001B195A">
      <w:pPr>
        <w:rPr>
          <w:rFonts w:ascii="Times New Roman" w:hAnsi="Times New Roman" w:cs="Times New Roman"/>
          <w:b/>
          <w:bCs/>
        </w:rPr>
      </w:pPr>
      <w:r w:rsidRPr="000973F2">
        <w:rPr>
          <w:rFonts w:ascii="Times New Roman" w:hAnsi="Times New Roman" w:cs="Times New Roman"/>
          <w:b/>
          <w:bCs/>
        </w:rPr>
        <w:br w:type="page"/>
      </w:r>
    </w:p>
    <w:p w14:paraId="389BCB33" w14:textId="4DA6250D" w:rsidR="001B195A" w:rsidRPr="000973F2" w:rsidRDefault="001B195A" w:rsidP="001B195A">
      <w:pPr>
        <w:rPr>
          <w:rFonts w:ascii="Times New Roman" w:hAnsi="Times New Roman" w:cs="Times New Roman"/>
        </w:rPr>
      </w:pPr>
      <w:r w:rsidRPr="000973F2">
        <w:rPr>
          <w:rFonts w:ascii="Times New Roman" w:hAnsi="Times New Roman" w:cs="Times New Roman"/>
          <w:b/>
          <w:bCs/>
        </w:rPr>
        <w:t xml:space="preserve">Table </w:t>
      </w:r>
      <w:r w:rsidR="000936D6" w:rsidRPr="000973F2">
        <w:rPr>
          <w:rFonts w:ascii="Times New Roman" w:hAnsi="Times New Roman" w:cs="Times New Roman"/>
          <w:b/>
          <w:bCs/>
        </w:rPr>
        <w:t>I-</w:t>
      </w:r>
      <w:r w:rsidRPr="000973F2">
        <w:rPr>
          <w:rFonts w:ascii="Times New Roman" w:hAnsi="Times New Roman" w:cs="Times New Roman"/>
          <w:b/>
          <w:bCs/>
        </w:rPr>
        <w:t xml:space="preserve">2b. Capital and O&amp;M Costs – Subpart I – </w:t>
      </w:r>
      <w:r w:rsidRPr="000973F2">
        <w:rPr>
          <w:rFonts w:ascii="Times New Roman" w:hAnsi="Times New Roman" w:cs="Times New Roman"/>
          <w:b/>
        </w:rPr>
        <w:t xml:space="preserve">Facilities with Abatement </w:t>
      </w:r>
      <w:r w:rsidR="00513767" w:rsidRPr="000973F2">
        <w:rPr>
          <w:rFonts w:ascii="Times New Roman" w:hAnsi="Times New Roman" w:cs="Times New Roman"/>
          <w:b/>
        </w:rPr>
        <w:t>Tools</w:t>
      </w:r>
      <w:r w:rsidRPr="000973F2">
        <w:rPr>
          <w:rFonts w:ascii="Times New Roman" w:hAnsi="Times New Roman" w:cs="Times New Roman"/>
          <w:b/>
        </w:rPr>
        <w:t xml:space="preserve"> That Measure DRE</w:t>
      </w:r>
      <w:r w:rsidRPr="000973F2">
        <w:rPr>
          <w:rFonts w:ascii="Times New Roman" w:hAnsi="Times New Roman" w:cs="Times New Roman"/>
          <w:b/>
          <w:bCs/>
        </w:rPr>
        <w:t xml:space="preserve"> </w:t>
      </w:r>
    </w:p>
    <w:tbl>
      <w:tblPr>
        <w:tblStyle w:val="PlainTable1"/>
        <w:tblW w:w="5000" w:type="pct"/>
        <w:jc w:val="left"/>
        <w:tblLayout w:type="fixed"/>
        <w:tblCellMar>
          <w:left w:w="115" w:type="dxa"/>
          <w:right w:w="115" w:type="dxa"/>
        </w:tblCellMar>
        <w:tblLook w:val="04A0" w:firstRow="1" w:lastRow="0" w:firstColumn="1" w:lastColumn="0" w:noHBand="0" w:noVBand="1"/>
      </w:tblPr>
      <w:tblGrid>
        <w:gridCol w:w="1835"/>
        <w:gridCol w:w="1292"/>
        <w:gridCol w:w="1293"/>
        <w:gridCol w:w="1292"/>
        <w:gridCol w:w="1303"/>
        <w:gridCol w:w="1282"/>
        <w:gridCol w:w="1293"/>
      </w:tblGrid>
      <w:tr w:rsidR="00FF36E8" w:rsidRPr="000973F2" w14:paraId="642F8F71" w14:textId="77777777" w:rsidTr="00DD7B3C">
        <w:trPr>
          <w:cnfStyle w:val="100000000000" w:firstRow="1" w:lastRow="0" w:firstColumn="0" w:lastColumn="0" w:oddVBand="0" w:evenVBand="0" w:oddHBand="0" w:evenHBand="0" w:firstRowFirstColumn="0" w:firstRowLastColumn="0" w:lastRowFirstColumn="0" w:lastRowLastColumn="0"/>
          <w:cantSplit/>
          <w:jc w:val="left"/>
        </w:trPr>
        <w:tc>
          <w:tcPr>
            <w:cnfStyle w:val="001000000000" w:firstRow="0" w:lastRow="0" w:firstColumn="1" w:lastColumn="0" w:oddVBand="0" w:evenVBand="0" w:oddHBand="0" w:evenHBand="0" w:firstRowFirstColumn="0" w:firstRowLastColumn="0" w:lastRowFirstColumn="0" w:lastRowLastColumn="0"/>
            <w:tcW w:w="1785" w:type="dxa"/>
            <w:vMerge w:val="restart"/>
            <w:noWrap/>
            <w:vAlign w:val="top"/>
            <w:hideMark/>
          </w:tcPr>
          <w:p w14:paraId="4BCF3712" w14:textId="5732BC3C" w:rsidR="00FF36E8" w:rsidRPr="000973F2" w:rsidRDefault="00FF36E8" w:rsidP="00DD7B3C">
            <w:pPr>
              <w:spacing w:before="40" w:after="40"/>
              <w:rPr>
                <w:rFonts w:ascii="Times New Roman" w:eastAsia="Times New Roman" w:hAnsi="Times New Roman" w:cs="Times New Roman"/>
                <w:b w:val="0"/>
                <w:bCs w:val="0"/>
                <w:sz w:val="18"/>
                <w:szCs w:val="18"/>
              </w:rPr>
            </w:pPr>
            <w:r w:rsidRPr="000973F2">
              <w:rPr>
                <w:rFonts w:ascii="Times New Roman" w:eastAsia="Times New Roman" w:hAnsi="Times New Roman" w:cs="Times New Roman"/>
                <w:sz w:val="18"/>
                <w:szCs w:val="18"/>
              </w:rPr>
              <w:t>Activity</w:t>
            </w:r>
          </w:p>
        </w:tc>
        <w:tc>
          <w:tcPr>
            <w:tcW w:w="5040" w:type="dxa"/>
            <w:gridSpan w:val="4"/>
            <w:noWrap/>
            <w:vAlign w:val="top"/>
            <w:hideMark/>
          </w:tcPr>
          <w:p w14:paraId="67809BAE" w14:textId="77777777" w:rsidR="00FF36E8" w:rsidRPr="000973F2" w:rsidRDefault="00FF36E8" w:rsidP="00DD7B3C">
            <w:pPr>
              <w:spacing w:before="40" w:after="40"/>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sz w:val="18"/>
                <w:szCs w:val="18"/>
              </w:rPr>
            </w:pPr>
            <w:r w:rsidRPr="000973F2">
              <w:rPr>
                <w:rFonts w:ascii="Times New Roman" w:eastAsia="Times New Roman" w:hAnsi="Times New Roman" w:cs="Times New Roman"/>
                <w:sz w:val="18"/>
                <w:szCs w:val="18"/>
              </w:rPr>
              <w:t>Cost Categories</w:t>
            </w:r>
          </w:p>
        </w:tc>
        <w:tc>
          <w:tcPr>
            <w:tcW w:w="2505" w:type="dxa"/>
            <w:gridSpan w:val="2"/>
            <w:vAlign w:val="top"/>
            <w:hideMark/>
          </w:tcPr>
          <w:p w14:paraId="4BE162DD" w14:textId="77777777" w:rsidR="00FF36E8" w:rsidRPr="000973F2" w:rsidRDefault="00FF36E8" w:rsidP="00DD7B3C">
            <w:pPr>
              <w:spacing w:before="40" w:after="40"/>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sz w:val="18"/>
                <w:szCs w:val="18"/>
              </w:rPr>
            </w:pPr>
            <w:r w:rsidRPr="000973F2">
              <w:rPr>
                <w:rFonts w:ascii="Times New Roman" w:eastAsia="Times New Roman" w:hAnsi="Times New Roman" w:cs="Times New Roman"/>
                <w:sz w:val="18"/>
                <w:szCs w:val="18"/>
              </w:rPr>
              <w:t xml:space="preserve">Total Capital and O&amp;M Cost per Year per Facility </w:t>
            </w:r>
          </w:p>
          <w:p w14:paraId="209A8D68" w14:textId="77777777" w:rsidR="00FF36E8" w:rsidRPr="000973F2" w:rsidRDefault="00FF36E8" w:rsidP="00DD7B3C">
            <w:pPr>
              <w:spacing w:before="40" w:after="40"/>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sz w:val="18"/>
                <w:szCs w:val="18"/>
              </w:rPr>
            </w:pPr>
            <w:r w:rsidRPr="000973F2">
              <w:rPr>
                <w:rFonts w:ascii="Times New Roman" w:eastAsia="Times New Roman" w:hAnsi="Times New Roman" w:cs="Times New Roman"/>
                <w:sz w:val="18"/>
                <w:szCs w:val="18"/>
              </w:rPr>
              <w:t>(2017$)</w:t>
            </w:r>
          </w:p>
        </w:tc>
      </w:tr>
      <w:tr w:rsidR="00FF36E8" w:rsidRPr="000973F2" w14:paraId="0CA35C5A" w14:textId="77777777" w:rsidTr="00DD7B3C">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1785" w:type="dxa"/>
            <w:vMerge/>
            <w:noWrap/>
            <w:hideMark/>
          </w:tcPr>
          <w:p w14:paraId="0F9ED8E4" w14:textId="7E2C522F" w:rsidR="00FF36E8" w:rsidRPr="000973F2" w:rsidRDefault="00FF36E8" w:rsidP="00DD7B3C">
            <w:pPr>
              <w:spacing w:before="40" w:after="40"/>
              <w:jc w:val="center"/>
              <w:rPr>
                <w:rFonts w:ascii="Times New Roman" w:eastAsia="Times New Roman" w:hAnsi="Times New Roman" w:cs="Times New Roman"/>
                <w:b/>
                <w:sz w:val="18"/>
                <w:szCs w:val="18"/>
              </w:rPr>
            </w:pPr>
          </w:p>
        </w:tc>
        <w:tc>
          <w:tcPr>
            <w:tcW w:w="1257" w:type="dxa"/>
            <w:hideMark/>
          </w:tcPr>
          <w:p w14:paraId="5BF35973" w14:textId="77777777" w:rsidR="00FF36E8" w:rsidRPr="000973F2" w:rsidRDefault="00FF36E8" w:rsidP="00DD7B3C">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sz w:val="18"/>
                <w:szCs w:val="18"/>
              </w:rPr>
            </w:pPr>
            <w:r w:rsidRPr="000973F2">
              <w:rPr>
                <w:rFonts w:ascii="Times New Roman" w:eastAsia="Times New Roman" w:hAnsi="Times New Roman" w:cs="Times New Roman"/>
                <w:b/>
                <w:sz w:val="18"/>
                <w:szCs w:val="18"/>
              </w:rPr>
              <w:t>Capital Cost (2017$)</w:t>
            </w:r>
          </w:p>
        </w:tc>
        <w:tc>
          <w:tcPr>
            <w:tcW w:w="1258" w:type="dxa"/>
            <w:hideMark/>
          </w:tcPr>
          <w:p w14:paraId="21BB7A94" w14:textId="77777777" w:rsidR="00FF36E8" w:rsidRPr="000973F2" w:rsidRDefault="00FF36E8" w:rsidP="00DD7B3C">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sz w:val="18"/>
                <w:szCs w:val="18"/>
              </w:rPr>
            </w:pPr>
            <w:r w:rsidRPr="000973F2">
              <w:rPr>
                <w:rFonts w:ascii="Times New Roman" w:eastAsia="Times New Roman" w:hAnsi="Times New Roman" w:cs="Times New Roman"/>
                <w:b/>
                <w:sz w:val="18"/>
                <w:szCs w:val="18"/>
              </w:rPr>
              <w:t>Equipment Lifetime</w:t>
            </w:r>
          </w:p>
        </w:tc>
        <w:tc>
          <w:tcPr>
            <w:tcW w:w="1257" w:type="dxa"/>
            <w:hideMark/>
          </w:tcPr>
          <w:p w14:paraId="305A4586" w14:textId="77777777" w:rsidR="00FF36E8" w:rsidRPr="000973F2" w:rsidRDefault="00FF36E8" w:rsidP="00DD7B3C">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sz w:val="18"/>
                <w:szCs w:val="18"/>
              </w:rPr>
            </w:pPr>
            <w:r w:rsidRPr="000973F2">
              <w:rPr>
                <w:rFonts w:ascii="Times New Roman" w:eastAsia="Times New Roman" w:hAnsi="Times New Roman" w:cs="Times New Roman"/>
                <w:b/>
                <w:sz w:val="18"/>
                <w:szCs w:val="18"/>
              </w:rPr>
              <w:t>Annualized Capital Cost (2017$/year)</w:t>
            </w:r>
          </w:p>
        </w:tc>
        <w:tc>
          <w:tcPr>
            <w:tcW w:w="1268" w:type="dxa"/>
            <w:hideMark/>
          </w:tcPr>
          <w:p w14:paraId="122A03A5" w14:textId="77777777" w:rsidR="00FF36E8" w:rsidRPr="000973F2" w:rsidRDefault="00FF36E8" w:rsidP="00DD7B3C">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sz w:val="18"/>
                <w:szCs w:val="18"/>
              </w:rPr>
            </w:pPr>
            <w:r w:rsidRPr="000973F2">
              <w:rPr>
                <w:rFonts w:ascii="Times New Roman" w:eastAsia="Times New Roman" w:hAnsi="Times New Roman" w:cs="Times New Roman"/>
                <w:b/>
                <w:sz w:val="18"/>
                <w:szCs w:val="18"/>
              </w:rPr>
              <w:t>O&amp;M Costs (2017$/year)</w:t>
            </w:r>
          </w:p>
        </w:tc>
        <w:tc>
          <w:tcPr>
            <w:tcW w:w="1247" w:type="dxa"/>
            <w:hideMark/>
          </w:tcPr>
          <w:p w14:paraId="70DA7BDF" w14:textId="77777777" w:rsidR="00FF36E8" w:rsidRPr="000973F2" w:rsidRDefault="00FF36E8" w:rsidP="00DD7B3C">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sz w:val="18"/>
                <w:szCs w:val="18"/>
              </w:rPr>
            </w:pPr>
            <w:r w:rsidRPr="000973F2">
              <w:rPr>
                <w:rFonts w:ascii="Times New Roman" w:eastAsia="Times New Roman" w:hAnsi="Times New Roman" w:cs="Times New Roman"/>
                <w:b/>
                <w:sz w:val="18"/>
                <w:szCs w:val="18"/>
              </w:rPr>
              <w:t>Initial Year</w:t>
            </w:r>
          </w:p>
        </w:tc>
        <w:tc>
          <w:tcPr>
            <w:tcW w:w="1258" w:type="dxa"/>
            <w:hideMark/>
          </w:tcPr>
          <w:p w14:paraId="08CF1D4A" w14:textId="77777777" w:rsidR="00FF36E8" w:rsidRPr="000973F2" w:rsidRDefault="00FF36E8" w:rsidP="00DD7B3C">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18"/>
                <w:szCs w:val="18"/>
              </w:rPr>
            </w:pPr>
            <w:r w:rsidRPr="000973F2">
              <w:rPr>
                <w:rFonts w:ascii="Times New Roman" w:eastAsia="Times New Roman" w:hAnsi="Times New Roman" w:cs="Times New Roman"/>
                <w:b/>
                <w:bCs/>
                <w:sz w:val="18"/>
                <w:szCs w:val="18"/>
              </w:rPr>
              <w:t>Subseq. Years</w:t>
            </w:r>
          </w:p>
        </w:tc>
      </w:tr>
      <w:tr w:rsidR="003E005F" w:rsidRPr="000973F2" w14:paraId="704C35F8" w14:textId="77777777" w:rsidTr="00DD7B3C">
        <w:trPr>
          <w:cantSplit/>
        </w:trPr>
        <w:tc>
          <w:tcPr>
            <w:cnfStyle w:val="001000000000" w:firstRow="0" w:lastRow="0" w:firstColumn="1" w:lastColumn="0" w:oddVBand="0" w:evenVBand="0" w:oddHBand="0" w:evenHBand="0" w:firstRowFirstColumn="0" w:firstRowLastColumn="0" w:lastRowFirstColumn="0" w:lastRowLastColumn="0"/>
            <w:tcW w:w="1785" w:type="dxa"/>
            <w:tcMar>
              <w:right w:w="14" w:type="dxa"/>
            </w:tcMar>
            <w:hideMark/>
          </w:tcPr>
          <w:p w14:paraId="721AB292" w14:textId="77777777" w:rsidR="003E005F" w:rsidRPr="000973F2" w:rsidRDefault="003E005F" w:rsidP="00DD7B3C">
            <w:pPr>
              <w:spacing w:before="40" w:after="4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Equipment (selection, purchase, installation)</w:t>
            </w:r>
          </w:p>
        </w:tc>
        <w:tc>
          <w:tcPr>
            <w:tcW w:w="1257" w:type="dxa"/>
            <w:noWrap/>
            <w:hideMark/>
          </w:tcPr>
          <w:p w14:paraId="05418EFE" w14:textId="676F5933" w:rsidR="003E005F" w:rsidRPr="000973F2" w:rsidRDefault="00DD7B3C" w:rsidP="00DD7B3C">
            <w:pPr>
              <w:spacing w:before="40" w:after="4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w:t>
            </w:r>
          </w:p>
        </w:tc>
        <w:tc>
          <w:tcPr>
            <w:tcW w:w="1258" w:type="dxa"/>
            <w:noWrap/>
          </w:tcPr>
          <w:p w14:paraId="3F1754CE" w14:textId="09564386" w:rsidR="003E005F" w:rsidRPr="000973F2" w:rsidRDefault="003E005F" w:rsidP="00DD7B3C">
            <w:pPr>
              <w:spacing w:before="40" w:after="4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p>
        </w:tc>
        <w:tc>
          <w:tcPr>
            <w:tcW w:w="1257" w:type="dxa"/>
            <w:noWrap/>
            <w:hideMark/>
          </w:tcPr>
          <w:p w14:paraId="7D1D34F4" w14:textId="50A174F4" w:rsidR="003E005F" w:rsidRPr="000973F2" w:rsidRDefault="00DD7B3C" w:rsidP="00DD7B3C">
            <w:pPr>
              <w:spacing w:before="40" w:after="4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w:t>
            </w:r>
          </w:p>
        </w:tc>
        <w:tc>
          <w:tcPr>
            <w:tcW w:w="1268" w:type="dxa"/>
            <w:noWrap/>
            <w:hideMark/>
          </w:tcPr>
          <w:p w14:paraId="648577D7" w14:textId="621C74FD" w:rsidR="003E005F" w:rsidRPr="000973F2" w:rsidRDefault="00DD7B3C" w:rsidP="00DD7B3C">
            <w:pPr>
              <w:spacing w:before="40" w:after="4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w:t>
            </w:r>
          </w:p>
        </w:tc>
        <w:tc>
          <w:tcPr>
            <w:tcW w:w="1247" w:type="dxa"/>
            <w:noWrap/>
            <w:hideMark/>
          </w:tcPr>
          <w:p w14:paraId="6F534F0A" w14:textId="1D19F052" w:rsidR="003E005F" w:rsidRPr="000973F2" w:rsidRDefault="00DD7B3C" w:rsidP="00DD7B3C">
            <w:pPr>
              <w:spacing w:before="40" w:after="4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w:t>
            </w:r>
          </w:p>
        </w:tc>
        <w:tc>
          <w:tcPr>
            <w:tcW w:w="1258" w:type="dxa"/>
            <w:noWrap/>
            <w:hideMark/>
          </w:tcPr>
          <w:p w14:paraId="6A0C2DF6" w14:textId="38015E7B" w:rsidR="003E005F" w:rsidRPr="000973F2" w:rsidRDefault="00DD7B3C" w:rsidP="00DD7B3C">
            <w:pPr>
              <w:spacing w:before="40" w:after="4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w:t>
            </w:r>
          </w:p>
        </w:tc>
      </w:tr>
      <w:tr w:rsidR="00B42F50" w:rsidRPr="000973F2" w14:paraId="36089852" w14:textId="77777777" w:rsidTr="00DD7B3C">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1785" w:type="dxa"/>
            <w:tcMar>
              <w:right w:w="14" w:type="dxa"/>
            </w:tcMar>
            <w:hideMark/>
          </w:tcPr>
          <w:p w14:paraId="36BF51BF" w14:textId="77777777" w:rsidR="003E005F" w:rsidRPr="000973F2" w:rsidRDefault="003E005F" w:rsidP="00DD7B3C">
            <w:pPr>
              <w:spacing w:before="40" w:after="4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Performance testing</w:t>
            </w:r>
          </w:p>
        </w:tc>
        <w:tc>
          <w:tcPr>
            <w:tcW w:w="1257" w:type="dxa"/>
            <w:noWrap/>
            <w:hideMark/>
          </w:tcPr>
          <w:p w14:paraId="64AFE087" w14:textId="3528B910" w:rsidR="003E005F" w:rsidRPr="000973F2" w:rsidRDefault="00DD7B3C" w:rsidP="00DD7B3C">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w:t>
            </w:r>
          </w:p>
        </w:tc>
        <w:tc>
          <w:tcPr>
            <w:tcW w:w="1258" w:type="dxa"/>
            <w:noWrap/>
          </w:tcPr>
          <w:p w14:paraId="4A459A92" w14:textId="6939B814" w:rsidR="003E005F" w:rsidRPr="000973F2" w:rsidRDefault="003E005F" w:rsidP="00DD7B3C">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p>
        </w:tc>
        <w:tc>
          <w:tcPr>
            <w:tcW w:w="1257" w:type="dxa"/>
            <w:noWrap/>
            <w:hideMark/>
          </w:tcPr>
          <w:p w14:paraId="6B47B2B8" w14:textId="06A68735" w:rsidR="003E005F" w:rsidRPr="000973F2" w:rsidRDefault="00DD7B3C" w:rsidP="00DD7B3C">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w:t>
            </w:r>
          </w:p>
        </w:tc>
        <w:tc>
          <w:tcPr>
            <w:tcW w:w="1268" w:type="dxa"/>
            <w:noWrap/>
            <w:hideMark/>
          </w:tcPr>
          <w:p w14:paraId="38A03B53" w14:textId="65826992" w:rsidR="003E005F" w:rsidRPr="000973F2" w:rsidRDefault="00DD7B3C" w:rsidP="00DD7B3C">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w:t>
            </w:r>
          </w:p>
        </w:tc>
        <w:tc>
          <w:tcPr>
            <w:tcW w:w="1247" w:type="dxa"/>
            <w:noWrap/>
            <w:hideMark/>
          </w:tcPr>
          <w:p w14:paraId="7610AA01" w14:textId="710F43DF" w:rsidR="003E005F" w:rsidRPr="000973F2" w:rsidRDefault="00DD7B3C" w:rsidP="00DD7B3C">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w:t>
            </w:r>
          </w:p>
        </w:tc>
        <w:tc>
          <w:tcPr>
            <w:tcW w:w="1258" w:type="dxa"/>
            <w:noWrap/>
            <w:hideMark/>
          </w:tcPr>
          <w:p w14:paraId="7856D3CF" w14:textId="64B11073" w:rsidR="003E005F" w:rsidRPr="000973F2" w:rsidRDefault="00DD7B3C" w:rsidP="00DD7B3C">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w:t>
            </w:r>
          </w:p>
        </w:tc>
      </w:tr>
      <w:tr w:rsidR="003E005F" w:rsidRPr="000973F2" w14:paraId="60767A96" w14:textId="77777777" w:rsidTr="00DD7B3C">
        <w:trPr>
          <w:cantSplit/>
        </w:trPr>
        <w:tc>
          <w:tcPr>
            <w:cnfStyle w:val="001000000000" w:firstRow="0" w:lastRow="0" w:firstColumn="1" w:lastColumn="0" w:oddVBand="0" w:evenVBand="0" w:oddHBand="0" w:evenHBand="0" w:firstRowFirstColumn="0" w:firstRowLastColumn="0" w:lastRowFirstColumn="0" w:lastRowLastColumn="0"/>
            <w:tcW w:w="1785" w:type="dxa"/>
            <w:tcMar>
              <w:right w:w="14" w:type="dxa"/>
            </w:tcMar>
            <w:hideMark/>
          </w:tcPr>
          <w:p w14:paraId="02C85FD4" w14:textId="77777777" w:rsidR="003E005F" w:rsidRPr="000973F2" w:rsidRDefault="003E005F" w:rsidP="00DD7B3C">
            <w:pPr>
              <w:spacing w:before="40" w:after="4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Recordkeeping</w:t>
            </w:r>
          </w:p>
        </w:tc>
        <w:tc>
          <w:tcPr>
            <w:tcW w:w="1257" w:type="dxa"/>
            <w:noWrap/>
            <w:hideMark/>
          </w:tcPr>
          <w:p w14:paraId="5C10F9EB" w14:textId="2860FDE5" w:rsidR="003E005F" w:rsidRPr="000973F2" w:rsidRDefault="00DD7B3C" w:rsidP="00DD7B3C">
            <w:pPr>
              <w:spacing w:before="40" w:after="4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w:t>
            </w:r>
          </w:p>
        </w:tc>
        <w:tc>
          <w:tcPr>
            <w:tcW w:w="1258" w:type="dxa"/>
            <w:noWrap/>
          </w:tcPr>
          <w:p w14:paraId="1250852B" w14:textId="46B8F333" w:rsidR="003E005F" w:rsidRPr="000973F2" w:rsidRDefault="003E005F" w:rsidP="00DD7B3C">
            <w:pPr>
              <w:spacing w:before="40" w:after="4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p>
        </w:tc>
        <w:tc>
          <w:tcPr>
            <w:tcW w:w="1257" w:type="dxa"/>
            <w:noWrap/>
            <w:hideMark/>
          </w:tcPr>
          <w:p w14:paraId="3611701A" w14:textId="098E761B" w:rsidR="003E005F" w:rsidRPr="000973F2" w:rsidRDefault="00DD7B3C" w:rsidP="00DD7B3C">
            <w:pPr>
              <w:spacing w:before="40" w:after="4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w:t>
            </w:r>
          </w:p>
        </w:tc>
        <w:tc>
          <w:tcPr>
            <w:tcW w:w="1268" w:type="dxa"/>
            <w:noWrap/>
            <w:hideMark/>
          </w:tcPr>
          <w:p w14:paraId="56067919" w14:textId="235A9862" w:rsidR="003E005F" w:rsidRPr="000973F2" w:rsidRDefault="00DD7B3C" w:rsidP="00DD7B3C">
            <w:pPr>
              <w:spacing w:before="40" w:after="4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w:t>
            </w:r>
          </w:p>
        </w:tc>
        <w:tc>
          <w:tcPr>
            <w:tcW w:w="1247" w:type="dxa"/>
            <w:noWrap/>
            <w:hideMark/>
          </w:tcPr>
          <w:p w14:paraId="5160A440" w14:textId="167D6159" w:rsidR="003E005F" w:rsidRPr="000973F2" w:rsidRDefault="00DD7B3C" w:rsidP="00DD7B3C">
            <w:pPr>
              <w:spacing w:before="40" w:after="4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w:t>
            </w:r>
          </w:p>
        </w:tc>
        <w:tc>
          <w:tcPr>
            <w:tcW w:w="1258" w:type="dxa"/>
            <w:noWrap/>
            <w:hideMark/>
          </w:tcPr>
          <w:p w14:paraId="038A01DF" w14:textId="68FF8521" w:rsidR="003E005F" w:rsidRPr="000973F2" w:rsidRDefault="00DD7B3C" w:rsidP="00DD7B3C">
            <w:pPr>
              <w:spacing w:before="40" w:after="4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w:t>
            </w:r>
          </w:p>
        </w:tc>
      </w:tr>
      <w:tr w:rsidR="00B42F50" w:rsidRPr="000973F2" w14:paraId="7DDD0055" w14:textId="77777777" w:rsidTr="00DD7B3C">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1785" w:type="dxa"/>
            <w:tcMar>
              <w:right w:w="14" w:type="dxa"/>
            </w:tcMar>
            <w:hideMark/>
          </w:tcPr>
          <w:p w14:paraId="3C49BDA2" w14:textId="77777777" w:rsidR="003E005F" w:rsidRPr="000973F2" w:rsidRDefault="003E005F" w:rsidP="00DD7B3C">
            <w:pPr>
              <w:spacing w:before="40" w:after="4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Travel</w:t>
            </w:r>
          </w:p>
        </w:tc>
        <w:tc>
          <w:tcPr>
            <w:tcW w:w="1257" w:type="dxa"/>
            <w:noWrap/>
            <w:hideMark/>
          </w:tcPr>
          <w:p w14:paraId="73FCD454" w14:textId="66C0B53C" w:rsidR="003E005F" w:rsidRPr="000973F2" w:rsidRDefault="00DD7B3C" w:rsidP="00DD7B3C">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w:t>
            </w:r>
          </w:p>
        </w:tc>
        <w:tc>
          <w:tcPr>
            <w:tcW w:w="1258" w:type="dxa"/>
            <w:noWrap/>
          </w:tcPr>
          <w:p w14:paraId="456A8A9C" w14:textId="35A9EEED" w:rsidR="003E005F" w:rsidRPr="000973F2" w:rsidRDefault="003E005F" w:rsidP="00DD7B3C">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p>
        </w:tc>
        <w:tc>
          <w:tcPr>
            <w:tcW w:w="1257" w:type="dxa"/>
            <w:noWrap/>
            <w:hideMark/>
          </w:tcPr>
          <w:p w14:paraId="23545253" w14:textId="329F00D4" w:rsidR="003E005F" w:rsidRPr="000973F2" w:rsidRDefault="00DD7B3C" w:rsidP="00DD7B3C">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w:t>
            </w:r>
          </w:p>
        </w:tc>
        <w:tc>
          <w:tcPr>
            <w:tcW w:w="1268" w:type="dxa"/>
            <w:noWrap/>
            <w:hideMark/>
          </w:tcPr>
          <w:p w14:paraId="74E6F0D9" w14:textId="3C2C838A" w:rsidR="003E005F" w:rsidRPr="000973F2" w:rsidRDefault="00DD7B3C" w:rsidP="00DD7B3C">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w:t>
            </w:r>
          </w:p>
        </w:tc>
        <w:tc>
          <w:tcPr>
            <w:tcW w:w="1247" w:type="dxa"/>
            <w:noWrap/>
            <w:hideMark/>
          </w:tcPr>
          <w:p w14:paraId="5AB2A599" w14:textId="4A9536CD" w:rsidR="003E005F" w:rsidRPr="000973F2" w:rsidRDefault="00DD7B3C" w:rsidP="00DD7B3C">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w:t>
            </w:r>
          </w:p>
        </w:tc>
        <w:tc>
          <w:tcPr>
            <w:tcW w:w="1258" w:type="dxa"/>
            <w:noWrap/>
            <w:hideMark/>
          </w:tcPr>
          <w:p w14:paraId="1287C6A9" w14:textId="714859A2" w:rsidR="003E005F" w:rsidRPr="000973F2" w:rsidRDefault="00DD7B3C" w:rsidP="00DD7B3C">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w:t>
            </w:r>
          </w:p>
        </w:tc>
      </w:tr>
      <w:tr w:rsidR="001B195A" w:rsidRPr="000973F2" w14:paraId="31C0E3D7" w14:textId="77777777" w:rsidTr="00DD7B3C">
        <w:trPr>
          <w:cantSplit/>
        </w:trPr>
        <w:tc>
          <w:tcPr>
            <w:cnfStyle w:val="001000000000" w:firstRow="0" w:lastRow="0" w:firstColumn="1" w:lastColumn="0" w:oddVBand="0" w:evenVBand="0" w:oddHBand="0" w:evenHBand="0" w:firstRowFirstColumn="0" w:firstRowLastColumn="0" w:lastRowFirstColumn="0" w:lastRowLastColumn="0"/>
            <w:tcW w:w="1785" w:type="dxa"/>
            <w:tcMar>
              <w:right w:w="14" w:type="dxa"/>
            </w:tcMar>
            <w:hideMark/>
          </w:tcPr>
          <w:p w14:paraId="2262ACE6" w14:textId="77777777" w:rsidR="001B195A" w:rsidRPr="000973F2" w:rsidRDefault="001B195A" w:rsidP="00DD7B3C">
            <w:pPr>
              <w:spacing w:before="40" w:after="4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Sampling and Analysis Costs</w:t>
            </w:r>
          </w:p>
        </w:tc>
        <w:tc>
          <w:tcPr>
            <w:tcW w:w="1257" w:type="dxa"/>
            <w:noWrap/>
            <w:hideMark/>
          </w:tcPr>
          <w:p w14:paraId="3E8FBC4F" w14:textId="77777777" w:rsidR="001B195A" w:rsidRPr="000973F2" w:rsidRDefault="001B195A" w:rsidP="00DD7B3C">
            <w:pPr>
              <w:spacing w:before="40" w:after="4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$0</w:t>
            </w:r>
          </w:p>
        </w:tc>
        <w:tc>
          <w:tcPr>
            <w:tcW w:w="1258" w:type="dxa"/>
            <w:noWrap/>
            <w:hideMark/>
          </w:tcPr>
          <w:p w14:paraId="2B380ADA" w14:textId="4D5DAEA8" w:rsidR="001B195A" w:rsidRPr="000973F2" w:rsidRDefault="001B195A" w:rsidP="00DD7B3C">
            <w:pPr>
              <w:spacing w:before="40" w:after="4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p>
        </w:tc>
        <w:tc>
          <w:tcPr>
            <w:tcW w:w="1257" w:type="dxa"/>
            <w:noWrap/>
            <w:hideMark/>
          </w:tcPr>
          <w:p w14:paraId="2005131B" w14:textId="77777777" w:rsidR="001B195A" w:rsidRPr="000973F2" w:rsidRDefault="001B195A" w:rsidP="00DD7B3C">
            <w:pPr>
              <w:spacing w:before="40" w:after="4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$0</w:t>
            </w:r>
          </w:p>
        </w:tc>
        <w:tc>
          <w:tcPr>
            <w:tcW w:w="1268" w:type="dxa"/>
            <w:noWrap/>
            <w:hideMark/>
          </w:tcPr>
          <w:p w14:paraId="7DBAB857" w14:textId="77777777" w:rsidR="001B195A" w:rsidRPr="000973F2" w:rsidRDefault="001B195A" w:rsidP="00DD7B3C">
            <w:pPr>
              <w:spacing w:before="40" w:after="4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$36,971</w:t>
            </w:r>
          </w:p>
        </w:tc>
        <w:tc>
          <w:tcPr>
            <w:tcW w:w="1247" w:type="dxa"/>
            <w:noWrap/>
            <w:hideMark/>
          </w:tcPr>
          <w:p w14:paraId="7F3ED105" w14:textId="77777777" w:rsidR="001B195A" w:rsidRPr="000973F2" w:rsidRDefault="001B195A" w:rsidP="00DD7B3C">
            <w:pPr>
              <w:spacing w:before="40" w:after="4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$0</w:t>
            </w:r>
          </w:p>
        </w:tc>
        <w:tc>
          <w:tcPr>
            <w:tcW w:w="1258" w:type="dxa"/>
            <w:noWrap/>
            <w:hideMark/>
          </w:tcPr>
          <w:p w14:paraId="27E5B0EB" w14:textId="77777777" w:rsidR="001B195A" w:rsidRPr="000973F2" w:rsidRDefault="001B195A" w:rsidP="00DD7B3C">
            <w:pPr>
              <w:spacing w:before="40" w:after="4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$36,971</w:t>
            </w:r>
          </w:p>
        </w:tc>
      </w:tr>
      <w:tr w:rsidR="001B195A" w:rsidRPr="000973F2" w14:paraId="38F836A3" w14:textId="77777777" w:rsidTr="00DD7B3C">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1785" w:type="dxa"/>
            <w:tcMar>
              <w:right w:w="14" w:type="dxa"/>
            </w:tcMar>
            <w:hideMark/>
          </w:tcPr>
          <w:p w14:paraId="4FF178FC" w14:textId="77777777" w:rsidR="001B195A" w:rsidRPr="000973F2" w:rsidRDefault="001B195A" w:rsidP="00DD7B3C">
            <w:pPr>
              <w:spacing w:before="40" w:after="40"/>
              <w:rPr>
                <w:rFonts w:ascii="Times New Roman" w:eastAsia="Times New Roman" w:hAnsi="Times New Roman" w:cs="Times New Roman"/>
                <w:b/>
                <w:sz w:val="18"/>
                <w:szCs w:val="18"/>
              </w:rPr>
            </w:pPr>
            <w:r w:rsidRPr="000973F2">
              <w:rPr>
                <w:rFonts w:ascii="Times New Roman" w:eastAsia="Times New Roman" w:hAnsi="Times New Roman" w:cs="Times New Roman"/>
                <w:b/>
                <w:sz w:val="18"/>
                <w:szCs w:val="18"/>
              </w:rPr>
              <w:t>Total</w:t>
            </w:r>
          </w:p>
        </w:tc>
        <w:tc>
          <w:tcPr>
            <w:tcW w:w="1257" w:type="dxa"/>
            <w:noWrap/>
            <w:hideMark/>
          </w:tcPr>
          <w:p w14:paraId="7DBB3921" w14:textId="77777777" w:rsidR="001B195A" w:rsidRPr="000973F2" w:rsidRDefault="001B195A" w:rsidP="00DD7B3C">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$0</w:t>
            </w:r>
          </w:p>
        </w:tc>
        <w:tc>
          <w:tcPr>
            <w:tcW w:w="1258" w:type="dxa"/>
            <w:noWrap/>
            <w:hideMark/>
          </w:tcPr>
          <w:p w14:paraId="128BA22C" w14:textId="1E024231" w:rsidR="001B195A" w:rsidRPr="000973F2" w:rsidRDefault="001B195A" w:rsidP="00DD7B3C">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p>
        </w:tc>
        <w:tc>
          <w:tcPr>
            <w:tcW w:w="1257" w:type="dxa"/>
            <w:noWrap/>
            <w:hideMark/>
          </w:tcPr>
          <w:p w14:paraId="11D93D24" w14:textId="77777777" w:rsidR="001B195A" w:rsidRPr="000973F2" w:rsidRDefault="001B195A" w:rsidP="00DD7B3C">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$0</w:t>
            </w:r>
          </w:p>
        </w:tc>
        <w:tc>
          <w:tcPr>
            <w:tcW w:w="1268" w:type="dxa"/>
            <w:noWrap/>
            <w:hideMark/>
          </w:tcPr>
          <w:p w14:paraId="560B48AC" w14:textId="77777777" w:rsidR="001B195A" w:rsidRPr="000973F2" w:rsidRDefault="001B195A" w:rsidP="00DD7B3C">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$36,971</w:t>
            </w:r>
          </w:p>
        </w:tc>
        <w:tc>
          <w:tcPr>
            <w:tcW w:w="1247" w:type="dxa"/>
            <w:noWrap/>
            <w:hideMark/>
          </w:tcPr>
          <w:p w14:paraId="09EFC9FA" w14:textId="77777777" w:rsidR="001B195A" w:rsidRPr="000973F2" w:rsidRDefault="001B195A" w:rsidP="00DD7B3C">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$0</w:t>
            </w:r>
          </w:p>
        </w:tc>
        <w:tc>
          <w:tcPr>
            <w:tcW w:w="1258" w:type="dxa"/>
            <w:noWrap/>
            <w:hideMark/>
          </w:tcPr>
          <w:p w14:paraId="4F2426FA" w14:textId="77777777" w:rsidR="001B195A" w:rsidRPr="000973F2" w:rsidRDefault="001B195A" w:rsidP="00DD7B3C">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$36,971</w:t>
            </w:r>
          </w:p>
        </w:tc>
      </w:tr>
    </w:tbl>
    <w:p w14:paraId="2554E1AF" w14:textId="77777777" w:rsidR="001B195A" w:rsidRPr="000973F2" w:rsidRDefault="001B195A" w:rsidP="000936D6">
      <w:pPr>
        <w:pStyle w:val="AfterTable"/>
      </w:pPr>
    </w:p>
    <w:p w14:paraId="4462C194" w14:textId="77777777" w:rsidR="001B195A" w:rsidRPr="000973F2" w:rsidRDefault="001B195A" w:rsidP="000936D6">
      <w:pPr>
        <w:pStyle w:val="Heading2"/>
      </w:pPr>
      <w:r w:rsidRPr="000973F2">
        <w:t>Total Costs for Subpart I</w:t>
      </w:r>
    </w:p>
    <w:p w14:paraId="1BA91DCA" w14:textId="28F213DD" w:rsidR="001B195A" w:rsidRPr="000973F2" w:rsidRDefault="001B195A" w:rsidP="00DD7B3C">
      <w:pPr>
        <w:pStyle w:val="BodyText"/>
      </w:pPr>
      <w:r w:rsidRPr="000973F2">
        <w:t xml:space="preserve">The total industry costs related to Subpart I average $1,142,000 per year for existing sources and approximately $19,000 per year for each new source, for a total of </w:t>
      </w:r>
      <w:r w:rsidR="00316561" w:rsidRPr="000973F2">
        <w:t>$</w:t>
      </w:r>
      <w:r w:rsidR="009903E9" w:rsidRPr="000973F2">
        <w:t xml:space="preserve">1,160,000 per year and </w:t>
      </w:r>
      <w:r w:rsidRPr="000973F2">
        <w:t xml:space="preserve">$3,481,000 over the three-year period of the ICR. Total costs are based on 54 facilities in 2019, 55 in 2020 and 56 in 2021, which accounts for the one new facility per year. </w:t>
      </w:r>
    </w:p>
    <w:p w14:paraId="46E09EFB" w14:textId="77777777" w:rsidR="00FC1EBC" w:rsidRPr="000973F2" w:rsidRDefault="00FC1EBC" w:rsidP="00C00E4F">
      <w:pPr>
        <w:spacing w:line="240" w:lineRule="auto"/>
        <w:rPr>
          <w:rFonts w:ascii="Times New Roman" w:hAnsi="Times New Roman" w:cs="Times New Roman"/>
        </w:rPr>
      </w:pPr>
    </w:p>
    <w:p w14:paraId="221A2FAB" w14:textId="4DC14C7F" w:rsidR="00FC1EBC" w:rsidRPr="000973F2" w:rsidRDefault="00FC1EBC" w:rsidP="00C00E4F">
      <w:pPr>
        <w:spacing w:line="240" w:lineRule="auto"/>
        <w:rPr>
          <w:rFonts w:ascii="Times New Roman" w:hAnsi="Times New Roman" w:cs="Times New Roman"/>
        </w:rPr>
      </w:pPr>
      <w:r w:rsidRPr="000973F2">
        <w:rPr>
          <w:rFonts w:ascii="Times New Roman" w:hAnsi="Times New Roman" w:cs="Times New Roman"/>
        </w:rPr>
        <w:br w:type="page"/>
      </w:r>
    </w:p>
    <w:p w14:paraId="00F4451D" w14:textId="77777777" w:rsidR="00661EA1" w:rsidRPr="000973F2" w:rsidRDefault="00661EA1" w:rsidP="00C00E4F">
      <w:pPr>
        <w:pStyle w:val="Heading1"/>
        <w:spacing w:line="240" w:lineRule="auto"/>
      </w:pPr>
      <w:bookmarkStart w:id="21" w:name="_Toc10715602"/>
      <w:r w:rsidRPr="000973F2">
        <w:t>Cost Appendix for Subpart K – Ferroalloy Production</w:t>
      </w:r>
      <w:bookmarkEnd w:id="21"/>
    </w:p>
    <w:p w14:paraId="360C1D76" w14:textId="77777777" w:rsidR="00661EA1" w:rsidRPr="000973F2" w:rsidRDefault="00661EA1" w:rsidP="00DD7B3C">
      <w:pPr>
        <w:pStyle w:val="Heading2"/>
      </w:pPr>
      <w:r w:rsidRPr="000973F2">
        <w:t>Description of Subpart K</w:t>
      </w:r>
    </w:p>
    <w:p w14:paraId="09D30CFE" w14:textId="4FE086C4" w:rsidR="00661EA1" w:rsidRPr="000973F2" w:rsidRDefault="00661EA1" w:rsidP="00DD7B3C">
      <w:pPr>
        <w:pStyle w:val="BodyText"/>
      </w:pPr>
      <w:r w:rsidRPr="000973F2">
        <w:t>For purposes of the GHGRP, the ferroalloy production source category consists of any facility that uses pyro</w:t>
      </w:r>
      <w:r w:rsidR="00051F9B">
        <w:t>metallurgical</w:t>
      </w:r>
      <w:r w:rsidRPr="000973F2">
        <w:t xml:space="preserve"> techniques to produce any of the following metals: ferrochromium, ferromanganese, ferromolybdenum, ferronickel, ferrosilicon, ferrotitanium, ferrotungsten, ferrovanadium, silicomanganese, or silicon metal. Facilities typically contain one or more electric arc furnaces (EAF) to produce their ferroalloy products. In </w:t>
      </w:r>
      <w:r w:rsidR="009F5E7A" w:rsidRPr="000973F2">
        <w:t>RY</w:t>
      </w:r>
      <w:r w:rsidRPr="000973F2">
        <w:t xml:space="preserve">2017, 10 facilities reported to Subpart K. This number has not changed in many years; therefore, no new </w:t>
      </w:r>
      <w:r w:rsidR="0037343F" w:rsidRPr="000973F2">
        <w:t xml:space="preserve">facilities </w:t>
      </w:r>
      <w:r w:rsidRPr="000973F2">
        <w:t xml:space="preserve">are expected </w:t>
      </w:r>
      <w:r w:rsidR="00190518" w:rsidRPr="000973F2">
        <w:t>during</w:t>
      </w:r>
      <w:r w:rsidRPr="000973F2">
        <w:t xml:space="preserve"> the three year</w:t>
      </w:r>
      <w:r w:rsidR="00190518" w:rsidRPr="000973F2">
        <w:t xml:space="preserve"> period covered by this ICR</w:t>
      </w:r>
      <w:r w:rsidRPr="000973F2">
        <w:t xml:space="preserve">. Initial year costs apply only to new </w:t>
      </w:r>
      <w:r w:rsidR="0037343F" w:rsidRPr="000973F2">
        <w:t>facilities</w:t>
      </w:r>
      <w:r w:rsidRPr="000973F2">
        <w:t>; therefore, these costs are zero in the tables below.</w:t>
      </w:r>
    </w:p>
    <w:p w14:paraId="00A6120B" w14:textId="66140C30" w:rsidR="00661EA1" w:rsidRPr="000973F2" w:rsidRDefault="00661EA1" w:rsidP="00DD7B3C">
      <w:pPr>
        <w:pStyle w:val="BodyText"/>
      </w:pPr>
      <w:r w:rsidRPr="000973F2">
        <w:t>There are two options for determining emissions under Subpart K. Facilities may either report using a carbon mass balance procedure specified in §98.113(b) or by using a CEMS</w:t>
      </w:r>
      <w:r w:rsidR="00190518" w:rsidRPr="000973F2">
        <w:t xml:space="preserve"> per §98.113(a)</w:t>
      </w:r>
      <w:r w:rsidRPr="000973F2">
        <w:t xml:space="preserve">. There are no Subpart K </w:t>
      </w:r>
      <w:r w:rsidR="0037343F" w:rsidRPr="000973F2">
        <w:t xml:space="preserve">facilities </w:t>
      </w:r>
      <w:r w:rsidRPr="000973F2">
        <w:t>that use CEMS; therefore, costs were not estimated for the CEMS option.</w:t>
      </w:r>
    </w:p>
    <w:p w14:paraId="199E88A3" w14:textId="77777777" w:rsidR="00661EA1" w:rsidRPr="000973F2" w:rsidRDefault="00661EA1" w:rsidP="00DD7B3C">
      <w:pPr>
        <w:pStyle w:val="Heading2"/>
      </w:pPr>
      <w:r w:rsidRPr="000973F2">
        <w:t>Labor Costs for Subpart K</w:t>
      </w:r>
    </w:p>
    <w:p w14:paraId="71EC90C8" w14:textId="39E3D335" w:rsidR="00661EA1" w:rsidRPr="000973F2" w:rsidRDefault="00661EA1" w:rsidP="00DD7B3C">
      <w:pPr>
        <w:pStyle w:val="BodyText"/>
        <w:rPr>
          <w:rFonts w:eastAsia="Times New Roman"/>
          <w:b/>
          <w:bCs/>
          <w:color w:val="000000"/>
        </w:rPr>
      </w:pPr>
      <w:r w:rsidRPr="000973F2">
        <w:t xml:space="preserve">Table </w:t>
      </w:r>
      <w:r w:rsidR="00DD7B3C" w:rsidRPr="000973F2">
        <w:t>K-</w:t>
      </w:r>
      <w:r w:rsidRPr="000973F2">
        <w:t xml:space="preserve">1 estimates the expected labor costs for each of the ten </w:t>
      </w:r>
      <w:r w:rsidR="0037343F" w:rsidRPr="000973F2">
        <w:t xml:space="preserve">facilities </w:t>
      </w:r>
      <w:r w:rsidRPr="000973F2">
        <w:t>to use the carbon mass balance option. Typical activities for each of the labor activities are discussed in the Cost Appendix Introduction. Sampling and analysis (calculations) hours include completion of the measurements and calculations in §98.113, including calculation of the CO</w:t>
      </w:r>
      <w:r w:rsidRPr="000973F2">
        <w:rPr>
          <w:vertAlign w:val="subscript"/>
        </w:rPr>
        <w:t>2</w:t>
      </w:r>
      <w:r w:rsidRPr="000973F2">
        <w:t xml:space="preserve"> emissions from each EAF and the carbon mass balance for each input and output included in </w:t>
      </w:r>
      <w:r w:rsidR="003F501C" w:rsidRPr="000973F2">
        <w:t>E</w:t>
      </w:r>
      <w:r w:rsidRPr="000973F2">
        <w:t>quation K-1. The</w:t>
      </w:r>
      <w:r w:rsidR="002D0993" w:rsidRPr="000973F2">
        <w:t>re are an average of two</w:t>
      </w:r>
      <w:r w:rsidRPr="000973F2">
        <w:t xml:space="preserve"> EAFs </w:t>
      </w:r>
      <w:r w:rsidR="002D0993" w:rsidRPr="000973F2">
        <w:t>per facilit</w:t>
      </w:r>
      <w:r w:rsidR="00091BB1" w:rsidRPr="000973F2">
        <w:t>y.</w:t>
      </w:r>
      <w:r w:rsidRPr="000973F2">
        <w:t xml:space="preserve"> Recordkeeping and reporting hours for Subpart K are based on the “medium bin” designation, as discussed in the Cost Appendix Introduction.</w:t>
      </w:r>
    </w:p>
    <w:p w14:paraId="603A3930" w14:textId="7F54B5CD" w:rsidR="00661EA1" w:rsidRPr="000973F2" w:rsidRDefault="00477424" w:rsidP="00DD7B3C">
      <w:pPr>
        <w:pStyle w:val="Tabletitle"/>
      </w:pPr>
      <w:r w:rsidRPr="000973F2">
        <w:t xml:space="preserve">Table </w:t>
      </w:r>
      <w:r w:rsidR="00DD7B3C" w:rsidRPr="000973F2">
        <w:t>K-</w:t>
      </w:r>
      <w:r w:rsidRPr="000973F2">
        <w:t xml:space="preserve">1. Labor Costs </w:t>
      </w:r>
      <w:r w:rsidR="00DD7B3C" w:rsidRPr="000973F2">
        <w:t>–</w:t>
      </w:r>
      <w:r w:rsidRPr="000973F2">
        <w:t xml:space="preserve"> </w:t>
      </w:r>
      <w:r w:rsidR="00661EA1" w:rsidRPr="000973F2">
        <w:t>Subpart K</w:t>
      </w:r>
    </w:p>
    <w:tbl>
      <w:tblPr>
        <w:tblStyle w:val="PlainTable1"/>
        <w:tblW w:w="5000" w:type="pct"/>
        <w:jc w:val="left"/>
        <w:tblLayout w:type="fixed"/>
        <w:tblCellMar>
          <w:left w:w="115" w:type="dxa"/>
          <w:right w:w="115" w:type="dxa"/>
        </w:tblCellMar>
        <w:tblLook w:val="04A0" w:firstRow="1" w:lastRow="0" w:firstColumn="1" w:lastColumn="0" w:noHBand="0" w:noVBand="1"/>
      </w:tblPr>
      <w:tblGrid>
        <w:gridCol w:w="1371"/>
        <w:gridCol w:w="809"/>
        <w:gridCol w:w="809"/>
        <w:gridCol w:w="810"/>
        <w:gridCol w:w="809"/>
        <w:gridCol w:w="809"/>
        <w:gridCol w:w="810"/>
        <w:gridCol w:w="809"/>
        <w:gridCol w:w="810"/>
        <w:gridCol w:w="872"/>
        <w:gridCol w:w="872"/>
      </w:tblGrid>
      <w:tr w:rsidR="00661EA1" w:rsidRPr="000973F2" w14:paraId="1D6F7C83" w14:textId="77777777" w:rsidTr="00DD7B3C">
        <w:trPr>
          <w:cnfStyle w:val="100000000000" w:firstRow="1" w:lastRow="0" w:firstColumn="0" w:lastColumn="0" w:oddVBand="0" w:evenVBand="0" w:oddHBand="0" w:evenHBand="0" w:firstRowFirstColumn="0" w:firstRowLastColumn="0" w:lastRowFirstColumn="0" w:lastRowLastColumn="0"/>
          <w:cantSplit/>
          <w:jc w:val="left"/>
        </w:trPr>
        <w:tc>
          <w:tcPr>
            <w:cnfStyle w:val="001000000000" w:firstRow="0" w:lastRow="0" w:firstColumn="1" w:lastColumn="0" w:oddVBand="0" w:evenVBand="0" w:oddHBand="0" w:evenHBand="0" w:firstRowFirstColumn="0" w:firstRowLastColumn="0" w:lastRowFirstColumn="0" w:lastRowLastColumn="0"/>
            <w:tcW w:w="1335" w:type="dxa"/>
            <w:vMerge w:val="restart"/>
            <w:noWrap/>
            <w:vAlign w:val="top"/>
            <w:hideMark/>
          </w:tcPr>
          <w:p w14:paraId="34B0C4B3" w14:textId="77777777" w:rsidR="00661EA1" w:rsidRPr="000973F2" w:rsidRDefault="00661EA1" w:rsidP="00DD7B3C">
            <w:pPr>
              <w:spacing w:before="40" w:after="40"/>
              <w:rPr>
                <w:rFonts w:ascii="Times New Roman" w:eastAsia="Times New Roman" w:hAnsi="Times New Roman" w:cs="Times New Roman"/>
                <w:b w:val="0"/>
                <w:bCs w:val="0"/>
                <w:sz w:val="18"/>
                <w:szCs w:val="18"/>
              </w:rPr>
            </w:pPr>
            <w:r w:rsidRPr="000973F2">
              <w:rPr>
                <w:rFonts w:ascii="Times New Roman" w:eastAsia="Times New Roman" w:hAnsi="Times New Roman" w:cs="Times New Roman"/>
                <w:sz w:val="18"/>
                <w:szCs w:val="18"/>
              </w:rPr>
              <w:t>Activity</w:t>
            </w:r>
          </w:p>
        </w:tc>
        <w:tc>
          <w:tcPr>
            <w:tcW w:w="6299" w:type="dxa"/>
            <w:gridSpan w:val="8"/>
            <w:noWrap/>
            <w:vAlign w:val="top"/>
            <w:hideMark/>
          </w:tcPr>
          <w:p w14:paraId="7C76CDD5" w14:textId="77777777" w:rsidR="00661EA1" w:rsidRPr="000973F2" w:rsidRDefault="00661EA1" w:rsidP="00DD7B3C">
            <w:pPr>
              <w:spacing w:before="40" w:after="40"/>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bCs w:val="0"/>
                <w:sz w:val="18"/>
                <w:szCs w:val="18"/>
              </w:rPr>
            </w:pPr>
            <w:r w:rsidRPr="000973F2">
              <w:rPr>
                <w:rFonts w:ascii="Times New Roman" w:eastAsia="Times New Roman" w:hAnsi="Times New Roman" w:cs="Times New Roman"/>
                <w:sz w:val="18"/>
                <w:szCs w:val="18"/>
              </w:rPr>
              <w:t>Labor Rates (per hour)</w:t>
            </w:r>
          </w:p>
        </w:tc>
        <w:tc>
          <w:tcPr>
            <w:tcW w:w="1696" w:type="dxa"/>
            <w:gridSpan w:val="2"/>
            <w:vMerge w:val="restart"/>
            <w:vAlign w:val="top"/>
            <w:hideMark/>
          </w:tcPr>
          <w:p w14:paraId="74C3572B" w14:textId="16E858DB" w:rsidR="00661EA1" w:rsidRPr="000973F2" w:rsidRDefault="00661EA1" w:rsidP="00DD7B3C">
            <w:pPr>
              <w:spacing w:before="40" w:after="40"/>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bCs w:val="0"/>
                <w:sz w:val="18"/>
                <w:szCs w:val="18"/>
              </w:rPr>
            </w:pPr>
            <w:r w:rsidRPr="000973F2">
              <w:rPr>
                <w:rFonts w:ascii="Times New Roman" w:eastAsia="Times New Roman" w:hAnsi="Times New Roman" w:cs="Times New Roman"/>
                <w:sz w:val="18"/>
                <w:szCs w:val="18"/>
              </w:rPr>
              <w:t>Total Labor Cost per Year per Facility</w:t>
            </w:r>
            <w:r w:rsidR="00DD7B3C" w:rsidRPr="000973F2">
              <w:rPr>
                <w:rFonts w:ascii="Times New Roman" w:eastAsia="Times New Roman" w:hAnsi="Times New Roman" w:cs="Times New Roman"/>
                <w:sz w:val="18"/>
                <w:szCs w:val="18"/>
              </w:rPr>
              <w:t xml:space="preserve"> </w:t>
            </w:r>
          </w:p>
          <w:p w14:paraId="04F3F0F4" w14:textId="77777777" w:rsidR="00661EA1" w:rsidRPr="000973F2" w:rsidRDefault="00661EA1" w:rsidP="00DD7B3C">
            <w:pPr>
              <w:spacing w:before="40" w:after="40"/>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bCs w:val="0"/>
                <w:sz w:val="18"/>
                <w:szCs w:val="18"/>
              </w:rPr>
            </w:pPr>
            <w:r w:rsidRPr="000973F2">
              <w:rPr>
                <w:rFonts w:ascii="Times New Roman" w:eastAsia="Times New Roman" w:hAnsi="Times New Roman" w:cs="Times New Roman"/>
                <w:sz w:val="18"/>
                <w:szCs w:val="18"/>
              </w:rPr>
              <w:t>(2017$)</w:t>
            </w:r>
          </w:p>
        </w:tc>
      </w:tr>
      <w:tr w:rsidR="00661EA1" w:rsidRPr="000973F2" w14:paraId="242EA4A6" w14:textId="77777777" w:rsidTr="00DD7B3C">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1335" w:type="dxa"/>
            <w:vMerge/>
            <w:hideMark/>
          </w:tcPr>
          <w:p w14:paraId="59086616" w14:textId="77777777" w:rsidR="00661EA1" w:rsidRPr="000973F2" w:rsidRDefault="00661EA1" w:rsidP="00DD7B3C">
            <w:pPr>
              <w:spacing w:before="40" w:after="40"/>
              <w:rPr>
                <w:rFonts w:ascii="Times New Roman" w:eastAsia="Times New Roman" w:hAnsi="Times New Roman" w:cs="Times New Roman"/>
                <w:b/>
                <w:bCs w:val="0"/>
                <w:sz w:val="18"/>
                <w:szCs w:val="18"/>
              </w:rPr>
            </w:pPr>
          </w:p>
        </w:tc>
        <w:tc>
          <w:tcPr>
            <w:tcW w:w="1574" w:type="dxa"/>
            <w:gridSpan w:val="2"/>
            <w:noWrap/>
            <w:hideMark/>
          </w:tcPr>
          <w:p w14:paraId="3241322F" w14:textId="77777777" w:rsidR="00661EA1" w:rsidRPr="000973F2" w:rsidRDefault="00661EA1" w:rsidP="00DD7B3C">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18"/>
                <w:szCs w:val="18"/>
              </w:rPr>
            </w:pPr>
            <w:r w:rsidRPr="000973F2">
              <w:rPr>
                <w:rFonts w:ascii="Times New Roman" w:eastAsia="Times New Roman" w:hAnsi="Times New Roman" w:cs="Times New Roman"/>
                <w:b/>
                <w:bCs/>
                <w:sz w:val="18"/>
                <w:szCs w:val="18"/>
              </w:rPr>
              <w:t>Lawyer</w:t>
            </w:r>
          </w:p>
        </w:tc>
        <w:tc>
          <w:tcPr>
            <w:tcW w:w="1575" w:type="dxa"/>
            <w:gridSpan w:val="2"/>
            <w:noWrap/>
            <w:hideMark/>
          </w:tcPr>
          <w:p w14:paraId="0A2F06E6" w14:textId="77777777" w:rsidR="00661EA1" w:rsidRPr="000973F2" w:rsidRDefault="00661EA1" w:rsidP="00DD7B3C">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18"/>
                <w:szCs w:val="18"/>
              </w:rPr>
            </w:pPr>
            <w:r w:rsidRPr="000973F2">
              <w:rPr>
                <w:rFonts w:ascii="Times New Roman" w:eastAsia="Times New Roman" w:hAnsi="Times New Roman" w:cs="Times New Roman"/>
                <w:b/>
                <w:bCs/>
                <w:sz w:val="18"/>
                <w:szCs w:val="18"/>
              </w:rPr>
              <w:t>Industrial Manager</w:t>
            </w:r>
          </w:p>
        </w:tc>
        <w:tc>
          <w:tcPr>
            <w:tcW w:w="1575" w:type="dxa"/>
            <w:gridSpan w:val="2"/>
            <w:hideMark/>
          </w:tcPr>
          <w:p w14:paraId="2DF1C24D" w14:textId="6255F6C2" w:rsidR="00661EA1" w:rsidRPr="000973F2" w:rsidRDefault="00661EA1" w:rsidP="00DD7B3C">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18"/>
                <w:szCs w:val="18"/>
              </w:rPr>
            </w:pPr>
            <w:r w:rsidRPr="000973F2">
              <w:rPr>
                <w:rFonts w:ascii="Times New Roman" w:eastAsia="Times New Roman" w:hAnsi="Times New Roman" w:cs="Times New Roman"/>
                <w:b/>
                <w:bCs/>
                <w:sz w:val="18"/>
                <w:szCs w:val="18"/>
              </w:rPr>
              <w:t>Industrial Engineer/</w:t>
            </w:r>
            <w:r w:rsidR="00DD7B3C" w:rsidRPr="000973F2">
              <w:rPr>
                <w:rFonts w:ascii="Times New Roman" w:eastAsia="Times New Roman" w:hAnsi="Times New Roman" w:cs="Times New Roman"/>
                <w:b/>
                <w:bCs/>
                <w:sz w:val="18"/>
                <w:szCs w:val="18"/>
              </w:rPr>
              <w:t xml:space="preserve"> </w:t>
            </w:r>
            <w:r w:rsidRPr="000973F2">
              <w:rPr>
                <w:rFonts w:ascii="Times New Roman" w:eastAsia="Times New Roman" w:hAnsi="Times New Roman" w:cs="Times New Roman"/>
                <w:b/>
                <w:bCs/>
                <w:sz w:val="18"/>
                <w:szCs w:val="18"/>
              </w:rPr>
              <w:t>Technician</w:t>
            </w:r>
          </w:p>
        </w:tc>
        <w:tc>
          <w:tcPr>
            <w:tcW w:w="1575" w:type="dxa"/>
            <w:gridSpan w:val="2"/>
            <w:hideMark/>
          </w:tcPr>
          <w:p w14:paraId="2EB7D07A" w14:textId="77777777" w:rsidR="00661EA1" w:rsidRPr="000973F2" w:rsidRDefault="00661EA1" w:rsidP="00DD7B3C">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18"/>
                <w:szCs w:val="18"/>
              </w:rPr>
            </w:pPr>
            <w:r w:rsidRPr="000973F2">
              <w:rPr>
                <w:rFonts w:ascii="Times New Roman" w:eastAsia="Times New Roman" w:hAnsi="Times New Roman" w:cs="Times New Roman"/>
                <w:b/>
                <w:bCs/>
                <w:sz w:val="18"/>
                <w:szCs w:val="18"/>
              </w:rPr>
              <w:t>Administrative Support</w:t>
            </w:r>
          </w:p>
        </w:tc>
        <w:tc>
          <w:tcPr>
            <w:tcW w:w="1696" w:type="dxa"/>
            <w:gridSpan w:val="2"/>
            <w:vMerge/>
            <w:hideMark/>
          </w:tcPr>
          <w:p w14:paraId="5CC59D41" w14:textId="77777777" w:rsidR="00661EA1" w:rsidRPr="000973F2" w:rsidRDefault="00661EA1" w:rsidP="00DD7B3C">
            <w:pPr>
              <w:spacing w:before="40" w:after="4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18"/>
                <w:szCs w:val="18"/>
              </w:rPr>
            </w:pPr>
          </w:p>
        </w:tc>
      </w:tr>
      <w:tr w:rsidR="00661EA1" w:rsidRPr="000973F2" w14:paraId="6EB4F6B0" w14:textId="77777777" w:rsidTr="00DD7B3C">
        <w:trPr>
          <w:cantSplit/>
        </w:trPr>
        <w:tc>
          <w:tcPr>
            <w:cnfStyle w:val="001000000000" w:firstRow="0" w:lastRow="0" w:firstColumn="1" w:lastColumn="0" w:oddVBand="0" w:evenVBand="0" w:oddHBand="0" w:evenHBand="0" w:firstRowFirstColumn="0" w:firstRowLastColumn="0" w:lastRowFirstColumn="0" w:lastRowLastColumn="0"/>
            <w:tcW w:w="1335" w:type="dxa"/>
            <w:vMerge/>
            <w:hideMark/>
          </w:tcPr>
          <w:p w14:paraId="2C6F4C92" w14:textId="77777777" w:rsidR="00661EA1" w:rsidRPr="000973F2" w:rsidRDefault="00661EA1" w:rsidP="00DD7B3C">
            <w:pPr>
              <w:spacing w:before="40" w:after="40"/>
              <w:rPr>
                <w:rFonts w:ascii="Times New Roman" w:eastAsia="Times New Roman" w:hAnsi="Times New Roman" w:cs="Times New Roman"/>
                <w:b/>
                <w:bCs w:val="0"/>
                <w:sz w:val="18"/>
                <w:szCs w:val="18"/>
              </w:rPr>
            </w:pPr>
          </w:p>
        </w:tc>
        <w:tc>
          <w:tcPr>
            <w:tcW w:w="1574" w:type="dxa"/>
            <w:gridSpan w:val="2"/>
            <w:noWrap/>
            <w:hideMark/>
          </w:tcPr>
          <w:p w14:paraId="44D955D4" w14:textId="77777777" w:rsidR="00661EA1" w:rsidRPr="000973F2" w:rsidRDefault="00661EA1" w:rsidP="00DD7B3C">
            <w:pPr>
              <w:spacing w:before="40" w:after="4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sz w:val="18"/>
                <w:szCs w:val="18"/>
              </w:rPr>
            </w:pPr>
            <w:r w:rsidRPr="000973F2">
              <w:rPr>
                <w:rFonts w:ascii="Times New Roman" w:eastAsia="Times New Roman" w:hAnsi="Times New Roman" w:cs="Times New Roman"/>
                <w:b/>
                <w:bCs/>
                <w:sz w:val="18"/>
                <w:szCs w:val="18"/>
              </w:rPr>
              <w:t xml:space="preserve">$112.23 </w:t>
            </w:r>
          </w:p>
        </w:tc>
        <w:tc>
          <w:tcPr>
            <w:tcW w:w="1575" w:type="dxa"/>
            <w:gridSpan w:val="2"/>
            <w:noWrap/>
            <w:hideMark/>
          </w:tcPr>
          <w:p w14:paraId="60BE8938" w14:textId="77777777" w:rsidR="00661EA1" w:rsidRPr="000973F2" w:rsidRDefault="00661EA1" w:rsidP="00DD7B3C">
            <w:pPr>
              <w:spacing w:before="40" w:after="4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sz w:val="18"/>
                <w:szCs w:val="18"/>
              </w:rPr>
            </w:pPr>
            <w:r w:rsidRPr="000973F2">
              <w:rPr>
                <w:rFonts w:ascii="Times New Roman" w:eastAsia="Times New Roman" w:hAnsi="Times New Roman" w:cs="Times New Roman"/>
                <w:b/>
                <w:bCs/>
                <w:sz w:val="18"/>
                <w:szCs w:val="18"/>
              </w:rPr>
              <w:t xml:space="preserve">$87.45 </w:t>
            </w:r>
          </w:p>
        </w:tc>
        <w:tc>
          <w:tcPr>
            <w:tcW w:w="1575" w:type="dxa"/>
            <w:gridSpan w:val="2"/>
            <w:noWrap/>
            <w:hideMark/>
          </w:tcPr>
          <w:p w14:paraId="08A31612" w14:textId="77777777" w:rsidR="00661EA1" w:rsidRPr="000973F2" w:rsidRDefault="00661EA1" w:rsidP="00DD7B3C">
            <w:pPr>
              <w:spacing w:before="40" w:after="4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sz w:val="18"/>
                <w:szCs w:val="18"/>
              </w:rPr>
            </w:pPr>
            <w:r w:rsidRPr="000973F2">
              <w:rPr>
                <w:rFonts w:ascii="Times New Roman" w:eastAsia="Times New Roman" w:hAnsi="Times New Roman" w:cs="Times New Roman"/>
                <w:b/>
                <w:bCs/>
                <w:sz w:val="18"/>
                <w:szCs w:val="18"/>
              </w:rPr>
              <w:t xml:space="preserve">$71.45 </w:t>
            </w:r>
          </w:p>
        </w:tc>
        <w:tc>
          <w:tcPr>
            <w:tcW w:w="1575" w:type="dxa"/>
            <w:gridSpan w:val="2"/>
            <w:noWrap/>
            <w:hideMark/>
          </w:tcPr>
          <w:p w14:paraId="73925327" w14:textId="77777777" w:rsidR="00661EA1" w:rsidRPr="000973F2" w:rsidRDefault="00661EA1" w:rsidP="00DD7B3C">
            <w:pPr>
              <w:spacing w:before="40" w:after="4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sz w:val="18"/>
                <w:szCs w:val="18"/>
              </w:rPr>
            </w:pPr>
            <w:r w:rsidRPr="000973F2">
              <w:rPr>
                <w:rFonts w:ascii="Times New Roman" w:eastAsia="Times New Roman" w:hAnsi="Times New Roman" w:cs="Times New Roman"/>
                <w:b/>
                <w:bCs/>
                <w:sz w:val="18"/>
                <w:szCs w:val="18"/>
              </w:rPr>
              <w:t xml:space="preserve">$36.28 </w:t>
            </w:r>
          </w:p>
        </w:tc>
        <w:tc>
          <w:tcPr>
            <w:tcW w:w="1696" w:type="dxa"/>
            <w:gridSpan w:val="2"/>
            <w:vMerge/>
            <w:hideMark/>
          </w:tcPr>
          <w:p w14:paraId="4F8CFC39" w14:textId="77777777" w:rsidR="00661EA1" w:rsidRPr="000973F2" w:rsidRDefault="00661EA1" w:rsidP="00DD7B3C">
            <w:pPr>
              <w:spacing w:before="40" w:after="4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sz w:val="18"/>
                <w:szCs w:val="18"/>
              </w:rPr>
            </w:pPr>
          </w:p>
        </w:tc>
      </w:tr>
      <w:tr w:rsidR="00661EA1" w:rsidRPr="000973F2" w14:paraId="05AADB89" w14:textId="77777777" w:rsidTr="00DD7B3C">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1335" w:type="dxa"/>
            <w:vMerge/>
            <w:hideMark/>
          </w:tcPr>
          <w:p w14:paraId="2F68B1EE" w14:textId="77777777" w:rsidR="00661EA1" w:rsidRPr="000973F2" w:rsidRDefault="00661EA1" w:rsidP="00DD7B3C">
            <w:pPr>
              <w:spacing w:before="40" w:after="40"/>
              <w:rPr>
                <w:rFonts w:ascii="Times New Roman" w:eastAsia="Times New Roman" w:hAnsi="Times New Roman" w:cs="Times New Roman"/>
                <w:b/>
                <w:bCs w:val="0"/>
                <w:sz w:val="18"/>
                <w:szCs w:val="18"/>
              </w:rPr>
            </w:pPr>
          </w:p>
        </w:tc>
        <w:tc>
          <w:tcPr>
            <w:tcW w:w="787" w:type="dxa"/>
            <w:tcMar>
              <w:left w:w="14" w:type="dxa"/>
              <w:right w:w="14" w:type="dxa"/>
            </w:tcMar>
            <w:hideMark/>
          </w:tcPr>
          <w:p w14:paraId="3D78FEF6" w14:textId="51BC5EE1" w:rsidR="00661EA1" w:rsidRPr="000973F2" w:rsidRDefault="00661EA1" w:rsidP="00DD7B3C">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18"/>
                <w:szCs w:val="18"/>
              </w:rPr>
            </w:pPr>
            <w:r w:rsidRPr="000973F2">
              <w:rPr>
                <w:rFonts w:ascii="Times New Roman" w:eastAsia="Times New Roman" w:hAnsi="Times New Roman" w:cs="Times New Roman"/>
                <w:b/>
                <w:bCs/>
                <w:sz w:val="18"/>
                <w:szCs w:val="18"/>
              </w:rPr>
              <w:t>Initial Year</w:t>
            </w:r>
            <w:r w:rsidR="00DD7B3C" w:rsidRPr="000973F2">
              <w:rPr>
                <w:rFonts w:ascii="Times New Roman" w:eastAsia="Times New Roman" w:hAnsi="Times New Roman" w:cs="Times New Roman"/>
                <w:b/>
                <w:bCs/>
                <w:sz w:val="18"/>
                <w:szCs w:val="18"/>
              </w:rPr>
              <w:t xml:space="preserve"> </w:t>
            </w:r>
            <w:r w:rsidRPr="000973F2">
              <w:rPr>
                <w:rFonts w:ascii="Times New Roman" w:eastAsia="Times New Roman" w:hAnsi="Times New Roman" w:cs="Times New Roman"/>
                <w:b/>
                <w:bCs/>
                <w:sz w:val="18"/>
                <w:szCs w:val="18"/>
              </w:rPr>
              <w:t>Hours</w:t>
            </w:r>
          </w:p>
        </w:tc>
        <w:tc>
          <w:tcPr>
            <w:tcW w:w="787" w:type="dxa"/>
            <w:tcMar>
              <w:left w:w="14" w:type="dxa"/>
              <w:right w:w="14" w:type="dxa"/>
            </w:tcMar>
            <w:hideMark/>
          </w:tcPr>
          <w:p w14:paraId="65DA0140" w14:textId="77777777" w:rsidR="00661EA1" w:rsidRPr="000973F2" w:rsidRDefault="00661EA1" w:rsidP="00DD7B3C">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18"/>
                <w:szCs w:val="18"/>
              </w:rPr>
            </w:pPr>
            <w:r w:rsidRPr="000973F2">
              <w:rPr>
                <w:rFonts w:ascii="Times New Roman" w:eastAsia="Times New Roman" w:hAnsi="Times New Roman" w:cs="Times New Roman"/>
                <w:b/>
                <w:bCs/>
                <w:sz w:val="18"/>
                <w:szCs w:val="18"/>
              </w:rPr>
              <w:t>Subseq. Year Hours</w:t>
            </w:r>
          </w:p>
        </w:tc>
        <w:tc>
          <w:tcPr>
            <w:tcW w:w="788" w:type="dxa"/>
            <w:tcMar>
              <w:left w:w="14" w:type="dxa"/>
              <w:right w:w="14" w:type="dxa"/>
            </w:tcMar>
            <w:hideMark/>
          </w:tcPr>
          <w:p w14:paraId="7451D294" w14:textId="4355AC28" w:rsidR="00661EA1" w:rsidRPr="000973F2" w:rsidRDefault="00661EA1" w:rsidP="00DD7B3C">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18"/>
                <w:szCs w:val="18"/>
              </w:rPr>
            </w:pPr>
            <w:r w:rsidRPr="000973F2">
              <w:rPr>
                <w:rFonts w:ascii="Times New Roman" w:eastAsia="Times New Roman" w:hAnsi="Times New Roman" w:cs="Times New Roman"/>
                <w:b/>
                <w:bCs/>
                <w:sz w:val="18"/>
                <w:szCs w:val="18"/>
              </w:rPr>
              <w:t>Initial Year</w:t>
            </w:r>
            <w:r w:rsidR="00DD7B3C" w:rsidRPr="000973F2">
              <w:rPr>
                <w:rFonts w:ascii="Times New Roman" w:eastAsia="Times New Roman" w:hAnsi="Times New Roman" w:cs="Times New Roman"/>
                <w:b/>
                <w:bCs/>
                <w:sz w:val="18"/>
                <w:szCs w:val="18"/>
              </w:rPr>
              <w:t xml:space="preserve"> </w:t>
            </w:r>
            <w:r w:rsidRPr="000973F2">
              <w:rPr>
                <w:rFonts w:ascii="Times New Roman" w:eastAsia="Times New Roman" w:hAnsi="Times New Roman" w:cs="Times New Roman"/>
                <w:b/>
                <w:bCs/>
                <w:sz w:val="18"/>
                <w:szCs w:val="18"/>
              </w:rPr>
              <w:t>Hours</w:t>
            </w:r>
          </w:p>
        </w:tc>
        <w:tc>
          <w:tcPr>
            <w:tcW w:w="787" w:type="dxa"/>
            <w:tcMar>
              <w:left w:w="14" w:type="dxa"/>
              <w:right w:w="14" w:type="dxa"/>
            </w:tcMar>
            <w:hideMark/>
          </w:tcPr>
          <w:p w14:paraId="020880AA" w14:textId="77777777" w:rsidR="00661EA1" w:rsidRPr="000973F2" w:rsidRDefault="00661EA1" w:rsidP="00DD7B3C">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18"/>
                <w:szCs w:val="18"/>
              </w:rPr>
            </w:pPr>
            <w:r w:rsidRPr="000973F2">
              <w:rPr>
                <w:rFonts w:ascii="Times New Roman" w:eastAsia="Times New Roman" w:hAnsi="Times New Roman" w:cs="Times New Roman"/>
                <w:b/>
                <w:bCs/>
                <w:sz w:val="18"/>
                <w:szCs w:val="18"/>
              </w:rPr>
              <w:t>Subseq. Year Hours</w:t>
            </w:r>
          </w:p>
        </w:tc>
        <w:tc>
          <w:tcPr>
            <w:tcW w:w="787" w:type="dxa"/>
            <w:tcMar>
              <w:left w:w="14" w:type="dxa"/>
              <w:right w:w="14" w:type="dxa"/>
            </w:tcMar>
            <w:hideMark/>
          </w:tcPr>
          <w:p w14:paraId="00FFB1C9" w14:textId="2D9185B7" w:rsidR="00661EA1" w:rsidRPr="000973F2" w:rsidRDefault="00661EA1" w:rsidP="00DD7B3C">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18"/>
                <w:szCs w:val="18"/>
              </w:rPr>
            </w:pPr>
            <w:r w:rsidRPr="000973F2">
              <w:rPr>
                <w:rFonts w:ascii="Times New Roman" w:eastAsia="Times New Roman" w:hAnsi="Times New Roman" w:cs="Times New Roman"/>
                <w:b/>
                <w:bCs/>
                <w:sz w:val="18"/>
                <w:szCs w:val="18"/>
              </w:rPr>
              <w:t>Initial Year</w:t>
            </w:r>
            <w:r w:rsidR="00DD7B3C" w:rsidRPr="000973F2">
              <w:rPr>
                <w:rFonts w:ascii="Times New Roman" w:eastAsia="Times New Roman" w:hAnsi="Times New Roman" w:cs="Times New Roman"/>
                <w:b/>
                <w:bCs/>
                <w:sz w:val="18"/>
                <w:szCs w:val="18"/>
              </w:rPr>
              <w:t xml:space="preserve"> </w:t>
            </w:r>
            <w:r w:rsidRPr="000973F2">
              <w:rPr>
                <w:rFonts w:ascii="Times New Roman" w:eastAsia="Times New Roman" w:hAnsi="Times New Roman" w:cs="Times New Roman"/>
                <w:b/>
                <w:bCs/>
                <w:sz w:val="18"/>
                <w:szCs w:val="18"/>
              </w:rPr>
              <w:t>Hours</w:t>
            </w:r>
          </w:p>
        </w:tc>
        <w:tc>
          <w:tcPr>
            <w:tcW w:w="788" w:type="dxa"/>
            <w:tcMar>
              <w:left w:w="14" w:type="dxa"/>
              <w:right w:w="14" w:type="dxa"/>
            </w:tcMar>
            <w:hideMark/>
          </w:tcPr>
          <w:p w14:paraId="6C542BDB" w14:textId="77777777" w:rsidR="00661EA1" w:rsidRPr="000973F2" w:rsidRDefault="00661EA1" w:rsidP="00DD7B3C">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18"/>
                <w:szCs w:val="18"/>
              </w:rPr>
            </w:pPr>
            <w:r w:rsidRPr="000973F2">
              <w:rPr>
                <w:rFonts w:ascii="Times New Roman" w:eastAsia="Times New Roman" w:hAnsi="Times New Roman" w:cs="Times New Roman"/>
                <w:b/>
                <w:bCs/>
                <w:sz w:val="18"/>
                <w:szCs w:val="18"/>
              </w:rPr>
              <w:t>Subseq. Year Hours</w:t>
            </w:r>
          </w:p>
        </w:tc>
        <w:tc>
          <w:tcPr>
            <w:tcW w:w="787" w:type="dxa"/>
            <w:tcMar>
              <w:left w:w="14" w:type="dxa"/>
              <w:right w:w="14" w:type="dxa"/>
            </w:tcMar>
            <w:hideMark/>
          </w:tcPr>
          <w:p w14:paraId="0D45562A" w14:textId="6004CAD6" w:rsidR="00661EA1" w:rsidRPr="000973F2" w:rsidRDefault="00661EA1" w:rsidP="00DD7B3C">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18"/>
                <w:szCs w:val="18"/>
              </w:rPr>
            </w:pPr>
            <w:r w:rsidRPr="000973F2">
              <w:rPr>
                <w:rFonts w:ascii="Times New Roman" w:eastAsia="Times New Roman" w:hAnsi="Times New Roman" w:cs="Times New Roman"/>
                <w:b/>
                <w:bCs/>
                <w:sz w:val="18"/>
                <w:szCs w:val="18"/>
              </w:rPr>
              <w:t>Initial Year</w:t>
            </w:r>
            <w:r w:rsidR="00DD7B3C" w:rsidRPr="000973F2">
              <w:rPr>
                <w:rFonts w:ascii="Times New Roman" w:eastAsia="Times New Roman" w:hAnsi="Times New Roman" w:cs="Times New Roman"/>
                <w:b/>
                <w:bCs/>
                <w:sz w:val="18"/>
                <w:szCs w:val="18"/>
              </w:rPr>
              <w:t xml:space="preserve"> </w:t>
            </w:r>
            <w:r w:rsidRPr="000973F2">
              <w:rPr>
                <w:rFonts w:ascii="Times New Roman" w:eastAsia="Times New Roman" w:hAnsi="Times New Roman" w:cs="Times New Roman"/>
                <w:b/>
                <w:bCs/>
                <w:sz w:val="18"/>
                <w:szCs w:val="18"/>
              </w:rPr>
              <w:t>Hours</w:t>
            </w:r>
          </w:p>
        </w:tc>
        <w:tc>
          <w:tcPr>
            <w:tcW w:w="788" w:type="dxa"/>
            <w:tcMar>
              <w:left w:w="14" w:type="dxa"/>
              <w:right w:w="14" w:type="dxa"/>
            </w:tcMar>
            <w:hideMark/>
          </w:tcPr>
          <w:p w14:paraId="38074E91" w14:textId="77777777" w:rsidR="00661EA1" w:rsidRPr="000973F2" w:rsidRDefault="00661EA1" w:rsidP="00DD7B3C">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18"/>
                <w:szCs w:val="18"/>
              </w:rPr>
            </w:pPr>
            <w:r w:rsidRPr="000973F2">
              <w:rPr>
                <w:rFonts w:ascii="Times New Roman" w:eastAsia="Times New Roman" w:hAnsi="Times New Roman" w:cs="Times New Roman"/>
                <w:b/>
                <w:bCs/>
                <w:sz w:val="18"/>
                <w:szCs w:val="18"/>
              </w:rPr>
              <w:t>Subseq. Year Hours</w:t>
            </w:r>
          </w:p>
        </w:tc>
        <w:tc>
          <w:tcPr>
            <w:tcW w:w="848" w:type="dxa"/>
            <w:tcMar>
              <w:left w:w="14" w:type="dxa"/>
              <w:right w:w="14" w:type="dxa"/>
            </w:tcMar>
            <w:hideMark/>
          </w:tcPr>
          <w:p w14:paraId="0B5DEB31" w14:textId="77777777" w:rsidR="00661EA1" w:rsidRPr="000973F2" w:rsidRDefault="00661EA1" w:rsidP="00DD7B3C">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18"/>
                <w:szCs w:val="18"/>
              </w:rPr>
            </w:pPr>
            <w:r w:rsidRPr="000973F2">
              <w:rPr>
                <w:rFonts w:ascii="Times New Roman" w:eastAsia="Times New Roman" w:hAnsi="Times New Roman" w:cs="Times New Roman"/>
                <w:b/>
                <w:bCs/>
                <w:sz w:val="18"/>
                <w:szCs w:val="18"/>
              </w:rPr>
              <w:t>Initial Year</w:t>
            </w:r>
          </w:p>
        </w:tc>
        <w:tc>
          <w:tcPr>
            <w:tcW w:w="848" w:type="dxa"/>
            <w:tcMar>
              <w:left w:w="14" w:type="dxa"/>
              <w:right w:w="14" w:type="dxa"/>
            </w:tcMar>
            <w:hideMark/>
          </w:tcPr>
          <w:p w14:paraId="2D147A76" w14:textId="77777777" w:rsidR="00661EA1" w:rsidRPr="000973F2" w:rsidRDefault="00661EA1" w:rsidP="00DD7B3C">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18"/>
                <w:szCs w:val="18"/>
              </w:rPr>
            </w:pPr>
            <w:r w:rsidRPr="000973F2">
              <w:rPr>
                <w:rFonts w:ascii="Times New Roman" w:eastAsia="Times New Roman" w:hAnsi="Times New Roman" w:cs="Times New Roman"/>
                <w:b/>
                <w:bCs/>
                <w:sz w:val="18"/>
                <w:szCs w:val="18"/>
              </w:rPr>
              <w:t>Subseq. Year</w:t>
            </w:r>
          </w:p>
        </w:tc>
      </w:tr>
      <w:tr w:rsidR="00661EA1" w:rsidRPr="000973F2" w14:paraId="63A91AB6" w14:textId="77777777" w:rsidTr="00DD7B3C">
        <w:trPr>
          <w:cantSplit/>
        </w:trPr>
        <w:tc>
          <w:tcPr>
            <w:cnfStyle w:val="001000000000" w:firstRow="0" w:lastRow="0" w:firstColumn="1" w:lastColumn="0" w:oddVBand="0" w:evenVBand="0" w:oddHBand="0" w:evenHBand="0" w:firstRowFirstColumn="0" w:firstRowLastColumn="0" w:lastRowFirstColumn="0" w:lastRowLastColumn="0"/>
            <w:tcW w:w="1335" w:type="dxa"/>
            <w:tcMar>
              <w:right w:w="14" w:type="dxa"/>
            </w:tcMar>
            <w:hideMark/>
          </w:tcPr>
          <w:p w14:paraId="06B4C202" w14:textId="77777777" w:rsidR="00661EA1" w:rsidRPr="000973F2" w:rsidRDefault="00661EA1" w:rsidP="00DD7B3C">
            <w:pPr>
              <w:spacing w:before="40" w:after="4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Planning</w:t>
            </w:r>
          </w:p>
        </w:tc>
        <w:tc>
          <w:tcPr>
            <w:tcW w:w="787" w:type="dxa"/>
            <w:noWrap/>
            <w:hideMark/>
          </w:tcPr>
          <w:p w14:paraId="5F8372C8" w14:textId="77777777" w:rsidR="00661EA1" w:rsidRPr="000973F2" w:rsidRDefault="00661EA1" w:rsidP="00DD7B3C">
            <w:pPr>
              <w:spacing w:before="40" w:after="4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0</w:t>
            </w:r>
          </w:p>
        </w:tc>
        <w:tc>
          <w:tcPr>
            <w:tcW w:w="787" w:type="dxa"/>
            <w:noWrap/>
            <w:hideMark/>
          </w:tcPr>
          <w:p w14:paraId="50D75B5D" w14:textId="77777777" w:rsidR="00661EA1" w:rsidRPr="000973F2" w:rsidRDefault="00661EA1" w:rsidP="00DD7B3C">
            <w:pPr>
              <w:spacing w:before="40" w:after="4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1</w:t>
            </w:r>
          </w:p>
        </w:tc>
        <w:tc>
          <w:tcPr>
            <w:tcW w:w="788" w:type="dxa"/>
            <w:noWrap/>
            <w:hideMark/>
          </w:tcPr>
          <w:p w14:paraId="70D8F086" w14:textId="77777777" w:rsidR="00661EA1" w:rsidRPr="000973F2" w:rsidRDefault="00661EA1" w:rsidP="00DD7B3C">
            <w:pPr>
              <w:spacing w:before="40" w:after="4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0</w:t>
            </w:r>
          </w:p>
        </w:tc>
        <w:tc>
          <w:tcPr>
            <w:tcW w:w="787" w:type="dxa"/>
            <w:noWrap/>
            <w:hideMark/>
          </w:tcPr>
          <w:p w14:paraId="4D903A8B" w14:textId="77777777" w:rsidR="00661EA1" w:rsidRPr="000973F2" w:rsidRDefault="00661EA1" w:rsidP="00DD7B3C">
            <w:pPr>
              <w:spacing w:before="40" w:after="4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0.3</w:t>
            </w:r>
          </w:p>
        </w:tc>
        <w:tc>
          <w:tcPr>
            <w:tcW w:w="787" w:type="dxa"/>
            <w:noWrap/>
            <w:hideMark/>
          </w:tcPr>
          <w:p w14:paraId="3122B5B2" w14:textId="77777777" w:rsidR="00661EA1" w:rsidRPr="000973F2" w:rsidRDefault="00661EA1" w:rsidP="00DD7B3C">
            <w:pPr>
              <w:spacing w:before="40" w:after="4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0</w:t>
            </w:r>
          </w:p>
        </w:tc>
        <w:tc>
          <w:tcPr>
            <w:tcW w:w="788" w:type="dxa"/>
            <w:noWrap/>
            <w:hideMark/>
          </w:tcPr>
          <w:p w14:paraId="1BA14748" w14:textId="77777777" w:rsidR="00661EA1" w:rsidRPr="000973F2" w:rsidRDefault="00661EA1" w:rsidP="00DD7B3C">
            <w:pPr>
              <w:spacing w:before="40" w:after="4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3</w:t>
            </w:r>
          </w:p>
        </w:tc>
        <w:tc>
          <w:tcPr>
            <w:tcW w:w="787" w:type="dxa"/>
            <w:noWrap/>
            <w:hideMark/>
          </w:tcPr>
          <w:p w14:paraId="153851ED" w14:textId="77777777" w:rsidR="00661EA1" w:rsidRPr="000973F2" w:rsidRDefault="00661EA1" w:rsidP="00DD7B3C">
            <w:pPr>
              <w:spacing w:before="40" w:after="4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0</w:t>
            </w:r>
          </w:p>
        </w:tc>
        <w:tc>
          <w:tcPr>
            <w:tcW w:w="788" w:type="dxa"/>
            <w:noWrap/>
            <w:hideMark/>
          </w:tcPr>
          <w:p w14:paraId="2CABB07D" w14:textId="77777777" w:rsidR="00661EA1" w:rsidRPr="000973F2" w:rsidRDefault="00661EA1" w:rsidP="00DD7B3C">
            <w:pPr>
              <w:spacing w:before="40" w:after="4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0.2</w:t>
            </w:r>
          </w:p>
        </w:tc>
        <w:tc>
          <w:tcPr>
            <w:tcW w:w="848" w:type="dxa"/>
            <w:noWrap/>
            <w:hideMark/>
          </w:tcPr>
          <w:p w14:paraId="519E7883" w14:textId="59A570B2" w:rsidR="00661EA1" w:rsidRPr="000973F2" w:rsidRDefault="00661EA1" w:rsidP="00DD7B3C">
            <w:pPr>
              <w:spacing w:before="40" w:after="4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$0</w:t>
            </w:r>
          </w:p>
        </w:tc>
        <w:tc>
          <w:tcPr>
            <w:tcW w:w="848" w:type="dxa"/>
            <w:noWrap/>
            <w:hideMark/>
          </w:tcPr>
          <w:p w14:paraId="47820FE8" w14:textId="183DCC45" w:rsidR="00661EA1" w:rsidRPr="000973F2" w:rsidRDefault="00661EA1" w:rsidP="00DD7B3C">
            <w:pPr>
              <w:tabs>
                <w:tab w:val="decimal" w:pos="481"/>
              </w:tabs>
              <w:spacing w:before="40" w:after="4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$358</w:t>
            </w:r>
          </w:p>
        </w:tc>
      </w:tr>
      <w:tr w:rsidR="00661EA1" w:rsidRPr="000973F2" w14:paraId="53D49330" w14:textId="77777777" w:rsidTr="00DD7B3C">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1335" w:type="dxa"/>
            <w:tcMar>
              <w:right w:w="14" w:type="dxa"/>
            </w:tcMar>
            <w:hideMark/>
          </w:tcPr>
          <w:p w14:paraId="69729361" w14:textId="77777777" w:rsidR="00661EA1" w:rsidRPr="000973F2" w:rsidRDefault="00661EA1" w:rsidP="00DD7B3C">
            <w:pPr>
              <w:spacing w:before="40" w:after="4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QA/QC</w:t>
            </w:r>
          </w:p>
        </w:tc>
        <w:tc>
          <w:tcPr>
            <w:tcW w:w="787" w:type="dxa"/>
            <w:noWrap/>
            <w:hideMark/>
          </w:tcPr>
          <w:p w14:paraId="6B8CD337" w14:textId="77777777" w:rsidR="00661EA1" w:rsidRPr="000973F2" w:rsidRDefault="00661EA1" w:rsidP="00DD7B3C">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0</w:t>
            </w:r>
          </w:p>
        </w:tc>
        <w:tc>
          <w:tcPr>
            <w:tcW w:w="787" w:type="dxa"/>
            <w:noWrap/>
            <w:hideMark/>
          </w:tcPr>
          <w:p w14:paraId="148FE32A" w14:textId="77777777" w:rsidR="00661EA1" w:rsidRPr="000973F2" w:rsidRDefault="00661EA1" w:rsidP="00DD7B3C">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1</w:t>
            </w:r>
          </w:p>
        </w:tc>
        <w:tc>
          <w:tcPr>
            <w:tcW w:w="788" w:type="dxa"/>
            <w:noWrap/>
            <w:hideMark/>
          </w:tcPr>
          <w:p w14:paraId="6F0A713C" w14:textId="77777777" w:rsidR="00661EA1" w:rsidRPr="000973F2" w:rsidRDefault="00661EA1" w:rsidP="00DD7B3C">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0</w:t>
            </w:r>
          </w:p>
        </w:tc>
        <w:tc>
          <w:tcPr>
            <w:tcW w:w="787" w:type="dxa"/>
            <w:noWrap/>
            <w:hideMark/>
          </w:tcPr>
          <w:p w14:paraId="7EA706BA" w14:textId="77777777" w:rsidR="00661EA1" w:rsidRPr="000973F2" w:rsidRDefault="00661EA1" w:rsidP="00DD7B3C">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0.2</w:t>
            </w:r>
          </w:p>
        </w:tc>
        <w:tc>
          <w:tcPr>
            <w:tcW w:w="787" w:type="dxa"/>
            <w:noWrap/>
            <w:hideMark/>
          </w:tcPr>
          <w:p w14:paraId="68B9F831" w14:textId="77777777" w:rsidR="00661EA1" w:rsidRPr="000973F2" w:rsidRDefault="00661EA1" w:rsidP="00DD7B3C">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0</w:t>
            </w:r>
          </w:p>
        </w:tc>
        <w:tc>
          <w:tcPr>
            <w:tcW w:w="788" w:type="dxa"/>
            <w:noWrap/>
            <w:hideMark/>
          </w:tcPr>
          <w:p w14:paraId="41735BEC" w14:textId="77777777" w:rsidR="00661EA1" w:rsidRPr="000973F2" w:rsidRDefault="00661EA1" w:rsidP="00DD7B3C">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2</w:t>
            </w:r>
          </w:p>
        </w:tc>
        <w:tc>
          <w:tcPr>
            <w:tcW w:w="787" w:type="dxa"/>
            <w:noWrap/>
            <w:hideMark/>
          </w:tcPr>
          <w:p w14:paraId="019A4AB3" w14:textId="77777777" w:rsidR="00661EA1" w:rsidRPr="000973F2" w:rsidRDefault="00661EA1" w:rsidP="00DD7B3C">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0</w:t>
            </w:r>
          </w:p>
        </w:tc>
        <w:tc>
          <w:tcPr>
            <w:tcW w:w="788" w:type="dxa"/>
            <w:noWrap/>
            <w:hideMark/>
          </w:tcPr>
          <w:p w14:paraId="17305FF7" w14:textId="77777777" w:rsidR="00661EA1" w:rsidRPr="000973F2" w:rsidRDefault="00661EA1" w:rsidP="00DD7B3C">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0.1</w:t>
            </w:r>
          </w:p>
        </w:tc>
        <w:tc>
          <w:tcPr>
            <w:tcW w:w="848" w:type="dxa"/>
            <w:noWrap/>
            <w:hideMark/>
          </w:tcPr>
          <w:p w14:paraId="35DE3D48" w14:textId="3AE15347" w:rsidR="00661EA1" w:rsidRPr="000973F2" w:rsidRDefault="00661EA1" w:rsidP="00DD7B3C">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$0</w:t>
            </w:r>
          </w:p>
        </w:tc>
        <w:tc>
          <w:tcPr>
            <w:tcW w:w="848" w:type="dxa"/>
            <w:noWrap/>
            <w:hideMark/>
          </w:tcPr>
          <w:p w14:paraId="29E1BB20" w14:textId="15D22040" w:rsidR="00661EA1" w:rsidRPr="000973F2" w:rsidRDefault="00661EA1" w:rsidP="00DD7B3C">
            <w:pPr>
              <w:tabs>
                <w:tab w:val="decimal" w:pos="481"/>
              </w:tabs>
              <w:spacing w:before="40" w:after="4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$276</w:t>
            </w:r>
          </w:p>
        </w:tc>
      </w:tr>
      <w:tr w:rsidR="00661EA1" w:rsidRPr="000973F2" w14:paraId="1EDACE16" w14:textId="77777777" w:rsidTr="00DD7B3C">
        <w:trPr>
          <w:cantSplit/>
        </w:trPr>
        <w:tc>
          <w:tcPr>
            <w:cnfStyle w:val="001000000000" w:firstRow="0" w:lastRow="0" w:firstColumn="1" w:lastColumn="0" w:oddVBand="0" w:evenVBand="0" w:oddHBand="0" w:evenHBand="0" w:firstRowFirstColumn="0" w:firstRowLastColumn="0" w:lastRowFirstColumn="0" w:lastRowLastColumn="0"/>
            <w:tcW w:w="1335" w:type="dxa"/>
            <w:tcMar>
              <w:right w:w="14" w:type="dxa"/>
            </w:tcMar>
            <w:hideMark/>
          </w:tcPr>
          <w:p w14:paraId="1D1F8D1A" w14:textId="77777777" w:rsidR="00661EA1" w:rsidRPr="000973F2" w:rsidRDefault="00661EA1" w:rsidP="00DD7B3C">
            <w:pPr>
              <w:spacing w:before="40" w:after="4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Recordkeeping</w:t>
            </w:r>
          </w:p>
        </w:tc>
        <w:tc>
          <w:tcPr>
            <w:tcW w:w="787" w:type="dxa"/>
            <w:noWrap/>
            <w:hideMark/>
          </w:tcPr>
          <w:p w14:paraId="5E74F12A" w14:textId="77777777" w:rsidR="00661EA1" w:rsidRPr="000973F2" w:rsidRDefault="00661EA1" w:rsidP="00DD7B3C">
            <w:pPr>
              <w:spacing w:before="40" w:after="4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0</w:t>
            </w:r>
          </w:p>
        </w:tc>
        <w:tc>
          <w:tcPr>
            <w:tcW w:w="787" w:type="dxa"/>
            <w:noWrap/>
            <w:hideMark/>
          </w:tcPr>
          <w:p w14:paraId="4754C67A" w14:textId="77777777" w:rsidR="00661EA1" w:rsidRPr="000973F2" w:rsidRDefault="00661EA1" w:rsidP="00DD7B3C">
            <w:pPr>
              <w:spacing w:before="40" w:after="4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0</w:t>
            </w:r>
          </w:p>
        </w:tc>
        <w:tc>
          <w:tcPr>
            <w:tcW w:w="788" w:type="dxa"/>
            <w:noWrap/>
            <w:hideMark/>
          </w:tcPr>
          <w:p w14:paraId="1A4F1794" w14:textId="77777777" w:rsidR="00661EA1" w:rsidRPr="000973F2" w:rsidRDefault="00661EA1" w:rsidP="00DD7B3C">
            <w:pPr>
              <w:spacing w:before="40" w:after="4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0</w:t>
            </w:r>
          </w:p>
        </w:tc>
        <w:tc>
          <w:tcPr>
            <w:tcW w:w="787" w:type="dxa"/>
            <w:noWrap/>
            <w:hideMark/>
          </w:tcPr>
          <w:p w14:paraId="674859C3" w14:textId="77777777" w:rsidR="00661EA1" w:rsidRPr="000973F2" w:rsidRDefault="00661EA1" w:rsidP="00DD7B3C">
            <w:pPr>
              <w:spacing w:before="40" w:after="4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0.5</w:t>
            </w:r>
          </w:p>
        </w:tc>
        <w:tc>
          <w:tcPr>
            <w:tcW w:w="787" w:type="dxa"/>
            <w:noWrap/>
            <w:hideMark/>
          </w:tcPr>
          <w:p w14:paraId="5DA8753D" w14:textId="77777777" w:rsidR="00661EA1" w:rsidRPr="000973F2" w:rsidRDefault="00661EA1" w:rsidP="00DD7B3C">
            <w:pPr>
              <w:spacing w:before="40" w:after="4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0</w:t>
            </w:r>
          </w:p>
        </w:tc>
        <w:tc>
          <w:tcPr>
            <w:tcW w:w="788" w:type="dxa"/>
            <w:noWrap/>
            <w:hideMark/>
          </w:tcPr>
          <w:p w14:paraId="22A6987A" w14:textId="77777777" w:rsidR="00661EA1" w:rsidRPr="000973F2" w:rsidRDefault="00661EA1" w:rsidP="00DD7B3C">
            <w:pPr>
              <w:spacing w:before="40" w:after="4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5</w:t>
            </w:r>
          </w:p>
        </w:tc>
        <w:tc>
          <w:tcPr>
            <w:tcW w:w="787" w:type="dxa"/>
            <w:noWrap/>
            <w:hideMark/>
          </w:tcPr>
          <w:p w14:paraId="6C3448B3" w14:textId="77777777" w:rsidR="00661EA1" w:rsidRPr="000973F2" w:rsidRDefault="00661EA1" w:rsidP="00DD7B3C">
            <w:pPr>
              <w:spacing w:before="40" w:after="4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0</w:t>
            </w:r>
          </w:p>
        </w:tc>
        <w:tc>
          <w:tcPr>
            <w:tcW w:w="788" w:type="dxa"/>
            <w:noWrap/>
            <w:hideMark/>
          </w:tcPr>
          <w:p w14:paraId="2CD5E6B3" w14:textId="77777777" w:rsidR="00661EA1" w:rsidRPr="000973F2" w:rsidRDefault="00661EA1" w:rsidP="00DD7B3C">
            <w:pPr>
              <w:spacing w:before="40" w:after="4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0.5</w:t>
            </w:r>
          </w:p>
        </w:tc>
        <w:tc>
          <w:tcPr>
            <w:tcW w:w="848" w:type="dxa"/>
            <w:noWrap/>
            <w:hideMark/>
          </w:tcPr>
          <w:p w14:paraId="25003B9E" w14:textId="714492DF" w:rsidR="00661EA1" w:rsidRPr="000973F2" w:rsidRDefault="00661EA1" w:rsidP="00DD7B3C">
            <w:pPr>
              <w:spacing w:before="40" w:after="4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$0</w:t>
            </w:r>
          </w:p>
        </w:tc>
        <w:tc>
          <w:tcPr>
            <w:tcW w:w="848" w:type="dxa"/>
            <w:noWrap/>
            <w:hideMark/>
          </w:tcPr>
          <w:p w14:paraId="14FBE708" w14:textId="392BFF08" w:rsidR="00661EA1" w:rsidRPr="000973F2" w:rsidRDefault="00661EA1" w:rsidP="00DD7B3C">
            <w:pPr>
              <w:tabs>
                <w:tab w:val="decimal" w:pos="481"/>
              </w:tabs>
              <w:spacing w:before="40" w:after="4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$419</w:t>
            </w:r>
          </w:p>
        </w:tc>
      </w:tr>
      <w:tr w:rsidR="00661EA1" w:rsidRPr="000973F2" w14:paraId="58C234A3" w14:textId="77777777" w:rsidTr="00DD7B3C">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1335" w:type="dxa"/>
            <w:tcMar>
              <w:right w:w="14" w:type="dxa"/>
            </w:tcMar>
            <w:hideMark/>
          </w:tcPr>
          <w:p w14:paraId="4B20F3F7" w14:textId="77777777" w:rsidR="00661EA1" w:rsidRPr="000973F2" w:rsidRDefault="00661EA1" w:rsidP="00DD7B3C">
            <w:pPr>
              <w:spacing w:before="40" w:after="4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Sampling and Analysis (Calculations)</w:t>
            </w:r>
          </w:p>
        </w:tc>
        <w:tc>
          <w:tcPr>
            <w:tcW w:w="787" w:type="dxa"/>
            <w:noWrap/>
            <w:hideMark/>
          </w:tcPr>
          <w:p w14:paraId="4A3C19A1" w14:textId="77777777" w:rsidR="00661EA1" w:rsidRPr="000973F2" w:rsidRDefault="00661EA1" w:rsidP="00DD7B3C">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0</w:t>
            </w:r>
          </w:p>
        </w:tc>
        <w:tc>
          <w:tcPr>
            <w:tcW w:w="787" w:type="dxa"/>
            <w:noWrap/>
            <w:hideMark/>
          </w:tcPr>
          <w:p w14:paraId="7EB01997" w14:textId="77777777" w:rsidR="00661EA1" w:rsidRPr="000973F2" w:rsidRDefault="00661EA1" w:rsidP="00DD7B3C">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0</w:t>
            </w:r>
          </w:p>
        </w:tc>
        <w:tc>
          <w:tcPr>
            <w:tcW w:w="788" w:type="dxa"/>
            <w:noWrap/>
            <w:hideMark/>
          </w:tcPr>
          <w:p w14:paraId="44D2A978" w14:textId="77777777" w:rsidR="00661EA1" w:rsidRPr="000973F2" w:rsidRDefault="00661EA1" w:rsidP="00DD7B3C">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0</w:t>
            </w:r>
          </w:p>
        </w:tc>
        <w:tc>
          <w:tcPr>
            <w:tcW w:w="787" w:type="dxa"/>
            <w:noWrap/>
            <w:hideMark/>
          </w:tcPr>
          <w:p w14:paraId="60BC44EC" w14:textId="77777777" w:rsidR="00661EA1" w:rsidRPr="000973F2" w:rsidRDefault="00661EA1" w:rsidP="00DD7B3C">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1.2</w:t>
            </w:r>
          </w:p>
        </w:tc>
        <w:tc>
          <w:tcPr>
            <w:tcW w:w="787" w:type="dxa"/>
            <w:noWrap/>
            <w:hideMark/>
          </w:tcPr>
          <w:p w14:paraId="31ACF3E4" w14:textId="77777777" w:rsidR="00661EA1" w:rsidRPr="000973F2" w:rsidRDefault="00661EA1" w:rsidP="00DD7B3C">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0</w:t>
            </w:r>
          </w:p>
        </w:tc>
        <w:tc>
          <w:tcPr>
            <w:tcW w:w="788" w:type="dxa"/>
            <w:noWrap/>
            <w:hideMark/>
          </w:tcPr>
          <w:p w14:paraId="531549B8" w14:textId="77777777" w:rsidR="00661EA1" w:rsidRPr="000973F2" w:rsidRDefault="00661EA1" w:rsidP="00DD7B3C">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12</w:t>
            </w:r>
          </w:p>
        </w:tc>
        <w:tc>
          <w:tcPr>
            <w:tcW w:w="787" w:type="dxa"/>
            <w:noWrap/>
            <w:hideMark/>
          </w:tcPr>
          <w:p w14:paraId="72B9F427" w14:textId="77777777" w:rsidR="00661EA1" w:rsidRPr="000973F2" w:rsidRDefault="00661EA1" w:rsidP="00DD7B3C">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0</w:t>
            </w:r>
          </w:p>
        </w:tc>
        <w:tc>
          <w:tcPr>
            <w:tcW w:w="788" w:type="dxa"/>
            <w:noWrap/>
            <w:hideMark/>
          </w:tcPr>
          <w:p w14:paraId="62D873FA" w14:textId="77777777" w:rsidR="00661EA1" w:rsidRPr="000973F2" w:rsidRDefault="00661EA1" w:rsidP="00DD7B3C">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0.6</w:t>
            </w:r>
          </w:p>
        </w:tc>
        <w:tc>
          <w:tcPr>
            <w:tcW w:w="848" w:type="dxa"/>
            <w:noWrap/>
            <w:hideMark/>
          </w:tcPr>
          <w:p w14:paraId="24E628BF" w14:textId="6EC36B2C" w:rsidR="00661EA1" w:rsidRPr="000973F2" w:rsidRDefault="00661EA1" w:rsidP="00DD7B3C">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$0</w:t>
            </w:r>
          </w:p>
        </w:tc>
        <w:tc>
          <w:tcPr>
            <w:tcW w:w="848" w:type="dxa"/>
            <w:noWrap/>
            <w:hideMark/>
          </w:tcPr>
          <w:p w14:paraId="2CB5E295" w14:textId="67E3B031" w:rsidR="00661EA1" w:rsidRPr="000973F2" w:rsidRDefault="00661EA1" w:rsidP="00DD7B3C">
            <w:pPr>
              <w:tabs>
                <w:tab w:val="decimal" w:pos="481"/>
              </w:tabs>
              <w:spacing w:before="40" w:after="4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$984</w:t>
            </w:r>
          </w:p>
        </w:tc>
      </w:tr>
      <w:tr w:rsidR="00661EA1" w:rsidRPr="000973F2" w14:paraId="775EBFFF" w14:textId="77777777" w:rsidTr="00DD7B3C">
        <w:trPr>
          <w:cantSplit/>
        </w:trPr>
        <w:tc>
          <w:tcPr>
            <w:cnfStyle w:val="001000000000" w:firstRow="0" w:lastRow="0" w:firstColumn="1" w:lastColumn="0" w:oddVBand="0" w:evenVBand="0" w:oddHBand="0" w:evenHBand="0" w:firstRowFirstColumn="0" w:firstRowLastColumn="0" w:lastRowFirstColumn="0" w:lastRowLastColumn="0"/>
            <w:tcW w:w="1335" w:type="dxa"/>
            <w:tcMar>
              <w:right w:w="14" w:type="dxa"/>
            </w:tcMar>
            <w:hideMark/>
          </w:tcPr>
          <w:p w14:paraId="2D6A2822" w14:textId="77777777" w:rsidR="00661EA1" w:rsidRPr="000973F2" w:rsidRDefault="00661EA1" w:rsidP="00DD7B3C">
            <w:pPr>
              <w:spacing w:before="40" w:after="4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Reporting</w:t>
            </w:r>
          </w:p>
        </w:tc>
        <w:tc>
          <w:tcPr>
            <w:tcW w:w="787" w:type="dxa"/>
            <w:noWrap/>
            <w:hideMark/>
          </w:tcPr>
          <w:p w14:paraId="5C926ECD" w14:textId="77777777" w:rsidR="00661EA1" w:rsidRPr="000973F2" w:rsidRDefault="00661EA1" w:rsidP="00DD7B3C">
            <w:pPr>
              <w:spacing w:before="40" w:after="4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0</w:t>
            </w:r>
          </w:p>
        </w:tc>
        <w:tc>
          <w:tcPr>
            <w:tcW w:w="787" w:type="dxa"/>
            <w:noWrap/>
            <w:hideMark/>
          </w:tcPr>
          <w:p w14:paraId="78B18F21" w14:textId="77777777" w:rsidR="00661EA1" w:rsidRPr="000973F2" w:rsidRDefault="00661EA1" w:rsidP="00DD7B3C">
            <w:pPr>
              <w:spacing w:before="40" w:after="4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0</w:t>
            </w:r>
          </w:p>
        </w:tc>
        <w:tc>
          <w:tcPr>
            <w:tcW w:w="788" w:type="dxa"/>
            <w:noWrap/>
            <w:hideMark/>
          </w:tcPr>
          <w:p w14:paraId="4ECCCAF7" w14:textId="77777777" w:rsidR="00661EA1" w:rsidRPr="000973F2" w:rsidRDefault="00661EA1" w:rsidP="00DD7B3C">
            <w:pPr>
              <w:spacing w:before="40" w:after="4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0</w:t>
            </w:r>
          </w:p>
        </w:tc>
        <w:tc>
          <w:tcPr>
            <w:tcW w:w="787" w:type="dxa"/>
            <w:noWrap/>
            <w:hideMark/>
          </w:tcPr>
          <w:p w14:paraId="219347D0" w14:textId="77777777" w:rsidR="00661EA1" w:rsidRPr="000973F2" w:rsidRDefault="00661EA1" w:rsidP="00DD7B3C">
            <w:pPr>
              <w:spacing w:before="40" w:after="4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1.0</w:t>
            </w:r>
          </w:p>
        </w:tc>
        <w:tc>
          <w:tcPr>
            <w:tcW w:w="787" w:type="dxa"/>
            <w:noWrap/>
            <w:hideMark/>
          </w:tcPr>
          <w:p w14:paraId="2A36C77D" w14:textId="77777777" w:rsidR="00661EA1" w:rsidRPr="000973F2" w:rsidRDefault="00661EA1" w:rsidP="00DD7B3C">
            <w:pPr>
              <w:spacing w:before="40" w:after="4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0</w:t>
            </w:r>
          </w:p>
        </w:tc>
        <w:tc>
          <w:tcPr>
            <w:tcW w:w="788" w:type="dxa"/>
            <w:noWrap/>
            <w:hideMark/>
          </w:tcPr>
          <w:p w14:paraId="128FC07C" w14:textId="77777777" w:rsidR="00661EA1" w:rsidRPr="000973F2" w:rsidRDefault="00661EA1" w:rsidP="00DD7B3C">
            <w:pPr>
              <w:spacing w:before="40" w:after="4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10</w:t>
            </w:r>
          </w:p>
        </w:tc>
        <w:tc>
          <w:tcPr>
            <w:tcW w:w="787" w:type="dxa"/>
            <w:noWrap/>
            <w:hideMark/>
          </w:tcPr>
          <w:p w14:paraId="2FD7FFC2" w14:textId="77777777" w:rsidR="00661EA1" w:rsidRPr="000973F2" w:rsidRDefault="00661EA1" w:rsidP="00DD7B3C">
            <w:pPr>
              <w:spacing w:before="40" w:after="4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0</w:t>
            </w:r>
          </w:p>
        </w:tc>
        <w:tc>
          <w:tcPr>
            <w:tcW w:w="788" w:type="dxa"/>
            <w:noWrap/>
            <w:hideMark/>
          </w:tcPr>
          <w:p w14:paraId="0C7B7D7C" w14:textId="77777777" w:rsidR="00661EA1" w:rsidRPr="000973F2" w:rsidRDefault="00661EA1" w:rsidP="00DD7B3C">
            <w:pPr>
              <w:spacing w:before="40" w:after="4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1.0</w:t>
            </w:r>
          </w:p>
        </w:tc>
        <w:tc>
          <w:tcPr>
            <w:tcW w:w="848" w:type="dxa"/>
            <w:noWrap/>
            <w:hideMark/>
          </w:tcPr>
          <w:p w14:paraId="7889C6E0" w14:textId="59F3620E" w:rsidR="00661EA1" w:rsidRPr="000973F2" w:rsidRDefault="00661EA1" w:rsidP="00DD7B3C">
            <w:pPr>
              <w:spacing w:before="40" w:after="4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$0</w:t>
            </w:r>
          </w:p>
        </w:tc>
        <w:tc>
          <w:tcPr>
            <w:tcW w:w="848" w:type="dxa"/>
            <w:noWrap/>
            <w:hideMark/>
          </w:tcPr>
          <w:p w14:paraId="589F6E7E" w14:textId="24EB4349" w:rsidR="00661EA1" w:rsidRPr="000973F2" w:rsidRDefault="00661EA1" w:rsidP="00DD7B3C">
            <w:pPr>
              <w:tabs>
                <w:tab w:val="decimal" w:pos="481"/>
              </w:tabs>
              <w:spacing w:before="40" w:after="4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$838</w:t>
            </w:r>
          </w:p>
        </w:tc>
      </w:tr>
      <w:tr w:rsidR="00FE2D2C" w:rsidRPr="000973F2" w14:paraId="6362F27E" w14:textId="77777777" w:rsidTr="00DD7B3C">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1335" w:type="dxa"/>
            <w:noWrap/>
            <w:hideMark/>
          </w:tcPr>
          <w:p w14:paraId="08F88CE1" w14:textId="77777777" w:rsidR="00661EA1" w:rsidRPr="000973F2" w:rsidRDefault="00661EA1" w:rsidP="00DD7B3C">
            <w:pPr>
              <w:spacing w:before="40" w:after="40"/>
              <w:rPr>
                <w:rFonts w:ascii="Times New Roman" w:eastAsia="Times New Roman" w:hAnsi="Times New Roman" w:cs="Times New Roman"/>
                <w:b/>
                <w:bCs w:val="0"/>
                <w:sz w:val="18"/>
                <w:szCs w:val="18"/>
              </w:rPr>
            </w:pPr>
            <w:r w:rsidRPr="000973F2">
              <w:rPr>
                <w:rFonts w:ascii="Times New Roman" w:eastAsia="Times New Roman" w:hAnsi="Times New Roman" w:cs="Times New Roman"/>
                <w:b/>
                <w:sz w:val="18"/>
                <w:szCs w:val="18"/>
              </w:rPr>
              <w:t>Total</w:t>
            </w:r>
          </w:p>
        </w:tc>
        <w:tc>
          <w:tcPr>
            <w:tcW w:w="787" w:type="dxa"/>
            <w:noWrap/>
            <w:hideMark/>
          </w:tcPr>
          <w:p w14:paraId="4241554D" w14:textId="77777777" w:rsidR="00661EA1" w:rsidRPr="000973F2" w:rsidRDefault="00661EA1" w:rsidP="00DD7B3C">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18"/>
                <w:szCs w:val="18"/>
              </w:rPr>
            </w:pPr>
            <w:r w:rsidRPr="000973F2">
              <w:rPr>
                <w:rFonts w:ascii="Times New Roman" w:eastAsia="Times New Roman" w:hAnsi="Times New Roman" w:cs="Times New Roman"/>
                <w:b/>
                <w:bCs/>
                <w:sz w:val="18"/>
                <w:szCs w:val="18"/>
              </w:rPr>
              <w:t>0</w:t>
            </w:r>
          </w:p>
        </w:tc>
        <w:tc>
          <w:tcPr>
            <w:tcW w:w="787" w:type="dxa"/>
            <w:noWrap/>
            <w:hideMark/>
          </w:tcPr>
          <w:p w14:paraId="5F724256" w14:textId="77777777" w:rsidR="00661EA1" w:rsidRPr="000973F2" w:rsidRDefault="00661EA1" w:rsidP="00DD7B3C">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18"/>
                <w:szCs w:val="18"/>
              </w:rPr>
            </w:pPr>
            <w:r w:rsidRPr="000973F2">
              <w:rPr>
                <w:rFonts w:ascii="Times New Roman" w:eastAsia="Times New Roman" w:hAnsi="Times New Roman" w:cs="Times New Roman"/>
                <w:b/>
                <w:bCs/>
                <w:sz w:val="18"/>
                <w:szCs w:val="18"/>
              </w:rPr>
              <w:t>2</w:t>
            </w:r>
          </w:p>
        </w:tc>
        <w:tc>
          <w:tcPr>
            <w:tcW w:w="788" w:type="dxa"/>
            <w:noWrap/>
            <w:hideMark/>
          </w:tcPr>
          <w:p w14:paraId="3D67D581" w14:textId="77777777" w:rsidR="00661EA1" w:rsidRPr="000973F2" w:rsidRDefault="00661EA1" w:rsidP="00DD7B3C">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18"/>
                <w:szCs w:val="18"/>
              </w:rPr>
            </w:pPr>
            <w:r w:rsidRPr="000973F2">
              <w:rPr>
                <w:rFonts w:ascii="Times New Roman" w:eastAsia="Times New Roman" w:hAnsi="Times New Roman" w:cs="Times New Roman"/>
                <w:b/>
                <w:bCs/>
                <w:sz w:val="18"/>
                <w:szCs w:val="18"/>
              </w:rPr>
              <w:t>0</w:t>
            </w:r>
          </w:p>
        </w:tc>
        <w:tc>
          <w:tcPr>
            <w:tcW w:w="787" w:type="dxa"/>
            <w:noWrap/>
            <w:hideMark/>
          </w:tcPr>
          <w:p w14:paraId="53767DCB" w14:textId="77777777" w:rsidR="00661EA1" w:rsidRPr="000973F2" w:rsidRDefault="00661EA1" w:rsidP="00DD7B3C">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18"/>
                <w:szCs w:val="18"/>
              </w:rPr>
            </w:pPr>
            <w:r w:rsidRPr="000973F2">
              <w:rPr>
                <w:rFonts w:ascii="Times New Roman" w:eastAsia="Times New Roman" w:hAnsi="Times New Roman" w:cs="Times New Roman"/>
                <w:b/>
                <w:bCs/>
                <w:sz w:val="18"/>
                <w:szCs w:val="18"/>
              </w:rPr>
              <w:t>3.2</w:t>
            </w:r>
          </w:p>
        </w:tc>
        <w:tc>
          <w:tcPr>
            <w:tcW w:w="787" w:type="dxa"/>
            <w:noWrap/>
            <w:hideMark/>
          </w:tcPr>
          <w:p w14:paraId="03C4BCFA" w14:textId="77777777" w:rsidR="00661EA1" w:rsidRPr="000973F2" w:rsidRDefault="00661EA1" w:rsidP="00DD7B3C">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18"/>
                <w:szCs w:val="18"/>
              </w:rPr>
            </w:pPr>
            <w:r w:rsidRPr="000973F2">
              <w:rPr>
                <w:rFonts w:ascii="Times New Roman" w:eastAsia="Times New Roman" w:hAnsi="Times New Roman" w:cs="Times New Roman"/>
                <w:b/>
                <w:bCs/>
                <w:sz w:val="18"/>
                <w:szCs w:val="18"/>
              </w:rPr>
              <w:t>0</w:t>
            </w:r>
          </w:p>
        </w:tc>
        <w:tc>
          <w:tcPr>
            <w:tcW w:w="788" w:type="dxa"/>
            <w:noWrap/>
            <w:hideMark/>
          </w:tcPr>
          <w:p w14:paraId="2D926956" w14:textId="77777777" w:rsidR="00661EA1" w:rsidRPr="000973F2" w:rsidRDefault="00661EA1" w:rsidP="00DD7B3C">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18"/>
                <w:szCs w:val="18"/>
              </w:rPr>
            </w:pPr>
            <w:r w:rsidRPr="000973F2">
              <w:rPr>
                <w:rFonts w:ascii="Times New Roman" w:eastAsia="Times New Roman" w:hAnsi="Times New Roman" w:cs="Times New Roman"/>
                <w:b/>
                <w:bCs/>
                <w:sz w:val="18"/>
                <w:szCs w:val="18"/>
              </w:rPr>
              <w:t>32</w:t>
            </w:r>
          </w:p>
        </w:tc>
        <w:tc>
          <w:tcPr>
            <w:tcW w:w="787" w:type="dxa"/>
            <w:noWrap/>
            <w:hideMark/>
          </w:tcPr>
          <w:p w14:paraId="64DFC9A7" w14:textId="77777777" w:rsidR="00661EA1" w:rsidRPr="000973F2" w:rsidRDefault="00661EA1" w:rsidP="00DD7B3C">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18"/>
                <w:szCs w:val="18"/>
              </w:rPr>
            </w:pPr>
            <w:r w:rsidRPr="000973F2">
              <w:rPr>
                <w:rFonts w:ascii="Times New Roman" w:eastAsia="Times New Roman" w:hAnsi="Times New Roman" w:cs="Times New Roman"/>
                <w:b/>
                <w:bCs/>
                <w:sz w:val="18"/>
                <w:szCs w:val="18"/>
              </w:rPr>
              <w:t>0</w:t>
            </w:r>
          </w:p>
        </w:tc>
        <w:tc>
          <w:tcPr>
            <w:tcW w:w="788" w:type="dxa"/>
            <w:noWrap/>
            <w:hideMark/>
          </w:tcPr>
          <w:p w14:paraId="7847FB75" w14:textId="77777777" w:rsidR="00661EA1" w:rsidRPr="000973F2" w:rsidRDefault="00661EA1" w:rsidP="00DD7B3C">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18"/>
                <w:szCs w:val="18"/>
              </w:rPr>
            </w:pPr>
            <w:r w:rsidRPr="000973F2">
              <w:rPr>
                <w:rFonts w:ascii="Times New Roman" w:eastAsia="Times New Roman" w:hAnsi="Times New Roman" w:cs="Times New Roman"/>
                <w:b/>
                <w:bCs/>
                <w:sz w:val="18"/>
                <w:szCs w:val="18"/>
              </w:rPr>
              <w:t>2.4</w:t>
            </w:r>
          </w:p>
        </w:tc>
        <w:tc>
          <w:tcPr>
            <w:tcW w:w="848" w:type="dxa"/>
            <w:noWrap/>
            <w:hideMark/>
          </w:tcPr>
          <w:p w14:paraId="7C86B801" w14:textId="6905A2A7" w:rsidR="00661EA1" w:rsidRPr="000973F2" w:rsidRDefault="00661EA1" w:rsidP="00DD7B3C">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18"/>
                <w:szCs w:val="18"/>
              </w:rPr>
            </w:pPr>
            <w:r w:rsidRPr="000973F2">
              <w:rPr>
                <w:rFonts w:ascii="Times New Roman" w:eastAsia="Times New Roman" w:hAnsi="Times New Roman" w:cs="Times New Roman"/>
                <w:b/>
                <w:bCs/>
                <w:sz w:val="18"/>
                <w:szCs w:val="18"/>
              </w:rPr>
              <w:t>$0</w:t>
            </w:r>
          </w:p>
        </w:tc>
        <w:tc>
          <w:tcPr>
            <w:tcW w:w="848" w:type="dxa"/>
            <w:noWrap/>
            <w:hideMark/>
          </w:tcPr>
          <w:p w14:paraId="574DEBFB" w14:textId="7081082E" w:rsidR="00661EA1" w:rsidRPr="000973F2" w:rsidRDefault="00661EA1" w:rsidP="00DD7B3C">
            <w:pPr>
              <w:tabs>
                <w:tab w:val="decimal" w:pos="481"/>
              </w:tabs>
              <w:spacing w:before="40" w:after="4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18"/>
                <w:szCs w:val="18"/>
              </w:rPr>
            </w:pPr>
            <w:r w:rsidRPr="000973F2">
              <w:rPr>
                <w:rFonts w:ascii="Times New Roman" w:eastAsia="Times New Roman" w:hAnsi="Times New Roman" w:cs="Times New Roman"/>
                <w:b/>
                <w:bCs/>
                <w:sz w:val="18"/>
                <w:szCs w:val="18"/>
              </w:rPr>
              <w:t>$2,876</w:t>
            </w:r>
          </w:p>
        </w:tc>
      </w:tr>
    </w:tbl>
    <w:p w14:paraId="65FDC4B5" w14:textId="77777777" w:rsidR="00661EA1" w:rsidRPr="000973F2" w:rsidRDefault="00661EA1" w:rsidP="00C00E4F">
      <w:pPr>
        <w:spacing w:line="240" w:lineRule="auto"/>
        <w:rPr>
          <w:rFonts w:ascii="Times New Roman" w:hAnsi="Times New Roman" w:cs="Times New Roman"/>
        </w:rPr>
      </w:pPr>
      <w:r w:rsidRPr="000973F2">
        <w:rPr>
          <w:rFonts w:ascii="Times New Roman" w:hAnsi="Times New Roman" w:cs="Times New Roman"/>
        </w:rPr>
        <w:br w:type="page"/>
      </w:r>
    </w:p>
    <w:p w14:paraId="53703409" w14:textId="77777777" w:rsidR="00661EA1" w:rsidRPr="000973F2" w:rsidRDefault="00661EA1" w:rsidP="00B926DD">
      <w:pPr>
        <w:pStyle w:val="Heading2"/>
      </w:pPr>
      <w:bookmarkStart w:id="22" w:name="_Toc10715603"/>
      <w:r w:rsidRPr="000973F2">
        <w:t xml:space="preserve">Capital and O&amp;M Costs for </w:t>
      </w:r>
      <w:r w:rsidRPr="00536922">
        <w:t>Subpart</w:t>
      </w:r>
      <w:r w:rsidRPr="000973F2">
        <w:t xml:space="preserve"> K</w:t>
      </w:r>
      <w:bookmarkEnd w:id="22"/>
    </w:p>
    <w:p w14:paraId="128926C6" w14:textId="3FC004A0" w:rsidR="00661EA1" w:rsidRPr="000973F2" w:rsidRDefault="00661EA1" w:rsidP="005D5A62">
      <w:pPr>
        <w:pStyle w:val="BodyText"/>
      </w:pPr>
      <w:r w:rsidRPr="000973F2">
        <w:t>There are no anticipated capital costs attributed to Subpart K. The only O&amp;M costs attributed to Subpart K are those for recordkeeping as discussed in the Cost Appendix Introduction.</w:t>
      </w:r>
    </w:p>
    <w:p w14:paraId="6AE7D101" w14:textId="7EB6770D" w:rsidR="00661EA1" w:rsidRPr="000973F2" w:rsidRDefault="00477424" w:rsidP="005D5A62">
      <w:pPr>
        <w:pStyle w:val="Tabletitle"/>
      </w:pPr>
      <w:r w:rsidRPr="000973F2">
        <w:t xml:space="preserve">Table </w:t>
      </w:r>
      <w:r w:rsidR="00E86BE0" w:rsidRPr="000973F2">
        <w:t>K-</w:t>
      </w:r>
      <w:r w:rsidRPr="000973F2">
        <w:t xml:space="preserve">2. Capital and O&amp;M Costs </w:t>
      </w:r>
      <w:r w:rsidR="005D5A62" w:rsidRPr="000973F2">
        <w:t>–</w:t>
      </w:r>
      <w:r w:rsidRPr="000973F2">
        <w:t xml:space="preserve"> </w:t>
      </w:r>
      <w:r w:rsidR="00661EA1" w:rsidRPr="000973F2">
        <w:t>Subpart K</w:t>
      </w:r>
    </w:p>
    <w:tbl>
      <w:tblPr>
        <w:tblStyle w:val="PlainTable1"/>
        <w:tblW w:w="5000" w:type="pct"/>
        <w:jc w:val="left"/>
        <w:tblLayout w:type="fixed"/>
        <w:tblCellMar>
          <w:left w:w="115" w:type="dxa"/>
          <w:right w:w="115" w:type="dxa"/>
        </w:tblCellMar>
        <w:tblLook w:val="04A0" w:firstRow="1" w:lastRow="0" w:firstColumn="1" w:lastColumn="0" w:noHBand="0" w:noVBand="1"/>
      </w:tblPr>
      <w:tblGrid>
        <w:gridCol w:w="2182"/>
        <w:gridCol w:w="1287"/>
        <w:gridCol w:w="1287"/>
        <w:gridCol w:w="1287"/>
        <w:gridCol w:w="1287"/>
        <w:gridCol w:w="1040"/>
        <w:gridCol w:w="1220"/>
      </w:tblGrid>
      <w:tr w:rsidR="00FF36E8" w:rsidRPr="000973F2" w14:paraId="026933D7" w14:textId="77777777" w:rsidTr="00E86BE0">
        <w:trPr>
          <w:cnfStyle w:val="100000000000" w:firstRow="1" w:lastRow="0" w:firstColumn="0" w:lastColumn="0" w:oddVBand="0" w:evenVBand="0" w:oddHBand="0" w:evenHBand="0" w:firstRowFirstColumn="0" w:firstRowLastColumn="0" w:lastRowFirstColumn="0" w:lastRowLastColumn="0"/>
          <w:cantSplit/>
          <w:jc w:val="left"/>
        </w:trPr>
        <w:tc>
          <w:tcPr>
            <w:cnfStyle w:val="001000000000" w:firstRow="0" w:lastRow="0" w:firstColumn="1" w:lastColumn="0" w:oddVBand="0" w:evenVBand="0" w:oddHBand="0" w:evenHBand="0" w:firstRowFirstColumn="0" w:firstRowLastColumn="0" w:lastRowFirstColumn="0" w:lastRowLastColumn="0"/>
            <w:tcW w:w="2123" w:type="dxa"/>
            <w:vMerge w:val="restart"/>
            <w:noWrap/>
            <w:vAlign w:val="top"/>
            <w:hideMark/>
          </w:tcPr>
          <w:p w14:paraId="5A4A0986" w14:textId="4B9F9F38" w:rsidR="00FF36E8" w:rsidRPr="000973F2" w:rsidRDefault="00FF36E8" w:rsidP="00E86BE0">
            <w:pPr>
              <w:spacing w:before="40" w:after="40"/>
              <w:rPr>
                <w:rFonts w:ascii="Times New Roman" w:eastAsia="Times New Roman" w:hAnsi="Times New Roman" w:cs="Times New Roman"/>
                <w:b w:val="0"/>
                <w:bCs w:val="0"/>
                <w:color w:val="000000"/>
                <w:sz w:val="18"/>
                <w:szCs w:val="18"/>
              </w:rPr>
            </w:pPr>
            <w:r w:rsidRPr="000973F2">
              <w:rPr>
                <w:rFonts w:ascii="Times New Roman" w:eastAsia="Times New Roman" w:hAnsi="Times New Roman" w:cs="Times New Roman"/>
                <w:color w:val="000000"/>
                <w:sz w:val="18"/>
                <w:szCs w:val="18"/>
              </w:rPr>
              <w:t>Activity</w:t>
            </w:r>
          </w:p>
        </w:tc>
        <w:tc>
          <w:tcPr>
            <w:tcW w:w="5008" w:type="dxa"/>
            <w:gridSpan w:val="4"/>
            <w:noWrap/>
            <w:vAlign w:val="top"/>
            <w:hideMark/>
          </w:tcPr>
          <w:p w14:paraId="655C44C0" w14:textId="77777777" w:rsidR="00FF36E8" w:rsidRPr="000973F2" w:rsidRDefault="00FF36E8" w:rsidP="00E86BE0">
            <w:pPr>
              <w:spacing w:before="40" w:after="40"/>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bCs w:val="0"/>
                <w:color w:val="000000"/>
                <w:sz w:val="18"/>
                <w:szCs w:val="18"/>
              </w:rPr>
            </w:pPr>
            <w:r w:rsidRPr="000973F2">
              <w:rPr>
                <w:rFonts w:ascii="Times New Roman" w:eastAsia="Times New Roman" w:hAnsi="Times New Roman" w:cs="Times New Roman"/>
                <w:color w:val="000000"/>
                <w:sz w:val="18"/>
                <w:szCs w:val="18"/>
              </w:rPr>
              <w:t>Cost Categories</w:t>
            </w:r>
          </w:p>
        </w:tc>
        <w:tc>
          <w:tcPr>
            <w:tcW w:w="2199" w:type="dxa"/>
            <w:gridSpan w:val="2"/>
            <w:vAlign w:val="top"/>
            <w:hideMark/>
          </w:tcPr>
          <w:p w14:paraId="19C05428" w14:textId="6D76AA87" w:rsidR="00FF36E8" w:rsidRPr="000973F2" w:rsidRDefault="00FF36E8" w:rsidP="00E86BE0">
            <w:pPr>
              <w:spacing w:before="40" w:after="40"/>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bCs w:val="0"/>
                <w:color w:val="000000"/>
                <w:sz w:val="18"/>
                <w:szCs w:val="18"/>
              </w:rPr>
            </w:pPr>
            <w:r w:rsidRPr="000973F2">
              <w:rPr>
                <w:rFonts w:ascii="Times New Roman" w:eastAsia="Times New Roman" w:hAnsi="Times New Roman" w:cs="Times New Roman"/>
                <w:sz w:val="18"/>
                <w:szCs w:val="18"/>
              </w:rPr>
              <w:t>Total Capital and O&amp;M Cost per Year per Facility (2017$)</w:t>
            </w:r>
          </w:p>
        </w:tc>
      </w:tr>
      <w:tr w:rsidR="00FF36E8" w:rsidRPr="000973F2" w14:paraId="4C959FD2" w14:textId="77777777" w:rsidTr="00E86BE0">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2123" w:type="dxa"/>
            <w:vMerge/>
            <w:noWrap/>
            <w:hideMark/>
          </w:tcPr>
          <w:p w14:paraId="18F66027" w14:textId="268C7801" w:rsidR="00FF36E8" w:rsidRPr="000973F2" w:rsidRDefault="00FF36E8" w:rsidP="00E86BE0">
            <w:pPr>
              <w:spacing w:before="40" w:after="40"/>
              <w:jc w:val="center"/>
              <w:rPr>
                <w:rFonts w:ascii="Times New Roman" w:eastAsia="Times New Roman" w:hAnsi="Times New Roman" w:cs="Times New Roman"/>
                <w:b/>
                <w:bCs w:val="0"/>
                <w:color w:val="000000"/>
                <w:sz w:val="18"/>
                <w:szCs w:val="18"/>
              </w:rPr>
            </w:pPr>
          </w:p>
        </w:tc>
        <w:tc>
          <w:tcPr>
            <w:tcW w:w="1252" w:type="dxa"/>
            <w:tcMar>
              <w:left w:w="29" w:type="dxa"/>
              <w:right w:w="29" w:type="dxa"/>
            </w:tcMar>
            <w:hideMark/>
          </w:tcPr>
          <w:p w14:paraId="3ED36F9E" w14:textId="77777777" w:rsidR="00FF36E8" w:rsidRPr="000973F2" w:rsidRDefault="00FF36E8" w:rsidP="00E86BE0">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color w:val="000000"/>
                <w:sz w:val="18"/>
                <w:szCs w:val="18"/>
              </w:rPr>
            </w:pPr>
            <w:r w:rsidRPr="000973F2">
              <w:rPr>
                <w:rFonts w:ascii="Times New Roman" w:eastAsia="Times New Roman" w:hAnsi="Times New Roman" w:cs="Times New Roman"/>
                <w:b/>
                <w:bCs/>
                <w:color w:val="000000"/>
                <w:sz w:val="18"/>
                <w:szCs w:val="18"/>
              </w:rPr>
              <w:t>Capital Cost (2017$)</w:t>
            </w:r>
          </w:p>
        </w:tc>
        <w:tc>
          <w:tcPr>
            <w:tcW w:w="1252" w:type="dxa"/>
            <w:tcMar>
              <w:left w:w="29" w:type="dxa"/>
              <w:right w:w="29" w:type="dxa"/>
            </w:tcMar>
            <w:hideMark/>
          </w:tcPr>
          <w:p w14:paraId="506DDAC3" w14:textId="77777777" w:rsidR="00FF36E8" w:rsidRPr="000973F2" w:rsidRDefault="00FF36E8" w:rsidP="00E86BE0">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color w:val="000000"/>
                <w:sz w:val="18"/>
                <w:szCs w:val="18"/>
              </w:rPr>
            </w:pPr>
            <w:r w:rsidRPr="000973F2">
              <w:rPr>
                <w:rFonts w:ascii="Times New Roman" w:eastAsia="Times New Roman" w:hAnsi="Times New Roman" w:cs="Times New Roman"/>
                <w:b/>
                <w:bCs/>
                <w:color w:val="000000"/>
                <w:sz w:val="18"/>
                <w:szCs w:val="18"/>
              </w:rPr>
              <w:t>Equipment Lifetime</w:t>
            </w:r>
          </w:p>
        </w:tc>
        <w:tc>
          <w:tcPr>
            <w:tcW w:w="1252" w:type="dxa"/>
            <w:tcMar>
              <w:left w:w="29" w:type="dxa"/>
              <w:right w:w="29" w:type="dxa"/>
            </w:tcMar>
            <w:hideMark/>
          </w:tcPr>
          <w:p w14:paraId="216E46EE" w14:textId="77777777" w:rsidR="00FF36E8" w:rsidRPr="000973F2" w:rsidRDefault="00FF36E8" w:rsidP="00E86BE0">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color w:val="000000"/>
                <w:sz w:val="18"/>
                <w:szCs w:val="18"/>
              </w:rPr>
            </w:pPr>
            <w:r w:rsidRPr="000973F2">
              <w:rPr>
                <w:rFonts w:ascii="Times New Roman" w:eastAsia="Times New Roman" w:hAnsi="Times New Roman" w:cs="Times New Roman"/>
                <w:b/>
                <w:bCs/>
                <w:color w:val="000000"/>
                <w:sz w:val="18"/>
                <w:szCs w:val="18"/>
              </w:rPr>
              <w:t>Annualized Capital Cost (2017$/year)</w:t>
            </w:r>
          </w:p>
        </w:tc>
        <w:tc>
          <w:tcPr>
            <w:tcW w:w="1252" w:type="dxa"/>
            <w:tcMar>
              <w:left w:w="29" w:type="dxa"/>
              <w:right w:w="29" w:type="dxa"/>
            </w:tcMar>
            <w:hideMark/>
          </w:tcPr>
          <w:p w14:paraId="1EA3D501" w14:textId="77777777" w:rsidR="00FF36E8" w:rsidRPr="000973F2" w:rsidRDefault="00FF36E8" w:rsidP="00E86BE0">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color w:val="000000"/>
                <w:sz w:val="18"/>
                <w:szCs w:val="18"/>
              </w:rPr>
            </w:pPr>
            <w:r w:rsidRPr="000973F2">
              <w:rPr>
                <w:rFonts w:ascii="Times New Roman" w:eastAsia="Times New Roman" w:hAnsi="Times New Roman" w:cs="Times New Roman"/>
                <w:b/>
                <w:bCs/>
                <w:color w:val="000000"/>
                <w:sz w:val="18"/>
                <w:szCs w:val="18"/>
              </w:rPr>
              <w:t>O&amp;M Costs (2017$/year)</w:t>
            </w:r>
          </w:p>
        </w:tc>
        <w:tc>
          <w:tcPr>
            <w:tcW w:w="1012" w:type="dxa"/>
            <w:tcMar>
              <w:left w:w="29" w:type="dxa"/>
              <w:right w:w="29" w:type="dxa"/>
            </w:tcMar>
            <w:hideMark/>
          </w:tcPr>
          <w:p w14:paraId="0E2F5837" w14:textId="77777777" w:rsidR="00FF36E8" w:rsidRPr="000973F2" w:rsidRDefault="00FF36E8" w:rsidP="00E86BE0">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color w:val="000000"/>
                <w:sz w:val="18"/>
                <w:szCs w:val="18"/>
              </w:rPr>
            </w:pPr>
            <w:r w:rsidRPr="000973F2">
              <w:rPr>
                <w:rFonts w:ascii="Times New Roman" w:eastAsia="Times New Roman" w:hAnsi="Times New Roman" w:cs="Times New Roman"/>
                <w:b/>
                <w:bCs/>
                <w:color w:val="000000"/>
                <w:sz w:val="18"/>
                <w:szCs w:val="18"/>
              </w:rPr>
              <w:t>Initial Year</w:t>
            </w:r>
          </w:p>
        </w:tc>
        <w:tc>
          <w:tcPr>
            <w:tcW w:w="1187" w:type="dxa"/>
            <w:tcMar>
              <w:left w:w="29" w:type="dxa"/>
              <w:right w:w="29" w:type="dxa"/>
            </w:tcMar>
            <w:hideMark/>
          </w:tcPr>
          <w:p w14:paraId="4957E915" w14:textId="77777777" w:rsidR="00FF36E8" w:rsidRPr="000973F2" w:rsidRDefault="00FF36E8" w:rsidP="00E86BE0">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color w:val="000000"/>
                <w:sz w:val="18"/>
                <w:szCs w:val="18"/>
              </w:rPr>
            </w:pPr>
            <w:r w:rsidRPr="000973F2">
              <w:rPr>
                <w:rFonts w:ascii="Times New Roman" w:eastAsia="Times New Roman" w:hAnsi="Times New Roman" w:cs="Times New Roman"/>
                <w:b/>
                <w:bCs/>
                <w:color w:val="000000"/>
                <w:sz w:val="18"/>
                <w:szCs w:val="18"/>
              </w:rPr>
              <w:t>Subseq. Years</w:t>
            </w:r>
          </w:p>
        </w:tc>
      </w:tr>
      <w:tr w:rsidR="003E005F" w:rsidRPr="000973F2" w14:paraId="2A24CC94" w14:textId="77777777" w:rsidTr="00E86BE0">
        <w:trPr>
          <w:cantSplit/>
        </w:trPr>
        <w:tc>
          <w:tcPr>
            <w:cnfStyle w:val="001000000000" w:firstRow="0" w:lastRow="0" w:firstColumn="1" w:lastColumn="0" w:oddVBand="0" w:evenVBand="0" w:oddHBand="0" w:evenHBand="0" w:firstRowFirstColumn="0" w:firstRowLastColumn="0" w:lastRowFirstColumn="0" w:lastRowLastColumn="0"/>
            <w:tcW w:w="2123" w:type="dxa"/>
            <w:hideMark/>
          </w:tcPr>
          <w:p w14:paraId="23212949" w14:textId="77777777" w:rsidR="003E005F" w:rsidRPr="000973F2" w:rsidRDefault="003E005F" w:rsidP="00E86BE0">
            <w:pPr>
              <w:spacing w:before="40" w:after="40"/>
              <w:rPr>
                <w:rFonts w:ascii="Times New Roman" w:eastAsia="Times New Roman" w:hAnsi="Times New Roman" w:cs="Times New Roman"/>
                <w:color w:val="000000"/>
                <w:sz w:val="18"/>
                <w:szCs w:val="18"/>
              </w:rPr>
            </w:pPr>
            <w:r w:rsidRPr="000973F2">
              <w:rPr>
                <w:rFonts w:ascii="Times New Roman" w:eastAsia="Times New Roman" w:hAnsi="Times New Roman" w:cs="Times New Roman"/>
                <w:color w:val="000000"/>
                <w:sz w:val="18"/>
                <w:szCs w:val="18"/>
              </w:rPr>
              <w:t>Equipment (selection, purchase, installation)</w:t>
            </w:r>
          </w:p>
        </w:tc>
        <w:tc>
          <w:tcPr>
            <w:tcW w:w="1252" w:type="dxa"/>
            <w:noWrap/>
            <w:hideMark/>
          </w:tcPr>
          <w:p w14:paraId="4A39A1DF" w14:textId="41B6C8AC" w:rsidR="003E005F" w:rsidRPr="000973F2" w:rsidRDefault="00E86BE0" w:rsidP="00034890">
            <w:pPr>
              <w:spacing w:before="40" w:after="4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8"/>
                <w:szCs w:val="18"/>
              </w:rPr>
            </w:pPr>
            <w:r w:rsidRPr="000973F2">
              <w:rPr>
                <w:rFonts w:ascii="Times New Roman" w:eastAsia="Times New Roman" w:hAnsi="Times New Roman" w:cs="Times New Roman"/>
                <w:sz w:val="18"/>
                <w:szCs w:val="18"/>
              </w:rPr>
              <w:t>–</w:t>
            </w:r>
          </w:p>
        </w:tc>
        <w:tc>
          <w:tcPr>
            <w:tcW w:w="1252" w:type="dxa"/>
            <w:noWrap/>
          </w:tcPr>
          <w:p w14:paraId="2003C560" w14:textId="5E0F8210" w:rsidR="003E005F" w:rsidRPr="000973F2" w:rsidRDefault="003E005F" w:rsidP="00034890">
            <w:pPr>
              <w:spacing w:before="40" w:after="4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8"/>
                <w:szCs w:val="18"/>
              </w:rPr>
            </w:pPr>
          </w:p>
        </w:tc>
        <w:tc>
          <w:tcPr>
            <w:tcW w:w="1252" w:type="dxa"/>
            <w:noWrap/>
            <w:hideMark/>
          </w:tcPr>
          <w:p w14:paraId="4BB7B3CA" w14:textId="762648A8" w:rsidR="003E005F" w:rsidRPr="000973F2" w:rsidRDefault="00E86BE0" w:rsidP="00034890">
            <w:pPr>
              <w:spacing w:before="40" w:after="4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8"/>
                <w:szCs w:val="18"/>
              </w:rPr>
            </w:pPr>
            <w:r w:rsidRPr="000973F2">
              <w:rPr>
                <w:rFonts w:ascii="Times New Roman" w:eastAsia="Times New Roman" w:hAnsi="Times New Roman" w:cs="Times New Roman"/>
                <w:sz w:val="18"/>
                <w:szCs w:val="18"/>
              </w:rPr>
              <w:t>–</w:t>
            </w:r>
          </w:p>
        </w:tc>
        <w:tc>
          <w:tcPr>
            <w:tcW w:w="1252" w:type="dxa"/>
            <w:noWrap/>
            <w:hideMark/>
          </w:tcPr>
          <w:p w14:paraId="617923E6" w14:textId="61F84F32" w:rsidR="003E005F" w:rsidRPr="000973F2" w:rsidRDefault="00E86BE0" w:rsidP="00034890">
            <w:pPr>
              <w:spacing w:before="40" w:after="4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8"/>
                <w:szCs w:val="18"/>
              </w:rPr>
            </w:pPr>
            <w:r w:rsidRPr="000973F2">
              <w:rPr>
                <w:rFonts w:ascii="Times New Roman" w:eastAsia="Times New Roman" w:hAnsi="Times New Roman" w:cs="Times New Roman"/>
                <w:sz w:val="18"/>
                <w:szCs w:val="18"/>
              </w:rPr>
              <w:t>–</w:t>
            </w:r>
          </w:p>
        </w:tc>
        <w:tc>
          <w:tcPr>
            <w:tcW w:w="1012" w:type="dxa"/>
            <w:noWrap/>
            <w:hideMark/>
          </w:tcPr>
          <w:p w14:paraId="7F630E62" w14:textId="26C40BC9" w:rsidR="003E005F" w:rsidRPr="000973F2" w:rsidRDefault="00E86BE0" w:rsidP="00034890">
            <w:pPr>
              <w:spacing w:before="40" w:after="4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8"/>
                <w:szCs w:val="18"/>
              </w:rPr>
            </w:pPr>
            <w:r w:rsidRPr="000973F2">
              <w:rPr>
                <w:rFonts w:ascii="Times New Roman" w:eastAsia="Times New Roman" w:hAnsi="Times New Roman" w:cs="Times New Roman"/>
                <w:sz w:val="18"/>
                <w:szCs w:val="18"/>
              </w:rPr>
              <w:t>–</w:t>
            </w:r>
          </w:p>
        </w:tc>
        <w:tc>
          <w:tcPr>
            <w:tcW w:w="1187" w:type="dxa"/>
            <w:noWrap/>
            <w:hideMark/>
          </w:tcPr>
          <w:p w14:paraId="162BD205" w14:textId="39977C43" w:rsidR="003E005F" w:rsidRPr="000973F2" w:rsidRDefault="00E86BE0" w:rsidP="00034890">
            <w:pPr>
              <w:spacing w:before="40" w:after="4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8"/>
                <w:szCs w:val="18"/>
              </w:rPr>
            </w:pPr>
            <w:r w:rsidRPr="000973F2">
              <w:rPr>
                <w:rFonts w:ascii="Times New Roman" w:eastAsia="Times New Roman" w:hAnsi="Times New Roman" w:cs="Times New Roman"/>
                <w:sz w:val="18"/>
                <w:szCs w:val="18"/>
              </w:rPr>
              <w:t>–</w:t>
            </w:r>
          </w:p>
        </w:tc>
      </w:tr>
      <w:tr w:rsidR="00807024" w:rsidRPr="000973F2" w14:paraId="19840B22" w14:textId="77777777" w:rsidTr="00E86BE0">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2123" w:type="dxa"/>
            <w:hideMark/>
          </w:tcPr>
          <w:p w14:paraId="60C91D89" w14:textId="77777777" w:rsidR="003E005F" w:rsidRPr="000973F2" w:rsidRDefault="003E005F" w:rsidP="00E86BE0">
            <w:pPr>
              <w:spacing w:before="40" w:after="40"/>
              <w:rPr>
                <w:rFonts w:ascii="Times New Roman" w:eastAsia="Times New Roman" w:hAnsi="Times New Roman" w:cs="Times New Roman"/>
                <w:color w:val="000000"/>
                <w:sz w:val="18"/>
                <w:szCs w:val="18"/>
              </w:rPr>
            </w:pPr>
            <w:r w:rsidRPr="000973F2">
              <w:rPr>
                <w:rFonts w:ascii="Times New Roman" w:eastAsia="Times New Roman" w:hAnsi="Times New Roman" w:cs="Times New Roman"/>
                <w:color w:val="000000"/>
                <w:sz w:val="18"/>
                <w:szCs w:val="18"/>
              </w:rPr>
              <w:t>Performance testing</w:t>
            </w:r>
          </w:p>
        </w:tc>
        <w:tc>
          <w:tcPr>
            <w:tcW w:w="1252" w:type="dxa"/>
            <w:noWrap/>
            <w:hideMark/>
          </w:tcPr>
          <w:p w14:paraId="1E7EED75" w14:textId="68B09DCA" w:rsidR="003E005F" w:rsidRPr="000973F2" w:rsidRDefault="00E86BE0" w:rsidP="00034890">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18"/>
                <w:szCs w:val="18"/>
              </w:rPr>
            </w:pPr>
            <w:r w:rsidRPr="000973F2">
              <w:rPr>
                <w:rFonts w:ascii="Times New Roman" w:eastAsia="Times New Roman" w:hAnsi="Times New Roman" w:cs="Times New Roman"/>
                <w:sz w:val="18"/>
                <w:szCs w:val="18"/>
              </w:rPr>
              <w:t>–</w:t>
            </w:r>
          </w:p>
        </w:tc>
        <w:tc>
          <w:tcPr>
            <w:tcW w:w="1252" w:type="dxa"/>
            <w:noWrap/>
          </w:tcPr>
          <w:p w14:paraId="06686F6F" w14:textId="13FD8FAF" w:rsidR="003E005F" w:rsidRPr="000973F2" w:rsidRDefault="003E005F" w:rsidP="00034890">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18"/>
                <w:szCs w:val="18"/>
              </w:rPr>
            </w:pPr>
          </w:p>
        </w:tc>
        <w:tc>
          <w:tcPr>
            <w:tcW w:w="1252" w:type="dxa"/>
            <w:noWrap/>
            <w:hideMark/>
          </w:tcPr>
          <w:p w14:paraId="6F87A533" w14:textId="1C6927CD" w:rsidR="003E005F" w:rsidRPr="000973F2" w:rsidRDefault="00E86BE0" w:rsidP="00034890">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18"/>
                <w:szCs w:val="18"/>
              </w:rPr>
            </w:pPr>
            <w:r w:rsidRPr="000973F2">
              <w:rPr>
                <w:rFonts w:ascii="Times New Roman" w:eastAsia="Times New Roman" w:hAnsi="Times New Roman" w:cs="Times New Roman"/>
                <w:sz w:val="18"/>
                <w:szCs w:val="18"/>
              </w:rPr>
              <w:t>–</w:t>
            </w:r>
          </w:p>
        </w:tc>
        <w:tc>
          <w:tcPr>
            <w:tcW w:w="1252" w:type="dxa"/>
            <w:noWrap/>
            <w:hideMark/>
          </w:tcPr>
          <w:p w14:paraId="41D9985A" w14:textId="76A0C986" w:rsidR="003E005F" w:rsidRPr="000973F2" w:rsidRDefault="00E86BE0" w:rsidP="00034890">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18"/>
                <w:szCs w:val="18"/>
              </w:rPr>
            </w:pPr>
            <w:r w:rsidRPr="000973F2">
              <w:rPr>
                <w:rFonts w:ascii="Times New Roman" w:eastAsia="Times New Roman" w:hAnsi="Times New Roman" w:cs="Times New Roman"/>
                <w:sz w:val="18"/>
                <w:szCs w:val="18"/>
              </w:rPr>
              <w:t>–</w:t>
            </w:r>
          </w:p>
        </w:tc>
        <w:tc>
          <w:tcPr>
            <w:tcW w:w="1012" w:type="dxa"/>
            <w:noWrap/>
            <w:hideMark/>
          </w:tcPr>
          <w:p w14:paraId="53B6943A" w14:textId="2B0AD019" w:rsidR="003E005F" w:rsidRPr="000973F2" w:rsidRDefault="00E86BE0" w:rsidP="00034890">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18"/>
                <w:szCs w:val="18"/>
              </w:rPr>
            </w:pPr>
            <w:r w:rsidRPr="000973F2">
              <w:rPr>
                <w:rFonts w:ascii="Times New Roman" w:eastAsia="Times New Roman" w:hAnsi="Times New Roman" w:cs="Times New Roman"/>
                <w:sz w:val="18"/>
                <w:szCs w:val="18"/>
              </w:rPr>
              <w:t>–</w:t>
            </w:r>
          </w:p>
        </w:tc>
        <w:tc>
          <w:tcPr>
            <w:tcW w:w="1187" w:type="dxa"/>
            <w:noWrap/>
            <w:hideMark/>
          </w:tcPr>
          <w:p w14:paraId="1E61659D" w14:textId="5DAF5916" w:rsidR="003E005F" w:rsidRPr="000973F2" w:rsidRDefault="00E86BE0" w:rsidP="00034890">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18"/>
                <w:szCs w:val="18"/>
              </w:rPr>
            </w:pPr>
            <w:r w:rsidRPr="000973F2">
              <w:rPr>
                <w:rFonts w:ascii="Times New Roman" w:eastAsia="Times New Roman" w:hAnsi="Times New Roman" w:cs="Times New Roman"/>
                <w:sz w:val="18"/>
                <w:szCs w:val="18"/>
              </w:rPr>
              <w:t>–</w:t>
            </w:r>
          </w:p>
        </w:tc>
      </w:tr>
      <w:tr w:rsidR="00661EA1" w:rsidRPr="000973F2" w14:paraId="6615C53C" w14:textId="77777777" w:rsidTr="00E86BE0">
        <w:trPr>
          <w:cantSplit/>
        </w:trPr>
        <w:tc>
          <w:tcPr>
            <w:cnfStyle w:val="001000000000" w:firstRow="0" w:lastRow="0" w:firstColumn="1" w:lastColumn="0" w:oddVBand="0" w:evenVBand="0" w:oddHBand="0" w:evenHBand="0" w:firstRowFirstColumn="0" w:firstRowLastColumn="0" w:lastRowFirstColumn="0" w:lastRowLastColumn="0"/>
            <w:tcW w:w="2123" w:type="dxa"/>
            <w:hideMark/>
          </w:tcPr>
          <w:p w14:paraId="79ABDBAF" w14:textId="77777777" w:rsidR="00661EA1" w:rsidRPr="000973F2" w:rsidRDefault="00661EA1" w:rsidP="00E86BE0">
            <w:pPr>
              <w:spacing w:before="40" w:after="40"/>
              <w:rPr>
                <w:rFonts w:ascii="Times New Roman" w:eastAsia="Times New Roman" w:hAnsi="Times New Roman" w:cs="Times New Roman"/>
                <w:color w:val="000000"/>
                <w:sz w:val="18"/>
                <w:szCs w:val="18"/>
              </w:rPr>
            </w:pPr>
            <w:r w:rsidRPr="000973F2">
              <w:rPr>
                <w:rFonts w:ascii="Times New Roman" w:eastAsia="Times New Roman" w:hAnsi="Times New Roman" w:cs="Times New Roman"/>
                <w:color w:val="000000"/>
                <w:sz w:val="18"/>
                <w:szCs w:val="18"/>
              </w:rPr>
              <w:t>Recordkeeping</w:t>
            </w:r>
          </w:p>
        </w:tc>
        <w:tc>
          <w:tcPr>
            <w:tcW w:w="1252" w:type="dxa"/>
            <w:noWrap/>
            <w:hideMark/>
          </w:tcPr>
          <w:p w14:paraId="5117BB97" w14:textId="12474B05" w:rsidR="00661EA1" w:rsidRPr="000973F2" w:rsidRDefault="00661EA1" w:rsidP="00034890">
            <w:pPr>
              <w:spacing w:before="40" w:after="4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8"/>
                <w:szCs w:val="18"/>
              </w:rPr>
            </w:pPr>
            <w:r w:rsidRPr="000973F2">
              <w:rPr>
                <w:rFonts w:ascii="Times New Roman" w:eastAsia="Times New Roman" w:hAnsi="Times New Roman" w:cs="Times New Roman"/>
                <w:color w:val="000000"/>
                <w:sz w:val="18"/>
                <w:szCs w:val="18"/>
              </w:rPr>
              <w:t>$0</w:t>
            </w:r>
          </w:p>
        </w:tc>
        <w:tc>
          <w:tcPr>
            <w:tcW w:w="1252" w:type="dxa"/>
            <w:noWrap/>
          </w:tcPr>
          <w:p w14:paraId="168462CE" w14:textId="77777777" w:rsidR="00661EA1" w:rsidRPr="000973F2" w:rsidRDefault="00661EA1" w:rsidP="00034890">
            <w:pPr>
              <w:spacing w:before="40" w:after="4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8"/>
                <w:szCs w:val="18"/>
              </w:rPr>
            </w:pPr>
          </w:p>
        </w:tc>
        <w:tc>
          <w:tcPr>
            <w:tcW w:w="1252" w:type="dxa"/>
            <w:noWrap/>
            <w:hideMark/>
          </w:tcPr>
          <w:p w14:paraId="6FCF2F3B" w14:textId="5415B331" w:rsidR="00661EA1" w:rsidRPr="000973F2" w:rsidRDefault="00661EA1" w:rsidP="00034890">
            <w:pPr>
              <w:spacing w:before="40" w:after="4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8"/>
                <w:szCs w:val="18"/>
              </w:rPr>
            </w:pPr>
            <w:r w:rsidRPr="000973F2">
              <w:rPr>
                <w:rFonts w:ascii="Times New Roman" w:eastAsia="Times New Roman" w:hAnsi="Times New Roman" w:cs="Times New Roman"/>
                <w:color w:val="000000"/>
                <w:sz w:val="18"/>
                <w:szCs w:val="18"/>
              </w:rPr>
              <w:t>$0</w:t>
            </w:r>
          </w:p>
        </w:tc>
        <w:tc>
          <w:tcPr>
            <w:tcW w:w="1252" w:type="dxa"/>
            <w:noWrap/>
            <w:hideMark/>
          </w:tcPr>
          <w:p w14:paraId="7A53E5B0" w14:textId="5F88375D" w:rsidR="00661EA1" w:rsidRPr="000973F2" w:rsidRDefault="00661EA1" w:rsidP="00034890">
            <w:pPr>
              <w:spacing w:before="40" w:after="4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8"/>
                <w:szCs w:val="18"/>
              </w:rPr>
            </w:pPr>
            <w:r w:rsidRPr="000973F2">
              <w:rPr>
                <w:rFonts w:ascii="Times New Roman" w:eastAsia="Times New Roman" w:hAnsi="Times New Roman" w:cs="Times New Roman"/>
                <w:color w:val="000000"/>
                <w:sz w:val="18"/>
                <w:szCs w:val="18"/>
              </w:rPr>
              <w:t>$50</w:t>
            </w:r>
          </w:p>
        </w:tc>
        <w:tc>
          <w:tcPr>
            <w:tcW w:w="1012" w:type="dxa"/>
            <w:noWrap/>
            <w:hideMark/>
          </w:tcPr>
          <w:p w14:paraId="7F9F897E" w14:textId="07C0DF74" w:rsidR="00661EA1" w:rsidRPr="000973F2" w:rsidRDefault="00661EA1" w:rsidP="00034890">
            <w:pPr>
              <w:spacing w:before="40" w:after="4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8"/>
                <w:szCs w:val="18"/>
              </w:rPr>
            </w:pPr>
            <w:r w:rsidRPr="000973F2">
              <w:rPr>
                <w:rFonts w:ascii="Times New Roman" w:eastAsia="Times New Roman" w:hAnsi="Times New Roman" w:cs="Times New Roman"/>
                <w:color w:val="000000"/>
                <w:sz w:val="18"/>
                <w:szCs w:val="18"/>
              </w:rPr>
              <w:t>$0</w:t>
            </w:r>
          </w:p>
        </w:tc>
        <w:tc>
          <w:tcPr>
            <w:tcW w:w="1187" w:type="dxa"/>
            <w:noWrap/>
            <w:hideMark/>
          </w:tcPr>
          <w:p w14:paraId="266AB105" w14:textId="0D491180" w:rsidR="00661EA1" w:rsidRPr="000973F2" w:rsidRDefault="00661EA1" w:rsidP="00034890">
            <w:pPr>
              <w:spacing w:before="40" w:after="4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8"/>
                <w:szCs w:val="18"/>
              </w:rPr>
            </w:pPr>
            <w:r w:rsidRPr="000973F2">
              <w:rPr>
                <w:rFonts w:ascii="Times New Roman" w:eastAsia="Times New Roman" w:hAnsi="Times New Roman" w:cs="Times New Roman"/>
                <w:color w:val="000000"/>
                <w:sz w:val="18"/>
                <w:szCs w:val="18"/>
              </w:rPr>
              <w:t>$50</w:t>
            </w:r>
          </w:p>
        </w:tc>
      </w:tr>
      <w:tr w:rsidR="00807024" w:rsidRPr="000973F2" w14:paraId="7B647D27" w14:textId="77777777" w:rsidTr="00E86BE0">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2123" w:type="dxa"/>
            <w:hideMark/>
          </w:tcPr>
          <w:p w14:paraId="6C3C8661" w14:textId="77777777" w:rsidR="003E005F" w:rsidRPr="000973F2" w:rsidRDefault="003E005F" w:rsidP="00E86BE0">
            <w:pPr>
              <w:spacing w:before="40" w:after="40"/>
              <w:rPr>
                <w:rFonts w:ascii="Times New Roman" w:eastAsia="Times New Roman" w:hAnsi="Times New Roman" w:cs="Times New Roman"/>
                <w:color w:val="000000"/>
                <w:sz w:val="18"/>
                <w:szCs w:val="18"/>
              </w:rPr>
            </w:pPr>
            <w:r w:rsidRPr="000973F2">
              <w:rPr>
                <w:rFonts w:ascii="Times New Roman" w:eastAsia="Times New Roman" w:hAnsi="Times New Roman" w:cs="Times New Roman"/>
                <w:color w:val="000000"/>
                <w:sz w:val="18"/>
                <w:szCs w:val="18"/>
              </w:rPr>
              <w:t>Travel</w:t>
            </w:r>
          </w:p>
        </w:tc>
        <w:tc>
          <w:tcPr>
            <w:tcW w:w="1252" w:type="dxa"/>
            <w:noWrap/>
            <w:hideMark/>
          </w:tcPr>
          <w:p w14:paraId="68FC338B" w14:textId="42205593" w:rsidR="003E005F" w:rsidRPr="000973F2" w:rsidRDefault="00E86BE0" w:rsidP="00034890">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18"/>
                <w:szCs w:val="18"/>
              </w:rPr>
            </w:pPr>
            <w:r w:rsidRPr="000973F2">
              <w:rPr>
                <w:rFonts w:ascii="Times New Roman" w:eastAsia="Times New Roman" w:hAnsi="Times New Roman" w:cs="Times New Roman"/>
                <w:sz w:val="18"/>
                <w:szCs w:val="18"/>
              </w:rPr>
              <w:t>–</w:t>
            </w:r>
          </w:p>
        </w:tc>
        <w:tc>
          <w:tcPr>
            <w:tcW w:w="1252" w:type="dxa"/>
            <w:noWrap/>
          </w:tcPr>
          <w:p w14:paraId="2E524286" w14:textId="017DE752" w:rsidR="003E005F" w:rsidRPr="000973F2" w:rsidRDefault="003E005F" w:rsidP="00034890">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18"/>
                <w:szCs w:val="18"/>
              </w:rPr>
            </w:pPr>
          </w:p>
        </w:tc>
        <w:tc>
          <w:tcPr>
            <w:tcW w:w="1252" w:type="dxa"/>
            <w:noWrap/>
            <w:hideMark/>
          </w:tcPr>
          <w:p w14:paraId="24CEDF28" w14:textId="584BC1B4" w:rsidR="003E005F" w:rsidRPr="000973F2" w:rsidRDefault="00E86BE0" w:rsidP="00034890">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18"/>
                <w:szCs w:val="18"/>
              </w:rPr>
            </w:pPr>
            <w:r w:rsidRPr="000973F2">
              <w:rPr>
                <w:rFonts w:ascii="Times New Roman" w:eastAsia="Times New Roman" w:hAnsi="Times New Roman" w:cs="Times New Roman"/>
                <w:sz w:val="18"/>
                <w:szCs w:val="18"/>
              </w:rPr>
              <w:t>–</w:t>
            </w:r>
          </w:p>
        </w:tc>
        <w:tc>
          <w:tcPr>
            <w:tcW w:w="1252" w:type="dxa"/>
            <w:noWrap/>
            <w:hideMark/>
          </w:tcPr>
          <w:p w14:paraId="2F53B828" w14:textId="250174A3" w:rsidR="003E005F" w:rsidRPr="000973F2" w:rsidRDefault="00E86BE0" w:rsidP="00034890">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18"/>
                <w:szCs w:val="18"/>
              </w:rPr>
            </w:pPr>
            <w:r w:rsidRPr="000973F2">
              <w:rPr>
                <w:rFonts w:ascii="Times New Roman" w:eastAsia="Times New Roman" w:hAnsi="Times New Roman" w:cs="Times New Roman"/>
                <w:sz w:val="18"/>
                <w:szCs w:val="18"/>
              </w:rPr>
              <w:t>–</w:t>
            </w:r>
          </w:p>
        </w:tc>
        <w:tc>
          <w:tcPr>
            <w:tcW w:w="1012" w:type="dxa"/>
            <w:noWrap/>
            <w:hideMark/>
          </w:tcPr>
          <w:p w14:paraId="39CC99F8" w14:textId="2B2B5DEF" w:rsidR="003E005F" w:rsidRPr="000973F2" w:rsidRDefault="00E86BE0" w:rsidP="00034890">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18"/>
                <w:szCs w:val="18"/>
              </w:rPr>
            </w:pPr>
            <w:r w:rsidRPr="000973F2">
              <w:rPr>
                <w:rFonts w:ascii="Times New Roman" w:eastAsia="Times New Roman" w:hAnsi="Times New Roman" w:cs="Times New Roman"/>
                <w:sz w:val="18"/>
                <w:szCs w:val="18"/>
              </w:rPr>
              <w:t>–</w:t>
            </w:r>
          </w:p>
        </w:tc>
        <w:tc>
          <w:tcPr>
            <w:tcW w:w="1187" w:type="dxa"/>
            <w:noWrap/>
            <w:hideMark/>
          </w:tcPr>
          <w:p w14:paraId="793B84D9" w14:textId="7F4F633D" w:rsidR="003E005F" w:rsidRPr="000973F2" w:rsidRDefault="00E86BE0" w:rsidP="00034890">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18"/>
                <w:szCs w:val="18"/>
              </w:rPr>
            </w:pPr>
            <w:r w:rsidRPr="000973F2">
              <w:rPr>
                <w:rFonts w:ascii="Times New Roman" w:eastAsia="Times New Roman" w:hAnsi="Times New Roman" w:cs="Times New Roman"/>
                <w:sz w:val="18"/>
                <w:szCs w:val="18"/>
              </w:rPr>
              <w:t>–</w:t>
            </w:r>
          </w:p>
        </w:tc>
      </w:tr>
      <w:tr w:rsidR="003E005F" w:rsidRPr="000973F2" w14:paraId="49F1443E" w14:textId="77777777" w:rsidTr="00E86BE0">
        <w:trPr>
          <w:cantSplit/>
        </w:trPr>
        <w:tc>
          <w:tcPr>
            <w:cnfStyle w:val="001000000000" w:firstRow="0" w:lastRow="0" w:firstColumn="1" w:lastColumn="0" w:oddVBand="0" w:evenVBand="0" w:oddHBand="0" w:evenHBand="0" w:firstRowFirstColumn="0" w:firstRowLastColumn="0" w:lastRowFirstColumn="0" w:lastRowLastColumn="0"/>
            <w:tcW w:w="2123" w:type="dxa"/>
            <w:hideMark/>
          </w:tcPr>
          <w:p w14:paraId="592238FA" w14:textId="37CC4109" w:rsidR="003E005F" w:rsidRPr="000973F2" w:rsidRDefault="003E005F" w:rsidP="00E86BE0">
            <w:pPr>
              <w:spacing w:before="40" w:after="40"/>
              <w:rPr>
                <w:rFonts w:ascii="Times New Roman" w:eastAsia="Times New Roman" w:hAnsi="Times New Roman" w:cs="Times New Roman"/>
                <w:color w:val="000000"/>
                <w:sz w:val="18"/>
                <w:szCs w:val="18"/>
              </w:rPr>
            </w:pPr>
            <w:r w:rsidRPr="000973F2">
              <w:rPr>
                <w:rFonts w:ascii="Times New Roman" w:eastAsia="Times New Roman" w:hAnsi="Times New Roman" w:cs="Times New Roman"/>
                <w:color w:val="000000"/>
                <w:sz w:val="18"/>
                <w:szCs w:val="18"/>
              </w:rPr>
              <w:t xml:space="preserve">Sampling </w:t>
            </w:r>
            <w:r w:rsidRPr="000973F2">
              <w:rPr>
                <w:rFonts w:ascii="Times New Roman" w:eastAsia="Times New Roman" w:hAnsi="Times New Roman" w:cs="Times New Roman"/>
                <w:sz w:val="18"/>
                <w:szCs w:val="18"/>
              </w:rPr>
              <w:t xml:space="preserve">and Analysis </w:t>
            </w:r>
            <w:r w:rsidRPr="000973F2">
              <w:rPr>
                <w:rFonts w:ascii="Times New Roman" w:eastAsia="Times New Roman" w:hAnsi="Times New Roman" w:cs="Times New Roman"/>
                <w:color w:val="000000"/>
                <w:sz w:val="18"/>
                <w:szCs w:val="18"/>
              </w:rPr>
              <w:t>Costs</w:t>
            </w:r>
          </w:p>
        </w:tc>
        <w:tc>
          <w:tcPr>
            <w:tcW w:w="1252" w:type="dxa"/>
            <w:noWrap/>
            <w:hideMark/>
          </w:tcPr>
          <w:p w14:paraId="10F0B9BF" w14:textId="29A493A3" w:rsidR="003E005F" w:rsidRPr="000973F2" w:rsidRDefault="00E86BE0" w:rsidP="00034890">
            <w:pPr>
              <w:spacing w:before="40" w:after="4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8"/>
                <w:szCs w:val="18"/>
              </w:rPr>
            </w:pPr>
            <w:r w:rsidRPr="000973F2">
              <w:rPr>
                <w:rFonts w:ascii="Times New Roman" w:eastAsia="Times New Roman" w:hAnsi="Times New Roman" w:cs="Times New Roman"/>
                <w:sz w:val="18"/>
                <w:szCs w:val="18"/>
              </w:rPr>
              <w:t>–</w:t>
            </w:r>
          </w:p>
        </w:tc>
        <w:tc>
          <w:tcPr>
            <w:tcW w:w="1252" w:type="dxa"/>
            <w:noWrap/>
          </w:tcPr>
          <w:p w14:paraId="7E128F94" w14:textId="561FF7D9" w:rsidR="003E005F" w:rsidRPr="000973F2" w:rsidRDefault="003E005F" w:rsidP="00034890">
            <w:pPr>
              <w:spacing w:before="40" w:after="4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8"/>
                <w:szCs w:val="18"/>
              </w:rPr>
            </w:pPr>
          </w:p>
        </w:tc>
        <w:tc>
          <w:tcPr>
            <w:tcW w:w="1252" w:type="dxa"/>
            <w:noWrap/>
            <w:hideMark/>
          </w:tcPr>
          <w:p w14:paraId="291B0DA3" w14:textId="5E6F5170" w:rsidR="003E005F" w:rsidRPr="000973F2" w:rsidRDefault="00E86BE0" w:rsidP="00034890">
            <w:pPr>
              <w:spacing w:before="40" w:after="4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8"/>
                <w:szCs w:val="18"/>
              </w:rPr>
            </w:pPr>
            <w:r w:rsidRPr="000973F2">
              <w:rPr>
                <w:rFonts w:ascii="Times New Roman" w:eastAsia="Times New Roman" w:hAnsi="Times New Roman" w:cs="Times New Roman"/>
                <w:sz w:val="18"/>
                <w:szCs w:val="18"/>
              </w:rPr>
              <w:t>–</w:t>
            </w:r>
          </w:p>
        </w:tc>
        <w:tc>
          <w:tcPr>
            <w:tcW w:w="1252" w:type="dxa"/>
            <w:noWrap/>
            <w:hideMark/>
          </w:tcPr>
          <w:p w14:paraId="0DE6FD36" w14:textId="230127B8" w:rsidR="003E005F" w:rsidRPr="000973F2" w:rsidRDefault="00E86BE0" w:rsidP="00034890">
            <w:pPr>
              <w:spacing w:before="40" w:after="4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8"/>
                <w:szCs w:val="18"/>
              </w:rPr>
            </w:pPr>
            <w:r w:rsidRPr="000973F2">
              <w:rPr>
                <w:rFonts w:ascii="Times New Roman" w:eastAsia="Times New Roman" w:hAnsi="Times New Roman" w:cs="Times New Roman"/>
                <w:sz w:val="18"/>
                <w:szCs w:val="18"/>
              </w:rPr>
              <w:t>–</w:t>
            </w:r>
          </w:p>
        </w:tc>
        <w:tc>
          <w:tcPr>
            <w:tcW w:w="1012" w:type="dxa"/>
            <w:noWrap/>
            <w:hideMark/>
          </w:tcPr>
          <w:p w14:paraId="718CAFAB" w14:textId="648E88E7" w:rsidR="003E005F" w:rsidRPr="000973F2" w:rsidRDefault="00E86BE0" w:rsidP="00034890">
            <w:pPr>
              <w:spacing w:before="40" w:after="4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8"/>
                <w:szCs w:val="18"/>
              </w:rPr>
            </w:pPr>
            <w:r w:rsidRPr="000973F2">
              <w:rPr>
                <w:rFonts w:ascii="Times New Roman" w:eastAsia="Times New Roman" w:hAnsi="Times New Roman" w:cs="Times New Roman"/>
                <w:sz w:val="18"/>
                <w:szCs w:val="18"/>
              </w:rPr>
              <w:t>–</w:t>
            </w:r>
          </w:p>
        </w:tc>
        <w:tc>
          <w:tcPr>
            <w:tcW w:w="1187" w:type="dxa"/>
            <w:noWrap/>
            <w:hideMark/>
          </w:tcPr>
          <w:p w14:paraId="3D3C3605" w14:textId="31E0B36B" w:rsidR="003E005F" w:rsidRPr="000973F2" w:rsidRDefault="00E86BE0" w:rsidP="00034890">
            <w:pPr>
              <w:spacing w:before="40" w:after="4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8"/>
                <w:szCs w:val="18"/>
              </w:rPr>
            </w:pPr>
            <w:r w:rsidRPr="000973F2">
              <w:rPr>
                <w:rFonts w:ascii="Times New Roman" w:eastAsia="Times New Roman" w:hAnsi="Times New Roman" w:cs="Times New Roman"/>
                <w:sz w:val="18"/>
                <w:szCs w:val="18"/>
              </w:rPr>
              <w:t>–</w:t>
            </w:r>
          </w:p>
        </w:tc>
      </w:tr>
      <w:tr w:rsidR="00661EA1" w:rsidRPr="000973F2" w14:paraId="00A306D9" w14:textId="77777777" w:rsidTr="00E86BE0">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2123" w:type="dxa"/>
            <w:hideMark/>
          </w:tcPr>
          <w:p w14:paraId="47D3E3FA" w14:textId="77777777" w:rsidR="00661EA1" w:rsidRPr="000973F2" w:rsidRDefault="00661EA1" w:rsidP="00E86BE0">
            <w:pPr>
              <w:spacing w:before="40" w:after="40"/>
              <w:rPr>
                <w:rFonts w:ascii="Times New Roman" w:eastAsia="Times New Roman" w:hAnsi="Times New Roman" w:cs="Times New Roman"/>
                <w:b/>
                <w:bCs w:val="0"/>
                <w:color w:val="000000"/>
                <w:sz w:val="18"/>
                <w:szCs w:val="18"/>
              </w:rPr>
            </w:pPr>
            <w:r w:rsidRPr="000973F2">
              <w:rPr>
                <w:rFonts w:ascii="Times New Roman" w:eastAsia="Times New Roman" w:hAnsi="Times New Roman" w:cs="Times New Roman"/>
                <w:b/>
                <w:color w:val="000000"/>
                <w:sz w:val="18"/>
                <w:szCs w:val="18"/>
              </w:rPr>
              <w:t xml:space="preserve">Total </w:t>
            </w:r>
          </w:p>
        </w:tc>
        <w:tc>
          <w:tcPr>
            <w:tcW w:w="1252" w:type="dxa"/>
            <w:noWrap/>
            <w:hideMark/>
          </w:tcPr>
          <w:p w14:paraId="26DDC56A" w14:textId="4731235B" w:rsidR="00661EA1" w:rsidRPr="000973F2" w:rsidRDefault="00661EA1" w:rsidP="00034890">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18"/>
                <w:szCs w:val="18"/>
              </w:rPr>
            </w:pPr>
            <w:r w:rsidRPr="000973F2">
              <w:rPr>
                <w:rFonts w:ascii="Times New Roman" w:eastAsia="Times New Roman" w:hAnsi="Times New Roman" w:cs="Times New Roman"/>
                <w:color w:val="000000"/>
                <w:sz w:val="18"/>
                <w:szCs w:val="18"/>
              </w:rPr>
              <w:t>$0</w:t>
            </w:r>
          </w:p>
        </w:tc>
        <w:tc>
          <w:tcPr>
            <w:tcW w:w="1252" w:type="dxa"/>
            <w:noWrap/>
          </w:tcPr>
          <w:p w14:paraId="24EB33F3" w14:textId="77777777" w:rsidR="00661EA1" w:rsidRPr="000973F2" w:rsidRDefault="00661EA1" w:rsidP="00034890">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18"/>
                <w:szCs w:val="18"/>
              </w:rPr>
            </w:pPr>
          </w:p>
        </w:tc>
        <w:tc>
          <w:tcPr>
            <w:tcW w:w="1252" w:type="dxa"/>
            <w:noWrap/>
            <w:hideMark/>
          </w:tcPr>
          <w:p w14:paraId="6E34ACD8" w14:textId="43263B51" w:rsidR="00661EA1" w:rsidRPr="000973F2" w:rsidRDefault="00661EA1" w:rsidP="00034890">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18"/>
                <w:szCs w:val="18"/>
              </w:rPr>
            </w:pPr>
            <w:r w:rsidRPr="000973F2">
              <w:rPr>
                <w:rFonts w:ascii="Times New Roman" w:eastAsia="Times New Roman" w:hAnsi="Times New Roman" w:cs="Times New Roman"/>
                <w:color w:val="000000"/>
                <w:sz w:val="18"/>
                <w:szCs w:val="18"/>
              </w:rPr>
              <w:t>$0</w:t>
            </w:r>
          </w:p>
        </w:tc>
        <w:tc>
          <w:tcPr>
            <w:tcW w:w="1252" w:type="dxa"/>
            <w:noWrap/>
            <w:hideMark/>
          </w:tcPr>
          <w:p w14:paraId="75D7C3D1" w14:textId="2CBE636D" w:rsidR="00661EA1" w:rsidRPr="000973F2" w:rsidRDefault="00661EA1" w:rsidP="00034890">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18"/>
                <w:szCs w:val="18"/>
              </w:rPr>
            </w:pPr>
            <w:r w:rsidRPr="000973F2">
              <w:rPr>
                <w:rFonts w:ascii="Times New Roman" w:eastAsia="Times New Roman" w:hAnsi="Times New Roman" w:cs="Times New Roman"/>
                <w:color w:val="000000"/>
                <w:sz w:val="18"/>
                <w:szCs w:val="18"/>
              </w:rPr>
              <w:t>$50</w:t>
            </w:r>
          </w:p>
        </w:tc>
        <w:tc>
          <w:tcPr>
            <w:tcW w:w="1012" w:type="dxa"/>
            <w:noWrap/>
            <w:hideMark/>
          </w:tcPr>
          <w:p w14:paraId="718011BF" w14:textId="1EF90DA3" w:rsidR="00661EA1" w:rsidRPr="000973F2" w:rsidRDefault="00661EA1" w:rsidP="00034890">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18"/>
                <w:szCs w:val="18"/>
              </w:rPr>
            </w:pPr>
            <w:r w:rsidRPr="000973F2">
              <w:rPr>
                <w:rFonts w:ascii="Times New Roman" w:eastAsia="Times New Roman" w:hAnsi="Times New Roman" w:cs="Times New Roman"/>
                <w:color w:val="000000"/>
                <w:sz w:val="18"/>
                <w:szCs w:val="18"/>
              </w:rPr>
              <w:t>$0</w:t>
            </w:r>
          </w:p>
        </w:tc>
        <w:tc>
          <w:tcPr>
            <w:tcW w:w="1187" w:type="dxa"/>
            <w:noWrap/>
            <w:hideMark/>
          </w:tcPr>
          <w:p w14:paraId="5935D115" w14:textId="538CF32A" w:rsidR="00661EA1" w:rsidRPr="000973F2" w:rsidRDefault="00661EA1" w:rsidP="00034890">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18"/>
                <w:szCs w:val="18"/>
              </w:rPr>
            </w:pPr>
            <w:r w:rsidRPr="000973F2">
              <w:rPr>
                <w:rFonts w:ascii="Times New Roman" w:eastAsia="Times New Roman" w:hAnsi="Times New Roman" w:cs="Times New Roman"/>
                <w:color w:val="000000"/>
                <w:sz w:val="18"/>
                <w:szCs w:val="18"/>
              </w:rPr>
              <w:t>$50</w:t>
            </w:r>
          </w:p>
        </w:tc>
      </w:tr>
    </w:tbl>
    <w:p w14:paraId="094A5BBF" w14:textId="77777777" w:rsidR="00661EA1" w:rsidRPr="000973F2" w:rsidRDefault="00661EA1" w:rsidP="00E86BE0">
      <w:pPr>
        <w:pStyle w:val="AfterTable"/>
      </w:pPr>
    </w:p>
    <w:p w14:paraId="04AE689C" w14:textId="5CD44D37" w:rsidR="00661EA1" w:rsidRPr="000973F2" w:rsidRDefault="00661EA1" w:rsidP="00E86BE0">
      <w:pPr>
        <w:pStyle w:val="Heading2"/>
      </w:pPr>
      <w:r w:rsidRPr="000973F2">
        <w:t>Total Costs for Subpart K</w:t>
      </w:r>
    </w:p>
    <w:p w14:paraId="31EFECD2" w14:textId="02BBBD1A" w:rsidR="00661EA1" w:rsidRPr="000973F2" w:rsidRDefault="00661EA1" w:rsidP="00E86BE0">
      <w:pPr>
        <w:pStyle w:val="BodyText"/>
      </w:pPr>
      <w:r w:rsidRPr="000973F2">
        <w:t>The total industry costs related to Subpart K are approximately $29</w:t>
      </w:r>
      <w:r w:rsidR="00A719F0" w:rsidRPr="000973F2">
        <w:t>,</w:t>
      </w:r>
      <w:r w:rsidR="007D6F47" w:rsidRPr="000973F2">
        <w:t>3</w:t>
      </w:r>
      <w:r w:rsidRPr="000973F2">
        <w:t>00 per year for a total of $8</w:t>
      </w:r>
      <w:r w:rsidR="00097008" w:rsidRPr="000973F2">
        <w:t>8</w:t>
      </w:r>
      <w:r w:rsidRPr="000973F2">
        <w:t>,</w:t>
      </w:r>
      <w:r w:rsidR="00097008" w:rsidRPr="000973F2">
        <w:t>0</w:t>
      </w:r>
      <w:r w:rsidRPr="000973F2">
        <w:t>00 over the three-year period of the ICR. Ten facilities are expected to report in 2019, 2020, and 2021.</w:t>
      </w:r>
    </w:p>
    <w:p w14:paraId="55D2394F" w14:textId="0CFFED6D" w:rsidR="00661EA1" w:rsidRPr="000973F2" w:rsidRDefault="00661EA1" w:rsidP="00C00E4F">
      <w:pPr>
        <w:spacing w:line="240" w:lineRule="auto"/>
        <w:rPr>
          <w:rFonts w:ascii="Times New Roman" w:hAnsi="Times New Roman" w:cs="Times New Roman"/>
        </w:rPr>
      </w:pPr>
      <w:r w:rsidRPr="000973F2">
        <w:rPr>
          <w:rFonts w:ascii="Times New Roman" w:hAnsi="Times New Roman" w:cs="Times New Roman"/>
        </w:rPr>
        <w:br w:type="page"/>
      </w:r>
    </w:p>
    <w:p w14:paraId="1EBADCE6" w14:textId="77777777" w:rsidR="0025278A" w:rsidRPr="000973F2" w:rsidRDefault="0025278A" w:rsidP="00C00E4F">
      <w:pPr>
        <w:pStyle w:val="Heading1"/>
        <w:spacing w:line="240" w:lineRule="auto"/>
      </w:pPr>
      <w:bookmarkStart w:id="23" w:name="_Toc10715604"/>
      <w:r w:rsidRPr="000973F2">
        <w:t>Cost Appendix for Subpart L – Fluorinated Gas Production</w:t>
      </w:r>
      <w:bookmarkEnd w:id="23"/>
    </w:p>
    <w:p w14:paraId="01B91C0E" w14:textId="77777777" w:rsidR="0025278A" w:rsidRPr="000973F2" w:rsidRDefault="0025278A" w:rsidP="00E86BE0">
      <w:pPr>
        <w:pStyle w:val="Heading2"/>
        <w:rPr>
          <w:sz w:val="20"/>
          <w:szCs w:val="20"/>
        </w:rPr>
      </w:pPr>
      <w:r w:rsidRPr="000973F2">
        <w:t>Description of Subpart L</w:t>
      </w:r>
    </w:p>
    <w:p w14:paraId="3575F6EA" w14:textId="2B97D6D0" w:rsidR="0025278A" w:rsidRPr="000973F2" w:rsidRDefault="0025278A" w:rsidP="00E86BE0">
      <w:pPr>
        <w:pStyle w:val="BodyText"/>
        <w:rPr>
          <w:sz w:val="24"/>
          <w:szCs w:val="24"/>
        </w:rPr>
      </w:pPr>
      <w:r w:rsidRPr="000973F2">
        <w:t>For purposes of the GHGRP, the fluorinated gas production source category consists of facilities that produce fluorinated gases. Facilities report fluorinated GHG emissions from fluorinated gas production processes, transformation processes, and destruction of fluorinated gases previously produced. Fluorinated gas production includes fluorinated GHGs (HFCs, PFCs, SF</w:t>
      </w:r>
      <w:r w:rsidRPr="000973F2">
        <w:rPr>
          <w:vertAlign w:val="subscript"/>
        </w:rPr>
        <w:t>6</w:t>
      </w:r>
      <w:r w:rsidRPr="000973F2">
        <w:t>, NF</w:t>
      </w:r>
      <w:r w:rsidRPr="000973F2">
        <w:rPr>
          <w:vertAlign w:val="subscript"/>
        </w:rPr>
        <w:t>3</w:t>
      </w:r>
      <w:r w:rsidRPr="000973F2">
        <w:t xml:space="preserve">, HFEs, etc.), chlorofluorocarbons (CFCs), and hydrochlorofluorocarbons (HCFCs). Since </w:t>
      </w:r>
      <w:r w:rsidR="002B175F" w:rsidRPr="000973F2">
        <w:t>RY</w:t>
      </w:r>
      <w:r w:rsidRPr="000973F2">
        <w:t xml:space="preserve">2011, the number of Subpart L facilities has ranged from 16 to 14. In RY2017, 14 facilities reported to Subpart L. No new facilities are expected to report to Subpart L in the three years of this ICR. Initial year costs apply to new facilities; therefore, these costs are zero in the tables below. </w:t>
      </w:r>
      <w:r w:rsidR="00190518" w:rsidRPr="000973F2">
        <w:t>R</w:t>
      </w:r>
      <w:r w:rsidRPr="000973F2">
        <w:t xml:space="preserve">eporting emissions from destruction of previously produced gases is required under Subpart L, </w:t>
      </w:r>
      <w:r w:rsidR="00190518" w:rsidRPr="000973F2">
        <w:t xml:space="preserve">however, </w:t>
      </w:r>
      <w:r w:rsidRPr="000973F2">
        <w:t>currently no facilities conduct this type of activity, and none are expected to do so in the three years of this ICR.</w:t>
      </w:r>
    </w:p>
    <w:p w14:paraId="098E40D6" w14:textId="77777777" w:rsidR="0025278A" w:rsidRPr="000973F2" w:rsidRDefault="0025278A" w:rsidP="00E86BE0">
      <w:pPr>
        <w:pStyle w:val="BodyText"/>
      </w:pPr>
      <w:r w:rsidRPr="000973F2">
        <w:t xml:space="preserve">Facilities must estimate their fluorinated GHG emissions for each process vent using either an emission factor or an emission calculation factor, based on whether the preliminary emissions estimate was high or low and whether the process was batch or continuous. In RY2017, six facilities used the emission calculation factor method for all of their processes, and the other eight facilities used both methods. If applicable, facilities must also estimate their fluorinated GHG emissions from equipment leaks. In RY2017, eight facilities reported emissions from equipment leaks. Facilities are required to measure the destruction efficiency of their destruction device every 10 years if they vent emissions to a destruction device and claim GHG emission reductions. For purposes of this analysis, it is expected that 2.6 facilities will perform this measurement each year of the ICR. If applicable, facilities are also required to report emissions from container venting. In RY2017, 6 facilities reported emissions from container venting. The same number, 6 facilities, are expected to report emissions from container venting for each of the three years of this ICR. Facilities with a new process must conduct an initial scoping speciation study to identify potential fluorinated GHGs in the process streams that are emitted. It is expected that one facility each year will have a new process and will therefore incur costs for one scoping speciation study each year of this ICR. </w:t>
      </w:r>
    </w:p>
    <w:p w14:paraId="653F2A3F" w14:textId="77777777" w:rsidR="0025278A" w:rsidRPr="000973F2" w:rsidRDefault="0025278A" w:rsidP="00E86BE0">
      <w:pPr>
        <w:pStyle w:val="Heading2"/>
      </w:pPr>
      <w:r w:rsidRPr="000973F2">
        <w:t>Labor Costs for Subpart L – Estimating Process Vent Emissions</w:t>
      </w:r>
    </w:p>
    <w:p w14:paraId="4344A693" w14:textId="1CD08C5F" w:rsidR="0025278A" w:rsidRPr="000973F2" w:rsidRDefault="0025278A" w:rsidP="00E86BE0">
      <w:pPr>
        <w:pStyle w:val="BodyText"/>
      </w:pPr>
      <w:r w:rsidRPr="000973F2">
        <w:t xml:space="preserve">For Subpart L, the number of processes at facilities were summarized using known data for Fluorinated Gas Production facilities. An average facility was characterized for most of Subpart </w:t>
      </w:r>
      <w:r w:rsidR="000973F2" w:rsidRPr="000973F2">
        <w:t>L;</w:t>
      </w:r>
      <w:r w:rsidRPr="000973F2">
        <w:t xml:space="preserve"> however, a single outlier facility has many more processes than the average facility and the cost for the large outlier facility is not representative of the cost that an average facility will incur. The outlier facility was separated from the analysis that characterized the average, typical facility. All facilities, however, including the outlier facility costs, are included in the total costs for Subpart L.</w:t>
      </w:r>
    </w:p>
    <w:p w14:paraId="3BB740A0" w14:textId="02DADAC7" w:rsidR="00477424" w:rsidRPr="000973F2" w:rsidRDefault="0025278A" w:rsidP="00E86BE0">
      <w:pPr>
        <w:pStyle w:val="BodyText"/>
      </w:pPr>
      <w:r w:rsidRPr="000973F2">
        <w:t xml:space="preserve">Table </w:t>
      </w:r>
      <w:r w:rsidR="00E86BE0" w:rsidRPr="000973F2">
        <w:t>L-</w:t>
      </w:r>
      <w:r w:rsidRPr="000973F2">
        <w:t xml:space="preserve">1a below includes the labor hours for estimating process vent emissions for each of the 13 average sized facilities, and Table </w:t>
      </w:r>
      <w:r w:rsidR="000D7DE6" w:rsidRPr="000973F2">
        <w:t>L-</w:t>
      </w:r>
      <w:r w:rsidRPr="000973F2">
        <w:t>1b includes the labor hours for estimating process vent emissions for the large facility. Typical activities for each of the labor categories are discussed in the Cost Appendix Introduction. Additional activities expected to require labor hours include completing emission calculations, conducting performance testing to develop emission factors or conducting calculations to determine emission calculation factors, and estimating emissions during startup, shutdown, and malfunction periods. Recordkeeping and reporting labor costs are based on the “high bin” designation.</w:t>
      </w:r>
      <w:r w:rsidR="00477424" w:rsidRPr="000973F2">
        <w:br w:type="page"/>
      </w:r>
    </w:p>
    <w:p w14:paraId="0A014F87" w14:textId="72CF6641" w:rsidR="0025278A" w:rsidRPr="000973F2" w:rsidRDefault="00477424" w:rsidP="00E86BE0">
      <w:pPr>
        <w:pStyle w:val="Tabletitle"/>
        <w:rPr>
          <w:sz w:val="28"/>
          <w:szCs w:val="24"/>
        </w:rPr>
      </w:pPr>
      <w:r w:rsidRPr="000973F2">
        <w:t xml:space="preserve">Table </w:t>
      </w:r>
      <w:r w:rsidR="00E86BE0" w:rsidRPr="000973F2">
        <w:t>L-</w:t>
      </w:r>
      <w:r w:rsidRPr="000973F2">
        <w:t xml:space="preserve">1a. Labor Costs </w:t>
      </w:r>
      <w:r w:rsidR="00E86BE0" w:rsidRPr="000973F2">
        <w:t>–</w:t>
      </w:r>
      <w:r w:rsidRPr="000973F2">
        <w:t xml:space="preserve"> Subpart L</w:t>
      </w:r>
      <w:r w:rsidR="00837C73" w:rsidRPr="000973F2">
        <w:t xml:space="preserve"> </w:t>
      </w:r>
      <w:r w:rsidR="00B960CC" w:rsidRPr="000973F2">
        <w:t>–</w:t>
      </w:r>
      <w:r w:rsidR="00837C73" w:rsidRPr="000973F2">
        <w:t xml:space="preserve"> </w:t>
      </w:r>
      <w:r w:rsidRPr="000973F2">
        <w:t>Estimating Process Vent Emissions for Average Facility</w:t>
      </w:r>
    </w:p>
    <w:tbl>
      <w:tblPr>
        <w:tblStyle w:val="PlainTable1"/>
        <w:tblW w:w="5000" w:type="pct"/>
        <w:jc w:val="left"/>
        <w:tblLayout w:type="fixed"/>
        <w:tblCellMar>
          <w:left w:w="115" w:type="dxa"/>
          <w:right w:w="115" w:type="dxa"/>
        </w:tblCellMar>
        <w:tblLook w:val="04A0" w:firstRow="1" w:lastRow="0" w:firstColumn="1" w:lastColumn="0" w:noHBand="0" w:noVBand="1"/>
      </w:tblPr>
      <w:tblGrid>
        <w:gridCol w:w="1324"/>
        <w:gridCol w:w="729"/>
        <w:gridCol w:w="860"/>
        <w:gridCol w:w="874"/>
        <w:gridCol w:w="870"/>
        <w:gridCol w:w="772"/>
        <w:gridCol w:w="935"/>
        <w:gridCol w:w="727"/>
        <w:gridCol w:w="841"/>
        <w:gridCol w:w="727"/>
        <w:gridCol w:w="931"/>
      </w:tblGrid>
      <w:tr w:rsidR="0025278A" w:rsidRPr="000973F2" w14:paraId="09EF7417" w14:textId="77777777" w:rsidTr="00E86BE0">
        <w:trPr>
          <w:cnfStyle w:val="100000000000" w:firstRow="1" w:lastRow="0" w:firstColumn="0" w:lastColumn="0" w:oddVBand="0" w:evenVBand="0" w:oddHBand="0" w:evenHBand="0" w:firstRowFirstColumn="0" w:firstRowLastColumn="0" w:lastRowFirstColumn="0" w:lastRowLastColumn="0"/>
          <w:cantSplit/>
          <w:jc w:val="left"/>
        </w:trPr>
        <w:tc>
          <w:tcPr>
            <w:cnfStyle w:val="001000000000" w:firstRow="0" w:lastRow="0" w:firstColumn="1" w:lastColumn="0" w:oddVBand="0" w:evenVBand="0" w:oddHBand="0" w:evenHBand="0" w:firstRowFirstColumn="0" w:firstRowLastColumn="0" w:lastRowFirstColumn="0" w:lastRowLastColumn="0"/>
            <w:tcW w:w="1289" w:type="dxa"/>
            <w:vMerge w:val="restart"/>
            <w:noWrap/>
            <w:vAlign w:val="top"/>
            <w:hideMark/>
          </w:tcPr>
          <w:p w14:paraId="72EC46DA" w14:textId="77777777" w:rsidR="0025278A" w:rsidRPr="000973F2" w:rsidRDefault="0025278A" w:rsidP="00E86BE0">
            <w:pPr>
              <w:spacing w:before="40" w:after="40"/>
              <w:rPr>
                <w:rFonts w:ascii="Times New Roman" w:eastAsia="Times New Roman" w:hAnsi="Times New Roman" w:cs="Times New Roman"/>
                <w:bCs w:val="0"/>
                <w:sz w:val="18"/>
                <w:szCs w:val="18"/>
              </w:rPr>
            </w:pPr>
            <w:r w:rsidRPr="000973F2">
              <w:rPr>
                <w:rFonts w:ascii="Times New Roman" w:eastAsia="Times New Roman" w:hAnsi="Times New Roman" w:cs="Times New Roman"/>
                <w:sz w:val="18"/>
                <w:szCs w:val="18"/>
              </w:rPr>
              <w:t>Activity</w:t>
            </w:r>
          </w:p>
        </w:tc>
        <w:tc>
          <w:tcPr>
            <w:tcW w:w="6428" w:type="dxa"/>
            <w:gridSpan w:val="8"/>
            <w:noWrap/>
            <w:vAlign w:val="top"/>
            <w:hideMark/>
          </w:tcPr>
          <w:p w14:paraId="6D670E4E" w14:textId="77777777" w:rsidR="0025278A" w:rsidRPr="000973F2" w:rsidRDefault="0025278A" w:rsidP="00E86BE0">
            <w:pPr>
              <w:spacing w:before="40" w:after="40"/>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Cs w:val="0"/>
                <w:sz w:val="18"/>
                <w:szCs w:val="18"/>
              </w:rPr>
            </w:pPr>
            <w:r w:rsidRPr="000973F2">
              <w:rPr>
                <w:rFonts w:ascii="Times New Roman" w:eastAsia="Times New Roman" w:hAnsi="Times New Roman" w:cs="Times New Roman"/>
                <w:bCs w:val="0"/>
                <w:sz w:val="18"/>
                <w:szCs w:val="18"/>
              </w:rPr>
              <w:t>Labor Rates (per hour)</w:t>
            </w:r>
          </w:p>
        </w:tc>
        <w:tc>
          <w:tcPr>
            <w:tcW w:w="1613" w:type="dxa"/>
            <w:gridSpan w:val="2"/>
            <w:vMerge w:val="restart"/>
            <w:vAlign w:val="top"/>
            <w:hideMark/>
          </w:tcPr>
          <w:p w14:paraId="259CC2F2" w14:textId="12028C06" w:rsidR="0025278A" w:rsidRPr="000973F2" w:rsidRDefault="0025278A" w:rsidP="00E86BE0">
            <w:pPr>
              <w:spacing w:before="40" w:after="40"/>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Cs w:val="0"/>
                <w:sz w:val="18"/>
                <w:szCs w:val="18"/>
              </w:rPr>
            </w:pPr>
            <w:r w:rsidRPr="000973F2">
              <w:rPr>
                <w:rFonts w:ascii="Times New Roman" w:eastAsia="Times New Roman" w:hAnsi="Times New Roman" w:cs="Times New Roman"/>
                <w:bCs w:val="0"/>
                <w:sz w:val="18"/>
                <w:szCs w:val="18"/>
              </w:rPr>
              <w:t>Total Labor Cost per Year per Facility (2017$)</w:t>
            </w:r>
          </w:p>
        </w:tc>
      </w:tr>
      <w:tr w:rsidR="00E86BE0" w:rsidRPr="000973F2" w14:paraId="52C6A7D7" w14:textId="77777777" w:rsidTr="00E86BE0">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1289" w:type="dxa"/>
            <w:vMerge/>
            <w:hideMark/>
          </w:tcPr>
          <w:p w14:paraId="42455658" w14:textId="77777777" w:rsidR="0025278A" w:rsidRPr="000973F2" w:rsidRDefault="0025278A" w:rsidP="00E86BE0">
            <w:pPr>
              <w:spacing w:before="40" w:after="40"/>
              <w:rPr>
                <w:rFonts w:ascii="Times New Roman" w:eastAsia="Times New Roman" w:hAnsi="Times New Roman" w:cs="Times New Roman"/>
                <w:b/>
                <w:bCs w:val="0"/>
                <w:sz w:val="18"/>
                <w:szCs w:val="18"/>
              </w:rPr>
            </w:pPr>
          </w:p>
        </w:tc>
        <w:tc>
          <w:tcPr>
            <w:tcW w:w="1546" w:type="dxa"/>
            <w:gridSpan w:val="2"/>
            <w:noWrap/>
            <w:hideMark/>
          </w:tcPr>
          <w:p w14:paraId="790E4C73" w14:textId="77777777" w:rsidR="0025278A" w:rsidRPr="000973F2" w:rsidRDefault="0025278A" w:rsidP="00E86BE0">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18"/>
                <w:szCs w:val="18"/>
              </w:rPr>
            </w:pPr>
            <w:r w:rsidRPr="000973F2">
              <w:rPr>
                <w:rFonts w:ascii="Times New Roman" w:eastAsia="Times New Roman" w:hAnsi="Times New Roman" w:cs="Times New Roman"/>
                <w:b/>
                <w:bCs/>
                <w:sz w:val="18"/>
                <w:szCs w:val="18"/>
              </w:rPr>
              <w:t>Lawyer</w:t>
            </w:r>
          </w:p>
        </w:tc>
        <w:tc>
          <w:tcPr>
            <w:tcW w:w="1696" w:type="dxa"/>
            <w:gridSpan w:val="2"/>
            <w:noWrap/>
            <w:hideMark/>
          </w:tcPr>
          <w:p w14:paraId="3497D9DB" w14:textId="77777777" w:rsidR="0025278A" w:rsidRPr="000973F2" w:rsidRDefault="0025278A" w:rsidP="00E86BE0">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18"/>
                <w:szCs w:val="18"/>
              </w:rPr>
            </w:pPr>
            <w:r w:rsidRPr="000973F2">
              <w:rPr>
                <w:rFonts w:ascii="Times New Roman" w:eastAsia="Times New Roman" w:hAnsi="Times New Roman" w:cs="Times New Roman"/>
                <w:b/>
                <w:bCs/>
                <w:sz w:val="18"/>
                <w:szCs w:val="18"/>
              </w:rPr>
              <w:t>Industrial Manager</w:t>
            </w:r>
          </w:p>
        </w:tc>
        <w:tc>
          <w:tcPr>
            <w:tcW w:w="1661" w:type="dxa"/>
            <w:gridSpan w:val="2"/>
            <w:hideMark/>
          </w:tcPr>
          <w:p w14:paraId="408D669F" w14:textId="6E37754E" w:rsidR="0025278A" w:rsidRPr="000973F2" w:rsidRDefault="0025278A" w:rsidP="00E86BE0">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18"/>
                <w:szCs w:val="18"/>
              </w:rPr>
            </w:pPr>
            <w:r w:rsidRPr="000973F2">
              <w:rPr>
                <w:rFonts w:ascii="Times New Roman" w:eastAsia="Times New Roman" w:hAnsi="Times New Roman" w:cs="Times New Roman"/>
                <w:b/>
                <w:bCs/>
                <w:sz w:val="18"/>
                <w:szCs w:val="18"/>
              </w:rPr>
              <w:t>Industrial Engineer/</w:t>
            </w:r>
            <w:r w:rsidR="00E86BE0" w:rsidRPr="000973F2">
              <w:rPr>
                <w:rFonts w:ascii="Times New Roman" w:eastAsia="Times New Roman" w:hAnsi="Times New Roman" w:cs="Times New Roman"/>
                <w:b/>
                <w:bCs/>
                <w:sz w:val="18"/>
                <w:szCs w:val="18"/>
              </w:rPr>
              <w:t xml:space="preserve"> </w:t>
            </w:r>
            <w:r w:rsidRPr="000973F2">
              <w:rPr>
                <w:rFonts w:ascii="Times New Roman" w:eastAsia="Times New Roman" w:hAnsi="Times New Roman" w:cs="Times New Roman"/>
                <w:b/>
                <w:bCs/>
                <w:sz w:val="18"/>
                <w:szCs w:val="18"/>
              </w:rPr>
              <w:t>Technician</w:t>
            </w:r>
          </w:p>
        </w:tc>
        <w:tc>
          <w:tcPr>
            <w:tcW w:w="1525" w:type="dxa"/>
            <w:gridSpan w:val="2"/>
            <w:hideMark/>
          </w:tcPr>
          <w:p w14:paraId="0BA6C738" w14:textId="77777777" w:rsidR="0025278A" w:rsidRPr="000973F2" w:rsidRDefault="0025278A" w:rsidP="00E86BE0">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18"/>
                <w:szCs w:val="18"/>
              </w:rPr>
            </w:pPr>
            <w:r w:rsidRPr="000973F2">
              <w:rPr>
                <w:rFonts w:ascii="Times New Roman" w:eastAsia="Times New Roman" w:hAnsi="Times New Roman" w:cs="Times New Roman"/>
                <w:b/>
                <w:bCs/>
                <w:sz w:val="18"/>
                <w:szCs w:val="18"/>
              </w:rPr>
              <w:t>Administrative Support</w:t>
            </w:r>
          </w:p>
        </w:tc>
        <w:tc>
          <w:tcPr>
            <w:tcW w:w="1613" w:type="dxa"/>
            <w:gridSpan w:val="2"/>
            <w:vMerge/>
            <w:hideMark/>
          </w:tcPr>
          <w:p w14:paraId="18356093" w14:textId="77777777" w:rsidR="0025278A" w:rsidRPr="000973F2" w:rsidRDefault="0025278A" w:rsidP="00E86BE0">
            <w:pPr>
              <w:spacing w:before="40" w:after="4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18"/>
                <w:szCs w:val="18"/>
              </w:rPr>
            </w:pPr>
          </w:p>
        </w:tc>
      </w:tr>
      <w:tr w:rsidR="00E86BE0" w:rsidRPr="000973F2" w14:paraId="246A7CC4" w14:textId="77777777" w:rsidTr="00E86BE0">
        <w:trPr>
          <w:cantSplit/>
        </w:trPr>
        <w:tc>
          <w:tcPr>
            <w:cnfStyle w:val="001000000000" w:firstRow="0" w:lastRow="0" w:firstColumn="1" w:lastColumn="0" w:oddVBand="0" w:evenVBand="0" w:oddHBand="0" w:evenHBand="0" w:firstRowFirstColumn="0" w:firstRowLastColumn="0" w:lastRowFirstColumn="0" w:lastRowLastColumn="0"/>
            <w:tcW w:w="1289" w:type="dxa"/>
            <w:vMerge/>
            <w:hideMark/>
          </w:tcPr>
          <w:p w14:paraId="2A21C50A" w14:textId="77777777" w:rsidR="0025278A" w:rsidRPr="000973F2" w:rsidRDefault="0025278A" w:rsidP="00E86BE0">
            <w:pPr>
              <w:spacing w:before="40" w:after="40"/>
              <w:rPr>
                <w:rFonts w:ascii="Times New Roman" w:eastAsia="Times New Roman" w:hAnsi="Times New Roman" w:cs="Times New Roman"/>
                <w:b/>
                <w:bCs w:val="0"/>
                <w:sz w:val="18"/>
                <w:szCs w:val="18"/>
              </w:rPr>
            </w:pPr>
          </w:p>
        </w:tc>
        <w:tc>
          <w:tcPr>
            <w:tcW w:w="1546" w:type="dxa"/>
            <w:gridSpan w:val="2"/>
            <w:noWrap/>
            <w:hideMark/>
          </w:tcPr>
          <w:p w14:paraId="6C90D39E" w14:textId="77777777" w:rsidR="0025278A" w:rsidRPr="000973F2" w:rsidRDefault="0025278A" w:rsidP="00E86BE0">
            <w:pPr>
              <w:spacing w:before="40" w:after="4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sz w:val="18"/>
                <w:szCs w:val="18"/>
              </w:rPr>
            </w:pPr>
            <w:r w:rsidRPr="000973F2">
              <w:rPr>
                <w:rFonts w:ascii="Times New Roman" w:eastAsia="Times New Roman" w:hAnsi="Times New Roman" w:cs="Times New Roman"/>
                <w:b/>
                <w:bCs/>
                <w:sz w:val="18"/>
                <w:szCs w:val="18"/>
              </w:rPr>
              <w:t xml:space="preserve">$112.23 </w:t>
            </w:r>
          </w:p>
        </w:tc>
        <w:tc>
          <w:tcPr>
            <w:tcW w:w="1696" w:type="dxa"/>
            <w:gridSpan w:val="2"/>
            <w:noWrap/>
            <w:hideMark/>
          </w:tcPr>
          <w:p w14:paraId="0B133D14" w14:textId="77777777" w:rsidR="0025278A" w:rsidRPr="000973F2" w:rsidRDefault="0025278A" w:rsidP="00E86BE0">
            <w:pPr>
              <w:spacing w:before="40" w:after="4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sz w:val="18"/>
                <w:szCs w:val="18"/>
              </w:rPr>
            </w:pPr>
            <w:r w:rsidRPr="000973F2">
              <w:rPr>
                <w:rFonts w:ascii="Times New Roman" w:eastAsia="Times New Roman" w:hAnsi="Times New Roman" w:cs="Times New Roman"/>
                <w:b/>
                <w:bCs/>
                <w:sz w:val="18"/>
                <w:szCs w:val="18"/>
              </w:rPr>
              <w:t xml:space="preserve">$87.45 </w:t>
            </w:r>
          </w:p>
        </w:tc>
        <w:tc>
          <w:tcPr>
            <w:tcW w:w="1661" w:type="dxa"/>
            <w:gridSpan w:val="2"/>
            <w:noWrap/>
            <w:hideMark/>
          </w:tcPr>
          <w:p w14:paraId="7C1AD24C" w14:textId="77777777" w:rsidR="0025278A" w:rsidRPr="000973F2" w:rsidRDefault="0025278A" w:rsidP="00E86BE0">
            <w:pPr>
              <w:spacing w:before="40" w:after="4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sz w:val="18"/>
                <w:szCs w:val="18"/>
              </w:rPr>
            </w:pPr>
            <w:r w:rsidRPr="000973F2">
              <w:rPr>
                <w:rFonts w:ascii="Times New Roman" w:eastAsia="Times New Roman" w:hAnsi="Times New Roman" w:cs="Times New Roman"/>
                <w:b/>
                <w:bCs/>
                <w:sz w:val="18"/>
                <w:szCs w:val="18"/>
              </w:rPr>
              <w:t xml:space="preserve">$71.45 </w:t>
            </w:r>
          </w:p>
        </w:tc>
        <w:tc>
          <w:tcPr>
            <w:tcW w:w="1525" w:type="dxa"/>
            <w:gridSpan w:val="2"/>
            <w:noWrap/>
            <w:hideMark/>
          </w:tcPr>
          <w:p w14:paraId="2C02A9FE" w14:textId="77777777" w:rsidR="0025278A" w:rsidRPr="000973F2" w:rsidRDefault="0025278A" w:rsidP="00E86BE0">
            <w:pPr>
              <w:spacing w:before="40" w:after="4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sz w:val="18"/>
                <w:szCs w:val="18"/>
              </w:rPr>
            </w:pPr>
            <w:r w:rsidRPr="000973F2">
              <w:rPr>
                <w:rFonts w:ascii="Times New Roman" w:eastAsia="Times New Roman" w:hAnsi="Times New Roman" w:cs="Times New Roman"/>
                <w:b/>
                <w:bCs/>
                <w:sz w:val="18"/>
                <w:szCs w:val="18"/>
              </w:rPr>
              <w:t xml:space="preserve">$36.28 </w:t>
            </w:r>
          </w:p>
        </w:tc>
        <w:tc>
          <w:tcPr>
            <w:tcW w:w="1613" w:type="dxa"/>
            <w:gridSpan w:val="2"/>
            <w:vMerge/>
            <w:hideMark/>
          </w:tcPr>
          <w:p w14:paraId="7D403CD4" w14:textId="77777777" w:rsidR="0025278A" w:rsidRPr="000973F2" w:rsidRDefault="0025278A" w:rsidP="00E86BE0">
            <w:pPr>
              <w:spacing w:before="40" w:after="4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sz w:val="18"/>
                <w:szCs w:val="18"/>
              </w:rPr>
            </w:pPr>
          </w:p>
        </w:tc>
      </w:tr>
      <w:tr w:rsidR="00E86BE0" w:rsidRPr="000973F2" w14:paraId="21B38A74" w14:textId="77777777" w:rsidTr="00E86BE0">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1289" w:type="dxa"/>
            <w:vMerge/>
            <w:hideMark/>
          </w:tcPr>
          <w:p w14:paraId="24412679" w14:textId="77777777" w:rsidR="0025278A" w:rsidRPr="000973F2" w:rsidRDefault="0025278A" w:rsidP="00E86BE0">
            <w:pPr>
              <w:spacing w:before="40" w:after="40"/>
              <w:rPr>
                <w:rFonts w:ascii="Times New Roman" w:eastAsia="Times New Roman" w:hAnsi="Times New Roman" w:cs="Times New Roman"/>
                <w:b/>
                <w:bCs w:val="0"/>
                <w:sz w:val="18"/>
                <w:szCs w:val="18"/>
              </w:rPr>
            </w:pPr>
          </w:p>
        </w:tc>
        <w:tc>
          <w:tcPr>
            <w:tcW w:w="709" w:type="dxa"/>
            <w:tcMar>
              <w:left w:w="29" w:type="dxa"/>
              <w:right w:w="29" w:type="dxa"/>
            </w:tcMar>
            <w:hideMark/>
          </w:tcPr>
          <w:p w14:paraId="77091E1E" w14:textId="511B551A" w:rsidR="0025278A" w:rsidRPr="000973F2" w:rsidRDefault="0025278A" w:rsidP="00E86BE0">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18"/>
                <w:szCs w:val="18"/>
              </w:rPr>
            </w:pPr>
            <w:r w:rsidRPr="000973F2">
              <w:rPr>
                <w:rFonts w:ascii="Times New Roman" w:eastAsia="Times New Roman" w:hAnsi="Times New Roman" w:cs="Times New Roman"/>
                <w:b/>
                <w:bCs/>
                <w:sz w:val="18"/>
                <w:szCs w:val="18"/>
              </w:rPr>
              <w:t>Initial Year</w:t>
            </w:r>
            <w:r w:rsidR="00E86BE0" w:rsidRPr="000973F2">
              <w:rPr>
                <w:rFonts w:ascii="Times New Roman" w:eastAsia="Times New Roman" w:hAnsi="Times New Roman" w:cs="Times New Roman"/>
                <w:b/>
                <w:bCs/>
                <w:sz w:val="18"/>
                <w:szCs w:val="18"/>
              </w:rPr>
              <w:t xml:space="preserve"> </w:t>
            </w:r>
            <w:r w:rsidRPr="000973F2">
              <w:rPr>
                <w:rFonts w:ascii="Times New Roman" w:eastAsia="Times New Roman" w:hAnsi="Times New Roman" w:cs="Times New Roman"/>
                <w:b/>
                <w:bCs/>
                <w:sz w:val="18"/>
                <w:szCs w:val="18"/>
              </w:rPr>
              <w:t>Hours</w:t>
            </w:r>
          </w:p>
        </w:tc>
        <w:tc>
          <w:tcPr>
            <w:tcW w:w="837" w:type="dxa"/>
            <w:tcMar>
              <w:left w:w="29" w:type="dxa"/>
              <w:right w:w="29" w:type="dxa"/>
            </w:tcMar>
            <w:hideMark/>
          </w:tcPr>
          <w:p w14:paraId="1AF0BB14" w14:textId="35339161" w:rsidR="0025278A" w:rsidRPr="000973F2" w:rsidRDefault="0025278A" w:rsidP="00E86BE0">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18"/>
                <w:szCs w:val="18"/>
              </w:rPr>
            </w:pPr>
            <w:r w:rsidRPr="000973F2">
              <w:rPr>
                <w:rFonts w:ascii="Times New Roman" w:eastAsia="Times New Roman" w:hAnsi="Times New Roman" w:cs="Times New Roman"/>
                <w:b/>
                <w:bCs/>
                <w:sz w:val="18"/>
                <w:szCs w:val="18"/>
              </w:rPr>
              <w:t>Subseq. Year</w:t>
            </w:r>
            <w:r w:rsidR="00E86BE0" w:rsidRPr="000973F2">
              <w:rPr>
                <w:rFonts w:ascii="Times New Roman" w:eastAsia="Times New Roman" w:hAnsi="Times New Roman" w:cs="Times New Roman"/>
                <w:b/>
                <w:bCs/>
                <w:sz w:val="18"/>
                <w:szCs w:val="18"/>
              </w:rPr>
              <w:t xml:space="preserve"> </w:t>
            </w:r>
            <w:r w:rsidRPr="000973F2">
              <w:rPr>
                <w:rFonts w:ascii="Times New Roman" w:eastAsia="Times New Roman" w:hAnsi="Times New Roman" w:cs="Times New Roman"/>
                <w:b/>
                <w:bCs/>
                <w:sz w:val="18"/>
                <w:szCs w:val="18"/>
              </w:rPr>
              <w:t>Hours</w:t>
            </w:r>
          </w:p>
        </w:tc>
        <w:tc>
          <w:tcPr>
            <w:tcW w:w="850" w:type="dxa"/>
            <w:tcMar>
              <w:left w:w="29" w:type="dxa"/>
              <w:right w:w="29" w:type="dxa"/>
            </w:tcMar>
            <w:hideMark/>
          </w:tcPr>
          <w:p w14:paraId="29833165" w14:textId="0B611F64" w:rsidR="0025278A" w:rsidRPr="000973F2" w:rsidRDefault="0025278A" w:rsidP="00E86BE0">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18"/>
                <w:szCs w:val="18"/>
              </w:rPr>
            </w:pPr>
            <w:r w:rsidRPr="000973F2">
              <w:rPr>
                <w:rFonts w:ascii="Times New Roman" w:eastAsia="Times New Roman" w:hAnsi="Times New Roman" w:cs="Times New Roman"/>
                <w:b/>
                <w:bCs/>
                <w:sz w:val="18"/>
                <w:szCs w:val="18"/>
              </w:rPr>
              <w:t>Initial Year</w:t>
            </w:r>
            <w:r w:rsidR="00E86BE0" w:rsidRPr="000973F2">
              <w:rPr>
                <w:rFonts w:ascii="Times New Roman" w:eastAsia="Times New Roman" w:hAnsi="Times New Roman" w:cs="Times New Roman"/>
                <w:b/>
                <w:bCs/>
                <w:sz w:val="18"/>
                <w:szCs w:val="18"/>
              </w:rPr>
              <w:t xml:space="preserve"> </w:t>
            </w:r>
            <w:r w:rsidRPr="000973F2">
              <w:rPr>
                <w:rFonts w:ascii="Times New Roman" w:eastAsia="Times New Roman" w:hAnsi="Times New Roman" w:cs="Times New Roman"/>
                <w:b/>
                <w:bCs/>
                <w:sz w:val="18"/>
                <w:szCs w:val="18"/>
              </w:rPr>
              <w:t>Hours</w:t>
            </w:r>
          </w:p>
        </w:tc>
        <w:tc>
          <w:tcPr>
            <w:tcW w:w="846" w:type="dxa"/>
            <w:tcMar>
              <w:left w:w="29" w:type="dxa"/>
              <w:right w:w="29" w:type="dxa"/>
            </w:tcMar>
            <w:hideMark/>
          </w:tcPr>
          <w:p w14:paraId="1E24551B" w14:textId="529DEE6C" w:rsidR="0025278A" w:rsidRPr="000973F2" w:rsidRDefault="0025278A" w:rsidP="00E86BE0">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18"/>
                <w:szCs w:val="18"/>
              </w:rPr>
            </w:pPr>
            <w:r w:rsidRPr="000973F2">
              <w:rPr>
                <w:rFonts w:ascii="Times New Roman" w:eastAsia="Times New Roman" w:hAnsi="Times New Roman" w:cs="Times New Roman"/>
                <w:b/>
                <w:bCs/>
                <w:sz w:val="18"/>
                <w:szCs w:val="18"/>
              </w:rPr>
              <w:t>Subseq. Year</w:t>
            </w:r>
            <w:r w:rsidR="00E86BE0" w:rsidRPr="000973F2">
              <w:rPr>
                <w:rFonts w:ascii="Times New Roman" w:eastAsia="Times New Roman" w:hAnsi="Times New Roman" w:cs="Times New Roman"/>
                <w:b/>
                <w:bCs/>
                <w:sz w:val="18"/>
                <w:szCs w:val="18"/>
              </w:rPr>
              <w:t xml:space="preserve"> </w:t>
            </w:r>
            <w:r w:rsidRPr="000973F2">
              <w:rPr>
                <w:rFonts w:ascii="Times New Roman" w:eastAsia="Times New Roman" w:hAnsi="Times New Roman" w:cs="Times New Roman"/>
                <w:b/>
                <w:bCs/>
                <w:sz w:val="18"/>
                <w:szCs w:val="18"/>
              </w:rPr>
              <w:t>Hours</w:t>
            </w:r>
          </w:p>
        </w:tc>
        <w:tc>
          <w:tcPr>
            <w:tcW w:w="751" w:type="dxa"/>
            <w:tcMar>
              <w:left w:w="29" w:type="dxa"/>
              <w:right w:w="29" w:type="dxa"/>
            </w:tcMar>
            <w:hideMark/>
          </w:tcPr>
          <w:p w14:paraId="57C89FEB" w14:textId="4FB5AA66" w:rsidR="0025278A" w:rsidRPr="000973F2" w:rsidRDefault="0025278A" w:rsidP="00E86BE0">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18"/>
                <w:szCs w:val="18"/>
              </w:rPr>
            </w:pPr>
            <w:r w:rsidRPr="000973F2">
              <w:rPr>
                <w:rFonts w:ascii="Times New Roman" w:eastAsia="Times New Roman" w:hAnsi="Times New Roman" w:cs="Times New Roman"/>
                <w:b/>
                <w:bCs/>
                <w:sz w:val="18"/>
                <w:szCs w:val="18"/>
              </w:rPr>
              <w:t>Initial Year</w:t>
            </w:r>
            <w:r w:rsidR="00E86BE0" w:rsidRPr="000973F2">
              <w:rPr>
                <w:rFonts w:ascii="Times New Roman" w:eastAsia="Times New Roman" w:hAnsi="Times New Roman" w:cs="Times New Roman"/>
                <w:b/>
                <w:bCs/>
                <w:sz w:val="18"/>
                <w:szCs w:val="18"/>
              </w:rPr>
              <w:t xml:space="preserve"> </w:t>
            </w:r>
            <w:r w:rsidRPr="000973F2">
              <w:rPr>
                <w:rFonts w:ascii="Times New Roman" w:eastAsia="Times New Roman" w:hAnsi="Times New Roman" w:cs="Times New Roman"/>
                <w:b/>
                <w:bCs/>
                <w:sz w:val="18"/>
                <w:szCs w:val="18"/>
              </w:rPr>
              <w:t>Hours</w:t>
            </w:r>
          </w:p>
        </w:tc>
        <w:tc>
          <w:tcPr>
            <w:tcW w:w="910" w:type="dxa"/>
            <w:tcMar>
              <w:left w:w="29" w:type="dxa"/>
              <w:right w:w="29" w:type="dxa"/>
            </w:tcMar>
            <w:hideMark/>
          </w:tcPr>
          <w:p w14:paraId="4BFB4AA1" w14:textId="2A44C620" w:rsidR="0025278A" w:rsidRPr="000973F2" w:rsidRDefault="0025278A" w:rsidP="00E86BE0">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18"/>
                <w:szCs w:val="18"/>
              </w:rPr>
            </w:pPr>
            <w:r w:rsidRPr="000973F2">
              <w:rPr>
                <w:rFonts w:ascii="Times New Roman" w:eastAsia="Times New Roman" w:hAnsi="Times New Roman" w:cs="Times New Roman"/>
                <w:b/>
                <w:bCs/>
                <w:sz w:val="18"/>
                <w:szCs w:val="18"/>
              </w:rPr>
              <w:t>Subseq. Year</w:t>
            </w:r>
            <w:r w:rsidR="00E86BE0" w:rsidRPr="000973F2">
              <w:rPr>
                <w:rFonts w:ascii="Times New Roman" w:eastAsia="Times New Roman" w:hAnsi="Times New Roman" w:cs="Times New Roman"/>
                <w:b/>
                <w:bCs/>
                <w:sz w:val="18"/>
                <w:szCs w:val="18"/>
              </w:rPr>
              <w:t xml:space="preserve"> </w:t>
            </w:r>
            <w:r w:rsidRPr="000973F2">
              <w:rPr>
                <w:rFonts w:ascii="Times New Roman" w:eastAsia="Times New Roman" w:hAnsi="Times New Roman" w:cs="Times New Roman"/>
                <w:b/>
                <w:bCs/>
                <w:sz w:val="18"/>
                <w:szCs w:val="18"/>
              </w:rPr>
              <w:t>Hours</w:t>
            </w:r>
          </w:p>
        </w:tc>
        <w:tc>
          <w:tcPr>
            <w:tcW w:w="707" w:type="dxa"/>
            <w:tcMar>
              <w:left w:w="29" w:type="dxa"/>
              <w:right w:w="29" w:type="dxa"/>
            </w:tcMar>
            <w:hideMark/>
          </w:tcPr>
          <w:p w14:paraId="59B886FF" w14:textId="3D44A426" w:rsidR="0025278A" w:rsidRPr="000973F2" w:rsidRDefault="0025278A" w:rsidP="00E86BE0">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18"/>
                <w:szCs w:val="18"/>
              </w:rPr>
            </w:pPr>
            <w:r w:rsidRPr="000973F2">
              <w:rPr>
                <w:rFonts w:ascii="Times New Roman" w:eastAsia="Times New Roman" w:hAnsi="Times New Roman" w:cs="Times New Roman"/>
                <w:b/>
                <w:bCs/>
                <w:sz w:val="18"/>
                <w:szCs w:val="18"/>
              </w:rPr>
              <w:t>Initial Year</w:t>
            </w:r>
            <w:r w:rsidR="00E86BE0" w:rsidRPr="000973F2">
              <w:rPr>
                <w:rFonts w:ascii="Times New Roman" w:eastAsia="Times New Roman" w:hAnsi="Times New Roman" w:cs="Times New Roman"/>
                <w:b/>
                <w:bCs/>
                <w:sz w:val="18"/>
                <w:szCs w:val="18"/>
              </w:rPr>
              <w:t xml:space="preserve"> </w:t>
            </w:r>
            <w:r w:rsidRPr="000973F2">
              <w:rPr>
                <w:rFonts w:ascii="Times New Roman" w:eastAsia="Times New Roman" w:hAnsi="Times New Roman" w:cs="Times New Roman"/>
                <w:b/>
                <w:bCs/>
                <w:sz w:val="18"/>
                <w:szCs w:val="18"/>
              </w:rPr>
              <w:t>Hours</w:t>
            </w:r>
          </w:p>
        </w:tc>
        <w:tc>
          <w:tcPr>
            <w:tcW w:w="818" w:type="dxa"/>
            <w:tcMar>
              <w:left w:w="29" w:type="dxa"/>
              <w:right w:w="29" w:type="dxa"/>
            </w:tcMar>
            <w:hideMark/>
          </w:tcPr>
          <w:p w14:paraId="380934ED" w14:textId="5269320C" w:rsidR="0025278A" w:rsidRPr="000973F2" w:rsidRDefault="0025278A" w:rsidP="00E86BE0">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18"/>
                <w:szCs w:val="18"/>
              </w:rPr>
            </w:pPr>
            <w:r w:rsidRPr="000973F2">
              <w:rPr>
                <w:rFonts w:ascii="Times New Roman" w:eastAsia="Times New Roman" w:hAnsi="Times New Roman" w:cs="Times New Roman"/>
                <w:b/>
                <w:bCs/>
                <w:sz w:val="18"/>
                <w:szCs w:val="18"/>
              </w:rPr>
              <w:t>Subseq. Year</w:t>
            </w:r>
            <w:r w:rsidR="00E86BE0" w:rsidRPr="000973F2">
              <w:rPr>
                <w:rFonts w:ascii="Times New Roman" w:eastAsia="Times New Roman" w:hAnsi="Times New Roman" w:cs="Times New Roman"/>
                <w:b/>
                <w:bCs/>
                <w:sz w:val="18"/>
                <w:szCs w:val="18"/>
              </w:rPr>
              <w:t xml:space="preserve"> </w:t>
            </w:r>
            <w:r w:rsidRPr="000973F2">
              <w:rPr>
                <w:rFonts w:ascii="Times New Roman" w:eastAsia="Times New Roman" w:hAnsi="Times New Roman" w:cs="Times New Roman"/>
                <w:b/>
                <w:bCs/>
                <w:sz w:val="18"/>
                <w:szCs w:val="18"/>
              </w:rPr>
              <w:t>Hours</w:t>
            </w:r>
          </w:p>
        </w:tc>
        <w:tc>
          <w:tcPr>
            <w:tcW w:w="707" w:type="dxa"/>
            <w:tcMar>
              <w:left w:w="29" w:type="dxa"/>
              <w:right w:w="29" w:type="dxa"/>
            </w:tcMar>
            <w:hideMark/>
          </w:tcPr>
          <w:p w14:paraId="54404336" w14:textId="77777777" w:rsidR="0025278A" w:rsidRPr="000973F2" w:rsidRDefault="0025278A" w:rsidP="00E86BE0">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18"/>
                <w:szCs w:val="18"/>
              </w:rPr>
            </w:pPr>
            <w:r w:rsidRPr="000973F2">
              <w:rPr>
                <w:rFonts w:ascii="Times New Roman" w:eastAsia="Times New Roman" w:hAnsi="Times New Roman" w:cs="Times New Roman"/>
                <w:b/>
                <w:bCs/>
                <w:sz w:val="18"/>
                <w:szCs w:val="18"/>
              </w:rPr>
              <w:t>Initial Year</w:t>
            </w:r>
          </w:p>
        </w:tc>
        <w:tc>
          <w:tcPr>
            <w:tcW w:w="906" w:type="dxa"/>
            <w:tcMar>
              <w:left w:w="29" w:type="dxa"/>
              <w:right w:w="29" w:type="dxa"/>
            </w:tcMar>
            <w:hideMark/>
          </w:tcPr>
          <w:p w14:paraId="405F43A9" w14:textId="77777777" w:rsidR="0025278A" w:rsidRPr="000973F2" w:rsidRDefault="0025278A" w:rsidP="00E86BE0">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18"/>
                <w:szCs w:val="18"/>
              </w:rPr>
            </w:pPr>
            <w:r w:rsidRPr="000973F2">
              <w:rPr>
                <w:rFonts w:ascii="Times New Roman" w:eastAsia="Times New Roman" w:hAnsi="Times New Roman" w:cs="Times New Roman"/>
                <w:b/>
                <w:bCs/>
                <w:sz w:val="18"/>
                <w:szCs w:val="18"/>
              </w:rPr>
              <w:t>Subseq. Year</w:t>
            </w:r>
          </w:p>
        </w:tc>
      </w:tr>
      <w:tr w:rsidR="00E86BE0" w:rsidRPr="000973F2" w14:paraId="69119D6B" w14:textId="77777777" w:rsidTr="00E86BE0">
        <w:trPr>
          <w:cantSplit/>
        </w:trPr>
        <w:tc>
          <w:tcPr>
            <w:cnfStyle w:val="001000000000" w:firstRow="0" w:lastRow="0" w:firstColumn="1" w:lastColumn="0" w:oddVBand="0" w:evenVBand="0" w:oddHBand="0" w:evenHBand="0" w:firstRowFirstColumn="0" w:firstRowLastColumn="0" w:lastRowFirstColumn="0" w:lastRowLastColumn="0"/>
            <w:tcW w:w="1289" w:type="dxa"/>
            <w:tcMar>
              <w:right w:w="14" w:type="dxa"/>
            </w:tcMar>
            <w:hideMark/>
          </w:tcPr>
          <w:p w14:paraId="7FD358BB" w14:textId="77777777" w:rsidR="0025278A" w:rsidRPr="000973F2" w:rsidRDefault="0025278A" w:rsidP="00E86BE0">
            <w:pPr>
              <w:spacing w:before="40" w:after="4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Planning</w:t>
            </w:r>
          </w:p>
        </w:tc>
        <w:tc>
          <w:tcPr>
            <w:tcW w:w="709" w:type="dxa"/>
            <w:noWrap/>
            <w:hideMark/>
          </w:tcPr>
          <w:p w14:paraId="6A0000E8" w14:textId="77777777" w:rsidR="0025278A" w:rsidRPr="000973F2" w:rsidRDefault="0025278A" w:rsidP="00E86BE0">
            <w:pPr>
              <w:spacing w:before="40" w:after="4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0</w:t>
            </w:r>
          </w:p>
        </w:tc>
        <w:tc>
          <w:tcPr>
            <w:tcW w:w="837" w:type="dxa"/>
            <w:noWrap/>
            <w:hideMark/>
          </w:tcPr>
          <w:p w14:paraId="1D2FB19B" w14:textId="77777777" w:rsidR="0025278A" w:rsidRPr="000973F2" w:rsidRDefault="0025278A" w:rsidP="00E86BE0">
            <w:pPr>
              <w:spacing w:before="40" w:after="4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2</w:t>
            </w:r>
          </w:p>
        </w:tc>
        <w:tc>
          <w:tcPr>
            <w:tcW w:w="850" w:type="dxa"/>
            <w:noWrap/>
            <w:hideMark/>
          </w:tcPr>
          <w:p w14:paraId="49BD3B4F" w14:textId="77777777" w:rsidR="0025278A" w:rsidRPr="000973F2" w:rsidRDefault="0025278A" w:rsidP="00E86BE0">
            <w:pPr>
              <w:spacing w:before="40" w:after="4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0</w:t>
            </w:r>
          </w:p>
        </w:tc>
        <w:tc>
          <w:tcPr>
            <w:tcW w:w="846" w:type="dxa"/>
            <w:noWrap/>
            <w:hideMark/>
          </w:tcPr>
          <w:p w14:paraId="7B9921C8" w14:textId="77777777" w:rsidR="0025278A" w:rsidRPr="000973F2" w:rsidRDefault="0025278A" w:rsidP="00E86BE0">
            <w:pPr>
              <w:tabs>
                <w:tab w:val="decimal" w:pos="286"/>
              </w:tabs>
              <w:spacing w:before="40" w:after="4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1.0</w:t>
            </w:r>
          </w:p>
        </w:tc>
        <w:tc>
          <w:tcPr>
            <w:tcW w:w="751" w:type="dxa"/>
            <w:noWrap/>
            <w:hideMark/>
          </w:tcPr>
          <w:p w14:paraId="3CB1FEED" w14:textId="77777777" w:rsidR="0025278A" w:rsidRPr="000973F2" w:rsidRDefault="0025278A" w:rsidP="00E86BE0">
            <w:pPr>
              <w:spacing w:before="40" w:after="4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0</w:t>
            </w:r>
          </w:p>
        </w:tc>
        <w:tc>
          <w:tcPr>
            <w:tcW w:w="910" w:type="dxa"/>
            <w:noWrap/>
            <w:hideMark/>
          </w:tcPr>
          <w:p w14:paraId="138D9AF3" w14:textId="77777777" w:rsidR="0025278A" w:rsidRPr="000973F2" w:rsidRDefault="0025278A" w:rsidP="00E86BE0">
            <w:pPr>
              <w:tabs>
                <w:tab w:val="decimal" w:pos="376"/>
              </w:tabs>
              <w:spacing w:before="40" w:after="4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1.0</w:t>
            </w:r>
          </w:p>
        </w:tc>
        <w:tc>
          <w:tcPr>
            <w:tcW w:w="707" w:type="dxa"/>
            <w:noWrap/>
            <w:hideMark/>
          </w:tcPr>
          <w:p w14:paraId="3A7E0F61" w14:textId="77777777" w:rsidR="0025278A" w:rsidRPr="000973F2" w:rsidRDefault="0025278A" w:rsidP="00E86BE0">
            <w:pPr>
              <w:spacing w:before="40" w:after="4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0</w:t>
            </w:r>
          </w:p>
        </w:tc>
        <w:tc>
          <w:tcPr>
            <w:tcW w:w="818" w:type="dxa"/>
            <w:noWrap/>
            <w:hideMark/>
          </w:tcPr>
          <w:p w14:paraId="1120D16F" w14:textId="77777777" w:rsidR="0025278A" w:rsidRPr="000973F2" w:rsidRDefault="0025278A" w:rsidP="00E86BE0">
            <w:pPr>
              <w:tabs>
                <w:tab w:val="decimal" w:pos="256"/>
              </w:tabs>
              <w:spacing w:before="40" w:after="4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0</w:t>
            </w:r>
          </w:p>
        </w:tc>
        <w:tc>
          <w:tcPr>
            <w:tcW w:w="707" w:type="dxa"/>
            <w:noWrap/>
            <w:hideMark/>
          </w:tcPr>
          <w:p w14:paraId="330F56F5" w14:textId="42F5AA98" w:rsidR="0025278A" w:rsidRPr="000973F2" w:rsidRDefault="0025278A" w:rsidP="00E86BE0">
            <w:pPr>
              <w:spacing w:before="40" w:after="4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$0</w:t>
            </w:r>
          </w:p>
        </w:tc>
        <w:tc>
          <w:tcPr>
            <w:tcW w:w="906" w:type="dxa"/>
            <w:noWrap/>
            <w:hideMark/>
          </w:tcPr>
          <w:p w14:paraId="6E87C15A" w14:textId="659E562B" w:rsidR="0025278A" w:rsidRPr="000973F2" w:rsidRDefault="0025278A" w:rsidP="00E86BE0">
            <w:pPr>
              <w:tabs>
                <w:tab w:val="decimal" w:pos="541"/>
              </w:tabs>
              <w:spacing w:before="40" w:after="4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$383</w:t>
            </w:r>
          </w:p>
        </w:tc>
      </w:tr>
      <w:tr w:rsidR="00E86BE0" w:rsidRPr="000973F2" w14:paraId="37C47464" w14:textId="77777777" w:rsidTr="00E86BE0">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1289" w:type="dxa"/>
            <w:tcMar>
              <w:right w:w="14" w:type="dxa"/>
            </w:tcMar>
            <w:hideMark/>
          </w:tcPr>
          <w:p w14:paraId="63D0F84C" w14:textId="77777777" w:rsidR="0025278A" w:rsidRPr="000973F2" w:rsidRDefault="0025278A" w:rsidP="00E86BE0">
            <w:pPr>
              <w:spacing w:before="40" w:after="4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QA/QC</w:t>
            </w:r>
          </w:p>
        </w:tc>
        <w:tc>
          <w:tcPr>
            <w:tcW w:w="709" w:type="dxa"/>
            <w:noWrap/>
            <w:hideMark/>
          </w:tcPr>
          <w:p w14:paraId="62D2610F" w14:textId="77777777" w:rsidR="0025278A" w:rsidRPr="000973F2" w:rsidRDefault="0025278A" w:rsidP="00E86BE0">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0</w:t>
            </w:r>
          </w:p>
        </w:tc>
        <w:tc>
          <w:tcPr>
            <w:tcW w:w="837" w:type="dxa"/>
            <w:noWrap/>
            <w:hideMark/>
          </w:tcPr>
          <w:p w14:paraId="3BE27A67" w14:textId="77777777" w:rsidR="0025278A" w:rsidRPr="000973F2" w:rsidRDefault="0025278A" w:rsidP="00E86BE0">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0</w:t>
            </w:r>
          </w:p>
        </w:tc>
        <w:tc>
          <w:tcPr>
            <w:tcW w:w="850" w:type="dxa"/>
            <w:noWrap/>
            <w:hideMark/>
          </w:tcPr>
          <w:p w14:paraId="7A7EA837" w14:textId="77777777" w:rsidR="0025278A" w:rsidRPr="000973F2" w:rsidRDefault="0025278A" w:rsidP="00E86BE0">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0</w:t>
            </w:r>
          </w:p>
        </w:tc>
        <w:tc>
          <w:tcPr>
            <w:tcW w:w="846" w:type="dxa"/>
            <w:noWrap/>
            <w:hideMark/>
          </w:tcPr>
          <w:p w14:paraId="68084E46" w14:textId="77777777" w:rsidR="0025278A" w:rsidRPr="000973F2" w:rsidRDefault="0025278A" w:rsidP="00E86BE0">
            <w:pPr>
              <w:tabs>
                <w:tab w:val="decimal" w:pos="286"/>
              </w:tabs>
              <w:spacing w:before="40" w:after="4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5.0</w:t>
            </w:r>
          </w:p>
        </w:tc>
        <w:tc>
          <w:tcPr>
            <w:tcW w:w="751" w:type="dxa"/>
            <w:noWrap/>
            <w:hideMark/>
          </w:tcPr>
          <w:p w14:paraId="21AFBCDB" w14:textId="77777777" w:rsidR="0025278A" w:rsidRPr="000973F2" w:rsidRDefault="0025278A" w:rsidP="00E86BE0">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0</w:t>
            </w:r>
          </w:p>
        </w:tc>
        <w:tc>
          <w:tcPr>
            <w:tcW w:w="910" w:type="dxa"/>
            <w:noWrap/>
            <w:hideMark/>
          </w:tcPr>
          <w:p w14:paraId="6DECE6D6" w14:textId="77777777" w:rsidR="0025278A" w:rsidRPr="000973F2" w:rsidRDefault="0025278A" w:rsidP="00E86BE0">
            <w:pPr>
              <w:tabs>
                <w:tab w:val="decimal" w:pos="376"/>
              </w:tabs>
              <w:spacing w:before="40" w:after="4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0</w:t>
            </w:r>
          </w:p>
        </w:tc>
        <w:tc>
          <w:tcPr>
            <w:tcW w:w="707" w:type="dxa"/>
            <w:noWrap/>
            <w:hideMark/>
          </w:tcPr>
          <w:p w14:paraId="3460924F" w14:textId="77777777" w:rsidR="0025278A" w:rsidRPr="000973F2" w:rsidRDefault="0025278A" w:rsidP="00E86BE0">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0</w:t>
            </w:r>
          </w:p>
        </w:tc>
        <w:tc>
          <w:tcPr>
            <w:tcW w:w="818" w:type="dxa"/>
            <w:noWrap/>
            <w:hideMark/>
          </w:tcPr>
          <w:p w14:paraId="77D9B032" w14:textId="77777777" w:rsidR="0025278A" w:rsidRPr="000973F2" w:rsidRDefault="0025278A" w:rsidP="00E86BE0">
            <w:pPr>
              <w:tabs>
                <w:tab w:val="decimal" w:pos="256"/>
              </w:tabs>
              <w:spacing w:before="40" w:after="4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0</w:t>
            </w:r>
          </w:p>
        </w:tc>
        <w:tc>
          <w:tcPr>
            <w:tcW w:w="707" w:type="dxa"/>
            <w:noWrap/>
            <w:hideMark/>
          </w:tcPr>
          <w:p w14:paraId="754963A6" w14:textId="065C9E5E" w:rsidR="0025278A" w:rsidRPr="000973F2" w:rsidRDefault="0025278A" w:rsidP="00E86BE0">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$0</w:t>
            </w:r>
          </w:p>
        </w:tc>
        <w:tc>
          <w:tcPr>
            <w:tcW w:w="906" w:type="dxa"/>
            <w:noWrap/>
            <w:hideMark/>
          </w:tcPr>
          <w:p w14:paraId="1B80D051" w14:textId="2A344175" w:rsidR="0025278A" w:rsidRPr="000973F2" w:rsidRDefault="0025278A" w:rsidP="00E86BE0">
            <w:pPr>
              <w:tabs>
                <w:tab w:val="decimal" w:pos="541"/>
              </w:tabs>
              <w:spacing w:before="40" w:after="4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$437</w:t>
            </w:r>
          </w:p>
        </w:tc>
      </w:tr>
      <w:tr w:rsidR="00E86BE0" w:rsidRPr="000973F2" w14:paraId="7FAD0F7C" w14:textId="77777777" w:rsidTr="00E86BE0">
        <w:trPr>
          <w:cantSplit/>
        </w:trPr>
        <w:tc>
          <w:tcPr>
            <w:cnfStyle w:val="001000000000" w:firstRow="0" w:lastRow="0" w:firstColumn="1" w:lastColumn="0" w:oddVBand="0" w:evenVBand="0" w:oddHBand="0" w:evenHBand="0" w:firstRowFirstColumn="0" w:firstRowLastColumn="0" w:lastRowFirstColumn="0" w:lastRowLastColumn="0"/>
            <w:tcW w:w="1289" w:type="dxa"/>
            <w:tcMar>
              <w:right w:w="14" w:type="dxa"/>
            </w:tcMar>
            <w:hideMark/>
          </w:tcPr>
          <w:p w14:paraId="06B1E651" w14:textId="77777777" w:rsidR="0025278A" w:rsidRPr="000973F2" w:rsidRDefault="0025278A" w:rsidP="00E86BE0">
            <w:pPr>
              <w:spacing w:before="40" w:after="4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Recordkeeping</w:t>
            </w:r>
          </w:p>
        </w:tc>
        <w:tc>
          <w:tcPr>
            <w:tcW w:w="709" w:type="dxa"/>
            <w:noWrap/>
            <w:hideMark/>
          </w:tcPr>
          <w:p w14:paraId="71DD5790" w14:textId="77777777" w:rsidR="0025278A" w:rsidRPr="000973F2" w:rsidRDefault="0025278A" w:rsidP="00E86BE0">
            <w:pPr>
              <w:spacing w:before="40" w:after="4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0</w:t>
            </w:r>
          </w:p>
        </w:tc>
        <w:tc>
          <w:tcPr>
            <w:tcW w:w="837" w:type="dxa"/>
            <w:noWrap/>
            <w:hideMark/>
          </w:tcPr>
          <w:p w14:paraId="53751A9C" w14:textId="77777777" w:rsidR="0025278A" w:rsidRPr="000973F2" w:rsidRDefault="0025278A" w:rsidP="00E86BE0">
            <w:pPr>
              <w:spacing w:before="40" w:after="4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0</w:t>
            </w:r>
          </w:p>
        </w:tc>
        <w:tc>
          <w:tcPr>
            <w:tcW w:w="850" w:type="dxa"/>
            <w:noWrap/>
            <w:hideMark/>
          </w:tcPr>
          <w:p w14:paraId="4E8AB0B5" w14:textId="77777777" w:rsidR="0025278A" w:rsidRPr="000973F2" w:rsidRDefault="0025278A" w:rsidP="00E86BE0">
            <w:pPr>
              <w:spacing w:before="40" w:after="4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0</w:t>
            </w:r>
          </w:p>
        </w:tc>
        <w:tc>
          <w:tcPr>
            <w:tcW w:w="846" w:type="dxa"/>
            <w:noWrap/>
            <w:hideMark/>
          </w:tcPr>
          <w:p w14:paraId="39A9E805" w14:textId="77777777" w:rsidR="0025278A" w:rsidRPr="000973F2" w:rsidRDefault="0025278A" w:rsidP="00E86BE0">
            <w:pPr>
              <w:tabs>
                <w:tab w:val="decimal" w:pos="286"/>
              </w:tabs>
              <w:spacing w:before="40" w:after="4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1.0</w:t>
            </w:r>
          </w:p>
        </w:tc>
        <w:tc>
          <w:tcPr>
            <w:tcW w:w="751" w:type="dxa"/>
            <w:noWrap/>
            <w:hideMark/>
          </w:tcPr>
          <w:p w14:paraId="4636E09B" w14:textId="77777777" w:rsidR="0025278A" w:rsidRPr="000973F2" w:rsidRDefault="0025278A" w:rsidP="00E86BE0">
            <w:pPr>
              <w:spacing w:before="40" w:after="4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0</w:t>
            </w:r>
          </w:p>
        </w:tc>
        <w:tc>
          <w:tcPr>
            <w:tcW w:w="910" w:type="dxa"/>
            <w:noWrap/>
            <w:hideMark/>
          </w:tcPr>
          <w:p w14:paraId="42537D84" w14:textId="77777777" w:rsidR="0025278A" w:rsidRPr="000973F2" w:rsidRDefault="0025278A" w:rsidP="00E86BE0">
            <w:pPr>
              <w:tabs>
                <w:tab w:val="decimal" w:pos="376"/>
              </w:tabs>
              <w:spacing w:before="40" w:after="4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13.0</w:t>
            </w:r>
          </w:p>
        </w:tc>
        <w:tc>
          <w:tcPr>
            <w:tcW w:w="707" w:type="dxa"/>
            <w:noWrap/>
            <w:hideMark/>
          </w:tcPr>
          <w:p w14:paraId="1802F750" w14:textId="77777777" w:rsidR="0025278A" w:rsidRPr="000973F2" w:rsidRDefault="0025278A" w:rsidP="00E86BE0">
            <w:pPr>
              <w:spacing w:before="40" w:after="4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0</w:t>
            </w:r>
          </w:p>
        </w:tc>
        <w:tc>
          <w:tcPr>
            <w:tcW w:w="818" w:type="dxa"/>
            <w:noWrap/>
            <w:hideMark/>
          </w:tcPr>
          <w:p w14:paraId="44D6810B" w14:textId="77777777" w:rsidR="0025278A" w:rsidRPr="000973F2" w:rsidRDefault="0025278A" w:rsidP="00E86BE0">
            <w:pPr>
              <w:tabs>
                <w:tab w:val="decimal" w:pos="256"/>
              </w:tabs>
              <w:spacing w:before="40" w:after="4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1.0</w:t>
            </w:r>
          </w:p>
        </w:tc>
        <w:tc>
          <w:tcPr>
            <w:tcW w:w="707" w:type="dxa"/>
            <w:noWrap/>
            <w:hideMark/>
          </w:tcPr>
          <w:p w14:paraId="742159AF" w14:textId="31C00005" w:rsidR="0025278A" w:rsidRPr="000973F2" w:rsidRDefault="0025278A" w:rsidP="00E86BE0">
            <w:pPr>
              <w:spacing w:before="40" w:after="4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$0</w:t>
            </w:r>
          </w:p>
        </w:tc>
        <w:tc>
          <w:tcPr>
            <w:tcW w:w="906" w:type="dxa"/>
            <w:noWrap/>
            <w:hideMark/>
          </w:tcPr>
          <w:p w14:paraId="3E7A94D9" w14:textId="2DCD837A" w:rsidR="0025278A" w:rsidRPr="000973F2" w:rsidRDefault="0025278A" w:rsidP="00E86BE0">
            <w:pPr>
              <w:tabs>
                <w:tab w:val="decimal" w:pos="541"/>
              </w:tabs>
              <w:spacing w:before="40" w:after="4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$1,053</w:t>
            </w:r>
          </w:p>
        </w:tc>
      </w:tr>
      <w:tr w:rsidR="00E86BE0" w:rsidRPr="000973F2" w14:paraId="59DD952C" w14:textId="77777777" w:rsidTr="00E86BE0">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1289" w:type="dxa"/>
            <w:tcMar>
              <w:right w:w="14" w:type="dxa"/>
            </w:tcMar>
            <w:hideMark/>
          </w:tcPr>
          <w:p w14:paraId="2D381344" w14:textId="77777777" w:rsidR="0025278A" w:rsidRPr="000973F2" w:rsidRDefault="0025278A" w:rsidP="00E86BE0">
            <w:pPr>
              <w:spacing w:before="40" w:after="4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Sampling and Analysis (Calculations)</w:t>
            </w:r>
          </w:p>
        </w:tc>
        <w:tc>
          <w:tcPr>
            <w:tcW w:w="709" w:type="dxa"/>
            <w:noWrap/>
            <w:hideMark/>
          </w:tcPr>
          <w:p w14:paraId="5B47DE0F" w14:textId="77777777" w:rsidR="0025278A" w:rsidRPr="000973F2" w:rsidRDefault="0025278A" w:rsidP="00E86BE0">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0</w:t>
            </w:r>
          </w:p>
        </w:tc>
        <w:tc>
          <w:tcPr>
            <w:tcW w:w="837" w:type="dxa"/>
            <w:noWrap/>
            <w:hideMark/>
          </w:tcPr>
          <w:p w14:paraId="6F1ED4CA" w14:textId="77777777" w:rsidR="0025278A" w:rsidRPr="000973F2" w:rsidRDefault="0025278A" w:rsidP="00E86BE0">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0</w:t>
            </w:r>
          </w:p>
        </w:tc>
        <w:tc>
          <w:tcPr>
            <w:tcW w:w="850" w:type="dxa"/>
            <w:noWrap/>
            <w:hideMark/>
          </w:tcPr>
          <w:p w14:paraId="0CD64671" w14:textId="77777777" w:rsidR="0025278A" w:rsidRPr="000973F2" w:rsidRDefault="0025278A" w:rsidP="00E86BE0">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0</w:t>
            </w:r>
          </w:p>
        </w:tc>
        <w:tc>
          <w:tcPr>
            <w:tcW w:w="846" w:type="dxa"/>
            <w:noWrap/>
            <w:hideMark/>
          </w:tcPr>
          <w:p w14:paraId="135916AC" w14:textId="77777777" w:rsidR="0025278A" w:rsidRPr="000973F2" w:rsidRDefault="0025278A" w:rsidP="00E86BE0">
            <w:pPr>
              <w:tabs>
                <w:tab w:val="decimal" w:pos="286"/>
              </w:tabs>
              <w:spacing w:before="40" w:after="4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8.6</w:t>
            </w:r>
          </w:p>
        </w:tc>
        <w:tc>
          <w:tcPr>
            <w:tcW w:w="751" w:type="dxa"/>
            <w:noWrap/>
            <w:hideMark/>
          </w:tcPr>
          <w:p w14:paraId="5BC7921C" w14:textId="77777777" w:rsidR="0025278A" w:rsidRPr="000973F2" w:rsidRDefault="0025278A" w:rsidP="00E86BE0">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0</w:t>
            </w:r>
          </w:p>
        </w:tc>
        <w:tc>
          <w:tcPr>
            <w:tcW w:w="910" w:type="dxa"/>
            <w:noWrap/>
            <w:hideMark/>
          </w:tcPr>
          <w:p w14:paraId="123D1CE8" w14:textId="77777777" w:rsidR="0025278A" w:rsidRPr="000973F2" w:rsidRDefault="0025278A" w:rsidP="00E86BE0">
            <w:pPr>
              <w:tabs>
                <w:tab w:val="decimal" w:pos="376"/>
              </w:tabs>
              <w:spacing w:before="40" w:after="4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172.2</w:t>
            </w:r>
          </w:p>
        </w:tc>
        <w:tc>
          <w:tcPr>
            <w:tcW w:w="707" w:type="dxa"/>
            <w:noWrap/>
            <w:hideMark/>
          </w:tcPr>
          <w:p w14:paraId="4D8AB6DD" w14:textId="77777777" w:rsidR="0025278A" w:rsidRPr="000973F2" w:rsidRDefault="0025278A" w:rsidP="00E86BE0">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0</w:t>
            </w:r>
          </w:p>
        </w:tc>
        <w:tc>
          <w:tcPr>
            <w:tcW w:w="818" w:type="dxa"/>
            <w:noWrap/>
            <w:hideMark/>
          </w:tcPr>
          <w:p w14:paraId="5D961A2B" w14:textId="77777777" w:rsidR="0025278A" w:rsidRPr="000973F2" w:rsidRDefault="0025278A" w:rsidP="00E86BE0">
            <w:pPr>
              <w:tabs>
                <w:tab w:val="decimal" w:pos="256"/>
              </w:tabs>
              <w:spacing w:before="40" w:after="4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17.2</w:t>
            </w:r>
          </w:p>
        </w:tc>
        <w:tc>
          <w:tcPr>
            <w:tcW w:w="707" w:type="dxa"/>
            <w:noWrap/>
            <w:hideMark/>
          </w:tcPr>
          <w:p w14:paraId="6276D450" w14:textId="4039B9FC" w:rsidR="0025278A" w:rsidRPr="000973F2" w:rsidRDefault="0025278A" w:rsidP="00E86BE0">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$0</w:t>
            </w:r>
          </w:p>
        </w:tc>
        <w:tc>
          <w:tcPr>
            <w:tcW w:w="906" w:type="dxa"/>
            <w:noWrap/>
            <w:hideMark/>
          </w:tcPr>
          <w:p w14:paraId="03BBE219" w14:textId="01A0CA26" w:rsidR="0025278A" w:rsidRPr="000973F2" w:rsidRDefault="0025278A" w:rsidP="00E86BE0">
            <w:pPr>
              <w:tabs>
                <w:tab w:val="decimal" w:pos="541"/>
              </w:tabs>
              <w:spacing w:before="40" w:after="4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$13,681</w:t>
            </w:r>
          </w:p>
        </w:tc>
      </w:tr>
      <w:tr w:rsidR="00E86BE0" w:rsidRPr="000973F2" w14:paraId="1336B237" w14:textId="77777777" w:rsidTr="00E86BE0">
        <w:trPr>
          <w:cantSplit/>
        </w:trPr>
        <w:tc>
          <w:tcPr>
            <w:cnfStyle w:val="001000000000" w:firstRow="0" w:lastRow="0" w:firstColumn="1" w:lastColumn="0" w:oddVBand="0" w:evenVBand="0" w:oddHBand="0" w:evenHBand="0" w:firstRowFirstColumn="0" w:firstRowLastColumn="0" w:lastRowFirstColumn="0" w:lastRowLastColumn="0"/>
            <w:tcW w:w="1289" w:type="dxa"/>
            <w:tcMar>
              <w:right w:w="14" w:type="dxa"/>
            </w:tcMar>
            <w:hideMark/>
          </w:tcPr>
          <w:p w14:paraId="24B0ACC0" w14:textId="77777777" w:rsidR="0025278A" w:rsidRPr="000973F2" w:rsidRDefault="0025278A" w:rsidP="00E86BE0">
            <w:pPr>
              <w:spacing w:before="40" w:after="4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Reporting</w:t>
            </w:r>
          </w:p>
        </w:tc>
        <w:tc>
          <w:tcPr>
            <w:tcW w:w="709" w:type="dxa"/>
            <w:noWrap/>
            <w:hideMark/>
          </w:tcPr>
          <w:p w14:paraId="28E00D94" w14:textId="77777777" w:rsidR="0025278A" w:rsidRPr="000973F2" w:rsidRDefault="0025278A" w:rsidP="00E86BE0">
            <w:pPr>
              <w:spacing w:before="40" w:after="4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0</w:t>
            </w:r>
          </w:p>
        </w:tc>
        <w:tc>
          <w:tcPr>
            <w:tcW w:w="837" w:type="dxa"/>
            <w:noWrap/>
            <w:hideMark/>
          </w:tcPr>
          <w:p w14:paraId="3675B9B6" w14:textId="77777777" w:rsidR="0025278A" w:rsidRPr="000973F2" w:rsidRDefault="0025278A" w:rsidP="00E86BE0">
            <w:pPr>
              <w:spacing w:before="40" w:after="4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0</w:t>
            </w:r>
          </w:p>
        </w:tc>
        <w:tc>
          <w:tcPr>
            <w:tcW w:w="850" w:type="dxa"/>
            <w:noWrap/>
            <w:hideMark/>
          </w:tcPr>
          <w:p w14:paraId="5D6257E0" w14:textId="77777777" w:rsidR="0025278A" w:rsidRPr="000973F2" w:rsidRDefault="0025278A" w:rsidP="00E86BE0">
            <w:pPr>
              <w:spacing w:before="40" w:after="4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0</w:t>
            </w:r>
          </w:p>
        </w:tc>
        <w:tc>
          <w:tcPr>
            <w:tcW w:w="846" w:type="dxa"/>
            <w:noWrap/>
            <w:hideMark/>
          </w:tcPr>
          <w:p w14:paraId="20D227A2" w14:textId="77777777" w:rsidR="0025278A" w:rsidRPr="000973F2" w:rsidRDefault="0025278A" w:rsidP="00E86BE0">
            <w:pPr>
              <w:tabs>
                <w:tab w:val="decimal" w:pos="286"/>
              </w:tabs>
              <w:spacing w:before="40" w:after="4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2.0</w:t>
            </w:r>
          </w:p>
        </w:tc>
        <w:tc>
          <w:tcPr>
            <w:tcW w:w="751" w:type="dxa"/>
            <w:noWrap/>
            <w:hideMark/>
          </w:tcPr>
          <w:p w14:paraId="394743F9" w14:textId="77777777" w:rsidR="0025278A" w:rsidRPr="000973F2" w:rsidRDefault="0025278A" w:rsidP="00E86BE0">
            <w:pPr>
              <w:spacing w:before="40" w:after="4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0</w:t>
            </w:r>
          </w:p>
        </w:tc>
        <w:tc>
          <w:tcPr>
            <w:tcW w:w="910" w:type="dxa"/>
            <w:noWrap/>
            <w:hideMark/>
          </w:tcPr>
          <w:p w14:paraId="7E07844A" w14:textId="77777777" w:rsidR="0025278A" w:rsidRPr="000973F2" w:rsidRDefault="0025278A" w:rsidP="00E86BE0">
            <w:pPr>
              <w:tabs>
                <w:tab w:val="decimal" w:pos="376"/>
              </w:tabs>
              <w:spacing w:before="40" w:after="4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26.0</w:t>
            </w:r>
          </w:p>
        </w:tc>
        <w:tc>
          <w:tcPr>
            <w:tcW w:w="707" w:type="dxa"/>
            <w:noWrap/>
            <w:hideMark/>
          </w:tcPr>
          <w:p w14:paraId="016B0D1D" w14:textId="77777777" w:rsidR="0025278A" w:rsidRPr="000973F2" w:rsidRDefault="0025278A" w:rsidP="00E86BE0">
            <w:pPr>
              <w:spacing w:before="40" w:after="4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0</w:t>
            </w:r>
          </w:p>
        </w:tc>
        <w:tc>
          <w:tcPr>
            <w:tcW w:w="818" w:type="dxa"/>
            <w:noWrap/>
            <w:hideMark/>
          </w:tcPr>
          <w:p w14:paraId="02E2B953" w14:textId="77777777" w:rsidR="0025278A" w:rsidRPr="000973F2" w:rsidRDefault="0025278A" w:rsidP="00E86BE0">
            <w:pPr>
              <w:tabs>
                <w:tab w:val="decimal" w:pos="256"/>
              </w:tabs>
              <w:spacing w:before="40" w:after="4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2.0</w:t>
            </w:r>
          </w:p>
        </w:tc>
        <w:tc>
          <w:tcPr>
            <w:tcW w:w="707" w:type="dxa"/>
            <w:noWrap/>
            <w:hideMark/>
          </w:tcPr>
          <w:p w14:paraId="4EEC69F0" w14:textId="1077BFDE" w:rsidR="0025278A" w:rsidRPr="000973F2" w:rsidRDefault="0025278A" w:rsidP="00E86BE0">
            <w:pPr>
              <w:spacing w:before="40" w:after="4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$0</w:t>
            </w:r>
          </w:p>
        </w:tc>
        <w:tc>
          <w:tcPr>
            <w:tcW w:w="906" w:type="dxa"/>
            <w:noWrap/>
            <w:hideMark/>
          </w:tcPr>
          <w:p w14:paraId="5EA8F7C9" w14:textId="5D0853A2" w:rsidR="0025278A" w:rsidRPr="000973F2" w:rsidRDefault="0025278A" w:rsidP="00E86BE0">
            <w:pPr>
              <w:tabs>
                <w:tab w:val="decimal" w:pos="541"/>
              </w:tabs>
              <w:spacing w:before="40" w:after="4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$2,105</w:t>
            </w:r>
          </w:p>
        </w:tc>
      </w:tr>
      <w:tr w:rsidR="00E86BE0" w:rsidRPr="000973F2" w14:paraId="14DCED51" w14:textId="77777777" w:rsidTr="00E86BE0">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1289" w:type="dxa"/>
            <w:noWrap/>
            <w:tcMar>
              <w:right w:w="14" w:type="dxa"/>
            </w:tcMar>
            <w:hideMark/>
          </w:tcPr>
          <w:p w14:paraId="345F9371" w14:textId="77777777" w:rsidR="0025278A" w:rsidRPr="000973F2" w:rsidRDefault="0025278A" w:rsidP="00E86BE0">
            <w:pPr>
              <w:spacing w:before="40" w:after="40"/>
              <w:rPr>
                <w:rFonts w:ascii="Times New Roman" w:eastAsia="Times New Roman" w:hAnsi="Times New Roman" w:cs="Times New Roman"/>
                <w:b/>
                <w:bCs w:val="0"/>
                <w:sz w:val="18"/>
                <w:szCs w:val="18"/>
              </w:rPr>
            </w:pPr>
            <w:r w:rsidRPr="000973F2">
              <w:rPr>
                <w:rFonts w:ascii="Times New Roman" w:eastAsia="Times New Roman" w:hAnsi="Times New Roman" w:cs="Times New Roman"/>
                <w:b/>
                <w:sz w:val="18"/>
                <w:szCs w:val="18"/>
              </w:rPr>
              <w:t>Total</w:t>
            </w:r>
          </w:p>
        </w:tc>
        <w:tc>
          <w:tcPr>
            <w:tcW w:w="709" w:type="dxa"/>
            <w:noWrap/>
            <w:hideMark/>
          </w:tcPr>
          <w:p w14:paraId="51A81703" w14:textId="77777777" w:rsidR="0025278A" w:rsidRPr="000973F2" w:rsidRDefault="0025278A" w:rsidP="00E86BE0">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18"/>
                <w:szCs w:val="18"/>
              </w:rPr>
            </w:pPr>
            <w:r w:rsidRPr="000973F2">
              <w:rPr>
                <w:rFonts w:ascii="Times New Roman" w:eastAsia="Times New Roman" w:hAnsi="Times New Roman" w:cs="Times New Roman"/>
                <w:b/>
                <w:bCs/>
                <w:sz w:val="18"/>
                <w:szCs w:val="18"/>
              </w:rPr>
              <w:t>0</w:t>
            </w:r>
          </w:p>
        </w:tc>
        <w:tc>
          <w:tcPr>
            <w:tcW w:w="837" w:type="dxa"/>
            <w:noWrap/>
            <w:hideMark/>
          </w:tcPr>
          <w:p w14:paraId="3887BA70" w14:textId="77777777" w:rsidR="0025278A" w:rsidRPr="000973F2" w:rsidRDefault="0025278A" w:rsidP="00E86BE0">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18"/>
                <w:szCs w:val="18"/>
              </w:rPr>
            </w:pPr>
            <w:r w:rsidRPr="000973F2">
              <w:rPr>
                <w:rFonts w:ascii="Times New Roman" w:eastAsia="Times New Roman" w:hAnsi="Times New Roman" w:cs="Times New Roman"/>
                <w:b/>
                <w:bCs/>
                <w:sz w:val="18"/>
                <w:szCs w:val="18"/>
              </w:rPr>
              <w:t>2</w:t>
            </w:r>
          </w:p>
        </w:tc>
        <w:tc>
          <w:tcPr>
            <w:tcW w:w="850" w:type="dxa"/>
            <w:noWrap/>
            <w:hideMark/>
          </w:tcPr>
          <w:p w14:paraId="4A082730" w14:textId="77777777" w:rsidR="0025278A" w:rsidRPr="000973F2" w:rsidRDefault="0025278A" w:rsidP="00E86BE0">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18"/>
                <w:szCs w:val="18"/>
              </w:rPr>
            </w:pPr>
            <w:r w:rsidRPr="000973F2">
              <w:rPr>
                <w:rFonts w:ascii="Times New Roman" w:eastAsia="Times New Roman" w:hAnsi="Times New Roman" w:cs="Times New Roman"/>
                <w:b/>
                <w:bCs/>
                <w:sz w:val="18"/>
                <w:szCs w:val="18"/>
              </w:rPr>
              <w:t>0</w:t>
            </w:r>
          </w:p>
        </w:tc>
        <w:tc>
          <w:tcPr>
            <w:tcW w:w="846" w:type="dxa"/>
            <w:noWrap/>
            <w:hideMark/>
          </w:tcPr>
          <w:p w14:paraId="35D447BC" w14:textId="77777777" w:rsidR="0025278A" w:rsidRPr="000973F2" w:rsidRDefault="0025278A" w:rsidP="00E86BE0">
            <w:pPr>
              <w:tabs>
                <w:tab w:val="decimal" w:pos="286"/>
              </w:tabs>
              <w:spacing w:before="40" w:after="4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18"/>
                <w:szCs w:val="18"/>
              </w:rPr>
            </w:pPr>
            <w:r w:rsidRPr="000973F2">
              <w:rPr>
                <w:rFonts w:ascii="Times New Roman" w:eastAsia="Times New Roman" w:hAnsi="Times New Roman" w:cs="Times New Roman"/>
                <w:b/>
                <w:bCs/>
                <w:sz w:val="18"/>
                <w:szCs w:val="18"/>
              </w:rPr>
              <w:t>17.6</w:t>
            </w:r>
          </w:p>
        </w:tc>
        <w:tc>
          <w:tcPr>
            <w:tcW w:w="751" w:type="dxa"/>
            <w:noWrap/>
            <w:hideMark/>
          </w:tcPr>
          <w:p w14:paraId="2BD0D555" w14:textId="77777777" w:rsidR="0025278A" w:rsidRPr="000973F2" w:rsidRDefault="0025278A" w:rsidP="00E86BE0">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18"/>
                <w:szCs w:val="18"/>
              </w:rPr>
            </w:pPr>
            <w:r w:rsidRPr="000973F2">
              <w:rPr>
                <w:rFonts w:ascii="Times New Roman" w:eastAsia="Times New Roman" w:hAnsi="Times New Roman" w:cs="Times New Roman"/>
                <w:b/>
                <w:bCs/>
                <w:sz w:val="18"/>
                <w:szCs w:val="18"/>
              </w:rPr>
              <w:t>0</w:t>
            </w:r>
          </w:p>
        </w:tc>
        <w:tc>
          <w:tcPr>
            <w:tcW w:w="910" w:type="dxa"/>
            <w:noWrap/>
            <w:hideMark/>
          </w:tcPr>
          <w:p w14:paraId="0594F626" w14:textId="77777777" w:rsidR="0025278A" w:rsidRPr="000973F2" w:rsidRDefault="0025278A" w:rsidP="00E86BE0">
            <w:pPr>
              <w:tabs>
                <w:tab w:val="decimal" w:pos="376"/>
              </w:tabs>
              <w:spacing w:before="40" w:after="4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18"/>
                <w:szCs w:val="18"/>
              </w:rPr>
            </w:pPr>
            <w:r w:rsidRPr="000973F2">
              <w:rPr>
                <w:rFonts w:ascii="Times New Roman" w:eastAsia="Times New Roman" w:hAnsi="Times New Roman" w:cs="Times New Roman"/>
                <w:b/>
                <w:bCs/>
                <w:sz w:val="18"/>
                <w:szCs w:val="18"/>
              </w:rPr>
              <w:t>212.2</w:t>
            </w:r>
          </w:p>
        </w:tc>
        <w:tc>
          <w:tcPr>
            <w:tcW w:w="707" w:type="dxa"/>
            <w:noWrap/>
            <w:hideMark/>
          </w:tcPr>
          <w:p w14:paraId="3EB3C23B" w14:textId="77777777" w:rsidR="0025278A" w:rsidRPr="000973F2" w:rsidRDefault="0025278A" w:rsidP="00E86BE0">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18"/>
                <w:szCs w:val="18"/>
              </w:rPr>
            </w:pPr>
            <w:r w:rsidRPr="000973F2">
              <w:rPr>
                <w:rFonts w:ascii="Times New Roman" w:eastAsia="Times New Roman" w:hAnsi="Times New Roman" w:cs="Times New Roman"/>
                <w:b/>
                <w:bCs/>
                <w:sz w:val="18"/>
                <w:szCs w:val="18"/>
              </w:rPr>
              <w:t>0</w:t>
            </w:r>
          </w:p>
        </w:tc>
        <w:tc>
          <w:tcPr>
            <w:tcW w:w="818" w:type="dxa"/>
            <w:noWrap/>
            <w:hideMark/>
          </w:tcPr>
          <w:p w14:paraId="112F34A4" w14:textId="77777777" w:rsidR="0025278A" w:rsidRPr="000973F2" w:rsidRDefault="0025278A" w:rsidP="00E86BE0">
            <w:pPr>
              <w:tabs>
                <w:tab w:val="decimal" w:pos="256"/>
              </w:tabs>
              <w:spacing w:before="40" w:after="4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18"/>
                <w:szCs w:val="18"/>
              </w:rPr>
            </w:pPr>
            <w:r w:rsidRPr="000973F2">
              <w:rPr>
                <w:rFonts w:ascii="Times New Roman" w:eastAsia="Times New Roman" w:hAnsi="Times New Roman" w:cs="Times New Roman"/>
                <w:b/>
                <w:bCs/>
                <w:sz w:val="18"/>
                <w:szCs w:val="18"/>
              </w:rPr>
              <w:t>20.2</w:t>
            </w:r>
          </w:p>
        </w:tc>
        <w:tc>
          <w:tcPr>
            <w:tcW w:w="707" w:type="dxa"/>
            <w:noWrap/>
            <w:hideMark/>
          </w:tcPr>
          <w:p w14:paraId="5B033DEF" w14:textId="237D44BC" w:rsidR="0025278A" w:rsidRPr="000973F2" w:rsidRDefault="0025278A" w:rsidP="00E86BE0">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18"/>
                <w:szCs w:val="18"/>
              </w:rPr>
            </w:pPr>
            <w:r w:rsidRPr="000973F2">
              <w:rPr>
                <w:rFonts w:ascii="Times New Roman" w:eastAsia="Times New Roman" w:hAnsi="Times New Roman" w:cs="Times New Roman"/>
                <w:b/>
                <w:bCs/>
                <w:sz w:val="18"/>
                <w:szCs w:val="18"/>
              </w:rPr>
              <w:t>$0</w:t>
            </w:r>
          </w:p>
        </w:tc>
        <w:tc>
          <w:tcPr>
            <w:tcW w:w="906" w:type="dxa"/>
            <w:noWrap/>
            <w:hideMark/>
          </w:tcPr>
          <w:p w14:paraId="266BE92B" w14:textId="17C2980C" w:rsidR="0025278A" w:rsidRPr="000973F2" w:rsidRDefault="0025278A" w:rsidP="00E86BE0">
            <w:pPr>
              <w:tabs>
                <w:tab w:val="decimal" w:pos="541"/>
              </w:tabs>
              <w:spacing w:before="40" w:after="4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18"/>
                <w:szCs w:val="18"/>
              </w:rPr>
            </w:pPr>
            <w:r w:rsidRPr="000973F2">
              <w:rPr>
                <w:rFonts w:ascii="Times New Roman" w:eastAsia="Times New Roman" w:hAnsi="Times New Roman" w:cs="Times New Roman"/>
                <w:b/>
                <w:bCs/>
                <w:sz w:val="18"/>
                <w:szCs w:val="18"/>
              </w:rPr>
              <w:t>$17,660</w:t>
            </w:r>
          </w:p>
        </w:tc>
      </w:tr>
    </w:tbl>
    <w:p w14:paraId="7A88F5F8" w14:textId="5D44C884" w:rsidR="0025278A" w:rsidRPr="000973F2" w:rsidRDefault="0025278A" w:rsidP="00E86BE0">
      <w:pPr>
        <w:pStyle w:val="AfterTable"/>
      </w:pPr>
    </w:p>
    <w:p w14:paraId="32CD4C6A" w14:textId="13551AE6" w:rsidR="00837C73" w:rsidRPr="000973F2" w:rsidRDefault="00F64163" w:rsidP="00E86BE0">
      <w:pPr>
        <w:pStyle w:val="Tabletitle"/>
      </w:pPr>
      <w:r w:rsidRPr="000973F2">
        <w:t xml:space="preserve">Table </w:t>
      </w:r>
      <w:r w:rsidR="00E86BE0" w:rsidRPr="000973F2">
        <w:t>L-</w:t>
      </w:r>
      <w:r w:rsidRPr="000973F2">
        <w:t xml:space="preserve">1b. Labor Costs </w:t>
      </w:r>
      <w:r w:rsidR="00E86BE0" w:rsidRPr="000973F2">
        <w:t>–</w:t>
      </w:r>
      <w:r w:rsidRPr="000973F2">
        <w:t xml:space="preserve"> Subpart L </w:t>
      </w:r>
      <w:r w:rsidR="00DE272A" w:rsidRPr="000973F2">
        <w:t>–</w:t>
      </w:r>
      <w:r w:rsidRPr="000973F2">
        <w:t xml:space="preserve"> Estimating Process Vent Emissions for Large Facility</w:t>
      </w:r>
    </w:p>
    <w:tbl>
      <w:tblPr>
        <w:tblStyle w:val="PlainTable1"/>
        <w:tblW w:w="5000" w:type="pct"/>
        <w:jc w:val="left"/>
        <w:tblLayout w:type="fixed"/>
        <w:tblCellMar>
          <w:left w:w="115" w:type="dxa"/>
          <w:right w:w="115" w:type="dxa"/>
        </w:tblCellMar>
        <w:tblLook w:val="04A0" w:firstRow="1" w:lastRow="0" w:firstColumn="1" w:lastColumn="0" w:noHBand="0" w:noVBand="1"/>
      </w:tblPr>
      <w:tblGrid>
        <w:gridCol w:w="1321"/>
        <w:gridCol w:w="727"/>
        <w:gridCol w:w="859"/>
        <w:gridCol w:w="873"/>
        <w:gridCol w:w="871"/>
        <w:gridCol w:w="772"/>
        <w:gridCol w:w="936"/>
        <w:gridCol w:w="727"/>
        <w:gridCol w:w="844"/>
        <w:gridCol w:w="727"/>
        <w:gridCol w:w="933"/>
      </w:tblGrid>
      <w:tr w:rsidR="0025278A" w:rsidRPr="000973F2" w14:paraId="2AB0F567" w14:textId="77777777" w:rsidTr="00E86BE0">
        <w:trPr>
          <w:cnfStyle w:val="100000000000" w:firstRow="1" w:lastRow="0" w:firstColumn="0" w:lastColumn="0" w:oddVBand="0" w:evenVBand="0" w:oddHBand="0" w:evenHBand="0" w:firstRowFirstColumn="0" w:firstRowLastColumn="0" w:lastRowFirstColumn="0" w:lastRowLastColumn="0"/>
          <w:cantSplit/>
          <w:jc w:val="left"/>
        </w:trPr>
        <w:tc>
          <w:tcPr>
            <w:cnfStyle w:val="001000000000" w:firstRow="0" w:lastRow="0" w:firstColumn="1" w:lastColumn="0" w:oddVBand="0" w:evenVBand="0" w:oddHBand="0" w:evenHBand="0" w:firstRowFirstColumn="0" w:firstRowLastColumn="0" w:lastRowFirstColumn="0" w:lastRowLastColumn="0"/>
            <w:tcW w:w="1286" w:type="dxa"/>
            <w:vMerge w:val="restart"/>
            <w:noWrap/>
            <w:vAlign w:val="top"/>
            <w:hideMark/>
          </w:tcPr>
          <w:p w14:paraId="623389F0" w14:textId="77777777" w:rsidR="0025278A" w:rsidRPr="000973F2" w:rsidRDefault="0025278A" w:rsidP="00512C53">
            <w:pPr>
              <w:spacing w:before="40" w:after="40"/>
              <w:rPr>
                <w:rFonts w:ascii="Times New Roman" w:eastAsia="Times New Roman" w:hAnsi="Times New Roman" w:cs="Times New Roman"/>
                <w:bCs w:val="0"/>
                <w:sz w:val="18"/>
                <w:szCs w:val="18"/>
              </w:rPr>
            </w:pPr>
            <w:r w:rsidRPr="000973F2">
              <w:rPr>
                <w:rFonts w:ascii="Times New Roman" w:eastAsia="Times New Roman" w:hAnsi="Times New Roman" w:cs="Times New Roman"/>
                <w:sz w:val="18"/>
                <w:szCs w:val="18"/>
              </w:rPr>
              <w:t>Activity</w:t>
            </w:r>
          </w:p>
        </w:tc>
        <w:tc>
          <w:tcPr>
            <w:tcW w:w="6429" w:type="dxa"/>
            <w:gridSpan w:val="8"/>
            <w:noWrap/>
            <w:vAlign w:val="top"/>
            <w:hideMark/>
          </w:tcPr>
          <w:p w14:paraId="6E3F975F" w14:textId="77777777" w:rsidR="0025278A" w:rsidRPr="000973F2" w:rsidRDefault="0025278A" w:rsidP="00512C53">
            <w:pPr>
              <w:spacing w:before="40" w:after="40"/>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Cs w:val="0"/>
                <w:sz w:val="18"/>
                <w:szCs w:val="18"/>
              </w:rPr>
            </w:pPr>
            <w:r w:rsidRPr="000973F2">
              <w:rPr>
                <w:rFonts w:ascii="Times New Roman" w:eastAsia="Times New Roman" w:hAnsi="Times New Roman" w:cs="Times New Roman"/>
                <w:bCs w:val="0"/>
                <w:sz w:val="18"/>
                <w:szCs w:val="18"/>
              </w:rPr>
              <w:t>Labor Rates (per hour)</w:t>
            </w:r>
          </w:p>
        </w:tc>
        <w:tc>
          <w:tcPr>
            <w:tcW w:w="1615" w:type="dxa"/>
            <w:gridSpan w:val="2"/>
            <w:vMerge w:val="restart"/>
            <w:vAlign w:val="top"/>
            <w:hideMark/>
          </w:tcPr>
          <w:p w14:paraId="189F19E4" w14:textId="6768CFA8" w:rsidR="0025278A" w:rsidRPr="000973F2" w:rsidRDefault="0025278A" w:rsidP="00512C53">
            <w:pPr>
              <w:spacing w:before="40" w:after="40"/>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Cs w:val="0"/>
                <w:sz w:val="18"/>
                <w:szCs w:val="18"/>
              </w:rPr>
            </w:pPr>
            <w:r w:rsidRPr="000973F2">
              <w:rPr>
                <w:rFonts w:ascii="Times New Roman" w:eastAsia="Times New Roman" w:hAnsi="Times New Roman" w:cs="Times New Roman"/>
                <w:bCs w:val="0"/>
                <w:sz w:val="18"/>
                <w:szCs w:val="18"/>
              </w:rPr>
              <w:t xml:space="preserve">Total Labor Cost per Year per </w:t>
            </w:r>
            <w:r w:rsidR="003F42BB" w:rsidRPr="000973F2">
              <w:rPr>
                <w:rFonts w:ascii="Times New Roman" w:eastAsia="Times New Roman" w:hAnsi="Times New Roman" w:cs="Times New Roman"/>
                <w:bCs w:val="0"/>
                <w:sz w:val="18"/>
                <w:szCs w:val="18"/>
              </w:rPr>
              <w:t>Facility (2017$)</w:t>
            </w:r>
          </w:p>
        </w:tc>
      </w:tr>
      <w:tr w:rsidR="0025278A" w:rsidRPr="000973F2" w14:paraId="3E8688B1" w14:textId="77777777" w:rsidTr="00E86BE0">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1286" w:type="dxa"/>
            <w:vMerge/>
            <w:hideMark/>
          </w:tcPr>
          <w:p w14:paraId="61C34563" w14:textId="77777777" w:rsidR="0025278A" w:rsidRPr="000973F2" w:rsidRDefault="0025278A" w:rsidP="00512C53">
            <w:pPr>
              <w:spacing w:before="40" w:after="40"/>
              <w:rPr>
                <w:rFonts w:ascii="Times New Roman" w:eastAsia="Times New Roman" w:hAnsi="Times New Roman" w:cs="Times New Roman"/>
                <w:b/>
                <w:bCs w:val="0"/>
                <w:sz w:val="18"/>
                <w:szCs w:val="18"/>
              </w:rPr>
            </w:pPr>
          </w:p>
        </w:tc>
        <w:tc>
          <w:tcPr>
            <w:tcW w:w="1543" w:type="dxa"/>
            <w:gridSpan w:val="2"/>
            <w:noWrap/>
            <w:hideMark/>
          </w:tcPr>
          <w:p w14:paraId="1B49C00F" w14:textId="77777777" w:rsidR="0025278A" w:rsidRPr="000973F2" w:rsidRDefault="0025278A" w:rsidP="00512C53">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18"/>
                <w:szCs w:val="18"/>
              </w:rPr>
            </w:pPr>
            <w:r w:rsidRPr="000973F2">
              <w:rPr>
                <w:rFonts w:ascii="Times New Roman" w:eastAsia="Times New Roman" w:hAnsi="Times New Roman" w:cs="Times New Roman"/>
                <w:b/>
                <w:bCs/>
                <w:sz w:val="18"/>
                <w:szCs w:val="18"/>
              </w:rPr>
              <w:t>Lawyer</w:t>
            </w:r>
          </w:p>
        </w:tc>
        <w:tc>
          <w:tcPr>
            <w:tcW w:w="1696" w:type="dxa"/>
            <w:gridSpan w:val="2"/>
            <w:noWrap/>
            <w:hideMark/>
          </w:tcPr>
          <w:p w14:paraId="7759B1CC" w14:textId="77777777" w:rsidR="0025278A" w:rsidRPr="000973F2" w:rsidRDefault="0025278A" w:rsidP="00512C53">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18"/>
                <w:szCs w:val="18"/>
              </w:rPr>
            </w:pPr>
            <w:r w:rsidRPr="000973F2">
              <w:rPr>
                <w:rFonts w:ascii="Times New Roman" w:eastAsia="Times New Roman" w:hAnsi="Times New Roman" w:cs="Times New Roman"/>
                <w:b/>
                <w:bCs/>
                <w:sz w:val="18"/>
                <w:szCs w:val="18"/>
              </w:rPr>
              <w:t>Industrial Manager</w:t>
            </w:r>
          </w:p>
        </w:tc>
        <w:tc>
          <w:tcPr>
            <w:tcW w:w="1662" w:type="dxa"/>
            <w:gridSpan w:val="2"/>
            <w:hideMark/>
          </w:tcPr>
          <w:p w14:paraId="4706E1B6" w14:textId="5B01171C" w:rsidR="0025278A" w:rsidRPr="000973F2" w:rsidRDefault="0025278A" w:rsidP="00512C53">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18"/>
                <w:szCs w:val="18"/>
              </w:rPr>
            </w:pPr>
            <w:r w:rsidRPr="000973F2">
              <w:rPr>
                <w:rFonts w:ascii="Times New Roman" w:eastAsia="Times New Roman" w:hAnsi="Times New Roman" w:cs="Times New Roman"/>
                <w:b/>
                <w:bCs/>
                <w:sz w:val="18"/>
                <w:szCs w:val="18"/>
              </w:rPr>
              <w:t>Industrial Engineer/</w:t>
            </w:r>
            <w:r w:rsidR="00E86BE0" w:rsidRPr="000973F2">
              <w:rPr>
                <w:rFonts w:ascii="Times New Roman" w:eastAsia="Times New Roman" w:hAnsi="Times New Roman" w:cs="Times New Roman"/>
                <w:b/>
                <w:bCs/>
                <w:sz w:val="18"/>
                <w:szCs w:val="18"/>
              </w:rPr>
              <w:t xml:space="preserve"> </w:t>
            </w:r>
            <w:r w:rsidRPr="000973F2">
              <w:rPr>
                <w:rFonts w:ascii="Times New Roman" w:eastAsia="Times New Roman" w:hAnsi="Times New Roman" w:cs="Times New Roman"/>
                <w:b/>
                <w:bCs/>
                <w:sz w:val="18"/>
                <w:szCs w:val="18"/>
              </w:rPr>
              <w:t>Technician</w:t>
            </w:r>
          </w:p>
        </w:tc>
        <w:tc>
          <w:tcPr>
            <w:tcW w:w="1528" w:type="dxa"/>
            <w:gridSpan w:val="2"/>
            <w:hideMark/>
          </w:tcPr>
          <w:p w14:paraId="6E0DCDAB" w14:textId="77777777" w:rsidR="0025278A" w:rsidRPr="000973F2" w:rsidRDefault="0025278A" w:rsidP="00512C53">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18"/>
                <w:szCs w:val="18"/>
              </w:rPr>
            </w:pPr>
            <w:r w:rsidRPr="000973F2">
              <w:rPr>
                <w:rFonts w:ascii="Times New Roman" w:eastAsia="Times New Roman" w:hAnsi="Times New Roman" w:cs="Times New Roman"/>
                <w:b/>
                <w:bCs/>
                <w:sz w:val="18"/>
                <w:szCs w:val="18"/>
              </w:rPr>
              <w:t>Administrative Support</w:t>
            </w:r>
          </w:p>
        </w:tc>
        <w:tc>
          <w:tcPr>
            <w:tcW w:w="1615" w:type="dxa"/>
            <w:gridSpan w:val="2"/>
            <w:vMerge/>
            <w:hideMark/>
          </w:tcPr>
          <w:p w14:paraId="22980F0F" w14:textId="77777777" w:rsidR="0025278A" w:rsidRPr="000973F2" w:rsidRDefault="0025278A" w:rsidP="00512C53">
            <w:pPr>
              <w:spacing w:before="40" w:after="4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18"/>
                <w:szCs w:val="18"/>
              </w:rPr>
            </w:pPr>
          </w:p>
        </w:tc>
      </w:tr>
      <w:tr w:rsidR="00FE2D2C" w:rsidRPr="000973F2" w14:paraId="6C54192A" w14:textId="77777777" w:rsidTr="00E86BE0">
        <w:trPr>
          <w:cantSplit/>
        </w:trPr>
        <w:tc>
          <w:tcPr>
            <w:cnfStyle w:val="001000000000" w:firstRow="0" w:lastRow="0" w:firstColumn="1" w:lastColumn="0" w:oddVBand="0" w:evenVBand="0" w:oddHBand="0" w:evenHBand="0" w:firstRowFirstColumn="0" w:firstRowLastColumn="0" w:lastRowFirstColumn="0" w:lastRowLastColumn="0"/>
            <w:tcW w:w="1286" w:type="dxa"/>
            <w:vMerge/>
            <w:hideMark/>
          </w:tcPr>
          <w:p w14:paraId="4A36CAC3" w14:textId="77777777" w:rsidR="0025278A" w:rsidRPr="000973F2" w:rsidRDefault="0025278A" w:rsidP="00512C53">
            <w:pPr>
              <w:spacing w:before="40" w:after="40"/>
              <w:rPr>
                <w:rFonts w:ascii="Times New Roman" w:eastAsia="Times New Roman" w:hAnsi="Times New Roman" w:cs="Times New Roman"/>
                <w:b/>
                <w:bCs w:val="0"/>
                <w:sz w:val="18"/>
                <w:szCs w:val="18"/>
              </w:rPr>
            </w:pPr>
          </w:p>
        </w:tc>
        <w:tc>
          <w:tcPr>
            <w:tcW w:w="1543" w:type="dxa"/>
            <w:gridSpan w:val="2"/>
            <w:noWrap/>
            <w:hideMark/>
          </w:tcPr>
          <w:p w14:paraId="330D7A3A" w14:textId="77777777" w:rsidR="0025278A" w:rsidRPr="000973F2" w:rsidRDefault="0025278A" w:rsidP="00512C53">
            <w:pPr>
              <w:spacing w:before="40" w:after="4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sz w:val="18"/>
                <w:szCs w:val="18"/>
              </w:rPr>
            </w:pPr>
            <w:r w:rsidRPr="000973F2">
              <w:rPr>
                <w:rFonts w:ascii="Times New Roman" w:eastAsia="Times New Roman" w:hAnsi="Times New Roman" w:cs="Times New Roman"/>
                <w:b/>
                <w:bCs/>
                <w:sz w:val="18"/>
                <w:szCs w:val="18"/>
              </w:rPr>
              <w:t xml:space="preserve">$112.23 </w:t>
            </w:r>
          </w:p>
        </w:tc>
        <w:tc>
          <w:tcPr>
            <w:tcW w:w="1696" w:type="dxa"/>
            <w:gridSpan w:val="2"/>
            <w:noWrap/>
            <w:hideMark/>
          </w:tcPr>
          <w:p w14:paraId="2716BF51" w14:textId="77777777" w:rsidR="0025278A" w:rsidRPr="000973F2" w:rsidRDefault="0025278A" w:rsidP="00512C53">
            <w:pPr>
              <w:spacing w:before="40" w:after="4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sz w:val="18"/>
                <w:szCs w:val="18"/>
              </w:rPr>
            </w:pPr>
            <w:r w:rsidRPr="000973F2">
              <w:rPr>
                <w:rFonts w:ascii="Times New Roman" w:eastAsia="Times New Roman" w:hAnsi="Times New Roman" w:cs="Times New Roman"/>
                <w:b/>
                <w:bCs/>
                <w:sz w:val="18"/>
                <w:szCs w:val="18"/>
              </w:rPr>
              <w:t xml:space="preserve">$87.45 </w:t>
            </w:r>
          </w:p>
        </w:tc>
        <w:tc>
          <w:tcPr>
            <w:tcW w:w="1662" w:type="dxa"/>
            <w:gridSpan w:val="2"/>
            <w:noWrap/>
            <w:hideMark/>
          </w:tcPr>
          <w:p w14:paraId="2EB63B67" w14:textId="77777777" w:rsidR="0025278A" w:rsidRPr="000973F2" w:rsidRDefault="0025278A" w:rsidP="00512C53">
            <w:pPr>
              <w:spacing w:before="40" w:after="4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sz w:val="18"/>
                <w:szCs w:val="18"/>
              </w:rPr>
            </w:pPr>
            <w:r w:rsidRPr="000973F2">
              <w:rPr>
                <w:rFonts w:ascii="Times New Roman" w:eastAsia="Times New Roman" w:hAnsi="Times New Roman" w:cs="Times New Roman"/>
                <w:b/>
                <w:bCs/>
                <w:sz w:val="18"/>
                <w:szCs w:val="18"/>
              </w:rPr>
              <w:t xml:space="preserve">$71.45 </w:t>
            </w:r>
          </w:p>
        </w:tc>
        <w:tc>
          <w:tcPr>
            <w:tcW w:w="1528" w:type="dxa"/>
            <w:gridSpan w:val="2"/>
            <w:noWrap/>
            <w:hideMark/>
          </w:tcPr>
          <w:p w14:paraId="2011A201" w14:textId="77777777" w:rsidR="0025278A" w:rsidRPr="000973F2" w:rsidRDefault="0025278A" w:rsidP="00512C53">
            <w:pPr>
              <w:spacing w:before="40" w:after="4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sz w:val="18"/>
                <w:szCs w:val="18"/>
              </w:rPr>
            </w:pPr>
            <w:r w:rsidRPr="000973F2">
              <w:rPr>
                <w:rFonts w:ascii="Times New Roman" w:eastAsia="Times New Roman" w:hAnsi="Times New Roman" w:cs="Times New Roman"/>
                <w:b/>
                <w:bCs/>
                <w:sz w:val="18"/>
                <w:szCs w:val="18"/>
              </w:rPr>
              <w:t xml:space="preserve">$36.28 </w:t>
            </w:r>
          </w:p>
        </w:tc>
        <w:tc>
          <w:tcPr>
            <w:tcW w:w="1615" w:type="dxa"/>
            <w:gridSpan w:val="2"/>
            <w:vMerge/>
            <w:hideMark/>
          </w:tcPr>
          <w:p w14:paraId="5F80D40E" w14:textId="77777777" w:rsidR="0025278A" w:rsidRPr="000973F2" w:rsidRDefault="0025278A" w:rsidP="00512C53">
            <w:pPr>
              <w:spacing w:before="40" w:after="4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sz w:val="18"/>
                <w:szCs w:val="18"/>
              </w:rPr>
            </w:pPr>
          </w:p>
        </w:tc>
      </w:tr>
      <w:tr w:rsidR="00302E41" w:rsidRPr="000973F2" w14:paraId="1ED6B6A5" w14:textId="77777777" w:rsidTr="00512C53">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1286" w:type="dxa"/>
            <w:vMerge/>
            <w:hideMark/>
          </w:tcPr>
          <w:p w14:paraId="715658AA" w14:textId="77777777" w:rsidR="0025278A" w:rsidRPr="000973F2" w:rsidRDefault="0025278A" w:rsidP="00512C53">
            <w:pPr>
              <w:spacing w:before="40" w:after="40"/>
              <w:rPr>
                <w:rFonts w:ascii="Times New Roman" w:eastAsia="Times New Roman" w:hAnsi="Times New Roman" w:cs="Times New Roman"/>
                <w:b/>
                <w:bCs w:val="0"/>
                <w:sz w:val="18"/>
                <w:szCs w:val="18"/>
              </w:rPr>
            </w:pPr>
          </w:p>
        </w:tc>
        <w:tc>
          <w:tcPr>
            <w:tcW w:w="707" w:type="dxa"/>
            <w:tcMar>
              <w:left w:w="29" w:type="dxa"/>
              <w:right w:w="29" w:type="dxa"/>
            </w:tcMar>
            <w:hideMark/>
          </w:tcPr>
          <w:p w14:paraId="114F42D8" w14:textId="117CF705" w:rsidR="0025278A" w:rsidRPr="000973F2" w:rsidRDefault="0025278A" w:rsidP="00512C53">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18"/>
                <w:szCs w:val="18"/>
              </w:rPr>
            </w:pPr>
            <w:r w:rsidRPr="000973F2">
              <w:rPr>
                <w:rFonts w:ascii="Times New Roman" w:eastAsia="Times New Roman" w:hAnsi="Times New Roman" w:cs="Times New Roman"/>
                <w:b/>
                <w:bCs/>
                <w:sz w:val="18"/>
                <w:szCs w:val="18"/>
              </w:rPr>
              <w:t>Initial Year</w:t>
            </w:r>
            <w:r w:rsidR="00512C53" w:rsidRPr="000973F2">
              <w:rPr>
                <w:rFonts w:ascii="Times New Roman" w:eastAsia="Times New Roman" w:hAnsi="Times New Roman" w:cs="Times New Roman"/>
                <w:b/>
                <w:bCs/>
                <w:sz w:val="18"/>
                <w:szCs w:val="18"/>
              </w:rPr>
              <w:t xml:space="preserve"> </w:t>
            </w:r>
            <w:r w:rsidRPr="000973F2">
              <w:rPr>
                <w:rFonts w:ascii="Times New Roman" w:eastAsia="Times New Roman" w:hAnsi="Times New Roman" w:cs="Times New Roman"/>
                <w:b/>
                <w:bCs/>
                <w:sz w:val="18"/>
                <w:szCs w:val="18"/>
              </w:rPr>
              <w:t>Hours</w:t>
            </w:r>
          </w:p>
        </w:tc>
        <w:tc>
          <w:tcPr>
            <w:tcW w:w="836" w:type="dxa"/>
            <w:tcMar>
              <w:left w:w="29" w:type="dxa"/>
              <w:right w:w="29" w:type="dxa"/>
            </w:tcMar>
            <w:hideMark/>
          </w:tcPr>
          <w:p w14:paraId="02A3C4C1" w14:textId="335DB23D" w:rsidR="0025278A" w:rsidRPr="000973F2" w:rsidRDefault="0025278A" w:rsidP="00512C53">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18"/>
                <w:szCs w:val="18"/>
              </w:rPr>
            </w:pPr>
            <w:r w:rsidRPr="000973F2">
              <w:rPr>
                <w:rFonts w:ascii="Times New Roman" w:eastAsia="Times New Roman" w:hAnsi="Times New Roman" w:cs="Times New Roman"/>
                <w:b/>
                <w:bCs/>
                <w:sz w:val="18"/>
                <w:szCs w:val="18"/>
              </w:rPr>
              <w:t>Subseq. Year</w:t>
            </w:r>
            <w:r w:rsidR="00512C53" w:rsidRPr="000973F2">
              <w:rPr>
                <w:rFonts w:ascii="Times New Roman" w:eastAsia="Times New Roman" w:hAnsi="Times New Roman" w:cs="Times New Roman"/>
                <w:b/>
                <w:bCs/>
                <w:sz w:val="18"/>
                <w:szCs w:val="18"/>
              </w:rPr>
              <w:t xml:space="preserve"> </w:t>
            </w:r>
            <w:r w:rsidRPr="000973F2">
              <w:rPr>
                <w:rFonts w:ascii="Times New Roman" w:eastAsia="Times New Roman" w:hAnsi="Times New Roman" w:cs="Times New Roman"/>
                <w:b/>
                <w:bCs/>
                <w:sz w:val="18"/>
                <w:szCs w:val="18"/>
              </w:rPr>
              <w:t>Hours</w:t>
            </w:r>
          </w:p>
        </w:tc>
        <w:tc>
          <w:tcPr>
            <w:tcW w:w="849" w:type="dxa"/>
            <w:tcMar>
              <w:left w:w="29" w:type="dxa"/>
              <w:right w:w="29" w:type="dxa"/>
            </w:tcMar>
            <w:hideMark/>
          </w:tcPr>
          <w:p w14:paraId="5F895DFB" w14:textId="05068D30" w:rsidR="0025278A" w:rsidRPr="000973F2" w:rsidRDefault="0025278A" w:rsidP="00512C53">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18"/>
                <w:szCs w:val="18"/>
              </w:rPr>
            </w:pPr>
            <w:r w:rsidRPr="000973F2">
              <w:rPr>
                <w:rFonts w:ascii="Times New Roman" w:eastAsia="Times New Roman" w:hAnsi="Times New Roman" w:cs="Times New Roman"/>
                <w:b/>
                <w:bCs/>
                <w:sz w:val="18"/>
                <w:szCs w:val="18"/>
              </w:rPr>
              <w:t>Initial Year</w:t>
            </w:r>
            <w:r w:rsidR="00512C53" w:rsidRPr="000973F2">
              <w:rPr>
                <w:rFonts w:ascii="Times New Roman" w:eastAsia="Times New Roman" w:hAnsi="Times New Roman" w:cs="Times New Roman"/>
                <w:b/>
                <w:bCs/>
                <w:sz w:val="18"/>
                <w:szCs w:val="18"/>
              </w:rPr>
              <w:t xml:space="preserve"> </w:t>
            </w:r>
            <w:r w:rsidRPr="000973F2">
              <w:rPr>
                <w:rFonts w:ascii="Times New Roman" w:eastAsia="Times New Roman" w:hAnsi="Times New Roman" w:cs="Times New Roman"/>
                <w:b/>
                <w:bCs/>
                <w:sz w:val="18"/>
                <w:szCs w:val="18"/>
              </w:rPr>
              <w:t>Hours</w:t>
            </w:r>
          </w:p>
        </w:tc>
        <w:tc>
          <w:tcPr>
            <w:tcW w:w="847" w:type="dxa"/>
            <w:tcMar>
              <w:left w:w="29" w:type="dxa"/>
              <w:right w:w="29" w:type="dxa"/>
            </w:tcMar>
            <w:hideMark/>
          </w:tcPr>
          <w:p w14:paraId="4DA08909" w14:textId="5FA4F582" w:rsidR="0025278A" w:rsidRPr="000973F2" w:rsidRDefault="0025278A" w:rsidP="00512C53">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18"/>
                <w:szCs w:val="18"/>
              </w:rPr>
            </w:pPr>
            <w:r w:rsidRPr="000973F2">
              <w:rPr>
                <w:rFonts w:ascii="Times New Roman" w:eastAsia="Times New Roman" w:hAnsi="Times New Roman" w:cs="Times New Roman"/>
                <w:b/>
                <w:bCs/>
                <w:sz w:val="18"/>
                <w:szCs w:val="18"/>
              </w:rPr>
              <w:t>Subseq. Year</w:t>
            </w:r>
            <w:r w:rsidR="00512C53" w:rsidRPr="000973F2">
              <w:rPr>
                <w:rFonts w:ascii="Times New Roman" w:eastAsia="Times New Roman" w:hAnsi="Times New Roman" w:cs="Times New Roman"/>
                <w:b/>
                <w:bCs/>
                <w:sz w:val="18"/>
                <w:szCs w:val="18"/>
              </w:rPr>
              <w:t xml:space="preserve"> </w:t>
            </w:r>
            <w:r w:rsidRPr="000973F2">
              <w:rPr>
                <w:rFonts w:ascii="Times New Roman" w:eastAsia="Times New Roman" w:hAnsi="Times New Roman" w:cs="Times New Roman"/>
                <w:b/>
                <w:bCs/>
                <w:sz w:val="18"/>
                <w:szCs w:val="18"/>
              </w:rPr>
              <w:t>Hours</w:t>
            </w:r>
          </w:p>
        </w:tc>
        <w:tc>
          <w:tcPr>
            <w:tcW w:w="751" w:type="dxa"/>
            <w:tcMar>
              <w:left w:w="29" w:type="dxa"/>
              <w:right w:w="29" w:type="dxa"/>
            </w:tcMar>
            <w:hideMark/>
          </w:tcPr>
          <w:p w14:paraId="3A91951F" w14:textId="6FB1D1C2" w:rsidR="0025278A" w:rsidRPr="000973F2" w:rsidRDefault="0025278A" w:rsidP="00512C53">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18"/>
                <w:szCs w:val="18"/>
              </w:rPr>
            </w:pPr>
            <w:r w:rsidRPr="000973F2">
              <w:rPr>
                <w:rFonts w:ascii="Times New Roman" w:eastAsia="Times New Roman" w:hAnsi="Times New Roman" w:cs="Times New Roman"/>
                <w:b/>
                <w:bCs/>
                <w:sz w:val="18"/>
                <w:szCs w:val="18"/>
              </w:rPr>
              <w:t>Initial Year</w:t>
            </w:r>
            <w:r w:rsidR="00512C53" w:rsidRPr="000973F2">
              <w:rPr>
                <w:rFonts w:ascii="Times New Roman" w:eastAsia="Times New Roman" w:hAnsi="Times New Roman" w:cs="Times New Roman"/>
                <w:b/>
                <w:bCs/>
                <w:sz w:val="18"/>
                <w:szCs w:val="18"/>
              </w:rPr>
              <w:t xml:space="preserve"> </w:t>
            </w:r>
            <w:r w:rsidRPr="000973F2">
              <w:rPr>
                <w:rFonts w:ascii="Times New Roman" w:eastAsia="Times New Roman" w:hAnsi="Times New Roman" w:cs="Times New Roman"/>
                <w:b/>
                <w:bCs/>
                <w:sz w:val="18"/>
                <w:szCs w:val="18"/>
              </w:rPr>
              <w:t>Hours</w:t>
            </w:r>
          </w:p>
        </w:tc>
        <w:tc>
          <w:tcPr>
            <w:tcW w:w="911" w:type="dxa"/>
            <w:tcMar>
              <w:left w:w="29" w:type="dxa"/>
              <w:right w:w="29" w:type="dxa"/>
            </w:tcMar>
            <w:hideMark/>
          </w:tcPr>
          <w:p w14:paraId="28253EB1" w14:textId="1EC6A1D3" w:rsidR="0025278A" w:rsidRPr="000973F2" w:rsidRDefault="0025278A" w:rsidP="00512C53">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18"/>
                <w:szCs w:val="18"/>
              </w:rPr>
            </w:pPr>
            <w:r w:rsidRPr="000973F2">
              <w:rPr>
                <w:rFonts w:ascii="Times New Roman" w:eastAsia="Times New Roman" w:hAnsi="Times New Roman" w:cs="Times New Roman"/>
                <w:b/>
                <w:bCs/>
                <w:sz w:val="18"/>
                <w:szCs w:val="18"/>
              </w:rPr>
              <w:t>Subseq. Year</w:t>
            </w:r>
            <w:r w:rsidR="00512C53" w:rsidRPr="000973F2">
              <w:rPr>
                <w:rFonts w:ascii="Times New Roman" w:eastAsia="Times New Roman" w:hAnsi="Times New Roman" w:cs="Times New Roman"/>
                <w:b/>
                <w:bCs/>
                <w:sz w:val="18"/>
                <w:szCs w:val="18"/>
              </w:rPr>
              <w:t xml:space="preserve"> </w:t>
            </w:r>
            <w:r w:rsidRPr="000973F2">
              <w:rPr>
                <w:rFonts w:ascii="Times New Roman" w:eastAsia="Times New Roman" w:hAnsi="Times New Roman" w:cs="Times New Roman"/>
                <w:b/>
                <w:bCs/>
                <w:sz w:val="18"/>
                <w:szCs w:val="18"/>
              </w:rPr>
              <w:t>Hours</w:t>
            </w:r>
          </w:p>
        </w:tc>
        <w:tc>
          <w:tcPr>
            <w:tcW w:w="707" w:type="dxa"/>
            <w:tcMar>
              <w:left w:w="29" w:type="dxa"/>
              <w:right w:w="29" w:type="dxa"/>
            </w:tcMar>
            <w:hideMark/>
          </w:tcPr>
          <w:p w14:paraId="15D4CE10" w14:textId="7FEBEB55" w:rsidR="0025278A" w:rsidRPr="000973F2" w:rsidRDefault="0025278A" w:rsidP="00512C53">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18"/>
                <w:szCs w:val="18"/>
              </w:rPr>
            </w:pPr>
            <w:r w:rsidRPr="000973F2">
              <w:rPr>
                <w:rFonts w:ascii="Times New Roman" w:eastAsia="Times New Roman" w:hAnsi="Times New Roman" w:cs="Times New Roman"/>
                <w:b/>
                <w:bCs/>
                <w:sz w:val="18"/>
                <w:szCs w:val="18"/>
              </w:rPr>
              <w:t>Initial Year</w:t>
            </w:r>
            <w:r w:rsidR="00512C53" w:rsidRPr="000973F2">
              <w:rPr>
                <w:rFonts w:ascii="Times New Roman" w:eastAsia="Times New Roman" w:hAnsi="Times New Roman" w:cs="Times New Roman"/>
                <w:b/>
                <w:bCs/>
                <w:sz w:val="18"/>
                <w:szCs w:val="18"/>
              </w:rPr>
              <w:t xml:space="preserve"> </w:t>
            </w:r>
            <w:r w:rsidRPr="000973F2">
              <w:rPr>
                <w:rFonts w:ascii="Times New Roman" w:eastAsia="Times New Roman" w:hAnsi="Times New Roman" w:cs="Times New Roman"/>
                <w:b/>
                <w:bCs/>
                <w:sz w:val="18"/>
                <w:szCs w:val="18"/>
              </w:rPr>
              <w:t>Hours</w:t>
            </w:r>
          </w:p>
        </w:tc>
        <w:tc>
          <w:tcPr>
            <w:tcW w:w="821" w:type="dxa"/>
            <w:tcMar>
              <w:left w:w="29" w:type="dxa"/>
              <w:right w:w="29" w:type="dxa"/>
            </w:tcMar>
            <w:hideMark/>
          </w:tcPr>
          <w:p w14:paraId="239D4BB5" w14:textId="3735032C" w:rsidR="0025278A" w:rsidRPr="000973F2" w:rsidRDefault="0025278A" w:rsidP="00512C53">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18"/>
                <w:szCs w:val="18"/>
              </w:rPr>
            </w:pPr>
            <w:r w:rsidRPr="000973F2">
              <w:rPr>
                <w:rFonts w:ascii="Times New Roman" w:eastAsia="Times New Roman" w:hAnsi="Times New Roman" w:cs="Times New Roman"/>
                <w:b/>
                <w:bCs/>
                <w:sz w:val="18"/>
                <w:szCs w:val="18"/>
              </w:rPr>
              <w:t>Subseq. Year</w:t>
            </w:r>
            <w:r w:rsidR="00512C53" w:rsidRPr="000973F2">
              <w:rPr>
                <w:rFonts w:ascii="Times New Roman" w:eastAsia="Times New Roman" w:hAnsi="Times New Roman" w:cs="Times New Roman"/>
                <w:b/>
                <w:bCs/>
                <w:sz w:val="18"/>
                <w:szCs w:val="18"/>
              </w:rPr>
              <w:t xml:space="preserve"> </w:t>
            </w:r>
            <w:r w:rsidRPr="000973F2">
              <w:rPr>
                <w:rFonts w:ascii="Times New Roman" w:eastAsia="Times New Roman" w:hAnsi="Times New Roman" w:cs="Times New Roman"/>
                <w:b/>
                <w:bCs/>
                <w:sz w:val="18"/>
                <w:szCs w:val="18"/>
              </w:rPr>
              <w:t>Hours</w:t>
            </w:r>
          </w:p>
        </w:tc>
        <w:tc>
          <w:tcPr>
            <w:tcW w:w="707" w:type="dxa"/>
            <w:tcMar>
              <w:left w:w="29" w:type="dxa"/>
              <w:right w:w="29" w:type="dxa"/>
            </w:tcMar>
            <w:hideMark/>
          </w:tcPr>
          <w:p w14:paraId="646E1B85" w14:textId="77777777" w:rsidR="0025278A" w:rsidRPr="000973F2" w:rsidRDefault="0025278A" w:rsidP="00512C53">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18"/>
                <w:szCs w:val="18"/>
              </w:rPr>
            </w:pPr>
            <w:r w:rsidRPr="000973F2">
              <w:rPr>
                <w:rFonts w:ascii="Times New Roman" w:eastAsia="Times New Roman" w:hAnsi="Times New Roman" w:cs="Times New Roman"/>
                <w:b/>
                <w:bCs/>
                <w:sz w:val="18"/>
                <w:szCs w:val="18"/>
              </w:rPr>
              <w:t>Initial Year</w:t>
            </w:r>
          </w:p>
        </w:tc>
        <w:tc>
          <w:tcPr>
            <w:tcW w:w="908" w:type="dxa"/>
            <w:tcMar>
              <w:left w:w="29" w:type="dxa"/>
              <w:right w:w="29" w:type="dxa"/>
            </w:tcMar>
            <w:hideMark/>
          </w:tcPr>
          <w:p w14:paraId="6F22A311" w14:textId="77777777" w:rsidR="0025278A" w:rsidRPr="000973F2" w:rsidRDefault="0025278A" w:rsidP="00512C53">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18"/>
                <w:szCs w:val="18"/>
              </w:rPr>
            </w:pPr>
            <w:r w:rsidRPr="000973F2">
              <w:rPr>
                <w:rFonts w:ascii="Times New Roman" w:eastAsia="Times New Roman" w:hAnsi="Times New Roman" w:cs="Times New Roman"/>
                <w:b/>
                <w:bCs/>
                <w:sz w:val="18"/>
                <w:szCs w:val="18"/>
              </w:rPr>
              <w:t>Subseq. Year</w:t>
            </w:r>
          </w:p>
        </w:tc>
      </w:tr>
      <w:tr w:rsidR="00E86BE0" w:rsidRPr="000973F2" w14:paraId="3B487662" w14:textId="77777777" w:rsidTr="00512C53">
        <w:trPr>
          <w:cantSplit/>
        </w:trPr>
        <w:tc>
          <w:tcPr>
            <w:cnfStyle w:val="001000000000" w:firstRow="0" w:lastRow="0" w:firstColumn="1" w:lastColumn="0" w:oddVBand="0" w:evenVBand="0" w:oddHBand="0" w:evenHBand="0" w:firstRowFirstColumn="0" w:firstRowLastColumn="0" w:lastRowFirstColumn="0" w:lastRowLastColumn="0"/>
            <w:tcW w:w="1286" w:type="dxa"/>
            <w:tcMar>
              <w:right w:w="14" w:type="dxa"/>
            </w:tcMar>
            <w:hideMark/>
          </w:tcPr>
          <w:p w14:paraId="2E2987F9" w14:textId="77777777" w:rsidR="0025278A" w:rsidRPr="000973F2" w:rsidRDefault="0025278A" w:rsidP="00512C53">
            <w:pPr>
              <w:spacing w:before="40" w:after="4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Planning</w:t>
            </w:r>
          </w:p>
        </w:tc>
        <w:tc>
          <w:tcPr>
            <w:tcW w:w="707" w:type="dxa"/>
            <w:noWrap/>
            <w:hideMark/>
          </w:tcPr>
          <w:p w14:paraId="0A521F7F" w14:textId="77777777" w:rsidR="0025278A" w:rsidRPr="000973F2" w:rsidRDefault="0025278A" w:rsidP="00512C53">
            <w:pPr>
              <w:spacing w:before="40" w:after="4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0</w:t>
            </w:r>
          </w:p>
        </w:tc>
        <w:tc>
          <w:tcPr>
            <w:tcW w:w="836" w:type="dxa"/>
            <w:noWrap/>
            <w:hideMark/>
          </w:tcPr>
          <w:p w14:paraId="0B8EFBEB" w14:textId="77777777" w:rsidR="0025278A" w:rsidRPr="000973F2" w:rsidRDefault="0025278A" w:rsidP="00512C53">
            <w:pPr>
              <w:spacing w:before="40" w:after="4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2</w:t>
            </w:r>
          </w:p>
        </w:tc>
        <w:tc>
          <w:tcPr>
            <w:tcW w:w="849" w:type="dxa"/>
            <w:noWrap/>
            <w:hideMark/>
          </w:tcPr>
          <w:p w14:paraId="0763235E" w14:textId="77777777" w:rsidR="0025278A" w:rsidRPr="000973F2" w:rsidRDefault="0025278A" w:rsidP="00512C53">
            <w:pPr>
              <w:spacing w:before="40" w:after="4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0</w:t>
            </w:r>
          </w:p>
        </w:tc>
        <w:tc>
          <w:tcPr>
            <w:tcW w:w="847" w:type="dxa"/>
            <w:noWrap/>
            <w:hideMark/>
          </w:tcPr>
          <w:p w14:paraId="01507B15" w14:textId="77777777" w:rsidR="0025278A" w:rsidRPr="000973F2" w:rsidRDefault="0025278A" w:rsidP="00512C53">
            <w:pPr>
              <w:tabs>
                <w:tab w:val="decimal" w:pos="391"/>
              </w:tabs>
              <w:spacing w:before="40" w:after="4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1.0</w:t>
            </w:r>
          </w:p>
        </w:tc>
        <w:tc>
          <w:tcPr>
            <w:tcW w:w="751" w:type="dxa"/>
            <w:noWrap/>
            <w:hideMark/>
          </w:tcPr>
          <w:p w14:paraId="078E955F" w14:textId="77777777" w:rsidR="0025278A" w:rsidRPr="000973F2" w:rsidRDefault="0025278A" w:rsidP="00512C53">
            <w:pPr>
              <w:spacing w:before="40" w:after="4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0</w:t>
            </w:r>
          </w:p>
        </w:tc>
        <w:tc>
          <w:tcPr>
            <w:tcW w:w="911" w:type="dxa"/>
            <w:noWrap/>
            <w:hideMark/>
          </w:tcPr>
          <w:p w14:paraId="04050E98" w14:textId="77777777" w:rsidR="0025278A" w:rsidRPr="000973F2" w:rsidRDefault="0025278A" w:rsidP="00512C53">
            <w:pPr>
              <w:tabs>
                <w:tab w:val="decimal" w:pos="481"/>
              </w:tabs>
              <w:spacing w:before="40" w:after="4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1</w:t>
            </w:r>
          </w:p>
        </w:tc>
        <w:tc>
          <w:tcPr>
            <w:tcW w:w="707" w:type="dxa"/>
            <w:noWrap/>
            <w:hideMark/>
          </w:tcPr>
          <w:p w14:paraId="510D9B39" w14:textId="77777777" w:rsidR="0025278A" w:rsidRPr="000973F2" w:rsidRDefault="0025278A" w:rsidP="00512C53">
            <w:pPr>
              <w:spacing w:before="40" w:after="4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0</w:t>
            </w:r>
          </w:p>
        </w:tc>
        <w:tc>
          <w:tcPr>
            <w:tcW w:w="821" w:type="dxa"/>
            <w:noWrap/>
            <w:hideMark/>
          </w:tcPr>
          <w:p w14:paraId="1208AC2B" w14:textId="77777777" w:rsidR="0025278A" w:rsidRPr="000973F2" w:rsidRDefault="0025278A" w:rsidP="00512C53">
            <w:pPr>
              <w:tabs>
                <w:tab w:val="decimal" w:pos="376"/>
              </w:tabs>
              <w:spacing w:before="40" w:after="4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0</w:t>
            </w:r>
          </w:p>
        </w:tc>
        <w:tc>
          <w:tcPr>
            <w:tcW w:w="707" w:type="dxa"/>
            <w:noWrap/>
            <w:hideMark/>
          </w:tcPr>
          <w:p w14:paraId="71C1B04E" w14:textId="07C78442" w:rsidR="0025278A" w:rsidRPr="000973F2" w:rsidRDefault="0025278A" w:rsidP="00512C53">
            <w:pPr>
              <w:spacing w:before="40" w:after="4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$0</w:t>
            </w:r>
          </w:p>
        </w:tc>
        <w:tc>
          <w:tcPr>
            <w:tcW w:w="908" w:type="dxa"/>
            <w:noWrap/>
            <w:hideMark/>
          </w:tcPr>
          <w:p w14:paraId="2E959381" w14:textId="0C298037" w:rsidR="0025278A" w:rsidRPr="000973F2" w:rsidRDefault="0025278A" w:rsidP="00512C53">
            <w:pPr>
              <w:tabs>
                <w:tab w:val="decimal" w:pos="631"/>
              </w:tabs>
              <w:spacing w:before="40" w:after="4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$383</w:t>
            </w:r>
          </w:p>
        </w:tc>
      </w:tr>
      <w:tr w:rsidR="00B42F50" w:rsidRPr="000973F2" w14:paraId="43DBAC07" w14:textId="77777777" w:rsidTr="00512C53">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1286" w:type="dxa"/>
            <w:tcMar>
              <w:right w:w="14" w:type="dxa"/>
            </w:tcMar>
            <w:hideMark/>
          </w:tcPr>
          <w:p w14:paraId="65F2621E" w14:textId="77777777" w:rsidR="0025278A" w:rsidRPr="000973F2" w:rsidRDefault="0025278A" w:rsidP="00512C53">
            <w:pPr>
              <w:spacing w:before="40" w:after="4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QA/QC</w:t>
            </w:r>
          </w:p>
        </w:tc>
        <w:tc>
          <w:tcPr>
            <w:tcW w:w="707" w:type="dxa"/>
            <w:noWrap/>
            <w:hideMark/>
          </w:tcPr>
          <w:p w14:paraId="1EAB14E8" w14:textId="77777777" w:rsidR="0025278A" w:rsidRPr="000973F2" w:rsidRDefault="0025278A" w:rsidP="00512C53">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0</w:t>
            </w:r>
          </w:p>
        </w:tc>
        <w:tc>
          <w:tcPr>
            <w:tcW w:w="836" w:type="dxa"/>
            <w:noWrap/>
            <w:hideMark/>
          </w:tcPr>
          <w:p w14:paraId="244DD35D" w14:textId="77777777" w:rsidR="0025278A" w:rsidRPr="000973F2" w:rsidRDefault="0025278A" w:rsidP="00512C53">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0</w:t>
            </w:r>
          </w:p>
        </w:tc>
        <w:tc>
          <w:tcPr>
            <w:tcW w:w="849" w:type="dxa"/>
            <w:noWrap/>
            <w:hideMark/>
          </w:tcPr>
          <w:p w14:paraId="58B24A69" w14:textId="77777777" w:rsidR="0025278A" w:rsidRPr="000973F2" w:rsidRDefault="0025278A" w:rsidP="00512C53">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0</w:t>
            </w:r>
          </w:p>
        </w:tc>
        <w:tc>
          <w:tcPr>
            <w:tcW w:w="847" w:type="dxa"/>
            <w:noWrap/>
            <w:hideMark/>
          </w:tcPr>
          <w:p w14:paraId="4ADD7DC1" w14:textId="77777777" w:rsidR="0025278A" w:rsidRPr="000973F2" w:rsidRDefault="0025278A" w:rsidP="00512C53">
            <w:pPr>
              <w:tabs>
                <w:tab w:val="decimal" w:pos="391"/>
              </w:tabs>
              <w:spacing w:before="40" w:after="4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5.0</w:t>
            </w:r>
          </w:p>
        </w:tc>
        <w:tc>
          <w:tcPr>
            <w:tcW w:w="751" w:type="dxa"/>
            <w:noWrap/>
            <w:hideMark/>
          </w:tcPr>
          <w:p w14:paraId="2E2E2643" w14:textId="77777777" w:rsidR="0025278A" w:rsidRPr="000973F2" w:rsidRDefault="0025278A" w:rsidP="00512C53">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0</w:t>
            </w:r>
          </w:p>
        </w:tc>
        <w:tc>
          <w:tcPr>
            <w:tcW w:w="911" w:type="dxa"/>
            <w:noWrap/>
            <w:hideMark/>
          </w:tcPr>
          <w:p w14:paraId="3B7EA751" w14:textId="77777777" w:rsidR="0025278A" w:rsidRPr="000973F2" w:rsidRDefault="0025278A" w:rsidP="00512C53">
            <w:pPr>
              <w:tabs>
                <w:tab w:val="decimal" w:pos="481"/>
              </w:tabs>
              <w:spacing w:before="40" w:after="4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0</w:t>
            </w:r>
          </w:p>
        </w:tc>
        <w:tc>
          <w:tcPr>
            <w:tcW w:w="707" w:type="dxa"/>
            <w:noWrap/>
            <w:hideMark/>
          </w:tcPr>
          <w:p w14:paraId="04E59324" w14:textId="77777777" w:rsidR="0025278A" w:rsidRPr="000973F2" w:rsidRDefault="0025278A" w:rsidP="00512C53">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0</w:t>
            </w:r>
          </w:p>
        </w:tc>
        <w:tc>
          <w:tcPr>
            <w:tcW w:w="821" w:type="dxa"/>
            <w:noWrap/>
            <w:hideMark/>
          </w:tcPr>
          <w:p w14:paraId="764A6ED8" w14:textId="77777777" w:rsidR="0025278A" w:rsidRPr="000973F2" w:rsidRDefault="0025278A" w:rsidP="00512C53">
            <w:pPr>
              <w:tabs>
                <w:tab w:val="decimal" w:pos="376"/>
              </w:tabs>
              <w:spacing w:before="40" w:after="4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0</w:t>
            </w:r>
          </w:p>
        </w:tc>
        <w:tc>
          <w:tcPr>
            <w:tcW w:w="707" w:type="dxa"/>
            <w:noWrap/>
            <w:hideMark/>
          </w:tcPr>
          <w:p w14:paraId="208B391A" w14:textId="2F288636" w:rsidR="0025278A" w:rsidRPr="000973F2" w:rsidRDefault="0025278A" w:rsidP="00512C53">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$0</w:t>
            </w:r>
          </w:p>
        </w:tc>
        <w:tc>
          <w:tcPr>
            <w:tcW w:w="908" w:type="dxa"/>
            <w:noWrap/>
            <w:hideMark/>
          </w:tcPr>
          <w:p w14:paraId="181A4BD3" w14:textId="40B1A35A" w:rsidR="0025278A" w:rsidRPr="000973F2" w:rsidRDefault="0025278A" w:rsidP="00512C53">
            <w:pPr>
              <w:tabs>
                <w:tab w:val="decimal" w:pos="631"/>
              </w:tabs>
              <w:spacing w:before="40" w:after="4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$437</w:t>
            </w:r>
          </w:p>
        </w:tc>
      </w:tr>
      <w:tr w:rsidR="00E86BE0" w:rsidRPr="000973F2" w14:paraId="203016F1" w14:textId="77777777" w:rsidTr="00512C53">
        <w:trPr>
          <w:cantSplit/>
        </w:trPr>
        <w:tc>
          <w:tcPr>
            <w:cnfStyle w:val="001000000000" w:firstRow="0" w:lastRow="0" w:firstColumn="1" w:lastColumn="0" w:oddVBand="0" w:evenVBand="0" w:oddHBand="0" w:evenHBand="0" w:firstRowFirstColumn="0" w:firstRowLastColumn="0" w:lastRowFirstColumn="0" w:lastRowLastColumn="0"/>
            <w:tcW w:w="1286" w:type="dxa"/>
            <w:tcMar>
              <w:right w:w="14" w:type="dxa"/>
            </w:tcMar>
            <w:hideMark/>
          </w:tcPr>
          <w:p w14:paraId="5D63623B" w14:textId="77777777" w:rsidR="0025278A" w:rsidRPr="000973F2" w:rsidRDefault="0025278A" w:rsidP="00512C53">
            <w:pPr>
              <w:spacing w:before="40" w:after="4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Recordkeeping</w:t>
            </w:r>
          </w:p>
        </w:tc>
        <w:tc>
          <w:tcPr>
            <w:tcW w:w="707" w:type="dxa"/>
            <w:noWrap/>
            <w:hideMark/>
          </w:tcPr>
          <w:p w14:paraId="48BC5B88" w14:textId="77777777" w:rsidR="0025278A" w:rsidRPr="000973F2" w:rsidRDefault="0025278A" w:rsidP="00512C53">
            <w:pPr>
              <w:spacing w:before="40" w:after="4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0</w:t>
            </w:r>
          </w:p>
        </w:tc>
        <w:tc>
          <w:tcPr>
            <w:tcW w:w="836" w:type="dxa"/>
            <w:noWrap/>
            <w:hideMark/>
          </w:tcPr>
          <w:p w14:paraId="7D105209" w14:textId="77777777" w:rsidR="0025278A" w:rsidRPr="000973F2" w:rsidRDefault="0025278A" w:rsidP="00512C53">
            <w:pPr>
              <w:spacing w:before="40" w:after="4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0</w:t>
            </w:r>
          </w:p>
        </w:tc>
        <w:tc>
          <w:tcPr>
            <w:tcW w:w="849" w:type="dxa"/>
            <w:noWrap/>
            <w:hideMark/>
          </w:tcPr>
          <w:p w14:paraId="7628171B" w14:textId="77777777" w:rsidR="0025278A" w:rsidRPr="000973F2" w:rsidRDefault="0025278A" w:rsidP="00512C53">
            <w:pPr>
              <w:spacing w:before="40" w:after="4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0</w:t>
            </w:r>
          </w:p>
        </w:tc>
        <w:tc>
          <w:tcPr>
            <w:tcW w:w="847" w:type="dxa"/>
            <w:noWrap/>
            <w:hideMark/>
          </w:tcPr>
          <w:p w14:paraId="7B0B601D" w14:textId="77777777" w:rsidR="0025278A" w:rsidRPr="000973F2" w:rsidRDefault="0025278A" w:rsidP="00512C53">
            <w:pPr>
              <w:tabs>
                <w:tab w:val="decimal" w:pos="391"/>
              </w:tabs>
              <w:spacing w:before="40" w:after="4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1.0</w:t>
            </w:r>
          </w:p>
        </w:tc>
        <w:tc>
          <w:tcPr>
            <w:tcW w:w="751" w:type="dxa"/>
            <w:noWrap/>
            <w:hideMark/>
          </w:tcPr>
          <w:p w14:paraId="7E733BBB" w14:textId="77777777" w:rsidR="0025278A" w:rsidRPr="000973F2" w:rsidRDefault="0025278A" w:rsidP="00512C53">
            <w:pPr>
              <w:spacing w:before="40" w:after="4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0</w:t>
            </w:r>
          </w:p>
        </w:tc>
        <w:tc>
          <w:tcPr>
            <w:tcW w:w="911" w:type="dxa"/>
            <w:noWrap/>
            <w:hideMark/>
          </w:tcPr>
          <w:p w14:paraId="25C7773C" w14:textId="77777777" w:rsidR="0025278A" w:rsidRPr="000973F2" w:rsidRDefault="0025278A" w:rsidP="00512C53">
            <w:pPr>
              <w:tabs>
                <w:tab w:val="decimal" w:pos="481"/>
              </w:tabs>
              <w:spacing w:before="40" w:after="4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13</w:t>
            </w:r>
          </w:p>
        </w:tc>
        <w:tc>
          <w:tcPr>
            <w:tcW w:w="707" w:type="dxa"/>
            <w:noWrap/>
            <w:hideMark/>
          </w:tcPr>
          <w:p w14:paraId="70360DD6" w14:textId="77777777" w:rsidR="0025278A" w:rsidRPr="000973F2" w:rsidRDefault="0025278A" w:rsidP="00512C53">
            <w:pPr>
              <w:spacing w:before="40" w:after="4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0</w:t>
            </w:r>
          </w:p>
        </w:tc>
        <w:tc>
          <w:tcPr>
            <w:tcW w:w="821" w:type="dxa"/>
            <w:noWrap/>
            <w:hideMark/>
          </w:tcPr>
          <w:p w14:paraId="64BDD129" w14:textId="77777777" w:rsidR="0025278A" w:rsidRPr="000973F2" w:rsidRDefault="0025278A" w:rsidP="00512C53">
            <w:pPr>
              <w:tabs>
                <w:tab w:val="decimal" w:pos="376"/>
              </w:tabs>
              <w:spacing w:before="40" w:after="4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1.0</w:t>
            </w:r>
          </w:p>
        </w:tc>
        <w:tc>
          <w:tcPr>
            <w:tcW w:w="707" w:type="dxa"/>
            <w:noWrap/>
            <w:hideMark/>
          </w:tcPr>
          <w:p w14:paraId="610E0D00" w14:textId="79D49673" w:rsidR="0025278A" w:rsidRPr="000973F2" w:rsidRDefault="0025278A" w:rsidP="00512C53">
            <w:pPr>
              <w:spacing w:before="40" w:after="4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$0</w:t>
            </w:r>
          </w:p>
        </w:tc>
        <w:tc>
          <w:tcPr>
            <w:tcW w:w="908" w:type="dxa"/>
            <w:noWrap/>
            <w:hideMark/>
          </w:tcPr>
          <w:p w14:paraId="7315A38C" w14:textId="6B9CA30D" w:rsidR="0025278A" w:rsidRPr="000973F2" w:rsidRDefault="0025278A" w:rsidP="00512C53">
            <w:pPr>
              <w:tabs>
                <w:tab w:val="decimal" w:pos="631"/>
              </w:tabs>
              <w:spacing w:before="40" w:after="4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$1,053</w:t>
            </w:r>
          </w:p>
        </w:tc>
      </w:tr>
      <w:tr w:rsidR="00B42F50" w:rsidRPr="000973F2" w14:paraId="4FF3D1BE" w14:textId="77777777" w:rsidTr="00512C53">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1286" w:type="dxa"/>
            <w:tcMar>
              <w:right w:w="14" w:type="dxa"/>
            </w:tcMar>
            <w:hideMark/>
          </w:tcPr>
          <w:p w14:paraId="6FECD05F" w14:textId="77777777" w:rsidR="0025278A" w:rsidRPr="000973F2" w:rsidRDefault="0025278A" w:rsidP="00512C53">
            <w:pPr>
              <w:spacing w:before="40" w:after="4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Sampling and Analysis (Calculations)</w:t>
            </w:r>
          </w:p>
        </w:tc>
        <w:tc>
          <w:tcPr>
            <w:tcW w:w="707" w:type="dxa"/>
            <w:noWrap/>
            <w:hideMark/>
          </w:tcPr>
          <w:p w14:paraId="6B02CEE2" w14:textId="77777777" w:rsidR="0025278A" w:rsidRPr="000973F2" w:rsidRDefault="0025278A" w:rsidP="00512C53">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0</w:t>
            </w:r>
          </w:p>
        </w:tc>
        <w:tc>
          <w:tcPr>
            <w:tcW w:w="836" w:type="dxa"/>
            <w:noWrap/>
            <w:hideMark/>
          </w:tcPr>
          <w:p w14:paraId="65C7B666" w14:textId="77777777" w:rsidR="0025278A" w:rsidRPr="000973F2" w:rsidRDefault="0025278A" w:rsidP="00512C53">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0</w:t>
            </w:r>
          </w:p>
        </w:tc>
        <w:tc>
          <w:tcPr>
            <w:tcW w:w="849" w:type="dxa"/>
            <w:noWrap/>
            <w:hideMark/>
          </w:tcPr>
          <w:p w14:paraId="39AD6276" w14:textId="77777777" w:rsidR="0025278A" w:rsidRPr="000973F2" w:rsidRDefault="0025278A" w:rsidP="00512C53">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0</w:t>
            </w:r>
          </w:p>
        </w:tc>
        <w:tc>
          <w:tcPr>
            <w:tcW w:w="847" w:type="dxa"/>
            <w:noWrap/>
            <w:hideMark/>
          </w:tcPr>
          <w:p w14:paraId="4BA728ED" w14:textId="77777777" w:rsidR="0025278A" w:rsidRPr="000973F2" w:rsidRDefault="0025278A" w:rsidP="00512C53">
            <w:pPr>
              <w:tabs>
                <w:tab w:val="decimal" w:pos="391"/>
              </w:tabs>
              <w:spacing w:before="40" w:after="4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197.8</w:t>
            </w:r>
          </w:p>
        </w:tc>
        <w:tc>
          <w:tcPr>
            <w:tcW w:w="751" w:type="dxa"/>
            <w:noWrap/>
            <w:hideMark/>
          </w:tcPr>
          <w:p w14:paraId="66D9E0B1" w14:textId="77777777" w:rsidR="0025278A" w:rsidRPr="000973F2" w:rsidRDefault="0025278A" w:rsidP="00512C53">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0</w:t>
            </w:r>
          </w:p>
        </w:tc>
        <w:tc>
          <w:tcPr>
            <w:tcW w:w="911" w:type="dxa"/>
            <w:noWrap/>
            <w:hideMark/>
          </w:tcPr>
          <w:p w14:paraId="4F8DC2E9" w14:textId="77777777" w:rsidR="0025278A" w:rsidRPr="000973F2" w:rsidRDefault="0025278A" w:rsidP="00512C53">
            <w:pPr>
              <w:tabs>
                <w:tab w:val="decimal" w:pos="481"/>
              </w:tabs>
              <w:spacing w:before="40" w:after="4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3,955</w:t>
            </w:r>
          </w:p>
        </w:tc>
        <w:tc>
          <w:tcPr>
            <w:tcW w:w="707" w:type="dxa"/>
            <w:noWrap/>
            <w:hideMark/>
          </w:tcPr>
          <w:p w14:paraId="0C7B51F8" w14:textId="77777777" w:rsidR="0025278A" w:rsidRPr="000973F2" w:rsidRDefault="0025278A" w:rsidP="00512C53">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0</w:t>
            </w:r>
          </w:p>
        </w:tc>
        <w:tc>
          <w:tcPr>
            <w:tcW w:w="821" w:type="dxa"/>
            <w:noWrap/>
            <w:hideMark/>
          </w:tcPr>
          <w:p w14:paraId="72044B17" w14:textId="77777777" w:rsidR="0025278A" w:rsidRPr="000973F2" w:rsidRDefault="0025278A" w:rsidP="00512C53">
            <w:pPr>
              <w:tabs>
                <w:tab w:val="decimal" w:pos="376"/>
              </w:tabs>
              <w:spacing w:before="40" w:after="4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395.5</w:t>
            </w:r>
          </w:p>
        </w:tc>
        <w:tc>
          <w:tcPr>
            <w:tcW w:w="707" w:type="dxa"/>
            <w:noWrap/>
            <w:hideMark/>
          </w:tcPr>
          <w:p w14:paraId="29C1B3CF" w14:textId="73280B80" w:rsidR="0025278A" w:rsidRPr="000973F2" w:rsidRDefault="0025278A" w:rsidP="00512C53">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$0</w:t>
            </w:r>
          </w:p>
        </w:tc>
        <w:tc>
          <w:tcPr>
            <w:tcW w:w="908" w:type="dxa"/>
            <w:noWrap/>
            <w:hideMark/>
          </w:tcPr>
          <w:p w14:paraId="071BC8D2" w14:textId="624E2F59" w:rsidR="0025278A" w:rsidRPr="000973F2" w:rsidRDefault="0025278A" w:rsidP="00512C53">
            <w:pPr>
              <w:tabs>
                <w:tab w:val="decimal" w:pos="631"/>
              </w:tabs>
              <w:spacing w:before="40" w:after="4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$314,227</w:t>
            </w:r>
          </w:p>
        </w:tc>
      </w:tr>
      <w:tr w:rsidR="00E86BE0" w:rsidRPr="000973F2" w14:paraId="585CD8F8" w14:textId="77777777" w:rsidTr="00512C53">
        <w:trPr>
          <w:cantSplit/>
        </w:trPr>
        <w:tc>
          <w:tcPr>
            <w:cnfStyle w:val="001000000000" w:firstRow="0" w:lastRow="0" w:firstColumn="1" w:lastColumn="0" w:oddVBand="0" w:evenVBand="0" w:oddHBand="0" w:evenHBand="0" w:firstRowFirstColumn="0" w:firstRowLastColumn="0" w:lastRowFirstColumn="0" w:lastRowLastColumn="0"/>
            <w:tcW w:w="1286" w:type="dxa"/>
            <w:tcMar>
              <w:right w:w="14" w:type="dxa"/>
            </w:tcMar>
            <w:hideMark/>
          </w:tcPr>
          <w:p w14:paraId="57C23B5E" w14:textId="77777777" w:rsidR="0025278A" w:rsidRPr="000973F2" w:rsidRDefault="0025278A" w:rsidP="00512C53">
            <w:pPr>
              <w:spacing w:before="40" w:after="4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Reporting</w:t>
            </w:r>
          </w:p>
        </w:tc>
        <w:tc>
          <w:tcPr>
            <w:tcW w:w="707" w:type="dxa"/>
            <w:noWrap/>
            <w:hideMark/>
          </w:tcPr>
          <w:p w14:paraId="516C5AB7" w14:textId="77777777" w:rsidR="0025278A" w:rsidRPr="000973F2" w:rsidRDefault="0025278A" w:rsidP="00512C53">
            <w:pPr>
              <w:spacing w:before="40" w:after="4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0</w:t>
            </w:r>
          </w:p>
        </w:tc>
        <w:tc>
          <w:tcPr>
            <w:tcW w:w="836" w:type="dxa"/>
            <w:noWrap/>
            <w:hideMark/>
          </w:tcPr>
          <w:p w14:paraId="44E108F4" w14:textId="77777777" w:rsidR="0025278A" w:rsidRPr="000973F2" w:rsidRDefault="0025278A" w:rsidP="00512C53">
            <w:pPr>
              <w:spacing w:before="40" w:after="4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0</w:t>
            </w:r>
          </w:p>
        </w:tc>
        <w:tc>
          <w:tcPr>
            <w:tcW w:w="849" w:type="dxa"/>
            <w:noWrap/>
            <w:hideMark/>
          </w:tcPr>
          <w:p w14:paraId="082156C1" w14:textId="77777777" w:rsidR="0025278A" w:rsidRPr="000973F2" w:rsidRDefault="0025278A" w:rsidP="00512C53">
            <w:pPr>
              <w:spacing w:before="40" w:after="4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0</w:t>
            </w:r>
          </w:p>
        </w:tc>
        <w:tc>
          <w:tcPr>
            <w:tcW w:w="847" w:type="dxa"/>
            <w:noWrap/>
            <w:hideMark/>
          </w:tcPr>
          <w:p w14:paraId="0209E2FD" w14:textId="77777777" w:rsidR="0025278A" w:rsidRPr="000973F2" w:rsidRDefault="0025278A" w:rsidP="00512C53">
            <w:pPr>
              <w:tabs>
                <w:tab w:val="decimal" w:pos="391"/>
              </w:tabs>
              <w:spacing w:before="40" w:after="4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2.0</w:t>
            </w:r>
          </w:p>
        </w:tc>
        <w:tc>
          <w:tcPr>
            <w:tcW w:w="751" w:type="dxa"/>
            <w:noWrap/>
            <w:hideMark/>
          </w:tcPr>
          <w:p w14:paraId="5055B237" w14:textId="77777777" w:rsidR="0025278A" w:rsidRPr="000973F2" w:rsidRDefault="0025278A" w:rsidP="00512C53">
            <w:pPr>
              <w:spacing w:before="40" w:after="4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0</w:t>
            </w:r>
          </w:p>
        </w:tc>
        <w:tc>
          <w:tcPr>
            <w:tcW w:w="911" w:type="dxa"/>
            <w:noWrap/>
            <w:hideMark/>
          </w:tcPr>
          <w:p w14:paraId="02A2CB91" w14:textId="77777777" w:rsidR="0025278A" w:rsidRPr="000973F2" w:rsidRDefault="0025278A" w:rsidP="00512C53">
            <w:pPr>
              <w:tabs>
                <w:tab w:val="decimal" w:pos="481"/>
              </w:tabs>
              <w:spacing w:before="40" w:after="4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26</w:t>
            </w:r>
          </w:p>
        </w:tc>
        <w:tc>
          <w:tcPr>
            <w:tcW w:w="707" w:type="dxa"/>
            <w:noWrap/>
            <w:hideMark/>
          </w:tcPr>
          <w:p w14:paraId="3A682D27" w14:textId="77777777" w:rsidR="0025278A" w:rsidRPr="000973F2" w:rsidRDefault="0025278A" w:rsidP="00512C53">
            <w:pPr>
              <w:spacing w:before="40" w:after="4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0</w:t>
            </w:r>
          </w:p>
        </w:tc>
        <w:tc>
          <w:tcPr>
            <w:tcW w:w="821" w:type="dxa"/>
            <w:noWrap/>
            <w:hideMark/>
          </w:tcPr>
          <w:p w14:paraId="499902D8" w14:textId="77777777" w:rsidR="0025278A" w:rsidRPr="000973F2" w:rsidRDefault="0025278A" w:rsidP="00512C53">
            <w:pPr>
              <w:tabs>
                <w:tab w:val="decimal" w:pos="376"/>
              </w:tabs>
              <w:spacing w:before="40" w:after="4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2.0</w:t>
            </w:r>
          </w:p>
        </w:tc>
        <w:tc>
          <w:tcPr>
            <w:tcW w:w="707" w:type="dxa"/>
            <w:noWrap/>
            <w:hideMark/>
          </w:tcPr>
          <w:p w14:paraId="0E0EE280" w14:textId="6C7B614A" w:rsidR="0025278A" w:rsidRPr="000973F2" w:rsidRDefault="0025278A" w:rsidP="00512C53">
            <w:pPr>
              <w:spacing w:before="40" w:after="4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$0</w:t>
            </w:r>
          </w:p>
        </w:tc>
        <w:tc>
          <w:tcPr>
            <w:tcW w:w="908" w:type="dxa"/>
            <w:noWrap/>
            <w:hideMark/>
          </w:tcPr>
          <w:p w14:paraId="6C140DA8" w14:textId="54504CAB" w:rsidR="0025278A" w:rsidRPr="000973F2" w:rsidRDefault="0025278A" w:rsidP="00512C53">
            <w:pPr>
              <w:tabs>
                <w:tab w:val="decimal" w:pos="631"/>
              </w:tabs>
              <w:spacing w:before="40" w:after="4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$2,105</w:t>
            </w:r>
          </w:p>
        </w:tc>
      </w:tr>
      <w:tr w:rsidR="00B42F50" w:rsidRPr="000973F2" w14:paraId="423F5917" w14:textId="77777777" w:rsidTr="00512C53">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1286" w:type="dxa"/>
            <w:noWrap/>
            <w:tcMar>
              <w:right w:w="14" w:type="dxa"/>
            </w:tcMar>
            <w:hideMark/>
          </w:tcPr>
          <w:p w14:paraId="7CFC9481" w14:textId="77777777" w:rsidR="0025278A" w:rsidRPr="000973F2" w:rsidRDefault="0025278A" w:rsidP="00512C53">
            <w:pPr>
              <w:spacing w:before="40" w:after="40"/>
              <w:rPr>
                <w:rFonts w:ascii="Times New Roman" w:eastAsia="Times New Roman" w:hAnsi="Times New Roman" w:cs="Times New Roman"/>
                <w:b/>
                <w:bCs w:val="0"/>
                <w:sz w:val="18"/>
                <w:szCs w:val="18"/>
              </w:rPr>
            </w:pPr>
            <w:r w:rsidRPr="000973F2">
              <w:rPr>
                <w:rFonts w:ascii="Times New Roman" w:eastAsia="Times New Roman" w:hAnsi="Times New Roman" w:cs="Times New Roman"/>
                <w:b/>
                <w:sz w:val="18"/>
                <w:szCs w:val="18"/>
              </w:rPr>
              <w:t>Total</w:t>
            </w:r>
          </w:p>
        </w:tc>
        <w:tc>
          <w:tcPr>
            <w:tcW w:w="707" w:type="dxa"/>
            <w:noWrap/>
            <w:hideMark/>
          </w:tcPr>
          <w:p w14:paraId="00DA2715" w14:textId="77777777" w:rsidR="0025278A" w:rsidRPr="000973F2" w:rsidRDefault="0025278A" w:rsidP="00512C53">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18"/>
                <w:szCs w:val="18"/>
              </w:rPr>
            </w:pPr>
            <w:r w:rsidRPr="000973F2">
              <w:rPr>
                <w:rFonts w:ascii="Times New Roman" w:eastAsia="Times New Roman" w:hAnsi="Times New Roman" w:cs="Times New Roman"/>
                <w:b/>
                <w:bCs/>
                <w:sz w:val="18"/>
                <w:szCs w:val="18"/>
              </w:rPr>
              <w:t>0</w:t>
            </w:r>
          </w:p>
        </w:tc>
        <w:tc>
          <w:tcPr>
            <w:tcW w:w="836" w:type="dxa"/>
            <w:noWrap/>
            <w:hideMark/>
          </w:tcPr>
          <w:p w14:paraId="4C19FAD0" w14:textId="77777777" w:rsidR="0025278A" w:rsidRPr="000973F2" w:rsidRDefault="0025278A" w:rsidP="00512C53">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18"/>
                <w:szCs w:val="18"/>
              </w:rPr>
            </w:pPr>
            <w:r w:rsidRPr="000973F2">
              <w:rPr>
                <w:rFonts w:ascii="Times New Roman" w:eastAsia="Times New Roman" w:hAnsi="Times New Roman" w:cs="Times New Roman"/>
                <w:b/>
                <w:bCs/>
                <w:sz w:val="18"/>
                <w:szCs w:val="18"/>
              </w:rPr>
              <w:t>2</w:t>
            </w:r>
          </w:p>
        </w:tc>
        <w:tc>
          <w:tcPr>
            <w:tcW w:w="849" w:type="dxa"/>
            <w:noWrap/>
            <w:hideMark/>
          </w:tcPr>
          <w:p w14:paraId="1BB7E185" w14:textId="77777777" w:rsidR="0025278A" w:rsidRPr="000973F2" w:rsidRDefault="0025278A" w:rsidP="00512C53">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18"/>
                <w:szCs w:val="18"/>
              </w:rPr>
            </w:pPr>
            <w:r w:rsidRPr="000973F2">
              <w:rPr>
                <w:rFonts w:ascii="Times New Roman" w:eastAsia="Times New Roman" w:hAnsi="Times New Roman" w:cs="Times New Roman"/>
                <w:b/>
                <w:bCs/>
                <w:sz w:val="18"/>
                <w:szCs w:val="18"/>
              </w:rPr>
              <w:t>0</w:t>
            </w:r>
          </w:p>
        </w:tc>
        <w:tc>
          <w:tcPr>
            <w:tcW w:w="847" w:type="dxa"/>
            <w:noWrap/>
            <w:hideMark/>
          </w:tcPr>
          <w:p w14:paraId="78537617" w14:textId="77777777" w:rsidR="0025278A" w:rsidRPr="000973F2" w:rsidRDefault="0025278A" w:rsidP="00512C53">
            <w:pPr>
              <w:tabs>
                <w:tab w:val="decimal" w:pos="391"/>
              </w:tabs>
              <w:spacing w:before="40" w:after="4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18"/>
                <w:szCs w:val="18"/>
              </w:rPr>
            </w:pPr>
            <w:r w:rsidRPr="000973F2">
              <w:rPr>
                <w:rFonts w:ascii="Times New Roman" w:eastAsia="Times New Roman" w:hAnsi="Times New Roman" w:cs="Times New Roman"/>
                <w:b/>
                <w:bCs/>
                <w:sz w:val="18"/>
                <w:szCs w:val="18"/>
              </w:rPr>
              <w:t>206.8</w:t>
            </w:r>
          </w:p>
        </w:tc>
        <w:tc>
          <w:tcPr>
            <w:tcW w:w="751" w:type="dxa"/>
            <w:noWrap/>
            <w:hideMark/>
          </w:tcPr>
          <w:p w14:paraId="34E65B33" w14:textId="77777777" w:rsidR="0025278A" w:rsidRPr="000973F2" w:rsidRDefault="0025278A" w:rsidP="00512C53">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18"/>
                <w:szCs w:val="18"/>
              </w:rPr>
            </w:pPr>
            <w:r w:rsidRPr="000973F2">
              <w:rPr>
                <w:rFonts w:ascii="Times New Roman" w:eastAsia="Times New Roman" w:hAnsi="Times New Roman" w:cs="Times New Roman"/>
                <w:b/>
                <w:bCs/>
                <w:sz w:val="18"/>
                <w:szCs w:val="18"/>
              </w:rPr>
              <w:t>0</w:t>
            </w:r>
          </w:p>
        </w:tc>
        <w:tc>
          <w:tcPr>
            <w:tcW w:w="911" w:type="dxa"/>
            <w:noWrap/>
            <w:hideMark/>
          </w:tcPr>
          <w:p w14:paraId="04457D56" w14:textId="77777777" w:rsidR="0025278A" w:rsidRPr="000973F2" w:rsidRDefault="0025278A" w:rsidP="00512C53">
            <w:pPr>
              <w:tabs>
                <w:tab w:val="decimal" w:pos="481"/>
              </w:tabs>
              <w:spacing w:before="40" w:after="4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18"/>
                <w:szCs w:val="18"/>
              </w:rPr>
            </w:pPr>
            <w:r w:rsidRPr="000973F2">
              <w:rPr>
                <w:rFonts w:ascii="Times New Roman" w:eastAsia="Times New Roman" w:hAnsi="Times New Roman" w:cs="Times New Roman"/>
                <w:b/>
                <w:bCs/>
                <w:sz w:val="18"/>
                <w:szCs w:val="18"/>
              </w:rPr>
              <w:t>3,995</w:t>
            </w:r>
          </w:p>
        </w:tc>
        <w:tc>
          <w:tcPr>
            <w:tcW w:w="707" w:type="dxa"/>
            <w:noWrap/>
            <w:hideMark/>
          </w:tcPr>
          <w:p w14:paraId="78E5FC7E" w14:textId="77777777" w:rsidR="0025278A" w:rsidRPr="000973F2" w:rsidRDefault="0025278A" w:rsidP="00512C53">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18"/>
                <w:szCs w:val="18"/>
              </w:rPr>
            </w:pPr>
            <w:r w:rsidRPr="000973F2">
              <w:rPr>
                <w:rFonts w:ascii="Times New Roman" w:eastAsia="Times New Roman" w:hAnsi="Times New Roman" w:cs="Times New Roman"/>
                <w:b/>
                <w:bCs/>
                <w:sz w:val="18"/>
                <w:szCs w:val="18"/>
              </w:rPr>
              <w:t>0</w:t>
            </w:r>
          </w:p>
        </w:tc>
        <w:tc>
          <w:tcPr>
            <w:tcW w:w="821" w:type="dxa"/>
            <w:noWrap/>
            <w:hideMark/>
          </w:tcPr>
          <w:p w14:paraId="2A146D14" w14:textId="77777777" w:rsidR="0025278A" w:rsidRPr="000973F2" w:rsidRDefault="0025278A" w:rsidP="00512C53">
            <w:pPr>
              <w:tabs>
                <w:tab w:val="decimal" w:pos="376"/>
              </w:tabs>
              <w:spacing w:before="40" w:after="4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18"/>
                <w:szCs w:val="18"/>
              </w:rPr>
            </w:pPr>
            <w:r w:rsidRPr="000973F2">
              <w:rPr>
                <w:rFonts w:ascii="Times New Roman" w:eastAsia="Times New Roman" w:hAnsi="Times New Roman" w:cs="Times New Roman"/>
                <w:b/>
                <w:bCs/>
                <w:sz w:val="18"/>
                <w:szCs w:val="18"/>
              </w:rPr>
              <w:t>398.5</w:t>
            </w:r>
          </w:p>
        </w:tc>
        <w:tc>
          <w:tcPr>
            <w:tcW w:w="707" w:type="dxa"/>
            <w:noWrap/>
            <w:hideMark/>
          </w:tcPr>
          <w:p w14:paraId="6CA9631E" w14:textId="279A0E78" w:rsidR="0025278A" w:rsidRPr="000973F2" w:rsidRDefault="0025278A" w:rsidP="00512C53">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18"/>
                <w:szCs w:val="18"/>
              </w:rPr>
            </w:pPr>
            <w:r w:rsidRPr="000973F2">
              <w:rPr>
                <w:rFonts w:ascii="Times New Roman" w:eastAsia="Times New Roman" w:hAnsi="Times New Roman" w:cs="Times New Roman"/>
                <w:b/>
                <w:bCs/>
                <w:sz w:val="18"/>
                <w:szCs w:val="18"/>
              </w:rPr>
              <w:t>$0</w:t>
            </w:r>
          </w:p>
        </w:tc>
        <w:tc>
          <w:tcPr>
            <w:tcW w:w="908" w:type="dxa"/>
            <w:noWrap/>
            <w:hideMark/>
          </w:tcPr>
          <w:p w14:paraId="394C6159" w14:textId="77777777" w:rsidR="0025278A" w:rsidRPr="000973F2" w:rsidRDefault="0025278A" w:rsidP="00512C53">
            <w:pPr>
              <w:tabs>
                <w:tab w:val="decimal" w:pos="631"/>
              </w:tabs>
              <w:spacing w:before="40" w:after="4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18"/>
                <w:szCs w:val="18"/>
              </w:rPr>
            </w:pPr>
            <w:r w:rsidRPr="000973F2">
              <w:rPr>
                <w:rFonts w:ascii="Times New Roman" w:eastAsia="Times New Roman" w:hAnsi="Times New Roman" w:cs="Times New Roman"/>
                <w:b/>
                <w:bCs/>
                <w:sz w:val="18"/>
                <w:szCs w:val="18"/>
              </w:rPr>
              <w:t>$318,205</w:t>
            </w:r>
          </w:p>
        </w:tc>
      </w:tr>
    </w:tbl>
    <w:p w14:paraId="1349A552" w14:textId="77777777" w:rsidR="0025278A" w:rsidRPr="000973F2" w:rsidRDefault="0025278A" w:rsidP="00C00E4F">
      <w:pPr>
        <w:spacing w:line="240" w:lineRule="auto"/>
        <w:rPr>
          <w:rFonts w:ascii="Times New Roman" w:hAnsi="Times New Roman" w:cs="Times New Roman"/>
          <w:sz w:val="24"/>
          <w:szCs w:val="24"/>
        </w:rPr>
      </w:pPr>
    </w:p>
    <w:p w14:paraId="0B57E5BA" w14:textId="77777777" w:rsidR="0025278A" w:rsidRPr="000973F2" w:rsidRDefault="0025278A" w:rsidP="00C00E4F">
      <w:pPr>
        <w:spacing w:line="240" w:lineRule="auto"/>
        <w:rPr>
          <w:rFonts w:ascii="Times New Roman" w:hAnsi="Times New Roman" w:cs="Times New Roman"/>
          <w:sz w:val="24"/>
          <w:szCs w:val="24"/>
        </w:rPr>
      </w:pPr>
      <w:r w:rsidRPr="000973F2">
        <w:rPr>
          <w:rFonts w:ascii="Times New Roman" w:hAnsi="Times New Roman" w:cs="Times New Roman"/>
          <w:sz w:val="24"/>
          <w:szCs w:val="24"/>
        </w:rPr>
        <w:br w:type="page"/>
      </w:r>
    </w:p>
    <w:p w14:paraId="4614C71E" w14:textId="77777777" w:rsidR="0025278A" w:rsidRPr="000973F2" w:rsidRDefault="0025278A" w:rsidP="00AF0981">
      <w:pPr>
        <w:pStyle w:val="Heading2"/>
      </w:pPr>
      <w:r w:rsidRPr="000973F2">
        <w:t>Labor Costs for Subpart L – Conducting Scoping Speciation Study</w:t>
      </w:r>
    </w:p>
    <w:p w14:paraId="2627ACBB" w14:textId="2043D4A2" w:rsidR="0025278A" w:rsidRPr="000973F2" w:rsidRDefault="0025278A" w:rsidP="00AF0981">
      <w:pPr>
        <w:pStyle w:val="BodyText"/>
      </w:pPr>
      <w:r w:rsidRPr="000973F2">
        <w:t xml:space="preserve">An initial scoping speciation study is required for new processes to identify potential fluorinated GHGs in the process streams that are emitted. The costs for conducting a scoping speciation study are provided in Table </w:t>
      </w:r>
      <w:r w:rsidR="00AF0981" w:rsidRPr="000973F2">
        <w:t>L-</w:t>
      </w:r>
      <w:r w:rsidRPr="000973F2">
        <w:t xml:space="preserve">1c. Typical activities for the QA/QC and sampling and analysis labor categories are discussed in the Cost Appendix Introduction. No additional hours are allocated for the planning, recordkeeping, or reporting labor categories, as these are already addressed in Table </w:t>
      </w:r>
      <w:r w:rsidR="00AF0981" w:rsidRPr="000973F2">
        <w:t>L-</w:t>
      </w:r>
      <w:r w:rsidRPr="000973F2">
        <w:t>1a. It is anticipated that only one facility within the source category will have a new process each year and will conduct a scoping speciation study each year of this ICR.</w:t>
      </w:r>
    </w:p>
    <w:p w14:paraId="0F1AFEF4" w14:textId="530CEAAA" w:rsidR="00982AC5" w:rsidRPr="000973F2" w:rsidRDefault="00982AC5" w:rsidP="00D41862">
      <w:pPr>
        <w:pStyle w:val="Tabletitle"/>
        <w:rPr>
          <w:sz w:val="24"/>
        </w:rPr>
      </w:pPr>
      <w:r w:rsidRPr="000973F2">
        <w:t xml:space="preserve">Table </w:t>
      </w:r>
      <w:r w:rsidR="00D41862" w:rsidRPr="000973F2">
        <w:t>L-</w:t>
      </w:r>
      <w:r w:rsidRPr="000973F2">
        <w:t xml:space="preserve">1c. Labor Costs </w:t>
      </w:r>
      <w:r w:rsidR="00B960CC" w:rsidRPr="000973F2">
        <w:t>–</w:t>
      </w:r>
      <w:r w:rsidRPr="000973F2">
        <w:t xml:space="preserve"> Subpart L </w:t>
      </w:r>
      <w:r w:rsidR="00B960CC" w:rsidRPr="000973F2">
        <w:t>–</w:t>
      </w:r>
      <w:r w:rsidR="005D6462" w:rsidRPr="000973F2">
        <w:t xml:space="preserve"> </w:t>
      </w:r>
      <w:r w:rsidRPr="000973F2">
        <w:t>Conducting Scoping Speciation Study</w:t>
      </w:r>
    </w:p>
    <w:tbl>
      <w:tblPr>
        <w:tblStyle w:val="PlainTable1"/>
        <w:tblW w:w="5000" w:type="pct"/>
        <w:jc w:val="left"/>
        <w:tblLayout w:type="fixed"/>
        <w:tblLook w:val="04A0" w:firstRow="1" w:lastRow="0" w:firstColumn="1" w:lastColumn="0" w:noHBand="0" w:noVBand="1"/>
      </w:tblPr>
      <w:tblGrid>
        <w:gridCol w:w="1464"/>
        <w:gridCol w:w="797"/>
        <w:gridCol w:w="797"/>
        <w:gridCol w:w="797"/>
        <w:gridCol w:w="796"/>
        <w:gridCol w:w="796"/>
        <w:gridCol w:w="796"/>
        <w:gridCol w:w="796"/>
        <w:gridCol w:w="797"/>
        <w:gridCol w:w="870"/>
        <w:gridCol w:w="870"/>
      </w:tblGrid>
      <w:tr w:rsidR="0025278A" w:rsidRPr="000973F2" w14:paraId="0990FDB0" w14:textId="77777777" w:rsidTr="00D41862">
        <w:trPr>
          <w:cnfStyle w:val="100000000000" w:firstRow="1" w:lastRow="0" w:firstColumn="0" w:lastColumn="0" w:oddVBand="0" w:evenVBand="0" w:oddHBand="0" w:evenHBand="0" w:firstRowFirstColumn="0" w:firstRowLastColumn="0" w:lastRowFirstColumn="0" w:lastRowLastColumn="0"/>
          <w:cantSplit/>
          <w:jc w:val="left"/>
        </w:trPr>
        <w:tc>
          <w:tcPr>
            <w:cnfStyle w:val="001000000000" w:firstRow="0" w:lastRow="0" w:firstColumn="1" w:lastColumn="0" w:oddVBand="0" w:evenVBand="0" w:oddHBand="0" w:evenHBand="0" w:firstRowFirstColumn="0" w:firstRowLastColumn="0" w:lastRowFirstColumn="0" w:lastRowLastColumn="0"/>
            <w:tcW w:w="1425" w:type="dxa"/>
            <w:vMerge w:val="restart"/>
            <w:noWrap/>
            <w:vAlign w:val="top"/>
            <w:hideMark/>
          </w:tcPr>
          <w:p w14:paraId="6316FB47" w14:textId="77777777" w:rsidR="0025278A" w:rsidRPr="000973F2" w:rsidRDefault="0025278A" w:rsidP="00D41862">
            <w:pPr>
              <w:spacing w:before="40" w:after="40"/>
              <w:rPr>
                <w:rFonts w:ascii="Times New Roman" w:eastAsia="Times New Roman" w:hAnsi="Times New Roman" w:cs="Times New Roman"/>
                <w:bCs w:val="0"/>
                <w:sz w:val="18"/>
                <w:szCs w:val="18"/>
              </w:rPr>
            </w:pPr>
            <w:r w:rsidRPr="000973F2">
              <w:rPr>
                <w:rFonts w:ascii="Times New Roman" w:eastAsia="Times New Roman" w:hAnsi="Times New Roman" w:cs="Times New Roman"/>
                <w:sz w:val="18"/>
                <w:szCs w:val="18"/>
              </w:rPr>
              <w:t>Activity</w:t>
            </w:r>
          </w:p>
        </w:tc>
        <w:tc>
          <w:tcPr>
            <w:tcW w:w="6209" w:type="dxa"/>
            <w:gridSpan w:val="8"/>
            <w:noWrap/>
            <w:vAlign w:val="top"/>
            <w:hideMark/>
          </w:tcPr>
          <w:p w14:paraId="03B2B3C1" w14:textId="77777777" w:rsidR="0025278A" w:rsidRPr="000973F2" w:rsidRDefault="0025278A" w:rsidP="00D41862">
            <w:pPr>
              <w:spacing w:before="40" w:after="40"/>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Cs w:val="0"/>
                <w:sz w:val="18"/>
                <w:szCs w:val="18"/>
              </w:rPr>
            </w:pPr>
            <w:r w:rsidRPr="000973F2">
              <w:rPr>
                <w:rFonts w:ascii="Times New Roman" w:eastAsia="Times New Roman" w:hAnsi="Times New Roman" w:cs="Times New Roman"/>
                <w:bCs w:val="0"/>
                <w:sz w:val="18"/>
                <w:szCs w:val="18"/>
              </w:rPr>
              <w:t>Labor Rates (per hour)</w:t>
            </w:r>
          </w:p>
        </w:tc>
        <w:tc>
          <w:tcPr>
            <w:tcW w:w="1696" w:type="dxa"/>
            <w:gridSpan w:val="2"/>
            <w:vMerge w:val="restart"/>
            <w:vAlign w:val="top"/>
            <w:hideMark/>
          </w:tcPr>
          <w:p w14:paraId="79A6A83C" w14:textId="60A3AE9F" w:rsidR="0025278A" w:rsidRPr="000973F2" w:rsidRDefault="0025278A" w:rsidP="00D41862">
            <w:pPr>
              <w:spacing w:before="40" w:after="40"/>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Cs w:val="0"/>
                <w:sz w:val="18"/>
                <w:szCs w:val="18"/>
              </w:rPr>
            </w:pPr>
            <w:r w:rsidRPr="000973F2">
              <w:rPr>
                <w:rFonts w:ascii="Times New Roman" w:eastAsia="Times New Roman" w:hAnsi="Times New Roman" w:cs="Times New Roman"/>
                <w:bCs w:val="0"/>
                <w:sz w:val="18"/>
                <w:szCs w:val="18"/>
              </w:rPr>
              <w:t xml:space="preserve">Total Labor Cost per Year per </w:t>
            </w:r>
            <w:r w:rsidR="003F42BB" w:rsidRPr="000973F2">
              <w:rPr>
                <w:rFonts w:ascii="Times New Roman" w:eastAsia="Times New Roman" w:hAnsi="Times New Roman" w:cs="Times New Roman"/>
                <w:bCs w:val="0"/>
                <w:sz w:val="18"/>
                <w:szCs w:val="18"/>
              </w:rPr>
              <w:t>Facility (2017$)</w:t>
            </w:r>
          </w:p>
        </w:tc>
      </w:tr>
      <w:tr w:rsidR="0025278A" w:rsidRPr="000973F2" w14:paraId="57E3B0F1" w14:textId="77777777" w:rsidTr="00D41862">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1425" w:type="dxa"/>
            <w:vMerge/>
            <w:hideMark/>
          </w:tcPr>
          <w:p w14:paraId="1A60EE08" w14:textId="77777777" w:rsidR="0025278A" w:rsidRPr="000973F2" w:rsidRDefault="0025278A" w:rsidP="00D41862">
            <w:pPr>
              <w:spacing w:before="40" w:after="40"/>
              <w:rPr>
                <w:rFonts w:ascii="Times New Roman" w:eastAsia="Times New Roman" w:hAnsi="Times New Roman" w:cs="Times New Roman"/>
                <w:b/>
                <w:bCs w:val="0"/>
                <w:sz w:val="18"/>
                <w:szCs w:val="18"/>
              </w:rPr>
            </w:pPr>
          </w:p>
        </w:tc>
        <w:tc>
          <w:tcPr>
            <w:tcW w:w="1552" w:type="dxa"/>
            <w:gridSpan w:val="2"/>
            <w:noWrap/>
            <w:hideMark/>
          </w:tcPr>
          <w:p w14:paraId="13985903" w14:textId="77777777" w:rsidR="0025278A" w:rsidRPr="000973F2" w:rsidRDefault="0025278A" w:rsidP="00D41862">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18"/>
                <w:szCs w:val="18"/>
              </w:rPr>
            </w:pPr>
            <w:r w:rsidRPr="000973F2">
              <w:rPr>
                <w:rFonts w:ascii="Times New Roman" w:eastAsia="Times New Roman" w:hAnsi="Times New Roman" w:cs="Times New Roman"/>
                <w:b/>
                <w:bCs/>
                <w:sz w:val="18"/>
                <w:szCs w:val="18"/>
              </w:rPr>
              <w:t>Lawyer</w:t>
            </w:r>
          </w:p>
        </w:tc>
        <w:tc>
          <w:tcPr>
            <w:tcW w:w="1552" w:type="dxa"/>
            <w:gridSpan w:val="2"/>
            <w:noWrap/>
            <w:hideMark/>
          </w:tcPr>
          <w:p w14:paraId="569B9318" w14:textId="77777777" w:rsidR="0025278A" w:rsidRPr="000973F2" w:rsidRDefault="0025278A" w:rsidP="00D41862">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18"/>
                <w:szCs w:val="18"/>
              </w:rPr>
            </w:pPr>
            <w:r w:rsidRPr="000973F2">
              <w:rPr>
                <w:rFonts w:ascii="Times New Roman" w:eastAsia="Times New Roman" w:hAnsi="Times New Roman" w:cs="Times New Roman"/>
                <w:b/>
                <w:bCs/>
                <w:sz w:val="18"/>
                <w:szCs w:val="18"/>
              </w:rPr>
              <w:t>Industrial Manager</w:t>
            </w:r>
          </w:p>
        </w:tc>
        <w:tc>
          <w:tcPr>
            <w:tcW w:w="1552" w:type="dxa"/>
            <w:gridSpan w:val="2"/>
            <w:hideMark/>
          </w:tcPr>
          <w:p w14:paraId="2966D2BE" w14:textId="47B08055" w:rsidR="0025278A" w:rsidRPr="000973F2" w:rsidRDefault="0025278A" w:rsidP="00D41862">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18"/>
                <w:szCs w:val="18"/>
              </w:rPr>
            </w:pPr>
            <w:r w:rsidRPr="000973F2">
              <w:rPr>
                <w:rFonts w:ascii="Times New Roman" w:eastAsia="Times New Roman" w:hAnsi="Times New Roman" w:cs="Times New Roman"/>
                <w:b/>
                <w:bCs/>
                <w:sz w:val="18"/>
                <w:szCs w:val="18"/>
              </w:rPr>
              <w:t>Industrial Engineer/</w:t>
            </w:r>
            <w:r w:rsidR="000D578F" w:rsidRPr="000973F2">
              <w:rPr>
                <w:rFonts w:ascii="Times New Roman" w:eastAsia="Times New Roman" w:hAnsi="Times New Roman" w:cs="Times New Roman"/>
                <w:b/>
                <w:bCs/>
                <w:sz w:val="18"/>
                <w:szCs w:val="18"/>
              </w:rPr>
              <w:t xml:space="preserve"> </w:t>
            </w:r>
            <w:r w:rsidRPr="000973F2">
              <w:rPr>
                <w:rFonts w:ascii="Times New Roman" w:eastAsia="Times New Roman" w:hAnsi="Times New Roman" w:cs="Times New Roman"/>
                <w:b/>
                <w:bCs/>
                <w:sz w:val="18"/>
                <w:szCs w:val="18"/>
              </w:rPr>
              <w:t>Technician</w:t>
            </w:r>
          </w:p>
        </w:tc>
        <w:tc>
          <w:tcPr>
            <w:tcW w:w="1553" w:type="dxa"/>
            <w:gridSpan w:val="2"/>
            <w:hideMark/>
          </w:tcPr>
          <w:p w14:paraId="68AF8063" w14:textId="77777777" w:rsidR="0025278A" w:rsidRPr="000973F2" w:rsidRDefault="0025278A" w:rsidP="00D41862">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18"/>
                <w:szCs w:val="18"/>
              </w:rPr>
            </w:pPr>
            <w:r w:rsidRPr="000973F2">
              <w:rPr>
                <w:rFonts w:ascii="Times New Roman" w:eastAsia="Times New Roman" w:hAnsi="Times New Roman" w:cs="Times New Roman"/>
                <w:b/>
                <w:bCs/>
                <w:sz w:val="18"/>
                <w:szCs w:val="18"/>
              </w:rPr>
              <w:t>Administrative Support</w:t>
            </w:r>
          </w:p>
        </w:tc>
        <w:tc>
          <w:tcPr>
            <w:tcW w:w="1696" w:type="dxa"/>
            <w:gridSpan w:val="2"/>
            <w:vMerge/>
            <w:hideMark/>
          </w:tcPr>
          <w:p w14:paraId="2FDD4D1A" w14:textId="77777777" w:rsidR="0025278A" w:rsidRPr="000973F2" w:rsidRDefault="0025278A" w:rsidP="00D41862">
            <w:pPr>
              <w:spacing w:before="40" w:after="4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18"/>
                <w:szCs w:val="18"/>
              </w:rPr>
            </w:pPr>
          </w:p>
        </w:tc>
      </w:tr>
      <w:tr w:rsidR="0025278A" w:rsidRPr="000973F2" w14:paraId="7271F818" w14:textId="77777777" w:rsidTr="00D41862">
        <w:trPr>
          <w:cantSplit/>
        </w:trPr>
        <w:tc>
          <w:tcPr>
            <w:cnfStyle w:val="001000000000" w:firstRow="0" w:lastRow="0" w:firstColumn="1" w:lastColumn="0" w:oddVBand="0" w:evenVBand="0" w:oddHBand="0" w:evenHBand="0" w:firstRowFirstColumn="0" w:firstRowLastColumn="0" w:lastRowFirstColumn="0" w:lastRowLastColumn="0"/>
            <w:tcW w:w="1425" w:type="dxa"/>
            <w:vMerge/>
            <w:hideMark/>
          </w:tcPr>
          <w:p w14:paraId="5507E6DD" w14:textId="77777777" w:rsidR="0025278A" w:rsidRPr="000973F2" w:rsidRDefault="0025278A" w:rsidP="00D41862">
            <w:pPr>
              <w:spacing w:before="40" w:after="40"/>
              <w:rPr>
                <w:rFonts w:ascii="Times New Roman" w:eastAsia="Times New Roman" w:hAnsi="Times New Roman" w:cs="Times New Roman"/>
                <w:b/>
                <w:bCs w:val="0"/>
                <w:sz w:val="18"/>
                <w:szCs w:val="18"/>
              </w:rPr>
            </w:pPr>
          </w:p>
        </w:tc>
        <w:tc>
          <w:tcPr>
            <w:tcW w:w="1552" w:type="dxa"/>
            <w:gridSpan w:val="2"/>
            <w:noWrap/>
            <w:hideMark/>
          </w:tcPr>
          <w:p w14:paraId="2B3099E8" w14:textId="7501364C" w:rsidR="0025278A" w:rsidRPr="000973F2" w:rsidRDefault="0025278A" w:rsidP="00D41862">
            <w:pPr>
              <w:spacing w:before="40" w:after="4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sz w:val="18"/>
                <w:szCs w:val="18"/>
              </w:rPr>
            </w:pPr>
            <w:r w:rsidRPr="000973F2">
              <w:rPr>
                <w:rFonts w:ascii="Times New Roman" w:eastAsia="Times New Roman" w:hAnsi="Times New Roman" w:cs="Times New Roman"/>
                <w:b/>
                <w:bCs/>
                <w:sz w:val="18"/>
                <w:szCs w:val="18"/>
              </w:rPr>
              <w:t>$112.23</w:t>
            </w:r>
          </w:p>
        </w:tc>
        <w:tc>
          <w:tcPr>
            <w:tcW w:w="1552" w:type="dxa"/>
            <w:gridSpan w:val="2"/>
            <w:noWrap/>
            <w:hideMark/>
          </w:tcPr>
          <w:p w14:paraId="028D2929" w14:textId="4A8CF0BA" w:rsidR="0025278A" w:rsidRPr="000973F2" w:rsidRDefault="0025278A" w:rsidP="00D41862">
            <w:pPr>
              <w:spacing w:before="40" w:after="4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sz w:val="18"/>
                <w:szCs w:val="18"/>
              </w:rPr>
            </w:pPr>
            <w:r w:rsidRPr="000973F2">
              <w:rPr>
                <w:rFonts w:ascii="Times New Roman" w:eastAsia="Times New Roman" w:hAnsi="Times New Roman" w:cs="Times New Roman"/>
                <w:b/>
                <w:bCs/>
                <w:sz w:val="18"/>
                <w:szCs w:val="18"/>
              </w:rPr>
              <w:t>$87.45</w:t>
            </w:r>
          </w:p>
        </w:tc>
        <w:tc>
          <w:tcPr>
            <w:tcW w:w="1552" w:type="dxa"/>
            <w:gridSpan w:val="2"/>
            <w:noWrap/>
            <w:hideMark/>
          </w:tcPr>
          <w:p w14:paraId="7C70AF21" w14:textId="1BFBF7CC" w:rsidR="0025278A" w:rsidRPr="000973F2" w:rsidRDefault="0025278A" w:rsidP="00D41862">
            <w:pPr>
              <w:spacing w:before="40" w:after="4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sz w:val="18"/>
                <w:szCs w:val="18"/>
              </w:rPr>
            </w:pPr>
            <w:r w:rsidRPr="000973F2">
              <w:rPr>
                <w:rFonts w:ascii="Times New Roman" w:eastAsia="Times New Roman" w:hAnsi="Times New Roman" w:cs="Times New Roman"/>
                <w:b/>
                <w:bCs/>
                <w:sz w:val="18"/>
                <w:szCs w:val="18"/>
              </w:rPr>
              <w:t>$71.45</w:t>
            </w:r>
          </w:p>
        </w:tc>
        <w:tc>
          <w:tcPr>
            <w:tcW w:w="1553" w:type="dxa"/>
            <w:gridSpan w:val="2"/>
            <w:noWrap/>
            <w:hideMark/>
          </w:tcPr>
          <w:p w14:paraId="09FB8FC3" w14:textId="2C5E19FD" w:rsidR="0025278A" w:rsidRPr="000973F2" w:rsidRDefault="0025278A" w:rsidP="00D41862">
            <w:pPr>
              <w:spacing w:before="40" w:after="4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sz w:val="18"/>
                <w:szCs w:val="18"/>
              </w:rPr>
            </w:pPr>
            <w:r w:rsidRPr="000973F2">
              <w:rPr>
                <w:rFonts w:ascii="Times New Roman" w:eastAsia="Times New Roman" w:hAnsi="Times New Roman" w:cs="Times New Roman"/>
                <w:b/>
                <w:bCs/>
                <w:sz w:val="18"/>
                <w:szCs w:val="18"/>
              </w:rPr>
              <w:t>$36.28</w:t>
            </w:r>
          </w:p>
        </w:tc>
        <w:tc>
          <w:tcPr>
            <w:tcW w:w="1696" w:type="dxa"/>
            <w:gridSpan w:val="2"/>
            <w:vMerge/>
            <w:hideMark/>
          </w:tcPr>
          <w:p w14:paraId="12C6DF52" w14:textId="77777777" w:rsidR="0025278A" w:rsidRPr="000973F2" w:rsidRDefault="0025278A" w:rsidP="00D41862">
            <w:pPr>
              <w:spacing w:before="40" w:after="4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sz w:val="18"/>
                <w:szCs w:val="18"/>
              </w:rPr>
            </w:pPr>
          </w:p>
        </w:tc>
      </w:tr>
      <w:tr w:rsidR="0025278A" w:rsidRPr="000973F2" w14:paraId="49BE57F6" w14:textId="77777777" w:rsidTr="00D41862">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1425" w:type="dxa"/>
            <w:vMerge/>
            <w:hideMark/>
          </w:tcPr>
          <w:p w14:paraId="1947B079" w14:textId="77777777" w:rsidR="0025278A" w:rsidRPr="000973F2" w:rsidRDefault="0025278A" w:rsidP="00D41862">
            <w:pPr>
              <w:spacing w:before="40" w:after="40"/>
              <w:rPr>
                <w:rFonts w:ascii="Times New Roman" w:eastAsia="Times New Roman" w:hAnsi="Times New Roman" w:cs="Times New Roman"/>
                <w:b/>
                <w:bCs w:val="0"/>
                <w:sz w:val="18"/>
                <w:szCs w:val="18"/>
              </w:rPr>
            </w:pPr>
          </w:p>
        </w:tc>
        <w:tc>
          <w:tcPr>
            <w:tcW w:w="776" w:type="dxa"/>
            <w:tcMar>
              <w:left w:w="29" w:type="dxa"/>
              <w:right w:w="29" w:type="dxa"/>
            </w:tcMar>
            <w:hideMark/>
          </w:tcPr>
          <w:p w14:paraId="232D16B3" w14:textId="4D72D798" w:rsidR="0025278A" w:rsidRPr="000973F2" w:rsidRDefault="0025278A" w:rsidP="00D41862">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18"/>
                <w:szCs w:val="18"/>
              </w:rPr>
            </w:pPr>
            <w:r w:rsidRPr="000973F2">
              <w:rPr>
                <w:rFonts w:ascii="Times New Roman" w:eastAsia="Times New Roman" w:hAnsi="Times New Roman" w:cs="Times New Roman"/>
                <w:b/>
                <w:bCs/>
                <w:sz w:val="18"/>
                <w:szCs w:val="18"/>
              </w:rPr>
              <w:t>Initial Year</w:t>
            </w:r>
            <w:r w:rsidR="00D41862" w:rsidRPr="000973F2">
              <w:rPr>
                <w:rFonts w:ascii="Times New Roman" w:eastAsia="Times New Roman" w:hAnsi="Times New Roman" w:cs="Times New Roman"/>
                <w:b/>
                <w:bCs/>
                <w:sz w:val="18"/>
                <w:szCs w:val="18"/>
              </w:rPr>
              <w:t xml:space="preserve"> </w:t>
            </w:r>
            <w:r w:rsidRPr="000973F2">
              <w:rPr>
                <w:rFonts w:ascii="Times New Roman" w:eastAsia="Times New Roman" w:hAnsi="Times New Roman" w:cs="Times New Roman"/>
                <w:b/>
                <w:bCs/>
                <w:sz w:val="18"/>
                <w:szCs w:val="18"/>
              </w:rPr>
              <w:t>Hours</w:t>
            </w:r>
          </w:p>
        </w:tc>
        <w:tc>
          <w:tcPr>
            <w:tcW w:w="776" w:type="dxa"/>
            <w:tcMar>
              <w:left w:w="29" w:type="dxa"/>
              <w:right w:w="29" w:type="dxa"/>
            </w:tcMar>
            <w:hideMark/>
          </w:tcPr>
          <w:p w14:paraId="2B11F75C" w14:textId="40E38799" w:rsidR="0025278A" w:rsidRPr="000973F2" w:rsidRDefault="0025278A" w:rsidP="00D41862">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18"/>
                <w:szCs w:val="18"/>
              </w:rPr>
            </w:pPr>
            <w:r w:rsidRPr="000973F2">
              <w:rPr>
                <w:rFonts w:ascii="Times New Roman" w:eastAsia="Times New Roman" w:hAnsi="Times New Roman" w:cs="Times New Roman"/>
                <w:b/>
                <w:bCs/>
                <w:sz w:val="18"/>
                <w:szCs w:val="18"/>
              </w:rPr>
              <w:t>Subseq. Year</w:t>
            </w:r>
            <w:r w:rsidR="00D41862" w:rsidRPr="000973F2">
              <w:rPr>
                <w:rFonts w:ascii="Times New Roman" w:eastAsia="Times New Roman" w:hAnsi="Times New Roman" w:cs="Times New Roman"/>
                <w:b/>
                <w:bCs/>
                <w:sz w:val="18"/>
                <w:szCs w:val="18"/>
              </w:rPr>
              <w:t xml:space="preserve"> </w:t>
            </w:r>
            <w:r w:rsidRPr="000973F2">
              <w:rPr>
                <w:rFonts w:ascii="Times New Roman" w:eastAsia="Times New Roman" w:hAnsi="Times New Roman" w:cs="Times New Roman"/>
                <w:b/>
                <w:bCs/>
                <w:sz w:val="18"/>
                <w:szCs w:val="18"/>
              </w:rPr>
              <w:t>Hours</w:t>
            </w:r>
          </w:p>
        </w:tc>
        <w:tc>
          <w:tcPr>
            <w:tcW w:w="776" w:type="dxa"/>
            <w:tcMar>
              <w:left w:w="29" w:type="dxa"/>
              <w:right w:w="29" w:type="dxa"/>
            </w:tcMar>
            <w:hideMark/>
          </w:tcPr>
          <w:p w14:paraId="4418D146" w14:textId="6B2D3F77" w:rsidR="0025278A" w:rsidRPr="000973F2" w:rsidRDefault="0025278A" w:rsidP="00D41862">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18"/>
                <w:szCs w:val="18"/>
              </w:rPr>
            </w:pPr>
            <w:r w:rsidRPr="000973F2">
              <w:rPr>
                <w:rFonts w:ascii="Times New Roman" w:eastAsia="Times New Roman" w:hAnsi="Times New Roman" w:cs="Times New Roman"/>
                <w:b/>
                <w:bCs/>
                <w:sz w:val="18"/>
                <w:szCs w:val="18"/>
              </w:rPr>
              <w:t>Initial Year</w:t>
            </w:r>
            <w:r w:rsidR="00D41862" w:rsidRPr="000973F2">
              <w:rPr>
                <w:rFonts w:ascii="Times New Roman" w:eastAsia="Times New Roman" w:hAnsi="Times New Roman" w:cs="Times New Roman"/>
                <w:b/>
                <w:bCs/>
                <w:sz w:val="18"/>
                <w:szCs w:val="18"/>
              </w:rPr>
              <w:t xml:space="preserve"> </w:t>
            </w:r>
            <w:r w:rsidRPr="000973F2">
              <w:rPr>
                <w:rFonts w:ascii="Times New Roman" w:eastAsia="Times New Roman" w:hAnsi="Times New Roman" w:cs="Times New Roman"/>
                <w:b/>
                <w:bCs/>
                <w:sz w:val="18"/>
                <w:szCs w:val="18"/>
              </w:rPr>
              <w:t>Hours</w:t>
            </w:r>
          </w:p>
        </w:tc>
        <w:tc>
          <w:tcPr>
            <w:tcW w:w="776" w:type="dxa"/>
            <w:tcMar>
              <w:left w:w="29" w:type="dxa"/>
              <w:right w:w="29" w:type="dxa"/>
            </w:tcMar>
            <w:hideMark/>
          </w:tcPr>
          <w:p w14:paraId="205672FC" w14:textId="185FC76B" w:rsidR="0025278A" w:rsidRPr="000973F2" w:rsidRDefault="0025278A" w:rsidP="00D41862">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18"/>
                <w:szCs w:val="18"/>
              </w:rPr>
            </w:pPr>
            <w:r w:rsidRPr="000973F2">
              <w:rPr>
                <w:rFonts w:ascii="Times New Roman" w:eastAsia="Times New Roman" w:hAnsi="Times New Roman" w:cs="Times New Roman"/>
                <w:b/>
                <w:bCs/>
                <w:sz w:val="18"/>
                <w:szCs w:val="18"/>
              </w:rPr>
              <w:t>Subseq. Year</w:t>
            </w:r>
            <w:r w:rsidR="00D41862" w:rsidRPr="000973F2">
              <w:rPr>
                <w:rFonts w:ascii="Times New Roman" w:eastAsia="Times New Roman" w:hAnsi="Times New Roman" w:cs="Times New Roman"/>
                <w:b/>
                <w:bCs/>
                <w:sz w:val="18"/>
                <w:szCs w:val="18"/>
              </w:rPr>
              <w:t xml:space="preserve"> </w:t>
            </w:r>
            <w:r w:rsidRPr="000973F2">
              <w:rPr>
                <w:rFonts w:ascii="Times New Roman" w:eastAsia="Times New Roman" w:hAnsi="Times New Roman" w:cs="Times New Roman"/>
                <w:b/>
                <w:bCs/>
                <w:sz w:val="18"/>
                <w:szCs w:val="18"/>
              </w:rPr>
              <w:t>Hours</w:t>
            </w:r>
          </w:p>
        </w:tc>
        <w:tc>
          <w:tcPr>
            <w:tcW w:w="776" w:type="dxa"/>
            <w:tcMar>
              <w:left w:w="29" w:type="dxa"/>
              <w:right w:w="29" w:type="dxa"/>
            </w:tcMar>
            <w:hideMark/>
          </w:tcPr>
          <w:p w14:paraId="40C29612" w14:textId="0C4E3EF6" w:rsidR="0025278A" w:rsidRPr="000973F2" w:rsidRDefault="0025278A" w:rsidP="00D41862">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18"/>
                <w:szCs w:val="18"/>
              </w:rPr>
            </w:pPr>
            <w:r w:rsidRPr="000973F2">
              <w:rPr>
                <w:rFonts w:ascii="Times New Roman" w:eastAsia="Times New Roman" w:hAnsi="Times New Roman" w:cs="Times New Roman"/>
                <w:b/>
                <w:bCs/>
                <w:sz w:val="18"/>
                <w:szCs w:val="18"/>
              </w:rPr>
              <w:t>Initial Year</w:t>
            </w:r>
            <w:r w:rsidR="00D41862" w:rsidRPr="000973F2">
              <w:rPr>
                <w:rFonts w:ascii="Times New Roman" w:eastAsia="Times New Roman" w:hAnsi="Times New Roman" w:cs="Times New Roman"/>
                <w:b/>
                <w:bCs/>
                <w:sz w:val="18"/>
                <w:szCs w:val="18"/>
              </w:rPr>
              <w:t xml:space="preserve"> </w:t>
            </w:r>
            <w:r w:rsidRPr="000973F2">
              <w:rPr>
                <w:rFonts w:ascii="Times New Roman" w:eastAsia="Times New Roman" w:hAnsi="Times New Roman" w:cs="Times New Roman"/>
                <w:b/>
                <w:bCs/>
                <w:sz w:val="18"/>
                <w:szCs w:val="18"/>
              </w:rPr>
              <w:t>Hours</w:t>
            </w:r>
          </w:p>
        </w:tc>
        <w:tc>
          <w:tcPr>
            <w:tcW w:w="776" w:type="dxa"/>
            <w:tcMar>
              <w:left w:w="29" w:type="dxa"/>
              <w:right w:w="29" w:type="dxa"/>
            </w:tcMar>
            <w:hideMark/>
          </w:tcPr>
          <w:p w14:paraId="2C7BE0FA" w14:textId="08B477C5" w:rsidR="0025278A" w:rsidRPr="000973F2" w:rsidRDefault="0025278A" w:rsidP="00D41862">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18"/>
                <w:szCs w:val="18"/>
              </w:rPr>
            </w:pPr>
            <w:r w:rsidRPr="000973F2">
              <w:rPr>
                <w:rFonts w:ascii="Times New Roman" w:eastAsia="Times New Roman" w:hAnsi="Times New Roman" w:cs="Times New Roman"/>
                <w:b/>
                <w:bCs/>
                <w:sz w:val="18"/>
                <w:szCs w:val="18"/>
              </w:rPr>
              <w:t>Subseq. Year</w:t>
            </w:r>
            <w:r w:rsidR="00D41862" w:rsidRPr="000973F2">
              <w:rPr>
                <w:rFonts w:ascii="Times New Roman" w:eastAsia="Times New Roman" w:hAnsi="Times New Roman" w:cs="Times New Roman"/>
                <w:b/>
                <w:bCs/>
                <w:sz w:val="18"/>
                <w:szCs w:val="18"/>
              </w:rPr>
              <w:t xml:space="preserve"> </w:t>
            </w:r>
            <w:r w:rsidRPr="000973F2">
              <w:rPr>
                <w:rFonts w:ascii="Times New Roman" w:eastAsia="Times New Roman" w:hAnsi="Times New Roman" w:cs="Times New Roman"/>
                <w:b/>
                <w:bCs/>
                <w:sz w:val="18"/>
                <w:szCs w:val="18"/>
              </w:rPr>
              <w:t>Hours</w:t>
            </w:r>
          </w:p>
        </w:tc>
        <w:tc>
          <w:tcPr>
            <w:tcW w:w="776" w:type="dxa"/>
            <w:tcMar>
              <w:left w:w="29" w:type="dxa"/>
              <w:right w:w="29" w:type="dxa"/>
            </w:tcMar>
            <w:hideMark/>
          </w:tcPr>
          <w:p w14:paraId="74B3E34A" w14:textId="1ABAA0E6" w:rsidR="0025278A" w:rsidRPr="000973F2" w:rsidRDefault="0025278A" w:rsidP="00D41862">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18"/>
                <w:szCs w:val="18"/>
              </w:rPr>
            </w:pPr>
            <w:r w:rsidRPr="000973F2">
              <w:rPr>
                <w:rFonts w:ascii="Times New Roman" w:eastAsia="Times New Roman" w:hAnsi="Times New Roman" w:cs="Times New Roman"/>
                <w:b/>
                <w:bCs/>
                <w:sz w:val="18"/>
                <w:szCs w:val="18"/>
              </w:rPr>
              <w:t>Initial Year</w:t>
            </w:r>
            <w:r w:rsidR="00D41862" w:rsidRPr="000973F2">
              <w:rPr>
                <w:rFonts w:ascii="Times New Roman" w:eastAsia="Times New Roman" w:hAnsi="Times New Roman" w:cs="Times New Roman"/>
                <w:b/>
                <w:bCs/>
                <w:sz w:val="18"/>
                <w:szCs w:val="18"/>
              </w:rPr>
              <w:t xml:space="preserve"> </w:t>
            </w:r>
            <w:r w:rsidRPr="000973F2">
              <w:rPr>
                <w:rFonts w:ascii="Times New Roman" w:eastAsia="Times New Roman" w:hAnsi="Times New Roman" w:cs="Times New Roman"/>
                <w:b/>
                <w:bCs/>
                <w:sz w:val="18"/>
                <w:szCs w:val="18"/>
              </w:rPr>
              <w:t>Hours</w:t>
            </w:r>
          </w:p>
        </w:tc>
        <w:tc>
          <w:tcPr>
            <w:tcW w:w="777" w:type="dxa"/>
            <w:tcMar>
              <w:left w:w="29" w:type="dxa"/>
              <w:right w:w="29" w:type="dxa"/>
            </w:tcMar>
            <w:hideMark/>
          </w:tcPr>
          <w:p w14:paraId="51EF40AC" w14:textId="248CF1CA" w:rsidR="0025278A" w:rsidRPr="000973F2" w:rsidRDefault="0025278A" w:rsidP="00D41862">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18"/>
                <w:szCs w:val="18"/>
              </w:rPr>
            </w:pPr>
            <w:r w:rsidRPr="000973F2">
              <w:rPr>
                <w:rFonts w:ascii="Times New Roman" w:eastAsia="Times New Roman" w:hAnsi="Times New Roman" w:cs="Times New Roman"/>
                <w:b/>
                <w:bCs/>
                <w:sz w:val="18"/>
                <w:szCs w:val="18"/>
              </w:rPr>
              <w:t>Subseq. Year</w:t>
            </w:r>
            <w:r w:rsidR="00D41862" w:rsidRPr="000973F2">
              <w:rPr>
                <w:rFonts w:ascii="Times New Roman" w:eastAsia="Times New Roman" w:hAnsi="Times New Roman" w:cs="Times New Roman"/>
                <w:b/>
                <w:bCs/>
                <w:sz w:val="18"/>
                <w:szCs w:val="18"/>
              </w:rPr>
              <w:t xml:space="preserve"> </w:t>
            </w:r>
            <w:r w:rsidRPr="000973F2">
              <w:rPr>
                <w:rFonts w:ascii="Times New Roman" w:eastAsia="Times New Roman" w:hAnsi="Times New Roman" w:cs="Times New Roman"/>
                <w:b/>
                <w:bCs/>
                <w:sz w:val="18"/>
                <w:szCs w:val="18"/>
              </w:rPr>
              <w:t>Hours</w:t>
            </w:r>
          </w:p>
        </w:tc>
        <w:tc>
          <w:tcPr>
            <w:tcW w:w="848" w:type="dxa"/>
            <w:tcMar>
              <w:left w:w="29" w:type="dxa"/>
              <w:right w:w="29" w:type="dxa"/>
            </w:tcMar>
            <w:hideMark/>
          </w:tcPr>
          <w:p w14:paraId="6290DCF3" w14:textId="77777777" w:rsidR="0025278A" w:rsidRPr="000973F2" w:rsidRDefault="0025278A" w:rsidP="00D41862">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18"/>
                <w:szCs w:val="18"/>
              </w:rPr>
            </w:pPr>
            <w:r w:rsidRPr="000973F2">
              <w:rPr>
                <w:rFonts w:ascii="Times New Roman" w:eastAsia="Times New Roman" w:hAnsi="Times New Roman" w:cs="Times New Roman"/>
                <w:b/>
                <w:bCs/>
                <w:sz w:val="18"/>
                <w:szCs w:val="18"/>
              </w:rPr>
              <w:t>Initial Year</w:t>
            </w:r>
          </w:p>
        </w:tc>
        <w:tc>
          <w:tcPr>
            <w:tcW w:w="848" w:type="dxa"/>
            <w:tcMar>
              <w:left w:w="29" w:type="dxa"/>
              <w:right w:w="29" w:type="dxa"/>
            </w:tcMar>
            <w:hideMark/>
          </w:tcPr>
          <w:p w14:paraId="6A7947A4" w14:textId="77777777" w:rsidR="0025278A" w:rsidRPr="000973F2" w:rsidRDefault="0025278A" w:rsidP="00D41862">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18"/>
                <w:szCs w:val="18"/>
              </w:rPr>
            </w:pPr>
            <w:r w:rsidRPr="000973F2">
              <w:rPr>
                <w:rFonts w:ascii="Times New Roman" w:eastAsia="Times New Roman" w:hAnsi="Times New Roman" w:cs="Times New Roman"/>
                <w:b/>
                <w:bCs/>
                <w:sz w:val="18"/>
                <w:szCs w:val="18"/>
              </w:rPr>
              <w:t>Subseq. Year</w:t>
            </w:r>
          </w:p>
        </w:tc>
      </w:tr>
      <w:tr w:rsidR="00D41862" w:rsidRPr="000973F2" w14:paraId="6241ABC7" w14:textId="77777777" w:rsidTr="00D41862">
        <w:trPr>
          <w:cantSplit/>
        </w:trPr>
        <w:tc>
          <w:tcPr>
            <w:cnfStyle w:val="001000000000" w:firstRow="0" w:lastRow="0" w:firstColumn="1" w:lastColumn="0" w:oddVBand="0" w:evenVBand="0" w:oddHBand="0" w:evenHBand="0" w:firstRowFirstColumn="0" w:firstRowLastColumn="0" w:lastRowFirstColumn="0" w:lastRowLastColumn="0"/>
            <w:tcW w:w="1425" w:type="dxa"/>
            <w:tcMar>
              <w:left w:w="115" w:type="dxa"/>
              <w:right w:w="14" w:type="dxa"/>
            </w:tcMar>
            <w:hideMark/>
          </w:tcPr>
          <w:p w14:paraId="26415C19" w14:textId="77777777" w:rsidR="003E005F" w:rsidRPr="000973F2" w:rsidRDefault="003E005F" w:rsidP="00D41862">
            <w:pPr>
              <w:spacing w:before="40" w:after="4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Planning</w:t>
            </w:r>
          </w:p>
        </w:tc>
        <w:tc>
          <w:tcPr>
            <w:tcW w:w="776" w:type="dxa"/>
            <w:noWrap/>
            <w:hideMark/>
          </w:tcPr>
          <w:p w14:paraId="3476FBDB" w14:textId="69E9C68C" w:rsidR="003E005F" w:rsidRPr="000973F2" w:rsidRDefault="00D41862" w:rsidP="00D41862">
            <w:pPr>
              <w:spacing w:before="40" w:after="4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w:t>
            </w:r>
          </w:p>
        </w:tc>
        <w:tc>
          <w:tcPr>
            <w:tcW w:w="776" w:type="dxa"/>
            <w:noWrap/>
            <w:hideMark/>
          </w:tcPr>
          <w:p w14:paraId="53A8D30E" w14:textId="77CC05DE" w:rsidR="003E005F" w:rsidRPr="000973F2" w:rsidRDefault="00D41862" w:rsidP="00D41862">
            <w:pPr>
              <w:spacing w:before="40" w:after="4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w:t>
            </w:r>
          </w:p>
        </w:tc>
        <w:tc>
          <w:tcPr>
            <w:tcW w:w="776" w:type="dxa"/>
            <w:noWrap/>
            <w:hideMark/>
          </w:tcPr>
          <w:p w14:paraId="0EB59967" w14:textId="3F4C081A" w:rsidR="003E005F" w:rsidRPr="000973F2" w:rsidRDefault="00D41862" w:rsidP="00D41862">
            <w:pPr>
              <w:spacing w:before="40" w:after="4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w:t>
            </w:r>
          </w:p>
        </w:tc>
        <w:tc>
          <w:tcPr>
            <w:tcW w:w="776" w:type="dxa"/>
            <w:noWrap/>
            <w:hideMark/>
          </w:tcPr>
          <w:p w14:paraId="67CACBAC" w14:textId="3A3840A6" w:rsidR="003E005F" w:rsidRPr="000973F2" w:rsidRDefault="00D41862" w:rsidP="00D41862">
            <w:pPr>
              <w:tabs>
                <w:tab w:val="decimal" w:pos="271"/>
              </w:tabs>
              <w:spacing w:before="40" w:after="4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w:t>
            </w:r>
          </w:p>
        </w:tc>
        <w:tc>
          <w:tcPr>
            <w:tcW w:w="776" w:type="dxa"/>
            <w:noWrap/>
            <w:hideMark/>
          </w:tcPr>
          <w:p w14:paraId="69F47BB8" w14:textId="0C51EBB3" w:rsidR="003E005F" w:rsidRPr="000973F2" w:rsidRDefault="00D41862" w:rsidP="00D41862">
            <w:pPr>
              <w:spacing w:before="40" w:after="4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w:t>
            </w:r>
          </w:p>
        </w:tc>
        <w:tc>
          <w:tcPr>
            <w:tcW w:w="776" w:type="dxa"/>
            <w:noWrap/>
            <w:hideMark/>
          </w:tcPr>
          <w:p w14:paraId="633B33CF" w14:textId="50A0C983" w:rsidR="003E005F" w:rsidRPr="000973F2" w:rsidRDefault="00D41862" w:rsidP="00D41862">
            <w:pPr>
              <w:tabs>
                <w:tab w:val="decimal" w:pos="421"/>
              </w:tabs>
              <w:spacing w:before="40" w:after="4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w:t>
            </w:r>
          </w:p>
        </w:tc>
        <w:tc>
          <w:tcPr>
            <w:tcW w:w="776" w:type="dxa"/>
            <w:noWrap/>
            <w:hideMark/>
          </w:tcPr>
          <w:p w14:paraId="713F709A" w14:textId="4158F2EF" w:rsidR="003E005F" w:rsidRPr="000973F2" w:rsidRDefault="00D41862" w:rsidP="00D41862">
            <w:pPr>
              <w:spacing w:before="40" w:after="4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w:t>
            </w:r>
          </w:p>
        </w:tc>
        <w:tc>
          <w:tcPr>
            <w:tcW w:w="777" w:type="dxa"/>
            <w:noWrap/>
            <w:hideMark/>
          </w:tcPr>
          <w:p w14:paraId="29CFAD12" w14:textId="3ED1D570" w:rsidR="003E005F" w:rsidRPr="000973F2" w:rsidRDefault="00D41862" w:rsidP="00D41862">
            <w:pPr>
              <w:tabs>
                <w:tab w:val="decimal" w:pos="316"/>
              </w:tabs>
              <w:spacing w:before="40" w:after="4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w:t>
            </w:r>
          </w:p>
        </w:tc>
        <w:tc>
          <w:tcPr>
            <w:tcW w:w="848" w:type="dxa"/>
            <w:noWrap/>
            <w:hideMark/>
          </w:tcPr>
          <w:p w14:paraId="1F2F5F63" w14:textId="7F79EBAC" w:rsidR="003E005F" w:rsidRPr="000973F2" w:rsidRDefault="00D41862" w:rsidP="00D41862">
            <w:pPr>
              <w:spacing w:before="40" w:after="4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w:t>
            </w:r>
          </w:p>
        </w:tc>
        <w:tc>
          <w:tcPr>
            <w:tcW w:w="848" w:type="dxa"/>
            <w:noWrap/>
            <w:hideMark/>
          </w:tcPr>
          <w:p w14:paraId="776B1641" w14:textId="28E4F695" w:rsidR="003E005F" w:rsidRPr="000973F2" w:rsidRDefault="00D41862" w:rsidP="00D41862">
            <w:pPr>
              <w:tabs>
                <w:tab w:val="decimal" w:pos="571"/>
              </w:tabs>
              <w:spacing w:before="40" w:after="4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w:t>
            </w:r>
          </w:p>
        </w:tc>
      </w:tr>
      <w:tr w:rsidR="0025278A" w:rsidRPr="000973F2" w14:paraId="4A496061" w14:textId="77777777" w:rsidTr="00D41862">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1425" w:type="dxa"/>
            <w:tcMar>
              <w:left w:w="115" w:type="dxa"/>
              <w:right w:w="14" w:type="dxa"/>
            </w:tcMar>
            <w:hideMark/>
          </w:tcPr>
          <w:p w14:paraId="0C67EE5A" w14:textId="77777777" w:rsidR="0025278A" w:rsidRPr="000973F2" w:rsidRDefault="0025278A" w:rsidP="00D41862">
            <w:pPr>
              <w:spacing w:before="40" w:after="4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QA/QC</w:t>
            </w:r>
          </w:p>
        </w:tc>
        <w:tc>
          <w:tcPr>
            <w:tcW w:w="776" w:type="dxa"/>
            <w:noWrap/>
            <w:hideMark/>
          </w:tcPr>
          <w:p w14:paraId="0A2FAC3E" w14:textId="77777777" w:rsidR="0025278A" w:rsidRPr="000973F2" w:rsidRDefault="0025278A" w:rsidP="00D41862">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0</w:t>
            </w:r>
          </w:p>
        </w:tc>
        <w:tc>
          <w:tcPr>
            <w:tcW w:w="776" w:type="dxa"/>
            <w:noWrap/>
            <w:hideMark/>
          </w:tcPr>
          <w:p w14:paraId="61EF8D2E" w14:textId="77777777" w:rsidR="0025278A" w:rsidRPr="000973F2" w:rsidRDefault="0025278A" w:rsidP="00D41862">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0</w:t>
            </w:r>
          </w:p>
        </w:tc>
        <w:tc>
          <w:tcPr>
            <w:tcW w:w="776" w:type="dxa"/>
            <w:noWrap/>
            <w:hideMark/>
          </w:tcPr>
          <w:p w14:paraId="3E080291" w14:textId="77777777" w:rsidR="0025278A" w:rsidRPr="000973F2" w:rsidRDefault="0025278A" w:rsidP="00D41862">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0</w:t>
            </w:r>
          </w:p>
        </w:tc>
        <w:tc>
          <w:tcPr>
            <w:tcW w:w="776" w:type="dxa"/>
            <w:noWrap/>
            <w:hideMark/>
          </w:tcPr>
          <w:p w14:paraId="54573AE2" w14:textId="77777777" w:rsidR="0025278A" w:rsidRPr="000973F2" w:rsidRDefault="0025278A" w:rsidP="00D41862">
            <w:pPr>
              <w:tabs>
                <w:tab w:val="decimal" w:pos="271"/>
              </w:tabs>
              <w:spacing w:before="40" w:after="4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5.0</w:t>
            </w:r>
          </w:p>
        </w:tc>
        <w:tc>
          <w:tcPr>
            <w:tcW w:w="776" w:type="dxa"/>
            <w:noWrap/>
            <w:hideMark/>
          </w:tcPr>
          <w:p w14:paraId="317AD182" w14:textId="77777777" w:rsidR="0025278A" w:rsidRPr="000973F2" w:rsidRDefault="0025278A" w:rsidP="00D41862">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0</w:t>
            </w:r>
          </w:p>
        </w:tc>
        <w:tc>
          <w:tcPr>
            <w:tcW w:w="776" w:type="dxa"/>
            <w:noWrap/>
            <w:hideMark/>
          </w:tcPr>
          <w:p w14:paraId="4FC44729" w14:textId="77777777" w:rsidR="0025278A" w:rsidRPr="000973F2" w:rsidRDefault="0025278A" w:rsidP="00D41862">
            <w:pPr>
              <w:tabs>
                <w:tab w:val="decimal" w:pos="421"/>
              </w:tabs>
              <w:spacing w:before="40" w:after="4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0</w:t>
            </w:r>
          </w:p>
        </w:tc>
        <w:tc>
          <w:tcPr>
            <w:tcW w:w="776" w:type="dxa"/>
            <w:noWrap/>
            <w:hideMark/>
          </w:tcPr>
          <w:p w14:paraId="37EACF0E" w14:textId="77777777" w:rsidR="0025278A" w:rsidRPr="000973F2" w:rsidRDefault="0025278A" w:rsidP="00D41862">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0</w:t>
            </w:r>
          </w:p>
        </w:tc>
        <w:tc>
          <w:tcPr>
            <w:tcW w:w="777" w:type="dxa"/>
            <w:noWrap/>
            <w:hideMark/>
          </w:tcPr>
          <w:p w14:paraId="461619C9" w14:textId="77777777" w:rsidR="0025278A" w:rsidRPr="000973F2" w:rsidRDefault="0025278A" w:rsidP="00D41862">
            <w:pPr>
              <w:tabs>
                <w:tab w:val="decimal" w:pos="316"/>
              </w:tabs>
              <w:spacing w:before="40" w:after="4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0</w:t>
            </w:r>
          </w:p>
        </w:tc>
        <w:tc>
          <w:tcPr>
            <w:tcW w:w="848" w:type="dxa"/>
            <w:noWrap/>
            <w:hideMark/>
          </w:tcPr>
          <w:p w14:paraId="58E81BB8" w14:textId="3117C053" w:rsidR="0025278A" w:rsidRPr="000973F2" w:rsidRDefault="0025278A" w:rsidP="00D41862">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$0</w:t>
            </w:r>
          </w:p>
        </w:tc>
        <w:tc>
          <w:tcPr>
            <w:tcW w:w="848" w:type="dxa"/>
            <w:noWrap/>
            <w:hideMark/>
          </w:tcPr>
          <w:p w14:paraId="5B7C4AAB" w14:textId="7739F994" w:rsidR="0025278A" w:rsidRPr="000973F2" w:rsidRDefault="0025278A" w:rsidP="00D41862">
            <w:pPr>
              <w:tabs>
                <w:tab w:val="decimal" w:pos="571"/>
              </w:tabs>
              <w:spacing w:before="40" w:after="4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$437</w:t>
            </w:r>
          </w:p>
        </w:tc>
      </w:tr>
      <w:tr w:rsidR="00D41862" w:rsidRPr="000973F2" w14:paraId="173A7EF0" w14:textId="77777777" w:rsidTr="00D41862">
        <w:trPr>
          <w:cantSplit/>
        </w:trPr>
        <w:tc>
          <w:tcPr>
            <w:cnfStyle w:val="001000000000" w:firstRow="0" w:lastRow="0" w:firstColumn="1" w:lastColumn="0" w:oddVBand="0" w:evenVBand="0" w:oddHBand="0" w:evenHBand="0" w:firstRowFirstColumn="0" w:firstRowLastColumn="0" w:lastRowFirstColumn="0" w:lastRowLastColumn="0"/>
            <w:tcW w:w="1425" w:type="dxa"/>
            <w:tcMar>
              <w:left w:w="115" w:type="dxa"/>
              <w:right w:w="14" w:type="dxa"/>
            </w:tcMar>
            <w:hideMark/>
          </w:tcPr>
          <w:p w14:paraId="7C035668" w14:textId="77777777" w:rsidR="003E005F" w:rsidRPr="000973F2" w:rsidRDefault="003E005F" w:rsidP="00D41862">
            <w:pPr>
              <w:spacing w:before="40" w:after="4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Recordkeeping</w:t>
            </w:r>
          </w:p>
        </w:tc>
        <w:tc>
          <w:tcPr>
            <w:tcW w:w="776" w:type="dxa"/>
            <w:noWrap/>
            <w:hideMark/>
          </w:tcPr>
          <w:p w14:paraId="2716C693" w14:textId="5F07B1E5" w:rsidR="003E005F" w:rsidRPr="000973F2" w:rsidRDefault="00D41862" w:rsidP="00D41862">
            <w:pPr>
              <w:spacing w:before="40" w:after="4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w:t>
            </w:r>
          </w:p>
        </w:tc>
        <w:tc>
          <w:tcPr>
            <w:tcW w:w="776" w:type="dxa"/>
            <w:noWrap/>
            <w:hideMark/>
          </w:tcPr>
          <w:p w14:paraId="2FCCB35F" w14:textId="5A3A63AC" w:rsidR="003E005F" w:rsidRPr="000973F2" w:rsidRDefault="00D41862" w:rsidP="00D41862">
            <w:pPr>
              <w:spacing w:before="40" w:after="4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w:t>
            </w:r>
          </w:p>
        </w:tc>
        <w:tc>
          <w:tcPr>
            <w:tcW w:w="776" w:type="dxa"/>
            <w:noWrap/>
            <w:hideMark/>
          </w:tcPr>
          <w:p w14:paraId="5B09FF4E" w14:textId="07F7ACFA" w:rsidR="003E005F" w:rsidRPr="000973F2" w:rsidRDefault="00D41862" w:rsidP="00D41862">
            <w:pPr>
              <w:spacing w:before="40" w:after="4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w:t>
            </w:r>
          </w:p>
        </w:tc>
        <w:tc>
          <w:tcPr>
            <w:tcW w:w="776" w:type="dxa"/>
            <w:noWrap/>
            <w:hideMark/>
          </w:tcPr>
          <w:p w14:paraId="29942B3B" w14:textId="5F63F33E" w:rsidR="003E005F" w:rsidRPr="000973F2" w:rsidRDefault="00D41862" w:rsidP="00D41862">
            <w:pPr>
              <w:tabs>
                <w:tab w:val="decimal" w:pos="271"/>
              </w:tabs>
              <w:spacing w:before="40" w:after="4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w:t>
            </w:r>
          </w:p>
        </w:tc>
        <w:tc>
          <w:tcPr>
            <w:tcW w:w="776" w:type="dxa"/>
            <w:noWrap/>
            <w:hideMark/>
          </w:tcPr>
          <w:p w14:paraId="344B2C62" w14:textId="3C35B43A" w:rsidR="003E005F" w:rsidRPr="000973F2" w:rsidRDefault="00D41862" w:rsidP="00D41862">
            <w:pPr>
              <w:spacing w:before="40" w:after="4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w:t>
            </w:r>
          </w:p>
        </w:tc>
        <w:tc>
          <w:tcPr>
            <w:tcW w:w="776" w:type="dxa"/>
            <w:noWrap/>
            <w:hideMark/>
          </w:tcPr>
          <w:p w14:paraId="42F27D0C" w14:textId="5DFD21C3" w:rsidR="003E005F" w:rsidRPr="000973F2" w:rsidRDefault="00D41862" w:rsidP="00D41862">
            <w:pPr>
              <w:tabs>
                <w:tab w:val="decimal" w:pos="421"/>
              </w:tabs>
              <w:spacing w:before="40" w:after="4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w:t>
            </w:r>
          </w:p>
        </w:tc>
        <w:tc>
          <w:tcPr>
            <w:tcW w:w="776" w:type="dxa"/>
            <w:noWrap/>
            <w:hideMark/>
          </w:tcPr>
          <w:p w14:paraId="6BB42034" w14:textId="059BC7DA" w:rsidR="003E005F" w:rsidRPr="000973F2" w:rsidRDefault="00D41862" w:rsidP="00D41862">
            <w:pPr>
              <w:spacing w:before="40" w:after="4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w:t>
            </w:r>
          </w:p>
        </w:tc>
        <w:tc>
          <w:tcPr>
            <w:tcW w:w="777" w:type="dxa"/>
            <w:noWrap/>
            <w:hideMark/>
          </w:tcPr>
          <w:p w14:paraId="78446BD7" w14:textId="16E75325" w:rsidR="003E005F" w:rsidRPr="000973F2" w:rsidRDefault="00D41862" w:rsidP="00D41862">
            <w:pPr>
              <w:tabs>
                <w:tab w:val="decimal" w:pos="316"/>
              </w:tabs>
              <w:spacing w:before="40" w:after="4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w:t>
            </w:r>
          </w:p>
        </w:tc>
        <w:tc>
          <w:tcPr>
            <w:tcW w:w="848" w:type="dxa"/>
            <w:noWrap/>
            <w:hideMark/>
          </w:tcPr>
          <w:p w14:paraId="73EA082B" w14:textId="585BA97D" w:rsidR="003E005F" w:rsidRPr="000973F2" w:rsidRDefault="00D41862" w:rsidP="00D41862">
            <w:pPr>
              <w:spacing w:before="40" w:after="4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w:t>
            </w:r>
          </w:p>
        </w:tc>
        <w:tc>
          <w:tcPr>
            <w:tcW w:w="848" w:type="dxa"/>
            <w:noWrap/>
            <w:hideMark/>
          </w:tcPr>
          <w:p w14:paraId="74485D91" w14:textId="49C8EB25" w:rsidR="003E005F" w:rsidRPr="000973F2" w:rsidRDefault="00D41862" w:rsidP="00D41862">
            <w:pPr>
              <w:tabs>
                <w:tab w:val="decimal" w:pos="571"/>
              </w:tabs>
              <w:spacing w:before="40" w:after="4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w:t>
            </w:r>
          </w:p>
        </w:tc>
      </w:tr>
      <w:tr w:rsidR="0025278A" w:rsidRPr="000973F2" w14:paraId="17BEA084" w14:textId="77777777" w:rsidTr="00D41862">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1425" w:type="dxa"/>
            <w:tcMar>
              <w:left w:w="115" w:type="dxa"/>
              <w:right w:w="14" w:type="dxa"/>
            </w:tcMar>
            <w:hideMark/>
          </w:tcPr>
          <w:p w14:paraId="3A246905" w14:textId="77777777" w:rsidR="0025278A" w:rsidRPr="000973F2" w:rsidRDefault="0025278A" w:rsidP="00D41862">
            <w:pPr>
              <w:spacing w:before="40" w:after="4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Sampling and Analysis (Calculations)</w:t>
            </w:r>
          </w:p>
        </w:tc>
        <w:tc>
          <w:tcPr>
            <w:tcW w:w="776" w:type="dxa"/>
            <w:noWrap/>
            <w:hideMark/>
          </w:tcPr>
          <w:p w14:paraId="21DDC8A0" w14:textId="77777777" w:rsidR="0025278A" w:rsidRPr="000973F2" w:rsidRDefault="0025278A" w:rsidP="00D41862">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0</w:t>
            </w:r>
          </w:p>
        </w:tc>
        <w:tc>
          <w:tcPr>
            <w:tcW w:w="776" w:type="dxa"/>
            <w:noWrap/>
            <w:hideMark/>
          </w:tcPr>
          <w:p w14:paraId="54665380" w14:textId="77777777" w:rsidR="0025278A" w:rsidRPr="000973F2" w:rsidRDefault="0025278A" w:rsidP="00D41862">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0</w:t>
            </w:r>
          </w:p>
        </w:tc>
        <w:tc>
          <w:tcPr>
            <w:tcW w:w="776" w:type="dxa"/>
            <w:noWrap/>
            <w:hideMark/>
          </w:tcPr>
          <w:p w14:paraId="749E4A3C" w14:textId="77777777" w:rsidR="0025278A" w:rsidRPr="000973F2" w:rsidRDefault="0025278A" w:rsidP="00D41862">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0</w:t>
            </w:r>
          </w:p>
        </w:tc>
        <w:tc>
          <w:tcPr>
            <w:tcW w:w="776" w:type="dxa"/>
            <w:noWrap/>
            <w:hideMark/>
          </w:tcPr>
          <w:p w14:paraId="7792DFD9" w14:textId="77777777" w:rsidR="0025278A" w:rsidRPr="000973F2" w:rsidRDefault="0025278A" w:rsidP="00D41862">
            <w:pPr>
              <w:tabs>
                <w:tab w:val="decimal" w:pos="271"/>
              </w:tabs>
              <w:spacing w:before="40" w:after="4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12.5</w:t>
            </w:r>
          </w:p>
        </w:tc>
        <w:tc>
          <w:tcPr>
            <w:tcW w:w="776" w:type="dxa"/>
            <w:noWrap/>
            <w:hideMark/>
          </w:tcPr>
          <w:p w14:paraId="58A27201" w14:textId="77777777" w:rsidR="0025278A" w:rsidRPr="000973F2" w:rsidRDefault="0025278A" w:rsidP="00D41862">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0</w:t>
            </w:r>
          </w:p>
        </w:tc>
        <w:tc>
          <w:tcPr>
            <w:tcW w:w="776" w:type="dxa"/>
            <w:noWrap/>
            <w:hideMark/>
          </w:tcPr>
          <w:p w14:paraId="6AFC7909" w14:textId="77777777" w:rsidR="0025278A" w:rsidRPr="000973F2" w:rsidRDefault="0025278A" w:rsidP="00D41862">
            <w:pPr>
              <w:tabs>
                <w:tab w:val="decimal" w:pos="421"/>
              </w:tabs>
              <w:spacing w:before="40" w:after="4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250</w:t>
            </w:r>
          </w:p>
        </w:tc>
        <w:tc>
          <w:tcPr>
            <w:tcW w:w="776" w:type="dxa"/>
            <w:noWrap/>
            <w:hideMark/>
          </w:tcPr>
          <w:p w14:paraId="72BC44F4" w14:textId="77777777" w:rsidR="0025278A" w:rsidRPr="000973F2" w:rsidRDefault="0025278A" w:rsidP="00D41862">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0</w:t>
            </w:r>
          </w:p>
        </w:tc>
        <w:tc>
          <w:tcPr>
            <w:tcW w:w="777" w:type="dxa"/>
            <w:noWrap/>
            <w:hideMark/>
          </w:tcPr>
          <w:p w14:paraId="3BAE3A0E" w14:textId="77777777" w:rsidR="0025278A" w:rsidRPr="000973F2" w:rsidRDefault="0025278A" w:rsidP="00D41862">
            <w:pPr>
              <w:tabs>
                <w:tab w:val="decimal" w:pos="316"/>
              </w:tabs>
              <w:spacing w:before="40" w:after="4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25</w:t>
            </w:r>
          </w:p>
        </w:tc>
        <w:tc>
          <w:tcPr>
            <w:tcW w:w="848" w:type="dxa"/>
            <w:noWrap/>
            <w:hideMark/>
          </w:tcPr>
          <w:p w14:paraId="25F5F6D7" w14:textId="0628A346" w:rsidR="0025278A" w:rsidRPr="000973F2" w:rsidRDefault="0025278A" w:rsidP="00D41862">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$0</w:t>
            </w:r>
          </w:p>
        </w:tc>
        <w:tc>
          <w:tcPr>
            <w:tcW w:w="848" w:type="dxa"/>
            <w:noWrap/>
            <w:hideMark/>
          </w:tcPr>
          <w:p w14:paraId="680B6215" w14:textId="600C5552" w:rsidR="0025278A" w:rsidRPr="000973F2" w:rsidRDefault="0025278A" w:rsidP="00D41862">
            <w:pPr>
              <w:tabs>
                <w:tab w:val="decimal" w:pos="571"/>
              </w:tabs>
              <w:spacing w:before="40" w:after="4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$19,863</w:t>
            </w:r>
          </w:p>
        </w:tc>
      </w:tr>
      <w:tr w:rsidR="00D41862" w:rsidRPr="000973F2" w14:paraId="117E6303" w14:textId="77777777" w:rsidTr="00D41862">
        <w:trPr>
          <w:cantSplit/>
        </w:trPr>
        <w:tc>
          <w:tcPr>
            <w:cnfStyle w:val="001000000000" w:firstRow="0" w:lastRow="0" w:firstColumn="1" w:lastColumn="0" w:oddVBand="0" w:evenVBand="0" w:oddHBand="0" w:evenHBand="0" w:firstRowFirstColumn="0" w:firstRowLastColumn="0" w:lastRowFirstColumn="0" w:lastRowLastColumn="0"/>
            <w:tcW w:w="1425" w:type="dxa"/>
            <w:tcMar>
              <w:left w:w="115" w:type="dxa"/>
              <w:right w:w="14" w:type="dxa"/>
            </w:tcMar>
            <w:hideMark/>
          </w:tcPr>
          <w:p w14:paraId="0720961D" w14:textId="77777777" w:rsidR="003E005F" w:rsidRPr="000973F2" w:rsidRDefault="003E005F" w:rsidP="00D41862">
            <w:pPr>
              <w:spacing w:before="40" w:after="4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Reporting</w:t>
            </w:r>
          </w:p>
        </w:tc>
        <w:tc>
          <w:tcPr>
            <w:tcW w:w="776" w:type="dxa"/>
            <w:noWrap/>
            <w:hideMark/>
          </w:tcPr>
          <w:p w14:paraId="082B85D2" w14:textId="44575796" w:rsidR="003E005F" w:rsidRPr="000973F2" w:rsidRDefault="00D41862" w:rsidP="00D41862">
            <w:pPr>
              <w:spacing w:before="40" w:after="4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w:t>
            </w:r>
          </w:p>
        </w:tc>
        <w:tc>
          <w:tcPr>
            <w:tcW w:w="776" w:type="dxa"/>
            <w:noWrap/>
            <w:hideMark/>
          </w:tcPr>
          <w:p w14:paraId="08B96E02" w14:textId="44B384D7" w:rsidR="003E005F" w:rsidRPr="000973F2" w:rsidRDefault="00D41862" w:rsidP="00D41862">
            <w:pPr>
              <w:spacing w:before="40" w:after="4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w:t>
            </w:r>
          </w:p>
        </w:tc>
        <w:tc>
          <w:tcPr>
            <w:tcW w:w="776" w:type="dxa"/>
            <w:noWrap/>
            <w:hideMark/>
          </w:tcPr>
          <w:p w14:paraId="4CBDF65A" w14:textId="214BDD47" w:rsidR="003E005F" w:rsidRPr="000973F2" w:rsidRDefault="00D41862" w:rsidP="00D41862">
            <w:pPr>
              <w:spacing w:before="40" w:after="4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w:t>
            </w:r>
          </w:p>
        </w:tc>
        <w:tc>
          <w:tcPr>
            <w:tcW w:w="776" w:type="dxa"/>
            <w:noWrap/>
            <w:hideMark/>
          </w:tcPr>
          <w:p w14:paraId="2EA0BA4E" w14:textId="74AAF7EC" w:rsidR="003E005F" w:rsidRPr="000973F2" w:rsidRDefault="00D41862" w:rsidP="00D41862">
            <w:pPr>
              <w:tabs>
                <w:tab w:val="decimal" w:pos="271"/>
              </w:tabs>
              <w:spacing w:before="40" w:after="4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w:t>
            </w:r>
          </w:p>
        </w:tc>
        <w:tc>
          <w:tcPr>
            <w:tcW w:w="776" w:type="dxa"/>
            <w:noWrap/>
            <w:hideMark/>
          </w:tcPr>
          <w:p w14:paraId="6718137B" w14:textId="4549FF62" w:rsidR="003E005F" w:rsidRPr="000973F2" w:rsidRDefault="00D41862" w:rsidP="00D41862">
            <w:pPr>
              <w:spacing w:before="40" w:after="4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w:t>
            </w:r>
          </w:p>
        </w:tc>
        <w:tc>
          <w:tcPr>
            <w:tcW w:w="776" w:type="dxa"/>
            <w:noWrap/>
            <w:hideMark/>
          </w:tcPr>
          <w:p w14:paraId="21B04B06" w14:textId="5321649C" w:rsidR="003E005F" w:rsidRPr="000973F2" w:rsidRDefault="00D41862" w:rsidP="00D41862">
            <w:pPr>
              <w:tabs>
                <w:tab w:val="decimal" w:pos="421"/>
              </w:tabs>
              <w:spacing w:before="40" w:after="4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w:t>
            </w:r>
          </w:p>
        </w:tc>
        <w:tc>
          <w:tcPr>
            <w:tcW w:w="776" w:type="dxa"/>
            <w:noWrap/>
            <w:hideMark/>
          </w:tcPr>
          <w:p w14:paraId="033AE9E5" w14:textId="630D4570" w:rsidR="003E005F" w:rsidRPr="000973F2" w:rsidRDefault="00D41862" w:rsidP="00D41862">
            <w:pPr>
              <w:spacing w:before="40" w:after="4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w:t>
            </w:r>
          </w:p>
        </w:tc>
        <w:tc>
          <w:tcPr>
            <w:tcW w:w="777" w:type="dxa"/>
            <w:noWrap/>
            <w:hideMark/>
          </w:tcPr>
          <w:p w14:paraId="062B98F6" w14:textId="68A32453" w:rsidR="003E005F" w:rsidRPr="000973F2" w:rsidRDefault="00D41862" w:rsidP="00D41862">
            <w:pPr>
              <w:tabs>
                <w:tab w:val="decimal" w:pos="316"/>
              </w:tabs>
              <w:spacing w:before="40" w:after="4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w:t>
            </w:r>
          </w:p>
        </w:tc>
        <w:tc>
          <w:tcPr>
            <w:tcW w:w="848" w:type="dxa"/>
            <w:noWrap/>
            <w:hideMark/>
          </w:tcPr>
          <w:p w14:paraId="5197D3A2" w14:textId="2B117D5E" w:rsidR="003E005F" w:rsidRPr="000973F2" w:rsidRDefault="00D41862" w:rsidP="00D41862">
            <w:pPr>
              <w:spacing w:before="40" w:after="4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w:t>
            </w:r>
          </w:p>
        </w:tc>
        <w:tc>
          <w:tcPr>
            <w:tcW w:w="848" w:type="dxa"/>
            <w:noWrap/>
            <w:hideMark/>
          </w:tcPr>
          <w:p w14:paraId="489EDC83" w14:textId="6ECD66D9" w:rsidR="003E005F" w:rsidRPr="000973F2" w:rsidRDefault="00D41862" w:rsidP="00D41862">
            <w:pPr>
              <w:tabs>
                <w:tab w:val="decimal" w:pos="571"/>
              </w:tabs>
              <w:spacing w:before="40" w:after="4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w:t>
            </w:r>
          </w:p>
        </w:tc>
      </w:tr>
      <w:tr w:rsidR="0025278A" w:rsidRPr="000973F2" w14:paraId="200BC18B" w14:textId="77777777" w:rsidTr="00D41862">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1425" w:type="dxa"/>
            <w:noWrap/>
            <w:tcMar>
              <w:left w:w="115" w:type="dxa"/>
              <w:right w:w="14" w:type="dxa"/>
            </w:tcMar>
            <w:hideMark/>
          </w:tcPr>
          <w:p w14:paraId="38A92044" w14:textId="77777777" w:rsidR="0025278A" w:rsidRPr="000973F2" w:rsidRDefault="0025278A" w:rsidP="00D41862">
            <w:pPr>
              <w:spacing w:before="40" w:after="40"/>
              <w:rPr>
                <w:rFonts w:ascii="Times New Roman" w:eastAsia="Times New Roman" w:hAnsi="Times New Roman" w:cs="Times New Roman"/>
                <w:b/>
                <w:bCs w:val="0"/>
                <w:sz w:val="18"/>
                <w:szCs w:val="18"/>
              </w:rPr>
            </w:pPr>
            <w:r w:rsidRPr="000973F2">
              <w:rPr>
                <w:rFonts w:ascii="Times New Roman" w:eastAsia="Times New Roman" w:hAnsi="Times New Roman" w:cs="Times New Roman"/>
                <w:b/>
                <w:sz w:val="18"/>
                <w:szCs w:val="18"/>
              </w:rPr>
              <w:t>Total</w:t>
            </w:r>
          </w:p>
        </w:tc>
        <w:tc>
          <w:tcPr>
            <w:tcW w:w="776" w:type="dxa"/>
            <w:noWrap/>
            <w:hideMark/>
          </w:tcPr>
          <w:p w14:paraId="4B4790B1" w14:textId="77777777" w:rsidR="0025278A" w:rsidRPr="000973F2" w:rsidRDefault="0025278A" w:rsidP="00D41862">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18"/>
                <w:szCs w:val="18"/>
              </w:rPr>
            </w:pPr>
            <w:r w:rsidRPr="000973F2">
              <w:rPr>
                <w:rFonts w:ascii="Times New Roman" w:eastAsia="Times New Roman" w:hAnsi="Times New Roman" w:cs="Times New Roman"/>
                <w:b/>
                <w:bCs/>
                <w:sz w:val="18"/>
                <w:szCs w:val="18"/>
              </w:rPr>
              <w:t>0</w:t>
            </w:r>
          </w:p>
        </w:tc>
        <w:tc>
          <w:tcPr>
            <w:tcW w:w="776" w:type="dxa"/>
            <w:noWrap/>
            <w:hideMark/>
          </w:tcPr>
          <w:p w14:paraId="1386B4CA" w14:textId="77777777" w:rsidR="0025278A" w:rsidRPr="000973F2" w:rsidRDefault="0025278A" w:rsidP="00D41862">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18"/>
                <w:szCs w:val="18"/>
              </w:rPr>
            </w:pPr>
            <w:r w:rsidRPr="000973F2">
              <w:rPr>
                <w:rFonts w:ascii="Times New Roman" w:eastAsia="Times New Roman" w:hAnsi="Times New Roman" w:cs="Times New Roman"/>
                <w:b/>
                <w:bCs/>
                <w:sz w:val="18"/>
                <w:szCs w:val="18"/>
              </w:rPr>
              <w:t>0</w:t>
            </w:r>
          </w:p>
        </w:tc>
        <w:tc>
          <w:tcPr>
            <w:tcW w:w="776" w:type="dxa"/>
            <w:noWrap/>
            <w:hideMark/>
          </w:tcPr>
          <w:p w14:paraId="31D25EBC" w14:textId="77777777" w:rsidR="0025278A" w:rsidRPr="000973F2" w:rsidRDefault="0025278A" w:rsidP="00D41862">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18"/>
                <w:szCs w:val="18"/>
              </w:rPr>
            </w:pPr>
            <w:r w:rsidRPr="000973F2">
              <w:rPr>
                <w:rFonts w:ascii="Times New Roman" w:eastAsia="Times New Roman" w:hAnsi="Times New Roman" w:cs="Times New Roman"/>
                <w:b/>
                <w:bCs/>
                <w:sz w:val="18"/>
                <w:szCs w:val="18"/>
              </w:rPr>
              <w:t>0</w:t>
            </w:r>
          </w:p>
        </w:tc>
        <w:tc>
          <w:tcPr>
            <w:tcW w:w="776" w:type="dxa"/>
            <w:noWrap/>
            <w:hideMark/>
          </w:tcPr>
          <w:p w14:paraId="6E89125C" w14:textId="77777777" w:rsidR="0025278A" w:rsidRPr="000973F2" w:rsidRDefault="0025278A" w:rsidP="00D41862">
            <w:pPr>
              <w:tabs>
                <w:tab w:val="decimal" w:pos="271"/>
              </w:tabs>
              <w:spacing w:before="40" w:after="4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18"/>
                <w:szCs w:val="18"/>
              </w:rPr>
            </w:pPr>
            <w:r w:rsidRPr="000973F2">
              <w:rPr>
                <w:rFonts w:ascii="Times New Roman" w:eastAsia="Times New Roman" w:hAnsi="Times New Roman" w:cs="Times New Roman"/>
                <w:b/>
                <w:bCs/>
                <w:sz w:val="18"/>
                <w:szCs w:val="18"/>
              </w:rPr>
              <w:t>17.5</w:t>
            </w:r>
          </w:p>
        </w:tc>
        <w:tc>
          <w:tcPr>
            <w:tcW w:w="776" w:type="dxa"/>
            <w:noWrap/>
            <w:hideMark/>
          </w:tcPr>
          <w:p w14:paraId="1B9238E1" w14:textId="77777777" w:rsidR="0025278A" w:rsidRPr="000973F2" w:rsidRDefault="0025278A" w:rsidP="00D41862">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18"/>
                <w:szCs w:val="18"/>
              </w:rPr>
            </w:pPr>
            <w:r w:rsidRPr="000973F2">
              <w:rPr>
                <w:rFonts w:ascii="Times New Roman" w:eastAsia="Times New Roman" w:hAnsi="Times New Roman" w:cs="Times New Roman"/>
                <w:b/>
                <w:bCs/>
                <w:sz w:val="18"/>
                <w:szCs w:val="18"/>
              </w:rPr>
              <w:t>0</w:t>
            </w:r>
          </w:p>
        </w:tc>
        <w:tc>
          <w:tcPr>
            <w:tcW w:w="776" w:type="dxa"/>
            <w:noWrap/>
            <w:hideMark/>
          </w:tcPr>
          <w:p w14:paraId="539CC11D" w14:textId="77777777" w:rsidR="0025278A" w:rsidRPr="000973F2" w:rsidRDefault="0025278A" w:rsidP="00D41862">
            <w:pPr>
              <w:tabs>
                <w:tab w:val="decimal" w:pos="421"/>
              </w:tabs>
              <w:spacing w:before="40" w:after="4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18"/>
                <w:szCs w:val="18"/>
              </w:rPr>
            </w:pPr>
            <w:r w:rsidRPr="000973F2">
              <w:rPr>
                <w:rFonts w:ascii="Times New Roman" w:eastAsia="Times New Roman" w:hAnsi="Times New Roman" w:cs="Times New Roman"/>
                <w:b/>
                <w:bCs/>
                <w:sz w:val="18"/>
                <w:szCs w:val="18"/>
              </w:rPr>
              <w:t>250</w:t>
            </w:r>
          </w:p>
        </w:tc>
        <w:tc>
          <w:tcPr>
            <w:tcW w:w="776" w:type="dxa"/>
            <w:noWrap/>
            <w:hideMark/>
          </w:tcPr>
          <w:p w14:paraId="3FA96A46" w14:textId="77777777" w:rsidR="0025278A" w:rsidRPr="000973F2" w:rsidRDefault="0025278A" w:rsidP="00D41862">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18"/>
                <w:szCs w:val="18"/>
              </w:rPr>
            </w:pPr>
            <w:r w:rsidRPr="000973F2">
              <w:rPr>
                <w:rFonts w:ascii="Times New Roman" w:eastAsia="Times New Roman" w:hAnsi="Times New Roman" w:cs="Times New Roman"/>
                <w:b/>
                <w:bCs/>
                <w:sz w:val="18"/>
                <w:szCs w:val="18"/>
              </w:rPr>
              <w:t>0</w:t>
            </w:r>
          </w:p>
        </w:tc>
        <w:tc>
          <w:tcPr>
            <w:tcW w:w="777" w:type="dxa"/>
            <w:noWrap/>
            <w:hideMark/>
          </w:tcPr>
          <w:p w14:paraId="615ED91E" w14:textId="77777777" w:rsidR="0025278A" w:rsidRPr="000973F2" w:rsidRDefault="0025278A" w:rsidP="00D41862">
            <w:pPr>
              <w:tabs>
                <w:tab w:val="decimal" w:pos="316"/>
              </w:tabs>
              <w:spacing w:before="40" w:after="4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18"/>
                <w:szCs w:val="18"/>
              </w:rPr>
            </w:pPr>
            <w:r w:rsidRPr="000973F2">
              <w:rPr>
                <w:rFonts w:ascii="Times New Roman" w:eastAsia="Times New Roman" w:hAnsi="Times New Roman" w:cs="Times New Roman"/>
                <w:b/>
                <w:bCs/>
                <w:sz w:val="18"/>
                <w:szCs w:val="18"/>
              </w:rPr>
              <w:t>25</w:t>
            </w:r>
          </w:p>
        </w:tc>
        <w:tc>
          <w:tcPr>
            <w:tcW w:w="848" w:type="dxa"/>
            <w:noWrap/>
            <w:hideMark/>
          </w:tcPr>
          <w:p w14:paraId="0EBC3E00" w14:textId="54322106" w:rsidR="0025278A" w:rsidRPr="000973F2" w:rsidRDefault="0025278A" w:rsidP="00D41862">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18"/>
                <w:szCs w:val="18"/>
              </w:rPr>
            </w:pPr>
            <w:r w:rsidRPr="000973F2">
              <w:rPr>
                <w:rFonts w:ascii="Times New Roman" w:eastAsia="Times New Roman" w:hAnsi="Times New Roman" w:cs="Times New Roman"/>
                <w:b/>
                <w:bCs/>
                <w:sz w:val="18"/>
                <w:szCs w:val="18"/>
              </w:rPr>
              <w:t>$0</w:t>
            </w:r>
          </w:p>
        </w:tc>
        <w:tc>
          <w:tcPr>
            <w:tcW w:w="848" w:type="dxa"/>
            <w:noWrap/>
            <w:hideMark/>
          </w:tcPr>
          <w:p w14:paraId="66A34144" w14:textId="2229D526" w:rsidR="0025278A" w:rsidRPr="000973F2" w:rsidRDefault="0025278A" w:rsidP="00D41862">
            <w:pPr>
              <w:tabs>
                <w:tab w:val="decimal" w:pos="571"/>
              </w:tabs>
              <w:spacing w:before="40" w:after="4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18"/>
                <w:szCs w:val="18"/>
              </w:rPr>
            </w:pPr>
            <w:r w:rsidRPr="000973F2">
              <w:rPr>
                <w:rFonts w:ascii="Times New Roman" w:eastAsia="Times New Roman" w:hAnsi="Times New Roman" w:cs="Times New Roman"/>
                <w:b/>
                <w:bCs/>
                <w:sz w:val="18"/>
                <w:szCs w:val="18"/>
              </w:rPr>
              <w:t>$20,300</w:t>
            </w:r>
          </w:p>
        </w:tc>
      </w:tr>
    </w:tbl>
    <w:p w14:paraId="7E0CC44A" w14:textId="77777777" w:rsidR="0025278A" w:rsidRPr="000973F2" w:rsidRDefault="0025278A" w:rsidP="00C00E4F">
      <w:pPr>
        <w:spacing w:line="240" w:lineRule="auto"/>
        <w:rPr>
          <w:rFonts w:ascii="Times New Roman" w:hAnsi="Times New Roman" w:cs="Times New Roman"/>
          <w:sz w:val="24"/>
          <w:szCs w:val="24"/>
        </w:rPr>
      </w:pPr>
    </w:p>
    <w:p w14:paraId="264B3123" w14:textId="77777777" w:rsidR="00DC76F5" w:rsidRPr="000973F2" w:rsidRDefault="00DC76F5" w:rsidP="00C00E4F">
      <w:pPr>
        <w:spacing w:line="240" w:lineRule="auto"/>
        <w:rPr>
          <w:rFonts w:ascii="Times New Roman" w:hAnsi="Times New Roman" w:cs="Times New Roman"/>
          <w:b/>
          <w:i/>
          <w:iCs/>
          <w:szCs w:val="24"/>
        </w:rPr>
      </w:pPr>
      <w:r w:rsidRPr="000973F2">
        <w:rPr>
          <w:rFonts w:ascii="Times New Roman" w:hAnsi="Times New Roman" w:cs="Times New Roman"/>
          <w:b/>
          <w:i/>
          <w:iCs/>
          <w:szCs w:val="24"/>
        </w:rPr>
        <w:br w:type="page"/>
      </w:r>
    </w:p>
    <w:p w14:paraId="4AD34012" w14:textId="21BB3774" w:rsidR="0025278A" w:rsidRPr="000973F2" w:rsidRDefault="0025278A" w:rsidP="00132320">
      <w:pPr>
        <w:pStyle w:val="Heading2"/>
      </w:pPr>
      <w:r w:rsidRPr="000973F2">
        <w:t>Labor Costs for Subpart L – Estimating Equipment Leak Emissions</w:t>
      </w:r>
    </w:p>
    <w:p w14:paraId="254DCFAD" w14:textId="5066C886" w:rsidR="0025278A" w:rsidRPr="000973F2" w:rsidRDefault="0025278A" w:rsidP="00132320">
      <w:pPr>
        <w:pStyle w:val="BodyText"/>
      </w:pPr>
      <w:r w:rsidRPr="000973F2">
        <w:t xml:space="preserve">The costs for estimating equipment leak emissions are provided in Table </w:t>
      </w:r>
      <w:r w:rsidR="000D7DE6" w:rsidRPr="000973F2">
        <w:t>L-</w:t>
      </w:r>
      <w:r w:rsidRPr="000973F2">
        <w:t xml:space="preserve">1d for an average facility and in Table </w:t>
      </w:r>
      <w:r w:rsidR="000D7DE6" w:rsidRPr="000973F2">
        <w:t>L-</w:t>
      </w:r>
      <w:r w:rsidRPr="000973F2">
        <w:t xml:space="preserve">1e for the large facility. Typical activities expected for the QA/QC and sampling and analysis labor categories include completing emission calculations and monitoring of equipment components. No additional hours are allocated for the planning, recordkeeping, or reporting labor categories, as these are already addressed in Table </w:t>
      </w:r>
      <w:r w:rsidR="000D7DE6" w:rsidRPr="000973F2">
        <w:t>L-</w:t>
      </w:r>
      <w:r w:rsidRPr="000973F2">
        <w:t>1a. It is expected that the large facility and 7 of the average facilities will incur costs for equipment leak emission estimates each year of this ICR.</w:t>
      </w:r>
    </w:p>
    <w:p w14:paraId="657DC760" w14:textId="7E24CAC8" w:rsidR="005D6462" w:rsidRPr="000973F2" w:rsidRDefault="005D6462" w:rsidP="00132320">
      <w:pPr>
        <w:pStyle w:val="Tabletitle"/>
        <w:rPr>
          <w:sz w:val="28"/>
          <w:szCs w:val="24"/>
        </w:rPr>
      </w:pPr>
      <w:r w:rsidRPr="000973F2">
        <w:t xml:space="preserve">Table </w:t>
      </w:r>
      <w:r w:rsidR="00132320" w:rsidRPr="000973F2">
        <w:t>L-</w:t>
      </w:r>
      <w:r w:rsidRPr="000973F2">
        <w:t xml:space="preserve">1d. Labor Costs </w:t>
      </w:r>
      <w:r w:rsidR="00132320" w:rsidRPr="000973F2">
        <w:t>–</w:t>
      </w:r>
      <w:r w:rsidRPr="000973F2">
        <w:t xml:space="preserve"> Subpart L </w:t>
      </w:r>
      <w:r w:rsidR="00B960CC" w:rsidRPr="000973F2">
        <w:t>–</w:t>
      </w:r>
      <w:r w:rsidRPr="000973F2">
        <w:t xml:space="preserve"> Estimating Equipment Leak Emissions from Average Size Facility</w:t>
      </w:r>
    </w:p>
    <w:tbl>
      <w:tblPr>
        <w:tblStyle w:val="PlainTable1"/>
        <w:tblW w:w="5000" w:type="pct"/>
        <w:jc w:val="left"/>
        <w:tblLayout w:type="fixed"/>
        <w:tblCellMar>
          <w:left w:w="115" w:type="dxa"/>
          <w:right w:w="115" w:type="dxa"/>
        </w:tblCellMar>
        <w:tblLook w:val="04A0" w:firstRow="1" w:lastRow="0" w:firstColumn="1" w:lastColumn="0" w:noHBand="0" w:noVBand="1"/>
      </w:tblPr>
      <w:tblGrid>
        <w:gridCol w:w="1281"/>
        <w:gridCol w:w="820"/>
        <w:gridCol w:w="821"/>
        <w:gridCol w:w="820"/>
        <w:gridCol w:w="821"/>
        <w:gridCol w:w="821"/>
        <w:gridCol w:w="820"/>
        <w:gridCol w:w="821"/>
        <w:gridCol w:w="821"/>
        <w:gridCol w:w="872"/>
        <w:gridCol w:w="872"/>
      </w:tblGrid>
      <w:tr w:rsidR="0025278A" w:rsidRPr="000973F2" w14:paraId="2870D484" w14:textId="77777777" w:rsidTr="00132320">
        <w:trPr>
          <w:cnfStyle w:val="100000000000" w:firstRow="1" w:lastRow="0" w:firstColumn="0" w:lastColumn="0" w:oddVBand="0" w:evenVBand="0" w:oddHBand="0" w:evenHBand="0" w:firstRowFirstColumn="0" w:firstRowLastColumn="0" w:lastRowFirstColumn="0" w:lastRowLastColumn="0"/>
          <w:cantSplit/>
          <w:jc w:val="left"/>
        </w:trPr>
        <w:tc>
          <w:tcPr>
            <w:cnfStyle w:val="001000000000" w:firstRow="0" w:lastRow="0" w:firstColumn="1" w:lastColumn="0" w:oddVBand="0" w:evenVBand="0" w:oddHBand="0" w:evenHBand="0" w:firstRowFirstColumn="0" w:firstRowLastColumn="0" w:lastRowFirstColumn="0" w:lastRowLastColumn="0"/>
            <w:tcW w:w="1245" w:type="dxa"/>
            <w:vMerge w:val="restart"/>
            <w:noWrap/>
            <w:vAlign w:val="top"/>
            <w:hideMark/>
          </w:tcPr>
          <w:p w14:paraId="696ECA6A" w14:textId="77777777" w:rsidR="0025278A" w:rsidRPr="000973F2" w:rsidRDefault="0025278A" w:rsidP="00132320">
            <w:pPr>
              <w:spacing w:before="40" w:after="40"/>
              <w:rPr>
                <w:rFonts w:ascii="Times New Roman" w:eastAsia="Times New Roman" w:hAnsi="Times New Roman" w:cs="Times New Roman"/>
                <w:bCs w:val="0"/>
                <w:sz w:val="18"/>
                <w:szCs w:val="18"/>
              </w:rPr>
            </w:pPr>
            <w:r w:rsidRPr="000973F2">
              <w:rPr>
                <w:rFonts w:ascii="Times New Roman" w:eastAsia="Times New Roman" w:hAnsi="Times New Roman" w:cs="Times New Roman"/>
                <w:sz w:val="18"/>
                <w:szCs w:val="18"/>
              </w:rPr>
              <w:t>Activity</w:t>
            </w:r>
          </w:p>
        </w:tc>
        <w:tc>
          <w:tcPr>
            <w:tcW w:w="6389" w:type="dxa"/>
            <w:gridSpan w:val="8"/>
            <w:noWrap/>
            <w:vAlign w:val="top"/>
            <w:hideMark/>
          </w:tcPr>
          <w:p w14:paraId="5A583520" w14:textId="77777777" w:rsidR="0025278A" w:rsidRPr="000973F2" w:rsidRDefault="0025278A" w:rsidP="00132320">
            <w:pPr>
              <w:spacing w:before="40" w:after="40"/>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Cs w:val="0"/>
                <w:sz w:val="18"/>
                <w:szCs w:val="18"/>
              </w:rPr>
            </w:pPr>
            <w:r w:rsidRPr="000973F2">
              <w:rPr>
                <w:rFonts w:ascii="Times New Roman" w:eastAsia="Times New Roman" w:hAnsi="Times New Roman" w:cs="Times New Roman"/>
                <w:bCs w:val="0"/>
                <w:sz w:val="18"/>
                <w:szCs w:val="18"/>
              </w:rPr>
              <w:t>Labor Rates (per hour)</w:t>
            </w:r>
          </w:p>
        </w:tc>
        <w:tc>
          <w:tcPr>
            <w:tcW w:w="1696" w:type="dxa"/>
            <w:gridSpan w:val="2"/>
            <w:vMerge w:val="restart"/>
            <w:vAlign w:val="top"/>
            <w:hideMark/>
          </w:tcPr>
          <w:p w14:paraId="04FAE6B1" w14:textId="018C20D7" w:rsidR="0025278A" w:rsidRPr="000973F2" w:rsidRDefault="0025278A" w:rsidP="00132320">
            <w:pPr>
              <w:spacing w:before="40" w:after="40"/>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Cs w:val="0"/>
                <w:sz w:val="18"/>
                <w:szCs w:val="18"/>
              </w:rPr>
            </w:pPr>
            <w:r w:rsidRPr="000973F2">
              <w:rPr>
                <w:rFonts w:ascii="Times New Roman" w:eastAsia="Times New Roman" w:hAnsi="Times New Roman" w:cs="Times New Roman"/>
                <w:bCs w:val="0"/>
                <w:sz w:val="18"/>
                <w:szCs w:val="18"/>
              </w:rPr>
              <w:t xml:space="preserve">Total Labor Cost per Year per </w:t>
            </w:r>
            <w:r w:rsidR="003F42BB" w:rsidRPr="000973F2">
              <w:rPr>
                <w:rFonts w:ascii="Times New Roman" w:eastAsia="Times New Roman" w:hAnsi="Times New Roman" w:cs="Times New Roman"/>
                <w:bCs w:val="0"/>
                <w:sz w:val="18"/>
                <w:szCs w:val="18"/>
              </w:rPr>
              <w:t>Facility (2017$)</w:t>
            </w:r>
          </w:p>
        </w:tc>
      </w:tr>
      <w:tr w:rsidR="0025278A" w:rsidRPr="000973F2" w14:paraId="13BFCEA9" w14:textId="77777777" w:rsidTr="00132320">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1245" w:type="dxa"/>
            <w:vMerge/>
            <w:hideMark/>
          </w:tcPr>
          <w:p w14:paraId="0B9598FC" w14:textId="77777777" w:rsidR="0025278A" w:rsidRPr="000973F2" w:rsidRDefault="0025278A" w:rsidP="00132320">
            <w:pPr>
              <w:spacing w:before="40" w:after="40"/>
              <w:rPr>
                <w:rFonts w:ascii="Times New Roman" w:eastAsia="Times New Roman" w:hAnsi="Times New Roman" w:cs="Times New Roman"/>
                <w:b/>
                <w:bCs w:val="0"/>
                <w:sz w:val="18"/>
                <w:szCs w:val="18"/>
              </w:rPr>
            </w:pPr>
          </w:p>
        </w:tc>
        <w:tc>
          <w:tcPr>
            <w:tcW w:w="1597" w:type="dxa"/>
            <w:gridSpan w:val="2"/>
            <w:noWrap/>
            <w:hideMark/>
          </w:tcPr>
          <w:p w14:paraId="051AA489" w14:textId="77777777" w:rsidR="0025278A" w:rsidRPr="000973F2" w:rsidRDefault="0025278A" w:rsidP="00132320">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18"/>
                <w:szCs w:val="18"/>
              </w:rPr>
            </w:pPr>
            <w:r w:rsidRPr="000973F2">
              <w:rPr>
                <w:rFonts w:ascii="Times New Roman" w:eastAsia="Times New Roman" w:hAnsi="Times New Roman" w:cs="Times New Roman"/>
                <w:b/>
                <w:bCs/>
                <w:sz w:val="18"/>
                <w:szCs w:val="18"/>
              </w:rPr>
              <w:t>Lawyer</w:t>
            </w:r>
          </w:p>
        </w:tc>
        <w:tc>
          <w:tcPr>
            <w:tcW w:w="1597" w:type="dxa"/>
            <w:gridSpan w:val="2"/>
            <w:noWrap/>
            <w:hideMark/>
          </w:tcPr>
          <w:p w14:paraId="6A26DCF4" w14:textId="77777777" w:rsidR="0025278A" w:rsidRPr="000973F2" w:rsidRDefault="0025278A" w:rsidP="00132320">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18"/>
                <w:szCs w:val="18"/>
              </w:rPr>
            </w:pPr>
            <w:r w:rsidRPr="000973F2">
              <w:rPr>
                <w:rFonts w:ascii="Times New Roman" w:eastAsia="Times New Roman" w:hAnsi="Times New Roman" w:cs="Times New Roman"/>
                <w:b/>
                <w:bCs/>
                <w:sz w:val="18"/>
                <w:szCs w:val="18"/>
              </w:rPr>
              <w:t>Industrial Manager</w:t>
            </w:r>
          </w:p>
        </w:tc>
        <w:tc>
          <w:tcPr>
            <w:tcW w:w="1597" w:type="dxa"/>
            <w:gridSpan w:val="2"/>
            <w:hideMark/>
          </w:tcPr>
          <w:p w14:paraId="6FF77DE4" w14:textId="65E3E4E5" w:rsidR="0025278A" w:rsidRPr="000973F2" w:rsidRDefault="0025278A" w:rsidP="00132320">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18"/>
                <w:szCs w:val="18"/>
              </w:rPr>
            </w:pPr>
            <w:r w:rsidRPr="000973F2">
              <w:rPr>
                <w:rFonts w:ascii="Times New Roman" w:eastAsia="Times New Roman" w:hAnsi="Times New Roman" w:cs="Times New Roman"/>
                <w:b/>
                <w:bCs/>
                <w:sz w:val="18"/>
                <w:szCs w:val="18"/>
              </w:rPr>
              <w:t>Industrial Engineer/</w:t>
            </w:r>
            <w:r w:rsidR="00132320" w:rsidRPr="000973F2">
              <w:rPr>
                <w:rFonts w:ascii="Times New Roman" w:eastAsia="Times New Roman" w:hAnsi="Times New Roman" w:cs="Times New Roman"/>
                <w:b/>
                <w:bCs/>
                <w:sz w:val="18"/>
                <w:szCs w:val="18"/>
              </w:rPr>
              <w:t xml:space="preserve"> </w:t>
            </w:r>
            <w:r w:rsidRPr="000973F2">
              <w:rPr>
                <w:rFonts w:ascii="Times New Roman" w:eastAsia="Times New Roman" w:hAnsi="Times New Roman" w:cs="Times New Roman"/>
                <w:b/>
                <w:bCs/>
                <w:sz w:val="18"/>
                <w:szCs w:val="18"/>
              </w:rPr>
              <w:t>Technician</w:t>
            </w:r>
          </w:p>
        </w:tc>
        <w:tc>
          <w:tcPr>
            <w:tcW w:w="1598" w:type="dxa"/>
            <w:gridSpan w:val="2"/>
            <w:hideMark/>
          </w:tcPr>
          <w:p w14:paraId="04A57A55" w14:textId="77777777" w:rsidR="0025278A" w:rsidRPr="000973F2" w:rsidRDefault="0025278A" w:rsidP="00132320">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18"/>
                <w:szCs w:val="18"/>
              </w:rPr>
            </w:pPr>
            <w:r w:rsidRPr="000973F2">
              <w:rPr>
                <w:rFonts w:ascii="Times New Roman" w:eastAsia="Times New Roman" w:hAnsi="Times New Roman" w:cs="Times New Roman"/>
                <w:b/>
                <w:bCs/>
                <w:sz w:val="18"/>
                <w:szCs w:val="18"/>
              </w:rPr>
              <w:t>Administrative Support</w:t>
            </w:r>
          </w:p>
        </w:tc>
        <w:tc>
          <w:tcPr>
            <w:tcW w:w="1696" w:type="dxa"/>
            <w:gridSpan w:val="2"/>
            <w:vMerge/>
            <w:hideMark/>
          </w:tcPr>
          <w:p w14:paraId="5B52D4EF" w14:textId="77777777" w:rsidR="0025278A" w:rsidRPr="000973F2" w:rsidRDefault="0025278A" w:rsidP="00132320">
            <w:pPr>
              <w:spacing w:before="40" w:after="4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18"/>
                <w:szCs w:val="18"/>
              </w:rPr>
            </w:pPr>
          </w:p>
        </w:tc>
      </w:tr>
      <w:tr w:rsidR="0025278A" w:rsidRPr="000973F2" w14:paraId="6501B5B8" w14:textId="77777777" w:rsidTr="00132320">
        <w:trPr>
          <w:cantSplit/>
        </w:trPr>
        <w:tc>
          <w:tcPr>
            <w:cnfStyle w:val="001000000000" w:firstRow="0" w:lastRow="0" w:firstColumn="1" w:lastColumn="0" w:oddVBand="0" w:evenVBand="0" w:oddHBand="0" w:evenHBand="0" w:firstRowFirstColumn="0" w:firstRowLastColumn="0" w:lastRowFirstColumn="0" w:lastRowLastColumn="0"/>
            <w:tcW w:w="1245" w:type="dxa"/>
            <w:vMerge/>
            <w:hideMark/>
          </w:tcPr>
          <w:p w14:paraId="4067EA35" w14:textId="77777777" w:rsidR="0025278A" w:rsidRPr="000973F2" w:rsidRDefault="0025278A" w:rsidP="00132320">
            <w:pPr>
              <w:spacing w:before="40" w:after="40"/>
              <w:rPr>
                <w:rFonts w:ascii="Times New Roman" w:eastAsia="Times New Roman" w:hAnsi="Times New Roman" w:cs="Times New Roman"/>
                <w:b/>
                <w:bCs w:val="0"/>
                <w:sz w:val="18"/>
                <w:szCs w:val="18"/>
              </w:rPr>
            </w:pPr>
          </w:p>
        </w:tc>
        <w:tc>
          <w:tcPr>
            <w:tcW w:w="1597" w:type="dxa"/>
            <w:gridSpan w:val="2"/>
            <w:noWrap/>
            <w:hideMark/>
          </w:tcPr>
          <w:p w14:paraId="6D90D1A9" w14:textId="77777777" w:rsidR="0025278A" w:rsidRPr="000973F2" w:rsidRDefault="0025278A" w:rsidP="00132320">
            <w:pPr>
              <w:spacing w:before="40" w:after="4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sz w:val="18"/>
                <w:szCs w:val="18"/>
              </w:rPr>
            </w:pPr>
            <w:r w:rsidRPr="000973F2">
              <w:rPr>
                <w:rFonts w:ascii="Times New Roman" w:eastAsia="Times New Roman" w:hAnsi="Times New Roman" w:cs="Times New Roman"/>
                <w:b/>
                <w:bCs/>
                <w:sz w:val="18"/>
                <w:szCs w:val="18"/>
              </w:rPr>
              <w:t xml:space="preserve">$112.23 </w:t>
            </w:r>
          </w:p>
        </w:tc>
        <w:tc>
          <w:tcPr>
            <w:tcW w:w="1597" w:type="dxa"/>
            <w:gridSpan w:val="2"/>
            <w:noWrap/>
            <w:hideMark/>
          </w:tcPr>
          <w:p w14:paraId="67C83B80" w14:textId="77777777" w:rsidR="0025278A" w:rsidRPr="000973F2" w:rsidRDefault="0025278A" w:rsidP="00132320">
            <w:pPr>
              <w:spacing w:before="40" w:after="4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sz w:val="18"/>
                <w:szCs w:val="18"/>
              </w:rPr>
            </w:pPr>
            <w:r w:rsidRPr="000973F2">
              <w:rPr>
                <w:rFonts w:ascii="Times New Roman" w:eastAsia="Times New Roman" w:hAnsi="Times New Roman" w:cs="Times New Roman"/>
                <w:b/>
                <w:bCs/>
                <w:sz w:val="18"/>
                <w:szCs w:val="18"/>
              </w:rPr>
              <w:t xml:space="preserve">$87.45 </w:t>
            </w:r>
          </w:p>
        </w:tc>
        <w:tc>
          <w:tcPr>
            <w:tcW w:w="1597" w:type="dxa"/>
            <w:gridSpan w:val="2"/>
            <w:noWrap/>
            <w:hideMark/>
          </w:tcPr>
          <w:p w14:paraId="079F8820" w14:textId="77777777" w:rsidR="0025278A" w:rsidRPr="000973F2" w:rsidRDefault="0025278A" w:rsidP="00132320">
            <w:pPr>
              <w:spacing w:before="40" w:after="4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sz w:val="18"/>
                <w:szCs w:val="18"/>
              </w:rPr>
            </w:pPr>
            <w:r w:rsidRPr="000973F2">
              <w:rPr>
                <w:rFonts w:ascii="Times New Roman" w:eastAsia="Times New Roman" w:hAnsi="Times New Roman" w:cs="Times New Roman"/>
                <w:b/>
                <w:bCs/>
                <w:sz w:val="18"/>
                <w:szCs w:val="18"/>
              </w:rPr>
              <w:t xml:space="preserve">$71.45 </w:t>
            </w:r>
          </w:p>
        </w:tc>
        <w:tc>
          <w:tcPr>
            <w:tcW w:w="1598" w:type="dxa"/>
            <w:gridSpan w:val="2"/>
            <w:noWrap/>
            <w:hideMark/>
          </w:tcPr>
          <w:p w14:paraId="0E35F950" w14:textId="77777777" w:rsidR="0025278A" w:rsidRPr="000973F2" w:rsidRDefault="0025278A" w:rsidP="00132320">
            <w:pPr>
              <w:spacing w:before="40" w:after="4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sz w:val="18"/>
                <w:szCs w:val="18"/>
              </w:rPr>
            </w:pPr>
            <w:r w:rsidRPr="000973F2">
              <w:rPr>
                <w:rFonts w:ascii="Times New Roman" w:eastAsia="Times New Roman" w:hAnsi="Times New Roman" w:cs="Times New Roman"/>
                <w:b/>
                <w:bCs/>
                <w:sz w:val="18"/>
                <w:szCs w:val="18"/>
              </w:rPr>
              <w:t xml:space="preserve">$36.28 </w:t>
            </w:r>
          </w:p>
        </w:tc>
        <w:tc>
          <w:tcPr>
            <w:tcW w:w="1696" w:type="dxa"/>
            <w:gridSpan w:val="2"/>
            <w:vMerge/>
            <w:hideMark/>
          </w:tcPr>
          <w:p w14:paraId="47AA22B1" w14:textId="77777777" w:rsidR="0025278A" w:rsidRPr="000973F2" w:rsidRDefault="0025278A" w:rsidP="00132320">
            <w:pPr>
              <w:spacing w:before="40" w:after="4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sz w:val="18"/>
                <w:szCs w:val="18"/>
              </w:rPr>
            </w:pPr>
          </w:p>
        </w:tc>
      </w:tr>
      <w:tr w:rsidR="0025278A" w:rsidRPr="000973F2" w14:paraId="4DF1B4A3" w14:textId="77777777" w:rsidTr="00132320">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1245" w:type="dxa"/>
            <w:vMerge/>
            <w:hideMark/>
          </w:tcPr>
          <w:p w14:paraId="0DA53062" w14:textId="77777777" w:rsidR="0025278A" w:rsidRPr="000973F2" w:rsidRDefault="0025278A" w:rsidP="00132320">
            <w:pPr>
              <w:spacing w:before="40" w:after="40"/>
              <w:rPr>
                <w:rFonts w:ascii="Times New Roman" w:eastAsia="Times New Roman" w:hAnsi="Times New Roman" w:cs="Times New Roman"/>
                <w:b/>
                <w:bCs w:val="0"/>
                <w:sz w:val="18"/>
                <w:szCs w:val="18"/>
              </w:rPr>
            </w:pPr>
          </w:p>
        </w:tc>
        <w:tc>
          <w:tcPr>
            <w:tcW w:w="798" w:type="dxa"/>
            <w:tcMar>
              <w:left w:w="14" w:type="dxa"/>
              <w:right w:w="14" w:type="dxa"/>
            </w:tcMar>
            <w:hideMark/>
          </w:tcPr>
          <w:p w14:paraId="01B78258" w14:textId="40EA2D2B" w:rsidR="0025278A" w:rsidRPr="000973F2" w:rsidRDefault="0025278A" w:rsidP="00132320">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18"/>
                <w:szCs w:val="18"/>
              </w:rPr>
            </w:pPr>
            <w:r w:rsidRPr="000973F2">
              <w:rPr>
                <w:rFonts w:ascii="Times New Roman" w:eastAsia="Times New Roman" w:hAnsi="Times New Roman" w:cs="Times New Roman"/>
                <w:b/>
                <w:bCs/>
                <w:sz w:val="18"/>
                <w:szCs w:val="18"/>
              </w:rPr>
              <w:t>Initial Year</w:t>
            </w:r>
            <w:r w:rsidR="00132320" w:rsidRPr="000973F2">
              <w:rPr>
                <w:rFonts w:ascii="Times New Roman" w:eastAsia="Times New Roman" w:hAnsi="Times New Roman" w:cs="Times New Roman"/>
                <w:b/>
                <w:bCs/>
                <w:sz w:val="18"/>
                <w:szCs w:val="18"/>
              </w:rPr>
              <w:t xml:space="preserve"> </w:t>
            </w:r>
            <w:r w:rsidRPr="000973F2">
              <w:rPr>
                <w:rFonts w:ascii="Times New Roman" w:eastAsia="Times New Roman" w:hAnsi="Times New Roman" w:cs="Times New Roman"/>
                <w:b/>
                <w:bCs/>
                <w:sz w:val="18"/>
                <w:szCs w:val="18"/>
              </w:rPr>
              <w:t>Hours</w:t>
            </w:r>
          </w:p>
        </w:tc>
        <w:tc>
          <w:tcPr>
            <w:tcW w:w="799" w:type="dxa"/>
            <w:tcMar>
              <w:left w:w="14" w:type="dxa"/>
              <w:right w:w="14" w:type="dxa"/>
            </w:tcMar>
            <w:hideMark/>
          </w:tcPr>
          <w:p w14:paraId="1D8E4CDC" w14:textId="3B286240" w:rsidR="0025278A" w:rsidRPr="000973F2" w:rsidRDefault="0025278A" w:rsidP="00132320">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18"/>
                <w:szCs w:val="18"/>
              </w:rPr>
            </w:pPr>
            <w:r w:rsidRPr="000973F2">
              <w:rPr>
                <w:rFonts w:ascii="Times New Roman" w:eastAsia="Times New Roman" w:hAnsi="Times New Roman" w:cs="Times New Roman"/>
                <w:b/>
                <w:bCs/>
                <w:sz w:val="18"/>
                <w:szCs w:val="18"/>
              </w:rPr>
              <w:t>Subseq. Year</w:t>
            </w:r>
            <w:r w:rsidR="00132320" w:rsidRPr="000973F2">
              <w:rPr>
                <w:rFonts w:ascii="Times New Roman" w:eastAsia="Times New Roman" w:hAnsi="Times New Roman" w:cs="Times New Roman"/>
                <w:b/>
                <w:bCs/>
                <w:sz w:val="18"/>
                <w:szCs w:val="18"/>
              </w:rPr>
              <w:t xml:space="preserve"> </w:t>
            </w:r>
            <w:r w:rsidRPr="000973F2">
              <w:rPr>
                <w:rFonts w:ascii="Times New Roman" w:eastAsia="Times New Roman" w:hAnsi="Times New Roman" w:cs="Times New Roman"/>
                <w:b/>
                <w:bCs/>
                <w:sz w:val="18"/>
                <w:szCs w:val="18"/>
              </w:rPr>
              <w:t>Hours</w:t>
            </w:r>
          </w:p>
        </w:tc>
        <w:tc>
          <w:tcPr>
            <w:tcW w:w="798" w:type="dxa"/>
            <w:tcMar>
              <w:left w:w="14" w:type="dxa"/>
              <w:right w:w="14" w:type="dxa"/>
            </w:tcMar>
            <w:hideMark/>
          </w:tcPr>
          <w:p w14:paraId="385B2C32" w14:textId="24746C6A" w:rsidR="0025278A" w:rsidRPr="000973F2" w:rsidRDefault="0025278A" w:rsidP="00132320">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18"/>
                <w:szCs w:val="18"/>
              </w:rPr>
            </w:pPr>
            <w:r w:rsidRPr="000973F2">
              <w:rPr>
                <w:rFonts w:ascii="Times New Roman" w:eastAsia="Times New Roman" w:hAnsi="Times New Roman" w:cs="Times New Roman"/>
                <w:b/>
                <w:bCs/>
                <w:sz w:val="18"/>
                <w:szCs w:val="18"/>
              </w:rPr>
              <w:t>Initial Year</w:t>
            </w:r>
            <w:r w:rsidR="00132320" w:rsidRPr="000973F2">
              <w:rPr>
                <w:rFonts w:ascii="Times New Roman" w:eastAsia="Times New Roman" w:hAnsi="Times New Roman" w:cs="Times New Roman"/>
                <w:b/>
                <w:bCs/>
                <w:sz w:val="18"/>
                <w:szCs w:val="18"/>
              </w:rPr>
              <w:t xml:space="preserve"> </w:t>
            </w:r>
            <w:r w:rsidRPr="000973F2">
              <w:rPr>
                <w:rFonts w:ascii="Times New Roman" w:eastAsia="Times New Roman" w:hAnsi="Times New Roman" w:cs="Times New Roman"/>
                <w:b/>
                <w:bCs/>
                <w:sz w:val="18"/>
                <w:szCs w:val="18"/>
              </w:rPr>
              <w:t>Hours</w:t>
            </w:r>
          </w:p>
        </w:tc>
        <w:tc>
          <w:tcPr>
            <w:tcW w:w="799" w:type="dxa"/>
            <w:tcMar>
              <w:left w:w="14" w:type="dxa"/>
              <w:right w:w="14" w:type="dxa"/>
            </w:tcMar>
            <w:hideMark/>
          </w:tcPr>
          <w:p w14:paraId="55E3A674" w14:textId="5BEE2A2A" w:rsidR="0025278A" w:rsidRPr="000973F2" w:rsidRDefault="0025278A" w:rsidP="00132320">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18"/>
                <w:szCs w:val="18"/>
              </w:rPr>
            </w:pPr>
            <w:r w:rsidRPr="000973F2">
              <w:rPr>
                <w:rFonts w:ascii="Times New Roman" w:eastAsia="Times New Roman" w:hAnsi="Times New Roman" w:cs="Times New Roman"/>
                <w:b/>
                <w:bCs/>
                <w:sz w:val="18"/>
                <w:szCs w:val="18"/>
              </w:rPr>
              <w:t>Subseq. Year</w:t>
            </w:r>
            <w:r w:rsidR="00132320" w:rsidRPr="000973F2">
              <w:rPr>
                <w:rFonts w:ascii="Times New Roman" w:eastAsia="Times New Roman" w:hAnsi="Times New Roman" w:cs="Times New Roman"/>
                <w:b/>
                <w:bCs/>
                <w:sz w:val="18"/>
                <w:szCs w:val="18"/>
              </w:rPr>
              <w:t xml:space="preserve"> </w:t>
            </w:r>
            <w:r w:rsidRPr="000973F2">
              <w:rPr>
                <w:rFonts w:ascii="Times New Roman" w:eastAsia="Times New Roman" w:hAnsi="Times New Roman" w:cs="Times New Roman"/>
                <w:b/>
                <w:bCs/>
                <w:sz w:val="18"/>
                <w:szCs w:val="18"/>
              </w:rPr>
              <w:t>Hours</w:t>
            </w:r>
          </w:p>
        </w:tc>
        <w:tc>
          <w:tcPr>
            <w:tcW w:w="799" w:type="dxa"/>
            <w:tcMar>
              <w:left w:w="14" w:type="dxa"/>
              <w:right w:w="14" w:type="dxa"/>
            </w:tcMar>
            <w:hideMark/>
          </w:tcPr>
          <w:p w14:paraId="4E82E51D" w14:textId="218F7B3D" w:rsidR="0025278A" w:rsidRPr="000973F2" w:rsidRDefault="0025278A" w:rsidP="00132320">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18"/>
                <w:szCs w:val="18"/>
              </w:rPr>
            </w:pPr>
            <w:r w:rsidRPr="000973F2">
              <w:rPr>
                <w:rFonts w:ascii="Times New Roman" w:eastAsia="Times New Roman" w:hAnsi="Times New Roman" w:cs="Times New Roman"/>
                <w:b/>
                <w:bCs/>
                <w:sz w:val="18"/>
                <w:szCs w:val="18"/>
              </w:rPr>
              <w:t>Initial Year</w:t>
            </w:r>
            <w:r w:rsidR="00132320" w:rsidRPr="000973F2">
              <w:rPr>
                <w:rFonts w:ascii="Times New Roman" w:eastAsia="Times New Roman" w:hAnsi="Times New Roman" w:cs="Times New Roman"/>
                <w:b/>
                <w:bCs/>
                <w:sz w:val="18"/>
                <w:szCs w:val="18"/>
              </w:rPr>
              <w:t xml:space="preserve"> </w:t>
            </w:r>
            <w:r w:rsidRPr="000973F2">
              <w:rPr>
                <w:rFonts w:ascii="Times New Roman" w:eastAsia="Times New Roman" w:hAnsi="Times New Roman" w:cs="Times New Roman"/>
                <w:b/>
                <w:bCs/>
                <w:sz w:val="18"/>
                <w:szCs w:val="18"/>
              </w:rPr>
              <w:t>Hours</w:t>
            </w:r>
          </w:p>
        </w:tc>
        <w:tc>
          <w:tcPr>
            <w:tcW w:w="798" w:type="dxa"/>
            <w:tcMar>
              <w:left w:w="14" w:type="dxa"/>
              <w:right w:w="14" w:type="dxa"/>
            </w:tcMar>
            <w:hideMark/>
          </w:tcPr>
          <w:p w14:paraId="1F21BC9F" w14:textId="3FAB07E6" w:rsidR="0025278A" w:rsidRPr="000973F2" w:rsidRDefault="0025278A" w:rsidP="00132320">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18"/>
                <w:szCs w:val="18"/>
              </w:rPr>
            </w:pPr>
            <w:r w:rsidRPr="000973F2">
              <w:rPr>
                <w:rFonts w:ascii="Times New Roman" w:eastAsia="Times New Roman" w:hAnsi="Times New Roman" w:cs="Times New Roman"/>
                <w:b/>
                <w:bCs/>
                <w:sz w:val="18"/>
                <w:szCs w:val="18"/>
              </w:rPr>
              <w:t>Subseq. Year</w:t>
            </w:r>
            <w:r w:rsidR="00132320" w:rsidRPr="000973F2">
              <w:rPr>
                <w:rFonts w:ascii="Times New Roman" w:eastAsia="Times New Roman" w:hAnsi="Times New Roman" w:cs="Times New Roman"/>
                <w:b/>
                <w:bCs/>
                <w:sz w:val="18"/>
                <w:szCs w:val="18"/>
              </w:rPr>
              <w:t xml:space="preserve"> </w:t>
            </w:r>
            <w:r w:rsidRPr="000973F2">
              <w:rPr>
                <w:rFonts w:ascii="Times New Roman" w:eastAsia="Times New Roman" w:hAnsi="Times New Roman" w:cs="Times New Roman"/>
                <w:b/>
                <w:bCs/>
                <w:sz w:val="18"/>
                <w:szCs w:val="18"/>
              </w:rPr>
              <w:t>Hours</w:t>
            </w:r>
          </w:p>
        </w:tc>
        <w:tc>
          <w:tcPr>
            <w:tcW w:w="799" w:type="dxa"/>
            <w:tcMar>
              <w:left w:w="14" w:type="dxa"/>
              <w:right w:w="14" w:type="dxa"/>
            </w:tcMar>
            <w:hideMark/>
          </w:tcPr>
          <w:p w14:paraId="01A4D1B7" w14:textId="7D4CCEC6" w:rsidR="0025278A" w:rsidRPr="000973F2" w:rsidRDefault="0025278A" w:rsidP="00132320">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18"/>
                <w:szCs w:val="18"/>
              </w:rPr>
            </w:pPr>
            <w:r w:rsidRPr="000973F2">
              <w:rPr>
                <w:rFonts w:ascii="Times New Roman" w:eastAsia="Times New Roman" w:hAnsi="Times New Roman" w:cs="Times New Roman"/>
                <w:b/>
                <w:bCs/>
                <w:sz w:val="18"/>
                <w:szCs w:val="18"/>
              </w:rPr>
              <w:t>Initial Year</w:t>
            </w:r>
            <w:r w:rsidR="00132320" w:rsidRPr="000973F2">
              <w:rPr>
                <w:rFonts w:ascii="Times New Roman" w:eastAsia="Times New Roman" w:hAnsi="Times New Roman" w:cs="Times New Roman"/>
                <w:b/>
                <w:bCs/>
                <w:sz w:val="18"/>
                <w:szCs w:val="18"/>
              </w:rPr>
              <w:t xml:space="preserve"> </w:t>
            </w:r>
            <w:r w:rsidRPr="000973F2">
              <w:rPr>
                <w:rFonts w:ascii="Times New Roman" w:eastAsia="Times New Roman" w:hAnsi="Times New Roman" w:cs="Times New Roman"/>
                <w:b/>
                <w:bCs/>
                <w:sz w:val="18"/>
                <w:szCs w:val="18"/>
              </w:rPr>
              <w:t>Hours</w:t>
            </w:r>
          </w:p>
        </w:tc>
        <w:tc>
          <w:tcPr>
            <w:tcW w:w="799" w:type="dxa"/>
            <w:tcMar>
              <w:left w:w="14" w:type="dxa"/>
              <w:right w:w="14" w:type="dxa"/>
            </w:tcMar>
            <w:hideMark/>
          </w:tcPr>
          <w:p w14:paraId="53A3F53B" w14:textId="12EC0D3A" w:rsidR="0025278A" w:rsidRPr="000973F2" w:rsidRDefault="0025278A" w:rsidP="00132320">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18"/>
                <w:szCs w:val="18"/>
              </w:rPr>
            </w:pPr>
            <w:r w:rsidRPr="000973F2">
              <w:rPr>
                <w:rFonts w:ascii="Times New Roman" w:eastAsia="Times New Roman" w:hAnsi="Times New Roman" w:cs="Times New Roman"/>
                <w:b/>
                <w:bCs/>
                <w:sz w:val="18"/>
                <w:szCs w:val="18"/>
              </w:rPr>
              <w:t>Subseq. Year</w:t>
            </w:r>
            <w:r w:rsidR="00132320" w:rsidRPr="000973F2">
              <w:rPr>
                <w:rFonts w:ascii="Times New Roman" w:eastAsia="Times New Roman" w:hAnsi="Times New Roman" w:cs="Times New Roman"/>
                <w:b/>
                <w:bCs/>
                <w:sz w:val="18"/>
                <w:szCs w:val="18"/>
              </w:rPr>
              <w:t xml:space="preserve"> </w:t>
            </w:r>
            <w:r w:rsidRPr="000973F2">
              <w:rPr>
                <w:rFonts w:ascii="Times New Roman" w:eastAsia="Times New Roman" w:hAnsi="Times New Roman" w:cs="Times New Roman"/>
                <w:b/>
                <w:bCs/>
                <w:sz w:val="18"/>
                <w:szCs w:val="18"/>
              </w:rPr>
              <w:t>Hours</w:t>
            </w:r>
          </w:p>
        </w:tc>
        <w:tc>
          <w:tcPr>
            <w:tcW w:w="848" w:type="dxa"/>
            <w:tcMar>
              <w:left w:w="14" w:type="dxa"/>
              <w:right w:w="14" w:type="dxa"/>
            </w:tcMar>
            <w:hideMark/>
          </w:tcPr>
          <w:p w14:paraId="5403B3BC" w14:textId="77777777" w:rsidR="0025278A" w:rsidRPr="000973F2" w:rsidRDefault="0025278A" w:rsidP="00132320">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18"/>
                <w:szCs w:val="18"/>
              </w:rPr>
            </w:pPr>
            <w:r w:rsidRPr="000973F2">
              <w:rPr>
                <w:rFonts w:ascii="Times New Roman" w:eastAsia="Times New Roman" w:hAnsi="Times New Roman" w:cs="Times New Roman"/>
                <w:b/>
                <w:bCs/>
                <w:sz w:val="18"/>
                <w:szCs w:val="18"/>
              </w:rPr>
              <w:t>Initial Year</w:t>
            </w:r>
          </w:p>
        </w:tc>
        <w:tc>
          <w:tcPr>
            <w:tcW w:w="848" w:type="dxa"/>
            <w:tcMar>
              <w:left w:w="14" w:type="dxa"/>
              <w:right w:w="14" w:type="dxa"/>
            </w:tcMar>
            <w:hideMark/>
          </w:tcPr>
          <w:p w14:paraId="2D13069E" w14:textId="77777777" w:rsidR="0025278A" w:rsidRPr="000973F2" w:rsidRDefault="0025278A" w:rsidP="00132320">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18"/>
                <w:szCs w:val="18"/>
              </w:rPr>
            </w:pPr>
            <w:r w:rsidRPr="000973F2">
              <w:rPr>
                <w:rFonts w:ascii="Times New Roman" w:eastAsia="Times New Roman" w:hAnsi="Times New Roman" w:cs="Times New Roman"/>
                <w:b/>
                <w:bCs/>
                <w:sz w:val="18"/>
                <w:szCs w:val="18"/>
              </w:rPr>
              <w:t>Subseq. Year</w:t>
            </w:r>
          </w:p>
        </w:tc>
      </w:tr>
      <w:tr w:rsidR="00132320" w:rsidRPr="000973F2" w14:paraId="6B6E0A88" w14:textId="77777777" w:rsidTr="00132320">
        <w:trPr>
          <w:cantSplit/>
        </w:trPr>
        <w:tc>
          <w:tcPr>
            <w:cnfStyle w:val="001000000000" w:firstRow="0" w:lastRow="0" w:firstColumn="1" w:lastColumn="0" w:oddVBand="0" w:evenVBand="0" w:oddHBand="0" w:evenHBand="0" w:firstRowFirstColumn="0" w:firstRowLastColumn="0" w:lastRowFirstColumn="0" w:lastRowLastColumn="0"/>
            <w:tcW w:w="1245" w:type="dxa"/>
            <w:tcMar>
              <w:right w:w="14" w:type="dxa"/>
            </w:tcMar>
            <w:hideMark/>
          </w:tcPr>
          <w:p w14:paraId="4CABB7DE" w14:textId="77777777" w:rsidR="003E005F" w:rsidRPr="000973F2" w:rsidRDefault="003E005F" w:rsidP="00132320">
            <w:pPr>
              <w:spacing w:before="40" w:after="4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Planning</w:t>
            </w:r>
          </w:p>
        </w:tc>
        <w:tc>
          <w:tcPr>
            <w:tcW w:w="798" w:type="dxa"/>
            <w:noWrap/>
            <w:hideMark/>
          </w:tcPr>
          <w:p w14:paraId="72B993A4" w14:textId="5FCA68C4" w:rsidR="003E005F" w:rsidRPr="000973F2" w:rsidRDefault="00132320" w:rsidP="00132320">
            <w:pPr>
              <w:spacing w:before="40" w:after="4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w:t>
            </w:r>
          </w:p>
        </w:tc>
        <w:tc>
          <w:tcPr>
            <w:tcW w:w="799" w:type="dxa"/>
            <w:noWrap/>
            <w:hideMark/>
          </w:tcPr>
          <w:p w14:paraId="5461EC2B" w14:textId="7BAE47BB" w:rsidR="003E005F" w:rsidRPr="000973F2" w:rsidRDefault="00132320" w:rsidP="00132320">
            <w:pPr>
              <w:spacing w:before="40" w:after="4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w:t>
            </w:r>
          </w:p>
        </w:tc>
        <w:tc>
          <w:tcPr>
            <w:tcW w:w="798" w:type="dxa"/>
            <w:noWrap/>
            <w:hideMark/>
          </w:tcPr>
          <w:p w14:paraId="4BAE158C" w14:textId="508DECE8" w:rsidR="003E005F" w:rsidRPr="000973F2" w:rsidRDefault="00132320" w:rsidP="00132320">
            <w:pPr>
              <w:spacing w:before="40" w:after="4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w:t>
            </w:r>
          </w:p>
        </w:tc>
        <w:tc>
          <w:tcPr>
            <w:tcW w:w="799" w:type="dxa"/>
            <w:noWrap/>
            <w:hideMark/>
          </w:tcPr>
          <w:p w14:paraId="707D7339" w14:textId="29E62D21" w:rsidR="003E005F" w:rsidRPr="000973F2" w:rsidRDefault="00132320" w:rsidP="00132320">
            <w:pPr>
              <w:spacing w:before="40" w:after="4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w:t>
            </w:r>
          </w:p>
        </w:tc>
        <w:tc>
          <w:tcPr>
            <w:tcW w:w="799" w:type="dxa"/>
            <w:noWrap/>
            <w:hideMark/>
          </w:tcPr>
          <w:p w14:paraId="17BA49F8" w14:textId="7C1C71AB" w:rsidR="003E005F" w:rsidRPr="000973F2" w:rsidRDefault="00132320" w:rsidP="00132320">
            <w:pPr>
              <w:spacing w:before="40" w:after="4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w:t>
            </w:r>
          </w:p>
        </w:tc>
        <w:tc>
          <w:tcPr>
            <w:tcW w:w="798" w:type="dxa"/>
            <w:noWrap/>
            <w:hideMark/>
          </w:tcPr>
          <w:p w14:paraId="60B47719" w14:textId="736CA8DD" w:rsidR="003E005F" w:rsidRPr="000973F2" w:rsidRDefault="00132320" w:rsidP="00132320">
            <w:pPr>
              <w:tabs>
                <w:tab w:val="decimal" w:pos="286"/>
              </w:tabs>
              <w:spacing w:before="40" w:after="4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w:t>
            </w:r>
          </w:p>
        </w:tc>
        <w:tc>
          <w:tcPr>
            <w:tcW w:w="799" w:type="dxa"/>
            <w:noWrap/>
            <w:hideMark/>
          </w:tcPr>
          <w:p w14:paraId="0649E948" w14:textId="025C0A5E" w:rsidR="003E005F" w:rsidRPr="000973F2" w:rsidRDefault="00132320" w:rsidP="00132320">
            <w:pPr>
              <w:spacing w:before="40" w:after="4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w:t>
            </w:r>
          </w:p>
        </w:tc>
        <w:tc>
          <w:tcPr>
            <w:tcW w:w="799" w:type="dxa"/>
            <w:noWrap/>
            <w:hideMark/>
          </w:tcPr>
          <w:p w14:paraId="5C87118C" w14:textId="30E5D01A" w:rsidR="003E005F" w:rsidRPr="000973F2" w:rsidRDefault="00132320" w:rsidP="00132320">
            <w:pPr>
              <w:tabs>
                <w:tab w:val="decimal" w:pos="271"/>
              </w:tabs>
              <w:spacing w:before="40" w:after="4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w:t>
            </w:r>
          </w:p>
        </w:tc>
        <w:tc>
          <w:tcPr>
            <w:tcW w:w="848" w:type="dxa"/>
            <w:noWrap/>
            <w:hideMark/>
          </w:tcPr>
          <w:p w14:paraId="44B91002" w14:textId="2B7BF5B6" w:rsidR="003E005F" w:rsidRPr="000973F2" w:rsidRDefault="00132320" w:rsidP="00132320">
            <w:pPr>
              <w:spacing w:before="40" w:after="4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w:t>
            </w:r>
          </w:p>
        </w:tc>
        <w:tc>
          <w:tcPr>
            <w:tcW w:w="848" w:type="dxa"/>
            <w:noWrap/>
            <w:hideMark/>
          </w:tcPr>
          <w:p w14:paraId="0AA80900" w14:textId="5D404EF4" w:rsidR="003E005F" w:rsidRPr="000973F2" w:rsidRDefault="00132320" w:rsidP="00132320">
            <w:pPr>
              <w:tabs>
                <w:tab w:val="decimal" w:pos="511"/>
              </w:tabs>
              <w:spacing w:before="40" w:after="4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w:t>
            </w:r>
          </w:p>
        </w:tc>
      </w:tr>
      <w:tr w:rsidR="0025278A" w:rsidRPr="000973F2" w14:paraId="1F855E0F" w14:textId="77777777" w:rsidTr="00132320">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1245" w:type="dxa"/>
            <w:tcMar>
              <w:right w:w="14" w:type="dxa"/>
            </w:tcMar>
            <w:hideMark/>
          </w:tcPr>
          <w:p w14:paraId="7796F2D2" w14:textId="77777777" w:rsidR="0025278A" w:rsidRPr="000973F2" w:rsidRDefault="0025278A" w:rsidP="00132320">
            <w:pPr>
              <w:spacing w:before="40" w:after="4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QA/QC</w:t>
            </w:r>
          </w:p>
        </w:tc>
        <w:tc>
          <w:tcPr>
            <w:tcW w:w="798" w:type="dxa"/>
            <w:noWrap/>
            <w:hideMark/>
          </w:tcPr>
          <w:p w14:paraId="74EE6662" w14:textId="77777777" w:rsidR="0025278A" w:rsidRPr="000973F2" w:rsidRDefault="0025278A" w:rsidP="00132320">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0</w:t>
            </w:r>
          </w:p>
        </w:tc>
        <w:tc>
          <w:tcPr>
            <w:tcW w:w="799" w:type="dxa"/>
            <w:noWrap/>
            <w:hideMark/>
          </w:tcPr>
          <w:p w14:paraId="78DAC6CB" w14:textId="77777777" w:rsidR="0025278A" w:rsidRPr="000973F2" w:rsidRDefault="0025278A" w:rsidP="00132320">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0</w:t>
            </w:r>
          </w:p>
        </w:tc>
        <w:tc>
          <w:tcPr>
            <w:tcW w:w="798" w:type="dxa"/>
            <w:noWrap/>
            <w:hideMark/>
          </w:tcPr>
          <w:p w14:paraId="7C094A0F" w14:textId="77777777" w:rsidR="0025278A" w:rsidRPr="000973F2" w:rsidRDefault="0025278A" w:rsidP="00132320">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0</w:t>
            </w:r>
          </w:p>
        </w:tc>
        <w:tc>
          <w:tcPr>
            <w:tcW w:w="799" w:type="dxa"/>
            <w:noWrap/>
            <w:hideMark/>
          </w:tcPr>
          <w:p w14:paraId="0B6B2C72" w14:textId="5FD8ABDA" w:rsidR="0025278A" w:rsidRPr="000973F2" w:rsidRDefault="0025278A" w:rsidP="00132320">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5.0</w:t>
            </w:r>
          </w:p>
        </w:tc>
        <w:tc>
          <w:tcPr>
            <w:tcW w:w="799" w:type="dxa"/>
            <w:noWrap/>
            <w:hideMark/>
          </w:tcPr>
          <w:p w14:paraId="2994C2CB" w14:textId="77777777" w:rsidR="0025278A" w:rsidRPr="000973F2" w:rsidRDefault="0025278A" w:rsidP="00132320">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0</w:t>
            </w:r>
          </w:p>
        </w:tc>
        <w:tc>
          <w:tcPr>
            <w:tcW w:w="798" w:type="dxa"/>
            <w:noWrap/>
            <w:hideMark/>
          </w:tcPr>
          <w:p w14:paraId="4B01B41F" w14:textId="77777777" w:rsidR="0025278A" w:rsidRPr="000973F2" w:rsidRDefault="0025278A" w:rsidP="00132320">
            <w:pPr>
              <w:tabs>
                <w:tab w:val="decimal" w:pos="286"/>
              </w:tabs>
              <w:spacing w:before="40" w:after="4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0</w:t>
            </w:r>
          </w:p>
        </w:tc>
        <w:tc>
          <w:tcPr>
            <w:tcW w:w="799" w:type="dxa"/>
            <w:noWrap/>
            <w:hideMark/>
          </w:tcPr>
          <w:p w14:paraId="1B67E2F4" w14:textId="77777777" w:rsidR="0025278A" w:rsidRPr="000973F2" w:rsidRDefault="0025278A" w:rsidP="00132320">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0</w:t>
            </w:r>
          </w:p>
        </w:tc>
        <w:tc>
          <w:tcPr>
            <w:tcW w:w="799" w:type="dxa"/>
            <w:noWrap/>
            <w:hideMark/>
          </w:tcPr>
          <w:p w14:paraId="7B7A6E5F" w14:textId="77777777" w:rsidR="0025278A" w:rsidRPr="000973F2" w:rsidRDefault="0025278A" w:rsidP="00132320">
            <w:pPr>
              <w:tabs>
                <w:tab w:val="decimal" w:pos="271"/>
              </w:tabs>
              <w:spacing w:before="40" w:after="4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0</w:t>
            </w:r>
          </w:p>
        </w:tc>
        <w:tc>
          <w:tcPr>
            <w:tcW w:w="848" w:type="dxa"/>
            <w:noWrap/>
            <w:hideMark/>
          </w:tcPr>
          <w:p w14:paraId="22E93A82" w14:textId="221F4A6F" w:rsidR="0025278A" w:rsidRPr="000973F2" w:rsidRDefault="0025278A" w:rsidP="00132320">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$0</w:t>
            </w:r>
          </w:p>
        </w:tc>
        <w:tc>
          <w:tcPr>
            <w:tcW w:w="848" w:type="dxa"/>
            <w:noWrap/>
            <w:hideMark/>
          </w:tcPr>
          <w:p w14:paraId="68765AC6" w14:textId="2577461D" w:rsidR="0025278A" w:rsidRPr="000973F2" w:rsidRDefault="0025278A" w:rsidP="00132320">
            <w:pPr>
              <w:tabs>
                <w:tab w:val="decimal" w:pos="511"/>
              </w:tabs>
              <w:spacing w:before="40" w:after="4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$437</w:t>
            </w:r>
          </w:p>
        </w:tc>
      </w:tr>
      <w:tr w:rsidR="00132320" w:rsidRPr="000973F2" w14:paraId="2FBB8C5A" w14:textId="77777777" w:rsidTr="00132320">
        <w:trPr>
          <w:cantSplit/>
        </w:trPr>
        <w:tc>
          <w:tcPr>
            <w:cnfStyle w:val="001000000000" w:firstRow="0" w:lastRow="0" w:firstColumn="1" w:lastColumn="0" w:oddVBand="0" w:evenVBand="0" w:oddHBand="0" w:evenHBand="0" w:firstRowFirstColumn="0" w:firstRowLastColumn="0" w:lastRowFirstColumn="0" w:lastRowLastColumn="0"/>
            <w:tcW w:w="1245" w:type="dxa"/>
            <w:tcMar>
              <w:right w:w="14" w:type="dxa"/>
            </w:tcMar>
            <w:hideMark/>
          </w:tcPr>
          <w:p w14:paraId="5A763027" w14:textId="77777777" w:rsidR="003E005F" w:rsidRPr="000973F2" w:rsidRDefault="003E005F" w:rsidP="00132320">
            <w:pPr>
              <w:spacing w:before="40" w:after="4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Recordkeeping</w:t>
            </w:r>
          </w:p>
        </w:tc>
        <w:tc>
          <w:tcPr>
            <w:tcW w:w="798" w:type="dxa"/>
            <w:noWrap/>
            <w:hideMark/>
          </w:tcPr>
          <w:p w14:paraId="032225AF" w14:textId="39658C5E" w:rsidR="003E005F" w:rsidRPr="000973F2" w:rsidRDefault="00132320" w:rsidP="00132320">
            <w:pPr>
              <w:spacing w:before="40" w:after="4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w:t>
            </w:r>
          </w:p>
        </w:tc>
        <w:tc>
          <w:tcPr>
            <w:tcW w:w="799" w:type="dxa"/>
            <w:noWrap/>
            <w:hideMark/>
          </w:tcPr>
          <w:p w14:paraId="500C5210" w14:textId="6F6D0783" w:rsidR="003E005F" w:rsidRPr="000973F2" w:rsidRDefault="00132320" w:rsidP="00132320">
            <w:pPr>
              <w:spacing w:before="40" w:after="4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w:t>
            </w:r>
          </w:p>
        </w:tc>
        <w:tc>
          <w:tcPr>
            <w:tcW w:w="798" w:type="dxa"/>
            <w:noWrap/>
            <w:hideMark/>
          </w:tcPr>
          <w:p w14:paraId="03B4FF18" w14:textId="00248B58" w:rsidR="003E005F" w:rsidRPr="000973F2" w:rsidRDefault="00132320" w:rsidP="00132320">
            <w:pPr>
              <w:spacing w:before="40" w:after="4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w:t>
            </w:r>
          </w:p>
        </w:tc>
        <w:tc>
          <w:tcPr>
            <w:tcW w:w="799" w:type="dxa"/>
            <w:noWrap/>
            <w:hideMark/>
          </w:tcPr>
          <w:p w14:paraId="51AAE694" w14:textId="177EE17A" w:rsidR="003E005F" w:rsidRPr="000973F2" w:rsidRDefault="00132320" w:rsidP="00132320">
            <w:pPr>
              <w:spacing w:before="40" w:after="4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w:t>
            </w:r>
          </w:p>
        </w:tc>
        <w:tc>
          <w:tcPr>
            <w:tcW w:w="799" w:type="dxa"/>
            <w:noWrap/>
            <w:hideMark/>
          </w:tcPr>
          <w:p w14:paraId="245C91B6" w14:textId="105A766C" w:rsidR="003E005F" w:rsidRPr="000973F2" w:rsidRDefault="00132320" w:rsidP="00132320">
            <w:pPr>
              <w:spacing w:before="40" w:after="4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w:t>
            </w:r>
          </w:p>
        </w:tc>
        <w:tc>
          <w:tcPr>
            <w:tcW w:w="798" w:type="dxa"/>
            <w:noWrap/>
            <w:hideMark/>
          </w:tcPr>
          <w:p w14:paraId="0E4EB3B5" w14:textId="6B92B28A" w:rsidR="003E005F" w:rsidRPr="000973F2" w:rsidRDefault="00132320" w:rsidP="00132320">
            <w:pPr>
              <w:tabs>
                <w:tab w:val="decimal" w:pos="286"/>
              </w:tabs>
              <w:spacing w:before="40" w:after="4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w:t>
            </w:r>
          </w:p>
        </w:tc>
        <w:tc>
          <w:tcPr>
            <w:tcW w:w="799" w:type="dxa"/>
            <w:noWrap/>
            <w:hideMark/>
          </w:tcPr>
          <w:p w14:paraId="7C50F041" w14:textId="0812295F" w:rsidR="003E005F" w:rsidRPr="000973F2" w:rsidRDefault="00132320" w:rsidP="00132320">
            <w:pPr>
              <w:spacing w:before="40" w:after="4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w:t>
            </w:r>
          </w:p>
        </w:tc>
        <w:tc>
          <w:tcPr>
            <w:tcW w:w="799" w:type="dxa"/>
            <w:noWrap/>
            <w:hideMark/>
          </w:tcPr>
          <w:p w14:paraId="481DF515" w14:textId="49EE34B8" w:rsidR="003E005F" w:rsidRPr="000973F2" w:rsidRDefault="00132320" w:rsidP="00132320">
            <w:pPr>
              <w:tabs>
                <w:tab w:val="decimal" w:pos="271"/>
              </w:tabs>
              <w:spacing w:before="40" w:after="4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w:t>
            </w:r>
          </w:p>
        </w:tc>
        <w:tc>
          <w:tcPr>
            <w:tcW w:w="848" w:type="dxa"/>
            <w:noWrap/>
            <w:hideMark/>
          </w:tcPr>
          <w:p w14:paraId="4050100E" w14:textId="2D155D93" w:rsidR="003E005F" w:rsidRPr="000973F2" w:rsidRDefault="00132320" w:rsidP="00132320">
            <w:pPr>
              <w:spacing w:before="40" w:after="4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w:t>
            </w:r>
          </w:p>
        </w:tc>
        <w:tc>
          <w:tcPr>
            <w:tcW w:w="848" w:type="dxa"/>
            <w:noWrap/>
            <w:hideMark/>
          </w:tcPr>
          <w:p w14:paraId="5A84B25D" w14:textId="3223E35F" w:rsidR="003E005F" w:rsidRPr="000973F2" w:rsidRDefault="00132320" w:rsidP="00132320">
            <w:pPr>
              <w:tabs>
                <w:tab w:val="decimal" w:pos="511"/>
              </w:tabs>
              <w:spacing w:before="40" w:after="4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w:t>
            </w:r>
          </w:p>
        </w:tc>
      </w:tr>
      <w:tr w:rsidR="0025278A" w:rsidRPr="000973F2" w14:paraId="66A1D533" w14:textId="77777777" w:rsidTr="00132320">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1245" w:type="dxa"/>
            <w:tcMar>
              <w:right w:w="14" w:type="dxa"/>
            </w:tcMar>
            <w:hideMark/>
          </w:tcPr>
          <w:p w14:paraId="4904281E" w14:textId="77777777" w:rsidR="0025278A" w:rsidRPr="000973F2" w:rsidRDefault="0025278A" w:rsidP="00132320">
            <w:pPr>
              <w:spacing w:before="40" w:after="4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Sampling and Analysis (Calculations)</w:t>
            </w:r>
          </w:p>
        </w:tc>
        <w:tc>
          <w:tcPr>
            <w:tcW w:w="798" w:type="dxa"/>
            <w:noWrap/>
            <w:hideMark/>
          </w:tcPr>
          <w:p w14:paraId="3F83F56B" w14:textId="77777777" w:rsidR="0025278A" w:rsidRPr="000973F2" w:rsidRDefault="0025278A" w:rsidP="00132320">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0</w:t>
            </w:r>
          </w:p>
        </w:tc>
        <w:tc>
          <w:tcPr>
            <w:tcW w:w="799" w:type="dxa"/>
            <w:noWrap/>
            <w:hideMark/>
          </w:tcPr>
          <w:p w14:paraId="446AE0A3" w14:textId="77777777" w:rsidR="0025278A" w:rsidRPr="000973F2" w:rsidRDefault="0025278A" w:rsidP="00132320">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0</w:t>
            </w:r>
          </w:p>
        </w:tc>
        <w:tc>
          <w:tcPr>
            <w:tcW w:w="798" w:type="dxa"/>
            <w:noWrap/>
            <w:hideMark/>
          </w:tcPr>
          <w:p w14:paraId="5338B417" w14:textId="77777777" w:rsidR="0025278A" w:rsidRPr="000973F2" w:rsidRDefault="0025278A" w:rsidP="00132320">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0</w:t>
            </w:r>
          </w:p>
        </w:tc>
        <w:tc>
          <w:tcPr>
            <w:tcW w:w="799" w:type="dxa"/>
            <w:noWrap/>
            <w:hideMark/>
          </w:tcPr>
          <w:p w14:paraId="4161BF41" w14:textId="77777777" w:rsidR="0025278A" w:rsidRPr="000973F2" w:rsidRDefault="0025278A" w:rsidP="00132320">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4.0</w:t>
            </w:r>
          </w:p>
        </w:tc>
        <w:tc>
          <w:tcPr>
            <w:tcW w:w="799" w:type="dxa"/>
            <w:noWrap/>
            <w:hideMark/>
          </w:tcPr>
          <w:p w14:paraId="5DF305D7" w14:textId="77777777" w:rsidR="0025278A" w:rsidRPr="000973F2" w:rsidRDefault="0025278A" w:rsidP="00132320">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0</w:t>
            </w:r>
          </w:p>
        </w:tc>
        <w:tc>
          <w:tcPr>
            <w:tcW w:w="798" w:type="dxa"/>
            <w:noWrap/>
            <w:hideMark/>
          </w:tcPr>
          <w:p w14:paraId="4F33F228" w14:textId="77777777" w:rsidR="0025278A" w:rsidRPr="000973F2" w:rsidRDefault="0025278A" w:rsidP="00132320">
            <w:pPr>
              <w:tabs>
                <w:tab w:val="decimal" w:pos="286"/>
              </w:tabs>
              <w:spacing w:before="40" w:after="4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80.6</w:t>
            </w:r>
          </w:p>
        </w:tc>
        <w:tc>
          <w:tcPr>
            <w:tcW w:w="799" w:type="dxa"/>
            <w:noWrap/>
            <w:hideMark/>
          </w:tcPr>
          <w:p w14:paraId="16DDB556" w14:textId="77777777" w:rsidR="0025278A" w:rsidRPr="000973F2" w:rsidRDefault="0025278A" w:rsidP="00132320">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0</w:t>
            </w:r>
          </w:p>
        </w:tc>
        <w:tc>
          <w:tcPr>
            <w:tcW w:w="799" w:type="dxa"/>
            <w:noWrap/>
            <w:hideMark/>
          </w:tcPr>
          <w:p w14:paraId="52825EAF" w14:textId="77777777" w:rsidR="0025278A" w:rsidRPr="000973F2" w:rsidRDefault="0025278A" w:rsidP="00132320">
            <w:pPr>
              <w:tabs>
                <w:tab w:val="decimal" w:pos="271"/>
              </w:tabs>
              <w:spacing w:before="40" w:after="4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8.1</w:t>
            </w:r>
          </w:p>
        </w:tc>
        <w:tc>
          <w:tcPr>
            <w:tcW w:w="848" w:type="dxa"/>
            <w:noWrap/>
            <w:hideMark/>
          </w:tcPr>
          <w:p w14:paraId="6E77537C" w14:textId="6BC98C71" w:rsidR="0025278A" w:rsidRPr="000973F2" w:rsidRDefault="0025278A" w:rsidP="00132320">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$0</w:t>
            </w:r>
          </w:p>
        </w:tc>
        <w:tc>
          <w:tcPr>
            <w:tcW w:w="848" w:type="dxa"/>
            <w:noWrap/>
            <w:hideMark/>
          </w:tcPr>
          <w:p w14:paraId="72CABC2C" w14:textId="2E1DB6F3" w:rsidR="0025278A" w:rsidRPr="000973F2" w:rsidRDefault="0025278A" w:rsidP="00132320">
            <w:pPr>
              <w:tabs>
                <w:tab w:val="decimal" w:pos="511"/>
              </w:tabs>
              <w:spacing w:before="40" w:after="4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$6,404</w:t>
            </w:r>
          </w:p>
        </w:tc>
      </w:tr>
      <w:tr w:rsidR="00132320" w:rsidRPr="000973F2" w14:paraId="5E379B00" w14:textId="77777777" w:rsidTr="00132320">
        <w:trPr>
          <w:cantSplit/>
        </w:trPr>
        <w:tc>
          <w:tcPr>
            <w:cnfStyle w:val="001000000000" w:firstRow="0" w:lastRow="0" w:firstColumn="1" w:lastColumn="0" w:oddVBand="0" w:evenVBand="0" w:oddHBand="0" w:evenHBand="0" w:firstRowFirstColumn="0" w:firstRowLastColumn="0" w:lastRowFirstColumn="0" w:lastRowLastColumn="0"/>
            <w:tcW w:w="1245" w:type="dxa"/>
            <w:tcMar>
              <w:right w:w="14" w:type="dxa"/>
            </w:tcMar>
            <w:hideMark/>
          </w:tcPr>
          <w:p w14:paraId="697CF10C" w14:textId="77777777" w:rsidR="003E005F" w:rsidRPr="000973F2" w:rsidRDefault="003E005F" w:rsidP="00132320">
            <w:pPr>
              <w:spacing w:before="40" w:after="4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Reporting</w:t>
            </w:r>
          </w:p>
        </w:tc>
        <w:tc>
          <w:tcPr>
            <w:tcW w:w="798" w:type="dxa"/>
            <w:noWrap/>
            <w:hideMark/>
          </w:tcPr>
          <w:p w14:paraId="79384C4C" w14:textId="2EDD76B4" w:rsidR="003E005F" w:rsidRPr="000973F2" w:rsidRDefault="00132320" w:rsidP="00132320">
            <w:pPr>
              <w:spacing w:before="40" w:after="4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w:t>
            </w:r>
          </w:p>
        </w:tc>
        <w:tc>
          <w:tcPr>
            <w:tcW w:w="799" w:type="dxa"/>
            <w:noWrap/>
            <w:hideMark/>
          </w:tcPr>
          <w:p w14:paraId="7FD3F1DF" w14:textId="33DFA426" w:rsidR="003E005F" w:rsidRPr="000973F2" w:rsidRDefault="00132320" w:rsidP="00132320">
            <w:pPr>
              <w:spacing w:before="40" w:after="4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w:t>
            </w:r>
          </w:p>
        </w:tc>
        <w:tc>
          <w:tcPr>
            <w:tcW w:w="798" w:type="dxa"/>
            <w:noWrap/>
            <w:hideMark/>
          </w:tcPr>
          <w:p w14:paraId="00F2F85E" w14:textId="5FC34D11" w:rsidR="003E005F" w:rsidRPr="000973F2" w:rsidRDefault="00132320" w:rsidP="00132320">
            <w:pPr>
              <w:spacing w:before="40" w:after="4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w:t>
            </w:r>
          </w:p>
        </w:tc>
        <w:tc>
          <w:tcPr>
            <w:tcW w:w="799" w:type="dxa"/>
            <w:noWrap/>
            <w:hideMark/>
          </w:tcPr>
          <w:p w14:paraId="042EE779" w14:textId="0FF7D031" w:rsidR="003E005F" w:rsidRPr="000973F2" w:rsidRDefault="00132320" w:rsidP="00132320">
            <w:pPr>
              <w:spacing w:before="40" w:after="4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w:t>
            </w:r>
          </w:p>
        </w:tc>
        <w:tc>
          <w:tcPr>
            <w:tcW w:w="799" w:type="dxa"/>
            <w:noWrap/>
            <w:hideMark/>
          </w:tcPr>
          <w:p w14:paraId="1672BEB7" w14:textId="1882CBB6" w:rsidR="003E005F" w:rsidRPr="000973F2" w:rsidRDefault="00132320" w:rsidP="00132320">
            <w:pPr>
              <w:spacing w:before="40" w:after="4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w:t>
            </w:r>
          </w:p>
        </w:tc>
        <w:tc>
          <w:tcPr>
            <w:tcW w:w="798" w:type="dxa"/>
            <w:noWrap/>
            <w:hideMark/>
          </w:tcPr>
          <w:p w14:paraId="4B0B2278" w14:textId="2B3530A2" w:rsidR="003E005F" w:rsidRPr="000973F2" w:rsidRDefault="00132320" w:rsidP="00132320">
            <w:pPr>
              <w:tabs>
                <w:tab w:val="decimal" w:pos="286"/>
              </w:tabs>
              <w:spacing w:before="40" w:after="4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w:t>
            </w:r>
          </w:p>
        </w:tc>
        <w:tc>
          <w:tcPr>
            <w:tcW w:w="799" w:type="dxa"/>
            <w:noWrap/>
            <w:hideMark/>
          </w:tcPr>
          <w:p w14:paraId="053621B5" w14:textId="7A4936F9" w:rsidR="003E005F" w:rsidRPr="000973F2" w:rsidRDefault="00132320" w:rsidP="00132320">
            <w:pPr>
              <w:spacing w:before="40" w:after="4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w:t>
            </w:r>
          </w:p>
        </w:tc>
        <w:tc>
          <w:tcPr>
            <w:tcW w:w="799" w:type="dxa"/>
            <w:noWrap/>
            <w:hideMark/>
          </w:tcPr>
          <w:p w14:paraId="08B7C6B8" w14:textId="4B7BFF9C" w:rsidR="003E005F" w:rsidRPr="000973F2" w:rsidRDefault="00132320" w:rsidP="00132320">
            <w:pPr>
              <w:tabs>
                <w:tab w:val="decimal" w:pos="271"/>
              </w:tabs>
              <w:spacing w:before="40" w:after="4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w:t>
            </w:r>
          </w:p>
        </w:tc>
        <w:tc>
          <w:tcPr>
            <w:tcW w:w="848" w:type="dxa"/>
            <w:noWrap/>
            <w:hideMark/>
          </w:tcPr>
          <w:p w14:paraId="0D4F2989" w14:textId="6B2CFD9C" w:rsidR="003E005F" w:rsidRPr="000973F2" w:rsidRDefault="00132320" w:rsidP="00132320">
            <w:pPr>
              <w:spacing w:before="40" w:after="4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w:t>
            </w:r>
          </w:p>
        </w:tc>
        <w:tc>
          <w:tcPr>
            <w:tcW w:w="848" w:type="dxa"/>
            <w:noWrap/>
            <w:hideMark/>
          </w:tcPr>
          <w:p w14:paraId="30F91216" w14:textId="7B0F0728" w:rsidR="003E005F" w:rsidRPr="000973F2" w:rsidRDefault="00132320" w:rsidP="00132320">
            <w:pPr>
              <w:tabs>
                <w:tab w:val="decimal" w:pos="511"/>
              </w:tabs>
              <w:spacing w:before="40" w:after="4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w:t>
            </w:r>
          </w:p>
        </w:tc>
      </w:tr>
      <w:tr w:rsidR="0025278A" w:rsidRPr="000973F2" w14:paraId="44A7C901" w14:textId="77777777" w:rsidTr="00132320">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1245" w:type="dxa"/>
            <w:noWrap/>
            <w:tcMar>
              <w:right w:w="14" w:type="dxa"/>
            </w:tcMar>
            <w:hideMark/>
          </w:tcPr>
          <w:p w14:paraId="16423402" w14:textId="77777777" w:rsidR="0025278A" w:rsidRPr="000973F2" w:rsidRDefault="0025278A" w:rsidP="00132320">
            <w:pPr>
              <w:spacing w:before="40" w:after="40"/>
              <w:rPr>
                <w:rFonts w:ascii="Times New Roman" w:eastAsia="Times New Roman" w:hAnsi="Times New Roman" w:cs="Times New Roman"/>
                <w:b/>
                <w:bCs w:val="0"/>
                <w:sz w:val="18"/>
                <w:szCs w:val="18"/>
              </w:rPr>
            </w:pPr>
            <w:r w:rsidRPr="000973F2">
              <w:rPr>
                <w:rFonts w:ascii="Times New Roman" w:eastAsia="Times New Roman" w:hAnsi="Times New Roman" w:cs="Times New Roman"/>
                <w:b/>
                <w:sz w:val="18"/>
                <w:szCs w:val="18"/>
              </w:rPr>
              <w:t>Total</w:t>
            </w:r>
          </w:p>
        </w:tc>
        <w:tc>
          <w:tcPr>
            <w:tcW w:w="798" w:type="dxa"/>
            <w:noWrap/>
            <w:hideMark/>
          </w:tcPr>
          <w:p w14:paraId="04D1DE83" w14:textId="77777777" w:rsidR="0025278A" w:rsidRPr="000973F2" w:rsidRDefault="0025278A" w:rsidP="00132320">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18"/>
                <w:szCs w:val="18"/>
              </w:rPr>
            </w:pPr>
            <w:r w:rsidRPr="000973F2">
              <w:rPr>
                <w:rFonts w:ascii="Times New Roman" w:eastAsia="Times New Roman" w:hAnsi="Times New Roman" w:cs="Times New Roman"/>
                <w:b/>
                <w:bCs/>
                <w:sz w:val="18"/>
                <w:szCs w:val="18"/>
              </w:rPr>
              <w:t>0</w:t>
            </w:r>
          </w:p>
        </w:tc>
        <w:tc>
          <w:tcPr>
            <w:tcW w:w="799" w:type="dxa"/>
            <w:noWrap/>
            <w:hideMark/>
          </w:tcPr>
          <w:p w14:paraId="0251FA65" w14:textId="77777777" w:rsidR="0025278A" w:rsidRPr="000973F2" w:rsidRDefault="0025278A" w:rsidP="00132320">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18"/>
                <w:szCs w:val="18"/>
              </w:rPr>
            </w:pPr>
            <w:r w:rsidRPr="000973F2">
              <w:rPr>
                <w:rFonts w:ascii="Times New Roman" w:eastAsia="Times New Roman" w:hAnsi="Times New Roman" w:cs="Times New Roman"/>
                <w:b/>
                <w:bCs/>
                <w:sz w:val="18"/>
                <w:szCs w:val="18"/>
              </w:rPr>
              <w:t>0</w:t>
            </w:r>
          </w:p>
        </w:tc>
        <w:tc>
          <w:tcPr>
            <w:tcW w:w="798" w:type="dxa"/>
            <w:noWrap/>
            <w:hideMark/>
          </w:tcPr>
          <w:p w14:paraId="1DFFAE04" w14:textId="77777777" w:rsidR="0025278A" w:rsidRPr="000973F2" w:rsidRDefault="0025278A" w:rsidP="00132320">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18"/>
                <w:szCs w:val="18"/>
              </w:rPr>
            </w:pPr>
            <w:r w:rsidRPr="000973F2">
              <w:rPr>
                <w:rFonts w:ascii="Times New Roman" w:eastAsia="Times New Roman" w:hAnsi="Times New Roman" w:cs="Times New Roman"/>
                <w:b/>
                <w:bCs/>
                <w:sz w:val="18"/>
                <w:szCs w:val="18"/>
              </w:rPr>
              <w:t>0</w:t>
            </w:r>
          </w:p>
        </w:tc>
        <w:tc>
          <w:tcPr>
            <w:tcW w:w="799" w:type="dxa"/>
            <w:noWrap/>
            <w:hideMark/>
          </w:tcPr>
          <w:p w14:paraId="74C38134" w14:textId="77777777" w:rsidR="0025278A" w:rsidRPr="000973F2" w:rsidRDefault="0025278A" w:rsidP="00132320">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18"/>
                <w:szCs w:val="18"/>
              </w:rPr>
            </w:pPr>
            <w:r w:rsidRPr="000973F2">
              <w:rPr>
                <w:rFonts w:ascii="Times New Roman" w:eastAsia="Times New Roman" w:hAnsi="Times New Roman" w:cs="Times New Roman"/>
                <w:b/>
                <w:bCs/>
                <w:sz w:val="18"/>
                <w:szCs w:val="18"/>
              </w:rPr>
              <w:t>9.0</w:t>
            </w:r>
          </w:p>
        </w:tc>
        <w:tc>
          <w:tcPr>
            <w:tcW w:w="799" w:type="dxa"/>
            <w:noWrap/>
            <w:hideMark/>
          </w:tcPr>
          <w:p w14:paraId="0B40B01D" w14:textId="77777777" w:rsidR="0025278A" w:rsidRPr="000973F2" w:rsidRDefault="0025278A" w:rsidP="00132320">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18"/>
                <w:szCs w:val="18"/>
              </w:rPr>
            </w:pPr>
            <w:r w:rsidRPr="000973F2">
              <w:rPr>
                <w:rFonts w:ascii="Times New Roman" w:eastAsia="Times New Roman" w:hAnsi="Times New Roman" w:cs="Times New Roman"/>
                <w:b/>
                <w:bCs/>
                <w:sz w:val="18"/>
                <w:szCs w:val="18"/>
              </w:rPr>
              <w:t>0</w:t>
            </w:r>
          </w:p>
        </w:tc>
        <w:tc>
          <w:tcPr>
            <w:tcW w:w="798" w:type="dxa"/>
            <w:noWrap/>
            <w:hideMark/>
          </w:tcPr>
          <w:p w14:paraId="4BB104B4" w14:textId="77777777" w:rsidR="0025278A" w:rsidRPr="000973F2" w:rsidRDefault="0025278A" w:rsidP="00132320">
            <w:pPr>
              <w:tabs>
                <w:tab w:val="decimal" w:pos="286"/>
              </w:tabs>
              <w:spacing w:before="40" w:after="4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18"/>
                <w:szCs w:val="18"/>
              </w:rPr>
            </w:pPr>
            <w:r w:rsidRPr="000973F2">
              <w:rPr>
                <w:rFonts w:ascii="Times New Roman" w:eastAsia="Times New Roman" w:hAnsi="Times New Roman" w:cs="Times New Roman"/>
                <w:b/>
                <w:bCs/>
                <w:sz w:val="18"/>
                <w:szCs w:val="18"/>
              </w:rPr>
              <w:t>80.6</w:t>
            </w:r>
          </w:p>
        </w:tc>
        <w:tc>
          <w:tcPr>
            <w:tcW w:w="799" w:type="dxa"/>
            <w:noWrap/>
            <w:hideMark/>
          </w:tcPr>
          <w:p w14:paraId="610E41C2" w14:textId="77777777" w:rsidR="0025278A" w:rsidRPr="000973F2" w:rsidRDefault="0025278A" w:rsidP="00132320">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18"/>
                <w:szCs w:val="18"/>
              </w:rPr>
            </w:pPr>
            <w:r w:rsidRPr="000973F2">
              <w:rPr>
                <w:rFonts w:ascii="Times New Roman" w:eastAsia="Times New Roman" w:hAnsi="Times New Roman" w:cs="Times New Roman"/>
                <w:b/>
                <w:bCs/>
                <w:sz w:val="18"/>
                <w:szCs w:val="18"/>
              </w:rPr>
              <w:t>0</w:t>
            </w:r>
          </w:p>
        </w:tc>
        <w:tc>
          <w:tcPr>
            <w:tcW w:w="799" w:type="dxa"/>
            <w:noWrap/>
            <w:hideMark/>
          </w:tcPr>
          <w:p w14:paraId="7AFD9D8B" w14:textId="77777777" w:rsidR="0025278A" w:rsidRPr="000973F2" w:rsidRDefault="0025278A" w:rsidP="00132320">
            <w:pPr>
              <w:tabs>
                <w:tab w:val="decimal" w:pos="271"/>
              </w:tabs>
              <w:spacing w:before="40" w:after="4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18"/>
                <w:szCs w:val="18"/>
              </w:rPr>
            </w:pPr>
            <w:r w:rsidRPr="000973F2">
              <w:rPr>
                <w:rFonts w:ascii="Times New Roman" w:eastAsia="Times New Roman" w:hAnsi="Times New Roman" w:cs="Times New Roman"/>
                <w:b/>
                <w:bCs/>
                <w:sz w:val="18"/>
                <w:szCs w:val="18"/>
              </w:rPr>
              <w:t>8.1</w:t>
            </w:r>
          </w:p>
        </w:tc>
        <w:tc>
          <w:tcPr>
            <w:tcW w:w="848" w:type="dxa"/>
            <w:noWrap/>
            <w:hideMark/>
          </w:tcPr>
          <w:p w14:paraId="6E91D72D" w14:textId="45005155" w:rsidR="0025278A" w:rsidRPr="000973F2" w:rsidRDefault="0025278A" w:rsidP="00132320">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18"/>
                <w:szCs w:val="18"/>
              </w:rPr>
            </w:pPr>
            <w:r w:rsidRPr="000973F2">
              <w:rPr>
                <w:rFonts w:ascii="Times New Roman" w:eastAsia="Times New Roman" w:hAnsi="Times New Roman" w:cs="Times New Roman"/>
                <w:b/>
                <w:bCs/>
                <w:sz w:val="18"/>
                <w:szCs w:val="18"/>
              </w:rPr>
              <w:t>$0</w:t>
            </w:r>
          </w:p>
        </w:tc>
        <w:tc>
          <w:tcPr>
            <w:tcW w:w="848" w:type="dxa"/>
            <w:noWrap/>
            <w:hideMark/>
          </w:tcPr>
          <w:p w14:paraId="6BF8D8F3" w14:textId="383D078A" w:rsidR="0025278A" w:rsidRPr="000973F2" w:rsidRDefault="0025278A" w:rsidP="00132320">
            <w:pPr>
              <w:tabs>
                <w:tab w:val="decimal" w:pos="511"/>
              </w:tabs>
              <w:spacing w:before="40" w:after="4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18"/>
                <w:szCs w:val="18"/>
              </w:rPr>
            </w:pPr>
            <w:r w:rsidRPr="000973F2">
              <w:rPr>
                <w:rFonts w:ascii="Times New Roman" w:eastAsia="Times New Roman" w:hAnsi="Times New Roman" w:cs="Times New Roman"/>
                <w:b/>
                <w:bCs/>
                <w:sz w:val="18"/>
                <w:szCs w:val="18"/>
              </w:rPr>
              <w:t>$6,841</w:t>
            </w:r>
          </w:p>
        </w:tc>
      </w:tr>
    </w:tbl>
    <w:p w14:paraId="4FCC56A8" w14:textId="77777777" w:rsidR="00DC76F5" w:rsidRPr="000973F2" w:rsidRDefault="00DC76F5" w:rsidP="00132320">
      <w:pPr>
        <w:pStyle w:val="AfterTable"/>
      </w:pPr>
    </w:p>
    <w:p w14:paraId="2DFDADF3" w14:textId="4CA9FB14" w:rsidR="00653714" w:rsidRPr="000973F2" w:rsidRDefault="00653714" w:rsidP="00132320">
      <w:pPr>
        <w:pStyle w:val="Tabletitle"/>
        <w:rPr>
          <w:sz w:val="24"/>
        </w:rPr>
      </w:pPr>
      <w:r w:rsidRPr="000973F2">
        <w:t xml:space="preserve">Table </w:t>
      </w:r>
      <w:r w:rsidR="00132320" w:rsidRPr="000973F2">
        <w:t>L-</w:t>
      </w:r>
      <w:r w:rsidRPr="000973F2">
        <w:t>1</w:t>
      </w:r>
      <w:r w:rsidR="00991D74" w:rsidRPr="000973F2">
        <w:t>e</w:t>
      </w:r>
      <w:r w:rsidRPr="000973F2">
        <w:t xml:space="preserve">. Labor Costs </w:t>
      </w:r>
      <w:r w:rsidR="00991D74" w:rsidRPr="000973F2">
        <w:t>–</w:t>
      </w:r>
      <w:r w:rsidRPr="000973F2">
        <w:t xml:space="preserve"> Subpart L </w:t>
      </w:r>
      <w:r w:rsidR="00991D74" w:rsidRPr="000973F2">
        <w:t>–</w:t>
      </w:r>
      <w:r w:rsidRPr="000973F2">
        <w:t xml:space="preserve"> Estimating Equipment Leak Emissions from Large Facility</w:t>
      </w:r>
    </w:p>
    <w:tbl>
      <w:tblPr>
        <w:tblStyle w:val="PlainTable1"/>
        <w:tblW w:w="5000" w:type="pct"/>
        <w:jc w:val="left"/>
        <w:tblLayout w:type="fixed"/>
        <w:tblCellMar>
          <w:left w:w="115" w:type="dxa"/>
          <w:right w:w="115" w:type="dxa"/>
        </w:tblCellMar>
        <w:tblLook w:val="04A0" w:firstRow="1" w:lastRow="0" w:firstColumn="1" w:lastColumn="0" w:noHBand="0" w:noVBand="1"/>
      </w:tblPr>
      <w:tblGrid>
        <w:gridCol w:w="1279"/>
        <w:gridCol w:w="809"/>
        <w:gridCol w:w="810"/>
        <w:gridCol w:w="809"/>
        <w:gridCol w:w="810"/>
        <w:gridCol w:w="809"/>
        <w:gridCol w:w="810"/>
        <w:gridCol w:w="809"/>
        <w:gridCol w:w="810"/>
        <w:gridCol w:w="833"/>
        <w:gridCol w:w="1002"/>
      </w:tblGrid>
      <w:tr w:rsidR="0025278A" w:rsidRPr="000973F2" w14:paraId="129E7B89" w14:textId="77777777" w:rsidTr="00132320">
        <w:trPr>
          <w:cnfStyle w:val="100000000000" w:firstRow="1" w:lastRow="0" w:firstColumn="0" w:lastColumn="0" w:oddVBand="0" w:evenVBand="0" w:oddHBand="0" w:evenHBand="0" w:firstRowFirstColumn="0" w:firstRowLastColumn="0" w:lastRowFirstColumn="0" w:lastRowLastColumn="0"/>
          <w:cantSplit/>
          <w:jc w:val="left"/>
        </w:trPr>
        <w:tc>
          <w:tcPr>
            <w:cnfStyle w:val="001000000000" w:firstRow="0" w:lastRow="0" w:firstColumn="1" w:lastColumn="0" w:oddVBand="0" w:evenVBand="0" w:oddHBand="0" w:evenHBand="0" w:firstRowFirstColumn="0" w:firstRowLastColumn="0" w:lastRowFirstColumn="0" w:lastRowLastColumn="0"/>
            <w:tcW w:w="1245" w:type="dxa"/>
            <w:vMerge w:val="restart"/>
            <w:noWrap/>
            <w:vAlign w:val="top"/>
            <w:hideMark/>
          </w:tcPr>
          <w:p w14:paraId="0417B89B" w14:textId="77777777" w:rsidR="0025278A" w:rsidRPr="000973F2" w:rsidRDefault="0025278A" w:rsidP="000D578F">
            <w:pPr>
              <w:spacing w:before="40" w:after="40"/>
              <w:rPr>
                <w:rFonts w:ascii="Times New Roman" w:eastAsia="Times New Roman" w:hAnsi="Times New Roman" w:cs="Times New Roman"/>
                <w:bCs w:val="0"/>
                <w:sz w:val="18"/>
                <w:szCs w:val="18"/>
              </w:rPr>
            </w:pPr>
            <w:r w:rsidRPr="000973F2">
              <w:rPr>
                <w:rFonts w:ascii="Times New Roman" w:eastAsia="Times New Roman" w:hAnsi="Times New Roman" w:cs="Times New Roman"/>
                <w:sz w:val="18"/>
                <w:szCs w:val="18"/>
              </w:rPr>
              <w:t>Activity</w:t>
            </w:r>
          </w:p>
        </w:tc>
        <w:tc>
          <w:tcPr>
            <w:tcW w:w="6300" w:type="dxa"/>
            <w:gridSpan w:val="8"/>
            <w:noWrap/>
            <w:vAlign w:val="top"/>
            <w:hideMark/>
          </w:tcPr>
          <w:p w14:paraId="1D11C3D7" w14:textId="77777777" w:rsidR="0025278A" w:rsidRPr="000973F2" w:rsidRDefault="0025278A" w:rsidP="000D578F">
            <w:pPr>
              <w:spacing w:before="40" w:after="40"/>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Cs w:val="0"/>
                <w:sz w:val="18"/>
                <w:szCs w:val="18"/>
              </w:rPr>
            </w:pPr>
            <w:r w:rsidRPr="000973F2">
              <w:rPr>
                <w:rFonts w:ascii="Times New Roman" w:eastAsia="Times New Roman" w:hAnsi="Times New Roman" w:cs="Times New Roman"/>
                <w:bCs w:val="0"/>
                <w:sz w:val="18"/>
                <w:szCs w:val="18"/>
              </w:rPr>
              <w:t>Labor Rates (per hour)</w:t>
            </w:r>
          </w:p>
        </w:tc>
        <w:tc>
          <w:tcPr>
            <w:tcW w:w="1785" w:type="dxa"/>
            <w:gridSpan w:val="2"/>
            <w:vMerge w:val="restart"/>
            <w:vAlign w:val="top"/>
            <w:hideMark/>
          </w:tcPr>
          <w:p w14:paraId="4D92C50E" w14:textId="41C97171" w:rsidR="0025278A" w:rsidRPr="000973F2" w:rsidRDefault="0025278A" w:rsidP="000D578F">
            <w:pPr>
              <w:spacing w:before="40" w:after="40"/>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Cs w:val="0"/>
                <w:sz w:val="18"/>
                <w:szCs w:val="18"/>
              </w:rPr>
            </w:pPr>
            <w:r w:rsidRPr="000973F2">
              <w:rPr>
                <w:rFonts w:ascii="Times New Roman" w:eastAsia="Times New Roman" w:hAnsi="Times New Roman" w:cs="Times New Roman"/>
                <w:bCs w:val="0"/>
                <w:sz w:val="18"/>
                <w:szCs w:val="18"/>
              </w:rPr>
              <w:t xml:space="preserve">Total Labor Cost per Year per </w:t>
            </w:r>
            <w:r w:rsidR="003F42BB" w:rsidRPr="000973F2">
              <w:rPr>
                <w:rFonts w:ascii="Times New Roman" w:eastAsia="Times New Roman" w:hAnsi="Times New Roman" w:cs="Times New Roman"/>
                <w:bCs w:val="0"/>
                <w:sz w:val="18"/>
                <w:szCs w:val="18"/>
              </w:rPr>
              <w:t>Facility (2017$)</w:t>
            </w:r>
          </w:p>
        </w:tc>
      </w:tr>
      <w:tr w:rsidR="0025278A" w:rsidRPr="000973F2" w14:paraId="4E91E55A" w14:textId="77777777" w:rsidTr="00132320">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1245" w:type="dxa"/>
            <w:vMerge/>
            <w:hideMark/>
          </w:tcPr>
          <w:p w14:paraId="64F5FB41" w14:textId="77777777" w:rsidR="0025278A" w:rsidRPr="000973F2" w:rsidRDefault="0025278A" w:rsidP="000D578F">
            <w:pPr>
              <w:spacing w:before="40" w:after="40"/>
              <w:rPr>
                <w:rFonts w:ascii="Times New Roman" w:eastAsia="Times New Roman" w:hAnsi="Times New Roman" w:cs="Times New Roman"/>
                <w:b/>
                <w:bCs w:val="0"/>
                <w:sz w:val="18"/>
                <w:szCs w:val="18"/>
              </w:rPr>
            </w:pPr>
          </w:p>
        </w:tc>
        <w:tc>
          <w:tcPr>
            <w:tcW w:w="1575" w:type="dxa"/>
            <w:gridSpan w:val="2"/>
            <w:noWrap/>
            <w:hideMark/>
          </w:tcPr>
          <w:p w14:paraId="4BB4C734" w14:textId="77777777" w:rsidR="0025278A" w:rsidRPr="000973F2" w:rsidRDefault="0025278A" w:rsidP="000D578F">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18"/>
                <w:szCs w:val="18"/>
              </w:rPr>
            </w:pPr>
            <w:r w:rsidRPr="000973F2">
              <w:rPr>
                <w:rFonts w:ascii="Times New Roman" w:eastAsia="Times New Roman" w:hAnsi="Times New Roman" w:cs="Times New Roman"/>
                <w:b/>
                <w:bCs/>
                <w:sz w:val="18"/>
                <w:szCs w:val="18"/>
              </w:rPr>
              <w:t>Lawyer</w:t>
            </w:r>
          </w:p>
        </w:tc>
        <w:tc>
          <w:tcPr>
            <w:tcW w:w="1575" w:type="dxa"/>
            <w:gridSpan w:val="2"/>
            <w:noWrap/>
            <w:hideMark/>
          </w:tcPr>
          <w:p w14:paraId="714AE084" w14:textId="77777777" w:rsidR="0025278A" w:rsidRPr="000973F2" w:rsidRDefault="0025278A" w:rsidP="000D578F">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18"/>
                <w:szCs w:val="18"/>
              </w:rPr>
            </w:pPr>
            <w:r w:rsidRPr="000973F2">
              <w:rPr>
                <w:rFonts w:ascii="Times New Roman" w:eastAsia="Times New Roman" w:hAnsi="Times New Roman" w:cs="Times New Roman"/>
                <w:b/>
                <w:bCs/>
                <w:sz w:val="18"/>
                <w:szCs w:val="18"/>
              </w:rPr>
              <w:t>Industrial Manager</w:t>
            </w:r>
          </w:p>
        </w:tc>
        <w:tc>
          <w:tcPr>
            <w:tcW w:w="1575" w:type="dxa"/>
            <w:gridSpan w:val="2"/>
            <w:hideMark/>
          </w:tcPr>
          <w:p w14:paraId="609424DB" w14:textId="0F443BA2" w:rsidR="0025278A" w:rsidRPr="000973F2" w:rsidRDefault="0025278A" w:rsidP="000D578F">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18"/>
                <w:szCs w:val="18"/>
              </w:rPr>
            </w:pPr>
            <w:r w:rsidRPr="000973F2">
              <w:rPr>
                <w:rFonts w:ascii="Times New Roman" w:eastAsia="Times New Roman" w:hAnsi="Times New Roman" w:cs="Times New Roman"/>
                <w:b/>
                <w:bCs/>
                <w:sz w:val="18"/>
                <w:szCs w:val="18"/>
              </w:rPr>
              <w:t>Industrial Engineer/</w:t>
            </w:r>
            <w:r w:rsidR="000D578F" w:rsidRPr="000973F2">
              <w:rPr>
                <w:rFonts w:ascii="Times New Roman" w:eastAsia="Times New Roman" w:hAnsi="Times New Roman" w:cs="Times New Roman"/>
                <w:b/>
                <w:bCs/>
                <w:sz w:val="18"/>
                <w:szCs w:val="18"/>
              </w:rPr>
              <w:t xml:space="preserve"> </w:t>
            </w:r>
            <w:r w:rsidRPr="000973F2">
              <w:rPr>
                <w:rFonts w:ascii="Times New Roman" w:eastAsia="Times New Roman" w:hAnsi="Times New Roman" w:cs="Times New Roman"/>
                <w:b/>
                <w:bCs/>
                <w:sz w:val="18"/>
                <w:szCs w:val="18"/>
              </w:rPr>
              <w:t>Technician</w:t>
            </w:r>
          </w:p>
        </w:tc>
        <w:tc>
          <w:tcPr>
            <w:tcW w:w="1575" w:type="dxa"/>
            <w:gridSpan w:val="2"/>
            <w:hideMark/>
          </w:tcPr>
          <w:p w14:paraId="2E56DDF8" w14:textId="77777777" w:rsidR="0025278A" w:rsidRPr="000973F2" w:rsidRDefault="0025278A" w:rsidP="000D578F">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18"/>
                <w:szCs w:val="18"/>
              </w:rPr>
            </w:pPr>
            <w:r w:rsidRPr="000973F2">
              <w:rPr>
                <w:rFonts w:ascii="Times New Roman" w:eastAsia="Times New Roman" w:hAnsi="Times New Roman" w:cs="Times New Roman"/>
                <w:b/>
                <w:bCs/>
                <w:sz w:val="18"/>
                <w:szCs w:val="18"/>
              </w:rPr>
              <w:t>Administrative Support</w:t>
            </w:r>
          </w:p>
        </w:tc>
        <w:tc>
          <w:tcPr>
            <w:tcW w:w="1785" w:type="dxa"/>
            <w:gridSpan w:val="2"/>
            <w:vMerge/>
            <w:hideMark/>
          </w:tcPr>
          <w:p w14:paraId="558E48F6" w14:textId="77777777" w:rsidR="0025278A" w:rsidRPr="000973F2" w:rsidRDefault="0025278A" w:rsidP="000D578F">
            <w:pPr>
              <w:spacing w:before="40" w:after="4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18"/>
                <w:szCs w:val="18"/>
              </w:rPr>
            </w:pPr>
          </w:p>
        </w:tc>
      </w:tr>
      <w:tr w:rsidR="0025278A" w:rsidRPr="000973F2" w14:paraId="724E3B72" w14:textId="77777777" w:rsidTr="00132320">
        <w:trPr>
          <w:cantSplit/>
        </w:trPr>
        <w:tc>
          <w:tcPr>
            <w:cnfStyle w:val="001000000000" w:firstRow="0" w:lastRow="0" w:firstColumn="1" w:lastColumn="0" w:oddVBand="0" w:evenVBand="0" w:oddHBand="0" w:evenHBand="0" w:firstRowFirstColumn="0" w:firstRowLastColumn="0" w:lastRowFirstColumn="0" w:lastRowLastColumn="0"/>
            <w:tcW w:w="1245" w:type="dxa"/>
            <w:vMerge/>
            <w:hideMark/>
          </w:tcPr>
          <w:p w14:paraId="4E187B52" w14:textId="77777777" w:rsidR="0025278A" w:rsidRPr="000973F2" w:rsidRDefault="0025278A" w:rsidP="000D578F">
            <w:pPr>
              <w:spacing w:before="40" w:after="40"/>
              <w:rPr>
                <w:rFonts w:ascii="Times New Roman" w:eastAsia="Times New Roman" w:hAnsi="Times New Roman" w:cs="Times New Roman"/>
                <w:b/>
                <w:bCs w:val="0"/>
                <w:sz w:val="18"/>
                <w:szCs w:val="18"/>
              </w:rPr>
            </w:pPr>
          </w:p>
        </w:tc>
        <w:tc>
          <w:tcPr>
            <w:tcW w:w="1575" w:type="dxa"/>
            <w:gridSpan w:val="2"/>
            <w:noWrap/>
            <w:hideMark/>
          </w:tcPr>
          <w:p w14:paraId="1C3FD986" w14:textId="662FE46A" w:rsidR="0025278A" w:rsidRPr="000973F2" w:rsidRDefault="0025278A" w:rsidP="000D578F">
            <w:pPr>
              <w:spacing w:before="40" w:after="4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sz w:val="18"/>
                <w:szCs w:val="18"/>
              </w:rPr>
            </w:pPr>
            <w:r w:rsidRPr="000973F2">
              <w:rPr>
                <w:rFonts w:ascii="Times New Roman" w:eastAsia="Times New Roman" w:hAnsi="Times New Roman" w:cs="Times New Roman"/>
                <w:b/>
                <w:bCs/>
                <w:sz w:val="18"/>
                <w:szCs w:val="18"/>
              </w:rPr>
              <w:t>$112.23</w:t>
            </w:r>
          </w:p>
        </w:tc>
        <w:tc>
          <w:tcPr>
            <w:tcW w:w="1575" w:type="dxa"/>
            <w:gridSpan w:val="2"/>
            <w:noWrap/>
            <w:hideMark/>
          </w:tcPr>
          <w:p w14:paraId="5888B043" w14:textId="565A9C1C" w:rsidR="0025278A" w:rsidRPr="000973F2" w:rsidRDefault="0025278A" w:rsidP="000D578F">
            <w:pPr>
              <w:spacing w:before="40" w:after="4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sz w:val="18"/>
                <w:szCs w:val="18"/>
              </w:rPr>
            </w:pPr>
            <w:r w:rsidRPr="000973F2">
              <w:rPr>
                <w:rFonts w:ascii="Times New Roman" w:eastAsia="Times New Roman" w:hAnsi="Times New Roman" w:cs="Times New Roman"/>
                <w:b/>
                <w:bCs/>
                <w:sz w:val="18"/>
                <w:szCs w:val="18"/>
              </w:rPr>
              <w:t>$87.45</w:t>
            </w:r>
          </w:p>
        </w:tc>
        <w:tc>
          <w:tcPr>
            <w:tcW w:w="1575" w:type="dxa"/>
            <w:gridSpan w:val="2"/>
            <w:noWrap/>
            <w:hideMark/>
          </w:tcPr>
          <w:p w14:paraId="0EDED83A" w14:textId="6D23C3B3" w:rsidR="0025278A" w:rsidRPr="000973F2" w:rsidRDefault="0025278A" w:rsidP="000D578F">
            <w:pPr>
              <w:spacing w:before="40" w:after="4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sz w:val="18"/>
                <w:szCs w:val="18"/>
              </w:rPr>
            </w:pPr>
            <w:r w:rsidRPr="000973F2">
              <w:rPr>
                <w:rFonts w:ascii="Times New Roman" w:eastAsia="Times New Roman" w:hAnsi="Times New Roman" w:cs="Times New Roman"/>
                <w:b/>
                <w:bCs/>
                <w:sz w:val="18"/>
                <w:szCs w:val="18"/>
              </w:rPr>
              <w:t>$71.45</w:t>
            </w:r>
          </w:p>
        </w:tc>
        <w:tc>
          <w:tcPr>
            <w:tcW w:w="1575" w:type="dxa"/>
            <w:gridSpan w:val="2"/>
            <w:noWrap/>
            <w:hideMark/>
          </w:tcPr>
          <w:p w14:paraId="1619F367" w14:textId="10178897" w:rsidR="0025278A" w:rsidRPr="000973F2" w:rsidRDefault="0025278A" w:rsidP="000D578F">
            <w:pPr>
              <w:spacing w:before="40" w:after="4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sz w:val="18"/>
                <w:szCs w:val="18"/>
              </w:rPr>
            </w:pPr>
            <w:r w:rsidRPr="000973F2">
              <w:rPr>
                <w:rFonts w:ascii="Times New Roman" w:eastAsia="Times New Roman" w:hAnsi="Times New Roman" w:cs="Times New Roman"/>
                <w:b/>
                <w:bCs/>
                <w:sz w:val="18"/>
                <w:szCs w:val="18"/>
              </w:rPr>
              <w:t>$36.28</w:t>
            </w:r>
          </w:p>
        </w:tc>
        <w:tc>
          <w:tcPr>
            <w:tcW w:w="1785" w:type="dxa"/>
            <w:gridSpan w:val="2"/>
            <w:vMerge/>
            <w:hideMark/>
          </w:tcPr>
          <w:p w14:paraId="7C9B7115" w14:textId="77777777" w:rsidR="0025278A" w:rsidRPr="000973F2" w:rsidRDefault="0025278A" w:rsidP="000D578F">
            <w:pPr>
              <w:spacing w:before="40" w:after="4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sz w:val="18"/>
                <w:szCs w:val="18"/>
              </w:rPr>
            </w:pPr>
          </w:p>
        </w:tc>
      </w:tr>
      <w:tr w:rsidR="00132320" w:rsidRPr="000973F2" w14:paraId="0172FC48" w14:textId="77777777" w:rsidTr="00132320">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1245" w:type="dxa"/>
            <w:vMerge/>
            <w:hideMark/>
          </w:tcPr>
          <w:p w14:paraId="3E4B7854" w14:textId="77777777" w:rsidR="0025278A" w:rsidRPr="000973F2" w:rsidRDefault="0025278A" w:rsidP="000D578F">
            <w:pPr>
              <w:spacing w:before="40" w:after="40"/>
              <w:rPr>
                <w:rFonts w:ascii="Times New Roman" w:eastAsia="Times New Roman" w:hAnsi="Times New Roman" w:cs="Times New Roman"/>
                <w:b/>
                <w:bCs w:val="0"/>
                <w:sz w:val="18"/>
                <w:szCs w:val="18"/>
              </w:rPr>
            </w:pPr>
          </w:p>
        </w:tc>
        <w:tc>
          <w:tcPr>
            <w:tcW w:w="787" w:type="dxa"/>
            <w:tcMar>
              <w:left w:w="14" w:type="dxa"/>
              <w:right w:w="14" w:type="dxa"/>
            </w:tcMar>
            <w:hideMark/>
          </w:tcPr>
          <w:p w14:paraId="62D15CBB" w14:textId="15D7FE75" w:rsidR="0025278A" w:rsidRPr="000973F2" w:rsidRDefault="0025278A" w:rsidP="000D578F">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18"/>
                <w:szCs w:val="18"/>
              </w:rPr>
            </w:pPr>
            <w:r w:rsidRPr="000973F2">
              <w:rPr>
                <w:rFonts w:ascii="Times New Roman" w:eastAsia="Times New Roman" w:hAnsi="Times New Roman" w:cs="Times New Roman"/>
                <w:b/>
                <w:bCs/>
                <w:sz w:val="18"/>
                <w:szCs w:val="18"/>
              </w:rPr>
              <w:t xml:space="preserve">Initial </w:t>
            </w:r>
            <w:r w:rsidR="00132320" w:rsidRPr="000973F2">
              <w:rPr>
                <w:rFonts w:ascii="Times New Roman" w:eastAsia="Times New Roman" w:hAnsi="Times New Roman" w:cs="Times New Roman"/>
                <w:b/>
                <w:bCs/>
                <w:sz w:val="18"/>
                <w:szCs w:val="18"/>
              </w:rPr>
              <w:t>Year Hours</w:t>
            </w:r>
          </w:p>
        </w:tc>
        <w:tc>
          <w:tcPr>
            <w:tcW w:w="788" w:type="dxa"/>
            <w:tcMar>
              <w:left w:w="14" w:type="dxa"/>
              <w:right w:w="14" w:type="dxa"/>
            </w:tcMar>
            <w:hideMark/>
          </w:tcPr>
          <w:p w14:paraId="555F3D1E" w14:textId="130BF4D7" w:rsidR="0025278A" w:rsidRPr="000973F2" w:rsidRDefault="0025278A" w:rsidP="000D578F">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18"/>
                <w:szCs w:val="18"/>
              </w:rPr>
            </w:pPr>
            <w:r w:rsidRPr="000973F2">
              <w:rPr>
                <w:rFonts w:ascii="Times New Roman" w:eastAsia="Times New Roman" w:hAnsi="Times New Roman" w:cs="Times New Roman"/>
                <w:b/>
                <w:bCs/>
                <w:sz w:val="18"/>
                <w:szCs w:val="18"/>
              </w:rPr>
              <w:t xml:space="preserve">Subseq. </w:t>
            </w:r>
            <w:r w:rsidR="00132320" w:rsidRPr="000973F2">
              <w:rPr>
                <w:rFonts w:ascii="Times New Roman" w:eastAsia="Times New Roman" w:hAnsi="Times New Roman" w:cs="Times New Roman"/>
                <w:b/>
                <w:bCs/>
                <w:sz w:val="18"/>
                <w:szCs w:val="18"/>
              </w:rPr>
              <w:t>Year Hours</w:t>
            </w:r>
          </w:p>
        </w:tc>
        <w:tc>
          <w:tcPr>
            <w:tcW w:w="787" w:type="dxa"/>
            <w:tcMar>
              <w:left w:w="14" w:type="dxa"/>
              <w:right w:w="14" w:type="dxa"/>
            </w:tcMar>
            <w:hideMark/>
          </w:tcPr>
          <w:p w14:paraId="60BD25A8" w14:textId="7819A198" w:rsidR="0025278A" w:rsidRPr="000973F2" w:rsidRDefault="0025278A" w:rsidP="000D578F">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18"/>
                <w:szCs w:val="18"/>
              </w:rPr>
            </w:pPr>
            <w:r w:rsidRPr="000973F2">
              <w:rPr>
                <w:rFonts w:ascii="Times New Roman" w:eastAsia="Times New Roman" w:hAnsi="Times New Roman" w:cs="Times New Roman"/>
                <w:b/>
                <w:bCs/>
                <w:sz w:val="18"/>
                <w:szCs w:val="18"/>
              </w:rPr>
              <w:t xml:space="preserve">Initial </w:t>
            </w:r>
            <w:r w:rsidR="00132320" w:rsidRPr="000973F2">
              <w:rPr>
                <w:rFonts w:ascii="Times New Roman" w:eastAsia="Times New Roman" w:hAnsi="Times New Roman" w:cs="Times New Roman"/>
                <w:b/>
                <w:bCs/>
                <w:sz w:val="18"/>
                <w:szCs w:val="18"/>
              </w:rPr>
              <w:t>Year Hours</w:t>
            </w:r>
          </w:p>
        </w:tc>
        <w:tc>
          <w:tcPr>
            <w:tcW w:w="788" w:type="dxa"/>
            <w:tcMar>
              <w:left w:w="14" w:type="dxa"/>
              <w:right w:w="14" w:type="dxa"/>
            </w:tcMar>
            <w:hideMark/>
          </w:tcPr>
          <w:p w14:paraId="50B577AF" w14:textId="199223CD" w:rsidR="0025278A" w:rsidRPr="000973F2" w:rsidRDefault="0025278A" w:rsidP="000D578F">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18"/>
                <w:szCs w:val="18"/>
              </w:rPr>
            </w:pPr>
            <w:r w:rsidRPr="000973F2">
              <w:rPr>
                <w:rFonts w:ascii="Times New Roman" w:eastAsia="Times New Roman" w:hAnsi="Times New Roman" w:cs="Times New Roman"/>
                <w:b/>
                <w:bCs/>
                <w:sz w:val="18"/>
                <w:szCs w:val="18"/>
              </w:rPr>
              <w:t xml:space="preserve">Subseq. </w:t>
            </w:r>
            <w:r w:rsidR="00132320" w:rsidRPr="000973F2">
              <w:rPr>
                <w:rFonts w:ascii="Times New Roman" w:eastAsia="Times New Roman" w:hAnsi="Times New Roman" w:cs="Times New Roman"/>
                <w:b/>
                <w:bCs/>
                <w:sz w:val="18"/>
                <w:szCs w:val="18"/>
              </w:rPr>
              <w:t>Year Hours</w:t>
            </w:r>
          </w:p>
        </w:tc>
        <w:tc>
          <w:tcPr>
            <w:tcW w:w="787" w:type="dxa"/>
            <w:tcMar>
              <w:left w:w="14" w:type="dxa"/>
              <w:right w:w="14" w:type="dxa"/>
            </w:tcMar>
            <w:hideMark/>
          </w:tcPr>
          <w:p w14:paraId="6564CAF4" w14:textId="00C0F234" w:rsidR="0025278A" w:rsidRPr="000973F2" w:rsidRDefault="0025278A" w:rsidP="000D578F">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18"/>
                <w:szCs w:val="18"/>
              </w:rPr>
            </w:pPr>
            <w:r w:rsidRPr="000973F2">
              <w:rPr>
                <w:rFonts w:ascii="Times New Roman" w:eastAsia="Times New Roman" w:hAnsi="Times New Roman" w:cs="Times New Roman"/>
                <w:b/>
                <w:bCs/>
                <w:sz w:val="18"/>
                <w:szCs w:val="18"/>
              </w:rPr>
              <w:t xml:space="preserve">Initial </w:t>
            </w:r>
            <w:r w:rsidR="00132320" w:rsidRPr="000973F2">
              <w:rPr>
                <w:rFonts w:ascii="Times New Roman" w:eastAsia="Times New Roman" w:hAnsi="Times New Roman" w:cs="Times New Roman"/>
                <w:b/>
                <w:bCs/>
                <w:sz w:val="18"/>
                <w:szCs w:val="18"/>
              </w:rPr>
              <w:t>Year Hours</w:t>
            </w:r>
          </w:p>
        </w:tc>
        <w:tc>
          <w:tcPr>
            <w:tcW w:w="788" w:type="dxa"/>
            <w:tcMar>
              <w:left w:w="14" w:type="dxa"/>
              <w:right w:w="14" w:type="dxa"/>
            </w:tcMar>
            <w:hideMark/>
          </w:tcPr>
          <w:p w14:paraId="10B6B275" w14:textId="13ADD83B" w:rsidR="0025278A" w:rsidRPr="000973F2" w:rsidRDefault="0025278A" w:rsidP="000D578F">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18"/>
                <w:szCs w:val="18"/>
              </w:rPr>
            </w:pPr>
            <w:r w:rsidRPr="000973F2">
              <w:rPr>
                <w:rFonts w:ascii="Times New Roman" w:eastAsia="Times New Roman" w:hAnsi="Times New Roman" w:cs="Times New Roman"/>
                <w:b/>
                <w:bCs/>
                <w:sz w:val="18"/>
                <w:szCs w:val="18"/>
              </w:rPr>
              <w:t xml:space="preserve">Subseq. </w:t>
            </w:r>
            <w:r w:rsidR="00132320" w:rsidRPr="000973F2">
              <w:rPr>
                <w:rFonts w:ascii="Times New Roman" w:eastAsia="Times New Roman" w:hAnsi="Times New Roman" w:cs="Times New Roman"/>
                <w:b/>
                <w:bCs/>
                <w:sz w:val="18"/>
                <w:szCs w:val="18"/>
              </w:rPr>
              <w:t>Year Hours</w:t>
            </w:r>
          </w:p>
        </w:tc>
        <w:tc>
          <w:tcPr>
            <w:tcW w:w="787" w:type="dxa"/>
            <w:tcMar>
              <w:left w:w="14" w:type="dxa"/>
              <w:right w:w="14" w:type="dxa"/>
            </w:tcMar>
            <w:hideMark/>
          </w:tcPr>
          <w:p w14:paraId="41D9D3B3" w14:textId="1A03666C" w:rsidR="0025278A" w:rsidRPr="000973F2" w:rsidRDefault="0025278A" w:rsidP="000D578F">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18"/>
                <w:szCs w:val="18"/>
              </w:rPr>
            </w:pPr>
            <w:r w:rsidRPr="000973F2">
              <w:rPr>
                <w:rFonts w:ascii="Times New Roman" w:eastAsia="Times New Roman" w:hAnsi="Times New Roman" w:cs="Times New Roman"/>
                <w:b/>
                <w:bCs/>
                <w:sz w:val="18"/>
                <w:szCs w:val="18"/>
              </w:rPr>
              <w:t xml:space="preserve">Initial </w:t>
            </w:r>
            <w:r w:rsidR="00132320" w:rsidRPr="000973F2">
              <w:rPr>
                <w:rFonts w:ascii="Times New Roman" w:eastAsia="Times New Roman" w:hAnsi="Times New Roman" w:cs="Times New Roman"/>
                <w:b/>
                <w:bCs/>
                <w:sz w:val="18"/>
                <w:szCs w:val="18"/>
              </w:rPr>
              <w:t>Year Hours</w:t>
            </w:r>
          </w:p>
        </w:tc>
        <w:tc>
          <w:tcPr>
            <w:tcW w:w="788" w:type="dxa"/>
            <w:tcMar>
              <w:left w:w="14" w:type="dxa"/>
              <w:right w:w="14" w:type="dxa"/>
            </w:tcMar>
            <w:hideMark/>
          </w:tcPr>
          <w:p w14:paraId="4D4C4490" w14:textId="467857D7" w:rsidR="0025278A" w:rsidRPr="000973F2" w:rsidRDefault="0025278A" w:rsidP="000D578F">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18"/>
                <w:szCs w:val="18"/>
              </w:rPr>
            </w:pPr>
            <w:r w:rsidRPr="000973F2">
              <w:rPr>
                <w:rFonts w:ascii="Times New Roman" w:eastAsia="Times New Roman" w:hAnsi="Times New Roman" w:cs="Times New Roman"/>
                <w:b/>
                <w:bCs/>
                <w:sz w:val="18"/>
                <w:szCs w:val="18"/>
              </w:rPr>
              <w:t xml:space="preserve">Subseq. </w:t>
            </w:r>
            <w:r w:rsidR="00132320" w:rsidRPr="000973F2">
              <w:rPr>
                <w:rFonts w:ascii="Times New Roman" w:eastAsia="Times New Roman" w:hAnsi="Times New Roman" w:cs="Times New Roman"/>
                <w:b/>
                <w:bCs/>
                <w:sz w:val="18"/>
                <w:szCs w:val="18"/>
              </w:rPr>
              <w:t>Year Hours</w:t>
            </w:r>
          </w:p>
        </w:tc>
        <w:tc>
          <w:tcPr>
            <w:tcW w:w="810" w:type="dxa"/>
            <w:tcMar>
              <w:left w:w="14" w:type="dxa"/>
              <w:right w:w="14" w:type="dxa"/>
            </w:tcMar>
            <w:hideMark/>
          </w:tcPr>
          <w:p w14:paraId="01EF224E" w14:textId="77777777" w:rsidR="0025278A" w:rsidRPr="000973F2" w:rsidRDefault="0025278A" w:rsidP="000D578F">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18"/>
                <w:szCs w:val="18"/>
              </w:rPr>
            </w:pPr>
            <w:r w:rsidRPr="000973F2">
              <w:rPr>
                <w:rFonts w:ascii="Times New Roman" w:eastAsia="Times New Roman" w:hAnsi="Times New Roman" w:cs="Times New Roman"/>
                <w:b/>
                <w:bCs/>
                <w:sz w:val="18"/>
                <w:szCs w:val="18"/>
              </w:rPr>
              <w:t>Initial Year</w:t>
            </w:r>
          </w:p>
        </w:tc>
        <w:tc>
          <w:tcPr>
            <w:tcW w:w="975" w:type="dxa"/>
            <w:tcMar>
              <w:left w:w="14" w:type="dxa"/>
              <w:right w:w="14" w:type="dxa"/>
            </w:tcMar>
            <w:hideMark/>
          </w:tcPr>
          <w:p w14:paraId="4E03C395" w14:textId="77777777" w:rsidR="0025278A" w:rsidRPr="000973F2" w:rsidRDefault="0025278A" w:rsidP="000D578F">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18"/>
                <w:szCs w:val="18"/>
              </w:rPr>
            </w:pPr>
            <w:r w:rsidRPr="000973F2">
              <w:rPr>
                <w:rFonts w:ascii="Times New Roman" w:eastAsia="Times New Roman" w:hAnsi="Times New Roman" w:cs="Times New Roman"/>
                <w:b/>
                <w:bCs/>
                <w:sz w:val="18"/>
                <w:szCs w:val="18"/>
              </w:rPr>
              <w:t>Subseq. Year</w:t>
            </w:r>
          </w:p>
        </w:tc>
      </w:tr>
      <w:tr w:rsidR="00132320" w:rsidRPr="000973F2" w14:paraId="20E36969" w14:textId="77777777" w:rsidTr="00132320">
        <w:trPr>
          <w:cantSplit/>
        </w:trPr>
        <w:tc>
          <w:tcPr>
            <w:cnfStyle w:val="001000000000" w:firstRow="0" w:lastRow="0" w:firstColumn="1" w:lastColumn="0" w:oddVBand="0" w:evenVBand="0" w:oddHBand="0" w:evenHBand="0" w:firstRowFirstColumn="0" w:firstRowLastColumn="0" w:lastRowFirstColumn="0" w:lastRowLastColumn="0"/>
            <w:tcW w:w="1245" w:type="dxa"/>
            <w:tcMar>
              <w:right w:w="14" w:type="dxa"/>
            </w:tcMar>
            <w:hideMark/>
          </w:tcPr>
          <w:p w14:paraId="334515C5" w14:textId="77777777" w:rsidR="003E005F" w:rsidRPr="000973F2" w:rsidRDefault="003E005F" w:rsidP="000D578F">
            <w:pPr>
              <w:spacing w:before="40" w:after="4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Planning</w:t>
            </w:r>
          </w:p>
        </w:tc>
        <w:tc>
          <w:tcPr>
            <w:tcW w:w="787" w:type="dxa"/>
            <w:noWrap/>
            <w:hideMark/>
          </w:tcPr>
          <w:p w14:paraId="7C610892" w14:textId="5F009666" w:rsidR="003E005F" w:rsidRPr="000973F2" w:rsidRDefault="00132320" w:rsidP="000D578F">
            <w:pPr>
              <w:spacing w:before="40" w:after="4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w:t>
            </w:r>
          </w:p>
        </w:tc>
        <w:tc>
          <w:tcPr>
            <w:tcW w:w="788" w:type="dxa"/>
            <w:noWrap/>
            <w:hideMark/>
          </w:tcPr>
          <w:p w14:paraId="3192C4DC" w14:textId="16A0A993" w:rsidR="003E005F" w:rsidRPr="000973F2" w:rsidRDefault="00132320" w:rsidP="000D578F">
            <w:pPr>
              <w:spacing w:before="40" w:after="4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w:t>
            </w:r>
          </w:p>
        </w:tc>
        <w:tc>
          <w:tcPr>
            <w:tcW w:w="787" w:type="dxa"/>
            <w:noWrap/>
            <w:hideMark/>
          </w:tcPr>
          <w:p w14:paraId="6696F8DF" w14:textId="189F11E7" w:rsidR="003E005F" w:rsidRPr="000973F2" w:rsidRDefault="00132320" w:rsidP="000D578F">
            <w:pPr>
              <w:spacing w:before="40" w:after="4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w:t>
            </w:r>
          </w:p>
        </w:tc>
        <w:tc>
          <w:tcPr>
            <w:tcW w:w="788" w:type="dxa"/>
            <w:noWrap/>
            <w:hideMark/>
          </w:tcPr>
          <w:p w14:paraId="48D671C1" w14:textId="7492DC8F" w:rsidR="003E005F" w:rsidRPr="000973F2" w:rsidRDefault="00132320" w:rsidP="000D578F">
            <w:pPr>
              <w:tabs>
                <w:tab w:val="decimal" w:pos="286"/>
              </w:tabs>
              <w:spacing w:before="40" w:after="4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w:t>
            </w:r>
          </w:p>
        </w:tc>
        <w:tc>
          <w:tcPr>
            <w:tcW w:w="787" w:type="dxa"/>
            <w:noWrap/>
            <w:hideMark/>
          </w:tcPr>
          <w:p w14:paraId="65D6E4C9" w14:textId="29924821" w:rsidR="003E005F" w:rsidRPr="000973F2" w:rsidRDefault="00132320" w:rsidP="000D578F">
            <w:pPr>
              <w:spacing w:before="40" w:after="4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w:t>
            </w:r>
          </w:p>
        </w:tc>
        <w:tc>
          <w:tcPr>
            <w:tcW w:w="788" w:type="dxa"/>
            <w:noWrap/>
            <w:hideMark/>
          </w:tcPr>
          <w:p w14:paraId="0013CD8A" w14:textId="6B24B319" w:rsidR="003E005F" w:rsidRPr="000973F2" w:rsidRDefault="00132320" w:rsidP="000D578F">
            <w:pPr>
              <w:tabs>
                <w:tab w:val="decimal" w:pos="361"/>
              </w:tabs>
              <w:spacing w:before="40" w:after="4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w:t>
            </w:r>
          </w:p>
        </w:tc>
        <w:tc>
          <w:tcPr>
            <w:tcW w:w="787" w:type="dxa"/>
            <w:noWrap/>
            <w:hideMark/>
          </w:tcPr>
          <w:p w14:paraId="12C0C46F" w14:textId="2DCA1AF2" w:rsidR="003E005F" w:rsidRPr="000973F2" w:rsidRDefault="00132320" w:rsidP="000D578F">
            <w:pPr>
              <w:spacing w:before="40" w:after="4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w:t>
            </w:r>
          </w:p>
        </w:tc>
        <w:tc>
          <w:tcPr>
            <w:tcW w:w="788" w:type="dxa"/>
            <w:noWrap/>
            <w:hideMark/>
          </w:tcPr>
          <w:p w14:paraId="083C8AA1" w14:textId="530209E0" w:rsidR="003E005F" w:rsidRPr="000973F2" w:rsidRDefault="00132320" w:rsidP="000D578F">
            <w:pPr>
              <w:tabs>
                <w:tab w:val="decimal" w:pos="316"/>
              </w:tabs>
              <w:spacing w:before="40" w:after="4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w:t>
            </w:r>
          </w:p>
        </w:tc>
        <w:tc>
          <w:tcPr>
            <w:tcW w:w="810" w:type="dxa"/>
            <w:noWrap/>
            <w:hideMark/>
          </w:tcPr>
          <w:p w14:paraId="159EFB61" w14:textId="42150B08" w:rsidR="003E005F" w:rsidRPr="000973F2" w:rsidRDefault="00132320" w:rsidP="000D578F">
            <w:pPr>
              <w:spacing w:before="40" w:after="4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w:t>
            </w:r>
          </w:p>
        </w:tc>
        <w:tc>
          <w:tcPr>
            <w:tcW w:w="975" w:type="dxa"/>
            <w:noWrap/>
            <w:hideMark/>
          </w:tcPr>
          <w:p w14:paraId="0F1E8510" w14:textId="283A12D5" w:rsidR="003E005F" w:rsidRPr="000973F2" w:rsidRDefault="00132320" w:rsidP="000D578F">
            <w:pPr>
              <w:tabs>
                <w:tab w:val="decimal" w:pos="691"/>
              </w:tabs>
              <w:spacing w:before="40" w:after="4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w:t>
            </w:r>
          </w:p>
        </w:tc>
      </w:tr>
      <w:tr w:rsidR="00132320" w:rsidRPr="000973F2" w14:paraId="26CB2B4A" w14:textId="77777777" w:rsidTr="00132320">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1245" w:type="dxa"/>
            <w:tcMar>
              <w:right w:w="14" w:type="dxa"/>
            </w:tcMar>
            <w:hideMark/>
          </w:tcPr>
          <w:p w14:paraId="4F4FA413" w14:textId="77777777" w:rsidR="0025278A" w:rsidRPr="000973F2" w:rsidRDefault="0025278A" w:rsidP="000D578F">
            <w:pPr>
              <w:spacing w:before="40" w:after="4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QA/QC</w:t>
            </w:r>
          </w:p>
        </w:tc>
        <w:tc>
          <w:tcPr>
            <w:tcW w:w="787" w:type="dxa"/>
            <w:noWrap/>
            <w:hideMark/>
          </w:tcPr>
          <w:p w14:paraId="3D5646BE" w14:textId="77777777" w:rsidR="0025278A" w:rsidRPr="000973F2" w:rsidRDefault="0025278A" w:rsidP="000D578F">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0</w:t>
            </w:r>
          </w:p>
        </w:tc>
        <w:tc>
          <w:tcPr>
            <w:tcW w:w="788" w:type="dxa"/>
            <w:noWrap/>
            <w:hideMark/>
          </w:tcPr>
          <w:p w14:paraId="31E4B8B2" w14:textId="77777777" w:rsidR="0025278A" w:rsidRPr="000973F2" w:rsidRDefault="0025278A" w:rsidP="000D578F">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0</w:t>
            </w:r>
          </w:p>
        </w:tc>
        <w:tc>
          <w:tcPr>
            <w:tcW w:w="787" w:type="dxa"/>
            <w:noWrap/>
            <w:hideMark/>
          </w:tcPr>
          <w:p w14:paraId="2E8E5E0E" w14:textId="77777777" w:rsidR="0025278A" w:rsidRPr="000973F2" w:rsidRDefault="0025278A" w:rsidP="000D578F">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0</w:t>
            </w:r>
          </w:p>
        </w:tc>
        <w:tc>
          <w:tcPr>
            <w:tcW w:w="788" w:type="dxa"/>
            <w:noWrap/>
            <w:hideMark/>
          </w:tcPr>
          <w:p w14:paraId="26BB0D50" w14:textId="71DFC552" w:rsidR="0025278A" w:rsidRPr="000973F2" w:rsidRDefault="0025278A" w:rsidP="000D578F">
            <w:pPr>
              <w:tabs>
                <w:tab w:val="decimal" w:pos="286"/>
              </w:tabs>
              <w:spacing w:before="40" w:after="4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5.0</w:t>
            </w:r>
          </w:p>
        </w:tc>
        <w:tc>
          <w:tcPr>
            <w:tcW w:w="787" w:type="dxa"/>
            <w:noWrap/>
            <w:hideMark/>
          </w:tcPr>
          <w:p w14:paraId="70FA81D0" w14:textId="77777777" w:rsidR="0025278A" w:rsidRPr="000973F2" w:rsidRDefault="0025278A" w:rsidP="000D578F">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0</w:t>
            </w:r>
          </w:p>
        </w:tc>
        <w:tc>
          <w:tcPr>
            <w:tcW w:w="788" w:type="dxa"/>
            <w:noWrap/>
            <w:hideMark/>
          </w:tcPr>
          <w:p w14:paraId="5552FAE7" w14:textId="77777777" w:rsidR="0025278A" w:rsidRPr="000973F2" w:rsidRDefault="0025278A" w:rsidP="000D578F">
            <w:pPr>
              <w:tabs>
                <w:tab w:val="decimal" w:pos="361"/>
              </w:tabs>
              <w:spacing w:before="40" w:after="4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0</w:t>
            </w:r>
          </w:p>
        </w:tc>
        <w:tc>
          <w:tcPr>
            <w:tcW w:w="787" w:type="dxa"/>
            <w:noWrap/>
            <w:hideMark/>
          </w:tcPr>
          <w:p w14:paraId="6B7050F3" w14:textId="77777777" w:rsidR="0025278A" w:rsidRPr="000973F2" w:rsidRDefault="0025278A" w:rsidP="000D578F">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0</w:t>
            </w:r>
          </w:p>
        </w:tc>
        <w:tc>
          <w:tcPr>
            <w:tcW w:w="788" w:type="dxa"/>
            <w:noWrap/>
            <w:hideMark/>
          </w:tcPr>
          <w:p w14:paraId="4EDE5CBC" w14:textId="77777777" w:rsidR="0025278A" w:rsidRPr="000973F2" w:rsidRDefault="0025278A" w:rsidP="000D578F">
            <w:pPr>
              <w:tabs>
                <w:tab w:val="decimal" w:pos="316"/>
              </w:tabs>
              <w:spacing w:before="40" w:after="4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0</w:t>
            </w:r>
          </w:p>
        </w:tc>
        <w:tc>
          <w:tcPr>
            <w:tcW w:w="810" w:type="dxa"/>
            <w:noWrap/>
            <w:hideMark/>
          </w:tcPr>
          <w:p w14:paraId="439865D9" w14:textId="30A1CB08" w:rsidR="0025278A" w:rsidRPr="000973F2" w:rsidRDefault="0025278A" w:rsidP="000D578F">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$0</w:t>
            </w:r>
          </w:p>
        </w:tc>
        <w:tc>
          <w:tcPr>
            <w:tcW w:w="975" w:type="dxa"/>
            <w:noWrap/>
            <w:hideMark/>
          </w:tcPr>
          <w:p w14:paraId="48880F99" w14:textId="49F6CFA4" w:rsidR="0025278A" w:rsidRPr="000973F2" w:rsidRDefault="0025278A" w:rsidP="000D578F">
            <w:pPr>
              <w:tabs>
                <w:tab w:val="decimal" w:pos="691"/>
              </w:tabs>
              <w:spacing w:before="40" w:after="4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$437</w:t>
            </w:r>
          </w:p>
        </w:tc>
      </w:tr>
      <w:tr w:rsidR="00132320" w:rsidRPr="000973F2" w14:paraId="03FFAF8E" w14:textId="77777777" w:rsidTr="00132320">
        <w:trPr>
          <w:cantSplit/>
        </w:trPr>
        <w:tc>
          <w:tcPr>
            <w:cnfStyle w:val="001000000000" w:firstRow="0" w:lastRow="0" w:firstColumn="1" w:lastColumn="0" w:oddVBand="0" w:evenVBand="0" w:oddHBand="0" w:evenHBand="0" w:firstRowFirstColumn="0" w:firstRowLastColumn="0" w:lastRowFirstColumn="0" w:lastRowLastColumn="0"/>
            <w:tcW w:w="1245" w:type="dxa"/>
            <w:tcMar>
              <w:right w:w="14" w:type="dxa"/>
            </w:tcMar>
            <w:hideMark/>
          </w:tcPr>
          <w:p w14:paraId="5B486D07" w14:textId="77777777" w:rsidR="003E005F" w:rsidRPr="000973F2" w:rsidRDefault="003E005F" w:rsidP="000D578F">
            <w:pPr>
              <w:spacing w:before="40" w:after="4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Recordkeeping</w:t>
            </w:r>
          </w:p>
        </w:tc>
        <w:tc>
          <w:tcPr>
            <w:tcW w:w="787" w:type="dxa"/>
            <w:noWrap/>
            <w:hideMark/>
          </w:tcPr>
          <w:p w14:paraId="048B99C3" w14:textId="00CF7C29" w:rsidR="003E005F" w:rsidRPr="000973F2" w:rsidRDefault="00132320" w:rsidP="000D578F">
            <w:pPr>
              <w:spacing w:before="40" w:after="4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w:t>
            </w:r>
          </w:p>
        </w:tc>
        <w:tc>
          <w:tcPr>
            <w:tcW w:w="788" w:type="dxa"/>
            <w:noWrap/>
            <w:hideMark/>
          </w:tcPr>
          <w:p w14:paraId="7A9676BF" w14:textId="11D129B0" w:rsidR="003E005F" w:rsidRPr="000973F2" w:rsidRDefault="00132320" w:rsidP="000D578F">
            <w:pPr>
              <w:spacing w:before="40" w:after="4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w:t>
            </w:r>
          </w:p>
        </w:tc>
        <w:tc>
          <w:tcPr>
            <w:tcW w:w="787" w:type="dxa"/>
            <w:noWrap/>
            <w:hideMark/>
          </w:tcPr>
          <w:p w14:paraId="79568454" w14:textId="4799F9D8" w:rsidR="003E005F" w:rsidRPr="000973F2" w:rsidRDefault="00132320" w:rsidP="000D578F">
            <w:pPr>
              <w:spacing w:before="40" w:after="4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w:t>
            </w:r>
          </w:p>
        </w:tc>
        <w:tc>
          <w:tcPr>
            <w:tcW w:w="788" w:type="dxa"/>
            <w:noWrap/>
            <w:hideMark/>
          </w:tcPr>
          <w:p w14:paraId="071F8FF7" w14:textId="5C60138A" w:rsidR="003E005F" w:rsidRPr="000973F2" w:rsidRDefault="00132320" w:rsidP="000D578F">
            <w:pPr>
              <w:tabs>
                <w:tab w:val="decimal" w:pos="286"/>
              </w:tabs>
              <w:spacing w:before="40" w:after="4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w:t>
            </w:r>
          </w:p>
        </w:tc>
        <w:tc>
          <w:tcPr>
            <w:tcW w:w="787" w:type="dxa"/>
            <w:noWrap/>
            <w:hideMark/>
          </w:tcPr>
          <w:p w14:paraId="60E2BD89" w14:textId="17C55FBF" w:rsidR="003E005F" w:rsidRPr="000973F2" w:rsidRDefault="00132320" w:rsidP="000D578F">
            <w:pPr>
              <w:spacing w:before="40" w:after="4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w:t>
            </w:r>
          </w:p>
        </w:tc>
        <w:tc>
          <w:tcPr>
            <w:tcW w:w="788" w:type="dxa"/>
            <w:noWrap/>
            <w:hideMark/>
          </w:tcPr>
          <w:p w14:paraId="758E238F" w14:textId="5E5D469C" w:rsidR="003E005F" w:rsidRPr="000973F2" w:rsidRDefault="00132320" w:rsidP="000D578F">
            <w:pPr>
              <w:tabs>
                <w:tab w:val="decimal" w:pos="361"/>
              </w:tabs>
              <w:spacing w:before="40" w:after="4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w:t>
            </w:r>
          </w:p>
        </w:tc>
        <w:tc>
          <w:tcPr>
            <w:tcW w:w="787" w:type="dxa"/>
            <w:noWrap/>
            <w:hideMark/>
          </w:tcPr>
          <w:p w14:paraId="68F70947" w14:textId="08142124" w:rsidR="003E005F" w:rsidRPr="000973F2" w:rsidRDefault="00132320" w:rsidP="000D578F">
            <w:pPr>
              <w:spacing w:before="40" w:after="4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w:t>
            </w:r>
          </w:p>
        </w:tc>
        <w:tc>
          <w:tcPr>
            <w:tcW w:w="788" w:type="dxa"/>
            <w:noWrap/>
            <w:hideMark/>
          </w:tcPr>
          <w:p w14:paraId="682BCB06" w14:textId="7519271D" w:rsidR="003E005F" w:rsidRPr="000973F2" w:rsidRDefault="00132320" w:rsidP="000D578F">
            <w:pPr>
              <w:tabs>
                <w:tab w:val="decimal" w:pos="316"/>
              </w:tabs>
              <w:spacing w:before="40" w:after="4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w:t>
            </w:r>
          </w:p>
        </w:tc>
        <w:tc>
          <w:tcPr>
            <w:tcW w:w="810" w:type="dxa"/>
            <w:noWrap/>
            <w:hideMark/>
          </w:tcPr>
          <w:p w14:paraId="73188409" w14:textId="1F94F576" w:rsidR="003E005F" w:rsidRPr="000973F2" w:rsidRDefault="00132320" w:rsidP="000D578F">
            <w:pPr>
              <w:spacing w:before="40" w:after="4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w:t>
            </w:r>
          </w:p>
        </w:tc>
        <w:tc>
          <w:tcPr>
            <w:tcW w:w="975" w:type="dxa"/>
            <w:noWrap/>
            <w:hideMark/>
          </w:tcPr>
          <w:p w14:paraId="0E8E4BD4" w14:textId="08D54983" w:rsidR="003E005F" w:rsidRPr="000973F2" w:rsidRDefault="00132320" w:rsidP="000D578F">
            <w:pPr>
              <w:tabs>
                <w:tab w:val="decimal" w:pos="691"/>
              </w:tabs>
              <w:spacing w:before="40" w:after="4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w:t>
            </w:r>
          </w:p>
        </w:tc>
      </w:tr>
      <w:tr w:rsidR="00132320" w:rsidRPr="000973F2" w14:paraId="7909077D" w14:textId="77777777" w:rsidTr="00132320">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1245" w:type="dxa"/>
            <w:tcMar>
              <w:right w:w="14" w:type="dxa"/>
            </w:tcMar>
            <w:hideMark/>
          </w:tcPr>
          <w:p w14:paraId="02FE7C28" w14:textId="77777777" w:rsidR="0025278A" w:rsidRPr="000973F2" w:rsidRDefault="0025278A" w:rsidP="000D578F">
            <w:pPr>
              <w:spacing w:before="40" w:after="4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Sampling and Analysis (Calculations)</w:t>
            </w:r>
          </w:p>
        </w:tc>
        <w:tc>
          <w:tcPr>
            <w:tcW w:w="787" w:type="dxa"/>
            <w:noWrap/>
            <w:hideMark/>
          </w:tcPr>
          <w:p w14:paraId="77EDCC64" w14:textId="77777777" w:rsidR="0025278A" w:rsidRPr="000973F2" w:rsidRDefault="0025278A" w:rsidP="000D578F">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0</w:t>
            </w:r>
          </w:p>
        </w:tc>
        <w:tc>
          <w:tcPr>
            <w:tcW w:w="788" w:type="dxa"/>
            <w:noWrap/>
            <w:hideMark/>
          </w:tcPr>
          <w:p w14:paraId="78C70B91" w14:textId="77777777" w:rsidR="0025278A" w:rsidRPr="000973F2" w:rsidRDefault="0025278A" w:rsidP="000D578F">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0</w:t>
            </w:r>
          </w:p>
        </w:tc>
        <w:tc>
          <w:tcPr>
            <w:tcW w:w="787" w:type="dxa"/>
            <w:noWrap/>
            <w:hideMark/>
          </w:tcPr>
          <w:p w14:paraId="0713B888" w14:textId="77777777" w:rsidR="0025278A" w:rsidRPr="000973F2" w:rsidRDefault="0025278A" w:rsidP="000D578F">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0</w:t>
            </w:r>
          </w:p>
        </w:tc>
        <w:tc>
          <w:tcPr>
            <w:tcW w:w="788" w:type="dxa"/>
            <w:noWrap/>
            <w:hideMark/>
          </w:tcPr>
          <w:p w14:paraId="1A9B00D1" w14:textId="77777777" w:rsidR="0025278A" w:rsidRPr="000973F2" w:rsidRDefault="0025278A" w:rsidP="000D578F">
            <w:pPr>
              <w:tabs>
                <w:tab w:val="decimal" w:pos="286"/>
              </w:tabs>
              <w:spacing w:before="40" w:after="4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72.8</w:t>
            </w:r>
          </w:p>
        </w:tc>
        <w:tc>
          <w:tcPr>
            <w:tcW w:w="787" w:type="dxa"/>
            <w:noWrap/>
            <w:hideMark/>
          </w:tcPr>
          <w:p w14:paraId="477B095F" w14:textId="77777777" w:rsidR="0025278A" w:rsidRPr="000973F2" w:rsidRDefault="0025278A" w:rsidP="000D578F">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0</w:t>
            </w:r>
          </w:p>
        </w:tc>
        <w:tc>
          <w:tcPr>
            <w:tcW w:w="788" w:type="dxa"/>
            <w:noWrap/>
            <w:hideMark/>
          </w:tcPr>
          <w:p w14:paraId="56236B3C" w14:textId="77777777" w:rsidR="0025278A" w:rsidRPr="000973F2" w:rsidRDefault="0025278A" w:rsidP="000D578F">
            <w:pPr>
              <w:tabs>
                <w:tab w:val="decimal" w:pos="361"/>
              </w:tabs>
              <w:spacing w:before="40" w:after="4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1,455</w:t>
            </w:r>
          </w:p>
        </w:tc>
        <w:tc>
          <w:tcPr>
            <w:tcW w:w="787" w:type="dxa"/>
            <w:noWrap/>
            <w:hideMark/>
          </w:tcPr>
          <w:p w14:paraId="27D5C1F4" w14:textId="77777777" w:rsidR="0025278A" w:rsidRPr="000973F2" w:rsidRDefault="0025278A" w:rsidP="000D578F">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0</w:t>
            </w:r>
          </w:p>
        </w:tc>
        <w:tc>
          <w:tcPr>
            <w:tcW w:w="788" w:type="dxa"/>
            <w:noWrap/>
            <w:hideMark/>
          </w:tcPr>
          <w:p w14:paraId="4E7E695C" w14:textId="77777777" w:rsidR="0025278A" w:rsidRPr="000973F2" w:rsidRDefault="0025278A" w:rsidP="000D578F">
            <w:pPr>
              <w:tabs>
                <w:tab w:val="decimal" w:pos="316"/>
              </w:tabs>
              <w:spacing w:before="40" w:after="4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145.5</w:t>
            </w:r>
          </w:p>
        </w:tc>
        <w:tc>
          <w:tcPr>
            <w:tcW w:w="810" w:type="dxa"/>
            <w:noWrap/>
            <w:hideMark/>
          </w:tcPr>
          <w:p w14:paraId="629CBF58" w14:textId="1C88A956" w:rsidR="0025278A" w:rsidRPr="000973F2" w:rsidRDefault="0025278A" w:rsidP="000D578F">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$0</w:t>
            </w:r>
          </w:p>
        </w:tc>
        <w:tc>
          <w:tcPr>
            <w:tcW w:w="975" w:type="dxa"/>
            <w:noWrap/>
            <w:hideMark/>
          </w:tcPr>
          <w:p w14:paraId="32657367" w14:textId="41D50B27" w:rsidR="0025278A" w:rsidRPr="000973F2" w:rsidRDefault="0025278A" w:rsidP="000D578F">
            <w:pPr>
              <w:tabs>
                <w:tab w:val="decimal" w:pos="691"/>
              </w:tabs>
              <w:spacing w:before="40" w:after="4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$115,600</w:t>
            </w:r>
          </w:p>
        </w:tc>
      </w:tr>
      <w:tr w:rsidR="00132320" w:rsidRPr="000973F2" w14:paraId="2E0E1E8A" w14:textId="77777777" w:rsidTr="00132320">
        <w:trPr>
          <w:cantSplit/>
        </w:trPr>
        <w:tc>
          <w:tcPr>
            <w:cnfStyle w:val="001000000000" w:firstRow="0" w:lastRow="0" w:firstColumn="1" w:lastColumn="0" w:oddVBand="0" w:evenVBand="0" w:oddHBand="0" w:evenHBand="0" w:firstRowFirstColumn="0" w:firstRowLastColumn="0" w:lastRowFirstColumn="0" w:lastRowLastColumn="0"/>
            <w:tcW w:w="1245" w:type="dxa"/>
            <w:tcMar>
              <w:right w:w="14" w:type="dxa"/>
            </w:tcMar>
            <w:hideMark/>
          </w:tcPr>
          <w:p w14:paraId="6A7134C7" w14:textId="77777777" w:rsidR="003E005F" w:rsidRPr="000973F2" w:rsidRDefault="003E005F" w:rsidP="000D578F">
            <w:pPr>
              <w:spacing w:before="40" w:after="4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Reporting</w:t>
            </w:r>
          </w:p>
        </w:tc>
        <w:tc>
          <w:tcPr>
            <w:tcW w:w="787" w:type="dxa"/>
            <w:noWrap/>
            <w:hideMark/>
          </w:tcPr>
          <w:p w14:paraId="1402A591" w14:textId="2231940B" w:rsidR="003E005F" w:rsidRPr="000973F2" w:rsidRDefault="00132320" w:rsidP="000D578F">
            <w:pPr>
              <w:spacing w:before="40" w:after="4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w:t>
            </w:r>
          </w:p>
        </w:tc>
        <w:tc>
          <w:tcPr>
            <w:tcW w:w="788" w:type="dxa"/>
            <w:noWrap/>
            <w:hideMark/>
          </w:tcPr>
          <w:p w14:paraId="44965509" w14:textId="74E10165" w:rsidR="003E005F" w:rsidRPr="000973F2" w:rsidRDefault="00132320" w:rsidP="000D578F">
            <w:pPr>
              <w:spacing w:before="40" w:after="4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w:t>
            </w:r>
          </w:p>
        </w:tc>
        <w:tc>
          <w:tcPr>
            <w:tcW w:w="787" w:type="dxa"/>
            <w:noWrap/>
            <w:hideMark/>
          </w:tcPr>
          <w:p w14:paraId="56491E4C" w14:textId="41A3D3E8" w:rsidR="003E005F" w:rsidRPr="000973F2" w:rsidRDefault="00132320" w:rsidP="000D578F">
            <w:pPr>
              <w:spacing w:before="40" w:after="4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w:t>
            </w:r>
          </w:p>
        </w:tc>
        <w:tc>
          <w:tcPr>
            <w:tcW w:w="788" w:type="dxa"/>
            <w:noWrap/>
            <w:hideMark/>
          </w:tcPr>
          <w:p w14:paraId="4E1C3641" w14:textId="74EC16EF" w:rsidR="003E005F" w:rsidRPr="000973F2" w:rsidRDefault="00132320" w:rsidP="000D578F">
            <w:pPr>
              <w:tabs>
                <w:tab w:val="decimal" w:pos="286"/>
              </w:tabs>
              <w:spacing w:before="40" w:after="4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w:t>
            </w:r>
          </w:p>
        </w:tc>
        <w:tc>
          <w:tcPr>
            <w:tcW w:w="787" w:type="dxa"/>
            <w:noWrap/>
            <w:hideMark/>
          </w:tcPr>
          <w:p w14:paraId="2B5A43FD" w14:textId="3B4075C3" w:rsidR="003E005F" w:rsidRPr="000973F2" w:rsidRDefault="00132320" w:rsidP="000D578F">
            <w:pPr>
              <w:spacing w:before="40" w:after="4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w:t>
            </w:r>
          </w:p>
        </w:tc>
        <w:tc>
          <w:tcPr>
            <w:tcW w:w="788" w:type="dxa"/>
            <w:noWrap/>
            <w:hideMark/>
          </w:tcPr>
          <w:p w14:paraId="40EF1BB9" w14:textId="1C01CF73" w:rsidR="003E005F" w:rsidRPr="000973F2" w:rsidRDefault="00132320" w:rsidP="000D578F">
            <w:pPr>
              <w:tabs>
                <w:tab w:val="decimal" w:pos="361"/>
              </w:tabs>
              <w:spacing w:before="40" w:after="4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w:t>
            </w:r>
          </w:p>
        </w:tc>
        <w:tc>
          <w:tcPr>
            <w:tcW w:w="787" w:type="dxa"/>
            <w:noWrap/>
            <w:hideMark/>
          </w:tcPr>
          <w:p w14:paraId="300767BE" w14:textId="2DB9E63D" w:rsidR="003E005F" w:rsidRPr="000973F2" w:rsidRDefault="00132320" w:rsidP="000D578F">
            <w:pPr>
              <w:spacing w:before="40" w:after="4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w:t>
            </w:r>
          </w:p>
        </w:tc>
        <w:tc>
          <w:tcPr>
            <w:tcW w:w="788" w:type="dxa"/>
            <w:noWrap/>
            <w:hideMark/>
          </w:tcPr>
          <w:p w14:paraId="2723AE34" w14:textId="74CC95D1" w:rsidR="003E005F" w:rsidRPr="000973F2" w:rsidRDefault="00132320" w:rsidP="000D578F">
            <w:pPr>
              <w:tabs>
                <w:tab w:val="decimal" w:pos="316"/>
              </w:tabs>
              <w:spacing w:before="40" w:after="4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w:t>
            </w:r>
          </w:p>
        </w:tc>
        <w:tc>
          <w:tcPr>
            <w:tcW w:w="810" w:type="dxa"/>
            <w:noWrap/>
            <w:hideMark/>
          </w:tcPr>
          <w:p w14:paraId="1EDED3FD" w14:textId="76923AF9" w:rsidR="003E005F" w:rsidRPr="000973F2" w:rsidRDefault="00132320" w:rsidP="000D578F">
            <w:pPr>
              <w:spacing w:before="40" w:after="4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w:t>
            </w:r>
          </w:p>
        </w:tc>
        <w:tc>
          <w:tcPr>
            <w:tcW w:w="975" w:type="dxa"/>
            <w:noWrap/>
            <w:hideMark/>
          </w:tcPr>
          <w:p w14:paraId="6577553E" w14:textId="46A9EDD4" w:rsidR="003E005F" w:rsidRPr="000973F2" w:rsidRDefault="00132320" w:rsidP="000D578F">
            <w:pPr>
              <w:tabs>
                <w:tab w:val="decimal" w:pos="691"/>
              </w:tabs>
              <w:spacing w:before="40" w:after="4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w:t>
            </w:r>
          </w:p>
        </w:tc>
      </w:tr>
      <w:tr w:rsidR="00132320" w:rsidRPr="000973F2" w14:paraId="1A1A71B3" w14:textId="77777777" w:rsidTr="00132320">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1245" w:type="dxa"/>
            <w:noWrap/>
            <w:tcMar>
              <w:right w:w="14" w:type="dxa"/>
            </w:tcMar>
            <w:hideMark/>
          </w:tcPr>
          <w:p w14:paraId="6EB66700" w14:textId="77777777" w:rsidR="0025278A" w:rsidRPr="000973F2" w:rsidRDefault="0025278A" w:rsidP="000D578F">
            <w:pPr>
              <w:spacing w:before="40" w:after="40"/>
              <w:rPr>
                <w:rFonts w:ascii="Times New Roman" w:eastAsia="Times New Roman" w:hAnsi="Times New Roman" w:cs="Times New Roman"/>
                <w:b/>
                <w:bCs w:val="0"/>
                <w:sz w:val="18"/>
                <w:szCs w:val="18"/>
              </w:rPr>
            </w:pPr>
            <w:r w:rsidRPr="000973F2">
              <w:rPr>
                <w:rFonts w:ascii="Times New Roman" w:eastAsia="Times New Roman" w:hAnsi="Times New Roman" w:cs="Times New Roman"/>
                <w:b/>
                <w:sz w:val="18"/>
                <w:szCs w:val="18"/>
              </w:rPr>
              <w:t>Total</w:t>
            </w:r>
          </w:p>
        </w:tc>
        <w:tc>
          <w:tcPr>
            <w:tcW w:w="787" w:type="dxa"/>
            <w:noWrap/>
            <w:hideMark/>
          </w:tcPr>
          <w:p w14:paraId="669A6727" w14:textId="77777777" w:rsidR="0025278A" w:rsidRPr="000973F2" w:rsidRDefault="0025278A" w:rsidP="000D578F">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18"/>
                <w:szCs w:val="18"/>
              </w:rPr>
            </w:pPr>
            <w:r w:rsidRPr="000973F2">
              <w:rPr>
                <w:rFonts w:ascii="Times New Roman" w:eastAsia="Times New Roman" w:hAnsi="Times New Roman" w:cs="Times New Roman"/>
                <w:b/>
                <w:bCs/>
                <w:sz w:val="18"/>
                <w:szCs w:val="18"/>
              </w:rPr>
              <w:t>0</w:t>
            </w:r>
          </w:p>
        </w:tc>
        <w:tc>
          <w:tcPr>
            <w:tcW w:w="788" w:type="dxa"/>
            <w:noWrap/>
            <w:hideMark/>
          </w:tcPr>
          <w:p w14:paraId="4C74429F" w14:textId="77777777" w:rsidR="0025278A" w:rsidRPr="000973F2" w:rsidRDefault="0025278A" w:rsidP="000D578F">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18"/>
                <w:szCs w:val="18"/>
              </w:rPr>
            </w:pPr>
            <w:r w:rsidRPr="000973F2">
              <w:rPr>
                <w:rFonts w:ascii="Times New Roman" w:eastAsia="Times New Roman" w:hAnsi="Times New Roman" w:cs="Times New Roman"/>
                <w:b/>
                <w:bCs/>
                <w:sz w:val="18"/>
                <w:szCs w:val="18"/>
              </w:rPr>
              <w:t>0</w:t>
            </w:r>
          </w:p>
        </w:tc>
        <w:tc>
          <w:tcPr>
            <w:tcW w:w="787" w:type="dxa"/>
            <w:noWrap/>
            <w:hideMark/>
          </w:tcPr>
          <w:p w14:paraId="232CA67B" w14:textId="77777777" w:rsidR="0025278A" w:rsidRPr="000973F2" w:rsidRDefault="0025278A" w:rsidP="000D578F">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18"/>
                <w:szCs w:val="18"/>
              </w:rPr>
            </w:pPr>
            <w:r w:rsidRPr="000973F2">
              <w:rPr>
                <w:rFonts w:ascii="Times New Roman" w:eastAsia="Times New Roman" w:hAnsi="Times New Roman" w:cs="Times New Roman"/>
                <w:b/>
                <w:bCs/>
                <w:sz w:val="18"/>
                <w:szCs w:val="18"/>
              </w:rPr>
              <w:t>0</w:t>
            </w:r>
          </w:p>
        </w:tc>
        <w:tc>
          <w:tcPr>
            <w:tcW w:w="788" w:type="dxa"/>
            <w:noWrap/>
            <w:hideMark/>
          </w:tcPr>
          <w:p w14:paraId="02FB7290" w14:textId="77777777" w:rsidR="0025278A" w:rsidRPr="000973F2" w:rsidRDefault="0025278A" w:rsidP="000D578F">
            <w:pPr>
              <w:tabs>
                <w:tab w:val="decimal" w:pos="286"/>
              </w:tabs>
              <w:spacing w:before="40" w:after="4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18"/>
                <w:szCs w:val="18"/>
              </w:rPr>
            </w:pPr>
            <w:r w:rsidRPr="000973F2">
              <w:rPr>
                <w:rFonts w:ascii="Times New Roman" w:eastAsia="Times New Roman" w:hAnsi="Times New Roman" w:cs="Times New Roman"/>
                <w:b/>
                <w:bCs/>
                <w:sz w:val="18"/>
                <w:szCs w:val="18"/>
              </w:rPr>
              <w:t>77.8</w:t>
            </w:r>
          </w:p>
        </w:tc>
        <w:tc>
          <w:tcPr>
            <w:tcW w:w="787" w:type="dxa"/>
            <w:noWrap/>
            <w:hideMark/>
          </w:tcPr>
          <w:p w14:paraId="0366A26F" w14:textId="77777777" w:rsidR="0025278A" w:rsidRPr="000973F2" w:rsidRDefault="0025278A" w:rsidP="000D578F">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18"/>
                <w:szCs w:val="18"/>
              </w:rPr>
            </w:pPr>
            <w:r w:rsidRPr="000973F2">
              <w:rPr>
                <w:rFonts w:ascii="Times New Roman" w:eastAsia="Times New Roman" w:hAnsi="Times New Roman" w:cs="Times New Roman"/>
                <w:b/>
                <w:bCs/>
                <w:sz w:val="18"/>
                <w:szCs w:val="18"/>
              </w:rPr>
              <w:t>0</w:t>
            </w:r>
          </w:p>
        </w:tc>
        <w:tc>
          <w:tcPr>
            <w:tcW w:w="788" w:type="dxa"/>
            <w:noWrap/>
            <w:hideMark/>
          </w:tcPr>
          <w:p w14:paraId="13721E92" w14:textId="77777777" w:rsidR="0025278A" w:rsidRPr="000973F2" w:rsidRDefault="0025278A" w:rsidP="000D578F">
            <w:pPr>
              <w:tabs>
                <w:tab w:val="decimal" w:pos="361"/>
              </w:tabs>
              <w:spacing w:before="40" w:after="4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18"/>
                <w:szCs w:val="18"/>
              </w:rPr>
            </w:pPr>
            <w:r w:rsidRPr="000973F2">
              <w:rPr>
                <w:rFonts w:ascii="Times New Roman" w:eastAsia="Times New Roman" w:hAnsi="Times New Roman" w:cs="Times New Roman"/>
                <w:b/>
                <w:bCs/>
                <w:sz w:val="18"/>
                <w:szCs w:val="18"/>
              </w:rPr>
              <w:t>1,455</w:t>
            </w:r>
          </w:p>
        </w:tc>
        <w:tc>
          <w:tcPr>
            <w:tcW w:w="787" w:type="dxa"/>
            <w:noWrap/>
            <w:hideMark/>
          </w:tcPr>
          <w:p w14:paraId="1C0B91E3" w14:textId="77777777" w:rsidR="0025278A" w:rsidRPr="000973F2" w:rsidRDefault="0025278A" w:rsidP="000D578F">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18"/>
                <w:szCs w:val="18"/>
              </w:rPr>
            </w:pPr>
            <w:r w:rsidRPr="000973F2">
              <w:rPr>
                <w:rFonts w:ascii="Times New Roman" w:eastAsia="Times New Roman" w:hAnsi="Times New Roman" w:cs="Times New Roman"/>
                <w:b/>
                <w:bCs/>
                <w:sz w:val="18"/>
                <w:szCs w:val="18"/>
              </w:rPr>
              <w:t>0</w:t>
            </w:r>
          </w:p>
        </w:tc>
        <w:tc>
          <w:tcPr>
            <w:tcW w:w="788" w:type="dxa"/>
            <w:noWrap/>
            <w:hideMark/>
          </w:tcPr>
          <w:p w14:paraId="02E8674E" w14:textId="77777777" w:rsidR="0025278A" w:rsidRPr="000973F2" w:rsidRDefault="0025278A" w:rsidP="000D578F">
            <w:pPr>
              <w:tabs>
                <w:tab w:val="decimal" w:pos="316"/>
              </w:tabs>
              <w:spacing w:before="40" w:after="4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18"/>
                <w:szCs w:val="18"/>
              </w:rPr>
            </w:pPr>
            <w:r w:rsidRPr="000973F2">
              <w:rPr>
                <w:rFonts w:ascii="Times New Roman" w:eastAsia="Times New Roman" w:hAnsi="Times New Roman" w:cs="Times New Roman"/>
                <w:b/>
                <w:bCs/>
                <w:sz w:val="18"/>
                <w:szCs w:val="18"/>
              </w:rPr>
              <w:t>145.5</w:t>
            </w:r>
          </w:p>
        </w:tc>
        <w:tc>
          <w:tcPr>
            <w:tcW w:w="810" w:type="dxa"/>
            <w:noWrap/>
            <w:hideMark/>
          </w:tcPr>
          <w:p w14:paraId="28CFCF27" w14:textId="2519B8E0" w:rsidR="0025278A" w:rsidRPr="000973F2" w:rsidRDefault="0025278A" w:rsidP="000D578F">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18"/>
                <w:szCs w:val="18"/>
              </w:rPr>
            </w:pPr>
            <w:r w:rsidRPr="000973F2">
              <w:rPr>
                <w:rFonts w:ascii="Times New Roman" w:eastAsia="Times New Roman" w:hAnsi="Times New Roman" w:cs="Times New Roman"/>
                <w:b/>
                <w:bCs/>
                <w:sz w:val="18"/>
                <w:szCs w:val="18"/>
              </w:rPr>
              <w:t>$0</w:t>
            </w:r>
          </w:p>
        </w:tc>
        <w:tc>
          <w:tcPr>
            <w:tcW w:w="975" w:type="dxa"/>
            <w:noWrap/>
            <w:hideMark/>
          </w:tcPr>
          <w:p w14:paraId="474AC2A8" w14:textId="66D63DD1" w:rsidR="0025278A" w:rsidRPr="000973F2" w:rsidRDefault="0025278A" w:rsidP="000D578F">
            <w:pPr>
              <w:tabs>
                <w:tab w:val="decimal" w:pos="691"/>
              </w:tabs>
              <w:spacing w:before="40" w:after="4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18"/>
                <w:szCs w:val="18"/>
              </w:rPr>
            </w:pPr>
            <w:r w:rsidRPr="000973F2">
              <w:rPr>
                <w:rFonts w:ascii="Times New Roman" w:eastAsia="Times New Roman" w:hAnsi="Times New Roman" w:cs="Times New Roman"/>
                <w:b/>
                <w:bCs/>
                <w:sz w:val="18"/>
                <w:szCs w:val="18"/>
              </w:rPr>
              <w:t>$116,038</w:t>
            </w:r>
          </w:p>
        </w:tc>
      </w:tr>
    </w:tbl>
    <w:p w14:paraId="50BBFB32" w14:textId="77777777" w:rsidR="00DC76F5" w:rsidRPr="000973F2" w:rsidRDefault="00DC76F5" w:rsidP="00C00E4F">
      <w:pPr>
        <w:spacing w:line="240" w:lineRule="auto"/>
        <w:rPr>
          <w:rFonts w:ascii="Times New Roman" w:hAnsi="Times New Roman" w:cs="Times New Roman"/>
          <w:b/>
          <w:i/>
          <w:iCs/>
        </w:rPr>
      </w:pPr>
      <w:r w:rsidRPr="000973F2">
        <w:rPr>
          <w:rFonts w:ascii="Times New Roman" w:hAnsi="Times New Roman" w:cs="Times New Roman"/>
          <w:b/>
          <w:i/>
          <w:iCs/>
        </w:rPr>
        <w:br w:type="page"/>
      </w:r>
    </w:p>
    <w:p w14:paraId="1472BBD8" w14:textId="1A9B3E91" w:rsidR="0025278A" w:rsidRPr="000973F2" w:rsidRDefault="0025278A" w:rsidP="00B930D0">
      <w:pPr>
        <w:pStyle w:val="Heading2"/>
      </w:pPr>
      <w:r w:rsidRPr="000973F2">
        <w:t>Labor Costs for Subpart L – Conducting Destruction Efficiency Testing</w:t>
      </w:r>
    </w:p>
    <w:p w14:paraId="109D09A4" w14:textId="171637D7" w:rsidR="0025278A" w:rsidRPr="000973F2" w:rsidRDefault="0025278A" w:rsidP="00B930D0">
      <w:pPr>
        <w:pStyle w:val="BodyText"/>
      </w:pPr>
      <w:r w:rsidRPr="000973F2">
        <w:t xml:space="preserve">For the 2.6 facilities that are expected to conduct measurement of the destruction efficiency of their destruction device for each year of this ICR, the labor costs are provided in Table </w:t>
      </w:r>
      <w:r w:rsidR="000D7DE6" w:rsidRPr="000973F2">
        <w:t>L-</w:t>
      </w:r>
      <w:r w:rsidRPr="000973F2">
        <w:t xml:space="preserve">1f and are assumed to be the same for each facility regardless of size. Typical activities for the planning, QA/QC and sampling and analysis labor categories are discussed in the Cost Appendix Introduction. No additional hours are allocated for the recordkeeping or reporting labor categories, as these are already addressed in Table </w:t>
      </w:r>
      <w:r w:rsidR="00B930D0" w:rsidRPr="000973F2">
        <w:t>L-</w:t>
      </w:r>
      <w:r w:rsidRPr="000973F2">
        <w:t>1a.</w:t>
      </w:r>
    </w:p>
    <w:p w14:paraId="73878695" w14:textId="04CAD25F" w:rsidR="0025278A" w:rsidRPr="000973F2" w:rsidRDefault="00C45420" w:rsidP="00B930D0">
      <w:pPr>
        <w:pStyle w:val="Tabletitle"/>
        <w:rPr>
          <w:sz w:val="28"/>
          <w:szCs w:val="24"/>
        </w:rPr>
      </w:pPr>
      <w:r w:rsidRPr="000973F2">
        <w:t xml:space="preserve">Table </w:t>
      </w:r>
      <w:r w:rsidR="00B930D0" w:rsidRPr="000973F2">
        <w:t>L-</w:t>
      </w:r>
      <w:r w:rsidRPr="000973F2">
        <w:t xml:space="preserve">1f. Labor Costs </w:t>
      </w:r>
      <w:r w:rsidR="00991D74" w:rsidRPr="000973F2">
        <w:t>–</w:t>
      </w:r>
      <w:r w:rsidRPr="000973F2">
        <w:t xml:space="preserve"> Subpart L </w:t>
      </w:r>
      <w:r w:rsidR="00991D74" w:rsidRPr="000973F2">
        <w:t>–</w:t>
      </w:r>
      <w:r w:rsidRPr="000973F2">
        <w:t xml:space="preserve"> Conducting Destruction Efficiency Testing</w:t>
      </w:r>
    </w:p>
    <w:tbl>
      <w:tblPr>
        <w:tblStyle w:val="PlainTable1"/>
        <w:tblW w:w="5000" w:type="pct"/>
        <w:jc w:val="left"/>
        <w:tblLayout w:type="fixed"/>
        <w:tblCellMar>
          <w:left w:w="115" w:type="dxa"/>
          <w:right w:w="115" w:type="dxa"/>
        </w:tblCellMar>
        <w:tblLook w:val="04A0" w:firstRow="1" w:lastRow="0" w:firstColumn="1" w:lastColumn="0" w:noHBand="0" w:noVBand="1"/>
      </w:tblPr>
      <w:tblGrid>
        <w:gridCol w:w="1322"/>
        <w:gridCol w:w="722"/>
        <w:gridCol w:w="858"/>
        <w:gridCol w:w="873"/>
        <w:gridCol w:w="870"/>
        <w:gridCol w:w="778"/>
        <w:gridCol w:w="944"/>
        <w:gridCol w:w="726"/>
        <w:gridCol w:w="841"/>
        <w:gridCol w:w="726"/>
        <w:gridCol w:w="930"/>
      </w:tblGrid>
      <w:tr w:rsidR="0025278A" w:rsidRPr="000973F2" w14:paraId="6ED721B4" w14:textId="77777777" w:rsidTr="00B930D0">
        <w:trPr>
          <w:cnfStyle w:val="100000000000" w:firstRow="1" w:lastRow="0" w:firstColumn="0" w:lastColumn="0" w:oddVBand="0" w:evenVBand="0" w:oddHBand="0" w:evenHBand="0" w:firstRowFirstColumn="0" w:firstRowLastColumn="0" w:lastRowFirstColumn="0" w:lastRowLastColumn="0"/>
          <w:cantSplit/>
          <w:jc w:val="left"/>
        </w:trPr>
        <w:tc>
          <w:tcPr>
            <w:cnfStyle w:val="001000000000" w:firstRow="0" w:lastRow="0" w:firstColumn="1" w:lastColumn="0" w:oddVBand="0" w:evenVBand="0" w:oddHBand="0" w:evenHBand="0" w:firstRowFirstColumn="0" w:firstRowLastColumn="0" w:lastRowFirstColumn="0" w:lastRowLastColumn="0"/>
            <w:tcW w:w="1287" w:type="dxa"/>
            <w:vMerge w:val="restart"/>
            <w:noWrap/>
            <w:vAlign w:val="top"/>
            <w:hideMark/>
          </w:tcPr>
          <w:p w14:paraId="2407E8F2" w14:textId="77777777" w:rsidR="0025278A" w:rsidRPr="000973F2" w:rsidRDefault="0025278A" w:rsidP="00B930D0">
            <w:pPr>
              <w:spacing w:before="40" w:after="40"/>
              <w:rPr>
                <w:rFonts w:ascii="Times New Roman" w:eastAsia="Times New Roman" w:hAnsi="Times New Roman" w:cs="Times New Roman"/>
                <w:bCs w:val="0"/>
                <w:sz w:val="18"/>
                <w:szCs w:val="18"/>
              </w:rPr>
            </w:pPr>
            <w:bookmarkStart w:id="24" w:name="_Hlk522704047"/>
            <w:r w:rsidRPr="000973F2">
              <w:rPr>
                <w:rFonts w:ascii="Times New Roman" w:eastAsia="Times New Roman" w:hAnsi="Times New Roman" w:cs="Times New Roman"/>
                <w:sz w:val="18"/>
                <w:szCs w:val="18"/>
              </w:rPr>
              <w:t>Activity</w:t>
            </w:r>
          </w:p>
        </w:tc>
        <w:tc>
          <w:tcPr>
            <w:tcW w:w="6432" w:type="dxa"/>
            <w:gridSpan w:val="8"/>
            <w:noWrap/>
            <w:vAlign w:val="top"/>
            <w:hideMark/>
          </w:tcPr>
          <w:p w14:paraId="5E804814" w14:textId="77777777" w:rsidR="0025278A" w:rsidRPr="000973F2" w:rsidRDefault="0025278A" w:rsidP="00B930D0">
            <w:pPr>
              <w:spacing w:before="40" w:after="40"/>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Cs w:val="0"/>
                <w:sz w:val="18"/>
                <w:szCs w:val="18"/>
              </w:rPr>
            </w:pPr>
            <w:r w:rsidRPr="000973F2">
              <w:rPr>
                <w:rFonts w:ascii="Times New Roman" w:eastAsia="Times New Roman" w:hAnsi="Times New Roman" w:cs="Times New Roman"/>
                <w:bCs w:val="0"/>
                <w:sz w:val="18"/>
                <w:szCs w:val="18"/>
              </w:rPr>
              <w:t>Labor Rates (per hour)</w:t>
            </w:r>
          </w:p>
        </w:tc>
        <w:tc>
          <w:tcPr>
            <w:tcW w:w="1611" w:type="dxa"/>
            <w:gridSpan w:val="2"/>
            <w:vMerge w:val="restart"/>
            <w:vAlign w:val="top"/>
            <w:hideMark/>
          </w:tcPr>
          <w:p w14:paraId="7A5A21FF" w14:textId="77777777" w:rsidR="0025278A" w:rsidRPr="000973F2" w:rsidRDefault="0025278A" w:rsidP="00B930D0">
            <w:pPr>
              <w:spacing w:before="40" w:after="40"/>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Cs w:val="0"/>
                <w:sz w:val="18"/>
                <w:szCs w:val="18"/>
              </w:rPr>
            </w:pPr>
            <w:r w:rsidRPr="000973F2">
              <w:rPr>
                <w:rFonts w:ascii="Times New Roman" w:eastAsia="Times New Roman" w:hAnsi="Times New Roman" w:cs="Times New Roman"/>
                <w:bCs w:val="0"/>
                <w:sz w:val="18"/>
                <w:szCs w:val="18"/>
              </w:rPr>
              <w:t>Total Labor Cost per Year per Facility (2017$)</w:t>
            </w:r>
          </w:p>
        </w:tc>
      </w:tr>
      <w:tr w:rsidR="0025278A" w:rsidRPr="000973F2" w14:paraId="03C61288" w14:textId="77777777" w:rsidTr="00B930D0">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1287" w:type="dxa"/>
            <w:vMerge/>
            <w:hideMark/>
          </w:tcPr>
          <w:p w14:paraId="4E34F026" w14:textId="77777777" w:rsidR="0025278A" w:rsidRPr="000973F2" w:rsidRDefault="0025278A" w:rsidP="00B930D0">
            <w:pPr>
              <w:spacing w:before="40" w:after="40"/>
              <w:rPr>
                <w:rFonts w:ascii="Times New Roman" w:eastAsia="Times New Roman" w:hAnsi="Times New Roman" w:cs="Times New Roman"/>
                <w:b/>
                <w:bCs w:val="0"/>
                <w:sz w:val="18"/>
                <w:szCs w:val="18"/>
              </w:rPr>
            </w:pPr>
          </w:p>
        </w:tc>
        <w:tc>
          <w:tcPr>
            <w:tcW w:w="1538" w:type="dxa"/>
            <w:gridSpan w:val="2"/>
            <w:noWrap/>
            <w:hideMark/>
          </w:tcPr>
          <w:p w14:paraId="5FEDC216" w14:textId="77777777" w:rsidR="0025278A" w:rsidRPr="000973F2" w:rsidRDefault="0025278A" w:rsidP="00B930D0">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18"/>
                <w:szCs w:val="18"/>
              </w:rPr>
            </w:pPr>
            <w:r w:rsidRPr="000973F2">
              <w:rPr>
                <w:rFonts w:ascii="Times New Roman" w:eastAsia="Times New Roman" w:hAnsi="Times New Roman" w:cs="Times New Roman"/>
                <w:b/>
                <w:bCs/>
                <w:sz w:val="18"/>
                <w:szCs w:val="18"/>
              </w:rPr>
              <w:t>Lawyer</w:t>
            </w:r>
          </w:p>
        </w:tc>
        <w:tc>
          <w:tcPr>
            <w:tcW w:w="1695" w:type="dxa"/>
            <w:gridSpan w:val="2"/>
            <w:noWrap/>
            <w:hideMark/>
          </w:tcPr>
          <w:p w14:paraId="3F3BAF7E" w14:textId="77777777" w:rsidR="0025278A" w:rsidRPr="000973F2" w:rsidRDefault="0025278A" w:rsidP="00B930D0">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18"/>
                <w:szCs w:val="18"/>
              </w:rPr>
            </w:pPr>
            <w:r w:rsidRPr="000973F2">
              <w:rPr>
                <w:rFonts w:ascii="Times New Roman" w:eastAsia="Times New Roman" w:hAnsi="Times New Roman" w:cs="Times New Roman"/>
                <w:b/>
                <w:bCs/>
                <w:sz w:val="18"/>
                <w:szCs w:val="18"/>
              </w:rPr>
              <w:t>Industrial Manager</w:t>
            </w:r>
          </w:p>
        </w:tc>
        <w:tc>
          <w:tcPr>
            <w:tcW w:w="1675" w:type="dxa"/>
            <w:gridSpan w:val="2"/>
            <w:hideMark/>
          </w:tcPr>
          <w:p w14:paraId="6FC84505" w14:textId="4335BAEC" w:rsidR="0025278A" w:rsidRPr="000973F2" w:rsidRDefault="0025278A" w:rsidP="00B930D0">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18"/>
                <w:szCs w:val="18"/>
              </w:rPr>
            </w:pPr>
            <w:r w:rsidRPr="000973F2">
              <w:rPr>
                <w:rFonts w:ascii="Times New Roman" w:eastAsia="Times New Roman" w:hAnsi="Times New Roman" w:cs="Times New Roman"/>
                <w:b/>
                <w:bCs/>
                <w:sz w:val="18"/>
                <w:szCs w:val="18"/>
              </w:rPr>
              <w:t>Industrial Engineer/</w:t>
            </w:r>
            <w:r w:rsidR="00B930D0" w:rsidRPr="000973F2">
              <w:rPr>
                <w:rFonts w:ascii="Times New Roman" w:eastAsia="Times New Roman" w:hAnsi="Times New Roman" w:cs="Times New Roman"/>
                <w:b/>
                <w:bCs/>
                <w:sz w:val="18"/>
                <w:szCs w:val="18"/>
              </w:rPr>
              <w:t xml:space="preserve"> </w:t>
            </w:r>
            <w:r w:rsidRPr="000973F2">
              <w:rPr>
                <w:rFonts w:ascii="Times New Roman" w:eastAsia="Times New Roman" w:hAnsi="Times New Roman" w:cs="Times New Roman"/>
                <w:b/>
                <w:bCs/>
                <w:sz w:val="18"/>
                <w:szCs w:val="18"/>
              </w:rPr>
              <w:t>Technician</w:t>
            </w:r>
          </w:p>
        </w:tc>
        <w:tc>
          <w:tcPr>
            <w:tcW w:w="1524" w:type="dxa"/>
            <w:gridSpan w:val="2"/>
            <w:hideMark/>
          </w:tcPr>
          <w:p w14:paraId="710CBF42" w14:textId="77777777" w:rsidR="0025278A" w:rsidRPr="000973F2" w:rsidRDefault="0025278A" w:rsidP="00B930D0">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18"/>
                <w:szCs w:val="18"/>
              </w:rPr>
            </w:pPr>
            <w:r w:rsidRPr="000973F2">
              <w:rPr>
                <w:rFonts w:ascii="Times New Roman" w:eastAsia="Times New Roman" w:hAnsi="Times New Roman" w:cs="Times New Roman"/>
                <w:b/>
                <w:bCs/>
                <w:sz w:val="18"/>
                <w:szCs w:val="18"/>
              </w:rPr>
              <w:t>Administrative Support</w:t>
            </w:r>
          </w:p>
        </w:tc>
        <w:tc>
          <w:tcPr>
            <w:tcW w:w="1611" w:type="dxa"/>
            <w:gridSpan w:val="2"/>
            <w:vMerge/>
            <w:hideMark/>
          </w:tcPr>
          <w:p w14:paraId="11123D4B" w14:textId="77777777" w:rsidR="0025278A" w:rsidRPr="000973F2" w:rsidRDefault="0025278A" w:rsidP="00B930D0">
            <w:pPr>
              <w:spacing w:before="40" w:after="4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18"/>
                <w:szCs w:val="18"/>
              </w:rPr>
            </w:pPr>
          </w:p>
        </w:tc>
      </w:tr>
      <w:tr w:rsidR="0025278A" w:rsidRPr="000973F2" w14:paraId="0AD4D13D" w14:textId="77777777" w:rsidTr="00B930D0">
        <w:trPr>
          <w:cantSplit/>
        </w:trPr>
        <w:tc>
          <w:tcPr>
            <w:cnfStyle w:val="001000000000" w:firstRow="0" w:lastRow="0" w:firstColumn="1" w:lastColumn="0" w:oddVBand="0" w:evenVBand="0" w:oddHBand="0" w:evenHBand="0" w:firstRowFirstColumn="0" w:firstRowLastColumn="0" w:lastRowFirstColumn="0" w:lastRowLastColumn="0"/>
            <w:tcW w:w="1287" w:type="dxa"/>
            <w:vMerge/>
            <w:hideMark/>
          </w:tcPr>
          <w:p w14:paraId="60C1AC4B" w14:textId="77777777" w:rsidR="0025278A" w:rsidRPr="000973F2" w:rsidRDefault="0025278A" w:rsidP="00B930D0">
            <w:pPr>
              <w:spacing w:before="40" w:after="40"/>
              <w:rPr>
                <w:rFonts w:ascii="Times New Roman" w:eastAsia="Times New Roman" w:hAnsi="Times New Roman" w:cs="Times New Roman"/>
                <w:b/>
                <w:bCs w:val="0"/>
                <w:sz w:val="18"/>
                <w:szCs w:val="18"/>
              </w:rPr>
            </w:pPr>
          </w:p>
        </w:tc>
        <w:tc>
          <w:tcPr>
            <w:tcW w:w="1538" w:type="dxa"/>
            <w:gridSpan w:val="2"/>
            <w:noWrap/>
            <w:hideMark/>
          </w:tcPr>
          <w:p w14:paraId="00FB9EA1" w14:textId="77777777" w:rsidR="0025278A" w:rsidRPr="000973F2" w:rsidRDefault="0025278A" w:rsidP="00B930D0">
            <w:pPr>
              <w:spacing w:before="40" w:after="4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sz w:val="18"/>
                <w:szCs w:val="18"/>
              </w:rPr>
            </w:pPr>
            <w:r w:rsidRPr="000973F2">
              <w:rPr>
                <w:rFonts w:ascii="Times New Roman" w:eastAsia="Times New Roman" w:hAnsi="Times New Roman" w:cs="Times New Roman"/>
                <w:b/>
                <w:bCs/>
                <w:sz w:val="18"/>
                <w:szCs w:val="18"/>
              </w:rPr>
              <w:t xml:space="preserve">$112.23 </w:t>
            </w:r>
          </w:p>
        </w:tc>
        <w:tc>
          <w:tcPr>
            <w:tcW w:w="1695" w:type="dxa"/>
            <w:gridSpan w:val="2"/>
            <w:noWrap/>
            <w:hideMark/>
          </w:tcPr>
          <w:p w14:paraId="500130BF" w14:textId="77777777" w:rsidR="0025278A" w:rsidRPr="000973F2" w:rsidRDefault="0025278A" w:rsidP="00B930D0">
            <w:pPr>
              <w:spacing w:before="40" w:after="4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sz w:val="18"/>
                <w:szCs w:val="18"/>
              </w:rPr>
            </w:pPr>
            <w:r w:rsidRPr="000973F2">
              <w:rPr>
                <w:rFonts w:ascii="Times New Roman" w:eastAsia="Times New Roman" w:hAnsi="Times New Roman" w:cs="Times New Roman"/>
                <w:b/>
                <w:bCs/>
                <w:sz w:val="18"/>
                <w:szCs w:val="18"/>
              </w:rPr>
              <w:t xml:space="preserve">$87.45 </w:t>
            </w:r>
          </w:p>
        </w:tc>
        <w:tc>
          <w:tcPr>
            <w:tcW w:w="1675" w:type="dxa"/>
            <w:gridSpan w:val="2"/>
            <w:noWrap/>
            <w:hideMark/>
          </w:tcPr>
          <w:p w14:paraId="58B7FA4F" w14:textId="77777777" w:rsidR="0025278A" w:rsidRPr="000973F2" w:rsidRDefault="0025278A" w:rsidP="00B930D0">
            <w:pPr>
              <w:spacing w:before="40" w:after="4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sz w:val="18"/>
                <w:szCs w:val="18"/>
              </w:rPr>
            </w:pPr>
            <w:r w:rsidRPr="000973F2">
              <w:rPr>
                <w:rFonts w:ascii="Times New Roman" w:eastAsia="Times New Roman" w:hAnsi="Times New Roman" w:cs="Times New Roman"/>
                <w:b/>
                <w:bCs/>
                <w:sz w:val="18"/>
                <w:szCs w:val="18"/>
              </w:rPr>
              <w:t xml:space="preserve">$71.45 </w:t>
            </w:r>
          </w:p>
        </w:tc>
        <w:tc>
          <w:tcPr>
            <w:tcW w:w="1524" w:type="dxa"/>
            <w:gridSpan w:val="2"/>
            <w:noWrap/>
            <w:hideMark/>
          </w:tcPr>
          <w:p w14:paraId="250A95B9" w14:textId="77777777" w:rsidR="0025278A" w:rsidRPr="000973F2" w:rsidRDefault="0025278A" w:rsidP="00B930D0">
            <w:pPr>
              <w:spacing w:before="40" w:after="4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sz w:val="18"/>
                <w:szCs w:val="18"/>
              </w:rPr>
            </w:pPr>
            <w:r w:rsidRPr="000973F2">
              <w:rPr>
                <w:rFonts w:ascii="Times New Roman" w:eastAsia="Times New Roman" w:hAnsi="Times New Roman" w:cs="Times New Roman"/>
                <w:b/>
                <w:bCs/>
                <w:sz w:val="18"/>
                <w:szCs w:val="18"/>
              </w:rPr>
              <w:t xml:space="preserve">$36.28 </w:t>
            </w:r>
          </w:p>
        </w:tc>
        <w:tc>
          <w:tcPr>
            <w:tcW w:w="1611" w:type="dxa"/>
            <w:gridSpan w:val="2"/>
            <w:vMerge/>
            <w:hideMark/>
          </w:tcPr>
          <w:p w14:paraId="221E98B3" w14:textId="77777777" w:rsidR="0025278A" w:rsidRPr="000973F2" w:rsidRDefault="0025278A" w:rsidP="00B930D0">
            <w:pPr>
              <w:spacing w:before="40" w:after="4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sz w:val="18"/>
                <w:szCs w:val="18"/>
              </w:rPr>
            </w:pPr>
          </w:p>
        </w:tc>
      </w:tr>
      <w:tr w:rsidR="00B930D0" w:rsidRPr="000973F2" w14:paraId="174F67DE" w14:textId="77777777" w:rsidTr="00B930D0">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1287" w:type="dxa"/>
            <w:vMerge/>
            <w:hideMark/>
          </w:tcPr>
          <w:p w14:paraId="216BCC35" w14:textId="77777777" w:rsidR="0025278A" w:rsidRPr="000973F2" w:rsidRDefault="0025278A" w:rsidP="00B930D0">
            <w:pPr>
              <w:spacing w:before="40" w:after="40"/>
              <w:rPr>
                <w:rFonts w:ascii="Times New Roman" w:eastAsia="Times New Roman" w:hAnsi="Times New Roman" w:cs="Times New Roman"/>
                <w:b/>
                <w:bCs w:val="0"/>
                <w:sz w:val="18"/>
                <w:szCs w:val="18"/>
              </w:rPr>
            </w:pPr>
          </w:p>
        </w:tc>
        <w:tc>
          <w:tcPr>
            <w:tcW w:w="703" w:type="dxa"/>
            <w:tcMar>
              <w:left w:w="14" w:type="dxa"/>
              <w:right w:w="14" w:type="dxa"/>
            </w:tcMar>
            <w:hideMark/>
          </w:tcPr>
          <w:p w14:paraId="0A030ED1" w14:textId="405F9E8D" w:rsidR="0025278A" w:rsidRPr="000973F2" w:rsidRDefault="0025278A" w:rsidP="00B930D0">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18"/>
                <w:szCs w:val="18"/>
              </w:rPr>
            </w:pPr>
            <w:r w:rsidRPr="000973F2">
              <w:rPr>
                <w:rFonts w:ascii="Times New Roman" w:eastAsia="Times New Roman" w:hAnsi="Times New Roman" w:cs="Times New Roman"/>
                <w:b/>
                <w:bCs/>
                <w:sz w:val="18"/>
                <w:szCs w:val="18"/>
              </w:rPr>
              <w:t xml:space="preserve">Initial </w:t>
            </w:r>
            <w:r w:rsidR="00132320" w:rsidRPr="000973F2">
              <w:rPr>
                <w:rFonts w:ascii="Times New Roman" w:eastAsia="Times New Roman" w:hAnsi="Times New Roman" w:cs="Times New Roman"/>
                <w:b/>
                <w:bCs/>
                <w:sz w:val="18"/>
                <w:szCs w:val="18"/>
              </w:rPr>
              <w:t>Year Hours</w:t>
            </w:r>
          </w:p>
        </w:tc>
        <w:tc>
          <w:tcPr>
            <w:tcW w:w="835" w:type="dxa"/>
            <w:tcMar>
              <w:left w:w="14" w:type="dxa"/>
              <w:right w:w="14" w:type="dxa"/>
            </w:tcMar>
            <w:hideMark/>
          </w:tcPr>
          <w:p w14:paraId="10C2650B" w14:textId="07344B0C" w:rsidR="0025278A" w:rsidRPr="000973F2" w:rsidRDefault="0025278A" w:rsidP="00B930D0">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18"/>
                <w:szCs w:val="18"/>
              </w:rPr>
            </w:pPr>
            <w:r w:rsidRPr="000973F2">
              <w:rPr>
                <w:rFonts w:ascii="Times New Roman" w:eastAsia="Times New Roman" w:hAnsi="Times New Roman" w:cs="Times New Roman"/>
                <w:b/>
                <w:bCs/>
                <w:sz w:val="18"/>
                <w:szCs w:val="18"/>
              </w:rPr>
              <w:t xml:space="preserve">Subseq. </w:t>
            </w:r>
            <w:r w:rsidR="00132320" w:rsidRPr="000973F2">
              <w:rPr>
                <w:rFonts w:ascii="Times New Roman" w:eastAsia="Times New Roman" w:hAnsi="Times New Roman" w:cs="Times New Roman"/>
                <w:b/>
                <w:bCs/>
                <w:sz w:val="18"/>
                <w:szCs w:val="18"/>
              </w:rPr>
              <w:t>Year Hours</w:t>
            </w:r>
          </w:p>
        </w:tc>
        <w:tc>
          <w:tcPr>
            <w:tcW w:w="849" w:type="dxa"/>
            <w:tcMar>
              <w:left w:w="14" w:type="dxa"/>
              <w:right w:w="14" w:type="dxa"/>
            </w:tcMar>
            <w:hideMark/>
          </w:tcPr>
          <w:p w14:paraId="1AFC7BC4" w14:textId="4F907FB7" w:rsidR="0025278A" w:rsidRPr="000973F2" w:rsidRDefault="0025278A" w:rsidP="00B930D0">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18"/>
                <w:szCs w:val="18"/>
              </w:rPr>
            </w:pPr>
            <w:r w:rsidRPr="000973F2">
              <w:rPr>
                <w:rFonts w:ascii="Times New Roman" w:eastAsia="Times New Roman" w:hAnsi="Times New Roman" w:cs="Times New Roman"/>
                <w:b/>
                <w:bCs/>
                <w:sz w:val="18"/>
                <w:szCs w:val="18"/>
              </w:rPr>
              <w:t xml:space="preserve">Initial </w:t>
            </w:r>
            <w:r w:rsidR="00132320" w:rsidRPr="000973F2">
              <w:rPr>
                <w:rFonts w:ascii="Times New Roman" w:eastAsia="Times New Roman" w:hAnsi="Times New Roman" w:cs="Times New Roman"/>
                <w:b/>
                <w:bCs/>
                <w:sz w:val="18"/>
                <w:szCs w:val="18"/>
              </w:rPr>
              <w:t>Year Hours</w:t>
            </w:r>
          </w:p>
        </w:tc>
        <w:tc>
          <w:tcPr>
            <w:tcW w:w="846" w:type="dxa"/>
            <w:tcMar>
              <w:left w:w="14" w:type="dxa"/>
              <w:right w:w="14" w:type="dxa"/>
            </w:tcMar>
            <w:hideMark/>
          </w:tcPr>
          <w:p w14:paraId="170CA085" w14:textId="59F384DB" w:rsidR="0025278A" w:rsidRPr="000973F2" w:rsidRDefault="0025278A" w:rsidP="00B930D0">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18"/>
                <w:szCs w:val="18"/>
              </w:rPr>
            </w:pPr>
            <w:r w:rsidRPr="000973F2">
              <w:rPr>
                <w:rFonts w:ascii="Times New Roman" w:eastAsia="Times New Roman" w:hAnsi="Times New Roman" w:cs="Times New Roman"/>
                <w:b/>
                <w:bCs/>
                <w:sz w:val="18"/>
                <w:szCs w:val="18"/>
              </w:rPr>
              <w:t xml:space="preserve">Subseq. </w:t>
            </w:r>
            <w:r w:rsidR="00132320" w:rsidRPr="000973F2">
              <w:rPr>
                <w:rFonts w:ascii="Times New Roman" w:eastAsia="Times New Roman" w:hAnsi="Times New Roman" w:cs="Times New Roman"/>
                <w:b/>
                <w:bCs/>
                <w:sz w:val="18"/>
                <w:szCs w:val="18"/>
              </w:rPr>
              <w:t>Year Hours</w:t>
            </w:r>
          </w:p>
        </w:tc>
        <w:tc>
          <w:tcPr>
            <w:tcW w:w="757" w:type="dxa"/>
            <w:tcMar>
              <w:left w:w="14" w:type="dxa"/>
              <w:right w:w="14" w:type="dxa"/>
            </w:tcMar>
            <w:hideMark/>
          </w:tcPr>
          <w:p w14:paraId="1A87C851" w14:textId="2A6AB34F" w:rsidR="0025278A" w:rsidRPr="000973F2" w:rsidRDefault="0025278A" w:rsidP="00B930D0">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18"/>
                <w:szCs w:val="18"/>
              </w:rPr>
            </w:pPr>
            <w:r w:rsidRPr="000973F2">
              <w:rPr>
                <w:rFonts w:ascii="Times New Roman" w:eastAsia="Times New Roman" w:hAnsi="Times New Roman" w:cs="Times New Roman"/>
                <w:b/>
                <w:bCs/>
                <w:sz w:val="18"/>
                <w:szCs w:val="18"/>
              </w:rPr>
              <w:t xml:space="preserve">Initial </w:t>
            </w:r>
            <w:r w:rsidR="00132320" w:rsidRPr="000973F2">
              <w:rPr>
                <w:rFonts w:ascii="Times New Roman" w:eastAsia="Times New Roman" w:hAnsi="Times New Roman" w:cs="Times New Roman"/>
                <w:b/>
                <w:bCs/>
                <w:sz w:val="18"/>
                <w:szCs w:val="18"/>
              </w:rPr>
              <w:t>Year Hours</w:t>
            </w:r>
          </w:p>
        </w:tc>
        <w:tc>
          <w:tcPr>
            <w:tcW w:w="918" w:type="dxa"/>
            <w:tcMar>
              <w:left w:w="14" w:type="dxa"/>
              <w:right w:w="14" w:type="dxa"/>
            </w:tcMar>
            <w:hideMark/>
          </w:tcPr>
          <w:p w14:paraId="6DF278F3" w14:textId="3CC28AD7" w:rsidR="0025278A" w:rsidRPr="000973F2" w:rsidRDefault="0025278A" w:rsidP="00B930D0">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18"/>
                <w:szCs w:val="18"/>
              </w:rPr>
            </w:pPr>
            <w:r w:rsidRPr="000973F2">
              <w:rPr>
                <w:rFonts w:ascii="Times New Roman" w:eastAsia="Times New Roman" w:hAnsi="Times New Roman" w:cs="Times New Roman"/>
                <w:b/>
                <w:bCs/>
                <w:sz w:val="18"/>
                <w:szCs w:val="18"/>
              </w:rPr>
              <w:t xml:space="preserve">Subseq. </w:t>
            </w:r>
            <w:r w:rsidR="00132320" w:rsidRPr="000973F2">
              <w:rPr>
                <w:rFonts w:ascii="Times New Roman" w:eastAsia="Times New Roman" w:hAnsi="Times New Roman" w:cs="Times New Roman"/>
                <w:b/>
                <w:bCs/>
                <w:sz w:val="18"/>
                <w:szCs w:val="18"/>
              </w:rPr>
              <w:t>Year Hours</w:t>
            </w:r>
          </w:p>
        </w:tc>
        <w:tc>
          <w:tcPr>
            <w:tcW w:w="706" w:type="dxa"/>
            <w:tcMar>
              <w:left w:w="14" w:type="dxa"/>
              <w:right w:w="14" w:type="dxa"/>
            </w:tcMar>
            <w:hideMark/>
          </w:tcPr>
          <w:p w14:paraId="2E8508EB" w14:textId="777CC826" w:rsidR="0025278A" w:rsidRPr="000973F2" w:rsidRDefault="0025278A" w:rsidP="00B930D0">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18"/>
                <w:szCs w:val="18"/>
              </w:rPr>
            </w:pPr>
            <w:r w:rsidRPr="000973F2">
              <w:rPr>
                <w:rFonts w:ascii="Times New Roman" w:eastAsia="Times New Roman" w:hAnsi="Times New Roman" w:cs="Times New Roman"/>
                <w:b/>
                <w:bCs/>
                <w:sz w:val="18"/>
                <w:szCs w:val="18"/>
              </w:rPr>
              <w:t xml:space="preserve">Initial </w:t>
            </w:r>
            <w:r w:rsidR="00132320" w:rsidRPr="000973F2">
              <w:rPr>
                <w:rFonts w:ascii="Times New Roman" w:eastAsia="Times New Roman" w:hAnsi="Times New Roman" w:cs="Times New Roman"/>
                <w:b/>
                <w:bCs/>
                <w:sz w:val="18"/>
                <w:szCs w:val="18"/>
              </w:rPr>
              <w:t>Year Hours</w:t>
            </w:r>
          </w:p>
        </w:tc>
        <w:tc>
          <w:tcPr>
            <w:tcW w:w="818" w:type="dxa"/>
            <w:tcMar>
              <w:left w:w="14" w:type="dxa"/>
              <w:right w:w="14" w:type="dxa"/>
            </w:tcMar>
            <w:hideMark/>
          </w:tcPr>
          <w:p w14:paraId="4ED4B32F" w14:textId="5FFBCF70" w:rsidR="0025278A" w:rsidRPr="000973F2" w:rsidRDefault="0025278A" w:rsidP="00B930D0">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18"/>
                <w:szCs w:val="18"/>
              </w:rPr>
            </w:pPr>
            <w:r w:rsidRPr="000973F2">
              <w:rPr>
                <w:rFonts w:ascii="Times New Roman" w:eastAsia="Times New Roman" w:hAnsi="Times New Roman" w:cs="Times New Roman"/>
                <w:b/>
                <w:bCs/>
                <w:sz w:val="18"/>
                <w:szCs w:val="18"/>
              </w:rPr>
              <w:t xml:space="preserve">Subseq. </w:t>
            </w:r>
            <w:r w:rsidR="00132320" w:rsidRPr="000973F2">
              <w:rPr>
                <w:rFonts w:ascii="Times New Roman" w:eastAsia="Times New Roman" w:hAnsi="Times New Roman" w:cs="Times New Roman"/>
                <w:b/>
                <w:bCs/>
                <w:sz w:val="18"/>
                <w:szCs w:val="18"/>
              </w:rPr>
              <w:t>Year Hours</w:t>
            </w:r>
          </w:p>
        </w:tc>
        <w:tc>
          <w:tcPr>
            <w:tcW w:w="706" w:type="dxa"/>
            <w:tcMar>
              <w:left w:w="14" w:type="dxa"/>
              <w:right w:w="14" w:type="dxa"/>
            </w:tcMar>
            <w:hideMark/>
          </w:tcPr>
          <w:p w14:paraId="50EAE8FE" w14:textId="77777777" w:rsidR="0025278A" w:rsidRPr="000973F2" w:rsidRDefault="0025278A" w:rsidP="00B930D0">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18"/>
                <w:szCs w:val="18"/>
              </w:rPr>
            </w:pPr>
            <w:r w:rsidRPr="000973F2">
              <w:rPr>
                <w:rFonts w:ascii="Times New Roman" w:eastAsia="Times New Roman" w:hAnsi="Times New Roman" w:cs="Times New Roman"/>
                <w:b/>
                <w:bCs/>
                <w:sz w:val="18"/>
                <w:szCs w:val="18"/>
              </w:rPr>
              <w:t>Initial Year</w:t>
            </w:r>
          </w:p>
        </w:tc>
        <w:tc>
          <w:tcPr>
            <w:tcW w:w="905" w:type="dxa"/>
            <w:tcMar>
              <w:left w:w="14" w:type="dxa"/>
              <w:right w:w="14" w:type="dxa"/>
            </w:tcMar>
            <w:hideMark/>
          </w:tcPr>
          <w:p w14:paraId="5EF926B9" w14:textId="77777777" w:rsidR="0025278A" w:rsidRPr="000973F2" w:rsidRDefault="0025278A" w:rsidP="00B930D0">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18"/>
                <w:szCs w:val="18"/>
              </w:rPr>
            </w:pPr>
            <w:r w:rsidRPr="000973F2">
              <w:rPr>
                <w:rFonts w:ascii="Times New Roman" w:eastAsia="Times New Roman" w:hAnsi="Times New Roman" w:cs="Times New Roman"/>
                <w:b/>
                <w:bCs/>
                <w:sz w:val="18"/>
                <w:szCs w:val="18"/>
              </w:rPr>
              <w:t>Subseq. Year</w:t>
            </w:r>
          </w:p>
        </w:tc>
      </w:tr>
      <w:tr w:rsidR="00B930D0" w:rsidRPr="000973F2" w14:paraId="26FEE644" w14:textId="77777777" w:rsidTr="00B930D0">
        <w:trPr>
          <w:cantSplit/>
        </w:trPr>
        <w:tc>
          <w:tcPr>
            <w:cnfStyle w:val="001000000000" w:firstRow="0" w:lastRow="0" w:firstColumn="1" w:lastColumn="0" w:oddVBand="0" w:evenVBand="0" w:oddHBand="0" w:evenHBand="0" w:firstRowFirstColumn="0" w:firstRowLastColumn="0" w:lastRowFirstColumn="0" w:lastRowLastColumn="0"/>
            <w:tcW w:w="1287" w:type="dxa"/>
            <w:tcMar>
              <w:right w:w="14" w:type="dxa"/>
            </w:tcMar>
            <w:hideMark/>
          </w:tcPr>
          <w:p w14:paraId="5C506F43" w14:textId="77777777" w:rsidR="0025278A" w:rsidRPr="000973F2" w:rsidRDefault="0025278A" w:rsidP="00B930D0">
            <w:pPr>
              <w:spacing w:before="40" w:after="40"/>
              <w:rPr>
                <w:rFonts w:ascii="Times New Roman" w:eastAsia="Times New Roman" w:hAnsi="Times New Roman" w:cs="Times New Roman"/>
                <w:sz w:val="18"/>
                <w:szCs w:val="18"/>
              </w:rPr>
            </w:pPr>
            <w:bookmarkStart w:id="25" w:name="_Hlk522704084"/>
            <w:bookmarkEnd w:id="24"/>
            <w:r w:rsidRPr="000973F2">
              <w:rPr>
                <w:rFonts w:ascii="Times New Roman" w:eastAsia="Times New Roman" w:hAnsi="Times New Roman" w:cs="Times New Roman"/>
                <w:sz w:val="18"/>
                <w:szCs w:val="18"/>
              </w:rPr>
              <w:t>Planning</w:t>
            </w:r>
          </w:p>
        </w:tc>
        <w:tc>
          <w:tcPr>
            <w:tcW w:w="703" w:type="dxa"/>
            <w:noWrap/>
            <w:hideMark/>
          </w:tcPr>
          <w:p w14:paraId="14C93F59" w14:textId="77777777" w:rsidR="0025278A" w:rsidRPr="000973F2" w:rsidRDefault="0025278A" w:rsidP="00B930D0">
            <w:pPr>
              <w:spacing w:before="40" w:after="40"/>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0</w:t>
            </w:r>
          </w:p>
        </w:tc>
        <w:tc>
          <w:tcPr>
            <w:tcW w:w="835" w:type="dxa"/>
            <w:noWrap/>
            <w:hideMark/>
          </w:tcPr>
          <w:p w14:paraId="0790034A" w14:textId="77777777" w:rsidR="0025278A" w:rsidRPr="000973F2" w:rsidRDefault="0025278A" w:rsidP="00B930D0">
            <w:pPr>
              <w:spacing w:before="40" w:after="40"/>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2</w:t>
            </w:r>
          </w:p>
        </w:tc>
        <w:tc>
          <w:tcPr>
            <w:tcW w:w="849" w:type="dxa"/>
            <w:noWrap/>
            <w:hideMark/>
          </w:tcPr>
          <w:p w14:paraId="3ADAEC13" w14:textId="77777777" w:rsidR="0025278A" w:rsidRPr="000973F2" w:rsidRDefault="0025278A" w:rsidP="00B930D0">
            <w:pPr>
              <w:spacing w:before="40" w:after="40"/>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0</w:t>
            </w:r>
          </w:p>
        </w:tc>
        <w:tc>
          <w:tcPr>
            <w:tcW w:w="846" w:type="dxa"/>
            <w:noWrap/>
            <w:hideMark/>
          </w:tcPr>
          <w:p w14:paraId="7B9F6599" w14:textId="77777777" w:rsidR="0025278A" w:rsidRPr="000973F2" w:rsidRDefault="0025278A" w:rsidP="00B930D0">
            <w:pPr>
              <w:spacing w:before="40" w:after="40"/>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0</w:t>
            </w:r>
          </w:p>
        </w:tc>
        <w:tc>
          <w:tcPr>
            <w:tcW w:w="757" w:type="dxa"/>
            <w:noWrap/>
            <w:hideMark/>
          </w:tcPr>
          <w:p w14:paraId="2D099079" w14:textId="77777777" w:rsidR="0025278A" w:rsidRPr="000973F2" w:rsidRDefault="0025278A" w:rsidP="00B930D0">
            <w:pPr>
              <w:spacing w:before="40" w:after="40"/>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0</w:t>
            </w:r>
          </w:p>
        </w:tc>
        <w:tc>
          <w:tcPr>
            <w:tcW w:w="918" w:type="dxa"/>
            <w:noWrap/>
            <w:hideMark/>
          </w:tcPr>
          <w:p w14:paraId="62F84F64" w14:textId="77777777" w:rsidR="0025278A" w:rsidRPr="000973F2" w:rsidRDefault="0025278A" w:rsidP="00B930D0">
            <w:pPr>
              <w:spacing w:before="40" w:after="40"/>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0</w:t>
            </w:r>
          </w:p>
        </w:tc>
        <w:tc>
          <w:tcPr>
            <w:tcW w:w="706" w:type="dxa"/>
            <w:noWrap/>
            <w:hideMark/>
          </w:tcPr>
          <w:p w14:paraId="6B0A9C92" w14:textId="77777777" w:rsidR="0025278A" w:rsidRPr="000973F2" w:rsidRDefault="0025278A" w:rsidP="00B930D0">
            <w:pPr>
              <w:spacing w:before="40" w:after="40"/>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0</w:t>
            </w:r>
          </w:p>
        </w:tc>
        <w:tc>
          <w:tcPr>
            <w:tcW w:w="818" w:type="dxa"/>
            <w:noWrap/>
            <w:hideMark/>
          </w:tcPr>
          <w:p w14:paraId="112586CD" w14:textId="77777777" w:rsidR="0025278A" w:rsidRPr="000973F2" w:rsidRDefault="0025278A" w:rsidP="00B930D0">
            <w:pPr>
              <w:spacing w:before="40" w:after="40"/>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0</w:t>
            </w:r>
          </w:p>
        </w:tc>
        <w:tc>
          <w:tcPr>
            <w:tcW w:w="706" w:type="dxa"/>
            <w:noWrap/>
            <w:hideMark/>
          </w:tcPr>
          <w:p w14:paraId="67B12064" w14:textId="48272315" w:rsidR="0025278A" w:rsidRPr="000973F2" w:rsidRDefault="0025278A" w:rsidP="00B930D0">
            <w:pPr>
              <w:spacing w:before="40" w:after="40"/>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$0</w:t>
            </w:r>
          </w:p>
        </w:tc>
        <w:tc>
          <w:tcPr>
            <w:tcW w:w="905" w:type="dxa"/>
            <w:noWrap/>
            <w:hideMark/>
          </w:tcPr>
          <w:p w14:paraId="113485D5" w14:textId="2079CB13" w:rsidR="0025278A" w:rsidRPr="000973F2" w:rsidRDefault="0025278A" w:rsidP="00B930D0">
            <w:pPr>
              <w:spacing w:before="40" w:after="40"/>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$224</w:t>
            </w:r>
          </w:p>
        </w:tc>
      </w:tr>
      <w:bookmarkEnd w:id="25"/>
      <w:tr w:rsidR="00B930D0" w:rsidRPr="000973F2" w14:paraId="7C84F83F" w14:textId="77777777" w:rsidTr="00B930D0">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1287" w:type="dxa"/>
            <w:tcMar>
              <w:right w:w="14" w:type="dxa"/>
            </w:tcMar>
            <w:hideMark/>
          </w:tcPr>
          <w:p w14:paraId="1BD486C9" w14:textId="77777777" w:rsidR="0025278A" w:rsidRPr="000973F2" w:rsidRDefault="0025278A" w:rsidP="00B930D0">
            <w:pPr>
              <w:spacing w:before="40" w:after="4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QA/QC</w:t>
            </w:r>
          </w:p>
        </w:tc>
        <w:tc>
          <w:tcPr>
            <w:tcW w:w="703" w:type="dxa"/>
            <w:noWrap/>
            <w:hideMark/>
          </w:tcPr>
          <w:p w14:paraId="43439CD1" w14:textId="77777777" w:rsidR="0025278A" w:rsidRPr="000973F2" w:rsidRDefault="0025278A" w:rsidP="00B930D0">
            <w:pPr>
              <w:spacing w:before="40" w:after="40"/>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0</w:t>
            </w:r>
          </w:p>
        </w:tc>
        <w:tc>
          <w:tcPr>
            <w:tcW w:w="835" w:type="dxa"/>
            <w:noWrap/>
            <w:hideMark/>
          </w:tcPr>
          <w:p w14:paraId="13E3E8ED" w14:textId="77777777" w:rsidR="0025278A" w:rsidRPr="000973F2" w:rsidRDefault="0025278A" w:rsidP="00B930D0">
            <w:pPr>
              <w:spacing w:before="40" w:after="40"/>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0</w:t>
            </w:r>
          </w:p>
        </w:tc>
        <w:tc>
          <w:tcPr>
            <w:tcW w:w="849" w:type="dxa"/>
            <w:noWrap/>
            <w:hideMark/>
          </w:tcPr>
          <w:p w14:paraId="296B8E43" w14:textId="77777777" w:rsidR="0025278A" w:rsidRPr="000973F2" w:rsidRDefault="0025278A" w:rsidP="00B930D0">
            <w:pPr>
              <w:spacing w:before="40" w:after="40"/>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0</w:t>
            </w:r>
          </w:p>
        </w:tc>
        <w:tc>
          <w:tcPr>
            <w:tcW w:w="846" w:type="dxa"/>
            <w:noWrap/>
            <w:hideMark/>
          </w:tcPr>
          <w:p w14:paraId="1E3D62BB" w14:textId="77777777" w:rsidR="0025278A" w:rsidRPr="000973F2" w:rsidRDefault="0025278A" w:rsidP="00B930D0">
            <w:pPr>
              <w:spacing w:before="40" w:after="40"/>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5.0</w:t>
            </w:r>
          </w:p>
        </w:tc>
        <w:tc>
          <w:tcPr>
            <w:tcW w:w="757" w:type="dxa"/>
            <w:noWrap/>
            <w:hideMark/>
          </w:tcPr>
          <w:p w14:paraId="340150DD" w14:textId="77777777" w:rsidR="0025278A" w:rsidRPr="000973F2" w:rsidRDefault="0025278A" w:rsidP="00B930D0">
            <w:pPr>
              <w:spacing w:before="40" w:after="40"/>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0</w:t>
            </w:r>
          </w:p>
        </w:tc>
        <w:tc>
          <w:tcPr>
            <w:tcW w:w="918" w:type="dxa"/>
            <w:noWrap/>
            <w:hideMark/>
          </w:tcPr>
          <w:p w14:paraId="3187F937" w14:textId="77777777" w:rsidR="0025278A" w:rsidRPr="000973F2" w:rsidRDefault="0025278A" w:rsidP="00B930D0">
            <w:pPr>
              <w:spacing w:before="40" w:after="40"/>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0</w:t>
            </w:r>
          </w:p>
        </w:tc>
        <w:tc>
          <w:tcPr>
            <w:tcW w:w="706" w:type="dxa"/>
            <w:noWrap/>
            <w:hideMark/>
          </w:tcPr>
          <w:p w14:paraId="48707F08" w14:textId="77777777" w:rsidR="0025278A" w:rsidRPr="000973F2" w:rsidRDefault="0025278A" w:rsidP="00B930D0">
            <w:pPr>
              <w:spacing w:before="40" w:after="40"/>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0</w:t>
            </w:r>
          </w:p>
        </w:tc>
        <w:tc>
          <w:tcPr>
            <w:tcW w:w="818" w:type="dxa"/>
            <w:noWrap/>
            <w:hideMark/>
          </w:tcPr>
          <w:p w14:paraId="1EC63DC2" w14:textId="77777777" w:rsidR="0025278A" w:rsidRPr="000973F2" w:rsidRDefault="0025278A" w:rsidP="00B930D0">
            <w:pPr>
              <w:spacing w:before="40" w:after="40"/>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0</w:t>
            </w:r>
          </w:p>
        </w:tc>
        <w:tc>
          <w:tcPr>
            <w:tcW w:w="706" w:type="dxa"/>
            <w:noWrap/>
            <w:hideMark/>
          </w:tcPr>
          <w:p w14:paraId="363C0BE0" w14:textId="1373E15F" w:rsidR="0025278A" w:rsidRPr="000973F2" w:rsidRDefault="0025278A" w:rsidP="00B930D0">
            <w:pPr>
              <w:spacing w:before="40" w:after="40"/>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$0</w:t>
            </w:r>
          </w:p>
        </w:tc>
        <w:tc>
          <w:tcPr>
            <w:tcW w:w="905" w:type="dxa"/>
            <w:noWrap/>
            <w:hideMark/>
          </w:tcPr>
          <w:p w14:paraId="38A06665" w14:textId="5F99C470" w:rsidR="0025278A" w:rsidRPr="000973F2" w:rsidRDefault="0025278A" w:rsidP="00B930D0">
            <w:pPr>
              <w:spacing w:before="40" w:after="40"/>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$437</w:t>
            </w:r>
          </w:p>
        </w:tc>
      </w:tr>
      <w:tr w:rsidR="00B930D0" w:rsidRPr="000973F2" w14:paraId="4ACAA313" w14:textId="77777777" w:rsidTr="00B930D0">
        <w:trPr>
          <w:cantSplit/>
        </w:trPr>
        <w:tc>
          <w:tcPr>
            <w:cnfStyle w:val="001000000000" w:firstRow="0" w:lastRow="0" w:firstColumn="1" w:lastColumn="0" w:oddVBand="0" w:evenVBand="0" w:oddHBand="0" w:evenHBand="0" w:firstRowFirstColumn="0" w:firstRowLastColumn="0" w:lastRowFirstColumn="0" w:lastRowLastColumn="0"/>
            <w:tcW w:w="1287" w:type="dxa"/>
            <w:tcMar>
              <w:right w:w="14" w:type="dxa"/>
            </w:tcMar>
            <w:hideMark/>
          </w:tcPr>
          <w:p w14:paraId="143474A3" w14:textId="77777777" w:rsidR="003E005F" w:rsidRPr="000973F2" w:rsidRDefault="003E005F" w:rsidP="00B930D0">
            <w:pPr>
              <w:spacing w:before="40" w:after="4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Recordkeeping</w:t>
            </w:r>
          </w:p>
        </w:tc>
        <w:tc>
          <w:tcPr>
            <w:tcW w:w="703" w:type="dxa"/>
            <w:noWrap/>
            <w:hideMark/>
          </w:tcPr>
          <w:p w14:paraId="3B6B4C7C" w14:textId="7CED5D84" w:rsidR="003E005F" w:rsidRPr="000973F2" w:rsidRDefault="00B930D0" w:rsidP="00B930D0">
            <w:pPr>
              <w:spacing w:before="40" w:after="40"/>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w:t>
            </w:r>
          </w:p>
        </w:tc>
        <w:tc>
          <w:tcPr>
            <w:tcW w:w="835" w:type="dxa"/>
            <w:noWrap/>
            <w:hideMark/>
          </w:tcPr>
          <w:p w14:paraId="1E61FE86" w14:textId="0CB7E601" w:rsidR="003E005F" w:rsidRPr="000973F2" w:rsidRDefault="00B930D0" w:rsidP="00B930D0">
            <w:pPr>
              <w:spacing w:before="40" w:after="40"/>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w:t>
            </w:r>
          </w:p>
        </w:tc>
        <w:tc>
          <w:tcPr>
            <w:tcW w:w="849" w:type="dxa"/>
            <w:noWrap/>
            <w:hideMark/>
          </w:tcPr>
          <w:p w14:paraId="306E2D7A" w14:textId="314B1FC5" w:rsidR="003E005F" w:rsidRPr="000973F2" w:rsidRDefault="00B930D0" w:rsidP="00B930D0">
            <w:pPr>
              <w:spacing w:before="40" w:after="40"/>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w:t>
            </w:r>
          </w:p>
        </w:tc>
        <w:tc>
          <w:tcPr>
            <w:tcW w:w="846" w:type="dxa"/>
            <w:noWrap/>
            <w:hideMark/>
          </w:tcPr>
          <w:p w14:paraId="0DD37026" w14:textId="0F289991" w:rsidR="003E005F" w:rsidRPr="000973F2" w:rsidRDefault="00B930D0" w:rsidP="00B930D0">
            <w:pPr>
              <w:spacing w:before="40" w:after="40"/>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w:t>
            </w:r>
          </w:p>
        </w:tc>
        <w:tc>
          <w:tcPr>
            <w:tcW w:w="757" w:type="dxa"/>
            <w:noWrap/>
            <w:hideMark/>
          </w:tcPr>
          <w:p w14:paraId="03821895" w14:textId="1C3EC401" w:rsidR="003E005F" w:rsidRPr="000973F2" w:rsidRDefault="00B930D0" w:rsidP="00B930D0">
            <w:pPr>
              <w:spacing w:before="40" w:after="40"/>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w:t>
            </w:r>
          </w:p>
        </w:tc>
        <w:tc>
          <w:tcPr>
            <w:tcW w:w="918" w:type="dxa"/>
            <w:noWrap/>
            <w:hideMark/>
          </w:tcPr>
          <w:p w14:paraId="30F5B724" w14:textId="173AA095" w:rsidR="003E005F" w:rsidRPr="000973F2" w:rsidRDefault="00B930D0" w:rsidP="00B930D0">
            <w:pPr>
              <w:spacing w:before="40" w:after="40"/>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w:t>
            </w:r>
          </w:p>
        </w:tc>
        <w:tc>
          <w:tcPr>
            <w:tcW w:w="706" w:type="dxa"/>
            <w:noWrap/>
            <w:hideMark/>
          </w:tcPr>
          <w:p w14:paraId="5D7F9D98" w14:textId="0FFDCC40" w:rsidR="003E005F" w:rsidRPr="000973F2" w:rsidRDefault="00B930D0" w:rsidP="00B930D0">
            <w:pPr>
              <w:spacing w:before="40" w:after="40"/>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w:t>
            </w:r>
          </w:p>
        </w:tc>
        <w:tc>
          <w:tcPr>
            <w:tcW w:w="818" w:type="dxa"/>
            <w:noWrap/>
            <w:hideMark/>
          </w:tcPr>
          <w:p w14:paraId="03CDAEEF" w14:textId="63891A75" w:rsidR="003E005F" w:rsidRPr="000973F2" w:rsidRDefault="00B930D0" w:rsidP="00B930D0">
            <w:pPr>
              <w:spacing w:before="40" w:after="40"/>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w:t>
            </w:r>
          </w:p>
        </w:tc>
        <w:tc>
          <w:tcPr>
            <w:tcW w:w="706" w:type="dxa"/>
            <w:noWrap/>
            <w:hideMark/>
          </w:tcPr>
          <w:p w14:paraId="04BCAAB8" w14:textId="3C9B24BC" w:rsidR="003E005F" w:rsidRPr="000973F2" w:rsidRDefault="00B930D0" w:rsidP="00B930D0">
            <w:pPr>
              <w:spacing w:before="40" w:after="40"/>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w:t>
            </w:r>
          </w:p>
        </w:tc>
        <w:tc>
          <w:tcPr>
            <w:tcW w:w="905" w:type="dxa"/>
            <w:noWrap/>
            <w:hideMark/>
          </w:tcPr>
          <w:p w14:paraId="54EE088B" w14:textId="0C9C52BE" w:rsidR="003E005F" w:rsidRPr="000973F2" w:rsidRDefault="00B930D0" w:rsidP="00B930D0">
            <w:pPr>
              <w:spacing w:before="40" w:after="40"/>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w:t>
            </w:r>
          </w:p>
        </w:tc>
      </w:tr>
      <w:tr w:rsidR="00B930D0" w:rsidRPr="000973F2" w14:paraId="3F92DED6" w14:textId="77777777" w:rsidTr="00B930D0">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1287" w:type="dxa"/>
            <w:tcMar>
              <w:right w:w="14" w:type="dxa"/>
            </w:tcMar>
            <w:hideMark/>
          </w:tcPr>
          <w:p w14:paraId="5ADEDCED" w14:textId="77777777" w:rsidR="0025278A" w:rsidRPr="000973F2" w:rsidRDefault="0025278A" w:rsidP="00B930D0">
            <w:pPr>
              <w:spacing w:before="40" w:after="4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Sampling and Analysis (Calculations)</w:t>
            </w:r>
          </w:p>
        </w:tc>
        <w:tc>
          <w:tcPr>
            <w:tcW w:w="703" w:type="dxa"/>
            <w:noWrap/>
            <w:hideMark/>
          </w:tcPr>
          <w:p w14:paraId="32CE65D0" w14:textId="77777777" w:rsidR="0025278A" w:rsidRPr="000973F2" w:rsidRDefault="0025278A" w:rsidP="00B930D0">
            <w:pPr>
              <w:spacing w:before="40" w:after="40"/>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0</w:t>
            </w:r>
          </w:p>
        </w:tc>
        <w:tc>
          <w:tcPr>
            <w:tcW w:w="835" w:type="dxa"/>
            <w:noWrap/>
            <w:hideMark/>
          </w:tcPr>
          <w:p w14:paraId="33249DC0" w14:textId="77777777" w:rsidR="0025278A" w:rsidRPr="000973F2" w:rsidRDefault="0025278A" w:rsidP="00B930D0">
            <w:pPr>
              <w:spacing w:before="40" w:after="40"/>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0</w:t>
            </w:r>
          </w:p>
        </w:tc>
        <w:tc>
          <w:tcPr>
            <w:tcW w:w="849" w:type="dxa"/>
            <w:noWrap/>
            <w:hideMark/>
          </w:tcPr>
          <w:p w14:paraId="1EC4A9A4" w14:textId="77777777" w:rsidR="0025278A" w:rsidRPr="000973F2" w:rsidRDefault="0025278A" w:rsidP="00B930D0">
            <w:pPr>
              <w:spacing w:before="40" w:after="40"/>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0</w:t>
            </w:r>
          </w:p>
        </w:tc>
        <w:tc>
          <w:tcPr>
            <w:tcW w:w="846" w:type="dxa"/>
            <w:noWrap/>
            <w:hideMark/>
          </w:tcPr>
          <w:p w14:paraId="79ACB8B7" w14:textId="77777777" w:rsidR="0025278A" w:rsidRPr="000973F2" w:rsidRDefault="0025278A" w:rsidP="00B930D0">
            <w:pPr>
              <w:spacing w:before="40" w:after="40"/>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18.2</w:t>
            </w:r>
          </w:p>
        </w:tc>
        <w:tc>
          <w:tcPr>
            <w:tcW w:w="757" w:type="dxa"/>
            <w:noWrap/>
            <w:hideMark/>
          </w:tcPr>
          <w:p w14:paraId="723730E6" w14:textId="77777777" w:rsidR="0025278A" w:rsidRPr="000973F2" w:rsidRDefault="0025278A" w:rsidP="00B930D0">
            <w:pPr>
              <w:spacing w:before="40" w:after="40"/>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0</w:t>
            </w:r>
          </w:p>
        </w:tc>
        <w:tc>
          <w:tcPr>
            <w:tcW w:w="918" w:type="dxa"/>
            <w:noWrap/>
            <w:hideMark/>
          </w:tcPr>
          <w:p w14:paraId="4A5BE176" w14:textId="77777777" w:rsidR="0025278A" w:rsidRPr="000973F2" w:rsidRDefault="0025278A" w:rsidP="00B930D0">
            <w:pPr>
              <w:spacing w:before="40" w:after="40"/>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363</w:t>
            </w:r>
          </w:p>
        </w:tc>
        <w:tc>
          <w:tcPr>
            <w:tcW w:w="706" w:type="dxa"/>
            <w:noWrap/>
            <w:hideMark/>
          </w:tcPr>
          <w:p w14:paraId="41E55A16" w14:textId="77777777" w:rsidR="0025278A" w:rsidRPr="000973F2" w:rsidRDefault="0025278A" w:rsidP="00B930D0">
            <w:pPr>
              <w:spacing w:before="40" w:after="40"/>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0</w:t>
            </w:r>
          </w:p>
        </w:tc>
        <w:tc>
          <w:tcPr>
            <w:tcW w:w="818" w:type="dxa"/>
            <w:noWrap/>
            <w:hideMark/>
          </w:tcPr>
          <w:p w14:paraId="16BDDF41" w14:textId="77777777" w:rsidR="0025278A" w:rsidRPr="000973F2" w:rsidRDefault="0025278A" w:rsidP="00B930D0">
            <w:pPr>
              <w:spacing w:before="40" w:after="40"/>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36.3</w:t>
            </w:r>
          </w:p>
        </w:tc>
        <w:tc>
          <w:tcPr>
            <w:tcW w:w="706" w:type="dxa"/>
            <w:noWrap/>
            <w:hideMark/>
          </w:tcPr>
          <w:p w14:paraId="0D2A6B40" w14:textId="2911EF1B" w:rsidR="0025278A" w:rsidRPr="000973F2" w:rsidRDefault="0025278A" w:rsidP="00B930D0">
            <w:pPr>
              <w:spacing w:before="40" w:after="40"/>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$0</w:t>
            </w:r>
          </w:p>
        </w:tc>
        <w:tc>
          <w:tcPr>
            <w:tcW w:w="905" w:type="dxa"/>
            <w:noWrap/>
            <w:hideMark/>
          </w:tcPr>
          <w:p w14:paraId="2F61374A" w14:textId="300EA04C" w:rsidR="0025278A" w:rsidRPr="000973F2" w:rsidRDefault="0025278A" w:rsidP="00B930D0">
            <w:pPr>
              <w:spacing w:before="40" w:after="40"/>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$28,841</w:t>
            </w:r>
          </w:p>
        </w:tc>
      </w:tr>
      <w:tr w:rsidR="00B930D0" w:rsidRPr="000973F2" w14:paraId="7425C3D9" w14:textId="77777777" w:rsidTr="00B930D0">
        <w:trPr>
          <w:cantSplit/>
        </w:trPr>
        <w:tc>
          <w:tcPr>
            <w:cnfStyle w:val="001000000000" w:firstRow="0" w:lastRow="0" w:firstColumn="1" w:lastColumn="0" w:oddVBand="0" w:evenVBand="0" w:oddHBand="0" w:evenHBand="0" w:firstRowFirstColumn="0" w:firstRowLastColumn="0" w:lastRowFirstColumn="0" w:lastRowLastColumn="0"/>
            <w:tcW w:w="1287" w:type="dxa"/>
            <w:tcMar>
              <w:right w:w="14" w:type="dxa"/>
            </w:tcMar>
            <w:hideMark/>
          </w:tcPr>
          <w:p w14:paraId="007B8021" w14:textId="77777777" w:rsidR="003E005F" w:rsidRPr="000973F2" w:rsidRDefault="003E005F" w:rsidP="00B930D0">
            <w:pPr>
              <w:spacing w:before="40" w:after="4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Reporting</w:t>
            </w:r>
          </w:p>
        </w:tc>
        <w:tc>
          <w:tcPr>
            <w:tcW w:w="703" w:type="dxa"/>
            <w:noWrap/>
            <w:hideMark/>
          </w:tcPr>
          <w:p w14:paraId="1CEF10F0" w14:textId="12D4FED2" w:rsidR="003E005F" w:rsidRPr="000973F2" w:rsidRDefault="00B930D0" w:rsidP="00B930D0">
            <w:pPr>
              <w:spacing w:before="40" w:after="40"/>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w:t>
            </w:r>
          </w:p>
        </w:tc>
        <w:tc>
          <w:tcPr>
            <w:tcW w:w="835" w:type="dxa"/>
            <w:noWrap/>
            <w:hideMark/>
          </w:tcPr>
          <w:p w14:paraId="1A697B57" w14:textId="165E7B17" w:rsidR="003E005F" w:rsidRPr="000973F2" w:rsidRDefault="00B930D0" w:rsidP="00B930D0">
            <w:pPr>
              <w:spacing w:before="40" w:after="40"/>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w:t>
            </w:r>
          </w:p>
        </w:tc>
        <w:tc>
          <w:tcPr>
            <w:tcW w:w="849" w:type="dxa"/>
            <w:noWrap/>
            <w:hideMark/>
          </w:tcPr>
          <w:p w14:paraId="5BAD87C4" w14:textId="6C0CDAF8" w:rsidR="003E005F" w:rsidRPr="000973F2" w:rsidRDefault="00B930D0" w:rsidP="00B930D0">
            <w:pPr>
              <w:spacing w:before="40" w:after="40"/>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w:t>
            </w:r>
          </w:p>
        </w:tc>
        <w:tc>
          <w:tcPr>
            <w:tcW w:w="846" w:type="dxa"/>
            <w:noWrap/>
            <w:hideMark/>
          </w:tcPr>
          <w:p w14:paraId="2B3E5384" w14:textId="673D854A" w:rsidR="003E005F" w:rsidRPr="000973F2" w:rsidRDefault="00B930D0" w:rsidP="00B930D0">
            <w:pPr>
              <w:spacing w:before="40" w:after="40"/>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w:t>
            </w:r>
          </w:p>
        </w:tc>
        <w:tc>
          <w:tcPr>
            <w:tcW w:w="757" w:type="dxa"/>
            <w:noWrap/>
            <w:hideMark/>
          </w:tcPr>
          <w:p w14:paraId="1116C0EE" w14:textId="37CDB2CD" w:rsidR="003E005F" w:rsidRPr="000973F2" w:rsidRDefault="00B930D0" w:rsidP="00B930D0">
            <w:pPr>
              <w:spacing w:before="40" w:after="40"/>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w:t>
            </w:r>
          </w:p>
        </w:tc>
        <w:tc>
          <w:tcPr>
            <w:tcW w:w="918" w:type="dxa"/>
            <w:noWrap/>
            <w:hideMark/>
          </w:tcPr>
          <w:p w14:paraId="30F41300" w14:textId="69841D43" w:rsidR="003E005F" w:rsidRPr="000973F2" w:rsidRDefault="00B930D0" w:rsidP="00B930D0">
            <w:pPr>
              <w:spacing w:before="40" w:after="40"/>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w:t>
            </w:r>
          </w:p>
        </w:tc>
        <w:tc>
          <w:tcPr>
            <w:tcW w:w="706" w:type="dxa"/>
            <w:noWrap/>
            <w:hideMark/>
          </w:tcPr>
          <w:p w14:paraId="1E89A4BE" w14:textId="613A4306" w:rsidR="003E005F" w:rsidRPr="000973F2" w:rsidRDefault="00B930D0" w:rsidP="00B930D0">
            <w:pPr>
              <w:spacing w:before="40" w:after="40"/>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w:t>
            </w:r>
          </w:p>
        </w:tc>
        <w:tc>
          <w:tcPr>
            <w:tcW w:w="818" w:type="dxa"/>
            <w:noWrap/>
            <w:hideMark/>
          </w:tcPr>
          <w:p w14:paraId="2181DA47" w14:textId="5193C30C" w:rsidR="003E005F" w:rsidRPr="000973F2" w:rsidRDefault="00B930D0" w:rsidP="00B930D0">
            <w:pPr>
              <w:spacing w:before="40" w:after="40"/>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w:t>
            </w:r>
          </w:p>
        </w:tc>
        <w:tc>
          <w:tcPr>
            <w:tcW w:w="706" w:type="dxa"/>
            <w:noWrap/>
            <w:hideMark/>
          </w:tcPr>
          <w:p w14:paraId="0D9F93B0" w14:textId="3DDD7580" w:rsidR="003E005F" w:rsidRPr="000973F2" w:rsidRDefault="00B930D0" w:rsidP="00B930D0">
            <w:pPr>
              <w:spacing w:before="40" w:after="40"/>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w:t>
            </w:r>
          </w:p>
        </w:tc>
        <w:tc>
          <w:tcPr>
            <w:tcW w:w="905" w:type="dxa"/>
            <w:noWrap/>
            <w:hideMark/>
          </w:tcPr>
          <w:p w14:paraId="3DF17BC3" w14:textId="13CA04CF" w:rsidR="003E005F" w:rsidRPr="000973F2" w:rsidRDefault="00B930D0" w:rsidP="00B930D0">
            <w:pPr>
              <w:spacing w:before="40" w:after="40"/>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w:t>
            </w:r>
          </w:p>
        </w:tc>
      </w:tr>
      <w:tr w:rsidR="00B930D0" w:rsidRPr="000973F2" w14:paraId="5531DBEE" w14:textId="77777777" w:rsidTr="00B930D0">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1287" w:type="dxa"/>
            <w:noWrap/>
            <w:tcMar>
              <w:right w:w="14" w:type="dxa"/>
            </w:tcMar>
            <w:hideMark/>
          </w:tcPr>
          <w:p w14:paraId="67D75E21" w14:textId="77777777" w:rsidR="0025278A" w:rsidRPr="000973F2" w:rsidRDefault="0025278A" w:rsidP="00B930D0">
            <w:pPr>
              <w:spacing w:before="40" w:after="40"/>
              <w:rPr>
                <w:rFonts w:ascii="Times New Roman" w:eastAsia="Times New Roman" w:hAnsi="Times New Roman" w:cs="Times New Roman"/>
                <w:b/>
                <w:bCs w:val="0"/>
                <w:sz w:val="18"/>
                <w:szCs w:val="18"/>
              </w:rPr>
            </w:pPr>
            <w:r w:rsidRPr="000973F2">
              <w:rPr>
                <w:rFonts w:ascii="Times New Roman" w:eastAsia="Times New Roman" w:hAnsi="Times New Roman" w:cs="Times New Roman"/>
                <w:b/>
                <w:sz w:val="18"/>
                <w:szCs w:val="18"/>
              </w:rPr>
              <w:t>Total</w:t>
            </w:r>
          </w:p>
        </w:tc>
        <w:tc>
          <w:tcPr>
            <w:tcW w:w="703" w:type="dxa"/>
            <w:noWrap/>
            <w:hideMark/>
          </w:tcPr>
          <w:p w14:paraId="4C431365" w14:textId="77777777" w:rsidR="0025278A" w:rsidRPr="000973F2" w:rsidRDefault="0025278A" w:rsidP="00B930D0">
            <w:pPr>
              <w:spacing w:before="40" w:after="40"/>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18"/>
                <w:szCs w:val="18"/>
              </w:rPr>
            </w:pPr>
            <w:r w:rsidRPr="000973F2">
              <w:rPr>
                <w:rFonts w:ascii="Times New Roman" w:eastAsia="Times New Roman" w:hAnsi="Times New Roman" w:cs="Times New Roman"/>
                <w:b/>
                <w:bCs/>
                <w:sz w:val="18"/>
                <w:szCs w:val="18"/>
              </w:rPr>
              <w:t>0</w:t>
            </w:r>
          </w:p>
        </w:tc>
        <w:tc>
          <w:tcPr>
            <w:tcW w:w="835" w:type="dxa"/>
            <w:noWrap/>
            <w:hideMark/>
          </w:tcPr>
          <w:p w14:paraId="444BE9C0" w14:textId="77777777" w:rsidR="0025278A" w:rsidRPr="000973F2" w:rsidRDefault="0025278A" w:rsidP="00B930D0">
            <w:pPr>
              <w:spacing w:before="40" w:after="40"/>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18"/>
                <w:szCs w:val="18"/>
              </w:rPr>
            </w:pPr>
            <w:r w:rsidRPr="000973F2">
              <w:rPr>
                <w:rFonts w:ascii="Times New Roman" w:eastAsia="Times New Roman" w:hAnsi="Times New Roman" w:cs="Times New Roman"/>
                <w:b/>
                <w:bCs/>
                <w:sz w:val="18"/>
                <w:szCs w:val="18"/>
              </w:rPr>
              <w:t>2</w:t>
            </w:r>
          </w:p>
        </w:tc>
        <w:tc>
          <w:tcPr>
            <w:tcW w:w="849" w:type="dxa"/>
            <w:noWrap/>
            <w:hideMark/>
          </w:tcPr>
          <w:p w14:paraId="2F533F58" w14:textId="77777777" w:rsidR="0025278A" w:rsidRPr="000973F2" w:rsidRDefault="0025278A" w:rsidP="00B930D0">
            <w:pPr>
              <w:spacing w:before="40" w:after="40"/>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18"/>
                <w:szCs w:val="18"/>
              </w:rPr>
            </w:pPr>
            <w:r w:rsidRPr="000973F2">
              <w:rPr>
                <w:rFonts w:ascii="Times New Roman" w:eastAsia="Times New Roman" w:hAnsi="Times New Roman" w:cs="Times New Roman"/>
                <w:b/>
                <w:bCs/>
                <w:sz w:val="18"/>
                <w:szCs w:val="18"/>
              </w:rPr>
              <w:t>0</w:t>
            </w:r>
          </w:p>
        </w:tc>
        <w:tc>
          <w:tcPr>
            <w:tcW w:w="846" w:type="dxa"/>
            <w:noWrap/>
            <w:hideMark/>
          </w:tcPr>
          <w:p w14:paraId="27B1EF95" w14:textId="77777777" w:rsidR="0025278A" w:rsidRPr="000973F2" w:rsidRDefault="0025278A" w:rsidP="00B930D0">
            <w:pPr>
              <w:spacing w:before="40" w:after="40"/>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18"/>
                <w:szCs w:val="18"/>
              </w:rPr>
            </w:pPr>
            <w:r w:rsidRPr="000973F2">
              <w:rPr>
                <w:rFonts w:ascii="Times New Roman" w:eastAsia="Times New Roman" w:hAnsi="Times New Roman" w:cs="Times New Roman"/>
                <w:b/>
                <w:bCs/>
                <w:sz w:val="18"/>
                <w:szCs w:val="18"/>
              </w:rPr>
              <w:t>23.2</w:t>
            </w:r>
          </w:p>
        </w:tc>
        <w:tc>
          <w:tcPr>
            <w:tcW w:w="757" w:type="dxa"/>
            <w:noWrap/>
            <w:hideMark/>
          </w:tcPr>
          <w:p w14:paraId="7040EE15" w14:textId="77777777" w:rsidR="0025278A" w:rsidRPr="000973F2" w:rsidRDefault="0025278A" w:rsidP="00B930D0">
            <w:pPr>
              <w:spacing w:before="40" w:after="40"/>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18"/>
                <w:szCs w:val="18"/>
              </w:rPr>
            </w:pPr>
            <w:r w:rsidRPr="000973F2">
              <w:rPr>
                <w:rFonts w:ascii="Times New Roman" w:eastAsia="Times New Roman" w:hAnsi="Times New Roman" w:cs="Times New Roman"/>
                <w:b/>
                <w:bCs/>
                <w:sz w:val="18"/>
                <w:szCs w:val="18"/>
              </w:rPr>
              <w:t>0</w:t>
            </w:r>
          </w:p>
        </w:tc>
        <w:tc>
          <w:tcPr>
            <w:tcW w:w="918" w:type="dxa"/>
            <w:noWrap/>
            <w:hideMark/>
          </w:tcPr>
          <w:p w14:paraId="05FA9C5C" w14:textId="77777777" w:rsidR="0025278A" w:rsidRPr="000973F2" w:rsidRDefault="0025278A" w:rsidP="00B930D0">
            <w:pPr>
              <w:spacing w:before="40" w:after="40"/>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18"/>
                <w:szCs w:val="18"/>
              </w:rPr>
            </w:pPr>
            <w:r w:rsidRPr="000973F2">
              <w:rPr>
                <w:rFonts w:ascii="Times New Roman" w:eastAsia="Times New Roman" w:hAnsi="Times New Roman" w:cs="Times New Roman"/>
                <w:b/>
                <w:bCs/>
                <w:sz w:val="18"/>
                <w:szCs w:val="18"/>
              </w:rPr>
              <w:t>363</w:t>
            </w:r>
          </w:p>
        </w:tc>
        <w:tc>
          <w:tcPr>
            <w:tcW w:w="706" w:type="dxa"/>
            <w:noWrap/>
            <w:hideMark/>
          </w:tcPr>
          <w:p w14:paraId="7A4D2B4B" w14:textId="77777777" w:rsidR="0025278A" w:rsidRPr="000973F2" w:rsidRDefault="0025278A" w:rsidP="00B930D0">
            <w:pPr>
              <w:spacing w:before="40" w:after="40"/>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18"/>
                <w:szCs w:val="18"/>
              </w:rPr>
            </w:pPr>
            <w:r w:rsidRPr="000973F2">
              <w:rPr>
                <w:rFonts w:ascii="Times New Roman" w:eastAsia="Times New Roman" w:hAnsi="Times New Roman" w:cs="Times New Roman"/>
                <w:b/>
                <w:bCs/>
                <w:sz w:val="18"/>
                <w:szCs w:val="18"/>
              </w:rPr>
              <w:t>0</w:t>
            </w:r>
          </w:p>
        </w:tc>
        <w:tc>
          <w:tcPr>
            <w:tcW w:w="818" w:type="dxa"/>
            <w:noWrap/>
            <w:hideMark/>
          </w:tcPr>
          <w:p w14:paraId="7D82CD16" w14:textId="77777777" w:rsidR="0025278A" w:rsidRPr="000973F2" w:rsidRDefault="0025278A" w:rsidP="00B930D0">
            <w:pPr>
              <w:spacing w:before="40" w:after="40"/>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18"/>
                <w:szCs w:val="18"/>
              </w:rPr>
            </w:pPr>
            <w:r w:rsidRPr="000973F2">
              <w:rPr>
                <w:rFonts w:ascii="Times New Roman" w:eastAsia="Times New Roman" w:hAnsi="Times New Roman" w:cs="Times New Roman"/>
                <w:b/>
                <w:bCs/>
                <w:sz w:val="18"/>
                <w:szCs w:val="18"/>
              </w:rPr>
              <w:t>36.3</w:t>
            </w:r>
          </w:p>
        </w:tc>
        <w:tc>
          <w:tcPr>
            <w:tcW w:w="706" w:type="dxa"/>
            <w:noWrap/>
            <w:hideMark/>
          </w:tcPr>
          <w:p w14:paraId="1E02B41D" w14:textId="3C285402" w:rsidR="0025278A" w:rsidRPr="000973F2" w:rsidRDefault="0025278A" w:rsidP="00B930D0">
            <w:pPr>
              <w:spacing w:before="40" w:after="40"/>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18"/>
                <w:szCs w:val="18"/>
              </w:rPr>
            </w:pPr>
            <w:r w:rsidRPr="000973F2">
              <w:rPr>
                <w:rFonts w:ascii="Times New Roman" w:eastAsia="Times New Roman" w:hAnsi="Times New Roman" w:cs="Times New Roman"/>
                <w:b/>
                <w:bCs/>
                <w:sz w:val="18"/>
                <w:szCs w:val="18"/>
              </w:rPr>
              <w:t>$0</w:t>
            </w:r>
          </w:p>
        </w:tc>
        <w:tc>
          <w:tcPr>
            <w:tcW w:w="905" w:type="dxa"/>
            <w:noWrap/>
            <w:hideMark/>
          </w:tcPr>
          <w:p w14:paraId="68C47E65" w14:textId="722BA6BE" w:rsidR="0025278A" w:rsidRPr="000973F2" w:rsidRDefault="0025278A" w:rsidP="00B930D0">
            <w:pPr>
              <w:spacing w:before="40" w:after="40"/>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18"/>
                <w:szCs w:val="18"/>
              </w:rPr>
            </w:pPr>
            <w:r w:rsidRPr="000973F2">
              <w:rPr>
                <w:rFonts w:ascii="Times New Roman" w:eastAsia="Times New Roman" w:hAnsi="Times New Roman" w:cs="Times New Roman"/>
                <w:b/>
                <w:bCs/>
                <w:sz w:val="18"/>
                <w:szCs w:val="18"/>
              </w:rPr>
              <w:t>$29,502</w:t>
            </w:r>
          </w:p>
        </w:tc>
      </w:tr>
    </w:tbl>
    <w:p w14:paraId="74CF213C" w14:textId="48FF7A42" w:rsidR="0025278A" w:rsidRPr="000973F2" w:rsidRDefault="0025278A" w:rsidP="00B930D0">
      <w:pPr>
        <w:pStyle w:val="AfterTable"/>
      </w:pPr>
    </w:p>
    <w:p w14:paraId="18921DCB" w14:textId="77777777" w:rsidR="00B930D0" w:rsidRPr="000973F2" w:rsidRDefault="00B930D0">
      <w:pPr>
        <w:rPr>
          <w:rFonts w:ascii="Times New Roman" w:hAnsi="Times New Roman" w:cs="Times New Roman"/>
          <w:b/>
          <w:i/>
          <w:iCs/>
          <w:szCs w:val="24"/>
        </w:rPr>
      </w:pPr>
      <w:r w:rsidRPr="000973F2">
        <w:rPr>
          <w:rFonts w:ascii="Times New Roman" w:hAnsi="Times New Roman" w:cs="Times New Roman"/>
          <w:b/>
          <w:i/>
          <w:iCs/>
          <w:szCs w:val="24"/>
        </w:rPr>
        <w:br w:type="page"/>
      </w:r>
    </w:p>
    <w:p w14:paraId="493AEA97" w14:textId="499C9F25" w:rsidR="0025278A" w:rsidRPr="000973F2" w:rsidRDefault="0025278A" w:rsidP="00C00E4F">
      <w:pPr>
        <w:spacing w:line="240" w:lineRule="auto"/>
        <w:rPr>
          <w:rFonts w:ascii="Times New Roman" w:hAnsi="Times New Roman" w:cs="Times New Roman"/>
          <w:b/>
          <w:szCs w:val="24"/>
        </w:rPr>
      </w:pPr>
      <w:r w:rsidRPr="000973F2">
        <w:rPr>
          <w:rFonts w:ascii="Times New Roman" w:hAnsi="Times New Roman" w:cs="Times New Roman"/>
          <w:b/>
          <w:i/>
          <w:iCs/>
          <w:szCs w:val="24"/>
        </w:rPr>
        <w:t>Labor Costs for Subpart L – Estimating Container Venting Emissions</w:t>
      </w:r>
    </w:p>
    <w:p w14:paraId="5E3D83ED" w14:textId="2F3C0194" w:rsidR="0028722E" w:rsidRPr="000973F2" w:rsidRDefault="0025278A" w:rsidP="00B930D0">
      <w:pPr>
        <w:pStyle w:val="BodyText"/>
        <w:rPr>
          <w:rFonts w:eastAsia="Times New Roman"/>
          <w:b/>
          <w:bCs/>
          <w:szCs w:val="20"/>
        </w:rPr>
      </w:pPr>
      <w:r w:rsidRPr="000973F2">
        <w:t xml:space="preserve">For the six facilities expected to conduct container venting emissions estimates each year of this ICR, the labor costs are provided in Table </w:t>
      </w:r>
      <w:r w:rsidR="00002786" w:rsidRPr="000973F2">
        <w:t>L-</w:t>
      </w:r>
      <w:r w:rsidRPr="000973F2">
        <w:t xml:space="preserve">1g and are assumed to be the same for each facility regardless of size. Typical activities for the planning, QA/QC and sampling and analysis labor categories are discussed in the Cost Appendix Introduction. No additional hours are allocated for the recordkeeping or reporting labor categories, as these are already addressed in Table </w:t>
      </w:r>
      <w:r w:rsidR="00002786" w:rsidRPr="000973F2">
        <w:t>L-</w:t>
      </w:r>
      <w:r w:rsidRPr="000973F2">
        <w:t>1a.</w:t>
      </w:r>
    </w:p>
    <w:p w14:paraId="050105FA" w14:textId="56326D5F" w:rsidR="00C45420" w:rsidRPr="000973F2" w:rsidRDefault="00C45420" w:rsidP="00B930D0">
      <w:pPr>
        <w:pStyle w:val="Tabletitle"/>
        <w:rPr>
          <w:sz w:val="24"/>
          <w:szCs w:val="24"/>
        </w:rPr>
      </w:pPr>
      <w:r w:rsidRPr="000973F2">
        <w:t xml:space="preserve">Table </w:t>
      </w:r>
      <w:r w:rsidR="00B930D0" w:rsidRPr="000973F2">
        <w:t>L-</w:t>
      </w:r>
      <w:r w:rsidRPr="000973F2">
        <w:t xml:space="preserve">1g. Labor Costs </w:t>
      </w:r>
      <w:r w:rsidR="00991D74" w:rsidRPr="000973F2">
        <w:t>–</w:t>
      </w:r>
      <w:r w:rsidRPr="000973F2">
        <w:t xml:space="preserve"> Subpart L </w:t>
      </w:r>
      <w:r w:rsidR="00146C80" w:rsidRPr="000973F2">
        <w:t xml:space="preserve">– </w:t>
      </w:r>
      <w:r w:rsidRPr="000973F2">
        <w:t>Estimating Container Venting Emissions</w:t>
      </w:r>
    </w:p>
    <w:tbl>
      <w:tblPr>
        <w:tblStyle w:val="PlainTable1"/>
        <w:tblW w:w="5000" w:type="pct"/>
        <w:jc w:val="left"/>
        <w:tblLayout w:type="fixed"/>
        <w:tblLook w:val="04A0" w:firstRow="1" w:lastRow="0" w:firstColumn="1" w:lastColumn="0" w:noHBand="0" w:noVBand="1"/>
      </w:tblPr>
      <w:tblGrid>
        <w:gridCol w:w="1367"/>
        <w:gridCol w:w="830"/>
        <w:gridCol w:w="831"/>
        <w:gridCol w:w="830"/>
        <w:gridCol w:w="830"/>
        <w:gridCol w:w="829"/>
        <w:gridCol w:w="830"/>
        <w:gridCol w:w="830"/>
        <w:gridCol w:w="830"/>
        <w:gridCol w:w="719"/>
        <w:gridCol w:w="850"/>
      </w:tblGrid>
      <w:tr w:rsidR="0025278A" w:rsidRPr="000973F2" w14:paraId="3C3E9DE6" w14:textId="77777777" w:rsidTr="00B930D0">
        <w:trPr>
          <w:cnfStyle w:val="100000000000" w:firstRow="1" w:lastRow="0" w:firstColumn="0" w:lastColumn="0" w:oddVBand="0" w:evenVBand="0" w:oddHBand="0" w:evenHBand="0" w:firstRowFirstColumn="0" w:firstRowLastColumn="0" w:lastRowFirstColumn="0" w:lastRowLastColumn="0"/>
          <w:cantSplit/>
          <w:jc w:val="left"/>
        </w:trPr>
        <w:tc>
          <w:tcPr>
            <w:cnfStyle w:val="001000000000" w:firstRow="0" w:lastRow="0" w:firstColumn="1" w:lastColumn="0" w:oddVBand="0" w:evenVBand="0" w:oddHBand="0" w:evenHBand="0" w:firstRowFirstColumn="0" w:firstRowLastColumn="0" w:lastRowFirstColumn="0" w:lastRowLastColumn="0"/>
            <w:tcW w:w="1331" w:type="dxa"/>
            <w:vMerge w:val="restart"/>
            <w:noWrap/>
            <w:vAlign w:val="top"/>
            <w:hideMark/>
          </w:tcPr>
          <w:p w14:paraId="005BEB48" w14:textId="77777777" w:rsidR="0025278A" w:rsidRPr="000973F2" w:rsidRDefault="0025278A" w:rsidP="00B930D0">
            <w:pPr>
              <w:spacing w:before="40" w:after="40"/>
              <w:rPr>
                <w:rFonts w:ascii="Times New Roman" w:eastAsia="Times New Roman" w:hAnsi="Times New Roman" w:cs="Times New Roman"/>
                <w:bCs w:val="0"/>
                <w:sz w:val="18"/>
                <w:szCs w:val="18"/>
              </w:rPr>
            </w:pPr>
            <w:r w:rsidRPr="000973F2">
              <w:rPr>
                <w:rFonts w:ascii="Times New Roman" w:eastAsia="Times New Roman" w:hAnsi="Times New Roman" w:cs="Times New Roman"/>
                <w:sz w:val="18"/>
                <w:szCs w:val="18"/>
              </w:rPr>
              <w:t>Activity</w:t>
            </w:r>
          </w:p>
        </w:tc>
        <w:tc>
          <w:tcPr>
            <w:tcW w:w="6470" w:type="dxa"/>
            <w:gridSpan w:val="8"/>
            <w:noWrap/>
            <w:vAlign w:val="top"/>
            <w:hideMark/>
          </w:tcPr>
          <w:p w14:paraId="615DC9D3" w14:textId="77777777" w:rsidR="0025278A" w:rsidRPr="000973F2" w:rsidRDefault="0025278A" w:rsidP="00B930D0">
            <w:pPr>
              <w:spacing w:before="40" w:after="40"/>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Cs w:val="0"/>
                <w:sz w:val="18"/>
                <w:szCs w:val="18"/>
              </w:rPr>
            </w:pPr>
            <w:r w:rsidRPr="000973F2">
              <w:rPr>
                <w:rFonts w:ascii="Times New Roman" w:eastAsia="Times New Roman" w:hAnsi="Times New Roman" w:cs="Times New Roman"/>
                <w:bCs w:val="0"/>
                <w:sz w:val="18"/>
                <w:szCs w:val="18"/>
              </w:rPr>
              <w:t>Labor Rates (per hour)</w:t>
            </w:r>
          </w:p>
        </w:tc>
        <w:tc>
          <w:tcPr>
            <w:tcW w:w="1529" w:type="dxa"/>
            <w:gridSpan w:val="2"/>
            <w:vMerge w:val="restart"/>
            <w:vAlign w:val="top"/>
            <w:hideMark/>
          </w:tcPr>
          <w:p w14:paraId="661484FC" w14:textId="77777777" w:rsidR="0025278A" w:rsidRPr="000973F2" w:rsidRDefault="0025278A" w:rsidP="00B930D0">
            <w:pPr>
              <w:spacing w:before="40" w:after="40"/>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Cs w:val="0"/>
                <w:sz w:val="18"/>
                <w:szCs w:val="18"/>
              </w:rPr>
            </w:pPr>
            <w:r w:rsidRPr="000973F2">
              <w:rPr>
                <w:rFonts w:ascii="Times New Roman" w:eastAsia="Times New Roman" w:hAnsi="Times New Roman" w:cs="Times New Roman"/>
                <w:bCs w:val="0"/>
                <w:sz w:val="18"/>
                <w:szCs w:val="18"/>
              </w:rPr>
              <w:t>Total Labor Cost per Year per Facility (2017$)</w:t>
            </w:r>
          </w:p>
        </w:tc>
      </w:tr>
      <w:tr w:rsidR="0025278A" w:rsidRPr="000973F2" w14:paraId="1DAC558F" w14:textId="77777777" w:rsidTr="00B930D0">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1331" w:type="dxa"/>
            <w:vMerge/>
            <w:hideMark/>
          </w:tcPr>
          <w:p w14:paraId="493C5F0A" w14:textId="77777777" w:rsidR="0025278A" w:rsidRPr="000973F2" w:rsidRDefault="0025278A" w:rsidP="00B930D0">
            <w:pPr>
              <w:spacing w:before="40" w:after="40"/>
              <w:rPr>
                <w:rFonts w:ascii="Times New Roman" w:eastAsia="Times New Roman" w:hAnsi="Times New Roman" w:cs="Times New Roman"/>
                <w:b/>
                <w:bCs w:val="0"/>
                <w:sz w:val="18"/>
                <w:szCs w:val="18"/>
              </w:rPr>
            </w:pPr>
          </w:p>
        </w:tc>
        <w:tc>
          <w:tcPr>
            <w:tcW w:w="1617" w:type="dxa"/>
            <w:gridSpan w:val="2"/>
            <w:noWrap/>
            <w:hideMark/>
          </w:tcPr>
          <w:p w14:paraId="2C16DE59" w14:textId="77777777" w:rsidR="0025278A" w:rsidRPr="000973F2" w:rsidRDefault="0025278A" w:rsidP="00B930D0">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18"/>
                <w:szCs w:val="18"/>
              </w:rPr>
            </w:pPr>
            <w:r w:rsidRPr="000973F2">
              <w:rPr>
                <w:rFonts w:ascii="Times New Roman" w:eastAsia="Times New Roman" w:hAnsi="Times New Roman" w:cs="Times New Roman"/>
                <w:b/>
                <w:bCs/>
                <w:sz w:val="18"/>
                <w:szCs w:val="18"/>
              </w:rPr>
              <w:t>Lawyer</w:t>
            </w:r>
          </w:p>
        </w:tc>
        <w:tc>
          <w:tcPr>
            <w:tcW w:w="1618" w:type="dxa"/>
            <w:gridSpan w:val="2"/>
            <w:noWrap/>
            <w:hideMark/>
          </w:tcPr>
          <w:p w14:paraId="045CBC66" w14:textId="77777777" w:rsidR="0025278A" w:rsidRPr="000973F2" w:rsidRDefault="0025278A" w:rsidP="00B930D0">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18"/>
                <w:szCs w:val="18"/>
              </w:rPr>
            </w:pPr>
            <w:r w:rsidRPr="000973F2">
              <w:rPr>
                <w:rFonts w:ascii="Times New Roman" w:eastAsia="Times New Roman" w:hAnsi="Times New Roman" w:cs="Times New Roman"/>
                <w:b/>
                <w:bCs/>
                <w:sz w:val="18"/>
                <w:szCs w:val="18"/>
              </w:rPr>
              <w:t>Industrial Manager</w:t>
            </w:r>
          </w:p>
        </w:tc>
        <w:tc>
          <w:tcPr>
            <w:tcW w:w="1617" w:type="dxa"/>
            <w:gridSpan w:val="2"/>
            <w:hideMark/>
          </w:tcPr>
          <w:p w14:paraId="74B45424" w14:textId="38AC0C04" w:rsidR="0025278A" w:rsidRPr="000973F2" w:rsidRDefault="0025278A" w:rsidP="00B930D0">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18"/>
                <w:szCs w:val="18"/>
              </w:rPr>
            </w:pPr>
            <w:r w:rsidRPr="000973F2">
              <w:rPr>
                <w:rFonts w:ascii="Times New Roman" w:eastAsia="Times New Roman" w:hAnsi="Times New Roman" w:cs="Times New Roman"/>
                <w:b/>
                <w:bCs/>
                <w:sz w:val="18"/>
                <w:szCs w:val="18"/>
              </w:rPr>
              <w:t>Industrial Engineer/</w:t>
            </w:r>
            <w:r w:rsidR="00B930D0" w:rsidRPr="000973F2">
              <w:rPr>
                <w:rFonts w:ascii="Times New Roman" w:eastAsia="Times New Roman" w:hAnsi="Times New Roman" w:cs="Times New Roman"/>
                <w:b/>
                <w:bCs/>
                <w:sz w:val="18"/>
                <w:szCs w:val="18"/>
              </w:rPr>
              <w:t xml:space="preserve"> </w:t>
            </w:r>
            <w:r w:rsidRPr="000973F2">
              <w:rPr>
                <w:rFonts w:ascii="Times New Roman" w:eastAsia="Times New Roman" w:hAnsi="Times New Roman" w:cs="Times New Roman"/>
                <w:b/>
                <w:bCs/>
                <w:sz w:val="18"/>
                <w:szCs w:val="18"/>
              </w:rPr>
              <w:t>Technician</w:t>
            </w:r>
          </w:p>
        </w:tc>
        <w:tc>
          <w:tcPr>
            <w:tcW w:w="1618" w:type="dxa"/>
            <w:gridSpan w:val="2"/>
            <w:hideMark/>
          </w:tcPr>
          <w:p w14:paraId="450CE708" w14:textId="77777777" w:rsidR="0025278A" w:rsidRPr="000973F2" w:rsidRDefault="0025278A" w:rsidP="00B930D0">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18"/>
                <w:szCs w:val="18"/>
              </w:rPr>
            </w:pPr>
            <w:r w:rsidRPr="000973F2">
              <w:rPr>
                <w:rFonts w:ascii="Times New Roman" w:eastAsia="Times New Roman" w:hAnsi="Times New Roman" w:cs="Times New Roman"/>
                <w:b/>
                <w:bCs/>
                <w:sz w:val="18"/>
                <w:szCs w:val="18"/>
              </w:rPr>
              <w:t>Administrative Support</w:t>
            </w:r>
          </w:p>
        </w:tc>
        <w:tc>
          <w:tcPr>
            <w:tcW w:w="1529" w:type="dxa"/>
            <w:gridSpan w:val="2"/>
            <w:vMerge/>
            <w:hideMark/>
          </w:tcPr>
          <w:p w14:paraId="1B0804C9" w14:textId="77777777" w:rsidR="0025278A" w:rsidRPr="000973F2" w:rsidRDefault="0025278A" w:rsidP="00B930D0">
            <w:pPr>
              <w:spacing w:before="40" w:after="4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18"/>
                <w:szCs w:val="18"/>
              </w:rPr>
            </w:pPr>
          </w:p>
        </w:tc>
      </w:tr>
      <w:tr w:rsidR="0025278A" w:rsidRPr="000973F2" w14:paraId="092FEB50" w14:textId="77777777" w:rsidTr="00B930D0">
        <w:trPr>
          <w:cantSplit/>
        </w:trPr>
        <w:tc>
          <w:tcPr>
            <w:cnfStyle w:val="001000000000" w:firstRow="0" w:lastRow="0" w:firstColumn="1" w:lastColumn="0" w:oddVBand="0" w:evenVBand="0" w:oddHBand="0" w:evenHBand="0" w:firstRowFirstColumn="0" w:firstRowLastColumn="0" w:lastRowFirstColumn="0" w:lastRowLastColumn="0"/>
            <w:tcW w:w="1331" w:type="dxa"/>
            <w:vMerge/>
            <w:hideMark/>
          </w:tcPr>
          <w:p w14:paraId="775B0DD0" w14:textId="77777777" w:rsidR="0025278A" w:rsidRPr="000973F2" w:rsidRDefault="0025278A" w:rsidP="00B930D0">
            <w:pPr>
              <w:spacing w:before="40" w:after="40"/>
              <w:rPr>
                <w:rFonts w:ascii="Times New Roman" w:eastAsia="Times New Roman" w:hAnsi="Times New Roman" w:cs="Times New Roman"/>
                <w:b/>
                <w:bCs w:val="0"/>
                <w:sz w:val="18"/>
                <w:szCs w:val="18"/>
              </w:rPr>
            </w:pPr>
          </w:p>
        </w:tc>
        <w:tc>
          <w:tcPr>
            <w:tcW w:w="1617" w:type="dxa"/>
            <w:gridSpan w:val="2"/>
            <w:noWrap/>
            <w:hideMark/>
          </w:tcPr>
          <w:p w14:paraId="7B2DCD9C" w14:textId="77777777" w:rsidR="0025278A" w:rsidRPr="000973F2" w:rsidRDefault="0025278A" w:rsidP="00B930D0">
            <w:pPr>
              <w:spacing w:before="40" w:after="4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sz w:val="18"/>
                <w:szCs w:val="18"/>
              </w:rPr>
            </w:pPr>
            <w:r w:rsidRPr="000973F2">
              <w:rPr>
                <w:rFonts w:ascii="Times New Roman" w:eastAsia="Times New Roman" w:hAnsi="Times New Roman" w:cs="Times New Roman"/>
                <w:b/>
                <w:bCs/>
                <w:sz w:val="18"/>
                <w:szCs w:val="18"/>
              </w:rPr>
              <w:t xml:space="preserve">$112.23 </w:t>
            </w:r>
          </w:p>
        </w:tc>
        <w:tc>
          <w:tcPr>
            <w:tcW w:w="1618" w:type="dxa"/>
            <w:gridSpan w:val="2"/>
            <w:noWrap/>
            <w:hideMark/>
          </w:tcPr>
          <w:p w14:paraId="2735CCFD" w14:textId="77777777" w:rsidR="0025278A" w:rsidRPr="000973F2" w:rsidRDefault="0025278A" w:rsidP="00B930D0">
            <w:pPr>
              <w:spacing w:before="40" w:after="4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sz w:val="18"/>
                <w:szCs w:val="18"/>
              </w:rPr>
            </w:pPr>
            <w:r w:rsidRPr="000973F2">
              <w:rPr>
                <w:rFonts w:ascii="Times New Roman" w:eastAsia="Times New Roman" w:hAnsi="Times New Roman" w:cs="Times New Roman"/>
                <w:b/>
                <w:bCs/>
                <w:sz w:val="18"/>
                <w:szCs w:val="18"/>
              </w:rPr>
              <w:t xml:space="preserve">$87.45 </w:t>
            </w:r>
          </w:p>
        </w:tc>
        <w:tc>
          <w:tcPr>
            <w:tcW w:w="1617" w:type="dxa"/>
            <w:gridSpan w:val="2"/>
            <w:noWrap/>
            <w:hideMark/>
          </w:tcPr>
          <w:p w14:paraId="5605CE5D" w14:textId="77777777" w:rsidR="0025278A" w:rsidRPr="000973F2" w:rsidRDefault="0025278A" w:rsidP="00B930D0">
            <w:pPr>
              <w:spacing w:before="40" w:after="4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sz w:val="18"/>
                <w:szCs w:val="18"/>
              </w:rPr>
            </w:pPr>
            <w:r w:rsidRPr="000973F2">
              <w:rPr>
                <w:rFonts w:ascii="Times New Roman" w:eastAsia="Times New Roman" w:hAnsi="Times New Roman" w:cs="Times New Roman"/>
                <w:b/>
                <w:bCs/>
                <w:sz w:val="18"/>
                <w:szCs w:val="18"/>
              </w:rPr>
              <w:t xml:space="preserve">$71.45 </w:t>
            </w:r>
          </w:p>
        </w:tc>
        <w:tc>
          <w:tcPr>
            <w:tcW w:w="1618" w:type="dxa"/>
            <w:gridSpan w:val="2"/>
            <w:noWrap/>
            <w:hideMark/>
          </w:tcPr>
          <w:p w14:paraId="37CAB86D" w14:textId="77777777" w:rsidR="0025278A" w:rsidRPr="000973F2" w:rsidRDefault="0025278A" w:rsidP="00B930D0">
            <w:pPr>
              <w:spacing w:before="40" w:after="4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sz w:val="18"/>
                <w:szCs w:val="18"/>
              </w:rPr>
            </w:pPr>
            <w:r w:rsidRPr="000973F2">
              <w:rPr>
                <w:rFonts w:ascii="Times New Roman" w:eastAsia="Times New Roman" w:hAnsi="Times New Roman" w:cs="Times New Roman"/>
                <w:b/>
                <w:bCs/>
                <w:sz w:val="18"/>
                <w:szCs w:val="18"/>
              </w:rPr>
              <w:t xml:space="preserve">$36.28 </w:t>
            </w:r>
          </w:p>
        </w:tc>
        <w:tc>
          <w:tcPr>
            <w:tcW w:w="1529" w:type="dxa"/>
            <w:gridSpan w:val="2"/>
            <w:vMerge/>
            <w:hideMark/>
          </w:tcPr>
          <w:p w14:paraId="771203FD" w14:textId="77777777" w:rsidR="0025278A" w:rsidRPr="000973F2" w:rsidRDefault="0025278A" w:rsidP="00B930D0">
            <w:pPr>
              <w:spacing w:before="40" w:after="4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sz w:val="18"/>
                <w:szCs w:val="18"/>
              </w:rPr>
            </w:pPr>
          </w:p>
        </w:tc>
      </w:tr>
      <w:tr w:rsidR="00B930D0" w:rsidRPr="000973F2" w14:paraId="516974EF" w14:textId="77777777" w:rsidTr="00B930D0">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1331" w:type="dxa"/>
            <w:vMerge/>
            <w:hideMark/>
          </w:tcPr>
          <w:p w14:paraId="0E630CD8" w14:textId="77777777" w:rsidR="0025278A" w:rsidRPr="000973F2" w:rsidRDefault="0025278A" w:rsidP="00B930D0">
            <w:pPr>
              <w:spacing w:before="40" w:after="40"/>
              <w:rPr>
                <w:rFonts w:ascii="Times New Roman" w:eastAsia="Times New Roman" w:hAnsi="Times New Roman" w:cs="Times New Roman"/>
                <w:b/>
                <w:bCs w:val="0"/>
                <w:sz w:val="18"/>
                <w:szCs w:val="18"/>
              </w:rPr>
            </w:pPr>
          </w:p>
        </w:tc>
        <w:tc>
          <w:tcPr>
            <w:tcW w:w="808" w:type="dxa"/>
            <w:tcMar>
              <w:left w:w="14" w:type="dxa"/>
              <w:right w:w="14" w:type="dxa"/>
            </w:tcMar>
            <w:hideMark/>
          </w:tcPr>
          <w:p w14:paraId="0C23BE2A" w14:textId="12427928" w:rsidR="0025278A" w:rsidRPr="000973F2" w:rsidRDefault="0025278A" w:rsidP="00B930D0">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18"/>
                <w:szCs w:val="18"/>
              </w:rPr>
            </w:pPr>
            <w:r w:rsidRPr="000973F2">
              <w:rPr>
                <w:rFonts w:ascii="Times New Roman" w:eastAsia="Times New Roman" w:hAnsi="Times New Roman" w:cs="Times New Roman"/>
                <w:b/>
                <w:bCs/>
                <w:sz w:val="18"/>
                <w:szCs w:val="18"/>
              </w:rPr>
              <w:t xml:space="preserve">Initial </w:t>
            </w:r>
            <w:r w:rsidR="00132320" w:rsidRPr="000973F2">
              <w:rPr>
                <w:rFonts w:ascii="Times New Roman" w:eastAsia="Times New Roman" w:hAnsi="Times New Roman" w:cs="Times New Roman"/>
                <w:b/>
                <w:bCs/>
                <w:sz w:val="18"/>
                <w:szCs w:val="18"/>
              </w:rPr>
              <w:t>Year Hours</w:t>
            </w:r>
          </w:p>
        </w:tc>
        <w:tc>
          <w:tcPr>
            <w:tcW w:w="809" w:type="dxa"/>
            <w:tcMar>
              <w:left w:w="14" w:type="dxa"/>
              <w:right w:w="14" w:type="dxa"/>
            </w:tcMar>
            <w:hideMark/>
          </w:tcPr>
          <w:p w14:paraId="72163B13" w14:textId="6742AF7A" w:rsidR="0025278A" w:rsidRPr="000973F2" w:rsidRDefault="0025278A" w:rsidP="00B930D0">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18"/>
                <w:szCs w:val="18"/>
              </w:rPr>
            </w:pPr>
            <w:r w:rsidRPr="000973F2">
              <w:rPr>
                <w:rFonts w:ascii="Times New Roman" w:eastAsia="Times New Roman" w:hAnsi="Times New Roman" w:cs="Times New Roman"/>
                <w:b/>
                <w:bCs/>
                <w:sz w:val="18"/>
                <w:szCs w:val="18"/>
              </w:rPr>
              <w:t xml:space="preserve">Subseq. </w:t>
            </w:r>
            <w:r w:rsidR="00132320" w:rsidRPr="000973F2">
              <w:rPr>
                <w:rFonts w:ascii="Times New Roman" w:eastAsia="Times New Roman" w:hAnsi="Times New Roman" w:cs="Times New Roman"/>
                <w:b/>
                <w:bCs/>
                <w:sz w:val="18"/>
                <w:szCs w:val="18"/>
              </w:rPr>
              <w:t>Year Hours</w:t>
            </w:r>
          </w:p>
        </w:tc>
        <w:tc>
          <w:tcPr>
            <w:tcW w:w="809" w:type="dxa"/>
            <w:tcMar>
              <w:left w:w="14" w:type="dxa"/>
              <w:right w:w="14" w:type="dxa"/>
            </w:tcMar>
            <w:hideMark/>
          </w:tcPr>
          <w:p w14:paraId="4BE6A750" w14:textId="7433551B" w:rsidR="0025278A" w:rsidRPr="000973F2" w:rsidRDefault="0025278A" w:rsidP="00B930D0">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18"/>
                <w:szCs w:val="18"/>
              </w:rPr>
            </w:pPr>
            <w:r w:rsidRPr="000973F2">
              <w:rPr>
                <w:rFonts w:ascii="Times New Roman" w:eastAsia="Times New Roman" w:hAnsi="Times New Roman" w:cs="Times New Roman"/>
                <w:b/>
                <w:bCs/>
                <w:sz w:val="18"/>
                <w:szCs w:val="18"/>
              </w:rPr>
              <w:t xml:space="preserve">Initial </w:t>
            </w:r>
            <w:r w:rsidR="00132320" w:rsidRPr="000973F2">
              <w:rPr>
                <w:rFonts w:ascii="Times New Roman" w:eastAsia="Times New Roman" w:hAnsi="Times New Roman" w:cs="Times New Roman"/>
                <w:b/>
                <w:bCs/>
                <w:sz w:val="18"/>
                <w:szCs w:val="18"/>
              </w:rPr>
              <w:t>Year Hours</w:t>
            </w:r>
          </w:p>
        </w:tc>
        <w:tc>
          <w:tcPr>
            <w:tcW w:w="809" w:type="dxa"/>
            <w:tcMar>
              <w:left w:w="14" w:type="dxa"/>
              <w:right w:w="14" w:type="dxa"/>
            </w:tcMar>
            <w:hideMark/>
          </w:tcPr>
          <w:p w14:paraId="1BEA7D46" w14:textId="04C7C142" w:rsidR="0025278A" w:rsidRPr="000973F2" w:rsidRDefault="0025278A" w:rsidP="00B930D0">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18"/>
                <w:szCs w:val="18"/>
              </w:rPr>
            </w:pPr>
            <w:r w:rsidRPr="000973F2">
              <w:rPr>
                <w:rFonts w:ascii="Times New Roman" w:eastAsia="Times New Roman" w:hAnsi="Times New Roman" w:cs="Times New Roman"/>
                <w:b/>
                <w:bCs/>
                <w:sz w:val="18"/>
                <w:szCs w:val="18"/>
              </w:rPr>
              <w:t xml:space="preserve">Subseq. </w:t>
            </w:r>
            <w:r w:rsidR="00132320" w:rsidRPr="000973F2">
              <w:rPr>
                <w:rFonts w:ascii="Times New Roman" w:eastAsia="Times New Roman" w:hAnsi="Times New Roman" w:cs="Times New Roman"/>
                <w:b/>
                <w:bCs/>
                <w:sz w:val="18"/>
                <w:szCs w:val="18"/>
              </w:rPr>
              <w:t>Year Hours</w:t>
            </w:r>
          </w:p>
        </w:tc>
        <w:tc>
          <w:tcPr>
            <w:tcW w:w="808" w:type="dxa"/>
            <w:tcMar>
              <w:left w:w="14" w:type="dxa"/>
              <w:right w:w="14" w:type="dxa"/>
            </w:tcMar>
            <w:hideMark/>
          </w:tcPr>
          <w:p w14:paraId="34FDD2F5" w14:textId="056F9F0F" w:rsidR="0025278A" w:rsidRPr="000973F2" w:rsidRDefault="0025278A" w:rsidP="00B930D0">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18"/>
                <w:szCs w:val="18"/>
              </w:rPr>
            </w:pPr>
            <w:r w:rsidRPr="000973F2">
              <w:rPr>
                <w:rFonts w:ascii="Times New Roman" w:eastAsia="Times New Roman" w:hAnsi="Times New Roman" w:cs="Times New Roman"/>
                <w:b/>
                <w:bCs/>
                <w:sz w:val="18"/>
                <w:szCs w:val="18"/>
              </w:rPr>
              <w:t xml:space="preserve">Initial </w:t>
            </w:r>
            <w:r w:rsidR="00132320" w:rsidRPr="000973F2">
              <w:rPr>
                <w:rFonts w:ascii="Times New Roman" w:eastAsia="Times New Roman" w:hAnsi="Times New Roman" w:cs="Times New Roman"/>
                <w:b/>
                <w:bCs/>
                <w:sz w:val="18"/>
                <w:szCs w:val="18"/>
              </w:rPr>
              <w:t>Year Hours</w:t>
            </w:r>
          </w:p>
        </w:tc>
        <w:tc>
          <w:tcPr>
            <w:tcW w:w="809" w:type="dxa"/>
            <w:tcMar>
              <w:left w:w="14" w:type="dxa"/>
              <w:right w:w="14" w:type="dxa"/>
            </w:tcMar>
            <w:hideMark/>
          </w:tcPr>
          <w:p w14:paraId="01DD24EF" w14:textId="759C9640" w:rsidR="0025278A" w:rsidRPr="000973F2" w:rsidRDefault="0025278A" w:rsidP="00B930D0">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18"/>
                <w:szCs w:val="18"/>
              </w:rPr>
            </w:pPr>
            <w:r w:rsidRPr="000973F2">
              <w:rPr>
                <w:rFonts w:ascii="Times New Roman" w:eastAsia="Times New Roman" w:hAnsi="Times New Roman" w:cs="Times New Roman"/>
                <w:b/>
                <w:bCs/>
                <w:sz w:val="18"/>
                <w:szCs w:val="18"/>
              </w:rPr>
              <w:t xml:space="preserve">Subseq. </w:t>
            </w:r>
            <w:r w:rsidR="00132320" w:rsidRPr="000973F2">
              <w:rPr>
                <w:rFonts w:ascii="Times New Roman" w:eastAsia="Times New Roman" w:hAnsi="Times New Roman" w:cs="Times New Roman"/>
                <w:b/>
                <w:bCs/>
                <w:sz w:val="18"/>
                <w:szCs w:val="18"/>
              </w:rPr>
              <w:t>Year Hours</w:t>
            </w:r>
          </w:p>
        </w:tc>
        <w:tc>
          <w:tcPr>
            <w:tcW w:w="809" w:type="dxa"/>
            <w:tcMar>
              <w:left w:w="14" w:type="dxa"/>
              <w:right w:w="14" w:type="dxa"/>
            </w:tcMar>
            <w:hideMark/>
          </w:tcPr>
          <w:p w14:paraId="44DBFB47" w14:textId="26E3321E" w:rsidR="0025278A" w:rsidRPr="000973F2" w:rsidRDefault="0025278A" w:rsidP="00B930D0">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18"/>
                <w:szCs w:val="18"/>
              </w:rPr>
            </w:pPr>
            <w:r w:rsidRPr="000973F2">
              <w:rPr>
                <w:rFonts w:ascii="Times New Roman" w:eastAsia="Times New Roman" w:hAnsi="Times New Roman" w:cs="Times New Roman"/>
                <w:b/>
                <w:bCs/>
                <w:sz w:val="18"/>
                <w:szCs w:val="18"/>
              </w:rPr>
              <w:t xml:space="preserve">Initial </w:t>
            </w:r>
            <w:r w:rsidR="00132320" w:rsidRPr="000973F2">
              <w:rPr>
                <w:rFonts w:ascii="Times New Roman" w:eastAsia="Times New Roman" w:hAnsi="Times New Roman" w:cs="Times New Roman"/>
                <w:b/>
                <w:bCs/>
                <w:sz w:val="18"/>
                <w:szCs w:val="18"/>
              </w:rPr>
              <w:t>Year Hours</w:t>
            </w:r>
          </w:p>
        </w:tc>
        <w:tc>
          <w:tcPr>
            <w:tcW w:w="809" w:type="dxa"/>
            <w:tcMar>
              <w:left w:w="14" w:type="dxa"/>
              <w:right w:w="14" w:type="dxa"/>
            </w:tcMar>
            <w:hideMark/>
          </w:tcPr>
          <w:p w14:paraId="2CD55970" w14:textId="12A4E2EF" w:rsidR="0025278A" w:rsidRPr="000973F2" w:rsidRDefault="0025278A" w:rsidP="00B930D0">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18"/>
                <w:szCs w:val="18"/>
              </w:rPr>
            </w:pPr>
            <w:r w:rsidRPr="000973F2">
              <w:rPr>
                <w:rFonts w:ascii="Times New Roman" w:eastAsia="Times New Roman" w:hAnsi="Times New Roman" w:cs="Times New Roman"/>
                <w:b/>
                <w:bCs/>
                <w:sz w:val="18"/>
                <w:szCs w:val="18"/>
              </w:rPr>
              <w:t xml:space="preserve">Subseq. </w:t>
            </w:r>
            <w:r w:rsidR="00132320" w:rsidRPr="000973F2">
              <w:rPr>
                <w:rFonts w:ascii="Times New Roman" w:eastAsia="Times New Roman" w:hAnsi="Times New Roman" w:cs="Times New Roman"/>
                <w:b/>
                <w:bCs/>
                <w:sz w:val="18"/>
                <w:szCs w:val="18"/>
              </w:rPr>
              <w:t>Year Hours</w:t>
            </w:r>
          </w:p>
        </w:tc>
        <w:tc>
          <w:tcPr>
            <w:tcW w:w="701" w:type="dxa"/>
            <w:tcMar>
              <w:left w:w="14" w:type="dxa"/>
              <w:right w:w="14" w:type="dxa"/>
            </w:tcMar>
            <w:hideMark/>
          </w:tcPr>
          <w:p w14:paraId="0FD4FA3A" w14:textId="77777777" w:rsidR="0025278A" w:rsidRPr="000973F2" w:rsidRDefault="0025278A" w:rsidP="00B930D0">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18"/>
                <w:szCs w:val="18"/>
              </w:rPr>
            </w:pPr>
            <w:r w:rsidRPr="000973F2">
              <w:rPr>
                <w:rFonts w:ascii="Times New Roman" w:eastAsia="Times New Roman" w:hAnsi="Times New Roman" w:cs="Times New Roman"/>
                <w:b/>
                <w:bCs/>
                <w:sz w:val="18"/>
                <w:szCs w:val="18"/>
              </w:rPr>
              <w:t>Initial Year</w:t>
            </w:r>
          </w:p>
        </w:tc>
        <w:tc>
          <w:tcPr>
            <w:tcW w:w="828" w:type="dxa"/>
            <w:tcMar>
              <w:left w:w="14" w:type="dxa"/>
              <w:right w:w="14" w:type="dxa"/>
            </w:tcMar>
            <w:hideMark/>
          </w:tcPr>
          <w:p w14:paraId="7890430E" w14:textId="77777777" w:rsidR="0025278A" w:rsidRPr="000973F2" w:rsidRDefault="0025278A" w:rsidP="00B930D0">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18"/>
                <w:szCs w:val="18"/>
              </w:rPr>
            </w:pPr>
            <w:r w:rsidRPr="000973F2">
              <w:rPr>
                <w:rFonts w:ascii="Times New Roman" w:eastAsia="Times New Roman" w:hAnsi="Times New Roman" w:cs="Times New Roman"/>
                <w:b/>
                <w:bCs/>
                <w:sz w:val="18"/>
                <w:szCs w:val="18"/>
              </w:rPr>
              <w:t>Subseq. Year</w:t>
            </w:r>
          </w:p>
        </w:tc>
      </w:tr>
      <w:tr w:rsidR="00B930D0" w:rsidRPr="000973F2" w14:paraId="672C722B" w14:textId="77777777" w:rsidTr="00B930D0">
        <w:trPr>
          <w:cantSplit/>
        </w:trPr>
        <w:tc>
          <w:tcPr>
            <w:cnfStyle w:val="001000000000" w:firstRow="0" w:lastRow="0" w:firstColumn="1" w:lastColumn="0" w:oddVBand="0" w:evenVBand="0" w:oddHBand="0" w:evenHBand="0" w:firstRowFirstColumn="0" w:firstRowLastColumn="0" w:lastRowFirstColumn="0" w:lastRowLastColumn="0"/>
            <w:tcW w:w="1331" w:type="dxa"/>
            <w:hideMark/>
          </w:tcPr>
          <w:p w14:paraId="55B7D09C" w14:textId="77777777" w:rsidR="0025278A" w:rsidRPr="000973F2" w:rsidRDefault="0025278A" w:rsidP="00B930D0">
            <w:pPr>
              <w:spacing w:before="40" w:after="4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Planning</w:t>
            </w:r>
          </w:p>
        </w:tc>
        <w:tc>
          <w:tcPr>
            <w:tcW w:w="808" w:type="dxa"/>
            <w:noWrap/>
            <w:hideMark/>
          </w:tcPr>
          <w:p w14:paraId="07CADE12" w14:textId="77777777" w:rsidR="0025278A" w:rsidRPr="000973F2" w:rsidRDefault="0025278A" w:rsidP="00B930D0">
            <w:pPr>
              <w:spacing w:before="40" w:after="4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0</w:t>
            </w:r>
          </w:p>
        </w:tc>
        <w:tc>
          <w:tcPr>
            <w:tcW w:w="809" w:type="dxa"/>
            <w:noWrap/>
            <w:hideMark/>
          </w:tcPr>
          <w:p w14:paraId="0CB61383" w14:textId="77777777" w:rsidR="0025278A" w:rsidRPr="000973F2" w:rsidRDefault="0025278A" w:rsidP="00B930D0">
            <w:pPr>
              <w:spacing w:before="40" w:after="4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2</w:t>
            </w:r>
          </w:p>
        </w:tc>
        <w:tc>
          <w:tcPr>
            <w:tcW w:w="809" w:type="dxa"/>
            <w:noWrap/>
            <w:hideMark/>
          </w:tcPr>
          <w:p w14:paraId="40173A31" w14:textId="77777777" w:rsidR="0025278A" w:rsidRPr="000973F2" w:rsidRDefault="0025278A" w:rsidP="00B930D0">
            <w:pPr>
              <w:spacing w:before="40" w:after="4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0</w:t>
            </w:r>
          </w:p>
        </w:tc>
        <w:tc>
          <w:tcPr>
            <w:tcW w:w="809" w:type="dxa"/>
            <w:noWrap/>
            <w:hideMark/>
          </w:tcPr>
          <w:p w14:paraId="56204D14" w14:textId="77777777" w:rsidR="0025278A" w:rsidRPr="000973F2" w:rsidRDefault="0025278A" w:rsidP="00B930D0">
            <w:pPr>
              <w:spacing w:before="40" w:after="4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1.0</w:t>
            </w:r>
          </w:p>
        </w:tc>
        <w:tc>
          <w:tcPr>
            <w:tcW w:w="808" w:type="dxa"/>
            <w:noWrap/>
            <w:hideMark/>
          </w:tcPr>
          <w:p w14:paraId="3039EBF5" w14:textId="77777777" w:rsidR="0025278A" w:rsidRPr="000973F2" w:rsidRDefault="0025278A" w:rsidP="00B930D0">
            <w:pPr>
              <w:spacing w:before="40" w:after="4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0</w:t>
            </w:r>
          </w:p>
        </w:tc>
        <w:tc>
          <w:tcPr>
            <w:tcW w:w="809" w:type="dxa"/>
            <w:noWrap/>
            <w:hideMark/>
          </w:tcPr>
          <w:p w14:paraId="391DDADD" w14:textId="77777777" w:rsidR="0025278A" w:rsidRPr="000973F2" w:rsidRDefault="0025278A" w:rsidP="00B930D0">
            <w:pPr>
              <w:tabs>
                <w:tab w:val="decimal" w:pos="271"/>
              </w:tabs>
              <w:spacing w:before="40" w:after="4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0</w:t>
            </w:r>
          </w:p>
        </w:tc>
        <w:tc>
          <w:tcPr>
            <w:tcW w:w="809" w:type="dxa"/>
            <w:noWrap/>
            <w:hideMark/>
          </w:tcPr>
          <w:p w14:paraId="4962275A" w14:textId="77777777" w:rsidR="0025278A" w:rsidRPr="000973F2" w:rsidRDefault="0025278A" w:rsidP="00B930D0">
            <w:pPr>
              <w:spacing w:before="40" w:after="4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0</w:t>
            </w:r>
          </w:p>
        </w:tc>
        <w:tc>
          <w:tcPr>
            <w:tcW w:w="809" w:type="dxa"/>
            <w:noWrap/>
            <w:hideMark/>
          </w:tcPr>
          <w:p w14:paraId="558C8415" w14:textId="77777777" w:rsidR="0025278A" w:rsidRPr="000973F2" w:rsidRDefault="0025278A" w:rsidP="00B930D0">
            <w:pPr>
              <w:tabs>
                <w:tab w:val="decimal" w:pos="271"/>
              </w:tabs>
              <w:spacing w:before="40" w:after="4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0</w:t>
            </w:r>
          </w:p>
        </w:tc>
        <w:tc>
          <w:tcPr>
            <w:tcW w:w="701" w:type="dxa"/>
            <w:noWrap/>
            <w:hideMark/>
          </w:tcPr>
          <w:p w14:paraId="0AB3F20C" w14:textId="3B55CCF8" w:rsidR="0025278A" w:rsidRPr="000973F2" w:rsidRDefault="0025278A" w:rsidP="00B930D0">
            <w:pPr>
              <w:spacing w:before="40" w:after="4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$0</w:t>
            </w:r>
          </w:p>
        </w:tc>
        <w:tc>
          <w:tcPr>
            <w:tcW w:w="828" w:type="dxa"/>
            <w:noWrap/>
            <w:hideMark/>
          </w:tcPr>
          <w:p w14:paraId="345976B9" w14:textId="65A525ED" w:rsidR="0025278A" w:rsidRPr="000973F2" w:rsidRDefault="0025278A" w:rsidP="00B930D0">
            <w:pPr>
              <w:tabs>
                <w:tab w:val="decimal" w:pos="556"/>
              </w:tabs>
              <w:spacing w:before="40" w:after="4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$312</w:t>
            </w:r>
          </w:p>
        </w:tc>
      </w:tr>
      <w:tr w:rsidR="00B930D0" w:rsidRPr="000973F2" w14:paraId="081F002A" w14:textId="77777777" w:rsidTr="00B930D0">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1331" w:type="dxa"/>
            <w:hideMark/>
          </w:tcPr>
          <w:p w14:paraId="2F24C918" w14:textId="77777777" w:rsidR="0025278A" w:rsidRPr="000973F2" w:rsidRDefault="0025278A" w:rsidP="00B930D0">
            <w:pPr>
              <w:spacing w:before="40" w:after="4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QA/QC</w:t>
            </w:r>
          </w:p>
        </w:tc>
        <w:tc>
          <w:tcPr>
            <w:tcW w:w="808" w:type="dxa"/>
            <w:noWrap/>
            <w:hideMark/>
          </w:tcPr>
          <w:p w14:paraId="31435FA8" w14:textId="77777777" w:rsidR="0025278A" w:rsidRPr="000973F2" w:rsidRDefault="0025278A" w:rsidP="00B930D0">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0</w:t>
            </w:r>
          </w:p>
        </w:tc>
        <w:tc>
          <w:tcPr>
            <w:tcW w:w="809" w:type="dxa"/>
            <w:noWrap/>
            <w:hideMark/>
          </w:tcPr>
          <w:p w14:paraId="00B983E1" w14:textId="77777777" w:rsidR="0025278A" w:rsidRPr="000973F2" w:rsidRDefault="0025278A" w:rsidP="00B930D0">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0</w:t>
            </w:r>
          </w:p>
        </w:tc>
        <w:tc>
          <w:tcPr>
            <w:tcW w:w="809" w:type="dxa"/>
            <w:noWrap/>
            <w:hideMark/>
          </w:tcPr>
          <w:p w14:paraId="68050C07" w14:textId="77777777" w:rsidR="0025278A" w:rsidRPr="000973F2" w:rsidRDefault="0025278A" w:rsidP="00B930D0">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0</w:t>
            </w:r>
          </w:p>
        </w:tc>
        <w:tc>
          <w:tcPr>
            <w:tcW w:w="809" w:type="dxa"/>
            <w:noWrap/>
            <w:hideMark/>
          </w:tcPr>
          <w:p w14:paraId="24AB58B7" w14:textId="77777777" w:rsidR="0025278A" w:rsidRPr="000973F2" w:rsidRDefault="0025278A" w:rsidP="00B930D0">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1.0</w:t>
            </w:r>
          </w:p>
        </w:tc>
        <w:tc>
          <w:tcPr>
            <w:tcW w:w="808" w:type="dxa"/>
            <w:noWrap/>
            <w:hideMark/>
          </w:tcPr>
          <w:p w14:paraId="5C772032" w14:textId="77777777" w:rsidR="0025278A" w:rsidRPr="000973F2" w:rsidRDefault="0025278A" w:rsidP="00B930D0">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0</w:t>
            </w:r>
          </w:p>
        </w:tc>
        <w:tc>
          <w:tcPr>
            <w:tcW w:w="809" w:type="dxa"/>
            <w:noWrap/>
            <w:hideMark/>
          </w:tcPr>
          <w:p w14:paraId="611B1573" w14:textId="77777777" w:rsidR="0025278A" w:rsidRPr="000973F2" w:rsidRDefault="0025278A" w:rsidP="00B930D0">
            <w:pPr>
              <w:tabs>
                <w:tab w:val="decimal" w:pos="271"/>
              </w:tabs>
              <w:spacing w:before="40" w:after="4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0</w:t>
            </w:r>
          </w:p>
        </w:tc>
        <w:tc>
          <w:tcPr>
            <w:tcW w:w="809" w:type="dxa"/>
            <w:noWrap/>
            <w:hideMark/>
          </w:tcPr>
          <w:p w14:paraId="6712BD35" w14:textId="77777777" w:rsidR="0025278A" w:rsidRPr="000973F2" w:rsidRDefault="0025278A" w:rsidP="00B930D0">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0</w:t>
            </w:r>
          </w:p>
        </w:tc>
        <w:tc>
          <w:tcPr>
            <w:tcW w:w="809" w:type="dxa"/>
            <w:noWrap/>
            <w:hideMark/>
          </w:tcPr>
          <w:p w14:paraId="54F191B0" w14:textId="77777777" w:rsidR="0025278A" w:rsidRPr="000973F2" w:rsidRDefault="0025278A" w:rsidP="00B930D0">
            <w:pPr>
              <w:tabs>
                <w:tab w:val="decimal" w:pos="271"/>
              </w:tabs>
              <w:spacing w:before="40" w:after="4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0</w:t>
            </w:r>
          </w:p>
        </w:tc>
        <w:tc>
          <w:tcPr>
            <w:tcW w:w="701" w:type="dxa"/>
            <w:noWrap/>
            <w:hideMark/>
          </w:tcPr>
          <w:p w14:paraId="526EFB4E" w14:textId="0BACDB27" w:rsidR="0025278A" w:rsidRPr="000973F2" w:rsidRDefault="0025278A" w:rsidP="00B930D0">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$0</w:t>
            </w:r>
          </w:p>
        </w:tc>
        <w:tc>
          <w:tcPr>
            <w:tcW w:w="828" w:type="dxa"/>
            <w:noWrap/>
            <w:hideMark/>
          </w:tcPr>
          <w:p w14:paraId="06ABCE89" w14:textId="016029C9" w:rsidR="0025278A" w:rsidRPr="000973F2" w:rsidRDefault="0025278A" w:rsidP="00B930D0">
            <w:pPr>
              <w:tabs>
                <w:tab w:val="decimal" w:pos="556"/>
              </w:tabs>
              <w:spacing w:before="40" w:after="4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$87</w:t>
            </w:r>
          </w:p>
        </w:tc>
      </w:tr>
      <w:tr w:rsidR="00B930D0" w:rsidRPr="000973F2" w14:paraId="01C876DC" w14:textId="77777777" w:rsidTr="00B930D0">
        <w:trPr>
          <w:cantSplit/>
        </w:trPr>
        <w:tc>
          <w:tcPr>
            <w:cnfStyle w:val="001000000000" w:firstRow="0" w:lastRow="0" w:firstColumn="1" w:lastColumn="0" w:oddVBand="0" w:evenVBand="0" w:oddHBand="0" w:evenHBand="0" w:firstRowFirstColumn="0" w:firstRowLastColumn="0" w:lastRowFirstColumn="0" w:lastRowLastColumn="0"/>
            <w:tcW w:w="1331" w:type="dxa"/>
            <w:hideMark/>
          </w:tcPr>
          <w:p w14:paraId="28560D0C" w14:textId="77777777" w:rsidR="003E005F" w:rsidRPr="000973F2" w:rsidRDefault="003E005F" w:rsidP="00B930D0">
            <w:pPr>
              <w:spacing w:before="40" w:after="4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Recordkeeping</w:t>
            </w:r>
          </w:p>
        </w:tc>
        <w:tc>
          <w:tcPr>
            <w:tcW w:w="808" w:type="dxa"/>
            <w:noWrap/>
            <w:hideMark/>
          </w:tcPr>
          <w:p w14:paraId="083F4B45" w14:textId="3CD6AA79" w:rsidR="003E005F" w:rsidRPr="000973F2" w:rsidRDefault="00B930D0" w:rsidP="00B930D0">
            <w:pPr>
              <w:spacing w:before="40" w:after="4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w:t>
            </w:r>
          </w:p>
        </w:tc>
        <w:tc>
          <w:tcPr>
            <w:tcW w:w="809" w:type="dxa"/>
            <w:noWrap/>
            <w:hideMark/>
          </w:tcPr>
          <w:p w14:paraId="7F375B99" w14:textId="255FE569" w:rsidR="003E005F" w:rsidRPr="000973F2" w:rsidRDefault="00B930D0" w:rsidP="00B930D0">
            <w:pPr>
              <w:spacing w:before="40" w:after="4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w:t>
            </w:r>
          </w:p>
        </w:tc>
        <w:tc>
          <w:tcPr>
            <w:tcW w:w="809" w:type="dxa"/>
            <w:noWrap/>
            <w:hideMark/>
          </w:tcPr>
          <w:p w14:paraId="09C1EC01" w14:textId="31482C25" w:rsidR="003E005F" w:rsidRPr="000973F2" w:rsidRDefault="00B930D0" w:rsidP="00B930D0">
            <w:pPr>
              <w:spacing w:before="40" w:after="4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w:t>
            </w:r>
          </w:p>
        </w:tc>
        <w:tc>
          <w:tcPr>
            <w:tcW w:w="809" w:type="dxa"/>
            <w:noWrap/>
            <w:hideMark/>
          </w:tcPr>
          <w:p w14:paraId="6F8799BC" w14:textId="767B4066" w:rsidR="003E005F" w:rsidRPr="000973F2" w:rsidRDefault="00B930D0" w:rsidP="00B930D0">
            <w:pPr>
              <w:spacing w:before="40" w:after="4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w:t>
            </w:r>
          </w:p>
        </w:tc>
        <w:tc>
          <w:tcPr>
            <w:tcW w:w="808" w:type="dxa"/>
            <w:noWrap/>
            <w:hideMark/>
          </w:tcPr>
          <w:p w14:paraId="4021A40D" w14:textId="6B698408" w:rsidR="003E005F" w:rsidRPr="000973F2" w:rsidRDefault="00B930D0" w:rsidP="00B930D0">
            <w:pPr>
              <w:spacing w:before="40" w:after="4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w:t>
            </w:r>
          </w:p>
        </w:tc>
        <w:tc>
          <w:tcPr>
            <w:tcW w:w="809" w:type="dxa"/>
            <w:noWrap/>
            <w:hideMark/>
          </w:tcPr>
          <w:p w14:paraId="659F7025" w14:textId="428E3520" w:rsidR="003E005F" w:rsidRPr="000973F2" w:rsidRDefault="00B930D0" w:rsidP="00B930D0">
            <w:pPr>
              <w:tabs>
                <w:tab w:val="decimal" w:pos="271"/>
              </w:tabs>
              <w:spacing w:before="40" w:after="4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w:t>
            </w:r>
          </w:p>
        </w:tc>
        <w:tc>
          <w:tcPr>
            <w:tcW w:w="809" w:type="dxa"/>
            <w:noWrap/>
            <w:hideMark/>
          </w:tcPr>
          <w:p w14:paraId="309E2B16" w14:textId="5AAE3F4E" w:rsidR="003E005F" w:rsidRPr="000973F2" w:rsidRDefault="00B930D0" w:rsidP="00B930D0">
            <w:pPr>
              <w:spacing w:before="40" w:after="4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w:t>
            </w:r>
          </w:p>
        </w:tc>
        <w:tc>
          <w:tcPr>
            <w:tcW w:w="809" w:type="dxa"/>
            <w:noWrap/>
            <w:hideMark/>
          </w:tcPr>
          <w:p w14:paraId="3EE7B732" w14:textId="701405C9" w:rsidR="003E005F" w:rsidRPr="000973F2" w:rsidRDefault="00B930D0" w:rsidP="00B930D0">
            <w:pPr>
              <w:tabs>
                <w:tab w:val="decimal" w:pos="271"/>
              </w:tabs>
              <w:spacing w:before="40" w:after="4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w:t>
            </w:r>
          </w:p>
        </w:tc>
        <w:tc>
          <w:tcPr>
            <w:tcW w:w="701" w:type="dxa"/>
            <w:noWrap/>
            <w:hideMark/>
          </w:tcPr>
          <w:p w14:paraId="5A6BC896" w14:textId="5EC05AB2" w:rsidR="003E005F" w:rsidRPr="000973F2" w:rsidRDefault="00B930D0" w:rsidP="00B930D0">
            <w:pPr>
              <w:spacing w:before="40" w:after="4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w:t>
            </w:r>
          </w:p>
        </w:tc>
        <w:tc>
          <w:tcPr>
            <w:tcW w:w="828" w:type="dxa"/>
            <w:noWrap/>
            <w:hideMark/>
          </w:tcPr>
          <w:p w14:paraId="73FB1102" w14:textId="67E0701B" w:rsidR="003E005F" w:rsidRPr="000973F2" w:rsidRDefault="00B930D0" w:rsidP="00B930D0">
            <w:pPr>
              <w:tabs>
                <w:tab w:val="decimal" w:pos="556"/>
              </w:tabs>
              <w:spacing w:before="40" w:after="4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w:t>
            </w:r>
          </w:p>
        </w:tc>
      </w:tr>
      <w:tr w:rsidR="00B930D0" w:rsidRPr="000973F2" w14:paraId="4C5583F0" w14:textId="77777777" w:rsidTr="00B930D0">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1331" w:type="dxa"/>
            <w:hideMark/>
          </w:tcPr>
          <w:p w14:paraId="02849697" w14:textId="77777777" w:rsidR="0025278A" w:rsidRPr="000973F2" w:rsidRDefault="0025278A" w:rsidP="00B930D0">
            <w:pPr>
              <w:spacing w:before="40" w:after="4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Sampling and Analysis (Calculations)</w:t>
            </w:r>
          </w:p>
        </w:tc>
        <w:tc>
          <w:tcPr>
            <w:tcW w:w="808" w:type="dxa"/>
            <w:noWrap/>
            <w:hideMark/>
          </w:tcPr>
          <w:p w14:paraId="3391C8F8" w14:textId="77777777" w:rsidR="0025278A" w:rsidRPr="000973F2" w:rsidRDefault="0025278A" w:rsidP="00B930D0">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0</w:t>
            </w:r>
          </w:p>
        </w:tc>
        <w:tc>
          <w:tcPr>
            <w:tcW w:w="809" w:type="dxa"/>
            <w:noWrap/>
            <w:hideMark/>
          </w:tcPr>
          <w:p w14:paraId="7AD79FB6" w14:textId="77777777" w:rsidR="0025278A" w:rsidRPr="000973F2" w:rsidRDefault="0025278A" w:rsidP="00B930D0">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0</w:t>
            </w:r>
          </w:p>
        </w:tc>
        <w:tc>
          <w:tcPr>
            <w:tcW w:w="809" w:type="dxa"/>
            <w:noWrap/>
            <w:hideMark/>
          </w:tcPr>
          <w:p w14:paraId="3D170892" w14:textId="77777777" w:rsidR="0025278A" w:rsidRPr="000973F2" w:rsidRDefault="0025278A" w:rsidP="00B930D0">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0</w:t>
            </w:r>
          </w:p>
        </w:tc>
        <w:tc>
          <w:tcPr>
            <w:tcW w:w="809" w:type="dxa"/>
            <w:noWrap/>
            <w:hideMark/>
          </w:tcPr>
          <w:p w14:paraId="37B0A1D4" w14:textId="77777777" w:rsidR="0025278A" w:rsidRPr="000973F2" w:rsidRDefault="0025278A" w:rsidP="00B930D0">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0.7</w:t>
            </w:r>
          </w:p>
        </w:tc>
        <w:tc>
          <w:tcPr>
            <w:tcW w:w="808" w:type="dxa"/>
            <w:noWrap/>
            <w:hideMark/>
          </w:tcPr>
          <w:p w14:paraId="0E3D2539" w14:textId="77777777" w:rsidR="0025278A" w:rsidRPr="000973F2" w:rsidRDefault="0025278A" w:rsidP="00B930D0">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0</w:t>
            </w:r>
          </w:p>
        </w:tc>
        <w:tc>
          <w:tcPr>
            <w:tcW w:w="809" w:type="dxa"/>
            <w:noWrap/>
            <w:hideMark/>
          </w:tcPr>
          <w:p w14:paraId="5AC9C210" w14:textId="77777777" w:rsidR="0025278A" w:rsidRPr="000973F2" w:rsidRDefault="0025278A" w:rsidP="00B930D0">
            <w:pPr>
              <w:tabs>
                <w:tab w:val="decimal" w:pos="271"/>
              </w:tabs>
              <w:spacing w:before="40" w:after="4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13.6</w:t>
            </w:r>
          </w:p>
        </w:tc>
        <w:tc>
          <w:tcPr>
            <w:tcW w:w="809" w:type="dxa"/>
            <w:noWrap/>
            <w:hideMark/>
          </w:tcPr>
          <w:p w14:paraId="0926CF29" w14:textId="77777777" w:rsidR="0025278A" w:rsidRPr="000973F2" w:rsidRDefault="0025278A" w:rsidP="00B930D0">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0</w:t>
            </w:r>
          </w:p>
        </w:tc>
        <w:tc>
          <w:tcPr>
            <w:tcW w:w="809" w:type="dxa"/>
            <w:noWrap/>
            <w:hideMark/>
          </w:tcPr>
          <w:p w14:paraId="30E60839" w14:textId="77777777" w:rsidR="0025278A" w:rsidRPr="000973F2" w:rsidRDefault="0025278A" w:rsidP="00B930D0">
            <w:pPr>
              <w:tabs>
                <w:tab w:val="decimal" w:pos="271"/>
              </w:tabs>
              <w:spacing w:before="40" w:after="4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1.4</w:t>
            </w:r>
          </w:p>
        </w:tc>
        <w:tc>
          <w:tcPr>
            <w:tcW w:w="701" w:type="dxa"/>
            <w:noWrap/>
            <w:hideMark/>
          </w:tcPr>
          <w:p w14:paraId="03D6529F" w14:textId="612FA37D" w:rsidR="0025278A" w:rsidRPr="000973F2" w:rsidRDefault="0025278A" w:rsidP="00B930D0">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$0</w:t>
            </w:r>
          </w:p>
        </w:tc>
        <w:tc>
          <w:tcPr>
            <w:tcW w:w="828" w:type="dxa"/>
            <w:noWrap/>
            <w:hideMark/>
          </w:tcPr>
          <w:p w14:paraId="502C3E0E" w14:textId="7B9FD756" w:rsidR="0025278A" w:rsidRPr="000973F2" w:rsidRDefault="0025278A" w:rsidP="00B930D0">
            <w:pPr>
              <w:tabs>
                <w:tab w:val="decimal" w:pos="556"/>
              </w:tabs>
              <w:spacing w:before="40" w:after="4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$1,081</w:t>
            </w:r>
          </w:p>
        </w:tc>
      </w:tr>
      <w:tr w:rsidR="00B930D0" w:rsidRPr="000973F2" w14:paraId="3F649745" w14:textId="77777777" w:rsidTr="00B930D0">
        <w:trPr>
          <w:cantSplit/>
        </w:trPr>
        <w:tc>
          <w:tcPr>
            <w:cnfStyle w:val="001000000000" w:firstRow="0" w:lastRow="0" w:firstColumn="1" w:lastColumn="0" w:oddVBand="0" w:evenVBand="0" w:oddHBand="0" w:evenHBand="0" w:firstRowFirstColumn="0" w:firstRowLastColumn="0" w:lastRowFirstColumn="0" w:lastRowLastColumn="0"/>
            <w:tcW w:w="1331" w:type="dxa"/>
            <w:hideMark/>
          </w:tcPr>
          <w:p w14:paraId="07B37AC3" w14:textId="77777777" w:rsidR="003E005F" w:rsidRPr="000973F2" w:rsidRDefault="003E005F" w:rsidP="00B930D0">
            <w:pPr>
              <w:spacing w:before="40" w:after="4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Reporting</w:t>
            </w:r>
          </w:p>
        </w:tc>
        <w:tc>
          <w:tcPr>
            <w:tcW w:w="808" w:type="dxa"/>
            <w:noWrap/>
            <w:hideMark/>
          </w:tcPr>
          <w:p w14:paraId="0B7945E3" w14:textId="469E96EA" w:rsidR="003E005F" w:rsidRPr="000973F2" w:rsidRDefault="00B930D0" w:rsidP="00B930D0">
            <w:pPr>
              <w:spacing w:before="40" w:after="4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w:t>
            </w:r>
          </w:p>
        </w:tc>
        <w:tc>
          <w:tcPr>
            <w:tcW w:w="809" w:type="dxa"/>
            <w:noWrap/>
            <w:hideMark/>
          </w:tcPr>
          <w:p w14:paraId="467ACE09" w14:textId="07B8D3D9" w:rsidR="003E005F" w:rsidRPr="000973F2" w:rsidRDefault="00B930D0" w:rsidP="00B930D0">
            <w:pPr>
              <w:spacing w:before="40" w:after="4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w:t>
            </w:r>
          </w:p>
        </w:tc>
        <w:tc>
          <w:tcPr>
            <w:tcW w:w="809" w:type="dxa"/>
            <w:noWrap/>
            <w:hideMark/>
          </w:tcPr>
          <w:p w14:paraId="703F0E6D" w14:textId="20141E62" w:rsidR="003E005F" w:rsidRPr="000973F2" w:rsidRDefault="00B930D0" w:rsidP="00B930D0">
            <w:pPr>
              <w:spacing w:before="40" w:after="4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w:t>
            </w:r>
          </w:p>
        </w:tc>
        <w:tc>
          <w:tcPr>
            <w:tcW w:w="809" w:type="dxa"/>
            <w:noWrap/>
            <w:hideMark/>
          </w:tcPr>
          <w:p w14:paraId="3E195FA9" w14:textId="75214255" w:rsidR="003E005F" w:rsidRPr="000973F2" w:rsidRDefault="00B930D0" w:rsidP="00B930D0">
            <w:pPr>
              <w:spacing w:before="40" w:after="4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w:t>
            </w:r>
          </w:p>
        </w:tc>
        <w:tc>
          <w:tcPr>
            <w:tcW w:w="808" w:type="dxa"/>
            <w:noWrap/>
            <w:hideMark/>
          </w:tcPr>
          <w:p w14:paraId="6E77BE2B" w14:textId="090949E6" w:rsidR="003E005F" w:rsidRPr="000973F2" w:rsidRDefault="00B930D0" w:rsidP="00B930D0">
            <w:pPr>
              <w:spacing w:before="40" w:after="4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w:t>
            </w:r>
          </w:p>
        </w:tc>
        <w:tc>
          <w:tcPr>
            <w:tcW w:w="809" w:type="dxa"/>
            <w:noWrap/>
            <w:hideMark/>
          </w:tcPr>
          <w:p w14:paraId="02C7676B" w14:textId="65CA9430" w:rsidR="003E005F" w:rsidRPr="000973F2" w:rsidRDefault="00B930D0" w:rsidP="00B930D0">
            <w:pPr>
              <w:tabs>
                <w:tab w:val="decimal" w:pos="271"/>
              </w:tabs>
              <w:spacing w:before="40" w:after="4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w:t>
            </w:r>
          </w:p>
        </w:tc>
        <w:tc>
          <w:tcPr>
            <w:tcW w:w="809" w:type="dxa"/>
            <w:noWrap/>
            <w:hideMark/>
          </w:tcPr>
          <w:p w14:paraId="36D727A6" w14:textId="5627DC5D" w:rsidR="003E005F" w:rsidRPr="000973F2" w:rsidRDefault="00B930D0" w:rsidP="00B930D0">
            <w:pPr>
              <w:spacing w:before="40" w:after="4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w:t>
            </w:r>
          </w:p>
        </w:tc>
        <w:tc>
          <w:tcPr>
            <w:tcW w:w="809" w:type="dxa"/>
            <w:noWrap/>
            <w:hideMark/>
          </w:tcPr>
          <w:p w14:paraId="7718D27C" w14:textId="267B9522" w:rsidR="003E005F" w:rsidRPr="000973F2" w:rsidRDefault="00B930D0" w:rsidP="00B930D0">
            <w:pPr>
              <w:tabs>
                <w:tab w:val="decimal" w:pos="271"/>
              </w:tabs>
              <w:spacing w:before="40" w:after="4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w:t>
            </w:r>
          </w:p>
        </w:tc>
        <w:tc>
          <w:tcPr>
            <w:tcW w:w="701" w:type="dxa"/>
            <w:noWrap/>
            <w:hideMark/>
          </w:tcPr>
          <w:p w14:paraId="0E4FE552" w14:textId="35B41CD5" w:rsidR="003E005F" w:rsidRPr="000973F2" w:rsidRDefault="00B930D0" w:rsidP="00B930D0">
            <w:pPr>
              <w:spacing w:before="40" w:after="4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w:t>
            </w:r>
          </w:p>
        </w:tc>
        <w:tc>
          <w:tcPr>
            <w:tcW w:w="828" w:type="dxa"/>
            <w:noWrap/>
            <w:hideMark/>
          </w:tcPr>
          <w:p w14:paraId="2A1D4173" w14:textId="25BB4DE2" w:rsidR="003E005F" w:rsidRPr="000973F2" w:rsidRDefault="00B930D0" w:rsidP="00B930D0">
            <w:pPr>
              <w:tabs>
                <w:tab w:val="decimal" w:pos="556"/>
              </w:tabs>
              <w:spacing w:before="40" w:after="4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w:t>
            </w:r>
          </w:p>
        </w:tc>
      </w:tr>
      <w:tr w:rsidR="00B930D0" w:rsidRPr="000973F2" w14:paraId="46E98AC2" w14:textId="77777777" w:rsidTr="00B930D0">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1331" w:type="dxa"/>
            <w:noWrap/>
            <w:hideMark/>
          </w:tcPr>
          <w:p w14:paraId="110BF847" w14:textId="77777777" w:rsidR="0025278A" w:rsidRPr="000973F2" w:rsidRDefault="0025278A" w:rsidP="00B930D0">
            <w:pPr>
              <w:spacing w:before="40" w:after="40"/>
              <w:rPr>
                <w:rFonts w:ascii="Times New Roman" w:eastAsia="Times New Roman" w:hAnsi="Times New Roman" w:cs="Times New Roman"/>
                <w:b/>
                <w:bCs w:val="0"/>
                <w:sz w:val="18"/>
                <w:szCs w:val="18"/>
              </w:rPr>
            </w:pPr>
            <w:r w:rsidRPr="000973F2">
              <w:rPr>
                <w:rFonts w:ascii="Times New Roman" w:eastAsia="Times New Roman" w:hAnsi="Times New Roman" w:cs="Times New Roman"/>
                <w:b/>
                <w:sz w:val="18"/>
                <w:szCs w:val="18"/>
              </w:rPr>
              <w:t>Total</w:t>
            </w:r>
          </w:p>
        </w:tc>
        <w:tc>
          <w:tcPr>
            <w:tcW w:w="808" w:type="dxa"/>
            <w:noWrap/>
            <w:hideMark/>
          </w:tcPr>
          <w:p w14:paraId="134076D7" w14:textId="77777777" w:rsidR="0025278A" w:rsidRPr="000973F2" w:rsidRDefault="0025278A" w:rsidP="00B930D0">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18"/>
                <w:szCs w:val="18"/>
              </w:rPr>
            </w:pPr>
            <w:r w:rsidRPr="000973F2">
              <w:rPr>
                <w:rFonts w:ascii="Times New Roman" w:eastAsia="Times New Roman" w:hAnsi="Times New Roman" w:cs="Times New Roman"/>
                <w:b/>
                <w:bCs/>
                <w:sz w:val="18"/>
                <w:szCs w:val="18"/>
              </w:rPr>
              <w:t>0</w:t>
            </w:r>
          </w:p>
        </w:tc>
        <w:tc>
          <w:tcPr>
            <w:tcW w:w="809" w:type="dxa"/>
            <w:noWrap/>
            <w:hideMark/>
          </w:tcPr>
          <w:p w14:paraId="2B1BCEAE" w14:textId="77777777" w:rsidR="0025278A" w:rsidRPr="000973F2" w:rsidRDefault="0025278A" w:rsidP="00B930D0">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18"/>
                <w:szCs w:val="18"/>
              </w:rPr>
            </w:pPr>
            <w:r w:rsidRPr="000973F2">
              <w:rPr>
                <w:rFonts w:ascii="Times New Roman" w:eastAsia="Times New Roman" w:hAnsi="Times New Roman" w:cs="Times New Roman"/>
                <w:b/>
                <w:bCs/>
                <w:sz w:val="18"/>
                <w:szCs w:val="18"/>
              </w:rPr>
              <w:t>2</w:t>
            </w:r>
          </w:p>
        </w:tc>
        <w:tc>
          <w:tcPr>
            <w:tcW w:w="809" w:type="dxa"/>
            <w:noWrap/>
            <w:hideMark/>
          </w:tcPr>
          <w:p w14:paraId="64D4A201" w14:textId="77777777" w:rsidR="0025278A" w:rsidRPr="000973F2" w:rsidRDefault="0025278A" w:rsidP="00B930D0">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18"/>
                <w:szCs w:val="18"/>
              </w:rPr>
            </w:pPr>
            <w:r w:rsidRPr="000973F2">
              <w:rPr>
                <w:rFonts w:ascii="Times New Roman" w:eastAsia="Times New Roman" w:hAnsi="Times New Roman" w:cs="Times New Roman"/>
                <w:b/>
                <w:bCs/>
                <w:sz w:val="18"/>
                <w:szCs w:val="18"/>
              </w:rPr>
              <w:t>0</w:t>
            </w:r>
          </w:p>
        </w:tc>
        <w:tc>
          <w:tcPr>
            <w:tcW w:w="809" w:type="dxa"/>
            <w:noWrap/>
            <w:hideMark/>
          </w:tcPr>
          <w:p w14:paraId="4C57F46D" w14:textId="77777777" w:rsidR="0025278A" w:rsidRPr="000973F2" w:rsidRDefault="0025278A" w:rsidP="00B930D0">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18"/>
                <w:szCs w:val="18"/>
              </w:rPr>
            </w:pPr>
            <w:r w:rsidRPr="000973F2">
              <w:rPr>
                <w:rFonts w:ascii="Times New Roman" w:eastAsia="Times New Roman" w:hAnsi="Times New Roman" w:cs="Times New Roman"/>
                <w:b/>
                <w:bCs/>
                <w:sz w:val="18"/>
                <w:szCs w:val="18"/>
              </w:rPr>
              <w:t>2.7</w:t>
            </w:r>
          </w:p>
        </w:tc>
        <w:tc>
          <w:tcPr>
            <w:tcW w:w="808" w:type="dxa"/>
            <w:noWrap/>
            <w:hideMark/>
          </w:tcPr>
          <w:p w14:paraId="6548E14C" w14:textId="77777777" w:rsidR="0025278A" w:rsidRPr="000973F2" w:rsidRDefault="0025278A" w:rsidP="00B930D0">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18"/>
                <w:szCs w:val="18"/>
              </w:rPr>
            </w:pPr>
            <w:r w:rsidRPr="000973F2">
              <w:rPr>
                <w:rFonts w:ascii="Times New Roman" w:eastAsia="Times New Roman" w:hAnsi="Times New Roman" w:cs="Times New Roman"/>
                <w:b/>
                <w:bCs/>
                <w:sz w:val="18"/>
                <w:szCs w:val="18"/>
              </w:rPr>
              <w:t>0</w:t>
            </w:r>
          </w:p>
        </w:tc>
        <w:tc>
          <w:tcPr>
            <w:tcW w:w="809" w:type="dxa"/>
            <w:noWrap/>
            <w:hideMark/>
          </w:tcPr>
          <w:p w14:paraId="37F8096F" w14:textId="77777777" w:rsidR="0025278A" w:rsidRPr="000973F2" w:rsidRDefault="0025278A" w:rsidP="00B930D0">
            <w:pPr>
              <w:tabs>
                <w:tab w:val="decimal" w:pos="271"/>
              </w:tabs>
              <w:spacing w:before="40" w:after="4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18"/>
                <w:szCs w:val="18"/>
              </w:rPr>
            </w:pPr>
            <w:r w:rsidRPr="000973F2">
              <w:rPr>
                <w:rFonts w:ascii="Times New Roman" w:eastAsia="Times New Roman" w:hAnsi="Times New Roman" w:cs="Times New Roman"/>
                <w:b/>
                <w:bCs/>
                <w:sz w:val="18"/>
                <w:szCs w:val="18"/>
              </w:rPr>
              <w:t>13.6</w:t>
            </w:r>
          </w:p>
        </w:tc>
        <w:tc>
          <w:tcPr>
            <w:tcW w:w="809" w:type="dxa"/>
            <w:noWrap/>
            <w:hideMark/>
          </w:tcPr>
          <w:p w14:paraId="418EC596" w14:textId="77777777" w:rsidR="0025278A" w:rsidRPr="000973F2" w:rsidRDefault="0025278A" w:rsidP="00B930D0">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18"/>
                <w:szCs w:val="18"/>
              </w:rPr>
            </w:pPr>
            <w:r w:rsidRPr="000973F2">
              <w:rPr>
                <w:rFonts w:ascii="Times New Roman" w:eastAsia="Times New Roman" w:hAnsi="Times New Roman" w:cs="Times New Roman"/>
                <w:b/>
                <w:bCs/>
                <w:sz w:val="18"/>
                <w:szCs w:val="18"/>
              </w:rPr>
              <w:t>0</w:t>
            </w:r>
          </w:p>
        </w:tc>
        <w:tc>
          <w:tcPr>
            <w:tcW w:w="809" w:type="dxa"/>
            <w:noWrap/>
            <w:hideMark/>
          </w:tcPr>
          <w:p w14:paraId="1D3ED24D" w14:textId="77777777" w:rsidR="0025278A" w:rsidRPr="000973F2" w:rsidRDefault="0025278A" w:rsidP="00B930D0">
            <w:pPr>
              <w:tabs>
                <w:tab w:val="decimal" w:pos="271"/>
              </w:tabs>
              <w:spacing w:before="40" w:after="4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18"/>
                <w:szCs w:val="18"/>
              </w:rPr>
            </w:pPr>
            <w:r w:rsidRPr="000973F2">
              <w:rPr>
                <w:rFonts w:ascii="Times New Roman" w:eastAsia="Times New Roman" w:hAnsi="Times New Roman" w:cs="Times New Roman"/>
                <w:b/>
                <w:bCs/>
                <w:sz w:val="18"/>
                <w:szCs w:val="18"/>
              </w:rPr>
              <w:t>1.4</w:t>
            </w:r>
          </w:p>
        </w:tc>
        <w:tc>
          <w:tcPr>
            <w:tcW w:w="701" w:type="dxa"/>
            <w:noWrap/>
            <w:hideMark/>
          </w:tcPr>
          <w:p w14:paraId="0E16A067" w14:textId="3E14FD3F" w:rsidR="0025278A" w:rsidRPr="000973F2" w:rsidRDefault="0025278A" w:rsidP="00B930D0">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18"/>
                <w:szCs w:val="18"/>
              </w:rPr>
            </w:pPr>
            <w:r w:rsidRPr="000973F2">
              <w:rPr>
                <w:rFonts w:ascii="Times New Roman" w:eastAsia="Times New Roman" w:hAnsi="Times New Roman" w:cs="Times New Roman"/>
                <w:b/>
                <w:bCs/>
                <w:sz w:val="18"/>
                <w:szCs w:val="18"/>
              </w:rPr>
              <w:t>$0</w:t>
            </w:r>
          </w:p>
        </w:tc>
        <w:tc>
          <w:tcPr>
            <w:tcW w:w="828" w:type="dxa"/>
            <w:noWrap/>
            <w:hideMark/>
          </w:tcPr>
          <w:p w14:paraId="15144D63" w14:textId="46442F3B" w:rsidR="0025278A" w:rsidRPr="000973F2" w:rsidRDefault="0025278A" w:rsidP="00B930D0">
            <w:pPr>
              <w:tabs>
                <w:tab w:val="decimal" w:pos="556"/>
              </w:tabs>
              <w:spacing w:before="40" w:after="4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18"/>
                <w:szCs w:val="18"/>
              </w:rPr>
            </w:pPr>
            <w:r w:rsidRPr="000973F2">
              <w:rPr>
                <w:rFonts w:ascii="Times New Roman" w:eastAsia="Times New Roman" w:hAnsi="Times New Roman" w:cs="Times New Roman"/>
                <w:b/>
                <w:bCs/>
                <w:sz w:val="18"/>
                <w:szCs w:val="18"/>
              </w:rPr>
              <w:t>$1,480</w:t>
            </w:r>
          </w:p>
        </w:tc>
      </w:tr>
    </w:tbl>
    <w:p w14:paraId="087D0C5F" w14:textId="77777777" w:rsidR="0025278A" w:rsidRPr="000973F2" w:rsidRDefault="0025278A" w:rsidP="00C00E4F">
      <w:pPr>
        <w:spacing w:line="240" w:lineRule="auto"/>
        <w:rPr>
          <w:rFonts w:ascii="Times New Roman" w:hAnsi="Times New Roman" w:cs="Times New Roman"/>
          <w:sz w:val="24"/>
          <w:szCs w:val="24"/>
        </w:rPr>
      </w:pPr>
    </w:p>
    <w:p w14:paraId="34A40A7A" w14:textId="77777777" w:rsidR="008A1B80" w:rsidRPr="000973F2" w:rsidRDefault="008A1B80" w:rsidP="00C00E4F">
      <w:pPr>
        <w:spacing w:line="240" w:lineRule="auto"/>
        <w:rPr>
          <w:rFonts w:ascii="Times New Roman" w:hAnsi="Times New Roman" w:cs="Times New Roman"/>
          <w:b/>
          <w:i/>
          <w:iCs/>
          <w:szCs w:val="24"/>
        </w:rPr>
      </w:pPr>
      <w:r w:rsidRPr="000973F2">
        <w:rPr>
          <w:rFonts w:ascii="Times New Roman" w:hAnsi="Times New Roman" w:cs="Times New Roman"/>
          <w:b/>
          <w:i/>
          <w:iCs/>
          <w:szCs w:val="24"/>
        </w:rPr>
        <w:br w:type="page"/>
      </w:r>
    </w:p>
    <w:p w14:paraId="40504E76" w14:textId="0D05DAB5" w:rsidR="0025278A" w:rsidRPr="000973F2" w:rsidRDefault="0025278A" w:rsidP="00002786">
      <w:pPr>
        <w:pStyle w:val="Heading2"/>
      </w:pPr>
      <w:r w:rsidRPr="000973F2">
        <w:t>Capital and O&amp;M Costs for Subpart L</w:t>
      </w:r>
    </w:p>
    <w:p w14:paraId="63DED650" w14:textId="4C345ACF" w:rsidR="0025278A" w:rsidRPr="000973F2" w:rsidRDefault="0025278A" w:rsidP="00002786">
      <w:pPr>
        <w:pStyle w:val="BodyText"/>
      </w:pPr>
      <w:r w:rsidRPr="000973F2">
        <w:t xml:space="preserve">Table </w:t>
      </w:r>
      <w:r w:rsidR="00002786" w:rsidRPr="000973F2">
        <w:t>L-</w:t>
      </w:r>
      <w:r w:rsidRPr="000973F2">
        <w:t>2 provides a summary of the capital and O&amp;M costs expected for Subpart L. Facilities will only incur O&amp;M costs associated with recordkeeping, as discussed in the Cost Appendix Introduction. No capital costs are expected.</w:t>
      </w:r>
    </w:p>
    <w:p w14:paraId="2FA2202E" w14:textId="1CDED2BE" w:rsidR="00F13D8C" w:rsidRPr="000973F2" w:rsidRDefault="00F13D8C" w:rsidP="00002786">
      <w:pPr>
        <w:pStyle w:val="Tabletitle"/>
      </w:pPr>
      <w:r w:rsidRPr="000973F2">
        <w:t xml:space="preserve">Table </w:t>
      </w:r>
      <w:r w:rsidR="00002786" w:rsidRPr="000973F2">
        <w:t>L-</w:t>
      </w:r>
      <w:r w:rsidRPr="000973F2">
        <w:t>2. Capital and O&amp;M Costs – Subpart L</w:t>
      </w:r>
    </w:p>
    <w:tbl>
      <w:tblPr>
        <w:tblStyle w:val="PlainTable1"/>
        <w:tblW w:w="5000" w:type="pct"/>
        <w:jc w:val="left"/>
        <w:tblLayout w:type="fixed"/>
        <w:tblCellMar>
          <w:left w:w="115" w:type="dxa"/>
          <w:right w:w="115" w:type="dxa"/>
        </w:tblCellMar>
        <w:tblLook w:val="04A0" w:firstRow="1" w:lastRow="0" w:firstColumn="1" w:lastColumn="0" w:noHBand="0" w:noVBand="1"/>
      </w:tblPr>
      <w:tblGrid>
        <w:gridCol w:w="2416"/>
        <w:gridCol w:w="1269"/>
        <w:gridCol w:w="1269"/>
        <w:gridCol w:w="1269"/>
        <w:gridCol w:w="1269"/>
        <w:gridCol w:w="1006"/>
        <w:gridCol w:w="1092"/>
      </w:tblGrid>
      <w:tr w:rsidR="00FF36E8" w:rsidRPr="000973F2" w14:paraId="1BCB2254" w14:textId="77777777" w:rsidTr="00002786">
        <w:trPr>
          <w:cnfStyle w:val="100000000000" w:firstRow="1" w:lastRow="0" w:firstColumn="0" w:lastColumn="0" w:oddVBand="0" w:evenVBand="0" w:oddHBand="0" w:evenHBand="0" w:firstRowFirstColumn="0" w:firstRowLastColumn="0" w:lastRowFirstColumn="0" w:lastRowLastColumn="0"/>
          <w:cantSplit/>
          <w:jc w:val="left"/>
        </w:trPr>
        <w:tc>
          <w:tcPr>
            <w:cnfStyle w:val="001000000000" w:firstRow="0" w:lastRow="0" w:firstColumn="1" w:lastColumn="0" w:oddVBand="0" w:evenVBand="0" w:oddHBand="0" w:evenHBand="0" w:firstRowFirstColumn="0" w:firstRowLastColumn="0" w:lastRowFirstColumn="0" w:lastRowLastColumn="0"/>
            <w:tcW w:w="2350" w:type="dxa"/>
            <w:vMerge w:val="restart"/>
            <w:noWrap/>
            <w:vAlign w:val="top"/>
            <w:hideMark/>
          </w:tcPr>
          <w:p w14:paraId="0150E681" w14:textId="2B477501" w:rsidR="00FF36E8" w:rsidRPr="000973F2" w:rsidRDefault="00FF36E8" w:rsidP="00002786">
            <w:pPr>
              <w:spacing w:before="40" w:after="40"/>
              <w:rPr>
                <w:rFonts w:ascii="Times New Roman" w:eastAsia="Times New Roman" w:hAnsi="Times New Roman" w:cs="Times New Roman"/>
                <w:bCs w:val="0"/>
                <w:sz w:val="18"/>
                <w:szCs w:val="18"/>
              </w:rPr>
            </w:pPr>
            <w:r w:rsidRPr="000973F2">
              <w:rPr>
                <w:rFonts w:ascii="Times New Roman" w:eastAsia="Times New Roman" w:hAnsi="Times New Roman" w:cs="Times New Roman"/>
                <w:sz w:val="18"/>
                <w:szCs w:val="18"/>
              </w:rPr>
              <w:t>Activity</w:t>
            </w:r>
          </w:p>
        </w:tc>
        <w:tc>
          <w:tcPr>
            <w:tcW w:w="4939" w:type="dxa"/>
            <w:gridSpan w:val="4"/>
            <w:noWrap/>
            <w:vAlign w:val="top"/>
            <w:hideMark/>
          </w:tcPr>
          <w:p w14:paraId="17A79A03" w14:textId="77777777" w:rsidR="00FF36E8" w:rsidRPr="000973F2" w:rsidRDefault="00FF36E8" w:rsidP="00002786">
            <w:pPr>
              <w:spacing w:before="40" w:after="40"/>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Cs w:val="0"/>
                <w:sz w:val="18"/>
                <w:szCs w:val="18"/>
              </w:rPr>
            </w:pPr>
            <w:r w:rsidRPr="000973F2">
              <w:rPr>
                <w:rFonts w:ascii="Times New Roman" w:eastAsia="Times New Roman" w:hAnsi="Times New Roman" w:cs="Times New Roman"/>
                <w:bCs w:val="0"/>
                <w:sz w:val="18"/>
                <w:szCs w:val="18"/>
              </w:rPr>
              <w:t>Cost Categories</w:t>
            </w:r>
          </w:p>
        </w:tc>
        <w:tc>
          <w:tcPr>
            <w:tcW w:w="2041" w:type="dxa"/>
            <w:gridSpan w:val="2"/>
            <w:vAlign w:val="top"/>
            <w:hideMark/>
          </w:tcPr>
          <w:p w14:paraId="13CC32F2" w14:textId="77777777" w:rsidR="00FF36E8" w:rsidRPr="000973F2" w:rsidRDefault="00FF36E8" w:rsidP="00002786">
            <w:pPr>
              <w:spacing w:before="40" w:after="40"/>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Cs w:val="0"/>
                <w:sz w:val="18"/>
                <w:szCs w:val="18"/>
              </w:rPr>
            </w:pPr>
            <w:r w:rsidRPr="000973F2">
              <w:rPr>
                <w:rFonts w:ascii="Times New Roman" w:eastAsia="Times New Roman" w:hAnsi="Times New Roman" w:cs="Times New Roman"/>
                <w:bCs w:val="0"/>
                <w:sz w:val="18"/>
                <w:szCs w:val="18"/>
              </w:rPr>
              <w:t>Total Capital and O&amp;M Cost per Year per Facility (2017$)</w:t>
            </w:r>
          </w:p>
        </w:tc>
      </w:tr>
      <w:tr w:rsidR="00FF36E8" w:rsidRPr="000973F2" w14:paraId="11113B56" w14:textId="77777777" w:rsidTr="00002786">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2350" w:type="dxa"/>
            <w:vMerge/>
            <w:noWrap/>
            <w:hideMark/>
          </w:tcPr>
          <w:p w14:paraId="5AF0B962" w14:textId="46D17A44" w:rsidR="00FF36E8" w:rsidRPr="000973F2" w:rsidRDefault="00FF36E8" w:rsidP="00002786">
            <w:pPr>
              <w:spacing w:before="40" w:after="40"/>
              <w:jc w:val="center"/>
              <w:rPr>
                <w:rFonts w:ascii="Times New Roman" w:eastAsia="Times New Roman" w:hAnsi="Times New Roman" w:cs="Times New Roman"/>
                <w:b/>
                <w:bCs w:val="0"/>
                <w:sz w:val="18"/>
                <w:szCs w:val="18"/>
              </w:rPr>
            </w:pPr>
          </w:p>
        </w:tc>
        <w:tc>
          <w:tcPr>
            <w:tcW w:w="1234" w:type="dxa"/>
            <w:hideMark/>
          </w:tcPr>
          <w:p w14:paraId="6004C405" w14:textId="77777777" w:rsidR="00FF36E8" w:rsidRPr="000973F2" w:rsidRDefault="00FF36E8" w:rsidP="00002786">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18"/>
                <w:szCs w:val="18"/>
              </w:rPr>
            </w:pPr>
            <w:r w:rsidRPr="000973F2">
              <w:rPr>
                <w:rFonts w:ascii="Times New Roman" w:eastAsia="Times New Roman" w:hAnsi="Times New Roman" w:cs="Times New Roman"/>
                <w:b/>
                <w:bCs/>
                <w:sz w:val="18"/>
                <w:szCs w:val="18"/>
              </w:rPr>
              <w:t>Capital Cost (2017$)</w:t>
            </w:r>
          </w:p>
        </w:tc>
        <w:tc>
          <w:tcPr>
            <w:tcW w:w="1235" w:type="dxa"/>
            <w:hideMark/>
          </w:tcPr>
          <w:p w14:paraId="31E0ED0D" w14:textId="77777777" w:rsidR="00FF36E8" w:rsidRPr="000973F2" w:rsidRDefault="00FF36E8" w:rsidP="00002786">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18"/>
                <w:szCs w:val="18"/>
              </w:rPr>
            </w:pPr>
            <w:r w:rsidRPr="000973F2">
              <w:rPr>
                <w:rFonts w:ascii="Times New Roman" w:eastAsia="Times New Roman" w:hAnsi="Times New Roman" w:cs="Times New Roman"/>
                <w:b/>
                <w:bCs/>
                <w:sz w:val="18"/>
                <w:szCs w:val="18"/>
              </w:rPr>
              <w:t>Equipment Lifetime</w:t>
            </w:r>
          </w:p>
        </w:tc>
        <w:tc>
          <w:tcPr>
            <w:tcW w:w="1235" w:type="dxa"/>
            <w:hideMark/>
          </w:tcPr>
          <w:p w14:paraId="1CF2E185" w14:textId="77777777" w:rsidR="00FF36E8" w:rsidRPr="000973F2" w:rsidRDefault="00FF36E8" w:rsidP="00002786">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18"/>
                <w:szCs w:val="18"/>
              </w:rPr>
            </w:pPr>
            <w:r w:rsidRPr="000973F2">
              <w:rPr>
                <w:rFonts w:ascii="Times New Roman" w:eastAsia="Times New Roman" w:hAnsi="Times New Roman" w:cs="Times New Roman"/>
                <w:b/>
                <w:bCs/>
                <w:sz w:val="18"/>
                <w:szCs w:val="18"/>
              </w:rPr>
              <w:t>Annualized Capital Cost (2017$/year)</w:t>
            </w:r>
          </w:p>
        </w:tc>
        <w:tc>
          <w:tcPr>
            <w:tcW w:w="1235" w:type="dxa"/>
            <w:hideMark/>
          </w:tcPr>
          <w:p w14:paraId="2CC25DF8" w14:textId="77777777" w:rsidR="00FF36E8" w:rsidRPr="000973F2" w:rsidRDefault="00FF36E8" w:rsidP="00002786">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18"/>
                <w:szCs w:val="18"/>
              </w:rPr>
            </w:pPr>
            <w:r w:rsidRPr="000973F2">
              <w:rPr>
                <w:rFonts w:ascii="Times New Roman" w:eastAsia="Times New Roman" w:hAnsi="Times New Roman" w:cs="Times New Roman"/>
                <w:b/>
                <w:bCs/>
                <w:sz w:val="18"/>
                <w:szCs w:val="18"/>
              </w:rPr>
              <w:t>O&amp;M Costs (2017$/year)</w:t>
            </w:r>
          </w:p>
        </w:tc>
        <w:tc>
          <w:tcPr>
            <w:tcW w:w="979" w:type="dxa"/>
            <w:hideMark/>
          </w:tcPr>
          <w:p w14:paraId="379BC4D7" w14:textId="77777777" w:rsidR="00FF36E8" w:rsidRPr="000973F2" w:rsidRDefault="00FF36E8" w:rsidP="00002786">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18"/>
                <w:szCs w:val="18"/>
              </w:rPr>
            </w:pPr>
            <w:r w:rsidRPr="000973F2">
              <w:rPr>
                <w:rFonts w:ascii="Times New Roman" w:eastAsia="Times New Roman" w:hAnsi="Times New Roman" w:cs="Times New Roman"/>
                <w:b/>
                <w:bCs/>
                <w:sz w:val="18"/>
                <w:szCs w:val="18"/>
              </w:rPr>
              <w:t>Initial Year</w:t>
            </w:r>
          </w:p>
        </w:tc>
        <w:tc>
          <w:tcPr>
            <w:tcW w:w="1062" w:type="dxa"/>
            <w:hideMark/>
          </w:tcPr>
          <w:p w14:paraId="6DDB4C76" w14:textId="77777777" w:rsidR="00FF36E8" w:rsidRPr="000973F2" w:rsidRDefault="00FF36E8" w:rsidP="00002786">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18"/>
                <w:szCs w:val="18"/>
              </w:rPr>
            </w:pPr>
            <w:r w:rsidRPr="000973F2">
              <w:rPr>
                <w:rFonts w:ascii="Times New Roman" w:eastAsia="Times New Roman" w:hAnsi="Times New Roman" w:cs="Times New Roman"/>
                <w:b/>
                <w:bCs/>
                <w:sz w:val="18"/>
                <w:szCs w:val="18"/>
              </w:rPr>
              <w:t>Subseq. Years</w:t>
            </w:r>
          </w:p>
        </w:tc>
      </w:tr>
      <w:tr w:rsidR="003E005F" w:rsidRPr="000973F2" w14:paraId="575F561F" w14:textId="77777777" w:rsidTr="00002786">
        <w:trPr>
          <w:cantSplit/>
        </w:trPr>
        <w:tc>
          <w:tcPr>
            <w:cnfStyle w:val="001000000000" w:firstRow="0" w:lastRow="0" w:firstColumn="1" w:lastColumn="0" w:oddVBand="0" w:evenVBand="0" w:oddHBand="0" w:evenHBand="0" w:firstRowFirstColumn="0" w:firstRowLastColumn="0" w:lastRowFirstColumn="0" w:lastRowLastColumn="0"/>
            <w:tcW w:w="2350" w:type="dxa"/>
            <w:hideMark/>
          </w:tcPr>
          <w:p w14:paraId="5D1E1E71" w14:textId="77777777" w:rsidR="003E005F" w:rsidRPr="000973F2" w:rsidRDefault="003E005F" w:rsidP="00002786">
            <w:pPr>
              <w:spacing w:before="40" w:after="4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Equipment (selection, purchase, installation)</w:t>
            </w:r>
          </w:p>
        </w:tc>
        <w:tc>
          <w:tcPr>
            <w:tcW w:w="1234" w:type="dxa"/>
            <w:noWrap/>
            <w:hideMark/>
          </w:tcPr>
          <w:p w14:paraId="6782CAD6" w14:textId="64F2DA56" w:rsidR="003E005F" w:rsidRPr="000973F2" w:rsidRDefault="00002786" w:rsidP="00002786">
            <w:pPr>
              <w:spacing w:before="40" w:after="4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w:t>
            </w:r>
          </w:p>
        </w:tc>
        <w:tc>
          <w:tcPr>
            <w:tcW w:w="1235" w:type="dxa"/>
            <w:noWrap/>
          </w:tcPr>
          <w:p w14:paraId="1FAC6244" w14:textId="079EDC43" w:rsidR="003E005F" w:rsidRPr="000973F2" w:rsidRDefault="003E005F" w:rsidP="00002786">
            <w:pPr>
              <w:spacing w:before="40" w:after="4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p>
        </w:tc>
        <w:tc>
          <w:tcPr>
            <w:tcW w:w="1235" w:type="dxa"/>
            <w:noWrap/>
            <w:hideMark/>
          </w:tcPr>
          <w:p w14:paraId="33427B1C" w14:textId="7AAC1810" w:rsidR="003E005F" w:rsidRPr="000973F2" w:rsidRDefault="00002786" w:rsidP="00002786">
            <w:pPr>
              <w:spacing w:before="40" w:after="4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w:t>
            </w:r>
          </w:p>
        </w:tc>
        <w:tc>
          <w:tcPr>
            <w:tcW w:w="1235" w:type="dxa"/>
            <w:noWrap/>
            <w:hideMark/>
          </w:tcPr>
          <w:p w14:paraId="1879A1B0" w14:textId="7EB77BBF" w:rsidR="003E005F" w:rsidRPr="000973F2" w:rsidRDefault="00002786" w:rsidP="00002786">
            <w:pPr>
              <w:spacing w:before="40" w:after="4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w:t>
            </w:r>
          </w:p>
        </w:tc>
        <w:tc>
          <w:tcPr>
            <w:tcW w:w="979" w:type="dxa"/>
            <w:noWrap/>
            <w:hideMark/>
          </w:tcPr>
          <w:p w14:paraId="0D3C9F7A" w14:textId="6008652F" w:rsidR="003E005F" w:rsidRPr="000973F2" w:rsidRDefault="00002786" w:rsidP="00002786">
            <w:pPr>
              <w:spacing w:before="40" w:after="4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w:t>
            </w:r>
          </w:p>
        </w:tc>
        <w:tc>
          <w:tcPr>
            <w:tcW w:w="1062" w:type="dxa"/>
            <w:noWrap/>
            <w:hideMark/>
          </w:tcPr>
          <w:p w14:paraId="69BECA2F" w14:textId="5C0205CE" w:rsidR="003E005F" w:rsidRPr="000973F2" w:rsidRDefault="00002786" w:rsidP="00002786">
            <w:pPr>
              <w:spacing w:before="40" w:after="4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w:t>
            </w:r>
          </w:p>
        </w:tc>
      </w:tr>
      <w:tr w:rsidR="003E005F" w:rsidRPr="000973F2" w14:paraId="524102FB" w14:textId="77777777" w:rsidTr="00002786">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2350" w:type="dxa"/>
            <w:hideMark/>
          </w:tcPr>
          <w:p w14:paraId="7F77D66C" w14:textId="77777777" w:rsidR="003E005F" w:rsidRPr="000973F2" w:rsidRDefault="003E005F" w:rsidP="00002786">
            <w:pPr>
              <w:spacing w:before="40" w:after="4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Performance testing</w:t>
            </w:r>
          </w:p>
        </w:tc>
        <w:tc>
          <w:tcPr>
            <w:tcW w:w="1234" w:type="dxa"/>
            <w:noWrap/>
            <w:hideMark/>
          </w:tcPr>
          <w:p w14:paraId="3369F468" w14:textId="6E9F5802" w:rsidR="003E005F" w:rsidRPr="000973F2" w:rsidRDefault="00002786" w:rsidP="00002786">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w:t>
            </w:r>
          </w:p>
        </w:tc>
        <w:tc>
          <w:tcPr>
            <w:tcW w:w="1235" w:type="dxa"/>
            <w:noWrap/>
          </w:tcPr>
          <w:p w14:paraId="02D20756" w14:textId="7474AEC2" w:rsidR="003E005F" w:rsidRPr="000973F2" w:rsidRDefault="003E005F" w:rsidP="00002786">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p>
        </w:tc>
        <w:tc>
          <w:tcPr>
            <w:tcW w:w="1235" w:type="dxa"/>
            <w:noWrap/>
            <w:hideMark/>
          </w:tcPr>
          <w:p w14:paraId="4E7021A4" w14:textId="0C16F62E" w:rsidR="003E005F" w:rsidRPr="000973F2" w:rsidRDefault="00002786" w:rsidP="00002786">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w:t>
            </w:r>
          </w:p>
        </w:tc>
        <w:tc>
          <w:tcPr>
            <w:tcW w:w="1235" w:type="dxa"/>
            <w:noWrap/>
            <w:hideMark/>
          </w:tcPr>
          <w:p w14:paraId="3EC781A6" w14:textId="546A6C7D" w:rsidR="003E005F" w:rsidRPr="000973F2" w:rsidRDefault="00002786" w:rsidP="00002786">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w:t>
            </w:r>
          </w:p>
        </w:tc>
        <w:tc>
          <w:tcPr>
            <w:tcW w:w="979" w:type="dxa"/>
            <w:noWrap/>
            <w:hideMark/>
          </w:tcPr>
          <w:p w14:paraId="06C58B75" w14:textId="1581F8B2" w:rsidR="003E005F" w:rsidRPr="000973F2" w:rsidRDefault="00002786" w:rsidP="00002786">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w:t>
            </w:r>
          </w:p>
        </w:tc>
        <w:tc>
          <w:tcPr>
            <w:tcW w:w="1062" w:type="dxa"/>
            <w:noWrap/>
            <w:hideMark/>
          </w:tcPr>
          <w:p w14:paraId="6383CC49" w14:textId="33DA1FAD" w:rsidR="003E005F" w:rsidRPr="000973F2" w:rsidRDefault="00002786" w:rsidP="00002786">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w:t>
            </w:r>
          </w:p>
        </w:tc>
      </w:tr>
      <w:tr w:rsidR="0025278A" w:rsidRPr="000973F2" w14:paraId="7FD42B0D" w14:textId="77777777" w:rsidTr="00002786">
        <w:trPr>
          <w:cantSplit/>
        </w:trPr>
        <w:tc>
          <w:tcPr>
            <w:cnfStyle w:val="001000000000" w:firstRow="0" w:lastRow="0" w:firstColumn="1" w:lastColumn="0" w:oddVBand="0" w:evenVBand="0" w:oddHBand="0" w:evenHBand="0" w:firstRowFirstColumn="0" w:firstRowLastColumn="0" w:lastRowFirstColumn="0" w:lastRowLastColumn="0"/>
            <w:tcW w:w="2350" w:type="dxa"/>
            <w:hideMark/>
          </w:tcPr>
          <w:p w14:paraId="231C37B1" w14:textId="77777777" w:rsidR="0025278A" w:rsidRPr="000973F2" w:rsidRDefault="0025278A" w:rsidP="00002786">
            <w:pPr>
              <w:spacing w:before="40" w:after="4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Recordkeeping</w:t>
            </w:r>
          </w:p>
        </w:tc>
        <w:tc>
          <w:tcPr>
            <w:tcW w:w="1234" w:type="dxa"/>
            <w:noWrap/>
            <w:hideMark/>
          </w:tcPr>
          <w:p w14:paraId="0C915958" w14:textId="77777777" w:rsidR="0025278A" w:rsidRPr="000973F2" w:rsidRDefault="0025278A" w:rsidP="00002786">
            <w:pPr>
              <w:spacing w:before="40" w:after="4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$0</w:t>
            </w:r>
          </w:p>
        </w:tc>
        <w:tc>
          <w:tcPr>
            <w:tcW w:w="1235" w:type="dxa"/>
            <w:noWrap/>
          </w:tcPr>
          <w:p w14:paraId="3F1D48DB" w14:textId="77777777" w:rsidR="0025278A" w:rsidRPr="000973F2" w:rsidRDefault="0025278A" w:rsidP="00002786">
            <w:pPr>
              <w:spacing w:before="40" w:after="4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p>
        </w:tc>
        <w:tc>
          <w:tcPr>
            <w:tcW w:w="1235" w:type="dxa"/>
            <w:noWrap/>
            <w:hideMark/>
          </w:tcPr>
          <w:p w14:paraId="6180C2C3" w14:textId="77777777" w:rsidR="0025278A" w:rsidRPr="000973F2" w:rsidRDefault="0025278A" w:rsidP="00002786">
            <w:pPr>
              <w:spacing w:before="40" w:after="4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$0</w:t>
            </w:r>
          </w:p>
        </w:tc>
        <w:tc>
          <w:tcPr>
            <w:tcW w:w="1235" w:type="dxa"/>
            <w:noWrap/>
            <w:hideMark/>
          </w:tcPr>
          <w:p w14:paraId="23BC9E70" w14:textId="77777777" w:rsidR="0025278A" w:rsidRPr="000973F2" w:rsidRDefault="0025278A" w:rsidP="00002786">
            <w:pPr>
              <w:spacing w:before="40" w:after="4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$50</w:t>
            </w:r>
          </w:p>
        </w:tc>
        <w:tc>
          <w:tcPr>
            <w:tcW w:w="979" w:type="dxa"/>
            <w:noWrap/>
            <w:hideMark/>
          </w:tcPr>
          <w:p w14:paraId="1617023C" w14:textId="77777777" w:rsidR="0025278A" w:rsidRPr="000973F2" w:rsidRDefault="0025278A" w:rsidP="00002786">
            <w:pPr>
              <w:spacing w:before="40" w:after="4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$0</w:t>
            </w:r>
          </w:p>
        </w:tc>
        <w:tc>
          <w:tcPr>
            <w:tcW w:w="1062" w:type="dxa"/>
            <w:noWrap/>
            <w:hideMark/>
          </w:tcPr>
          <w:p w14:paraId="0BBD7F95" w14:textId="77777777" w:rsidR="0025278A" w:rsidRPr="000973F2" w:rsidRDefault="0025278A" w:rsidP="00002786">
            <w:pPr>
              <w:spacing w:before="40" w:after="4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$50</w:t>
            </w:r>
          </w:p>
        </w:tc>
      </w:tr>
      <w:tr w:rsidR="003E005F" w:rsidRPr="000973F2" w14:paraId="7D7CBAB0" w14:textId="77777777" w:rsidTr="00002786">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2350" w:type="dxa"/>
            <w:hideMark/>
          </w:tcPr>
          <w:p w14:paraId="09848D35" w14:textId="77777777" w:rsidR="003E005F" w:rsidRPr="000973F2" w:rsidRDefault="003E005F" w:rsidP="00002786">
            <w:pPr>
              <w:spacing w:before="40" w:after="4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Travel</w:t>
            </w:r>
          </w:p>
        </w:tc>
        <w:tc>
          <w:tcPr>
            <w:tcW w:w="1234" w:type="dxa"/>
            <w:noWrap/>
            <w:hideMark/>
          </w:tcPr>
          <w:p w14:paraId="3D29EAEB" w14:textId="191FBE1D" w:rsidR="003E005F" w:rsidRPr="000973F2" w:rsidRDefault="00002786" w:rsidP="00002786">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w:t>
            </w:r>
          </w:p>
        </w:tc>
        <w:tc>
          <w:tcPr>
            <w:tcW w:w="1235" w:type="dxa"/>
            <w:noWrap/>
          </w:tcPr>
          <w:p w14:paraId="0C2609D9" w14:textId="3B614010" w:rsidR="003E005F" w:rsidRPr="000973F2" w:rsidRDefault="003E005F" w:rsidP="00002786">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p>
        </w:tc>
        <w:tc>
          <w:tcPr>
            <w:tcW w:w="1235" w:type="dxa"/>
            <w:noWrap/>
            <w:hideMark/>
          </w:tcPr>
          <w:p w14:paraId="2A548075" w14:textId="647AC046" w:rsidR="003E005F" w:rsidRPr="000973F2" w:rsidRDefault="00002786" w:rsidP="00002786">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w:t>
            </w:r>
          </w:p>
        </w:tc>
        <w:tc>
          <w:tcPr>
            <w:tcW w:w="1235" w:type="dxa"/>
            <w:noWrap/>
            <w:hideMark/>
          </w:tcPr>
          <w:p w14:paraId="06D0CBF1" w14:textId="3322C41C" w:rsidR="003E005F" w:rsidRPr="000973F2" w:rsidRDefault="00002786" w:rsidP="00002786">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w:t>
            </w:r>
          </w:p>
        </w:tc>
        <w:tc>
          <w:tcPr>
            <w:tcW w:w="979" w:type="dxa"/>
            <w:noWrap/>
            <w:hideMark/>
          </w:tcPr>
          <w:p w14:paraId="132CA250" w14:textId="05CFBBB6" w:rsidR="003E005F" w:rsidRPr="000973F2" w:rsidRDefault="00002786" w:rsidP="00002786">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w:t>
            </w:r>
          </w:p>
        </w:tc>
        <w:tc>
          <w:tcPr>
            <w:tcW w:w="1062" w:type="dxa"/>
            <w:noWrap/>
            <w:hideMark/>
          </w:tcPr>
          <w:p w14:paraId="325B8EA9" w14:textId="5C79C1DA" w:rsidR="003E005F" w:rsidRPr="000973F2" w:rsidRDefault="00002786" w:rsidP="00002786">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w:t>
            </w:r>
          </w:p>
        </w:tc>
      </w:tr>
      <w:tr w:rsidR="003E005F" w:rsidRPr="000973F2" w14:paraId="68B9D834" w14:textId="77777777" w:rsidTr="00002786">
        <w:trPr>
          <w:cantSplit/>
        </w:trPr>
        <w:tc>
          <w:tcPr>
            <w:cnfStyle w:val="001000000000" w:firstRow="0" w:lastRow="0" w:firstColumn="1" w:lastColumn="0" w:oddVBand="0" w:evenVBand="0" w:oddHBand="0" w:evenHBand="0" w:firstRowFirstColumn="0" w:firstRowLastColumn="0" w:lastRowFirstColumn="0" w:lastRowLastColumn="0"/>
            <w:tcW w:w="2350" w:type="dxa"/>
            <w:hideMark/>
          </w:tcPr>
          <w:p w14:paraId="3512F536" w14:textId="1CBA72A1" w:rsidR="003E005F" w:rsidRPr="000973F2" w:rsidRDefault="003E005F" w:rsidP="00002786">
            <w:pPr>
              <w:spacing w:before="40" w:after="4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Sampling and Analysis Costs</w:t>
            </w:r>
          </w:p>
        </w:tc>
        <w:tc>
          <w:tcPr>
            <w:tcW w:w="1234" w:type="dxa"/>
            <w:noWrap/>
            <w:hideMark/>
          </w:tcPr>
          <w:p w14:paraId="3355FB73" w14:textId="3B9BB73C" w:rsidR="003E005F" w:rsidRPr="000973F2" w:rsidRDefault="00002786" w:rsidP="00002786">
            <w:pPr>
              <w:spacing w:before="40" w:after="4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w:t>
            </w:r>
          </w:p>
        </w:tc>
        <w:tc>
          <w:tcPr>
            <w:tcW w:w="1235" w:type="dxa"/>
            <w:noWrap/>
          </w:tcPr>
          <w:p w14:paraId="049C34A9" w14:textId="1CE37BC2" w:rsidR="003E005F" w:rsidRPr="000973F2" w:rsidRDefault="003E005F" w:rsidP="00002786">
            <w:pPr>
              <w:spacing w:before="40" w:after="4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p>
        </w:tc>
        <w:tc>
          <w:tcPr>
            <w:tcW w:w="1235" w:type="dxa"/>
            <w:noWrap/>
            <w:hideMark/>
          </w:tcPr>
          <w:p w14:paraId="779CEE9D" w14:textId="7A11A344" w:rsidR="003E005F" w:rsidRPr="000973F2" w:rsidRDefault="00002786" w:rsidP="00002786">
            <w:pPr>
              <w:spacing w:before="40" w:after="4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w:t>
            </w:r>
          </w:p>
        </w:tc>
        <w:tc>
          <w:tcPr>
            <w:tcW w:w="1235" w:type="dxa"/>
            <w:noWrap/>
            <w:hideMark/>
          </w:tcPr>
          <w:p w14:paraId="5A7AF837" w14:textId="5D5C477E" w:rsidR="003E005F" w:rsidRPr="000973F2" w:rsidRDefault="00002786" w:rsidP="00002786">
            <w:pPr>
              <w:spacing w:before="40" w:after="4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w:t>
            </w:r>
          </w:p>
        </w:tc>
        <w:tc>
          <w:tcPr>
            <w:tcW w:w="979" w:type="dxa"/>
            <w:noWrap/>
            <w:hideMark/>
          </w:tcPr>
          <w:p w14:paraId="3A91477F" w14:textId="156842E3" w:rsidR="003E005F" w:rsidRPr="000973F2" w:rsidRDefault="00002786" w:rsidP="00002786">
            <w:pPr>
              <w:spacing w:before="40" w:after="4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w:t>
            </w:r>
          </w:p>
        </w:tc>
        <w:tc>
          <w:tcPr>
            <w:tcW w:w="1062" w:type="dxa"/>
            <w:noWrap/>
            <w:hideMark/>
          </w:tcPr>
          <w:p w14:paraId="7270B417" w14:textId="713F4CD5" w:rsidR="003E005F" w:rsidRPr="000973F2" w:rsidRDefault="00002786" w:rsidP="00002786">
            <w:pPr>
              <w:spacing w:before="40" w:after="4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w:t>
            </w:r>
          </w:p>
        </w:tc>
      </w:tr>
      <w:tr w:rsidR="0025278A" w:rsidRPr="000973F2" w14:paraId="51FC32B9" w14:textId="77777777" w:rsidTr="00002786">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2350" w:type="dxa"/>
            <w:hideMark/>
          </w:tcPr>
          <w:p w14:paraId="3CA83ADA" w14:textId="77777777" w:rsidR="0025278A" w:rsidRPr="000973F2" w:rsidRDefault="0025278A" w:rsidP="00002786">
            <w:pPr>
              <w:spacing w:before="40" w:after="40"/>
              <w:rPr>
                <w:rFonts w:ascii="Times New Roman" w:eastAsia="Times New Roman" w:hAnsi="Times New Roman" w:cs="Times New Roman"/>
                <w:b/>
                <w:bCs w:val="0"/>
                <w:sz w:val="18"/>
                <w:szCs w:val="18"/>
              </w:rPr>
            </w:pPr>
            <w:r w:rsidRPr="000973F2">
              <w:rPr>
                <w:rFonts w:ascii="Times New Roman" w:eastAsia="Times New Roman" w:hAnsi="Times New Roman" w:cs="Times New Roman"/>
                <w:b/>
                <w:sz w:val="18"/>
                <w:szCs w:val="18"/>
              </w:rPr>
              <w:t xml:space="preserve">Total </w:t>
            </w:r>
          </w:p>
        </w:tc>
        <w:tc>
          <w:tcPr>
            <w:tcW w:w="1234" w:type="dxa"/>
            <w:noWrap/>
            <w:hideMark/>
          </w:tcPr>
          <w:p w14:paraId="1CE68F9E" w14:textId="77777777" w:rsidR="0025278A" w:rsidRPr="000973F2" w:rsidRDefault="0025278A" w:rsidP="00002786">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$0</w:t>
            </w:r>
          </w:p>
        </w:tc>
        <w:tc>
          <w:tcPr>
            <w:tcW w:w="1235" w:type="dxa"/>
            <w:noWrap/>
          </w:tcPr>
          <w:p w14:paraId="542072BE" w14:textId="77777777" w:rsidR="0025278A" w:rsidRPr="000973F2" w:rsidRDefault="0025278A" w:rsidP="00002786">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p>
        </w:tc>
        <w:tc>
          <w:tcPr>
            <w:tcW w:w="1235" w:type="dxa"/>
            <w:noWrap/>
            <w:hideMark/>
          </w:tcPr>
          <w:p w14:paraId="7BDED4C3" w14:textId="77777777" w:rsidR="0025278A" w:rsidRPr="000973F2" w:rsidRDefault="0025278A" w:rsidP="00002786">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$0</w:t>
            </w:r>
          </w:p>
        </w:tc>
        <w:tc>
          <w:tcPr>
            <w:tcW w:w="1235" w:type="dxa"/>
            <w:noWrap/>
            <w:hideMark/>
          </w:tcPr>
          <w:p w14:paraId="2E9532B4" w14:textId="77777777" w:rsidR="0025278A" w:rsidRPr="000973F2" w:rsidRDefault="0025278A" w:rsidP="00002786">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$50</w:t>
            </w:r>
          </w:p>
        </w:tc>
        <w:tc>
          <w:tcPr>
            <w:tcW w:w="979" w:type="dxa"/>
            <w:noWrap/>
            <w:hideMark/>
          </w:tcPr>
          <w:p w14:paraId="2CC6F297" w14:textId="77777777" w:rsidR="0025278A" w:rsidRPr="000973F2" w:rsidRDefault="0025278A" w:rsidP="00002786">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$0</w:t>
            </w:r>
          </w:p>
        </w:tc>
        <w:tc>
          <w:tcPr>
            <w:tcW w:w="1062" w:type="dxa"/>
            <w:noWrap/>
            <w:hideMark/>
          </w:tcPr>
          <w:p w14:paraId="67556478" w14:textId="77777777" w:rsidR="0025278A" w:rsidRPr="000973F2" w:rsidRDefault="0025278A" w:rsidP="00002786">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$50</w:t>
            </w:r>
          </w:p>
        </w:tc>
      </w:tr>
    </w:tbl>
    <w:p w14:paraId="3375992E" w14:textId="77777777" w:rsidR="00DC76F5" w:rsidRPr="000973F2" w:rsidRDefault="00DC76F5" w:rsidP="00002786">
      <w:pPr>
        <w:pStyle w:val="AfterTable"/>
      </w:pPr>
    </w:p>
    <w:p w14:paraId="63EC9BE9" w14:textId="77777777" w:rsidR="0025278A" w:rsidRPr="000973F2" w:rsidRDefault="0025278A" w:rsidP="00002786">
      <w:pPr>
        <w:pStyle w:val="Heading2"/>
      </w:pPr>
      <w:r w:rsidRPr="000973F2">
        <w:t>Total Costs for Subpart L</w:t>
      </w:r>
    </w:p>
    <w:p w14:paraId="07261D14" w14:textId="32E82808" w:rsidR="0025278A" w:rsidRPr="000973F2" w:rsidRDefault="0025278A" w:rsidP="00002786">
      <w:pPr>
        <w:pStyle w:val="BodyText"/>
      </w:pPr>
      <w:r w:rsidRPr="000973F2">
        <w:t>The total industry costs related to Subpart L are approximately $818,000 per year for a total of $2,45</w:t>
      </w:r>
      <w:r w:rsidR="008F751E" w:rsidRPr="000973F2">
        <w:t>5</w:t>
      </w:r>
      <w:r w:rsidRPr="000973F2">
        <w:t>,000 over the three-year period of the ICR. Fourteen facilities are expected to report in 2019, 2020, and 2021.</w:t>
      </w:r>
    </w:p>
    <w:p w14:paraId="51441363" w14:textId="27D5573D" w:rsidR="0025278A" w:rsidRPr="000973F2" w:rsidRDefault="0025278A" w:rsidP="00C00E4F">
      <w:pPr>
        <w:spacing w:line="240" w:lineRule="auto"/>
        <w:rPr>
          <w:rFonts w:ascii="Times New Roman" w:hAnsi="Times New Roman" w:cs="Times New Roman"/>
        </w:rPr>
      </w:pPr>
      <w:r w:rsidRPr="000973F2">
        <w:rPr>
          <w:rFonts w:ascii="Times New Roman" w:hAnsi="Times New Roman" w:cs="Times New Roman"/>
        </w:rPr>
        <w:br w:type="page"/>
      </w:r>
    </w:p>
    <w:p w14:paraId="60DD2418" w14:textId="0F5489A9" w:rsidR="00813F0B" w:rsidRPr="000973F2" w:rsidRDefault="00813F0B" w:rsidP="00DA4BD6">
      <w:pPr>
        <w:pStyle w:val="Heading1"/>
      </w:pPr>
      <w:bookmarkStart w:id="26" w:name="_Toc10715605"/>
      <w:r w:rsidRPr="000973F2">
        <w:t>Cost Appendix</w:t>
      </w:r>
      <w:r w:rsidR="002A4792" w:rsidRPr="000973F2">
        <w:t xml:space="preserve"> for</w:t>
      </w:r>
      <w:r w:rsidRPr="000973F2">
        <w:t xml:space="preserve"> Subpart N – Glass Production</w:t>
      </w:r>
      <w:bookmarkEnd w:id="26"/>
    </w:p>
    <w:p w14:paraId="1EBEA3EF" w14:textId="77777777" w:rsidR="00813F0B" w:rsidRPr="000973F2" w:rsidRDefault="00813F0B" w:rsidP="00DA4BD6">
      <w:pPr>
        <w:pStyle w:val="Heading2"/>
      </w:pPr>
      <w:r w:rsidRPr="000973F2">
        <w:t>Description of Subpart N</w:t>
      </w:r>
    </w:p>
    <w:p w14:paraId="12A3BAEE" w14:textId="316F9E78" w:rsidR="00813F0B" w:rsidRPr="000973F2" w:rsidRDefault="00813F0B" w:rsidP="00DA4BD6">
      <w:pPr>
        <w:pStyle w:val="BodyText"/>
      </w:pPr>
      <w:r w:rsidRPr="000973F2">
        <w:t xml:space="preserve">For purposes of the GHGRP, the glass production source category includes facilities that produce flat glass, container glass, pressed and blown glass, or wool fiberglass using one or more continuous glass melting furnaces. For RY2017, 100 facilities reported to Subpart N. The number of facilities in </w:t>
      </w:r>
      <w:r w:rsidR="00941B95" w:rsidRPr="000973F2">
        <w:t>S</w:t>
      </w:r>
      <w:r w:rsidRPr="000973F2">
        <w:t xml:space="preserve">ubpart N has varied over the course of the GHGRP. Based on the number of facilities over the most recent years, one new facility is expected in each of the </w:t>
      </w:r>
      <w:r w:rsidR="00190518" w:rsidRPr="000973F2">
        <w:t>three years covered by this ICR</w:t>
      </w:r>
      <w:r w:rsidRPr="000973F2">
        <w:t xml:space="preserve">. </w:t>
      </w:r>
    </w:p>
    <w:p w14:paraId="2E46EB4B" w14:textId="7C40BA14" w:rsidR="00813F0B" w:rsidRPr="000973F2" w:rsidRDefault="00813F0B" w:rsidP="00DA4BD6">
      <w:pPr>
        <w:pStyle w:val="BodyText"/>
      </w:pPr>
      <w:r w:rsidRPr="000973F2">
        <w:t xml:space="preserve">There are two options for determining GHG emissions under Subpart N. The option at </w:t>
      </w:r>
      <w:r w:rsidR="00190518" w:rsidRPr="000973F2">
        <w:t>§</w:t>
      </w:r>
      <w:r w:rsidRPr="000973F2">
        <w:t xml:space="preserve">98.143(a) allows the use of CEMS. The second option in </w:t>
      </w:r>
      <w:r w:rsidR="00190518" w:rsidRPr="000973F2">
        <w:t>§</w:t>
      </w:r>
      <w:r w:rsidRPr="000973F2">
        <w:t>98.143(b) allows the use of monitoring and calculations to estimate process</w:t>
      </w:r>
      <w:r w:rsidR="00051F9B">
        <w:t>-</w:t>
      </w:r>
      <w:r w:rsidRPr="000973F2">
        <w:t xml:space="preserve">related emissions from Subpart N. For RY2017, two facilities used the CEMS option and 98 used the non-CEMS option. It is expected that any new facilities will determine GHG emissions using the non-CEMS option. As a result of growth in Subpart N, the number of facilities per year is expected to vary from 102 total facilities in RY2019 (99 existing facilities without CEMS, two existing facilities with CEMS, and one new facility without CEMS) to 104 total facilities in RY2021 (101 existing facilities without CEMS, two existing facilities with CEMS, and one new facility without CEMS). </w:t>
      </w:r>
    </w:p>
    <w:p w14:paraId="71BD63E0" w14:textId="5D02DF95" w:rsidR="00813F0B" w:rsidRPr="000973F2" w:rsidRDefault="00813F0B" w:rsidP="00DA4BD6">
      <w:pPr>
        <w:pStyle w:val="BodyText"/>
      </w:pPr>
      <w:r w:rsidRPr="000973F2">
        <w:rPr>
          <w:iCs/>
        </w:rPr>
        <w:t xml:space="preserve">Sampling and analysis </w:t>
      </w:r>
      <w:r w:rsidRPr="000973F2">
        <w:t xml:space="preserve">costs for facilities using the non-CEMS option include two options for determining the carbonate-based mineral mass fraction. A facility can obtain the carbonate-based mineral mass fraction of each carbonate-based raw material directly from the supplier according to </w:t>
      </w:r>
      <w:r w:rsidR="00190518" w:rsidRPr="000973F2">
        <w:t>§</w:t>
      </w:r>
      <w:r w:rsidRPr="000973F2">
        <w:t xml:space="preserve">98.143(b)(2)(i) or use a default value of 1.0 according to </w:t>
      </w:r>
      <w:r w:rsidR="00190518" w:rsidRPr="000973F2">
        <w:t>§</w:t>
      </w:r>
      <w:r w:rsidRPr="000973F2">
        <w:t>98.143(c). For RY2017, 11 facilities using the non-CEMS option contacted the supplier and 87 facilities using the non-CEMS option used the default mass fraction value of 1.0 in their calculations. It is expected that all new facilities to Subpart N will use the default mass fraction value of 1.0 in their calculations. As a result of growth in Subpart N, the number of facilities using the default mass fraction value of 1.0 in their calculations is expected to vary from 88 facilities in 2019 to 90 facilities in 2021. The number of facilities contacting the supplier to obtain the mass fraction is expected to remain at 11 for all three years of this ICR.</w:t>
      </w:r>
    </w:p>
    <w:p w14:paraId="09AD7B18" w14:textId="77777777" w:rsidR="00813F0B" w:rsidRPr="000973F2" w:rsidRDefault="00813F0B" w:rsidP="00DA4BD6">
      <w:pPr>
        <w:pStyle w:val="BodyText"/>
      </w:pPr>
      <w:r w:rsidRPr="000973F2">
        <w:t xml:space="preserve">The tables below account for an average of 1.9 glass melting furnaces per facility and 2.4 raw carbonates per facility, where appropriate. </w:t>
      </w:r>
    </w:p>
    <w:p w14:paraId="5F57FECA" w14:textId="77777777" w:rsidR="00813F0B" w:rsidRPr="000973F2" w:rsidRDefault="00813F0B" w:rsidP="00C00E4F">
      <w:pPr>
        <w:spacing w:line="240" w:lineRule="auto"/>
        <w:rPr>
          <w:rFonts w:ascii="Times New Roman" w:hAnsi="Times New Roman" w:cs="Times New Roman"/>
        </w:rPr>
      </w:pPr>
    </w:p>
    <w:p w14:paraId="4DD678A1" w14:textId="77777777" w:rsidR="00813F0B" w:rsidRPr="000973F2" w:rsidRDefault="00813F0B" w:rsidP="00C00E4F">
      <w:pPr>
        <w:spacing w:line="240" w:lineRule="auto"/>
        <w:rPr>
          <w:rFonts w:ascii="Times New Roman" w:hAnsi="Times New Roman" w:cs="Times New Roman"/>
          <w:b/>
          <w:bCs/>
          <w:i/>
          <w:iCs/>
        </w:rPr>
      </w:pPr>
      <w:r w:rsidRPr="000973F2">
        <w:rPr>
          <w:rFonts w:ascii="Times New Roman" w:hAnsi="Times New Roman" w:cs="Times New Roman"/>
          <w:b/>
          <w:bCs/>
          <w:i/>
          <w:iCs/>
        </w:rPr>
        <w:br w:type="page"/>
      </w:r>
    </w:p>
    <w:p w14:paraId="37DE8BE2" w14:textId="32233AAE" w:rsidR="00813F0B" w:rsidRPr="000973F2" w:rsidRDefault="00813F0B" w:rsidP="00DA4BD6">
      <w:pPr>
        <w:pStyle w:val="Heading2"/>
      </w:pPr>
      <w:r w:rsidRPr="000973F2">
        <w:t xml:space="preserve">Labor Costs for Subpart N </w:t>
      </w:r>
      <w:r w:rsidR="00DA4BD6" w:rsidRPr="000973F2">
        <w:t>–</w:t>
      </w:r>
      <w:r w:rsidRPr="000973F2">
        <w:t xml:space="preserve"> CEMS Option</w:t>
      </w:r>
    </w:p>
    <w:p w14:paraId="6FA93D4F" w14:textId="60635ADD" w:rsidR="00813F0B" w:rsidRPr="000973F2" w:rsidRDefault="00813F0B" w:rsidP="00DA4BD6">
      <w:pPr>
        <w:pStyle w:val="BodyText"/>
      </w:pPr>
      <w:r w:rsidRPr="000973F2">
        <w:t xml:space="preserve">Table </w:t>
      </w:r>
      <w:r w:rsidR="00DA4BD6" w:rsidRPr="000973F2">
        <w:t>N-</w:t>
      </w:r>
      <w:r w:rsidRPr="000973F2">
        <w:t>1a below includes the labor hours for each of the two facilities using the CEMS option to comply with Subpart N. There is no advantage to installing CEMS for the GHGRP, therefore it is expected that the CEMS were most likely installed as part of another state or Federal regulation. As a result, for the CEMS option, the only labor costs attributed to the GHGRP are those for reporting and recordkeeping. Recordkeeping and reporting hours for Subpart N are based on the “low bin” designation, as discussed in the Cost Appendix Introduction.</w:t>
      </w:r>
    </w:p>
    <w:p w14:paraId="1ABE3D4A" w14:textId="1885A2EA" w:rsidR="00205403" w:rsidRPr="000973F2" w:rsidRDefault="00205403" w:rsidP="00DA4BD6">
      <w:pPr>
        <w:pStyle w:val="Tabletitle"/>
      </w:pPr>
      <w:r w:rsidRPr="000973F2">
        <w:t xml:space="preserve">Table </w:t>
      </w:r>
      <w:r w:rsidR="00DA4BD6" w:rsidRPr="000973F2">
        <w:t>N-</w:t>
      </w:r>
      <w:r w:rsidRPr="000973F2">
        <w:t xml:space="preserve">1a. Labor Costs </w:t>
      </w:r>
      <w:r w:rsidR="00DA4BD6" w:rsidRPr="000973F2">
        <w:t>–</w:t>
      </w:r>
      <w:r w:rsidRPr="000973F2">
        <w:t xml:space="preserve"> Subpart N – CEMS Option</w:t>
      </w:r>
    </w:p>
    <w:tbl>
      <w:tblPr>
        <w:tblStyle w:val="PlainTable1"/>
        <w:tblW w:w="5000" w:type="pct"/>
        <w:jc w:val="left"/>
        <w:tblLayout w:type="fixed"/>
        <w:tblCellMar>
          <w:left w:w="115" w:type="dxa"/>
          <w:right w:w="115" w:type="dxa"/>
        </w:tblCellMar>
        <w:tblLook w:val="04A0" w:firstRow="1" w:lastRow="0" w:firstColumn="1" w:lastColumn="0" w:noHBand="0" w:noVBand="1"/>
      </w:tblPr>
      <w:tblGrid>
        <w:gridCol w:w="1367"/>
        <w:gridCol w:w="823"/>
        <w:gridCol w:w="823"/>
        <w:gridCol w:w="822"/>
        <w:gridCol w:w="822"/>
        <w:gridCol w:w="822"/>
        <w:gridCol w:w="822"/>
        <w:gridCol w:w="822"/>
        <w:gridCol w:w="823"/>
        <w:gridCol w:w="741"/>
        <w:gridCol w:w="903"/>
      </w:tblGrid>
      <w:tr w:rsidR="00205403" w:rsidRPr="000973F2" w14:paraId="73DF6BC2" w14:textId="77777777" w:rsidTr="00DA4BD6">
        <w:trPr>
          <w:cnfStyle w:val="100000000000" w:firstRow="1" w:lastRow="0" w:firstColumn="0" w:lastColumn="0" w:oddVBand="0" w:evenVBand="0" w:oddHBand="0" w:evenHBand="0" w:firstRowFirstColumn="0" w:firstRowLastColumn="0" w:lastRowFirstColumn="0" w:lastRowLastColumn="0"/>
          <w:cantSplit/>
          <w:jc w:val="left"/>
        </w:trPr>
        <w:tc>
          <w:tcPr>
            <w:cnfStyle w:val="001000000000" w:firstRow="0" w:lastRow="0" w:firstColumn="1" w:lastColumn="0" w:oddVBand="0" w:evenVBand="0" w:oddHBand="0" w:evenHBand="0" w:firstRowFirstColumn="0" w:firstRowLastColumn="0" w:lastRowFirstColumn="0" w:lastRowLastColumn="0"/>
            <w:tcW w:w="1329" w:type="dxa"/>
            <w:vMerge w:val="restart"/>
            <w:noWrap/>
            <w:vAlign w:val="top"/>
            <w:hideMark/>
          </w:tcPr>
          <w:p w14:paraId="0F42050C" w14:textId="77777777" w:rsidR="00205403" w:rsidRPr="000973F2" w:rsidRDefault="00205403" w:rsidP="00DA4BD6">
            <w:pPr>
              <w:spacing w:before="40" w:after="40"/>
              <w:rPr>
                <w:rFonts w:ascii="Times New Roman" w:eastAsia="Times New Roman" w:hAnsi="Times New Roman" w:cs="Times New Roman"/>
                <w:b w:val="0"/>
                <w:bCs w:val="0"/>
                <w:sz w:val="18"/>
                <w:szCs w:val="18"/>
              </w:rPr>
            </w:pPr>
            <w:r w:rsidRPr="000973F2">
              <w:rPr>
                <w:rFonts w:ascii="Times New Roman" w:eastAsia="Times New Roman" w:hAnsi="Times New Roman" w:cs="Times New Roman"/>
                <w:sz w:val="18"/>
                <w:szCs w:val="18"/>
              </w:rPr>
              <w:t>Activity</w:t>
            </w:r>
          </w:p>
        </w:tc>
        <w:tc>
          <w:tcPr>
            <w:tcW w:w="6401" w:type="dxa"/>
            <w:gridSpan w:val="8"/>
            <w:noWrap/>
            <w:vAlign w:val="top"/>
            <w:hideMark/>
          </w:tcPr>
          <w:p w14:paraId="72C84392" w14:textId="77777777" w:rsidR="00205403" w:rsidRPr="000973F2" w:rsidRDefault="00205403" w:rsidP="00DA4BD6">
            <w:pPr>
              <w:spacing w:before="40" w:after="40"/>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bCs w:val="0"/>
                <w:sz w:val="18"/>
                <w:szCs w:val="18"/>
              </w:rPr>
            </w:pPr>
            <w:r w:rsidRPr="000973F2">
              <w:rPr>
                <w:rFonts w:ascii="Times New Roman" w:eastAsia="Times New Roman" w:hAnsi="Times New Roman" w:cs="Times New Roman"/>
                <w:sz w:val="18"/>
                <w:szCs w:val="18"/>
              </w:rPr>
              <w:t>Labor Rates (per hour)</w:t>
            </w:r>
          </w:p>
        </w:tc>
        <w:tc>
          <w:tcPr>
            <w:tcW w:w="1600" w:type="dxa"/>
            <w:gridSpan w:val="2"/>
            <w:vMerge w:val="restart"/>
            <w:vAlign w:val="top"/>
            <w:hideMark/>
          </w:tcPr>
          <w:p w14:paraId="17C4CC54" w14:textId="337D85D7" w:rsidR="00205403" w:rsidRPr="000973F2" w:rsidRDefault="00205403" w:rsidP="00DA4BD6">
            <w:pPr>
              <w:spacing w:before="40" w:after="40"/>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bCs w:val="0"/>
                <w:sz w:val="18"/>
                <w:szCs w:val="18"/>
              </w:rPr>
            </w:pPr>
            <w:r w:rsidRPr="000973F2">
              <w:rPr>
                <w:rFonts w:ascii="Times New Roman" w:eastAsia="Times New Roman" w:hAnsi="Times New Roman" w:cs="Times New Roman"/>
                <w:sz w:val="18"/>
                <w:szCs w:val="18"/>
              </w:rPr>
              <w:t>Total Labor Cost per Year per Facility</w:t>
            </w:r>
            <w:r w:rsidR="00DA4BD6" w:rsidRPr="000973F2">
              <w:rPr>
                <w:rFonts w:ascii="Times New Roman" w:eastAsia="Times New Roman" w:hAnsi="Times New Roman" w:cs="Times New Roman"/>
                <w:sz w:val="18"/>
                <w:szCs w:val="18"/>
              </w:rPr>
              <w:t xml:space="preserve"> </w:t>
            </w:r>
            <w:r w:rsidRPr="000973F2">
              <w:rPr>
                <w:rFonts w:ascii="Times New Roman" w:eastAsia="Times New Roman" w:hAnsi="Times New Roman" w:cs="Times New Roman"/>
                <w:sz w:val="18"/>
                <w:szCs w:val="18"/>
              </w:rPr>
              <w:t>(2017$)</w:t>
            </w:r>
          </w:p>
        </w:tc>
      </w:tr>
      <w:tr w:rsidR="00205403" w:rsidRPr="000973F2" w14:paraId="5F2DC67D" w14:textId="77777777" w:rsidTr="00DA4BD6">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1329" w:type="dxa"/>
            <w:vMerge/>
            <w:hideMark/>
          </w:tcPr>
          <w:p w14:paraId="5D35E8FC" w14:textId="77777777" w:rsidR="00205403" w:rsidRPr="000973F2" w:rsidRDefault="00205403" w:rsidP="00DA4BD6">
            <w:pPr>
              <w:spacing w:before="40" w:after="40"/>
              <w:rPr>
                <w:rFonts w:ascii="Times New Roman" w:eastAsia="Times New Roman" w:hAnsi="Times New Roman" w:cs="Times New Roman"/>
                <w:b/>
                <w:bCs w:val="0"/>
                <w:sz w:val="18"/>
                <w:szCs w:val="18"/>
              </w:rPr>
            </w:pPr>
          </w:p>
        </w:tc>
        <w:tc>
          <w:tcPr>
            <w:tcW w:w="1600" w:type="dxa"/>
            <w:gridSpan w:val="2"/>
            <w:noWrap/>
            <w:hideMark/>
          </w:tcPr>
          <w:p w14:paraId="783800F5" w14:textId="77777777" w:rsidR="00205403" w:rsidRPr="000973F2" w:rsidRDefault="00205403" w:rsidP="00DA4BD6">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18"/>
                <w:szCs w:val="18"/>
              </w:rPr>
            </w:pPr>
            <w:r w:rsidRPr="000973F2">
              <w:rPr>
                <w:rFonts w:ascii="Times New Roman" w:eastAsia="Times New Roman" w:hAnsi="Times New Roman" w:cs="Times New Roman"/>
                <w:b/>
                <w:bCs/>
                <w:sz w:val="18"/>
                <w:szCs w:val="18"/>
              </w:rPr>
              <w:t>Lawyer</w:t>
            </w:r>
          </w:p>
        </w:tc>
        <w:tc>
          <w:tcPr>
            <w:tcW w:w="1600" w:type="dxa"/>
            <w:gridSpan w:val="2"/>
            <w:noWrap/>
            <w:hideMark/>
          </w:tcPr>
          <w:p w14:paraId="1789A90C" w14:textId="77777777" w:rsidR="00205403" w:rsidRPr="000973F2" w:rsidRDefault="00205403" w:rsidP="00DA4BD6">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18"/>
                <w:szCs w:val="18"/>
              </w:rPr>
            </w:pPr>
            <w:r w:rsidRPr="000973F2">
              <w:rPr>
                <w:rFonts w:ascii="Times New Roman" w:eastAsia="Times New Roman" w:hAnsi="Times New Roman" w:cs="Times New Roman"/>
                <w:b/>
                <w:bCs/>
                <w:sz w:val="18"/>
                <w:szCs w:val="18"/>
              </w:rPr>
              <w:t>Industrial Manager</w:t>
            </w:r>
          </w:p>
        </w:tc>
        <w:tc>
          <w:tcPr>
            <w:tcW w:w="1600" w:type="dxa"/>
            <w:gridSpan w:val="2"/>
            <w:hideMark/>
          </w:tcPr>
          <w:p w14:paraId="4CCC18E5" w14:textId="3B69687D" w:rsidR="00205403" w:rsidRPr="000973F2" w:rsidRDefault="00205403" w:rsidP="00DA4BD6">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18"/>
                <w:szCs w:val="18"/>
              </w:rPr>
            </w:pPr>
            <w:r w:rsidRPr="000973F2">
              <w:rPr>
                <w:rFonts w:ascii="Times New Roman" w:eastAsia="Times New Roman" w:hAnsi="Times New Roman" w:cs="Times New Roman"/>
                <w:b/>
                <w:bCs/>
                <w:sz w:val="18"/>
                <w:szCs w:val="18"/>
              </w:rPr>
              <w:t>Industrial Engineer/</w:t>
            </w:r>
            <w:r w:rsidR="00DA4BD6" w:rsidRPr="000973F2">
              <w:rPr>
                <w:rFonts w:ascii="Times New Roman" w:eastAsia="Times New Roman" w:hAnsi="Times New Roman" w:cs="Times New Roman"/>
                <w:b/>
                <w:bCs/>
                <w:sz w:val="18"/>
                <w:szCs w:val="18"/>
              </w:rPr>
              <w:t xml:space="preserve"> </w:t>
            </w:r>
            <w:r w:rsidRPr="000973F2">
              <w:rPr>
                <w:rFonts w:ascii="Times New Roman" w:eastAsia="Times New Roman" w:hAnsi="Times New Roman" w:cs="Times New Roman"/>
                <w:b/>
                <w:bCs/>
                <w:sz w:val="18"/>
                <w:szCs w:val="18"/>
              </w:rPr>
              <w:t>Technician</w:t>
            </w:r>
          </w:p>
        </w:tc>
        <w:tc>
          <w:tcPr>
            <w:tcW w:w="1601" w:type="dxa"/>
            <w:gridSpan w:val="2"/>
            <w:hideMark/>
          </w:tcPr>
          <w:p w14:paraId="4CE3D518" w14:textId="77777777" w:rsidR="00205403" w:rsidRPr="000973F2" w:rsidRDefault="00205403" w:rsidP="00DA4BD6">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18"/>
                <w:szCs w:val="18"/>
              </w:rPr>
            </w:pPr>
            <w:r w:rsidRPr="000973F2">
              <w:rPr>
                <w:rFonts w:ascii="Times New Roman" w:eastAsia="Times New Roman" w:hAnsi="Times New Roman" w:cs="Times New Roman"/>
                <w:b/>
                <w:bCs/>
                <w:sz w:val="18"/>
                <w:szCs w:val="18"/>
              </w:rPr>
              <w:t>Administrative Support</w:t>
            </w:r>
          </w:p>
        </w:tc>
        <w:tc>
          <w:tcPr>
            <w:tcW w:w="1600" w:type="dxa"/>
            <w:gridSpan w:val="2"/>
            <w:vMerge/>
            <w:hideMark/>
          </w:tcPr>
          <w:p w14:paraId="5B72D3A2" w14:textId="77777777" w:rsidR="00205403" w:rsidRPr="000973F2" w:rsidRDefault="00205403" w:rsidP="00DA4BD6">
            <w:pPr>
              <w:spacing w:before="40" w:after="4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18"/>
                <w:szCs w:val="18"/>
              </w:rPr>
            </w:pPr>
          </w:p>
        </w:tc>
      </w:tr>
      <w:tr w:rsidR="00205403" w:rsidRPr="000973F2" w14:paraId="53C386BA" w14:textId="77777777" w:rsidTr="00DA4BD6">
        <w:trPr>
          <w:cantSplit/>
        </w:trPr>
        <w:tc>
          <w:tcPr>
            <w:cnfStyle w:val="001000000000" w:firstRow="0" w:lastRow="0" w:firstColumn="1" w:lastColumn="0" w:oddVBand="0" w:evenVBand="0" w:oddHBand="0" w:evenHBand="0" w:firstRowFirstColumn="0" w:firstRowLastColumn="0" w:lastRowFirstColumn="0" w:lastRowLastColumn="0"/>
            <w:tcW w:w="1329" w:type="dxa"/>
            <w:vMerge/>
            <w:hideMark/>
          </w:tcPr>
          <w:p w14:paraId="7A24A50A" w14:textId="77777777" w:rsidR="00205403" w:rsidRPr="000973F2" w:rsidRDefault="00205403" w:rsidP="00DA4BD6">
            <w:pPr>
              <w:spacing w:before="40" w:after="40"/>
              <w:rPr>
                <w:rFonts w:ascii="Times New Roman" w:eastAsia="Times New Roman" w:hAnsi="Times New Roman" w:cs="Times New Roman"/>
                <w:b/>
                <w:bCs w:val="0"/>
                <w:sz w:val="18"/>
                <w:szCs w:val="18"/>
              </w:rPr>
            </w:pPr>
          </w:p>
        </w:tc>
        <w:tc>
          <w:tcPr>
            <w:tcW w:w="1600" w:type="dxa"/>
            <w:gridSpan w:val="2"/>
            <w:noWrap/>
            <w:hideMark/>
          </w:tcPr>
          <w:p w14:paraId="6ADC6598" w14:textId="77777777" w:rsidR="00205403" w:rsidRPr="000973F2" w:rsidRDefault="00205403" w:rsidP="00DA4BD6">
            <w:pPr>
              <w:spacing w:before="40" w:after="4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sz w:val="18"/>
                <w:szCs w:val="18"/>
              </w:rPr>
            </w:pPr>
            <w:r w:rsidRPr="000973F2">
              <w:rPr>
                <w:rFonts w:ascii="Times New Roman" w:eastAsia="Times New Roman" w:hAnsi="Times New Roman" w:cs="Times New Roman"/>
                <w:b/>
                <w:bCs/>
                <w:sz w:val="18"/>
                <w:szCs w:val="18"/>
              </w:rPr>
              <w:t xml:space="preserve">$112.23 </w:t>
            </w:r>
          </w:p>
        </w:tc>
        <w:tc>
          <w:tcPr>
            <w:tcW w:w="1600" w:type="dxa"/>
            <w:gridSpan w:val="2"/>
            <w:noWrap/>
            <w:hideMark/>
          </w:tcPr>
          <w:p w14:paraId="243266E4" w14:textId="77777777" w:rsidR="00205403" w:rsidRPr="000973F2" w:rsidRDefault="00205403" w:rsidP="00DA4BD6">
            <w:pPr>
              <w:spacing w:before="40" w:after="4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sz w:val="18"/>
                <w:szCs w:val="18"/>
              </w:rPr>
            </w:pPr>
            <w:r w:rsidRPr="000973F2">
              <w:rPr>
                <w:rFonts w:ascii="Times New Roman" w:eastAsia="Times New Roman" w:hAnsi="Times New Roman" w:cs="Times New Roman"/>
                <w:b/>
                <w:bCs/>
                <w:sz w:val="18"/>
                <w:szCs w:val="18"/>
              </w:rPr>
              <w:t xml:space="preserve">$87.45 </w:t>
            </w:r>
          </w:p>
        </w:tc>
        <w:tc>
          <w:tcPr>
            <w:tcW w:w="1600" w:type="dxa"/>
            <w:gridSpan w:val="2"/>
            <w:noWrap/>
            <w:hideMark/>
          </w:tcPr>
          <w:p w14:paraId="3CA1F73E" w14:textId="77777777" w:rsidR="00205403" w:rsidRPr="000973F2" w:rsidRDefault="00205403" w:rsidP="00DA4BD6">
            <w:pPr>
              <w:spacing w:before="40" w:after="4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sz w:val="18"/>
                <w:szCs w:val="18"/>
              </w:rPr>
            </w:pPr>
            <w:r w:rsidRPr="000973F2">
              <w:rPr>
                <w:rFonts w:ascii="Times New Roman" w:eastAsia="Times New Roman" w:hAnsi="Times New Roman" w:cs="Times New Roman"/>
                <w:b/>
                <w:bCs/>
                <w:sz w:val="18"/>
                <w:szCs w:val="18"/>
              </w:rPr>
              <w:t xml:space="preserve">$71.45 </w:t>
            </w:r>
          </w:p>
        </w:tc>
        <w:tc>
          <w:tcPr>
            <w:tcW w:w="1601" w:type="dxa"/>
            <w:gridSpan w:val="2"/>
            <w:noWrap/>
            <w:hideMark/>
          </w:tcPr>
          <w:p w14:paraId="2C96EB21" w14:textId="77777777" w:rsidR="00205403" w:rsidRPr="000973F2" w:rsidRDefault="00205403" w:rsidP="00DA4BD6">
            <w:pPr>
              <w:spacing w:before="40" w:after="4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sz w:val="18"/>
                <w:szCs w:val="18"/>
              </w:rPr>
            </w:pPr>
            <w:r w:rsidRPr="000973F2">
              <w:rPr>
                <w:rFonts w:ascii="Times New Roman" w:eastAsia="Times New Roman" w:hAnsi="Times New Roman" w:cs="Times New Roman"/>
                <w:b/>
                <w:bCs/>
                <w:sz w:val="18"/>
                <w:szCs w:val="18"/>
              </w:rPr>
              <w:t xml:space="preserve">$36.28 </w:t>
            </w:r>
          </w:p>
        </w:tc>
        <w:tc>
          <w:tcPr>
            <w:tcW w:w="1600" w:type="dxa"/>
            <w:gridSpan w:val="2"/>
            <w:vMerge/>
            <w:hideMark/>
          </w:tcPr>
          <w:p w14:paraId="34C71027" w14:textId="77777777" w:rsidR="00205403" w:rsidRPr="000973F2" w:rsidRDefault="00205403" w:rsidP="00DA4BD6">
            <w:pPr>
              <w:spacing w:before="40" w:after="4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sz w:val="18"/>
                <w:szCs w:val="18"/>
              </w:rPr>
            </w:pPr>
          </w:p>
        </w:tc>
      </w:tr>
      <w:tr w:rsidR="00205403" w:rsidRPr="000973F2" w14:paraId="029BACF5" w14:textId="77777777" w:rsidTr="00DA4BD6">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1329" w:type="dxa"/>
            <w:vMerge/>
            <w:hideMark/>
          </w:tcPr>
          <w:p w14:paraId="0F147041" w14:textId="77777777" w:rsidR="00205403" w:rsidRPr="000973F2" w:rsidRDefault="00205403" w:rsidP="00DA4BD6">
            <w:pPr>
              <w:spacing w:before="40" w:after="40"/>
              <w:rPr>
                <w:rFonts w:ascii="Times New Roman" w:eastAsia="Times New Roman" w:hAnsi="Times New Roman" w:cs="Times New Roman"/>
                <w:b/>
                <w:bCs w:val="0"/>
                <w:sz w:val="18"/>
                <w:szCs w:val="18"/>
              </w:rPr>
            </w:pPr>
          </w:p>
        </w:tc>
        <w:tc>
          <w:tcPr>
            <w:tcW w:w="800" w:type="dxa"/>
            <w:tcMar>
              <w:left w:w="14" w:type="dxa"/>
              <w:right w:w="14" w:type="dxa"/>
            </w:tcMar>
            <w:hideMark/>
          </w:tcPr>
          <w:p w14:paraId="45FE126A" w14:textId="2DDEA7C8" w:rsidR="00205403" w:rsidRPr="000973F2" w:rsidRDefault="00205403" w:rsidP="00DA4BD6">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18"/>
                <w:szCs w:val="18"/>
              </w:rPr>
            </w:pPr>
            <w:r w:rsidRPr="000973F2">
              <w:rPr>
                <w:rFonts w:ascii="Times New Roman" w:eastAsia="Times New Roman" w:hAnsi="Times New Roman" w:cs="Times New Roman"/>
                <w:b/>
                <w:bCs/>
                <w:sz w:val="18"/>
                <w:szCs w:val="18"/>
              </w:rPr>
              <w:t xml:space="preserve">Initial </w:t>
            </w:r>
            <w:r w:rsidR="00132320" w:rsidRPr="000973F2">
              <w:rPr>
                <w:rFonts w:ascii="Times New Roman" w:eastAsia="Times New Roman" w:hAnsi="Times New Roman" w:cs="Times New Roman"/>
                <w:b/>
                <w:bCs/>
                <w:sz w:val="18"/>
                <w:szCs w:val="18"/>
              </w:rPr>
              <w:t>Year Hours</w:t>
            </w:r>
          </w:p>
        </w:tc>
        <w:tc>
          <w:tcPr>
            <w:tcW w:w="800" w:type="dxa"/>
            <w:tcMar>
              <w:left w:w="14" w:type="dxa"/>
              <w:right w:w="14" w:type="dxa"/>
            </w:tcMar>
            <w:hideMark/>
          </w:tcPr>
          <w:p w14:paraId="3F154094" w14:textId="77777777" w:rsidR="00205403" w:rsidRPr="000973F2" w:rsidRDefault="00205403" w:rsidP="00DA4BD6">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18"/>
                <w:szCs w:val="18"/>
              </w:rPr>
            </w:pPr>
            <w:r w:rsidRPr="000973F2">
              <w:rPr>
                <w:rFonts w:ascii="Times New Roman" w:eastAsia="Times New Roman" w:hAnsi="Times New Roman" w:cs="Times New Roman"/>
                <w:b/>
                <w:bCs/>
                <w:sz w:val="18"/>
                <w:szCs w:val="18"/>
              </w:rPr>
              <w:t>Subseq. Year Hours</w:t>
            </w:r>
          </w:p>
        </w:tc>
        <w:tc>
          <w:tcPr>
            <w:tcW w:w="800" w:type="dxa"/>
            <w:tcMar>
              <w:left w:w="14" w:type="dxa"/>
              <w:right w:w="14" w:type="dxa"/>
            </w:tcMar>
            <w:hideMark/>
          </w:tcPr>
          <w:p w14:paraId="20B1A42D" w14:textId="501C23A8" w:rsidR="00205403" w:rsidRPr="000973F2" w:rsidRDefault="00205403" w:rsidP="00DA4BD6">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18"/>
                <w:szCs w:val="18"/>
              </w:rPr>
            </w:pPr>
            <w:r w:rsidRPr="000973F2">
              <w:rPr>
                <w:rFonts w:ascii="Times New Roman" w:eastAsia="Times New Roman" w:hAnsi="Times New Roman" w:cs="Times New Roman"/>
                <w:b/>
                <w:bCs/>
                <w:sz w:val="18"/>
                <w:szCs w:val="18"/>
              </w:rPr>
              <w:t xml:space="preserve">Initial </w:t>
            </w:r>
            <w:r w:rsidR="00132320" w:rsidRPr="000973F2">
              <w:rPr>
                <w:rFonts w:ascii="Times New Roman" w:eastAsia="Times New Roman" w:hAnsi="Times New Roman" w:cs="Times New Roman"/>
                <w:b/>
                <w:bCs/>
                <w:sz w:val="18"/>
                <w:szCs w:val="18"/>
              </w:rPr>
              <w:t>Year Hours</w:t>
            </w:r>
          </w:p>
        </w:tc>
        <w:tc>
          <w:tcPr>
            <w:tcW w:w="800" w:type="dxa"/>
            <w:tcMar>
              <w:left w:w="14" w:type="dxa"/>
              <w:right w:w="14" w:type="dxa"/>
            </w:tcMar>
            <w:hideMark/>
          </w:tcPr>
          <w:p w14:paraId="59F403B9" w14:textId="77777777" w:rsidR="00205403" w:rsidRPr="000973F2" w:rsidRDefault="00205403" w:rsidP="00DA4BD6">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18"/>
                <w:szCs w:val="18"/>
              </w:rPr>
            </w:pPr>
            <w:r w:rsidRPr="000973F2">
              <w:rPr>
                <w:rFonts w:ascii="Times New Roman" w:eastAsia="Times New Roman" w:hAnsi="Times New Roman" w:cs="Times New Roman"/>
                <w:b/>
                <w:bCs/>
                <w:sz w:val="18"/>
                <w:szCs w:val="18"/>
              </w:rPr>
              <w:t>Subseq. Year Hours</w:t>
            </w:r>
          </w:p>
        </w:tc>
        <w:tc>
          <w:tcPr>
            <w:tcW w:w="800" w:type="dxa"/>
            <w:tcMar>
              <w:left w:w="14" w:type="dxa"/>
              <w:right w:w="14" w:type="dxa"/>
            </w:tcMar>
            <w:hideMark/>
          </w:tcPr>
          <w:p w14:paraId="0673519B" w14:textId="67635393" w:rsidR="00205403" w:rsidRPr="000973F2" w:rsidRDefault="00205403" w:rsidP="00DA4BD6">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18"/>
                <w:szCs w:val="18"/>
              </w:rPr>
            </w:pPr>
            <w:r w:rsidRPr="000973F2">
              <w:rPr>
                <w:rFonts w:ascii="Times New Roman" w:eastAsia="Times New Roman" w:hAnsi="Times New Roman" w:cs="Times New Roman"/>
                <w:b/>
                <w:bCs/>
                <w:sz w:val="18"/>
                <w:szCs w:val="18"/>
              </w:rPr>
              <w:t xml:space="preserve">Initial </w:t>
            </w:r>
            <w:r w:rsidR="00132320" w:rsidRPr="000973F2">
              <w:rPr>
                <w:rFonts w:ascii="Times New Roman" w:eastAsia="Times New Roman" w:hAnsi="Times New Roman" w:cs="Times New Roman"/>
                <w:b/>
                <w:bCs/>
                <w:sz w:val="18"/>
                <w:szCs w:val="18"/>
              </w:rPr>
              <w:t>Year Hours</w:t>
            </w:r>
          </w:p>
        </w:tc>
        <w:tc>
          <w:tcPr>
            <w:tcW w:w="800" w:type="dxa"/>
            <w:tcMar>
              <w:left w:w="14" w:type="dxa"/>
              <w:right w:w="14" w:type="dxa"/>
            </w:tcMar>
            <w:hideMark/>
          </w:tcPr>
          <w:p w14:paraId="110E6B0C" w14:textId="77777777" w:rsidR="00205403" w:rsidRPr="000973F2" w:rsidRDefault="00205403" w:rsidP="00DA4BD6">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18"/>
                <w:szCs w:val="18"/>
              </w:rPr>
            </w:pPr>
            <w:r w:rsidRPr="000973F2">
              <w:rPr>
                <w:rFonts w:ascii="Times New Roman" w:eastAsia="Times New Roman" w:hAnsi="Times New Roman" w:cs="Times New Roman"/>
                <w:b/>
                <w:bCs/>
                <w:sz w:val="18"/>
                <w:szCs w:val="18"/>
              </w:rPr>
              <w:t>Subseq. Year Hours</w:t>
            </w:r>
          </w:p>
        </w:tc>
        <w:tc>
          <w:tcPr>
            <w:tcW w:w="800" w:type="dxa"/>
            <w:tcMar>
              <w:left w:w="14" w:type="dxa"/>
              <w:right w:w="14" w:type="dxa"/>
            </w:tcMar>
            <w:hideMark/>
          </w:tcPr>
          <w:p w14:paraId="77800A1F" w14:textId="17E00558" w:rsidR="00205403" w:rsidRPr="000973F2" w:rsidRDefault="00205403" w:rsidP="00DA4BD6">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18"/>
                <w:szCs w:val="18"/>
              </w:rPr>
            </w:pPr>
            <w:r w:rsidRPr="000973F2">
              <w:rPr>
                <w:rFonts w:ascii="Times New Roman" w:eastAsia="Times New Roman" w:hAnsi="Times New Roman" w:cs="Times New Roman"/>
                <w:b/>
                <w:bCs/>
                <w:sz w:val="18"/>
                <w:szCs w:val="18"/>
              </w:rPr>
              <w:t xml:space="preserve">Initial </w:t>
            </w:r>
            <w:r w:rsidR="00132320" w:rsidRPr="000973F2">
              <w:rPr>
                <w:rFonts w:ascii="Times New Roman" w:eastAsia="Times New Roman" w:hAnsi="Times New Roman" w:cs="Times New Roman"/>
                <w:b/>
                <w:bCs/>
                <w:sz w:val="18"/>
                <w:szCs w:val="18"/>
              </w:rPr>
              <w:t>Year Hours</w:t>
            </w:r>
          </w:p>
        </w:tc>
        <w:tc>
          <w:tcPr>
            <w:tcW w:w="801" w:type="dxa"/>
            <w:tcMar>
              <w:left w:w="14" w:type="dxa"/>
              <w:right w:w="14" w:type="dxa"/>
            </w:tcMar>
            <w:hideMark/>
          </w:tcPr>
          <w:p w14:paraId="06114B37" w14:textId="77777777" w:rsidR="00205403" w:rsidRPr="000973F2" w:rsidRDefault="00205403" w:rsidP="00DA4BD6">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18"/>
                <w:szCs w:val="18"/>
              </w:rPr>
            </w:pPr>
            <w:r w:rsidRPr="000973F2">
              <w:rPr>
                <w:rFonts w:ascii="Times New Roman" w:eastAsia="Times New Roman" w:hAnsi="Times New Roman" w:cs="Times New Roman"/>
                <w:b/>
                <w:bCs/>
                <w:sz w:val="18"/>
                <w:szCs w:val="18"/>
              </w:rPr>
              <w:t>Subseq. Year Hours</w:t>
            </w:r>
          </w:p>
        </w:tc>
        <w:tc>
          <w:tcPr>
            <w:tcW w:w="721" w:type="dxa"/>
            <w:tcMar>
              <w:left w:w="14" w:type="dxa"/>
              <w:right w:w="14" w:type="dxa"/>
            </w:tcMar>
            <w:hideMark/>
          </w:tcPr>
          <w:p w14:paraId="607F2B82" w14:textId="77777777" w:rsidR="00205403" w:rsidRPr="000973F2" w:rsidRDefault="00205403" w:rsidP="00DA4BD6">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18"/>
                <w:szCs w:val="18"/>
              </w:rPr>
            </w:pPr>
            <w:r w:rsidRPr="000973F2">
              <w:rPr>
                <w:rFonts w:ascii="Times New Roman" w:eastAsia="Times New Roman" w:hAnsi="Times New Roman" w:cs="Times New Roman"/>
                <w:b/>
                <w:bCs/>
                <w:sz w:val="18"/>
                <w:szCs w:val="18"/>
              </w:rPr>
              <w:t>Initial Year</w:t>
            </w:r>
          </w:p>
        </w:tc>
        <w:tc>
          <w:tcPr>
            <w:tcW w:w="879" w:type="dxa"/>
            <w:tcMar>
              <w:left w:w="14" w:type="dxa"/>
              <w:right w:w="14" w:type="dxa"/>
            </w:tcMar>
            <w:hideMark/>
          </w:tcPr>
          <w:p w14:paraId="09B512B7" w14:textId="77777777" w:rsidR="00205403" w:rsidRPr="000973F2" w:rsidRDefault="00205403" w:rsidP="00DA4BD6">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18"/>
                <w:szCs w:val="18"/>
              </w:rPr>
            </w:pPr>
            <w:r w:rsidRPr="000973F2">
              <w:rPr>
                <w:rFonts w:ascii="Times New Roman" w:eastAsia="Times New Roman" w:hAnsi="Times New Roman" w:cs="Times New Roman"/>
                <w:b/>
                <w:bCs/>
                <w:sz w:val="18"/>
                <w:szCs w:val="18"/>
              </w:rPr>
              <w:t>Subseq. Year</w:t>
            </w:r>
          </w:p>
        </w:tc>
      </w:tr>
      <w:tr w:rsidR="00205403" w:rsidRPr="000973F2" w14:paraId="6180BE0D" w14:textId="77777777" w:rsidTr="00DA4BD6">
        <w:trPr>
          <w:cantSplit/>
        </w:trPr>
        <w:tc>
          <w:tcPr>
            <w:cnfStyle w:val="001000000000" w:firstRow="0" w:lastRow="0" w:firstColumn="1" w:lastColumn="0" w:oddVBand="0" w:evenVBand="0" w:oddHBand="0" w:evenHBand="0" w:firstRowFirstColumn="0" w:firstRowLastColumn="0" w:lastRowFirstColumn="0" w:lastRowLastColumn="0"/>
            <w:tcW w:w="1329" w:type="dxa"/>
            <w:hideMark/>
          </w:tcPr>
          <w:p w14:paraId="2946E881" w14:textId="77777777" w:rsidR="00205403" w:rsidRPr="000973F2" w:rsidRDefault="00205403" w:rsidP="00DA4BD6">
            <w:pPr>
              <w:spacing w:before="40" w:after="4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Planning</w:t>
            </w:r>
          </w:p>
        </w:tc>
        <w:tc>
          <w:tcPr>
            <w:tcW w:w="800" w:type="dxa"/>
            <w:noWrap/>
            <w:hideMark/>
          </w:tcPr>
          <w:p w14:paraId="20526ADE" w14:textId="77777777" w:rsidR="00205403" w:rsidRPr="000973F2" w:rsidRDefault="00205403" w:rsidP="00DA4BD6">
            <w:pPr>
              <w:spacing w:before="40" w:after="4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0</w:t>
            </w:r>
          </w:p>
        </w:tc>
        <w:tc>
          <w:tcPr>
            <w:tcW w:w="800" w:type="dxa"/>
            <w:noWrap/>
            <w:hideMark/>
          </w:tcPr>
          <w:p w14:paraId="14DA9480" w14:textId="77777777" w:rsidR="00205403" w:rsidRPr="000973F2" w:rsidRDefault="00205403" w:rsidP="00DA4BD6">
            <w:pPr>
              <w:spacing w:before="40" w:after="4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0</w:t>
            </w:r>
          </w:p>
        </w:tc>
        <w:tc>
          <w:tcPr>
            <w:tcW w:w="800" w:type="dxa"/>
            <w:noWrap/>
            <w:hideMark/>
          </w:tcPr>
          <w:p w14:paraId="207FC1C7" w14:textId="77777777" w:rsidR="00205403" w:rsidRPr="000973F2" w:rsidRDefault="00205403" w:rsidP="00DA4BD6">
            <w:pPr>
              <w:spacing w:before="40" w:after="4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0</w:t>
            </w:r>
          </w:p>
        </w:tc>
        <w:tc>
          <w:tcPr>
            <w:tcW w:w="800" w:type="dxa"/>
            <w:noWrap/>
            <w:hideMark/>
          </w:tcPr>
          <w:p w14:paraId="6039A983" w14:textId="77777777" w:rsidR="00205403" w:rsidRPr="000973F2" w:rsidRDefault="00205403" w:rsidP="00DA4BD6">
            <w:pPr>
              <w:tabs>
                <w:tab w:val="decimal" w:pos="271"/>
              </w:tabs>
              <w:spacing w:before="40" w:after="4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0</w:t>
            </w:r>
          </w:p>
        </w:tc>
        <w:tc>
          <w:tcPr>
            <w:tcW w:w="800" w:type="dxa"/>
            <w:noWrap/>
            <w:hideMark/>
          </w:tcPr>
          <w:p w14:paraId="1F28E59A" w14:textId="77777777" w:rsidR="00205403" w:rsidRPr="000973F2" w:rsidRDefault="00205403" w:rsidP="00DA4BD6">
            <w:pPr>
              <w:spacing w:before="40" w:after="4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0</w:t>
            </w:r>
          </w:p>
        </w:tc>
        <w:tc>
          <w:tcPr>
            <w:tcW w:w="800" w:type="dxa"/>
            <w:noWrap/>
            <w:hideMark/>
          </w:tcPr>
          <w:p w14:paraId="7EFD04B5" w14:textId="77777777" w:rsidR="00205403" w:rsidRPr="000973F2" w:rsidRDefault="00205403" w:rsidP="00DA4BD6">
            <w:pPr>
              <w:spacing w:before="40" w:after="4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0</w:t>
            </w:r>
          </w:p>
        </w:tc>
        <w:tc>
          <w:tcPr>
            <w:tcW w:w="800" w:type="dxa"/>
            <w:noWrap/>
            <w:hideMark/>
          </w:tcPr>
          <w:p w14:paraId="4BAA83B2" w14:textId="77777777" w:rsidR="00205403" w:rsidRPr="000973F2" w:rsidRDefault="00205403" w:rsidP="00DA4BD6">
            <w:pPr>
              <w:spacing w:before="40" w:after="4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0</w:t>
            </w:r>
          </w:p>
        </w:tc>
        <w:tc>
          <w:tcPr>
            <w:tcW w:w="801" w:type="dxa"/>
            <w:noWrap/>
            <w:hideMark/>
          </w:tcPr>
          <w:p w14:paraId="678B2BE3" w14:textId="77777777" w:rsidR="00205403" w:rsidRPr="000973F2" w:rsidRDefault="00205403" w:rsidP="00DA4BD6">
            <w:pPr>
              <w:tabs>
                <w:tab w:val="decimal" w:pos="256"/>
              </w:tabs>
              <w:spacing w:before="40" w:after="4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0</w:t>
            </w:r>
          </w:p>
        </w:tc>
        <w:tc>
          <w:tcPr>
            <w:tcW w:w="721" w:type="dxa"/>
            <w:noWrap/>
            <w:hideMark/>
          </w:tcPr>
          <w:p w14:paraId="611F96B4" w14:textId="1BFFCD41" w:rsidR="00205403" w:rsidRPr="000973F2" w:rsidRDefault="00205403" w:rsidP="00DA4BD6">
            <w:pPr>
              <w:spacing w:before="40" w:after="4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$0</w:t>
            </w:r>
          </w:p>
        </w:tc>
        <w:tc>
          <w:tcPr>
            <w:tcW w:w="879" w:type="dxa"/>
            <w:noWrap/>
            <w:hideMark/>
          </w:tcPr>
          <w:p w14:paraId="13E55F2B" w14:textId="3F71E871" w:rsidR="00205403" w:rsidRPr="000973F2" w:rsidRDefault="00205403" w:rsidP="00DA4BD6">
            <w:pPr>
              <w:tabs>
                <w:tab w:val="decimal" w:pos="421"/>
              </w:tabs>
              <w:spacing w:before="40" w:after="4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$0</w:t>
            </w:r>
          </w:p>
        </w:tc>
      </w:tr>
      <w:tr w:rsidR="00205403" w:rsidRPr="000973F2" w14:paraId="7B071D3A" w14:textId="77777777" w:rsidTr="00DA4BD6">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1329" w:type="dxa"/>
            <w:hideMark/>
          </w:tcPr>
          <w:p w14:paraId="2307D2DD" w14:textId="77777777" w:rsidR="00205403" w:rsidRPr="000973F2" w:rsidRDefault="00205403" w:rsidP="00DA4BD6">
            <w:pPr>
              <w:spacing w:before="40" w:after="4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QA/QC</w:t>
            </w:r>
          </w:p>
        </w:tc>
        <w:tc>
          <w:tcPr>
            <w:tcW w:w="800" w:type="dxa"/>
            <w:noWrap/>
            <w:hideMark/>
          </w:tcPr>
          <w:p w14:paraId="7E312F77" w14:textId="77777777" w:rsidR="00205403" w:rsidRPr="000973F2" w:rsidRDefault="00205403" w:rsidP="00DA4BD6">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0</w:t>
            </w:r>
          </w:p>
        </w:tc>
        <w:tc>
          <w:tcPr>
            <w:tcW w:w="800" w:type="dxa"/>
            <w:noWrap/>
            <w:hideMark/>
          </w:tcPr>
          <w:p w14:paraId="3FF6D780" w14:textId="77777777" w:rsidR="00205403" w:rsidRPr="000973F2" w:rsidRDefault="00205403" w:rsidP="00DA4BD6">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0</w:t>
            </w:r>
          </w:p>
        </w:tc>
        <w:tc>
          <w:tcPr>
            <w:tcW w:w="800" w:type="dxa"/>
            <w:noWrap/>
            <w:hideMark/>
          </w:tcPr>
          <w:p w14:paraId="7BB6194C" w14:textId="77777777" w:rsidR="00205403" w:rsidRPr="000973F2" w:rsidRDefault="00205403" w:rsidP="00DA4BD6">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0</w:t>
            </w:r>
          </w:p>
        </w:tc>
        <w:tc>
          <w:tcPr>
            <w:tcW w:w="800" w:type="dxa"/>
            <w:noWrap/>
            <w:hideMark/>
          </w:tcPr>
          <w:p w14:paraId="13F5639C" w14:textId="77777777" w:rsidR="00205403" w:rsidRPr="000973F2" w:rsidRDefault="00205403" w:rsidP="00DA4BD6">
            <w:pPr>
              <w:tabs>
                <w:tab w:val="decimal" w:pos="271"/>
              </w:tabs>
              <w:spacing w:before="40" w:after="4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0</w:t>
            </w:r>
          </w:p>
        </w:tc>
        <w:tc>
          <w:tcPr>
            <w:tcW w:w="800" w:type="dxa"/>
            <w:noWrap/>
            <w:hideMark/>
          </w:tcPr>
          <w:p w14:paraId="47FB19D5" w14:textId="77777777" w:rsidR="00205403" w:rsidRPr="000973F2" w:rsidRDefault="00205403" w:rsidP="00DA4BD6">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0</w:t>
            </w:r>
          </w:p>
        </w:tc>
        <w:tc>
          <w:tcPr>
            <w:tcW w:w="800" w:type="dxa"/>
            <w:noWrap/>
            <w:hideMark/>
          </w:tcPr>
          <w:p w14:paraId="071AE922" w14:textId="77777777" w:rsidR="00205403" w:rsidRPr="000973F2" w:rsidRDefault="00205403" w:rsidP="00DA4BD6">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0</w:t>
            </w:r>
          </w:p>
        </w:tc>
        <w:tc>
          <w:tcPr>
            <w:tcW w:w="800" w:type="dxa"/>
            <w:noWrap/>
            <w:hideMark/>
          </w:tcPr>
          <w:p w14:paraId="2E6E6E48" w14:textId="77777777" w:rsidR="00205403" w:rsidRPr="000973F2" w:rsidRDefault="00205403" w:rsidP="00DA4BD6">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0</w:t>
            </w:r>
          </w:p>
        </w:tc>
        <w:tc>
          <w:tcPr>
            <w:tcW w:w="801" w:type="dxa"/>
            <w:noWrap/>
            <w:hideMark/>
          </w:tcPr>
          <w:p w14:paraId="5D898B15" w14:textId="77777777" w:rsidR="00205403" w:rsidRPr="000973F2" w:rsidRDefault="00205403" w:rsidP="00DA4BD6">
            <w:pPr>
              <w:tabs>
                <w:tab w:val="decimal" w:pos="256"/>
              </w:tabs>
              <w:spacing w:before="40" w:after="4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0</w:t>
            </w:r>
          </w:p>
        </w:tc>
        <w:tc>
          <w:tcPr>
            <w:tcW w:w="721" w:type="dxa"/>
            <w:noWrap/>
            <w:hideMark/>
          </w:tcPr>
          <w:p w14:paraId="00A9970C" w14:textId="0FEF08E0" w:rsidR="00205403" w:rsidRPr="000973F2" w:rsidRDefault="00205403" w:rsidP="00DA4BD6">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$0</w:t>
            </w:r>
          </w:p>
        </w:tc>
        <w:tc>
          <w:tcPr>
            <w:tcW w:w="879" w:type="dxa"/>
            <w:noWrap/>
            <w:hideMark/>
          </w:tcPr>
          <w:p w14:paraId="051468DA" w14:textId="60343A56" w:rsidR="00205403" w:rsidRPr="000973F2" w:rsidRDefault="00205403" w:rsidP="00DA4BD6">
            <w:pPr>
              <w:tabs>
                <w:tab w:val="decimal" w:pos="421"/>
              </w:tabs>
              <w:spacing w:before="40" w:after="4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$0</w:t>
            </w:r>
          </w:p>
        </w:tc>
      </w:tr>
      <w:tr w:rsidR="00205403" w:rsidRPr="000973F2" w14:paraId="6D2D7387" w14:textId="77777777" w:rsidTr="00DA4BD6">
        <w:trPr>
          <w:cantSplit/>
        </w:trPr>
        <w:tc>
          <w:tcPr>
            <w:cnfStyle w:val="001000000000" w:firstRow="0" w:lastRow="0" w:firstColumn="1" w:lastColumn="0" w:oddVBand="0" w:evenVBand="0" w:oddHBand="0" w:evenHBand="0" w:firstRowFirstColumn="0" w:firstRowLastColumn="0" w:lastRowFirstColumn="0" w:lastRowLastColumn="0"/>
            <w:tcW w:w="1329" w:type="dxa"/>
            <w:hideMark/>
          </w:tcPr>
          <w:p w14:paraId="5AF941F2" w14:textId="77777777" w:rsidR="00205403" w:rsidRPr="000973F2" w:rsidRDefault="00205403" w:rsidP="00DA4BD6">
            <w:pPr>
              <w:spacing w:before="40" w:after="4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Recordkeeping</w:t>
            </w:r>
          </w:p>
        </w:tc>
        <w:tc>
          <w:tcPr>
            <w:tcW w:w="800" w:type="dxa"/>
            <w:noWrap/>
            <w:hideMark/>
          </w:tcPr>
          <w:p w14:paraId="2763D5E1" w14:textId="77777777" w:rsidR="00205403" w:rsidRPr="000973F2" w:rsidRDefault="00205403" w:rsidP="00DA4BD6">
            <w:pPr>
              <w:spacing w:before="40" w:after="4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0</w:t>
            </w:r>
          </w:p>
        </w:tc>
        <w:tc>
          <w:tcPr>
            <w:tcW w:w="800" w:type="dxa"/>
            <w:noWrap/>
            <w:hideMark/>
          </w:tcPr>
          <w:p w14:paraId="3C10E0F8" w14:textId="77777777" w:rsidR="00205403" w:rsidRPr="000973F2" w:rsidRDefault="00205403" w:rsidP="00DA4BD6">
            <w:pPr>
              <w:spacing w:before="40" w:after="4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0</w:t>
            </w:r>
          </w:p>
        </w:tc>
        <w:tc>
          <w:tcPr>
            <w:tcW w:w="800" w:type="dxa"/>
            <w:noWrap/>
            <w:hideMark/>
          </w:tcPr>
          <w:p w14:paraId="6E9367D4" w14:textId="77777777" w:rsidR="00205403" w:rsidRPr="000973F2" w:rsidRDefault="00205403" w:rsidP="00DA4BD6">
            <w:pPr>
              <w:spacing w:before="40" w:after="4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0</w:t>
            </w:r>
          </w:p>
        </w:tc>
        <w:tc>
          <w:tcPr>
            <w:tcW w:w="800" w:type="dxa"/>
            <w:noWrap/>
            <w:hideMark/>
          </w:tcPr>
          <w:p w14:paraId="280312C6" w14:textId="77777777" w:rsidR="00205403" w:rsidRPr="000973F2" w:rsidRDefault="00205403" w:rsidP="00DA4BD6">
            <w:pPr>
              <w:tabs>
                <w:tab w:val="decimal" w:pos="271"/>
              </w:tabs>
              <w:spacing w:before="40" w:after="4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0.5</w:t>
            </w:r>
          </w:p>
        </w:tc>
        <w:tc>
          <w:tcPr>
            <w:tcW w:w="800" w:type="dxa"/>
            <w:noWrap/>
            <w:hideMark/>
          </w:tcPr>
          <w:p w14:paraId="18F3F8FE" w14:textId="77777777" w:rsidR="00205403" w:rsidRPr="000973F2" w:rsidRDefault="00205403" w:rsidP="00DA4BD6">
            <w:pPr>
              <w:spacing w:before="40" w:after="4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0</w:t>
            </w:r>
          </w:p>
        </w:tc>
        <w:tc>
          <w:tcPr>
            <w:tcW w:w="800" w:type="dxa"/>
            <w:noWrap/>
            <w:hideMark/>
          </w:tcPr>
          <w:p w14:paraId="62A3F18D" w14:textId="77777777" w:rsidR="00205403" w:rsidRPr="000973F2" w:rsidRDefault="00205403" w:rsidP="00DA4BD6">
            <w:pPr>
              <w:spacing w:before="40" w:after="4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2</w:t>
            </w:r>
          </w:p>
        </w:tc>
        <w:tc>
          <w:tcPr>
            <w:tcW w:w="800" w:type="dxa"/>
            <w:noWrap/>
            <w:hideMark/>
          </w:tcPr>
          <w:p w14:paraId="4676A0CA" w14:textId="77777777" w:rsidR="00205403" w:rsidRPr="000973F2" w:rsidRDefault="00205403" w:rsidP="00DA4BD6">
            <w:pPr>
              <w:spacing w:before="40" w:after="4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0</w:t>
            </w:r>
          </w:p>
        </w:tc>
        <w:tc>
          <w:tcPr>
            <w:tcW w:w="801" w:type="dxa"/>
            <w:noWrap/>
            <w:hideMark/>
          </w:tcPr>
          <w:p w14:paraId="500334CE" w14:textId="77777777" w:rsidR="00205403" w:rsidRPr="000973F2" w:rsidRDefault="00205403" w:rsidP="00DA4BD6">
            <w:pPr>
              <w:tabs>
                <w:tab w:val="decimal" w:pos="256"/>
              </w:tabs>
              <w:spacing w:before="40" w:after="4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0.5</w:t>
            </w:r>
          </w:p>
        </w:tc>
        <w:tc>
          <w:tcPr>
            <w:tcW w:w="721" w:type="dxa"/>
            <w:noWrap/>
            <w:hideMark/>
          </w:tcPr>
          <w:p w14:paraId="260DB15B" w14:textId="4EAEE197" w:rsidR="00205403" w:rsidRPr="000973F2" w:rsidRDefault="00205403" w:rsidP="00DA4BD6">
            <w:pPr>
              <w:spacing w:before="40" w:after="4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$0</w:t>
            </w:r>
          </w:p>
        </w:tc>
        <w:tc>
          <w:tcPr>
            <w:tcW w:w="879" w:type="dxa"/>
            <w:noWrap/>
            <w:hideMark/>
          </w:tcPr>
          <w:p w14:paraId="7659C6D3" w14:textId="26112A5C" w:rsidR="00205403" w:rsidRPr="000973F2" w:rsidRDefault="00205403" w:rsidP="00DA4BD6">
            <w:pPr>
              <w:tabs>
                <w:tab w:val="decimal" w:pos="421"/>
              </w:tabs>
              <w:spacing w:before="40" w:after="4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$205</w:t>
            </w:r>
          </w:p>
        </w:tc>
      </w:tr>
      <w:tr w:rsidR="00205403" w:rsidRPr="000973F2" w14:paraId="5292F108" w14:textId="77777777" w:rsidTr="00DA4BD6">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1329" w:type="dxa"/>
            <w:hideMark/>
          </w:tcPr>
          <w:p w14:paraId="03B5EB06" w14:textId="77777777" w:rsidR="00205403" w:rsidRPr="000973F2" w:rsidRDefault="00205403" w:rsidP="00DA4BD6">
            <w:pPr>
              <w:spacing w:before="40" w:after="4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Sampling and Analysis (Calculations)</w:t>
            </w:r>
          </w:p>
        </w:tc>
        <w:tc>
          <w:tcPr>
            <w:tcW w:w="800" w:type="dxa"/>
            <w:noWrap/>
            <w:hideMark/>
          </w:tcPr>
          <w:p w14:paraId="7505E4B9" w14:textId="77777777" w:rsidR="00205403" w:rsidRPr="000973F2" w:rsidRDefault="00205403" w:rsidP="00DA4BD6">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0</w:t>
            </w:r>
          </w:p>
        </w:tc>
        <w:tc>
          <w:tcPr>
            <w:tcW w:w="800" w:type="dxa"/>
            <w:noWrap/>
            <w:hideMark/>
          </w:tcPr>
          <w:p w14:paraId="7E24791A" w14:textId="77777777" w:rsidR="00205403" w:rsidRPr="000973F2" w:rsidRDefault="00205403" w:rsidP="00DA4BD6">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0</w:t>
            </w:r>
          </w:p>
        </w:tc>
        <w:tc>
          <w:tcPr>
            <w:tcW w:w="800" w:type="dxa"/>
            <w:noWrap/>
            <w:hideMark/>
          </w:tcPr>
          <w:p w14:paraId="5846C9DD" w14:textId="77777777" w:rsidR="00205403" w:rsidRPr="000973F2" w:rsidRDefault="00205403" w:rsidP="00DA4BD6">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0</w:t>
            </w:r>
          </w:p>
        </w:tc>
        <w:tc>
          <w:tcPr>
            <w:tcW w:w="800" w:type="dxa"/>
            <w:noWrap/>
            <w:hideMark/>
          </w:tcPr>
          <w:p w14:paraId="2EBB0106" w14:textId="77777777" w:rsidR="00205403" w:rsidRPr="000973F2" w:rsidRDefault="00205403" w:rsidP="00DA4BD6">
            <w:pPr>
              <w:tabs>
                <w:tab w:val="decimal" w:pos="271"/>
              </w:tabs>
              <w:spacing w:before="40" w:after="4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0</w:t>
            </w:r>
          </w:p>
        </w:tc>
        <w:tc>
          <w:tcPr>
            <w:tcW w:w="800" w:type="dxa"/>
            <w:noWrap/>
            <w:hideMark/>
          </w:tcPr>
          <w:p w14:paraId="5722FF92" w14:textId="77777777" w:rsidR="00205403" w:rsidRPr="000973F2" w:rsidRDefault="00205403" w:rsidP="00DA4BD6">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0</w:t>
            </w:r>
          </w:p>
        </w:tc>
        <w:tc>
          <w:tcPr>
            <w:tcW w:w="800" w:type="dxa"/>
            <w:noWrap/>
            <w:hideMark/>
          </w:tcPr>
          <w:p w14:paraId="74B36D4F" w14:textId="77777777" w:rsidR="00205403" w:rsidRPr="000973F2" w:rsidRDefault="00205403" w:rsidP="00DA4BD6">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0</w:t>
            </w:r>
          </w:p>
        </w:tc>
        <w:tc>
          <w:tcPr>
            <w:tcW w:w="800" w:type="dxa"/>
            <w:noWrap/>
            <w:hideMark/>
          </w:tcPr>
          <w:p w14:paraId="227577C5" w14:textId="77777777" w:rsidR="00205403" w:rsidRPr="000973F2" w:rsidRDefault="00205403" w:rsidP="00DA4BD6">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0</w:t>
            </w:r>
          </w:p>
        </w:tc>
        <w:tc>
          <w:tcPr>
            <w:tcW w:w="801" w:type="dxa"/>
            <w:noWrap/>
            <w:hideMark/>
          </w:tcPr>
          <w:p w14:paraId="0F809504" w14:textId="77777777" w:rsidR="00205403" w:rsidRPr="000973F2" w:rsidRDefault="00205403" w:rsidP="00DA4BD6">
            <w:pPr>
              <w:tabs>
                <w:tab w:val="decimal" w:pos="256"/>
              </w:tabs>
              <w:spacing w:before="40" w:after="4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0</w:t>
            </w:r>
          </w:p>
        </w:tc>
        <w:tc>
          <w:tcPr>
            <w:tcW w:w="721" w:type="dxa"/>
            <w:noWrap/>
            <w:hideMark/>
          </w:tcPr>
          <w:p w14:paraId="52E162C4" w14:textId="7B92D05A" w:rsidR="00205403" w:rsidRPr="000973F2" w:rsidRDefault="00205403" w:rsidP="00DA4BD6">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$0</w:t>
            </w:r>
          </w:p>
        </w:tc>
        <w:tc>
          <w:tcPr>
            <w:tcW w:w="879" w:type="dxa"/>
            <w:noWrap/>
            <w:hideMark/>
          </w:tcPr>
          <w:p w14:paraId="2B96C867" w14:textId="4A501118" w:rsidR="00205403" w:rsidRPr="000973F2" w:rsidRDefault="00205403" w:rsidP="00DA4BD6">
            <w:pPr>
              <w:tabs>
                <w:tab w:val="decimal" w:pos="421"/>
              </w:tabs>
              <w:spacing w:before="40" w:after="4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$0</w:t>
            </w:r>
          </w:p>
        </w:tc>
      </w:tr>
      <w:tr w:rsidR="00205403" w:rsidRPr="000973F2" w14:paraId="646E1630" w14:textId="77777777" w:rsidTr="00DA4BD6">
        <w:trPr>
          <w:cantSplit/>
        </w:trPr>
        <w:tc>
          <w:tcPr>
            <w:cnfStyle w:val="001000000000" w:firstRow="0" w:lastRow="0" w:firstColumn="1" w:lastColumn="0" w:oddVBand="0" w:evenVBand="0" w:oddHBand="0" w:evenHBand="0" w:firstRowFirstColumn="0" w:firstRowLastColumn="0" w:lastRowFirstColumn="0" w:lastRowLastColumn="0"/>
            <w:tcW w:w="1329" w:type="dxa"/>
            <w:hideMark/>
          </w:tcPr>
          <w:p w14:paraId="6A35A309" w14:textId="77777777" w:rsidR="00205403" w:rsidRPr="000973F2" w:rsidRDefault="00205403" w:rsidP="00DA4BD6">
            <w:pPr>
              <w:spacing w:before="40" w:after="4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Reporting</w:t>
            </w:r>
          </w:p>
        </w:tc>
        <w:tc>
          <w:tcPr>
            <w:tcW w:w="800" w:type="dxa"/>
            <w:noWrap/>
            <w:hideMark/>
          </w:tcPr>
          <w:p w14:paraId="26BC7606" w14:textId="77777777" w:rsidR="00205403" w:rsidRPr="000973F2" w:rsidRDefault="00205403" w:rsidP="00DA4BD6">
            <w:pPr>
              <w:spacing w:before="40" w:after="4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0</w:t>
            </w:r>
          </w:p>
        </w:tc>
        <w:tc>
          <w:tcPr>
            <w:tcW w:w="800" w:type="dxa"/>
            <w:noWrap/>
            <w:hideMark/>
          </w:tcPr>
          <w:p w14:paraId="27089148" w14:textId="77777777" w:rsidR="00205403" w:rsidRPr="000973F2" w:rsidRDefault="00205403" w:rsidP="00DA4BD6">
            <w:pPr>
              <w:spacing w:before="40" w:after="4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0</w:t>
            </w:r>
          </w:p>
        </w:tc>
        <w:tc>
          <w:tcPr>
            <w:tcW w:w="800" w:type="dxa"/>
            <w:noWrap/>
            <w:hideMark/>
          </w:tcPr>
          <w:p w14:paraId="0EBA4D7A" w14:textId="77777777" w:rsidR="00205403" w:rsidRPr="000973F2" w:rsidRDefault="00205403" w:rsidP="00DA4BD6">
            <w:pPr>
              <w:spacing w:before="40" w:after="4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0</w:t>
            </w:r>
          </w:p>
        </w:tc>
        <w:tc>
          <w:tcPr>
            <w:tcW w:w="800" w:type="dxa"/>
            <w:noWrap/>
            <w:hideMark/>
          </w:tcPr>
          <w:p w14:paraId="1C3AFE64" w14:textId="77777777" w:rsidR="00205403" w:rsidRPr="000973F2" w:rsidRDefault="00205403" w:rsidP="00DA4BD6">
            <w:pPr>
              <w:tabs>
                <w:tab w:val="decimal" w:pos="271"/>
              </w:tabs>
              <w:spacing w:before="40" w:after="4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1.0</w:t>
            </w:r>
          </w:p>
        </w:tc>
        <w:tc>
          <w:tcPr>
            <w:tcW w:w="800" w:type="dxa"/>
            <w:noWrap/>
            <w:hideMark/>
          </w:tcPr>
          <w:p w14:paraId="1E3DF73B" w14:textId="77777777" w:rsidR="00205403" w:rsidRPr="000973F2" w:rsidRDefault="00205403" w:rsidP="00DA4BD6">
            <w:pPr>
              <w:spacing w:before="40" w:after="4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0</w:t>
            </w:r>
          </w:p>
        </w:tc>
        <w:tc>
          <w:tcPr>
            <w:tcW w:w="800" w:type="dxa"/>
            <w:noWrap/>
            <w:hideMark/>
          </w:tcPr>
          <w:p w14:paraId="4A424F0D" w14:textId="77777777" w:rsidR="00205403" w:rsidRPr="000973F2" w:rsidRDefault="00205403" w:rsidP="00DA4BD6">
            <w:pPr>
              <w:spacing w:before="40" w:after="4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4</w:t>
            </w:r>
          </w:p>
        </w:tc>
        <w:tc>
          <w:tcPr>
            <w:tcW w:w="800" w:type="dxa"/>
            <w:noWrap/>
            <w:hideMark/>
          </w:tcPr>
          <w:p w14:paraId="6CDF7D89" w14:textId="77777777" w:rsidR="00205403" w:rsidRPr="000973F2" w:rsidRDefault="00205403" w:rsidP="00DA4BD6">
            <w:pPr>
              <w:spacing w:before="40" w:after="4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0</w:t>
            </w:r>
          </w:p>
        </w:tc>
        <w:tc>
          <w:tcPr>
            <w:tcW w:w="801" w:type="dxa"/>
            <w:noWrap/>
            <w:hideMark/>
          </w:tcPr>
          <w:p w14:paraId="54DFEC7A" w14:textId="77777777" w:rsidR="00205403" w:rsidRPr="000973F2" w:rsidRDefault="00205403" w:rsidP="00DA4BD6">
            <w:pPr>
              <w:tabs>
                <w:tab w:val="decimal" w:pos="256"/>
              </w:tabs>
              <w:spacing w:before="40" w:after="4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1.0</w:t>
            </w:r>
          </w:p>
        </w:tc>
        <w:tc>
          <w:tcPr>
            <w:tcW w:w="721" w:type="dxa"/>
            <w:noWrap/>
            <w:hideMark/>
          </w:tcPr>
          <w:p w14:paraId="2D7FD9F7" w14:textId="7CAC9E0E" w:rsidR="00205403" w:rsidRPr="000973F2" w:rsidRDefault="00205403" w:rsidP="00DA4BD6">
            <w:pPr>
              <w:spacing w:before="40" w:after="4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$0</w:t>
            </w:r>
          </w:p>
        </w:tc>
        <w:tc>
          <w:tcPr>
            <w:tcW w:w="879" w:type="dxa"/>
            <w:noWrap/>
            <w:hideMark/>
          </w:tcPr>
          <w:p w14:paraId="1CD9A3D0" w14:textId="05388536" w:rsidR="00205403" w:rsidRPr="000973F2" w:rsidRDefault="00205403" w:rsidP="00DA4BD6">
            <w:pPr>
              <w:tabs>
                <w:tab w:val="decimal" w:pos="421"/>
              </w:tabs>
              <w:spacing w:before="40" w:after="4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$410</w:t>
            </w:r>
          </w:p>
        </w:tc>
      </w:tr>
      <w:tr w:rsidR="00205403" w:rsidRPr="000973F2" w14:paraId="2751143E" w14:textId="77777777" w:rsidTr="00DA4BD6">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1329" w:type="dxa"/>
            <w:noWrap/>
            <w:hideMark/>
          </w:tcPr>
          <w:p w14:paraId="6E560F0B" w14:textId="77777777" w:rsidR="00205403" w:rsidRPr="000973F2" w:rsidRDefault="00205403" w:rsidP="00DA4BD6">
            <w:pPr>
              <w:spacing w:before="40" w:after="40"/>
              <w:rPr>
                <w:rFonts w:ascii="Times New Roman" w:eastAsia="Times New Roman" w:hAnsi="Times New Roman" w:cs="Times New Roman"/>
                <w:b/>
                <w:bCs w:val="0"/>
                <w:sz w:val="18"/>
                <w:szCs w:val="18"/>
              </w:rPr>
            </w:pPr>
            <w:r w:rsidRPr="000973F2">
              <w:rPr>
                <w:rFonts w:ascii="Times New Roman" w:eastAsia="Times New Roman" w:hAnsi="Times New Roman" w:cs="Times New Roman"/>
                <w:b/>
                <w:sz w:val="18"/>
                <w:szCs w:val="18"/>
              </w:rPr>
              <w:t>Total</w:t>
            </w:r>
          </w:p>
        </w:tc>
        <w:tc>
          <w:tcPr>
            <w:tcW w:w="800" w:type="dxa"/>
            <w:noWrap/>
            <w:hideMark/>
          </w:tcPr>
          <w:p w14:paraId="768C1081" w14:textId="77777777" w:rsidR="00205403" w:rsidRPr="000973F2" w:rsidRDefault="00205403" w:rsidP="00DA4BD6">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18"/>
                <w:szCs w:val="18"/>
              </w:rPr>
            </w:pPr>
            <w:r w:rsidRPr="000973F2">
              <w:rPr>
                <w:rFonts w:ascii="Times New Roman" w:eastAsia="Times New Roman" w:hAnsi="Times New Roman" w:cs="Times New Roman"/>
                <w:b/>
                <w:bCs/>
                <w:sz w:val="18"/>
                <w:szCs w:val="18"/>
              </w:rPr>
              <w:t>0</w:t>
            </w:r>
          </w:p>
        </w:tc>
        <w:tc>
          <w:tcPr>
            <w:tcW w:w="800" w:type="dxa"/>
            <w:noWrap/>
            <w:hideMark/>
          </w:tcPr>
          <w:p w14:paraId="76621A46" w14:textId="77777777" w:rsidR="00205403" w:rsidRPr="000973F2" w:rsidRDefault="00205403" w:rsidP="00DA4BD6">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18"/>
                <w:szCs w:val="18"/>
              </w:rPr>
            </w:pPr>
            <w:r w:rsidRPr="000973F2">
              <w:rPr>
                <w:rFonts w:ascii="Times New Roman" w:eastAsia="Times New Roman" w:hAnsi="Times New Roman" w:cs="Times New Roman"/>
                <w:b/>
                <w:bCs/>
                <w:sz w:val="18"/>
                <w:szCs w:val="18"/>
              </w:rPr>
              <w:t>0</w:t>
            </w:r>
          </w:p>
        </w:tc>
        <w:tc>
          <w:tcPr>
            <w:tcW w:w="800" w:type="dxa"/>
            <w:noWrap/>
            <w:hideMark/>
          </w:tcPr>
          <w:p w14:paraId="2C96E18C" w14:textId="77777777" w:rsidR="00205403" w:rsidRPr="000973F2" w:rsidRDefault="00205403" w:rsidP="00DA4BD6">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18"/>
                <w:szCs w:val="18"/>
              </w:rPr>
            </w:pPr>
            <w:r w:rsidRPr="000973F2">
              <w:rPr>
                <w:rFonts w:ascii="Times New Roman" w:eastAsia="Times New Roman" w:hAnsi="Times New Roman" w:cs="Times New Roman"/>
                <w:b/>
                <w:bCs/>
                <w:sz w:val="18"/>
                <w:szCs w:val="18"/>
              </w:rPr>
              <w:t>0</w:t>
            </w:r>
          </w:p>
        </w:tc>
        <w:tc>
          <w:tcPr>
            <w:tcW w:w="800" w:type="dxa"/>
            <w:noWrap/>
            <w:hideMark/>
          </w:tcPr>
          <w:p w14:paraId="335783EA" w14:textId="77777777" w:rsidR="00205403" w:rsidRPr="000973F2" w:rsidRDefault="00205403" w:rsidP="00DA4BD6">
            <w:pPr>
              <w:tabs>
                <w:tab w:val="decimal" w:pos="271"/>
              </w:tabs>
              <w:spacing w:before="40" w:after="4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18"/>
                <w:szCs w:val="18"/>
              </w:rPr>
            </w:pPr>
            <w:r w:rsidRPr="000973F2">
              <w:rPr>
                <w:rFonts w:ascii="Times New Roman" w:eastAsia="Times New Roman" w:hAnsi="Times New Roman" w:cs="Times New Roman"/>
                <w:b/>
                <w:bCs/>
                <w:sz w:val="18"/>
                <w:szCs w:val="18"/>
              </w:rPr>
              <w:t>1.5</w:t>
            </w:r>
          </w:p>
        </w:tc>
        <w:tc>
          <w:tcPr>
            <w:tcW w:w="800" w:type="dxa"/>
            <w:noWrap/>
            <w:hideMark/>
          </w:tcPr>
          <w:p w14:paraId="3F6C697F" w14:textId="77777777" w:rsidR="00205403" w:rsidRPr="000973F2" w:rsidRDefault="00205403" w:rsidP="00DA4BD6">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18"/>
                <w:szCs w:val="18"/>
              </w:rPr>
            </w:pPr>
            <w:r w:rsidRPr="000973F2">
              <w:rPr>
                <w:rFonts w:ascii="Times New Roman" w:eastAsia="Times New Roman" w:hAnsi="Times New Roman" w:cs="Times New Roman"/>
                <w:b/>
                <w:bCs/>
                <w:sz w:val="18"/>
                <w:szCs w:val="18"/>
              </w:rPr>
              <w:t>0</w:t>
            </w:r>
          </w:p>
        </w:tc>
        <w:tc>
          <w:tcPr>
            <w:tcW w:w="800" w:type="dxa"/>
            <w:noWrap/>
            <w:hideMark/>
          </w:tcPr>
          <w:p w14:paraId="3D17FD89" w14:textId="77777777" w:rsidR="00205403" w:rsidRPr="000973F2" w:rsidRDefault="00205403" w:rsidP="00DA4BD6">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18"/>
                <w:szCs w:val="18"/>
              </w:rPr>
            </w:pPr>
            <w:r w:rsidRPr="000973F2">
              <w:rPr>
                <w:rFonts w:ascii="Times New Roman" w:eastAsia="Times New Roman" w:hAnsi="Times New Roman" w:cs="Times New Roman"/>
                <w:b/>
                <w:bCs/>
                <w:sz w:val="18"/>
                <w:szCs w:val="18"/>
              </w:rPr>
              <w:t>6</w:t>
            </w:r>
          </w:p>
        </w:tc>
        <w:tc>
          <w:tcPr>
            <w:tcW w:w="800" w:type="dxa"/>
            <w:noWrap/>
            <w:hideMark/>
          </w:tcPr>
          <w:p w14:paraId="5C6646C9" w14:textId="77777777" w:rsidR="00205403" w:rsidRPr="000973F2" w:rsidRDefault="00205403" w:rsidP="00DA4BD6">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18"/>
                <w:szCs w:val="18"/>
              </w:rPr>
            </w:pPr>
            <w:r w:rsidRPr="000973F2">
              <w:rPr>
                <w:rFonts w:ascii="Times New Roman" w:eastAsia="Times New Roman" w:hAnsi="Times New Roman" w:cs="Times New Roman"/>
                <w:b/>
                <w:bCs/>
                <w:sz w:val="18"/>
                <w:szCs w:val="18"/>
              </w:rPr>
              <w:t>0</w:t>
            </w:r>
          </w:p>
        </w:tc>
        <w:tc>
          <w:tcPr>
            <w:tcW w:w="801" w:type="dxa"/>
            <w:noWrap/>
            <w:hideMark/>
          </w:tcPr>
          <w:p w14:paraId="5AB67AF0" w14:textId="77777777" w:rsidR="00205403" w:rsidRPr="000973F2" w:rsidRDefault="00205403" w:rsidP="00DA4BD6">
            <w:pPr>
              <w:tabs>
                <w:tab w:val="decimal" w:pos="256"/>
              </w:tabs>
              <w:spacing w:before="40" w:after="4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18"/>
                <w:szCs w:val="18"/>
              </w:rPr>
            </w:pPr>
            <w:r w:rsidRPr="000973F2">
              <w:rPr>
                <w:rFonts w:ascii="Times New Roman" w:eastAsia="Times New Roman" w:hAnsi="Times New Roman" w:cs="Times New Roman"/>
                <w:b/>
                <w:bCs/>
                <w:sz w:val="18"/>
                <w:szCs w:val="18"/>
              </w:rPr>
              <w:t>1.5</w:t>
            </w:r>
          </w:p>
        </w:tc>
        <w:tc>
          <w:tcPr>
            <w:tcW w:w="721" w:type="dxa"/>
            <w:noWrap/>
            <w:hideMark/>
          </w:tcPr>
          <w:p w14:paraId="259734F0" w14:textId="645B217C" w:rsidR="00205403" w:rsidRPr="000973F2" w:rsidRDefault="00205403" w:rsidP="00DA4BD6">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18"/>
                <w:szCs w:val="18"/>
              </w:rPr>
            </w:pPr>
            <w:r w:rsidRPr="000973F2">
              <w:rPr>
                <w:rFonts w:ascii="Times New Roman" w:eastAsia="Times New Roman" w:hAnsi="Times New Roman" w:cs="Times New Roman"/>
                <w:b/>
                <w:bCs/>
                <w:sz w:val="18"/>
                <w:szCs w:val="18"/>
              </w:rPr>
              <w:t>$0</w:t>
            </w:r>
          </w:p>
        </w:tc>
        <w:tc>
          <w:tcPr>
            <w:tcW w:w="879" w:type="dxa"/>
            <w:noWrap/>
            <w:hideMark/>
          </w:tcPr>
          <w:p w14:paraId="34D6964F" w14:textId="17208D15" w:rsidR="00205403" w:rsidRPr="000973F2" w:rsidRDefault="00205403" w:rsidP="00DA4BD6">
            <w:pPr>
              <w:tabs>
                <w:tab w:val="decimal" w:pos="421"/>
              </w:tabs>
              <w:spacing w:before="40" w:after="4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18"/>
                <w:szCs w:val="18"/>
              </w:rPr>
            </w:pPr>
            <w:r w:rsidRPr="000973F2">
              <w:rPr>
                <w:rFonts w:ascii="Times New Roman" w:eastAsia="Times New Roman" w:hAnsi="Times New Roman" w:cs="Times New Roman"/>
                <w:b/>
                <w:bCs/>
                <w:sz w:val="18"/>
                <w:szCs w:val="18"/>
              </w:rPr>
              <w:t>$614</w:t>
            </w:r>
          </w:p>
        </w:tc>
      </w:tr>
    </w:tbl>
    <w:p w14:paraId="771E4411" w14:textId="59F30CB6" w:rsidR="00813F0B" w:rsidRPr="000973F2" w:rsidRDefault="00813F0B" w:rsidP="0063018C">
      <w:pPr>
        <w:pStyle w:val="Heading2"/>
      </w:pPr>
      <w:r w:rsidRPr="000973F2">
        <w:br w:type="page"/>
        <w:t xml:space="preserve">Capital and O&amp;M Costs for Subpart N </w:t>
      </w:r>
      <w:r w:rsidR="0063018C" w:rsidRPr="000973F2">
        <w:t>–</w:t>
      </w:r>
      <w:r w:rsidRPr="000973F2">
        <w:t xml:space="preserve"> CEMS Option </w:t>
      </w:r>
    </w:p>
    <w:p w14:paraId="5F26301E" w14:textId="7588B419" w:rsidR="00813F0B" w:rsidRPr="000973F2" w:rsidRDefault="00813F0B" w:rsidP="0063018C">
      <w:pPr>
        <w:pStyle w:val="BodyText"/>
      </w:pPr>
      <w:r w:rsidRPr="000973F2">
        <w:t xml:space="preserve">Capital and O&amp;M costs for each of the two facilities using the CEMS option to comply with Subpart N are shown in Table </w:t>
      </w:r>
      <w:r w:rsidR="0063018C" w:rsidRPr="000973F2">
        <w:t>N-</w:t>
      </w:r>
      <w:r w:rsidRPr="000973F2">
        <w:t xml:space="preserve">2a. Facilities only incur O&amp;M costs associated with recordkeeping as discussed in the Cost Appendix Introduction. No capital costs are expected. </w:t>
      </w:r>
    </w:p>
    <w:p w14:paraId="3C19B381" w14:textId="32B1AB64" w:rsidR="00813F0B" w:rsidRPr="000973F2" w:rsidRDefault="00C53E32" w:rsidP="0063018C">
      <w:pPr>
        <w:pStyle w:val="Tabletitle"/>
      </w:pPr>
      <w:r w:rsidRPr="000973F2">
        <w:t xml:space="preserve">Table </w:t>
      </w:r>
      <w:r w:rsidR="0063018C" w:rsidRPr="000973F2">
        <w:t>N-</w:t>
      </w:r>
      <w:r w:rsidRPr="000973F2">
        <w:t xml:space="preserve">2a. Capital and O&amp;M Costs </w:t>
      </w:r>
      <w:r w:rsidR="0063018C" w:rsidRPr="000973F2">
        <w:t>–</w:t>
      </w:r>
      <w:r w:rsidRPr="000973F2">
        <w:t xml:space="preserve"> </w:t>
      </w:r>
      <w:r w:rsidR="00813F0B" w:rsidRPr="000973F2">
        <w:t>Subpart N –CEMS Option</w:t>
      </w:r>
    </w:p>
    <w:tbl>
      <w:tblPr>
        <w:tblStyle w:val="PlainTable1"/>
        <w:tblW w:w="5000" w:type="pct"/>
        <w:jc w:val="left"/>
        <w:tblLayout w:type="fixed"/>
        <w:tblCellMar>
          <w:left w:w="115" w:type="dxa"/>
          <w:right w:w="115" w:type="dxa"/>
        </w:tblCellMar>
        <w:tblLook w:val="04A0" w:firstRow="1" w:lastRow="0" w:firstColumn="1" w:lastColumn="0" w:noHBand="0" w:noVBand="1"/>
      </w:tblPr>
      <w:tblGrid>
        <w:gridCol w:w="1743"/>
        <w:gridCol w:w="1296"/>
        <w:gridCol w:w="1296"/>
        <w:gridCol w:w="1296"/>
        <w:gridCol w:w="1296"/>
        <w:gridCol w:w="1331"/>
        <w:gridCol w:w="1332"/>
      </w:tblGrid>
      <w:tr w:rsidR="00FF36E8" w:rsidRPr="000973F2" w14:paraId="0554303C" w14:textId="77777777" w:rsidTr="00B028E2">
        <w:trPr>
          <w:cnfStyle w:val="100000000000" w:firstRow="1" w:lastRow="0" w:firstColumn="0" w:lastColumn="0" w:oddVBand="0" w:evenVBand="0" w:oddHBand="0" w:evenHBand="0" w:firstRowFirstColumn="0" w:firstRowLastColumn="0" w:lastRowFirstColumn="0" w:lastRowLastColumn="0"/>
          <w:cantSplit/>
          <w:jc w:val="left"/>
        </w:trPr>
        <w:tc>
          <w:tcPr>
            <w:cnfStyle w:val="001000000000" w:firstRow="0" w:lastRow="0" w:firstColumn="1" w:lastColumn="0" w:oddVBand="0" w:evenVBand="0" w:oddHBand="0" w:evenHBand="0" w:firstRowFirstColumn="0" w:firstRowLastColumn="0" w:lastRowFirstColumn="0" w:lastRowLastColumn="0"/>
            <w:tcW w:w="1695" w:type="dxa"/>
            <w:vMerge w:val="restart"/>
            <w:noWrap/>
            <w:vAlign w:val="top"/>
            <w:hideMark/>
          </w:tcPr>
          <w:p w14:paraId="41081D47" w14:textId="20EAE440" w:rsidR="00FF36E8" w:rsidRPr="000973F2" w:rsidRDefault="00FF36E8" w:rsidP="00B028E2">
            <w:pPr>
              <w:spacing w:before="40" w:after="40"/>
              <w:rPr>
                <w:rFonts w:ascii="Times New Roman" w:eastAsia="Times New Roman" w:hAnsi="Times New Roman" w:cs="Times New Roman"/>
                <w:b w:val="0"/>
                <w:bCs w:val="0"/>
                <w:sz w:val="18"/>
                <w:szCs w:val="18"/>
              </w:rPr>
            </w:pPr>
            <w:r w:rsidRPr="000973F2">
              <w:rPr>
                <w:rFonts w:ascii="Times New Roman" w:eastAsia="Times New Roman" w:hAnsi="Times New Roman" w:cs="Times New Roman"/>
                <w:sz w:val="18"/>
                <w:szCs w:val="18"/>
              </w:rPr>
              <w:t>Activity</w:t>
            </w:r>
          </w:p>
        </w:tc>
        <w:tc>
          <w:tcPr>
            <w:tcW w:w="5044" w:type="dxa"/>
            <w:gridSpan w:val="4"/>
            <w:noWrap/>
            <w:vAlign w:val="top"/>
            <w:hideMark/>
          </w:tcPr>
          <w:p w14:paraId="6F57F638" w14:textId="77777777" w:rsidR="00FF36E8" w:rsidRPr="000973F2" w:rsidRDefault="00FF36E8" w:rsidP="00B028E2">
            <w:pPr>
              <w:spacing w:before="40" w:after="40"/>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bCs w:val="0"/>
                <w:sz w:val="18"/>
                <w:szCs w:val="18"/>
              </w:rPr>
            </w:pPr>
            <w:r w:rsidRPr="000973F2">
              <w:rPr>
                <w:rFonts w:ascii="Times New Roman" w:eastAsia="Times New Roman" w:hAnsi="Times New Roman" w:cs="Times New Roman"/>
                <w:sz w:val="18"/>
                <w:szCs w:val="18"/>
              </w:rPr>
              <w:t>Cost Categories</w:t>
            </w:r>
          </w:p>
        </w:tc>
        <w:tc>
          <w:tcPr>
            <w:tcW w:w="2591" w:type="dxa"/>
            <w:gridSpan w:val="2"/>
            <w:vAlign w:val="top"/>
            <w:hideMark/>
          </w:tcPr>
          <w:p w14:paraId="0578C618" w14:textId="3460D5CC" w:rsidR="00FF36E8" w:rsidRPr="000973F2" w:rsidRDefault="00FF36E8" w:rsidP="00B028E2">
            <w:pPr>
              <w:spacing w:before="40" w:after="40"/>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bCs w:val="0"/>
                <w:sz w:val="18"/>
                <w:szCs w:val="18"/>
              </w:rPr>
            </w:pPr>
            <w:r w:rsidRPr="000973F2">
              <w:rPr>
                <w:rFonts w:ascii="Times New Roman" w:eastAsia="Times New Roman" w:hAnsi="Times New Roman" w:cs="Times New Roman"/>
                <w:sz w:val="18"/>
                <w:szCs w:val="18"/>
              </w:rPr>
              <w:t>Total Capital and O&amp;M Cost per Year per Facility (2017$)</w:t>
            </w:r>
          </w:p>
        </w:tc>
      </w:tr>
      <w:tr w:rsidR="00B028E2" w:rsidRPr="000973F2" w14:paraId="688294A6" w14:textId="77777777" w:rsidTr="00B028E2">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1695" w:type="dxa"/>
            <w:vMerge/>
            <w:noWrap/>
            <w:hideMark/>
          </w:tcPr>
          <w:p w14:paraId="09CB130A" w14:textId="44BAE44B" w:rsidR="00FF36E8" w:rsidRPr="000973F2" w:rsidRDefault="00FF36E8" w:rsidP="00B028E2">
            <w:pPr>
              <w:spacing w:before="40" w:after="40"/>
              <w:jc w:val="center"/>
              <w:rPr>
                <w:rFonts w:ascii="Times New Roman" w:eastAsia="Times New Roman" w:hAnsi="Times New Roman" w:cs="Times New Roman"/>
                <w:b/>
                <w:bCs w:val="0"/>
                <w:sz w:val="18"/>
                <w:szCs w:val="18"/>
              </w:rPr>
            </w:pPr>
          </w:p>
        </w:tc>
        <w:tc>
          <w:tcPr>
            <w:tcW w:w="1261" w:type="dxa"/>
            <w:hideMark/>
          </w:tcPr>
          <w:p w14:paraId="4EA624AC" w14:textId="77777777" w:rsidR="00FF36E8" w:rsidRPr="000973F2" w:rsidRDefault="00FF36E8" w:rsidP="00B028E2">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18"/>
                <w:szCs w:val="18"/>
              </w:rPr>
            </w:pPr>
            <w:r w:rsidRPr="000973F2">
              <w:rPr>
                <w:rFonts w:ascii="Times New Roman" w:eastAsia="Times New Roman" w:hAnsi="Times New Roman" w:cs="Times New Roman"/>
                <w:b/>
                <w:bCs/>
                <w:sz w:val="18"/>
                <w:szCs w:val="18"/>
              </w:rPr>
              <w:t>Capital Cost (2017$)</w:t>
            </w:r>
          </w:p>
        </w:tc>
        <w:tc>
          <w:tcPr>
            <w:tcW w:w="1261" w:type="dxa"/>
            <w:hideMark/>
          </w:tcPr>
          <w:p w14:paraId="56D9C39C" w14:textId="77777777" w:rsidR="00FF36E8" w:rsidRPr="000973F2" w:rsidRDefault="00FF36E8" w:rsidP="00B028E2">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18"/>
                <w:szCs w:val="18"/>
              </w:rPr>
            </w:pPr>
            <w:r w:rsidRPr="000973F2">
              <w:rPr>
                <w:rFonts w:ascii="Times New Roman" w:eastAsia="Times New Roman" w:hAnsi="Times New Roman" w:cs="Times New Roman"/>
                <w:b/>
                <w:bCs/>
                <w:sz w:val="18"/>
                <w:szCs w:val="18"/>
              </w:rPr>
              <w:t>Equipment Lifetime</w:t>
            </w:r>
          </w:p>
        </w:tc>
        <w:tc>
          <w:tcPr>
            <w:tcW w:w="1261" w:type="dxa"/>
            <w:hideMark/>
          </w:tcPr>
          <w:p w14:paraId="7B320B70" w14:textId="77777777" w:rsidR="00FF36E8" w:rsidRPr="000973F2" w:rsidRDefault="00FF36E8" w:rsidP="00B028E2">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18"/>
                <w:szCs w:val="18"/>
              </w:rPr>
            </w:pPr>
            <w:r w:rsidRPr="000973F2">
              <w:rPr>
                <w:rFonts w:ascii="Times New Roman" w:eastAsia="Times New Roman" w:hAnsi="Times New Roman" w:cs="Times New Roman"/>
                <w:b/>
                <w:bCs/>
                <w:sz w:val="18"/>
                <w:szCs w:val="18"/>
              </w:rPr>
              <w:t>Annualized Capital Cost (2017$/year)</w:t>
            </w:r>
          </w:p>
        </w:tc>
        <w:tc>
          <w:tcPr>
            <w:tcW w:w="1261" w:type="dxa"/>
            <w:hideMark/>
          </w:tcPr>
          <w:p w14:paraId="49EDCABD" w14:textId="0A5CD1E9" w:rsidR="00FF36E8" w:rsidRPr="000973F2" w:rsidRDefault="00FF36E8" w:rsidP="00B028E2">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18"/>
                <w:szCs w:val="18"/>
              </w:rPr>
            </w:pPr>
            <w:r w:rsidRPr="000973F2">
              <w:rPr>
                <w:rFonts w:ascii="Times New Roman" w:eastAsia="Times New Roman" w:hAnsi="Times New Roman" w:cs="Times New Roman"/>
                <w:b/>
                <w:bCs/>
                <w:sz w:val="18"/>
                <w:szCs w:val="18"/>
              </w:rPr>
              <w:t>O&amp;M Costs (2017$/</w:t>
            </w:r>
            <w:r w:rsidR="00B028E2" w:rsidRPr="000973F2">
              <w:rPr>
                <w:rFonts w:ascii="Times New Roman" w:eastAsia="Times New Roman" w:hAnsi="Times New Roman" w:cs="Times New Roman"/>
                <w:b/>
                <w:bCs/>
                <w:sz w:val="18"/>
                <w:szCs w:val="18"/>
              </w:rPr>
              <w:t xml:space="preserve"> </w:t>
            </w:r>
            <w:r w:rsidRPr="000973F2">
              <w:rPr>
                <w:rFonts w:ascii="Times New Roman" w:eastAsia="Times New Roman" w:hAnsi="Times New Roman" w:cs="Times New Roman"/>
                <w:b/>
                <w:bCs/>
                <w:sz w:val="18"/>
                <w:szCs w:val="18"/>
              </w:rPr>
              <w:t>year)</w:t>
            </w:r>
          </w:p>
        </w:tc>
        <w:tc>
          <w:tcPr>
            <w:tcW w:w="1295" w:type="dxa"/>
            <w:hideMark/>
          </w:tcPr>
          <w:p w14:paraId="428782A9" w14:textId="77777777" w:rsidR="00FF36E8" w:rsidRPr="000973F2" w:rsidRDefault="00FF36E8" w:rsidP="00B028E2">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18"/>
                <w:szCs w:val="18"/>
              </w:rPr>
            </w:pPr>
            <w:r w:rsidRPr="000973F2">
              <w:rPr>
                <w:rFonts w:ascii="Times New Roman" w:eastAsia="Times New Roman" w:hAnsi="Times New Roman" w:cs="Times New Roman"/>
                <w:b/>
                <w:bCs/>
                <w:sz w:val="18"/>
                <w:szCs w:val="18"/>
              </w:rPr>
              <w:t>Initial Year</w:t>
            </w:r>
          </w:p>
        </w:tc>
        <w:tc>
          <w:tcPr>
            <w:tcW w:w="1296" w:type="dxa"/>
            <w:hideMark/>
          </w:tcPr>
          <w:p w14:paraId="63AC6A9A" w14:textId="77777777" w:rsidR="00FF36E8" w:rsidRPr="000973F2" w:rsidRDefault="00FF36E8" w:rsidP="00B028E2">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18"/>
                <w:szCs w:val="18"/>
              </w:rPr>
            </w:pPr>
            <w:r w:rsidRPr="000973F2">
              <w:rPr>
                <w:rFonts w:ascii="Times New Roman" w:eastAsia="Times New Roman" w:hAnsi="Times New Roman" w:cs="Times New Roman"/>
                <w:b/>
                <w:bCs/>
                <w:sz w:val="18"/>
                <w:szCs w:val="18"/>
              </w:rPr>
              <w:t>Subseq. Years</w:t>
            </w:r>
          </w:p>
        </w:tc>
      </w:tr>
      <w:tr w:rsidR="00B028E2" w:rsidRPr="000973F2" w14:paraId="0BD94884" w14:textId="77777777" w:rsidTr="00B028E2">
        <w:trPr>
          <w:cantSplit/>
        </w:trPr>
        <w:tc>
          <w:tcPr>
            <w:cnfStyle w:val="001000000000" w:firstRow="0" w:lastRow="0" w:firstColumn="1" w:lastColumn="0" w:oddVBand="0" w:evenVBand="0" w:oddHBand="0" w:evenHBand="0" w:firstRowFirstColumn="0" w:firstRowLastColumn="0" w:lastRowFirstColumn="0" w:lastRowLastColumn="0"/>
            <w:tcW w:w="1695" w:type="dxa"/>
            <w:tcMar>
              <w:right w:w="14" w:type="dxa"/>
            </w:tcMar>
            <w:hideMark/>
          </w:tcPr>
          <w:p w14:paraId="748D840F" w14:textId="77777777" w:rsidR="003E005F" w:rsidRPr="000973F2" w:rsidRDefault="003E005F" w:rsidP="00B028E2">
            <w:pPr>
              <w:spacing w:before="40" w:after="4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Equipment (selection, purchase, installation)</w:t>
            </w:r>
          </w:p>
        </w:tc>
        <w:tc>
          <w:tcPr>
            <w:tcW w:w="1261" w:type="dxa"/>
            <w:noWrap/>
            <w:hideMark/>
          </w:tcPr>
          <w:p w14:paraId="741038E5" w14:textId="2324AB46" w:rsidR="003E005F" w:rsidRPr="000973F2" w:rsidRDefault="00B028E2" w:rsidP="00B028E2">
            <w:pPr>
              <w:spacing w:before="40" w:after="4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w:t>
            </w:r>
          </w:p>
        </w:tc>
        <w:tc>
          <w:tcPr>
            <w:tcW w:w="1261" w:type="dxa"/>
            <w:noWrap/>
          </w:tcPr>
          <w:p w14:paraId="2D63965D" w14:textId="42C6EA48" w:rsidR="003E005F" w:rsidRPr="000973F2" w:rsidRDefault="003E005F" w:rsidP="00B028E2">
            <w:pPr>
              <w:spacing w:before="40" w:after="4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p>
        </w:tc>
        <w:tc>
          <w:tcPr>
            <w:tcW w:w="1261" w:type="dxa"/>
            <w:noWrap/>
            <w:hideMark/>
          </w:tcPr>
          <w:p w14:paraId="608C3A49" w14:textId="26DE79C0" w:rsidR="003E005F" w:rsidRPr="000973F2" w:rsidRDefault="00B028E2" w:rsidP="00B028E2">
            <w:pPr>
              <w:spacing w:before="40" w:after="4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w:t>
            </w:r>
          </w:p>
        </w:tc>
        <w:tc>
          <w:tcPr>
            <w:tcW w:w="1261" w:type="dxa"/>
            <w:noWrap/>
            <w:hideMark/>
          </w:tcPr>
          <w:p w14:paraId="7EA4EDD0" w14:textId="30996524" w:rsidR="003E005F" w:rsidRPr="000973F2" w:rsidRDefault="00B028E2" w:rsidP="00B028E2">
            <w:pPr>
              <w:spacing w:before="40" w:after="4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w:t>
            </w:r>
          </w:p>
        </w:tc>
        <w:tc>
          <w:tcPr>
            <w:tcW w:w="1295" w:type="dxa"/>
            <w:noWrap/>
            <w:hideMark/>
          </w:tcPr>
          <w:p w14:paraId="184448F7" w14:textId="69C0B3A2" w:rsidR="003E005F" w:rsidRPr="000973F2" w:rsidRDefault="00B028E2" w:rsidP="00B028E2">
            <w:pPr>
              <w:spacing w:before="40" w:after="4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w:t>
            </w:r>
          </w:p>
        </w:tc>
        <w:tc>
          <w:tcPr>
            <w:tcW w:w="1296" w:type="dxa"/>
            <w:noWrap/>
            <w:hideMark/>
          </w:tcPr>
          <w:p w14:paraId="0EAFDDB6" w14:textId="599FE05E" w:rsidR="003E005F" w:rsidRPr="000973F2" w:rsidRDefault="00B028E2" w:rsidP="00B028E2">
            <w:pPr>
              <w:spacing w:before="40" w:after="4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w:t>
            </w:r>
          </w:p>
        </w:tc>
      </w:tr>
      <w:tr w:rsidR="00B028E2" w:rsidRPr="000973F2" w14:paraId="4560D00C" w14:textId="77777777" w:rsidTr="00B028E2">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1695" w:type="dxa"/>
            <w:tcMar>
              <w:right w:w="14" w:type="dxa"/>
            </w:tcMar>
            <w:hideMark/>
          </w:tcPr>
          <w:p w14:paraId="29BFA8AD" w14:textId="77777777" w:rsidR="003E005F" w:rsidRPr="000973F2" w:rsidRDefault="003E005F" w:rsidP="00B028E2">
            <w:pPr>
              <w:spacing w:before="40" w:after="4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Performance testing</w:t>
            </w:r>
          </w:p>
        </w:tc>
        <w:tc>
          <w:tcPr>
            <w:tcW w:w="1261" w:type="dxa"/>
            <w:noWrap/>
            <w:hideMark/>
          </w:tcPr>
          <w:p w14:paraId="38B6BB95" w14:textId="7E30A27A" w:rsidR="003E005F" w:rsidRPr="000973F2" w:rsidRDefault="00B028E2" w:rsidP="00B028E2">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w:t>
            </w:r>
          </w:p>
        </w:tc>
        <w:tc>
          <w:tcPr>
            <w:tcW w:w="1261" w:type="dxa"/>
            <w:noWrap/>
          </w:tcPr>
          <w:p w14:paraId="55470896" w14:textId="21E46C98" w:rsidR="003E005F" w:rsidRPr="000973F2" w:rsidRDefault="003E005F" w:rsidP="00B028E2">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p>
        </w:tc>
        <w:tc>
          <w:tcPr>
            <w:tcW w:w="1261" w:type="dxa"/>
            <w:noWrap/>
            <w:hideMark/>
          </w:tcPr>
          <w:p w14:paraId="21214AF2" w14:textId="760548D5" w:rsidR="003E005F" w:rsidRPr="000973F2" w:rsidRDefault="00B028E2" w:rsidP="00B028E2">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w:t>
            </w:r>
          </w:p>
        </w:tc>
        <w:tc>
          <w:tcPr>
            <w:tcW w:w="1261" w:type="dxa"/>
            <w:noWrap/>
            <w:hideMark/>
          </w:tcPr>
          <w:p w14:paraId="1544E156" w14:textId="6BE0C141" w:rsidR="003E005F" w:rsidRPr="000973F2" w:rsidRDefault="00B028E2" w:rsidP="00B028E2">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w:t>
            </w:r>
          </w:p>
        </w:tc>
        <w:tc>
          <w:tcPr>
            <w:tcW w:w="1295" w:type="dxa"/>
            <w:noWrap/>
            <w:hideMark/>
          </w:tcPr>
          <w:p w14:paraId="0E85554B" w14:textId="6EF0A99B" w:rsidR="003E005F" w:rsidRPr="000973F2" w:rsidRDefault="00B028E2" w:rsidP="00B028E2">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w:t>
            </w:r>
          </w:p>
        </w:tc>
        <w:tc>
          <w:tcPr>
            <w:tcW w:w="1296" w:type="dxa"/>
            <w:noWrap/>
            <w:hideMark/>
          </w:tcPr>
          <w:p w14:paraId="2C25E8CD" w14:textId="3354FC4E" w:rsidR="003E005F" w:rsidRPr="000973F2" w:rsidRDefault="00B028E2" w:rsidP="00B028E2">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w:t>
            </w:r>
          </w:p>
        </w:tc>
      </w:tr>
      <w:tr w:rsidR="00B028E2" w:rsidRPr="000973F2" w14:paraId="54409682" w14:textId="77777777" w:rsidTr="00B028E2">
        <w:trPr>
          <w:cantSplit/>
        </w:trPr>
        <w:tc>
          <w:tcPr>
            <w:cnfStyle w:val="001000000000" w:firstRow="0" w:lastRow="0" w:firstColumn="1" w:lastColumn="0" w:oddVBand="0" w:evenVBand="0" w:oddHBand="0" w:evenHBand="0" w:firstRowFirstColumn="0" w:firstRowLastColumn="0" w:lastRowFirstColumn="0" w:lastRowLastColumn="0"/>
            <w:tcW w:w="1695" w:type="dxa"/>
            <w:tcMar>
              <w:right w:w="14" w:type="dxa"/>
            </w:tcMar>
            <w:hideMark/>
          </w:tcPr>
          <w:p w14:paraId="2E1A3274" w14:textId="77777777" w:rsidR="00813F0B" w:rsidRPr="000973F2" w:rsidRDefault="00813F0B" w:rsidP="00B028E2">
            <w:pPr>
              <w:spacing w:before="40" w:after="4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Recordkeeping</w:t>
            </w:r>
          </w:p>
        </w:tc>
        <w:tc>
          <w:tcPr>
            <w:tcW w:w="1261" w:type="dxa"/>
            <w:noWrap/>
            <w:hideMark/>
          </w:tcPr>
          <w:p w14:paraId="3E0E5AAA" w14:textId="77777777" w:rsidR="00813F0B" w:rsidRPr="000973F2" w:rsidRDefault="00813F0B" w:rsidP="00B028E2">
            <w:pPr>
              <w:spacing w:before="40" w:after="4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$0</w:t>
            </w:r>
          </w:p>
        </w:tc>
        <w:tc>
          <w:tcPr>
            <w:tcW w:w="1261" w:type="dxa"/>
            <w:noWrap/>
          </w:tcPr>
          <w:p w14:paraId="47B91362" w14:textId="235955D2" w:rsidR="00813F0B" w:rsidRPr="000973F2" w:rsidRDefault="00813F0B" w:rsidP="00B028E2">
            <w:pPr>
              <w:spacing w:before="40" w:after="4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p>
        </w:tc>
        <w:tc>
          <w:tcPr>
            <w:tcW w:w="1261" w:type="dxa"/>
            <w:noWrap/>
            <w:hideMark/>
          </w:tcPr>
          <w:p w14:paraId="22297876" w14:textId="77777777" w:rsidR="00813F0B" w:rsidRPr="000973F2" w:rsidRDefault="00813F0B" w:rsidP="00B028E2">
            <w:pPr>
              <w:spacing w:before="40" w:after="4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$0</w:t>
            </w:r>
          </w:p>
        </w:tc>
        <w:tc>
          <w:tcPr>
            <w:tcW w:w="1261" w:type="dxa"/>
            <w:noWrap/>
            <w:hideMark/>
          </w:tcPr>
          <w:p w14:paraId="2BFF02E3" w14:textId="77777777" w:rsidR="00813F0B" w:rsidRPr="000973F2" w:rsidRDefault="00813F0B" w:rsidP="00B028E2">
            <w:pPr>
              <w:spacing w:before="40" w:after="4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$50</w:t>
            </w:r>
          </w:p>
        </w:tc>
        <w:tc>
          <w:tcPr>
            <w:tcW w:w="1295" w:type="dxa"/>
            <w:noWrap/>
            <w:hideMark/>
          </w:tcPr>
          <w:p w14:paraId="711E84E5" w14:textId="77777777" w:rsidR="00813F0B" w:rsidRPr="000973F2" w:rsidRDefault="00813F0B" w:rsidP="00B028E2">
            <w:pPr>
              <w:spacing w:before="40" w:after="4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$0</w:t>
            </w:r>
          </w:p>
        </w:tc>
        <w:tc>
          <w:tcPr>
            <w:tcW w:w="1296" w:type="dxa"/>
            <w:noWrap/>
            <w:hideMark/>
          </w:tcPr>
          <w:p w14:paraId="3ADD3B81" w14:textId="77777777" w:rsidR="00813F0B" w:rsidRPr="000973F2" w:rsidRDefault="00813F0B" w:rsidP="00B028E2">
            <w:pPr>
              <w:spacing w:before="40" w:after="4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$50</w:t>
            </w:r>
          </w:p>
        </w:tc>
      </w:tr>
      <w:tr w:rsidR="00B028E2" w:rsidRPr="000973F2" w14:paraId="6C7BA609" w14:textId="77777777" w:rsidTr="00B028E2">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1695" w:type="dxa"/>
            <w:tcMar>
              <w:right w:w="14" w:type="dxa"/>
            </w:tcMar>
            <w:hideMark/>
          </w:tcPr>
          <w:p w14:paraId="4CDAE07A" w14:textId="77777777" w:rsidR="003E005F" w:rsidRPr="000973F2" w:rsidRDefault="003E005F" w:rsidP="00B028E2">
            <w:pPr>
              <w:spacing w:before="40" w:after="4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Travel</w:t>
            </w:r>
          </w:p>
        </w:tc>
        <w:tc>
          <w:tcPr>
            <w:tcW w:w="1261" w:type="dxa"/>
            <w:noWrap/>
            <w:hideMark/>
          </w:tcPr>
          <w:p w14:paraId="03E28DB4" w14:textId="263FB988" w:rsidR="003E005F" w:rsidRPr="000973F2" w:rsidRDefault="00B028E2" w:rsidP="00B028E2">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w:t>
            </w:r>
          </w:p>
        </w:tc>
        <w:tc>
          <w:tcPr>
            <w:tcW w:w="1261" w:type="dxa"/>
            <w:noWrap/>
          </w:tcPr>
          <w:p w14:paraId="2562DCA7" w14:textId="29BB9E85" w:rsidR="003E005F" w:rsidRPr="000973F2" w:rsidRDefault="003E005F" w:rsidP="00B028E2">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p>
        </w:tc>
        <w:tc>
          <w:tcPr>
            <w:tcW w:w="1261" w:type="dxa"/>
            <w:noWrap/>
            <w:hideMark/>
          </w:tcPr>
          <w:p w14:paraId="5CB7B73A" w14:textId="7CEFF06E" w:rsidR="003E005F" w:rsidRPr="000973F2" w:rsidRDefault="00B028E2" w:rsidP="00B028E2">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w:t>
            </w:r>
          </w:p>
        </w:tc>
        <w:tc>
          <w:tcPr>
            <w:tcW w:w="1261" w:type="dxa"/>
            <w:noWrap/>
            <w:hideMark/>
          </w:tcPr>
          <w:p w14:paraId="0EFD0DA1" w14:textId="20A525F0" w:rsidR="003E005F" w:rsidRPr="000973F2" w:rsidRDefault="00B028E2" w:rsidP="00B028E2">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w:t>
            </w:r>
          </w:p>
        </w:tc>
        <w:tc>
          <w:tcPr>
            <w:tcW w:w="1295" w:type="dxa"/>
            <w:noWrap/>
            <w:hideMark/>
          </w:tcPr>
          <w:p w14:paraId="1D00A000" w14:textId="63497E08" w:rsidR="003E005F" w:rsidRPr="000973F2" w:rsidRDefault="00B028E2" w:rsidP="00B028E2">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w:t>
            </w:r>
          </w:p>
        </w:tc>
        <w:tc>
          <w:tcPr>
            <w:tcW w:w="1296" w:type="dxa"/>
            <w:noWrap/>
            <w:hideMark/>
          </w:tcPr>
          <w:p w14:paraId="3C06D08E" w14:textId="4282C47C" w:rsidR="003E005F" w:rsidRPr="000973F2" w:rsidRDefault="00B028E2" w:rsidP="00B028E2">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w:t>
            </w:r>
          </w:p>
        </w:tc>
      </w:tr>
      <w:tr w:rsidR="00B028E2" w:rsidRPr="000973F2" w14:paraId="5804FAFA" w14:textId="77777777" w:rsidTr="00B028E2">
        <w:trPr>
          <w:cantSplit/>
        </w:trPr>
        <w:tc>
          <w:tcPr>
            <w:cnfStyle w:val="001000000000" w:firstRow="0" w:lastRow="0" w:firstColumn="1" w:lastColumn="0" w:oddVBand="0" w:evenVBand="0" w:oddHBand="0" w:evenHBand="0" w:firstRowFirstColumn="0" w:firstRowLastColumn="0" w:lastRowFirstColumn="0" w:lastRowLastColumn="0"/>
            <w:tcW w:w="1695" w:type="dxa"/>
            <w:tcMar>
              <w:right w:w="14" w:type="dxa"/>
            </w:tcMar>
            <w:hideMark/>
          </w:tcPr>
          <w:p w14:paraId="5E9D87ED" w14:textId="0644E965" w:rsidR="003E005F" w:rsidRPr="000973F2" w:rsidRDefault="003E005F" w:rsidP="00B028E2">
            <w:pPr>
              <w:spacing w:before="40" w:after="4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Sampling and Analysis Costs</w:t>
            </w:r>
          </w:p>
        </w:tc>
        <w:tc>
          <w:tcPr>
            <w:tcW w:w="1261" w:type="dxa"/>
            <w:noWrap/>
            <w:hideMark/>
          </w:tcPr>
          <w:p w14:paraId="5C747539" w14:textId="1D53C6E7" w:rsidR="003E005F" w:rsidRPr="000973F2" w:rsidRDefault="00B028E2" w:rsidP="00B028E2">
            <w:pPr>
              <w:spacing w:before="40" w:after="4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w:t>
            </w:r>
          </w:p>
        </w:tc>
        <w:tc>
          <w:tcPr>
            <w:tcW w:w="1261" w:type="dxa"/>
            <w:noWrap/>
          </w:tcPr>
          <w:p w14:paraId="7AC1FBA6" w14:textId="0C5083BC" w:rsidR="003E005F" w:rsidRPr="000973F2" w:rsidRDefault="003E005F" w:rsidP="00B028E2">
            <w:pPr>
              <w:spacing w:before="40" w:after="4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p>
        </w:tc>
        <w:tc>
          <w:tcPr>
            <w:tcW w:w="1261" w:type="dxa"/>
            <w:noWrap/>
            <w:hideMark/>
          </w:tcPr>
          <w:p w14:paraId="7EDFF760" w14:textId="1AAB9E59" w:rsidR="003E005F" w:rsidRPr="000973F2" w:rsidRDefault="00B028E2" w:rsidP="00B028E2">
            <w:pPr>
              <w:spacing w:before="40" w:after="4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w:t>
            </w:r>
          </w:p>
        </w:tc>
        <w:tc>
          <w:tcPr>
            <w:tcW w:w="1261" w:type="dxa"/>
            <w:noWrap/>
            <w:hideMark/>
          </w:tcPr>
          <w:p w14:paraId="7122299D" w14:textId="5BE5759F" w:rsidR="003E005F" w:rsidRPr="000973F2" w:rsidRDefault="00B028E2" w:rsidP="00B028E2">
            <w:pPr>
              <w:spacing w:before="40" w:after="4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w:t>
            </w:r>
          </w:p>
        </w:tc>
        <w:tc>
          <w:tcPr>
            <w:tcW w:w="1295" w:type="dxa"/>
            <w:noWrap/>
            <w:hideMark/>
          </w:tcPr>
          <w:p w14:paraId="46A36319" w14:textId="4612B490" w:rsidR="003E005F" w:rsidRPr="000973F2" w:rsidRDefault="00B028E2" w:rsidP="00B028E2">
            <w:pPr>
              <w:spacing w:before="40" w:after="4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w:t>
            </w:r>
          </w:p>
        </w:tc>
        <w:tc>
          <w:tcPr>
            <w:tcW w:w="1296" w:type="dxa"/>
            <w:noWrap/>
            <w:hideMark/>
          </w:tcPr>
          <w:p w14:paraId="051D81B0" w14:textId="2FE111D8" w:rsidR="003E005F" w:rsidRPr="000973F2" w:rsidRDefault="00B028E2" w:rsidP="00B028E2">
            <w:pPr>
              <w:spacing w:before="40" w:after="4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w:t>
            </w:r>
          </w:p>
        </w:tc>
      </w:tr>
      <w:tr w:rsidR="00B028E2" w:rsidRPr="000973F2" w14:paraId="4A03F8A8" w14:textId="77777777" w:rsidTr="00B028E2">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1695" w:type="dxa"/>
            <w:tcMar>
              <w:right w:w="14" w:type="dxa"/>
            </w:tcMar>
            <w:hideMark/>
          </w:tcPr>
          <w:p w14:paraId="521D31F2" w14:textId="77777777" w:rsidR="00813F0B" w:rsidRPr="000973F2" w:rsidRDefault="00813F0B" w:rsidP="00B028E2">
            <w:pPr>
              <w:spacing w:before="40" w:after="40"/>
              <w:rPr>
                <w:rFonts w:ascii="Times New Roman" w:eastAsia="Times New Roman" w:hAnsi="Times New Roman" w:cs="Times New Roman"/>
                <w:b/>
                <w:bCs w:val="0"/>
                <w:sz w:val="18"/>
                <w:szCs w:val="18"/>
              </w:rPr>
            </w:pPr>
            <w:r w:rsidRPr="000973F2">
              <w:rPr>
                <w:rFonts w:ascii="Times New Roman" w:eastAsia="Times New Roman" w:hAnsi="Times New Roman" w:cs="Times New Roman"/>
                <w:b/>
                <w:sz w:val="18"/>
                <w:szCs w:val="18"/>
              </w:rPr>
              <w:t>Total</w:t>
            </w:r>
          </w:p>
        </w:tc>
        <w:tc>
          <w:tcPr>
            <w:tcW w:w="1261" w:type="dxa"/>
            <w:noWrap/>
            <w:hideMark/>
          </w:tcPr>
          <w:p w14:paraId="4511E4AF" w14:textId="77777777" w:rsidR="00813F0B" w:rsidRPr="000973F2" w:rsidRDefault="00813F0B" w:rsidP="00B028E2">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sz w:val="18"/>
                <w:szCs w:val="18"/>
              </w:rPr>
            </w:pPr>
            <w:r w:rsidRPr="000973F2">
              <w:rPr>
                <w:rFonts w:ascii="Times New Roman" w:eastAsia="Times New Roman" w:hAnsi="Times New Roman" w:cs="Times New Roman"/>
                <w:b/>
                <w:sz w:val="18"/>
                <w:szCs w:val="18"/>
              </w:rPr>
              <w:t>$0</w:t>
            </w:r>
          </w:p>
        </w:tc>
        <w:tc>
          <w:tcPr>
            <w:tcW w:w="1261" w:type="dxa"/>
            <w:noWrap/>
            <w:hideMark/>
          </w:tcPr>
          <w:p w14:paraId="5A7EEA42" w14:textId="687661DC" w:rsidR="00813F0B" w:rsidRPr="000973F2" w:rsidRDefault="00813F0B" w:rsidP="00B028E2">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sz w:val="18"/>
                <w:szCs w:val="18"/>
              </w:rPr>
            </w:pPr>
          </w:p>
        </w:tc>
        <w:tc>
          <w:tcPr>
            <w:tcW w:w="1261" w:type="dxa"/>
            <w:noWrap/>
            <w:hideMark/>
          </w:tcPr>
          <w:p w14:paraId="51EDDA44" w14:textId="77777777" w:rsidR="00813F0B" w:rsidRPr="000973F2" w:rsidRDefault="00813F0B" w:rsidP="00B028E2">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sz w:val="18"/>
                <w:szCs w:val="18"/>
              </w:rPr>
            </w:pPr>
            <w:r w:rsidRPr="000973F2">
              <w:rPr>
                <w:rFonts w:ascii="Times New Roman" w:eastAsia="Times New Roman" w:hAnsi="Times New Roman" w:cs="Times New Roman"/>
                <w:b/>
                <w:sz w:val="18"/>
                <w:szCs w:val="18"/>
              </w:rPr>
              <w:t>$0</w:t>
            </w:r>
          </w:p>
        </w:tc>
        <w:tc>
          <w:tcPr>
            <w:tcW w:w="1261" w:type="dxa"/>
            <w:noWrap/>
            <w:hideMark/>
          </w:tcPr>
          <w:p w14:paraId="2CDB38F2" w14:textId="77777777" w:rsidR="00813F0B" w:rsidRPr="000973F2" w:rsidRDefault="00813F0B" w:rsidP="00B028E2">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sz w:val="18"/>
                <w:szCs w:val="18"/>
              </w:rPr>
            </w:pPr>
            <w:r w:rsidRPr="000973F2">
              <w:rPr>
                <w:rFonts w:ascii="Times New Roman" w:eastAsia="Times New Roman" w:hAnsi="Times New Roman" w:cs="Times New Roman"/>
                <w:b/>
                <w:sz w:val="18"/>
                <w:szCs w:val="18"/>
              </w:rPr>
              <w:t>$50</w:t>
            </w:r>
          </w:p>
        </w:tc>
        <w:tc>
          <w:tcPr>
            <w:tcW w:w="1295" w:type="dxa"/>
            <w:noWrap/>
            <w:hideMark/>
          </w:tcPr>
          <w:p w14:paraId="7124785F" w14:textId="77777777" w:rsidR="00813F0B" w:rsidRPr="000973F2" w:rsidRDefault="00813F0B" w:rsidP="00B028E2">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sz w:val="18"/>
                <w:szCs w:val="18"/>
              </w:rPr>
            </w:pPr>
            <w:r w:rsidRPr="000973F2">
              <w:rPr>
                <w:rFonts w:ascii="Times New Roman" w:eastAsia="Times New Roman" w:hAnsi="Times New Roman" w:cs="Times New Roman"/>
                <w:b/>
                <w:sz w:val="18"/>
                <w:szCs w:val="18"/>
              </w:rPr>
              <w:t>$0</w:t>
            </w:r>
          </w:p>
        </w:tc>
        <w:tc>
          <w:tcPr>
            <w:tcW w:w="1296" w:type="dxa"/>
            <w:noWrap/>
            <w:hideMark/>
          </w:tcPr>
          <w:p w14:paraId="1F2ADA43" w14:textId="77777777" w:rsidR="00813F0B" w:rsidRPr="000973F2" w:rsidRDefault="00813F0B" w:rsidP="00B028E2">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sz w:val="18"/>
                <w:szCs w:val="18"/>
              </w:rPr>
            </w:pPr>
            <w:r w:rsidRPr="000973F2">
              <w:rPr>
                <w:rFonts w:ascii="Times New Roman" w:eastAsia="Times New Roman" w:hAnsi="Times New Roman" w:cs="Times New Roman"/>
                <w:b/>
                <w:sz w:val="18"/>
                <w:szCs w:val="18"/>
              </w:rPr>
              <w:t>$50</w:t>
            </w:r>
          </w:p>
        </w:tc>
      </w:tr>
    </w:tbl>
    <w:p w14:paraId="15672757" w14:textId="77777777" w:rsidR="00813F0B" w:rsidRPr="000973F2" w:rsidRDefault="00813F0B" w:rsidP="00C00E4F">
      <w:pPr>
        <w:spacing w:line="240" w:lineRule="auto"/>
        <w:rPr>
          <w:rFonts w:ascii="Times New Roman" w:hAnsi="Times New Roman" w:cs="Times New Roman"/>
        </w:rPr>
      </w:pPr>
    </w:p>
    <w:p w14:paraId="315CF412" w14:textId="77777777" w:rsidR="00813F0B" w:rsidRPr="000973F2" w:rsidRDefault="00813F0B" w:rsidP="00C00E4F">
      <w:pPr>
        <w:spacing w:line="240" w:lineRule="auto"/>
        <w:rPr>
          <w:rFonts w:ascii="Times New Roman" w:hAnsi="Times New Roman" w:cs="Times New Roman"/>
          <w:b/>
          <w:i/>
        </w:rPr>
      </w:pPr>
      <w:r w:rsidRPr="000973F2">
        <w:rPr>
          <w:rFonts w:ascii="Times New Roman" w:hAnsi="Times New Roman" w:cs="Times New Roman"/>
          <w:b/>
          <w:i/>
        </w:rPr>
        <w:br w:type="page"/>
      </w:r>
    </w:p>
    <w:p w14:paraId="560C2A9C" w14:textId="77777777" w:rsidR="00813F0B" w:rsidRPr="000973F2" w:rsidRDefault="00813F0B" w:rsidP="00DD7FCA">
      <w:pPr>
        <w:pStyle w:val="Heading2"/>
      </w:pPr>
      <w:r w:rsidRPr="000973F2">
        <w:t>Labor Costs for Subpart N – Non-CEMS Option</w:t>
      </w:r>
    </w:p>
    <w:p w14:paraId="2BCB74DF" w14:textId="77777777" w:rsidR="00813F0B" w:rsidRPr="000973F2" w:rsidRDefault="00813F0B" w:rsidP="00DD7FCA">
      <w:pPr>
        <w:pStyle w:val="BodyText"/>
      </w:pPr>
      <w:r w:rsidRPr="000973F2">
        <w:t>The tables below include the labor hours for each facility using the non-CEMS option to comply with Subpart N. Typical activities related to planning, QA/QC, recordkeeping and reporting, and sampling and analysis (which includes emissions calculations) are discussed in the Cost Appendix Introduction. Recordkeeping and reporting hours for Subpart N are based on the “low bin” designation, as discussed in the Cost Appendix Introduction.</w:t>
      </w:r>
    </w:p>
    <w:p w14:paraId="374F4C74" w14:textId="388756F4" w:rsidR="00813F0B" w:rsidRPr="000973F2" w:rsidRDefault="00813F0B" w:rsidP="00DD7FCA">
      <w:pPr>
        <w:pStyle w:val="BodyText"/>
      </w:pPr>
      <w:r w:rsidRPr="000973F2">
        <w:t xml:space="preserve">Table </w:t>
      </w:r>
      <w:r w:rsidR="00DD7FCA" w:rsidRPr="000973F2">
        <w:t>N-</w:t>
      </w:r>
      <w:r w:rsidRPr="000973F2">
        <w:t>1b below includes time for each of the 11 facilities to contact the supplier(s) to obtain the carbonate-based mineral mass fraction of each carbonate-based raw material, per 98.143(b)(2)(i). Time to calculate monthly CO</w:t>
      </w:r>
      <w:r w:rsidRPr="000973F2">
        <w:rPr>
          <w:vertAlign w:val="subscript"/>
        </w:rPr>
        <w:t>2</w:t>
      </w:r>
      <w:r w:rsidRPr="000973F2">
        <w:t xml:space="preserve"> emissions are also included. Table </w:t>
      </w:r>
      <w:r w:rsidR="00DD7FCA" w:rsidRPr="000973F2">
        <w:t>N-</w:t>
      </w:r>
      <w:r w:rsidRPr="000973F2">
        <w:t>1c below only includes time for each of the 88 existing facilities and one new facility (in RY2019) to calculate monthly CO</w:t>
      </w:r>
      <w:r w:rsidRPr="000973F2">
        <w:rPr>
          <w:vertAlign w:val="subscript"/>
        </w:rPr>
        <w:t>2</w:t>
      </w:r>
      <w:r w:rsidRPr="000973F2">
        <w:t xml:space="preserve"> emissions because these facilities use the provided default value of 1.0 in their calculations.</w:t>
      </w:r>
    </w:p>
    <w:p w14:paraId="7834D5E1" w14:textId="43CA93A6" w:rsidR="00813F0B" w:rsidRPr="000973F2" w:rsidRDefault="00C53E32" w:rsidP="00DD7FCA">
      <w:pPr>
        <w:pStyle w:val="Tabletitle"/>
      </w:pPr>
      <w:r w:rsidRPr="000973F2">
        <w:t xml:space="preserve">Table </w:t>
      </w:r>
      <w:r w:rsidR="00A64939" w:rsidRPr="000973F2">
        <w:t>N-</w:t>
      </w:r>
      <w:r w:rsidRPr="000973F2">
        <w:t>1b.</w:t>
      </w:r>
      <w:r w:rsidR="008854F6" w:rsidRPr="000973F2">
        <w:t xml:space="preserve"> Labor Costs </w:t>
      </w:r>
      <w:r w:rsidR="00A64939" w:rsidRPr="000973F2">
        <w:t>–</w:t>
      </w:r>
      <w:r w:rsidR="008854F6" w:rsidRPr="000973F2">
        <w:t xml:space="preserve"> </w:t>
      </w:r>
      <w:r w:rsidR="00813F0B" w:rsidRPr="000973F2">
        <w:t>Subpart N – Non-CEMS Supplier Mass Fraction Option</w:t>
      </w:r>
    </w:p>
    <w:tbl>
      <w:tblPr>
        <w:tblStyle w:val="PlainTable1"/>
        <w:tblW w:w="5000" w:type="pct"/>
        <w:jc w:val="left"/>
        <w:tblLayout w:type="fixed"/>
        <w:tblLook w:val="04A0" w:firstRow="1" w:lastRow="0" w:firstColumn="1" w:lastColumn="0" w:noHBand="0" w:noVBand="1"/>
      </w:tblPr>
      <w:tblGrid>
        <w:gridCol w:w="1364"/>
        <w:gridCol w:w="821"/>
        <w:gridCol w:w="821"/>
        <w:gridCol w:w="821"/>
        <w:gridCol w:w="822"/>
        <w:gridCol w:w="821"/>
        <w:gridCol w:w="821"/>
        <w:gridCol w:w="821"/>
        <w:gridCol w:w="822"/>
        <w:gridCol w:w="740"/>
        <w:gridCol w:w="902"/>
      </w:tblGrid>
      <w:tr w:rsidR="00813F0B" w:rsidRPr="000973F2" w14:paraId="2E33E511" w14:textId="77777777" w:rsidTr="00A64939">
        <w:trPr>
          <w:cnfStyle w:val="100000000000" w:firstRow="1" w:lastRow="0" w:firstColumn="0" w:lastColumn="0" w:oddVBand="0" w:evenVBand="0" w:oddHBand="0" w:evenHBand="0" w:firstRowFirstColumn="0" w:firstRowLastColumn="0" w:lastRowFirstColumn="0" w:lastRowLastColumn="0"/>
          <w:cantSplit/>
          <w:jc w:val="left"/>
        </w:trPr>
        <w:tc>
          <w:tcPr>
            <w:cnfStyle w:val="001000000000" w:firstRow="0" w:lastRow="0" w:firstColumn="1" w:lastColumn="0" w:oddVBand="0" w:evenVBand="0" w:oddHBand="0" w:evenHBand="0" w:firstRowFirstColumn="0" w:firstRowLastColumn="0" w:lastRowFirstColumn="0" w:lastRowLastColumn="0"/>
            <w:tcW w:w="1328" w:type="dxa"/>
            <w:vMerge w:val="restart"/>
            <w:noWrap/>
            <w:vAlign w:val="top"/>
            <w:hideMark/>
          </w:tcPr>
          <w:p w14:paraId="1DFE0D7B" w14:textId="77777777" w:rsidR="00813F0B" w:rsidRPr="000973F2" w:rsidRDefault="00813F0B" w:rsidP="004D0729">
            <w:pPr>
              <w:spacing w:before="30" w:after="30"/>
              <w:rPr>
                <w:rFonts w:ascii="Times New Roman" w:eastAsia="Times New Roman" w:hAnsi="Times New Roman" w:cs="Times New Roman"/>
                <w:b w:val="0"/>
                <w:bCs w:val="0"/>
                <w:sz w:val="18"/>
                <w:szCs w:val="18"/>
              </w:rPr>
            </w:pPr>
            <w:r w:rsidRPr="000973F2">
              <w:rPr>
                <w:rFonts w:ascii="Times New Roman" w:eastAsia="Times New Roman" w:hAnsi="Times New Roman" w:cs="Times New Roman"/>
                <w:sz w:val="18"/>
                <w:szCs w:val="18"/>
              </w:rPr>
              <w:t>Activity</w:t>
            </w:r>
          </w:p>
        </w:tc>
        <w:tc>
          <w:tcPr>
            <w:tcW w:w="6402" w:type="dxa"/>
            <w:gridSpan w:val="8"/>
            <w:noWrap/>
            <w:vAlign w:val="top"/>
            <w:hideMark/>
          </w:tcPr>
          <w:p w14:paraId="3657DB29" w14:textId="77777777" w:rsidR="00813F0B" w:rsidRPr="000973F2" w:rsidRDefault="00813F0B" w:rsidP="004D0729">
            <w:pPr>
              <w:spacing w:before="30" w:after="30"/>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bCs w:val="0"/>
                <w:sz w:val="18"/>
                <w:szCs w:val="18"/>
              </w:rPr>
            </w:pPr>
            <w:r w:rsidRPr="000973F2">
              <w:rPr>
                <w:rFonts w:ascii="Times New Roman" w:eastAsia="Times New Roman" w:hAnsi="Times New Roman" w:cs="Times New Roman"/>
                <w:sz w:val="18"/>
                <w:szCs w:val="18"/>
              </w:rPr>
              <w:t>Labor Rates (per hour)</w:t>
            </w:r>
          </w:p>
        </w:tc>
        <w:tc>
          <w:tcPr>
            <w:tcW w:w="1600" w:type="dxa"/>
            <w:gridSpan w:val="2"/>
            <w:vMerge w:val="restart"/>
            <w:vAlign w:val="top"/>
            <w:hideMark/>
          </w:tcPr>
          <w:p w14:paraId="637F8591" w14:textId="77777777" w:rsidR="00813F0B" w:rsidRPr="000973F2" w:rsidRDefault="00813F0B" w:rsidP="004D0729">
            <w:pPr>
              <w:spacing w:before="30" w:after="30"/>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bCs w:val="0"/>
                <w:sz w:val="18"/>
                <w:szCs w:val="18"/>
              </w:rPr>
            </w:pPr>
            <w:r w:rsidRPr="000973F2">
              <w:rPr>
                <w:rFonts w:ascii="Times New Roman" w:eastAsia="Times New Roman" w:hAnsi="Times New Roman" w:cs="Times New Roman"/>
                <w:sz w:val="18"/>
                <w:szCs w:val="18"/>
              </w:rPr>
              <w:t>Total Labor Cost per Year per Facility (2017$)</w:t>
            </w:r>
          </w:p>
        </w:tc>
      </w:tr>
      <w:tr w:rsidR="00813F0B" w:rsidRPr="000973F2" w14:paraId="7B0C19A6" w14:textId="77777777" w:rsidTr="00A64939">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1328" w:type="dxa"/>
            <w:vMerge/>
            <w:hideMark/>
          </w:tcPr>
          <w:p w14:paraId="17E78B67" w14:textId="77777777" w:rsidR="00813F0B" w:rsidRPr="000973F2" w:rsidRDefault="00813F0B" w:rsidP="004D0729">
            <w:pPr>
              <w:spacing w:before="30" w:after="30"/>
              <w:rPr>
                <w:rFonts w:ascii="Times New Roman" w:eastAsia="Times New Roman" w:hAnsi="Times New Roman" w:cs="Times New Roman"/>
                <w:b/>
                <w:bCs w:val="0"/>
                <w:sz w:val="18"/>
                <w:szCs w:val="18"/>
              </w:rPr>
            </w:pPr>
          </w:p>
        </w:tc>
        <w:tc>
          <w:tcPr>
            <w:tcW w:w="1600" w:type="dxa"/>
            <w:gridSpan w:val="2"/>
            <w:noWrap/>
            <w:hideMark/>
          </w:tcPr>
          <w:p w14:paraId="28DBBA2C" w14:textId="77777777" w:rsidR="00813F0B" w:rsidRPr="000973F2" w:rsidRDefault="00813F0B" w:rsidP="004D0729">
            <w:pPr>
              <w:spacing w:before="30" w:after="3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18"/>
                <w:szCs w:val="18"/>
              </w:rPr>
            </w:pPr>
            <w:r w:rsidRPr="000973F2">
              <w:rPr>
                <w:rFonts w:ascii="Times New Roman" w:eastAsia="Times New Roman" w:hAnsi="Times New Roman" w:cs="Times New Roman"/>
                <w:b/>
                <w:bCs/>
                <w:sz w:val="18"/>
                <w:szCs w:val="18"/>
              </w:rPr>
              <w:t>Lawyer</w:t>
            </w:r>
          </w:p>
        </w:tc>
        <w:tc>
          <w:tcPr>
            <w:tcW w:w="1601" w:type="dxa"/>
            <w:gridSpan w:val="2"/>
            <w:noWrap/>
            <w:hideMark/>
          </w:tcPr>
          <w:p w14:paraId="1081F5F7" w14:textId="77777777" w:rsidR="00813F0B" w:rsidRPr="000973F2" w:rsidRDefault="00813F0B" w:rsidP="004D0729">
            <w:pPr>
              <w:spacing w:before="30" w:after="3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18"/>
                <w:szCs w:val="18"/>
              </w:rPr>
            </w:pPr>
            <w:r w:rsidRPr="000973F2">
              <w:rPr>
                <w:rFonts w:ascii="Times New Roman" w:eastAsia="Times New Roman" w:hAnsi="Times New Roman" w:cs="Times New Roman"/>
                <w:b/>
                <w:bCs/>
                <w:sz w:val="18"/>
                <w:szCs w:val="18"/>
              </w:rPr>
              <w:t>Industrial Manager</w:t>
            </w:r>
          </w:p>
        </w:tc>
        <w:tc>
          <w:tcPr>
            <w:tcW w:w="1600" w:type="dxa"/>
            <w:gridSpan w:val="2"/>
            <w:hideMark/>
          </w:tcPr>
          <w:p w14:paraId="1146CEC6" w14:textId="39E67ED8" w:rsidR="00813F0B" w:rsidRPr="000973F2" w:rsidRDefault="00813F0B" w:rsidP="004D0729">
            <w:pPr>
              <w:spacing w:before="30" w:after="3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18"/>
                <w:szCs w:val="18"/>
              </w:rPr>
            </w:pPr>
            <w:r w:rsidRPr="000973F2">
              <w:rPr>
                <w:rFonts w:ascii="Times New Roman" w:eastAsia="Times New Roman" w:hAnsi="Times New Roman" w:cs="Times New Roman"/>
                <w:b/>
                <w:bCs/>
                <w:sz w:val="18"/>
                <w:szCs w:val="18"/>
              </w:rPr>
              <w:t>Industrial Engineer/</w:t>
            </w:r>
            <w:r w:rsidR="00A64939" w:rsidRPr="000973F2">
              <w:rPr>
                <w:rFonts w:ascii="Times New Roman" w:eastAsia="Times New Roman" w:hAnsi="Times New Roman" w:cs="Times New Roman"/>
                <w:b/>
                <w:bCs/>
                <w:sz w:val="18"/>
                <w:szCs w:val="18"/>
              </w:rPr>
              <w:t xml:space="preserve"> </w:t>
            </w:r>
            <w:r w:rsidRPr="000973F2">
              <w:rPr>
                <w:rFonts w:ascii="Times New Roman" w:eastAsia="Times New Roman" w:hAnsi="Times New Roman" w:cs="Times New Roman"/>
                <w:b/>
                <w:bCs/>
                <w:sz w:val="18"/>
                <w:szCs w:val="18"/>
              </w:rPr>
              <w:t>Technician</w:t>
            </w:r>
          </w:p>
        </w:tc>
        <w:tc>
          <w:tcPr>
            <w:tcW w:w="1601" w:type="dxa"/>
            <w:gridSpan w:val="2"/>
            <w:hideMark/>
          </w:tcPr>
          <w:p w14:paraId="64773135" w14:textId="77777777" w:rsidR="00813F0B" w:rsidRPr="000973F2" w:rsidRDefault="00813F0B" w:rsidP="004D0729">
            <w:pPr>
              <w:spacing w:before="30" w:after="3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18"/>
                <w:szCs w:val="18"/>
              </w:rPr>
            </w:pPr>
            <w:r w:rsidRPr="000973F2">
              <w:rPr>
                <w:rFonts w:ascii="Times New Roman" w:eastAsia="Times New Roman" w:hAnsi="Times New Roman" w:cs="Times New Roman"/>
                <w:b/>
                <w:bCs/>
                <w:sz w:val="18"/>
                <w:szCs w:val="18"/>
              </w:rPr>
              <w:t>Administrative Support</w:t>
            </w:r>
          </w:p>
        </w:tc>
        <w:tc>
          <w:tcPr>
            <w:tcW w:w="1600" w:type="dxa"/>
            <w:gridSpan w:val="2"/>
            <w:vMerge/>
            <w:hideMark/>
          </w:tcPr>
          <w:p w14:paraId="4BA7AFB2" w14:textId="77777777" w:rsidR="00813F0B" w:rsidRPr="000973F2" w:rsidRDefault="00813F0B" w:rsidP="004D0729">
            <w:pPr>
              <w:spacing w:before="30" w:after="3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18"/>
                <w:szCs w:val="18"/>
              </w:rPr>
            </w:pPr>
          </w:p>
        </w:tc>
      </w:tr>
      <w:tr w:rsidR="00813F0B" w:rsidRPr="000973F2" w14:paraId="2D6C6DD6" w14:textId="77777777" w:rsidTr="00A64939">
        <w:trPr>
          <w:cantSplit/>
        </w:trPr>
        <w:tc>
          <w:tcPr>
            <w:cnfStyle w:val="001000000000" w:firstRow="0" w:lastRow="0" w:firstColumn="1" w:lastColumn="0" w:oddVBand="0" w:evenVBand="0" w:oddHBand="0" w:evenHBand="0" w:firstRowFirstColumn="0" w:firstRowLastColumn="0" w:lastRowFirstColumn="0" w:lastRowLastColumn="0"/>
            <w:tcW w:w="1328" w:type="dxa"/>
            <w:vMerge/>
            <w:hideMark/>
          </w:tcPr>
          <w:p w14:paraId="1A40FB47" w14:textId="77777777" w:rsidR="00813F0B" w:rsidRPr="000973F2" w:rsidRDefault="00813F0B" w:rsidP="004D0729">
            <w:pPr>
              <w:spacing w:before="30" w:after="30"/>
              <w:rPr>
                <w:rFonts w:ascii="Times New Roman" w:eastAsia="Times New Roman" w:hAnsi="Times New Roman" w:cs="Times New Roman"/>
                <w:b/>
                <w:bCs w:val="0"/>
                <w:sz w:val="18"/>
                <w:szCs w:val="18"/>
              </w:rPr>
            </w:pPr>
          </w:p>
        </w:tc>
        <w:tc>
          <w:tcPr>
            <w:tcW w:w="1600" w:type="dxa"/>
            <w:gridSpan w:val="2"/>
            <w:noWrap/>
            <w:hideMark/>
          </w:tcPr>
          <w:p w14:paraId="49F4A3F1" w14:textId="77777777" w:rsidR="00813F0B" w:rsidRPr="000973F2" w:rsidRDefault="00813F0B" w:rsidP="004D0729">
            <w:pPr>
              <w:spacing w:before="30" w:after="3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sz w:val="18"/>
                <w:szCs w:val="18"/>
              </w:rPr>
            </w:pPr>
            <w:r w:rsidRPr="000973F2">
              <w:rPr>
                <w:rFonts w:ascii="Times New Roman" w:eastAsia="Times New Roman" w:hAnsi="Times New Roman" w:cs="Times New Roman"/>
                <w:b/>
                <w:bCs/>
                <w:sz w:val="18"/>
                <w:szCs w:val="18"/>
              </w:rPr>
              <w:t xml:space="preserve">$112.23 </w:t>
            </w:r>
          </w:p>
        </w:tc>
        <w:tc>
          <w:tcPr>
            <w:tcW w:w="1601" w:type="dxa"/>
            <w:gridSpan w:val="2"/>
            <w:noWrap/>
            <w:hideMark/>
          </w:tcPr>
          <w:p w14:paraId="49422386" w14:textId="77777777" w:rsidR="00813F0B" w:rsidRPr="000973F2" w:rsidRDefault="00813F0B" w:rsidP="004D0729">
            <w:pPr>
              <w:spacing w:before="30" w:after="3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sz w:val="18"/>
                <w:szCs w:val="18"/>
              </w:rPr>
            </w:pPr>
            <w:r w:rsidRPr="000973F2">
              <w:rPr>
                <w:rFonts w:ascii="Times New Roman" w:eastAsia="Times New Roman" w:hAnsi="Times New Roman" w:cs="Times New Roman"/>
                <w:b/>
                <w:bCs/>
                <w:sz w:val="18"/>
                <w:szCs w:val="18"/>
              </w:rPr>
              <w:t xml:space="preserve">$87.45 </w:t>
            </w:r>
          </w:p>
        </w:tc>
        <w:tc>
          <w:tcPr>
            <w:tcW w:w="1600" w:type="dxa"/>
            <w:gridSpan w:val="2"/>
            <w:noWrap/>
            <w:hideMark/>
          </w:tcPr>
          <w:p w14:paraId="0959B6C2" w14:textId="77777777" w:rsidR="00813F0B" w:rsidRPr="000973F2" w:rsidRDefault="00813F0B" w:rsidP="004D0729">
            <w:pPr>
              <w:spacing w:before="30" w:after="3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sz w:val="18"/>
                <w:szCs w:val="18"/>
              </w:rPr>
            </w:pPr>
            <w:r w:rsidRPr="000973F2">
              <w:rPr>
                <w:rFonts w:ascii="Times New Roman" w:eastAsia="Times New Roman" w:hAnsi="Times New Roman" w:cs="Times New Roman"/>
                <w:b/>
                <w:bCs/>
                <w:sz w:val="18"/>
                <w:szCs w:val="18"/>
              </w:rPr>
              <w:t xml:space="preserve">$71.45 </w:t>
            </w:r>
          </w:p>
        </w:tc>
        <w:tc>
          <w:tcPr>
            <w:tcW w:w="1601" w:type="dxa"/>
            <w:gridSpan w:val="2"/>
            <w:noWrap/>
            <w:hideMark/>
          </w:tcPr>
          <w:p w14:paraId="51C4D33E" w14:textId="77777777" w:rsidR="00813F0B" w:rsidRPr="000973F2" w:rsidRDefault="00813F0B" w:rsidP="004D0729">
            <w:pPr>
              <w:spacing w:before="30" w:after="3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sz w:val="18"/>
                <w:szCs w:val="18"/>
              </w:rPr>
            </w:pPr>
            <w:r w:rsidRPr="000973F2">
              <w:rPr>
                <w:rFonts w:ascii="Times New Roman" w:eastAsia="Times New Roman" w:hAnsi="Times New Roman" w:cs="Times New Roman"/>
                <w:b/>
                <w:bCs/>
                <w:sz w:val="18"/>
                <w:szCs w:val="18"/>
              </w:rPr>
              <w:t xml:space="preserve">$36.28 </w:t>
            </w:r>
          </w:p>
        </w:tc>
        <w:tc>
          <w:tcPr>
            <w:tcW w:w="1600" w:type="dxa"/>
            <w:gridSpan w:val="2"/>
            <w:vMerge/>
            <w:hideMark/>
          </w:tcPr>
          <w:p w14:paraId="06E8D628" w14:textId="77777777" w:rsidR="00813F0B" w:rsidRPr="000973F2" w:rsidRDefault="00813F0B" w:rsidP="004D0729">
            <w:pPr>
              <w:spacing w:before="30" w:after="3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sz w:val="18"/>
                <w:szCs w:val="18"/>
              </w:rPr>
            </w:pPr>
          </w:p>
        </w:tc>
      </w:tr>
      <w:tr w:rsidR="00302E41" w:rsidRPr="000973F2" w14:paraId="3166B962" w14:textId="77777777" w:rsidTr="00A64939">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1328" w:type="dxa"/>
            <w:vMerge/>
            <w:hideMark/>
          </w:tcPr>
          <w:p w14:paraId="33BE7226" w14:textId="77777777" w:rsidR="00813F0B" w:rsidRPr="000973F2" w:rsidRDefault="00813F0B" w:rsidP="004D0729">
            <w:pPr>
              <w:spacing w:before="30" w:after="30"/>
              <w:rPr>
                <w:rFonts w:ascii="Times New Roman" w:eastAsia="Times New Roman" w:hAnsi="Times New Roman" w:cs="Times New Roman"/>
                <w:b/>
                <w:bCs w:val="0"/>
                <w:sz w:val="18"/>
                <w:szCs w:val="18"/>
              </w:rPr>
            </w:pPr>
          </w:p>
        </w:tc>
        <w:tc>
          <w:tcPr>
            <w:tcW w:w="800" w:type="dxa"/>
            <w:tcMar>
              <w:left w:w="14" w:type="dxa"/>
              <w:right w:w="14" w:type="dxa"/>
            </w:tcMar>
            <w:hideMark/>
          </w:tcPr>
          <w:p w14:paraId="7ACDE5C1" w14:textId="2D4A175B" w:rsidR="00813F0B" w:rsidRPr="000973F2" w:rsidRDefault="00813F0B" w:rsidP="004D0729">
            <w:pPr>
              <w:spacing w:before="30" w:after="3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18"/>
                <w:szCs w:val="18"/>
              </w:rPr>
            </w:pPr>
            <w:r w:rsidRPr="000973F2">
              <w:rPr>
                <w:rFonts w:ascii="Times New Roman" w:eastAsia="Times New Roman" w:hAnsi="Times New Roman" w:cs="Times New Roman"/>
                <w:b/>
                <w:bCs/>
                <w:sz w:val="18"/>
                <w:szCs w:val="18"/>
              </w:rPr>
              <w:t xml:space="preserve">Initial </w:t>
            </w:r>
            <w:r w:rsidR="00132320" w:rsidRPr="000973F2">
              <w:rPr>
                <w:rFonts w:ascii="Times New Roman" w:eastAsia="Times New Roman" w:hAnsi="Times New Roman" w:cs="Times New Roman"/>
                <w:b/>
                <w:bCs/>
                <w:sz w:val="18"/>
                <w:szCs w:val="18"/>
              </w:rPr>
              <w:t>Year Hours</w:t>
            </w:r>
          </w:p>
        </w:tc>
        <w:tc>
          <w:tcPr>
            <w:tcW w:w="800" w:type="dxa"/>
            <w:tcMar>
              <w:left w:w="14" w:type="dxa"/>
              <w:right w:w="14" w:type="dxa"/>
            </w:tcMar>
            <w:hideMark/>
          </w:tcPr>
          <w:p w14:paraId="47F428A1" w14:textId="77777777" w:rsidR="00813F0B" w:rsidRPr="000973F2" w:rsidRDefault="00813F0B" w:rsidP="004D0729">
            <w:pPr>
              <w:spacing w:before="30" w:after="3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18"/>
                <w:szCs w:val="18"/>
              </w:rPr>
            </w:pPr>
            <w:r w:rsidRPr="000973F2">
              <w:rPr>
                <w:rFonts w:ascii="Times New Roman" w:eastAsia="Times New Roman" w:hAnsi="Times New Roman" w:cs="Times New Roman"/>
                <w:b/>
                <w:bCs/>
                <w:sz w:val="18"/>
                <w:szCs w:val="18"/>
              </w:rPr>
              <w:t>Subseq. Year Hours</w:t>
            </w:r>
          </w:p>
        </w:tc>
        <w:tc>
          <w:tcPr>
            <w:tcW w:w="800" w:type="dxa"/>
            <w:tcMar>
              <w:left w:w="14" w:type="dxa"/>
              <w:right w:w="14" w:type="dxa"/>
            </w:tcMar>
            <w:hideMark/>
          </w:tcPr>
          <w:p w14:paraId="0E2193B5" w14:textId="4D7A22EF" w:rsidR="00813F0B" w:rsidRPr="000973F2" w:rsidRDefault="00813F0B" w:rsidP="004D0729">
            <w:pPr>
              <w:spacing w:before="30" w:after="3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18"/>
                <w:szCs w:val="18"/>
              </w:rPr>
            </w:pPr>
            <w:r w:rsidRPr="000973F2">
              <w:rPr>
                <w:rFonts w:ascii="Times New Roman" w:eastAsia="Times New Roman" w:hAnsi="Times New Roman" w:cs="Times New Roman"/>
                <w:b/>
                <w:bCs/>
                <w:sz w:val="18"/>
                <w:szCs w:val="18"/>
              </w:rPr>
              <w:t xml:space="preserve">Initial </w:t>
            </w:r>
            <w:r w:rsidR="00132320" w:rsidRPr="000973F2">
              <w:rPr>
                <w:rFonts w:ascii="Times New Roman" w:eastAsia="Times New Roman" w:hAnsi="Times New Roman" w:cs="Times New Roman"/>
                <w:b/>
                <w:bCs/>
                <w:sz w:val="18"/>
                <w:szCs w:val="18"/>
              </w:rPr>
              <w:t>Year Hours</w:t>
            </w:r>
          </w:p>
        </w:tc>
        <w:tc>
          <w:tcPr>
            <w:tcW w:w="801" w:type="dxa"/>
            <w:tcMar>
              <w:left w:w="14" w:type="dxa"/>
              <w:right w:w="14" w:type="dxa"/>
            </w:tcMar>
            <w:hideMark/>
          </w:tcPr>
          <w:p w14:paraId="392C38BB" w14:textId="77777777" w:rsidR="00813F0B" w:rsidRPr="000973F2" w:rsidRDefault="00813F0B" w:rsidP="004D0729">
            <w:pPr>
              <w:spacing w:before="30" w:after="3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18"/>
                <w:szCs w:val="18"/>
              </w:rPr>
            </w:pPr>
            <w:r w:rsidRPr="000973F2">
              <w:rPr>
                <w:rFonts w:ascii="Times New Roman" w:eastAsia="Times New Roman" w:hAnsi="Times New Roman" w:cs="Times New Roman"/>
                <w:b/>
                <w:bCs/>
                <w:sz w:val="18"/>
                <w:szCs w:val="18"/>
              </w:rPr>
              <w:t>Subseq. Year Hours</w:t>
            </w:r>
          </w:p>
        </w:tc>
        <w:tc>
          <w:tcPr>
            <w:tcW w:w="800" w:type="dxa"/>
            <w:tcMar>
              <w:left w:w="14" w:type="dxa"/>
              <w:right w:w="14" w:type="dxa"/>
            </w:tcMar>
            <w:hideMark/>
          </w:tcPr>
          <w:p w14:paraId="5C108E62" w14:textId="12904520" w:rsidR="00813F0B" w:rsidRPr="000973F2" w:rsidRDefault="00813F0B" w:rsidP="004D0729">
            <w:pPr>
              <w:spacing w:before="30" w:after="3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18"/>
                <w:szCs w:val="18"/>
              </w:rPr>
            </w:pPr>
            <w:r w:rsidRPr="000973F2">
              <w:rPr>
                <w:rFonts w:ascii="Times New Roman" w:eastAsia="Times New Roman" w:hAnsi="Times New Roman" w:cs="Times New Roman"/>
                <w:b/>
                <w:bCs/>
                <w:sz w:val="18"/>
                <w:szCs w:val="18"/>
              </w:rPr>
              <w:t xml:space="preserve">Initial </w:t>
            </w:r>
            <w:r w:rsidR="00132320" w:rsidRPr="000973F2">
              <w:rPr>
                <w:rFonts w:ascii="Times New Roman" w:eastAsia="Times New Roman" w:hAnsi="Times New Roman" w:cs="Times New Roman"/>
                <w:b/>
                <w:bCs/>
                <w:sz w:val="18"/>
                <w:szCs w:val="18"/>
              </w:rPr>
              <w:t>Year Hours</w:t>
            </w:r>
          </w:p>
        </w:tc>
        <w:tc>
          <w:tcPr>
            <w:tcW w:w="800" w:type="dxa"/>
            <w:tcMar>
              <w:left w:w="14" w:type="dxa"/>
              <w:right w:w="14" w:type="dxa"/>
            </w:tcMar>
            <w:hideMark/>
          </w:tcPr>
          <w:p w14:paraId="023332C7" w14:textId="77777777" w:rsidR="00813F0B" w:rsidRPr="000973F2" w:rsidRDefault="00813F0B" w:rsidP="004D0729">
            <w:pPr>
              <w:spacing w:before="30" w:after="3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18"/>
                <w:szCs w:val="18"/>
              </w:rPr>
            </w:pPr>
            <w:r w:rsidRPr="000973F2">
              <w:rPr>
                <w:rFonts w:ascii="Times New Roman" w:eastAsia="Times New Roman" w:hAnsi="Times New Roman" w:cs="Times New Roman"/>
                <w:b/>
                <w:bCs/>
                <w:sz w:val="18"/>
                <w:szCs w:val="18"/>
              </w:rPr>
              <w:t>Subseq. Year Hours</w:t>
            </w:r>
          </w:p>
        </w:tc>
        <w:tc>
          <w:tcPr>
            <w:tcW w:w="800" w:type="dxa"/>
            <w:tcMar>
              <w:left w:w="14" w:type="dxa"/>
              <w:right w:w="14" w:type="dxa"/>
            </w:tcMar>
            <w:hideMark/>
          </w:tcPr>
          <w:p w14:paraId="1B746164" w14:textId="18D95A00" w:rsidR="00813F0B" w:rsidRPr="000973F2" w:rsidRDefault="00813F0B" w:rsidP="004D0729">
            <w:pPr>
              <w:spacing w:before="30" w:after="3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18"/>
                <w:szCs w:val="18"/>
              </w:rPr>
            </w:pPr>
            <w:r w:rsidRPr="000973F2">
              <w:rPr>
                <w:rFonts w:ascii="Times New Roman" w:eastAsia="Times New Roman" w:hAnsi="Times New Roman" w:cs="Times New Roman"/>
                <w:b/>
                <w:bCs/>
                <w:sz w:val="18"/>
                <w:szCs w:val="18"/>
              </w:rPr>
              <w:t xml:space="preserve">Initial </w:t>
            </w:r>
            <w:r w:rsidR="00132320" w:rsidRPr="000973F2">
              <w:rPr>
                <w:rFonts w:ascii="Times New Roman" w:eastAsia="Times New Roman" w:hAnsi="Times New Roman" w:cs="Times New Roman"/>
                <w:b/>
                <w:bCs/>
                <w:sz w:val="18"/>
                <w:szCs w:val="18"/>
              </w:rPr>
              <w:t>Year Hours</w:t>
            </w:r>
          </w:p>
        </w:tc>
        <w:tc>
          <w:tcPr>
            <w:tcW w:w="801" w:type="dxa"/>
            <w:tcMar>
              <w:left w:w="14" w:type="dxa"/>
              <w:right w:w="14" w:type="dxa"/>
            </w:tcMar>
            <w:hideMark/>
          </w:tcPr>
          <w:p w14:paraId="5AC90C1E" w14:textId="77777777" w:rsidR="00813F0B" w:rsidRPr="000973F2" w:rsidRDefault="00813F0B" w:rsidP="004D0729">
            <w:pPr>
              <w:spacing w:before="30" w:after="3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18"/>
                <w:szCs w:val="18"/>
              </w:rPr>
            </w:pPr>
            <w:r w:rsidRPr="000973F2">
              <w:rPr>
                <w:rFonts w:ascii="Times New Roman" w:eastAsia="Times New Roman" w:hAnsi="Times New Roman" w:cs="Times New Roman"/>
                <w:b/>
                <w:bCs/>
                <w:sz w:val="18"/>
                <w:szCs w:val="18"/>
              </w:rPr>
              <w:t>Subseq. Year Hours</w:t>
            </w:r>
          </w:p>
        </w:tc>
        <w:tc>
          <w:tcPr>
            <w:tcW w:w="721" w:type="dxa"/>
            <w:tcMar>
              <w:left w:w="14" w:type="dxa"/>
              <w:right w:w="14" w:type="dxa"/>
            </w:tcMar>
            <w:hideMark/>
          </w:tcPr>
          <w:p w14:paraId="6DE2BCF1" w14:textId="77777777" w:rsidR="00813F0B" w:rsidRPr="000973F2" w:rsidRDefault="00813F0B" w:rsidP="004D0729">
            <w:pPr>
              <w:spacing w:before="30" w:after="3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18"/>
                <w:szCs w:val="18"/>
              </w:rPr>
            </w:pPr>
            <w:r w:rsidRPr="000973F2">
              <w:rPr>
                <w:rFonts w:ascii="Times New Roman" w:eastAsia="Times New Roman" w:hAnsi="Times New Roman" w:cs="Times New Roman"/>
                <w:b/>
                <w:bCs/>
                <w:sz w:val="18"/>
                <w:szCs w:val="18"/>
              </w:rPr>
              <w:t>Initial Year</w:t>
            </w:r>
          </w:p>
        </w:tc>
        <w:tc>
          <w:tcPr>
            <w:tcW w:w="879" w:type="dxa"/>
            <w:tcMar>
              <w:left w:w="14" w:type="dxa"/>
              <w:right w:w="14" w:type="dxa"/>
            </w:tcMar>
            <w:hideMark/>
          </w:tcPr>
          <w:p w14:paraId="2E774A36" w14:textId="77777777" w:rsidR="00813F0B" w:rsidRPr="000973F2" w:rsidRDefault="00813F0B" w:rsidP="004D0729">
            <w:pPr>
              <w:spacing w:before="30" w:after="3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18"/>
                <w:szCs w:val="18"/>
              </w:rPr>
            </w:pPr>
            <w:r w:rsidRPr="000973F2">
              <w:rPr>
                <w:rFonts w:ascii="Times New Roman" w:eastAsia="Times New Roman" w:hAnsi="Times New Roman" w:cs="Times New Roman"/>
                <w:b/>
                <w:bCs/>
                <w:sz w:val="18"/>
                <w:szCs w:val="18"/>
              </w:rPr>
              <w:t>Subseq. Year</w:t>
            </w:r>
          </w:p>
        </w:tc>
      </w:tr>
      <w:tr w:rsidR="00813F0B" w:rsidRPr="000973F2" w14:paraId="46AE3C31" w14:textId="77777777" w:rsidTr="00A64939">
        <w:trPr>
          <w:cantSplit/>
        </w:trPr>
        <w:tc>
          <w:tcPr>
            <w:cnfStyle w:val="001000000000" w:firstRow="0" w:lastRow="0" w:firstColumn="1" w:lastColumn="0" w:oddVBand="0" w:evenVBand="0" w:oddHBand="0" w:evenHBand="0" w:firstRowFirstColumn="0" w:firstRowLastColumn="0" w:lastRowFirstColumn="0" w:lastRowLastColumn="0"/>
            <w:tcW w:w="1328" w:type="dxa"/>
            <w:hideMark/>
          </w:tcPr>
          <w:p w14:paraId="4CE2AE2E" w14:textId="77777777" w:rsidR="00813F0B" w:rsidRPr="000973F2" w:rsidRDefault="00813F0B" w:rsidP="004D0729">
            <w:pPr>
              <w:spacing w:before="30" w:after="3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Planning</w:t>
            </w:r>
          </w:p>
        </w:tc>
        <w:tc>
          <w:tcPr>
            <w:tcW w:w="800" w:type="dxa"/>
            <w:noWrap/>
            <w:hideMark/>
          </w:tcPr>
          <w:p w14:paraId="2F4102CA" w14:textId="77777777" w:rsidR="00813F0B" w:rsidRPr="000973F2" w:rsidRDefault="00813F0B" w:rsidP="004D0729">
            <w:pPr>
              <w:spacing w:before="30" w:after="3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hAnsi="Times New Roman" w:cs="Times New Roman"/>
                <w:sz w:val="18"/>
                <w:szCs w:val="18"/>
              </w:rPr>
              <w:t>0.0</w:t>
            </w:r>
          </w:p>
        </w:tc>
        <w:tc>
          <w:tcPr>
            <w:tcW w:w="800" w:type="dxa"/>
            <w:noWrap/>
            <w:hideMark/>
          </w:tcPr>
          <w:p w14:paraId="6C14BE52" w14:textId="77777777" w:rsidR="00813F0B" w:rsidRPr="000973F2" w:rsidRDefault="00813F0B" w:rsidP="004D0729">
            <w:pPr>
              <w:spacing w:before="30" w:after="3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hAnsi="Times New Roman" w:cs="Times New Roman"/>
                <w:sz w:val="18"/>
                <w:szCs w:val="18"/>
              </w:rPr>
              <w:t>1.0</w:t>
            </w:r>
          </w:p>
        </w:tc>
        <w:tc>
          <w:tcPr>
            <w:tcW w:w="800" w:type="dxa"/>
            <w:noWrap/>
            <w:hideMark/>
          </w:tcPr>
          <w:p w14:paraId="72D63FCE" w14:textId="77777777" w:rsidR="00813F0B" w:rsidRPr="000973F2" w:rsidRDefault="00813F0B" w:rsidP="004D0729">
            <w:pPr>
              <w:spacing w:before="30" w:after="3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hAnsi="Times New Roman" w:cs="Times New Roman"/>
                <w:sz w:val="18"/>
                <w:szCs w:val="18"/>
              </w:rPr>
              <w:t>0.0</w:t>
            </w:r>
          </w:p>
        </w:tc>
        <w:tc>
          <w:tcPr>
            <w:tcW w:w="801" w:type="dxa"/>
            <w:noWrap/>
            <w:hideMark/>
          </w:tcPr>
          <w:p w14:paraId="205AB0F5" w14:textId="77777777" w:rsidR="00813F0B" w:rsidRPr="000973F2" w:rsidRDefault="00813F0B" w:rsidP="004D0729">
            <w:pPr>
              <w:spacing w:before="30" w:after="3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hAnsi="Times New Roman" w:cs="Times New Roman"/>
                <w:sz w:val="18"/>
                <w:szCs w:val="18"/>
              </w:rPr>
              <w:t>0.4</w:t>
            </w:r>
          </w:p>
        </w:tc>
        <w:tc>
          <w:tcPr>
            <w:tcW w:w="800" w:type="dxa"/>
            <w:noWrap/>
            <w:hideMark/>
          </w:tcPr>
          <w:p w14:paraId="524368DD" w14:textId="77777777" w:rsidR="00813F0B" w:rsidRPr="000973F2" w:rsidRDefault="00813F0B" w:rsidP="004D0729">
            <w:pPr>
              <w:spacing w:before="30" w:after="3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hAnsi="Times New Roman" w:cs="Times New Roman"/>
                <w:sz w:val="18"/>
                <w:szCs w:val="18"/>
              </w:rPr>
              <w:t>0.0</w:t>
            </w:r>
          </w:p>
        </w:tc>
        <w:tc>
          <w:tcPr>
            <w:tcW w:w="800" w:type="dxa"/>
            <w:noWrap/>
            <w:hideMark/>
          </w:tcPr>
          <w:p w14:paraId="7F1AD985" w14:textId="77777777" w:rsidR="00813F0B" w:rsidRPr="000973F2" w:rsidRDefault="00813F0B" w:rsidP="004D0729">
            <w:pPr>
              <w:tabs>
                <w:tab w:val="decimal" w:pos="226"/>
              </w:tabs>
              <w:spacing w:before="30" w:after="3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hAnsi="Times New Roman" w:cs="Times New Roman"/>
                <w:sz w:val="18"/>
                <w:szCs w:val="18"/>
              </w:rPr>
              <w:t>3.8</w:t>
            </w:r>
          </w:p>
        </w:tc>
        <w:tc>
          <w:tcPr>
            <w:tcW w:w="800" w:type="dxa"/>
            <w:noWrap/>
            <w:hideMark/>
          </w:tcPr>
          <w:p w14:paraId="4417D175" w14:textId="77777777" w:rsidR="00813F0B" w:rsidRPr="000973F2" w:rsidRDefault="00813F0B" w:rsidP="004D0729">
            <w:pPr>
              <w:spacing w:before="30" w:after="3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hAnsi="Times New Roman" w:cs="Times New Roman"/>
                <w:sz w:val="18"/>
                <w:szCs w:val="18"/>
              </w:rPr>
              <w:t>0.0</w:t>
            </w:r>
          </w:p>
        </w:tc>
        <w:tc>
          <w:tcPr>
            <w:tcW w:w="801" w:type="dxa"/>
            <w:noWrap/>
            <w:hideMark/>
          </w:tcPr>
          <w:p w14:paraId="60CB3F02" w14:textId="77777777" w:rsidR="00813F0B" w:rsidRPr="000973F2" w:rsidRDefault="00813F0B" w:rsidP="004D0729">
            <w:pPr>
              <w:spacing w:before="30" w:after="3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hAnsi="Times New Roman" w:cs="Times New Roman"/>
                <w:sz w:val="18"/>
                <w:szCs w:val="18"/>
              </w:rPr>
              <w:t>0.2</w:t>
            </w:r>
          </w:p>
        </w:tc>
        <w:tc>
          <w:tcPr>
            <w:tcW w:w="721" w:type="dxa"/>
            <w:noWrap/>
            <w:hideMark/>
          </w:tcPr>
          <w:p w14:paraId="703D10D5" w14:textId="2BD9C183" w:rsidR="00813F0B" w:rsidRPr="000973F2" w:rsidRDefault="00813F0B" w:rsidP="004D0729">
            <w:pPr>
              <w:spacing w:before="30" w:after="3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hAnsi="Times New Roman" w:cs="Times New Roman"/>
                <w:sz w:val="18"/>
                <w:szCs w:val="18"/>
              </w:rPr>
              <w:t>$0</w:t>
            </w:r>
          </w:p>
        </w:tc>
        <w:tc>
          <w:tcPr>
            <w:tcW w:w="879" w:type="dxa"/>
            <w:noWrap/>
            <w:hideMark/>
          </w:tcPr>
          <w:p w14:paraId="71BBA4CD" w14:textId="5BE17FA0" w:rsidR="00813F0B" w:rsidRPr="000973F2" w:rsidRDefault="00813F0B" w:rsidP="004D0729">
            <w:pPr>
              <w:tabs>
                <w:tab w:val="decimal" w:pos="511"/>
              </w:tabs>
              <w:spacing w:before="30" w:after="3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hAnsi="Times New Roman" w:cs="Times New Roman"/>
                <w:sz w:val="18"/>
                <w:szCs w:val="18"/>
              </w:rPr>
              <w:t>$424</w:t>
            </w:r>
          </w:p>
        </w:tc>
      </w:tr>
      <w:tr w:rsidR="00AD5834" w:rsidRPr="000973F2" w14:paraId="02B97437" w14:textId="77777777" w:rsidTr="00A64939">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1328" w:type="dxa"/>
            <w:hideMark/>
          </w:tcPr>
          <w:p w14:paraId="2547F70C" w14:textId="77777777" w:rsidR="00813F0B" w:rsidRPr="000973F2" w:rsidRDefault="00813F0B" w:rsidP="004D0729">
            <w:pPr>
              <w:spacing w:before="30" w:after="3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QA/QC</w:t>
            </w:r>
          </w:p>
        </w:tc>
        <w:tc>
          <w:tcPr>
            <w:tcW w:w="800" w:type="dxa"/>
            <w:noWrap/>
            <w:hideMark/>
          </w:tcPr>
          <w:p w14:paraId="54DD59A1" w14:textId="77777777" w:rsidR="00813F0B" w:rsidRPr="000973F2" w:rsidRDefault="00813F0B" w:rsidP="004D0729">
            <w:pPr>
              <w:spacing w:before="30" w:after="3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hAnsi="Times New Roman" w:cs="Times New Roman"/>
                <w:sz w:val="18"/>
                <w:szCs w:val="18"/>
              </w:rPr>
              <w:t>0.0</w:t>
            </w:r>
          </w:p>
        </w:tc>
        <w:tc>
          <w:tcPr>
            <w:tcW w:w="800" w:type="dxa"/>
            <w:noWrap/>
            <w:hideMark/>
          </w:tcPr>
          <w:p w14:paraId="4AC46043" w14:textId="77777777" w:rsidR="00813F0B" w:rsidRPr="000973F2" w:rsidRDefault="00813F0B" w:rsidP="004D0729">
            <w:pPr>
              <w:spacing w:before="30" w:after="3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hAnsi="Times New Roman" w:cs="Times New Roman"/>
                <w:sz w:val="18"/>
                <w:szCs w:val="18"/>
              </w:rPr>
              <w:t>0.0</w:t>
            </w:r>
          </w:p>
        </w:tc>
        <w:tc>
          <w:tcPr>
            <w:tcW w:w="800" w:type="dxa"/>
            <w:noWrap/>
            <w:hideMark/>
          </w:tcPr>
          <w:p w14:paraId="6AADBDF5" w14:textId="77777777" w:rsidR="00813F0B" w:rsidRPr="000973F2" w:rsidRDefault="00813F0B" w:rsidP="004D0729">
            <w:pPr>
              <w:spacing w:before="30" w:after="3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hAnsi="Times New Roman" w:cs="Times New Roman"/>
                <w:sz w:val="18"/>
                <w:szCs w:val="18"/>
              </w:rPr>
              <w:t>0.0</w:t>
            </w:r>
          </w:p>
        </w:tc>
        <w:tc>
          <w:tcPr>
            <w:tcW w:w="801" w:type="dxa"/>
            <w:noWrap/>
            <w:hideMark/>
          </w:tcPr>
          <w:p w14:paraId="265D551E" w14:textId="77777777" w:rsidR="00813F0B" w:rsidRPr="000973F2" w:rsidRDefault="00813F0B" w:rsidP="004D0729">
            <w:pPr>
              <w:spacing w:before="30" w:after="3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hAnsi="Times New Roman" w:cs="Times New Roman"/>
                <w:sz w:val="18"/>
                <w:szCs w:val="18"/>
              </w:rPr>
              <w:t>0.5</w:t>
            </w:r>
          </w:p>
        </w:tc>
        <w:tc>
          <w:tcPr>
            <w:tcW w:w="800" w:type="dxa"/>
            <w:noWrap/>
            <w:hideMark/>
          </w:tcPr>
          <w:p w14:paraId="65973610" w14:textId="77777777" w:rsidR="00813F0B" w:rsidRPr="000973F2" w:rsidRDefault="00813F0B" w:rsidP="004D0729">
            <w:pPr>
              <w:spacing w:before="30" w:after="3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hAnsi="Times New Roman" w:cs="Times New Roman"/>
                <w:sz w:val="18"/>
                <w:szCs w:val="18"/>
              </w:rPr>
              <w:t>0.0</w:t>
            </w:r>
          </w:p>
        </w:tc>
        <w:tc>
          <w:tcPr>
            <w:tcW w:w="800" w:type="dxa"/>
            <w:noWrap/>
            <w:hideMark/>
          </w:tcPr>
          <w:p w14:paraId="7501FFAB" w14:textId="77777777" w:rsidR="00813F0B" w:rsidRPr="000973F2" w:rsidRDefault="00813F0B" w:rsidP="004D0729">
            <w:pPr>
              <w:tabs>
                <w:tab w:val="decimal" w:pos="226"/>
              </w:tabs>
              <w:spacing w:before="30" w:after="3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hAnsi="Times New Roman" w:cs="Times New Roman"/>
                <w:sz w:val="18"/>
                <w:szCs w:val="18"/>
              </w:rPr>
              <w:t>4.6</w:t>
            </w:r>
          </w:p>
        </w:tc>
        <w:tc>
          <w:tcPr>
            <w:tcW w:w="800" w:type="dxa"/>
            <w:noWrap/>
            <w:hideMark/>
          </w:tcPr>
          <w:p w14:paraId="68BA26A0" w14:textId="77777777" w:rsidR="00813F0B" w:rsidRPr="000973F2" w:rsidRDefault="00813F0B" w:rsidP="004D0729">
            <w:pPr>
              <w:spacing w:before="30" w:after="3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hAnsi="Times New Roman" w:cs="Times New Roman"/>
                <w:sz w:val="18"/>
                <w:szCs w:val="18"/>
              </w:rPr>
              <w:t>0.0</w:t>
            </w:r>
          </w:p>
        </w:tc>
        <w:tc>
          <w:tcPr>
            <w:tcW w:w="801" w:type="dxa"/>
            <w:noWrap/>
            <w:hideMark/>
          </w:tcPr>
          <w:p w14:paraId="4868AA5B" w14:textId="77777777" w:rsidR="00813F0B" w:rsidRPr="000973F2" w:rsidRDefault="00813F0B" w:rsidP="004D0729">
            <w:pPr>
              <w:spacing w:before="30" w:after="3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hAnsi="Times New Roman" w:cs="Times New Roman"/>
                <w:sz w:val="18"/>
                <w:szCs w:val="18"/>
              </w:rPr>
              <w:t>0.2</w:t>
            </w:r>
          </w:p>
        </w:tc>
        <w:tc>
          <w:tcPr>
            <w:tcW w:w="721" w:type="dxa"/>
            <w:noWrap/>
            <w:hideMark/>
          </w:tcPr>
          <w:p w14:paraId="725C43EA" w14:textId="74EA1070" w:rsidR="00813F0B" w:rsidRPr="000973F2" w:rsidRDefault="00813F0B" w:rsidP="004D0729">
            <w:pPr>
              <w:spacing w:before="30" w:after="3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hAnsi="Times New Roman" w:cs="Times New Roman"/>
                <w:sz w:val="18"/>
                <w:szCs w:val="18"/>
              </w:rPr>
              <w:t>$0</w:t>
            </w:r>
          </w:p>
        </w:tc>
        <w:tc>
          <w:tcPr>
            <w:tcW w:w="879" w:type="dxa"/>
            <w:noWrap/>
            <w:hideMark/>
          </w:tcPr>
          <w:p w14:paraId="58A6668F" w14:textId="77777777" w:rsidR="00813F0B" w:rsidRPr="000973F2" w:rsidRDefault="00813F0B" w:rsidP="004D0729">
            <w:pPr>
              <w:tabs>
                <w:tab w:val="decimal" w:pos="511"/>
              </w:tabs>
              <w:spacing w:before="30" w:after="3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hAnsi="Times New Roman" w:cs="Times New Roman"/>
                <w:sz w:val="18"/>
                <w:szCs w:val="18"/>
              </w:rPr>
              <w:t>$374</w:t>
            </w:r>
          </w:p>
        </w:tc>
      </w:tr>
      <w:tr w:rsidR="00813F0B" w:rsidRPr="000973F2" w14:paraId="08FD15CC" w14:textId="77777777" w:rsidTr="00A64939">
        <w:trPr>
          <w:cantSplit/>
        </w:trPr>
        <w:tc>
          <w:tcPr>
            <w:cnfStyle w:val="001000000000" w:firstRow="0" w:lastRow="0" w:firstColumn="1" w:lastColumn="0" w:oddVBand="0" w:evenVBand="0" w:oddHBand="0" w:evenHBand="0" w:firstRowFirstColumn="0" w:firstRowLastColumn="0" w:lastRowFirstColumn="0" w:lastRowLastColumn="0"/>
            <w:tcW w:w="1328" w:type="dxa"/>
            <w:hideMark/>
          </w:tcPr>
          <w:p w14:paraId="1FAC038D" w14:textId="77777777" w:rsidR="00813F0B" w:rsidRPr="000973F2" w:rsidRDefault="00813F0B" w:rsidP="004D0729">
            <w:pPr>
              <w:spacing w:before="30" w:after="3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Recordkeeping</w:t>
            </w:r>
          </w:p>
        </w:tc>
        <w:tc>
          <w:tcPr>
            <w:tcW w:w="800" w:type="dxa"/>
            <w:noWrap/>
            <w:hideMark/>
          </w:tcPr>
          <w:p w14:paraId="2510FA17" w14:textId="77777777" w:rsidR="00813F0B" w:rsidRPr="000973F2" w:rsidRDefault="00813F0B" w:rsidP="004D0729">
            <w:pPr>
              <w:spacing w:before="30" w:after="3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hAnsi="Times New Roman" w:cs="Times New Roman"/>
                <w:sz w:val="18"/>
                <w:szCs w:val="18"/>
              </w:rPr>
              <w:t>0.0</w:t>
            </w:r>
          </w:p>
        </w:tc>
        <w:tc>
          <w:tcPr>
            <w:tcW w:w="800" w:type="dxa"/>
            <w:noWrap/>
            <w:hideMark/>
          </w:tcPr>
          <w:p w14:paraId="175701E0" w14:textId="77777777" w:rsidR="00813F0B" w:rsidRPr="000973F2" w:rsidRDefault="00813F0B" w:rsidP="004D0729">
            <w:pPr>
              <w:spacing w:before="30" w:after="3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hAnsi="Times New Roman" w:cs="Times New Roman"/>
                <w:sz w:val="18"/>
                <w:szCs w:val="18"/>
              </w:rPr>
              <w:t>0.0</w:t>
            </w:r>
          </w:p>
        </w:tc>
        <w:tc>
          <w:tcPr>
            <w:tcW w:w="800" w:type="dxa"/>
            <w:noWrap/>
            <w:hideMark/>
          </w:tcPr>
          <w:p w14:paraId="7FEFA6B8" w14:textId="77777777" w:rsidR="00813F0B" w:rsidRPr="000973F2" w:rsidRDefault="00813F0B" w:rsidP="004D0729">
            <w:pPr>
              <w:spacing w:before="30" w:after="3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hAnsi="Times New Roman" w:cs="Times New Roman"/>
                <w:sz w:val="18"/>
                <w:szCs w:val="18"/>
              </w:rPr>
              <w:t>0.0</w:t>
            </w:r>
          </w:p>
        </w:tc>
        <w:tc>
          <w:tcPr>
            <w:tcW w:w="801" w:type="dxa"/>
            <w:noWrap/>
            <w:hideMark/>
          </w:tcPr>
          <w:p w14:paraId="27DBD176" w14:textId="77777777" w:rsidR="00813F0B" w:rsidRPr="000973F2" w:rsidRDefault="00813F0B" w:rsidP="004D0729">
            <w:pPr>
              <w:spacing w:before="30" w:after="3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hAnsi="Times New Roman" w:cs="Times New Roman"/>
                <w:sz w:val="18"/>
                <w:szCs w:val="18"/>
              </w:rPr>
              <w:t>0.5</w:t>
            </w:r>
          </w:p>
        </w:tc>
        <w:tc>
          <w:tcPr>
            <w:tcW w:w="800" w:type="dxa"/>
            <w:noWrap/>
            <w:hideMark/>
          </w:tcPr>
          <w:p w14:paraId="36FF7602" w14:textId="77777777" w:rsidR="00813F0B" w:rsidRPr="000973F2" w:rsidRDefault="00813F0B" w:rsidP="004D0729">
            <w:pPr>
              <w:spacing w:before="30" w:after="3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hAnsi="Times New Roman" w:cs="Times New Roman"/>
                <w:sz w:val="18"/>
                <w:szCs w:val="18"/>
              </w:rPr>
              <w:t>0.0</w:t>
            </w:r>
          </w:p>
        </w:tc>
        <w:tc>
          <w:tcPr>
            <w:tcW w:w="800" w:type="dxa"/>
            <w:noWrap/>
            <w:hideMark/>
          </w:tcPr>
          <w:p w14:paraId="015EF1EA" w14:textId="77777777" w:rsidR="00813F0B" w:rsidRPr="000973F2" w:rsidRDefault="00813F0B" w:rsidP="004D0729">
            <w:pPr>
              <w:tabs>
                <w:tab w:val="decimal" w:pos="226"/>
              </w:tabs>
              <w:spacing w:before="30" w:after="3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hAnsi="Times New Roman" w:cs="Times New Roman"/>
                <w:sz w:val="18"/>
                <w:szCs w:val="18"/>
              </w:rPr>
              <w:t>2.0</w:t>
            </w:r>
          </w:p>
        </w:tc>
        <w:tc>
          <w:tcPr>
            <w:tcW w:w="800" w:type="dxa"/>
            <w:noWrap/>
            <w:hideMark/>
          </w:tcPr>
          <w:p w14:paraId="3273408D" w14:textId="77777777" w:rsidR="00813F0B" w:rsidRPr="000973F2" w:rsidRDefault="00813F0B" w:rsidP="004D0729">
            <w:pPr>
              <w:spacing w:before="30" w:after="3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hAnsi="Times New Roman" w:cs="Times New Roman"/>
                <w:sz w:val="18"/>
                <w:szCs w:val="18"/>
              </w:rPr>
              <w:t>0.0</w:t>
            </w:r>
          </w:p>
        </w:tc>
        <w:tc>
          <w:tcPr>
            <w:tcW w:w="801" w:type="dxa"/>
            <w:noWrap/>
            <w:hideMark/>
          </w:tcPr>
          <w:p w14:paraId="0A8030F3" w14:textId="77777777" w:rsidR="00813F0B" w:rsidRPr="000973F2" w:rsidRDefault="00813F0B" w:rsidP="004D0729">
            <w:pPr>
              <w:spacing w:before="30" w:after="3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hAnsi="Times New Roman" w:cs="Times New Roman"/>
                <w:sz w:val="18"/>
                <w:szCs w:val="18"/>
              </w:rPr>
              <w:t>0.5</w:t>
            </w:r>
          </w:p>
        </w:tc>
        <w:tc>
          <w:tcPr>
            <w:tcW w:w="721" w:type="dxa"/>
            <w:noWrap/>
            <w:hideMark/>
          </w:tcPr>
          <w:p w14:paraId="72E2A371" w14:textId="5285876E" w:rsidR="00813F0B" w:rsidRPr="000973F2" w:rsidRDefault="00813F0B" w:rsidP="004D0729">
            <w:pPr>
              <w:spacing w:before="30" w:after="3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hAnsi="Times New Roman" w:cs="Times New Roman"/>
                <w:sz w:val="18"/>
                <w:szCs w:val="18"/>
              </w:rPr>
              <w:t>$0</w:t>
            </w:r>
          </w:p>
        </w:tc>
        <w:tc>
          <w:tcPr>
            <w:tcW w:w="879" w:type="dxa"/>
            <w:noWrap/>
            <w:hideMark/>
          </w:tcPr>
          <w:p w14:paraId="7BA52158" w14:textId="67A972C8" w:rsidR="00813F0B" w:rsidRPr="000973F2" w:rsidRDefault="00813F0B" w:rsidP="004D0729">
            <w:pPr>
              <w:tabs>
                <w:tab w:val="decimal" w:pos="511"/>
              </w:tabs>
              <w:spacing w:before="30" w:after="3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hAnsi="Times New Roman" w:cs="Times New Roman"/>
                <w:sz w:val="18"/>
                <w:szCs w:val="18"/>
              </w:rPr>
              <w:t>$205</w:t>
            </w:r>
          </w:p>
        </w:tc>
      </w:tr>
      <w:tr w:rsidR="00AD5834" w:rsidRPr="000973F2" w14:paraId="425686A4" w14:textId="77777777" w:rsidTr="00A64939">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1328" w:type="dxa"/>
            <w:hideMark/>
          </w:tcPr>
          <w:p w14:paraId="7039EB14" w14:textId="77777777" w:rsidR="00813F0B" w:rsidRPr="000973F2" w:rsidRDefault="00813F0B" w:rsidP="004D0729">
            <w:pPr>
              <w:spacing w:before="30" w:after="3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Sampling and Analysis (Calculations)</w:t>
            </w:r>
          </w:p>
        </w:tc>
        <w:tc>
          <w:tcPr>
            <w:tcW w:w="800" w:type="dxa"/>
            <w:noWrap/>
            <w:hideMark/>
          </w:tcPr>
          <w:p w14:paraId="78FC5267" w14:textId="77777777" w:rsidR="00813F0B" w:rsidRPr="000973F2" w:rsidRDefault="00813F0B" w:rsidP="004D0729">
            <w:pPr>
              <w:spacing w:before="30" w:after="3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hAnsi="Times New Roman" w:cs="Times New Roman"/>
                <w:sz w:val="18"/>
                <w:szCs w:val="18"/>
              </w:rPr>
              <w:t>0.0</w:t>
            </w:r>
          </w:p>
        </w:tc>
        <w:tc>
          <w:tcPr>
            <w:tcW w:w="800" w:type="dxa"/>
            <w:noWrap/>
            <w:hideMark/>
          </w:tcPr>
          <w:p w14:paraId="02F2283E" w14:textId="77777777" w:rsidR="00813F0B" w:rsidRPr="000973F2" w:rsidRDefault="00813F0B" w:rsidP="004D0729">
            <w:pPr>
              <w:spacing w:before="30" w:after="3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hAnsi="Times New Roman" w:cs="Times New Roman"/>
                <w:sz w:val="18"/>
                <w:szCs w:val="18"/>
              </w:rPr>
              <w:t>0.0</w:t>
            </w:r>
          </w:p>
        </w:tc>
        <w:tc>
          <w:tcPr>
            <w:tcW w:w="800" w:type="dxa"/>
            <w:noWrap/>
            <w:hideMark/>
          </w:tcPr>
          <w:p w14:paraId="1EFE7884" w14:textId="77777777" w:rsidR="00813F0B" w:rsidRPr="000973F2" w:rsidRDefault="00813F0B" w:rsidP="004D0729">
            <w:pPr>
              <w:spacing w:before="30" w:after="3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hAnsi="Times New Roman" w:cs="Times New Roman"/>
                <w:sz w:val="18"/>
                <w:szCs w:val="18"/>
              </w:rPr>
              <w:t>0.0</w:t>
            </w:r>
          </w:p>
        </w:tc>
        <w:tc>
          <w:tcPr>
            <w:tcW w:w="801" w:type="dxa"/>
            <w:noWrap/>
            <w:hideMark/>
          </w:tcPr>
          <w:p w14:paraId="236216F4" w14:textId="77777777" w:rsidR="00813F0B" w:rsidRPr="000973F2" w:rsidRDefault="00813F0B" w:rsidP="004D0729">
            <w:pPr>
              <w:spacing w:before="30" w:after="3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hAnsi="Times New Roman" w:cs="Times New Roman"/>
                <w:sz w:val="18"/>
                <w:szCs w:val="18"/>
              </w:rPr>
              <w:t>2.8</w:t>
            </w:r>
          </w:p>
        </w:tc>
        <w:tc>
          <w:tcPr>
            <w:tcW w:w="800" w:type="dxa"/>
            <w:noWrap/>
            <w:hideMark/>
          </w:tcPr>
          <w:p w14:paraId="05176590" w14:textId="77777777" w:rsidR="00813F0B" w:rsidRPr="000973F2" w:rsidRDefault="00813F0B" w:rsidP="004D0729">
            <w:pPr>
              <w:spacing w:before="30" w:after="3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hAnsi="Times New Roman" w:cs="Times New Roman"/>
                <w:sz w:val="18"/>
                <w:szCs w:val="18"/>
              </w:rPr>
              <w:t>0.0</w:t>
            </w:r>
          </w:p>
        </w:tc>
        <w:tc>
          <w:tcPr>
            <w:tcW w:w="800" w:type="dxa"/>
            <w:noWrap/>
            <w:hideMark/>
          </w:tcPr>
          <w:p w14:paraId="6D9FED66" w14:textId="77777777" w:rsidR="00813F0B" w:rsidRPr="000973F2" w:rsidRDefault="00813F0B" w:rsidP="004D0729">
            <w:pPr>
              <w:tabs>
                <w:tab w:val="decimal" w:pos="226"/>
              </w:tabs>
              <w:spacing w:before="30" w:after="3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hAnsi="Times New Roman" w:cs="Times New Roman"/>
                <w:sz w:val="18"/>
                <w:szCs w:val="18"/>
              </w:rPr>
              <w:t>28.4</w:t>
            </w:r>
          </w:p>
        </w:tc>
        <w:tc>
          <w:tcPr>
            <w:tcW w:w="800" w:type="dxa"/>
            <w:noWrap/>
            <w:hideMark/>
          </w:tcPr>
          <w:p w14:paraId="2B6342B7" w14:textId="77777777" w:rsidR="00813F0B" w:rsidRPr="000973F2" w:rsidRDefault="00813F0B" w:rsidP="004D0729">
            <w:pPr>
              <w:spacing w:before="30" w:after="3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hAnsi="Times New Roman" w:cs="Times New Roman"/>
                <w:sz w:val="18"/>
                <w:szCs w:val="18"/>
              </w:rPr>
              <w:t>0.0</w:t>
            </w:r>
          </w:p>
        </w:tc>
        <w:tc>
          <w:tcPr>
            <w:tcW w:w="801" w:type="dxa"/>
            <w:noWrap/>
            <w:hideMark/>
          </w:tcPr>
          <w:p w14:paraId="1A03263F" w14:textId="77777777" w:rsidR="00813F0B" w:rsidRPr="000973F2" w:rsidRDefault="00813F0B" w:rsidP="004D0729">
            <w:pPr>
              <w:spacing w:before="30" w:after="3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hAnsi="Times New Roman" w:cs="Times New Roman"/>
                <w:sz w:val="18"/>
                <w:szCs w:val="18"/>
              </w:rPr>
              <w:t>1.4</w:t>
            </w:r>
          </w:p>
        </w:tc>
        <w:tc>
          <w:tcPr>
            <w:tcW w:w="721" w:type="dxa"/>
            <w:noWrap/>
            <w:hideMark/>
          </w:tcPr>
          <w:p w14:paraId="05DF0878" w14:textId="6AA54B1B" w:rsidR="00813F0B" w:rsidRPr="000973F2" w:rsidRDefault="00813F0B" w:rsidP="004D0729">
            <w:pPr>
              <w:spacing w:before="30" w:after="3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hAnsi="Times New Roman" w:cs="Times New Roman"/>
                <w:sz w:val="18"/>
                <w:szCs w:val="18"/>
              </w:rPr>
              <w:t>$0</w:t>
            </w:r>
          </w:p>
        </w:tc>
        <w:tc>
          <w:tcPr>
            <w:tcW w:w="879" w:type="dxa"/>
            <w:noWrap/>
            <w:hideMark/>
          </w:tcPr>
          <w:p w14:paraId="5854A54E" w14:textId="623F2C97" w:rsidR="00813F0B" w:rsidRPr="000973F2" w:rsidRDefault="00813F0B" w:rsidP="004D0729">
            <w:pPr>
              <w:tabs>
                <w:tab w:val="decimal" w:pos="511"/>
              </w:tabs>
              <w:spacing w:before="30" w:after="3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hAnsi="Times New Roman" w:cs="Times New Roman"/>
                <w:sz w:val="18"/>
                <w:szCs w:val="18"/>
              </w:rPr>
              <w:t>$2,326</w:t>
            </w:r>
          </w:p>
        </w:tc>
      </w:tr>
      <w:tr w:rsidR="00813F0B" w:rsidRPr="000973F2" w14:paraId="24F95416" w14:textId="77777777" w:rsidTr="00A64939">
        <w:trPr>
          <w:cantSplit/>
        </w:trPr>
        <w:tc>
          <w:tcPr>
            <w:cnfStyle w:val="001000000000" w:firstRow="0" w:lastRow="0" w:firstColumn="1" w:lastColumn="0" w:oddVBand="0" w:evenVBand="0" w:oddHBand="0" w:evenHBand="0" w:firstRowFirstColumn="0" w:firstRowLastColumn="0" w:lastRowFirstColumn="0" w:lastRowLastColumn="0"/>
            <w:tcW w:w="1328" w:type="dxa"/>
            <w:hideMark/>
          </w:tcPr>
          <w:p w14:paraId="0C780B3C" w14:textId="77777777" w:rsidR="00813F0B" w:rsidRPr="000973F2" w:rsidRDefault="00813F0B" w:rsidP="004D0729">
            <w:pPr>
              <w:spacing w:before="30" w:after="3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Reporting</w:t>
            </w:r>
          </w:p>
        </w:tc>
        <w:tc>
          <w:tcPr>
            <w:tcW w:w="800" w:type="dxa"/>
            <w:noWrap/>
            <w:hideMark/>
          </w:tcPr>
          <w:p w14:paraId="7453C579" w14:textId="77777777" w:rsidR="00813F0B" w:rsidRPr="000973F2" w:rsidRDefault="00813F0B" w:rsidP="004D0729">
            <w:pPr>
              <w:spacing w:before="30" w:after="3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hAnsi="Times New Roman" w:cs="Times New Roman"/>
                <w:sz w:val="18"/>
                <w:szCs w:val="18"/>
              </w:rPr>
              <w:t>0.0</w:t>
            </w:r>
          </w:p>
        </w:tc>
        <w:tc>
          <w:tcPr>
            <w:tcW w:w="800" w:type="dxa"/>
            <w:noWrap/>
            <w:hideMark/>
          </w:tcPr>
          <w:p w14:paraId="4CCBBA80" w14:textId="77777777" w:rsidR="00813F0B" w:rsidRPr="000973F2" w:rsidRDefault="00813F0B" w:rsidP="004D0729">
            <w:pPr>
              <w:spacing w:before="30" w:after="3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hAnsi="Times New Roman" w:cs="Times New Roman"/>
                <w:sz w:val="18"/>
                <w:szCs w:val="18"/>
              </w:rPr>
              <w:t>0.0</w:t>
            </w:r>
          </w:p>
        </w:tc>
        <w:tc>
          <w:tcPr>
            <w:tcW w:w="800" w:type="dxa"/>
            <w:noWrap/>
            <w:hideMark/>
          </w:tcPr>
          <w:p w14:paraId="3EBEB0F8" w14:textId="77777777" w:rsidR="00813F0B" w:rsidRPr="000973F2" w:rsidRDefault="00813F0B" w:rsidP="004D0729">
            <w:pPr>
              <w:spacing w:before="30" w:after="3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hAnsi="Times New Roman" w:cs="Times New Roman"/>
                <w:sz w:val="18"/>
                <w:szCs w:val="18"/>
              </w:rPr>
              <w:t>0.0</w:t>
            </w:r>
          </w:p>
        </w:tc>
        <w:tc>
          <w:tcPr>
            <w:tcW w:w="801" w:type="dxa"/>
            <w:noWrap/>
            <w:hideMark/>
          </w:tcPr>
          <w:p w14:paraId="3497E639" w14:textId="77777777" w:rsidR="00813F0B" w:rsidRPr="000973F2" w:rsidRDefault="00813F0B" w:rsidP="004D0729">
            <w:pPr>
              <w:spacing w:before="30" w:after="3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hAnsi="Times New Roman" w:cs="Times New Roman"/>
                <w:sz w:val="18"/>
                <w:szCs w:val="18"/>
              </w:rPr>
              <w:t>1.0</w:t>
            </w:r>
          </w:p>
        </w:tc>
        <w:tc>
          <w:tcPr>
            <w:tcW w:w="800" w:type="dxa"/>
            <w:noWrap/>
            <w:hideMark/>
          </w:tcPr>
          <w:p w14:paraId="4267E12A" w14:textId="77777777" w:rsidR="00813F0B" w:rsidRPr="000973F2" w:rsidRDefault="00813F0B" w:rsidP="004D0729">
            <w:pPr>
              <w:spacing w:before="30" w:after="3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hAnsi="Times New Roman" w:cs="Times New Roman"/>
                <w:sz w:val="18"/>
                <w:szCs w:val="18"/>
              </w:rPr>
              <w:t>0.0</w:t>
            </w:r>
          </w:p>
        </w:tc>
        <w:tc>
          <w:tcPr>
            <w:tcW w:w="800" w:type="dxa"/>
            <w:noWrap/>
            <w:hideMark/>
          </w:tcPr>
          <w:p w14:paraId="2635D489" w14:textId="77777777" w:rsidR="00813F0B" w:rsidRPr="000973F2" w:rsidRDefault="00813F0B" w:rsidP="004D0729">
            <w:pPr>
              <w:tabs>
                <w:tab w:val="decimal" w:pos="226"/>
              </w:tabs>
              <w:spacing w:before="30" w:after="3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hAnsi="Times New Roman" w:cs="Times New Roman"/>
                <w:sz w:val="18"/>
                <w:szCs w:val="18"/>
              </w:rPr>
              <w:t>4.0</w:t>
            </w:r>
          </w:p>
        </w:tc>
        <w:tc>
          <w:tcPr>
            <w:tcW w:w="800" w:type="dxa"/>
            <w:noWrap/>
            <w:hideMark/>
          </w:tcPr>
          <w:p w14:paraId="7A276229" w14:textId="77777777" w:rsidR="00813F0B" w:rsidRPr="000973F2" w:rsidRDefault="00813F0B" w:rsidP="004D0729">
            <w:pPr>
              <w:spacing w:before="30" w:after="3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hAnsi="Times New Roman" w:cs="Times New Roman"/>
                <w:sz w:val="18"/>
                <w:szCs w:val="18"/>
              </w:rPr>
              <w:t>0.0</w:t>
            </w:r>
          </w:p>
        </w:tc>
        <w:tc>
          <w:tcPr>
            <w:tcW w:w="801" w:type="dxa"/>
            <w:noWrap/>
            <w:hideMark/>
          </w:tcPr>
          <w:p w14:paraId="53EDA94B" w14:textId="77777777" w:rsidR="00813F0B" w:rsidRPr="000973F2" w:rsidRDefault="00813F0B" w:rsidP="004D0729">
            <w:pPr>
              <w:spacing w:before="30" w:after="3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hAnsi="Times New Roman" w:cs="Times New Roman"/>
                <w:sz w:val="18"/>
                <w:szCs w:val="18"/>
              </w:rPr>
              <w:t>1.0</w:t>
            </w:r>
          </w:p>
        </w:tc>
        <w:tc>
          <w:tcPr>
            <w:tcW w:w="721" w:type="dxa"/>
            <w:noWrap/>
            <w:hideMark/>
          </w:tcPr>
          <w:p w14:paraId="5F847963" w14:textId="2C9E7845" w:rsidR="00813F0B" w:rsidRPr="000973F2" w:rsidRDefault="00813F0B" w:rsidP="004D0729">
            <w:pPr>
              <w:spacing w:before="30" w:after="3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hAnsi="Times New Roman" w:cs="Times New Roman"/>
                <w:sz w:val="18"/>
                <w:szCs w:val="18"/>
              </w:rPr>
              <w:t>$0</w:t>
            </w:r>
          </w:p>
        </w:tc>
        <w:tc>
          <w:tcPr>
            <w:tcW w:w="879" w:type="dxa"/>
            <w:noWrap/>
            <w:hideMark/>
          </w:tcPr>
          <w:p w14:paraId="7831AE51" w14:textId="5678B99E" w:rsidR="00813F0B" w:rsidRPr="000973F2" w:rsidRDefault="00813F0B" w:rsidP="004D0729">
            <w:pPr>
              <w:tabs>
                <w:tab w:val="decimal" w:pos="511"/>
              </w:tabs>
              <w:spacing w:before="30" w:after="3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hAnsi="Times New Roman" w:cs="Times New Roman"/>
                <w:sz w:val="18"/>
                <w:szCs w:val="18"/>
              </w:rPr>
              <w:t>$410</w:t>
            </w:r>
          </w:p>
        </w:tc>
      </w:tr>
      <w:tr w:rsidR="00AD5834" w:rsidRPr="000973F2" w14:paraId="40AED131" w14:textId="77777777" w:rsidTr="00A64939">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1328" w:type="dxa"/>
            <w:noWrap/>
            <w:hideMark/>
          </w:tcPr>
          <w:p w14:paraId="0C1B90CF" w14:textId="77777777" w:rsidR="00813F0B" w:rsidRPr="000973F2" w:rsidRDefault="00813F0B" w:rsidP="004D0729">
            <w:pPr>
              <w:spacing w:before="30" w:after="30"/>
              <w:rPr>
                <w:rFonts w:ascii="Times New Roman" w:eastAsia="Times New Roman" w:hAnsi="Times New Roman" w:cs="Times New Roman"/>
                <w:b/>
                <w:bCs w:val="0"/>
                <w:sz w:val="18"/>
                <w:szCs w:val="18"/>
              </w:rPr>
            </w:pPr>
            <w:r w:rsidRPr="000973F2">
              <w:rPr>
                <w:rFonts w:ascii="Times New Roman" w:eastAsia="Times New Roman" w:hAnsi="Times New Roman" w:cs="Times New Roman"/>
                <w:b/>
                <w:sz w:val="18"/>
                <w:szCs w:val="18"/>
              </w:rPr>
              <w:t>Total</w:t>
            </w:r>
          </w:p>
        </w:tc>
        <w:tc>
          <w:tcPr>
            <w:tcW w:w="800" w:type="dxa"/>
            <w:noWrap/>
            <w:hideMark/>
          </w:tcPr>
          <w:p w14:paraId="188F0D40" w14:textId="77777777" w:rsidR="00813F0B" w:rsidRPr="000973F2" w:rsidRDefault="00813F0B" w:rsidP="004D0729">
            <w:pPr>
              <w:spacing w:before="30" w:after="3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18"/>
                <w:szCs w:val="18"/>
              </w:rPr>
            </w:pPr>
            <w:r w:rsidRPr="000973F2">
              <w:rPr>
                <w:rFonts w:ascii="Times New Roman" w:hAnsi="Times New Roman" w:cs="Times New Roman"/>
                <w:b/>
                <w:bCs/>
                <w:sz w:val="18"/>
                <w:szCs w:val="18"/>
              </w:rPr>
              <w:t>0.0</w:t>
            </w:r>
          </w:p>
        </w:tc>
        <w:tc>
          <w:tcPr>
            <w:tcW w:w="800" w:type="dxa"/>
            <w:noWrap/>
            <w:hideMark/>
          </w:tcPr>
          <w:p w14:paraId="42FBFEA1" w14:textId="77777777" w:rsidR="00813F0B" w:rsidRPr="000973F2" w:rsidRDefault="00813F0B" w:rsidP="004D0729">
            <w:pPr>
              <w:spacing w:before="30" w:after="3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18"/>
                <w:szCs w:val="18"/>
              </w:rPr>
            </w:pPr>
            <w:r w:rsidRPr="000973F2">
              <w:rPr>
                <w:rFonts w:ascii="Times New Roman" w:hAnsi="Times New Roman" w:cs="Times New Roman"/>
                <w:b/>
                <w:bCs/>
                <w:sz w:val="18"/>
                <w:szCs w:val="18"/>
              </w:rPr>
              <w:t>1.0</w:t>
            </w:r>
          </w:p>
        </w:tc>
        <w:tc>
          <w:tcPr>
            <w:tcW w:w="800" w:type="dxa"/>
            <w:noWrap/>
            <w:hideMark/>
          </w:tcPr>
          <w:p w14:paraId="58645109" w14:textId="77777777" w:rsidR="00813F0B" w:rsidRPr="000973F2" w:rsidRDefault="00813F0B" w:rsidP="004D0729">
            <w:pPr>
              <w:spacing w:before="30" w:after="3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18"/>
                <w:szCs w:val="18"/>
              </w:rPr>
            </w:pPr>
            <w:r w:rsidRPr="000973F2">
              <w:rPr>
                <w:rFonts w:ascii="Times New Roman" w:hAnsi="Times New Roman" w:cs="Times New Roman"/>
                <w:b/>
                <w:bCs/>
                <w:sz w:val="18"/>
                <w:szCs w:val="18"/>
              </w:rPr>
              <w:t>0.0</w:t>
            </w:r>
          </w:p>
        </w:tc>
        <w:tc>
          <w:tcPr>
            <w:tcW w:w="801" w:type="dxa"/>
            <w:noWrap/>
            <w:hideMark/>
          </w:tcPr>
          <w:p w14:paraId="1B85AB5A" w14:textId="77777777" w:rsidR="00813F0B" w:rsidRPr="000973F2" w:rsidRDefault="00813F0B" w:rsidP="004D0729">
            <w:pPr>
              <w:spacing w:before="30" w:after="3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18"/>
                <w:szCs w:val="18"/>
              </w:rPr>
            </w:pPr>
            <w:r w:rsidRPr="000973F2">
              <w:rPr>
                <w:rFonts w:ascii="Times New Roman" w:hAnsi="Times New Roman" w:cs="Times New Roman"/>
                <w:b/>
                <w:bCs/>
                <w:sz w:val="18"/>
                <w:szCs w:val="18"/>
              </w:rPr>
              <w:t>5.2</w:t>
            </w:r>
          </w:p>
        </w:tc>
        <w:tc>
          <w:tcPr>
            <w:tcW w:w="800" w:type="dxa"/>
            <w:noWrap/>
            <w:hideMark/>
          </w:tcPr>
          <w:p w14:paraId="720B5071" w14:textId="77777777" w:rsidR="00813F0B" w:rsidRPr="000973F2" w:rsidRDefault="00813F0B" w:rsidP="004D0729">
            <w:pPr>
              <w:spacing w:before="30" w:after="3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18"/>
                <w:szCs w:val="18"/>
              </w:rPr>
            </w:pPr>
            <w:r w:rsidRPr="000973F2">
              <w:rPr>
                <w:rFonts w:ascii="Times New Roman" w:hAnsi="Times New Roman" w:cs="Times New Roman"/>
                <w:b/>
                <w:bCs/>
                <w:sz w:val="18"/>
                <w:szCs w:val="18"/>
              </w:rPr>
              <w:t>0.0</w:t>
            </w:r>
          </w:p>
        </w:tc>
        <w:tc>
          <w:tcPr>
            <w:tcW w:w="800" w:type="dxa"/>
            <w:noWrap/>
            <w:hideMark/>
          </w:tcPr>
          <w:p w14:paraId="3719FA75" w14:textId="77777777" w:rsidR="00813F0B" w:rsidRPr="000973F2" w:rsidRDefault="00813F0B" w:rsidP="004D0729">
            <w:pPr>
              <w:tabs>
                <w:tab w:val="decimal" w:pos="226"/>
              </w:tabs>
              <w:spacing w:before="30" w:after="3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18"/>
                <w:szCs w:val="18"/>
              </w:rPr>
            </w:pPr>
            <w:r w:rsidRPr="000973F2">
              <w:rPr>
                <w:rFonts w:ascii="Times New Roman" w:hAnsi="Times New Roman" w:cs="Times New Roman"/>
                <w:b/>
                <w:bCs/>
                <w:sz w:val="18"/>
                <w:szCs w:val="18"/>
              </w:rPr>
              <w:t>42.7</w:t>
            </w:r>
          </w:p>
        </w:tc>
        <w:tc>
          <w:tcPr>
            <w:tcW w:w="800" w:type="dxa"/>
            <w:noWrap/>
            <w:hideMark/>
          </w:tcPr>
          <w:p w14:paraId="7AAA3AA2" w14:textId="77777777" w:rsidR="00813F0B" w:rsidRPr="000973F2" w:rsidRDefault="00813F0B" w:rsidP="004D0729">
            <w:pPr>
              <w:spacing w:before="30" w:after="3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18"/>
                <w:szCs w:val="18"/>
              </w:rPr>
            </w:pPr>
            <w:r w:rsidRPr="000973F2">
              <w:rPr>
                <w:rFonts w:ascii="Times New Roman" w:hAnsi="Times New Roman" w:cs="Times New Roman"/>
                <w:b/>
                <w:bCs/>
                <w:sz w:val="18"/>
                <w:szCs w:val="18"/>
              </w:rPr>
              <w:t>0.0</w:t>
            </w:r>
          </w:p>
        </w:tc>
        <w:tc>
          <w:tcPr>
            <w:tcW w:w="801" w:type="dxa"/>
            <w:noWrap/>
            <w:hideMark/>
          </w:tcPr>
          <w:p w14:paraId="6F985AC6" w14:textId="77777777" w:rsidR="00813F0B" w:rsidRPr="000973F2" w:rsidRDefault="00813F0B" w:rsidP="004D0729">
            <w:pPr>
              <w:spacing w:before="30" w:after="3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18"/>
                <w:szCs w:val="18"/>
              </w:rPr>
            </w:pPr>
            <w:r w:rsidRPr="000973F2">
              <w:rPr>
                <w:rFonts w:ascii="Times New Roman" w:hAnsi="Times New Roman" w:cs="Times New Roman"/>
                <w:b/>
                <w:bCs/>
                <w:sz w:val="18"/>
                <w:szCs w:val="18"/>
              </w:rPr>
              <w:t>3.3</w:t>
            </w:r>
          </w:p>
        </w:tc>
        <w:tc>
          <w:tcPr>
            <w:tcW w:w="721" w:type="dxa"/>
            <w:noWrap/>
            <w:hideMark/>
          </w:tcPr>
          <w:p w14:paraId="42DF5CEF" w14:textId="7075D855" w:rsidR="00813F0B" w:rsidRPr="000973F2" w:rsidRDefault="00813F0B" w:rsidP="004D0729">
            <w:pPr>
              <w:spacing w:before="30" w:after="3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18"/>
                <w:szCs w:val="18"/>
              </w:rPr>
            </w:pPr>
            <w:r w:rsidRPr="000973F2">
              <w:rPr>
                <w:rFonts w:ascii="Times New Roman" w:hAnsi="Times New Roman" w:cs="Times New Roman"/>
                <w:b/>
                <w:bCs/>
                <w:sz w:val="18"/>
                <w:szCs w:val="18"/>
              </w:rPr>
              <w:t>$0</w:t>
            </w:r>
          </w:p>
        </w:tc>
        <w:tc>
          <w:tcPr>
            <w:tcW w:w="879" w:type="dxa"/>
            <w:noWrap/>
            <w:hideMark/>
          </w:tcPr>
          <w:p w14:paraId="0DFD122C" w14:textId="77777777" w:rsidR="00813F0B" w:rsidRPr="000973F2" w:rsidRDefault="00813F0B" w:rsidP="004D0729">
            <w:pPr>
              <w:tabs>
                <w:tab w:val="decimal" w:pos="511"/>
              </w:tabs>
              <w:spacing w:before="30" w:after="3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18"/>
                <w:szCs w:val="18"/>
              </w:rPr>
            </w:pPr>
            <w:r w:rsidRPr="000973F2">
              <w:rPr>
                <w:rFonts w:ascii="Times New Roman" w:hAnsi="Times New Roman" w:cs="Times New Roman"/>
                <w:b/>
                <w:bCs/>
                <w:sz w:val="18"/>
                <w:szCs w:val="18"/>
              </w:rPr>
              <w:t>$3,738</w:t>
            </w:r>
          </w:p>
        </w:tc>
      </w:tr>
    </w:tbl>
    <w:p w14:paraId="0D9C08EA" w14:textId="77777777" w:rsidR="00813F0B" w:rsidRPr="000973F2" w:rsidRDefault="00813F0B" w:rsidP="004D0729">
      <w:pPr>
        <w:pStyle w:val="AfterTable"/>
        <w:spacing w:after="120"/>
      </w:pPr>
    </w:p>
    <w:p w14:paraId="360EB0C1" w14:textId="7F83D719" w:rsidR="00813F0B" w:rsidRPr="000973F2" w:rsidRDefault="008854F6" w:rsidP="00A64939">
      <w:pPr>
        <w:pStyle w:val="Tabletitle"/>
      </w:pPr>
      <w:r w:rsidRPr="000973F2">
        <w:t xml:space="preserve">Table </w:t>
      </w:r>
      <w:r w:rsidR="00A64939" w:rsidRPr="000973F2">
        <w:t>N-</w:t>
      </w:r>
      <w:r w:rsidRPr="000973F2">
        <w:t xml:space="preserve">1c. Labor Costs </w:t>
      </w:r>
      <w:r w:rsidR="00A64939" w:rsidRPr="000973F2">
        <w:t>–</w:t>
      </w:r>
      <w:r w:rsidRPr="000973F2">
        <w:t xml:space="preserve"> </w:t>
      </w:r>
      <w:r w:rsidR="00813F0B" w:rsidRPr="000973F2">
        <w:t>Subpart N</w:t>
      </w:r>
      <w:r w:rsidRPr="000973F2">
        <w:t xml:space="preserve"> – </w:t>
      </w:r>
      <w:r w:rsidR="00813F0B" w:rsidRPr="000973F2">
        <w:t>Non-CEMS Default Mass Fraction Option</w:t>
      </w:r>
    </w:p>
    <w:tbl>
      <w:tblPr>
        <w:tblStyle w:val="PlainTable1"/>
        <w:tblW w:w="9293" w:type="dxa"/>
        <w:jc w:val="left"/>
        <w:tblLayout w:type="fixed"/>
        <w:tblLook w:val="04A0" w:firstRow="1" w:lastRow="0" w:firstColumn="1" w:lastColumn="0" w:noHBand="0" w:noVBand="1"/>
      </w:tblPr>
      <w:tblGrid>
        <w:gridCol w:w="1335"/>
        <w:gridCol w:w="798"/>
        <w:gridCol w:w="799"/>
        <w:gridCol w:w="799"/>
        <w:gridCol w:w="799"/>
        <w:gridCol w:w="798"/>
        <w:gridCol w:w="799"/>
        <w:gridCol w:w="799"/>
        <w:gridCol w:w="799"/>
        <w:gridCol w:w="784"/>
        <w:gridCol w:w="784"/>
      </w:tblGrid>
      <w:tr w:rsidR="00813F0B" w:rsidRPr="000973F2" w14:paraId="63366D40" w14:textId="77777777" w:rsidTr="004D0729">
        <w:trPr>
          <w:cnfStyle w:val="100000000000" w:firstRow="1" w:lastRow="0" w:firstColumn="0" w:lastColumn="0" w:oddVBand="0" w:evenVBand="0" w:oddHBand="0" w:evenHBand="0" w:firstRowFirstColumn="0" w:firstRowLastColumn="0" w:lastRowFirstColumn="0" w:lastRowLastColumn="0"/>
          <w:trHeight w:val="257"/>
          <w:jc w:val="left"/>
        </w:trPr>
        <w:tc>
          <w:tcPr>
            <w:cnfStyle w:val="001000000000" w:firstRow="0" w:lastRow="0" w:firstColumn="1" w:lastColumn="0" w:oddVBand="0" w:evenVBand="0" w:oddHBand="0" w:evenHBand="0" w:firstRowFirstColumn="0" w:firstRowLastColumn="0" w:lastRowFirstColumn="0" w:lastRowLastColumn="0"/>
            <w:tcW w:w="1335" w:type="dxa"/>
            <w:vMerge w:val="restart"/>
            <w:noWrap/>
            <w:vAlign w:val="top"/>
            <w:hideMark/>
          </w:tcPr>
          <w:p w14:paraId="6C9FBB58" w14:textId="77777777" w:rsidR="00813F0B" w:rsidRPr="000973F2" w:rsidRDefault="00813F0B" w:rsidP="004D0729">
            <w:pPr>
              <w:spacing w:before="30" w:after="30"/>
              <w:rPr>
                <w:rFonts w:ascii="Times New Roman" w:eastAsia="Times New Roman" w:hAnsi="Times New Roman" w:cs="Times New Roman"/>
                <w:b w:val="0"/>
                <w:bCs w:val="0"/>
                <w:sz w:val="18"/>
                <w:szCs w:val="18"/>
              </w:rPr>
            </w:pPr>
            <w:r w:rsidRPr="000973F2">
              <w:rPr>
                <w:rFonts w:ascii="Times New Roman" w:eastAsia="Times New Roman" w:hAnsi="Times New Roman" w:cs="Times New Roman"/>
                <w:sz w:val="18"/>
                <w:szCs w:val="18"/>
              </w:rPr>
              <w:t>Activity</w:t>
            </w:r>
          </w:p>
        </w:tc>
        <w:tc>
          <w:tcPr>
            <w:tcW w:w="6390" w:type="dxa"/>
            <w:gridSpan w:val="8"/>
            <w:noWrap/>
            <w:vAlign w:val="top"/>
            <w:hideMark/>
          </w:tcPr>
          <w:p w14:paraId="46E31A00" w14:textId="77777777" w:rsidR="00813F0B" w:rsidRPr="000973F2" w:rsidRDefault="00813F0B" w:rsidP="004D0729">
            <w:pPr>
              <w:spacing w:before="30" w:after="30"/>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bCs w:val="0"/>
                <w:sz w:val="18"/>
                <w:szCs w:val="18"/>
              </w:rPr>
            </w:pPr>
            <w:r w:rsidRPr="000973F2">
              <w:rPr>
                <w:rFonts w:ascii="Times New Roman" w:eastAsia="Times New Roman" w:hAnsi="Times New Roman" w:cs="Times New Roman"/>
                <w:sz w:val="18"/>
                <w:szCs w:val="18"/>
              </w:rPr>
              <w:t>Labor Rates (per hour)</w:t>
            </w:r>
          </w:p>
        </w:tc>
        <w:tc>
          <w:tcPr>
            <w:tcW w:w="1568" w:type="dxa"/>
            <w:gridSpan w:val="2"/>
            <w:vMerge w:val="restart"/>
            <w:vAlign w:val="top"/>
            <w:hideMark/>
          </w:tcPr>
          <w:p w14:paraId="110AB7B6" w14:textId="3D42799A" w:rsidR="00813F0B" w:rsidRPr="000973F2" w:rsidRDefault="00813F0B" w:rsidP="004D0729">
            <w:pPr>
              <w:spacing w:before="30" w:after="30"/>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bCs w:val="0"/>
                <w:sz w:val="18"/>
                <w:szCs w:val="18"/>
              </w:rPr>
            </w:pPr>
            <w:r w:rsidRPr="000973F2">
              <w:rPr>
                <w:rFonts w:ascii="Times New Roman" w:eastAsia="Times New Roman" w:hAnsi="Times New Roman" w:cs="Times New Roman"/>
                <w:sz w:val="18"/>
                <w:szCs w:val="18"/>
              </w:rPr>
              <w:t>Total Labor Cost per Year per Facility</w:t>
            </w:r>
            <w:r w:rsidR="004D0729" w:rsidRPr="000973F2">
              <w:rPr>
                <w:rFonts w:ascii="Times New Roman" w:eastAsia="Times New Roman" w:hAnsi="Times New Roman" w:cs="Times New Roman"/>
                <w:sz w:val="18"/>
                <w:szCs w:val="18"/>
              </w:rPr>
              <w:t xml:space="preserve"> </w:t>
            </w:r>
            <w:r w:rsidRPr="000973F2">
              <w:rPr>
                <w:rFonts w:ascii="Times New Roman" w:eastAsia="Times New Roman" w:hAnsi="Times New Roman" w:cs="Times New Roman"/>
                <w:sz w:val="18"/>
                <w:szCs w:val="18"/>
              </w:rPr>
              <w:t>(2017$)</w:t>
            </w:r>
          </w:p>
        </w:tc>
      </w:tr>
      <w:tr w:rsidR="00813F0B" w:rsidRPr="000973F2" w14:paraId="62F25FD4" w14:textId="77777777" w:rsidTr="004D0729">
        <w:trPr>
          <w:cnfStyle w:val="000000100000" w:firstRow="0" w:lastRow="0" w:firstColumn="0" w:lastColumn="0" w:oddVBand="0" w:evenVBand="0" w:oddHBand="1" w:evenHBand="0" w:firstRowFirstColumn="0" w:firstRowLastColumn="0" w:lastRowFirstColumn="0" w:lastRowLastColumn="0"/>
          <w:trHeight w:val="283"/>
        </w:trPr>
        <w:tc>
          <w:tcPr>
            <w:cnfStyle w:val="001000000000" w:firstRow="0" w:lastRow="0" w:firstColumn="1" w:lastColumn="0" w:oddVBand="0" w:evenVBand="0" w:oddHBand="0" w:evenHBand="0" w:firstRowFirstColumn="0" w:firstRowLastColumn="0" w:lastRowFirstColumn="0" w:lastRowLastColumn="0"/>
            <w:tcW w:w="1335" w:type="dxa"/>
            <w:vMerge/>
            <w:hideMark/>
          </w:tcPr>
          <w:p w14:paraId="3A0A0991" w14:textId="77777777" w:rsidR="00813F0B" w:rsidRPr="000973F2" w:rsidRDefault="00813F0B" w:rsidP="004D0729">
            <w:pPr>
              <w:spacing w:before="30" w:after="30"/>
              <w:rPr>
                <w:rFonts w:ascii="Times New Roman" w:eastAsia="Times New Roman" w:hAnsi="Times New Roman" w:cs="Times New Roman"/>
                <w:b/>
                <w:bCs w:val="0"/>
                <w:sz w:val="18"/>
                <w:szCs w:val="18"/>
              </w:rPr>
            </w:pPr>
          </w:p>
        </w:tc>
        <w:tc>
          <w:tcPr>
            <w:tcW w:w="1597" w:type="dxa"/>
            <w:gridSpan w:val="2"/>
            <w:noWrap/>
            <w:hideMark/>
          </w:tcPr>
          <w:p w14:paraId="2E1DC6EF" w14:textId="77777777" w:rsidR="00813F0B" w:rsidRPr="000973F2" w:rsidRDefault="00813F0B" w:rsidP="004D0729">
            <w:pPr>
              <w:spacing w:before="30" w:after="3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18"/>
                <w:szCs w:val="18"/>
              </w:rPr>
            </w:pPr>
            <w:r w:rsidRPr="000973F2">
              <w:rPr>
                <w:rFonts w:ascii="Times New Roman" w:eastAsia="Times New Roman" w:hAnsi="Times New Roman" w:cs="Times New Roman"/>
                <w:b/>
                <w:bCs/>
                <w:sz w:val="18"/>
                <w:szCs w:val="18"/>
              </w:rPr>
              <w:t>Lawyer</w:t>
            </w:r>
          </w:p>
        </w:tc>
        <w:tc>
          <w:tcPr>
            <w:tcW w:w="1598" w:type="dxa"/>
            <w:gridSpan w:val="2"/>
            <w:noWrap/>
            <w:hideMark/>
          </w:tcPr>
          <w:p w14:paraId="47658EB3" w14:textId="77777777" w:rsidR="00813F0B" w:rsidRPr="000973F2" w:rsidRDefault="00813F0B" w:rsidP="004D0729">
            <w:pPr>
              <w:spacing w:before="30" w:after="3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18"/>
                <w:szCs w:val="18"/>
              </w:rPr>
            </w:pPr>
            <w:r w:rsidRPr="000973F2">
              <w:rPr>
                <w:rFonts w:ascii="Times New Roman" w:eastAsia="Times New Roman" w:hAnsi="Times New Roman" w:cs="Times New Roman"/>
                <w:b/>
                <w:bCs/>
                <w:sz w:val="18"/>
                <w:szCs w:val="18"/>
              </w:rPr>
              <w:t>Industrial Manager</w:t>
            </w:r>
          </w:p>
        </w:tc>
        <w:tc>
          <w:tcPr>
            <w:tcW w:w="1597" w:type="dxa"/>
            <w:gridSpan w:val="2"/>
            <w:hideMark/>
          </w:tcPr>
          <w:p w14:paraId="548FE8E4" w14:textId="17F7906A" w:rsidR="00813F0B" w:rsidRPr="000973F2" w:rsidRDefault="00813F0B" w:rsidP="004D0729">
            <w:pPr>
              <w:spacing w:before="30" w:after="3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18"/>
                <w:szCs w:val="18"/>
              </w:rPr>
            </w:pPr>
            <w:r w:rsidRPr="000973F2">
              <w:rPr>
                <w:rFonts w:ascii="Times New Roman" w:eastAsia="Times New Roman" w:hAnsi="Times New Roman" w:cs="Times New Roman"/>
                <w:b/>
                <w:bCs/>
                <w:sz w:val="18"/>
                <w:szCs w:val="18"/>
              </w:rPr>
              <w:t>Industrial Engineer/</w:t>
            </w:r>
            <w:r w:rsidR="004D0729" w:rsidRPr="000973F2">
              <w:rPr>
                <w:rFonts w:ascii="Times New Roman" w:eastAsia="Times New Roman" w:hAnsi="Times New Roman" w:cs="Times New Roman"/>
                <w:b/>
                <w:bCs/>
                <w:sz w:val="18"/>
                <w:szCs w:val="18"/>
              </w:rPr>
              <w:t xml:space="preserve"> </w:t>
            </w:r>
            <w:r w:rsidRPr="000973F2">
              <w:rPr>
                <w:rFonts w:ascii="Times New Roman" w:eastAsia="Times New Roman" w:hAnsi="Times New Roman" w:cs="Times New Roman"/>
                <w:b/>
                <w:bCs/>
                <w:sz w:val="18"/>
                <w:szCs w:val="18"/>
              </w:rPr>
              <w:t>Technician</w:t>
            </w:r>
          </w:p>
        </w:tc>
        <w:tc>
          <w:tcPr>
            <w:tcW w:w="1598" w:type="dxa"/>
            <w:gridSpan w:val="2"/>
            <w:hideMark/>
          </w:tcPr>
          <w:p w14:paraId="2FE65BF4" w14:textId="77777777" w:rsidR="00813F0B" w:rsidRPr="000973F2" w:rsidRDefault="00813F0B" w:rsidP="004D0729">
            <w:pPr>
              <w:spacing w:before="30" w:after="3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18"/>
                <w:szCs w:val="18"/>
              </w:rPr>
            </w:pPr>
            <w:r w:rsidRPr="000973F2">
              <w:rPr>
                <w:rFonts w:ascii="Times New Roman" w:eastAsia="Times New Roman" w:hAnsi="Times New Roman" w:cs="Times New Roman"/>
                <w:b/>
                <w:bCs/>
                <w:sz w:val="18"/>
                <w:szCs w:val="18"/>
              </w:rPr>
              <w:t>Administrative Support</w:t>
            </w:r>
          </w:p>
        </w:tc>
        <w:tc>
          <w:tcPr>
            <w:tcW w:w="1568" w:type="dxa"/>
            <w:gridSpan w:val="2"/>
            <w:vMerge/>
            <w:hideMark/>
          </w:tcPr>
          <w:p w14:paraId="33627369" w14:textId="77777777" w:rsidR="00813F0B" w:rsidRPr="000973F2" w:rsidRDefault="00813F0B" w:rsidP="004D0729">
            <w:pPr>
              <w:spacing w:before="30" w:after="3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18"/>
                <w:szCs w:val="18"/>
              </w:rPr>
            </w:pPr>
          </w:p>
        </w:tc>
      </w:tr>
      <w:tr w:rsidR="00813F0B" w:rsidRPr="000973F2" w14:paraId="40D73D28" w14:textId="77777777" w:rsidTr="004D0729">
        <w:trPr>
          <w:trHeight w:val="32"/>
        </w:trPr>
        <w:tc>
          <w:tcPr>
            <w:cnfStyle w:val="001000000000" w:firstRow="0" w:lastRow="0" w:firstColumn="1" w:lastColumn="0" w:oddVBand="0" w:evenVBand="0" w:oddHBand="0" w:evenHBand="0" w:firstRowFirstColumn="0" w:firstRowLastColumn="0" w:lastRowFirstColumn="0" w:lastRowLastColumn="0"/>
            <w:tcW w:w="1335" w:type="dxa"/>
            <w:vMerge/>
            <w:hideMark/>
          </w:tcPr>
          <w:p w14:paraId="07533C4F" w14:textId="77777777" w:rsidR="00813F0B" w:rsidRPr="000973F2" w:rsidRDefault="00813F0B" w:rsidP="004D0729">
            <w:pPr>
              <w:spacing w:before="30" w:after="30"/>
              <w:rPr>
                <w:rFonts w:ascii="Times New Roman" w:eastAsia="Times New Roman" w:hAnsi="Times New Roman" w:cs="Times New Roman"/>
                <w:b/>
                <w:bCs w:val="0"/>
                <w:sz w:val="18"/>
                <w:szCs w:val="18"/>
              </w:rPr>
            </w:pPr>
          </w:p>
        </w:tc>
        <w:tc>
          <w:tcPr>
            <w:tcW w:w="1597" w:type="dxa"/>
            <w:gridSpan w:val="2"/>
            <w:noWrap/>
            <w:hideMark/>
          </w:tcPr>
          <w:p w14:paraId="1F3D5295" w14:textId="77777777" w:rsidR="00813F0B" w:rsidRPr="000973F2" w:rsidRDefault="00813F0B" w:rsidP="004D0729">
            <w:pPr>
              <w:spacing w:before="30" w:after="3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sz w:val="18"/>
                <w:szCs w:val="18"/>
              </w:rPr>
            </w:pPr>
            <w:r w:rsidRPr="000973F2">
              <w:rPr>
                <w:rFonts w:ascii="Times New Roman" w:eastAsia="Times New Roman" w:hAnsi="Times New Roman" w:cs="Times New Roman"/>
                <w:b/>
                <w:bCs/>
                <w:sz w:val="18"/>
                <w:szCs w:val="18"/>
              </w:rPr>
              <w:t xml:space="preserve">$112.23 </w:t>
            </w:r>
          </w:p>
        </w:tc>
        <w:tc>
          <w:tcPr>
            <w:tcW w:w="1598" w:type="dxa"/>
            <w:gridSpan w:val="2"/>
            <w:noWrap/>
            <w:hideMark/>
          </w:tcPr>
          <w:p w14:paraId="0E95D43B" w14:textId="77777777" w:rsidR="00813F0B" w:rsidRPr="000973F2" w:rsidRDefault="00813F0B" w:rsidP="004D0729">
            <w:pPr>
              <w:spacing w:before="30" w:after="3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sz w:val="18"/>
                <w:szCs w:val="18"/>
              </w:rPr>
            </w:pPr>
            <w:r w:rsidRPr="000973F2">
              <w:rPr>
                <w:rFonts w:ascii="Times New Roman" w:eastAsia="Times New Roman" w:hAnsi="Times New Roman" w:cs="Times New Roman"/>
                <w:b/>
                <w:bCs/>
                <w:sz w:val="18"/>
                <w:szCs w:val="18"/>
              </w:rPr>
              <w:t xml:space="preserve">$87.45 </w:t>
            </w:r>
          </w:p>
        </w:tc>
        <w:tc>
          <w:tcPr>
            <w:tcW w:w="1597" w:type="dxa"/>
            <w:gridSpan w:val="2"/>
            <w:noWrap/>
            <w:hideMark/>
          </w:tcPr>
          <w:p w14:paraId="24FB9475" w14:textId="77777777" w:rsidR="00813F0B" w:rsidRPr="000973F2" w:rsidRDefault="00813F0B" w:rsidP="004D0729">
            <w:pPr>
              <w:spacing w:before="30" w:after="3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sz w:val="18"/>
                <w:szCs w:val="18"/>
              </w:rPr>
            </w:pPr>
            <w:r w:rsidRPr="000973F2">
              <w:rPr>
                <w:rFonts w:ascii="Times New Roman" w:eastAsia="Times New Roman" w:hAnsi="Times New Roman" w:cs="Times New Roman"/>
                <w:b/>
                <w:bCs/>
                <w:sz w:val="18"/>
                <w:szCs w:val="18"/>
              </w:rPr>
              <w:t xml:space="preserve">$71.45 </w:t>
            </w:r>
          </w:p>
        </w:tc>
        <w:tc>
          <w:tcPr>
            <w:tcW w:w="1598" w:type="dxa"/>
            <w:gridSpan w:val="2"/>
            <w:noWrap/>
            <w:hideMark/>
          </w:tcPr>
          <w:p w14:paraId="627B08BF" w14:textId="77777777" w:rsidR="00813F0B" w:rsidRPr="000973F2" w:rsidRDefault="00813F0B" w:rsidP="004D0729">
            <w:pPr>
              <w:spacing w:before="30" w:after="3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sz w:val="18"/>
                <w:szCs w:val="18"/>
              </w:rPr>
            </w:pPr>
            <w:r w:rsidRPr="000973F2">
              <w:rPr>
                <w:rFonts w:ascii="Times New Roman" w:eastAsia="Times New Roman" w:hAnsi="Times New Roman" w:cs="Times New Roman"/>
                <w:b/>
                <w:bCs/>
                <w:sz w:val="18"/>
                <w:szCs w:val="18"/>
              </w:rPr>
              <w:t xml:space="preserve">$36.28 </w:t>
            </w:r>
          </w:p>
        </w:tc>
        <w:tc>
          <w:tcPr>
            <w:tcW w:w="1568" w:type="dxa"/>
            <w:gridSpan w:val="2"/>
            <w:vMerge/>
            <w:hideMark/>
          </w:tcPr>
          <w:p w14:paraId="250B62BA" w14:textId="77777777" w:rsidR="00813F0B" w:rsidRPr="000973F2" w:rsidRDefault="00813F0B" w:rsidP="004D0729">
            <w:pPr>
              <w:spacing w:before="30" w:after="3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sz w:val="18"/>
                <w:szCs w:val="18"/>
              </w:rPr>
            </w:pPr>
          </w:p>
        </w:tc>
      </w:tr>
      <w:tr w:rsidR="00813F0B" w:rsidRPr="000973F2" w14:paraId="433AF806" w14:textId="77777777" w:rsidTr="004D0729">
        <w:trPr>
          <w:cnfStyle w:val="000000100000" w:firstRow="0" w:lastRow="0" w:firstColumn="0" w:lastColumn="0" w:oddVBand="0" w:evenVBand="0" w:oddHBand="1" w:evenHBand="0" w:firstRowFirstColumn="0" w:firstRowLastColumn="0" w:lastRowFirstColumn="0" w:lastRowLastColumn="0"/>
          <w:trHeight w:val="472"/>
        </w:trPr>
        <w:tc>
          <w:tcPr>
            <w:cnfStyle w:val="001000000000" w:firstRow="0" w:lastRow="0" w:firstColumn="1" w:lastColumn="0" w:oddVBand="0" w:evenVBand="0" w:oddHBand="0" w:evenHBand="0" w:firstRowFirstColumn="0" w:firstRowLastColumn="0" w:lastRowFirstColumn="0" w:lastRowLastColumn="0"/>
            <w:tcW w:w="1335" w:type="dxa"/>
            <w:vMerge/>
            <w:hideMark/>
          </w:tcPr>
          <w:p w14:paraId="1C51FB3B" w14:textId="77777777" w:rsidR="00813F0B" w:rsidRPr="000973F2" w:rsidRDefault="00813F0B" w:rsidP="004D0729">
            <w:pPr>
              <w:spacing w:before="30" w:after="30"/>
              <w:rPr>
                <w:rFonts w:ascii="Times New Roman" w:eastAsia="Times New Roman" w:hAnsi="Times New Roman" w:cs="Times New Roman"/>
                <w:b/>
                <w:bCs w:val="0"/>
                <w:sz w:val="18"/>
                <w:szCs w:val="18"/>
              </w:rPr>
            </w:pPr>
          </w:p>
        </w:tc>
        <w:tc>
          <w:tcPr>
            <w:tcW w:w="798" w:type="dxa"/>
            <w:tcMar>
              <w:left w:w="14" w:type="dxa"/>
              <w:right w:w="14" w:type="dxa"/>
            </w:tcMar>
            <w:hideMark/>
          </w:tcPr>
          <w:p w14:paraId="2B8DD86E" w14:textId="75449E80" w:rsidR="00813F0B" w:rsidRPr="000973F2" w:rsidRDefault="00813F0B" w:rsidP="004D0729">
            <w:pPr>
              <w:spacing w:before="30" w:after="3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18"/>
                <w:szCs w:val="18"/>
              </w:rPr>
            </w:pPr>
            <w:r w:rsidRPr="000973F2">
              <w:rPr>
                <w:rFonts w:ascii="Times New Roman" w:eastAsia="Times New Roman" w:hAnsi="Times New Roman" w:cs="Times New Roman"/>
                <w:b/>
                <w:bCs/>
                <w:sz w:val="18"/>
                <w:szCs w:val="18"/>
              </w:rPr>
              <w:t xml:space="preserve">Initial </w:t>
            </w:r>
            <w:r w:rsidR="00132320" w:rsidRPr="000973F2">
              <w:rPr>
                <w:rFonts w:ascii="Times New Roman" w:eastAsia="Times New Roman" w:hAnsi="Times New Roman" w:cs="Times New Roman"/>
                <w:b/>
                <w:bCs/>
                <w:sz w:val="18"/>
                <w:szCs w:val="18"/>
              </w:rPr>
              <w:t>Year Hours</w:t>
            </w:r>
          </w:p>
        </w:tc>
        <w:tc>
          <w:tcPr>
            <w:tcW w:w="799" w:type="dxa"/>
            <w:tcMar>
              <w:left w:w="14" w:type="dxa"/>
              <w:right w:w="14" w:type="dxa"/>
            </w:tcMar>
            <w:hideMark/>
          </w:tcPr>
          <w:p w14:paraId="7BB4C9D3" w14:textId="77777777" w:rsidR="00813F0B" w:rsidRPr="000973F2" w:rsidRDefault="00813F0B" w:rsidP="004D0729">
            <w:pPr>
              <w:spacing w:before="30" w:after="3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18"/>
                <w:szCs w:val="18"/>
              </w:rPr>
            </w:pPr>
            <w:r w:rsidRPr="000973F2">
              <w:rPr>
                <w:rFonts w:ascii="Times New Roman" w:eastAsia="Times New Roman" w:hAnsi="Times New Roman" w:cs="Times New Roman"/>
                <w:b/>
                <w:bCs/>
                <w:sz w:val="18"/>
                <w:szCs w:val="18"/>
              </w:rPr>
              <w:t>Subseq. Year Hours</w:t>
            </w:r>
          </w:p>
        </w:tc>
        <w:tc>
          <w:tcPr>
            <w:tcW w:w="799" w:type="dxa"/>
            <w:tcMar>
              <w:left w:w="14" w:type="dxa"/>
              <w:right w:w="14" w:type="dxa"/>
            </w:tcMar>
            <w:hideMark/>
          </w:tcPr>
          <w:p w14:paraId="2B198FB4" w14:textId="5A664CCF" w:rsidR="00813F0B" w:rsidRPr="000973F2" w:rsidRDefault="00813F0B" w:rsidP="004D0729">
            <w:pPr>
              <w:spacing w:before="30" w:after="3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18"/>
                <w:szCs w:val="18"/>
              </w:rPr>
            </w:pPr>
            <w:r w:rsidRPr="000973F2">
              <w:rPr>
                <w:rFonts w:ascii="Times New Roman" w:eastAsia="Times New Roman" w:hAnsi="Times New Roman" w:cs="Times New Roman"/>
                <w:b/>
                <w:bCs/>
                <w:sz w:val="18"/>
                <w:szCs w:val="18"/>
              </w:rPr>
              <w:t xml:space="preserve">Initial </w:t>
            </w:r>
            <w:r w:rsidR="00132320" w:rsidRPr="000973F2">
              <w:rPr>
                <w:rFonts w:ascii="Times New Roman" w:eastAsia="Times New Roman" w:hAnsi="Times New Roman" w:cs="Times New Roman"/>
                <w:b/>
                <w:bCs/>
                <w:sz w:val="18"/>
                <w:szCs w:val="18"/>
              </w:rPr>
              <w:t>Year Hours</w:t>
            </w:r>
          </w:p>
        </w:tc>
        <w:tc>
          <w:tcPr>
            <w:tcW w:w="799" w:type="dxa"/>
            <w:tcMar>
              <w:left w:w="14" w:type="dxa"/>
              <w:right w:w="14" w:type="dxa"/>
            </w:tcMar>
            <w:hideMark/>
          </w:tcPr>
          <w:p w14:paraId="0EAAADBB" w14:textId="77777777" w:rsidR="00813F0B" w:rsidRPr="000973F2" w:rsidRDefault="00813F0B" w:rsidP="004D0729">
            <w:pPr>
              <w:spacing w:before="30" w:after="3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18"/>
                <w:szCs w:val="18"/>
              </w:rPr>
            </w:pPr>
            <w:r w:rsidRPr="000973F2">
              <w:rPr>
                <w:rFonts w:ascii="Times New Roman" w:eastAsia="Times New Roman" w:hAnsi="Times New Roman" w:cs="Times New Roman"/>
                <w:b/>
                <w:bCs/>
                <w:sz w:val="18"/>
                <w:szCs w:val="18"/>
              </w:rPr>
              <w:t>Subseq. Year Hours</w:t>
            </w:r>
          </w:p>
        </w:tc>
        <w:tc>
          <w:tcPr>
            <w:tcW w:w="798" w:type="dxa"/>
            <w:tcMar>
              <w:left w:w="14" w:type="dxa"/>
              <w:right w:w="14" w:type="dxa"/>
            </w:tcMar>
            <w:hideMark/>
          </w:tcPr>
          <w:p w14:paraId="1F577DF4" w14:textId="32E1D0A8" w:rsidR="00813F0B" w:rsidRPr="000973F2" w:rsidRDefault="00813F0B" w:rsidP="004D0729">
            <w:pPr>
              <w:spacing w:before="30" w:after="3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18"/>
                <w:szCs w:val="18"/>
              </w:rPr>
            </w:pPr>
            <w:r w:rsidRPr="000973F2">
              <w:rPr>
                <w:rFonts w:ascii="Times New Roman" w:eastAsia="Times New Roman" w:hAnsi="Times New Roman" w:cs="Times New Roman"/>
                <w:b/>
                <w:bCs/>
                <w:sz w:val="18"/>
                <w:szCs w:val="18"/>
              </w:rPr>
              <w:t xml:space="preserve">Initial </w:t>
            </w:r>
            <w:r w:rsidR="00132320" w:rsidRPr="000973F2">
              <w:rPr>
                <w:rFonts w:ascii="Times New Roman" w:eastAsia="Times New Roman" w:hAnsi="Times New Roman" w:cs="Times New Roman"/>
                <w:b/>
                <w:bCs/>
                <w:sz w:val="18"/>
                <w:szCs w:val="18"/>
              </w:rPr>
              <w:t>Year Hours</w:t>
            </w:r>
          </w:p>
        </w:tc>
        <w:tc>
          <w:tcPr>
            <w:tcW w:w="799" w:type="dxa"/>
            <w:tcMar>
              <w:left w:w="14" w:type="dxa"/>
              <w:right w:w="14" w:type="dxa"/>
            </w:tcMar>
            <w:hideMark/>
          </w:tcPr>
          <w:p w14:paraId="7A87C072" w14:textId="77777777" w:rsidR="00813F0B" w:rsidRPr="000973F2" w:rsidRDefault="00813F0B" w:rsidP="004D0729">
            <w:pPr>
              <w:spacing w:before="30" w:after="3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18"/>
                <w:szCs w:val="18"/>
              </w:rPr>
            </w:pPr>
            <w:r w:rsidRPr="000973F2">
              <w:rPr>
                <w:rFonts w:ascii="Times New Roman" w:eastAsia="Times New Roman" w:hAnsi="Times New Roman" w:cs="Times New Roman"/>
                <w:b/>
                <w:bCs/>
                <w:sz w:val="18"/>
                <w:szCs w:val="18"/>
              </w:rPr>
              <w:t>Subseq. Year Hours</w:t>
            </w:r>
          </w:p>
        </w:tc>
        <w:tc>
          <w:tcPr>
            <w:tcW w:w="799" w:type="dxa"/>
            <w:tcMar>
              <w:left w:w="14" w:type="dxa"/>
              <w:right w:w="14" w:type="dxa"/>
            </w:tcMar>
            <w:hideMark/>
          </w:tcPr>
          <w:p w14:paraId="17835739" w14:textId="76B05B54" w:rsidR="00813F0B" w:rsidRPr="000973F2" w:rsidRDefault="00813F0B" w:rsidP="004D0729">
            <w:pPr>
              <w:spacing w:before="30" w:after="3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18"/>
                <w:szCs w:val="18"/>
              </w:rPr>
            </w:pPr>
            <w:r w:rsidRPr="000973F2">
              <w:rPr>
                <w:rFonts w:ascii="Times New Roman" w:eastAsia="Times New Roman" w:hAnsi="Times New Roman" w:cs="Times New Roman"/>
                <w:b/>
                <w:bCs/>
                <w:sz w:val="18"/>
                <w:szCs w:val="18"/>
              </w:rPr>
              <w:t xml:space="preserve">Initial </w:t>
            </w:r>
            <w:r w:rsidR="00132320" w:rsidRPr="000973F2">
              <w:rPr>
                <w:rFonts w:ascii="Times New Roman" w:eastAsia="Times New Roman" w:hAnsi="Times New Roman" w:cs="Times New Roman"/>
                <w:b/>
                <w:bCs/>
                <w:sz w:val="18"/>
                <w:szCs w:val="18"/>
              </w:rPr>
              <w:t>Year Hours</w:t>
            </w:r>
          </w:p>
        </w:tc>
        <w:tc>
          <w:tcPr>
            <w:tcW w:w="799" w:type="dxa"/>
            <w:tcMar>
              <w:left w:w="14" w:type="dxa"/>
              <w:right w:w="14" w:type="dxa"/>
            </w:tcMar>
            <w:hideMark/>
          </w:tcPr>
          <w:p w14:paraId="24B5E180" w14:textId="77777777" w:rsidR="00813F0B" w:rsidRPr="000973F2" w:rsidRDefault="00813F0B" w:rsidP="004D0729">
            <w:pPr>
              <w:spacing w:before="30" w:after="3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18"/>
                <w:szCs w:val="18"/>
              </w:rPr>
            </w:pPr>
            <w:r w:rsidRPr="000973F2">
              <w:rPr>
                <w:rFonts w:ascii="Times New Roman" w:eastAsia="Times New Roman" w:hAnsi="Times New Roman" w:cs="Times New Roman"/>
                <w:b/>
                <w:bCs/>
                <w:sz w:val="18"/>
                <w:szCs w:val="18"/>
              </w:rPr>
              <w:t>Subseq. Year Hours</w:t>
            </w:r>
          </w:p>
        </w:tc>
        <w:tc>
          <w:tcPr>
            <w:tcW w:w="784" w:type="dxa"/>
            <w:tcMar>
              <w:left w:w="14" w:type="dxa"/>
              <w:right w:w="14" w:type="dxa"/>
            </w:tcMar>
            <w:hideMark/>
          </w:tcPr>
          <w:p w14:paraId="7098C363" w14:textId="77777777" w:rsidR="00813F0B" w:rsidRPr="000973F2" w:rsidRDefault="00813F0B" w:rsidP="004D0729">
            <w:pPr>
              <w:spacing w:before="30" w:after="3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18"/>
                <w:szCs w:val="18"/>
              </w:rPr>
            </w:pPr>
            <w:r w:rsidRPr="000973F2">
              <w:rPr>
                <w:rFonts w:ascii="Times New Roman" w:eastAsia="Times New Roman" w:hAnsi="Times New Roman" w:cs="Times New Roman"/>
                <w:b/>
                <w:bCs/>
                <w:sz w:val="18"/>
                <w:szCs w:val="18"/>
              </w:rPr>
              <w:t>Initial Year</w:t>
            </w:r>
          </w:p>
        </w:tc>
        <w:tc>
          <w:tcPr>
            <w:tcW w:w="784" w:type="dxa"/>
            <w:tcMar>
              <w:left w:w="14" w:type="dxa"/>
              <w:right w:w="14" w:type="dxa"/>
            </w:tcMar>
            <w:hideMark/>
          </w:tcPr>
          <w:p w14:paraId="2F8CAFA4" w14:textId="77777777" w:rsidR="00813F0B" w:rsidRPr="000973F2" w:rsidRDefault="00813F0B" w:rsidP="004D0729">
            <w:pPr>
              <w:spacing w:before="30" w:after="3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18"/>
                <w:szCs w:val="18"/>
              </w:rPr>
            </w:pPr>
            <w:r w:rsidRPr="000973F2">
              <w:rPr>
                <w:rFonts w:ascii="Times New Roman" w:eastAsia="Times New Roman" w:hAnsi="Times New Roman" w:cs="Times New Roman"/>
                <w:b/>
                <w:bCs/>
                <w:sz w:val="18"/>
                <w:szCs w:val="18"/>
              </w:rPr>
              <w:t>Subseq. Year</w:t>
            </w:r>
          </w:p>
        </w:tc>
      </w:tr>
      <w:tr w:rsidR="00813F0B" w:rsidRPr="000973F2" w14:paraId="362DE0DE" w14:textId="77777777" w:rsidTr="004D0729">
        <w:trPr>
          <w:trHeight w:val="272"/>
        </w:trPr>
        <w:tc>
          <w:tcPr>
            <w:cnfStyle w:val="001000000000" w:firstRow="0" w:lastRow="0" w:firstColumn="1" w:lastColumn="0" w:oddVBand="0" w:evenVBand="0" w:oddHBand="0" w:evenHBand="0" w:firstRowFirstColumn="0" w:firstRowLastColumn="0" w:lastRowFirstColumn="0" w:lastRowLastColumn="0"/>
            <w:tcW w:w="1335" w:type="dxa"/>
            <w:tcMar>
              <w:left w:w="115" w:type="dxa"/>
              <w:right w:w="14" w:type="dxa"/>
            </w:tcMar>
            <w:hideMark/>
          </w:tcPr>
          <w:p w14:paraId="4849E907" w14:textId="77777777" w:rsidR="00813F0B" w:rsidRPr="000973F2" w:rsidRDefault="00813F0B" w:rsidP="004D0729">
            <w:pPr>
              <w:spacing w:before="30" w:after="3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Planning</w:t>
            </w:r>
          </w:p>
        </w:tc>
        <w:tc>
          <w:tcPr>
            <w:tcW w:w="798" w:type="dxa"/>
            <w:noWrap/>
            <w:hideMark/>
          </w:tcPr>
          <w:p w14:paraId="567D8C21" w14:textId="77777777" w:rsidR="00813F0B" w:rsidRPr="000973F2" w:rsidRDefault="00813F0B" w:rsidP="004D0729">
            <w:pPr>
              <w:spacing w:before="30" w:after="3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hAnsi="Times New Roman" w:cs="Times New Roman"/>
                <w:sz w:val="18"/>
                <w:szCs w:val="18"/>
              </w:rPr>
              <w:t>1.0</w:t>
            </w:r>
          </w:p>
        </w:tc>
        <w:tc>
          <w:tcPr>
            <w:tcW w:w="799" w:type="dxa"/>
            <w:noWrap/>
            <w:hideMark/>
          </w:tcPr>
          <w:p w14:paraId="2975BEFB" w14:textId="77777777" w:rsidR="00813F0B" w:rsidRPr="000973F2" w:rsidRDefault="00813F0B" w:rsidP="004D0729">
            <w:pPr>
              <w:spacing w:before="30" w:after="3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hAnsi="Times New Roman" w:cs="Times New Roman"/>
                <w:sz w:val="18"/>
                <w:szCs w:val="18"/>
              </w:rPr>
              <w:t>1.0</w:t>
            </w:r>
          </w:p>
        </w:tc>
        <w:tc>
          <w:tcPr>
            <w:tcW w:w="799" w:type="dxa"/>
            <w:noWrap/>
            <w:hideMark/>
          </w:tcPr>
          <w:p w14:paraId="252C79BA" w14:textId="77777777" w:rsidR="00813F0B" w:rsidRPr="000973F2" w:rsidRDefault="00813F0B" w:rsidP="004D0729">
            <w:pPr>
              <w:spacing w:before="30" w:after="3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hAnsi="Times New Roman" w:cs="Times New Roman"/>
                <w:sz w:val="18"/>
                <w:szCs w:val="18"/>
              </w:rPr>
              <w:t>0.4</w:t>
            </w:r>
          </w:p>
        </w:tc>
        <w:tc>
          <w:tcPr>
            <w:tcW w:w="799" w:type="dxa"/>
            <w:noWrap/>
            <w:hideMark/>
          </w:tcPr>
          <w:p w14:paraId="3646A68B" w14:textId="77777777" w:rsidR="00813F0B" w:rsidRPr="000973F2" w:rsidRDefault="00813F0B" w:rsidP="004D0729">
            <w:pPr>
              <w:spacing w:before="30" w:after="3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hAnsi="Times New Roman" w:cs="Times New Roman"/>
                <w:sz w:val="18"/>
                <w:szCs w:val="18"/>
              </w:rPr>
              <w:t>0.4</w:t>
            </w:r>
          </w:p>
        </w:tc>
        <w:tc>
          <w:tcPr>
            <w:tcW w:w="798" w:type="dxa"/>
            <w:noWrap/>
            <w:hideMark/>
          </w:tcPr>
          <w:p w14:paraId="4F6FF165" w14:textId="77777777" w:rsidR="00813F0B" w:rsidRPr="000973F2" w:rsidRDefault="00813F0B" w:rsidP="004D0729">
            <w:pPr>
              <w:tabs>
                <w:tab w:val="decimal" w:pos="286"/>
              </w:tabs>
              <w:spacing w:before="30" w:after="3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hAnsi="Times New Roman" w:cs="Times New Roman"/>
                <w:sz w:val="18"/>
                <w:szCs w:val="18"/>
              </w:rPr>
              <w:t>3.8</w:t>
            </w:r>
          </w:p>
        </w:tc>
        <w:tc>
          <w:tcPr>
            <w:tcW w:w="799" w:type="dxa"/>
            <w:noWrap/>
            <w:hideMark/>
          </w:tcPr>
          <w:p w14:paraId="148C93CC" w14:textId="77777777" w:rsidR="00813F0B" w:rsidRPr="000973F2" w:rsidRDefault="00813F0B" w:rsidP="004D0729">
            <w:pPr>
              <w:tabs>
                <w:tab w:val="decimal" w:pos="286"/>
              </w:tabs>
              <w:spacing w:before="30" w:after="3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hAnsi="Times New Roman" w:cs="Times New Roman"/>
                <w:sz w:val="18"/>
                <w:szCs w:val="18"/>
              </w:rPr>
              <w:t>3.8</w:t>
            </w:r>
          </w:p>
        </w:tc>
        <w:tc>
          <w:tcPr>
            <w:tcW w:w="799" w:type="dxa"/>
            <w:noWrap/>
            <w:hideMark/>
          </w:tcPr>
          <w:p w14:paraId="700EC65C" w14:textId="77777777" w:rsidR="00813F0B" w:rsidRPr="000973F2" w:rsidRDefault="00813F0B" w:rsidP="004D0729">
            <w:pPr>
              <w:tabs>
                <w:tab w:val="decimal" w:pos="286"/>
              </w:tabs>
              <w:spacing w:before="30" w:after="3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hAnsi="Times New Roman" w:cs="Times New Roman"/>
                <w:sz w:val="18"/>
                <w:szCs w:val="18"/>
              </w:rPr>
              <w:t>0.2</w:t>
            </w:r>
          </w:p>
        </w:tc>
        <w:tc>
          <w:tcPr>
            <w:tcW w:w="799" w:type="dxa"/>
            <w:noWrap/>
            <w:hideMark/>
          </w:tcPr>
          <w:p w14:paraId="01DC9BAE" w14:textId="77777777" w:rsidR="00813F0B" w:rsidRPr="000973F2" w:rsidRDefault="00813F0B" w:rsidP="004D0729">
            <w:pPr>
              <w:tabs>
                <w:tab w:val="decimal" w:pos="286"/>
              </w:tabs>
              <w:spacing w:before="30" w:after="3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hAnsi="Times New Roman" w:cs="Times New Roman"/>
                <w:sz w:val="18"/>
                <w:szCs w:val="18"/>
              </w:rPr>
              <w:t>0.2</w:t>
            </w:r>
          </w:p>
        </w:tc>
        <w:tc>
          <w:tcPr>
            <w:tcW w:w="784" w:type="dxa"/>
            <w:noWrap/>
            <w:hideMark/>
          </w:tcPr>
          <w:p w14:paraId="074D1730" w14:textId="77777777" w:rsidR="00813F0B" w:rsidRPr="000973F2" w:rsidRDefault="00813F0B" w:rsidP="004D0729">
            <w:pPr>
              <w:tabs>
                <w:tab w:val="decimal" w:pos="526"/>
              </w:tabs>
              <w:spacing w:before="30" w:after="3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hAnsi="Times New Roman" w:cs="Times New Roman"/>
                <w:sz w:val="18"/>
                <w:szCs w:val="18"/>
              </w:rPr>
              <w:t>$424</w:t>
            </w:r>
          </w:p>
        </w:tc>
        <w:tc>
          <w:tcPr>
            <w:tcW w:w="784" w:type="dxa"/>
            <w:noWrap/>
            <w:hideMark/>
          </w:tcPr>
          <w:p w14:paraId="337F5007" w14:textId="77777777" w:rsidR="00813F0B" w:rsidRPr="000973F2" w:rsidRDefault="00813F0B" w:rsidP="004D0729">
            <w:pPr>
              <w:tabs>
                <w:tab w:val="decimal" w:pos="526"/>
              </w:tabs>
              <w:spacing w:before="30" w:after="3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hAnsi="Times New Roman" w:cs="Times New Roman"/>
                <w:sz w:val="18"/>
                <w:szCs w:val="18"/>
              </w:rPr>
              <w:t>$424</w:t>
            </w:r>
          </w:p>
        </w:tc>
      </w:tr>
      <w:tr w:rsidR="00813F0B" w:rsidRPr="000973F2" w14:paraId="505FEF2F" w14:textId="77777777" w:rsidTr="004D0729">
        <w:trPr>
          <w:cnfStyle w:val="000000100000" w:firstRow="0" w:lastRow="0" w:firstColumn="0" w:lastColumn="0" w:oddVBand="0" w:evenVBand="0" w:oddHBand="1" w:evenHBand="0" w:firstRowFirstColumn="0" w:firstRowLastColumn="0" w:lastRowFirstColumn="0" w:lastRowLastColumn="0"/>
          <w:trHeight w:val="272"/>
        </w:trPr>
        <w:tc>
          <w:tcPr>
            <w:cnfStyle w:val="001000000000" w:firstRow="0" w:lastRow="0" w:firstColumn="1" w:lastColumn="0" w:oddVBand="0" w:evenVBand="0" w:oddHBand="0" w:evenHBand="0" w:firstRowFirstColumn="0" w:firstRowLastColumn="0" w:lastRowFirstColumn="0" w:lastRowLastColumn="0"/>
            <w:tcW w:w="1335" w:type="dxa"/>
            <w:tcMar>
              <w:left w:w="115" w:type="dxa"/>
              <w:right w:w="14" w:type="dxa"/>
            </w:tcMar>
            <w:hideMark/>
          </w:tcPr>
          <w:p w14:paraId="1918886B" w14:textId="77777777" w:rsidR="00813F0B" w:rsidRPr="000973F2" w:rsidRDefault="00813F0B" w:rsidP="004D0729">
            <w:pPr>
              <w:spacing w:before="30" w:after="3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QA/QC</w:t>
            </w:r>
          </w:p>
        </w:tc>
        <w:tc>
          <w:tcPr>
            <w:tcW w:w="798" w:type="dxa"/>
            <w:noWrap/>
            <w:hideMark/>
          </w:tcPr>
          <w:p w14:paraId="5D3631E8" w14:textId="77777777" w:rsidR="00813F0B" w:rsidRPr="000973F2" w:rsidRDefault="00813F0B" w:rsidP="004D0729">
            <w:pPr>
              <w:spacing w:before="30" w:after="3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hAnsi="Times New Roman" w:cs="Times New Roman"/>
                <w:sz w:val="18"/>
                <w:szCs w:val="18"/>
              </w:rPr>
              <w:t>0.0</w:t>
            </w:r>
          </w:p>
        </w:tc>
        <w:tc>
          <w:tcPr>
            <w:tcW w:w="799" w:type="dxa"/>
            <w:noWrap/>
            <w:hideMark/>
          </w:tcPr>
          <w:p w14:paraId="0325849A" w14:textId="77777777" w:rsidR="00813F0B" w:rsidRPr="000973F2" w:rsidRDefault="00813F0B" w:rsidP="004D0729">
            <w:pPr>
              <w:spacing w:before="30" w:after="3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hAnsi="Times New Roman" w:cs="Times New Roman"/>
                <w:sz w:val="18"/>
                <w:szCs w:val="18"/>
              </w:rPr>
              <w:t>0.0</w:t>
            </w:r>
          </w:p>
        </w:tc>
        <w:tc>
          <w:tcPr>
            <w:tcW w:w="799" w:type="dxa"/>
            <w:noWrap/>
            <w:hideMark/>
          </w:tcPr>
          <w:p w14:paraId="515CA9F6" w14:textId="3BE8F310" w:rsidR="00813F0B" w:rsidRPr="000973F2" w:rsidRDefault="00885B9F" w:rsidP="004D0729">
            <w:pPr>
              <w:spacing w:before="30" w:after="3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hAnsi="Times New Roman" w:cs="Times New Roman"/>
                <w:sz w:val="18"/>
                <w:szCs w:val="18"/>
              </w:rPr>
              <w:t>0.2</w:t>
            </w:r>
          </w:p>
        </w:tc>
        <w:tc>
          <w:tcPr>
            <w:tcW w:w="799" w:type="dxa"/>
            <w:noWrap/>
            <w:hideMark/>
          </w:tcPr>
          <w:p w14:paraId="6AF12E0A" w14:textId="72C186F3" w:rsidR="00813F0B" w:rsidRPr="000973F2" w:rsidRDefault="00885B9F" w:rsidP="004D0729">
            <w:pPr>
              <w:spacing w:before="30" w:after="3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hAnsi="Times New Roman" w:cs="Times New Roman"/>
                <w:sz w:val="18"/>
                <w:szCs w:val="18"/>
              </w:rPr>
              <w:t>0.2</w:t>
            </w:r>
          </w:p>
        </w:tc>
        <w:tc>
          <w:tcPr>
            <w:tcW w:w="798" w:type="dxa"/>
            <w:noWrap/>
            <w:hideMark/>
          </w:tcPr>
          <w:p w14:paraId="41802726" w14:textId="056305D4" w:rsidR="00813F0B" w:rsidRPr="000973F2" w:rsidRDefault="00885B9F" w:rsidP="004D0729">
            <w:pPr>
              <w:tabs>
                <w:tab w:val="decimal" w:pos="286"/>
              </w:tabs>
              <w:spacing w:before="30" w:after="3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hAnsi="Times New Roman" w:cs="Times New Roman"/>
                <w:sz w:val="18"/>
                <w:szCs w:val="18"/>
              </w:rPr>
              <w:t>2.3</w:t>
            </w:r>
          </w:p>
        </w:tc>
        <w:tc>
          <w:tcPr>
            <w:tcW w:w="799" w:type="dxa"/>
            <w:noWrap/>
            <w:hideMark/>
          </w:tcPr>
          <w:p w14:paraId="6C6ABDD6" w14:textId="42E338B5" w:rsidR="00813F0B" w:rsidRPr="000973F2" w:rsidRDefault="00885B9F" w:rsidP="004D0729">
            <w:pPr>
              <w:tabs>
                <w:tab w:val="decimal" w:pos="286"/>
              </w:tabs>
              <w:spacing w:before="30" w:after="3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hAnsi="Times New Roman" w:cs="Times New Roman"/>
                <w:sz w:val="18"/>
                <w:szCs w:val="18"/>
              </w:rPr>
              <w:t>2.3</w:t>
            </w:r>
          </w:p>
        </w:tc>
        <w:tc>
          <w:tcPr>
            <w:tcW w:w="799" w:type="dxa"/>
            <w:noWrap/>
            <w:hideMark/>
          </w:tcPr>
          <w:p w14:paraId="56019D32" w14:textId="2203556B" w:rsidR="00813F0B" w:rsidRPr="000973F2" w:rsidRDefault="00813F0B" w:rsidP="004D0729">
            <w:pPr>
              <w:tabs>
                <w:tab w:val="decimal" w:pos="286"/>
              </w:tabs>
              <w:spacing w:before="30" w:after="3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hAnsi="Times New Roman" w:cs="Times New Roman"/>
                <w:sz w:val="18"/>
                <w:szCs w:val="18"/>
              </w:rPr>
              <w:t>0.</w:t>
            </w:r>
            <w:r w:rsidR="00885B9F" w:rsidRPr="000973F2">
              <w:rPr>
                <w:rFonts w:ascii="Times New Roman" w:hAnsi="Times New Roman" w:cs="Times New Roman"/>
                <w:sz w:val="18"/>
                <w:szCs w:val="18"/>
              </w:rPr>
              <w:t>1</w:t>
            </w:r>
          </w:p>
        </w:tc>
        <w:tc>
          <w:tcPr>
            <w:tcW w:w="799" w:type="dxa"/>
            <w:noWrap/>
            <w:hideMark/>
          </w:tcPr>
          <w:p w14:paraId="16F87B15" w14:textId="74F09F4B" w:rsidR="00813F0B" w:rsidRPr="000973F2" w:rsidRDefault="00813F0B" w:rsidP="004D0729">
            <w:pPr>
              <w:tabs>
                <w:tab w:val="decimal" w:pos="286"/>
              </w:tabs>
              <w:spacing w:before="30" w:after="3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hAnsi="Times New Roman" w:cs="Times New Roman"/>
                <w:sz w:val="18"/>
                <w:szCs w:val="18"/>
              </w:rPr>
              <w:t>0</w:t>
            </w:r>
            <w:r w:rsidR="008B39AE" w:rsidRPr="000973F2">
              <w:rPr>
                <w:rFonts w:ascii="Times New Roman" w:hAnsi="Times New Roman" w:cs="Times New Roman"/>
                <w:sz w:val="18"/>
                <w:szCs w:val="18"/>
              </w:rPr>
              <w:t>.1</w:t>
            </w:r>
          </w:p>
        </w:tc>
        <w:tc>
          <w:tcPr>
            <w:tcW w:w="784" w:type="dxa"/>
            <w:noWrap/>
            <w:hideMark/>
          </w:tcPr>
          <w:p w14:paraId="55968807" w14:textId="2E9FA500" w:rsidR="00813F0B" w:rsidRPr="000973F2" w:rsidRDefault="00813F0B" w:rsidP="004D0729">
            <w:pPr>
              <w:tabs>
                <w:tab w:val="decimal" w:pos="526"/>
              </w:tabs>
              <w:spacing w:before="30" w:after="3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hAnsi="Times New Roman" w:cs="Times New Roman"/>
                <w:sz w:val="18"/>
                <w:szCs w:val="18"/>
              </w:rPr>
              <w:t>$</w:t>
            </w:r>
            <w:r w:rsidR="008B39AE" w:rsidRPr="000973F2">
              <w:rPr>
                <w:rFonts w:ascii="Times New Roman" w:hAnsi="Times New Roman" w:cs="Times New Roman"/>
                <w:sz w:val="18"/>
                <w:szCs w:val="18"/>
              </w:rPr>
              <w:t>187</w:t>
            </w:r>
          </w:p>
        </w:tc>
        <w:tc>
          <w:tcPr>
            <w:tcW w:w="784" w:type="dxa"/>
            <w:noWrap/>
            <w:hideMark/>
          </w:tcPr>
          <w:p w14:paraId="0AED659D" w14:textId="3D89B52F" w:rsidR="00813F0B" w:rsidRPr="000973F2" w:rsidRDefault="00813F0B" w:rsidP="004D0729">
            <w:pPr>
              <w:tabs>
                <w:tab w:val="decimal" w:pos="526"/>
              </w:tabs>
              <w:spacing w:before="30" w:after="3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hAnsi="Times New Roman" w:cs="Times New Roman"/>
                <w:sz w:val="18"/>
                <w:szCs w:val="18"/>
              </w:rPr>
              <w:t>$</w:t>
            </w:r>
            <w:r w:rsidR="008B39AE" w:rsidRPr="000973F2">
              <w:rPr>
                <w:rFonts w:ascii="Times New Roman" w:hAnsi="Times New Roman" w:cs="Times New Roman"/>
                <w:sz w:val="18"/>
                <w:szCs w:val="18"/>
              </w:rPr>
              <w:t>187</w:t>
            </w:r>
          </w:p>
        </w:tc>
      </w:tr>
      <w:tr w:rsidR="00813F0B" w:rsidRPr="000973F2" w14:paraId="6ED95368" w14:textId="77777777" w:rsidTr="004D0729">
        <w:trPr>
          <w:trHeight w:val="283"/>
        </w:trPr>
        <w:tc>
          <w:tcPr>
            <w:cnfStyle w:val="001000000000" w:firstRow="0" w:lastRow="0" w:firstColumn="1" w:lastColumn="0" w:oddVBand="0" w:evenVBand="0" w:oddHBand="0" w:evenHBand="0" w:firstRowFirstColumn="0" w:firstRowLastColumn="0" w:lastRowFirstColumn="0" w:lastRowLastColumn="0"/>
            <w:tcW w:w="1335" w:type="dxa"/>
            <w:tcMar>
              <w:left w:w="115" w:type="dxa"/>
              <w:right w:w="14" w:type="dxa"/>
            </w:tcMar>
            <w:hideMark/>
          </w:tcPr>
          <w:p w14:paraId="0B67ABEE" w14:textId="77777777" w:rsidR="00813F0B" w:rsidRPr="000973F2" w:rsidRDefault="00813F0B" w:rsidP="004D0729">
            <w:pPr>
              <w:spacing w:before="30" w:after="3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Recordkeeping</w:t>
            </w:r>
          </w:p>
        </w:tc>
        <w:tc>
          <w:tcPr>
            <w:tcW w:w="798" w:type="dxa"/>
            <w:noWrap/>
            <w:hideMark/>
          </w:tcPr>
          <w:p w14:paraId="233B7260" w14:textId="77777777" w:rsidR="00813F0B" w:rsidRPr="000973F2" w:rsidRDefault="00813F0B" w:rsidP="004D0729">
            <w:pPr>
              <w:spacing w:before="30" w:after="3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hAnsi="Times New Roman" w:cs="Times New Roman"/>
                <w:sz w:val="18"/>
                <w:szCs w:val="18"/>
              </w:rPr>
              <w:t>0.0</w:t>
            </w:r>
          </w:p>
        </w:tc>
        <w:tc>
          <w:tcPr>
            <w:tcW w:w="799" w:type="dxa"/>
            <w:noWrap/>
            <w:hideMark/>
          </w:tcPr>
          <w:p w14:paraId="3A9F8718" w14:textId="77777777" w:rsidR="00813F0B" w:rsidRPr="000973F2" w:rsidRDefault="00813F0B" w:rsidP="004D0729">
            <w:pPr>
              <w:spacing w:before="30" w:after="3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hAnsi="Times New Roman" w:cs="Times New Roman"/>
                <w:sz w:val="18"/>
                <w:szCs w:val="18"/>
              </w:rPr>
              <w:t>0.0</w:t>
            </w:r>
          </w:p>
        </w:tc>
        <w:tc>
          <w:tcPr>
            <w:tcW w:w="799" w:type="dxa"/>
            <w:noWrap/>
            <w:hideMark/>
          </w:tcPr>
          <w:p w14:paraId="150E82BB" w14:textId="77777777" w:rsidR="00813F0B" w:rsidRPr="000973F2" w:rsidRDefault="00813F0B" w:rsidP="004D0729">
            <w:pPr>
              <w:spacing w:before="30" w:after="3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hAnsi="Times New Roman" w:cs="Times New Roman"/>
                <w:sz w:val="18"/>
                <w:szCs w:val="18"/>
              </w:rPr>
              <w:t>0.5</w:t>
            </w:r>
          </w:p>
        </w:tc>
        <w:tc>
          <w:tcPr>
            <w:tcW w:w="799" w:type="dxa"/>
            <w:noWrap/>
            <w:hideMark/>
          </w:tcPr>
          <w:p w14:paraId="68B9FFB2" w14:textId="77777777" w:rsidR="00813F0B" w:rsidRPr="000973F2" w:rsidRDefault="00813F0B" w:rsidP="004D0729">
            <w:pPr>
              <w:spacing w:before="30" w:after="3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hAnsi="Times New Roman" w:cs="Times New Roman"/>
                <w:sz w:val="18"/>
                <w:szCs w:val="18"/>
              </w:rPr>
              <w:t>0.5</w:t>
            </w:r>
          </w:p>
        </w:tc>
        <w:tc>
          <w:tcPr>
            <w:tcW w:w="798" w:type="dxa"/>
            <w:noWrap/>
            <w:hideMark/>
          </w:tcPr>
          <w:p w14:paraId="42933F9B" w14:textId="77777777" w:rsidR="00813F0B" w:rsidRPr="000973F2" w:rsidRDefault="00813F0B" w:rsidP="004D0729">
            <w:pPr>
              <w:tabs>
                <w:tab w:val="decimal" w:pos="286"/>
              </w:tabs>
              <w:spacing w:before="30" w:after="3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hAnsi="Times New Roman" w:cs="Times New Roman"/>
                <w:sz w:val="18"/>
                <w:szCs w:val="18"/>
              </w:rPr>
              <w:t>2.0</w:t>
            </w:r>
          </w:p>
        </w:tc>
        <w:tc>
          <w:tcPr>
            <w:tcW w:w="799" w:type="dxa"/>
            <w:noWrap/>
            <w:hideMark/>
          </w:tcPr>
          <w:p w14:paraId="25FC0563" w14:textId="77777777" w:rsidR="00813F0B" w:rsidRPr="000973F2" w:rsidRDefault="00813F0B" w:rsidP="004D0729">
            <w:pPr>
              <w:tabs>
                <w:tab w:val="decimal" w:pos="286"/>
              </w:tabs>
              <w:spacing w:before="30" w:after="3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hAnsi="Times New Roman" w:cs="Times New Roman"/>
                <w:sz w:val="18"/>
                <w:szCs w:val="18"/>
              </w:rPr>
              <w:t>2.0</w:t>
            </w:r>
          </w:p>
        </w:tc>
        <w:tc>
          <w:tcPr>
            <w:tcW w:w="799" w:type="dxa"/>
            <w:noWrap/>
            <w:hideMark/>
          </w:tcPr>
          <w:p w14:paraId="506765E7" w14:textId="77777777" w:rsidR="00813F0B" w:rsidRPr="000973F2" w:rsidRDefault="00813F0B" w:rsidP="004D0729">
            <w:pPr>
              <w:tabs>
                <w:tab w:val="decimal" w:pos="286"/>
              </w:tabs>
              <w:spacing w:before="30" w:after="3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hAnsi="Times New Roman" w:cs="Times New Roman"/>
                <w:sz w:val="18"/>
                <w:szCs w:val="18"/>
              </w:rPr>
              <w:t>0.5</w:t>
            </w:r>
          </w:p>
        </w:tc>
        <w:tc>
          <w:tcPr>
            <w:tcW w:w="799" w:type="dxa"/>
            <w:noWrap/>
            <w:hideMark/>
          </w:tcPr>
          <w:p w14:paraId="29BD3EF0" w14:textId="77777777" w:rsidR="00813F0B" w:rsidRPr="000973F2" w:rsidRDefault="00813F0B" w:rsidP="004D0729">
            <w:pPr>
              <w:tabs>
                <w:tab w:val="decimal" w:pos="286"/>
              </w:tabs>
              <w:spacing w:before="30" w:after="3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hAnsi="Times New Roman" w:cs="Times New Roman"/>
                <w:sz w:val="18"/>
                <w:szCs w:val="18"/>
              </w:rPr>
              <w:t>0.5</w:t>
            </w:r>
          </w:p>
        </w:tc>
        <w:tc>
          <w:tcPr>
            <w:tcW w:w="784" w:type="dxa"/>
            <w:noWrap/>
            <w:hideMark/>
          </w:tcPr>
          <w:p w14:paraId="5C2445DE" w14:textId="54A3047E" w:rsidR="00813F0B" w:rsidRPr="000973F2" w:rsidRDefault="00813F0B" w:rsidP="004D0729">
            <w:pPr>
              <w:tabs>
                <w:tab w:val="decimal" w:pos="526"/>
              </w:tabs>
              <w:spacing w:before="30" w:after="3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hAnsi="Times New Roman" w:cs="Times New Roman"/>
                <w:sz w:val="18"/>
                <w:szCs w:val="18"/>
              </w:rPr>
              <w:t>$205</w:t>
            </w:r>
          </w:p>
        </w:tc>
        <w:tc>
          <w:tcPr>
            <w:tcW w:w="784" w:type="dxa"/>
            <w:noWrap/>
            <w:hideMark/>
          </w:tcPr>
          <w:p w14:paraId="769936D4" w14:textId="0CF04379" w:rsidR="00813F0B" w:rsidRPr="000973F2" w:rsidRDefault="00813F0B" w:rsidP="004D0729">
            <w:pPr>
              <w:tabs>
                <w:tab w:val="decimal" w:pos="526"/>
              </w:tabs>
              <w:spacing w:before="30" w:after="3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hAnsi="Times New Roman" w:cs="Times New Roman"/>
                <w:sz w:val="18"/>
                <w:szCs w:val="18"/>
              </w:rPr>
              <w:t>$205</w:t>
            </w:r>
          </w:p>
        </w:tc>
      </w:tr>
      <w:tr w:rsidR="00813F0B" w:rsidRPr="000973F2" w14:paraId="745CC536" w14:textId="77777777" w:rsidTr="004D0729">
        <w:trPr>
          <w:cnfStyle w:val="000000100000" w:firstRow="0" w:lastRow="0" w:firstColumn="0" w:lastColumn="0" w:oddVBand="0" w:evenVBand="0" w:oddHBand="1" w:evenHBand="0" w:firstRowFirstColumn="0" w:firstRowLastColumn="0" w:lastRowFirstColumn="0" w:lastRowLastColumn="0"/>
          <w:trHeight w:val="688"/>
        </w:trPr>
        <w:tc>
          <w:tcPr>
            <w:cnfStyle w:val="001000000000" w:firstRow="0" w:lastRow="0" w:firstColumn="1" w:lastColumn="0" w:oddVBand="0" w:evenVBand="0" w:oddHBand="0" w:evenHBand="0" w:firstRowFirstColumn="0" w:firstRowLastColumn="0" w:lastRowFirstColumn="0" w:lastRowLastColumn="0"/>
            <w:tcW w:w="1335" w:type="dxa"/>
            <w:tcMar>
              <w:left w:w="115" w:type="dxa"/>
              <w:right w:w="14" w:type="dxa"/>
            </w:tcMar>
            <w:hideMark/>
          </w:tcPr>
          <w:p w14:paraId="2261A84E" w14:textId="77777777" w:rsidR="00813F0B" w:rsidRPr="000973F2" w:rsidRDefault="00813F0B" w:rsidP="004D0729">
            <w:pPr>
              <w:spacing w:before="30" w:after="3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Sampling and Analysis (Calculations)</w:t>
            </w:r>
          </w:p>
        </w:tc>
        <w:tc>
          <w:tcPr>
            <w:tcW w:w="798" w:type="dxa"/>
            <w:noWrap/>
            <w:hideMark/>
          </w:tcPr>
          <w:p w14:paraId="178284FE" w14:textId="77777777" w:rsidR="00813F0B" w:rsidRPr="000973F2" w:rsidRDefault="00813F0B" w:rsidP="004D0729">
            <w:pPr>
              <w:spacing w:before="30" w:after="3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hAnsi="Times New Roman" w:cs="Times New Roman"/>
                <w:sz w:val="18"/>
                <w:szCs w:val="18"/>
              </w:rPr>
              <w:t>0.0</w:t>
            </w:r>
          </w:p>
        </w:tc>
        <w:tc>
          <w:tcPr>
            <w:tcW w:w="799" w:type="dxa"/>
            <w:noWrap/>
            <w:hideMark/>
          </w:tcPr>
          <w:p w14:paraId="0534B0C9" w14:textId="77777777" w:rsidR="00813F0B" w:rsidRPr="000973F2" w:rsidRDefault="00813F0B" w:rsidP="004D0729">
            <w:pPr>
              <w:spacing w:before="30" w:after="3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hAnsi="Times New Roman" w:cs="Times New Roman"/>
                <w:sz w:val="18"/>
                <w:szCs w:val="18"/>
              </w:rPr>
              <w:t>0.0</w:t>
            </w:r>
          </w:p>
        </w:tc>
        <w:tc>
          <w:tcPr>
            <w:tcW w:w="799" w:type="dxa"/>
            <w:noWrap/>
            <w:hideMark/>
          </w:tcPr>
          <w:p w14:paraId="516EBE73" w14:textId="77777777" w:rsidR="00813F0B" w:rsidRPr="000973F2" w:rsidRDefault="00813F0B" w:rsidP="004D0729">
            <w:pPr>
              <w:spacing w:before="30" w:after="3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hAnsi="Times New Roman" w:cs="Times New Roman"/>
                <w:sz w:val="18"/>
                <w:szCs w:val="18"/>
              </w:rPr>
              <w:t>2.7</w:t>
            </w:r>
          </w:p>
        </w:tc>
        <w:tc>
          <w:tcPr>
            <w:tcW w:w="799" w:type="dxa"/>
            <w:noWrap/>
            <w:hideMark/>
          </w:tcPr>
          <w:p w14:paraId="208D1ACB" w14:textId="77777777" w:rsidR="00813F0B" w:rsidRPr="000973F2" w:rsidRDefault="00813F0B" w:rsidP="004D0729">
            <w:pPr>
              <w:spacing w:before="30" w:after="3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hAnsi="Times New Roman" w:cs="Times New Roman"/>
                <w:sz w:val="18"/>
                <w:szCs w:val="18"/>
              </w:rPr>
              <w:t>2.7</w:t>
            </w:r>
          </w:p>
        </w:tc>
        <w:tc>
          <w:tcPr>
            <w:tcW w:w="798" w:type="dxa"/>
            <w:noWrap/>
            <w:hideMark/>
          </w:tcPr>
          <w:p w14:paraId="6049AF7E" w14:textId="77777777" w:rsidR="00813F0B" w:rsidRPr="000973F2" w:rsidRDefault="00813F0B" w:rsidP="004D0729">
            <w:pPr>
              <w:tabs>
                <w:tab w:val="decimal" w:pos="286"/>
              </w:tabs>
              <w:spacing w:before="30" w:after="3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hAnsi="Times New Roman" w:cs="Times New Roman"/>
                <w:sz w:val="18"/>
                <w:szCs w:val="18"/>
              </w:rPr>
              <w:t>27.4</w:t>
            </w:r>
          </w:p>
        </w:tc>
        <w:tc>
          <w:tcPr>
            <w:tcW w:w="799" w:type="dxa"/>
            <w:noWrap/>
            <w:hideMark/>
          </w:tcPr>
          <w:p w14:paraId="05DE5523" w14:textId="77777777" w:rsidR="00813F0B" w:rsidRPr="000973F2" w:rsidRDefault="00813F0B" w:rsidP="004D0729">
            <w:pPr>
              <w:tabs>
                <w:tab w:val="decimal" w:pos="286"/>
              </w:tabs>
              <w:spacing w:before="30" w:after="3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hAnsi="Times New Roman" w:cs="Times New Roman"/>
                <w:sz w:val="18"/>
                <w:szCs w:val="18"/>
              </w:rPr>
              <w:t>27.4</w:t>
            </w:r>
          </w:p>
        </w:tc>
        <w:tc>
          <w:tcPr>
            <w:tcW w:w="799" w:type="dxa"/>
            <w:noWrap/>
            <w:hideMark/>
          </w:tcPr>
          <w:p w14:paraId="3D74C375" w14:textId="77777777" w:rsidR="00813F0B" w:rsidRPr="000973F2" w:rsidRDefault="00813F0B" w:rsidP="004D0729">
            <w:pPr>
              <w:tabs>
                <w:tab w:val="decimal" w:pos="286"/>
              </w:tabs>
              <w:spacing w:before="30" w:after="3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hAnsi="Times New Roman" w:cs="Times New Roman"/>
                <w:sz w:val="18"/>
                <w:szCs w:val="18"/>
              </w:rPr>
              <w:t>1.4</w:t>
            </w:r>
          </w:p>
        </w:tc>
        <w:tc>
          <w:tcPr>
            <w:tcW w:w="799" w:type="dxa"/>
            <w:noWrap/>
            <w:hideMark/>
          </w:tcPr>
          <w:p w14:paraId="437B2BA2" w14:textId="77777777" w:rsidR="00813F0B" w:rsidRPr="000973F2" w:rsidRDefault="00813F0B" w:rsidP="004D0729">
            <w:pPr>
              <w:tabs>
                <w:tab w:val="decimal" w:pos="286"/>
              </w:tabs>
              <w:spacing w:before="30" w:after="3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hAnsi="Times New Roman" w:cs="Times New Roman"/>
                <w:sz w:val="18"/>
                <w:szCs w:val="18"/>
              </w:rPr>
              <w:t>1.4</w:t>
            </w:r>
          </w:p>
        </w:tc>
        <w:tc>
          <w:tcPr>
            <w:tcW w:w="784" w:type="dxa"/>
            <w:noWrap/>
            <w:hideMark/>
          </w:tcPr>
          <w:p w14:paraId="6745AE4E" w14:textId="77777777" w:rsidR="00813F0B" w:rsidRPr="000973F2" w:rsidRDefault="00813F0B" w:rsidP="004D0729">
            <w:pPr>
              <w:tabs>
                <w:tab w:val="decimal" w:pos="526"/>
              </w:tabs>
              <w:spacing w:before="30" w:after="3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hAnsi="Times New Roman" w:cs="Times New Roman"/>
                <w:sz w:val="18"/>
                <w:szCs w:val="18"/>
              </w:rPr>
              <w:t>$2,244</w:t>
            </w:r>
          </w:p>
        </w:tc>
        <w:tc>
          <w:tcPr>
            <w:tcW w:w="784" w:type="dxa"/>
            <w:noWrap/>
            <w:hideMark/>
          </w:tcPr>
          <w:p w14:paraId="773CD8F9" w14:textId="7859296F" w:rsidR="00813F0B" w:rsidRPr="000973F2" w:rsidRDefault="00813F0B" w:rsidP="004D0729">
            <w:pPr>
              <w:tabs>
                <w:tab w:val="decimal" w:pos="526"/>
              </w:tabs>
              <w:spacing w:before="30" w:after="3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hAnsi="Times New Roman" w:cs="Times New Roman"/>
                <w:sz w:val="18"/>
                <w:szCs w:val="18"/>
              </w:rPr>
              <w:t>$2,244</w:t>
            </w:r>
          </w:p>
        </w:tc>
      </w:tr>
      <w:tr w:rsidR="00813F0B" w:rsidRPr="000973F2" w14:paraId="0ACDEB03" w14:textId="77777777" w:rsidTr="004D0729">
        <w:trPr>
          <w:trHeight w:val="272"/>
        </w:trPr>
        <w:tc>
          <w:tcPr>
            <w:cnfStyle w:val="001000000000" w:firstRow="0" w:lastRow="0" w:firstColumn="1" w:lastColumn="0" w:oddVBand="0" w:evenVBand="0" w:oddHBand="0" w:evenHBand="0" w:firstRowFirstColumn="0" w:firstRowLastColumn="0" w:lastRowFirstColumn="0" w:lastRowLastColumn="0"/>
            <w:tcW w:w="1335" w:type="dxa"/>
            <w:tcMar>
              <w:left w:w="115" w:type="dxa"/>
              <w:right w:w="14" w:type="dxa"/>
            </w:tcMar>
            <w:hideMark/>
          </w:tcPr>
          <w:p w14:paraId="26069318" w14:textId="77777777" w:rsidR="00813F0B" w:rsidRPr="000973F2" w:rsidRDefault="00813F0B" w:rsidP="004D0729">
            <w:pPr>
              <w:spacing w:before="30" w:after="3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Reporting</w:t>
            </w:r>
          </w:p>
        </w:tc>
        <w:tc>
          <w:tcPr>
            <w:tcW w:w="798" w:type="dxa"/>
            <w:noWrap/>
            <w:hideMark/>
          </w:tcPr>
          <w:p w14:paraId="6545B78A" w14:textId="77777777" w:rsidR="00813F0B" w:rsidRPr="000973F2" w:rsidRDefault="00813F0B" w:rsidP="004D0729">
            <w:pPr>
              <w:spacing w:before="30" w:after="3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hAnsi="Times New Roman" w:cs="Times New Roman"/>
                <w:sz w:val="18"/>
                <w:szCs w:val="18"/>
              </w:rPr>
              <w:t>0.0</w:t>
            </w:r>
          </w:p>
        </w:tc>
        <w:tc>
          <w:tcPr>
            <w:tcW w:w="799" w:type="dxa"/>
            <w:noWrap/>
            <w:hideMark/>
          </w:tcPr>
          <w:p w14:paraId="3E9F0F56" w14:textId="77777777" w:rsidR="00813F0B" w:rsidRPr="000973F2" w:rsidRDefault="00813F0B" w:rsidP="004D0729">
            <w:pPr>
              <w:spacing w:before="30" w:after="3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hAnsi="Times New Roman" w:cs="Times New Roman"/>
                <w:sz w:val="18"/>
                <w:szCs w:val="18"/>
              </w:rPr>
              <w:t>0.0</w:t>
            </w:r>
          </w:p>
        </w:tc>
        <w:tc>
          <w:tcPr>
            <w:tcW w:w="799" w:type="dxa"/>
            <w:noWrap/>
            <w:hideMark/>
          </w:tcPr>
          <w:p w14:paraId="771C26C9" w14:textId="77777777" w:rsidR="00813F0B" w:rsidRPr="000973F2" w:rsidRDefault="00813F0B" w:rsidP="004D0729">
            <w:pPr>
              <w:spacing w:before="30" w:after="3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hAnsi="Times New Roman" w:cs="Times New Roman"/>
                <w:sz w:val="18"/>
                <w:szCs w:val="18"/>
              </w:rPr>
              <w:t>1.0</w:t>
            </w:r>
          </w:p>
        </w:tc>
        <w:tc>
          <w:tcPr>
            <w:tcW w:w="799" w:type="dxa"/>
            <w:noWrap/>
            <w:hideMark/>
          </w:tcPr>
          <w:p w14:paraId="0E08F757" w14:textId="77777777" w:rsidR="00813F0B" w:rsidRPr="000973F2" w:rsidRDefault="00813F0B" w:rsidP="004D0729">
            <w:pPr>
              <w:spacing w:before="30" w:after="3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hAnsi="Times New Roman" w:cs="Times New Roman"/>
                <w:sz w:val="18"/>
                <w:szCs w:val="18"/>
              </w:rPr>
              <w:t>1.0</w:t>
            </w:r>
          </w:p>
        </w:tc>
        <w:tc>
          <w:tcPr>
            <w:tcW w:w="798" w:type="dxa"/>
            <w:noWrap/>
            <w:hideMark/>
          </w:tcPr>
          <w:p w14:paraId="09058413" w14:textId="77777777" w:rsidR="00813F0B" w:rsidRPr="000973F2" w:rsidRDefault="00813F0B" w:rsidP="004D0729">
            <w:pPr>
              <w:tabs>
                <w:tab w:val="decimal" w:pos="286"/>
              </w:tabs>
              <w:spacing w:before="30" w:after="3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hAnsi="Times New Roman" w:cs="Times New Roman"/>
                <w:sz w:val="18"/>
                <w:szCs w:val="18"/>
              </w:rPr>
              <w:t>4.0</w:t>
            </w:r>
          </w:p>
        </w:tc>
        <w:tc>
          <w:tcPr>
            <w:tcW w:w="799" w:type="dxa"/>
            <w:noWrap/>
            <w:hideMark/>
          </w:tcPr>
          <w:p w14:paraId="33A87A9C" w14:textId="77777777" w:rsidR="00813F0B" w:rsidRPr="000973F2" w:rsidRDefault="00813F0B" w:rsidP="004D0729">
            <w:pPr>
              <w:tabs>
                <w:tab w:val="decimal" w:pos="286"/>
              </w:tabs>
              <w:spacing w:before="30" w:after="3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hAnsi="Times New Roman" w:cs="Times New Roman"/>
                <w:sz w:val="18"/>
                <w:szCs w:val="18"/>
              </w:rPr>
              <w:t>4.0</w:t>
            </w:r>
          </w:p>
        </w:tc>
        <w:tc>
          <w:tcPr>
            <w:tcW w:w="799" w:type="dxa"/>
            <w:noWrap/>
            <w:hideMark/>
          </w:tcPr>
          <w:p w14:paraId="617484DE" w14:textId="77777777" w:rsidR="00813F0B" w:rsidRPr="000973F2" w:rsidRDefault="00813F0B" w:rsidP="004D0729">
            <w:pPr>
              <w:tabs>
                <w:tab w:val="decimal" w:pos="286"/>
              </w:tabs>
              <w:spacing w:before="30" w:after="3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hAnsi="Times New Roman" w:cs="Times New Roman"/>
                <w:sz w:val="18"/>
                <w:szCs w:val="18"/>
              </w:rPr>
              <w:t>1.0</w:t>
            </w:r>
          </w:p>
        </w:tc>
        <w:tc>
          <w:tcPr>
            <w:tcW w:w="799" w:type="dxa"/>
            <w:noWrap/>
            <w:hideMark/>
          </w:tcPr>
          <w:p w14:paraId="4E1A1C74" w14:textId="77777777" w:rsidR="00813F0B" w:rsidRPr="000973F2" w:rsidRDefault="00813F0B" w:rsidP="004D0729">
            <w:pPr>
              <w:tabs>
                <w:tab w:val="decimal" w:pos="286"/>
              </w:tabs>
              <w:spacing w:before="30" w:after="3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hAnsi="Times New Roman" w:cs="Times New Roman"/>
                <w:sz w:val="18"/>
                <w:szCs w:val="18"/>
              </w:rPr>
              <w:t>1.0</w:t>
            </w:r>
          </w:p>
        </w:tc>
        <w:tc>
          <w:tcPr>
            <w:tcW w:w="784" w:type="dxa"/>
            <w:noWrap/>
            <w:hideMark/>
          </w:tcPr>
          <w:p w14:paraId="5AC265E1" w14:textId="0F97752C" w:rsidR="00813F0B" w:rsidRPr="000973F2" w:rsidRDefault="00813F0B" w:rsidP="004D0729">
            <w:pPr>
              <w:tabs>
                <w:tab w:val="decimal" w:pos="526"/>
              </w:tabs>
              <w:spacing w:before="30" w:after="3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hAnsi="Times New Roman" w:cs="Times New Roman"/>
                <w:sz w:val="18"/>
                <w:szCs w:val="18"/>
              </w:rPr>
              <w:t>$410</w:t>
            </w:r>
          </w:p>
        </w:tc>
        <w:tc>
          <w:tcPr>
            <w:tcW w:w="784" w:type="dxa"/>
            <w:noWrap/>
            <w:hideMark/>
          </w:tcPr>
          <w:p w14:paraId="6ECB5D79" w14:textId="4076D78D" w:rsidR="00813F0B" w:rsidRPr="000973F2" w:rsidRDefault="00813F0B" w:rsidP="004D0729">
            <w:pPr>
              <w:tabs>
                <w:tab w:val="decimal" w:pos="526"/>
              </w:tabs>
              <w:spacing w:before="30" w:after="3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hAnsi="Times New Roman" w:cs="Times New Roman"/>
                <w:sz w:val="18"/>
                <w:szCs w:val="18"/>
              </w:rPr>
              <w:t>$410</w:t>
            </w:r>
          </w:p>
        </w:tc>
      </w:tr>
      <w:tr w:rsidR="00813F0B" w:rsidRPr="000973F2" w14:paraId="04EF937A" w14:textId="77777777" w:rsidTr="004D0729">
        <w:trPr>
          <w:cnfStyle w:val="000000100000" w:firstRow="0" w:lastRow="0" w:firstColumn="0" w:lastColumn="0" w:oddVBand="0" w:evenVBand="0" w:oddHBand="1" w:evenHBand="0" w:firstRowFirstColumn="0" w:firstRowLastColumn="0" w:lastRowFirstColumn="0" w:lastRowLastColumn="0"/>
          <w:trHeight w:val="286"/>
        </w:trPr>
        <w:tc>
          <w:tcPr>
            <w:cnfStyle w:val="001000000000" w:firstRow="0" w:lastRow="0" w:firstColumn="1" w:lastColumn="0" w:oddVBand="0" w:evenVBand="0" w:oddHBand="0" w:evenHBand="0" w:firstRowFirstColumn="0" w:firstRowLastColumn="0" w:lastRowFirstColumn="0" w:lastRowLastColumn="0"/>
            <w:tcW w:w="1335" w:type="dxa"/>
            <w:noWrap/>
            <w:tcMar>
              <w:left w:w="115" w:type="dxa"/>
              <w:right w:w="14" w:type="dxa"/>
            </w:tcMar>
            <w:hideMark/>
          </w:tcPr>
          <w:p w14:paraId="18BD95E7" w14:textId="77777777" w:rsidR="00813F0B" w:rsidRPr="000973F2" w:rsidRDefault="00813F0B" w:rsidP="004D0729">
            <w:pPr>
              <w:spacing w:before="30" w:after="30"/>
              <w:rPr>
                <w:rFonts w:ascii="Times New Roman" w:eastAsia="Times New Roman" w:hAnsi="Times New Roman" w:cs="Times New Roman"/>
                <w:b/>
                <w:bCs w:val="0"/>
                <w:sz w:val="18"/>
                <w:szCs w:val="18"/>
              </w:rPr>
            </w:pPr>
            <w:r w:rsidRPr="000973F2">
              <w:rPr>
                <w:rFonts w:ascii="Times New Roman" w:eastAsia="Times New Roman" w:hAnsi="Times New Roman" w:cs="Times New Roman"/>
                <w:b/>
                <w:sz w:val="18"/>
                <w:szCs w:val="18"/>
              </w:rPr>
              <w:t>Total</w:t>
            </w:r>
          </w:p>
        </w:tc>
        <w:tc>
          <w:tcPr>
            <w:tcW w:w="798" w:type="dxa"/>
            <w:noWrap/>
            <w:hideMark/>
          </w:tcPr>
          <w:p w14:paraId="3C2C8128" w14:textId="77777777" w:rsidR="00813F0B" w:rsidRPr="000973F2" w:rsidRDefault="00813F0B" w:rsidP="004D0729">
            <w:pPr>
              <w:spacing w:before="30" w:after="3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18"/>
                <w:szCs w:val="18"/>
              </w:rPr>
            </w:pPr>
            <w:r w:rsidRPr="000973F2">
              <w:rPr>
                <w:rFonts w:ascii="Times New Roman" w:hAnsi="Times New Roman" w:cs="Times New Roman"/>
                <w:b/>
                <w:bCs/>
                <w:sz w:val="18"/>
                <w:szCs w:val="18"/>
              </w:rPr>
              <w:t>1.0</w:t>
            </w:r>
          </w:p>
        </w:tc>
        <w:tc>
          <w:tcPr>
            <w:tcW w:w="799" w:type="dxa"/>
            <w:noWrap/>
            <w:hideMark/>
          </w:tcPr>
          <w:p w14:paraId="1263A4E4" w14:textId="77777777" w:rsidR="00813F0B" w:rsidRPr="000973F2" w:rsidRDefault="00813F0B" w:rsidP="004D0729">
            <w:pPr>
              <w:spacing w:before="30" w:after="3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18"/>
                <w:szCs w:val="18"/>
              </w:rPr>
            </w:pPr>
            <w:r w:rsidRPr="000973F2">
              <w:rPr>
                <w:rFonts w:ascii="Times New Roman" w:hAnsi="Times New Roman" w:cs="Times New Roman"/>
                <w:b/>
                <w:bCs/>
                <w:sz w:val="18"/>
                <w:szCs w:val="18"/>
              </w:rPr>
              <w:t>1.0</w:t>
            </w:r>
          </w:p>
        </w:tc>
        <w:tc>
          <w:tcPr>
            <w:tcW w:w="799" w:type="dxa"/>
            <w:noWrap/>
            <w:hideMark/>
          </w:tcPr>
          <w:p w14:paraId="13B96BA3" w14:textId="4BE8FB9C" w:rsidR="00813F0B" w:rsidRPr="000973F2" w:rsidRDefault="008B39AE" w:rsidP="004D0729">
            <w:pPr>
              <w:spacing w:before="30" w:after="3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18"/>
                <w:szCs w:val="18"/>
              </w:rPr>
            </w:pPr>
            <w:r w:rsidRPr="000973F2">
              <w:rPr>
                <w:rFonts w:ascii="Times New Roman" w:hAnsi="Times New Roman" w:cs="Times New Roman"/>
                <w:b/>
                <w:bCs/>
                <w:sz w:val="18"/>
                <w:szCs w:val="18"/>
              </w:rPr>
              <w:t>4</w:t>
            </w:r>
            <w:r w:rsidR="00813F0B" w:rsidRPr="000973F2">
              <w:rPr>
                <w:rFonts w:ascii="Times New Roman" w:hAnsi="Times New Roman" w:cs="Times New Roman"/>
                <w:b/>
                <w:bCs/>
                <w:sz w:val="18"/>
                <w:szCs w:val="18"/>
              </w:rPr>
              <w:t>.8</w:t>
            </w:r>
          </w:p>
        </w:tc>
        <w:tc>
          <w:tcPr>
            <w:tcW w:w="799" w:type="dxa"/>
            <w:noWrap/>
            <w:hideMark/>
          </w:tcPr>
          <w:p w14:paraId="4B631784" w14:textId="440972F4" w:rsidR="00813F0B" w:rsidRPr="000973F2" w:rsidRDefault="008B39AE" w:rsidP="004D0729">
            <w:pPr>
              <w:spacing w:before="30" w:after="3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18"/>
                <w:szCs w:val="18"/>
              </w:rPr>
            </w:pPr>
            <w:r w:rsidRPr="000973F2">
              <w:rPr>
                <w:rFonts w:ascii="Times New Roman" w:hAnsi="Times New Roman" w:cs="Times New Roman"/>
                <w:b/>
                <w:bCs/>
                <w:sz w:val="18"/>
                <w:szCs w:val="18"/>
              </w:rPr>
              <w:t>4</w:t>
            </w:r>
            <w:r w:rsidR="00813F0B" w:rsidRPr="000973F2">
              <w:rPr>
                <w:rFonts w:ascii="Times New Roman" w:hAnsi="Times New Roman" w:cs="Times New Roman"/>
                <w:b/>
                <w:bCs/>
                <w:sz w:val="18"/>
                <w:szCs w:val="18"/>
              </w:rPr>
              <w:t>.8</w:t>
            </w:r>
          </w:p>
        </w:tc>
        <w:tc>
          <w:tcPr>
            <w:tcW w:w="798" w:type="dxa"/>
            <w:noWrap/>
            <w:hideMark/>
          </w:tcPr>
          <w:p w14:paraId="338A11D9" w14:textId="398BC7F8" w:rsidR="00813F0B" w:rsidRPr="000973F2" w:rsidRDefault="008B39AE" w:rsidP="004D0729">
            <w:pPr>
              <w:tabs>
                <w:tab w:val="decimal" w:pos="286"/>
              </w:tabs>
              <w:spacing w:before="30" w:after="3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18"/>
                <w:szCs w:val="18"/>
              </w:rPr>
            </w:pPr>
            <w:r w:rsidRPr="000973F2">
              <w:rPr>
                <w:rFonts w:ascii="Times New Roman" w:hAnsi="Times New Roman" w:cs="Times New Roman"/>
                <w:b/>
                <w:bCs/>
                <w:sz w:val="18"/>
                <w:szCs w:val="18"/>
              </w:rPr>
              <w:t>39.4</w:t>
            </w:r>
          </w:p>
        </w:tc>
        <w:tc>
          <w:tcPr>
            <w:tcW w:w="799" w:type="dxa"/>
            <w:noWrap/>
            <w:hideMark/>
          </w:tcPr>
          <w:p w14:paraId="52DB8514" w14:textId="428339F4" w:rsidR="00813F0B" w:rsidRPr="000973F2" w:rsidRDefault="008B39AE" w:rsidP="004D0729">
            <w:pPr>
              <w:tabs>
                <w:tab w:val="decimal" w:pos="286"/>
              </w:tabs>
              <w:spacing w:before="30" w:after="3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18"/>
                <w:szCs w:val="18"/>
              </w:rPr>
            </w:pPr>
            <w:r w:rsidRPr="000973F2">
              <w:rPr>
                <w:rFonts w:ascii="Times New Roman" w:hAnsi="Times New Roman" w:cs="Times New Roman"/>
                <w:b/>
                <w:bCs/>
                <w:sz w:val="18"/>
                <w:szCs w:val="18"/>
              </w:rPr>
              <w:t>39.4</w:t>
            </w:r>
          </w:p>
        </w:tc>
        <w:tc>
          <w:tcPr>
            <w:tcW w:w="799" w:type="dxa"/>
            <w:noWrap/>
            <w:hideMark/>
          </w:tcPr>
          <w:p w14:paraId="4A8D2289" w14:textId="3F531CB5" w:rsidR="00813F0B" w:rsidRPr="000973F2" w:rsidRDefault="00813F0B" w:rsidP="004D0729">
            <w:pPr>
              <w:tabs>
                <w:tab w:val="decimal" w:pos="286"/>
              </w:tabs>
              <w:spacing w:before="30" w:after="3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18"/>
                <w:szCs w:val="18"/>
              </w:rPr>
            </w:pPr>
            <w:r w:rsidRPr="000973F2">
              <w:rPr>
                <w:rFonts w:ascii="Times New Roman" w:hAnsi="Times New Roman" w:cs="Times New Roman"/>
                <w:b/>
                <w:bCs/>
                <w:sz w:val="18"/>
                <w:szCs w:val="18"/>
              </w:rPr>
              <w:t>3.</w:t>
            </w:r>
            <w:r w:rsidR="008B39AE" w:rsidRPr="000973F2">
              <w:rPr>
                <w:rFonts w:ascii="Times New Roman" w:hAnsi="Times New Roman" w:cs="Times New Roman"/>
                <w:b/>
                <w:bCs/>
                <w:sz w:val="18"/>
                <w:szCs w:val="18"/>
              </w:rPr>
              <w:t>2</w:t>
            </w:r>
          </w:p>
        </w:tc>
        <w:tc>
          <w:tcPr>
            <w:tcW w:w="799" w:type="dxa"/>
            <w:noWrap/>
            <w:hideMark/>
          </w:tcPr>
          <w:p w14:paraId="2372CC8B" w14:textId="72812823" w:rsidR="00813F0B" w:rsidRPr="000973F2" w:rsidRDefault="00813F0B" w:rsidP="004D0729">
            <w:pPr>
              <w:tabs>
                <w:tab w:val="decimal" w:pos="286"/>
              </w:tabs>
              <w:spacing w:before="30" w:after="3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18"/>
                <w:szCs w:val="18"/>
              </w:rPr>
            </w:pPr>
            <w:r w:rsidRPr="000973F2">
              <w:rPr>
                <w:rFonts w:ascii="Times New Roman" w:hAnsi="Times New Roman" w:cs="Times New Roman"/>
                <w:b/>
                <w:bCs/>
                <w:sz w:val="18"/>
                <w:szCs w:val="18"/>
              </w:rPr>
              <w:t>3.</w:t>
            </w:r>
            <w:r w:rsidR="008B39AE" w:rsidRPr="000973F2">
              <w:rPr>
                <w:rFonts w:ascii="Times New Roman" w:hAnsi="Times New Roman" w:cs="Times New Roman"/>
                <w:b/>
                <w:bCs/>
                <w:sz w:val="18"/>
                <w:szCs w:val="18"/>
              </w:rPr>
              <w:t>2</w:t>
            </w:r>
          </w:p>
        </w:tc>
        <w:tc>
          <w:tcPr>
            <w:tcW w:w="784" w:type="dxa"/>
            <w:noWrap/>
            <w:hideMark/>
          </w:tcPr>
          <w:p w14:paraId="061DC41F" w14:textId="5FEDC57E" w:rsidR="00813F0B" w:rsidRPr="000973F2" w:rsidRDefault="00813F0B" w:rsidP="004D0729">
            <w:pPr>
              <w:tabs>
                <w:tab w:val="decimal" w:pos="526"/>
              </w:tabs>
              <w:spacing w:before="30" w:after="3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18"/>
                <w:szCs w:val="18"/>
              </w:rPr>
            </w:pPr>
            <w:r w:rsidRPr="000973F2">
              <w:rPr>
                <w:rFonts w:ascii="Times New Roman" w:hAnsi="Times New Roman" w:cs="Times New Roman"/>
                <w:b/>
                <w:bCs/>
                <w:sz w:val="18"/>
                <w:szCs w:val="18"/>
              </w:rPr>
              <w:t>$</w:t>
            </w:r>
            <w:r w:rsidR="008B39AE" w:rsidRPr="000973F2">
              <w:rPr>
                <w:rFonts w:ascii="Times New Roman" w:hAnsi="Times New Roman" w:cs="Times New Roman"/>
                <w:b/>
                <w:bCs/>
                <w:sz w:val="18"/>
                <w:szCs w:val="18"/>
              </w:rPr>
              <w:t>3,469</w:t>
            </w:r>
          </w:p>
        </w:tc>
        <w:tc>
          <w:tcPr>
            <w:tcW w:w="784" w:type="dxa"/>
            <w:noWrap/>
            <w:hideMark/>
          </w:tcPr>
          <w:p w14:paraId="3EF981A6" w14:textId="2A380967" w:rsidR="00813F0B" w:rsidRPr="000973F2" w:rsidRDefault="00813F0B" w:rsidP="004D0729">
            <w:pPr>
              <w:tabs>
                <w:tab w:val="decimal" w:pos="526"/>
              </w:tabs>
              <w:spacing w:before="30" w:after="3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18"/>
                <w:szCs w:val="18"/>
              </w:rPr>
            </w:pPr>
            <w:r w:rsidRPr="000973F2">
              <w:rPr>
                <w:rFonts w:ascii="Times New Roman" w:hAnsi="Times New Roman" w:cs="Times New Roman"/>
                <w:b/>
                <w:bCs/>
                <w:sz w:val="18"/>
                <w:szCs w:val="18"/>
              </w:rPr>
              <w:t>$</w:t>
            </w:r>
            <w:r w:rsidR="008B39AE" w:rsidRPr="000973F2">
              <w:rPr>
                <w:rFonts w:ascii="Times New Roman" w:hAnsi="Times New Roman" w:cs="Times New Roman"/>
                <w:b/>
                <w:bCs/>
                <w:sz w:val="18"/>
                <w:szCs w:val="18"/>
              </w:rPr>
              <w:t>3,469</w:t>
            </w:r>
          </w:p>
        </w:tc>
      </w:tr>
    </w:tbl>
    <w:p w14:paraId="7BA7F501" w14:textId="77777777" w:rsidR="00F86A4A" w:rsidRPr="000973F2" w:rsidRDefault="00F86A4A" w:rsidP="00C00E4F">
      <w:pPr>
        <w:spacing w:line="240" w:lineRule="auto"/>
        <w:rPr>
          <w:rFonts w:ascii="Times New Roman" w:hAnsi="Times New Roman" w:cs="Times New Roman"/>
          <w:b/>
          <w:i/>
        </w:rPr>
      </w:pPr>
      <w:r w:rsidRPr="000973F2">
        <w:rPr>
          <w:rFonts w:ascii="Times New Roman" w:hAnsi="Times New Roman" w:cs="Times New Roman"/>
          <w:b/>
          <w:i/>
        </w:rPr>
        <w:br w:type="page"/>
      </w:r>
    </w:p>
    <w:p w14:paraId="75F95E72" w14:textId="047C5E78" w:rsidR="00813F0B" w:rsidRPr="000973F2" w:rsidRDefault="00813F0B" w:rsidP="005012D0">
      <w:pPr>
        <w:pStyle w:val="Heading2"/>
      </w:pPr>
      <w:r w:rsidRPr="000973F2">
        <w:t xml:space="preserve">Capital and O&amp;M Costs for Subpart N </w:t>
      </w:r>
      <w:r w:rsidR="008854F6" w:rsidRPr="000973F2">
        <w:t>–</w:t>
      </w:r>
      <w:r w:rsidRPr="000973F2">
        <w:t xml:space="preserve"> Non-CEMS Option</w:t>
      </w:r>
    </w:p>
    <w:p w14:paraId="7AA94547" w14:textId="52D755B4" w:rsidR="00813F0B" w:rsidRPr="000973F2" w:rsidRDefault="00813F0B" w:rsidP="005012D0">
      <w:pPr>
        <w:pStyle w:val="BodyText"/>
        <w:rPr>
          <w:b/>
          <w:bCs/>
        </w:rPr>
      </w:pPr>
      <w:r w:rsidRPr="000973F2">
        <w:t xml:space="preserve">Table </w:t>
      </w:r>
      <w:r w:rsidR="005012D0" w:rsidRPr="000973F2">
        <w:t>N-</w:t>
      </w:r>
      <w:r w:rsidRPr="000973F2">
        <w:t xml:space="preserve">2b below includes the capital and O&amp;M costs for each of the 11 facilities (in RY2019) using the non-CEMS option along with the supplier mass fraction to comply with Subpart N. Typical costs related to recordkeeping are discussed in the Cost Appendix Introduction. No O&amp;M costs are expected for equipment, travel, or performance testing. For quality assurance and quality control of the mineral mass fraction data obtained from the supplier as required in 98.144(b), facilities will incur sampling costs to determine the mass fraction of all carbonate-based raw materials each year. </w:t>
      </w:r>
    </w:p>
    <w:p w14:paraId="4AD3BD63" w14:textId="542A70A7" w:rsidR="00813F0B" w:rsidRPr="000973F2" w:rsidRDefault="00813F0B" w:rsidP="005012D0">
      <w:pPr>
        <w:pStyle w:val="BodyText"/>
        <w:rPr>
          <w:b/>
        </w:rPr>
      </w:pPr>
      <w:r w:rsidRPr="000973F2">
        <w:t xml:space="preserve">Table </w:t>
      </w:r>
      <w:r w:rsidR="005012D0" w:rsidRPr="000973F2">
        <w:t>N-</w:t>
      </w:r>
      <w:r w:rsidRPr="000973F2">
        <w:t>2c below includes the capital and O&amp;M costs for each of the 88 facilities (in RY2019) using the non-CEMS option along with the default mass fraction to comply with Subpart N. Facilities only incur O&amp;M costs related to recordkeeping as discussed in the Cost Appendix Introduction. No capital costs are expected.</w:t>
      </w:r>
    </w:p>
    <w:p w14:paraId="38155DE6" w14:textId="74B7B3FC" w:rsidR="00813F0B" w:rsidRPr="000973F2" w:rsidRDefault="008854F6" w:rsidP="005012D0">
      <w:pPr>
        <w:pStyle w:val="Tabletitle"/>
      </w:pPr>
      <w:r w:rsidRPr="000973F2">
        <w:t xml:space="preserve">Table </w:t>
      </w:r>
      <w:r w:rsidR="005012D0" w:rsidRPr="000973F2">
        <w:t>N-</w:t>
      </w:r>
      <w:r w:rsidRPr="000973F2">
        <w:t xml:space="preserve">2b. Capital and O&amp;M Costs </w:t>
      </w:r>
      <w:r w:rsidR="005012D0" w:rsidRPr="000973F2">
        <w:t>–</w:t>
      </w:r>
      <w:r w:rsidRPr="000973F2">
        <w:t xml:space="preserve"> </w:t>
      </w:r>
      <w:r w:rsidR="00813F0B" w:rsidRPr="000973F2">
        <w:t>Subpart N –Non-CEMS Supplier Mass Fraction Option</w:t>
      </w:r>
    </w:p>
    <w:tbl>
      <w:tblPr>
        <w:tblStyle w:val="PlainTable1"/>
        <w:tblW w:w="5000" w:type="pct"/>
        <w:jc w:val="left"/>
        <w:tblLayout w:type="fixed"/>
        <w:tblCellMar>
          <w:left w:w="115" w:type="dxa"/>
          <w:right w:w="115" w:type="dxa"/>
        </w:tblCellMar>
        <w:tblLook w:val="04A0" w:firstRow="1" w:lastRow="0" w:firstColumn="1" w:lastColumn="0" w:noHBand="0" w:noVBand="1"/>
      </w:tblPr>
      <w:tblGrid>
        <w:gridCol w:w="1370"/>
        <w:gridCol w:w="1370"/>
        <w:gridCol w:w="1370"/>
        <w:gridCol w:w="1370"/>
        <w:gridCol w:w="1370"/>
        <w:gridCol w:w="1370"/>
        <w:gridCol w:w="1370"/>
      </w:tblGrid>
      <w:tr w:rsidR="00FF36E8" w:rsidRPr="000973F2" w14:paraId="5B84395A" w14:textId="77777777" w:rsidTr="005012D0">
        <w:trPr>
          <w:cnfStyle w:val="100000000000" w:firstRow="1" w:lastRow="0" w:firstColumn="0" w:lastColumn="0" w:oddVBand="0" w:evenVBand="0" w:oddHBand="0" w:evenHBand="0" w:firstRowFirstColumn="0" w:firstRowLastColumn="0" w:lastRowFirstColumn="0" w:lastRowLastColumn="0"/>
          <w:cantSplit/>
          <w:jc w:val="left"/>
        </w:trPr>
        <w:tc>
          <w:tcPr>
            <w:cnfStyle w:val="001000000000" w:firstRow="0" w:lastRow="0" w:firstColumn="1" w:lastColumn="0" w:oddVBand="0" w:evenVBand="0" w:oddHBand="0" w:evenHBand="0" w:firstRowFirstColumn="0" w:firstRowLastColumn="0" w:lastRowFirstColumn="0" w:lastRowLastColumn="0"/>
            <w:tcW w:w="0" w:type="dxa"/>
            <w:vMerge w:val="restart"/>
            <w:noWrap/>
            <w:vAlign w:val="top"/>
            <w:hideMark/>
          </w:tcPr>
          <w:p w14:paraId="26C01FB7" w14:textId="035AE1E7" w:rsidR="00FF36E8" w:rsidRPr="000973F2" w:rsidRDefault="00FF36E8" w:rsidP="005012D0">
            <w:pPr>
              <w:spacing w:before="40" w:after="40"/>
              <w:rPr>
                <w:rFonts w:ascii="Times New Roman" w:eastAsia="Times New Roman" w:hAnsi="Times New Roman" w:cs="Times New Roman"/>
                <w:b w:val="0"/>
                <w:bCs w:val="0"/>
                <w:sz w:val="18"/>
                <w:szCs w:val="18"/>
              </w:rPr>
            </w:pPr>
            <w:r w:rsidRPr="000973F2">
              <w:rPr>
                <w:rFonts w:ascii="Times New Roman" w:eastAsia="Times New Roman" w:hAnsi="Times New Roman" w:cs="Times New Roman"/>
                <w:sz w:val="18"/>
                <w:szCs w:val="18"/>
              </w:rPr>
              <w:t>Activity</w:t>
            </w:r>
          </w:p>
        </w:tc>
        <w:tc>
          <w:tcPr>
            <w:tcW w:w="0" w:type="dxa"/>
            <w:gridSpan w:val="4"/>
            <w:noWrap/>
            <w:vAlign w:val="top"/>
            <w:hideMark/>
          </w:tcPr>
          <w:p w14:paraId="338D7D2F" w14:textId="77777777" w:rsidR="00FF36E8" w:rsidRPr="000973F2" w:rsidRDefault="00FF36E8" w:rsidP="005012D0">
            <w:pPr>
              <w:spacing w:before="40" w:after="40"/>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bCs w:val="0"/>
                <w:sz w:val="18"/>
                <w:szCs w:val="18"/>
              </w:rPr>
            </w:pPr>
            <w:r w:rsidRPr="000973F2">
              <w:rPr>
                <w:rFonts w:ascii="Times New Roman" w:eastAsia="Times New Roman" w:hAnsi="Times New Roman" w:cs="Times New Roman"/>
                <w:sz w:val="18"/>
                <w:szCs w:val="18"/>
              </w:rPr>
              <w:t>Cost Categories</w:t>
            </w:r>
          </w:p>
        </w:tc>
        <w:tc>
          <w:tcPr>
            <w:tcW w:w="0" w:type="dxa"/>
            <w:gridSpan w:val="2"/>
            <w:vAlign w:val="top"/>
            <w:hideMark/>
          </w:tcPr>
          <w:p w14:paraId="13F5E5F9" w14:textId="32AFB126" w:rsidR="00FF36E8" w:rsidRPr="000973F2" w:rsidRDefault="00FF36E8" w:rsidP="005012D0">
            <w:pPr>
              <w:spacing w:before="40" w:after="40"/>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bCs w:val="0"/>
                <w:sz w:val="18"/>
                <w:szCs w:val="18"/>
              </w:rPr>
            </w:pPr>
            <w:r w:rsidRPr="000973F2">
              <w:rPr>
                <w:rFonts w:ascii="Times New Roman" w:eastAsia="Times New Roman" w:hAnsi="Times New Roman" w:cs="Times New Roman"/>
                <w:sz w:val="18"/>
                <w:szCs w:val="18"/>
              </w:rPr>
              <w:t>Total Capital and O&amp;M Cost per Year per Facility (2017$)</w:t>
            </w:r>
          </w:p>
        </w:tc>
      </w:tr>
      <w:tr w:rsidR="00FF36E8" w:rsidRPr="000973F2" w14:paraId="1D922B10" w14:textId="77777777" w:rsidTr="005012D0">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0" w:type="dxa"/>
            <w:vMerge/>
            <w:noWrap/>
            <w:hideMark/>
          </w:tcPr>
          <w:p w14:paraId="7A991EDD" w14:textId="1CBB6F7D" w:rsidR="00FF36E8" w:rsidRPr="000973F2" w:rsidRDefault="00FF36E8" w:rsidP="005012D0">
            <w:pPr>
              <w:spacing w:before="40" w:after="40"/>
              <w:jc w:val="center"/>
              <w:rPr>
                <w:rFonts w:ascii="Times New Roman" w:eastAsia="Times New Roman" w:hAnsi="Times New Roman" w:cs="Times New Roman"/>
                <w:b/>
                <w:bCs w:val="0"/>
                <w:sz w:val="18"/>
                <w:szCs w:val="18"/>
              </w:rPr>
            </w:pPr>
          </w:p>
        </w:tc>
        <w:tc>
          <w:tcPr>
            <w:tcW w:w="0" w:type="dxa"/>
            <w:hideMark/>
          </w:tcPr>
          <w:p w14:paraId="5F41F713" w14:textId="77777777" w:rsidR="00FF36E8" w:rsidRPr="000973F2" w:rsidRDefault="00FF36E8" w:rsidP="005012D0">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18"/>
                <w:szCs w:val="18"/>
              </w:rPr>
            </w:pPr>
            <w:r w:rsidRPr="000973F2">
              <w:rPr>
                <w:rFonts w:ascii="Times New Roman" w:eastAsia="Times New Roman" w:hAnsi="Times New Roman" w:cs="Times New Roman"/>
                <w:b/>
                <w:bCs/>
                <w:sz w:val="18"/>
                <w:szCs w:val="18"/>
              </w:rPr>
              <w:t>Capital Cost (2017$)</w:t>
            </w:r>
          </w:p>
        </w:tc>
        <w:tc>
          <w:tcPr>
            <w:tcW w:w="0" w:type="dxa"/>
            <w:hideMark/>
          </w:tcPr>
          <w:p w14:paraId="00B0783C" w14:textId="77777777" w:rsidR="00FF36E8" w:rsidRPr="000973F2" w:rsidRDefault="00FF36E8" w:rsidP="005012D0">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18"/>
                <w:szCs w:val="18"/>
              </w:rPr>
            </w:pPr>
            <w:r w:rsidRPr="000973F2">
              <w:rPr>
                <w:rFonts w:ascii="Times New Roman" w:eastAsia="Times New Roman" w:hAnsi="Times New Roman" w:cs="Times New Roman"/>
                <w:b/>
                <w:bCs/>
                <w:sz w:val="18"/>
                <w:szCs w:val="18"/>
              </w:rPr>
              <w:t>Equipment Lifetime</w:t>
            </w:r>
          </w:p>
        </w:tc>
        <w:tc>
          <w:tcPr>
            <w:tcW w:w="0" w:type="dxa"/>
            <w:hideMark/>
          </w:tcPr>
          <w:p w14:paraId="0D015198" w14:textId="77777777" w:rsidR="00FF36E8" w:rsidRPr="000973F2" w:rsidRDefault="00FF36E8" w:rsidP="005012D0">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18"/>
                <w:szCs w:val="18"/>
              </w:rPr>
            </w:pPr>
            <w:r w:rsidRPr="000973F2">
              <w:rPr>
                <w:rFonts w:ascii="Times New Roman" w:eastAsia="Times New Roman" w:hAnsi="Times New Roman" w:cs="Times New Roman"/>
                <w:b/>
                <w:bCs/>
                <w:sz w:val="18"/>
                <w:szCs w:val="18"/>
              </w:rPr>
              <w:t>Annualized Capital Cost (2017$/year)</w:t>
            </w:r>
          </w:p>
        </w:tc>
        <w:tc>
          <w:tcPr>
            <w:tcW w:w="0" w:type="dxa"/>
            <w:hideMark/>
          </w:tcPr>
          <w:p w14:paraId="06A3E5C0" w14:textId="77777777" w:rsidR="00FF36E8" w:rsidRPr="000973F2" w:rsidRDefault="00FF36E8" w:rsidP="005012D0">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18"/>
                <w:szCs w:val="18"/>
              </w:rPr>
            </w:pPr>
            <w:r w:rsidRPr="000973F2">
              <w:rPr>
                <w:rFonts w:ascii="Times New Roman" w:eastAsia="Times New Roman" w:hAnsi="Times New Roman" w:cs="Times New Roman"/>
                <w:b/>
                <w:bCs/>
                <w:sz w:val="18"/>
                <w:szCs w:val="18"/>
              </w:rPr>
              <w:t>O&amp;M Costs (2017$/year)</w:t>
            </w:r>
          </w:p>
        </w:tc>
        <w:tc>
          <w:tcPr>
            <w:tcW w:w="0" w:type="dxa"/>
            <w:hideMark/>
          </w:tcPr>
          <w:p w14:paraId="58B1B833" w14:textId="77777777" w:rsidR="00FF36E8" w:rsidRPr="000973F2" w:rsidRDefault="00FF36E8" w:rsidP="005012D0">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18"/>
                <w:szCs w:val="18"/>
              </w:rPr>
            </w:pPr>
            <w:r w:rsidRPr="000973F2">
              <w:rPr>
                <w:rFonts w:ascii="Times New Roman" w:eastAsia="Times New Roman" w:hAnsi="Times New Roman" w:cs="Times New Roman"/>
                <w:b/>
                <w:bCs/>
                <w:sz w:val="18"/>
                <w:szCs w:val="18"/>
              </w:rPr>
              <w:t>Initial Year</w:t>
            </w:r>
          </w:p>
        </w:tc>
        <w:tc>
          <w:tcPr>
            <w:tcW w:w="0" w:type="dxa"/>
            <w:hideMark/>
          </w:tcPr>
          <w:p w14:paraId="34F45CA0" w14:textId="77777777" w:rsidR="00FF36E8" w:rsidRPr="000973F2" w:rsidRDefault="00FF36E8" w:rsidP="005012D0">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18"/>
                <w:szCs w:val="18"/>
              </w:rPr>
            </w:pPr>
            <w:r w:rsidRPr="000973F2">
              <w:rPr>
                <w:rFonts w:ascii="Times New Roman" w:eastAsia="Times New Roman" w:hAnsi="Times New Roman" w:cs="Times New Roman"/>
                <w:b/>
                <w:bCs/>
                <w:sz w:val="18"/>
                <w:szCs w:val="18"/>
              </w:rPr>
              <w:t>Subseq. Years</w:t>
            </w:r>
          </w:p>
        </w:tc>
      </w:tr>
      <w:tr w:rsidR="003E005F" w:rsidRPr="000973F2" w14:paraId="05A3B4EA" w14:textId="77777777" w:rsidTr="005012D0">
        <w:trPr>
          <w:cantSplit/>
        </w:trPr>
        <w:tc>
          <w:tcPr>
            <w:cnfStyle w:val="001000000000" w:firstRow="0" w:lastRow="0" w:firstColumn="1" w:lastColumn="0" w:oddVBand="0" w:evenVBand="0" w:oddHBand="0" w:evenHBand="0" w:firstRowFirstColumn="0" w:firstRowLastColumn="0" w:lastRowFirstColumn="0" w:lastRowLastColumn="0"/>
            <w:tcW w:w="0" w:type="dxa"/>
            <w:hideMark/>
          </w:tcPr>
          <w:p w14:paraId="0B8ABC7D" w14:textId="77777777" w:rsidR="003E005F" w:rsidRPr="000973F2" w:rsidRDefault="003E005F" w:rsidP="005012D0">
            <w:pPr>
              <w:spacing w:before="40" w:after="4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Equipment (selection, purchase, installation)</w:t>
            </w:r>
          </w:p>
        </w:tc>
        <w:tc>
          <w:tcPr>
            <w:tcW w:w="0" w:type="dxa"/>
            <w:noWrap/>
            <w:hideMark/>
          </w:tcPr>
          <w:p w14:paraId="646DB94F" w14:textId="0FB34C98" w:rsidR="003E005F" w:rsidRPr="000973F2" w:rsidRDefault="005012D0" w:rsidP="005012D0">
            <w:pPr>
              <w:spacing w:before="40" w:after="4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w:t>
            </w:r>
          </w:p>
        </w:tc>
        <w:tc>
          <w:tcPr>
            <w:tcW w:w="0" w:type="dxa"/>
            <w:noWrap/>
          </w:tcPr>
          <w:p w14:paraId="606B0ADA" w14:textId="49B4B957" w:rsidR="003E005F" w:rsidRPr="000973F2" w:rsidRDefault="003E005F" w:rsidP="005012D0">
            <w:pPr>
              <w:spacing w:before="40" w:after="4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p>
        </w:tc>
        <w:tc>
          <w:tcPr>
            <w:tcW w:w="0" w:type="dxa"/>
            <w:noWrap/>
            <w:hideMark/>
          </w:tcPr>
          <w:p w14:paraId="058C3067" w14:textId="23DE0742" w:rsidR="003E005F" w:rsidRPr="000973F2" w:rsidRDefault="005012D0" w:rsidP="005012D0">
            <w:pPr>
              <w:spacing w:before="40" w:after="4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w:t>
            </w:r>
          </w:p>
        </w:tc>
        <w:tc>
          <w:tcPr>
            <w:tcW w:w="0" w:type="dxa"/>
            <w:noWrap/>
            <w:hideMark/>
          </w:tcPr>
          <w:p w14:paraId="6E29A5C6" w14:textId="1CFEAE00" w:rsidR="003E005F" w:rsidRPr="000973F2" w:rsidRDefault="005012D0" w:rsidP="005012D0">
            <w:pPr>
              <w:tabs>
                <w:tab w:val="decimal" w:pos="691"/>
              </w:tabs>
              <w:spacing w:before="40" w:after="4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w:t>
            </w:r>
          </w:p>
        </w:tc>
        <w:tc>
          <w:tcPr>
            <w:tcW w:w="0" w:type="dxa"/>
            <w:noWrap/>
            <w:hideMark/>
          </w:tcPr>
          <w:p w14:paraId="4EC98C46" w14:textId="70F699BE" w:rsidR="003E005F" w:rsidRPr="000973F2" w:rsidRDefault="005012D0" w:rsidP="005012D0">
            <w:pPr>
              <w:spacing w:before="40" w:after="4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w:t>
            </w:r>
          </w:p>
        </w:tc>
        <w:tc>
          <w:tcPr>
            <w:tcW w:w="0" w:type="dxa"/>
            <w:noWrap/>
            <w:hideMark/>
          </w:tcPr>
          <w:p w14:paraId="25173046" w14:textId="09001533" w:rsidR="003E005F" w:rsidRPr="000973F2" w:rsidRDefault="005012D0" w:rsidP="005012D0">
            <w:pPr>
              <w:tabs>
                <w:tab w:val="decimal" w:pos="676"/>
              </w:tabs>
              <w:spacing w:before="40" w:after="4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w:t>
            </w:r>
          </w:p>
        </w:tc>
      </w:tr>
      <w:tr w:rsidR="00B42F50" w:rsidRPr="000973F2" w14:paraId="7B42625A" w14:textId="77777777" w:rsidTr="005012D0">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0" w:type="dxa"/>
            <w:hideMark/>
          </w:tcPr>
          <w:p w14:paraId="7460336C" w14:textId="77777777" w:rsidR="003E005F" w:rsidRPr="000973F2" w:rsidRDefault="003E005F" w:rsidP="005012D0">
            <w:pPr>
              <w:spacing w:before="40" w:after="4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Performance testing</w:t>
            </w:r>
          </w:p>
        </w:tc>
        <w:tc>
          <w:tcPr>
            <w:tcW w:w="0" w:type="dxa"/>
            <w:noWrap/>
            <w:hideMark/>
          </w:tcPr>
          <w:p w14:paraId="29A19BD7" w14:textId="4301024D" w:rsidR="003E005F" w:rsidRPr="000973F2" w:rsidRDefault="005012D0" w:rsidP="005012D0">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w:t>
            </w:r>
          </w:p>
        </w:tc>
        <w:tc>
          <w:tcPr>
            <w:tcW w:w="0" w:type="dxa"/>
            <w:noWrap/>
          </w:tcPr>
          <w:p w14:paraId="37E44645" w14:textId="7B87CE31" w:rsidR="003E005F" w:rsidRPr="000973F2" w:rsidRDefault="003E005F" w:rsidP="005012D0">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p>
        </w:tc>
        <w:tc>
          <w:tcPr>
            <w:tcW w:w="0" w:type="dxa"/>
            <w:noWrap/>
            <w:hideMark/>
          </w:tcPr>
          <w:p w14:paraId="4B68A3A0" w14:textId="6A68E172" w:rsidR="003E005F" w:rsidRPr="000973F2" w:rsidRDefault="005012D0" w:rsidP="005012D0">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w:t>
            </w:r>
          </w:p>
        </w:tc>
        <w:tc>
          <w:tcPr>
            <w:tcW w:w="0" w:type="dxa"/>
            <w:noWrap/>
            <w:hideMark/>
          </w:tcPr>
          <w:p w14:paraId="085A13CF" w14:textId="45B9E82A" w:rsidR="003E005F" w:rsidRPr="000973F2" w:rsidRDefault="005012D0" w:rsidP="005012D0">
            <w:pPr>
              <w:tabs>
                <w:tab w:val="decimal" w:pos="691"/>
              </w:tabs>
              <w:spacing w:before="40" w:after="4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w:t>
            </w:r>
          </w:p>
        </w:tc>
        <w:tc>
          <w:tcPr>
            <w:tcW w:w="0" w:type="dxa"/>
            <w:noWrap/>
            <w:hideMark/>
          </w:tcPr>
          <w:p w14:paraId="02B6A825" w14:textId="611DFA1B" w:rsidR="003E005F" w:rsidRPr="000973F2" w:rsidRDefault="005012D0" w:rsidP="005012D0">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w:t>
            </w:r>
          </w:p>
        </w:tc>
        <w:tc>
          <w:tcPr>
            <w:tcW w:w="0" w:type="dxa"/>
            <w:noWrap/>
            <w:hideMark/>
          </w:tcPr>
          <w:p w14:paraId="345D52E8" w14:textId="5A53CD9F" w:rsidR="003E005F" w:rsidRPr="000973F2" w:rsidRDefault="005012D0" w:rsidP="005012D0">
            <w:pPr>
              <w:tabs>
                <w:tab w:val="decimal" w:pos="676"/>
              </w:tabs>
              <w:spacing w:before="40" w:after="4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w:t>
            </w:r>
          </w:p>
        </w:tc>
      </w:tr>
      <w:tr w:rsidR="00813F0B" w:rsidRPr="000973F2" w14:paraId="1E4AA8E2" w14:textId="77777777" w:rsidTr="005012D0">
        <w:trPr>
          <w:cantSplit/>
        </w:trPr>
        <w:tc>
          <w:tcPr>
            <w:cnfStyle w:val="001000000000" w:firstRow="0" w:lastRow="0" w:firstColumn="1" w:lastColumn="0" w:oddVBand="0" w:evenVBand="0" w:oddHBand="0" w:evenHBand="0" w:firstRowFirstColumn="0" w:firstRowLastColumn="0" w:lastRowFirstColumn="0" w:lastRowLastColumn="0"/>
            <w:tcW w:w="0" w:type="dxa"/>
            <w:hideMark/>
          </w:tcPr>
          <w:p w14:paraId="3CC3FFE5" w14:textId="77777777" w:rsidR="00813F0B" w:rsidRPr="000973F2" w:rsidRDefault="00813F0B" w:rsidP="005012D0">
            <w:pPr>
              <w:spacing w:before="40" w:after="4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Recordkeeping</w:t>
            </w:r>
          </w:p>
        </w:tc>
        <w:tc>
          <w:tcPr>
            <w:tcW w:w="0" w:type="dxa"/>
            <w:noWrap/>
            <w:hideMark/>
          </w:tcPr>
          <w:p w14:paraId="463CCEEE" w14:textId="77777777" w:rsidR="00813F0B" w:rsidRPr="000973F2" w:rsidRDefault="00813F0B" w:rsidP="005012D0">
            <w:pPr>
              <w:spacing w:before="40" w:after="4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$0</w:t>
            </w:r>
          </w:p>
        </w:tc>
        <w:tc>
          <w:tcPr>
            <w:tcW w:w="0" w:type="dxa"/>
            <w:noWrap/>
          </w:tcPr>
          <w:p w14:paraId="25DB5907" w14:textId="37E6BC9C" w:rsidR="00813F0B" w:rsidRPr="000973F2" w:rsidRDefault="00813F0B" w:rsidP="005012D0">
            <w:pPr>
              <w:spacing w:before="40" w:after="4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p>
        </w:tc>
        <w:tc>
          <w:tcPr>
            <w:tcW w:w="0" w:type="dxa"/>
            <w:noWrap/>
            <w:hideMark/>
          </w:tcPr>
          <w:p w14:paraId="6AF32FD7" w14:textId="77777777" w:rsidR="00813F0B" w:rsidRPr="000973F2" w:rsidRDefault="00813F0B" w:rsidP="005012D0">
            <w:pPr>
              <w:spacing w:before="40" w:after="4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$0</w:t>
            </w:r>
          </w:p>
        </w:tc>
        <w:tc>
          <w:tcPr>
            <w:tcW w:w="0" w:type="dxa"/>
            <w:noWrap/>
            <w:hideMark/>
          </w:tcPr>
          <w:p w14:paraId="0E7F4431" w14:textId="77777777" w:rsidR="00813F0B" w:rsidRPr="000973F2" w:rsidRDefault="00813F0B" w:rsidP="005012D0">
            <w:pPr>
              <w:tabs>
                <w:tab w:val="decimal" w:pos="691"/>
              </w:tabs>
              <w:spacing w:before="40" w:after="4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$50</w:t>
            </w:r>
          </w:p>
        </w:tc>
        <w:tc>
          <w:tcPr>
            <w:tcW w:w="0" w:type="dxa"/>
            <w:noWrap/>
            <w:hideMark/>
          </w:tcPr>
          <w:p w14:paraId="4367D3A8" w14:textId="77777777" w:rsidR="00813F0B" w:rsidRPr="000973F2" w:rsidRDefault="00813F0B" w:rsidP="005012D0">
            <w:pPr>
              <w:spacing w:before="40" w:after="4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$0</w:t>
            </w:r>
          </w:p>
        </w:tc>
        <w:tc>
          <w:tcPr>
            <w:tcW w:w="0" w:type="dxa"/>
            <w:noWrap/>
            <w:hideMark/>
          </w:tcPr>
          <w:p w14:paraId="012FB54B" w14:textId="77777777" w:rsidR="00813F0B" w:rsidRPr="000973F2" w:rsidRDefault="00813F0B" w:rsidP="005012D0">
            <w:pPr>
              <w:tabs>
                <w:tab w:val="decimal" w:pos="676"/>
              </w:tabs>
              <w:spacing w:before="40" w:after="4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$50</w:t>
            </w:r>
          </w:p>
        </w:tc>
      </w:tr>
      <w:tr w:rsidR="00B42F50" w:rsidRPr="000973F2" w14:paraId="085B65A5" w14:textId="77777777" w:rsidTr="005012D0">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0" w:type="dxa"/>
            <w:hideMark/>
          </w:tcPr>
          <w:p w14:paraId="313DA724" w14:textId="77777777" w:rsidR="003E005F" w:rsidRPr="000973F2" w:rsidRDefault="003E005F" w:rsidP="005012D0">
            <w:pPr>
              <w:spacing w:before="40" w:after="4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Travel</w:t>
            </w:r>
          </w:p>
        </w:tc>
        <w:tc>
          <w:tcPr>
            <w:tcW w:w="0" w:type="dxa"/>
            <w:noWrap/>
            <w:hideMark/>
          </w:tcPr>
          <w:p w14:paraId="2541E888" w14:textId="294EF0D5" w:rsidR="003E005F" w:rsidRPr="000973F2" w:rsidRDefault="005012D0" w:rsidP="005012D0">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w:t>
            </w:r>
          </w:p>
        </w:tc>
        <w:tc>
          <w:tcPr>
            <w:tcW w:w="0" w:type="dxa"/>
            <w:noWrap/>
          </w:tcPr>
          <w:p w14:paraId="6C82806F" w14:textId="568AFBE7" w:rsidR="003E005F" w:rsidRPr="000973F2" w:rsidRDefault="003E005F" w:rsidP="005012D0">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p>
        </w:tc>
        <w:tc>
          <w:tcPr>
            <w:tcW w:w="0" w:type="dxa"/>
            <w:noWrap/>
            <w:hideMark/>
          </w:tcPr>
          <w:p w14:paraId="65860E68" w14:textId="60889327" w:rsidR="003E005F" w:rsidRPr="000973F2" w:rsidRDefault="005012D0" w:rsidP="005012D0">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w:t>
            </w:r>
          </w:p>
        </w:tc>
        <w:tc>
          <w:tcPr>
            <w:tcW w:w="0" w:type="dxa"/>
            <w:noWrap/>
            <w:hideMark/>
          </w:tcPr>
          <w:p w14:paraId="62E3998D" w14:textId="03AD1769" w:rsidR="003E005F" w:rsidRPr="000973F2" w:rsidRDefault="005012D0" w:rsidP="005012D0">
            <w:pPr>
              <w:tabs>
                <w:tab w:val="decimal" w:pos="691"/>
              </w:tabs>
              <w:spacing w:before="40" w:after="4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w:t>
            </w:r>
          </w:p>
        </w:tc>
        <w:tc>
          <w:tcPr>
            <w:tcW w:w="0" w:type="dxa"/>
            <w:noWrap/>
            <w:hideMark/>
          </w:tcPr>
          <w:p w14:paraId="50869408" w14:textId="04AC723A" w:rsidR="003E005F" w:rsidRPr="000973F2" w:rsidRDefault="005012D0" w:rsidP="005012D0">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w:t>
            </w:r>
          </w:p>
        </w:tc>
        <w:tc>
          <w:tcPr>
            <w:tcW w:w="0" w:type="dxa"/>
            <w:noWrap/>
            <w:hideMark/>
          </w:tcPr>
          <w:p w14:paraId="55E9E0A1" w14:textId="2A70C9F6" w:rsidR="003E005F" w:rsidRPr="000973F2" w:rsidRDefault="005012D0" w:rsidP="005012D0">
            <w:pPr>
              <w:tabs>
                <w:tab w:val="decimal" w:pos="676"/>
              </w:tabs>
              <w:spacing w:before="40" w:after="4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w:t>
            </w:r>
          </w:p>
        </w:tc>
      </w:tr>
      <w:tr w:rsidR="00813F0B" w:rsidRPr="000973F2" w14:paraId="18E2A9E1" w14:textId="77777777" w:rsidTr="005012D0">
        <w:trPr>
          <w:cantSplit/>
        </w:trPr>
        <w:tc>
          <w:tcPr>
            <w:cnfStyle w:val="001000000000" w:firstRow="0" w:lastRow="0" w:firstColumn="1" w:lastColumn="0" w:oddVBand="0" w:evenVBand="0" w:oddHBand="0" w:evenHBand="0" w:firstRowFirstColumn="0" w:firstRowLastColumn="0" w:lastRowFirstColumn="0" w:lastRowLastColumn="0"/>
            <w:tcW w:w="0" w:type="dxa"/>
            <w:hideMark/>
          </w:tcPr>
          <w:p w14:paraId="355726A9" w14:textId="342EE646" w:rsidR="00813F0B" w:rsidRPr="000973F2" w:rsidRDefault="00813F0B" w:rsidP="005012D0">
            <w:pPr>
              <w:spacing w:before="40" w:after="4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 xml:space="preserve">Sampling </w:t>
            </w:r>
            <w:r w:rsidR="00C805F3" w:rsidRPr="000973F2">
              <w:rPr>
                <w:rFonts w:ascii="Times New Roman" w:eastAsia="Times New Roman" w:hAnsi="Times New Roman" w:cs="Times New Roman"/>
                <w:sz w:val="18"/>
                <w:szCs w:val="18"/>
              </w:rPr>
              <w:t xml:space="preserve">and Analysis </w:t>
            </w:r>
            <w:r w:rsidRPr="000973F2">
              <w:rPr>
                <w:rFonts w:ascii="Times New Roman" w:eastAsia="Times New Roman" w:hAnsi="Times New Roman" w:cs="Times New Roman"/>
                <w:sz w:val="18"/>
                <w:szCs w:val="18"/>
              </w:rPr>
              <w:t>Costs</w:t>
            </w:r>
          </w:p>
        </w:tc>
        <w:tc>
          <w:tcPr>
            <w:tcW w:w="0" w:type="dxa"/>
            <w:noWrap/>
            <w:hideMark/>
          </w:tcPr>
          <w:p w14:paraId="6B72F251" w14:textId="77777777" w:rsidR="00813F0B" w:rsidRPr="000973F2" w:rsidRDefault="00813F0B" w:rsidP="005012D0">
            <w:pPr>
              <w:spacing w:before="40" w:after="4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$0</w:t>
            </w:r>
          </w:p>
        </w:tc>
        <w:tc>
          <w:tcPr>
            <w:tcW w:w="0" w:type="dxa"/>
            <w:noWrap/>
            <w:hideMark/>
          </w:tcPr>
          <w:p w14:paraId="33C6EDDC" w14:textId="4400AC06" w:rsidR="00813F0B" w:rsidRPr="000973F2" w:rsidRDefault="00813F0B" w:rsidP="005012D0">
            <w:pPr>
              <w:spacing w:before="40" w:after="4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p>
        </w:tc>
        <w:tc>
          <w:tcPr>
            <w:tcW w:w="0" w:type="dxa"/>
            <w:noWrap/>
            <w:hideMark/>
          </w:tcPr>
          <w:p w14:paraId="719FE211" w14:textId="77777777" w:rsidR="00813F0B" w:rsidRPr="000973F2" w:rsidRDefault="00813F0B" w:rsidP="005012D0">
            <w:pPr>
              <w:spacing w:before="40" w:after="4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$0</w:t>
            </w:r>
          </w:p>
        </w:tc>
        <w:tc>
          <w:tcPr>
            <w:tcW w:w="0" w:type="dxa"/>
            <w:noWrap/>
            <w:hideMark/>
          </w:tcPr>
          <w:p w14:paraId="1DB09B84" w14:textId="77777777" w:rsidR="00813F0B" w:rsidRPr="000973F2" w:rsidRDefault="00813F0B" w:rsidP="005012D0">
            <w:pPr>
              <w:tabs>
                <w:tab w:val="decimal" w:pos="691"/>
              </w:tabs>
              <w:spacing w:before="40" w:after="4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$480</w:t>
            </w:r>
          </w:p>
        </w:tc>
        <w:tc>
          <w:tcPr>
            <w:tcW w:w="0" w:type="dxa"/>
            <w:noWrap/>
            <w:hideMark/>
          </w:tcPr>
          <w:p w14:paraId="1B4ADBD1" w14:textId="77777777" w:rsidR="00813F0B" w:rsidRPr="000973F2" w:rsidRDefault="00813F0B" w:rsidP="005012D0">
            <w:pPr>
              <w:spacing w:before="40" w:after="4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$0</w:t>
            </w:r>
          </w:p>
        </w:tc>
        <w:tc>
          <w:tcPr>
            <w:tcW w:w="0" w:type="dxa"/>
            <w:noWrap/>
            <w:hideMark/>
          </w:tcPr>
          <w:p w14:paraId="21DF91A2" w14:textId="77777777" w:rsidR="00813F0B" w:rsidRPr="000973F2" w:rsidRDefault="00813F0B" w:rsidP="005012D0">
            <w:pPr>
              <w:tabs>
                <w:tab w:val="decimal" w:pos="676"/>
              </w:tabs>
              <w:spacing w:before="40" w:after="4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$480</w:t>
            </w:r>
          </w:p>
        </w:tc>
      </w:tr>
      <w:tr w:rsidR="00813F0B" w:rsidRPr="000973F2" w14:paraId="664F6587" w14:textId="77777777" w:rsidTr="005012D0">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0" w:type="dxa"/>
            <w:hideMark/>
          </w:tcPr>
          <w:p w14:paraId="4A9BCECA" w14:textId="77777777" w:rsidR="00813F0B" w:rsidRPr="000973F2" w:rsidRDefault="00813F0B" w:rsidP="005012D0">
            <w:pPr>
              <w:spacing w:before="40" w:after="40"/>
              <w:rPr>
                <w:rFonts w:ascii="Times New Roman" w:eastAsia="Times New Roman" w:hAnsi="Times New Roman" w:cs="Times New Roman"/>
                <w:b/>
                <w:bCs w:val="0"/>
                <w:sz w:val="18"/>
                <w:szCs w:val="18"/>
              </w:rPr>
            </w:pPr>
            <w:r w:rsidRPr="000973F2">
              <w:rPr>
                <w:rFonts w:ascii="Times New Roman" w:eastAsia="Times New Roman" w:hAnsi="Times New Roman" w:cs="Times New Roman"/>
                <w:b/>
                <w:sz w:val="18"/>
                <w:szCs w:val="18"/>
              </w:rPr>
              <w:t>Total</w:t>
            </w:r>
          </w:p>
        </w:tc>
        <w:tc>
          <w:tcPr>
            <w:tcW w:w="0" w:type="dxa"/>
            <w:noWrap/>
            <w:hideMark/>
          </w:tcPr>
          <w:p w14:paraId="5659021C" w14:textId="77777777" w:rsidR="00813F0B" w:rsidRPr="000973F2" w:rsidRDefault="00813F0B" w:rsidP="005012D0">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sz w:val="18"/>
                <w:szCs w:val="18"/>
              </w:rPr>
            </w:pPr>
            <w:r w:rsidRPr="000973F2">
              <w:rPr>
                <w:rFonts w:ascii="Times New Roman" w:eastAsia="Times New Roman" w:hAnsi="Times New Roman" w:cs="Times New Roman"/>
                <w:b/>
                <w:sz w:val="18"/>
                <w:szCs w:val="18"/>
              </w:rPr>
              <w:t>$0</w:t>
            </w:r>
          </w:p>
        </w:tc>
        <w:tc>
          <w:tcPr>
            <w:tcW w:w="0" w:type="dxa"/>
            <w:noWrap/>
            <w:hideMark/>
          </w:tcPr>
          <w:p w14:paraId="2FB2C723" w14:textId="68D42ADC" w:rsidR="00813F0B" w:rsidRPr="000973F2" w:rsidRDefault="00813F0B" w:rsidP="005012D0">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sz w:val="18"/>
                <w:szCs w:val="18"/>
              </w:rPr>
            </w:pPr>
          </w:p>
        </w:tc>
        <w:tc>
          <w:tcPr>
            <w:tcW w:w="0" w:type="dxa"/>
            <w:noWrap/>
            <w:hideMark/>
          </w:tcPr>
          <w:p w14:paraId="788E50D2" w14:textId="77777777" w:rsidR="00813F0B" w:rsidRPr="000973F2" w:rsidRDefault="00813F0B" w:rsidP="005012D0">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sz w:val="18"/>
                <w:szCs w:val="18"/>
              </w:rPr>
            </w:pPr>
            <w:r w:rsidRPr="000973F2">
              <w:rPr>
                <w:rFonts w:ascii="Times New Roman" w:eastAsia="Times New Roman" w:hAnsi="Times New Roman" w:cs="Times New Roman"/>
                <w:b/>
                <w:sz w:val="18"/>
                <w:szCs w:val="18"/>
              </w:rPr>
              <w:t>$0</w:t>
            </w:r>
          </w:p>
        </w:tc>
        <w:tc>
          <w:tcPr>
            <w:tcW w:w="0" w:type="dxa"/>
            <w:noWrap/>
            <w:hideMark/>
          </w:tcPr>
          <w:p w14:paraId="06BF7098" w14:textId="77777777" w:rsidR="00813F0B" w:rsidRPr="000973F2" w:rsidRDefault="00813F0B" w:rsidP="005012D0">
            <w:pPr>
              <w:tabs>
                <w:tab w:val="decimal" w:pos="691"/>
              </w:tabs>
              <w:spacing w:before="40" w:after="4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sz w:val="18"/>
                <w:szCs w:val="18"/>
              </w:rPr>
            </w:pPr>
            <w:r w:rsidRPr="000973F2">
              <w:rPr>
                <w:rFonts w:ascii="Times New Roman" w:eastAsia="Times New Roman" w:hAnsi="Times New Roman" w:cs="Times New Roman"/>
                <w:b/>
                <w:sz w:val="18"/>
                <w:szCs w:val="18"/>
              </w:rPr>
              <w:t>$530</w:t>
            </w:r>
          </w:p>
        </w:tc>
        <w:tc>
          <w:tcPr>
            <w:tcW w:w="0" w:type="dxa"/>
            <w:noWrap/>
            <w:hideMark/>
          </w:tcPr>
          <w:p w14:paraId="794F24B2" w14:textId="77777777" w:rsidR="00813F0B" w:rsidRPr="000973F2" w:rsidRDefault="00813F0B" w:rsidP="005012D0">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sz w:val="18"/>
                <w:szCs w:val="18"/>
              </w:rPr>
            </w:pPr>
            <w:r w:rsidRPr="000973F2">
              <w:rPr>
                <w:rFonts w:ascii="Times New Roman" w:eastAsia="Times New Roman" w:hAnsi="Times New Roman" w:cs="Times New Roman"/>
                <w:b/>
                <w:sz w:val="18"/>
                <w:szCs w:val="18"/>
              </w:rPr>
              <w:t>$0</w:t>
            </w:r>
          </w:p>
        </w:tc>
        <w:tc>
          <w:tcPr>
            <w:tcW w:w="0" w:type="dxa"/>
            <w:noWrap/>
            <w:hideMark/>
          </w:tcPr>
          <w:p w14:paraId="6C3FCAAE" w14:textId="77777777" w:rsidR="00813F0B" w:rsidRPr="000973F2" w:rsidRDefault="00813F0B" w:rsidP="005012D0">
            <w:pPr>
              <w:tabs>
                <w:tab w:val="decimal" w:pos="676"/>
              </w:tabs>
              <w:spacing w:before="40" w:after="4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sz w:val="18"/>
                <w:szCs w:val="18"/>
              </w:rPr>
            </w:pPr>
            <w:r w:rsidRPr="000973F2">
              <w:rPr>
                <w:rFonts w:ascii="Times New Roman" w:eastAsia="Times New Roman" w:hAnsi="Times New Roman" w:cs="Times New Roman"/>
                <w:b/>
                <w:sz w:val="18"/>
                <w:szCs w:val="18"/>
              </w:rPr>
              <w:t>$530</w:t>
            </w:r>
          </w:p>
        </w:tc>
      </w:tr>
    </w:tbl>
    <w:p w14:paraId="2DB02E27" w14:textId="77777777" w:rsidR="00813F0B" w:rsidRPr="000973F2" w:rsidRDefault="00813F0B" w:rsidP="00C00E4F">
      <w:pPr>
        <w:spacing w:line="240" w:lineRule="auto"/>
        <w:rPr>
          <w:rFonts w:ascii="Times New Roman" w:hAnsi="Times New Roman" w:cs="Times New Roman"/>
          <w:b/>
          <w:i/>
        </w:rPr>
      </w:pPr>
    </w:p>
    <w:p w14:paraId="5AE75593" w14:textId="12D75836" w:rsidR="00813F0B" w:rsidRPr="000973F2" w:rsidRDefault="008854F6" w:rsidP="005012D0">
      <w:pPr>
        <w:pStyle w:val="Tabletitle"/>
      </w:pPr>
      <w:r w:rsidRPr="000973F2">
        <w:t xml:space="preserve">Table </w:t>
      </w:r>
      <w:r w:rsidR="005012D0" w:rsidRPr="000973F2">
        <w:t>N-</w:t>
      </w:r>
      <w:r w:rsidRPr="000973F2">
        <w:t xml:space="preserve">2c. Capital and O&amp;M Costs </w:t>
      </w:r>
      <w:r w:rsidR="005012D0" w:rsidRPr="000973F2">
        <w:t>–</w:t>
      </w:r>
      <w:r w:rsidRPr="000973F2">
        <w:t xml:space="preserve"> </w:t>
      </w:r>
      <w:r w:rsidR="00813F0B" w:rsidRPr="000973F2">
        <w:t>Subpart N – Non-CEMS Default Mass Fraction Option</w:t>
      </w:r>
    </w:p>
    <w:tbl>
      <w:tblPr>
        <w:tblStyle w:val="PlainTable1"/>
        <w:tblW w:w="5000" w:type="pct"/>
        <w:jc w:val="left"/>
        <w:tblLayout w:type="fixed"/>
        <w:tblCellMar>
          <w:left w:w="115" w:type="dxa"/>
          <w:right w:w="115" w:type="dxa"/>
        </w:tblCellMar>
        <w:tblLook w:val="04A0" w:firstRow="1" w:lastRow="0" w:firstColumn="1" w:lastColumn="0" w:noHBand="0" w:noVBand="1"/>
      </w:tblPr>
      <w:tblGrid>
        <w:gridCol w:w="1370"/>
        <w:gridCol w:w="1370"/>
        <w:gridCol w:w="1370"/>
        <w:gridCol w:w="1370"/>
        <w:gridCol w:w="1370"/>
        <w:gridCol w:w="1370"/>
        <w:gridCol w:w="1370"/>
      </w:tblGrid>
      <w:tr w:rsidR="00FF36E8" w:rsidRPr="000973F2" w14:paraId="0556D5C4" w14:textId="77777777" w:rsidTr="005012D0">
        <w:trPr>
          <w:cnfStyle w:val="100000000000" w:firstRow="1" w:lastRow="0" w:firstColumn="0" w:lastColumn="0" w:oddVBand="0" w:evenVBand="0" w:oddHBand="0" w:evenHBand="0" w:firstRowFirstColumn="0" w:firstRowLastColumn="0" w:lastRowFirstColumn="0" w:lastRowLastColumn="0"/>
          <w:cantSplit/>
          <w:jc w:val="left"/>
        </w:trPr>
        <w:tc>
          <w:tcPr>
            <w:cnfStyle w:val="001000000000" w:firstRow="0" w:lastRow="0" w:firstColumn="1" w:lastColumn="0" w:oddVBand="0" w:evenVBand="0" w:oddHBand="0" w:evenHBand="0" w:firstRowFirstColumn="0" w:firstRowLastColumn="0" w:lastRowFirstColumn="0" w:lastRowLastColumn="0"/>
            <w:tcW w:w="0" w:type="dxa"/>
            <w:vMerge w:val="restart"/>
            <w:noWrap/>
            <w:vAlign w:val="top"/>
            <w:hideMark/>
          </w:tcPr>
          <w:p w14:paraId="77CAC636" w14:textId="180FFDBC" w:rsidR="00FF36E8" w:rsidRPr="000973F2" w:rsidRDefault="00FF36E8" w:rsidP="005012D0">
            <w:pPr>
              <w:spacing w:before="40" w:after="40"/>
              <w:rPr>
                <w:rFonts w:ascii="Times New Roman" w:eastAsia="Times New Roman" w:hAnsi="Times New Roman" w:cs="Times New Roman"/>
                <w:b w:val="0"/>
                <w:bCs w:val="0"/>
                <w:sz w:val="18"/>
                <w:szCs w:val="18"/>
              </w:rPr>
            </w:pPr>
            <w:r w:rsidRPr="000973F2">
              <w:rPr>
                <w:rFonts w:ascii="Times New Roman" w:eastAsia="Times New Roman" w:hAnsi="Times New Roman" w:cs="Times New Roman"/>
                <w:sz w:val="18"/>
                <w:szCs w:val="18"/>
              </w:rPr>
              <w:t>Activity</w:t>
            </w:r>
          </w:p>
        </w:tc>
        <w:tc>
          <w:tcPr>
            <w:tcW w:w="0" w:type="dxa"/>
            <w:gridSpan w:val="4"/>
            <w:noWrap/>
            <w:vAlign w:val="top"/>
            <w:hideMark/>
          </w:tcPr>
          <w:p w14:paraId="3922EF57" w14:textId="77777777" w:rsidR="00FF36E8" w:rsidRPr="000973F2" w:rsidRDefault="00FF36E8" w:rsidP="005012D0">
            <w:pPr>
              <w:spacing w:before="40" w:after="40"/>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bCs w:val="0"/>
                <w:sz w:val="18"/>
                <w:szCs w:val="18"/>
              </w:rPr>
            </w:pPr>
            <w:r w:rsidRPr="000973F2">
              <w:rPr>
                <w:rFonts w:ascii="Times New Roman" w:eastAsia="Times New Roman" w:hAnsi="Times New Roman" w:cs="Times New Roman"/>
                <w:sz w:val="18"/>
                <w:szCs w:val="18"/>
              </w:rPr>
              <w:t>Cost Categories</w:t>
            </w:r>
          </w:p>
        </w:tc>
        <w:tc>
          <w:tcPr>
            <w:tcW w:w="0" w:type="dxa"/>
            <w:gridSpan w:val="2"/>
            <w:vAlign w:val="top"/>
            <w:hideMark/>
          </w:tcPr>
          <w:p w14:paraId="44CCF16E" w14:textId="78E5C934" w:rsidR="00FF36E8" w:rsidRPr="000973F2" w:rsidRDefault="00FF36E8" w:rsidP="005012D0">
            <w:pPr>
              <w:spacing w:before="40" w:after="40"/>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bCs w:val="0"/>
                <w:sz w:val="18"/>
                <w:szCs w:val="18"/>
              </w:rPr>
            </w:pPr>
            <w:r w:rsidRPr="000973F2">
              <w:rPr>
                <w:rFonts w:ascii="Times New Roman" w:eastAsia="Times New Roman" w:hAnsi="Times New Roman" w:cs="Times New Roman"/>
                <w:sz w:val="18"/>
                <w:szCs w:val="18"/>
              </w:rPr>
              <w:t>Total Capital and O&amp;M Cost per Year per Facility (2017$)</w:t>
            </w:r>
          </w:p>
        </w:tc>
      </w:tr>
      <w:tr w:rsidR="00FF36E8" w:rsidRPr="000973F2" w14:paraId="053448CF" w14:textId="77777777" w:rsidTr="005012D0">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0" w:type="dxa"/>
            <w:vMerge/>
            <w:noWrap/>
            <w:hideMark/>
          </w:tcPr>
          <w:p w14:paraId="6F537AA5" w14:textId="1A788B7B" w:rsidR="00FF36E8" w:rsidRPr="000973F2" w:rsidRDefault="00FF36E8" w:rsidP="005012D0">
            <w:pPr>
              <w:spacing w:before="40" w:after="40"/>
              <w:jc w:val="center"/>
              <w:rPr>
                <w:rFonts w:ascii="Times New Roman" w:eastAsia="Times New Roman" w:hAnsi="Times New Roman" w:cs="Times New Roman"/>
                <w:b/>
                <w:bCs w:val="0"/>
                <w:sz w:val="18"/>
                <w:szCs w:val="18"/>
              </w:rPr>
            </w:pPr>
          </w:p>
        </w:tc>
        <w:tc>
          <w:tcPr>
            <w:tcW w:w="0" w:type="dxa"/>
            <w:hideMark/>
          </w:tcPr>
          <w:p w14:paraId="7094FFDA" w14:textId="77777777" w:rsidR="00FF36E8" w:rsidRPr="000973F2" w:rsidRDefault="00FF36E8" w:rsidP="005012D0">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18"/>
                <w:szCs w:val="18"/>
              </w:rPr>
            </w:pPr>
            <w:r w:rsidRPr="000973F2">
              <w:rPr>
                <w:rFonts w:ascii="Times New Roman" w:eastAsia="Times New Roman" w:hAnsi="Times New Roman" w:cs="Times New Roman"/>
                <w:b/>
                <w:bCs/>
                <w:sz w:val="18"/>
                <w:szCs w:val="18"/>
              </w:rPr>
              <w:t>Capital Cost (2017$)</w:t>
            </w:r>
          </w:p>
        </w:tc>
        <w:tc>
          <w:tcPr>
            <w:tcW w:w="0" w:type="dxa"/>
            <w:hideMark/>
          </w:tcPr>
          <w:p w14:paraId="1F284E66" w14:textId="77777777" w:rsidR="00FF36E8" w:rsidRPr="000973F2" w:rsidRDefault="00FF36E8" w:rsidP="005012D0">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18"/>
                <w:szCs w:val="18"/>
              </w:rPr>
            </w:pPr>
            <w:r w:rsidRPr="000973F2">
              <w:rPr>
                <w:rFonts w:ascii="Times New Roman" w:eastAsia="Times New Roman" w:hAnsi="Times New Roman" w:cs="Times New Roman"/>
                <w:b/>
                <w:bCs/>
                <w:sz w:val="18"/>
                <w:szCs w:val="18"/>
              </w:rPr>
              <w:t>Equipment Lifetime</w:t>
            </w:r>
          </w:p>
        </w:tc>
        <w:tc>
          <w:tcPr>
            <w:tcW w:w="0" w:type="dxa"/>
            <w:hideMark/>
          </w:tcPr>
          <w:p w14:paraId="685470CD" w14:textId="77777777" w:rsidR="00FF36E8" w:rsidRPr="000973F2" w:rsidRDefault="00FF36E8" w:rsidP="005012D0">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18"/>
                <w:szCs w:val="18"/>
              </w:rPr>
            </w:pPr>
            <w:r w:rsidRPr="000973F2">
              <w:rPr>
                <w:rFonts w:ascii="Times New Roman" w:eastAsia="Times New Roman" w:hAnsi="Times New Roman" w:cs="Times New Roman"/>
                <w:b/>
                <w:bCs/>
                <w:sz w:val="18"/>
                <w:szCs w:val="18"/>
              </w:rPr>
              <w:t>Annualized Capital Cost (2017$/year)</w:t>
            </w:r>
          </w:p>
        </w:tc>
        <w:tc>
          <w:tcPr>
            <w:tcW w:w="0" w:type="dxa"/>
            <w:hideMark/>
          </w:tcPr>
          <w:p w14:paraId="0A7848D6" w14:textId="77777777" w:rsidR="00FF36E8" w:rsidRPr="000973F2" w:rsidRDefault="00FF36E8" w:rsidP="005012D0">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18"/>
                <w:szCs w:val="18"/>
              </w:rPr>
            </w:pPr>
            <w:r w:rsidRPr="000973F2">
              <w:rPr>
                <w:rFonts w:ascii="Times New Roman" w:eastAsia="Times New Roman" w:hAnsi="Times New Roman" w:cs="Times New Roman"/>
                <w:b/>
                <w:bCs/>
                <w:sz w:val="18"/>
                <w:szCs w:val="18"/>
              </w:rPr>
              <w:t>O&amp;M Costs (2017$/year)</w:t>
            </w:r>
          </w:p>
        </w:tc>
        <w:tc>
          <w:tcPr>
            <w:tcW w:w="0" w:type="dxa"/>
            <w:hideMark/>
          </w:tcPr>
          <w:p w14:paraId="438EDD7C" w14:textId="77777777" w:rsidR="00FF36E8" w:rsidRPr="000973F2" w:rsidRDefault="00FF36E8" w:rsidP="005012D0">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18"/>
                <w:szCs w:val="18"/>
              </w:rPr>
            </w:pPr>
            <w:r w:rsidRPr="000973F2">
              <w:rPr>
                <w:rFonts w:ascii="Times New Roman" w:eastAsia="Times New Roman" w:hAnsi="Times New Roman" w:cs="Times New Roman"/>
                <w:b/>
                <w:bCs/>
                <w:sz w:val="18"/>
                <w:szCs w:val="18"/>
              </w:rPr>
              <w:t>Initial Year</w:t>
            </w:r>
          </w:p>
        </w:tc>
        <w:tc>
          <w:tcPr>
            <w:tcW w:w="0" w:type="dxa"/>
            <w:hideMark/>
          </w:tcPr>
          <w:p w14:paraId="5AD3AA2C" w14:textId="77777777" w:rsidR="00FF36E8" w:rsidRPr="000973F2" w:rsidRDefault="00FF36E8" w:rsidP="005012D0">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18"/>
                <w:szCs w:val="18"/>
              </w:rPr>
            </w:pPr>
            <w:r w:rsidRPr="000973F2">
              <w:rPr>
                <w:rFonts w:ascii="Times New Roman" w:eastAsia="Times New Roman" w:hAnsi="Times New Roman" w:cs="Times New Roman"/>
                <w:b/>
                <w:bCs/>
                <w:sz w:val="18"/>
                <w:szCs w:val="18"/>
              </w:rPr>
              <w:t>Subseq. Years</w:t>
            </w:r>
          </w:p>
        </w:tc>
      </w:tr>
      <w:tr w:rsidR="003E005F" w:rsidRPr="000973F2" w14:paraId="79DC172E" w14:textId="77777777" w:rsidTr="005012D0">
        <w:trPr>
          <w:cantSplit/>
        </w:trPr>
        <w:tc>
          <w:tcPr>
            <w:cnfStyle w:val="001000000000" w:firstRow="0" w:lastRow="0" w:firstColumn="1" w:lastColumn="0" w:oddVBand="0" w:evenVBand="0" w:oddHBand="0" w:evenHBand="0" w:firstRowFirstColumn="0" w:firstRowLastColumn="0" w:lastRowFirstColumn="0" w:lastRowLastColumn="0"/>
            <w:tcW w:w="0" w:type="dxa"/>
            <w:hideMark/>
          </w:tcPr>
          <w:p w14:paraId="41D9D31D" w14:textId="77777777" w:rsidR="003E005F" w:rsidRPr="000973F2" w:rsidRDefault="003E005F" w:rsidP="005012D0">
            <w:pPr>
              <w:spacing w:before="40" w:after="4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Equipment (selection, purchase, installation)</w:t>
            </w:r>
          </w:p>
        </w:tc>
        <w:tc>
          <w:tcPr>
            <w:tcW w:w="0" w:type="dxa"/>
            <w:noWrap/>
            <w:hideMark/>
          </w:tcPr>
          <w:p w14:paraId="5C84D5ED" w14:textId="67093BA3" w:rsidR="003E005F" w:rsidRPr="000973F2" w:rsidRDefault="005012D0" w:rsidP="005012D0">
            <w:pPr>
              <w:spacing w:before="40" w:after="4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w:t>
            </w:r>
          </w:p>
        </w:tc>
        <w:tc>
          <w:tcPr>
            <w:tcW w:w="0" w:type="dxa"/>
            <w:noWrap/>
          </w:tcPr>
          <w:p w14:paraId="6F0FCF7E" w14:textId="3D598081" w:rsidR="003E005F" w:rsidRPr="000973F2" w:rsidRDefault="003E005F" w:rsidP="005012D0">
            <w:pPr>
              <w:spacing w:before="40" w:after="4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p>
        </w:tc>
        <w:tc>
          <w:tcPr>
            <w:tcW w:w="0" w:type="dxa"/>
            <w:noWrap/>
            <w:hideMark/>
          </w:tcPr>
          <w:p w14:paraId="4C981247" w14:textId="3EEBC67D" w:rsidR="003E005F" w:rsidRPr="000973F2" w:rsidRDefault="005012D0" w:rsidP="005012D0">
            <w:pPr>
              <w:spacing w:before="40" w:after="4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w:t>
            </w:r>
          </w:p>
        </w:tc>
        <w:tc>
          <w:tcPr>
            <w:tcW w:w="0" w:type="dxa"/>
            <w:noWrap/>
            <w:hideMark/>
          </w:tcPr>
          <w:p w14:paraId="0102113A" w14:textId="5539BF9B" w:rsidR="003E005F" w:rsidRPr="000973F2" w:rsidRDefault="005012D0" w:rsidP="005012D0">
            <w:pPr>
              <w:spacing w:before="40" w:after="4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w:t>
            </w:r>
          </w:p>
        </w:tc>
        <w:tc>
          <w:tcPr>
            <w:tcW w:w="0" w:type="dxa"/>
            <w:noWrap/>
            <w:hideMark/>
          </w:tcPr>
          <w:p w14:paraId="475B92F8" w14:textId="6145EA0B" w:rsidR="003E005F" w:rsidRPr="000973F2" w:rsidRDefault="005012D0" w:rsidP="005012D0">
            <w:pPr>
              <w:spacing w:before="40" w:after="4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w:t>
            </w:r>
          </w:p>
        </w:tc>
        <w:tc>
          <w:tcPr>
            <w:tcW w:w="0" w:type="dxa"/>
            <w:noWrap/>
            <w:hideMark/>
          </w:tcPr>
          <w:p w14:paraId="1F221714" w14:textId="2A08BF62" w:rsidR="003E005F" w:rsidRPr="000973F2" w:rsidRDefault="005012D0" w:rsidP="005012D0">
            <w:pPr>
              <w:spacing w:before="40" w:after="4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w:t>
            </w:r>
          </w:p>
        </w:tc>
      </w:tr>
      <w:tr w:rsidR="00B42F50" w:rsidRPr="000973F2" w14:paraId="071B23B9" w14:textId="77777777" w:rsidTr="005012D0">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0" w:type="dxa"/>
            <w:hideMark/>
          </w:tcPr>
          <w:p w14:paraId="0B723367" w14:textId="77777777" w:rsidR="003E005F" w:rsidRPr="000973F2" w:rsidRDefault="003E005F" w:rsidP="005012D0">
            <w:pPr>
              <w:spacing w:before="40" w:after="4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Performance testing</w:t>
            </w:r>
          </w:p>
        </w:tc>
        <w:tc>
          <w:tcPr>
            <w:tcW w:w="0" w:type="dxa"/>
            <w:noWrap/>
            <w:hideMark/>
          </w:tcPr>
          <w:p w14:paraId="372ABB47" w14:textId="7C537666" w:rsidR="003E005F" w:rsidRPr="000973F2" w:rsidRDefault="005012D0" w:rsidP="005012D0">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w:t>
            </w:r>
          </w:p>
        </w:tc>
        <w:tc>
          <w:tcPr>
            <w:tcW w:w="0" w:type="dxa"/>
            <w:noWrap/>
          </w:tcPr>
          <w:p w14:paraId="7D5F69DB" w14:textId="15F64B4E" w:rsidR="003E005F" w:rsidRPr="000973F2" w:rsidRDefault="003E005F" w:rsidP="005012D0">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p>
        </w:tc>
        <w:tc>
          <w:tcPr>
            <w:tcW w:w="0" w:type="dxa"/>
            <w:noWrap/>
            <w:hideMark/>
          </w:tcPr>
          <w:p w14:paraId="506CF94F" w14:textId="6C436772" w:rsidR="003E005F" w:rsidRPr="000973F2" w:rsidRDefault="005012D0" w:rsidP="005012D0">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w:t>
            </w:r>
          </w:p>
        </w:tc>
        <w:tc>
          <w:tcPr>
            <w:tcW w:w="0" w:type="dxa"/>
            <w:noWrap/>
            <w:hideMark/>
          </w:tcPr>
          <w:p w14:paraId="7FA52430" w14:textId="07BFAF64" w:rsidR="003E005F" w:rsidRPr="000973F2" w:rsidRDefault="005012D0" w:rsidP="005012D0">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w:t>
            </w:r>
          </w:p>
        </w:tc>
        <w:tc>
          <w:tcPr>
            <w:tcW w:w="0" w:type="dxa"/>
            <w:noWrap/>
            <w:hideMark/>
          </w:tcPr>
          <w:p w14:paraId="7D6A3321" w14:textId="39A5B8FE" w:rsidR="003E005F" w:rsidRPr="000973F2" w:rsidRDefault="005012D0" w:rsidP="005012D0">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w:t>
            </w:r>
          </w:p>
        </w:tc>
        <w:tc>
          <w:tcPr>
            <w:tcW w:w="0" w:type="dxa"/>
            <w:noWrap/>
            <w:hideMark/>
          </w:tcPr>
          <w:p w14:paraId="6E387631" w14:textId="6F5E62E9" w:rsidR="003E005F" w:rsidRPr="000973F2" w:rsidRDefault="005012D0" w:rsidP="005012D0">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w:t>
            </w:r>
          </w:p>
        </w:tc>
      </w:tr>
      <w:tr w:rsidR="00813F0B" w:rsidRPr="000973F2" w14:paraId="41DCA332" w14:textId="77777777" w:rsidTr="005012D0">
        <w:trPr>
          <w:cantSplit/>
        </w:trPr>
        <w:tc>
          <w:tcPr>
            <w:cnfStyle w:val="001000000000" w:firstRow="0" w:lastRow="0" w:firstColumn="1" w:lastColumn="0" w:oddVBand="0" w:evenVBand="0" w:oddHBand="0" w:evenHBand="0" w:firstRowFirstColumn="0" w:firstRowLastColumn="0" w:lastRowFirstColumn="0" w:lastRowLastColumn="0"/>
            <w:tcW w:w="0" w:type="dxa"/>
            <w:hideMark/>
          </w:tcPr>
          <w:p w14:paraId="373635AB" w14:textId="77777777" w:rsidR="00813F0B" w:rsidRPr="000973F2" w:rsidRDefault="00813F0B" w:rsidP="005012D0">
            <w:pPr>
              <w:spacing w:before="40" w:after="4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Recordkeeping</w:t>
            </w:r>
          </w:p>
        </w:tc>
        <w:tc>
          <w:tcPr>
            <w:tcW w:w="0" w:type="dxa"/>
            <w:noWrap/>
            <w:hideMark/>
          </w:tcPr>
          <w:p w14:paraId="35B5A335" w14:textId="77777777" w:rsidR="00813F0B" w:rsidRPr="000973F2" w:rsidRDefault="00813F0B" w:rsidP="005012D0">
            <w:pPr>
              <w:spacing w:before="40" w:after="4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$0</w:t>
            </w:r>
          </w:p>
        </w:tc>
        <w:tc>
          <w:tcPr>
            <w:tcW w:w="0" w:type="dxa"/>
            <w:noWrap/>
          </w:tcPr>
          <w:p w14:paraId="14430A0A" w14:textId="1F311435" w:rsidR="00813F0B" w:rsidRPr="000973F2" w:rsidRDefault="00813F0B" w:rsidP="005012D0">
            <w:pPr>
              <w:spacing w:before="40" w:after="4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p>
        </w:tc>
        <w:tc>
          <w:tcPr>
            <w:tcW w:w="0" w:type="dxa"/>
            <w:noWrap/>
            <w:hideMark/>
          </w:tcPr>
          <w:p w14:paraId="6AE4D6AE" w14:textId="77777777" w:rsidR="00813F0B" w:rsidRPr="000973F2" w:rsidRDefault="00813F0B" w:rsidP="005012D0">
            <w:pPr>
              <w:spacing w:before="40" w:after="4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$0</w:t>
            </w:r>
          </w:p>
        </w:tc>
        <w:tc>
          <w:tcPr>
            <w:tcW w:w="0" w:type="dxa"/>
            <w:noWrap/>
            <w:hideMark/>
          </w:tcPr>
          <w:p w14:paraId="680CC220" w14:textId="77777777" w:rsidR="00813F0B" w:rsidRPr="000973F2" w:rsidRDefault="00813F0B" w:rsidP="005012D0">
            <w:pPr>
              <w:spacing w:before="40" w:after="4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$50</w:t>
            </w:r>
          </w:p>
        </w:tc>
        <w:tc>
          <w:tcPr>
            <w:tcW w:w="0" w:type="dxa"/>
            <w:noWrap/>
            <w:hideMark/>
          </w:tcPr>
          <w:p w14:paraId="4C803BA3" w14:textId="77777777" w:rsidR="00813F0B" w:rsidRPr="000973F2" w:rsidRDefault="00813F0B" w:rsidP="005012D0">
            <w:pPr>
              <w:spacing w:before="40" w:after="4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$50</w:t>
            </w:r>
          </w:p>
        </w:tc>
        <w:tc>
          <w:tcPr>
            <w:tcW w:w="0" w:type="dxa"/>
            <w:noWrap/>
            <w:hideMark/>
          </w:tcPr>
          <w:p w14:paraId="6E7CB946" w14:textId="77777777" w:rsidR="00813F0B" w:rsidRPr="000973F2" w:rsidRDefault="00813F0B" w:rsidP="005012D0">
            <w:pPr>
              <w:spacing w:before="40" w:after="4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$50</w:t>
            </w:r>
          </w:p>
        </w:tc>
      </w:tr>
      <w:tr w:rsidR="00B42F50" w:rsidRPr="000973F2" w14:paraId="79308EE0" w14:textId="77777777" w:rsidTr="005012D0">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0" w:type="dxa"/>
            <w:hideMark/>
          </w:tcPr>
          <w:p w14:paraId="486D9D3D" w14:textId="77777777" w:rsidR="003E005F" w:rsidRPr="000973F2" w:rsidRDefault="003E005F" w:rsidP="005012D0">
            <w:pPr>
              <w:spacing w:before="40" w:after="4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Travel</w:t>
            </w:r>
          </w:p>
        </w:tc>
        <w:tc>
          <w:tcPr>
            <w:tcW w:w="0" w:type="dxa"/>
            <w:noWrap/>
            <w:hideMark/>
          </w:tcPr>
          <w:p w14:paraId="30361277" w14:textId="5547D045" w:rsidR="003E005F" w:rsidRPr="000973F2" w:rsidRDefault="005012D0" w:rsidP="005012D0">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w:t>
            </w:r>
          </w:p>
        </w:tc>
        <w:tc>
          <w:tcPr>
            <w:tcW w:w="0" w:type="dxa"/>
            <w:noWrap/>
          </w:tcPr>
          <w:p w14:paraId="256F28E3" w14:textId="2755BF38" w:rsidR="003E005F" w:rsidRPr="000973F2" w:rsidRDefault="003E005F" w:rsidP="005012D0">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p>
        </w:tc>
        <w:tc>
          <w:tcPr>
            <w:tcW w:w="0" w:type="dxa"/>
            <w:noWrap/>
            <w:hideMark/>
          </w:tcPr>
          <w:p w14:paraId="34805525" w14:textId="0D15FCD0" w:rsidR="003E005F" w:rsidRPr="000973F2" w:rsidRDefault="005012D0" w:rsidP="005012D0">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w:t>
            </w:r>
          </w:p>
        </w:tc>
        <w:tc>
          <w:tcPr>
            <w:tcW w:w="0" w:type="dxa"/>
            <w:noWrap/>
            <w:hideMark/>
          </w:tcPr>
          <w:p w14:paraId="3A4F4DA0" w14:textId="0092A564" w:rsidR="003E005F" w:rsidRPr="000973F2" w:rsidRDefault="005012D0" w:rsidP="005012D0">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w:t>
            </w:r>
          </w:p>
        </w:tc>
        <w:tc>
          <w:tcPr>
            <w:tcW w:w="0" w:type="dxa"/>
            <w:noWrap/>
            <w:hideMark/>
          </w:tcPr>
          <w:p w14:paraId="0F61BD28" w14:textId="5F4611BE" w:rsidR="003E005F" w:rsidRPr="000973F2" w:rsidRDefault="005012D0" w:rsidP="005012D0">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w:t>
            </w:r>
          </w:p>
        </w:tc>
        <w:tc>
          <w:tcPr>
            <w:tcW w:w="0" w:type="dxa"/>
            <w:noWrap/>
            <w:hideMark/>
          </w:tcPr>
          <w:p w14:paraId="33A26CB1" w14:textId="5813079F" w:rsidR="003E005F" w:rsidRPr="000973F2" w:rsidRDefault="005012D0" w:rsidP="005012D0">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w:t>
            </w:r>
          </w:p>
        </w:tc>
      </w:tr>
      <w:tr w:rsidR="003E005F" w:rsidRPr="000973F2" w14:paraId="4D48E8A8" w14:textId="77777777" w:rsidTr="005012D0">
        <w:trPr>
          <w:cantSplit/>
        </w:trPr>
        <w:tc>
          <w:tcPr>
            <w:cnfStyle w:val="001000000000" w:firstRow="0" w:lastRow="0" w:firstColumn="1" w:lastColumn="0" w:oddVBand="0" w:evenVBand="0" w:oddHBand="0" w:evenHBand="0" w:firstRowFirstColumn="0" w:firstRowLastColumn="0" w:lastRowFirstColumn="0" w:lastRowLastColumn="0"/>
            <w:tcW w:w="0" w:type="dxa"/>
            <w:hideMark/>
          </w:tcPr>
          <w:p w14:paraId="56E619A4" w14:textId="63BF1253" w:rsidR="003E005F" w:rsidRPr="000973F2" w:rsidRDefault="003E005F" w:rsidP="005012D0">
            <w:pPr>
              <w:spacing w:before="40" w:after="4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Sampling and Analysis Costs</w:t>
            </w:r>
          </w:p>
        </w:tc>
        <w:tc>
          <w:tcPr>
            <w:tcW w:w="0" w:type="dxa"/>
            <w:noWrap/>
            <w:hideMark/>
          </w:tcPr>
          <w:p w14:paraId="54728291" w14:textId="58F4D2F0" w:rsidR="003E005F" w:rsidRPr="000973F2" w:rsidRDefault="005012D0" w:rsidP="005012D0">
            <w:pPr>
              <w:spacing w:before="40" w:after="4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w:t>
            </w:r>
          </w:p>
        </w:tc>
        <w:tc>
          <w:tcPr>
            <w:tcW w:w="0" w:type="dxa"/>
            <w:noWrap/>
          </w:tcPr>
          <w:p w14:paraId="4807D449" w14:textId="1DE40084" w:rsidR="003E005F" w:rsidRPr="000973F2" w:rsidRDefault="003E005F" w:rsidP="005012D0">
            <w:pPr>
              <w:spacing w:before="40" w:after="4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p>
        </w:tc>
        <w:tc>
          <w:tcPr>
            <w:tcW w:w="0" w:type="dxa"/>
            <w:noWrap/>
            <w:hideMark/>
          </w:tcPr>
          <w:p w14:paraId="6F67C5AA" w14:textId="032C0986" w:rsidR="003E005F" w:rsidRPr="000973F2" w:rsidRDefault="005012D0" w:rsidP="005012D0">
            <w:pPr>
              <w:spacing w:before="40" w:after="4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w:t>
            </w:r>
          </w:p>
        </w:tc>
        <w:tc>
          <w:tcPr>
            <w:tcW w:w="0" w:type="dxa"/>
            <w:noWrap/>
            <w:hideMark/>
          </w:tcPr>
          <w:p w14:paraId="7B170018" w14:textId="0CD7B2B5" w:rsidR="003E005F" w:rsidRPr="000973F2" w:rsidRDefault="005012D0" w:rsidP="005012D0">
            <w:pPr>
              <w:spacing w:before="40" w:after="4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w:t>
            </w:r>
          </w:p>
        </w:tc>
        <w:tc>
          <w:tcPr>
            <w:tcW w:w="0" w:type="dxa"/>
            <w:noWrap/>
            <w:hideMark/>
          </w:tcPr>
          <w:p w14:paraId="3C6B83F1" w14:textId="030BB8F7" w:rsidR="003E005F" w:rsidRPr="000973F2" w:rsidRDefault="005012D0" w:rsidP="005012D0">
            <w:pPr>
              <w:spacing w:before="40" w:after="4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w:t>
            </w:r>
          </w:p>
        </w:tc>
        <w:tc>
          <w:tcPr>
            <w:tcW w:w="0" w:type="dxa"/>
            <w:noWrap/>
            <w:hideMark/>
          </w:tcPr>
          <w:p w14:paraId="03B18BB2" w14:textId="2E852B02" w:rsidR="003E005F" w:rsidRPr="000973F2" w:rsidRDefault="005012D0" w:rsidP="005012D0">
            <w:pPr>
              <w:spacing w:before="40" w:after="4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w:t>
            </w:r>
          </w:p>
        </w:tc>
      </w:tr>
      <w:tr w:rsidR="00813F0B" w:rsidRPr="000973F2" w14:paraId="00E031DA" w14:textId="77777777" w:rsidTr="005012D0">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0" w:type="dxa"/>
            <w:hideMark/>
          </w:tcPr>
          <w:p w14:paraId="01124954" w14:textId="77777777" w:rsidR="00813F0B" w:rsidRPr="000973F2" w:rsidRDefault="00813F0B" w:rsidP="005012D0">
            <w:pPr>
              <w:spacing w:before="40" w:after="40"/>
              <w:rPr>
                <w:rFonts w:ascii="Times New Roman" w:eastAsia="Times New Roman" w:hAnsi="Times New Roman" w:cs="Times New Roman"/>
                <w:b/>
                <w:bCs w:val="0"/>
                <w:sz w:val="18"/>
                <w:szCs w:val="18"/>
              </w:rPr>
            </w:pPr>
            <w:r w:rsidRPr="000973F2">
              <w:rPr>
                <w:rFonts w:ascii="Times New Roman" w:eastAsia="Times New Roman" w:hAnsi="Times New Roman" w:cs="Times New Roman"/>
                <w:b/>
                <w:sz w:val="18"/>
                <w:szCs w:val="18"/>
              </w:rPr>
              <w:t>Total</w:t>
            </w:r>
          </w:p>
        </w:tc>
        <w:tc>
          <w:tcPr>
            <w:tcW w:w="0" w:type="dxa"/>
            <w:noWrap/>
            <w:hideMark/>
          </w:tcPr>
          <w:p w14:paraId="3593DC41" w14:textId="77777777" w:rsidR="00813F0B" w:rsidRPr="000973F2" w:rsidRDefault="00813F0B" w:rsidP="005012D0">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sz w:val="18"/>
                <w:szCs w:val="18"/>
              </w:rPr>
            </w:pPr>
            <w:r w:rsidRPr="000973F2">
              <w:rPr>
                <w:rFonts w:ascii="Times New Roman" w:eastAsia="Times New Roman" w:hAnsi="Times New Roman" w:cs="Times New Roman"/>
                <w:b/>
                <w:sz w:val="18"/>
                <w:szCs w:val="18"/>
              </w:rPr>
              <w:t>$0</w:t>
            </w:r>
          </w:p>
        </w:tc>
        <w:tc>
          <w:tcPr>
            <w:tcW w:w="0" w:type="dxa"/>
            <w:noWrap/>
            <w:hideMark/>
          </w:tcPr>
          <w:p w14:paraId="0475810F" w14:textId="45CFC950" w:rsidR="00813F0B" w:rsidRPr="000973F2" w:rsidRDefault="00813F0B" w:rsidP="005012D0">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sz w:val="18"/>
                <w:szCs w:val="18"/>
              </w:rPr>
            </w:pPr>
          </w:p>
        </w:tc>
        <w:tc>
          <w:tcPr>
            <w:tcW w:w="0" w:type="dxa"/>
            <w:noWrap/>
            <w:hideMark/>
          </w:tcPr>
          <w:p w14:paraId="2AE4DA6B" w14:textId="77777777" w:rsidR="00813F0B" w:rsidRPr="000973F2" w:rsidRDefault="00813F0B" w:rsidP="005012D0">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sz w:val="18"/>
                <w:szCs w:val="18"/>
              </w:rPr>
            </w:pPr>
            <w:r w:rsidRPr="000973F2">
              <w:rPr>
                <w:rFonts w:ascii="Times New Roman" w:eastAsia="Times New Roman" w:hAnsi="Times New Roman" w:cs="Times New Roman"/>
                <w:b/>
                <w:sz w:val="18"/>
                <w:szCs w:val="18"/>
              </w:rPr>
              <w:t>$0</w:t>
            </w:r>
          </w:p>
        </w:tc>
        <w:tc>
          <w:tcPr>
            <w:tcW w:w="0" w:type="dxa"/>
            <w:noWrap/>
            <w:hideMark/>
          </w:tcPr>
          <w:p w14:paraId="289BF6AA" w14:textId="77777777" w:rsidR="00813F0B" w:rsidRPr="000973F2" w:rsidRDefault="00813F0B" w:rsidP="005012D0">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sz w:val="18"/>
                <w:szCs w:val="18"/>
              </w:rPr>
            </w:pPr>
            <w:r w:rsidRPr="000973F2">
              <w:rPr>
                <w:rFonts w:ascii="Times New Roman" w:eastAsia="Times New Roman" w:hAnsi="Times New Roman" w:cs="Times New Roman"/>
                <w:b/>
                <w:sz w:val="18"/>
                <w:szCs w:val="18"/>
              </w:rPr>
              <w:t>$50</w:t>
            </w:r>
          </w:p>
        </w:tc>
        <w:tc>
          <w:tcPr>
            <w:tcW w:w="0" w:type="dxa"/>
            <w:noWrap/>
            <w:hideMark/>
          </w:tcPr>
          <w:p w14:paraId="0252AFA7" w14:textId="77777777" w:rsidR="00813F0B" w:rsidRPr="000973F2" w:rsidRDefault="00813F0B" w:rsidP="005012D0">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sz w:val="18"/>
                <w:szCs w:val="18"/>
              </w:rPr>
            </w:pPr>
            <w:r w:rsidRPr="000973F2">
              <w:rPr>
                <w:rFonts w:ascii="Times New Roman" w:eastAsia="Times New Roman" w:hAnsi="Times New Roman" w:cs="Times New Roman"/>
                <w:b/>
                <w:sz w:val="18"/>
                <w:szCs w:val="18"/>
              </w:rPr>
              <w:t>$50</w:t>
            </w:r>
          </w:p>
        </w:tc>
        <w:tc>
          <w:tcPr>
            <w:tcW w:w="0" w:type="dxa"/>
            <w:noWrap/>
            <w:hideMark/>
          </w:tcPr>
          <w:p w14:paraId="39294F9E" w14:textId="77777777" w:rsidR="00813F0B" w:rsidRPr="000973F2" w:rsidRDefault="00813F0B" w:rsidP="005012D0">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sz w:val="18"/>
                <w:szCs w:val="18"/>
              </w:rPr>
            </w:pPr>
            <w:r w:rsidRPr="000973F2">
              <w:rPr>
                <w:rFonts w:ascii="Times New Roman" w:eastAsia="Times New Roman" w:hAnsi="Times New Roman" w:cs="Times New Roman"/>
                <w:b/>
                <w:sz w:val="18"/>
                <w:szCs w:val="18"/>
              </w:rPr>
              <w:t>$50</w:t>
            </w:r>
          </w:p>
        </w:tc>
      </w:tr>
    </w:tbl>
    <w:p w14:paraId="33E52D52" w14:textId="77777777" w:rsidR="00813F0B" w:rsidRPr="000973F2" w:rsidRDefault="00813F0B" w:rsidP="00C00E4F">
      <w:pPr>
        <w:spacing w:line="240" w:lineRule="auto"/>
        <w:rPr>
          <w:rFonts w:ascii="Times New Roman" w:hAnsi="Times New Roman" w:cs="Times New Roman"/>
          <w:b/>
          <w:i/>
        </w:rPr>
      </w:pPr>
    </w:p>
    <w:p w14:paraId="7A08744F" w14:textId="77777777" w:rsidR="00813F0B" w:rsidRPr="000973F2" w:rsidRDefault="00813F0B" w:rsidP="005012D0">
      <w:pPr>
        <w:pStyle w:val="Heading2"/>
      </w:pPr>
      <w:r w:rsidRPr="000973F2">
        <w:t>Total Costs for Subpart N</w:t>
      </w:r>
    </w:p>
    <w:p w14:paraId="3162F805" w14:textId="265F3978" w:rsidR="00813F0B" w:rsidRPr="000973F2" w:rsidRDefault="00813F0B" w:rsidP="005012D0">
      <w:pPr>
        <w:pStyle w:val="BodyText"/>
      </w:pPr>
      <w:r w:rsidRPr="000973F2">
        <w:t>The total industry costs related to Subpart N average approximately $</w:t>
      </w:r>
      <w:r w:rsidR="00C81741" w:rsidRPr="000973F2">
        <w:t>361</w:t>
      </w:r>
      <w:r w:rsidRPr="000973F2">
        <w:t>,000 per year for existing sources and approximately $</w:t>
      </w:r>
      <w:r w:rsidR="00382336" w:rsidRPr="000973F2">
        <w:t>3</w:t>
      </w:r>
      <w:r w:rsidRPr="000973F2">
        <w:t>,</w:t>
      </w:r>
      <w:r w:rsidR="00382336" w:rsidRPr="000973F2">
        <w:t>5</w:t>
      </w:r>
      <w:r w:rsidRPr="000973F2">
        <w:t>00 per year for new sources, for a total of approximately $</w:t>
      </w:r>
      <w:r w:rsidR="006A262B" w:rsidRPr="000973F2">
        <w:t>364</w:t>
      </w:r>
      <w:r w:rsidRPr="000973F2">
        <w:t>,</w:t>
      </w:r>
      <w:r w:rsidR="006A262B" w:rsidRPr="000973F2">
        <w:t>5</w:t>
      </w:r>
      <w:r w:rsidRPr="000973F2">
        <w:t>00 per year, and approximately $1,</w:t>
      </w:r>
      <w:r w:rsidR="00F64252" w:rsidRPr="000973F2">
        <w:t>095</w:t>
      </w:r>
      <w:r w:rsidRPr="000973F2">
        <w:t>,000 over the three-year period of the ICR. Total costs are based on 102 facilities in 2019, 103 in 2020, and 104 in 2021, which accounts for the one new facility per year.</w:t>
      </w:r>
    </w:p>
    <w:p w14:paraId="3E8096FA" w14:textId="4F8E7A43" w:rsidR="00813F0B" w:rsidRPr="000973F2" w:rsidRDefault="00813F0B" w:rsidP="00C00E4F">
      <w:pPr>
        <w:spacing w:line="240" w:lineRule="auto"/>
        <w:rPr>
          <w:rFonts w:ascii="Times New Roman" w:hAnsi="Times New Roman" w:cs="Times New Roman"/>
        </w:rPr>
      </w:pPr>
      <w:r w:rsidRPr="000973F2">
        <w:rPr>
          <w:rFonts w:ascii="Times New Roman" w:hAnsi="Times New Roman" w:cs="Times New Roman"/>
        </w:rPr>
        <w:br w:type="page"/>
      </w:r>
    </w:p>
    <w:p w14:paraId="4F9AE294" w14:textId="77777777" w:rsidR="000631A2" w:rsidRPr="000973F2" w:rsidRDefault="000631A2" w:rsidP="005012D0">
      <w:pPr>
        <w:pStyle w:val="Heading1"/>
      </w:pPr>
      <w:bookmarkStart w:id="27" w:name="_Toc10715606"/>
      <w:r w:rsidRPr="000973F2">
        <w:t>Cost Appendix for Subpart O – HCFC-22 Production and HFC-23 Destruction</w:t>
      </w:r>
      <w:bookmarkEnd w:id="27"/>
    </w:p>
    <w:p w14:paraId="03F327E4" w14:textId="77777777" w:rsidR="000631A2" w:rsidRPr="000973F2" w:rsidRDefault="000631A2" w:rsidP="005012D0">
      <w:pPr>
        <w:pStyle w:val="Heading2"/>
      </w:pPr>
      <w:r w:rsidRPr="000973F2">
        <w:t>Description of Subpart O</w:t>
      </w:r>
    </w:p>
    <w:p w14:paraId="224E0B1B" w14:textId="157C0188" w:rsidR="000631A2" w:rsidRPr="000973F2" w:rsidRDefault="000631A2" w:rsidP="005012D0">
      <w:pPr>
        <w:pStyle w:val="BodyText"/>
      </w:pPr>
      <w:r w:rsidRPr="000973F2">
        <w:t xml:space="preserve">For purposes of the GHGRP, the HCFC-22 production and HFC-23 destruction source category includes facilities that produce HCFC-22 from chloroform and hydrogen fluoride (HF) and facilities that destroy HFC-23. An HFC-23 destruction process may or may not be co-located with an HCFC-22 production process at the same facility. Subpart O requires affected facilities to report HFC-23 emissions from HCFC-22 production processes and HFC-23 destruction processes. Some facilities destroy their HFC-23 onsite and some ship the HFC-23 offsite for destruction. In RY2017, there were 4 facilities that reported to the GHGRP. (The number of </w:t>
      </w:r>
      <w:r w:rsidR="009A2506" w:rsidRPr="000973F2">
        <w:t xml:space="preserve">facilities </w:t>
      </w:r>
      <w:r w:rsidRPr="000973F2">
        <w:t xml:space="preserve">has declined over time due to phase-out of HCFC-22. When the GHGRP began, 5 facilities reported to Subpart O.) No new facilities are expected to report </w:t>
      </w:r>
      <w:r w:rsidR="003363FF" w:rsidRPr="000973F2">
        <w:t>during the</w:t>
      </w:r>
      <w:r w:rsidRPr="000973F2">
        <w:t xml:space="preserve"> </w:t>
      </w:r>
      <w:r w:rsidR="005012D0" w:rsidRPr="000973F2">
        <w:t>three-year</w:t>
      </w:r>
      <w:r w:rsidR="003363FF" w:rsidRPr="000973F2">
        <w:t xml:space="preserve"> period covered by this ICR</w:t>
      </w:r>
      <w:r w:rsidRPr="000973F2">
        <w:t xml:space="preserve">. Initial costs apply to new </w:t>
      </w:r>
      <w:r w:rsidR="009A2506" w:rsidRPr="000973F2">
        <w:t>facilities</w:t>
      </w:r>
      <w:r w:rsidRPr="000973F2">
        <w:t>; therefore, initial costs are zero in the tables below.</w:t>
      </w:r>
    </w:p>
    <w:p w14:paraId="270CC3E8" w14:textId="77777777" w:rsidR="000631A2" w:rsidRPr="000973F2" w:rsidRDefault="000631A2" w:rsidP="005012D0">
      <w:pPr>
        <w:pStyle w:val="BodyText"/>
      </w:pPr>
      <w:r w:rsidRPr="000973F2">
        <w:t>Facilities must calculate HFC-23 emissions from HCFC-22 production processes using one of two methods. Facilities may use what is essentially a material balance approach in §98.153(c) or they may use emission estimates for each emission point type using the equations in §98.153(d). Facilities must also calculate HFC-23 emissions from HFC-23 destruction processes using the method described in §§98.153(d)(3) and (4). Of the 4 facilities reporting under Subpart O, one facility produced HCFC-22 (emissions calculated by mass balance approach) and sent HFC-23 off site for destruction, one facility produced HCFC-22 (emissions calculated by emission point testing approach) and destroyed HFC-23 on site, and two facilities destroyed HFC-23 on site but did not produce HCFC-22.</w:t>
      </w:r>
    </w:p>
    <w:p w14:paraId="2FC45E7E" w14:textId="77777777" w:rsidR="000631A2" w:rsidRPr="000973F2" w:rsidRDefault="000631A2" w:rsidP="00C00E4F">
      <w:pPr>
        <w:spacing w:line="240" w:lineRule="auto"/>
        <w:rPr>
          <w:rFonts w:ascii="Times New Roman" w:hAnsi="Times New Roman" w:cs="Times New Roman"/>
          <w:b/>
          <w:i/>
        </w:rPr>
      </w:pPr>
      <w:r w:rsidRPr="000973F2">
        <w:rPr>
          <w:rFonts w:ascii="Times New Roman" w:hAnsi="Times New Roman" w:cs="Times New Roman"/>
          <w:b/>
          <w:i/>
        </w:rPr>
        <w:t>Labor Costs for Subpart O</w:t>
      </w:r>
    </w:p>
    <w:p w14:paraId="1B69DEFE" w14:textId="5D21487B" w:rsidR="000631A2" w:rsidRPr="000973F2" w:rsidRDefault="000631A2" w:rsidP="008224F5">
      <w:pPr>
        <w:pStyle w:val="BodyText"/>
      </w:pPr>
      <w:r w:rsidRPr="000973F2">
        <w:t xml:space="preserve">Tables </w:t>
      </w:r>
      <w:r w:rsidR="008224F5" w:rsidRPr="000973F2">
        <w:t>O-</w:t>
      </w:r>
      <w:r w:rsidRPr="000973F2">
        <w:t xml:space="preserve">1a through </w:t>
      </w:r>
      <w:r w:rsidR="008224F5" w:rsidRPr="000973F2">
        <w:t>O-</w:t>
      </w:r>
      <w:r w:rsidRPr="000973F2">
        <w:t xml:space="preserve">1c include the labor hours for Subpart O. Typical activities for each of the labor categories are discussed in the Cost Appendix Introduction. Recordkeeping and reporting hours </w:t>
      </w:r>
      <w:r w:rsidR="00252A6A" w:rsidRPr="000973F2">
        <w:t>are based on</w:t>
      </w:r>
      <w:r w:rsidRPr="000973F2">
        <w:t xml:space="preserve"> the “medium bin”</w:t>
      </w:r>
      <w:r w:rsidR="00252A6A" w:rsidRPr="000973F2">
        <w:t xml:space="preserve"> designation.</w:t>
      </w:r>
    </w:p>
    <w:p w14:paraId="479C7A3C" w14:textId="03637743" w:rsidR="000631A2" w:rsidRPr="000973F2" w:rsidRDefault="000631A2" w:rsidP="008224F5">
      <w:pPr>
        <w:pStyle w:val="BodyText"/>
      </w:pPr>
      <w:r w:rsidRPr="000973F2">
        <w:t xml:space="preserve">Table </w:t>
      </w:r>
      <w:r w:rsidR="008224F5" w:rsidRPr="000973F2">
        <w:t>O-</w:t>
      </w:r>
      <w:r w:rsidRPr="000973F2">
        <w:t>1a depicts labor hours needed for the single facility that produces HCFC-22 and estimates emissions using the mass balance approach.</w:t>
      </w:r>
    </w:p>
    <w:p w14:paraId="59A413F3" w14:textId="152307F0" w:rsidR="00FC1B8E" w:rsidRPr="000973F2" w:rsidRDefault="00FC1B8E" w:rsidP="008224F5">
      <w:pPr>
        <w:pStyle w:val="Tabletitle"/>
        <w:rPr>
          <w:sz w:val="24"/>
        </w:rPr>
      </w:pPr>
      <w:r w:rsidRPr="000973F2">
        <w:t xml:space="preserve">Table </w:t>
      </w:r>
      <w:r w:rsidR="008224F5" w:rsidRPr="000973F2">
        <w:t>O-</w:t>
      </w:r>
      <w:r w:rsidRPr="000973F2">
        <w:t xml:space="preserve">1a. Labor Costs </w:t>
      </w:r>
      <w:r w:rsidR="008224F5" w:rsidRPr="000973F2">
        <w:t xml:space="preserve">– </w:t>
      </w:r>
      <w:r w:rsidRPr="000973F2">
        <w:t>Subpart O – Mass Balance Approach</w:t>
      </w:r>
    </w:p>
    <w:tbl>
      <w:tblPr>
        <w:tblStyle w:val="PlainTable1"/>
        <w:tblW w:w="5000" w:type="pct"/>
        <w:jc w:val="left"/>
        <w:tblLayout w:type="fixed"/>
        <w:tblCellMar>
          <w:left w:w="115" w:type="dxa"/>
          <w:right w:w="115" w:type="dxa"/>
        </w:tblCellMar>
        <w:tblLook w:val="04A0" w:firstRow="1" w:lastRow="0" w:firstColumn="1" w:lastColumn="0" w:noHBand="0" w:noVBand="1"/>
      </w:tblPr>
      <w:tblGrid>
        <w:gridCol w:w="1373"/>
        <w:gridCol w:w="826"/>
        <w:gridCol w:w="827"/>
        <w:gridCol w:w="826"/>
        <w:gridCol w:w="826"/>
        <w:gridCol w:w="826"/>
        <w:gridCol w:w="826"/>
        <w:gridCol w:w="826"/>
        <w:gridCol w:w="826"/>
        <w:gridCol w:w="757"/>
        <w:gridCol w:w="851"/>
      </w:tblGrid>
      <w:tr w:rsidR="000631A2" w:rsidRPr="000973F2" w14:paraId="0E261F22" w14:textId="77777777" w:rsidTr="008224F5">
        <w:trPr>
          <w:cnfStyle w:val="100000000000" w:firstRow="1" w:lastRow="0" w:firstColumn="0" w:lastColumn="0" w:oddVBand="0" w:evenVBand="0" w:oddHBand="0" w:evenHBand="0" w:firstRowFirstColumn="0" w:firstRowLastColumn="0" w:lastRowFirstColumn="0" w:lastRowLastColumn="0"/>
          <w:cantSplit/>
          <w:jc w:val="left"/>
        </w:trPr>
        <w:tc>
          <w:tcPr>
            <w:cnfStyle w:val="001000000000" w:firstRow="0" w:lastRow="0" w:firstColumn="1" w:lastColumn="0" w:oddVBand="0" w:evenVBand="0" w:oddHBand="0" w:evenHBand="0" w:firstRowFirstColumn="0" w:firstRowLastColumn="0" w:lastRowFirstColumn="0" w:lastRowLastColumn="0"/>
            <w:tcW w:w="1335" w:type="dxa"/>
            <w:vMerge w:val="restart"/>
            <w:noWrap/>
            <w:vAlign w:val="top"/>
            <w:hideMark/>
          </w:tcPr>
          <w:p w14:paraId="4FCBF9A0" w14:textId="77777777" w:rsidR="000631A2" w:rsidRPr="000973F2" w:rsidRDefault="000631A2" w:rsidP="008224F5">
            <w:pPr>
              <w:spacing w:before="40" w:after="40"/>
              <w:rPr>
                <w:rFonts w:ascii="Times New Roman" w:eastAsia="Times New Roman" w:hAnsi="Times New Roman" w:cs="Times New Roman"/>
                <w:bCs w:val="0"/>
                <w:sz w:val="18"/>
                <w:szCs w:val="18"/>
              </w:rPr>
            </w:pPr>
            <w:r w:rsidRPr="000973F2">
              <w:rPr>
                <w:rFonts w:ascii="Times New Roman" w:eastAsia="Times New Roman" w:hAnsi="Times New Roman" w:cs="Times New Roman"/>
                <w:sz w:val="18"/>
                <w:szCs w:val="18"/>
              </w:rPr>
              <w:t>Activity</w:t>
            </w:r>
          </w:p>
        </w:tc>
        <w:tc>
          <w:tcPr>
            <w:tcW w:w="6431" w:type="dxa"/>
            <w:gridSpan w:val="8"/>
            <w:noWrap/>
            <w:vAlign w:val="top"/>
            <w:hideMark/>
          </w:tcPr>
          <w:p w14:paraId="5F345B3F" w14:textId="77777777" w:rsidR="000631A2" w:rsidRPr="000973F2" w:rsidRDefault="000631A2" w:rsidP="008224F5">
            <w:pPr>
              <w:spacing w:before="40" w:after="40"/>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Cs w:val="0"/>
                <w:sz w:val="18"/>
                <w:szCs w:val="18"/>
              </w:rPr>
            </w:pPr>
            <w:r w:rsidRPr="000973F2">
              <w:rPr>
                <w:rFonts w:ascii="Times New Roman" w:eastAsia="Times New Roman" w:hAnsi="Times New Roman" w:cs="Times New Roman"/>
                <w:bCs w:val="0"/>
                <w:sz w:val="18"/>
                <w:szCs w:val="18"/>
              </w:rPr>
              <w:t>Labor Rates (per hour)</w:t>
            </w:r>
          </w:p>
        </w:tc>
        <w:tc>
          <w:tcPr>
            <w:tcW w:w="1564" w:type="dxa"/>
            <w:gridSpan w:val="2"/>
            <w:vMerge w:val="restart"/>
            <w:vAlign w:val="top"/>
            <w:hideMark/>
          </w:tcPr>
          <w:p w14:paraId="769D5DD8" w14:textId="77777777" w:rsidR="000631A2" w:rsidRPr="000973F2" w:rsidRDefault="000631A2" w:rsidP="008224F5">
            <w:pPr>
              <w:spacing w:before="40" w:after="40"/>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Cs w:val="0"/>
                <w:sz w:val="18"/>
                <w:szCs w:val="18"/>
              </w:rPr>
            </w:pPr>
            <w:r w:rsidRPr="000973F2">
              <w:rPr>
                <w:rFonts w:ascii="Times New Roman" w:eastAsia="Times New Roman" w:hAnsi="Times New Roman" w:cs="Times New Roman"/>
                <w:bCs w:val="0"/>
                <w:sz w:val="18"/>
                <w:szCs w:val="18"/>
              </w:rPr>
              <w:t>Total Labor Cost per Year per Facility (2017$)</w:t>
            </w:r>
          </w:p>
        </w:tc>
      </w:tr>
      <w:tr w:rsidR="000631A2" w:rsidRPr="000973F2" w14:paraId="3CB5A8A4" w14:textId="77777777" w:rsidTr="008224F5">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1335" w:type="dxa"/>
            <w:vMerge/>
            <w:hideMark/>
          </w:tcPr>
          <w:p w14:paraId="678511F9" w14:textId="77777777" w:rsidR="000631A2" w:rsidRPr="000973F2" w:rsidRDefault="000631A2" w:rsidP="008224F5">
            <w:pPr>
              <w:spacing w:before="40" w:after="40"/>
              <w:rPr>
                <w:rFonts w:ascii="Times New Roman" w:eastAsia="Times New Roman" w:hAnsi="Times New Roman" w:cs="Times New Roman"/>
                <w:b/>
                <w:bCs w:val="0"/>
                <w:sz w:val="18"/>
                <w:szCs w:val="18"/>
              </w:rPr>
            </w:pPr>
          </w:p>
        </w:tc>
        <w:tc>
          <w:tcPr>
            <w:tcW w:w="1607" w:type="dxa"/>
            <w:gridSpan w:val="2"/>
            <w:noWrap/>
            <w:hideMark/>
          </w:tcPr>
          <w:p w14:paraId="770F6741" w14:textId="77777777" w:rsidR="000631A2" w:rsidRPr="000973F2" w:rsidRDefault="000631A2" w:rsidP="008224F5">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18"/>
                <w:szCs w:val="18"/>
              </w:rPr>
            </w:pPr>
            <w:r w:rsidRPr="000973F2">
              <w:rPr>
                <w:rFonts w:ascii="Times New Roman" w:eastAsia="Times New Roman" w:hAnsi="Times New Roman" w:cs="Times New Roman"/>
                <w:b/>
                <w:bCs/>
                <w:sz w:val="18"/>
                <w:szCs w:val="18"/>
              </w:rPr>
              <w:t>Lawyer</w:t>
            </w:r>
          </w:p>
        </w:tc>
        <w:tc>
          <w:tcPr>
            <w:tcW w:w="1608" w:type="dxa"/>
            <w:gridSpan w:val="2"/>
            <w:noWrap/>
            <w:hideMark/>
          </w:tcPr>
          <w:p w14:paraId="24F914BD" w14:textId="77777777" w:rsidR="000631A2" w:rsidRPr="000973F2" w:rsidRDefault="000631A2" w:rsidP="008224F5">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18"/>
                <w:szCs w:val="18"/>
              </w:rPr>
            </w:pPr>
            <w:r w:rsidRPr="000973F2">
              <w:rPr>
                <w:rFonts w:ascii="Times New Roman" w:eastAsia="Times New Roman" w:hAnsi="Times New Roman" w:cs="Times New Roman"/>
                <w:b/>
                <w:bCs/>
                <w:sz w:val="18"/>
                <w:szCs w:val="18"/>
              </w:rPr>
              <w:t>Industrial Manager</w:t>
            </w:r>
          </w:p>
        </w:tc>
        <w:tc>
          <w:tcPr>
            <w:tcW w:w="1608" w:type="dxa"/>
            <w:gridSpan w:val="2"/>
            <w:hideMark/>
          </w:tcPr>
          <w:p w14:paraId="029D4E56" w14:textId="0FA00522" w:rsidR="000631A2" w:rsidRPr="000973F2" w:rsidRDefault="000631A2" w:rsidP="008224F5">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18"/>
                <w:szCs w:val="18"/>
              </w:rPr>
            </w:pPr>
            <w:r w:rsidRPr="000973F2">
              <w:rPr>
                <w:rFonts w:ascii="Times New Roman" w:eastAsia="Times New Roman" w:hAnsi="Times New Roman" w:cs="Times New Roman"/>
                <w:b/>
                <w:bCs/>
                <w:sz w:val="18"/>
                <w:szCs w:val="18"/>
              </w:rPr>
              <w:t>Industrial Engineer/</w:t>
            </w:r>
            <w:r w:rsidR="008224F5" w:rsidRPr="000973F2">
              <w:rPr>
                <w:rFonts w:ascii="Times New Roman" w:eastAsia="Times New Roman" w:hAnsi="Times New Roman" w:cs="Times New Roman"/>
                <w:b/>
                <w:bCs/>
                <w:sz w:val="18"/>
                <w:szCs w:val="18"/>
              </w:rPr>
              <w:t xml:space="preserve"> </w:t>
            </w:r>
            <w:r w:rsidRPr="000973F2">
              <w:rPr>
                <w:rFonts w:ascii="Times New Roman" w:eastAsia="Times New Roman" w:hAnsi="Times New Roman" w:cs="Times New Roman"/>
                <w:b/>
                <w:bCs/>
                <w:sz w:val="18"/>
                <w:szCs w:val="18"/>
              </w:rPr>
              <w:t>Technician</w:t>
            </w:r>
          </w:p>
        </w:tc>
        <w:tc>
          <w:tcPr>
            <w:tcW w:w="1608" w:type="dxa"/>
            <w:gridSpan w:val="2"/>
            <w:hideMark/>
          </w:tcPr>
          <w:p w14:paraId="67D2EB24" w14:textId="77777777" w:rsidR="000631A2" w:rsidRPr="000973F2" w:rsidRDefault="000631A2" w:rsidP="008224F5">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18"/>
                <w:szCs w:val="18"/>
              </w:rPr>
            </w:pPr>
            <w:r w:rsidRPr="000973F2">
              <w:rPr>
                <w:rFonts w:ascii="Times New Roman" w:eastAsia="Times New Roman" w:hAnsi="Times New Roman" w:cs="Times New Roman"/>
                <w:b/>
                <w:bCs/>
                <w:sz w:val="18"/>
                <w:szCs w:val="18"/>
              </w:rPr>
              <w:t>Administrative Support</w:t>
            </w:r>
          </w:p>
        </w:tc>
        <w:tc>
          <w:tcPr>
            <w:tcW w:w="1564" w:type="dxa"/>
            <w:gridSpan w:val="2"/>
            <w:vMerge/>
            <w:hideMark/>
          </w:tcPr>
          <w:p w14:paraId="2193C33C" w14:textId="77777777" w:rsidR="000631A2" w:rsidRPr="000973F2" w:rsidRDefault="000631A2" w:rsidP="008224F5">
            <w:pPr>
              <w:spacing w:before="40" w:after="4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18"/>
                <w:szCs w:val="18"/>
              </w:rPr>
            </w:pPr>
          </w:p>
        </w:tc>
      </w:tr>
      <w:tr w:rsidR="000631A2" w:rsidRPr="000973F2" w14:paraId="60C83C39" w14:textId="77777777" w:rsidTr="008224F5">
        <w:trPr>
          <w:cantSplit/>
        </w:trPr>
        <w:tc>
          <w:tcPr>
            <w:cnfStyle w:val="001000000000" w:firstRow="0" w:lastRow="0" w:firstColumn="1" w:lastColumn="0" w:oddVBand="0" w:evenVBand="0" w:oddHBand="0" w:evenHBand="0" w:firstRowFirstColumn="0" w:firstRowLastColumn="0" w:lastRowFirstColumn="0" w:lastRowLastColumn="0"/>
            <w:tcW w:w="1335" w:type="dxa"/>
            <w:vMerge/>
            <w:hideMark/>
          </w:tcPr>
          <w:p w14:paraId="20137F3C" w14:textId="77777777" w:rsidR="000631A2" w:rsidRPr="000973F2" w:rsidRDefault="000631A2" w:rsidP="008224F5">
            <w:pPr>
              <w:spacing w:before="40" w:after="40"/>
              <w:rPr>
                <w:rFonts w:ascii="Times New Roman" w:eastAsia="Times New Roman" w:hAnsi="Times New Roman" w:cs="Times New Roman"/>
                <w:b/>
                <w:bCs w:val="0"/>
                <w:sz w:val="18"/>
                <w:szCs w:val="18"/>
              </w:rPr>
            </w:pPr>
          </w:p>
        </w:tc>
        <w:tc>
          <w:tcPr>
            <w:tcW w:w="1607" w:type="dxa"/>
            <w:gridSpan w:val="2"/>
            <w:noWrap/>
            <w:hideMark/>
          </w:tcPr>
          <w:p w14:paraId="2704EA9A" w14:textId="77777777" w:rsidR="000631A2" w:rsidRPr="000973F2" w:rsidRDefault="000631A2" w:rsidP="008224F5">
            <w:pPr>
              <w:spacing w:before="40" w:after="4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sz w:val="18"/>
                <w:szCs w:val="18"/>
              </w:rPr>
            </w:pPr>
            <w:r w:rsidRPr="000973F2">
              <w:rPr>
                <w:rFonts w:ascii="Times New Roman" w:eastAsia="Times New Roman" w:hAnsi="Times New Roman" w:cs="Times New Roman"/>
                <w:b/>
                <w:bCs/>
                <w:sz w:val="18"/>
                <w:szCs w:val="18"/>
              </w:rPr>
              <w:t xml:space="preserve">$112.23 </w:t>
            </w:r>
          </w:p>
        </w:tc>
        <w:tc>
          <w:tcPr>
            <w:tcW w:w="1608" w:type="dxa"/>
            <w:gridSpan w:val="2"/>
            <w:noWrap/>
            <w:hideMark/>
          </w:tcPr>
          <w:p w14:paraId="02A8EC91" w14:textId="77777777" w:rsidR="000631A2" w:rsidRPr="000973F2" w:rsidRDefault="000631A2" w:rsidP="008224F5">
            <w:pPr>
              <w:spacing w:before="40" w:after="4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sz w:val="18"/>
                <w:szCs w:val="18"/>
              </w:rPr>
            </w:pPr>
            <w:r w:rsidRPr="000973F2">
              <w:rPr>
                <w:rFonts w:ascii="Times New Roman" w:eastAsia="Times New Roman" w:hAnsi="Times New Roman" w:cs="Times New Roman"/>
                <w:b/>
                <w:bCs/>
                <w:sz w:val="18"/>
                <w:szCs w:val="18"/>
              </w:rPr>
              <w:t xml:space="preserve">$87.45 </w:t>
            </w:r>
          </w:p>
        </w:tc>
        <w:tc>
          <w:tcPr>
            <w:tcW w:w="1608" w:type="dxa"/>
            <w:gridSpan w:val="2"/>
            <w:noWrap/>
            <w:hideMark/>
          </w:tcPr>
          <w:p w14:paraId="25882941" w14:textId="77777777" w:rsidR="000631A2" w:rsidRPr="000973F2" w:rsidRDefault="000631A2" w:rsidP="008224F5">
            <w:pPr>
              <w:spacing w:before="40" w:after="4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sz w:val="18"/>
                <w:szCs w:val="18"/>
              </w:rPr>
            </w:pPr>
            <w:r w:rsidRPr="000973F2">
              <w:rPr>
                <w:rFonts w:ascii="Times New Roman" w:eastAsia="Times New Roman" w:hAnsi="Times New Roman" w:cs="Times New Roman"/>
                <w:b/>
                <w:bCs/>
                <w:sz w:val="18"/>
                <w:szCs w:val="18"/>
              </w:rPr>
              <w:t xml:space="preserve">$71.45 </w:t>
            </w:r>
          </w:p>
        </w:tc>
        <w:tc>
          <w:tcPr>
            <w:tcW w:w="1608" w:type="dxa"/>
            <w:gridSpan w:val="2"/>
            <w:noWrap/>
            <w:hideMark/>
          </w:tcPr>
          <w:p w14:paraId="73A36D64" w14:textId="77777777" w:rsidR="000631A2" w:rsidRPr="000973F2" w:rsidRDefault="000631A2" w:rsidP="008224F5">
            <w:pPr>
              <w:spacing w:before="40" w:after="4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sz w:val="18"/>
                <w:szCs w:val="18"/>
              </w:rPr>
            </w:pPr>
            <w:r w:rsidRPr="000973F2">
              <w:rPr>
                <w:rFonts w:ascii="Times New Roman" w:eastAsia="Times New Roman" w:hAnsi="Times New Roman" w:cs="Times New Roman"/>
                <w:b/>
                <w:bCs/>
                <w:sz w:val="18"/>
                <w:szCs w:val="18"/>
              </w:rPr>
              <w:t xml:space="preserve">$36.28 </w:t>
            </w:r>
          </w:p>
        </w:tc>
        <w:tc>
          <w:tcPr>
            <w:tcW w:w="1564" w:type="dxa"/>
            <w:gridSpan w:val="2"/>
            <w:vMerge/>
            <w:hideMark/>
          </w:tcPr>
          <w:p w14:paraId="5FA890CF" w14:textId="77777777" w:rsidR="000631A2" w:rsidRPr="000973F2" w:rsidRDefault="000631A2" w:rsidP="008224F5">
            <w:pPr>
              <w:spacing w:before="40" w:after="4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sz w:val="18"/>
                <w:szCs w:val="18"/>
              </w:rPr>
            </w:pPr>
          </w:p>
        </w:tc>
      </w:tr>
      <w:tr w:rsidR="008224F5" w:rsidRPr="000973F2" w14:paraId="24C7CB08" w14:textId="77777777" w:rsidTr="008224F5">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1335" w:type="dxa"/>
            <w:vMerge/>
            <w:hideMark/>
          </w:tcPr>
          <w:p w14:paraId="7CBB4D8A" w14:textId="77777777" w:rsidR="000631A2" w:rsidRPr="000973F2" w:rsidRDefault="000631A2" w:rsidP="008224F5">
            <w:pPr>
              <w:spacing w:before="40" w:after="40"/>
              <w:rPr>
                <w:rFonts w:ascii="Times New Roman" w:eastAsia="Times New Roman" w:hAnsi="Times New Roman" w:cs="Times New Roman"/>
                <w:b/>
                <w:bCs w:val="0"/>
                <w:sz w:val="18"/>
                <w:szCs w:val="18"/>
              </w:rPr>
            </w:pPr>
          </w:p>
        </w:tc>
        <w:tc>
          <w:tcPr>
            <w:tcW w:w="803" w:type="dxa"/>
            <w:tcMar>
              <w:left w:w="14" w:type="dxa"/>
              <w:right w:w="14" w:type="dxa"/>
            </w:tcMar>
            <w:hideMark/>
          </w:tcPr>
          <w:p w14:paraId="208B1A8F" w14:textId="05A3D4F2" w:rsidR="000631A2" w:rsidRPr="000973F2" w:rsidRDefault="000631A2" w:rsidP="008224F5">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18"/>
                <w:szCs w:val="18"/>
              </w:rPr>
            </w:pPr>
            <w:r w:rsidRPr="000973F2">
              <w:rPr>
                <w:rFonts w:ascii="Times New Roman" w:eastAsia="Times New Roman" w:hAnsi="Times New Roman" w:cs="Times New Roman"/>
                <w:b/>
                <w:bCs/>
                <w:sz w:val="18"/>
                <w:szCs w:val="18"/>
              </w:rPr>
              <w:t xml:space="preserve">Initial </w:t>
            </w:r>
            <w:r w:rsidR="00132320" w:rsidRPr="000973F2">
              <w:rPr>
                <w:rFonts w:ascii="Times New Roman" w:eastAsia="Times New Roman" w:hAnsi="Times New Roman" w:cs="Times New Roman"/>
                <w:b/>
                <w:bCs/>
                <w:sz w:val="18"/>
                <w:szCs w:val="18"/>
              </w:rPr>
              <w:t>Year Hours</w:t>
            </w:r>
          </w:p>
        </w:tc>
        <w:tc>
          <w:tcPr>
            <w:tcW w:w="804" w:type="dxa"/>
            <w:tcMar>
              <w:left w:w="14" w:type="dxa"/>
              <w:right w:w="14" w:type="dxa"/>
            </w:tcMar>
            <w:hideMark/>
          </w:tcPr>
          <w:p w14:paraId="309B42B0" w14:textId="4E3C16EC" w:rsidR="000631A2" w:rsidRPr="000973F2" w:rsidRDefault="000631A2" w:rsidP="008224F5">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18"/>
                <w:szCs w:val="18"/>
              </w:rPr>
            </w:pPr>
            <w:r w:rsidRPr="000973F2">
              <w:rPr>
                <w:rFonts w:ascii="Times New Roman" w:eastAsia="Times New Roman" w:hAnsi="Times New Roman" w:cs="Times New Roman"/>
                <w:b/>
                <w:bCs/>
                <w:sz w:val="18"/>
                <w:szCs w:val="18"/>
              </w:rPr>
              <w:t xml:space="preserve">Subseq. </w:t>
            </w:r>
            <w:r w:rsidR="00132320" w:rsidRPr="000973F2">
              <w:rPr>
                <w:rFonts w:ascii="Times New Roman" w:eastAsia="Times New Roman" w:hAnsi="Times New Roman" w:cs="Times New Roman"/>
                <w:b/>
                <w:bCs/>
                <w:sz w:val="18"/>
                <w:szCs w:val="18"/>
              </w:rPr>
              <w:t>Year Hours</w:t>
            </w:r>
          </w:p>
        </w:tc>
        <w:tc>
          <w:tcPr>
            <w:tcW w:w="804" w:type="dxa"/>
            <w:tcMar>
              <w:left w:w="14" w:type="dxa"/>
              <w:right w:w="14" w:type="dxa"/>
            </w:tcMar>
            <w:hideMark/>
          </w:tcPr>
          <w:p w14:paraId="5147D910" w14:textId="56E5DDF4" w:rsidR="000631A2" w:rsidRPr="000973F2" w:rsidRDefault="000631A2" w:rsidP="008224F5">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18"/>
                <w:szCs w:val="18"/>
              </w:rPr>
            </w:pPr>
            <w:r w:rsidRPr="000973F2">
              <w:rPr>
                <w:rFonts w:ascii="Times New Roman" w:eastAsia="Times New Roman" w:hAnsi="Times New Roman" w:cs="Times New Roman"/>
                <w:b/>
                <w:bCs/>
                <w:sz w:val="18"/>
                <w:szCs w:val="18"/>
              </w:rPr>
              <w:t xml:space="preserve">Initial </w:t>
            </w:r>
            <w:r w:rsidR="00132320" w:rsidRPr="000973F2">
              <w:rPr>
                <w:rFonts w:ascii="Times New Roman" w:eastAsia="Times New Roman" w:hAnsi="Times New Roman" w:cs="Times New Roman"/>
                <w:b/>
                <w:bCs/>
                <w:sz w:val="18"/>
                <w:szCs w:val="18"/>
              </w:rPr>
              <w:t>Year Hours</w:t>
            </w:r>
          </w:p>
        </w:tc>
        <w:tc>
          <w:tcPr>
            <w:tcW w:w="804" w:type="dxa"/>
            <w:tcMar>
              <w:left w:w="14" w:type="dxa"/>
              <w:right w:w="14" w:type="dxa"/>
            </w:tcMar>
            <w:hideMark/>
          </w:tcPr>
          <w:p w14:paraId="74EA9062" w14:textId="24A8B964" w:rsidR="000631A2" w:rsidRPr="000973F2" w:rsidRDefault="000631A2" w:rsidP="008224F5">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18"/>
                <w:szCs w:val="18"/>
              </w:rPr>
            </w:pPr>
            <w:r w:rsidRPr="000973F2">
              <w:rPr>
                <w:rFonts w:ascii="Times New Roman" w:eastAsia="Times New Roman" w:hAnsi="Times New Roman" w:cs="Times New Roman"/>
                <w:b/>
                <w:bCs/>
                <w:sz w:val="18"/>
                <w:szCs w:val="18"/>
              </w:rPr>
              <w:t xml:space="preserve">Subseq. </w:t>
            </w:r>
            <w:r w:rsidR="00132320" w:rsidRPr="000973F2">
              <w:rPr>
                <w:rFonts w:ascii="Times New Roman" w:eastAsia="Times New Roman" w:hAnsi="Times New Roman" w:cs="Times New Roman"/>
                <w:b/>
                <w:bCs/>
                <w:sz w:val="18"/>
                <w:szCs w:val="18"/>
              </w:rPr>
              <w:t>Year Hours</w:t>
            </w:r>
          </w:p>
        </w:tc>
        <w:tc>
          <w:tcPr>
            <w:tcW w:w="804" w:type="dxa"/>
            <w:tcMar>
              <w:left w:w="14" w:type="dxa"/>
              <w:right w:w="14" w:type="dxa"/>
            </w:tcMar>
            <w:hideMark/>
          </w:tcPr>
          <w:p w14:paraId="769B8B94" w14:textId="727BAAE6" w:rsidR="000631A2" w:rsidRPr="000973F2" w:rsidRDefault="000631A2" w:rsidP="008224F5">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18"/>
                <w:szCs w:val="18"/>
              </w:rPr>
            </w:pPr>
            <w:r w:rsidRPr="000973F2">
              <w:rPr>
                <w:rFonts w:ascii="Times New Roman" w:eastAsia="Times New Roman" w:hAnsi="Times New Roman" w:cs="Times New Roman"/>
                <w:b/>
                <w:bCs/>
                <w:sz w:val="18"/>
                <w:szCs w:val="18"/>
              </w:rPr>
              <w:t xml:space="preserve">Initial </w:t>
            </w:r>
            <w:r w:rsidR="00132320" w:rsidRPr="000973F2">
              <w:rPr>
                <w:rFonts w:ascii="Times New Roman" w:eastAsia="Times New Roman" w:hAnsi="Times New Roman" w:cs="Times New Roman"/>
                <w:b/>
                <w:bCs/>
                <w:sz w:val="18"/>
                <w:szCs w:val="18"/>
              </w:rPr>
              <w:t>Year Hours</w:t>
            </w:r>
          </w:p>
        </w:tc>
        <w:tc>
          <w:tcPr>
            <w:tcW w:w="804" w:type="dxa"/>
            <w:tcMar>
              <w:left w:w="14" w:type="dxa"/>
              <w:right w:w="14" w:type="dxa"/>
            </w:tcMar>
            <w:hideMark/>
          </w:tcPr>
          <w:p w14:paraId="5BB1090B" w14:textId="0B0EABDA" w:rsidR="000631A2" w:rsidRPr="000973F2" w:rsidRDefault="000631A2" w:rsidP="008224F5">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18"/>
                <w:szCs w:val="18"/>
              </w:rPr>
            </w:pPr>
            <w:r w:rsidRPr="000973F2">
              <w:rPr>
                <w:rFonts w:ascii="Times New Roman" w:eastAsia="Times New Roman" w:hAnsi="Times New Roman" w:cs="Times New Roman"/>
                <w:b/>
                <w:bCs/>
                <w:sz w:val="18"/>
                <w:szCs w:val="18"/>
              </w:rPr>
              <w:t xml:space="preserve">Subseq. </w:t>
            </w:r>
            <w:r w:rsidR="00132320" w:rsidRPr="000973F2">
              <w:rPr>
                <w:rFonts w:ascii="Times New Roman" w:eastAsia="Times New Roman" w:hAnsi="Times New Roman" w:cs="Times New Roman"/>
                <w:b/>
                <w:bCs/>
                <w:sz w:val="18"/>
                <w:szCs w:val="18"/>
              </w:rPr>
              <w:t>Year Hours</w:t>
            </w:r>
          </w:p>
        </w:tc>
        <w:tc>
          <w:tcPr>
            <w:tcW w:w="804" w:type="dxa"/>
            <w:tcMar>
              <w:left w:w="14" w:type="dxa"/>
              <w:right w:w="14" w:type="dxa"/>
            </w:tcMar>
            <w:hideMark/>
          </w:tcPr>
          <w:p w14:paraId="7EED378A" w14:textId="4C453915" w:rsidR="000631A2" w:rsidRPr="000973F2" w:rsidRDefault="000631A2" w:rsidP="008224F5">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18"/>
                <w:szCs w:val="18"/>
              </w:rPr>
            </w:pPr>
            <w:r w:rsidRPr="000973F2">
              <w:rPr>
                <w:rFonts w:ascii="Times New Roman" w:eastAsia="Times New Roman" w:hAnsi="Times New Roman" w:cs="Times New Roman"/>
                <w:b/>
                <w:bCs/>
                <w:sz w:val="18"/>
                <w:szCs w:val="18"/>
              </w:rPr>
              <w:t xml:space="preserve">Initial </w:t>
            </w:r>
            <w:r w:rsidR="00132320" w:rsidRPr="000973F2">
              <w:rPr>
                <w:rFonts w:ascii="Times New Roman" w:eastAsia="Times New Roman" w:hAnsi="Times New Roman" w:cs="Times New Roman"/>
                <w:b/>
                <w:bCs/>
                <w:sz w:val="18"/>
                <w:szCs w:val="18"/>
              </w:rPr>
              <w:t>Year Hours</w:t>
            </w:r>
          </w:p>
        </w:tc>
        <w:tc>
          <w:tcPr>
            <w:tcW w:w="804" w:type="dxa"/>
            <w:tcMar>
              <w:left w:w="14" w:type="dxa"/>
              <w:right w:w="14" w:type="dxa"/>
            </w:tcMar>
            <w:hideMark/>
          </w:tcPr>
          <w:p w14:paraId="4991F394" w14:textId="536B1A72" w:rsidR="000631A2" w:rsidRPr="000973F2" w:rsidRDefault="000631A2" w:rsidP="008224F5">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18"/>
                <w:szCs w:val="18"/>
              </w:rPr>
            </w:pPr>
            <w:r w:rsidRPr="000973F2">
              <w:rPr>
                <w:rFonts w:ascii="Times New Roman" w:eastAsia="Times New Roman" w:hAnsi="Times New Roman" w:cs="Times New Roman"/>
                <w:b/>
                <w:bCs/>
                <w:sz w:val="18"/>
                <w:szCs w:val="18"/>
              </w:rPr>
              <w:t xml:space="preserve">Subseq. </w:t>
            </w:r>
            <w:r w:rsidR="00132320" w:rsidRPr="000973F2">
              <w:rPr>
                <w:rFonts w:ascii="Times New Roman" w:eastAsia="Times New Roman" w:hAnsi="Times New Roman" w:cs="Times New Roman"/>
                <w:b/>
                <w:bCs/>
                <w:sz w:val="18"/>
                <w:szCs w:val="18"/>
              </w:rPr>
              <w:t>Year Hours</w:t>
            </w:r>
          </w:p>
        </w:tc>
        <w:tc>
          <w:tcPr>
            <w:tcW w:w="736" w:type="dxa"/>
            <w:tcMar>
              <w:left w:w="14" w:type="dxa"/>
              <w:right w:w="14" w:type="dxa"/>
            </w:tcMar>
            <w:hideMark/>
          </w:tcPr>
          <w:p w14:paraId="7F3A441C" w14:textId="77777777" w:rsidR="000631A2" w:rsidRPr="000973F2" w:rsidRDefault="000631A2" w:rsidP="008224F5">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18"/>
                <w:szCs w:val="18"/>
              </w:rPr>
            </w:pPr>
            <w:r w:rsidRPr="000973F2">
              <w:rPr>
                <w:rFonts w:ascii="Times New Roman" w:eastAsia="Times New Roman" w:hAnsi="Times New Roman" w:cs="Times New Roman"/>
                <w:b/>
                <w:bCs/>
                <w:sz w:val="18"/>
                <w:szCs w:val="18"/>
              </w:rPr>
              <w:t>Initial Year</w:t>
            </w:r>
          </w:p>
        </w:tc>
        <w:tc>
          <w:tcPr>
            <w:tcW w:w="828" w:type="dxa"/>
            <w:tcMar>
              <w:left w:w="14" w:type="dxa"/>
              <w:right w:w="14" w:type="dxa"/>
            </w:tcMar>
            <w:hideMark/>
          </w:tcPr>
          <w:p w14:paraId="7953F415" w14:textId="77777777" w:rsidR="000631A2" w:rsidRPr="000973F2" w:rsidRDefault="000631A2" w:rsidP="008224F5">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18"/>
                <w:szCs w:val="18"/>
              </w:rPr>
            </w:pPr>
            <w:r w:rsidRPr="000973F2">
              <w:rPr>
                <w:rFonts w:ascii="Times New Roman" w:eastAsia="Times New Roman" w:hAnsi="Times New Roman" w:cs="Times New Roman"/>
                <w:b/>
                <w:bCs/>
                <w:sz w:val="18"/>
                <w:szCs w:val="18"/>
              </w:rPr>
              <w:t>Subseq. Year</w:t>
            </w:r>
          </w:p>
        </w:tc>
      </w:tr>
      <w:tr w:rsidR="008224F5" w:rsidRPr="000973F2" w14:paraId="23E57B47" w14:textId="77777777" w:rsidTr="008224F5">
        <w:trPr>
          <w:cantSplit/>
        </w:trPr>
        <w:tc>
          <w:tcPr>
            <w:cnfStyle w:val="001000000000" w:firstRow="0" w:lastRow="0" w:firstColumn="1" w:lastColumn="0" w:oddVBand="0" w:evenVBand="0" w:oddHBand="0" w:evenHBand="0" w:firstRowFirstColumn="0" w:firstRowLastColumn="0" w:lastRowFirstColumn="0" w:lastRowLastColumn="0"/>
            <w:tcW w:w="1335" w:type="dxa"/>
            <w:tcMar>
              <w:right w:w="14" w:type="dxa"/>
            </w:tcMar>
            <w:hideMark/>
          </w:tcPr>
          <w:p w14:paraId="1FC4C00F" w14:textId="77777777" w:rsidR="000631A2" w:rsidRPr="000973F2" w:rsidRDefault="000631A2" w:rsidP="008224F5">
            <w:pPr>
              <w:spacing w:before="40" w:after="4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Planning</w:t>
            </w:r>
          </w:p>
        </w:tc>
        <w:tc>
          <w:tcPr>
            <w:tcW w:w="803" w:type="dxa"/>
            <w:noWrap/>
            <w:hideMark/>
          </w:tcPr>
          <w:p w14:paraId="5A08C43B" w14:textId="77777777" w:rsidR="000631A2" w:rsidRPr="000973F2" w:rsidRDefault="000631A2" w:rsidP="008224F5">
            <w:pPr>
              <w:spacing w:before="40" w:after="4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0</w:t>
            </w:r>
          </w:p>
        </w:tc>
        <w:tc>
          <w:tcPr>
            <w:tcW w:w="804" w:type="dxa"/>
            <w:noWrap/>
            <w:hideMark/>
          </w:tcPr>
          <w:p w14:paraId="1D5D01E6" w14:textId="77777777" w:rsidR="000631A2" w:rsidRPr="000973F2" w:rsidRDefault="000631A2" w:rsidP="008224F5">
            <w:pPr>
              <w:spacing w:before="40" w:after="4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2</w:t>
            </w:r>
          </w:p>
        </w:tc>
        <w:tc>
          <w:tcPr>
            <w:tcW w:w="804" w:type="dxa"/>
            <w:noWrap/>
            <w:hideMark/>
          </w:tcPr>
          <w:p w14:paraId="141E8EB4" w14:textId="77777777" w:rsidR="000631A2" w:rsidRPr="000973F2" w:rsidRDefault="000631A2" w:rsidP="008224F5">
            <w:pPr>
              <w:spacing w:before="40" w:after="4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0</w:t>
            </w:r>
          </w:p>
        </w:tc>
        <w:tc>
          <w:tcPr>
            <w:tcW w:w="804" w:type="dxa"/>
            <w:noWrap/>
            <w:hideMark/>
          </w:tcPr>
          <w:p w14:paraId="73554111" w14:textId="77777777" w:rsidR="000631A2" w:rsidRPr="000973F2" w:rsidRDefault="000631A2" w:rsidP="008224F5">
            <w:pPr>
              <w:spacing w:before="40" w:after="4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1.0</w:t>
            </w:r>
          </w:p>
        </w:tc>
        <w:tc>
          <w:tcPr>
            <w:tcW w:w="804" w:type="dxa"/>
            <w:noWrap/>
            <w:hideMark/>
          </w:tcPr>
          <w:p w14:paraId="28AE136D" w14:textId="77777777" w:rsidR="000631A2" w:rsidRPr="000973F2" w:rsidRDefault="000631A2" w:rsidP="008224F5">
            <w:pPr>
              <w:spacing w:before="40" w:after="4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0</w:t>
            </w:r>
          </w:p>
        </w:tc>
        <w:tc>
          <w:tcPr>
            <w:tcW w:w="804" w:type="dxa"/>
            <w:noWrap/>
            <w:hideMark/>
          </w:tcPr>
          <w:p w14:paraId="392C05F4" w14:textId="77777777" w:rsidR="000631A2" w:rsidRPr="000973F2" w:rsidRDefault="000631A2" w:rsidP="008224F5">
            <w:pPr>
              <w:tabs>
                <w:tab w:val="decimal" w:pos="361"/>
              </w:tabs>
              <w:spacing w:before="40" w:after="4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1</w:t>
            </w:r>
          </w:p>
        </w:tc>
        <w:tc>
          <w:tcPr>
            <w:tcW w:w="804" w:type="dxa"/>
            <w:noWrap/>
            <w:hideMark/>
          </w:tcPr>
          <w:p w14:paraId="68ED34CF" w14:textId="77777777" w:rsidR="000631A2" w:rsidRPr="000973F2" w:rsidRDefault="000631A2" w:rsidP="008224F5">
            <w:pPr>
              <w:spacing w:before="40" w:after="4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0</w:t>
            </w:r>
          </w:p>
        </w:tc>
        <w:tc>
          <w:tcPr>
            <w:tcW w:w="804" w:type="dxa"/>
            <w:noWrap/>
            <w:hideMark/>
          </w:tcPr>
          <w:p w14:paraId="6F0FDADD" w14:textId="77777777" w:rsidR="000631A2" w:rsidRPr="000973F2" w:rsidRDefault="000631A2" w:rsidP="008224F5">
            <w:pPr>
              <w:tabs>
                <w:tab w:val="decimal" w:pos="271"/>
              </w:tabs>
              <w:spacing w:before="40" w:after="4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0</w:t>
            </w:r>
          </w:p>
        </w:tc>
        <w:tc>
          <w:tcPr>
            <w:tcW w:w="736" w:type="dxa"/>
            <w:noWrap/>
            <w:hideMark/>
          </w:tcPr>
          <w:p w14:paraId="4E4C3F2E" w14:textId="00029719" w:rsidR="000631A2" w:rsidRPr="000973F2" w:rsidRDefault="000631A2" w:rsidP="008224F5">
            <w:pPr>
              <w:spacing w:before="40" w:after="4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$0</w:t>
            </w:r>
          </w:p>
        </w:tc>
        <w:tc>
          <w:tcPr>
            <w:tcW w:w="828" w:type="dxa"/>
            <w:noWrap/>
            <w:hideMark/>
          </w:tcPr>
          <w:p w14:paraId="5E209AF4" w14:textId="77777777" w:rsidR="000631A2" w:rsidRPr="000973F2" w:rsidRDefault="000631A2" w:rsidP="008224F5">
            <w:pPr>
              <w:tabs>
                <w:tab w:val="decimal" w:pos="496"/>
              </w:tabs>
              <w:spacing w:before="40" w:after="4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$383</w:t>
            </w:r>
          </w:p>
        </w:tc>
      </w:tr>
      <w:tr w:rsidR="008224F5" w:rsidRPr="000973F2" w14:paraId="57784371" w14:textId="77777777" w:rsidTr="008224F5">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1335" w:type="dxa"/>
            <w:tcMar>
              <w:right w:w="14" w:type="dxa"/>
            </w:tcMar>
            <w:hideMark/>
          </w:tcPr>
          <w:p w14:paraId="35B71734" w14:textId="77777777" w:rsidR="003E005F" w:rsidRPr="000973F2" w:rsidRDefault="003E005F" w:rsidP="008224F5">
            <w:pPr>
              <w:spacing w:before="40" w:after="4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QA/QC</w:t>
            </w:r>
          </w:p>
        </w:tc>
        <w:tc>
          <w:tcPr>
            <w:tcW w:w="803" w:type="dxa"/>
            <w:noWrap/>
            <w:hideMark/>
          </w:tcPr>
          <w:p w14:paraId="4C01F983" w14:textId="0E74A7D8" w:rsidR="003E005F" w:rsidRPr="000973F2" w:rsidRDefault="008224F5" w:rsidP="008224F5">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w:t>
            </w:r>
          </w:p>
        </w:tc>
        <w:tc>
          <w:tcPr>
            <w:tcW w:w="804" w:type="dxa"/>
            <w:noWrap/>
            <w:hideMark/>
          </w:tcPr>
          <w:p w14:paraId="02CDE558" w14:textId="3E76B063" w:rsidR="003E005F" w:rsidRPr="000973F2" w:rsidRDefault="008224F5" w:rsidP="008224F5">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w:t>
            </w:r>
          </w:p>
        </w:tc>
        <w:tc>
          <w:tcPr>
            <w:tcW w:w="804" w:type="dxa"/>
            <w:noWrap/>
            <w:hideMark/>
          </w:tcPr>
          <w:p w14:paraId="2FE410C6" w14:textId="099CA74C" w:rsidR="003E005F" w:rsidRPr="000973F2" w:rsidRDefault="008224F5" w:rsidP="008224F5">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w:t>
            </w:r>
          </w:p>
        </w:tc>
        <w:tc>
          <w:tcPr>
            <w:tcW w:w="804" w:type="dxa"/>
            <w:noWrap/>
            <w:hideMark/>
          </w:tcPr>
          <w:p w14:paraId="5B64516D" w14:textId="54F45B99" w:rsidR="003E005F" w:rsidRPr="000973F2" w:rsidRDefault="008224F5" w:rsidP="008224F5">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w:t>
            </w:r>
          </w:p>
        </w:tc>
        <w:tc>
          <w:tcPr>
            <w:tcW w:w="804" w:type="dxa"/>
            <w:noWrap/>
            <w:hideMark/>
          </w:tcPr>
          <w:p w14:paraId="329496BE" w14:textId="4A963208" w:rsidR="003E005F" w:rsidRPr="000973F2" w:rsidRDefault="008224F5" w:rsidP="008224F5">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w:t>
            </w:r>
          </w:p>
        </w:tc>
        <w:tc>
          <w:tcPr>
            <w:tcW w:w="804" w:type="dxa"/>
            <w:noWrap/>
            <w:hideMark/>
          </w:tcPr>
          <w:p w14:paraId="0967D031" w14:textId="443C8212" w:rsidR="003E005F" w:rsidRPr="000973F2" w:rsidRDefault="008224F5" w:rsidP="008224F5">
            <w:pPr>
              <w:tabs>
                <w:tab w:val="decimal" w:pos="361"/>
              </w:tabs>
              <w:spacing w:before="40" w:after="4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w:t>
            </w:r>
          </w:p>
        </w:tc>
        <w:tc>
          <w:tcPr>
            <w:tcW w:w="804" w:type="dxa"/>
            <w:noWrap/>
            <w:hideMark/>
          </w:tcPr>
          <w:p w14:paraId="6EAAA11E" w14:textId="7AC35764" w:rsidR="003E005F" w:rsidRPr="000973F2" w:rsidRDefault="008224F5" w:rsidP="008224F5">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w:t>
            </w:r>
          </w:p>
        </w:tc>
        <w:tc>
          <w:tcPr>
            <w:tcW w:w="804" w:type="dxa"/>
            <w:noWrap/>
            <w:hideMark/>
          </w:tcPr>
          <w:p w14:paraId="22F3FA61" w14:textId="1F6ACCDD" w:rsidR="003E005F" w:rsidRPr="000973F2" w:rsidRDefault="008224F5" w:rsidP="008224F5">
            <w:pPr>
              <w:tabs>
                <w:tab w:val="decimal" w:pos="271"/>
              </w:tabs>
              <w:spacing w:before="40" w:after="4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w:t>
            </w:r>
          </w:p>
        </w:tc>
        <w:tc>
          <w:tcPr>
            <w:tcW w:w="736" w:type="dxa"/>
            <w:noWrap/>
            <w:hideMark/>
          </w:tcPr>
          <w:p w14:paraId="04D92618" w14:textId="7FD7FD2C" w:rsidR="003E005F" w:rsidRPr="000973F2" w:rsidRDefault="008224F5" w:rsidP="008224F5">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w:t>
            </w:r>
          </w:p>
        </w:tc>
        <w:tc>
          <w:tcPr>
            <w:tcW w:w="828" w:type="dxa"/>
            <w:noWrap/>
            <w:hideMark/>
          </w:tcPr>
          <w:p w14:paraId="19972BCE" w14:textId="718B927E" w:rsidR="003E005F" w:rsidRPr="000973F2" w:rsidRDefault="008224F5" w:rsidP="008224F5">
            <w:pPr>
              <w:tabs>
                <w:tab w:val="decimal" w:pos="496"/>
              </w:tabs>
              <w:spacing w:before="40" w:after="4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w:t>
            </w:r>
          </w:p>
        </w:tc>
      </w:tr>
      <w:tr w:rsidR="008224F5" w:rsidRPr="000973F2" w14:paraId="66591E76" w14:textId="77777777" w:rsidTr="008224F5">
        <w:trPr>
          <w:cantSplit/>
        </w:trPr>
        <w:tc>
          <w:tcPr>
            <w:cnfStyle w:val="001000000000" w:firstRow="0" w:lastRow="0" w:firstColumn="1" w:lastColumn="0" w:oddVBand="0" w:evenVBand="0" w:oddHBand="0" w:evenHBand="0" w:firstRowFirstColumn="0" w:firstRowLastColumn="0" w:lastRowFirstColumn="0" w:lastRowLastColumn="0"/>
            <w:tcW w:w="1335" w:type="dxa"/>
            <w:tcMar>
              <w:right w:w="14" w:type="dxa"/>
            </w:tcMar>
            <w:hideMark/>
          </w:tcPr>
          <w:p w14:paraId="3BC03C70" w14:textId="77777777" w:rsidR="000631A2" w:rsidRPr="000973F2" w:rsidRDefault="000631A2" w:rsidP="008224F5">
            <w:pPr>
              <w:spacing w:before="40" w:after="4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Recordkeeping</w:t>
            </w:r>
          </w:p>
        </w:tc>
        <w:tc>
          <w:tcPr>
            <w:tcW w:w="803" w:type="dxa"/>
            <w:noWrap/>
            <w:hideMark/>
          </w:tcPr>
          <w:p w14:paraId="58DB6E3A" w14:textId="77777777" w:rsidR="000631A2" w:rsidRPr="000973F2" w:rsidRDefault="000631A2" w:rsidP="008224F5">
            <w:pPr>
              <w:spacing w:before="40" w:after="4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0</w:t>
            </w:r>
          </w:p>
        </w:tc>
        <w:tc>
          <w:tcPr>
            <w:tcW w:w="804" w:type="dxa"/>
            <w:noWrap/>
            <w:hideMark/>
          </w:tcPr>
          <w:p w14:paraId="7520833B" w14:textId="77777777" w:rsidR="000631A2" w:rsidRPr="000973F2" w:rsidRDefault="000631A2" w:rsidP="008224F5">
            <w:pPr>
              <w:spacing w:before="40" w:after="4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0</w:t>
            </w:r>
          </w:p>
        </w:tc>
        <w:tc>
          <w:tcPr>
            <w:tcW w:w="804" w:type="dxa"/>
            <w:noWrap/>
            <w:hideMark/>
          </w:tcPr>
          <w:p w14:paraId="7B57584E" w14:textId="77777777" w:rsidR="000631A2" w:rsidRPr="000973F2" w:rsidRDefault="000631A2" w:rsidP="008224F5">
            <w:pPr>
              <w:spacing w:before="40" w:after="4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0</w:t>
            </w:r>
          </w:p>
        </w:tc>
        <w:tc>
          <w:tcPr>
            <w:tcW w:w="804" w:type="dxa"/>
            <w:noWrap/>
            <w:hideMark/>
          </w:tcPr>
          <w:p w14:paraId="60E39B80" w14:textId="77777777" w:rsidR="000631A2" w:rsidRPr="000973F2" w:rsidRDefault="000631A2" w:rsidP="008224F5">
            <w:pPr>
              <w:spacing w:before="40" w:after="4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0.5</w:t>
            </w:r>
          </w:p>
        </w:tc>
        <w:tc>
          <w:tcPr>
            <w:tcW w:w="804" w:type="dxa"/>
            <w:noWrap/>
            <w:hideMark/>
          </w:tcPr>
          <w:p w14:paraId="16D15E63" w14:textId="77777777" w:rsidR="000631A2" w:rsidRPr="000973F2" w:rsidRDefault="000631A2" w:rsidP="008224F5">
            <w:pPr>
              <w:spacing w:before="40" w:after="4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0</w:t>
            </w:r>
          </w:p>
        </w:tc>
        <w:tc>
          <w:tcPr>
            <w:tcW w:w="804" w:type="dxa"/>
            <w:noWrap/>
            <w:hideMark/>
          </w:tcPr>
          <w:p w14:paraId="791EAA1E" w14:textId="77777777" w:rsidR="000631A2" w:rsidRPr="000973F2" w:rsidRDefault="000631A2" w:rsidP="008224F5">
            <w:pPr>
              <w:tabs>
                <w:tab w:val="decimal" w:pos="361"/>
              </w:tabs>
              <w:spacing w:before="40" w:after="4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5</w:t>
            </w:r>
          </w:p>
        </w:tc>
        <w:tc>
          <w:tcPr>
            <w:tcW w:w="804" w:type="dxa"/>
            <w:noWrap/>
            <w:hideMark/>
          </w:tcPr>
          <w:p w14:paraId="28713CE8" w14:textId="77777777" w:rsidR="000631A2" w:rsidRPr="000973F2" w:rsidRDefault="000631A2" w:rsidP="008224F5">
            <w:pPr>
              <w:spacing w:before="40" w:after="4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0</w:t>
            </w:r>
          </w:p>
        </w:tc>
        <w:tc>
          <w:tcPr>
            <w:tcW w:w="804" w:type="dxa"/>
            <w:noWrap/>
            <w:hideMark/>
          </w:tcPr>
          <w:p w14:paraId="1B3A5B70" w14:textId="77777777" w:rsidR="000631A2" w:rsidRPr="000973F2" w:rsidRDefault="000631A2" w:rsidP="008224F5">
            <w:pPr>
              <w:tabs>
                <w:tab w:val="decimal" w:pos="271"/>
              </w:tabs>
              <w:spacing w:before="40" w:after="4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0.5</w:t>
            </w:r>
          </w:p>
        </w:tc>
        <w:tc>
          <w:tcPr>
            <w:tcW w:w="736" w:type="dxa"/>
            <w:noWrap/>
            <w:hideMark/>
          </w:tcPr>
          <w:p w14:paraId="28D29248" w14:textId="7E6B5BB7" w:rsidR="000631A2" w:rsidRPr="000973F2" w:rsidRDefault="000631A2" w:rsidP="008224F5">
            <w:pPr>
              <w:spacing w:before="40" w:after="4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$0</w:t>
            </w:r>
          </w:p>
        </w:tc>
        <w:tc>
          <w:tcPr>
            <w:tcW w:w="828" w:type="dxa"/>
            <w:noWrap/>
            <w:hideMark/>
          </w:tcPr>
          <w:p w14:paraId="3142AFA5" w14:textId="77777777" w:rsidR="000631A2" w:rsidRPr="000973F2" w:rsidRDefault="000631A2" w:rsidP="008224F5">
            <w:pPr>
              <w:tabs>
                <w:tab w:val="decimal" w:pos="496"/>
              </w:tabs>
              <w:spacing w:before="40" w:after="4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$419</w:t>
            </w:r>
          </w:p>
        </w:tc>
      </w:tr>
      <w:tr w:rsidR="008224F5" w:rsidRPr="000973F2" w14:paraId="15A0981D" w14:textId="77777777" w:rsidTr="008224F5">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1335" w:type="dxa"/>
            <w:tcMar>
              <w:right w:w="14" w:type="dxa"/>
            </w:tcMar>
            <w:hideMark/>
          </w:tcPr>
          <w:p w14:paraId="03F286B0" w14:textId="77777777" w:rsidR="000631A2" w:rsidRPr="000973F2" w:rsidRDefault="000631A2" w:rsidP="008224F5">
            <w:pPr>
              <w:spacing w:before="40" w:after="4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Sampling and Analysis (Calculations)</w:t>
            </w:r>
          </w:p>
        </w:tc>
        <w:tc>
          <w:tcPr>
            <w:tcW w:w="803" w:type="dxa"/>
            <w:noWrap/>
            <w:hideMark/>
          </w:tcPr>
          <w:p w14:paraId="0A25BE0C" w14:textId="77777777" w:rsidR="000631A2" w:rsidRPr="000973F2" w:rsidRDefault="000631A2" w:rsidP="008224F5">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0</w:t>
            </w:r>
          </w:p>
        </w:tc>
        <w:tc>
          <w:tcPr>
            <w:tcW w:w="804" w:type="dxa"/>
            <w:noWrap/>
            <w:hideMark/>
          </w:tcPr>
          <w:p w14:paraId="64F876FF" w14:textId="77777777" w:rsidR="000631A2" w:rsidRPr="000973F2" w:rsidRDefault="000631A2" w:rsidP="008224F5">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0</w:t>
            </w:r>
          </w:p>
        </w:tc>
        <w:tc>
          <w:tcPr>
            <w:tcW w:w="804" w:type="dxa"/>
            <w:noWrap/>
            <w:hideMark/>
          </w:tcPr>
          <w:p w14:paraId="2AFA0E06" w14:textId="77777777" w:rsidR="000631A2" w:rsidRPr="000973F2" w:rsidRDefault="000631A2" w:rsidP="008224F5">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0</w:t>
            </w:r>
          </w:p>
        </w:tc>
        <w:tc>
          <w:tcPr>
            <w:tcW w:w="804" w:type="dxa"/>
            <w:noWrap/>
            <w:hideMark/>
          </w:tcPr>
          <w:p w14:paraId="55F8B98C" w14:textId="77777777" w:rsidR="000631A2" w:rsidRPr="000973F2" w:rsidRDefault="000631A2" w:rsidP="008224F5">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4.7</w:t>
            </w:r>
          </w:p>
        </w:tc>
        <w:tc>
          <w:tcPr>
            <w:tcW w:w="804" w:type="dxa"/>
            <w:noWrap/>
            <w:hideMark/>
          </w:tcPr>
          <w:p w14:paraId="41F300A2" w14:textId="77777777" w:rsidR="000631A2" w:rsidRPr="000973F2" w:rsidRDefault="000631A2" w:rsidP="008224F5">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0</w:t>
            </w:r>
          </w:p>
        </w:tc>
        <w:tc>
          <w:tcPr>
            <w:tcW w:w="804" w:type="dxa"/>
            <w:noWrap/>
            <w:hideMark/>
          </w:tcPr>
          <w:p w14:paraId="226C195A" w14:textId="77777777" w:rsidR="000631A2" w:rsidRPr="000973F2" w:rsidRDefault="000631A2" w:rsidP="008224F5">
            <w:pPr>
              <w:tabs>
                <w:tab w:val="decimal" w:pos="361"/>
              </w:tabs>
              <w:spacing w:before="40" w:after="4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93</w:t>
            </w:r>
          </w:p>
        </w:tc>
        <w:tc>
          <w:tcPr>
            <w:tcW w:w="804" w:type="dxa"/>
            <w:noWrap/>
            <w:hideMark/>
          </w:tcPr>
          <w:p w14:paraId="281544A6" w14:textId="77777777" w:rsidR="000631A2" w:rsidRPr="000973F2" w:rsidRDefault="000631A2" w:rsidP="008224F5">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0</w:t>
            </w:r>
          </w:p>
        </w:tc>
        <w:tc>
          <w:tcPr>
            <w:tcW w:w="804" w:type="dxa"/>
            <w:noWrap/>
            <w:hideMark/>
          </w:tcPr>
          <w:p w14:paraId="52F75B90" w14:textId="77777777" w:rsidR="000631A2" w:rsidRPr="000973F2" w:rsidRDefault="000631A2" w:rsidP="008224F5">
            <w:pPr>
              <w:tabs>
                <w:tab w:val="decimal" w:pos="271"/>
              </w:tabs>
              <w:spacing w:before="40" w:after="4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9.3</w:t>
            </w:r>
          </w:p>
        </w:tc>
        <w:tc>
          <w:tcPr>
            <w:tcW w:w="736" w:type="dxa"/>
            <w:noWrap/>
            <w:hideMark/>
          </w:tcPr>
          <w:p w14:paraId="7680732F" w14:textId="77AA802D" w:rsidR="000631A2" w:rsidRPr="000973F2" w:rsidRDefault="000631A2" w:rsidP="008224F5">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$0</w:t>
            </w:r>
          </w:p>
        </w:tc>
        <w:tc>
          <w:tcPr>
            <w:tcW w:w="828" w:type="dxa"/>
            <w:noWrap/>
            <w:hideMark/>
          </w:tcPr>
          <w:p w14:paraId="38CFC40A" w14:textId="77777777" w:rsidR="000631A2" w:rsidRPr="000973F2" w:rsidRDefault="000631A2" w:rsidP="008224F5">
            <w:pPr>
              <w:tabs>
                <w:tab w:val="decimal" w:pos="496"/>
              </w:tabs>
              <w:spacing w:before="40" w:after="4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$7,389</w:t>
            </w:r>
          </w:p>
        </w:tc>
      </w:tr>
      <w:tr w:rsidR="008224F5" w:rsidRPr="000973F2" w14:paraId="755263CF" w14:textId="77777777" w:rsidTr="008224F5">
        <w:trPr>
          <w:cantSplit/>
        </w:trPr>
        <w:tc>
          <w:tcPr>
            <w:cnfStyle w:val="001000000000" w:firstRow="0" w:lastRow="0" w:firstColumn="1" w:lastColumn="0" w:oddVBand="0" w:evenVBand="0" w:oddHBand="0" w:evenHBand="0" w:firstRowFirstColumn="0" w:firstRowLastColumn="0" w:lastRowFirstColumn="0" w:lastRowLastColumn="0"/>
            <w:tcW w:w="1335" w:type="dxa"/>
            <w:tcMar>
              <w:right w:w="14" w:type="dxa"/>
            </w:tcMar>
            <w:hideMark/>
          </w:tcPr>
          <w:p w14:paraId="4CF85A44" w14:textId="77777777" w:rsidR="000631A2" w:rsidRPr="000973F2" w:rsidRDefault="000631A2" w:rsidP="008224F5">
            <w:pPr>
              <w:spacing w:before="40" w:after="4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Reporting</w:t>
            </w:r>
          </w:p>
        </w:tc>
        <w:tc>
          <w:tcPr>
            <w:tcW w:w="803" w:type="dxa"/>
            <w:noWrap/>
            <w:hideMark/>
          </w:tcPr>
          <w:p w14:paraId="6EABB259" w14:textId="77777777" w:rsidR="000631A2" w:rsidRPr="000973F2" w:rsidRDefault="000631A2" w:rsidP="008224F5">
            <w:pPr>
              <w:spacing w:before="40" w:after="4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0</w:t>
            </w:r>
          </w:p>
        </w:tc>
        <w:tc>
          <w:tcPr>
            <w:tcW w:w="804" w:type="dxa"/>
            <w:noWrap/>
            <w:hideMark/>
          </w:tcPr>
          <w:p w14:paraId="4BE603C2" w14:textId="77777777" w:rsidR="000631A2" w:rsidRPr="000973F2" w:rsidRDefault="000631A2" w:rsidP="008224F5">
            <w:pPr>
              <w:spacing w:before="40" w:after="4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0</w:t>
            </w:r>
          </w:p>
        </w:tc>
        <w:tc>
          <w:tcPr>
            <w:tcW w:w="804" w:type="dxa"/>
            <w:noWrap/>
            <w:hideMark/>
          </w:tcPr>
          <w:p w14:paraId="522AF408" w14:textId="77777777" w:rsidR="000631A2" w:rsidRPr="000973F2" w:rsidRDefault="000631A2" w:rsidP="008224F5">
            <w:pPr>
              <w:spacing w:before="40" w:after="4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0</w:t>
            </w:r>
          </w:p>
        </w:tc>
        <w:tc>
          <w:tcPr>
            <w:tcW w:w="804" w:type="dxa"/>
            <w:noWrap/>
            <w:hideMark/>
          </w:tcPr>
          <w:p w14:paraId="54E0A67B" w14:textId="77777777" w:rsidR="000631A2" w:rsidRPr="000973F2" w:rsidRDefault="000631A2" w:rsidP="008224F5">
            <w:pPr>
              <w:spacing w:before="40" w:after="4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1.0</w:t>
            </w:r>
          </w:p>
        </w:tc>
        <w:tc>
          <w:tcPr>
            <w:tcW w:w="804" w:type="dxa"/>
            <w:noWrap/>
            <w:hideMark/>
          </w:tcPr>
          <w:p w14:paraId="495F92C7" w14:textId="77777777" w:rsidR="000631A2" w:rsidRPr="000973F2" w:rsidRDefault="000631A2" w:rsidP="008224F5">
            <w:pPr>
              <w:spacing w:before="40" w:after="4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0</w:t>
            </w:r>
          </w:p>
        </w:tc>
        <w:tc>
          <w:tcPr>
            <w:tcW w:w="804" w:type="dxa"/>
            <w:noWrap/>
            <w:hideMark/>
          </w:tcPr>
          <w:p w14:paraId="728EAAD1" w14:textId="77777777" w:rsidR="000631A2" w:rsidRPr="000973F2" w:rsidRDefault="000631A2" w:rsidP="008224F5">
            <w:pPr>
              <w:tabs>
                <w:tab w:val="decimal" w:pos="361"/>
              </w:tabs>
              <w:spacing w:before="40" w:after="4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10</w:t>
            </w:r>
          </w:p>
        </w:tc>
        <w:tc>
          <w:tcPr>
            <w:tcW w:w="804" w:type="dxa"/>
            <w:noWrap/>
            <w:hideMark/>
          </w:tcPr>
          <w:p w14:paraId="663BFB8D" w14:textId="77777777" w:rsidR="000631A2" w:rsidRPr="000973F2" w:rsidRDefault="000631A2" w:rsidP="008224F5">
            <w:pPr>
              <w:spacing w:before="40" w:after="4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0</w:t>
            </w:r>
          </w:p>
        </w:tc>
        <w:tc>
          <w:tcPr>
            <w:tcW w:w="804" w:type="dxa"/>
            <w:noWrap/>
            <w:hideMark/>
          </w:tcPr>
          <w:p w14:paraId="262E3228" w14:textId="77777777" w:rsidR="000631A2" w:rsidRPr="000973F2" w:rsidRDefault="000631A2" w:rsidP="008224F5">
            <w:pPr>
              <w:tabs>
                <w:tab w:val="decimal" w:pos="271"/>
              </w:tabs>
              <w:spacing w:before="40" w:after="4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1.0</w:t>
            </w:r>
          </w:p>
        </w:tc>
        <w:tc>
          <w:tcPr>
            <w:tcW w:w="736" w:type="dxa"/>
            <w:noWrap/>
            <w:hideMark/>
          </w:tcPr>
          <w:p w14:paraId="5546EB84" w14:textId="63044059" w:rsidR="000631A2" w:rsidRPr="000973F2" w:rsidRDefault="000631A2" w:rsidP="008224F5">
            <w:pPr>
              <w:spacing w:before="40" w:after="4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$0</w:t>
            </w:r>
          </w:p>
        </w:tc>
        <w:tc>
          <w:tcPr>
            <w:tcW w:w="828" w:type="dxa"/>
            <w:noWrap/>
            <w:hideMark/>
          </w:tcPr>
          <w:p w14:paraId="1CC60FA1" w14:textId="77777777" w:rsidR="000631A2" w:rsidRPr="000973F2" w:rsidRDefault="000631A2" w:rsidP="008224F5">
            <w:pPr>
              <w:tabs>
                <w:tab w:val="decimal" w:pos="496"/>
              </w:tabs>
              <w:spacing w:before="40" w:after="4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$838</w:t>
            </w:r>
          </w:p>
        </w:tc>
      </w:tr>
      <w:tr w:rsidR="008224F5" w:rsidRPr="000973F2" w14:paraId="7177553C" w14:textId="77777777" w:rsidTr="008224F5">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1335" w:type="dxa"/>
            <w:noWrap/>
            <w:tcMar>
              <w:right w:w="14" w:type="dxa"/>
            </w:tcMar>
            <w:hideMark/>
          </w:tcPr>
          <w:p w14:paraId="74CBF19C" w14:textId="77777777" w:rsidR="000631A2" w:rsidRPr="000973F2" w:rsidRDefault="000631A2" w:rsidP="008224F5">
            <w:pPr>
              <w:spacing w:before="40" w:after="40"/>
              <w:rPr>
                <w:rFonts w:ascii="Times New Roman" w:eastAsia="Times New Roman" w:hAnsi="Times New Roman" w:cs="Times New Roman"/>
                <w:b/>
                <w:bCs w:val="0"/>
                <w:sz w:val="18"/>
                <w:szCs w:val="18"/>
              </w:rPr>
            </w:pPr>
            <w:r w:rsidRPr="000973F2">
              <w:rPr>
                <w:rFonts w:ascii="Times New Roman" w:eastAsia="Times New Roman" w:hAnsi="Times New Roman" w:cs="Times New Roman"/>
                <w:b/>
                <w:sz w:val="18"/>
                <w:szCs w:val="18"/>
              </w:rPr>
              <w:t>Total</w:t>
            </w:r>
          </w:p>
        </w:tc>
        <w:tc>
          <w:tcPr>
            <w:tcW w:w="803" w:type="dxa"/>
            <w:noWrap/>
            <w:hideMark/>
          </w:tcPr>
          <w:p w14:paraId="4F00DFC9" w14:textId="77777777" w:rsidR="000631A2" w:rsidRPr="000973F2" w:rsidRDefault="000631A2" w:rsidP="008224F5">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18"/>
                <w:szCs w:val="18"/>
              </w:rPr>
            </w:pPr>
            <w:r w:rsidRPr="000973F2">
              <w:rPr>
                <w:rFonts w:ascii="Times New Roman" w:eastAsia="Times New Roman" w:hAnsi="Times New Roman" w:cs="Times New Roman"/>
                <w:b/>
                <w:bCs/>
                <w:sz w:val="18"/>
                <w:szCs w:val="18"/>
              </w:rPr>
              <w:t>0</w:t>
            </w:r>
          </w:p>
        </w:tc>
        <w:tc>
          <w:tcPr>
            <w:tcW w:w="804" w:type="dxa"/>
            <w:noWrap/>
            <w:hideMark/>
          </w:tcPr>
          <w:p w14:paraId="6F96146F" w14:textId="77777777" w:rsidR="000631A2" w:rsidRPr="000973F2" w:rsidRDefault="000631A2" w:rsidP="008224F5">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18"/>
                <w:szCs w:val="18"/>
              </w:rPr>
            </w:pPr>
            <w:r w:rsidRPr="000973F2">
              <w:rPr>
                <w:rFonts w:ascii="Times New Roman" w:eastAsia="Times New Roman" w:hAnsi="Times New Roman" w:cs="Times New Roman"/>
                <w:b/>
                <w:bCs/>
                <w:sz w:val="18"/>
                <w:szCs w:val="18"/>
              </w:rPr>
              <w:t>2</w:t>
            </w:r>
          </w:p>
        </w:tc>
        <w:tc>
          <w:tcPr>
            <w:tcW w:w="804" w:type="dxa"/>
            <w:noWrap/>
            <w:hideMark/>
          </w:tcPr>
          <w:p w14:paraId="6B9ACE2C" w14:textId="77777777" w:rsidR="000631A2" w:rsidRPr="000973F2" w:rsidRDefault="000631A2" w:rsidP="008224F5">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18"/>
                <w:szCs w:val="18"/>
              </w:rPr>
            </w:pPr>
            <w:r w:rsidRPr="000973F2">
              <w:rPr>
                <w:rFonts w:ascii="Times New Roman" w:eastAsia="Times New Roman" w:hAnsi="Times New Roman" w:cs="Times New Roman"/>
                <w:b/>
                <w:bCs/>
                <w:sz w:val="18"/>
                <w:szCs w:val="18"/>
              </w:rPr>
              <w:t>0</w:t>
            </w:r>
          </w:p>
        </w:tc>
        <w:tc>
          <w:tcPr>
            <w:tcW w:w="804" w:type="dxa"/>
            <w:noWrap/>
            <w:hideMark/>
          </w:tcPr>
          <w:p w14:paraId="2CE464E6" w14:textId="77777777" w:rsidR="000631A2" w:rsidRPr="000973F2" w:rsidRDefault="000631A2" w:rsidP="008224F5">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18"/>
                <w:szCs w:val="18"/>
              </w:rPr>
            </w:pPr>
            <w:r w:rsidRPr="000973F2">
              <w:rPr>
                <w:rFonts w:ascii="Times New Roman" w:eastAsia="Times New Roman" w:hAnsi="Times New Roman" w:cs="Times New Roman"/>
                <w:b/>
                <w:bCs/>
                <w:sz w:val="18"/>
                <w:szCs w:val="18"/>
              </w:rPr>
              <w:t>7.2</w:t>
            </w:r>
          </w:p>
        </w:tc>
        <w:tc>
          <w:tcPr>
            <w:tcW w:w="804" w:type="dxa"/>
            <w:noWrap/>
            <w:hideMark/>
          </w:tcPr>
          <w:p w14:paraId="50FF8938" w14:textId="77777777" w:rsidR="000631A2" w:rsidRPr="000973F2" w:rsidRDefault="000631A2" w:rsidP="008224F5">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18"/>
                <w:szCs w:val="18"/>
              </w:rPr>
            </w:pPr>
            <w:r w:rsidRPr="000973F2">
              <w:rPr>
                <w:rFonts w:ascii="Times New Roman" w:eastAsia="Times New Roman" w:hAnsi="Times New Roman" w:cs="Times New Roman"/>
                <w:b/>
                <w:bCs/>
                <w:sz w:val="18"/>
                <w:szCs w:val="18"/>
              </w:rPr>
              <w:t>0</w:t>
            </w:r>
          </w:p>
        </w:tc>
        <w:tc>
          <w:tcPr>
            <w:tcW w:w="804" w:type="dxa"/>
            <w:noWrap/>
            <w:hideMark/>
          </w:tcPr>
          <w:p w14:paraId="764015FD" w14:textId="77777777" w:rsidR="000631A2" w:rsidRPr="000973F2" w:rsidRDefault="000631A2" w:rsidP="008224F5">
            <w:pPr>
              <w:tabs>
                <w:tab w:val="decimal" w:pos="361"/>
              </w:tabs>
              <w:spacing w:before="40" w:after="4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18"/>
                <w:szCs w:val="18"/>
              </w:rPr>
            </w:pPr>
            <w:r w:rsidRPr="000973F2">
              <w:rPr>
                <w:rFonts w:ascii="Times New Roman" w:eastAsia="Times New Roman" w:hAnsi="Times New Roman" w:cs="Times New Roman"/>
                <w:b/>
                <w:bCs/>
                <w:sz w:val="18"/>
                <w:szCs w:val="18"/>
              </w:rPr>
              <w:t>109</w:t>
            </w:r>
          </w:p>
        </w:tc>
        <w:tc>
          <w:tcPr>
            <w:tcW w:w="804" w:type="dxa"/>
            <w:noWrap/>
            <w:hideMark/>
          </w:tcPr>
          <w:p w14:paraId="1398734A" w14:textId="77777777" w:rsidR="000631A2" w:rsidRPr="000973F2" w:rsidRDefault="000631A2" w:rsidP="008224F5">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18"/>
                <w:szCs w:val="18"/>
              </w:rPr>
            </w:pPr>
            <w:r w:rsidRPr="000973F2">
              <w:rPr>
                <w:rFonts w:ascii="Times New Roman" w:eastAsia="Times New Roman" w:hAnsi="Times New Roman" w:cs="Times New Roman"/>
                <w:b/>
                <w:bCs/>
                <w:sz w:val="18"/>
                <w:szCs w:val="18"/>
              </w:rPr>
              <w:t>0</w:t>
            </w:r>
          </w:p>
        </w:tc>
        <w:tc>
          <w:tcPr>
            <w:tcW w:w="804" w:type="dxa"/>
            <w:noWrap/>
            <w:hideMark/>
          </w:tcPr>
          <w:p w14:paraId="5A8B9268" w14:textId="77777777" w:rsidR="000631A2" w:rsidRPr="000973F2" w:rsidRDefault="000631A2" w:rsidP="008224F5">
            <w:pPr>
              <w:tabs>
                <w:tab w:val="decimal" w:pos="271"/>
              </w:tabs>
              <w:spacing w:before="40" w:after="4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18"/>
                <w:szCs w:val="18"/>
              </w:rPr>
            </w:pPr>
            <w:r w:rsidRPr="000973F2">
              <w:rPr>
                <w:rFonts w:ascii="Times New Roman" w:eastAsia="Times New Roman" w:hAnsi="Times New Roman" w:cs="Times New Roman"/>
                <w:b/>
                <w:bCs/>
                <w:sz w:val="18"/>
                <w:szCs w:val="18"/>
              </w:rPr>
              <w:t>10.8</w:t>
            </w:r>
          </w:p>
        </w:tc>
        <w:tc>
          <w:tcPr>
            <w:tcW w:w="736" w:type="dxa"/>
            <w:noWrap/>
            <w:hideMark/>
          </w:tcPr>
          <w:p w14:paraId="377C8649" w14:textId="352575DE" w:rsidR="000631A2" w:rsidRPr="000973F2" w:rsidRDefault="000631A2" w:rsidP="008224F5">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18"/>
                <w:szCs w:val="18"/>
              </w:rPr>
            </w:pPr>
            <w:r w:rsidRPr="000973F2">
              <w:rPr>
                <w:rFonts w:ascii="Times New Roman" w:eastAsia="Times New Roman" w:hAnsi="Times New Roman" w:cs="Times New Roman"/>
                <w:b/>
                <w:bCs/>
                <w:sz w:val="18"/>
                <w:szCs w:val="18"/>
              </w:rPr>
              <w:t>$0</w:t>
            </w:r>
          </w:p>
        </w:tc>
        <w:tc>
          <w:tcPr>
            <w:tcW w:w="828" w:type="dxa"/>
            <w:noWrap/>
            <w:hideMark/>
          </w:tcPr>
          <w:p w14:paraId="3F386494" w14:textId="77777777" w:rsidR="000631A2" w:rsidRPr="000973F2" w:rsidRDefault="000631A2" w:rsidP="008224F5">
            <w:pPr>
              <w:tabs>
                <w:tab w:val="decimal" w:pos="496"/>
              </w:tabs>
              <w:spacing w:before="40" w:after="4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18"/>
                <w:szCs w:val="18"/>
              </w:rPr>
            </w:pPr>
            <w:r w:rsidRPr="000973F2">
              <w:rPr>
                <w:rFonts w:ascii="Times New Roman" w:eastAsia="Times New Roman" w:hAnsi="Times New Roman" w:cs="Times New Roman"/>
                <w:b/>
                <w:bCs/>
                <w:sz w:val="18"/>
                <w:szCs w:val="18"/>
              </w:rPr>
              <w:t>$9,030</w:t>
            </w:r>
          </w:p>
        </w:tc>
      </w:tr>
    </w:tbl>
    <w:p w14:paraId="4D70BFF1" w14:textId="77777777" w:rsidR="000631A2" w:rsidRPr="000973F2" w:rsidRDefault="000631A2" w:rsidP="00C00E4F">
      <w:pPr>
        <w:spacing w:line="240" w:lineRule="auto"/>
        <w:rPr>
          <w:rFonts w:ascii="Times New Roman" w:hAnsi="Times New Roman" w:cs="Times New Roman"/>
        </w:rPr>
      </w:pPr>
      <w:r w:rsidRPr="000973F2">
        <w:rPr>
          <w:rFonts w:ascii="Times New Roman" w:hAnsi="Times New Roman" w:cs="Times New Roman"/>
        </w:rPr>
        <w:br w:type="page"/>
      </w:r>
    </w:p>
    <w:p w14:paraId="79805C43" w14:textId="4749669C" w:rsidR="000631A2" w:rsidRPr="000973F2" w:rsidRDefault="000631A2" w:rsidP="008224F5">
      <w:pPr>
        <w:pStyle w:val="BodyText"/>
      </w:pPr>
      <w:r w:rsidRPr="000973F2">
        <w:t xml:space="preserve">Table </w:t>
      </w:r>
      <w:r w:rsidR="008224F5" w:rsidRPr="000973F2">
        <w:t>O-</w:t>
      </w:r>
      <w:r w:rsidRPr="000973F2">
        <w:t>1b below indicates the labor hours needed for the single facility that produces HCFC-22 and also destroys HFC-23. This facility estimates process emissions from the individual emission points (process vents and equipment leaks).</w:t>
      </w:r>
    </w:p>
    <w:p w14:paraId="4C605CC4" w14:textId="45847153" w:rsidR="000631A2" w:rsidRPr="000973F2" w:rsidRDefault="00FC1B8E" w:rsidP="00242876">
      <w:pPr>
        <w:pStyle w:val="Tabletitle"/>
      </w:pPr>
      <w:r w:rsidRPr="000973F2">
        <w:t xml:space="preserve">Table </w:t>
      </w:r>
      <w:r w:rsidR="00242876" w:rsidRPr="000973F2">
        <w:t>O-</w:t>
      </w:r>
      <w:r w:rsidRPr="000973F2">
        <w:t>1b.</w:t>
      </w:r>
      <w:r w:rsidR="0065458C" w:rsidRPr="000973F2">
        <w:t xml:space="preserve"> Labor Costs </w:t>
      </w:r>
      <w:r w:rsidR="008224F5" w:rsidRPr="000973F2">
        <w:t>–</w:t>
      </w:r>
      <w:r w:rsidR="0065458C" w:rsidRPr="000973F2">
        <w:t xml:space="preserve"> </w:t>
      </w:r>
      <w:r w:rsidRPr="000973F2">
        <w:t xml:space="preserve">Subpart O </w:t>
      </w:r>
      <w:r w:rsidR="00B960CC" w:rsidRPr="000973F2">
        <w:t>–</w:t>
      </w:r>
      <w:r w:rsidR="0065458C" w:rsidRPr="000973F2">
        <w:t xml:space="preserve"> </w:t>
      </w:r>
      <w:r w:rsidRPr="000973F2">
        <w:t>Emission Point Testing Approach and Destruction of HFC-23</w:t>
      </w:r>
    </w:p>
    <w:tbl>
      <w:tblPr>
        <w:tblStyle w:val="PlainTable1"/>
        <w:tblW w:w="5000" w:type="pct"/>
        <w:jc w:val="left"/>
        <w:tblLayout w:type="fixed"/>
        <w:tblLook w:val="04A0" w:firstRow="1" w:lastRow="0" w:firstColumn="1" w:lastColumn="0" w:noHBand="0" w:noVBand="1"/>
      </w:tblPr>
      <w:tblGrid>
        <w:gridCol w:w="1413"/>
        <w:gridCol w:w="817"/>
        <w:gridCol w:w="817"/>
        <w:gridCol w:w="818"/>
        <w:gridCol w:w="817"/>
        <w:gridCol w:w="817"/>
        <w:gridCol w:w="818"/>
        <w:gridCol w:w="817"/>
        <w:gridCol w:w="818"/>
        <w:gridCol w:w="744"/>
        <w:gridCol w:w="880"/>
      </w:tblGrid>
      <w:tr w:rsidR="000631A2" w:rsidRPr="000973F2" w14:paraId="2E91037C" w14:textId="77777777" w:rsidTr="008224F5">
        <w:trPr>
          <w:cnfStyle w:val="100000000000" w:firstRow="1" w:lastRow="0" w:firstColumn="0" w:lastColumn="0" w:oddVBand="0" w:evenVBand="0" w:oddHBand="0" w:evenHBand="0" w:firstRowFirstColumn="0" w:firstRowLastColumn="0" w:lastRowFirstColumn="0" w:lastRowLastColumn="0"/>
          <w:cantSplit/>
          <w:jc w:val="left"/>
        </w:trPr>
        <w:tc>
          <w:tcPr>
            <w:cnfStyle w:val="001000000000" w:firstRow="0" w:lastRow="0" w:firstColumn="1" w:lastColumn="0" w:oddVBand="0" w:evenVBand="0" w:oddHBand="0" w:evenHBand="0" w:firstRowFirstColumn="0" w:firstRowLastColumn="0" w:lastRowFirstColumn="0" w:lastRowLastColumn="0"/>
            <w:tcW w:w="1377" w:type="dxa"/>
            <w:vMerge w:val="restart"/>
            <w:noWrap/>
            <w:vAlign w:val="top"/>
            <w:hideMark/>
          </w:tcPr>
          <w:p w14:paraId="68F7C874" w14:textId="77777777" w:rsidR="000631A2" w:rsidRPr="000973F2" w:rsidRDefault="000631A2" w:rsidP="008224F5">
            <w:pPr>
              <w:spacing w:before="40" w:after="40"/>
              <w:rPr>
                <w:rFonts w:ascii="Times New Roman" w:eastAsia="Times New Roman" w:hAnsi="Times New Roman" w:cs="Times New Roman"/>
                <w:bCs w:val="0"/>
                <w:sz w:val="18"/>
                <w:szCs w:val="18"/>
              </w:rPr>
            </w:pPr>
            <w:r w:rsidRPr="000973F2">
              <w:rPr>
                <w:rFonts w:ascii="Times New Roman" w:eastAsia="Times New Roman" w:hAnsi="Times New Roman" w:cs="Times New Roman"/>
                <w:sz w:val="18"/>
                <w:szCs w:val="18"/>
              </w:rPr>
              <w:t>Activity</w:t>
            </w:r>
          </w:p>
        </w:tc>
        <w:tc>
          <w:tcPr>
            <w:tcW w:w="6371" w:type="dxa"/>
            <w:gridSpan w:val="8"/>
            <w:noWrap/>
            <w:vAlign w:val="top"/>
            <w:hideMark/>
          </w:tcPr>
          <w:p w14:paraId="04D1EC87" w14:textId="77777777" w:rsidR="000631A2" w:rsidRPr="000973F2" w:rsidRDefault="000631A2" w:rsidP="008224F5">
            <w:pPr>
              <w:spacing w:before="40" w:after="40"/>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Cs w:val="0"/>
                <w:sz w:val="18"/>
                <w:szCs w:val="18"/>
              </w:rPr>
            </w:pPr>
            <w:r w:rsidRPr="000973F2">
              <w:rPr>
                <w:rFonts w:ascii="Times New Roman" w:eastAsia="Times New Roman" w:hAnsi="Times New Roman" w:cs="Times New Roman"/>
                <w:bCs w:val="0"/>
                <w:sz w:val="18"/>
                <w:szCs w:val="18"/>
              </w:rPr>
              <w:t>Labor Rates (per hour)</w:t>
            </w:r>
          </w:p>
        </w:tc>
        <w:tc>
          <w:tcPr>
            <w:tcW w:w="1582" w:type="dxa"/>
            <w:gridSpan w:val="2"/>
            <w:vMerge w:val="restart"/>
            <w:vAlign w:val="top"/>
            <w:hideMark/>
          </w:tcPr>
          <w:p w14:paraId="046B971E" w14:textId="77777777" w:rsidR="000631A2" w:rsidRPr="000973F2" w:rsidRDefault="000631A2" w:rsidP="008224F5">
            <w:pPr>
              <w:spacing w:before="40" w:after="40"/>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Cs w:val="0"/>
                <w:sz w:val="18"/>
                <w:szCs w:val="18"/>
              </w:rPr>
            </w:pPr>
            <w:r w:rsidRPr="000973F2">
              <w:rPr>
                <w:rFonts w:ascii="Times New Roman" w:eastAsia="Times New Roman" w:hAnsi="Times New Roman" w:cs="Times New Roman"/>
                <w:bCs w:val="0"/>
                <w:sz w:val="18"/>
                <w:szCs w:val="18"/>
              </w:rPr>
              <w:t>Total Labor Cost per Year per Facility (2017$)</w:t>
            </w:r>
          </w:p>
        </w:tc>
      </w:tr>
      <w:tr w:rsidR="000631A2" w:rsidRPr="000973F2" w14:paraId="4AE77C2C" w14:textId="77777777" w:rsidTr="008224F5">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1377" w:type="dxa"/>
            <w:vMerge/>
            <w:hideMark/>
          </w:tcPr>
          <w:p w14:paraId="0C3F7E9F" w14:textId="77777777" w:rsidR="000631A2" w:rsidRPr="000973F2" w:rsidRDefault="000631A2" w:rsidP="008224F5">
            <w:pPr>
              <w:spacing w:before="40" w:after="40"/>
              <w:rPr>
                <w:rFonts w:ascii="Times New Roman" w:eastAsia="Times New Roman" w:hAnsi="Times New Roman" w:cs="Times New Roman"/>
                <w:b/>
                <w:bCs w:val="0"/>
                <w:sz w:val="18"/>
                <w:szCs w:val="18"/>
              </w:rPr>
            </w:pPr>
          </w:p>
        </w:tc>
        <w:tc>
          <w:tcPr>
            <w:tcW w:w="1592" w:type="dxa"/>
            <w:gridSpan w:val="2"/>
            <w:noWrap/>
            <w:hideMark/>
          </w:tcPr>
          <w:p w14:paraId="7AE953AE" w14:textId="77777777" w:rsidR="000631A2" w:rsidRPr="000973F2" w:rsidRDefault="000631A2" w:rsidP="008224F5">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18"/>
                <w:szCs w:val="18"/>
              </w:rPr>
            </w:pPr>
            <w:r w:rsidRPr="000973F2">
              <w:rPr>
                <w:rFonts w:ascii="Times New Roman" w:eastAsia="Times New Roman" w:hAnsi="Times New Roman" w:cs="Times New Roman"/>
                <w:b/>
                <w:bCs/>
                <w:sz w:val="18"/>
                <w:szCs w:val="18"/>
              </w:rPr>
              <w:t>Lawyer</w:t>
            </w:r>
          </w:p>
        </w:tc>
        <w:tc>
          <w:tcPr>
            <w:tcW w:w="1593" w:type="dxa"/>
            <w:gridSpan w:val="2"/>
            <w:noWrap/>
            <w:hideMark/>
          </w:tcPr>
          <w:p w14:paraId="643C23B5" w14:textId="77777777" w:rsidR="000631A2" w:rsidRPr="000973F2" w:rsidRDefault="000631A2" w:rsidP="008224F5">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18"/>
                <w:szCs w:val="18"/>
              </w:rPr>
            </w:pPr>
            <w:r w:rsidRPr="000973F2">
              <w:rPr>
                <w:rFonts w:ascii="Times New Roman" w:eastAsia="Times New Roman" w:hAnsi="Times New Roman" w:cs="Times New Roman"/>
                <w:b/>
                <w:bCs/>
                <w:sz w:val="18"/>
                <w:szCs w:val="18"/>
              </w:rPr>
              <w:t>Industrial Manager</w:t>
            </w:r>
          </w:p>
        </w:tc>
        <w:tc>
          <w:tcPr>
            <w:tcW w:w="1593" w:type="dxa"/>
            <w:gridSpan w:val="2"/>
            <w:hideMark/>
          </w:tcPr>
          <w:p w14:paraId="7232CD5D" w14:textId="4721967E" w:rsidR="000631A2" w:rsidRPr="000973F2" w:rsidRDefault="000631A2" w:rsidP="008224F5">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18"/>
                <w:szCs w:val="18"/>
              </w:rPr>
            </w:pPr>
            <w:r w:rsidRPr="000973F2">
              <w:rPr>
                <w:rFonts w:ascii="Times New Roman" w:eastAsia="Times New Roman" w:hAnsi="Times New Roman" w:cs="Times New Roman"/>
                <w:b/>
                <w:bCs/>
                <w:sz w:val="18"/>
                <w:szCs w:val="18"/>
              </w:rPr>
              <w:t>Industrial Engineer/</w:t>
            </w:r>
            <w:r w:rsidR="008224F5" w:rsidRPr="000973F2">
              <w:rPr>
                <w:rFonts w:ascii="Times New Roman" w:eastAsia="Times New Roman" w:hAnsi="Times New Roman" w:cs="Times New Roman"/>
                <w:b/>
                <w:bCs/>
                <w:sz w:val="18"/>
                <w:szCs w:val="18"/>
              </w:rPr>
              <w:t xml:space="preserve"> </w:t>
            </w:r>
            <w:r w:rsidRPr="000973F2">
              <w:rPr>
                <w:rFonts w:ascii="Times New Roman" w:eastAsia="Times New Roman" w:hAnsi="Times New Roman" w:cs="Times New Roman"/>
                <w:b/>
                <w:bCs/>
                <w:sz w:val="18"/>
                <w:szCs w:val="18"/>
              </w:rPr>
              <w:t>Technician</w:t>
            </w:r>
          </w:p>
        </w:tc>
        <w:tc>
          <w:tcPr>
            <w:tcW w:w="1593" w:type="dxa"/>
            <w:gridSpan w:val="2"/>
            <w:hideMark/>
          </w:tcPr>
          <w:p w14:paraId="21FD573B" w14:textId="77777777" w:rsidR="000631A2" w:rsidRPr="000973F2" w:rsidRDefault="000631A2" w:rsidP="008224F5">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18"/>
                <w:szCs w:val="18"/>
              </w:rPr>
            </w:pPr>
            <w:r w:rsidRPr="000973F2">
              <w:rPr>
                <w:rFonts w:ascii="Times New Roman" w:eastAsia="Times New Roman" w:hAnsi="Times New Roman" w:cs="Times New Roman"/>
                <w:b/>
                <w:bCs/>
                <w:sz w:val="18"/>
                <w:szCs w:val="18"/>
              </w:rPr>
              <w:t>Administrative Support</w:t>
            </w:r>
          </w:p>
        </w:tc>
        <w:tc>
          <w:tcPr>
            <w:tcW w:w="1582" w:type="dxa"/>
            <w:gridSpan w:val="2"/>
            <w:vMerge/>
            <w:hideMark/>
          </w:tcPr>
          <w:p w14:paraId="0F084263" w14:textId="77777777" w:rsidR="000631A2" w:rsidRPr="000973F2" w:rsidRDefault="000631A2" w:rsidP="008224F5">
            <w:pPr>
              <w:spacing w:before="40" w:after="4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18"/>
                <w:szCs w:val="18"/>
              </w:rPr>
            </w:pPr>
          </w:p>
        </w:tc>
      </w:tr>
      <w:tr w:rsidR="000631A2" w:rsidRPr="000973F2" w14:paraId="510D4F22" w14:textId="77777777" w:rsidTr="008224F5">
        <w:trPr>
          <w:cantSplit/>
        </w:trPr>
        <w:tc>
          <w:tcPr>
            <w:cnfStyle w:val="001000000000" w:firstRow="0" w:lastRow="0" w:firstColumn="1" w:lastColumn="0" w:oddVBand="0" w:evenVBand="0" w:oddHBand="0" w:evenHBand="0" w:firstRowFirstColumn="0" w:firstRowLastColumn="0" w:lastRowFirstColumn="0" w:lastRowLastColumn="0"/>
            <w:tcW w:w="1377" w:type="dxa"/>
            <w:vMerge/>
            <w:hideMark/>
          </w:tcPr>
          <w:p w14:paraId="2D938445" w14:textId="77777777" w:rsidR="000631A2" w:rsidRPr="000973F2" w:rsidRDefault="000631A2" w:rsidP="008224F5">
            <w:pPr>
              <w:spacing w:before="40" w:after="40"/>
              <w:rPr>
                <w:rFonts w:ascii="Times New Roman" w:eastAsia="Times New Roman" w:hAnsi="Times New Roman" w:cs="Times New Roman"/>
                <w:b/>
                <w:bCs w:val="0"/>
                <w:sz w:val="18"/>
                <w:szCs w:val="18"/>
              </w:rPr>
            </w:pPr>
          </w:p>
        </w:tc>
        <w:tc>
          <w:tcPr>
            <w:tcW w:w="1592" w:type="dxa"/>
            <w:gridSpan w:val="2"/>
            <w:noWrap/>
            <w:hideMark/>
          </w:tcPr>
          <w:p w14:paraId="0F460E35" w14:textId="77777777" w:rsidR="000631A2" w:rsidRPr="000973F2" w:rsidRDefault="000631A2" w:rsidP="008224F5">
            <w:pPr>
              <w:spacing w:before="40" w:after="4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sz w:val="18"/>
                <w:szCs w:val="18"/>
              </w:rPr>
            </w:pPr>
            <w:r w:rsidRPr="000973F2">
              <w:rPr>
                <w:rFonts w:ascii="Times New Roman" w:eastAsia="Times New Roman" w:hAnsi="Times New Roman" w:cs="Times New Roman"/>
                <w:b/>
                <w:bCs/>
                <w:sz w:val="18"/>
                <w:szCs w:val="18"/>
              </w:rPr>
              <w:t xml:space="preserve">$112.23 </w:t>
            </w:r>
          </w:p>
        </w:tc>
        <w:tc>
          <w:tcPr>
            <w:tcW w:w="1593" w:type="dxa"/>
            <w:gridSpan w:val="2"/>
            <w:noWrap/>
            <w:hideMark/>
          </w:tcPr>
          <w:p w14:paraId="0D9BB124" w14:textId="77777777" w:rsidR="000631A2" w:rsidRPr="000973F2" w:rsidRDefault="000631A2" w:rsidP="008224F5">
            <w:pPr>
              <w:spacing w:before="40" w:after="4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sz w:val="18"/>
                <w:szCs w:val="18"/>
              </w:rPr>
            </w:pPr>
            <w:r w:rsidRPr="000973F2">
              <w:rPr>
                <w:rFonts w:ascii="Times New Roman" w:eastAsia="Times New Roman" w:hAnsi="Times New Roman" w:cs="Times New Roman"/>
                <w:b/>
                <w:bCs/>
                <w:sz w:val="18"/>
                <w:szCs w:val="18"/>
              </w:rPr>
              <w:t xml:space="preserve">$87.45 </w:t>
            </w:r>
          </w:p>
        </w:tc>
        <w:tc>
          <w:tcPr>
            <w:tcW w:w="1593" w:type="dxa"/>
            <w:gridSpan w:val="2"/>
            <w:noWrap/>
            <w:hideMark/>
          </w:tcPr>
          <w:p w14:paraId="28E77A29" w14:textId="77777777" w:rsidR="000631A2" w:rsidRPr="000973F2" w:rsidRDefault="000631A2" w:rsidP="008224F5">
            <w:pPr>
              <w:spacing w:before="40" w:after="4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sz w:val="18"/>
                <w:szCs w:val="18"/>
              </w:rPr>
            </w:pPr>
            <w:r w:rsidRPr="000973F2">
              <w:rPr>
                <w:rFonts w:ascii="Times New Roman" w:eastAsia="Times New Roman" w:hAnsi="Times New Roman" w:cs="Times New Roman"/>
                <w:b/>
                <w:bCs/>
                <w:sz w:val="18"/>
                <w:szCs w:val="18"/>
              </w:rPr>
              <w:t xml:space="preserve">$71.45 </w:t>
            </w:r>
          </w:p>
        </w:tc>
        <w:tc>
          <w:tcPr>
            <w:tcW w:w="1593" w:type="dxa"/>
            <w:gridSpan w:val="2"/>
            <w:noWrap/>
            <w:hideMark/>
          </w:tcPr>
          <w:p w14:paraId="534646B1" w14:textId="77777777" w:rsidR="000631A2" w:rsidRPr="000973F2" w:rsidRDefault="000631A2" w:rsidP="008224F5">
            <w:pPr>
              <w:spacing w:before="40" w:after="4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sz w:val="18"/>
                <w:szCs w:val="18"/>
              </w:rPr>
            </w:pPr>
            <w:r w:rsidRPr="000973F2">
              <w:rPr>
                <w:rFonts w:ascii="Times New Roman" w:eastAsia="Times New Roman" w:hAnsi="Times New Roman" w:cs="Times New Roman"/>
                <w:b/>
                <w:bCs/>
                <w:sz w:val="18"/>
                <w:szCs w:val="18"/>
              </w:rPr>
              <w:t xml:space="preserve">$36.28 </w:t>
            </w:r>
          </w:p>
        </w:tc>
        <w:tc>
          <w:tcPr>
            <w:tcW w:w="1582" w:type="dxa"/>
            <w:gridSpan w:val="2"/>
            <w:vMerge/>
            <w:hideMark/>
          </w:tcPr>
          <w:p w14:paraId="4A12DF4C" w14:textId="77777777" w:rsidR="000631A2" w:rsidRPr="000973F2" w:rsidRDefault="000631A2" w:rsidP="008224F5">
            <w:pPr>
              <w:spacing w:before="40" w:after="4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sz w:val="18"/>
                <w:szCs w:val="18"/>
              </w:rPr>
            </w:pPr>
          </w:p>
        </w:tc>
      </w:tr>
      <w:tr w:rsidR="008224F5" w:rsidRPr="000973F2" w14:paraId="727C203E" w14:textId="77777777" w:rsidTr="008224F5">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1377" w:type="dxa"/>
            <w:vMerge/>
            <w:hideMark/>
          </w:tcPr>
          <w:p w14:paraId="06A1B41B" w14:textId="77777777" w:rsidR="000631A2" w:rsidRPr="000973F2" w:rsidRDefault="000631A2" w:rsidP="008224F5">
            <w:pPr>
              <w:spacing w:before="40" w:after="40"/>
              <w:rPr>
                <w:rFonts w:ascii="Times New Roman" w:eastAsia="Times New Roman" w:hAnsi="Times New Roman" w:cs="Times New Roman"/>
                <w:b/>
                <w:bCs w:val="0"/>
                <w:sz w:val="18"/>
                <w:szCs w:val="18"/>
              </w:rPr>
            </w:pPr>
          </w:p>
        </w:tc>
        <w:tc>
          <w:tcPr>
            <w:tcW w:w="796" w:type="dxa"/>
            <w:tcMar>
              <w:left w:w="14" w:type="dxa"/>
              <w:right w:w="14" w:type="dxa"/>
            </w:tcMar>
            <w:hideMark/>
          </w:tcPr>
          <w:p w14:paraId="4EFFBD96" w14:textId="6143438C" w:rsidR="000631A2" w:rsidRPr="000973F2" w:rsidRDefault="000631A2" w:rsidP="008224F5">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18"/>
                <w:szCs w:val="18"/>
              </w:rPr>
            </w:pPr>
            <w:r w:rsidRPr="000973F2">
              <w:rPr>
                <w:rFonts w:ascii="Times New Roman" w:eastAsia="Times New Roman" w:hAnsi="Times New Roman" w:cs="Times New Roman"/>
                <w:b/>
                <w:bCs/>
                <w:sz w:val="18"/>
                <w:szCs w:val="18"/>
              </w:rPr>
              <w:t xml:space="preserve">Initial </w:t>
            </w:r>
            <w:r w:rsidR="00132320" w:rsidRPr="000973F2">
              <w:rPr>
                <w:rFonts w:ascii="Times New Roman" w:eastAsia="Times New Roman" w:hAnsi="Times New Roman" w:cs="Times New Roman"/>
                <w:b/>
                <w:bCs/>
                <w:sz w:val="18"/>
                <w:szCs w:val="18"/>
              </w:rPr>
              <w:t>Year Hours</w:t>
            </w:r>
          </w:p>
        </w:tc>
        <w:tc>
          <w:tcPr>
            <w:tcW w:w="796" w:type="dxa"/>
            <w:tcMar>
              <w:left w:w="14" w:type="dxa"/>
              <w:right w:w="14" w:type="dxa"/>
            </w:tcMar>
            <w:hideMark/>
          </w:tcPr>
          <w:p w14:paraId="116A4D23" w14:textId="000D99BF" w:rsidR="000631A2" w:rsidRPr="000973F2" w:rsidRDefault="000631A2" w:rsidP="008224F5">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18"/>
                <w:szCs w:val="18"/>
              </w:rPr>
            </w:pPr>
            <w:r w:rsidRPr="000973F2">
              <w:rPr>
                <w:rFonts w:ascii="Times New Roman" w:eastAsia="Times New Roman" w:hAnsi="Times New Roman" w:cs="Times New Roman"/>
                <w:b/>
                <w:bCs/>
                <w:sz w:val="18"/>
                <w:szCs w:val="18"/>
              </w:rPr>
              <w:t xml:space="preserve">Subseq. </w:t>
            </w:r>
            <w:r w:rsidR="00132320" w:rsidRPr="000973F2">
              <w:rPr>
                <w:rFonts w:ascii="Times New Roman" w:eastAsia="Times New Roman" w:hAnsi="Times New Roman" w:cs="Times New Roman"/>
                <w:b/>
                <w:bCs/>
                <w:sz w:val="18"/>
                <w:szCs w:val="18"/>
              </w:rPr>
              <w:t>Year Hours</w:t>
            </w:r>
          </w:p>
        </w:tc>
        <w:tc>
          <w:tcPr>
            <w:tcW w:w="797" w:type="dxa"/>
            <w:tcMar>
              <w:left w:w="14" w:type="dxa"/>
              <w:right w:w="14" w:type="dxa"/>
            </w:tcMar>
            <w:hideMark/>
          </w:tcPr>
          <w:p w14:paraId="336A58C5" w14:textId="5560ED95" w:rsidR="000631A2" w:rsidRPr="000973F2" w:rsidRDefault="000631A2" w:rsidP="008224F5">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18"/>
                <w:szCs w:val="18"/>
              </w:rPr>
            </w:pPr>
            <w:r w:rsidRPr="000973F2">
              <w:rPr>
                <w:rFonts w:ascii="Times New Roman" w:eastAsia="Times New Roman" w:hAnsi="Times New Roman" w:cs="Times New Roman"/>
                <w:b/>
                <w:bCs/>
                <w:sz w:val="18"/>
                <w:szCs w:val="18"/>
              </w:rPr>
              <w:t xml:space="preserve">Initial </w:t>
            </w:r>
            <w:r w:rsidR="00132320" w:rsidRPr="000973F2">
              <w:rPr>
                <w:rFonts w:ascii="Times New Roman" w:eastAsia="Times New Roman" w:hAnsi="Times New Roman" w:cs="Times New Roman"/>
                <w:b/>
                <w:bCs/>
                <w:sz w:val="18"/>
                <w:szCs w:val="18"/>
              </w:rPr>
              <w:t>Year Hours</w:t>
            </w:r>
          </w:p>
        </w:tc>
        <w:tc>
          <w:tcPr>
            <w:tcW w:w="796" w:type="dxa"/>
            <w:tcMar>
              <w:left w:w="14" w:type="dxa"/>
              <w:right w:w="14" w:type="dxa"/>
            </w:tcMar>
            <w:hideMark/>
          </w:tcPr>
          <w:p w14:paraId="4A54A202" w14:textId="19A6762F" w:rsidR="000631A2" w:rsidRPr="000973F2" w:rsidRDefault="000631A2" w:rsidP="008224F5">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18"/>
                <w:szCs w:val="18"/>
              </w:rPr>
            </w:pPr>
            <w:r w:rsidRPr="000973F2">
              <w:rPr>
                <w:rFonts w:ascii="Times New Roman" w:eastAsia="Times New Roman" w:hAnsi="Times New Roman" w:cs="Times New Roman"/>
                <w:b/>
                <w:bCs/>
                <w:sz w:val="18"/>
                <w:szCs w:val="18"/>
              </w:rPr>
              <w:t xml:space="preserve">Subseq. </w:t>
            </w:r>
            <w:r w:rsidR="00132320" w:rsidRPr="000973F2">
              <w:rPr>
                <w:rFonts w:ascii="Times New Roman" w:eastAsia="Times New Roman" w:hAnsi="Times New Roman" w:cs="Times New Roman"/>
                <w:b/>
                <w:bCs/>
                <w:sz w:val="18"/>
                <w:szCs w:val="18"/>
              </w:rPr>
              <w:t>Year Hours</w:t>
            </w:r>
          </w:p>
        </w:tc>
        <w:tc>
          <w:tcPr>
            <w:tcW w:w="796" w:type="dxa"/>
            <w:tcMar>
              <w:left w:w="14" w:type="dxa"/>
              <w:right w:w="14" w:type="dxa"/>
            </w:tcMar>
            <w:hideMark/>
          </w:tcPr>
          <w:p w14:paraId="19BFBF29" w14:textId="740D61FA" w:rsidR="000631A2" w:rsidRPr="000973F2" w:rsidRDefault="000631A2" w:rsidP="008224F5">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18"/>
                <w:szCs w:val="18"/>
              </w:rPr>
            </w:pPr>
            <w:r w:rsidRPr="000973F2">
              <w:rPr>
                <w:rFonts w:ascii="Times New Roman" w:eastAsia="Times New Roman" w:hAnsi="Times New Roman" w:cs="Times New Roman"/>
                <w:b/>
                <w:bCs/>
                <w:sz w:val="18"/>
                <w:szCs w:val="18"/>
              </w:rPr>
              <w:t xml:space="preserve">Initial </w:t>
            </w:r>
            <w:r w:rsidR="00132320" w:rsidRPr="000973F2">
              <w:rPr>
                <w:rFonts w:ascii="Times New Roman" w:eastAsia="Times New Roman" w:hAnsi="Times New Roman" w:cs="Times New Roman"/>
                <w:b/>
                <w:bCs/>
                <w:sz w:val="18"/>
                <w:szCs w:val="18"/>
              </w:rPr>
              <w:t>Year Hours</w:t>
            </w:r>
          </w:p>
        </w:tc>
        <w:tc>
          <w:tcPr>
            <w:tcW w:w="797" w:type="dxa"/>
            <w:tcMar>
              <w:left w:w="14" w:type="dxa"/>
              <w:right w:w="14" w:type="dxa"/>
            </w:tcMar>
            <w:hideMark/>
          </w:tcPr>
          <w:p w14:paraId="05C17B1E" w14:textId="595EAE2A" w:rsidR="000631A2" w:rsidRPr="000973F2" w:rsidRDefault="000631A2" w:rsidP="008224F5">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18"/>
                <w:szCs w:val="18"/>
              </w:rPr>
            </w:pPr>
            <w:r w:rsidRPr="000973F2">
              <w:rPr>
                <w:rFonts w:ascii="Times New Roman" w:eastAsia="Times New Roman" w:hAnsi="Times New Roman" w:cs="Times New Roman"/>
                <w:b/>
                <w:bCs/>
                <w:sz w:val="18"/>
                <w:szCs w:val="18"/>
              </w:rPr>
              <w:t xml:space="preserve">Subseq. </w:t>
            </w:r>
            <w:r w:rsidR="00132320" w:rsidRPr="000973F2">
              <w:rPr>
                <w:rFonts w:ascii="Times New Roman" w:eastAsia="Times New Roman" w:hAnsi="Times New Roman" w:cs="Times New Roman"/>
                <w:b/>
                <w:bCs/>
                <w:sz w:val="18"/>
                <w:szCs w:val="18"/>
              </w:rPr>
              <w:t>Year Hours</w:t>
            </w:r>
          </w:p>
        </w:tc>
        <w:tc>
          <w:tcPr>
            <w:tcW w:w="796" w:type="dxa"/>
            <w:tcMar>
              <w:left w:w="14" w:type="dxa"/>
              <w:right w:w="14" w:type="dxa"/>
            </w:tcMar>
            <w:hideMark/>
          </w:tcPr>
          <w:p w14:paraId="21115F72" w14:textId="2B7DC932" w:rsidR="000631A2" w:rsidRPr="000973F2" w:rsidRDefault="000631A2" w:rsidP="008224F5">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18"/>
                <w:szCs w:val="18"/>
              </w:rPr>
            </w:pPr>
            <w:r w:rsidRPr="000973F2">
              <w:rPr>
                <w:rFonts w:ascii="Times New Roman" w:eastAsia="Times New Roman" w:hAnsi="Times New Roman" w:cs="Times New Roman"/>
                <w:b/>
                <w:bCs/>
                <w:sz w:val="18"/>
                <w:szCs w:val="18"/>
              </w:rPr>
              <w:t xml:space="preserve">Initial </w:t>
            </w:r>
            <w:r w:rsidR="00132320" w:rsidRPr="000973F2">
              <w:rPr>
                <w:rFonts w:ascii="Times New Roman" w:eastAsia="Times New Roman" w:hAnsi="Times New Roman" w:cs="Times New Roman"/>
                <w:b/>
                <w:bCs/>
                <w:sz w:val="18"/>
                <w:szCs w:val="18"/>
              </w:rPr>
              <w:t>Year Hours</w:t>
            </w:r>
          </w:p>
        </w:tc>
        <w:tc>
          <w:tcPr>
            <w:tcW w:w="797" w:type="dxa"/>
            <w:tcMar>
              <w:left w:w="14" w:type="dxa"/>
              <w:right w:w="14" w:type="dxa"/>
            </w:tcMar>
            <w:hideMark/>
          </w:tcPr>
          <w:p w14:paraId="0B2C7EDE" w14:textId="6FAEAC49" w:rsidR="000631A2" w:rsidRPr="000973F2" w:rsidRDefault="000631A2" w:rsidP="008224F5">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18"/>
                <w:szCs w:val="18"/>
              </w:rPr>
            </w:pPr>
            <w:r w:rsidRPr="000973F2">
              <w:rPr>
                <w:rFonts w:ascii="Times New Roman" w:eastAsia="Times New Roman" w:hAnsi="Times New Roman" w:cs="Times New Roman"/>
                <w:b/>
                <w:bCs/>
                <w:sz w:val="18"/>
                <w:szCs w:val="18"/>
              </w:rPr>
              <w:t xml:space="preserve">Subseq. </w:t>
            </w:r>
            <w:r w:rsidR="00132320" w:rsidRPr="000973F2">
              <w:rPr>
                <w:rFonts w:ascii="Times New Roman" w:eastAsia="Times New Roman" w:hAnsi="Times New Roman" w:cs="Times New Roman"/>
                <w:b/>
                <w:bCs/>
                <w:sz w:val="18"/>
                <w:szCs w:val="18"/>
              </w:rPr>
              <w:t>Year Hours</w:t>
            </w:r>
          </w:p>
        </w:tc>
        <w:tc>
          <w:tcPr>
            <w:tcW w:w="725" w:type="dxa"/>
            <w:tcMar>
              <w:left w:w="14" w:type="dxa"/>
              <w:right w:w="14" w:type="dxa"/>
            </w:tcMar>
            <w:hideMark/>
          </w:tcPr>
          <w:p w14:paraId="450BB5BB" w14:textId="77777777" w:rsidR="000631A2" w:rsidRPr="000973F2" w:rsidRDefault="000631A2" w:rsidP="008224F5">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18"/>
                <w:szCs w:val="18"/>
              </w:rPr>
            </w:pPr>
            <w:r w:rsidRPr="000973F2">
              <w:rPr>
                <w:rFonts w:ascii="Times New Roman" w:eastAsia="Times New Roman" w:hAnsi="Times New Roman" w:cs="Times New Roman"/>
                <w:b/>
                <w:bCs/>
                <w:sz w:val="18"/>
                <w:szCs w:val="18"/>
              </w:rPr>
              <w:t>Initial Year</w:t>
            </w:r>
          </w:p>
        </w:tc>
        <w:tc>
          <w:tcPr>
            <w:tcW w:w="857" w:type="dxa"/>
            <w:tcMar>
              <w:left w:w="14" w:type="dxa"/>
              <w:right w:w="14" w:type="dxa"/>
            </w:tcMar>
            <w:hideMark/>
          </w:tcPr>
          <w:p w14:paraId="6D47B1C7" w14:textId="77777777" w:rsidR="000631A2" w:rsidRPr="000973F2" w:rsidRDefault="000631A2" w:rsidP="008224F5">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18"/>
                <w:szCs w:val="18"/>
              </w:rPr>
            </w:pPr>
            <w:r w:rsidRPr="000973F2">
              <w:rPr>
                <w:rFonts w:ascii="Times New Roman" w:eastAsia="Times New Roman" w:hAnsi="Times New Roman" w:cs="Times New Roman"/>
                <w:b/>
                <w:bCs/>
                <w:sz w:val="18"/>
                <w:szCs w:val="18"/>
              </w:rPr>
              <w:t>Subseq. Year</w:t>
            </w:r>
          </w:p>
        </w:tc>
      </w:tr>
      <w:tr w:rsidR="008224F5" w:rsidRPr="000973F2" w14:paraId="73509D26" w14:textId="77777777" w:rsidTr="008224F5">
        <w:trPr>
          <w:cantSplit/>
        </w:trPr>
        <w:tc>
          <w:tcPr>
            <w:cnfStyle w:val="001000000000" w:firstRow="0" w:lastRow="0" w:firstColumn="1" w:lastColumn="0" w:oddVBand="0" w:evenVBand="0" w:oddHBand="0" w:evenHBand="0" w:firstRowFirstColumn="0" w:firstRowLastColumn="0" w:lastRowFirstColumn="0" w:lastRowLastColumn="0"/>
            <w:tcW w:w="1377" w:type="dxa"/>
            <w:hideMark/>
          </w:tcPr>
          <w:p w14:paraId="1EEDDB98" w14:textId="77777777" w:rsidR="000631A2" w:rsidRPr="000973F2" w:rsidRDefault="000631A2" w:rsidP="008224F5">
            <w:pPr>
              <w:spacing w:before="40" w:after="4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Planning</w:t>
            </w:r>
          </w:p>
        </w:tc>
        <w:tc>
          <w:tcPr>
            <w:tcW w:w="796" w:type="dxa"/>
            <w:noWrap/>
            <w:hideMark/>
          </w:tcPr>
          <w:p w14:paraId="260E0D71" w14:textId="77777777" w:rsidR="000631A2" w:rsidRPr="000973F2" w:rsidRDefault="000631A2" w:rsidP="00242876">
            <w:pPr>
              <w:spacing w:before="40" w:after="4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0</w:t>
            </w:r>
          </w:p>
        </w:tc>
        <w:tc>
          <w:tcPr>
            <w:tcW w:w="796" w:type="dxa"/>
            <w:noWrap/>
            <w:hideMark/>
          </w:tcPr>
          <w:p w14:paraId="04267CE0" w14:textId="77777777" w:rsidR="000631A2" w:rsidRPr="000973F2" w:rsidRDefault="000631A2" w:rsidP="00242876">
            <w:pPr>
              <w:spacing w:before="40" w:after="4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2</w:t>
            </w:r>
          </w:p>
        </w:tc>
        <w:tc>
          <w:tcPr>
            <w:tcW w:w="797" w:type="dxa"/>
            <w:noWrap/>
            <w:hideMark/>
          </w:tcPr>
          <w:p w14:paraId="5391422A" w14:textId="77777777" w:rsidR="000631A2" w:rsidRPr="000973F2" w:rsidRDefault="000631A2" w:rsidP="00242876">
            <w:pPr>
              <w:spacing w:before="40" w:after="4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0</w:t>
            </w:r>
          </w:p>
        </w:tc>
        <w:tc>
          <w:tcPr>
            <w:tcW w:w="796" w:type="dxa"/>
            <w:noWrap/>
            <w:hideMark/>
          </w:tcPr>
          <w:p w14:paraId="06A42638" w14:textId="77777777" w:rsidR="000631A2" w:rsidRPr="000973F2" w:rsidRDefault="000631A2" w:rsidP="00242876">
            <w:pPr>
              <w:spacing w:before="40" w:after="4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1.0</w:t>
            </w:r>
          </w:p>
        </w:tc>
        <w:tc>
          <w:tcPr>
            <w:tcW w:w="796" w:type="dxa"/>
            <w:noWrap/>
            <w:hideMark/>
          </w:tcPr>
          <w:p w14:paraId="625AE777" w14:textId="77777777" w:rsidR="000631A2" w:rsidRPr="000973F2" w:rsidRDefault="000631A2" w:rsidP="00242876">
            <w:pPr>
              <w:spacing w:before="40" w:after="4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0</w:t>
            </w:r>
          </w:p>
        </w:tc>
        <w:tc>
          <w:tcPr>
            <w:tcW w:w="797" w:type="dxa"/>
            <w:noWrap/>
            <w:hideMark/>
          </w:tcPr>
          <w:p w14:paraId="546EB81D" w14:textId="77777777" w:rsidR="000631A2" w:rsidRPr="000973F2" w:rsidRDefault="000631A2" w:rsidP="00242876">
            <w:pPr>
              <w:tabs>
                <w:tab w:val="decimal" w:pos="376"/>
              </w:tabs>
              <w:spacing w:before="40" w:after="4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1</w:t>
            </w:r>
          </w:p>
        </w:tc>
        <w:tc>
          <w:tcPr>
            <w:tcW w:w="796" w:type="dxa"/>
            <w:noWrap/>
            <w:hideMark/>
          </w:tcPr>
          <w:p w14:paraId="369A225A" w14:textId="77777777" w:rsidR="000631A2" w:rsidRPr="000973F2" w:rsidRDefault="000631A2" w:rsidP="00242876">
            <w:pPr>
              <w:spacing w:before="40" w:after="4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0</w:t>
            </w:r>
          </w:p>
        </w:tc>
        <w:tc>
          <w:tcPr>
            <w:tcW w:w="797" w:type="dxa"/>
            <w:noWrap/>
            <w:hideMark/>
          </w:tcPr>
          <w:p w14:paraId="5224AD29" w14:textId="77777777" w:rsidR="000631A2" w:rsidRPr="000973F2" w:rsidRDefault="000631A2" w:rsidP="00242876">
            <w:pPr>
              <w:tabs>
                <w:tab w:val="decimal" w:pos="301"/>
              </w:tabs>
              <w:spacing w:before="40" w:after="4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0</w:t>
            </w:r>
          </w:p>
        </w:tc>
        <w:tc>
          <w:tcPr>
            <w:tcW w:w="725" w:type="dxa"/>
            <w:noWrap/>
            <w:hideMark/>
          </w:tcPr>
          <w:p w14:paraId="6413EF42" w14:textId="27280DE0" w:rsidR="000631A2" w:rsidRPr="000973F2" w:rsidRDefault="000631A2" w:rsidP="00242876">
            <w:pPr>
              <w:spacing w:before="40" w:after="4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$0</w:t>
            </w:r>
          </w:p>
        </w:tc>
        <w:tc>
          <w:tcPr>
            <w:tcW w:w="857" w:type="dxa"/>
            <w:noWrap/>
            <w:hideMark/>
          </w:tcPr>
          <w:p w14:paraId="6BCEB05C" w14:textId="41401E2F" w:rsidR="000631A2" w:rsidRPr="000973F2" w:rsidRDefault="000631A2" w:rsidP="00242876">
            <w:pPr>
              <w:tabs>
                <w:tab w:val="decimal" w:pos="586"/>
              </w:tabs>
              <w:spacing w:before="40" w:after="4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$383</w:t>
            </w:r>
          </w:p>
        </w:tc>
      </w:tr>
      <w:tr w:rsidR="008224F5" w:rsidRPr="000973F2" w14:paraId="39CAE80D" w14:textId="77777777" w:rsidTr="008224F5">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1377" w:type="dxa"/>
            <w:hideMark/>
          </w:tcPr>
          <w:p w14:paraId="76A9B203" w14:textId="77777777" w:rsidR="003E005F" w:rsidRPr="000973F2" w:rsidRDefault="003E005F" w:rsidP="008224F5">
            <w:pPr>
              <w:spacing w:before="40" w:after="4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QA/QC</w:t>
            </w:r>
          </w:p>
        </w:tc>
        <w:tc>
          <w:tcPr>
            <w:tcW w:w="796" w:type="dxa"/>
            <w:noWrap/>
            <w:hideMark/>
          </w:tcPr>
          <w:p w14:paraId="671F1CFE" w14:textId="48BF8A85" w:rsidR="003E005F" w:rsidRPr="000973F2" w:rsidRDefault="008224F5" w:rsidP="00242876">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w:t>
            </w:r>
          </w:p>
        </w:tc>
        <w:tc>
          <w:tcPr>
            <w:tcW w:w="796" w:type="dxa"/>
            <w:noWrap/>
            <w:hideMark/>
          </w:tcPr>
          <w:p w14:paraId="2FA81883" w14:textId="4ED46A84" w:rsidR="003E005F" w:rsidRPr="000973F2" w:rsidRDefault="008224F5" w:rsidP="00242876">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w:t>
            </w:r>
          </w:p>
        </w:tc>
        <w:tc>
          <w:tcPr>
            <w:tcW w:w="797" w:type="dxa"/>
            <w:noWrap/>
            <w:hideMark/>
          </w:tcPr>
          <w:p w14:paraId="5EC12411" w14:textId="1C08E801" w:rsidR="003E005F" w:rsidRPr="000973F2" w:rsidRDefault="008224F5" w:rsidP="00242876">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w:t>
            </w:r>
          </w:p>
        </w:tc>
        <w:tc>
          <w:tcPr>
            <w:tcW w:w="796" w:type="dxa"/>
            <w:noWrap/>
            <w:hideMark/>
          </w:tcPr>
          <w:p w14:paraId="32918F25" w14:textId="09369A09" w:rsidR="003E005F" w:rsidRPr="000973F2" w:rsidRDefault="008224F5" w:rsidP="00242876">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w:t>
            </w:r>
          </w:p>
        </w:tc>
        <w:tc>
          <w:tcPr>
            <w:tcW w:w="796" w:type="dxa"/>
            <w:noWrap/>
            <w:hideMark/>
          </w:tcPr>
          <w:p w14:paraId="152D58A8" w14:textId="759442F4" w:rsidR="003E005F" w:rsidRPr="000973F2" w:rsidRDefault="008224F5" w:rsidP="00242876">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w:t>
            </w:r>
          </w:p>
        </w:tc>
        <w:tc>
          <w:tcPr>
            <w:tcW w:w="797" w:type="dxa"/>
            <w:noWrap/>
            <w:hideMark/>
          </w:tcPr>
          <w:p w14:paraId="07AEF32F" w14:textId="5AF29AC0" w:rsidR="003E005F" w:rsidRPr="000973F2" w:rsidRDefault="008224F5" w:rsidP="00242876">
            <w:pPr>
              <w:tabs>
                <w:tab w:val="decimal" w:pos="376"/>
              </w:tabs>
              <w:spacing w:before="40" w:after="4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w:t>
            </w:r>
          </w:p>
        </w:tc>
        <w:tc>
          <w:tcPr>
            <w:tcW w:w="796" w:type="dxa"/>
            <w:noWrap/>
            <w:hideMark/>
          </w:tcPr>
          <w:p w14:paraId="5DB416DB" w14:textId="12876E54" w:rsidR="003E005F" w:rsidRPr="000973F2" w:rsidRDefault="008224F5" w:rsidP="00242876">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w:t>
            </w:r>
          </w:p>
        </w:tc>
        <w:tc>
          <w:tcPr>
            <w:tcW w:w="797" w:type="dxa"/>
            <w:noWrap/>
            <w:hideMark/>
          </w:tcPr>
          <w:p w14:paraId="60DDC605" w14:textId="52CBB684" w:rsidR="003E005F" w:rsidRPr="000973F2" w:rsidRDefault="008224F5" w:rsidP="00242876">
            <w:pPr>
              <w:tabs>
                <w:tab w:val="decimal" w:pos="301"/>
              </w:tabs>
              <w:spacing w:before="40" w:after="4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w:t>
            </w:r>
          </w:p>
        </w:tc>
        <w:tc>
          <w:tcPr>
            <w:tcW w:w="725" w:type="dxa"/>
            <w:noWrap/>
            <w:hideMark/>
          </w:tcPr>
          <w:p w14:paraId="37028E53" w14:textId="01AE443B" w:rsidR="003E005F" w:rsidRPr="000973F2" w:rsidRDefault="008224F5" w:rsidP="00242876">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w:t>
            </w:r>
          </w:p>
        </w:tc>
        <w:tc>
          <w:tcPr>
            <w:tcW w:w="857" w:type="dxa"/>
            <w:noWrap/>
            <w:hideMark/>
          </w:tcPr>
          <w:p w14:paraId="781ADE31" w14:textId="580DDEC5" w:rsidR="003E005F" w:rsidRPr="000973F2" w:rsidRDefault="008224F5" w:rsidP="00242876">
            <w:pPr>
              <w:tabs>
                <w:tab w:val="decimal" w:pos="586"/>
              </w:tabs>
              <w:spacing w:before="40" w:after="4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w:t>
            </w:r>
          </w:p>
        </w:tc>
      </w:tr>
      <w:tr w:rsidR="008224F5" w:rsidRPr="000973F2" w14:paraId="1C1B9A5E" w14:textId="77777777" w:rsidTr="008224F5">
        <w:trPr>
          <w:cantSplit/>
        </w:trPr>
        <w:tc>
          <w:tcPr>
            <w:cnfStyle w:val="001000000000" w:firstRow="0" w:lastRow="0" w:firstColumn="1" w:lastColumn="0" w:oddVBand="0" w:evenVBand="0" w:oddHBand="0" w:evenHBand="0" w:firstRowFirstColumn="0" w:firstRowLastColumn="0" w:lastRowFirstColumn="0" w:lastRowLastColumn="0"/>
            <w:tcW w:w="1377" w:type="dxa"/>
            <w:hideMark/>
          </w:tcPr>
          <w:p w14:paraId="38350414" w14:textId="77777777" w:rsidR="000631A2" w:rsidRPr="000973F2" w:rsidRDefault="000631A2" w:rsidP="008224F5">
            <w:pPr>
              <w:spacing w:before="40" w:after="4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Recordkeeping</w:t>
            </w:r>
          </w:p>
        </w:tc>
        <w:tc>
          <w:tcPr>
            <w:tcW w:w="796" w:type="dxa"/>
            <w:noWrap/>
            <w:hideMark/>
          </w:tcPr>
          <w:p w14:paraId="64EA466F" w14:textId="77777777" w:rsidR="000631A2" w:rsidRPr="000973F2" w:rsidRDefault="000631A2" w:rsidP="00242876">
            <w:pPr>
              <w:spacing w:before="40" w:after="4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0</w:t>
            </w:r>
          </w:p>
        </w:tc>
        <w:tc>
          <w:tcPr>
            <w:tcW w:w="796" w:type="dxa"/>
            <w:noWrap/>
            <w:hideMark/>
          </w:tcPr>
          <w:p w14:paraId="0A9D01FE" w14:textId="77777777" w:rsidR="000631A2" w:rsidRPr="000973F2" w:rsidRDefault="000631A2" w:rsidP="00242876">
            <w:pPr>
              <w:spacing w:before="40" w:after="4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0</w:t>
            </w:r>
          </w:p>
        </w:tc>
        <w:tc>
          <w:tcPr>
            <w:tcW w:w="797" w:type="dxa"/>
            <w:noWrap/>
            <w:hideMark/>
          </w:tcPr>
          <w:p w14:paraId="446235CE" w14:textId="77777777" w:rsidR="000631A2" w:rsidRPr="000973F2" w:rsidRDefault="000631A2" w:rsidP="00242876">
            <w:pPr>
              <w:spacing w:before="40" w:after="4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0</w:t>
            </w:r>
          </w:p>
        </w:tc>
        <w:tc>
          <w:tcPr>
            <w:tcW w:w="796" w:type="dxa"/>
            <w:noWrap/>
            <w:hideMark/>
          </w:tcPr>
          <w:p w14:paraId="06B6F316" w14:textId="77777777" w:rsidR="000631A2" w:rsidRPr="000973F2" w:rsidRDefault="000631A2" w:rsidP="00242876">
            <w:pPr>
              <w:spacing w:before="40" w:after="4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0.5</w:t>
            </w:r>
          </w:p>
        </w:tc>
        <w:tc>
          <w:tcPr>
            <w:tcW w:w="796" w:type="dxa"/>
            <w:noWrap/>
            <w:hideMark/>
          </w:tcPr>
          <w:p w14:paraId="33983EE7" w14:textId="77777777" w:rsidR="000631A2" w:rsidRPr="000973F2" w:rsidRDefault="000631A2" w:rsidP="00242876">
            <w:pPr>
              <w:spacing w:before="40" w:after="4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0</w:t>
            </w:r>
          </w:p>
        </w:tc>
        <w:tc>
          <w:tcPr>
            <w:tcW w:w="797" w:type="dxa"/>
            <w:noWrap/>
            <w:hideMark/>
          </w:tcPr>
          <w:p w14:paraId="72B1E853" w14:textId="77777777" w:rsidR="000631A2" w:rsidRPr="000973F2" w:rsidRDefault="000631A2" w:rsidP="00242876">
            <w:pPr>
              <w:tabs>
                <w:tab w:val="decimal" w:pos="376"/>
              </w:tabs>
              <w:spacing w:before="40" w:after="4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5</w:t>
            </w:r>
          </w:p>
        </w:tc>
        <w:tc>
          <w:tcPr>
            <w:tcW w:w="796" w:type="dxa"/>
            <w:noWrap/>
            <w:hideMark/>
          </w:tcPr>
          <w:p w14:paraId="2E2AB223" w14:textId="77777777" w:rsidR="000631A2" w:rsidRPr="000973F2" w:rsidRDefault="000631A2" w:rsidP="00242876">
            <w:pPr>
              <w:spacing w:before="40" w:after="4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0</w:t>
            </w:r>
          </w:p>
        </w:tc>
        <w:tc>
          <w:tcPr>
            <w:tcW w:w="797" w:type="dxa"/>
            <w:noWrap/>
            <w:hideMark/>
          </w:tcPr>
          <w:p w14:paraId="3700B777" w14:textId="77777777" w:rsidR="000631A2" w:rsidRPr="000973F2" w:rsidRDefault="000631A2" w:rsidP="00242876">
            <w:pPr>
              <w:tabs>
                <w:tab w:val="decimal" w:pos="301"/>
              </w:tabs>
              <w:spacing w:before="40" w:after="4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0.5</w:t>
            </w:r>
          </w:p>
        </w:tc>
        <w:tc>
          <w:tcPr>
            <w:tcW w:w="725" w:type="dxa"/>
            <w:noWrap/>
            <w:hideMark/>
          </w:tcPr>
          <w:p w14:paraId="318B2666" w14:textId="46A909D7" w:rsidR="000631A2" w:rsidRPr="000973F2" w:rsidRDefault="000631A2" w:rsidP="00242876">
            <w:pPr>
              <w:spacing w:before="40" w:after="4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$0</w:t>
            </w:r>
          </w:p>
        </w:tc>
        <w:tc>
          <w:tcPr>
            <w:tcW w:w="857" w:type="dxa"/>
            <w:noWrap/>
            <w:hideMark/>
          </w:tcPr>
          <w:p w14:paraId="424CEC8C" w14:textId="77777777" w:rsidR="000631A2" w:rsidRPr="000973F2" w:rsidRDefault="000631A2" w:rsidP="00242876">
            <w:pPr>
              <w:tabs>
                <w:tab w:val="decimal" w:pos="586"/>
              </w:tabs>
              <w:spacing w:before="40" w:after="4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$419</w:t>
            </w:r>
          </w:p>
        </w:tc>
      </w:tr>
      <w:tr w:rsidR="008224F5" w:rsidRPr="000973F2" w14:paraId="3FC3532A" w14:textId="77777777" w:rsidTr="008224F5">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1377" w:type="dxa"/>
            <w:hideMark/>
          </w:tcPr>
          <w:p w14:paraId="69FDC404" w14:textId="77777777" w:rsidR="000631A2" w:rsidRPr="000973F2" w:rsidRDefault="000631A2" w:rsidP="008224F5">
            <w:pPr>
              <w:spacing w:before="40" w:after="4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Sampling and Analysis (Calculations)</w:t>
            </w:r>
          </w:p>
        </w:tc>
        <w:tc>
          <w:tcPr>
            <w:tcW w:w="796" w:type="dxa"/>
            <w:noWrap/>
            <w:hideMark/>
          </w:tcPr>
          <w:p w14:paraId="4755AC50" w14:textId="77777777" w:rsidR="000631A2" w:rsidRPr="000973F2" w:rsidRDefault="000631A2" w:rsidP="00242876">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0</w:t>
            </w:r>
          </w:p>
        </w:tc>
        <w:tc>
          <w:tcPr>
            <w:tcW w:w="796" w:type="dxa"/>
            <w:noWrap/>
            <w:hideMark/>
          </w:tcPr>
          <w:p w14:paraId="3CC05141" w14:textId="77777777" w:rsidR="000631A2" w:rsidRPr="000973F2" w:rsidRDefault="000631A2" w:rsidP="00242876">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0</w:t>
            </w:r>
          </w:p>
        </w:tc>
        <w:tc>
          <w:tcPr>
            <w:tcW w:w="797" w:type="dxa"/>
            <w:noWrap/>
            <w:hideMark/>
          </w:tcPr>
          <w:p w14:paraId="38F9FC70" w14:textId="77777777" w:rsidR="000631A2" w:rsidRPr="000973F2" w:rsidRDefault="000631A2" w:rsidP="00242876">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0</w:t>
            </w:r>
          </w:p>
        </w:tc>
        <w:tc>
          <w:tcPr>
            <w:tcW w:w="796" w:type="dxa"/>
            <w:noWrap/>
            <w:hideMark/>
          </w:tcPr>
          <w:p w14:paraId="695615A6" w14:textId="77777777" w:rsidR="000631A2" w:rsidRPr="000973F2" w:rsidRDefault="000631A2" w:rsidP="00242876">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5.7</w:t>
            </w:r>
          </w:p>
        </w:tc>
        <w:tc>
          <w:tcPr>
            <w:tcW w:w="796" w:type="dxa"/>
            <w:noWrap/>
            <w:hideMark/>
          </w:tcPr>
          <w:p w14:paraId="26896DA7" w14:textId="77777777" w:rsidR="000631A2" w:rsidRPr="000973F2" w:rsidRDefault="000631A2" w:rsidP="00242876">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0</w:t>
            </w:r>
          </w:p>
        </w:tc>
        <w:tc>
          <w:tcPr>
            <w:tcW w:w="797" w:type="dxa"/>
            <w:noWrap/>
            <w:hideMark/>
          </w:tcPr>
          <w:p w14:paraId="01406C2D" w14:textId="77777777" w:rsidR="000631A2" w:rsidRPr="000973F2" w:rsidRDefault="000631A2" w:rsidP="00242876">
            <w:pPr>
              <w:tabs>
                <w:tab w:val="decimal" w:pos="376"/>
              </w:tabs>
              <w:spacing w:before="40" w:after="4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113</w:t>
            </w:r>
          </w:p>
        </w:tc>
        <w:tc>
          <w:tcPr>
            <w:tcW w:w="796" w:type="dxa"/>
            <w:noWrap/>
            <w:hideMark/>
          </w:tcPr>
          <w:p w14:paraId="1F8298EC" w14:textId="77777777" w:rsidR="000631A2" w:rsidRPr="000973F2" w:rsidRDefault="000631A2" w:rsidP="00242876">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0</w:t>
            </w:r>
          </w:p>
        </w:tc>
        <w:tc>
          <w:tcPr>
            <w:tcW w:w="797" w:type="dxa"/>
            <w:noWrap/>
            <w:hideMark/>
          </w:tcPr>
          <w:p w14:paraId="70314D68" w14:textId="77777777" w:rsidR="000631A2" w:rsidRPr="000973F2" w:rsidRDefault="000631A2" w:rsidP="00242876">
            <w:pPr>
              <w:tabs>
                <w:tab w:val="decimal" w:pos="301"/>
              </w:tabs>
              <w:spacing w:before="40" w:after="4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11.3</w:t>
            </w:r>
          </w:p>
        </w:tc>
        <w:tc>
          <w:tcPr>
            <w:tcW w:w="725" w:type="dxa"/>
            <w:noWrap/>
            <w:hideMark/>
          </w:tcPr>
          <w:p w14:paraId="2E73728D" w14:textId="5DEB512C" w:rsidR="000631A2" w:rsidRPr="000973F2" w:rsidRDefault="000631A2" w:rsidP="00242876">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$0</w:t>
            </w:r>
          </w:p>
        </w:tc>
        <w:tc>
          <w:tcPr>
            <w:tcW w:w="857" w:type="dxa"/>
            <w:noWrap/>
            <w:hideMark/>
          </w:tcPr>
          <w:p w14:paraId="1DFE4C56" w14:textId="53D2C2BF" w:rsidR="000631A2" w:rsidRPr="000973F2" w:rsidRDefault="000631A2" w:rsidP="00242876">
            <w:pPr>
              <w:tabs>
                <w:tab w:val="decimal" w:pos="586"/>
              </w:tabs>
              <w:spacing w:before="40" w:after="4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$8,978</w:t>
            </w:r>
          </w:p>
        </w:tc>
      </w:tr>
      <w:tr w:rsidR="008224F5" w:rsidRPr="000973F2" w14:paraId="48E78863" w14:textId="77777777" w:rsidTr="008224F5">
        <w:trPr>
          <w:cantSplit/>
        </w:trPr>
        <w:tc>
          <w:tcPr>
            <w:cnfStyle w:val="001000000000" w:firstRow="0" w:lastRow="0" w:firstColumn="1" w:lastColumn="0" w:oddVBand="0" w:evenVBand="0" w:oddHBand="0" w:evenHBand="0" w:firstRowFirstColumn="0" w:firstRowLastColumn="0" w:lastRowFirstColumn="0" w:lastRowLastColumn="0"/>
            <w:tcW w:w="1377" w:type="dxa"/>
            <w:hideMark/>
          </w:tcPr>
          <w:p w14:paraId="435A3685" w14:textId="77777777" w:rsidR="000631A2" w:rsidRPr="000973F2" w:rsidRDefault="000631A2" w:rsidP="008224F5">
            <w:pPr>
              <w:spacing w:before="40" w:after="4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Reporting</w:t>
            </w:r>
          </w:p>
        </w:tc>
        <w:tc>
          <w:tcPr>
            <w:tcW w:w="796" w:type="dxa"/>
            <w:noWrap/>
            <w:hideMark/>
          </w:tcPr>
          <w:p w14:paraId="76EA51FF" w14:textId="77777777" w:rsidR="000631A2" w:rsidRPr="000973F2" w:rsidRDefault="000631A2" w:rsidP="00242876">
            <w:pPr>
              <w:spacing w:before="40" w:after="4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0</w:t>
            </w:r>
          </w:p>
        </w:tc>
        <w:tc>
          <w:tcPr>
            <w:tcW w:w="796" w:type="dxa"/>
            <w:noWrap/>
            <w:hideMark/>
          </w:tcPr>
          <w:p w14:paraId="1658A0FF" w14:textId="77777777" w:rsidR="000631A2" w:rsidRPr="000973F2" w:rsidRDefault="000631A2" w:rsidP="00242876">
            <w:pPr>
              <w:spacing w:before="40" w:after="4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0</w:t>
            </w:r>
          </w:p>
        </w:tc>
        <w:tc>
          <w:tcPr>
            <w:tcW w:w="797" w:type="dxa"/>
            <w:noWrap/>
            <w:hideMark/>
          </w:tcPr>
          <w:p w14:paraId="612505C4" w14:textId="77777777" w:rsidR="000631A2" w:rsidRPr="000973F2" w:rsidRDefault="000631A2" w:rsidP="00242876">
            <w:pPr>
              <w:spacing w:before="40" w:after="4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0</w:t>
            </w:r>
          </w:p>
        </w:tc>
        <w:tc>
          <w:tcPr>
            <w:tcW w:w="796" w:type="dxa"/>
            <w:noWrap/>
            <w:hideMark/>
          </w:tcPr>
          <w:p w14:paraId="645B13B5" w14:textId="77777777" w:rsidR="000631A2" w:rsidRPr="000973F2" w:rsidRDefault="000631A2" w:rsidP="00242876">
            <w:pPr>
              <w:spacing w:before="40" w:after="4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1.0</w:t>
            </w:r>
          </w:p>
        </w:tc>
        <w:tc>
          <w:tcPr>
            <w:tcW w:w="796" w:type="dxa"/>
            <w:noWrap/>
            <w:hideMark/>
          </w:tcPr>
          <w:p w14:paraId="150FE8FD" w14:textId="77777777" w:rsidR="000631A2" w:rsidRPr="000973F2" w:rsidRDefault="000631A2" w:rsidP="00242876">
            <w:pPr>
              <w:spacing w:before="40" w:after="4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0</w:t>
            </w:r>
          </w:p>
        </w:tc>
        <w:tc>
          <w:tcPr>
            <w:tcW w:w="797" w:type="dxa"/>
            <w:noWrap/>
            <w:hideMark/>
          </w:tcPr>
          <w:p w14:paraId="1E69EA69" w14:textId="77777777" w:rsidR="000631A2" w:rsidRPr="000973F2" w:rsidRDefault="000631A2" w:rsidP="00242876">
            <w:pPr>
              <w:tabs>
                <w:tab w:val="decimal" w:pos="376"/>
              </w:tabs>
              <w:spacing w:before="40" w:after="4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10</w:t>
            </w:r>
          </w:p>
        </w:tc>
        <w:tc>
          <w:tcPr>
            <w:tcW w:w="796" w:type="dxa"/>
            <w:noWrap/>
            <w:hideMark/>
          </w:tcPr>
          <w:p w14:paraId="60526FF8" w14:textId="77777777" w:rsidR="000631A2" w:rsidRPr="000973F2" w:rsidRDefault="000631A2" w:rsidP="00242876">
            <w:pPr>
              <w:spacing w:before="40" w:after="4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0</w:t>
            </w:r>
          </w:p>
        </w:tc>
        <w:tc>
          <w:tcPr>
            <w:tcW w:w="797" w:type="dxa"/>
            <w:noWrap/>
            <w:hideMark/>
          </w:tcPr>
          <w:p w14:paraId="559E7547" w14:textId="77777777" w:rsidR="000631A2" w:rsidRPr="000973F2" w:rsidRDefault="000631A2" w:rsidP="00242876">
            <w:pPr>
              <w:tabs>
                <w:tab w:val="decimal" w:pos="301"/>
              </w:tabs>
              <w:spacing w:before="40" w:after="4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1.0</w:t>
            </w:r>
          </w:p>
        </w:tc>
        <w:tc>
          <w:tcPr>
            <w:tcW w:w="725" w:type="dxa"/>
            <w:noWrap/>
            <w:hideMark/>
          </w:tcPr>
          <w:p w14:paraId="3B060C1F" w14:textId="2795FD8C" w:rsidR="000631A2" w:rsidRPr="000973F2" w:rsidRDefault="000631A2" w:rsidP="00242876">
            <w:pPr>
              <w:spacing w:before="40" w:after="4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$0</w:t>
            </w:r>
          </w:p>
        </w:tc>
        <w:tc>
          <w:tcPr>
            <w:tcW w:w="857" w:type="dxa"/>
            <w:noWrap/>
            <w:hideMark/>
          </w:tcPr>
          <w:p w14:paraId="720BC73E" w14:textId="77777777" w:rsidR="000631A2" w:rsidRPr="000973F2" w:rsidRDefault="000631A2" w:rsidP="00242876">
            <w:pPr>
              <w:tabs>
                <w:tab w:val="decimal" w:pos="586"/>
              </w:tabs>
              <w:spacing w:before="40" w:after="4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$838</w:t>
            </w:r>
          </w:p>
        </w:tc>
      </w:tr>
      <w:tr w:rsidR="008224F5" w:rsidRPr="000973F2" w14:paraId="49AFDC36" w14:textId="77777777" w:rsidTr="008224F5">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1377" w:type="dxa"/>
            <w:noWrap/>
            <w:hideMark/>
          </w:tcPr>
          <w:p w14:paraId="75682956" w14:textId="77777777" w:rsidR="000631A2" w:rsidRPr="000973F2" w:rsidRDefault="000631A2" w:rsidP="008224F5">
            <w:pPr>
              <w:spacing w:before="40" w:after="40"/>
              <w:rPr>
                <w:rFonts w:ascii="Times New Roman" w:eastAsia="Times New Roman" w:hAnsi="Times New Roman" w:cs="Times New Roman"/>
                <w:b/>
                <w:bCs w:val="0"/>
                <w:sz w:val="18"/>
                <w:szCs w:val="18"/>
              </w:rPr>
            </w:pPr>
            <w:r w:rsidRPr="000973F2">
              <w:rPr>
                <w:rFonts w:ascii="Times New Roman" w:eastAsia="Times New Roman" w:hAnsi="Times New Roman" w:cs="Times New Roman"/>
                <w:b/>
                <w:sz w:val="18"/>
                <w:szCs w:val="18"/>
              </w:rPr>
              <w:t>Total</w:t>
            </w:r>
          </w:p>
        </w:tc>
        <w:tc>
          <w:tcPr>
            <w:tcW w:w="796" w:type="dxa"/>
            <w:noWrap/>
            <w:hideMark/>
          </w:tcPr>
          <w:p w14:paraId="3806AD3F" w14:textId="77777777" w:rsidR="000631A2" w:rsidRPr="000973F2" w:rsidRDefault="000631A2" w:rsidP="00242876">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18"/>
                <w:szCs w:val="18"/>
              </w:rPr>
            </w:pPr>
            <w:r w:rsidRPr="000973F2">
              <w:rPr>
                <w:rFonts w:ascii="Times New Roman" w:eastAsia="Times New Roman" w:hAnsi="Times New Roman" w:cs="Times New Roman"/>
                <w:b/>
                <w:bCs/>
                <w:sz w:val="18"/>
                <w:szCs w:val="18"/>
              </w:rPr>
              <w:t>0</w:t>
            </w:r>
          </w:p>
        </w:tc>
        <w:tc>
          <w:tcPr>
            <w:tcW w:w="796" w:type="dxa"/>
            <w:noWrap/>
            <w:hideMark/>
          </w:tcPr>
          <w:p w14:paraId="73311E07" w14:textId="77777777" w:rsidR="000631A2" w:rsidRPr="000973F2" w:rsidRDefault="000631A2" w:rsidP="00242876">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18"/>
                <w:szCs w:val="18"/>
              </w:rPr>
            </w:pPr>
            <w:r w:rsidRPr="000973F2">
              <w:rPr>
                <w:rFonts w:ascii="Times New Roman" w:eastAsia="Times New Roman" w:hAnsi="Times New Roman" w:cs="Times New Roman"/>
                <w:b/>
                <w:bCs/>
                <w:sz w:val="18"/>
                <w:szCs w:val="18"/>
              </w:rPr>
              <w:t>2</w:t>
            </w:r>
          </w:p>
        </w:tc>
        <w:tc>
          <w:tcPr>
            <w:tcW w:w="797" w:type="dxa"/>
            <w:noWrap/>
            <w:hideMark/>
          </w:tcPr>
          <w:p w14:paraId="3E59F212" w14:textId="77777777" w:rsidR="000631A2" w:rsidRPr="000973F2" w:rsidRDefault="000631A2" w:rsidP="00242876">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18"/>
                <w:szCs w:val="18"/>
              </w:rPr>
            </w:pPr>
            <w:r w:rsidRPr="000973F2">
              <w:rPr>
                <w:rFonts w:ascii="Times New Roman" w:eastAsia="Times New Roman" w:hAnsi="Times New Roman" w:cs="Times New Roman"/>
                <w:b/>
                <w:bCs/>
                <w:sz w:val="18"/>
                <w:szCs w:val="18"/>
              </w:rPr>
              <w:t>0</w:t>
            </w:r>
          </w:p>
        </w:tc>
        <w:tc>
          <w:tcPr>
            <w:tcW w:w="796" w:type="dxa"/>
            <w:noWrap/>
            <w:hideMark/>
          </w:tcPr>
          <w:p w14:paraId="1BA87C60" w14:textId="77777777" w:rsidR="000631A2" w:rsidRPr="000973F2" w:rsidRDefault="000631A2" w:rsidP="00242876">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18"/>
                <w:szCs w:val="18"/>
              </w:rPr>
            </w:pPr>
            <w:r w:rsidRPr="000973F2">
              <w:rPr>
                <w:rFonts w:ascii="Times New Roman" w:eastAsia="Times New Roman" w:hAnsi="Times New Roman" w:cs="Times New Roman"/>
                <w:b/>
                <w:bCs/>
                <w:sz w:val="18"/>
                <w:szCs w:val="18"/>
              </w:rPr>
              <w:t>8.2</w:t>
            </w:r>
          </w:p>
        </w:tc>
        <w:tc>
          <w:tcPr>
            <w:tcW w:w="796" w:type="dxa"/>
            <w:noWrap/>
            <w:hideMark/>
          </w:tcPr>
          <w:p w14:paraId="29B82E91" w14:textId="77777777" w:rsidR="000631A2" w:rsidRPr="000973F2" w:rsidRDefault="000631A2" w:rsidP="00242876">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18"/>
                <w:szCs w:val="18"/>
              </w:rPr>
            </w:pPr>
            <w:r w:rsidRPr="000973F2">
              <w:rPr>
                <w:rFonts w:ascii="Times New Roman" w:eastAsia="Times New Roman" w:hAnsi="Times New Roman" w:cs="Times New Roman"/>
                <w:b/>
                <w:bCs/>
                <w:sz w:val="18"/>
                <w:szCs w:val="18"/>
              </w:rPr>
              <w:t>0</w:t>
            </w:r>
          </w:p>
        </w:tc>
        <w:tc>
          <w:tcPr>
            <w:tcW w:w="797" w:type="dxa"/>
            <w:noWrap/>
            <w:hideMark/>
          </w:tcPr>
          <w:p w14:paraId="19DF334A" w14:textId="77777777" w:rsidR="000631A2" w:rsidRPr="000973F2" w:rsidRDefault="000631A2" w:rsidP="00242876">
            <w:pPr>
              <w:tabs>
                <w:tab w:val="decimal" w:pos="376"/>
              </w:tabs>
              <w:spacing w:before="40" w:after="4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18"/>
                <w:szCs w:val="18"/>
              </w:rPr>
            </w:pPr>
            <w:r w:rsidRPr="000973F2">
              <w:rPr>
                <w:rFonts w:ascii="Times New Roman" w:eastAsia="Times New Roman" w:hAnsi="Times New Roman" w:cs="Times New Roman"/>
                <w:b/>
                <w:bCs/>
                <w:sz w:val="18"/>
                <w:szCs w:val="18"/>
              </w:rPr>
              <w:t>129</w:t>
            </w:r>
          </w:p>
        </w:tc>
        <w:tc>
          <w:tcPr>
            <w:tcW w:w="796" w:type="dxa"/>
            <w:noWrap/>
            <w:hideMark/>
          </w:tcPr>
          <w:p w14:paraId="22BF63B8" w14:textId="77777777" w:rsidR="000631A2" w:rsidRPr="000973F2" w:rsidRDefault="000631A2" w:rsidP="00242876">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18"/>
                <w:szCs w:val="18"/>
              </w:rPr>
            </w:pPr>
            <w:r w:rsidRPr="000973F2">
              <w:rPr>
                <w:rFonts w:ascii="Times New Roman" w:eastAsia="Times New Roman" w:hAnsi="Times New Roman" w:cs="Times New Roman"/>
                <w:b/>
                <w:bCs/>
                <w:sz w:val="18"/>
                <w:szCs w:val="18"/>
              </w:rPr>
              <w:t>0</w:t>
            </w:r>
          </w:p>
        </w:tc>
        <w:tc>
          <w:tcPr>
            <w:tcW w:w="797" w:type="dxa"/>
            <w:noWrap/>
            <w:hideMark/>
          </w:tcPr>
          <w:p w14:paraId="23614869" w14:textId="77777777" w:rsidR="000631A2" w:rsidRPr="000973F2" w:rsidRDefault="000631A2" w:rsidP="00242876">
            <w:pPr>
              <w:tabs>
                <w:tab w:val="decimal" w:pos="301"/>
              </w:tabs>
              <w:spacing w:before="40" w:after="4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18"/>
                <w:szCs w:val="18"/>
              </w:rPr>
            </w:pPr>
            <w:r w:rsidRPr="000973F2">
              <w:rPr>
                <w:rFonts w:ascii="Times New Roman" w:eastAsia="Times New Roman" w:hAnsi="Times New Roman" w:cs="Times New Roman"/>
                <w:b/>
                <w:bCs/>
                <w:sz w:val="18"/>
                <w:szCs w:val="18"/>
              </w:rPr>
              <w:t>12.8</w:t>
            </w:r>
          </w:p>
        </w:tc>
        <w:tc>
          <w:tcPr>
            <w:tcW w:w="725" w:type="dxa"/>
            <w:noWrap/>
            <w:hideMark/>
          </w:tcPr>
          <w:p w14:paraId="6623B152" w14:textId="402CA14D" w:rsidR="000631A2" w:rsidRPr="000973F2" w:rsidRDefault="000631A2" w:rsidP="00242876">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18"/>
                <w:szCs w:val="18"/>
              </w:rPr>
            </w:pPr>
            <w:r w:rsidRPr="000973F2">
              <w:rPr>
                <w:rFonts w:ascii="Times New Roman" w:eastAsia="Times New Roman" w:hAnsi="Times New Roman" w:cs="Times New Roman"/>
                <w:b/>
                <w:bCs/>
                <w:sz w:val="18"/>
                <w:szCs w:val="18"/>
              </w:rPr>
              <w:t>$0</w:t>
            </w:r>
          </w:p>
        </w:tc>
        <w:tc>
          <w:tcPr>
            <w:tcW w:w="857" w:type="dxa"/>
            <w:noWrap/>
            <w:hideMark/>
          </w:tcPr>
          <w:p w14:paraId="02567414" w14:textId="77777777" w:rsidR="000631A2" w:rsidRPr="000973F2" w:rsidRDefault="000631A2" w:rsidP="00242876">
            <w:pPr>
              <w:tabs>
                <w:tab w:val="decimal" w:pos="586"/>
              </w:tabs>
              <w:spacing w:before="40" w:after="4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18"/>
                <w:szCs w:val="18"/>
              </w:rPr>
            </w:pPr>
            <w:r w:rsidRPr="000973F2">
              <w:rPr>
                <w:rFonts w:ascii="Times New Roman" w:eastAsia="Times New Roman" w:hAnsi="Times New Roman" w:cs="Times New Roman"/>
                <w:b/>
                <w:bCs/>
                <w:sz w:val="18"/>
                <w:szCs w:val="18"/>
              </w:rPr>
              <w:t>$10,619</w:t>
            </w:r>
          </w:p>
        </w:tc>
      </w:tr>
    </w:tbl>
    <w:p w14:paraId="7A9FDF41" w14:textId="77777777" w:rsidR="000631A2" w:rsidRPr="000973F2" w:rsidRDefault="000631A2" w:rsidP="00242876">
      <w:pPr>
        <w:pStyle w:val="AfterTable"/>
      </w:pPr>
    </w:p>
    <w:p w14:paraId="6244B713" w14:textId="60058B7E" w:rsidR="000631A2" w:rsidRPr="000973F2" w:rsidRDefault="000631A2" w:rsidP="00242876">
      <w:pPr>
        <w:pStyle w:val="BodyText"/>
      </w:pPr>
      <w:r w:rsidRPr="000973F2">
        <w:t xml:space="preserve">Table </w:t>
      </w:r>
      <w:r w:rsidR="00242876" w:rsidRPr="000973F2">
        <w:t>O-</w:t>
      </w:r>
      <w:r w:rsidRPr="000973F2">
        <w:t>1c shows the labor hours needed for each of the two facilities that destroys HFC-23 but does not produce HCFC-22.</w:t>
      </w:r>
    </w:p>
    <w:p w14:paraId="0130347D" w14:textId="7CAC4011" w:rsidR="000631A2" w:rsidRPr="000973F2" w:rsidRDefault="00E546CE" w:rsidP="00242876">
      <w:pPr>
        <w:pStyle w:val="Tabletitle"/>
        <w:rPr>
          <w:sz w:val="32"/>
        </w:rPr>
      </w:pPr>
      <w:r w:rsidRPr="000973F2">
        <w:t xml:space="preserve">Table </w:t>
      </w:r>
      <w:r w:rsidR="00242876" w:rsidRPr="000973F2">
        <w:t>O-</w:t>
      </w:r>
      <w:r w:rsidRPr="000973F2">
        <w:t xml:space="preserve">1c. Labor Cost </w:t>
      </w:r>
      <w:r w:rsidR="00242876" w:rsidRPr="000973F2">
        <w:t>–</w:t>
      </w:r>
      <w:r w:rsidRPr="000973F2">
        <w:t xml:space="preserve"> Subpart O – Destruction of HFC-23</w:t>
      </w:r>
    </w:p>
    <w:tbl>
      <w:tblPr>
        <w:tblStyle w:val="PlainTable1"/>
        <w:tblW w:w="5000" w:type="pct"/>
        <w:jc w:val="left"/>
        <w:tblLayout w:type="fixed"/>
        <w:tblCellMar>
          <w:left w:w="115" w:type="dxa"/>
          <w:right w:w="115" w:type="dxa"/>
        </w:tblCellMar>
        <w:tblLook w:val="04A0" w:firstRow="1" w:lastRow="0" w:firstColumn="1" w:lastColumn="0" w:noHBand="0" w:noVBand="1"/>
      </w:tblPr>
      <w:tblGrid>
        <w:gridCol w:w="1465"/>
        <w:gridCol w:w="809"/>
        <w:gridCol w:w="810"/>
        <w:gridCol w:w="809"/>
        <w:gridCol w:w="810"/>
        <w:gridCol w:w="809"/>
        <w:gridCol w:w="810"/>
        <w:gridCol w:w="809"/>
        <w:gridCol w:w="810"/>
        <w:gridCol w:w="824"/>
        <w:gridCol w:w="825"/>
      </w:tblGrid>
      <w:tr w:rsidR="000631A2" w:rsidRPr="000973F2" w14:paraId="5118B9C5" w14:textId="77777777" w:rsidTr="00242876">
        <w:trPr>
          <w:cnfStyle w:val="100000000000" w:firstRow="1" w:lastRow="0" w:firstColumn="0" w:lastColumn="0" w:oddVBand="0" w:evenVBand="0" w:oddHBand="0" w:evenHBand="0" w:firstRowFirstColumn="0" w:firstRowLastColumn="0" w:lastRowFirstColumn="0" w:lastRowLastColumn="0"/>
          <w:cantSplit/>
          <w:jc w:val="left"/>
        </w:trPr>
        <w:tc>
          <w:tcPr>
            <w:cnfStyle w:val="001000000000" w:firstRow="0" w:lastRow="0" w:firstColumn="1" w:lastColumn="0" w:oddVBand="0" w:evenVBand="0" w:oddHBand="0" w:evenHBand="0" w:firstRowFirstColumn="0" w:firstRowLastColumn="0" w:lastRowFirstColumn="0" w:lastRowLastColumn="0"/>
            <w:tcW w:w="1425" w:type="dxa"/>
            <w:vMerge w:val="restart"/>
            <w:noWrap/>
            <w:vAlign w:val="top"/>
            <w:hideMark/>
          </w:tcPr>
          <w:p w14:paraId="4448CE10" w14:textId="77777777" w:rsidR="000631A2" w:rsidRPr="000973F2" w:rsidRDefault="000631A2" w:rsidP="00242876">
            <w:pPr>
              <w:spacing w:before="40" w:after="40"/>
              <w:rPr>
                <w:rFonts w:ascii="Times New Roman" w:eastAsia="Times New Roman" w:hAnsi="Times New Roman" w:cs="Times New Roman"/>
                <w:bCs w:val="0"/>
                <w:sz w:val="18"/>
                <w:szCs w:val="18"/>
              </w:rPr>
            </w:pPr>
            <w:r w:rsidRPr="000973F2">
              <w:rPr>
                <w:rFonts w:ascii="Times New Roman" w:eastAsia="Times New Roman" w:hAnsi="Times New Roman" w:cs="Times New Roman"/>
                <w:sz w:val="18"/>
                <w:szCs w:val="18"/>
              </w:rPr>
              <w:t>Activity</w:t>
            </w:r>
          </w:p>
        </w:tc>
        <w:tc>
          <w:tcPr>
            <w:tcW w:w="6300" w:type="dxa"/>
            <w:gridSpan w:val="8"/>
            <w:noWrap/>
            <w:vAlign w:val="top"/>
            <w:hideMark/>
          </w:tcPr>
          <w:p w14:paraId="38160C36" w14:textId="77777777" w:rsidR="000631A2" w:rsidRPr="000973F2" w:rsidRDefault="000631A2" w:rsidP="00242876">
            <w:pPr>
              <w:spacing w:before="40" w:after="40"/>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Cs w:val="0"/>
                <w:sz w:val="18"/>
                <w:szCs w:val="18"/>
              </w:rPr>
            </w:pPr>
            <w:r w:rsidRPr="000973F2">
              <w:rPr>
                <w:rFonts w:ascii="Times New Roman" w:eastAsia="Times New Roman" w:hAnsi="Times New Roman" w:cs="Times New Roman"/>
                <w:bCs w:val="0"/>
                <w:sz w:val="18"/>
                <w:szCs w:val="18"/>
              </w:rPr>
              <w:t>Labor Rates (per hour)</w:t>
            </w:r>
          </w:p>
        </w:tc>
        <w:tc>
          <w:tcPr>
            <w:tcW w:w="1605" w:type="dxa"/>
            <w:gridSpan w:val="2"/>
            <w:vMerge w:val="restart"/>
            <w:vAlign w:val="top"/>
            <w:hideMark/>
          </w:tcPr>
          <w:p w14:paraId="40DF49A3" w14:textId="77777777" w:rsidR="000631A2" w:rsidRPr="000973F2" w:rsidRDefault="000631A2" w:rsidP="00242876">
            <w:pPr>
              <w:spacing w:before="40" w:after="40"/>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Cs w:val="0"/>
                <w:sz w:val="18"/>
                <w:szCs w:val="18"/>
              </w:rPr>
            </w:pPr>
            <w:r w:rsidRPr="000973F2">
              <w:rPr>
                <w:rFonts w:ascii="Times New Roman" w:eastAsia="Times New Roman" w:hAnsi="Times New Roman" w:cs="Times New Roman"/>
                <w:bCs w:val="0"/>
                <w:sz w:val="18"/>
                <w:szCs w:val="18"/>
              </w:rPr>
              <w:t>Total Labor Cost per Year per Facility (2017$)</w:t>
            </w:r>
          </w:p>
        </w:tc>
      </w:tr>
      <w:tr w:rsidR="000631A2" w:rsidRPr="000973F2" w14:paraId="5046D535" w14:textId="77777777" w:rsidTr="00242876">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1425" w:type="dxa"/>
            <w:vMerge/>
            <w:hideMark/>
          </w:tcPr>
          <w:p w14:paraId="3C9BA650" w14:textId="77777777" w:rsidR="000631A2" w:rsidRPr="000973F2" w:rsidRDefault="000631A2" w:rsidP="00242876">
            <w:pPr>
              <w:spacing w:before="40" w:after="40"/>
              <w:rPr>
                <w:rFonts w:ascii="Times New Roman" w:eastAsia="Times New Roman" w:hAnsi="Times New Roman" w:cs="Times New Roman"/>
                <w:b/>
                <w:bCs w:val="0"/>
                <w:sz w:val="18"/>
                <w:szCs w:val="18"/>
              </w:rPr>
            </w:pPr>
          </w:p>
        </w:tc>
        <w:tc>
          <w:tcPr>
            <w:tcW w:w="1575" w:type="dxa"/>
            <w:gridSpan w:val="2"/>
            <w:noWrap/>
            <w:hideMark/>
          </w:tcPr>
          <w:p w14:paraId="3A482C8B" w14:textId="77777777" w:rsidR="000631A2" w:rsidRPr="000973F2" w:rsidRDefault="000631A2" w:rsidP="00242876">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18"/>
                <w:szCs w:val="18"/>
              </w:rPr>
            </w:pPr>
            <w:r w:rsidRPr="000973F2">
              <w:rPr>
                <w:rFonts w:ascii="Times New Roman" w:eastAsia="Times New Roman" w:hAnsi="Times New Roman" w:cs="Times New Roman"/>
                <w:b/>
                <w:bCs/>
                <w:sz w:val="18"/>
                <w:szCs w:val="18"/>
              </w:rPr>
              <w:t>Lawyer</w:t>
            </w:r>
          </w:p>
        </w:tc>
        <w:tc>
          <w:tcPr>
            <w:tcW w:w="1575" w:type="dxa"/>
            <w:gridSpan w:val="2"/>
            <w:noWrap/>
            <w:hideMark/>
          </w:tcPr>
          <w:p w14:paraId="7DE1B665" w14:textId="77777777" w:rsidR="000631A2" w:rsidRPr="000973F2" w:rsidRDefault="000631A2" w:rsidP="00242876">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18"/>
                <w:szCs w:val="18"/>
              </w:rPr>
            </w:pPr>
            <w:r w:rsidRPr="000973F2">
              <w:rPr>
                <w:rFonts w:ascii="Times New Roman" w:eastAsia="Times New Roman" w:hAnsi="Times New Roman" w:cs="Times New Roman"/>
                <w:b/>
                <w:bCs/>
                <w:sz w:val="18"/>
                <w:szCs w:val="18"/>
              </w:rPr>
              <w:t>Industrial Manager</w:t>
            </w:r>
          </w:p>
        </w:tc>
        <w:tc>
          <w:tcPr>
            <w:tcW w:w="1575" w:type="dxa"/>
            <w:gridSpan w:val="2"/>
            <w:hideMark/>
          </w:tcPr>
          <w:p w14:paraId="571F4217" w14:textId="15CB8E39" w:rsidR="000631A2" w:rsidRPr="000973F2" w:rsidRDefault="000631A2" w:rsidP="00242876">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18"/>
                <w:szCs w:val="18"/>
              </w:rPr>
            </w:pPr>
            <w:r w:rsidRPr="000973F2">
              <w:rPr>
                <w:rFonts w:ascii="Times New Roman" w:eastAsia="Times New Roman" w:hAnsi="Times New Roman" w:cs="Times New Roman"/>
                <w:b/>
                <w:bCs/>
                <w:sz w:val="18"/>
                <w:szCs w:val="18"/>
              </w:rPr>
              <w:t>Industrial Engineer/</w:t>
            </w:r>
            <w:r w:rsidR="00242876" w:rsidRPr="000973F2">
              <w:rPr>
                <w:rFonts w:ascii="Times New Roman" w:eastAsia="Times New Roman" w:hAnsi="Times New Roman" w:cs="Times New Roman"/>
                <w:b/>
                <w:bCs/>
                <w:sz w:val="18"/>
                <w:szCs w:val="18"/>
              </w:rPr>
              <w:t xml:space="preserve"> </w:t>
            </w:r>
            <w:r w:rsidRPr="000973F2">
              <w:rPr>
                <w:rFonts w:ascii="Times New Roman" w:eastAsia="Times New Roman" w:hAnsi="Times New Roman" w:cs="Times New Roman"/>
                <w:b/>
                <w:bCs/>
                <w:sz w:val="18"/>
                <w:szCs w:val="18"/>
              </w:rPr>
              <w:t>Technician</w:t>
            </w:r>
          </w:p>
        </w:tc>
        <w:tc>
          <w:tcPr>
            <w:tcW w:w="1575" w:type="dxa"/>
            <w:gridSpan w:val="2"/>
            <w:hideMark/>
          </w:tcPr>
          <w:p w14:paraId="653760DE" w14:textId="77777777" w:rsidR="000631A2" w:rsidRPr="000973F2" w:rsidRDefault="000631A2" w:rsidP="00242876">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18"/>
                <w:szCs w:val="18"/>
              </w:rPr>
            </w:pPr>
            <w:r w:rsidRPr="000973F2">
              <w:rPr>
                <w:rFonts w:ascii="Times New Roman" w:eastAsia="Times New Roman" w:hAnsi="Times New Roman" w:cs="Times New Roman"/>
                <w:b/>
                <w:bCs/>
                <w:sz w:val="18"/>
                <w:szCs w:val="18"/>
              </w:rPr>
              <w:t>Administrative Support</w:t>
            </w:r>
          </w:p>
        </w:tc>
        <w:tc>
          <w:tcPr>
            <w:tcW w:w="1605" w:type="dxa"/>
            <w:gridSpan w:val="2"/>
            <w:vMerge/>
            <w:hideMark/>
          </w:tcPr>
          <w:p w14:paraId="188C0FCC" w14:textId="77777777" w:rsidR="000631A2" w:rsidRPr="000973F2" w:rsidRDefault="000631A2" w:rsidP="00242876">
            <w:pPr>
              <w:spacing w:before="40" w:after="4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18"/>
                <w:szCs w:val="18"/>
              </w:rPr>
            </w:pPr>
          </w:p>
        </w:tc>
      </w:tr>
      <w:tr w:rsidR="00242876" w:rsidRPr="000973F2" w14:paraId="1517A457" w14:textId="77777777" w:rsidTr="00242876">
        <w:trPr>
          <w:cantSplit/>
        </w:trPr>
        <w:tc>
          <w:tcPr>
            <w:cnfStyle w:val="001000000000" w:firstRow="0" w:lastRow="0" w:firstColumn="1" w:lastColumn="0" w:oddVBand="0" w:evenVBand="0" w:oddHBand="0" w:evenHBand="0" w:firstRowFirstColumn="0" w:firstRowLastColumn="0" w:lastRowFirstColumn="0" w:lastRowLastColumn="0"/>
            <w:tcW w:w="1425" w:type="dxa"/>
            <w:vMerge/>
            <w:hideMark/>
          </w:tcPr>
          <w:p w14:paraId="486E32C3" w14:textId="77777777" w:rsidR="000631A2" w:rsidRPr="000973F2" w:rsidRDefault="000631A2" w:rsidP="00242876">
            <w:pPr>
              <w:spacing w:before="40" w:after="40"/>
              <w:rPr>
                <w:rFonts w:ascii="Times New Roman" w:eastAsia="Times New Roman" w:hAnsi="Times New Roman" w:cs="Times New Roman"/>
                <w:b/>
                <w:bCs w:val="0"/>
                <w:sz w:val="18"/>
                <w:szCs w:val="18"/>
              </w:rPr>
            </w:pPr>
          </w:p>
        </w:tc>
        <w:tc>
          <w:tcPr>
            <w:tcW w:w="1575" w:type="dxa"/>
            <w:gridSpan w:val="2"/>
            <w:noWrap/>
            <w:hideMark/>
          </w:tcPr>
          <w:p w14:paraId="469E3AE1" w14:textId="77777777" w:rsidR="000631A2" w:rsidRPr="000973F2" w:rsidRDefault="000631A2" w:rsidP="00242876">
            <w:pPr>
              <w:spacing w:before="40" w:after="4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sz w:val="18"/>
                <w:szCs w:val="18"/>
              </w:rPr>
            </w:pPr>
            <w:r w:rsidRPr="000973F2">
              <w:rPr>
                <w:rFonts w:ascii="Times New Roman" w:eastAsia="Times New Roman" w:hAnsi="Times New Roman" w:cs="Times New Roman"/>
                <w:b/>
                <w:bCs/>
                <w:sz w:val="18"/>
                <w:szCs w:val="18"/>
              </w:rPr>
              <w:t xml:space="preserve">$112.23 </w:t>
            </w:r>
          </w:p>
        </w:tc>
        <w:tc>
          <w:tcPr>
            <w:tcW w:w="1575" w:type="dxa"/>
            <w:gridSpan w:val="2"/>
            <w:noWrap/>
            <w:hideMark/>
          </w:tcPr>
          <w:p w14:paraId="3F45B3FD" w14:textId="77777777" w:rsidR="000631A2" w:rsidRPr="000973F2" w:rsidRDefault="000631A2" w:rsidP="00242876">
            <w:pPr>
              <w:spacing w:before="40" w:after="4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sz w:val="18"/>
                <w:szCs w:val="18"/>
              </w:rPr>
            </w:pPr>
            <w:r w:rsidRPr="000973F2">
              <w:rPr>
                <w:rFonts w:ascii="Times New Roman" w:eastAsia="Times New Roman" w:hAnsi="Times New Roman" w:cs="Times New Roman"/>
                <w:b/>
                <w:bCs/>
                <w:sz w:val="18"/>
                <w:szCs w:val="18"/>
              </w:rPr>
              <w:t xml:space="preserve">$87.45 </w:t>
            </w:r>
          </w:p>
        </w:tc>
        <w:tc>
          <w:tcPr>
            <w:tcW w:w="1575" w:type="dxa"/>
            <w:gridSpan w:val="2"/>
            <w:noWrap/>
            <w:hideMark/>
          </w:tcPr>
          <w:p w14:paraId="7016BA1D" w14:textId="77777777" w:rsidR="000631A2" w:rsidRPr="000973F2" w:rsidRDefault="000631A2" w:rsidP="00242876">
            <w:pPr>
              <w:spacing w:before="40" w:after="4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sz w:val="18"/>
                <w:szCs w:val="18"/>
              </w:rPr>
            </w:pPr>
            <w:r w:rsidRPr="000973F2">
              <w:rPr>
                <w:rFonts w:ascii="Times New Roman" w:eastAsia="Times New Roman" w:hAnsi="Times New Roman" w:cs="Times New Roman"/>
                <w:b/>
                <w:bCs/>
                <w:sz w:val="18"/>
                <w:szCs w:val="18"/>
              </w:rPr>
              <w:t xml:space="preserve">$71.45 </w:t>
            </w:r>
          </w:p>
        </w:tc>
        <w:tc>
          <w:tcPr>
            <w:tcW w:w="1575" w:type="dxa"/>
            <w:gridSpan w:val="2"/>
            <w:noWrap/>
            <w:hideMark/>
          </w:tcPr>
          <w:p w14:paraId="32EED622" w14:textId="77777777" w:rsidR="000631A2" w:rsidRPr="000973F2" w:rsidRDefault="000631A2" w:rsidP="00242876">
            <w:pPr>
              <w:spacing w:before="40" w:after="4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sz w:val="18"/>
                <w:szCs w:val="18"/>
              </w:rPr>
            </w:pPr>
            <w:r w:rsidRPr="000973F2">
              <w:rPr>
                <w:rFonts w:ascii="Times New Roman" w:eastAsia="Times New Roman" w:hAnsi="Times New Roman" w:cs="Times New Roman"/>
                <w:b/>
                <w:bCs/>
                <w:sz w:val="18"/>
                <w:szCs w:val="18"/>
              </w:rPr>
              <w:t xml:space="preserve">$36.28 </w:t>
            </w:r>
          </w:p>
        </w:tc>
        <w:tc>
          <w:tcPr>
            <w:tcW w:w="1605" w:type="dxa"/>
            <w:gridSpan w:val="2"/>
            <w:vMerge/>
            <w:hideMark/>
          </w:tcPr>
          <w:p w14:paraId="0F99A9E6" w14:textId="77777777" w:rsidR="000631A2" w:rsidRPr="000973F2" w:rsidRDefault="000631A2" w:rsidP="00242876">
            <w:pPr>
              <w:spacing w:before="40" w:after="4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sz w:val="18"/>
                <w:szCs w:val="18"/>
              </w:rPr>
            </w:pPr>
          </w:p>
        </w:tc>
      </w:tr>
      <w:tr w:rsidR="00242876" w:rsidRPr="000973F2" w14:paraId="43BB9595" w14:textId="77777777" w:rsidTr="00242876">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1425" w:type="dxa"/>
            <w:vMerge/>
            <w:hideMark/>
          </w:tcPr>
          <w:p w14:paraId="47085188" w14:textId="77777777" w:rsidR="000631A2" w:rsidRPr="000973F2" w:rsidRDefault="000631A2" w:rsidP="00242876">
            <w:pPr>
              <w:spacing w:before="40" w:after="40"/>
              <w:rPr>
                <w:rFonts w:ascii="Times New Roman" w:eastAsia="Times New Roman" w:hAnsi="Times New Roman" w:cs="Times New Roman"/>
                <w:b/>
                <w:bCs w:val="0"/>
                <w:sz w:val="18"/>
                <w:szCs w:val="18"/>
              </w:rPr>
            </w:pPr>
          </w:p>
        </w:tc>
        <w:tc>
          <w:tcPr>
            <w:tcW w:w="787" w:type="dxa"/>
            <w:tcMar>
              <w:left w:w="14" w:type="dxa"/>
              <w:right w:w="14" w:type="dxa"/>
            </w:tcMar>
            <w:hideMark/>
          </w:tcPr>
          <w:p w14:paraId="3C8A32B5" w14:textId="75C79320" w:rsidR="000631A2" w:rsidRPr="000973F2" w:rsidRDefault="000631A2" w:rsidP="00242876">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18"/>
                <w:szCs w:val="18"/>
              </w:rPr>
            </w:pPr>
            <w:r w:rsidRPr="000973F2">
              <w:rPr>
                <w:rFonts w:ascii="Times New Roman" w:eastAsia="Times New Roman" w:hAnsi="Times New Roman" w:cs="Times New Roman"/>
                <w:b/>
                <w:bCs/>
                <w:sz w:val="18"/>
                <w:szCs w:val="18"/>
              </w:rPr>
              <w:t xml:space="preserve">Initial </w:t>
            </w:r>
            <w:r w:rsidR="00132320" w:rsidRPr="000973F2">
              <w:rPr>
                <w:rFonts w:ascii="Times New Roman" w:eastAsia="Times New Roman" w:hAnsi="Times New Roman" w:cs="Times New Roman"/>
                <w:b/>
                <w:bCs/>
                <w:sz w:val="18"/>
                <w:szCs w:val="18"/>
              </w:rPr>
              <w:t>Year Hours</w:t>
            </w:r>
          </w:p>
        </w:tc>
        <w:tc>
          <w:tcPr>
            <w:tcW w:w="788" w:type="dxa"/>
            <w:tcMar>
              <w:left w:w="14" w:type="dxa"/>
              <w:right w:w="14" w:type="dxa"/>
            </w:tcMar>
            <w:hideMark/>
          </w:tcPr>
          <w:p w14:paraId="43A3000E" w14:textId="12E4E201" w:rsidR="000631A2" w:rsidRPr="000973F2" w:rsidRDefault="000631A2" w:rsidP="00242876">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18"/>
                <w:szCs w:val="18"/>
              </w:rPr>
            </w:pPr>
            <w:r w:rsidRPr="000973F2">
              <w:rPr>
                <w:rFonts w:ascii="Times New Roman" w:eastAsia="Times New Roman" w:hAnsi="Times New Roman" w:cs="Times New Roman"/>
                <w:b/>
                <w:bCs/>
                <w:sz w:val="18"/>
                <w:szCs w:val="18"/>
              </w:rPr>
              <w:t xml:space="preserve">Subseq. </w:t>
            </w:r>
            <w:r w:rsidR="00132320" w:rsidRPr="000973F2">
              <w:rPr>
                <w:rFonts w:ascii="Times New Roman" w:eastAsia="Times New Roman" w:hAnsi="Times New Roman" w:cs="Times New Roman"/>
                <w:b/>
                <w:bCs/>
                <w:sz w:val="18"/>
                <w:szCs w:val="18"/>
              </w:rPr>
              <w:t>Year Hours</w:t>
            </w:r>
          </w:p>
        </w:tc>
        <w:tc>
          <w:tcPr>
            <w:tcW w:w="787" w:type="dxa"/>
            <w:tcMar>
              <w:left w:w="14" w:type="dxa"/>
              <w:right w:w="14" w:type="dxa"/>
            </w:tcMar>
            <w:hideMark/>
          </w:tcPr>
          <w:p w14:paraId="1BE9843A" w14:textId="4771DBB2" w:rsidR="000631A2" w:rsidRPr="000973F2" w:rsidRDefault="000631A2" w:rsidP="00242876">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18"/>
                <w:szCs w:val="18"/>
              </w:rPr>
            </w:pPr>
            <w:r w:rsidRPr="000973F2">
              <w:rPr>
                <w:rFonts w:ascii="Times New Roman" w:eastAsia="Times New Roman" w:hAnsi="Times New Roman" w:cs="Times New Roman"/>
                <w:b/>
                <w:bCs/>
                <w:sz w:val="18"/>
                <w:szCs w:val="18"/>
              </w:rPr>
              <w:t xml:space="preserve">Initial </w:t>
            </w:r>
            <w:r w:rsidR="00132320" w:rsidRPr="000973F2">
              <w:rPr>
                <w:rFonts w:ascii="Times New Roman" w:eastAsia="Times New Roman" w:hAnsi="Times New Roman" w:cs="Times New Roman"/>
                <w:b/>
                <w:bCs/>
                <w:sz w:val="18"/>
                <w:szCs w:val="18"/>
              </w:rPr>
              <w:t>Year Hours</w:t>
            </w:r>
          </w:p>
        </w:tc>
        <w:tc>
          <w:tcPr>
            <w:tcW w:w="788" w:type="dxa"/>
            <w:tcMar>
              <w:left w:w="14" w:type="dxa"/>
              <w:right w:w="14" w:type="dxa"/>
            </w:tcMar>
            <w:hideMark/>
          </w:tcPr>
          <w:p w14:paraId="6C29DD6A" w14:textId="6536E7B8" w:rsidR="000631A2" w:rsidRPr="000973F2" w:rsidRDefault="000631A2" w:rsidP="00242876">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18"/>
                <w:szCs w:val="18"/>
              </w:rPr>
            </w:pPr>
            <w:r w:rsidRPr="000973F2">
              <w:rPr>
                <w:rFonts w:ascii="Times New Roman" w:eastAsia="Times New Roman" w:hAnsi="Times New Roman" w:cs="Times New Roman"/>
                <w:b/>
                <w:bCs/>
                <w:sz w:val="18"/>
                <w:szCs w:val="18"/>
              </w:rPr>
              <w:t xml:space="preserve">Subseq. </w:t>
            </w:r>
            <w:r w:rsidR="00132320" w:rsidRPr="000973F2">
              <w:rPr>
                <w:rFonts w:ascii="Times New Roman" w:eastAsia="Times New Roman" w:hAnsi="Times New Roman" w:cs="Times New Roman"/>
                <w:b/>
                <w:bCs/>
                <w:sz w:val="18"/>
                <w:szCs w:val="18"/>
              </w:rPr>
              <w:t>Year Hours</w:t>
            </w:r>
          </w:p>
        </w:tc>
        <w:tc>
          <w:tcPr>
            <w:tcW w:w="787" w:type="dxa"/>
            <w:tcMar>
              <w:left w:w="14" w:type="dxa"/>
              <w:right w:w="14" w:type="dxa"/>
            </w:tcMar>
            <w:hideMark/>
          </w:tcPr>
          <w:p w14:paraId="76AF917C" w14:textId="55C08100" w:rsidR="000631A2" w:rsidRPr="000973F2" w:rsidRDefault="000631A2" w:rsidP="00242876">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18"/>
                <w:szCs w:val="18"/>
              </w:rPr>
            </w:pPr>
            <w:r w:rsidRPr="000973F2">
              <w:rPr>
                <w:rFonts w:ascii="Times New Roman" w:eastAsia="Times New Roman" w:hAnsi="Times New Roman" w:cs="Times New Roman"/>
                <w:b/>
                <w:bCs/>
                <w:sz w:val="18"/>
                <w:szCs w:val="18"/>
              </w:rPr>
              <w:t xml:space="preserve">Initial </w:t>
            </w:r>
            <w:r w:rsidR="00132320" w:rsidRPr="000973F2">
              <w:rPr>
                <w:rFonts w:ascii="Times New Roman" w:eastAsia="Times New Roman" w:hAnsi="Times New Roman" w:cs="Times New Roman"/>
                <w:b/>
                <w:bCs/>
                <w:sz w:val="18"/>
                <w:szCs w:val="18"/>
              </w:rPr>
              <w:t>Year Hours</w:t>
            </w:r>
          </w:p>
        </w:tc>
        <w:tc>
          <w:tcPr>
            <w:tcW w:w="788" w:type="dxa"/>
            <w:tcMar>
              <w:left w:w="14" w:type="dxa"/>
              <w:right w:w="14" w:type="dxa"/>
            </w:tcMar>
            <w:hideMark/>
          </w:tcPr>
          <w:p w14:paraId="202F1E9F" w14:textId="09BAE46B" w:rsidR="000631A2" w:rsidRPr="000973F2" w:rsidRDefault="000631A2" w:rsidP="00242876">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18"/>
                <w:szCs w:val="18"/>
              </w:rPr>
            </w:pPr>
            <w:r w:rsidRPr="000973F2">
              <w:rPr>
                <w:rFonts w:ascii="Times New Roman" w:eastAsia="Times New Roman" w:hAnsi="Times New Roman" w:cs="Times New Roman"/>
                <w:b/>
                <w:bCs/>
                <w:sz w:val="18"/>
                <w:szCs w:val="18"/>
              </w:rPr>
              <w:t xml:space="preserve">Subseq. </w:t>
            </w:r>
            <w:r w:rsidR="00132320" w:rsidRPr="000973F2">
              <w:rPr>
                <w:rFonts w:ascii="Times New Roman" w:eastAsia="Times New Roman" w:hAnsi="Times New Roman" w:cs="Times New Roman"/>
                <w:b/>
                <w:bCs/>
                <w:sz w:val="18"/>
                <w:szCs w:val="18"/>
              </w:rPr>
              <w:t>Year Hours</w:t>
            </w:r>
          </w:p>
        </w:tc>
        <w:tc>
          <w:tcPr>
            <w:tcW w:w="787" w:type="dxa"/>
            <w:tcMar>
              <w:left w:w="14" w:type="dxa"/>
              <w:right w:w="14" w:type="dxa"/>
            </w:tcMar>
            <w:hideMark/>
          </w:tcPr>
          <w:p w14:paraId="54DF9F71" w14:textId="73A2EB12" w:rsidR="000631A2" w:rsidRPr="000973F2" w:rsidRDefault="000631A2" w:rsidP="00242876">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18"/>
                <w:szCs w:val="18"/>
              </w:rPr>
            </w:pPr>
            <w:r w:rsidRPr="000973F2">
              <w:rPr>
                <w:rFonts w:ascii="Times New Roman" w:eastAsia="Times New Roman" w:hAnsi="Times New Roman" w:cs="Times New Roman"/>
                <w:b/>
                <w:bCs/>
                <w:sz w:val="18"/>
                <w:szCs w:val="18"/>
              </w:rPr>
              <w:t xml:space="preserve">Initial </w:t>
            </w:r>
            <w:r w:rsidR="00132320" w:rsidRPr="000973F2">
              <w:rPr>
                <w:rFonts w:ascii="Times New Roman" w:eastAsia="Times New Roman" w:hAnsi="Times New Roman" w:cs="Times New Roman"/>
                <w:b/>
                <w:bCs/>
                <w:sz w:val="18"/>
                <w:szCs w:val="18"/>
              </w:rPr>
              <w:t>Year Hours</w:t>
            </w:r>
          </w:p>
        </w:tc>
        <w:tc>
          <w:tcPr>
            <w:tcW w:w="788" w:type="dxa"/>
            <w:tcMar>
              <w:left w:w="14" w:type="dxa"/>
              <w:right w:w="14" w:type="dxa"/>
            </w:tcMar>
            <w:hideMark/>
          </w:tcPr>
          <w:p w14:paraId="3ED54DEC" w14:textId="275CE9B1" w:rsidR="000631A2" w:rsidRPr="000973F2" w:rsidRDefault="000631A2" w:rsidP="00242876">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18"/>
                <w:szCs w:val="18"/>
              </w:rPr>
            </w:pPr>
            <w:r w:rsidRPr="000973F2">
              <w:rPr>
                <w:rFonts w:ascii="Times New Roman" w:eastAsia="Times New Roman" w:hAnsi="Times New Roman" w:cs="Times New Roman"/>
                <w:b/>
                <w:bCs/>
                <w:sz w:val="18"/>
                <w:szCs w:val="18"/>
              </w:rPr>
              <w:t xml:space="preserve">Subseq. </w:t>
            </w:r>
            <w:r w:rsidR="00132320" w:rsidRPr="000973F2">
              <w:rPr>
                <w:rFonts w:ascii="Times New Roman" w:eastAsia="Times New Roman" w:hAnsi="Times New Roman" w:cs="Times New Roman"/>
                <w:b/>
                <w:bCs/>
                <w:sz w:val="18"/>
                <w:szCs w:val="18"/>
              </w:rPr>
              <w:t>Year Hours</w:t>
            </w:r>
          </w:p>
        </w:tc>
        <w:tc>
          <w:tcPr>
            <w:tcW w:w="802" w:type="dxa"/>
            <w:tcMar>
              <w:left w:w="14" w:type="dxa"/>
              <w:right w:w="14" w:type="dxa"/>
            </w:tcMar>
            <w:hideMark/>
          </w:tcPr>
          <w:p w14:paraId="181B2569" w14:textId="77777777" w:rsidR="000631A2" w:rsidRPr="000973F2" w:rsidRDefault="000631A2" w:rsidP="00242876">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18"/>
                <w:szCs w:val="18"/>
              </w:rPr>
            </w:pPr>
            <w:r w:rsidRPr="000973F2">
              <w:rPr>
                <w:rFonts w:ascii="Times New Roman" w:eastAsia="Times New Roman" w:hAnsi="Times New Roman" w:cs="Times New Roman"/>
                <w:b/>
                <w:bCs/>
                <w:sz w:val="18"/>
                <w:szCs w:val="18"/>
              </w:rPr>
              <w:t>Initial Year</w:t>
            </w:r>
          </w:p>
        </w:tc>
        <w:tc>
          <w:tcPr>
            <w:tcW w:w="803" w:type="dxa"/>
            <w:tcMar>
              <w:left w:w="14" w:type="dxa"/>
              <w:right w:w="14" w:type="dxa"/>
            </w:tcMar>
            <w:hideMark/>
          </w:tcPr>
          <w:p w14:paraId="6476FC58" w14:textId="77777777" w:rsidR="000631A2" w:rsidRPr="000973F2" w:rsidRDefault="000631A2" w:rsidP="00242876">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18"/>
                <w:szCs w:val="18"/>
              </w:rPr>
            </w:pPr>
            <w:r w:rsidRPr="000973F2">
              <w:rPr>
                <w:rFonts w:ascii="Times New Roman" w:eastAsia="Times New Roman" w:hAnsi="Times New Roman" w:cs="Times New Roman"/>
                <w:b/>
                <w:bCs/>
                <w:sz w:val="18"/>
                <w:szCs w:val="18"/>
              </w:rPr>
              <w:t>Subseq. Year</w:t>
            </w:r>
          </w:p>
        </w:tc>
      </w:tr>
      <w:tr w:rsidR="00242876" w:rsidRPr="000973F2" w14:paraId="7AF38888" w14:textId="77777777" w:rsidTr="00242876">
        <w:trPr>
          <w:cantSplit/>
        </w:trPr>
        <w:tc>
          <w:tcPr>
            <w:cnfStyle w:val="001000000000" w:firstRow="0" w:lastRow="0" w:firstColumn="1" w:lastColumn="0" w:oddVBand="0" w:evenVBand="0" w:oddHBand="0" w:evenHBand="0" w:firstRowFirstColumn="0" w:firstRowLastColumn="0" w:lastRowFirstColumn="0" w:lastRowLastColumn="0"/>
            <w:tcW w:w="1425" w:type="dxa"/>
            <w:hideMark/>
          </w:tcPr>
          <w:p w14:paraId="0E665843" w14:textId="77777777" w:rsidR="000631A2" w:rsidRPr="000973F2" w:rsidRDefault="000631A2" w:rsidP="00242876">
            <w:pPr>
              <w:spacing w:before="40" w:after="4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Planning</w:t>
            </w:r>
          </w:p>
        </w:tc>
        <w:tc>
          <w:tcPr>
            <w:tcW w:w="787" w:type="dxa"/>
            <w:noWrap/>
            <w:hideMark/>
          </w:tcPr>
          <w:p w14:paraId="0754C1BC" w14:textId="77777777" w:rsidR="000631A2" w:rsidRPr="000973F2" w:rsidRDefault="000631A2" w:rsidP="00242876">
            <w:pPr>
              <w:spacing w:before="40" w:after="4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0</w:t>
            </w:r>
          </w:p>
        </w:tc>
        <w:tc>
          <w:tcPr>
            <w:tcW w:w="788" w:type="dxa"/>
            <w:noWrap/>
            <w:hideMark/>
          </w:tcPr>
          <w:p w14:paraId="5998F009" w14:textId="77777777" w:rsidR="000631A2" w:rsidRPr="000973F2" w:rsidRDefault="000631A2" w:rsidP="00242876">
            <w:pPr>
              <w:spacing w:before="40" w:after="4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2</w:t>
            </w:r>
          </w:p>
        </w:tc>
        <w:tc>
          <w:tcPr>
            <w:tcW w:w="787" w:type="dxa"/>
            <w:noWrap/>
            <w:hideMark/>
          </w:tcPr>
          <w:p w14:paraId="5B3D5F96" w14:textId="77777777" w:rsidR="000631A2" w:rsidRPr="000973F2" w:rsidRDefault="000631A2" w:rsidP="00242876">
            <w:pPr>
              <w:spacing w:before="40" w:after="4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0</w:t>
            </w:r>
          </w:p>
        </w:tc>
        <w:tc>
          <w:tcPr>
            <w:tcW w:w="788" w:type="dxa"/>
            <w:noWrap/>
            <w:hideMark/>
          </w:tcPr>
          <w:p w14:paraId="5C88E0EC" w14:textId="77777777" w:rsidR="000631A2" w:rsidRPr="000973F2" w:rsidRDefault="000631A2" w:rsidP="00242876">
            <w:pPr>
              <w:spacing w:before="40" w:after="4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1.0</w:t>
            </w:r>
          </w:p>
        </w:tc>
        <w:tc>
          <w:tcPr>
            <w:tcW w:w="787" w:type="dxa"/>
            <w:noWrap/>
            <w:hideMark/>
          </w:tcPr>
          <w:p w14:paraId="0A299900" w14:textId="77777777" w:rsidR="000631A2" w:rsidRPr="000973F2" w:rsidRDefault="000631A2" w:rsidP="00242876">
            <w:pPr>
              <w:spacing w:before="40" w:after="4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0</w:t>
            </w:r>
          </w:p>
        </w:tc>
        <w:tc>
          <w:tcPr>
            <w:tcW w:w="788" w:type="dxa"/>
            <w:noWrap/>
            <w:hideMark/>
          </w:tcPr>
          <w:p w14:paraId="78DF519D" w14:textId="77777777" w:rsidR="000631A2" w:rsidRPr="000973F2" w:rsidRDefault="000631A2" w:rsidP="00242876">
            <w:pPr>
              <w:tabs>
                <w:tab w:val="decimal" w:pos="271"/>
              </w:tabs>
              <w:spacing w:before="40" w:after="4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1</w:t>
            </w:r>
          </w:p>
        </w:tc>
        <w:tc>
          <w:tcPr>
            <w:tcW w:w="787" w:type="dxa"/>
            <w:noWrap/>
            <w:hideMark/>
          </w:tcPr>
          <w:p w14:paraId="2A4AF237" w14:textId="77777777" w:rsidR="000631A2" w:rsidRPr="000973F2" w:rsidRDefault="000631A2" w:rsidP="00242876">
            <w:pPr>
              <w:spacing w:before="40" w:after="4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0</w:t>
            </w:r>
          </w:p>
        </w:tc>
        <w:tc>
          <w:tcPr>
            <w:tcW w:w="788" w:type="dxa"/>
            <w:noWrap/>
            <w:hideMark/>
          </w:tcPr>
          <w:p w14:paraId="183AFD54" w14:textId="77777777" w:rsidR="000631A2" w:rsidRPr="000973F2" w:rsidRDefault="000631A2" w:rsidP="00242876">
            <w:pPr>
              <w:tabs>
                <w:tab w:val="decimal" w:pos="301"/>
              </w:tabs>
              <w:spacing w:before="40" w:after="4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0</w:t>
            </w:r>
          </w:p>
        </w:tc>
        <w:tc>
          <w:tcPr>
            <w:tcW w:w="802" w:type="dxa"/>
            <w:noWrap/>
            <w:hideMark/>
          </w:tcPr>
          <w:p w14:paraId="2A152EB9" w14:textId="085496F1" w:rsidR="000631A2" w:rsidRPr="000973F2" w:rsidRDefault="000631A2" w:rsidP="00242876">
            <w:pPr>
              <w:spacing w:before="40" w:after="4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$0</w:t>
            </w:r>
          </w:p>
        </w:tc>
        <w:tc>
          <w:tcPr>
            <w:tcW w:w="803" w:type="dxa"/>
            <w:noWrap/>
            <w:hideMark/>
          </w:tcPr>
          <w:p w14:paraId="09AE3352" w14:textId="302F5433" w:rsidR="000631A2" w:rsidRPr="000973F2" w:rsidRDefault="000631A2" w:rsidP="00242876">
            <w:pPr>
              <w:tabs>
                <w:tab w:val="decimal" w:pos="541"/>
              </w:tabs>
              <w:spacing w:before="40" w:after="4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$383</w:t>
            </w:r>
          </w:p>
        </w:tc>
      </w:tr>
      <w:tr w:rsidR="00242876" w:rsidRPr="000973F2" w14:paraId="455A396D" w14:textId="77777777" w:rsidTr="00242876">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1425" w:type="dxa"/>
            <w:hideMark/>
          </w:tcPr>
          <w:p w14:paraId="6BC9CF00" w14:textId="77777777" w:rsidR="003E005F" w:rsidRPr="000973F2" w:rsidRDefault="003E005F" w:rsidP="00242876">
            <w:pPr>
              <w:spacing w:before="40" w:after="4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QA/QC</w:t>
            </w:r>
          </w:p>
        </w:tc>
        <w:tc>
          <w:tcPr>
            <w:tcW w:w="787" w:type="dxa"/>
            <w:noWrap/>
            <w:hideMark/>
          </w:tcPr>
          <w:p w14:paraId="38172E1C" w14:textId="767C781C" w:rsidR="003E005F" w:rsidRPr="000973F2" w:rsidRDefault="00242876" w:rsidP="00242876">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w:t>
            </w:r>
          </w:p>
        </w:tc>
        <w:tc>
          <w:tcPr>
            <w:tcW w:w="788" w:type="dxa"/>
            <w:noWrap/>
            <w:hideMark/>
          </w:tcPr>
          <w:p w14:paraId="6C50AC6E" w14:textId="6E21E459" w:rsidR="003E005F" w:rsidRPr="000973F2" w:rsidRDefault="00242876" w:rsidP="00242876">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w:t>
            </w:r>
          </w:p>
        </w:tc>
        <w:tc>
          <w:tcPr>
            <w:tcW w:w="787" w:type="dxa"/>
            <w:noWrap/>
            <w:hideMark/>
          </w:tcPr>
          <w:p w14:paraId="6DF3E401" w14:textId="72366BD4" w:rsidR="003E005F" w:rsidRPr="000973F2" w:rsidRDefault="00242876" w:rsidP="00242876">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w:t>
            </w:r>
          </w:p>
        </w:tc>
        <w:tc>
          <w:tcPr>
            <w:tcW w:w="788" w:type="dxa"/>
            <w:noWrap/>
            <w:hideMark/>
          </w:tcPr>
          <w:p w14:paraId="407EF7DE" w14:textId="4AFA1093" w:rsidR="003E005F" w:rsidRPr="000973F2" w:rsidRDefault="00242876" w:rsidP="00242876">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w:t>
            </w:r>
          </w:p>
        </w:tc>
        <w:tc>
          <w:tcPr>
            <w:tcW w:w="787" w:type="dxa"/>
            <w:noWrap/>
            <w:hideMark/>
          </w:tcPr>
          <w:p w14:paraId="61F7E314" w14:textId="11C6F842" w:rsidR="003E005F" w:rsidRPr="000973F2" w:rsidRDefault="00242876" w:rsidP="00242876">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w:t>
            </w:r>
          </w:p>
        </w:tc>
        <w:tc>
          <w:tcPr>
            <w:tcW w:w="788" w:type="dxa"/>
            <w:noWrap/>
            <w:hideMark/>
          </w:tcPr>
          <w:p w14:paraId="7DCF5186" w14:textId="2E950C3F" w:rsidR="003E005F" w:rsidRPr="000973F2" w:rsidRDefault="00242876" w:rsidP="00242876">
            <w:pPr>
              <w:tabs>
                <w:tab w:val="decimal" w:pos="271"/>
              </w:tabs>
              <w:spacing w:before="40" w:after="4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w:t>
            </w:r>
          </w:p>
        </w:tc>
        <w:tc>
          <w:tcPr>
            <w:tcW w:w="787" w:type="dxa"/>
            <w:noWrap/>
            <w:hideMark/>
          </w:tcPr>
          <w:p w14:paraId="15778B07" w14:textId="4F402059" w:rsidR="003E005F" w:rsidRPr="000973F2" w:rsidRDefault="00242876" w:rsidP="00242876">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w:t>
            </w:r>
          </w:p>
        </w:tc>
        <w:tc>
          <w:tcPr>
            <w:tcW w:w="788" w:type="dxa"/>
            <w:noWrap/>
            <w:hideMark/>
          </w:tcPr>
          <w:p w14:paraId="261D3D13" w14:textId="4A7E9953" w:rsidR="003E005F" w:rsidRPr="000973F2" w:rsidRDefault="00242876" w:rsidP="00242876">
            <w:pPr>
              <w:tabs>
                <w:tab w:val="decimal" w:pos="301"/>
              </w:tabs>
              <w:spacing w:before="40" w:after="4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w:t>
            </w:r>
          </w:p>
        </w:tc>
        <w:tc>
          <w:tcPr>
            <w:tcW w:w="802" w:type="dxa"/>
            <w:noWrap/>
            <w:hideMark/>
          </w:tcPr>
          <w:p w14:paraId="4ABCB7DA" w14:textId="5056FF27" w:rsidR="003E005F" w:rsidRPr="000973F2" w:rsidRDefault="00242876" w:rsidP="00242876">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w:t>
            </w:r>
          </w:p>
        </w:tc>
        <w:tc>
          <w:tcPr>
            <w:tcW w:w="803" w:type="dxa"/>
            <w:noWrap/>
            <w:hideMark/>
          </w:tcPr>
          <w:p w14:paraId="44E5F7A4" w14:textId="45091417" w:rsidR="003E005F" w:rsidRPr="000973F2" w:rsidRDefault="00242876" w:rsidP="00242876">
            <w:pPr>
              <w:tabs>
                <w:tab w:val="decimal" w:pos="541"/>
              </w:tabs>
              <w:spacing w:before="40" w:after="4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w:t>
            </w:r>
          </w:p>
        </w:tc>
      </w:tr>
      <w:tr w:rsidR="00242876" w:rsidRPr="000973F2" w14:paraId="45ADD4B6" w14:textId="77777777" w:rsidTr="00242876">
        <w:trPr>
          <w:cantSplit/>
        </w:trPr>
        <w:tc>
          <w:tcPr>
            <w:cnfStyle w:val="001000000000" w:firstRow="0" w:lastRow="0" w:firstColumn="1" w:lastColumn="0" w:oddVBand="0" w:evenVBand="0" w:oddHBand="0" w:evenHBand="0" w:firstRowFirstColumn="0" w:firstRowLastColumn="0" w:lastRowFirstColumn="0" w:lastRowLastColumn="0"/>
            <w:tcW w:w="1425" w:type="dxa"/>
            <w:hideMark/>
          </w:tcPr>
          <w:p w14:paraId="3159E530" w14:textId="77777777" w:rsidR="000631A2" w:rsidRPr="000973F2" w:rsidRDefault="000631A2" w:rsidP="00242876">
            <w:pPr>
              <w:spacing w:before="40" w:after="4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Recordkeeping</w:t>
            </w:r>
          </w:p>
        </w:tc>
        <w:tc>
          <w:tcPr>
            <w:tcW w:w="787" w:type="dxa"/>
            <w:noWrap/>
            <w:hideMark/>
          </w:tcPr>
          <w:p w14:paraId="60BA2D10" w14:textId="77777777" w:rsidR="000631A2" w:rsidRPr="000973F2" w:rsidRDefault="000631A2" w:rsidP="00242876">
            <w:pPr>
              <w:spacing w:before="40" w:after="4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0</w:t>
            </w:r>
          </w:p>
        </w:tc>
        <w:tc>
          <w:tcPr>
            <w:tcW w:w="788" w:type="dxa"/>
            <w:noWrap/>
            <w:hideMark/>
          </w:tcPr>
          <w:p w14:paraId="615FBBB7" w14:textId="77777777" w:rsidR="000631A2" w:rsidRPr="000973F2" w:rsidRDefault="000631A2" w:rsidP="00242876">
            <w:pPr>
              <w:spacing w:before="40" w:after="4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0</w:t>
            </w:r>
          </w:p>
        </w:tc>
        <w:tc>
          <w:tcPr>
            <w:tcW w:w="787" w:type="dxa"/>
            <w:noWrap/>
            <w:hideMark/>
          </w:tcPr>
          <w:p w14:paraId="30B153D1" w14:textId="77777777" w:rsidR="000631A2" w:rsidRPr="000973F2" w:rsidRDefault="000631A2" w:rsidP="00242876">
            <w:pPr>
              <w:spacing w:before="40" w:after="4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0</w:t>
            </w:r>
          </w:p>
        </w:tc>
        <w:tc>
          <w:tcPr>
            <w:tcW w:w="788" w:type="dxa"/>
            <w:noWrap/>
            <w:hideMark/>
          </w:tcPr>
          <w:p w14:paraId="1DE947D4" w14:textId="77777777" w:rsidR="000631A2" w:rsidRPr="000973F2" w:rsidRDefault="000631A2" w:rsidP="00242876">
            <w:pPr>
              <w:spacing w:before="40" w:after="4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0.5</w:t>
            </w:r>
          </w:p>
        </w:tc>
        <w:tc>
          <w:tcPr>
            <w:tcW w:w="787" w:type="dxa"/>
            <w:noWrap/>
            <w:hideMark/>
          </w:tcPr>
          <w:p w14:paraId="19754DC2" w14:textId="77777777" w:rsidR="000631A2" w:rsidRPr="000973F2" w:rsidRDefault="000631A2" w:rsidP="00242876">
            <w:pPr>
              <w:spacing w:before="40" w:after="4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0</w:t>
            </w:r>
          </w:p>
        </w:tc>
        <w:tc>
          <w:tcPr>
            <w:tcW w:w="788" w:type="dxa"/>
            <w:noWrap/>
            <w:hideMark/>
          </w:tcPr>
          <w:p w14:paraId="4434D8BA" w14:textId="77777777" w:rsidR="000631A2" w:rsidRPr="000973F2" w:rsidRDefault="000631A2" w:rsidP="00242876">
            <w:pPr>
              <w:tabs>
                <w:tab w:val="decimal" w:pos="271"/>
              </w:tabs>
              <w:spacing w:before="40" w:after="4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5</w:t>
            </w:r>
          </w:p>
        </w:tc>
        <w:tc>
          <w:tcPr>
            <w:tcW w:w="787" w:type="dxa"/>
            <w:noWrap/>
            <w:hideMark/>
          </w:tcPr>
          <w:p w14:paraId="3A6B3BD3" w14:textId="77777777" w:rsidR="000631A2" w:rsidRPr="000973F2" w:rsidRDefault="000631A2" w:rsidP="00242876">
            <w:pPr>
              <w:spacing w:before="40" w:after="4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0</w:t>
            </w:r>
          </w:p>
        </w:tc>
        <w:tc>
          <w:tcPr>
            <w:tcW w:w="788" w:type="dxa"/>
            <w:noWrap/>
            <w:hideMark/>
          </w:tcPr>
          <w:p w14:paraId="3EE2E8D7" w14:textId="77777777" w:rsidR="000631A2" w:rsidRPr="000973F2" w:rsidRDefault="000631A2" w:rsidP="00242876">
            <w:pPr>
              <w:tabs>
                <w:tab w:val="decimal" w:pos="301"/>
              </w:tabs>
              <w:spacing w:before="40" w:after="4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0.5</w:t>
            </w:r>
          </w:p>
        </w:tc>
        <w:tc>
          <w:tcPr>
            <w:tcW w:w="802" w:type="dxa"/>
            <w:noWrap/>
            <w:hideMark/>
          </w:tcPr>
          <w:p w14:paraId="220B5C1F" w14:textId="22BDE84B" w:rsidR="000631A2" w:rsidRPr="000973F2" w:rsidRDefault="000631A2" w:rsidP="00242876">
            <w:pPr>
              <w:spacing w:before="40" w:after="4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$0</w:t>
            </w:r>
          </w:p>
        </w:tc>
        <w:tc>
          <w:tcPr>
            <w:tcW w:w="803" w:type="dxa"/>
            <w:noWrap/>
            <w:hideMark/>
          </w:tcPr>
          <w:p w14:paraId="28D9C6D6" w14:textId="77777777" w:rsidR="000631A2" w:rsidRPr="000973F2" w:rsidRDefault="000631A2" w:rsidP="00242876">
            <w:pPr>
              <w:tabs>
                <w:tab w:val="decimal" w:pos="541"/>
              </w:tabs>
              <w:spacing w:before="40" w:after="4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$419</w:t>
            </w:r>
          </w:p>
        </w:tc>
      </w:tr>
      <w:tr w:rsidR="00242876" w:rsidRPr="000973F2" w14:paraId="08A1FB54" w14:textId="77777777" w:rsidTr="00242876">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1425" w:type="dxa"/>
            <w:hideMark/>
          </w:tcPr>
          <w:p w14:paraId="38C62335" w14:textId="77777777" w:rsidR="000631A2" w:rsidRPr="000973F2" w:rsidRDefault="000631A2" w:rsidP="00242876">
            <w:pPr>
              <w:spacing w:before="40" w:after="4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Sampling and Analysis (Calculations)</w:t>
            </w:r>
          </w:p>
        </w:tc>
        <w:tc>
          <w:tcPr>
            <w:tcW w:w="787" w:type="dxa"/>
            <w:noWrap/>
            <w:hideMark/>
          </w:tcPr>
          <w:p w14:paraId="244180F9" w14:textId="77777777" w:rsidR="000631A2" w:rsidRPr="000973F2" w:rsidRDefault="000631A2" w:rsidP="00242876">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0</w:t>
            </w:r>
          </w:p>
        </w:tc>
        <w:tc>
          <w:tcPr>
            <w:tcW w:w="788" w:type="dxa"/>
            <w:noWrap/>
            <w:hideMark/>
          </w:tcPr>
          <w:p w14:paraId="7FFD8654" w14:textId="77777777" w:rsidR="000631A2" w:rsidRPr="000973F2" w:rsidRDefault="000631A2" w:rsidP="00242876">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0</w:t>
            </w:r>
          </w:p>
        </w:tc>
        <w:tc>
          <w:tcPr>
            <w:tcW w:w="787" w:type="dxa"/>
            <w:noWrap/>
            <w:hideMark/>
          </w:tcPr>
          <w:p w14:paraId="3C17355C" w14:textId="77777777" w:rsidR="000631A2" w:rsidRPr="000973F2" w:rsidRDefault="000631A2" w:rsidP="00242876">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0</w:t>
            </w:r>
          </w:p>
        </w:tc>
        <w:tc>
          <w:tcPr>
            <w:tcW w:w="788" w:type="dxa"/>
            <w:noWrap/>
            <w:hideMark/>
          </w:tcPr>
          <w:p w14:paraId="6166D32D" w14:textId="77777777" w:rsidR="000631A2" w:rsidRPr="000973F2" w:rsidRDefault="000631A2" w:rsidP="00242876">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2.9</w:t>
            </w:r>
          </w:p>
        </w:tc>
        <w:tc>
          <w:tcPr>
            <w:tcW w:w="787" w:type="dxa"/>
            <w:noWrap/>
            <w:hideMark/>
          </w:tcPr>
          <w:p w14:paraId="40C04D80" w14:textId="77777777" w:rsidR="000631A2" w:rsidRPr="000973F2" w:rsidRDefault="000631A2" w:rsidP="00242876">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0</w:t>
            </w:r>
          </w:p>
        </w:tc>
        <w:tc>
          <w:tcPr>
            <w:tcW w:w="788" w:type="dxa"/>
            <w:noWrap/>
            <w:hideMark/>
          </w:tcPr>
          <w:p w14:paraId="2C69ED69" w14:textId="77777777" w:rsidR="000631A2" w:rsidRPr="000973F2" w:rsidRDefault="000631A2" w:rsidP="00242876">
            <w:pPr>
              <w:tabs>
                <w:tab w:val="decimal" w:pos="271"/>
              </w:tabs>
              <w:spacing w:before="40" w:after="4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57</w:t>
            </w:r>
          </w:p>
        </w:tc>
        <w:tc>
          <w:tcPr>
            <w:tcW w:w="787" w:type="dxa"/>
            <w:noWrap/>
            <w:hideMark/>
          </w:tcPr>
          <w:p w14:paraId="76C59AAD" w14:textId="77777777" w:rsidR="000631A2" w:rsidRPr="000973F2" w:rsidRDefault="000631A2" w:rsidP="00242876">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0</w:t>
            </w:r>
          </w:p>
        </w:tc>
        <w:tc>
          <w:tcPr>
            <w:tcW w:w="788" w:type="dxa"/>
            <w:noWrap/>
            <w:hideMark/>
          </w:tcPr>
          <w:p w14:paraId="15CBCE45" w14:textId="77777777" w:rsidR="000631A2" w:rsidRPr="000973F2" w:rsidRDefault="000631A2" w:rsidP="00242876">
            <w:pPr>
              <w:tabs>
                <w:tab w:val="decimal" w:pos="301"/>
              </w:tabs>
              <w:spacing w:before="40" w:after="4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5.7</w:t>
            </w:r>
          </w:p>
        </w:tc>
        <w:tc>
          <w:tcPr>
            <w:tcW w:w="802" w:type="dxa"/>
            <w:noWrap/>
            <w:hideMark/>
          </w:tcPr>
          <w:p w14:paraId="46B4E470" w14:textId="6A854ED3" w:rsidR="000631A2" w:rsidRPr="000973F2" w:rsidRDefault="000631A2" w:rsidP="00242876">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$0</w:t>
            </w:r>
          </w:p>
        </w:tc>
        <w:tc>
          <w:tcPr>
            <w:tcW w:w="803" w:type="dxa"/>
            <w:noWrap/>
            <w:hideMark/>
          </w:tcPr>
          <w:p w14:paraId="24AC7F72" w14:textId="172DDCBB" w:rsidR="000631A2" w:rsidRPr="000973F2" w:rsidRDefault="000631A2" w:rsidP="00242876">
            <w:pPr>
              <w:tabs>
                <w:tab w:val="decimal" w:pos="541"/>
              </w:tabs>
              <w:spacing w:before="40" w:after="4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$4,529</w:t>
            </w:r>
          </w:p>
        </w:tc>
      </w:tr>
      <w:tr w:rsidR="00242876" w:rsidRPr="000973F2" w14:paraId="19D2E461" w14:textId="77777777" w:rsidTr="00242876">
        <w:trPr>
          <w:cantSplit/>
        </w:trPr>
        <w:tc>
          <w:tcPr>
            <w:cnfStyle w:val="001000000000" w:firstRow="0" w:lastRow="0" w:firstColumn="1" w:lastColumn="0" w:oddVBand="0" w:evenVBand="0" w:oddHBand="0" w:evenHBand="0" w:firstRowFirstColumn="0" w:firstRowLastColumn="0" w:lastRowFirstColumn="0" w:lastRowLastColumn="0"/>
            <w:tcW w:w="1425" w:type="dxa"/>
            <w:hideMark/>
          </w:tcPr>
          <w:p w14:paraId="493380DC" w14:textId="77777777" w:rsidR="000631A2" w:rsidRPr="000973F2" w:rsidRDefault="000631A2" w:rsidP="00242876">
            <w:pPr>
              <w:spacing w:before="40" w:after="4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Reporting</w:t>
            </w:r>
          </w:p>
        </w:tc>
        <w:tc>
          <w:tcPr>
            <w:tcW w:w="787" w:type="dxa"/>
            <w:noWrap/>
            <w:hideMark/>
          </w:tcPr>
          <w:p w14:paraId="57E34C5D" w14:textId="77777777" w:rsidR="000631A2" w:rsidRPr="000973F2" w:rsidRDefault="000631A2" w:rsidP="00242876">
            <w:pPr>
              <w:spacing w:before="40" w:after="4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0</w:t>
            </w:r>
          </w:p>
        </w:tc>
        <w:tc>
          <w:tcPr>
            <w:tcW w:w="788" w:type="dxa"/>
            <w:noWrap/>
            <w:hideMark/>
          </w:tcPr>
          <w:p w14:paraId="45F580D3" w14:textId="77777777" w:rsidR="000631A2" w:rsidRPr="000973F2" w:rsidRDefault="000631A2" w:rsidP="00242876">
            <w:pPr>
              <w:spacing w:before="40" w:after="4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0</w:t>
            </w:r>
          </w:p>
        </w:tc>
        <w:tc>
          <w:tcPr>
            <w:tcW w:w="787" w:type="dxa"/>
            <w:noWrap/>
            <w:hideMark/>
          </w:tcPr>
          <w:p w14:paraId="765BEDD9" w14:textId="77777777" w:rsidR="000631A2" w:rsidRPr="000973F2" w:rsidRDefault="000631A2" w:rsidP="00242876">
            <w:pPr>
              <w:spacing w:before="40" w:after="4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0</w:t>
            </w:r>
          </w:p>
        </w:tc>
        <w:tc>
          <w:tcPr>
            <w:tcW w:w="788" w:type="dxa"/>
            <w:noWrap/>
            <w:hideMark/>
          </w:tcPr>
          <w:p w14:paraId="3FC09DCF" w14:textId="77777777" w:rsidR="000631A2" w:rsidRPr="000973F2" w:rsidRDefault="000631A2" w:rsidP="00242876">
            <w:pPr>
              <w:spacing w:before="40" w:after="4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1.0</w:t>
            </w:r>
          </w:p>
        </w:tc>
        <w:tc>
          <w:tcPr>
            <w:tcW w:w="787" w:type="dxa"/>
            <w:noWrap/>
            <w:hideMark/>
          </w:tcPr>
          <w:p w14:paraId="5B72F154" w14:textId="77777777" w:rsidR="000631A2" w:rsidRPr="000973F2" w:rsidRDefault="000631A2" w:rsidP="00242876">
            <w:pPr>
              <w:spacing w:before="40" w:after="4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0</w:t>
            </w:r>
          </w:p>
        </w:tc>
        <w:tc>
          <w:tcPr>
            <w:tcW w:w="788" w:type="dxa"/>
            <w:noWrap/>
            <w:hideMark/>
          </w:tcPr>
          <w:p w14:paraId="63A10944" w14:textId="77777777" w:rsidR="000631A2" w:rsidRPr="000973F2" w:rsidRDefault="000631A2" w:rsidP="00242876">
            <w:pPr>
              <w:tabs>
                <w:tab w:val="decimal" w:pos="271"/>
              </w:tabs>
              <w:spacing w:before="40" w:after="4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10</w:t>
            </w:r>
          </w:p>
        </w:tc>
        <w:tc>
          <w:tcPr>
            <w:tcW w:w="787" w:type="dxa"/>
            <w:noWrap/>
            <w:hideMark/>
          </w:tcPr>
          <w:p w14:paraId="33ED692B" w14:textId="77777777" w:rsidR="000631A2" w:rsidRPr="000973F2" w:rsidRDefault="000631A2" w:rsidP="00242876">
            <w:pPr>
              <w:spacing w:before="40" w:after="4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0</w:t>
            </w:r>
          </w:p>
        </w:tc>
        <w:tc>
          <w:tcPr>
            <w:tcW w:w="788" w:type="dxa"/>
            <w:noWrap/>
            <w:hideMark/>
          </w:tcPr>
          <w:p w14:paraId="35E86CF0" w14:textId="77777777" w:rsidR="000631A2" w:rsidRPr="000973F2" w:rsidRDefault="000631A2" w:rsidP="00242876">
            <w:pPr>
              <w:tabs>
                <w:tab w:val="decimal" w:pos="301"/>
              </w:tabs>
              <w:spacing w:before="40" w:after="4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1.0</w:t>
            </w:r>
          </w:p>
        </w:tc>
        <w:tc>
          <w:tcPr>
            <w:tcW w:w="802" w:type="dxa"/>
            <w:noWrap/>
            <w:hideMark/>
          </w:tcPr>
          <w:p w14:paraId="30A8169E" w14:textId="5579B0DF" w:rsidR="000631A2" w:rsidRPr="000973F2" w:rsidRDefault="000631A2" w:rsidP="00242876">
            <w:pPr>
              <w:spacing w:before="40" w:after="4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$0</w:t>
            </w:r>
          </w:p>
        </w:tc>
        <w:tc>
          <w:tcPr>
            <w:tcW w:w="803" w:type="dxa"/>
            <w:noWrap/>
            <w:hideMark/>
          </w:tcPr>
          <w:p w14:paraId="3B7886A9" w14:textId="77777777" w:rsidR="000631A2" w:rsidRPr="000973F2" w:rsidRDefault="000631A2" w:rsidP="00242876">
            <w:pPr>
              <w:tabs>
                <w:tab w:val="decimal" w:pos="541"/>
              </w:tabs>
              <w:spacing w:before="40" w:after="4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$838</w:t>
            </w:r>
          </w:p>
        </w:tc>
      </w:tr>
      <w:tr w:rsidR="00242876" w:rsidRPr="000973F2" w14:paraId="345F0F3C" w14:textId="77777777" w:rsidTr="00242876">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1425" w:type="dxa"/>
            <w:noWrap/>
            <w:hideMark/>
          </w:tcPr>
          <w:p w14:paraId="4A900EB1" w14:textId="77777777" w:rsidR="000631A2" w:rsidRPr="000973F2" w:rsidRDefault="000631A2" w:rsidP="00242876">
            <w:pPr>
              <w:spacing w:before="40" w:after="40"/>
              <w:rPr>
                <w:rFonts w:ascii="Times New Roman" w:eastAsia="Times New Roman" w:hAnsi="Times New Roman" w:cs="Times New Roman"/>
                <w:b/>
                <w:bCs w:val="0"/>
                <w:sz w:val="18"/>
                <w:szCs w:val="18"/>
              </w:rPr>
            </w:pPr>
            <w:r w:rsidRPr="000973F2">
              <w:rPr>
                <w:rFonts w:ascii="Times New Roman" w:eastAsia="Times New Roman" w:hAnsi="Times New Roman" w:cs="Times New Roman"/>
                <w:b/>
                <w:sz w:val="18"/>
                <w:szCs w:val="18"/>
              </w:rPr>
              <w:t>Total</w:t>
            </w:r>
          </w:p>
        </w:tc>
        <w:tc>
          <w:tcPr>
            <w:tcW w:w="787" w:type="dxa"/>
            <w:noWrap/>
            <w:hideMark/>
          </w:tcPr>
          <w:p w14:paraId="139071A6" w14:textId="77777777" w:rsidR="000631A2" w:rsidRPr="000973F2" w:rsidRDefault="000631A2" w:rsidP="00242876">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18"/>
                <w:szCs w:val="18"/>
              </w:rPr>
            </w:pPr>
            <w:r w:rsidRPr="000973F2">
              <w:rPr>
                <w:rFonts w:ascii="Times New Roman" w:eastAsia="Times New Roman" w:hAnsi="Times New Roman" w:cs="Times New Roman"/>
                <w:b/>
                <w:bCs/>
                <w:sz w:val="18"/>
                <w:szCs w:val="18"/>
              </w:rPr>
              <w:t>0</w:t>
            </w:r>
          </w:p>
        </w:tc>
        <w:tc>
          <w:tcPr>
            <w:tcW w:w="788" w:type="dxa"/>
            <w:noWrap/>
            <w:hideMark/>
          </w:tcPr>
          <w:p w14:paraId="27649C83" w14:textId="77777777" w:rsidR="000631A2" w:rsidRPr="000973F2" w:rsidRDefault="000631A2" w:rsidP="00242876">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18"/>
                <w:szCs w:val="18"/>
              </w:rPr>
            </w:pPr>
            <w:r w:rsidRPr="000973F2">
              <w:rPr>
                <w:rFonts w:ascii="Times New Roman" w:eastAsia="Times New Roman" w:hAnsi="Times New Roman" w:cs="Times New Roman"/>
                <w:b/>
                <w:bCs/>
                <w:sz w:val="18"/>
                <w:szCs w:val="18"/>
              </w:rPr>
              <w:t>2</w:t>
            </w:r>
          </w:p>
        </w:tc>
        <w:tc>
          <w:tcPr>
            <w:tcW w:w="787" w:type="dxa"/>
            <w:noWrap/>
            <w:hideMark/>
          </w:tcPr>
          <w:p w14:paraId="59D511B3" w14:textId="77777777" w:rsidR="000631A2" w:rsidRPr="000973F2" w:rsidRDefault="000631A2" w:rsidP="00242876">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18"/>
                <w:szCs w:val="18"/>
              </w:rPr>
            </w:pPr>
            <w:r w:rsidRPr="000973F2">
              <w:rPr>
                <w:rFonts w:ascii="Times New Roman" w:eastAsia="Times New Roman" w:hAnsi="Times New Roman" w:cs="Times New Roman"/>
                <w:b/>
                <w:bCs/>
                <w:sz w:val="18"/>
                <w:szCs w:val="18"/>
              </w:rPr>
              <w:t>0</w:t>
            </w:r>
          </w:p>
        </w:tc>
        <w:tc>
          <w:tcPr>
            <w:tcW w:w="788" w:type="dxa"/>
            <w:noWrap/>
            <w:hideMark/>
          </w:tcPr>
          <w:p w14:paraId="5E14DE23" w14:textId="77777777" w:rsidR="000631A2" w:rsidRPr="000973F2" w:rsidRDefault="000631A2" w:rsidP="00242876">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18"/>
                <w:szCs w:val="18"/>
              </w:rPr>
            </w:pPr>
            <w:r w:rsidRPr="000973F2">
              <w:rPr>
                <w:rFonts w:ascii="Times New Roman" w:eastAsia="Times New Roman" w:hAnsi="Times New Roman" w:cs="Times New Roman"/>
                <w:b/>
                <w:bCs/>
                <w:sz w:val="18"/>
                <w:szCs w:val="18"/>
              </w:rPr>
              <w:t>5.4</w:t>
            </w:r>
          </w:p>
        </w:tc>
        <w:tc>
          <w:tcPr>
            <w:tcW w:w="787" w:type="dxa"/>
            <w:noWrap/>
            <w:hideMark/>
          </w:tcPr>
          <w:p w14:paraId="619AC3F2" w14:textId="77777777" w:rsidR="000631A2" w:rsidRPr="000973F2" w:rsidRDefault="000631A2" w:rsidP="00242876">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18"/>
                <w:szCs w:val="18"/>
              </w:rPr>
            </w:pPr>
            <w:r w:rsidRPr="000973F2">
              <w:rPr>
                <w:rFonts w:ascii="Times New Roman" w:eastAsia="Times New Roman" w:hAnsi="Times New Roman" w:cs="Times New Roman"/>
                <w:b/>
                <w:bCs/>
                <w:sz w:val="18"/>
                <w:szCs w:val="18"/>
              </w:rPr>
              <w:t>0</w:t>
            </w:r>
          </w:p>
        </w:tc>
        <w:tc>
          <w:tcPr>
            <w:tcW w:w="788" w:type="dxa"/>
            <w:noWrap/>
            <w:hideMark/>
          </w:tcPr>
          <w:p w14:paraId="095C15F3" w14:textId="77777777" w:rsidR="000631A2" w:rsidRPr="000973F2" w:rsidRDefault="000631A2" w:rsidP="00242876">
            <w:pPr>
              <w:tabs>
                <w:tab w:val="decimal" w:pos="271"/>
              </w:tabs>
              <w:spacing w:before="40" w:after="4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18"/>
                <w:szCs w:val="18"/>
              </w:rPr>
            </w:pPr>
            <w:r w:rsidRPr="000973F2">
              <w:rPr>
                <w:rFonts w:ascii="Times New Roman" w:eastAsia="Times New Roman" w:hAnsi="Times New Roman" w:cs="Times New Roman"/>
                <w:b/>
                <w:bCs/>
                <w:sz w:val="18"/>
                <w:szCs w:val="18"/>
              </w:rPr>
              <w:t>73</w:t>
            </w:r>
          </w:p>
        </w:tc>
        <w:tc>
          <w:tcPr>
            <w:tcW w:w="787" w:type="dxa"/>
            <w:noWrap/>
            <w:hideMark/>
          </w:tcPr>
          <w:p w14:paraId="2CC2C87F" w14:textId="77777777" w:rsidR="000631A2" w:rsidRPr="000973F2" w:rsidRDefault="000631A2" w:rsidP="00242876">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18"/>
                <w:szCs w:val="18"/>
              </w:rPr>
            </w:pPr>
            <w:r w:rsidRPr="000973F2">
              <w:rPr>
                <w:rFonts w:ascii="Times New Roman" w:eastAsia="Times New Roman" w:hAnsi="Times New Roman" w:cs="Times New Roman"/>
                <w:b/>
                <w:bCs/>
                <w:sz w:val="18"/>
                <w:szCs w:val="18"/>
              </w:rPr>
              <w:t>0</w:t>
            </w:r>
          </w:p>
        </w:tc>
        <w:tc>
          <w:tcPr>
            <w:tcW w:w="788" w:type="dxa"/>
            <w:noWrap/>
            <w:hideMark/>
          </w:tcPr>
          <w:p w14:paraId="479272F9" w14:textId="77777777" w:rsidR="000631A2" w:rsidRPr="000973F2" w:rsidRDefault="000631A2" w:rsidP="00242876">
            <w:pPr>
              <w:tabs>
                <w:tab w:val="decimal" w:pos="301"/>
              </w:tabs>
              <w:spacing w:before="40" w:after="4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18"/>
                <w:szCs w:val="18"/>
              </w:rPr>
            </w:pPr>
            <w:r w:rsidRPr="000973F2">
              <w:rPr>
                <w:rFonts w:ascii="Times New Roman" w:eastAsia="Times New Roman" w:hAnsi="Times New Roman" w:cs="Times New Roman"/>
                <w:b/>
                <w:bCs/>
                <w:sz w:val="18"/>
                <w:szCs w:val="18"/>
              </w:rPr>
              <w:t>7.2</w:t>
            </w:r>
          </w:p>
        </w:tc>
        <w:tc>
          <w:tcPr>
            <w:tcW w:w="802" w:type="dxa"/>
            <w:noWrap/>
            <w:hideMark/>
          </w:tcPr>
          <w:p w14:paraId="58519532" w14:textId="38834B08" w:rsidR="000631A2" w:rsidRPr="000973F2" w:rsidRDefault="000631A2" w:rsidP="00242876">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18"/>
                <w:szCs w:val="18"/>
              </w:rPr>
            </w:pPr>
            <w:r w:rsidRPr="000973F2">
              <w:rPr>
                <w:rFonts w:ascii="Times New Roman" w:eastAsia="Times New Roman" w:hAnsi="Times New Roman" w:cs="Times New Roman"/>
                <w:b/>
                <w:bCs/>
                <w:sz w:val="18"/>
                <w:szCs w:val="18"/>
              </w:rPr>
              <w:t>$0</w:t>
            </w:r>
          </w:p>
        </w:tc>
        <w:tc>
          <w:tcPr>
            <w:tcW w:w="803" w:type="dxa"/>
            <w:noWrap/>
            <w:hideMark/>
          </w:tcPr>
          <w:p w14:paraId="4CD577BB" w14:textId="77777777" w:rsidR="000631A2" w:rsidRPr="000973F2" w:rsidRDefault="000631A2" w:rsidP="00242876">
            <w:pPr>
              <w:tabs>
                <w:tab w:val="decimal" w:pos="541"/>
              </w:tabs>
              <w:spacing w:before="40" w:after="4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18"/>
                <w:szCs w:val="18"/>
              </w:rPr>
            </w:pPr>
            <w:r w:rsidRPr="000973F2">
              <w:rPr>
                <w:rFonts w:ascii="Times New Roman" w:eastAsia="Times New Roman" w:hAnsi="Times New Roman" w:cs="Times New Roman"/>
                <w:b/>
                <w:bCs/>
                <w:sz w:val="18"/>
                <w:szCs w:val="18"/>
              </w:rPr>
              <w:t>$6,169</w:t>
            </w:r>
          </w:p>
        </w:tc>
      </w:tr>
    </w:tbl>
    <w:p w14:paraId="2CA30D2D" w14:textId="77777777" w:rsidR="000631A2" w:rsidRPr="000973F2" w:rsidRDefault="000631A2" w:rsidP="00C00E4F">
      <w:pPr>
        <w:spacing w:line="240" w:lineRule="auto"/>
        <w:rPr>
          <w:rFonts w:ascii="Times New Roman" w:hAnsi="Times New Roman" w:cs="Times New Roman"/>
        </w:rPr>
      </w:pPr>
      <w:r w:rsidRPr="000973F2">
        <w:rPr>
          <w:rFonts w:ascii="Times New Roman" w:hAnsi="Times New Roman" w:cs="Times New Roman"/>
        </w:rPr>
        <w:br w:type="page"/>
      </w:r>
    </w:p>
    <w:p w14:paraId="063D323F" w14:textId="77777777" w:rsidR="000631A2" w:rsidRPr="000973F2" w:rsidRDefault="000631A2" w:rsidP="00CB700C">
      <w:pPr>
        <w:pStyle w:val="Heading2"/>
      </w:pPr>
      <w:r w:rsidRPr="000973F2">
        <w:t>Capital and O&amp;M Costs for Subpart O</w:t>
      </w:r>
    </w:p>
    <w:p w14:paraId="74BD4585" w14:textId="7FBD0153" w:rsidR="000631A2" w:rsidRPr="000973F2" w:rsidRDefault="009A2506" w:rsidP="00CB700C">
      <w:pPr>
        <w:pStyle w:val="BodyText"/>
      </w:pPr>
      <w:r w:rsidRPr="000973F2">
        <w:t xml:space="preserve">Facilities </w:t>
      </w:r>
      <w:r w:rsidR="000631A2" w:rsidRPr="000973F2">
        <w:t>will only incur O&amp;M costs associated with recordkeeping, as discussed in the Cost Appendix Introduction. No capital costs are expected.</w:t>
      </w:r>
    </w:p>
    <w:p w14:paraId="1C20E6B8" w14:textId="5D325C02" w:rsidR="000631A2" w:rsidRPr="000973F2" w:rsidRDefault="00E546CE" w:rsidP="00CB700C">
      <w:pPr>
        <w:pStyle w:val="Tabletitle"/>
        <w:rPr>
          <w:sz w:val="28"/>
          <w:szCs w:val="24"/>
        </w:rPr>
      </w:pPr>
      <w:r w:rsidRPr="000973F2">
        <w:t xml:space="preserve">Table </w:t>
      </w:r>
      <w:r w:rsidR="00CB700C" w:rsidRPr="000973F2">
        <w:t>O-</w:t>
      </w:r>
      <w:r w:rsidRPr="000973F2">
        <w:t xml:space="preserve">2. Capital and O&amp;M Costs </w:t>
      </w:r>
      <w:r w:rsidR="00B960CC" w:rsidRPr="000973F2">
        <w:t>–</w:t>
      </w:r>
      <w:r w:rsidRPr="000973F2">
        <w:t xml:space="preserve"> Subpart O</w:t>
      </w:r>
    </w:p>
    <w:tbl>
      <w:tblPr>
        <w:tblStyle w:val="PlainTable1"/>
        <w:tblW w:w="5000" w:type="pct"/>
        <w:jc w:val="left"/>
        <w:tblLayout w:type="fixed"/>
        <w:tblCellMar>
          <w:left w:w="115" w:type="dxa"/>
          <w:right w:w="115" w:type="dxa"/>
        </w:tblCellMar>
        <w:tblLook w:val="04A0" w:firstRow="1" w:lastRow="0" w:firstColumn="1" w:lastColumn="0" w:noHBand="0" w:noVBand="1"/>
      </w:tblPr>
      <w:tblGrid>
        <w:gridCol w:w="1835"/>
        <w:gridCol w:w="1292"/>
        <w:gridCol w:w="1293"/>
        <w:gridCol w:w="1292"/>
        <w:gridCol w:w="1303"/>
        <w:gridCol w:w="1282"/>
        <w:gridCol w:w="1293"/>
      </w:tblGrid>
      <w:tr w:rsidR="00FF36E8" w:rsidRPr="000973F2" w14:paraId="41330300" w14:textId="77777777" w:rsidTr="00CB700C">
        <w:trPr>
          <w:cnfStyle w:val="100000000000" w:firstRow="1" w:lastRow="0" w:firstColumn="0" w:lastColumn="0" w:oddVBand="0" w:evenVBand="0" w:oddHBand="0" w:evenHBand="0" w:firstRowFirstColumn="0" w:firstRowLastColumn="0" w:lastRowFirstColumn="0" w:lastRowLastColumn="0"/>
          <w:cantSplit/>
          <w:jc w:val="left"/>
        </w:trPr>
        <w:tc>
          <w:tcPr>
            <w:cnfStyle w:val="001000000000" w:firstRow="0" w:lastRow="0" w:firstColumn="1" w:lastColumn="0" w:oddVBand="0" w:evenVBand="0" w:oddHBand="0" w:evenHBand="0" w:firstRowFirstColumn="0" w:firstRowLastColumn="0" w:lastRowFirstColumn="0" w:lastRowLastColumn="0"/>
            <w:tcW w:w="1785" w:type="dxa"/>
            <w:vMerge w:val="restart"/>
            <w:noWrap/>
            <w:vAlign w:val="top"/>
            <w:hideMark/>
          </w:tcPr>
          <w:p w14:paraId="3D656E15" w14:textId="546EE68E" w:rsidR="00FF36E8" w:rsidRPr="000973F2" w:rsidRDefault="00FF36E8" w:rsidP="00CB700C">
            <w:pPr>
              <w:spacing w:before="40" w:after="40"/>
              <w:rPr>
                <w:rFonts w:ascii="Times New Roman" w:eastAsia="Times New Roman" w:hAnsi="Times New Roman" w:cs="Times New Roman"/>
                <w:bCs w:val="0"/>
                <w:sz w:val="18"/>
                <w:szCs w:val="18"/>
              </w:rPr>
            </w:pPr>
            <w:r w:rsidRPr="000973F2">
              <w:rPr>
                <w:rFonts w:ascii="Times New Roman" w:eastAsia="Times New Roman" w:hAnsi="Times New Roman" w:cs="Times New Roman"/>
                <w:sz w:val="18"/>
                <w:szCs w:val="18"/>
              </w:rPr>
              <w:t>Activity</w:t>
            </w:r>
          </w:p>
        </w:tc>
        <w:tc>
          <w:tcPr>
            <w:tcW w:w="5040" w:type="dxa"/>
            <w:gridSpan w:val="4"/>
            <w:noWrap/>
            <w:vAlign w:val="top"/>
            <w:hideMark/>
          </w:tcPr>
          <w:p w14:paraId="773CF637" w14:textId="77777777" w:rsidR="00FF36E8" w:rsidRPr="000973F2" w:rsidRDefault="00FF36E8" w:rsidP="00CB700C">
            <w:pPr>
              <w:spacing w:before="40" w:after="40"/>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Cs w:val="0"/>
                <w:sz w:val="18"/>
                <w:szCs w:val="18"/>
              </w:rPr>
            </w:pPr>
            <w:r w:rsidRPr="000973F2">
              <w:rPr>
                <w:rFonts w:ascii="Times New Roman" w:eastAsia="Times New Roman" w:hAnsi="Times New Roman" w:cs="Times New Roman"/>
                <w:bCs w:val="0"/>
                <w:sz w:val="18"/>
                <w:szCs w:val="18"/>
              </w:rPr>
              <w:t>Cost Categories</w:t>
            </w:r>
          </w:p>
        </w:tc>
        <w:tc>
          <w:tcPr>
            <w:tcW w:w="2505" w:type="dxa"/>
            <w:gridSpan w:val="2"/>
            <w:vAlign w:val="top"/>
            <w:hideMark/>
          </w:tcPr>
          <w:p w14:paraId="78BE8CF8" w14:textId="77777777" w:rsidR="00FF36E8" w:rsidRPr="000973F2" w:rsidRDefault="00FF36E8" w:rsidP="00CB700C">
            <w:pPr>
              <w:spacing w:before="40" w:after="40"/>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Cs w:val="0"/>
                <w:sz w:val="18"/>
                <w:szCs w:val="18"/>
              </w:rPr>
            </w:pPr>
            <w:r w:rsidRPr="000973F2">
              <w:rPr>
                <w:rFonts w:ascii="Times New Roman" w:eastAsia="Times New Roman" w:hAnsi="Times New Roman" w:cs="Times New Roman"/>
                <w:bCs w:val="0"/>
                <w:sz w:val="18"/>
                <w:szCs w:val="18"/>
              </w:rPr>
              <w:t>Total Capital and O&amp;M Cost per Year per Facility (2017$)</w:t>
            </w:r>
          </w:p>
        </w:tc>
      </w:tr>
      <w:tr w:rsidR="00CB700C" w:rsidRPr="000973F2" w14:paraId="0296DF6A" w14:textId="77777777" w:rsidTr="00CB700C">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1785" w:type="dxa"/>
            <w:vMerge/>
            <w:noWrap/>
            <w:hideMark/>
          </w:tcPr>
          <w:p w14:paraId="5D06E90C" w14:textId="14414CA0" w:rsidR="00FF36E8" w:rsidRPr="000973F2" w:rsidRDefault="00FF36E8" w:rsidP="00CB700C">
            <w:pPr>
              <w:spacing w:before="40" w:after="40"/>
              <w:jc w:val="center"/>
              <w:rPr>
                <w:rFonts w:ascii="Times New Roman" w:eastAsia="Times New Roman" w:hAnsi="Times New Roman" w:cs="Times New Roman"/>
                <w:b/>
                <w:bCs w:val="0"/>
                <w:sz w:val="18"/>
                <w:szCs w:val="18"/>
              </w:rPr>
            </w:pPr>
          </w:p>
        </w:tc>
        <w:tc>
          <w:tcPr>
            <w:tcW w:w="1257" w:type="dxa"/>
            <w:hideMark/>
          </w:tcPr>
          <w:p w14:paraId="6D27473A" w14:textId="77777777" w:rsidR="00FF36E8" w:rsidRPr="000973F2" w:rsidRDefault="00FF36E8" w:rsidP="00CB700C">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18"/>
                <w:szCs w:val="18"/>
              </w:rPr>
            </w:pPr>
            <w:r w:rsidRPr="000973F2">
              <w:rPr>
                <w:rFonts w:ascii="Times New Roman" w:eastAsia="Times New Roman" w:hAnsi="Times New Roman" w:cs="Times New Roman"/>
                <w:b/>
                <w:bCs/>
                <w:sz w:val="18"/>
                <w:szCs w:val="18"/>
              </w:rPr>
              <w:t>Capital Cost (2017$)</w:t>
            </w:r>
          </w:p>
        </w:tc>
        <w:tc>
          <w:tcPr>
            <w:tcW w:w="1258" w:type="dxa"/>
            <w:hideMark/>
          </w:tcPr>
          <w:p w14:paraId="16E45C0E" w14:textId="77777777" w:rsidR="00FF36E8" w:rsidRPr="000973F2" w:rsidRDefault="00FF36E8" w:rsidP="00CB700C">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18"/>
                <w:szCs w:val="18"/>
              </w:rPr>
            </w:pPr>
            <w:r w:rsidRPr="000973F2">
              <w:rPr>
                <w:rFonts w:ascii="Times New Roman" w:eastAsia="Times New Roman" w:hAnsi="Times New Roman" w:cs="Times New Roman"/>
                <w:b/>
                <w:bCs/>
                <w:sz w:val="18"/>
                <w:szCs w:val="18"/>
              </w:rPr>
              <w:t>Equipment Lifetime</w:t>
            </w:r>
          </w:p>
        </w:tc>
        <w:tc>
          <w:tcPr>
            <w:tcW w:w="1257" w:type="dxa"/>
            <w:hideMark/>
          </w:tcPr>
          <w:p w14:paraId="51AC52C9" w14:textId="77777777" w:rsidR="00FF36E8" w:rsidRPr="000973F2" w:rsidRDefault="00FF36E8" w:rsidP="00CB700C">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18"/>
                <w:szCs w:val="18"/>
              </w:rPr>
            </w:pPr>
            <w:r w:rsidRPr="000973F2">
              <w:rPr>
                <w:rFonts w:ascii="Times New Roman" w:eastAsia="Times New Roman" w:hAnsi="Times New Roman" w:cs="Times New Roman"/>
                <w:b/>
                <w:bCs/>
                <w:sz w:val="18"/>
                <w:szCs w:val="18"/>
              </w:rPr>
              <w:t>Annualized Capital Cost (2017$/year)</w:t>
            </w:r>
          </w:p>
        </w:tc>
        <w:tc>
          <w:tcPr>
            <w:tcW w:w="1268" w:type="dxa"/>
            <w:hideMark/>
          </w:tcPr>
          <w:p w14:paraId="5AF0D0B8" w14:textId="77777777" w:rsidR="00FF36E8" w:rsidRPr="000973F2" w:rsidRDefault="00FF36E8" w:rsidP="00CB700C">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18"/>
                <w:szCs w:val="18"/>
              </w:rPr>
            </w:pPr>
            <w:r w:rsidRPr="000973F2">
              <w:rPr>
                <w:rFonts w:ascii="Times New Roman" w:eastAsia="Times New Roman" w:hAnsi="Times New Roman" w:cs="Times New Roman"/>
                <w:b/>
                <w:bCs/>
                <w:sz w:val="18"/>
                <w:szCs w:val="18"/>
              </w:rPr>
              <w:t>O&amp;M Costs (2017$/year)</w:t>
            </w:r>
          </w:p>
        </w:tc>
        <w:tc>
          <w:tcPr>
            <w:tcW w:w="1247" w:type="dxa"/>
            <w:hideMark/>
          </w:tcPr>
          <w:p w14:paraId="63840BAB" w14:textId="77777777" w:rsidR="00FF36E8" w:rsidRPr="000973F2" w:rsidRDefault="00FF36E8" w:rsidP="00CB700C">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18"/>
                <w:szCs w:val="18"/>
              </w:rPr>
            </w:pPr>
            <w:r w:rsidRPr="000973F2">
              <w:rPr>
                <w:rFonts w:ascii="Times New Roman" w:eastAsia="Times New Roman" w:hAnsi="Times New Roman" w:cs="Times New Roman"/>
                <w:b/>
                <w:bCs/>
                <w:sz w:val="18"/>
                <w:szCs w:val="18"/>
              </w:rPr>
              <w:t>Initial Year</w:t>
            </w:r>
          </w:p>
        </w:tc>
        <w:tc>
          <w:tcPr>
            <w:tcW w:w="1258" w:type="dxa"/>
            <w:hideMark/>
          </w:tcPr>
          <w:p w14:paraId="5BC07D61" w14:textId="77777777" w:rsidR="00FF36E8" w:rsidRPr="000973F2" w:rsidRDefault="00FF36E8" w:rsidP="00CB700C">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18"/>
                <w:szCs w:val="18"/>
              </w:rPr>
            </w:pPr>
            <w:r w:rsidRPr="000973F2">
              <w:rPr>
                <w:rFonts w:ascii="Times New Roman" w:eastAsia="Times New Roman" w:hAnsi="Times New Roman" w:cs="Times New Roman"/>
                <w:b/>
                <w:bCs/>
                <w:sz w:val="18"/>
                <w:szCs w:val="18"/>
              </w:rPr>
              <w:t>Subseq. Years</w:t>
            </w:r>
          </w:p>
        </w:tc>
      </w:tr>
      <w:tr w:rsidR="00CB700C" w:rsidRPr="000973F2" w14:paraId="10EB885D" w14:textId="77777777" w:rsidTr="00CB700C">
        <w:trPr>
          <w:cantSplit/>
        </w:trPr>
        <w:tc>
          <w:tcPr>
            <w:cnfStyle w:val="001000000000" w:firstRow="0" w:lastRow="0" w:firstColumn="1" w:lastColumn="0" w:oddVBand="0" w:evenVBand="0" w:oddHBand="0" w:evenHBand="0" w:firstRowFirstColumn="0" w:firstRowLastColumn="0" w:lastRowFirstColumn="0" w:lastRowLastColumn="0"/>
            <w:tcW w:w="1785" w:type="dxa"/>
            <w:tcMar>
              <w:right w:w="14" w:type="dxa"/>
            </w:tcMar>
            <w:hideMark/>
          </w:tcPr>
          <w:p w14:paraId="71058B92" w14:textId="77777777" w:rsidR="003E005F" w:rsidRPr="000973F2" w:rsidRDefault="003E005F" w:rsidP="00CB700C">
            <w:pPr>
              <w:spacing w:before="40" w:after="4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Equipment (selection, purchase, installation)</w:t>
            </w:r>
          </w:p>
        </w:tc>
        <w:tc>
          <w:tcPr>
            <w:tcW w:w="1257" w:type="dxa"/>
            <w:noWrap/>
            <w:hideMark/>
          </w:tcPr>
          <w:p w14:paraId="7CC8445E" w14:textId="2A95648B" w:rsidR="003E005F" w:rsidRPr="000973F2" w:rsidRDefault="00CB700C" w:rsidP="00CB700C">
            <w:pPr>
              <w:spacing w:before="40" w:after="4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w:t>
            </w:r>
          </w:p>
        </w:tc>
        <w:tc>
          <w:tcPr>
            <w:tcW w:w="1258" w:type="dxa"/>
            <w:noWrap/>
          </w:tcPr>
          <w:p w14:paraId="29F3C34F" w14:textId="282BB201" w:rsidR="003E005F" w:rsidRPr="000973F2" w:rsidRDefault="003E005F" w:rsidP="00CB700C">
            <w:pPr>
              <w:spacing w:before="40" w:after="4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p>
        </w:tc>
        <w:tc>
          <w:tcPr>
            <w:tcW w:w="1257" w:type="dxa"/>
            <w:noWrap/>
            <w:hideMark/>
          </w:tcPr>
          <w:p w14:paraId="07987C9A" w14:textId="47A36474" w:rsidR="003E005F" w:rsidRPr="000973F2" w:rsidRDefault="00CB700C" w:rsidP="00CB700C">
            <w:pPr>
              <w:spacing w:before="40" w:after="4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w:t>
            </w:r>
          </w:p>
        </w:tc>
        <w:tc>
          <w:tcPr>
            <w:tcW w:w="1268" w:type="dxa"/>
            <w:noWrap/>
            <w:hideMark/>
          </w:tcPr>
          <w:p w14:paraId="7FF0DDAF" w14:textId="70B3C355" w:rsidR="003E005F" w:rsidRPr="000973F2" w:rsidRDefault="00CB700C" w:rsidP="00CB700C">
            <w:pPr>
              <w:spacing w:before="40" w:after="4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w:t>
            </w:r>
          </w:p>
        </w:tc>
        <w:tc>
          <w:tcPr>
            <w:tcW w:w="1247" w:type="dxa"/>
            <w:noWrap/>
            <w:hideMark/>
          </w:tcPr>
          <w:p w14:paraId="56757630" w14:textId="747C136D" w:rsidR="003E005F" w:rsidRPr="000973F2" w:rsidRDefault="00CB700C" w:rsidP="00CB700C">
            <w:pPr>
              <w:spacing w:before="40" w:after="4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w:t>
            </w:r>
          </w:p>
        </w:tc>
        <w:tc>
          <w:tcPr>
            <w:tcW w:w="1258" w:type="dxa"/>
            <w:noWrap/>
            <w:hideMark/>
          </w:tcPr>
          <w:p w14:paraId="7343F3C4" w14:textId="0CC0AC31" w:rsidR="003E005F" w:rsidRPr="000973F2" w:rsidRDefault="00CB700C" w:rsidP="00CB700C">
            <w:pPr>
              <w:spacing w:before="40" w:after="4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w:t>
            </w:r>
          </w:p>
        </w:tc>
      </w:tr>
      <w:tr w:rsidR="00CB700C" w:rsidRPr="000973F2" w14:paraId="456990BF" w14:textId="77777777" w:rsidTr="00CB700C">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1785" w:type="dxa"/>
            <w:tcMar>
              <w:right w:w="14" w:type="dxa"/>
            </w:tcMar>
            <w:hideMark/>
          </w:tcPr>
          <w:p w14:paraId="36DB0977" w14:textId="77777777" w:rsidR="003E005F" w:rsidRPr="000973F2" w:rsidRDefault="003E005F" w:rsidP="00CB700C">
            <w:pPr>
              <w:spacing w:before="40" w:after="4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Performance testing</w:t>
            </w:r>
          </w:p>
        </w:tc>
        <w:tc>
          <w:tcPr>
            <w:tcW w:w="1257" w:type="dxa"/>
            <w:noWrap/>
            <w:hideMark/>
          </w:tcPr>
          <w:p w14:paraId="0C06DE1E" w14:textId="7FA3B337" w:rsidR="003E005F" w:rsidRPr="000973F2" w:rsidRDefault="00CB700C" w:rsidP="00CB700C">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w:t>
            </w:r>
          </w:p>
        </w:tc>
        <w:tc>
          <w:tcPr>
            <w:tcW w:w="1258" w:type="dxa"/>
            <w:noWrap/>
          </w:tcPr>
          <w:p w14:paraId="7E83EE1A" w14:textId="2F58979F" w:rsidR="003E005F" w:rsidRPr="000973F2" w:rsidRDefault="003E005F" w:rsidP="00CB700C">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p>
        </w:tc>
        <w:tc>
          <w:tcPr>
            <w:tcW w:w="1257" w:type="dxa"/>
            <w:noWrap/>
            <w:hideMark/>
          </w:tcPr>
          <w:p w14:paraId="2652470B" w14:textId="362CEA96" w:rsidR="003E005F" w:rsidRPr="000973F2" w:rsidRDefault="00CB700C" w:rsidP="00CB700C">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w:t>
            </w:r>
          </w:p>
        </w:tc>
        <w:tc>
          <w:tcPr>
            <w:tcW w:w="1268" w:type="dxa"/>
            <w:noWrap/>
            <w:hideMark/>
          </w:tcPr>
          <w:p w14:paraId="3D7C448B" w14:textId="7D19704C" w:rsidR="003E005F" w:rsidRPr="000973F2" w:rsidRDefault="00CB700C" w:rsidP="00CB700C">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w:t>
            </w:r>
          </w:p>
        </w:tc>
        <w:tc>
          <w:tcPr>
            <w:tcW w:w="1247" w:type="dxa"/>
            <w:noWrap/>
            <w:hideMark/>
          </w:tcPr>
          <w:p w14:paraId="635E5047" w14:textId="22FE1D54" w:rsidR="003E005F" w:rsidRPr="000973F2" w:rsidRDefault="00CB700C" w:rsidP="00CB700C">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w:t>
            </w:r>
          </w:p>
        </w:tc>
        <w:tc>
          <w:tcPr>
            <w:tcW w:w="1258" w:type="dxa"/>
            <w:noWrap/>
            <w:hideMark/>
          </w:tcPr>
          <w:p w14:paraId="343A8E15" w14:textId="6E457380" w:rsidR="003E005F" w:rsidRPr="000973F2" w:rsidRDefault="00CB700C" w:rsidP="00CB700C">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w:t>
            </w:r>
          </w:p>
        </w:tc>
      </w:tr>
      <w:tr w:rsidR="00CB700C" w:rsidRPr="000973F2" w14:paraId="30BB2BB1" w14:textId="77777777" w:rsidTr="00CB700C">
        <w:trPr>
          <w:cantSplit/>
        </w:trPr>
        <w:tc>
          <w:tcPr>
            <w:cnfStyle w:val="001000000000" w:firstRow="0" w:lastRow="0" w:firstColumn="1" w:lastColumn="0" w:oddVBand="0" w:evenVBand="0" w:oddHBand="0" w:evenHBand="0" w:firstRowFirstColumn="0" w:firstRowLastColumn="0" w:lastRowFirstColumn="0" w:lastRowLastColumn="0"/>
            <w:tcW w:w="1785" w:type="dxa"/>
            <w:tcMar>
              <w:right w:w="14" w:type="dxa"/>
            </w:tcMar>
            <w:hideMark/>
          </w:tcPr>
          <w:p w14:paraId="7DE2D669" w14:textId="77777777" w:rsidR="000631A2" w:rsidRPr="000973F2" w:rsidRDefault="000631A2" w:rsidP="00CB700C">
            <w:pPr>
              <w:spacing w:before="40" w:after="4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Recordkeeping</w:t>
            </w:r>
          </w:p>
        </w:tc>
        <w:tc>
          <w:tcPr>
            <w:tcW w:w="1257" w:type="dxa"/>
            <w:noWrap/>
            <w:hideMark/>
          </w:tcPr>
          <w:p w14:paraId="024870FC" w14:textId="77777777" w:rsidR="000631A2" w:rsidRPr="000973F2" w:rsidRDefault="000631A2" w:rsidP="00CB700C">
            <w:pPr>
              <w:spacing w:before="40" w:after="4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$0</w:t>
            </w:r>
          </w:p>
        </w:tc>
        <w:tc>
          <w:tcPr>
            <w:tcW w:w="1258" w:type="dxa"/>
            <w:noWrap/>
          </w:tcPr>
          <w:p w14:paraId="30232A52" w14:textId="77777777" w:rsidR="000631A2" w:rsidRPr="000973F2" w:rsidRDefault="000631A2" w:rsidP="00CB700C">
            <w:pPr>
              <w:spacing w:before="40" w:after="4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p>
        </w:tc>
        <w:tc>
          <w:tcPr>
            <w:tcW w:w="1257" w:type="dxa"/>
            <w:noWrap/>
            <w:hideMark/>
          </w:tcPr>
          <w:p w14:paraId="501B5D2A" w14:textId="77777777" w:rsidR="000631A2" w:rsidRPr="000973F2" w:rsidRDefault="000631A2" w:rsidP="00CB700C">
            <w:pPr>
              <w:spacing w:before="40" w:after="4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$0</w:t>
            </w:r>
          </w:p>
        </w:tc>
        <w:tc>
          <w:tcPr>
            <w:tcW w:w="1268" w:type="dxa"/>
            <w:noWrap/>
            <w:hideMark/>
          </w:tcPr>
          <w:p w14:paraId="44D1E8C7" w14:textId="77777777" w:rsidR="000631A2" w:rsidRPr="000973F2" w:rsidRDefault="000631A2" w:rsidP="00CB700C">
            <w:pPr>
              <w:spacing w:before="40" w:after="4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$50</w:t>
            </w:r>
          </w:p>
        </w:tc>
        <w:tc>
          <w:tcPr>
            <w:tcW w:w="1247" w:type="dxa"/>
            <w:noWrap/>
            <w:hideMark/>
          </w:tcPr>
          <w:p w14:paraId="43DBEFF0" w14:textId="77777777" w:rsidR="000631A2" w:rsidRPr="000973F2" w:rsidRDefault="000631A2" w:rsidP="00CB700C">
            <w:pPr>
              <w:spacing w:before="40" w:after="4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$0</w:t>
            </w:r>
          </w:p>
        </w:tc>
        <w:tc>
          <w:tcPr>
            <w:tcW w:w="1258" w:type="dxa"/>
            <w:noWrap/>
            <w:hideMark/>
          </w:tcPr>
          <w:p w14:paraId="67909543" w14:textId="77777777" w:rsidR="000631A2" w:rsidRPr="000973F2" w:rsidRDefault="000631A2" w:rsidP="00CB700C">
            <w:pPr>
              <w:spacing w:before="40" w:after="4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$50</w:t>
            </w:r>
          </w:p>
        </w:tc>
      </w:tr>
      <w:tr w:rsidR="00CB700C" w:rsidRPr="000973F2" w14:paraId="2CD78AA4" w14:textId="77777777" w:rsidTr="00CB700C">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1785" w:type="dxa"/>
            <w:tcMar>
              <w:right w:w="14" w:type="dxa"/>
            </w:tcMar>
            <w:hideMark/>
          </w:tcPr>
          <w:p w14:paraId="178804E9" w14:textId="77777777" w:rsidR="003E005F" w:rsidRPr="000973F2" w:rsidRDefault="003E005F" w:rsidP="00CB700C">
            <w:pPr>
              <w:spacing w:before="40" w:after="4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Travel</w:t>
            </w:r>
          </w:p>
        </w:tc>
        <w:tc>
          <w:tcPr>
            <w:tcW w:w="1257" w:type="dxa"/>
            <w:noWrap/>
            <w:hideMark/>
          </w:tcPr>
          <w:p w14:paraId="58312FCA" w14:textId="624C0108" w:rsidR="003E005F" w:rsidRPr="000973F2" w:rsidRDefault="00CB700C" w:rsidP="00CB700C">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w:t>
            </w:r>
          </w:p>
        </w:tc>
        <w:tc>
          <w:tcPr>
            <w:tcW w:w="1258" w:type="dxa"/>
            <w:noWrap/>
          </w:tcPr>
          <w:p w14:paraId="72034DB8" w14:textId="74BD7EA2" w:rsidR="003E005F" w:rsidRPr="000973F2" w:rsidRDefault="003E005F" w:rsidP="00CB700C">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p>
        </w:tc>
        <w:tc>
          <w:tcPr>
            <w:tcW w:w="1257" w:type="dxa"/>
            <w:noWrap/>
            <w:hideMark/>
          </w:tcPr>
          <w:p w14:paraId="03C976EC" w14:textId="122FEB20" w:rsidR="003E005F" w:rsidRPr="000973F2" w:rsidRDefault="00CB700C" w:rsidP="00CB700C">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w:t>
            </w:r>
          </w:p>
        </w:tc>
        <w:tc>
          <w:tcPr>
            <w:tcW w:w="1268" w:type="dxa"/>
            <w:noWrap/>
            <w:hideMark/>
          </w:tcPr>
          <w:p w14:paraId="62E3DE93" w14:textId="084187A7" w:rsidR="003E005F" w:rsidRPr="000973F2" w:rsidRDefault="00CB700C" w:rsidP="00CB700C">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w:t>
            </w:r>
          </w:p>
        </w:tc>
        <w:tc>
          <w:tcPr>
            <w:tcW w:w="1247" w:type="dxa"/>
            <w:noWrap/>
            <w:hideMark/>
          </w:tcPr>
          <w:p w14:paraId="5ADE9900" w14:textId="2766E3C5" w:rsidR="003E005F" w:rsidRPr="000973F2" w:rsidRDefault="00CB700C" w:rsidP="00CB700C">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w:t>
            </w:r>
          </w:p>
        </w:tc>
        <w:tc>
          <w:tcPr>
            <w:tcW w:w="1258" w:type="dxa"/>
            <w:noWrap/>
            <w:hideMark/>
          </w:tcPr>
          <w:p w14:paraId="28A0688C" w14:textId="027F0D8C" w:rsidR="003E005F" w:rsidRPr="000973F2" w:rsidRDefault="00CB700C" w:rsidP="00CB700C">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w:t>
            </w:r>
          </w:p>
        </w:tc>
      </w:tr>
      <w:tr w:rsidR="00CB700C" w:rsidRPr="000973F2" w14:paraId="33E86D9D" w14:textId="77777777" w:rsidTr="00CB700C">
        <w:trPr>
          <w:cantSplit/>
        </w:trPr>
        <w:tc>
          <w:tcPr>
            <w:cnfStyle w:val="001000000000" w:firstRow="0" w:lastRow="0" w:firstColumn="1" w:lastColumn="0" w:oddVBand="0" w:evenVBand="0" w:oddHBand="0" w:evenHBand="0" w:firstRowFirstColumn="0" w:firstRowLastColumn="0" w:lastRowFirstColumn="0" w:lastRowLastColumn="0"/>
            <w:tcW w:w="1785" w:type="dxa"/>
            <w:tcMar>
              <w:right w:w="14" w:type="dxa"/>
            </w:tcMar>
            <w:hideMark/>
          </w:tcPr>
          <w:p w14:paraId="63EE8FDD" w14:textId="7CD07255" w:rsidR="003E005F" w:rsidRPr="000973F2" w:rsidRDefault="003E005F" w:rsidP="00CB700C">
            <w:pPr>
              <w:spacing w:before="40" w:after="4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Sampling and Analysis Costs</w:t>
            </w:r>
          </w:p>
        </w:tc>
        <w:tc>
          <w:tcPr>
            <w:tcW w:w="1257" w:type="dxa"/>
            <w:noWrap/>
            <w:hideMark/>
          </w:tcPr>
          <w:p w14:paraId="52120CC4" w14:textId="6D2D8CC6" w:rsidR="003E005F" w:rsidRPr="000973F2" w:rsidRDefault="00CB700C" w:rsidP="00CB700C">
            <w:pPr>
              <w:spacing w:before="40" w:after="4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w:t>
            </w:r>
          </w:p>
        </w:tc>
        <w:tc>
          <w:tcPr>
            <w:tcW w:w="1258" w:type="dxa"/>
            <w:noWrap/>
          </w:tcPr>
          <w:p w14:paraId="1980A23B" w14:textId="24AFFED2" w:rsidR="003E005F" w:rsidRPr="000973F2" w:rsidRDefault="003E005F" w:rsidP="00CB700C">
            <w:pPr>
              <w:spacing w:before="40" w:after="4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p>
        </w:tc>
        <w:tc>
          <w:tcPr>
            <w:tcW w:w="1257" w:type="dxa"/>
            <w:noWrap/>
            <w:hideMark/>
          </w:tcPr>
          <w:p w14:paraId="76DC81E7" w14:textId="1A704697" w:rsidR="003E005F" w:rsidRPr="000973F2" w:rsidRDefault="00CB700C" w:rsidP="00CB700C">
            <w:pPr>
              <w:spacing w:before="40" w:after="4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w:t>
            </w:r>
          </w:p>
        </w:tc>
        <w:tc>
          <w:tcPr>
            <w:tcW w:w="1268" w:type="dxa"/>
            <w:noWrap/>
            <w:hideMark/>
          </w:tcPr>
          <w:p w14:paraId="04707E45" w14:textId="15A0A407" w:rsidR="003E005F" w:rsidRPr="000973F2" w:rsidRDefault="00CB700C" w:rsidP="00CB700C">
            <w:pPr>
              <w:spacing w:before="40" w:after="4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w:t>
            </w:r>
          </w:p>
        </w:tc>
        <w:tc>
          <w:tcPr>
            <w:tcW w:w="1247" w:type="dxa"/>
            <w:noWrap/>
            <w:hideMark/>
          </w:tcPr>
          <w:p w14:paraId="6AA8E093" w14:textId="6B11665B" w:rsidR="003E005F" w:rsidRPr="000973F2" w:rsidRDefault="00CB700C" w:rsidP="00CB700C">
            <w:pPr>
              <w:spacing w:before="40" w:after="4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w:t>
            </w:r>
          </w:p>
        </w:tc>
        <w:tc>
          <w:tcPr>
            <w:tcW w:w="1258" w:type="dxa"/>
            <w:noWrap/>
            <w:hideMark/>
          </w:tcPr>
          <w:p w14:paraId="6BBC5A7D" w14:textId="67976F92" w:rsidR="003E005F" w:rsidRPr="000973F2" w:rsidRDefault="00CB700C" w:rsidP="00CB700C">
            <w:pPr>
              <w:spacing w:before="40" w:after="4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w:t>
            </w:r>
          </w:p>
        </w:tc>
      </w:tr>
      <w:tr w:rsidR="00CB700C" w:rsidRPr="000973F2" w14:paraId="2A255EFA" w14:textId="77777777" w:rsidTr="00CB700C">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1785" w:type="dxa"/>
            <w:tcMar>
              <w:right w:w="14" w:type="dxa"/>
            </w:tcMar>
            <w:hideMark/>
          </w:tcPr>
          <w:p w14:paraId="76C1F1C7" w14:textId="77777777" w:rsidR="000631A2" w:rsidRPr="000973F2" w:rsidRDefault="000631A2" w:rsidP="00CB700C">
            <w:pPr>
              <w:spacing w:before="40" w:after="40"/>
              <w:rPr>
                <w:rFonts w:ascii="Times New Roman" w:eastAsia="Times New Roman" w:hAnsi="Times New Roman" w:cs="Times New Roman"/>
                <w:b/>
                <w:bCs w:val="0"/>
                <w:sz w:val="18"/>
                <w:szCs w:val="18"/>
              </w:rPr>
            </w:pPr>
            <w:r w:rsidRPr="000973F2">
              <w:rPr>
                <w:rFonts w:ascii="Times New Roman" w:eastAsia="Times New Roman" w:hAnsi="Times New Roman" w:cs="Times New Roman"/>
                <w:b/>
                <w:sz w:val="18"/>
                <w:szCs w:val="18"/>
              </w:rPr>
              <w:t xml:space="preserve">Total </w:t>
            </w:r>
          </w:p>
        </w:tc>
        <w:tc>
          <w:tcPr>
            <w:tcW w:w="1257" w:type="dxa"/>
            <w:noWrap/>
            <w:hideMark/>
          </w:tcPr>
          <w:p w14:paraId="09656605" w14:textId="77777777" w:rsidR="000631A2" w:rsidRPr="000973F2" w:rsidRDefault="000631A2" w:rsidP="00CB700C">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$0</w:t>
            </w:r>
          </w:p>
        </w:tc>
        <w:tc>
          <w:tcPr>
            <w:tcW w:w="1258" w:type="dxa"/>
            <w:noWrap/>
            <w:hideMark/>
          </w:tcPr>
          <w:p w14:paraId="120771B6" w14:textId="381BCFF1" w:rsidR="000631A2" w:rsidRPr="000973F2" w:rsidRDefault="000631A2" w:rsidP="00CB700C">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p>
        </w:tc>
        <w:tc>
          <w:tcPr>
            <w:tcW w:w="1257" w:type="dxa"/>
            <w:noWrap/>
            <w:hideMark/>
          </w:tcPr>
          <w:p w14:paraId="42A206D1" w14:textId="77777777" w:rsidR="000631A2" w:rsidRPr="000973F2" w:rsidRDefault="000631A2" w:rsidP="00CB700C">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$0</w:t>
            </w:r>
          </w:p>
        </w:tc>
        <w:tc>
          <w:tcPr>
            <w:tcW w:w="1268" w:type="dxa"/>
            <w:noWrap/>
            <w:hideMark/>
          </w:tcPr>
          <w:p w14:paraId="5CEC6680" w14:textId="77777777" w:rsidR="000631A2" w:rsidRPr="000973F2" w:rsidRDefault="000631A2" w:rsidP="00CB700C">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$50</w:t>
            </w:r>
          </w:p>
        </w:tc>
        <w:tc>
          <w:tcPr>
            <w:tcW w:w="1247" w:type="dxa"/>
            <w:noWrap/>
            <w:hideMark/>
          </w:tcPr>
          <w:p w14:paraId="74252FE3" w14:textId="77777777" w:rsidR="000631A2" w:rsidRPr="000973F2" w:rsidRDefault="000631A2" w:rsidP="00CB700C">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$0</w:t>
            </w:r>
          </w:p>
        </w:tc>
        <w:tc>
          <w:tcPr>
            <w:tcW w:w="1258" w:type="dxa"/>
            <w:noWrap/>
            <w:hideMark/>
          </w:tcPr>
          <w:p w14:paraId="51AB0D2D" w14:textId="77777777" w:rsidR="000631A2" w:rsidRPr="000973F2" w:rsidRDefault="000631A2" w:rsidP="00CB700C">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$50</w:t>
            </w:r>
          </w:p>
        </w:tc>
      </w:tr>
    </w:tbl>
    <w:p w14:paraId="76B9584F" w14:textId="77777777" w:rsidR="000631A2" w:rsidRPr="000973F2" w:rsidRDefault="000631A2" w:rsidP="00CB700C">
      <w:pPr>
        <w:pStyle w:val="AfterTable"/>
      </w:pPr>
    </w:p>
    <w:p w14:paraId="3F7DD772" w14:textId="77777777" w:rsidR="000631A2" w:rsidRPr="000973F2" w:rsidRDefault="000631A2" w:rsidP="00CB700C">
      <w:pPr>
        <w:pStyle w:val="Heading2"/>
      </w:pPr>
      <w:r w:rsidRPr="000973F2">
        <w:t>Total Costs for Subpart O</w:t>
      </w:r>
    </w:p>
    <w:p w14:paraId="59BEF6EC" w14:textId="3081D51C" w:rsidR="000631A2" w:rsidRPr="000973F2" w:rsidRDefault="000631A2" w:rsidP="00CB700C">
      <w:pPr>
        <w:pStyle w:val="BodyText"/>
      </w:pPr>
      <w:r w:rsidRPr="000973F2">
        <w:t xml:space="preserve">The total industry costs related to </w:t>
      </w:r>
      <w:r w:rsidR="00941B95" w:rsidRPr="000973F2">
        <w:t>S</w:t>
      </w:r>
      <w:r w:rsidRPr="000973F2">
        <w:t>ubpart O are approximately $32,</w:t>
      </w:r>
      <w:r w:rsidR="00BD05B5" w:rsidRPr="000973F2">
        <w:t>2</w:t>
      </w:r>
      <w:r w:rsidRPr="000973F2">
        <w:t>00 per year for a total of $9</w:t>
      </w:r>
      <w:r w:rsidR="004605BE" w:rsidRPr="000973F2">
        <w:t>7</w:t>
      </w:r>
      <w:r w:rsidRPr="000973F2">
        <w:t>,</w:t>
      </w:r>
      <w:r w:rsidR="004605BE" w:rsidRPr="000973F2">
        <w:t>0</w:t>
      </w:r>
      <w:r w:rsidRPr="000973F2">
        <w:t>00 over the three-year period of the ICR. Four facilities are expected to report in 2019, 2020, and 2021.</w:t>
      </w:r>
    </w:p>
    <w:p w14:paraId="27F52925" w14:textId="1FEDDF1F" w:rsidR="000631A2" w:rsidRPr="000973F2" w:rsidRDefault="000631A2" w:rsidP="00C00E4F">
      <w:pPr>
        <w:spacing w:line="240" w:lineRule="auto"/>
        <w:rPr>
          <w:rFonts w:ascii="Times New Roman" w:hAnsi="Times New Roman" w:cs="Times New Roman"/>
        </w:rPr>
      </w:pPr>
      <w:r w:rsidRPr="000973F2">
        <w:rPr>
          <w:rFonts w:ascii="Times New Roman" w:hAnsi="Times New Roman" w:cs="Times New Roman"/>
        </w:rPr>
        <w:br w:type="page"/>
      </w:r>
    </w:p>
    <w:p w14:paraId="14FB11F1" w14:textId="7FD95734" w:rsidR="00830E92" w:rsidRPr="000973F2" w:rsidRDefault="00830E92" w:rsidP="009D1FB5">
      <w:pPr>
        <w:pStyle w:val="Heading1"/>
      </w:pPr>
      <w:bookmarkStart w:id="28" w:name="_Toc10715607"/>
      <w:r w:rsidRPr="000973F2">
        <w:t xml:space="preserve">Cost Appendix for Subpart P </w:t>
      </w:r>
      <w:r w:rsidR="00C6266E" w:rsidRPr="000973F2">
        <w:t xml:space="preserve">– </w:t>
      </w:r>
      <w:r w:rsidRPr="000973F2">
        <w:t>Hydrogen Production</w:t>
      </w:r>
      <w:bookmarkEnd w:id="28"/>
    </w:p>
    <w:p w14:paraId="7EEBF508" w14:textId="77777777" w:rsidR="00830E92" w:rsidRPr="000973F2" w:rsidRDefault="00830E92" w:rsidP="009D1FB5">
      <w:pPr>
        <w:pStyle w:val="Heading2"/>
      </w:pPr>
      <w:r w:rsidRPr="000973F2">
        <w:t>Description of Subpart P</w:t>
      </w:r>
    </w:p>
    <w:p w14:paraId="3D2433BC" w14:textId="4DBE3FE0" w:rsidR="00830E92" w:rsidRPr="000973F2" w:rsidRDefault="00830E92" w:rsidP="009D1FB5">
      <w:pPr>
        <w:pStyle w:val="BodyText"/>
      </w:pPr>
      <w:r w:rsidRPr="000973F2">
        <w:t xml:space="preserve">For purposes of the GHGRP, the hydrogen production source category applies to facilities that produce hydrogen gas sold as a product to other entities. This source category comprises process units that produce hydrogen by reforming, gasification, oxidation, reaction, or other transformations of feedstocks. It also includes merchant hydrogen production facilities located within another facility if they are not owned by, or under the direct control of, the other facility's owner and operator. Additionally, petroleum refineries that operate captive hydrogen production units (other than catalytic reforming units) must report emissions related to hydrogen production under Subpart P. In RY2017, 114 facilities report to Subpart P. In RY2012, there were 109 facilities reporting under Subpart P. On average, one new facility has reported under Subpart P in each of the past 5 years. Therefore, one new facility per year is expected </w:t>
      </w:r>
      <w:r w:rsidR="003363FF" w:rsidRPr="000973F2">
        <w:t>in each of</w:t>
      </w:r>
      <w:r w:rsidRPr="000973F2">
        <w:t xml:space="preserve"> the </w:t>
      </w:r>
      <w:r w:rsidR="003363FF" w:rsidRPr="000973F2">
        <w:t xml:space="preserve">three </w:t>
      </w:r>
      <w:r w:rsidRPr="000973F2">
        <w:t>year</w:t>
      </w:r>
      <w:r w:rsidR="003363FF" w:rsidRPr="000973F2">
        <w:t>s</w:t>
      </w:r>
      <w:r w:rsidRPr="000973F2">
        <w:t xml:space="preserve"> covered by the ICR.</w:t>
      </w:r>
    </w:p>
    <w:p w14:paraId="30E188A4" w14:textId="773782C3" w:rsidR="00830E92" w:rsidRPr="000973F2" w:rsidRDefault="00830E92" w:rsidP="009D1FB5">
      <w:pPr>
        <w:pStyle w:val="BodyText"/>
      </w:pPr>
      <w:r w:rsidRPr="000973F2">
        <w:t>Facilities reporting to Subpart P, are required to report their hydrogen production unit CO</w:t>
      </w:r>
      <w:r w:rsidRPr="000973F2">
        <w:rPr>
          <w:vertAlign w:val="subscript"/>
        </w:rPr>
        <w:t>2</w:t>
      </w:r>
      <w:r w:rsidRPr="000973F2">
        <w:t xml:space="preserve"> emissions (both process emissions and hydrogen production unit-specific combustion emissions) to Subpart P, and their emissions of CO</w:t>
      </w:r>
      <w:r w:rsidRPr="000973F2">
        <w:rPr>
          <w:vertAlign w:val="subscript"/>
        </w:rPr>
        <w:t>2</w:t>
      </w:r>
      <w:r w:rsidRPr="000973F2">
        <w:t>, CH</w:t>
      </w:r>
      <w:r w:rsidRPr="000973F2">
        <w:rPr>
          <w:vertAlign w:val="subscript"/>
        </w:rPr>
        <w:t>4</w:t>
      </w:r>
      <w:r w:rsidRPr="000973F2">
        <w:t>, and N</w:t>
      </w:r>
      <w:r w:rsidRPr="000973F2">
        <w:rPr>
          <w:vertAlign w:val="subscript"/>
        </w:rPr>
        <w:t>2</w:t>
      </w:r>
      <w:r w:rsidRPr="000973F2">
        <w:t>O from other stationary combustion sources to Subpart C. Additionally, facilities that collect CO</w:t>
      </w:r>
      <w:r w:rsidRPr="000973F2">
        <w:rPr>
          <w:vertAlign w:val="subscript"/>
        </w:rPr>
        <w:t>2</w:t>
      </w:r>
      <w:r w:rsidRPr="000973F2">
        <w:t xml:space="preserve"> to be transferred off site must follow the requirements of Subpart PP. Facilities may determine their emissions by either using a CEMS or using a fuel and feedstock mass balance approach. Facilities using a CEMS must follow the Tier 4 methodology listed in Subpart C. Facilities using the mass balance approach described in §98.163 must determine the carbon content of each fuel and feedstock used in the hydrogen production unit. Different fuels have different sampling frequencies. Natural gas must be sampled at least annually, fuel gas must be sampled at least weekly, and liquid/solid fuel must be sampled either monthly or annually depending on the type of fuel used. All hydrogen production units are expected to have a natural gas fuel or feedstock, but some units may also use fuel gas or solid fuels. Additionally, some facilities have multiple hydrogen production units. Therefore, 4 model plants were developed to cover the range of </w:t>
      </w:r>
      <w:r w:rsidR="003363FF" w:rsidRPr="000973F2">
        <w:t xml:space="preserve">labor </w:t>
      </w:r>
      <w:r w:rsidRPr="000973F2">
        <w:t xml:space="preserve">costs under the mass balance compliance option. The first model plant has one unit that only uses natural gas, the second model plant has one unit and uses both natural gas and fuel gas, the third model plant has two units and must monitor one natural gas stream and two fuel gas streams, and the fourth model plant has one unit that uses both natural gas and liquid/solid fuels. </w:t>
      </w:r>
    </w:p>
    <w:p w14:paraId="5743D125" w14:textId="77777777" w:rsidR="00830E92" w:rsidRPr="000973F2" w:rsidRDefault="00830E92" w:rsidP="00C00E4F">
      <w:pPr>
        <w:spacing w:line="240" w:lineRule="auto"/>
        <w:rPr>
          <w:rFonts w:ascii="Times New Roman" w:hAnsi="Times New Roman" w:cs="Times New Roman"/>
          <w:i/>
          <w:szCs w:val="24"/>
        </w:rPr>
      </w:pPr>
      <w:r w:rsidRPr="000973F2">
        <w:rPr>
          <w:rFonts w:ascii="Times New Roman" w:hAnsi="Times New Roman" w:cs="Times New Roman"/>
          <w:i/>
          <w:szCs w:val="24"/>
        </w:rPr>
        <w:br w:type="page"/>
      </w:r>
    </w:p>
    <w:p w14:paraId="5FBB62EA" w14:textId="77777777" w:rsidR="00830E92" w:rsidRPr="000973F2" w:rsidRDefault="00830E92" w:rsidP="009D1FB5">
      <w:pPr>
        <w:pStyle w:val="Heading2"/>
      </w:pPr>
      <w:r w:rsidRPr="000973F2">
        <w:t>Labor Costs for Subpart P – CEMS Option</w:t>
      </w:r>
    </w:p>
    <w:p w14:paraId="32CE891E" w14:textId="00706C4E" w:rsidR="00830E92" w:rsidRPr="000973F2" w:rsidRDefault="00830E92" w:rsidP="009D1FB5">
      <w:pPr>
        <w:pStyle w:val="BodyText"/>
      </w:pPr>
      <w:r w:rsidRPr="000973F2">
        <w:t xml:space="preserve">Table </w:t>
      </w:r>
      <w:r w:rsidR="009D1FB5" w:rsidRPr="000973F2">
        <w:t>P-</w:t>
      </w:r>
      <w:r w:rsidRPr="000973F2">
        <w:t xml:space="preserve">1a presents the estimated labor costs for compliance with Subpart P using CEMS. </w:t>
      </w:r>
      <w:r w:rsidR="002920AF" w:rsidRPr="000973F2">
        <w:t>Three</w:t>
      </w:r>
      <w:r w:rsidRPr="000973F2">
        <w:t xml:space="preserve"> existing facilities use this option.</w:t>
      </w:r>
      <w:r w:rsidRPr="000973F2" w:rsidDel="00B5535B">
        <w:rPr>
          <w:sz w:val="24"/>
        </w:rPr>
        <w:t xml:space="preserve"> </w:t>
      </w:r>
      <w:r w:rsidRPr="000973F2">
        <w:t xml:space="preserve">It is expected that no new reporting facilities will use the CEMS approach in the </w:t>
      </w:r>
      <w:bookmarkStart w:id="29" w:name="_Hlk520820689"/>
      <w:r w:rsidRPr="000973F2">
        <w:t>3-year period covered by the ICR</w:t>
      </w:r>
      <w:bookmarkEnd w:id="29"/>
      <w:r w:rsidRPr="000973F2">
        <w:t>. Initial year costs apply to new reporting facilities; therefore, those costs are zero in the table below. Recordkeeping and reporting hours are based on the “medium bin” designation, as discussed in the Cost Appendix Introduction.</w:t>
      </w:r>
    </w:p>
    <w:p w14:paraId="386F2322" w14:textId="62BB628F" w:rsidR="00830E92" w:rsidRPr="000973F2" w:rsidRDefault="00725279" w:rsidP="009D1FB5">
      <w:pPr>
        <w:pStyle w:val="Tabletitle"/>
        <w:rPr>
          <w:sz w:val="24"/>
          <w:szCs w:val="24"/>
        </w:rPr>
      </w:pPr>
      <w:r w:rsidRPr="000973F2">
        <w:t xml:space="preserve">Table </w:t>
      </w:r>
      <w:r w:rsidR="009D1FB5" w:rsidRPr="000973F2">
        <w:t>P-</w:t>
      </w:r>
      <w:r w:rsidRPr="000973F2">
        <w:t xml:space="preserve">1a. Labor Costs </w:t>
      </w:r>
      <w:r w:rsidR="00B960CC" w:rsidRPr="000973F2">
        <w:t>–</w:t>
      </w:r>
      <w:r w:rsidRPr="000973F2">
        <w:t>Subpart P – CEMS Option</w:t>
      </w:r>
    </w:p>
    <w:tbl>
      <w:tblPr>
        <w:tblStyle w:val="PlainTable1"/>
        <w:tblpPr w:leftFromText="187" w:rightFromText="187" w:vertAnchor="text" w:horzAnchor="margin" w:tblpY="1"/>
        <w:tblW w:w="5000" w:type="pct"/>
        <w:jc w:val="left"/>
        <w:tblLayout w:type="fixed"/>
        <w:tblLook w:val="04A0" w:firstRow="1" w:lastRow="0" w:firstColumn="1" w:lastColumn="0" w:noHBand="0" w:noVBand="1"/>
      </w:tblPr>
      <w:tblGrid>
        <w:gridCol w:w="1355"/>
        <w:gridCol w:w="829"/>
        <w:gridCol w:w="829"/>
        <w:gridCol w:w="829"/>
        <w:gridCol w:w="829"/>
        <w:gridCol w:w="828"/>
        <w:gridCol w:w="829"/>
        <w:gridCol w:w="829"/>
        <w:gridCol w:w="829"/>
        <w:gridCol w:w="725"/>
        <w:gridCol w:w="852"/>
        <w:gridCol w:w="13"/>
      </w:tblGrid>
      <w:tr w:rsidR="00830E92" w:rsidRPr="000973F2" w14:paraId="23DD8AD3" w14:textId="77777777" w:rsidTr="00B926DD">
        <w:trPr>
          <w:cnfStyle w:val="100000000000" w:firstRow="1" w:lastRow="0" w:firstColumn="0" w:lastColumn="0" w:oddVBand="0" w:evenVBand="0" w:oddHBand="0" w:evenHBand="0" w:firstRowFirstColumn="0" w:firstRowLastColumn="0" w:lastRowFirstColumn="0" w:lastRowLastColumn="0"/>
          <w:cantSplit/>
          <w:jc w:val="left"/>
        </w:trPr>
        <w:tc>
          <w:tcPr>
            <w:cnfStyle w:val="001000000000" w:firstRow="0" w:lastRow="0" w:firstColumn="1" w:lastColumn="0" w:oddVBand="0" w:evenVBand="0" w:oddHBand="0" w:evenHBand="0" w:firstRowFirstColumn="0" w:firstRowLastColumn="0" w:lastRowFirstColumn="0" w:lastRowLastColumn="0"/>
            <w:tcW w:w="1319" w:type="dxa"/>
            <w:vMerge w:val="restart"/>
            <w:noWrap/>
            <w:vAlign w:val="top"/>
            <w:hideMark/>
          </w:tcPr>
          <w:p w14:paraId="0BD206E5" w14:textId="77777777" w:rsidR="00830E92" w:rsidRPr="000973F2" w:rsidRDefault="00830E92" w:rsidP="009D1FB5">
            <w:pPr>
              <w:spacing w:before="40" w:after="40"/>
              <w:rPr>
                <w:rFonts w:ascii="Times New Roman" w:eastAsia="Times New Roman" w:hAnsi="Times New Roman" w:cs="Times New Roman"/>
                <w:bCs w:val="0"/>
                <w:sz w:val="18"/>
                <w:szCs w:val="18"/>
              </w:rPr>
            </w:pPr>
            <w:r w:rsidRPr="000973F2">
              <w:rPr>
                <w:rFonts w:ascii="Times New Roman" w:eastAsia="Times New Roman" w:hAnsi="Times New Roman" w:cs="Times New Roman"/>
                <w:sz w:val="18"/>
                <w:szCs w:val="18"/>
              </w:rPr>
              <w:t>Activity</w:t>
            </w:r>
          </w:p>
        </w:tc>
        <w:tc>
          <w:tcPr>
            <w:tcW w:w="6462" w:type="dxa"/>
            <w:gridSpan w:val="8"/>
            <w:noWrap/>
            <w:vAlign w:val="top"/>
            <w:hideMark/>
          </w:tcPr>
          <w:p w14:paraId="135F3392" w14:textId="77777777" w:rsidR="00830E92" w:rsidRPr="000973F2" w:rsidRDefault="00830E92" w:rsidP="009D1FB5">
            <w:pPr>
              <w:spacing w:before="40" w:after="40"/>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Cs w:val="0"/>
                <w:sz w:val="18"/>
                <w:szCs w:val="18"/>
              </w:rPr>
            </w:pPr>
            <w:r w:rsidRPr="000973F2">
              <w:rPr>
                <w:rFonts w:ascii="Times New Roman" w:eastAsia="Times New Roman" w:hAnsi="Times New Roman" w:cs="Times New Roman"/>
                <w:bCs w:val="0"/>
                <w:sz w:val="18"/>
                <w:szCs w:val="18"/>
              </w:rPr>
              <w:t>Labor Rates (per hour)</w:t>
            </w:r>
          </w:p>
        </w:tc>
        <w:tc>
          <w:tcPr>
            <w:tcW w:w="1549" w:type="dxa"/>
            <w:gridSpan w:val="3"/>
            <w:vMerge w:val="restart"/>
            <w:vAlign w:val="top"/>
            <w:hideMark/>
          </w:tcPr>
          <w:p w14:paraId="464A1A3E" w14:textId="77777777" w:rsidR="00830E92" w:rsidRPr="000973F2" w:rsidRDefault="00830E92" w:rsidP="009D1FB5">
            <w:pPr>
              <w:spacing w:before="40" w:after="40"/>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Cs w:val="0"/>
                <w:sz w:val="18"/>
                <w:szCs w:val="18"/>
              </w:rPr>
            </w:pPr>
            <w:r w:rsidRPr="000973F2">
              <w:rPr>
                <w:rFonts w:ascii="Times New Roman" w:eastAsia="Times New Roman" w:hAnsi="Times New Roman" w:cs="Times New Roman"/>
                <w:bCs w:val="0"/>
                <w:sz w:val="18"/>
                <w:szCs w:val="18"/>
              </w:rPr>
              <w:t>Total Labor Cost per Year per Facility (2017$)</w:t>
            </w:r>
          </w:p>
        </w:tc>
      </w:tr>
      <w:tr w:rsidR="00830E92" w:rsidRPr="000973F2" w14:paraId="06DC99C5" w14:textId="77777777" w:rsidTr="00B926DD">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1319" w:type="dxa"/>
            <w:vMerge/>
            <w:hideMark/>
          </w:tcPr>
          <w:p w14:paraId="05239361" w14:textId="77777777" w:rsidR="00830E92" w:rsidRPr="000973F2" w:rsidRDefault="00830E92" w:rsidP="009D1FB5">
            <w:pPr>
              <w:spacing w:before="40" w:after="40"/>
              <w:rPr>
                <w:rFonts w:ascii="Times New Roman" w:eastAsia="Times New Roman" w:hAnsi="Times New Roman" w:cs="Times New Roman"/>
                <w:b/>
                <w:bCs w:val="0"/>
                <w:sz w:val="18"/>
                <w:szCs w:val="18"/>
              </w:rPr>
            </w:pPr>
          </w:p>
        </w:tc>
        <w:tc>
          <w:tcPr>
            <w:tcW w:w="1615" w:type="dxa"/>
            <w:gridSpan w:val="2"/>
            <w:noWrap/>
            <w:hideMark/>
          </w:tcPr>
          <w:p w14:paraId="40D991BB" w14:textId="77777777" w:rsidR="00830E92" w:rsidRPr="000973F2" w:rsidRDefault="00830E92" w:rsidP="009D1FB5">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18"/>
                <w:szCs w:val="18"/>
              </w:rPr>
            </w:pPr>
            <w:r w:rsidRPr="000973F2">
              <w:rPr>
                <w:rFonts w:ascii="Times New Roman" w:eastAsia="Times New Roman" w:hAnsi="Times New Roman" w:cs="Times New Roman"/>
                <w:b/>
                <w:bCs/>
                <w:sz w:val="18"/>
                <w:szCs w:val="18"/>
              </w:rPr>
              <w:t>Lawyer</w:t>
            </w:r>
          </w:p>
        </w:tc>
        <w:tc>
          <w:tcPr>
            <w:tcW w:w="1616" w:type="dxa"/>
            <w:gridSpan w:val="2"/>
            <w:noWrap/>
            <w:hideMark/>
          </w:tcPr>
          <w:p w14:paraId="75B89430" w14:textId="77777777" w:rsidR="00830E92" w:rsidRPr="000973F2" w:rsidRDefault="00830E92" w:rsidP="009D1FB5">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18"/>
                <w:szCs w:val="18"/>
              </w:rPr>
            </w:pPr>
            <w:r w:rsidRPr="000973F2">
              <w:rPr>
                <w:rFonts w:ascii="Times New Roman" w:eastAsia="Times New Roman" w:hAnsi="Times New Roman" w:cs="Times New Roman"/>
                <w:b/>
                <w:bCs/>
                <w:sz w:val="18"/>
                <w:szCs w:val="18"/>
              </w:rPr>
              <w:t>Industrial Manager</w:t>
            </w:r>
          </w:p>
        </w:tc>
        <w:tc>
          <w:tcPr>
            <w:tcW w:w="1615" w:type="dxa"/>
            <w:gridSpan w:val="2"/>
            <w:hideMark/>
          </w:tcPr>
          <w:p w14:paraId="4519ECCC" w14:textId="6AB18159" w:rsidR="00830E92" w:rsidRPr="000973F2" w:rsidRDefault="00830E92" w:rsidP="009D1FB5">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18"/>
                <w:szCs w:val="18"/>
              </w:rPr>
            </w:pPr>
            <w:r w:rsidRPr="000973F2">
              <w:rPr>
                <w:rFonts w:ascii="Times New Roman" w:eastAsia="Times New Roman" w:hAnsi="Times New Roman" w:cs="Times New Roman"/>
                <w:b/>
                <w:bCs/>
                <w:sz w:val="18"/>
                <w:szCs w:val="18"/>
              </w:rPr>
              <w:t>Industrial Engineer/</w:t>
            </w:r>
            <w:r w:rsidR="009D1FB5" w:rsidRPr="000973F2">
              <w:rPr>
                <w:rFonts w:ascii="Times New Roman" w:eastAsia="Times New Roman" w:hAnsi="Times New Roman" w:cs="Times New Roman"/>
                <w:b/>
                <w:bCs/>
                <w:sz w:val="18"/>
                <w:szCs w:val="18"/>
              </w:rPr>
              <w:t xml:space="preserve"> </w:t>
            </w:r>
            <w:r w:rsidRPr="000973F2">
              <w:rPr>
                <w:rFonts w:ascii="Times New Roman" w:eastAsia="Times New Roman" w:hAnsi="Times New Roman" w:cs="Times New Roman"/>
                <w:b/>
                <w:bCs/>
                <w:sz w:val="18"/>
                <w:szCs w:val="18"/>
              </w:rPr>
              <w:t>Technician</w:t>
            </w:r>
          </w:p>
        </w:tc>
        <w:tc>
          <w:tcPr>
            <w:tcW w:w="1616" w:type="dxa"/>
            <w:gridSpan w:val="2"/>
            <w:hideMark/>
          </w:tcPr>
          <w:p w14:paraId="0E9E3597" w14:textId="77777777" w:rsidR="00830E92" w:rsidRPr="000973F2" w:rsidRDefault="00830E92" w:rsidP="009D1FB5">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18"/>
                <w:szCs w:val="18"/>
              </w:rPr>
            </w:pPr>
            <w:r w:rsidRPr="000973F2">
              <w:rPr>
                <w:rFonts w:ascii="Times New Roman" w:eastAsia="Times New Roman" w:hAnsi="Times New Roman" w:cs="Times New Roman"/>
                <w:b/>
                <w:bCs/>
                <w:sz w:val="18"/>
                <w:szCs w:val="18"/>
              </w:rPr>
              <w:t>Administrative Support</w:t>
            </w:r>
          </w:p>
        </w:tc>
        <w:tc>
          <w:tcPr>
            <w:tcW w:w="1549" w:type="dxa"/>
            <w:gridSpan w:val="3"/>
            <w:vMerge/>
            <w:hideMark/>
          </w:tcPr>
          <w:p w14:paraId="667A8F69" w14:textId="77777777" w:rsidR="00830E92" w:rsidRPr="000973F2" w:rsidRDefault="00830E92" w:rsidP="009D1FB5">
            <w:pPr>
              <w:spacing w:before="40" w:after="4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18"/>
                <w:szCs w:val="18"/>
              </w:rPr>
            </w:pPr>
          </w:p>
        </w:tc>
      </w:tr>
      <w:tr w:rsidR="00830E92" w:rsidRPr="000973F2" w14:paraId="000A3C99" w14:textId="77777777" w:rsidTr="00B926DD">
        <w:trPr>
          <w:cantSplit/>
        </w:trPr>
        <w:tc>
          <w:tcPr>
            <w:cnfStyle w:val="001000000000" w:firstRow="0" w:lastRow="0" w:firstColumn="1" w:lastColumn="0" w:oddVBand="0" w:evenVBand="0" w:oddHBand="0" w:evenHBand="0" w:firstRowFirstColumn="0" w:firstRowLastColumn="0" w:lastRowFirstColumn="0" w:lastRowLastColumn="0"/>
            <w:tcW w:w="1319" w:type="dxa"/>
            <w:vMerge/>
            <w:hideMark/>
          </w:tcPr>
          <w:p w14:paraId="5803E040" w14:textId="77777777" w:rsidR="00830E92" w:rsidRPr="000973F2" w:rsidRDefault="00830E92" w:rsidP="009D1FB5">
            <w:pPr>
              <w:spacing w:before="40" w:after="40"/>
              <w:rPr>
                <w:rFonts w:ascii="Times New Roman" w:eastAsia="Times New Roman" w:hAnsi="Times New Roman" w:cs="Times New Roman"/>
                <w:b/>
                <w:bCs w:val="0"/>
                <w:sz w:val="18"/>
                <w:szCs w:val="18"/>
              </w:rPr>
            </w:pPr>
          </w:p>
        </w:tc>
        <w:tc>
          <w:tcPr>
            <w:tcW w:w="1615" w:type="dxa"/>
            <w:gridSpan w:val="2"/>
            <w:noWrap/>
            <w:hideMark/>
          </w:tcPr>
          <w:p w14:paraId="27BECE3E" w14:textId="77777777" w:rsidR="00830E92" w:rsidRPr="000973F2" w:rsidRDefault="00830E92" w:rsidP="009D1FB5">
            <w:pPr>
              <w:spacing w:before="40" w:after="4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sz w:val="18"/>
                <w:szCs w:val="18"/>
              </w:rPr>
            </w:pPr>
            <w:r w:rsidRPr="000973F2">
              <w:rPr>
                <w:rFonts w:ascii="Times New Roman" w:eastAsia="Times New Roman" w:hAnsi="Times New Roman" w:cs="Times New Roman"/>
                <w:b/>
                <w:bCs/>
                <w:sz w:val="18"/>
                <w:szCs w:val="18"/>
              </w:rPr>
              <w:t xml:space="preserve">$112.23 </w:t>
            </w:r>
          </w:p>
        </w:tc>
        <w:tc>
          <w:tcPr>
            <w:tcW w:w="1616" w:type="dxa"/>
            <w:gridSpan w:val="2"/>
            <w:noWrap/>
            <w:hideMark/>
          </w:tcPr>
          <w:p w14:paraId="5DFAF5F1" w14:textId="77777777" w:rsidR="00830E92" w:rsidRPr="000973F2" w:rsidRDefault="00830E92" w:rsidP="009D1FB5">
            <w:pPr>
              <w:spacing w:before="40" w:after="4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sz w:val="18"/>
                <w:szCs w:val="18"/>
              </w:rPr>
            </w:pPr>
            <w:r w:rsidRPr="000973F2">
              <w:rPr>
                <w:rFonts w:ascii="Times New Roman" w:eastAsia="Times New Roman" w:hAnsi="Times New Roman" w:cs="Times New Roman"/>
                <w:b/>
                <w:bCs/>
                <w:sz w:val="18"/>
                <w:szCs w:val="18"/>
              </w:rPr>
              <w:t xml:space="preserve">$87.45 </w:t>
            </w:r>
          </w:p>
        </w:tc>
        <w:tc>
          <w:tcPr>
            <w:tcW w:w="1615" w:type="dxa"/>
            <w:gridSpan w:val="2"/>
            <w:noWrap/>
            <w:hideMark/>
          </w:tcPr>
          <w:p w14:paraId="7FB9FB15" w14:textId="77777777" w:rsidR="00830E92" w:rsidRPr="000973F2" w:rsidRDefault="00830E92" w:rsidP="009D1FB5">
            <w:pPr>
              <w:spacing w:before="40" w:after="4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sz w:val="18"/>
                <w:szCs w:val="18"/>
              </w:rPr>
            </w:pPr>
            <w:r w:rsidRPr="000973F2">
              <w:rPr>
                <w:rFonts w:ascii="Times New Roman" w:eastAsia="Times New Roman" w:hAnsi="Times New Roman" w:cs="Times New Roman"/>
                <w:b/>
                <w:bCs/>
                <w:sz w:val="18"/>
                <w:szCs w:val="18"/>
              </w:rPr>
              <w:t xml:space="preserve">$71.45 </w:t>
            </w:r>
          </w:p>
        </w:tc>
        <w:tc>
          <w:tcPr>
            <w:tcW w:w="1616" w:type="dxa"/>
            <w:gridSpan w:val="2"/>
            <w:noWrap/>
            <w:hideMark/>
          </w:tcPr>
          <w:p w14:paraId="1CE26159" w14:textId="77777777" w:rsidR="00830E92" w:rsidRPr="000973F2" w:rsidRDefault="00830E92" w:rsidP="009D1FB5">
            <w:pPr>
              <w:spacing w:before="40" w:after="4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sz w:val="18"/>
                <w:szCs w:val="18"/>
              </w:rPr>
            </w:pPr>
            <w:r w:rsidRPr="000973F2">
              <w:rPr>
                <w:rFonts w:ascii="Times New Roman" w:eastAsia="Times New Roman" w:hAnsi="Times New Roman" w:cs="Times New Roman"/>
                <w:b/>
                <w:bCs/>
                <w:sz w:val="18"/>
                <w:szCs w:val="18"/>
              </w:rPr>
              <w:t xml:space="preserve">$36.28 </w:t>
            </w:r>
          </w:p>
        </w:tc>
        <w:tc>
          <w:tcPr>
            <w:tcW w:w="1549" w:type="dxa"/>
            <w:gridSpan w:val="3"/>
            <w:vMerge/>
            <w:hideMark/>
          </w:tcPr>
          <w:p w14:paraId="33BD4B9B" w14:textId="77777777" w:rsidR="00830E92" w:rsidRPr="000973F2" w:rsidRDefault="00830E92" w:rsidP="009D1FB5">
            <w:pPr>
              <w:spacing w:before="40" w:after="4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sz w:val="18"/>
                <w:szCs w:val="18"/>
              </w:rPr>
            </w:pPr>
          </w:p>
        </w:tc>
      </w:tr>
      <w:tr w:rsidR="009D1FB5" w:rsidRPr="000973F2" w14:paraId="63420394" w14:textId="77777777" w:rsidTr="009D1FB5">
        <w:trPr>
          <w:gridAfter w:val="1"/>
          <w:cnfStyle w:val="000000100000" w:firstRow="0" w:lastRow="0" w:firstColumn="0" w:lastColumn="0" w:oddVBand="0" w:evenVBand="0" w:oddHBand="1" w:evenHBand="0" w:firstRowFirstColumn="0" w:firstRowLastColumn="0" w:lastRowFirstColumn="0" w:lastRowLastColumn="0"/>
          <w:wAfter w:w="13" w:type="dxa"/>
          <w:cantSplit/>
        </w:trPr>
        <w:tc>
          <w:tcPr>
            <w:cnfStyle w:val="001000000000" w:firstRow="0" w:lastRow="0" w:firstColumn="1" w:lastColumn="0" w:oddVBand="0" w:evenVBand="0" w:oddHBand="0" w:evenHBand="0" w:firstRowFirstColumn="0" w:firstRowLastColumn="0" w:lastRowFirstColumn="0" w:lastRowLastColumn="0"/>
            <w:tcW w:w="1319" w:type="dxa"/>
            <w:vMerge/>
            <w:hideMark/>
          </w:tcPr>
          <w:p w14:paraId="23C37168" w14:textId="77777777" w:rsidR="00830E92" w:rsidRPr="000973F2" w:rsidRDefault="00830E92" w:rsidP="009D1FB5">
            <w:pPr>
              <w:spacing w:before="40" w:after="40"/>
              <w:rPr>
                <w:rFonts w:ascii="Times New Roman" w:eastAsia="Times New Roman" w:hAnsi="Times New Roman" w:cs="Times New Roman"/>
                <w:b/>
                <w:bCs w:val="0"/>
                <w:sz w:val="18"/>
                <w:szCs w:val="18"/>
              </w:rPr>
            </w:pPr>
          </w:p>
        </w:tc>
        <w:tc>
          <w:tcPr>
            <w:tcW w:w="807" w:type="dxa"/>
            <w:tcMar>
              <w:left w:w="14" w:type="dxa"/>
              <w:right w:w="14" w:type="dxa"/>
            </w:tcMar>
            <w:hideMark/>
          </w:tcPr>
          <w:p w14:paraId="56EE4BF2" w14:textId="257E7FF0" w:rsidR="00830E92" w:rsidRPr="000973F2" w:rsidRDefault="00830E92" w:rsidP="009D1FB5">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18"/>
                <w:szCs w:val="18"/>
              </w:rPr>
            </w:pPr>
            <w:r w:rsidRPr="000973F2">
              <w:rPr>
                <w:rFonts w:ascii="Times New Roman" w:eastAsia="Times New Roman" w:hAnsi="Times New Roman" w:cs="Times New Roman"/>
                <w:b/>
                <w:bCs/>
                <w:sz w:val="18"/>
                <w:szCs w:val="18"/>
              </w:rPr>
              <w:t xml:space="preserve">Initial </w:t>
            </w:r>
            <w:r w:rsidR="00132320" w:rsidRPr="000973F2">
              <w:rPr>
                <w:rFonts w:ascii="Times New Roman" w:eastAsia="Times New Roman" w:hAnsi="Times New Roman" w:cs="Times New Roman"/>
                <w:b/>
                <w:bCs/>
                <w:sz w:val="18"/>
                <w:szCs w:val="18"/>
              </w:rPr>
              <w:t>Year Hours</w:t>
            </w:r>
          </w:p>
        </w:tc>
        <w:tc>
          <w:tcPr>
            <w:tcW w:w="808" w:type="dxa"/>
            <w:tcMar>
              <w:left w:w="14" w:type="dxa"/>
              <w:right w:w="14" w:type="dxa"/>
            </w:tcMar>
            <w:hideMark/>
          </w:tcPr>
          <w:p w14:paraId="6BA17472" w14:textId="4A94DF63" w:rsidR="00830E92" w:rsidRPr="000973F2" w:rsidRDefault="00830E92" w:rsidP="009D1FB5">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18"/>
                <w:szCs w:val="18"/>
              </w:rPr>
            </w:pPr>
            <w:r w:rsidRPr="000973F2">
              <w:rPr>
                <w:rFonts w:ascii="Times New Roman" w:eastAsia="Times New Roman" w:hAnsi="Times New Roman" w:cs="Times New Roman"/>
                <w:b/>
                <w:bCs/>
                <w:sz w:val="18"/>
                <w:szCs w:val="18"/>
              </w:rPr>
              <w:t xml:space="preserve">Subseq. </w:t>
            </w:r>
            <w:r w:rsidR="00132320" w:rsidRPr="000973F2">
              <w:rPr>
                <w:rFonts w:ascii="Times New Roman" w:eastAsia="Times New Roman" w:hAnsi="Times New Roman" w:cs="Times New Roman"/>
                <w:b/>
                <w:bCs/>
                <w:sz w:val="18"/>
                <w:szCs w:val="18"/>
              </w:rPr>
              <w:t>Year Hours</w:t>
            </w:r>
          </w:p>
        </w:tc>
        <w:tc>
          <w:tcPr>
            <w:tcW w:w="808" w:type="dxa"/>
            <w:tcMar>
              <w:left w:w="14" w:type="dxa"/>
              <w:right w:w="14" w:type="dxa"/>
            </w:tcMar>
            <w:hideMark/>
          </w:tcPr>
          <w:p w14:paraId="285C84FA" w14:textId="6792534A" w:rsidR="00830E92" w:rsidRPr="000973F2" w:rsidRDefault="00830E92" w:rsidP="009D1FB5">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18"/>
                <w:szCs w:val="18"/>
              </w:rPr>
            </w:pPr>
            <w:r w:rsidRPr="000973F2">
              <w:rPr>
                <w:rFonts w:ascii="Times New Roman" w:eastAsia="Times New Roman" w:hAnsi="Times New Roman" w:cs="Times New Roman"/>
                <w:b/>
                <w:bCs/>
                <w:sz w:val="18"/>
                <w:szCs w:val="18"/>
              </w:rPr>
              <w:t xml:space="preserve">Initial </w:t>
            </w:r>
            <w:r w:rsidR="00132320" w:rsidRPr="000973F2">
              <w:rPr>
                <w:rFonts w:ascii="Times New Roman" w:eastAsia="Times New Roman" w:hAnsi="Times New Roman" w:cs="Times New Roman"/>
                <w:b/>
                <w:bCs/>
                <w:sz w:val="18"/>
                <w:szCs w:val="18"/>
              </w:rPr>
              <w:t>Year Hours</w:t>
            </w:r>
          </w:p>
        </w:tc>
        <w:tc>
          <w:tcPr>
            <w:tcW w:w="808" w:type="dxa"/>
            <w:tcMar>
              <w:left w:w="14" w:type="dxa"/>
              <w:right w:w="14" w:type="dxa"/>
            </w:tcMar>
            <w:hideMark/>
          </w:tcPr>
          <w:p w14:paraId="6D878306" w14:textId="4B7EAE02" w:rsidR="00830E92" w:rsidRPr="000973F2" w:rsidRDefault="00830E92" w:rsidP="009D1FB5">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18"/>
                <w:szCs w:val="18"/>
              </w:rPr>
            </w:pPr>
            <w:r w:rsidRPr="000973F2">
              <w:rPr>
                <w:rFonts w:ascii="Times New Roman" w:eastAsia="Times New Roman" w:hAnsi="Times New Roman" w:cs="Times New Roman"/>
                <w:b/>
                <w:bCs/>
                <w:sz w:val="18"/>
                <w:szCs w:val="18"/>
              </w:rPr>
              <w:t xml:space="preserve">Subseq. </w:t>
            </w:r>
            <w:r w:rsidR="00132320" w:rsidRPr="000973F2">
              <w:rPr>
                <w:rFonts w:ascii="Times New Roman" w:eastAsia="Times New Roman" w:hAnsi="Times New Roman" w:cs="Times New Roman"/>
                <w:b/>
                <w:bCs/>
                <w:sz w:val="18"/>
                <w:szCs w:val="18"/>
              </w:rPr>
              <w:t>Year Hours</w:t>
            </w:r>
          </w:p>
        </w:tc>
        <w:tc>
          <w:tcPr>
            <w:tcW w:w="807" w:type="dxa"/>
            <w:tcMar>
              <w:left w:w="14" w:type="dxa"/>
              <w:right w:w="14" w:type="dxa"/>
            </w:tcMar>
            <w:hideMark/>
          </w:tcPr>
          <w:p w14:paraId="432789AD" w14:textId="04D8518E" w:rsidR="00830E92" w:rsidRPr="000973F2" w:rsidRDefault="00830E92" w:rsidP="009D1FB5">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18"/>
                <w:szCs w:val="18"/>
              </w:rPr>
            </w:pPr>
            <w:r w:rsidRPr="000973F2">
              <w:rPr>
                <w:rFonts w:ascii="Times New Roman" w:eastAsia="Times New Roman" w:hAnsi="Times New Roman" w:cs="Times New Roman"/>
                <w:b/>
                <w:bCs/>
                <w:sz w:val="18"/>
                <w:szCs w:val="18"/>
              </w:rPr>
              <w:t xml:space="preserve">Initial </w:t>
            </w:r>
            <w:r w:rsidR="00132320" w:rsidRPr="000973F2">
              <w:rPr>
                <w:rFonts w:ascii="Times New Roman" w:eastAsia="Times New Roman" w:hAnsi="Times New Roman" w:cs="Times New Roman"/>
                <w:b/>
                <w:bCs/>
                <w:sz w:val="18"/>
                <w:szCs w:val="18"/>
              </w:rPr>
              <w:t>Year Hours</w:t>
            </w:r>
          </w:p>
        </w:tc>
        <w:tc>
          <w:tcPr>
            <w:tcW w:w="808" w:type="dxa"/>
            <w:tcMar>
              <w:left w:w="14" w:type="dxa"/>
              <w:right w:w="14" w:type="dxa"/>
            </w:tcMar>
            <w:hideMark/>
          </w:tcPr>
          <w:p w14:paraId="586103AD" w14:textId="70EF4F42" w:rsidR="00830E92" w:rsidRPr="000973F2" w:rsidRDefault="00830E92" w:rsidP="009D1FB5">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18"/>
                <w:szCs w:val="18"/>
              </w:rPr>
            </w:pPr>
            <w:r w:rsidRPr="000973F2">
              <w:rPr>
                <w:rFonts w:ascii="Times New Roman" w:eastAsia="Times New Roman" w:hAnsi="Times New Roman" w:cs="Times New Roman"/>
                <w:b/>
                <w:bCs/>
                <w:sz w:val="18"/>
                <w:szCs w:val="18"/>
              </w:rPr>
              <w:t xml:space="preserve">Subseq. </w:t>
            </w:r>
            <w:r w:rsidR="00132320" w:rsidRPr="000973F2">
              <w:rPr>
                <w:rFonts w:ascii="Times New Roman" w:eastAsia="Times New Roman" w:hAnsi="Times New Roman" w:cs="Times New Roman"/>
                <w:b/>
                <w:bCs/>
                <w:sz w:val="18"/>
                <w:szCs w:val="18"/>
              </w:rPr>
              <w:t>Year Hours</w:t>
            </w:r>
          </w:p>
        </w:tc>
        <w:tc>
          <w:tcPr>
            <w:tcW w:w="808" w:type="dxa"/>
            <w:tcMar>
              <w:left w:w="14" w:type="dxa"/>
              <w:right w:w="14" w:type="dxa"/>
            </w:tcMar>
            <w:hideMark/>
          </w:tcPr>
          <w:p w14:paraId="7A5F7678" w14:textId="22FE8B41" w:rsidR="00830E92" w:rsidRPr="000973F2" w:rsidRDefault="00830E92" w:rsidP="009D1FB5">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18"/>
                <w:szCs w:val="18"/>
              </w:rPr>
            </w:pPr>
            <w:r w:rsidRPr="000973F2">
              <w:rPr>
                <w:rFonts w:ascii="Times New Roman" w:eastAsia="Times New Roman" w:hAnsi="Times New Roman" w:cs="Times New Roman"/>
                <w:b/>
                <w:bCs/>
                <w:sz w:val="18"/>
                <w:szCs w:val="18"/>
              </w:rPr>
              <w:t xml:space="preserve">Initial </w:t>
            </w:r>
            <w:r w:rsidR="00132320" w:rsidRPr="000973F2">
              <w:rPr>
                <w:rFonts w:ascii="Times New Roman" w:eastAsia="Times New Roman" w:hAnsi="Times New Roman" w:cs="Times New Roman"/>
                <w:b/>
                <w:bCs/>
                <w:sz w:val="18"/>
                <w:szCs w:val="18"/>
              </w:rPr>
              <w:t>Year Hours</w:t>
            </w:r>
          </w:p>
        </w:tc>
        <w:tc>
          <w:tcPr>
            <w:tcW w:w="808" w:type="dxa"/>
            <w:tcMar>
              <w:left w:w="14" w:type="dxa"/>
              <w:right w:w="14" w:type="dxa"/>
            </w:tcMar>
            <w:hideMark/>
          </w:tcPr>
          <w:p w14:paraId="252B169A" w14:textId="628B931F" w:rsidR="00830E92" w:rsidRPr="000973F2" w:rsidRDefault="00830E92" w:rsidP="009D1FB5">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18"/>
                <w:szCs w:val="18"/>
              </w:rPr>
            </w:pPr>
            <w:r w:rsidRPr="000973F2">
              <w:rPr>
                <w:rFonts w:ascii="Times New Roman" w:eastAsia="Times New Roman" w:hAnsi="Times New Roman" w:cs="Times New Roman"/>
                <w:b/>
                <w:bCs/>
                <w:sz w:val="18"/>
                <w:szCs w:val="18"/>
              </w:rPr>
              <w:t xml:space="preserve">Subseq. </w:t>
            </w:r>
            <w:r w:rsidR="00132320" w:rsidRPr="000973F2">
              <w:rPr>
                <w:rFonts w:ascii="Times New Roman" w:eastAsia="Times New Roman" w:hAnsi="Times New Roman" w:cs="Times New Roman"/>
                <w:b/>
                <w:bCs/>
                <w:sz w:val="18"/>
                <w:szCs w:val="18"/>
              </w:rPr>
              <w:t>Year Hours</w:t>
            </w:r>
          </w:p>
        </w:tc>
        <w:tc>
          <w:tcPr>
            <w:tcW w:w="706" w:type="dxa"/>
            <w:tcMar>
              <w:left w:w="14" w:type="dxa"/>
              <w:right w:w="14" w:type="dxa"/>
            </w:tcMar>
            <w:hideMark/>
          </w:tcPr>
          <w:p w14:paraId="010EE711" w14:textId="77777777" w:rsidR="00830E92" w:rsidRPr="000973F2" w:rsidRDefault="00830E92" w:rsidP="009D1FB5">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18"/>
                <w:szCs w:val="18"/>
              </w:rPr>
            </w:pPr>
            <w:r w:rsidRPr="000973F2">
              <w:rPr>
                <w:rFonts w:ascii="Times New Roman" w:eastAsia="Times New Roman" w:hAnsi="Times New Roman" w:cs="Times New Roman"/>
                <w:b/>
                <w:bCs/>
                <w:sz w:val="18"/>
                <w:szCs w:val="18"/>
              </w:rPr>
              <w:t>Initial Year</w:t>
            </w:r>
          </w:p>
        </w:tc>
        <w:tc>
          <w:tcPr>
            <w:tcW w:w="830" w:type="dxa"/>
            <w:tcMar>
              <w:left w:w="14" w:type="dxa"/>
              <w:right w:w="14" w:type="dxa"/>
            </w:tcMar>
            <w:hideMark/>
          </w:tcPr>
          <w:p w14:paraId="33C337D7" w14:textId="77777777" w:rsidR="00830E92" w:rsidRPr="000973F2" w:rsidRDefault="00830E92" w:rsidP="009D1FB5">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18"/>
                <w:szCs w:val="18"/>
              </w:rPr>
            </w:pPr>
            <w:r w:rsidRPr="000973F2">
              <w:rPr>
                <w:rFonts w:ascii="Times New Roman" w:eastAsia="Times New Roman" w:hAnsi="Times New Roman" w:cs="Times New Roman"/>
                <w:b/>
                <w:bCs/>
                <w:sz w:val="18"/>
                <w:szCs w:val="18"/>
              </w:rPr>
              <w:t>Subseq. Year</w:t>
            </w:r>
          </w:p>
        </w:tc>
      </w:tr>
      <w:tr w:rsidR="009D1FB5" w:rsidRPr="000973F2" w14:paraId="7E6CF8EC" w14:textId="77777777" w:rsidTr="009D1FB5">
        <w:trPr>
          <w:gridAfter w:val="1"/>
          <w:wAfter w:w="13" w:type="dxa"/>
          <w:cantSplit/>
        </w:trPr>
        <w:tc>
          <w:tcPr>
            <w:cnfStyle w:val="001000000000" w:firstRow="0" w:lastRow="0" w:firstColumn="1" w:lastColumn="0" w:oddVBand="0" w:evenVBand="0" w:oddHBand="0" w:evenHBand="0" w:firstRowFirstColumn="0" w:firstRowLastColumn="0" w:lastRowFirstColumn="0" w:lastRowLastColumn="0"/>
            <w:tcW w:w="1319" w:type="dxa"/>
            <w:hideMark/>
          </w:tcPr>
          <w:p w14:paraId="76902D40" w14:textId="77777777" w:rsidR="00830E92" w:rsidRPr="000973F2" w:rsidRDefault="00830E92" w:rsidP="009D1FB5">
            <w:pPr>
              <w:spacing w:before="40" w:after="4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Planning</w:t>
            </w:r>
          </w:p>
        </w:tc>
        <w:tc>
          <w:tcPr>
            <w:tcW w:w="807" w:type="dxa"/>
            <w:noWrap/>
            <w:hideMark/>
          </w:tcPr>
          <w:p w14:paraId="1424E8BD" w14:textId="77777777" w:rsidR="00830E92" w:rsidRPr="000973F2" w:rsidRDefault="00830E92" w:rsidP="009D1FB5">
            <w:pPr>
              <w:spacing w:before="40" w:after="4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0</w:t>
            </w:r>
          </w:p>
        </w:tc>
        <w:tc>
          <w:tcPr>
            <w:tcW w:w="808" w:type="dxa"/>
            <w:noWrap/>
            <w:hideMark/>
          </w:tcPr>
          <w:p w14:paraId="67015122" w14:textId="77777777" w:rsidR="00830E92" w:rsidRPr="000973F2" w:rsidRDefault="00830E92" w:rsidP="009D1FB5">
            <w:pPr>
              <w:spacing w:before="40" w:after="4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2</w:t>
            </w:r>
          </w:p>
        </w:tc>
        <w:tc>
          <w:tcPr>
            <w:tcW w:w="808" w:type="dxa"/>
            <w:noWrap/>
            <w:hideMark/>
          </w:tcPr>
          <w:p w14:paraId="38926137" w14:textId="77777777" w:rsidR="00830E92" w:rsidRPr="000973F2" w:rsidRDefault="00830E92" w:rsidP="009D1FB5">
            <w:pPr>
              <w:spacing w:before="40" w:after="4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0</w:t>
            </w:r>
          </w:p>
        </w:tc>
        <w:tc>
          <w:tcPr>
            <w:tcW w:w="808" w:type="dxa"/>
            <w:noWrap/>
            <w:hideMark/>
          </w:tcPr>
          <w:p w14:paraId="62A848FB" w14:textId="77777777" w:rsidR="00830E92" w:rsidRPr="000973F2" w:rsidRDefault="00830E92" w:rsidP="009D1FB5">
            <w:pPr>
              <w:tabs>
                <w:tab w:val="decimal" w:pos="316"/>
              </w:tabs>
              <w:spacing w:before="40" w:after="4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0.4</w:t>
            </w:r>
          </w:p>
        </w:tc>
        <w:tc>
          <w:tcPr>
            <w:tcW w:w="807" w:type="dxa"/>
            <w:noWrap/>
            <w:hideMark/>
          </w:tcPr>
          <w:p w14:paraId="6D04A264" w14:textId="77777777" w:rsidR="00830E92" w:rsidRPr="000973F2" w:rsidRDefault="00830E92" w:rsidP="009D1FB5">
            <w:pPr>
              <w:spacing w:before="40" w:after="4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0</w:t>
            </w:r>
          </w:p>
        </w:tc>
        <w:tc>
          <w:tcPr>
            <w:tcW w:w="808" w:type="dxa"/>
            <w:noWrap/>
            <w:hideMark/>
          </w:tcPr>
          <w:p w14:paraId="65D6D508" w14:textId="77777777" w:rsidR="00830E92" w:rsidRPr="000973F2" w:rsidRDefault="00830E92" w:rsidP="009D1FB5">
            <w:pPr>
              <w:tabs>
                <w:tab w:val="decimal" w:pos="376"/>
              </w:tabs>
              <w:spacing w:before="40" w:after="4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4</w:t>
            </w:r>
          </w:p>
        </w:tc>
        <w:tc>
          <w:tcPr>
            <w:tcW w:w="808" w:type="dxa"/>
            <w:noWrap/>
            <w:hideMark/>
          </w:tcPr>
          <w:p w14:paraId="7DB773BC" w14:textId="77777777" w:rsidR="00830E92" w:rsidRPr="000973F2" w:rsidRDefault="00830E92" w:rsidP="009D1FB5">
            <w:pPr>
              <w:spacing w:before="40" w:after="4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0</w:t>
            </w:r>
          </w:p>
        </w:tc>
        <w:tc>
          <w:tcPr>
            <w:tcW w:w="808" w:type="dxa"/>
            <w:noWrap/>
            <w:hideMark/>
          </w:tcPr>
          <w:p w14:paraId="01DFFFB7" w14:textId="77777777" w:rsidR="00830E92" w:rsidRPr="000973F2" w:rsidRDefault="00830E92" w:rsidP="009D1FB5">
            <w:pPr>
              <w:tabs>
                <w:tab w:val="decimal" w:pos="286"/>
              </w:tabs>
              <w:spacing w:before="40" w:after="4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0.4</w:t>
            </w:r>
          </w:p>
        </w:tc>
        <w:tc>
          <w:tcPr>
            <w:tcW w:w="706" w:type="dxa"/>
            <w:noWrap/>
            <w:hideMark/>
          </w:tcPr>
          <w:p w14:paraId="0961D23F" w14:textId="36BC2586" w:rsidR="00830E92" w:rsidRPr="000973F2" w:rsidRDefault="00830E92" w:rsidP="009D1FB5">
            <w:pPr>
              <w:spacing w:before="40" w:after="4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$0</w:t>
            </w:r>
          </w:p>
        </w:tc>
        <w:tc>
          <w:tcPr>
            <w:tcW w:w="830" w:type="dxa"/>
            <w:noWrap/>
            <w:hideMark/>
          </w:tcPr>
          <w:p w14:paraId="08CB684D" w14:textId="6AF8589F" w:rsidR="00830E92" w:rsidRPr="000973F2" w:rsidRDefault="00830E92" w:rsidP="009D1FB5">
            <w:pPr>
              <w:tabs>
                <w:tab w:val="decimal" w:pos="541"/>
              </w:tabs>
              <w:spacing w:before="40" w:after="4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$560</w:t>
            </w:r>
          </w:p>
        </w:tc>
      </w:tr>
      <w:tr w:rsidR="00B42F50" w:rsidRPr="000973F2" w14:paraId="4271158B" w14:textId="77777777" w:rsidTr="00B926DD">
        <w:trPr>
          <w:gridAfter w:val="1"/>
          <w:cnfStyle w:val="000000100000" w:firstRow="0" w:lastRow="0" w:firstColumn="0" w:lastColumn="0" w:oddVBand="0" w:evenVBand="0" w:oddHBand="1" w:evenHBand="0" w:firstRowFirstColumn="0" w:firstRowLastColumn="0" w:lastRowFirstColumn="0" w:lastRowLastColumn="0"/>
          <w:wAfter w:w="13" w:type="dxa"/>
          <w:cantSplit/>
        </w:trPr>
        <w:tc>
          <w:tcPr>
            <w:cnfStyle w:val="001000000000" w:firstRow="0" w:lastRow="0" w:firstColumn="1" w:lastColumn="0" w:oddVBand="0" w:evenVBand="0" w:oddHBand="0" w:evenHBand="0" w:firstRowFirstColumn="0" w:firstRowLastColumn="0" w:lastRowFirstColumn="0" w:lastRowLastColumn="0"/>
            <w:tcW w:w="1319" w:type="dxa"/>
            <w:hideMark/>
          </w:tcPr>
          <w:p w14:paraId="35967810" w14:textId="77777777" w:rsidR="00830E92" w:rsidRPr="000973F2" w:rsidRDefault="00830E92" w:rsidP="009D1FB5">
            <w:pPr>
              <w:spacing w:before="40" w:after="4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QA/QC</w:t>
            </w:r>
          </w:p>
        </w:tc>
        <w:tc>
          <w:tcPr>
            <w:tcW w:w="807" w:type="dxa"/>
            <w:noWrap/>
            <w:hideMark/>
          </w:tcPr>
          <w:p w14:paraId="6888DA32" w14:textId="77777777" w:rsidR="00830E92" w:rsidRPr="000973F2" w:rsidRDefault="00830E92" w:rsidP="009D1FB5">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0</w:t>
            </w:r>
          </w:p>
        </w:tc>
        <w:tc>
          <w:tcPr>
            <w:tcW w:w="808" w:type="dxa"/>
            <w:noWrap/>
            <w:hideMark/>
          </w:tcPr>
          <w:p w14:paraId="6527AEF1" w14:textId="77777777" w:rsidR="00830E92" w:rsidRPr="000973F2" w:rsidRDefault="00830E92" w:rsidP="009D1FB5">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0</w:t>
            </w:r>
          </w:p>
        </w:tc>
        <w:tc>
          <w:tcPr>
            <w:tcW w:w="808" w:type="dxa"/>
            <w:noWrap/>
            <w:hideMark/>
          </w:tcPr>
          <w:p w14:paraId="3E6F3A47" w14:textId="77777777" w:rsidR="00830E92" w:rsidRPr="000973F2" w:rsidRDefault="00830E92" w:rsidP="009D1FB5">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0</w:t>
            </w:r>
          </w:p>
        </w:tc>
        <w:tc>
          <w:tcPr>
            <w:tcW w:w="808" w:type="dxa"/>
            <w:noWrap/>
            <w:hideMark/>
          </w:tcPr>
          <w:p w14:paraId="4C1B90C1" w14:textId="77777777" w:rsidR="00830E92" w:rsidRPr="000973F2" w:rsidRDefault="00830E92" w:rsidP="009D1FB5">
            <w:pPr>
              <w:tabs>
                <w:tab w:val="decimal" w:pos="316"/>
              </w:tabs>
              <w:spacing w:before="40" w:after="4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1</w:t>
            </w:r>
          </w:p>
        </w:tc>
        <w:tc>
          <w:tcPr>
            <w:tcW w:w="807" w:type="dxa"/>
            <w:noWrap/>
            <w:hideMark/>
          </w:tcPr>
          <w:p w14:paraId="588D2995" w14:textId="77777777" w:rsidR="00830E92" w:rsidRPr="000973F2" w:rsidRDefault="00830E92" w:rsidP="009D1FB5">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0</w:t>
            </w:r>
          </w:p>
        </w:tc>
        <w:tc>
          <w:tcPr>
            <w:tcW w:w="808" w:type="dxa"/>
            <w:noWrap/>
            <w:hideMark/>
          </w:tcPr>
          <w:p w14:paraId="3A81216E" w14:textId="77777777" w:rsidR="00830E92" w:rsidRPr="000973F2" w:rsidRDefault="00830E92" w:rsidP="009D1FB5">
            <w:pPr>
              <w:tabs>
                <w:tab w:val="decimal" w:pos="376"/>
              </w:tabs>
              <w:spacing w:before="40" w:after="4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10</w:t>
            </w:r>
          </w:p>
        </w:tc>
        <w:tc>
          <w:tcPr>
            <w:tcW w:w="808" w:type="dxa"/>
            <w:noWrap/>
            <w:hideMark/>
          </w:tcPr>
          <w:p w14:paraId="06EC4CCF" w14:textId="77777777" w:rsidR="00830E92" w:rsidRPr="000973F2" w:rsidRDefault="00830E92" w:rsidP="009D1FB5">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0</w:t>
            </w:r>
          </w:p>
        </w:tc>
        <w:tc>
          <w:tcPr>
            <w:tcW w:w="808" w:type="dxa"/>
            <w:noWrap/>
            <w:hideMark/>
          </w:tcPr>
          <w:p w14:paraId="324B5E7E" w14:textId="77777777" w:rsidR="00830E92" w:rsidRPr="000973F2" w:rsidRDefault="00830E92" w:rsidP="009D1FB5">
            <w:pPr>
              <w:tabs>
                <w:tab w:val="decimal" w:pos="286"/>
              </w:tabs>
              <w:spacing w:before="40" w:after="4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1</w:t>
            </w:r>
          </w:p>
        </w:tc>
        <w:tc>
          <w:tcPr>
            <w:tcW w:w="706" w:type="dxa"/>
            <w:noWrap/>
            <w:hideMark/>
          </w:tcPr>
          <w:p w14:paraId="1074D195" w14:textId="546CCEE3" w:rsidR="00830E92" w:rsidRPr="000973F2" w:rsidRDefault="00830E92" w:rsidP="009D1FB5">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$0</w:t>
            </w:r>
          </w:p>
        </w:tc>
        <w:tc>
          <w:tcPr>
            <w:tcW w:w="830" w:type="dxa"/>
            <w:noWrap/>
            <w:hideMark/>
          </w:tcPr>
          <w:p w14:paraId="6C98F161" w14:textId="6D49AF82" w:rsidR="00830E92" w:rsidRPr="000973F2" w:rsidRDefault="00830E92" w:rsidP="009D1FB5">
            <w:pPr>
              <w:tabs>
                <w:tab w:val="decimal" w:pos="541"/>
              </w:tabs>
              <w:spacing w:before="40" w:after="4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$838</w:t>
            </w:r>
          </w:p>
        </w:tc>
      </w:tr>
      <w:tr w:rsidR="009D1FB5" w:rsidRPr="000973F2" w14:paraId="64EC4C2C" w14:textId="77777777" w:rsidTr="009D1FB5">
        <w:trPr>
          <w:gridAfter w:val="1"/>
          <w:wAfter w:w="13" w:type="dxa"/>
          <w:cantSplit/>
        </w:trPr>
        <w:tc>
          <w:tcPr>
            <w:cnfStyle w:val="001000000000" w:firstRow="0" w:lastRow="0" w:firstColumn="1" w:lastColumn="0" w:oddVBand="0" w:evenVBand="0" w:oddHBand="0" w:evenHBand="0" w:firstRowFirstColumn="0" w:firstRowLastColumn="0" w:lastRowFirstColumn="0" w:lastRowLastColumn="0"/>
            <w:tcW w:w="1319" w:type="dxa"/>
            <w:hideMark/>
          </w:tcPr>
          <w:p w14:paraId="0754405A" w14:textId="77777777" w:rsidR="00830E92" w:rsidRPr="000973F2" w:rsidRDefault="00830E92" w:rsidP="009D1FB5">
            <w:pPr>
              <w:spacing w:before="40" w:after="4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Recordkeeping</w:t>
            </w:r>
          </w:p>
        </w:tc>
        <w:tc>
          <w:tcPr>
            <w:tcW w:w="807" w:type="dxa"/>
            <w:noWrap/>
            <w:hideMark/>
          </w:tcPr>
          <w:p w14:paraId="463581C7" w14:textId="77777777" w:rsidR="00830E92" w:rsidRPr="000973F2" w:rsidRDefault="00830E92" w:rsidP="009D1FB5">
            <w:pPr>
              <w:spacing w:before="40" w:after="4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0</w:t>
            </w:r>
          </w:p>
        </w:tc>
        <w:tc>
          <w:tcPr>
            <w:tcW w:w="808" w:type="dxa"/>
            <w:noWrap/>
            <w:hideMark/>
          </w:tcPr>
          <w:p w14:paraId="0DC09B45" w14:textId="77777777" w:rsidR="00830E92" w:rsidRPr="000973F2" w:rsidRDefault="00830E92" w:rsidP="009D1FB5">
            <w:pPr>
              <w:spacing w:before="40" w:after="4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0</w:t>
            </w:r>
          </w:p>
        </w:tc>
        <w:tc>
          <w:tcPr>
            <w:tcW w:w="808" w:type="dxa"/>
            <w:noWrap/>
            <w:hideMark/>
          </w:tcPr>
          <w:p w14:paraId="31114FBA" w14:textId="77777777" w:rsidR="00830E92" w:rsidRPr="000973F2" w:rsidRDefault="00830E92" w:rsidP="009D1FB5">
            <w:pPr>
              <w:spacing w:before="40" w:after="4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0</w:t>
            </w:r>
          </w:p>
        </w:tc>
        <w:tc>
          <w:tcPr>
            <w:tcW w:w="808" w:type="dxa"/>
            <w:noWrap/>
            <w:hideMark/>
          </w:tcPr>
          <w:p w14:paraId="002C6C1D" w14:textId="77777777" w:rsidR="00830E92" w:rsidRPr="000973F2" w:rsidRDefault="00830E92" w:rsidP="009D1FB5">
            <w:pPr>
              <w:tabs>
                <w:tab w:val="decimal" w:pos="316"/>
              </w:tabs>
              <w:spacing w:before="40" w:after="4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0.5</w:t>
            </w:r>
          </w:p>
        </w:tc>
        <w:tc>
          <w:tcPr>
            <w:tcW w:w="807" w:type="dxa"/>
            <w:noWrap/>
            <w:hideMark/>
          </w:tcPr>
          <w:p w14:paraId="433C4A55" w14:textId="77777777" w:rsidR="00830E92" w:rsidRPr="000973F2" w:rsidRDefault="00830E92" w:rsidP="009D1FB5">
            <w:pPr>
              <w:spacing w:before="40" w:after="4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0</w:t>
            </w:r>
          </w:p>
        </w:tc>
        <w:tc>
          <w:tcPr>
            <w:tcW w:w="808" w:type="dxa"/>
            <w:noWrap/>
            <w:hideMark/>
          </w:tcPr>
          <w:p w14:paraId="7AFC88C0" w14:textId="77777777" w:rsidR="00830E92" w:rsidRPr="000973F2" w:rsidRDefault="00830E92" w:rsidP="009D1FB5">
            <w:pPr>
              <w:tabs>
                <w:tab w:val="decimal" w:pos="376"/>
              </w:tabs>
              <w:spacing w:before="40" w:after="4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5</w:t>
            </w:r>
          </w:p>
        </w:tc>
        <w:tc>
          <w:tcPr>
            <w:tcW w:w="808" w:type="dxa"/>
            <w:noWrap/>
            <w:hideMark/>
          </w:tcPr>
          <w:p w14:paraId="45172F3A" w14:textId="77777777" w:rsidR="00830E92" w:rsidRPr="000973F2" w:rsidRDefault="00830E92" w:rsidP="009D1FB5">
            <w:pPr>
              <w:spacing w:before="40" w:after="4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0</w:t>
            </w:r>
          </w:p>
        </w:tc>
        <w:tc>
          <w:tcPr>
            <w:tcW w:w="808" w:type="dxa"/>
            <w:noWrap/>
            <w:hideMark/>
          </w:tcPr>
          <w:p w14:paraId="257B991E" w14:textId="77777777" w:rsidR="00830E92" w:rsidRPr="000973F2" w:rsidRDefault="00830E92" w:rsidP="009D1FB5">
            <w:pPr>
              <w:tabs>
                <w:tab w:val="decimal" w:pos="286"/>
              </w:tabs>
              <w:spacing w:before="40" w:after="4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0.5</w:t>
            </w:r>
          </w:p>
        </w:tc>
        <w:tc>
          <w:tcPr>
            <w:tcW w:w="706" w:type="dxa"/>
            <w:noWrap/>
            <w:hideMark/>
          </w:tcPr>
          <w:p w14:paraId="11ADCD99" w14:textId="3EDEEE49" w:rsidR="00830E92" w:rsidRPr="000973F2" w:rsidRDefault="00830E92" w:rsidP="009D1FB5">
            <w:pPr>
              <w:spacing w:before="40" w:after="4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$0</w:t>
            </w:r>
          </w:p>
        </w:tc>
        <w:tc>
          <w:tcPr>
            <w:tcW w:w="830" w:type="dxa"/>
            <w:noWrap/>
            <w:hideMark/>
          </w:tcPr>
          <w:p w14:paraId="53B514D0" w14:textId="09683B44" w:rsidR="00830E92" w:rsidRPr="000973F2" w:rsidRDefault="00830E92" w:rsidP="009D1FB5">
            <w:pPr>
              <w:tabs>
                <w:tab w:val="decimal" w:pos="541"/>
              </w:tabs>
              <w:spacing w:before="40" w:after="4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$419</w:t>
            </w:r>
          </w:p>
        </w:tc>
      </w:tr>
      <w:tr w:rsidR="00AD5834" w:rsidRPr="000973F2" w14:paraId="4C471096" w14:textId="77777777" w:rsidTr="00B926DD">
        <w:trPr>
          <w:gridAfter w:val="1"/>
          <w:cnfStyle w:val="000000100000" w:firstRow="0" w:lastRow="0" w:firstColumn="0" w:lastColumn="0" w:oddVBand="0" w:evenVBand="0" w:oddHBand="1" w:evenHBand="0" w:firstRowFirstColumn="0" w:firstRowLastColumn="0" w:lastRowFirstColumn="0" w:lastRowLastColumn="0"/>
          <w:wAfter w:w="13" w:type="dxa"/>
          <w:cantSplit/>
        </w:trPr>
        <w:tc>
          <w:tcPr>
            <w:cnfStyle w:val="001000000000" w:firstRow="0" w:lastRow="0" w:firstColumn="1" w:lastColumn="0" w:oddVBand="0" w:evenVBand="0" w:oddHBand="0" w:evenHBand="0" w:firstRowFirstColumn="0" w:firstRowLastColumn="0" w:lastRowFirstColumn="0" w:lastRowLastColumn="0"/>
            <w:tcW w:w="1319" w:type="dxa"/>
            <w:hideMark/>
          </w:tcPr>
          <w:p w14:paraId="5833214E" w14:textId="77777777" w:rsidR="003E005F" w:rsidRPr="000973F2" w:rsidRDefault="003E005F" w:rsidP="009D1FB5">
            <w:pPr>
              <w:spacing w:before="40" w:after="4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Sampling and Analysis (Calculations)</w:t>
            </w:r>
          </w:p>
        </w:tc>
        <w:tc>
          <w:tcPr>
            <w:tcW w:w="807" w:type="dxa"/>
            <w:noWrap/>
            <w:hideMark/>
          </w:tcPr>
          <w:p w14:paraId="3C9187B3" w14:textId="5CE156EE" w:rsidR="003E005F" w:rsidRPr="000973F2" w:rsidRDefault="009D1FB5" w:rsidP="009D1FB5">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w:t>
            </w:r>
          </w:p>
        </w:tc>
        <w:tc>
          <w:tcPr>
            <w:tcW w:w="808" w:type="dxa"/>
            <w:noWrap/>
            <w:hideMark/>
          </w:tcPr>
          <w:p w14:paraId="360FBA1D" w14:textId="22A3D6AE" w:rsidR="003E005F" w:rsidRPr="000973F2" w:rsidRDefault="009D1FB5" w:rsidP="009D1FB5">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w:t>
            </w:r>
          </w:p>
        </w:tc>
        <w:tc>
          <w:tcPr>
            <w:tcW w:w="808" w:type="dxa"/>
            <w:noWrap/>
            <w:hideMark/>
          </w:tcPr>
          <w:p w14:paraId="1463CD72" w14:textId="1021AD7C" w:rsidR="003E005F" w:rsidRPr="000973F2" w:rsidRDefault="009D1FB5" w:rsidP="009D1FB5">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w:t>
            </w:r>
          </w:p>
        </w:tc>
        <w:tc>
          <w:tcPr>
            <w:tcW w:w="808" w:type="dxa"/>
            <w:noWrap/>
            <w:hideMark/>
          </w:tcPr>
          <w:p w14:paraId="53CD38E6" w14:textId="3674620B" w:rsidR="003E005F" w:rsidRPr="000973F2" w:rsidRDefault="009D1FB5" w:rsidP="009D1FB5">
            <w:pPr>
              <w:tabs>
                <w:tab w:val="decimal" w:pos="316"/>
              </w:tabs>
              <w:spacing w:before="40" w:after="4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w:t>
            </w:r>
          </w:p>
        </w:tc>
        <w:tc>
          <w:tcPr>
            <w:tcW w:w="807" w:type="dxa"/>
            <w:noWrap/>
            <w:hideMark/>
          </w:tcPr>
          <w:p w14:paraId="030CA906" w14:textId="5F7C55A4" w:rsidR="003E005F" w:rsidRPr="000973F2" w:rsidRDefault="009D1FB5" w:rsidP="009D1FB5">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w:t>
            </w:r>
          </w:p>
        </w:tc>
        <w:tc>
          <w:tcPr>
            <w:tcW w:w="808" w:type="dxa"/>
            <w:noWrap/>
            <w:hideMark/>
          </w:tcPr>
          <w:p w14:paraId="17BCFA03" w14:textId="35CA1EF5" w:rsidR="003E005F" w:rsidRPr="000973F2" w:rsidRDefault="009D1FB5" w:rsidP="009D1FB5">
            <w:pPr>
              <w:tabs>
                <w:tab w:val="decimal" w:pos="376"/>
              </w:tabs>
              <w:spacing w:before="40" w:after="4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w:t>
            </w:r>
          </w:p>
        </w:tc>
        <w:tc>
          <w:tcPr>
            <w:tcW w:w="808" w:type="dxa"/>
            <w:noWrap/>
            <w:hideMark/>
          </w:tcPr>
          <w:p w14:paraId="47D00CB9" w14:textId="29D3F745" w:rsidR="003E005F" w:rsidRPr="000973F2" w:rsidRDefault="009D1FB5" w:rsidP="009D1FB5">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w:t>
            </w:r>
          </w:p>
        </w:tc>
        <w:tc>
          <w:tcPr>
            <w:tcW w:w="808" w:type="dxa"/>
            <w:noWrap/>
            <w:hideMark/>
          </w:tcPr>
          <w:p w14:paraId="1384F891" w14:textId="7C9EAD56" w:rsidR="003E005F" w:rsidRPr="000973F2" w:rsidRDefault="009D1FB5" w:rsidP="009D1FB5">
            <w:pPr>
              <w:tabs>
                <w:tab w:val="decimal" w:pos="286"/>
              </w:tabs>
              <w:spacing w:before="40" w:after="4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w:t>
            </w:r>
          </w:p>
        </w:tc>
        <w:tc>
          <w:tcPr>
            <w:tcW w:w="706" w:type="dxa"/>
            <w:noWrap/>
            <w:hideMark/>
          </w:tcPr>
          <w:p w14:paraId="6F40809B" w14:textId="5B837ECC" w:rsidR="003E005F" w:rsidRPr="000973F2" w:rsidRDefault="009D1FB5" w:rsidP="009D1FB5">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w:t>
            </w:r>
          </w:p>
        </w:tc>
        <w:tc>
          <w:tcPr>
            <w:tcW w:w="830" w:type="dxa"/>
            <w:noWrap/>
            <w:hideMark/>
          </w:tcPr>
          <w:p w14:paraId="1892A16A" w14:textId="60F11156" w:rsidR="003E005F" w:rsidRPr="000973F2" w:rsidRDefault="009D1FB5" w:rsidP="009D1FB5">
            <w:pPr>
              <w:tabs>
                <w:tab w:val="decimal" w:pos="541"/>
              </w:tabs>
              <w:spacing w:before="40" w:after="4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w:t>
            </w:r>
          </w:p>
        </w:tc>
      </w:tr>
      <w:tr w:rsidR="009D1FB5" w:rsidRPr="000973F2" w14:paraId="0FA217D7" w14:textId="77777777" w:rsidTr="009D1FB5">
        <w:trPr>
          <w:gridAfter w:val="1"/>
          <w:wAfter w:w="13" w:type="dxa"/>
          <w:cantSplit/>
        </w:trPr>
        <w:tc>
          <w:tcPr>
            <w:cnfStyle w:val="001000000000" w:firstRow="0" w:lastRow="0" w:firstColumn="1" w:lastColumn="0" w:oddVBand="0" w:evenVBand="0" w:oddHBand="0" w:evenHBand="0" w:firstRowFirstColumn="0" w:firstRowLastColumn="0" w:lastRowFirstColumn="0" w:lastRowLastColumn="0"/>
            <w:tcW w:w="1319" w:type="dxa"/>
            <w:hideMark/>
          </w:tcPr>
          <w:p w14:paraId="5D54235B" w14:textId="77777777" w:rsidR="00830E92" w:rsidRPr="000973F2" w:rsidRDefault="00830E92" w:rsidP="009D1FB5">
            <w:pPr>
              <w:spacing w:before="40" w:after="4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Reporting</w:t>
            </w:r>
          </w:p>
        </w:tc>
        <w:tc>
          <w:tcPr>
            <w:tcW w:w="807" w:type="dxa"/>
            <w:noWrap/>
            <w:hideMark/>
          </w:tcPr>
          <w:p w14:paraId="7FDD443A" w14:textId="77777777" w:rsidR="00830E92" w:rsidRPr="000973F2" w:rsidRDefault="00830E92" w:rsidP="009D1FB5">
            <w:pPr>
              <w:spacing w:before="40" w:after="4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0</w:t>
            </w:r>
          </w:p>
        </w:tc>
        <w:tc>
          <w:tcPr>
            <w:tcW w:w="808" w:type="dxa"/>
            <w:noWrap/>
            <w:hideMark/>
          </w:tcPr>
          <w:p w14:paraId="668F7408" w14:textId="77777777" w:rsidR="00830E92" w:rsidRPr="000973F2" w:rsidRDefault="00830E92" w:rsidP="009D1FB5">
            <w:pPr>
              <w:spacing w:before="40" w:after="4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0</w:t>
            </w:r>
          </w:p>
        </w:tc>
        <w:tc>
          <w:tcPr>
            <w:tcW w:w="808" w:type="dxa"/>
            <w:noWrap/>
            <w:hideMark/>
          </w:tcPr>
          <w:p w14:paraId="286346A0" w14:textId="77777777" w:rsidR="00830E92" w:rsidRPr="000973F2" w:rsidRDefault="00830E92" w:rsidP="009D1FB5">
            <w:pPr>
              <w:spacing w:before="40" w:after="4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0</w:t>
            </w:r>
          </w:p>
        </w:tc>
        <w:tc>
          <w:tcPr>
            <w:tcW w:w="808" w:type="dxa"/>
            <w:noWrap/>
            <w:hideMark/>
          </w:tcPr>
          <w:p w14:paraId="03993B4D" w14:textId="77777777" w:rsidR="00830E92" w:rsidRPr="000973F2" w:rsidRDefault="00830E92" w:rsidP="009D1FB5">
            <w:pPr>
              <w:tabs>
                <w:tab w:val="decimal" w:pos="316"/>
              </w:tabs>
              <w:spacing w:before="40" w:after="4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1</w:t>
            </w:r>
          </w:p>
        </w:tc>
        <w:tc>
          <w:tcPr>
            <w:tcW w:w="807" w:type="dxa"/>
            <w:noWrap/>
            <w:hideMark/>
          </w:tcPr>
          <w:p w14:paraId="28849DEA" w14:textId="77777777" w:rsidR="00830E92" w:rsidRPr="000973F2" w:rsidRDefault="00830E92" w:rsidP="009D1FB5">
            <w:pPr>
              <w:spacing w:before="40" w:after="4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0</w:t>
            </w:r>
          </w:p>
        </w:tc>
        <w:tc>
          <w:tcPr>
            <w:tcW w:w="808" w:type="dxa"/>
            <w:noWrap/>
            <w:hideMark/>
          </w:tcPr>
          <w:p w14:paraId="02AAE28B" w14:textId="77777777" w:rsidR="00830E92" w:rsidRPr="000973F2" w:rsidRDefault="00830E92" w:rsidP="009D1FB5">
            <w:pPr>
              <w:tabs>
                <w:tab w:val="decimal" w:pos="376"/>
              </w:tabs>
              <w:spacing w:before="40" w:after="4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10</w:t>
            </w:r>
          </w:p>
        </w:tc>
        <w:tc>
          <w:tcPr>
            <w:tcW w:w="808" w:type="dxa"/>
            <w:noWrap/>
            <w:hideMark/>
          </w:tcPr>
          <w:p w14:paraId="70C19B60" w14:textId="77777777" w:rsidR="00830E92" w:rsidRPr="000973F2" w:rsidRDefault="00830E92" w:rsidP="009D1FB5">
            <w:pPr>
              <w:spacing w:before="40" w:after="4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0</w:t>
            </w:r>
          </w:p>
        </w:tc>
        <w:tc>
          <w:tcPr>
            <w:tcW w:w="808" w:type="dxa"/>
            <w:noWrap/>
            <w:hideMark/>
          </w:tcPr>
          <w:p w14:paraId="4E72AA83" w14:textId="77777777" w:rsidR="00830E92" w:rsidRPr="000973F2" w:rsidRDefault="00830E92" w:rsidP="009D1FB5">
            <w:pPr>
              <w:tabs>
                <w:tab w:val="decimal" w:pos="286"/>
              </w:tabs>
              <w:spacing w:before="40" w:after="4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1</w:t>
            </w:r>
          </w:p>
        </w:tc>
        <w:tc>
          <w:tcPr>
            <w:tcW w:w="706" w:type="dxa"/>
            <w:noWrap/>
            <w:hideMark/>
          </w:tcPr>
          <w:p w14:paraId="20043F14" w14:textId="7EB663E2" w:rsidR="00830E92" w:rsidRPr="000973F2" w:rsidRDefault="00830E92" w:rsidP="009D1FB5">
            <w:pPr>
              <w:spacing w:before="40" w:after="4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$0</w:t>
            </w:r>
          </w:p>
        </w:tc>
        <w:tc>
          <w:tcPr>
            <w:tcW w:w="830" w:type="dxa"/>
            <w:noWrap/>
            <w:hideMark/>
          </w:tcPr>
          <w:p w14:paraId="5DF4B3C9" w14:textId="3622E08B" w:rsidR="00830E92" w:rsidRPr="000973F2" w:rsidRDefault="00830E92" w:rsidP="009D1FB5">
            <w:pPr>
              <w:tabs>
                <w:tab w:val="decimal" w:pos="541"/>
              </w:tabs>
              <w:spacing w:before="40" w:after="4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$838</w:t>
            </w:r>
          </w:p>
        </w:tc>
      </w:tr>
      <w:tr w:rsidR="00B42F50" w:rsidRPr="000973F2" w14:paraId="300A0E64" w14:textId="77777777" w:rsidTr="00B926DD">
        <w:trPr>
          <w:gridAfter w:val="1"/>
          <w:cnfStyle w:val="000000100000" w:firstRow="0" w:lastRow="0" w:firstColumn="0" w:lastColumn="0" w:oddVBand="0" w:evenVBand="0" w:oddHBand="1" w:evenHBand="0" w:firstRowFirstColumn="0" w:firstRowLastColumn="0" w:lastRowFirstColumn="0" w:lastRowLastColumn="0"/>
          <w:wAfter w:w="13" w:type="dxa"/>
          <w:cantSplit/>
        </w:trPr>
        <w:tc>
          <w:tcPr>
            <w:cnfStyle w:val="001000000000" w:firstRow="0" w:lastRow="0" w:firstColumn="1" w:lastColumn="0" w:oddVBand="0" w:evenVBand="0" w:oddHBand="0" w:evenHBand="0" w:firstRowFirstColumn="0" w:firstRowLastColumn="0" w:lastRowFirstColumn="0" w:lastRowLastColumn="0"/>
            <w:tcW w:w="1319" w:type="dxa"/>
            <w:noWrap/>
            <w:hideMark/>
          </w:tcPr>
          <w:p w14:paraId="58794335" w14:textId="77777777" w:rsidR="00830E92" w:rsidRPr="000973F2" w:rsidRDefault="00830E92" w:rsidP="009D1FB5">
            <w:pPr>
              <w:spacing w:before="40" w:after="40"/>
              <w:rPr>
                <w:rFonts w:ascii="Times New Roman" w:eastAsia="Times New Roman" w:hAnsi="Times New Roman" w:cs="Times New Roman"/>
                <w:b/>
                <w:bCs w:val="0"/>
                <w:sz w:val="18"/>
                <w:szCs w:val="18"/>
              </w:rPr>
            </w:pPr>
            <w:r w:rsidRPr="000973F2">
              <w:rPr>
                <w:rFonts w:ascii="Times New Roman" w:eastAsia="Times New Roman" w:hAnsi="Times New Roman" w:cs="Times New Roman"/>
                <w:b/>
                <w:sz w:val="18"/>
                <w:szCs w:val="18"/>
              </w:rPr>
              <w:t>Total</w:t>
            </w:r>
          </w:p>
        </w:tc>
        <w:tc>
          <w:tcPr>
            <w:tcW w:w="807" w:type="dxa"/>
            <w:noWrap/>
            <w:hideMark/>
          </w:tcPr>
          <w:p w14:paraId="3F14399F" w14:textId="77777777" w:rsidR="00830E92" w:rsidRPr="000973F2" w:rsidRDefault="00830E92" w:rsidP="009D1FB5">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18"/>
                <w:szCs w:val="18"/>
              </w:rPr>
            </w:pPr>
            <w:r w:rsidRPr="000973F2">
              <w:rPr>
                <w:rFonts w:ascii="Times New Roman" w:eastAsia="Times New Roman" w:hAnsi="Times New Roman" w:cs="Times New Roman"/>
                <w:b/>
                <w:bCs/>
                <w:sz w:val="18"/>
                <w:szCs w:val="18"/>
              </w:rPr>
              <w:t>0</w:t>
            </w:r>
          </w:p>
        </w:tc>
        <w:tc>
          <w:tcPr>
            <w:tcW w:w="808" w:type="dxa"/>
            <w:noWrap/>
            <w:hideMark/>
          </w:tcPr>
          <w:p w14:paraId="05F35BC9" w14:textId="77777777" w:rsidR="00830E92" w:rsidRPr="000973F2" w:rsidRDefault="00830E92" w:rsidP="009D1FB5">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18"/>
                <w:szCs w:val="18"/>
              </w:rPr>
            </w:pPr>
            <w:r w:rsidRPr="000973F2">
              <w:rPr>
                <w:rFonts w:ascii="Times New Roman" w:eastAsia="Times New Roman" w:hAnsi="Times New Roman" w:cs="Times New Roman"/>
                <w:b/>
                <w:bCs/>
                <w:sz w:val="18"/>
                <w:szCs w:val="18"/>
              </w:rPr>
              <w:t>2</w:t>
            </w:r>
          </w:p>
        </w:tc>
        <w:tc>
          <w:tcPr>
            <w:tcW w:w="808" w:type="dxa"/>
            <w:noWrap/>
            <w:hideMark/>
          </w:tcPr>
          <w:p w14:paraId="6414EB62" w14:textId="77777777" w:rsidR="00830E92" w:rsidRPr="000973F2" w:rsidRDefault="00830E92" w:rsidP="009D1FB5">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18"/>
                <w:szCs w:val="18"/>
              </w:rPr>
            </w:pPr>
            <w:r w:rsidRPr="000973F2">
              <w:rPr>
                <w:rFonts w:ascii="Times New Roman" w:eastAsia="Times New Roman" w:hAnsi="Times New Roman" w:cs="Times New Roman"/>
                <w:b/>
                <w:bCs/>
                <w:sz w:val="18"/>
                <w:szCs w:val="18"/>
              </w:rPr>
              <w:t>0</w:t>
            </w:r>
          </w:p>
        </w:tc>
        <w:tc>
          <w:tcPr>
            <w:tcW w:w="808" w:type="dxa"/>
            <w:noWrap/>
            <w:hideMark/>
          </w:tcPr>
          <w:p w14:paraId="119705BE" w14:textId="77777777" w:rsidR="00830E92" w:rsidRPr="000973F2" w:rsidRDefault="00830E92" w:rsidP="009D1FB5">
            <w:pPr>
              <w:tabs>
                <w:tab w:val="decimal" w:pos="316"/>
              </w:tabs>
              <w:spacing w:before="40" w:after="4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18"/>
                <w:szCs w:val="18"/>
              </w:rPr>
            </w:pPr>
            <w:r w:rsidRPr="000973F2">
              <w:rPr>
                <w:rFonts w:ascii="Times New Roman" w:eastAsia="Times New Roman" w:hAnsi="Times New Roman" w:cs="Times New Roman"/>
                <w:b/>
                <w:bCs/>
                <w:sz w:val="18"/>
                <w:szCs w:val="18"/>
              </w:rPr>
              <w:t>2.9</w:t>
            </w:r>
          </w:p>
        </w:tc>
        <w:tc>
          <w:tcPr>
            <w:tcW w:w="807" w:type="dxa"/>
            <w:noWrap/>
            <w:hideMark/>
          </w:tcPr>
          <w:p w14:paraId="69C3F627" w14:textId="77777777" w:rsidR="00830E92" w:rsidRPr="000973F2" w:rsidRDefault="00830E92" w:rsidP="009D1FB5">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18"/>
                <w:szCs w:val="18"/>
              </w:rPr>
            </w:pPr>
            <w:r w:rsidRPr="000973F2">
              <w:rPr>
                <w:rFonts w:ascii="Times New Roman" w:eastAsia="Times New Roman" w:hAnsi="Times New Roman" w:cs="Times New Roman"/>
                <w:b/>
                <w:bCs/>
                <w:sz w:val="18"/>
                <w:szCs w:val="18"/>
              </w:rPr>
              <w:t>0</w:t>
            </w:r>
          </w:p>
        </w:tc>
        <w:tc>
          <w:tcPr>
            <w:tcW w:w="808" w:type="dxa"/>
            <w:noWrap/>
            <w:hideMark/>
          </w:tcPr>
          <w:p w14:paraId="1DC735D9" w14:textId="77777777" w:rsidR="00830E92" w:rsidRPr="000973F2" w:rsidRDefault="00830E92" w:rsidP="009D1FB5">
            <w:pPr>
              <w:tabs>
                <w:tab w:val="decimal" w:pos="376"/>
              </w:tabs>
              <w:spacing w:before="40" w:after="4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18"/>
                <w:szCs w:val="18"/>
              </w:rPr>
            </w:pPr>
            <w:r w:rsidRPr="000973F2">
              <w:rPr>
                <w:rFonts w:ascii="Times New Roman" w:eastAsia="Times New Roman" w:hAnsi="Times New Roman" w:cs="Times New Roman"/>
                <w:b/>
                <w:bCs/>
                <w:sz w:val="18"/>
                <w:szCs w:val="18"/>
              </w:rPr>
              <w:t>29</w:t>
            </w:r>
          </w:p>
        </w:tc>
        <w:tc>
          <w:tcPr>
            <w:tcW w:w="808" w:type="dxa"/>
            <w:noWrap/>
            <w:hideMark/>
          </w:tcPr>
          <w:p w14:paraId="7E698D16" w14:textId="77777777" w:rsidR="00830E92" w:rsidRPr="000973F2" w:rsidRDefault="00830E92" w:rsidP="009D1FB5">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18"/>
                <w:szCs w:val="18"/>
              </w:rPr>
            </w:pPr>
            <w:r w:rsidRPr="000973F2">
              <w:rPr>
                <w:rFonts w:ascii="Times New Roman" w:eastAsia="Times New Roman" w:hAnsi="Times New Roman" w:cs="Times New Roman"/>
                <w:b/>
                <w:bCs/>
                <w:sz w:val="18"/>
                <w:szCs w:val="18"/>
              </w:rPr>
              <w:t>0</w:t>
            </w:r>
          </w:p>
        </w:tc>
        <w:tc>
          <w:tcPr>
            <w:tcW w:w="808" w:type="dxa"/>
            <w:noWrap/>
            <w:hideMark/>
          </w:tcPr>
          <w:p w14:paraId="32567B3B" w14:textId="77777777" w:rsidR="00830E92" w:rsidRPr="000973F2" w:rsidRDefault="00830E92" w:rsidP="009D1FB5">
            <w:pPr>
              <w:tabs>
                <w:tab w:val="decimal" w:pos="286"/>
              </w:tabs>
              <w:spacing w:before="40" w:after="4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18"/>
                <w:szCs w:val="18"/>
              </w:rPr>
            </w:pPr>
            <w:r w:rsidRPr="000973F2">
              <w:rPr>
                <w:rFonts w:ascii="Times New Roman" w:eastAsia="Times New Roman" w:hAnsi="Times New Roman" w:cs="Times New Roman"/>
                <w:b/>
                <w:bCs/>
                <w:sz w:val="18"/>
                <w:szCs w:val="18"/>
              </w:rPr>
              <w:t>2.9</w:t>
            </w:r>
          </w:p>
        </w:tc>
        <w:tc>
          <w:tcPr>
            <w:tcW w:w="706" w:type="dxa"/>
            <w:noWrap/>
            <w:hideMark/>
          </w:tcPr>
          <w:p w14:paraId="3AC25230" w14:textId="730D0FAE" w:rsidR="00830E92" w:rsidRPr="000973F2" w:rsidRDefault="00830E92" w:rsidP="009D1FB5">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18"/>
                <w:szCs w:val="18"/>
              </w:rPr>
            </w:pPr>
            <w:r w:rsidRPr="000973F2">
              <w:rPr>
                <w:rFonts w:ascii="Times New Roman" w:eastAsia="Times New Roman" w:hAnsi="Times New Roman" w:cs="Times New Roman"/>
                <w:b/>
                <w:bCs/>
                <w:sz w:val="18"/>
                <w:szCs w:val="18"/>
              </w:rPr>
              <w:t>$0</w:t>
            </w:r>
          </w:p>
        </w:tc>
        <w:tc>
          <w:tcPr>
            <w:tcW w:w="830" w:type="dxa"/>
            <w:noWrap/>
            <w:hideMark/>
          </w:tcPr>
          <w:p w14:paraId="4BD7C76A" w14:textId="571F8896" w:rsidR="00830E92" w:rsidRPr="000973F2" w:rsidRDefault="00830E92" w:rsidP="009D1FB5">
            <w:pPr>
              <w:tabs>
                <w:tab w:val="decimal" w:pos="541"/>
              </w:tabs>
              <w:spacing w:before="40" w:after="4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18"/>
                <w:szCs w:val="18"/>
              </w:rPr>
            </w:pPr>
            <w:r w:rsidRPr="000973F2">
              <w:rPr>
                <w:rFonts w:ascii="Times New Roman" w:eastAsia="Times New Roman" w:hAnsi="Times New Roman" w:cs="Times New Roman"/>
                <w:b/>
                <w:bCs/>
                <w:sz w:val="18"/>
                <w:szCs w:val="18"/>
              </w:rPr>
              <w:t>$2,655</w:t>
            </w:r>
          </w:p>
        </w:tc>
      </w:tr>
    </w:tbl>
    <w:p w14:paraId="2B62E87A" w14:textId="77777777" w:rsidR="00830E92" w:rsidRPr="000973F2" w:rsidRDefault="00830E92" w:rsidP="009D1FB5">
      <w:pPr>
        <w:pStyle w:val="AfterTable"/>
        <w:rPr>
          <w:shd w:val="clear" w:color="auto" w:fill="FFFFFF"/>
        </w:rPr>
      </w:pPr>
    </w:p>
    <w:p w14:paraId="642DA706" w14:textId="77777777" w:rsidR="007E7F5C" w:rsidRPr="000973F2" w:rsidRDefault="007E7F5C">
      <w:pPr>
        <w:rPr>
          <w:rFonts w:ascii="Times New Roman" w:hAnsi="Times New Roman" w:cs="Times New Roman"/>
          <w:b/>
          <w:i/>
        </w:rPr>
      </w:pPr>
      <w:r w:rsidRPr="000973F2">
        <w:br w:type="page"/>
      </w:r>
    </w:p>
    <w:p w14:paraId="0C7D5B67" w14:textId="5981D0A1" w:rsidR="00830E92" w:rsidRPr="000973F2" w:rsidRDefault="00830E92" w:rsidP="00EC22EB">
      <w:pPr>
        <w:pStyle w:val="Heading2"/>
      </w:pPr>
      <w:r w:rsidRPr="000973F2">
        <w:t>Capital and O&amp;M Costs for Subpart P – CEMS Option</w:t>
      </w:r>
    </w:p>
    <w:p w14:paraId="4028320B" w14:textId="2BF32C0D" w:rsidR="00830E92" w:rsidRPr="000973F2" w:rsidRDefault="00830E92" w:rsidP="00EC22EB">
      <w:pPr>
        <w:pStyle w:val="BodyText"/>
      </w:pPr>
      <w:r w:rsidRPr="000973F2">
        <w:t xml:space="preserve">Table </w:t>
      </w:r>
      <w:r w:rsidR="007E7F5C" w:rsidRPr="000973F2">
        <w:t>P</w:t>
      </w:r>
      <w:r w:rsidR="00EC22EB" w:rsidRPr="000973F2">
        <w:t>-</w:t>
      </w:r>
      <w:r w:rsidRPr="000973F2">
        <w:t xml:space="preserve">2a presents the capital and O&amp;M costs estimated for each of the three facilities that use CEMS. No capital costs are projected for these facilities because they are expected to already have all equipment needed to comply. </w:t>
      </w:r>
    </w:p>
    <w:p w14:paraId="6114AF9A" w14:textId="3CBD968D" w:rsidR="00830E92" w:rsidRPr="000973F2" w:rsidRDefault="00830E92" w:rsidP="00EC22EB">
      <w:pPr>
        <w:pStyle w:val="BodyText"/>
      </w:pPr>
      <w:r w:rsidRPr="000973F2">
        <w:t>Facilities will incur O&amp;M costs associated with recordkeeping as discussed in the Cost Appendix Introduction.</w:t>
      </w:r>
    </w:p>
    <w:p w14:paraId="504560A2" w14:textId="317E6E22" w:rsidR="00725279" w:rsidRPr="000973F2" w:rsidRDefault="00725279" w:rsidP="00EC22EB">
      <w:pPr>
        <w:pStyle w:val="Tabletitle"/>
      </w:pPr>
      <w:r w:rsidRPr="000973F2">
        <w:t xml:space="preserve">Table </w:t>
      </w:r>
      <w:r w:rsidR="007E7F5C" w:rsidRPr="000973F2">
        <w:t>P</w:t>
      </w:r>
      <w:r w:rsidR="00EC22EB" w:rsidRPr="000973F2">
        <w:t>-</w:t>
      </w:r>
      <w:r w:rsidRPr="000973F2">
        <w:t xml:space="preserve">2a. Capital and O&amp;M Costs </w:t>
      </w:r>
      <w:r w:rsidR="00B960CC" w:rsidRPr="000973F2">
        <w:t>–</w:t>
      </w:r>
      <w:r w:rsidRPr="000973F2">
        <w:t xml:space="preserve"> Subpart P </w:t>
      </w:r>
      <w:r w:rsidR="00B960CC" w:rsidRPr="000973F2">
        <w:t>–</w:t>
      </w:r>
      <w:r w:rsidRPr="000973F2">
        <w:t xml:space="preserve"> CEMS Option</w:t>
      </w:r>
    </w:p>
    <w:tbl>
      <w:tblPr>
        <w:tblStyle w:val="PlainTable1"/>
        <w:tblW w:w="5000" w:type="pct"/>
        <w:jc w:val="left"/>
        <w:tblLayout w:type="fixed"/>
        <w:tblCellMar>
          <w:left w:w="115" w:type="dxa"/>
          <w:right w:w="115" w:type="dxa"/>
        </w:tblCellMar>
        <w:tblLook w:val="04A0" w:firstRow="1" w:lastRow="0" w:firstColumn="1" w:lastColumn="0" w:noHBand="0" w:noVBand="1"/>
      </w:tblPr>
      <w:tblGrid>
        <w:gridCol w:w="1370"/>
        <w:gridCol w:w="1370"/>
        <w:gridCol w:w="1370"/>
        <w:gridCol w:w="1370"/>
        <w:gridCol w:w="1370"/>
        <w:gridCol w:w="1370"/>
        <w:gridCol w:w="1370"/>
      </w:tblGrid>
      <w:tr w:rsidR="00FF36E8" w:rsidRPr="000973F2" w14:paraId="40D9EA71" w14:textId="77777777" w:rsidTr="007E7F5C">
        <w:trPr>
          <w:cnfStyle w:val="100000000000" w:firstRow="1" w:lastRow="0" w:firstColumn="0" w:lastColumn="0" w:oddVBand="0" w:evenVBand="0" w:oddHBand="0" w:evenHBand="0" w:firstRowFirstColumn="0" w:firstRowLastColumn="0" w:lastRowFirstColumn="0" w:lastRowLastColumn="0"/>
          <w:cantSplit/>
          <w:jc w:val="left"/>
        </w:trPr>
        <w:tc>
          <w:tcPr>
            <w:cnfStyle w:val="001000000000" w:firstRow="0" w:lastRow="0" w:firstColumn="1" w:lastColumn="0" w:oddVBand="0" w:evenVBand="0" w:oddHBand="0" w:evenHBand="0" w:firstRowFirstColumn="0" w:firstRowLastColumn="0" w:lastRowFirstColumn="0" w:lastRowLastColumn="0"/>
            <w:tcW w:w="1332" w:type="dxa"/>
            <w:vMerge w:val="restart"/>
            <w:noWrap/>
            <w:vAlign w:val="top"/>
            <w:hideMark/>
          </w:tcPr>
          <w:p w14:paraId="6199DC8A" w14:textId="2D9F2A35" w:rsidR="00FF36E8" w:rsidRPr="000973F2" w:rsidRDefault="00FF36E8" w:rsidP="007E7F5C">
            <w:pPr>
              <w:spacing w:before="40" w:after="40"/>
              <w:rPr>
                <w:rFonts w:ascii="Times New Roman" w:eastAsia="Times New Roman" w:hAnsi="Times New Roman" w:cs="Times New Roman"/>
                <w:bCs w:val="0"/>
                <w:sz w:val="18"/>
                <w:szCs w:val="18"/>
              </w:rPr>
            </w:pPr>
            <w:r w:rsidRPr="000973F2">
              <w:rPr>
                <w:rFonts w:ascii="Times New Roman" w:eastAsia="Times New Roman" w:hAnsi="Times New Roman" w:cs="Times New Roman"/>
                <w:sz w:val="18"/>
                <w:szCs w:val="18"/>
              </w:rPr>
              <w:t>Activity</w:t>
            </w:r>
          </w:p>
        </w:tc>
        <w:tc>
          <w:tcPr>
            <w:tcW w:w="5332" w:type="dxa"/>
            <w:gridSpan w:val="4"/>
            <w:noWrap/>
            <w:vAlign w:val="top"/>
            <w:hideMark/>
          </w:tcPr>
          <w:p w14:paraId="66AE9790" w14:textId="77777777" w:rsidR="00FF36E8" w:rsidRPr="000973F2" w:rsidRDefault="00FF36E8" w:rsidP="007E7F5C">
            <w:pPr>
              <w:spacing w:before="40" w:after="40"/>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Cs w:val="0"/>
                <w:sz w:val="18"/>
                <w:szCs w:val="18"/>
              </w:rPr>
            </w:pPr>
            <w:r w:rsidRPr="000973F2">
              <w:rPr>
                <w:rFonts w:ascii="Times New Roman" w:eastAsia="Times New Roman" w:hAnsi="Times New Roman" w:cs="Times New Roman"/>
                <w:bCs w:val="0"/>
                <w:sz w:val="18"/>
                <w:szCs w:val="18"/>
              </w:rPr>
              <w:t>Cost Categories</w:t>
            </w:r>
          </w:p>
        </w:tc>
        <w:tc>
          <w:tcPr>
            <w:tcW w:w="2666" w:type="dxa"/>
            <w:gridSpan w:val="2"/>
            <w:vAlign w:val="top"/>
            <w:hideMark/>
          </w:tcPr>
          <w:p w14:paraId="52F94BB3" w14:textId="77777777" w:rsidR="00FF36E8" w:rsidRPr="000973F2" w:rsidRDefault="00FF36E8" w:rsidP="007E7F5C">
            <w:pPr>
              <w:spacing w:before="40" w:after="40"/>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Cs w:val="0"/>
                <w:sz w:val="18"/>
                <w:szCs w:val="18"/>
              </w:rPr>
            </w:pPr>
            <w:r w:rsidRPr="000973F2">
              <w:rPr>
                <w:rFonts w:ascii="Times New Roman" w:eastAsia="Times New Roman" w:hAnsi="Times New Roman" w:cs="Times New Roman"/>
                <w:bCs w:val="0"/>
                <w:sz w:val="18"/>
                <w:szCs w:val="18"/>
              </w:rPr>
              <w:t>Total Capital and O&amp;M Cost per Year per Facility (2017$)</w:t>
            </w:r>
          </w:p>
        </w:tc>
      </w:tr>
      <w:tr w:rsidR="00FF36E8" w:rsidRPr="000973F2" w14:paraId="0DD95D43" w14:textId="77777777" w:rsidTr="007E7F5C">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1332" w:type="dxa"/>
            <w:vMerge/>
            <w:noWrap/>
            <w:hideMark/>
          </w:tcPr>
          <w:p w14:paraId="0303D7C8" w14:textId="2C401B10" w:rsidR="00FF36E8" w:rsidRPr="000973F2" w:rsidRDefault="00FF36E8" w:rsidP="007E7F5C">
            <w:pPr>
              <w:spacing w:before="40" w:after="40"/>
              <w:jc w:val="center"/>
              <w:rPr>
                <w:rFonts w:ascii="Times New Roman" w:eastAsia="Times New Roman" w:hAnsi="Times New Roman" w:cs="Times New Roman"/>
                <w:b/>
                <w:bCs w:val="0"/>
                <w:sz w:val="18"/>
                <w:szCs w:val="18"/>
              </w:rPr>
            </w:pPr>
          </w:p>
        </w:tc>
        <w:tc>
          <w:tcPr>
            <w:tcW w:w="1333" w:type="dxa"/>
            <w:hideMark/>
          </w:tcPr>
          <w:p w14:paraId="4579C842" w14:textId="77777777" w:rsidR="00FF36E8" w:rsidRPr="000973F2" w:rsidRDefault="00FF36E8" w:rsidP="007E7F5C">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18"/>
                <w:szCs w:val="18"/>
              </w:rPr>
            </w:pPr>
            <w:r w:rsidRPr="000973F2">
              <w:rPr>
                <w:rFonts w:ascii="Times New Roman" w:eastAsia="Times New Roman" w:hAnsi="Times New Roman" w:cs="Times New Roman"/>
                <w:b/>
                <w:bCs/>
                <w:sz w:val="18"/>
                <w:szCs w:val="18"/>
              </w:rPr>
              <w:t>Capital Cost (2017$)</w:t>
            </w:r>
          </w:p>
        </w:tc>
        <w:tc>
          <w:tcPr>
            <w:tcW w:w="1333" w:type="dxa"/>
            <w:hideMark/>
          </w:tcPr>
          <w:p w14:paraId="6C045315" w14:textId="77777777" w:rsidR="00FF36E8" w:rsidRPr="000973F2" w:rsidRDefault="00FF36E8" w:rsidP="007E7F5C">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18"/>
                <w:szCs w:val="18"/>
              </w:rPr>
            </w:pPr>
            <w:r w:rsidRPr="000973F2">
              <w:rPr>
                <w:rFonts w:ascii="Times New Roman" w:eastAsia="Times New Roman" w:hAnsi="Times New Roman" w:cs="Times New Roman"/>
                <w:b/>
                <w:bCs/>
                <w:sz w:val="18"/>
                <w:szCs w:val="18"/>
              </w:rPr>
              <w:t>Equipment Lifetime</w:t>
            </w:r>
          </w:p>
        </w:tc>
        <w:tc>
          <w:tcPr>
            <w:tcW w:w="1333" w:type="dxa"/>
            <w:hideMark/>
          </w:tcPr>
          <w:p w14:paraId="7CF44BEE" w14:textId="77777777" w:rsidR="00FF36E8" w:rsidRPr="000973F2" w:rsidRDefault="00FF36E8" w:rsidP="007E7F5C">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18"/>
                <w:szCs w:val="18"/>
              </w:rPr>
            </w:pPr>
            <w:r w:rsidRPr="000973F2">
              <w:rPr>
                <w:rFonts w:ascii="Times New Roman" w:eastAsia="Times New Roman" w:hAnsi="Times New Roman" w:cs="Times New Roman"/>
                <w:b/>
                <w:bCs/>
                <w:sz w:val="18"/>
                <w:szCs w:val="18"/>
              </w:rPr>
              <w:t>Annualized Capital Cost (2017$/year)</w:t>
            </w:r>
          </w:p>
        </w:tc>
        <w:tc>
          <w:tcPr>
            <w:tcW w:w="1333" w:type="dxa"/>
            <w:hideMark/>
          </w:tcPr>
          <w:p w14:paraId="4311DAAD" w14:textId="77777777" w:rsidR="00FF36E8" w:rsidRPr="000973F2" w:rsidRDefault="00FF36E8" w:rsidP="007E7F5C">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18"/>
                <w:szCs w:val="18"/>
              </w:rPr>
            </w:pPr>
            <w:r w:rsidRPr="000973F2">
              <w:rPr>
                <w:rFonts w:ascii="Times New Roman" w:eastAsia="Times New Roman" w:hAnsi="Times New Roman" w:cs="Times New Roman"/>
                <w:b/>
                <w:bCs/>
                <w:sz w:val="18"/>
                <w:szCs w:val="18"/>
              </w:rPr>
              <w:t>O&amp;M Costs (2017$/year)</w:t>
            </w:r>
          </w:p>
        </w:tc>
        <w:tc>
          <w:tcPr>
            <w:tcW w:w="1333" w:type="dxa"/>
            <w:hideMark/>
          </w:tcPr>
          <w:p w14:paraId="1EFF0A5F" w14:textId="77777777" w:rsidR="00FF36E8" w:rsidRPr="000973F2" w:rsidRDefault="00FF36E8" w:rsidP="007E7F5C">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18"/>
                <w:szCs w:val="18"/>
              </w:rPr>
            </w:pPr>
            <w:r w:rsidRPr="000973F2">
              <w:rPr>
                <w:rFonts w:ascii="Times New Roman" w:eastAsia="Times New Roman" w:hAnsi="Times New Roman" w:cs="Times New Roman"/>
                <w:b/>
                <w:bCs/>
                <w:sz w:val="18"/>
                <w:szCs w:val="18"/>
              </w:rPr>
              <w:t>Initial Year</w:t>
            </w:r>
          </w:p>
        </w:tc>
        <w:tc>
          <w:tcPr>
            <w:tcW w:w="1333" w:type="dxa"/>
            <w:hideMark/>
          </w:tcPr>
          <w:p w14:paraId="393DAB17" w14:textId="77777777" w:rsidR="00FF36E8" w:rsidRPr="000973F2" w:rsidRDefault="00FF36E8" w:rsidP="007E7F5C">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18"/>
                <w:szCs w:val="18"/>
              </w:rPr>
            </w:pPr>
            <w:r w:rsidRPr="000973F2">
              <w:rPr>
                <w:rFonts w:ascii="Times New Roman" w:eastAsia="Times New Roman" w:hAnsi="Times New Roman" w:cs="Times New Roman"/>
                <w:b/>
                <w:bCs/>
                <w:sz w:val="18"/>
                <w:szCs w:val="18"/>
              </w:rPr>
              <w:t>Subseq. Years</w:t>
            </w:r>
          </w:p>
        </w:tc>
      </w:tr>
      <w:tr w:rsidR="003E005F" w:rsidRPr="000973F2" w14:paraId="351C6879" w14:textId="77777777" w:rsidTr="007E7F5C">
        <w:trPr>
          <w:cantSplit/>
        </w:trPr>
        <w:tc>
          <w:tcPr>
            <w:cnfStyle w:val="001000000000" w:firstRow="0" w:lastRow="0" w:firstColumn="1" w:lastColumn="0" w:oddVBand="0" w:evenVBand="0" w:oddHBand="0" w:evenHBand="0" w:firstRowFirstColumn="0" w:firstRowLastColumn="0" w:lastRowFirstColumn="0" w:lastRowLastColumn="0"/>
            <w:tcW w:w="1332" w:type="dxa"/>
            <w:hideMark/>
          </w:tcPr>
          <w:p w14:paraId="66DB86E3" w14:textId="77777777" w:rsidR="003E005F" w:rsidRPr="000973F2" w:rsidRDefault="003E005F" w:rsidP="007E7F5C">
            <w:pPr>
              <w:spacing w:before="40" w:after="4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Equipment (selection, purchase, installation)</w:t>
            </w:r>
          </w:p>
        </w:tc>
        <w:tc>
          <w:tcPr>
            <w:tcW w:w="1333" w:type="dxa"/>
            <w:noWrap/>
            <w:hideMark/>
          </w:tcPr>
          <w:p w14:paraId="0ED2B179" w14:textId="12589A20" w:rsidR="003E005F" w:rsidRPr="000973F2" w:rsidRDefault="007E7F5C" w:rsidP="007E7F5C">
            <w:pPr>
              <w:spacing w:before="40" w:after="4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w:t>
            </w:r>
          </w:p>
        </w:tc>
        <w:tc>
          <w:tcPr>
            <w:tcW w:w="1333" w:type="dxa"/>
            <w:noWrap/>
          </w:tcPr>
          <w:p w14:paraId="43EF1DDD" w14:textId="798B36A8" w:rsidR="003E005F" w:rsidRPr="000973F2" w:rsidRDefault="003E005F" w:rsidP="007E7F5C">
            <w:pPr>
              <w:spacing w:before="40" w:after="4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p>
        </w:tc>
        <w:tc>
          <w:tcPr>
            <w:tcW w:w="1333" w:type="dxa"/>
            <w:noWrap/>
            <w:hideMark/>
          </w:tcPr>
          <w:p w14:paraId="475975E3" w14:textId="437FA1FA" w:rsidR="003E005F" w:rsidRPr="000973F2" w:rsidRDefault="007E7F5C" w:rsidP="007E7F5C">
            <w:pPr>
              <w:spacing w:before="40" w:after="4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w:t>
            </w:r>
          </w:p>
        </w:tc>
        <w:tc>
          <w:tcPr>
            <w:tcW w:w="1333" w:type="dxa"/>
            <w:noWrap/>
            <w:hideMark/>
          </w:tcPr>
          <w:p w14:paraId="4E0C4DB2" w14:textId="4A433661" w:rsidR="003E005F" w:rsidRPr="000973F2" w:rsidRDefault="007E7F5C" w:rsidP="007E7F5C">
            <w:pPr>
              <w:spacing w:before="40" w:after="4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w:t>
            </w:r>
          </w:p>
        </w:tc>
        <w:tc>
          <w:tcPr>
            <w:tcW w:w="1333" w:type="dxa"/>
            <w:noWrap/>
            <w:hideMark/>
          </w:tcPr>
          <w:p w14:paraId="490D8366" w14:textId="3D6661C8" w:rsidR="003E005F" w:rsidRPr="000973F2" w:rsidRDefault="007E7F5C" w:rsidP="007E7F5C">
            <w:pPr>
              <w:spacing w:before="40" w:after="4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w:t>
            </w:r>
          </w:p>
        </w:tc>
        <w:tc>
          <w:tcPr>
            <w:tcW w:w="1333" w:type="dxa"/>
            <w:noWrap/>
            <w:hideMark/>
          </w:tcPr>
          <w:p w14:paraId="2676C2D0" w14:textId="7E38540C" w:rsidR="003E005F" w:rsidRPr="000973F2" w:rsidRDefault="007E7F5C" w:rsidP="007E7F5C">
            <w:pPr>
              <w:spacing w:before="40" w:after="4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w:t>
            </w:r>
          </w:p>
        </w:tc>
      </w:tr>
      <w:tr w:rsidR="003E005F" w:rsidRPr="000973F2" w14:paraId="053A1E12" w14:textId="77777777" w:rsidTr="007E7F5C">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1332" w:type="dxa"/>
            <w:hideMark/>
          </w:tcPr>
          <w:p w14:paraId="1DE0CBAA" w14:textId="77777777" w:rsidR="003E005F" w:rsidRPr="000973F2" w:rsidRDefault="003E005F" w:rsidP="007E7F5C">
            <w:pPr>
              <w:spacing w:before="40" w:after="4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Performance testing</w:t>
            </w:r>
          </w:p>
        </w:tc>
        <w:tc>
          <w:tcPr>
            <w:tcW w:w="1333" w:type="dxa"/>
            <w:noWrap/>
            <w:hideMark/>
          </w:tcPr>
          <w:p w14:paraId="53F20D33" w14:textId="7E0E35CC" w:rsidR="003E005F" w:rsidRPr="000973F2" w:rsidRDefault="007E7F5C" w:rsidP="007E7F5C">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w:t>
            </w:r>
          </w:p>
        </w:tc>
        <w:tc>
          <w:tcPr>
            <w:tcW w:w="1333" w:type="dxa"/>
            <w:noWrap/>
          </w:tcPr>
          <w:p w14:paraId="07F15292" w14:textId="6CBCC4B6" w:rsidR="003E005F" w:rsidRPr="000973F2" w:rsidRDefault="003E005F" w:rsidP="007E7F5C">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p>
        </w:tc>
        <w:tc>
          <w:tcPr>
            <w:tcW w:w="1333" w:type="dxa"/>
            <w:noWrap/>
            <w:hideMark/>
          </w:tcPr>
          <w:p w14:paraId="4FF953E0" w14:textId="729F58B5" w:rsidR="003E005F" w:rsidRPr="000973F2" w:rsidRDefault="007E7F5C" w:rsidP="007E7F5C">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w:t>
            </w:r>
          </w:p>
        </w:tc>
        <w:tc>
          <w:tcPr>
            <w:tcW w:w="1333" w:type="dxa"/>
            <w:noWrap/>
            <w:hideMark/>
          </w:tcPr>
          <w:p w14:paraId="2B1391FE" w14:textId="3556BE94" w:rsidR="003E005F" w:rsidRPr="000973F2" w:rsidRDefault="007E7F5C" w:rsidP="007E7F5C">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w:t>
            </w:r>
          </w:p>
        </w:tc>
        <w:tc>
          <w:tcPr>
            <w:tcW w:w="1333" w:type="dxa"/>
            <w:noWrap/>
            <w:hideMark/>
          </w:tcPr>
          <w:p w14:paraId="28D47A0B" w14:textId="557FB98B" w:rsidR="003E005F" w:rsidRPr="000973F2" w:rsidRDefault="007E7F5C" w:rsidP="007E7F5C">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w:t>
            </w:r>
          </w:p>
        </w:tc>
        <w:tc>
          <w:tcPr>
            <w:tcW w:w="1333" w:type="dxa"/>
            <w:noWrap/>
            <w:hideMark/>
          </w:tcPr>
          <w:p w14:paraId="7A5AB762" w14:textId="6A6BC763" w:rsidR="003E005F" w:rsidRPr="000973F2" w:rsidRDefault="007E7F5C" w:rsidP="007E7F5C">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w:t>
            </w:r>
          </w:p>
        </w:tc>
      </w:tr>
      <w:tr w:rsidR="00830E92" w:rsidRPr="000973F2" w14:paraId="2B00FD2A" w14:textId="77777777" w:rsidTr="007E7F5C">
        <w:trPr>
          <w:cantSplit/>
        </w:trPr>
        <w:tc>
          <w:tcPr>
            <w:cnfStyle w:val="001000000000" w:firstRow="0" w:lastRow="0" w:firstColumn="1" w:lastColumn="0" w:oddVBand="0" w:evenVBand="0" w:oddHBand="0" w:evenHBand="0" w:firstRowFirstColumn="0" w:firstRowLastColumn="0" w:lastRowFirstColumn="0" w:lastRowLastColumn="0"/>
            <w:tcW w:w="1332" w:type="dxa"/>
            <w:hideMark/>
          </w:tcPr>
          <w:p w14:paraId="21A04892" w14:textId="77777777" w:rsidR="00830E92" w:rsidRPr="000973F2" w:rsidRDefault="00830E92" w:rsidP="007E7F5C">
            <w:pPr>
              <w:spacing w:before="40" w:after="4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Recordkeeping</w:t>
            </w:r>
          </w:p>
        </w:tc>
        <w:tc>
          <w:tcPr>
            <w:tcW w:w="1333" w:type="dxa"/>
            <w:noWrap/>
            <w:hideMark/>
          </w:tcPr>
          <w:p w14:paraId="1D0CCD14" w14:textId="77777777" w:rsidR="00830E92" w:rsidRPr="000973F2" w:rsidRDefault="00830E92" w:rsidP="007E7F5C">
            <w:pPr>
              <w:spacing w:before="40" w:after="4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$0</w:t>
            </w:r>
          </w:p>
        </w:tc>
        <w:tc>
          <w:tcPr>
            <w:tcW w:w="1333" w:type="dxa"/>
            <w:noWrap/>
          </w:tcPr>
          <w:p w14:paraId="0F24290C" w14:textId="77777777" w:rsidR="00830E92" w:rsidRPr="000973F2" w:rsidRDefault="00830E92" w:rsidP="007E7F5C">
            <w:pPr>
              <w:spacing w:before="40" w:after="4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p>
        </w:tc>
        <w:tc>
          <w:tcPr>
            <w:tcW w:w="1333" w:type="dxa"/>
            <w:noWrap/>
            <w:hideMark/>
          </w:tcPr>
          <w:p w14:paraId="79476E59" w14:textId="77777777" w:rsidR="00830E92" w:rsidRPr="000973F2" w:rsidRDefault="00830E92" w:rsidP="007E7F5C">
            <w:pPr>
              <w:spacing w:before="40" w:after="4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$0</w:t>
            </w:r>
          </w:p>
        </w:tc>
        <w:tc>
          <w:tcPr>
            <w:tcW w:w="1333" w:type="dxa"/>
            <w:noWrap/>
            <w:hideMark/>
          </w:tcPr>
          <w:p w14:paraId="446146FD" w14:textId="77777777" w:rsidR="00830E92" w:rsidRPr="000973F2" w:rsidRDefault="00830E92" w:rsidP="007E7F5C">
            <w:pPr>
              <w:spacing w:before="40" w:after="4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$50</w:t>
            </w:r>
          </w:p>
        </w:tc>
        <w:tc>
          <w:tcPr>
            <w:tcW w:w="1333" w:type="dxa"/>
            <w:noWrap/>
            <w:hideMark/>
          </w:tcPr>
          <w:p w14:paraId="62ED3F16" w14:textId="77777777" w:rsidR="00830E92" w:rsidRPr="000973F2" w:rsidRDefault="00830E92" w:rsidP="007E7F5C">
            <w:pPr>
              <w:spacing w:before="40" w:after="4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$0</w:t>
            </w:r>
          </w:p>
        </w:tc>
        <w:tc>
          <w:tcPr>
            <w:tcW w:w="1333" w:type="dxa"/>
            <w:noWrap/>
            <w:hideMark/>
          </w:tcPr>
          <w:p w14:paraId="429A0D67" w14:textId="77777777" w:rsidR="00830E92" w:rsidRPr="000973F2" w:rsidRDefault="00830E92" w:rsidP="007E7F5C">
            <w:pPr>
              <w:spacing w:before="40" w:after="4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$50</w:t>
            </w:r>
          </w:p>
        </w:tc>
      </w:tr>
      <w:tr w:rsidR="003E005F" w:rsidRPr="000973F2" w14:paraId="7E698954" w14:textId="77777777" w:rsidTr="007E7F5C">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1332" w:type="dxa"/>
            <w:hideMark/>
          </w:tcPr>
          <w:p w14:paraId="5FFCF871" w14:textId="77777777" w:rsidR="003E005F" w:rsidRPr="000973F2" w:rsidRDefault="003E005F" w:rsidP="007E7F5C">
            <w:pPr>
              <w:spacing w:before="40" w:after="4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Travel</w:t>
            </w:r>
          </w:p>
        </w:tc>
        <w:tc>
          <w:tcPr>
            <w:tcW w:w="1333" w:type="dxa"/>
            <w:noWrap/>
            <w:hideMark/>
          </w:tcPr>
          <w:p w14:paraId="06D3EC22" w14:textId="2B0ED361" w:rsidR="003E005F" w:rsidRPr="000973F2" w:rsidRDefault="007E7F5C" w:rsidP="007E7F5C">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w:t>
            </w:r>
          </w:p>
        </w:tc>
        <w:tc>
          <w:tcPr>
            <w:tcW w:w="1333" w:type="dxa"/>
            <w:noWrap/>
          </w:tcPr>
          <w:p w14:paraId="0B16891B" w14:textId="20D379B9" w:rsidR="003E005F" w:rsidRPr="000973F2" w:rsidRDefault="003E005F" w:rsidP="007E7F5C">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p>
        </w:tc>
        <w:tc>
          <w:tcPr>
            <w:tcW w:w="1333" w:type="dxa"/>
            <w:noWrap/>
            <w:hideMark/>
          </w:tcPr>
          <w:p w14:paraId="7A967F7C" w14:textId="2EC9B959" w:rsidR="003E005F" w:rsidRPr="000973F2" w:rsidRDefault="007E7F5C" w:rsidP="007E7F5C">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w:t>
            </w:r>
          </w:p>
        </w:tc>
        <w:tc>
          <w:tcPr>
            <w:tcW w:w="1333" w:type="dxa"/>
            <w:noWrap/>
            <w:hideMark/>
          </w:tcPr>
          <w:p w14:paraId="7AA5BE77" w14:textId="0712E1A5" w:rsidR="003E005F" w:rsidRPr="000973F2" w:rsidRDefault="007E7F5C" w:rsidP="007E7F5C">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w:t>
            </w:r>
          </w:p>
        </w:tc>
        <w:tc>
          <w:tcPr>
            <w:tcW w:w="1333" w:type="dxa"/>
            <w:noWrap/>
            <w:hideMark/>
          </w:tcPr>
          <w:p w14:paraId="4388D656" w14:textId="619CAA82" w:rsidR="003E005F" w:rsidRPr="000973F2" w:rsidRDefault="007E7F5C" w:rsidP="007E7F5C">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w:t>
            </w:r>
          </w:p>
        </w:tc>
        <w:tc>
          <w:tcPr>
            <w:tcW w:w="1333" w:type="dxa"/>
            <w:noWrap/>
            <w:hideMark/>
          </w:tcPr>
          <w:p w14:paraId="73938BDD" w14:textId="69599188" w:rsidR="003E005F" w:rsidRPr="000973F2" w:rsidRDefault="007E7F5C" w:rsidP="007E7F5C">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w:t>
            </w:r>
          </w:p>
        </w:tc>
      </w:tr>
      <w:tr w:rsidR="003E005F" w:rsidRPr="000973F2" w14:paraId="6663EA6C" w14:textId="77777777" w:rsidTr="007E7F5C">
        <w:trPr>
          <w:cantSplit/>
        </w:trPr>
        <w:tc>
          <w:tcPr>
            <w:cnfStyle w:val="001000000000" w:firstRow="0" w:lastRow="0" w:firstColumn="1" w:lastColumn="0" w:oddVBand="0" w:evenVBand="0" w:oddHBand="0" w:evenHBand="0" w:firstRowFirstColumn="0" w:firstRowLastColumn="0" w:lastRowFirstColumn="0" w:lastRowLastColumn="0"/>
            <w:tcW w:w="1332" w:type="dxa"/>
            <w:hideMark/>
          </w:tcPr>
          <w:p w14:paraId="31C65906" w14:textId="0BEF77B8" w:rsidR="003E005F" w:rsidRPr="000973F2" w:rsidRDefault="003E005F" w:rsidP="007E7F5C">
            <w:pPr>
              <w:spacing w:before="40" w:after="4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Sampling and Analysis Costs</w:t>
            </w:r>
          </w:p>
        </w:tc>
        <w:tc>
          <w:tcPr>
            <w:tcW w:w="1333" w:type="dxa"/>
            <w:noWrap/>
            <w:hideMark/>
          </w:tcPr>
          <w:p w14:paraId="2151F840" w14:textId="6D333492" w:rsidR="003E005F" w:rsidRPr="000973F2" w:rsidRDefault="007E7F5C" w:rsidP="007E7F5C">
            <w:pPr>
              <w:spacing w:before="40" w:after="4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w:t>
            </w:r>
          </w:p>
        </w:tc>
        <w:tc>
          <w:tcPr>
            <w:tcW w:w="1333" w:type="dxa"/>
            <w:noWrap/>
          </w:tcPr>
          <w:p w14:paraId="60AD6426" w14:textId="6BF16E91" w:rsidR="003E005F" w:rsidRPr="000973F2" w:rsidRDefault="003E005F" w:rsidP="007E7F5C">
            <w:pPr>
              <w:spacing w:before="40" w:after="4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p>
        </w:tc>
        <w:tc>
          <w:tcPr>
            <w:tcW w:w="1333" w:type="dxa"/>
            <w:noWrap/>
            <w:hideMark/>
          </w:tcPr>
          <w:p w14:paraId="76E7E8C8" w14:textId="792D3F5F" w:rsidR="003E005F" w:rsidRPr="000973F2" w:rsidRDefault="007E7F5C" w:rsidP="007E7F5C">
            <w:pPr>
              <w:spacing w:before="40" w:after="4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w:t>
            </w:r>
          </w:p>
        </w:tc>
        <w:tc>
          <w:tcPr>
            <w:tcW w:w="1333" w:type="dxa"/>
            <w:noWrap/>
            <w:hideMark/>
          </w:tcPr>
          <w:p w14:paraId="39DA3ED6" w14:textId="0D321378" w:rsidR="003E005F" w:rsidRPr="000973F2" w:rsidRDefault="007E7F5C" w:rsidP="007E7F5C">
            <w:pPr>
              <w:spacing w:before="40" w:after="4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w:t>
            </w:r>
          </w:p>
        </w:tc>
        <w:tc>
          <w:tcPr>
            <w:tcW w:w="1333" w:type="dxa"/>
            <w:noWrap/>
            <w:hideMark/>
          </w:tcPr>
          <w:p w14:paraId="04A96D17" w14:textId="03B52BA8" w:rsidR="003E005F" w:rsidRPr="000973F2" w:rsidRDefault="007E7F5C" w:rsidP="007E7F5C">
            <w:pPr>
              <w:spacing w:before="40" w:after="4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w:t>
            </w:r>
          </w:p>
        </w:tc>
        <w:tc>
          <w:tcPr>
            <w:tcW w:w="1333" w:type="dxa"/>
            <w:noWrap/>
            <w:hideMark/>
          </w:tcPr>
          <w:p w14:paraId="72CABA8F" w14:textId="55265B26" w:rsidR="003E005F" w:rsidRPr="000973F2" w:rsidRDefault="007E7F5C" w:rsidP="007E7F5C">
            <w:pPr>
              <w:spacing w:before="40" w:after="4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w:t>
            </w:r>
          </w:p>
        </w:tc>
      </w:tr>
      <w:tr w:rsidR="00830E92" w:rsidRPr="000973F2" w14:paraId="1FF64EE8" w14:textId="77777777" w:rsidTr="007E7F5C">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1332" w:type="dxa"/>
            <w:hideMark/>
          </w:tcPr>
          <w:p w14:paraId="22250F6C" w14:textId="77777777" w:rsidR="00830E92" w:rsidRPr="000973F2" w:rsidRDefault="00830E92" w:rsidP="007E7F5C">
            <w:pPr>
              <w:spacing w:before="40" w:after="40"/>
              <w:rPr>
                <w:rFonts w:ascii="Times New Roman" w:eastAsia="Times New Roman" w:hAnsi="Times New Roman" w:cs="Times New Roman"/>
                <w:b/>
                <w:bCs w:val="0"/>
                <w:sz w:val="18"/>
                <w:szCs w:val="18"/>
              </w:rPr>
            </w:pPr>
            <w:r w:rsidRPr="000973F2">
              <w:rPr>
                <w:rFonts w:ascii="Times New Roman" w:eastAsia="Times New Roman" w:hAnsi="Times New Roman" w:cs="Times New Roman"/>
                <w:b/>
                <w:sz w:val="18"/>
                <w:szCs w:val="18"/>
              </w:rPr>
              <w:t xml:space="preserve">Total </w:t>
            </w:r>
          </w:p>
        </w:tc>
        <w:tc>
          <w:tcPr>
            <w:tcW w:w="1333" w:type="dxa"/>
            <w:noWrap/>
            <w:hideMark/>
          </w:tcPr>
          <w:p w14:paraId="02CD6214" w14:textId="77777777" w:rsidR="00830E92" w:rsidRPr="000973F2" w:rsidRDefault="00830E92" w:rsidP="007E7F5C">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$0</w:t>
            </w:r>
          </w:p>
        </w:tc>
        <w:tc>
          <w:tcPr>
            <w:tcW w:w="1333" w:type="dxa"/>
            <w:noWrap/>
          </w:tcPr>
          <w:p w14:paraId="1C384374" w14:textId="77777777" w:rsidR="00830E92" w:rsidRPr="000973F2" w:rsidRDefault="00830E92" w:rsidP="007E7F5C">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p>
        </w:tc>
        <w:tc>
          <w:tcPr>
            <w:tcW w:w="1333" w:type="dxa"/>
            <w:noWrap/>
            <w:hideMark/>
          </w:tcPr>
          <w:p w14:paraId="358076BC" w14:textId="77777777" w:rsidR="00830E92" w:rsidRPr="000973F2" w:rsidRDefault="00830E92" w:rsidP="007E7F5C">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$0</w:t>
            </w:r>
          </w:p>
        </w:tc>
        <w:tc>
          <w:tcPr>
            <w:tcW w:w="1333" w:type="dxa"/>
            <w:noWrap/>
            <w:hideMark/>
          </w:tcPr>
          <w:p w14:paraId="1C57E09E" w14:textId="77777777" w:rsidR="00830E92" w:rsidRPr="000973F2" w:rsidRDefault="00830E92" w:rsidP="007E7F5C">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$50</w:t>
            </w:r>
          </w:p>
        </w:tc>
        <w:tc>
          <w:tcPr>
            <w:tcW w:w="1333" w:type="dxa"/>
            <w:noWrap/>
            <w:hideMark/>
          </w:tcPr>
          <w:p w14:paraId="7250CA76" w14:textId="77777777" w:rsidR="00830E92" w:rsidRPr="000973F2" w:rsidRDefault="00830E92" w:rsidP="007E7F5C">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$0</w:t>
            </w:r>
          </w:p>
        </w:tc>
        <w:tc>
          <w:tcPr>
            <w:tcW w:w="1333" w:type="dxa"/>
            <w:noWrap/>
            <w:hideMark/>
          </w:tcPr>
          <w:p w14:paraId="2074127F" w14:textId="77777777" w:rsidR="00830E92" w:rsidRPr="000973F2" w:rsidRDefault="00830E92" w:rsidP="007E7F5C">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$50</w:t>
            </w:r>
          </w:p>
        </w:tc>
      </w:tr>
    </w:tbl>
    <w:p w14:paraId="70BA98F3" w14:textId="77777777" w:rsidR="007E7F5C" w:rsidRPr="000973F2" w:rsidRDefault="007E7F5C" w:rsidP="007E7F5C">
      <w:pPr>
        <w:pStyle w:val="AfterTable"/>
      </w:pPr>
    </w:p>
    <w:p w14:paraId="44BC0780" w14:textId="77777777" w:rsidR="007E7F5C" w:rsidRPr="000973F2" w:rsidRDefault="007E7F5C">
      <w:pPr>
        <w:rPr>
          <w:rFonts w:ascii="Times New Roman" w:hAnsi="Times New Roman" w:cs="Times New Roman"/>
          <w:b/>
          <w:i/>
        </w:rPr>
      </w:pPr>
      <w:r w:rsidRPr="000973F2">
        <w:br w:type="page"/>
      </w:r>
    </w:p>
    <w:p w14:paraId="473DD9AC" w14:textId="3B83A775" w:rsidR="00830E92" w:rsidRPr="000973F2" w:rsidRDefault="00830E92" w:rsidP="007E7F5C">
      <w:pPr>
        <w:pStyle w:val="Heading2"/>
      </w:pPr>
      <w:r w:rsidRPr="000973F2">
        <w:t>Labor Costs for Subpart P – Mass Balance Option; Natural Gas Only</w:t>
      </w:r>
    </w:p>
    <w:p w14:paraId="2AD46896" w14:textId="7D3A24BE" w:rsidR="00830E92" w:rsidRPr="000973F2" w:rsidRDefault="00830E92" w:rsidP="007E7F5C">
      <w:pPr>
        <w:pStyle w:val="BodyText"/>
      </w:pPr>
      <w:r w:rsidRPr="000973F2">
        <w:t xml:space="preserve">Table </w:t>
      </w:r>
      <w:r w:rsidR="007E7F5C" w:rsidRPr="000973F2">
        <w:t>P-</w:t>
      </w:r>
      <w:r w:rsidRPr="000973F2">
        <w:t>1b presents the estimated labor costs for 50 existing facilities and one new facility per year to use the mass balance option with natural gas for fuel or feedstock. This facility count reflects the number of reporting facilities expected to have this configuration as of RY2019, the first year of this ICR. As noted above, one new reporting facility is expected in each year of the 3-year period covered by the ICR; and it is expected that this facility will use the mass balance approach and have natural gas only for fuel and feedstock. Sampling and analysis to determine the molecular weight and carbon content of the natural gas is performed annually. Recordkeeping and reporting hours are based on the “medium bin” designation, as discussed in the Cost Appendix Introduction.</w:t>
      </w:r>
    </w:p>
    <w:p w14:paraId="508523EC" w14:textId="0D2237CB" w:rsidR="00725279" w:rsidRPr="000973F2" w:rsidRDefault="00725279" w:rsidP="007E7F5C">
      <w:pPr>
        <w:pStyle w:val="Tabletitle"/>
        <w:rPr>
          <w:sz w:val="24"/>
          <w:shd w:val="clear" w:color="auto" w:fill="FFFFFF"/>
        </w:rPr>
      </w:pPr>
      <w:r w:rsidRPr="000973F2">
        <w:rPr>
          <w:shd w:val="clear" w:color="auto" w:fill="FFFFFF"/>
        </w:rPr>
        <w:t xml:space="preserve">Table </w:t>
      </w:r>
      <w:r w:rsidR="007E7F5C" w:rsidRPr="000973F2">
        <w:rPr>
          <w:shd w:val="clear" w:color="auto" w:fill="FFFFFF"/>
        </w:rPr>
        <w:t>P-</w:t>
      </w:r>
      <w:r w:rsidRPr="000973F2">
        <w:rPr>
          <w:shd w:val="clear" w:color="auto" w:fill="FFFFFF"/>
        </w:rPr>
        <w:t xml:space="preserve">1b. Labor Costs </w:t>
      </w:r>
      <w:r w:rsidR="007E7F5C" w:rsidRPr="000973F2">
        <w:rPr>
          <w:shd w:val="clear" w:color="auto" w:fill="FFFFFF"/>
        </w:rPr>
        <w:t>–</w:t>
      </w:r>
      <w:r w:rsidRPr="000973F2">
        <w:rPr>
          <w:shd w:val="clear" w:color="auto" w:fill="FFFFFF"/>
        </w:rPr>
        <w:t xml:space="preserve"> Subpart P – Mass Balance Option; Natural Gas Only</w:t>
      </w:r>
    </w:p>
    <w:tbl>
      <w:tblPr>
        <w:tblStyle w:val="PlainTable1"/>
        <w:tblW w:w="5000" w:type="pct"/>
        <w:jc w:val="left"/>
        <w:tblLayout w:type="fixed"/>
        <w:tblLook w:val="04A0" w:firstRow="1" w:lastRow="0" w:firstColumn="1" w:lastColumn="0" w:noHBand="0" w:noVBand="1"/>
      </w:tblPr>
      <w:tblGrid>
        <w:gridCol w:w="1369"/>
        <w:gridCol w:w="808"/>
        <w:gridCol w:w="808"/>
        <w:gridCol w:w="809"/>
        <w:gridCol w:w="808"/>
        <w:gridCol w:w="808"/>
        <w:gridCol w:w="809"/>
        <w:gridCol w:w="808"/>
        <w:gridCol w:w="809"/>
        <w:gridCol w:w="870"/>
        <w:gridCol w:w="870"/>
      </w:tblGrid>
      <w:tr w:rsidR="006F409A" w:rsidRPr="000973F2" w14:paraId="09A9954A" w14:textId="77777777" w:rsidTr="00B926DD">
        <w:trPr>
          <w:cnfStyle w:val="100000000000" w:firstRow="1" w:lastRow="0" w:firstColumn="0" w:lastColumn="0" w:oddVBand="0" w:evenVBand="0" w:oddHBand="0" w:evenHBand="0" w:firstRowFirstColumn="0" w:firstRowLastColumn="0" w:lastRowFirstColumn="0" w:lastRowLastColumn="0"/>
          <w:cantSplit/>
          <w:jc w:val="left"/>
        </w:trPr>
        <w:tc>
          <w:tcPr>
            <w:cnfStyle w:val="001000000000" w:firstRow="0" w:lastRow="0" w:firstColumn="1" w:lastColumn="0" w:oddVBand="0" w:evenVBand="0" w:oddHBand="0" w:evenHBand="0" w:firstRowFirstColumn="0" w:firstRowLastColumn="0" w:lastRowFirstColumn="0" w:lastRowLastColumn="0"/>
            <w:tcW w:w="1335" w:type="dxa"/>
            <w:vMerge w:val="restart"/>
            <w:noWrap/>
            <w:vAlign w:val="top"/>
            <w:hideMark/>
          </w:tcPr>
          <w:p w14:paraId="480D77BB" w14:textId="77777777" w:rsidR="00830E92" w:rsidRPr="000973F2" w:rsidRDefault="00830E92" w:rsidP="007E7F5C">
            <w:pPr>
              <w:spacing w:before="40" w:after="40"/>
              <w:rPr>
                <w:rFonts w:ascii="Times New Roman" w:eastAsia="Times New Roman" w:hAnsi="Times New Roman" w:cs="Times New Roman"/>
                <w:bCs w:val="0"/>
                <w:sz w:val="18"/>
                <w:szCs w:val="18"/>
              </w:rPr>
            </w:pPr>
            <w:r w:rsidRPr="000973F2">
              <w:rPr>
                <w:rFonts w:ascii="Times New Roman" w:eastAsia="Times New Roman" w:hAnsi="Times New Roman" w:cs="Times New Roman"/>
                <w:sz w:val="18"/>
                <w:szCs w:val="18"/>
              </w:rPr>
              <w:t>Activity</w:t>
            </w:r>
          </w:p>
        </w:tc>
        <w:tc>
          <w:tcPr>
            <w:tcW w:w="6299" w:type="dxa"/>
            <w:gridSpan w:val="8"/>
            <w:noWrap/>
            <w:vAlign w:val="top"/>
            <w:hideMark/>
          </w:tcPr>
          <w:p w14:paraId="47B718C0" w14:textId="77777777" w:rsidR="00830E92" w:rsidRPr="000973F2" w:rsidRDefault="00830E92" w:rsidP="007E7F5C">
            <w:pPr>
              <w:spacing w:before="40" w:after="40"/>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Cs w:val="0"/>
                <w:sz w:val="18"/>
                <w:szCs w:val="18"/>
              </w:rPr>
            </w:pPr>
            <w:r w:rsidRPr="000973F2">
              <w:rPr>
                <w:rFonts w:ascii="Times New Roman" w:eastAsia="Times New Roman" w:hAnsi="Times New Roman" w:cs="Times New Roman"/>
                <w:bCs w:val="0"/>
                <w:sz w:val="18"/>
                <w:szCs w:val="18"/>
              </w:rPr>
              <w:t>Labor Rates (per hour)</w:t>
            </w:r>
          </w:p>
        </w:tc>
        <w:tc>
          <w:tcPr>
            <w:tcW w:w="1696" w:type="dxa"/>
            <w:gridSpan w:val="2"/>
            <w:vMerge w:val="restart"/>
            <w:vAlign w:val="top"/>
            <w:hideMark/>
          </w:tcPr>
          <w:p w14:paraId="563D5318" w14:textId="77777777" w:rsidR="00830E92" w:rsidRPr="000973F2" w:rsidRDefault="00830E92" w:rsidP="007E7F5C">
            <w:pPr>
              <w:spacing w:before="40" w:after="40"/>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Cs w:val="0"/>
                <w:sz w:val="18"/>
                <w:szCs w:val="18"/>
              </w:rPr>
            </w:pPr>
            <w:r w:rsidRPr="000973F2">
              <w:rPr>
                <w:rFonts w:ascii="Times New Roman" w:eastAsia="Times New Roman" w:hAnsi="Times New Roman" w:cs="Times New Roman"/>
                <w:bCs w:val="0"/>
                <w:sz w:val="18"/>
                <w:szCs w:val="18"/>
              </w:rPr>
              <w:t>Total Labor Cost per Year per Facility (2017$)</w:t>
            </w:r>
          </w:p>
        </w:tc>
      </w:tr>
      <w:tr w:rsidR="006F409A" w:rsidRPr="000973F2" w14:paraId="768BB6CB" w14:textId="77777777" w:rsidTr="00B926DD">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1335" w:type="dxa"/>
            <w:vMerge/>
            <w:hideMark/>
          </w:tcPr>
          <w:p w14:paraId="49D0FBFE" w14:textId="77777777" w:rsidR="00830E92" w:rsidRPr="000973F2" w:rsidRDefault="00830E92" w:rsidP="007E7F5C">
            <w:pPr>
              <w:spacing w:before="40" w:after="40"/>
              <w:rPr>
                <w:rFonts w:ascii="Times New Roman" w:eastAsia="Times New Roman" w:hAnsi="Times New Roman" w:cs="Times New Roman"/>
                <w:b/>
                <w:bCs w:val="0"/>
                <w:sz w:val="18"/>
                <w:szCs w:val="18"/>
              </w:rPr>
            </w:pPr>
          </w:p>
        </w:tc>
        <w:tc>
          <w:tcPr>
            <w:tcW w:w="1574" w:type="dxa"/>
            <w:gridSpan w:val="2"/>
            <w:noWrap/>
            <w:hideMark/>
          </w:tcPr>
          <w:p w14:paraId="71601D61" w14:textId="77777777" w:rsidR="00830E92" w:rsidRPr="000973F2" w:rsidRDefault="00830E92" w:rsidP="007E7F5C">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18"/>
                <w:szCs w:val="18"/>
              </w:rPr>
            </w:pPr>
            <w:r w:rsidRPr="000973F2">
              <w:rPr>
                <w:rFonts w:ascii="Times New Roman" w:eastAsia="Times New Roman" w:hAnsi="Times New Roman" w:cs="Times New Roman"/>
                <w:b/>
                <w:bCs/>
                <w:sz w:val="18"/>
                <w:szCs w:val="18"/>
              </w:rPr>
              <w:t>Lawyer</w:t>
            </w:r>
          </w:p>
        </w:tc>
        <w:tc>
          <w:tcPr>
            <w:tcW w:w="1575" w:type="dxa"/>
            <w:gridSpan w:val="2"/>
            <w:noWrap/>
            <w:hideMark/>
          </w:tcPr>
          <w:p w14:paraId="0F5417D7" w14:textId="77777777" w:rsidR="00830E92" w:rsidRPr="000973F2" w:rsidRDefault="00830E92" w:rsidP="007E7F5C">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18"/>
                <w:szCs w:val="18"/>
              </w:rPr>
            </w:pPr>
            <w:r w:rsidRPr="000973F2">
              <w:rPr>
                <w:rFonts w:ascii="Times New Roman" w:eastAsia="Times New Roman" w:hAnsi="Times New Roman" w:cs="Times New Roman"/>
                <w:b/>
                <w:bCs/>
                <w:sz w:val="18"/>
                <w:szCs w:val="18"/>
              </w:rPr>
              <w:t>Industrial Manager</w:t>
            </w:r>
          </w:p>
        </w:tc>
        <w:tc>
          <w:tcPr>
            <w:tcW w:w="1575" w:type="dxa"/>
            <w:gridSpan w:val="2"/>
            <w:hideMark/>
          </w:tcPr>
          <w:p w14:paraId="2823417D" w14:textId="6060F1A3" w:rsidR="00830E92" w:rsidRPr="000973F2" w:rsidRDefault="00830E92" w:rsidP="007E7F5C">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18"/>
                <w:szCs w:val="18"/>
              </w:rPr>
            </w:pPr>
            <w:r w:rsidRPr="000973F2">
              <w:rPr>
                <w:rFonts w:ascii="Times New Roman" w:eastAsia="Times New Roman" w:hAnsi="Times New Roman" w:cs="Times New Roman"/>
                <w:b/>
                <w:bCs/>
                <w:sz w:val="18"/>
                <w:szCs w:val="18"/>
              </w:rPr>
              <w:t>Industrial Engineer/</w:t>
            </w:r>
            <w:r w:rsidR="007E7F5C" w:rsidRPr="000973F2">
              <w:rPr>
                <w:rFonts w:ascii="Times New Roman" w:eastAsia="Times New Roman" w:hAnsi="Times New Roman" w:cs="Times New Roman"/>
                <w:b/>
                <w:bCs/>
                <w:sz w:val="18"/>
                <w:szCs w:val="18"/>
              </w:rPr>
              <w:t xml:space="preserve"> </w:t>
            </w:r>
            <w:r w:rsidRPr="000973F2">
              <w:rPr>
                <w:rFonts w:ascii="Times New Roman" w:eastAsia="Times New Roman" w:hAnsi="Times New Roman" w:cs="Times New Roman"/>
                <w:b/>
                <w:bCs/>
                <w:sz w:val="18"/>
                <w:szCs w:val="18"/>
              </w:rPr>
              <w:t>Technician</w:t>
            </w:r>
          </w:p>
        </w:tc>
        <w:tc>
          <w:tcPr>
            <w:tcW w:w="1575" w:type="dxa"/>
            <w:gridSpan w:val="2"/>
            <w:hideMark/>
          </w:tcPr>
          <w:p w14:paraId="6B941C98" w14:textId="77777777" w:rsidR="00830E92" w:rsidRPr="000973F2" w:rsidRDefault="00830E92" w:rsidP="007E7F5C">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18"/>
                <w:szCs w:val="18"/>
              </w:rPr>
            </w:pPr>
            <w:r w:rsidRPr="000973F2">
              <w:rPr>
                <w:rFonts w:ascii="Times New Roman" w:eastAsia="Times New Roman" w:hAnsi="Times New Roman" w:cs="Times New Roman"/>
                <w:b/>
                <w:bCs/>
                <w:sz w:val="18"/>
                <w:szCs w:val="18"/>
              </w:rPr>
              <w:t>Administrative Support</w:t>
            </w:r>
          </w:p>
        </w:tc>
        <w:tc>
          <w:tcPr>
            <w:tcW w:w="1696" w:type="dxa"/>
            <w:gridSpan w:val="2"/>
            <w:vMerge/>
            <w:hideMark/>
          </w:tcPr>
          <w:p w14:paraId="2C19D84C" w14:textId="77777777" w:rsidR="00830E92" w:rsidRPr="000973F2" w:rsidRDefault="00830E92" w:rsidP="007E7F5C">
            <w:pPr>
              <w:spacing w:before="40" w:after="4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18"/>
                <w:szCs w:val="18"/>
              </w:rPr>
            </w:pPr>
          </w:p>
        </w:tc>
      </w:tr>
      <w:tr w:rsidR="006F409A" w:rsidRPr="000973F2" w14:paraId="10DDBFC1" w14:textId="77777777" w:rsidTr="00B926DD">
        <w:trPr>
          <w:cantSplit/>
        </w:trPr>
        <w:tc>
          <w:tcPr>
            <w:cnfStyle w:val="001000000000" w:firstRow="0" w:lastRow="0" w:firstColumn="1" w:lastColumn="0" w:oddVBand="0" w:evenVBand="0" w:oddHBand="0" w:evenHBand="0" w:firstRowFirstColumn="0" w:firstRowLastColumn="0" w:lastRowFirstColumn="0" w:lastRowLastColumn="0"/>
            <w:tcW w:w="1335" w:type="dxa"/>
            <w:vMerge/>
            <w:hideMark/>
          </w:tcPr>
          <w:p w14:paraId="68F08C1F" w14:textId="77777777" w:rsidR="00830E92" w:rsidRPr="000973F2" w:rsidRDefault="00830E92" w:rsidP="007E7F5C">
            <w:pPr>
              <w:spacing w:before="40" w:after="40"/>
              <w:rPr>
                <w:rFonts w:ascii="Times New Roman" w:eastAsia="Times New Roman" w:hAnsi="Times New Roman" w:cs="Times New Roman"/>
                <w:b/>
                <w:bCs w:val="0"/>
                <w:sz w:val="18"/>
                <w:szCs w:val="18"/>
              </w:rPr>
            </w:pPr>
          </w:p>
        </w:tc>
        <w:tc>
          <w:tcPr>
            <w:tcW w:w="1574" w:type="dxa"/>
            <w:gridSpan w:val="2"/>
            <w:noWrap/>
            <w:hideMark/>
          </w:tcPr>
          <w:p w14:paraId="6F3C5D32" w14:textId="40A03AEC" w:rsidR="00830E92" w:rsidRPr="000973F2" w:rsidRDefault="00830E92" w:rsidP="007E7F5C">
            <w:pPr>
              <w:spacing w:before="40" w:after="4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sz w:val="18"/>
                <w:szCs w:val="18"/>
              </w:rPr>
            </w:pPr>
            <w:r w:rsidRPr="000973F2">
              <w:rPr>
                <w:rFonts w:ascii="Times New Roman" w:eastAsia="Times New Roman" w:hAnsi="Times New Roman" w:cs="Times New Roman"/>
                <w:b/>
                <w:bCs/>
                <w:sz w:val="18"/>
                <w:szCs w:val="18"/>
              </w:rPr>
              <w:t>$112.23</w:t>
            </w:r>
          </w:p>
        </w:tc>
        <w:tc>
          <w:tcPr>
            <w:tcW w:w="1575" w:type="dxa"/>
            <w:gridSpan w:val="2"/>
            <w:noWrap/>
            <w:hideMark/>
          </w:tcPr>
          <w:p w14:paraId="79D0427E" w14:textId="5E013DCF" w:rsidR="00830E92" w:rsidRPr="000973F2" w:rsidRDefault="00830E92" w:rsidP="007E7F5C">
            <w:pPr>
              <w:spacing w:before="40" w:after="4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sz w:val="18"/>
                <w:szCs w:val="18"/>
              </w:rPr>
            </w:pPr>
            <w:r w:rsidRPr="000973F2">
              <w:rPr>
                <w:rFonts w:ascii="Times New Roman" w:eastAsia="Times New Roman" w:hAnsi="Times New Roman" w:cs="Times New Roman"/>
                <w:b/>
                <w:bCs/>
                <w:sz w:val="18"/>
                <w:szCs w:val="18"/>
              </w:rPr>
              <w:t>$87.45</w:t>
            </w:r>
          </w:p>
        </w:tc>
        <w:tc>
          <w:tcPr>
            <w:tcW w:w="1575" w:type="dxa"/>
            <w:gridSpan w:val="2"/>
            <w:noWrap/>
            <w:hideMark/>
          </w:tcPr>
          <w:p w14:paraId="4593DB60" w14:textId="70AD1260" w:rsidR="00830E92" w:rsidRPr="000973F2" w:rsidRDefault="00830E92" w:rsidP="007E7F5C">
            <w:pPr>
              <w:spacing w:before="40" w:after="4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sz w:val="18"/>
                <w:szCs w:val="18"/>
              </w:rPr>
            </w:pPr>
            <w:r w:rsidRPr="000973F2">
              <w:rPr>
                <w:rFonts w:ascii="Times New Roman" w:eastAsia="Times New Roman" w:hAnsi="Times New Roman" w:cs="Times New Roman"/>
                <w:b/>
                <w:bCs/>
                <w:sz w:val="18"/>
                <w:szCs w:val="18"/>
              </w:rPr>
              <w:t>$71.45</w:t>
            </w:r>
          </w:p>
        </w:tc>
        <w:tc>
          <w:tcPr>
            <w:tcW w:w="1575" w:type="dxa"/>
            <w:gridSpan w:val="2"/>
            <w:noWrap/>
            <w:hideMark/>
          </w:tcPr>
          <w:p w14:paraId="5453D89A" w14:textId="3AA6E775" w:rsidR="00830E92" w:rsidRPr="000973F2" w:rsidRDefault="00830E92" w:rsidP="007E7F5C">
            <w:pPr>
              <w:spacing w:before="40" w:after="4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sz w:val="18"/>
                <w:szCs w:val="18"/>
              </w:rPr>
            </w:pPr>
            <w:r w:rsidRPr="000973F2">
              <w:rPr>
                <w:rFonts w:ascii="Times New Roman" w:eastAsia="Times New Roman" w:hAnsi="Times New Roman" w:cs="Times New Roman"/>
                <w:b/>
                <w:bCs/>
                <w:sz w:val="18"/>
                <w:szCs w:val="18"/>
              </w:rPr>
              <w:t>$36.28</w:t>
            </w:r>
          </w:p>
        </w:tc>
        <w:tc>
          <w:tcPr>
            <w:tcW w:w="1696" w:type="dxa"/>
            <w:gridSpan w:val="2"/>
            <w:vMerge/>
            <w:hideMark/>
          </w:tcPr>
          <w:p w14:paraId="2FA966E9" w14:textId="77777777" w:rsidR="00830E92" w:rsidRPr="000973F2" w:rsidRDefault="00830E92" w:rsidP="007E7F5C">
            <w:pPr>
              <w:spacing w:before="40" w:after="4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sz w:val="18"/>
                <w:szCs w:val="18"/>
              </w:rPr>
            </w:pPr>
          </w:p>
        </w:tc>
      </w:tr>
      <w:tr w:rsidR="00B42F50" w:rsidRPr="000973F2" w14:paraId="517E9362" w14:textId="77777777" w:rsidTr="00B926DD">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1335" w:type="dxa"/>
            <w:vMerge/>
            <w:hideMark/>
          </w:tcPr>
          <w:p w14:paraId="2612110D" w14:textId="77777777" w:rsidR="00830E92" w:rsidRPr="000973F2" w:rsidRDefault="00830E92" w:rsidP="007E7F5C">
            <w:pPr>
              <w:spacing w:before="40" w:after="40"/>
              <w:rPr>
                <w:rFonts w:ascii="Times New Roman" w:eastAsia="Times New Roman" w:hAnsi="Times New Roman" w:cs="Times New Roman"/>
                <w:b/>
                <w:bCs w:val="0"/>
                <w:sz w:val="18"/>
                <w:szCs w:val="18"/>
              </w:rPr>
            </w:pPr>
          </w:p>
        </w:tc>
        <w:tc>
          <w:tcPr>
            <w:tcW w:w="787" w:type="dxa"/>
            <w:tcMar>
              <w:left w:w="14" w:type="dxa"/>
              <w:right w:w="14" w:type="dxa"/>
            </w:tcMar>
            <w:hideMark/>
          </w:tcPr>
          <w:p w14:paraId="0AA0E556" w14:textId="22BF1579" w:rsidR="00830E92" w:rsidRPr="000973F2" w:rsidRDefault="00830E92" w:rsidP="007E7F5C">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18"/>
                <w:szCs w:val="18"/>
              </w:rPr>
            </w:pPr>
            <w:r w:rsidRPr="000973F2">
              <w:rPr>
                <w:rFonts w:ascii="Times New Roman" w:eastAsia="Times New Roman" w:hAnsi="Times New Roman" w:cs="Times New Roman"/>
                <w:b/>
                <w:bCs/>
                <w:sz w:val="18"/>
                <w:szCs w:val="18"/>
              </w:rPr>
              <w:t xml:space="preserve">Initial </w:t>
            </w:r>
            <w:r w:rsidR="00132320" w:rsidRPr="000973F2">
              <w:rPr>
                <w:rFonts w:ascii="Times New Roman" w:eastAsia="Times New Roman" w:hAnsi="Times New Roman" w:cs="Times New Roman"/>
                <w:b/>
                <w:bCs/>
                <w:sz w:val="18"/>
                <w:szCs w:val="18"/>
              </w:rPr>
              <w:t>Year Hours</w:t>
            </w:r>
          </w:p>
        </w:tc>
        <w:tc>
          <w:tcPr>
            <w:tcW w:w="787" w:type="dxa"/>
            <w:tcMar>
              <w:left w:w="14" w:type="dxa"/>
              <w:right w:w="14" w:type="dxa"/>
            </w:tcMar>
            <w:hideMark/>
          </w:tcPr>
          <w:p w14:paraId="39B58B31" w14:textId="0E68F2A5" w:rsidR="00830E92" w:rsidRPr="000973F2" w:rsidRDefault="00830E92" w:rsidP="007E7F5C">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18"/>
                <w:szCs w:val="18"/>
              </w:rPr>
            </w:pPr>
            <w:r w:rsidRPr="000973F2">
              <w:rPr>
                <w:rFonts w:ascii="Times New Roman" w:eastAsia="Times New Roman" w:hAnsi="Times New Roman" w:cs="Times New Roman"/>
                <w:b/>
                <w:bCs/>
                <w:sz w:val="18"/>
                <w:szCs w:val="18"/>
              </w:rPr>
              <w:t xml:space="preserve">Subseq. </w:t>
            </w:r>
            <w:r w:rsidR="00132320" w:rsidRPr="000973F2">
              <w:rPr>
                <w:rFonts w:ascii="Times New Roman" w:eastAsia="Times New Roman" w:hAnsi="Times New Roman" w:cs="Times New Roman"/>
                <w:b/>
                <w:bCs/>
                <w:sz w:val="18"/>
                <w:szCs w:val="18"/>
              </w:rPr>
              <w:t>Year Hours</w:t>
            </w:r>
          </w:p>
        </w:tc>
        <w:tc>
          <w:tcPr>
            <w:tcW w:w="788" w:type="dxa"/>
            <w:tcMar>
              <w:left w:w="14" w:type="dxa"/>
              <w:right w:w="14" w:type="dxa"/>
            </w:tcMar>
            <w:hideMark/>
          </w:tcPr>
          <w:p w14:paraId="7CC7D6CC" w14:textId="61F8B2C1" w:rsidR="00830E92" w:rsidRPr="000973F2" w:rsidRDefault="00830E92" w:rsidP="007E7F5C">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18"/>
                <w:szCs w:val="18"/>
              </w:rPr>
            </w:pPr>
            <w:r w:rsidRPr="000973F2">
              <w:rPr>
                <w:rFonts w:ascii="Times New Roman" w:eastAsia="Times New Roman" w:hAnsi="Times New Roman" w:cs="Times New Roman"/>
                <w:b/>
                <w:bCs/>
                <w:sz w:val="18"/>
                <w:szCs w:val="18"/>
              </w:rPr>
              <w:t xml:space="preserve">Initial </w:t>
            </w:r>
            <w:r w:rsidR="00132320" w:rsidRPr="000973F2">
              <w:rPr>
                <w:rFonts w:ascii="Times New Roman" w:eastAsia="Times New Roman" w:hAnsi="Times New Roman" w:cs="Times New Roman"/>
                <w:b/>
                <w:bCs/>
                <w:sz w:val="18"/>
                <w:szCs w:val="18"/>
              </w:rPr>
              <w:t>Year Hours</w:t>
            </w:r>
          </w:p>
        </w:tc>
        <w:tc>
          <w:tcPr>
            <w:tcW w:w="787" w:type="dxa"/>
            <w:tcMar>
              <w:left w:w="14" w:type="dxa"/>
              <w:right w:w="14" w:type="dxa"/>
            </w:tcMar>
            <w:hideMark/>
          </w:tcPr>
          <w:p w14:paraId="1F160C73" w14:textId="02D3AF1C" w:rsidR="00830E92" w:rsidRPr="000973F2" w:rsidRDefault="00830E92" w:rsidP="007E7F5C">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18"/>
                <w:szCs w:val="18"/>
              </w:rPr>
            </w:pPr>
            <w:r w:rsidRPr="000973F2">
              <w:rPr>
                <w:rFonts w:ascii="Times New Roman" w:eastAsia="Times New Roman" w:hAnsi="Times New Roman" w:cs="Times New Roman"/>
                <w:b/>
                <w:bCs/>
                <w:sz w:val="18"/>
                <w:szCs w:val="18"/>
              </w:rPr>
              <w:t xml:space="preserve">Subseq. </w:t>
            </w:r>
            <w:r w:rsidR="00132320" w:rsidRPr="000973F2">
              <w:rPr>
                <w:rFonts w:ascii="Times New Roman" w:eastAsia="Times New Roman" w:hAnsi="Times New Roman" w:cs="Times New Roman"/>
                <w:b/>
                <w:bCs/>
                <w:sz w:val="18"/>
                <w:szCs w:val="18"/>
              </w:rPr>
              <w:t>Year Hours</w:t>
            </w:r>
          </w:p>
        </w:tc>
        <w:tc>
          <w:tcPr>
            <w:tcW w:w="787" w:type="dxa"/>
            <w:tcMar>
              <w:left w:w="14" w:type="dxa"/>
              <w:right w:w="14" w:type="dxa"/>
            </w:tcMar>
            <w:hideMark/>
          </w:tcPr>
          <w:p w14:paraId="092033DA" w14:textId="02B7151B" w:rsidR="00830E92" w:rsidRPr="000973F2" w:rsidRDefault="00830E92" w:rsidP="007E7F5C">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18"/>
                <w:szCs w:val="18"/>
              </w:rPr>
            </w:pPr>
            <w:r w:rsidRPr="000973F2">
              <w:rPr>
                <w:rFonts w:ascii="Times New Roman" w:eastAsia="Times New Roman" w:hAnsi="Times New Roman" w:cs="Times New Roman"/>
                <w:b/>
                <w:bCs/>
                <w:sz w:val="18"/>
                <w:szCs w:val="18"/>
              </w:rPr>
              <w:t xml:space="preserve">Initial </w:t>
            </w:r>
            <w:r w:rsidR="00132320" w:rsidRPr="000973F2">
              <w:rPr>
                <w:rFonts w:ascii="Times New Roman" w:eastAsia="Times New Roman" w:hAnsi="Times New Roman" w:cs="Times New Roman"/>
                <w:b/>
                <w:bCs/>
                <w:sz w:val="18"/>
                <w:szCs w:val="18"/>
              </w:rPr>
              <w:t>Year Hours</w:t>
            </w:r>
          </w:p>
        </w:tc>
        <w:tc>
          <w:tcPr>
            <w:tcW w:w="788" w:type="dxa"/>
            <w:tcMar>
              <w:left w:w="14" w:type="dxa"/>
              <w:right w:w="14" w:type="dxa"/>
            </w:tcMar>
            <w:hideMark/>
          </w:tcPr>
          <w:p w14:paraId="31430327" w14:textId="62C7CDB4" w:rsidR="00830E92" w:rsidRPr="000973F2" w:rsidRDefault="00830E92" w:rsidP="007E7F5C">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18"/>
                <w:szCs w:val="18"/>
              </w:rPr>
            </w:pPr>
            <w:r w:rsidRPr="000973F2">
              <w:rPr>
                <w:rFonts w:ascii="Times New Roman" w:eastAsia="Times New Roman" w:hAnsi="Times New Roman" w:cs="Times New Roman"/>
                <w:b/>
                <w:bCs/>
                <w:sz w:val="18"/>
                <w:szCs w:val="18"/>
              </w:rPr>
              <w:t xml:space="preserve">Subseq. </w:t>
            </w:r>
            <w:r w:rsidR="00132320" w:rsidRPr="000973F2">
              <w:rPr>
                <w:rFonts w:ascii="Times New Roman" w:eastAsia="Times New Roman" w:hAnsi="Times New Roman" w:cs="Times New Roman"/>
                <w:b/>
                <w:bCs/>
                <w:sz w:val="18"/>
                <w:szCs w:val="18"/>
              </w:rPr>
              <w:t>Year Hours</w:t>
            </w:r>
          </w:p>
        </w:tc>
        <w:tc>
          <w:tcPr>
            <w:tcW w:w="787" w:type="dxa"/>
            <w:tcMar>
              <w:left w:w="14" w:type="dxa"/>
              <w:right w:w="14" w:type="dxa"/>
            </w:tcMar>
            <w:hideMark/>
          </w:tcPr>
          <w:p w14:paraId="18AE1F35" w14:textId="66F2BB46" w:rsidR="00830E92" w:rsidRPr="000973F2" w:rsidRDefault="00830E92" w:rsidP="007E7F5C">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18"/>
                <w:szCs w:val="18"/>
              </w:rPr>
            </w:pPr>
            <w:r w:rsidRPr="000973F2">
              <w:rPr>
                <w:rFonts w:ascii="Times New Roman" w:eastAsia="Times New Roman" w:hAnsi="Times New Roman" w:cs="Times New Roman"/>
                <w:b/>
                <w:bCs/>
                <w:sz w:val="18"/>
                <w:szCs w:val="18"/>
              </w:rPr>
              <w:t xml:space="preserve">Initial </w:t>
            </w:r>
            <w:r w:rsidR="00132320" w:rsidRPr="000973F2">
              <w:rPr>
                <w:rFonts w:ascii="Times New Roman" w:eastAsia="Times New Roman" w:hAnsi="Times New Roman" w:cs="Times New Roman"/>
                <w:b/>
                <w:bCs/>
                <w:sz w:val="18"/>
                <w:szCs w:val="18"/>
              </w:rPr>
              <w:t>Year Hours</w:t>
            </w:r>
          </w:p>
        </w:tc>
        <w:tc>
          <w:tcPr>
            <w:tcW w:w="788" w:type="dxa"/>
            <w:tcMar>
              <w:left w:w="14" w:type="dxa"/>
              <w:right w:w="14" w:type="dxa"/>
            </w:tcMar>
            <w:hideMark/>
          </w:tcPr>
          <w:p w14:paraId="11183CEB" w14:textId="7BDCA029" w:rsidR="00830E92" w:rsidRPr="000973F2" w:rsidRDefault="00830E92" w:rsidP="007E7F5C">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18"/>
                <w:szCs w:val="18"/>
              </w:rPr>
            </w:pPr>
            <w:r w:rsidRPr="000973F2">
              <w:rPr>
                <w:rFonts w:ascii="Times New Roman" w:eastAsia="Times New Roman" w:hAnsi="Times New Roman" w:cs="Times New Roman"/>
                <w:b/>
                <w:bCs/>
                <w:sz w:val="18"/>
                <w:szCs w:val="18"/>
              </w:rPr>
              <w:t xml:space="preserve">Subseq. </w:t>
            </w:r>
            <w:r w:rsidR="00132320" w:rsidRPr="000973F2">
              <w:rPr>
                <w:rFonts w:ascii="Times New Roman" w:eastAsia="Times New Roman" w:hAnsi="Times New Roman" w:cs="Times New Roman"/>
                <w:b/>
                <w:bCs/>
                <w:sz w:val="18"/>
                <w:szCs w:val="18"/>
              </w:rPr>
              <w:t>Year Hours</w:t>
            </w:r>
          </w:p>
        </w:tc>
        <w:tc>
          <w:tcPr>
            <w:tcW w:w="848" w:type="dxa"/>
            <w:tcMar>
              <w:left w:w="14" w:type="dxa"/>
              <w:right w:w="14" w:type="dxa"/>
            </w:tcMar>
            <w:hideMark/>
          </w:tcPr>
          <w:p w14:paraId="69E5C109" w14:textId="77777777" w:rsidR="00830E92" w:rsidRPr="000973F2" w:rsidRDefault="00830E92" w:rsidP="007E7F5C">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18"/>
                <w:szCs w:val="18"/>
              </w:rPr>
            </w:pPr>
            <w:r w:rsidRPr="000973F2">
              <w:rPr>
                <w:rFonts w:ascii="Times New Roman" w:eastAsia="Times New Roman" w:hAnsi="Times New Roman" w:cs="Times New Roman"/>
                <w:b/>
                <w:bCs/>
                <w:sz w:val="18"/>
                <w:szCs w:val="18"/>
              </w:rPr>
              <w:t>Initial Year</w:t>
            </w:r>
          </w:p>
        </w:tc>
        <w:tc>
          <w:tcPr>
            <w:tcW w:w="848" w:type="dxa"/>
            <w:tcMar>
              <w:left w:w="14" w:type="dxa"/>
              <w:right w:w="14" w:type="dxa"/>
            </w:tcMar>
            <w:hideMark/>
          </w:tcPr>
          <w:p w14:paraId="2E2B62EB" w14:textId="77777777" w:rsidR="00830E92" w:rsidRPr="000973F2" w:rsidRDefault="00830E92" w:rsidP="007E7F5C">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18"/>
                <w:szCs w:val="18"/>
              </w:rPr>
            </w:pPr>
            <w:r w:rsidRPr="000973F2">
              <w:rPr>
                <w:rFonts w:ascii="Times New Roman" w:eastAsia="Times New Roman" w:hAnsi="Times New Roman" w:cs="Times New Roman"/>
                <w:b/>
                <w:bCs/>
                <w:sz w:val="18"/>
                <w:szCs w:val="18"/>
              </w:rPr>
              <w:t>Subseq. Year</w:t>
            </w:r>
          </w:p>
        </w:tc>
      </w:tr>
      <w:tr w:rsidR="007E7F5C" w:rsidRPr="000973F2" w14:paraId="57DC0E3A" w14:textId="77777777" w:rsidTr="007E7F5C">
        <w:trPr>
          <w:cantSplit/>
        </w:trPr>
        <w:tc>
          <w:tcPr>
            <w:cnfStyle w:val="001000000000" w:firstRow="0" w:lastRow="0" w:firstColumn="1" w:lastColumn="0" w:oddVBand="0" w:evenVBand="0" w:oddHBand="0" w:evenHBand="0" w:firstRowFirstColumn="0" w:firstRowLastColumn="0" w:lastRowFirstColumn="0" w:lastRowLastColumn="0"/>
            <w:tcW w:w="1335" w:type="dxa"/>
            <w:hideMark/>
          </w:tcPr>
          <w:p w14:paraId="7FE8F169" w14:textId="77777777" w:rsidR="00830E92" w:rsidRPr="000973F2" w:rsidRDefault="00830E92" w:rsidP="007E7F5C">
            <w:pPr>
              <w:spacing w:before="40" w:after="4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Planning</w:t>
            </w:r>
          </w:p>
        </w:tc>
        <w:tc>
          <w:tcPr>
            <w:tcW w:w="787" w:type="dxa"/>
            <w:noWrap/>
            <w:hideMark/>
          </w:tcPr>
          <w:p w14:paraId="26824F0B" w14:textId="77777777" w:rsidR="00830E92" w:rsidRPr="000973F2" w:rsidRDefault="00830E92" w:rsidP="007E7F5C">
            <w:pPr>
              <w:spacing w:before="40" w:after="4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8</w:t>
            </w:r>
          </w:p>
        </w:tc>
        <w:tc>
          <w:tcPr>
            <w:tcW w:w="787" w:type="dxa"/>
            <w:noWrap/>
            <w:hideMark/>
          </w:tcPr>
          <w:p w14:paraId="701F233F" w14:textId="77777777" w:rsidR="00830E92" w:rsidRPr="000973F2" w:rsidRDefault="00830E92" w:rsidP="007E7F5C">
            <w:pPr>
              <w:spacing w:before="40" w:after="4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2</w:t>
            </w:r>
          </w:p>
        </w:tc>
        <w:tc>
          <w:tcPr>
            <w:tcW w:w="788" w:type="dxa"/>
            <w:noWrap/>
            <w:hideMark/>
          </w:tcPr>
          <w:p w14:paraId="75982850" w14:textId="77777777" w:rsidR="00830E92" w:rsidRPr="000973F2" w:rsidRDefault="00830E92" w:rsidP="00521979">
            <w:pPr>
              <w:tabs>
                <w:tab w:val="decimal" w:pos="211"/>
              </w:tabs>
              <w:spacing w:before="40" w:after="4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1.6</w:t>
            </w:r>
          </w:p>
        </w:tc>
        <w:tc>
          <w:tcPr>
            <w:tcW w:w="787" w:type="dxa"/>
            <w:noWrap/>
            <w:hideMark/>
          </w:tcPr>
          <w:p w14:paraId="694F6BC9" w14:textId="77777777" w:rsidR="00830E92" w:rsidRPr="000973F2" w:rsidRDefault="00830E92" w:rsidP="00521979">
            <w:pPr>
              <w:tabs>
                <w:tab w:val="decimal" w:pos="211"/>
              </w:tabs>
              <w:spacing w:before="40" w:after="4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0.4</w:t>
            </w:r>
          </w:p>
        </w:tc>
        <w:tc>
          <w:tcPr>
            <w:tcW w:w="787" w:type="dxa"/>
            <w:noWrap/>
            <w:hideMark/>
          </w:tcPr>
          <w:p w14:paraId="26E6FF6C" w14:textId="77777777" w:rsidR="00830E92" w:rsidRPr="000973F2" w:rsidRDefault="00830E92" w:rsidP="00521979">
            <w:pPr>
              <w:tabs>
                <w:tab w:val="decimal" w:pos="211"/>
              </w:tabs>
              <w:spacing w:before="40" w:after="4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16</w:t>
            </w:r>
          </w:p>
        </w:tc>
        <w:tc>
          <w:tcPr>
            <w:tcW w:w="788" w:type="dxa"/>
            <w:noWrap/>
            <w:hideMark/>
          </w:tcPr>
          <w:p w14:paraId="06E1A050" w14:textId="77777777" w:rsidR="00830E92" w:rsidRPr="000973F2" w:rsidRDefault="00830E92" w:rsidP="00521979">
            <w:pPr>
              <w:tabs>
                <w:tab w:val="decimal" w:pos="211"/>
              </w:tabs>
              <w:spacing w:before="40" w:after="4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4</w:t>
            </w:r>
          </w:p>
        </w:tc>
        <w:tc>
          <w:tcPr>
            <w:tcW w:w="787" w:type="dxa"/>
            <w:noWrap/>
            <w:hideMark/>
          </w:tcPr>
          <w:p w14:paraId="18CFDAE2" w14:textId="77777777" w:rsidR="00830E92" w:rsidRPr="000973F2" w:rsidRDefault="00830E92" w:rsidP="00521979">
            <w:pPr>
              <w:tabs>
                <w:tab w:val="decimal" w:pos="211"/>
              </w:tabs>
              <w:spacing w:before="40" w:after="4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1.6</w:t>
            </w:r>
          </w:p>
        </w:tc>
        <w:tc>
          <w:tcPr>
            <w:tcW w:w="788" w:type="dxa"/>
            <w:noWrap/>
            <w:hideMark/>
          </w:tcPr>
          <w:p w14:paraId="790CBDF4" w14:textId="77777777" w:rsidR="00830E92" w:rsidRPr="000973F2" w:rsidRDefault="00830E92" w:rsidP="00521979">
            <w:pPr>
              <w:tabs>
                <w:tab w:val="decimal" w:pos="211"/>
              </w:tabs>
              <w:spacing w:before="40" w:after="4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0.4</w:t>
            </w:r>
          </w:p>
        </w:tc>
        <w:tc>
          <w:tcPr>
            <w:tcW w:w="848" w:type="dxa"/>
            <w:noWrap/>
            <w:hideMark/>
          </w:tcPr>
          <w:p w14:paraId="78E04022" w14:textId="0222EF8F" w:rsidR="00830E92" w:rsidRPr="000973F2" w:rsidRDefault="00830E92" w:rsidP="00521979">
            <w:pPr>
              <w:tabs>
                <w:tab w:val="decimal" w:pos="526"/>
              </w:tabs>
              <w:spacing w:before="40" w:after="4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$2,239</w:t>
            </w:r>
          </w:p>
        </w:tc>
        <w:tc>
          <w:tcPr>
            <w:tcW w:w="848" w:type="dxa"/>
            <w:noWrap/>
            <w:hideMark/>
          </w:tcPr>
          <w:p w14:paraId="4E095A5A" w14:textId="114CDF4C" w:rsidR="00830E92" w:rsidRPr="000973F2" w:rsidRDefault="00830E92" w:rsidP="00521979">
            <w:pPr>
              <w:tabs>
                <w:tab w:val="decimal" w:pos="526"/>
              </w:tabs>
              <w:spacing w:before="40" w:after="4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$560</w:t>
            </w:r>
          </w:p>
        </w:tc>
      </w:tr>
      <w:tr w:rsidR="00B42F50" w:rsidRPr="000973F2" w14:paraId="68C41F5C" w14:textId="77777777" w:rsidTr="00B926DD">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1335" w:type="dxa"/>
            <w:hideMark/>
          </w:tcPr>
          <w:p w14:paraId="301AB79D" w14:textId="77777777" w:rsidR="00830E92" w:rsidRPr="000973F2" w:rsidRDefault="00830E92" w:rsidP="007E7F5C">
            <w:pPr>
              <w:spacing w:before="40" w:after="4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QA/QC</w:t>
            </w:r>
          </w:p>
        </w:tc>
        <w:tc>
          <w:tcPr>
            <w:tcW w:w="787" w:type="dxa"/>
            <w:noWrap/>
            <w:hideMark/>
          </w:tcPr>
          <w:p w14:paraId="0C02D522" w14:textId="77777777" w:rsidR="00830E92" w:rsidRPr="000973F2" w:rsidRDefault="00830E92" w:rsidP="007E7F5C">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0</w:t>
            </w:r>
          </w:p>
        </w:tc>
        <w:tc>
          <w:tcPr>
            <w:tcW w:w="787" w:type="dxa"/>
            <w:noWrap/>
            <w:hideMark/>
          </w:tcPr>
          <w:p w14:paraId="63B73DAF" w14:textId="77777777" w:rsidR="00830E92" w:rsidRPr="000973F2" w:rsidRDefault="00830E92" w:rsidP="007E7F5C">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0</w:t>
            </w:r>
          </w:p>
        </w:tc>
        <w:tc>
          <w:tcPr>
            <w:tcW w:w="788" w:type="dxa"/>
            <w:noWrap/>
            <w:hideMark/>
          </w:tcPr>
          <w:p w14:paraId="07C65598" w14:textId="77777777" w:rsidR="00830E92" w:rsidRPr="000973F2" w:rsidRDefault="00830E92" w:rsidP="00521979">
            <w:pPr>
              <w:tabs>
                <w:tab w:val="decimal" w:pos="211"/>
              </w:tabs>
              <w:spacing w:before="40" w:after="4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0.4</w:t>
            </w:r>
          </w:p>
        </w:tc>
        <w:tc>
          <w:tcPr>
            <w:tcW w:w="787" w:type="dxa"/>
            <w:noWrap/>
            <w:hideMark/>
          </w:tcPr>
          <w:p w14:paraId="5ECE54B9" w14:textId="77777777" w:rsidR="00830E92" w:rsidRPr="000973F2" w:rsidRDefault="00830E92" w:rsidP="00521979">
            <w:pPr>
              <w:tabs>
                <w:tab w:val="decimal" w:pos="211"/>
              </w:tabs>
              <w:spacing w:before="40" w:after="4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0.2</w:t>
            </w:r>
          </w:p>
        </w:tc>
        <w:tc>
          <w:tcPr>
            <w:tcW w:w="787" w:type="dxa"/>
            <w:noWrap/>
            <w:hideMark/>
          </w:tcPr>
          <w:p w14:paraId="2C95395D" w14:textId="77777777" w:rsidR="00830E92" w:rsidRPr="000973F2" w:rsidRDefault="00830E92" w:rsidP="00521979">
            <w:pPr>
              <w:tabs>
                <w:tab w:val="decimal" w:pos="211"/>
              </w:tabs>
              <w:spacing w:before="40" w:after="4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4</w:t>
            </w:r>
          </w:p>
        </w:tc>
        <w:tc>
          <w:tcPr>
            <w:tcW w:w="788" w:type="dxa"/>
            <w:noWrap/>
            <w:hideMark/>
          </w:tcPr>
          <w:p w14:paraId="73C67DCC" w14:textId="77777777" w:rsidR="00830E92" w:rsidRPr="000973F2" w:rsidRDefault="00830E92" w:rsidP="00521979">
            <w:pPr>
              <w:tabs>
                <w:tab w:val="decimal" w:pos="211"/>
              </w:tabs>
              <w:spacing w:before="40" w:after="4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2</w:t>
            </w:r>
          </w:p>
        </w:tc>
        <w:tc>
          <w:tcPr>
            <w:tcW w:w="787" w:type="dxa"/>
            <w:noWrap/>
            <w:hideMark/>
          </w:tcPr>
          <w:p w14:paraId="20D4F339" w14:textId="77777777" w:rsidR="00830E92" w:rsidRPr="000973F2" w:rsidRDefault="00830E92" w:rsidP="00521979">
            <w:pPr>
              <w:tabs>
                <w:tab w:val="decimal" w:pos="211"/>
              </w:tabs>
              <w:spacing w:before="40" w:after="4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0.4</w:t>
            </w:r>
          </w:p>
        </w:tc>
        <w:tc>
          <w:tcPr>
            <w:tcW w:w="788" w:type="dxa"/>
            <w:noWrap/>
            <w:hideMark/>
          </w:tcPr>
          <w:p w14:paraId="24838BC7" w14:textId="77777777" w:rsidR="00830E92" w:rsidRPr="000973F2" w:rsidRDefault="00830E92" w:rsidP="00521979">
            <w:pPr>
              <w:tabs>
                <w:tab w:val="decimal" w:pos="211"/>
              </w:tabs>
              <w:spacing w:before="40" w:after="4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0.2</w:t>
            </w:r>
          </w:p>
        </w:tc>
        <w:tc>
          <w:tcPr>
            <w:tcW w:w="848" w:type="dxa"/>
            <w:noWrap/>
            <w:hideMark/>
          </w:tcPr>
          <w:p w14:paraId="6596225D" w14:textId="4D1F2FBE" w:rsidR="00830E92" w:rsidRPr="000973F2" w:rsidRDefault="00830E92" w:rsidP="00521979">
            <w:pPr>
              <w:tabs>
                <w:tab w:val="decimal" w:pos="526"/>
              </w:tabs>
              <w:spacing w:before="40" w:after="4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$335</w:t>
            </w:r>
          </w:p>
        </w:tc>
        <w:tc>
          <w:tcPr>
            <w:tcW w:w="848" w:type="dxa"/>
            <w:noWrap/>
            <w:hideMark/>
          </w:tcPr>
          <w:p w14:paraId="4BB13827" w14:textId="4077614B" w:rsidR="00830E92" w:rsidRPr="000973F2" w:rsidRDefault="00830E92" w:rsidP="00521979">
            <w:pPr>
              <w:tabs>
                <w:tab w:val="decimal" w:pos="526"/>
              </w:tabs>
              <w:spacing w:before="40" w:after="4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$168</w:t>
            </w:r>
          </w:p>
        </w:tc>
      </w:tr>
      <w:tr w:rsidR="007E7F5C" w:rsidRPr="000973F2" w14:paraId="680D4124" w14:textId="77777777" w:rsidTr="007E7F5C">
        <w:trPr>
          <w:cantSplit/>
        </w:trPr>
        <w:tc>
          <w:tcPr>
            <w:cnfStyle w:val="001000000000" w:firstRow="0" w:lastRow="0" w:firstColumn="1" w:lastColumn="0" w:oddVBand="0" w:evenVBand="0" w:oddHBand="0" w:evenHBand="0" w:firstRowFirstColumn="0" w:firstRowLastColumn="0" w:lastRowFirstColumn="0" w:lastRowLastColumn="0"/>
            <w:tcW w:w="1335" w:type="dxa"/>
            <w:hideMark/>
          </w:tcPr>
          <w:p w14:paraId="46F3FB8A" w14:textId="77777777" w:rsidR="00830E92" w:rsidRPr="000973F2" w:rsidRDefault="00830E92" w:rsidP="007E7F5C">
            <w:pPr>
              <w:spacing w:before="40" w:after="4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Recordkeeping</w:t>
            </w:r>
          </w:p>
        </w:tc>
        <w:tc>
          <w:tcPr>
            <w:tcW w:w="787" w:type="dxa"/>
            <w:noWrap/>
            <w:hideMark/>
          </w:tcPr>
          <w:p w14:paraId="1905C549" w14:textId="77777777" w:rsidR="00830E92" w:rsidRPr="000973F2" w:rsidRDefault="00830E92" w:rsidP="007E7F5C">
            <w:pPr>
              <w:spacing w:before="40" w:after="4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0</w:t>
            </w:r>
          </w:p>
        </w:tc>
        <w:tc>
          <w:tcPr>
            <w:tcW w:w="787" w:type="dxa"/>
            <w:noWrap/>
            <w:hideMark/>
          </w:tcPr>
          <w:p w14:paraId="0D6E476E" w14:textId="77777777" w:rsidR="00830E92" w:rsidRPr="000973F2" w:rsidRDefault="00830E92" w:rsidP="007E7F5C">
            <w:pPr>
              <w:spacing w:before="40" w:after="4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0</w:t>
            </w:r>
          </w:p>
        </w:tc>
        <w:tc>
          <w:tcPr>
            <w:tcW w:w="788" w:type="dxa"/>
            <w:noWrap/>
            <w:hideMark/>
          </w:tcPr>
          <w:p w14:paraId="5AB70C7E" w14:textId="77777777" w:rsidR="00830E92" w:rsidRPr="000973F2" w:rsidRDefault="00830E92" w:rsidP="00521979">
            <w:pPr>
              <w:tabs>
                <w:tab w:val="decimal" w:pos="211"/>
              </w:tabs>
              <w:spacing w:before="40" w:after="4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0.5</w:t>
            </w:r>
          </w:p>
        </w:tc>
        <w:tc>
          <w:tcPr>
            <w:tcW w:w="787" w:type="dxa"/>
            <w:noWrap/>
            <w:hideMark/>
          </w:tcPr>
          <w:p w14:paraId="3B672D31" w14:textId="77777777" w:rsidR="00830E92" w:rsidRPr="000973F2" w:rsidRDefault="00830E92" w:rsidP="00521979">
            <w:pPr>
              <w:tabs>
                <w:tab w:val="decimal" w:pos="211"/>
              </w:tabs>
              <w:spacing w:before="40" w:after="4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0.5</w:t>
            </w:r>
          </w:p>
        </w:tc>
        <w:tc>
          <w:tcPr>
            <w:tcW w:w="787" w:type="dxa"/>
            <w:noWrap/>
            <w:hideMark/>
          </w:tcPr>
          <w:p w14:paraId="003D8E77" w14:textId="77777777" w:rsidR="00830E92" w:rsidRPr="000973F2" w:rsidRDefault="00830E92" w:rsidP="00521979">
            <w:pPr>
              <w:tabs>
                <w:tab w:val="decimal" w:pos="211"/>
              </w:tabs>
              <w:spacing w:before="40" w:after="4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5</w:t>
            </w:r>
          </w:p>
        </w:tc>
        <w:tc>
          <w:tcPr>
            <w:tcW w:w="788" w:type="dxa"/>
            <w:noWrap/>
            <w:hideMark/>
          </w:tcPr>
          <w:p w14:paraId="548F20A7" w14:textId="77777777" w:rsidR="00830E92" w:rsidRPr="000973F2" w:rsidRDefault="00830E92" w:rsidP="00521979">
            <w:pPr>
              <w:tabs>
                <w:tab w:val="decimal" w:pos="211"/>
              </w:tabs>
              <w:spacing w:before="40" w:after="4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5</w:t>
            </w:r>
          </w:p>
        </w:tc>
        <w:tc>
          <w:tcPr>
            <w:tcW w:w="787" w:type="dxa"/>
            <w:noWrap/>
            <w:hideMark/>
          </w:tcPr>
          <w:p w14:paraId="11E49411" w14:textId="77777777" w:rsidR="00830E92" w:rsidRPr="000973F2" w:rsidRDefault="00830E92" w:rsidP="00521979">
            <w:pPr>
              <w:tabs>
                <w:tab w:val="decimal" w:pos="211"/>
              </w:tabs>
              <w:spacing w:before="40" w:after="4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0.5</w:t>
            </w:r>
          </w:p>
        </w:tc>
        <w:tc>
          <w:tcPr>
            <w:tcW w:w="788" w:type="dxa"/>
            <w:noWrap/>
            <w:hideMark/>
          </w:tcPr>
          <w:p w14:paraId="09111989" w14:textId="77777777" w:rsidR="00830E92" w:rsidRPr="000973F2" w:rsidRDefault="00830E92" w:rsidP="00521979">
            <w:pPr>
              <w:tabs>
                <w:tab w:val="decimal" w:pos="211"/>
              </w:tabs>
              <w:spacing w:before="40" w:after="4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0.5</w:t>
            </w:r>
          </w:p>
        </w:tc>
        <w:tc>
          <w:tcPr>
            <w:tcW w:w="848" w:type="dxa"/>
            <w:noWrap/>
            <w:hideMark/>
          </w:tcPr>
          <w:p w14:paraId="700D4993" w14:textId="3EDC48D9" w:rsidR="00830E92" w:rsidRPr="000973F2" w:rsidRDefault="00830E92" w:rsidP="00521979">
            <w:pPr>
              <w:tabs>
                <w:tab w:val="decimal" w:pos="526"/>
              </w:tabs>
              <w:spacing w:before="40" w:after="4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w:t>
            </w:r>
            <w:r w:rsidR="005F01F6" w:rsidRPr="000973F2">
              <w:rPr>
                <w:rFonts w:ascii="Times New Roman" w:eastAsia="Times New Roman" w:hAnsi="Times New Roman" w:cs="Times New Roman"/>
                <w:sz w:val="18"/>
                <w:szCs w:val="18"/>
              </w:rPr>
              <w:t>419</w:t>
            </w:r>
          </w:p>
        </w:tc>
        <w:tc>
          <w:tcPr>
            <w:tcW w:w="848" w:type="dxa"/>
            <w:noWrap/>
            <w:hideMark/>
          </w:tcPr>
          <w:p w14:paraId="48CC7E11" w14:textId="23E37511" w:rsidR="00830E92" w:rsidRPr="000973F2" w:rsidRDefault="00830E92" w:rsidP="00521979">
            <w:pPr>
              <w:tabs>
                <w:tab w:val="decimal" w:pos="526"/>
              </w:tabs>
              <w:spacing w:before="40" w:after="4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w:t>
            </w:r>
            <w:r w:rsidR="005F01F6" w:rsidRPr="000973F2">
              <w:rPr>
                <w:rFonts w:ascii="Times New Roman" w:eastAsia="Times New Roman" w:hAnsi="Times New Roman" w:cs="Times New Roman"/>
                <w:sz w:val="18"/>
                <w:szCs w:val="18"/>
              </w:rPr>
              <w:t>419</w:t>
            </w:r>
          </w:p>
        </w:tc>
      </w:tr>
      <w:tr w:rsidR="00B42F50" w:rsidRPr="000973F2" w14:paraId="7FB2D657" w14:textId="77777777" w:rsidTr="00B926DD">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1335" w:type="dxa"/>
            <w:hideMark/>
          </w:tcPr>
          <w:p w14:paraId="5F8902A7" w14:textId="77777777" w:rsidR="00830E92" w:rsidRPr="000973F2" w:rsidRDefault="00830E92" w:rsidP="007E7F5C">
            <w:pPr>
              <w:spacing w:before="40" w:after="4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Sampling and Analysis (Calculations)</w:t>
            </w:r>
          </w:p>
        </w:tc>
        <w:tc>
          <w:tcPr>
            <w:tcW w:w="787" w:type="dxa"/>
            <w:noWrap/>
            <w:hideMark/>
          </w:tcPr>
          <w:p w14:paraId="2637B52F" w14:textId="77777777" w:rsidR="00830E92" w:rsidRPr="000973F2" w:rsidRDefault="00830E92" w:rsidP="007E7F5C">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0</w:t>
            </w:r>
          </w:p>
        </w:tc>
        <w:tc>
          <w:tcPr>
            <w:tcW w:w="787" w:type="dxa"/>
            <w:noWrap/>
            <w:hideMark/>
          </w:tcPr>
          <w:p w14:paraId="422E90DC" w14:textId="77777777" w:rsidR="00830E92" w:rsidRPr="000973F2" w:rsidRDefault="00830E92" w:rsidP="007E7F5C">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0</w:t>
            </w:r>
          </w:p>
        </w:tc>
        <w:tc>
          <w:tcPr>
            <w:tcW w:w="788" w:type="dxa"/>
            <w:noWrap/>
            <w:hideMark/>
          </w:tcPr>
          <w:p w14:paraId="0F781806" w14:textId="77777777" w:rsidR="00830E92" w:rsidRPr="000973F2" w:rsidRDefault="00830E92" w:rsidP="00521979">
            <w:pPr>
              <w:tabs>
                <w:tab w:val="decimal" w:pos="211"/>
              </w:tabs>
              <w:spacing w:before="40" w:after="4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0.2</w:t>
            </w:r>
          </w:p>
        </w:tc>
        <w:tc>
          <w:tcPr>
            <w:tcW w:w="787" w:type="dxa"/>
            <w:noWrap/>
            <w:hideMark/>
          </w:tcPr>
          <w:p w14:paraId="0D3E5854" w14:textId="77777777" w:rsidR="00830E92" w:rsidRPr="000973F2" w:rsidRDefault="00830E92" w:rsidP="00521979">
            <w:pPr>
              <w:tabs>
                <w:tab w:val="decimal" w:pos="211"/>
              </w:tabs>
              <w:spacing w:before="40" w:after="4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0.1</w:t>
            </w:r>
          </w:p>
        </w:tc>
        <w:tc>
          <w:tcPr>
            <w:tcW w:w="787" w:type="dxa"/>
            <w:noWrap/>
            <w:hideMark/>
          </w:tcPr>
          <w:p w14:paraId="2BCF4032" w14:textId="77777777" w:rsidR="00830E92" w:rsidRPr="000973F2" w:rsidRDefault="00830E92" w:rsidP="00521979">
            <w:pPr>
              <w:tabs>
                <w:tab w:val="decimal" w:pos="211"/>
              </w:tabs>
              <w:spacing w:before="40" w:after="4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2</w:t>
            </w:r>
          </w:p>
        </w:tc>
        <w:tc>
          <w:tcPr>
            <w:tcW w:w="788" w:type="dxa"/>
            <w:noWrap/>
            <w:hideMark/>
          </w:tcPr>
          <w:p w14:paraId="48DE820D" w14:textId="77777777" w:rsidR="00830E92" w:rsidRPr="000973F2" w:rsidRDefault="00830E92" w:rsidP="00521979">
            <w:pPr>
              <w:tabs>
                <w:tab w:val="decimal" w:pos="211"/>
              </w:tabs>
              <w:spacing w:before="40" w:after="4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1</w:t>
            </w:r>
          </w:p>
        </w:tc>
        <w:tc>
          <w:tcPr>
            <w:tcW w:w="787" w:type="dxa"/>
            <w:noWrap/>
            <w:hideMark/>
          </w:tcPr>
          <w:p w14:paraId="1B2FF5EE" w14:textId="77777777" w:rsidR="00830E92" w:rsidRPr="000973F2" w:rsidRDefault="00830E92" w:rsidP="00521979">
            <w:pPr>
              <w:tabs>
                <w:tab w:val="decimal" w:pos="211"/>
              </w:tabs>
              <w:spacing w:before="40" w:after="4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0.2</w:t>
            </w:r>
          </w:p>
        </w:tc>
        <w:tc>
          <w:tcPr>
            <w:tcW w:w="788" w:type="dxa"/>
            <w:noWrap/>
            <w:hideMark/>
          </w:tcPr>
          <w:p w14:paraId="19FA70B3" w14:textId="77777777" w:rsidR="00830E92" w:rsidRPr="000973F2" w:rsidRDefault="00830E92" w:rsidP="00521979">
            <w:pPr>
              <w:tabs>
                <w:tab w:val="decimal" w:pos="211"/>
              </w:tabs>
              <w:spacing w:before="40" w:after="4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0.1</w:t>
            </w:r>
          </w:p>
        </w:tc>
        <w:tc>
          <w:tcPr>
            <w:tcW w:w="848" w:type="dxa"/>
            <w:noWrap/>
            <w:hideMark/>
          </w:tcPr>
          <w:p w14:paraId="37C23036" w14:textId="680EC48C" w:rsidR="00830E92" w:rsidRPr="000973F2" w:rsidRDefault="00830E92" w:rsidP="00521979">
            <w:pPr>
              <w:tabs>
                <w:tab w:val="decimal" w:pos="526"/>
              </w:tabs>
              <w:spacing w:before="40" w:after="4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$168</w:t>
            </w:r>
          </w:p>
        </w:tc>
        <w:tc>
          <w:tcPr>
            <w:tcW w:w="848" w:type="dxa"/>
            <w:noWrap/>
            <w:hideMark/>
          </w:tcPr>
          <w:p w14:paraId="2FC04F66" w14:textId="1997119E" w:rsidR="00830E92" w:rsidRPr="000973F2" w:rsidRDefault="00830E92" w:rsidP="00521979">
            <w:pPr>
              <w:tabs>
                <w:tab w:val="decimal" w:pos="526"/>
              </w:tabs>
              <w:spacing w:before="40" w:after="4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$84</w:t>
            </w:r>
          </w:p>
        </w:tc>
      </w:tr>
      <w:tr w:rsidR="007E7F5C" w:rsidRPr="000973F2" w14:paraId="2C610D05" w14:textId="77777777" w:rsidTr="007E7F5C">
        <w:trPr>
          <w:cantSplit/>
        </w:trPr>
        <w:tc>
          <w:tcPr>
            <w:cnfStyle w:val="001000000000" w:firstRow="0" w:lastRow="0" w:firstColumn="1" w:lastColumn="0" w:oddVBand="0" w:evenVBand="0" w:oddHBand="0" w:evenHBand="0" w:firstRowFirstColumn="0" w:firstRowLastColumn="0" w:lastRowFirstColumn="0" w:lastRowLastColumn="0"/>
            <w:tcW w:w="1335" w:type="dxa"/>
            <w:hideMark/>
          </w:tcPr>
          <w:p w14:paraId="0AD5C317" w14:textId="77777777" w:rsidR="00830E92" w:rsidRPr="000973F2" w:rsidRDefault="00830E92" w:rsidP="007E7F5C">
            <w:pPr>
              <w:spacing w:before="40" w:after="4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Reporting</w:t>
            </w:r>
          </w:p>
        </w:tc>
        <w:tc>
          <w:tcPr>
            <w:tcW w:w="787" w:type="dxa"/>
            <w:noWrap/>
            <w:hideMark/>
          </w:tcPr>
          <w:p w14:paraId="45AA0A05" w14:textId="77777777" w:rsidR="00830E92" w:rsidRPr="000973F2" w:rsidRDefault="00830E92" w:rsidP="007E7F5C">
            <w:pPr>
              <w:spacing w:before="40" w:after="4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0</w:t>
            </w:r>
          </w:p>
        </w:tc>
        <w:tc>
          <w:tcPr>
            <w:tcW w:w="787" w:type="dxa"/>
            <w:noWrap/>
            <w:hideMark/>
          </w:tcPr>
          <w:p w14:paraId="274F324B" w14:textId="77777777" w:rsidR="00830E92" w:rsidRPr="000973F2" w:rsidRDefault="00830E92" w:rsidP="007E7F5C">
            <w:pPr>
              <w:spacing w:before="40" w:after="4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0</w:t>
            </w:r>
          </w:p>
        </w:tc>
        <w:tc>
          <w:tcPr>
            <w:tcW w:w="788" w:type="dxa"/>
            <w:noWrap/>
            <w:hideMark/>
          </w:tcPr>
          <w:p w14:paraId="24491DDF" w14:textId="77777777" w:rsidR="00830E92" w:rsidRPr="000973F2" w:rsidRDefault="00830E92" w:rsidP="00521979">
            <w:pPr>
              <w:tabs>
                <w:tab w:val="decimal" w:pos="211"/>
              </w:tabs>
              <w:spacing w:before="40" w:after="4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1</w:t>
            </w:r>
          </w:p>
        </w:tc>
        <w:tc>
          <w:tcPr>
            <w:tcW w:w="787" w:type="dxa"/>
            <w:noWrap/>
            <w:hideMark/>
          </w:tcPr>
          <w:p w14:paraId="240BB773" w14:textId="77777777" w:rsidR="00830E92" w:rsidRPr="000973F2" w:rsidRDefault="00830E92" w:rsidP="00521979">
            <w:pPr>
              <w:tabs>
                <w:tab w:val="decimal" w:pos="211"/>
              </w:tabs>
              <w:spacing w:before="40" w:after="4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1</w:t>
            </w:r>
          </w:p>
        </w:tc>
        <w:tc>
          <w:tcPr>
            <w:tcW w:w="787" w:type="dxa"/>
            <w:noWrap/>
            <w:hideMark/>
          </w:tcPr>
          <w:p w14:paraId="70897C88" w14:textId="77777777" w:rsidR="00830E92" w:rsidRPr="000973F2" w:rsidRDefault="00830E92" w:rsidP="00521979">
            <w:pPr>
              <w:tabs>
                <w:tab w:val="decimal" w:pos="211"/>
              </w:tabs>
              <w:spacing w:before="40" w:after="4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10</w:t>
            </w:r>
          </w:p>
        </w:tc>
        <w:tc>
          <w:tcPr>
            <w:tcW w:w="788" w:type="dxa"/>
            <w:noWrap/>
            <w:hideMark/>
          </w:tcPr>
          <w:p w14:paraId="657B71BA" w14:textId="77777777" w:rsidR="00830E92" w:rsidRPr="000973F2" w:rsidRDefault="00830E92" w:rsidP="00521979">
            <w:pPr>
              <w:tabs>
                <w:tab w:val="decimal" w:pos="211"/>
              </w:tabs>
              <w:spacing w:before="40" w:after="4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10</w:t>
            </w:r>
          </w:p>
        </w:tc>
        <w:tc>
          <w:tcPr>
            <w:tcW w:w="787" w:type="dxa"/>
            <w:noWrap/>
            <w:hideMark/>
          </w:tcPr>
          <w:p w14:paraId="4BC6E461" w14:textId="77777777" w:rsidR="00830E92" w:rsidRPr="000973F2" w:rsidRDefault="00830E92" w:rsidP="00521979">
            <w:pPr>
              <w:tabs>
                <w:tab w:val="decimal" w:pos="211"/>
              </w:tabs>
              <w:spacing w:before="40" w:after="4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1</w:t>
            </w:r>
          </w:p>
        </w:tc>
        <w:tc>
          <w:tcPr>
            <w:tcW w:w="788" w:type="dxa"/>
            <w:noWrap/>
            <w:hideMark/>
          </w:tcPr>
          <w:p w14:paraId="28344816" w14:textId="77777777" w:rsidR="00830E92" w:rsidRPr="000973F2" w:rsidRDefault="00830E92" w:rsidP="00521979">
            <w:pPr>
              <w:tabs>
                <w:tab w:val="decimal" w:pos="211"/>
              </w:tabs>
              <w:spacing w:before="40" w:after="4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1</w:t>
            </w:r>
          </w:p>
        </w:tc>
        <w:tc>
          <w:tcPr>
            <w:tcW w:w="848" w:type="dxa"/>
            <w:noWrap/>
            <w:hideMark/>
          </w:tcPr>
          <w:p w14:paraId="78BE4E94" w14:textId="538B9D4F" w:rsidR="00830E92" w:rsidRPr="000973F2" w:rsidRDefault="00830E92" w:rsidP="00521979">
            <w:pPr>
              <w:tabs>
                <w:tab w:val="decimal" w:pos="526"/>
              </w:tabs>
              <w:spacing w:before="40" w:after="4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w:t>
            </w:r>
            <w:r w:rsidR="005F01F6" w:rsidRPr="000973F2">
              <w:rPr>
                <w:rFonts w:ascii="Times New Roman" w:eastAsia="Times New Roman" w:hAnsi="Times New Roman" w:cs="Times New Roman"/>
                <w:sz w:val="18"/>
                <w:szCs w:val="18"/>
              </w:rPr>
              <w:t>838</w:t>
            </w:r>
          </w:p>
        </w:tc>
        <w:tc>
          <w:tcPr>
            <w:tcW w:w="848" w:type="dxa"/>
            <w:noWrap/>
            <w:hideMark/>
          </w:tcPr>
          <w:p w14:paraId="37D974C2" w14:textId="2E1EC168" w:rsidR="00830E92" w:rsidRPr="000973F2" w:rsidRDefault="00830E92" w:rsidP="00521979">
            <w:pPr>
              <w:tabs>
                <w:tab w:val="decimal" w:pos="526"/>
              </w:tabs>
              <w:spacing w:before="40" w:after="4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w:t>
            </w:r>
            <w:r w:rsidR="005F01F6" w:rsidRPr="000973F2">
              <w:rPr>
                <w:rFonts w:ascii="Times New Roman" w:eastAsia="Times New Roman" w:hAnsi="Times New Roman" w:cs="Times New Roman"/>
                <w:sz w:val="18"/>
                <w:szCs w:val="18"/>
              </w:rPr>
              <w:t>838</w:t>
            </w:r>
          </w:p>
        </w:tc>
      </w:tr>
      <w:tr w:rsidR="00B42F50" w:rsidRPr="000973F2" w14:paraId="44A5663A" w14:textId="77777777" w:rsidTr="00B926DD">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1335" w:type="dxa"/>
            <w:noWrap/>
            <w:hideMark/>
          </w:tcPr>
          <w:p w14:paraId="223D4ACA" w14:textId="77777777" w:rsidR="00830E92" w:rsidRPr="000973F2" w:rsidRDefault="00830E92" w:rsidP="007E7F5C">
            <w:pPr>
              <w:spacing w:before="40" w:after="40"/>
              <w:rPr>
                <w:rFonts w:ascii="Times New Roman" w:eastAsia="Times New Roman" w:hAnsi="Times New Roman" w:cs="Times New Roman"/>
                <w:b/>
                <w:bCs w:val="0"/>
                <w:sz w:val="18"/>
                <w:szCs w:val="18"/>
              </w:rPr>
            </w:pPr>
            <w:r w:rsidRPr="000973F2">
              <w:rPr>
                <w:rFonts w:ascii="Times New Roman" w:eastAsia="Times New Roman" w:hAnsi="Times New Roman" w:cs="Times New Roman"/>
                <w:b/>
                <w:sz w:val="18"/>
                <w:szCs w:val="18"/>
              </w:rPr>
              <w:t>Total</w:t>
            </w:r>
          </w:p>
        </w:tc>
        <w:tc>
          <w:tcPr>
            <w:tcW w:w="787" w:type="dxa"/>
            <w:noWrap/>
            <w:hideMark/>
          </w:tcPr>
          <w:p w14:paraId="246AF649" w14:textId="77777777" w:rsidR="00830E92" w:rsidRPr="000973F2" w:rsidRDefault="00830E92" w:rsidP="007E7F5C">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18"/>
                <w:szCs w:val="18"/>
              </w:rPr>
            </w:pPr>
            <w:r w:rsidRPr="000973F2">
              <w:rPr>
                <w:rFonts w:ascii="Times New Roman" w:eastAsia="Times New Roman" w:hAnsi="Times New Roman" w:cs="Times New Roman"/>
                <w:b/>
                <w:bCs/>
                <w:sz w:val="18"/>
                <w:szCs w:val="18"/>
              </w:rPr>
              <w:t>8</w:t>
            </w:r>
          </w:p>
        </w:tc>
        <w:tc>
          <w:tcPr>
            <w:tcW w:w="787" w:type="dxa"/>
            <w:noWrap/>
            <w:hideMark/>
          </w:tcPr>
          <w:p w14:paraId="36770C43" w14:textId="77777777" w:rsidR="00830E92" w:rsidRPr="000973F2" w:rsidRDefault="00830E92" w:rsidP="007E7F5C">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18"/>
                <w:szCs w:val="18"/>
              </w:rPr>
            </w:pPr>
            <w:r w:rsidRPr="000973F2">
              <w:rPr>
                <w:rFonts w:ascii="Times New Roman" w:eastAsia="Times New Roman" w:hAnsi="Times New Roman" w:cs="Times New Roman"/>
                <w:b/>
                <w:bCs/>
                <w:sz w:val="18"/>
                <w:szCs w:val="18"/>
              </w:rPr>
              <w:t>2</w:t>
            </w:r>
          </w:p>
        </w:tc>
        <w:tc>
          <w:tcPr>
            <w:tcW w:w="788" w:type="dxa"/>
            <w:noWrap/>
            <w:hideMark/>
          </w:tcPr>
          <w:p w14:paraId="101E3398" w14:textId="77777777" w:rsidR="00830E92" w:rsidRPr="000973F2" w:rsidRDefault="00830E92" w:rsidP="00521979">
            <w:pPr>
              <w:tabs>
                <w:tab w:val="decimal" w:pos="211"/>
              </w:tabs>
              <w:spacing w:before="40" w:after="4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18"/>
                <w:szCs w:val="18"/>
              </w:rPr>
            </w:pPr>
            <w:r w:rsidRPr="000973F2">
              <w:rPr>
                <w:rFonts w:ascii="Times New Roman" w:eastAsia="Times New Roman" w:hAnsi="Times New Roman" w:cs="Times New Roman"/>
                <w:b/>
                <w:bCs/>
                <w:sz w:val="18"/>
                <w:szCs w:val="18"/>
              </w:rPr>
              <w:t>3.7</w:t>
            </w:r>
          </w:p>
        </w:tc>
        <w:tc>
          <w:tcPr>
            <w:tcW w:w="787" w:type="dxa"/>
            <w:noWrap/>
            <w:hideMark/>
          </w:tcPr>
          <w:p w14:paraId="71AE0C1B" w14:textId="77777777" w:rsidR="00830E92" w:rsidRPr="000973F2" w:rsidRDefault="00830E92" w:rsidP="00521979">
            <w:pPr>
              <w:tabs>
                <w:tab w:val="decimal" w:pos="211"/>
              </w:tabs>
              <w:spacing w:before="40" w:after="4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18"/>
                <w:szCs w:val="18"/>
              </w:rPr>
            </w:pPr>
            <w:r w:rsidRPr="000973F2">
              <w:rPr>
                <w:rFonts w:ascii="Times New Roman" w:eastAsia="Times New Roman" w:hAnsi="Times New Roman" w:cs="Times New Roman"/>
                <w:b/>
                <w:bCs/>
                <w:sz w:val="18"/>
                <w:szCs w:val="18"/>
              </w:rPr>
              <w:t>2.2</w:t>
            </w:r>
          </w:p>
        </w:tc>
        <w:tc>
          <w:tcPr>
            <w:tcW w:w="787" w:type="dxa"/>
            <w:noWrap/>
            <w:hideMark/>
          </w:tcPr>
          <w:p w14:paraId="3D13695C" w14:textId="77777777" w:rsidR="00830E92" w:rsidRPr="000973F2" w:rsidRDefault="00830E92" w:rsidP="00521979">
            <w:pPr>
              <w:tabs>
                <w:tab w:val="decimal" w:pos="211"/>
              </w:tabs>
              <w:spacing w:before="40" w:after="4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18"/>
                <w:szCs w:val="18"/>
              </w:rPr>
            </w:pPr>
            <w:r w:rsidRPr="000973F2">
              <w:rPr>
                <w:rFonts w:ascii="Times New Roman" w:eastAsia="Times New Roman" w:hAnsi="Times New Roman" w:cs="Times New Roman"/>
                <w:b/>
                <w:bCs/>
                <w:sz w:val="18"/>
                <w:szCs w:val="18"/>
              </w:rPr>
              <w:t>37</w:t>
            </w:r>
          </w:p>
        </w:tc>
        <w:tc>
          <w:tcPr>
            <w:tcW w:w="788" w:type="dxa"/>
            <w:noWrap/>
            <w:hideMark/>
          </w:tcPr>
          <w:p w14:paraId="2CBDCA83" w14:textId="77777777" w:rsidR="00830E92" w:rsidRPr="000973F2" w:rsidRDefault="00830E92" w:rsidP="00521979">
            <w:pPr>
              <w:tabs>
                <w:tab w:val="decimal" w:pos="211"/>
              </w:tabs>
              <w:spacing w:before="40" w:after="4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18"/>
                <w:szCs w:val="18"/>
              </w:rPr>
            </w:pPr>
            <w:r w:rsidRPr="000973F2">
              <w:rPr>
                <w:rFonts w:ascii="Times New Roman" w:eastAsia="Times New Roman" w:hAnsi="Times New Roman" w:cs="Times New Roman"/>
                <w:b/>
                <w:bCs/>
                <w:sz w:val="18"/>
                <w:szCs w:val="18"/>
              </w:rPr>
              <w:t>22</w:t>
            </w:r>
          </w:p>
        </w:tc>
        <w:tc>
          <w:tcPr>
            <w:tcW w:w="787" w:type="dxa"/>
            <w:noWrap/>
            <w:hideMark/>
          </w:tcPr>
          <w:p w14:paraId="080EC023" w14:textId="77777777" w:rsidR="00830E92" w:rsidRPr="000973F2" w:rsidRDefault="00830E92" w:rsidP="00521979">
            <w:pPr>
              <w:tabs>
                <w:tab w:val="decimal" w:pos="211"/>
              </w:tabs>
              <w:spacing w:before="40" w:after="4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18"/>
                <w:szCs w:val="18"/>
              </w:rPr>
            </w:pPr>
            <w:r w:rsidRPr="000973F2">
              <w:rPr>
                <w:rFonts w:ascii="Times New Roman" w:eastAsia="Times New Roman" w:hAnsi="Times New Roman" w:cs="Times New Roman"/>
                <w:b/>
                <w:bCs/>
                <w:sz w:val="18"/>
                <w:szCs w:val="18"/>
              </w:rPr>
              <w:t>3.7</w:t>
            </w:r>
          </w:p>
        </w:tc>
        <w:tc>
          <w:tcPr>
            <w:tcW w:w="788" w:type="dxa"/>
            <w:noWrap/>
            <w:hideMark/>
          </w:tcPr>
          <w:p w14:paraId="38EDA933" w14:textId="77777777" w:rsidR="00830E92" w:rsidRPr="000973F2" w:rsidRDefault="00830E92" w:rsidP="00521979">
            <w:pPr>
              <w:tabs>
                <w:tab w:val="decimal" w:pos="211"/>
              </w:tabs>
              <w:spacing w:before="40" w:after="4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18"/>
                <w:szCs w:val="18"/>
              </w:rPr>
            </w:pPr>
            <w:r w:rsidRPr="000973F2">
              <w:rPr>
                <w:rFonts w:ascii="Times New Roman" w:eastAsia="Times New Roman" w:hAnsi="Times New Roman" w:cs="Times New Roman"/>
                <w:b/>
                <w:bCs/>
                <w:sz w:val="18"/>
                <w:szCs w:val="18"/>
              </w:rPr>
              <w:t>2.2</w:t>
            </w:r>
          </w:p>
        </w:tc>
        <w:tc>
          <w:tcPr>
            <w:tcW w:w="848" w:type="dxa"/>
            <w:noWrap/>
            <w:hideMark/>
          </w:tcPr>
          <w:p w14:paraId="1080E2FF" w14:textId="6CEE8739" w:rsidR="00830E92" w:rsidRPr="000973F2" w:rsidRDefault="00830E92" w:rsidP="00521979">
            <w:pPr>
              <w:tabs>
                <w:tab w:val="decimal" w:pos="526"/>
              </w:tabs>
              <w:spacing w:before="40" w:after="4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18"/>
                <w:szCs w:val="18"/>
              </w:rPr>
            </w:pPr>
            <w:r w:rsidRPr="000973F2">
              <w:rPr>
                <w:rFonts w:ascii="Times New Roman" w:eastAsia="Times New Roman" w:hAnsi="Times New Roman" w:cs="Times New Roman"/>
                <w:b/>
                <w:bCs/>
                <w:sz w:val="18"/>
                <w:szCs w:val="18"/>
              </w:rPr>
              <w:t>$</w:t>
            </w:r>
            <w:r w:rsidR="00054C0B" w:rsidRPr="000973F2">
              <w:rPr>
                <w:rFonts w:ascii="Times New Roman" w:eastAsia="Times New Roman" w:hAnsi="Times New Roman" w:cs="Times New Roman"/>
                <w:b/>
                <w:bCs/>
                <w:sz w:val="18"/>
                <w:szCs w:val="18"/>
              </w:rPr>
              <w:t>3,999</w:t>
            </w:r>
          </w:p>
        </w:tc>
        <w:tc>
          <w:tcPr>
            <w:tcW w:w="848" w:type="dxa"/>
            <w:noWrap/>
            <w:hideMark/>
          </w:tcPr>
          <w:p w14:paraId="3B90FF78" w14:textId="15C68ABF" w:rsidR="00830E92" w:rsidRPr="000973F2" w:rsidRDefault="00830E92" w:rsidP="00521979">
            <w:pPr>
              <w:tabs>
                <w:tab w:val="decimal" w:pos="526"/>
              </w:tabs>
              <w:spacing w:before="40" w:after="4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18"/>
                <w:szCs w:val="18"/>
              </w:rPr>
            </w:pPr>
            <w:r w:rsidRPr="000973F2">
              <w:rPr>
                <w:rFonts w:ascii="Times New Roman" w:eastAsia="Times New Roman" w:hAnsi="Times New Roman" w:cs="Times New Roman"/>
                <w:b/>
                <w:bCs/>
                <w:sz w:val="18"/>
                <w:szCs w:val="18"/>
              </w:rPr>
              <w:t>$</w:t>
            </w:r>
            <w:r w:rsidR="004130D0" w:rsidRPr="000973F2">
              <w:rPr>
                <w:rFonts w:ascii="Times New Roman" w:eastAsia="Times New Roman" w:hAnsi="Times New Roman" w:cs="Times New Roman"/>
                <w:b/>
                <w:bCs/>
                <w:sz w:val="18"/>
                <w:szCs w:val="18"/>
              </w:rPr>
              <w:t>2,069</w:t>
            </w:r>
          </w:p>
        </w:tc>
      </w:tr>
    </w:tbl>
    <w:p w14:paraId="184F8B6D" w14:textId="77777777" w:rsidR="00830E92" w:rsidRPr="000973F2" w:rsidRDefault="00830E92" w:rsidP="00C00E4F">
      <w:pPr>
        <w:spacing w:after="0" w:line="240" w:lineRule="auto"/>
        <w:rPr>
          <w:rFonts w:ascii="Times New Roman" w:hAnsi="Times New Roman" w:cs="Times New Roman"/>
          <w:color w:val="000000"/>
          <w:sz w:val="24"/>
          <w:szCs w:val="24"/>
          <w:shd w:val="clear" w:color="auto" w:fill="FFFFFF"/>
        </w:rPr>
      </w:pPr>
    </w:p>
    <w:p w14:paraId="3EA48B98" w14:textId="77777777" w:rsidR="00830E92" w:rsidRPr="000973F2" w:rsidRDefault="00830E92" w:rsidP="00C00E4F">
      <w:pPr>
        <w:spacing w:after="0" w:line="240" w:lineRule="auto"/>
        <w:rPr>
          <w:rFonts w:ascii="Times New Roman" w:hAnsi="Times New Roman" w:cs="Times New Roman"/>
          <w:b/>
          <w:i/>
          <w:szCs w:val="24"/>
        </w:rPr>
      </w:pPr>
      <w:r w:rsidRPr="000973F2">
        <w:rPr>
          <w:rFonts w:ascii="Times New Roman" w:hAnsi="Times New Roman" w:cs="Times New Roman"/>
          <w:b/>
          <w:i/>
          <w:szCs w:val="24"/>
        </w:rPr>
        <w:br w:type="page"/>
      </w:r>
    </w:p>
    <w:p w14:paraId="498C2C7F" w14:textId="77777777" w:rsidR="00830E92" w:rsidRPr="000973F2" w:rsidRDefault="00830E92" w:rsidP="00293B72">
      <w:pPr>
        <w:pStyle w:val="Heading2"/>
      </w:pPr>
      <w:r w:rsidRPr="000973F2">
        <w:t>Capital and O&amp;M Costs for Subpart P – Mass Balance Option; Natural Gas Only</w:t>
      </w:r>
    </w:p>
    <w:p w14:paraId="2193DBA8" w14:textId="06A72688" w:rsidR="00830E92" w:rsidRPr="000973F2" w:rsidRDefault="00830E92" w:rsidP="00293B72">
      <w:pPr>
        <w:pStyle w:val="BodyText"/>
      </w:pPr>
      <w:r w:rsidRPr="000973F2">
        <w:t xml:space="preserve">Table </w:t>
      </w:r>
      <w:r w:rsidR="00293B72" w:rsidRPr="000973F2">
        <w:t>P-</w:t>
      </w:r>
      <w:r w:rsidRPr="000973F2">
        <w:t>2b presents the capital and O&amp;M costs estimated for each of the 50 existing facilities and one new facility using the mass balance option with natural gas for fuel or feedstock. No capital costs are projected for these facilities because they are expected to already have all equipment needed to collect data and samples for the rule. For new facilities, it is expected that the flow monitors typically needed for process control would also meet the requirements for flow monitoring equipment in Subpart P, such that no additional capital costs would be incurred. It is expected that other carbon content analyses for natural gas would be out-sourced, leading to O&amp;M costs for sampling and analyses for natural gas. Based on analytical price lists</w:t>
      </w:r>
      <w:r w:rsidR="00293B72" w:rsidRPr="000973F2">
        <w:t>,</w:t>
      </w:r>
      <w:r w:rsidRPr="000973F2">
        <w:rPr>
          <w:rStyle w:val="FootnoteReference"/>
        </w:rPr>
        <w:footnoteReference w:id="4"/>
      </w:r>
      <w:r w:rsidRPr="000973F2">
        <w:t xml:space="preserve"> the costs of shipping and analyzing a natural gas sample are expected to be $2</w:t>
      </w:r>
      <w:r w:rsidR="00786480" w:rsidRPr="000973F2">
        <w:t>1</w:t>
      </w:r>
      <w:r w:rsidRPr="000973F2">
        <w:t>0. Natural gas analyses are required once per year. Facilities (both existing and new) will also incur O&amp;M costs associated with recordkeeping as discussed in the Cost Appendix Introduction.</w:t>
      </w:r>
    </w:p>
    <w:p w14:paraId="7F397370" w14:textId="5D7B8E71" w:rsidR="00DD1CE4" w:rsidRPr="000973F2" w:rsidRDefault="00DD1CE4" w:rsidP="00293B72">
      <w:pPr>
        <w:pStyle w:val="Tabletitle"/>
      </w:pPr>
      <w:r w:rsidRPr="000973F2">
        <w:t xml:space="preserve">Table </w:t>
      </w:r>
      <w:r w:rsidR="00293B72" w:rsidRPr="000973F2">
        <w:t>P-</w:t>
      </w:r>
      <w:r w:rsidRPr="000973F2">
        <w:t>2b.</w:t>
      </w:r>
      <w:r w:rsidR="00385C8E" w:rsidRPr="000973F2">
        <w:t xml:space="preserve"> Capital and O&amp;M Costs </w:t>
      </w:r>
      <w:r w:rsidR="00293B72" w:rsidRPr="000973F2">
        <w:t>–</w:t>
      </w:r>
      <w:r w:rsidR="00385C8E" w:rsidRPr="000973F2">
        <w:t xml:space="preserve"> </w:t>
      </w:r>
      <w:r w:rsidRPr="000973F2">
        <w:t xml:space="preserve">Subpart P </w:t>
      </w:r>
      <w:r w:rsidR="00B960CC" w:rsidRPr="000973F2">
        <w:t>–</w:t>
      </w:r>
      <w:r w:rsidR="00385C8E" w:rsidRPr="000973F2">
        <w:t xml:space="preserve"> </w:t>
      </w:r>
      <w:r w:rsidRPr="000973F2">
        <w:t>Mass Balance Option; Natural Gas Only</w:t>
      </w:r>
    </w:p>
    <w:tbl>
      <w:tblPr>
        <w:tblStyle w:val="PlainTable1"/>
        <w:tblW w:w="5000" w:type="pct"/>
        <w:jc w:val="left"/>
        <w:tblLayout w:type="fixed"/>
        <w:tblCellMar>
          <w:left w:w="115" w:type="dxa"/>
          <w:right w:w="115" w:type="dxa"/>
        </w:tblCellMar>
        <w:tblLook w:val="04A0" w:firstRow="1" w:lastRow="0" w:firstColumn="1" w:lastColumn="0" w:noHBand="0" w:noVBand="1"/>
      </w:tblPr>
      <w:tblGrid>
        <w:gridCol w:w="2760"/>
        <w:gridCol w:w="1138"/>
        <w:gridCol w:w="1139"/>
        <w:gridCol w:w="1138"/>
        <w:gridCol w:w="1118"/>
        <w:gridCol w:w="1158"/>
        <w:gridCol w:w="1139"/>
      </w:tblGrid>
      <w:tr w:rsidR="00FF36E8" w:rsidRPr="000973F2" w14:paraId="3E70092B" w14:textId="77777777" w:rsidTr="00AF0B03">
        <w:trPr>
          <w:cnfStyle w:val="100000000000" w:firstRow="1" w:lastRow="0" w:firstColumn="0" w:lastColumn="0" w:oddVBand="0" w:evenVBand="0" w:oddHBand="0" w:evenHBand="0" w:firstRowFirstColumn="0" w:firstRowLastColumn="0" w:lastRowFirstColumn="0" w:lastRowLastColumn="0"/>
          <w:cantSplit/>
          <w:jc w:val="left"/>
        </w:trPr>
        <w:tc>
          <w:tcPr>
            <w:cnfStyle w:val="001000000000" w:firstRow="0" w:lastRow="0" w:firstColumn="1" w:lastColumn="0" w:oddVBand="0" w:evenVBand="0" w:oddHBand="0" w:evenHBand="0" w:firstRowFirstColumn="0" w:firstRowLastColumn="0" w:lastRowFirstColumn="0" w:lastRowLastColumn="0"/>
            <w:tcW w:w="2685" w:type="dxa"/>
            <w:vMerge w:val="restart"/>
            <w:noWrap/>
            <w:vAlign w:val="top"/>
            <w:hideMark/>
          </w:tcPr>
          <w:p w14:paraId="4A4C2B32" w14:textId="52F3D5E3" w:rsidR="00FF36E8" w:rsidRPr="000973F2" w:rsidRDefault="00FF36E8" w:rsidP="00AF0B03">
            <w:pPr>
              <w:spacing w:before="40" w:after="40"/>
              <w:rPr>
                <w:rFonts w:ascii="Times New Roman" w:eastAsia="Times New Roman" w:hAnsi="Times New Roman" w:cs="Times New Roman"/>
                <w:bCs w:val="0"/>
                <w:sz w:val="18"/>
                <w:szCs w:val="18"/>
              </w:rPr>
            </w:pPr>
            <w:r w:rsidRPr="000973F2">
              <w:rPr>
                <w:rFonts w:ascii="Times New Roman" w:eastAsia="Times New Roman" w:hAnsi="Times New Roman" w:cs="Times New Roman"/>
                <w:sz w:val="18"/>
                <w:szCs w:val="18"/>
              </w:rPr>
              <w:t>Activity</w:t>
            </w:r>
          </w:p>
        </w:tc>
        <w:tc>
          <w:tcPr>
            <w:tcW w:w="4410" w:type="dxa"/>
            <w:gridSpan w:val="4"/>
            <w:noWrap/>
            <w:vAlign w:val="top"/>
            <w:hideMark/>
          </w:tcPr>
          <w:p w14:paraId="6722095C" w14:textId="77777777" w:rsidR="00FF36E8" w:rsidRPr="000973F2" w:rsidRDefault="00FF36E8" w:rsidP="00AF0B03">
            <w:pPr>
              <w:spacing w:before="40" w:after="40"/>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Cs w:val="0"/>
                <w:sz w:val="18"/>
                <w:szCs w:val="18"/>
              </w:rPr>
            </w:pPr>
            <w:r w:rsidRPr="000973F2">
              <w:rPr>
                <w:rFonts w:ascii="Times New Roman" w:eastAsia="Times New Roman" w:hAnsi="Times New Roman" w:cs="Times New Roman"/>
                <w:bCs w:val="0"/>
                <w:sz w:val="18"/>
                <w:szCs w:val="18"/>
              </w:rPr>
              <w:t>Cost Categories</w:t>
            </w:r>
          </w:p>
        </w:tc>
        <w:tc>
          <w:tcPr>
            <w:tcW w:w="2235" w:type="dxa"/>
            <w:gridSpan w:val="2"/>
            <w:vAlign w:val="top"/>
            <w:hideMark/>
          </w:tcPr>
          <w:p w14:paraId="1FCE0A5B" w14:textId="77777777" w:rsidR="00FF36E8" w:rsidRPr="000973F2" w:rsidRDefault="00FF36E8" w:rsidP="00AF0B03">
            <w:pPr>
              <w:spacing w:before="40" w:after="40"/>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Cs w:val="0"/>
                <w:sz w:val="18"/>
                <w:szCs w:val="18"/>
              </w:rPr>
            </w:pPr>
            <w:r w:rsidRPr="000973F2">
              <w:rPr>
                <w:rFonts w:ascii="Times New Roman" w:eastAsia="Times New Roman" w:hAnsi="Times New Roman" w:cs="Times New Roman"/>
                <w:bCs w:val="0"/>
                <w:sz w:val="18"/>
                <w:szCs w:val="18"/>
              </w:rPr>
              <w:t>Total Capital and O&amp;M Cost per Year per Facility (2017$)</w:t>
            </w:r>
          </w:p>
        </w:tc>
      </w:tr>
      <w:tr w:rsidR="00AF0B03" w:rsidRPr="000973F2" w14:paraId="13C0349D" w14:textId="77777777" w:rsidTr="00193562">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2685" w:type="dxa"/>
            <w:vMerge/>
            <w:noWrap/>
            <w:hideMark/>
          </w:tcPr>
          <w:p w14:paraId="6B1C94BB" w14:textId="02ECFF39" w:rsidR="00FF36E8" w:rsidRPr="000973F2" w:rsidRDefault="00FF36E8" w:rsidP="00AF0B03">
            <w:pPr>
              <w:spacing w:before="40" w:after="40"/>
              <w:jc w:val="center"/>
              <w:rPr>
                <w:rFonts w:ascii="Times New Roman" w:eastAsia="Times New Roman" w:hAnsi="Times New Roman" w:cs="Times New Roman"/>
                <w:b/>
                <w:bCs w:val="0"/>
                <w:sz w:val="18"/>
                <w:szCs w:val="18"/>
              </w:rPr>
            </w:pPr>
          </w:p>
        </w:tc>
        <w:tc>
          <w:tcPr>
            <w:tcW w:w="1107" w:type="dxa"/>
            <w:tcMar>
              <w:left w:w="29" w:type="dxa"/>
              <w:right w:w="29" w:type="dxa"/>
            </w:tcMar>
            <w:hideMark/>
          </w:tcPr>
          <w:p w14:paraId="4282A92B" w14:textId="77777777" w:rsidR="00FF36E8" w:rsidRPr="000973F2" w:rsidRDefault="00FF36E8" w:rsidP="00AF0B03">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18"/>
                <w:szCs w:val="18"/>
              </w:rPr>
            </w:pPr>
            <w:r w:rsidRPr="000973F2">
              <w:rPr>
                <w:rFonts w:ascii="Times New Roman" w:eastAsia="Times New Roman" w:hAnsi="Times New Roman" w:cs="Times New Roman"/>
                <w:b/>
                <w:bCs/>
                <w:sz w:val="18"/>
                <w:szCs w:val="18"/>
              </w:rPr>
              <w:t>Capital Cost (2017$)</w:t>
            </w:r>
          </w:p>
        </w:tc>
        <w:tc>
          <w:tcPr>
            <w:tcW w:w="1108" w:type="dxa"/>
            <w:tcMar>
              <w:left w:w="29" w:type="dxa"/>
              <w:right w:w="29" w:type="dxa"/>
            </w:tcMar>
            <w:hideMark/>
          </w:tcPr>
          <w:p w14:paraId="29A0AB5E" w14:textId="77777777" w:rsidR="00FF36E8" w:rsidRPr="000973F2" w:rsidRDefault="00FF36E8" w:rsidP="00AF0B03">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18"/>
                <w:szCs w:val="18"/>
              </w:rPr>
            </w:pPr>
            <w:r w:rsidRPr="000973F2">
              <w:rPr>
                <w:rFonts w:ascii="Times New Roman" w:eastAsia="Times New Roman" w:hAnsi="Times New Roman" w:cs="Times New Roman"/>
                <w:b/>
                <w:bCs/>
                <w:sz w:val="18"/>
                <w:szCs w:val="18"/>
              </w:rPr>
              <w:t>Equipment Lifetime</w:t>
            </w:r>
          </w:p>
        </w:tc>
        <w:tc>
          <w:tcPr>
            <w:tcW w:w="1107" w:type="dxa"/>
            <w:tcMar>
              <w:left w:w="29" w:type="dxa"/>
              <w:right w:w="29" w:type="dxa"/>
            </w:tcMar>
            <w:hideMark/>
          </w:tcPr>
          <w:p w14:paraId="13DAF956" w14:textId="1E6FDEA2" w:rsidR="00FF36E8" w:rsidRPr="000973F2" w:rsidRDefault="00FF36E8" w:rsidP="00AF0B03">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18"/>
                <w:szCs w:val="18"/>
              </w:rPr>
            </w:pPr>
            <w:r w:rsidRPr="000973F2">
              <w:rPr>
                <w:rFonts w:ascii="Times New Roman" w:eastAsia="Times New Roman" w:hAnsi="Times New Roman" w:cs="Times New Roman"/>
                <w:b/>
                <w:bCs/>
                <w:sz w:val="18"/>
                <w:szCs w:val="18"/>
              </w:rPr>
              <w:t>Annualized Capital Cost (2017$/year)</w:t>
            </w:r>
          </w:p>
        </w:tc>
        <w:tc>
          <w:tcPr>
            <w:tcW w:w="1088" w:type="dxa"/>
            <w:tcMar>
              <w:left w:w="29" w:type="dxa"/>
              <w:right w:w="29" w:type="dxa"/>
            </w:tcMar>
            <w:hideMark/>
          </w:tcPr>
          <w:p w14:paraId="529C16F5" w14:textId="44BCA6C5" w:rsidR="00FF36E8" w:rsidRPr="000973F2" w:rsidRDefault="00FF36E8" w:rsidP="00AF0B03">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18"/>
                <w:szCs w:val="18"/>
              </w:rPr>
            </w:pPr>
            <w:r w:rsidRPr="000973F2">
              <w:rPr>
                <w:rFonts w:ascii="Times New Roman" w:eastAsia="Times New Roman" w:hAnsi="Times New Roman" w:cs="Times New Roman"/>
                <w:b/>
                <w:bCs/>
                <w:sz w:val="18"/>
                <w:szCs w:val="18"/>
              </w:rPr>
              <w:t>O&amp;M Costs (2017$/year)</w:t>
            </w:r>
          </w:p>
        </w:tc>
        <w:tc>
          <w:tcPr>
            <w:tcW w:w="1127" w:type="dxa"/>
            <w:tcMar>
              <w:left w:w="29" w:type="dxa"/>
              <w:right w:w="29" w:type="dxa"/>
            </w:tcMar>
            <w:hideMark/>
          </w:tcPr>
          <w:p w14:paraId="4929901E" w14:textId="77777777" w:rsidR="00FF36E8" w:rsidRPr="000973F2" w:rsidRDefault="00FF36E8" w:rsidP="00AF0B03">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18"/>
                <w:szCs w:val="18"/>
              </w:rPr>
            </w:pPr>
            <w:r w:rsidRPr="000973F2">
              <w:rPr>
                <w:rFonts w:ascii="Times New Roman" w:eastAsia="Times New Roman" w:hAnsi="Times New Roman" w:cs="Times New Roman"/>
                <w:b/>
                <w:bCs/>
                <w:sz w:val="18"/>
                <w:szCs w:val="18"/>
              </w:rPr>
              <w:t>Initial Year</w:t>
            </w:r>
          </w:p>
        </w:tc>
        <w:tc>
          <w:tcPr>
            <w:tcW w:w="1108" w:type="dxa"/>
            <w:tcMar>
              <w:left w:w="29" w:type="dxa"/>
              <w:right w:w="29" w:type="dxa"/>
            </w:tcMar>
            <w:hideMark/>
          </w:tcPr>
          <w:p w14:paraId="5A8AA3F1" w14:textId="77777777" w:rsidR="00FF36E8" w:rsidRPr="000973F2" w:rsidRDefault="00FF36E8" w:rsidP="00AF0B03">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18"/>
                <w:szCs w:val="18"/>
              </w:rPr>
            </w:pPr>
            <w:r w:rsidRPr="000973F2">
              <w:rPr>
                <w:rFonts w:ascii="Times New Roman" w:eastAsia="Times New Roman" w:hAnsi="Times New Roman" w:cs="Times New Roman"/>
                <w:b/>
                <w:bCs/>
                <w:sz w:val="18"/>
                <w:szCs w:val="18"/>
              </w:rPr>
              <w:t>Subseq. Years</w:t>
            </w:r>
          </w:p>
        </w:tc>
      </w:tr>
      <w:tr w:rsidR="00AF0B03" w:rsidRPr="000973F2" w14:paraId="23EED29D" w14:textId="77777777" w:rsidTr="00AF0B03">
        <w:trPr>
          <w:cantSplit/>
        </w:trPr>
        <w:tc>
          <w:tcPr>
            <w:cnfStyle w:val="001000000000" w:firstRow="0" w:lastRow="0" w:firstColumn="1" w:lastColumn="0" w:oddVBand="0" w:evenVBand="0" w:oddHBand="0" w:evenHBand="0" w:firstRowFirstColumn="0" w:firstRowLastColumn="0" w:lastRowFirstColumn="0" w:lastRowLastColumn="0"/>
            <w:tcW w:w="2685" w:type="dxa"/>
            <w:hideMark/>
          </w:tcPr>
          <w:p w14:paraId="4FAF1944" w14:textId="77777777" w:rsidR="003E005F" w:rsidRPr="000973F2" w:rsidRDefault="003E005F" w:rsidP="00AF0B03">
            <w:pPr>
              <w:spacing w:before="40" w:after="4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Equipment (selection, purchase, installation)</w:t>
            </w:r>
          </w:p>
        </w:tc>
        <w:tc>
          <w:tcPr>
            <w:tcW w:w="1107" w:type="dxa"/>
            <w:noWrap/>
            <w:hideMark/>
          </w:tcPr>
          <w:p w14:paraId="0B692251" w14:textId="6D3322D0" w:rsidR="003E005F" w:rsidRPr="000973F2" w:rsidRDefault="00293B72" w:rsidP="00AF0B03">
            <w:pPr>
              <w:spacing w:before="40" w:after="4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w:t>
            </w:r>
          </w:p>
        </w:tc>
        <w:tc>
          <w:tcPr>
            <w:tcW w:w="1108" w:type="dxa"/>
            <w:noWrap/>
          </w:tcPr>
          <w:p w14:paraId="5B564462" w14:textId="183B8056" w:rsidR="003E005F" w:rsidRPr="000973F2" w:rsidRDefault="003E005F" w:rsidP="00AF0B03">
            <w:pPr>
              <w:spacing w:before="40" w:after="4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p>
        </w:tc>
        <w:tc>
          <w:tcPr>
            <w:tcW w:w="1107" w:type="dxa"/>
            <w:noWrap/>
            <w:hideMark/>
          </w:tcPr>
          <w:p w14:paraId="178A3DF8" w14:textId="5FDB0FC9" w:rsidR="003E005F" w:rsidRPr="000973F2" w:rsidRDefault="00293B72" w:rsidP="00AF0B03">
            <w:pPr>
              <w:spacing w:before="40" w:after="4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w:t>
            </w:r>
          </w:p>
        </w:tc>
        <w:tc>
          <w:tcPr>
            <w:tcW w:w="1088" w:type="dxa"/>
            <w:noWrap/>
            <w:hideMark/>
          </w:tcPr>
          <w:p w14:paraId="2D7808D2" w14:textId="0960C073" w:rsidR="003E005F" w:rsidRPr="000973F2" w:rsidRDefault="00293B72" w:rsidP="00AF0B03">
            <w:pPr>
              <w:tabs>
                <w:tab w:val="decimal" w:pos="586"/>
              </w:tabs>
              <w:spacing w:before="40" w:after="4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w:t>
            </w:r>
          </w:p>
        </w:tc>
        <w:tc>
          <w:tcPr>
            <w:tcW w:w="1127" w:type="dxa"/>
            <w:noWrap/>
            <w:hideMark/>
          </w:tcPr>
          <w:p w14:paraId="70F71CD4" w14:textId="726ED38A" w:rsidR="003E005F" w:rsidRPr="000973F2" w:rsidRDefault="00293B72" w:rsidP="00AF0B03">
            <w:pPr>
              <w:tabs>
                <w:tab w:val="decimal" w:pos="586"/>
              </w:tabs>
              <w:spacing w:before="40" w:after="4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w:t>
            </w:r>
          </w:p>
        </w:tc>
        <w:tc>
          <w:tcPr>
            <w:tcW w:w="1108" w:type="dxa"/>
            <w:noWrap/>
            <w:hideMark/>
          </w:tcPr>
          <w:p w14:paraId="5319E83A" w14:textId="0C792710" w:rsidR="003E005F" w:rsidRPr="000973F2" w:rsidRDefault="00293B72" w:rsidP="00AF0B03">
            <w:pPr>
              <w:tabs>
                <w:tab w:val="decimal" w:pos="586"/>
              </w:tabs>
              <w:spacing w:before="40" w:after="4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w:t>
            </w:r>
          </w:p>
        </w:tc>
      </w:tr>
      <w:tr w:rsidR="00AF0B03" w:rsidRPr="000973F2" w14:paraId="31BF69C5" w14:textId="77777777" w:rsidTr="00AF0B03">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2685" w:type="dxa"/>
            <w:hideMark/>
          </w:tcPr>
          <w:p w14:paraId="1C1286D6" w14:textId="77777777" w:rsidR="003E005F" w:rsidRPr="000973F2" w:rsidRDefault="003E005F" w:rsidP="00AF0B03">
            <w:pPr>
              <w:spacing w:before="40" w:after="4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Performance testing</w:t>
            </w:r>
          </w:p>
        </w:tc>
        <w:tc>
          <w:tcPr>
            <w:tcW w:w="1107" w:type="dxa"/>
            <w:noWrap/>
            <w:hideMark/>
          </w:tcPr>
          <w:p w14:paraId="0DCB8342" w14:textId="05372569" w:rsidR="003E005F" w:rsidRPr="000973F2" w:rsidRDefault="00293B72" w:rsidP="00AF0B03">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w:t>
            </w:r>
          </w:p>
        </w:tc>
        <w:tc>
          <w:tcPr>
            <w:tcW w:w="1108" w:type="dxa"/>
            <w:noWrap/>
          </w:tcPr>
          <w:p w14:paraId="53772157" w14:textId="3DB71F69" w:rsidR="003E005F" w:rsidRPr="000973F2" w:rsidRDefault="003E005F" w:rsidP="00AF0B03">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p>
        </w:tc>
        <w:tc>
          <w:tcPr>
            <w:tcW w:w="1107" w:type="dxa"/>
            <w:noWrap/>
            <w:hideMark/>
          </w:tcPr>
          <w:p w14:paraId="1C46E072" w14:textId="152E7558" w:rsidR="003E005F" w:rsidRPr="000973F2" w:rsidRDefault="00293B72" w:rsidP="00AF0B03">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w:t>
            </w:r>
          </w:p>
        </w:tc>
        <w:tc>
          <w:tcPr>
            <w:tcW w:w="1088" w:type="dxa"/>
            <w:noWrap/>
            <w:hideMark/>
          </w:tcPr>
          <w:p w14:paraId="661D4715" w14:textId="053A4DC5" w:rsidR="003E005F" w:rsidRPr="000973F2" w:rsidRDefault="00293B72" w:rsidP="00AF0B03">
            <w:pPr>
              <w:tabs>
                <w:tab w:val="decimal" w:pos="586"/>
              </w:tabs>
              <w:spacing w:before="40" w:after="4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w:t>
            </w:r>
          </w:p>
        </w:tc>
        <w:tc>
          <w:tcPr>
            <w:tcW w:w="1127" w:type="dxa"/>
            <w:noWrap/>
            <w:hideMark/>
          </w:tcPr>
          <w:p w14:paraId="0C3CF063" w14:textId="560A86B6" w:rsidR="003E005F" w:rsidRPr="000973F2" w:rsidRDefault="00293B72" w:rsidP="00AF0B03">
            <w:pPr>
              <w:tabs>
                <w:tab w:val="decimal" w:pos="586"/>
              </w:tabs>
              <w:spacing w:before="40" w:after="4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w:t>
            </w:r>
          </w:p>
        </w:tc>
        <w:tc>
          <w:tcPr>
            <w:tcW w:w="1108" w:type="dxa"/>
            <w:noWrap/>
            <w:hideMark/>
          </w:tcPr>
          <w:p w14:paraId="18DEADD4" w14:textId="3B9595E8" w:rsidR="003E005F" w:rsidRPr="000973F2" w:rsidRDefault="00293B72" w:rsidP="00AF0B03">
            <w:pPr>
              <w:tabs>
                <w:tab w:val="decimal" w:pos="586"/>
              </w:tabs>
              <w:spacing w:before="40" w:after="4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w:t>
            </w:r>
          </w:p>
        </w:tc>
      </w:tr>
      <w:tr w:rsidR="00AF0B03" w:rsidRPr="000973F2" w14:paraId="10830B1D" w14:textId="77777777" w:rsidTr="00AF0B03">
        <w:trPr>
          <w:cantSplit/>
        </w:trPr>
        <w:tc>
          <w:tcPr>
            <w:cnfStyle w:val="001000000000" w:firstRow="0" w:lastRow="0" w:firstColumn="1" w:lastColumn="0" w:oddVBand="0" w:evenVBand="0" w:oddHBand="0" w:evenHBand="0" w:firstRowFirstColumn="0" w:firstRowLastColumn="0" w:lastRowFirstColumn="0" w:lastRowLastColumn="0"/>
            <w:tcW w:w="2685" w:type="dxa"/>
            <w:hideMark/>
          </w:tcPr>
          <w:p w14:paraId="1749768C" w14:textId="77777777" w:rsidR="00830E92" w:rsidRPr="000973F2" w:rsidRDefault="00830E92" w:rsidP="00AF0B03">
            <w:pPr>
              <w:spacing w:before="40" w:after="4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Recordkeeping</w:t>
            </w:r>
          </w:p>
        </w:tc>
        <w:tc>
          <w:tcPr>
            <w:tcW w:w="1107" w:type="dxa"/>
            <w:noWrap/>
            <w:hideMark/>
          </w:tcPr>
          <w:p w14:paraId="78559360" w14:textId="77777777" w:rsidR="00830E92" w:rsidRPr="000973F2" w:rsidRDefault="00830E92" w:rsidP="00AF0B03">
            <w:pPr>
              <w:spacing w:before="40" w:after="4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$0</w:t>
            </w:r>
          </w:p>
        </w:tc>
        <w:tc>
          <w:tcPr>
            <w:tcW w:w="1108" w:type="dxa"/>
            <w:noWrap/>
          </w:tcPr>
          <w:p w14:paraId="0603C4C3" w14:textId="77777777" w:rsidR="00830E92" w:rsidRPr="000973F2" w:rsidRDefault="00830E92" w:rsidP="00AF0B03">
            <w:pPr>
              <w:spacing w:before="40" w:after="4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p>
        </w:tc>
        <w:tc>
          <w:tcPr>
            <w:tcW w:w="1107" w:type="dxa"/>
            <w:noWrap/>
            <w:hideMark/>
          </w:tcPr>
          <w:p w14:paraId="59A01C1E" w14:textId="77777777" w:rsidR="00830E92" w:rsidRPr="000973F2" w:rsidRDefault="00830E92" w:rsidP="00AF0B03">
            <w:pPr>
              <w:spacing w:before="40" w:after="4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$0</w:t>
            </w:r>
          </w:p>
        </w:tc>
        <w:tc>
          <w:tcPr>
            <w:tcW w:w="1088" w:type="dxa"/>
            <w:noWrap/>
            <w:hideMark/>
          </w:tcPr>
          <w:p w14:paraId="6E639C56" w14:textId="77777777" w:rsidR="00830E92" w:rsidRPr="000973F2" w:rsidRDefault="00830E92" w:rsidP="00AF0B03">
            <w:pPr>
              <w:tabs>
                <w:tab w:val="decimal" w:pos="586"/>
              </w:tabs>
              <w:spacing w:before="40" w:after="4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$50</w:t>
            </w:r>
          </w:p>
        </w:tc>
        <w:tc>
          <w:tcPr>
            <w:tcW w:w="1127" w:type="dxa"/>
            <w:noWrap/>
            <w:hideMark/>
          </w:tcPr>
          <w:p w14:paraId="7E718F97" w14:textId="46394228" w:rsidR="00830E92" w:rsidRPr="000973F2" w:rsidRDefault="00830E92" w:rsidP="00AF0B03">
            <w:pPr>
              <w:tabs>
                <w:tab w:val="decimal" w:pos="586"/>
              </w:tabs>
              <w:spacing w:before="40" w:after="4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w:t>
            </w:r>
            <w:r w:rsidR="00D510D2" w:rsidRPr="000973F2">
              <w:rPr>
                <w:rFonts w:ascii="Times New Roman" w:eastAsia="Times New Roman" w:hAnsi="Times New Roman" w:cs="Times New Roman"/>
                <w:sz w:val="18"/>
                <w:szCs w:val="18"/>
              </w:rPr>
              <w:t>50</w:t>
            </w:r>
          </w:p>
        </w:tc>
        <w:tc>
          <w:tcPr>
            <w:tcW w:w="1108" w:type="dxa"/>
            <w:noWrap/>
            <w:hideMark/>
          </w:tcPr>
          <w:p w14:paraId="659E99E6" w14:textId="77777777" w:rsidR="00830E92" w:rsidRPr="000973F2" w:rsidRDefault="00830E92" w:rsidP="00AF0B03">
            <w:pPr>
              <w:tabs>
                <w:tab w:val="decimal" w:pos="586"/>
              </w:tabs>
              <w:spacing w:before="40" w:after="4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$50</w:t>
            </w:r>
          </w:p>
        </w:tc>
      </w:tr>
      <w:tr w:rsidR="00AF0B03" w:rsidRPr="000973F2" w14:paraId="38AFBAE1" w14:textId="77777777" w:rsidTr="00AF0B03">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2685" w:type="dxa"/>
            <w:hideMark/>
          </w:tcPr>
          <w:p w14:paraId="0E4E02FF" w14:textId="77777777" w:rsidR="003E005F" w:rsidRPr="000973F2" w:rsidRDefault="003E005F" w:rsidP="00AF0B03">
            <w:pPr>
              <w:spacing w:before="40" w:after="4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Travel</w:t>
            </w:r>
          </w:p>
        </w:tc>
        <w:tc>
          <w:tcPr>
            <w:tcW w:w="1107" w:type="dxa"/>
            <w:noWrap/>
            <w:hideMark/>
          </w:tcPr>
          <w:p w14:paraId="61D5B199" w14:textId="70810BB4" w:rsidR="003E005F" w:rsidRPr="000973F2" w:rsidRDefault="00293B72" w:rsidP="00AF0B03">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w:t>
            </w:r>
          </w:p>
        </w:tc>
        <w:tc>
          <w:tcPr>
            <w:tcW w:w="1108" w:type="dxa"/>
            <w:noWrap/>
          </w:tcPr>
          <w:p w14:paraId="5E0B26ED" w14:textId="353CD384" w:rsidR="003E005F" w:rsidRPr="000973F2" w:rsidRDefault="003E005F" w:rsidP="00AF0B03">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p>
        </w:tc>
        <w:tc>
          <w:tcPr>
            <w:tcW w:w="1107" w:type="dxa"/>
            <w:noWrap/>
            <w:hideMark/>
          </w:tcPr>
          <w:p w14:paraId="6CE144F6" w14:textId="380CA596" w:rsidR="003E005F" w:rsidRPr="000973F2" w:rsidRDefault="00293B72" w:rsidP="00AF0B03">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w:t>
            </w:r>
          </w:p>
        </w:tc>
        <w:tc>
          <w:tcPr>
            <w:tcW w:w="1088" w:type="dxa"/>
            <w:noWrap/>
            <w:hideMark/>
          </w:tcPr>
          <w:p w14:paraId="191F7CAB" w14:textId="2684D24E" w:rsidR="003E005F" w:rsidRPr="000973F2" w:rsidRDefault="00293B72" w:rsidP="00AF0B03">
            <w:pPr>
              <w:tabs>
                <w:tab w:val="decimal" w:pos="586"/>
              </w:tabs>
              <w:spacing w:before="40" w:after="4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w:t>
            </w:r>
          </w:p>
        </w:tc>
        <w:tc>
          <w:tcPr>
            <w:tcW w:w="1127" w:type="dxa"/>
            <w:noWrap/>
            <w:hideMark/>
          </w:tcPr>
          <w:p w14:paraId="67FE63CA" w14:textId="104B90DD" w:rsidR="003E005F" w:rsidRPr="000973F2" w:rsidRDefault="00293B72" w:rsidP="00AF0B03">
            <w:pPr>
              <w:tabs>
                <w:tab w:val="decimal" w:pos="586"/>
              </w:tabs>
              <w:spacing w:before="40" w:after="4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w:t>
            </w:r>
          </w:p>
        </w:tc>
        <w:tc>
          <w:tcPr>
            <w:tcW w:w="1108" w:type="dxa"/>
            <w:noWrap/>
            <w:hideMark/>
          </w:tcPr>
          <w:p w14:paraId="25473B03" w14:textId="4C25AB43" w:rsidR="003E005F" w:rsidRPr="000973F2" w:rsidRDefault="00293B72" w:rsidP="00AF0B03">
            <w:pPr>
              <w:tabs>
                <w:tab w:val="decimal" w:pos="586"/>
              </w:tabs>
              <w:spacing w:before="40" w:after="4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w:t>
            </w:r>
          </w:p>
        </w:tc>
      </w:tr>
      <w:tr w:rsidR="00AF0B03" w:rsidRPr="000973F2" w14:paraId="2DCA33F0" w14:textId="77777777" w:rsidTr="00AF0B03">
        <w:trPr>
          <w:cantSplit/>
        </w:trPr>
        <w:tc>
          <w:tcPr>
            <w:cnfStyle w:val="001000000000" w:firstRow="0" w:lastRow="0" w:firstColumn="1" w:lastColumn="0" w:oddVBand="0" w:evenVBand="0" w:oddHBand="0" w:evenHBand="0" w:firstRowFirstColumn="0" w:firstRowLastColumn="0" w:lastRowFirstColumn="0" w:lastRowLastColumn="0"/>
            <w:tcW w:w="2685" w:type="dxa"/>
            <w:hideMark/>
          </w:tcPr>
          <w:p w14:paraId="48A12CF1" w14:textId="0D22D26E" w:rsidR="00830E92" w:rsidRPr="000973F2" w:rsidRDefault="00830E92" w:rsidP="00AF0B03">
            <w:pPr>
              <w:spacing w:before="40" w:after="4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 xml:space="preserve">Sampling </w:t>
            </w:r>
            <w:r w:rsidR="00C805F3" w:rsidRPr="000973F2">
              <w:rPr>
                <w:rFonts w:ascii="Times New Roman" w:eastAsia="Times New Roman" w:hAnsi="Times New Roman" w:cs="Times New Roman"/>
                <w:sz w:val="18"/>
                <w:szCs w:val="18"/>
              </w:rPr>
              <w:t xml:space="preserve">and Analysis </w:t>
            </w:r>
            <w:r w:rsidRPr="000973F2">
              <w:rPr>
                <w:rFonts w:ascii="Times New Roman" w:eastAsia="Times New Roman" w:hAnsi="Times New Roman" w:cs="Times New Roman"/>
                <w:sz w:val="18"/>
                <w:szCs w:val="18"/>
              </w:rPr>
              <w:t>Costs</w:t>
            </w:r>
          </w:p>
        </w:tc>
        <w:tc>
          <w:tcPr>
            <w:tcW w:w="1107" w:type="dxa"/>
            <w:noWrap/>
            <w:hideMark/>
          </w:tcPr>
          <w:p w14:paraId="6A460645" w14:textId="77777777" w:rsidR="00830E92" w:rsidRPr="000973F2" w:rsidRDefault="00830E92" w:rsidP="00AF0B03">
            <w:pPr>
              <w:spacing w:before="40" w:after="4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$0</w:t>
            </w:r>
          </w:p>
        </w:tc>
        <w:tc>
          <w:tcPr>
            <w:tcW w:w="1108" w:type="dxa"/>
            <w:noWrap/>
          </w:tcPr>
          <w:p w14:paraId="1B6B746A" w14:textId="77777777" w:rsidR="00830E92" w:rsidRPr="000973F2" w:rsidRDefault="00830E92" w:rsidP="00AF0B03">
            <w:pPr>
              <w:spacing w:before="40" w:after="4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p>
        </w:tc>
        <w:tc>
          <w:tcPr>
            <w:tcW w:w="1107" w:type="dxa"/>
            <w:noWrap/>
            <w:hideMark/>
          </w:tcPr>
          <w:p w14:paraId="045DB6D7" w14:textId="77777777" w:rsidR="00830E92" w:rsidRPr="000973F2" w:rsidRDefault="00830E92" w:rsidP="00AF0B03">
            <w:pPr>
              <w:spacing w:before="40" w:after="4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$0</w:t>
            </w:r>
          </w:p>
        </w:tc>
        <w:tc>
          <w:tcPr>
            <w:tcW w:w="1088" w:type="dxa"/>
            <w:noWrap/>
            <w:hideMark/>
          </w:tcPr>
          <w:p w14:paraId="1A3C0FA7" w14:textId="0530DE5C" w:rsidR="00830E92" w:rsidRPr="000973F2" w:rsidRDefault="00830E92" w:rsidP="00AF0B03">
            <w:pPr>
              <w:tabs>
                <w:tab w:val="decimal" w:pos="586"/>
              </w:tabs>
              <w:spacing w:before="40" w:after="4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$2</w:t>
            </w:r>
            <w:r w:rsidR="00A043F9" w:rsidRPr="000973F2">
              <w:rPr>
                <w:rFonts w:ascii="Times New Roman" w:eastAsia="Times New Roman" w:hAnsi="Times New Roman" w:cs="Times New Roman"/>
                <w:sz w:val="18"/>
                <w:szCs w:val="18"/>
              </w:rPr>
              <w:t>1</w:t>
            </w:r>
            <w:r w:rsidRPr="000973F2">
              <w:rPr>
                <w:rFonts w:ascii="Times New Roman" w:eastAsia="Times New Roman" w:hAnsi="Times New Roman" w:cs="Times New Roman"/>
                <w:sz w:val="18"/>
                <w:szCs w:val="18"/>
              </w:rPr>
              <w:t>0</w:t>
            </w:r>
          </w:p>
        </w:tc>
        <w:tc>
          <w:tcPr>
            <w:tcW w:w="1127" w:type="dxa"/>
            <w:noWrap/>
            <w:hideMark/>
          </w:tcPr>
          <w:p w14:paraId="0D314054" w14:textId="3ECF26CB" w:rsidR="00830E92" w:rsidRPr="000973F2" w:rsidRDefault="00830E92" w:rsidP="00AF0B03">
            <w:pPr>
              <w:tabs>
                <w:tab w:val="decimal" w:pos="586"/>
              </w:tabs>
              <w:spacing w:before="40" w:after="4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$2</w:t>
            </w:r>
            <w:r w:rsidR="00A043F9" w:rsidRPr="000973F2">
              <w:rPr>
                <w:rFonts w:ascii="Times New Roman" w:eastAsia="Times New Roman" w:hAnsi="Times New Roman" w:cs="Times New Roman"/>
                <w:sz w:val="18"/>
                <w:szCs w:val="18"/>
              </w:rPr>
              <w:t>1</w:t>
            </w:r>
            <w:r w:rsidRPr="000973F2">
              <w:rPr>
                <w:rFonts w:ascii="Times New Roman" w:eastAsia="Times New Roman" w:hAnsi="Times New Roman" w:cs="Times New Roman"/>
                <w:sz w:val="18"/>
                <w:szCs w:val="18"/>
              </w:rPr>
              <w:t>0</w:t>
            </w:r>
          </w:p>
        </w:tc>
        <w:tc>
          <w:tcPr>
            <w:tcW w:w="1108" w:type="dxa"/>
            <w:noWrap/>
            <w:hideMark/>
          </w:tcPr>
          <w:p w14:paraId="357D9502" w14:textId="2C101C81" w:rsidR="00830E92" w:rsidRPr="000973F2" w:rsidRDefault="00830E92" w:rsidP="00AF0B03">
            <w:pPr>
              <w:tabs>
                <w:tab w:val="decimal" w:pos="586"/>
              </w:tabs>
              <w:spacing w:before="40" w:after="4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$2</w:t>
            </w:r>
            <w:r w:rsidR="00A043F9" w:rsidRPr="000973F2">
              <w:rPr>
                <w:rFonts w:ascii="Times New Roman" w:eastAsia="Times New Roman" w:hAnsi="Times New Roman" w:cs="Times New Roman"/>
                <w:sz w:val="18"/>
                <w:szCs w:val="18"/>
              </w:rPr>
              <w:t>1</w:t>
            </w:r>
            <w:r w:rsidRPr="000973F2">
              <w:rPr>
                <w:rFonts w:ascii="Times New Roman" w:eastAsia="Times New Roman" w:hAnsi="Times New Roman" w:cs="Times New Roman"/>
                <w:sz w:val="18"/>
                <w:szCs w:val="18"/>
              </w:rPr>
              <w:t>0</w:t>
            </w:r>
          </w:p>
        </w:tc>
      </w:tr>
      <w:tr w:rsidR="00AF0B03" w:rsidRPr="000973F2" w14:paraId="51C8721A" w14:textId="77777777" w:rsidTr="00AF0B03">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2685" w:type="dxa"/>
            <w:hideMark/>
          </w:tcPr>
          <w:p w14:paraId="4137393B" w14:textId="77777777" w:rsidR="00830E92" w:rsidRPr="000973F2" w:rsidRDefault="00830E92" w:rsidP="00AF0B03">
            <w:pPr>
              <w:spacing w:before="40" w:after="40"/>
              <w:rPr>
                <w:rFonts w:ascii="Times New Roman" w:eastAsia="Times New Roman" w:hAnsi="Times New Roman" w:cs="Times New Roman"/>
                <w:b/>
                <w:bCs w:val="0"/>
                <w:sz w:val="18"/>
                <w:szCs w:val="18"/>
              </w:rPr>
            </w:pPr>
            <w:r w:rsidRPr="000973F2">
              <w:rPr>
                <w:rFonts w:ascii="Times New Roman" w:eastAsia="Times New Roman" w:hAnsi="Times New Roman" w:cs="Times New Roman"/>
                <w:b/>
                <w:sz w:val="18"/>
                <w:szCs w:val="18"/>
              </w:rPr>
              <w:t xml:space="preserve">Total </w:t>
            </w:r>
          </w:p>
        </w:tc>
        <w:tc>
          <w:tcPr>
            <w:tcW w:w="1107" w:type="dxa"/>
            <w:noWrap/>
            <w:hideMark/>
          </w:tcPr>
          <w:p w14:paraId="7E9B6B5D" w14:textId="77777777" w:rsidR="00830E92" w:rsidRPr="000973F2" w:rsidRDefault="00830E92" w:rsidP="00AF0B03">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$0</w:t>
            </w:r>
          </w:p>
        </w:tc>
        <w:tc>
          <w:tcPr>
            <w:tcW w:w="1108" w:type="dxa"/>
            <w:noWrap/>
          </w:tcPr>
          <w:p w14:paraId="2B72D44F" w14:textId="77777777" w:rsidR="00830E92" w:rsidRPr="000973F2" w:rsidRDefault="00830E92" w:rsidP="00AF0B03">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p>
        </w:tc>
        <w:tc>
          <w:tcPr>
            <w:tcW w:w="1107" w:type="dxa"/>
            <w:noWrap/>
            <w:hideMark/>
          </w:tcPr>
          <w:p w14:paraId="6F47A88C" w14:textId="77777777" w:rsidR="00830E92" w:rsidRPr="000973F2" w:rsidRDefault="00830E92" w:rsidP="00AF0B03">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$0</w:t>
            </w:r>
          </w:p>
        </w:tc>
        <w:tc>
          <w:tcPr>
            <w:tcW w:w="1088" w:type="dxa"/>
            <w:noWrap/>
            <w:hideMark/>
          </w:tcPr>
          <w:p w14:paraId="2B19F880" w14:textId="012243C7" w:rsidR="00830E92" w:rsidRPr="000973F2" w:rsidRDefault="00830E92" w:rsidP="00AF0B03">
            <w:pPr>
              <w:tabs>
                <w:tab w:val="decimal" w:pos="586"/>
              </w:tabs>
              <w:spacing w:before="40" w:after="4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$2</w:t>
            </w:r>
            <w:r w:rsidR="00A043F9" w:rsidRPr="000973F2">
              <w:rPr>
                <w:rFonts w:ascii="Times New Roman" w:eastAsia="Times New Roman" w:hAnsi="Times New Roman" w:cs="Times New Roman"/>
                <w:sz w:val="18"/>
                <w:szCs w:val="18"/>
              </w:rPr>
              <w:t>6</w:t>
            </w:r>
            <w:r w:rsidRPr="000973F2">
              <w:rPr>
                <w:rFonts w:ascii="Times New Roman" w:eastAsia="Times New Roman" w:hAnsi="Times New Roman" w:cs="Times New Roman"/>
                <w:sz w:val="18"/>
                <w:szCs w:val="18"/>
              </w:rPr>
              <w:t>0</w:t>
            </w:r>
          </w:p>
        </w:tc>
        <w:tc>
          <w:tcPr>
            <w:tcW w:w="1127" w:type="dxa"/>
            <w:noWrap/>
            <w:hideMark/>
          </w:tcPr>
          <w:p w14:paraId="1E5F00DF" w14:textId="76E615A8" w:rsidR="00830E92" w:rsidRPr="000973F2" w:rsidRDefault="00830E92" w:rsidP="00AF0B03">
            <w:pPr>
              <w:tabs>
                <w:tab w:val="decimal" w:pos="586"/>
              </w:tabs>
              <w:spacing w:before="40" w:after="4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w:t>
            </w:r>
            <w:r w:rsidR="00D510D2" w:rsidRPr="000973F2">
              <w:rPr>
                <w:rFonts w:ascii="Times New Roman" w:eastAsia="Times New Roman" w:hAnsi="Times New Roman" w:cs="Times New Roman"/>
                <w:sz w:val="18"/>
                <w:szCs w:val="18"/>
              </w:rPr>
              <w:t>2</w:t>
            </w:r>
            <w:r w:rsidR="00A043F9" w:rsidRPr="000973F2">
              <w:rPr>
                <w:rFonts w:ascii="Times New Roman" w:eastAsia="Times New Roman" w:hAnsi="Times New Roman" w:cs="Times New Roman"/>
                <w:sz w:val="18"/>
                <w:szCs w:val="18"/>
              </w:rPr>
              <w:t>6</w:t>
            </w:r>
            <w:r w:rsidRPr="000973F2">
              <w:rPr>
                <w:rFonts w:ascii="Times New Roman" w:eastAsia="Times New Roman" w:hAnsi="Times New Roman" w:cs="Times New Roman"/>
                <w:sz w:val="18"/>
                <w:szCs w:val="18"/>
              </w:rPr>
              <w:t>0</w:t>
            </w:r>
          </w:p>
        </w:tc>
        <w:tc>
          <w:tcPr>
            <w:tcW w:w="1108" w:type="dxa"/>
            <w:noWrap/>
            <w:hideMark/>
          </w:tcPr>
          <w:p w14:paraId="3DB13198" w14:textId="73D9CE91" w:rsidR="00830E92" w:rsidRPr="000973F2" w:rsidRDefault="00830E92" w:rsidP="00AF0B03">
            <w:pPr>
              <w:tabs>
                <w:tab w:val="decimal" w:pos="586"/>
              </w:tabs>
              <w:spacing w:before="40" w:after="4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$2</w:t>
            </w:r>
            <w:r w:rsidR="00A043F9" w:rsidRPr="000973F2">
              <w:rPr>
                <w:rFonts w:ascii="Times New Roman" w:eastAsia="Times New Roman" w:hAnsi="Times New Roman" w:cs="Times New Roman"/>
                <w:sz w:val="18"/>
                <w:szCs w:val="18"/>
              </w:rPr>
              <w:t>6</w:t>
            </w:r>
            <w:r w:rsidRPr="000973F2">
              <w:rPr>
                <w:rFonts w:ascii="Times New Roman" w:eastAsia="Times New Roman" w:hAnsi="Times New Roman" w:cs="Times New Roman"/>
                <w:sz w:val="18"/>
                <w:szCs w:val="18"/>
              </w:rPr>
              <w:t>0</w:t>
            </w:r>
          </w:p>
        </w:tc>
      </w:tr>
    </w:tbl>
    <w:p w14:paraId="11CE4024" w14:textId="77777777" w:rsidR="00830E92" w:rsidRPr="000973F2" w:rsidRDefault="00830E92" w:rsidP="00C00E4F">
      <w:pPr>
        <w:spacing w:line="240" w:lineRule="auto"/>
        <w:rPr>
          <w:rFonts w:ascii="Times New Roman" w:hAnsi="Times New Roman" w:cs="Times New Roman"/>
          <w:b/>
          <w:i/>
          <w:szCs w:val="24"/>
        </w:rPr>
      </w:pPr>
    </w:p>
    <w:p w14:paraId="307F5FC0" w14:textId="77777777" w:rsidR="00830E92" w:rsidRPr="000973F2" w:rsidRDefault="00830E92" w:rsidP="00C00E4F">
      <w:pPr>
        <w:spacing w:line="240" w:lineRule="auto"/>
        <w:rPr>
          <w:rFonts w:ascii="Times New Roman" w:hAnsi="Times New Roman" w:cs="Times New Roman"/>
          <w:b/>
          <w:i/>
          <w:szCs w:val="24"/>
        </w:rPr>
      </w:pPr>
      <w:r w:rsidRPr="000973F2">
        <w:rPr>
          <w:rFonts w:ascii="Times New Roman" w:hAnsi="Times New Roman" w:cs="Times New Roman"/>
          <w:b/>
          <w:i/>
          <w:szCs w:val="24"/>
        </w:rPr>
        <w:br w:type="page"/>
      </w:r>
    </w:p>
    <w:p w14:paraId="218904D8" w14:textId="77777777" w:rsidR="00830E92" w:rsidRPr="000973F2" w:rsidRDefault="00830E92" w:rsidP="00FC715C">
      <w:pPr>
        <w:pStyle w:val="Heading2"/>
      </w:pPr>
      <w:r w:rsidRPr="000973F2">
        <w:t>Labor Costs for Subpart P – Mass Balance Option; Natural Gas and Fuel Gas, Single Unit</w:t>
      </w:r>
    </w:p>
    <w:p w14:paraId="208B9FDF" w14:textId="391F7DBC" w:rsidR="00830E92" w:rsidRPr="000973F2" w:rsidRDefault="00830E92" w:rsidP="00FC715C">
      <w:pPr>
        <w:pStyle w:val="BodyText"/>
      </w:pPr>
      <w:r w:rsidRPr="000973F2">
        <w:t xml:space="preserve">Table </w:t>
      </w:r>
      <w:r w:rsidR="00FC715C" w:rsidRPr="000973F2">
        <w:t>P-</w:t>
      </w:r>
      <w:r w:rsidRPr="000973F2">
        <w:t xml:space="preserve">1c presents the estimated labor costs for using the mass balance option for a facility that has one unit that uses both natural gas and fuel gas. </w:t>
      </w:r>
      <w:r w:rsidR="00167456" w:rsidRPr="000973F2">
        <w:t xml:space="preserve">Twenty </w:t>
      </w:r>
      <w:r w:rsidRPr="000973F2">
        <w:t>existing facilities use this combination of option and fuel or feedstock with a single unit. No new reporting facilities are expected to have this configuration. Sampling and analysis to determine the molecular weight and carbon content of natural gas streams is performed annually, whereas sampling and analysis of fuel gas streams to determine molecular weight and carbon content is performed weekly. Initial year costs apply to new reporting facilities; therefore, those costs are zero in the table below. Recordkeeping and reporting hours are based on the “medium bin” designation, as discussed in the Cost Appendix Introduction.</w:t>
      </w:r>
    </w:p>
    <w:p w14:paraId="2780F9D7" w14:textId="26C97953" w:rsidR="00830E92" w:rsidRPr="000973F2" w:rsidRDefault="00A75314" w:rsidP="00FC715C">
      <w:pPr>
        <w:pStyle w:val="Tabletitle"/>
      </w:pPr>
      <w:r w:rsidRPr="000973F2">
        <w:t xml:space="preserve">Table </w:t>
      </w:r>
      <w:r w:rsidR="00FC715C" w:rsidRPr="000973F2">
        <w:t>P-</w:t>
      </w:r>
      <w:r w:rsidRPr="000973F2">
        <w:t>1c.</w:t>
      </w:r>
      <w:r w:rsidR="001E58F8" w:rsidRPr="000973F2">
        <w:t xml:space="preserve"> Labor Costs </w:t>
      </w:r>
      <w:r w:rsidR="00FC715C" w:rsidRPr="000973F2">
        <w:t>–</w:t>
      </w:r>
      <w:r w:rsidR="001E58F8" w:rsidRPr="000973F2">
        <w:t xml:space="preserve"> </w:t>
      </w:r>
      <w:r w:rsidRPr="000973F2">
        <w:t>Subpart P – Mass Balance Option; Natural Gas and Fuel Gas, Single Unit</w:t>
      </w:r>
    </w:p>
    <w:tbl>
      <w:tblPr>
        <w:tblStyle w:val="PlainTable1"/>
        <w:tblW w:w="5000" w:type="pct"/>
        <w:jc w:val="left"/>
        <w:tblLayout w:type="fixed"/>
        <w:tblCellMar>
          <w:left w:w="115" w:type="dxa"/>
          <w:right w:w="115" w:type="dxa"/>
        </w:tblCellMar>
        <w:tblLook w:val="04A0" w:firstRow="1" w:lastRow="0" w:firstColumn="1" w:lastColumn="0" w:noHBand="0" w:noVBand="1"/>
      </w:tblPr>
      <w:tblGrid>
        <w:gridCol w:w="1371"/>
        <w:gridCol w:w="809"/>
        <w:gridCol w:w="809"/>
        <w:gridCol w:w="810"/>
        <w:gridCol w:w="809"/>
        <w:gridCol w:w="809"/>
        <w:gridCol w:w="810"/>
        <w:gridCol w:w="809"/>
        <w:gridCol w:w="810"/>
        <w:gridCol w:w="872"/>
        <w:gridCol w:w="872"/>
      </w:tblGrid>
      <w:tr w:rsidR="00830E92" w:rsidRPr="000973F2" w14:paraId="41E78FA7" w14:textId="77777777" w:rsidTr="00B926DD">
        <w:trPr>
          <w:cnfStyle w:val="100000000000" w:firstRow="1" w:lastRow="0" w:firstColumn="0" w:lastColumn="0" w:oddVBand="0" w:evenVBand="0" w:oddHBand="0" w:evenHBand="0" w:firstRowFirstColumn="0" w:firstRowLastColumn="0" w:lastRowFirstColumn="0" w:lastRowLastColumn="0"/>
          <w:cantSplit/>
          <w:jc w:val="left"/>
        </w:trPr>
        <w:tc>
          <w:tcPr>
            <w:cnfStyle w:val="001000000000" w:firstRow="0" w:lastRow="0" w:firstColumn="1" w:lastColumn="0" w:oddVBand="0" w:evenVBand="0" w:oddHBand="0" w:evenHBand="0" w:firstRowFirstColumn="0" w:firstRowLastColumn="0" w:lastRowFirstColumn="0" w:lastRowLastColumn="0"/>
            <w:tcW w:w="1335" w:type="dxa"/>
            <w:vMerge w:val="restart"/>
            <w:noWrap/>
            <w:vAlign w:val="top"/>
            <w:hideMark/>
          </w:tcPr>
          <w:p w14:paraId="31C41CF1" w14:textId="77777777" w:rsidR="00830E92" w:rsidRPr="000973F2" w:rsidRDefault="00830E92" w:rsidP="00FC715C">
            <w:pPr>
              <w:spacing w:before="40" w:after="40"/>
              <w:rPr>
                <w:rFonts w:ascii="Times New Roman" w:eastAsia="Times New Roman" w:hAnsi="Times New Roman" w:cs="Times New Roman"/>
                <w:bCs w:val="0"/>
                <w:sz w:val="18"/>
                <w:szCs w:val="18"/>
              </w:rPr>
            </w:pPr>
            <w:r w:rsidRPr="000973F2">
              <w:rPr>
                <w:rFonts w:ascii="Times New Roman" w:eastAsia="Times New Roman" w:hAnsi="Times New Roman" w:cs="Times New Roman"/>
                <w:sz w:val="18"/>
                <w:szCs w:val="18"/>
              </w:rPr>
              <w:t>Activity</w:t>
            </w:r>
          </w:p>
        </w:tc>
        <w:tc>
          <w:tcPr>
            <w:tcW w:w="6299" w:type="dxa"/>
            <w:gridSpan w:val="8"/>
            <w:noWrap/>
            <w:vAlign w:val="top"/>
            <w:hideMark/>
          </w:tcPr>
          <w:p w14:paraId="4B971BAC" w14:textId="77777777" w:rsidR="00830E92" w:rsidRPr="000973F2" w:rsidRDefault="00830E92" w:rsidP="00FC715C">
            <w:pPr>
              <w:spacing w:before="40" w:after="40"/>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Cs w:val="0"/>
                <w:sz w:val="18"/>
                <w:szCs w:val="18"/>
              </w:rPr>
            </w:pPr>
            <w:r w:rsidRPr="000973F2">
              <w:rPr>
                <w:rFonts w:ascii="Times New Roman" w:eastAsia="Times New Roman" w:hAnsi="Times New Roman" w:cs="Times New Roman"/>
                <w:bCs w:val="0"/>
                <w:sz w:val="18"/>
                <w:szCs w:val="18"/>
              </w:rPr>
              <w:t>Labor Rates (per hour)</w:t>
            </w:r>
          </w:p>
        </w:tc>
        <w:tc>
          <w:tcPr>
            <w:tcW w:w="1696" w:type="dxa"/>
            <w:gridSpan w:val="2"/>
            <w:vMerge w:val="restart"/>
            <w:vAlign w:val="top"/>
            <w:hideMark/>
          </w:tcPr>
          <w:p w14:paraId="7F0D7251" w14:textId="77777777" w:rsidR="00830E92" w:rsidRPr="000973F2" w:rsidRDefault="00830E92" w:rsidP="00FC715C">
            <w:pPr>
              <w:spacing w:before="40" w:after="40"/>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Cs w:val="0"/>
                <w:sz w:val="18"/>
                <w:szCs w:val="18"/>
              </w:rPr>
            </w:pPr>
            <w:r w:rsidRPr="000973F2">
              <w:rPr>
                <w:rFonts w:ascii="Times New Roman" w:eastAsia="Times New Roman" w:hAnsi="Times New Roman" w:cs="Times New Roman"/>
                <w:bCs w:val="0"/>
                <w:sz w:val="18"/>
                <w:szCs w:val="18"/>
              </w:rPr>
              <w:t>Total Labor Cost per Year per Facility (2017$)</w:t>
            </w:r>
          </w:p>
        </w:tc>
      </w:tr>
      <w:tr w:rsidR="00830E92" w:rsidRPr="000973F2" w14:paraId="4187F687" w14:textId="77777777" w:rsidTr="00B926DD">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1335" w:type="dxa"/>
            <w:vMerge/>
            <w:hideMark/>
          </w:tcPr>
          <w:p w14:paraId="6B7EC7D1" w14:textId="77777777" w:rsidR="00830E92" w:rsidRPr="000973F2" w:rsidRDefault="00830E92" w:rsidP="00FC715C">
            <w:pPr>
              <w:spacing w:before="40" w:after="40"/>
              <w:rPr>
                <w:rFonts w:ascii="Times New Roman" w:eastAsia="Times New Roman" w:hAnsi="Times New Roman" w:cs="Times New Roman"/>
                <w:b/>
                <w:bCs w:val="0"/>
                <w:sz w:val="18"/>
                <w:szCs w:val="18"/>
              </w:rPr>
            </w:pPr>
          </w:p>
        </w:tc>
        <w:tc>
          <w:tcPr>
            <w:tcW w:w="1574" w:type="dxa"/>
            <w:gridSpan w:val="2"/>
            <w:noWrap/>
            <w:hideMark/>
          </w:tcPr>
          <w:p w14:paraId="79C48812" w14:textId="77777777" w:rsidR="00830E92" w:rsidRPr="000973F2" w:rsidRDefault="00830E92" w:rsidP="00FC715C">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18"/>
                <w:szCs w:val="18"/>
              </w:rPr>
            </w:pPr>
            <w:r w:rsidRPr="000973F2">
              <w:rPr>
                <w:rFonts w:ascii="Times New Roman" w:eastAsia="Times New Roman" w:hAnsi="Times New Roman" w:cs="Times New Roman"/>
                <w:b/>
                <w:bCs/>
                <w:sz w:val="18"/>
                <w:szCs w:val="18"/>
              </w:rPr>
              <w:t>Lawyer</w:t>
            </w:r>
          </w:p>
        </w:tc>
        <w:tc>
          <w:tcPr>
            <w:tcW w:w="1575" w:type="dxa"/>
            <w:gridSpan w:val="2"/>
            <w:noWrap/>
            <w:hideMark/>
          </w:tcPr>
          <w:p w14:paraId="03A51128" w14:textId="77777777" w:rsidR="00830E92" w:rsidRPr="000973F2" w:rsidRDefault="00830E92" w:rsidP="00FC715C">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18"/>
                <w:szCs w:val="18"/>
              </w:rPr>
            </w:pPr>
            <w:r w:rsidRPr="000973F2">
              <w:rPr>
                <w:rFonts w:ascii="Times New Roman" w:eastAsia="Times New Roman" w:hAnsi="Times New Roman" w:cs="Times New Roman"/>
                <w:b/>
                <w:bCs/>
                <w:sz w:val="18"/>
                <w:szCs w:val="18"/>
              </w:rPr>
              <w:t>Industrial Manager</w:t>
            </w:r>
          </w:p>
        </w:tc>
        <w:tc>
          <w:tcPr>
            <w:tcW w:w="1575" w:type="dxa"/>
            <w:gridSpan w:val="2"/>
            <w:hideMark/>
          </w:tcPr>
          <w:p w14:paraId="6E8FCD52" w14:textId="70EF07DC" w:rsidR="00830E92" w:rsidRPr="000973F2" w:rsidRDefault="00830E92" w:rsidP="00FC715C">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18"/>
                <w:szCs w:val="18"/>
              </w:rPr>
            </w:pPr>
            <w:r w:rsidRPr="000973F2">
              <w:rPr>
                <w:rFonts w:ascii="Times New Roman" w:eastAsia="Times New Roman" w:hAnsi="Times New Roman" w:cs="Times New Roman"/>
                <w:b/>
                <w:bCs/>
                <w:sz w:val="18"/>
                <w:szCs w:val="18"/>
              </w:rPr>
              <w:t>Industrial Engineer/</w:t>
            </w:r>
            <w:r w:rsidR="00FC715C" w:rsidRPr="000973F2">
              <w:rPr>
                <w:rFonts w:ascii="Times New Roman" w:eastAsia="Times New Roman" w:hAnsi="Times New Roman" w:cs="Times New Roman"/>
                <w:b/>
                <w:bCs/>
                <w:sz w:val="18"/>
                <w:szCs w:val="18"/>
              </w:rPr>
              <w:t xml:space="preserve"> </w:t>
            </w:r>
            <w:r w:rsidRPr="000973F2">
              <w:rPr>
                <w:rFonts w:ascii="Times New Roman" w:eastAsia="Times New Roman" w:hAnsi="Times New Roman" w:cs="Times New Roman"/>
                <w:b/>
                <w:bCs/>
                <w:sz w:val="18"/>
                <w:szCs w:val="18"/>
              </w:rPr>
              <w:t>Technician</w:t>
            </w:r>
          </w:p>
        </w:tc>
        <w:tc>
          <w:tcPr>
            <w:tcW w:w="1575" w:type="dxa"/>
            <w:gridSpan w:val="2"/>
            <w:hideMark/>
          </w:tcPr>
          <w:p w14:paraId="1DC4BFEC" w14:textId="77777777" w:rsidR="00830E92" w:rsidRPr="000973F2" w:rsidRDefault="00830E92" w:rsidP="00FC715C">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18"/>
                <w:szCs w:val="18"/>
              </w:rPr>
            </w:pPr>
            <w:r w:rsidRPr="000973F2">
              <w:rPr>
                <w:rFonts w:ascii="Times New Roman" w:eastAsia="Times New Roman" w:hAnsi="Times New Roman" w:cs="Times New Roman"/>
                <w:b/>
                <w:bCs/>
                <w:sz w:val="18"/>
                <w:szCs w:val="18"/>
              </w:rPr>
              <w:t>Administrative Support</w:t>
            </w:r>
          </w:p>
        </w:tc>
        <w:tc>
          <w:tcPr>
            <w:tcW w:w="1696" w:type="dxa"/>
            <w:gridSpan w:val="2"/>
            <w:vMerge/>
            <w:hideMark/>
          </w:tcPr>
          <w:p w14:paraId="20038166" w14:textId="77777777" w:rsidR="00830E92" w:rsidRPr="000973F2" w:rsidRDefault="00830E92" w:rsidP="00FC715C">
            <w:pPr>
              <w:spacing w:before="40" w:after="4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18"/>
                <w:szCs w:val="18"/>
              </w:rPr>
            </w:pPr>
          </w:p>
        </w:tc>
      </w:tr>
      <w:tr w:rsidR="00FC715C" w:rsidRPr="000973F2" w14:paraId="2AE87DCF" w14:textId="77777777" w:rsidTr="00FC715C">
        <w:trPr>
          <w:cantSplit/>
        </w:trPr>
        <w:tc>
          <w:tcPr>
            <w:cnfStyle w:val="001000000000" w:firstRow="0" w:lastRow="0" w:firstColumn="1" w:lastColumn="0" w:oddVBand="0" w:evenVBand="0" w:oddHBand="0" w:evenHBand="0" w:firstRowFirstColumn="0" w:firstRowLastColumn="0" w:lastRowFirstColumn="0" w:lastRowLastColumn="0"/>
            <w:tcW w:w="1335" w:type="dxa"/>
            <w:vMerge/>
            <w:hideMark/>
          </w:tcPr>
          <w:p w14:paraId="18097608" w14:textId="77777777" w:rsidR="00830E92" w:rsidRPr="000973F2" w:rsidRDefault="00830E92" w:rsidP="00FC715C">
            <w:pPr>
              <w:spacing w:before="40" w:after="40"/>
              <w:rPr>
                <w:rFonts w:ascii="Times New Roman" w:eastAsia="Times New Roman" w:hAnsi="Times New Roman" w:cs="Times New Roman"/>
                <w:b/>
                <w:bCs w:val="0"/>
                <w:sz w:val="18"/>
                <w:szCs w:val="18"/>
              </w:rPr>
            </w:pPr>
          </w:p>
        </w:tc>
        <w:tc>
          <w:tcPr>
            <w:tcW w:w="1574" w:type="dxa"/>
            <w:gridSpan w:val="2"/>
            <w:noWrap/>
            <w:hideMark/>
          </w:tcPr>
          <w:p w14:paraId="3E01D458" w14:textId="77777777" w:rsidR="00830E92" w:rsidRPr="000973F2" w:rsidRDefault="00830E92" w:rsidP="00FC715C">
            <w:pPr>
              <w:spacing w:before="40" w:after="4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sz w:val="18"/>
                <w:szCs w:val="18"/>
              </w:rPr>
            </w:pPr>
            <w:r w:rsidRPr="000973F2">
              <w:rPr>
                <w:rFonts w:ascii="Times New Roman" w:eastAsia="Times New Roman" w:hAnsi="Times New Roman" w:cs="Times New Roman"/>
                <w:b/>
                <w:bCs/>
                <w:sz w:val="18"/>
                <w:szCs w:val="18"/>
              </w:rPr>
              <w:t xml:space="preserve">$112.23 </w:t>
            </w:r>
          </w:p>
        </w:tc>
        <w:tc>
          <w:tcPr>
            <w:tcW w:w="1575" w:type="dxa"/>
            <w:gridSpan w:val="2"/>
            <w:noWrap/>
            <w:hideMark/>
          </w:tcPr>
          <w:p w14:paraId="673BF9BA" w14:textId="77777777" w:rsidR="00830E92" w:rsidRPr="000973F2" w:rsidRDefault="00830E92" w:rsidP="00FC715C">
            <w:pPr>
              <w:spacing w:before="40" w:after="4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sz w:val="18"/>
                <w:szCs w:val="18"/>
              </w:rPr>
            </w:pPr>
            <w:r w:rsidRPr="000973F2">
              <w:rPr>
                <w:rFonts w:ascii="Times New Roman" w:eastAsia="Times New Roman" w:hAnsi="Times New Roman" w:cs="Times New Roman"/>
                <w:b/>
                <w:bCs/>
                <w:sz w:val="18"/>
                <w:szCs w:val="18"/>
              </w:rPr>
              <w:t xml:space="preserve">$87.45 </w:t>
            </w:r>
          </w:p>
        </w:tc>
        <w:tc>
          <w:tcPr>
            <w:tcW w:w="1575" w:type="dxa"/>
            <w:gridSpan w:val="2"/>
            <w:noWrap/>
            <w:hideMark/>
          </w:tcPr>
          <w:p w14:paraId="02E83289" w14:textId="77777777" w:rsidR="00830E92" w:rsidRPr="000973F2" w:rsidRDefault="00830E92" w:rsidP="00FC715C">
            <w:pPr>
              <w:spacing w:before="40" w:after="4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sz w:val="18"/>
                <w:szCs w:val="18"/>
              </w:rPr>
            </w:pPr>
            <w:r w:rsidRPr="000973F2">
              <w:rPr>
                <w:rFonts w:ascii="Times New Roman" w:eastAsia="Times New Roman" w:hAnsi="Times New Roman" w:cs="Times New Roman"/>
                <w:b/>
                <w:bCs/>
                <w:sz w:val="18"/>
                <w:szCs w:val="18"/>
              </w:rPr>
              <w:t xml:space="preserve">$71.45 </w:t>
            </w:r>
          </w:p>
        </w:tc>
        <w:tc>
          <w:tcPr>
            <w:tcW w:w="1575" w:type="dxa"/>
            <w:gridSpan w:val="2"/>
            <w:noWrap/>
            <w:hideMark/>
          </w:tcPr>
          <w:p w14:paraId="20E75CB5" w14:textId="77777777" w:rsidR="00830E92" w:rsidRPr="000973F2" w:rsidRDefault="00830E92" w:rsidP="00FC715C">
            <w:pPr>
              <w:spacing w:before="40" w:after="4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sz w:val="18"/>
                <w:szCs w:val="18"/>
              </w:rPr>
            </w:pPr>
            <w:r w:rsidRPr="000973F2">
              <w:rPr>
                <w:rFonts w:ascii="Times New Roman" w:eastAsia="Times New Roman" w:hAnsi="Times New Roman" w:cs="Times New Roman"/>
                <w:b/>
                <w:bCs/>
                <w:sz w:val="18"/>
                <w:szCs w:val="18"/>
              </w:rPr>
              <w:t xml:space="preserve">$36.28 </w:t>
            </w:r>
          </w:p>
        </w:tc>
        <w:tc>
          <w:tcPr>
            <w:tcW w:w="1696" w:type="dxa"/>
            <w:gridSpan w:val="2"/>
            <w:vMerge/>
            <w:hideMark/>
          </w:tcPr>
          <w:p w14:paraId="66DC424D" w14:textId="77777777" w:rsidR="00830E92" w:rsidRPr="000973F2" w:rsidRDefault="00830E92" w:rsidP="00FC715C">
            <w:pPr>
              <w:spacing w:before="40" w:after="4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sz w:val="18"/>
                <w:szCs w:val="18"/>
              </w:rPr>
            </w:pPr>
          </w:p>
        </w:tc>
      </w:tr>
      <w:tr w:rsidR="00FC715C" w:rsidRPr="000973F2" w14:paraId="50E10016" w14:textId="77777777" w:rsidTr="00FC715C">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1335" w:type="dxa"/>
            <w:vMerge/>
            <w:hideMark/>
          </w:tcPr>
          <w:p w14:paraId="342F2F03" w14:textId="77777777" w:rsidR="00830E92" w:rsidRPr="000973F2" w:rsidRDefault="00830E92" w:rsidP="00FC715C">
            <w:pPr>
              <w:spacing w:before="40" w:after="40"/>
              <w:rPr>
                <w:rFonts w:ascii="Times New Roman" w:eastAsia="Times New Roman" w:hAnsi="Times New Roman" w:cs="Times New Roman"/>
                <w:b/>
                <w:bCs w:val="0"/>
                <w:sz w:val="18"/>
                <w:szCs w:val="18"/>
              </w:rPr>
            </w:pPr>
          </w:p>
        </w:tc>
        <w:tc>
          <w:tcPr>
            <w:tcW w:w="787" w:type="dxa"/>
            <w:tcMar>
              <w:left w:w="14" w:type="dxa"/>
              <w:right w:w="14" w:type="dxa"/>
            </w:tcMar>
            <w:hideMark/>
          </w:tcPr>
          <w:p w14:paraId="48BB573E" w14:textId="48E2B897" w:rsidR="00830E92" w:rsidRPr="000973F2" w:rsidRDefault="00830E92" w:rsidP="00FC715C">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18"/>
                <w:szCs w:val="18"/>
              </w:rPr>
            </w:pPr>
            <w:r w:rsidRPr="000973F2">
              <w:rPr>
                <w:rFonts w:ascii="Times New Roman" w:eastAsia="Times New Roman" w:hAnsi="Times New Roman" w:cs="Times New Roman"/>
                <w:b/>
                <w:bCs/>
                <w:sz w:val="18"/>
                <w:szCs w:val="18"/>
              </w:rPr>
              <w:t xml:space="preserve">Initial </w:t>
            </w:r>
            <w:r w:rsidR="00132320" w:rsidRPr="000973F2">
              <w:rPr>
                <w:rFonts w:ascii="Times New Roman" w:eastAsia="Times New Roman" w:hAnsi="Times New Roman" w:cs="Times New Roman"/>
                <w:b/>
                <w:bCs/>
                <w:sz w:val="18"/>
                <w:szCs w:val="18"/>
              </w:rPr>
              <w:t>Year Hours</w:t>
            </w:r>
          </w:p>
        </w:tc>
        <w:tc>
          <w:tcPr>
            <w:tcW w:w="787" w:type="dxa"/>
            <w:tcMar>
              <w:left w:w="14" w:type="dxa"/>
              <w:right w:w="14" w:type="dxa"/>
            </w:tcMar>
            <w:hideMark/>
          </w:tcPr>
          <w:p w14:paraId="1151279F" w14:textId="1F71634B" w:rsidR="00830E92" w:rsidRPr="000973F2" w:rsidRDefault="00830E92" w:rsidP="00FC715C">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18"/>
                <w:szCs w:val="18"/>
              </w:rPr>
            </w:pPr>
            <w:r w:rsidRPr="000973F2">
              <w:rPr>
                <w:rFonts w:ascii="Times New Roman" w:eastAsia="Times New Roman" w:hAnsi="Times New Roman" w:cs="Times New Roman"/>
                <w:b/>
                <w:bCs/>
                <w:sz w:val="18"/>
                <w:szCs w:val="18"/>
              </w:rPr>
              <w:t xml:space="preserve">Subseq. </w:t>
            </w:r>
            <w:r w:rsidR="00132320" w:rsidRPr="000973F2">
              <w:rPr>
                <w:rFonts w:ascii="Times New Roman" w:eastAsia="Times New Roman" w:hAnsi="Times New Roman" w:cs="Times New Roman"/>
                <w:b/>
                <w:bCs/>
                <w:sz w:val="18"/>
                <w:szCs w:val="18"/>
              </w:rPr>
              <w:t>Year Hours</w:t>
            </w:r>
          </w:p>
        </w:tc>
        <w:tc>
          <w:tcPr>
            <w:tcW w:w="788" w:type="dxa"/>
            <w:tcMar>
              <w:left w:w="14" w:type="dxa"/>
              <w:right w:w="14" w:type="dxa"/>
            </w:tcMar>
            <w:hideMark/>
          </w:tcPr>
          <w:p w14:paraId="7F187DA1" w14:textId="483020FC" w:rsidR="00830E92" w:rsidRPr="000973F2" w:rsidRDefault="00830E92" w:rsidP="00FC715C">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18"/>
                <w:szCs w:val="18"/>
              </w:rPr>
            </w:pPr>
            <w:r w:rsidRPr="000973F2">
              <w:rPr>
                <w:rFonts w:ascii="Times New Roman" w:eastAsia="Times New Roman" w:hAnsi="Times New Roman" w:cs="Times New Roman"/>
                <w:b/>
                <w:bCs/>
                <w:sz w:val="18"/>
                <w:szCs w:val="18"/>
              </w:rPr>
              <w:t xml:space="preserve">Initial </w:t>
            </w:r>
            <w:r w:rsidR="00132320" w:rsidRPr="000973F2">
              <w:rPr>
                <w:rFonts w:ascii="Times New Roman" w:eastAsia="Times New Roman" w:hAnsi="Times New Roman" w:cs="Times New Roman"/>
                <w:b/>
                <w:bCs/>
                <w:sz w:val="18"/>
                <w:szCs w:val="18"/>
              </w:rPr>
              <w:t>Year Hours</w:t>
            </w:r>
          </w:p>
        </w:tc>
        <w:tc>
          <w:tcPr>
            <w:tcW w:w="787" w:type="dxa"/>
            <w:tcMar>
              <w:left w:w="14" w:type="dxa"/>
              <w:right w:w="14" w:type="dxa"/>
            </w:tcMar>
            <w:hideMark/>
          </w:tcPr>
          <w:p w14:paraId="1CD89230" w14:textId="15836D26" w:rsidR="00830E92" w:rsidRPr="000973F2" w:rsidRDefault="00830E92" w:rsidP="00FC715C">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18"/>
                <w:szCs w:val="18"/>
              </w:rPr>
            </w:pPr>
            <w:r w:rsidRPr="000973F2">
              <w:rPr>
                <w:rFonts w:ascii="Times New Roman" w:eastAsia="Times New Roman" w:hAnsi="Times New Roman" w:cs="Times New Roman"/>
                <w:b/>
                <w:bCs/>
                <w:sz w:val="18"/>
                <w:szCs w:val="18"/>
              </w:rPr>
              <w:t xml:space="preserve">Subseq. </w:t>
            </w:r>
            <w:r w:rsidR="00132320" w:rsidRPr="000973F2">
              <w:rPr>
                <w:rFonts w:ascii="Times New Roman" w:eastAsia="Times New Roman" w:hAnsi="Times New Roman" w:cs="Times New Roman"/>
                <w:b/>
                <w:bCs/>
                <w:sz w:val="18"/>
                <w:szCs w:val="18"/>
              </w:rPr>
              <w:t>Year Hours</w:t>
            </w:r>
          </w:p>
        </w:tc>
        <w:tc>
          <w:tcPr>
            <w:tcW w:w="787" w:type="dxa"/>
            <w:tcMar>
              <w:left w:w="14" w:type="dxa"/>
              <w:right w:w="14" w:type="dxa"/>
            </w:tcMar>
            <w:hideMark/>
          </w:tcPr>
          <w:p w14:paraId="5DEDEEFB" w14:textId="6AF21BE0" w:rsidR="00830E92" w:rsidRPr="000973F2" w:rsidRDefault="00830E92" w:rsidP="00FC715C">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18"/>
                <w:szCs w:val="18"/>
              </w:rPr>
            </w:pPr>
            <w:r w:rsidRPr="000973F2">
              <w:rPr>
                <w:rFonts w:ascii="Times New Roman" w:eastAsia="Times New Roman" w:hAnsi="Times New Roman" w:cs="Times New Roman"/>
                <w:b/>
                <w:bCs/>
                <w:sz w:val="18"/>
                <w:szCs w:val="18"/>
              </w:rPr>
              <w:t xml:space="preserve">Initial </w:t>
            </w:r>
            <w:r w:rsidR="00132320" w:rsidRPr="000973F2">
              <w:rPr>
                <w:rFonts w:ascii="Times New Roman" w:eastAsia="Times New Roman" w:hAnsi="Times New Roman" w:cs="Times New Roman"/>
                <w:b/>
                <w:bCs/>
                <w:sz w:val="18"/>
                <w:szCs w:val="18"/>
              </w:rPr>
              <w:t>Year Hours</w:t>
            </w:r>
          </w:p>
        </w:tc>
        <w:tc>
          <w:tcPr>
            <w:tcW w:w="788" w:type="dxa"/>
            <w:tcMar>
              <w:left w:w="14" w:type="dxa"/>
              <w:right w:w="14" w:type="dxa"/>
            </w:tcMar>
            <w:hideMark/>
          </w:tcPr>
          <w:p w14:paraId="742E3560" w14:textId="3FDEDC69" w:rsidR="00830E92" w:rsidRPr="000973F2" w:rsidRDefault="00830E92" w:rsidP="00FC715C">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18"/>
                <w:szCs w:val="18"/>
              </w:rPr>
            </w:pPr>
            <w:r w:rsidRPr="000973F2">
              <w:rPr>
                <w:rFonts w:ascii="Times New Roman" w:eastAsia="Times New Roman" w:hAnsi="Times New Roman" w:cs="Times New Roman"/>
                <w:b/>
                <w:bCs/>
                <w:sz w:val="18"/>
                <w:szCs w:val="18"/>
              </w:rPr>
              <w:t xml:space="preserve">Subseq. </w:t>
            </w:r>
            <w:r w:rsidR="00132320" w:rsidRPr="000973F2">
              <w:rPr>
                <w:rFonts w:ascii="Times New Roman" w:eastAsia="Times New Roman" w:hAnsi="Times New Roman" w:cs="Times New Roman"/>
                <w:b/>
                <w:bCs/>
                <w:sz w:val="18"/>
                <w:szCs w:val="18"/>
              </w:rPr>
              <w:t>Year Hours</w:t>
            </w:r>
          </w:p>
        </w:tc>
        <w:tc>
          <w:tcPr>
            <w:tcW w:w="787" w:type="dxa"/>
            <w:tcMar>
              <w:left w:w="14" w:type="dxa"/>
              <w:right w:w="14" w:type="dxa"/>
            </w:tcMar>
            <w:hideMark/>
          </w:tcPr>
          <w:p w14:paraId="63AA95C5" w14:textId="02C0AD40" w:rsidR="00830E92" w:rsidRPr="000973F2" w:rsidRDefault="00830E92" w:rsidP="00FC715C">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18"/>
                <w:szCs w:val="18"/>
              </w:rPr>
            </w:pPr>
            <w:r w:rsidRPr="000973F2">
              <w:rPr>
                <w:rFonts w:ascii="Times New Roman" w:eastAsia="Times New Roman" w:hAnsi="Times New Roman" w:cs="Times New Roman"/>
                <w:b/>
                <w:bCs/>
                <w:sz w:val="18"/>
                <w:szCs w:val="18"/>
              </w:rPr>
              <w:t xml:space="preserve">Initial </w:t>
            </w:r>
            <w:r w:rsidR="00132320" w:rsidRPr="000973F2">
              <w:rPr>
                <w:rFonts w:ascii="Times New Roman" w:eastAsia="Times New Roman" w:hAnsi="Times New Roman" w:cs="Times New Roman"/>
                <w:b/>
                <w:bCs/>
                <w:sz w:val="18"/>
                <w:szCs w:val="18"/>
              </w:rPr>
              <w:t>Year Hours</w:t>
            </w:r>
          </w:p>
        </w:tc>
        <w:tc>
          <w:tcPr>
            <w:tcW w:w="788" w:type="dxa"/>
            <w:tcMar>
              <w:left w:w="14" w:type="dxa"/>
              <w:right w:w="14" w:type="dxa"/>
            </w:tcMar>
            <w:hideMark/>
          </w:tcPr>
          <w:p w14:paraId="20BE799E" w14:textId="3FC52B26" w:rsidR="00830E92" w:rsidRPr="000973F2" w:rsidRDefault="00830E92" w:rsidP="00FC715C">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18"/>
                <w:szCs w:val="18"/>
              </w:rPr>
            </w:pPr>
            <w:r w:rsidRPr="000973F2">
              <w:rPr>
                <w:rFonts w:ascii="Times New Roman" w:eastAsia="Times New Roman" w:hAnsi="Times New Roman" w:cs="Times New Roman"/>
                <w:b/>
                <w:bCs/>
                <w:sz w:val="18"/>
                <w:szCs w:val="18"/>
              </w:rPr>
              <w:t xml:space="preserve">Subseq. </w:t>
            </w:r>
            <w:r w:rsidR="00132320" w:rsidRPr="000973F2">
              <w:rPr>
                <w:rFonts w:ascii="Times New Roman" w:eastAsia="Times New Roman" w:hAnsi="Times New Roman" w:cs="Times New Roman"/>
                <w:b/>
                <w:bCs/>
                <w:sz w:val="18"/>
                <w:szCs w:val="18"/>
              </w:rPr>
              <w:t>Year Hours</w:t>
            </w:r>
          </w:p>
        </w:tc>
        <w:tc>
          <w:tcPr>
            <w:tcW w:w="848" w:type="dxa"/>
            <w:tcMar>
              <w:left w:w="14" w:type="dxa"/>
              <w:right w:w="14" w:type="dxa"/>
            </w:tcMar>
            <w:hideMark/>
          </w:tcPr>
          <w:p w14:paraId="464C68D5" w14:textId="77777777" w:rsidR="00830E92" w:rsidRPr="000973F2" w:rsidRDefault="00830E92" w:rsidP="00FC715C">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18"/>
                <w:szCs w:val="18"/>
              </w:rPr>
            </w:pPr>
            <w:r w:rsidRPr="000973F2">
              <w:rPr>
                <w:rFonts w:ascii="Times New Roman" w:eastAsia="Times New Roman" w:hAnsi="Times New Roman" w:cs="Times New Roman"/>
                <w:b/>
                <w:bCs/>
                <w:sz w:val="18"/>
                <w:szCs w:val="18"/>
              </w:rPr>
              <w:t>Initial Year</w:t>
            </w:r>
          </w:p>
        </w:tc>
        <w:tc>
          <w:tcPr>
            <w:tcW w:w="848" w:type="dxa"/>
            <w:tcMar>
              <w:left w:w="14" w:type="dxa"/>
              <w:right w:w="14" w:type="dxa"/>
            </w:tcMar>
            <w:hideMark/>
          </w:tcPr>
          <w:p w14:paraId="7C5E8353" w14:textId="77777777" w:rsidR="00830E92" w:rsidRPr="000973F2" w:rsidRDefault="00830E92" w:rsidP="00FC715C">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18"/>
                <w:szCs w:val="18"/>
              </w:rPr>
            </w:pPr>
            <w:r w:rsidRPr="000973F2">
              <w:rPr>
                <w:rFonts w:ascii="Times New Roman" w:eastAsia="Times New Roman" w:hAnsi="Times New Roman" w:cs="Times New Roman"/>
                <w:b/>
                <w:bCs/>
                <w:sz w:val="18"/>
                <w:szCs w:val="18"/>
              </w:rPr>
              <w:t>Subseq. Year</w:t>
            </w:r>
          </w:p>
        </w:tc>
      </w:tr>
      <w:tr w:rsidR="00FC715C" w:rsidRPr="000973F2" w14:paraId="5F33A400" w14:textId="77777777" w:rsidTr="00FC715C">
        <w:trPr>
          <w:cantSplit/>
        </w:trPr>
        <w:tc>
          <w:tcPr>
            <w:cnfStyle w:val="001000000000" w:firstRow="0" w:lastRow="0" w:firstColumn="1" w:lastColumn="0" w:oddVBand="0" w:evenVBand="0" w:oddHBand="0" w:evenHBand="0" w:firstRowFirstColumn="0" w:firstRowLastColumn="0" w:lastRowFirstColumn="0" w:lastRowLastColumn="0"/>
            <w:tcW w:w="1335" w:type="dxa"/>
            <w:tcMar>
              <w:right w:w="14" w:type="dxa"/>
            </w:tcMar>
            <w:hideMark/>
          </w:tcPr>
          <w:p w14:paraId="62CD2C6C" w14:textId="77777777" w:rsidR="00830E92" w:rsidRPr="000973F2" w:rsidRDefault="00830E92" w:rsidP="00FC715C">
            <w:pPr>
              <w:spacing w:before="40" w:after="4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Planning</w:t>
            </w:r>
          </w:p>
        </w:tc>
        <w:tc>
          <w:tcPr>
            <w:tcW w:w="787" w:type="dxa"/>
            <w:noWrap/>
            <w:hideMark/>
          </w:tcPr>
          <w:p w14:paraId="742E22AB" w14:textId="77777777" w:rsidR="00830E92" w:rsidRPr="000973F2" w:rsidRDefault="00830E92" w:rsidP="00FC715C">
            <w:pPr>
              <w:spacing w:before="40" w:after="4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0</w:t>
            </w:r>
          </w:p>
        </w:tc>
        <w:tc>
          <w:tcPr>
            <w:tcW w:w="787" w:type="dxa"/>
            <w:noWrap/>
            <w:hideMark/>
          </w:tcPr>
          <w:p w14:paraId="28F4E87E" w14:textId="77777777" w:rsidR="00830E92" w:rsidRPr="000973F2" w:rsidRDefault="00830E92" w:rsidP="00FC715C">
            <w:pPr>
              <w:spacing w:before="40" w:after="4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0</w:t>
            </w:r>
          </w:p>
        </w:tc>
        <w:tc>
          <w:tcPr>
            <w:tcW w:w="788" w:type="dxa"/>
            <w:noWrap/>
            <w:hideMark/>
          </w:tcPr>
          <w:p w14:paraId="5687F2AD" w14:textId="77777777" w:rsidR="00830E92" w:rsidRPr="000973F2" w:rsidRDefault="00830E92" w:rsidP="00FC715C">
            <w:pPr>
              <w:spacing w:before="40" w:after="4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0</w:t>
            </w:r>
          </w:p>
        </w:tc>
        <w:tc>
          <w:tcPr>
            <w:tcW w:w="787" w:type="dxa"/>
            <w:noWrap/>
            <w:hideMark/>
          </w:tcPr>
          <w:p w14:paraId="3875CCEF" w14:textId="77777777" w:rsidR="00830E92" w:rsidRPr="000973F2" w:rsidRDefault="00830E92" w:rsidP="00FC715C">
            <w:pPr>
              <w:tabs>
                <w:tab w:val="decimal" w:pos="271"/>
              </w:tabs>
              <w:spacing w:before="40" w:after="4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0.4</w:t>
            </w:r>
          </w:p>
        </w:tc>
        <w:tc>
          <w:tcPr>
            <w:tcW w:w="787" w:type="dxa"/>
            <w:noWrap/>
            <w:hideMark/>
          </w:tcPr>
          <w:p w14:paraId="1A43D0DB" w14:textId="77777777" w:rsidR="00830E92" w:rsidRPr="000973F2" w:rsidRDefault="00830E92" w:rsidP="00FC715C">
            <w:pPr>
              <w:spacing w:before="40" w:after="4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0</w:t>
            </w:r>
          </w:p>
        </w:tc>
        <w:tc>
          <w:tcPr>
            <w:tcW w:w="788" w:type="dxa"/>
            <w:noWrap/>
            <w:hideMark/>
          </w:tcPr>
          <w:p w14:paraId="36B027D8" w14:textId="77777777" w:rsidR="00830E92" w:rsidRPr="000973F2" w:rsidRDefault="00830E92" w:rsidP="00FC715C">
            <w:pPr>
              <w:tabs>
                <w:tab w:val="decimal" w:pos="256"/>
              </w:tabs>
              <w:spacing w:before="40" w:after="4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4</w:t>
            </w:r>
          </w:p>
        </w:tc>
        <w:tc>
          <w:tcPr>
            <w:tcW w:w="787" w:type="dxa"/>
            <w:noWrap/>
            <w:hideMark/>
          </w:tcPr>
          <w:p w14:paraId="1EF54B7C" w14:textId="77777777" w:rsidR="00830E92" w:rsidRPr="000973F2" w:rsidRDefault="00830E92" w:rsidP="00FC715C">
            <w:pPr>
              <w:spacing w:before="40" w:after="4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0</w:t>
            </w:r>
          </w:p>
        </w:tc>
        <w:tc>
          <w:tcPr>
            <w:tcW w:w="788" w:type="dxa"/>
            <w:noWrap/>
            <w:hideMark/>
          </w:tcPr>
          <w:p w14:paraId="435D887F" w14:textId="77777777" w:rsidR="00830E92" w:rsidRPr="000973F2" w:rsidRDefault="00830E92" w:rsidP="00FC715C">
            <w:pPr>
              <w:tabs>
                <w:tab w:val="decimal" w:pos="226"/>
              </w:tabs>
              <w:spacing w:before="40" w:after="4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0.4</w:t>
            </w:r>
          </w:p>
        </w:tc>
        <w:tc>
          <w:tcPr>
            <w:tcW w:w="848" w:type="dxa"/>
            <w:noWrap/>
            <w:hideMark/>
          </w:tcPr>
          <w:p w14:paraId="764A4FAB" w14:textId="14A796AD" w:rsidR="00830E92" w:rsidRPr="000973F2" w:rsidRDefault="00830E92" w:rsidP="00FC715C">
            <w:pPr>
              <w:spacing w:before="40" w:after="4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$0</w:t>
            </w:r>
          </w:p>
        </w:tc>
        <w:tc>
          <w:tcPr>
            <w:tcW w:w="848" w:type="dxa"/>
            <w:noWrap/>
            <w:hideMark/>
          </w:tcPr>
          <w:p w14:paraId="1BDF43AA" w14:textId="7C4C2D4E" w:rsidR="00830E92" w:rsidRPr="000973F2" w:rsidRDefault="00830E92" w:rsidP="00FC715C">
            <w:pPr>
              <w:tabs>
                <w:tab w:val="decimal" w:pos="481"/>
              </w:tabs>
              <w:spacing w:before="40" w:after="4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$335</w:t>
            </w:r>
          </w:p>
        </w:tc>
      </w:tr>
      <w:tr w:rsidR="00FC715C" w:rsidRPr="000973F2" w14:paraId="43AD85D3" w14:textId="77777777" w:rsidTr="00FC715C">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1335" w:type="dxa"/>
            <w:tcMar>
              <w:right w:w="14" w:type="dxa"/>
            </w:tcMar>
            <w:hideMark/>
          </w:tcPr>
          <w:p w14:paraId="5B278CA2" w14:textId="77777777" w:rsidR="00830E92" w:rsidRPr="000973F2" w:rsidRDefault="00830E92" w:rsidP="00FC715C">
            <w:pPr>
              <w:spacing w:before="40" w:after="4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QA/QC</w:t>
            </w:r>
          </w:p>
        </w:tc>
        <w:tc>
          <w:tcPr>
            <w:tcW w:w="787" w:type="dxa"/>
            <w:noWrap/>
            <w:hideMark/>
          </w:tcPr>
          <w:p w14:paraId="174B0DA1" w14:textId="77777777" w:rsidR="00830E92" w:rsidRPr="000973F2" w:rsidRDefault="00830E92" w:rsidP="00FC715C">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0</w:t>
            </w:r>
          </w:p>
        </w:tc>
        <w:tc>
          <w:tcPr>
            <w:tcW w:w="787" w:type="dxa"/>
            <w:noWrap/>
            <w:hideMark/>
          </w:tcPr>
          <w:p w14:paraId="355686BF" w14:textId="77777777" w:rsidR="00830E92" w:rsidRPr="000973F2" w:rsidRDefault="00830E92" w:rsidP="00FC715C">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0</w:t>
            </w:r>
          </w:p>
        </w:tc>
        <w:tc>
          <w:tcPr>
            <w:tcW w:w="788" w:type="dxa"/>
            <w:noWrap/>
            <w:hideMark/>
          </w:tcPr>
          <w:p w14:paraId="537C1C23" w14:textId="77777777" w:rsidR="00830E92" w:rsidRPr="000973F2" w:rsidRDefault="00830E92" w:rsidP="00FC715C">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0</w:t>
            </w:r>
          </w:p>
        </w:tc>
        <w:tc>
          <w:tcPr>
            <w:tcW w:w="787" w:type="dxa"/>
            <w:noWrap/>
            <w:hideMark/>
          </w:tcPr>
          <w:p w14:paraId="5B5040E2" w14:textId="77777777" w:rsidR="00830E92" w:rsidRPr="000973F2" w:rsidRDefault="00830E92" w:rsidP="00FC715C">
            <w:pPr>
              <w:tabs>
                <w:tab w:val="decimal" w:pos="271"/>
              </w:tabs>
              <w:spacing w:before="40" w:after="4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0.4</w:t>
            </w:r>
          </w:p>
        </w:tc>
        <w:tc>
          <w:tcPr>
            <w:tcW w:w="787" w:type="dxa"/>
            <w:noWrap/>
            <w:hideMark/>
          </w:tcPr>
          <w:p w14:paraId="30D5F399" w14:textId="77777777" w:rsidR="00830E92" w:rsidRPr="000973F2" w:rsidRDefault="00830E92" w:rsidP="00FC715C">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0</w:t>
            </w:r>
          </w:p>
        </w:tc>
        <w:tc>
          <w:tcPr>
            <w:tcW w:w="788" w:type="dxa"/>
            <w:noWrap/>
            <w:hideMark/>
          </w:tcPr>
          <w:p w14:paraId="1AEEF1BA" w14:textId="77777777" w:rsidR="00830E92" w:rsidRPr="000973F2" w:rsidRDefault="00830E92" w:rsidP="00FC715C">
            <w:pPr>
              <w:tabs>
                <w:tab w:val="decimal" w:pos="256"/>
              </w:tabs>
              <w:spacing w:before="40" w:after="4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4</w:t>
            </w:r>
          </w:p>
        </w:tc>
        <w:tc>
          <w:tcPr>
            <w:tcW w:w="787" w:type="dxa"/>
            <w:noWrap/>
            <w:hideMark/>
          </w:tcPr>
          <w:p w14:paraId="5BBC2870" w14:textId="77777777" w:rsidR="00830E92" w:rsidRPr="000973F2" w:rsidRDefault="00830E92" w:rsidP="00FC715C">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0</w:t>
            </w:r>
          </w:p>
        </w:tc>
        <w:tc>
          <w:tcPr>
            <w:tcW w:w="788" w:type="dxa"/>
            <w:noWrap/>
            <w:hideMark/>
          </w:tcPr>
          <w:p w14:paraId="5C682F8C" w14:textId="77777777" w:rsidR="00830E92" w:rsidRPr="000973F2" w:rsidRDefault="00830E92" w:rsidP="00FC715C">
            <w:pPr>
              <w:tabs>
                <w:tab w:val="decimal" w:pos="226"/>
              </w:tabs>
              <w:spacing w:before="40" w:after="4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0.4</w:t>
            </w:r>
          </w:p>
        </w:tc>
        <w:tc>
          <w:tcPr>
            <w:tcW w:w="848" w:type="dxa"/>
            <w:noWrap/>
            <w:hideMark/>
          </w:tcPr>
          <w:p w14:paraId="23F4E60D" w14:textId="11730DF6" w:rsidR="00830E92" w:rsidRPr="000973F2" w:rsidRDefault="00830E92" w:rsidP="00FC715C">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$0</w:t>
            </w:r>
          </w:p>
        </w:tc>
        <w:tc>
          <w:tcPr>
            <w:tcW w:w="848" w:type="dxa"/>
            <w:noWrap/>
            <w:hideMark/>
          </w:tcPr>
          <w:p w14:paraId="052A528C" w14:textId="05EB5D54" w:rsidR="00830E92" w:rsidRPr="000973F2" w:rsidRDefault="00830E92" w:rsidP="00FC715C">
            <w:pPr>
              <w:tabs>
                <w:tab w:val="decimal" w:pos="481"/>
              </w:tabs>
              <w:spacing w:before="40" w:after="4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$335</w:t>
            </w:r>
          </w:p>
        </w:tc>
      </w:tr>
      <w:tr w:rsidR="00FC715C" w:rsidRPr="000973F2" w14:paraId="48358BB4" w14:textId="77777777" w:rsidTr="00FC715C">
        <w:trPr>
          <w:cantSplit/>
        </w:trPr>
        <w:tc>
          <w:tcPr>
            <w:cnfStyle w:val="001000000000" w:firstRow="0" w:lastRow="0" w:firstColumn="1" w:lastColumn="0" w:oddVBand="0" w:evenVBand="0" w:oddHBand="0" w:evenHBand="0" w:firstRowFirstColumn="0" w:firstRowLastColumn="0" w:lastRowFirstColumn="0" w:lastRowLastColumn="0"/>
            <w:tcW w:w="1335" w:type="dxa"/>
            <w:tcMar>
              <w:right w:w="14" w:type="dxa"/>
            </w:tcMar>
            <w:hideMark/>
          </w:tcPr>
          <w:p w14:paraId="72F3B5A2" w14:textId="77777777" w:rsidR="00830E92" w:rsidRPr="000973F2" w:rsidRDefault="00830E92" w:rsidP="00FC715C">
            <w:pPr>
              <w:spacing w:before="40" w:after="4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Recordkeeping</w:t>
            </w:r>
          </w:p>
        </w:tc>
        <w:tc>
          <w:tcPr>
            <w:tcW w:w="787" w:type="dxa"/>
            <w:noWrap/>
            <w:hideMark/>
          </w:tcPr>
          <w:p w14:paraId="0A8BFAB8" w14:textId="77777777" w:rsidR="00830E92" w:rsidRPr="000973F2" w:rsidRDefault="00830E92" w:rsidP="00FC715C">
            <w:pPr>
              <w:spacing w:before="40" w:after="4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0</w:t>
            </w:r>
          </w:p>
        </w:tc>
        <w:tc>
          <w:tcPr>
            <w:tcW w:w="787" w:type="dxa"/>
            <w:noWrap/>
            <w:hideMark/>
          </w:tcPr>
          <w:p w14:paraId="371E29DB" w14:textId="77777777" w:rsidR="00830E92" w:rsidRPr="000973F2" w:rsidRDefault="00830E92" w:rsidP="00FC715C">
            <w:pPr>
              <w:spacing w:before="40" w:after="4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0</w:t>
            </w:r>
          </w:p>
        </w:tc>
        <w:tc>
          <w:tcPr>
            <w:tcW w:w="788" w:type="dxa"/>
            <w:noWrap/>
            <w:hideMark/>
          </w:tcPr>
          <w:p w14:paraId="1B387534" w14:textId="77777777" w:rsidR="00830E92" w:rsidRPr="000973F2" w:rsidRDefault="00830E92" w:rsidP="00FC715C">
            <w:pPr>
              <w:spacing w:before="40" w:after="4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0</w:t>
            </w:r>
          </w:p>
        </w:tc>
        <w:tc>
          <w:tcPr>
            <w:tcW w:w="787" w:type="dxa"/>
            <w:noWrap/>
            <w:hideMark/>
          </w:tcPr>
          <w:p w14:paraId="5FF4F9AC" w14:textId="77777777" w:rsidR="00830E92" w:rsidRPr="000973F2" w:rsidRDefault="00830E92" w:rsidP="00FC715C">
            <w:pPr>
              <w:tabs>
                <w:tab w:val="decimal" w:pos="271"/>
              </w:tabs>
              <w:spacing w:before="40" w:after="4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0.5</w:t>
            </w:r>
          </w:p>
        </w:tc>
        <w:tc>
          <w:tcPr>
            <w:tcW w:w="787" w:type="dxa"/>
            <w:noWrap/>
            <w:hideMark/>
          </w:tcPr>
          <w:p w14:paraId="541B14A6" w14:textId="77777777" w:rsidR="00830E92" w:rsidRPr="000973F2" w:rsidRDefault="00830E92" w:rsidP="00FC715C">
            <w:pPr>
              <w:spacing w:before="40" w:after="4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0</w:t>
            </w:r>
          </w:p>
        </w:tc>
        <w:tc>
          <w:tcPr>
            <w:tcW w:w="788" w:type="dxa"/>
            <w:noWrap/>
            <w:hideMark/>
          </w:tcPr>
          <w:p w14:paraId="2DF403FD" w14:textId="77777777" w:rsidR="00830E92" w:rsidRPr="000973F2" w:rsidRDefault="00830E92" w:rsidP="00FC715C">
            <w:pPr>
              <w:tabs>
                <w:tab w:val="decimal" w:pos="256"/>
              </w:tabs>
              <w:spacing w:before="40" w:after="4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5</w:t>
            </w:r>
          </w:p>
        </w:tc>
        <w:tc>
          <w:tcPr>
            <w:tcW w:w="787" w:type="dxa"/>
            <w:noWrap/>
            <w:hideMark/>
          </w:tcPr>
          <w:p w14:paraId="0549D908" w14:textId="77777777" w:rsidR="00830E92" w:rsidRPr="000973F2" w:rsidRDefault="00830E92" w:rsidP="00FC715C">
            <w:pPr>
              <w:spacing w:before="40" w:after="4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0</w:t>
            </w:r>
          </w:p>
        </w:tc>
        <w:tc>
          <w:tcPr>
            <w:tcW w:w="788" w:type="dxa"/>
            <w:noWrap/>
            <w:hideMark/>
          </w:tcPr>
          <w:p w14:paraId="7D17AC65" w14:textId="77777777" w:rsidR="00830E92" w:rsidRPr="000973F2" w:rsidRDefault="00830E92" w:rsidP="00FC715C">
            <w:pPr>
              <w:tabs>
                <w:tab w:val="decimal" w:pos="226"/>
              </w:tabs>
              <w:spacing w:before="40" w:after="4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0.5</w:t>
            </w:r>
          </w:p>
        </w:tc>
        <w:tc>
          <w:tcPr>
            <w:tcW w:w="848" w:type="dxa"/>
            <w:noWrap/>
            <w:hideMark/>
          </w:tcPr>
          <w:p w14:paraId="103D8A24" w14:textId="31681384" w:rsidR="00830E92" w:rsidRPr="000973F2" w:rsidRDefault="00830E92" w:rsidP="00FC715C">
            <w:pPr>
              <w:spacing w:before="40" w:after="4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$0</w:t>
            </w:r>
          </w:p>
        </w:tc>
        <w:tc>
          <w:tcPr>
            <w:tcW w:w="848" w:type="dxa"/>
            <w:noWrap/>
            <w:hideMark/>
          </w:tcPr>
          <w:p w14:paraId="23E94CD7" w14:textId="00C18B0B" w:rsidR="00830E92" w:rsidRPr="000973F2" w:rsidRDefault="00830E92" w:rsidP="00FC715C">
            <w:pPr>
              <w:tabs>
                <w:tab w:val="decimal" w:pos="481"/>
              </w:tabs>
              <w:spacing w:before="40" w:after="4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w:t>
            </w:r>
            <w:r w:rsidR="008A445D" w:rsidRPr="000973F2">
              <w:rPr>
                <w:rFonts w:ascii="Times New Roman" w:eastAsia="Times New Roman" w:hAnsi="Times New Roman" w:cs="Times New Roman"/>
                <w:sz w:val="18"/>
                <w:szCs w:val="18"/>
              </w:rPr>
              <w:t>419</w:t>
            </w:r>
          </w:p>
        </w:tc>
      </w:tr>
      <w:tr w:rsidR="00FC715C" w:rsidRPr="000973F2" w14:paraId="3B8C2021" w14:textId="77777777" w:rsidTr="00FC715C">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1335" w:type="dxa"/>
            <w:tcMar>
              <w:right w:w="14" w:type="dxa"/>
            </w:tcMar>
            <w:hideMark/>
          </w:tcPr>
          <w:p w14:paraId="493D49B0" w14:textId="77777777" w:rsidR="00830E92" w:rsidRPr="000973F2" w:rsidRDefault="00830E92" w:rsidP="00FC715C">
            <w:pPr>
              <w:spacing w:before="40" w:after="4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Sampling and Analysis (Calculations)</w:t>
            </w:r>
          </w:p>
        </w:tc>
        <w:tc>
          <w:tcPr>
            <w:tcW w:w="787" w:type="dxa"/>
            <w:noWrap/>
            <w:hideMark/>
          </w:tcPr>
          <w:p w14:paraId="4F40C1D9" w14:textId="77777777" w:rsidR="00830E92" w:rsidRPr="000973F2" w:rsidRDefault="00830E92" w:rsidP="00FC715C">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0</w:t>
            </w:r>
          </w:p>
        </w:tc>
        <w:tc>
          <w:tcPr>
            <w:tcW w:w="787" w:type="dxa"/>
            <w:noWrap/>
            <w:hideMark/>
          </w:tcPr>
          <w:p w14:paraId="025984AB" w14:textId="77777777" w:rsidR="00830E92" w:rsidRPr="000973F2" w:rsidRDefault="00830E92" w:rsidP="00FC715C">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0</w:t>
            </w:r>
          </w:p>
        </w:tc>
        <w:tc>
          <w:tcPr>
            <w:tcW w:w="788" w:type="dxa"/>
            <w:noWrap/>
            <w:hideMark/>
          </w:tcPr>
          <w:p w14:paraId="3F4337A3" w14:textId="77777777" w:rsidR="00830E92" w:rsidRPr="000973F2" w:rsidRDefault="00830E92" w:rsidP="00FC715C">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0</w:t>
            </w:r>
          </w:p>
        </w:tc>
        <w:tc>
          <w:tcPr>
            <w:tcW w:w="787" w:type="dxa"/>
            <w:noWrap/>
            <w:hideMark/>
          </w:tcPr>
          <w:p w14:paraId="10BA45CE" w14:textId="301ADFEF" w:rsidR="00830E92" w:rsidRPr="000973F2" w:rsidRDefault="00830E92" w:rsidP="00FC715C">
            <w:pPr>
              <w:tabs>
                <w:tab w:val="decimal" w:pos="271"/>
              </w:tabs>
              <w:spacing w:before="40" w:after="4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1.1</w:t>
            </w:r>
          </w:p>
        </w:tc>
        <w:tc>
          <w:tcPr>
            <w:tcW w:w="787" w:type="dxa"/>
            <w:noWrap/>
            <w:hideMark/>
          </w:tcPr>
          <w:p w14:paraId="5514B54B" w14:textId="77777777" w:rsidR="00830E92" w:rsidRPr="000973F2" w:rsidRDefault="00830E92" w:rsidP="00FC715C">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0</w:t>
            </w:r>
          </w:p>
        </w:tc>
        <w:tc>
          <w:tcPr>
            <w:tcW w:w="788" w:type="dxa"/>
            <w:noWrap/>
            <w:hideMark/>
          </w:tcPr>
          <w:p w14:paraId="167BE6B3" w14:textId="77777777" w:rsidR="00830E92" w:rsidRPr="000973F2" w:rsidRDefault="00830E92" w:rsidP="00FC715C">
            <w:pPr>
              <w:tabs>
                <w:tab w:val="decimal" w:pos="256"/>
              </w:tabs>
              <w:spacing w:before="40" w:after="4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11.4</w:t>
            </w:r>
          </w:p>
        </w:tc>
        <w:tc>
          <w:tcPr>
            <w:tcW w:w="787" w:type="dxa"/>
            <w:noWrap/>
            <w:hideMark/>
          </w:tcPr>
          <w:p w14:paraId="2A4E1C72" w14:textId="77777777" w:rsidR="00830E92" w:rsidRPr="000973F2" w:rsidRDefault="00830E92" w:rsidP="00FC715C">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0</w:t>
            </w:r>
          </w:p>
        </w:tc>
        <w:tc>
          <w:tcPr>
            <w:tcW w:w="788" w:type="dxa"/>
            <w:noWrap/>
            <w:hideMark/>
          </w:tcPr>
          <w:p w14:paraId="11A61CD4" w14:textId="120DB203" w:rsidR="00830E92" w:rsidRPr="000973F2" w:rsidRDefault="00830E92" w:rsidP="00FC715C">
            <w:pPr>
              <w:tabs>
                <w:tab w:val="decimal" w:pos="226"/>
              </w:tabs>
              <w:spacing w:before="40" w:after="4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1.1</w:t>
            </w:r>
          </w:p>
        </w:tc>
        <w:tc>
          <w:tcPr>
            <w:tcW w:w="848" w:type="dxa"/>
            <w:noWrap/>
            <w:hideMark/>
          </w:tcPr>
          <w:p w14:paraId="2CACBB92" w14:textId="1BFFE18A" w:rsidR="00830E92" w:rsidRPr="000973F2" w:rsidRDefault="00830E92" w:rsidP="00FC715C">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$0</w:t>
            </w:r>
          </w:p>
        </w:tc>
        <w:tc>
          <w:tcPr>
            <w:tcW w:w="848" w:type="dxa"/>
            <w:noWrap/>
            <w:hideMark/>
          </w:tcPr>
          <w:p w14:paraId="79A49F9C" w14:textId="427C3BFB" w:rsidR="00830E92" w:rsidRPr="000973F2" w:rsidRDefault="00830E92" w:rsidP="00FC715C">
            <w:pPr>
              <w:tabs>
                <w:tab w:val="decimal" w:pos="481"/>
              </w:tabs>
              <w:spacing w:before="40" w:after="4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$956</w:t>
            </w:r>
          </w:p>
        </w:tc>
      </w:tr>
      <w:tr w:rsidR="00FC715C" w:rsidRPr="000973F2" w14:paraId="1B1FBF67" w14:textId="77777777" w:rsidTr="00FC715C">
        <w:trPr>
          <w:cantSplit/>
        </w:trPr>
        <w:tc>
          <w:tcPr>
            <w:cnfStyle w:val="001000000000" w:firstRow="0" w:lastRow="0" w:firstColumn="1" w:lastColumn="0" w:oddVBand="0" w:evenVBand="0" w:oddHBand="0" w:evenHBand="0" w:firstRowFirstColumn="0" w:firstRowLastColumn="0" w:lastRowFirstColumn="0" w:lastRowLastColumn="0"/>
            <w:tcW w:w="1335" w:type="dxa"/>
            <w:tcMar>
              <w:right w:w="14" w:type="dxa"/>
            </w:tcMar>
            <w:hideMark/>
          </w:tcPr>
          <w:p w14:paraId="09B96097" w14:textId="77777777" w:rsidR="00830E92" w:rsidRPr="000973F2" w:rsidRDefault="00830E92" w:rsidP="00FC715C">
            <w:pPr>
              <w:spacing w:before="40" w:after="4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Reporting</w:t>
            </w:r>
          </w:p>
        </w:tc>
        <w:tc>
          <w:tcPr>
            <w:tcW w:w="787" w:type="dxa"/>
            <w:noWrap/>
            <w:hideMark/>
          </w:tcPr>
          <w:p w14:paraId="27BB4917" w14:textId="77777777" w:rsidR="00830E92" w:rsidRPr="000973F2" w:rsidRDefault="00830E92" w:rsidP="00FC715C">
            <w:pPr>
              <w:spacing w:before="40" w:after="4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0</w:t>
            </w:r>
          </w:p>
        </w:tc>
        <w:tc>
          <w:tcPr>
            <w:tcW w:w="787" w:type="dxa"/>
            <w:noWrap/>
            <w:hideMark/>
          </w:tcPr>
          <w:p w14:paraId="56EFAEBA" w14:textId="77777777" w:rsidR="00830E92" w:rsidRPr="000973F2" w:rsidRDefault="00830E92" w:rsidP="00FC715C">
            <w:pPr>
              <w:spacing w:before="40" w:after="4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0</w:t>
            </w:r>
          </w:p>
        </w:tc>
        <w:tc>
          <w:tcPr>
            <w:tcW w:w="788" w:type="dxa"/>
            <w:noWrap/>
            <w:hideMark/>
          </w:tcPr>
          <w:p w14:paraId="440EF853" w14:textId="77777777" w:rsidR="00830E92" w:rsidRPr="000973F2" w:rsidRDefault="00830E92" w:rsidP="00FC715C">
            <w:pPr>
              <w:spacing w:before="40" w:after="4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0</w:t>
            </w:r>
          </w:p>
        </w:tc>
        <w:tc>
          <w:tcPr>
            <w:tcW w:w="787" w:type="dxa"/>
            <w:noWrap/>
            <w:hideMark/>
          </w:tcPr>
          <w:p w14:paraId="0D59716E" w14:textId="77777777" w:rsidR="00830E92" w:rsidRPr="000973F2" w:rsidRDefault="00830E92" w:rsidP="00FC715C">
            <w:pPr>
              <w:tabs>
                <w:tab w:val="decimal" w:pos="271"/>
              </w:tabs>
              <w:spacing w:before="40" w:after="4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1</w:t>
            </w:r>
          </w:p>
        </w:tc>
        <w:tc>
          <w:tcPr>
            <w:tcW w:w="787" w:type="dxa"/>
            <w:noWrap/>
            <w:hideMark/>
          </w:tcPr>
          <w:p w14:paraId="3B61444E" w14:textId="77777777" w:rsidR="00830E92" w:rsidRPr="000973F2" w:rsidRDefault="00830E92" w:rsidP="00FC715C">
            <w:pPr>
              <w:spacing w:before="40" w:after="4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0</w:t>
            </w:r>
          </w:p>
        </w:tc>
        <w:tc>
          <w:tcPr>
            <w:tcW w:w="788" w:type="dxa"/>
            <w:noWrap/>
            <w:hideMark/>
          </w:tcPr>
          <w:p w14:paraId="1D8638C8" w14:textId="77777777" w:rsidR="00830E92" w:rsidRPr="000973F2" w:rsidRDefault="00830E92" w:rsidP="00FC715C">
            <w:pPr>
              <w:tabs>
                <w:tab w:val="decimal" w:pos="256"/>
              </w:tabs>
              <w:spacing w:before="40" w:after="4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10</w:t>
            </w:r>
          </w:p>
        </w:tc>
        <w:tc>
          <w:tcPr>
            <w:tcW w:w="787" w:type="dxa"/>
            <w:noWrap/>
            <w:hideMark/>
          </w:tcPr>
          <w:p w14:paraId="413D1F55" w14:textId="77777777" w:rsidR="00830E92" w:rsidRPr="000973F2" w:rsidRDefault="00830E92" w:rsidP="00FC715C">
            <w:pPr>
              <w:spacing w:before="40" w:after="4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0</w:t>
            </w:r>
          </w:p>
        </w:tc>
        <w:tc>
          <w:tcPr>
            <w:tcW w:w="788" w:type="dxa"/>
            <w:noWrap/>
            <w:hideMark/>
          </w:tcPr>
          <w:p w14:paraId="60E7CF14" w14:textId="77777777" w:rsidR="00830E92" w:rsidRPr="000973F2" w:rsidRDefault="00830E92" w:rsidP="00FC715C">
            <w:pPr>
              <w:tabs>
                <w:tab w:val="decimal" w:pos="226"/>
              </w:tabs>
              <w:spacing w:before="40" w:after="4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1</w:t>
            </w:r>
          </w:p>
        </w:tc>
        <w:tc>
          <w:tcPr>
            <w:tcW w:w="848" w:type="dxa"/>
            <w:noWrap/>
            <w:hideMark/>
          </w:tcPr>
          <w:p w14:paraId="38000BE1" w14:textId="3315F127" w:rsidR="00830E92" w:rsidRPr="000973F2" w:rsidRDefault="00830E92" w:rsidP="00FC715C">
            <w:pPr>
              <w:spacing w:before="40" w:after="4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$0</w:t>
            </w:r>
          </w:p>
        </w:tc>
        <w:tc>
          <w:tcPr>
            <w:tcW w:w="848" w:type="dxa"/>
            <w:noWrap/>
            <w:hideMark/>
          </w:tcPr>
          <w:p w14:paraId="74D499DE" w14:textId="6BD1229B" w:rsidR="00830E92" w:rsidRPr="000973F2" w:rsidRDefault="00830E92" w:rsidP="00FC715C">
            <w:pPr>
              <w:tabs>
                <w:tab w:val="decimal" w:pos="481"/>
              </w:tabs>
              <w:spacing w:before="40" w:after="4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w:t>
            </w:r>
            <w:r w:rsidR="008A445D" w:rsidRPr="000973F2">
              <w:rPr>
                <w:rFonts w:ascii="Times New Roman" w:eastAsia="Times New Roman" w:hAnsi="Times New Roman" w:cs="Times New Roman"/>
                <w:sz w:val="18"/>
                <w:szCs w:val="18"/>
              </w:rPr>
              <w:t>838</w:t>
            </w:r>
          </w:p>
        </w:tc>
      </w:tr>
      <w:tr w:rsidR="00FC715C" w:rsidRPr="000973F2" w14:paraId="473A3BA7" w14:textId="77777777" w:rsidTr="00FC715C">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1335" w:type="dxa"/>
            <w:noWrap/>
            <w:tcMar>
              <w:right w:w="14" w:type="dxa"/>
            </w:tcMar>
            <w:hideMark/>
          </w:tcPr>
          <w:p w14:paraId="2BFE9FAC" w14:textId="77777777" w:rsidR="00830E92" w:rsidRPr="000973F2" w:rsidRDefault="00830E92" w:rsidP="00FC715C">
            <w:pPr>
              <w:spacing w:before="40" w:after="40"/>
              <w:rPr>
                <w:rFonts w:ascii="Times New Roman" w:eastAsia="Times New Roman" w:hAnsi="Times New Roman" w:cs="Times New Roman"/>
                <w:b/>
                <w:bCs w:val="0"/>
                <w:sz w:val="18"/>
                <w:szCs w:val="18"/>
              </w:rPr>
            </w:pPr>
            <w:r w:rsidRPr="000973F2">
              <w:rPr>
                <w:rFonts w:ascii="Times New Roman" w:eastAsia="Times New Roman" w:hAnsi="Times New Roman" w:cs="Times New Roman"/>
                <w:b/>
                <w:sz w:val="18"/>
                <w:szCs w:val="18"/>
              </w:rPr>
              <w:t>Total</w:t>
            </w:r>
          </w:p>
        </w:tc>
        <w:tc>
          <w:tcPr>
            <w:tcW w:w="787" w:type="dxa"/>
            <w:noWrap/>
            <w:hideMark/>
          </w:tcPr>
          <w:p w14:paraId="62404760" w14:textId="77777777" w:rsidR="00830E92" w:rsidRPr="000973F2" w:rsidRDefault="00830E92" w:rsidP="00FC715C">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18"/>
                <w:szCs w:val="18"/>
              </w:rPr>
            </w:pPr>
            <w:r w:rsidRPr="000973F2">
              <w:rPr>
                <w:rFonts w:ascii="Times New Roman" w:eastAsia="Times New Roman" w:hAnsi="Times New Roman" w:cs="Times New Roman"/>
                <w:b/>
                <w:bCs/>
                <w:sz w:val="18"/>
                <w:szCs w:val="18"/>
              </w:rPr>
              <w:t>0</w:t>
            </w:r>
          </w:p>
        </w:tc>
        <w:tc>
          <w:tcPr>
            <w:tcW w:w="787" w:type="dxa"/>
            <w:noWrap/>
            <w:hideMark/>
          </w:tcPr>
          <w:p w14:paraId="56FF0910" w14:textId="77777777" w:rsidR="00830E92" w:rsidRPr="000973F2" w:rsidRDefault="00830E92" w:rsidP="00FC715C">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18"/>
                <w:szCs w:val="18"/>
              </w:rPr>
            </w:pPr>
            <w:r w:rsidRPr="000973F2">
              <w:rPr>
                <w:rFonts w:ascii="Times New Roman" w:eastAsia="Times New Roman" w:hAnsi="Times New Roman" w:cs="Times New Roman"/>
                <w:b/>
                <w:bCs/>
                <w:sz w:val="18"/>
                <w:szCs w:val="18"/>
              </w:rPr>
              <w:t>0</w:t>
            </w:r>
          </w:p>
        </w:tc>
        <w:tc>
          <w:tcPr>
            <w:tcW w:w="788" w:type="dxa"/>
            <w:noWrap/>
            <w:hideMark/>
          </w:tcPr>
          <w:p w14:paraId="110B86D4" w14:textId="77777777" w:rsidR="00830E92" w:rsidRPr="000973F2" w:rsidRDefault="00830E92" w:rsidP="00FC715C">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18"/>
                <w:szCs w:val="18"/>
              </w:rPr>
            </w:pPr>
            <w:r w:rsidRPr="000973F2">
              <w:rPr>
                <w:rFonts w:ascii="Times New Roman" w:eastAsia="Times New Roman" w:hAnsi="Times New Roman" w:cs="Times New Roman"/>
                <w:b/>
                <w:bCs/>
                <w:sz w:val="18"/>
                <w:szCs w:val="18"/>
              </w:rPr>
              <w:t>0</w:t>
            </w:r>
          </w:p>
        </w:tc>
        <w:tc>
          <w:tcPr>
            <w:tcW w:w="787" w:type="dxa"/>
            <w:noWrap/>
            <w:hideMark/>
          </w:tcPr>
          <w:p w14:paraId="02402898" w14:textId="7B926701" w:rsidR="00830E92" w:rsidRPr="000973F2" w:rsidRDefault="00830E92" w:rsidP="00FC715C">
            <w:pPr>
              <w:tabs>
                <w:tab w:val="decimal" w:pos="271"/>
              </w:tabs>
              <w:spacing w:before="40" w:after="4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18"/>
                <w:szCs w:val="18"/>
              </w:rPr>
            </w:pPr>
            <w:r w:rsidRPr="000973F2">
              <w:rPr>
                <w:rFonts w:ascii="Times New Roman" w:eastAsia="Times New Roman" w:hAnsi="Times New Roman" w:cs="Times New Roman"/>
                <w:b/>
                <w:bCs/>
                <w:sz w:val="18"/>
                <w:szCs w:val="18"/>
              </w:rPr>
              <w:t>3.4</w:t>
            </w:r>
          </w:p>
        </w:tc>
        <w:tc>
          <w:tcPr>
            <w:tcW w:w="787" w:type="dxa"/>
            <w:noWrap/>
            <w:hideMark/>
          </w:tcPr>
          <w:p w14:paraId="7261FDD2" w14:textId="77777777" w:rsidR="00830E92" w:rsidRPr="000973F2" w:rsidRDefault="00830E92" w:rsidP="00FC715C">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18"/>
                <w:szCs w:val="18"/>
              </w:rPr>
            </w:pPr>
            <w:r w:rsidRPr="000973F2">
              <w:rPr>
                <w:rFonts w:ascii="Times New Roman" w:eastAsia="Times New Roman" w:hAnsi="Times New Roman" w:cs="Times New Roman"/>
                <w:b/>
                <w:bCs/>
                <w:sz w:val="18"/>
                <w:szCs w:val="18"/>
              </w:rPr>
              <w:t>0</w:t>
            </w:r>
          </w:p>
        </w:tc>
        <w:tc>
          <w:tcPr>
            <w:tcW w:w="788" w:type="dxa"/>
            <w:noWrap/>
            <w:hideMark/>
          </w:tcPr>
          <w:p w14:paraId="345360BF" w14:textId="77777777" w:rsidR="00830E92" w:rsidRPr="000973F2" w:rsidRDefault="00830E92" w:rsidP="00FC715C">
            <w:pPr>
              <w:tabs>
                <w:tab w:val="decimal" w:pos="256"/>
              </w:tabs>
              <w:spacing w:before="40" w:after="4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18"/>
                <w:szCs w:val="18"/>
              </w:rPr>
            </w:pPr>
            <w:r w:rsidRPr="000973F2">
              <w:rPr>
                <w:rFonts w:ascii="Times New Roman" w:eastAsia="Times New Roman" w:hAnsi="Times New Roman" w:cs="Times New Roman"/>
                <w:b/>
                <w:bCs/>
                <w:sz w:val="18"/>
                <w:szCs w:val="18"/>
              </w:rPr>
              <w:t>34.4</w:t>
            </w:r>
          </w:p>
        </w:tc>
        <w:tc>
          <w:tcPr>
            <w:tcW w:w="787" w:type="dxa"/>
            <w:noWrap/>
            <w:hideMark/>
          </w:tcPr>
          <w:p w14:paraId="7DB348BD" w14:textId="77777777" w:rsidR="00830E92" w:rsidRPr="000973F2" w:rsidRDefault="00830E92" w:rsidP="00FC715C">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18"/>
                <w:szCs w:val="18"/>
              </w:rPr>
            </w:pPr>
            <w:r w:rsidRPr="000973F2">
              <w:rPr>
                <w:rFonts w:ascii="Times New Roman" w:eastAsia="Times New Roman" w:hAnsi="Times New Roman" w:cs="Times New Roman"/>
                <w:b/>
                <w:bCs/>
                <w:sz w:val="18"/>
                <w:szCs w:val="18"/>
              </w:rPr>
              <w:t>0</w:t>
            </w:r>
          </w:p>
        </w:tc>
        <w:tc>
          <w:tcPr>
            <w:tcW w:w="788" w:type="dxa"/>
            <w:noWrap/>
            <w:hideMark/>
          </w:tcPr>
          <w:p w14:paraId="61FA7431" w14:textId="3A869BAE" w:rsidR="00830E92" w:rsidRPr="000973F2" w:rsidRDefault="00830E92" w:rsidP="00FC715C">
            <w:pPr>
              <w:tabs>
                <w:tab w:val="decimal" w:pos="226"/>
              </w:tabs>
              <w:spacing w:before="40" w:after="4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18"/>
                <w:szCs w:val="18"/>
              </w:rPr>
            </w:pPr>
            <w:r w:rsidRPr="000973F2">
              <w:rPr>
                <w:rFonts w:ascii="Times New Roman" w:eastAsia="Times New Roman" w:hAnsi="Times New Roman" w:cs="Times New Roman"/>
                <w:b/>
                <w:bCs/>
                <w:sz w:val="18"/>
                <w:szCs w:val="18"/>
              </w:rPr>
              <w:t>3.4</w:t>
            </w:r>
          </w:p>
        </w:tc>
        <w:tc>
          <w:tcPr>
            <w:tcW w:w="848" w:type="dxa"/>
            <w:noWrap/>
            <w:hideMark/>
          </w:tcPr>
          <w:p w14:paraId="60486D9D" w14:textId="5129926A" w:rsidR="00830E92" w:rsidRPr="000973F2" w:rsidRDefault="00830E92" w:rsidP="00FC715C">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18"/>
                <w:szCs w:val="18"/>
              </w:rPr>
            </w:pPr>
            <w:r w:rsidRPr="000973F2">
              <w:rPr>
                <w:rFonts w:ascii="Times New Roman" w:eastAsia="Times New Roman" w:hAnsi="Times New Roman" w:cs="Times New Roman"/>
                <w:b/>
                <w:bCs/>
                <w:sz w:val="18"/>
                <w:szCs w:val="18"/>
              </w:rPr>
              <w:t>$0</w:t>
            </w:r>
          </w:p>
        </w:tc>
        <w:tc>
          <w:tcPr>
            <w:tcW w:w="848" w:type="dxa"/>
            <w:noWrap/>
            <w:hideMark/>
          </w:tcPr>
          <w:p w14:paraId="55A21CDD" w14:textId="42E2BAF5" w:rsidR="00830E92" w:rsidRPr="000973F2" w:rsidRDefault="00830E92" w:rsidP="00FC715C">
            <w:pPr>
              <w:tabs>
                <w:tab w:val="decimal" w:pos="481"/>
              </w:tabs>
              <w:spacing w:before="40" w:after="4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18"/>
                <w:szCs w:val="18"/>
              </w:rPr>
            </w:pPr>
            <w:r w:rsidRPr="000973F2">
              <w:rPr>
                <w:rFonts w:ascii="Times New Roman" w:eastAsia="Times New Roman" w:hAnsi="Times New Roman" w:cs="Times New Roman"/>
                <w:b/>
                <w:bCs/>
                <w:sz w:val="18"/>
                <w:szCs w:val="18"/>
              </w:rPr>
              <w:t>$</w:t>
            </w:r>
            <w:r w:rsidR="008A445D" w:rsidRPr="000973F2">
              <w:rPr>
                <w:rFonts w:ascii="Times New Roman" w:eastAsia="Times New Roman" w:hAnsi="Times New Roman" w:cs="Times New Roman"/>
                <w:b/>
                <w:bCs/>
                <w:sz w:val="18"/>
                <w:szCs w:val="18"/>
              </w:rPr>
              <w:t>2,884</w:t>
            </w:r>
          </w:p>
        </w:tc>
      </w:tr>
    </w:tbl>
    <w:p w14:paraId="200F48B1" w14:textId="77777777" w:rsidR="00830E92" w:rsidRPr="000973F2" w:rsidRDefault="00830E92" w:rsidP="00C00E4F">
      <w:pPr>
        <w:spacing w:line="240" w:lineRule="auto"/>
        <w:rPr>
          <w:rFonts w:ascii="Times New Roman" w:hAnsi="Times New Roman" w:cs="Times New Roman"/>
          <w:color w:val="000000"/>
          <w:sz w:val="24"/>
          <w:szCs w:val="24"/>
          <w:shd w:val="clear" w:color="auto" w:fill="FFFFFF"/>
        </w:rPr>
      </w:pPr>
    </w:p>
    <w:p w14:paraId="05646BAC" w14:textId="77777777" w:rsidR="00830E92" w:rsidRPr="000973F2" w:rsidRDefault="00830E92" w:rsidP="00C00E4F">
      <w:pPr>
        <w:spacing w:line="240" w:lineRule="auto"/>
        <w:rPr>
          <w:rFonts w:ascii="Times New Roman" w:hAnsi="Times New Roman" w:cs="Times New Roman"/>
          <w:b/>
          <w:i/>
          <w:szCs w:val="24"/>
        </w:rPr>
      </w:pPr>
      <w:r w:rsidRPr="000973F2">
        <w:rPr>
          <w:rFonts w:ascii="Times New Roman" w:hAnsi="Times New Roman" w:cs="Times New Roman"/>
          <w:b/>
          <w:i/>
          <w:szCs w:val="24"/>
        </w:rPr>
        <w:br w:type="page"/>
      </w:r>
    </w:p>
    <w:p w14:paraId="78834FE4" w14:textId="77777777" w:rsidR="00830E92" w:rsidRPr="000973F2" w:rsidRDefault="00830E92" w:rsidP="00FC715C">
      <w:pPr>
        <w:pStyle w:val="Heading2"/>
      </w:pPr>
      <w:r w:rsidRPr="000973F2">
        <w:t>Capital and O&amp;M Costs for Subpart P – Mass Balance Option; Natural Gas and Fuel Gas, Single Unit</w:t>
      </w:r>
    </w:p>
    <w:p w14:paraId="609CD6B0" w14:textId="1AB48CED" w:rsidR="00830E92" w:rsidRPr="000973F2" w:rsidRDefault="00830E92" w:rsidP="00FC715C">
      <w:pPr>
        <w:pStyle w:val="BodyText"/>
      </w:pPr>
      <w:r w:rsidRPr="000973F2">
        <w:t xml:space="preserve">Table </w:t>
      </w:r>
      <w:r w:rsidR="00FC715C" w:rsidRPr="000973F2">
        <w:t>P-</w:t>
      </w:r>
      <w:r w:rsidRPr="000973F2">
        <w:t>2c presents the capital and O&amp;M costs estimated for each of the 20 facilities using the mass balance option for both natural gas and fuel gas with a single unit. No capital costs are projected for these facilities because they are expected to already have all equipment needed to comply, including compositional analyzers to determine carbon content of fuel gas. It is projected that other carbon content analyses for natural gas would be out-sourced, leading to O&amp;M costs for sampling and analyses for natural gas. Based on analytical price lists, the costs of shipping and analyzing a natural gas sample is estimated at $200. Natural gas analyses are required once per year.</w:t>
      </w:r>
    </w:p>
    <w:p w14:paraId="7BE4F753" w14:textId="6609103E" w:rsidR="00830E92" w:rsidRPr="000973F2" w:rsidRDefault="00830E92" w:rsidP="00FC715C">
      <w:pPr>
        <w:pStyle w:val="BodyText"/>
      </w:pPr>
      <w:r w:rsidRPr="000973F2">
        <w:t xml:space="preserve">Facilities are expected to incur an O&amp;M cost associated with recordkeeping as discussed in the Cost Appendix Introduction. </w:t>
      </w:r>
    </w:p>
    <w:p w14:paraId="04C116C2" w14:textId="7C2D772E" w:rsidR="00486498" w:rsidRPr="000973F2" w:rsidRDefault="00486498" w:rsidP="00FC715C">
      <w:pPr>
        <w:pStyle w:val="Tabletitle"/>
      </w:pPr>
      <w:r w:rsidRPr="000973F2">
        <w:t xml:space="preserve">Table </w:t>
      </w:r>
      <w:r w:rsidR="00FC715C" w:rsidRPr="000973F2">
        <w:t>P-</w:t>
      </w:r>
      <w:r w:rsidRPr="000973F2">
        <w:t xml:space="preserve">2c. Capital and O&amp;M Costs </w:t>
      </w:r>
      <w:r w:rsidR="00FC715C" w:rsidRPr="000973F2">
        <w:t>–</w:t>
      </w:r>
      <w:r w:rsidRPr="000973F2">
        <w:t xml:space="preserve"> Subpart P </w:t>
      </w:r>
      <w:r w:rsidR="00146C80" w:rsidRPr="000973F2">
        <w:t xml:space="preserve">– </w:t>
      </w:r>
      <w:r w:rsidRPr="000973F2">
        <w:t>Mass Balance Option; Natural Gas and Fuel Gas, Single Unit</w:t>
      </w:r>
    </w:p>
    <w:tbl>
      <w:tblPr>
        <w:tblStyle w:val="PlainTable1"/>
        <w:tblW w:w="5000" w:type="pct"/>
        <w:jc w:val="left"/>
        <w:tblLayout w:type="fixed"/>
        <w:tblLook w:val="04A0" w:firstRow="1" w:lastRow="0" w:firstColumn="1" w:lastColumn="0" w:noHBand="0" w:noVBand="1"/>
      </w:tblPr>
      <w:tblGrid>
        <w:gridCol w:w="1651"/>
        <w:gridCol w:w="1321"/>
        <w:gridCol w:w="1321"/>
        <w:gridCol w:w="1321"/>
        <w:gridCol w:w="1299"/>
        <w:gridCol w:w="1342"/>
        <w:gridCol w:w="1321"/>
      </w:tblGrid>
      <w:tr w:rsidR="00FF36E8" w:rsidRPr="000973F2" w14:paraId="3A6769C1" w14:textId="77777777" w:rsidTr="008B7A8F">
        <w:trPr>
          <w:cnfStyle w:val="100000000000" w:firstRow="1" w:lastRow="0" w:firstColumn="0" w:lastColumn="0" w:oddVBand="0" w:evenVBand="0" w:oddHBand="0" w:evenHBand="0" w:firstRowFirstColumn="0" w:firstRowLastColumn="0" w:lastRowFirstColumn="0" w:lastRowLastColumn="0"/>
          <w:cantSplit/>
          <w:jc w:val="left"/>
        </w:trPr>
        <w:tc>
          <w:tcPr>
            <w:cnfStyle w:val="001000000000" w:firstRow="0" w:lastRow="0" w:firstColumn="1" w:lastColumn="0" w:oddVBand="0" w:evenVBand="0" w:oddHBand="0" w:evenHBand="0" w:firstRowFirstColumn="0" w:firstRowLastColumn="0" w:lastRowFirstColumn="0" w:lastRowLastColumn="0"/>
            <w:tcW w:w="1608" w:type="dxa"/>
            <w:vMerge w:val="restart"/>
            <w:noWrap/>
            <w:vAlign w:val="top"/>
            <w:hideMark/>
          </w:tcPr>
          <w:p w14:paraId="1C74A946" w14:textId="0F9429E9" w:rsidR="00FF36E8" w:rsidRPr="000973F2" w:rsidRDefault="00FF36E8" w:rsidP="008B7A8F">
            <w:pPr>
              <w:spacing w:before="40" w:after="40"/>
              <w:rPr>
                <w:rFonts w:ascii="Times New Roman" w:eastAsia="Times New Roman" w:hAnsi="Times New Roman" w:cs="Times New Roman"/>
                <w:bCs w:val="0"/>
                <w:sz w:val="18"/>
                <w:szCs w:val="18"/>
              </w:rPr>
            </w:pPr>
            <w:r w:rsidRPr="000973F2">
              <w:rPr>
                <w:rFonts w:ascii="Times New Roman" w:eastAsia="Times New Roman" w:hAnsi="Times New Roman" w:cs="Times New Roman"/>
                <w:sz w:val="18"/>
                <w:szCs w:val="18"/>
              </w:rPr>
              <w:t>Activity</w:t>
            </w:r>
          </w:p>
        </w:tc>
        <w:tc>
          <w:tcPr>
            <w:tcW w:w="5127" w:type="dxa"/>
            <w:gridSpan w:val="4"/>
            <w:noWrap/>
            <w:vAlign w:val="top"/>
            <w:hideMark/>
          </w:tcPr>
          <w:p w14:paraId="428E9CF3" w14:textId="77777777" w:rsidR="00FF36E8" w:rsidRPr="000973F2" w:rsidRDefault="00FF36E8" w:rsidP="008B7A8F">
            <w:pPr>
              <w:spacing w:before="40" w:after="40"/>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Cs w:val="0"/>
                <w:sz w:val="18"/>
                <w:szCs w:val="18"/>
              </w:rPr>
            </w:pPr>
            <w:r w:rsidRPr="000973F2">
              <w:rPr>
                <w:rFonts w:ascii="Times New Roman" w:eastAsia="Times New Roman" w:hAnsi="Times New Roman" w:cs="Times New Roman"/>
                <w:bCs w:val="0"/>
                <w:sz w:val="18"/>
                <w:szCs w:val="18"/>
              </w:rPr>
              <w:t>Cost Categories</w:t>
            </w:r>
          </w:p>
        </w:tc>
        <w:tc>
          <w:tcPr>
            <w:tcW w:w="2595" w:type="dxa"/>
            <w:gridSpan w:val="2"/>
            <w:vAlign w:val="top"/>
            <w:hideMark/>
          </w:tcPr>
          <w:p w14:paraId="7427EACB" w14:textId="77777777" w:rsidR="00FF36E8" w:rsidRPr="000973F2" w:rsidRDefault="00FF36E8" w:rsidP="008B7A8F">
            <w:pPr>
              <w:spacing w:before="40" w:after="40"/>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Cs w:val="0"/>
                <w:sz w:val="18"/>
                <w:szCs w:val="18"/>
              </w:rPr>
            </w:pPr>
            <w:r w:rsidRPr="000973F2">
              <w:rPr>
                <w:rFonts w:ascii="Times New Roman" w:eastAsia="Times New Roman" w:hAnsi="Times New Roman" w:cs="Times New Roman"/>
                <w:bCs w:val="0"/>
                <w:sz w:val="18"/>
                <w:szCs w:val="18"/>
              </w:rPr>
              <w:t>Total Capital and O&amp;M Cost per Year per Facility (2017$)</w:t>
            </w:r>
          </w:p>
        </w:tc>
      </w:tr>
      <w:tr w:rsidR="00FF36E8" w:rsidRPr="000973F2" w14:paraId="4FB68E8A" w14:textId="77777777" w:rsidTr="008B7A8F">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1608" w:type="dxa"/>
            <w:vMerge/>
            <w:noWrap/>
            <w:hideMark/>
          </w:tcPr>
          <w:p w14:paraId="2C50DC45" w14:textId="3726D643" w:rsidR="00FF36E8" w:rsidRPr="000973F2" w:rsidRDefault="00FF36E8" w:rsidP="008B7A8F">
            <w:pPr>
              <w:spacing w:before="40" w:after="40"/>
              <w:jc w:val="center"/>
              <w:rPr>
                <w:rFonts w:ascii="Times New Roman" w:eastAsia="Times New Roman" w:hAnsi="Times New Roman" w:cs="Times New Roman"/>
                <w:b/>
                <w:bCs w:val="0"/>
                <w:sz w:val="18"/>
                <w:szCs w:val="18"/>
              </w:rPr>
            </w:pPr>
          </w:p>
        </w:tc>
        <w:tc>
          <w:tcPr>
            <w:tcW w:w="1287" w:type="dxa"/>
            <w:hideMark/>
          </w:tcPr>
          <w:p w14:paraId="351EFDA9" w14:textId="77777777" w:rsidR="00FF36E8" w:rsidRPr="000973F2" w:rsidRDefault="00FF36E8" w:rsidP="008B7A8F">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18"/>
                <w:szCs w:val="18"/>
              </w:rPr>
            </w:pPr>
            <w:r w:rsidRPr="000973F2">
              <w:rPr>
                <w:rFonts w:ascii="Times New Roman" w:eastAsia="Times New Roman" w:hAnsi="Times New Roman" w:cs="Times New Roman"/>
                <w:b/>
                <w:bCs/>
                <w:sz w:val="18"/>
                <w:szCs w:val="18"/>
              </w:rPr>
              <w:t>Capital Cost (2017$)</w:t>
            </w:r>
          </w:p>
        </w:tc>
        <w:tc>
          <w:tcPr>
            <w:tcW w:w="1287" w:type="dxa"/>
            <w:hideMark/>
          </w:tcPr>
          <w:p w14:paraId="00F617E3" w14:textId="77777777" w:rsidR="00FF36E8" w:rsidRPr="000973F2" w:rsidRDefault="00FF36E8" w:rsidP="008B7A8F">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18"/>
                <w:szCs w:val="18"/>
              </w:rPr>
            </w:pPr>
            <w:r w:rsidRPr="000973F2">
              <w:rPr>
                <w:rFonts w:ascii="Times New Roman" w:eastAsia="Times New Roman" w:hAnsi="Times New Roman" w:cs="Times New Roman"/>
                <w:b/>
                <w:bCs/>
                <w:sz w:val="18"/>
                <w:szCs w:val="18"/>
              </w:rPr>
              <w:t>Equipment Lifetime</w:t>
            </w:r>
          </w:p>
        </w:tc>
        <w:tc>
          <w:tcPr>
            <w:tcW w:w="1287" w:type="dxa"/>
            <w:hideMark/>
          </w:tcPr>
          <w:p w14:paraId="7BFF0A9F" w14:textId="77777777" w:rsidR="00FF36E8" w:rsidRPr="000973F2" w:rsidRDefault="00FF36E8" w:rsidP="008B7A8F">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18"/>
                <w:szCs w:val="18"/>
              </w:rPr>
            </w:pPr>
            <w:r w:rsidRPr="000973F2">
              <w:rPr>
                <w:rFonts w:ascii="Times New Roman" w:eastAsia="Times New Roman" w:hAnsi="Times New Roman" w:cs="Times New Roman"/>
                <w:b/>
                <w:bCs/>
                <w:sz w:val="18"/>
                <w:szCs w:val="18"/>
              </w:rPr>
              <w:t>Annualized Capital Cost (2017$/year)</w:t>
            </w:r>
          </w:p>
        </w:tc>
        <w:tc>
          <w:tcPr>
            <w:tcW w:w="1266" w:type="dxa"/>
            <w:hideMark/>
          </w:tcPr>
          <w:p w14:paraId="02476795" w14:textId="77777777" w:rsidR="00FF36E8" w:rsidRPr="000973F2" w:rsidRDefault="00FF36E8" w:rsidP="008B7A8F">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18"/>
                <w:szCs w:val="18"/>
              </w:rPr>
            </w:pPr>
            <w:r w:rsidRPr="000973F2">
              <w:rPr>
                <w:rFonts w:ascii="Times New Roman" w:eastAsia="Times New Roman" w:hAnsi="Times New Roman" w:cs="Times New Roman"/>
                <w:b/>
                <w:bCs/>
                <w:sz w:val="18"/>
                <w:szCs w:val="18"/>
              </w:rPr>
              <w:t>O&amp;M Costs (2017$/year)</w:t>
            </w:r>
          </w:p>
        </w:tc>
        <w:tc>
          <w:tcPr>
            <w:tcW w:w="1308" w:type="dxa"/>
            <w:hideMark/>
          </w:tcPr>
          <w:p w14:paraId="085D7ADA" w14:textId="77777777" w:rsidR="00FF36E8" w:rsidRPr="000973F2" w:rsidRDefault="00FF36E8" w:rsidP="008B7A8F">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18"/>
                <w:szCs w:val="18"/>
              </w:rPr>
            </w:pPr>
            <w:r w:rsidRPr="000973F2">
              <w:rPr>
                <w:rFonts w:ascii="Times New Roman" w:eastAsia="Times New Roman" w:hAnsi="Times New Roman" w:cs="Times New Roman"/>
                <w:b/>
                <w:bCs/>
                <w:sz w:val="18"/>
                <w:szCs w:val="18"/>
              </w:rPr>
              <w:t>Initial Year</w:t>
            </w:r>
          </w:p>
        </w:tc>
        <w:tc>
          <w:tcPr>
            <w:tcW w:w="1287" w:type="dxa"/>
            <w:hideMark/>
          </w:tcPr>
          <w:p w14:paraId="053EA7C3" w14:textId="77777777" w:rsidR="00FF36E8" w:rsidRPr="000973F2" w:rsidRDefault="00FF36E8" w:rsidP="008B7A8F">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18"/>
                <w:szCs w:val="18"/>
              </w:rPr>
            </w:pPr>
            <w:r w:rsidRPr="000973F2">
              <w:rPr>
                <w:rFonts w:ascii="Times New Roman" w:eastAsia="Times New Roman" w:hAnsi="Times New Roman" w:cs="Times New Roman"/>
                <w:b/>
                <w:bCs/>
                <w:sz w:val="18"/>
                <w:szCs w:val="18"/>
              </w:rPr>
              <w:t>Subseq. Years</w:t>
            </w:r>
          </w:p>
        </w:tc>
      </w:tr>
      <w:tr w:rsidR="003E005F" w:rsidRPr="000973F2" w14:paraId="13973B51" w14:textId="77777777" w:rsidTr="008B7A8F">
        <w:trPr>
          <w:cantSplit/>
        </w:trPr>
        <w:tc>
          <w:tcPr>
            <w:cnfStyle w:val="001000000000" w:firstRow="0" w:lastRow="0" w:firstColumn="1" w:lastColumn="0" w:oddVBand="0" w:evenVBand="0" w:oddHBand="0" w:evenHBand="0" w:firstRowFirstColumn="0" w:firstRowLastColumn="0" w:lastRowFirstColumn="0" w:lastRowLastColumn="0"/>
            <w:tcW w:w="1608" w:type="dxa"/>
            <w:tcMar>
              <w:left w:w="115" w:type="dxa"/>
              <w:right w:w="14" w:type="dxa"/>
            </w:tcMar>
            <w:hideMark/>
          </w:tcPr>
          <w:p w14:paraId="2987233F" w14:textId="77777777" w:rsidR="003E005F" w:rsidRPr="000973F2" w:rsidRDefault="003E005F" w:rsidP="008B7A8F">
            <w:pPr>
              <w:spacing w:before="40" w:after="4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Equipment (selection, purchase, installation)</w:t>
            </w:r>
          </w:p>
        </w:tc>
        <w:tc>
          <w:tcPr>
            <w:tcW w:w="1287" w:type="dxa"/>
            <w:noWrap/>
            <w:hideMark/>
          </w:tcPr>
          <w:p w14:paraId="405FF60A" w14:textId="17DC2851" w:rsidR="003E005F" w:rsidRPr="000973F2" w:rsidRDefault="008B7A8F" w:rsidP="008B7A8F">
            <w:pPr>
              <w:spacing w:before="40" w:after="4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w:t>
            </w:r>
          </w:p>
        </w:tc>
        <w:tc>
          <w:tcPr>
            <w:tcW w:w="1287" w:type="dxa"/>
            <w:noWrap/>
          </w:tcPr>
          <w:p w14:paraId="3C6EA26B" w14:textId="2E9590ED" w:rsidR="003E005F" w:rsidRPr="000973F2" w:rsidRDefault="003E005F" w:rsidP="008B7A8F">
            <w:pPr>
              <w:spacing w:before="40" w:after="4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p>
        </w:tc>
        <w:tc>
          <w:tcPr>
            <w:tcW w:w="1287" w:type="dxa"/>
            <w:noWrap/>
            <w:hideMark/>
          </w:tcPr>
          <w:p w14:paraId="7B59B2F7" w14:textId="40AFF1D7" w:rsidR="003E005F" w:rsidRPr="000973F2" w:rsidRDefault="008B7A8F" w:rsidP="008B7A8F">
            <w:pPr>
              <w:spacing w:before="40" w:after="4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w:t>
            </w:r>
          </w:p>
        </w:tc>
        <w:tc>
          <w:tcPr>
            <w:tcW w:w="1266" w:type="dxa"/>
            <w:noWrap/>
            <w:hideMark/>
          </w:tcPr>
          <w:p w14:paraId="3B33B49A" w14:textId="286F83DD" w:rsidR="003E005F" w:rsidRPr="000973F2" w:rsidRDefault="008B7A8F" w:rsidP="008B7A8F">
            <w:pPr>
              <w:tabs>
                <w:tab w:val="decimal" w:pos="661"/>
              </w:tabs>
              <w:spacing w:before="40" w:after="4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w:t>
            </w:r>
          </w:p>
        </w:tc>
        <w:tc>
          <w:tcPr>
            <w:tcW w:w="1308" w:type="dxa"/>
            <w:noWrap/>
            <w:hideMark/>
          </w:tcPr>
          <w:p w14:paraId="49A44FFC" w14:textId="1D10595A" w:rsidR="003E005F" w:rsidRPr="000973F2" w:rsidRDefault="008B7A8F" w:rsidP="008B7A8F">
            <w:pPr>
              <w:spacing w:before="40" w:after="4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w:t>
            </w:r>
          </w:p>
        </w:tc>
        <w:tc>
          <w:tcPr>
            <w:tcW w:w="1287" w:type="dxa"/>
            <w:noWrap/>
            <w:hideMark/>
          </w:tcPr>
          <w:p w14:paraId="3F9D60CC" w14:textId="242D1909" w:rsidR="003E005F" w:rsidRPr="000973F2" w:rsidRDefault="008B7A8F" w:rsidP="008B7A8F">
            <w:pPr>
              <w:tabs>
                <w:tab w:val="decimal" w:pos="601"/>
              </w:tabs>
              <w:spacing w:before="40" w:after="4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w:t>
            </w:r>
          </w:p>
        </w:tc>
      </w:tr>
      <w:tr w:rsidR="003E005F" w:rsidRPr="000973F2" w14:paraId="1C324922" w14:textId="77777777" w:rsidTr="008B7A8F">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1608" w:type="dxa"/>
            <w:tcMar>
              <w:left w:w="115" w:type="dxa"/>
              <w:right w:w="14" w:type="dxa"/>
            </w:tcMar>
            <w:hideMark/>
          </w:tcPr>
          <w:p w14:paraId="2BCB57A9" w14:textId="77777777" w:rsidR="003E005F" w:rsidRPr="000973F2" w:rsidRDefault="003E005F" w:rsidP="008B7A8F">
            <w:pPr>
              <w:spacing w:before="40" w:after="4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Performance testing</w:t>
            </w:r>
          </w:p>
        </w:tc>
        <w:tc>
          <w:tcPr>
            <w:tcW w:w="1287" w:type="dxa"/>
            <w:noWrap/>
            <w:hideMark/>
          </w:tcPr>
          <w:p w14:paraId="32EEC1F1" w14:textId="5F3FAA2D" w:rsidR="003E005F" w:rsidRPr="000973F2" w:rsidRDefault="008B7A8F" w:rsidP="008B7A8F">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w:t>
            </w:r>
          </w:p>
        </w:tc>
        <w:tc>
          <w:tcPr>
            <w:tcW w:w="1287" w:type="dxa"/>
            <w:noWrap/>
          </w:tcPr>
          <w:p w14:paraId="0C930256" w14:textId="3AE594E9" w:rsidR="003E005F" w:rsidRPr="000973F2" w:rsidRDefault="003E005F" w:rsidP="008B7A8F">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p>
        </w:tc>
        <w:tc>
          <w:tcPr>
            <w:tcW w:w="1287" w:type="dxa"/>
            <w:noWrap/>
            <w:hideMark/>
          </w:tcPr>
          <w:p w14:paraId="7ECD512A" w14:textId="7DA78269" w:rsidR="003E005F" w:rsidRPr="000973F2" w:rsidRDefault="008B7A8F" w:rsidP="008B7A8F">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w:t>
            </w:r>
          </w:p>
        </w:tc>
        <w:tc>
          <w:tcPr>
            <w:tcW w:w="1266" w:type="dxa"/>
            <w:noWrap/>
            <w:hideMark/>
          </w:tcPr>
          <w:p w14:paraId="25AFB3BE" w14:textId="093F4E1A" w:rsidR="003E005F" w:rsidRPr="000973F2" w:rsidRDefault="008B7A8F" w:rsidP="008B7A8F">
            <w:pPr>
              <w:tabs>
                <w:tab w:val="decimal" w:pos="661"/>
              </w:tabs>
              <w:spacing w:before="40" w:after="4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w:t>
            </w:r>
          </w:p>
        </w:tc>
        <w:tc>
          <w:tcPr>
            <w:tcW w:w="1308" w:type="dxa"/>
            <w:noWrap/>
            <w:hideMark/>
          </w:tcPr>
          <w:p w14:paraId="608F40AF" w14:textId="171790A9" w:rsidR="003E005F" w:rsidRPr="000973F2" w:rsidRDefault="008B7A8F" w:rsidP="008B7A8F">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w:t>
            </w:r>
          </w:p>
        </w:tc>
        <w:tc>
          <w:tcPr>
            <w:tcW w:w="1287" w:type="dxa"/>
            <w:noWrap/>
            <w:hideMark/>
          </w:tcPr>
          <w:p w14:paraId="72B17068" w14:textId="159E0492" w:rsidR="003E005F" w:rsidRPr="000973F2" w:rsidRDefault="008B7A8F" w:rsidP="008B7A8F">
            <w:pPr>
              <w:tabs>
                <w:tab w:val="decimal" w:pos="601"/>
              </w:tabs>
              <w:spacing w:before="40" w:after="4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w:t>
            </w:r>
          </w:p>
        </w:tc>
      </w:tr>
      <w:tr w:rsidR="00830E92" w:rsidRPr="000973F2" w14:paraId="379EC86B" w14:textId="77777777" w:rsidTr="008B7A8F">
        <w:trPr>
          <w:cantSplit/>
        </w:trPr>
        <w:tc>
          <w:tcPr>
            <w:cnfStyle w:val="001000000000" w:firstRow="0" w:lastRow="0" w:firstColumn="1" w:lastColumn="0" w:oddVBand="0" w:evenVBand="0" w:oddHBand="0" w:evenHBand="0" w:firstRowFirstColumn="0" w:firstRowLastColumn="0" w:lastRowFirstColumn="0" w:lastRowLastColumn="0"/>
            <w:tcW w:w="1608" w:type="dxa"/>
            <w:tcMar>
              <w:left w:w="115" w:type="dxa"/>
              <w:right w:w="14" w:type="dxa"/>
            </w:tcMar>
            <w:hideMark/>
          </w:tcPr>
          <w:p w14:paraId="502C60DC" w14:textId="77777777" w:rsidR="00830E92" w:rsidRPr="000973F2" w:rsidRDefault="00830E92" w:rsidP="008B7A8F">
            <w:pPr>
              <w:spacing w:before="40" w:after="4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Recordkeeping</w:t>
            </w:r>
          </w:p>
        </w:tc>
        <w:tc>
          <w:tcPr>
            <w:tcW w:w="1287" w:type="dxa"/>
            <w:noWrap/>
            <w:hideMark/>
          </w:tcPr>
          <w:p w14:paraId="518CCB03" w14:textId="77777777" w:rsidR="00830E92" w:rsidRPr="000973F2" w:rsidRDefault="00830E92" w:rsidP="008B7A8F">
            <w:pPr>
              <w:spacing w:before="40" w:after="4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$0</w:t>
            </w:r>
          </w:p>
        </w:tc>
        <w:tc>
          <w:tcPr>
            <w:tcW w:w="1287" w:type="dxa"/>
            <w:noWrap/>
          </w:tcPr>
          <w:p w14:paraId="21550BEE" w14:textId="77777777" w:rsidR="00830E92" w:rsidRPr="000973F2" w:rsidRDefault="00830E92" w:rsidP="008B7A8F">
            <w:pPr>
              <w:spacing w:before="40" w:after="4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p>
        </w:tc>
        <w:tc>
          <w:tcPr>
            <w:tcW w:w="1287" w:type="dxa"/>
            <w:noWrap/>
            <w:hideMark/>
          </w:tcPr>
          <w:p w14:paraId="56B77B22" w14:textId="77777777" w:rsidR="00830E92" w:rsidRPr="000973F2" w:rsidRDefault="00830E92" w:rsidP="008B7A8F">
            <w:pPr>
              <w:spacing w:before="40" w:after="4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$0</w:t>
            </w:r>
          </w:p>
        </w:tc>
        <w:tc>
          <w:tcPr>
            <w:tcW w:w="1266" w:type="dxa"/>
            <w:noWrap/>
            <w:hideMark/>
          </w:tcPr>
          <w:p w14:paraId="57FBA0BD" w14:textId="77777777" w:rsidR="00830E92" w:rsidRPr="000973F2" w:rsidRDefault="00830E92" w:rsidP="008B7A8F">
            <w:pPr>
              <w:tabs>
                <w:tab w:val="decimal" w:pos="661"/>
              </w:tabs>
              <w:spacing w:before="40" w:after="4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$50</w:t>
            </w:r>
          </w:p>
        </w:tc>
        <w:tc>
          <w:tcPr>
            <w:tcW w:w="1308" w:type="dxa"/>
            <w:noWrap/>
            <w:hideMark/>
          </w:tcPr>
          <w:p w14:paraId="6B52673F" w14:textId="77777777" w:rsidR="00830E92" w:rsidRPr="000973F2" w:rsidRDefault="00830E92" w:rsidP="008B7A8F">
            <w:pPr>
              <w:spacing w:before="40" w:after="4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$0</w:t>
            </w:r>
          </w:p>
        </w:tc>
        <w:tc>
          <w:tcPr>
            <w:tcW w:w="1287" w:type="dxa"/>
            <w:noWrap/>
            <w:hideMark/>
          </w:tcPr>
          <w:p w14:paraId="534FCE00" w14:textId="77777777" w:rsidR="00830E92" w:rsidRPr="000973F2" w:rsidRDefault="00830E92" w:rsidP="008B7A8F">
            <w:pPr>
              <w:tabs>
                <w:tab w:val="decimal" w:pos="601"/>
              </w:tabs>
              <w:spacing w:before="40" w:after="4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$50</w:t>
            </w:r>
          </w:p>
        </w:tc>
      </w:tr>
      <w:tr w:rsidR="003E005F" w:rsidRPr="000973F2" w14:paraId="0B87041D" w14:textId="77777777" w:rsidTr="008B7A8F">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1608" w:type="dxa"/>
            <w:tcMar>
              <w:left w:w="115" w:type="dxa"/>
              <w:right w:w="14" w:type="dxa"/>
            </w:tcMar>
            <w:hideMark/>
          </w:tcPr>
          <w:p w14:paraId="617B725B" w14:textId="77777777" w:rsidR="003E005F" w:rsidRPr="000973F2" w:rsidRDefault="003E005F" w:rsidP="008B7A8F">
            <w:pPr>
              <w:spacing w:before="40" w:after="4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Travel</w:t>
            </w:r>
          </w:p>
        </w:tc>
        <w:tc>
          <w:tcPr>
            <w:tcW w:w="1287" w:type="dxa"/>
            <w:noWrap/>
            <w:hideMark/>
          </w:tcPr>
          <w:p w14:paraId="57DF03D2" w14:textId="3A3F9880" w:rsidR="003E005F" w:rsidRPr="000973F2" w:rsidRDefault="008B7A8F" w:rsidP="008B7A8F">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w:t>
            </w:r>
          </w:p>
        </w:tc>
        <w:tc>
          <w:tcPr>
            <w:tcW w:w="1287" w:type="dxa"/>
            <w:noWrap/>
          </w:tcPr>
          <w:p w14:paraId="21A2654F" w14:textId="148E8D0F" w:rsidR="003E005F" w:rsidRPr="000973F2" w:rsidRDefault="003E005F" w:rsidP="008B7A8F">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p>
        </w:tc>
        <w:tc>
          <w:tcPr>
            <w:tcW w:w="1287" w:type="dxa"/>
            <w:noWrap/>
            <w:hideMark/>
          </w:tcPr>
          <w:p w14:paraId="6E154F41" w14:textId="4D1626A8" w:rsidR="003E005F" w:rsidRPr="000973F2" w:rsidRDefault="008B7A8F" w:rsidP="008B7A8F">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w:t>
            </w:r>
          </w:p>
        </w:tc>
        <w:tc>
          <w:tcPr>
            <w:tcW w:w="1266" w:type="dxa"/>
            <w:noWrap/>
            <w:hideMark/>
          </w:tcPr>
          <w:p w14:paraId="428E5C5C" w14:textId="59DDE374" w:rsidR="003E005F" w:rsidRPr="000973F2" w:rsidRDefault="008B7A8F" w:rsidP="008B7A8F">
            <w:pPr>
              <w:tabs>
                <w:tab w:val="decimal" w:pos="661"/>
              </w:tabs>
              <w:spacing w:before="40" w:after="4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w:t>
            </w:r>
          </w:p>
        </w:tc>
        <w:tc>
          <w:tcPr>
            <w:tcW w:w="1308" w:type="dxa"/>
            <w:noWrap/>
            <w:hideMark/>
          </w:tcPr>
          <w:p w14:paraId="6A7A170D" w14:textId="32D469C8" w:rsidR="003E005F" w:rsidRPr="000973F2" w:rsidRDefault="008B7A8F" w:rsidP="008B7A8F">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w:t>
            </w:r>
          </w:p>
        </w:tc>
        <w:tc>
          <w:tcPr>
            <w:tcW w:w="1287" w:type="dxa"/>
            <w:noWrap/>
            <w:hideMark/>
          </w:tcPr>
          <w:p w14:paraId="68D3418F" w14:textId="657EDC4F" w:rsidR="003E005F" w:rsidRPr="000973F2" w:rsidRDefault="008B7A8F" w:rsidP="008B7A8F">
            <w:pPr>
              <w:tabs>
                <w:tab w:val="decimal" w:pos="601"/>
              </w:tabs>
              <w:spacing w:before="40" w:after="4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w:t>
            </w:r>
          </w:p>
        </w:tc>
      </w:tr>
      <w:tr w:rsidR="00830E92" w:rsidRPr="000973F2" w14:paraId="46D44EF5" w14:textId="77777777" w:rsidTr="008B7A8F">
        <w:trPr>
          <w:cantSplit/>
        </w:trPr>
        <w:tc>
          <w:tcPr>
            <w:cnfStyle w:val="001000000000" w:firstRow="0" w:lastRow="0" w:firstColumn="1" w:lastColumn="0" w:oddVBand="0" w:evenVBand="0" w:oddHBand="0" w:evenHBand="0" w:firstRowFirstColumn="0" w:firstRowLastColumn="0" w:lastRowFirstColumn="0" w:lastRowLastColumn="0"/>
            <w:tcW w:w="1608" w:type="dxa"/>
            <w:tcMar>
              <w:left w:w="115" w:type="dxa"/>
              <w:right w:w="14" w:type="dxa"/>
            </w:tcMar>
            <w:hideMark/>
          </w:tcPr>
          <w:p w14:paraId="55B574FF" w14:textId="148D55D7" w:rsidR="00830E92" w:rsidRPr="000973F2" w:rsidRDefault="00830E92" w:rsidP="008B7A8F">
            <w:pPr>
              <w:spacing w:before="40" w:after="4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 xml:space="preserve">Sampling </w:t>
            </w:r>
            <w:r w:rsidR="00C805F3" w:rsidRPr="000973F2">
              <w:rPr>
                <w:rFonts w:ascii="Times New Roman" w:eastAsia="Times New Roman" w:hAnsi="Times New Roman" w:cs="Times New Roman"/>
                <w:sz w:val="18"/>
                <w:szCs w:val="18"/>
              </w:rPr>
              <w:t xml:space="preserve">and Analysis </w:t>
            </w:r>
            <w:r w:rsidRPr="000973F2">
              <w:rPr>
                <w:rFonts w:ascii="Times New Roman" w:eastAsia="Times New Roman" w:hAnsi="Times New Roman" w:cs="Times New Roman"/>
                <w:sz w:val="18"/>
                <w:szCs w:val="18"/>
              </w:rPr>
              <w:t>Costs</w:t>
            </w:r>
          </w:p>
        </w:tc>
        <w:tc>
          <w:tcPr>
            <w:tcW w:w="1287" w:type="dxa"/>
            <w:noWrap/>
            <w:hideMark/>
          </w:tcPr>
          <w:p w14:paraId="2D5637C6" w14:textId="77777777" w:rsidR="00830E92" w:rsidRPr="000973F2" w:rsidRDefault="00830E92" w:rsidP="008B7A8F">
            <w:pPr>
              <w:spacing w:before="40" w:after="4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$0</w:t>
            </w:r>
          </w:p>
        </w:tc>
        <w:tc>
          <w:tcPr>
            <w:tcW w:w="1287" w:type="dxa"/>
            <w:noWrap/>
          </w:tcPr>
          <w:p w14:paraId="5FA6784D" w14:textId="77777777" w:rsidR="00830E92" w:rsidRPr="000973F2" w:rsidRDefault="00830E92" w:rsidP="008B7A8F">
            <w:pPr>
              <w:spacing w:before="40" w:after="4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p>
        </w:tc>
        <w:tc>
          <w:tcPr>
            <w:tcW w:w="1287" w:type="dxa"/>
            <w:noWrap/>
            <w:hideMark/>
          </w:tcPr>
          <w:p w14:paraId="106205DB" w14:textId="77777777" w:rsidR="00830E92" w:rsidRPr="000973F2" w:rsidRDefault="00830E92" w:rsidP="008B7A8F">
            <w:pPr>
              <w:spacing w:before="40" w:after="4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$0</w:t>
            </w:r>
          </w:p>
        </w:tc>
        <w:tc>
          <w:tcPr>
            <w:tcW w:w="1266" w:type="dxa"/>
            <w:noWrap/>
            <w:hideMark/>
          </w:tcPr>
          <w:p w14:paraId="1B875AE8" w14:textId="23BFF9B6" w:rsidR="00830E92" w:rsidRPr="000973F2" w:rsidRDefault="00830E92" w:rsidP="008B7A8F">
            <w:pPr>
              <w:tabs>
                <w:tab w:val="decimal" w:pos="661"/>
              </w:tabs>
              <w:spacing w:before="40" w:after="4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$2</w:t>
            </w:r>
            <w:r w:rsidR="00A043F9" w:rsidRPr="000973F2">
              <w:rPr>
                <w:rFonts w:ascii="Times New Roman" w:eastAsia="Times New Roman" w:hAnsi="Times New Roman" w:cs="Times New Roman"/>
                <w:sz w:val="18"/>
                <w:szCs w:val="18"/>
              </w:rPr>
              <w:t>1</w:t>
            </w:r>
            <w:r w:rsidRPr="000973F2">
              <w:rPr>
                <w:rFonts w:ascii="Times New Roman" w:eastAsia="Times New Roman" w:hAnsi="Times New Roman" w:cs="Times New Roman"/>
                <w:sz w:val="18"/>
                <w:szCs w:val="18"/>
              </w:rPr>
              <w:t>0</w:t>
            </w:r>
          </w:p>
        </w:tc>
        <w:tc>
          <w:tcPr>
            <w:tcW w:w="1308" w:type="dxa"/>
            <w:noWrap/>
            <w:hideMark/>
          </w:tcPr>
          <w:p w14:paraId="32B74089" w14:textId="77777777" w:rsidR="00830E92" w:rsidRPr="000973F2" w:rsidRDefault="00830E92" w:rsidP="008B7A8F">
            <w:pPr>
              <w:spacing w:before="40" w:after="4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$0</w:t>
            </w:r>
          </w:p>
        </w:tc>
        <w:tc>
          <w:tcPr>
            <w:tcW w:w="1287" w:type="dxa"/>
            <w:noWrap/>
            <w:hideMark/>
          </w:tcPr>
          <w:p w14:paraId="3B33A1D5" w14:textId="16DB842D" w:rsidR="00830E92" w:rsidRPr="000973F2" w:rsidRDefault="00830E92" w:rsidP="008B7A8F">
            <w:pPr>
              <w:tabs>
                <w:tab w:val="decimal" w:pos="601"/>
              </w:tabs>
              <w:spacing w:before="40" w:after="4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$2</w:t>
            </w:r>
            <w:r w:rsidR="00A043F9" w:rsidRPr="000973F2">
              <w:rPr>
                <w:rFonts w:ascii="Times New Roman" w:eastAsia="Times New Roman" w:hAnsi="Times New Roman" w:cs="Times New Roman"/>
                <w:sz w:val="18"/>
                <w:szCs w:val="18"/>
              </w:rPr>
              <w:t>1</w:t>
            </w:r>
            <w:r w:rsidRPr="000973F2">
              <w:rPr>
                <w:rFonts w:ascii="Times New Roman" w:eastAsia="Times New Roman" w:hAnsi="Times New Roman" w:cs="Times New Roman"/>
                <w:sz w:val="18"/>
                <w:szCs w:val="18"/>
              </w:rPr>
              <w:t>0</w:t>
            </w:r>
          </w:p>
        </w:tc>
      </w:tr>
      <w:tr w:rsidR="00830E92" w:rsidRPr="000973F2" w14:paraId="0FDC937B" w14:textId="77777777" w:rsidTr="008B7A8F">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1608" w:type="dxa"/>
            <w:tcMar>
              <w:left w:w="115" w:type="dxa"/>
              <w:right w:w="14" w:type="dxa"/>
            </w:tcMar>
            <w:hideMark/>
          </w:tcPr>
          <w:p w14:paraId="59E5DA07" w14:textId="77777777" w:rsidR="00830E92" w:rsidRPr="000973F2" w:rsidRDefault="00830E92" w:rsidP="008B7A8F">
            <w:pPr>
              <w:spacing w:before="40" w:after="40"/>
              <w:rPr>
                <w:rFonts w:ascii="Times New Roman" w:eastAsia="Times New Roman" w:hAnsi="Times New Roman" w:cs="Times New Roman"/>
                <w:b/>
                <w:bCs w:val="0"/>
                <w:sz w:val="18"/>
                <w:szCs w:val="18"/>
              </w:rPr>
            </w:pPr>
            <w:r w:rsidRPr="000973F2">
              <w:rPr>
                <w:rFonts w:ascii="Times New Roman" w:eastAsia="Times New Roman" w:hAnsi="Times New Roman" w:cs="Times New Roman"/>
                <w:b/>
                <w:sz w:val="18"/>
                <w:szCs w:val="18"/>
              </w:rPr>
              <w:t xml:space="preserve">Total </w:t>
            </w:r>
          </w:p>
        </w:tc>
        <w:tc>
          <w:tcPr>
            <w:tcW w:w="1287" w:type="dxa"/>
            <w:noWrap/>
            <w:hideMark/>
          </w:tcPr>
          <w:p w14:paraId="61EA3441" w14:textId="77777777" w:rsidR="00830E92" w:rsidRPr="000973F2" w:rsidRDefault="00830E92" w:rsidP="008B7A8F">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$0</w:t>
            </w:r>
          </w:p>
        </w:tc>
        <w:tc>
          <w:tcPr>
            <w:tcW w:w="1287" w:type="dxa"/>
            <w:noWrap/>
          </w:tcPr>
          <w:p w14:paraId="70E38929" w14:textId="77777777" w:rsidR="00830E92" w:rsidRPr="000973F2" w:rsidRDefault="00830E92" w:rsidP="008B7A8F">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p>
        </w:tc>
        <w:tc>
          <w:tcPr>
            <w:tcW w:w="1287" w:type="dxa"/>
            <w:noWrap/>
            <w:hideMark/>
          </w:tcPr>
          <w:p w14:paraId="6411EB25" w14:textId="77777777" w:rsidR="00830E92" w:rsidRPr="000973F2" w:rsidRDefault="00830E92" w:rsidP="008B7A8F">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$0</w:t>
            </w:r>
          </w:p>
        </w:tc>
        <w:tc>
          <w:tcPr>
            <w:tcW w:w="1266" w:type="dxa"/>
            <w:noWrap/>
            <w:hideMark/>
          </w:tcPr>
          <w:p w14:paraId="1E76D105" w14:textId="7E6A69A4" w:rsidR="00830E92" w:rsidRPr="000973F2" w:rsidRDefault="00830E92" w:rsidP="008B7A8F">
            <w:pPr>
              <w:tabs>
                <w:tab w:val="decimal" w:pos="661"/>
              </w:tabs>
              <w:spacing w:before="40" w:after="4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$2</w:t>
            </w:r>
            <w:r w:rsidR="00A043F9" w:rsidRPr="000973F2">
              <w:rPr>
                <w:rFonts w:ascii="Times New Roman" w:eastAsia="Times New Roman" w:hAnsi="Times New Roman" w:cs="Times New Roman"/>
                <w:sz w:val="18"/>
                <w:szCs w:val="18"/>
              </w:rPr>
              <w:t>6</w:t>
            </w:r>
            <w:r w:rsidRPr="000973F2">
              <w:rPr>
                <w:rFonts w:ascii="Times New Roman" w:eastAsia="Times New Roman" w:hAnsi="Times New Roman" w:cs="Times New Roman"/>
                <w:sz w:val="18"/>
                <w:szCs w:val="18"/>
              </w:rPr>
              <w:t>0</w:t>
            </w:r>
          </w:p>
        </w:tc>
        <w:tc>
          <w:tcPr>
            <w:tcW w:w="1308" w:type="dxa"/>
            <w:noWrap/>
            <w:hideMark/>
          </w:tcPr>
          <w:p w14:paraId="4F3D79D8" w14:textId="77777777" w:rsidR="00830E92" w:rsidRPr="000973F2" w:rsidRDefault="00830E92" w:rsidP="008B7A8F">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$0</w:t>
            </w:r>
          </w:p>
        </w:tc>
        <w:tc>
          <w:tcPr>
            <w:tcW w:w="1287" w:type="dxa"/>
            <w:noWrap/>
            <w:hideMark/>
          </w:tcPr>
          <w:p w14:paraId="047822D2" w14:textId="5363BABA" w:rsidR="00830E92" w:rsidRPr="000973F2" w:rsidRDefault="00830E92" w:rsidP="008B7A8F">
            <w:pPr>
              <w:tabs>
                <w:tab w:val="decimal" w:pos="601"/>
              </w:tabs>
              <w:spacing w:before="40" w:after="4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$2</w:t>
            </w:r>
            <w:r w:rsidR="00A043F9" w:rsidRPr="000973F2">
              <w:rPr>
                <w:rFonts w:ascii="Times New Roman" w:eastAsia="Times New Roman" w:hAnsi="Times New Roman" w:cs="Times New Roman"/>
                <w:sz w:val="18"/>
                <w:szCs w:val="18"/>
              </w:rPr>
              <w:t>6</w:t>
            </w:r>
            <w:r w:rsidRPr="000973F2">
              <w:rPr>
                <w:rFonts w:ascii="Times New Roman" w:eastAsia="Times New Roman" w:hAnsi="Times New Roman" w:cs="Times New Roman"/>
                <w:sz w:val="18"/>
                <w:szCs w:val="18"/>
              </w:rPr>
              <w:t>0</w:t>
            </w:r>
          </w:p>
        </w:tc>
      </w:tr>
    </w:tbl>
    <w:p w14:paraId="1C128A36" w14:textId="77777777" w:rsidR="00830E92" w:rsidRPr="000973F2" w:rsidRDefault="00830E92" w:rsidP="00C00E4F">
      <w:pPr>
        <w:spacing w:line="240" w:lineRule="auto"/>
        <w:rPr>
          <w:rFonts w:ascii="Times New Roman" w:hAnsi="Times New Roman" w:cs="Times New Roman"/>
          <w:i/>
          <w:sz w:val="24"/>
          <w:szCs w:val="24"/>
        </w:rPr>
      </w:pPr>
    </w:p>
    <w:p w14:paraId="0E4CF9C2" w14:textId="77777777" w:rsidR="00830E92" w:rsidRPr="000973F2" w:rsidRDefault="00830E92" w:rsidP="00C00E4F">
      <w:pPr>
        <w:spacing w:line="240" w:lineRule="auto"/>
        <w:rPr>
          <w:rFonts w:ascii="Times New Roman" w:hAnsi="Times New Roman" w:cs="Times New Roman"/>
          <w:b/>
          <w:i/>
          <w:szCs w:val="24"/>
        </w:rPr>
      </w:pPr>
      <w:r w:rsidRPr="000973F2">
        <w:rPr>
          <w:rFonts w:ascii="Times New Roman" w:hAnsi="Times New Roman" w:cs="Times New Roman"/>
          <w:b/>
          <w:i/>
          <w:szCs w:val="24"/>
        </w:rPr>
        <w:br w:type="page"/>
      </w:r>
    </w:p>
    <w:p w14:paraId="3A164D89" w14:textId="77777777" w:rsidR="00830E92" w:rsidRPr="000973F2" w:rsidRDefault="00830E92" w:rsidP="00AA79CA">
      <w:pPr>
        <w:pStyle w:val="Heading2"/>
      </w:pPr>
      <w:r w:rsidRPr="000973F2">
        <w:t>Labor Costs for Subpart P – Mass Balance Option; Natural Gas and Fuel Gas, Multiple Units</w:t>
      </w:r>
    </w:p>
    <w:p w14:paraId="04A9543E" w14:textId="11897E5D" w:rsidR="00830E92" w:rsidRPr="000973F2" w:rsidRDefault="00830E92" w:rsidP="00AA79CA">
      <w:pPr>
        <w:pStyle w:val="BodyText"/>
      </w:pPr>
      <w:r w:rsidRPr="000973F2">
        <w:t xml:space="preserve">Table </w:t>
      </w:r>
      <w:r w:rsidR="00AA79CA" w:rsidRPr="000973F2">
        <w:t>P-</w:t>
      </w:r>
      <w:r w:rsidRPr="000973F2">
        <w:t xml:space="preserve">1d presents the estimated labor costs for the mass balance option using both natural gas and fuel gas with multiple units. There are 34 existing </w:t>
      </w:r>
      <w:r w:rsidR="00F825DF" w:rsidRPr="000973F2">
        <w:t>facilities</w:t>
      </w:r>
      <w:r w:rsidRPr="000973F2">
        <w:t xml:space="preserve"> using this combination of methodological option and fuel or feedstock with multiple units. No new reporting facilities are expected to use the mass balance approach with both natural gas and fuel gas in the 3-year period covered by the ICR. Sampling and analysis to determine the molecular weight and carbon content of natural gas streams is performed annually, whereas sampling and analysis of fuel gas streams to determine molecular weight and carbon content is performed weekly. Initial year costs apply to new reporting facilities; therefore, those costs are zero in the table below. Recordkeeping and reporting hours are based on the “medium bin” designation, as discussed in the Cost Appendix Introduction.</w:t>
      </w:r>
    </w:p>
    <w:p w14:paraId="42AEBEA7" w14:textId="6CDA37B2" w:rsidR="00486498" w:rsidRPr="000973F2" w:rsidRDefault="00486498" w:rsidP="00AA79CA">
      <w:pPr>
        <w:pStyle w:val="Tabletitle"/>
      </w:pPr>
      <w:r w:rsidRPr="000973F2">
        <w:t xml:space="preserve">Table </w:t>
      </w:r>
      <w:r w:rsidR="00AA79CA" w:rsidRPr="000973F2">
        <w:t>P-</w:t>
      </w:r>
      <w:r w:rsidRPr="000973F2">
        <w:t>1d.</w:t>
      </w:r>
      <w:r w:rsidR="000B7C05" w:rsidRPr="000973F2">
        <w:t xml:space="preserve"> </w:t>
      </w:r>
      <w:r w:rsidRPr="000973F2">
        <w:t xml:space="preserve">Labor Costs </w:t>
      </w:r>
      <w:r w:rsidR="00BD4AE7" w:rsidRPr="000973F2">
        <w:rPr>
          <w:b w:val="0"/>
        </w:rPr>
        <w:t>–</w:t>
      </w:r>
      <w:r w:rsidRPr="000973F2">
        <w:t xml:space="preserve"> Subpart P – Mass Balance Option; Natural Gas and Fuel Gas, Multiple Units</w:t>
      </w:r>
    </w:p>
    <w:tbl>
      <w:tblPr>
        <w:tblStyle w:val="PlainTable1"/>
        <w:tblW w:w="5000" w:type="pct"/>
        <w:jc w:val="left"/>
        <w:tblLook w:val="04A0" w:firstRow="1" w:lastRow="0" w:firstColumn="1" w:lastColumn="0" w:noHBand="0" w:noVBand="1"/>
      </w:tblPr>
      <w:tblGrid>
        <w:gridCol w:w="1365"/>
        <w:gridCol w:w="730"/>
        <w:gridCol w:w="850"/>
        <w:gridCol w:w="730"/>
        <w:gridCol w:w="850"/>
        <w:gridCol w:w="879"/>
        <w:gridCol w:w="1023"/>
        <w:gridCol w:w="730"/>
        <w:gridCol w:w="850"/>
        <w:gridCol w:w="719"/>
        <w:gridCol w:w="850"/>
      </w:tblGrid>
      <w:tr w:rsidR="00830E92" w:rsidRPr="000973F2" w14:paraId="5C9655BD" w14:textId="77777777" w:rsidTr="00B926DD">
        <w:trPr>
          <w:cnfStyle w:val="100000000000" w:firstRow="1" w:lastRow="0" w:firstColumn="0" w:lastColumn="0" w:oddVBand="0" w:evenVBand="0" w:oddHBand="0" w:evenHBand="0" w:firstRowFirstColumn="0" w:firstRowLastColumn="0" w:lastRowFirstColumn="0" w:lastRowLastColumn="0"/>
          <w:cantSplit/>
          <w:jc w:val="left"/>
        </w:trPr>
        <w:tc>
          <w:tcPr>
            <w:cnfStyle w:val="001000000000" w:firstRow="0" w:lastRow="0" w:firstColumn="1" w:lastColumn="0" w:oddVBand="0" w:evenVBand="0" w:oddHBand="0" w:evenHBand="0" w:firstRowFirstColumn="0" w:firstRowLastColumn="0" w:lastRowFirstColumn="0" w:lastRowLastColumn="0"/>
            <w:tcW w:w="1331" w:type="dxa"/>
            <w:vMerge w:val="restart"/>
            <w:noWrap/>
            <w:vAlign w:val="top"/>
            <w:hideMark/>
          </w:tcPr>
          <w:p w14:paraId="202489B2" w14:textId="77777777" w:rsidR="00830E92" w:rsidRPr="000973F2" w:rsidRDefault="00830E92" w:rsidP="00AA79CA">
            <w:pPr>
              <w:spacing w:before="40" w:after="40"/>
              <w:rPr>
                <w:rFonts w:ascii="Times New Roman" w:eastAsia="Times New Roman" w:hAnsi="Times New Roman" w:cs="Times New Roman"/>
                <w:bCs w:val="0"/>
                <w:sz w:val="18"/>
                <w:szCs w:val="18"/>
              </w:rPr>
            </w:pPr>
            <w:r w:rsidRPr="000973F2">
              <w:rPr>
                <w:rFonts w:ascii="Times New Roman" w:eastAsia="Times New Roman" w:hAnsi="Times New Roman" w:cs="Times New Roman"/>
                <w:sz w:val="18"/>
                <w:szCs w:val="18"/>
              </w:rPr>
              <w:t>Activity</w:t>
            </w:r>
          </w:p>
        </w:tc>
        <w:tc>
          <w:tcPr>
            <w:tcW w:w="6470" w:type="dxa"/>
            <w:gridSpan w:val="8"/>
            <w:noWrap/>
            <w:vAlign w:val="top"/>
            <w:hideMark/>
          </w:tcPr>
          <w:p w14:paraId="34C33061" w14:textId="77777777" w:rsidR="00830E92" w:rsidRPr="000973F2" w:rsidRDefault="00830E92" w:rsidP="00AA79CA">
            <w:pPr>
              <w:spacing w:before="40" w:after="40"/>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Cs w:val="0"/>
                <w:sz w:val="18"/>
                <w:szCs w:val="18"/>
              </w:rPr>
            </w:pPr>
            <w:r w:rsidRPr="000973F2">
              <w:rPr>
                <w:rFonts w:ascii="Times New Roman" w:eastAsia="Times New Roman" w:hAnsi="Times New Roman" w:cs="Times New Roman"/>
                <w:bCs w:val="0"/>
                <w:sz w:val="18"/>
                <w:szCs w:val="18"/>
              </w:rPr>
              <w:t>Labor Rates (per hour)</w:t>
            </w:r>
          </w:p>
        </w:tc>
        <w:tc>
          <w:tcPr>
            <w:tcW w:w="1529" w:type="dxa"/>
            <w:gridSpan w:val="2"/>
            <w:vMerge w:val="restart"/>
            <w:vAlign w:val="top"/>
            <w:hideMark/>
          </w:tcPr>
          <w:p w14:paraId="3F23D45A" w14:textId="77777777" w:rsidR="00830E92" w:rsidRPr="000973F2" w:rsidRDefault="00830E92" w:rsidP="00AA79CA">
            <w:pPr>
              <w:spacing w:before="40" w:after="40"/>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Cs w:val="0"/>
                <w:sz w:val="18"/>
                <w:szCs w:val="18"/>
              </w:rPr>
            </w:pPr>
            <w:r w:rsidRPr="000973F2">
              <w:rPr>
                <w:rFonts w:ascii="Times New Roman" w:eastAsia="Times New Roman" w:hAnsi="Times New Roman" w:cs="Times New Roman"/>
                <w:bCs w:val="0"/>
                <w:sz w:val="18"/>
                <w:szCs w:val="18"/>
              </w:rPr>
              <w:t>Total Labor Cost per Year per Facility (2017$)</w:t>
            </w:r>
          </w:p>
        </w:tc>
      </w:tr>
      <w:tr w:rsidR="006F409A" w:rsidRPr="000973F2" w14:paraId="49D0664E" w14:textId="77777777" w:rsidTr="00B926DD">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1331" w:type="dxa"/>
            <w:vMerge/>
            <w:hideMark/>
          </w:tcPr>
          <w:p w14:paraId="0E6413B9" w14:textId="77777777" w:rsidR="00830E92" w:rsidRPr="000973F2" w:rsidRDefault="00830E92" w:rsidP="00AA79CA">
            <w:pPr>
              <w:spacing w:before="40" w:after="40"/>
              <w:rPr>
                <w:rFonts w:ascii="Times New Roman" w:eastAsia="Times New Roman" w:hAnsi="Times New Roman" w:cs="Times New Roman"/>
                <w:b/>
                <w:bCs w:val="0"/>
                <w:sz w:val="18"/>
                <w:szCs w:val="18"/>
              </w:rPr>
            </w:pPr>
          </w:p>
        </w:tc>
        <w:tc>
          <w:tcPr>
            <w:tcW w:w="1539" w:type="dxa"/>
            <w:gridSpan w:val="2"/>
            <w:noWrap/>
            <w:hideMark/>
          </w:tcPr>
          <w:p w14:paraId="30554E70" w14:textId="77777777" w:rsidR="00830E92" w:rsidRPr="000973F2" w:rsidRDefault="00830E92" w:rsidP="00AA79CA">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18"/>
                <w:szCs w:val="18"/>
              </w:rPr>
            </w:pPr>
            <w:r w:rsidRPr="000973F2">
              <w:rPr>
                <w:rFonts w:ascii="Times New Roman" w:eastAsia="Times New Roman" w:hAnsi="Times New Roman" w:cs="Times New Roman"/>
                <w:b/>
                <w:bCs/>
                <w:sz w:val="18"/>
                <w:szCs w:val="18"/>
              </w:rPr>
              <w:t>Lawyer</w:t>
            </w:r>
          </w:p>
        </w:tc>
        <w:tc>
          <w:tcPr>
            <w:tcW w:w="1539" w:type="dxa"/>
            <w:gridSpan w:val="2"/>
            <w:noWrap/>
            <w:hideMark/>
          </w:tcPr>
          <w:p w14:paraId="53AEFB4C" w14:textId="77777777" w:rsidR="00830E92" w:rsidRPr="000973F2" w:rsidRDefault="00830E92" w:rsidP="00AA79CA">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18"/>
                <w:szCs w:val="18"/>
              </w:rPr>
            </w:pPr>
            <w:r w:rsidRPr="000973F2">
              <w:rPr>
                <w:rFonts w:ascii="Times New Roman" w:eastAsia="Times New Roman" w:hAnsi="Times New Roman" w:cs="Times New Roman"/>
                <w:b/>
                <w:bCs/>
                <w:sz w:val="18"/>
                <w:szCs w:val="18"/>
              </w:rPr>
              <w:t>Industrial Manager</w:t>
            </w:r>
          </w:p>
        </w:tc>
        <w:tc>
          <w:tcPr>
            <w:tcW w:w="1853" w:type="dxa"/>
            <w:gridSpan w:val="2"/>
            <w:hideMark/>
          </w:tcPr>
          <w:p w14:paraId="7AEB7FED" w14:textId="77777777" w:rsidR="00830E92" w:rsidRPr="000973F2" w:rsidRDefault="00830E92" w:rsidP="00AA79CA">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18"/>
                <w:szCs w:val="18"/>
              </w:rPr>
            </w:pPr>
            <w:r w:rsidRPr="000973F2">
              <w:rPr>
                <w:rFonts w:ascii="Times New Roman" w:eastAsia="Times New Roman" w:hAnsi="Times New Roman" w:cs="Times New Roman"/>
                <w:b/>
                <w:bCs/>
                <w:sz w:val="18"/>
                <w:szCs w:val="18"/>
              </w:rPr>
              <w:t>Industrial Engineer/Technician</w:t>
            </w:r>
          </w:p>
        </w:tc>
        <w:tc>
          <w:tcPr>
            <w:tcW w:w="1539" w:type="dxa"/>
            <w:gridSpan w:val="2"/>
            <w:hideMark/>
          </w:tcPr>
          <w:p w14:paraId="3797A7D3" w14:textId="77777777" w:rsidR="00830E92" w:rsidRPr="000973F2" w:rsidRDefault="00830E92" w:rsidP="00AA79CA">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18"/>
                <w:szCs w:val="18"/>
              </w:rPr>
            </w:pPr>
            <w:r w:rsidRPr="000973F2">
              <w:rPr>
                <w:rFonts w:ascii="Times New Roman" w:eastAsia="Times New Roman" w:hAnsi="Times New Roman" w:cs="Times New Roman"/>
                <w:b/>
                <w:bCs/>
                <w:sz w:val="18"/>
                <w:szCs w:val="18"/>
              </w:rPr>
              <w:t>Administrative Support</w:t>
            </w:r>
          </w:p>
        </w:tc>
        <w:tc>
          <w:tcPr>
            <w:tcW w:w="1529" w:type="dxa"/>
            <w:gridSpan w:val="2"/>
            <w:vMerge/>
            <w:hideMark/>
          </w:tcPr>
          <w:p w14:paraId="500E25E3" w14:textId="77777777" w:rsidR="00830E92" w:rsidRPr="000973F2" w:rsidRDefault="00830E92" w:rsidP="00AA79CA">
            <w:pPr>
              <w:spacing w:before="40" w:after="4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18"/>
                <w:szCs w:val="18"/>
              </w:rPr>
            </w:pPr>
          </w:p>
        </w:tc>
      </w:tr>
      <w:tr w:rsidR="006F409A" w:rsidRPr="000973F2" w14:paraId="35D8F3FB" w14:textId="77777777" w:rsidTr="00B926DD">
        <w:trPr>
          <w:cantSplit/>
        </w:trPr>
        <w:tc>
          <w:tcPr>
            <w:cnfStyle w:val="001000000000" w:firstRow="0" w:lastRow="0" w:firstColumn="1" w:lastColumn="0" w:oddVBand="0" w:evenVBand="0" w:oddHBand="0" w:evenHBand="0" w:firstRowFirstColumn="0" w:firstRowLastColumn="0" w:lastRowFirstColumn="0" w:lastRowLastColumn="0"/>
            <w:tcW w:w="1331" w:type="dxa"/>
            <w:vMerge/>
            <w:hideMark/>
          </w:tcPr>
          <w:p w14:paraId="5AF1AD4E" w14:textId="77777777" w:rsidR="00830E92" w:rsidRPr="000973F2" w:rsidRDefault="00830E92" w:rsidP="00AA79CA">
            <w:pPr>
              <w:spacing w:before="40" w:after="40"/>
              <w:rPr>
                <w:rFonts w:ascii="Times New Roman" w:eastAsia="Times New Roman" w:hAnsi="Times New Roman" w:cs="Times New Roman"/>
                <w:b/>
                <w:bCs w:val="0"/>
                <w:sz w:val="18"/>
                <w:szCs w:val="18"/>
              </w:rPr>
            </w:pPr>
          </w:p>
        </w:tc>
        <w:tc>
          <w:tcPr>
            <w:tcW w:w="1539" w:type="dxa"/>
            <w:gridSpan w:val="2"/>
            <w:noWrap/>
            <w:hideMark/>
          </w:tcPr>
          <w:p w14:paraId="0492638E" w14:textId="77777777" w:rsidR="00830E92" w:rsidRPr="000973F2" w:rsidRDefault="00830E92" w:rsidP="00AA79CA">
            <w:pPr>
              <w:spacing w:before="40" w:after="4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sz w:val="18"/>
                <w:szCs w:val="18"/>
              </w:rPr>
            </w:pPr>
            <w:r w:rsidRPr="000973F2">
              <w:rPr>
                <w:rFonts w:ascii="Times New Roman" w:eastAsia="Times New Roman" w:hAnsi="Times New Roman" w:cs="Times New Roman"/>
                <w:b/>
                <w:bCs/>
                <w:sz w:val="18"/>
                <w:szCs w:val="18"/>
              </w:rPr>
              <w:t xml:space="preserve">$112.23 </w:t>
            </w:r>
          </w:p>
        </w:tc>
        <w:tc>
          <w:tcPr>
            <w:tcW w:w="1539" w:type="dxa"/>
            <w:gridSpan w:val="2"/>
            <w:noWrap/>
            <w:hideMark/>
          </w:tcPr>
          <w:p w14:paraId="7F01E65F" w14:textId="77777777" w:rsidR="00830E92" w:rsidRPr="000973F2" w:rsidRDefault="00830E92" w:rsidP="00AA79CA">
            <w:pPr>
              <w:spacing w:before="40" w:after="4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sz w:val="18"/>
                <w:szCs w:val="18"/>
              </w:rPr>
            </w:pPr>
            <w:r w:rsidRPr="000973F2">
              <w:rPr>
                <w:rFonts w:ascii="Times New Roman" w:eastAsia="Times New Roman" w:hAnsi="Times New Roman" w:cs="Times New Roman"/>
                <w:b/>
                <w:bCs/>
                <w:sz w:val="18"/>
                <w:szCs w:val="18"/>
              </w:rPr>
              <w:t xml:space="preserve">$87.45 </w:t>
            </w:r>
          </w:p>
        </w:tc>
        <w:tc>
          <w:tcPr>
            <w:tcW w:w="1853" w:type="dxa"/>
            <w:gridSpan w:val="2"/>
            <w:noWrap/>
            <w:hideMark/>
          </w:tcPr>
          <w:p w14:paraId="06EFB5AA" w14:textId="77777777" w:rsidR="00830E92" w:rsidRPr="000973F2" w:rsidRDefault="00830E92" w:rsidP="00AA79CA">
            <w:pPr>
              <w:spacing w:before="40" w:after="4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sz w:val="18"/>
                <w:szCs w:val="18"/>
              </w:rPr>
            </w:pPr>
            <w:r w:rsidRPr="000973F2">
              <w:rPr>
                <w:rFonts w:ascii="Times New Roman" w:eastAsia="Times New Roman" w:hAnsi="Times New Roman" w:cs="Times New Roman"/>
                <w:b/>
                <w:bCs/>
                <w:sz w:val="18"/>
                <w:szCs w:val="18"/>
              </w:rPr>
              <w:t xml:space="preserve">$71.45 </w:t>
            </w:r>
          </w:p>
        </w:tc>
        <w:tc>
          <w:tcPr>
            <w:tcW w:w="1539" w:type="dxa"/>
            <w:gridSpan w:val="2"/>
            <w:noWrap/>
            <w:hideMark/>
          </w:tcPr>
          <w:p w14:paraId="3518E4A5" w14:textId="77777777" w:rsidR="00830E92" w:rsidRPr="000973F2" w:rsidRDefault="00830E92" w:rsidP="00AA79CA">
            <w:pPr>
              <w:spacing w:before="40" w:after="4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sz w:val="18"/>
                <w:szCs w:val="18"/>
              </w:rPr>
            </w:pPr>
            <w:r w:rsidRPr="000973F2">
              <w:rPr>
                <w:rFonts w:ascii="Times New Roman" w:eastAsia="Times New Roman" w:hAnsi="Times New Roman" w:cs="Times New Roman"/>
                <w:b/>
                <w:bCs/>
                <w:sz w:val="18"/>
                <w:szCs w:val="18"/>
              </w:rPr>
              <w:t xml:space="preserve">$36.28 </w:t>
            </w:r>
          </w:p>
        </w:tc>
        <w:tc>
          <w:tcPr>
            <w:tcW w:w="1529" w:type="dxa"/>
            <w:gridSpan w:val="2"/>
            <w:vMerge/>
            <w:hideMark/>
          </w:tcPr>
          <w:p w14:paraId="17085606" w14:textId="77777777" w:rsidR="00830E92" w:rsidRPr="000973F2" w:rsidRDefault="00830E92" w:rsidP="00AA79CA">
            <w:pPr>
              <w:spacing w:before="40" w:after="4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sz w:val="18"/>
                <w:szCs w:val="18"/>
              </w:rPr>
            </w:pPr>
          </w:p>
        </w:tc>
      </w:tr>
      <w:tr w:rsidR="00DF58A5" w:rsidRPr="000973F2" w14:paraId="405F94C0" w14:textId="77777777" w:rsidTr="00AA79CA">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1331" w:type="dxa"/>
            <w:vMerge/>
            <w:hideMark/>
          </w:tcPr>
          <w:p w14:paraId="5F14A8D1" w14:textId="77777777" w:rsidR="00830E92" w:rsidRPr="000973F2" w:rsidRDefault="00830E92" w:rsidP="00AA79CA">
            <w:pPr>
              <w:spacing w:before="40" w:after="40"/>
              <w:rPr>
                <w:rFonts w:ascii="Times New Roman" w:eastAsia="Times New Roman" w:hAnsi="Times New Roman" w:cs="Times New Roman"/>
                <w:b/>
                <w:bCs w:val="0"/>
                <w:sz w:val="18"/>
                <w:szCs w:val="18"/>
              </w:rPr>
            </w:pPr>
          </w:p>
        </w:tc>
        <w:tc>
          <w:tcPr>
            <w:tcW w:w="711" w:type="dxa"/>
            <w:hideMark/>
          </w:tcPr>
          <w:p w14:paraId="4A0B1E87" w14:textId="65B93426" w:rsidR="00830E92" w:rsidRPr="000973F2" w:rsidRDefault="00830E92" w:rsidP="00AA79CA">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18"/>
                <w:szCs w:val="18"/>
              </w:rPr>
            </w:pPr>
            <w:r w:rsidRPr="000973F2">
              <w:rPr>
                <w:rFonts w:ascii="Times New Roman" w:eastAsia="Times New Roman" w:hAnsi="Times New Roman" w:cs="Times New Roman"/>
                <w:b/>
                <w:bCs/>
                <w:sz w:val="18"/>
                <w:szCs w:val="18"/>
              </w:rPr>
              <w:t xml:space="preserve">Initial </w:t>
            </w:r>
            <w:r w:rsidR="00132320" w:rsidRPr="000973F2">
              <w:rPr>
                <w:rFonts w:ascii="Times New Roman" w:eastAsia="Times New Roman" w:hAnsi="Times New Roman" w:cs="Times New Roman"/>
                <w:b/>
                <w:bCs/>
                <w:sz w:val="18"/>
                <w:szCs w:val="18"/>
              </w:rPr>
              <w:t>Year Hours</w:t>
            </w:r>
          </w:p>
        </w:tc>
        <w:tc>
          <w:tcPr>
            <w:tcW w:w="828" w:type="dxa"/>
            <w:hideMark/>
          </w:tcPr>
          <w:p w14:paraId="18A9C62C" w14:textId="1D119C67" w:rsidR="00830E92" w:rsidRPr="000973F2" w:rsidRDefault="00830E92" w:rsidP="00AA79CA">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18"/>
                <w:szCs w:val="18"/>
              </w:rPr>
            </w:pPr>
            <w:r w:rsidRPr="000973F2">
              <w:rPr>
                <w:rFonts w:ascii="Times New Roman" w:eastAsia="Times New Roman" w:hAnsi="Times New Roman" w:cs="Times New Roman"/>
                <w:b/>
                <w:bCs/>
                <w:sz w:val="18"/>
                <w:szCs w:val="18"/>
              </w:rPr>
              <w:t xml:space="preserve">Subseq. </w:t>
            </w:r>
            <w:r w:rsidR="00132320" w:rsidRPr="000973F2">
              <w:rPr>
                <w:rFonts w:ascii="Times New Roman" w:eastAsia="Times New Roman" w:hAnsi="Times New Roman" w:cs="Times New Roman"/>
                <w:b/>
                <w:bCs/>
                <w:sz w:val="18"/>
                <w:szCs w:val="18"/>
              </w:rPr>
              <w:t>Year Hours</w:t>
            </w:r>
          </w:p>
        </w:tc>
        <w:tc>
          <w:tcPr>
            <w:tcW w:w="711" w:type="dxa"/>
            <w:hideMark/>
          </w:tcPr>
          <w:p w14:paraId="406C0B1F" w14:textId="5861B9A3" w:rsidR="00830E92" w:rsidRPr="000973F2" w:rsidRDefault="00830E92" w:rsidP="00AA79CA">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18"/>
                <w:szCs w:val="18"/>
              </w:rPr>
            </w:pPr>
            <w:r w:rsidRPr="000973F2">
              <w:rPr>
                <w:rFonts w:ascii="Times New Roman" w:eastAsia="Times New Roman" w:hAnsi="Times New Roman" w:cs="Times New Roman"/>
                <w:b/>
                <w:bCs/>
                <w:sz w:val="18"/>
                <w:szCs w:val="18"/>
              </w:rPr>
              <w:t xml:space="preserve">Initial </w:t>
            </w:r>
            <w:r w:rsidR="00132320" w:rsidRPr="000973F2">
              <w:rPr>
                <w:rFonts w:ascii="Times New Roman" w:eastAsia="Times New Roman" w:hAnsi="Times New Roman" w:cs="Times New Roman"/>
                <w:b/>
                <w:bCs/>
                <w:sz w:val="18"/>
                <w:szCs w:val="18"/>
              </w:rPr>
              <w:t>Year Hours</w:t>
            </w:r>
          </w:p>
        </w:tc>
        <w:tc>
          <w:tcPr>
            <w:tcW w:w="828" w:type="dxa"/>
            <w:hideMark/>
          </w:tcPr>
          <w:p w14:paraId="15CF4D6A" w14:textId="15164CDC" w:rsidR="00830E92" w:rsidRPr="000973F2" w:rsidRDefault="00830E92" w:rsidP="00AA79CA">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18"/>
                <w:szCs w:val="18"/>
              </w:rPr>
            </w:pPr>
            <w:r w:rsidRPr="000973F2">
              <w:rPr>
                <w:rFonts w:ascii="Times New Roman" w:eastAsia="Times New Roman" w:hAnsi="Times New Roman" w:cs="Times New Roman"/>
                <w:b/>
                <w:bCs/>
                <w:sz w:val="18"/>
                <w:szCs w:val="18"/>
              </w:rPr>
              <w:t xml:space="preserve">Subseq. </w:t>
            </w:r>
            <w:r w:rsidR="00132320" w:rsidRPr="000973F2">
              <w:rPr>
                <w:rFonts w:ascii="Times New Roman" w:eastAsia="Times New Roman" w:hAnsi="Times New Roman" w:cs="Times New Roman"/>
                <w:b/>
                <w:bCs/>
                <w:sz w:val="18"/>
                <w:szCs w:val="18"/>
              </w:rPr>
              <w:t>Year Hours</w:t>
            </w:r>
          </w:p>
        </w:tc>
        <w:tc>
          <w:tcPr>
            <w:tcW w:w="856" w:type="dxa"/>
            <w:hideMark/>
          </w:tcPr>
          <w:p w14:paraId="5451888F" w14:textId="7BC11991" w:rsidR="00830E92" w:rsidRPr="000973F2" w:rsidRDefault="00830E92" w:rsidP="00AA79CA">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18"/>
                <w:szCs w:val="18"/>
              </w:rPr>
            </w:pPr>
            <w:r w:rsidRPr="000973F2">
              <w:rPr>
                <w:rFonts w:ascii="Times New Roman" w:eastAsia="Times New Roman" w:hAnsi="Times New Roman" w:cs="Times New Roman"/>
                <w:b/>
                <w:bCs/>
                <w:sz w:val="18"/>
                <w:szCs w:val="18"/>
              </w:rPr>
              <w:t xml:space="preserve">Initial </w:t>
            </w:r>
            <w:r w:rsidR="00132320" w:rsidRPr="000973F2">
              <w:rPr>
                <w:rFonts w:ascii="Times New Roman" w:eastAsia="Times New Roman" w:hAnsi="Times New Roman" w:cs="Times New Roman"/>
                <w:b/>
                <w:bCs/>
                <w:sz w:val="18"/>
                <w:szCs w:val="18"/>
              </w:rPr>
              <w:t>Year Hours</w:t>
            </w:r>
          </w:p>
        </w:tc>
        <w:tc>
          <w:tcPr>
            <w:tcW w:w="997" w:type="dxa"/>
            <w:hideMark/>
          </w:tcPr>
          <w:p w14:paraId="6BB9DCDC" w14:textId="7ED8C3B9" w:rsidR="00830E92" w:rsidRPr="000973F2" w:rsidRDefault="00830E92" w:rsidP="00AA79CA">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18"/>
                <w:szCs w:val="18"/>
              </w:rPr>
            </w:pPr>
            <w:r w:rsidRPr="000973F2">
              <w:rPr>
                <w:rFonts w:ascii="Times New Roman" w:eastAsia="Times New Roman" w:hAnsi="Times New Roman" w:cs="Times New Roman"/>
                <w:b/>
                <w:bCs/>
                <w:sz w:val="18"/>
                <w:szCs w:val="18"/>
              </w:rPr>
              <w:t xml:space="preserve">Subseq. </w:t>
            </w:r>
            <w:r w:rsidR="00132320" w:rsidRPr="000973F2">
              <w:rPr>
                <w:rFonts w:ascii="Times New Roman" w:eastAsia="Times New Roman" w:hAnsi="Times New Roman" w:cs="Times New Roman"/>
                <w:b/>
                <w:bCs/>
                <w:sz w:val="18"/>
                <w:szCs w:val="18"/>
              </w:rPr>
              <w:t>Year Hours</w:t>
            </w:r>
          </w:p>
        </w:tc>
        <w:tc>
          <w:tcPr>
            <w:tcW w:w="711" w:type="dxa"/>
            <w:hideMark/>
          </w:tcPr>
          <w:p w14:paraId="3E1C6F4E" w14:textId="2296F1AF" w:rsidR="00830E92" w:rsidRPr="000973F2" w:rsidRDefault="00830E92" w:rsidP="00AA79CA">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18"/>
                <w:szCs w:val="18"/>
              </w:rPr>
            </w:pPr>
            <w:r w:rsidRPr="000973F2">
              <w:rPr>
                <w:rFonts w:ascii="Times New Roman" w:eastAsia="Times New Roman" w:hAnsi="Times New Roman" w:cs="Times New Roman"/>
                <w:b/>
                <w:bCs/>
                <w:sz w:val="18"/>
                <w:szCs w:val="18"/>
              </w:rPr>
              <w:t xml:space="preserve">Initial </w:t>
            </w:r>
            <w:r w:rsidR="00132320" w:rsidRPr="000973F2">
              <w:rPr>
                <w:rFonts w:ascii="Times New Roman" w:eastAsia="Times New Roman" w:hAnsi="Times New Roman" w:cs="Times New Roman"/>
                <w:b/>
                <w:bCs/>
                <w:sz w:val="18"/>
                <w:szCs w:val="18"/>
              </w:rPr>
              <w:t>Year Hours</w:t>
            </w:r>
          </w:p>
        </w:tc>
        <w:tc>
          <w:tcPr>
            <w:tcW w:w="828" w:type="dxa"/>
            <w:hideMark/>
          </w:tcPr>
          <w:p w14:paraId="27981D5D" w14:textId="27A8ACB2" w:rsidR="00830E92" w:rsidRPr="000973F2" w:rsidRDefault="00830E92" w:rsidP="00AA79CA">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18"/>
                <w:szCs w:val="18"/>
              </w:rPr>
            </w:pPr>
            <w:r w:rsidRPr="000973F2">
              <w:rPr>
                <w:rFonts w:ascii="Times New Roman" w:eastAsia="Times New Roman" w:hAnsi="Times New Roman" w:cs="Times New Roman"/>
                <w:b/>
                <w:bCs/>
                <w:sz w:val="18"/>
                <w:szCs w:val="18"/>
              </w:rPr>
              <w:t xml:space="preserve">Subseq. </w:t>
            </w:r>
            <w:r w:rsidR="00132320" w:rsidRPr="000973F2">
              <w:rPr>
                <w:rFonts w:ascii="Times New Roman" w:eastAsia="Times New Roman" w:hAnsi="Times New Roman" w:cs="Times New Roman"/>
                <w:b/>
                <w:bCs/>
                <w:sz w:val="18"/>
                <w:szCs w:val="18"/>
              </w:rPr>
              <w:t>Year Hours</w:t>
            </w:r>
          </w:p>
        </w:tc>
        <w:tc>
          <w:tcPr>
            <w:tcW w:w="701" w:type="dxa"/>
            <w:hideMark/>
          </w:tcPr>
          <w:p w14:paraId="11AB32EF" w14:textId="77777777" w:rsidR="00830E92" w:rsidRPr="000973F2" w:rsidRDefault="00830E92" w:rsidP="00AA79CA">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18"/>
                <w:szCs w:val="18"/>
              </w:rPr>
            </w:pPr>
            <w:r w:rsidRPr="000973F2">
              <w:rPr>
                <w:rFonts w:ascii="Times New Roman" w:eastAsia="Times New Roman" w:hAnsi="Times New Roman" w:cs="Times New Roman"/>
                <w:b/>
                <w:bCs/>
                <w:sz w:val="18"/>
                <w:szCs w:val="18"/>
              </w:rPr>
              <w:t>Initial Year</w:t>
            </w:r>
          </w:p>
        </w:tc>
        <w:tc>
          <w:tcPr>
            <w:tcW w:w="828" w:type="dxa"/>
            <w:hideMark/>
          </w:tcPr>
          <w:p w14:paraId="6FCDAC80" w14:textId="77777777" w:rsidR="00830E92" w:rsidRPr="000973F2" w:rsidRDefault="00830E92" w:rsidP="00AA79CA">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18"/>
                <w:szCs w:val="18"/>
              </w:rPr>
            </w:pPr>
            <w:r w:rsidRPr="000973F2">
              <w:rPr>
                <w:rFonts w:ascii="Times New Roman" w:eastAsia="Times New Roman" w:hAnsi="Times New Roman" w:cs="Times New Roman"/>
                <w:b/>
                <w:bCs/>
                <w:sz w:val="18"/>
                <w:szCs w:val="18"/>
              </w:rPr>
              <w:t>Subseq. Year</w:t>
            </w:r>
          </w:p>
        </w:tc>
      </w:tr>
      <w:tr w:rsidR="00AA79CA" w:rsidRPr="000973F2" w14:paraId="426715E5" w14:textId="77777777" w:rsidTr="00AA79CA">
        <w:trPr>
          <w:cantSplit/>
        </w:trPr>
        <w:tc>
          <w:tcPr>
            <w:cnfStyle w:val="001000000000" w:firstRow="0" w:lastRow="0" w:firstColumn="1" w:lastColumn="0" w:oddVBand="0" w:evenVBand="0" w:oddHBand="0" w:evenHBand="0" w:firstRowFirstColumn="0" w:firstRowLastColumn="0" w:lastRowFirstColumn="0" w:lastRowLastColumn="0"/>
            <w:tcW w:w="1331" w:type="dxa"/>
            <w:hideMark/>
          </w:tcPr>
          <w:p w14:paraId="2DDA531B" w14:textId="77777777" w:rsidR="00830E92" w:rsidRPr="000973F2" w:rsidRDefault="00830E92" w:rsidP="00AA79CA">
            <w:pPr>
              <w:spacing w:before="40" w:after="4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Planning</w:t>
            </w:r>
          </w:p>
        </w:tc>
        <w:tc>
          <w:tcPr>
            <w:tcW w:w="711" w:type="dxa"/>
            <w:noWrap/>
            <w:hideMark/>
          </w:tcPr>
          <w:p w14:paraId="2BB305FB" w14:textId="77777777" w:rsidR="00830E92" w:rsidRPr="000973F2" w:rsidRDefault="00830E92" w:rsidP="00AA79CA">
            <w:pPr>
              <w:spacing w:before="40" w:after="4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0</w:t>
            </w:r>
          </w:p>
        </w:tc>
        <w:tc>
          <w:tcPr>
            <w:tcW w:w="828" w:type="dxa"/>
            <w:noWrap/>
            <w:hideMark/>
          </w:tcPr>
          <w:p w14:paraId="0DF9397D" w14:textId="77777777" w:rsidR="00830E92" w:rsidRPr="000973F2" w:rsidRDefault="00830E92" w:rsidP="00AA79CA">
            <w:pPr>
              <w:spacing w:before="40" w:after="4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0</w:t>
            </w:r>
          </w:p>
        </w:tc>
        <w:tc>
          <w:tcPr>
            <w:tcW w:w="711" w:type="dxa"/>
            <w:noWrap/>
            <w:hideMark/>
          </w:tcPr>
          <w:p w14:paraId="2D1F38F1" w14:textId="77777777" w:rsidR="00830E92" w:rsidRPr="000973F2" w:rsidRDefault="00830E92" w:rsidP="00AA79CA">
            <w:pPr>
              <w:spacing w:before="40" w:after="4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0</w:t>
            </w:r>
          </w:p>
        </w:tc>
        <w:tc>
          <w:tcPr>
            <w:tcW w:w="828" w:type="dxa"/>
            <w:noWrap/>
            <w:hideMark/>
          </w:tcPr>
          <w:p w14:paraId="21D848CC" w14:textId="77777777" w:rsidR="00830E92" w:rsidRPr="000973F2" w:rsidRDefault="00830E92" w:rsidP="00AA79CA">
            <w:pPr>
              <w:spacing w:before="40" w:after="4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0.4</w:t>
            </w:r>
          </w:p>
        </w:tc>
        <w:tc>
          <w:tcPr>
            <w:tcW w:w="856" w:type="dxa"/>
            <w:noWrap/>
            <w:hideMark/>
          </w:tcPr>
          <w:p w14:paraId="016D8C63" w14:textId="77777777" w:rsidR="00830E92" w:rsidRPr="000973F2" w:rsidRDefault="00830E92" w:rsidP="00AA79CA">
            <w:pPr>
              <w:spacing w:before="40" w:after="4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0</w:t>
            </w:r>
          </w:p>
        </w:tc>
        <w:tc>
          <w:tcPr>
            <w:tcW w:w="997" w:type="dxa"/>
            <w:noWrap/>
            <w:hideMark/>
          </w:tcPr>
          <w:p w14:paraId="62AF5002" w14:textId="77777777" w:rsidR="00830E92" w:rsidRPr="000973F2" w:rsidRDefault="00830E92" w:rsidP="00AA79CA">
            <w:pPr>
              <w:spacing w:before="40" w:after="4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4</w:t>
            </w:r>
          </w:p>
        </w:tc>
        <w:tc>
          <w:tcPr>
            <w:tcW w:w="711" w:type="dxa"/>
            <w:noWrap/>
            <w:hideMark/>
          </w:tcPr>
          <w:p w14:paraId="7A9D56B5" w14:textId="77777777" w:rsidR="00830E92" w:rsidRPr="000973F2" w:rsidRDefault="00830E92" w:rsidP="00AA79CA">
            <w:pPr>
              <w:spacing w:before="40" w:after="4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0</w:t>
            </w:r>
          </w:p>
        </w:tc>
        <w:tc>
          <w:tcPr>
            <w:tcW w:w="828" w:type="dxa"/>
            <w:noWrap/>
            <w:hideMark/>
          </w:tcPr>
          <w:p w14:paraId="01145E56" w14:textId="77777777" w:rsidR="00830E92" w:rsidRPr="000973F2" w:rsidRDefault="00830E92" w:rsidP="00AA79CA">
            <w:pPr>
              <w:tabs>
                <w:tab w:val="decimal" w:pos="286"/>
              </w:tabs>
              <w:spacing w:before="40" w:after="4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0.4</w:t>
            </w:r>
          </w:p>
        </w:tc>
        <w:tc>
          <w:tcPr>
            <w:tcW w:w="701" w:type="dxa"/>
            <w:noWrap/>
            <w:hideMark/>
          </w:tcPr>
          <w:p w14:paraId="0573B108" w14:textId="4A165CCB" w:rsidR="00830E92" w:rsidRPr="000973F2" w:rsidRDefault="00830E92" w:rsidP="00AA79CA">
            <w:pPr>
              <w:spacing w:before="40" w:after="4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$0</w:t>
            </w:r>
          </w:p>
        </w:tc>
        <w:tc>
          <w:tcPr>
            <w:tcW w:w="828" w:type="dxa"/>
            <w:noWrap/>
            <w:hideMark/>
          </w:tcPr>
          <w:p w14:paraId="425B44B1" w14:textId="56F2AD63" w:rsidR="00830E92" w:rsidRPr="000973F2" w:rsidRDefault="00830E92" w:rsidP="00AA79CA">
            <w:pPr>
              <w:tabs>
                <w:tab w:val="decimal" w:pos="556"/>
              </w:tabs>
              <w:spacing w:before="40" w:after="4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$335</w:t>
            </w:r>
          </w:p>
        </w:tc>
      </w:tr>
      <w:tr w:rsidR="00DF58A5" w:rsidRPr="000973F2" w14:paraId="4D8D2970" w14:textId="77777777" w:rsidTr="00AA79CA">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1331" w:type="dxa"/>
            <w:hideMark/>
          </w:tcPr>
          <w:p w14:paraId="07BFD9BF" w14:textId="77777777" w:rsidR="00830E92" w:rsidRPr="000973F2" w:rsidRDefault="00830E92" w:rsidP="00AA79CA">
            <w:pPr>
              <w:spacing w:before="40" w:after="4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QA/QC</w:t>
            </w:r>
          </w:p>
        </w:tc>
        <w:tc>
          <w:tcPr>
            <w:tcW w:w="711" w:type="dxa"/>
            <w:noWrap/>
            <w:hideMark/>
          </w:tcPr>
          <w:p w14:paraId="661128E9" w14:textId="77777777" w:rsidR="00830E92" w:rsidRPr="000973F2" w:rsidRDefault="00830E92" w:rsidP="00AA79CA">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0</w:t>
            </w:r>
          </w:p>
        </w:tc>
        <w:tc>
          <w:tcPr>
            <w:tcW w:w="828" w:type="dxa"/>
            <w:noWrap/>
            <w:hideMark/>
          </w:tcPr>
          <w:p w14:paraId="3B5B5926" w14:textId="77777777" w:rsidR="00830E92" w:rsidRPr="000973F2" w:rsidRDefault="00830E92" w:rsidP="00AA79CA">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0</w:t>
            </w:r>
          </w:p>
        </w:tc>
        <w:tc>
          <w:tcPr>
            <w:tcW w:w="711" w:type="dxa"/>
            <w:noWrap/>
            <w:hideMark/>
          </w:tcPr>
          <w:p w14:paraId="3A77CCDD" w14:textId="77777777" w:rsidR="00830E92" w:rsidRPr="000973F2" w:rsidRDefault="00830E92" w:rsidP="00AA79CA">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0</w:t>
            </w:r>
          </w:p>
        </w:tc>
        <w:tc>
          <w:tcPr>
            <w:tcW w:w="828" w:type="dxa"/>
            <w:noWrap/>
            <w:hideMark/>
          </w:tcPr>
          <w:p w14:paraId="20FB0DC2" w14:textId="77777777" w:rsidR="00830E92" w:rsidRPr="000973F2" w:rsidRDefault="00830E92" w:rsidP="00AA79CA">
            <w:pPr>
              <w:spacing w:before="40" w:after="4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0.8</w:t>
            </w:r>
          </w:p>
        </w:tc>
        <w:tc>
          <w:tcPr>
            <w:tcW w:w="856" w:type="dxa"/>
            <w:noWrap/>
            <w:hideMark/>
          </w:tcPr>
          <w:p w14:paraId="5A4B8C4A" w14:textId="77777777" w:rsidR="00830E92" w:rsidRPr="000973F2" w:rsidRDefault="00830E92" w:rsidP="00AA79CA">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0</w:t>
            </w:r>
          </w:p>
        </w:tc>
        <w:tc>
          <w:tcPr>
            <w:tcW w:w="997" w:type="dxa"/>
            <w:noWrap/>
            <w:hideMark/>
          </w:tcPr>
          <w:p w14:paraId="1F51D14B" w14:textId="77777777" w:rsidR="00830E92" w:rsidRPr="000973F2" w:rsidRDefault="00830E92" w:rsidP="00AA79CA">
            <w:pPr>
              <w:spacing w:before="40" w:after="4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8</w:t>
            </w:r>
          </w:p>
        </w:tc>
        <w:tc>
          <w:tcPr>
            <w:tcW w:w="711" w:type="dxa"/>
            <w:noWrap/>
            <w:hideMark/>
          </w:tcPr>
          <w:p w14:paraId="20D6FEFE" w14:textId="77777777" w:rsidR="00830E92" w:rsidRPr="000973F2" w:rsidRDefault="00830E92" w:rsidP="00AA79CA">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0</w:t>
            </w:r>
          </w:p>
        </w:tc>
        <w:tc>
          <w:tcPr>
            <w:tcW w:w="828" w:type="dxa"/>
            <w:noWrap/>
            <w:hideMark/>
          </w:tcPr>
          <w:p w14:paraId="73011A75" w14:textId="77777777" w:rsidR="00830E92" w:rsidRPr="000973F2" w:rsidRDefault="00830E92" w:rsidP="00AA79CA">
            <w:pPr>
              <w:tabs>
                <w:tab w:val="decimal" w:pos="286"/>
              </w:tabs>
              <w:spacing w:before="40" w:after="4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0.8</w:t>
            </w:r>
          </w:p>
        </w:tc>
        <w:tc>
          <w:tcPr>
            <w:tcW w:w="701" w:type="dxa"/>
            <w:noWrap/>
            <w:hideMark/>
          </w:tcPr>
          <w:p w14:paraId="0C60DF96" w14:textId="36F2A068" w:rsidR="00830E92" w:rsidRPr="000973F2" w:rsidRDefault="00830E92" w:rsidP="00AA79CA">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$0</w:t>
            </w:r>
          </w:p>
        </w:tc>
        <w:tc>
          <w:tcPr>
            <w:tcW w:w="828" w:type="dxa"/>
            <w:noWrap/>
            <w:hideMark/>
          </w:tcPr>
          <w:p w14:paraId="7B6E3250" w14:textId="15008FC6" w:rsidR="00830E92" w:rsidRPr="000973F2" w:rsidRDefault="00830E92" w:rsidP="00AA79CA">
            <w:pPr>
              <w:tabs>
                <w:tab w:val="decimal" w:pos="556"/>
              </w:tabs>
              <w:spacing w:before="40" w:after="4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$671</w:t>
            </w:r>
          </w:p>
        </w:tc>
      </w:tr>
      <w:tr w:rsidR="00AA79CA" w:rsidRPr="000973F2" w14:paraId="2D0014DC" w14:textId="77777777" w:rsidTr="00AA79CA">
        <w:trPr>
          <w:cantSplit/>
        </w:trPr>
        <w:tc>
          <w:tcPr>
            <w:cnfStyle w:val="001000000000" w:firstRow="0" w:lastRow="0" w:firstColumn="1" w:lastColumn="0" w:oddVBand="0" w:evenVBand="0" w:oddHBand="0" w:evenHBand="0" w:firstRowFirstColumn="0" w:firstRowLastColumn="0" w:lastRowFirstColumn="0" w:lastRowLastColumn="0"/>
            <w:tcW w:w="1331" w:type="dxa"/>
            <w:hideMark/>
          </w:tcPr>
          <w:p w14:paraId="3B7B89A0" w14:textId="77777777" w:rsidR="00830E92" w:rsidRPr="000973F2" w:rsidRDefault="00830E92" w:rsidP="00AA79CA">
            <w:pPr>
              <w:spacing w:before="40" w:after="4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Recordkeeping</w:t>
            </w:r>
          </w:p>
        </w:tc>
        <w:tc>
          <w:tcPr>
            <w:tcW w:w="711" w:type="dxa"/>
            <w:noWrap/>
            <w:hideMark/>
          </w:tcPr>
          <w:p w14:paraId="0D5B9419" w14:textId="77777777" w:rsidR="00830E92" w:rsidRPr="000973F2" w:rsidRDefault="00830E92" w:rsidP="00AA79CA">
            <w:pPr>
              <w:spacing w:before="40" w:after="4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0</w:t>
            </w:r>
          </w:p>
        </w:tc>
        <w:tc>
          <w:tcPr>
            <w:tcW w:w="828" w:type="dxa"/>
            <w:noWrap/>
            <w:hideMark/>
          </w:tcPr>
          <w:p w14:paraId="0D4D35D0" w14:textId="77777777" w:rsidR="00830E92" w:rsidRPr="000973F2" w:rsidRDefault="00830E92" w:rsidP="00AA79CA">
            <w:pPr>
              <w:spacing w:before="40" w:after="4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0</w:t>
            </w:r>
          </w:p>
        </w:tc>
        <w:tc>
          <w:tcPr>
            <w:tcW w:w="711" w:type="dxa"/>
            <w:noWrap/>
            <w:hideMark/>
          </w:tcPr>
          <w:p w14:paraId="66161EEA" w14:textId="77777777" w:rsidR="00830E92" w:rsidRPr="000973F2" w:rsidRDefault="00830E92" w:rsidP="00AA79CA">
            <w:pPr>
              <w:spacing w:before="40" w:after="4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0</w:t>
            </w:r>
          </w:p>
        </w:tc>
        <w:tc>
          <w:tcPr>
            <w:tcW w:w="828" w:type="dxa"/>
            <w:noWrap/>
            <w:hideMark/>
          </w:tcPr>
          <w:p w14:paraId="79ACD33E" w14:textId="77777777" w:rsidR="00830E92" w:rsidRPr="000973F2" w:rsidRDefault="00830E92" w:rsidP="00AA79CA">
            <w:pPr>
              <w:spacing w:before="40" w:after="4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0.5</w:t>
            </w:r>
          </w:p>
        </w:tc>
        <w:tc>
          <w:tcPr>
            <w:tcW w:w="856" w:type="dxa"/>
            <w:noWrap/>
            <w:hideMark/>
          </w:tcPr>
          <w:p w14:paraId="7630E25D" w14:textId="77777777" w:rsidR="00830E92" w:rsidRPr="000973F2" w:rsidRDefault="00830E92" w:rsidP="00AA79CA">
            <w:pPr>
              <w:spacing w:before="40" w:after="4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0</w:t>
            </w:r>
          </w:p>
        </w:tc>
        <w:tc>
          <w:tcPr>
            <w:tcW w:w="997" w:type="dxa"/>
            <w:noWrap/>
            <w:hideMark/>
          </w:tcPr>
          <w:p w14:paraId="4C68F8E7" w14:textId="77777777" w:rsidR="00830E92" w:rsidRPr="000973F2" w:rsidRDefault="00830E92" w:rsidP="00AA79CA">
            <w:pPr>
              <w:spacing w:before="40" w:after="4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5</w:t>
            </w:r>
          </w:p>
        </w:tc>
        <w:tc>
          <w:tcPr>
            <w:tcW w:w="711" w:type="dxa"/>
            <w:noWrap/>
            <w:hideMark/>
          </w:tcPr>
          <w:p w14:paraId="72219E24" w14:textId="77777777" w:rsidR="00830E92" w:rsidRPr="000973F2" w:rsidRDefault="00830E92" w:rsidP="00AA79CA">
            <w:pPr>
              <w:spacing w:before="40" w:after="4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0</w:t>
            </w:r>
          </w:p>
        </w:tc>
        <w:tc>
          <w:tcPr>
            <w:tcW w:w="828" w:type="dxa"/>
            <w:noWrap/>
            <w:hideMark/>
          </w:tcPr>
          <w:p w14:paraId="0EBCBE52" w14:textId="77777777" w:rsidR="00830E92" w:rsidRPr="000973F2" w:rsidRDefault="00830E92" w:rsidP="00AA79CA">
            <w:pPr>
              <w:tabs>
                <w:tab w:val="decimal" w:pos="286"/>
              </w:tabs>
              <w:spacing w:before="40" w:after="4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0.5</w:t>
            </w:r>
          </w:p>
        </w:tc>
        <w:tc>
          <w:tcPr>
            <w:tcW w:w="701" w:type="dxa"/>
            <w:noWrap/>
            <w:hideMark/>
          </w:tcPr>
          <w:p w14:paraId="79DE1159" w14:textId="5198582D" w:rsidR="00830E92" w:rsidRPr="000973F2" w:rsidRDefault="00830E92" w:rsidP="00AA79CA">
            <w:pPr>
              <w:spacing w:before="40" w:after="4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$0</w:t>
            </w:r>
          </w:p>
        </w:tc>
        <w:tc>
          <w:tcPr>
            <w:tcW w:w="828" w:type="dxa"/>
            <w:noWrap/>
            <w:hideMark/>
          </w:tcPr>
          <w:p w14:paraId="574C8110" w14:textId="5C7B877E" w:rsidR="00830E92" w:rsidRPr="000973F2" w:rsidRDefault="00830E92" w:rsidP="00AA79CA">
            <w:pPr>
              <w:tabs>
                <w:tab w:val="decimal" w:pos="556"/>
              </w:tabs>
              <w:spacing w:before="40" w:after="4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w:t>
            </w:r>
            <w:r w:rsidR="00EE424D" w:rsidRPr="000973F2">
              <w:rPr>
                <w:rFonts w:ascii="Times New Roman" w:eastAsia="Times New Roman" w:hAnsi="Times New Roman" w:cs="Times New Roman"/>
                <w:sz w:val="18"/>
                <w:szCs w:val="18"/>
              </w:rPr>
              <w:t>419</w:t>
            </w:r>
          </w:p>
        </w:tc>
      </w:tr>
      <w:tr w:rsidR="00DF58A5" w:rsidRPr="000973F2" w14:paraId="2E675048" w14:textId="77777777" w:rsidTr="00AA79CA">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1331" w:type="dxa"/>
            <w:hideMark/>
          </w:tcPr>
          <w:p w14:paraId="772D11C9" w14:textId="77777777" w:rsidR="00830E92" w:rsidRPr="000973F2" w:rsidRDefault="00830E92" w:rsidP="00AA79CA">
            <w:pPr>
              <w:spacing w:before="40" w:after="4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Sampling and Analysis (Calculations)</w:t>
            </w:r>
          </w:p>
        </w:tc>
        <w:tc>
          <w:tcPr>
            <w:tcW w:w="711" w:type="dxa"/>
            <w:noWrap/>
            <w:hideMark/>
          </w:tcPr>
          <w:p w14:paraId="1710525E" w14:textId="77777777" w:rsidR="00830E92" w:rsidRPr="000973F2" w:rsidRDefault="00830E92" w:rsidP="00AA79CA">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0</w:t>
            </w:r>
          </w:p>
        </w:tc>
        <w:tc>
          <w:tcPr>
            <w:tcW w:w="828" w:type="dxa"/>
            <w:noWrap/>
            <w:hideMark/>
          </w:tcPr>
          <w:p w14:paraId="6834ADD9" w14:textId="77777777" w:rsidR="00830E92" w:rsidRPr="000973F2" w:rsidRDefault="00830E92" w:rsidP="00AA79CA">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0</w:t>
            </w:r>
          </w:p>
        </w:tc>
        <w:tc>
          <w:tcPr>
            <w:tcW w:w="711" w:type="dxa"/>
            <w:noWrap/>
            <w:hideMark/>
          </w:tcPr>
          <w:p w14:paraId="47FE4588" w14:textId="77777777" w:rsidR="00830E92" w:rsidRPr="000973F2" w:rsidRDefault="00830E92" w:rsidP="00AA79CA">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0</w:t>
            </w:r>
          </w:p>
        </w:tc>
        <w:tc>
          <w:tcPr>
            <w:tcW w:w="828" w:type="dxa"/>
            <w:noWrap/>
            <w:hideMark/>
          </w:tcPr>
          <w:p w14:paraId="00BE5B3C" w14:textId="7DD05DF7" w:rsidR="00830E92" w:rsidRPr="000973F2" w:rsidRDefault="00830E92" w:rsidP="00AA79CA">
            <w:pPr>
              <w:spacing w:before="40" w:after="4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2.</w:t>
            </w:r>
            <w:r w:rsidR="00636404" w:rsidRPr="000973F2">
              <w:rPr>
                <w:rFonts w:ascii="Times New Roman" w:eastAsia="Times New Roman" w:hAnsi="Times New Roman" w:cs="Times New Roman"/>
                <w:sz w:val="18"/>
                <w:szCs w:val="18"/>
              </w:rPr>
              <w:t>3</w:t>
            </w:r>
          </w:p>
        </w:tc>
        <w:tc>
          <w:tcPr>
            <w:tcW w:w="856" w:type="dxa"/>
            <w:noWrap/>
            <w:hideMark/>
          </w:tcPr>
          <w:p w14:paraId="21BEC4B2" w14:textId="77777777" w:rsidR="00830E92" w:rsidRPr="000973F2" w:rsidRDefault="00830E92" w:rsidP="00AA79CA">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0</w:t>
            </w:r>
          </w:p>
        </w:tc>
        <w:tc>
          <w:tcPr>
            <w:tcW w:w="997" w:type="dxa"/>
            <w:noWrap/>
            <w:hideMark/>
          </w:tcPr>
          <w:p w14:paraId="2E8CA779" w14:textId="77777777" w:rsidR="00830E92" w:rsidRPr="000973F2" w:rsidRDefault="00830E92" w:rsidP="00AA79CA">
            <w:pPr>
              <w:spacing w:before="40" w:after="4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22.8</w:t>
            </w:r>
          </w:p>
        </w:tc>
        <w:tc>
          <w:tcPr>
            <w:tcW w:w="711" w:type="dxa"/>
            <w:noWrap/>
            <w:hideMark/>
          </w:tcPr>
          <w:p w14:paraId="6501A4E2" w14:textId="77777777" w:rsidR="00830E92" w:rsidRPr="000973F2" w:rsidRDefault="00830E92" w:rsidP="00AA79CA">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0</w:t>
            </w:r>
          </w:p>
        </w:tc>
        <w:tc>
          <w:tcPr>
            <w:tcW w:w="828" w:type="dxa"/>
            <w:noWrap/>
            <w:hideMark/>
          </w:tcPr>
          <w:p w14:paraId="0B1F6515" w14:textId="3DB1BDF3" w:rsidR="00830E92" w:rsidRPr="000973F2" w:rsidRDefault="00830E92" w:rsidP="00AA79CA">
            <w:pPr>
              <w:tabs>
                <w:tab w:val="decimal" w:pos="286"/>
              </w:tabs>
              <w:spacing w:before="40" w:after="4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2.</w:t>
            </w:r>
            <w:r w:rsidR="00636404" w:rsidRPr="000973F2">
              <w:rPr>
                <w:rFonts w:ascii="Times New Roman" w:eastAsia="Times New Roman" w:hAnsi="Times New Roman" w:cs="Times New Roman"/>
                <w:sz w:val="18"/>
                <w:szCs w:val="18"/>
              </w:rPr>
              <w:t>3</w:t>
            </w:r>
          </w:p>
        </w:tc>
        <w:tc>
          <w:tcPr>
            <w:tcW w:w="701" w:type="dxa"/>
            <w:noWrap/>
            <w:hideMark/>
          </w:tcPr>
          <w:p w14:paraId="4E7592DF" w14:textId="0A09E21D" w:rsidR="00830E92" w:rsidRPr="000973F2" w:rsidRDefault="00830E92" w:rsidP="00AA79CA">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$0</w:t>
            </w:r>
          </w:p>
        </w:tc>
        <w:tc>
          <w:tcPr>
            <w:tcW w:w="828" w:type="dxa"/>
            <w:noWrap/>
            <w:hideMark/>
          </w:tcPr>
          <w:p w14:paraId="0F90505A" w14:textId="3834373F" w:rsidR="00830E92" w:rsidRPr="000973F2" w:rsidRDefault="00830E92" w:rsidP="00AA79CA">
            <w:pPr>
              <w:tabs>
                <w:tab w:val="decimal" w:pos="556"/>
              </w:tabs>
              <w:spacing w:before="40" w:after="4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$1,911</w:t>
            </w:r>
          </w:p>
        </w:tc>
      </w:tr>
      <w:tr w:rsidR="00AA79CA" w:rsidRPr="000973F2" w14:paraId="0F614832" w14:textId="77777777" w:rsidTr="00AA79CA">
        <w:trPr>
          <w:cantSplit/>
        </w:trPr>
        <w:tc>
          <w:tcPr>
            <w:cnfStyle w:val="001000000000" w:firstRow="0" w:lastRow="0" w:firstColumn="1" w:lastColumn="0" w:oddVBand="0" w:evenVBand="0" w:oddHBand="0" w:evenHBand="0" w:firstRowFirstColumn="0" w:firstRowLastColumn="0" w:lastRowFirstColumn="0" w:lastRowLastColumn="0"/>
            <w:tcW w:w="1331" w:type="dxa"/>
            <w:hideMark/>
          </w:tcPr>
          <w:p w14:paraId="4C7FADDA" w14:textId="77777777" w:rsidR="00830E92" w:rsidRPr="000973F2" w:rsidRDefault="00830E92" w:rsidP="00AA79CA">
            <w:pPr>
              <w:spacing w:before="40" w:after="4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Reporting</w:t>
            </w:r>
          </w:p>
        </w:tc>
        <w:tc>
          <w:tcPr>
            <w:tcW w:w="711" w:type="dxa"/>
            <w:noWrap/>
            <w:hideMark/>
          </w:tcPr>
          <w:p w14:paraId="593D59E9" w14:textId="77777777" w:rsidR="00830E92" w:rsidRPr="000973F2" w:rsidRDefault="00830E92" w:rsidP="00AA79CA">
            <w:pPr>
              <w:spacing w:before="40" w:after="4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0</w:t>
            </w:r>
          </w:p>
        </w:tc>
        <w:tc>
          <w:tcPr>
            <w:tcW w:w="828" w:type="dxa"/>
            <w:noWrap/>
            <w:hideMark/>
          </w:tcPr>
          <w:p w14:paraId="21AF380E" w14:textId="77777777" w:rsidR="00830E92" w:rsidRPr="000973F2" w:rsidRDefault="00830E92" w:rsidP="00AA79CA">
            <w:pPr>
              <w:spacing w:before="40" w:after="4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0</w:t>
            </w:r>
          </w:p>
        </w:tc>
        <w:tc>
          <w:tcPr>
            <w:tcW w:w="711" w:type="dxa"/>
            <w:noWrap/>
            <w:hideMark/>
          </w:tcPr>
          <w:p w14:paraId="5A0646F4" w14:textId="77777777" w:rsidR="00830E92" w:rsidRPr="000973F2" w:rsidRDefault="00830E92" w:rsidP="00AA79CA">
            <w:pPr>
              <w:spacing w:before="40" w:after="4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0</w:t>
            </w:r>
          </w:p>
        </w:tc>
        <w:tc>
          <w:tcPr>
            <w:tcW w:w="828" w:type="dxa"/>
            <w:noWrap/>
            <w:hideMark/>
          </w:tcPr>
          <w:p w14:paraId="3DDCDEA0" w14:textId="77777777" w:rsidR="00830E92" w:rsidRPr="000973F2" w:rsidRDefault="00830E92" w:rsidP="00AA79CA">
            <w:pPr>
              <w:spacing w:before="40" w:after="4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1</w:t>
            </w:r>
          </w:p>
        </w:tc>
        <w:tc>
          <w:tcPr>
            <w:tcW w:w="856" w:type="dxa"/>
            <w:noWrap/>
            <w:hideMark/>
          </w:tcPr>
          <w:p w14:paraId="5D556DC0" w14:textId="77777777" w:rsidR="00830E92" w:rsidRPr="000973F2" w:rsidRDefault="00830E92" w:rsidP="00AA79CA">
            <w:pPr>
              <w:spacing w:before="40" w:after="4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0</w:t>
            </w:r>
          </w:p>
        </w:tc>
        <w:tc>
          <w:tcPr>
            <w:tcW w:w="997" w:type="dxa"/>
            <w:noWrap/>
            <w:hideMark/>
          </w:tcPr>
          <w:p w14:paraId="31603F7C" w14:textId="77777777" w:rsidR="00830E92" w:rsidRPr="000973F2" w:rsidRDefault="00830E92" w:rsidP="00AA79CA">
            <w:pPr>
              <w:spacing w:before="40" w:after="4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10</w:t>
            </w:r>
          </w:p>
        </w:tc>
        <w:tc>
          <w:tcPr>
            <w:tcW w:w="711" w:type="dxa"/>
            <w:noWrap/>
            <w:hideMark/>
          </w:tcPr>
          <w:p w14:paraId="54703EA1" w14:textId="77777777" w:rsidR="00830E92" w:rsidRPr="000973F2" w:rsidRDefault="00830E92" w:rsidP="00AA79CA">
            <w:pPr>
              <w:spacing w:before="40" w:after="4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0</w:t>
            </w:r>
          </w:p>
        </w:tc>
        <w:tc>
          <w:tcPr>
            <w:tcW w:w="828" w:type="dxa"/>
            <w:noWrap/>
            <w:hideMark/>
          </w:tcPr>
          <w:p w14:paraId="711F845F" w14:textId="77777777" w:rsidR="00830E92" w:rsidRPr="000973F2" w:rsidRDefault="00830E92" w:rsidP="00AA79CA">
            <w:pPr>
              <w:tabs>
                <w:tab w:val="decimal" w:pos="286"/>
              </w:tabs>
              <w:spacing w:before="40" w:after="4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1</w:t>
            </w:r>
          </w:p>
        </w:tc>
        <w:tc>
          <w:tcPr>
            <w:tcW w:w="701" w:type="dxa"/>
            <w:noWrap/>
            <w:hideMark/>
          </w:tcPr>
          <w:p w14:paraId="61262134" w14:textId="46383504" w:rsidR="00830E92" w:rsidRPr="000973F2" w:rsidRDefault="00830E92" w:rsidP="00AA79CA">
            <w:pPr>
              <w:spacing w:before="40" w:after="4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$0</w:t>
            </w:r>
          </w:p>
        </w:tc>
        <w:tc>
          <w:tcPr>
            <w:tcW w:w="828" w:type="dxa"/>
            <w:noWrap/>
            <w:hideMark/>
          </w:tcPr>
          <w:p w14:paraId="0ED4A8ED" w14:textId="7556BF14" w:rsidR="00830E92" w:rsidRPr="000973F2" w:rsidRDefault="00830E92" w:rsidP="00AA79CA">
            <w:pPr>
              <w:tabs>
                <w:tab w:val="decimal" w:pos="556"/>
              </w:tabs>
              <w:spacing w:before="40" w:after="4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w:t>
            </w:r>
            <w:r w:rsidR="00EE424D" w:rsidRPr="000973F2">
              <w:rPr>
                <w:rFonts w:ascii="Times New Roman" w:eastAsia="Times New Roman" w:hAnsi="Times New Roman" w:cs="Times New Roman"/>
                <w:sz w:val="18"/>
                <w:szCs w:val="18"/>
              </w:rPr>
              <w:t>838</w:t>
            </w:r>
          </w:p>
        </w:tc>
      </w:tr>
      <w:tr w:rsidR="00DF58A5" w:rsidRPr="000973F2" w14:paraId="3590B5A6" w14:textId="77777777" w:rsidTr="00AA79CA">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1331" w:type="dxa"/>
            <w:noWrap/>
            <w:hideMark/>
          </w:tcPr>
          <w:p w14:paraId="221B4D34" w14:textId="77777777" w:rsidR="00830E92" w:rsidRPr="000973F2" w:rsidRDefault="00830E92" w:rsidP="00AA79CA">
            <w:pPr>
              <w:spacing w:before="40" w:after="40"/>
              <w:rPr>
                <w:rFonts w:ascii="Times New Roman" w:eastAsia="Times New Roman" w:hAnsi="Times New Roman" w:cs="Times New Roman"/>
                <w:b/>
                <w:bCs w:val="0"/>
                <w:sz w:val="18"/>
                <w:szCs w:val="18"/>
              </w:rPr>
            </w:pPr>
            <w:r w:rsidRPr="000973F2">
              <w:rPr>
                <w:rFonts w:ascii="Times New Roman" w:eastAsia="Times New Roman" w:hAnsi="Times New Roman" w:cs="Times New Roman"/>
                <w:b/>
                <w:sz w:val="18"/>
                <w:szCs w:val="18"/>
              </w:rPr>
              <w:t>Total</w:t>
            </w:r>
          </w:p>
        </w:tc>
        <w:tc>
          <w:tcPr>
            <w:tcW w:w="711" w:type="dxa"/>
            <w:noWrap/>
            <w:hideMark/>
          </w:tcPr>
          <w:p w14:paraId="0C6D8FB9" w14:textId="77777777" w:rsidR="00830E92" w:rsidRPr="000973F2" w:rsidRDefault="00830E92" w:rsidP="00AA79CA">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18"/>
                <w:szCs w:val="18"/>
              </w:rPr>
            </w:pPr>
            <w:r w:rsidRPr="000973F2">
              <w:rPr>
                <w:rFonts w:ascii="Times New Roman" w:eastAsia="Times New Roman" w:hAnsi="Times New Roman" w:cs="Times New Roman"/>
                <w:b/>
                <w:bCs/>
                <w:sz w:val="18"/>
                <w:szCs w:val="18"/>
              </w:rPr>
              <w:t>0</w:t>
            </w:r>
          </w:p>
        </w:tc>
        <w:tc>
          <w:tcPr>
            <w:tcW w:w="828" w:type="dxa"/>
            <w:noWrap/>
            <w:hideMark/>
          </w:tcPr>
          <w:p w14:paraId="622F58CA" w14:textId="77777777" w:rsidR="00830E92" w:rsidRPr="000973F2" w:rsidRDefault="00830E92" w:rsidP="00AA79CA">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18"/>
                <w:szCs w:val="18"/>
              </w:rPr>
            </w:pPr>
            <w:r w:rsidRPr="000973F2">
              <w:rPr>
                <w:rFonts w:ascii="Times New Roman" w:eastAsia="Times New Roman" w:hAnsi="Times New Roman" w:cs="Times New Roman"/>
                <w:b/>
                <w:bCs/>
                <w:sz w:val="18"/>
                <w:szCs w:val="18"/>
              </w:rPr>
              <w:t>0</w:t>
            </w:r>
          </w:p>
        </w:tc>
        <w:tc>
          <w:tcPr>
            <w:tcW w:w="711" w:type="dxa"/>
            <w:noWrap/>
            <w:hideMark/>
          </w:tcPr>
          <w:p w14:paraId="4D6E1A25" w14:textId="77777777" w:rsidR="00830E92" w:rsidRPr="000973F2" w:rsidRDefault="00830E92" w:rsidP="00AA79CA">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18"/>
                <w:szCs w:val="18"/>
              </w:rPr>
            </w:pPr>
            <w:r w:rsidRPr="000973F2">
              <w:rPr>
                <w:rFonts w:ascii="Times New Roman" w:eastAsia="Times New Roman" w:hAnsi="Times New Roman" w:cs="Times New Roman"/>
                <w:b/>
                <w:bCs/>
                <w:sz w:val="18"/>
                <w:szCs w:val="18"/>
              </w:rPr>
              <w:t>0</w:t>
            </w:r>
          </w:p>
        </w:tc>
        <w:tc>
          <w:tcPr>
            <w:tcW w:w="828" w:type="dxa"/>
            <w:noWrap/>
            <w:hideMark/>
          </w:tcPr>
          <w:p w14:paraId="13EDD257" w14:textId="750C0D43" w:rsidR="00830E92" w:rsidRPr="000973F2" w:rsidRDefault="00636404" w:rsidP="00AA79CA">
            <w:pPr>
              <w:spacing w:before="40" w:after="4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18"/>
                <w:szCs w:val="18"/>
              </w:rPr>
            </w:pPr>
            <w:r w:rsidRPr="000973F2">
              <w:rPr>
                <w:rFonts w:ascii="Times New Roman" w:eastAsia="Times New Roman" w:hAnsi="Times New Roman" w:cs="Times New Roman"/>
                <w:b/>
                <w:bCs/>
                <w:sz w:val="18"/>
                <w:szCs w:val="18"/>
              </w:rPr>
              <w:t>5.0</w:t>
            </w:r>
          </w:p>
        </w:tc>
        <w:tc>
          <w:tcPr>
            <w:tcW w:w="856" w:type="dxa"/>
            <w:noWrap/>
            <w:hideMark/>
          </w:tcPr>
          <w:p w14:paraId="25AAFF5E" w14:textId="77777777" w:rsidR="00830E92" w:rsidRPr="000973F2" w:rsidRDefault="00830E92" w:rsidP="00AA79CA">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18"/>
                <w:szCs w:val="18"/>
              </w:rPr>
            </w:pPr>
            <w:r w:rsidRPr="000973F2">
              <w:rPr>
                <w:rFonts w:ascii="Times New Roman" w:eastAsia="Times New Roman" w:hAnsi="Times New Roman" w:cs="Times New Roman"/>
                <w:b/>
                <w:bCs/>
                <w:sz w:val="18"/>
                <w:szCs w:val="18"/>
              </w:rPr>
              <w:t>0</w:t>
            </w:r>
          </w:p>
        </w:tc>
        <w:tc>
          <w:tcPr>
            <w:tcW w:w="997" w:type="dxa"/>
            <w:noWrap/>
            <w:hideMark/>
          </w:tcPr>
          <w:p w14:paraId="2C136F9F" w14:textId="77777777" w:rsidR="00830E92" w:rsidRPr="000973F2" w:rsidRDefault="00830E92" w:rsidP="00AA79CA">
            <w:pPr>
              <w:spacing w:before="40" w:after="4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18"/>
                <w:szCs w:val="18"/>
              </w:rPr>
            </w:pPr>
            <w:r w:rsidRPr="000973F2">
              <w:rPr>
                <w:rFonts w:ascii="Times New Roman" w:eastAsia="Times New Roman" w:hAnsi="Times New Roman" w:cs="Times New Roman"/>
                <w:b/>
                <w:bCs/>
                <w:sz w:val="18"/>
                <w:szCs w:val="18"/>
              </w:rPr>
              <w:t>49.8</w:t>
            </w:r>
          </w:p>
        </w:tc>
        <w:tc>
          <w:tcPr>
            <w:tcW w:w="711" w:type="dxa"/>
            <w:noWrap/>
            <w:hideMark/>
          </w:tcPr>
          <w:p w14:paraId="00AE02A1" w14:textId="77777777" w:rsidR="00830E92" w:rsidRPr="000973F2" w:rsidRDefault="00830E92" w:rsidP="00AA79CA">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18"/>
                <w:szCs w:val="18"/>
              </w:rPr>
            </w:pPr>
            <w:r w:rsidRPr="000973F2">
              <w:rPr>
                <w:rFonts w:ascii="Times New Roman" w:eastAsia="Times New Roman" w:hAnsi="Times New Roman" w:cs="Times New Roman"/>
                <w:b/>
                <w:bCs/>
                <w:sz w:val="18"/>
                <w:szCs w:val="18"/>
              </w:rPr>
              <w:t>0</w:t>
            </w:r>
          </w:p>
        </w:tc>
        <w:tc>
          <w:tcPr>
            <w:tcW w:w="828" w:type="dxa"/>
            <w:noWrap/>
            <w:hideMark/>
          </w:tcPr>
          <w:p w14:paraId="2EA78220" w14:textId="6A65B59A" w:rsidR="00830E92" w:rsidRPr="000973F2" w:rsidRDefault="00636404" w:rsidP="00AA79CA">
            <w:pPr>
              <w:tabs>
                <w:tab w:val="decimal" w:pos="286"/>
              </w:tabs>
              <w:spacing w:before="40" w:after="4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18"/>
                <w:szCs w:val="18"/>
              </w:rPr>
            </w:pPr>
            <w:r w:rsidRPr="000973F2">
              <w:rPr>
                <w:rFonts w:ascii="Times New Roman" w:eastAsia="Times New Roman" w:hAnsi="Times New Roman" w:cs="Times New Roman"/>
                <w:b/>
                <w:bCs/>
                <w:sz w:val="18"/>
                <w:szCs w:val="18"/>
              </w:rPr>
              <w:t>5.0</w:t>
            </w:r>
          </w:p>
        </w:tc>
        <w:tc>
          <w:tcPr>
            <w:tcW w:w="701" w:type="dxa"/>
            <w:noWrap/>
            <w:hideMark/>
          </w:tcPr>
          <w:p w14:paraId="6B37E2D6" w14:textId="1BED604C" w:rsidR="00830E92" w:rsidRPr="000973F2" w:rsidRDefault="00830E92" w:rsidP="00AA79CA">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18"/>
                <w:szCs w:val="18"/>
              </w:rPr>
            </w:pPr>
            <w:r w:rsidRPr="000973F2">
              <w:rPr>
                <w:rFonts w:ascii="Times New Roman" w:eastAsia="Times New Roman" w:hAnsi="Times New Roman" w:cs="Times New Roman"/>
                <w:b/>
                <w:bCs/>
                <w:sz w:val="18"/>
                <w:szCs w:val="18"/>
              </w:rPr>
              <w:t>$0</w:t>
            </w:r>
          </w:p>
        </w:tc>
        <w:tc>
          <w:tcPr>
            <w:tcW w:w="828" w:type="dxa"/>
            <w:noWrap/>
            <w:hideMark/>
          </w:tcPr>
          <w:p w14:paraId="5A060F95" w14:textId="7C940B2A" w:rsidR="00830E92" w:rsidRPr="000973F2" w:rsidRDefault="00830E92" w:rsidP="00AA79CA">
            <w:pPr>
              <w:tabs>
                <w:tab w:val="decimal" w:pos="556"/>
              </w:tabs>
              <w:spacing w:before="40" w:after="4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18"/>
                <w:szCs w:val="18"/>
              </w:rPr>
            </w:pPr>
            <w:r w:rsidRPr="000973F2">
              <w:rPr>
                <w:rFonts w:ascii="Times New Roman" w:eastAsia="Times New Roman" w:hAnsi="Times New Roman" w:cs="Times New Roman"/>
                <w:b/>
                <w:bCs/>
                <w:sz w:val="18"/>
                <w:szCs w:val="18"/>
              </w:rPr>
              <w:t>$</w:t>
            </w:r>
            <w:r w:rsidR="00EE424D" w:rsidRPr="000973F2">
              <w:rPr>
                <w:rFonts w:ascii="Times New Roman" w:eastAsia="Times New Roman" w:hAnsi="Times New Roman" w:cs="Times New Roman"/>
                <w:b/>
                <w:bCs/>
                <w:sz w:val="18"/>
                <w:szCs w:val="18"/>
              </w:rPr>
              <w:t>4,174</w:t>
            </w:r>
          </w:p>
        </w:tc>
      </w:tr>
    </w:tbl>
    <w:p w14:paraId="0B957813" w14:textId="77777777" w:rsidR="00830E92" w:rsidRPr="000973F2" w:rsidRDefault="00830E92" w:rsidP="00C00E4F">
      <w:pPr>
        <w:spacing w:line="240" w:lineRule="auto"/>
        <w:rPr>
          <w:rFonts w:ascii="Times New Roman" w:hAnsi="Times New Roman" w:cs="Times New Roman"/>
          <w:color w:val="000000"/>
          <w:sz w:val="24"/>
          <w:szCs w:val="24"/>
          <w:shd w:val="clear" w:color="auto" w:fill="FFFFFF"/>
        </w:rPr>
      </w:pPr>
    </w:p>
    <w:p w14:paraId="002C316B" w14:textId="77777777" w:rsidR="00830E92" w:rsidRPr="000973F2" w:rsidRDefault="00830E92" w:rsidP="00C00E4F">
      <w:pPr>
        <w:spacing w:line="240" w:lineRule="auto"/>
        <w:rPr>
          <w:rFonts w:ascii="Times New Roman" w:hAnsi="Times New Roman" w:cs="Times New Roman"/>
          <w:b/>
          <w:i/>
          <w:szCs w:val="24"/>
        </w:rPr>
      </w:pPr>
      <w:r w:rsidRPr="000973F2">
        <w:rPr>
          <w:rFonts w:ascii="Times New Roman" w:hAnsi="Times New Roman" w:cs="Times New Roman"/>
          <w:b/>
          <w:i/>
          <w:szCs w:val="24"/>
        </w:rPr>
        <w:br w:type="page"/>
      </w:r>
    </w:p>
    <w:p w14:paraId="3A709868" w14:textId="77777777" w:rsidR="00830E92" w:rsidRPr="000973F2" w:rsidRDefault="00830E92" w:rsidP="00D965EC">
      <w:pPr>
        <w:pStyle w:val="Heading2"/>
      </w:pPr>
      <w:r w:rsidRPr="000973F2">
        <w:t>Capital and O&amp;M Costs for Subpart P – Mass Balance Option; Natural Gas and Fuel Gas, Multiple Units</w:t>
      </w:r>
    </w:p>
    <w:p w14:paraId="0C93B304" w14:textId="465F2C12" w:rsidR="00830E92" w:rsidRPr="000973F2" w:rsidRDefault="00830E92" w:rsidP="00D965EC">
      <w:pPr>
        <w:pStyle w:val="BodyText"/>
      </w:pPr>
      <w:r w:rsidRPr="000973F2">
        <w:t xml:space="preserve">Table </w:t>
      </w:r>
      <w:r w:rsidR="00D965EC" w:rsidRPr="000973F2">
        <w:t>P-</w:t>
      </w:r>
      <w:r w:rsidRPr="000973F2">
        <w:t>2d presents the capital and O&amp;M costs estimated for each of the 34 facilities using the mass balance option using both natural gas and fuel gas with multiple units. No capital costs are projected for these facilities because they are expected to already have all equipment needed to comply, including compositional analyzers to determine carbon content of fuel gas. It is expected that other carbon content analyses for natural gas would be out-sourced, leading to O&amp;M costs for sampling and analyses for natural gas. Based on analytical price lists, that the costs of shipping and analyzing a natural gas sample is estimated to be $2</w:t>
      </w:r>
      <w:r w:rsidR="00786480" w:rsidRPr="000973F2">
        <w:t>1</w:t>
      </w:r>
      <w:r w:rsidRPr="000973F2">
        <w:t>0. Natural gas analyses are required once per year.</w:t>
      </w:r>
    </w:p>
    <w:p w14:paraId="19474B2A" w14:textId="77777777" w:rsidR="00830E92" w:rsidRPr="000973F2" w:rsidRDefault="00830E92" w:rsidP="00D965EC">
      <w:pPr>
        <w:pStyle w:val="BodyText"/>
      </w:pPr>
      <w:r w:rsidRPr="000973F2">
        <w:t xml:space="preserve">Facilities are expected to incur an O&amp;M cost associated with recordkeeping as discussed in the Cost Appendix Introduction. </w:t>
      </w:r>
    </w:p>
    <w:p w14:paraId="40465F2B" w14:textId="5AD39C2B" w:rsidR="00486498" w:rsidRPr="000973F2" w:rsidRDefault="00486498" w:rsidP="00D965EC">
      <w:pPr>
        <w:pStyle w:val="Tabletitle"/>
      </w:pPr>
      <w:r w:rsidRPr="000973F2">
        <w:t xml:space="preserve">Table </w:t>
      </w:r>
      <w:r w:rsidR="00D965EC" w:rsidRPr="000973F2">
        <w:t>P-</w:t>
      </w:r>
      <w:r w:rsidRPr="000973F2">
        <w:t>2d. Capital and O&amp;M Costs</w:t>
      </w:r>
      <w:r w:rsidR="008F390E" w:rsidRPr="000973F2">
        <w:t xml:space="preserve"> </w:t>
      </w:r>
      <w:r w:rsidR="00247A39" w:rsidRPr="000973F2">
        <w:t>–</w:t>
      </w:r>
      <w:r w:rsidR="008F390E" w:rsidRPr="000973F2">
        <w:t xml:space="preserve"> </w:t>
      </w:r>
      <w:r w:rsidRPr="000973F2">
        <w:t>Subpart P – Mass Balance Option; Natural Gas and Fuel Gas, Multiple Units</w:t>
      </w:r>
    </w:p>
    <w:tbl>
      <w:tblPr>
        <w:tblStyle w:val="PlainTable1"/>
        <w:tblW w:w="5000" w:type="pct"/>
        <w:jc w:val="left"/>
        <w:tblLayout w:type="fixed"/>
        <w:tblLook w:val="04A0" w:firstRow="1" w:lastRow="0" w:firstColumn="1" w:lastColumn="0" w:noHBand="0" w:noVBand="1"/>
      </w:tblPr>
      <w:tblGrid>
        <w:gridCol w:w="2018"/>
        <w:gridCol w:w="1259"/>
        <w:gridCol w:w="1260"/>
        <w:gridCol w:w="1259"/>
        <w:gridCol w:w="1209"/>
        <w:gridCol w:w="1311"/>
        <w:gridCol w:w="1260"/>
      </w:tblGrid>
      <w:tr w:rsidR="00247A39" w:rsidRPr="000973F2" w14:paraId="368679ED" w14:textId="77777777" w:rsidTr="00247A39">
        <w:trPr>
          <w:cnfStyle w:val="100000000000" w:firstRow="1" w:lastRow="0" w:firstColumn="0" w:lastColumn="0" w:oddVBand="0" w:evenVBand="0" w:oddHBand="0" w:evenHBand="0" w:firstRowFirstColumn="0" w:firstRowLastColumn="0" w:lastRowFirstColumn="0" w:lastRowLastColumn="0"/>
          <w:jc w:val="left"/>
        </w:trPr>
        <w:tc>
          <w:tcPr>
            <w:cnfStyle w:val="001000000000" w:firstRow="0" w:lastRow="0" w:firstColumn="1" w:lastColumn="0" w:oddVBand="0" w:evenVBand="0" w:oddHBand="0" w:evenHBand="0" w:firstRowFirstColumn="0" w:firstRowLastColumn="0" w:lastRowFirstColumn="0" w:lastRowLastColumn="0"/>
            <w:tcW w:w="1965" w:type="dxa"/>
            <w:vMerge w:val="restart"/>
            <w:shd w:val="clear" w:color="auto" w:fill="auto"/>
            <w:noWrap/>
            <w:hideMark/>
          </w:tcPr>
          <w:p w14:paraId="339227D5" w14:textId="3E65FDFD" w:rsidR="00FF36E8" w:rsidRPr="000973F2" w:rsidRDefault="00FF36E8" w:rsidP="00247A39">
            <w:pPr>
              <w:spacing w:before="40" w:after="40"/>
              <w:rPr>
                <w:rFonts w:ascii="Times New Roman" w:eastAsia="Times New Roman" w:hAnsi="Times New Roman" w:cs="Times New Roman"/>
                <w:b w:val="0"/>
                <w:bCs w:val="0"/>
                <w:sz w:val="18"/>
                <w:szCs w:val="18"/>
              </w:rPr>
            </w:pPr>
            <w:r w:rsidRPr="000973F2">
              <w:rPr>
                <w:rFonts w:ascii="Times New Roman" w:eastAsia="Times New Roman" w:hAnsi="Times New Roman" w:cs="Times New Roman"/>
                <w:sz w:val="18"/>
                <w:szCs w:val="18"/>
              </w:rPr>
              <w:t>Activity</w:t>
            </w:r>
          </w:p>
        </w:tc>
        <w:tc>
          <w:tcPr>
            <w:tcW w:w="4860" w:type="dxa"/>
            <w:gridSpan w:val="4"/>
            <w:shd w:val="clear" w:color="auto" w:fill="auto"/>
            <w:noWrap/>
            <w:hideMark/>
          </w:tcPr>
          <w:p w14:paraId="090EDC4A" w14:textId="77777777" w:rsidR="00FF36E8" w:rsidRPr="000973F2" w:rsidRDefault="00FF36E8" w:rsidP="00247A39">
            <w:pPr>
              <w:spacing w:before="40" w:after="40"/>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bCs w:val="0"/>
                <w:sz w:val="18"/>
                <w:szCs w:val="18"/>
              </w:rPr>
            </w:pPr>
            <w:r w:rsidRPr="000973F2">
              <w:rPr>
                <w:rFonts w:ascii="Times New Roman" w:eastAsia="Times New Roman" w:hAnsi="Times New Roman" w:cs="Times New Roman"/>
                <w:sz w:val="18"/>
                <w:szCs w:val="18"/>
              </w:rPr>
              <w:t>Cost Categories</w:t>
            </w:r>
          </w:p>
        </w:tc>
        <w:tc>
          <w:tcPr>
            <w:tcW w:w="2505" w:type="dxa"/>
            <w:gridSpan w:val="2"/>
            <w:shd w:val="clear" w:color="auto" w:fill="auto"/>
            <w:hideMark/>
          </w:tcPr>
          <w:p w14:paraId="1A25C86B" w14:textId="77777777" w:rsidR="00FF36E8" w:rsidRPr="000973F2" w:rsidRDefault="00FF36E8" w:rsidP="00247A39">
            <w:pPr>
              <w:spacing w:before="40" w:after="40"/>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bCs w:val="0"/>
                <w:sz w:val="18"/>
                <w:szCs w:val="18"/>
              </w:rPr>
            </w:pPr>
            <w:r w:rsidRPr="000973F2">
              <w:rPr>
                <w:rFonts w:ascii="Times New Roman" w:eastAsia="Times New Roman" w:hAnsi="Times New Roman" w:cs="Times New Roman"/>
                <w:sz w:val="18"/>
                <w:szCs w:val="18"/>
              </w:rPr>
              <w:t>Total Capital and O&amp;M Cost per Year per Facility (2017$)</w:t>
            </w:r>
          </w:p>
        </w:tc>
      </w:tr>
      <w:tr w:rsidR="00247A39" w:rsidRPr="000973F2" w14:paraId="32FACE60" w14:textId="77777777" w:rsidTr="00247A3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65" w:type="dxa"/>
            <w:vMerge/>
            <w:shd w:val="clear" w:color="auto" w:fill="auto"/>
            <w:noWrap/>
            <w:hideMark/>
          </w:tcPr>
          <w:p w14:paraId="600056C2" w14:textId="3D3BA9B6" w:rsidR="00FF36E8" w:rsidRPr="000973F2" w:rsidRDefault="00FF36E8" w:rsidP="00247A39">
            <w:pPr>
              <w:spacing w:before="40" w:after="40"/>
              <w:jc w:val="center"/>
              <w:rPr>
                <w:rFonts w:ascii="Times New Roman" w:eastAsia="Times New Roman" w:hAnsi="Times New Roman" w:cs="Times New Roman"/>
                <w:b/>
                <w:bCs w:val="0"/>
                <w:sz w:val="18"/>
                <w:szCs w:val="18"/>
              </w:rPr>
            </w:pPr>
          </w:p>
        </w:tc>
        <w:tc>
          <w:tcPr>
            <w:tcW w:w="1227" w:type="dxa"/>
            <w:shd w:val="clear" w:color="auto" w:fill="F2F2F2"/>
            <w:hideMark/>
          </w:tcPr>
          <w:p w14:paraId="080D2C44" w14:textId="77777777" w:rsidR="00FF36E8" w:rsidRPr="000973F2" w:rsidRDefault="00FF36E8" w:rsidP="00247A39">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18"/>
                <w:szCs w:val="18"/>
              </w:rPr>
            </w:pPr>
            <w:r w:rsidRPr="000973F2">
              <w:rPr>
                <w:rFonts w:ascii="Times New Roman" w:eastAsia="Times New Roman" w:hAnsi="Times New Roman" w:cs="Times New Roman"/>
                <w:b/>
                <w:bCs/>
                <w:sz w:val="18"/>
                <w:szCs w:val="18"/>
              </w:rPr>
              <w:t>Capital Cost (2017$)</w:t>
            </w:r>
          </w:p>
        </w:tc>
        <w:tc>
          <w:tcPr>
            <w:tcW w:w="1228" w:type="dxa"/>
            <w:shd w:val="clear" w:color="auto" w:fill="F2F2F2"/>
            <w:hideMark/>
          </w:tcPr>
          <w:p w14:paraId="7C67F3BB" w14:textId="77777777" w:rsidR="00FF36E8" w:rsidRPr="000973F2" w:rsidRDefault="00FF36E8" w:rsidP="00247A39">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18"/>
                <w:szCs w:val="18"/>
              </w:rPr>
            </w:pPr>
            <w:r w:rsidRPr="000973F2">
              <w:rPr>
                <w:rFonts w:ascii="Times New Roman" w:eastAsia="Times New Roman" w:hAnsi="Times New Roman" w:cs="Times New Roman"/>
                <w:b/>
                <w:bCs/>
                <w:sz w:val="18"/>
                <w:szCs w:val="18"/>
              </w:rPr>
              <w:t>Equipment Lifetime</w:t>
            </w:r>
          </w:p>
        </w:tc>
        <w:tc>
          <w:tcPr>
            <w:tcW w:w="1227" w:type="dxa"/>
            <w:shd w:val="clear" w:color="auto" w:fill="F2F2F2"/>
            <w:hideMark/>
          </w:tcPr>
          <w:p w14:paraId="3AFE54A1" w14:textId="77777777" w:rsidR="00FF36E8" w:rsidRPr="000973F2" w:rsidRDefault="00FF36E8" w:rsidP="00247A39">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18"/>
                <w:szCs w:val="18"/>
              </w:rPr>
            </w:pPr>
            <w:r w:rsidRPr="000973F2">
              <w:rPr>
                <w:rFonts w:ascii="Times New Roman" w:eastAsia="Times New Roman" w:hAnsi="Times New Roman" w:cs="Times New Roman"/>
                <w:b/>
                <w:bCs/>
                <w:sz w:val="18"/>
                <w:szCs w:val="18"/>
              </w:rPr>
              <w:t>Annualized Capital Cost (2017$/year)</w:t>
            </w:r>
          </w:p>
        </w:tc>
        <w:tc>
          <w:tcPr>
            <w:tcW w:w="1178" w:type="dxa"/>
            <w:shd w:val="clear" w:color="auto" w:fill="F2F2F2"/>
            <w:hideMark/>
          </w:tcPr>
          <w:p w14:paraId="4A017C87" w14:textId="77777777" w:rsidR="00FF36E8" w:rsidRPr="000973F2" w:rsidRDefault="00FF36E8" w:rsidP="00247A39">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18"/>
                <w:szCs w:val="18"/>
              </w:rPr>
            </w:pPr>
            <w:r w:rsidRPr="000973F2">
              <w:rPr>
                <w:rFonts w:ascii="Times New Roman" w:eastAsia="Times New Roman" w:hAnsi="Times New Roman" w:cs="Times New Roman"/>
                <w:b/>
                <w:bCs/>
                <w:sz w:val="18"/>
                <w:szCs w:val="18"/>
              </w:rPr>
              <w:t>O&amp;M Costs (2017$/year)</w:t>
            </w:r>
          </w:p>
        </w:tc>
        <w:tc>
          <w:tcPr>
            <w:tcW w:w="1277" w:type="dxa"/>
            <w:shd w:val="clear" w:color="auto" w:fill="F2F2F2"/>
            <w:hideMark/>
          </w:tcPr>
          <w:p w14:paraId="3613314B" w14:textId="77777777" w:rsidR="00FF36E8" w:rsidRPr="000973F2" w:rsidRDefault="00FF36E8" w:rsidP="00247A39">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18"/>
                <w:szCs w:val="18"/>
              </w:rPr>
            </w:pPr>
            <w:r w:rsidRPr="000973F2">
              <w:rPr>
                <w:rFonts w:ascii="Times New Roman" w:eastAsia="Times New Roman" w:hAnsi="Times New Roman" w:cs="Times New Roman"/>
                <w:b/>
                <w:bCs/>
                <w:sz w:val="18"/>
                <w:szCs w:val="18"/>
              </w:rPr>
              <w:t>Initial Year</w:t>
            </w:r>
          </w:p>
        </w:tc>
        <w:tc>
          <w:tcPr>
            <w:tcW w:w="1228" w:type="dxa"/>
            <w:shd w:val="clear" w:color="auto" w:fill="F2F2F2"/>
            <w:hideMark/>
          </w:tcPr>
          <w:p w14:paraId="1956D374" w14:textId="77777777" w:rsidR="00FF36E8" w:rsidRPr="000973F2" w:rsidRDefault="00FF36E8" w:rsidP="00247A39">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18"/>
                <w:szCs w:val="18"/>
              </w:rPr>
            </w:pPr>
            <w:r w:rsidRPr="000973F2">
              <w:rPr>
                <w:rFonts w:ascii="Times New Roman" w:eastAsia="Times New Roman" w:hAnsi="Times New Roman" w:cs="Times New Roman"/>
                <w:b/>
                <w:bCs/>
                <w:sz w:val="18"/>
                <w:szCs w:val="18"/>
              </w:rPr>
              <w:t>Subseq. Years</w:t>
            </w:r>
          </w:p>
        </w:tc>
      </w:tr>
      <w:tr w:rsidR="00247A39" w:rsidRPr="000973F2" w14:paraId="3E15DBC5" w14:textId="77777777" w:rsidTr="00247A39">
        <w:tc>
          <w:tcPr>
            <w:cnfStyle w:val="001000000000" w:firstRow="0" w:lastRow="0" w:firstColumn="1" w:lastColumn="0" w:oddVBand="0" w:evenVBand="0" w:oddHBand="0" w:evenHBand="0" w:firstRowFirstColumn="0" w:firstRowLastColumn="0" w:lastRowFirstColumn="0" w:lastRowLastColumn="0"/>
            <w:tcW w:w="1965" w:type="dxa"/>
            <w:shd w:val="clear" w:color="auto" w:fill="auto"/>
            <w:hideMark/>
          </w:tcPr>
          <w:p w14:paraId="5ACC0C6B" w14:textId="77777777" w:rsidR="003E005F" w:rsidRPr="000973F2" w:rsidRDefault="003E005F" w:rsidP="00247A39">
            <w:pPr>
              <w:spacing w:before="40" w:after="4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Equipment (selection, purchase, installation)</w:t>
            </w:r>
          </w:p>
        </w:tc>
        <w:tc>
          <w:tcPr>
            <w:tcW w:w="1227" w:type="dxa"/>
            <w:shd w:val="clear" w:color="auto" w:fill="auto"/>
            <w:noWrap/>
            <w:hideMark/>
          </w:tcPr>
          <w:p w14:paraId="61055304" w14:textId="2D67C891" w:rsidR="003E005F" w:rsidRPr="000973F2" w:rsidRDefault="00247A39" w:rsidP="00247A39">
            <w:pPr>
              <w:spacing w:before="40" w:after="4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w:t>
            </w:r>
          </w:p>
        </w:tc>
        <w:tc>
          <w:tcPr>
            <w:tcW w:w="1228" w:type="dxa"/>
            <w:shd w:val="clear" w:color="auto" w:fill="auto"/>
            <w:noWrap/>
          </w:tcPr>
          <w:p w14:paraId="244E9ABE" w14:textId="0CF2579E" w:rsidR="003E005F" w:rsidRPr="000973F2" w:rsidRDefault="003E005F" w:rsidP="00247A39">
            <w:pPr>
              <w:spacing w:before="40" w:after="4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p>
        </w:tc>
        <w:tc>
          <w:tcPr>
            <w:tcW w:w="1227" w:type="dxa"/>
            <w:shd w:val="clear" w:color="auto" w:fill="auto"/>
            <w:noWrap/>
            <w:hideMark/>
          </w:tcPr>
          <w:p w14:paraId="76934024" w14:textId="01863939" w:rsidR="003E005F" w:rsidRPr="000973F2" w:rsidRDefault="00247A39" w:rsidP="00247A39">
            <w:pPr>
              <w:spacing w:before="40" w:after="4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w:t>
            </w:r>
          </w:p>
        </w:tc>
        <w:tc>
          <w:tcPr>
            <w:tcW w:w="1178" w:type="dxa"/>
            <w:shd w:val="clear" w:color="auto" w:fill="auto"/>
            <w:noWrap/>
            <w:hideMark/>
          </w:tcPr>
          <w:p w14:paraId="0A108C1C" w14:textId="154DEB51" w:rsidR="003E005F" w:rsidRPr="000973F2" w:rsidRDefault="00247A39" w:rsidP="00247A39">
            <w:pPr>
              <w:tabs>
                <w:tab w:val="decimal" w:pos="616"/>
              </w:tabs>
              <w:spacing w:before="40" w:after="4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w:t>
            </w:r>
          </w:p>
        </w:tc>
        <w:tc>
          <w:tcPr>
            <w:tcW w:w="1277" w:type="dxa"/>
            <w:shd w:val="clear" w:color="auto" w:fill="auto"/>
            <w:noWrap/>
            <w:hideMark/>
          </w:tcPr>
          <w:p w14:paraId="37DBB85B" w14:textId="69495153" w:rsidR="003E005F" w:rsidRPr="000973F2" w:rsidRDefault="00247A39" w:rsidP="00247A39">
            <w:pPr>
              <w:spacing w:before="40" w:after="4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w:t>
            </w:r>
          </w:p>
        </w:tc>
        <w:tc>
          <w:tcPr>
            <w:tcW w:w="1228" w:type="dxa"/>
            <w:shd w:val="clear" w:color="auto" w:fill="auto"/>
            <w:noWrap/>
            <w:hideMark/>
          </w:tcPr>
          <w:p w14:paraId="033C5F04" w14:textId="3CC1CCC2" w:rsidR="003E005F" w:rsidRPr="000973F2" w:rsidRDefault="00247A39" w:rsidP="00247A39">
            <w:pPr>
              <w:tabs>
                <w:tab w:val="decimal" w:pos="631"/>
              </w:tabs>
              <w:spacing w:before="40" w:after="4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w:t>
            </w:r>
          </w:p>
        </w:tc>
      </w:tr>
      <w:tr w:rsidR="00247A39" w:rsidRPr="000973F2" w14:paraId="20299C95" w14:textId="77777777" w:rsidTr="00247A3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65" w:type="dxa"/>
            <w:shd w:val="clear" w:color="auto" w:fill="F2F2F2"/>
            <w:hideMark/>
          </w:tcPr>
          <w:p w14:paraId="679CDAB3" w14:textId="77777777" w:rsidR="003E005F" w:rsidRPr="000973F2" w:rsidRDefault="003E005F" w:rsidP="00247A39">
            <w:pPr>
              <w:spacing w:before="40" w:after="4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Performance testing</w:t>
            </w:r>
          </w:p>
        </w:tc>
        <w:tc>
          <w:tcPr>
            <w:tcW w:w="1227" w:type="dxa"/>
            <w:shd w:val="clear" w:color="auto" w:fill="F2F2F2"/>
            <w:noWrap/>
            <w:hideMark/>
          </w:tcPr>
          <w:p w14:paraId="077EF679" w14:textId="71D90A56" w:rsidR="003E005F" w:rsidRPr="000973F2" w:rsidRDefault="00247A39" w:rsidP="00247A39">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w:t>
            </w:r>
          </w:p>
        </w:tc>
        <w:tc>
          <w:tcPr>
            <w:tcW w:w="1228" w:type="dxa"/>
            <w:shd w:val="clear" w:color="auto" w:fill="F2F2F2"/>
            <w:noWrap/>
          </w:tcPr>
          <w:p w14:paraId="2CC23396" w14:textId="48180401" w:rsidR="003E005F" w:rsidRPr="000973F2" w:rsidRDefault="003E005F" w:rsidP="00247A39">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p>
        </w:tc>
        <w:tc>
          <w:tcPr>
            <w:tcW w:w="1227" w:type="dxa"/>
            <w:shd w:val="clear" w:color="auto" w:fill="F2F2F2"/>
            <w:noWrap/>
            <w:hideMark/>
          </w:tcPr>
          <w:p w14:paraId="3141BABD" w14:textId="2E6E799B" w:rsidR="003E005F" w:rsidRPr="000973F2" w:rsidRDefault="00247A39" w:rsidP="00247A39">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w:t>
            </w:r>
          </w:p>
        </w:tc>
        <w:tc>
          <w:tcPr>
            <w:tcW w:w="1178" w:type="dxa"/>
            <w:shd w:val="clear" w:color="auto" w:fill="F2F2F2"/>
            <w:noWrap/>
            <w:hideMark/>
          </w:tcPr>
          <w:p w14:paraId="41A5B5CF" w14:textId="5F3C0C98" w:rsidR="003E005F" w:rsidRPr="000973F2" w:rsidRDefault="00247A39" w:rsidP="00247A39">
            <w:pPr>
              <w:tabs>
                <w:tab w:val="decimal" w:pos="616"/>
              </w:tabs>
              <w:spacing w:before="40" w:after="4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w:t>
            </w:r>
          </w:p>
        </w:tc>
        <w:tc>
          <w:tcPr>
            <w:tcW w:w="1277" w:type="dxa"/>
            <w:shd w:val="clear" w:color="auto" w:fill="F2F2F2"/>
            <w:noWrap/>
            <w:hideMark/>
          </w:tcPr>
          <w:p w14:paraId="0D3C952D" w14:textId="1DBC0288" w:rsidR="003E005F" w:rsidRPr="000973F2" w:rsidRDefault="00247A39" w:rsidP="00247A39">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w:t>
            </w:r>
          </w:p>
        </w:tc>
        <w:tc>
          <w:tcPr>
            <w:tcW w:w="1228" w:type="dxa"/>
            <w:shd w:val="clear" w:color="auto" w:fill="F2F2F2"/>
            <w:noWrap/>
            <w:hideMark/>
          </w:tcPr>
          <w:p w14:paraId="6833A40E" w14:textId="50B9D0AE" w:rsidR="003E005F" w:rsidRPr="000973F2" w:rsidRDefault="00247A39" w:rsidP="00247A39">
            <w:pPr>
              <w:tabs>
                <w:tab w:val="decimal" w:pos="631"/>
              </w:tabs>
              <w:spacing w:before="40" w:after="4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w:t>
            </w:r>
          </w:p>
        </w:tc>
      </w:tr>
      <w:tr w:rsidR="00247A39" w:rsidRPr="000973F2" w14:paraId="65AA2957" w14:textId="77777777" w:rsidTr="00247A39">
        <w:tc>
          <w:tcPr>
            <w:cnfStyle w:val="001000000000" w:firstRow="0" w:lastRow="0" w:firstColumn="1" w:lastColumn="0" w:oddVBand="0" w:evenVBand="0" w:oddHBand="0" w:evenHBand="0" w:firstRowFirstColumn="0" w:firstRowLastColumn="0" w:lastRowFirstColumn="0" w:lastRowLastColumn="0"/>
            <w:tcW w:w="1965" w:type="dxa"/>
            <w:shd w:val="clear" w:color="auto" w:fill="auto"/>
            <w:hideMark/>
          </w:tcPr>
          <w:p w14:paraId="7768BE64" w14:textId="77777777" w:rsidR="00830E92" w:rsidRPr="000973F2" w:rsidRDefault="00830E92" w:rsidP="00247A39">
            <w:pPr>
              <w:spacing w:before="40" w:after="4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Recordkeeping</w:t>
            </w:r>
          </w:p>
        </w:tc>
        <w:tc>
          <w:tcPr>
            <w:tcW w:w="1227" w:type="dxa"/>
            <w:shd w:val="clear" w:color="auto" w:fill="auto"/>
            <w:noWrap/>
            <w:hideMark/>
          </w:tcPr>
          <w:p w14:paraId="085D005C" w14:textId="77777777" w:rsidR="00830E92" w:rsidRPr="000973F2" w:rsidRDefault="00830E92" w:rsidP="00247A39">
            <w:pPr>
              <w:spacing w:before="40" w:after="4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$0</w:t>
            </w:r>
          </w:p>
        </w:tc>
        <w:tc>
          <w:tcPr>
            <w:tcW w:w="1228" w:type="dxa"/>
            <w:shd w:val="clear" w:color="auto" w:fill="auto"/>
            <w:noWrap/>
          </w:tcPr>
          <w:p w14:paraId="72E390FA" w14:textId="77777777" w:rsidR="00830E92" w:rsidRPr="000973F2" w:rsidRDefault="00830E92" w:rsidP="00247A39">
            <w:pPr>
              <w:spacing w:before="40" w:after="4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p>
        </w:tc>
        <w:tc>
          <w:tcPr>
            <w:tcW w:w="1227" w:type="dxa"/>
            <w:shd w:val="clear" w:color="auto" w:fill="auto"/>
            <w:noWrap/>
            <w:hideMark/>
          </w:tcPr>
          <w:p w14:paraId="1F3DB292" w14:textId="77777777" w:rsidR="00830E92" w:rsidRPr="000973F2" w:rsidRDefault="00830E92" w:rsidP="00247A39">
            <w:pPr>
              <w:spacing w:before="40" w:after="4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$0</w:t>
            </w:r>
          </w:p>
        </w:tc>
        <w:tc>
          <w:tcPr>
            <w:tcW w:w="1178" w:type="dxa"/>
            <w:shd w:val="clear" w:color="auto" w:fill="auto"/>
            <w:noWrap/>
            <w:hideMark/>
          </w:tcPr>
          <w:p w14:paraId="1CF8464F" w14:textId="77777777" w:rsidR="00830E92" w:rsidRPr="000973F2" w:rsidRDefault="00830E92" w:rsidP="00247A39">
            <w:pPr>
              <w:tabs>
                <w:tab w:val="decimal" w:pos="616"/>
              </w:tabs>
              <w:spacing w:before="40" w:after="4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$50</w:t>
            </w:r>
          </w:p>
        </w:tc>
        <w:tc>
          <w:tcPr>
            <w:tcW w:w="1277" w:type="dxa"/>
            <w:shd w:val="clear" w:color="auto" w:fill="auto"/>
            <w:noWrap/>
            <w:hideMark/>
          </w:tcPr>
          <w:p w14:paraId="7BAE122C" w14:textId="77777777" w:rsidR="00830E92" w:rsidRPr="000973F2" w:rsidRDefault="00830E92" w:rsidP="00247A39">
            <w:pPr>
              <w:spacing w:before="40" w:after="4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$0</w:t>
            </w:r>
          </w:p>
        </w:tc>
        <w:tc>
          <w:tcPr>
            <w:tcW w:w="1228" w:type="dxa"/>
            <w:shd w:val="clear" w:color="auto" w:fill="auto"/>
            <w:noWrap/>
            <w:hideMark/>
          </w:tcPr>
          <w:p w14:paraId="5FFC1B24" w14:textId="77777777" w:rsidR="00830E92" w:rsidRPr="000973F2" w:rsidRDefault="00830E92" w:rsidP="00247A39">
            <w:pPr>
              <w:tabs>
                <w:tab w:val="decimal" w:pos="631"/>
              </w:tabs>
              <w:spacing w:before="40" w:after="4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$50</w:t>
            </w:r>
          </w:p>
        </w:tc>
      </w:tr>
      <w:tr w:rsidR="00247A39" w:rsidRPr="000973F2" w14:paraId="7A3F62AF" w14:textId="77777777" w:rsidTr="00247A3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65" w:type="dxa"/>
            <w:shd w:val="clear" w:color="auto" w:fill="F2F2F2"/>
            <w:hideMark/>
          </w:tcPr>
          <w:p w14:paraId="4C00D2B6" w14:textId="77777777" w:rsidR="003E005F" w:rsidRPr="000973F2" w:rsidRDefault="003E005F" w:rsidP="00247A39">
            <w:pPr>
              <w:spacing w:before="40" w:after="4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Travel</w:t>
            </w:r>
          </w:p>
        </w:tc>
        <w:tc>
          <w:tcPr>
            <w:tcW w:w="1227" w:type="dxa"/>
            <w:shd w:val="clear" w:color="auto" w:fill="F2F2F2"/>
            <w:noWrap/>
            <w:hideMark/>
          </w:tcPr>
          <w:p w14:paraId="56A05D5E" w14:textId="038782AC" w:rsidR="003E005F" w:rsidRPr="000973F2" w:rsidRDefault="00247A39" w:rsidP="00247A39">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w:t>
            </w:r>
          </w:p>
        </w:tc>
        <w:tc>
          <w:tcPr>
            <w:tcW w:w="1228" w:type="dxa"/>
            <w:shd w:val="clear" w:color="auto" w:fill="F2F2F2"/>
            <w:noWrap/>
          </w:tcPr>
          <w:p w14:paraId="612AC367" w14:textId="5C5E7403" w:rsidR="003E005F" w:rsidRPr="000973F2" w:rsidRDefault="003E005F" w:rsidP="00247A39">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p>
        </w:tc>
        <w:tc>
          <w:tcPr>
            <w:tcW w:w="1227" w:type="dxa"/>
            <w:shd w:val="clear" w:color="auto" w:fill="F2F2F2"/>
            <w:noWrap/>
            <w:hideMark/>
          </w:tcPr>
          <w:p w14:paraId="4097219B" w14:textId="00ACC3B3" w:rsidR="003E005F" w:rsidRPr="000973F2" w:rsidRDefault="00247A39" w:rsidP="00247A39">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w:t>
            </w:r>
          </w:p>
        </w:tc>
        <w:tc>
          <w:tcPr>
            <w:tcW w:w="1178" w:type="dxa"/>
            <w:shd w:val="clear" w:color="auto" w:fill="F2F2F2"/>
            <w:noWrap/>
            <w:hideMark/>
          </w:tcPr>
          <w:p w14:paraId="00F11353" w14:textId="7EDC5AE1" w:rsidR="003E005F" w:rsidRPr="000973F2" w:rsidRDefault="00247A39" w:rsidP="00247A39">
            <w:pPr>
              <w:tabs>
                <w:tab w:val="decimal" w:pos="616"/>
              </w:tabs>
              <w:spacing w:before="40" w:after="4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w:t>
            </w:r>
          </w:p>
        </w:tc>
        <w:tc>
          <w:tcPr>
            <w:tcW w:w="1277" w:type="dxa"/>
            <w:shd w:val="clear" w:color="auto" w:fill="F2F2F2"/>
            <w:noWrap/>
            <w:hideMark/>
          </w:tcPr>
          <w:p w14:paraId="3B7F0CBA" w14:textId="66975410" w:rsidR="003E005F" w:rsidRPr="000973F2" w:rsidRDefault="00247A39" w:rsidP="00247A39">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w:t>
            </w:r>
          </w:p>
        </w:tc>
        <w:tc>
          <w:tcPr>
            <w:tcW w:w="1228" w:type="dxa"/>
            <w:shd w:val="clear" w:color="auto" w:fill="F2F2F2"/>
            <w:noWrap/>
            <w:hideMark/>
          </w:tcPr>
          <w:p w14:paraId="1418108B" w14:textId="5680C599" w:rsidR="003E005F" w:rsidRPr="000973F2" w:rsidRDefault="00247A39" w:rsidP="00247A39">
            <w:pPr>
              <w:tabs>
                <w:tab w:val="decimal" w:pos="631"/>
              </w:tabs>
              <w:spacing w:before="40" w:after="4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w:t>
            </w:r>
          </w:p>
        </w:tc>
      </w:tr>
      <w:tr w:rsidR="00247A39" w:rsidRPr="000973F2" w14:paraId="5E114FFD" w14:textId="77777777" w:rsidTr="00247A39">
        <w:tc>
          <w:tcPr>
            <w:cnfStyle w:val="001000000000" w:firstRow="0" w:lastRow="0" w:firstColumn="1" w:lastColumn="0" w:oddVBand="0" w:evenVBand="0" w:oddHBand="0" w:evenHBand="0" w:firstRowFirstColumn="0" w:firstRowLastColumn="0" w:lastRowFirstColumn="0" w:lastRowLastColumn="0"/>
            <w:tcW w:w="1965" w:type="dxa"/>
            <w:shd w:val="clear" w:color="auto" w:fill="auto"/>
            <w:hideMark/>
          </w:tcPr>
          <w:p w14:paraId="6CB9CAA2" w14:textId="0AC3CC9D" w:rsidR="00830E92" w:rsidRPr="000973F2" w:rsidRDefault="00830E92" w:rsidP="00247A39">
            <w:pPr>
              <w:spacing w:before="40" w:after="4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 xml:space="preserve">Sampling </w:t>
            </w:r>
            <w:r w:rsidR="00C805F3" w:rsidRPr="000973F2">
              <w:rPr>
                <w:rFonts w:ascii="Times New Roman" w:eastAsia="Times New Roman" w:hAnsi="Times New Roman" w:cs="Times New Roman"/>
                <w:sz w:val="18"/>
                <w:szCs w:val="18"/>
              </w:rPr>
              <w:t xml:space="preserve">and Analysis </w:t>
            </w:r>
            <w:r w:rsidRPr="000973F2">
              <w:rPr>
                <w:rFonts w:ascii="Times New Roman" w:eastAsia="Times New Roman" w:hAnsi="Times New Roman" w:cs="Times New Roman"/>
                <w:sz w:val="18"/>
                <w:szCs w:val="18"/>
              </w:rPr>
              <w:t>Costs</w:t>
            </w:r>
          </w:p>
        </w:tc>
        <w:tc>
          <w:tcPr>
            <w:tcW w:w="1227" w:type="dxa"/>
            <w:shd w:val="clear" w:color="auto" w:fill="auto"/>
            <w:noWrap/>
            <w:hideMark/>
          </w:tcPr>
          <w:p w14:paraId="2E9F9AD2" w14:textId="77777777" w:rsidR="00830E92" w:rsidRPr="000973F2" w:rsidRDefault="00830E92" w:rsidP="00247A39">
            <w:pPr>
              <w:spacing w:before="40" w:after="4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$0</w:t>
            </w:r>
          </w:p>
        </w:tc>
        <w:tc>
          <w:tcPr>
            <w:tcW w:w="1228" w:type="dxa"/>
            <w:shd w:val="clear" w:color="auto" w:fill="auto"/>
            <w:noWrap/>
          </w:tcPr>
          <w:p w14:paraId="3C032868" w14:textId="77777777" w:rsidR="00830E92" w:rsidRPr="000973F2" w:rsidRDefault="00830E92" w:rsidP="00247A39">
            <w:pPr>
              <w:spacing w:before="40" w:after="4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p>
        </w:tc>
        <w:tc>
          <w:tcPr>
            <w:tcW w:w="1227" w:type="dxa"/>
            <w:shd w:val="clear" w:color="auto" w:fill="auto"/>
            <w:noWrap/>
            <w:hideMark/>
          </w:tcPr>
          <w:p w14:paraId="6031E782" w14:textId="77777777" w:rsidR="00830E92" w:rsidRPr="000973F2" w:rsidRDefault="00830E92" w:rsidP="00247A39">
            <w:pPr>
              <w:spacing w:before="40" w:after="4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$0</w:t>
            </w:r>
          </w:p>
        </w:tc>
        <w:tc>
          <w:tcPr>
            <w:tcW w:w="1178" w:type="dxa"/>
            <w:shd w:val="clear" w:color="auto" w:fill="auto"/>
            <w:noWrap/>
            <w:hideMark/>
          </w:tcPr>
          <w:p w14:paraId="758B5C3C" w14:textId="25296BFB" w:rsidR="00830E92" w:rsidRPr="000973F2" w:rsidRDefault="00830E92" w:rsidP="00247A39">
            <w:pPr>
              <w:tabs>
                <w:tab w:val="decimal" w:pos="616"/>
              </w:tabs>
              <w:spacing w:before="40" w:after="4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$4</w:t>
            </w:r>
            <w:r w:rsidR="00786480" w:rsidRPr="000973F2">
              <w:rPr>
                <w:rFonts w:ascii="Times New Roman" w:eastAsia="Times New Roman" w:hAnsi="Times New Roman" w:cs="Times New Roman"/>
                <w:sz w:val="18"/>
                <w:szCs w:val="18"/>
              </w:rPr>
              <w:t>2</w:t>
            </w:r>
            <w:r w:rsidRPr="000973F2">
              <w:rPr>
                <w:rFonts w:ascii="Times New Roman" w:eastAsia="Times New Roman" w:hAnsi="Times New Roman" w:cs="Times New Roman"/>
                <w:sz w:val="18"/>
                <w:szCs w:val="18"/>
              </w:rPr>
              <w:t>0</w:t>
            </w:r>
          </w:p>
        </w:tc>
        <w:tc>
          <w:tcPr>
            <w:tcW w:w="1277" w:type="dxa"/>
            <w:shd w:val="clear" w:color="auto" w:fill="auto"/>
            <w:noWrap/>
            <w:hideMark/>
          </w:tcPr>
          <w:p w14:paraId="7E5E6D38" w14:textId="77777777" w:rsidR="00830E92" w:rsidRPr="000973F2" w:rsidRDefault="00830E92" w:rsidP="00247A39">
            <w:pPr>
              <w:spacing w:before="40" w:after="4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$0</w:t>
            </w:r>
          </w:p>
        </w:tc>
        <w:tc>
          <w:tcPr>
            <w:tcW w:w="1228" w:type="dxa"/>
            <w:shd w:val="clear" w:color="auto" w:fill="auto"/>
            <w:noWrap/>
            <w:hideMark/>
          </w:tcPr>
          <w:p w14:paraId="0790EE44" w14:textId="41203727" w:rsidR="00830E92" w:rsidRPr="000973F2" w:rsidRDefault="00830E92" w:rsidP="00247A39">
            <w:pPr>
              <w:tabs>
                <w:tab w:val="decimal" w:pos="631"/>
              </w:tabs>
              <w:spacing w:before="40" w:after="4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$4</w:t>
            </w:r>
            <w:r w:rsidR="00D640BE" w:rsidRPr="000973F2">
              <w:rPr>
                <w:rFonts w:ascii="Times New Roman" w:eastAsia="Times New Roman" w:hAnsi="Times New Roman" w:cs="Times New Roman"/>
                <w:sz w:val="18"/>
                <w:szCs w:val="18"/>
              </w:rPr>
              <w:t>2</w:t>
            </w:r>
            <w:r w:rsidRPr="000973F2">
              <w:rPr>
                <w:rFonts w:ascii="Times New Roman" w:eastAsia="Times New Roman" w:hAnsi="Times New Roman" w:cs="Times New Roman"/>
                <w:sz w:val="18"/>
                <w:szCs w:val="18"/>
              </w:rPr>
              <w:t>0</w:t>
            </w:r>
          </w:p>
        </w:tc>
      </w:tr>
      <w:tr w:rsidR="00247A39" w:rsidRPr="000973F2" w14:paraId="38FB870E" w14:textId="77777777" w:rsidTr="00247A3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65" w:type="dxa"/>
            <w:shd w:val="clear" w:color="auto" w:fill="F2F2F2"/>
            <w:hideMark/>
          </w:tcPr>
          <w:p w14:paraId="593679F8" w14:textId="77777777" w:rsidR="00830E92" w:rsidRPr="000973F2" w:rsidRDefault="00830E92" w:rsidP="00247A39">
            <w:pPr>
              <w:spacing w:before="40" w:after="40"/>
              <w:rPr>
                <w:rFonts w:ascii="Times New Roman" w:eastAsia="Times New Roman" w:hAnsi="Times New Roman" w:cs="Times New Roman"/>
                <w:b/>
                <w:bCs w:val="0"/>
                <w:sz w:val="18"/>
                <w:szCs w:val="18"/>
              </w:rPr>
            </w:pPr>
            <w:r w:rsidRPr="000973F2">
              <w:rPr>
                <w:rFonts w:ascii="Times New Roman" w:eastAsia="Times New Roman" w:hAnsi="Times New Roman" w:cs="Times New Roman"/>
                <w:b/>
                <w:sz w:val="18"/>
                <w:szCs w:val="18"/>
              </w:rPr>
              <w:t xml:space="preserve">Total </w:t>
            </w:r>
          </w:p>
        </w:tc>
        <w:tc>
          <w:tcPr>
            <w:tcW w:w="1227" w:type="dxa"/>
            <w:shd w:val="clear" w:color="auto" w:fill="F2F2F2"/>
            <w:noWrap/>
            <w:hideMark/>
          </w:tcPr>
          <w:p w14:paraId="19F20FDD" w14:textId="77777777" w:rsidR="00830E92" w:rsidRPr="000973F2" w:rsidRDefault="00830E92" w:rsidP="00247A39">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$0</w:t>
            </w:r>
          </w:p>
        </w:tc>
        <w:tc>
          <w:tcPr>
            <w:tcW w:w="1228" w:type="dxa"/>
            <w:shd w:val="clear" w:color="auto" w:fill="F2F2F2"/>
            <w:noWrap/>
          </w:tcPr>
          <w:p w14:paraId="765752EB" w14:textId="77777777" w:rsidR="00830E92" w:rsidRPr="000973F2" w:rsidRDefault="00830E92" w:rsidP="00247A39">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p>
        </w:tc>
        <w:tc>
          <w:tcPr>
            <w:tcW w:w="1227" w:type="dxa"/>
            <w:shd w:val="clear" w:color="auto" w:fill="F2F2F2"/>
            <w:noWrap/>
            <w:hideMark/>
          </w:tcPr>
          <w:p w14:paraId="0F150613" w14:textId="77777777" w:rsidR="00830E92" w:rsidRPr="000973F2" w:rsidRDefault="00830E92" w:rsidP="00247A39">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$0</w:t>
            </w:r>
          </w:p>
        </w:tc>
        <w:tc>
          <w:tcPr>
            <w:tcW w:w="1178" w:type="dxa"/>
            <w:shd w:val="clear" w:color="auto" w:fill="F2F2F2"/>
            <w:noWrap/>
            <w:hideMark/>
          </w:tcPr>
          <w:p w14:paraId="3496AE64" w14:textId="0BF0AB23" w:rsidR="00830E92" w:rsidRPr="000973F2" w:rsidRDefault="00830E92" w:rsidP="00247A39">
            <w:pPr>
              <w:tabs>
                <w:tab w:val="decimal" w:pos="616"/>
              </w:tabs>
              <w:spacing w:before="40" w:after="4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$4</w:t>
            </w:r>
            <w:r w:rsidR="00D640BE" w:rsidRPr="000973F2">
              <w:rPr>
                <w:rFonts w:ascii="Times New Roman" w:eastAsia="Times New Roman" w:hAnsi="Times New Roman" w:cs="Times New Roman"/>
                <w:sz w:val="18"/>
                <w:szCs w:val="18"/>
              </w:rPr>
              <w:t>7</w:t>
            </w:r>
            <w:r w:rsidRPr="000973F2">
              <w:rPr>
                <w:rFonts w:ascii="Times New Roman" w:eastAsia="Times New Roman" w:hAnsi="Times New Roman" w:cs="Times New Roman"/>
                <w:sz w:val="18"/>
                <w:szCs w:val="18"/>
              </w:rPr>
              <w:t>0</w:t>
            </w:r>
          </w:p>
        </w:tc>
        <w:tc>
          <w:tcPr>
            <w:tcW w:w="1277" w:type="dxa"/>
            <w:shd w:val="clear" w:color="auto" w:fill="F2F2F2"/>
            <w:noWrap/>
            <w:hideMark/>
          </w:tcPr>
          <w:p w14:paraId="13AD019B" w14:textId="77777777" w:rsidR="00830E92" w:rsidRPr="000973F2" w:rsidRDefault="00830E92" w:rsidP="00247A39">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$0</w:t>
            </w:r>
          </w:p>
        </w:tc>
        <w:tc>
          <w:tcPr>
            <w:tcW w:w="1228" w:type="dxa"/>
            <w:shd w:val="clear" w:color="auto" w:fill="F2F2F2"/>
            <w:noWrap/>
            <w:hideMark/>
          </w:tcPr>
          <w:p w14:paraId="6F235186" w14:textId="2AE21AA2" w:rsidR="00830E92" w:rsidRPr="000973F2" w:rsidRDefault="00830E92" w:rsidP="00247A39">
            <w:pPr>
              <w:tabs>
                <w:tab w:val="decimal" w:pos="631"/>
              </w:tabs>
              <w:spacing w:before="40" w:after="4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$4</w:t>
            </w:r>
            <w:r w:rsidR="00D640BE" w:rsidRPr="000973F2">
              <w:rPr>
                <w:rFonts w:ascii="Times New Roman" w:eastAsia="Times New Roman" w:hAnsi="Times New Roman" w:cs="Times New Roman"/>
                <w:sz w:val="18"/>
                <w:szCs w:val="18"/>
              </w:rPr>
              <w:t>7</w:t>
            </w:r>
            <w:r w:rsidRPr="000973F2">
              <w:rPr>
                <w:rFonts w:ascii="Times New Roman" w:eastAsia="Times New Roman" w:hAnsi="Times New Roman" w:cs="Times New Roman"/>
                <w:sz w:val="18"/>
                <w:szCs w:val="18"/>
              </w:rPr>
              <w:t>0</w:t>
            </w:r>
          </w:p>
        </w:tc>
      </w:tr>
    </w:tbl>
    <w:p w14:paraId="2478E3DA" w14:textId="77777777" w:rsidR="00830E92" w:rsidRPr="000973F2" w:rsidRDefault="00830E92" w:rsidP="00C00E4F">
      <w:pPr>
        <w:spacing w:line="240" w:lineRule="auto"/>
        <w:rPr>
          <w:rFonts w:ascii="Times New Roman" w:hAnsi="Times New Roman" w:cs="Times New Roman"/>
          <w:i/>
          <w:sz w:val="24"/>
          <w:szCs w:val="24"/>
        </w:rPr>
      </w:pPr>
    </w:p>
    <w:p w14:paraId="4CC9EBC6" w14:textId="77777777" w:rsidR="00830E92" w:rsidRPr="000973F2" w:rsidRDefault="00830E92" w:rsidP="00C00E4F">
      <w:pPr>
        <w:spacing w:line="240" w:lineRule="auto"/>
        <w:rPr>
          <w:rFonts w:ascii="Times New Roman" w:hAnsi="Times New Roman" w:cs="Times New Roman"/>
          <w:b/>
          <w:i/>
          <w:iCs/>
        </w:rPr>
      </w:pPr>
      <w:r w:rsidRPr="000973F2">
        <w:rPr>
          <w:rFonts w:ascii="Times New Roman" w:hAnsi="Times New Roman" w:cs="Times New Roman"/>
          <w:b/>
          <w:i/>
          <w:iCs/>
        </w:rPr>
        <w:br w:type="page"/>
      </w:r>
    </w:p>
    <w:p w14:paraId="7966F300" w14:textId="77777777" w:rsidR="00830E92" w:rsidRPr="000973F2" w:rsidRDefault="00830E92" w:rsidP="00247A39">
      <w:pPr>
        <w:pStyle w:val="Heading2"/>
        <w:rPr>
          <w:color w:val="000000"/>
          <w:szCs w:val="24"/>
          <w:shd w:val="clear" w:color="auto" w:fill="FFFFFF"/>
        </w:rPr>
      </w:pPr>
      <w:r w:rsidRPr="000973F2">
        <w:t>Labor Costs for Subpart P – Mass Balance Option; Natural Gas and Liquid/Solid Fuel</w:t>
      </w:r>
    </w:p>
    <w:p w14:paraId="7D8552AA" w14:textId="773C5791" w:rsidR="00830E92" w:rsidRPr="000973F2" w:rsidRDefault="00830E92" w:rsidP="00247A39">
      <w:pPr>
        <w:pStyle w:val="BodyText"/>
      </w:pPr>
      <w:r w:rsidRPr="000973F2">
        <w:t xml:space="preserve">Table </w:t>
      </w:r>
      <w:r w:rsidR="00247A39" w:rsidRPr="000973F2">
        <w:t>P-</w:t>
      </w:r>
      <w:r w:rsidRPr="000973F2">
        <w:t>1e presents the estimated labor costs for the mass balance option using both natural gas and liquid/solid fuels. 9 existing facilities using this combination of methodology option and fuel or feedstock. No new reporting facilities are expected with this configuration. Sampling and analysis to determine the molecular weight and carbon content of natural gas streams is performed annually, whereas sampling and analysis of liquid/solid fuel streams to determine molecular weight and carbon content is performed monthly. Initial year costs apply to new reporting facilities; therefore, those costs are zero in the table below. Recordkeeping and reporting hours are based on the “medium bin” designation, as discussed in the Cost Appendix Introduction.</w:t>
      </w:r>
    </w:p>
    <w:p w14:paraId="7EC133C6" w14:textId="3E810AF0" w:rsidR="00830E92" w:rsidRPr="000973F2" w:rsidRDefault="00C3351C" w:rsidP="00247A39">
      <w:pPr>
        <w:pStyle w:val="Tabletitle"/>
      </w:pPr>
      <w:r w:rsidRPr="000973F2">
        <w:t xml:space="preserve">Table </w:t>
      </w:r>
      <w:r w:rsidR="00247A39" w:rsidRPr="000973F2">
        <w:t>P-</w:t>
      </w:r>
      <w:r w:rsidRPr="000973F2">
        <w:t xml:space="preserve">1e. Labor Costs </w:t>
      </w:r>
      <w:r w:rsidR="00B31285" w:rsidRPr="000973F2">
        <w:t>–</w:t>
      </w:r>
      <w:r w:rsidRPr="000973F2">
        <w:t xml:space="preserve"> </w:t>
      </w:r>
      <w:r w:rsidR="008F390E" w:rsidRPr="000973F2">
        <w:t>Subpart P – Mass Balance Option; Natural Gas and Liquid/Solid Fuel</w:t>
      </w:r>
    </w:p>
    <w:tbl>
      <w:tblPr>
        <w:tblStyle w:val="PlainTable1"/>
        <w:tblW w:w="5000" w:type="pct"/>
        <w:tblLayout w:type="fixed"/>
        <w:tblLook w:val="04A0" w:firstRow="1" w:lastRow="0" w:firstColumn="1" w:lastColumn="0" w:noHBand="0" w:noVBand="1"/>
      </w:tblPr>
      <w:tblGrid>
        <w:gridCol w:w="1342"/>
        <w:gridCol w:w="815"/>
        <w:gridCol w:w="815"/>
        <w:gridCol w:w="815"/>
        <w:gridCol w:w="815"/>
        <w:gridCol w:w="815"/>
        <w:gridCol w:w="815"/>
        <w:gridCol w:w="815"/>
        <w:gridCol w:w="815"/>
        <w:gridCol w:w="706"/>
        <w:gridCol w:w="1008"/>
      </w:tblGrid>
      <w:tr w:rsidR="00830E92" w:rsidRPr="000973F2" w14:paraId="63AFFC7A" w14:textId="77777777" w:rsidTr="00B6531F">
        <w:trPr>
          <w:cnfStyle w:val="100000000000" w:firstRow="1" w:lastRow="0" w:firstColumn="0" w:lastColumn="0" w:oddVBand="0" w:evenVBand="0" w:oddHBand="0"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1308" w:type="dxa"/>
            <w:vMerge w:val="restart"/>
            <w:noWrap/>
            <w:hideMark/>
          </w:tcPr>
          <w:p w14:paraId="7EB35D5D" w14:textId="77777777" w:rsidR="00830E92" w:rsidRPr="000973F2" w:rsidRDefault="00830E92" w:rsidP="00B31285">
            <w:pPr>
              <w:spacing w:before="40" w:after="40"/>
              <w:rPr>
                <w:rFonts w:ascii="Times New Roman" w:eastAsia="Times New Roman" w:hAnsi="Times New Roman" w:cs="Times New Roman"/>
                <w:b w:val="0"/>
                <w:bCs w:val="0"/>
                <w:sz w:val="18"/>
                <w:szCs w:val="18"/>
              </w:rPr>
            </w:pPr>
            <w:r w:rsidRPr="000973F2">
              <w:rPr>
                <w:rFonts w:ascii="Times New Roman" w:eastAsia="Times New Roman" w:hAnsi="Times New Roman" w:cs="Times New Roman"/>
                <w:sz w:val="18"/>
                <w:szCs w:val="18"/>
              </w:rPr>
              <w:t>Activity</w:t>
            </w:r>
          </w:p>
        </w:tc>
        <w:tc>
          <w:tcPr>
            <w:tcW w:w="6352" w:type="dxa"/>
            <w:gridSpan w:val="8"/>
            <w:noWrap/>
            <w:hideMark/>
          </w:tcPr>
          <w:p w14:paraId="4211C6ED" w14:textId="77777777" w:rsidR="00830E92" w:rsidRPr="000973F2" w:rsidRDefault="00830E92" w:rsidP="00B31285">
            <w:pPr>
              <w:spacing w:before="40" w:after="40"/>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bCs w:val="0"/>
                <w:sz w:val="18"/>
                <w:szCs w:val="18"/>
              </w:rPr>
            </w:pPr>
            <w:r w:rsidRPr="000973F2">
              <w:rPr>
                <w:rFonts w:ascii="Times New Roman" w:eastAsia="Times New Roman" w:hAnsi="Times New Roman" w:cs="Times New Roman"/>
                <w:sz w:val="18"/>
                <w:szCs w:val="18"/>
              </w:rPr>
              <w:t>Labor Rates (per hour)</w:t>
            </w:r>
          </w:p>
        </w:tc>
        <w:tc>
          <w:tcPr>
            <w:tcW w:w="1670" w:type="dxa"/>
            <w:gridSpan w:val="2"/>
            <w:vMerge w:val="restart"/>
            <w:hideMark/>
          </w:tcPr>
          <w:p w14:paraId="3F095288" w14:textId="77777777" w:rsidR="00830E92" w:rsidRPr="000973F2" w:rsidRDefault="00830E92" w:rsidP="00B31285">
            <w:pPr>
              <w:spacing w:before="40" w:after="40"/>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bCs w:val="0"/>
                <w:sz w:val="18"/>
                <w:szCs w:val="18"/>
              </w:rPr>
            </w:pPr>
            <w:r w:rsidRPr="000973F2">
              <w:rPr>
                <w:rFonts w:ascii="Times New Roman" w:eastAsia="Times New Roman" w:hAnsi="Times New Roman" w:cs="Times New Roman"/>
                <w:sz w:val="18"/>
                <w:szCs w:val="18"/>
              </w:rPr>
              <w:t>Total Labor Cost per Year per Facility (2017$)</w:t>
            </w:r>
          </w:p>
        </w:tc>
      </w:tr>
      <w:tr w:rsidR="00247A39" w:rsidRPr="000973F2" w14:paraId="4157E471" w14:textId="77777777" w:rsidTr="00B31285">
        <w:tblPrEx>
          <w:jc w:val="left"/>
        </w:tblPrEx>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1308" w:type="dxa"/>
            <w:vMerge/>
            <w:hideMark/>
          </w:tcPr>
          <w:p w14:paraId="7175C2B0" w14:textId="77777777" w:rsidR="00830E92" w:rsidRPr="000973F2" w:rsidRDefault="00830E92" w:rsidP="00B31285">
            <w:pPr>
              <w:spacing w:before="40" w:after="40"/>
              <w:rPr>
                <w:rFonts w:ascii="Times New Roman" w:eastAsia="Times New Roman" w:hAnsi="Times New Roman" w:cs="Times New Roman"/>
                <w:b/>
                <w:bCs w:val="0"/>
                <w:sz w:val="18"/>
                <w:szCs w:val="18"/>
              </w:rPr>
            </w:pPr>
          </w:p>
        </w:tc>
        <w:tc>
          <w:tcPr>
            <w:tcW w:w="1588" w:type="dxa"/>
            <w:gridSpan w:val="2"/>
            <w:noWrap/>
            <w:hideMark/>
          </w:tcPr>
          <w:p w14:paraId="4DBAC921" w14:textId="77777777" w:rsidR="00830E92" w:rsidRPr="000973F2" w:rsidRDefault="00830E92" w:rsidP="00B31285">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18"/>
                <w:szCs w:val="18"/>
              </w:rPr>
            </w:pPr>
            <w:r w:rsidRPr="000973F2">
              <w:rPr>
                <w:rFonts w:ascii="Times New Roman" w:eastAsia="Times New Roman" w:hAnsi="Times New Roman" w:cs="Times New Roman"/>
                <w:b/>
                <w:bCs/>
                <w:sz w:val="18"/>
                <w:szCs w:val="18"/>
              </w:rPr>
              <w:t>Lawyer</w:t>
            </w:r>
          </w:p>
        </w:tc>
        <w:tc>
          <w:tcPr>
            <w:tcW w:w="1588" w:type="dxa"/>
            <w:gridSpan w:val="2"/>
            <w:noWrap/>
            <w:hideMark/>
          </w:tcPr>
          <w:p w14:paraId="11C2E61C" w14:textId="77777777" w:rsidR="00830E92" w:rsidRPr="000973F2" w:rsidRDefault="00830E92" w:rsidP="00B31285">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18"/>
                <w:szCs w:val="18"/>
              </w:rPr>
            </w:pPr>
            <w:r w:rsidRPr="000973F2">
              <w:rPr>
                <w:rFonts w:ascii="Times New Roman" w:eastAsia="Times New Roman" w:hAnsi="Times New Roman" w:cs="Times New Roman"/>
                <w:b/>
                <w:bCs/>
                <w:sz w:val="18"/>
                <w:szCs w:val="18"/>
              </w:rPr>
              <w:t>Industrial Manager</w:t>
            </w:r>
          </w:p>
        </w:tc>
        <w:tc>
          <w:tcPr>
            <w:tcW w:w="1588" w:type="dxa"/>
            <w:gridSpan w:val="2"/>
            <w:hideMark/>
          </w:tcPr>
          <w:p w14:paraId="7D0281F5" w14:textId="2F0B37C4" w:rsidR="00830E92" w:rsidRPr="000973F2" w:rsidRDefault="00830E92" w:rsidP="00B31285">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18"/>
                <w:szCs w:val="18"/>
              </w:rPr>
            </w:pPr>
            <w:r w:rsidRPr="000973F2">
              <w:rPr>
                <w:rFonts w:ascii="Times New Roman" w:eastAsia="Times New Roman" w:hAnsi="Times New Roman" w:cs="Times New Roman"/>
                <w:b/>
                <w:bCs/>
                <w:sz w:val="18"/>
                <w:szCs w:val="18"/>
              </w:rPr>
              <w:t>Industrial Engineer/</w:t>
            </w:r>
            <w:r w:rsidR="00B31285" w:rsidRPr="000973F2">
              <w:rPr>
                <w:rFonts w:ascii="Times New Roman" w:eastAsia="Times New Roman" w:hAnsi="Times New Roman" w:cs="Times New Roman"/>
                <w:b/>
                <w:bCs/>
                <w:sz w:val="18"/>
                <w:szCs w:val="18"/>
              </w:rPr>
              <w:t xml:space="preserve"> </w:t>
            </w:r>
            <w:r w:rsidRPr="000973F2">
              <w:rPr>
                <w:rFonts w:ascii="Times New Roman" w:eastAsia="Times New Roman" w:hAnsi="Times New Roman" w:cs="Times New Roman"/>
                <w:b/>
                <w:bCs/>
                <w:sz w:val="18"/>
                <w:szCs w:val="18"/>
              </w:rPr>
              <w:t>Technician</w:t>
            </w:r>
          </w:p>
        </w:tc>
        <w:tc>
          <w:tcPr>
            <w:tcW w:w="1588" w:type="dxa"/>
            <w:gridSpan w:val="2"/>
            <w:hideMark/>
          </w:tcPr>
          <w:p w14:paraId="64408046" w14:textId="77777777" w:rsidR="00830E92" w:rsidRPr="000973F2" w:rsidRDefault="00830E92" w:rsidP="00B31285">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18"/>
                <w:szCs w:val="18"/>
              </w:rPr>
            </w:pPr>
            <w:r w:rsidRPr="000973F2">
              <w:rPr>
                <w:rFonts w:ascii="Times New Roman" w:eastAsia="Times New Roman" w:hAnsi="Times New Roman" w:cs="Times New Roman"/>
                <w:b/>
                <w:bCs/>
                <w:sz w:val="18"/>
                <w:szCs w:val="18"/>
              </w:rPr>
              <w:t>Administrative Support</w:t>
            </w:r>
          </w:p>
        </w:tc>
        <w:tc>
          <w:tcPr>
            <w:tcW w:w="1670" w:type="dxa"/>
            <w:gridSpan w:val="2"/>
            <w:vMerge/>
            <w:hideMark/>
          </w:tcPr>
          <w:p w14:paraId="1985E967" w14:textId="77777777" w:rsidR="00830E92" w:rsidRPr="000973F2" w:rsidRDefault="00830E92" w:rsidP="00B31285">
            <w:pPr>
              <w:spacing w:before="40" w:after="4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18"/>
                <w:szCs w:val="18"/>
              </w:rPr>
            </w:pPr>
          </w:p>
        </w:tc>
      </w:tr>
      <w:tr w:rsidR="00830E92" w:rsidRPr="000973F2" w14:paraId="22A799E5" w14:textId="77777777" w:rsidTr="00B6531F">
        <w:tblPrEx>
          <w:jc w:val="left"/>
        </w:tblPrEx>
        <w:trPr>
          <w:cantSplit/>
        </w:trPr>
        <w:tc>
          <w:tcPr>
            <w:cnfStyle w:val="001000000000" w:firstRow="0" w:lastRow="0" w:firstColumn="1" w:lastColumn="0" w:oddVBand="0" w:evenVBand="0" w:oddHBand="0" w:evenHBand="0" w:firstRowFirstColumn="0" w:firstRowLastColumn="0" w:lastRowFirstColumn="0" w:lastRowLastColumn="0"/>
            <w:tcW w:w="1308" w:type="dxa"/>
            <w:vMerge/>
            <w:hideMark/>
          </w:tcPr>
          <w:p w14:paraId="63E39C97" w14:textId="77777777" w:rsidR="00830E92" w:rsidRPr="000973F2" w:rsidRDefault="00830E92" w:rsidP="00B31285">
            <w:pPr>
              <w:spacing w:before="40" w:after="40"/>
              <w:rPr>
                <w:rFonts w:ascii="Times New Roman" w:eastAsia="Times New Roman" w:hAnsi="Times New Roman" w:cs="Times New Roman"/>
                <w:b/>
                <w:bCs w:val="0"/>
                <w:sz w:val="18"/>
                <w:szCs w:val="18"/>
              </w:rPr>
            </w:pPr>
          </w:p>
        </w:tc>
        <w:tc>
          <w:tcPr>
            <w:tcW w:w="1588" w:type="dxa"/>
            <w:gridSpan w:val="2"/>
            <w:noWrap/>
            <w:hideMark/>
          </w:tcPr>
          <w:p w14:paraId="2DFB2905" w14:textId="77777777" w:rsidR="00830E92" w:rsidRPr="000973F2" w:rsidRDefault="00830E92" w:rsidP="00B31285">
            <w:pPr>
              <w:spacing w:before="40" w:after="4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sz w:val="18"/>
                <w:szCs w:val="18"/>
              </w:rPr>
            </w:pPr>
            <w:r w:rsidRPr="000973F2">
              <w:rPr>
                <w:rFonts w:ascii="Times New Roman" w:eastAsia="Times New Roman" w:hAnsi="Times New Roman" w:cs="Times New Roman"/>
                <w:b/>
                <w:bCs/>
                <w:sz w:val="18"/>
                <w:szCs w:val="18"/>
              </w:rPr>
              <w:t xml:space="preserve">$112.23 </w:t>
            </w:r>
          </w:p>
        </w:tc>
        <w:tc>
          <w:tcPr>
            <w:tcW w:w="1588" w:type="dxa"/>
            <w:gridSpan w:val="2"/>
            <w:noWrap/>
            <w:hideMark/>
          </w:tcPr>
          <w:p w14:paraId="17616854" w14:textId="77777777" w:rsidR="00830E92" w:rsidRPr="000973F2" w:rsidRDefault="00830E92" w:rsidP="00B31285">
            <w:pPr>
              <w:spacing w:before="40" w:after="4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sz w:val="18"/>
                <w:szCs w:val="18"/>
              </w:rPr>
            </w:pPr>
            <w:r w:rsidRPr="000973F2">
              <w:rPr>
                <w:rFonts w:ascii="Times New Roman" w:eastAsia="Times New Roman" w:hAnsi="Times New Roman" w:cs="Times New Roman"/>
                <w:b/>
                <w:bCs/>
                <w:sz w:val="18"/>
                <w:szCs w:val="18"/>
              </w:rPr>
              <w:t xml:space="preserve">$87.45 </w:t>
            </w:r>
          </w:p>
        </w:tc>
        <w:tc>
          <w:tcPr>
            <w:tcW w:w="1588" w:type="dxa"/>
            <w:gridSpan w:val="2"/>
            <w:noWrap/>
            <w:hideMark/>
          </w:tcPr>
          <w:p w14:paraId="0EEC2B3F" w14:textId="77777777" w:rsidR="00830E92" w:rsidRPr="000973F2" w:rsidRDefault="00830E92" w:rsidP="00B31285">
            <w:pPr>
              <w:spacing w:before="40" w:after="4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sz w:val="18"/>
                <w:szCs w:val="18"/>
              </w:rPr>
            </w:pPr>
            <w:r w:rsidRPr="000973F2">
              <w:rPr>
                <w:rFonts w:ascii="Times New Roman" w:eastAsia="Times New Roman" w:hAnsi="Times New Roman" w:cs="Times New Roman"/>
                <w:b/>
                <w:bCs/>
                <w:sz w:val="18"/>
                <w:szCs w:val="18"/>
              </w:rPr>
              <w:t xml:space="preserve">$71.45 </w:t>
            </w:r>
          </w:p>
        </w:tc>
        <w:tc>
          <w:tcPr>
            <w:tcW w:w="1588" w:type="dxa"/>
            <w:gridSpan w:val="2"/>
            <w:noWrap/>
            <w:hideMark/>
          </w:tcPr>
          <w:p w14:paraId="1543C35E" w14:textId="77777777" w:rsidR="00830E92" w:rsidRPr="000973F2" w:rsidRDefault="00830E92" w:rsidP="00B31285">
            <w:pPr>
              <w:spacing w:before="40" w:after="4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sz w:val="18"/>
                <w:szCs w:val="18"/>
              </w:rPr>
            </w:pPr>
            <w:r w:rsidRPr="000973F2">
              <w:rPr>
                <w:rFonts w:ascii="Times New Roman" w:eastAsia="Times New Roman" w:hAnsi="Times New Roman" w:cs="Times New Roman"/>
                <w:b/>
                <w:bCs/>
                <w:sz w:val="18"/>
                <w:szCs w:val="18"/>
              </w:rPr>
              <w:t xml:space="preserve">$36.28 </w:t>
            </w:r>
          </w:p>
        </w:tc>
        <w:tc>
          <w:tcPr>
            <w:tcW w:w="1670" w:type="dxa"/>
            <w:gridSpan w:val="2"/>
            <w:vMerge/>
            <w:hideMark/>
          </w:tcPr>
          <w:p w14:paraId="63AA9875" w14:textId="77777777" w:rsidR="00830E92" w:rsidRPr="000973F2" w:rsidRDefault="00830E92" w:rsidP="00B31285">
            <w:pPr>
              <w:spacing w:before="40" w:after="4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sz w:val="18"/>
                <w:szCs w:val="18"/>
              </w:rPr>
            </w:pPr>
          </w:p>
        </w:tc>
      </w:tr>
      <w:tr w:rsidR="00B31285" w:rsidRPr="000973F2" w14:paraId="65F2F20A" w14:textId="77777777" w:rsidTr="00B31285">
        <w:tblPrEx>
          <w:jc w:val="left"/>
        </w:tblPrEx>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1308" w:type="dxa"/>
            <w:vMerge/>
            <w:hideMark/>
          </w:tcPr>
          <w:p w14:paraId="12C7B46B" w14:textId="77777777" w:rsidR="00830E92" w:rsidRPr="000973F2" w:rsidRDefault="00830E92" w:rsidP="00B31285">
            <w:pPr>
              <w:spacing w:before="40" w:after="40"/>
              <w:rPr>
                <w:rFonts w:ascii="Times New Roman" w:eastAsia="Times New Roman" w:hAnsi="Times New Roman" w:cs="Times New Roman"/>
                <w:b/>
                <w:bCs w:val="0"/>
                <w:sz w:val="18"/>
                <w:szCs w:val="18"/>
              </w:rPr>
            </w:pPr>
          </w:p>
        </w:tc>
        <w:tc>
          <w:tcPr>
            <w:tcW w:w="794" w:type="dxa"/>
            <w:tcMar>
              <w:left w:w="29" w:type="dxa"/>
              <w:right w:w="29" w:type="dxa"/>
            </w:tcMar>
            <w:hideMark/>
          </w:tcPr>
          <w:p w14:paraId="36C61E1A" w14:textId="54664510" w:rsidR="00830E92" w:rsidRPr="000973F2" w:rsidRDefault="00830E92" w:rsidP="00B31285">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18"/>
                <w:szCs w:val="18"/>
              </w:rPr>
            </w:pPr>
            <w:r w:rsidRPr="000973F2">
              <w:rPr>
                <w:rFonts w:ascii="Times New Roman" w:eastAsia="Times New Roman" w:hAnsi="Times New Roman" w:cs="Times New Roman"/>
                <w:b/>
                <w:bCs/>
                <w:sz w:val="18"/>
                <w:szCs w:val="18"/>
              </w:rPr>
              <w:t xml:space="preserve">Initial </w:t>
            </w:r>
            <w:r w:rsidR="00132320" w:rsidRPr="000973F2">
              <w:rPr>
                <w:rFonts w:ascii="Times New Roman" w:eastAsia="Times New Roman" w:hAnsi="Times New Roman" w:cs="Times New Roman"/>
                <w:b/>
                <w:bCs/>
                <w:sz w:val="18"/>
                <w:szCs w:val="18"/>
              </w:rPr>
              <w:t>Year Hours</w:t>
            </w:r>
          </w:p>
        </w:tc>
        <w:tc>
          <w:tcPr>
            <w:tcW w:w="794" w:type="dxa"/>
            <w:tcMar>
              <w:left w:w="29" w:type="dxa"/>
              <w:right w:w="29" w:type="dxa"/>
            </w:tcMar>
            <w:hideMark/>
          </w:tcPr>
          <w:p w14:paraId="1548E70A" w14:textId="71D41905" w:rsidR="00830E92" w:rsidRPr="000973F2" w:rsidRDefault="00830E92" w:rsidP="00B31285">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18"/>
                <w:szCs w:val="18"/>
              </w:rPr>
            </w:pPr>
            <w:r w:rsidRPr="000973F2">
              <w:rPr>
                <w:rFonts w:ascii="Times New Roman" w:eastAsia="Times New Roman" w:hAnsi="Times New Roman" w:cs="Times New Roman"/>
                <w:b/>
                <w:bCs/>
                <w:sz w:val="18"/>
                <w:szCs w:val="18"/>
              </w:rPr>
              <w:t xml:space="preserve">Subseq. </w:t>
            </w:r>
            <w:r w:rsidR="00132320" w:rsidRPr="000973F2">
              <w:rPr>
                <w:rFonts w:ascii="Times New Roman" w:eastAsia="Times New Roman" w:hAnsi="Times New Roman" w:cs="Times New Roman"/>
                <w:b/>
                <w:bCs/>
                <w:sz w:val="18"/>
                <w:szCs w:val="18"/>
              </w:rPr>
              <w:t>Year Hours</w:t>
            </w:r>
          </w:p>
        </w:tc>
        <w:tc>
          <w:tcPr>
            <w:tcW w:w="794" w:type="dxa"/>
            <w:tcMar>
              <w:left w:w="29" w:type="dxa"/>
              <w:right w:w="29" w:type="dxa"/>
            </w:tcMar>
            <w:hideMark/>
          </w:tcPr>
          <w:p w14:paraId="6BF2F115" w14:textId="15A8BCA7" w:rsidR="00830E92" w:rsidRPr="000973F2" w:rsidRDefault="00830E92" w:rsidP="00B31285">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18"/>
                <w:szCs w:val="18"/>
              </w:rPr>
            </w:pPr>
            <w:r w:rsidRPr="000973F2">
              <w:rPr>
                <w:rFonts w:ascii="Times New Roman" w:eastAsia="Times New Roman" w:hAnsi="Times New Roman" w:cs="Times New Roman"/>
                <w:b/>
                <w:bCs/>
                <w:sz w:val="18"/>
                <w:szCs w:val="18"/>
              </w:rPr>
              <w:t xml:space="preserve">Initial </w:t>
            </w:r>
            <w:r w:rsidR="00132320" w:rsidRPr="000973F2">
              <w:rPr>
                <w:rFonts w:ascii="Times New Roman" w:eastAsia="Times New Roman" w:hAnsi="Times New Roman" w:cs="Times New Roman"/>
                <w:b/>
                <w:bCs/>
                <w:sz w:val="18"/>
                <w:szCs w:val="18"/>
              </w:rPr>
              <w:t>Year Hours</w:t>
            </w:r>
          </w:p>
        </w:tc>
        <w:tc>
          <w:tcPr>
            <w:tcW w:w="794" w:type="dxa"/>
            <w:tcMar>
              <w:left w:w="29" w:type="dxa"/>
              <w:right w:w="29" w:type="dxa"/>
            </w:tcMar>
            <w:hideMark/>
          </w:tcPr>
          <w:p w14:paraId="423A26DE" w14:textId="6CD526A4" w:rsidR="00830E92" w:rsidRPr="000973F2" w:rsidRDefault="00830E92" w:rsidP="00B31285">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18"/>
                <w:szCs w:val="18"/>
              </w:rPr>
            </w:pPr>
            <w:r w:rsidRPr="000973F2">
              <w:rPr>
                <w:rFonts w:ascii="Times New Roman" w:eastAsia="Times New Roman" w:hAnsi="Times New Roman" w:cs="Times New Roman"/>
                <w:b/>
                <w:bCs/>
                <w:sz w:val="18"/>
                <w:szCs w:val="18"/>
              </w:rPr>
              <w:t xml:space="preserve">Subseq. </w:t>
            </w:r>
            <w:r w:rsidR="00132320" w:rsidRPr="000973F2">
              <w:rPr>
                <w:rFonts w:ascii="Times New Roman" w:eastAsia="Times New Roman" w:hAnsi="Times New Roman" w:cs="Times New Roman"/>
                <w:b/>
                <w:bCs/>
                <w:sz w:val="18"/>
                <w:szCs w:val="18"/>
              </w:rPr>
              <w:t>Year Hours</w:t>
            </w:r>
          </w:p>
        </w:tc>
        <w:tc>
          <w:tcPr>
            <w:tcW w:w="794" w:type="dxa"/>
            <w:tcMar>
              <w:left w:w="29" w:type="dxa"/>
              <w:right w:w="29" w:type="dxa"/>
            </w:tcMar>
            <w:hideMark/>
          </w:tcPr>
          <w:p w14:paraId="1AC82C0F" w14:textId="344B9B94" w:rsidR="00830E92" w:rsidRPr="000973F2" w:rsidRDefault="00830E92" w:rsidP="00B31285">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18"/>
                <w:szCs w:val="18"/>
              </w:rPr>
            </w:pPr>
            <w:r w:rsidRPr="000973F2">
              <w:rPr>
                <w:rFonts w:ascii="Times New Roman" w:eastAsia="Times New Roman" w:hAnsi="Times New Roman" w:cs="Times New Roman"/>
                <w:b/>
                <w:bCs/>
                <w:sz w:val="18"/>
                <w:szCs w:val="18"/>
              </w:rPr>
              <w:t xml:space="preserve">Initial </w:t>
            </w:r>
            <w:r w:rsidR="00132320" w:rsidRPr="000973F2">
              <w:rPr>
                <w:rFonts w:ascii="Times New Roman" w:eastAsia="Times New Roman" w:hAnsi="Times New Roman" w:cs="Times New Roman"/>
                <w:b/>
                <w:bCs/>
                <w:sz w:val="18"/>
                <w:szCs w:val="18"/>
              </w:rPr>
              <w:t>Year Hours</w:t>
            </w:r>
          </w:p>
        </w:tc>
        <w:tc>
          <w:tcPr>
            <w:tcW w:w="794" w:type="dxa"/>
            <w:tcMar>
              <w:left w:w="29" w:type="dxa"/>
              <w:right w:w="29" w:type="dxa"/>
            </w:tcMar>
            <w:hideMark/>
          </w:tcPr>
          <w:p w14:paraId="4DD44D61" w14:textId="2F48EEC4" w:rsidR="00830E92" w:rsidRPr="000973F2" w:rsidRDefault="00830E92" w:rsidP="00B31285">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18"/>
                <w:szCs w:val="18"/>
              </w:rPr>
            </w:pPr>
            <w:r w:rsidRPr="000973F2">
              <w:rPr>
                <w:rFonts w:ascii="Times New Roman" w:eastAsia="Times New Roman" w:hAnsi="Times New Roman" w:cs="Times New Roman"/>
                <w:b/>
                <w:bCs/>
                <w:sz w:val="18"/>
                <w:szCs w:val="18"/>
              </w:rPr>
              <w:t xml:space="preserve">Subseq. </w:t>
            </w:r>
            <w:r w:rsidR="00132320" w:rsidRPr="000973F2">
              <w:rPr>
                <w:rFonts w:ascii="Times New Roman" w:eastAsia="Times New Roman" w:hAnsi="Times New Roman" w:cs="Times New Roman"/>
                <w:b/>
                <w:bCs/>
                <w:sz w:val="18"/>
                <w:szCs w:val="18"/>
              </w:rPr>
              <w:t>Year Hours</w:t>
            </w:r>
          </w:p>
        </w:tc>
        <w:tc>
          <w:tcPr>
            <w:tcW w:w="794" w:type="dxa"/>
            <w:tcMar>
              <w:left w:w="29" w:type="dxa"/>
              <w:right w:w="29" w:type="dxa"/>
            </w:tcMar>
            <w:hideMark/>
          </w:tcPr>
          <w:p w14:paraId="4EC5ADE1" w14:textId="479D6D20" w:rsidR="00830E92" w:rsidRPr="000973F2" w:rsidRDefault="00830E92" w:rsidP="00B31285">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18"/>
                <w:szCs w:val="18"/>
              </w:rPr>
            </w:pPr>
            <w:r w:rsidRPr="000973F2">
              <w:rPr>
                <w:rFonts w:ascii="Times New Roman" w:eastAsia="Times New Roman" w:hAnsi="Times New Roman" w:cs="Times New Roman"/>
                <w:b/>
                <w:bCs/>
                <w:sz w:val="18"/>
                <w:szCs w:val="18"/>
              </w:rPr>
              <w:t xml:space="preserve">Initial </w:t>
            </w:r>
            <w:r w:rsidR="00132320" w:rsidRPr="000973F2">
              <w:rPr>
                <w:rFonts w:ascii="Times New Roman" w:eastAsia="Times New Roman" w:hAnsi="Times New Roman" w:cs="Times New Roman"/>
                <w:b/>
                <w:bCs/>
                <w:sz w:val="18"/>
                <w:szCs w:val="18"/>
              </w:rPr>
              <w:t>Year Hours</w:t>
            </w:r>
          </w:p>
        </w:tc>
        <w:tc>
          <w:tcPr>
            <w:tcW w:w="794" w:type="dxa"/>
            <w:tcMar>
              <w:left w:w="29" w:type="dxa"/>
              <w:right w:w="29" w:type="dxa"/>
            </w:tcMar>
            <w:hideMark/>
          </w:tcPr>
          <w:p w14:paraId="41DA9D6E" w14:textId="56444AF6" w:rsidR="00830E92" w:rsidRPr="000973F2" w:rsidRDefault="00830E92" w:rsidP="00B31285">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18"/>
                <w:szCs w:val="18"/>
              </w:rPr>
            </w:pPr>
            <w:r w:rsidRPr="000973F2">
              <w:rPr>
                <w:rFonts w:ascii="Times New Roman" w:eastAsia="Times New Roman" w:hAnsi="Times New Roman" w:cs="Times New Roman"/>
                <w:b/>
                <w:bCs/>
                <w:sz w:val="18"/>
                <w:szCs w:val="18"/>
              </w:rPr>
              <w:t xml:space="preserve">Subseq. </w:t>
            </w:r>
            <w:r w:rsidR="00132320" w:rsidRPr="000973F2">
              <w:rPr>
                <w:rFonts w:ascii="Times New Roman" w:eastAsia="Times New Roman" w:hAnsi="Times New Roman" w:cs="Times New Roman"/>
                <w:b/>
                <w:bCs/>
                <w:sz w:val="18"/>
                <w:szCs w:val="18"/>
              </w:rPr>
              <w:t>Year Hours</w:t>
            </w:r>
          </w:p>
        </w:tc>
        <w:tc>
          <w:tcPr>
            <w:tcW w:w="688" w:type="dxa"/>
            <w:tcMar>
              <w:left w:w="29" w:type="dxa"/>
              <w:right w:w="29" w:type="dxa"/>
            </w:tcMar>
            <w:hideMark/>
          </w:tcPr>
          <w:p w14:paraId="7AD651AF" w14:textId="77777777" w:rsidR="00830E92" w:rsidRPr="000973F2" w:rsidRDefault="00830E92" w:rsidP="00B31285">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18"/>
                <w:szCs w:val="18"/>
              </w:rPr>
            </w:pPr>
            <w:r w:rsidRPr="000973F2">
              <w:rPr>
                <w:rFonts w:ascii="Times New Roman" w:eastAsia="Times New Roman" w:hAnsi="Times New Roman" w:cs="Times New Roman"/>
                <w:b/>
                <w:bCs/>
                <w:sz w:val="18"/>
                <w:szCs w:val="18"/>
              </w:rPr>
              <w:t>Initial Year</w:t>
            </w:r>
          </w:p>
        </w:tc>
        <w:tc>
          <w:tcPr>
            <w:tcW w:w="982" w:type="dxa"/>
            <w:tcMar>
              <w:left w:w="29" w:type="dxa"/>
              <w:right w:w="29" w:type="dxa"/>
            </w:tcMar>
            <w:hideMark/>
          </w:tcPr>
          <w:p w14:paraId="0B08A6C8" w14:textId="77777777" w:rsidR="00830E92" w:rsidRPr="000973F2" w:rsidRDefault="00830E92" w:rsidP="00B31285">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18"/>
                <w:szCs w:val="18"/>
              </w:rPr>
            </w:pPr>
            <w:r w:rsidRPr="000973F2">
              <w:rPr>
                <w:rFonts w:ascii="Times New Roman" w:eastAsia="Times New Roman" w:hAnsi="Times New Roman" w:cs="Times New Roman"/>
                <w:b/>
                <w:bCs/>
                <w:sz w:val="18"/>
                <w:szCs w:val="18"/>
              </w:rPr>
              <w:t>Subseq. Year</w:t>
            </w:r>
          </w:p>
        </w:tc>
      </w:tr>
      <w:tr w:rsidR="00247A39" w:rsidRPr="000973F2" w14:paraId="70696170" w14:textId="77777777" w:rsidTr="00B31285">
        <w:tblPrEx>
          <w:jc w:val="left"/>
        </w:tblPrEx>
        <w:trPr>
          <w:cantSplit/>
        </w:trPr>
        <w:tc>
          <w:tcPr>
            <w:cnfStyle w:val="001000000000" w:firstRow="0" w:lastRow="0" w:firstColumn="1" w:lastColumn="0" w:oddVBand="0" w:evenVBand="0" w:oddHBand="0" w:evenHBand="0" w:firstRowFirstColumn="0" w:firstRowLastColumn="0" w:lastRowFirstColumn="0" w:lastRowLastColumn="0"/>
            <w:tcW w:w="1308" w:type="dxa"/>
            <w:hideMark/>
          </w:tcPr>
          <w:p w14:paraId="343C49FE" w14:textId="77777777" w:rsidR="00830E92" w:rsidRPr="000973F2" w:rsidRDefault="00830E92" w:rsidP="00B31285">
            <w:pPr>
              <w:spacing w:before="40" w:after="4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Planning</w:t>
            </w:r>
          </w:p>
        </w:tc>
        <w:tc>
          <w:tcPr>
            <w:tcW w:w="794" w:type="dxa"/>
            <w:noWrap/>
            <w:hideMark/>
          </w:tcPr>
          <w:p w14:paraId="07EF5F62" w14:textId="77777777" w:rsidR="00830E92" w:rsidRPr="000973F2" w:rsidRDefault="00830E92" w:rsidP="00B31285">
            <w:pPr>
              <w:spacing w:before="40" w:after="4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0</w:t>
            </w:r>
          </w:p>
        </w:tc>
        <w:tc>
          <w:tcPr>
            <w:tcW w:w="794" w:type="dxa"/>
            <w:noWrap/>
            <w:hideMark/>
          </w:tcPr>
          <w:p w14:paraId="052AD85F" w14:textId="77777777" w:rsidR="00830E92" w:rsidRPr="000973F2" w:rsidRDefault="00830E92" w:rsidP="00B31285">
            <w:pPr>
              <w:spacing w:before="40" w:after="4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0</w:t>
            </w:r>
          </w:p>
        </w:tc>
        <w:tc>
          <w:tcPr>
            <w:tcW w:w="794" w:type="dxa"/>
            <w:noWrap/>
            <w:hideMark/>
          </w:tcPr>
          <w:p w14:paraId="57BB569A" w14:textId="77777777" w:rsidR="00830E92" w:rsidRPr="000973F2" w:rsidRDefault="00830E92" w:rsidP="00B31285">
            <w:pPr>
              <w:spacing w:before="40" w:after="4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0</w:t>
            </w:r>
          </w:p>
        </w:tc>
        <w:tc>
          <w:tcPr>
            <w:tcW w:w="794" w:type="dxa"/>
            <w:noWrap/>
            <w:hideMark/>
          </w:tcPr>
          <w:p w14:paraId="48F64496" w14:textId="77777777" w:rsidR="00830E92" w:rsidRPr="000973F2" w:rsidRDefault="00830E92" w:rsidP="00B31285">
            <w:pPr>
              <w:tabs>
                <w:tab w:val="decimal" w:pos="271"/>
              </w:tabs>
              <w:spacing w:before="40" w:after="4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0.4</w:t>
            </w:r>
          </w:p>
        </w:tc>
        <w:tc>
          <w:tcPr>
            <w:tcW w:w="794" w:type="dxa"/>
            <w:noWrap/>
            <w:hideMark/>
          </w:tcPr>
          <w:p w14:paraId="2AB204E3" w14:textId="77777777" w:rsidR="00830E92" w:rsidRPr="000973F2" w:rsidRDefault="00830E92" w:rsidP="00B31285">
            <w:pPr>
              <w:spacing w:before="40" w:after="4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0</w:t>
            </w:r>
          </w:p>
        </w:tc>
        <w:tc>
          <w:tcPr>
            <w:tcW w:w="794" w:type="dxa"/>
            <w:noWrap/>
            <w:hideMark/>
          </w:tcPr>
          <w:p w14:paraId="0A723C81" w14:textId="77777777" w:rsidR="00830E92" w:rsidRPr="000973F2" w:rsidRDefault="00830E92" w:rsidP="00B31285">
            <w:pPr>
              <w:tabs>
                <w:tab w:val="decimal" w:pos="331"/>
              </w:tabs>
              <w:spacing w:before="40" w:after="4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4</w:t>
            </w:r>
          </w:p>
        </w:tc>
        <w:tc>
          <w:tcPr>
            <w:tcW w:w="794" w:type="dxa"/>
            <w:noWrap/>
            <w:hideMark/>
          </w:tcPr>
          <w:p w14:paraId="5B87D1A4" w14:textId="77777777" w:rsidR="00830E92" w:rsidRPr="000973F2" w:rsidRDefault="00830E92" w:rsidP="00B31285">
            <w:pPr>
              <w:spacing w:before="40" w:after="4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0</w:t>
            </w:r>
          </w:p>
        </w:tc>
        <w:tc>
          <w:tcPr>
            <w:tcW w:w="794" w:type="dxa"/>
            <w:noWrap/>
            <w:hideMark/>
          </w:tcPr>
          <w:p w14:paraId="048263F0" w14:textId="77777777" w:rsidR="00830E92" w:rsidRPr="000973F2" w:rsidRDefault="00830E92" w:rsidP="00B31285">
            <w:pPr>
              <w:tabs>
                <w:tab w:val="decimal" w:pos="211"/>
              </w:tabs>
              <w:spacing w:before="40" w:after="4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0.4</w:t>
            </w:r>
          </w:p>
        </w:tc>
        <w:tc>
          <w:tcPr>
            <w:tcW w:w="688" w:type="dxa"/>
            <w:noWrap/>
            <w:hideMark/>
          </w:tcPr>
          <w:p w14:paraId="19409C1F" w14:textId="6BEDB4B9" w:rsidR="00830E92" w:rsidRPr="000973F2" w:rsidRDefault="00830E92" w:rsidP="00B31285">
            <w:pPr>
              <w:spacing w:before="40" w:after="4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$0</w:t>
            </w:r>
          </w:p>
        </w:tc>
        <w:tc>
          <w:tcPr>
            <w:tcW w:w="982" w:type="dxa"/>
            <w:noWrap/>
            <w:hideMark/>
          </w:tcPr>
          <w:p w14:paraId="5EB21200" w14:textId="5C672F65" w:rsidR="00830E92" w:rsidRPr="000973F2" w:rsidRDefault="00830E92" w:rsidP="00B31285">
            <w:pPr>
              <w:tabs>
                <w:tab w:val="decimal" w:pos="601"/>
              </w:tabs>
              <w:spacing w:before="40" w:after="4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$335</w:t>
            </w:r>
          </w:p>
        </w:tc>
      </w:tr>
      <w:tr w:rsidR="00B31285" w:rsidRPr="000973F2" w14:paraId="11B7AA32" w14:textId="77777777" w:rsidTr="00B31285">
        <w:tblPrEx>
          <w:jc w:val="left"/>
        </w:tblPrEx>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1308" w:type="dxa"/>
            <w:hideMark/>
          </w:tcPr>
          <w:p w14:paraId="15CC04EB" w14:textId="77777777" w:rsidR="00830E92" w:rsidRPr="000973F2" w:rsidRDefault="00830E92" w:rsidP="00B31285">
            <w:pPr>
              <w:spacing w:before="40" w:after="4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QA/QC</w:t>
            </w:r>
          </w:p>
        </w:tc>
        <w:tc>
          <w:tcPr>
            <w:tcW w:w="794" w:type="dxa"/>
            <w:noWrap/>
            <w:hideMark/>
          </w:tcPr>
          <w:p w14:paraId="4EE56F55" w14:textId="77777777" w:rsidR="00830E92" w:rsidRPr="000973F2" w:rsidRDefault="00830E92" w:rsidP="00B31285">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0</w:t>
            </w:r>
          </w:p>
        </w:tc>
        <w:tc>
          <w:tcPr>
            <w:tcW w:w="794" w:type="dxa"/>
            <w:noWrap/>
            <w:hideMark/>
          </w:tcPr>
          <w:p w14:paraId="52ECE00D" w14:textId="77777777" w:rsidR="00830E92" w:rsidRPr="000973F2" w:rsidRDefault="00830E92" w:rsidP="00B31285">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0</w:t>
            </w:r>
          </w:p>
        </w:tc>
        <w:tc>
          <w:tcPr>
            <w:tcW w:w="794" w:type="dxa"/>
            <w:noWrap/>
            <w:hideMark/>
          </w:tcPr>
          <w:p w14:paraId="645C3A32" w14:textId="77777777" w:rsidR="00830E92" w:rsidRPr="000973F2" w:rsidRDefault="00830E92" w:rsidP="00B31285">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0</w:t>
            </w:r>
          </w:p>
        </w:tc>
        <w:tc>
          <w:tcPr>
            <w:tcW w:w="794" w:type="dxa"/>
            <w:noWrap/>
            <w:hideMark/>
          </w:tcPr>
          <w:p w14:paraId="41318A73" w14:textId="0B997225" w:rsidR="00830E92" w:rsidRPr="000973F2" w:rsidRDefault="00830E92" w:rsidP="00B31285">
            <w:pPr>
              <w:tabs>
                <w:tab w:val="decimal" w:pos="271"/>
              </w:tabs>
              <w:spacing w:before="40" w:after="4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0.</w:t>
            </w:r>
            <w:r w:rsidR="004A451E" w:rsidRPr="000973F2">
              <w:rPr>
                <w:rFonts w:ascii="Times New Roman" w:eastAsia="Times New Roman" w:hAnsi="Times New Roman" w:cs="Times New Roman"/>
                <w:sz w:val="18"/>
                <w:szCs w:val="18"/>
              </w:rPr>
              <w:t>2</w:t>
            </w:r>
          </w:p>
        </w:tc>
        <w:tc>
          <w:tcPr>
            <w:tcW w:w="794" w:type="dxa"/>
            <w:noWrap/>
            <w:hideMark/>
          </w:tcPr>
          <w:p w14:paraId="2499220A" w14:textId="77777777" w:rsidR="00830E92" w:rsidRPr="000973F2" w:rsidRDefault="00830E92" w:rsidP="00B31285">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0</w:t>
            </w:r>
          </w:p>
        </w:tc>
        <w:tc>
          <w:tcPr>
            <w:tcW w:w="794" w:type="dxa"/>
            <w:noWrap/>
            <w:hideMark/>
          </w:tcPr>
          <w:p w14:paraId="21BB9F51" w14:textId="18BCB582" w:rsidR="00830E92" w:rsidRPr="000973F2" w:rsidRDefault="004C0AE7" w:rsidP="00B31285">
            <w:pPr>
              <w:tabs>
                <w:tab w:val="decimal" w:pos="331"/>
              </w:tabs>
              <w:spacing w:before="40" w:after="4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2</w:t>
            </w:r>
          </w:p>
        </w:tc>
        <w:tc>
          <w:tcPr>
            <w:tcW w:w="794" w:type="dxa"/>
            <w:noWrap/>
            <w:hideMark/>
          </w:tcPr>
          <w:p w14:paraId="35DBBD6B" w14:textId="77777777" w:rsidR="00830E92" w:rsidRPr="000973F2" w:rsidRDefault="00830E92" w:rsidP="00B31285">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0</w:t>
            </w:r>
          </w:p>
        </w:tc>
        <w:tc>
          <w:tcPr>
            <w:tcW w:w="794" w:type="dxa"/>
            <w:noWrap/>
            <w:hideMark/>
          </w:tcPr>
          <w:p w14:paraId="49FE874A" w14:textId="1A8BFB52" w:rsidR="00830E92" w:rsidRPr="000973F2" w:rsidRDefault="00830E92" w:rsidP="00B31285">
            <w:pPr>
              <w:tabs>
                <w:tab w:val="decimal" w:pos="211"/>
              </w:tabs>
              <w:spacing w:before="40" w:after="4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0.</w:t>
            </w:r>
            <w:r w:rsidR="004C0AE7" w:rsidRPr="000973F2">
              <w:rPr>
                <w:rFonts w:ascii="Times New Roman" w:eastAsia="Times New Roman" w:hAnsi="Times New Roman" w:cs="Times New Roman"/>
                <w:sz w:val="18"/>
                <w:szCs w:val="18"/>
              </w:rPr>
              <w:t>2</w:t>
            </w:r>
          </w:p>
        </w:tc>
        <w:tc>
          <w:tcPr>
            <w:tcW w:w="688" w:type="dxa"/>
            <w:noWrap/>
            <w:hideMark/>
          </w:tcPr>
          <w:p w14:paraId="4498FE6B" w14:textId="193B0A01" w:rsidR="00830E92" w:rsidRPr="000973F2" w:rsidRDefault="00830E92" w:rsidP="00B31285">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$0</w:t>
            </w:r>
          </w:p>
        </w:tc>
        <w:tc>
          <w:tcPr>
            <w:tcW w:w="982" w:type="dxa"/>
            <w:noWrap/>
            <w:hideMark/>
          </w:tcPr>
          <w:p w14:paraId="3C653539" w14:textId="07352A05" w:rsidR="00830E92" w:rsidRPr="000973F2" w:rsidRDefault="00830E92" w:rsidP="00B31285">
            <w:pPr>
              <w:tabs>
                <w:tab w:val="decimal" w:pos="601"/>
              </w:tabs>
              <w:spacing w:before="40" w:after="4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w:t>
            </w:r>
            <w:r w:rsidR="00EE424D" w:rsidRPr="000973F2">
              <w:rPr>
                <w:rFonts w:ascii="Times New Roman" w:eastAsia="Times New Roman" w:hAnsi="Times New Roman" w:cs="Times New Roman"/>
                <w:sz w:val="18"/>
                <w:szCs w:val="18"/>
              </w:rPr>
              <w:t>168</w:t>
            </w:r>
          </w:p>
        </w:tc>
      </w:tr>
      <w:tr w:rsidR="00247A39" w:rsidRPr="000973F2" w14:paraId="61897F0F" w14:textId="77777777" w:rsidTr="00B31285">
        <w:tblPrEx>
          <w:jc w:val="left"/>
        </w:tblPrEx>
        <w:trPr>
          <w:cantSplit/>
        </w:trPr>
        <w:tc>
          <w:tcPr>
            <w:cnfStyle w:val="001000000000" w:firstRow="0" w:lastRow="0" w:firstColumn="1" w:lastColumn="0" w:oddVBand="0" w:evenVBand="0" w:oddHBand="0" w:evenHBand="0" w:firstRowFirstColumn="0" w:firstRowLastColumn="0" w:lastRowFirstColumn="0" w:lastRowLastColumn="0"/>
            <w:tcW w:w="1308" w:type="dxa"/>
            <w:hideMark/>
          </w:tcPr>
          <w:p w14:paraId="4E08F583" w14:textId="77777777" w:rsidR="00830E92" w:rsidRPr="000973F2" w:rsidRDefault="00830E92" w:rsidP="00B31285">
            <w:pPr>
              <w:spacing w:before="40" w:after="4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Recordkeeping</w:t>
            </w:r>
          </w:p>
        </w:tc>
        <w:tc>
          <w:tcPr>
            <w:tcW w:w="794" w:type="dxa"/>
            <w:noWrap/>
            <w:hideMark/>
          </w:tcPr>
          <w:p w14:paraId="48BF8904" w14:textId="77777777" w:rsidR="00830E92" w:rsidRPr="000973F2" w:rsidRDefault="00830E92" w:rsidP="00B31285">
            <w:pPr>
              <w:spacing w:before="40" w:after="4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0</w:t>
            </w:r>
          </w:p>
        </w:tc>
        <w:tc>
          <w:tcPr>
            <w:tcW w:w="794" w:type="dxa"/>
            <w:noWrap/>
            <w:hideMark/>
          </w:tcPr>
          <w:p w14:paraId="76F843E7" w14:textId="77777777" w:rsidR="00830E92" w:rsidRPr="000973F2" w:rsidRDefault="00830E92" w:rsidP="00B31285">
            <w:pPr>
              <w:spacing w:before="40" w:after="4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0</w:t>
            </w:r>
          </w:p>
        </w:tc>
        <w:tc>
          <w:tcPr>
            <w:tcW w:w="794" w:type="dxa"/>
            <w:noWrap/>
            <w:hideMark/>
          </w:tcPr>
          <w:p w14:paraId="2D51F2E0" w14:textId="77777777" w:rsidR="00830E92" w:rsidRPr="000973F2" w:rsidRDefault="00830E92" w:rsidP="00B31285">
            <w:pPr>
              <w:spacing w:before="40" w:after="4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0</w:t>
            </w:r>
          </w:p>
        </w:tc>
        <w:tc>
          <w:tcPr>
            <w:tcW w:w="794" w:type="dxa"/>
            <w:noWrap/>
            <w:hideMark/>
          </w:tcPr>
          <w:p w14:paraId="3BDF3BE4" w14:textId="77777777" w:rsidR="00830E92" w:rsidRPr="000973F2" w:rsidRDefault="00830E92" w:rsidP="00B31285">
            <w:pPr>
              <w:tabs>
                <w:tab w:val="decimal" w:pos="271"/>
              </w:tabs>
              <w:spacing w:before="40" w:after="4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0.5</w:t>
            </w:r>
          </w:p>
        </w:tc>
        <w:tc>
          <w:tcPr>
            <w:tcW w:w="794" w:type="dxa"/>
            <w:noWrap/>
            <w:hideMark/>
          </w:tcPr>
          <w:p w14:paraId="7E095C5C" w14:textId="77777777" w:rsidR="00830E92" w:rsidRPr="000973F2" w:rsidRDefault="00830E92" w:rsidP="00B31285">
            <w:pPr>
              <w:spacing w:before="40" w:after="4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0</w:t>
            </w:r>
          </w:p>
        </w:tc>
        <w:tc>
          <w:tcPr>
            <w:tcW w:w="794" w:type="dxa"/>
            <w:noWrap/>
            <w:hideMark/>
          </w:tcPr>
          <w:p w14:paraId="48294103" w14:textId="77777777" w:rsidR="00830E92" w:rsidRPr="000973F2" w:rsidRDefault="00830E92" w:rsidP="00B31285">
            <w:pPr>
              <w:tabs>
                <w:tab w:val="decimal" w:pos="331"/>
              </w:tabs>
              <w:spacing w:before="40" w:after="4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5</w:t>
            </w:r>
          </w:p>
        </w:tc>
        <w:tc>
          <w:tcPr>
            <w:tcW w:w="794" w:type="dxa"/>
            <w:noWrap/>
            <w:hideMark/>
          </w:tcPr>
          <w:p w14:paraId="71AFF936" w14:textId="77777777" w:rsidR="00830E92" w:rsidRPr="000973F2" w:rsidRDefault="00830E92" w:rsidP="00B31285">
            <w:pPr>
              <w:spacing w:before="40" w:after="4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0</w:t>
            </w:r>
          </w:p>
        </w:tc>
        <w:tc>
          <w:tcPr>
            <w:tcW w:w="794" w:type="dxa"/>
            <w:noWrap/>
            <w:hideMark/>
          </w:tcPr>
          <w:p w14:paraId="06F886C1" w14:textId="77777777" w:rsidR="00830E92" w:rsidRPr="000973F2" w:rsidRDefault="00830E92" w:rsidP="00B31285">
            <w:pPr>
              <w:tabs>
                <w:tab w:val="decimal" w:pos="211"/>
              </w:tabs>
              <w:spacing w:before="40" w:after="4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0.5</w:t>
            </w:r>
          </w:p>
        </w:tc>
        <w:tc>
          <w:tcPr>
            <w:tcW w:w="688" w:type="dxa"/>
            <w:noWrap/>
            <w:hideMark/>
          </w:tcPr>
          <w:p w14:paraId="07565097" w14:textId="08FB9851" w:rsidR="00830E92" w:rsidRPr="000973F2" w:rsidRDefault="00830E92" w:rsidP="00B31285">
            <w:pPr>
              <w:spacing w:before="40" w:after="4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$0</w:t>
            </w:r>
          </w:p>
        </w:tc>
        <w:tc>
          <w:tcPr>
            <w:tcW w:w="982" w:type="dxa"/>
            <w:noWrap/>
            <w:hideMark/>
          </w:tcPr>
          <w:p w14:paraId="155E665B" w14:textId="1D99C242" w:rsidR="00830E92" w:rsidRPr="000973F2" w:rsidRDefault="00830E92" w:rsidP="00B31285">
            <w:pPr>
              <w:tabs>
                <w:tab w:val="decimal" w:pos="601"/>
              </w:tabs>
              <w:spacing w:before="40" w:after="4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w:t>
            </w:r>
            <w:r w:rsidR="00EE424D" w:rsidRPr="000973F2">
              <w:rPr>
                <w:rFonts w:ascii="Times New Roman" w:eastAsia="Times New Roman" w:hAnsi="Times New Roman" w:cs="Times New Roman"/>
                <w:sz w:val="18"/>
                <w:szCs w:val="18"/>
              </w:rPr>
              <w:t>419</w:t>
            </w:r>
          </w:p>
        </w:tc>
      </w:tr>
      <w:tr w:rsidR="00B31285" w:rsidRPr="000973F2" w14:paraId="2906F104" w14:textId="77777777" w:rsidTr="00B31285">
        <w:tblPrEx>
          <w:jc w:val="left"/>
        </w:tblPrEx>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1308" w:type="dxa"/>
            <w:hideMark/>
          </w:tcPr>
          <w:p w14:paraId="72DC3FA8" w14:textId="77777777" w:rsidR="00830E92" w:rsidRPr="000973F2" w:rsidRDefault="00830E92" w:rsidP="00B31285">
            <w:pPr>
              <w:spacing w:before="40" w:after="4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Sampling and Analysis (Calculations)</w:t>
            </w:r>
          </w:p>
        </w:tc>
        <w:tc>
          <w:tcPr>
            <w:tcW w:w="794" w:type="dxa"/>
            <w:noWrap/>
            <w:hideMark/>
          </w:tcPr>
          <w:p w14:paraId="06830EBD" w14:textId="77777777" w:rsidR="00830E92" w:rsidRPr="000973F2" w:rsidRDefault="00830E92" w:rsidP="00B31285">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0</w:t>
            </w:r>
          </w:p>
        </w:tc>
        <w:tc>
          <w:tcPr>
            <w:tcW w:w="794" w:type="dxa"/>
            <w:noWrap/>
            <w:hideMark/>
          </w:tcPr>
          <w:p w14:paraId="6CD92221" w14:textId="77777777" w:rsidR="00830E92" w:rsidRPr="000973F2" w:rsidRDefault="00830E92" w:rsidP="00B31285">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0</w:t>
            </w:r>
          </w:p>
        </w:tc>
        <w:tc>
          <w:tcPr>
            <w:tcW w:w="794" w:type="dxa"/>
            <w:noWrap/>
            <w:hideMark/>
          </w:tcPr>
          <w:p w14:paraId="60FF320A" w14:textId="77777777" w:rsidR="00830E92" w:rsidRPr="000973F2" w:rsidRDefault="00830E92" w:rsidP="00B31285">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0</w:t>
            </w:r>
          </w:p>
        </w:tc>
        <w:tc>
          <w:tcPr>
            <w:tcW w:w="794" w:type="dxa"/>
            <w:noWrap/>
            <w:hideMark/>
          </w:tcPr>
          <w:p w14:paraId="392F92C2" w14:textId="2EBE198C" w:rsidR="00830E92" w:rsidRPr="000973F2" w:rsidRDefault="00830E92" w:rsidP="00B31285">
            <w:pPr>
              <w:tabs>
                <w:tab w:val="decimal" w:pos="271"/>
              </w:tabs>
              <w:spacing w:before="40" w:after="4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0.</w:t>
            </w:r>
            <w:r w:rsidR="004C0AE7" w:rsidRPr="000973F2">
              <w:rPr>
                <w:rFonts w:ascii="Times New Roman" w:eastAsia="Times New Roman" w:hAnsi="Times New Roman" w:cs="Times New Roman"/>
                <w:sz w:val="18"/>
                <w:szCs w:val="18"/>
              </w:rPr>
              <w:t>1</w:t>
            </w:r>
          </w:p>
        </w:tc>
        <w:tc>
          <w:tcPr>
            <w:tcW w:w="794" w:type="dxa"/>
            <w:noWrap/>
            <w:hideMark/>
          </w:tcPr>
          <w:p w14:paraId="711DF03E" w14:textId="77777777" w:rsidR="00830E92" w:rsidRPr="000973F2" w:rsidRDefault="00830E92" w:rsidP="00B31285">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0</w:t>
            </w:r>
          </w:p>
        </w:tc>
        <w:tc>
          <w:tcPr>
            <w:tcW w:w="794" w:type="dxa"/>
            <w:noWrap/>
            <w:hideMark/>
          </w:tcPr>
          <w:p w14:paraId="24967D93" w14:textId="4DE6D2D8" w:rsidR="00830E92" w:rsidRPr="000973F2" w:rsidRDefault="004C0AE7" w:rsidP="00B31285">
            <w:pPr>
              <w:tabs>
                <w:tab w:val="decimal" w:pos="331"/>
              </w:tabs>
              <w:spacing w:before="40" w:after="4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1</w:t>
            </w:r>
          </w:p>
        </w:tc>
        <w:tc>
          <w:tcPr>
            <w:tcW w:w="794" w:type="dxa"/>
            <w:noWrap/>
            <w:hideMark/>
          </w:tcPr>
          <w:p w14:paraId="3C5C3E67" w14:textId="77777777" w:rsidR="00830E92" w:rsidRPr="000973F2" w:rsidRDefault="00830E92" w:rsidP="00B31285">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0</w:t>
            </w:r>
          </w:p>
        </w:tc>
        <w:tc>
          <w:tcPr>
            <w:tcW w:w="794" w:type="dxa"/>
            <w:noWrap/>
            <w:hideMark/>
          </w:tcPr>
          <w:p w14:paraId="39D2D2A1" w14:textId="2B339125" w:rsidR="00830E92" w:rsidRPr="000973F2" w:rsidRDefault="00830E92" w:rsidP="00B31285">
            <w:pPr>
              <w:tabs>
                <w:tab w:val="decimal" w:pos="211"/>
              </w:tabs>
              <w:spacing w:before="40" w:after="4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0.</w:t>
            </w:r>
            <w:r w:rsidR="004C0AE7" w:rsidRPr="000973F2">
              <w:rPr>
                <w:rFonts w:ascii="Times New Roman" w:eastAsia="Times New Roman" w:hAnsi="Times New Roman" w:cs="Times New Roman"/>
                <w:sz w:val="18"/>
                <w:szCs w:val="18"/>
              </w:rPr>
              <w:t>1</w:t>
            </w:r>
          </w:p>
        </w:tc>
        <w:tc>
          <w:tcPr>
            <w:tcW w:w="688" w:type="dxa"/>
            <w:noWrap/>
            <w:hideMark/>
          </w:tcPr>
          <w:p w14:paraId="67E742D4" w14:textId="370F07A2" w:rsidR="00830E92" w:rsidRPr="000973F2" w:rsidRDefault="00830E92" w:rsidP="00B31285">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$0</w:t>
            </w:r>
          </w:p>
        </w:tc>
        <w:tc>
          <w:tcPr>
            <w:tcW w:w="982" w:type="dxa"/>
            <w:noWrap/>
            <w:hideMark/>
          </w:tcPr>
          <w:p w14:paraId="2DFB9EC7" w14:textId="745408C3" w:rsidR="00830E92" w:rsidRPr="000973F2" w:rsidRDefault="00830E92" w:rsidP="00B31285">
            <w:pPr>
              <w:tabs>
                <w:tab w:val="decimal" w:pos="601"/>
              </w:tabs>
              <w:spacing w:before="40" w:after="4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w:t>
            </w:r>
            <w:r w:rsidR="00EE424D" w:rsidRPr="000973F2">
              <w:rPr>
                <w:rFonts w:ascii="Times New Roman" w:eastAsia="Times New Roman" w:hAnsi="Times New Roman" w:cs="Times New Roman"/>
                <w:sz w:val="18"/>
                <w:szCs w:val="18"/>
              </w:rPr>
              <w:t>84</w:t>
            </w:r>
          </w:p>
        </w:tc>
      </w:tr>
      <w:tr w:rsidR="00247A39" w:rsidRPr="000973F2" w14:paraId="0591DAC8" w14:textId="77777777" w:rsidTr="00B31285">
        <w:tblPrEx>
          <w:jc w:val="left"/>
        </w:tblPrEx>
        <w:trPr>
          <w:cantSplit/>
        </w:trPr>
        <w:tc>
          <w:tcPr>
            <w:cnfStyle w:val="001000000000" w:firstRow="0" w:lastRow="0" w:firstColumn="1" w:lastColumn="0" w:oddVBand="0" w:evenVBand="0" w:oddHBand="0" w:evenHBand="0" w:firstRowFirstColumn="0" w:firstRowLastColumn="0" w:lastRowFirstColumn="0" w:lastRowLastColumn="0"/>
            <w:tcW w:w="1308" w:type="dxa"/>
            <w:hideMark/>
          </w:tcPr>
          <w:p w14:paraId="0A58ED30" w14:textId="77777777" w:rsidR="00830E92" w:rsidRPr="000973F2" w:rsidRDefault="00830E92" w:rsidP="00B31285">
            <w:pPr>
              <w:spacing w:before="40" w:after="4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Reporting</w:t>
            </w:r>
          </w:p>
        </w:tc>
        <w:tc>
          <w:tcPr>
            <w:tcW w:w="794" w:type="dxa"/>
            <w:noWrap/>
            <w:hideMark/>
          </w:tcPr>
          <w:p w14:paraId="10900FE6" w14:textId="77777777" w:rsidR="00830E92" w:rsidRPr="000973F2" w:rsidRDefault="00830E92" w:rsidP="00B31285">
            <w:pPr>
              <w:spacing w:before="40" w:after="4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0</w:t>
            </w:r>
          </w:p>
        </w:tc>
        <w:tc>
          <w:tcPr>
            <w:tcW w:w="794" w:type="dxa"/>
            <w:noWrap/>
            <w:hideMark/>
          </w:tcPr>
          <w:p w14:paraId="01BEACA5" w14:textId="77777777" w:rsidR="00830E92" w:rsidRPr="000973F2" w:rsidRDefault="00830E92" w:rsidP="00B31285">
            <w:pPr>
              <w:spacing w:before="40" w:after="4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0</w:t>
            </w:r>
          </w:p>
        </w:tc>
        <w:tc>
          <w:tcPr>
            <w:tcW w:w="794" w:type="dxa"/>
            <w:noWrap/>
            <w:hideMark/>
          </w:tcPr>
          <w:p w14:paraId="0AF1F15D" w14:textId="77777777" w:rsidR="00830E92" w:rsidRPr="000973F2" w:rsidRDefault="00830E92" w:rsidP="00B31285">
            <w:pPr>
              <w:spacing w:before="40" w:after="4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0</w:t>
            </w:r>
          </w:p>
        </w:tc>
        <w:tc>
          <w:tcPr>
            <w:tcW w:w="794" w:type="dxa"/>
            <w:noWrap/>
            <w:hideMark/>
          </w:tcPr>
          <w:p w14:paraId="7EC531D5" w14:textId="77777777" w:rsidR="00830E92" w:rsidRPr="000973F2" w:rsidRDefault="00830E92" w:rsidP="00B31285">
            <w:pPr>
              <w:tabs>
                <w:tab w:val="decimal" w:pos="271"/>
              </w:tabs>
              <w:spacing w:before="40" w:after="4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1</w:t>
            </w:r>
          </w:p>
        </w:tc>
        <w:tc>
          <w:tcPr>
            <w:tcW w:w="794" w:type="dxa"/>
            <w:noWrap/>
            <w:hideMark/>
          </w:tcPr>
          <w:p w14:paraId="6E15C049" w14:textId="77777777" w:rsidR="00830E92" w:rsidRPr="000973F2" w:rsidRDefault="00830E92" w:rsidP="00B31285">
            <w:pPr>
              <w:spacing w:before="40" w:after="4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0</w:t>
            </w:r>
          </w:p>
        </w:tc>
        <w:tc>
          <w:tcPr>
            <w:tcW w:w="794" w:type="dxa"/>
            <w:noWrap/>
            <w:hideMark/>
          </w:tcPr>
          <w:p w14:paraId="537EB49E" w14:textId="77777777" w:rsidR="00830E92" w:rsidRPr="000973F2" w:rsidRDefault="00830E92" w:rsidP="00B31285">
            <w:pPr>
              <w:tabs>
                <w:tab w:val="decimal" w:pos="331"/>
              </w:tabs>
              <w:spacing w:before="40" w:after="4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10</w:t>
            </w:r>
          </w:p>
        </w:tc>
        <w:tc>
          <w:tcPr>
            <w:tcW w:w="794" w:type="dxa"/>
            <w:noWrap/>
            <w:hideMark/>
          </w:tcPr>
          <w:p w14:paraId="3EE3F43B" w14:textId="77777777" w:rsidR="00830E92" w:rsidRPr="000973F2" w:rsidRDefault="00830E92" w:rsidP="00B31285">
            <w:pPr>
              <w:spacing w:before="40" w:after="4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0</w:t>
            </w:r>
          </w:p>
        </w:tc>
        <w:tc>
          <w:tcPr>
            <w:tcW w:w="794" w:type="dxa"/>
            <w:noWrap/>
            <w:hideMark/>
          </w:tcPr>
          <w:p w14:paraId="4A1D4550" w14:textId="77777777" w:rsidR="00830E92" w:rsidRPr="000973F2" w:rsidRDefault="00830E92" w:rsidP="00B31285">
            <w:pPr>
              <w:tabs>
                <w:tab w:val="decimal" w:pos="211"/>
              </w:tabs>
              <w:spacing w:before="40" w:after="4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1</w:t>
            </w:r>
          </w:p>
        </w:tc>
        <w:tc>
          <w:tcPr>
            <w:tcW w:w="688" w:type="dxa"/>
            <w:noWrap/>
            <w:hideMark/>
          </w:tcPr>
          <w:p w14:paraId="5FF8EBA5" w14:textId="56A4B222" w:rsidR="00830E92" w:rsidRPr="000973F2" w:rsidRDefault="00830E92" w:rsidP="00B31285">
            <w:pPr>
              <w:spacing w:before="40" w:after="4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$0</w:t>
            </w:r>
          </w:p>
        </w:tc>
        <w:tc>
          <w:tcPr>
            <w:tcW w:w="982" w:type="dxa"/>
            <w:noWrap/>
            <w:hideMark/>
          </w:tcPr>
          <w:p w14:paraId="6B75141F" w14:textId="56E11640" w:rsidR="00830E92" w:rsidRPr="000973F2" w:rsidRDefault="00830E92" w:rsidP="00B31285">
            <w:pPr>
              <w:tabs>
                <w:tab w:val="decimal" w:pos="601"/>
              </w:tabs>
              <w:spacing w:before="40" w:after="4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w:t>
            </w:r>
            <w:r w:rsidR="00EE424D" w:rsidRPr="000973F2">
              <w:rPr>
                <w:rFonts w:ascii="Times New Roman" w:eastAsia="Times New Roman" w:hAnsi="Times New Roman" w:cs="Times New Roman"/>
                <w:sz w:val="18"/>
                <w:szCs w:val="18"/>
              </w:rPr>
              <w:t>838</w:t>
            </w:r>
          </w:p>
        </w:tc>
      </w:tr>
      <w:tr w:rsidR="00B31285" w:rsidRPr="000973F2" w14:paraId="375AAA18" w14:textId="77777777" w:rsidTr="00B31285">
        <w:tblPrEx>
          <w:jc w:val="left"/>
        </w:tblPrEx>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1308" w:type="dxa"/>
            <w:noWrap/>
            <w:hideMark/>
          </w:tcPr>
          <w:p w14:paraId="4782E553" w14:textId="77777777" w:rsidR="00830E92" w:rsidRPr="000973F2" w:rsidRDefault="00830E92" w:rsidP="00B31285">
            <w:pPr>
              <w:spacing w:before="40" w:after="40"/>
              <w:rPr>
                <w:rFonts w:ascii="Times New Roman" w:eastAsia="Times New Roman" w:hAnsi="Times New Roman" w:cs="Times New Roman"/>
                <w:b/>
                <w:bCs w:val="0"/>
                <w:sz w:val="18"/>
                <w:szCs w:val="18"/>
              </w:rPr>
            </w:pPr>
            <w:r w:rsidRPr="000973F2">
              <w:rPr>
                <w:rFonts w:ascii="Times New Roman" w:eastAsia="Times New Roman" w:hAnsi="Times New Roman" w:cs="Times New Roman"/>
                <w:b/>
                <w:sz w:val="18"/>
                <w:szCs w:val="18"/>
              </w:rPr>
              <w:t>Total</w:t>
            </w:r>
          </w:p>
        </w:tc>
        <w:tc>
          <w:tcPr>
            <w:tcW w:w="794" w:type="dxa"/>
            <w:noWrap/>
            <w:hideMark/>
          </w:tcPr>
          <w:p w14:paraId="03A4839D" w14:textId="77777777" w:rsidR="00830E92" w:rsidRPr="000973F2" w:rsidRDefault="00830E92" w:rsidP="00B31285">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18"/>
                <w:szCs w:val="18"/>
              </w:rPr>
            </w:pPr>
            <w:r w:rsidRPr="000973F2">
              <w:rPr>
                <w:rFonts w:ascii="Times New Roman" w:eastAsia="Times New Roman" w:hAnsi="Times New Roman" w:cs="Times New Roman"/>
                <w:b/>
                <w:bCs/>
                <w:sz w:val="18"/>
                <w:szCs w:val="18"/>
              </w:rPr>
              <w:t>0</w:t>
            </w:r>
          </w:p>
        </w:tc>
        <w:tc>
          <w:tcPr>
            <w:tcW w:w="794" w:type="dxa"/>
            <w:noWrap/>
            <w:hideMark/>
          </w:tcPr>
          <w:p w14:paraId="5959C512" w14:textId="77777777" w:rsidR="00830E92" w:rsidRPr="000973F2" w:rsidRDefault="00830E92" w:rsidP="00B31285">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18"/>
                <w:szCs w:val="18"/>
              </w:rPr>
            </w:pPr>
            <w:r w:rsidRPr="000973F2">
              <w:rPr>
                <w:rFonts w:ascii="Times New Roman" w:eastAsia="Times New Roman" w:hAnsi="Times New Roman" w:cs="Times New Roman"/>
                <w:b/>
                <w:bCs/>
                <w:sz w:val="18"/>
                <w:szCs w:val="18"/>
              </w:rPr>
              <w:t>0</w:t>
            </w:r>
          </w:p>
        </w:tc>
        <w:tc>
          <w:tcPr>
            <w:tcW w:w="794" w:type="dxa"/>
            <w:noWrap/>
            <w:hideMark/>
          </w:tcPr>
          <w:p w14:paraId="63EA35BA" w14:textId="77777777" w:rsidR="00830E92" w:rsidRPr="000973F2" w:rsidRDefault="00830E92" w:rsidP="00B31285">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18"/>
                <w:szCs w:val="18"/>
              </w:rPr>
            </w:pPr>
            <w:r w:rsidRPr="000973F2">
              <w:rPr>
                <w:rFonts w:ascii="Times New Roman" w:eastAsia="Times New Roman" w:hAnsi="Times New Roman" w:cs="Times New Roman"/>
                <w:b/>
                <w:bCs/>
                <w:sz w:val="18"/>
                <w:szCs w:val="18"/>
              </w:rPr>
              <w:t>0</w:t>
            </w:r>
          </w:p>
        </w:tc>
        <w:tc>
          <w:tcPr>
            <w:tcW w:w="794" w:type="dxa"/>
            <w:noWrap/>
            <w:hideMark/>
          </w:tcPr>
          <w:p w14:paraId="2B1C19E1" w14:textId="141F875E" w:rsidR="00830E92" w:rsidRPr="000973F2" w:rsidRDefault="00830E92" w:rsidP="00B31285">
            <w:pPr>
              <w:tabs>
                <w:tab w:val="decimal" w:pos="271"/>
              </w:tabs>
              <w:spacing w:before="40" w:after="4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18"/>
                <w:szCs w:val="18"/>
              </w:rPr>
            </w:pPr>
            <w:r w:rsidRPr="000973F2">
              <w:rPr>
                <w:rFonts w:ascii="Times New Roman" w:eastAsia="Times New Roman" w:hAnsi="Times New Roman" w:cs="Times New Roman"/>
                <w:b/>
                <w:bCs/>
                <w:sz w:val="18"/>
                <w:szCs w:val="18"/>
              </w:rPr>
              <w:t>2.</w:t>
            </w:r>
            <w:r w:rsidR="004C0AE7" w:rsidRPr="000973F2">
              <w:rPr>
                <w:rFonts w:ascii="Times New Roman" w:eastAsia="Times New Roman" w:hAnsi="Times New Roman" w:cs="Times New Roman"/>
                <w:b/>
                <w:bCs/>
                <w:sz w:val="18"/>
                <w:szCs w:val="18"/>
              </w:rPr>
              <w:t>2</w:t>
            </w:r>
          </w:p>
        </w:tc>
        <w:tc>
          <w:tcPr>
            <w:tcW w:w="794" w:type="dxa"/>
            <w:noWrap/>
            <w:hideMark/>
          </w:tcPr>
          <w:p w14:paraId="7019A97F" w14:textId="77777777" w:rsidR="00830E92" w:rsidRPr="000973F2" w:rsidRDefault="00830E92" w:rsidP="00B31285">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18"/>
                <w:szCs w:val="18"/>
              </w:rPr>
            </w:pPr>
            <w:r w:rsidRPr="000973F2">
              <w:rPr>
                <w:rFonts w:ascii="Times New Roman" w:eastAsia="Times New Roman" w:hAnsi="Times New Roman" w:cs="Times New Roman"/>
                <w:b/>
                <w:bCs/>
                <w:sz w:val="18"/>
                <w:szCs w:val="18"/>
              </w:rPr>
              <w:t>0</w:t>
            </w:r>
          </w:p>
        </w:tc>
        <w:tc>
          <w:tcPr>
            <w:tcW w:w="794" w:type="dxa"/>
            <w:noWrap/>
            <w:hideMark/>
          </w:tcPr>
          <w:p w14:paraId="23886865" w14:textId="1898ED21" w:rsidR="00830E92" w:rsidRPr="000973F2" w:rsidRDefault="00830E92" w:rsidP="00B31285">
            <w:pPr>
              <w:tabs>
                <w:tab w:val="decimal" w:pos="331"/>
              </w:tabs>
              <w:spacing w:before="40" w:after="4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18"/>
                <w:szCs w:val="18"/>
              </w:rPr>
            </w:pPr>
            <w:r w:rsidRPr="000973F2">
              <w:rPr>
                <w:rFonts w:ascii="Times New Roman" w:eastAsia="Times New Roman" w:hAnsi="Times New Roman" w:cs="Times New Roman"/>
                <w:b/>
                <w:bCs/>
                <w:sz w:val="18"/>
                <w:szCs w:val="18"/>
              </w:rPr>
              <w:t>2</w:t>
            </w:r>
            <w:r w:rsidR="004C0AE7" w:rsidRPr="000973F2">
              <w:rPr>
                <w:rFonts w:ascii="Times New Roman" w:eastAsia="Times New Roman" w:hAnsi="Times New Roman" w:cs="Times New Roman"/>
                <w:b/>
                <w:bCs/>
                <w:sz w:val="18"/>
                <w:szCs w:val="18"/>
              </w:rPr>
              <w:t>2</w:t>
            </w:r>
          </w:p>
        </w:tc>
        <w:tc>
          <w:tcPr>
            <w:tcW w:w="794" w:type="dxa"/>
            <w:noWrap/>
            <w:hideMark/>
          </w:tcPr>
          <w:p w14:paraId="4319BCE3" w14:textId="77777777" w:rsidR="00830E92" w:rsidRPr="000973F2" w:rsidRDefault="00830E92" w:rsidP="00B31285">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18"/>
                <w:szCs w:val="18"/>
              </w:rPr>
            </w:pPr>
            <w:r w:rsidRPr="000973F2">
              <w:rPr>
                <w:rFonts w:ascii="Times New Roman" w:eastAsia="Times New Roman" w:hAnsi="Times New Roman" w:cs="Times New Roman"/>
                <w:b/>
                <w:bCs/>
                <w:sz w:val="18"/>
                <w:szCs w:val="18"/>
              </w:rPr>
              <w:t>0</w:t>
            </w:r>
          </w:p>
        </w:tc>
        <w:tc>
          <w:tcPr>
            <w:tcW w:w="794" w:type="dxa"/>
            <w:noWrap/>
            <w:hideMark/>
          </w:tcPr>
          <w:p w14:paraId="4D703445" w14:textId="3DCDC582" w:rsidR="00830E92" w:rsidRPr="000973F2" w:rsidRDefault="00830E92" w:rsidP="00B31285">
            <w:pPr>
              <w:tabs>
                <w:tab w:val="decimal" w:pos="211"/>
              </w:tabs>
              <w:spacing w:before="40" w:after="4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18"/>
                <w:szCs w:val="18"/>
              </w:rPr>
            </w:pPr>
            <w:r w:rsidRPr="000973F2">
              <w:rPr>
                <w:rFonts w:ascii="Times New Roman" w:eastAsia="Times New Roman" w:hAnsi="Times New Roman" w:cs="Times New Roman"/>
                <w:b/>
                <w:bCs/>
                <w:sz w:val="18"/>
                <w:szCs w:val="18"/>
              </w:rPr>
              <w:t>2.</w:t>
            </w:r>
            <w:r w:rsidR="004C0AE7" w:rsidRPr="000973F2">
              <w:rPr>
                <w:rFonts w:ascii="Times New Roman" w:eastAsia="Times New Roman" w:hAnsi="Times New Roman" w:cs="Times New Roman"/>
                <w:b/>
                <w:bCs/>
                <w:sz w:val="18"/>
                <w:szCs w:val="18"/>
              </w:rPr>
              <w:t>2</w:t>
            </w:r>
          </w:p>
        </w:tc>
        <w:tc>
          <w:tcPr>
            <w:tcW w:w="688" w:type="dxa"/>
            <w:noWrap/>
            <w:hideMark/>
          </w:tcPr>
          <w:p w14:paraId="649212CE" w14:textId="0752ABDB" w:rsidR="00830E92" w:rsidRPr="000973F2" w:rsidRDefault="00830E92" w:rsidP="00B31285">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18"/>
                <w:szCs w:val="18"/>
              </w:rPr>
            </w:pPr>
            <w:r w:rsidRPr="000973F2">
              <w:rPr>
                <w:rFonts w:ascii="Times New Roman" w:eastAsia="Times New Roman" w:hAnsi="Times New Roman" w:cs="Times New Roman"/>
                <w:b/>
                <w:bCs/>
                <w:sz w:val="18"/>
                <w:szCs w:val="18"/>
              </w:rPr>
              <w:t>$0</w:t>
            </w:r>
          </w:p>
        </w:tc>
        <w:tc>
          <w:tcPr>
            <w:tcW w:w="982" w:type="dxa"/>
            <w:noWrap/>
            <w:hideMark/>
          </w:tcPr>
          <w:p w14:paraId="52E85D93" w14:textId="1A1EE0C0" w:rsidR="00830E92" w:rsidRPr="000973F2" w:rsidRDefault="00830E92" w:rsidP="00B31285">
            <w:pPr>
              <w:tabs>
                <w:tab w:val="decimal" w:pos="601"/>
              </w:tabs>
              <w:spacing w:before="40" w:after="4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18"/>
                <w:szCs w:val="18"/>
              </w:rPr>
            </w:pPr>
            <w:r w:rsidRPr="000973F2">
              <w:rPr>
                <w:rFonts w:ascii="Times New Roman" w:eastAsia="Times New Roman" w:hAnsi="Times New Roman" w:cs="Times New Roman"/>
                <w:b/>
                <w:bCs/>
                <w:sz w:val="18"/>
                <w:szCs w:val="18"/>
              </w:rPr>
              <w:t>$1,</w:t>
            </w:r>
            <w:r w:rsidR="004C0AE7" w:rsidRPr="000973F2">
              <w:rPr>
                <w:rFonts w:ascii="Times New Roman" w:eastAsia="Times New Roman" w:hAnsi="Times New Roman" w:cs="Times New Roman"/>
                <w:b/>
                <w:bCs/>
                <w:sz w:val="18"/>
                <w:szCs w:val="18"/>
              </w:rPr>
              <w:t>844</w:t>
            </w:r>
          </w:p>
        </w:tc>
      </w:tr>
    </w:tbl>
    <w:p w14:paraId="2C3C1E75" w14:textId="77777777" w:rsidR="00830E92" w:rsidRPr="000973F2" w:rsidRDefault="00830E92" w:rsidP="00C00E4F">
      <w:pPr>
        <w:spacing w:line="240" w:lineRule="auto"/>
        <w:rPr>
          <w:rFonts w:ascii="Times New Roman" w:hAnsi="Times New Roman" w:cs="Times New Roman"/>
          <w:b/>
          <w:i/>
          <w:iCs/>
          <w:sz w:val="24"/>
          <w:szCs w:val="24"/>
        </w:rPr>
      </w:pPr>
    </w:p>
    <w:p w14:paraId="196929C6" w14:textId="77777777" w:rsidR="00830E92" w:rsidRPr="000973F2" w:rsidRDefault="00830E92" w:rsidP="00C00E4F">
      <w:pPr>
        <w:spacing w:line="240" w:lineRule="auto"/>
        <w:rPr>
          <w:rFonts w:ascii="Times New Roman" w:hAnsi="Times New Roman" w:cs="Times New Roman"/>
          <w:b/>
          <w:i/>
          <w:iCs/>
          <w:sz w:val="24"/>
          <w:szCs w:val="24"/>
        </w:rPr>
      </w:pPr>
      <w:r w:rsidRPr="000973F2">
        <w:rPr>
          <w:rFonts w:ascii="Times New Roman" w:hAnsi="Times New Roman" w:cs="Times New Roman"/>
          <w:b/>
          <w:i/>
          <w:iCs/>
          <w:sz w:val="24"/>
          <w:szCs w:val="24"/>
        </w:rPr>
        <w:br w:type="page"/>
      </w:r>
    </w:p>
    <w:p w14:paraId="72745E67" w14:textId="77777777" w:rsidR="00830E92" w:rsidRPr="000973F2" w:rsidRDefault="00830E92" w:rsidP="00B31285">
      <w:pPr>
        <w:pStyle w:val="Heading2"/>
        <w:rPr>
          <w:color w:val="000000"/>
          <w:shd w:val="clear" w:color="auto" w:fill="FFFFFF"/>
        </w:rPr>
      </w:pPr>
      <w:r w:rsidRPr="000973F2">
        <w:t>Capital and O&amp;M Costs for Subpart P – Mass Balance Option; Natural Gas and Liquid/Solid Fuel</w:t>
      </w:r>
    </w:p>
    <w:p w14:paraId="75568E93" w14:textId="055529D1" w:rsidR="00830E92" w:rsidRPr="000973F2" w:rsidRDefault="00830E92" w:rsidP="00B31285">
      <w:pPr>
        <w:pStyle w:val="BodyText"/>
      </w:pPr>
      <w:r w:rsidRPr="000973F2">
        <w:t xml:space="preserve">Table </w:t>
      </w:r>
      <w:r w:rsidR="00B31285" w:rsidRPr="000973F2">
        <w:t>P-</w:t>
      </w:r>
      <w:r w:rsidRPr="000973F2">
        <w:t>2e presents the capital and O&amp;M costs estimated for each of the nine facilities using the mass balance option using both natural gas and liquid/solid fuels. No capital costs are projected for these facilities because they are expected to already have all equipment needed to comply, including compositional analyzers to determine carbon content of fuel gas. It is expected that other carbon content analyses for natural gas or liquid/solid fuels would be out-sourced, leading to O&amp;M costs for sampling and analyses for natural gas and liquid/solid fuels. Based on analytical price lists, the costs of shipping and analyzing a natural gas sample is estimated to be $200 and shipping and analyzing a liquid/solid sample is estimated be $128. Natural gas analyses are required once per year; the frequency for liquid sample analyses are dependent on the type of fuel/feedstock and is either monthly or annually. Monthly sampling for all liquid/solid fuels is used in the costs below.</w:t>
      </w:r>
    </w:p>
    <w:p w14:paraId="14A892AB" w14:textId="5920AC2E" w:rsidR="00830E92" w:rsidRPr="000973F2" w:rsidRDefault="00830E92" w:rsidP="00B31285">
      <w:pPr>
        <w:pStyle w:val="BodyText"/>
      </w:pPr>
      <w:r w:rsidRPr="000973F2">
        <w:t xml:space="preserve">Facilities are expected to incur an O&amp;M cost associated with recordkeeping as discussed in the Cost Appendix Introduction. </w:t>
      </w:r>
    </w:p>
    <w:p w14:paraId="220F67F0" w14:textId="70D3DF23" w:rsidR="00830E92" w:rsidRPr="000973F2" w:rsidRDefault="009022AC" w:rsidP="00B31285">
      <w:pPr>
        <w:pStyle w:val="Tabletitle"/>
      </w:pPr>
      <w:r w:rsidRPr="000973F2">
        <w:t xml:space="preserve">Table </w:t>
      </w:r>
      <w:r w:rsidR="00B31285" w:rsidRPr="000973F2">
        <w:t>P-</w:t>
      </w:r>
      <w:r w:rsidRPr="000973F2">
        <w:t xml:space="preserve">2e. Capital and O&amp;M Costs </w:t>
      </w:r>
      <w:r w:rsidR="00B960CC" w:rsidRPr="000973F2">
        <w:t>–</w:t>
      </w:r>
      <w:r w:rsidRPr="000973F2">
        <w:t xml:space="preserve"> </w:t>
      </w:r>
      <w:r w:rsidR="00C3351C" w:rsidRPr="000973F2">
        <w:t>Subpart P – Mass Balance Option; Natural Gas and Liquid/Solid Fuel</w:t>
      </w:r>
    </w:p>
    <w:tbl>
      <w:tblPr>
        <w:tblStyle w:val="PlainTable1"/>
        <w:tblW w:w="5000" w:type="pct"/>
        <w:tblLayout w:type="fixed"/>
        <w:tblLook w:val="04A0" w:firstRow="1" w:lastRow="0" w:firstColumn="1" w:lastColumn="0" w:noHBand="0" w:noVBand="1"/>
      </w:tblPr>
      <w:tblGrid>
        <w:gridCol w:w="1760"/>
        <w:gridCol w:w="1303"/>
        <w:gridCol w:w="1303"/>
        <w:gridCol w:w="1303"/>
        <w:gridCol w:w="1302"/>
        <w:gridCol w:w="1302"/>
        <w:gridCol w:w="1303"/>
      </w:tblGrid>
      <w:tr w:rsidR="00BD4AE7" w:rsidRPr="000973F2" w14:paraId="610C1180" w14:textId="77777777" w:rsidTr="00BD4AE7">
        <w:trPr>
          <w:cnfStyle w:val="100000000000" w:firstRow="1" w:lastRow="0" w:firstColumn="0" w:lastColumn="0" w:oddVBand="0" w:evenVBand="0" w:oddHBand="0"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1714" w:type="dxa"/>
            <w:vMerge w:val="restart"/>
            <w:noWrap/>
            <w:hideMark/>
          </w:tcPr>
          <w:p w14:paraId="19D7D393" w14:textId="19B893DD" w:rsidR="00FF36E8" w:rsidRPr="000973F2" w:rsidRDefault="00FF36E8" w:rsidP="00BD4AE7">
            <w:pPr>
              <w:spacing w:before="40" w:after="40"/>
              <w:rPr>
                <w:rFonts w:ascii="Times New Roman" w:eastAsia="Times New Roman" w:hAnsi="Times New Roman" w:cs="Times New Roman"/>
                <w:b w:val="0"/>
                <w:bCs w:val="0"/>
                <w:sz w:val="18"/>
                <w:szCs w:val="18"/>
              </w:rPr>
            </w:pPr>
            <w:r w:rsidRPr="000973F2">
              <w:rPr>
                <w:rFonts w:ascii="Times New Roman" w:eastAsia="Times New Roman" w:hAnsi="Times New Roman" w:cs="Times New Roman"/>
                <w:sz w:val="18"/>
                <w:szCs w:val="18"/>
              </w:rPr>
              <w:t>Activity</w:t>
            </w:r>
          </w:p>
        </w:tc>
        <w:tc>
          <w:tcPr>
            <w:tcW w:w="3808" w:type="dxa"/>
            <w:gridSpan w:val="3"/>
            <w:noWrap/>
            <w:hideMark/>
          </w:tcPr>
          <w:p w14:paraId="07DC6088" w14:textId="77777777" w:rsidR="00FF36E8" w:rsidRPr="000973F2" w:rsidRDefault="00FF36E8" w:rsidP="00BD4AE7">
            <w:pPr>
              <w:spacing w:before="40" w:after="40"/>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bCs w:val="0"/>
                <w:sz w:val="18"/>
                <w:szCs w:val="18"/>
              </w:rPr>
            </w:pPr>
            <w:r w:rsidRPr="000973F2">
              <w:rPr>
                <w:rFonts w:ascii="Times New Roman" w:eastAsia="Times New Roman" w:hAnsi="Times New Roman" w:cs="Times New Roman"/>
                <w:sz w:val="18"/>
                <w:szCs w:val="18"/>
              </w:rPr>
              <w:t>Cost Categories</w:t>
            </w:r>
          </w:p>
        </w:tc>
        <w:tc>
          <w:tcPr>
            <w:tcW w:w="3808" w:type="dxa"/>
            <w:gridSpan w:val="3"/>
            <w:hideMark/>
          </w:tcPr>
          <w:p w14:paraId="2C7008BD" w14:textId="77777777" w:rsidR="00FF36E8" w:rsidRPr="000973F2" w:rsidRDefault="00FF36E8" w:rsidP="00BD4AE7">
            <w:pPr>
              <w:spacing w:before="40" w:after="40"/>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bCs w:val="0"/>
                <w:sz w:val="18"/>
                <w:szCs w:val="18"/>
              </w:rPr>
            </w:pPr>
            <w:r w:rsidRPr="000973F2">
              <w:rPr>
                <w:rFonts w:ascii="Times New Roman" w:eastAsia="Times New Roman" w:hAnsi="Times New Roman" w:cs="Times New Roman"/>
                <w:sz w:val="18"/>
                <w:szCs w:val="18"/>
              </w:rPr>
              <w:t>Total Capital and O&amp;M Cost per Year per Facility (2017$)</w:t>
            </w:r>
          </w:p>
        </w:tc>
      </w:tr>
      <w:tr w:rsidR="00BD4AE7" w:rsidRPr="000973F2" w14:paraId="567894CB" w14:textId="77777777" w:rsidTr="00BD4AE7">
        <w:tblPrEx>
          <w:jc w:val="left"/>
        </w:tblPrEx>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1714" w:type="dxa"/>
            <w:vMerge/>
            <w:noWrap/>
            <w:hideMark/>
          </w:tcPr>
          <w:p w14:paraId="27084959" w14:textId="283E9AA7" w:rsidR="00FF36E8" w:rsidRPr="000973F2" w:rsidRDefault="00FF36E8" w:rsidP="00BD4AE7">
            <w:pPr>
              <w:spacing w:before="40" w:after="40"/>
              <w:jc w:val="center"/>
              <w:rPr>
                <w:rFonts w:ascii="Times New Roman" w:eastAsia="Times New Roman" w:hAnsi="Times New Roman" w:cs="Times New Roman"/>
                <w:b/>
                <w:bCs w:val="0"/>
                <w:sz w:val="18"/>
                <w:szCs w:val="18"/>
              </w:rPr>
            </w:pPr>
          </w:p>
        </w:tc>
        <w:tc>
          <w:tcPr>
            <w:tcW w:w="1269" w:type="dxa"/>
            <w:hideMark/>
          </w:tcPr>
          <w:p w14:paraId="03F299C0" w14:textId="77777777" w:rsidR="00FF36E8" w:rsidRPr="000973F2" w:rsidRDefault="00FF36E8" w:rsidP="00BD4AE7">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18"/>
                <w:szCs w:val="18"/>
              </w:rPr>
            </w:pPr>
            <w:r w:rsidRPr="000973F2">
              <w:rPr>
                <w:rFonts w:ascii="Times New Roman" w:eastAsia="Times New Roman" w:hAnsi="Times New Roman" w:cs="Times New Roman"/>
                <w:b/>
                <w:bCs/>
                <w:sz w:val="18"/>
                <w:szCs w:val="18"/>
              </w:rPr>
              <w:t>Capital Cost (2017$)</w:t>
            </w:r>
          </w:p>
        </w:tc>
        <w:tc>
          <w:tcPr>
            <w:tcW w:w="1269" w:type="dxa"/>
            <w:hideMark/>
          </w:tcPr>
          <w:p w14:paraId="0D0119FE" w14:textId="77777777" w:rsidR="00FF36E8" w:rsidRPr="000973F2" w:rsidRDefault="00FF36E8" w:rsidP="00BD4AE7">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18"/>
                <w:szCs w:val="18"/>
              </w:rPr>
            </w:pPr>
            <w:r w:rsidRPr="000973F2">
              <w:rPr>
                <w:rFonts w:ascii="Times New Roman" w:eastAsia="Times New Roman" w:hAnsi="Times New Roman" w:cs="Times New Roman"/>
                <w:b/>
                <w:bCs/>
                <w:sz w:val="18"/>
                <w:szCs w:val="18"/>
              </w:rPr>
              <w:t>Equipment Lifetime</w:t>
            </w:r>
          </w:p>
        </w:tc>
        <w:tc>
          <w:tcPr>
            <w:tcW w:w="1270" w:type="dxa"/>
            <w:hideMark/>
          </w:tcPr>
          <w:p w14:paraId="7E4EE46F" w14:textId="77777777" w:rsidR="00FF36E8" w:rsidRPr="000973F2" w:rsidRDefault="00FF36E8" w:rsidP="00BD4AE7">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18"/>
                <w:szCs w:val="18"/>
              </w:rPr>
            </w:pPr>
            <w:r w:rsidRPr="000973F2">
              <w:rPr>
                <w:rFonts w:ascii="Times New Roman" w:eastAsia="Times New Roman" w:hAnsi="Times New Roman" w:cs="Times New Roman"/>
                <w:b/>
                <w:bCs/>
                <w:sz w:val="18"/>
                <w:szCs w:val="18"/>
              </w:rPr>
              <w:t>Annualized Capital Cost (2017$/year)</w:t>
            </w:r>
          </w:p>
        </w:tc>
        <w:tc>
          <w:tcPr>
            <w:tcW w:w="1269" w:type="dxa"/>
            <w:hideMark/>
          </w:tcPr>
          <w:p w14:paraId="339E7B40" w14:textId="77777777" w:rsidR="00FF36E8" w:rsidRPr="000973F2" w:rsidRDefault="00FF36E8" w:rsidP="00BD4AE7">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18"/>
                <w:szCs w:val="18"/>
              </w:rPr>
            </w:pPr>
            <w:r w:rsidRPr="000973F2">
              <w:rPr>
                <w:rFonts w:ascii="Times New Roman" w:eastAsia="Times New Roman" w:hAnsi="Times New Roman" w:cs="Times New Roman"/>
                <w:b/>
                <w:bCs/>
                <w:sz w:val="18"/>
                <w:szCs w:val="18"/>
              </w:rPr>
              <w:t>O&amp;M Costs (2017$/year)</w:t>
            </w:r>
          </w:p>
        </w:tc>
        <w:tc>
          <w:tcPr>
            <w:tcW w:w="1269" w:type="dxa"/>
            <w:hideMark/>
          </w:tcPr>
          <w:p w14:paraId="61EB02B7" w14:textId="77777777" w:rsidR="00FF36E8" w:rsidRPr="000973F2" w:rsidRDefault="00FF36E8" w:rsidP="00BD4AE7">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18"/>
                <w:szCs w:val="18"/>
              </w:rPr>
            </w:pPr>
            <w:r w:rsidRPr="000973F2">
              <w:rPr>
                <w:rFonts w:ascii="Times New Roman" w:eastAsia="Times New Roman" w:hAnsi="Times New Roman" w:cs="Times New Roman"/>
                <w:b/>
                <w:bCs/>
                <w:sz w:val="18"/>
                <w:szCs w:val="18"/>
              </w:rPr>
              <w:t>Initial Year</w:t>
            </w:r>
          </w:p>
        </w:tc>
        <w:tc>
          <w:tcPr>
            <w:tcW w:w="1270" w:type="dxa"/>
            <w:hideMark/>
          </w:tcPr>
          <w:p w14:paraId="0FD416BA" w14:textId="77777777" w:rsidR="00FF36E8" w:rsidRPr="000973F2" w:rsidRDefault="00FF36E8" w:rsidP="00BD4AE7">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18"/>
                <w:szCs w:val="18"/>
              </w:rPr>
            </w:pPr>
            <w:r w:rsidRPr="000973F2">
              <w:rPr>
                <w:rFonts w:ascii="Times New Roman" w:eastAsia="Times New Roman" w:hAnsi="Times New Roman" w:cs="Times New Roman"/>
                <w:b/>
                <w:bCs/>
                <w:sz w:val="18"/>
                <w:szCs w:val="18"/>
              </w:rPr>
              <w:t>Subseq. Years</w:t>
            </w:r>
          </w:p>
        </w:tc>
      </w:tr>
      <w:tr w:rsidR="00BD4AE7" w:rsidRPr="000973F2" w14:paraId="7C8FE22C" w14:textId="77777777" w:rsidTr="00BD4AE7">
        <w:tblPrEx>
          <w:jc w:val="left"/>
        </w:tblPrEx>
        <w:trPr>
          <w:cantSplit/>
        </w:trPr>
        <w:tc>
          <w:tcPr>
            <w:cnfStyle w:val="001000000000" w:firstRow="0" w:lastRow="0" w:firstColumn="1" w:lastColumn="0" w:oddVBand="0" w:evenVBand="0" w:oddHBand="0" w:evenHBand="0" w:firstRowFirstColumn="0" w:firstRowLastColumn="0" w:lastRowFirstColumn="0" w:lastRowLastColumn="0"/>
            <w:tcW w:w="1714" w:type="dxa"/>
            <w:hideMark/>
          </w:tcPr>
          <w:p w14:paraId="6AF10490" w14:textId="77777777" w:rsidR="003E005F" w:rsidRPr="000973F2" w:rsidRDefault="003E005F" w:rsidP="00BD4AE7">
            <w:pPr>
              <w:spacing w:before="40" w:after="4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Equipment (selection, purchase, installation)</w:t>
            </w:r>
          </w:p>
        </w:tc>
        <w:tc>
          <w:tcPr>
            <w:tcW w:w="1269" w:type="dxa"/>
            <w:noWrap/>
            <w:hideMark/>
          </w:tcPr>
          <w:p w14:paraId="3B48F9D4" w14:textId="7B980747" w:rsidR="003E005F" w:rsidRPr="000973F2" w:rsidRDefault="00BD4AE7" w:rsidP="00BD4AE7">
            <w:pPr>
              <w:spacing w:before="40" w:after="4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w:t>
            </w:r>
          </w:p>
        </w:tc>
        <w:tc>
          <w:tcPr>
            <w:tcW w:w="1269" w:type="dxa"/>
            <w:noWrap/>
          </w:tcPr>
          <w:p w14:paraId="79A51B0B" w14:textId="4E1118DE" w:rsidR="003E005F" w:rsidRPr="000973F2" w:rsidRDefault="003E005F" w:rsidP="00BD4AE7">
            <w:pPr>
              <w:spacing w:before="40" w:after="4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p>
        </w:tc>
        <w:tc>
          <w:tcPr>
            <w:tcW w:w="1270" w:type="dxa"/>
            <w:noWrap/>
            <w:hideMark/>
          </w:tcPr>
          <w:p w14:paraId="4E0B7DD1" w14:textId="125C2FE6" w:rsidR="003E005F" w:rsidRPr="000973F2" w:rsidRDefault="00BD4AE7" w:rsidP="00BD4AE7">
            <w:pPr>
              <w:spacing w:before="40" w:after="4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w:t>
            </w:r>
          </w:p>
        </w:tc>
        <w:tc>
          <w:tcPr>
            <w:tcW w:w="1269" w:type="dxa"/>
            <w:noWrap/>
            <w:hideMark/>
          </w:tcPr>
          <w:p w14:paraId="29E6887A" w14:textId="75A63CD4" w:rsidR="003E005F" w:rsidRPr="000973F2" w:rsidRDefault="00BD4AE7" w:rsidP="00BD4AE7">
            <w:pPr>
              <w:tabs>
                <w:tab w:val="decimal" w:pos="751"/>
              </w:tabs>
              <w:spacing w:before="40" w:after="4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w:t>
            </w:r>
          </w:p>
        </w:tc>
        <w:tc>
          <w:tcPr>
            <w:tcW w:w="1269" w:type="dxa"/>
            <w:noWrap/>
            <w:hideMark/>
          </w:tcPr>
          <w:p w14:paraId="0C0E8A17" w14:textId="05788CA7" w:rsidR="003E005F" w:rsidRPr="000973F2" w:rsidRDefault="00BD4AE7" w:rsidP="00BD4AE7">
            <w:pPr>
              <w:spacing w:before="40" w:after="4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w:t>
            </w:r>
          </w:p>
        </w:tc>
        <w:tc>
          <w:tcPr>
            <w:tcW w:w="1270" w:type="dxa"/>
            <w:noWrap/>
            <w:hideMark/>
          </w:tcPr>
          <w:p w14:paraId="24D438B3" w14:textId="7CB88B0D" w:rsidR="003E005F" w:rsidRPr="000973F2" w:rsidRDefault="00BD4AE7" w:rsidP="00BD4AE7">
            <w:pPr>
              <w:tabs>
                <w:tab w:val="decimal" w:pos="721"/>
              </w:tabs>
              <w:spacing w:before="40" w:after="4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w:t>
            </w:r>
          </w:p>
        </w:tc>
      </w:tr>
      <w:tr w:rsidR="00BD4AE7" w:rsidRPr="000973F2" w14:paraId="5439F68A" w14:textId="77777777" w:rsidTr="00BD4AE7">
        <w:tblPrEx>
          <w:jc w:val="left"/>
        </w:tblPrEx>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1714" w:type="dxa"/>
            <w:hideMark/>
          </w:tcPr>
          <w:p w14:paraId="36E4A633" w14:textId="77777777" w:rsidR="003E005F" w:rsidRPr="000973F2" w:rsidRDefault="003E005F" w:rsidP="00BD4AE7">
            <w:pPr>
              <w:spacing w:before="40" w:after="4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Performance testing</w:t>
            </w:r>
          </w:p>
        </w:tc>
        <w:tc>
          <w:tcPr>
            <w:tcW w:w="1269" w:type="dxa"/>
            <w:noWrap/>
            <w:hideMark/>
          </w:tcPr>
          <w:p w14:paraId="7CC8C1DF" w14:textId="4EBB6E41" w:rsidR="003E005F" w:rsidRPr="000973F2" w:rsidRDefault="00BD4AE7" w:rsidP="00BD4AE7">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w:t>
            </w:r>
          </w:p>
        </w:tc>
        <w:tc>
          <w:tcPr>
            <w:tcW w:w="1269" w:type="dxa"/>
            <w:noWrap/>
          </w:tcPr>
          <w:p w14:paraId="3CC295ED" w14:textId="00F3D824" w:rsidR="003E005F" w:rsidRPr="000973F2" w:rsidRDefault="003E005F" w:rsidP="00BD4AE7">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p>
        </w:tc>
        <w:tc>
          <w:tcPr>
            <w:tcW w:w="1270" w:type="dxa"/>
            <w:noWrap/>
            <w:hideMark/>
          </w:tcPr>
          <w:p w14:paraId="0FFE8024" w14:textId="07818943" w:rsidR="003E005F" w:rsidRPr="000973F2" w:rsidRDefault="00BD4AE7" w:rsidP="00BD4AE7">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w:t>
            </w:r>
          </w:p>
        </w:tc>
        <w:tc>
          <w:tcPr>
            <w:tcW w:w="1269" w:type="dxa"/>
            <w:noWrap/>
            <w:hideMark/>
          </w:tcPr>
          <w:p w14:paraId="31868CCB" w14:textId="0F7B740F" w:rsidR="003E005F" w:rsidRPr="000973F2" w:rsidRDefault="00BD4AE7" w:rsidP="00BD4AE7">
            <w:pPr>
              <w:tabs>
                <w:tab w:val="decimal" w:pos="751"/>
              </w:tabs>
              <w:spacing w:before="40" w:after="4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w:t>
            </w:r>
          </w:p>
        </w:tc>
        <w:tc>
          <w:tcPr>
            <w:tcW w:w="1269" w:type="dxa"/>
            <w:noWrap/>
            <w:hideMark/>
          </w:tcPr>
          <w:p w14:paraId="11D40591" w14:textId="0E201714" w:rsidR="003E005F" w:rsidRPr="000973F2" w:rsidRDefault="00BD4AE7" w:rsidP="00BD4AE7">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w:t>
            </w:r>
          </w:p>
        </w:tc>
        <w:tc>
          <w:tcPr>
            <w:tcW w:w="1270" w:type="dxa"/>
            <w:noWrap/>
            <w:hideMark/>
          </w:tcPr>
          <w:p w14:paraId="0DE63989" w14:textId="00221384" w:rsidR="003E005F" w:rsidRPr="000973F2" w:rsidRDefault="00BD4AE7" w:rsidP="00BD4AE7">
            <w:pPr>
              <w:tabs>
                <w:tab w:val="decimal" w:pos="721"/>
              </w:tabs>
              <w:spacing w:before="40" w:after="4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w:t>
            </w:r>
          </w:p>
        </w:tc>
      </w:tr>
      <w:tr w:rsidR="00BD4AE7" w:rsidRPr="000973F2" w14:paraId="4B221EB7" w14:textId="77777777" w:rsidTr="00BD4AE7">
        <w:tblPrEx>
          <w:jc w:val="left"/>
        </w:tblPrEx>
        <w:trPr>
          <w:cantSplit/>
        </w:trPr>
        <w:tc>
          <w:tcPr>
            <w:cnfStyle w:val="001000000000" w:firstRow="0" w:lastRow="0" w:firstColumn="1" w:lastColumn="0" w:oddVBand="0" w:evenVBand="0" w:oddHBand="0" w:evenHBand="0" w:firstRowFirstColumn="0" w:firstRowLastColumn="0" w:lastRowFirstColumn="0" w:lastRowLastColumn="0"/>
            <w:tcW w:w="1714" w:type="dxa"/>
            <w:hideMark/>
          </w:tcPr>
          <w:p w14:paraId="4EB3E7B2" w14:textId="77777777" w:rsidR="00830E92" w:rsidRPr="000973F2" w:rsidRDefault="00830E92" w:rsidP="00BD4AE7">
            <w:pPr>
              <w:spacing w:before="40" w:after="4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Recordkeeping</w:t>
            </w:r>
          </w:p>
        </w:tc>
        <w:tc>
          <w:tcPr>
            <w:tcW w:w="1269" w:type="dxa"/>
            <w:noWrap/>
            <w:hideMark/>
          </w:tcPr>
          <w:p w14:paraId="66CC7027" w14:textId="77777777" w:rsidR="00830E92" w:rsidRPr="000973F2" w:rsidRDefault="00830E92" w:rsidP="00BD4AE7">
            <w:pPr>
              <w:spacing w:before="40" w:after="4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$0</w:t>
            </w:r>
          </w:p>
        </w:tc>
        <w:tc>
          <w:tcPr>
            <w:tcW w:w="1269" w:type="dxa"/>
            <w:noWrap/>
          </w:tcPr>
          <w:p w14:paraId="4BF775DD" w14:textId="77777777" w:rsidR="00830E92" w:rsidRPr="000973F2" w:rsidRDefault="00830E92" w:rsidP="00BD4AE7">
            <w:pPr>
              <w:spacing w:before="40" w:after="4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p>
        </w:tc>
        <w:tc>
          <w:tcPr>
            <w:tcW w:w="1270" w:type="dxa"/>
            <w:noWrap/>
            <w:hideMark/>
          </w:tcPr>
          <w:p w14:paraId="6F717620" w14:textId="77777777" w:rsidR="00830E92" w:rsidRPr="000973F2" w:rsidRDefault="00830E92" w:rsidP="00BD4AE7">
            <w:pPr>
              <w:spacing w:before="40" w:after="4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$0</w:t>
            </w:r>
          </w:p>
        </w:tc>
        <w:tc>
          <w:tcPr>
            <w:tcW w:w="1269" w:type="dxa"/>
            <w:noWrap/>
            <w:hideMark/>
          </w:tcPr>
          <w:p w14:paraId="6ECD9778" w14:textId="77777777" w:rsidR="00830E92" w:rsidRPr="000973F2" w:rsidRDefault="00830E92" w:rsidP="00BD4AE7">
            <w:pPr>
              <w:tabs>
                <w:tab w:val="decimal" w:pos="751"/>
              </w:tabs>
              <w:spacing w:before="40" w:after="4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$50</w:t>
            </w:r>
          </w:p>
        </w:tc>
        <w:tc>
          <w:tcPr>
            <w:tcW w:w="1269" w:type="dxa"/>
            <w:noWrap/>
            <w:hideMark/>
          </w:tcPr>
          <w:p w14:paraId="6038BB85" w14:textId="77777777" w:rsidR="00830E92" w:rsidRPr="000973F2" w:rsidRDefault="00830E92" w:rsidP="00BD4AE7">
            <w:pPr>
              <w:spacing w:before="40" w:after="4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$0</w:t>
            </w:r>
          </w:p>
        </w:tc>
        <w:tc>
          <w:tcPr>
            <w:tcW w:w="1270" w:type="dxa"/>
            <w:noWrap/>
            <w:hideMark/>
          </w:tcPr>
          <w:p w14:paraId="7B7ED0ED" w14:textId="77777777" w:rsidR="00830E92" w:rsidRPr="000973F2" w:rsidRDefault="00830E92" w:rsidP="00BD4AE7">
            <w:pPr>
              <w:tabs>
                <w:tab w:val="decimal" w:pos="721"/>
              </w:tabs>
              <w:spacing w:before="40" w:after="4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$50</w:t>
            </w:r>
          </w:p>
        </w:tc>
      </w:tr>
      <w:tr w:rsidR="00BD4AE7" w:rsidRPr="000973F2" w14:paraId="2A8CA4DC" w14:textId="77777777" w:rsidTr="00BD4AE7">
        <w:tblPrEx>
          <w:jc w:val="left"/>
        </w:tblPrEx>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1714" w:type="dxa"/>
            <w:hideMark/>
          </w:tcPr>
          <w:p w14:paraId="77012DD1" w14:textId="77777777" w:rsidR="003E005F" w:rsidRPr="000973F2" w:rsidRDefault="003E005F" w:rsidP="00BD4AE7">
            <w:pPr>
              <w:spacing w:before="40" w:after="4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Travel</w:t>
            </w:r>
          </w:p>
        </w:tc>
        <w:tc>
          <w:tcPr>
            <w:tcW w:w="1269" w:type="dxa"/>
            <w:noWrap/>
            <w:hideMark/>
          </w:tcPr>
          <w:p w14:paraId="034794E1" w14:textId="365359BD" w:rsidR="003E005F" w:rsidRPr="000973F2" w:rsidRDefault="00BD4AE7" w:rsidP="00BD4AE7">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w:t>
            </w:r>
          </w:p>
        </w:tc>
        <w:tc>
          <w:tcPr>
            <w:tcW w:w="1269" w:type="dxa"/>
            <w:noWrap/>
          </w:tcPr>
          <w:p w14:paraId="6C272938" w14:textId="25B7883D" w:rsidR="003E005F" w:rsidRPr="000973F2" w:rsidRDefault="003E005F" w:rsidP="00BD4AE7">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p>
        </w:tc>
        <w:tc>
          <w:tcPr>
            <w:tcW w:w="1270" w:type="dxa"/>
            <w:noWrap/>
            <w:hideMark/>
          </w:tcPr>
          <w:p w14:paraId="35652D00" w14:textId="36A676A3" w:rsidR="003E005F" w:rsidRPr="000973F2" w:rsidRDefault="00BD4AE7" w:rsidP="00BD4AE7">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w:t>
            </w:r>
          </w:p>
        </w:tc>
        <w:tc>
          <w:tcPr>
            <w:tcW w:w="1269" w:type="dxa"/>
            <w:noWrap/>
            <w:hideMark/>
          </w:tcPr>
          <w:p w14:paraId="057C39E3" w14:textId="2B221E50" w:rsidR="003E005F" w:rsidRPr="000973F2" w:rsidRDefault="00BD4AE7" w:rsidP="00BD4AE7">
            <w:pPr>
              <w:tabs>
                <w:tab w:val="decimal" w:pos="751"/>
              </w:tabs>
              <w:spacing w:before="40" w:after="4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w:t>
            </w:r>
          </w:p>
        </w:tc>
        <w:tc>
          <w:tcPr>
            <w:tcW w:w="1269" w:type="dxa"/>
            <w:noWrap/>
            <w:hideMark/>
          </w:tcPr>
          <w:p w14:paraId="09C567A0" w14:textId="56F1A765" w:rsidR="003E005F" w:rsidRPr="000973F2" w:rsidRDefault="00BD4AE7" w:rsidP="00BD4AE7">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w:t>
            </w:r>
          </w:p>
        </w:tc>
        <w:tc>
          <w:tcPr>
            <w:tcW w:w="1270" w:type="dxa"/>
            <w:noWrap/>
            <w:hideMark/>
          </w:tcPr>
          <w:p w14:paraId="75251467" w14:textId="0FAFC0B6" w:rsidR="003E005F" w:rsidRPr="000973F2" w:rsidRDefault="00BD4AE7" w:rsidP="00BD4AE7">
            <w:pPr>
              <w:tabs>
                <w:tab w:val="decimal" w:pos="721"/>
              </w:tabs>
              <w:spacing w:before="40" w:after="4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w:t>
            </w:r>
          </w:p>
        </w:tc>
      </w:tr>
      <w:tr w:rsidR="00BD4AE7" w:rsidRPr="000973F2" w14:paraId="02CBECE9" w14:textId="77777777" w:rsidTr="00BD4AE7">
        <w:tblPrEx>
          <w:jc w:val="left"/>
        </w:tblPrEx>
        <w:trPr>
          <w:cantSplit/>
        </w:trPr>
        <w:tc>
          <w:tcPr>
            <w:cnfStyle w:val="001000000000" w:firstRow="0" w:lastRow="0" w:firstColumn="1" w:lastColumn="0" w:oddVBand="0" w:evenVBand="0" w:oddHBand="0" w:evenHBand="0" w:firstRowFirstColumn="0" w:firstRowLastColumn="0" w:lastRowFirstColumn="0" w:lastRowLastColumn="0"/>
            <w:tcW w:w="1714" w:type="dxa"/>
            <w:hideMark/>
          </w:tcPr>
          <w:p w14:paraId="709D660F" w14:textId="543184E3" w:rsidR="00830E92" w:rsidRPr="000973F2" w:rsidRDefault="00830E92" w:rsidP="00BD4AE7">
            <w:pPr>
              <w:spacing w:before="40" w:after="4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 xml:space="preserve">Sampling </w:t>
            </w:r>
            <w:r w:rsidR="00C805F3" w:rsidRPr="000973F2">
              <w:rPr>
                <w:rFonts w:ascii="Times New Roman" w:eastAsia="Times New Roman" w:hAnsi="Times New Roman" w:cs="Times New Roman"/>
                <w:sz w:val="18"/>
                <w:szCs w:val="18"/>
              </w:rPr>
              <w:t xml:space="preserve">and Analysis </w:t>
            </w:r>
            <w:r w:rsidRPr="000973F2">
              <w:rPr>
                <w:rFonts w:ascii="Times New Roman" w:eastAsia="Times New Roman" w:hAnsi="Times New Roman" w:cs="Times New Roman"/>
                <w:sz w:val="18"/>
                <w:szCs w:val="18"/>
              </w:rPr>
              <w:t>Costs</w:t>
            </w:r>
          </w:p>
        </w:tc>
        <w:tc>
          <w:tcPr>
            <w:tcW w:w="1269" w:type="dxa"/>
            <w:noWrap/>
            <w:hideMark/>
          </w:tcPr>
          <w:p w14:paraId="61613AFE" w14:textId="77777777" w:rsidR="00830E92" w:rsidRPr="000973F2" w:rsidRDefault="00830E92" w:rsidP="00BD4AE7">
            <w:pPr>
              <w:spacing w:before="40" w:after="4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$0</w:t>
            </w:r>
          </w:p>
        </w:tc>
        <w:tc>
          <w:tcPr>
            <w:tcW w:w="1269" w:type="dxa"/>
            <w:noWrap/>
          </w:tcPr>
          <w:p w14:paraId="6A2111B1" w14:textId="77777777" w:rsidR="00830E92" w:rsidRPr="000973F2" w:rsidRDefault="00830E92" w:rsidP="00BD4AE7">
            <w:pPr>
              <w:spacing w:before="40" w:after="4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p>
        </w:tc>
        <w:tc>
          <w:tcPr>
            <w:tcW w:w="1270" w:type="dxa"/>
            <w:noWrap/>
            <w:hideMark/>
          </w:tcPr>
          <w:p w14:paraId="11B090F7" w14:textId="77777777" w:rsidR="00830E92" w:rsidRPr="000973F2" w:rsidRDefault="00830E92" w:rsidP="00BD4AE7">
            <w:pPr>
              <w:spacing w:before="40" w:after="4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$0</w:t>
            </w:r>
          </w:p>
        </w:tc>
        <w:tc>
          <w:tcPr>
            <w:tcW w:w="1269" w:type="dxa"/>
            <w:noWrap/>
            <w:hideMark/>
          </w:tcPr>
          <w:p w14:paraId="3DB60928" w14:textId="6480B29F" w:rsidR="00830E92" w:rsidRPr="000973F2" w:rsidRDefault="00830E92" w:rsidP="00BD4AE7">
            <w:pPr>
              <w:tabs>
                <w:tab w:val="decimal" w:pos="751"/>
              </w:tabs>
              <w:spacing w:before="40" w:after="4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$1,7</w:t>
            </w:r>
            <w:r w:rsidR="00D640BE" w:rsidRPr="000973F2">
              <w:rPr>
                <w:rFonts w:ascii="Times New Roman" w:eastAsia="Times New Roman" w:hAnsi="Times New Roman" w:cs="Times New Roman"/>
                <w:sz w:val="18"/>
                <w:szCs w:val="18"/>
              </w:rPr>
              <w:t>4</w:t>
            </w:r>
            <w:r w:rsidRPr="000973F2">
              <w:rPr>
                <w:rFonts w:ascii="Times New Roman" w:eastAsia="Times New Roman" w:hAnsi="Times New Roman" w:cs="Times New Roman"/>
                <w:sz w:val="18"/>
                <w:szCs w:val="18"/>
              </w:rPr>
              <w:t>6</w:t>
            </w:r>
          </w:p>
        </w:tc>
        <w:tc>
          <w:tcPr>
            <w:tcW w:w="1269" w:type="dxa"/>
            <w:noWrap/>
            <w:hideMark/>
          </w:tcPr>
          <w:p w14:paraId="0B8A0A91" w14:textId="77777777" w:rsidR="00830E92" w:rsidRPr="000973F2" w:rsidRDefault="00830E92" w:rsidP="00BD4AE7">
            <w:pPr>
              <w:spacing w:before="40" w:after="4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$0</w:t>
            </w:r>
          </w:p>
        </w:tc>
        <w:tc>
          <w:tcPr>
            <w:tcW w:w="1270" w:type="dxa"/>
            <w:noWrap/>
            <w:hideMark/>
          </w:tcPr>
          <w:p w14:paraId="49C417A5" w14:textId="385179EB" w:rsidR="00830E92" w:rsidRPr="000973F2" w:rsidRDefault="00830E92" w:rsidP="00BD4AE7">
            <w:pPr>
              <w:tabs>
                <w:tab w:val="decimal" w:pos="721"/>
              </w:tabs>
              <w:spacing w:before="40" w:after="4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$1,7</w:t>
            </w:r>
            <w:r w:rsidR="00D640BE" w:rsidRPr="000973F2">
              <w:rPr>
                <w:rFonts w:ascii="Times New Roman" w:eastAsia="Times New Roman" w:hAnsi="Times New Roman" w:cs="Times New Roman"/>
                <w:sz w:val="18"/>
                <w:szCs w:val="18"/>
              </w:rPr>
              <w:t>4</w:t>
            </w:r>
            <w:r w:rsidRPr="000973F2">
              <w:rPr>
                <w:rFonts w:ascii="Times New Roman" w:eastAsia="Times New Roman" w:hAnsi="Times New Roman" w:cs="Times New Roman"/>
                <w:sz w:val="18"/>
                <w:szCs w:val="18"/>
              </w:rPr>
              <w:t>6</w:t>
            </w:r>
          </w:p>
        </w:tc>
      </w:tr>
      <w:tr w:rsidR="00BD4AE7" w:rsidRPr="000973F2" w14:paraId="6EDF5B68" w14:textId="77777777" w:rsidTr="00BD4AE7">
        <w:tblPrEx>
          <w:jc w:val="left"/>
        </w:tblPrEx>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1714" w:type="dxa"/>
            <w:hideMark/>
          </w:tcPr>
          <w:p w14:paraId="644C638F" w14:textId="77777777" w:rsidR="00830E92" w:rsidRPr="000973F2" w:rsidRDefault="00830E92" w:rsidP="00BD4AE7">
            <w:pPr>
              <w:spacing w:before="40" w:after="40"/>
              <w:rPr>
                <w:rFonts w:ascii="Times New Roman" w:eastAsia="Times New Roman" w:hAnsi="Times New Roman" w:cs="Times New Roman"/>
                <w:b/>
                <w:bCs w:val="0"/>
                <w:sz w:val="18"/>
                <w:szCs w:val="18"/>
              </w:rPr>
            </w:pPr>
            <w:r w:rsidRPr="000973F2">
              <w:rPr>
                <w:rFonts w:ascii="Times New Roman" w:eastAsia="Times New Roman" w:hAnsi="Times New Roman" w:cs="Times New Roman"/>
                <w:b/>
                <w:sz w:val="18"/>
                <w:szCs w:val="18"/>
              </w:rPr>
              <w:t xml:space="preserve">Total </w:t>
            </w:r>
          </w:p>
        </w:tc>
        <w:tc>
          <w:tcPr>
            <w:tcW w:w="1269" w:type="dxa"/>
            <w:noWrap/>
            <w:hideMark/>
          </w:tcPr>
          <w:p w14:paraId="619458A4" w14:textId="77777777" w:rsidR="00830E92" w:rsidRPr="000973F2" w:rsidRDefault="00830E92" w:rsidP="00BD4AE7">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$0</w:t>
            </w:r>
          </w:p>
        </w:tc>
        <w:tc>
          <w:tcPr>
            <w:tcW w:w="1269" w:type="dxa"/>
            <w:noWrap/>
          </w:tcPr>
          <w:p w14:paraId="13196771" w14:textId="77777777" w:rsidR="00830E92" w:rsidRPr="000973F2" w:rsidRDefault="00830E92" w:rsidP="00BD4AE7">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p>
        </w:tc>
        <w:tc>
          <w:tcPr>
            <w:tcW w:w="1270" w:type="dxa"/>
            <w:noWrap/>
            <w:hideMark/>
          </w:tcPr>
          <w:p w14:paraId="50A2280D" w14:textId="77777777" w:rsidR="00830E92" w:rsidRPr="000973F2" w:rsidRDefault="00830E92" w:rsidP="00BD4AE7">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$0</w:t>
            </w:r>
          </w:p>
        </w:tc>
        <w:tc>
          <w:tcPr>
            <w:tcW w:w="1269" w:type="dxa"/>
            <w:noWrap/>
            <w:hideMark/>
          </w:tcPr>
          <w:p w14:paraId="77E757EE" w14:textId="28BF0563" w:rsidR="00830E92" w:rsidRPr="000973F2" w:rsidRDefault="00830E92" w:rsidP="00BD4AE7">
            <w:pPr>
              <w:tabs>
                <w:tab w:val="decimal" w:pos="751"/>
              </w:tabs>
              <w:spacing w:before="40" w:after="4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$1,7</w:t>
            </w:r>
            <w:r w:rsidR="00D640BE" w:rsidRPr="000973F2">
              <w:rPr>
                <w:rFonts w:ascii="Times New Roman" w:eastAsia="Times New Roman" w:hAnsi="Times New Roman" w:cs="Times New Roman"/>
                <w:sz w:val="18"/>
                <w:szCs w:val="18"/>
              </w:rPr>
              <w:t>9</w:t>
            </w:r>
            <w:r w:rsidRPr="000973F2">
              <w:rPr>
                <w:rFonts w:ascii="Times New Roman" w:eastAsia="Times New Roman" w:hAnsi="Times New Roman" w:cs="Times New Roman"/>
                <w:sz w:val="18"/>
                <w:szCs w:val="18"/>
              </w:rPr>
              <w:t>6</w:t>
            </w:r>
          </w:p>
        </w:tc>
        <w:tc>
          <w:tcPr>
            <w:tcW w:w="1269" w:type="dxa"/>
            <w:noWrap/>
            <w:hideMark/>
          </w:tcPr>
          <w:p w14:paraId="0125442B" w14:textId="77777777" w:rsidR="00830E92" w:rsidRPr="000973F2" w:rsidRDefault="00830E92" w:rsidP="00BD4AE7">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$0</w:t>
            </w:r>
          </w:p>
        </w:tc>
        <w:tc>
          <w:tcPr>
            <w:tcW w:w="1270" w:type="dxa"/>
            <w:noWrap/>
            <w:hideMark/>
          </w:tcPr>
          <w:p w14:paraId="0DB4DF18" w14:textId="433E78B6" w:rsidR="00830E92" w:rsidRPr="000973F2" w:rsidRDefault="00830E92" w:rsidP="00BD4AE7">
            <w:pPr>
              <w:tabs>
                <w:tab w:val="decimal" w:pos="721"/>
              </w:tabs>
              <w:spacing w:before="40" w:after="4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$1,7</w:t>
            </w:r>
            <w:r w:rsidR="000037A1" w:rsidRPr="000973F2">
              <w:rPr>
                <w:rFonts w:ascii="Times New Roman" w:eastAsia="Times New Roman" w:hAnsi="Times New Roman" w:cs="Times New Roman"/>
                <w:sz w:val="18"/>
                <w:szCs w:val="18"/>
              </w:rPr>
              <w:t>9</w:t>
            </w:r>
            <w:r w:rsidRPr="000973F2">
              <w:rPr>
                <w:rFonts w:ascii="Times New Roman" w:eastAsia="Times New Roman" w:hAnsi="Times New Roman" w:cs="Times New Roman"/>
                <w:sz w:val="18"/>
                <w:szCs w:val="18"/>
              </w:rPr>
              <w:t>6</w:t>
            </w:r>
          </w:p>
        </w:tc>
      </w:tr>
    </w:tbl>
    <w:p w14:paraId="097E4D93" w14:textId="5916A929" w:rsidR="00830E92" w:rsidRPr="000973F2" w:rsidRDefault="00830E92" w:rsidP="00B31285">
      <w:pPr>
        <w:pStyle w:val="AfterTable"/>
      </w:pPr>
    </w:p>
    <w:p w14:paraId="44D5EBA0" w14:textId="3F18F840" w:rsidR="00830E92" w:rsidRPr="000973F2" w:rsidRDefault="00830E92" w:rsidP="00B31285">
      <w:pPr>
        <w:pStyle w:val="Heading2"/>
      </w:pPr>
      <w:r w:rsidRPr="000973F2">
        <w:t>Total Costs for Subpart P</w:t>
      </w:r>
    </w:p>
    <w:p w14:paraId="5DBD337D" w14:textId="47CDA3D4" w:rsidR="00830E92" w:rsidRPr="000973F2" w:rsidRDefault="00830E92" w:rsidP="00B31285">
      <w:pPr>
        <w:pStyle w:val="BodyText"/>
        <w:rPr>
          <w:rFonts w:eastAsia="Times New Roman"/>
        </w:rPr>
      </w:pPr>
      <w:r w:rsidRPr="000973F2">
        <w:t>The total industry costs related to Subpart P are approximately $</w:t>
      </w:r>
      <w:r w:rsidR="000D786B" w:rsidRPr="000973F2">
        <w:t>37</w:t>
      </w:r>
      <w:r w:rsidR="00F302DC" w:rsidRPr="000973F2">
        <w:t>8</w:t>
      </w:r>
      <w:r w:rsidRPr="000973F2">
        <w:t>,000 per year for existing facilities and approximately $</w:t>
      </w:r>
      <w:r w:rsidR="00A95CE6" w:rsidRPr="000973F2">
        <w:t>4</w:t>
      </w:r>
      <w:r w:rsidRPr="000973F2">
        <w:t>,</w:t>
      </w:r>
      <w:r w:rsidR="00A95CE6" w:rsidRPr="000973F2">
        <w:t>3</w:t>
      </w:r>
      <w:r w:rsidRPr="000973F2">
        <w:t>00 per year for new facilities</w:t>
      </w:r>
      <w:r w:rsidR="00C526FC" w:rsidRPr="000973F2">
        <w:t xml:space="preserve"> for a total of</w:t>
      </w:r>
      <w:r w:rsidR="006772F4" w:rsidRPr="000973F2">
        <w:t xml:space="preserve"> approximately $380,000 per year</w:t>
      </w:r>
      <w:r w:rsidR="00F00C04" w:rsidRPr="000973F2">
        <w:t xml:space="preserve"> and</w:t>
      </w:r>
      <w:r w:rsidRPr="000973F2">
        <w:t xml:space="preserve"> approximately $</w:t>
      </w:r>
      <w:r w:rsidR="002C66C3" w:rsidRPr="000973F2">
        <w:t>1,14</w:t>
      </w:r>
      <w:r w:rsidR="00773D8E" w:rsidRPr="000973F2">
        <w:t>7</w:t>
      </w:r>
      <w:r w:rsidR="002C66C3" w:rsidRPr="000973F2">
        <w:t>,000</w:t>
      </w:r>
      <w:r w:rsidRPr="000973F2">
        <w:t xml:space="preserve"> over the three-year period of the ICR. </w:t>
      </w:r>
      <w:r w:rsidRPr="000973F2">
        <w:rPr>
          <w:rFonts w:eastAsia="Times New Roman"/>
        </w:rPr>
        <w:t>Total costs are based on 116 facilities in 2019, 117 in 2020, and 118 in 2021, which accounts for the one new facility per year.</w:t>
      </w:r>
    </w:p>
    <w:p w14:paraId="3E6D1E7F" w14:textId="77777777" w:rsidR="00830E92" w:rsidRPr="000973F2" w:rsidRDefault="00830E92" w:rsidP="00DA0B85">
      <w:pPr>
        <w:spacing w:after="0" w:line="240" w:lineRule="auto"/>
        <w:rPr>
          <w:rFonts w:ascii="Times New Roman" w:hAnsi="Times New Roman" w:cs="Times New Roman"/>
          <w:color w:val="000000"/>
          <w:sz w:val="24"/>
          <w:szCs w:val="24"/>
          <w:shd w:val="clear" w:color="auto" w:fill="FFFFFF"/>
        </w:rPr>
      </w:pPr>
    </w:p>
    <w:p w14:paraId="0395628F" w14:textId="3DCBB4FF" w:rsidR="00830E92" w:rsidRPr="000973F2" w:rsidRDefault="00830E92" w:rsidP="00C00E4F">
      <w:pPr>
        <w:spacing w:line="240" w:lineRule="auto"/>
        <w:rPr>
          <w:rFonts w:ascii="Times New Roman" w:hAnsi="Times New Roman" w:cs="Times New Roman"/>
        </w:rPr>
      </w:pPr>
      <w:r w:rsidRPr="000973F2">
        <w:rPr>
          <w:rFonts w:ascii="Times New Roman" w:hAnsi="Times New Roman" w:cs="Times New Roman"/>
        </w:rPr>
        <w:br w:type="page"/>
      </w:r>
    </w:p>
    <w:p w14:paraId="66504BEB" w14:textId="77777777" w:rsidR="00F40687" w:rsidRPr="000973F2" w:rsidRDefault="00F40687" w:rsidP="00BD4AE7">
      <w:pPr>
        <w:pStyle w:val="Heading1"/>
      </w:pPr>
      <w:bookmarkStart w:id="30" w:name="_Toc10715608"/>
      <w:r w:rsidRPr="000973F2">
        <w:t>Cost Appendix for Subpart Q – Iron and Steel Production</w:t>
      </w:r>
      <w:bookmarkEnd w:id="30"/>
    </w:p>
    <w:p w14:paraId="317D6AD0" w14:textId="77777777" w:rsidR="00F40687" w:rsidRPr="000973F2" w:rsidRDefault="00F40687" w:rsidP="00BD4AE7">
      <w:pPr>
        <w:pStyle w:val="Heading2"/>
      </w:pPr>
      <w:r w:rsidRPr="000973F2">
        <w:t>Description of Subpart Q</w:t>
      </w:r>
    </w:p>
    <w:p w14:paraId="33776B61" w14:textId="77777777" w:rsidR="00F40687" w:rsidRPr="000973F2" w:rsidRDefault="00F40687" w:rsidP="00BD4AE7">
      <w:pPr>
        <w:pStyle w:val="BodyText"/>
      </w:pPr>
      <w:r w:rsidRPr="000973F2">
        <w:t>For purposes of the GHGRP, the iron and steel production source category consists of any facility that produces iron and steel products. It includes emissions from the following production processes: taconite indurating furnaces, basic oxygen furnaces, non-recovery coke oven battery combustion stacks, coke pushing processes, sinter processes, electric arc furnaces (EAF), decarburization vessels, and direct reduction furnaces. Generally, the emissions in Subpart Q are a result of the melting of iron ore, resulting in the release of CO</w:t>
      </w:r>
      <w:r w:rsidRPr="000973F2">
        <w:rPr>
          <w:vertAlign w:val="subscript"/>
        </w:rPr>
        <w:t>2</w:t>
      </w:r>
      <w:r w:rsidRPr="000973F2">
        <w:t>.</w:t>
      </w:r>
    </w:p>
    <w:p w14:paraId="075F3C76" w14:textId="6116DFC2" w:rsidR="00F40687" w:rsidRPr="000973F2" w:rsidRDefault="00F40687" w:rsidP="00BD4AE7">
      <w:pPr>
        <w:pStyle w:val="BodyText"/>
      </w:pPr>
      <w:r w:rsidRPr="000973F2">
        <w:t xml:space="preserve">In RY2017, 122 facilities reported to Subpart Q. Based on the number of facilities over the most recent years, no new facilities are expected </w:t>
      </w:r>
      <w:r w:rsidR="003363FF" w:rsidRPr="000973F2">
        <w:t>during the three year period covered by this ICR</w:t>
      </w:r>
      <w:r w:rsidRPr="000973F2">
        <w:t>. Initial year costs apply to new facilities only; therefore, those costs are zero in the tables below.</w:t>
      </w:r>
    </w:p>
    <w:p w14:paraId="6B9F34A2" w14:textId="1537248A" w:rsidR="00F40687" w:rsidRPr="000973F2" w:rsidRDefault="00F40687" w:rsidP="00BD4AE7">
      <w:pPr>
        <w:pStyle w:val="BodyText"/>
      </w:pPr>
      <w:r w:rsidRPr="000973F2">
        <w:t xml:space="preserve">All facilities </w:t>
      </w:r>
      <w:r w:rsidR="003363FF" w:rsidRPr="000973F2">
        <w:t xml:space="preserve">reporting to Subpart Q </w:t>
      </w:r>
      <w:r w:rsidRPr="000973F2">
        <w:t>are required to report their production CO</w:t>
      </w:r>
      <w:r w:rsidRPr="000973F2">
        <w:rPr>
          <w:vertAlign w:val="subscript"/>
        </w:rPr>
        <w:t>2</w:t>
      </w:r>
      <w:r w:rsidRPr="000973F2">
        <w:t xml:space="preserve"> emissions from the above listed processes, as well as CO</w:t>
      </w:r>
      <w:r w:rsidRPr="000973F2">
        <w:rPr>
          <w:vertAlign w:val="subscript"/>
        </w:rPr>
        <w:t>2,</w:t>
      </w:r>
      <w:r w:rsidRPr="000973F2">
        <w:t xml:space="preserve"> CH</w:t>
      </w:r>
      <w:r w:rsidRPr="000973F2">
        <w:rPr>
          <w:vertAlign w:val="subscript"/>
        </w:rPr>
        <w:t>4</w:t>
      </w:r>
      <w:r w:rsidRPr="000973F2">
        <w:t>, and N</w:t>
      </w:r>
      <w:r w:rsidRPr="000973F2">
        <w:rPr>
          <w:vertAlign w:val="subscript"/>
        </w:rPr>
        <w:t>2</w:t>
      </w:r>
      <w:r w:rsidRPr="000973F2">
        <w:t>O emissions from flares that burn blast furnace gas or coke oven gas. Facilities may report their production CO</w:t>
      </w:r>
      <w:r w:rsidRPr="000973F2">
        <w:rPr>
          <w:vertAlign w:val="subscript"/>
        </w:rPr>
        <w:t>2</w:t>
      </w:r>
      <w:r w:rsidRPr="000973F2">
        <w:t xml:space="preserve"> emissions from the above listed processes using a carbon mass balance procedure specified in §98.173(b)(1), by calculating a site-specific emissions factor as specified in §98.173(b)(2), or by using a CEMS. Facilities using a CEMS must follow the Tier 4 methodology listed in Subpart C. The following sections describe the costs for Subpart Q facilities to estimate CO</w:t>
      </w:r>
      <w:r w:rsidRPr="000973F2">
        <w:rPr>
          <w:vertAlign w:val="subscript"/>
        </w:rPr>
        <w:t>2</w:t>
      </w:r>
      <w:r w:rsidRPr="000973F2">
        <w:t xml:space="preserve"> emissions using each of the methods above.</w:t>
      </w:r>
    </w:p>
    <w:p w14:paraId="55B32CC7" w14:textId="77777777" w:rsidR="00F40687" w:rsidRPr="000973F2" w:rsidRDefault="00F40687" w:rsidP="00BD4AE7">
      <w:pPr>
        <w:pStyle w:val="Heading2"/>
      </w:pPr>
      <w:r w:rsidRPr="000973F2">
        <w:t>Labor Costs for Subpart Q – Carbon Mass Balance Option</w:t>
      </w:r>
    </w:p>
    <w:p w14:paraId="55C9A6EF" w14:textId="6807CB36" w:rsidR="00F40687" w:rsidRPr="000973F2" w:rsidRDefault="00F40687" w:rsidP="00C00E4F">
      <w:pPr>
        <w:spacing w:line="240" w:lineRule="auto"/>
        <w:rPr>
          <w:rFonts w:ascii="Times New Roman" w:hAnsi="Times New Roman" w:cs="Times New Roman"/>
        </w:rPr>
      </w:pPr>
      <w:r w:rsidRPr="000973F2">
        <w:rPr>
          <w:rFonts w:ascii="Times New Roman" w:hAnsi="Times New Roman" w:cs="Times New Roman"/>
        </w:rPr>
        <w:t>Subpart Q facilities have the option to perform a carbon mass balance to calculate their process CO</w:t>
      </w:r>
      <w:r w:rsidRPr="000973F2">
        <w:rPr>
          <w:rFonts w:ascii="Times New Roman" w:hAnsi="Times New Roman" w:cs="Times New Roman"/>
          <w:vertAlign w:val="subscript"/>
        </w:rPr>
        <w:t>2</w:t>
      </w:r>
      <w:r w:rsidRPr="000973F2">
        <w:rPr>
          <w:rFonts w:ascii="Times New Roman" w:hAnsi="Times New Roman" w:cs="Times New Roman"/>
        </w:rPr>
        <w:t xml:space="preserve"> emissions. Of the 77 facilities that use this method, 52 facilities sample their exhaust streams using ASTM methods listed in §98.174(b)(2) and 25 facilities use information they received either from their supplier or by a company that has bought and analyzed their waste products (e.g. coal ash or dust). Sampling combined with calculations is estimated to take roughly 12 hours, whereas using supplied information to calculate emissions is estimated to only take 2 hours (see Table </w:t>
      </w:r>
      <w:r w:rsidR="00BD4AE7" w:rsidRPr="000973F2">
        <w:rPr>
          <w:rFonts w:ascii="Times New Roman" w:hAnsi="Times New Roman" w:cs="Times New Roman"/>
        </w:rPr>
        <w:t>Q-</w:t>
      </w:r>
      <w:r w:rsidRPr="000973F2">
        <w:rPr>
          <w:rFonts w:ascii="Times New Roman" w:hAnsi="Times New Roman" w:cs="Times New Roman"/>
        </w:rPr>
        <w:t xml:space="preserve">1a(1) and Table </w:t>
      </w:r>
      <w:r w:rsidR="00BD4AE7" w:rsidRPr="000973F2">
        <w:rPr>
          <w:rFonts w:ascii="Times New Roman" w:hAnsi="Times New Roman" w:cs="Times New Roman"/>
        </w:rPr>
        <w:t>Q-</w:t>
      </w:r>
      <w:r w:rsidRPr="000973F2">
        <w:rPr>
          <w:rFonts w:ascii="Times New Roman" w:hAnsi="Times New Roman" w:cs="Times New Roman"/>
        </w:rPr>
        <w:t xml:space="preserve">1a(2) respectively). No planning or QA/QC is necessary when using supplied information, however it is expected when sampling. Other typical activities for each of the labor activities are discussed in the Cost Appendix Introduction. Recordkeeping and reporting hours </w:t>
      </w:r>
      <w:r w:rsidR="000F1A71" w:rsidRPr="000973F2">
        <w:rPr>
          <w:rFonts w:ascii="Times New Roman" w:hAnsi="Times New Roman" w:cs="Times New Roman"/>
        </w:rPr>
        <w:t>are based on</w:t>
      </w:r>
      <w:r w:rsidRPr="000973F2">
        <w:rPr>
          <w:rFonts w:ascii="Times New Roman" w:hAnsi="Times New Roman" w:cs="Times New Roman"/>
        </w:rPr>
        <w:t xml:space="preserve"> the “medium bin”</w:t>
      </w:r>
      <w:r w:rsidR="000F1A71" w:rsidRPr="000973F2">
        <w:rPr>
          <w:rFonts w:ascii="Times New Roman" w:hAnsi="Times New Roman" w:cs="Times New Roman"/>
        </w:rPr>
        <w:t xml:space="preserve"> designation</w:t>
      </w:r>
      <w:r w:rsidRPr="000973F2">
        <w:rPr>
          <w:rFonts w:ascii="Times New Roman" w:hAnsi="Times New Roman" w:cs="Times New Roman"/>
        </w:rPr>
        <w:t>.</w:t>
      </w:r>
    </w:p>
    <w:p w14:paraId="49420B51" w14:textId="760695ED" w:rsidR="00F40687" w:rsidRPr="000973F2" w:rsidRDefault="007633EE" w:rsidP="009C3B79">
      <w:pPr>
        <w:pStyle w:val="Tabletitle"/>
      </w:pPr>
      <w:r w:rsidRPr="000973F2">
        <w:t xml:space="preserve">Table </w:t>
      </w:r>
      <w:r w:rsidR="00BD4AE7" w:rsidRPr="000973F2">
        <w:t>Q-</w:t>
      </w:r>
      <w:r w:rsidRPr="000973F2">
        <w:t xml:space="preserve">1a(1). Labor Costs </w:t>
      </w:r>
      <w:r w:rsidR="009C3B79" w:rsidRPr="000973F2">
        <w:t>–</w:t>
      </w:r>
      <w:r w:rsidRPr="000973F2">
        <w:t xml:space="preserve"> </w:t>
      </w:r>
      <w:r w:rsidR="00F40687" w:rsidRPr="000973F2">
        <w:t xml:space="preserve">Subpart Q </w:t>
      </w:r>
      <w:r w:rsidR="009C3B79" w:rsidRPr="000973F2">
        <w:t>–</w:t>
      </w:r>
      <w:r w:rsidR="00F40687" w:rsidRPr="000973F2">
        <w:t xml:space="preserve"> Carbon Mass Balance Option </w:t>
      </w:r>
      <w:r w:rsidR="00340041" w:rsidRPr="000973F2">
        <w:t xml:space="preserve">– </w:t>
      </w:r>
      <w:r w:rsidR="00F40687" w:rsidRPr="000973F2">
        <w:t>Sampling</w:t>
      </w:r>
    </w:p>
    <w:tbl>
      <w:tblPr>
        <w:tblStyle w:val="PlainTable1"/>
        <w:tblW w:w="5000" w:type="pct"/>
        <w:tblLayout w:type="fixed"/>
        <w:tblCellMar>
          <w:left w:w="115" w:type="dxa"/>
          <w:right w:w="115" w:type="dxa"/>
        </w:tblCellMar>
        <w:tblLook w:val="04A0" w:firstRow="1" w:lastRow="0" w:firstColumn="1" w:lastColumn="0" w:noHBand="0" w:noVBand="1"/>
      </w:tblPr>
      <w:tblGrid>
        <w:gridCol w:w="1373"/>
        <w:gridCol w:w="816"/>
        <w:gridCol w:w="802"/>
        <w:gridCol w:w="14"/>
        <w:gridCol w:w="816"/>
        <w:gridCol w:w="788"/>
        <w:gridCol w:w="28"/>
        <w:gridCol w:w="816"/>
        <w:gridCol w:w="775"/>
        <w:gridCol w:w="41"/>
        <w:gridCol w:w="816"/>
        <w:gridCol w:w="855"/>
        <w:gridCol w:w="778"/>
        <w:gridCol w:w="872"/>
      </w:tblGrid>
      <w:tr w:rsidR="00F40687" w:rsidRPr="000973F2" w14:paraId="13BDD50B" w14:textId="77777777" w:rsidTr="00B6531F">
        <w:trPr>
          <w:cnfStyle w:val="100000000000" w:firstRow="1" w:lastRow="0" w:firstColumn="0" w:lastColumn="0" w:oddVBand="0" w:evenVBand="0" w:oddHBand="0"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1335" w:type="dxa"/>
            <w:vMerge w:val="restart"/>
            <w:noWrap/>
            <w:hideMark/>
          </w:tcPr>
          <w:p w14:paraId="433D65FA" w14:textId="77777777" w:rsidR="00F40687" w:rsidRPr="000973F2" w:rsidRDefault="00F40687" w:rsidP="00C56926">
            <w:pPr>
              <w:spacing w:before="40" w:after="40"/>
              <w:rPr>
                <w:rFonts w:ascii="Times New Roman" w:eastAsia="Times New Roman" w:hAnsi="Times New Roman" w:cs="Times New Roman"/>
                <w:b w:val="0"/>
                <w:bCs w:val="0"/>
                <w:sz w:val="18"/>
                <w:szCs w:val="18"/>
              </w:rPr>
            </w:pPr>
            <w:r w:rsidRPr="000973F2">
              <w:rPr>
                <w:rFonts w:ascii="Times New Roman" w:eastAsia="Times New Roman" w:hAnsi="Times New Roman" w:cs="Times New Roman"/>
                <w:sz w:val="18"/>
                <w:szCs w:val="18"/>
              </w:rPr>
              <w:t>Activity</w:t>
            </w:r>
          </w:p>
        </w:tc>
        <w:tc>
          <w:tcPr>
            <w:tcW w:w="6390" w:type="dxa"/>
            <w:gridSpan w:val="11"/>
            <w:noWrap/>
            <w:hideMark/>
          </w:tcPr>
          <w:p w14:paraId="257E1119" w14:textId="77777777" w:rsidR="00F40687" w:rsidRPr="000973F2" w:rsidRDefault="00F40687" w:rsidP="00C56926">
            <w:pPr>
              <w:spacing w:before="40" w:after="40"/>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bCs w:val="0"/>
                <w:sz w:val="18"/>
                <w:szCs w:val="18"/>
              </w:rPr>
            </w:pPr>
            <w:r w:rsidRPr="000973F2">
              <w:rPr>
                <w:rFonts w:ascii="Times New Roman" w:eastAsia="Times New Roman" w:hAnsi="Times New Roman" w:cs="Times New Roman"/>
                <w:sz w:val="18"/>
                <w:szCs w:val="18"/>
              </w:rPr>
              <w:t>Labor Rates (per hour)</w:t>
            </w:r>
          </w:p>
        </w:tc>
        <w:tc>
          <w:tcPr>
            <w:tcW w:w="1605" w:type="dxa"/>
            <w:gridSpan w:val="2"/>
            <w:vMerge w:val="restart"/>
            <w:hideMark/>
          </w:tcPr>
          <w:p w14:paraId="7062A76C" w14:textId="77777777" w:rsidR="00F40687" w:rsidRPr="000973F2" w:rsidRDefault="00F40687" w:rsidP="00C56926">
            <w:pPr>
              <w:spacing w:before="40" w:after="40"/>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bCs w:val="0"/>
                <w:sz w:val="18"/>
                <w:szCs w:val="18"/>
              </w:rPr>
            </w:pPr>
            <w:r w:rsidRPr="000973F2">
              <w:rPr>
                <w:rFonts w:ascii="Times New Roman" w:eastAsia="Times New Roman" w:hAnsi="Times New Roman" w:cs="Times New Roman"/>
                <w:sz w:val="18"/>
                <w:szCs w:val="18"/>
              </w:rPr>
              <w:t>Total Labor Cost per Year per Facility (2017$)</w:t>
            </w:r>
          </w:p>
        </w:tc>
      </w:tr>
      <w:tr w:rsidR="00F40687" w:rsidRPr="000973F2" w14:paraId="22D97506" w14:textId="77777777" w:rsidTr="00B6531F">
        <w:tblPrEx>
          <w:jc w:val="left"/>
        </w:tblPrEx>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1335" w:type="dxa"/>
            <w:vMerge/>
            <w:hideMark/>
          </w:tcPr>
          <w:p w14:paraId="74A2D5BE" w14:textId="77777777" w:rsidR="00F40687" w:rsidRPr="000973F2" w:rsidRDefault="00F40687" w:rsidP="00C56926">
            <w:pPr>
              <w:spacing w:before="40" w:after="40"/>
              <w:rPr>
                <w:rFonts w:ascii="Times New Roman" w:eastAsia="Times New Roman" w:hAnsi="Times New Roman" w:cs="Times New Roman"/>
                <w:b/>
                <w:bCs w:val="0"/>
                <w:sz w:val="18"/>
                <w:szCs w:val="18"/>
              </w:rPr>
            </w:pPr>
          </w:p>
        </w:tc>
        <w:tc>
          <w:tcPr>
            <w:tcW w:w="1574" w:type="dxa"/>
            <w:gridSpan w:val="2"/>
            <w:noWrap/>
            <w:hideMark/>
          </w:tcPr>
          <w:p w14:paraId="25EED68E" w14:textId="77777777" w:rsidR="00F40687" w:rsidRPr="000973F2" w:rsidRDefault="00F40687" w:rsidP="00C56926">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18"/>
                <w:szCs w:val="18"/>
              </w:rPr>
            </w:pPr>
            <w:r w:rsidRPr="000973F2">
              <w:rPr>
                <w:rFonts w:ascii="Times New Roman" w:eastAsia="Times New Roman" w:hAnsi="Times New Roman" w:cs="Times New Roman"/>
                <w:b/>
                <w:bCs/>
                <w:sz w:val="18"/>
                <w:szCs w:val="18"/>
              </w:rPr>
              <w:t>Lawyer</w:t>
            </w:r>
          </w:p>
        </w:tc>
        <w:tc>
          <w:tcPr>
            <w:tcW w:w="1575" w:type="dxa"/>
            <w:gridSpan w:val="3"/>
            <w:noWrap/>
            <w:hideMark/>
          </w:tcPr>
          <w:p w14:paraId="56A9DB3A" w14:textId="77777777" w:rsidR="00F40687" w:rsidRPr="000973F2" w:rsidRDefault="00F40687" w:rsidP="00C56926">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18"/>
                <w:szCs w:val="18"/>
              </w:rPr>
            </w:pPr>
            <w:r w:rsidRPr="000973F2">
              <w:rPr>
                <w:rFonts w:ascii="Times New Roman" w:eastAsia="Times New Roman" w:hAnsi="Times New Roman" w:cs="Times New Roman"/>
                <w:b/>
                <w:bCs/>
                <w:sz w:val="18"/>
                <w:szCs w:val="18"/>
              </w:rPr>
              <w:t>Industrial Manager</w:t>
            </w:r>
          </w:p>
        </w:tc>
        <w:tc>
          <w:tcPr>
            <w:tcW w:w="1575" w:type="dxa"/>
            <w:gridSpan w:val="3"/>
            <w:hideMark/>
          </w:tcPr>
          <w:p w14:paraId="4D4C3183" w14:textId="07840F91" w:rsidR="00F40687" w:rsidRPr="000973F2" w:rsidRDefault="00F40687" w:rsidP="00C56926">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18"/>
                <w:szCs w:val="18"/>
              </w:rPr>
            </w:pPr>
            <w:r w:rsidRPr="000973F2">
              <w:rPr>
                <w:rFonts w:ascii="Times New Roman" w:eastAsia="Times New Roman" w:hAnsi="Times New Roman" w:cs="Times New Roman"/>
                <w:b/>
                <w:bCs/>
                <w:sz w:val="18"/>
                <w:szCs w:val="18"/>
              </w:rPr>
              <w:t>Industrial Engineer/</w:t>
            </w:r>
            <w:r w:rsidR="00C56926" w:rsidRPr="000973F2">
              <w:rPr>
                <w:rFonts w:ascii="Times New Roman" w:eastAsia="Times New Roman" w:hAnsi="Times New Roman" w:cs="Times New Roman"/>
                <w:b/>
                <w:bCs/>
                <w:sz w:val="18"/>
                <w:szCs w:val="18"/>
              </w:rPr>
              <w:t xml:space="preserve"> </w:t>
            </w:r>
            <w:r w:rsidRPr="000973F2">
              <w:rPr>
                <w:rFonts w:ascii="Times New Roman" w:eastAsia="Times New Roman" w:hAnsi="Times New Roman" w:cs="Times New Roman"/>
                <w:b/>
                <w:bCs/>
                <w:sz w:val="18"/>
                <w:szCs w:val="18"/>
              </w:rPr>
              <w:t>Technician</w:t>
            </w:r>
          </w:p>
        </w:tc>
        <w:tc>
          <w:tcPr>
            <w:tcW w:w="1666" w:type="dxa"/>
            <w:gridSpan w:val="3"/>
            <w:hideMark/>
          </w:tcPr>
          <w:p w14:paraId="7F144893" w14:textId="77777777" w:rsidR="00F40687" w:rsidRPr="000973F2" w:rsidRDefault="00F40687" w:rsidP="00C56926">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18"/>
                <w:szCs w:val="18"/>
              </w:rPr>
            </w:pPr>
            <w:r w:rsidRPr="000973F2">
              <w:rPr>
                <w:rFonts w:ascii="Times New Roman" w:eastAsia="Times New Roman" w:hAnsi="Times New Roman" w:cs="Times New Roman"/>
                <w:b/>
                <w:bCs/>
                <w:sz w:val="18"/>
                <w:szCs w:val="18"/>
              </w:rPr>
              <w:t>Administrative Support</w:t>
            </w:r>
          </w:p>
        </w:tc>
        <w:tc>
          <w:tcPr>
            <w:tcW w:w="1605" w:type="dxa"/>
            <w:gridSpan w:val="2"/>
            <w:vMerge/>
            <w:hideMark/>
          </w:tcPr>
          <w:p w14:paraId="48313560" w14:textId="77777777" w:rsidR="00F40687" w:rsidRPr="000973F2" w:rsidRDefault="00F40687" w:rsidP="00C56926">
            <w:pPr>
              <w:spacing w:before="40" w:after="4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18"/>
                <w:szCs w:val="18"/>
              </w:rPr>
            </w:pPr>
          </w:p>
        </w:tc>
      </w:tr>
      <w:tr w:rsidR="00FF36E8" w:rsidRPr="000973F2" w14:paraId="7AF89B69" w14:textId="77777777" w:rsidTr="00B6531F">
        <w:tblPrEx>
          <w:jc w:val="left"/>
        </w:tblPrEx>
        <w:trPr>
          <w:cantSplit/>
        </w:trPr>
        <w:tc>
          <w:tcPr>
            <w:cnfStyle w:val="001000000000" w:firstRow="0" w:lastRow="0" w:firstColumn="1" w:lastColumn="0" w:oddVBand="0" w:evenVBand="0" w:oddHBand="0" w:evenHBand="0" w:firstRowFirstColumn="0" w:firstRowLastColumn="0" w:lastRowFirstColumn="0" w:lastRowLastColumn="0"/>
            <w:tcW w:w="1335" w:type="dxa"/>
            <w:vMerge/>
            <w:hideMark/>
          </w:tcPr>
          <w:p w14:paraId="0B6B3628" w14:textId="77777777" w:rsidR="00F40687" w:rsidRPr="000973F2" w:rsidRDefault="00F40687" w:rsidP="00C56926">
            <w:pPr>
              <w:spacing w:before="40" w:after="40"/>
              <w:rPr>
                <w:rFonts w:ascii="Times New Roman" w:eastAsia="Times New Roman" w:hAnsi="Times New Roman" w:cs="Times New Roman"/>
                <w:b/>
                <w:bCs w:val="0"/>
                <w:sz w:val="18"/>
                <w:szCs w:val="18"/>
              </w:rPr>
            </w:pPr>
          </w:p>
        </w:tc>
        <w:tc>
          <w:tcPr>
            <w:tcW w:w="1574" w:type="dxa"/>
            <w:gridSpan w:val="2"/>
            <w:noWrap/>
            <w:hideMark/>
          </w:tcPr>
          <w:p w14:paraId="2B09613E" w14:textId="77777777" w:rsidR="00F40687" w:rsidRPr="000973F2" w:rsidRDefault="00F40687" w:rsidP="00C56926">
            <w:pPr>
              <w:spacing w:before="40" w:after="4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sz w:val="18"/>
                <w:szCs w:val="18"/>
              </w:rPr>
            </w:pPr>
            <w:r w:rsidRPr="000973F2">
              <w:rPr>
                <w:rFonts w:ascii="Times New Roman" w:eastAsia="Times New Roman" w:hAnsi="Times New Roman" w:cs="Times New Roman"/>
                <w:b/>
                <w:bCs/>
                <w:sz w:val="18"/>
                <w:szCs w:val="18"/>
              </w:rPr>
              <w:t xml:space="preserve">$112.23 </w:t>
            </w:r>
          </w:p>
        </w:tc>
        <w:tc>
          <w:tcPr>
            <w:tcW w:w="1575" w:type="dxa"/>
            <w:gridSpan w:val="3"/>
            <w:noWrap/>
            <w:hideMark/>
          </w:tcPr>
          <w:p w14:paraId="21E450A8" w14:textId="77777777" w:rsidR="00F40687" w:rsidRPr="000973F2" w:rsidRDefault="00F40687" w:rsidP="00C56926">
            <w:pPr>
              <w:spacing w:before="40" w:after="4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sz w:val="18"/>
                <w:szCs w:val="18"/>
              </w:rPr>
            </w:pPr>
            <w:r w:rsidRPr="000973F2">
              <w:rPr>
                <w:rFonts w:ascii="Times New Roman" w:eastAsia="Times New Roman" w:hAnsi="Times New Roman" w:cs="Times New Roman"/>
                <w:b/>
                <w:bCs/>
                <w:sz w:val="18"/>
                <w:szCs w:val="18"/>
              </w:rPr>
              <w:t xml:space="preserve">$87.45 </w:t>
            </w:r>
          </w:p>
        </w:tc>
        <w:tc>
          <w:tcPr>
            <w:tcW w:w="1575" w:type="dxa"/>
            <w:gridSpan w:val="3"/>
            <w:noWrap/>
            <w:hideMark/>
          </w:tcPr>
          <w:p w14:paraId="4EF6FB4C" w14:textId="77777777" w:rsidR="00F40687" w:rsidRPr="000973F2" w:rsidRDefault="00F40687" w:rsidP="00C56926">
            <w:pPr>
              <w:spacing w:before="40" w:after="4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sz w:val="18"/>
                <w:szCs w:val="18"/>
              </w:rPr>
            </w:pPr>
            <w:r w:rsidRPr="000973F2">
              <w:rPr>
                <w:rFonts w:ascii="Times New Roman" w:eastAsia="Times New Roman" w:hAnsi="Times New Roman" w:cs="Times New Roman"/>
                <w:b/>
                <w:bCs/>
                <w:sz w:val="18"/>
                <w:szCs w:val="18"/>
              </w:rPr>
              <w:t xml:space="preserve">$71.45 </w:t>
            </w:r>
          </w:p>
        </w:tc>
        <w:tc>
          <w:tcPr>
            <w:tcW w:w="1666" w:type="dxa"/>
            <w:gridSpan w:val="3"/>
            <w:noWrap/>
            <w:hideMark/>
          </w:tcPr>
          <w:p w14:paraId="74136A46" w14:textId="77777777" w:rsidR="00F40687" w:rsidRPr="000973F2" w:rsidRDefault="00F40687" w:rsidP="00C56926">
            <w:pPr>
              <w:spacing w:before="40" w:after="4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sz w:val="18"/>
                <w:szCs w:val="18"/>
              </w:rPr>
            </w:pPr>
            <w:r w:rsidRPr="000973F2">
              <w:rPr>
                <w:rFonts w:ascii="Times New Roman" w:eastAsia="Times New Roman" w:hAnsi="Times New Roman" w:cs="Times New Roman"/>
                <w:b/>
                <w:bCs/>
                <w:sz w:val="18"/>
                <w:szCs w:val="18"/>
              </w:rPr>
              <w:t xml:space="preserve">$36.28 </w:t>
            </w:r>
          </w:p>
        </w:tc>
        <w:tc>
          <w:tcPr>
            <w:tcW w:w="1605" w:type="dxa"/>
            <w:gridSpan w:val="2"/>
            <w:vMerge/>
            <w:hideMark/>
          </w:tcPr>
          <w:p w14:paraId="27E0ED34" w14:textId="77777777" w:rsidR="00F40687" w:rsidRPr="000973F2" w:rsidRDefault="00F40687" w:rsidP="00C56926">
            <w:pPr>
              <w:spacing w:before="40" w:after="4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sz w:val="18"/>
                <w:szCs w:val="18"/>
              </w:rPr>
            </w:pPr>
          </w:p>
        </w:tc>
      </w:tr>
      <w:tr w:rsidR="00D7694D" w:rsidRPr="000973F2" w14:paraId="5CF4DC0C" w14:textId="77777777" w:rsidTr="00B6531F">
        <w:tblPrEx>
          <w:jc w:val="left"/>
        </w:tblPrEx>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1335" w:type="dxa"/>
            <w:vMerge/>
            <w:hideMark/>
          </w:tcPr>
          <w:p w14:paraId="2E6EFBD7" w14:textId="77777777" w:rsidR="00F40687" w:rsidRPr="000973F2" w:rsidRDefault="00F40687" w:rsidP="00C56926">
            <w:pPr>
              <w:spacing w:before="40" w:after="40"/>
              <w:rPr>
                <w:rFonts w:ascii="Times New Roman" w:eastAsia="Times New Roman" w:hAnsi="Times New Roman" w:cs="Times New Roman"/>
                <w:b/>
                <w:bCs w:val="0"/>
                <w:sz w:val="18"/>
                <w:szCs w:val="18"/>
              </w:rPr>
            </w:pPr>
          </w:p>
        </w:tc>
        <w:tc>
          <w:tcPr>
            <w:tcW w:w="794" w:type="dxa"/>
            <w:tcMar>
              <w:left w:w="14" w:type="dxa"/>
              <w:right w:w="14" w:type="dxa"/>
            </w:tcMar>
            <w:hideMark/>
          </w:tcPr>
          <w:p w14:paraId="4FDC8B63" w14:textId="3BBBFED6" w:rsidR="00F40687" w:rsidRPr="000973F2" w:rsidRDefault="00F40687" w:rsidP="00C56926">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18"/>
                <w:szCs w:val="18"/>
              </w:rPr>
            </w:pPr>
            <w:r w:rsidRPr="000973F2">
              <w:rPr>
                <w:rFonts w:ascii="Times New Roman" w:eastAsia="Times New Roman" w:hAnsi="Times New Roman" w:cs="Times New Roman"/>
                <w:b/>
                <w:bCs/>
                <w:sz w:val="18"/>
                <w:szCs w:val="18"/>
              </w:rPr>
              <w:t xml:space="preserve">Initial </w:t>
            </w:r>
            <w:r w:rsidR="00132320" w:rsidRPr="000973F2">
              <w:rPr>
                <w:rFonts w:ascii="Times New Roman" w:eastAsia="Times New Roman" w:hAnsi="Times New Roman" w:cs="Times New Roman"/>
                <w:b/>
                <w:bCs/>
                <w:sz w:val="18"/>
                <w:szCs w:val="18"/>
              </w:rPr>
              <w:t>Year Hours</w:t>
            </w:r>
          </w:p>
        </w:tc>
        <w:tc>
          <w:tcPr>
            <w:tcW w:w="794" w:type="dxa"/>
            <w:gridSpan w:val="2"/>
            <w:tcMar>
              <w:left w:w="14" w:type="dxa"/>
              <w:right w:w="14" w:type="dxa"/>
            </w:tcMar>
            <w:hideMark/>
          </w:tcPr>
          <w:p w14:paraId="4A24FBB8" w14:textId="595168F9" w:rsidR="00F40687" w:rsidRPr="000973F2" w:rsidRDefault="00F40687" w:rsidP="00C56926">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18"/>
                <w:szCs w:val="18"/>
              </w:rPr>
            </w:pPr>
            <w:r w:rsidRPr="000973F2">
              <w:rPr>
                <w:rFonts w:ascii="Times New Roman" w:eastAsia="Times New Roman" w:hAnsi="Times New Roman" w:cs="Times New Roman"/>
                <w:b/>
                <w:bCs/>
                <w:sz w:val="18"/>
                <w:szCs w:val="18"/>
              </w:rPr>
              <w:t xml:space="preserve">Subseq. </w:t>
            </w:r>
            <w:r w:rsidR="00132320" w:rsidRPr="000973F2">
              <w:rPr>
                <w:rFonts w:ascii="Times New Roman" w:eastAsia="Times New Roman" w:hAnsi="Times New Roman" w:cs="Times New Roman"/>
                <w:b/>
                <w:bCs/>
                <w:sz w:val="18"/>
                <w:szCs w:val="18"/>
              </w:rPr>
              <w:t>Year Hours</w:t>
            </w:r>
          </w:p>
        </w:tc>
        <w:tc>
          <w:tcPr>
            <w:tcW w:w="794" w:type="dxa"/>
            <w:tcMar>
              <w:left w:w="14" w:type="dxa"/>
              <w:right w:w="14" w:type="dxa"/>
            </w:tcMar>
            <w:hideMark/>
          </w:tcPr>
          <w:p w14:paraId="3FF1B45F" w14:textId="403D6AEC" w:rsidR="00F40687" w:rsidRPr="000973F2" w:rsidRDefault="00F40687" w:rsidP="00C56926">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18"/>
                <w:szCs w:val="18"/>
              </w:rPr>
            </w:pPr>
            <w:r w:rsidRPr="000973F2">
              <w:rPr>
                <w:rFonts w:ascii="Times New Roman" w:eastAsia="Times New Roman" w:hAnsi="Times New Roman" w:cs="Times New Roman"/>
                <w:b/>
                <w:bCs/>
                <w:sz w:val="18"/>
                <w:szCs w:val="18"/>
              </w:rPr>
              <w:t xml:space="preserve">Initial </w:t>
            </w:r>
            <w:r w:rsidR="00132320" w:rsidRPr="000973F2">
              <w:rPr>
                <w:rFonts w:ascii="Times New Roman" w:eastAsia="Times New Roman" w:hAnsi="Times New Roman" w:cs="Times New Roman"/>
                <w:b/>
                <w:bCs/>
                <w:sz w:val="18"/>
                <w:szCs w:val="18"/>
              </w:rPr>
              <w:t>Year Hours</w:t>
            </w:r>
          </w:p>
        </w:tc>
        <w:tc>
          <w:tcPr>
            <w:tcW w:w="794" w:type="dxa"/>
            <w:gridSpan w:val="2"/>
            <w:tcMar>
              <w:left w:w="14" w:type="dxa"/>
              <w:right w:w="14" w:type="dxa"/>
            </w:tcMar>
            <w:hideMark/>
          </w:tcPr>
          <w:p w14:paraId="6A13B50F" w14:textId="7F5124D5" w:rsidR="00F40687" w:rsidRPr="000973F2" w:rsidRDefault="00F40687" w:rsidP="00C56926">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18"/>
                <w:szCs w:val="18"/>
              </w:rPr>
            </w:pPr>
            <w:r w:rsidRPr="000973F2">
              <w:rPr>
                <w:rFonts w:ascii="Times New Roman" w:eastAsia="Times New Roman" w:hAnsi="Times New Roman" w:cs="Times New Roman"/>
                <w:b/>
                <w:bCs/>
                <w:sz w:val="18"/>
                <w:szCs w:val="18"/>
              </w:rPr>
              <w:t xml:space="preserve">Subseq. </w:t>
            </w:r>
            <w:r w:rsidR="00132320" w:rsidRPr="000973F2">
              <w:rPr>
                <w:rFonts w:ascii="Times New Roman" w:eastAsia="Times New Roman" w:hAnsi="Times New Roman" w:cs="Times New Roman"/>
                <w:b/>
                <w:bCs/>
                <w:sz w:val="18"/>
                <w:szCs w:val="18"/>
              </w:rPr>
              <w:t>Year Hours</w:t>
            </w:r>
          </w:p>
        </w:tc>
        <w:tc>
          <w:tcPr>
            <w:tcW w:w="794" w:type="dxa"/>
            <w:tcMar>
              <w:left w:w="14" w:type="dxa"/>
              <w:right w:w="14" w:type="dxa"/>
            </w:tcMar>
            <w:hideMark/>
          </w:tcPr>
          <w:p w14:paraId="0F66CEEB" w14:textId="5F048FDC" w:rsidR="00F40687" w:rsidRPr="000973F2" w:rsidRDefault="00F40687" w:rsidP="00C56926">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18"/>
                <w:szCs w:val="18"/>
              </w:rPr>
            </w:pPr>
            <w:r w:rsidRPr="000973F2">
              <w:rPr>
                <w:rFonts w:ascii="Times New Roman" w:eastAsia="Times New Roman" w:hAnsi="Times New Roman" w:cs="Times New Roman"/>
                <w:b/>
                <w:bCs/>
                <w:sz w:val="18"/>
                <w:szCs w:val="18"/>
              </w:rPr>
              <w:t xml:space="preserve">Initial </w:t>
            </w:r>
            <w:r w:rsidR="00132320" w:rsidRPr="000973F2">
              <w:rPr>
                <w:rFonts w:ascii="Times New Roman" w:eastAsia="Times New Roman" w:hAnsi="Times New Roman" w:cs="Times New Roman"/>
                <w:b/>
                <w:bCs/>
                <w:sz w:val="18"/>
                <w:szCs w:val="18"/>
              </w:rPr>
              <w:t>Year Hours</w:t>
            </w:r>
          </w:p>
        </w:tc>
        <w:tc>
          <w:tcPr>
            <w:tcW w:w="794" w:type="dxa"/>
            <w:gridSpan w:val="2"/>
            <w:tcMar>
              <w:left w:w="14" w:type="dxa"/>
              <w:right w:w="14" w:type="dxa"/>
            </w:tcMar>
            <w:hideMark/>
          </w:tcPr>
          <w:p w14:paraId="49F6814B" w14:textId="70D12073" w:rsidR="00F40687" w:rsidRPr="000973F2" w:rsidRDefault="00F40687" w:rsidP="00C56926">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18"/>
                <w:szCs w:val="18"/>
              </w:rPr>
            </w:pPr>
            <w:r w:rsidRPr="000973F2">
              <w:rPr>
                <w:rFonts w:ascii="Times New Roman" w:eastAsia="Times New Roman" w:hAnsi="Times New Roman" w:cs="Times New Roman"/>
                <w:b/>
                <w:bCs/>
                <w:sz w:val="18"/>
                <w:szCs w:val="18"/>
              </w:rPr>
              <w:t xml:space="preserve">Subseq. </w:t>
            </w:r>
            <w:r w:rsidR="00132320" w:rsidRPr="000973F2">
              <w:rPr>
                <w:rFonts w:ascii="Times New Roman" w:eastAsia="Times New Roman" w:hAnsi="Times New Roman" w:cs="Times New Roman"/>
                <w:b/>
                <w:bCs/>
                <w:sz w:val="18"/>
                <w:szCs w:val="18"/>
              </w:rPr>
              <w:t>Year Hours</w:t>
            </w:r>
          </w:p>
        </w:tc>
        <w:tc>
          <w:tcPr>
            <w:tcW w:w="794" w:type="dxa"/>
            <w:tcMar>
              <w:left w:w="14" w:type="dxa"/>
              <w:right w:w="14" w:type="dxa"/>
            </w:tcMar>
            <w:hideMark/>
          </w:tcPr>
          <w:p w14:paraId="572AA8D5" w14:textId="4874B884" w:rsidR="00F40687" w:rsidRPr="000973F2" w:rsidRDefault="00F40687" w:rsidP="00C56926">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18"/>
                <w:szCs w:val="18"/>
              </w:rPr>
            </w:pPr>
            <w:r w:rsidRPr="000973F2">
              <w:rPr>
                <w:rFonts w:ascii="Times New Roman" w:eastAsia="Times New Roman" w:hAnsi="Times New Roman" w:cs="Times New Roman"/>
                <w:b/>
                <w:bCs/>
                <w:sz w:val="18"/>
                <w:szCs w:val="18"/>
              </w:rPr>
              <w:t xml:space="preserve">Initial </w:t>
            </w:r>
            <w:r w:rsidR="00132320" w:rsidRPr="000973F2">
              <w:rPr>
                <w:rFonts w:ascii="Times New Roman" w:eastAsia="Times New Roman" w:hAnsi="Times New Roman" w:cs="Times New Roman"/>
                <w:b/>
                <w:bCs/>
                <w:sz w:val="18"/>
                <w:szCs w:val="18"/>
              </w:rPr>
              <w:t>Year Hours</w:t>
            </w:r>
          </w:p>
        </w:tc>
        <w:tc>
          <w:tcPr>
            <w:tcW w:w="832" w:type="dxa"/>
            <w:tcMar>
              <w:left w:w="14" w:type="dxa"/>
              <w:right w:w="14" w:type="dxa"/>
            </w:tcMar>
            <w:hideMark/>
          </w:tcPr>
          <w:p w14:paraId="683356F5" w14:textId="278D39B8" w:rsidR="00F40687" w:rsidRPr="000973F2" w:rsidRDefault="00F40687" w:rsidP="00C56926">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18"/>
                <w:szCs w:val="18"/>
              </w:rPr>
            </w:pPr>
            <w:r w:rsidRPr="000973F2">
              <w:rPr>
                <w:rFonts w:ascii="Times New Roman" w:eastAsia="Times New Roman" w:hAnsi="Times New Roman" w:cs="Times New Roman"/>
                <w:b/>
                <w:bCs/>
                <w:sz w:val="18"/>
                <w:szCs w:val="18"/>
              </w:rPr>
              <w:t xml:space="preserve">Subseq. </w:t>
            </w:r>
            <w:r w:rsidR="00132320" w:rsidRPr="000973F2">
              <w:rPr>
                <w:rFonts w:ascii="Times New Roman" w:eastAsia="Times New Roman" w:hAnsi="Times New Roman" w:cs="Times New Roman"/>
                <w:b/>
                <w:bCs/>
                <w:sz w:val="18"/>
                <w:szCs w:val="18"/>
              </w:rPr>
              <w:t>Year Hours</w:t>
            </w:r>
          </w:p>
        </w:tc>
        <w:tc>
          <w:tcPr>
            <w:tcW w:w="757" w:type="dxa"/>
            <w:tcMar>
              <w:left w:w="14" w:type="dxa"/>
              <w:right w:w="14" w:type="dxa"/>
            </w:tcMar>
            <w:hideMark/>
          </w:tcPr>
          <w:p w14:paraId="149BF582" w14:textId="77777777" w:rsidR="00F40687" w:rsidRPr="000973F2" w:rsidRDefault="00F40687" w:rsidP="00C56926">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18"/>
                <w:szCs w:val="18"/>
              </w:rPr>
            </w:pPr>
            <w:r w:rsidRPr="000973F2">
              <w:rPr>
                <w:rFonts w:ascii="Times New Roman" w:eastAsia="Times New Roman" w:hAnsi="Times New Roman" w:cs="Times New Roman"/>
                <w:b/>
                <w:bCs/>
                <w:sz w:val="18"/>
                <w:szCs w:val="18"/>
              </w:rPr>
              <w:t>Initial Year</w:t>
            </w:r>
          </w:p>
        </w:tc>
        <w:tc>
          <w:tcPr>
            <w:tcW w:w="848" w:type="dxa"/>
            <w:tcMar>
              <w:left w:w="14" w:type="dxa"/>
              <w:right w:w="14" w:type="dxa"/>
            </w:tcMar>
            <w:hideMark/>
          </w:tcPr>
          <w:p w14:paraId="3E264369" w14:textId="77777777" w:rsidR="00F40687" w:rsidRPr="000973F2" w:rsidRDefault="00F40687" w:rsidP="00C56926">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18"/>
                <w:szCs w:val="18"/>
              </w:rPr>
            </w:pPr>
            <w:r w:rsidRPr="000973F2">
              <w:rPr>
                <w:rFonts w:ascii="Times New Roman" w:eastAsia="Times New Roman" w:hAnsi="Times New Roman" w:cs="Times New Roman"/>
                <w:b/>
                <w:bCs/>
                <w:sz w:val="18"/>
                <w:szCs w:val="18"/>
              </w:rPr>
              <w:t>Subseq. Year</w:t>
            </w:r>
          </w:p>
        </w:tc>
      </w:tr>
      <w:tr w:rsidR="00FF36E8" w:rsidRPr="000973F2" w14:paraId="22463B22" w14:textId="77777777" w:rsidTr="00B6531F">
        <w:tblPrEx>
          <w:jc w:val="left"/>
        </w:tblPrEx>
        <w:trPr>
          <w:cantSplit/>
        </w:trPr>
        <w:tc>
          <w:tcPr>
            <w:cnfStyle w:val="001000000000" w:firstRow="0" w:lastRow="0" w:firstColumn="1" w:lastColumn="0" w:oddVBand="0" w:evenVBand="0" w:oddHBand="0" w:evenHBand="0" w:firstRowFirstColumn="0" w:firstRowLastColumn="0" w:lastRowFirstColumn="0" w:lastRowLastColumn="0"/>
            <w:tcW w:w="1335" w:type="dxa"/>
            <w:tcMar>
              <w:right w:w="14" w:type="dxa"/>
            </w:tcMar>
            <w:hideMark/>
          </w:tcPr>
          <w:p w14:paraId="38AAAE72" w14:textId="77777777" w:rsidR="00F40687" w:rsidRPr="000973F2" w:rsidRDefault="00F40687" w:rsidP="00C56926">
            <w:pPr>
              <w:spacing w:before="40" w:after="4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Planning</w:t>
            </w:r>
          </w:p>
        </w:tc>
        <w:tc>
          <w:tcPr>
            <w:tcW w:w="794" w:type="dxa"/>
            <w:noWrap/>
            <w:hideMark/>
          </w:tcPr>
          <w:p w14:paraId="06F32F72" w14:textId="77777777" w:rsidR="00F40687" w:rsidRPr="000973F2" w:rsidRDefault="00F40687" w:rsidP="00C56926">
            <w:pPr>
              <w:spacing w:before="40" w:after="4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0</w:t>
            </w:r>
          </w:p>
        </w:tc>
        <w:tc>
          <w:tcPr>
            <w:tcW w:w="794" w:type="dxa"/>
            <w:gridSpan w:val="2"/>
            <w:noWrap/>
            <w:hideMark/>
          </w:tcPr>
          <w:p w14:paraId="3A6FEEB3" w14:textId="77777777" w:rsidR="00F40687" w:rsidRPr="000973F2" w:rsidRDefault="00F40687" w:rsidP="00C56926">
            <w:pPr>
              <w:spacing w:before="40" w:after="4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1</w:t>
            </w:r>
          </w:p>
        </w:tc>
        <w:tc>
          <w:tcPr>
            <w:tcW w:w="794" w:type="dxa"/>
            <w:noWrap/>
            <w:hideMark/>
          </w:tcPr>
          <w:p w14:paraId="73250B09" w14:textId="77777777" w:rsidR="00F40687" w:rsidRPr="000973F2" w:rsidRDefault="00F40687" w:rsidP="00C56926">
            <w:pPr>
              <w:spacing w:before="40" w:after="4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0</w:t>
            </w:r>
          </w:p>
        </w:tc>
        <w:tc>
          <w:tcPr>
            <w:tcW w:w="794" w:type="dxa"/>
            <w:gridSpan w:val="2"/>
            <w:noWrap/>
            <w:hideMark/>
          </w:tcPr>
          <w:p w14:paraId="6F255971" w14:textId="77777777" w:rsidR="00F40687" w:rsidRPr="000973F2" w:rsidRDefault="00F40687" w:rsidP="00C56926">
            <w:pPr>
              <w:tabs>
                <w:tab w:val="decimal" w:pos="256"/>
              </w:tabs>
              <w:spacing w:before="40" w:after="4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0.3</w:t>
            </w:r>
          </w:p>
        </w:tc>
        <w:tc>
          <w:tcPr>
            <w:tcW w:w="794" w:type="dxa"/>
            <w:noWrap/>
            <w:hideMark/>
          </w:tcPr>
          <w:p w14:paraId="06E549F4" w14:textId="77777777" w:rsidR="00F40687" w:rsidRPr="000973F2" w:rsidRDefault="00F40687" w:rsidP="00C56926">
            <w:pPr>
              <w:spacing w:before="40" w:after="4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0</w:t>
            </w:r>
          </w:p>
        </w:tc>
        <w:tc>
          <w:tcPr>
            <w:tcW w:w="794" w:type="dxa"/>
            <w:gridSpan w:val="2"/>
            <w:noWrap/>
            <w:hideMark/>
          </w:tcPr>
          <w:p w14:paraId="2552B989" w14:textId="77777777" w:rsidR="00F40687" w:rsidRPr="000973F2" w:rsidRDefault="00F40687" w:rsidP="00C56926">
            <w:pPr>
              <w:tabs>
                <w:tab w:val="decimal" w:pos="286"/>
              </w:tabs>
              <w:spacing w:before="40" w:after="4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3</w:t>
            </w:r>
          </w:p>
        </w:tc>
        <w:tc>
          <w:tcPr>
            <w:tcW w:w="794" w:type="dxa"/>
            <w:noWrap/>
            <w:hideMark/>
          </w:tcPr>
          <w:p w14:paraId="71A47078" w14:textId="77777777" w:rsidR="00F40687" w:rsidRPr="000973F2" w:rsidRDefault="00F40687" w:rsidP="00C56926">
            <w:pPr>
              <w:spacing w:before="40" w:after="4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0</w:t>
            </w:r>
          </w:p>
        </w:tc>
        <w:tc>
          <w:tcPr>
            <w:tcW w:w="832" w:type="dxa"/>
            <w:noWrap/>
            <w:hideMark/>
          </w:tcPr>
          <w:p w14:paraId="4C7B922C" w14:textId="77777777" w:rsidR="00F40687" w:rsidRPr="000973F2" w:rsidRDefault="00F40687" w:rsidP="00C56926">
            <w:pPr>
              <w:tabs>
                <w:tab w:val="decimal" w:pos="271"/>
              </w:tabs>
              <w:spacing w:before="40" w:after="4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0.2</w:t>
            </w:r>
          </w:p>
        </w:tc>
        <w:tc>
          <w:tcPr>
            <w:tcW w:w="757" w:type="dxa"/>
            <w:noWrap/>
            <w:hideMark/>
          </w:tcPr>
          <w:p w14:paraId="3BA36F16" w14:textId="2F25F51D" w:rsidR="00F40687" w:rsidRPr="000973F2" w:rsidRDefault="00F40687" w:rsidP="00C56926">
            <w:pPr>
              <w:spacing w:before="40" w:after="4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$0</w:t>
            </w:r>
          </w:p>
        </w:tc>
        <w:tc>
          <w:tcPr>
            <w:tcW w:w="848" w:type="dxa"/>
            <w:noWrap/>
            <w:hideMark/>
          </w:tcPr>
          <w:p w14:paraId="07E97550" w14:textId="5E391806" w:rsidR="00F40687" w:rsidRPr="000973F2" w:rsidRDefault="00F40687" w:rsidP="00C56926">
            <w:pPr>
              <w:tabs>
                <w:tab w:val="decimal" w:pos="526"/>
              </w:tabs>
              <w:spacing w:before="40" w:after="4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$358</w:t>
            </w:r>
          </w:p>
        </w:tc>
      </w:tr>
      <w:tr w:rsidR="00D7694D" w:rsidRPr="000973F2" w14:paraId="5148EB4F" w14:textId="77777777" w:rsidTr="00B6531F">
        <w:tblPrEx>
          <w:jc w:val="left"/>
        </w:tblPrEx>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1335" w:type="dxa"/>
            <w:tcMar>
              <w:right w:w="14" w:type="dxa"/>
            </w:tcMar>
            <w:hideMark/>
          </w:tcPr>
          <w:p w14:paraId="7B573C3F" w14:textId="77777777" w:rsidR="00F40687" w:rsidRPr="000973F2" w:rsidRDefault="00F40687" w:rsidP="00C56926">
            <w:pPr>
              <w:spacing w:before="40" w:after="4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QA/QC</w:t>
            </w:r>
          </w:p>
        </w:tc>
        <w:tc>
          <w:tcPr>
            <w:tcW w:w="794" w:type="dxa"/>
            <w:noWrap/>
            <w:hideMark/>
          </w:tcPr>
          <w:p w14:paraId="5CAF463B" w14:textId="77777777" w:rsidR="00F40687" w:rsidRPr="000973F2" w:rsidRDefault="00F40687" w:rsidP="00C56926">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0</w:t>
            </w:r>
          </w:p>
        </w:tc>
        <w:tc>
          <w:tcPr>
            <w:tcW w:w="794" w:type="dxa"/>
            <w:gridSpan w:val="2"/>
            <w:noWrap/>
            <w:hideMark/>
          </w:tcPr>
          <w:p w14:paraId="4B261D53" w14:textId="77777777" w:rsidR="00F40687" w:rsidRPr="000973F2" w:rsidRDefault="00F40687" w:rsidP="00C56926">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1</w:t>
            </w:r>
          </w:p>
        </w:tc>
        <w:tc>
          <w:tcPr>
            <w:tcW w:w="794" w:type="dxa"/>
            <w:noWrap/>
            <w:hideMark/>
          </w:tcPr>
          <w:p w14:paraId="103FD578" w14:textId="77777777" w:rsidR="00F40687" w:rsidRPr="000973F2" w:rsidRDefault="00F40687" w:rsidP="00C56926">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0</w:t>
            </w:r>
          </w:p>
        </w:tc>
        <w:tc>
          <w:tcPr>
            <w:tcW w:w="794" w:type="dxa"/>
            <w:gridSpan w:val="2"/>
            <w:noWrap/>
            <w:hideMark/>
          </w:tcPr>
          <w:p w14:paraId="7BED07AD" w14:textId="77777777" w:rsidR="00F40687" w:rsidRPr="000973F2" w:rsidRDefault="00F40687" w:rsidP="00C56926">
            <w:pPr>
              <w:tabs>
                <w:tab w:val="decimal" w:pos="256"/>
              </w:tabs>
              <w:spacing w:before="40" w:after="4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0.2</w:t>
            </w:r>
          </w:p>
        </w:tc>
        <w:tc>
          <w:tcPr>
            <w:tcW w:w="794" w:type="dxa"/>
            <w:noWrap/>
            <w:hideMark/>
          </w:tcPr>
          <w:p w14:paraId="4F4C62B2" w14:textId="77777777" w:rsidR="00F40687" w:rsidRPr="000973F2" w:rsidRDefault="00F40687" w:rsidP="00C56926">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0</w:t>
            </w:r>
          </w:p>
        </w:tc>
        <w:tc>
          <w:tcPr>
            <w:tcW w:w="794" w:type="dxa"/>
            <w:gridSpan w:val="2"/>
            <w:noWrap/>
            <w:hideMark/>
          </w:tcPr>
          <w:p w14:paraId="40732167" w14:textId="77777777" w:rsidR="00F40687" w:rsidRPr="000973F2" w:rsidRDefault="00F40687" w:rsidP="00C56926">
            <w:pPr>
              <w:tabs>
                <w:tab w:val="decimal" w:pos="286"/>
              </w:tabs>
              <w:spacing w:before="40" w:after="4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2</w:t>
            </w:r>
          </w:p>
        </w:tc>
        <w:tc>
          <w:tcPr>
            <w:tcW w:w="794" w:type="dxa"/>
            <w:noWrap/>
            <w:hideMark/>
          </w:tcPr>
          <w:p w14:paraId="1BD544FC" w14:textId="77777777" w:rsidR="00F40687" w:rsidRPr="000973F2" w:rsidRDefault="00F40687" w:rsidP="00C56926">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0</w:t>
            </w:r>
          </w:p>
        </w:tc>
        <w:tc>
          <w:tcPr>
            <w:tcW w:w="832" w:type="dxa"/>
            <w:noWrap/>
            <w:hideMark/>
          </w:tcPr>
          <w:p w14:paraId="5FC445D8" w14:textId="77777777" w:rsidR="00F40687" w:rsidRPr="000973F2" w:rsidRDefault="00F40687" w:rsidP="00C56926">
            <w:pPr>
              <w:tabs>
                <w:tab w:val="decimal" w:pos="271"/>
              </w:tabs>
              <w:spacing w:before="40" w:after="4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0.1</w:t>
            </w:r>
          </w:p>
        </w:tc>
        <w:tc>
          <w:tcPr>
            <w:tcW w:w="757" w:type="dxa"/>
            <w:noWrap/>
            <w:hideMark/>
          </w:tcPr>
          <w:p w14:paraId="07B8688E" w14:textId="4F5B8AC0" w:rsidR="00F40687" w:rsidRPr="000973F2" w:rsidRDefault="00F40687" w:rsidP="00C56926">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$0</w:t>
            </w:r>
          </w:p>
        </w:tc>
        <w:tc>
          <w:tcPr>
            <w:tcW w:w="848" w:type="dxa"/>
            <w:noWrap/>
            <w:hideMark/>
          </w:tcPr>
          <w:p w14:paraId="488FD771" w14:textId="05E6C929" w:rsidR="00F40687" w:rsidRPr="000973F2" w:rsidRDefault="00F40687" w:rsidP="00C56926">
            <w:pPr>
              <w:tabs>
                <w:tab w:val="decimal" w:pos="526"/>
              </w:tabs>
              <w:spacing w:before="40" w:after="4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$276</w:t>
            </w:r>
          </w:p>
        </w:tc>
      </w:tr>
      <w:tr w:rsidR="00FF36E8" w:rsidRPr="000973F2" w14:paraId="12A61FDE" w14:textId="77777777" w:rsidTr="00B6531F">
        <w:tblPrEx>
          <w:jc w:val="left"/>
        </w:tblPrEx>
        <w:trPr>
          <w:cantSplit/>
        </w:trPr>
        <w:tc>
          <w:tcPr>
            <w:cnfStyle w:val="001000000000" w:firstRow="0" w:lastRow="0" w:firstColumn="1" w:lastColumn="0" w:oddVBand="0" w:evenVBand="0" w:oddHBand="0" w:evenHBand="0" w:firstRowFirstColumn="0" w:firstRowLastColumn="0" w:lastRowFirstColumn="0" w:lastRowLastColumn="0"/>
            <w:tcW w:w="1335" w:type="dxa"/>
            <w:tcMar>
              <w:right w:w="14" w:type="dxa"/>
            </w:tcMar>
            <w:hideMark/>
          </w:tcPr>
          <w:p w14:paraId="757806B2" w14:textId="77777777" w:rsidR="00F40687" w:rsidRPr="000973F2" w:rsidRDefault="00F40687" w:rsidP="00C56926">
            <w:pPr>
              <w:spacing w:before="40" w:after="4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Recordkeeping</w:t>
            </w:r>
          </w:p>
        </w:tc>
        <w:tc>
          <w:tcPr>
            <w:tcW w:w="794" w:type="dxa"/>
            <w:noWrap/>
            <w:hideMark/>
          </w:tcPr>
          <w:p w14:paraId="18A5C211" w14:textId="77777777" w:rsidR="00F40687" w:rsidRPr="000973F2" w:rsidRDefault="00F40687" w:rsidP="00C56926">
            <w:pPr>
              <w:spacing w:before="40" w:after="4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0</w:t>
            </w:r>
          </w:p>
        </w:tc>
        <w:tc>
          <w:tcPr>
            <w:tcW w:w="794" w:type="dxa"/>
            <w:gridSpan w:val="2"/>
            <w:noWrap/>
            <w:hideMark/>
          </w:tcPr>
          <w:p w14:paraId="2A12D321" w14:textId="77777777" w:rsidR="00F40687" w:rsidRPr="000973F2" w:rsidRDefault="00F40687" w:rsidP="00C56926">
            <w:pPr>
              <w:spacing w:before="40" w:after="4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0</w:t>
            </w:r>
          </w:p>
        </w:tc>
        <w:tc>
          <w:tcPr>
            <w:tcW w:w="794" w:type="dxa"/>
            <w:noWrap/>
            <w:hideMark/>
          </w:tcPr>
          <w:p w14:paraId="2F3A615F" w14:textId="77777777" w:rsidR="00F40687" w:rsidRPr="000973F2" w:rsidRDefault="00F40687" w:rsidP="00C56926">
            <w:pPr>
              <w:spacing w:before="40" w:after="4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0</w:t>
            </w:r>
          </w:p>
        </w:tc>
        <w:tc>
          <w:tcPr>
            <w:tcW w:w="794" w:type="dxa"/>
            <w:gridSpan w:val="2"/>
            <w:noWrap/>
            <w:hideMark/>
          </w:tcPr>
          <w:p w14:paraId="6DB63ED1" w14:textId="77777777" w:rsidR="00F40687" w:rsidRPr="000973F2" w:rsidRDefault="00F40687" w:rsidP="00C56926">
            <w:pPr>
              <w:tabs>
                <w:tab w:val="decimal" w:pos="256"/>
              </w:tabs>
              <w:spacing w:before="40" w:after="4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0.5</w:t>
            </w:r>
          </w:p>
        </w:tc>
        <w:tc>
          <w:tcPr>
            <w:tcW w:w="794" w:type="dxa"/>
            <w:noWrap/>
            <w:hideMark/>
          </w:tcPr>
          <w:p w14:paraId="0394D8CE" w14:textId="77777777" w:rsidR="00F40687" w:rsidRPr="000973F2" w:rsidRDefault="00F40687" w:rsidP="00C56926">
            <w:pPr>
              <w:spacing w:before="40" w:after="4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0</w:t>
            </w:r>
          </w:p>
        </w:tc>
        <w:tc>
          <w:tcPr>
            <w:tcW w:w="794" w:type="dxa"/>
            <w:gridSpan w:val="2"/>
            <w:noWrap/>
            <w:hideMark/>
          </w:tcPr>
          <w:p w14:paraId="004E1A80" w14:textId="77777777" w:rsidR="00F40687" w:rsidRPr="000973F2" w:rsidRDefault="00F40687" w:rsidP="00C56926">
            <w:pPr>
              <w:tabs>
                <w:tab w:val="decimal" w:pos="286"/>
              </w:tabs>
              <w:spacing w:before="40" w:after="4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2</w:t>
            </w:r>
          </w:p>
        </w:tc>
        <w:tc>
          <w:tcPr>
            <w:tcW w:w="794" w:type="dxa"/>
            <w:noWrap/>
            <w:hideMark/>
          </w:tcPr>
          <w:p w14:paraId="4F5B54CD" w14:textId="77777777" w:rsidR="00F40687" w:rsidRPr="000973F2" w:rsidRDefault="00F40687" w:rsidP="00C56926">
            <w:pPr>
              <w:spacing w:before="40" w:after="4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0</w:t>
            </w:r>
          </w:p>
        </w:tc>
        <w:tc>
          <w:tcPr>
            <w:tcW w:w="832" w:type="dxa"/>
            <w:noWrap/>
            <w:hideMark/>
          </w:tcPr>
          <w:p w14:paraId="7DD10E11" w14:textId="77777777" w:rsidR="00F40687" w:rsidRPr="000973F2" w:rsidRDefault="00F40687" w:rsidP="00C56926">
            <w:pPr>
              <w:tabs>
                <w:tab w:val="decimal" w:pos="271"/>
              </w:tabs>
              <w:spacing w:before="40" w:after="4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0.5</w:t>
            </w:r>
          </w:p>
        </w:tc>
        <w:tc>
          <w:tcPr>
            <w:tcW w:w="757" w:type="dxa"/>
            <w:noWrap/>
            <w:hideMark/>
          </w:tcPr>
          <w:p w14:paraId="5815A958" w14:textId="01BFE278" w:rsidR="00F40687" w:rsidRPr="000973F2" w:rsidRDefault="00F40687" w:rsidP="00C56926">
            <w:pPr>
              <w:spacing w:before="40" w:after="4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$0</w:t>
            </w:r>
          </w:p>
        </w:tc>
        <w:tc>
          <w:tcPr>
            <w:tcW w:w="848" w:type="dxa"/>
            <w:noWrap/>
            <w:hideMark/>
          </w:tcPr>
          <w:p w14:paraId="520E88E2" w14:textId="395FCE64" w:rsidR="00F40687" w:rsidRPr="000973F2" w:rsidRDefault="00F40687" w:rsidP="00C56926">
            <w:pPr>
              <w:tabs>
                <w:tab w:val="decimal" w:pos="526"/>
              </w:tabs>
              <w:spacing w:before="40" w:after="4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$205</w:t>
            </w:r>
          </w:p>
        </w:tc>
      </w:tr>
      <w:tr w:rsidR="00D7694D" w:rsidRPr="000973F2" w14:paraId="312057BC" w14:textId="77777777" w:rsidTr="00B6531F">
        <w:tblPrEx>
          <w:jc w:val="left"/>
        </w:tblPrEx>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1335" w:type="dxa"/>
            <w:tcMar>
              <w:right w:w="14" w:type="dxa"/>
            </w:tcMar>
            <w:hideMark/>
          </w:tcPr>
          <w:p w14:paraId="0A21525B" w14:textId="77777777" w:rsidR="00F40687" w:rsidRPr="000973F2" w:rsidRDefault="00F40687" w:rsidP="00C56926">
            <w:pPr>
              <w:spacing w:before="40" w:after="4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Sampling and Analysis (Calculations)</w:t>
            </w:r>
          </w:p>
        </w:tc>
        <w:tc>
          <w:tcPr>
            <w:tcW w:w="794" w:type="dxa"/>
            <w:noWrap/>
            <w:hideMark/>
          </w:tcPr>
          <w:p w14:paraId="3B612435" w14:textId="77777777" w:rsidR="00F40687" w:rsidRPr="000973F2" w:rsidRDefault="00F40687" w:rsidP="00C56926">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0</w:t>
            </w:r>
          </w:p>
        </w:tc>
        <w:tc>
          <w:tcPr>
            <w:tcW w:w="794" w:type="dxa"/>
            <w:gridSpan w:val="2"/>
            <w:noWrap/>
            <w:hideMark/>
          </w:tcPr>
          <w:p w14:paraId="18B6D31B" w14:textId="77777777" w:rsidR="00F40687" w:rsidRPr="000973F2" w:rsidRDefault="00F40687" w:rsidP="00C56926">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0</w:t>
            </w:r>
          </w:p>
        </w:tc>
        <w:tc>
          <w:tcPr>
            <w:tcW w:w="794" w:type="dxa"/>
            <w:noWrap/>
            <w:hideMark/>
          </w:tcPr>
          <w:p w14:paraId="38CD8215" w14:textId="77777777" w:rsidR="00F40687" w:rsidRPr="000973F2" w:rsidRDefault="00F40687" w:rsidP="00C56926">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0</w:t>
            </w:r>
          </w:p>
        </w:tc>
        <w:tc>
          <w:tcPr>
            <w:tcW w:w="794" w:type="dxa"/>
            <w:gridSpan w:val="2"/>
            <w:noWrap/>
            <w:hideMark/>
          </w:tcPr>
          <w:p w14:paraId="3F044036" w14:textId="77777777" w:rsidR="00F40687" w:rsidRPr="000973F2" w:rsidRDefault="00F40687" w:rsidP="00C56926">
            <w:pPr>
              <w:tabs>
                <w:tab w:val="decimal" w:pos="256"/>
              </w:tabs>
              <w:spacing w:before="40" w:after="4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1.2</w:t>
            </w:r>
          </w:p>
        </w:tc>
        <w:tc>
          <w:tcPr>
            <w:tcW w:w="794" w:type="dxa"/>
            <w:noWrap/>
            <w:hideMark/>
          </w:tcPr>
          <w:p w14:paraId="212036A1" w14:textId="77777777" w:rsidR="00F40687" w:rsidRPr="000973F2" w:rsidRDefault="00F40687" w:rsidP="00C56926">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0</w:t>
            </w:r>
          </w:p>
        </w:tc>
        <w:tc>
          <w:tcPr>
            <w:tcW w:w="794" w:type="dxa"/>
            <w:gridSpan w:val="2"/>
            <w:noWrap/>
            <w:hideMark/>
          </w:tcPr>
          <w:p w14:paraId="6BDC7E40" w14:textId="77777777" w:rsidR="00F40687" w:rsidRPr="000973F2" w:rsidRDefault="00F40687" w:rsidP="00C56926">
            <w:pPr>
              <w:tabs>
                <w:tab w:val="decimal" w:pos="286"/>
              </w:tabs>
              <w:spacing w:before="40" w:after="4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12</w:t>
            </w:r>
          </w:p>
        </w:tc>
        <w:tc>
          <w:tcPr>
            <w:tcW w:w="794" w:type="dxa"/>
            <w:noWrap/>
            <w:hideMark/>
          </w:tcPr>
          <w:p w14:paraId="04E44D32" w14:textId="77777777" w:rsidR="00F40687" w:rsidRPr="000973F2" w:rsidRDefault="00F40687" w:rsidP="00C56926">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0</w:t>
            </w:r>
          </w:p>
        </w:tc>
        <w:tc>
          <w:tcPr>
            <w:tcW w:w="832" w:type="dxa"/>
            <w:noWrap/>
            <w:hideMark/>
          </w:tcPr>
          <w:p w14:paraId="45723907" w14:textId="77777777" w:rsidR="00F40687" w:rsidRPr="000973F2" w:rsidRDefault="00F40687" w:rsidP="00C56926">
            <w:pPr>
              <w:tabs>
                <w:tab w:val="decimal" w:pos="271"/>
              </w:tabs>
              <w:spacing w:before="40" w:after="4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0.6</w:t>
            </w:r>
          </w:p>
        </w:tc>
        <w:tc>
          <w:tcPr>
            <w:tcW w:w="757" w:type="dxa"/>
            <w:noWrap/>
            <w:hideMark/>
          </w:tcPr>
          <w:p w14:paraId="4A028E6B" w14:textId="2B7DA008" w:rsidR="00F40687" w:rsidRPr="000973F2" w:rsidRDefault="00F40687" w:rsidP="00C56926">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$0</w:t>
            </w:r>
          </w:p>
        </w:tc>
        <w:tc>
          <w:tcPr>
            <w:tcW w:w="848" w:type="dxa"/>
            <w:noWrap/>
            <w:hideMark/>
          </w:tcPr>
          <w:p w14:paraId="5F1E86A5" w14:textId="0D712B40" w:rsidR="00F40687" w:rsidRPr="000973F2" w:rsidRDefault="00F40687" w:rsidP="00C56926">
            <w:pPr>
              <w:tabs>
                <w:tab w:val="decimal" w:pos="526"/>
              </w:tabs>
              <w:spacing w:before="40" w:after="4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$984</w:t>
            </w:r>
          </w:p>
        </w:tc>
      </w:tr>
      <w:tr w:rsidR="00FF36E8" w:rsidRPr="000973F2" w14:paraId="5DF8B17A" w14:textId="77777777" w:rsidTr="00B6531F">
        <w:tblPrEx>
          <w:jc w:val="left"/>
        </w:tblPrEx>
        <w:trPr>
          <w:cantSplit/>
        </w:trPr>
        <w:tc>
          <w:tcPr>
            <w:cnfStyle w:val="001000000000" w:firstRow="0" w:lastRow="0" w:firstColumn="1" w:lastColumn="0" w:oddVBand="0" w:evenVBand="0" w:oddHBand="0" w:evenHBand="0" w:firstRowFirstColumn="0" w:firstRowLastColumn="0" w:lastRowFirstColumn="0" w:lastRowLastColumn="0"/>
            <w:tcW w:w="1335" w:type="dxa"/>
            <w:tcMar>
              <w:right w:w="14" w:type="dxa"/>
            </w:tcMar>
            <w:hideMark/>
          </w:tcPr>
          <w:p w14:paraId="40D2A170" w14:textId="77777777" w:rsidR="00F40687" w:rsidRPr="000973F2" w:rsidRDefault="00F40687" w:rsidP="00C56926">
            <w:pPr>
              <w:spacing w:before="40" w:after="4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Reporting</w:t>
            </w:r>
          </w:p>
        </w:tc>
        <w:tc>
          <w:tcPr>
            <w:tcW w:w="794" w:type="dxa"/>
            <w:noWrap/>
            <w:hideMark/>
          </w:tcPr>
          <w:p w14:paraId="6B880CDE" w14:textId="77777777" w:rsidR="00F40687" w:rsidRPr="000973F2" w:rsidRDefault="00F40687" w:rsidP="00C56926">
            <w:pPr>
              <w:spacing w:before="40" w:after="4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0</w:t>
            </w:r>
          </w:p>
        </w:tc>
        <w:tc>
          <w:tcPr>
            <w:tcW w:w="794" w:type="dxa"/>
            <w:gridSpan w:val="2"/>
            <w:noWrap/>
            <w:hideMark/>
          </w:tcPr>
          <w:p w14:paraId="5D628FEA" w14:textId="77777777" w:rsidR="00F40687" w:rsidRPr="000973F2" w:rsidRDefault="00F40687" w:rsidP="00C56926">
            <w:pPr>
              <w:spacing w:before="40" w:after="4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0</w:t>
            </w:r>
          </w:p>
        </w:tc>
        <w:tc>
          <w:tcPr>
            <w:tcW w:w="794" w:type="dxa"/>
            <w:noWrap/>
            <w:hideMark/>
          </w:tcPr>
          <w:p w14:paraId="2937FA2C" w14:textId="77777777" w:rsidR="00F40687" w:rsidRPr="000973F2" w:rsidRDefault="00F40687" w:rsidP="00C56926">
            <w:pPr>
              <w:spacing w:before="40" w:after="4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0</w:t>
            </w:r>
          </w:p>
        </w:tc>
        <w:tc>
          <w:tcPr>
            <w:tcW w:w="794" w:type="dxa"/>
            <w:gridSpan w:val="2"/>
            <w:noWrap/>
            <w:hideMark/>
          </w:tcPr>
          <w:p w14:paraId="63852E9E" w14:textId="77777777" w:rsidR="00F40687" w:rsidRPr="000973F2" w:rsidRDefault="00F40687" w:rsidP="00C56926">
            <w:pPr>
              <w:tabs>
                <w:tab w:val="decimal" w:pos="256"/>
              </w:tabs>
              <w:spacing w:before="40" w:after="4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1</w:t>
            </w:r>
          </w:p>
        </w:tc>
        <w:tc>
          <w:tcPr>
            <w:tcW w:w="794" w:type="dxa"/>
            <w:noWrap/>
            <w:hideMark/>
          </w:tcPr>
          <w:p w14:paraId="075A4BED" w14:textId="77777777" w:rsidR="00F40687" w:rsidRPr="000973F2" w:rsidRDefault="00F40687" w:rsidP="00C56926">
            <w:pPr>
              <w:spacing w:before="40" w:after="4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0</w:t>
            </w:r>
          </w:p>
        </w:tc>
        <w:tc>
          <w:tcPr>
            <w:tcW w:w="794" w:type="dxa"/>
            <w:gridSpan w:val="2"/>
            <w:noWrap/>
            <w:hideMark/>
          </w:tcPr>
          <w:p w14:paraId="2E1F857C" w14:textId="77777777" w:rsidR="00F40687" w:rsidRPr="000973F2" w:rsidRDefault="00F40687" w:rsidP="00C56926">
            <w:pPr>
              <w:tabs>
                <w:tab w:val="decimal" w:pos="286"/>
              </w:tabs>
              <w:spacing w:before="40" w:after="4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4</w:t>
            </w:r>
          </w:p>
        </w:tc>
        <w:tc>
          <w:tcPr>
            <w:tcW w:w="794" w:type="dxa"/>
            <w:noWrap/>
            <w:hideMark/>
          </w:tcPr>
          <w:p w14:paraId="0A50BD58" w14:textId="77777777" w:rsidR="00F40687" w:rsidRPr="000973F2" w:rsidRDefault="00F40687" w:rsidP="00C56926">
            <w:pPr>
              <w:spacing w:before="40" w:after="4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0</w:t>
            </w:r>
          </w:p>
        </w:tc>
        <w:tc>
          <w:tcPr>
            <w:tcW w:w="832" w:type="dxa"/>
            <w:noWrap/>
            <w:hideMark/>
          </w:tcPr>
          <w:p w14:paraId="567C7D88" w14:textId="77777777" w:rsidR="00F40687" w:rsidRPr="000973F2" w:rsidRDefault="00F40687" w:rsidP="00C56926">
            <w:pPr>
              <w:tabs>
                <w:tab w:val="decimal" w:pos="271"/>
              </w:tabs>
              <w:spacing w:before="40" w:after="4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1</w:t>
            </w:r>
          </w:p>
        </w:tc>
        <w:tc>
          <w:tcPr>
            <w:tcW w:w="757" w:type="dxa"/>
            <w:noWrap/>
            <w:hideMark/>
          </w:tcPr>
          <w:p w14:paraId="00E8BCD3" w14:textId="4994EFA5" w:rsidR="00F40687" w:rsidRPr="000973F2" w:rsidRDefault="00F40687" w:rsidP="00C56926">
            <w:pPr>
              <w:spacing w:before="40" w:after="4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$0</w:t>
            </w:r>
          </w:p>
        </w:tc>
        <w:tc>
          <w:tcPr>
            <w:tcW w:w="848" w:type="dxa"/>
            <w:noWrap/>
            <w:hideMark/>
          </w:tcPr>
          <w:p w14:paraId="7BA0AC23" w14:textId="71BA6C06" w:rsidR="00F40687" w:rsidRPr="000973F2" w:rsidRDefault="00F40687" w:rsidP="00C56926">
            <w:pPr>
              <w:tabs>
                <w:tab w:val="decimal" w:pos="526"/>
              </w:tabs>
              <w:spacing w:before="40" w:after="4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$410</w:t>
            </w:r>
          </w:p>
        </w:tc>
      </w:tr>
      <w:tr w:rsidR="00D7694D" w:rsidRPr="000973F2" w14:paraId="4B9CF4C1" w14:textId="77777777" w:rsidTr="00B6531F">
        <w:tblPrEx>
          <w:jc w:val="left"/>
        </w:tblPrEx>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1335" w:type="dxa"/>
            <w:noWrap/>
            <w:tcMar>
              <w:right w:w="14" w:type="dxa"/>
            </w:tcMar>
            <w:hideMark/>
          </w:tcPr>
          <w:p w14:paraId="28BD76F4" w14:textId="77777777" w:rsidR="00F40687" w:rsidRPr="000973F2" w:rsidRDefault="00F40687" w:rsidP="00C56926">
            <w:pPr>
              <w:spacing w:before="40" w:after="40"/>
              <w:rPr>
                <w:rFonts w:ascii="Times New Roman" w:eastAsia="Times New Roman" w:hAnsi="Times New Roman" w:cs="Times New Roman"/>
                <w:b/>
                <w:bCs w:val="0"/>
                <w:sz w:val="18"/>
                <w:szCs w:val="18"/>
              </w:rPr>
            </w:pPr>
            <w:r w:rsidRPr="000973F2">
              <w:rPr>
                <w:rFonts w:ascii="Times New Roman" w:eastAsia="Times New Roman" w:hAnsi="Times New Roman" w:cs="Times New Roman"/>
                <w:b/>
                <w:sz w:val="18"/>
                <w:szCs w:val="18"/>
              </w:rPr>
              <w:t>Total</w:t>
            </w:r>
          </w:p>
        </w:tc>
        <w:tc>
          <w:tcPr>
            <w:tcW w:w="794" w:type="dxa"/>
            <w:noWrap/>
            <w:hideMark/>
          </w:tcPr>
          <w:p w14:paraId="07893C1F" w14:textId="77777777" w:rsidR="00F40687" w:rsidRPr="000973F2" w:rsidRDefault="00F40687" w:rsidP="00C56926">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18"/>
                <w:szCs w:val="18"/>
              </w:rPr>
            </w:pPr>
            <w:r w:rsidRPr="000973F2">
              <w:rPr>
                <w:rFonts w:ascii="Times New Roman" w:eastAsia="Times New Roman" w:hAnsi="Times New Roman" w:cs="Times New Roman"/>
                <w:b/>
                <w:bCs/>
                <w:sz w:val="18"/>
                <w:szCs w:val="18"/>
              </w:rPr>
              <w:t>0</w:t>
            </w:r>
          </w:p>
        </w:tc>
        <w:tc>
          <w:tcPr>
            <w:tcW w:w="794" w:type="dxa"/>
            <w:gridSpan w:val="2"/>
            <w:noWrap/>
            <w:hideMark/>
          </w:tcPr>
          <w:p w14:paraId="36D41DB2" w14:textId="77777777" w:rsidR="00F40687" w:rsidRPr="000973F2" w:rsidRDefault="00F40687" w:rsidP="00C56926">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18"/>
                <w:szCs w:val="18"/>
              </w:rPr>
            </w:pPr>
            <w:r w:rsidRPr="000973F2">
              <w:rPr>
                <w:rFonts w:ascii="Times New Roman" w:eastAsia="Times New Roman" w:hAnsi="Times New Roman" w:cs="Times New Roman"/>
                <w:b/>
                <w:bCs/>
                <w:sz w:val="18"/>
                <w:szCs w:val="18"/>
              </w:rPr>
              <w:t>2</w:t>
            </w:r>
          </w:p>
        </w:tc>
        <w:tc>
          <w:tcPr>
            <w:tcW w:w="794" w:type="dxa"/>
            <w:noWrap/>
            <w:hideMark/>
          </w:tcPr>
          <w:p w14:paraId="0284047E" w14:textId="77777777" w:rsidR="00F40687" w:rsidRPr="000973F2" w:rsidRDefault="00F40687" w:rsidP="00C56926">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18"/>
                <w:szCs w:val="18"/>
              </w:rPr>
            </w:pPr>
            <w:r w:rsidRPr="000973F2">
              <w:rPr>
                <w:rFonts w:ascii="Times New Roman" w:eastAsia="Times New Roman" w:hAnsi="Times New Roman" w:cs="Times New Roman"/>
                <w:b/>
                <w:bCs/>
                <w:sz w:val="18"/>
                <w:szCs w:val="18"/>
              </w:rPr>
              <w:t>0</w:t>
            </w:r>
          </w:p>
        </w:tc>
        <w:tc>
          <w:tcPr>
            <w:tcW w:w="794" w:type="dxa"/>
            <w:gridSpan w:val="2"/>
            <w:noWrap/>
            <w:hideMark/>
          </w:tcPr>
          <w:p w14:paraId="1DAD0C8C" w14:textId="77777777" w:rsidR="00F40687" w:rsidRPr="000973F2" w:rsidRDefault="00F40687" w:rsidP="00C56926">
            <w:pPr>
              <w:tabs>
                <w:tab w:val="decimal" w:pos="256"/>
              </w:tabs>
              <w:spacing w:before="40" w:after="4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18"/>
                <w:szCs w:val="18"/>
              </w:rPr>
            </w:pPr>
            <w:r w:rsidRPr="000973F2">
              <w:rPr>
                <w:rFonts w:ascii="Times New Roman" w:eastAsia="Times New Roman" w:hAnsi="Times New Roman" w:cs="Times New Roman"/>
                <w:b/>
                <w:bCs/>
                <w:sz w:val="18"/>
                <w:szCs w:val="18"/>
              </w:rPr>
              <w:t>3.2</w:t>
            </w:r>
          </w:p>
        </w:tc>
        <w:tc>
          <w:tcPr>
            <w:tcW w:w="794" w:type="dxa"/>
            <w:noWrap/>
            <w:hideMark/>
          </w:tcPr>
          <w:p w14:paraId="12C7283D" w14:textId="77777777" w:rsidR="00F40687" w:rsidRPr="000973F2" w:rsidRDefault="00F40687" w:rsidP="00C56926">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18"/>
                <w:szCs w:val="18"/>
              </w:rPr>
            </w:pPr>
            <w:r w:rsidRPr="000973F2">
              <w:rPr>
                <w:rFonts w:ascii="Times New Roman" w:eastAsia="Times New Roman" w:hAnsi="Times New Roman" w:cs="Times New Roman"/>
                <w:b/>
                <w:bCs/>
                <w:sz w:val="18"/>
                <w:szCs w:val="18"/>
              </w:rPr>
              <w:t>0</w:t>
            </w:r>
          </w:p>
        </w:tc>
        <w:tc>
          <w:tcPr>
            <w:tcW w:w="794" w:type="dxa"/>
            <w:gridSpan w:val="2"/>
            <w:noWrap/>
            <w:hideMark/>
          </w:tcPr>
          <w:p w14:paraId="7D5F5A50" w14:textId="77777777" w:rsidR="00F40687" w:rsidRPr="000973F2" w:rsidRDefault="00F40687" w:rsidP="00C56926">
            <w:pPr>
              <w:tabs>
                <w:tab w:val="decimal" w:pos="286"/>
              </w:tabs>
              <w:spacing w:before="40" w:after="4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18"/>
                <w:szCs w:val="18"/>
              </w:rPr>
            </w:pPr>
            <w:r w:rsidRPr="000973F2">
              <w:rPr>
                <w:rFonts w:ascii="Times New Roman" w:eastAsia="Times New Roman" w:hAnsi="Times New Roman" w:cs="Times New Roman"/>
                <w:b/>
                <w:bCs/>
                <w:sz w:val="18"/>
                <w:szCs w:val="18"/>
              </w:rPr>
              <w:t>23</w:t>
            </w:r>
          </w:p>
        </w:tc>
        <w:tc>
          <w:tcPr>
            <w:tcW w:w="794" w:type="dxa"/>
            <w:noWrap/>
            <w:hideMark/>
          </w:tcPr>
          <w:p w14:paraId="4E18AB11" w14:textId="77777777" w:rsidR="00F40687" w:rsidRPr="000973F2" w:rsidRDefault="00F40687" w:rsidP="00C56926">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18"/>
                <w:szCs w:val="18"/>
              </w:rPr>
            </w:pPr>
            <w:r w:rsidRPr="000973F2">
              <w:rPr>
                <w:rFonts w:ascii="Times New Roman" w:eastAsia="Times New Roman" w:hAnsi="Times New Roman" w:cs="Times New Roman"/>
                <w:b/>
                <w:bCs/>
                <w:sz w:val="18"/>
                <w:szCs w:val="18"/>
              </w:rPr>
              <w:t>0</w:t>
            </w:r>
          </w:p>
        </w:tc>
        <w:tc>
          <w:tcPr>
            <w:tcW w:w="832" w:type="dxa"/>
            <w:noWrap/>
            <w:hideMark/>
          </w:tcPr>
          <w:p w14:paraId="23679CB2" w14:textId="77777777" w:rsidR="00F40687" w:rsidRPr="000973F2" w:rsidRDefault="00F40687" w:rsidP="00C56926">
            <w:pPr>
              <w:tabs>
                <w:tab w:val="decimal" w:pos="271"/>
              </w:tabs>
              <w:spacing w:before="40" w:after="4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18"/>
                <w:szCs w:val="18"/>
              </w:rPr>
            </w:pPr>
            <w:r w:rsidRPr="000973F2">
              <w:rPr>
                <w:rFonts w:ascii="Times New Roman" w:eastAsia="Times New Roman" w:hAnsi="Times New Roman" w:cs="Times New Roman"/>
                <w:b/>
                <w:bCs/>
                <w:sz w:val="18"/>
                <w:szCs w:val="18"/>
              </w:rPr>
              <w:t>2.4</w:t>
            </w:r>
          </w:p>
        </w:tc>
        <w:tc>
          <w:tcPr>
            <w:tcW w:w="757" w:type="dxa"/>
            <w:noWrap/>
            <w:hideMark/>
          </w:tcPr>
          <w:p w14:paraId="58F31342" w14:textId="17CF0F47" w:rsidR="00F40687" w:rsidRPr="000973F2" w:rsidRDefault="00F40687" w:rsidP="00C56926">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18"/>
                <w:szCs w:val="18"/>
              </w:rPr>
            </w:pPr>
            <w:r w:rsidRPr="000973F2">
              <w:rPr>
                <w:rFonts w:ascii="Times New Roman" w:eastAsia="Times New Roman" w:hAnsi="Times New Roman" w:cs="Times New Roman"/>
                <w:b/>
                <w:bCs/>
                <w:sz w:val="18"/>
                <w:szCs w:val="18"/>
              </w:rPr>
              <w:t>$0</w:t>
            </w:r>
          </w:p>
        </w:tc>
        <w:tc>
          <w:tcPr>
            <w:tcW w:w="848" w:type="dxa"/>
            <w:noWrap/>
            <w:hideMark/>
          </w:tcPr>
          <w:p w14:paraId="0036A678" w14:textId="7D89DC40" w:rsidR="00F40687" w:rsidRPr="000973F2" w:rsidRDefault="00F40687" w:rsidP="00C56926">
            <w:pPr>
              <w:tabs>
                <w:tab w:val="decimal" w:pos="526"/>
              </w:tabs>
              <w:spacing w:before="40" w:after="4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18"/>
                <w:szCs w:val="18"/>
              </w:rPr>
            </w:pPr>
            <w:r w:rsidRPr="000973F2">
              <w:rPr>
                <w:rFonts w:ascii="Times New Roman" w:eastAsia="Times New Roman" w:hAnsi="Times New Roman" w:cs="Times New Roman"/>
                <w:b/>
                <w:bCs/>
                <w:sz w:val="18"/>
                <w:szCs w:val="18"/>
              </w:rPr>
              <w:t>$2,233</w:t>
            </w:r>
          </w:p>
        </w:tc>
      </w:tr>
    </w:tbl>
    <w:p w14:paraId="41E5A59E" w14:textId="164522A3" w:rsidR="00AB6339" w:rsidRPr="000973F2" w:rsidRDefault="00AB6339" w:rsidP="00C00E4F">
      <w:pPr>
        <w:spacing w:after="0" w:line="240" w:lineRule="auto"/>
        <w:rPr>
          <w:rFonts w:ascii="Times New Roman" w:hAnsi="Times New Roman" w:cs="Times New Roman"/>
          <w:b/>
          <w:sz w:val="2"/>
          <w:szCs w:val="2"/>
        </w:rPr>
      </w:pPr>
    </w:p>
    <w:p w14:paraId="5F665B91" w14:textId="1283E584" w:rsidR="00F40687" w:rsidRPr="000973F2" w:rsidRDefault="00340041" w:rsidP="009C3B79">
      <w:pPr>
        <w:pStyle w:val="Tabletitle"/>
        <w:rPr>
          <w:i/>
          <w:sz w:val="24"/>
          <w:szCs w:val="24"/>
        </w:rPr>
      </w:pPr>
      <w:r w:rsidRPr="000973F2">
        <w:t xml:space="preserve">Table </w:t>
      </w:r>
      <w:r w:rsidR="00BD4AE7" w:rsidRPr="000973F2">
        <w:t>Q-</w:t>
      </w:r>
      <w:r w:rsidRPr="000973F2">
        <w:t xml:space="preserve">1a(2). Labor Costs </w:t>
      </w:r>
      <w:r w:rsidR="009C3B79" w:rsidRPr="000973F2">
        <w:t>–</w:t>
      </w:r>
      <w:r w:rsidRPr="000973F2">
        <w:t xml:space="preserve"> </w:t>
      </w:r>
      <w:r w:rsidR="00F40687" w:rsidRPr="000973F2">
        <w:t>Subpart Q</w:t>
      </w:r>
      <w:r w:rsidRPr="000973F2">
        <w:t xml:space="preserve"> </w:t>
      </w:r>
      <w:r w:rsidR="009C3B79" w:rsidRPr="000973F2">
        <w:t>–</w:t>
      </w:r>
      <w:r w:rsidRPr="000973F2">
        <w:t xml:space="preserve"> </w:t>
      </w:r>
      <w:r w:rsidR="00F40687" w:rsidRPr="000973F2">
        <w:t>Carbon Mass Balance Option</w:t>
      </w:r>
      <w:r w:rsidRPr="000973F2">
        <w:t xml:space="preserve"> </w:t>
      </w:r>
      <w:r w:rsidR="009C3B79" w:rsidRPr="000973F2">
        <w:t>–</w:t>
      </w:r>
      <w:r w:rsidRPr="000973F2">
        <w:t xml:space="preserve"> </w:t>
      </w:r>
      <w:r w:rsidR="00F40687" w:rsidRPr="000973F2">
        <w:t>Supplier</w:t>
      </w:r>
    </w:p>
    <w:tbl>
      <w:tblPr>
        <w:tblStyle w:val="PlainTable1"/>
        <w:tblW w:w="5000" w:type="pct"/>
        <w:tblLayout w:type="fixed"/>
        <w:tblLook w:val="04A0" w:firstRow="1" w:lastRow="0" w:firstColumn="1" w:lastColumn="0" w:noHBand="0" w:noVBand="1"/>
      </w:tblPr>
      <w:tblGrid>
        <w:gridCol w:w="1367"/>
        <w:gridCol w:w="830"/>
        <w:gridCol w:w="831"/>
        <w:gridCol w:w="830"/>
        <w:gridCol w:w="830"/>
        <w:gridCol w:w="829"/>
        <w:gridCol w:w="830"/>
        <w:gridCol w:w="830"/>
        <w:gridCol w:w="830"/>
        <w:gridCol w:w="719"/>
        <w:gridCol w:w="850"/>
      </w:tblGrid>
      <w:tr w:rsidR="00F40687" w:rsidRPr="000973F2" w14:paraId="1D626B8D" w14:textId="77777777" w:rsidTr="00B6531F">
        <w:trPr>
          <w:cnfStyle w:val="100000000000" w:firstRow="1" w:lastRow="0" w:firstColumn="0" w:lastColumn="0" w:oddVBand="0" w:evenVBand="0" w:oddHBand="0"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1331" w:type="dxa"/>
            <w:vMerge w:val="restart"/>
            <w:noWrap/>
            <w:hideMark/>
          </w:tcPr>
          <w:p w14:paraId="35A33185" w14:textId="77777777" w:rsidR="00F40687" w:rsidRPr="000973F2" w:rsidRDefault="00F40687" w:rsidP="009C3B79">
            <w:pPr>
              <w:spacing w:before="40" w:after="40"/>
              <w:rPr>
                <w:rFonts w:ascii="Times New Roman" w:eastAsia="Times New Roman" w:hAnsi="Times New Roman" w:cs="Times New Roman"/>
                <w:b w:val="0"/>
                <w:bCs w:val="0"/>
                <w:sz w:val="18"/>
                <w:szCs w:val="18"/>
              </w:rPr>
            </w:pPr>
            <w:r w:rsidRPr="000973F2">
              <w:rPr>
                <w:rFonts w:ascii="Times New Roman" w:eastAsia="Times New Roman" w:hAnsi="Times New Roman" w:cs="Times New Roman"/>
                <w:sz w:val="18"/>
                <w:szCs w:val="18"/>
              </w:rPr>
              <w:t>Activity</w:t>
            </w:r>
          </w:p>
        </w:tc>
        <w:tc>
          <w:tcPr>
            <w:tcW w:w="6470" w:type="dxa"/>
            <w:gridSpan w:val="8"/>
            <w:noWrap/>
            <w:hideMark/>
          </w:tcPr>
          <w:p w14:paraId="50AF7AEE" w14:textId="77777777" w:rsidR="00F40687" w:rsidRPr="000973F2" w:rsidRDefault="00F40687" w:rsidP="009C3B79">
            <w:pPr>
              <w:spacing w:before="40" w:after="40"/>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bCs w:val="0"/>
                <w:sz w:val="18"/>
                <w:szCs w:val="18"/>
              </w:rPr>
            </w:pPr>
            <w:r w:rsidRPr="000973F2">
              <w:rPr>
                <w:rFonts w:ascii="Times New Roman" w:eastAsia="Times New Roman" w:hAnsi="Times New Roman" w:cs="Times New Roman"/>
                <w:sz w:val="18"/>
                <w:szCs w:val="18"/>
              </w:rPr>
              <w:t>Labor Rates (per hour)</w:t>
            </w:r>
          </w:p>
        </w:tc>
        <w:tc>
          <w:tcPr>
            <w:tcW w:w="1529" w:type="dxa"/>
            <w:gridSpan w:val="2"/>
            <w:vMerge w:val="restart"/>
            <w:hideMark/>
          </w:tcPr>
          <w:p w14:paraId="770BDE77" w14:textId="77777777" w:rsidR="00F40687" w:rsidRPr="000973F2" w:rsidRDefault="00F40687" w:rsidP="009C3B79">
            <w:pPr>
              <w:spacing w:before="40" w:after="40"/>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bCs w:val="0"/>
                <w:sz w:val="18"/>
                <w:szCs w:val="18"/>
              </w:rPr>
            </w:pPr>
            <w:r w:rsidRPr="000973F2">
              <w:rPr>
                <w:rFonts w:ascii="Times New Roman" w:eastAsia="Times New Roman" w:hAnsi="Times New Roman" w:cs="Times New Roman"/>
                <w:sz w:val="18"/>
                <w:szCs w:val="18"/>
              </w:rPr>
              <w:t>Total Labor Cost per Year per Facility (2017$)</w:t>
            </w:r>
          </w:p>
        </w:tc>
      </w:tr>
      <w:tr w:rsidR="00F40687" w:rsidRPr="000973F2" w14:paraId="77B51AF7" w14:textId="77777777" w:rsidTr="00B6531F">
        <w:tblPrEx>
          <w:jc w:val="left"/>
        </w:tblPrEx>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1331" w:type="dxa"/>
            <w:vMerge/>
            <w:hideMark/>
          </w:tcPr>
          <w:p w14:paraId="63C4BE7C" w14:textId="77777777" w:rsidR="00F40687" w:rsidRPr="000973F2" w:rsidRDefault="00F40687" w:rsidP="009C3B79">
            <w:pPr>
              <w:spacing w:before="40" w:after="40"/>
              <w:rPr>
                <w:rFonts w:ascii="Times New Roman" w:eastAsia="Times New Roman" w:hAnsi="Times New Roman" w:cs="Times New Roman"/>
                <w:b/>
                <w:bCs w:val="0"/>
                <w:sz w:val="18"/>
                <w:szCs w:val="18"/>
              </w:rPr>
            </w:pPr>
          </w:p>
        </w:tc>
        <w:tc>
          <w:tcPr>
            <w:tcW w:w="1617" w:type="dxa"/>
            <w:gridSpan w:val="2"/>
            <w:noWrap/>
            <w:hideMark/>
          </w:tcPr>
          <w:p w14:paraId="0DCC9914" w14:textId="77777777" w:rsidR="00F40687" w:rsidRPr="000973F2" w:rsidRDefault="00F40687" w:rsidP="009C3B79">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18"/>
                <w:szCs w:val="18"/>
              </w:rPr>
            </w:pPr>
            <w:r w:rsidRPr="000973F2">
              <w:rPr>
                <w:rFonts w:ascii="Times New Roman" w:eastAsia="Times New Roman" w:hAnsi="Times New Roman" w:cs="Times New Roman"/>
                <w:b/>
                <w:bCs/>
                <w:sz w:val="18"/>
                <w:szCs w:val="18"/>
              </w:rPr>
              <w:t>Lawyer</w:t>
            </w:r>
          </w:p>
        </w:tc>
        <w:tc>
          <w:tcPr>
            <w:tcW w:w="1618" w:type="dxa"/>
            <w:gridSpan w:val="2"/>
            <w:noWrap/>
            <w:hideMark/>
          </w:tcPr>
          <w:p w14:paraId="7D195BAB" w14:textId="77777777" w:rsidR="00F40687" w:rsidRPr="000973F2" w:rsidRDefault="00F40687" w:rsidP="009C3B79">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18"/>
                <w:szCs w:val="18"/>
              </w:rPr>
            </w:pPr>
            <w:r w:rsidRPr="000973F2">
              <w:rPr>
                <w:rFonts w:ascii="Times New Roman" w:eastAsia="Times New Roman" w:hAnsi="Times New Roman" w:cs="Times New Roman"/>
                <w:b/>
                <w:bCs/>
                <w:sz w:val="18"/>
                <w:szCs w:val="18"/>
              </w:rPr>
              <w:t>Industrial Manager</w:t>
            </w:r>
          </w:p>
        </w:tc>
        <w:tc>
          <w:tcPr>
            <w:tcW w:w="1617" w:type="dxa"/>
            <w:gridSpan w:val="2"/>
            <w:hideMark/>
          </w:tcPr>
          <w:p w14:paraId="50DEB34B" w14:textId="1643E632" w:rsidR="00F40687" w:rsidRPr="000973F2" w:rsidRDefault="00F40687" w:rsidP="009C3B79">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18"/>
                <w:szCs w:val="18"/>
              </w:rPr>
            </w:pPr>
            <w:r w:rsidRPr="000973F2">
              <w:rPr>
                <w:rFonts w:ascii="Times New Roman" w:eastAsia="Times New Roman" w:hAnsi="Times New Roman" w:cs="Times New Roman"/>
                <w:b/>
                <w:bCs/>
                <w:sz w:val="18"/>
                <w:szCs w:val="18"/>
              </w:rPr>
              <w:t>Industrial Engineer/</w:t>
            </w:r>
            <w:r w:rsidR="009C3B79" w:rsidRPr="000973F2">
              <w:rPr>
                <w:rFonts w:ascii="Times New Roman" w:eastAsia="Times New Roman" w:hAnsi="Times New Roman" w:cs="Times New Roman"/>
                <w:b/>
                <w:bCs/>
                <w:sz w:val="18"/>
                <w:szCs w:val="18"/>
              </w:rPr>
              <w:t xml:space="preserve"> </w:t>
            </w:r>
            <w:r w:rsidRPr="000973F2">
              <w:rPr>
                <w:rFonts w:ascii="Times New Roman" w:eastAsia="Times New Roman" w:hAnsi="Times New Roman" w:cs="Times New Roman"/>
                <w:b/>
                <w:bCs/>
                <w:sz w:val="18"/>
                <w:szCs w:val="18"/>
              </w:rPr>
              <w:t>Technician</w:t>
            </w:r>
          </w:p>
        </w:tc>
        <w:tc>
          <w:tcPr>
            <w:tcW w:w="1618" w:type="dxa"/>
            <w:gridSpan w:val="2"/>
            <w:hideMark/>
          </w:tcPr>
          <w:p w14:paraId="0A912DF9" w14:textId="77777777" w:rsidR="00F40687" w:rsidRPr="000973F2" w:rsidRDefault="00F40687" w:rsidP="009C3B79">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18"/>
                <w:szCs w:val="18"/>
              </w:rPr>
            </w:pPr>
            <w:r w:rsidRPr="000973F2">
              <w:rPr>
                <w:rFonts w:ascii="Times New Roman" w:eastAsia="Times New Roman" w:hAnsi="Times New Roman" w:cs="Times New Roman"/>
                <w:b/>
                <w:bCs/>
                <w:sz w:val="18"/>
                <w:szCs w:val="18"/>
              </w:rPr>
              <w:t>Administrative Support</w:t>
            </w:r>
          </w:p>
        </w:tc>
        <w:tc>
          <w:tcPr>
            <w:tcW w:w="1529" w:type="dxa"/>
            <w:gridSpan w:val="2"/>
            <w:vMerge/>
            <w:hideMark/>
          </w:tcPr>
          <w:p w14:paraId="7E9D683E" w14:textId="77777777" w:rsidR="00F40687" w:rsidRPr="000973F2" w:rsidRDefault="00F40687" w:rsidP="009C3B79">
            <w:pPr>
              <w:spacing w:before="40" w:after="4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18"/>
                <w:szCs w:val="18"/>
              </w:rPr>
            </w:pPr>
          </w:p>
        </w:tc>
      </w:tr>
      <w:tr w:rsidR="00F40687" w:rsidRPr="000973F2" w14:paraId="41B694D7" w14:textId="77777777" w:rsidTr="00B6531F">
        <w:tblPrEx>
          <w:jc w:val="left"/>
        </w:tblPrEx>
        <w:trPr>
          <w:cantSplit/>
        </w:trPr>
        <w:tc>
          <w:tcPr>
            <w:cnfStyle w:val="001000000000" w:firstRow="0" w:lastRow="0" w:firstColumn="1" w:lastColumn="0" w:oddVBand="0" w:evenVBand="0" w:oddHBand="0" w:evenHBand="0" w:firstRowFirstColumn="0" w:firstRowLastColumn="0" w:lastRowFirstColumn="0" w:lastRowLastColumn="0"/>
            <w:tcW w:w="1331" w:type="dxa"/>
            <w:vMerge/>
            <w:hideMark/>
          </w:tcPr>
          <w:p w14:paraId="79D86D17" w14:textId="77777777" w:rsidR="00F40687" w:rsidRPr="000973F2" w:rsidRDefault="00F40687" w:rsidP="009C3B79">
            <w:pPr>
              <w:spacing w:before="40" w:after="40"/>
              <w:rPr>
                <w:rFonts w:ascii="Times New Roman" w:eastAsia="Times New Roman" w:hAnsi="Times New Roman" w:cs="Times New Roman"/>
                <w:b/>
                <w:bCs w:val="0"/>
                <w:sz w:val="18"/>
                <w:szCs w:val="18"/>
              </w:rPr>
            </w:pPr>
          </w:p>
        </w:tc>
        <w:tc>
          <w:tcPr>
            <w:tcW w:w="1617" w:type="dxa"/>
            <w:gridSpan w:val="2"/>
            <w:noWrap/>
            <w:hideMark/>
          </w:tcPr>
          <w:p w14:paraId="7EDDF2D4" w14:textId="77777777" w:rsidR="00F40687" w:rsidRPr="000973F2" w:rsidRDefault="00F40687" w:rsidP="009C3B79">
            <w:pPr>
              <w:spacing w:before="40" w:after="4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sz w:val="18"/>
                <w:szCs w:val="18"/>
              </w:rPr>
            </w:pPr>
            <w:r w:rsidRPr="000973F2">
              <w:rPr>
                <w:rFonts w:ascii="Times New Roman" w:eastAsia="Times New Roman" w:hAnsi="Times New Roman" w:cs="Times New Roman"/>
                <w:b/>
                <w:bCs/>
                <w:sz w:val="18"/>
                <w:szCs w:val="18"/>
              </w:rPr>
              <w:t xml:space="preserve">$112.23 </w:t>
            </w:r>
          </w:p>
        </w:tc>
        <w:tc>
          <w:tcPr>
            <w:tcW w:w="1618" w:type="dxa"/>
            <w:gridSpan w:val="2"/>
            <w:noWrap/>
            <w:hideMark/>
          </w:tcPr>
          <w:p w14:paraId="23B9A960" w14:textId="77777777" w:rsidR="00F40687" w:rsidRPr="000973F2" w:rsidRDefault="00F40687" w:rsidP="009C3B79">
            <w:pPr>
              <w:spacing w:before="40" w:after="4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sz w:val="18"/>
                <w:szCs w:val="18"/>
              </w:rPr>
            </w:pPr>
            <w:r w:rsidRPr="000973F2">
              <w:rPr>
                <w:rFonts w:ascii="Times New Roman" w:eastAsia="Times New Roman" w:hAnsi="Times New Roman" w:cs="Times New Roman"/>
                <w:b/>
                <w:bCs/>
                <w:sz w:val="18"/>
                <w:szCs w:val="18"/>
              </w:rPr>
              <w:t xml:space="preserve">$87.45 </w:t>
            </w:r>
          </w:p>
        </w:tc>
        <w:tc>
          <w:tcPr>
            <w:tcW w:w="1617" w:type="dxa"/>
            <w:gridSpan w:val="2"/>
            <w:noWrap/>
            <w:hideMark/>
          </w:tcPr>
          <w:p w14:paraId="24A3932E" w14:textId="77777777" w:rsidR="00F40687" w:rsidRPr="000973F2" w:rsidRDefault="00F40687" w:rsidP="009C3B79">
            <w:pPr>
              <w:spacing w:before="40" w:after="4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sz w:val="18"/>
                <w:szCs w:val="18"/>
              </w:rPr>
            </w:pPr>
            <w:r w:rsidRPr="000973F2">
              <w:rPr>
                <w:rFonts w:ascii="Times New Roman" w:eastAsia="Times New Roman" w:hAnsi="Times New Roman" w:cs="Times New Roman"/>
                <w:b/>
                <w:bCs/>
                <w:sz w:val="18"/>
                <w:szCs w:val="18"/>
              </w:rPr>
              <w:t xml:space="preserve">$71.45 </w:t>
            </w:r>
          </w:p>
        </w:tc>
        <w:tc>
          <w:tcPr>
            <w:tcW w:w="1618" w:type="dxa"/>
            <w:gridSpan w:val="2"/>
            <w:noWrap/>
            <w:hideMark/>
          </w:tcPr>
          <w:p w14:paraId="3252143E" w14:textId="77777777" w:rsidR="00F40687" w:rsidRPr="000973F2" w:rsidRDefault="00F40687" w:rsidP="009C3B79">
            <w:pPr>
              <w:spacing w:before="40" w:after="4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sz w:val="18"/>
                <w:szCs w:val="18"/>
              </w:rPr>
            </w:pPr>
            <w:r w:rsidRPr="000973F2">
              <w:rPr>
                <w:rFonts w:ascii="Times New Roman" w:eastAsia="Times New Roman" w:hAnsi="Times New Roman" w:cs="Times New Roman"/>
                <w:b/>
                <w:bCs/>
                <w:sz w:val="18"/>
                <w:szCs w:val="18"/>
              </w:rPr>
              <w:t xml:space="preserve">$36.28 </w:t>
            </w:r>
          </w:p>
        </w:tc>
        <w:tc>
          <w:tcPr>
            <w:tcW w:w="1529" w:type="dxa"/>
            <w:gridSpan w:val="2"/>
            <w:vMerge/>
            <w:hideMark/>
          </w:tcPr>
          <w:p w14:paraId="11DF61C6" w14:textId="77777777" w:rsidR="00F40687" w:rsidRPr="000973F2" w:rsidRDefault="00F40687" w:rsidP="009C3B79">
            <w:pPr>
              <w:spacing w:before="40" w:after="4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sz w:val="18"/>
                <w:szCs w:val="18"/>
              </w:rPr>
            </w:pPr>
          </w:p>
        </w:tc>
      </w:tr>
      <w:tr w:rsidR="009C3B79" w:rsidRPr="000973F2" w14:paraId="49E81CCE" w14:textId="77777777" w:rsidTr="009C3B79">
        <w:tblPrEx>
          <w:jc w:val="left"/>
        </w:tblPrEx>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1331" w:type="dxa"/>
            <w:vMerge/>
            <w:hideMark/>
          </w:tcPr>
          <w:p w14:paraId="1478C085" w14:textId="77777777" w:rsidR="00F40687" w:rsidRPr="000973F2" w:rsidRDefault="00F40687" w:rsidP="009C3B79">
            <w:pPr>
              <w:spacing w:before="40" w:after="40"/>
              <w:rPr>
                <w:rFonts w:ascii="Times New Roman" w:eastAsia="Times New Roman" w:hAnsi="Times New Roman" w:cs="Times New Roman"/>
                <w:b/>
                <w:bCs w:val="0"/>
                <w:sz w:val="18"/>
                <w:szCs w:val="18"/>
              </w:rPr>
            </w:pPr>
          </w:p>
        </w:tc>
        <w:tc>
          <w:tcPr>
            <w:tcW w:w="808" w:type="dxa"/>
            <w:tcMar>
              <w:left w:w="14" w:type="dxa"/>
              <w:right w:w="14" w:type="dxa"/>
            </w:tcMar>
            <w:hideMark/>
          </w:tcPr>
          <w:p w14:paraId="458BE527" w14:textId="4DCA0B4B" w:rsidR="00F40687" w:rsidRPr="000973F2" w:rsidRDefault="00F40687" w:rsidP="009C3B79">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18"/>
                <w:szCs w:val="18"/>
              </w:rPr>
            </w:pPr>
            <w:r w:rsidRPr="000973F2">
              <w:rPr>
                <w:rFonts w:ascii="Times New Roman" w:eastAsia="Times New Roman" w:hAnsi="Times New Roman" w:cs="Times New Roman"/>
                <w:b/>
                <w:bCs/>
                <w:sz w:val="18"/>
                <w:szCs w:val="18"/>
              </w:rPr>
              <w:t xml:space="preserve">Initial </w:t>
            </w:r>
            <w:r w:rsidR="00132320" w:rsidRPr="000973F2">
              <w:rPr>
                <w:rFonts w:ascii="Times New Roman" w:eastAsia="Times New Roman" w:hAnsi="Times New Roman" w:cs="Times New Roman"/>
                <w:b/>
                <w:bCs/>
                <w:sz w:val="18"/>
                <w:szCs w:val="18"/>
              </w:rPr>
              <w:t>Year Hours</w:t>
            </w:r>
          </w:p>
        </w:tc>
        <w:tc>
          <w:tcPr>
            <w:tcW w:w="809" w:type="dxa"/>
            <w:tcMar>
              <w:left w:w="14" w:type="dxa"/>
              <w:right w:w="14" w:type="dxa"/>
            </w:tcMar>
            <w:hideMark/>
          </w:tcPr>
          <w:p w14:paraId="74A19B9A" w14:textId="799194F0" w:rsidR="00F40687" w:rsidRPr="000973F2" w:rsidRDefault="00F40687" w:rsidP="009C3B79">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18"/>
                <w:szCs w:val="18"/>
              </w:rPr>
            </w:pPr>
            <w:r w:rsidRPr="000973F2">
              <w:rPr>
                <w:rFonts w:ascii="Times New Roman" w:eastAsia="Times New Roman" w:hAnsi="Times New Roman" w:cs="Times New Roman"/>
                <w:b/>
                <w:bCs/>
                <w:sz w:val="18"/>
                <w:szCs w:val="18"/>
              </w:rPr>
              <w:t xml:space="preserve">Subseq. </w:t>
            </w:r>
            <w:r w:rsidR="00132320" w:rsidRPr="000973F2">
              <w:rPr>
                <w:rFonts w:ascii="Times New Roman" w:eastAsia="Times New Roman" w:hAnsi="Times New Roman" w:cs="Times New Roman"/>
                <w:b/>
                <w:bCs/>
                <w:sz w:val="18"/>
                <w:szCs w:val="18"/>
              </w:rPr>
              <w:t>Year Hours</w:t>
            </w:r>
          </w:p>
        </w:tc>
        <w:tc>
          <w:tcPr>
            <w:tcW w:w="809" w:type="dxa"/>
            <w:tcMar>
              <w:left w:w="14" w:type="dxa"/>
              <w:right w:w="14" w:type="dxa"/>
            </w:tcMar>
            <w:hideMark/>
          </w:tcPr>
          <w:p w14:paraId="5A4C30FB" w14:textId="16B124A7" w:rsidR="00F40687" w:rsidRPr="000973F2" w:rsidRDefault="00F40687" w:rsidP="009C3B79">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18"/>
                <w:szCs w:val="18"/>
              </w:rPr>
            </w:pPr>
            <w:r w:rsidRPr="000973F2">
              <w:rPr>
                <w:rFonts w:ascii="Times New Roman" w:eastAsia="Times New Roman" w:hAnsi="Times New Roman" w:cs="Times New Roman"/>
                <w:b/>
                <w:bCs/>
                <w:sz w:val="18"/>
                <w:szCs w:val="18"/>
              </w:rPr>
              <w:t xml:space="preserve">Initial </w:t>
            </w:r>
            <w:r w:rsidR="00132320" w:rsidRPr="000973F2">
              <w:rPr>
                <w:rFonts w:ascii="Times New Roman" w:eastAsia="Times New Roman" w:hAnsi="Times New Roman" w:cs="Times New Roman"/>
                <w:b/>
                <w:bCs/>
                <w:sz w:val="18"/>
                <w:szCs w:val="18"/>
              </w:rPr>
              <w:t>Year Hours</w:t>
            </w:r>
          </w:p>
        </w:tc>
        <w:tc>
          <w:tcPr>
            <w:tcW w:w="809" w:type="dxa"/>
            <w:tcMar>
              <w:left w:w="14" w:type="dxa"/>
              <w:right w:w="14" w:type="dxa"/>
            </w:tcMar>
            <w:hideMark/>
          </w:tcPr>
          <w:p w14:paraId="7096541B" w14:textId="06489067" w:rsidR="00F40687" w:rsidRPr="000973F2" w:rsidRDefault="00F40687" w:rsidP="009C3B79">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18"/>
                <w:szCs w:val="18"/>
              </w:rPr>
            </w:pPr>
            <w:r w:rsidRPr="000973F2">
              <w:rPr>
                <w:rFonts w:ascii="Times New Roman" w:eastAsia="Times New Roman" w:hAnsi="Times New Roman" w:cs="Times New Roman"/>
                <w:b/>
                <w:bCs/>
                <w:sz w:val="18"/>
                <w:szCs w:val="18"/>
              </w:rPr>
              <w:t xml:space="preserve">Subseq. </w:t>
            </w:r>
            <w:r w:rsidR="00132320" w:rsidRPr="000973F2">
              <w:rPr>
                <w:rFonts w:ascii="Times New Roman" w:eastAsia="Times New Roman" w:hAnsi="Times New Roman" w:cs="Times New Roman"/>
                <w:b/>
                <w:bCs/>
                <w:sz w:val="18"/>
                <w:szCs w:val="18"/>
              </w:rPr>
              <w:t>Year Hours</w:t>
            </w:r>
          </w:p>
        </w:tc>
        <w:tc>
          <w:tcPr>
            <w:tcW w:w="808" w:type="dxa"/>
            <w:tcMar>
              <w:left w:w="14" w:type="dxa"/>
              <w:right w:w="14" w:type="dxa"/>
            </w:tcMar>
            <w:hideMark/>
          </w:tcPr>
          <w:p w14:paraId="049725E9" w14:textId="1132BE96" w:rsidR="00F40687" w:rsidRPr="000973F2" w:rsidRDefault="00F40687" w:rsidP="009C3B79">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18"/>
                <w:szCs w:val="18"/>
              </w:rPr>
            </w:pPr>
            <w:r w:rsidRPr="000973F2">
              <w:rPr>
                <w:rFonts w:ascii="Times New Roman" w:eastAsia="Times New Roman" w:hAnsi="Times New Roman" w:cs="Times New Roman"/>
                <w:b/>
                <w:bCs/>
                <w:sz w:val="18"/>
                <w:szCs w:val="18"/>
              </w:rPr>
              <w:t xml:space="preserve">Initial </w:t>
            </w:r>
            <w:r w:rsidR="00132320" w:rsidRPr="000973F2">
              <w:rPr>
                <w:rFonts w:ascii="Times New Roman" w:eastAsia="Times New Roman" w:hAnsi="Times New Roman" w:cs="Times New Roman"/>
                <w:b/>
                <w:bCs/>
                <w:sz w:val="18"/>
                <w:szCs w:val="18"/>
              </w:rPr>
              <w:t>Year Hours</w:t>
            </w:r>
          </w:p>
        </w:tc>
        <w:tc>
          <w:tcPr>
            <w:tcW w:w="809" w:type="dxa"/>
            <w:tcMar>
              <w:left w:w="14" w:type="dxa"/>
              <w:right w:w="14" w:type="dxa"/>
            </w:tcMar>
            <w:hideMark/>
          </w:tcPr>
          <w:p w14:paraId="5AD172C8" w14:textId="6712764B" w:rsidR="00F40687" w:rsidRPr="000973F2" w:rsidRDefault="00F40687" w:rsidP="009C3B79">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18"/>
                <w:szCs w:val="18"/>
              </w:rPr>
            </w:pPr>
            <w:r w:rsidRPr="000973F2">
              <w:rPr>
                <w:rFonts w:ascii="Times New Roman" w:eastAsia="Times New Roman" w:hAnsi="Times New Roman" w:cs="Times New Roman"/>
                <w:b/>
                <w:bCs/>
                <w:sz w:val="18"/>
                <w:szCs w:val="18"/>
              </w:rPr>
              <w:t xml:space="preserve">Subseq. </w:t>
            </w:r>
            <w:r w:rsidR="00132320" w:rsidRPr="000973F2">
              <w:rPr>
                <w:rFonts w:ascii="Times New Roman" w:eastAsia="Times New Roman" w:hAnsi="Times New Roman" w:cs="Times New Roman"/>
                <w:b/>
                <w:bCs/>
                <w:sz w:val="18"/>
                <w:szCs w:val="18"/>
              </w:rPr>
              <w:t>Year Hours</w:t>
            </w:r>
          </w:p>
        </w:tc>
        <w:tc>
          <w:tcPr>
            <w:tcW w:w="809" w:type="dxa"/>
            <w:tcMar>
              <w:left w:w="14" w:type="dxa"/>
              <w:right w:w="14" w:type="dxa"/>
            </w:tcMar>
            <w:hideMark/>
          </w:tcPr>
          <w:p w14:paraId="56D4D380" w14:textId="200AB0D4" w:rsidR="00F40687" w:rsidRPr="000973F2" w:rsidRDefault="00F40687" w:rsidP="009C3B79">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18"/>
                <w:szCs w:val="18"/>
              </w:rPr>
            </w:pPr>
            <w:r w:rsidRPr="000973F2">
              <w:rPr>
                <w:rFonts w:ascii="Times New Roman" w:eastAsia="Times New Roman" w:hAnsi="Times New Roman" w:cs="Times New Roman"/>
                <w:b/>
                <w:bCs/>
                <w:sz w:val="18"/>
                <w:szCs w:val="18"/>
              </w:rPr>
              <w:t xml:space="preserve">Initial </w:t>
            </w:r>
            <w:r w:rsidR="00132320" w:rsidRPr="000973F2">
              <w:rPr>
                <w:rFonts w:ascii="Times New Roman" w:eastAsia="Times New Roman" w:hAnsi="Times New Roman" w:cs="Times New Roman"/>
                <w:b/>
                <w:bCs/>
                <w:sz w:val="18"/>
                <w:szCs w:val="18"/>
              </w:rPr>
              <w:t>Year Hours</w:t>
            </w:r>
          </w:p>
        </w:tc>
        <w:tc>
          <w:tcPr>
            <w:tcW w:w="809" w:type="dxa"/>
            <w:tcMar>
              <w:left w:w="14" w:type="dxa"/>
              <w:right w:w="14" w:type="dxa"/>
            </w:tcMar>
            <w:hideMark/>
          </w:tcPr>
          <w:p w14:paraId="71F580F4" w14:textId="7342BAB9" w:rsidR="00F40687" w:rsidRPr="000973F2" w:rsidRDefault="00F40687" w:rsidP="009C3B79">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18"/>
                <w:szCs w:val="18"/>
              </w:rPr>
            </w:pPr>
            <w:r w:rsidRPr="000973F2">
              <w:rPr>
                <w:rFonts w:ascii="Times New Roman" w:eastAsia="Times New Roman" w:hAnsi="Times New Roman" w:cs="Times New Roman"/>
                <w:b/>
                <w:bCs/>
                <w:sz w:val="18"/>
                <w:szCs w:val="18"/>
              </w:rPr>
              <w:t xml:space="preserve">Subseq. </w:t>
            </w:r>
            <w:r w:rsidR="00132320" w:rsidRPr="000973F2">
              <w:rPr>
                <w:rFonts w:ascii="Times New Roman" w:eastAsia="Times New Roman" w:hAnsi="Times New Roman" w:cs="Times New Roman"/>
                <w:b/>
                <w:bCs/>
                <w:sz w:val="18"/>
                <w:szCs w:val="18"/>
              </w:rPr>
              <w:t>Year Hours</w:t>
            </w:r>
          </w:p>
        </w:tc>
        <w:tc>
          <w:tcPr>
            <w:tcW w:w="701" w:type="dxa"/>
            <w:tcMar>
              <w:left w:w="14" w:type="dxa"/>
              <w:right w:w="14" w:type="dxa"/>
            </w:tcMar>
            <w:hideMark/>
          </w:tcPr>
          <w:p w14:paraId="72610DEB" w14:textId="77777777" w:rsidR="00F40687" w:rsidRPr="000973F2" w:rsidRDefault="00F40687" w:rsidP="009C3B79">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18"/>
                <w:szCs w:val="18"/>
              </w:rPr>
            </w:pPr>
            <w:r w:rsidRPr="000973F2">
              <w:rPr>
                <w:rFonts w:ascii="Times New Roman" w:eastAsia="Times New Roman" w:hAnsi="Times New Roman" w:cs="Times New Roman"/>
                <w:b/>
                <w:bCs/>
                <w:sz w:val="18"/>
                <w:szCs w:val="18"/>
              </w:rPr>
              <w:t>Initial Year</w:t>
            </w:r>
          </w:p>
        </w:tc>
        <w:tc>
          <w:tcPr>
            <w:tcW w:w="828" w:type="dxa"/>
            <w:tcMar>
              <w:left w:w="14" w:type="dxa"/>
              <w:right w:w="14" w:type="dxa"/>
            </w:tcMar>
            <w:hideMark/>
          </w:tcPr>
          <w:p w14:paraId="105FE530" w14:textId="77777777" w:rsidR="00F40687" w:rsidRPr="000973F2" w:rsidRDefault="00F40687" w:rsidP="009C3B79">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18"/>
                <w:szCs w:val="18"/>
              </w:rPr>
            </w:pPr>
            <w:r w:rsidRPr="000973F2">
              <w:rPr>
                <w:rFonts w:ascii="Times New Roman" w:eastAsia="Times New Roman" w:hAnsi="Times New Roman" w:cs="Times New Roman"/>
                <w:b/>
                <w:bCs/>
                <w:sz w:val="18"/>
                <w:szCs w:val="18"/>
              </w:rPr>
              <w:t>Subseq. Year</w:t>
            </w:r>
          </w:p>
        </w:tc>
      </w:tr>
      <w:tr w:rsidR="003E005F" w:rsidRPr="000973F2" w14:paraId="71B64138" w14:textId="77777777" w:rsidTr="00B6531F">
        <w:tblPrEx>
          <w:jc w:val="left"/>
        </w:tblPrEx>
        <w:trPr>
          <w:cantSplit/>
        </w:trPr>
        <w:tc>
          <w:tcPr>
            <w:cnfStyle w:val="001000000000" w:firstRow="0" w:lastRow="0" w:firstColumn="1" w:lastColumn="0" w:oddVBand="0" w:evenVBand="0" w:oddHBand="0" w:evenHBand="0" w:firstRowFirstColumn="0" w:firstRowLastColumn="0" w:lastRowFirstColumn="0" w:lastRowLastColumn="0"/>
            <w:tcW w:w="1331" w:type="dxa"/>
            <w:hideMark/>
          </w:tcPr>
          <w:p w14:paraId="68A5F7C8" w14:textId="77777777" w:rsidR="003E005F" w:rsidRPr="000973F2" w:rsidRDefault="003E005F" w:rsidP="009C3B79">
            <w:pPr>
              <w:spacing w:before="40" w:after="4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Planning</w:t>
            </w:r>
          </w:p>
        </w:tc>
        <w:tc>
          <w:tcPr>
            <w:tcW w:w="808" w:type="dxa"/>
            <w:noWrap/>
            <w:hideMark/>
          </w:tcPr>
          <w:p w14:paraId="421F918B" w14:textId="4D4519AE" w:rsidR="003E005F" w:rsidRPr="000973F2" w:rsidRDefault="009C3B79" w:rsidP="00B960CC">
            <w:pPr>
              <w:spacing w:before="40" w:after="4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w:t>
            </w:r>
          </w:p>
        </w:tc>
        <w:tc>
          <w:tcPr>
            <w:tcW w:w="809" w:type="dxa"/>
            <w:noWrap/>
            <w:hideMark/>
          </w:tcPr>
          <w:p w14:paraId="501F4BD3" w14:textId="6EF6FEC0" w:rsidR="003E005F" w:rsidRPr="000973F2" w:rsidRDefault="009C3B79" w:rsidP="00B960CC">
            <w:pPr>
              <w:spacing w:before="40" w:after="4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w:t>
            </w:r>
          </w:p>
        </w:tc>
        <w:tc>
          <w:tcPr>
            <w:tcW w:w="809" w:type="dxa"/>
            <w:noWrap/>
            <w:hideMark/>
          </w:tcPr>
          <w:p w14:paraId="5BACBEAF" w14:textId="14980416" w:rsidR="003E005F" w:rsidRPr="000973F2" w:rsidRDefault="009C3B79" w:rsidP="00B960CC">
            <w:pPr>
              <w:spacing w:before="40" w:after="4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w:t>
            </w:r>
          </w:p>
        </w:tc>
        <w:tc>
          <w:tcPr>
            <w:tcW w:w="809" w:type="dxa"/>
            <w:noWrap/>
            <w:hideMark/>
          </w:tcPr>
          <w:p w14:paraId="0D1C2209" w14:textId="26E18F0B" w:rsidR="003E005F" w:rsidRPr="000973F2" w:rsidRDefault="009C3B79" w:rsidP="00B960CC">
            <w:pPr>
              <w:tabs>
                <w:tab w:val="decimal" w:pos="301"/>
              </w:tabs>
              <w:spacing w:before="40" w:after="4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w:t>
            </w:r>
          </w:p>
        </w:tc>
        <w:tc>
          <w:tcPr>
            <w:tcW w:w="808" w:type="dxa"/>
            <w:noWrap/>
            <w:hideMark/>
          </w:tcPr>
          <w:p w14:paraId="0B525A50" w14:textId="363964AD" w:rsidR="003E005F" w:rsidRPr="000973F2" w:rsidRDefault="009C3B79" w:rsidP="00B960CC">
            <w:pPr>
              <w:spacing w:before="40" w:after="4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w:t>
            </w:r>
          </w:p>
        </w:tc>
        <w:tc>
          <w:tcPr>
            <w:tcW w:w="809" w:type="dxa"/>
            <w:noWrap/>
            <w:hideMark/>
          </w:tcPr>
          <w:p w14:paraId="715F5486" w14:textId="52D805DB" w:rsidR="003E005F" w:rsidRPr="000973F2" w:rsidRDefault="009C3B79" w:rsidP="00B960CC">
            <w:pPr>
              <w:spacing w:before="40" w:after="4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w:t>
            </w:r>
          </w:p>
        </w:tc>
        <w:tc>
          <w:tcPr>
            <w:tcW w:w="809" w:type="dxa"/>
            <w:noWrap/>
            <w:hideMark/>
          </w:tcPr>
          <w:p w14:paraId="713A91FC" w14:textId="44658790" w:rsidR="003E005F" w:rsidRPr="000973F2" w:rsidRDefault="009C3B79" w:rsidP="00B960CC">
            <w:pPr>
              <w:spacing w:before="40" w:after="4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w:t>
            </w:r>
          </w:p>
        </w:tc>
        <w:tc>
          <w:tcPr>
            <w:tcW w:w="809" w:type="dxa"/>
            <w:noWrap/>
            <w:hideMark/>
          </w:tcPr>
          <w:p w14:paraId="6EFF73BE" w14:textId="060E7376" w:rsidR="003E005F" w:rsidRPr="000973F2" w:rsidRDefault="009C3B79" w:rsidP="00B960CC">
            <w:pPr>
              <w:tabs>
                <w:tab w:val="decimal" w:pos="271"/>
              </w:tabs>
              <w:spacing w:before="40" w:after="4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w:t>
            </w:r>
          </w:p>
        </w:tc>
        <w:tc>
          <w:tcPr>
            <w:tcW w:w="701" w:type="dxa"/>
            <w:noWrap/>
            <w:hideMark/>
          </w:tcPr>
          <w:p w14:paraId="59084253" w14:textId="737028AA" w:rsidR="003E005F" w:rsidRPr="000973F2" w:rsidRDefault="009C3B79" w:rsidP="00B960CC">
            <w:pPr>
              <w:spacing w:before="40" w:after="4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w:t>
            </w:r>
          </w:p>
        </w:tc>
        <w:tc>
          <w:tcPr>
            <w:tcW w:w="828" w:type="dxa"/>
            <w:noWrap/>
            <w:hideMark/>
          </w:tcPr>
          <w:p w14:paraId="2CE53F33" w14:textId="30D507CE" w:rsidR="003E005F" w:rsidRPr="000973F2" w:rsidRDefault="009C3B79" w:rsidP="00B960CC">
            <w:pPr>
              <w:tabs>
                <w:tab w:val="decimal" w:pos="421"/>
              </w:tabs>
              <w:spacing w:before="40" w:after="4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w:t>
            </w:r>
          </w:p>
        </w:tc>
      </w:tr>
      <w:tr w:rsidR="009C3B79" w:rsidRPr="000973F2" w14:paraId="0282FFA9" w14:textId="77777777" w:rsidTr="009C3B79">
        <w:tblPrEx>
          <w:jc w:val="left"/>
        </w:tblPrEx>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1331" w:type="dxa"/>
            <w:hideMark/>
          </w:tcPr>
          <w:p w14:paraId="77F0FC4C" w14:textId="77777777" w:rsidR="003E005F" w:rsidRPr="000973F2" w:rsidRDefault="003E005F" w:rsidP="009C3B79">
            <w:pPr>
              <w:spacing w:before="40" w:after="4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QA/QC</w:t>
            </w:r>
          </w:p>
        </w:tc>
        <w:tc>
          <w:tcPr>
            <w:tcW w:w="808" w:type="dxa"/>
            <w:noWrap/>
            <w:hideMark/>
          </w:tcPr>
          <w:p w14:paraId="730BF2A8" w14:textId="77994206" w:rsidR="003E005F" w:rsidRPr="000973F2" w:rsidRDefault="009C3B79" w:rsidP="00B960CC">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w:t>
            </w:r>
          </w:p>
        </w:tc>
        <w:tc>
          <w:tcPr>
            <w:tcW w:w="809" w:type="dxa"/>
            <w:noWrap/>
            <w:hideMark/>
          </w:tcPr>
          <w:p w14:paraId="2C690B65" w14:textId="4D86D85D" w:rsidR="003E005F" w:rsidRPr="000973F2" w:rsidRDefault="009C3B79" w:rsidP="00B960CC">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w:t>
            </w:r>
          </w:p>
        </w:tc>
        <w:tc>
          <w:tcPr>
            <w:tcW w:w="809" w:type="dxa"/>
            <w:noWrap/>
            <w:hideMark/>
          </w:tcPr>
          <w:p w14:paraId="54E6FEFA" w14:textId="49274F1C" w:rsidR="003E005F" w:rsidRPr="000973F2" w:rsidRDefault="009C3B79" w:rsidP="00B960CC">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w:t>
            </w:r>
          </w:p>
        </w:tc>
        <w:tc>
          <w:tcPr>
            <w:tcW w:w="809" w:type="dxa"/>
            <w:noWrap/>
            <w:hideMark/>
          </w:tcPr>
          <w:p w14:paraId="3CD09C21" w14:textId="0412D186" w:rsidR="003E005F" w:rsidRPr="000973F2" w:rsidRDefault="009C3B79" w:rsidP="00B960CC">
            <w:pPr>
              <w:tabs>
                <w:tab w:val="decimal" w:pos="301"/>
              </w:tabs>
              <w:spacing w:before="40" w:after="4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w:t>
            </w:r>
          </w:p>
        </w:tc>
        <w:tc>
          <w:tcPr>
            <w:tcW w:w="808" w:type="dxa"/>
            <w:noWrap/>
            <w:hideMark/>
          </w:tcPr>
          <w:p w14:paraId="2A0279A1" w14:textId="60FCA7D1" w:rsidR="003E005F" w:rsidRPr="000973F2" w:rsidRDefault="009C3B79" w:rsidP="00B960CC">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w:t>
            </w:r>
          </w:p>
        </w:tc>
        <w:tc>
          <w:tcPr>
            <w:tcW w:w="809" w:type="dxa"/>
            <w:noWrap/>
            <w:hideMark/>
          </w:tcPr>
          <w:p w14:paraId="3C00CE96" w14:textId="57BEE839" w:rsidR="003E005F" w:rsidRPr="000973F2" w:rsidRDefault="009C3B79" w:rsidP="00B960CC">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w:t>
            </w:r>
          </w:p>
        </w:tc>
        <w:tc>
          <w:tcPr>
            <w:tcW w:w="809" w:type="dxa"/>
            <w:noWrap/>
            <w:hideMark/>
          </w:tcPr>
          <w:p w14:paraId="060213B5" w14:textId="51DFB0BE" w:rsidR="003E005F" w:rsidRPr="000973F2" w:rsidRDefault="009C3B79" w:rsidP="00B960CC">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w:t>
            </w:r>
          </w:p>
        </w:tc>
        <w:tc>
          <w:tcPr>
            <w:tcW w:w="809" w:type="dxa"/>
            <w:noWrap/>
            <w:hideMark/>
          </w:tcPr>
          <w:p w14:paraId="18BAB79C" w14:textId="0D8C414B" w:rsidR="003E005F" w:rsidRPr="000973F2" w:rsidRDefault="009C3B79" w:rsidP="00B960CC">
            <w:pPr>
              <w:tabs>
                <w:tab w:val="decimal" w:pos="271"/>
              </w:tabs>
              <w:spacing w:before="40" w:after="4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w:t>
            </w:r>
          </w:p>
        </w:tc>
        <w:tc>
          <w:tcPr>
            <w:tcW w:w="701" w:type="dxa"/>
            <w:noWrap/>
            <w:hideMark/>
          </w:tcPr>
          <w:p w14:paraId="4E229FA2" w14:textId="58B18CAC" w:rsidR="003E005F" w:rsidRPr="000973F2" w:rsidRDefault="009C3B79" w:rsidP="00B960CC">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w:t>
            </w:r>
          </w:p>
        </w:tc>
        <w:tc>
          <w:tcPr>
            <w:tcW w:w="828" w:type="dxa"/>
            <w:noWrap/>
            <w:hideMark/>
          </w:tcPr>
          <w:p w14:paraId="2152DA07" w14:textId="2E6E85B1" w:rsidR="003E005F" w:rsidRPr="000973F2" w:rsidRDefault="009C3B79" w:rsidP="00B960CC">
            <w:pPr>
              <w:tabs>
                <w:tab w:val="decimal" w:pos="421"/>
              </w:tabs>
              <w:spacing w:before="40" w:after="4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w:t>
            </w:r>
          </w:p>
        </w:tc>
      </w:tr>
      <w:tr w:rsidR="00F40687" w:rsidRPr="000973F2" w14:paraId="3D2432D6" w14:textId="77777777" w:rsidTr="00B6531F">
        <w:tblPrEx>
          <w:jc w:val="left"/>
        </w:tblPrEx>
        <w:trPr>
          <w:cantSplit/>
        </w:trPr>
        <w:tc>
          <w:tcPr>
            <w:cnfStyle w:val="001000000000" w:firstRow="0" w:lastRow="0" w:firstColumn="1" w:lastColumn="0" w:oddVBand="0" w:evenVBand="0" w:oddHBand="0" w:evenHBand="0" w:firstRowFirstColumn="0" w:firstRowLastColumn="0" w:lastRowFirstColumn="0" w:lastRowLastColumn="0"/>
            <w:tcW w:w="1331" w:type="dxa"/>
            <w:hideMark/>
          </w:tcPr>
          <w:p w14:paraId="7696A3F3" w14:textId="77777777" w:rsidR="00F40687" w:rsidRPr="000973F2" w:rsidRDefault="00F40687" w:rsidP="009C3B79">
            <w:pPr>
              <w:spacing w:before="40" w:after="4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Recordkeeping</w:t>
            </w:r>
          </w:p>
        </w:tc>
        <w:tc>
          <w:tcPr>
            <w:tcW w:w="808" w:type="dxa"/>
            <w:noWrap/>
            <w:hideMark/>
          </w:tcPr>
          <w:p w14:paraId="0C1C8BE8" w14:textId="77777777" w:rsidR="00F40687" w:rsidRPr="000973F2" w:rsidRDefault="00F40687" w:rsidP="00B960CC">
            <w:pPr>
              <w:spacing w:before="40" w:after="4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0</w:t>
            </w:r>
          </w:p>
        </w:tc>
        <w:tc>
          <w:tcPr>
            <w:tcW w:w="809" w:type="dxa"/>
            <w:noWrap/>
            <w:hideMark/>
          </w:tcPr>
          <w:p w14:paraId="3E2FF99B" w14:textId="77777777" w:rsidR="00F40687" w:rsidRPr="000973F2" w:rsidRDefault="00F40687" w:rsidP="00B960CC">
            <w:pPr>
              <w:spacing w:before="40" w:after="4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0</w:t>
            </w:r>
          </w:p>
        </w:tc>
        <w:tc>
          <w:tcPr>
            <w:tcW w:w="809" w:type="dxa"/>
            <w:noWrap/>
            <w:hideMark/>
          </w:tcPr>
          <w:p w14:paraId="51877D3C" w14:textId="77777777" w:rsidR="00F40687" w:rsidRPr="000973F2" w:rsidRDefault="00F40687" w:rsidP="00B960CC">
            <w:pPr>
              <w:spacing w:before="40" w:after="4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0</w:t>
            </w:r>
          </w:p>
        </w:tc>
        <w:tc>
          <w:tcPr>
            <w:tcW w:w="809" w:type="dxa"/>
            <w:noWrap/>
            <w:hideMark/>
          </w:tcPr>
          <w:p w14:paraId="55DC3D0A" w14:textId="77777777" w:rsidR="00F40687" w:rsidRPr="000973F2" w:rsidRDefault="00F40687" w:rsidP="00B960CC">
            <w:pPr>
              <w:tabs>
                <w:tab w:val="decimal" w:pos="301"/>
              </w:tabs>
              <w:spacing w:before="40" w:after="4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0.5</w:t>
            </w:r>
          </w:p>
        </w:tc>
        <w:tc>
          <w:tcPr>
            <w:tcW w:w="808" w:type="dxa"/>
            <w:noWrap/>
            <w:hideMark/>
          </w:tcPr>
          <w:p w14:paraId="7D1E8517" w14:textId="77777777" w:rsidR="00F40687" w:rsidRPr="000973F2" w:rsidRDefault="00F40687" w:rsidP="00B960CC">
            <w:pPr>
              <w:spacing w:before="40" w:after="4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0</w:t>
            </w:r>
          </w:p>
        </w:tc>
        <w:tc>
          <w:tcPr>
            <w:tcW w:w="809" w:type="dxa"/>
            <w:noWrap/>
            <w:hideMark/>
          </w:tcPr>
          <w:p w14:paraId="16E4C91B" w14:textId="77777777" w:rsidR="00F40687" w:rsidRPr="000973F2" w:rsidRDefault="00F40687" w:rsidP="00B960CC">
            <w:pPr>
              <w:spacing w:before="40" w:after="4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2</w:t>
            </w:r>
          </w:p>
        </w:tc>
        <w:tc>
          <w:tcPr>
            <w:tcW w:w="809" w:type="dxa"/>
            <w:noWrap/>
            <w:hideMark/>
          </w:tcPr>
          <w:p w14:paraId="6203CD20" w14:textId="77777777" w:rsidR="00F40687" w:rsidRPr="000973F2" w:rsidRDefault="00F40687" w:rsidP="00B960CC">
            <w:pPr>
              <w:spacing w:before="40" w:after="4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0</w:t>
            </w:r>
          </w:p>
        </w:tc>
        <w:tc>
          <w:tcPr>
            <w:tcW w:w="809" w:type="dxa"/>
            <w:noWrap/>
            <w:hideMark/>
          </w:tcPr>
          <w:p w14:paraId="46E126EE" w14:textId="77777777" w:rsidR="00F40687" w:rsidRPr="000973F2" w:rsidRDefault="00F40687" w:rsidP="00B960CC">
            <w:pPr>
              <w:tabs>
                <w:tab w:val="decimal" w:pos="271"/>
              </w:tabs>
              <w:spacing w:before="40" w:after="4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0.5</w:t>
            </w:r>
          </w:p>
        </w:tc>
        <w:tc>
          <w:tcPr>
            <w:tcW w:w="701" w:type="dxa"/>
            <w:noWrap/>
            <w:hideMark/>
          </w:tcPr>
          <w:p w14:paraId="469F5E4A" w14:textId="24068E4C" w:rsidR="00F40687" w:rsidRPr="000973F2" w:rsidRDefault="00F40687" w:rsidP="00B960CC">
            <w:pPr>
              <w:spacing w:before="40" w:after="4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$0</w:t>
            </w:r>
          </w:p>
        </w:tc>
        <w:tc>
          <w:tcPr>
            <w:tcW w:w="828" w:type="dxa"/>
            <w:noWrap/>
            <w:hideMark/>
          </w:tcPr>
          <w:p w14:paraId="6AF110F3" w14:textId="2A8DD027" w:rsidR="00F40687" w:rsidRPr="000973F2" w:rsidRDefault="00F40687" w:rsidP="00B960CC">
            <w:pPr>
              <w:tabs>
                <w:tab w:val="decimal" w:pos="421"/>
              </w:tabs>
              <w:spacing w:before="40" w:after="4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$205</w:t>
            </w:r>
          </w:p>
        </w:tc>
      </w:tr>
      <w:tr w:rsidR="009C3B79" w:rsidRPr="000973F2" w14:paraId="5A0D1B3F" w14:textId="77777777" w:rsidTr="009C3B79">
        <w:tblPrEx>
          <w:jc w:val="left"/>
        </w:tblPrEx>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1331" w:type="dxa"/>
            <w:hideMark/>
          </w:tcPr>
          <w:p w14:paraId="30BF1F9F" w14:textId="77777777" w:rsidR="00F40687" w:rsidRPr="000973F2" w:rsidRDefault="00F40687" w:rsidP="009C3B79">
            <w:pPr>
              <w:spacing w:before="40" w:after="4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Sampling and Analysis (Calculations)</w:t>
            </w:r>
          </w:p>
        </w:tc>
        <w:tc>
          <w:tcPr>
            <w:tcW w:w="808" w:type="dxa"/>
            <w:noWrap/>
            <w:hideMark/>
          </w:tcPr>
          <w:p w14:paraId="2F2CF579" w14:textId="77777777" w:rsidR="00F40687" w:rsidRPr="000973F2" w:rsidRDefault="00F40687" w:rsidP="00B960CC">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0</w:t>
            </w:r>
          </w:p>
        </w:tc>
        <w:tc>
          <w:tcPr>
            <w:tcW w:w="809" w:type="dxa"/>
            <w:noWrap/>
            <w:hideMark/>
          </w:tcPr>
          <w:p w14:paraId="6AD1ED35" w14:textId="77777777" w:rsidR="00F40687" w:rsidRPr="000973F2" w:rsidRDefault="00F40687" w:rsidP="00B960CC">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0</w:t>
            </w:r>
          </w:p>
        </w:tc>
        <w:tc>
          <w:tcPr>
            <w:tcW w:w="809" w:type="dxa"/>
            <w:noWrap/>
            <w:hideMark/>
          </w:tcPr>
          <w:p w14:paraId="12860AAF" w14:textId="77777777" w:rsidR="00F40687" w:rsidRPr="000973F2" w:rsidRDefault="00F40687" w:rsidP="00B960CC">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0</w:t>
            </w:r>
          </w:p>
        </w:tc>
        <w:tc>
          <w:tcPr>
            <w:tcW w:w="809" w:type="dxa"/>
            <w:noWrap/>
            <w:hideMark/>
          </w:tcPr>
          <w:p w14:paraId="3B549BF0" w14:textId="77777777" w:rsidR="00F40687" w:rsidRPr="000973F2" w:rsidRDefault="00F40687" w:rsidP="00B960CC">
            <w:pPr>
              <w:tabs>
                <w:tab w:val="decimal" w:pos="301"/>
              </w:tabs>
              <w:spacing w:before="40" w:after="4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0.2</w:t>
            </w:r>
          </w:p>
        </w:tc>
        <w:tc>
          <w:tcPr>
            <w:tcW w:w="808" w:type="dxa"/>
            <w:noWrap/>
            <w:hideMark/>
          </w:tcPr>
          <w:p w14:paraId="37EF2127" w14:textId="77777777" w:rsidR="00F40687" w:rsidRPr="000973F2" w:rsidRDefault="00F40687" w:rsidP="00B960CC">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0</w:t>
            </w:r>
          </w:p>
        </w:tc>
        <w:tc>
          <w:tcPr>
            <w:tcW w:w="809" w:type="dxa"/>
            <w:noWrap/>
            <w:hideMark/>
          </w:tcPr>
          <w:p w14:paraId="6BD79C46" w14:textId="77777777" w:rsidR="00F40687" w:rsidRPr="000973F2" w:rsidRDefault="00F40687" w:rsidP="00B960CC">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2</w:t>
            </w:r>
          </w:p>
        </w:tc>
        <w:tc>
          <w:tcPr>
            <w:tcW w:w="809" w:type="dxa"/>
            <w:noWrap/>
            <w:hideMark/>
          </w:tcPr>
          <w:p w14:paraId="499311BB" w14:textId="77777777" w:rsidR="00F40687" w:rsidRPr="000973F2" w:rsidRDefault="00F40687" w:rsidP="00B960CC">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0</w:t>
            </w:r>
          </w:p>
        </w:tc>
        <w:tc>
          <w:tcPr>
            <w:tcW w:w="809" w:type="dxa"/>
            <w:noWrap/>
            <w:hideMark/>
          </w:tcPr>
          <w:p w14:paraId="2A1C06C8" w14:textId="77777777" w:rsidR="00F40687" w:rsidRPr="000973F2" w:rsidRDefault="00F40687" w:rsidP="00B960CC">
            <w:pPr>
              <w:tabs>
                <w:tab w:val="decimal" w:pos="271"/>
              </w:tabs>
              <w:spacing w:before="40" w:after="4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0.1</w:t>
            </w:r>
          </w:p>
        </w:tc>
        <w:tc>
          <w:tcPr>
            <w:tcW w:w="701" w:type="dxa"/>
            <w:noWrap/>
            <w:hideMark/>
          </w:tcPr>
          <w:p w14:paraId="103CE3F3" w14:textId="1D773A24" w:rsidR="00F40687" w:rsidRPr="000973F2" w:rsidRDefault="00F40687" w:rsidP="00B960CC">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$0</w:t>
            </w:r>
          </w:p>
        </w:tc>
        <w:tc>
          <w:tcPr>
            <w:tcW w:w="828" w:type="dxa"/>
            <w:noWrap/>
            <w:hideMark/>
          </w:tcPr>
          <w:p w14:paraId="0B01AB16" w14:textId="01FE45FB" w:rsidR="00F40687" w:rsidRPr="000973F2" w:rsidRDefault="00F40687" w:rsidP="00B960CC">
            <w:pPr>
              <w:tabs>
                <w:tab w:val="decimal" w:pos="421"/>
              </w:tabs>
              <w:spacing w:before="40" w:after="4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$164</w:t>
            </w:r>
          </w:p>
        </w:tc>
      </w:tr>
      <w:tr w:rsidR="00FF36E8" w:rsidRPr="000973F2" w14:paraId="0463E96E" w14:textId="77777777" w:rsidTr="00B6531F">
        <w:tblPrEx>
          <w:jc w:val="left"/>
        </w:tblPrEx>
        <w:trPr>
          <w:cantSplit/>
        </w:trPr>
        <w:tc>
          <w:tcPr>
            <w:cnfStyle w:val="001000000000" w:firstRow="0" w:lastRow="0" w:firstColumn="1" w:lastColumn="0" w:oddVBand="0" w:evenVBand="0" w:oddHBand="0" w:evenHBand="0" w:firstRowFirstColumn="0" w:firstRowLastColumn="0" w:lastRowFirstColumn="0" w:lastRowLastColumn="0"/>
            <w:tcW w:w="1331" w:type="dxa"/>
            <w:hideMark/>
          </w:tcPr>
          <w:p w14:paraId="43DB18D4" w14:textId="77777777" w:rsidR="00F40687" w:rsidRPr="000973F2" w:rsidRDefault="00F40687" w:rsidP="009C3B79">
            <w:pPr>
              <w:spacing w:before="40" w:after="4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Reporting</w:t>
            </w:r>
          </w:p>
        </w:tc>
        <w:tc>
          <w:tcPr>
            <w:tcW w:w="808" w:type="dxa"/>
            <w:noWrap/>
            <w:hideMark/>
          </w:tcPr>
          <w:p w14:paraId="475447CB" w14:textId="77777777" w:rsidR="00F40687" w:rsidRPr="000973F2" w:rsidRDefault="00F40687" w:rsidP="00B960CC">
            <w:pPr>
              <w:spacing w:before="40" w:after="4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0</w:t>
            </w:r>
          </w:p>
        </w:tc>
        <w:tc>
          <w:tcPr>
            <w:tcW w:w="809" w:type="dxa"/>
            <w:noWrap/>
            <w:hideMark/>
          </w:tcPr>
          <w:p w14:paraId="07531B3B" w14:textId="77777777" w:rsidR="00F40687" w:rsidRPr="000973F2" w:rsidRDefault="00F40687" w:rsidP="00B960CC">
            <w:pPr>
              <w:spacing w:before="40" w:after="4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0</w:t>
            </w:r>
          </w:p>
        </w:tc>
        <w:tc>
          <w:tcPr>
            <w:tcW w:w="809" w:type="dxa"/>
            <w:noWrap/>
            <w:hideMark/>
          </w:tcPr>
          <w:p w14:paraId="1A4849CD" w14:textId="77777777" w:rsidR="00F40687" w:rsidRPr="000973F2" w:rsidRDefault="00F40687" w:rsidP="00B960CC">
            <w:pPr>
              <w:spacing w:before="40" w:after="4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0</w:t>
            </w:r>
          </w:p>
        </w:tc>
        <w:tc>
          <w:tcPr>
            <w:tcW w:w="809" w:type="dxa"/>
            <w:noWrap/>
            <w:hideMark/>
          </w:tcPr>
          <w:p w14:paraId="62440D1F" w14:textId="77777777" w:rsidR="00F40687" w:rsidRPr="000973F2" w:rsidRDefault="00F40687" w:rsidP="00B960CC">
            <w:pPr>
              <w:tabs>
                <w:tab w:val="decimal" w:pos="301"/>
              </w:tabs>
              <w:spacing w:before="40" w:after="4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1</w:t>
            </w:r>
          </w:p>
        </w:tc>
        <w:tc>
          <w:tcPr>
            <w:tcW w:w="808" w:type="dxa"/>
            <w:noWrap/>
            <w:hideMark/>
          </w:tcPr>
          <w:p w14:paraId="67B83B52" w14:textId="77777777" w:rsidR="00F40687" w:rsidRPr="000973F2" w:rsidRDefault="00F40687" w:rsidP="00B960CC">
            <w:pPr>
              <w:spacing w:before="40" w:after="4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0</w:t>
            </w:r>
          </w:p>
        </w:tc>
        <w:tc>
          <w:tcPr>
            <w:tcW w:w="809" w:type="dxa"/>
            <w:noWrap/>
            <w:hideMark/>
          </w:tcPr>
          <w:p w14:paraId="21C8A98F" w14:textId="77777777" w:rsidR="00F40687" w:rsidRPr="000973F2" w:rsidRDefault="00F40687" w:rsidP="00B960CC">
            <w:pPr>
              <w:spacing w:before="40" w:after="4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4</w:t>
            </w:r>
          </w:p>
        </w:tc>
        <w:tc>
          <w:tcPr>
            <w:tcW w:w="809" w:type="dxa"/>
            <w:noWrap/>
            <w:hideMark/>
          </w:tcPr>
          <w:p w14:paraId="2A1D9497" w14:textId="77777777" w:rsidR="00F40687" w:rsidRPr="000973F2" w:rsidRDefault="00F40687" w:rsidP="00B960CC">
            <w:pPr>
              <w:spacing w:before="40" w:after="4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0</w:t>
            </w:r>
          </w:p>
        </w:tc>
        <w:tc>
          <w:tcPr>
            <w:tcW w:w="809" w:type="dxa"/>
            <w:noWrap/>
            <w:hideMark/>
          </w:tcPr>
          <w:p w14:paraId="4BDA1CD4" w14:textId="77777777" w:rsidR="00F40687" w:rsidRPr="000973F2" w:rsidRDefault="00F40687" w:rsidP="00B960CC">
            <w:pPr>
              <w:tabs>
                <w:tab w:val="decimal" w:pos="271"/>
              </w:tabs>
              <w:spacing w:before="40" w:after="4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1</w:t>
            </w:r>
          </w:p>
        </w:tc>
        <w:tc>
          <w:tcPr>
            <w:tcW w:w="701" w:type="dxa"/>
            <w:noWrap/>
            <w:hideMark/>
          </w:tcPr>
          <w:p w14:paraId="0990BECB" w14:textId="12CF6BED" w:rsidR="00F40687" w:rsidRPr="000973F2" w:rsidRDefault="00F40687" w:rsidP="00B960CC">
            <w:pPr>
              <w:spacing w:before="40" w:after="4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$0</w:t>
            </w:r>
          </w:p>
        </w:tc>
        <w:tc>
          <w:tcPr>
            <w:tcW w:w="828" w:type="dxa"/>
            <w:noWrap/>
            <w:hideMark/>
          </w:tcPr>
          <w:p w14:paraId="10F43A0E" w14:textId="77777777" w:rsidR="00F40687" w:rsidRPr="000973F2" w:rsidRDefault="00F40687" w:rsidP="00B960CC">
            <w:pPr>
              <w:tabs>
                <w:tab w:val="decimal" w:pos="421"/>
              </w:tabs>
              <w:spacing w:before="40" w:after="4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$410</w:t>
            </w:r>
          </w:p>
        </w:tc>
      </w:tr>
      <w:tr w:rsidR="009C3B79" w:rsidRPr="000973F2" w14:paraId="407AE359" w14:textId="77777777" w:rsidTr="009C3B79">
        <w:tblPrEx>
          <w:jc w:val="left"/>
        </w:tblPrEx>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1331" w:type="dxa"/>
            <w:noWrap/>
            <w:hideMark/>
          </w:tcPr>
          <w:p w14:paraId="07FED93C" w14:textId="77777777" w:rsidR="00F40687" w:rsidRPr="000973F2" w:rsidRDefault="00F40687" w:rsidP="009C3B79">
            <w:pPr>
              <w:spacing w:before="40" w:after="40"/>
              <w:rPr>
                <w:rFonts w:ascii="Times New Roman" w:eastAsia="Times New Roman" w:hAnsi="Times New Roman" w:cs="Times New Roman"/>
                <w:b/>
                <w:bCs w:val="0"/>
                <w:sz w:val="18"/>
                <w:szCs w:val="18"/>
              </w:rPr>
            </w:pPr>
            <w:r w:rsidRPr="000973F2">
              <w:rPr>
                <w:rFonts w:ascii="Times New Roman" w:eastAsia="Times New Roman" w:hAnsi="Times New Roman" w:cs="Times New Roman"/>
                <w:b/>
                <w:sz w:val="18"/>
                <w:szCs w:val="18"/>
              </w:rPr>
              <w:t>Total</w:t>
            </w:r>
          </w:p>
        </w:tc>
        <w:tc>
          <w:tcPr>
            <w:tcW w:w="808" w:type="dxa"/>
            <w:noWrap/>
            <w:hideMark/>
          </w:tcPr>
          <w:p w14:paraId="56E09615" w14:textId="77777777" w:rsidR="00F40687" w:rsidRPr="000973F2" w:rsidRDefault="00F40687" w:rsidP="00B960CC">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18"/>
                <w:szCs w:val="18"/>
              </w:rPr>
            </w:pPr>
            <w:r w:rsidRPr="000973F2">
              <w:rPr>
                <w:rFonts w:ascii="Times New Roman" w:eastAsia="Times New Roman" w:hAnsi="Times New Roman" w:cs="Times New Roman"/>
                <w:b/>
                <w:bCs/>
                <w:sz w:val="18"/>
                <w:szCs w:val="18"/>
              </w:rPr>
              <w:t>0</w:t>
            </w:r>
          </w:p>
        </w:tc>
        <w:tc>
          <w:tcPr>
            <w:tcW w:w="809" w:type="dxa"/>
            <w:noWrap/>
            <w:hideMark/>
          </w:tcPr>
          <w:p w14:paraId="00EA81D1" w14:textId="77777777" w:rsidR="00F40687" w:rsidRPr="000973F2" w:rsidRDefault="00F40687" w:rsidP="00B960CC">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18"/>
                <w:szCs w:val="18"/>
              </w:rPr>
            </w:pPr>
            <w:r w:rsidRPr="000973F2">
              <w:rPr>
                <w:rFonts w:ascii="Times New Roman" w:eastAsia="Times New Roman" w:hAnsi="Times New Roman" w:cs="Times New Roman"/>
                <w:b/>
                <w:bCs/>
                <w:sz w:val="18"/>
                <w:szCs w:val="18"/>
              </w:rPr>
              <w:t>0</w:t>
            </w:r>
          </w:p>
        </w:tc>
        <w:tc>
          <w:tcPr>
            <w:tcW w:w="809" w:type="dxa"/>
            <w:noWrap/>
            <w:hideMark/>
          </w:tcPr>
          <w:p w14:paraId="3F82EEC4" w14:textId="77777777" w:rsidR="00F40687" w:rsidRPr="000973F2" w:rsidRDefault="00F40687" w:rsidP="00B960CC">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18"/>
                <w:szCs w:val="18"/>
              </w:rPr>
            </w:pPr>
            <w:r w:rsidRPr="000973F2">
              <w:rPr>
                <w:rFonts w:ascii="Times New Roman" w:eastAsia="Times New Roman" w:hAnsi="Times New Roman" w:cs="Times New Roman"/>
                <w:b/>
                <w:bCs/>
                <w:sz w:val="18"/>
                <w:szCs w:val="18"/>
              </w:rPr>
              <w:t>0</w:t>
            </w:r>
          </w:p>
        </w:tc>
        <w:tc>
          <w:tcPr>
            <w:tcW w:w="809" w:type="dxa"/>
            <w:noWrap/>
            <w:hideMark/>
          </w:tcPr>
          <w:p w14:paraId="1D0EA5C1" w14:textId="77777777" w:rsidR="00F40687" w:rsidRPr="000973F2" w:rsidRDefault="00F40687" w:rsidP="00B960CC">
            <w:pPr>
              <w:tabs>
                <w:tab w:val="decimal" w:pos="301"/>
              </w:tabs>
              <w:spacing w:before="40" w:after="4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18"/>
                <w:szCs w:val="18"/>
              </w:rPr>
            </w:pPr>
            <w:r w:rsidRPr="000973F2">
              <w:rPr>
                <w:rFonts w:ascii="Times New Roman" w:eastAsia="Times New Roman" w:hAnsi="Times New Roman" w:cs="Times New Roman"/>
                <w:b/>
                <w:bCs/>
                <w:sz w:val="18"/>
                <w:szCs w:val="18"/>
              </w:rPr>
              <w:t>1.7</w:t>
            </w:r>
          </w:p>
        </w:tc>
        <w:tc>
          <w:tcPr>
            <w:tcW w:w="808" w:type="dxa"/>
            <w:noWrap/>
            <w:hideMark/>
          </w:tcPr>
          <w:p w14:paraId="55F9A62B" w14:textId="77777777" w:rsidR="00F40687" w:rsidRPr="000973F2" w:rsidRDefault="00F40687" w:rsidP="00B960CC">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18"/>
                <w:szCs w:val="18"/>
              </w:rPr>
            </w:pPr>
            <w:r w:rsidRPr="000973F2">
              <w:rPr>
                <w:rFonts w:ascii="Times New Roman" w:eastAsia="Times New Roman" w:hAnsi="Times New Roman" w:cs="Times New Roman"/>
                <w:b/>
                <w:bCs/>
                <w:sz w:val="18"/>
                <w:szCs w:val="18"/>
              </w:rPr>
              <w:t>0</w:t>
            </w:r>
          </w:p>
        </w:tc>
        <w:tc>
          <w:tcPr>
            <w:tcW w:w="809" w:type="dxa"/>
            <w:noWrap/>
            <w:hideMark/>
          </w:tcPr>
          <w:p w14:paraId="65689D48" w14:textId="77777777" w:rsidR="00F40687" w:rsidRPr="000973F2" w:rsidRDefault="00F40687" w:rsidP="00B960CC">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18"/>
                <w:szCs w:val="18"/>
              </w:rPr>
            </w:pPr>
            <w:r w:rsidRPr="000973F2">
              <w:rPr>
                <w:rFonts w:ascii="Times New Roman" w:eastAsia="Times New Roman" w:hAnsi="Times New Roman" w:cs="Times New Roman"/>
                <w:b/>
                <w:bCs/>
                <w:sz w:val="18"/>
                <w:szCs w:val="18"/>
              </w:rPr>
              <w:t>8</w:t>
            </w:r>
          </w:p>
        </w:tc>
        <w:tc>
          <w:tcPr>
            <w:tcW w:w="809" w:type="dxa"/>
            <w:noWrap/>
            <w:hideMark/>
          </w:tcPr>
          <w:p w14:paraId="7966AEF1" w14:textId="77777777" w:rsidR="00F40687" w:rsidRPr="000973F2" w:rsidRDefault="00F40687" w:rsidP="00B960CC">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18"/>
                <w:szCs w:val="18"/>
              </w:rPr>
            </w:pPr>
            <w:r w:rsidRPr="000973F2">
              <w:rPr>
                <w:rFonts w:ascii="Times New Roman" w:eastAsia="Times New Roman" w:hAnsi="Times New Roman" w:cs="Times New Roman"/>
                <w:b/>
                <w:bCs/>
                <w:sz w:val="18"/>
                <w:szCs w:val="18"/>
              </w:rPr>
              <w:t>0</w:t>
            </w:r>
          </w:p>
        </w:tc>
        <w:tc>
          <w:tcPr>
            <w:tcW w:w="809" w:type="dxa"/>
            <w:noWrap/>
            <w:hideMark/>
          </w:tcPr>
          <w:p w14:paraId="735240F1" w14:textId="77777777" w:rsidR="00F40687" w:rsidRPr="000973F2" w:rsidRDefault="00F40687" w:rsidP="00B960CC">
            <w:pPr>
              <w:tabs>
                <w:tab w:val="decimal" w:pos="271"/>
              </w:tabs>
              <w:spacing w:before="40" w:after="4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18"/>
                <w:szCs w:val="18"/>
              </w:rPr>
            </w:pPr>
            <w:r w:rsidRPr="000973F2">
              <w:rPr>
                <w:rFonts w:ascii="Times New Roman" w:eastAsia="Times New Roman" w:hAnsi="Times New Roman" w:cs="Times New Roman"/>
                <w:b/>
                <w:bCs/>
                <w:sz w:val="18"/>
                <w:szCs w:val="18"/>
              </w:rPr>
              <w:t>1.6</w:t>
            </w:r>
          </w:p>
        </w:tc>
        <w:tc>
          <w:tcPr>
            <w:tcW w:w="701" w:type="dxa"/>
            <w:noWrap/>
            <w:hideMark/>
          </w:tcPr>
          <w:p w14:paraId="3592653F" w14:textId="3A6C305A" w:rsidR="00F40687" w:rsidRPr="000973F2" w:rsidRDefault="00F40687" w:rsidP="00B960CC">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18"/>
                <w:szCs w:val="18"/>
              </w:rPr>
            </w:pPr>
            <w:r w:rsidRPr="000973F2">
              <w:rPr>
                <w:rFonts w:ascii="Times New Roman" w:eastAsia="Times New Roman" w:hAnsi="Times New Roman" w:cs="Times New Roman"/>
                <w:b/>
                <w:bCs/>
                <w:sz w:val="18"/>
                <w:szCs w:val="18"/>
              </w:rPr>
              <w:t>$0</w:t>
            </w:r>
          </w:p>
        </w:tc>
        <w:tc>
          <w:tcPr>
            <w:tcW w:w="828" w:type="dxa"/>
            <w:noWrap/>
            <w:hideMark/>
          </w:tcPr>
          <w:p w14:paraId="4C42F9ED" w14:textId="6387C196" w:rsidR="00F40687" w:rsidRPr="000973F2" w:rsidRDefault="00F40687" w:rsidP="00B960CC">
            <w:pPr>
              <w:tabs>
                <w:tab w:val="decimal" w:pos="421"/>
              </w:tabs>
              <w:spacing w:before="40" w:after="4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18"/>
                <w:szCs w:val="18"/>
              </w:rPr>
            </w:pPr>
            <w:r w:rsidRPr="000973F2">
              <w:rPr>
                <w:rFonts w:ascii="Times New Roman" w:eastAsia="Times New Roman" w:hAnsi="Times New Roman" w:cs="Times New Roman"/>
                <w:b/>
                <w:bCs/>
                <w:sz w:val="18"/>
                <w:szCs w:val="18"/>
              </w:rPr>
              <w:t>$778</w:t>
            </w:r>
          </w:p>
        </w:tc>
      </w:tr>
    </w:tbl>
    <w:p w14:paraId="45709689" w14:textId="77777777" w:rsidR="00F40687" w:rsidRPr="000973F2" w:rsidRDefault="00F40687" w:rsidP="00BD4AE7">
      <w:pPr>
        <w:pStyle w:val="AfterTable"/>
      </w:pPr>
    </w:p>
    <w:p w14:paraId="0B4BF15F" w14:textId="77777777" w:rsidR="00F40687" w:rsidRPr="000973F2" w:rsidRDefault="00F40687" w:rsidP="00BD4AE7">
      <w:pPr>
        <w:pStyle w:val="Heading2"/>
      </w:pPr>
      <w:r w:rsidRPr="000973F2">
        <w:t>Capital and O&amp;M Costs for Subpart Q – Carbon Mass Balance Option</w:t>
      </w:r>
    </w:p>
    <w:p w14:paraId="7B7776B1" w14:textId="2EC68A00" w:rsidR="00F40687" w:rsidRPr="000973F2" w:rsidRDefault="00F40687" w:rsidP="00B960CC">
      <w:pPr>
        <w:pStyle w:val="BodyText"/>
      </w:pPr>
      <w:r w:rsidRPr="000973F2">
        <w:t>Facilities that sample their gas streams incur sampling costs for each ASTM test, which is estimated to be $1,000 total per facility (</w:t>
      </w:r>
      <w:r w:rsidR="00B960CC" w:rsidRPr="000973F2">
        <w:t>s</w:t>
      </w:r>
      <w:r w:rsidRPr="000973F2">
        <w:t xml:space="preserve">ee Table </w:t>
      </w:r>
      <w:r w:rsidR="00B960CC" w:rsidRPr="000973F2">
        <w:t>Q-</w:t>
      </w:r>
      <w:r w:rsidRPr="000973F2">
        <w:t>2a(1)). Facilities also incur recordkeeping costs discussed in the Cost Appendix Introduction.</w:t>
      </w:r>
    </w:p>
    <w:p w14:paraId="31115272" w14:textId="7F81777A" w:rsidR="00F40687" w:rsidRPr="000973F2" w:rsidRDefault="00F40687" w:rsidP="00B960CC">
      <w:pPr>
        <w:pStyle w:val="BodyText"/>
      </w:pPr>
      <w:r w:rsidRPr="000973F2">
        <w:t>Facilities that use supplied information instead of sampling their gas streams only incur O&amp;M costs associated with recordkeeping as discussed in the Cost Appendix Introduction (</w:t>
      </w:r>
      <w:r w:rsidR="00B960CC" w:rsidRPr="000973F2">
        <w:t>s</w:t>
      </w:r>
      <w:r w:rsidRPr="000973F2">
        <w:t xml:space="preserve">ee Table </w:t>
      </w:r>
      <w:r w:rsidR="00B960CC" w:rsidRPr="000973F2">
        <w:t>Q-</w:t>
      </w:r>
      <w:r w:rsidRPr="000973F2">
        <w:t xml:space="preserve">2a(2)). No capital costs are expected for either </w:t>
      </w:r>
      <w:r w:rsidR="003363FF" w:rsidRPr="000973F2">
        <w:t>version of</w:t>
      </w:r>
      <w:r w:rsidRPr="000973F2">
        <w:t xml:space="preserve"> the carbon mass balance option.</w:t>
      </w:r>
    </w:p>
    <w:p w14:paraId="64AAC340" w14:textId="34F65C96" w:rsidR="00F40687" w:rsidRPr="000973F2" w:rsidRDefault="00340041" w:rsidP="00B960CC">
      <w:pPr>
        <w:pStyle w:val="Tabletitle"/>
        <w:rPr>
          <w:i/>
        </w:rPr>
      </w:pPr>
      <w:r w:rsidRPr="000973F2">
        <w:t xml:space="preserve">Table </w:t>
      </w:r>
      <w:r w:rsidR="00B960CC" w:rsidRPr="000973F2">
        <w:t>Q-</w:t>
      </w:r>
      <w:r w:rsidRPr="000973F2">
        <w:t>2</w:t>
      </w:r>
      <w:r w:rsidR="000F72E3" w:rsidRPr="000973F2">
        <w:t>a</w:t>
      </w:r>
      <w:r w:rsidRPr="000973F2">
        <w:t xml:space="preserve">(1). Capital and O&amp;M Costs </w:t>
      </w:r>
      <w:r w:rsidR="00B960CC" w:rsidRPr="000973F2">
        <w:t>–</w:t>
      </w:r>
      <w:r w:rsidRPr="000973F2">
        <w:t xml:space="preserve"> </w:t>
      </w:r>
      <w:r w:rsidR="00F40687" w:rsidRPr="000973F2">
        <w:t>Subpart Q</w:t>
      </w:r>
      <w:r w:rsidRPr="000973F2">
        <w:t xml:space="preserve"> </w:t>
      </w:r>
      <w:r w:rsidR="00146C80" w:rsidRPr="000973F2">
        <w:t xml:space="preserve">– </w:t>
      </w:r>
      <w:r w:rsidR="00F40687" w:rsidRPr="000973F2">
        <w:t xml:space="preserve">Carbon Mass Balance Option </w:t>
      </w:r>
      <w:r w:rsidR="00B960CC" w:rsidRPr="000973F2">
        <w:t>–</w:t>
      </w:r>
      <w:r w:rsidR="00F40687" w:rsidRPr="000973F2">
        <w:t xml:space="preserve"> Sampling</w:t>
      </w:r>
    </w:p>
    <w:tbl>
      <w:tblPr>
        <w:tblStyle w:val="PlainTable1"/>
        <w:tblW w:w="5000" w:type="pct"/>
        <w:tblLayout w:type="fixed"/>
        <w:tblLook w:val="04A0" w:firstRow="1" w:lastRow="0" w:firstColumn="1" w:lastColumn="0" w:noHBand="0" w:noVBand="1"/>
      </w:tblPr>
      <w:tblGrid>
        <w:gridCol w:w="2847"/>
        <w:gridCol w:w="1121"/>
        <w:gridCol w:w="1122"/>
        <w:gridCol w:w="1121"/>
        <w:gridCol w:w="1163"/>
        <w:gridCol w:w="1080"/>
        <w:gridCol w:w="1122"/>
      </w:tblGrid>
      <w:tr w:rsidR="00FF36E8" w:rsidRPr="000973F2" w14:paraId="16804973" w14:textId="77777777" w:rsidTr="00B6531F">
        <w:trPr>
          <w:cnfStyle w:val="100000000000" w:firstRow="1" w:lastRow="0" w:firstColumn="0" w:lastColumn="0" w:oddVBand="0" w:evenVBand="0" w:oddHBand="0"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2775" w:type="dxa"/>
            <w:vMerge w:val="restart"/>
            <w:noWrap/>
            <w:hideMark/>
          </w:tcPr>
          <w:p w14:paraId="07A73AEF" w14:textId="3EDAF835" w:rsidR="00FF36E8" w:rsidRPr="000973F2" w:rsidRDefault="00FF36E8" w:rsidP="00B960CC">
            <w:pPr>
              <w:spacing w:before="40" w:after="40"/>
              <w:rPr>
                <w:rFonts w:ascii="Times New Roman" w:eastAsia="Times New Roman" w:hAnsi="Times New Roman" w:cs="Times New Roman"/>
                <w:b w:val="0"/>
                <w:bCs w:val="0"/>
                <w:sz w:val="18"/>
                <w:szCs w:val="18"/>
              </w:rPr>
            </w:pPr>
            <w:r w:rsidRPr="000973F2">
              <w:rPr>
                <w:rFonts w:ascii="Times New Roman" w:eastAsia="Times New Roman" w:hAnsi="Times New Roman" w:cs="Times New Roman"/>
                <w:sz w:val="18"/>
                <w:szCs w:val="18"/>
              </w:rPr>
              <w:t>Activity</w:t>
            </w:r>
          </w:p>
        </w:tc>
        <w:tc>
          <w:tcPr>
            <w:tcW w:w="4410" w:type="dxa"/>
            <w:gridSpan w:val="4"/>
            <w:noWrap/>
            <w:hideMark/>
          </w:tcPr>
          <w:p w14:paraId="358C92B4" w14:textId="77777777" w:rsidR="00FF36E8" w:rsidRPr="000973F2" w:rsidRDefault="00FF36E8" w:rsidP="00B960CC">
            <w:pPr>
              <w:spacing w:before="40" w:after="40"/>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bCs w:val="0"/>
                <w:sz w:val="18"/>
                <w:szCs w:val="18"/>
              </w:rPr>
            </w:pPr>
            <w:r w:rsidRPr="000973F2">
              <w:rPr>
                <w:rFonts w:ascii="Times New Roman" w:eastAsia="Times New Roman" w:hAnsi="Times New Roman" w:cs="Times New Roman"/>
                <w:sz w:val="18"/>
                <w:szCs w:val="18"/>
              </w:rPr>
              <w:t>Cost Categories</w:t>
            </w:r>
          </w:p>
        </w:tc>
        <w:tc>
          <w:tcPr>
            <w:tcW w:w="2145" w:type="dxa"/>
            <w:gridSpan w:val="2"/>
            <w:hideMark/>
          </w:tcPr>
          <w:p w14:paraId="236C8D95" w14:textId="44A5F573" w:rsidR="00FF36E8" w:rsidRPr="000973F2" w:rsidRDefault="00FF36E8" w:rsidP="00B960CC">
            <w:pPr>
              <w:spacing w:before="40" w:after="40"/>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bCs w:val="0"/>
                <w:sz w:val="18"/>
                <w:szCs w:val="18"/>
              </w:rPr>
            </w:pPr>
            <w:r w:rsidRPr="000973F2">
              <w:rPr>
                <w:rFonts w:ascii="Times New Roman" w:eastAsia="Times New Roman" w:hAnsi="Times New Roman" w:cs="Times New Roman"/>
                <w:sz w:val="18"/>
                <w:szCs w:val="18"/>
              </w:rPr>
              <w:t>Total Capital and O&amp;M Cost per Year per Facility (2017$)</w:t>
            </w:r>
          </w:p>
        </w:tc>
      </w:tr>
      <w:tr w:rsidR="00B960CC" w:rsidRPr="000973F2" w14:paraId="7F5C167B" w14:textId="77777777" w:rsidTr="00DF58A5">
        <w:tblPrEx>
          <w:jc w:val="left"/>
        </w:tblPrEx>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2775" w:type="dxa"/>
            <w:vMerge/>
            <w:noWrap/>
            <w:hideMark/>
          </w:tcPr>
          <w:p w14:paraId="528E7CB8" w14:textId="5E3B8FFC" w:rsidR="00FF36E8" w:rsidRPr="000973F2" w:rsidRDefault="00FF36E8" w:rsidP="00B960CC">
            <w:pPr>
              <w:spacing w:before="40" w:after="40"/>
              <w:jc w:val="center"/>
              <w:rPr>
                <w:rFonts w:ascii="Times New Roman" w:eastAsia="Times New Roman" w:hAnsi="Times New Roman" w:cs="Times New Roman"/>
                <w:b/>
                <w:bCs w:val="0"/>
                <w:sz w:val="18"/>
                <w:szCs w:val="18"/>
              </w:rPr>
            </w:pPr>
          </w:p>
        </w:tc>
        <w:tc>
          <w:tcPr>
            <w:tcW w:w="1092" w:type="dxa"/>
            <w:tcMar>
              <w:left w:w="14" w:type="dxa"/>
              <w:right w:w="14" w:type="dxa"/>
            </w:tcMar>
            <w:hideMark/>
          </w:tcPr>
          <w:p w14:paraId="3F5384AC" w14:textId="77777777" w:rsidR="00FF36E8" w:rsidRPr="000973F2" w:rsidRDefault="00FF36E8" w:rsidP="00B960CC">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18"/>
                <w:szCs w:val="18"/>
              </w:rPr>
            </w:pPr>
            <w:r w:rsidRPr="000973F2">
              <w:rPr>
                <w:rFonts w:ascii="Times New Roman" w:eastAsia="Times New Roman" w:hAnsi="Times New Roman" w:cs="Times New Roman"/>
                <w:b/>
                <w:bCs/>
                <w:sz w:val="18"/>
                <w:szCs w:val="18"/>
              </w:rPr>
              <w:t>Capital Cost (2017$)</w:t>
            </w:r>
          </w:p>
        </w:tc>
        <w:tc>
          <w:tcPr>
            <w:tcW w:w="1093" w:type="dxa"/>
            <w:tcMar>
              <w:left w:w="14" w:type="dxa"/>
              <w:right w:w="14" w:type="dxa"/>
            </w:tcMar>
            <w:hideMark/>
          </w:tcPr>
          <w:p w14:paraId="02158E8F" w14:textId="77777777" w:rsidR="00FF36E8" w:rsidRPr="000973F2" w:rsidRDefault="00FF36E8" w:rsidP="00B960CC">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18"/>
                <w:szCs w:val="18"/>
              </w:rPr>
            </w:pPr>
            <w:r w:rsidRPr="000973F2">
              <w:rPr>
                <w:rFonts w:ascii="Times New Roman" w:eastAsia="Times New Roman" w:hAnsi="Times New Roman" w:cs="Times New Roman"/>
                <w:b/>
                <w:bCs/>
                <w:sz w:val="18"/>
                <w:szCs w:val="18"/>
              </w:rPr>
              <w:t>Equipment Lifetime</w:t>
            </w:r>
          </w:p>
        </w:tc>
        <w:tc>
          <w:tcPr>
            <w:tcW w:w="1092" w:type="dxa"/>
            <w:tcMar>
              <w:left w:w="14" w:type="dxa"/>
              <w:right w:w="14" w:type="dxa"/>
            </w:tcMar>
            <w:hideMark/>
          </w:tcPr>
          <w:p w14:paraId="100AAFC9" w14:textId="77777777" w:rsidR="00FF36E8" w:rsidRPr="000973F2" w:rsidRDefault="00FF36E8" w:rsidP="00B960CC">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18"/>
                <w:szCs w:val="18"/>
              </w:rPr>
            </w:pPr>
            <w:r w:rsidRPr="000973F2">
              <w:rPr>
                <w:rFonts w:ascii="Times New Roman" w:eastAsia="Times New Roman" w:hAnsi="Times New Roman" w:cs="Times New Roman"/>
                <w:b/>
                <w:bCs/>
                <w:sz w:val="18"/>
                <w:szCs w:val="18"/>
              </w:rPr>
              <w:t>Annualized Capital Cost (2017$/year)</w:t>
            </w:r>
          </w:p>
        </w:tc>
        <w:tc>
          <w:tcPr>
            <w:tcW w:w="1133" w:type="dxa"/>
            <w:tcMar>
              <w:left w:w="14" w:type="dxa"/>
              <w:right w:w="14" w:type="dxa"/>
            </w:tcMar>
            <w:hideMark/>
          </w:tcPr>
          <w:p w14:paraId="05066F78" w14:textId="77777777" w:rsidR="00FF36E8" w:rsidRPr="000973F2" w:rsidRDefault="00FF36E8" w:rsidP="00B960CC">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18"/>
                <w:szCs w:val="18"/>
              </w:rPr>
            </w:pPr>
            <w:r w:rsidRPr="000973F2">
              <w:rPr>
                <w:rFonts w:ascii="Times New Roman" w:eastAsia="Times New Roman" w:hAnsi="Times New Roman" w:cs="Times New Roman"/>
                <w:b/>
                <w:bCs/>
                <w:sz w:val="18"/>
                <w:szCs w:val="18"/>
              </w:rPr>
              <w:t>O&amp;M Costs (2017$/year)</w:t>
            </w:r>
          </w:p>
        </w:tc>
        <w:tc>
          <w:tcPr>
            <w:tcW w:w="1052" w:type="dxa"/>
            <w:tcMar>
              <w:left w:w="14" w:type="dxa"/>
              <w:right w:w="14" w:type="dxa"/>
            </w:tcMar>
            <w:hideMark/>
          </w:tcPr>
          <w:p w14:paraId="62EEF09C" w14:textId="77777777" w:rsidR="00FF36E8" w:rsidRPr="000973F2" w:rsidRDefault="00FF36E8" w:rsidP="00B960CC">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18"/>
                <w:szCs w:val="18"/>
              </w:rPr>
            </w:pPr>
            <w:r w:rsidRPr="000973F2">
              <w:rPr>
                <w:rFonts w:ascii="Times New Roman" w:eastAsia="Times New Roman" w:hAnsi="Times New Roman" w:cs="Times New Roman"/>
                <w:b/>
                <w:bCs/>
                <w:sz w:val="18"/>
                <w:szCs w:val="18"/>
              </w:rPr>
              <w:t>Initial Year</w:t>
            </w:r>
          </w:p>
        </w:tc>
        <w:tc>
          <w:tcPr>
            <w:tcW w:w="1093" w:type="dxa"/>
            <w:tcMar>
              <w:left w:w="14" w:type="dxa"/>
              <w:right w:w="14" w:type="dxa"/>
            </w:tcMar>
            <w:hideMark/>
          </w:tcPr>
          <w:p w14:paraId="03917C59" w14:textId="77777777" w:rsidR="00FF36E8" w:rsidRPr="000973F2" w:rsidRDefault="00FF36E8" w:rsidP="00B960CC">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18"/>
                <w:szCs w:val="18"/>
              </w:rPr>
            </w:pPr>
            <w:r w:rsidRPr="000973F2">
              <w:rPr>
                <w:rFonts w:ascii="Times New Roman" w:eastAsia="Times New Roman" w:hAnsi="Times New Roman" w:cs="Times New Roman"/>
                <w:b/>
                <w:bCs/>
                <w:sz w:val="18"/>
                <w:szCs w:val="18"/>
              </w:rPr>
              <w:t>Subseq. Years</w:t>
            </w:r>
          </w:p>
        </w:tc>
      </w:tr>
      <w:tr w:rsidR="00AD5834" w:rsidRPr="000973F2" w14:paraId="2A2F2632" w14:textId="77777777" w:rsidTr="00B6531F">
        <w:tblPrEx>
          <w:jc w:val="left"/>
        </w:tblPrEx>
        <w:trPr>
          <w:cantSplit/>
        </w:trPr>
        <w:tc>
          <w:tcPr>
            <w:cnfStyle w:val="001000000000" w:firstRow="0" w:lastRow="0" w:firstColumn="1" w:lastColumn="0" w:oddVBand="0" w:evenVBand="0" w:oddHBand="0" w:evenHBand="0" w:firstRowFirstColumn="0" w:firstRowLastColumn="0" w:lastRowFirstColumn="0" w:lastRowLastColumn="0"/>
            <w:tcW w:w="2775" w:type="dxa"/>
            <w:hideMark/>
          </w:tcPr>
          <w:p w14:paraId="0AD756B6" w14:textId="77777777" w:rsidR="003E005F" w:rsidRPr="000973F2" w:rsidRDefault="003E005F" w:rsidP="00B960CC">
            <w:pPr>
              <w:spacing w:before="40" w:after="4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Equipment (selection, purchase, installation)</w:t>
            </w:r>
          </w:p>
        </w:tc>
        <w:tc>
          <w:tcPr>
            <w:tcW w:w="1092" w:type="dxa"/>
            <w:noWrap/>
            <w:hideMark/>
          </w:tcPr>
          <w:p w14:paraId="0226387F" w14:textId="070628A2" w:rsidR="003E005F" w:rsidRPr="000973F2" w:rsidRDefault="00DF58A5" w:rsidP="00DF58A5">
            <w:pPr>
              <w:spacing w:before="40" w:after="4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w:t>
            </w:r>
          </w:p>
        </w:tc>
        <w:tc>
          <w:tcPr>
            <w:tcW w:w="1093" w:type="dxa"/>
            <w:noWrap/>
          </w:tcPr>
          <w:p w14:paraId="0F521258" w14:textId="372F4A96" w:rsidR="003E005F" w:rsidRPr="000973F2" w:rsidRDefault="003E005F" w:rsidP="00DF58A5">
            <w:pPr>
              <w:spacing w:before="40" w:after="4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p>
        </w:tc>
        <w:tc>
          <w:tcPr>
            <w:tcW w:w="1092" w:type="dxa"/>
            <w:noWrap/>
            <w:hideMark/>
          </w:tcPr>
          <w:p w14:paraId="5A9661E8" w14:textId="125187A6" w:rsidR="003E005F" w:rsidRPr="000973F2" w:rsidRDefault="00DF58A5" w:rsidP="00DF58A5">
            <w:pPr>
              <w:spacing w:before="40" w:after="4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w:t>
            </w:r>
          </w:p>
        </w:tc>
        <w:tc>
          <w:tcPr>
            <w:tcW w:w="1133" w:type="dxa"/>
            <w:noWrap/>
            <w:hideMark/>
          </w:tcPr>
          <w:p w14:paraId="5636EB01" w14:textId="5CCDB901" w:rsidR="003E005F" w:rsidRPr="000973F2" w:rsidRDefault="00DF58A5" w:rsidP="00DF58A5">
            <w:pPr>
              <w:tabs>
                <w:tab w:val="decimal" w:pos="661"/>
              </w:tabs>
              <w:spacing w:before="40" w:after="4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w:t>
            </w:r>
          </w:p>
        </w:tc>
        <w:tc>
          <w:tcPr>
            <w:tcW w:w="1052" w:type="dxa"/>
            <w:noWrap/>
            <w:hideMark/>
          </w:tcPr>
          <w:p w14:paraId="13E26A85" w14:textId="5B3F4310" w:rsidR="003E005F" w:rsidRPr="000973F2" w:rsidRDefault="00DF58A5" w:rsidP="00DF58A5">
            <w:pPr>
              <w:spacing w:before="40" w:after="4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w:t>
            </w:r>
          </w:p>
        </w:tc>
        <w:tc>
          <w:tcPr>
            <w:tcW w:w="1093" w:type="dxa"/>
            <w:noWrap/>
            <w:hideMark/>
          </w:tcPr>
          <w:p w14:paraId="701D2C08" w14:textId="24FCA5A4" w:rsidR="003E005F" w:rsidRPr="000973F2" w:rsidRDefault="00DF58A5" w:rsidP="00DF58A5">
            <w:pPr>
              <w:tabs>
                <w:tab w:val="decimal" w:pos="631"/>
              </w:tabs>
              <w:spacing w:before="40" w:after="4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w:t>
            </w:r>
          </w:p>
        </w:tc>
      </w:tr>
      <w:tr w:rsidR="00B960CC" w:rsidRPr="000973F2" w14:paraId="47D0B8E8" w14:textId="77777777" w:rsidTr="00DF58A5">
        <w:tblPrEx>
          <w:jc w:val="left"/>
        </w:tblPrEx>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2775" w:type="dxa"/>
            <w:hideMark/>
          </w:tcPr>
          <w:p w14:paraId="6DD9063B" w14:textId="77777777" w:rsidR="003E005F" w:rsidRPr="000973F2" w:rsidRDefault="003E005F" w:rsidP="00B960CC">
            <w:pPr>
              <w:spacing w:before="40" w:after="4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Performance testing</w:t>
            </w:r>
          </w:p>
        </w:tc>
        <w:tc>
          <w:tcPr>
            <w:tcW w:w="1092" w:type="dxa"/>
            <w:noWrap/>
            <w:hideMark/>
          </w:tcPr>
          <w:p w14:paraId="39D0FCDF" w14:textId="0B6B3C7A" w:rsidR="003E005F" w:rsidRPr="000973F2" w:rsidRDefault="00DF58A5" w:rsidP="00DF58A5">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w:t>
            </w:r>
          </w:p>
        </w:tc>
        <w:tc>
          <w:tcPr>
            <w:tcW w:w="1093" w:type="dxa"/>
            <w:noWrap/>
          </w:tcPr>
          <w:p w14:paraId="2181BF2B" w14:textId="2C4D21CE" w:rsidR="003E005F" w:rsidRPr="000973F2" w:rsidRDefault="003E005F" w:rsidP="00DF58A5">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p>
        </w:tc>
        <w:tc>
          <w:tcPr>
            <w:tcW w:w="1092" w:type="dxa"/>
            <w:noWrap/>
            <w:hideMark/>
          </w:tcPr>
          <w:p w14:paraId="098FAB64" w14:textId="2BFBDB21" w:rsidR="003E005F" w:rsidRPr="000973F2" w:rsidRDefault="00DF58A5" w:rsidP="00DF58A5">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w:t>
            </w:r>
          </w:p>
        </w:tc>
        <w:tc>
          <w:tcPr>
            <w:tcW w:w="1133" w:type="dxa"/>
            <w:noWrap/>
            <w:hideMark/>
          </w:tcPr>
          <w:p w14:paraId="67AEDBD7" w14:textId="78124D69" w:rsidR="003E005F" w:rsidRPr="000973F2" w:rsidRDefault="00DF58A5" w:rsidP="00DF58A5">
            <w:pPr>
              <w:tabs>
                <w:tab w:val="decimal" w:pos="661"/>
              </w:tabs>
              <w:spacing w:before="40" w:after="4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w:t>
            </w:r>
          </w:p>
        </w:tc>
        <w:tc>
          <w:tcPr>
            <w:tcW w:w="1052" w:type="dxa"/>
            <w:noWrap/>
            <w:hideMark/>
          </w:tcPr>
          <w:p w14:paraId="3A34B001" w14:textId="7130BFD6" w:rsidR="003E005F" w:rsidRPr="000973F2" w:rsidRDefault="00DF58A5" w:rsidP="00DF58A5">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w:t>
            </w:r>
          </w:p>
        </w:tc>
        <w:tc>
          <w:tcPr>
            <w:tcW w:w="1093" w:type="dxa"/>
            <w:noWrap/>
            <w:hideMark/>
          </w:tcPr>
          <w:p w14:paraId="1250FB98" w14:textId="763C56F8" w:rsidR="003E005F" w:rsidRPr="000973F2" w:rsidRDefault="00DF58A5" w:rsidP="00DF58A5">
            <w:pPr>
              <w:tabs>
                <w:tab w:val="decimal" w:pos="631"/>
              </w:tabs>
              <w:spacing w:before="40" w:after="4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w:t>
            </w:r>
          </w:p>
        </w:tc>
      </w:tr>
      <w:tr w:rsidR="00F40687" w:rsidRPr="000973F2" w14:paraId="05FFE655" w14:textId="77777777" w:rsidTr="00B6531F">
        <w:tblPrEx>
          <w:jc w:val="left"/>
        </w:tblPrEx>
        <w:trPr>
          <w:cantSplit/>
        </w:trPr>
        <w:tc>
          <w:tcPr>
            <w:cnfStyle w:val="001000000000" w:firstRow="0" w:lastRow="0" w:firstColumn="1" w:lastColumn="0" w:oddVBand="0" w:evenVBand="0" w:oddHBand="0" w:evenHBand="0" w:firstRowFirstColumn="0" w:firstRowLastColumn="0" w:lastRowFirstColumn="0" w:lastRowLastColumn="0"/>
            <w:tcW w:w="2775" w:type="dxa"/>
            <w:hideMark/>
          </w:tcPr>
          <w:p w14:paraId="2D526916" w14:textId="77777777" w:rsidR="00F40687" w:rsidRPr="000973F2" w:rsidRDefault="00F40687" w:rsidP="00B960CC">
            <w:pPr>
              <w:spacing w:before="40" w:after="4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Recordkeeping</w:t>
            </w:r>
          </w:p>
        </w:tc>
        <w:tc>
          <w:tcPr>
            <w:tcW w:w="1092" w:type="dxa"/>
            <w:noWrap/>
            <w:hideMark/>
          </w:tcPr>
          <w:p w14:paraId="4D962B70" w14:textId="77777777" w:rsidR="00F40687" w:rsidRPr="000973F2" w:rsidRDefault="00F40687" w:rsidP="00DF58A5">
            <w:pPr>
              <w:spacing w:before="40" w:after="4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$0</w:t>
            </w:r>
          </w:p>
        </w:tc>
        <w:tc>
          <w:tcPr>
            <w:tcW w:w="1093" w:type="dxa"/>
            <w:noWrap/>
          </w:tcPr>
          <w:p w14:paraId="150D353E" w14:textId="77777777" w:rsidR="00F40687" w:rsidRPr="000973F2" w:rsidRDefault="00F40687" w:rsidP="00DF58A5">
            <w:pPr>
              <w:spacing w:before="40" w:after="4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p>
        </w:tc>
        <w:tc>
          <w:tcPr>
            <w:tcW w:w="1092" w:type="dxa"/>
            <w:noWrap/>
            <w:hideMark/>
          </w:tcPr>
          <w:p w14:paraId="36C03EED" w14:textId="77777777" w:rsidR="00F40687" w:rsidRPr="000973F2" w:rsidRDefault="00F40687" w:rsidP="00DF58A5">
            <w:pPr>
              <w:spacing w:before="40" w:after="4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$0</w:t>
            </w:r>
          </w:p>
        </w:tc>
        <w:tc>
          <w:tcPr>
            <w:tcW w:w="1133" w:type="dxa"/>
            <w:noWrap/>
            <w:hideMark/>
          </w:tcPr>
          <w:p w14:paraId="083AD4CE" w14:textId="77777777" w:rsidR="00F40687" w:rsidRPr="000973F2" w:rsidRDefault="00F40687" w:rsidP="00DF58A5">
            <w:pPr>
              <w:tabs>
                <w:tab w:val="decimal" w:pos="661"/>
              </w:tabs>
              <w:spacing w:before="40" w:after="4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$50</w:t>
            </w:r>
          </w:p>
        </w:tc>
        <w:tc>
          <w:tcPr>
            <w:tcW w:w="1052" w:type="dxa"/>
            <w:noWrap/>
            <w:hideMark/>
          </w:tcPr>
          <w:p w14:paraId="540299FB" w14:textId="77777777" w:rsidR="00F40687" w:rsidRPr="000973F2" w:rsidRDefault="00F40687" w:rsidP="00DF58A5">
            <w:pPr>
              <w:spacing w:before="40" w:after="4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$0</w:t>
            </w:r>
          </w:p>
        </w:tc>
        <w:tc>
          <w:tcPr>
            <w:tcW w:w="1093" w:type="dxa"/>
            <w:noWrap/>
            <w:hideMark/>
          </w:tcPr>
          <w:p w14:paraId="02DA2667" w14:textId="77777777" w:rsidR="00F40687" w:rsidRPr="000973F2" w:rsidRDefault="00F40687" w:rsidP="00DF58A5">
            <w:pPr>
              <w:tabs>
                <w:tab w:val="decimal" w:pos="631"/>
              </w:tabs>
              <w:spacing w:before="40" w:after="4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$50</w:t>
            </w:r>
          </w:p>
        </w:tc>
      </w:tr>
      <w:tr w:rsidR="00B960CC" w:rsidRPr="000973F2" w14:paraId="13501800" w14:textId="77777777" w:rsidTr="00DF58A5">
        <w:tblPrEx>
          <w:jc w:val="left"/>
        </w:tblPrEx>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2775" w:type="dxa"/>
            <w:hideMark/>
          </w:tcPr>
          <w:p w14:paraId="4534051A" w14:textId="77777777" w:rsidR="003E005F" w:rsidRPr="000973F2" w:rsidRDefault="003E005F" w:rsidP="00B960CC">
            <w:pPr>
              <w:spacing w:before="40" w:after="4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Travel</w:t>
            </w:r>
          </w:p>
        </w:tc>
        <w:tc>
          <w:tcPr>
            <w:tcW w:w="1092" w:type="dxa"/>
            <w:noWrap/>
            <w:hideMark/>
          </w:tcPr>
          <w:p w14:paraId="77B48615" w14:textId="03E16D65" w:rsidR="003E005F" w:rsidRPr="000973F2" w:rsidRDefault="00DF58A5" w:rsidP="00DF58A5">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w:t>
            </w:r>
          </w:p>
        </w:tc>
        <w:tc>
          <w:tcPr>
            <w:tcW w:w="1093" w:type="dxa"/>
            <w:noWrap/>
          </w:tcPr>
          <w:p w14:paraId="6388C7C4" w14:textId="2616A6FE" w:rsidR="003E005F" w:rsidRPr="000973F2" w:rsidRDefault="003E005F" w:rsidP="00DF58A5">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p>
        </w:tc>
        <w:tc>
          <w:tcPr>
            <w:tcW w:w="1092" w:type="dxa"/>
            <w:noWrap/>
            <w:hideMark/>
          </w:tcPr>
          <w:p w14:paraId="11649906" w14:textId="7A2E748F" w:rsidR="003E005F" w:rsidRPr="000973F2" w:rsidRDefault="00DF58A5" w:rsidP="00DF58A5">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w:t>
            </w:r>
          </w:p>
        </w:tc>
        <w:tc>
          <w:tcPr>
            <w:tcW w:w="1133" w:type="dxa"/>
            <w:noWrap/>
            <w:hideMark/>
          </w:tcPr>
          <w:p w14:paraId="5B4F4775" w14:textId="633A8CFB" w:rsidR="003E005F" w:rsidRPr="000973F2" w:rsidRDefault="00DF58A5" w:rsidP="00DF58A5">
            <w:pPr>
              <w:tabs>
                <w:tab w:val="decimal" w:pos="661"/>
              </w:tabs>
              <w:spacing w:before="40" w:after="4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w:t>
            </w:r>
          </w:p>
        </w:tc>
        <w:tc>
          <w:tcPr>
            <w:tcW w:w="1052" w:type="dxa"/>
            <w:noWrap/>
            <w:hideMark/>
          </w:tcPr>
          <w:p w14:paraId="0B7529E6" w14:textId="583F5CE9" w:rsidR="003E005F" w:rsidRPr="000973F2" w:rsidRDefault="00DF58A5" w:rsidP="00DF58A5">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w:t>
            </w:r>
          </w:p>
        </w:tc>
        <w:tc>
          <w:tcPr>
            <w:tcW w:w="1093" w:type="dxa"/>
            <w:noWrap/>
            <w:hideMark/>
          </w:tcPr>
          <w:p w14:paraId="28D52097" w14:textId="11DC4DC9" w:rsidR="003E005F" w:rsidRPr="000973F2" w:rsidRDefault="00DF58A5" w:rsidP="00DF58A5">
            <w:pPr>
              <w:tabs>
                <w:tab w:val="decimal" w:pos="631"/>
              </w:tabs>
              <w:spacing w:before="40" w:after="4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w:t>
            </w:r>
          </w:p>
        </w:tc>
      </w:tr>
      <w:tr w:rsidR="00F40687" w:rsidRPr="000973F2" w14:paraId="753C92F7" w14:textId="77777777" w:rsidTr="00B6531F">
        <w:tblPrEx>
          <w:jc w:val="left"/>
        </w:tblPrEx>
        <w:trPr>
          <w:cantSplit/>
        </w:trPr>
        <w:tc>
          <w:tcPr>
            <w:cnfStyle w:val="001000000000" w:firstRow="0" w:lastRow="0" w:firstColumn="1" w:lastColumn="0" w:oddVBand="0" w:evenVBand="0" w:oddHBand="0" w:evenHBand="0" w:firstRowFirstColumn="0" w:firstRowLastColumn="0" w:lastRowFirstColumn="0" w:lastRowLastColumn="0"/>
            <w:tcW w:w="2775" w:type="dxa"/>
            <w:hideMark/>
          </w:tcPr>
          <w:p w14:paraId="02B574FF" w14:textId="768B2C5B" w:rsidR="00F40687" w:rsidRPr="000973F2" w:rsidRDefault="00F40687" w:rsidP="00B960CC">
            <w:pPr>
              <w:spacing w:before="40" w:after="4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 xml:space="preserve">Sampling </w:t>
            </w:r>
            <w:r w:rsidR="00C805F3" w:rsidRPr="000973F2">
              <w:rPr>
                <w:rFonts w:ascii="Times New Roman" w:eastAsia="Times New Roman" w:hAnsi="Times New Roman" w:cs="Times New Roman"/>
                <w:sz w:val="18"/>
                <w:szCs w:val="18"/>
              </w:rPr>
              <w:t xml:space="preserve">and Analysis </w:t>
            </w:r>
            <w:r w:rsidRPr="000973F2">
              <w:rPr>
                <w:rFonts w:ascii="Times New Roman" w:eastAsia="Times New Roman" w:hAnsi="Times New Roman" w:cs="Times New Roman"/>
                <w:sz w:val="18"/>
                <w:szCs w:val="18"/>
              </w:rPr>
              <w:t>Costs</w:t>
            </w:r>
          </w:p>
        </w:tc>
        <w:tc>
          <w:tcPr>
            <w:tcW w:w="1092" w:type="dxa"/>
            <w:noWrap/>
            <w:hideMark/>
          </w:tcPr>
          <w:p w14:paraId="06560892" w14:textId="77777777" w:rsidR="00F40687" w:rsidRPr="000973F2" w:rsidRDefault="00F40687" w:rsidP="00DF58A5">
            <w:pPr>
              <w:spacing w:before="40" w:after="4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$0</w:t>
            </w:r>
          </w:p>
        </w:tc>
        <w:tc>
          <w:tcPr>
            <w:tcW w:w="1093" w:type="dxa"/>
            <w:noWrap/>
          </w:tcPr>
          <w:p w14:paraId="2D9389C8" w14:textId="77777777" w:rsidR="00F40687" w:rsidRPr="000973F2" w:rsidRDefault="00F40687" w:rsidP="00DF58A5">
            <w:pPr>
              <w:spacing w:before="40" w:after="4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p>
        </w:tc>
        <w:tc>
          <w:tcPr>
            <w:tcW w:w="1092" w:type="dxa"/>
            <w:noWrap/>
            <w:hideMark/>
          </w:tcPr>
          <w:p w14:paraId="101985BB" w14:textId="77777777" w:rsidR="00F40687" w:rsidRPr="000973F2" w:rsidRDefault="00F40687" w:rsidP="00DF58A5">
            <w:pPr>
              <w:spacing w:before="40" w:after="4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$0</w:t>
            </w:r>
          </w:p>
        </w:tc>
        <w:tc>
          <w:tcPr>
            <w:tcW w:w="1133" w:type="dxa"/>
            <w:noWrap/>
            <w:hideMark/>
          </w:tcPr>
          <w:p w14:paraId="3E2C177C" w14:textId="77777777" w:rsidR="00F40687" w:rsidRPr="000973F2" w:rsidRDefault="00F40687" w:rsidP="00DF58A5">
            <w:pPr>
              <w:tabs>
                <w:tab w:val="decimal" w:pos="661"/>
              </w:tabs>
              <w:spacing w:before="40" w:after="4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$1,000</w:t>
            </w:r>
          </w:p>
        </w:tc>
        <w:tc>
          <w:tcPr>
            <w:tcW w:w="1052" w:type="dxa"/>
            <w:noWrap/>
            <w:hideMark/>
          </w:tcPr>
          <w:p w14:paraId="3C8DC940" w14:textId="77777777" w:rsidR="00F40687" w:rsidRPr="000973F2" w:rsidRDefault="00F40687" w:rsidP="00DF58A5">
            <w:pPr>
              <w:spacing w:before="40" w:after="4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$0</w:t>
            </w:r>
          </w:p>
        </w:tc>
        <w:tc>
          <w:tcPr>
            <w:tcW w:w="1093" w:type="dxa"/>
            <w:noWrap/>
            <w:hideMark/>
          </w:tcPr>
          <w:p w14:paraId="266E6C46" w14:textId="77777777" w:rsidR="00F40687" w:rsidRPr="000973F2" w:rsidRDefault="00F40687" w:rsidP="00DF58A5">
            <w:pPr>
              <w:tabs>
                <w:tab w:val="decimal" w:pos="631"/>
              </w:tabs>
              <w:spacing w:before="40" w:after="4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$1,000</w:t>
            </w:r>
          </w:p>
        </w:tc>
      </w:tr>
      <w:tr w:rsidR="00B960CC" w:rsidRPr="000973F2" w14:paraId="68188416" w14:textId="77777777" w:rsidTr="00DF58A5">
        <w:tblPrEx>
          <w:jc w:val="left"/>
        </w:tblPrEx>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2775" w:type="dxa"/>
            <w:hideMark/>
          </w:tcPr>
          <w:p w14:paraId="2FDF1042" w14:textId="77777777" w:rsidR="00F40687" w:rsidRPr="000973F2" w:rsidRDefault="00F40687" w:rsidP="00B960CC">
            <w:pPr>
              <w:spacing w:before="40" w:after="40"/>
              <w:rPr>
                <w:rFonts w:ascii="Times New Roman" w:eastAsia="Times New Roman" w:hAnsi="Times New Roman" w:cs="Times New Roman"/>
                <w:b/>
                <w:bCs w:val="0"/>
                <w:sz w:val="18"/>
                <w:szCs w:val="18"/>
              </w:rPr>
            </w:pPr>
            <w:r w:rsidRPr="000973F2">
              <w:rPr>
                <w:rFonts w:ascii="Times New Roman" w:eastAsia="Times New Roman" w:hAnsi="Times New Roman" w:cs="Times New Roman"/>
                <w:b/>
                <w:sz w:val="18"/>
                <w:szCs w:val="18"/>
              </w:rPr>
              <w:t xml:space="preserve">Total </w:t>
            </w:r>
          </w:p>
        </w:tc>
        <w:tc>
          <w:tcPr>
            <w:tcW w:w="1092" w:type="dxa"/>
            <w:noWrap/>
            <w:hideMark/>
          </w:tcPr>
          <w:p w14:paraId="1B7F77A4" w14:textId="77777777" w:rsidR="00F40687" w:rsidRPr="000973F2" w:rsidRDefault="00F40687" w:rsidP="00DF58A5">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sz w:val="18"/>
                <w:szCs w:val="18"/>
              </w:rPr>
            </w:pPr>
            <w:r w:rsidRPr="000973F2">
              <w:rPr>
                <w:rFonts w:ascii="Times New Roman" w:eastAsia="Times New Roman" w:hAnsi="Times New Roman" w:cs="Times New Roman"/>
                <w:b/>
                <w:sz w:val="18"/>
                <w:szCs w:val="18"/>
              </w:rPr>
              <w:t>$0</w:t>
            </w:r>
          </w:p>
        </w:tc>
        <w:tc>
          <w:tcPr>
            <w:tcW w:w="1093" w:type="dxa"/>
            <w:noWrap/>
          </w:tcPr>
          <w:p w14:paraId="041D82E2" w14:textId="77777777" w:rsidR="00F40687" w:rsidRPr="000973F2" w:rsidRDefault="00F40687" w:rsidP="00DF58A5">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sz w:val="18"/>
                <w:szCs w:val="18"/>
              </w:rPr>
            </w:pPr>
          </w:p>
        </w:tc>
        <w:tc>
          <w:tcPr>
            <w:tcW w:w="1092" w:type="dxa"/>
            <w:noWrap/>
            <w:hideMark/>
          </w:tcPr>
          <w:p w14:paraId="7B32C355" w14:textId="77777777" w:rsidR="00F40687" w:rsidRPr="000973F2" w:rsidRDefault="00F40687" w:rsidP="00DF58A5">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sz w:val="18"/>
                <w:szCs w:val="18"/>
              </w:rPr>
            </w:pPr>
            <w:r w:rsidRPr="000973F2">
              <w:rPr>
                <w:rFonts w:ascii="Times New Roman" w:eastAsia="Times New Roman" w:hAnsi="Times New Roman" w:cs="Times New Roman"/>
                <w:b/>
                <w:sz w:val="18"/>
                <w:szCs w:val="18"/>
              </w:rPr>
              <w:t>$0</w:t>
            </w:r>
          </w:p>
        </w:tc>
        <w:tc>
          <w:tcPr>
            <w:tcW w:w="1133" w:type="dxa"/>
            <w:noWrap/>
            <w:hideMark/>
          </w:tcPr>
          <w:p w14:paraId="657C8CA9" w14:textId="77777777" w:rsidR="00F40687" w:rsidRPr="000973F2" w:rsidRDefault="00F40687" w:rsidP="00DF58A5">
            <w:pPr>
              <w:tabs>
                <w:tab w:val="decimal" w:pos="661"/>
              </w:tabs>
              <w:spacing w:before="40" w:after="4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sz w:val="18"/>
                <w:szCs w:val="18"/>
              </w:rPr>
            </w:pPr>
            <w:r w:rsidRPr="000973F2">
              <w:rPr>
                <w:rFonts w:ascii="Times New Roman" w:eastAsia="Times New Roman" w:hAnsi="Times New Roman" w:cs="Times New Roman"/>
                <w:b/>
                <w:sz w:val="18"/>
                <w:szCs w:val="18"/>
              </w:rPr>
              <w:t>$1,050</w:t>
            </w:r>
          </w:p>
        </w:tc>
        <w:tc>
          <w:tcPr>
            <w:tcW w:w="1052" w:type="dxa"/>
            <w:noWrap/>
            <w:hideMark/>
          </w:tcPr>
          <w:p w14:paraId="762D281A" w14:textId="77777777" w:rsidR="00F40687" w:rsidRPr="000973F2" w:rsidRDefault="00F40687" w:rsidP="00DF58A5">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sz w:val="18"/>
                <w:szCs w:val="18"/>
              </w:rPr>
            </w:pPr>
            <w:r w:rsidRPr="000973F2">
              <w:rPr>
                <w:rFonts w:ascii="Times New Roman" w:eastAsia="Times New Roman" w:hAnsi="Times New Roman" w:cs="Times New Roman"/>
                <w:b/>
                <w:sz w:val="18"/>
                <w:szCs w:val="18"/>
              </w:rPr>
              <w:t>$0</w:t>
            </w:r>
          </w:p>
        </w:tc>
        <w:tc>
          <w:tcPr>
            <w:tcW w:w="1093" w:type="dxa"/>
            <w:noWrap/>
            <w:hideMark/>
          </w:tcPr>
          <w:p w14:paraId="3D685F30" w14:textId="77777777" w:rsidR="00F40687" w:rsidRPr="000973F2" w:rsidRDefault="00F40687" w:rsidP="00DF58A5">
            <w:pPr>
              <w:tabs>
                <w:tab w:val="decimal" w:pos="631"/>
              </w:tabs>
              <w:spacing w:before="40" w:after="4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sz w:val="18"/>
                <w:szCs w:val="18"/>
              </w:rPr>
            </w:pPr>
            <w:r w:rsidRPr="000973F2">
              <w:rPr>
                <w:rFonts w:ascii="Times New Roman" w:eastAsia="Times New Roman" w:hAnsi="Times New Roman" w:cs="Times New Roman"/>
                <w:b/>
                <w:sz w:val="18"/>
                <w:szCs w:val="18"/>
              </w:rPr>
              <w:t>$1,050</w:t>
            </w:r>
          </w:p>
        </w:tc>
      </w:tr>
    </w:tbl>
    <w:p w14:paraId="0F901D0E" w14:textId="77777777" w:rsidR="00F40687" w:rsidRPr="000973F2" w:rsidRDefault="00F40687" w:rsidP="00C00E4F">
      <w:pPr>
        <w:spacing w:line="240" w:lineRule="auto"/>
        <w:rPr>
          <w:rFonts w:ascii="Times New Roman" w:hAnsi="Times New Roman" w:cs="Times New Roman"/>
          <w:b/>
          <w:i/>
        </w:rPr>
      </w:pPr>
    </w:p>
    <w:p w14:paraId="26B76C7E" w14:textId="77777777" w:rsidR="00F40687" w:rsidRPr="000973F2" w:rsidRDefault="00F40687" w:rsidP="00C00E4F">
      <w:pPr>
        <w:spacing w:after="0" w:line="240" w:lineRule="auto"/>
        <w:jc w:val="center"/>
        <w:rPr>
          <w:rFonts w:ascii="Times New Roman" w:hAnsi="Times New Roman" w:cs="Times New Roman"/>
          <w:b/>
        </w:rPr>
      </w:pPr>
      <w:r w:rsidRPr="000973F2">
        <w:rPr>
          <w:rFonts w:ascii="Times New Roman" w:hAnsi="Times New Roman" w:cs="Times New Roman"/>
          <w:b/>
        </w:rPr>
        <w:br w:type="page"/>
      </w:r>
    </w:p>
    <w:p w14:paraId="65C9DF69" w14:textId="7191E57B" w:rsidR="00F40687" w:rsidRPr="000973F2" w:rsidRDefault="007425AB" w:rsidP="00DF58A5">
      <w:pPr>
        <w:pStyle w:val="Tabletitle"/>
        <w:rPr>
          <w:i/>
        </w:rPr>
      </w:pPr>
      <w:r w:rsidRPr="000973F2">
        <w:t xml:space="preserve">Table </w:t>
      </w:r>
      <w:r w:rsidR="00DF58A5" w:rsidRPr="000973F2">
        <w:t>Q-</w:t>
      </w:r>
      <w:r w:rsidRPr="000973F2">
        <w:t xml:space="preserve">2a(2). Capital and O&amp;M Costs </w:t>
      </w:r>
      <w:r w:rsidR="00B960CC" w:rsidRPr="000973F2">
        <w:t>–</w:t>
      </w:r>
      <w:r w:rsidRPr="000973F2">
        <w:t xml:space="preserve"> </w:t>
      </w:r>
      <w:r w:rsidR="00F40687" w:rsidRPr="000973F2">
        <w:t>Subpart Q</w:t>
      </w:r>
      <w:r w:rsidR="001320B8" w:rsidRPr="000973F2">
        <w:t xml:space="preserve"> </w:t>
      </w:r>
      <w:r w:rsidR="00B960CC" w:rsidRPr="000973F2">
        <w:t>–</w:t>
      </w:r>
      <w:r w:rsidR="001320B8" w:rsidRPr="000973F2">
        <w:t xml:space="preserve"> </w:t>
      </w:r>
      <w:r w:rsidR="00F40687" w:rsidRPr="000973F2">
        <w:t xml:space="preserve">Carbon Mass Balance Option </w:t>
      </w:r>
      <w:r w:rsidR="00B960CC" w:rsidRPr="000973F2">
        <w:t>–</w:t>
      </w:r>
      <w:r w:rsidR="00F40687" w:rsidRPr="000973F2">
        <w:t xml:space="preserve"> Supplier</w:t>
      </w:r>
    </w:p>
    <w:tbl>
      <w:tblPr>
        <w:tblStyle w:val="PlainTable1"/>
        <w:tblW w:w="5000" w:type="pct"/>
        <w:tblLayout w:type="fixed"/>
        <w:tblLook w:val="04A0" w:firstRow="1" w:lastRow="0" w:firstColumn="1" w:lastColumn="0" w:noHBand="0" w:noVBand="1"/>
      </w:tblPr>
      <w:tblGrid>
        <w:gridCol w:w="2942"/>
        <w:gridCol w:w="1105"/>
        <w:gridCol w:w="1106"/>
        <w:gridCol w:w="1105"/>
        <w:gridCol w:w="1117"/>
        <w:gridCol w:w="1095"/>
        <w:gridCol w:w="1106"/>
      </w:tblGrid>
      <w:tr w:rsidR="00FF36E8" w:rsidRPr="000973F2" w14:paraId="45A3C21F" w14:textId="77777777" w:rsidTr="00B6531F">
        <w:trPr>
          <w:cnfStyle w:val="100000000000" w:firstRow="1" w:lastRow="0" w:firstColumn="0" w:lastColumn="0" w:oddVBand="0" w:evenVBand="0" w:oddHBand="0" w:evenHBand="0" w:firstRowFirstColumn="0" w:firstRowLastColumn="0" w:lastRowFirstColumn="0" w:lastRowLastColumn="0"/>
          <w:trHeight w:val="802"/>
        </w:trPr>
        <w:tc>
          <w:tcPr>
            <w:cnfStyle w:val="001000000000" w:firstRow="0" w:lastRow="0" w:firstColumn="1" w:lastColumn="0" w:oddVBand="0" w:evenVBand="0" w:oddHBand="0" w:evenHBand="0" w:firstRowFirstColumn="0" w:firstRowLastColumn="0" w:lastRowFirstColumn="0" w:lastRowLastColumn="0"/>
            <w:tcW w:w="2865" w:type="dxa"/>
            <w:vMerge w:val="restart"/>
            <w:noWrap/>
            <w:hideMark/>
          </w:tcPr>
          <w:p w14:paraId="65AF882C" w14:textId="68E3A9DF" w:rsidR="00FF36E8" w:rsidRPr="000973F2" w:rsidRDefault="00FF36E8" w:rsidP="00DF58A5">
            <w:pPr>
              <w:spacing w:before="40" w:after="40"/>
              <w:rPr>
                <w:rFonts w:ascii="Times New Roman" w:eastAsia="Times New Roman" w:hAnsi="Times New Roman" w:cs="Times New Roman"/>
                <w:b w:val="0"/>
                <w:bCs w:val="0"/>
                <w:sz w:val="18"/>
                <w:szCs w:val="18"/>
              </w:rPr>
            </w:pPr>
            <w:r w:rsidRPr="000973F2">
              <w:rPr>
                <w:rFonts w:ascii="Times New Roman" w:eastAsia="Times New Roman" w:hAnsi="Times New Roman" w:cs="Times New Roman"/>
                <w:sz w:val="18"/>
                <w:szCs w:val="18"/>
              </w:rPr>
              <w:t>Activity</w:t>
            </w:r>
          </w:p>
        </w:tc>
        <w:tc>
          <w:tcPr>
            <w:tcW w:w="4320" w:type="dxa"/>
            <w:gridSpan w:val="4"/>
            <w:noWrap/>
            <w:hideMark/>
          </w:tcPr>
          <w:p w14:paraId="1A07E4B1" w14:textId="77777777" w:rsidR="00FF36E8" w:rsidRPr="000973F2" w:rsidRDefault="00FF36E8" w:rsidP="00DF58A5">
            <w:pPr>
              <w:spacing w:before="40" w:after="40"/>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bCs w:val="0"/>
                <w:sz w:val="18"/>
                <w:szCs w:val="18"/>
              </w:rPr>
            </w:pPr>
            <w:r w:rsidRPr="000973F2">
              <w:rPr>
                <w:rFonts w:ascii="Times New Roman" w:eastAsia="Times New Roman" w:hAnsi="Times New Roman" w:cs="Times New Roman"/>
                <w:sz w:val="18"/>
                <w:szCs w:val="18"/>
              </w:rPr>
              <w:t>Cost Categories</w:t>
            </w:r>
          </w:p>
        </w:tc>
        <w:tc>
          <w:tcPr>
            <w:tcW w:w="2145" w:type="dxa"/>
            <w:gridSpan w:val="2"/>
            <w:hideMark/>
          </w:tcPr>
          <w:p w14:paraId="3BDD1293" w14:textId="77777777" w:rsidR="00FF36E8" w:rsidRPr="000973F2" w:rsidRDefault="00FF36E8" w:rsidP="00DF58A5">
            <w:pPr>
              <w:spacing w:before="40" w:after="40"/>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bCs w:val="0"/>
                <w:sz w:val="18"/>
                <w:szCs w:val="18"/>
              </w:rPr>
            </w:pPr>
            <w:r w:rsidRPr="000973F2">
              <w:rPr>
                <w:rFonts w:ascii="Times New Roman" w:eastAsia="Times New Roman" w:hAnsi="Times New Roman" w:cs="Times New Roman"/>
                <w:sz w:val="18"/>
                <w:szCs w:val="18"/>
              </w:rPr>
              <w:t xml:space="preserve">Total Capital and O&amp;M Cost per Year per Facility </w:t>
            </w:r>
          </w:p>
          <w:p w14:paraId="2B1E54B1" w14:textId="77777777" w:rsidR="00FF36E8" w:rsidRPr="000973F2" w:rsidRDefault="00FF36E8" w:rsidP="00DF58A5">
            <w:pPr>
              <w:spacing w:before="40" w:after="40"/>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bCs w:val="0"/>
                <w:sz w:val="18"/>
                <w:szCs w:val="18"/>
              </w:rPr>
            </w:pPr>
            <w:r w:rsidRPr="000973F2">
              <w:rPr>
                <w:rFonts w:ascii="Times New Roman" w:eastAsia="Times New Roman" w:hAnsi="Times New Roman" w:cs="Times New Roman"/>
                <w:sz w:val="18"/>
                <w:szCs w:val="18"/>
              </w:rPr>
              <w:t>(2017$)</w:t>
            </w:r>
          </w:p>
        </w:tc>
      </w:tr>
      <w:tr w:rsidR="00DF58A5" w:rsidRPr="000973F2" w14:paraId="7A602259" w14:textId="77777777" w:rsidTr="00DF58A5">
        <w:tblPrEx>
          <w:jc w:val="left"/>
        </w:tblPrEx>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2865" w:type="dxa"/>
            <w:vMerge/>
            <w:noWrap/>
            <w:hideMark/>
          </w:tcPr>
          <w:p w14:paraId="365B0577" w14:textId="4CEAE33D" w:rsidR="00FF36E8" w:rsidRPr="000973F2" w:rsidRDefault="00FF36E8" w:rsidP="00DF58A5">
            <w:pPr>
              <w:spacing w:before="40" w:after="40"/>
              <w:jc w:val="center"/>
              <w:rPr>
                <w:rFonts w:ascii="Times New Roman" w:eastAsia="Times New Roman" w:hAnsi="Times New Roman" w:cs="Times New Roman"/>
                <w:b/>
                <w:bCs w:val="0"/>
                <w:sz w:val="18"/>
                <w:szCs w:val="18"/>
              </w:rPr>
            </w:pPr>
          </w:p>
        </w:tc>
        <w:tc>
          <w:tcPr>
            <w:tcW w:w="1077" w:type="dxa"/>
            <w:tcMar>
              <w:left w:w="14" w:type="dxa"/>
              <w:right w:w="14" w:type="dxa"/>
            </w:tcMar>
            <w:hideMark/>
          </w:tcPr>
          <w:p w14:paraId="5CED76C7" w14:textId="77777777" w:rsidR="00FF36E8" w:rsidRPr="000973F2" w:rsidRDefault="00FF36E8" w:rsidP="00DF58A5">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18"/>
                <w:szCs w:val="18"/>
              </w:rPr>
            </w:pPr>
            <w:r w:rsidRPr="000973F2">
              <w:rPr>
                <w:rFonts w:ascii="Times New Roman" w:eastAsia="Times New Roman" w:hAnsi="Times New Roman" w:cs="Times New Roman"/>
                <w:b/>
                <w:bCs/>
                <w:sz w:val="18"/>
                <w:szCs w:val="18"/>
              </w:rPr>
              <w:t>Capital Cost (2017$)</w:t>
            </w:r>
          </w:p>
        </w:tc>
        <w:tc>
          <w:tcPr>
            <w:tcW w:w="1078" w:type="dxa"/>
            <w:tcMar>
              <w:left w:w="14" w:type="dxa"/>
              <w:right w:w="14" w:type="dxa"/>
            </w:tcMar>
            <w:hideMark/>
          </w:tcPr>
          <w:p w14:paraId="1CF29440" w14:textId="77777777" w:rsidR="00FF36E8" w:rsidRPr="000973F2" w:rsidRDefault="00FF36E8" w:rsidP="00DF58A5">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18"/>
                <w:szCs w:val="18"/>
              </w:rPr>
            </w:pPr>
            <w:r w:rsidRPr="000973F2">
              <w:rPr>
                <w:rFonts w:ascii="Times New Roman" w:eastAsia="Times New Roman" w:hAnsi="Times New Roman" w:cs="Times New Roman"/>
                <w:b/>
                <w:bCs/>
                <w:sz w:val="18"/>
                <w:szCs w:val="18"/>
              </w:rPr>
              <w:t>Equipment Lifetime</w:t>
            </w:r>
          </w:p>
        </w:tc>
        <w:tc>
          <w:tcPr>
            <w:tcW w:w="1077" w:type="dxa"/>
            <w:tcMar>
              <w:left w:w="14" w:type="dxa"/>
              <w:right w:w="14" w:type="dxa"/>
            </w:tcMar>
            <w:hideMark/>
          </w:tcPr>
          <w:p w14:paraId="212E1A91" w14:textId="77777777" w:rsidR="00FF36E8" w:rsidRPr="000973F2" w:rsidRDefault="00FF36E8" w:rsidP="00DF58A5">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18"/>
                <w:szCs w:val="18"/>
              </w:rPr>
            </w:pPr>
            <w:r w:rsidRPr="000973F2">
              <w:rPr>
                <w:rFonts w:ascii="Times New Roman" w:eastAsia="Times New Roman" w:hAnsi="Times New Roman" w:cs="Times New Roman"/>
                <w:b/>
                <w:bCs/>
                <w:sz w:val="18"/>
                <w:szCs w:val="18"/>
              </w:rPr>
              <w:t>Annualized Capital Cost (2017$/year)</w:t>
            </w:r>
          </w:p>
        </w:tc>
        <w:tc>
          <w:tcPr>
            <w:tcW w:w="1088" w:type="dxa"/>
            <w:tcMar>
              <w:left w:w="14" w:type="dxa"/>
              <w:right w:w="14" w:type="dxa"/>
            </w:tcMar>
            <w:hideMark/>
          </w:tcPr>
          <w:p w14:paraId="00BDF2D0" w14:textId="77777777" w:rsidR="00FF36E8" w:rsidRPr="000973F2" w:rsidRDefault="00FF36E8" w:rsidP="00DF58A5">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18"/>
                <w:szCs w:val="18"/>
              </w:rPr>
            </w:pPr>
            <w:r w:rsidRPr="000973F2">
              <w:rPr>
                <w:rFonts w:ascii="Times New Roman" w:eastAsia="Times New Roman" w:hAnsi="Times New Roman" w:cs="Times New Roman"/>
                <w:b/>
                <w:bCs/>
                <w:sz w:val="18"/>
                <w:szCs w:val="18"/>
              </w:rPr>
              <w:t>O&amp;M Costs (2017$/year)</w:t>
            </w:r>
          </w:p>
        </w:tc>
        <w:tc>
          <w:tcPr>
            <w:tcW w:w="1067" w:type="dxa"/>
            <w:tcMar>
              <w:left w:w="14" w:type="dxa"/>
              <w:right w:w="14" w:type="dxa"/>
            </w:tcMar>
            <w:hideMark/>
          </w:tcPr>
          <w:p w14:paraId="1218C9A4" w14:textId="77777777" w:rsidR="00FF36E8" w:rsidRPr="000973F2" w:rsidRDefault="00FF36E8" w:rsidP="00DF58A5">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18"/>
                <w:szCs w:val="18"/>
              </w:rPr>
            </w:pPr>
            <w:r w:rsidRPr="000973F2">
              <w:rPr>
                <w:rFonts w:ascii="Times New Roman" w:eastAsia="Times New Roman" w:hAnsi="Times New Roman" w:cs="Times New Roman"/>
                <w:b/>
                <w:bCs/>
                <w:sz w:val="18"/>
                <w:szCs w:val="18"/>
              </w:rPr>
              <w:t>Initial Year</w:t>
            </w:r>
          </w:p>
        </w:tc>
        <w:tc>
          <w:tcPr>
            <w:tcW w:w="1078" w:type="dxa"/>
            <w:tcMar>
              <w:left w:w="14" w:type="dxa"/>
              <w:right w:w="14" w:type="dxa"/>
            </w:tcMar>
            <w:hideMark/>
          </w:tcPr>
          <w:p w14:paraId="5BFC5545" w14:textId="77777777" w:rsidR="00FF36E8" w:rsidRPr="000973F2" w:rsidRDefault="00FF36E8" w:rsidP="00DF58A5">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18"/>
                <w:szCs w:val="18"/>
              </w:rPr>
            </w:pPr>
            <w:r w:rsidRPr="000973F2">
              <w:rPr>
                <w:rFonts w:ascii="Times New Roman" w:eastAsia="Times New Roman" w:hAnsi="Times New Roman" w:cs="Times New Roman"/>
                <w:b/>
                <w:bCs/>
                <w:sz w:val="18"/>
                <w:szCs w:val="18"/>
              </w:rPr>
              <w:t>Subseq. Years</w:t>
            </w:r>
          </w:p>
        </w:tc>
      </w:tr>
      <w:tr w:rsidR="00AD5834" w:rsidRPr="000973F2" w14:paraId="0E68A66B" w14:textId="77777777" w:rsidTr="00B6531F">
        <w:tblPrEx>
          <w:jc w:val="left"/>
        </w:tblPrEx>
        <w:trPr>
          <w:trHeight w:val="412"/>
        </w:trPr>
        <w:tc>
          <w:tcPr>
            <w:cnfStyle w:val="001000000000" w:firstRow="0" w:lastRow="0" w:firstColumn="1" w:lastColumn="0" w:oddVBand="0" w:evenVBand="0" w:oddHBand="0" w:evenHBand="0" w:firstRowFirstColumn="0" w:firstRowLastColumn="0" w:lastRowFirstColumn="0" w:lastRowLastColumn="0"/>
            <w:tcW w:w="2865" w:type="dxa"/>
            <w:hideMark/>
          </w:tcPr>
          <w:p w14:paraId="5512B69A" w14:textId="77777777" w:rsidR="003E005F" w:rsidRPr="000973F2" w:rsidRDefault="003E005F" w:rsidP="00DF58A5">
            <w:pPr>
              <w:spacing w:before="40" w:after="4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Equipment (selection, purchase, installation)</w:t>
            </w:r>
          </w:p>
        </w:tc>
        <w:tc>
          <w:tcPr>
            <w:tcW w:w="1077" w:type="dxa"/>
            <w:noWrap/>
            <w:hideMark/>
          </w:tcPr>
          <w:p w14:paraId="49F41EF7" w14:textId="0633D8B8" w:rsidR="003E005F" w:rsidRPr="000973F2" w:rsidRDefault="00DF58A5" w:rsidP="00DF58A5">
            <w:pPr>
              <w:spacing w:before="40" w:after="4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w:t>
            </w:r>
          </w:p>
        </w:tc>
        <w:tc>
          <w:tcPr>
            <w:tcW w:w="1078" w:type="dxa"/>
            <w:noWrap/>
          </w:tcPr>
          <w:p w14:paraId="3554CE96" w14:textId="4798F5D6" w:rsidR="003E005F" w:rsidRPr="000973F2" w:rsidRDefault="003E005F" w:rsidP="00DF58A5">
            <w:pPr>
              <w:spacing w:before="40" w:after="4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p>
        </w:tc>
        <w:tc>
          <w:tcPr>
            <w:tcW w:w="1077" w:type="dxa"/>
            <w:noWrap/>
            <w:hideMark/>
          </w:tcPr>
          <w:p w14:paraId="118616B4" w14:textId="0E0DB4BB" w:rsidR="003E005F" w:rsidRPr="000973F2" w:rsidRDefault="00DF58A5" w:rsidP="00DF58A5">
            <w:pPr>
              <w:spacing w:before="40" w:after="4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w:t>
            </w:r>
          </w:p>
        </w:tc>
        <w:tc>
          <w:tcPr>
            <w:tcW w:w="1088" w:type="dxa"/>
            <w:noWrap/>
            <w:hideMark/>
          </w:tcPr>
          <w:p w14:paraId="6021B26F" w14:textId="3EDB3204" w:rsidR="003E005F" w:rsidRPr="000973F2" w:rsidRDefault="00DF58A5" w:rsidP="00DF58A5">
            <w:pPr>
              <w:spacing w:before="40" w:after="4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w:t>
            </w:r>
          </w:p>
        </w:tc>
        <w:tc>
          <w:tcPr>
            <w:tcW w:w="1067" w:type="dxa"/>
            <w:noWrap/>
            <w:hideMark/>
          </w:tcPr>
          <w:p w14:paraId="07C72B43" w14:textId="7A1A9340" w:rsidR="003E005F" w:rsidRPr="000973F2" w:rsidRDefault="00DF58A5" w:rsidP="00DF58A5">
            <w:pPr>
              <w:spacing w:before="40" w:after="4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w:t>
            </w:r>
          </w:p>
        </w:tc>
        <w:tc>
          <w:tcPr>
            <w:tcW w:w="1078" w:type="dxa"/>
            <w:noWrap/>
            <w:hideMark/>
          </w:tcPr>
          <w:p w14:paraId="7ED36222" w14:textId="688FE93F" w:rsidR="003E005F" w:rsidRPr="000973F2" w:rsidRDefault="00DF58A5" w:rsidP="00DF58A5">
            <w:pPr>
              <w:spacing w:before="40" w:after="4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w:t>
            </w:r>
          </w:p>
        </w:tc>
      </w:tr>
      <w:tr w:rsidR="00DF58A5" w:rsidRPr="000973F2" w14:paraId="7A2F217A" w14:textId="77777777" w:rsidTr="00DF58A5">
        <w:tblPrEx>
          <w:jc w:val="left"/>
        </w:tblPrEx>
        <w:trPr>
          <w:cnfStyle w:val="000000100000" w:firstRow="0" w:lastRow="0" w:firstColumn="0" w:lastColumn="0" w:oddVBand="0" w:evenVBand="0" w:oddHBand="1" w:evenHBand="0" w:firstRowFirstColumn="0" w:firstRowLastColumn="0" w:lastRowFirstColumn="0" w:lastRowLastColumn="0"/>
          <w:trHeight w:val="263"/>
        </w:trPr>
        <w:tc>
          <w:tcPr>
            <w:cnfStyle w:val="001000000000" w:firstRow="0" w:lastRow="0" w:firstColumn="1" w:lastColumn="0" w:oddVBand="0" w:evenVBand="0" w:oddHBand="0" w:evenHBand="0" w:firstRowFirstColumn="0" w:firstRowLastColumn="0" w:lastRowFirstColumn="0" w:lastRowLastColumn="0"/>
            <w:tcW w:w="2865" w:type="dxa"/>
            <w:hideMark/>
          </w:tcPr>
          <w:p w14:paraId="5FC51848" w14:textId="77777777" w:rsidR="003E005F" w:rsidRPr="000973F2" w:rsidRDefault="003E005F" w:rsidP="00DF58A5">
            <w:pPr>
              <w:spacing w:before="40" w:after="4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Performance testing</w:t>
            </w:r>
          </w:p>
        </w:tc>
        <w:tc>
          <w:tcPr>
            <w:tcW w:w="1077" w:type="dxa"/>
            <w:noWrap/>
            <w:hideMark/>
          </w:tcPr>
          <w:p w14:paraId="274171F3" w14:textId="73F3FE69" w:rsidR="003E005F" w:rsidRPr="000973F2" w:rsidRDefault="00DF58A5" w:rsidP="00DF58A5">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w:t>
            </w:r>
          </w:p>
        </w:tc>
        <w:tc>
          <w:tcPr>
            <w:tcW w:w="1078" w:type="dxa"/>
            <w:noWrap/>
          </w:tcPr>
          <w:p w14:paraId="14BD516B" w14:textId="521BE3BD" w:rsidR="003E005F" w:rsidRPr="000973F2" w:rsidRDefault="003E005F" w:rsidP="00DF58A5">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p>
        </w:tc>
        <w:tc>
          <w:tcPr>
            <w:tcW w:w="1077" w:type="dxa"/>
            <w:noWrap/>
            <w:hideMark/>
          </w:tcPr>
          <w:p w14:paraId="3DE93D0E" w14:textId="7273EAE4" w:rsidR="003E005F" w:rsidRPr="000973F2" w:rsidRDefault="00DF58A5" w:rsidP="00DF58A5">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w:t>
            </w:r>
          </w:p>
        </w:tc>
        <w:tc>
          <w:tcPr>
            <w:tcW w:w="1088" w:type="dxa"/>
            <w:noWrap/>
            <w:hideMark/>
          </w:tcPr>
          <w:p w14:paraId="37D80AFE" w14:textId="64072AA1" w:rsidR="003E005F" w:rsidRPr="000973F2" w:rsidRDefault="00DF58A5" w:rsidP="00DF58A5">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w:t>
            </w:r>
          </w:p>
        </w:tc>
        <w:tc>
          <w:tcPr>
            <w:tcW w:w="1067" w:type="dxa"/>
            <w:noWrap/>
            <w:hideMark/>
          </w:tcPr>
          <w:p w14:paraId="762A81FF" w14:textId="01FB61CC" w:rsidR="003E005F" w:rsidRPr="000973F2" w:rsidRDefault="00DF58A5" w:rsidP="00DF58A5">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w:t>
            </w:r>
          </w:p>
        </w:tc>
        <w:tc>
          <w:tcPr>
            <w:tcW w:w="1078" w:type="dxa"/>
            <w:noWrap/>
            <w:hideMark/>
          </w:tcPr>
          <w:p w14:paraId="57C9F7AA" w14:textId="23E37387" w:rsidR="003E005F" w:rsidRPr="000973F2" w:rsidRDefault="00DF58A5" w:rsidP="00DF58A5">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w:t>
            </w:r>
          </w:p>
        </w:tc>
      </w:tr>
      <w:tr w:rsidR="00F40687" w:rsidRPr="000973F2" w14:paraId="58142A90" w14:textId="77777777" w:rsidTr="00B6531F">
        <w:tblPrEx>
          <w:jc w:val="left"/>
        </w:tblPrEx>
        <w:trPr>
          <w:trHeight w:val="263"/>
        </w:trPr>
        <w:tc>
          <w:tcPr>
            <w:cnfStyle w:val="001000000000" w:firstRow="0" w:lastRow="0" w:firstColumn="1" w:lastColumn="0" w:oddVBand="0" w:evenVBand="0" w:oddHBand="0" w:evenHBand="0" w:firstRowFirstColumn="0" w:firstRowLastColumn="0" w:lastRowFirstColumn="0" w:lastRowLastColumn="0"/>
            <w:tcW w:w="2865" w:type="dxa"/>
            <w:hideMark/>
          </w:tcPr>
          <w:p w14:paraId="7D2434A9" w14:textId="77777777" w:rsidR="00F40687" w:rsidRPr="000973F2" w:rsidRDefault="00F40687" w:rsidP="00DF58A5">
            <w:pPr>
              <w:spacing w:before="40" w:after="4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Recordkeeping</w:t>
            </w:r>
          </w:p>
        </w:tc>
        <w:tc>
          <w:tcPr>
            <w:tcW w:w="1077" w:type="dxa"/>
            <w:noWrap/>
            <w:hideMark/>
          </w:tcPr>
          <w:p w14:paraId="71053499" w14:textId="77777777" w:rsidR="00F40687" w:rsidRPr="000973F2" w:rsidRDefault="00F40687" w:rsidP="00DF58A5">
            <w:pPr>
              <w:spacing w:before="40" w:after="4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$0</w:t>
            </w:r>
          </w:p>
        </w:tc>
        <w:tc>
          <w:tcPr>
            <w:tcW w:w="1078" w:type="dxa"/>
            <w:noWrap/>
          </w:tcPr>
          <w:p w14:paraId="6FBFBF80" w14:textId="77777777" w:rsidR="00F40687" w:rsidRPr="000973F2" w:rsidRDefault="00F40687" w:rsidP="00DF58A5">
            <w:pPr>
              <w:spacing w:before="40" w:after="4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p>
        </w:tc>
        <w:tc>
          <w:tcPr>
            <w:tcW w:w="1077" w:type="dxa"/>
            <w:noWrap/>
            <w:hideMark/>
          </w:tcPr>
          <w:p w14:paraId="2A227D53" w14:textId="77777777" w:rsidR="00F40687" w:rsidRPr="000973F2" w:rsidRDefault="00F40687" w:rsidP="00DF58A5">
            <w:pPr>
              <w:spacing w:before="40" w:after="4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$0</w:t>
            </w:r>
          </w:p>
        </w:tc>
        <w:tc>
          <w:tcPr>
            <w:tcW w:w="1088" w:type="dxa"/>
            <w:noWrap/>
            <w:hideMark/>
          </w:tcPr>
          <w:p w14:paraId="082E9B51" w14:textId="77777777" w:rsidR="00F40687" w:rsidRPr="000973F2" w:rsidRDefault="00F40687" w:rsidP="00DF58A5">
            <w:pPr>
              <w:spacing w:before="40" w:after="4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$50</w:t>
            </w:r>
          </w:p>
        </w:tc>
        <w:tc>
          <w:tcPr>
            <w:tcW w:w="1067" w:type="dxa"/>
            <w:noWrap/>
            <w:hideMark/>
          </w:tcPr>
          <w:p w14:paraId="7F0934CF" w14:textId="77777777" w:rsidR="00F40687" w:rsidRPr="000973F2" w:rsidRDefault="00F40687" w:rsidP="00DF58A5">
            <w:pPr>
              <w:spacing w:before="40" w:after="4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$0</w:t>
            </w:r>
          </w:p>
        </w:tc>
        <w:tc>
          <w:tcPr>
            <w:tcW w:w="1078" w:type="dxa"/>
            <w:noWrap/>
            <w:hideMark/>
          </w:tcPr>
          <w:p w14:paraId="1F3BE6DB" w14:textId="77777777" w:rsidR="00F40687" w:rsidRPr="000973F2" w:rsidRDefault="00F40687" w:rsidP="00DF58A5">
            <w:pPr>
              <w:spacing w:before="40" w:after="4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$50</w:t>
            </w:r>
          </w:p>
        </w:tc>
      </w:tr>
      <w:tr w:rsidR="00DF58A5" w:rsidRPr="000973F2" w14:paraId="439BB446" w14:textId="77777777" w:rsidTr="00DF58A5">
        <w:tblPrEx>
          <w:jc w:val="left"/>
        </w:tblPrEx>
        <w:trPr>
          <w:cnfStyle w:val="000000100000" w:firstRow="0" w:lastRow="0" w:firstColumn="0" w:lastColumn="0" w:oddVBand="0" w:evenVBand="0" w:oddHBand="1" w:evenHBand="0" w:firstRowFirstColumn="0" w:firstRowLastColumn="0" w:lastRowFirstColumn="0" w:lastRowLastColumn="0"/>
          <w:trHeight w:val="263"/>
        </w:trPr>
        <w:tc>
          <w:tcPr>
            <w:cnfStyle w:val="001000000000" w:firstRow="0" w:lastRow="0" w:firstColumn="1" w:lastColumn="0" w:oddVBand="0" w:evenVBand="0" w:oddHBand="0" w:evenHBand="0" w:firstRowFirstColumn="0" w:firstRowLastColumn="0" w:lastRowFirstColumn="0" w:lastRowLastColumn="0"/>
            <w:tcW w:w="2865" w:type="dxa"/>
            <w:hideMark/>
          </w:tcPr>
          <w:p w14:paraId="18B1A956" w14:textId="77777777" w:rsidR="003E005F" w:rsidRPr="000973F2" w:rsidRDefault="003E005F" w:rsidP="00DF58A5">
            <w:pPr>
              <w:spacing w:before="40" w:after="4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Travel</w:t>
            </w:r>
          </w:p>
        </w:tc>
        <w:tc>
          <w:tcPr>
            <w:tcW w:w="1077" w:type="dxa"/>
            <w:noWrap/>
            <w:hideMark/>
          </w:tcPr>
          <w:p w14:paraId="72BA059B" w14:textId="67D3C029" w:rsidR="003E005F" w:rsidRPr="000973F2" w:rsidRDefault="00DF58A5" w:rsidP="00DF58A5">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w:t>
            </w:r>
          </w:p>
        </w:tc>
        <w:tc>
          <w:tcPr>
            <w:tcW w:w="1078" w:type="dxa"/>
            <w:noWrap/>
          </w:tcPr>
          <w:p w14:paraId="65760271" w14:textId="12FCB110" w:rsidR="003E005F" w:rsidRPr="000973F2" w:rsidRDefault="003E005F" w:rsidP="00DF58A5">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p>
        </w:tc>
        <w:tc>
          <w:tcPr>
            <w:tcW w:w="1077" w:type="dxa"/>
            <w:noWrap/>
            <w:hideMark/>
          </w:tcPr>
          <w:p w14:paraId="7B48A20F" w14:textId="417FC5A1" w:rsidR="003E005F" w:rsidRPr="000973F2" w:rsidRDefault="00DF58A5" w:rsidP="00DF58A5">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w:t>
            </w:r>
          </w:p>
        </w:tc>
        <w:tc>
          <w:tcPr>
            <w:tcW w:w="1088" w:type="dxa"/>
            <w:noWrap/>
            <w:hideMark/>
          </w:tcPr>
          <w:p w14:paraId="2C7E00B4" w14:textId="5DCD7812" w:rsidR="003E005F" w:rsidRPr="000973F2" w:rsidRDefault="00DF58A5" w:rsidP="00DF58A5">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w:t>
            </w:r>
          </w:p>
        </w:tc>
        <w:tc>
          <w:tcPr>
            <w:tcW w:w="1067" w:type="dxa"/>
            <w:noWrap/>
            <w:hideMark/>
          </w:tcPr>
          <w:p w14:paraId="78EDB88D" w14:textId="2E84286D" w:rsidR="003E005F" w:rsidRPr="000973F2" w:rsidRDefault="00DF58A5" w:rsidP="00DF58A5">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w:t>
            </w:r>
          </w:p>
        </w:tc>
        <w:tc>
          <w:tcPr>
            <w:tcW w:w="1078" w:type="dxa"/>
            <w:noWrap/>
            <w:hideMark/>
          </w:tcPr>
          <w:p w14:paraId="52CDFE25" w14:textId="1F0FA7EE" w:rsidR="003E005F" w:rsidRPr="000973F2" w:rsidRDefault="00DF58A5" w:rsidP="00DF58A5">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w:t>
            </w:r>
          </w:p>
        </w:tc>
      </w:tr>
      <w:tr w:rsidR="00AD5834" w:rsidRPr="000973F2" w14:paraId="7B09F471" w14:textId="77777777" w:rsidTr="00B6531F">
        <w:tblPrEx>
          <w:jc w:val="left"/>
        </w:tblPrEx>
        <w:trPr>
          <w:trHeight w:val="316"/>
        </w:trPr>
        <w:tc>
          <w:tcPr>
            <w:cnfStyle w:val="001000000000" w:firstRow="0" w:lastRow="0" w:firstColumn="1" w:lastColumn="0" w:oddVBand="0" w:evenVBand="0" w:oddHBand="0" w:evenHBand="0" w:firstRowFirstColumn="0" w:firstRowLastColumn="0" w:lastRowFirstColumn="0" w:lastRowLastColumn="0"/>
            <w:tcW w:w="2865" w:type="dxa"/>
            <w:hideMark/>
          </w:tcPr>
          <w:p w14:paraId="475FAB4F" w14:textId="62371771" w:rsidR="003E005F" w:rsidRPr="000973F2" w:rsidRDefault="003E005F" w:rsidP="00DF58A5">
            <w:pPr>
              <w:spacing w:before="40" w:after="4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Sampling and Analysis Costs</w:t>
            </w:r>
          </w:p>
        </w:tc>
        <w:tc>
          <w:tcPr>
            <w:tcW w:w="1077" w:type="dxa"/>
            <w:noWrap/>
            <w:hideMark/>
          </w:tcPr>
          <w:p w14:paraId="3C3BD349" w14:textId="36AA1021" w:rsidR="003E005F" w:rsidRPr="000973F2" w:rsidRDefault="00DF58A5" w:rsidP="00DF58A5">
            <w:pPr>
              <w:spacing w:before="40" w:after="4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w:t>
            </w:r>
          </w:p>
        </w:tc>
        <w:tc>
          <w:tcPr>
            <w:tcW w:w="1078" w:type="dxa"/>
            <w:noWrap/>
          </w:tcPr>
          <w:p w14:paraId="5E256C56" w14:textId="03217FC5" w:rsidR="003E005F" w:rsidRPr="000973F2" w:rsidRDefault="003E005F" w:rsidP="00DF58A5">
            <w:pPr>
              <w:spacing w:before="40" w:after="4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p>
        </w:tc>
        <w:tc>
          <w:tcPr>
            <w:tcW w:w="1077" w:type="dxa"/>
            <w:noWrap/>
            <w:hideMark/>
          </w:tcPr>
          <w:p w14:paraId="5CBA10C2" w14:textId="3539A472" w:rsidR="003E005F" w:rsidRPr="000973F2" w:rsidRDefault="00DF58A5" w:rsidP="00DF58A5">
            <w:pPr>
              <w:spacing w:before="40" w:after="4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w:t>
            </w:r>
          </w:p>
        </w:tc>
        <w:tc>
          <w:tcPr>
            <w:tcW w:w="1088" w:type="dxa"/>
            <w:noWrap/>
            <w:hideMark/>
          </w:tcPr>
          <w:p w14:paraId="6921C36E" w14:textId="7F6676D0" w:rsidR="003E005F" w:rsidRPr="000973F2" w:rsidRDefault="00DF58A5" w:rsidP="00DF58A5">
            <w:pPr>
              <w:spacing w:before="40" w:after="4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w:t>
            </w:r>
          </w:p>
        </w:tc>
        <w:tc>
          <w:tcPr>
            <w:tcW w:w="1067" w:type="dxa"/>
            <w:noWrap/>
            <w:hideMark/>
          </w:tcPr>
          <w:p w14:paraId="4F5354D0" w14:textId="18E8FBC2" w:rsidR="003E005F" w:rsidRPr="000973F2" w:rsidRDefault="00DF58A5" w:rsidP="00DF58A5">
            <w:pPr>
              <w:spacing w:before="40" w:after="4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w:t>
            </w:r>
          </w:p>
        </w:tc>
        <w:tc>
          <w:tcPr>
            <w:tcW w:w="1078" w:type="dxa"/>
            <w:noWrap/>
            <w:hideMark/>
          </w:tcPr>
          <w:p w14:paraId="4AE98116" w14:textId="3D0EEE0F" w:rsidR="003E005F" w:rsidRPr="000973F2" w:rsidRDefault="00DF58A5" w:rsidP="00DF58A5">
            <w:pPr>
              <w:spacing w:before="40" w:after="4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w:t>
            </w:r>
          </w:p>
        </w:tc>
      </w:tr>
      <w:tr w:rsidR="00DF58A5" w:rsidRPr="000973F2" w14:paraId="39446B82" w14:textId="77777777" w:rsidTr="00DF58A5">
        <w:tblPrEx>
          <w:jc w:val="left"/>
        </w:tblPrEx>
        <w:trPr>
          <w:cnfStyle w:val="000000100000" w:firstRow="0" w:lastRow="0" w:firstColumn="0" w:lastColumn="0" w:oddVBand="0" w:evenVBand="0" w:oddHBand="1" w:evenHBand="0" w:firstRowFirstColumn="0" w:firstRowLastColumn="0" w:lastRowFirstColumn="0" w:lastRowLastColumn="0"/>
          <w:trHeight w:val="263"/>
        </w:trPr>
        <w:tc>
          <w:tcPr>
            <w:cnfStyle w:val="001000000000" w:firstRow="0" w:lastRow="0" w:firstColumn="1" w:lastColumn="0" w:oddVBand="0" w:evenVBand="0" w:oddHBand="0" w:evenHBand="0" w:firstRowFirstColumn="0" w:firstRowLastColumn="0" w:lastRowFirstColumn="0" w:lastRowLastColumn="0"/>
            <w:tcW w:w="2865" w:type="dxa"/>
            <w:hideMark/>
          </w:tcPr>
          <w:p w14:paraId="47F38FE2" w14:textId="77777777" w:rsidR="00F40687" w:rsidRPr="000973F2" w:rsidRDefault="00F40687" w:rsidP="00DF58A5">
            <w:pPr>
              <w:spacing w:before="40" w:after="40"/>
              <w:rPr>
                <w:rFonts w:ascii="Times New Roman" w:eastAsia="Times New Roman" w:hAnsi="Times New Roman" w:cs="Times New Roman"/>
                <w:b/>
                <w:bCs w:val="0"/>
                <w:sz w:val="18"/>
                <w:szCs w:val="18"/>
              </w:rPr>
            </w:pPr>
            <w:r w:rsidRPr="000973F2">
              <w:rPr>
                <w:rFonts w:ascii="Times New Roman" w:eastAsia="Times New Roman" w:hAnsi="Times New Roman" w:cs="Times New Roman"/>
                <w:b/>
                <w:sz w:val="18"/>
                <w:szCs w:val="18"/>
              </w:rPr>
              <w:t xml:space="preserve">Total </w:t>
            </w:r>
          </w:p>
        </w:tc>
        <w:tc>
          <w:tcPr>
            <w:tcW w:w="1077" w:type="dxa"/>
            <w:noWrap/>
            <w:hideMark/>
          </w:tcPr>
          <w:p w14:paraId="65E39C41" w14:textId="77777777" w:rsidR="00F40687" w:rsidRPr="000973F2" w:rsidRDefault="00F40687" w:rsidP="00DF58A5">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$0</w:t>
            </w:r>
          </w:p>
        </w:tc>
        <w:tc>
          <w:tcPr>
            <w:tcW w:w="1078" w:type="dxa"/>
            <w:noWrap/>
          </w:tcPr>
          <w:p w14:paraId="67EE4A92" w14:textId="77777777" w:rsidR="00F40687" w:rsidRPr="000973F2" w:rsidRDefault="00F40687" w:rsidP="00DF58A5">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p>
        </w:tc>
        <w:tc>
          <w:tcPr>
            <w:tcW w:w="1077" w:type="dxa"/>
            <w:noWrap/>
            <w:hideMark/>
          </w:tcPr>
          <w:p w14:paraId="3BAF9E87" w14:textId="77777777" w:rsidR="00F40687" w:rsidRPr="000973F2" w:rsidRDefault="00F40687" w:rsidP="00DF58A5">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$0</w:t>
            </w:r>
          </w:p>
        </w:tc>
        <w:tc>
          <w:tcPr>
            <w:tcW w:w="1088" w:type="dxa"/>
            <w:noWrap/>
            <w:hideMark/>
          </w:tcPr>
          <w:p w14:paraId="5B617290" w14:textId="77777777" w:rsidR="00F40687" w:rsidRPr="000973F2" w:rsidRDefault="00F40687" w:rsidP="00DF58A5">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$50</w:t>
            </w:r>
          </w:p>
        </w:tc>
        <w:tc>
          <w:tcPr>
            <w:tcW w:w="1067" w:type="dxa"/>
            <w:noWrap/>
            <w:hideMark/>
          </w:tcPr>
          <w:p w14:paraId="4474F021" w14:textId="77777777" w:rsidR="00F40687" w:rsidRPr="000973F2" w:rsidRDefault="00F40687" w:rsidP="00DF58A5">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$0</w:t>
            </w:r>
          </w:p>
        </w:tc>
        <w:tc>
          <w:tcPr>
            <w:tcW w:w="1078" w:type="dxa"/>
            <w:noWrap/>
            <w:hideMark/>
          </w:tcPr>
          <w:p w14:paraId="552CF874" w14:textId="77777777" w:rsidR="00F40687" w:rsidRPr="000973F2" w:rsidRDefault="00F40687" w:rsidP="00DF58A5">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$50</w:t>
            </w:r>
          </w:p>
        </w:tc>
      </w:tr>
    </w:tbl>
    <w:p w14:paraId="10DD2D40" w14:textId="77777777" w:rsidR="00F40687" w:rsidRPr="000973F2" w:rsidRDefault="00F40687" w:rsidP="00C00E4F">
      <w:pPr>
        <w:spacing w:line="240" w:lineRule="auto"/>
        <w:rPr>
          <w:rFonts w:ascii="Times New Roman" w:hAnsi="Times New Roman" w:cs="Times New Roman"/>
          <w:b/>
          <w:i/>
        </w:rPr>
      </w:pPr>
    </w:p>
    <w:p w14:paraId="101DAD9F" w14:textId="77777777" w:rsidR="00F40687" w:rsidRPr="000973F2" w:rsidRDefault="00F40687" w:rsidP="00DF58A5">
      <w:pPr>
        <w:pStyle w:val="Heading2"/>
      </w:pPr>
      <w:r w:rsidRPr="000973F2">
        <w:t>Labor Costs for Subpart Q – Site-Specific Emission Factor Option</w:t>
      </w:r>
    </w:p>
    <w:p w14:paraId="5D9A572B" w14:textId="3628F683" w:rsidR="00F40687" w:rsidRPr="000973F2" w:rsidRDefault="00F40687" w:rsidP="00DF58A5">
      <w:pPr>
        <w:pStyle w:val="BodyText"/>
      </w:pPr>
      <w:r w:rsidRPr="000973F2">
        <w:t xml:space="preserve">Table </w:t>
      </w:r>
      <w:r w:rsidR="00DF58A5" w:rsidRPr="000973F2">
        <w:t>Q-</w:t>
      </w:r>
      <w:r w:rsidRPr="000973F2">
        <w:t>1b below includes the labor hours for the 29 facilities that used the site-specific emission factor option to calculate CO</w:t>
      </w:r>
      <w:r w:rsidRPr="000973F2">
        <w:rPr>
          <w:vertAlign w:val="subscript"/>
        </w:rPr>
        <w:t>2</w:t>
      </w:r>
      <w:r w:rsidRPr="000973F2">
        <w:t xml:space="preserve"> emissions. This approach requires a performance test of three representative production cycles from each unit. Testing for different process equipment varies, but tests typically run 3</w:t>
      </w:r>
      <w:r w:rsidR="00DF58A5" w:rsidRPr="000973F2">
        <w:t> </w:t>
      </w:r>
      <w:r w:rsidRPr="000973F2">
        <w:t xml:space="preserve">hours and facilities average 4 units per facility, Therefore, performance testing and calculations are expected to take an average of 12 hours. Other typical activities for each of the labor activities are discussed in the Cost Appendix Introduction. Recordkeeping and reporting hours </w:t>
      </w:r>
      <w:r w:rsidR="000F1A71" w:rsidRPr="000973F2">
        <w:t>are based on</w:t>
      </w:r>
      <w:r w:rsidRPr="000973F2">
        <w:t xml:space="preserve"> the “medium bin”</w:t>
      </w:r>
      <w:r w:rsidR="000F1A71" w:rsidRPr="000973F2">
        <w:t xml:space="preserve"> designation</w:t>
      </w:r>
      <w:r w:rsidRPr="000973F2">
        <w:t>.</w:t>
      </w:r>
    </w:p>
    <w:p w14:paraId="2C521900" w14:textId="5C85D1B6" w:rsidR="00F40687" w:rsidRPr="000973F2" w:rsidRDefault="007425AB" w:rsidP="00DF58A5">
      <w:pPr>
        <w:pStyle w:val="Tabletitle"/>
      </w:pPr>
      <w:r w:rsidRPr="000973F2">
        <w:t xml:space="preserve">Table </w:t>
      </w:r>
      <w:r w:rsidR="00DF58A5" w:rsidRPr="000973F2">
        <w:t>Q-</w:t>
      </w:r>
      <w:r w:rsidRPr="000973F2">
        <w:t xml:space="preserve">1b. Labor Costs </w:t>
      </w:r>
      <w:r w:rsidR="00B960CC" w:rsidRPr="000973F2">
        <w:t>–</w:t>
      </w:r>
      <w:r w:rsidR="00F40687" w:rsidRPr="000973F2">
        <w:t xml:space="preserve">Subpart Q – Site-Specific Emission Factor Option </w:t>
      </w:r>
    </w:p>
    <w:tbl>
      <w:tblPr>
        <w:tblStyle w:val="PlainTable1"/>
        <w:tblW w:w="5000" w:type="pct"/>
        <w:tblLook w:val="04A0" w:firstRow="1" w:lastRow="0" w:firstColumn="1" w:lastColumn="0" w:noHBand="0" w:noVBand="1"/>
      </w:tblPr>
      <w:tblGrid>
        <w:gridCol w:w="1365"/>
        <w:gridCol w:w="730"/>
        <w:gridCol w:w="850"/>
        <w:gridCol w:w="730"/>
        <w:gridCol w:w="850"/>
        <w:gridCol w:w="879"/>
        <w:gridCol w:w="1023"/>
        <w:gridCol w:w="730"/>
        <w:gridCol w:w="850"/>
        <w:gridCol w:w="719"/>
        <w:gridCol w:w="850"/>
      </w:tblGrid>
      <w:tr w:rsidR="00F40687" w:rsidRPr="000973F2" w14:paraId="61A12540" w14:textId="77777777" w:rsidTr="00065233">
        <w:trPr>
          <w:cnfStyle w:val="100000000000" w:firstRow="1" w:lastRow="0" w:firstColumn="0" w:lastColumn="0" w:oddVBand="0" w:evenVBand="0" w:oddHBand="0"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1331" w:type="dxa"/>
            <w:vMerge w:val="restart"/>
            <w:noWrap/>
            <w:hideMark/>
          </w:tcPr>
          <w:p w14:paraId="121439CD" w14:textId="77777777" w:rsidR="00F40687" w:rsidRPr="000973F2" w:rsidRDefault="00F40687" w:rsidP="00DF58A5">
            <w:pPr>
              <w:spacing w:before="40" w:after="40"/>
              <w:rPr>
                <w:rFonts w:ascii="Times New Roman" w:eastAsia="Times New Roman" w:hAnsi="Times New Roman" w:cs="Times New Roman"/>
                <w:b w:val="0"/>
                <w:bCs w:val="0"/>
                <w:sz w:val="18"/>
                <w:szCs w:val="18"/>
              </w:rPr>
            </w:pPr>
            <w:r w:rsidRPr="000973F2">
              <w:rPr>
                <w:rFonts w:ascii="Times New Roman" w:eastAsia="Times New Roman" w:hAnsi="Times New Roman" w:cs="Times New Roman"/>
                <w:sz w:val="18"/>
                <w:szCs w:val="18"/>
              </w:rPr>
              <w:t>Activity</w:t>
            </w:r>
          </w:p>
        </w:tc>
        <w:tc>
          <w:tcPr>
            <w:tcW w:w="6470" w:type="dxa"/>
            <w:gridSpan w:val="8"/>
            <w:noWrap/>
            <w:hideMark/>
          </w:tcPr>
          <w:p w14:paraId="2CFA2B84" w14:textId="77777777" w:rsidR="00F40687" w:rsidRPr="000973F2" w:rsidRDefault="00F40687" w:rsidP="00DF58A5">
            <w:pPr>
              <w:spacing w:before="40" w:after="40"/>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bCs w:val="0"/>
                <w:sz w:val="18"/>
                <w:szCs w:val="18"/>
              </w:rPr>
            </w:pPr>
            <w:r w:rsidRPr="000973F2">
              <w:rPr>
                <w:rFonts w:ascii="Times New Roman" w:eastAsia="Times New Roman" w:hAnsi="Times New Roman" w:cs="Times New Roman"/>
                <w:sz w:val="18"/>
                <w:szCs w:val="18"/>
              </w:rPr>
              <w:t>Labor Rates (per hour)</w:t>
            </w:r>
          </w:p>
        </w:tc>
        <w:tc>
          <w:tcPr>
            <w:tcW w:w="1529" w:type="dxa"/>
            <w:gridSpan w:val="2"/>
            <w:vMerge w:val="restart"/>
            <w:hideMark/>
          </w:tcPr>
          <w:p w14:paraId="146429B8" w14:textId="77777777" w:rsidR="00F40687" w:rsidRPr="000973F2" w:rsidRDefault="00F40687" w:rsidP="00DF58A5">
            <w:pPr>
              <w:spacing w:before="40" w:after="40"/>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bCs w:val="0"/>
                <w:sz w:val="18"/>
                <w:szCs w:val="18"/>
              </w:rPr>
            </w:pPr>
            <w:r w:rsidRPr="000973F2">
              <w:rPr>
                <w:rFonts w:ascii="Times New Roman" w:eastAsia="Times New Roman" w:hAnsi="Times New Roman" w:cs="Times New Roman"/>
                <w:sz w:val="18"/>
                <w:szCs w:val="18"/>
              </w:rPr>
              <w:t>Total Labor Cost per Year per Facility (2017$)</w:t>
            </w:r>
          </w:p>
        </w:tc>
      </w:tr>
      <w:tr w:rsidR="00F40687" w:rsidRPr="000973F2" w14:paraId="62024EDE" w14:textId="77777777" w:rsidTr="00065233">
        <w:tblPrEx>
          <w:jc w:val="left"/>
        </w:tblPrEx>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1331" w:type="dxa"/>
            <w:vMerge/>
            <w:hideMark/>
          </w:tcPr>
          <w:p w14:paraId="7E1EE4EF" w14:textId="77777777" w:rsidR="00F40687" w:rsidRPr="000973F2" w:rsidRDefault="00F40687" w:rsidP="00DF58A5">
            <w:pPr>
              <w:spacing w:before="40" w:after="40"/>
              <w:rPr>
                <w:rFonts w:ascii="Times New Roman" w:eastAsia="Times New Roman" w:hAnsi="Times New Roman" w:cs="Times New Roman"/>
                <w:b/>
                <w:bCs w:val="0"/>
                <w:sz w:val="18"/>
                <w:szCs w:val="18"/>
              </w:rPr>
            </w:pPr>
          </w:p>
        </w:tc>
        <w:tc>
          <w:tcPr>
            <w:tcW w:w="1539" w:type="dxa"/>
            <w:gridSpan w:val="2"/>
            <w:noWrap/>
            <w:hideMark/>
          </w:tcPr>
          <w:p w14:paraId="0241991E" w14:textId="77777777" w:rsidR="00F40687" w:rsidRPr="000973F2" w:rsidRDefault="00F40687" w:rsidP="00DF58A5">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18"/>
                <w:szCs w:val="18"/>
              </w:rPr>
            </w:pPr>
            <w:r w:rsidRPr="000973F2">
              <w:rPr>
                <w:rFonts w:ascii="Times New Roman" w:eastAsia="Times New Roman" w:hAnsi="Times New Roman" w:cs="Times New Roman"/>
                <w:b/>
                <w:bCs/>
                <w:sz w:val="18"/>
                <w:szCs w:val="18"/>
              </w:rPr>
              <w:t>Lawyer</w:t>
            </w:r>
          </w:p>
        </w:tc>
        <w:tc>
          <w:tcPr>
            <w:tcW w:w="1539" w:type="dxa"/>
            <w:gridSpan w:val="2"/>
            <w:noWrap/>
            <w:hideMark/>
          </w:tcPr>
          <w:p w14:paraId="299BC3C8" w14:textId="77777777" w:rsidR="00F40687" w:rsidRPr="000973F2" w:rsidRDefault="00F40687" w:rsidP="00DF58A5">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18"/>
                <w:szCs w:val="18"/>
              </w:rPr>
            </w:pPr>
            <w:r w:rsidRPr="000973F2">
              <w:rPr>
                <w:rFonts w:ascii="Times New Roman" w:eastAsia="Times New Roman" w:hAnsi="Times New Roman" w:cs="Times New Roman"/>
                <w:b/>
                <w:bCs/>
                <w:sz w:val="18"/>
                <w:szCs w:val="18"/>
              </w:rPr>
              <w:t>Industrial Manager</w:t>
            </w:r>
          </w:p>
        </w:tc>
        <w:tc>
          <w:tcPr>
            <w:tcW w:w="1853" w:type="dxa"/>
            <w:gridSpan w:val="2"/>
            <w:hideMark/>
          </w:tcPr>
          <w:p w14:paraId="57B285C1" w14:textId="77777777" w:rsidR="00F40687" w:rsidRPr="000973F2" w:rsidRDefault="00F40687" w:rsidP="00DF58A5">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18"/>
                <w:szCs w:val="18"/>
              </w:rPr>
            </w:pPr>
            <w:r w:rsidRPr="000973F2">
              <w:rPr>
                <w:rFonts w:ascii="Times New Roman" w:eastAsia="Times New Roman" w:hAnsi="Times New Roman" w:cs="Times New Roman"/>
                <w:b/>
                <w:bCs/>
                <w:sz w:val="18"/>
                <w:szCs w:val="18"/>
              </w:rPr>
              <w:t>Industrial Engineer/Technician</w:t>
            </w:r>
          </w:p>
        </w:tc>
        <w:tc>
          <w:tcPr>
            <w:tcW w:w="1539" w:type="dxa"/>
            <w:gridSpan w:val="2"/>
            <w:hideMark/>
          </w:tcPr>
          <w:p w14:paraId="76C2337F" w14:textId="77777777" w:rsidR="00F40687" w:rsidRPr="000973F2" w:rsidRDefault="00F40687" w:rsidP="00DF58A5">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18"/>
                <w:szCs w:val="18"/>
              </w:rPr>
            </w:pPr>
            <w:r w:rsidRPr="000973F2">
              <w:rPr>
                <w:rFonts w:ascii="Times New Roman" w:eastAsia="Times New Roman" w:hAnsi="Times New Roman" w:cs="Times New Roman"/>
                <w:b/>
                <w:bCs/>
                <w:sz w:val="18"/>
                <w:szCs w:val="18"/>
              </w:rPr>
              <w:t>Administrative Support</w:t>
            </w:r>
          </w:p>
        </w:tc>
        <w:tc>
          <w:tcPr>
            <w:tcW w:w="1529" w:type="dxa"/>
            <w:gridSpan w:val="2"/>
            <w:vMerge/>
            <w:hideMark/>
          </w:tcPr>
          <w:p w14:paraId="133E8F0B" w14:textId="77777777" w:rsidR="00F40687" w:rsidRPr="000973F2" w:rsidRDefault="00F40687" w:rsidP="00DF58A5">
            <w:pPr>
              <w:spacing w:before="40" w:after="4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18"/>
                <w:szCs w:val="18"/>
              </w:rPr>
            </w:pPr>
          </w:p>
        </w:tc>
      </w:tr>
      <w:tr w:rsidR="00162779" w:rsidRPr="000973F2" w14:paraId="192F67E0" w14:textId="77777777" w:rsidTr="00065233">
        <w:tblPrEx>
          <w:jc w:val="left"/>
        </w:tblPrEx>
        <w:trPr>
          <w:cantSplit/>
        </w:trPr>
        <w:tc>
          <w:tcPr>
            <w:cnfStyle w:val="001000000000" w:firstRow="0" w:lastRow="0" w:firstColumn="1" w:lastColumn="0" w:oddVBand="0" w:evenVBand="0" w:oddHBand="0" w:evenHBand="0" w:firstRowFirstColumn="0" w:firstRowLastColumn="0" w:lastRowFirstColumn="0" w:lastRowLastColumn="0"/>
            <w:tcW w:w="1331" w:type="dxa"/>
            <w:vMerge/>
            <w:hideMark/>
          </w:tcPr>
          <w:p w14:paraId="0D988B7E" w14:textId="77777777" w:rsidR="00F40687" w:rsidRPr="000973F2" w:rsidRDefault="00F40687" w:rsidP="00DF58A5">
            <w:pPr>
              <w:spacing w:before="40" w:after="40"/>
              <w:rPr>
                <w:rFonts w:ascii="Times New Roman" w:eastAsia="Times New Roman" w:hAnsi="Times New Roman" w:cs="Times New Roman"/>
                <w:b/>
                <w:bCs w:val="0"/>
                <w:sz w:val="18"/>
                <w:szCs w:val="18"/>
              </w:rPr>
            </w:pPr>
          </w:p>
        </w:tc>
        <w:tc>
          <w:tcPr>
            <w:tcW w:w="1539" w:type="dxa"/>
            <w:gridSpan w:val="2"/>
            <w:noWrap/>
            <w:hideMark/>
          </w:tcPr>
          <w:p w14:paraId="302C2961" w14:textId="66012256" w:rsidR="00F40687" w:rsidRPr="000973F2" w:rsidRDefault="00F40687" w:rsidP="00DF58A5">
            <w:pPr>
              <w:spacing w:before="40" w:after="4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sz w:val="18"/>
                <w:szCs w:val="18"/>
              </w:rPr>
            </w:pPr>
            <w:r w:rsidRPr="000973F2">
              <w:rPr>
                <w:rFonts w:ascii="Times New Roman" w:eastAsia="Times New Roman" w:hAnsi="Times New Roman" w:cs="Times New Roman"/>
                <w:b/>
                <w:bCs/>
                <w:sz w:val="18"/>
                <w:szCs w:val="18"/>
              </w:rPr>
              <w:t>$112.23</w:t>
            </w:r>
          </w:p>
        </w:tc>
        <w:tc>
          <w:tcPr>
            <w:tcW w:w="1539" w:type="dxa"/>
            <w:gridSpan w:val="2"/>
            <w:noWrap/>
            <w:hideMark/>
          </w:tcPr>
          <w:p w14:paraId="293C4874" w14:textId="548F1F19" w:rsidR="00F40687" w:rsidRPr="000973F2" w:rsidRDefault="00F40687" w:rsidP="00DF58A5">
            <w:pPr>
              <w:spacing w:before="40" w:after="4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sz w:val="18"/>
                <w:szCs w:val="18"/>
              </w:rPr>
            </w:pPr>
            <w:r w:rsidRPr="000973F2">
              <w:rPr>
                <w:rFonts w:ascii="Times New Roman" w:eastAsia="Times New Roman" w:hAnsi="Times New Roman" w:cs="Times New Roman"/>
                <w:b/>
                <w:bCs/>
                <w:sz w:val="18"/>
                <w:szCs w:val="18"/>
              </w:rPr>
              <w:t>$87.45</w:t>
            </w:r>
          </w:p>
        </w:tc>
        <w:tc>
          <w:tcPr>
            <w:tcW w:w="1853" w:type="dxa"/>
            <w:gridSpan w:val="2"/>
            <w:noWrap/>
            <w:hideMark/>
          </w:tcPr>
          <w:p w14:paraId="08B4584B" w14:textId="11A8E477" w:rsidR="00F40687" w:rsidRPr="000973F2" w:rsidRDefault="00F40687" w:rsidP="00DF58A5">
            <w:pPr>
              <w:spacing w:before="40" w:after="4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sz w:val="18"/>
                <w:szCs w:val="18"/>
              </w:rPr>
            </w:pPr>
            <w:r w:rsidRPr="000973F2">
              <w:rPr>
                <w:rFonts w:ascii="Times New Roman" w:eastAsia="Times New Roman" w:hAnsi="Times New Roman" w:cs="Times New Roman"/>
                <w:b/>
                <w:bCs/>
                <w:sz w:val="18"/>
                <w:szCs w:val="18"/>
              </w:rPr>
              <w:t>$71.45</w:t>
            </w:r>
          </w:p>
        </w:tc>
        <w:tc>
          <w:tcPr>
            <w:tcW w:w="1539" w:type="dxa"/>
            <w:gridSpan w:val="2"/>
            <w:noWrap/>
            <w:hideMark/>
          </w:tcPr>
          <w:p w14:paraId="09ABFA09" w14:textId="17516FAA" w:rsidR="00F40687" w:rsidRPr="000973F2" w:rsidRDefault="00F40687" w:rsidP="00DF58A5">
            <w:pPr>
              <w:spacing w:before="40" w:after="4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sz w:val="18"/>
                <w:szCs w:val="18"/>
              </w:rPr>
            </w:pPr>
            <w:r w:rsidRPr="000973F2">
              <w:rPr>
                <w:rFonts w:ascii="Times New Roman" w:eastAsia="Times New Roman" w:hAnsi="Times New Roman" w:cs="Times New Roman"/>
                <w:b/>
                <w:bCs/>
                <w:sz w:val="18"/>
                <w:szCs w:val="18"/>
              </w:rPr>
              <w:t>$36.28</w:t>
            </w:r>
          </w:p>
        </w:tc>
        <w:tc>
          <w:tcPr>
            <w:tcW w:w="1529" w:type="dxa"/>
            <w:gridSpan w:val="2"/>
            <w:vMerge/>
            <w:hideMark/>
          </w:tcPr>
          <w:p w14:paraId="25A3D502" w14:textId="77777777" w:rsidR="00F40687" w:rsidRPr="000973F2" w:rsidRDefault="00F40687" w:rsidP="00DF58A5">
            <w:pPr>
              <w:spacing w:before="40" w:after="4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sz w:val="18"/>
                <w:szCs w:val="18"/>
              </w:rPr>
            </w:pPr>
          </w:p>
        </w:tc>
      </w:tr>
      <w:tr w:rsidR="00DF58A5" w:rsidRPr="000973F2" w14:paraId="11AC6DF6" w14:textId="77777777" w:rsidTr="00065233">
        <w:tblPrEx>
          <w:jc w:val="left"/>
        </w:tblPrEx>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1331" w:type="dxa"/>
            <w:vMerge/>
            <w:hideMark/>
          </w:tcPr>
          <w:p w14:paraId="4AB0AE0D" w14:textId="77777777" w:rsidR="00F40687" w:rsidRPr="000973F2" w:rsidRDefault="00F40687" w:rsidP="00DF58A5">
            <w:pPr>
              <w:spacing w:before="40" w:after="40"/>
              <w:rPr>
                <w:rFonts w:ascii="Times New Roman" w:eastAsia="Times New Roman" w:hAnsi="Times New Roman" w:cs="Times New Roman"/>
                <w:b/>
                <w:bCs w:val="0"/>
                <w:sz w:val="18"/>
                <w:szCs w:val="18"/>
              </w:rPr>
            </w:pPr>
          </w:p>
        </w:tc>
        <w:tc>
          <w:tcPr>
            <w:tcW w:w="711" w:type="dxa"/>
            <w:hideMark/>
          </w:tcPr>
          <w:p w14:paraId="0B6EA3AA" w14:textId="0BFCF984" w:rsidR="00F40687" w:rsidRPr="000973F2" w:rsidRDefault="00F40687" w:rsidP="00DF58A5">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18"/>
                <w:szCs w:val="18"/>
              </w:rPr>
            </w:pPr>
            <w:r w:rsidRPr="000973F2">
              <w:rPr>
                <w:rFonts w:ascii="Times New Roman" w:eastAsia="Times New Roman" w:hAnsi="Times New Roman" w:cs="Times New Roman"/>
                <w:b/>
                <w:bCs/>
                <w:sz w:val="18"/>
                <w:szCs w:val="18"/>
              </w:rPr>
              <w:t xml:space="preserve">Initial </w:t>
            </w:r>
            <w:r w:rsidR="00132320" w:rsidRPr="000973F2">
              <w:rPr>
                <w:rFonts w:ascii="Times New Roman" w:eastAsia="Times New Roman" w:hAnsi="Times New Roman" w:cs="Times New Roman"/>
                <w:b/>
                <w:bCs/>
                <w:sz w:val="18"/>
                <w:szCs w:val="18"/>
              </w:rPr>
              <w:t>Year Hours</w:t>
            </w:r>
          </w:p>
        </w:tc>
        <w:tc>
          <w:tcPr>
            <w:tcW w:w="828" w:type="dxa"/>
            <w:hideMark/>
          </w:tcPr>
          <w:p w14:paraId="6A8344B0" w14:textId="3B502CC4" w:rsidR="00F40687" w:rsidRPr="000973F2" w:rsidRDefault="00F40687" w:rsidP="00DF58A5">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18"/>
                <w:szCs w:val="18"/>
              </w:rPr>
            </w:pPr>
            <w:r w:rsidRPr="000973F2">
              <w:rPr>
                <w:rFonts w:ascii="Times New Roman" w:eastAsia="Times New Roman" w:hAnsi="Times New Roman" w:cs="Times New Roman"/>
                <w:b/>
                <w:bCs/>
                <w:sz w:val="18"/>
                <w:szCs w:val="18"/>
              </w:rPr>
              <w:t xml:space="preserve">Subseq. </w:t>
            </w:r>
            <w:r w:rsidR="00132320" w:rsidRPr="000973F2">
              <w:rPr>
                <w:rFonts w:ascii="Times New Roman" w:eastAsia="Times New Roman" w:hAnsi="Times New Roman" w:cs="Times New Roman"/>
                <w:b/>
                <w:bCs/>
                <w:sz w:val="18"/>
                <w:szCs w:val="18"/>
              </w:rPr>
              <w:t>Year Hours</w:t>
            </w:r>
          </w:p>
        </w:tc>
        <w:tc>
          <w:tcPr>
            <w:tcW w:w="711" w:type="dxa"/>
            <w:hideMark/>
          </w:tcPr>
          <w:p w14:paraId="1391A109" w14:textId="51BD4D07" w:rsidR="00F40687" w:rsidRPr="000973F2" w:rsidRDefault="00F40687" w:rsidP="00DF58A5">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18"/>
                <w:szCs w:val="18"/>
              </w:rPr>
            </w:pPr>
            <w:r w:rsidRPr="000973F2">
              <w:rPr>
                <w:rFonts w:ascii="Times New Roman" w:eastAsia="Times New Roman" w:hAnsi="Times New Roman" w:cs="Times New Roman"/>
                <w:b/>
                <w:bCs/>
                <w:sz w:val="18"/>
                <w:szCs w:val="18"/>
              </w:rPr>
              <w:t xml:space="preserve">Initial </w:t>
            </w:r>
            <w:r w:rsidR="00132320" w:rsidRPr="000973F2">
              <w:rPr>
                <w:rFonts w:ascii="Times New Roman" w:eastAsia="Times New Roman" w:hAnsi="Times New Roman" w:cs="Times New Roman"/>
                <w:b/>
                <w:bCs/>
                <w:sz w:val="18"/>
                <w:szCs w:val="18"/>
              </w:rPr>
              <w:t>Year Hours</w:t>
            </w:r>
          </w:p>
        </w:tc>
        <w:tc>
          <w:tcPr>
            <w:tcW w:w="828" w:type="dxa"/>
            <w:hideMark/>
          </w:tcPr>
          <w:p w14:paraId="0404044A" w14:textId="628FBB38" w:rsidR="00F40687" w:rsidRPr="000973F2" w:rsidRDefault="00F40687" w:rsidP="00DF58A5">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18"/>
                <w:szCs w:val="18"/>
              </w:rPr>
            </w:pPr>
            <w:r w:rsidRPr="000973F2">
              <w:rPr>
                <w:rFonts w:ascii="Times New Roman" w:eastAsia="Times New Roman" w:hAnsi="Times New Roman" w:cs="Times New Roman"/>
                <w:b/>
                <w:bCs/>
                <w:sz w:val="18"/>
                <w:szCs w:val="18"/>
              </w:rPr>
              <w:t xml:space="preserve">Subseq. </w:t>
            </w:r>
            <w:r w:rsidR="00132320" w:rsidRPr="000973F2">
              <w:rPr>
                <w:rFonts w:ascii="Times New Roman" w:eastAsia="Times New Roman" w:hAnsi="Times New Roman" w:cs="Times New Roman"/>
                <w:b/>
                <w:bCs/>
                <w:sz w:val="18"/>
                <w:szCs w:val="18"/>
              </w:rPr>
              <w:t>Year Hours</w:t>
            </w:r>
          </w:p>
        </w:tc>
        <w:tc>
          <w:tcPr>
            <w:tcW w:w="856" w:type="dxa"/>
            <w:hideMark/>
          </w:tcPr>
          <w:p w14:paraId="13B6AE08" w14:textId="209A16B6" w:rsidR="00F40687" w:rsidRPr="000973F2" w:rsidRDefault="00F40687" w:rsidP="00DF58A5">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18"/>
                <w:szCs w:val="18"/>
              </w:rPr>
            </w:pPr>
            <w:r w:rsidRPr="000973F2">
              <w:rPr>
                <w:rFonts w:ascii="Times New Roman" w:eastAsia="Times New Roman" w:hAnsi="Times New Roman" w:cs="Times New Roman"/>
                <w:b/>
                <w:bCs/>
                <w:sz w:val="18"/>
                <w:szCs w:val="18"/>
              </w:rPr>
              <w:t xml:space="preserve">Initial </w:t>
            </w:r>
            <w:r w:rsidR="00132320" w:rsidRPr="000973F2">
              <w:rPr>
                <w:rFonts w:ascii="Times New Roman" w:eastAsia="Times New Roman" w:hAnsi="Times New Roman" w:cs="Times New Roman"/>
                <w:b/>
                <w:bCs/>
                <w:sz w:val="18"/>
                <w:szCs w:val="18"/>
              </w:rPr>
              <w:t>Year Hours</w:t>
            </w:r>
          </w:p>
        </w:tc>
        <w:tc>
          <w:tcPr>
            <w:tcW w:w="997" w:type="dxa"/>
            <w:hideMark/>
          </w:tcPr>
          <w:p w14:paraId="28A3FF1F" w14:textId="2E09062F" w:rsidR="00F40687" w:rsidRPr="000973F2" w:rsidRDefault="00F40687" w:rsidP="00DF58A5">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18"/>
                <w:szCs w:val="18"/>
              </w:rPr>
            </w:pPr>
            <w:r w:rsidRPr="000973F2">
              <w:rPr>
                <w:rFonts w:ascii="Times New Roman" w:eastAsia="Times New Roman" w:hAnsi="Times New Roman" w:cs="Times New Roman"/>
                <w:b/>
                <w:bCs/>
                <w:sz w:val="18"/>
                <w:szCs w:val="18"/>
              </w:rPr>
              <w:t xml:space="preserve">Subseq. </w:t>
            </w:r>
            <w:r w:rsidR="00132320" w:rsidRPr="000973F2">
              <w:rPr>
                <w:rFonts w:ascii="Times New Roman" w:eastAsia="Times New Roman" w:hAnsi="Times New Roman" w:cs="Times New Roman"/>
                <w:b/>
                <w:bCs/>
                <w:sz w:val="18"/>
                <w:szCs w:val="18"/>
              </w:rPr>
              <w:t>Year Hours</w:t>
            </w:r>
          </w:p>
        </w:tc>
        <w:tc>
          <w:tcPr>
            <w:tcW w:w="711" w:type="dxa"/>
            <w:hideMark/>
          </w:tcPr>
          <w:p w14:paraId="45381D88" w14:textId="2B7B0710" w:rsidR="00F40687" w:rsidRPr="000973F2" w:rsidRDefault="00F40687" w:rsidP="00DF58A5">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18"/>
                <w:szCs w:val="18"/>
              </w:rPr>
            </w:pPr>
            <w:r w:rsidRPr="000973F2">
              <w:rPr>
                <w:rFonts w:ascii="Times New Roman" w:eastAsia="Times New Roman" w:hAnsi="Times New Roman" w:cs="Times New Roman"/>
                <w:b/>
                <w:bCs/>
                <w:sz w:val="18"/>
                <w:szCs w:val="18"/>
              </w:rPr>
              <w:t xml:space="preserve">Initial </w:t>
            </w:r>
            <w:r w:rsidR="00132320" w:rsidRPr="000973F2">
              <w:rPr>
                <w:rFonts w:ascii="Times New Roman" w:eastAsia="Times New Roman" w:hAnsi="Times New Roman" w:cs="Times New Roman"/>
                <w:b/>
                <w:bCs/>
                <w:sz w:val="18"/>
                <w:szCs w:val="18"/>
              </w:rPr>
              <w:t>Year Hours</w:t>
            </w:r>
          </w:p>
        </w:tc>
        <w:tc>
          <w:tcPr>
            <w:tcW w:w="828" w:type="dxa"/>
            <w:hideMark/>
          </w:tcPr>
          <w:p w14:paraId="501D22A4" w14:textId="633D80CE" w:rsidR="00F40687" w:rsidRPr="000973F2" w:rsidRDefault="00F40687" w:rsidP="00DF58A5">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18"/>
                <w:szCs w:val="18"/>
              </w:rPr>
            </w:pPr>
            <w:r w:rsidRPr="000973F2">
              <w:rPr>
                <w:rFonts w:ascii="Times New Roman" w:eastAsia="Times New Roman" w:hAnsi="Times New Roman" w:cs="Times New Roman"/>
                <w:b/>
                <w:bCs/>
                <w:sz w:val="18"/>
                <w:szCs w:val="18"/>
              </w:rPr>
              <w:t xml:space="preserve">Subseq. </w:t>
            </w:r>
            <w:r w:rsidR="00132320" w:rsidRPr="000973F2">
              <w:rPr>
                <w:rFonts w:ascii="Times New Roman" w:eastAsia="Times New Roman" w:hAnsi="Times New Roman" w:cs="Times New Roman"/>
                <w:b/>
                <w:bCs/>
                <w:sz w:val="18"/>
                <w:szCs w:val="18"/>
              </w:rPr>
              <w:t>Year Hours</w:t>
            </w:r>
          </w:p>
        </w:tc>
        <w:tc>
          <w:tcPr>
            <w:tcW w:w="701" w:type="dxa"/>
            <w:hideMark/>
          </w:tcPr>
          <w:p w14:paraId="08C6D881" w14:textId="77777777" w:rsidR="00F40687" w:rsidRPr="000973F2" w:rsidRDefault="00F40687" w:rsidP="00DF58A5">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18"/>
                <w:szCs w:val="18"/>
              </w:rPr>
            </w:pPr>
            <w:r w:rsidRPr="000973F2">
              <w:rPr>
                <w:rFonts w:ascii="Times New Roman" w:eastAsia="Times New Roman" w:hAnsi="Times New Roman" w:cs="Times New Roman"/>
                <w:b/>
                <w:bCs/>
                <w:sz w:val="18"/>
                <w:szCs w:val="18"/>
              </w:rPr>
              <w:t>Initial Year</w:t>
            </w:r>
          </w:p>
        </w:tc>
        <w:tc>
          <w:tcPr>
            <w:tcW w:w="828" w:type="dxa"/>
            <w:hideMark/>
          </w:tcPr>
          <w:p w14:paraId="4F6C880E" w14:textId="77777777" w:rsidR="00F40687" w:rsidRPr="000973F2" w:rsidRDefault="00F40687" w:rsidP="00DF58A5">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18"/>
                <w:szCs w:val="18"/>
              </w:rPr>
            </w:pPr>
            <w:r w:rsidRPr="000973F2">
              <w:rPr>
                <w:rFonts w:ascii="Times New Roman" w:eastAsia="Times New Roman" w:hAnsi="Times New Roman" w:cs="Times New Roman"/>
                <w:b/>
                <w:bCs/>
                <w:sz w:val="18"/>
                <w:szCs w:val="18"/>
              </w:rPr>
              <w:t>Subseq. Year</w:t>
            </w:r>
          </w:p>
        </w:tc>
      </w:tr>
      <w:tr w:rsidR="00162779" w:rsidRPr="000973F2" w14:paraId="06DC4434" w14:textId="77777777" w:rsidTr="00065233">
        <w:tblPrEx>
          <w:jc w:val="left"/>
        </w:tblPrEx>
        <w:trPr>
          <w:cantSplit/>
        </w:trPr>
        <w:tc>
          <w:tcPr>
            <w:cnfStyle w:val="001000000000" w:firstRow="0" w:lastRow="0" w:firstColumn="1" w:lastColumn="0" w:oddVBand="0" w:evenVBand="0" w:oddHBand="0" w:evenHBand="0" w:firstRowFirstColumn="0" w:firstRowLastColumn="0" w:lastRowFirstColumn="0" w:lastRowLastColumn="0"/>
            <w:tcW w:w="1331" w:type="dxa"/>
            <w:hideMark/>
          </w:tcPr>
          <w:p w14:paraId="1F0326EC" w14:textId="77777777" w:rsidR="00F40687" w:rsidRPr="000973F2" w:rsidRDefault="00F40687" w:rsidP="00DF58A5">
            <w:pPr>
              <w:spacing w:before="40" w:after="4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Planning</w:t>
            </w:r>
          </w:p>
        </w:tc>
        <w:tc>
          <w:tcPr>
            <w:tcW w:w="711" w:type="dxa"/>
            <w:noWrap/>
            <w:hideMark/>
          </w:tcPr>
          <w:p w14:paraId="56F8FA2F" w14:textId="77777777" w:rsidR="00F40687" w:rsidRPr="000973F2" w:rsidRDefault="00F40687" w:rsidP="00DF58A5">
            <w:pPr>
              <w:spacing w:before="40" w:after="4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0</w:t>
            </w:r>
          </w:p>
        </w:tc>
        <w:tc>
          <w:tcPr>
            <w:tcW w:w="828" w:type="dxa"/>
            <w:noWrap/>
            <w:hideMark/>
          </w:tcPr>
          <w:p w14:paraId="28A2BDBC" w14:textId="77777777" w:rsidR="00F40687" w:rsidRPr="000973F2" w:rsidRDefault="00F40687" w:rsidP="00DF58A5">
            <w:pPr>
              <w:spacing w:before="40" w:after="4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1</w:t>
            </w:r>
          </w:p>
        </w:tc>
        <w:tc>
          <w:tcPr>
            <w:tcW w:w="711" w:type="dxa"/>
            <w:noWrap/>
            <w:hideMark/>
          </w:tcPr>
          <w:p w14:paraId="065594EA" w14:textId="77777777" w:rsidR="00F40687" w:rsidRPr="000973F2" w:rsidRDefault="00F40687" w:rsidP="00DF58A5">
            <w:pPr>
              <w:spacing w:before="40" w:after="4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0</w:t>
            </w:r>
          </w:p>
        </w:tc>
        <w:tc>
          <w:tcPr>
            <w:tcW w:w="828" w:type="dxa"/>
            <w:noWrap/>
            <w:hideMark/>
          </w:tcPr>
          <w:p w14:paraId="1C3E90A7" w14:textId="77777777" w:rsidR="00F40687" w:rsidRPr="000973F2" w:rsidRDefault="00F40687" w:rsidP="00DF58A5">
            <w:pPr>
              <w:tabs>
                <w:tab w:val="decimal" w:pos="301"/>
              </w:tabs>
              <w:spacing w:before="40" w:after="4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0.3</w:t>
            </w:r>
          </w:p>
        </w:tc>
        <w:tc>
          <w:tcPr>
            <w:tcW w:w="856" w:type="dxa"/>
            <w:noWrap/>
            <w:hideMark/>
          </w:tcPr>
          <w:p w14:paraId="274020A0" w14:textId="77777777" w:rsidR="00F40687" w:rsidRPr="000973F2" w:rsidRDefault="00F40687" w:rsidP="00DF58A5">
            <w:pPr>
              <w:spacing w:before="40" w:after="4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0</w:t>
            </w:r>
          </w:p>
        </w:tc>
        <w:tc>
          <w:tcPr>
            <w:tcW w:w="997" w:type="dxa"/>
            <w:noWrap/>
            <w:hideMark/>
          </w:tcPr>
          <w:p w14:paraId="62305850" w14:textId="77777777" w:rsidR="00F40687" w:rsidRPr="000973F2" w:rsidRDefault="00F40687" w:rsidP="00DF58A5">
            <w:pPr>
              <w:tabs>
                <w:tab w:val="decimal" w:pos="466"/>
              </w:tabs>
              <w:spacing w:before="40" w:after="4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3</w:t>
            </w:r>
          </w:p>
        </w:tc>
        <w:tc>
          <w:tcPr>
            <w:tcW w:w="711" w:type="dxa"/>
            <w:noWrap/>
            <w:hideMark/>
          </w:tcPr>
          <w:p w14:paraId="73B8EC1F" w14:textId="77777777" w:rsidR="00F40687" w:rsidRPr="000973F2" w:rsidRDefault="00F40687" w:rsidP="00DF58A5">
            <w:pPr>
              <w:spacing w:before="40" w:after="4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0</w:t>
            </w:r>
          </w:p>
        </w:tc>
        <w:tc>
          <w:tcPr>
            <w:tcW w:w="828" w:type="dxa"/>
            <w:noWrap/>
            <w:hideMark/>
          </w:tcPr>
          <w:p w14:paraId="18475328" w14:textId="77777777" w:rsidR="00F40687" w:rsidRPr="000973F2" w:rsidRDefault="00F40687" w:rsidP="00DF58A5">
            <w:pPr>
              <w:tabs>
                <w:tab w:val="decimal" w:pos="286"/>
              </w:tabs>
              <w:spacing w:before="40" w:after="4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0.2</w:t>
            </w:r>
          </w:p>
        </w:tc>
        <w:tc>
          <w:tcPr>
            <w:tcW w:w="701" w:type="dxa"/>
            <w:noWrap/>
            <w:hideMark/>
          </w:tcPr>
          <w:p w14:paraId="034DDC9C" w14:textId="5EF84B77" w:rsidR="00F40687" w:rsidRPr="000973F2" w:rsidRDefault="00F40687" w:rsidP="00DF58A5">
            <w:pPr>
              <w:spacing w:before="40" w:after="4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$0</w:t>
            </w:r>
          </w:p>
        </w:tc>
        <w:tc>
          <w:tcPr>
            <w:tcW w:w="828" w:type="dxa"/>
            <w:noWrap/>
            <w:hideMark/>
          </w:tcPr>
          <w:p w14:paraId="5D14ED30" w14:textId="7DCC3DCB" w:rsidR="00F40687" w:rsidRPr="000973F2" w:rsidRDefault="00F40687" w:rsidP="00DF58A5">
            <w:pPr>
              <w:tabs>
                <w:tab w:val="decimal" w:pos="511"/>
              </w:tabs>
              <w:spacing w:before="40" w:after="4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$358</w:t>
            </w:r>
          </w:p>
        </w:tc>
      </w:tr>
      <w:tr w:rsidR="00DF58A5" w:rsidRPr="000973F2" w14:paraId="737A9CAD" w14:textId="77777777" w:rsidTr="00065233">
        <w:tblPrEx>
          <w:jc w:val="left"/>
        </w:tblPrEx>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1331" w:type="dxa"/>
            <w:hideMark/>
          </w:tcPr>
          <w:p w14:paraId="4B312960" w14:textId="77777777" w:rsidR="00F40687" w:rsidRPr="000973F2" w:rsidRDefault="00F40687" w:rsidP="00DF58A5">
            <w:pPr>
              <w:spacing w:before="40" w:after="4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QA/QC</w:t>
            </w:r>
          </w:p>
        </w:tc>
        <w:tc>
          <w:tcPr>
            <w:tcW w:w="711" w:type="dxa"/>
            <w:noWrap/>
            <w:hideMark/>
          </w:tcPr>
          <w:p w14:paraId="380D2157" w14:textId="77777777" w:rsidR="00F40687" w:rsidRPr="000973F2" w:rsidRDefault="00F40687" w:rsidP="00DF58A5">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0</w:t>
            </w:r>
          </w:p>
        </w:tc>
        <w:tc>
          <w:tcPr>
            <w:tcW w:w="828" w:type="dxa"/>
            <w:noWrap/>
            <w:hideMark/>
          </w:tcPr>
          <w:p w14:paraId="6AC4DBCC" w14:textId="77777777" w:rsidR="00F40687" w:rsidRPr="000973F2" w:rsidRDefault="00F40687" w:rsidP="00DF58A5">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1</w:t>
            </w:r>
          </w:p>
        </w:tc>
        <w:tc>
          <w:tcPr>
            <w:tcW w:w="711" w:type="dxa"/>
            <w:noWrap/>
            <w:hideMark/>
          </w:tcPr>
          <w:p w14:paraId="1D310F1B" w14:textId="77777777" w:rsidR="00F40687" w:rsidRPr="000973F2" w:rsidRDefault="00F40687" w:rsidP="00DF58A5">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0</w:t>
            </w:r>
          </w:p>
        </w:tc>
        <w:tc>
          <w:tcPr>
            <w:tcW w:w="828" w:type="dxa"/>
            <w:noWrap/>
            <w:hideMark/>
          </w:tcPr>
          <w:p w14:paraId="7E1D4B28" w14:textId="77777777" w:rsidR="00F40687" w:rsidRPr="000973F2" w:rsidRDefault="00F40687" w:rsidP="00DF58A5">
            <w:pPr>
              <w:tabs>
                <w:tab w:val="decimal" w:pos="301"/>
              </w:tabs>
              <w:spacing w:before="40" w:after="4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0.2</w:t>
            </w:r>
          </w:p>
        </w:tc>
        <w:tc>
          <w:tcPr>
            <w:tcW w:w="856" w:type="dxa"/>
            <w:noWrap/>
            <w:hideMark/>
          </w:tcPr>
          <w:p w14:paraId="44D94141" w14:textId="77777777" w:rsidR="00F40687" w:rsidRPr="000973F2" w:rsidRDefault="00F40687" w:rsidP="00DF58A5">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0</w:t>
            </w:r>
          </w:p>
        </w:tc>
        <w:tc>
          <w:tcPr>
            <w:tcW w:w="997" w:type="dxa"/>
            <w:noWrap/>
            <w:hideMark/>
          </w:tcPr>
          <w:p w14:paraId="5DA9410A" w14:textId="77777777" w:rsidR="00F40687" w:rsidRPr="000973F2" w:rsidRDefault="00F40687" w:rsidP="00DF58A5">
            <w:pPr>
              <w:tabs>
                <w:tab w:val="decimal" w:pos="466"/>
              </w:tabs>
              <w:spacing w:before="40" w:after="4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2</w:t>
            </w:r>
          </w:p>
        </w:tc>
        <w:tc>
          <w:tcPr>
            <w:tcW w:w="711" w:type="dxa"/>
            <w:noWrap/>
            <w:hideMark/>
          </w:tcPr>
          <w:p w14:paraId="41310216" w14:textId="77777777" w:rsidR="00F40687" w:rsidRPr="000973F2" w:rsidRDefault="00F40687" w:rsidP="00DF58A5">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0</w:t>
            </w:r>
          </w:p>
        </w:tc>
        <w:tc>
          <w:tcPr>
            <w:tcW w:w="828" w:type="dxa"/>
            <w:noWrap/>
            <w:hideMark/>
          </w:tcPr>
          <w:p w14:paraId="1029DD96" w14:textId="77777777" w:rsidR="00F40687" w:rsidRPr="000973F2" w:rsidRDefault="00F40687" w:rsidP="00DF58A5">
            <w:pPr>
              <w:tabs>
                <w:tab w:val="decimal" w:pos="286"/>
              </w:tabs>
              <w:spacing w:before="40" w:after="4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0.1</w:t>
            </w:r>
          </w:p>
        </w:tc>
        <w:tc>
          <w:tcPr>
            <w:tcW w:w="701" w:type="dxa"/>
            <w:noWrap/>
            <w:hideMark/>
          </w:tcPr>
          <w:p w14:paraId="312683EF" w14:textId="7673F556" w:rsidR="00F40687" w:rsidRPr="000973F2" w:rsidRDefault="00F40687" w:rsidP="00DF58A5">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$0</w:t>
            </w:r>
          </w:p>
        </w:tc>
        <w:tc>
          <w:tcPr>
            <w:tcW w:w="828" w:type="dxa"/>
            <w:noWrap/>
            <w:hideMark/>
          </w:tcPr>
          <w:p w14:paraId="2DA02365" w14:textId="1F6B8E5B" w:rsidR="00F40687" w:rsidRPr="000973F2" w:rsidRDefault="00F40687" w:rsidP="00DF58A5">
            <w:pPr>
              <w:tabs>
                <w:tab w:val="decimal" w:pos="511"/>
              </w:tabs>
              <w:spacing w:before="40" w:after="4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$276</w:t>
            </w:r>
          </w:p>
        </w:tc>
      </w:tr>
      <w:tr w:rsidR="00162779" w:rsidRPr="000973F2" w14:paraId="45BF0865" w14:textId="77777777" w:rsidTr="00065233">
        <w:tblPrEx>
          <w:jc w:val="left"/>
        </w:tblPrEx>
        <w:trPr>
          <w:cantSplit/>
        </w:trPr>
        <w:tc>
          <w:tcPr>
            <w:cnfStyle w:val="001000000000" w:firstRow="0" w:lastRow="0" w:firstColumn="1" w:lastColumn="0" w:oddVBand="0" w:evenVBand="0" w:oddHBand="0" w:evenHBand="0" w:firstRowFirstColumn="0" w:firstRowLastColumn="0" w:lastRowFirstColumn="0" w:lastRowLastColumn="0"/>
            <w:tcW w:w="1331" w:type="dxa"/>
            <w:hideMark/>
          </w:tcPr>
          <w:p w14:paraId="41D98186" w14:textId="77777777" w:rsidR="00F40687" w:rsidRPr="000973F2" w:rsidRDefault="00F40687" w:rsidP="00DF58A5">
            <w:pPr>
              <w:spacing w:before="40" w:after="4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Recordkeeping</w:t>
            </w:r>
          </w:p>
        </w:tc>
        <w:tc>
          <w:tcPr>
            <w:tcW w:w="711" w:type="dxa"/>
            <w:noWrap/>
            <w:hideMark/>
          </w:tcPr>
          <w:p w14:paraId="504AC214" w14:textId="77777777" w:rsidR="00F40687" w:rsidRPr="000973F2" w:rsidRDefault="00F40687" w:rsidP="00DF58A5">
            <w:pPr>
              <w:spacing w:before="40" w:after="4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0</w:t>
            </w:r>
          </w:p>
        </w:tc>
        <w:tc>
          <w:tcPr>
            <w:tcW w:w="828" w:type="dxa"/>
            <w:noWrap/>
            <w:hideMark/>
          </w:tcPr>
          <w:p w14:paraId="5F044F48" w14:textId="77777777" w:rsidR="00F40687" w:rsidRPr="000973F2" w:rsidRDefault="00F40687" w:rsidP="00DF58A5">
            <w:pPr>
              <w:spacing w:before="40" w:after="4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0</w:t>
            </w:r>
          </w:p>
        </w:tc>
        <w:tc>
          <w:tcPr>
            <w:tcW w:w="711" w:type="dxa"/>
            <w:noWrap/>
            <w:hideMark/>
          </w:tcPr>
          <w:p w14:paraId="43626B13" w14:textId="77777777" w:rsidR="00F40687" w:rsidRPr="000973F2" w:rsidRDefault="00F40687" w:rsidP="00DF58A5">
            <w:pPr>
              <w:spacing w:before="40" w:after="4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0</w:t>
            </w:r>
          </w:p>
        </w:tc>
        <w:tc>
          <w:tcPr>
            <w:tcW w:w="828" w:type="dxa"/>
            <w:noWrap/>
            <w:hideMark/>
          </w:tcPr>
          <w:p w14:paraId="31B2A3A7" w14:textId="77777777" w:rsidR="00F40687" w:rsidRPr="000973F2" w:rsidRDefault="00F40687" w:rsidP="00DF58A5">
            <w:pPr>
              <w:tabs>
                <w:tab w:val="decimal" w:pos="301"/>
              </w:tabs>
              <w:spacing w:before="40" w:after="4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0.5</w:t>
            </w:r>
          </w:p>
        </w:tc>
        <w:tc>
          <w:tcPr>
            <w:tcW w:w="856" w:type="dxa"/>
            <w:noWrap/>
            <w:hideMark/>
          </w:tcPr>
          <w:p w14:paraId="2D3CF8CA" w14:textId="77777777" w:rsidR="00F40687" w:rsidRPr="000973F2" w:rsidRDefault="00F40687" w:rsidP="00DF58A5">
            <w:pPr>
              <w:spacing w:before="40" w:after="4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0</w:t>
            </w:r>
          </w:p>
        </w:tc>
        <w:tc>
          <w:tcPr>
            <w:tcW w:w="997" w:type="dxa"/>
            <w:noWrap/>
            <w:hideMark/>
          </w:tcPr>
          <w:p w14:paraId="17211CED" w14:textId="77777777" w:rsidR="00F40687" w:rsidRPr="000973F2" w:rsidRDefault="00F40687" w:rsidP="00DF58A5">
            <w:pPr>
              <w:tabs>
                <w:tab w:val="decimal" w:pos="466"/>
              </w:tabs>
              <w:spacing w:before="40" w:after="4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2</w:t>
            </w:r>
          </w:p>
        </w:tc>
        <w:tc>
          <w:tcPr>
            <w:tcW w:w="711" w:type="dxa"/>
            <w:noWrap/>
            <w:hideMark/>
          </w:tcPr>
          <w:p w14:paraId="6C5F64C5" w14:textId="77777777" w:rsidR="00F40687" w:rsidRPr="000973F2" w:rsidRDefault="00F40687" w:rsidP="00DF58A5">
            <w:pPr>
              <w:spacing w:before="40" w:after="4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0</w:t>
            </w:r>
          </w:p>
        </w:tc>
        <w:tc>
          <w:tcPr>
            <w:tcW w:w="828" w:type="dxa"/>
            <w:noWrap/>
            <w:hideMark/>
          </w:tcPr>
          <w:p w14:paraId="22A9CE02" w14:textId="77777777" w:rsidR="00F40687" w:rsidRPr="000973F2" w:rsidRDefault="00F40687" w:rsidP="00DF58A5">
            <w:pPr>
              <w:tabs>
                <w:tab w:val="decimal" w:pos="286"/>
              </w:tabs>
              <w:spacing w:before="40" w:after="4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0.5</w:t>
            </w:r>
          </w:p>
        </w:tc>
        <w:tc>
          <w:tcPr>
            <w:tcW w:w="701" w:type="dxa"/>
            <w:noWrap/>
            <w:hideMark/>
          </w:tcPr>
          <w:p w14:paraId="6750E0B1" w14:textId="5997CDAA" w:rsidR="00F40687" w:rsidRPr="000973F2" w:rsidRDefault="00F40687" w:rsidP="00DF58A5">
            <w:pPr>
              <w:spacing w:before="40" w:after="4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$0</w:t>
            </w:r>
          </w:p>
        </w:tc>
        <w:tc>
          <w:tcPr>
            <w:tcW w:w="828" w:type="dxa"/>
            <w:noWrap/>
            <w:hideMark/>
          </w:tcPr>
          <w:p w14:paraId="24C8C875" w14:textId="7C410B67" w:rsidR="00F40687" w:rsidRPr="000973F2" w:rsidRDefault="00F40687" w:rsidP="00DF58A5">
            <w:pPr>
              <w:tabs>
                <w:tab w:val="decimal" w:pos="511"/>
              </w:tabs>
              <w:spacing w:before="40" w:after="4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$205</w:t>
            </w:r>
          </w:p>
        </w:tc>
      </w:tr>
      <w:tr w:rsidR="00DF58A5" w:rsidRPr="000973F2" w14:paraId="39FE2E7A" w14:textId="77777777" w:rsidTr="00065233">
        <w:tblPrEx>
          <w:jc w:val="left"/>
        </w:tblPrEx>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1331" w:type="dxa"/>
            <w:hideMark/>
          </w:tcPr>
          <w:p w14:paraId="4CB1E701" w14:textId="77777777" w:rsidR="00F40687" w:rsidRPr="000973F2" w:rsidRDefault="00F40687" w:rsidP="00DF58A5">
            <w:pPr>
              <w:spacing w:before="40" w:after="4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Sampling and Analysis (Calculations)</w:t>
            </w:r>
          </w:p>
        </w:tc>
        <w:tc>
          <w:tcPr>
            <w:tcW w:w="711" w:type="dxa"/>
            <w:noWrap/>
            <w:hideMark/>
          </w:tcPr>
          <w:p w14:paraId="5FF7E2CF" w14:textId="77777777" w:rsidR="00F40687" w:rsidRPr="000973F2" w:rsidRDefault="00F40687" w:rsidP="00DF58A5">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0</w:t>
            </w:r>
          </w:p>
        </w:tc>
        <w:tc>
          <w:tcPr>
            <w:tcW w:w="828" w:type="dxa"/>
            <w:noWrap/>
            <w:hideMark/>
          </w:tcPr>
          <w:p w14:paraId="43C50A0C" w14:textId="77777777" w:rsidR="00F40687" w:rsidRPr="000973F2" w:rsidRDefault="00F40687" w:rsidP="00DF58A5">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0</w:t>
            </w:r>
          </w:p>
        </w:tc>
        <w:tc>
          <w:tcPr>
            <w:tcW w:w="711" w:type="dxa"/>
            <w:noWrap/>
            <w:hideMark/>
          </w:tcPr>
          <w:p w14:paraId="791F48F2" w14:textId="77777777" w:rsidR="00F40687" w:rsidRPr="000973F2" w:rsidRDefault="00F40687" w:rsidP="00DF58A5">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0</w:t>
            </w:r>
          </w:p>
        </w:tc>
        <w:tc>
          <w:tcPr>
            <w:tcW w:w="828" w:type="dxa"/>
            <w:noWrap/>
            <w:hideMark/>
          </w:tcPr>
          <w:p w14:paraId="403E5CE8" w14:textId="77777777" w:rsidR="00F40687" w:rsidRPr="000973F2" w:rsidRDefault="00F40687" w:rsidP="00DF58A5">
            <w:pPr>
              <w:tabs>
                <w:tab w:val="decimal" w:pos="301"/>
              </w:tabs>
              <w:spacing w:before="40" w:after="4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1.2</w:t>
            </w:r>
          </w:p>
        </w:tc>
        <w:tc>
          <w:tcPr>
            <w:tcW w:w="856" w:type="dxa"/>
            <w:noWrap/>
            <w:hideMark/>
          </w:tcPr>
          <w:p w14:paraId="337F06D3" w14:textId="77777777" w:rsidR="00F40687" w:rsidRPr="000973F2" w:rsidRDefault="00F40687" w:rsidP="00DF58A5">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0</w:t>
            </w:r>
          </w:p>
        </w:tc>
        <w:tc>
          <w:tcPr>
            <w:tcW w:w="997" w:type="dxa"/>
            <w:noWrap/>
            <w:hideMark/>
          </w:tcPr>
          <w:p w14:paraId="2B359EA0" w14:textId="77777777" w:rsidR="00F40687" w:rsidRPr="000973F2" w:rsidRDefault="00F40687" w:rsidP="00DF58A5">
            <w:pPr>
              <w:tabs>
                <w:tab w:val="decimal" w:pos="466"/>
              </w:tabs>
              <w:spacing w:before="40" w:after="4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12</w:t>
            </w:r>
          </w:p>
        </w:tc>
        <w:tc>
          <w:tcPr>
            <w:tcW w:w="711" w:type="dxa"/>
            <w:noWrap/>
            <w:hideMark/>
          </w:tcPr>
          <w:p w14:paraId="43132F06" w14:textId="77777777" w:rsidR="00F40687" w:rsidRPr="000973F2" w:rsidRDefault="00F40687" w:rsidP="00DF58A5">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0</w:t>
            </w:r>
          </w:p>
        </w:tc>
        <w:tc>
          <w:tcPr>
            <w:tcW w:w="828" w:type="dxa"/>
            <w:noWrap/>
            <w:hideMark/>
          </w:tcPr>
          <w:p w14:paraId="51FFDD48" w14:textId="77777777" w:rsidR="00F40687" w:rsidRPr="000973F2" w:rsidRDefault="00F40687" w:rsidP="00DF58A5">
            <w:pPr>
              <w:tabs>
                <w:tab w:val="decimal" w:pos="286"/>
              </w:tabs>
              <w:spacing w:before="40" w:after="4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0.6</w:t>
            </w:r>
          </w:p>
        </w:tc>
        <w:tc>
          <w:tcPr>
            <w:tcW w:w="701" w:type="dxa"/>
            <w:noWrap/>
            <w:hideMark/>
          </w:tcPr>
          <w:p w14:paraId="5FD906C5" w14:textId="2FB9E27A" w:rsidR="00F40687" w:rsidRPr="000973F2" w:rsidRDefault="00F40687" w:rsidP="00DF58A5">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$0</w:t>
            </w:r>
          </w:p>
        </w:tc>
        <w:tc>
          <w:tcPr>
            <w:tcW w:w="828" w:type="dxa"/>
            <w:noWrap/>
            <w:hideMark/>
          </w:tcPr>
          <w:p w14:paraId="23E597D3" w14:textId="665F6028" w:rsidR="00F40687" w:rsidRPr="000973F2" w:rsidRDefault="00F40687" w:rsidP="00DF58A5">
            <w:pPr>
              <w:tabs>
                <w:tab w:val="decimal" w:pos="511"/>
              </w:tabs>
              <w:spacing w:before="40" w:after="4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$984</w:t>
            </w:r>
          </w:p>
        </w:tc>
      </w:tr>
      <w:tr w:rsidR="00162779" w:rsidRPr="000973F2" w14:paraId="3768FF2A" w14:textId="77777777" w:rsidTr="00065233">
        <w:tblPrEx>
          <w:jc w:val="left"/>
        </w:tblPrEx>
        <w:trPr>
          <w:cantSplit/>
        </w:trPr>
        <w:tc>
          <w:tcPr>
            <w:cnfStyle w:val="001000000000" w:firstRow="0" w:lastRow="0" w:firstColumn="1" w:lastColumn="0" w:oddVBand="0" w:evenVBand="0" w:oddHBand="0" w:evenHBand="0" w:firstRowFirstColumn="0" w:firstRowLastColumn="0" w:lastRowFirstColumn="0" w:lastRowLastColumn="0"/>
            <w:tcW w:w="1331" w:type="dxa"/>
            <w:hideMark/>
          </w:tcPr>
          <w:p w14:paraId="6749DA55" w14:textId="77777777" w:rsidR="00F40687" w:rsidRPr="000973F2" w:rsidRDefault="00F40687" w:rsidP="00DF58A5">
            <w:pPr>
              <w:spacing w:before="40" w:after="4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Reporting</w:t>
            </w:r>
          </w:p>
        </w:tc>
        <w:tc>
          <w:tcPr>
            <w:tcW w:w="711" w:type="dxa"/>
            <w:noWrap/>
            <w:hideMark/>
          </w:tcPr>
          <w:p w14:paraId="1749CAD2" w14:textId="77777777" w:rsidR="00F40687" w:rsidRPr="000973F2" w:rsidRDefault="00F40687" w:rsidP="00DF58A5">
            <w:pPr>
              <w:spacing w:before="40" w:after="4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0</w:t>
            </w:r>
          </w:p>
        </w:tc>
        <w:tc>
          <w:tcPr>
            <w:tcW w:w="828" w:type="dxa"/>
            <w:noWrap/>
            <w:hideMark/>
          </w:tcPr>
          <w:p w14:paraId="04F688E6" w14:textId="77777777" w:rsidR="00F40687" w:rsidRPr="000973F2" w:rsidRDefault="00F40687" w:rsidP="00DF58A5">
            <w:pPr>
              <w:spacing w:before="40" w:after="4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0</w:t>
            </w:r>
          </w:p>
        </w:tc>
        <w:tc>
          <w:tcPr>
            <w:tcW w:w="711" w:type="dxa"/>
            <w:noWrap/>
            <w:hideMark/>
          </w:tcPr>
          <w:p w14:paraId="00EE9249" w14:textId="77777777" w:rsidR="00F40687" w:rsidRPr="000973F2" w:rsidRDefault="00F40687" w:rsidP="00DF58A5">
            <w:pPr>
              <w:spacing w:before="40" w:after="4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0</w:t>
            </w:r>
          </w:p>
        </w:tc>
        <w:tc>
          <w:tcPr>
            <w:tcW w:w="828" w:type="dxa"/>
            <w:noWrap/>
            <w:hideMark/>
          </w:tcPr>
          <w:p w14:paraId="5B6EACDF" w14:textId="77777777" w:rsidR="00F40687" w:rsidRPr="000973F2" w:rsidRDefault="00F40687" w:rsidP="00DF58A5">
            <w:pPr>
              <w:tabs>
                <w:tab w:val="decimal" w:pos="301"/>
              </w:tabs>
              <w:spacing w:before="40" w:after="4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1</w:t>
            </w:r>
          </w:p>
        </w:tc>
        <w:tc>
          <w:tcPr>
            <w:tcW w:w="856" w:type="dxa"/>
            <w:noWrap/>
            <w:hideMark/>
          </w:tcPr>
          <w:p w14:paraId="3FEAC340" w14:textId="77777777" w:rsidR="00F40687" w:rsidRPr="000973F2" w:rsidRDefault="00F40687" w:rsidP="00DF58A5">
            <w:pPr>
              <w:spacing w:before="40" w:after="4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0</w:t>
            </w:r>
          </w:p>
        </w:tc>
        <w:tc>
          <w:tcPr>
            <w:tcW w:w="997" w:type="dxa"/>
            <w:noWrap/>
            <w:hideMark/>
          </w:tcPr>
          <w:p w14:paraId="2C514432" w14:textId="77777777" w:rsidR="00F40687" w:rsidRPr="000973F2" w:rsidRDefault="00F40687" w:rsidP="00DF58A5">
            <w:pPr>
              <w:tabs>
                <w:tab w:val="decimal" w:pos="466"/>
              </w:tabs>
              <w:spacing w:before="40" w:after="4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4</w:t>
            </w:r>
          </w:p>
        </w:tc>
        <w:tc>
          <w:tcPr>
            <w:tcW w:w="711" w:type="dxa"/>
            <w:noWrap/>
            <w:hideMark/>
          </w:tcPr>
          <w:p w14:paraId="44B1F2C1" w14:textId="77777777" w:rsidR="00F40687" w:rsidRPr="000973F2" w:rsidRDefault="00F40687" w:rsidP="00DF58A5">
            <w:pPr>
              <w:spacing w:before="40" w:after="4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0</w:t>
            </w:r>
          </w:p>
        </w:tc>
        <w:tc>
          <w:tcPr>
            <w:tcW w:w="828" w:type="dxa"/>
            <w:noWrap/>
            <w:hideMark/>
          </w:tcPr>
          <w:p w14:paraId="79BA9F9D" w14:textId="77777777" w:rsidR="00F40687" w:rsidRPr="000973F2" w:rsidRDefault="00F40687" w:rsidP="00DF58A5">
            <w:pPr>
              <w:tabs>
                <w:tab w:val="decimal" w:pos="286"/>
              </w:tabs>
              <w:spacing w:before="40" w:after="4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1</w:t>
            </w:r>
          </w:p>
        </w:tc>
        <w:tc>
          <w:tcPr>
            <w:tcW w:w="701" w:type="dxa"/>
            <w:noWrap/>
            <w:hideMark/>
          </w:tcPr>
          <w:p w14:paraId="078A5182" w14:textId="0932357F" w:rsidR="00F40687" w:rsidRPr="000973F2" w:rsidRDefault="00F40687" w:rsidP="00DF58A5">
            <w:pPr>
              <w:spacing w:before="40" w:after="4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$0</w:t>
            </w:r>
          </w:p>
        </w:tc>
        <w:tc>
          <w:tcPr>
            <w:tcW w:w="828" w:type="dxa"/>
            <w:noWrap/>
            <w:hideMark/>
          </w:tcPr>
          <w:p w14:paraId="6065AB49" w14:textId="73F8D48A" w:rsidR="00F40687" w:rsidRPr="000973F2" w:rsidRDefault="00F40687" w:rsidP="00DF58A5">
            <w:pPr>
              <w:tabs>
                <w:tab w:val="decimal" w:pos="511"/>
              </w:tabs>
              <w:spacing w:before="40" w:after="4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$410</w:t>
            </w:r>
          </w:p>
        </w:tc>
      </w:tr>
      <w:tr w:rsidR="00DF58A5" w:rsidRPr="000973F2" w14:paraId="61B2B6A7" w14:textId="77777777" w:rsidTr="00065233">
        <w:tblPrEx>
          <w:jc w:val="left"/>
        </w:tblPrEx>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1331" w:type="dxa"/>
            <w:noWrap/>
            <w:hideMark/>
          </w:tcPr>
          <w:p w14:paraId="5211BA76" w14:textId="77777777" w:rsidR="00F40687" w:rsidRPr="000973F2" w:rsidRDefault="00F40687" w:rsidP="00DF58A5">
            <w:pPr>
              <w:spacing w:before="40" w:after="40"/>
              <w:rPr>
                <w:rFonts w:ascii="Times New Roman" w:eastAsia="Times New Roman" w:hAnsi="Times New Roman" w:cs="Times New Roman"/>
                <w:b/>
                <w:bCs w:val="0"/>
                <w:sz w:val="18"/>
                <w:szCs w:val="18"/>
              </w:rPr>
            </w:pPr>
            <w:r w:rsidRPr="000973F2">
              <w:rPr>
                <w:rFonts w:ascii="Times New Roman" w:eastAsia="Times New Roman" w:hAnsi="Times New Roman" w:cs="Times New Roman"/>
                <w:b/>
                <w:sz w:val="18"/>
                <w:szCs w:val="18"/>
              </w:rPr>
              <w:t>Total</w:t>
            </w:r>
          </w:p>
        </w:tc>
        <w:tc>
          <w:tcPr>
            <w:tcW w:w="711" w:type="dxa"/>
            <w:noWrap/>
            <w:hideMark/>
          </w:tcPr>
          <w:p w14:paraId="0D2B104B" w14:textId="77777777" w:rsidR="00F40687" w:rsidRPr="000973F2" w:rsidRDefault="00F40687" w:rsidP="00DF58A5">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18"/>
                <w:szCs w:val="18"/>
              </w:rPr>
            </w:pPr>
            <w:r w:rsidRPr="000973F2">
              <w:rPr>
                <w:rFonts w:ascii="Times New Roman" w:eastAsia="Times New Roman" w:hAnsi="Times New Roman" w:cs="Times New Roman"/>
                <w:b/>
                <w:bCs/>
                <w:sz w:val="18"/>
                <w:szCs w:val="18"/>
              </w:rPr>
              <w:t>0</w:t>
            </w:r>
          </w:p>
        </w:tc>
        <w:tc>
          <w:tcPr>
            <w:tcW w:w="828" w:type="dxa"/>
            <w:noWrap/>
            <w:hideMark/>
          </w:tcPr>
          <w:p w14:paraId="481CD567" w14:textId="77777777" w:rsidR="00F40687" w:rsidRPr="000973F2" w:rsidRDefault="00F40687" w:rsidP="00DF58A5">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18"/>
                <w:szCs w:val="18"/>
              </w:rPr>
            </w:pPr>
            <w:r w:rsidRPr="000973F2">
              <w:rPr>
                <w:rFonts w:ascii="Times New Roman" w:eastAsia="Times New Roman" w:hAnsi="Times New Roman" w:cs="Times New Roman"/>
                <w:b/>
                <w:bCs/>
                <w:sz w:val="18"/>
                <w:szCs w:val="18"/>
              </w:rPr>
              <w:t>2</w:t>
            </w:r>
          </w:p>
        </w:tc>
        <w:tc>
          <w:tcPr>
            <w:tcW w:w="711" w:type="dxa"/>
            <w:noWrap/>
            <w:hideMark/>
          </w:tcPr>
          <w:p w14:paraId="1533A730" w14:textId="77777777" w:rsidR="00F40687" w:rsidRPr="000973F2" w:rsidRDefault="00F40687" w:rsidP="00DF58A5">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18"/>
                <w:szCs w:val="18"/>
              </w:rPr>
            </w:pPr>
            <w:r w:rsidRPr="000973F2">
              <w:rPr>
                <w:rFonts w:ascii="Times New Roman" w:eastAsia="Times New Roman" w:hAnsi="Times New Roman" w:cs="Times New Roman"/>
                <w:b/>
                <w:bCs/>
                <w:sz w:val="18"/>
                <w:szCs w:val="18"/>
              </w:rPr>
              <w:t>0</w:t>
            </w:r>
          </w:p>
        </w:tc>
        <w:tc>
          <w:tcPr>
            <w:tcW w:w="828" w:type="dxa"/>
            <w:noWrap/>
            <w:hideMark/>
          </w:tcPr>
          <w:p w14:paraId="79A19CF3" w14:textId="77777777" w:rsidR="00F40687" w:rsidRPr="000973F2" w:rsidRDefault="00F40687" w:rsidP="00DF58A5">
            <w:pPr>
              <w:tabs>
                <w:tab w:val="decimal" w:pos="301"/>
              </w:tabs>
              <w:spacing w:before="40" w:after="4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18"/>
                <w:szCs w:val="18"/>
              </w:rPr>
            </w:pPr>
            <w:r w:rsidRPr="000973F2">
              <w:rPr>
                <w:rFonts w:ascii="Times New Roman" w:eastAsia="Times New Roman" w:hAnsi="Times New Roman" w:cs="Times New Roman"/>
                <w:b/>
                <w:bCs/>
                <w:sz w:val="18"/>
                <w:szCs w:val="18"/>
              </w:rPr>
              <w:t>3.2</w:t>
            </w:r>
          </w:p>
        </w:tc>
        <w:tc>
          <w:tcPr>
            <w:tcW w:w="856" w:type="dxa"/>
            <w:noWrap/>
            <w:hideMark/>
          </w:tcPr>
          <w:p w14:paraId="480EFF2D" w14:textId="77777777" w:rsidR="00F40687" w:rsidRPr="000973F2" w:rsidRDefault="00F40687" w:rsidP="00DF58A5">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18"/>
                <w:szCs w:val="18"/>
              </w:rPr>
            </w:pPr>
            <w:r w:rsidRPr="000973F2">
              <w:rPr>
                <w:rFonts w:ascii="Times New Roman" w:eastAsia="Times New Roman" w:hAnsi="Times New Roman" w:cs="Times New Roman"/>
                <w:b/>
                <w:bCs/>
                <w:sz w:val="18"/>
                <w:szCs w:val="18"/>
              </w:rPr>
              <w:t>0</w:t>
            </w:r>
          </w:p>
        </w:tc>
        <w:tc>
          <w:tcPr>
            <w:tcW w:w="997" w:type="dxa"/>
            <w:noWrap/>
            <w:hideMark/>
          </w:tcPr>
          <w:p w14:paraId="02604694" w14:textId="77777777" w:rsidR="00F40687" w:rsidRPr="000973F2" w:rsidRDefault="00F40687" w:rsidP="00DF58A5">
            <w:pPr>
              <w:tabs>
                <w:tab w:val="decimal" w:pos="466"/>
              </w:tabs>
              <w:spacing w:before="40" w:after="4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18"/>
                <w:szCs w:val="18"/>
              </w:rPr>
            </w:pPr>
            <w:r w:rsidRPr="000973F2">
              <w:rPr>
                <w:rFonts w:ascii="Times New Roman" w:eastAsia="Times New Roman" w:hAnsi="Times New Roman" w:cs="Times New Roman"/>
                <w:b/>
                <w:bCs/>
                <w:sz w:val="18"/>
                <w:szCs w:val="18"/>
              </w:rPr>
              <w:t>23</w:t>
            </w:r>
          </w:p>
        </w:tc>
        <w:tc>
          <w:tcPr>
            <w:tcW w:w="711" w:type="dxa"/>
            <w:noWrap/>
            <w:hideMark/>
          </w:tcPr>
          <w:p w14:paraId="42805E74" w14:textId="77777777" w:rsidR="00F40687" w:rsidRPr="000973F2" w:rsidRDefault="00F40687" w:rsidP="00DF58A5">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18"/>
                <w:szCs w:val="18"/>
              </w:rPr>
            </w:pPr>
            <w:r w:rsidRPr="000973F2">
              <w:rPr>
                <w:rFonts w:ascii="Times New Roman" w:eastAsia="Times New Roman" w:hAnsi="Times New Roman" w:cs="Times New Roman"/>
                <w:b/>
                <w:bCs/>
                <w:sz w:val="18"/>
                <w:szCs w:val="18"/>
              </w:rPr>
              <w:t>0</w:t>
            </w:r>
          </w:p>
        </w:tc>
        <w:tc>
          <w:tcPr>
            <w:tcW w:w="828" w:type="dxa"/>
            <w:noWrap/>
            <w:hideMark/>
          </w:tcPr>
          <w:p w14:paraId="51B454F2" w14:textId="77777777" w:rsidR="00F40687" w:rsidRPr="000973F2" w:rsidRDefault="00F40687" w:rsidP="00DF58A5">
            <w:pPr>
              <w:tabs>
                <w:tab w:val="decimal" w:pos="286"/>
              </w:tabs>
              <w:spacing w:before="40" w:after="4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18"/>
                <w:szCs w:val="18"/>
              </w:rPr>
            </w:pPr>
            <w:r w:rsidRPr="000973F2">
              <w:rPr>
                <w:rFonts w:ascii="Times New Roman" w:eastAsia="Times New Roman" w:hAnsi="Times New Roman" w:cs="Times New Roman"/>
                <w:b/>
                <w:bCs/>
                <w:sz w:val="18"/>
                <w:szCs w:val="18"/>
              </w:rPr>
              <w:t>2.4</w:t>
            </w:r>
          </w:p>
        </w:tc>
        <w:tc>
          <w:tcPr>
            <w:tcW w:w="701" w:type="dxa"/>
            <w:noWrap/>
            <w:hideMark/>
          </w:tcPr>
          <w:p w14:paraId="0E2B995D" w14:textId="663AEE13" w:rsidR="00F40687" w:rsidRPr="000973F2" w:rsidRDefault="00F40687" w:rsidP="00DF58A5">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18"/>
                <w:szCs w:val="18"/>
              </w:rPr>
            </w:pPr>
            <w:r w:rsidRPr="000973F2">
              <w:rPr>
                <w:rFonts w:ascii="Times New Roman" w:eastAsia="Times New Roman" w:hAnsi="Times New Roman" w:cs="Times New Roman"/>
                <w:b/>
                <w:bCs/>
                <w:sz w:val="18"/>
                <w:szCs w:val="18"/>
              </w:rPr>
              <w:t>$0</w:t>
            </w:r>
          </w:p>
        </w:tc>
        <w:tc>
          <w:tcPr>
            <w:tcW w:w="828" w:type="dxa"/>
            <w:noWrap/>
            <w:hideMark/>
          </w:tcPr>
          <w:p w14:paraId="39A74945" w14:textId="2BFEB58F" w:rsidR="00F40687" w:rsidRPr="000973F2" w:rsidRDefault="00F40687" w:rsidP="00DF58A5">
            <w:pPr>
              <w:tabs>
                <w:tab w:val="decimal" w:pos="511"/>
              </w:tabs>
              <w:spacing w:before="40" w:after="4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18"/>
                <w:szCs w:val="18"/>
              </w:rPr>
            </w:pPr>
            <w:r w:rsidRPr="000973F2">
              <w:rPr>
                <w:rFonts w:ascii="Times New Roman" w:eastAsia="Times New Roman" w:hAnsi="Times New Roman" w:cs="Times New Roman"/>
                <w:b/>
                <w:bCs/>
                <w:sz w:val="18"/>
                <w:szCs w:val="18"/>
              </w:rPr>
              <w:t>$2,233</w:t>
            </w:r>
          </w:p>
        </w:tc>
      </w:tr>
    </w:tbl>
    <w:p w14:paraId="201615A9" w14:textId="77777777" w:rsidR="00F40687" w:rsidRPr="000973F2" w:rsidRDefault="00F40687" w:rsidP="00C00E4F">
      <w:pPr>
        <w:spacing w:line="240" w:lineRule="auto"/>
        <w:rPr>
          <w:rFonts w:ascii="Times New Roman" w:hAnsi="Times New Roman" w:cs="Times New Roman"/>
          <w:b/>
          <w:i/>
        </w:rPr>
      </w:pPr>
    </w:p>
    <w:p w14:paraId="0A49CAF1" w14:textId="77777777" w:rsidR="00F40687" w:rsidRPr="000973F2" w:rsidRDefault="00F40687" w:rsidP="00C00E4F">
      <w:pPr>
        <w:spacing w:line="240" w:lineRule="auto"/>
        <w:rPr>
          <w:rFonts w:ascii="Times New Roman" w:hAnsi="Times New Roman" w:cs="Times New Roman"/>
          <w:b/>
          <w:i/>
        </w:rPr>
      </w:pPr>
      <w:r w:rsidRPr="000973F2">
        <w:rPr>
          <w:rFonts w:ascii="Times New Roman" w:hAnsi="Times New Roman" w:cs="Times New Roman"/>
          <w:b/>
          <w:i/>
        </w:rPr>
        <w:br w:type="page"/>
      </w:r>
    </w:p>
    <w:p w14:paraId="4BFB2B29" w14:textId="77777777" w:rsidR="00F40687" w:rsidRPr="000973F2" w:rsidRDefault="00F40687" w:rsidP="00CB5C21">
      <w:pPr>
        <w:pStyle w:val="Heading2"/>
      </w:pPr>
      <w:r w:rsidRPr="000973F2">
        <w:t>Capital and O&amp;M Costs for Subpart Q – Site-Specific Emission Factor Option</w:t>
      </w:r>
    </w:p>
    <w:p w14:paraId="7DB392CA" w14:textId="471B5CE9" w:rsidR="00F40687" w:rsidRPr="000973F2" w:rsidRDefault="00F40687" w:rsidP="00C00E4F">
      <w:pPr>
        <w:spacing w:line="240" w:lineRule="auto"/>
        <w:rPr>
          <w:rFonts w:ascii="Times New Roman" w:hAnsi="Times New Roman" w:cs="Times New Roman"/>
        </w:rPr>
      </w:pPr>
      <w:r w:rsidRPr="000973F2">
        <w:rPr>
          <w:rFonts w:ascii="Times New Roman" w:hAnsi="Times New Roman" w:cs="Times New Roman"/>
        </w:rPr>
        <w:t xml:space="preserve">Table </w:t>
      </w:r>
      <w:r w:rsidR="00CB5C21" w:rsidRPr="000973F2">
        <w:rPr>
          <w:rFonts w:ascii="Times New Roman" w:hAnsi="Times New Roman" w:cs="Times New Roman"/>
        </w:rPr>
        <w:t>Q-</w:t>
      </w:r>
      <w:r w:rsidRPr="000973F2">
        <w:rPr>
          <w:rFonts w:ascii="Times New Roman" w:hAnsi="Times New Roman" w:cs="Times New Roman"/>
        </w:rPr>
        <w:t>2b below includes the labor hours for the 29 facilities that used the site-specific emission factor option to calculate CO</w:t>
      </w:r>
      <w:r w:rsidRPr="000973F2">
        <w:rPr>
          <w:rFonts w:ascii="Times New Roman" w:hAnsi="Times New Roman" w:cs="Times New Roman"/>
          <w:vertAlign w:val="subscript"/>
        </w:rPr>
        <w:t>2</w:t>
      </w:r>
      <w:r w:rsidRPr="000973F2">
        <w:rPr>
          <w:rFonts w:ascii="Times New Roman" w:hAnsi="Times New Roman" w:cs="Times New Roman"/>
        </w:rPr>
        <w:t xml:space="preserve"> emissions. Facilities that use a site-specific emission factor incur sampling costs, which are estimated to be $2,000 total per facility and includes items like hotel, food, etc. for the personnel performing the sampling. Facilities also incur recordkeeping costs discussed in the Cost Appendix Introduction. No capital costs are expected for this method. </w:t>
      </w:r>
    </w:p>
    <w:p w14:paraId="1A6ACD73" w14:textId="537950C3" w:rsidR="00F40687" w:rsidRPr="000973F2" w:rsidRDefault="002B7049" w:rsidP="00CB5C21">
      <w:pPr>
        <w:pStyle w:val="Tabletitle"/>
        <w:rPr>
          <w:i/>
        </w:rPr>
      </w:pPr>
      <w:r w:rsidRPr="000973F2">
        <w:t xml:space="preserve">Table </w:t>
      </w:r>
      <w:r w:rsidR="00CB5C21" w:rsidRPr="000973F2">
        <w:t>Q-</w:t>
      </w:r>
      <w:r w:rsidRPr="000973F2">
        <w:t xml:space="preserve">2b. Capital and O&amp;M Costs </w:t>
      </w:r>
      <w:r w:rsidR="00B960CC" w:rsidRPr="000973F2">
        <w:t>–</w:t>
      </w:r>
      <w:r w:rsidRPr="000973F2">
        <w:t xml:space="preserve"> </w:t>
      </w:r>
      <w:r w:rsidR="00F40687" w:rsidRPr="000973F2">
        <w:t xml:space="preserve">Subpart Q </w:t>
      </w:r>
      <w:r w:rsidR="00B960CC" w:rsidRPr="000973F2">
        <w:t>–</w:t>
      </w:r>
      <w:r w:rsidRPr="000973F2">
        <w:t xml:space="preserve"> </w:t>
      </w:r>
      <w:r w:rsidR="00F40687" w:rsidRPr="000973F2">
        <w:t>Site-Specific Emission Factor Option</w:t>
      </w:r>
    </w:p>
    <w:tbl>
      <w:tblPr>
        <w:tblStyle w:val="PlainTable1"/>
        <w:tblW w:w="5047" w:type="pct"/>
        <w:tblLayout w:type="fixed"/>
        <w:tblLook w:val="04A0" w:firstRow="1" w:lastRow="0" w:firstColumn="1" w:lastColumn="0" w:noHBand="0" w:noVBand="1"/>
      </w:tblPr>
      <w:tblGrid>
        <w:gridCol w:w="2963"/>
        <w:gridCol w:w="1117"/>
        <w:gridCol w:w="1117"/>
        <w:gridCol w:w="1117"/>
        <w:gridCol w:w="1130"/>
        <w:gridCol w:w="1104"/>
        <w:gridCol w:w="1118"/>
      </w:tblGrid>
      <w:tr w:rsidR="00FF36E8" w:rsidRPr="000973F2" w14:paraId="2F946C6C" w14:textId="77777777" w:rsidTr="00065233">
        <w:trPr>
          <w:cnfStyle w:val="100000000000" w:firstRow="1" w:lastRow="0" w:firstColumn="0" w:lastColumn="0" w:oddVBand="0" w:evenVBand="0" w:oddHBand="0" w:evenHBand="0" w:firstRowFirstColumn="0" w:firstRowLastColumn="0" w:lastRowFirstColumn="0" w:lastRowLastColumn="0"/>
          <w:cantSplit/>
          <w:trHeight w:val="738"/>
        </w:trPr>
        <w:tc>
          <w:tcPr>
            <w:cnfStyle w:val="001000000000" w:firstRow="0" w:lastRow="0" w:firstColumn="1" w:lastColumn="0" w:oddVBand="0" w:evenVBand="0" w:oddHBand="0" w:evenHBand="0" w:firstRowFirstColumn="0" w:firstRowLastColumn="0" w:lastRowFirstColumn="0" w:lastRowLastColumn="0"/>
            <w:tcW w:w="2888" w:type="dxa"/>
            <w:vMerge w:val="restart"/>
            <w:noWrap/>
            <w:hideMark/>
          </w:tcPr>
          <w:p w14:paraId="3A374D9A" w14:textId="2F0E8E6B" w:rsidR="00FF36E8" w:rsidRPr="000973F2" w:rsidRDefault="00FF36E8" w:rsidP="00CB5C21">
            <w:pPr>
              <w:spacing w:before="40" w:after="40"/>
              <w:rPr>
                <w:rFonts w:ascii="Times New Roman" w:eastAsia="Times New Roman" w:hAnsi="Times New Roman" w:cs="Times New Roman"/>
                <w:b w:val="0"/>
                <w:bCs w:val="0"/>
                <w:sz w:val="18"/>
                <w:szCs w:val="18"/>
              </w:rPr>
            </w:pPr>
            <w:r w:rsidRPr="000973F2">
              <w:rPr>
                <w:rFonts w:ascii="Times New Roman" w:eastAsia="Times New Roman" w:hAnsi="Times New Roman" w:cs="Times New Roman"/>
                <w:sz w:val="18"/>
                <w:szCs w:val="18"/>
              </w:rPr>
              <w:t>Activity</w:t>
            </w:r>
          </w:p>
        </w:tc>
        <w:tc>
          <w:tcPr>
            <w:tcW w:w="4365" w:type="dxa"/>
            <w:gridSpan w:val="4"/>
            <w:noWrap/>
            <w:hideMark/>
          </w:tcPr>
          <w:p w14:paraId="76A8E954" w14:textId="77777777" w:rsidR="00FF36E8" w:rsidRPr="000973F2" w:rsidRDefault="00FF36E8" w:rsidP="00CB5C21">
            <w:pPr>
              <w:spacing w:before="40" w:after="40"/>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bCs w:val="0"/>
                <w:sz w:val="18"/>
                <w:szCs w:val="18"/>
              </w:rPr>
            </w:pPr>
            <w:r w:rsidRPr="000973F2">
              <w:rPr>
                <w:rFonts w:ascii="Times New Roman" w:eastAsia="Times New Roman" w:hAnsi="Times New Roman" w:cs="Times New Roman"/>
                <w:sz w:val="18"/>
                <w:szCs w:val="18"/>
              </w:rPr>
              <w:t>Cost Categories</w:t>
            </w:r>
          </w:p>
        </w:tc>
        <w:tc>
          <w:tcPr>
            <w:tcW w:w="2165" w:type="dxa"/>
            <w:gridSpan w:val="2"/>
            <w:hideMark/>
          </w:tcPr>
          <w:p w14:paraId="752535F8" w14:textId="46708227" w:rsidR="00FF36E8" w:rsidRPr="000973F2" w:rsidRDefault="00FF36E8" w:rsidP="00CB5C21">
            <w:pPr>
              <w:spacing w:before="40" w:after="40"/>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bCs w:val="0"/>
                <w:sz w:val="18"/>
                <w:szCs w:val="18"/>
              </w:rPr>
            </w:pPr>
            <w:r w:rsidRPr="000973F2">
              <w:rPr>
                <w:rFonts w:ascii="Times New Roman" w:eastAsia="Times New Roman" w:hAnsi="Times New Roman" w:cs="Times New Roman"/>
                <w:sz w:val="18"/>
                <w:szCs w:val="18"/>
              </w:rPr>
              <w:t>Total Capital and O&amp;M Cost per Year per Facility (2017$)</w:t>
            </w:r>
          </w:p>
        </w:tc>
      </w:tr>
      <w:tr w:rsidR="00FF36E8" w:rsidRPr="000973F2" w14:paraId="2AB3B5D9" w14:textId="77777777" w:rsidTr="00065233">
        <w:tblPrEx>
          <w:jc w:val="left"/>
        </w:tblPrEx>
        <w:trPr>
          <w:cnfStyle w:val="000000100000" w:firstRow="0" w:lastRow="0" w:firstColumn="0" w:lastColumn="0" w:oddVBand="0" w:evenVBand="0" w:oddHBand="1" w:evenHBand="0" w:firstRowFirstColumn="0" w:firstRowLastColumn="0" w:lastRowFirstColumn="0" w:lastRowLastColumn="0"/>
          <w:cantSplit/>
          <w:trHeight w:val="738"/>
        </w:trPr>
        <w:tc>
          <w:tcPr>
            <w:cnfStyle w:val="001000000000" w:firstRow="0" w:lastRow="0" w:firstColumn="1" w:lastColumn="0" w:oddVBand="0" w:evenVBand="0" w:oddHBand="0" w:evenHBand="0" w:firstRowFirstColumn="0" w:firstRowLastColumn="0" w:lastRowFirstColumn="0" w:lastRowLastColumn="0"/>
            <w:tcW w:w="2888" w:type="dxa"/>
            <w:vMerge/>
            <w:noWrap/>
            <w:hideMark/>
          </w:tcPr>
          <w:p w14:paraId="6C10327D" w14:textId="50EE6FFC" w:rsidR="00FF36E8" w:rsidRPr="000973F2" w:rsidRDefault="00FF36E8" w:rsidP="00CB5C21">
            <w:pPr>
              <w:spacing w:before="40" w:after="40"/>
              <w:jc w:val="center"/>
              <w:rPr>
                <w:rFonts w:ascii="Times New Roman" w:eastAsia="Times New Roman" w:hAnsi="Times New Roman" w:cs="Times New Roman"/>
                <w:b/>
                <w:bCs w:val="0"/>
                <w:sz w:val="18"/>
                <w:szCs w:val="18"/>
              </w:rPr>
            </w:pPr>
          </w:p>
        </w:tc>
        <w:tc>
          <w:tcPr>
            <w:tcW w:w="1088" w:type="dxa"/>
            <w:tcMar>
              <w:left w:w="14" w:type="dxa"/>
              <w:right w:w="14" w:type="dxa"/>
            </w:tcMar>
            <w:hideMark/>
          </w:tcPr>
          <w:p w14:paraId="446DDBA6" w14:textId="77777777" w:rsidR="00FF36E8" w:rsidRPr="000973F2" w:rsidRDefault="00FF36E8" w:rsidP="00CB5C21">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18"/>
                <w:szCs w:val="18"/>
              </w:rPr>
            </w:pPr>
            <w:r w:rsidRPr="000973F2">
              <w:rPr>
                <w:rFonts w:ascii="Times New Roman" w:eastAsia="Times New Roman" w:hAnsi="Times New Roman" w:cs="Times New Roman"/>
                <w:b/>
                <w:bCs/>
                <w:sz w:val="18"/>
                <w:szCs w:val="18"/>
              </w:rPr>
              <w:t>Capital Cost (2017$)</w:t>
            </w:r>
          </w:p>
        </w:tc>
        <w:tc>
          <w:tcPr>
            <w:tcW w:w="1088" w:type="dxa"/>
            <w:tcMar>
              <w:left w:w="14" w:type="dxa"/>
              <w:right w:w="14" w:type="dxa"/>
            </w:tcMar>
            <w:hideMark/>
          </w:tcPr>
          <w:p w14:paraId="45903B0F" w14:textId="77777777" w:rsidR="00FF36E8" w:rsidRPr="000973F2" w:rsidRDefault="00FF36E8" w:rsidP="00CB5C21">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18"/>
                <w:szCs w:val="18"/>
              </w:rPr>
            </w:pPr>
            <w:r w:rsidRPr="000973F2">
              <w:rPr>
                <w:rFonts w:ascii="Times New Roman" w:eastAsia="Times New Roman" w:hAnsi="Times New Roman" w:cs="Times New Roman"/>
                <w:b/>
                <w:bCs/>
                <w:sz w:val="18"/>
                <w:szCs w:val="18"/>
              </w:rPr>
              <w:t>Equipment Lifetime</w:t>
            </w:r>
          </w:p>
        </w:tc>
        <w:tc>
          <w:tcPr>
            <w:tcW w:w="1088" w:type="dxa"/>
            <w:tcMar>
              <w:left w:w="14" w:type="dxa"/>
              <w:right w:w="14" w:type="dxa"/>
            </w:tcMar>
            <w:hideMark/>
          </w:tcPr>
          <w:p w14:paraId="49367A6D" w14:textId="77777777" w:rsidR="00FF36E8" w:rsidRPr="000973F2" w:rsidRDefault="00FF36E8" w:rsidP="00CB5C21">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18"/>
                <w:szCs w:val="18"/>
              </w:rPr>
            </w:pPr>
            <w:r w:rsidRPr="000973F2">
              <w:rPr>
                <w:rFonts w:ascii="Times New Roman" w:eastAsia="Times New Roman" w:hAnsi="Times New Roman" w:cs="Times New Roman"/>
                <w:b/>
                <w:bCs/>
                <w:sz w:val="18"/>
                <w:szCs w:val="18"/>
              </w:rPr>
              <w:t>Annualized Capital Cost (2017$/year)</w:t>
            </w:r>
          </w:p>
        </w:tc>
        <w:tc>
          <w:tcPr>
            <w:tcW w:w="1100" w:type="dxa"/>
            <w:tcMar>
              <w:left w:w="14" w:type="dxa"/>
              <w:right w:w="14" w:type="dxa"/>
            </w:tcMar>
            <w:hideMark/>
          </w:tcPr>
          <w:p w14:paraId="4A03887B" w14:textId="77777777" w:rsidR="00FF36E8" w:rsidRPr="000973F2" w:rsidRDefault="00FF36E8" w:rsidP="00CB5C21">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18"/>
                <w:szCs w:val="18"/>
              </w:rPr>
            </w:pPr>
            <w:r w:rsidRPr="000973F2">
              <w:rPr>
                <w:rFonts w:ascii="Times New Roman" w:eastAsia="Times New Roman" w:hAnsi="Times New Roman" w:cs="Times New Roman"/>
                <w:b/>
                <w:bCs/>
                <w:sz w:val="18"/>
                <w:szCs w:val="18"/>
              </w:rPr>
              <w:t>O&amp;M Costs (2017$/year)</w:t>
            </w:r>
          </w:p>
        </w:tc>
        <w:tc>
          <w:tcPr>
            <w:tcW w:w="1076" w:type="dxa"/>
            <w:tcMar>
              <w:left w:w="14" w:type="dxa"/>
              <w:right w:w="14" w:type="dxa"/>
            </w:tcMar>
            <w:hideMark/>
          </w:tcPr>
          <w:p w14:paraId="0497AB35" w14:textId="77777777" w:rsidR="00FF36E8" w:rsidRPr="000973F2" w:rsidRDefault="00FF36E8" w:rsidP="00CB5C21">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18"/>
                <w:szCs w:val="18"/>
              </w:rPr>
            </w:pPr>
            <w:r w:rsidRPr="000973F2">
              <w:rPr>
                <w:rFonts w:ascii="Times New Roman" w:eastAsia="Times New Roman" w:hAnsi="Times New Roman" w:cs="Times New Roman"/>
                <w:b/>
                <w:bCs/>
                <w:sz w:val="18"/>
                <w:szCs w:val="18"/>
              </w:rPr>
              <w:t>Initial Year</w:t>
            </w:r>
          </w:p>
        </w:tc>
        <w:tc>
          <w:tcPr>
            <w:tcW w:w="1089" w:type="dxa"/>
            <w:tcMar>
              <w:left w:w="14" w:type="dxa"/>
              <w:right w:w="14" w:type="dxa"/>
            </w:tcMar>
            <w:hideMark/>
          </w:tcPr>
          <w:p w14:paraId="498FBF89" w14:textId="77777777" w:rsidR="00FF36E8" w:rsidRPr="000973F2" w:rsidRDefault="00FF36E8" w:rsidP="00CB5C21">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18"/>
                <w:szCs w:val="18"/>
              </w:rPr>
            </w:pPr>
            <w:r w:rsidRPr="000973F2">
              <w:rPr>
                <w:rFonts w:ascii="Times New Roman" w:eastAsia="Times New Roman" w:hAnsi="Times New Roman" w:cs="Times New Roman"/>
                <w:b/>
                <w:bCs/>
                <w:sz w:val="18"/>
                <w:szCs w:val="18"/>
              </w:rPr>
              <w:t>Subseq. Years</w:t>
            </w:r>
          </w:p>
        </w:tc>
      </w:tr>
      <w:tr w:rsidR="00AD5834" w:rsidRPr="000973F2" w14:paraId="7FAF1BAC" w14:textId="77777777" w:rsidTr="00065233">
        <w:tblPrEx>
          <w:jc w:val="left"/>
        </w:tblPrEx>
        <w:trPr>
          <w:cantSplit/>
          <w:trHeight w:val="518"/>
        </w:trPr>
        <w:tc>
          <w:tcPr>
            <w:cnfStyle w:val="001000000000" w:firstRow="0" w:lastRow="0" w:firstColumn="1" w:lastColumn="0" w:oddVBand="0" w:evenVBand="0" w:oddHBand="0" w:evenHBand="0" w:firstRowFirstColumn="0" w:firstRowLastColumn="0" w:lastRowFirstColumn="0" w:lastRowLastColumn="0"/>
            <w:tcW w:w="2888" w:type="dxa"/>
            <w:hideMark/>
          </w:tcPr>
          <w:p w14:paraId="4B541FD2" w14:textId="77777777" w:rsidR="003E005F" w:rsidRPr="000973F2" w:rsidRDefault="003E005F" w:rsidP="00CB5C21">
            <w:pPr>
              <w:spacing w:before="40" w:after="4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Equipment (selection, purchase, installation)</w:t>
            </w:r>
          </w:p>
        </w:tc>
        <w:tc>
          <w:tcPr>
            <w:tcW w:w="1088" w:type="dxa"/>
            <w:noWrap/>
            <w:hideMark/>
          </w:tcPr>
          <w:p w14:paraId="75559AE5" w14:textId="71ACAE66" w:rsidR="003E005F" w:rsidRPr="000973F2" w:rsidRDefault="00CB5C21" w:rsidP="00CB5C21">
            <w:pPr>
              <w:spacing w:before="40" w:after="4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w:t>
            </w:r>
          </w:p>
        </w:tc>
        <w:tc>
          <w:tcPr>
            <w:tcW w:w="1088" w:type="dxa"/>
            <w:noWrap/>
          </w:tcPr>
          <w:p w14:paraId="70243AB3" w14:textId="73091F04" w:rsidR="003E005F" w:rsidRPr="000973F2" w:rsidRDefault="003E005F" w:rsidP="00CB5C21">
            <w:pPr>
              <w:spacing w:before="40" w:after="4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p>
        </w:tc>
        <w:tc>
          <w:tcPr>
            <w:tcW w:w="1088" w:type="dxa"/>
            <w:noWrap/>
            <w:hideMark/>
          </w:tcPr>
          <w:p w14:paraId="38ECDA71" w14:textId="08AB7033" w:rsidR="003E005F" w:rsidRPr="000973F2" w:rsidRDefault="00CB5C21" w:rsidP="00CB5C21">
            <w:pPr>
              <w:spacing w:before="40" w:after="4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w:t>
            </w:r>
          </w:p>
        </w:tc>
        <w:tc>
          <w:tcPr>
            <w:tcW w:w="1100" w:type="dxa"/>
            <w:noWrap/>
            <w:hideMark/>
          </w:tcPr>
          <w:p w14:paraId="7184ECCD" w14:textId="33FC12CB" w:rsidR="003E005F" w:rsidRPr="000973F2" w:rsidRDefault="00CB5C21" w:rsidP="00CB5C21">
            <w:pPr>
              <w:tabs>
                <w:tab w:val="decimal" w:pos="631"/>
              </w:tabs>
              <w:spacing w:before="40" w:after="4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w:t>
            </w:r>
          </w:p>
        </w:tc>
        <w:tc>
          <w:tcPr>
            <w:tcW w:w="1076" w:type="dxa"/>
            <w:noWrap/>
            <w:hideMark/>
          </w:tcPr>
          <w:p w14:paraId="137D66D1" w14:textId="6869CD69" w:rsidR="003E005F" w:rsidRPr="000973F2" w:rsidRDefault="00CB5C21" w:rsidP="00CB5C21">
            <w:pPr>
              <w:spacing w:before="40" w:after="4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w:t>
            </w:r>
          </w:p>
        </w:tc>
        <w:tc>
          <w:tcPr>
            <w:tcW w:w="1089" w:type="dxa"/>
            <w:noWrap/>
            <w:hideMark/>
          </w:tcPr>
          <w:p w14:paraId="4CDE1A98" w14:textId="3DFA22EA" w:rsidR="003E005F" w:rsidRPr="000973F2" w:rsidRDefault="00CB5C21" w:rsidP="00CB5C21">
            <w:pPr>
              <w:tabs>
                <w:tab w:val="decimal" w:pos="631"/>
              </w:tabs>
              <w:spacing w:before="40" w:after="4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w:t>
            </w:r>
          </w:p>
        </w:tc>
      </w:tr>
      <w:tr w:rsidR="003E005F" w:rsidRPr="000973F2" w14:paraId="40AD307D" w14:textId="77777777" w:rsidTr="00065233">
        <w:tblPrEx>
          <w:jc w:val="left"/>
        </w:tblPrEx>
        <w:trPr>
          <w:cnfStyle w:val="000000100000" w:firstRow="0" w:lastRow="0" w:firstColumn="0" w:lastColumn="0" w:oddVBand="0" w:evenVBand="0" w:oddHBand="1" w:evenHBand="0" w:firstRowFirstColumn="0" w:firstRowLastColumn="0" w:lastRowFirstColumn="0" w:lastRowLastColumn="0"/>
          <w:cantSplit/>
          <w:trHeight w:val="298"/>
        </w:trPr>
        <w:tc>
          <w:tcPr>
            <w:cnfStyle w:val="001000000000" w:firstRow="0" w:lastRow="0" w:firstColumn="1" w:lastColumn="0" w:oddVBand="0" w:evenVBand="0" w:oddHBand="0" w:evenHBand="0" w:firstRowFirstColumn="0" w:firstRowLastColumn="0" w:lastRowFirstColumn="0" w:lastRowLastColumn="0"/>
            <w:tcW w:w="2888" w:type="dxa"/>
            <w:hideMark/>
          </w:tcPr>
          <w:p w14:paraId="7BC5893F" w14:textId="77777777" w:rsidR="003E005F" w:rsidRPr="000973F2" w:rsidRDefault="003E005F" w:rsidP="00CB5C21">
            <w:pPr>
              <w:spacing w:before="40" w:after="4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Performance testing</w:t>
            </w:r>
          </w:p>
        </w:tc>
        <w:tc>
          <w:tcPr>
            <w:tcW w:w="1088" w:type="dxa"/>
            <w:noWrap/>
            <w:hideMark/>
          </w:tcPr>
          <w:p w14:paraId="642F2827" w14:textId="401A48D1" w:rsidR="003E005F" w:rsidRPr="000973F2" w:rsidRDefault="00CB5C21" w:rsidP="00CB5C21">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w:t>
            </w:r>
          </w:p>
        </w:tc>
        <w:tc>
          <w:tcPr>
            <w:tcW w:w="1088" w:type="dxa"/>
            <w:noWrap/>
          </w:tcPr>
          <w:p w14:paraId="00243A29" w14:textId="3FF7D65D" w:rsidR="003E005F" w:rsidRPr="000973F2" w:rsidRDefault="003E005F" w:rsidP="00CB5C21">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p>
        </w:tc>
        <w:tc>
          <w:tcPr>
            <w:tcW w:w="1088" w:type="dxa"/>
            <w:noWrap/>
            <w:hideMark/>
          </w:tcPr>
          <w:p w14:paraId="08D7F025" w14:textId="4B6863A6" w:rsidR="003E005F" w:rsidRPr="000973F2" w:rsidRDefault="00CB5C21" w:rsidP="00CB5C21">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w:t>
            </w:r>
          </w:p>
        </w:tc>
        <w:tc>
          <w:tcPr>
            <w:tcW w:w="1100" w:type="dxa"/>
            <w:noWrap/>
            <w:hideMark/>
          </w:tcPr>
          <w:p w14:paraId="5F24663A" w14:textId="7EC3BC74" w:rsidR="003E005F" w:rsidRPr="000973F2" w:rsidRDefault="00CB5C21" w:rsidP="00CB5C21">
            <w:pPr>
              <w:tabs>
                <w:tab w:val="decimal" w:pos="631"/>
              </w:tabs>
              <w:spacing w:before="40" w:after="4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w:t>
            </w:r>
          </w:p>
        </w:tc>
        <w:tc>
          <w:tcPr>
            <w:tcW w:w="1076" w:type="dxa"/>
            <w:noWrap/>
            <w:hideMark/>
          </w:tcPr>
          <w:p w14:paraId="12729C6D" w14:textId="3621B696" w:rsidR="003E005F" w:rsidRPr="000973F2" w:rsidRDefault="00CB5C21" w:rsidP="00CB5C21">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w:t>
            </w:r>
          </w:p>
        </w:tc>
        <w:tc>
          <w:tcPr>
            <w:tcW w:w="1089" w:type="dxa"/>
            <w:noWrap/>
            <w:hideMark/>
          </w:tcPr>
          <w:p w14:paraId="51E7B23A" w14:textId="4666697D" w:rsidR="003E005F" w:rsidRPr="000973F2" w:rsidRDefault="00CB5C21" w:rsidP="00CB5C21">
            <w:pPr>
              <w:tabs>
                <w:tab w:val="decimal" w:pos="631"/>
              </w:tabs>
              <w:spacing w:before="40" w:after="4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w:t>
            </w:r>
          </w:p>
        </w:tc>
      </w:tr>
      <w:tr w:rsidR="00F40687" w:rsidRPr="000973F2" w14:paraId="3FED791A" w14:textId="77777777" w:rsidTr="00065233">
        <w:tblPrEx>
          <w:jc w:val="left"/>
        </w:tblPrEx>
        <w:trPr>
          <w:cantSplit/>
          <w:trHeight w:val="282"/>
        </w:trPr>
        <w:tc>
          <w:tcPr>
            <w:cnfStyle w:val="001000000000" w:firstRow="0" w:lastRow="0" w:firstColumn="1" w:lastColumn="0" w:oddVBand="0" w:evenVBand="0" w:oddHBand="0" w:evenHBand="0" w:firstRowFirstColumn="0" w:firstRowLastColumn="0" w:lastRowFirstColumn="0" w:lastRowLastColumn="0"/>
            <w:tcW w:w="2888" w:type="dxa"/>
            <w:hideMark/>
          </w:tcPr>
          <w:p w14:paraId="4F2A07F2" w14:textId="77777777" w:rsidR="00F40687" w:rsidRPr="000973F2" w:rsidRDefault="00F40687" w:rsidP="00CB5C21">
            <w:pPr>
              <w:spacing w:before="40" w:after="4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Recordkeeping</w:t>
            </w:r>
          </w:p>
        </w:tc>
        <w:tc>
          <w:tcPr>
            <w:tcW w:w="1088" w:type="dxa"/>
            <w:noWrap/>
            <w:hideMark/>
          </w:tcPr>
          <w:p w14:paraId="1A7FB545" w14:textId="77777777" w:rsidR="00F40687" w:rsidRPr="000973F2" w:rsidRDefault="00F40687" w:rsidP="00CB5C21">
            <w:pPr>
              <w:spacing w:before="40" w:after="4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$0</w:t>
            </w:r>
          </w:p>
        </w:tc>
        <w:tc>
          <w:tcPr>
            <w:tcW w:w="1088" w:type="dxa"/>
            <w:noWrap/>
          </w:tcPr>
          <w:p w14:paraId="3059D030" w14:textId="77777777" w:rsidR="00F40687" w:rsidRPr="000973F2" w:rsidRDefault="00F40687" w:rsidP="00CB5C21">
            <w:pPr>
              <w:spacing w:before="40" w:after="4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p>
        </w:tc>
        <w:tc>
          <w:tcPr>
            <w:tcW w:w="1088" w:type="dxa"/>
            <w:noWrap/>
            <w:hideMark/>
          </w:tcPr>
          <w:p w14:paraId="00949D27" w14:textId="77777777" w:rsidR="00F40687" w:rsidRPr="000973F2" w:rsidRDefault="00F40687" w:rsidP="00CB5C21">
            <w:pPr>
              <w:spacing w:before="40" w:after="4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$0</w:t>
            </w:r>
          </w:p>
        </w:tc>
        <w:tc>
          <w:tcPr>
            <w:tcW w:w="1100" w:type="dxa"/>
            <w:noWrap/>
            <w:hideMark/>
          </w:tcPr>
          <w:p w14:paraId="605DA13B" w14:textId="77777777" w:rsidR="00F40687" w:rsidRPr="000973F2" w:rsidRDefault="00F40687" w:rsidP="00CB5C21">
            <w:pPr>
              <w:tabs>
                <w:tab w:val="decimal" w:pos="631"/>
              </w:tabs>
              <w:spacing w:before="40" w:after="4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$50</w:t>
            </w:r>
          </w:p>
        </w:tc>
        <w:tc>
          <w:tcPr>
            <w:tcW w:w="1076" w:type="dxa"/>
            <w:noWrap/>
            <w:hideMark/>
          </w:tcPr>
          <w:p w14:paraId="02FF39E4" w14:textId="77777777" w:rsidR="00F40687" w:rsidRPr="000973F2" w:rsidRDefault="00F40687" w:rsidP="00CB5C21">
            <w:pPr>
              <w:spacing w:before="40" w:after="4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$0</w:t>
            </w:r>
          </w:p>
        </w:tc>
        <w:tc>
          <w:tcPr>
            <w:tcW w:w="1089" w:type="dxa"/>
            <w:noWrap/>
            <w:hideMark/>
          </w:tcPr>
          <w:p w14:paraId="145C9C86" w14:textId="77777777" w:rsidR="00F40687" w:rsidRPr="000973F2" w:rsidRDefault="00F40687" w:rsidP="00CB5C21">
            <w:pPr>
              <w:tabs>
                <w:tab w:val="decimal" w:pos="631"/>
              </w:tabs>
              <w:spacing w:before="40" w:after="4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$50</w:t>
            </w:r>
          </w:p>
        </w:tc>
      </w:tr>
      <w:tr w:rsidR="003E005F" w:rsidRPr="000973F2" w14:paraId="020A2FA2" w14:textId="77777777" w:rsidTr="00065233">
        <w:tblPrEx>
          <w:jc w:val="left"/>
        </w:tblPrEx>
        <w:trPr>
          <w:cnfStyle w:val="000000100000" w:firstRow="0" w:lastRow="0" w:firstColumn="0" w:lastColumn="0" w:oddVBand="0" w:evenVBand="0" w:oddHBand="1" w:evenHBand="0" w:firstRowFirstColumn="0" w:firstRowLastColumn="0" w:lastRowFirstColumn="0" w:lastRowLastColumn="0"/>
          <w:cantSplit/>
          <w:trHeight w:val="298"/>
        </w:trPr>
        <w:tc>
          <w:tcPr>
            <w:cnfStyle w:val="001000000000" w:firstRow="0" w:lastRow="0" w:firstColumn="1" w:lastColumn="0" w:oddVBand="0" w:evenVBand="0" w:oddHBand="0" w:evenHBand="0" w:firstRowFirstColumn="0" w:firstRowLastColumn="0" w:lastRowFirstColumn="0" w:lastRowLastColumn="0"/>
            <w:tcW w:w="2888" w:type="dxa"/>
            <w:hideMark/>
          </w:tcPr>
          <w:p w14:paraId="144BC2AC" w14:textId="77777777" w:rsidR="003E005F" w:rsidRPr="000973F2" w:rsidRDefault="003E005F" w:rsidP="00CB5C21">
            <w:pPr>
              <w:spacing w:before="40" w:after="4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Travel</w:t>
            </w:r>
          </w:p>
        </w:tc>
        <w:tc>
          <w:tcPr>
            <w:tcW w:w="1088" w:type="dxa"/>
            <w:noWrap/>
            <w:hideMark/>
          </w:tcPr>
          <w:p w14:paraId="39780D5D" w14:textId="61E9C7CF" w:rsidR="003E005F" w:rsidRPr="000973F2" w:rsidRDefault="00CB5C21" w:rsidP="00CB5C21">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w:t>
            </w:r>
          </w:p>
        </w:tc>
        <w:tc>
          <w:tcPr>
            <w:tcW w:w="1088" w:type="dxa"/>
            <w:noWrap/>
          </w:tcPr>
          <w:p w14:paraId="4DA56A32" w14:textId="21E775A5" w:rsidR="003E005F" w:rsidRPr="000973F2" w:rsidRDefault="003E005F" w:rsidP="00CB5C21">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p>
        </w:tc>
        <w:tc>
          <w:tcPr>
            <w:tcW w:w="1088" w:type="dxa"/>
            <w:noWrap/>
            <w:hideMark/>
          </w:tcPr>
          <w:p w14:paraId="5DE7EFF5" w14:textId="60A34383" w:rsidR="003E005F" w:rsidRPr="000973F2" w:rsidRDefault="00CB5C21" w:rsidP="00CB5C21">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w:t>
            </w:r>
          </w:p>
        </w:tc>
        <w:tc>
          <w:tcPr>
            <w:tcW w:w="1100" w:type="dxa"/>
            <w:noWrap/>
            <w:hideMark/>
          </w:tcPr>
          <w:p w14:paraId="25ED6425" w14:textId="7261E755" w:rsidR="003E005F" w:rsidRPr="000973F2" w:rsidRDefault="00CB5C21" w:rsidP="00CB5C21">
            <w:pPr>
              <w:tabs>
                <w:tab w:val="decimal" w:pos="631"/>
              </w:tabs>
              <w:spacing w:before="40" w:after="4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w:t>
            </w:r>
          </w:p>
        </w:tc>
        <w:tc>
          <w:tcPr>
            <w:tcW w:w="1076" w:type="dxa"/>
            <w:noWrap/>
            <w:hideMark/>
          </w:tcPr>
          <w:p w14:paraId="1F27A6A0" w14:textId="30F4938D" w:rsidR="003E005F" w:rsidRPr="000973F2" w:rsidRDefault="00CB5C21" w:rsidP="00CB5C21">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w:t>
            </w:r>
          </w:p>
        </w:tc>
        <w:tc>
          <w:tcPr>
            <w:tcW w:w="1089" w:type="dxa"/>
            <w:noWrap/>
            <w:hideMark/>
          </w:tcPr>
          <w:p w14:paraId="4F301108" w14:textId="31CD62D0" w:rsidR="003E005F" w:rsidRPr="000973F2" w:rsidRDefault="00CB5C21" w:rsidP="00CB5C21">
            <w:pPr>
              <w:tabs>
                <w:tab w:val="decimal" w:pos="631"/>
              </w:tabs>
              <w:spacing w:before="40" w:after="4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w:t>
            </w:r>
          </w:p>
        </w:tc>
      </w:tr>
      <w:tr w:rsidR="00F40687" w:rsidRPr="000973F2" w14:paraId="61CB1F0C" w14:textId="77777777" w:rsidTr="00065233">
        <w:tblPrEx>
          <w:jc w:val="left"/>
        </w:tblPrEx>
        <w:trPr>
          <w:cantSplit/>
          <w:trHeight w:val="298"/>
        </w:trPr>
        <w:tc>
          <w:tcPr>
            <w:cnfStyle w:val="001000000000" w:firstRow="0" w:lastRow="0" w:firstColumn="1" w:lastColumn="0" w:oddVBand="0" w:evenVBand="0" w:oddHBand="0" w:evenHBand="0" w:firstRowFirstColumn="0" w:firstRowLastColumn="0" w:lastRowFirstColumn="0" w:lastRowLastColumn="0"/>
            <w:tcW w:w="2888" w:type="dxa"/>
            <w:hideMark/>
          </w:tcPr>
          <w:p w14:paraId="5BD21784" w14:textId="2353D5A0" w:rsidR="00F40687" w:rsidRPr="000973F2" w:rsidRDefault="00F40687" w:rsidP="00CB5C21">
            <w:pPr>
              <w:spacing w:before="40" w:after="4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 xml:space="preserve">Sampling </w:t>
            </w:r>
            <w:r w:rsidR="00C805F3" w:rsidRPr="000973F2">
              <w:rPr>
                <w:rFonts w:ascii="Times New Roman" w:eastAsia="Times New Roman" w:hAnsi="Times New Roman" w:cs="Times New Roman"/>
                <w:sz w:val="18"/>
                <w:szCs w:val="18"/>
              </w:rPr>
              <w:t xml:space="preserve">and Analysis </w:t>
            </w:r>
            <w:r w:rsidRPr="000973F2">
              <w:rPr>
                <w:rFonts w:ascii="Times New Roman" w:eastAsia="Times New Roman" w:hAnsi="Times New Roman" w:cs="Times New Roman"/>
                <w:sz w:val="18"/>
                <w:szCs w:val="18"/>
              </w:rPr>
              <w:t>Costs</w:t>
            </w:r>
          </w:p>
        </w:tc>
        <w:tc>
          <w:tcPr>
            <w:tcW w:w="1088" w:type="dxa"/>
            <w:noWrap/>
            <w:hideMark/>
          </w:tcPr>
          <w:p w14:paraId="25DD0F9A" w14:textId="77777777" w:rsidR="00F40687" w:rsidRPr="000973F2" w:rsidRDefault="00F40687" w:rsidP="00CB5C21">
            <w:pPr>
              <w:spacing w:before="40" w:after="4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$0</w:t>
            </w:r>
          </w:p>
        </w:tc>
        <w:tc>
          <w:tcPr>
            <w:tcW w:w="1088" w:type="dxa"/>
            <w:noWrap/>
          </w:tcPr>
          <w:p w14:paraId="2CAC5FF6" w14:textId="77777777" w:rsidR="00F40687" w:rsidRPr="000973F2" w:rsidRDefault="00F40687" w:rsidP="00CB5C21">
            <w:pPr>
              <w:spacing w:before="40" w:after="4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p>
        </w:tc>
        <w:tc>
          <w:tcPr>
            <w:tcW w:w="1088" w:type="dxa"/>
            <w:noWrap/>
            <w:hideMark/>
          </w:tcPr>
          <w:p w14:paraId="6BEA321D" w14:textId="77777777" w:rsidR="00F40687" w:rsidRPr="000973F2" w:rsidRDefault="00F40687" w:rsidP="00CB5C21">
            <w:pPr>
              <w:spacing w:before="40" w:after="4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$0</w:t>
            </w:r>
          </w:p>
        </w:tc>
        <w:tc>
          <w:tcPr>
            <w:tcW w:w="1100" w:type="dxa"/>
            <w:noWrap/>
            <w:hideMark/>
          </w:tcPr>
          <w:p w14:paraId="129162E5" w14:textId="77777777" w:rsidR="00F40687" w:rsidRPr="000973F2" w:rsidRDefault="00F40687" w:rsidP="00CB5C21">
            <w:pPr>
              <w:tabs>
                <w:tab w:val="decimal" w:pos="631"/>
              </w:tabs>
              <w:spacing w:before="40" w:after="4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$2,000</w:t>
            </w:r>
          </w:p>
        </w:tc>
        <w:tc>
          <w:tcPr>
            <w:tcW w:w="1076" w:type="dxa"/>
            <w:noWrap/>
            <w:hideMark/>
          </w:tcPr>
          <w:p w14:paraId="6E8BB571" w14:textId="77777777" w:rsidR="00F40687" w:rsidRPr="000973F2" w:rsidRDefault="00F40687" w:rsidP="00CB5C21">
            <w:pPr>
              <w:spacing w:before="40" w:after="4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$0</w:t>
            </w:r>
          </w:p>
        </w:tc>
        <w:tc>
          <w:tcPr>
            <w:tcW w:w="1089" w:type="dxa"/>
            <w:noWrap/>
            <w:hideMark/>
          </w:tcPr>
          <w:p w14:paraId="00BCB07B" w14:textId="77777777" w:rsidR="00F40687" w:rsidRPr="000973F2" w:rsidRDefault="00F40687" w:rsidP="00CB5C21">
            <w:pPr>
              <w:tabs>
                <w:tab w:val="decimal" w:pos="631"/>
              </w:tabs>
              <w:spacing w:before="40" w:after="4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$2,000</w:t>
            </w:r>
          </w:p>
        </w:tc>
      </w:tr>
      <w:tr w:rsidR="00F40687" w:rsidRPr="000973F2" w14:paraId="4037D8DF" w14:textId="77777777" w:rsidTr="00065233">
        <w:tblPrEx>
          <w:jc w:val="left"/>
        </w:tblPrEx>
        <w:trPr>
          <w:cnfStyle w:val="000000100000" w:firstRow="0" w:lastRow="0" w:firstColumn="0" w:lastColumn="0" w:oddVBand="0" w:evenVBand="0" w:oddHBand="1" w:evenHBand="0" w:firstRowFirstColumn="0" w:firstRowLastColumn="0" w:lastRowFirstColumn="0" w:lastRowLastColumn="0"/>
          <w:cantSplit/>
          <w:trHeight w:val="298"/>
        </w:trPr>
        <w:tc>
          <w:tcPr>
            <w:cnfStyle w:val="001000000000" w:firstRow="0" w:lastRow="0" w:firstColumn="1" w:lastColumn="0" w:oddVBand="0" w:evenVBand="0" w:oddHBand="0" w:evenHBand="0" w:firstRowFirstColumn="0" w:firstRowLastColumn="0" w:lastRowFirstColumn="0" w:lastRowLastColumn="0"/>
            <w:tcW w:w="2888" w:type="dxa"/>
            <w:hideMark/>
          </w:tcPr>
          <w:p w14:paraId="4872EA53" w14:textId="77777777" w:rsidR="00F40687" w:rsidRPr="000973F2" w:rsidRDefault="00F40687" w:rsidP="00CB5C21">
            <w:pPr>
              <w:spacing w:before="40" w:after="40"/>
              <w:rPr>
                <w:rFonts w:ascii="Times New Roman" w:eastAsia="Times New Roman" w:hAnsi="Times New Roman" w:cs="Times New Roman"/>
                <w:b/>
                <w:bCs w:val="0"/>
                <w:sz w:val="18"/>
                <w:szCs w:val="18"/>
              </w:rPr>
            </w:pPr>
            <w:r w:rsidRPr="000973F2">
              <w:rPr>
                <w:rFonts w:ascii="Times New Roman" w:eastAsia="Times New Roman" w:hAnsi="Times New Roman" w:cs="Times New Roman"/>
                <w:b/>
                <w:sz w:val="18"/>
                <w:szCs w:val="18"/>
              </w:rPr>
              <w:t xml:space="preserve">Total </w:t>
            </w:r>
          </w:p>
        </w:tc>
        <w:tc>
          <w:tcPr>
            <w:tcW w:w="1088" w:type="dxa"/>
            <w:noWrap/>
            <w:hideMark/>
          </w:tcPr>
          <w:p w14:paraId="7B9444B8" w14:textId="77777777" w:rsidR="00F40687" w:rsidRPr="000973F2" w:rsidRDefault="00F40687" w:rsidP="00CB5C21">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$0</w:t>
            </w:r>
          </w:p>
        </w:tc>
        <w:tc>
          <w:tcPr>
            <w:tcW w:w="1088" w:type="dxa"/>
            <w:noWrap/>
          </w:tcPr>
          <w:p w14:paraId="021D4D7E" w14:textId="77777777" w:rsidR="00F40687" w:rsidRPr="000973F2" w:rsidRDefault="00F40687" w:rsidP="00CB5C21">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p>
        </w:tc>
        <w:tc>
          <w:tcPr>
            <w:tcW w:w="1088" w:type="dxa"/>
            <w:noWrap/>
            <w:hideMark/>
          </w:tcPr>
          <w:p w14:paraId="39329DFC" w14:textId="77777777" w:rsidR="00F40687" w:rsidRPr="000973F2" w:rsidRDefault="00F40687" w:rsidP="00CB5C21">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$0</w:t>
            </w:r>
          </w:p>
        </w:tc>
        <w:tc>
          <w:tcPr>
            <w:tcW w:w="1100" w:type="dxa"/>
            <w:noWrap/>
            <w:hideMark/>
          </w:tcPr>
          <w:p w14:paraId="65E3A3C4" w14:textId="77777777" w:rsidR="00F40687" w:rsidRPr="000973F2" w:rsidRDefault="00F40687" w:rsidP="00CB5C21">
            <w:pPr>
              <w:tabs>
                <w:tab w:val="decimal" w:pos="631"/>
              </w:tabs>
              <w:spacing w:before="40" w:after="4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$2,050</w:t>
            </w:r>
          </w:p>
        </w:tc>
        <w:tc>
          <w:tcPr>
            <w:tcW w:w="1076" w:type="dxa"/>
            <w:noWrap/>
            <w:hideMark/>
          </w:tcPr>
          <w:p w14:paraId="690E712A" w14:textId="77777777" w:rsidR="00F40687" w:rsidRPr="000973F2" w:rsidRDefault="00F40687" w:rsidP="00CB5C21">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$0</w:t>
            </w:r>
          </w:p>
        </w:tc>
        <w:tc>
          <w:tcPr>
            <w:tcW w:w="1089" w:type="dxa"/>
            <w:noWrap/>
            <w:hideMark/>
          </w:tcPr>
          <w:p w14:paraId="6A1845BA" w14:textId="77777777" w:rsidR="00F40687" w:rsidRPr="000973F2" w:rsidRDefault="00F40687" w:rsidP="00CB5C21">
            <w:pPr>
              <w:tabs>
                <w:tab w:val="decimal" w:pos="631"/>
              </w:tabs>
              <w:spacing w:before="40" w:after="4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$2,050</w:t>
            </w:r>
          </w:p>
        </w:tc>
      </w:tr>
    </w:tbl>
    <w:p w14:paraId="3987B6DB" w14:textId="77777777" w:rsidR="00F40687" w:rsidRPr="000973F2" w:rsidRDefault="00F40687" w:rsidP="00C00E4F">
      <w:pPr>
        <w:spacing w:line="240" w:lineRule="auto"/>
        <w:rPr>
          <w:rFonts w:ascii="Times New Roman" w:hAnsi="Times New Roman" w:cs="Times New Roman"/>
          <w:b/>
          <w:i/>
        </w:rPr>
      </w:pPr>
    </w:p>
    <w:p w14:paraId="267ED337" w14:textId="77777777" w:rsidR="00F40687" w:rsidRPr="000973F2" w:rsidRDefault="00F40687" w:rsidP="00C00E4F">
      <w:pPr>
        <w:spacing w:line="240" w:lineRule="auto"/>
        <w:rPr>
          <w:rFonts w:ascii="Times New Roman" w:hAnsi="Times New Roman" w:cs="Times New Roman"/>
          <w:b/>
          <w:i/>
        </w:rPr>
      </w:pPr>
      <w:r w:rsidRPr="000973F2">
        <w:rPr>
          <w:rFonts w:ascii="Times New Roman" w:hAnsi="Times New Roman" w:cs="Times New Roman"/>
          <w:b/>
          <w:i/>
        </w:rPr>
        <w:br w:type="page"/>
      </w:r>
    </w:p>
    <w:p w14:paraId="6A79AEC8" w14:textId="1E98171A" w:rsidR="00F40687" w:rsidRPr="000973F2" w:rsidRDefault="00F40687" w:rsidP="00DB3004">
      <w:pPr>
        <w:pStyle w:val="Heading2"/>
      </w:pPr>
      <w:r w:rsidRPr="000973F2">
        <w:t xml:space="preserve">Labor Costs for Subpart Q </w:t>
      </w:r>
      <w:r w:rsidR="00DB3004" w:rsidRPr="000973F2">
        <w:t>–</w:t>
      </w:r>
      <w:r w:rsidRPr="000973F2">
        <w:t xml:space="preserve"> CEMS Option</w:t>
      </w:r>
    </w:p>
    <w:p w14:paraId="59332BA3" w14:textId="2F549031" w:rsidR="00F40687" w:rsidRPr="000973F2" w:rsidRDefault="00F40687" w:rsidP="00DB3004">
      <w:pPr>
        <w:pStyle w:val="BodyText"/>
      </w:pPr>
      <w:r w:rsidRPr="000973F2">
        <w:t xml:space="preserve">Table </w:t>
      </w:r>
      <w:r w:rsidR="00DB3004" w:rsidRPr="000973F2">
        <w:t>Q-</w:t>
      </w:r>
      <w:r w:rsidRPr="000973F2">
        <w:t>1c below includes the labor hours for each of the 16 facilities using the CEMS option to quantify CO</w:t>
      </w:r>
      <w:r w:rsidRPr="000973F2">
        <w:rPr>
          <w:vertAlign w:val="subscript"/>
        </w:rPr>
        <w:t>2</w:t>
      </w:r>
      <w:r w:rsidRPr="000973F2">
        <w:t xml:space="preserve"> emissions from Subpart Q. There is no advantage to installing CEMS for the GHGRP, therefore, it is expected that CEMS were installed as part of another state or Federal regulation. As a result, for the CEMS option, the only labor costs attributed to the GHGRP are those for reporting and recordkeeping and for calculations of production emissions in Equation Q1 through Equation Q7 of Subpart Q. Recordkeeping and reporting hours for Subpart Q are based on the “medium bin” designation, as discussed in the Cost Appendix Introduction.</w:t>
      </w:r>
    </w:p>
    <w:p w14:paraId="639FB6EA" w14:textId="2612386E" w:rsidR="00827CE4" w:rsidRPr="000973F2" w:rsidRDefault="00827CE4" w:rsidP="00DB3004">
      <w:pPr>
        <w:pStyle w:val="Tabletitle"/>
      </w:pPr>
      <w:r w:rsidRPr="000973F2">
        <w:t xml:space="preserve">Table </w:t>
      </w:r>
      <w:r w:rsidR="00DB3004" w:rsidRPr="000973F2">
        <w:t>Q-</w:t>
      </w:r>
      <w:r w:rsidRPr="000973F2">
        <w:t xml:space="preserve">1c. Labor Costs </w:t>
      </w:r>
      <w:r w:rsidR="00B960CC" w:rsidRPr="000973F2">
        <w:t>–</w:t>
      </w:r>
      <w:r w:rsidRPr="000973F2">
        <w:t xml:space="preserve"> Subpart Q –</w:t>
      </w:r>
      <w:r w:rsidR="00E06B5E" w:rsidRPr="000973F2">
        <w:t xml:space="preserve"> </w:t>
      </w:r>
      <w:r w:rsidRPr="000973F2">
        <w:t xml:space="preserve">CEMS Option </w:t>
      </w:r>
    </w:p>
    <w:tbl>
      <w:tblPr>
        <w:tblStyle w:val="PlainTable1"/>
        <w:tblW w:w="5586" w:type="pct"/>
        <w:jc w:val="left"/>
        <w:tblLayout w:type="fixed"/>
        <w:tblLook w:val="04A0" w:firstRow="1" w:lastRow="0" w:firstColumn="1" w:lastColumn="0" w:noHBand="0" w:noVBand="1"/>
      </w:tblPr>
      <w:tblGrid>
        <w:gridCol w:w="1402"/>
        <w:gridCol w:w="916"/>
        <w:gridCol w:w="915"/>
        <w:gridCol w:w="916"/>
        <w:gridCol w:w="914"/>
        <w:gridCol w:w="914"/>
        <w:gridCol w:w="915"/>
        <w:gridCol w:w="914"/>
        <w:gridCol w:w="915"/>
        <w:gridCol w:w="987"/>
        <w:gridCol w:w="990"/>
      </w:tblGrid>
      <w:tr w:rsidR="00827CE4" w:rsidRPr="000973F2" w14:paraId="6A5E67DB" w14:textId="77777777" w:rsidTr="000D7DE6">
        <w:trPr>
          <w:cnfStyle w:val="100000000000" w:firstRow="1" w:lastRow="0" w:firstColumn="0" w:lastColumn="0" w:oddVBand="0" w:evenVBand="0" w:oddHBand="0" w:evenHBand="0" w:firstRowFirstColumn="0" w:firstRowLastColumn="0" w:lastRowFirstColumn="0" w:lastRowLastColumn="0"/>
          <w:cantSplit/>
          <w:jc w:val="left"/>
        </w:trPr>
        <w:tc>
          <w:tcPr>
            <w:cnfStyle w:val="001000000000" w:firstRow="0" w:lastRow="0" w:firstColumn="1" w:lastColumn="0" w:oddVBand="0" w:evenVBand="0" w:oddHBand="0" w:evenHBand="0" w:firstRowFirstColumn="0" w:firstRowLastColumn="0" w:lastRowFirstColumn="0" w:lastRowLastColumn="0"/>
            <w:tcW w:w="1365" w:type="dxa"/>
            <w:vMerge w:val="restart"/>
            <w:noWrap/>
            <w:vAlign w:val="top"/>
            <w:hideMark/>
          </w:tcPr>
          <w:p w14:paraId="013918A9" w14:textId="77777777" w:rsidR="00827CE4" w:rsidRPr="000973F2" w:rsidRDefault="00827CE4" w:rsidP="00DB3004">
            <w:pPr>
              <w:spacing w:before="40" w:after="40"/>
              <w:rPr>
                <w:rFonts w:ascii="Times New Roman" w:eastAsia="Times New Roman" w:hAnsi="Times New Roman" w:cs="Times New Roman"/>
                <w:b w:val="0"/>
                <w:bCs w:val="0"/>
                <w:sz w:val="18"/>
                <w:szCs w:val="18"/>
              </w:rPr>
            </w:pPr>
            <w:r w:rsidRPr="000973F2">
              <w:rPr>
                <w:rFonts w:ascii="Times New Roman" w:eastAsia="Times New Roman" w:hAnsi="Times New Roman" w:cs="Times New Roman"/>
                <w:sz w:val="18"/>
                <w:szCs w:val="18"/>
              </w:rPr>
              <w:t>Activity</w:t>
            </w:r>
          </w:p>
        </w:tc>
        <w:tc>
          <w:tcPr>
            <w:tcW w:w="7132" w:type="dxa"/>
            <w:gridSpan w:val="8"/>
            <w:noWrap/>
            <w:vAlign w:val="top"/>
            <w:hideMark/>
          </w:tcPr>
          <w:p w14:paraId="0673C338" w14:textId="77777777" w:rsidR="00827CE4" w:rsidRPr="000973F2" w:rsidRDefault="00827CE4" w:rsidP="00DB3004">
            <w:pPr>
              <w:spacing w:before="40" w:after="40"/>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bCs w:val="0"/>
                <w:sz w:val="18"/>
                <w:szCs w:val="18"/>
              </w:rPr>
            </w:pPr>
            <w:r w:rsidRPr="000973F2">
              <w:rPr>
                <w:rFonts w:ascii="Times New Roman" w:eastAsia="Times New Roman" w:hAnsi="Times New Roman" w:cs="Times New Roman"/>
                <w:sz w:val="18"/>
                <w:szCs w:val="18"/>
              </w:rPr>
              <w:t>Labor Rates (per hour)</w:t>
            </w:r>
          </w:p>
        </w:tc>
        <w:tc>
          <w:tcPr>
            <w:tcW w:w="1927" w:type="dxa"/>
            <w:gridSpan w:val="2"/>
            <w:vMerge w:val="restart"/>
            <w:vAlign w:val="top"/>
            <w:hideMark/>
          </w:tcPr>
          <w:p w14:paraId="2214FB30" w14:textId="77777777" w:rsidR="00827CE4" w:rsidRPr="000973F2" w:rsidRDefault="00827CE4" w:rsidP="00DB3004">
            <w:pPr>
              <w:spacing w:before="40" w:after="40"/>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bCs w:val="0"/>
                <w:sz w:val="18"/>
                <w:szCs w:val="18"/>
              </w:rPr>
            </w:pPr>
            <w:r w:rsidRPr="000973F2">
              <w:rPr>
                <w:rFonts w:ascii="Times New Roman" w:eastAsia="Times New Roman" w:hAnsi="Times New Roman" w:cs="Times New Roman"/>
                <w:sz w:val="18"/>
                <w:szCs w:val="18"/>
              </w:rPr>
              <w:t>Total Labor Cost per Year per Facility</w:t>
            </w:r>
          </w:p>
          <w:p w14:paraId="19F5161F" w14:textId="77777777" w:rsidR="00827CE4" w:rsidRPr="000973F2" w:rsidRDefault="00827CE4" w:rsidP="00DB3004">
            <w:pPr>
              <w:spacing w:before="40" w:after="40"/>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bCs w:val="0"/>
                <w:sz w:val="18"/>
                <w:szCs w:val="18"/>
              </w:rPr>
            </w:pPr>
            <w:r w:rsidRPr="000973F2">
              <w:rPr>
                <w:rFonts w:ascii="Times New Roman" w:eastAsia="Times New Roman" w:hAnsi="Times New Roman" w:cs="Times New Roman"/>
                <w:sz w:val="18"/>
                <w:szCs w:val="18"/>
              </w:rPr>
              <w:t>(2017$)</w:t>
            </w:r>
          </w:p>
        </w:tc>
      </w:tr>
      <w:tr w:rsidR="00827CE4" w:rsidRPr="000973F2" w14:paraId="62028FEE" w14:textId="77777777" w:rsidTr="000D7DE6">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1365" w:type="dxa"/>
            <w:vMerge/>
            <w:hideMark/>
          </w:tcPr>
          <w:p w14:paraId="42C334C8" w14:textId="77777777" w:rsidR="00827CE4" w:rsidRPr="000973F2" w:rsidRDefault="00827CE4" w:rsidP="00DB3004">
            <w:pPr>
              <w:spacing w:before="40" w:after="40"/>
              <w:rPr>
                <w:rFonts w:ascii="Times New Roman" w:eastAsia="Times New Roman" w:hAnsi="Times New Roman" w:cs="Times New Roman"/>
                <w:b/>
                <w:bCs w:val="0"/>
                <w:sz w:val="18"/>
                <w:szCs w:val="18"/>
              </w:rPr>
            </w:pPr>
          </w:p>
        </w:tc>
        <w:tc>
          <w:tcPr>
            <w:tcW w:w="1783" w:type="dxa"/>
            <w:gridSpan w:val="2"/>
            <w:noWrap/>
            <w:hideMark/>
          </w:tcPr>
          <w:p w14:paraId="55CCB452" w14:textId="77777777" w:rsidR="00827CE4" w:rsidRPr="000973F2" w:rsidRDefault="00827CE4" w:rsidP="00DB3004">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18"/>
                <w:szCs w:val="18"/>
              </w:rPr>
            </w:pPr>
            <w:r w:rsidRPr="000973F2">
              <w:rPr>
                <w:rFonts w:ascii="Times New Roman" w:eastAsia="Times New Roman" w:hAnsi="Times New Roman" w:cs="Times New Roman"/>
                <w:b/>
                <w:bCs/>
                <w:sz w:val="18"/>
                <w:szCs w:val="18"/>
              </w:rPr>
              <w:t>Lawyer</w:t>
            </w:r>
          </w:p>
        </w:tc>
        <w:tc>
          <w:tcPr>
            <w:tcW w:w="1783" w:type="dxa"/>
            <w:gridSpan w:val="2"/>
            <w:noWrap/>
            <w:hideMark/>
          </w:tcPr>
          <w:p w14:paraId="292E9B90" w14:textId="77777777" w:rsidR="00827CE4" w:rsidRPr="000973F2" w:rsidRDefault="00827CE4" w:rsidP="00DB3004">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18"/>
                <w:szCs w:val="18"/>
              </w:rPr>
            </w:pPr>
            <w:r w:rsidRPr="000973F2">
              <w:rPr>
                <w:rFonts w:ascii="Times New Roman" w:eastAsia="Times New Roman" w:hAnsi="Times New Roman" w:cs="Times New Roman"/>
                <w:b/>
                <w:bCs/>
                <w:sz w:val="18"/>
                <w:szCs w:val="18"/>
              </w:rPr>
              <w:t>Industrial Manager</w:t>
            </w:r>
          </w:p>
        </w:tc>
        <w:tc>
          <w:tcPr>
            <w:tcW w:w="1783" w:type="dxa"/>
            <w:gridSpan w:val="2"/>
            <w:hideMark/>
          </w:tcPr>
          <w:p w14:paraId="7C129AC2" w14:textId="77777777" w:rsidR="00827CE4" w:rsidRPr="000973F2" w:rsidRDefault="00827CE4" w:rsidP="00DB3004">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18"/>
                <w:szCs w:val="18"/>
              </w:rPr>
            </w:pPr>
            <w:r w:rsidRPr="000973F2">
              <w:rPr>
                <w:rFonts w:ascii="Times New Roman" w:eastAsia="Times New Roman" w:hAnsi="Times New Roman" w:cs="Times New Roman"/>
                <w:b/>
                <w:bCs/>
                <w:sz w:val="18"/>
                <w:szCs w:val="18"/>
              </w:rPr>
              <w:t>Industrial Engineer/</w:t>
            </w:r>
          </w:p>
          <w:p w14:paraId="70C7EE33" w14:textId="77777777" w:rsidR="00827CE4" w:rsidRPr="000973F2" w:rsidRDefault="00827CE4" w:rsidP="00DB3004">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18"/>
                <w:szCs w:val="18"/>
              </w:rPr>
            </w:pPr>
            <w:r w:rsidRPr="000973F2">
              <w:rPr>
                <w:rFonts w:ascii="Times New Roman" w:eastAsia="Times New Roman" w:hAnsi="Times New Roman" w:cs="Times New Roman"/>
                <w:b/>
                <w:bCs/>
                <w:sz w:val="18"/>
                <w:szCs w:val="18"/>
              </w:rPr>
              <w:t>Technician</w:t>
            </w:r>
          </w:p>
        </w:tc>
        <w:tc>
          <w:tcPr>
            <w:tcW w:w="1783" w:type="dxa"/>
            <w:gridSpan w:val="2"/>
            <w:hideMark/>
          </w:tcPr>
          <w:p w14:paraId="4109FFC1" w14:textId="77777777" w:rsidR="00827CE4" w:rsidRPr="000973F2" w:rsidRDefault="00827CE4" w:rsidP="00DB3004">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18"/>
                <w:szCs w:val="18"/>
              </w:rPr>
            </w:pPr>
            <w:r w:rsidRPr="000973F2">
              <w:rPr>
                <w:rFonts w:ascii="Times New Roman" w:eastAsia="Times New Roman" w:hAnsi="Times New Roman" w:cs="Times New Roman"/>
                <w:b/>
                <w:bCs/>
                <w:sz w:val="18"/>
                <w:szCs w:val="18"/>
              </w:rPr>
              <w:t>Administrative Support</w:t>
            </w:r>
          </w:p>
        </w:tc>
        <w:tc>
          <w:tcPr>
            <w:tcW w:w="1927" w:type="dxa"/>
            <w:gridSpan w:val="2"/>
            <w:vMerge/>
            <w:hideMark/>
          </w:tcPr>
          <w:p w14:paraId="37A5783D" w14:textId="77777777" w:rsidR="00827CE4" w:rsidRPr="000973F2" w:rsidRDefault="00827CE4" w:rsidP="00DB3004">
            <w:pPr>
              <w:spacing w:before="40" w:after="4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18"/>
                <w:szCs w:val="18"/>
              </w:rPr>
            </w:pPr>
          </w:p>
        </w:tc>
      </w:tr>
      <w:tr w:rsidR="00827CE4" w:rsidRPr="000973F2" w14:paraId="707AC4A2" w14:textId="77777777" w:rsidTr="000D7DE6">
        <w:trPr>
          <w:cantSplit/>
        </w:trPr>
        <w:tc>
          <w:tcPr>
            <w:cnfStyle w:val="001000000000" w:firstRow="0" w:lastRow="0" w:firstColumn="1" w:lastColumn="0" w:oddVBand="0" w:evenVBand="0" w:oddHBand="0" w:evenHBand="0" w:firstRowFirstColumn="0" w:firstRowLastColumn="0" w:lastRowFirstColumn="0" w:lastRowLastColumn="0"/>
            <w:tcW w:w="1365" w:type="dxa"/>
            <w:vMerge/>
            <w:hideMark/>
          </w:tcPr>
          <w:p w14:paraId="17587A26" w14:textId="77777777" w:rsidR="00827CE4" w:rsidRPr="000973F2" w:rsidRDefault="00827CE4" w:rsidP="00DB3004">
            <w:pPr>
              <w:spacing w:before="40" w:after="40"/>
              <w:rPr>
                <w:rFonts w:ascii="Times New Roman" w:eastAsia="Times New Roman" w:hAnsi="Times New Roman" w:cs="Times New Roman"/>
                <w:b/>
                <w:bCs w:val="0"/>
                <w:sz w:val="18"/>
                <w:szCs w:val="18"/>
              </w:rPr>
            </w:pPr>
          </w:p>
        </w:tc>
        <w:tc>
          <w:tcPr>
            <w:tcW w:w="1783" w:type="dxa"/>
            <w:gridSpan w:val="2"/>
            <w:noWrap/>
            <w:hideMark/>
          </w:tcPr>
          <w:p w14:paraId="3852D1BB" w14:textId="77777777" w:rsidR="00827CE4" w:rsidRPr="000973F2" w:rsidRDefault="00827CE4" w:rsidP="00DB3004">
            <w:pPr>
              <w:spacing w:before="40" w:after="4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sz w:val="18"/>
                <w:szCs w:val="18"/>
              </w:rPr>
            </w:pPr>
            <w:r w:rsidRPr="000973F2">
              <w:rPr>
                <w:rFonts w:ascii="Times New Roman" w:eastAsia="Times New Roman" w:hAnsi="Times New Roman" w:cs="Times New Roman"/>
                <w:b/>
                <w:bCs/>
                <w:sz w:val="18"/>
                <w:szCs w:val="18"/>
              </w:rPr>
              <w:t xml:space="preserve">$112.23 </w:t>
            </w:r>
          </w:p>
        </w:tc>
        <w:tc>
          <w:tcPr>
            <w:tcW w:w="1783" w:type="dxa"/>
            <w:gridSpan w:val="2"/>
            <w:noWrap/>
            <w:hideMark/>
          </w:tcPr>
          <w:p w14:paraId="5C44C92D" w14:textId="77777777" w:rsidR="00827CE4" w:rsidRPr="000973F2" w:rsidRDefault="00827CE4" w:rsidP="00DB3004">
            <w:pPr>
              <w:spacing w:before="40" w:after="4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sz w:val="18"/>
                <w:szCs w:val="18"/>
              </w:rPr>
            </w:pPr>
            <w:r w:rsidRPr="000973F2">
              <w:rPr>
                <w:rFonts w:ascii="Times New Roman" w:eastAsia="Times New Roman" w:hAnsi="Times New Roman" w:cs="Times New Roman"/>
                <w:b/>
                <w:bCs/>
                <w:sz w:val="18"/>
                <w:szCs w:val="18"/>
              </w:rPr>
              <w:t xml:space="preserve">$87.45 </w:t>
            </w:r>
          </w:p>
        </w:tc>
        <w:tc>
          <w:tcPr>
            <w:tcW w:w="1783" w:type="dxa"/>
            <w:gridSpan w:val="2"/>
            <w:noWrap/>
            <w:hideMark/>
          </w:tcPr>
          <w:p w14:paraId="55E69FCF" w14:textId="77777777" w:rsidR="00827CE4" w:rsidRPr="000973F2" w:rsidRDefault="00827CE4" w:rsidP="00DB3004">
            <w:pPr>
              <w:spacing w:before="40" w:after="4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sz w:val="18"/>
                <w:szCs w:val="18"/>
              </w:rPr>
            </w:pPr>
            <w:r w:rsidRPr="000973F2">
              <w:rPr>
                <w:rFonts w:ascii="Times New Roman" w:eastAsia="Times New Roman" w:hAnsi="Times New Roman" w:cs="Times New Roman"/>
                <w:b/>
                <w:bCs/>
                <w:sz w:val="18"/>
                <w:szCs w:val="18"/>
              </w:rPr>
              <w:t xml:space="preserve">$71.45 </w:t>
            </w:r>
          </w:p>
        </w:tc>
        <w:tc>
          <w:tcPr>
            <w:tcW w:w="1783" w:type="dxa"/>
            <w:gridSpan w:val="2"/>
            <w:noWrap/>
            <w:hideMark/>
          </w:tcPr>
          <w:p w14:paraId="0B8DA796" w14:textId="77777777" w:rsidR="00827CE4" w:rsidRPr="000973F2" w:rsidRDefault="00827CE4" w:rsidP="00DB3004">
            <w:pPr>
              <w:spacing w:before="40" w:after="4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sz w:val="18"/>
                <w:szCs w:val="18"/>
              </w:rPr>
            </w:pPr>
            <w:r w:rsidRPr="000973F2">
              <w:rPr>
                <w:rFonts w:ascii="Times New Roman" w:eastAsia="Times New Roman" w:hAnsi="Times New Roman" w:cs="Times New Roman"/>
                <w:b/>
                <w:bCs/>
                <w:sz w:val="18"/>
                <w:szCs w:val="18"/>
              </w:rPr>
              <w:t xml:space="preserve">$36.28 </w:t>
            </w:r>
          </w:p>
        </w:tc>
        <w:tc>
          <w:tcPr>
            <w:tcW w:w="1927" w:type="dxa"/>
            <w:gridSpan w:val="2"/>
            <w:vMerge/>
            <w:hideMark/>
          </w:tcPr>
          <w:p w14:paraId="5462E1BC" w14:textId="77777777" w:rsidR="00827CE4" w:rsidRPr="000973F2" w:rsidRDefault="00827CE4" w:rsidP="00DB3004">
            <w:pPr>
              <w:spacing w:before="40" w:after="4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sz w:val="18"/>
                <w:szCs w:val="18"/>
              </w:rPr>
            </w:pPr>
          </w:p>
        </w:tc>
      </w:tr>
      <w:tr w:rsidR="000D7DE6" w:rsidRPr="000973F2" w14:paraId="427894C7" w14:textId="77777777" w:rsidTr="000D7DE6">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1365" w:type="dxa"/>
            <w:vMerge/>
            <w:hideMark/>
          </w:tcPr>
          <w:p w14:paraId="30D664CD" w14:textId="77777777" w:rsidR="00827CE4" w:rsidRPr="000973F2" w:rsidRDefault="00827CE4" w:rsidP="00DB3004">
            <w:pPr>
              <w:spacing w:before="40" w:after="40"/>
              <w:rPr>
                <w:rFonts w:ascii="Times New Roman" w:eastAsia="Times New Roman" w:hAnsi="Times New Roman" w:cs="Times New Roman"/>
                <w:b/>
                <w:bCs w:val="0"/>
                <w:sz w:val="18"/>
                <w:szCs w:val="18"/>
              </w:rPr>
            </w:pPr>
          </w:p>
        </w:tc>
        <w:tc>
          <w:tcPr>
            <w:tcW w:w="892" w:type="dxa"/>
            <w:tcMar>
              <w:left w:w="14" w:type="dxa"/>
              <w:right w:w="14" w:type="dxa"/>
            </w:tcMar>
            <w:hideMark/>
          </w:tcPr>
          <w:p w14:paraId="2CDB6715" w14:textId="4C32FEB9" w:rsidR="00827CE4" w:rsidRPr="000973F2" w:rsidRDefault="00827CE4" w:rsidP="00DB3004">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18"/>
                <w:szCs w:val="18"/>
              </w:rPr>
            </w:pPr>
            <w:r w:rsidRPr="000973F2">
              <w:rPr>
                <w:rFonts w:ascii="Times New Roman" w:eastAsia="Times New Roman" w:hAnsi="Times New Roman" w:cs="Times New Roman"/>
                <w:b/>
                <w:bCs/>
                <w:sz w:val="18"/>
                <w:szCs w:val="18"/>
              </w:rPr>
              <w:t xml:space="preserve">Initial </w:t>
            </w:r>
            <w:r w:rsidR="00132320" w:rsidRPr="000973F2">
              <w:rPr>
                <w:rFonts w:ascii="Times New Roman" w:eastAsia="Times New Roman" w:hAnsi="Times New Roman" w:cs="Times New Roman"/>
                <w:b/>
                <w:bCs/>
                <w:sz w:val="18"/>
                <w:szCs w:val="18"/>
              </w:rPr>
              <w:t>Year Hours</w:t>
            </w:r>
          </w:p>
        </w:tc>
        <w:tc>
          <w:tcPr>
            <w:tcW w:w="891" w:type="dxa"/>
            <w:tcMar>
              <w:left w:w="14" w:type="dxa"/>
              <w:right w:w="14" w:type="dxa"/>
            </w:tcMar>
            <w:hideMark/>
          </w:tcPr>
          <w:p w14:paraId="780E5A6E" w14:textId="77777777" w:rsidR="00827CE4" w:rsidRPr="000973F2" w:rsidRDefault="00827CE4" w:rsidP="00DB3004">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18"/>
                <w:szCs w:val="18"/>
              </w:rPr>
            </w:pPr>
            <w:r w:rsidRPr="000973F2">
              <w:rPr>
                <w:rFonts w:ascii="Times New Roman" w:eastAsia="Times New Roman" w:hAnsi="Times New Roman" w:cs="Times New Roman"/>
                <w:b/>
                <w:bCs/>
                <w:sz w:val="18"/>
                <w:szCs w:val="18"/>
              </w:rPr>
              <w:t>Subseq. Year Hours</w:t>
            </w:r>
          </w:p>
        </w:tc>
        <w:tc>
          <w:tcPr>
            <w:tcW w:w="892" w:type="dxa"/>
            <w:tcMar>
              <w:left w:w="14" w:type="dxa"/>
              <w:right w:w="14" w:type="dxa"/>
            </w:tcMar>
            <w:hideMark/>
          </w:tcPr>
          <w:p w14:paraId="566C387D" w14:textId="7B752449" w:rsidR="00827CE4" w:rsidRPr="000973F2" w:rsidRDefault="00827CE4" w:rsidP="00DB3004">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18"/>
                <w:szCs w:val="18"/>
              </w:rPr>
            </w:pPr>
            <w:r w:rsidRPr="000973F2">
              <w:rPr>
                <w:rFonts w:ascii="Times New Roman" w:eastAsia="Times New Roman" w:hAnsi="Times New Roman" w:cs="Times New Roman"/>
                <w:b/>
                <w:bCs/>
                <w:sz w:val="18"/>
                <w:szCs w:val="18"/>
              </w:rPr>
              <w:t xml:space="preserve">Initial </w:t>
            </w:r>
            <w:r w:rsidR="00132320" w:rsidRPr="000973F2">
              <w:rPr>
                <w:rFonts w:ascii="Times New Roman" w:eastAsia="Times New Roman" w:hAnsi="Times New Roman" w:cs="Times New Roman"/>
                <w:b/>
                <w:bCs/>
                <w:sz w:val="18"/>
                <w:szCs w:val="18"/>
              </w:rPr>
              <w:t>Year Hours</w:t>
            </w:r>
          </w:p>
        </w:tc>
        <w:tc>
          <w:tcPr>
            <w:tcW w:w="891" w:type="dxa"/>
            <w:tcMar>
              <w:left w:w="14" w:type="dxa"/>
              <w:right w:w="14" w:type="dxa"/>
            </w:tcMar>
            <w:hideMark/>
          </w:tcPr>
          <w:p w14:paraId="10C0048E" w14:textId="77777777" w:rsidR="00827CE4" w:rsidRPr="000973F2" w:rsidRDefault="00827CE4" w:rsidP="00DB3004">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18"/>
                <w:szCs w:val="18"/>
              </w:rPr>
            </w:pPr>
            <w:r w:rsidRPr="000973F2">
              <w:rPr>
                <w:rFonts w:ascii="Times New Roman" w:eastAsia="Times New Roman" w:hAnsi="Times New Roman" w:cs="Times New Roman"/>
                <w:b/>
                <w:bCs/>
                <w:sz w:val="18"/>
                <w:szCs w:val="18"/>
              </w:rPr>
              <w:t>Subseq. Year Hours</w:t>
            </w:r>
          </w:p>
        </w:tc>
        <w:tc>
          <w:tcPr>
            <w:tcW w:w="891" w:type="dxa"/>
            <w:tcMar>
              <w:left w:w="14" w:type="dxa"/>
              <w:right w:w="14" w:type="dxa"/>
            </w:tcMar>
            <w:hideMark/>
          </w:tcPr>
          <w:p w14:paraId="68F8B81E" w14:textId="458C9006" w:rsidR="00827CE4" w:rsidRPr="000973F2" w:rsidRDefault="00827CE4" w:rsidP="00DB3004">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18"/>
                <w:szCs w:val="18"/>
              </w:rPr>
            </w:pPr>
            <w:r w:rsidRPr="000973F2">
              <w:rPr>
                <w:rFonts w:ascii="Times New Roman" w:eastAsia="Times New Roman" w:hAnsi="Times New Roman" w:cs="Times New Roman"/>
                <w:b/>
                <w:bCs/>
                <w:sz w:val="18"/>
                <w:szCs w:val="18"/>
              </w:rPr>
              <w:t xml:space="preserve">Initial </w:t>
            </w:r>
            <w:r w:rsidR="00132320" w:rsidRPr="000973F2">
              <w:rPr>
                <w:rFonts w:ascii="Times New Roman" w:eastAsia="Times New Roman" w:hAnsi="Times New Roman" w:cs="Times New Roman"/>
                <w:b/>
                <w:bCs/>
                <w:sz w:val="18"/>
                <w:szCs w:val="18"/>
              </w:rPr>
              <w:t>Year Hours</w:t>
            </w:r>
          </w:p>
        </w:tc>
        <w:tc>
          <w:tcPr>
            <w:tcW w:w="892" w:type="dxa"/>
            <w:tcMar>
              <w:left w:w="14" w:type="dxa"/>
              <w:right w:w="14" w:type="dxa"/>
            </w:tcMar>
            <w:hideMark/>
          </w:tcPr>
          <w:p w14:paraId="28BC4CEA" w14:textId="77777777" w:rsidR="00827CE4" w:rsidRPr="000973F2" w:rsidRDefault="00827CE4" w:rsidP="00DB3004">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18"/>
                <w:szCs w:val="18"/>
              </w:rPr>
            </w:pPr>
            <w:r w:rsidRPr="000973F2">
              <w:rPr>
                <w:rFonts w:ascii="Times New Roman" w:eastAsia="Times New Roman" w:hAnsi="Times New Roman" w:cs="Times New Roman"/>
                <w:b/>
                <w:bCs/>
                <w:sz w:val="18"/>
                <w:szCs w:val="18"/>
              </w:rPr>
              <w:t>Subseq. Year Hours</w:t>
            </w:r>
          </w:p>
        </w:tc>
        <w:tc>
          <w:tcPr>
            <w:tcW w:w="891" w:type="dxa"/>
            <w:tcMar>
              <w:left w:w="14" w:type="dxa"/>
              <w:right w:w="14" w:type="dxa"/>
            </w:tcMar>
            <w:hideMark/>
          </w:tcPr>
          <w:p w14:paraId="4700E128" w14:textId="4D3BEA57" w:rsidR="00827CE4" w:rsidRPr="000973F2" w:rsidRDefault="00827CE4" w:rsidP="00DB3004">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18"/>
                <w:szCs w:val="18"/>
              </w:rPr>
            </w:pPr>
            <w:r w:rsidRPr="000973F2">
              <w:rPr>
                <w:rFonts w:ascii="Times New Roman" w:eastAsia="Times New Roman" w:hAnsi="Times New Roman" w:cs="Times New Roman"/>
                <w:b/>
                <w:bCs/>
                <w:sz w:val="18"/>
                <w:szCs w:val="18"/>
              </w:rPr>
              <w:t xml:space="preserve">Initial </w:t>
            </w:r>
            <w:r w:rsidR="00132320" w:rsidRPr="000973F2">
              <w:rPr>
                <w:rFonts w:ascii="Times New Roman" w:eastAsia="Times New Roman" w:hAnsi="Times New Roman" w:cs="Times New Roman"/>
                <w:b/>
                <w:bCs/>
                <w:sz w:val="18"/>
                <w:szCs w:val="18"/>
              </w:rPr>
              <w:t>Year Hours</w:t>
            </w:r>
          </w:p>
        </w:tc>
        <w:tc>
          <w:tcPr>
            <w:tcW w:w="892" w:type="dxa"/>
            <w:tcMar>
              <w:left w:w="14" w:type="dxa"/>
              <w:right w:w="14" w:type="dxa"/>
            </w:tcMar>
            <w:hideMark/>
          </w:tcPr>
          <w:p w14:paraId="07CAA389" w14:textId="77777777" w:rsidR="00827CE4" w:rsidRPr="000973F2" w:rsidRDefault="00827CE4" w:rsidP="00DB3004">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18"/>
                <w:szCs w:val="18"/>
              </w:rPr>
            </w:pPr>
            <w:r w:rsidRPr="000973F2">
              <w:rPr>
                <w:rFonts w:ascii="Times New Roman" w:eastAsia="Times New Roman" w:hAnsi="Times New Roman" w:cs="Times New Roman"/>
                <w:b/>
                <w:bCs/>
                <w:sz w:val="18"/>
                <w:szCs w:val="18"/>
              </w:rPr>
              <w:t>Subseq. Year Hours</w:t>
            </w:r>
          </w:p>
        </w:tc>
        <w:tc>
          <w:tcPr>
            <w:tcW w:w="962" w:type="dxa"/>
            <w:tcMar>
              <w:left w:w="14" w:type="dxa"/>
              <w:right w:w="14" w:type="dxa"/>
            </w:tcMar>
            <w:hideMark/>
          </w:tcPr>
          <w:p w14:paraId="03F076BF" w14:textId="77777777" w:rsidR="00827CE4" w:rsidRPr="000973F2" w:rsidRDefault="00827CE4" w:rsidP="00DB3004">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18"/>
                <w:szCs w:val="18"/>
              </w:rPr>
            </w:pPr>
            <w:r w:rsidRPr="000973F2">
              <w:rPr>
                <w:rFonts w:ascii="Times New Roman" w:eastAsia="Times New Roman" w:hAnsi="Times New Roman" w:cs="Times New Roman"/>
                <w:b/>
                <w:bCs/>
                <w:sz w:val="18"/>
                <w:szCs w:val="18"/>
              </w:rPr>
              <w:t>Initial Year</w:t>
            </w:r>
          </w:p>
        </w:tc>
        <w:tc>
          <w:tcPr>
            <w:tcW w:w="965" w:type="dxa"/>
            <w:tcMar>
              <w:left w:w="14" w:type="dxa"/>
              <w:right w:w="14" w:type="dxa"/>
            </w:tcMar>
            <w:hideMark/>
          </w:tcPr>
          <w:p w14:paraId="3B0824CD" w14:textId="77777777" w:rsidR="00827CE4" w:rsidRPr="000973F2" w:rsidRDefault="00827CE4" w:rsidP="00DB3004">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18"/>
                <w:szCs w:val="18"/>
              </w:rPr>
            </w:pPr>
            <w:r w:rsidRPr="000973F2">
              <w:rPr>
                <w:rFonts w:ascii="Times New Roman" w:eastAsia="Times New Roman" w:hAnsi="Times New Roman" w:cs="Times New Roman"/>
                <w:b/>
                <w:bCs/>
                <w:sz w:val="18"/>
                <w:szCs w:val="18"/>
              </w:rPr>
              <w:t>Subseq. Year</w:t>
            </w:r>
          </w:p>
        </w:tc>
      </w:tr>
      <w:tr w:rsidR="00827CE4" w:rsidRPr="000973F2" w14:paraId="42B4D911" w14:textId="77777777" w:rsidTr="000D7DE6">
        <w:trPr>
          <w:cantSplit/>
        </w:trPr>
        <w:tc>
          <w:tcPr>
            <w:cnfStyle w:val="001000000000" w:firstRow="0" w:lastRow="0" w:firstColumn="1" w:lastColumn="0" w:oddVBand="0" w:evenVBand="0" w:oddHBand="0" w:evenHBand="0" w:firstRowFirstColumn="0" w:firstRowLastColumn="0" w:lastRowFirstColumn="0" w:lastRowLastColumn="0"/>
            <w:tcW w:w="1365" w:type="dxa"/>
            <w:tcMar>
              <w:left w:w="115" w:type="dxa"/>
              <w:right w:w="14" w:type="dxa"/>
            </w:tcMar>
            <w:hideMark/>
          </w:tcPr>
          <w:p w14:paraId="26F07B00" w14:textId="77777777" w:rsidR="00827CE4" w:rsidRPr="000973F2" w:rsidRDefault="00827CE4" w:rsidP="00DB3004">
            <w:pPr>
              <w:spacing w:before="40" w:after="4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Planning</w:t>
            </w:r>
          </w:p>
        </w:tc>
        <w:tc>
          <w:tcPr>
            <w:tcW w:w="892" w:type="dxa"/>
            <w:noWrap/>
            <w:hideMark/>
          </w:tcPr>
          <w:p w14:paraId="72AB6745" w14:textId="77777777" w:rsidR="00827CE4" w:rsidRPr="000973F2" w:rsidRDefault="00827CE4" w:rsidP="00DB3004">
            <w:pPr>
              <w:spacing w:before="40" w:after="4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0</w:t>
            </w:r>
          </w:p>
        </w:tc>
        <w:tc>
          <w:tcPr>
            <w:tcW w:w="891" w:type="dxa"/>
            <w:noWrap/>
            <w:hideMark/>
          </w:tcPr>
          <w:p w14:paraId="34A5ABB7" w14:textId="77777777" w:rsidR="00827CE4" w:rsidRPr="000973F2" w:rsidRDefault="00827CE4" w:rsidP="00DB3004">
            <w:pPr>
              <w:spacing w:before="40" w:after="4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0</w:t>
            </w:r>
          </w:p>
        </w:tc>
        <w:tc>
          <w:tcPr>
            <w:tcW w:w="892" w:type="dxa"/>
            <w:noWrap/>
            <w:hideMark/>
          </w:tcPr>
          <w:p w14:paraId="52B969D0" w14:textId="77777777" w:rsidR="00827CE4" w:rsidRPr="000973F2" w:rsidRDefault="00827CE4" w:rsidP="00DB3004">
            <w:pPr>
              <w:spacing w:before="40" w:after="4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0</w:t>
            </w:r>
          </w:p>
        </w:tc>
        <w:tc>
          <w:tcPr>
            <w:tcW w:w="891" w:type="dxa"/>
            <w:noWrap/>
            <w:hideMark/>
          </w:tcPr>
          <w:p w14:paraId="2E1D44B4" w14:textId="77777777" w:rsidR="00827CE4" w:rsidRPr="000973F2" w:rsidRDefault="00827CE4" w:rsidP="00DB3004">
            <w:pPr>
              <w:tabs>
                <w:tab w:val="decimal" w:pos="226"/>
              </w:tabs>
              <w:spacing w:before="40" w:after="4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0</w:t>
            </w:r>
          </w:p>
        </w:tc>
        <w:tc>
          <w:tcPr>
            <w:tcW w:w="891" w:type="dxa"/>
            <w:noWrap/>
            <w:hideMark/>
          </w:tcPr>
          <w:p w14:paraId="33E175B3" w14:textId="77777777" w:rsidR="00827CE4" w:rsidRPr="000973F2" w:rsidRDefault="00827CE4" w:rsidP="00DB3004">
            <w:pPr>
              <w:spacing w:before="40" w:after="4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0</w:t>
            </w:r>
          </w:p>
        </w:tc>
        <w:tc>
          <w:tcPr>
            <w:tcW w:w="892" w:type="dxa"/>
            <w:noWrap/>
            <w:hideMark/>
          </w:tcPr>
          <w:p w14:paraId="6B6D125E" w14:textId="77777777" w:rsidR="00827CE4" w:rsidRPr="000973F2" w:rsidRDefault="00827CE4" w:rsidP="00DB3004">
            <w:pPr>
              <w:spacing w:before="40" w:after="4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0</w:t>
            </w:r>
          </w:p>
        </w:tc>
        <w:tc>
          <w:tcPr>
            <w:tcW w:w="891" w:type="dxa"/>
            <w:noWrap/>
            <w:hideMark/>
          </w:tcPr>
          <w:p w14:paraId="52667EC8" w14:textId="77777777" w:rsidR="00827CE4" w:rsidRPr="000973F2" w:rsidRDefault="00827CE4" w:rsidP="00DB3004">
            <w:pPr>
              <w:spacing w:before="40" w:after="4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0</w:t>
            </w:r>
          </w:p>
        </w:tc>
        <w:tc>
          <w:tcPr>
            <w:tcW w:w="892" w:type="dxa"/>
            <w:noWrap/>
            <w:hideMark/>
          </w:tcPr>
          <w:p w14:paraId="411AA861" w14:textId="77777777" w:rsidR="00827CE4" w:rsidRPr="000973F2" w:rsidRDefault="00827CE4" w:rsidP="00DB3004">
            <w:pPr>
              <w:tabs>
                <w:tab w:val="decimal" w:pos="226"/>
              </w:tabs>
              <w:spacing w:before="40" w:after="4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0</w:t>
            </w:r>
          </w:p>
        </w:tc>
        <w:tc>
          <w:tcPr>
            <w:tcW w:w="962" w:type="dxa"/>
            <w:noWrap/>
            <w:hideMark/>
          </w:tcPr>
          <w:p w14:paraId="36BA7664" w14:textId="0D457308" w:rsidR="00827CE4" w:rsidRPr="000973F2" w:rsidRDefault="00827CE4" w:rsidP="00DB3004">
            <w:pPr>
              <w:spacing w:before="40" w:after="4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$0</w:t>
            </w:r>
          </w:p>
        </w:tc>
        <w:tc>
          <w:tcPr>
            <w:tcW w:w="965" w:type="dxa"/>
            <w:noWrap/>
            <w:hideMark/>
          </w:tcPr>
          <w:p w14:paraId="2A5CBC69" w14:textId="3C5AA717" w:rsidR="00827CE4" w:rsidRPr="000973F2" w:rsidRDefault="00827CE4" w:rsidP="00DB3004">
            <w:pPr>
              <w:tabs>
                <w:tab w:val="decimal" w:pos="451"/>
              </w:tabs>
              <w:spacing w:before="40" w:after="4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$0</w:t>
            </w:r>
          </w:p>
        </w:tc>
      </w:tr>
      <w:tr w:rsidR="000D7DE6" w:rsidRPr="000973F2" w14:paraId="3EFE5AD9" w14:textId="77777777" w:rsidTr="000D7DE6">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1365" w:type="dxa"/>
            <w:tcMar>
              <w:left w:w="115" w:type="dxa"/>
              <w:right w:w="14" w:type="dxa"/>
            </w:tcMar>
            <w:hideMark/>
          </w:tcPr>
          <w:p w14:paraId="2EF8419C" w14:textId="77777777" w:rsidR="00827CE4" w:rsidRPr="000973F2" w:rsidRDefault="00827CE4" w:rsidP="00DB3004">
            <w:pPr>
              <w:spacing w:before="40" w:after="4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QA/QC</w:t>
            </w:r>
          </w:p>
        </w:tc>
        <w:tc>
          <w:tcPr>
            <w:tcW w:w="892" w:type="dxa"/>
            <w:noWrap/>
            <w:hideMark/>
          </w:tcPr>
          <w:p w14:paraId="04F9CEC0" w14:textId="77777777" w:rsidR="00827CE4" w:rsidRPr="000973F2" w:rsidRDefault="00827CE4" w:rsidP="00DB3004">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0</w:t>
            </w:r>
          </w:p>
        </w:tc>
        <w:tc>
          <w:tcPr>
            <w:tcW w:w="891" w:type="dxa"/>
            <w:noWrap/>
            <w:hideMark/>
          </w:tcPr>
          <w:p w14:paraId="7E7D3D64" w14:textId="77777777" w:rsidR="00827CE4" w:rsidRPr="000973F2" w:rsidRDefault="00827CE4" w:rsidP="00DB3004">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0</w:t>
            </w:r>
          </w:p>
        </w:tc>
        <w:tc>
          <w:tcPr>
            <w:tcW w:w="892" w:type="dxa"/>
            <w:noWrap/>
            <w:hideMark/>
          </w:tcPr>
          <w:p w14:paraId="25A91486" w14:textId="77777777" w:rsidR="00827CE4" w:rsidRPr="000973F2" w:rsidRDefault="00827CE4" w:rsidP="00DB3004">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0</w:t>
            </w:r>
          </w:p>
        </w:tc>
        <w:tc>
          <w:tcPr>
            <w:tcW w:w="891" w:type="dxa"/>
            <w:noWrap/>
            <w:hideMark/>
          </w:tcPr>
          <w:p w14:paraId="6285216F" w14:textId="77777777" w:rsidR="00827CE4" w:rsidRPr="000973F2" w:rsidRDefault="00827CE4" w:rsidP="00DB3004">
            <w:pPr>
              <w:tabs>
                <w:tab w:val="decimal" w:pos="226"/>
              </w:tabs>
              <w:spacing w:before="40" w:after="4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0</w:t>
            </w:r>
          </w:p>
        </w:tc>
        <w:tc>
          <w:tcPr>
            <w:tcW w:w="891" w:type="dxa"/>
            <w:noWrap/>
            <w:hideMark/>
          </w:tcPr>
          <w:p w14:paraId="2860877A" w14:textId="77777777" w:rsidR="00827CE4" w:rsidRPr="000973F2" w:rsidRDefault="00827CE4" w:rsidP="00DB3004">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0</w:t>
            </w:r>
          </w:p>
        </w:tc>
        <w:tc>
          <w:tcPr>
            <w:tcW w:w="892" w:type="dxa"/>
            <w:noWrap/>
            <w:hideMark/>
          </w:tcPr>
          <w:p w14:paraId="1A3A193B" w14:textId="77777777" w:rsidR="00827CE4" w:rsidRPr="000973F2" w:rsidRDefault="00827CE4" w:rsidP="00DB3004">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0</w:t>
            </w:r>
          </w:p>
        </w:tc>
        <w:tc>
          <w:tcPr>
            <w:tcW w:w="891" w:type="dxa"/>
            <w:noWrap/>
            <w:hideMark/>
          </w:tcPr>
          <w:p w14:paraId="41E6B1F8" w14:textId="77777777" w:rsidR="00827CE4" w:rsidRPr="000973F2" w:rsidRDefault="00827CE4" w:rsidP="00DB3004">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0</w:t>
            </w:r>
          </w:p>
        </w:tc>
        <w:tc>
          <w:tcPr>
            <w:tcW w:w="892" w:type="dxa"/>
            <w:noWrap/>
            <w:hideMark/>
          </w:tcPr>
          <w:p w14:paraId="4A464026" w14:textId="77777777" w:rsidR="00827CE4" w:rsidRPr="000973F2" w:rsidRDefault="00827CE4" w:rsidP="00DB3004">
            <w:pPr>
              <w:tabs>
                <w:tab w:val="decimal" w:pos="226"/>
              </w:tabs>
              <w:spacing w:before="40" w:after="4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0</w:t>
            </w:r>
          </w:p>
        </w:tc>
        <w:tc>
          <w:tcPr>
            <w:tcW w:w="962" w:type="dxa"/>
            <w:noWrap/>
            <w:hideMark/>
          </w:tcPr>
          <w:p w14:paraId="0417CF78" w14:textId="7CC8E522" w:rsidR="00827CE4" w:rsidRPr="000973F2" w:rsidRDefault="00827CE4" w:rsidP="00DB3004">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$0</w:t>
            </w:r>
          </w:p>
        </w:tc>
        <w:tc>
          <w:tcPr>
            <w:tcW w:w="965" w:type="dxa"/>
            <w:noWrap/>
            <w:hideMark/>
          </w:tcPr>
          <w:p w14:paraId="207EE405" w14:textId="420B4A01" w:rsidR="00827CE4" w:rsidRPr="000973F2" w:rsidRDefault="00827CE4" w:rsidP="00DB3004">
            <w:pPr>
              <w:tabs>
                <w:tab w:val="decimal" w:pos="451"/>
              </w:tabs>
              <w:spacing w:before="40" w:after="4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$0</w:t>
            </w:r>
          </w:p>
        </w:tc>
      </w:tr>
      <w:tr w:rsidR="00827CE4" w:rsidRPr="000973F2" w14:paraId="4E840403" w14:textId="77777777" w:rsidTr="000D7DE6">
        <w:trPr>
          <w:cantSplit/>
        </w:trPr>
        <w:tc>
          <w:tcPr>
            <w:cnfStyle w:val="001000000000" w:firstRow="0" w:lastRow="0" w:firstColumn="1" w:lastColumn="0" w:oddVBand="0" w:evenVBand="0" w:oddHBand="0" w:evenHBand="0" w:firstRowFirstColumn="0" w:firstRowLastColumn="0" w:lastRowFirstColumn="0" w:lastRowLastColumn="0"/>
            <w:tcW w:w="1365" w:type="dxa"/>
            <w:tcMar>
              <w:left w:w="115" w:type="dxa"/>
              <w:right w:w="14" w:type="dxa"/>
            </w:tcMar>
            <w:hideMark/>
          </w:tcPr>
          <w:p w14:paraId="3EF0182A" w14:textId="77777777" w:rsidR="00827CE4" w:rsidRPr="000973F2" w:rsidRDefault="00827CE4" w:rsidP="00DB3004">
            <w:pPr>
              <w:spacing w:before="40" w:after="4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Recordkeeping</w:t>
            </w:r>
          </w:p>
        </w:tc>
        <w:tc>
          <w:tcPr>
            <w:tcW w:w="892" w:type="dxa"/>
            <w:noWrap/>
            <w:hideMark/>
          </w:tcPr>
          <w:p w14:paraId="1BDBDB3A" w14:textId="77777777" w:rsidR="00827CE4" w:rsidRPr="000973F2" w:rsidRDefault="00827CE4" w:rsidP="00DB3004">
            <w:pPr>
              <w:spacing w:before="40" w:after="4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0</w:t>
            </w:r>
          </w:p>
        </w:tc>
        <w:tc>
          <w:tcPr>
            <w:tcW w:w="891" w:type="dxa"/>
            <w:noWrap/>
            <w:hideMark/>
          </w:tcPr>
          <w:p w14:paraId="5C75FCFC" w14:textId="77777777" w:rsidR="00827CE4" w:rsidRPr="000973F2" w:rsidRDefault="00827CE4" w:rsidP="00DB3004">
            <w:pPr>
              <w:spacing w:before="40" w:after="4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0</w:t>
            </w:r>
          </w:p>
        </w:tc>
        <w:tc>
          <w:tcPr>
            <w:tcW w:w="892" w:type="dxa"/>
            <w:noWrap/>
            <w:hideMark/>
          </w:tcPr>
          <w:p w14:paraId="3577433D" w14:textId="77777777" w:rsidR="00827CE4" w:rsidRPr="000973F2" w:rsidRDefault="00827CE4" w:rsidP="00DB3004">
            <w:pPr>
              <w:spacing w:before="40" w:after="4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0</w:t>
            </w:r>
          </w:p>
        </w:tc>
        <w:tc>
          <w:tcPr>
            <w:tcW w:w="891" w:type="dxa"/>
            <w:noWrap/>
            <w:hideMark/>
          </w:tcPr>
          <w:p w14:paraId="3B5B4005" w14:textId="77777777" w:rsidR="00827CE4" w:rsidRPr="000973F2" w:rsidRDefault="00827CE4" w:rsidP="00DB3004">
            <w:pPr>
              <w:tabs>
                <w:tab w:val="decimal" w:pos="226"/>
              </w:tabs>
              <w:spacing w:before="40" w:after="4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0.5</w:t>
            </w:r>
          </w:p>
        </w:tc>
        <w:tc>
          <w:tcPr>
            <w:tcW w:w="891" w:type="dxa"/>
            <w:noWrap/>
            <w:hideMark/>
          </w:tcPr>
          <w:p w14:paraId="36B3D6E2" w14:textId="77777777" w:rsidR="00827CE4" w:rsidRPr="000973F2" w:rsidRDefault="00827CE4" w:rsidP="00DB3004">
            <w:pPr>
              <w:spacing w:before="40" w:after="4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0</w:t>
            </w:r>
          </w:p>
        </w:tc>
        <w:tc>
          <w:tcPr>
            <w:tcW w:w="892" w:type="dxa"/>
            <w:noWrap/>
            <w:hideMark/>
          </w:tcPr>
          <w:p w14:paraId="2C47787D" w14:textId="77777777" w:rsidR="00827CE4" w:rsidRPr="000973F2" w:rsidRDefault="00827CE4" w:rsidP="00DB3004">
            <w:pPr>
              <w:spacing w:before="40" w:after="4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2</w:t>
            </w:r>
          </w:p>
        </w:tc>
        <w:tc>
          <w:tcPr>
            <w:tcW w:w="891" w:type="dxa"/>
            <w:noWrap/>
            <w:hideMark/>
          </w:tcPr>
          <w:p w14:paraId="4CE62BD3" w14:textId="77777777" w:rsidR="00827CE4" w:rsidRPr="000973F2" w:rsidRDefault="00827CE4" w:rsidP="00DB3004">
            <w:pPr>
              <w:spacing w:before="40" w:after="4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0</w:t>
            </w:r>
          </w:p>
        </w:tc>
        <w:tc>
          <w:tcPr>
            <w:tcW w:w="892" w:type="dxa"/>
            <w:noWrap/>
            <w:hideMark/>
          </w:tcPr>
          <w:p w14:paraId="352C2461" w14:textId="77777777" w:rsidR="00827CE4" w:rsidRPr="000973F2" w:rsidRDefault="00827CE4" w:rsidP="00DB3004">
            <w:pPr>
              <w:tabs>
                <w:tab w:val="decimal" w:pos="226"/>
              </w:tabs>
              <w:spacing w:before="40" w:after="4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0.5</w:t>
            </w:r>
          </w:p>
        </w:tc>
        <w:tc>
          <w:tcPr>
            <w:tcW w:w="962" w:type="dxa"/>
            <w:noWrap/>
            <w:hideMark/>
          </w:tcPr>
          <w:p w14:paraId="797C7833" w14:textId="4622DD8F" w:rsidR="00827CE4" w:rsidRPr="000973F2" w:rsidRDefault="00827CE4" w:rsidP="00DB3004">
            <w:pPr>
              <w:spacing w:before="40" w:after="4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$0</w:t>
            </w:r>
          </w:p>
        </w:tc>
        <w:tc>
          <w:tcPr>
            <w:tcW w:w="965" w:type="dxa"/>
            <w:noWrap/>
            <w:hideMark/>
          </w:tcPr>
          <w:p w14:paraId="371C2A00" w14:textId="429A7E95" w:rsidR="00827CE4" w:rsidRPr="000973F2" w:rsidRDefault="00827CE4" w:rsidP="00DB3004">
            <w:pPr>
              <w:tabs>
                <w:tab w:val="decimal" w:pos="451"/>
              </w:tabs>
              <w:spacing w:before="40" w:after="4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$205</w:t>
            </w:r>
          </w:p>
        </w:tc>
      </w:tr>
      <w:tr w:rsidR="000D7DE6" w:rsidRPr="000973F2" w14:paraId="3A35790D" w14:textId="77777777" w:rsidTr="000D7DE6">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1365" w:type="dxa"/>
            <w:tcMar>
              <w:left w:w="115" w:type="dxa"/>
              <w:right w:w="14" w:type="dxa"/>
            </w:tcMar>
            <w:hideMark/>
          </w:tcPr>
          <w:p w14:paraId="399AC1E7" w14:textId="77777777" w:rsidR="00827CE4" w:rsidRPr="000973F2" w:rsidRDefault="00827CE4" w:rsidP="00DB3004">
            <w:pPr>
              <w:spacing w:before="40" w:after="4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Sampling and Analysis (Calculations)</w:t>
            </w:r>
          </w:p>
        </w:tc>
        <w:tc>
          <w:tcPr>
            <w:tcW w:w="892" w:type="dxa"/>
            <w:noWrap/>
            <w:hideMark/>
          </w:tcPr>
          <w:p w14:paraId="010D9A75" w14:textId="77777777" w:rsidR="00827CE4" w:rsidRPr="000973F2" w:rsidRDefault="00827CE4" w:rsidP="00DB3004">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0</w:t>
            </w:r>
          </w:p>
        </w:tc>
        <w:tc>
          <w:tcPr>
            <w:tcW w:w="891" w:type="dxa"/>
            <w:noWrap/>
            <w:hideMark/>
          </w:tcPr>
          <w:p w14:paraId="01EB1E53" w14:textId="77777777" w:rsidR="00827CE4" w:rsidRPr="000973F2" w:rsidRDefault="00827CE4" w:rsidP="00DB3004">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0</w:t>
            </w:r>
          </w:p>
        </w:tc>
        <w:tc>
          <w:tcPr>
            <w:tcW w:w="892" w:type="dxa"/>
            <w:noWrap/>
            <w:hideMark/>
          </w:tcPr>
          <w:p w14:paraId="33F702E3" w14:textId="77777777" w:rsidR="00827CE4" w:rsidRPr="000973F2" w:rsidRDefault="00827CE4" w:rsidP="00DB3004">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0</w:t>
            </w:r>
          </w:p>
        </w:tc>
        <w:tc>
          <w:tcPr>
            <w:tcW w:w="891" w:type="dxa"/>
            <w:noWrap/>
            <w:hideMark/>
          </w:tcPr>
          <w:p w14:paraId="26368E4D" w14:textId="77777777" w:rsidR="00827CE4" w:rsidRPr="000973F2" w:rsidRDefault="00827CE4" w:rsidP="00DB3004">
            <w:pPr>
              <w:tabs>
                <w:tab w:val="decimal" w:pos="226"/>
              </w:tabs>
              <w:spacing w:before="40" w:after="4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0.2</w:t>
            </w:r>
          </w:p>
        </w:tc>
        <w:tc>
          <w:tcPr>
            <w:tcW w:w="891" w:type="dxa"/>
            <w:noWrap/>
            <w:hideMark/>
          </w:tcPr>
          <w:p w14:paraId="15FDE446" w14:textId="77777777" w:rsidR="00827CE4" w:rsidRPr="000973F2" w:rsidRDefault="00827CE4" w:rsidP="00DB3004">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0</w:t>
            </w:r>
          </w:p>
        </w:tc>
        <w:tc>
          <w:tcPr>
            <w:tcW w:w="892" w:type="dxa"/>
            <w:noWrap/>
            <w:hideMark/>
          </w:tcPr>
          <w:p w14:paraId="482B076A" w14:textId="77777777" w:rsidR="00827CE4" w:rsidRPr="000973F2" w:rsidRDefault="00827CE4" w:rsidP="00DB3004">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2</w:t>
            </w:r>
          </w:p>
        </w:tc>
        <w:tc>
          <w:tcPr>
            <w:tcW w:w="891" w:type="dxa"/>
            <w:noWrap/>
            <w:hideMark/>
          </w:tcPr>
          <w:p w14:paraId="35C8559F" w14:textId="77777777" w:rsidR="00827CE4" w:rsidRPr="000973F2" w:rsidRDefault="00827CE4" w:rsidP="00DB3004">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0</w:t>
            </w:r>
          </w:p>
        </w:tc>
        <w:tc>
          <w:tcPr>
            <w:tcW w:w="892" w:type="dxa"/>
            <w:noWrap/>
            <w:hideMark/>
          </w:tcPr>
          <w:p w14:paraId="61898A54" w14:textId="77777777" w:rsidR="00827CE4" w:rsidRPr="000973F2" w:rsidRDefault="00827CE4" w:rsidP="00DB3004">
            <w:pPr>
              <w:tabs>
                <w:tab w:val="decimal" w:pos="226"/>
              </w:tabs>
              <w:spacing w:before="40" w:after="4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0.1</w:t>
            </w:r>
          </w:p>
        </w:tc>
        <w:tc>
          <w:tcPr>
            <w:tcW w:w="962" w:type="dxa"/>
            <w:noWrap/>
            <w:hideMark/>
          </w:tcPr>
          <w:p w14:paraId="748CA2FC" w14:textId="3BF6E67B" w:rsidR="00827CE4" w:rsidRPr="000973F2" w:rsidRDefault="00827CE4" w:rsidP="00DB3004">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$0</w:t>
            </w:r>
          </w:p>
        </w:tc>
        <w:tc>
          <w:tcPr>
            <w:tcW w:w="965" w:type="dxa"/>
            <w:noWrap/>
            <w:hideMark/>
          </w:tcPr>
          <w:p w14:paraId="5255A205" w14:textId="09F4DA0C" w:rsidR="00827CE4" w:rsidRPr="000973F2" w:rsidRDefault="00827CE4" w:rsidP="00DB3004">
            <w:pPr>
              <w:tabs>
                <w:tab w:val="decimal" w:pos="451"/>
              </w:tabs>
              <w:spacing w:before="40" w:after="4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$164</w:t>
            </w:r>
          </w:p>
        </w:tc>
      </w:tr>
      <w:tr w:rsidR="00827CE4" w:rsidRPr="000973F2" w14:paraId="46E4A279" w14:textId="77777777" w:rsidTr="000D7DE6">
        <w:trPr>
          <w:cantSplit/>
        </w:trPr>
        <w:tc>
          <w:tcPr>
            <w:cnfStyle w:val="001000000000" w:firstRow="0" w:lastRow="0" w:firstColumn="1" w:lastColumn="0" w:oddVBand="0" w:evenVBand="0" w:oddHBand="0" w:evenHBand="0" w:firstRowFirstColumn="0" w:firstRowLastColumn="0" w:lastRowFirstColumn="0" w:lastRowLastColumn="0"/>
            <w:tcW w:w="1365" w:type="dxa"/>
            <w:tcMar>
              <w:left w:w="115" w:type="dxa"/>
              <w:right w:w="14" w:type="dxa"/>
            </w:tcMar>
            <w:hideMark/>
          </w:tcPr>
          <w:p w14:paraId="3071BC65" w14:textId="77777777" w:rsidR="00827CE4" w:rsidRPr="000973F2" w:rsidRDefault="00827CE4" w:rsidP="00DB3004">
            <w:pPr>
              <w:spacing w:before="40" w:after="4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Reporting</w:t>
            </w:r>
          </w:p>
        </w:tc>
        <w:tc>
          <w:tcPr>
            <w:tcW w:w="892" w:type="dxa"/>
            <w:noWrap/>
            <w:hideMark/>
          </w:tcPr>
          <w:p w14:paraId="16552BE9" w14:textId="77777777" w:rsidR="00827CE4" w:rsidRPr="000973F2" w:rsidRDefault="00827CE4" w:rsidP="00DB3004">
            <w:pPr>
              <w:spacing w:before="40" w:after="4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0</w:t>
            </w:r>
          </w:p>
        </w:tc>
        <w:tc>
          <w:tcPr>
            <w:tcW w:w="891" w:type="dxa"/>
            <w:noWrap/>
            <w:hideMark/>
          </w:tcPr>
          <w:p w14:paraId="5C824C7B" w14:textId="77777777" w:rsidR="00827CE4" w:rsidRPr="000973F2" w:rsidRDefault="00827CE4" w:rsidP="00DB3004">
            <w:pPr>
              <w:spacing w:before="40" w:after="4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0</w:t>
            </w:r>
          </w:p>
        </w:tc>
        <w:tc>
          <w:tcPr>
            <w:tcW w:w="892" w:type="dxa"/>
            <w:noWrap/>
            <w:hideMark/>
          </w:tcPr>
          <w:p w14:paraId="0DBCE56D" w14:textId="77777777" w:rsidR="00827CE4" w:rsidRPr="000973F2" w:rsidRDefault="00827CE4" w:rsidP="00DB3004">
            <w:pPr>
              <w:spacing w:before="40" w:after="4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0</w:t>
            </w:r>
          </w:p>
        </w:tc>
        <w:tc>
          <w:tcPr>
            <w:tcW w:w="891" w:type="dxa"/>
            <w:noWrap/>
            <w:hideMark/>
          </w:tcPr>
          <w:p w14:paraId="22BA38CD" w14:textId="77777777" w:rsidR="00827CE4" w:rsidRPr="000973F2" w:rsidRDefault="00827CE4" w:rsidP="00DB3004">
            <w:pPr>
              <w:tabs>
                <w:tab w:val="decimal" w:pos="226"/>
              </w:tabs>
              <w:spacing w:before="40" w:after="4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1.0</w:t>
            </w:r>
          </w:p>
        </w:tc>
        <w:tc>
          <w:tcPr>
            <w:tcW w:w="891" w:type="dxa"/>
            <w:noWrap/>
            <w:hideMark/>
          </w:tcPr>
          <w:p w14:paraId="5D21DEC5" w14:textId="77777777" w:rsidR="00827CE4" w:rsidRPr="000973F2" w:rsidRDefault="00827CE4" w:rsidP="00DB3004">
            <w:pPr>
              <w:spacing w:before="40" w:after="4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0</w:t>
            </w:r>
          </w:p>
        </w:tc>
        <w:tc>
          <w:tcPr>
            <w:tcW w:w="892" w:type="dxa"/>
            <w:noWrap/>
            <w:hideMark/>
          </w:tcPr>
          <w:p w14:paraId="776C24A6" w14:textId="77777777" w:rsidR="00827CE4" w:rsidRPr="000973F2" w:rsidRDefault="00827CE4" w:rsidP="00DB3004">
            <w:pPr>
              <w:spacing w:before="40" w:after="4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4</w:t>
            </w:r>
          </w:p>
        </w:tc>
        <w:tc>
          <w:tcPr>
            <w:tcW w:w="891" w:type="dxa"/>
            <w:noWrap/>
            <w:hideMark/>
          </w:tcPr>
          <w:p w14:paraId="0AC6E287" w14:textId="77777777" w:rsidR="00827CE4" w:rsidRPr="000973F2" w:rsidRDefault="00827CE4" w:rsidP="00DB3004">
            <w:pPr>
              <w:spacing w:before="40" w:after="4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0</w:t>
            </w:r>
          </w:p>
        </w:tc>
        <w:tc>
          <w:tcPr>
            <w:tcW w:w="892" w:type="dxa"/>
            <w:noWrap/>
            <w:hideMark/>
          </w:tcPr>
          <w:p w14:paraId="0AED1004" w14:textId="77777777" w:rsidR="00827CE4" w:rsidRPr="000973F2" w:rsidRDefault="00827CE4" w:rsidP="00DB3004">
            <w:pPr>
              <w:tabs>
                <w:tab w:val="decimal" w:pos="226"/>
              </w:tabs>
              <w:spacing w:before="40" w:after="4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1.0</w:t>
            </w:r>
          </w:p>
        </w:tc>
        <w:tc>
          <w:tcPr>
            <w:tcW w:w="962" w:type="dxa"/>
            <w:noWrap/>
            <w:hideMark/>
          </w:tcPr>
          <w:p w14:paraId="438C1B0E" w14:textId="115DBE47" w:rsidR="00827CE4" w:rsidRPr="000973F2" w:rsidRDefault="00827CE4" w:rsidP="00DB3004">
            <w:pPr>
              <w:spacing w:before="40" w:after="4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$0</w:t>
            </w:r>
          </w:p>
        </w:tc>
        <w:tc>
          <w:tcPr>
            <w:tcW w:w="965" w:type="dxa"/>
            <w:noWrap/>
            <w:hideMark/>
          </w:tcPr>
          <w:p w14:paraId="70F6CB5D" w14:textId="77777777" w:rsidR="00827CE4" w:rsidRPr="000973F2" w:rsidRDefault="00827CE4" w:rsidP="00DB3004">
            <w:pPr>
              <w:tabs>
                <w:tab w:val="decimal" w:pos="451"/>
              </w:tabs>
              <w:spacing w:before="40" w:after="4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$410</w:t>
            </w:r>
          </w:p>
        </w:tc>
      </w:tr>
      <w:tr w:rsidR="000D7DE6" w:rsidRPr="000973F2" w14:paraId="49FBCF71" w14:textId="77777777" w:rsidTr="000D7DE6">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1365" w:type="dxa"/>
            <w:noWrap/>
            <w:tcMar>
              <w:left w:w="115" w:type="dxa"/>
              <w:right w:w="14" w:type="dxa"/>
            </w:tcMar>
            <w:hideMark/>
          </w:tcPr>
          <w:p w14:paraId="4C39E72E" w14:textId="77777777" w:rsidR="00827CE4" w:rsidRPr="000973F2" w:rsidRDefault="00827CE4" w:rsidP="00DB3004">
            <w:pPr>
              <w:spacing w:before="40" w:after="40"/>
              <w:rPr>
                <w:rFonts w:ascii="Times New Roman" w:eastAsia="Times New Roman" w:hAnsi="Times New Roman" w:cs="Times New Roman"/>
                <w:b/>
                <w:bCs w:val="0"/>
                <w:sz w:val="18"/>
                <w:szCs w:val="18"/>
              </w:rPr>
            </w:pPr>
            <w:r w:rsidRPr="000973F2">
              <w:rPr>
                <w:rFonts w:ascii="Times New Roman" w:eastAsia="Times New Roman" w:hAnsi="Times New Roman" w:cs="Times New Roman"/>
                <w:b/>
                <w:sz w:val="18"/>
                <w:szCs w:val="18"/>
              </w:rPr>
              <w:t>Total</w:t>
            </w:r>
          </w:p>
        </w:tc>
        <w:tc>
          <w:tcPr>
            <w:tcW w:w="892" w:type="dxa"/>
            <w:noWrap/>
            <w:hideMark/>
          </w:tcPr>
          <w:p w14:paraId="6466A6C7" w14:textId="77777777" w:rsidR="00827CE4" w:rsidRPr="000973F2" w:rsidRDefault="00827CE4" w:rsidP="00DB3004">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18"/>
                <w:szCs w:val="18"/>
              </w:rPr>
            </w:pPr>
            <w:r w:rsidRPr="000973F2">
              <w:rPr>
                <w:rFonts w:ascii="Times New Roman" w:eastAsia="Times New Roman" w:hAnsi="Times New Roman" w:cs="Times New Roman"/>
                <w:b/>
                <w:bCs/>
                <w:sz w:val="18"/>
                <w:szCs w:val="18"/>
              </w:rPr>
              <w:t>0</w:t>
            </w:r>
          </w:p>
        </w:tc>
        <w:tc>
          <w:tcPr>
            <w:tcW w:w="891" w:type="dxa"/>
            <w:noWrap/>
            <w:hideMark/>
          </w:tcPr>
          <w:p w14:paraId="5118FCAE" w14:textId="77777777" w:rsidR="00827CE4" w:rsidRPr="000973F2" w:rsidRDefault="00827CE4" w:rsidP="00DB3004">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18"/>
                <w:szCs w:val="18"/>
              </w:rPr>
            </w:pPr>
            <w:r w:rsidRPr="000973F2">
              <w:rPr>
                <w:rFonts w:ascii="Times New Roman" w:eastAsia="Times New Roman" w:hAnsi="Times New Roman" w:cs="Times New Roman"/>
                <w:b/>
                <w:bCs/>
                <w:sz w:val="18"/>
                <w:szCs w:val="18"/>
              </w:rPr>
              <w:t>0</w:t>
            </w:r>
          </w:p>
        </w:tc>
        <w:tc>
          <w:tcPr>
            <w:tcW w:w="892" w:type="dxa"/>
            <w:noWrap/>
            <w:hideMark/>
          </w:tcPr>
          <w:p w14:paraId="46A277A0" w14:textId="77777777" w:rsidR="00827CE4" w:rsidRPr="000973F2" w:rsidRDefault="00827CE4" w:rsidP="00DB3004">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18"/>
                <w:szCs w:val="18"/>
              </w:rPr>
            </w:pPr>
            <w:r w:rsidRPr="000973F2">
              <w:rPr>
                <w:rFonts w:ascii="Times New Roman" w:eastAsia="Times New Roman" w:hAnsi="Times New Roman" w:cs="Times New Roman"/>
                <w:b/>
                <w:bCs/>
                <w:sz w:val="18"/>
                <w:szCs w:val="18"/>
              </w:rPr>
              <w:t>0</w:t>
            </w:r>
          </w:p>
        </w:tc>
        <w:tc>
          <w:tcPr>
            <w:tcW w:w="891" w:type="dxa"/>
            <w:noWrap/>
            <w:hideMark/>
          </w:tcPr>
          <w:p w14:paraId="61D41BDA" w14:textId="77777777" w:rsidR="00827CE4" w:rsidRPr="000973F2" w:rsidRDefault="00827CE4" w:rsidP="00DB3004">
            <w:pPr>
              <w:tabs>
                <w:tab w:val="decimal" w:pos="226"/>
              </w:tabs>
              <w:spacing w:before="40" w:after="4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18"/>
                <w:szCs w:val="18"/>
              </w:rPr>
            </w:pPr>
            <w:r w:rsidRPr="000973F2">
              <w:rPr>
                <w:rFonts w:ascii="Times New Roman" w:eastAsia="Times New Roman" w:hAnsi="Times New Roman" w:cs="Times New Roman"/>
                <w:b/>
                <w:bCs/>
                <w:sz w:val="18"/>
                <w:szCs w:val="18"/>
              </w:rPr>
              <w:t>1.7</w:t>
            </w:r>
          </w:p>
        </w:tc>
        <w:tc>
          <w:tcPr>
            <w:tcW w:w="891" w:type="dxa"/>
            <w:noWrap/>
            <w:hideMark/>
          </w:tcPr>
          <w:p w14:paraId="213D5529" w14:textId="77777777" w:rsidR="00827CE4" w:rsidRPr="000973F2" w:rsidRDefault="00827CE4" w:rsidP="00DB3004">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18"/>
                <w:szCs w:val="18"/>
              </w:rPr>
            </w:pPr>
            <w:r w:rsidRPr="000973F2">
              <w:rPr>
                <w:rFonts w:ascii="Times New Roman" w:eastAsia="Times New Roman" w:hAnsi="Times New Roman" w:cs="Times New Roman"/>
                <w:b/>
                <w:bCs/>
                <w:sz w:val="18"/>
                <w:szCs w:val="18"/>
              </w:rPr>
              <w:t>0</w:t>
            </w:r>
          </w:p>
        </w:tc>
        <w:tc>
          <w:tcPr>
            <w:tcW w:w="892" w:type="dxa"/>
            <w:noWrap/>
            <w:hideMark/>
          </w:tcPr>
          <w:p w14:paraId="48F8CD00" w14:textId="77777777" w:rsidR="00827CE4" w:rsidRPr="000973F2" w:rsidRDefault="00827CE4" w:rsidP="00DB3004">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18"/>
                <w:szCs w:val="18"/>
              </w:rPr>
            </w:pPr>
            <w:r w:rsidRPr="000973F2">
              <w:rPr>
                <w:rFonts w:ascii="Times New Roman" w:eastAsia="Times New Roman" w:hAnsi="Times New Roman" w:cs="Times New Roman"/>
                <w:b/>
                <w:bCs/>
                <w:sz w:val="18"/>
                <w:szCs w:val="18"/>
              </w:rPr>
              <w:t>8</w:t>
            </w:r>
          </w:p>
        </w:tc>
        <w:tc>
          <w:tcPr>
            <w:tcW w:w="891" w:type="dxa"/>
            <w:noWrap/>
            <w:hideMark/>
          </w:tcPr>
          <w:p w14:paraId="0BDD614E" w14:textId="77777777" w:rsidR="00827CE4" w:rsidRPr="000973F2" w:rsidRDefault="00827CE4" w:rsidP="00DB3004">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18"/>
                <w:szCs w:val="18"/>
              </w:rPr>
            </w:pPr>
            <w:r w:rsidRPr="000973F2">
              <w:rPr>
                <w:rFonts w:ascii="Times New Roman" w:eastAsia="Times New Roman" w:hAnsi="Times New Roman" w:cs="Times New Roman"/>
                <w:b/>
                <w:bCs/>
                <w:sz w:val="18"/>
                <w:szCs w:val="18"/>
              </w:rPr>
              <w:t>0</w:t>
            </w:r>
          </w:p>
        </w:tc>
        <w:tc>
          <w:tcPr>
            <w:tcW w:w="892" w:type="dxa"/>
            <w:noWrap/>
            <w:hideMark/>
          </w:tcPr>
          <w:p w14:paraId="46EA9AD1" w14:textId="77777777" w:rsidR="00827CE4" w:rsidRPr="000973F2" w:rsidRDefault="00827CE4" w:rsidP="00DB3004">
            <w:pPr>
              <w:tabs>
                <w:tab w:val="decimal" w:pos="226"/>
              </w:tabs>
              <w:spacing w:before="40" w:after="4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18"/>
                <w:szCs w:val="18"/>
              </w:rPr>
            </w:pPr>
            <w:r w:rsidRPr="000973F2">
              <w:rPr>
                <w:rFonts w:ascii="Times New Roman" w:eastAsia="Times New Roman" w:hAnsi="Times New Roman" w:cs="Times New Roman"/>
                <w:b/>
                <w:bCs/>
                <w:sz w:val="18"/>
                <w:szCs w:val="18"/>
              </w:rPr>
              <w:t>1.6</w:t>
            </w:r>
          </w:p>
        </w:tc>
        <w:tc>
          <w:tcPr>
            <w:tcW w:w="962" w:type="dxa"/>
            <w:noWrap/>
            <w:hideMark/>
          </w:tcPr>
          <w:p w14:paraId="31422795" w14:textId="54595AF2" w:rsidR="00827CE4" w:rsidRPr="000973F2" w:rsidRDefault="00827CE4" w:rsidP="00DB3004">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18"/>
                <w:szCs w:val="18"/>
              </w:rPr>
            </w:pPr>
            <w:r w:rsidRPr="000973F2">
              <w:rPr>
                <w:rFonts w:ascii="Times New Roman" w:eastAsia="Times New Roman" w:hAnsi="Times New Roman" w:cs="Times New Roman"/>
                <w:b/>
                <w:bCs/>
                <w:sz w:val="18"/>
                <w:szCs w:val="18"/>
              </w:rPr>
              <w:t>$0</w:t>
            </w:r>
          </w:p>
        </w:tc>
        <w:tc>
          <w:tcPr>
            <w:tcW w:w="965" w:type="dxa"/>
            <w:noWrap/>
            <w:hideMark/>
          </w:tcPr>
          <w:p w14:paraId="51F548EF" w14:textId="0302D5C0" w:rsidR="00827CE4" w:rsidRPr="000973F2" w:rsidRDefault="00827CE4" w:rsidP="00DB3004">
            <w:pPr>
              <w:tabs>
                <w:tab w:val="decimal" w:pos="451"/>
              </w:tabs>
              <w:spacing w:before="40" w:after="4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18"/>
                <w:szCs w:val="18"/>
              </w:rPr>
            </w:pPr>
            <w:r w:rsidRPr="000973F2">
              <w:rPr>
                <w:rFonts w:ascii="Times New Roman" w:eastAsia="Times New Roman" w:hAnsi="Times New Roman" w:cs="Times New Roman"/>
                <w:b/>
                <w:bCs/>
                <w:sz w:val="18"/>
                <w:szCs w:val="18"/>
              </w:rPr>
              <w:t>$778</w:t>
            </w:r>
          </w:p>
        </w:tc>
      </w:tr>
    </w:tbl>
    <w:p w14:paraId="5C51FAFD" w14:textId="77777777" w:rsidR="00827CE4" w:rsidRPr="000973F2" w:rsidRDefault="00827CE4" w:rsidP="00827CE4">
      <w:pPr>
        <w:spacing w:line="240" w:lineRule="auto"/>
        <w:rPr>
          <w:rStyle w:val="CommentReference"/>
          <w:rFonts w:ascii="Times New Roman" w:hAnsi="Times New Roman" w:cs="Times New Roman"/>
        </w:rPr>
      </w:pPr>
    </w:p>
    <w:p w14:paraId="214B5D89" w14:textId="77777777" w:rsidR="00F40687" w:rsidRPr="000973F2" w:rsidRDefault="00F40687" w:rsidP="00C00E4F">
      <w:pPr>
        <w:spacing w:line="240" w:lineRule="auto"/>
        <w:rPr>
          <w:rStyle w:val="CommentReference"/>
          <w:rFonts w:ascii="Times New Roman" w:hAnsi="Times New Roman" w:cs="Times New Roman"/>
        </w:rPr>
      </w:pPr>
    </w:p>
    <w:p w14:paraId="63502224" w14:textId="77777777" w:rsidR="00F40687" w:rsidRPr="000973F2" w:rsidRDefault="00F40687" w:rsidP="00C00E4F">
      <w:pPr>
        <w:spacing w:line="240" w:lineRule="auto"/>
        <w:rPr>
          <w:rFonts w:ascii="Times New Roman" w:hAnsi="Times New Roman" w:cs="Times New Roman"/>
          <w:b/>
          <w:i/>
        </w:rPr>
      </w:pPr>
      <w:r w:rsidRPr="000973F2">
        <w:rPr>
          <w:rFonts w:ascii="Times New Roman" w:hAnsi="Times New Roman" w:cs="Times New Roman"/>
          <w:b/>
          <w:i/>
        </w:rPr>
        <w:br w:type="page"/>
      </w:r>
    </w:p>
    <w:p w14:paraId="143AA2F6" w14:textId="6F7C6741" w:rsidR="00F40687" w:rsidRPr="000973F2" w:rsidRDefault="00F40687" w:rsidP="004A0A2A">
      <w:pPr>
        <w:pStyle w:val="Heading2"/>
      </w:pPr>
      <w:r w:rsidRPr="000973F2">
        <w:t xml:space="preserve">Capital and O&amp;M Costs for Subpart Q </w:t>
      </w:r>
      <w:r w:rsidR="004A0A2A" w:rsidRPr="000973F2">
        <w:t>–</w:t>
      </w:r>
      <w:r w:rsidRPr="000973F2">
        <w:t xml:space="preserve"> CEMS Option</w:t>
      </w:r>
    </w:p>
    <w:p w14:paraId="288A6FB7" w14:textId="540295B1" w:rsidR="00F40687" w:rsidRPr="000973F2" w:rsidRDefault="00F40687" w:rsidP="004A0A2A">
      <w:pPr>
        <w:pStyle w:val="BodyText"/>
      </w:pPr>
      <w:r w:rsidRPr="000973F2">
        <w:t xml:space="preserve">Capital and O&amp;M costs for each of the 16 facilities using the CEMS option to comply with Subpart Q are shown in Table </w:t>
      </w:r>
      <w:r w:rsidR="004A0A2A" w:rsidRPr="000973F2">
        <w:t>Q-</w:t>
      </w:r>
      <w:r w:rsidRPr="000973F2">
        <w:t xml:space="preserve">2c. Facilities only incur O&amp;M costs associated with recordkeeping as discussed in the Cost Appendix Introduction. No capital costs are expected. </w:t>
      </w:r>
    </w:p>
    <w:p w14:paraId="4A6CCB5C" w14:textId="3E7E47E3" w:rsidR="00F40687" w:rsidRPr="000973F2" w:rsidRDefault="00033096" w:rsidP="004A0A2A">
      <w:pPr>
        <w:pStyle w:val="Tabletitle"/>
      </w:pPr>
      <w:r w:rsidRPr="000973F2">
        <w:t xml:space="preserve">Table </w:t>
      </w:r>
      <w:r w:rsidR="004A0A2A" w:rsidRPr="000973F2">
        <w:t>Q-</w:t>
      </w:r>
      <w:r w:rsidRPr="000973F2">
        <w:t xml:space="preserve">2c. Capital and O&amp;M Costs </w:t>
      </w:r>
      <w:r w:rsidR="00B960CC" w:rsidRPr="000973F2">
        <w:t>–</w:t>
      </w:r>
      <w:r w:rsidRPr="000973F2">
        <w:t xml:space="preserve"> </w:t>
      </w:r>
      <w:r w:rsidR="00F40687" w:rsidRPr="000973F2">
        <w:t xml:space="preserve">Subpart Q </w:t>
      </w:r>
      <w:r w:rsidR="00B960CC" w:rsidRPr="000973F2">
        <w:t>–</w:t>
      </w:r>
      <w:r w:rsidRPr="000973F2">
        <w:t xml:space="preserve"> </w:t>
      </w:r>
      <w:r w:rsidR="00F40687" w:rsidRPr="000973F2">
        <w:t>CEMS Option</w:t>
      </w:r>
    </w:p>
    <w:tbl>
      <w:tblPr>
        <w:tblStyle w:val="PlainTable1"/>
        <w:tblW w:w="5000" w:type="pct"/>
        <w:jc w:val="left"/>
        <w:tblLayout w:type="fixed"/>
        <w:tblCellMar>
          <w:left w:w="115" w:type="dxa"/>
          <w:right w:w="115" w:type="dxa"/>
        </w:tblCellMar>
        <w:tblLook w:val="04A0" w:firstRow="1" w:lastRow="0" w:firstColumn="1" w:lastColumn="0" w:noHBand="0" w:noVBand="1"/>
      </w:tblPr>
      <w:tblGrid>
        <w:gridCol w:w="2020"/>
        <w:gridCol w:w="1261"/>
        <w:gridCol w:w="1262"/>
        <w:gridCol w:w="1261"/>
        <w:gridCol w:w="1211"/>
        <w:gridCol w:w="1313"/>
        <w:gridCol w:w="1262"/>
      </w:tblGrid>
      <w:tr w:rsidR="00FF36E8" w:rsidRPr="000973F2" w14:paraId="773E8120" w14:textId="77777777" w:rsidTr="00B6531F">
        <w:trPr>
          <w:cnfStyle w:val="100000000000" w:firstRow="1" w:lastRow="0" w:firstColumn="0" w:lastColumn="0" w:oddVBand="0" w:evenVBand="0" w:oddHBand="0" w:evenHBand="0" w:firstRowFirstColumn="0" w:firstRowLastColumn="0" w:lastRowFirstColumn="0" w:lastRowLastColumn="0"/>
          <w:cantSplit/>
          <w:jc w:val="left"/>
        </w:trPr>
        <w:tc>
          <w:tcPr>
            <w:cnfStyle w:val="001000000000" w:firstRow="0" w:lastRow="0" w:firstColumn="1" w:lastColumn="0" w:oddVBand="0" w:evenVBand="0" w:oddHBand="0" w:evenHBand="0" w:firstRowFirstColumn="0" w:firstRowLastColumn="0" w:lastRowFirstColumn="0" w:lastRowLastColumn="0"/>
            <w:tcW w:w="1965" w:type="dxa"/>
            <w:vMerge w:val="restart"/>
            <w:noWrap/>
            <w:vAlign w:val="top"/>
            <w:hideMark/>
          </w:tcPr>
          <w:p w14:paraId="4AC26F00" w14:textId="7DF07BE2" w:rsidR="00FF36E8" w:rsidRPr="000973F2" w:rsidRDefault="00FF36E8" w:rsidP="0061289C">
            <w:pPr>
              <w:spacing w:before="40" w:after="40"/>
              <w:rPr>
                <w:rFonts w:ascii="Times New Roman" w:eastAsia="Times New Roman" w:hAnsi="Times New Roman" w:cs="Times New Roman"/>
                <w:b w:val="0"/>
                <w:bCs w:val="0"/>
                <w:sz w:val="18"/>
                <w:szCs w:val="18"/>
              </w:rPr>
            </w:pPr>
            <w:r w:rsidRPr="000973F2">
              <w:rPr>
                <w:rFonts w:ascii="Times New Roman" w:eastAsia="Times New Roman" w:hAnsi="Times New Roman" w:cs="Times New Roman"/>
                <w:sz w:val="18"/>
                <w:szCs w:val="18"/>
              </w:rPr>
              <w:t>Activity</w:t>
            </w:r>
          </w:p>
        </w:tc>
        <w:tc>
          <w:tcPr>
            <w:tcW w:w="4860" w:type="dxa"/>
            <w:gridSpan w:val="4"/>
            <w:noWrap/>
            <w:vAlign w:val="top"/>
            <w:hideMark/>
          </w:tcPr>
          <w:p w14:paraId="20292007" w14:textId="77777777" w:rsidR="00FF36E8" w:rsidRPr="000973F2" w:rsidRDefault="00FF36E8" w:rsidP="0061289C">
            <w:pPr>
              <w:spacing w:before="40" w:after="40"/>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bCs w:val="0"/>
                <w:sz w:val="18"/>
                <w:szCs w:val="18"/>
              </w:rPr>
            </w:pPr>
            <w:r w:rsidRPr="000973F2">
              <w:rPr>
                <w:rFonts w:ascii="Times New Roman" w:eastAsia="Times New Roman" w:hAnsi="Times New Roman" w:cs="Times New Roman"/>
                <w:sz w:val="18"/>
                <w:szCs w:val="18"/>
              </w:rPr>
              <w:t>Cost Categories</w:t>
            </w:r>
          </w:p>
        </w:tc>
        <w:tc>
          <w:tcPr>
            <w:tcW w:w="2505" w:type="dxa"/>
            <w:gridSpan w:val="2"/>
            <w:vAlign w:val="top"/>
            <w:hideMark/>
          </w:tcPr>
          <w:p w14:paraId="7AA3C160" w14:textId="5C543104" w:rsidR="00FF36E8" w:rsidRPr="000973F2" w:rsidRDefault="00FF36E8" w:rsidP="0061289C">
            <w:pPr>
              <w:spacing w:before="40" w:after="40"/>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bCs w:val="0"/>
                <w:sz w:val="18"/>
                <w:szCs w:val="18"/>
              </w:rPr>
            </w:pPr>
            <w:r w:rsidRPr="000973F2">
              <w:rPr>
                <w:rFonts w:ascii="Times New Roman" w:eastAsia="Times New Roman" w:hAnsi="Times New Roman" w:cs="Times New Roman"/>
                <w:sz w:val="18"/>
                <w:szCs w:val="18"/>
              </w:rPr>
              <w:t>Total Capital and O&amp;M Cost per Year per Facility (2017$)</w:t>
            </w:r>
          </w:p>
        </w:tc>
      </w:tr>
      <w:tr w:rsidR="00FF36E8" w:rsidRPr="000973F2" w14:paraId="36972F40" w14:textId="77777777" w:rsidTr="00B6531F">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1965" w:type="dxa"/>
            <w:vMerge/>
            <w:noWrap/>
            <w:hideMark/>
          </w:tcPr>
          <w:p w14:paraId="33EC8F34" w14:textId="38B9D4A3" w:rsidR="00FF36E8" w:rsidRPr="000973F2" w:rsidRDefault="00FF36E8" w:rsidP="0061289C">
            <w:pPr>
              <w:spacing w:before="40" w:after="40"/>
              <w:jc w:val="center"/>
              <w:rPr>
                <w:rFonts w:ascii="Times New Roman" w:eastAsia="Times New Roman" w:hAnsi="Times New Roman" w:cs="Times New Roman"/>
                <w:b/>
                <w:bCs w:val="0"/>
                <w:sz w:val="18"/>
                <w:szCs w:val="18"/>
              </w:rPr>
            </w:pPr>
          </w:p>
        </w:tc>
        <w:tc>
          <w:tcPr>
            <w:tcW w:w="1227" w:type="dxa"/>
            <w:tcMar>
              <w:left w:w="14" w:type="dxa"/>
              <w:right w:w="14" w:type="dxa"/>
            </w:tcMar>
            <w:hideMark/>
          </w:tcPr>
          <w:p w14:paraId="153E8AFF" w14:textId="77777777" w:rsidR="00FF36E8" w:rsidRPr="000973F2" w:rsidRDefault="00FF36E8" w:rsidP="0061289C">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18"/>
                <w:szCs w:val="18"/>
              </w:rPr>
            </w:pPr>
            <w:r w:rsidRPr="000973F2">
              <w:rPr>
                <w:rFonts w:ascii="Times New Roman" w:eastAsia="Times New Roman" w:hAnsi="Times New Roman" w:cs="Times New Roman"/>
                <w:b/>
                <w:bCs/>
                <w:sz w:val="18"/>
                <w:szCs w:val="18"/>
              </w:rPr>
              <w:t>Capital Cost (2017$)</w:t>
            </w:r>
          </w:p>
        </w:tc>
        <w:tc>
          <w:tcPr>
            <w:tcW w:w="1228" w:type="dxa"/>
            <w:tcMar>
              <w:left w:w="14" w:type="dxa"/>
              <w:right w:w="14" w:type="dxa"/>
            </w:tcMar>
            <w:hideMark/>
          </w:tcPr>
          <w:p w14:paraId="1B670898" w14:textId="77777777" w:rsidR="00FF36E8" w:rsidRPr="000973F2" w:rsidRDefault="00FF36E8" w:rsidP="0061289C">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18"/>
                <w:szCs w:val="18"/>
              </w:rPr>
            </w:pPr>
            <w:r w:rsidRPr="000973F2">
              <w:rPr>
                <w:rFonts w:ascii="Times New Roman" w:eastAsia="Times New Roman" w:hAnsi="Times New Roman" w:cs="Times New Roman"/>
                <w:b/>
                <w:bCs/>
                <w:sz w:val="18"/>
                <w:szCs w:val="18"/>
              </w:rPr>
              <w:t>Equipment Lifetime</w:t>
            </w:r>
          </w:p>
        </w:tc>
        <w:tc>
          <w:tcPr>
            <w:tcW w:w="1227" w:type="dxa"/>
            <w:tcMar>
              <w:left w:w="14" w:type="dxa"/>
              <w:right w:w="14" w:type="dxa"/>
            </w:tcMar>
            <w:hideMark/>
          </w:tcPr>
          <w:p w14:paraId="5AC16C49" w14:textId="77777777" w:rsidR="00FF36E8" w:rsidRPr="000973F2" w:rsidRDefault="00FF36E8" w:rsidP="0061289C">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18"/>
                <w:szCs w:val="18"/>
              </w:rPr>
            </w:pPr>
            <w:r w:rsidRPr="000973F2">
              <w:rPr>
                <w:rFonts w:ascii="Times New Roman" w:eastAsia="Times New Roman" w:hAnsi="Times New Roman" w:cs="Times New Roman"/>
                <w:b/>
                <w:bCs/>
                <w:sz w:val="18"/>
                <w:szCs w:val="18"/>
              </w:rPr>
              <w:t>Annualized Capital Cost (2017$/year)</w:t>
            </w:r>
          </w:p>
        </w:tc>
        <w:tc>
          <w:tcPr>
            <w:tcW w:w="1178" w:type="dxa"/>
            <w:tcMar>
              <w:left w:w="14" w:type="dxa"/>
              <w:right w:w="14" w:type="dxa"/>
            </w:tcMar>
            <w:hideMark/>
          </w:tcPr>
          <w:p w14:paraId="496407C8" w14:textId="77777777" w:rsidR="00FF36E8" w:rsidRPr="000973F2" w:rsidRDefault="00FF36E8" w:rsidP="0061289C">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18"/>
                <w:szCs w:val="18"/>
              </w:rPr>
            </w:pPr>
            <w:r w:rsidRPr="000973F2">
              <w:rPr>
                <w:rFonts w:ascii="Times New Roman" w:eastAsia="Times New Roman" w:hAnsi="Times New Roman" w:cs="Times New Roman"/>
                <w:b/>
                <w:bCs/>
                <w:sz w:val="18"/>
                <w:szCs w:val="18"/>
              </w:rPr>
              <w:t>O&amp;M Costs (2017$/year)</w:t>
            </w:r>
          </w:p>
        </w:tc>
        <w:tc>
          <w:tcPr>
            <w:tcW w:w="1277" w:type="dxa"/>
            <w:tcMar>
              <w:left w:w="14" w:type="dxa"/>
              <w:right w:w="14" w:type="dxa"/>
            </w:tcMar>
            <w:hideMark/>
          </w:tcPr>
          <w:p w14:paraId="1D8B66A4" w14:textId="77777777" w:rsidR="00FF36E8" w:rsidRPr="000973F2" w:rsidRDefault="00FF36E8" w:rsidP="0061289C">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18"/>
                <w:szCs w:val="18"/>
              </w:rPr>
            </w:pPr>
            <w:r w:rsidRPr="000973F2">
              <w:rPr>
                <w:rFonts w:ascii="Times New Roman" w:eastAsia="Times New Roman" w:hAnsi="Times New Roman" w:cs="Times New Roman"/>
                <w:b/>
                <w:bCs/>
                <w:sz w:val="18"/>
                <w:szCs w:val="18"/>
              </w:rPr>
              <w:t>Initial Year</w:t>
            </w:r>
          </w:p>
        </w:tc>
        <w:tc>
          <w:tcPr>
            <w:tcW w:w="1228" w:type="dxa"/>
            <w:tcMar>
              <w:left w:w="14" w:type="dxa"/>
              <w:right w:w="14" w:type="dxa"/>
            </w:tcMar>
            <w:hideMark/>
          </w:tcPr>
          <w:p w14:paraId="07ED5309" w14:textId="77777777" w:rsidR="00FF36E8" w:rsidRPr="000973F2" w:rsidRDefault="00FF36E8" w:rsidP="0061289C">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18"/>
                <w:szCs w:val="18"/>
              </w:rPr>
            </w:pPr>
            <w:r w:rsidRPr="000973F2">
              <w:rPr>
                <w:rFonts w:ascii="Times New Roman" w:eastAsia="Times New Roman" w:hAnsi="Times New Roman" w:cs="Times New Roman"/>
                <w:b/>
                <w:bCs/>
                <w:sz w:val="18"/>
                <w:szCs w:val="18"/>
              </w:rPr>
              <w:t>Subseq. Years</w:t>
            </w:r>
          </w:p>
        </w:tc>
      </w:tr>
      <w:tr w:rsidR="00260534" w:rsidRPr="000973F2" w14:paraId="3F6C9BAD" w14:textId="77777777" w:rsidTr="0061289C">
        <w:trPr>
          <w:cantSplit/>
        </w:trPr>
        <w:tc>
          <w:tcPr>
            <w:cnfStyle w:val="001000000000" w:firstRow="0" w:lastRow="0" w:firstColumn="1" w:lastColumn="0" w:oddVBand="0" w:evenVBand="0" w:oddHBand="0" w:evenHBand="0" w:firstRowFirstColumn="0" w:firstRowLastColumn="0" w:lastRowFirstColumn="0" w:lastRowLastColumn="0"/>
            <w:tcW w:w="1965" w:type="dxa"/>
            <w:shd w:val="clear" w:color="auto" w:fill="auto"/>
            <w:tcMar>
              <w:right w:w="14" w:type="dxa"/>
            </w:tcMar>
            <w:hideMark/>
          </w:tcPr>
          <w:p w14:paraId="60FC7FD1" w14:textId="77777777" w:rsidR="003E005F" w:rsidRPr="000973F2" w:rsidRDefault="003E005F" w:rsidP="0061289C">
            <w:pPr>
              <w:spacing w:before="40" w:after="4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Equipment (selection, purchase, installation)</w:t>
            </w:r>
          </w:p>
        </w:tc>
        <w:tc>
          <w:tcPr>
            <w:tcW w:w="1227" w:type="dxa"/>
            <w:shd w:val="clear" w:color="auto" w:fill="auto"/>
            <w:noWrap/>
            <w:hideMark/>
          </w:tcPr>
          <w:p w14:paraId="51C05F66" w14:textId="0D989FA4" w:rsidR="003E005F" w:rsidRPr="000973F2" w:rsidRDefault="0061289C" w:rsidP="0061289C">
            <w:pPr>
              <w:spacing w:before="40" w:after="4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w:t>
            </w:r>
          </w:p>
        </w:tc>
        <w:tc>
          <w:tcPr>
            <w:tcW w:w="1228" w:type="dxa"/>
            <w:shd w:val="clear" w:color="auto" w:fill="auto"/>
            <w:noWrap/>
          </w:tcPr>
          <w:p w14:paraId="5C18AA2A" w14:textId="05520A35" w:rsidR="003E005F" w:rsidRPr="000973F2" w:rsidRDefault="003E005F" w:rsidP="0061289C">
            <w:pPr>
              <w:spacing w:before="40" w:after="4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p>
        </w:tc>
        <w:tc>
          <w:tcPr>
            <w:tcW w:w="1227" w:type="dxa"/>
            <w:shd w:val="clear" w:color="auto" w:fill="auto"/>
            <w:noWrap/>
            <w:hideMark/>
          </w:tcPr>
          <w:p w14:paraId="3944EC7E" w14:textId="333117B1" w:rsidR="003E005F" w:rsidRPr="000973F2" w:rsidRDefault="0061289C" w:rsidP="0061289C">
            <w:pPr>
              <w:spacing w:before="40" w:after="4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w:t>
            </w:r>
          </w:p>
        </w:tc>
        <w:tc>
          <w:tcPr>
            <w:tcW w:w="1178" w:type="dxa"/>
            <w:shd w:val="clear" w:color="auto" w:fill="auto"/>
            <w:noWrap/>
            <w:hideMark/>
          </w:tcPr>
          <w:p w14:paraId="24317272" w14:textId="7D66B538" w:rsidR="003E005F" w:rsidRPr="000973F2" w:rsidRDefault="0061289C" w:rsidP="0061289C">
            <w:pPr>
              <w:spacing w:before="40" w:after="4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w:t>
            </w:r>
          </w:p>
        </w:tc>
        <w:tc>
          <w:tcPr>
            <w:tcW w:w="1277" w:type="dxa"/>
            <w:shd w:val="clear" w:color="auto" w:fill="auto"/>
            <w:noWrap/>
            <w:hideMark/>
          </w:tcPr>
          <w:p w14:paraId="18003CA2" w14:textId="68430FF7" w:rsidR="003E005F" w:rsidRPr="000973F2" w:rsidRDefault="0061289C" w:rsidP="0061289C">
            <w:pPr>
              <w:spacing w:before="40" w:after="4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w:t>
            </w:r>
          </w:p>
        </w:tc>
        <w:tc>
          <w:tcPr>
            <w:tcW w:w="1228" w:type="dxa"/>
            <w:shd w:val="clear" w:color="auto" w:fill="auto"/>
            <w:noWrap/>
            <w:hideMark/>
          </w:tcPr>
          <w:p w14:paraId="5C22D5B0" w14:textId="6FC862D9" w:rsidR="003E005F" w:rsidRPr="000973F2" w:rsidRDefault="0061289C" w:rsidP="0061289C">
            <w:pPr>
              <w:spacing w:before="40" w:after="4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w:t>
            </w:r>
          </w:p>
        </w:tc>
      </w:tr>
      <w:tr w:rsidR="0004335F" w:rsidRPr="000973F2" w14:paraId="03CBD919" w14:textId="77777777" w:rsidTr="00B6531F">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1965" w:type="dxa"/>
            <w:tcMar>
              <w:right w:w="14" w:type="dxa"/>
            </w:tcMar>
            <w:hideMark/>
          </w:tcPr>
          <w:p w14:paraId="449D146A" w14:textId="77777777" w:rsidR="003E005F" w:rsidRPr="000973F2" w:rsidRDefault="003E005F" w:rsidP="0061289C">
            <w:pPr>
              <w:spacing w:before="40" w:after="4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Performance testing</w:t>
            </w:r>
          </w:p>
        </w:tc>
        <w:tc>
          <w:tcPr>
            <w:tcW w:w="1227" w:type="dxa"/>
            <w:noWrap/>
            <w:hideMark/>
          </w:tcPr>
          <w:p w14:paraId="5924F4CF" w14:textId="75852327" w:rsidR="003E005F" w:rsidRPr="000973F2" w:rsidRDefault="0061289C" w:rsidP="0061289C">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w:t>
            </w:r>
          </w:p>
        </w:tc>
        <w:tc>
          <w:tcPr>
            <w:tcW w:w="1228" w:type="dxa"/>
            <w:noWrap/>
          </w:tcPr>
          <w:p w14:paraId="79D07BEB" w14:textId="375E3413" w:rsidR="003E005F" w:rsidRPr="000973F2" w:rsidRDefault="003E005F" w:rsidP="0061289C">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p>
        </w:tc>
        <w:tc>
          <w:tcPr>
            <w:tcW w:w="1227" w:type="dxa"/>
            <w:noWrap/>
            <w:hideMark/>
          </w:tcPr>
          <w:p w14:paraId="4E2ED497" w14:textId="0FA286FB" w:rsidR="003E005F" w:rsidRPr="000973F2" w:rsidRDefault="0061289C" w:rsidP="0061289C">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w:t>
            </w:r>
          </w:p>
        </w:tc>
        <w:tc>
          <w:tcPr>
            <w:tcW w:w="1178" w:type="dxa"/>
            <w:noWrap/>
            <w:hideMark/>
          </w:tcPr>
          <w:p w14:paraId="759E862F" w14:textId="69210FBE" w:rsidR="003E005F" w:rsidRPr="000973F2" w:rsidRDefault="0061289C" w:rsidP="0061289C">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w:t>
            </w:r>
          </w:p>
        </w:tc>
        <w:tc>
          <w:tcPr>
            <w:tcW w:w="1277" w:type="dxa"/>
            <w:noWrap/>
            <w:hideMark/>
          </w:tcPr>
          <w:p w14:paraId="5D8EB767" w14:textId="3465CD95" w:rsidR="003E005F" w:rsidRPr="000973F2" w:rsidRDefault="0061289C" w:rsidP="0061289C">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w:t>
            </w:r>
          </w:p>
        </w:tc>
        <w:tc>
          <w:tcPr>
            <w:tcW w:w="1228" w:type="dxa"/>
            <w:noWrap/>
            <w:hideMark/>
          </w:tcPr>
          <w:p w14:paraId="471ECDD9" w14:textId="408C93A3" w:rsidR="003E005F" w:rsidRPr="000973F2" w:rsidRDefault="0061289C" w:rsidP="0061289C">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w:t>
            </w:r>
          </w:p>
        </w:tc>
      </w:tr>
      <w:tr w:rsidR="00260534" w:rsidRPr="000973F2" w14:paraId="6CE795C1" w14:textId="77777777" w:rsidTr="0061289C">
        <w:trPr>
          <w:cantSplit/>
        </w:trPr>
        <w:tc>
          <w:tcPr>
            <w:cnfStyle w:val="001000000000" w:firstRow="0" w:lastRow="0" w:firstColumn="1" w:lastColumn="0" w:oddVBand="0" w:evenVBand="0" w:oddHBand="0" w:evenHBand="0" w:firstRowFirstColumn="0" w:firstRowLastColumn="0" w:lastRowFirstColumn="0" w:lastRowLastColumn="0"/>
            <w:tcW w:w="1965" w:type="dxa"/>
            <w:shd w:val="clear" w:color="auto" w:fill="auto"/>
            <w:tcMar>
              <w:right w:w="14" w:type="dxa"/>
            </w:tcMar>
            <w:hideMark/>
          </w:tcPr>
          <w:p w14:paraId="3E5450B3" w14:textId="77777777" w:rsidR="00F40687" w:rsidRPr="000973F2" w:rsidRDefault="00F40687" w:rsidP="0061289C">
            <w:pPr>
              <w:spacing w:before="40" w:after="4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Recordkeeping</w:t>
            </w:r>
          </w:p>
        </w:tc>
        <w:tc>
          <w:tcPr>
            <w:tcW w:w="1227" w:type="dxa"/>
            <w:shd w:val="clear" w:color="auto" w:fill="auto"/>
            <w:noWrap/>
            <w:hideMark/>
          </w:tcPr>
          <w:p w14:paraId="43A8BAD8" w14:textId="77777777" w:rsidR="00F40687" w:rsidRPr="000973F2" w:rsidRDefault="00F40687" w:rsidP="0061289C">
            <w:pPr>
              <w:spacing w:before="40" w:after="4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$0</w:t>
            </w:r>
          </w:p>
        </w:tc>
        <w:tc>
          <w:tcPr>
            <w:tcW w:w="1228" w:type="dxa"/>
            <w:shd w:val="clear" w:color="auto" w:fill="auto"/>
            <w:noWrap/>
          </w:tcPr>
          <w:p w14:paraId="3B14C5D0" w14:textId="340085CF" w:rsidR="00F40687" w:rsidRPr="000973F2" w:rsidRDefault="00F40687" w:rsidP="0061289C">
            <w:pPr>
              <w:spacing w:before="40" w:after="4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p>
        </w:tc>
        <w:tc>
          <w:tcPr>
            <w:tcW w:w="1227" w:type="dxa"/>
            <w:shd w:val="clear" w:color="auto" w:fill="auto"/>
            <w:noWrap/>
            <w:hideMark/>
          </w:tcPr>
          <w:p w14:paraId="26F59222" w14:textId="77777777" w:rsidR="00F40687" w:rsidRPr="000973F2" w:rsidRDefault="00F40687" w:rsidP="0061289C">
            <w:pPr>
              <w:spacing w:before="40" w:after="4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$0</w:t>
            </w:r>
          </w:p>
        </w:tc>
        <w:tc>
          <w:tcPr>
            <w:tcW w:w="1178" w:type="dxa"/>
            <w:shd w:val="clear" w:color="auto" w:fill="auto"/>
            <w:noWrap/>
            <w:hideMark/>
          </w:tcPr>
          <w:p w14:paraId="35F3E676" w14:textId="77777777" w:rsidR="00F40687" w:rsidRPr="000973F2" w:rsidRDefault="00F40687" w:rsidP="0061289C">
            <w:pPr>
              <w:spacing w:before="40" w:after="4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$50</w:t>
            </w:r>
          </w:p>
        </w:tc>
        <w:tc>
          <w:tcPr>
            <w:tcW w:w="1277" w:type="dxa"/>
            <w:shd w:val="clear" w:color="auto" w:fill="auto"/>
            <w:noWrap/>
            <w:hideMark/>
          </w:tcPr>
          <w:p w14:paraId="68DD1AFA" w14:textId="77777777" w:rsidR="00F40687" w:rsidRPr="000973F2" w:rsidRDefault="00F40687" w:rsidP="0061289C">
            <w:pPr>
              <w:spacing w:before="40" w:after="4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$0</w:t>
            </w:r>
          </w:p>
        </w:tc>
        <w:tc>
          <w:tcPr>
            <w:tcW w:w="1228" w:type="dxa"/>
            <w:shd w:val="clear" w:color="auto" w:fill="auto"/>
            <w:noWrap/>
            <w:hideMark/>
          </w:tcPr>
          <w:p w14:paraId="0560C80F" w14:textId="77777777" w:rsidR="00F40687" w:rsidRPr="000973F2" w:rsidRDefault="00F40687" w:rsidP="0061289C">
            <w:pPr>
              <w:spacing w:before="40" w:after="4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$50</w:t>
            </w:r>
          </w:p>
        </w:tc>
      </w:tr>
      <w:tr w:rsidR="0004335F" w:rsidRPr="000973F2" w14:paraId="4FDAFB94" w14:textId="77777777" w:rsidTr="00B6531F">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1965" w:type="dxa"/>
            <w:tcMar>
              <w:right w:w="14" w:type="dxa"/>
            </w:tcMar>
            <w:hideMark/>
          </w:tcPr>
          <w:p w14:paraId="0B68F0B2" w14:textId="77777777" w:rsidR="003E005F" w:rsidRPr="000973F2" w:rsidRDefault="003E005F" w:rsidP="0061289C">
            <w:pPr>
              <w:spacing w:before="40" w:after="4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Travel</w:t>
            </w:r>
          </w:p>
        </w:tc>
        <w:tc>
          <w:tcPr>
            <w:tcW w:w="1227" w:type="dxa"/>
            <w:noWrap/>
            <w:hideMark/>
          </w:tcPr>
          <w:p w14:paraId="53E69F93" w14:textId="6C08AB21" w:rsidR="003E005F" w:rsidRPr="000973F2" w:rsidRDefault="0061289C" w:rsidP="0061289C">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w:t>
            </w:r>
          </w:p>
        </w:tc>
        <w:tc>
          <w:tcPr>
            <w:tcW w:w="1228" w:type="dxa"/>
            <w:noWrap/>
          </w:tcPr>
          <w:p w14:paraId="5184AC1C" w14:textId="131A25ED" w:rsidR="003E005F" w:rsidRPr="000973F2" w:rsidRDefault="003E005F" w:rsidP="0061289C">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p>
        </w:tc>
        <w:tc>
          <w:tcPr>
            <w:tcW w:w="1227" w:type="dxa"/>
            <w:noWrap/>
            <w:hideMark/>
          </w:tcPr>
          <w:p w14:paraId="69CB829D" w14:textId="239A05CE" w:rsidR="003E005F" w:rsidRPr="000973F2" w:rsidRDefault="0061289C" w:rsidP="0061289C">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w:t>
            </w:r>
          </w:p>
        </w:tc>
        <w:tc>
          <w:tcPr>
            <w:tcW w:w="1178" w:type="dxa"/>
            <w:noWrap/>
            <w:hideMark/>
          </w:tcPr>
          <w:p w14:paraId="3F5EB613" w14:textId="66DD6A34" w:rsidR="003E005F" w:rsidRPr="000973F2" w:rsidRDefault="0061289C" w:rsidP="0061289C">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w:t>
            </w:r>
          </w:p>
        </w:tc>
        <w:tc>
          <w:tcPr>
            <w:tcW w:w="1277" w:type="dxa"/>
            <w:noWrap/>
            <w:hideMark/>
          </w:tcPr>
          <w:p w14:paraId="2F7BC61A" w14:textId="574039D6" w:rsidR="003E005F" w:rsidRPr="000973F2" w:rsidRDefault="0061289C" w:rsidP="0061289C">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w:t>
            </w:r>
          </w:p>
        </w:tc>
        <w:tc>
          <w:tcPr>
            <w:tcW w:w="1228" w:type="dxa"/>
            <w:noWrap/>
            <w:hideMark/>
          </w:tcPr>
          <w:p w14:paraId="3A6BAD0F" w14:textId="55F7A4A0" w:rsidR="003E005F" w:rsidRPr="000973F2" w:rsidRDefault="0061289C" w:rsidP="0061289C">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w:t>
            </w:r>
          </w:p>
        </w:tc>
      </w:tr>
      <w:tr w:rsidR="00260534" w:rsidRPr="000973F2" w14:paraId="3E71B7AD" w14:textId="77777777" w:rsidTr="0061289C">
        <w:trPr>
          <w:cantSplit/>
        </w:trPr>
        <w:tc>
          <w:tcPr>
            <w:cnfStyle w:val="001000000000" w:firstRow="0" w:lastRow="0" w:firstColumn="1" w:lastColumn="0" w:oddVBand="0" w:evenVBand="0" w:oddHBand="0" w:evenHBand="0" w:firstRowFirstColumn="0" w:firstRowLastColumn="0" w:lastRowFirstColumn="0" w:lastRowLastColumn="0"/>
            <w:tcW w:w="1965" w:type="dxa"/>
            <w:shd w:val="clear" w:color="auto" w:fill="auto"/>
            <w:tcMar>
              <w:right w:w="14" w:type="dxa"/>
            </w:tcMar>
            <w:hideMark/>
          </w:tcPr>
          <w:p w14:paraId="1EF24285" w14:textId="04434251" w:rsidR="003E005F" w:rsidRPr="000973F2" w:rsidRDefault="003E005F" w:rsidP="0061289C">
            <w:pPr>
              <w:spacing w:before="40" w:after="4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Sampling and Analysis Costs</w:t>
            </w:r>
          </w:p>
        </w:tc>
        <w:tc>
          <w:tcPr>
            <w:tcW w:w="1227" w:type="dxa"/>
            <w:shd w:val="clear" w:color="auto" w:fill="auto"/>
            <w:noWrap/>
            <w:hideMark/>
          </w:tcPr>
          <w:p w14:paraId="4EEEB56B" w14:textId="18737ED2" w:rsidR="003E005F" w:rsidRPr="000973F2" w:rsidRDefault="0061289C" w:rsidP="0061289C">
            <w:pPr>
              <w:spacing w:before="40" w:after="4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w:t>
            </w:r>
          </w:p>
        </w:tc>
        <w:tc>
          <w:tcPr>
            <w:tcW w:w="1228" w:type="dxa"/>
            <w:shd w:val="clear" w:color="auto" w:fill="auto"/>
            <w:noWrap/>
          </w:tcPr>
          <w:p w14:paraId="36B2A030" w14:textId="6D2DB2C3" w:rsidR="003E005F" w:rsidRPr="000973F2" w:rsidRDefault="003E005F" w:rsidP="0061289C">
            <w:pPr>
              <w:spacing w:before="40" w:after="4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p>
        </w:tc>
        <w:tc>
          <w:tcPr>
            <w:tcW w:w="1227" w:type="dxa"/>
            <w:shd w:val="clear" w:color="auto" w:fill="auto"/>
            <w:noWrap/>
            <w:hideMark/>
          </w:tcPr>
          <w:p w14:paraId="7DB834DD" w14:textId="21D4F8F6" w:rsidR="003E005F" w:rsidRPr="000973F2" w:rsidRDefault="0061289C" w:rsidP="0061289C">
            <w:pPr>
              <w:spacing w:before="40" w:after="4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w:t>
            </w:r>
          </w:p>
        </w:tc>
        <w:tc>
          <w:tcPr>
            <w:tcW w:w="1178" w:type="dxa"/>
            <w:shd w:val="clear" w:color="auto" w:fill="auto"/>
            <w:noWrap/>
            <w:hideMark/>
          </w:tcPr>
          <w:p w14:paraId="1ED103EA" w14:textId="025FB177" w:rsidR="003E005F" w:rsidRPr="000973F2" w:rsidRDefault="0061289C" w:rsidP="0061289C">
            <w:pPr>
              <w:spacing w:before="40" w:after="4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w:t>
            </w:r>
          </w:p>
        </w:tc>
        <w:tc>
          <w:tcPr>
            <w:tcW w:w="1277" w:type="dxa"/>
            <w:shd w:val="clear" w:color="auto" w:fill="auto"/>
            <w:noWrap/>
            <w:hideMark/>
          </w:tcPr>
          <w:p w14:paraId="538FE4C6" w14:textId="2C27C945" w:rsidR="003E005F" w:rsidRPr="000973F2" w:rsidRDefault="0061289C" w:rsidP="0061289C">
            <w:pPr>
              <w:spacing w:before="40" w:after="4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w:t>
            </w:r>
          </w:p>
        </w:tc>
        <w:tc>
          <w:tcPr>
            <w:tcW w:w="1228" w:type="dxa"/>
            <w:shd w:val="clear" w:color="auto" w:fill="auto"/>
            <w:noWrap/>
            <w:hideMark/>
          </w:tcPr>
          <w:p w14:paraId="524865AE" w14:textId="0D6127E6" w:rsidR="003E005F" w:rsidRPr="000973F2" w:rsidRDefault="0061289C" w:rsidP="0061289C">
            <w:pPr>
              <w:spacing w:before="40" w:after="4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w:t>
            </w:r>
          </w:p>
        </w:tc>
      </w:tr>
      <w:tr w:rsidR="00260534" w:rsidRPr="000973F2" w14:paraId="227A219C" w14:textId="77777777" w:rsidTr="0061289C">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1965" w:type="dxa"/>
            <w:tcMar>
              <w:right w:w="14" w:type="dxa"/>
            </w:tcMar>
            <w:hideMark/>
          </w:tcPr>
          <w:p w14:paraId="2BA03E2B" w14:textId="77777777" w:rsidR="00F40687" w:rsidRPr="000973F2" w:rsidRDefault="00F40687" w:rsidP="0061289C">
            <w:pPr>
              <w:spacing w:before="40" w:after="40"/>
              <w:rPr>
                <w:rFonts w:ascii="Times New Roman" w:eastAsia="Times New Roman" w:hAnsi="Times New Roman" w:cs="Times New Roman"/>
                <w:b/>
                <w:bCs w:val="0"/>
                <w:sz w:val="18"/>
                <w:szCs w:val="18"/>
              </w:rPr>
            </w:pPr>
            <w:r w:rsidRPr="000973F2">
              <w:rPr>
                <w:rFonts w:ascii="Times New Roman" w:eastAsia="Times New Roman" w:hAnsi="Times New Roman" w:cs="Times New Roman"/>
                <w:b/>
                <w:sz w:val="18"/>
                <w:szCs w:val="18"/>
              </w:rPr>
              <w:t>Total</w:t>
            </w:r>
          </w:p>
        </w:tc>
        <w:tc>
          <w:tcPr>
            <w:tcW w:w="1227" w:type="dxa"/>
            <w:noWrap/>
            <w:hideMark/>
          </w:tcPr>
          <w:p w14:paraId="3D7DB4B0" w14:textId="77777777" w:rsidR="00F40687" w:rsidRPr="000973F2" w:rsidRDefault="00F40687" w:rsidP="0061289C">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sz w:val="18"/>
                <w:szCs w:val="18"/>
              </w:rPr>
            </w:pPr>
            <w:r w:rsidRPr="000973F2">
              <w:rPr>
                <w:rFonts w:ascii="Times New Roman" w:eastAsia="Times New Roman" w:hAnsi="Times New Roman" w:cs="Times New Roman"/>
                <w:b/>
                <w:sz w:val="18"/>
                <w:szCs w:val="18"/>
              </w:rPr>
              <w:t>$0</w:t>
            </w:r>
          </w:p>
        </w:tc>
        <w:tc>
          <w:tcPr>
            <w:tcW w:w="1228" w:type="dxa"/>
            <w:noWrap/>
            <w:hideMark/>
          </w:tcPr>
          <w:p w14:paraId="1A899F34" w14:textId="0D2FCF7D" w:rsidR="00F40687" w:rsidRPr="000973F2" w:rsidRDefault="00F40687" w:rsidP="0061289C">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sz w:val="18"/>
                <w:szCs w:val="18"/>
              </w:rPr>
            </w:pPr>
          </w:p>
        </w:tc>
        <w:tc>
          <w:tcPr>
            <w:tcW w:w="1227" w:type="dxa"/>
            <w:noWrap/>
            <w:hideMark/>
          </w:tcPr>
          <w:p w14:paraId="2CAD4A82" w14:textId="77777777" w:rsidR="00F40687" w:rsidRPr="000973F2" w:rsidRDefault="00F40687" w:rsidP="0061289C">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sz w:val="18"/>
                <w:szCs w:val="18"/>
              </w:rPr>
            </w:pPr>
            <w:r w:rsidRPr="000973F2">
              <w:rPr>
                <w:rFonts w:ascii="Times New Roman" w:eastAsia="Times New Roman" w:hAnsi="Times New Roman" w:cs="Times New Roman"/>
                <w:b/>
                <w:sz w:val="18"/>
                <w:szCs w:val="18"/>
              </w:rPr>
              <w:t>$0</w:t>
            </w:r>
          </w:p>
        </w:tc>
        <w:tc>
          <w:tcPr>
            <w:tcW w:w="1178" w:type="dxa"/>
            <w:noWrap/>
            <w:hideMark/>
          </w:tcPr>
          <w:p w14:paraId="0F10350C" w14:textId="77777777" w:rsidR="00F40687" w:rsidRPr="000973F2" w:rsidRDefault="00F40687" w:rsidP="0061289C">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sz w:val="18"/>
                <w:szCs w:val="18"/>
              </w:rPr>
            </w:pPr>
            <w:r w:rsidRPr="000973F2">
              <w:rPr>
                <w:rFonts w:ascii="Times New Roman" w:eastAsia="Times New Roman" w:hAnsi="Times New Roman" w:cs="Times New Roman"/>
                <w:b/>
                <w:sz w:val="18"/>
                <w:szCs w:val="18"/>
              </w:rPr>
              <w:t>$50</w:t>
            </w:r>
          </w:p>
        </w:tc>
        <w:tc>
          <w:tcPr>
            <w:tcW w:w="1277" w:type="dxa"/>
            <w:noWrap/>
            <w:hideMark/>
          </w:tcPr>
          <w:p w14:paraId="7BCFBC56" w14:textId="77777777" w:rsidR="00F40687" w:rsidRPr="000973F2" w:rsidRDefault="00F40687" w:rsidP="0061289C">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sz w:val="18"/>
                <w:szCs w:val="18"/>
              </w:rPr>
            </w:pPr>
            <w:r w:rsidRPr="000973F2">
              <w:rPr>
                <w:rFonts w:ascii="Times New Roman" w:eastAsia="Times New Roman" w:hAnsi="Times New Roman" w:cs="Times New Roman"/>
                <w:b/>
                <w:sz w:val="18"/>
                <w:szCs w:val="18"/>
              </w:rPr>
              <w:t>$0</w:t>
            </w:r>
          </w:p>
        </w:tc>
        <w:tc>
          <w:tcPr>
            <w:tcW w:w="1228" w:type="dxa"/>
            <w:noWrap/>
            <w:hideMark/>
          </w:tcPr>
          <w:p w14:paraId="6B792B2C" w14:textId="77777777" w:rsidR="00F40687" w:rsidRPr="000973F2" w:rsidRDefault="00F40687" w:rsidP="0061289C">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sz w:val="18"/>
                <w:szCs w:val="18"/>
              </w:rPr>
            </w:pPr>
            <w:r w:rsidRPr="000973F2">
              <w:rPr>
                <w:rFonts w:ascii="Times New Roman" w:eastAsia="Times New Roman" w:hAnsi="Times New Roman" w:cs="Times New Roman"/>
                <w:b/>
                <w:sz w:val="18"/>
                <w:szCs w:val="18"/>
              </w:rPr>
              <w:t>$50</w:t>
            </w:r>
          </w:p>
        </w:tc>
      </w:tr>
    </w:tbl>
    <w:p w14:paraId="302410EC" w14:textId="77777777" w:rsidR="00F40687" w:rsidRPr="000973F2" w:rsidRDefault="00F40687" w:rsidP="004A0A2A">
      <w:pPr>
        <w:pStyle w:val="AfterTable"/>
      </w:pPr>
    </w:p>
    <w:p w14:paraId="72A9FF07" w14:textId="77777777" w:rsidR="00F40687" w:rsidRPr="000973F2" w:rsidRDefault="00F40687" w:rsidP="004A0A2A">
      <w:pPr>
        <w:pStyle w:val="Heading2"/>
      </w:pPr>
      <w:r w:rsidRPr="000973F2">
        <w:t>Total Costs for Subpart Q</w:t>
      </w:r>
    </w:p>
    <w:p w14:paraId="7EA9B2D0" w14:textId="3FD0A390" w:rsidR="00F40687" w:rsidRPr="000973F2" w:rsidRDefault="00F40687" w:rsidP="004A0A2A">
      <w:pPr>
        <w:pStyle w:val="BodyText"/>
      </w:pPr>
      <w:r w:rsidRPr="000973F2">
        <w:t>The total industry costs related to Subpart Q are approximately $3</w:t>
      </w:r>
      <w:r w:rsidR="00F92C86" w:rsidRPr="000973F2">
        <w:t>29</w:t>
      </w:r>
      <w:r w:rsidRPr="000973F2">
        <w:t>,000 per year for a total of $9</w:t>
      </w:r>
      <w:r w:rsidR="007A599B" w:rsidRPr="000973F2">
        <w:t>87</w:t>
      </w:r>
      <w:r w:rsidRPr="000973F2">
        <w:t>,000 over the three-year period of the ICR. One hundred twenty-two facilities are expected to report in 2019, 2020, and 2021.</w:t>
      </w:r>
    </w:p>
    <w:p w14:paraId="4AEB6A23" w14:textId="1397826F" w:rsidR="00F40687" w:rsidRPr="000973F2" w:rsidRDefault="00F40687" w:rsidP="00C00E4F">
      <w:pPr>
        <w:spacing w:line="240" w:lineRule="auto"/>
        <w:rPr>
          <w:rFonts w:ascii="Times New Roman" w:hAnsi="Times New Roman" w:cs="Times New Roman"/>
        </w:rPr>
      </w:pPr>
      <w:r w:rsidRPr="000973F2">
        <w:rPr>
          <w:rFonts w:ascii="Times New Roman" w:hAnsi="Times New Roman" w:cs="Times New Roman"/>
        </w:rPr>
        <w:br w:type="page"/>
      </w:r>
    </w:p>
    <w:p w14:paraId="53D1B086" w14:textId="77777777" w:rsidR="00A44E29" w:rsidRPr="000973F2" w:rsidRDefault="00A44E29" w:rsidP="004D5C48">
      <w:pPr>
        <w:pStyle w:val="Heading1"/>
      </w:pPr>
      <w:bookmarkStart w:id="31" w:name="_Toc10715609"/>
      <w:r w:rsidRPr="000973F2">
        <w:t>Cost Appendix for Subpart R – Lead Production</w:t>
      </w:r>
      <w:bookmarkEnd w:id="31"/>
    </w:p>
    <w:p w14:paraId="2E6DE736" w14:textId="77777777" w:rsidR="00A44E29" w:rsidRPr="000973F2" w:rsidRDefault="00A44E29" w:rsidP="004D5C48">
      <w:pPr>
        <w:pStyle w:val="Heading2"/>
      </w:pPr>
      <w:r w:rsidRPr="000973F2">
        <w:t>Description of Subpart R</w:t>
      </w:r>
    </w:p>
    <w:p w14:paraId="494BD6FC" w14:textId="1BE53F4B" w:rsidR="00A44E29" w:rsidRPr="000973F2" w:rsidRDefault="00A44E29" w:rsidP="004D5C48">
      <w:pPr>
        <w:pStyle w:val="BodyText"/>
      </w:pPr>
      <w:r w:rsidRPr="000973F2">
        <w:t>For purposes of the GHGRP, the lead production source category applies to primary and secondary lead smelter sources that produce lead. A primary lead smelter is a facility engaged in the production of lead metal from lead sulfide ore concentrates through the use of pyrometallurgical techniques. A secondary lead smelter is a facility at which lead-bearing scrap materials (including but not limited to, lead-acid batteries) are recycled by smelting into elemental lead or lead alloys. The only primary lead smelter In the U.S. reported to Subpart R from RY2010 to RY2013. It shut down in December 2013 and therefore stopped reporting. The remaining 11 facilities currently reporting to Subpart R are secondary lead smelter sources. The number of facilities reporting to Subpart R facilities has not significantly changed over the past reporting years, with a maximum number of 14 facilities and a minimum number of 11 facilities per reporting year. It is anticipated that no new facilities will report to Subpart R during the three year</w:t>
      </w:r>
      <w:r w:rsidR="003363FF" w:rsidRPr="000973F2">
        <w:t xml:space="preserve"> period covered</w:t>
      </w:r>
      <w:r w:rsidRPr="000973F2">
        <w:t xml:space="preserve"> </w:t>
      </w:r>
      <w:r w:rsidR="003363FF" w:rsidRPr="000973F2">
        <w:t>by</w:t>
      </w:r>
      <w:r w:rsidRPr="000973F2">
        <w:t xml:space="preserve"> this ICR. Initial year costs apply to new facilities; therefore, those costs are zero in the tables below. </w:t>
      </w:r>
      <w:r w:rsidR="00C61E1A" w:rsidRPr="000973F2">
        <w:t>Facilities</w:t>
      </w:r>
      <w:r w:rsidRPr="000973F2">
        <w:t xml:space="preserve"> current</w:t>
      </w:r>
      <w:r w:rsidR="00C61E1A" w:rsidRPr="000973F2">
        <w:t>ly reporting to</w:t>
      </w:r>
      <w:r w:rsidRPr="000973F2">
        <w:t xml:space="preserve"> Subpart R have up to four smelting furnaces, with most having two smelting furnaces. Cost estimates </w:t>
      </w:r>
      <w:r w:rsidR="00C61E1A" w:rsidRPr="000973F2">
        <w:t xml:space="preserve">below </w:t>
      </w:r>
      <w:r w:rsidRPr="000973F2">
        <w:t xml:space="preserve">are based on a facility with two smelting furnaces. </w:t>
      </w:r>
    </w:p>
    <w:p w14:paraId="7D836F9D" w14:textId="6B41EE87" w:rsidR="00A44E29" w:rsidRPr="000973F2" w:rsidRDefault="00A44E29" w:rsidP="004D5C48">
      <w:pPr>
        <w:pStyle w:val="BodyText"/>
      </w:pPr>
      <w:r w:rsidRPr="000973F2">
        <w:t>The emissions reported under Subpart R are a result of natural</w:t>
      </w:r>
      <w:r w:rsidR="00051F9B">
        <w:t xml:space="preserve"> </w:t>
      </w:r>
      <w:r w:rsidRPr="000973F2">
        <w:t>gas combustion and lead smelter process emissions, resulting in the release of CO</w:t>
      </w:r>
      <w:r w:rsidRPr="000973F2">
        <w:rPr>
          <w:vertAlign w:val="subscript"/>
        </w:rPr>
        <w:t>2</w:t>
      </w:r>
      <w:r w:rsidRPr="000973F2">
        <w:t xml:space="preserve">. </w:t>
      </w:r>
    </w:p>
    <w:p w14:paraId="48901315" w14:textId="77777777" w:rsidR="00A44E29" w:rsidRPr="000973F2" w:rsidRDefault="00A44E29" w:rsidP="004D5C48">
      <w:pPr>
        <w:pStyle w:val="Heading2"/>
      </w:pPr>
      <w:r w:rsidRPr="000973F2">
        <w:t>Labor Costs for Subpart R</w:t>
      </w:r>
    </w:p>
    <w:p w14:paraId="5A38F348" w14:textId="44B9DFB6" w:rsidR="00A44E29" w:rsidRPr="000973F2" w:rsidRDefault="00A44E29" w:rsidP="004D5C48">
      <w:pPr>
        <w:pStyle w:val="BodyText"/>
      </w:pPr>
      <w:r w:rsidRPr="000973F2">
        <w:t xml:space="preserve">Table </w:t>
      </w:r>
      <w:r w:rsidR="004D5C48" w:rsidRPr="000973F2">
        <w:t>R-</w:t>
      </w:r>
      <w:r w:rsidRPr="000973F2">
        <w:t xml:space="preserve">1 </w:t>
      </w:r>
      <w:r w:rsidR="00C61E1A" w:rsidRPr="000973F2">
        <w:t xml:space="preserve">presents the </w:t>
      </w:r>
      <w:r w:rsidRPr="000973F2">
        <w:t>estimate</w:t>
      </w:r>
      <w:r w:rsidR="00C61E1A" w:rsidRPr="000973F2">
        <w:t>d</w:t>
      </w:r>
      <w:r w:rsidRPr="000973F2">
        <w:t xml:space="preserve"> labor costs for reporting emissions for Subpart R. Typical activities for each of the labor activities are discussed in the Cost Appendix Introduction. Recordkeeping and reporting hours </w:t>
      </w:r>
      <w:r w:rsidR="005F59A8" w:rsidRPr="000973F2">
        <w:t xml:space="preserve">are based on </w:t>
      </w:r>
      <w:r w:rsidRPr="000973F2">
        <w:t>the “low bin”</w:t>
      </w:r>
      <w:r w:rsidR="00892409" w:rsidRPr="000973F2">
        <w:t xml:space="preserve"> designation.</w:t>
      </w:r>
      <w:r w:rsidRPr="000973F2">
        <w:t xml:space="preserve"> Sampling and analysis (calculations) hours include completion of the measurements and calculations in §98.183, including calculation of combustion and production CO</w:t>
      </w:r>
      <w:r w:rsidRPr="000973F2">
        <w:rPr>
          <w:vertAlign w:val="subscript"/>
        </w:rPr>
        <w:t>2</w:t>
      </w:r>
      <w:r w:rsidRPr="000973F2">
        <w:t xml:space="preserve"> emissions from each smelting furnace. </w:t>
      </w:r>
    </w:p>
    <w:p w14:paraId="55D9E526" w14:textId="34C26CC5" w:rsidR="00A44E29" w:rsidRPr="000973F2" w:rsidRDefault="00033096" w:rsidP="004D5C48">
      <w:pPr>
        <w:pStyle w:val="Tabletitle"/>
        <w:rPr>
          <w:sz w:val="24"/>
          <w:szCs w:val="24"/>
        </w:rPr>
      </w:pPr>
      <w:r w:rsidRPr="000973F2">
        <w:t xml:space="preserve">Table </w:t>
      </w:r>
      <w:r w:rsidR="004D5C48" w:rsidRPr="000973F2">
        <w:t>R-</w:t>
      </w:r>
      <w:r w:rsidRPr="000973F2">
        <w:t xml:space="preserve">1. Labor Costs </w:t>
      </w:r>
      <w:r w:rsidR="00B960CC" w:rsidRPr="000973F2">
        <w:t>–</w:t>
      </w:r>
      <w:r w:rsidRPr="000973F2">
        <w:t>Subpart R</w:t>
      </w:r>
      <w:r w:rsidR="00A44E29" w:rsidRPr="000973F2">
        <w:rPr>
          <w:sz w:val="24"/>
          <w:szCs w:val="24"/>
        </w:rPr>
        <w:t xml:space="preserve"> </w:t>
      </w:r>
    </w:p>
    <w:tbl>
      <w:tblPr>
        <w:tblStyle w:val="PlainTable1"/>
        <w:tblW w:w="5000" w:type="pct"/>
        <w:tblLayout w:type="fixed"/>
        <w:tblLook w:val="04A0" w:firstRow="1" w:lastRow="0" w:firstColumn="1" w:lastColumn="0" w:noHBand="0" w:noVBand="1"/>
      </w:tblPr>
      <w:tblGrid>
        <w:gridCol w:w="1279"/>
        <w:gridCol w:w="819"/>
        <w:gridCol w:w="820"/>
        <w:gridCol w:w="819"/>
        <w:gridCol w:w="820"/>
        <w:gridCol w:w="820"/>
        <w:gridCol w:w="819"/>
        <w:gridCol w:w="820"/>
        <w:gridCol w:w="820"/>
        <w:gridCol w:w="870"/>
        <w:gridCol w:w="870"/>
      </w:tblGrid>
      <w:tr w:rsidR="00A44E29" w:rsidRPr="000973F2" w14:paraId="67329F19" w14:textId="77777777" w:rsidTr="00B6531F">
        <w:trPr>
          <w:cnfStyle w:val="100000000000" w:firstRow="1" w:lastRow="0" w:firstColumn="0" w:lastColumn="0" w:oddVBand="0" w:evenVBand="0" w:oddHBand="0"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1245" w:type="dxa"/>
            <w:vMerge w:val="restart"/>
            <w:noWrap/>
            <w:hideMark/>
          </w:tcPr>
          <w:p w14:paraId="65F29AC3" w14:textId="77777777" w:rsidR="00A44E29" w:rsidRPr="000973F2" w:rsidRDefault="00A44E29" w:rsidP="004D5C48">
            <w:pPr>
              <w:spacing w:before="40" w:after="40"/>
              <w:rPr>
                <w:rFonts w:ascii="Times New Roman" w:eastAsia="Times New Roman" w:hAnsi="Times New Roman" w:cs="Times New Roman"/>
                <w:b w:val="0"/>
                <w:bCs w:val="0"/>
                <w:sz w:val="18"/>
                <w:szCs w:val="18"/>
              </w:rPr>
            </w:pPr>
            <w:r w:rsidRPr="000973F2">
              <w:rPr>
                <w:rFonts w:ascii="Times New Roman" w:eastAsia="Times New Roman" w:hAnsi="Times New Roman" w:cs="Times New Roman"/>
                <w:sz w:val="18"/>
                <w:szCs w:val="18"/>
              </w:rPr>
              <w:t>Activity</w:t>
            </w:r>
          </w:p>
        </w:tc>
        <w:tc>
          <w:tcPr>
            <w:tcW w:w="6389" w:type="dxa"/>
            <w:gridSpan w:val="8"/>
            <w:noWrap/>
            <w:hideMark/>
          </w:tcPr>
          <w:p w14:paraId="2728231A" w14:textId="77777777" w:rsidR="00A44E29" w:rsidRPr="000973F2" w:rsidRDefault="00A44E29" w:rsidP="004D5C48">
            <w:pPr>
              <w:spacing w:before="40" w:after="40"/>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bCs w:val="0"/>
                <w:sz w:val="18"/>
                <w:szCs w:val="18"/>
              </w:rPr>
            </w:pPr>
            <w:r w:rsidRPr="000973F2">
              <w:rPr>
                <w:rFonts w:ascii="Times New Roman" w:eastAsia="Times New Roman" w:hAnsi="Times New Roman" w:cs="Times New Roman"/>
                <w:sz w:val="18"/>
                <w:szCs w:val="18"/>
              </w:rPr>
              <w:t>Labor Rates (per hour)</w:t>
            </w:r>
          </w:p>
        </w:tc>
        <w:tc>
          <w:tcPr>
            <w:tcW w:w="1696" w:type="dxa"/>
            <w:gridSpan w:val="2"/>
            <w:vMerge w:val="restart"/>
            <w:hideMark/>
          </w:tcPr>
          <w:p w14:paraId="49D76460" w14:textId="77777777" w:rsidR="00A44E29" w:rsidRPr="000973F2" w:rsidRDefault="00A44E29" w:rsidP="004D5C48">
            <w:pPr>
              <w:spacing w:before="40" w:after="40"/>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bCs w:val="0"/>
                <w:sz w:val="18"/>
                <w:szCs w:val="18"/>
              </w:rPr>
            </w:pPr>
            <w:r w:rsidRPr="000973F2">
              <w:rPr>
                <w:rFonts w:ascii="Times New Roman" w:eastAsia="Times New Roman" w:hAnsi="Times New Roman" w:cs="Times New Roman"/>
                <w:sz w:val="18"/>
                <w:szCs w:val="18"/>
              </w:rPr>
              <w:t>Total Labor Cost per Year per Facility (2017$)</w:t>
            </w:r>
          </w:p>
        </w:tc>
      </w:tr>
      <w:tr w:rsidR="00A44E29" w:rsidRPr="000973F2" w14:paraId="3D3D88B3" w14:textId="77777777" w:rsidTr="00B6531F">
        <w:tblPrEx>
          <w:jc w:val="left"/>
        </w:tblPrEx>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1245" w:type="dxa"/>
            <w:vMerge/>
            <w:hideMark/>
          </w:tcPr>
          <w:p w14:paraId="1C0E7553" w14:textId="77777777" w:rsidR="00A44E29" w:rsidRPr="000973F2" w:rsidRDefault="00A44E29" w:rsidP="004D5C48">
            <w:pPr>
              <w:spacing w:before="40" w:after="40"/>
              <w:jc w:val="center"/>
              <w:rPr>
                <w:rFonts w:ascii="Times New Roman" w:eastAsia="Times New Roman" w:hAnsi="Times New Roman" w:cs="Times New Roman"/>
                <w:b/>
                <w:bCs w:val="0"/>
                <w:sz w:val="18"/>
                <w:szCs w:val="18"/>
              </w:rPr>
            </w:pPr>
          </w:p>
        </w:tc>
        <w:tc>
          <w:tcPr>
            <w:tcW w:w="1597" w:type="dxa"/>
            <w:gridSpan w:val="2"/>
            <w:noWrap/>
            <w:hideMark/>
          </w:tcPr>
          <w:p w14:paraId="71B7B290" w14:textId="77777777" w:rsidR="00A44E29" w:rsidRPr="000973F2" w:rsidRDefault="00A44E29" w:rsidP="004D5C48">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18"/>
                <w:szCs w:val="18"/>
              </w:rPr>
            </w:pPr>
            <w:r w:rsidRPr="000973F2">
              <w:rPr>
                <w:rFonts w:ascii="Times New Roman" w:eastAsia="Times New Roman" w:hAnsi="Times New Roman" w:cs="Times New Roman"/>
                <w:b/>
                <w:bCs/>
                <w:sz w:val="18"/>
                <w:szCs w:val="18"/>
              </w:rPr>
              <w:t>Lawyer</w:t>
            </w:r>
          </w:p>
        </w:tc>
        <w:tc>
          <w:tcPr>
            <w:tcW w:w="1597" w:type="dxa"/>
            <w:gridSpan w:val="2"/>
            <w:noWrap/>
            <w:hideMark/>
          </w:tcPr>
          <w:p w14:paraId="2F4A2E1B" w14:textId="77777777" w:rsidR="00A44E29" w:rsidRPr="000973F2" w:rsidRDefault="00A44E29" w:rsidP="004D5C48">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18"/>
                <w:szCs w:val="18"/>
              </w:rPr>
            </w:pPr>
            <w:r w:rsidRPr="000973F2">
              <w:rPr>
                <w:rFonts w:ascii="Times New Roman" w:eastAsia="Times New Roman" w:hAnsi="Times New Roman" w:cs="Times New Roman"/>
                <w:b/>
                <w:bCs/>
                <w:sz w:val="18"/>
                <w:szCs w:val="18"/>
              </w:rPr>
              <w:t>Industrial Manager</w:t>
            </w:r>
          </w:p>
        </w:tc>
        <w:tc>
          <w:tcPr>
            <w:tcW w:w="1597" w:type="dxa"/>
            <w:gridSpan w:val="2"/>
            <w:hideMark/>
          </w:tcPr>
          <w:p w14:paraId="29868076" w14:textId="054632D3" w:rsidR="00A44E29" w:rsidRPr="000973F2" w:rsidRDefault="00A44E29" w:rsidP="004D5C48">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18"/>
                <w:szCs w:val="18"/>
              </w:rPr>
            </w:pPr>
            <w:r w:rsidRPr="000973F2">
              <w:rPr>
                <w:rFonts w:ascii="Times New Roman" w:eastAsia="Times New Roman" w:hAnsi="Times New Roman" w:cs="Times New Roman"/>
                <w:b/>
                <w:bCs/>
                <w:sz w:val="18"/>
                <w:szCs w:val="18"/>
              </w:rPr>
              <w:t>Industrial Engineer/</w:t>
            </w:r>
            <w:r w:rsidR="004D5C48" w:rsidRPr="000973F2">
              <w:rPr>
                <w:rFonts w:ascii="Times New Roman" w:eastAsia="Times New Roman" w:hAnsi="Times New Roman" w:cs="Times New Roman"/>
                <w:b/>
                <w:bCs/>
                <w:sz w:val="18"/>
                <w:szCs w:val="18"/>
              </w:rPr>
              <w:t xml:space="preserve"> </w:t>
            </w:r>
            <w:r w:rsidRPr="000973F2">
              <w:rPr>
                <w:rFonts w:ascii="Times New Roman" w:eastAsia="Times New Roman" w:hAnsi="Times New Roman" w:cs="Times New Roman"/>
                <w:b/>
                <w:bCs/>
                <w:sz w:val="18"/>
                <w:szCs w:val="18"/>
              </w:rPr>
              <w:t>Technician</w:t>
            </w:r>
          </w:p>
        </w:tc>
        <w:tc>
          <w:tcPr>
            <w:tcW w:w="1598" w:type="dxa"/>
            <w:gridSpan w:val="2"/>
            <w:hideMark/>
          </w:tcPr>
          <w:p w14:paraId="27FAF7C6" w14:textId="77777777" w:rsidR="00A44E29" w:rsidRPr="000973F2" w:rsidRDefault="00A44E29" w:rsidP="004D5C48">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18"/>
                <w:szCs w:val="18"/>
              </w:rPr>
            </w:pPr>
            <w:r w:rsidRPr="000973F2">
              <w:rPr>
                <w:rFonts w:ascii="Times New Roman" w:eastAsia="Times New Roman" w:hAnsi="Times New Roman" w:cs="Times New Roman"/>
                <w:b/>
                <w:bCs/>
                <w:sz w:val="18"/>
                <w:szCs w:val="18"/>
              </w:rPr>
              <w:t>Administrative Support</w:t>
            </w:r>
          </w:p>
        </w:tc>
        <w:tc>
          <w:tcPr>
            <w:tcW w:w="1696" w:type="dxa"/>
            <w:gridSpan w:val="2"/>
            <w:vMerge/>
            <w:hideMark/>
          </w:tcPr>
          <w:p w14:paraId="620036A7" w14:textId="77777777" w:rsidR="00A44E29" w:rsidRPr="000973F2" w:rsidRDefault="00A44E29" w:rsidP="004D5C48">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18"/>
                <w:szCs w:val="18"/>
              </w:rPr>
            </w:pPr>
          </w:p>
        </w:tc>
      </w:tr>
      <w:tr w:rsidR="00A44E29" w:rsidRPr="000973F2" w14:paraId="53FA60FB" w14:textId="77777777" w:rsidTr="00B6531F">
        <w:tblPrEx>
          <w:jc w:val="left"/>
        </w:tblPrEx>
        <w:trPr>
          <w:cantSplit/>
        </w:trPr>
        <w:tc>
          <w:tcPr>
            <w:cnfStyle w:val="001000000000" w:firstRow="0" w:lastRow="0" w:firstColumn="1" w:lastColumn="0" w:oddVBand="0" w:evenVBand="0" w:oddHBand="0" w:evenHBand="0" w:firstRowFirstColumn="0" w:firstRowLastColumn="0" w:lastRowFirstColumn="0" w:lastRowLastColumn="0"/>
            <w:tcW w:w="1245" w:type="dxa"/>
            <w:vMerge/>
            <w:hideMark/>
          </w:tcPr>
          <w:p w14:paraId="7CB2014F" w14:textId="77777777" w:rsidR="00A44E29" w:rsidRPr="000973F2" w:rsidRDefault="00A44E29" w:rsidP="004D5C48">
            <w:pPr>
              <w:spacing w:before="40" w:after="40"/>
              <w:jc w:val="center"/>
              <w:rPr>
                <w:rFonts w:ascii="Times New Roman" w:eastAsia="Times New Roman" w:hAnsi="Times New Roman" w:cs="Times New Roman"/>
                <w:b/>
                <w:bCs w:val="0"/>
                <w:sz w:val="18"/>
                <w:szCs w:val="18"/>
              </w:rPr>
            </w:pPr>
          </w:p>
        </w:tc>
        <w:tc>
          <w:tcPr>
            <w:tcW w:w="1597" w:type="dxa"/>
            <w:gridSpan w:val="2"/>
            <w:noWrap/>
            <w:hideMark/>
          </w:tcPr>
          <w:p w14:paraId="53E91C13" w14:textId="77777777" w:rsidR="00A44E29" w:rsidRPr="000973F2" w:rsidRDefault="00A44E29" w:rsidP="004D5C48">
            <w:pPr>
              <w:spacing w:before="40" w:after="4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sz w:val="18"/>
                <w:szCs w:val="18"/>
              </w:rPr>
            </w:pPr>
            <w:r w:rsidRPr="000973F2">
              <w:rPr>
                <w:rFonts w:ascii="Times New Roman" w:eastAsia="Times New Roman" w:hAnsi="Times New Roman" w:cs="Times New Roman"/>
                <w:b/>
                <w:bCs/>
                <w:sz w:val="18"/>
                <w:szCs w:val="18"/>
              </w:rPr>
              <w:t>$112.23</w:t>
            </w:r>
          </w:p>
        </w:tc>
        <w:tc>
          <w:tcPr>
            <w:tcW w:w="1597" w:type="dxa"/>
            <w:gridSpan w:val="2"/>
            <w:noWrap/>
            <w:hideMark/>
          </w:tcPr>
          <w:p w14:paraId="30E6DFCB" w14:textId="77777777" w:rsidR="00A44E29" w:rsidRPr="000973F2" w:rsidRDefault="00A44E29" w:rsidP="004D5C48">
            <w:pPr>
              <w:spacing w:before="40" w:after="4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sz w:val="18"/>
                <w:szCs w:val="18"/>
              </w:rPr>
            </w:pPr>
            <w:r w:rsidRPr="000973F2">
              <w:rPr>
                <w:rFonts w:ascii="Times New Roman" w:eastAsia="Times New Roman" w:hAnsi="Times New Roman" w:cs="Times New Roman"/>
                <w:b/>
                <w:bCs/>
                <w:sz w:val="18"/>
                <w:szCs w:val="18"/>
              </w:rPr>
              <w:t>$87.45</w:t>
            </w:r>
          </w:p>
        </w:tc>
        <w:tc>
          <w:tcPr>
            <w:tcW w:w="1597" w:type="dxa"/>
            <w:gridSpan w:val="2"/>
            <w:noWrap/>
            <w:hideMark/>
          </w:tcPr>
          <w:p w14:paraId="24242EE3" w14:textId="77777777" w:rsidR="00A44E29" w:rsidRPr="000973F2" w:rsidRDefault="00A44E29" w:rsidP="004D5C48">
            <w:pPr>
              <w:spacing w:before="40" w:after="4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sz w:val="18"/>
                <w:szCs w:val="18"/>
              </w:rPr>
            </w:pPr>
            <w:r w:rsidRPr="000973F2">
              <w:rPr>
                <w:rFonts w:ascii="Times New Roman" w:eastAsia="Times New Roman" w:hAnsi="Times New Roman" w:cs="Times New Roman"/>
                <w:b/>
                <w:bCs/>
                <w:sz w:val="18"/>
                <w:szCs w:val="18"/>
              </w:rPr>
              <w:t>$71.45</w:t>
            </w:r>
          </w:p>
        </w:tc>
        <w:tc>
          <w:tcPr>
            <w:tcW w:w="1598" w:type="dxa"/>
            <w:gridSpan w:val="2"/>
            <w:noWrap/>
            <w:hideMark/>
          </w:tcPr>
          <w:p w14:paraId="1B278086" w14:textId="77777777" w:rsidR="00A44E29" w:rsidRPr="000973F2" w:rsidRDefault="00A44E29" w:rsidP="004D5C48">
            <w:pPr>
              <w:spacing w:before="40" w:after="4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sz w:val="18"/>
                <w:szCs w:val="18"/>
              </w:rPr>
            </w:pPr>
            <w:r w:rsidRPr="000973F2">
              <w:rPr>
                <w:rFonts w:ascii="Times New Roman" w:eastAsia="Times New Roman" w:hAnsi="Times New Roman" w:cs="Times New Roman"/>
                <w:b/>
                <w:bCs/>
                <w:sz w:val="18"/>
                <w:szCs w:val="18"/>
              </w:rPr>
              <w:t>$36.28</w:t>
            </w:r>
          </w:p>
        </w:tc>
        <w:tc>
          <w:tcPr>
            <w:tcW w:w="1696" w:type="dxa"/>
            <w:gridSpan w:val="2"/>
            <w:vMerge/>
            <w:hideMark/>
          </w:tcPr>
          <w:p w14:paraId="557A6826" w14:textId="77777777" w:rsidR="00A44E29" w:rsidRPr="000973F2" w:rsidRDefault="00A44E29" w:rsidP="004D5C48">
            <w:pPr>
              <w:spacing w:before="40" w:after="4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sz w:val="18"/>
                <w:szCs w:val="18"/>
              </w:rPr>
            </w:pPr>
          </w:p>
        </w:tc>
      </w:tr>
      <w:tr w:rsidR="00D7694D" w:rsidRPr="000973F2" w14:paraId="3B05EB36" w14:textId="77777777" w:rsidTr="00B6531F">
        <w:tblPrEx>
          <w:jc w:val="left"/>
        </w:tblPrEx>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1245" w:type="dxa"/>
            <w:vMerge/>
            <w:hideMark/>
          </w:tcPr>
          <w:p w14:paraId="47675B98" w14:textId="77777777" w:rsidR="00A44E29" w:rsidRPr="000973F2" w:rsidRDefault="00A44E29" w:rsidP="004D5C48">
            <w:pPr>
              <w:spacing w:before="40" w:after="40"/>
              <w:jc w:val="center"/>
              <w:rPr>
                <w:rFonts w:ascii="Times New Roman" w:eastAsia="Times New Roman" w:hAnsi="Times New Roman" w:cs="Times New Roman"/>
                <w:b/>
                <w:bCs w:val="0"/>
                <w:sz w:val="18"/>
                <w:szCs w:val="18"/>
              </w:rPr>
            </w:pPr>
          </w:p>
        </w:tc>
        <w:tc>
          <w:tcPr>
            <w:tcW w:w="798" w:type="dxa"/>
            <w:tcMar>
              <w:left w:w="14" w:type="dxa"/>
              <w:right w:w="14" w:type="dxa"/>
            </w:tcMar>
            <w:hideMark/>
          </w:tcPr>
          <w:p w14:paraId="037889EB" w14:textId="3FA287FE" w:rsidR="00A44E29" w:rsidRPr="000973F2" w:rsidRDefault="00A44E29" w:rsidP="004D5C48">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18"/>
                <w:szCs w:val="18"/>
              </w:rPr>
            </w:pPr>
            <w:r w:rsidRPr="000973F2">
              <w:rPr>
                <w:rFonts w:ascii="Times New Roman" w:eastAsia="Times New Roman" w:hAnsi="Times New Roman" w:cs="Times New Roman"/>
                <w:b/>
                <w:bCs/>
                <w:sz w:val="18"/>
                <w:szCs w:val="18"/>
              </w:rPr>
              <w:t xml:space="preserve">Initial </w:t>
            </w:r>
            <w:r w:rsidR="00132320" w:rsidRPr="000973F2">
              <w:rPr>
                <w:rFonts w:ascii="Times New Roman" w:eastAsia="Times New Roman" w:hAnsi="Times New Roman" w:cs="Times New Roman"/>
                <w:b/>
                <w:bCs/>
                <w:sz w:val="18"/>
                <w:szCs w:val="18"/>
              </w:rPr>
              <w:t>Year Hours</w:t>
            </w:r>
          </w:p>
        </w:tc>
        <w:tc>
          <w:tcPr>
            <w:tcW w:w="799" w:type="dxa"/>
            <w:tcMar>
              <w:left w:w="14" w:type="dxa"/>
              <w:right w:w="14" w:type="dxa"/>
            </w:tcMar>
            <w:hideMark/>
          </w:tcPr>
          <w:p w14:paraId="07C9161C" w14:textId="39BB3DE3" w:rsidR="00A44E29" w:rsidRPr="000973F2" w:rsidRDefault="00A44E29" w:rsidP="004D5C48">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18"/>
                <w:szCs w:val="18"/>
              </w:rPr>
            </w:pPr>
            <w:r w:rsidRPr="000973F2">
              <w:rPr>
                <w:rFonts w:ascii="Times New Roman" w:eastAsia="Times New Roman" w:hAnsi="Times New Roman" w:cs="Times New Roman"/>
                <w:b/>
                <w:bCs/>
                <w:sz w:val="18"/>
                <w:szCs w:val="18"/>
              </w:rPr>
              <w:t xml:space="preserve">Subseq </w:t>
            </w:r>
            <w:r w:rsidR="00132320" w:rsidRPr="000973F2">
              <w:rPr>
                <w:rFonts w:ascii="Times New Roman" w:eastAsia="Times New Roman" w:hAnsi="Times New Roman" w:cs="Times New Roman"/>
                <w:b/>
                <w:bCs/>
                <w:sz w:val="18"/>
                <w:szCs w:val="18"/>
              </w:rPr>
              <w:t>Year Hours</w:t>
            </w:r>
          </w:p>
        </w:tc>
        <w:tc>
          <w:tcPr>
            <w:tcW w:w="798" w:type="dxa"/>
            <w:tcMar>
              <w:left w:w="14" w:type="dxa"/>
              <w:right w:w="14" w:type="dxa"/>
            </w:tcMar>
            <w:hideMark/>
          </w:tcPr>
          <w:p w14:paraId="6DAF3140" w14:textId="02AEF20E" w:rsidR="00A44E29" w:rsidRPr="000973F2" w:rsidRDefault="00A44E29" w:rsidP="004D5C48">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18"/>
                <w:szCs w:val="18"/>
              </w:rPr>
            </w:pPr>
            <w:r w:rsidRPr="000973F2">
              <w:rPr>
                <w:rFonts w:ascii="Times New Roman" w:eastAsia="Times New Roman" w:hAnsi="Times New Roman" w:cs="Times New Roman"/>
                <w:b/>
                <w:bCs/>
                <w:sz w:val="18"/>
                <w:szCs w:val="18"/>
              </w:rPr>
              <w:t xml:space="preserve">Initial </w:t>
            </w:r>
            <w:r w:rsidR="00132320" w:rsidRPr="000973F2">
              <w:rPr>
                <w:rFonts w:ascii="Times New Roman" w:eastAsia="Times New Roman" w:hAnsi="Times New Roman" w:cs="Times New Roman"/>
                <w:b/>
                <w:bCs/>
                <w:sz w:val="18"/>
                <w:szCs w:val="18"/>
              </w:rPr>
              <w:t>Year Hours</w:t>
            </w:r>
          </w:p>
        </w:tc>
        <w:tc>
          <w:tcPr>
            <w:tcW w:w="799" w:type="dxa"/>
            <w:tcMar>
              <w:left w:w="14" w:type="dxa"/>
              <w:right w:w="14" w:type="dxa"/>
            </w:tcMar>
            <w:hideMark/>
          </w:tcPr>
          <w:p w14:paraId="50AE50F1" w14:textId="74D61837" w:rsidR="00A44E29" w:rsidRPr="000973F2" w:rsidRDefault="00A44E29" w:rsidP="004D5C48">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18"/>
                <w:szCs w:val="18"/>
              </w:rPr>
            </w:pPr>
            <w:r w:rsidRPr="000973F2">
              <w:rPr>
                <w:rFonts w:ascii="Times New Roman" w:eastAsia="Times New Roman" w:hAnsi="Times New Roman" w:cs="Times New Roman"/>
                <w:b/>
                <w:bCs/>
                <w:sz w:val="18"/>
                <w:szCs w:val="18"/>
              </w:rPr>
              <w:t xml:space="preserve">Subseq. </w:t>
            </w:r>
            <w:r w:rsidR="00132320" w:rsidRPr="000973F2">
              <w:rPr>
                <w:rFonts w:ascii="Times New Roman" w:eastAsia="Times New Roman" w:hAnsi="Times New Roman" w:cs="Times New Roman"/>
                <w:b/>
                <w:bCs/>
                <w:sz w:val="18"/>
                <w:szCs w:val="18"/>
              </w:rPr>
              <w:t>Year Hours</w:t>
            </w:r>
          </w:p>
        </w:tc>
        <w:tc>
          <w:tcPr>
            <w:tcW w:w="799" w:type="dxa"/>
            <w:tcMar>
              <w:left w:w="14" w:type="dxa"/>
              <w:right w:w="14" w:type="dxa"/>
            </w:tcMar>
            <w:hideMark/>
          </w:tcPr>
          <w:p w14:paraId="78B62D6E" w14:textId="4BBBEB39" w:rsidR="00A44E29" w:rsidRPr="000973F2" w:rsidRDefault="00A44E29" w:rsidP="004D5C48">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18"/>
                <w:szCs w:val="18"/>
              </w:rPr>
            </w:pPr>
            <w:r w:rsidRPr="000973F2">
              <w:rPr>
                <w:rFonts w:ascii="Times New Roman" w:eastAsia="Times New Roman" w:hAnsi="Times New Roman" w:cs="Times New Roman"/>
                <w:b/>
                <w:bCs/>
                <w:sz w:val="18"/>
                <w:szCs w:val="18"/>
              </w:rPr>
              <w:t xml:space="preserve">Initial </w:t>
            </w:r>
            <w:r w:rsidR="00132320" w:rsidRPr="000973F2">
              <w:rPr>
                <w:rFonts w:ascii="Times New Roman" w:eastAsia="Times New Roman" w:hAnsi="Times New Roman" w:cs="Times New Roman"/>
                <w:b/>
                <w:bCs/>
                <w:sz w:val="18"/>
                <w:szCs w:val="18"/>
              </w:rPr>
              <w:t>Year Hours</w:t>
            </w:r>
          </w:p>
        </w:tc>
        <w:tc>
          <w:tcPr>
            <w:tcW w:w="798" w:type="dxa"/>
            <w:tcMar>
              <w:left w:w="14" w:type="dxa"/>
              <w:right w:w="14" w:type="dxa"/>
            </w:tcMar>
            <w:hideMark/>
          </w:tcPr>
          <w:p w14:paraId="2E3A0098" w14:textId="293F2736" w:rsidR="00A44E29" w:rsidRPr="000973F2" w:rsidRDefault="00A44E29" w:rsidP="004D5C48">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18"/>
                <w:szCs w:val="18"/>
              </w:rPr>
            </w:pPr>
            <w:r w:rsidRPr="000973F2">
              <w:rPr>
                <w:rFonts w:ascii="Times New Roman" w:eastAsia="Times New Roman" w:hAnsi="Times New Roman" w:cs="Times New Roman"/>
                <w:b/>
                <w:bCs/>
                <w:sz w:val="18"/>
                <w:szCs w:val="18"/>
              </w:rPr>
              <w:t xml:space="preserve">Subseq. </w:t>
            </w:r>
            <w:r w:rsidR="00132320" w:rsidRPr="000973F2">
              <w:rPr>
                <w:rFonts w:ascii="Times New Roman" w:eastAsia="Times New Roman" w:hAnsi="Times New Roman" w:cs="Times New Roman"/>
                <w:b/>
                <w:bCs/>
                <w:sz w:val="18"/>
                <w:szCs w:val="18"/>
              </w:rPr>
              <w:t>Year Hours</w:t>
            </w:r>
          </w:p>
        </w:tc>
        <w:tc>
          <w:tcPr>
            <w:tcW w:w="799" w:type="dxa"/>
            <w:tcMar>
              <w:left w:w="14" w:type="dxa"/>
              <w:right w:w="14" w:type="dxa"/>
            </w:tcMar>
            <w:hideMark/>
          </w:tcPr>
          <w:p w14:paraId="5A883B20" w14:textId="25CA20BF" w:rsidR="00A44E29" w:rsidRPr="000973F2" w:rsidRDefault="00A44E29" w:rsidP="004D5C48">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18"/>
                <w:szCs w:val="18"/>
              </w:rPr>
            </w:pPr>
            <w:r w:rsidRPr="000973F2">
              <w:rPr>
                <w:rFonts w:ascii="Times New Roman" w:eastAsia="Times New Roman" w:hAnsi="Times New Roman" w:cs="Times New Roman"/>
                <w:b/>
                <w:bCs/>
                <w:sz w:val="18"/>
                <w:szCs w:val="18"/>
              </w:rPr>
              <w:t xml:space="preserve">Initial </w:t>
            </w:r>
            <w:r w:rsidR="00132320" w:rsidRPr="000973F2">
              <w:rPr>
                <w:rFonts w:ascii="Times New Roman" w:eastAsia="Times New Roman" w:hAnsi="Times New Roman" w:cs="Times New Roman"/>
                <w:b/>
                <w:bCs/>
                <w:sz w:val="18"/>
                <w:szCs w:val="18"/>
              </w:rPr>
              <w:t>Year Hours</w:t>
            </w:r>
          </w:p>
        </w:tc>
        <w:tc>
          <w:tcPr>
            <w:tcW w:w="799" w:type="dxa"/>
            <w:tcMar>
              <w:left w:w="14" w:type="dxa"/>
              <w:right w:w="14" w:type="dxa"/>
            </w:tcMar>
            <w:hideMark/>
          </w:tcPr>
          <w:p w14:paraId="3EAD2955" w14:textId="6264C64C" w:rsidR="00A44E29" w:rsidRPr="000973F2" w:rsidRDefault="00A44E29" w:rsidP="004D5C48">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18"/>
                <w:szCs w:val="18"/>
              </w:rPr>
            </w:pPr>
            <w:r w:rsidRPr="000973F2">
              <w:rPr>
                <w:rFonts w:ascii="Times New Roman" w:eastAsia="Times New Roman" w:hAnsi="Times New Roman" w:cs="Times New Roman"/>
                <w:b/>
                <w:bCs/>
                <w:sz w:val="18"/>
                <w:szCs w:val="18"/>
              </w:rPr>
              <w:t xml:space="preserve">Subseq. </w:t>
            </w:r>
            <w:r w:rsidR="00132320" w:rsidRPr="000973F2">
              <w:rPr>
                <w:rFonts w:ascii="Times New Roman" w:eastAsia="Times New Roman" w:hAnsi="Times New Roman" w:cs="Times New Roman"/>
                <w:b/>
                <w:bCs/>
                <w:sz w:val="18"/>
                <w:szCs w:val="18"/>
              </w:rPr>
              <w:t>Year Hours</w:t>
            </w:r>
          </w:p>
        </w:tc>
        <w:tc>
          <w:tcPr>
            <w:tcW w:w="848" w:type="dxa"/>
            <w:tcMar>
              <w:left w:w="14" w:type="dxa"/>
              <w:right w:w="14" w:type="dxa"/>
            </w:tcMar>
            <w:hideMark/>
          </w:tcPr>
          <w:p w14:paraId="141788D5" w14:textId="77777777" w:rsidR="00A44E29" w:rsidRPr="000973F2" w:rsidRDefault="00A44E29" w:rsidP="004D5C48">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18"/>
                <w:szCs w:val="18"/>
              </w:rPr>
            </w:pPr>
            <w:r w:rsidRPr="000973F2">
              <w:rPr>
                <w:rFonts w:ascii="Times New Roman" w:eastAsia="Times New Roman" w:hAnsi="Times New Roman" w:cs="Times New Roman"/>
                <w:b/>
                <w:bCs/>
                <w:sz w:val="18"/>
                <w:szCs w:val="18"/>
              </w:rPr>
              <w:t>Initial Year</w:t>
            </w:r>
          </w:p>
        </w:tc>
        <w:tc>
          <w:tcPr>
            <w:tcW w:w="848" w:type="dxa"/>
            <w:tcMar>
              <w:left w:w="14" w:type="dxa"/>
              <w:right w:w="14" w:type="dxa"/>
            </w:tcMar>
            <w:hideMark/>
          </w:tcPr>
          <w:p w14:paraId="65E91CE2" w14:textId="77777777" w:rsidR="00A44E29" w:rsidRPr="000973F2" w:rsidRDefault="00A44E29" w:rsidP="004D5C48">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18"/>
                <w:szCs w:val="18"/>
              </w:rPr>
            </w:pPr>
            <w:r w:rsidRPr="000973F2">
              <w:rPr>
                <w:rFonts w:ascii="Times New Roman" w:eastAsia="Times New Roman" w:hAnsi="Times New Roman" w:cs="Times New Roman"/>
                <w:b/>
                <w:bCs/>
                <w:sz w:val="18"/>
                <w:szCs w:val="18"/>
              </w:rPr>
              <w:t>Subseq. Year</w:t>
            </w:r>
          </w:p>
        </w:tc>
      </w:tr>
      <w:tr w:rsidR="00A44E29" w:rsidRPr="000973F2" w14:paraId="46804B2E" w14:textId="77777777" w:rsidTr="00B6531F">
        <w:tblPrEx>
          <w:jc w:val="left"/>
        </w:tblPrEx>
        <w:trPr>
          <w:cantSplit/>
        </w:trPr>
        <w:tc>
          <w:tcPr>
            <w:cnfStyle w:val="001000000000" w:firstRow="0" w:lastRow="0" w:firstColumn="1" w:lastColumn="0" w:oddVBand="0" w:evenVBand="0" w:oddHBand="0" w:evenHBand="0" w:firstRowFirstColumn="0" w:firstRowLastColumn="0" w:lastRowFirstColumn="0" w:lastRowLastColumn="0"/>
            <w:tcW w:w="1245" w:type="dxa"/>
            <w:tcMar>
              <w:left w:w="115" w:type="dxa"/>
              <w:right w:w="14" w:type="dxa"/>
            </w:tcMar>
            <w:hideMark/>
          </w:tcPr>
          <w:p w14:paraId="6D1D39AD" w14:textId="77777777" w:rsidR="00A44E29" w:rsidRPr="000973F2" w:rsidRDefault="00A44E29" w:rsidP="008A2B1B">
            <w:pPr>
              <w:spacing w:before="40" w:after="4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Planning</w:t>
            </w:r>
          </w:p>
        </w:tc>
        <w:tc>
          <w:tcPr>
            <w:tcW w:w="798" w:type="dxa"/>
            <w:noWrap/>
            <w:hideMark/>
          </w:tcPr>
          <w:p w14:paraId="153A917E" w14:textId="77777777" w:rsidR="00A44E29" w:rsidRPr="000973F2" w:rsidRDefault="00A44E29" w:rsidP="004D5C48">
            <w:pPr>
              <w:spacing w:before="40" w:after="4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0</w:t>
            </w:r>
          </w:p>
        </w:tc>
        <w:tc>
          <w:tcPr>
            <w:tcW w:w="799" w:type="dxa"/>
            <w:noWrap/>
            <w:hideMark/>
          </w:tcPr>
          <w:p w14:paraId="02EC5B21" w14:textId="77777777" w:rsidR="00A44E29" w:rsidRPr="000973F2" w:rsidRDefault="00A44E29" w:rsidP="004D5C48">
            <w:pPr>
              <w:spacing w:before="40" w:after="4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1</w:t>
            </w:r>
          </w:p>
        </w:tc>
        <w:tc>
          <w:tcPr>
            <w:tcW w:w="798" w:type="dxa"/>
            <w:noWrap/>
            <w:hideMark/>
          </w:tcPr>
          <w:p w14:paraId="4070B7FC" w14:textId="77777777" w:rsidR="00A44E29" w:rsidRPr="000973F2" w:rsidRDefault="00A44E29" w:rsidP="004D5C48">
            <w:pPr>
              <w:spacing w:before="40" w:after="4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0</w:t>
            </w:r>
          </w:p>
        </w:tc>
        <w:tc>
          <w:tcPr>
            <w:tcW w:w="799" w:type="dxa"/>
            <w:noWrap/>
            <w:hideMark/>
          </w:tcPr>
          <w:p w14:paraId="3F4F24D4" w14:textId="77777777" w:rsidR="00A44E29" w:rsidRPr="000973F2" w:rsidRDefault="00A44E29" w:rsidP="004D5C48">
            <w:pPr>
              <w:spacing w:before="40" w:after="4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0.4</w:t>
            </w:r>
          </w:p>
        </w:tc>
        <w:tc>
          <w:tcPr>
            <w:tcW w:w="799" w:type="dxa"/>
            <w:noWrap/>
            <w:hideMark/>
          </w:tcPr>
          <w:p w14:paraId="5A44A12C" w14:textId="77777777" w:rsidR="00A44E29" w:rsidRPr="000973F2" w:rsidRDefault="00A44E29" w:rsidP="004D5C48">
            <w:pPr>
              <w:spacing w:before="40" w:after="4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0</w:t>
            </w:r>
          </w:p>
        </w:tc>
        <w:tc>
          <w:tcPr>
            <w:tcW w:w="798" w:type="dxa"/>
            <w:noWrap/>
            <w:hideMark/>
          </w:tcPr>
          <w:p w14:paraId="15E7EBC1" w14:textId="77777777" w:rsidR="00A44E29" w:rsidRPr="000973F2" w:rsidRDefault="00A44E29" w:rsidP="004D5C48">
            <w:pPr>
              <w:tabs>
                <w:tab w:val="decimal" w:pos="346"/>
              </w:tabs>
              <w:spacing w:before="40" w:after="4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4</w:t>
            </w:r>
          </w:p>
        </w:tc>
        <w:tc>
          <w:tcPr>
            <w:tcW w:w="799" w:type="dxa"/>
            <w:noWrap/>
            <w:hideMark/>
          </w:tcPr>
          <w:p w14:paraId="7D4C0BA0" w14:textId="77777777" w:rsidR="00A44E29" w:rsidRPr="000973F2" w:rsidRDefault="00A44E29" w:rsidP="004D5C48">
            <w:pPr>
              <w:spacing w:before="40" w:after="4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0</w:t>
            </w:r>
          </w:p>
        </w:tc>
        <w:tc>
          <w:tcPr>
            <w:tcW w:w="799" w:type="dxa"/>
            <w:noWrap/>
            <w:hideMark/>
          </w:tcPr>
          <w:p w14:paraId="6966E206" w14:textId="77777777" w:rsidR="00A44E29" w:rsidRPr="000973F2" w:rsidRDefault="00A44E29" w:rsidP="004D5C48">
            <w:pPr>
              <w:spacing w:before="40" w:after="4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0.2</w:t>
            </w:r>
          </w:p>
        </w:tc>
        <w:tc>
          <w:tcPr>
            <w:tcW w:w="848" w:type="dxa"/>
            <w:noWrap/>
            <w:hideMark/>
          </w:tcPr>
          <w:p w14:paraId="2AF9E569" w14:textId="77777777" w:rsidR="00A44E29" w:rsidRPr="000973F2" w:rsidRDefault="00A44E29" w:rsidP="004D5C48">
            <w:pPr>
              <w:spacing w:before="40" w:after="4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$0</w:t>
            </w:r>
          </w:p>
        </w:tc>
        <w:tc>
          <w:tcPr>
            <w:tcW w:w="848" w:type="dxa"/>
            <w:noWrap/>
            <w:hideMark/>
          </w:tcPr>
          <w:p w14:paraId="4FE2AFD4" w14:textId="77777777" w:rsidR="00A44E29" w:rsidRPr="000973F2" w:rsidRDefault="00A44E29" w:rsidP="004D5C48">
            <w:pPr>
              <w:tabs>
                <w:tab w:val="decimal" w:pos="496"/>
              </w:tabs>
              <w:spacing w:before="40" w:after="4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$440</w:t>
            </w:r>
          </w:p>
        </w:tc>
      </w:tr>
      <w:tr w:rsidR="00D7694D" w:rsidRPr="000973F2" w14:paraId="512FEA3C" w14:textId="77777777" w:rsidTr="00B6531F">
        <w:tblPrEx>
          <w:jc w:val="left"/>
        </w:tblPrEx>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1245" w:type="dxa"/>
            <w:tcMar>
              <w:left w:w="115" w:type="dxa"/>
              <w:right w:w="14" w:type="dxa"/>
            </w:tcMar>
            <w:hideMark/>
          </w:tcPr>
          <w:p w14:paraId="42D10485" w14:textId="77777777" w:rsidR="00A44E29" w:rsidRPr="000973F2" w:rsidRDefault="00A44E29" w:rsidP="008A2B1B">
            <w:pPr>
              <w:spacing w:before="40" w:after="4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QA/QC</w:t>
            </w:r>
          </w:p>
        </w:tc>
        <w:tc>
          <w:tcPr>
            <w:tcW w:w="798" w:type="dxa"/>
            <w:noWrap/>
            <w:hideMark/>
          </w:tcPr>
          <w:p w14:paraId="67A72FDD" w14:textId="77777777" w:rsidR="00A44E29" w:rsidRPr="000973F2" w:rsidRDefault="00A44E29" w:rsidP="004D5C48">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0</w:t>
            </w:r>
          </w:p>
        </w:tc>
        <w:tc>
          <w:tcPr>
            <w:tcW w:w="799" w:type="dxa"/>
            <w:noWrap/>
            <w:hideMark/>
          </w:tcPr>
          <w:p w14:paraId="13E4316A" w14:textId="77777777" w:rsidR="00A44E29" w:rsidRPr="000973F2" w:rsidRDefault="00A44E29" w:rsidP="004D5C48">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1</w:t>
            </w:r>
          </w:p>
        </w:tc>
        <w:tc>
          <w:tcPr>
            <w:tcW w:w="798" w:type="dxa"/>
            <w:noWrap/>
            <w:hideMark/>
          </w:tcPr>
          <w:p w14:paraId="34487A36" w14:textId="77777777" w:rsidR="00A44E29" w:rsidRPr="000973F2" w:rsidRDefault="00A44E29" w:rsidP="004D5C48">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0</w:t>
            </w:r>
          </w:p>
        </w:tc>
        <w:tc>
          <w:tcPr>
            <w:tcW w:w="799" w:type="dxa"/>
            <w:noWrap/>
            <w:hideMark/>
          </w:tcPr>
          <w:p w14:paraId="5B854720" w14:textId="77777777" w:rsidR="00A44E29" w:rsidRPr="000973F2" w:rsidRDefault="00A44E29" w:rsidP="004D5C48">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0.3</w:t>
            </w:r>
          </w:p>
        </w:tc>
        <w:tc>
          <w:tcPr>
            <w:tcW w:w="799" w:type="dxa"/>
            <w:noWrap/>
            <w:hideMark/>
          </w:tcPr>
          <w:p w14:paraId="23068AD7" w14:textId="77777777" w:rsidR="00A44E29" w:rsidRPr="000973F2" w:rsidRDefault="00A44E29" w:rsidP="004D5C48">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0</w:t>
            </w:r>
          </w:p>
        </w:tc>
        <w:tc>
          <w:tcPr>
            <w:tcW w:w="798" w:type="dxa"/>
            <w:noWrap/>
            <w:hideMark/>
          </w:tcPr>
          <w:p w14:paraId="4D092961" w14:textId="77777777" w:rsidR="00A44E29" w:rsidRPr="000973F2" w:rsidRDefault="00A44E29" w:rsidP="004D5C48">
            <w:pPr>
              <w:tabs>
                <w:tab w:val="decimal" w:pos="346"/>
              </w:tabs>
              <w:spacing w:before="40" w:after="4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3</w:t>
            </w:r>
          </w:p>
        </w:tc>
        <w:tc>
          <w:tcPr>
            <w:tcW w:w="799" w:type="dxa"/>
            <w:noWrap/>
            <w:hideMark/>
          </w:tcPr>
          <w:p w14:paraId="73854ED1" w14:textId="77777777" w:rsidR="00A44E29" w:rsidRPr="000973F2" w:rsidRDefault="00A44E29" w:rsidP="004D5C48">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0</w:t>
            </w:r>
          </w:p>
        </w:tc>
        <w:tc>
          <w:tcPr>
            <w:tcW w:w="799" w:type="dxa"/>
            <w:noWrap/>
            <w:hideMark/>
          </w:tcPr>
          <w:p w14:paraId="5C2DAD4C" w14:textId="77777777" w:rsidR="00A44E29" w:rsidRPr="000973F2" w:rsidRDefault="00A44E29" w:rsidP="004D5C48">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0.2</w:t>
            </w:r>
          </w:p>
        </w:tc>
        <w:tc>
          <w:tcPr>
            <w:tcW w:w="848" w:type="dxa"/>
            <w:noWrap/>
            <w:hideMark/>
          </w:tcPr>
          <w:p w14:paraId="5F5E22BC" w14:textId="77777777" w:rsidR="00A44E29" w:rsidRPr="000973F2" w:rsidRDefault="00A44E29" w:rsidP="004D5C48">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$0</w:t>
            </w:r>
          </w:p>
        </w:tc>
        <w:tc>
          <w:tcPr>
            <w:tcW w:w="848" w:type="dxa"/>
            <w:noWrap/>
            <w:hideMark/>
          </w:tcPr>
          <w:p w14:paraId="3967763E" w14:textId="77777777" w:rsidR="00A44E29" w:rsidRPr="000973F2" w:rsidRDefault="00A44E29" w:rsidP="004D5C48">
            <w:pPr>
              <w:tabs>
                <w:tab w:val="decimal" w:pos="496"/>
              </w:tabs>
              <w:spacing w:before="40" w:after="4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$358</w:t>
            </w:r>
          </w:p>
        </w:tc>
      </w:tr>
      <w:tr w:rsidR="00A44E29" w:rsidRPr="000973F2" w14:paraId="066B57A8" w14:textId="77777777" w:rsidTr="00B6531F">
        <w:tblPrEx>
          <w:jc w:val="left"/>
        </w:tblPrEx>
        <w:trPr>
          <w:cantSplit/>
        </w:trPr>
        <w:tc>
          <w:tcPr>
            <w:cnfStyle w:val="001000000000" w:firstRow="0" w:lastRow="0" w:firstColumn="1" w:lastColumn="0" w:oddVBand="0" w:evenVBand="0" w:oddHBand="0" w:evenHBand="0" w:firstRowFirstColumn="0" w:firstRowLastColumn="0" w:lastRowFirstColumn="0" w:lastRowLastColumn="0"/>
            <w:tcW w:w="1245" w:type="dxa"/>
            <w:tcMar>
              <w:left w:w="115" w:type="dxa"/>
              <w:right w:w="14" w:type="dxa"/>
            </w:tcMar>
            <w:hideMark/>
          </w:tcPr>
          <w:p w14:paraId="3639E51A" w14:textId="77777777" w:rsidR="00A44E29" w:rsidRPr="000973F2" w:rsidRDefault="00A44E29" w:rsidP="008A2B1B">
            <w:pPr>
              <w:spacing w:before="40" w:after="4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Recordkeeping</w:t>
            </w:r>
          </w:p>
        </w:tc>
        <w:tc>
          <w:tcPr>
            <w:tcW w:w="798" w:type="dxa"/>
            <w:noWrap/>
            <w:hideMark/>
          </w:tcPr>
          <w:p w14:paraId="6616E019" w14:textId="77777777" w:rsidR="00A44E29" w:rsidRPr="000973F2" w:rsidRDefault="00A44E29" w:rsidP="004D5C48">
            <w:pPr>
              <w:spacing w:before="40" w:after="4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0</w:t>
            </w:r>
          </w:p>
        </w:tc>
        <w:tc>
          <w:tcPr>
            <w:tcW w:w="799" w:type="dxa"/>
            <w:noWrap/>
            <w:hideMark/>
          </w:tcPr>
          <w:p w14:paraId="16A00E21" w14:textId="77777777" w:rsidR="00A44E29" w:rsidRPr="000973F2" w:rsidRDefault="00A44E29" w:rsidP="004D5C48">
            <w:pPr>
              <w:spacing w:before="40" w:after="4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0</w:t>
            </w:r>
          </w:p>
        </w:tc>
        <w:tc>
          <w:tcPr>
            <w:tcW w:w="798" w:type="dxa"/>
            <w:noWrap/>
            <w:hideMark/>
          </w:tcPr>
          <w:p w14:paraId="154AC2CF" w14:textId="77777777" w:rsidR="00A44E29" w:rsidRPr="000973F2" w:rsidRDefault="00A44E29" w:rsidP="004D5C48">
            <w:pPr>
              <w:spacing w:before="40" w:after="4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0</w:t>
            </w:r>
          </w:p>
        </w:tc>
        <w:tc>
          <w:tcPr>
            <w:tcW w:w="799" w:type="dxa"/>
            <w:noWrap/>
            <w:hideMark/>
          </w:tcPr>
          <w:p w14:paraId="7020493A" w14:textId="77777777" w:rsidR="00A44E29" w:rsidRPr="000973F2" w:rsidRDefault="00A44E29" w:rsidP="004D5C48">
            <w:pPr>
              <w:spacing w:before="40" w:after="4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0.5</w:t>
            </w:r>
          </w:p>
        </w:tc>
        <w:tc>
          <w:tcPr>
            <w:tcW w:w="799" w:type="dxa"/>
            <w:noWrap/>
            <w:hideMark/>
          </w:tcPr>
          <w:p w14:paraId="21A62198" w14:textId="77777777" w:rsidR="00A44E29" w:rsidRPr="000973F2" w:rsidRDefault="00A44E29" w:rsidP="004D5C48">
            <w:pPr>
              <w:spacing w:before="40" w:after="4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0</w:t>
            </w:r>
          </w:p>
        </w:tc>
        <w:tc>
          <w:tcPr>
            <w:tcW w:w="798" w:type="dxa"/>
            <w:noWrap/>
            <w:hideMark/>
          </w:tcPr>
          <w:p w14:paraId="7D6390DE" w14:textId="77777777" w:rsidR="00A44E29" w:rsidRPr="000973F2" w:rsidRDefault="00A44E29" w:rsidP="004D5C48">
            <w:pPr>
              <w:tabs>
                <w:tab w:val="decimal" w:pos="346"/>
              </w:tabs>
              <w:spacing w:before="40" w:after="4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2</w:t>
            </w:r>
          </w:p>
        </w:tc>
        <w:tc>
          <w:tcPr>
            <w:tcW w:w="799" w:type="dxa"/>
            <w:noWrap/>
            <w:hideMark/>
          </w:tcPr>
          <w:p w14:paraId="6FB98DE1" w14:textId="77777777" w:rsidR="00A44E29" w:rsidRPr="000973F2" w:rsidRDefault="00A44E29" w:rsidP="004D5C48">
            <w:pPr>
              <w:spacing w:before="40" w:after="4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0</w:t>
            </w:r>
          </w:p>
        </w:tc>
        <w:tc>
          <w:tcPr>
            <w:tcW w:w="799" w:type="dxa"/>
            <w:noWrap/>
            <w:hideMark/>
          </w:tcPr>
          <w:p w14:paraId="3C84ED0B" w14:textId="77777777" w:rsidR="00A44E29" w:rsidRPr="000973F2" w:rsidRDefault="00A44E29" w:rsidP="004D5C48">
            <w:pPr>
              <w:spacing w:before="40" w:after="4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0.5</w:t>
            </w:r>
          </w:p>
        </w:tc>
        <w:tc>
          <w:tcPr>
            <w:tcW w:w="848" w:type="dxa"/>
            <w:noWrap/>
            <w:hideMark/>
          </w:tcPr>
          <w:p w14:paraId="5286A606" w14:textId="77777777" w:rsidR="00A44E29" w:rsidRPr="000973F2" w:rsidRDefault="00A44E29" w:rsidP="004D5C48">
            <w:pPr>
              <w:spacing w:before="40" w:after="4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$0</w:t>
            </w:r>
          </w:p>
        </w:tc>
        <w:tc>
          <w:tcPr>
            <w:tcW w:w="848" w:type="dxa"/>
            <w:noWrap/>
            <w:hideMark/>
          </w:tcPr>
          <w:p w14:paraId="129C04A8" w14:textId="77777777" w:rsidR="00A44E29" w:rsidRPr="000973F2" w:rsidRDefault="00A44E29" w:rsidP="004D5C48">
            <w:pPr>
              <w:tabs>
                <w:tab w:val="decimal" w:pos="496"/>
              </w:tabs>
              <w:spacing w:before="40" w:after="4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$205</w:t>
            </w:r>
          </w:p>
        </w:tc>
      </w:tr>
      <w:tr w:rsidR="00D7694D" w:rsidRPr="000973F2" w14:paraId="21295EB4" w14:textId="77777777" w:rsidTr="00B6531F">
        <w:tblPrEx>
          <w:jc w:val="left"/>
        </w:tblPrEx>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1245" w:type="dxa"/>
            <w:tcMar>
              <w:left w:w="115" w:type="dxa"/>
              <w:right w:w="14" w:type="dxa"/>
            </w:tcMar>
            <w:hideMark/>
          </w:tcPr>
          <w:p w14:paraId="5F0E8B77" w14:textId="77777777" w:rsidR="00A44E29" w:rsidRPr="000973F2" w:rsidRDefault="00A44E29" w:rsidP="008A2B1B">
            <w:pPr>
              <w:spacing w:before="40" w:after="4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Sampling and Analysis (Calculations)</w:t>
            </w:r>
          </w:p>
        </w:tc>
        <w:tc>
          <w:tcPr>
            <w:tcW w:w="798" w:type="dxa"/>
            <w:noWrap/>
            <w:hideMark/>
          </w:tcPr>
          <w:p w14:paraId="4C09405A" w14:textId="77777777" w:rsidR="00A44E29" w:rsidRPr="000973F2" w:rsidRDefault="00A44E29" w:rsidP="004D5C48">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0</w:t>
            </w:r>
          </w:p>
        </w:tc>
        <w:tc>
          <w:tcPr>
            <w:tcW w:w="799" w:type="dxa"/>
            <w:noWrap/>
            <w:hideMark/>
          </w:tcPr>
          <w:p w14:paraId="19F69AA8" w14:textId="77777777" w:rsidR="00A44E29" w:rsidRPr="000973F2" w:rsidRDefault="00A44E29" w:rsidP="004D5C48">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0</w:t>
            </w:r>
          </w:p>
        </w:tc>
        <w:tc>
          <w:tcPr>
            <w:tcW w:w="798" w:type="dxa"/>
            <w:noWrap/>
            <w:hideMark/>
          </w:tcPr>
          <w:p w14:paraId="2497F055" w14:textId="77777777" w:rsidR="00A44E29" w:rsidRPr="000973F2" w:rsidRDefault="00A44E29" w:rsidP="004D5C48">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0</w:t>
            </w:r>
          </w:p>
        </w:tc>
        <w:tc>
          <w:tcPr>
            <w:tcW w:w="799" w:type="dxa"/>
            <w:noWrap/>
            <w:hideMark/>
          </w:tcPr>
          <w:p w14:paraId="73EBA36D" w14:textId="77777777" w:rsidR="00A44E29" w:rsidRPr="000973F2" w:rsidRDefault="00A44E29" w:rsidP="004D5C48">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0.5</w:t>
            </w:r>
          </w:p>
        </w:tc>
        <w:tc>
          <w:tcPr>
            <w:tcW w:w="799" w:type="dxa"/>
            <w:noWrap/>
            <w:hideMark/>
          </w:tcPr>
          <w:p w14:paraId="31E96F6E" w14:textId="77777777" w:rsidR="00A44E29" w:rsidRPr="000973F2" w:rsidRDefault="00A44E29" w:rsidP="004D5C48">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0</w:t>
            </w:r>
          </w:p>
        </w:tc>
        <w:tc>
          <w:tcPr>
            <w:tcW w:w="798" w:type="dxa"/>
            <w:noWrap/>
            <w:hideMark/>
          </w:tcPr>
          <w:p w14:paraId="636498EA" w14:textId="77777777" w:rsidR="00A44E29" w:rsidRPr="000973F2" w:rsidRDefault="00A44E29" w:rsidP="004D5C48">
            <w:pPr>
              <w:tabs>
                <w:tab w:val="decimal" w:pos="346"/>
              </w:tabs>
              <w:spacing w:before="40" w:after="4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5</w:t>
            </w:r>
          </w:p>
        </w:tc>
        <w:tc>
          <w:tcPr>
            <w:tcW w:w="799" w:type="dxa"/>
            <w:noWrap/>
            <w:hideMark/>
          </w:tcPr>
          <w:p w14:paraId="254B2D90" w14:textId="77777777" w:rsidR="00A44E29" w:rsidRPr="000973F2" w:rsidRDefault="00A44E29" w:rsidP="004D5C48">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0</w:t>
            </w:r>
          </w:p>
        </w:tc>
        <w:tc>
          <w:tcPr>
            <w:tcW w:w="799" w:type="dxa"/>
            <w:noWrap/>
            <w:hideMark/>
          </w:tcPr>
          <w:p w14:paraId="501FBE02" w14:textId="77777777" w:rsidR="00A44E29" w:rsidRPr="000973F2" w:rsidRDefault="00A44E29" w:rsidP="004D5C48">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0.3</w:t>
            </w:r>
          </w:p>
        </w:tc>
        <w:tc>
          <w:tcPr>
            <w:tcW w:w="848" w:type="dxa"/>
            <w:noWrap/>
            <w:hideMark/>
          </w:tcPr>
          <w:p w14:paraId="6CC9449D" w14:textId="77777777" w:rsidR="00A44E29" w:rsidRPr="000973F2" w:rsidRDefault="00A44E29" w:rsidP="004D5C48">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$0</w:t>
            </w:r>
          </w:p>
        </w:tc>
        <w:tc>
          <w:tcPr>
            <w:tcW w:w="848" w:type="dxa"/>
            <w:noWrap/>
            <w:hideMark/>
          </w:tcPr>
          <w:p w14:paraId="005A3ED7" w14:textId="77777777" w:rsidR="00A44E29" w:rsidRPr="000973F2" w:rsidRDefault="00A44E29" w:rsidP="004D5C48">
            <w:pPr>
              <w:tabs>
                <w:tab w:val="decimal" w:pos="496"/>
              </w:tabs>
              <w:spacing w:before="40" w:after="4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$410</w:t>
            </w:r>
          </w:p>
        </w:tc>
      </w:tr>
      <w:tr w:rsidR="00A44E29" w:rsidRPr="000973F2" w14:paraId="4A35F21D" w14:textId="77777777" w:rsidTr="00B6531F">
        <w:tblPrEx>
          <w:jc w:val="left"/>
        </w:tblPrEx>
        <w:trPr>
          <w:cantSplit/>
        </w:trPr>
        <w:tc>
          <w:tcPr>
            <w:cnfStyle w:val="001000000000" w:firstRow="0" w:lastRow="0" w:firstColumn="1" w:lastColumn="0" w:oddVBand="0" w:evenVBand="0" w:oddHBand="0" w:evenHBand="0" w:firstRowFirstColumn="0" w:firstRowLastColumn="0" w:lastRowFirstColumn="0" w:lastRowLastColumn="0"/>
            <w:tcW w:w="1245" w:type="dxa"/>
            <w:tcMar>
              <w:left w:w="115" w:type="dxa"/>
              <w:right w:w="14" w:type="dxa"/>
            </w:tcMar>
            <w:hideMark/>
          </w:tcPr>
          <w:p w14:paraId="4B22D364" w14:textId="77777777" w:rsidR="00A44E29" w:rsidRPr="000973F2" w:rsidRDefault="00A44E29" w:rsidP="008A2B1B">
            <w:pPr>
              <w:spacing w:before="40" w:after="4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Reporting</w:t>
            </w:r>
          </w:p>
        </w:tc>
        <w:tc>
          <w:tcPr>
            <w:tcW w:w="798" w:type="dxa"/>
            <w:noWrap/>
            <w:hideMark/>
          </w:tcPr>
          <w:p w14:paraId="12148DCE" w14:textId="77777777" w:rsidR="00A44E29" w:rsidRPr="000973F2" w:rsidRDefault="00A44E29" w:rsidP="004D5C48">
            <w:pPr>
              <w:spacing w:before="40" w:after="4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0</w:t>
            </w:r>
          </w:p>
        </w:tc>
        <w:tc>
          <w:tcPr>
            <w:tcW w:w="799" w:type="dxa"/>
            <w:noWrap/>
            <w:hideMark/>
          </w:tcPr>
          <w:p w14:paraId="3990CF95" w14:textId="77777777" w:rsidR="00A44E29" w:rsidRPr="000973F2" w:rsidRDefault="00A44E29" w:rsidP="004D5C48">
            <w:pPr>
              <w:spacing w:before="40" w:after="4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0</w:t>
            </w:r>
          </w:p>
        </w:tc>
        <w:tc>
          <w:tcPr>
            <w:tcW w:w="798" w:type="dxa"/>
            <w:noWrap/>
            <w:hideMark/>
          </w:tcPr>
          <w:p w14:paraId="0378665E" w14:textId="77777777" w:rsidR="00A44E29" w:rsidRPr="000973F2" w:rsidRDefault="00A44E29" w:rsidP="004D5C48">
            <w:pPr>
              <w:spacing w:before="40" w:after="4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0</w:t>
            </w:r>
          </w:p>
        </w:tc>
        <w:tc>
          <w:tcPr>
            <w:tcW w:w="799" w:type="dxa"/>
            <w:noWrap/>
            <w:hideMark/>
          </w:tcPr>
          <w:p w14:paraId="3CFBD274" w14:textId="77777777" w:rsidR="00A44E29" w:rsidRPr="000973F2" w:rsidRDefault="00A44E29" w:rsidP="004D5C48">
            <w:pPr>
              <w:spacing w:before="40" w:after="4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1.0</w:t>
            </w:r>
          </w:p>
        </w:tc>
        <w:tc>
          <w:tcPr>
            <w:tcW w:w="799" w:type="dxa"/>
            <w:noWrap/>
            <w:hideMark/>
          </w:tcPr>
          <w:p w14:paraId="23C58FB9" w14:textId="77777777" w:rsidR="00A44E29" w:rsidRPr="000973F2" w:rsidRDefault="00A44E29" w:rsidP="004D5C48">
            <w:pPr>
              <w:spacing w:before="40" w:after="4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0</w:t>
            </w:r>
          </w:p>
        </w:tc>
        <w:tc>
          <w:tcPr>
            <w:tcW w:w="798" w:type="dxa"/>
            <w:noWrap/>
            <w:hideMark/>
          </w:tcPr>
          <w:p w14:paraId="6D276F0A" w14:textId="77777777" w:rsidR="00A44E29" w:rsidRPr="000973F2" w:rsidRDefault="00A44E29" w:rsidP="004D5C48">
            <w:pPr>
              <w:tabs>
                <w:tab w:val="decimal" w:pos="346"/>
              </w:tabs>
              <w:spacing w:before="40" w:after="4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4</w:t>
            </w:r>
          </w:p>
        </w:tc>
        <w:tc>
          <w:tcPr>
            <w:tcW w:w="799" w:type="dxa"/>
            <w:noWrap/>
            <w:hideMark/>
          </w:tcPr>
          <w:p w14:paraId="1CDBD3BD" w14:textId="77777777" w:rsidR="00A44E29" w:rsidRPr="000973F2" w:rsidRDefault="00A44E29" w:rsidP="004D5C48">
            <w:pPr>
              <w:spacing w:before="40" w:after="4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0</w:t>
            </w:r>
          </w:p>
        </w:tc>
        <w:tc>
          <w:tcPr>
            <w:tcW w:w="799" w:type="dxa"/>
            <w:noWrap/>
            <w:hideMark/>
          </w:tcPr>
          <w:p w14:paraId="3856ABF0" w14:textId="77777777" w:rsidR="00A44E29" w:rsidRPr="000973F2" w:rsidRDefault="00A44E29" w:rsidP="004D5C48">
            <w:pPr>
              <w:spacing w:before="40" w:after="4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1.0</w:t>
            </w:r>
          </w:p>
        </w:tc>
        <w:tc>
          <w:tcPr>
            <w:tcW w:w="848" w:type="dxa"/>
            <w:noWrap/>
            <w:hideMark/>
          </w:tcPr>
          <w:p w14:paraId="700EEB74" w14:textId="77777777" w:rsidR="00A44E29" w:rsidRPr="000973F2" w:rsidRDefault="00A44E29" w:rsidP="004D5C48">
            <w:pPr>
              <w:spacing w:before="40" w:after="4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$0</w:t>
            </w:r>
          </w:p>
        </w:tc>
        <w:tc>
          <w:tcPr>
            <w:tcW w:w="848" w:type="dxa"/>
            <w:noWrap/>
            <w:hideMark/>
          </w:tcPr>
          <w:p w14:paraId="076BB61C" w14:textId="77777777" w:rsidR="00A44E29" w:rsidRPr="000973F2" w:rsidRDefault="00A44E29" w:rsidP="004D5C48">
            <w:pPr>
              <w:tabs>
                <w:tab w:val="decimal" w:pos="496"/>
              </w:tabs>
              <w:spacing w:before="40" w:after="4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$410</w:t>
            </w:r>
          </w:p>
        </w:tc>
      </w:tr>
      <w:tr w:rsidR="00D7694D" w:rsidRPr="000973F2" w14:paraId="13030AF8" w14:textId="77777777" w:rsidTr="00B6531F">
        <w:tblPrEx>
          <w:jc w:val="left"/>
        </w:tblPrEx>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1245" w:type="dxa"/>
            <w:noWrap/>
            <w:tcMar>
              <w:left w:w="115" w:type="dxa"/>
              <w:right w:w="14" w:type="dxa"/>
            </w:tcMar>
            <w:hideMark/>
          </w:tcPr>
          <w:p w14:paraId="1296273E" w14:textId="77777777" w:rsidR="00A44E29" w:rsidRPr="000973F2" w:rsidRDefault="00A44E29" w:rsidP="004D5C48">
            <w:pPr>
              <w:spacing w:before="40" w:after="40"/>
              <w:rPr>
                <w:rFonts w:ascii="Times New Roman" w:eastAsia="Times New Roman" w:hAnsi="Times New Roman" w:cs="Times New Roman"/>
                <w:b/>
                <w:bCs w:val="0"/>
                <w:sz w:val="18"/>
                <w:szCs w:val="18"/>
              </w:rPr>
            </w:pPr>
            <w:r w:rsidRPr="000973F2">
              <w:rPr>
                <w:rFonts w:ascii="Times New Roman" w:eastAsia="Times New Roman" w:hAnsi="Times New Roman" w:cs="Times New Roman"/>
                <w:b/>
                <w:sz w:val="18"/>
                <w:szCs w:val="18"/>
              </w:rPr>
              <w:t>Total</w:t>
            </w:r>
          </w:p>
        </w:tc>
        <w:tc>
          <w:tcPr>
            <w:tcW w:w="798" w:type="dxa"/>
            <w:noWrap/>
            <w:hideMark/>
          </w:tcPr>
          <w:p w14:paraId="256C2DCC" w14:textId="77777777" w:rsidR="00A44E29" w:rsidRPr="000973F2" w:rsidRDefault="00A44E29" w:rsidP="004D5C48">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18"/>
                <w:szCs w:val="18"/>
              </w:rPr>
            </w:pPr>
            <w:r w:rsidRPr="000973F2">
              <w:rPr>
                <w:rFonts w:ascii="Times New Roman" w:eastAsia="Times New Roman" w:hAnsi="Times New Roman" w:cs="Times New Roman"/>
                <w:b/>
                <w:bCs/>
                <w:sz w:val="18"/>
                <w:szCs w:val="18"/>
              </w:rPr>
              <w:t>0</w:t>
            </w:r>
          </w:p>
        </w:tc>
        <w:tc>
          <w:tcPr>
            <w:tcW w:w="799" w:type="dxa"/>
            <w:noWrap/>
            <w:hideMark/>
          </w:tcPr>
          <w:p w14:paraId="4225AE65" w14:textId="77777777" w:rsidR="00A44E29" w:rsidRPr="000973F2" w:rsidRDefault="00A44E29" w:rsidP="004D5C48">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18"/>
                <w:szCs w:val="18"/>
              </w:rPr>
            </w:pPr>
            <w:r w:rsidRPr="000973F2">
              <w:rPr>
                <w:rFonts w:ascii="Times New Roman" w:eastAsia="Times New Roman" w:hAnsi="Times New Roman" w:cs="Times New Roman"/>
                <w:b/>
                <w:bCs/>
                <w:sz w:val="18"/>
                <w:szCs w:val="18"/>
              </w:rPr>
              <w:t>2</w:t>
            </w:r>
          </w:p>
        </w:tc>
        <w:tc>
          <w:tcPr>
            <w:tcW w:w="798" w:type="dxa"/>
            <w:noWrap/>
            <w:hideMark/>
          </w:tcPr>
          <w:p w14:paraId="3AA036E0" w14:textId="77777777" w:rsidR="00A44E29" w:rsidRPr="000973F2" w:rsidRDefault="00A44E29" w:rsidP="004D5C48">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18"/>
                <w:szCs w:val="18"/>
              </w:rPr>
            </w:pPr>
            <w:r w:rsidRPr="000973F2">
              <w:rPr>
                <w:rFonts w:ascii="Times New Roman" w:eastAsia="Times New Roman" w:hAnsi="Times New Roman" w:cs="Times New Roman"/>
                <w:b/>
                <w:bCs/>
                <w:sz w:val="18"/>
                <w:szCs w:val="18"/>
              </w:rPr>
              <w:t>0</w:t>
            </w:r>
          </w:p>
        </w:tc>
        <w:tc>
          <w:tcPr>
            <w:tcW w:w="799" w:type="dxa"/>
            <w:noWrap/>
            <w:hideMark/>
          </w:tcPr>
          <w:p w14:paraId="2F661594" w14:textId="77777777" w:rsidR="00A44E29" w:rsidRPr="000973F2" w:rsidRDefault="00A44E29" w:rsidP="004D5C48">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18"/>
                <w:szCs w:val="18"/>
              </w:rPr>
            </w:pPr>
            <w:r w:rsidRPr="000973F2">
              <w:rPr>
                <w:rFonts w:ascii="Times New Roman" w:eastAsia="Times New Roman" w:hAnsi="Times New Roman" w:cs="Times New Roman"/>
                <w:b/>
                <w:bCs/>
                <w:sz w:val="18"/>
                <w:szCs w:val="18"/>
              </w:rPr>
              <w:t>2.7</w:t>
            </w:r>
          </w:p>
        </w:tc>
        <w:tc>
          <w:tcPr>
            <w:tcW w:w="799" w:type="dxa"/>
            <w:noWrap/>
            <w:hideMark/>
          </w:tcPr>
          <w:p w14:paraId="7A569F4F" w14:textId="77777777" w:rsidR="00A44E29" w:rsidRPr="000973F2" w:rsidRDefault="00A44E29" w:rsidP="004D5C48">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18"/>
                <w:szCs w:val="18"/>
              </w:rPr>
            </w:pPr>
            <w:r w:rsidRPr="000973F2">
              <w:rPr>
                <w:rFonts w:ascii="Times New Roman" w:eastAsia="Times New Roman" w:hAnsi="Times New Roman" w:cs="Times New Roman"/>
                <w:b/>
                <w:bCs/>
                <w:sz w:val="18"/>
                <w:szCs w:val="18"/>
              </w:rPr>
              <w:t>0</w:t>
            </w:r>
          </w:p>
        </w:tc>
        <w:tc>
          <w:tcPr>
            <w:tcW w:w="798" w:type="dxa"/>
            <w:noWrap/>
            <w:hideMark/>
          </w:tcPr>
          <w:p w14:paraId="682AA404" w14:textId="77777777" w:rsidR="00A44E29" w:rsidRPr="000973F2" w:rsidRDefault="00A44E29" w:rsidP="004D5C48">
            <w:pPr>
              <w:tabs>
                <w:tab w:val="decimal" w:pos="346"/>
              </w:tabs>
              <w:spacing w:before="40" w:after="4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18"/>
                <w:szCs w:val="18"/>
              </w:rPr>
            </w:pPr>
            <w:r w:rsidRPr="000973F2">
              <w:rPr>
                <w:rFonts w:ascii="Times New Roman" w:eastAsia="Times New Roman" w:hAnsi="Times New Roman" w:cs="Times New Roman"/>
                <w:b/>
                <w:bCs/>
                <w:sz w:val="18"/>
                <w:szCs w:val="18"/>
              </w:rPr>
              <w:t>18</w:t>
            </w:r>
          </w:p>
        </w:tc>
        <w:tc>
          <w:tcPr>
            <w:tcW w:w="799" w:type="dxa"/>
            <w:noWrap/>
            <w:hideMark/>
          </w:tcPr>
          <w:p w14:paraId="46E31348" w14:textId="77777777" w:rsidR="00A44E29" w:rsidRPr="000973F2" w:rsidRDefault="00A44E29" w:rsidP="004D5C48">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18"/>
                <w:szCs w:val="18"/>
              </w:rPr>
            </w:pPr>
            <w:r w:rsidRPr="000973F2">
              <w:rPr>
                <w:rFonts w:ascii="Times New Roman" w:eastAsia="Times New Roman" w:hAnsi="Times New Roman" w:cs="Times New Roman"/>
                <w:b/>
                <w:bCs/>
                <w:sz w:val="18"/>
                <w:szCs w:val="18"/>
              </w:rPr>
              <w:t>0</w:t>
            </w:r>
          </w:p>
        </w:tc>
        <w:tc>
          <w:tcPr>
            <w:tcW w:w="799" w:type="dxa"/>
            <w:noWrap/>
            <w:hideMark/>
          </w:tcPr>
          <w:p w14:paraId="1067853B" w14:textId="77777777" w:rsidR="00A44E29" w:rsidRPr="000973F2" w:rsidRDefault="00A44E29" w:rsidP="004D5C48">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18"/>
                <w:szCs w:val="18"/>
              </w:rPr>
            </w:pPr>
            <w:r w:rsidRPr="000973F2">
              <w:rPr>
                <w:rFonts w:ascii="Times New Roman" w:eastAsia="Times New Roman" w:hAnsi="Times New Roman" w:cs="Times New Roman"/>
                <w:b/>
                <w:bCs/>
                <w:sz w:val="18"/>
                <w:szCs w:val="18"/>
              </w:rPr>
              <w:t>2.1</w:t>
            </w:r>
          </w:p>
        </w:tc>
        <w:tc>
          <w:tcPr>
            <w:tcW w:w="848" w:type="dxa"/>
            <w:noWrap/>
            <w:hideMark/>
          </w:tcPr>
          <w:p w14:paraId="6E6ED444" w14:textId="77777777" w:rsidR="00A44E29" w:rsidRPr="000973F2" w:rsidRDefault="00A44E29" w:rsidP="004D5C48">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18"/>
                <w:szCs w:val="18"/>
              </w:rPr>
            </w:pPr>
            <w:r w:rsidRPr="000973F2">
              <w:rPr>
                <w:rFonts w:ascii="Times New Roman" w:eastAsia="Times New Roman" w:hAnsi="Times New Roman" w:cs="Times New Roman"/>
                <w:b/>
                <w:bCs/>
                <w:sz w:val="18"/>
                <w:szCs w:val="18"/>
              </w:rPr>
              <w:t>$0</w:t>
            </w:r>
          </w:p>
        </w:tc>
        <w:tc>
          <w:tcPr>
            <w:tcW w:w="848" w:type="dxa"/>
            <w:noWrap/>
            <w:hideMark/>
          </w:tcPr>
          <w:p w14:paraId="2CD21882" w14:textId="77777777" w:rsidR="00A44E29" w:rsidRPr="000973F2" w:rsidRDefault="00A44E29" w:rsidP="004D5C48">
            <w:pPr>
              <w:tabs>
                <w:tab w:val="decimal" w:pos="496"/>
              </w:tabs>
              <w:spacing w:before="40" w:after="4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18"/>
                <w:szCs w:val="18"/>
              </w:rPr>
            </w:pPr>
            <w:r w:rsidRPr="000973F2">
              <w:rPr>
                <w:rFonts w:ascii="Times New Roman" w:eastAsia="Times New Roman" w:hAnsi="Times New Roman" w:cs="Times New Roman"/>
                <w:b/>
                <w:bCs/>
                <w:sz w:val="18"/>
                <w:szCs w:val="18"/>
              </w:rPr>
              <w:t>$1,823</w:t>
            </w:r>
          </w:p>
        </w:tc>
      </w:tr>
    </w:tbl>
    <w:p w14:paraId="76C89A77" w14:textId="77777777" w:rsidR="00A44E29" w:rsidRPr="000973F2" w:rsidRDefault="00A44E29" w:rsidP="00C00E4F">
      <w:pPr>
        <w:spacing w:line="240" w:lineRule="auto"/>
        <w:rPr>
          <w:rFonts w:ascii="Times New Roman" w:hAnsi="Times New Roman" w:cs="Times New Roman"/>
        </w:rPr>
      </w:pPr>
    </w:p>
    <w:p w14:paraId="08DAC749" w14:textId="77777777" w:rsidR="00A44E29" w:rsidRPr="000973F2" w:rsidRDefault="00A44E29" w:rsidP="00C00E4F">
      <w:pPr>
        <w:spacing w:line="240" w:lineRule="auto"/>
        <w:rPr>
          <w:rFonts w:ascii="Times New Roman" w:hAnsi="Times New Roman" w:cs="Times New Roman"/>
          <w:b/>
          <w:i/>
          <w:szCs w:val="24"/>
        </w:rPr>
      </w:pPr>
      <w:r w:rsidRPr="000973F2">
        <w:rPr>
          <w:rFonts w:ascii="Times New Roman" w:hAnsi="Times New Roman" w:cs="Times New Roman"/>
          <w:b/>
          <w:i/>
          <w:szCs w:val="24"/>
        </w:rPr>
        <w:br w:type="page"/>
      </w:r>
    </w:p>
    <w:p w14:paraId="4C1BFF54" w14:textId="77777777" w:rsidR="00A44E29" w:rsidRPr="000973F2" w:rsidRDefault="00A44E29" w:rsidP="002F523E">
      <w:pPr>
        <w:pStyle w:val="Heading2"/>
      </w:pPr>
      <w:r w:rsidRPr="000973F2">
        <w:t>Capital and O&amp;M Costs for Subpart R</w:t>
      </w:r>
    </w:p>
    <w:p w14:paraId="691F221D" w14:textId="36141E07" w:rsidR="00A44E29" w:rsidRPr="000973F2" w:rsidRDefault="00C61E1A" w:rsidP="002F523E">
      <w:pPr>
        <w:pStyle w:val="BodyText"/>
      </w:pPr>
      <w:r w:rsidRPr="000973F2">
        <w:t>C</w:t>
      </w:r>
      <w:r w:rsidR="00A44E29" w:rsidRPr="000973F2">
        <w:t>apital and O&amp;M costs for Subpart R</w:t>
      </w:r>
      <w:r w:rsidRPr="000973F2">
        <w:t xml:space="preserve"> are shown in Table </w:t>
      </w:r>
      <w:r w:rsidR="002F523E" w:rsidRPr="000973F2">
        <w:t>R-</w:t>
      </w:r>
      <w:r w:rsidRPr="000973F2">
        <w:t>2</w:t>
      </w:r>
      <w:r w:rsidR="00A44E29" w:rsidRPr="000973F2">
        <w:t xml:space="preserve">. </w:t>
      </w:r>
      <w:r w:rsidRPr="000973F2">
        <w:t>C</w:t>
      </w:r>
      <w:r w:rsidR="00A44E29" w:rsidRPr="000973F2">
        <w:t xml:space="preserve">osts associated with O&amp;M </w:t>
      </w:r>
      <w:r w:rsidRPr="000973F2">
        <w:t>are expected</w:t>
      </w:r>
      <w:r w:rsidR="00A44E29" w:rsidRPr="000973F2">
        <w:t xml:space="preserve"> for recordkeeping</w:t>
      </w:r>
      <w:r w:rsidRPr="000973F2">
        <w:t>,</w:t>
      </w:r>
      <w:r w:rsidR="00A44E29" w:rsidRPr="000973F2">
        <w:t xml:space="preserve"> as discussed in the Cost Appendix Introduction, and the annual cost of sampling to determine the carbon content of their materials. No capital costs are expected for Subpart R. </w:t>
      </w:r>
    </w:p>
    <w:p w14:paraId="2D32FC42" w14:textId="31A8D933" w:rsidR="00033096" w:rsidRPr="000973F2" w:rsidRDefault="00033096" w:rsidP="002F523E">
      <w:pPr>
        <w:pStyle w:val="Tabletitle"/>
        <w:rPr>
          <w:sz w:val="32"/>
          <w:szCs w:val="24"/>
        </w:rPr>
      </w:pPr>
      <w:r w:rsidRPr="000973F2">
        <w:t xml:space="preserve">Table </w:t>
      </w:r>
      <w:r w:rsidR="002F523E" w:rsidRPr="000973F2">
        <w:t>R-</w:t>
      </w:r>
      <w:r w:rsidRPr="000973F2">
        <w:t xml:space="preserve">2. Capital and O&amp;M Costs </w:t>
      </w:r>
      <w:r w:rsidR="00460244" w:rsidRPr="000973F2">
        <w:t>–</w:t>
      </w:r>
      <w:r w:rsidR="00C908B3" w:rsidRPr="000973F2">
        <w:t xml:space="preserve"> </w:t>
      </w:r>
      <w:r w:rsidRPr="000973F2">
        <w:t>Subpart R</w:t>
      </w:r>
    </w:p>
    <w:tbl>
      <w:tblPr>
        <w:tblStyle w:val="PlainTable1"/>
        <w:tblW w:w="5000" w:type="pct"/>
        <w:tblLayout w:type="fixed"/>
        <w:tblCellMar>
          <w:left w:w="115" w:type="dxa"/>
          <w:right w:w="115" w:type="dxa"/>
        </w:tblCellMar>
        <w:tblLook w:val="04A0" w:firstRow="1" w:lastRow="0" w:firstColumn="1" w:lastColumn="0" w:noHBand="0" w:noVBand="1"/>
      </w:tblPr>
      <w:tblGrid>
        <w:gridCol w:w="2021"/>
        <w:gridCol w:w="1261"/>
        <w:gridCol w:w="1262"/>
        <w:gridCol w:w="1261"/>
        <w:gridCol w:w="1303"/>
        <w:gridCol w:w="1220"/>
        <w:gridCol w:w="1262"/>
      </w:tblGrid>
      <w:tr w:rsidR="00FF36E8" w:rsidRPr="000973F2" w14:paraId="1405EAE0" w14:textId="77777777" w:rsidTr="00B6531F">
        <w:trPr>
          <w:cnfStyle w:val="100000000000" w:firstRow="1" w:lastRow="0" w:firstColumn="0" w:lastColumn="0" w:oddVBand="0" w:evenVBand="0" w:oddHBand="0"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1965" w:type="dxa"/>
            <w:vMerge w:val="restart"/>
            <w:noWrap/>
            <w:hideMark/>
          </w:tcPr>
          <w:p w14:paraId="6CA26C52" w14:textId="7190421D" w:rsidR="00FF36E8" w:rsidRPr="000973F2" w:rsidRDefault="00FF36E8" w:rsidP="002F523E">
            <w:pPr>
              <w:spacing w:before="40" w:after="40"/>
              <w:rPr>
                <w:rFonts w:ascii="Times New Roman" w:eastAsia="Times New Roman" w:hAnsi="Times New Roman" w:cs="Times New Roman"/>
                <w:b w:val="0"/>
                <w:bCs w:val="0"/>
                <w:sz w:val="18"/>
                <w:szCs w:val="18"/>
              </w:rPr>
            </w:pPr>
            <w:r w:rsidRPr="000973F2">
              <w:rPr>
                <w:rFonts w:ascii="Times New Roman" w:eastAsia="Times New Roman" w:hAnsi="Times New Roman" w:cs="Times New Roman"/>
                <w:sz w:val="18"/>
                <w:szCs w:val="18"/>
              </w:rPr>
              <w:t>Activity</w:t>
            </w:r>
          </w:p>
        </w:tc>
        <w:tc>
          <w:tcPr>
            <w:tcW w:w="4950" w:type="dxa"/>
            <w:gridSpan w:val="4"/>
            <w:noWrap/>
            <w:hideMark/>
          </w:tcPr>
          <w:p w14:paraId="2E2274AF" w14:textId="77777777" w:rsidR="00FF36E8" w:rsidRPr="000973F2" w:rsidRDefault="00FF36E8" w:rsidP="002F523E">
            <w:pPr>
              <w:spacing w:before="40" w:after="40"/>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bCs w:val="0"/>
                <w:sz w:val="18"/>
                <w:szCs w:val="18"/>
              </w:rPr>
            </w:pPr>
            <w:r w:rsidRPr="000973F2">
              <w:rPr>
                <w:rFonts w:ascii="Times New Roman" w:eastAsia="Times New Roman" w:hAnsi="Times New Roman" w:cs="Times New Roman"/>
                <w:sz w:val="18"/>
                <w:szCs w:val="18"/>
              </w:rPr>
              <w:t>Cost Categories</w:t>
            </w:r>
          </w:p>
        </w:tc>
        <w:tc>
          <w:tcPr>
            <w:tcW w:w="2415" w:type="dxa"/>
            <w:gridSpan w:val="2"/>
            <w:hideMark/>
          </w:tcPr>
          <w:p w14:paraId="7AE330D1" w14:textId="77777777" w:rsidR="00FF36E8" w:rsidRPr="000973F2" w:rsidRDefault="00FF36E8" w:rsidP="002F523E">
            <w:pPr>
              <w:spacing w:before="40" w:after="40"/>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bCs w:val="0"/>
                <w:sz w:val="18"/>
                <w:szCs w:val="18"/>
              </w:rPr>
            </w:pPr>
            <w:r w:rsidRPr="000973F2">
              <w:rPr>
                <w:rFonts w:ascii="Times New Roman" w:eastAsia="Times New Roman" w:hAnsi="Times New Roman" w:cs="Times New Roman"/>
                <w:sz w:val="18"/>
                <w:szCs w:val="18"/>
              </w:rPr>
              <w:t xml:space="preserve">Total Capital and O&amp;M Cost per Year per Facility </w:t>
            </w:r>
          </w:p>
          <w:p w14:paraId="78D4BA8F" w14:textId="77777777" w:rsidR="00FF36E8" w:rsidRPr="000973F2" w:rsidRDefault="00FF36E8" w:rsidP="002F523E">
            <w:pPr>
              <w:spacing w:before="40" w:after="40"/>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bCs w:val="0"/>
                <w:sz w:val="18"/>
                <w:szCs w:val="18"/>
              </w:rPr>
            </w:pPr>
            <w:r w:rsidRPr="000973F2">
              <w:rPr>
                <w:rFonts w:ascii="Times New Roman" w:eastAsia="Times New Roman" w:hAnsi="Times New Roman" w:cs="Times New Roman"/>
                <w:sz w:val="18"/>
                <w:szCs w:val="18"/>
              </w:rPr>
              <w:t>(2017$)</w:t>
            </w:r>
          </w:p>
        </w:tc>
      </w:tr>
      <w:tr w:rsidR="00FF36E8" w:rsidRPr="000973F2" w14:paraId="2081834B" w14:textId="77777777" w:rsidTr="00B6531F">
        <w:tblPrEx>
          <w:jc w:val="left"/>
        </w:tblPrEx>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1965" w:type="dxa"/>
            <w:vMerge/>
            <w:noWrap/>
            <w:hideMark/>
          </w:tcPr>
          <w:p w14:paraId="42104EA5" w14:textId="6E9D9C15" w:rsidR="00FF36E8" w:rsidRPr="000973F2" w:rsidRDefault="00FF36E8" w:rsidP="002F523E">
            <w:pPr>
              <w:spacing w:before="40" w:after="40"/>
              <w:jc w:val="center"/>
              <w:rPr>
                <w:rFonts w:ascii="Times New Roman" w:eastAsia="Times New Roman" w:hAnsi="Times New Roman" w:cs="Times New Roman"/>
                <w:b/>
                <w:bCs w:val="0"/>
                <w:sz w:val="18"/>
                <w:szCs w:val="18"/>
              </w:rPr>
            </w:pPr>
          </w:p>
        </w:tc>
        <w:tc>
          <w:tcPr>
            <w:tcW w:w="1227" w:type="dxa"/>
            <w:hideMark/>
          </w:tcPr>
          <w:p w14:paraId="06A5DD6C" w14:textId="77777777" w:rsidR="00FF36E8" w:rsidRPr="000973F2" w:rsidRDefault="00FF36E8" w:rsidP="002F523E">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18"/>
                <w:szCs w:val="18"/>
              </w:rPr>
            </w:pPr>
            <w:r w:rsidRPr="000973F2">
              <w:rPr>
                <w:rFonts w:ascii="Times New Roman" w:eastAsia="Times New Roman" w:hAnsi="Times New Roman" w:cs="Times New Roman"/>
                <w:b/>
                <w:bCs/>
                <w:sz w:val="18"/>
                <w:szCs w:val="18"/>
              </w:rPr>
              <w:t>Capital Cost (2017$)</w:t>
            </w:r>
          </w:p>
        </w:tc>
        <w:tc>
          <w:tcPr>
            <w:tcW w:w="1228" w:type="dxa"/>
            <w:hideMark/>
          </w:tcPr>
          <w:p w14:paraId="242C24AB" w14:textId="77777777" w:rsidR="00FF36E8" w:rsidRPr="000973F2" w:rsidRDefault="00FF36E8" w:rsidP="002F523E">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18"/>
                <w:szCs w:val="18"/>
              </w:rPr>
            </w:pPr>
            <w:r w:rsidRPr="000973F2">
              <w:rPr>
                <w:rFonts w:ascii="Times New Roman" w:eastAsia="Times New Roman" w:hAnsi="Times New Roman" w:cs="Times New Roman"/>
                <w:b/>
                <w:bCs/>
                <w:sz w:val="18"/>
                <w:szCs w:val="18"/>
              </w:rPr>
              <w:t>Equipment Lifetime</w:t>
            </w:r>
          </w:p>
        </w:tc>
        <w:tc>
          <w:tcPr>
            <w:tcW w:w="1227" w:type="dxa"/>
            <w:hideMark/>
          </w:tcPr>
          <w:p w14:paraId="4C8782F2" w14:textId="77777777" w:rsidR="00FF36E8" w:rsidRPr="000973F2" w:rsidRDefault="00FF36E8" w:rsidP="002F523E">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18"/>
                <w:szCs w:val="18"/>
              </w:rPr>
            </w:pPr>
            <w:r w:rsidRPr="000973F2">
              <w:rPr>
                <w:rFonts w:ascii="Times New Roman" w:eastAsia="Times New Roman" w:hAnsi="Times New Roman" w:cs="Times New Roman"/>
                <w:b/>
                <w:bCs/>
                <w:sz w:val="18"/>
                <w:szCs w:val="18"/>
              </w:rPr>
              <w:t>Annualized Capital Cost (2017$/year)</w:t>
            </w:r>
          </w:p>
        </w:tc>
        <w:tc>
          <w:tcPr>
            <w:tcW w:w="1268" w:type="dxa"/>
            <w:hideMark/>
          </w:tcPr>
          <w:p w14:paraId="05B75B0E" w14:textId="77777777" w:rsidR="00FF36E8" w:rsidRPr="000973F2" w:rsidRDefault="00FF36E8" w:rsidP="002F523E">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18"/>
                <w:szCs w:val="18"/>
              </w:rPr>
            </w:pPr>
            <w:r w:rsidRPr="000973F2">
              <w:rPr>
                <w:rFonts w:ascii="Times New Roman" w:eastAsia="Times New Roman" w:hAnsi="Times New Roman" w:cs="Times New Roman"/>
                <w:b/>
                <w:bCs/>
                <w:sz w:val="18"/>
                <w:szCs w:val="18"/>
              </w:rPr>
              <w:t>O&amp;M Costs (2017$/year)</w:t>
            </w:r>
          </w:p>
        </w:tc>
        <w:tc>
          <w:tcPr>
            <w:tcW w:w="1187" w:type="dxa"/>
            <w:hideMark/>
          </w:tcPr>
          <w:p w14:paraId="662CD318" w14:textId="77777777" w:rsidR="00FF36E8" w:rsidRPr="000973F2" w:rsidRDefault="00FF36E8" w:rsidP="002F523E">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18"/>
                <w:szCs w:val="18"/>
              </w:rPr>
            </w:pPr>
            <w:r w:rsidRPr="000973F2">
              <w:rPr>
                <w:rFonts w:ascii="Times New Roman" w:eastAsia="Times New Roman" w:hAnsi="Times New Roman" w:cs="Times New Roman"/>
                <w:b/>
                <w:bCs/>
                <w:sz w:val="18"/>
                <w:szCs w:val="18"/>
              </w:rPr>
              <w:t>Initial Year</w:t>
            </w:r>
          </w:p>
        </w:tc>
        <w:tc>
          <w:tcPr>
            <w:tcW w:w="1228" w:type="dxa"/>
            <w:hideMark/>
          </w:tcPr>
          <w:p w14:paraId="60AB2399" w14:textId="77777777" w:rsidR="00FF36E8" w:rsidRPr="000973F2" w:rsidRDefault="00FF36E8" w:rsidP="002F523E">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18"/>
                <w:szCs w:val="18"/>
              </w:rPr>
            </w:pPr>
            <w:r w:rsidRPr="000973F2">
              <w:rPr>
                <w:rFonts w:ascii="Times New Roman" w:eastAsia="Times New Roman" w:hAnsi="Times New Roman" w:cs="Times New Roman"/>
                <w:b/>
                <w:bCs/>
                <w:sz w:val="18"/>
                <w:szCs w:val="18"/>
              </w:rPr>
              <w:t>Subseq. Years</w:t>
            </w:r>
          </w:p>
        </w:tc>
      </w:tr>
      <w:tr w:rsidR="003E005F" w:rsidRPr="000973F2" w14:paraId="5948BF34" w14:textId="77777777" w:rsidTr="00B6531F">
        <w:tblPrEx>
          <w:jc w:val="left"/>
        </w:tblPrEx>
        <w:trPr>
          <w:cantSplit/>
        </w:trPr>
        <w:tc>
          <w:tcPr>
            <w:cnfStyle w:val="001000000000" w:firstRow="0" w:lastRow="0" w:firstColumn="1" w:lastColumn="0" w:oddVBand="0" w:evenVBand="0" w:oddHBand="0" w:evenHBand="0" w:firstRowFirstColumn="0" w:firstRowLastColumn="0" w:lastRowFirstColumn="0" w:lastRowLastColumn="0"/>
            <w:tcW w:w="1965" w:type="dxa"/>
            <w:tcMar>
              <w:right w:w="14" w:type="dxa"/>
            </w:tcMar>
            <w:hideMark/>
          </w:tcPr>
          <w:p w14:paraId="23969E81" w14:textId="77777777" w:rsidR="003E005F" w:rsidRPr="000973F2" w:rsidRDefault="003E005F" w:rsidP="002F523E">
            <w:pPr>
              <w:spacing w:before="40" w:after="4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Equipment (selection, purchase, installation)</w:t>
            </w:r>
          </w:p>
        </w:tc>
        <w:tc>
          <w:tcPr>
            <w:tcW w:w="1227" w:type="dxa"/>
            <w:noWrap/>
            <w:hideMark/>
          </w:tcPr>
          <w:p w14:paraId="644B6E90" w14:textId="1FA6EA52" w:rsidR="003E005F" w:rsidRPr="000973F2" w:rsidRDefault="002F523E" w:rsidP="002F523E">
            <w:pPr>
              <w:spacing w:before="40" w:after="4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w:t>
            </w:r>
          </w:p>
        </w:tc>
        <w:tc>
          <w:tcPr>
            <w:tcW w:w="1228" w:type="dxa"/>
            <w:noWrap/>
          </w:tcPr>
          <w:p w14:paraId="3CDD70E4" w14:textId="37A81F72" w:rsidR="003E005F" w:rsidRPr="000973F2" w:rsidRDefault="003E005F" w:rsidP="002F523E">
            <w:pPr>
              <w:spacing w:before="40" w:after="4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p>
        </w:tc>
        <w:tc>
          <w:tcPr>
            <w:tcW w:w="1227" w:type="dxa"/>
            <w:noWrap/>
            <w:hideMark/>
          </w:tcPr>
          <w:p w14:paraId="1640A7DB" w14:textId="61781D16" w:rsidR="003E005F" w:rsidRPr="000973F2" w:rsidRDefault="002F523E" w:rsidP="002F523E">
            <w:pPr>
              <w:spacing w:before="40" w:after="4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w:t>
            </w:r>
          </w:p>
        </w:tc>
        <w:tc>
          <w:tcPr>
            <w:tcW w:w="1268" w:type="dxa"/>
            <w:noWrap/>
            <w:hideMark/>
          </w:tcPr>
          <w:p w14:paraId="49744BE8" w14:textId="5800B1E7" w:rsidR="003E005F" w:rsidRPr="000973F2" w:rsidRDefault="002F523E" w:rsidP="002F523E">
            <w:pPr>
              <w:tabs>
                <w:tab w:val="decimal" w:pos="706"/>
              </w:tabs>
              <w:spacing w:before="40" w:after="4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w:t>
            </w:r>
          </w:p>
        </w:tc>
        <w:tc>
          <w:tcPr>
            <w:tcW w:w="1187" w:type="dxa"/>
            <w:noWrap/>
            <w:hideMark/>
          </w:tcPr>
          <w:p w14:paraId="0D90EAD6" w14:textId="2DB5CDC0" w:rsidR="003E005F" w:rsidRPr="000973F2" w:rsidRDefault="002F523E" w:rsidP="002F523E">
            <w:pPr>
              <w:spacing w:before="40" w:after="4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w:t>
            </w:r>
          </w:p>
        </w:tc>
        <w:tc>
          <w:tcPr>
            <w:tcW w:w="1228" w:type="dxa"/>
            <w:noWrap/>
            <w:hideMark/>
          </w:tcPr>
          <w:p w14:paraId="0B8DC845" w14:textId="32A308A1" w:rsidR="003E005F" w:rsidRPr="000973F2" w:rsidRDefault="002F523E" w:rsidP="002F523E">
            <w:pPr>
              <w:tabs>
                <w:tab w:val="decimal" w:pos="691"/>
              </w:tabs>
              <w:spacing w:before="40" w:after="4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w:t>
            </w:r>
          </w:p>
        </w:tc>
      </w:tr>
      <w:tr w:rsidR="003E005F" w:rsidRPr="000973F2" w14:paraId="680F09AC" w14:textId="77777777" w:rsidTr="00B6531F">
        <w:tblPrEx>
          <w:jc w:val="left"/>
        </w:tblPrEx>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1965" w:type="dxa"/>
            <w:tcMar>
              <w:right w:w="14" w:type="dxa"/>
            </w:tcMar>
            <w:hideMark/>
          </w:tcPr>
          <w:p w14:paraId="56DC1A50" w14:textId="77777777" w:rsidR="003E005F" w:rsidRPr="000973F2" w:rsidRDefault="003E005F" w:rsidP="002F523E">
            <w:pPr>
              <w:spacing w:before="40" w:after="4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Performance testing</w:t>
            </w:r>
          </w:p>
        </w:tc>
        <w:tc>
          <w:tcPr>
            <w:tcW w:w="1227" w:type="dxa"/>
            <w:noWrap/>
            <w:hideMark/>
          </w:tcPr>
          <w:p w14:paraId="54EA4288" w14:textId="338EE613" w:rsidR="003E005F" w:rsidRPr="000973F2" w:rsidRDefault="002F523E" w:rsidP="002F523E">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w:t>
            </w:r>
          </w:p>
        </w:tc>
        <w:tc>
          <w:tcPr>
            <w:tcW w:w="1228" w:type="dxa"/>
            <w:noWrap/>
          </w:tcPr>
          <w:p w14:paraId="3A074295" w14:textId="47CB3613" w:rsidR="003E005F" w:rsidRPr="000973F2" w:rsidRDefault="003E005F" w:rsidP="002F523E">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p>
        </w:tc>
        <w:tc>
          <w:tcPr>
            <w:tcW w:w="1227" w:type="dxa"/>
            <w:noWrap/>
            <w:hideMark/>
          </w:tcPr>
          <w:p w14:paraId="43922C8A" w14:textId="6B15A89D" w:rsidR="003E005F" w:rsidRPr="000973F2" w:rsidRDefault="002F523E" w:rsidP="002F523E">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w:t>
            </w:r>
          </w:p>
        </w:tc>
        <w:tc>
          <w:tcPr>
            <w:tcW w:w="1268" w:type="dxa"/>
            <w:noWrap/>
            <w:hideMark/>
          </w:tcPr>
          <w:p w14:paraId="59C37EE0" w14:textId="0C1D3BBA" w:rsidR="003E005F" w:rsidRPr="000973F2" w:rsidRDefault="002F523E" w:rsidP="002F523E">
            <w:pPr>
              <w:tabs>
                <w:tab w:val="decimal" w:pos="706"/>
              </w:tabs>
              <w:spacing w:before="40" w:after="4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w:t>
            </w:r>
          </w:p>
        </w:tc>
        <w:tc>
          <w:tcPr>
            <w:tcW w:w="1187" w:type="dxa"/>
            <w:noWrap/>
            <w:hideMark/>
          </w:tcPr>
          <w:p w14:paraId="3BE741EC" w14:textId="5888F35C" w:rsidR="003E005F" w:rsidRPr="000973F2" w:rsidRDefault="002F523E" w:rsidP="002F523E">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w:t>
            </w:r>
          </w:p>
        </w:tc>
        <w:tc>
          <w:tcPr>
            <w:tcW w:w="1228" w:type="dxa"/>
            <w:noWrap/>
            <w:hideMark/>
          </w:tcPr>
          <w:p w14:paraId="31D8DFD0" w14:textId="18ECF162" w:rsidR="003E005F" w:rsidRPr="000973F2" w:rsidRDefault="002F523E" w:rsidP="002F523E">
            <w:pPr>
              <w:tabs>
                <w:tab w:val="decimal" w:pos="691"/>
              </w:tabs>
              <w:spacing w:before="40" w:after="4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w:t>
            </w:r>
          </w:p>
        </w:tc>
      </w:tr>
      <w:tr w:rsidR="00A44E29" w:rsidRPr="000973F2" w14:paraId="7FD6A1A7" w14:textId="77777777" w:rsidTr="00B6531F">
        <w:tblPrEx>
          <w:jc w:val="left"/>
        </w:tblPrEx>
        <w:trPr>
          <w:cantSplit/>
        </w:trPr>
        <w:tc>
          <w:tcPr>
            <w:cnfStyle w:val="001000000000" w:firstRow="0" w:lastRow="0" w:firstColumn="1" w:lastColumn="0" w:oddVBand="0" w:evenVBand="0" w:oddHBand="0" w:evenHBand="0" w:firstRowFirstColumn="0" w:firstRowLastColumn="0" w:lastRowFirstColumn="0" w:lastRowLastColumn="0"/>
            <w:tcW w:w="1965" w:type="dxa"/>
            <w:tcMar>
              <w:right w:w="14" w:type="dxa"/>
            </w:tcMar>
            <w:hideMark/>
          </w:tcPr>
          <w:p w14:paraId="23F306E5" w14:textId="77777777" w:rsidR="00A44E29" w:rsidRPr="000973F2" w:rsidRDefault="00A44E29" w:rsidP="002F523E">
            <w:pPr>
              <w:spacing w:before="40" w:after="4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Recordkeeping</w:t>
            </w:r>
          </w:p>
        </w:tc>
        <w:tc>
          <w:tcPr>
            <w:tcW w:w="1227" w:type="dxa"/>
            <w:noWrap/>
            <w:hideMark/>
          </w:tcPr>
          <w:p w14:paraId="3D5C38E3" w14:textId="77777777" w:rsidR="00A44E29" w:rsidRPr="000973F2" w:rsidRDefault="00A44E29" w:rsidP="002F523E">
            <w:pPr>
              <w:spacing w:before="40" w:after="4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$0</w:t>
            </w:r>
          </w:p>
        </w:tc>
        <w:tc>
          <w:tcPr>
            <w:tcW w:w="1228" w:type="dxa"/>
            <w:noWrap/>
          </w:tcPr>
          <w:p w14:paraId="15FF3110" w14:textId="77777777" w:rsidR="00A44E29" w:rsidRPr="000973F2" w:rsidRDefault="00A44E29" w:rsidP="002F523E">
            <w:pPr>
              <w:spacing w:before="40" w:after="4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p>
        </w:tc>
        <w:tc>
          <w:tcPr>
            <w:tcW w:w="1227" w:type="dxa"/>
            <w:noWrap/>
            <w:hideMark/>
          </w:tcPr>
          <w:p w14:paraId="7A09E90F" w14:textId="77777777" w:rsidR="00A44E29" w:rsidRPr="000973F2" w:rsidRDefault="00A44E29" w:rsidP="002F523E">
            <w:pPr>
              <w:spacing w:before="40" w:after="4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$0</w:t>
            </w:r>
          </w:p>
        </w:tc>
        <w:tc>
          <w:tcPr>
            <w:tcW w:w="1268" w:type="dxa"/>
            <w:noWrap/>
            <w:hideMark/>
          </w:tcPr>
          <w:p w14:paraId="693ED1C4" w14:textId="77777777" w:rsidR="00A44E29" w:rsidRPr="000973F2" w:rsidRDefault="00A44E29" w:rsidP="002F523E">
            <w:pPr>
              <w:tabs>
                <w:tab w:val="decimal" w:pos="706"/>
              </w:tabs>
              <w:spacing w:before="40" w:after="4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$50</w:t>
            </w:r>
          </w:p>
        </w:tc>
        <w:tc>
          <w:tcPr>
            <w:tcW w:w="1187" w:type="dxa"/>
            <w:noWrap/>
            <w:hideMark/>
          </w:tcPr>
          <w:p w14:paraId="2A024D02" w14:textId="77777777" w:rsidR="00A44E29" w:rsidRPr="000973F2" w:rsidRDefault="00A44E29" w:rsidP="002F523E">
            <w:pPr>
              <w:spacing w:before="40" w:after="4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$0</w:t>
            </w:r>
          </w:p>
        </w:tc>
        <w:tc>
          <w:tcPr>
            <w:tcW w:w="1228" w:type="dxa"/>
            <w:noWrap/>
            <w:hideMark/>
          </w:tcPr>
          <w:p w14:paraId="3551026B" w14:textId="77777777" w:rsidR="00A44E29" w:rsidRPr="000973F2" w:rsidRDefault="00A44E29" w:rsidP="002F523E">
            <w:pPr>
              <w:tabs>
                <w:tab w:val="decimal" w:pos="691"/>
              </w:tabs>
              <w:spacing w:before="40" w:after="4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$50</w:t>
            </w:r>
          </w:p>
        </w:tc>
      </w:tr>
      <w:tr w:rsidR="003E005F" w:rsidRPr="000973F2" w14:paraId="3576218B" w14:textId="77777777" w:rsidTr="00B6531F">
        <w:tblPrEx>
          <w:jc w:val="left"/>
        </w:tblPrEx>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1965" w:type="dxa"/>
            <w:tcMar>
              <w:right w:w="14" w:type="dxa"/>
            </w:tcMar>
            <w:hideMark/>
          </w:tcPr>
          <w:p w14:paraId="68047B40" w14:textId="77777777" w:rsidR="003E005F" w:rsidRPr="000973F2" w:rsidRDefault="003E005F" w:rsidP="002F523E">
            <w:pPr>
              <w:spacing w:before="40" w:after="4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Travel</w:t>
            </w:r>
          </w:p>
        </w:tc>
        <w:tc>
          <w:tcPr>
            <w:tcW w:w="1227" w:type="dxa"/>
            <w:noWrap/>
            <w:hideMark/>
          </w:tcPr>
          <w:p w14:paraId="0EF9428F" w14:textId="54F4F1BA" w:rsidR="003E005F" w:rsidRPr="000973F2" w:rsidRDefault="002F523E" w:rsidP="002F523E">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w:t>
            </w:r>
          </w:p>
        </w:tc>
        <w:tc>
          <w:tcPr>
            <w:tcW w:w="1228" w:type="dxa"/>
            <w:noWrap/>
          </w:tcPr>
          <w:p w14:paraId="0B7B288A" w14:textId="59E652B0" w:rsidR="003E005F" w:rsidRPr="000973F2" w:rsidRDefault="003E005F" w:rsidP="002F523E">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p>
        </w:tc>
        <w:tc>
          <w:tcPr>
            <w:tcW w:w="1227" w:type="dxa"/>
            <w:noWrap/>
            <w:hideMark/>
          </w:tcPr>
          <w:p w14:paraId="0ECEFFA4" w14:textId="53EA3E17" w:rsidR="003E005F" w:rsidRPr="000973F2" w:rsidRDefault="002F523E" w:rsidP="002F523E">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w:t>
            </w:r>
          </w:p>
        </w:tc>
        <w:tc>
          <w:tcPr>
            <w:tcW w:w="1268" w:type="dxa"/>
            <w:noWrap/>
            <w:hideMark/>
          </w:tcPr>
          <w:p w14:paraId="3631F153" w14:textId="5C5CEA2C" w:rsidR="003E005F" w:rsidRPr="000973F2" w:rsidRDefault="002F523E" w:rsidP="002F523E">
            <w:pPr>
              <w:tabs>
                <w:tab w:val="decimal" w:pos="706"/>
              </w:tabs>
              <w:spacing w:before="40" w:after="4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w:t>
            </w:r>
          </w:p>
        </w:tc>
        <w:tc>
          <w:tcPr>
            <w:tcW w:w="1187" w:type="dxa"/>
            <w:noWrap/>
            <w:hideMark/>
          </w:tcPr>
          <w:p w14:paraId="3503C037" w14:textId="73907073" w:rsidR="003E005F" w:rsidRPr="000973F2" w:rsidRDefault="002F523E" w:rsidP="002F523E">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w:t>
            </w:r>
          </w:p>
        </w:tc>
        <w:tc>
          <w:tcPr>
            <w:tcW w:w="1228" w:type="dxa"/>
            <w:noWrap/>
            <w:hideMark/>
          </w:tcPr>
          <w:p w14:paraId="6BF1C742" w14:textId="0736DD26" w:rsidR="003E005F" w:rsidRPr="000973F2" w:rsidRDefault="002F523E" w:rsidP="002F523E">
            <w:pPr>
              <w:tabs>
                <w:tab w:val="decimal" w:pos="691"/>
              </w:tabs>
              <w:spacing w:before="40" w:after="4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w:t>
            </w:r>
          </w:p>
        </w:tc>
      </w:tr>
      <w:tr w:rsidR="00A44E29" w:rsidRPr="000973F2" w14:paraId="2578D7D6" w14:textId="77777777" w:rsidTr="00B6531F">
        <w:tblPrEx>
          <w:jc w:val="left"/>
        </w:tblPrEx>
        <w:trPr>
          <w:cantSplit/>
        </w:trPr>
        <w:tc>
          <w:tcPr>
            <w:cnfStyle w:val="001000000000" w:firstRow="0" w:lastRow="0" w:firstColumn="1" w:lastColumn="0" w:oddVBand="0" w:evenVBand="0" w:oddHBand="0" w:evenHBand="0" w:firstRowFirstColumn="0" w:firstRowLastColumn="0" w:lastRowFirstColumn="0" w:lastRowLastColumn="0"/>
            <w:tcW w:w="1965" w:type="dxa"/>
            <w:tcMar>
              <w:right w:w="14" w:type="dxa"/>
            </w:tcMar>
            <w:hideMark/>
          </w:tcPr>
          <w:p w14:paraId="0FF1A100" w14:textId="56C9515D" w:rsidR="00A44E29" w:rsidRPr="000973F2" w:rsidRDefault="00A44E29" w:rsidP="002F523E">
            <w:pPr>
              <w:spacing w:before="40" w:after="4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 xml:space="preserve">Sampling </w:t>
            </w:r>
            <w:r w:rsidR="00C805F3" w:rsidRPr="000973F2">
              <w:rPr>
                <w:rFonts w:ascii="Times New Roman" w:eastAsia="Times New Roman" w:hAnsi="Times New Roman" w:cs="Times New Roman"/>
                <w:sz w:val="18"/>
                <w:szCs w:val="18"/>
              </w:rPr>
              <w:t xml:space="preserve">and Analysis </w:t>
            </w:r>
            <w:r w:rsidRPr="000973F2">
              <w:rPr>
                <w:rFonts w:ascii="Times New Roman" w:eastAsia="Times New Roman" w:hAnsi="Times New Roman" w:cs="Times New Roman"/>
                <w:sz w:val="18"/>
                <w:szCs w:val="18"/>
              </w:rPr>
              <w:t>Costs</w:t>
            </w:r>
          </w:p>
        </w:tc>
        <w:tc>
          <w:tcPr>
            <w:tcW w:w="1227" w:type="dxa"/>
            <w:noWrap/>
            <w:hideMark/>
          </w:tcPr>
          <w:p w14:paraId="43BA25C3" w14:textId="77777777" w:rsidR="00A44E29" w:rsidRPr="000973F2" w:rsidRDefault="00A44E29" w:rsidP="002F523E">
            <w:pPr>
              <w:spacing w:before="40" w:after="4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$0</w:t>
            </w:r>
          </w:p>
        </w:tc>
        <w:tc>
          <w:tcPr>
            <w:tcW w:w="1228" w:type="dxa"/>
            <w:noWrap/>
          </w:tcPr>
          <w:p w14:paraId="57477C7C" w14:textId="77777777" w:rsidR="00A44E29" w:rsidRPr="000973F2" w:rsidRDefault="00A44E29" w:rsidP="002F523E">
            <w:pPr>
              <w:spacing w:before="40" w:after="4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p>
        </w:tc>
        <w:tc>
          <w:tcPr>
            <w:tcW w:w="1227" w:type="dxa"/>
            <w:noWrap/>
            <w:hideMark/>
          </w:tcPr>
          <w:p w14:paraId="6C7F884C" w14:textId="77777777" w:rsidR="00A44E29" w:rsidRPr="000973F2" w:rsidRDefault="00A44E29" w:rsidP="002F523E">
            <w:pPr>
              <w:spacing w:before="40" w:after="4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$0</w:t>
            </w:r>
          </w:p>
        </w:tc>
        <w:tc>
          <w:tcPr>
            <w:tcW w:w="1268" w:type="dxa"/>
            <w:noWrap/>
            <w:hideMark/>
          </w:tcPr>
          <w:p w14:paraId="739CB0FC" w14:textId="77777777" w:rsidR="00A44E29" w:rsidRPr="000973F2" w:rsidRDefault="00A44E29" w:rsidP="002F523E">
            <w:pPr>
              <w:tabs>
                <w:tab w:val="decimal" w:pos="706"/>
              </w:tabs>
              <w:spacing w:before="40" w:after="4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$1,000</w:t>
            </w:r>
          </w:p>
        </w:tc>
        <w:tc>
          <w:tcPr>
            <w:tcW w:w="1187" w:type="dxa"/>
            <w:noWrap/>
            <w:hideMark/>
          </w:tcPr>
          <w:p w14:paraId="5D3EAA9B" w14:textId="77777777" w:rsidR="00A44E29" w:rsidRPr="000973F2" w:rsidRDefault="00A44E29" w:rsidP="002F523E">
            <w:pPr>
              <w:spacing w:before="40" w:after="4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$0</w:t>
            </w:r>
          </w:p>
        </w:tc>
        <w:tc>
          <w:tcPr>
            <w:tcW w:w="1228" w:type="dxa"/>
            <w:noWrap/>
            <w:hideMark/>
          </w:tcPr>
          <w:p w14:paraId="4823EE46" w14:textId="77777777" w:rsidR="00A44E29" w:rsidRPr="000973F2" w:rsidRDefault="00A44E29" w:rsidP="002F523E">
            <w:pPr>
              <w:tabs>
                <w:tab w:val="decimal" w:pos="691"/>
              </w:tabs>
              <w:spacing w:before="40" w:after="4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$1,000</w:t>
            </w:r>
          </w:p>
        </w:tc>
      </w:tr>
      <w:tr w:rsidR="00A44E29" w:rsidRPr="000973F2" w14:paraId="0F5DA651" w14:textId="77777777" w:rsidTr="00B6531F">
        <w:tblPrEx>
          <w:jc w:val="left"/>
        </w:tblPrEx>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1965" w:type="dxa"/>
            <w:tcMar>
              <w:right w:w="14" w:type="dxa"/>
            </w:tcMar>
            <w:hideMark/>
          </w:tcPr>
          <w:p w14:paraId="27FCEF81" w14:textId="77777777" w:rsidR="00A44E29" w:rsidRPr="000973F2" w:rsidRDefault="00A44E29" w:rsidP="002F523E">
            <w:pPr>
              <w:spacing w:before="40" w:after="40"/>
              <w:rPr>
                <w:rFonts w:ascii="Times New Roman" w:eastAsia="Times New Roman" w:hAnsi="Times New Roman" w:cs="Times New Roman"/>
                <w:b/>
                <w:bCs w:val="0"/>
                <w:sz w:val="18"/>
                <w:szCs w:val="18"/>
              </w:rPr>
            </w:pPr>
            <w:r w:rsidRPr="000973F2">
              <w:rPr>
                <w:rFonts w:ascii="Times New Roman" w:eastAsia="Times New Roman" w:hAnsi="Times New Roman" w:cs="Times New Roman"/>
                <w:b/>
                <w:sz w:val="18"/>
                <w:szCs w:val="18"/>
              </w:rPr>
              <w:t xml:space="preserve">Total </w:t>
            </w:r>
          </w:p>
        </w:tc>
        <w:tc>
          <w:tcPr>
            <w:tcW w:w="1227" w:type="dxa"/>
            <w:noWrap/>
            <w:hideMark/>
          </w:tcPr>
          <w:p w14:paraId="2D7CFBA2" w14:textId="77777777" w:rsidR="00A44E29" w:rsidRPr="000973F2" w:rsidRDefault="00A44E29" w:rsidP="002F523E">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$0</w:t>
            </w:r>
          </w:p>
        </w:tc>
        <w:tc>
          <w:tcPr>
            <w:tcW w:w="1228" w:type="dxa"/>
            <w:noWrap/>
            <w:hideMark/>
          </w:tcPr>
          <w:p w14:paraId="2ECE528A" w14:textId="4070E96D" w:rsidR="00A44E29" w:rsidRPr="000973F2" w:rsidRDefault="00A44E29" w:rsidP="002F523E">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p>
        </w:tc>
        <w:tc>
          <w:tcPr>
            <w:tcW w:w="1227" w:type="dxa"/>
            <w:noWrap/>
            <w:hideMark/>
          </w:tcPr>
          <w:p w14:paraId="3C41460F" w14:textId="77777777" w:rsidR="00A44E29" w:rsidRPr="000973F2" w:rsidRDefault="00A44E29" w:rsidP="002F523E">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$0</w:t>
            </w:r>
          </w:p>
        </w:tc>
        <w:tc>
          <w:tcPr>
            <w:tcW w:w="1268" w:type="dxa"/>
            <w:noWrap/>
            <w:hideMark/>
          </w:tcPr>
          <w:p w14:paraId="2F2983B1" w14:textId="77777777" w:rsidR="00A44E29" w:rsidRPr="000973F2" w:rsidRDefault="00A44E29" w:rsidP="002F523E">
            <w:pPr>
              <w:tabs>
                <w:tab w:val="decimal" w:pos="706"/>
              </w:tabs>
              <w:spacing w:before="40" w:after="4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$1,050</w:t>
            </w:r>
          </w:p>
        </w:tc>
        <w:tc>
          <w:tcPr>
            <w:tcW w:w="1187" w:type="dxa"/>
            <w:noWrap/>
            <w:hideMark/>
          </w:tcPr>
          <w:p w14:paraId="66ADF9C3" w14:textId="77777777" w:rsidR="00A44E29" w:rsidRPr="000973F2" w:rsidRDefault="00A44E29" w:rsidP="002F523E">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$0</w:t>
            </w:r>
          </w:p>
        </w:tc>
        <w:tc>
          <w:tcPr>
            <w:tcW w:w="1228" w:type="dxa"/>
            <w:noWrap/>
            <w:hideMark/>
          </w:tcPr>
          <w:p w14:paraId="3B538D39" w14:textId="77777777" w:rsidR="00A44E29" w:rsidRPr="000973F2" w:rsidRDefault="00A44E29" w:rsidP="002F523E">
            <w:pPr>
              <w:tabs>
                <w:tab w:val="decimal" w:pos="691"/>
              </w:tabs>
              <w:spacing w:before="40" w:after="4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$1,050</w:t>
            </w:r>
          </w:p>
        </w:tc>
      </w:tr>
    </w:tbl>
    <w:p w14:paraId="4861EA62" w14:textId="77777777" w:rsidR="008924D4" w:rsidRPr="000973F2" w:rsidRDefault="008924D4" w:rsidP="002F523E">
      <w:pPr>
        <w:pStyle w:val="AfterTable"/>
      </w:pPr>
    </w:p>
    <w:p w14:paraId="31480101" w14:textId="7C206512" w:rsidR="00A44E29" w:rsidRPr="000973F2" w:rsidRDefault="00A44E29" w:rsidP="002F523E">
      <w:pPr>
        <w:pStyle w:val="Heading2"/>
      </w:pPr>
      <w:r w:rsidRPr="000973F2">
        <w:t>Total Costs for Subpart R</w:t>
      </w:r>
    </w:p>
    <w:p w14:paraId="325B570F" w14:textId="634C826B" w:rsidR="00A44E29" w:rsidRPr="000973F2" w:rsidRDefault="00A44E29" w:rsidP="002F523E">
      <w:pPr>
        <w:pStyle w:val="BodyText"/>
      </w:pPr>
      <w:r w:rsidRPr="000973F2">
        <w:t>The total industry costs related to Subpart R are approximately $31,600 per year for a total of $9</w:t>
      </w:r>
      <w:r w:rsidR="00515B03" w:rsidRPr="000973F2">
        <w:t>5</w:t>
      </w:r>
      <w:r w:rsidRPr="000973F2">
        <w:t>,</w:t>
      </w:r>
      <w:r w:rsidR="00515B03" w:rsidRPr="000973F2">
        <w:t>0</w:t>
      </w:r>
      <w:r w:rsidRPr="000973F2">
        <w:t xml:space="preserve">00 over the three-year period of the ICR. Total costs are based on 11 facilities in 2019, 2020, and 2021. </w:t>
      </w:r>
    </w:p>
    <w:p w14:paraId="7527B02A" w14:textId="77777777" w:rsidR="00A44E29" w:rsidRPr="000973F2" w:rsidRDefault="00A44E29" w:rsidP="00C00E4F">
      <w:pPr>
        <w:spacing w:line="240" w:lineRule="auto"/>
        <w:rPr>
          <w:rFonts w:ascii="Times New Roman" w:hAnsi="Times New Roman" w:cs="Times New Roman"/>
        </w:rPr>
      </w:pPr>
    </w:p>
    <w:p w14:paraId="36739A84" w14:textId="5F4069B5" w:rsidR="00A44E29" w:rsidRPr="000973F2" w:rsidRDefault="00A44E29" w:rsidP="00C00E4F">
      <w:pPr>
        <w:spacing w:line="240" w:lineRule="auto"/>
        <w:rPr>
          <w:rFonts w:ascii="Times New Roman" w:hAnsi="Times New Roman" w:cs="Times New Roman"/>
        </w:rPr>
      </w:pPr>
      <w:r w:rsidRPr="000973F2">
        <w:rPr>
          <w:rFonts w:ascii="Times New Roman" w:hAnsi="Times New Roman" w:cs="Times New Roman"/>
        </w:rPr>
        <w:br w:type="page"/>
      </w:r>
    </w:p>
    <w:p w14:paraId="43CE0CB9" w14:textId="77777777" w:rsidR="0057351F" w:rsidRPr="000973F2" w:rsidRDefault="0057351F" w:rsidP="002F523E">
      <w:pPr>
        <w:pStyle w:val="Heading1"/>
        <w:rPr>
          <w:sz w:val="28"/>
        </w:rPr>
      </w:pPr>
      <w:bookmarkStart w:id="32" w:name="_Toc10715610"/>
      <w:r w:rsidRPr="000973F2">
        <w:t>Cost Appendix for Subpart S – Lime Manufacturing</w:t>
      </w:r>
      <w:bookmarkEnd w:id="32"/>
    </w:p>
    <w:p w14:paraId="52CAEDB2" w14:textId="77777777" w:rsidR="0057351F" w:rsidRPr="000973F2" w:rsidRDefault="0057351F" w:rsidP="002F523E">
      <w:pPr>
        <w:pStyle w:val="Heading2"/>
      </w:pPr>
      <w:r w:rsidRPr="000973F2">
        <w:t>Description of Subpart S</w:t>
      </w:r>
    </w:p>
    <w:p w14:paraId="4E0DB35C" w14:textId="77777777" w:rsidR="0057351F" w:rsidRPr="000973F2" w:rsidRDefault="0057351F" w:rsidP="002F523E">
      <w:pPr>
        <w:pStyle w:val="BodyText"/>
      </w:pPr>
      <w:r w:rsidRPr="000973F2">
        <w:t xml:space="preserve">For purposes of the GHGRP, the lime manufacturing source category applies to lime manufacturing plants that engage in the manufacture of a lime product by calcination of limestone, dolomite, shells or other calcareous substances. </w:t>
      </w:r>
    </w:p>
    <w:p w14:paraId="7EA6A743" w14:textId="37CD3D65" w:rsidR="0057351F" w:rsidRPr="000973F2" w:rsidRDefault="0057351F" w:rsidP="002F523E">
      <w:pPr>
        <w:pStyle w:val="BodyText"/>
      </w:pPr>
      <w:r w:rsidRPr="000973F2">
        <w:t xml:space="preserve">In RY2017, 75 facilities reported to Subpart S. The number of facilities reporting to Subpart S has not significantly changed over the past reporting years, with a maximum number of 76 facilities and a minimum number of 72 facilities per reporting year. It is anticipated that no new facilities will report to Subpart S during the </w:t>
      </w:r>
      <w:r w:rsidR="00E11847" w:rsidRPr="000973F2">
        <w:t>three-year</w:t>
      </w:r>
      <w:r w:rsidR="00C61E1A" w:rsidRPr="000973F2">
        <w:t xml:space="preserve"> period covered by</w:t>
      </w:r>
      <w:r w:rsidRPr="000973F2">
        <w:t xml:space="preserve"> this ICR. Initial costs apply only to new facilities; therefore, those costs are zero in the tables below.</w:t>
      </w:r>
    </w:p>
    <w:p w14:paraId="5A6BA32F" w14:textId="0CC0BE3A" w:rsidR="0057351F" w:rsidRPr="000973F2" w:rsidRDefault="0057351F" w:rsidP="002F523E">
      <w:pPr>
        <w:pStyle w:val="BodyText"/>
      </w:pPr>
      <w:r w:rsidRPr="000973F2">
        <w:t>The emissions reported under Subpart S are a result of calcination, when limestone—mostly calcium carbonate (CaCO</w:t>
      </w:r>
      <w:r w:rsidRPr="000973F2">
        <w:rPr>
          <w:vertAlign w:val="subscript"/>
        </w:rPr>
        <w:t>3</w:t>
      </w:r>
      <w:r w:rsidRPr="000973F2">
        <w:t>)—is roasted at high temperatures in a kiln to produce calcium oxide (CaO) and CO</w:t>
      </w:r>
      <w:r w:rsidRPr="000973F2">
        <w:rPr>
          <w:vertAlign w:val="subscript"/>
        </w:rPr>
        <w:t>2</w:t>
      </w:r>
      <w:r w:rsidRPr="000973F2">
        <w:t>. The CO</w:t>
      </w:r>
      <w:r w:rsidRPr="000973F2">
        <w:rPr>
          <w:vertAlign w:val="subscript"/>
        </w:rPr>
        <w:t>2</w:t>
      </w:r>
      <w:r w:rsidRPr="000973F2">
        <w:t xml:space="preserve"> emissions are released as a gas to the atmosphere. For facilities that use a CEMS, the CO</w:t>
      </w:r>
      <w:r w:rsidRPr="000973F2">
        <w:rPr>
          <w:vertAlign w:val="subscript"/>
        </w:rPr>
        <w:t>2</w:t>
      </w:r>
      <w:r w:rsidRPr="000973F2">
        <w:t xml:space="preserve"> process emissions and combustion emissions from lime kilns are reported under Subpart S. For facilities that do not use a CEMS, the CO</w:t>
      </w:r>
      <w:r w:rsidRPr="000973F2">
        <w:rPr>
          <w:vertAlign w:val="subscript"/>
        </w:rPr>
        <w:t>2</w:t>
      </w:r>
      <w:r w:rsidRPr="000973F2">
        <w:t xml:space="preserve"> combustion emissions, CH</w:t>
      </w:r>
      <w:r w:rsidRPr="000973F2">
        <w:rPr>
          <w:vertAlign w:val="subscript"/>
        </w:rPr>
        <w:t>4</w:t>
      </w:r>
      <w:r w:rsidRPr="000973F2">
        <w:t xml:space="preserve"> combustion emissions, and N</w:t>
      </w:r>
      <w:r w:rsidRPr="000973F2">
        <w:rPr>
          <w:vertAlign w:val="subscript"/>
        </w:rPr>
        <w:t>2</w:t>
      </w:r>
      <w:r w:rsidRPr="000973F2">
        <w:t xml:space="preserve">O combustion emissions from lime kilns are reported under Subpart </w:t>
      </w:r>
      <w:r w:rsidR="00DE2AEF" w:rsidRPr="000973F2">
        <w:t>C</w:t>
      </w:r>
      <w:r w:rsidRPr="000973F2">
        <w:t>. In RY2017 there were five facilities using a CEMS and 70 facilities not using a CEMS. Lime manufacturing facilities that do not use a CEMS are required to measure and report the CaO and Magnesium oxide (MgO) content of each type of lime and calcined byproduct/waste produced. Facilities using CEMS are not required to measure and report the CaO and MgO content of each type of lime and calcined byproduct/waste produced, as such there are only costs related to recordkeeping and reporting for Subpart S facilities that use a CEMS.</w:t>
      </w:r>
    </w:p>
    <w:p w14:paraId="6E602700" w14:textId="77777777" w:rsidR="0057351F" w:rsidRPr="000973F2" w:rsidRDefault="0057351F" w:rsidP="00C00E4F">
      <w:pPr>
        <w:spacing w:line="240" w:lineRule="auto"/>
        <w:rPr>
          <w:rFonts w:ascii="Times New Roman" w:hAnsi="Times New Roman" w:cs="Times New Roman"/>
          <w:szCs w:val="24"/>
        </w:rPr>
      </w:pPr>
    </w:p>
    <w:p w14:paraId="79C51E89" w14:textId="77777777" w:rsidR="0057351F" w:rsidRPr="000973F2" w:rsidRDefault="0057351F" w:rsidP="00C00E4F">
      <w:pPr>
        <w:spacing w:line="240" w:lineRule="auto"/>
        <w:rPr>
          <w:rFonts w:ascii="Times New Roman" w:hAnsi="Times New Roman" w:cs="Times New Roman"/>
          <w:b/>
          <w:i/>
        </w:rPr>
      </w:pPr>
      <w:r w:rsidRPr="000973F2">
        <w:rPr>
          <w:rFonts w:ascii="Times New Roman" w:hAnsi="Times New Roman" w:cs="Times New Roman"/>
          <w:b/>
          <w:i/>
        </w:rPr>
        <w:br w:type="page"/>
      </w:r>
    </w:p>
    <w:p w14:paraId="1A317192" w14:textId="594E764F" w:rsidR="0057351F" w:rsidRPr="000973F2" w:rsidRDefault="0057351F" w:rsidP="00E11847">
      <w:pPr>
        <w:pStyle w:val="Heading2"/>
      </w:pPr>
      <w:r w:rsidRPr="000973F2">
        <w:t xml:space="preserve">Labor Costs for Subpart S </w:t>
      </w:r>
      <w:r w:rsidR="00460244" w:rsidRPr="000973F2">
        <w:t>–</w:t>
      </w:r>
      <w:r w:rsidRPr="000973F2">
        <w:t xml:space="preserve"> CEMS Option</w:t>
      </w:r>
    </w:p>
    <w:p w14:paraId="75DEB4FE" w14:textId="72A2BDF1" w:rsidR="0057351F" w:rsidRPr="000973F2" w:rsidRDefault="0057351F" w:rsidP="00E11847">
      <w:pPr>
        <w:pStyle w:val="BodyText"/>
      </w:pPr>
      <w:r w:rsidRPr="000973F2">
        <w:t xml:space="preserve">Table </w:t>
      </w:r>
      <w:r w:rsidR="00E11847" w:rsidRPr="000973F2">
        <w:t>S-</w:t>
      </w:r>
      <w:r w:rsidRPr="000973F2">
        <w:t xml:space="preserve">1a below includes the labor hours for each of the five facilities using a CEMS to comply with Subpart S. </w:t>
      </w:r>
      <w:r w:rsidR="00C61E1A" w:rsidRPr="000973F2">
        <w:t xml:space="preserve">There is no advantage to installing CEMS for GHGRP purposes; therefore, </w:t>
      </w:r>
      <w:r w:rsidRPr="000973F2">
        <w:t>CEMS were most likely installed as part of another state or Federal regulation</w:t>
      </w:r>
      <w:r w:rsidR="00C61E1A" w:rsidRPr="000973F2">
        <w:t>.</w:t>
      </w:r>
      <w:r w:rsidRPr="000973F2">
        <w:t xml:space="preserve"> </w:t>
      </w:r>
      <w:r w:rsidR="00C61E1A" w:rsidRPr="000973F2">
        <w:t>A</w:t>
      </w:r>
      <w:r w:rsidRPr="000973F2">
        <w:t>s stated above, facilities using CEMS are not required to measure and report the CaO and MgO content of each type of lime and calcined byproduct/waste produced; therefore, the only labor costs attributed to the GHGRP are those for reporting and recordkeeping. Recordkeeping and reporting hours for Subpart S are based on the “medium bin” designation, as discussed in the Cost Appendix Introduction.</w:t>
      </w:r>
    </w:p>
    <w:p w14:paraId="45F005BA" w14:textId="6D968EC7" w:rsidR="00C8088F" w:rsidRPr="000973F2" w:rsidRDefault="00C8088F" w:rsidP="00B92AFE">
      <w:pPr>
        <w:spacing w:line="240" w:lineRule="auto"/>
        <w:rPr>
          <w:rFonts w:ascii="Times New Roman" w:hAnsi="Times New Roman" w:cs="Times New Roman"/>
        </w:rPr>
      </w:pPr>
      <w:r w:rsidRPr="000973F2">
        <w:rPr>
          <w:rFonts w:ascii="Times New Roman" w:hAnsi="Times New Roman" w:cs="Times New Roman"/>
          <w:b/>
        </w:rPr>
        <w:t xml:space="preserve">Table </w:t>
      </w:r>
      <w:r w:rsidR="00E11847" w:rsidRPr="000973F2">
        <w:rPr>
          <w:rFonts w:ascii="Times New Roman" w:hAnsi="Times New Roman" w:cs="Times New Roman"/>
          <w:b/>
        </w:rPr>
        <w:t>S-</w:t>
      </w:r>
      <w:r w:rsidRPr="000973F2">
        <w:rPr>
          <w:rFonts w:ascii="Times New Roman" w:hAnsi="Times New Roman" w:cs="Times New Roman"/>
          <w:b/>
        </w:rPr>
        <w:t xml:space="preserve">1a. Labor Costs </w:t>
      </w:r>
      <w:r w:rsidR="00B960CC" w:rsidRPr="000973F2">
        <w:rPr>
          <w:rFonts w:ascii="Times New Roman" w:hAnsi="Times New Roman" w:cs="Times New Roman"/>
          <w:b/>
        </w:rPr>
        <w:t>–</w:t>
      </w:r>
      <w:r w:rsidRPr="000973F2">
        <w:rPr>
          <w:rFonts w:ascii="Times New Roman" w:hAnsi="Times New Roman" w:cs="Times New Roman"/>
          <w:b/>
        </w:rPr>
        <w:t xml:space="preserve"> Subpart S – CEMS Option</w:t>
      </w:r>
    </w:p>
    <w:tbl>
      <w:tblPr>
        <w:tblStyle w:val="PlainTable1"/>
        <w:tblW w:w="5000" w:type="pct"/>
        <w:jc w:val="left"/>
        <w:tblLayout w:type="fixed"/>
        <w:tblCellMar>
          <w:left w:w="115" w:type="dxa"/>
          <w:right w:w="115" w:type="dxa"/>
        </w:tblCellMar>
        <w:tblLook w:val="04A0" w:firstRow="1" w:lastRow="0" w:firstColumn="1" w:lastColumn="0" w:noHBand="0" w:noVBand="1"/>
      </w:tblPr>
      <w:tblGrid>
        <w:gridCol w:w="1743"/>
        <w:gridCol w:w="775"/>
        <w:gridCol w:w="775"/>
        <w:gridCol w:w="776"/>
        <w:gridCol w:w="775"/>
        <w:gridCol w:w="775"/>
        <w:gridCol w:w="776"/>
        <w:gridCol w:w="775"/>
        <w:gridCol w:w="776"/>
        <w:gridCol w:w="741"/>
        <w:gridCol w:w="903"/>
      </w:tblGrid>
      <w:tr w:rsidR="00C8088F" w:rsidRPr="000973F2" w14:paraId="693F501A" w14:textId="77777777" w:rsidTr="00E11847">
        <w:trPr>
          <w:cnfStyle w:val="100000000000" w:firstRow="1" w:lastRow="0" w:firstColumn="0" w:lastColumn="0" w:oddVBand="0" w:evenVBand="0" w:oddHBand="0" w:evenHBand="0" w:firstRowFirstColumn="0" w:firstRowLastColumn="0" w:lastRowFirstColumn="0" w:lastRowLastColumn="0"/>
          <w:cantSplit/>
          <w:jc w:val="left"/>
        </w:trPr>
        <w:tc>
          <w:tcPr>
            <w:cnfStyle w:val="001000000000" w:firstRow="0" w:lastRow="0" w:firstColumn="1" w:lastColumn="0" w:oddVBand="0" w:evenVBand="0" w:oddHBand="0" w:evenHBand="0" w:firstRowFirstColumn="0" w:firstRowLastColumn="0" w:lastRowFirstColumn="0" w:lastRowLastColumn="0"/>
            <w:tcW w:w="1695" w:type="dxa"/>
            <w:vMerge w:val="restart"/>
            <w:noWrap/>
            <w:vAlign w:val="top"/>
            <w:hideMark/>
          </w:tcPr>
          <w:p w14:paraId="24188371" w14:textId="77777777" w:rsidR="00C8088F" w:rsidRPr="000973F2" w:rsidRDefault="00C8088F" w:rsidP="00E11847">
            <w:pPr>
              <w:spacing w:before="40" w:after="40"/>
              <w:rPr>
                <w:rFonts w:ascii="Times New Roman" w:eastAsia="Times New Roman" w:hAnsi="Times New Roman" w:cs="Times New Roman"/>
                <w:b w:val="0"/>
                <w:bCs w:val="0"/>
                <w:sz w:val="18"/>
                <w:szCs w:val="18"/>
              </w:rPr>
            </w:pPr>
            <w:r w:rsidRPr="000973F2">
              <w:rPr>
                <w:rFonts w:ascii="Times New Roman" w:eastAsia="Times New Roman" w:hAnsi="Times New Roman" w:cs="Times New Roman"/>
                <w:sz w:val="18"/>
                <w:szCs w:val="18"/>
              </w:rPr>
              <w:t>Activity</w:t>
            </w:r>
          </w:p>
        </w:tc>
        <w:tc>
          <w:tcPr>
            <w:tcW w:w="6035" w:type="dxa"/>
            <w:gridSpan w:val="8"/>
            <w:noWrap/>
            <w:vAlign w:val="top"/>
            <w:hideMark/>
          </w:tcPr>
          <w:p w14:paraId="5B775BD8" w14:textId="77777777" w:rsidR="00C8088F" w:rsidRPr="000973F2" w:rsidRDefault="00C8088F" w:rsidP="00E11847">
            <w:pPr>
              <w:spacing w:before="40" w:after="40"/>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bCs w:val="0"/>
                <w:sz w:val="18"/>
                <w:szCs w:val="18"/>
              </w:rPr>
            </w:pPr>
            <w:r w:rsidRPr="000973F2">
              <w:rPr>
                <w:rFonts w:ascii="Times New Roman" w:eastAsia="Times New Roman" w:hAnsi="Times New Roman" w:cs="Times New Roman"/>
                <w:sz w:val="18"/>
                <w:szCs w:val="18"/>
              </w:rPr>
              <w:t>Labor Rates (per hour)</w:t>
            </w:r>
          </w:p>
        </w:tc>
        <w:tc>
          <w:tcPr>
            <w:tcW w:w="1600" w:type="dxa"/>
            <w:gridSpan w:val="2"/>
            <w:vMerge w:val="restart"/>
            <w:vAlign w:val="top"/>
            <w:hideMark/>
          </w:tcPr>
          <w:p w14:paraId="049BD4CC" w14:textId="51F72A7F" w:rsidR="00C8088F" w:rsidRPr="000973F2" w:rsidRDefault="00C8088F" w:rsidP="00E11847">
            <w:pPr>
              <w:spacing w:before="40" w:after="40"/>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bCs w:val="0"/>
                <w:sz w:val="18"/>
                <w:szCs w:val="18"/>
              </w:rPr>
            </w:pPr>
            <w:r w:rsidRPr="000973F2">
              <w:rPr>
                <w:rFonts w:ascii="Times New Roman" w:eastAsia="Times New Roman" w:hAnsi="Times New Roman" w:cs="Times New Roman"/>
                <w:sz w:val="18"/>
                <w:szCs w:val="18"/>
              </w:rPr>
              <w:t>Total Labor Cost per Year per Facility</w:t>
            </w:r>
            <w:r w:rsidR="00E11847" w:rsidRPr="000973F2">
              <w:rPr>
                <w:rFonts w:ascii="Times New Roman" w:eastAsia="Times New Roman" w:hAnsi="Times New Roman" w:cs="Times New Roman"/>
                <w:sz w:val="18"/>
                <w:szCs w:val="18"/>
              </w:rPr>
              <w:t xml:space="preserve"> </w:t>
            </w:r>
            <w:r w:rsidRPr="000973F2">
              <w:rPr>
                <w:rFonts w:ascii="Times New Roman" w:eastAsia="Times New Roman" w:hAnsi="Times New Roman" w:cs="Times New Roman"/>
                <w:sz w:val="18"/>
                <w:szCs w:val="18"/>
              </w:rPr>
              <w:t>(2017$)</w:t>
            </w:r>
          </w:p>
        </w:tc>
      </w:tr>
      <w:tr w:rsidR="00C8088F" w:rsidRPr="000973F2" w14:paraId="7D0C0050" w14:textId="77777777" w:rsidTr="00E11847">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1695" w:type="dxa"/>
            <w:vMerge/>
            <w:hideMark/>
          </w:tcPr>
          <w:p w14:paraId="3CF0E5EA" w14:textId="77777777" w:rsidR="00C8088F" w:rsidRPr="000973F2" w:rsidRDefault="00C8088F" w:rsidP="00E11847">
            <w:pPr>
              <w:spacing w:before="40" w:after="40"/>
              <w:rPr>
                <w:rFonts w:ascii="Times New Roman" w:eastAsia="Times New Roman" w:hAnsi="Times New Roman" w:cs="Times New Roman"/>
                <w:b/>
                <w:bCs w:val="0"/>
                <w:sz w:val="18"/>
                <w:szCs w:val="18"/>
              </w:rPr>
            </w:pPr>
          </w:p>
        </w:tc>
        <w:tc>
          <w:tcPr>
            <w:tcW w:w="1508" w:type="dxa"/>
            <w:gridSpan w:val="2"/>
            <w:noWrap/>
            <w:hideMark/>
          </w:tcPr>
          <w:p w14:paraId="00B10E24" w14:textId="77777777" w:rsidR="00C8088F" w:rsidRPr="000973F2" w:rsidRDefault="00C8088F" w:rsidP="00E11847">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18"/>
                <w:szCs w:val="18"/>
              </w:rPr>
            </w:pPr>
            <w:r w:rsidRPr="000973F2">
              <w:rPr>
                <w:rFonts w:ascii="Times New Roman" w:eastAsia="Times New Roman" w:hAnsi="Times New Roman" w:cs="Times New Roman"/>
                <w:b/>
                <w:bCs/>
                <w:sz w:val="18"/>
                <w:szCs w:val="18"/>
              </w:rPr>
              <w:t>Lawyer</w:t>
            </w:r>
          </w:p>
        </w:tc>
        <w:tc>
          <w:tcPr>
            <w:tcW w:w="1509" w:type="dxa"/>
            <w:gridSpan w:val="2"/>
            <w:noWrap/>
            <w:hideMark/>
          </w:tcPr>
          <w:p w14:paraId="23781D2C" w14:textId="77777777" w:rsidR="00C8088F" w:rsidRPr="000973F2" w:rsidRDefault="00C8088F" w:rsidP="00E11847">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18"/>
                <w:szCs w:val="18"/>
              </w:rPr>
            </w:pPr>
            <w:r w:rsidRPr="000973F2">
              <w:rPr>
                <w:rFonts w:ascii="Times New Roman" w:eastAsia="Times New Roman" w:hAnsi="Times New Roman" w:cs="Times New Roman"/>
                <w:b/>
                <w:bCs/>
                <w:sz w:val="18"/>
                <w:szCs w:val="18"/>
              </w:rPr>
              <w:t>Industrial Manager</w:t>
            </w:r>
          </w:p>
        </w:tc>
        <w:tc>
          <w:tcPr>
            <w:tcW w:w="1509" w:type="dxa"/>
            <w:gridSpan w:val="2"/>
            <w:hideMark/>
          </w:tcPr>
          <w:p w14:paraId="7BB2053B" w14:textId="3734863E" w:rsidR="00C8088F" w:rsidRPr="000973F2" w:rsidRDefault="00C8088F" w:rsidP="00E11847">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18"/>
                <w:szCs w:val="18"/>
              </w:rPr>
            </w:pPr>
            <w:r w:rsidRPr="000973F2">
              <w:rPr>
                <w:rFonts w:ascii="Times New Roman" w:eastAsia="Times New Roman" w:hAnsi="Times New Roman" w:cs="Times New Roman"/>
                <w:b/>
                <w:bCs/>
                <w:sz w:val="18"/>
                <w:szCs w:val="18"/>
              </w:rPr>
              <w:t>Industrial Engineer/</w:t>
            </w:r>
            <w:r w:rsidR="00E11847" w:rsidRPr="000973F2">
              <w:rPr>
                <w:rFonts w:ascii="Times New Roman" w:eastAsia="Times New Roman" w:hAnsi="Times New Roman" w:cs="Times New Roman"/>
                <w:b/>
                <w:bCs/>
                <w:sz w:val="18"/>
                <w:szCs w:val="18"/>
              </w:rPr>
              <w:t xml:space="preserve"> </w:t>
            </w:r>
            <w:r w:rsidRPr="000973F2">
              <w:rPr>
                <w:rFonts w:ascii="Times New Roman" w:eastAsia="Times New Roman" w:hAnsi="Times New Roman" w:cs="Times New Roman"/>
                <w:b/>
                <w:bCs/>
                <w:sz w:val="18"/>
                <w:szCs w:val="18"/>
              </w:rPr>
              <w:t>Technician</w:t>
            </w:r>
          </w:p>
        </w:tc>
        <w:tc>
          <w:tcPr>
            <w:tcW w:w="1509" w:type="dxa"/>
            <w:gridSpan w:val="2"/>
            <w:hideMark/>
          </w:tcPr>
          <w:p w14:paraId="777FA184" w14:textId="77777777" w:rsidR="00C8088F" w:rsidRPr="000973F2" w:rsidRDefault="00C8088F" w:rsidP="00E11847">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18"/>
                <w:szCs w:val="18"/>
              </w:rPr>
            </w:pPr>
            <w:r w:rsidRPr="000973F2">
              <w:rPr>
                <w:rFonts w:ascii="Times New Roman" w:eastAsia="Times New Roman" w:hAnsi="Times New Roman" w:cs="Times New Roman"/>
                <w:b/>
                <w:bCs/>
                <w:sz w:val="18"/>
                <w:szCs w:val="18"/>
              </w:rPr>
              <w:t>Administrative Support</w:t>
            </w:r>
          </w:p>
        </w:tc>
        <w:tc>
          <w:tcPr>
            <w:tcW w:w="1600" w:type="dxa"/>
            <w:gridSpan w:val="2"/>
            <w:vMerge/>
            <w:hideMark/>
          </w:tcPr>
          <w:p w14:paraId="7664332B" w14:textId="77777777" w:rsidR="00C8088F" w:rsidRPr="000973F2" w:rsidRDefault="00C8088F" w:rsidP="00E11847">
            <w:pPr>
              <w:spacing w:before="40" w:after="4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18"/>
                <w:szCs w:val="18"/>
              </w:rPr>
            </w:pPr>
          </w:p>
        </w:tc>
      </w:tr>
      <w:tr w:rsidR="00C8088F" w:rsidRPr="000973F2" w14:paraId="17CF432A" w14:textId="77777777" w:rsidTr="00E11847">
        <w:trPr>
          <w:cantSplit/>
        </w:trPr>
        <w:tc>
          <w:tcPr>
            <w:cnfStyle w:val="001000000000" w:firstRow="0" w:lastRow="0" w:firstColumn="1" w:lastColumn="0" w:oddVBand="0" w:evenVBand="0" w:oddHBand="0" w:evenHBand="0" w:firstRowFirstColumn="0" w:firstRowLastColumn="0" w:lastRowFirstColumn="0" w:lastRowLastColumn="0"/>
            <w:tcW w:w="1695" w:type="dxa"/>
            <w:vMerge/>
            <w:hideMark/>
          </w:tcPr>
          <w:p w14:paraId="5074FB77" w14:textId="77777777" w:rsidR="00C8088F" w:rsidRPr="000973F2" w:rsidRDefault="00C8088F" w:rsidP="00E11847">
            <w:pPr>
              <w:spacing w:before="40" w:after="40"/>
              <w:rPr>
                <w:rFonts w:ascii="Times New Roman" w:eastAsia="Times New Roman" w:hAnsi="Times New Roman" w:cs="Times New Roman"/>
                <w:b/>
                <w:bCs w:val="0"/>
                <w:sz w:val="18"/>
                <w:szCs w:val="18"/>
              </w:rPr>
            </w:pPr>
          </w:p>
        </w:tc>
        <w:tc>
          <w:tcPr>
            <w:tcW w:w="1508" w:type="dxa"/>
            <w:gridSpan w:val="2"/>
            <w:noWrap/>
            <w:hideMark/>
          </w:tcPr>
          <w:p w14:paraId="32DFEE8E" w14:textId="77777777" w:rsidR="00C8088F" w:rsidRPr="000973F2" w:rsidRDefault="00C8088F" w:rsidP="00E11847">
            <w:pPr>
              <w:spacing w:before="40" w:after="4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sz w:val="18"/>
                <w:szCs w:val="18"/>
              </w:rPr>
            </w:pPr>
            <w:r w:rsidRPr="000973F2">
              <w:rPr>
                <w:rFonts w:ascii="Times New Roman" w:eastAsia="Times New Roman" w:hAnsi="Times New Roman" w:cs="Times New Roman"/>
                <w:b/>
                <w:bCs/>
                <w:sz w:val="18"/>
                <w:szCs w:val="18"/>
              </w:rPr>
              <w:t xml:space="preserve">$112.23 </w:t>
            </w:r>
          </w:p>
        </w:tc>
        <w:tc>
          <w:tcPr>
            <w:tcW w:w="1509" w:type="dxa"/>
            <w:gridSpan w:val="2"/>
            <w:noWrap/>
            <w:hideMark/>
          </w:tcPr>
          <w:p w14:paraId="53CF8DC2" w14:textId="77777777" w:rsidR="00C8088F" w:rsidRPr="000973F2" w:rsidRDefault="00C8088F" w:rsidP="00E11847">
            <w:pPr>
              <w:spacing w:before="40" w:after="4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sz w:val="18"/>
                <w:szCs w:val="18"/>
              </w:rPr>
            </w:pPr>
            <w:r w:rsidRPr="000973F2">
              <w:rPr>
                <w:rFonts w:ascii="Times New Roman" w:eastAsia="Times New Roman" w:hAnsi="Times New Roman" w:cs="Times New Roman"/>
                <w:b/>
                <w:bCs/>
                <w:sz w:val="18"/>
                <w:szCs w:val="18"/>
              </w:rPr>
              <w:t xml:space="preserve">$87.45 </w:t>
            </w:r>
          </w:p>
        </w:tc>
        <w:tc>
          <w:tcPr>
            <w:tcW w:w="1509" w:type="dxa"/>
            <w:gridSpan w:val="2"/>
            <w:noWrap/>
            <w:hideMark/>
          </w:tcPr>
          <w:p w14:paraId="5C7E32F3" w14:textId="77777777" w:rsidR="00C8088F" w:rsidRPr="000973F2" w:rsidRDefault="00C8088F" w:rsidP="00E11847">
            <w:pPr>
              <w:spacing w:before="40" w:after="4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sz w:val="18"/>
                <w:szCs w:val="18"/>
              </w:rPr>
            </w:pPr>
            <w:r w:rsidRPr="000973F2">
              <w:rPr>
                <w:rFonts w:ascii="Times New Roman" w:eastAsia="Times New Roman" w:hAnsi="Times New Roman" w:cs="Times New Roman"/>
                <w:b/>
                <w:bCs/>
                <w:sz w:val="18"/>
                <w:szCs w:val="18"/>
              </w:rPr>
              <w:t xml:space="preserve">$71.45 </w:t>
            </w:r>
          </w:p>
        </w:tc>
        <w:tc>
          <w:tcPr>
            <w:tcW w:w="1509" w:type="dxa"/>
            <w:gridSpan w:val="2"/>
            <w:noWrap/>
            <w:hideMark/>
          </w:tcPr>
          <w:p w14:paraId="70758E8F" w14:textId="77777777" w:rsidR="00C8088F" w:rsidRPr="000973F2" w:rsidRDefault="00C8088F" w:rsidP="00E11847">
            <w:pPr>
              <w:spacing w:before="40" w:after="4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sz w:val="18"/>
                <w:szCs w:val="18"/>
              </w:rPr>
            </w:pPr>
            <w:r w:rsidRPr="000973F2">
              <w:rPr>
                <w:rFonts w:ascii="Times New Roman" w:eastAsia="Times New Roman" w:hAnsi="Times New Roman" w:cs="Times New Roman"/>
                <w:b/>
                <w:bCs/>
                <w:sz w:val="18"/>
                <w:szCs w:val="18"/>
              </w:rPr>
              <w:t xml:space="preserve">$36.28 </w:t>
            </w:r>
          </w:p>
        </w:tc>
        <w:tc>
          <w:tcPr>
            <w:tcW w:w="1600" w:type="dxa"/>
            <w:gridSpan w:val="2"/>
            <w:vMerge/>
            <w:hideMark/>
          </w:tcPr>
          <w:p w14:paraId="68EAEE92" w14:textId="77777777" w:rsidR="00C8088F" w:rsidRPr="000973F2" w:rsidRDefault="00C8088F" w:rsidP="00E11847">
            <w:pPr>
              <w:spacing w:before="40" w:after="4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sz w:val="18"/>
                <w:szCs w:val="18"/>
              </w:rPr>
            </w:pPr>
          </w:p>
        </w:tc>
      </w:tr>
      <w:tr w:rsidR="00C8088F" w:rsidRPr="000973F2" w14:paraId="55339F53" w14:textId="77777777" w:rsidTr="00E11847">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1695" w:type="dxa"/>
            <w:vMerge/>
            <w:hideMark/>
          </w:tcPr>
          <w:p w14:paraId="055059DC" w14:textId="77777777" w:rsidR="00C8088F" w:rsidRPr="000973F2" w:rsidRDefault="00C8088F" w:rsidP="00E11847">
            <w:pPr>
              <w:spacing w:before="40" w:after="40"/>
              <w:rPr>
                <w:rFonts w:ascii="Times New Roman" w:eastAsia="Times New Roman" w:hAnsi="Times New Roman" w:cs="Times New Roman"/>
                <w:b/>
                <w:bCs w:val="0"/>
                <w:sz w:val="18"/>
                <w:szCs w:val="18"/>
              </w:rPr>
            </w:pPr>
          </w:p>
        </w:tc>
        <w:tc>
          <w:tcPr>
            <w:tcW w:w="754" w:type="dxa"/>
            <w:tcMar>
              <w:left w:w="14" w:type="dxa"/>
              <w:right w:w="14" w:type="dxa"/>
            </w:tcMar>
            <w:hideMark/>
          </w:tcPr>
          <w:p w14:paraId="25986979" w14:textId="711340BC" w:rsidR="00C8088F" w:rsidRPr="000973F2" w:rsidRDefault="00C8088F" w:rsidP="00E11847">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18"/>
                <w:szCs w:val="18"/>
              </w:rPr>
            </w:pPr>
            <w:r w:rsidRPr="000973F2">
              <w:rPr>
                <w:rFonts w:ascii="Times New Roman" w:eastAsia="Times New Roman" w:hAnsi="Times New Roman" w:cs="Times New Roman"/>
                <w:b/>
                <w:bCs/>
                <w:sz w:val="18"/>
                <w:szCs w:val="18"/>
              </w:rPr>
              <w:t xml:space="preserve">Initial </w:t>
            </w:r>
            <w:r w:rsidR="00132320" w:rsidRPr="000973F2">
              <w:rPr>
                <w:rFonts w:ascii="Times New Roman" w:eastAsia="Times New Roman" w:hAnsi="Times New Roman" w:cs="Times New Roman"/>
                <w:b/>
                <w:bCs/>
                <w:sz w:val="18"/>
                <w:szCs w:val="18"/>
              </w:rPr>
              <w:t>Year Hours</w:t>
            </w:r>
          </w:p>
        </w:tc>
        <w:tc>
          <w:tcPr>
            <w:tcW w:w="754" w:type="dxa"/>
            <w:tcMar>
              <w:left w:w="14" w:type="dxa"/>
              <w:right w:w="14" w:type="dxa"/>
            </w:tcMar>
            <w:hideMark/>
          </w:tcPr>
          <w:p w14:paraId="6313036C" w14:textId="77777777" w:rsidR="00C8088F" w:rsidRPr="000973F2" w:rsidRDefault="00C8088F" w:rsidP="00E11847">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18"/>
                <w:szCs w:val="18"/>
              </w:rPr>
            </w:pPr>
            <w:r w:rsidRPr="000973F2">
              <w:rPr>
                <w:rFonts w:ascii="Times New Roman" w:eastAsia="Times New Roman" w:hAnsi="Times New Roman" w:cs="Times New Roman"/>
                <w:b/>
                <w:bCs/>
                <w:sz w:val="18"/>
                <w:szCs w:val="18"/>
              </w:rPr>
              <w:t>Subseq. Year Hours</w:t>
            </w:r>
          </w:p>
        </w:tc>
        <w:tc>
          <w:tcPr>
            <w:tcW w:w="755" w:type="dxa"/>
            <w:tcMar>
              <w:left w:w="14" w:type="dxa"/>
              <w:right w:w="14" w:type="dxa"/>
            </w:tcMar>
            <w:hideMark/>
          </w:tcPr>
          <w:p w14:paraId="5771C3E8" w14:textId="5222D175" w:rsidR="00C8088F" w:rsidRPr="000973F2" w:rsidRDefault="00C8088F" w:rsidP="00E11847">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18"/>
                <w:szCs w:val="18"/>
              </w:rPr>
            </w:pPr>
            <w:r w:rsidRPr="000973F2">
              <w:rPr>
                <w:rFonts w:ascii="Times New Roman" w:eastAsia="Times New Roman" w:hAnsi="Times New Roman" w:cs="Times New Roman"/>
                <w:b/>
                <w:bCs/>
                <w:sz w:val="18"/>
                <w:szCs w:val="18"/>
              </w:rPr>
              <w:t xml:space="preserve">Initial </w:t>
            </w:r>
            <w:r w:rsidR="00132320" w:rsidRPr="000973F2">
              <w:rPr>
                <w:rFonts w:ascii="Times New Roman" w:eastAsia="Times New Roman" w:hAnsi="Times New Roman" w:cs="Times New Roman"/>
                <w:b/>
                <w:bCs/>
                <w:sz w:val="18"/>
                <w:szCs w:val="18"/>
              </w:rPr>
              <w:t>Year Hours</w:t>
            </w:r>
          </w:p>
        </w:tc>
        <w:tc>
          <w:tcPr>
            <w:tcW w:w="754" w:type="dxa"/>
            <w:tcMar>
              <w:left w:w="14" w:type="dxa"/>
              <w:right w:w="14" w:type="dxa"/>
            </w:tcMar>
            <w:hideMark/>
          </w:tcPr>
          <w:p w14:paraId="4275702D" w14:textId="77777777" w:rsidR="00C8088F" w:rsidRPr="000973F2" w:rsidRDefault="00C8088F" w:rsidP="00E11847">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18"/>
                <w:szCs w:val="18"/>
              </w:rPr>
            </w:pPr>
            <w:r w:rsidRPr="000973F2">
              <w:rPr>
                <w:rFonts w:ascii="Times New Roman" w:eastAsia="Times New Roman" w:hAnsi="Times New Roman" w:cs="Times New Roman"/>
                <w:b/>
                <w:bCs/>
                <w:sz w:val="18"/>
                <w:szCs w:val="18"/>
              </w:rPr>
              <w:t>Subseq. Year Hours</w:t>
            </w:r>
          </w:p>
        </w:tc>
        <w:tc>
          <w:tcPr>
            <w:tcW w:w="754" w:type="dxa"/>
            <w:tcMar>
              <w:left w:w="14" w:type="dxa"/>
              <w:right w:w="14" w:type="dxa"/>
            </w:tcMar>
            <w:hideMark/>
          </w:tcPr>
          <w:p w14:paraId="4A7F186E" w14:textId="171962BD" w:rsidR="00C8088F" w:rsidRPr="000973F2" w:rsidRDefault="00C8088F" w:rsidP="00E11847">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18"/>
                <w:szCs w:val="18"/>
              </w:rPr>
            </w:pPr>
            <w:r w:rsidRPr="000973F2">
              <w:rPr>
                <w:rFonts w:ascii="Times New Roman" w:eastAsia="Times New Roman" w:hAnsi="Times New Roman" w:cs="Times New Roman"/>
                <w:b/>
                <w:bCs/>
                <w:sz w:val="18"/>
                <w:szCs w:val="18"/>
              </w:rPr>
              <w:t xml:space="preserve">Initial </w:t>
            </w:r>
            <w:r w:rsidR="00132320" w:rsidRPr="000973F2">
              <w:rPr>
                <w:rFonts w:ascii="Times New Roman" w:eastAsia="Times New Roman" w:hAnsi="Times New Roman" w:cs="Times New Roman"/>
                <w:b/>
                <w:bCs/>
                <w:sz w:val="18"/>
                <w:szCs w:val="18"/>
              </w:rPr>
              <w:t>Year Hours</w:t>
            </w:r>
          </w:p>
        </w:tc>
        <w:tc>
          <w:tcPr>
            <w:tcW w:w="755" w:type="dxa"/>
            <w:tcMar>
              <w:left w:w="14" w:type="dxa"/>
              <w:right w:w="14" w:type="dxa"/>
            </w:tcMar>
            <w:hideMark/>
          </w:tcPr>
          <w:p w14:paraId="08D90FD4" w14:textId="77777777" w:rsidR="00C8088F" w:rsidRPr="000973F2" w:rsidRDefault="00C8088F" w:rsidP="00E11847">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18"/>
                <w:szCs w:val="18"/>
              </w:rPr>
            </w:pPr>
            <w:r w:rsidRPr="000973F2">
              <w:rPr>
                <w:rFonts w:ascii="Times New Roman" w:eastAsia="Times New Roman" w:hAnsi="Times New Roman" w:cs="Times New Roman"/>
                <w:b/>
                <w:bCs/>
                <w:sz w:val="18"/>
                <w:szCs w:val="18"/>
              </w:rPr>
              <w:t>Subseq. Year Hours</w:t>
            </w:r>
          </w:p>
        </w:tc>
        <w:tc>
          <w:tcPr>
            <w:tcW w:w="754" w:type="dxa"/>
            <w:tcMar>
              <w:left w:w="14" w:type="dxa"/>
              <w:right w:w="14" w:type="dxa"/>
            </w:tcMar>
            <w:hideMark/>
          </w:tcPr>
          <w:p w14:paraId="75D0E6E0" w14:textId="12276238" w:rsidR="00C8088F" w:rsidRPr="000973F2" w:rsidRDefault="00C8088F" w:rsidP="00E11847">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18"/>
                <w:szCs w:val="18"/>
              </w:rPr>
            </w:pPr>
            <w:r w:rsidRPr="000973F2">
              <w:rPr>
                <w:rFonts w:ascii="Times New Roman" w:eastAsia="Times New Roman" w:hAnsi="Times New Roman" w:cs="Times New Roman"/>
                <w:b/>
                <w:bCs/>
                <w:sz w:val="18"/>
                <w:szCs w:val="18"/>
              </w:rPr>
              <w:t xml:space="preserve">Initial </w:t>
            </w:r>
            <w:r w:rsidR="00132320" w:rsidRPr="000973F2">
              <w:rPr>
                <w:rFonts w:ascii="Times New Roman" w:eastAsia="Times New Roman" w:hAnsi="Times New Roman" w:cs="Times New Roman"/>
                <w:b/>
                <w:bCs/>
                <w:sz w:val="18"/>
                <w:szCs w:val="18"/>
              </w:rPr>
              <w:t>Year Hours</w:t>
            </w:r>
          </w:p>
        </w:tc>
        <w:tc>
          <w:tcPr>
            <w:tcW w:w="755" w:type="dxa"/>
            <w:tcMar>
              <w:left w:w="14" w:type="dxa"/>
              <w:right w:w="14" w:type="dxa"/>
            </w:tcMar>
            <w:hideMark/>
          </w:tcPr>
          <w:p w14:paraId="6A361E14" w14:textId="77777777" w:rsidR="00C8088F" w:rsidRPr="000973F2" w:rsidRDefault="00C8088F" w:rsidP="00E11847">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18"/>
                <w:szCs w:val="18"/>
              </w:rPr>
            </w:pPr>
            <w:r w:rsidRPr="000973F2">
              <w:rPr>
                <w:rFonts w:ascii="Times New Roman" w:eastAsia="Times New Roman" w:hAnsi="Times New Roman" w:cs="Times New Roman"/>
                <w:b/>
                <w:bCs/>
                <w:sz w:val="18"/>
                <w:szCs w:val="18"/>
              </w:rPr>
              <w:t>Subseq. Year Hours</w:t>
            </w:r>
          </w:p>
        </w:tc>
        <w:tc>
          <w:tcPr>
            <w:tcW w:w="721" w:type="dxa"/>
            <w:tcMar>
              <w:left w:w="14" w:type="dxa"/>
              <w:right w:w="14" w:type="dxa"/>
            </w:tcMar>
            <w:hideMark/>
          </w:tcPr>
          <w:p w14:paraId="392CC51A" w14:textId="77777777" w:rsidR="00C8088F" w:rsidRPr="000973F2" w:rsidRDefault="00C8088F" w:rsidP="00E11847">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18"/>
                <w:szCs w:val="18"/>
              </w:rPr>
            </w:pPr>
            <w:r w:rsidRPr="000973F2">
              <w:rPr>
                <w:rFonts w:ascii="Times New Roman" w:eastAsia="Times New Roman" w:hAnsi="Times New Roman" w:cs="Times New Roman"/>
                <w:b/>
                <w:bCs/>
                <w:sz w:val="18"/>
                <w:szCs w:val="18"/>
              </w:rPr>
              <w:t>Initial Year</w:t>
            </w:r>
          </w:p>
        </w:tc>
        <w:tc>
          <w:tcPr>
            <w:tcW w:w="879" w:type="dxa"/>
            <w:tcMar>
              <w:left w:w="14" w:type="dxa"/>
              <w:right w:w="14" w:type="dxa"/>
            </w:tcMar>
            <w:hideMark/>
          </w:tcPr>
          <w:p w14:paraId="05923623" w14:textId="77777777" w:rsidR="00C8088F" w:rsidRPr="000973F2" w:rsidRDefault="00C8088F" w:rsidP="00E11847">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18"/>
                <w:szCs w:val="18"/>
              </w:rPr>
            </w:pPr>
            <w:r w:rsidRPr="000973F2">
              <w:rPr>
                <w:rFonts w:ascii="Times New Roman" w:eastAsia="Times New Roman" w:hAnsi="Times New Roman" w:cs="Times New Roman"/>
                <w:b/>
                <w:bCs/>
                <w:sz w:val="18"/>
                <w:szCs w:val="18"/>
              </w:rPr>
              <w:t>Subseq. Year</w:t>
            </w:r>
          </w:p>
        </w:tc>
      </w:tr>
      <w:tr w:rsidR="00C8088F" w:rsidRPr="000973F2" w14:paraId="31A37F7A" w14:textId="77777777" w:rsidTr="00E11847">
        <w:trPr>
          <w:cantSplit/>
        </w:trPr>
        <w:tc>
          <w:tcPr>
            <w:cnfStyle w:val="001000000000" w:firstRow="0" w:lastRow="0" w:firstColumn="1" w:lastColumn="0" w:oddVBand="0" w:evenVBand="0" w:oddHBand="0" w:evenHBand="0" w:firstRowFirstColumn="0" w:firstRowLastColumn="0" w:lastRowFirstColumn="0" w:lastRowLastColumn="0"/>
            <w:tcW w:w="1695" w:type="dxa"/>
            <w:tcMar>
              <w:right w:w="14" w:type="dxa"/>
            </w:tcMar>
            <w:hideMark/>
          </w:tcPr>
          <w:p w14:paraId="38741F59" w14:textId="77777777" w:rsidR="00C8088F" w:rsidRPr="000973F2" w:rsidRDefault="00C8088F" w:rsidP="00E11847">
            <w:pPr>
              <w:spacing w:before="40" w:after="4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Planning</w:t>
            </w:r>
          </w:p>
        </w:tc>
        <w:tc>
          <w:tcPr>
            <w:tcW w:w="754" w:type="dxa"/>
            <w:noWrap/>
            <w:hideMark/>
          </w:tcPr>
          <w:p w14:paraId="59E37E42" w14:textId="77777777" w:rsidR="00C8088F" w:rsidRPr="000973F2" w:rsidRDefault="00C8088F" w:rsidP="00E11847">
            <w:pPr>
              <w:spacing w:before="40" w:after="4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0</w:t>
            </w:r>
          </w:p>
        </w:tc>
        <w:tc>
          <w:tcPr>
            <w:tcW w:w="754" w:type="dxa"/>
            <w:noWrap/>
            <w:hideMark/>
          </w:tcPr>
          <w:p w14:paraId="076F9D85" w14:textId="77777777" w:rsidR="00C8088F" w:rsidRPr="000973F2" w:rsidRDefault="00C8088F" w:rsidP="00E11847">
            <w:pPr>
              <w:spacing w:before="40" w:after="4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0</w:t>
            </w:r>
          </w:p>
        </w:tc>
        <w:tc>
          <w:tcPr>
            <w:tcW w:w="755" w:type="dxa"/>
            <w:noWrap/>
            <w:hideMark/>
          </w:tcPr>
          <w:p w14:paraId="5FFAAE3D" w14:textId="77777777" w:rsidR="00C8088F" w:rsidRPr="000973F2" w:rsidRDefault="00C8088F" w:rsidP="00E11847">
            <w:pPr>
              <w:spacing w:before="40" w:after="4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0</w:t>
            </w:r>
          </w:p>
        </w:tc>
        <w:tc>
          <w:tcPr>
            <w:tcW w:w="754" w:type="dxa"/>
            <w:noWrap/>
            <w:hideMark/>
          </w:tcPr>
          <w:p w14:paraId="2EFB3978" w14:textId="77777777" w:rsidR="00C8088F" w:rsidRPr="000973F2" w:rsidRDefault="00C8088F" w:rsidP="00E11847">
            <w:pPr>
              <w:tabs>
                <w:tab w:val="decimal" w:pos="226"/>
              </w:tabs>
              <w:spacing w:before="40" w:after="4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0</w:t>
            </w:r>
          </w:p>
        </w:tc>
        <w:tc>
          <w:tcPr>
            <w:tcW w:w="754" w:type="dxa"/>
            <w:noWrap/>
            <w:hideMark/>
          </w:tcPr>
          <w:p w14:paraId="76D88C3A" w14:textId="77777777" w:rsidR="00C8088F" w:rsidRPr="000973F2" w:rsidRDefault="00C8088F" w:rsidP="00E11847">
            <w:pPr>
              <w:spacing w:before="40" w:after="4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0</w:t>
            </w:r>
          </w:p>
        </w:tc>
        <w:tc>
          <w:tcPr>
            <w:tcW w:w="755" w:type="dxa"/>
            <w:noWrap/>
            <w:hideMark/>
          </w:tcPr>
          <w:p w14:paraId="6C8892E4" w14:textId="77777777" w:rsidR="00C8088F" w:rsidRPr="000973F2" w:rsidRDefault="00C8088F" w:rsidP="00E11847">
            <w:pPr>
              <w:tabs>
                <w:tab w:val="decimal" w:pos="286"/>
              </w:tabs>
              <w:spacing w:before="40" w:after="4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0</w:t>
            </w:r>
          </w:p>
        </w:tc>
        <w:tc>
          <w:tcPr>
            <w:tcW w:w="754" w:type="dxa"/>
            <w:noWrap/>
            <w:hideMark/>
          </w:tcPr>
          <w:p w14:paraId="4E781E8D" w14:textId="77777777" w:rsidR="00C8088F" w:rsidRPr="000973F2" w:rsidRDefault="00C8088F" w:rsidP="00E11847">
            <w:pPr>
              <w:spacing w:before="40" w:after="4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0</w:t>
            </w:r>
          </w:p>
        </w:tc>
        <w:tc>
          <w:tcPr>
            <w:tcW w:w="755" w:type="dxa"/>
            <w:noWrap/>
            <w:hideMark/>
          </w:tcPr>
          <w:p w14:paraId="7138EC73" w14:textId="77777777" w:rsidR="00C8088F" w:rsidRPr="000973F2" w:rsidRDefault="00C8088F" w:rsidP="00E11847">
            <w:pPr>
              <w:tabs>
                <w:tab w:val="decimal" w:pos="271"/>
              </w:tabs>
              <w:spacing w:before="40" w:after="4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0</w:t>
            </w:r>
          </w:p>
        </w:tc>
        <w:tc>
          <w:tcPr>
            <w:tcW w:w="721" w:type="dxa"/>
            <w:noWrap/>
            <w:hideMark/>
          </w:tcPr>
          <w:p w14:paraId="2FD3E0D4" w14:textId="04DB75A1" w:rsidR="00C8088F" w:rsidRPr="000973F2" w:rsidRDefault="00C8088F" w:rsidP="00E11847">
            <w:pPr>
              <w:spacing w:before="40" w:after="4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$0</w:t>
            </w:r>
          </w:p>
        </w:tc>
        <w:tc>
          <w:tcPr>
            <w:tcW w:w="879" w:type="dxa"/>
            <w:noWrap/>
            <w:hideMark/>
          </w:tcPr>
          <w:p w14:paraId="6E64F1F7" w14:textId="723C65E5" w:rsidR="00C8088F" w:rsidRPr="000973F2" w:rsidRDefault="00C8088F" w:rsidP="00E11847">
            <w:pPr>
              <w:tabs>
                <w:tab w:val="decimal" w:pos="511"/>
              </w:tabs>
              <w:spacing w:before="40" w:after="4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$0</w:t>
            </w:r>
          </w:p>
        </w:tc>
      </w:tr>
      <w:tr w:rsidR="00C8088F" w:rsidRPr="000973F2" w14:paraId="6B8A16DA" w14:textId="77777777" w:rsidTr="00E11847">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1695" w:type="dxa"/>
            <w:tcMar>
              <w:right w:w="14" w:type="dxa"/>
            </w:tcMar>
            <w:hideMark/>
          </w:tcPr>
          <w:p w14:paraId="685E30C7" w14:textId="77777777" w:rsidR="00C8088F" w:rsidRPr="000973F2" w:rsidRDefault="00C8088F" w:rsidP="00E11847">
            <w:pPr>
              <w:spacing w:before="40" w:after="4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QA/QC</w:t>
            </w:r>
          </w:p>
        </w:tc>
        <w:tc>
          <w:tcPr>
            <w:tcW w:w="754" w:type="dxa"/>
            <w:noWrap/>
            <w:hideMark/>
          </w:tcPr>
          <w:p w14:paraId="00822ABF" w14:textId="77777777" w:rsidR="00C8088F" w:rsidRPr="000973F2" w:rsidRDefault="00C8088F" w:rsidP="00E11847">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0</w:t>
            </w:r>
          </w:p>
        </w:tc>
        <w:tc>
          <w:tcPr>
            <w:tcW w:w="754" w:type="dxa"/>
            <w:noWrap/>
            <w:hideMark/>
          </w:tcPr>
          <w:p w14:paraId="1CAE9CCF" w14:textId="77777777" w:rsidR="00C8088F" w:rsidRPr="000973F2" w:rsidRDefault="00C8088F" w:rsidP="00E11847">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0</w:t>
            </w:r>
          </w:p>
        </w:tc>
        <w:tc>
          <w:tcPr>
            <w:tcW w:w="755" w:type="dxa"/>
            <w:noWrap/>
            <w:hideMark/>
          </w:tcPr>
          <w:p w14:paraId="71C2663F" w14:textId="77777777" w:rsidR="00C8088F" w:rsidRPr="000973F2" w:rsidRDefault="00C8088F" w:rsidP="00E11847">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0</w:t>
            </w:r>
          </w:p>
        </w:tc>
        <w:tc>
          <w:tcPr>
            <w:tcW w:w="754" w:type="dxa"/>
            <w:noWrap/>
            <w:hideMark/>
          </w:tcPr>
          <w:p w14:paraId="49D97B4E" w14:textId="77777777" w:rsidR="00C8088F" w:rsidRPr="000973F2" w:rsidRDefault="00C8088F" w:rsidP="00E11847">
            <w:pPr>
              <w:tabs>
                <w:tab w:val="decimal" w:pos="226"/>
              </w:tabs>
              <w:spacing w:before="40" w:after="4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0</w:t>
            </w:r>
          </w:p>
        </w:tc>
        <w:tc>
          <w:tcPr>
            <w:tcW w:w="754" w:type="dxa"/>
            <w:noWrap/>
            <w:hideMark/>
          </w:tcPr>
          <w:p w14:paraId="375C3DAC" w14:textId="77777777" w:rsidR="00C8088F" w:rsidRPr="000973F2" w:rsidRDefault="00C8088F" w:rsidP="00E11847">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0</w:t>
            </w:r>
          </w:p>
        </w:tc>
        <w:tc>
          <w:tcPr>
            <w:tcW w:w="755" w:type="dxa"/>
            <w:noWrap/>
            <w:hideMark/>
          </w:tcPr>
          <w:p w14:paraId="68B6BD42" w14:textId="77777777" w:rsidR="00C8088F" w:rsidRPr="000973F2" w:rsidRDefault="00C8088F" w:rsidP="00E11847">
            <w:pPr>
              <w:tabs>
                <w:tab w:val="decimal" w:pos="286"/>
              </w:tabs>
              <w:spacing w:before="40" w:after="4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0</w:t>
            </w:r>
          </w:p>
        </w:tc>
        <w:tc>
          <w:tcPr>
            <w:tcW w:w="754" w:type="dxa"/>
            <w:noWrap/>
            <w:hideMark/>
          </w:tcPr>
          <w:p w14:paraId="45877BA5" w14:textId="77777777" w:rsidR="00C8088F" w:rsidRPr="000973F2" w:rsidRDefault="00C8088F" w:rsidP="00E11847">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0</w:t>
            </w:r>
          </w:p>
        </w:tc>
        <w:tc>
          <w:tcPr>
            <w:tcW w:w="755" w:type="dxa"/>
            <w:noWrap/>
            <w:hideMark/>
          </w:tcPr>
          <w:p w14:paraId="799F4DA4" w14:textId="77777777" w:rsidR="00C8088F" w:rsidRPr="000973F2" w:rsidRDefault="00C8088F" w:rsidP="00E11847">
            <w:pPr>
              <w:tabs>
                <w:tab w:val="decimal" w:pos="271"/>
              </w:tabs>
              <w:spacing w:before="40" w:after="4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0</w:t>
            </w:r>
          </w:p>
        </w:tc>
        <w:tc>
          <w:tcPr>
            <w:tcW w:w="721" w:type="dxa"/>
            <w:noWrap/>
            <w:hideMark/>
          </w:tcPr>
          <w:p w14:paraId="6F729193" w14:textId="121DFC2E" w:rsidR="00C8088F" w:rsidRPr="000973F2" w:rsidRDefault="00C8088F" w:rsidP="00E11847">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$0</w:t>
            </w:r>
          </w:p>
        </w:tc>
        <w:tc>
          <w:tcPr>
            <w:tcW w:w="879" w:type="dxa"/>
            <w:noWrap/>
            <w:hideMark/>
          </w:tcPr>
          <w:p w14:paraId="19479E21" w14:textId="23601919" w:rsidR="00C8088F" w:rsidRPr="000973F2" w:rsidRDefault="00C8088F" w:rsidP="00E11847">
            <w:pPr>
              <w:tabs>
                <w:tab w:val="decimal" w:pos="511"/>
              </w:tabs>
              <w:spacing w:before="40" w:after="4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$0</w:t>
            </w:r>
          </w:p>
        </w:tc>
      </w:tr>
      <w:tr w:rsidR="00C8088F" w:rsidRPr="000973F2" w14:paraId="43D8CC12" w14:textId="77777777" w:rsidTr="00E11847">
        <w:trPr>
          <w:cantSplit/>
        </w:trPr>
        <w:tc>
          <w:tcPr>
            <w:cnfStyle w:val="001000000000" w:firstRow="0" w:lastRow="0" w:firstColumn="1" w:lastColumn="0" w:oddVBand="0" w:evenVBand="0" w:oddHBand="0" w:evenHBand="0" w:firstRowFirstColumn="0" w:firstRowLastColumn="0" w:lastRowFirstColumn="0" w:lastRowLastColumn="0"/>
            <w:tcW w:w="1695" w:type="dxa"/>
            <w:tcMar>
              <w:right w:w="14" w:type="dxa"/>
            </w:tcMar>
            <w:hideMark/>
          </w:tcPr>
          <w:p w14:paraId="2B9B923F" w14:textId="77777777" w:rsidR="00C8088F" w:rsidRPr="000973F2" w:rsidRDefault="00C8088F" w:rsidP="00E11847">
            <w:pPr>
              <w:spacing w:before="40" w:after="4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Recordkeeping</w:t>
            </w:r>
          </w:p>
        </w:tc>
        <w:tc>
          <w:tcPr>
            <w:tcW w:w="754" w:type="dxa"/>
            <w:noWrap/>
            <w:hideMark/>
          </w:tcPr>
          <w:p w14:paraId="0A4647D7" w14:textId="77777777" w:rsidR="00C8088F" w:rsidRPr="000973F2" w:rsidRDefault="00C8088F" w:rsidP="00E11847">
            <w:pPr>
              <w:spacing w:before="40" w:after="4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0</w:t>
            </w:r>
          </w:p>
        </w:tc>
        <w:tc>
          <w:tcPr>
            <w:tcW w:w="754" w:type="dxa"/>
            <w:noWrap/>
            <w:hideMark/>
          </w:tcPr>
          <w:p w14:paraId="453ECB7C" w14:textId="77777777" w:rsidR="00C8088F" w:rsidRPr="000973F2" w:rsidRDefault="00C8088F" w:rsidP="00E11847">
            <w:pPr>
              <w:spacing w:before="40" w:after="4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0</w:t>
            </w:r>
          </w:p>
        </w:tc>
        <w:tc>
          <w:tcPr>
            <w:tcW w:w="755" w:type="dxa"/>
            <w:noWrap/>
            <w:hideMark/>
          </w:tcPr>
          <w:p w14:paraId="15113FB9" w14:textId="77777777" w:rsidR="00C8088F" w:rsidRPr="000973F2" w:rsidRDefault="00C8088F" w:rsidP="00E11847">
            <w:pPr>
              <w:spacing w:before="40" w:after="4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0</w:t>
            </w:r>
          </w:p>
        </w:tc>
        <w:tc>
          <w:tcPr>
            <w:tcW w:w="754" w:type="dxa"/>
            <w:noWrap/>
            <w:hideMark/>
          </w:tcPr>
          <w:p w14:paraId="51C6505B" w14:textId="77777777" w:rsidR="00C8088F" w:rsidRPr="000973F2" w:rsidRDefault="00C8088F" w:rsidP="00E11847">
            <w:pPr>
              <w:tabs>
                <w:tab w:val="decimal" w:pos="226"/>
              </w:tabs>
              <w:spacing w:before="40" w:after="4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0.5</w:t>
            </w:r>
          </w:p>
        </w:tc>
        <w:tc>
          <w:tcPr>
            <w:tcW w:w="754" w:type="dxa"/>
            <w:noWrap/>
            <w:hideMark/>
          </w:tcPr>
          <w:p w14:paraId="40059D15" w14:textId="77777777" w:rsidR="00C8088F" w:rsidRPr="000973F2" w:rsidRDefault="00C8088F" w:rsidP="00E11847">
            <w:pPr>
              <w:spacing w:before="40" w:after="4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0</w:t>
            </w:r>
          </w:p>
        </w:tc>
        <w:tc>
          <w:tcPr>
            <w:tcW w:w="755" w:type="dxa"/>
            <w:noWrap/>
            <w:hideMark/>
          </w:tcPr>
          <w:p w14:paraId="3268094B" w14:textId="77777777" w:rsidR="00C8088F" w:rsidRPr="000973F2" w:rsidRDefault="00C8088F" w:rsidP="00E11847">
            <w:pPr>
              <w:tabs>
                <w:tab w:val="decimal" w:pos="286"/>
              </w:tabs>
              <w:spacing w:before="40" w:after="4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5</w:t>
            </w:r>
          </w:p>
        </w:tc>
        <w:tc>
          <w:tcPr>
            <w:tcW w:w="754" w:type="dxa"/>
            <w:noWrap/>
            <w:hideMark/>
          </w:tcPr>
          <w:p w14:paraId="5C3953D7" w14:textId="77777777" w:rsidR="00C8088F" w:rsidRPr="000973F2" w:rsidRDefault="00C8088F" w:rsidP="00E11847">
            <w:pPr>
              <w:spacing w:before="40" w:after="4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0</w:t>
            </w:r>
          </w:p>
        </w:tc>
        <w:tc>
          <w:tcPr>
            <w:tcW w:w="755" w:type="dxa"/>
            <w:noWrap/>
            <w:hideMark/>
          </w:tcPr>
          <w:p w14:paraId="1E5257E4" w14:textId="77777777" w:rsidR="00C8088F" w:rsidRPr="000973F2" w:rsidRDefault="00C8088F" w:rsidP="00E11847">
            <w:pPr>
              <w:tabs>
                <w:tab w:val="decimal" w:pos="271"/>
              </w:tabs>
              <w:spacing w:before="40" w:after="4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0.5</w:t>
            </w:r>
          </w:p>
        </w:tc>
        <w:tc>
          <w:tcPr>
            <w:tcW w:w="721" w:type="dxa"/>
            <w:noWrap/>
            <w:hideMark/>
          </w:tcPr>
          <w:p w14:paraId="5802982C" w14:textId="38AFAA40" w:rsidR="00C8088F" w:rsidRPr="000973F2" w:rsidRDefault="00C8088F" w:rsidP="00E11847">
            <w:pPr>
              <w:spacing w:before="40" w:after="4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$0</w:t>
            </w:r>
          </w:p>
        </w:tc>
        <w:tc>
          <w:tcPr>
            <w:tcW w:w="879" w:type="dxa"/>
            <w:noWrap/>
            <w:hideMark/>
          </w:tcPr>
          <w:p w14:paraId="7694C1B9" w14:textId="46232EBE" w:rsidR="00C8088F" w:rsidRPr="000973F2" w:rsidRDefault="00C8088F" w:rsidP="00E11847">
            <w:pPr>
              <w:tabs>
                <w:tab w:val="decimal" w:pos="511"/>
              </w:tabs>
              <w:spacing w:before="40" w:after="4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$419</w:t>
            </w:r>
          </w:p>
        </w:tc>
      </w:tr>
      <w:tr w:rsidR="00C8088F" w:rsidRPr="000973F2" w14:paraId="74E25C77" w14:textId="77777777" w:rsidTr="00E11847">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1695" w:type="dxa"/>
            <w:tcMar>
              <w:right w:w="14" w:type="dxa"/>
            </w:tcMar>
            <w:hideMark/>
          </w:tcPr>
          <w:p w14:paraId="6F199DBC" w14:textId="77777777" w:rsidR="00C8088F" w:rsidRPr="000973F2" w:rsidRDefault="00C8088F" w:rsidP="00E11847">
            <w:pPr>
              <w:spacing w:before="40" w:after="4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Sampling and Analysis (Calculations)</w:t>
            </w:r>
          </w:p>
        </w:tc>
        <w:tc>
          <w:tcPr>
            <w:tcW w:w="754" w:type="dxa"/>
            <w:noWrap/>
            <w:hideMark/>
          </w:tcPr>
          <w:p w14:paraId="44C53546" w14:textId="77777777" w:rsidR="00C8088F" w:rsidRPr="000973F2" w:rsidRDefault="00C8088F" w:rsidP="00E11847">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0</w:t>
            </w:r>
          </w:p>
        </w:tc>
        <w:tc>
          <w:tcPr>
            <w:tcW w:w="754" w:type="dxa"/>
            <w:noWrap/>
            <w:hideMark/>
          </w:tcPr>
          <w:p w14:paraId="5C99A18F" w14:textId="77777777" w:rsidR="00C8088F" w:rsidRPr="000973F2" w:rsidRDefault="00C8088F" w:rsidP="00E11847">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0</w:t>
            </w:r>
          </w:p>
        </w:tc>
        <w:tc>
          <w:tcPr>
            <w:tcW w:w="755" w:type="dxa"/>
            <w:noWrap/>
            <w:hideMark/>
          </w:tcPr>
          <w:p w14:paraId="0CD7D0B5" w14:textId="77777777" w:rsidR="00C8088F" w:rsidRPr="000973F2" w:rsidRDefault="00C8088F" w:rsidP="00E11847">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0</w:t>
            </w:r>
          </w:p>
        </w:tc>
        <w:tc>
          <w:tcPr>
            <w:tcW w:w="754" w:type="dxa"/>
            <w:noWrap/>
            <w:hideMark/>
          </w:tcPr>
          <w:p w14:paraId="4E6E567E" w14:textId="77777777" w:rsidR="00C8088F" w:rsidRPr="000973F2" w:rsidRDefault="00C8088F" w:rsidP="00E11847">
            <w:pPr>
              <w:tabs>
                <w:tab w:val="decimal" w:pos="226"/>
              </w:tabs>
              <w:spacing w:before="40" w:after="4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0</w:t>
            </w:r>
          </w:p>
        </w:tc>
        <w:tc>
          <w:tcPr>
            <w:tcW w:w="754" w:type="dxa"/>
            <w:noWrap/>
            <w:hideMark/>
          </w:tcPr>
          <w:p w14:paraId="79F8F616" w14:textId="77777777" w:rsidR="00C8088F" w:rsidRPr="000973F2" w:rsidRDefault="00C8088F" w:rsidP="00E11847">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0</w:t>
            </w:r>
          </w:p>
        </w:tc>
        <w:tc>
          <w:tcPr>
            <w:tcW w:w="755" w:type="dxa"/>
            <w:noWrap/>
            <w:hideMark/>
          </w:tcPr>
          <w:p w14:paraId="5F05B3C9" w14:textId="77777777" w:rsidR="00C8088F" w:rsidRPr="000973F2" w:rsidRDefault="00C8088F" w:rsidP="00E11847">
            <w:pPr>
              <w:tabs>
                <w:tab w:val="decimal" w:pos="286"/>
              </w:tabs>
              <w:spacing w:before="40" w:after="4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0</w:t>
            </w:r>
          </w:p>
        </w:tc>
        <w:tc>
          <w:tcPr>
            <w:tcW w:w="754" w:type="dxa"/>
            <w:noWrap/>
            <w:hideMark/>
          </w:tcPr>
          <w:p w14:paraId="78CF015B" w14:textId="77777777" w:rsidR="00C8088F" w:rsidRPr="000973F2" w:rsidRDefault="00C8088F" w:rsidP="00E11847">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0</w:t>
            </w:r>
          </w:p>
        </w:tc>
        <w:tc>
          <w:tcPr>
            <w:tcW w:w="755" w:type="dxa"/>
            <w:noWrap/>
            <w:hideMark/>
          </w:tcPr>
          <w:p w14:paraId="3873EA02" w14:textId="77777777" w:rsidR="00C8088F" w:rsidRPr="000973F2" w:rsidRDefault="00C8088F" w:rsidP="00E11847">
            <w:pPr>
              <w:tabs>
                <w:tab w:val="decimal" w:pos="271"/>
              </w:tabs>
              <w:spacing w:before="40" w:after="4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0</w:t>
            </w:r>
          </w:p>
        </w:tc>
        <w:tc>
          <w:tcPr>
            <w:tcW w:w="721" w:type="dxa"/>
            <w:noWrap/>
            <w:hideMark/>
          </w:tcPr>
          <w:p w14:paraId="51E52292" w14:textId="4EC51287" w:rsidR="00C8088F" w:rsidRPr="000973F2" w:rsidRDefault="00C8088F" w:rsidP="00E11847">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$0</w:t>
            </w:r>
          </w:p>
        </w:tc>
        <w:tc>
          <w:tcPr>
            <w:tcW w:w="879" w:type="dxa"/>
            <w:noWrap/>
            <w:hideMark/>
          </w:tcPr>
          <w:p w14:paraId="5E6C1EB1" w14:textId="7964A745" w:rsidR="00C8088F" w:rsidRPr="000973F2" w:rsidRDefault="00C8088F" w:rsidP="00E11847">
            <w:pPr>
              <w:tabs>
                <w:tab w:val="decimal" w:pos="511"/>
              </w:tabs>
              <w:spacing w:before="40" w:after="4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$0</w:t>
            </w:r>
          </w:p>
        </w:tc>
      </w:tr>
      <w:tr w:rsidR="00C8088F" w:rsidRPr="000973F2" w14:paraId="4F1EC6B7" w14:textId="77777777" w:rsidTr="00E11847">
        <w:trPr>
          <w:cantSplit/>
        </w:trPr>
        <w:tc>
          <w:tcPr>
            <w:cnfStyle w:val="001000000000" w:firstRow="0" w:lastRow="0" w:firstColumn="1" w:lastColumn="0" w:oddVBand="0" w:evenVBand="0" w:oddHBand="0" w:evenHBand="0" w:firstRowFirstColumn="0" w:firstRowLastColumn="0" w:lastRowFirstColumn="0" w:lastRowLastColumn="0"/>
            <w:tcW w:w="1695" w:type="dxa"/>
            <w:tcMar>
              <w:right w:w="14" w:type="dxa"/>
            </w:tcMar>
            <w:hideMark/>
          </w:tcPr>
          <w:p w14:paraId="2B023E36" w14:textId="77777777" w:rsidR="00C8088F" w:rsidRPr="000973F2" w:rsidRDefault="00C8088F" w:rsidP="00E11847">
            <w:pPr>
              <w:spacing w:before="40" w:after="4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Reporting</w:t>
            </w:r>
          </w:p>
        </w:tc>
        <w:tc>
          <w:tcPr>
            <w:tcW w:w="754" w:type="dxa"/>
            <w:noWrap/>
            <w:hideMark/>
          </w:tcPr>
          <w:p w14:paraId="1019768F" w14:textId="77777777" w:rsidR="00C8088F" w:rsidRPr="000973F2" w:rsidRDefault="00C8088F" w:rsidP="00E11847">
            <w:pPr>
              <w:spacing w:before="40" w:after="4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0</w:t>
            </w:r>
          </w:p>
        </w:tc>
        <w:tc>
          <w:tcPr>
            <w:tcW w:w="754" w:type="dxa"/>
            <w:noWrap/>
            <w:hideMark/>
          </w:tcPr>
          <w:p w14:paraId="3BE616BA" w14:textId="77777777" w:rsidR="00C8088F" w:rsidRPr="000973F2" w:rsidRDefault="00C8088F" w:rsidP="00E11847">
            <w:pPr>
              <w:spacing w:before="40" w:after="4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0</w:t>
            </w:r>
          </w:p>
        </w:tc>
        <w:tc>
          <w:tcPr>
            <w:tcW w:w="755" w:type="dxa"/>
            <w:noWrap/>
            <w:hideMark/>
          </w:tcPr>
          <w:p w14:paraId="0502C20E" w14:textId="77777777" w:rsidR="00C8088F" w:rsidRPr="000973F2" w:rsidRDefault="00C8088F" w:rsidP="00E11847">
            <w:pPr>
              <w:spacing w:before="40" w:after="4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0</w:t>
            </w:r>
          </w:p>
        </w:tc>
        <w:tc>
          <w:tcPr>
            <w:tcW w:w="754" w:type="dxa"/>
            <w:noWrap/>
            <w:hideMark/>
          </w:tcPr>
          <w:p w14:paraId="55DB3673" w14:textId="77777777" w:rsidR="00C8088F" w:rsidRPr="000973F2" w:rsidRDefault="00C8088F" w:rsidP="00E11847">
            <w:pPr>
              <w:tabs>
                <w:tab w:val="decimal" w:pos="226"/>
              </w:tabs>
              <w:spacing w:before="40" w:after="4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1.0</w:t>
            </w:r>
          </w:p>
        </w:tc>
        <w:tc>
          <w:tcPr>
            <w:tcW w:w="754" w:type="dxa"/>
            <w:noWrap/>
            <w:hideMark/>
          </w:tcPr>
          <w:p w14:paraId="55C4CFCA" w14:textId="77777777" w:rsidR="00C8088F" w:rsidRPr="000973F2" w:rsidRDefault="00C8088F" w:rsidP="00E11847">
            <w:pPr>
              <w:spacing w:before="40" w:after="4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0</w:t>
            </w:r>
          </w:p>
        </w:tc>
        <w:tc>
          <w:tcPr>
            <w:tcW w:w="755" w:type="dxa"/>
            <w:noWrap/>
            <w:hideMark/>
          </w:tcPr>
          <w:p w14:paraId="7A645571" w14:textId="77777777" w:rsidR="00C8088F" w:rsidRPr="000973F2" w:rsidRDefault="00C8088F" w:rsidP="00E11847">
            <w:pPr>
              <w:tabs>
                <w:tab w:val="decimal" w:pos="286"/>
              </w:tabs>
              <w:spacing w:before="40" w:after="4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10</w:t>
            </w:r>
          </w:p>
        </w:tc>
        <w:tc>
          <w:tcPr>
            <w:tcW w:w="754" w:type="dxa"/>
            <w:noWrap/>
            <w:hideMark/>
          </w:tcPr>
          <w:p w14:paraId="762EC0D1" w14:textId="77777777" w:rsidR="00C8088F" w:rsidRPr="000973F2" w:rsidRDefault="00C8088F" w:rsidP="00E11847">
            <w:pPr>
              <w:spacing w:before="40" w:after="4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0</w:t>
            </w:r>
          </w:p>
        </w:tc>
        <w:tc>
          <w:tcPr>
            <w:tcW w:w="755" w:type="dxa"/>
            <w:noWrap/>
            <w:hideMark/>
          </w:tcPr>
          <w:p w14:paraId="7AA7F9FF" w14:textId="77777777" w:rsidR="00C8088F" w:rsidRPr="000973F2" w:rsidRDefault="00C8088F" w:rsidP="00E11847">
            <w:pPr>
              <w:tabs>
                <w:tab w:val="decimal" w:pos="271"/>
              </w:tabs>
              <w:spacing w:before="40" w:after="4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1.0</w:t>
            </w:r>
          </w:p>
        </w:tc>
        <w:tc>
          <w:tcPr>
            <w:tcW w:w="721" w:type="dxa"/>
            <w:noWrap/>
            <w:hideMark/>
          </w:tcPr>
          <w:p w14:paraId="192EB761" w14:textId="2572074A" w:rsidR="00C8088F" w:rsidRPr="000973F2" w:rsidRDefault="00C8088F" w:rsidP="00E11847">
            <w:pPr>
              <w:spacing w:before="40" w:after="4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$0</w:t>
            </w:r>
          </w:p>
        </w:tc>
        <w:tc>
          <w:tcPr>
            <w:tcW w:w="879" w:type="dxa"/>
            <w:noWrap/>
            <w:hideMark/>
          </w:tcPr>
          <w:p w14:paraId="303DD4F0" w14:textId="228E7A3A" w:rsidR="00C8088F" w:rsidRPr="000973F2" w:rsidRDefault="00C8088F" w:rsidP="00E11847">
            <w:pPr>
              <w:tabs>
                <w:tab w:val="decimal" w:pos="511"/>
              </w:tabs>
              <w:spacing w:before="40" w:after="4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$838</w:t>
            </w:r>
          </w:p>
        </w:tc>
      </w:tr>
      <w:tr w:rsidR="00C8088F" w:rsidRPr="000973F2" w14:paraId="0FF1A8CB" w14:textId="77777777" w:rsidTr="00E11847">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1695" w:type="dxa"/>
            <w:noWrap/>
            <w:tcMar>
              <w:right w:w="14" w:type="dxa"/>
            </w:tcMar>
            <w:hideMark/>
          </w:tcPr>
          <w:p w14:paraId="6ABA37EA" w14:textId="77777777" w:rsidR="00C8088F" w:rsidRPr="000973F2" w:rsidRDefault="00C8088F" w:rsidP="00E11847">
            <w:pPr>
              <w:spacing w:before="40" w:after="40"/>
              <w:rPr>
                <w:rFonts w:ascii="Times New Roman" w:eastAsia="Times New Roman" w:hAnsi="Times New Roman" w:cs="Times New Roman"/>
                <w:b/>
                <w:bCs w:val="0"/>
                <w:sz w:val="18"/>
                <w:szCs w:val="18"/>
              </w:rPr>
            </w:pPr>
            <w:r w:rsidRPr="000973F2">
              <w:rPr>
                <w:rFonts w:ascii="Times New Roman" w:eastAsia="Times New Roman" w:hAnsi="Times New Roman" w:cs="Times New Roman"/>
                <w:b/>
                <w:sz w:val="18"/>
                <w:szCs w:val="18"/>
              </w:rPr>
              <w:t>Total</w:t>
            </w:r>
          </w:p>
        </w:tc>
        <w:tc>
          <w:tcPr>
            <w:tcW w:w="754" w:type="dxa"/>
            <w:noWrap/>
            <w:hideMark/>
          </w:tcPr>
          <w:p w14:paraId="04FFF942" w14:textId="77777777" w:rsidR="00C8088F" w:rsidRPr="000973F2" w:rsidRDefault="00C8088F" w:rsidP="00E11847">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18"/>
                <w:szCs w:val="18"/>
              </w:rPr>
            </w:pPr>
            <w:r w:rsidRPr="000973F2">
              <w:rPr>
                <w:rFonts w:ascii="Times New Roman" w:eastAsia="Times New Roman" w:hAnsi="Times New Roman" w:cs="Times New Roman"/>
                <w:b/>
                <w:bCs/>
                <w:sz w:val="18"/>
                <w:szCs w:val="18"/>
              </w:rPr>
              <w:t>0</w:t>
            </w:r>
          </w:p>
        </w:tc>
        <w:tc>
          <w:tcPr>
            <w:tcW w:w="754" w:type="dxa"/>
            <w:noWrap/>
            <w:hideMark/>
          </w:tcPr>
          <w:p w14:paraId="6B0A0602" w14:textId="77777777" w:rsidR="00C8088F" w:rsidRPr="000973F2" w:rsidRDefault="00C8088F" w:rsidP="00E11847">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18"/>
                <w:szCs w:val="18"/>
              </w:rPr>
            </w:pPr>
            <w:r w:rsidRPr="000973F2">
              <w:rPr>
                <w:rFonts w:ascii="Times New Roman" w:eastAsia="Times New Roman" w:hAnsi="Times New Roman" w:cs="Times New Roman"/>
                <w:b/>
                <w:bCs/>
                <w:sz w:val="18"/>
                <w:szCs w:val="18"/>
              </w:rPr>
              <w:t>0</w:t>
            </w:r>
          </w:p>
        </w:tc>
        <w:tc>
          <w:tcPr>
            <w:tcW w:w="755" w:type="dxa"/>
            <w:noWrap/>
            <w:hideMark/>
          </w:tcPr>
          <w:p w14:paraId="7A955AEE" w14:textId="77777777" w:rsidR="00C8088F" w:rsidRPr="000973F2" w:rsidRDefault="00C8088F" w:rsidP="00E11847">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18"/>
                <w:szCs w:val="18"/>
              </w:rPr>
            </w:pPr>
            <w:r w:rsidRPr="000973F2">
              <w:rPr>
                <w:rFonts w:ascii="Times New Roman" w:eastAsia="Times New Roman" w:hAnsi="Times New Roman" w:cs="Times New Roman"/>
                <w:b/>
                <w:bCs/>
                <w:sz w:val="18"/>
                <w:szCs w:val="18"/>
              </w:rPr>
              <w:t>0</w:t>
            </w:r>
          </w:p>
        </w:tc>
        <w:tc>
          <w:tcPr>
            <w:tcW w:w="754" w:type="dxa"/>
            <w:noWrap/>
            <w:hideMark/>
          </w:tcPr>
          <w:p w14:paraId="4ECE655B" w14:textId="77777777" w:rsidR="00C8088F" w:rsidRPr="000973F2" w:rsidRDefault="00C8088F" w:rsidP="00E11847">
            <w:pPr>
              <w:tabs>
                <w:tab w:val="decimal" w:pos="226"/>
              </w:tabs>
              <w:spacing w:before="40" w:after="4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18"/>
                <w:szCs w:val="18"/>
              </w:rPr>
            </w:pPr>
            <w:r w:rsidRPr="000973F2">
              <w:rPr>
                <w:rFonts w:ascii="Times New Roman" w:eastAsia="Times New Roman" w:hAnsi="Times New Roman" w:cs="Times New Roman"/>
                <w:b/>
                <w:bCs/>
                <w:sz w:val="18"/>
                <w:szCs w:val="18"/>
              </w:rPr>
              <w:t>1.5</w:t>
            </w:r>
          </w:p>
        </w:tc>
        <w:tc>
          <w:tcPr>
            <w:tcW w:w="754" w:type="dxa"/>
            <w:noWrap/>
            <w:hideMark/>
          </w:tcPr>
          <w:p w14:paraId="5F132880" w14:textId="77777777" w:rsidR="00C8088F" w:rsidRPr="000973F2" w:rsidRDefault="00C8088F" w:rsidP="00E11847">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18"/>
                <w:szCs w:val="18"/>
              </w:rPr>
            </w:pPr>
            <w:r w:rsidRPr="000973F2">
              <w:rPr>
                <w:rFonts w:ascii="Times New Roman" w:eastAsia="Times New Roman" w:hAnsi="Times New Roman" w:cs="Times New Roman"/>
                <w:b/>
                <w:bCs/>
                <w:sz w:val="18"/>
                <w:szCs w:val="18"/>
              </w:rPr>
              <w:t>0</w:t>
            </w:r>
          </w:p>
        </w:tc>
        <w:tc>
          <w:tcPr>
            <w:tcW w:w="755" w:type="dxa"/>
            <w:noWrap/>
            <w:hideMark/>
          </w:tcPr>
          <w:p w14:paraId="7D05AB89" w14:textId="77777777" w:rsidR="00C8088F" w:rsidRPr="000973F2" w:rsidRDefault="00C8088F" w:rsidP="00E11847">
            <w:pPr>
              <w:tabs>
                <w:tab w:val="decimal" w:pos="286"/>
              </w:tabs>
              <w:spacing w:before="40" w:after="4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18"/>
                <w:szCs w:val="18"/>
              </w:rPr>
            </w:pPr>
            <w:r w:rsidRPr="000973F2">
              <w:rPr>
                <w:rFonts w:ascii="Times New Roman" w:eastAsia="Times New Roman" w:hAnsi="Times New Roman" w:cs="Times New Roman"/>
                <w:b/>
                <w:bCs/>
                <w:sz w:val="18"/>
                <w:szCs w:val="18"/>
              </w:rPr>
              <w:t>15</w:t>
            </w:r>
          </w:p>
        </w:tc>
        <w:tc>
          <w:tcPr>
            <w:tcW w:w="754" w:type="dxa"/>
            <w:noWrap/>
            <w:hideMark/>
          </w:tcPr>
          <w:p w14:paraId="5D929C55" w14:textId="77777777" w:rsidR="00C8088F" w:rsidRPr="000973F2" w:rsidRDefault="00C8088F" w:rsidP="00E11847">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18"/>
                <w:szCs w:val="18"/>
              </w:rPr>
            </w:pPr>
            <w:r w:rsidRPr="000973F2">
              <w:rPr>
                <w:rFonts w:ascii="Times New Roman" w:eastAsia="Times New Roman" w:hAnsi="Times New Roman" w:cs="Times New Roman"/>
                <w:b/>
                <w:bCs/>
                <w:sz w:val="18"/>
                <w:szCs w:val="18"/>
              </w:rPr>
              <w:t>0</w:t>
            </w:r>
          </w:p>
        </w:tc>
        <w:tc>
          <w:tcPr>
            <w:tcW w:w="755" w:type="dxa"/>
            <w:noWrap/>
            <w:hideMark/>
          </w:tcPr>
          <w:p w14:paraId="5C844291" w14:textId="77777777" w:rsidR="00C8088F" w:rsidRPr="000973F2" w:rsidRDefault="00C8088F" w:rsidP="00E11847">
            <w:pPr>
              <w:tabs>
                <w:tab w:val="decimal" w:pos="271"/>
              </w:tabs>
              <w:spacing w:before="40" w:after="4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18"/>
                <w:szCs w:val="18"/>
              </w:rPr>
            </w:pPr>
            <w:r w:rsidRPr="000973F2">
              <w:rPr>
                <w:rFonts w:ascii="Times New Roman" w:eastAsia="Times New Roman" w:hAnsi="Times New Roman" w:cs="Times New Roman"/>
                <w:b/>
                <w:bCs/>
                <w:sz w:val="18"/>
                <w:szCs w:val="18"/>
              </w:rPr>
              <w:t>1.5</w:t>
            </w:r>
          </w:p>
        </w:tc>
        <w:tc>
          <w:tcPr>
            <w:tcW w:w="721" w:type="dxa"/>
            <w:noWrap/>
            <w:hideMark/>
          </w:tcPr>
          <w:p w14:paraId="58FA9EC6" w14:textId="4EF3BC77" w:rsidR="00C8088F" w:rsidRPr="000973F2" w:rsidRDefault="00C8088F" w:rsidP="00E11847">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18"/>
                <w:szCs w:val="18"/>
              </w:rPr>
            </w:pPr>
            <w:r w:rsidRPr="000973F2">
              <w:rPr>
                <w:rFonts w:ascii="Times New Roman" w:eastAsia="Times New Roman" w:hAnsi="Times New Roman" w:cs="Times New Roman"/>
                <w:b/>
                <w:bCs/>
                <w:sz w:val="18"/>
                <w:szCs w:val="18"/>
              </w:rPr>
              <w:t>$0</w:t>
            </w:r>
          </w:p>
        </w:tc>
        <w:tc>
          <w:tcPr>
            <w:tcW w:w="879" w:type="dxa"/>
            <w:noWrap/>
            <w:hideMark/>
          </w:tcPr>
          <w:p w14:paraId="21A9F390" w14:textId="77920050" w:rsidR="00C8088F" w:rsidRPr="000973F2" w:rsidRDefault="00C8088F" w:rsidP="00E11847">
            <w:pPr>
              <w:tabs>
                <w:tab w:val="decimal" w:pos="511"/>
              </w:tabs>
              <w:spacing w:before="40" w:after="4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18"/>
                <w:szCs w:val="18"/>
              </w:rPr>
            </w:pPr>
            <w:r w:rsidRPr="000973F2">
              <w:rPr>
                <w:rFonts w:ascii="Times New Roman" w:eastAsia="Times New Roman" w:hAnsi="Times New Roman" w:cs="Times New Roman"/>
                <w:b/>
                <w:bCs/>
                <w:sz w:val="18"/>
                <w:szCs w:val="18"/>
              </w:rPr>
              <w:t>$1,257</w:t>
            </w:r>
          </w:p>
        </w:tc>
      </w:tr>
    </w:tbl>
    <w:p w14:paraId="6BA141E1" w14:textId="77777777" w:rsidR="0057351F" w:rsidRPr="000973F2" w:rsidRDefault="0057351F" w:rsidP="00C00E4F">
      <w:pPr>
        <w:spacing w:line="240" w:lineRule="auto"/>
        <w:rPr>
          <w:rFonts w:ascii="Times New Roman" w:hAnsi="Times New Roman" w:cs="Times New Roman"/>
          <w:b/>
          <w:i/>
        </w:rPr>
      </w:pPr>
    </w:p>
    <w:p w14:paraId="24694967" w14:textId="77777777" w:rsidR="0057351F" w:rsidRPr="000973F2" w:rsidRDefault="0057351F" w:rsidP="00C00E4F">
      <w:pPr>
        <w:spacing w:line="240" w:lineRule="auto"/>
        <w:rPr>
          <w:rFonts w:ascii="Times New Roman" w:hAnsi="Times New Roman" w:cs="Times New Roman"/>
        </w:rPr>
      </w:pPr>
      <w:r w:rsidRPr="000973F2">
        <w:rPr>
          <w:rFonts w:ascii="Times New Roman" w:hAnsi="Times New Roman" w:cs="Times New Roman"/>
        </w:rPr>
        <w:br w:type="page"/>
      </w:r>
    </w:p>
    <w:p w14:paraId="7631C736" w14:textId="2010EBD6" w:rsidR="0057351F" w:rsidRPr="000973F2" w:rsidRDefault="0057351F" w:rsidP="00F35D80">
      <w:pPr>
        <w:pStyle w:val="Heading2"/>
      </w:pPr>
      <w:r w:rsidRPr="000973F2">
        <w:t>Labor Costs for Subpart S</w:t>
      </w:r>
      <w:r w:rsidR="00F35D80" w:rsidRPr="000973F2">
        <w:t xml:space="preserve"> – </w:t>
      </w:r>
      <w:r w:rsidRPr="000973F2">
        <w:t>non CEMS Option</w:t>
      </w:r>
    </w:p>
    <w:p w14:paraId="6EB457CD" w14:textId="21BFAE9A" w:rsidR="0057351F" w:rsidRPr="000973F2" w:rsidRDefault="0057351F" w:rsidP="00F35D80">
      <w:pPr>
        <w:pStyle w:val="BodyText"/>
      </w:pPr>
      <w:r w:rsidRPr="000973F2">
        <w:t xml:space="preserve">Table </w:t>
      </w:r>
      <w:r w:rsidR="00F35D80" w:rsidRPr="000973F2">
        <w:t>S-</w:t>
      </w:r>
      <w:r w:rsidRPr="000973F2">
        <w:t xml:space="preserve">1b below includes the labor hours for each of the 70 facilities that do not use CEMS to comply with Subpart S. Typical activities for each of the labor activities are discussed in the Cost Appendix Introduction. Recordkeeping and reporting hours </w:t>
      </w:r>
      <w:r w:rsidR="00DD34D2" w:rsidRPr="000973F2">
        <w:t>are based on</w:t>
      </w:r>
      <w:r w:rsidRPr="000973F2">
        <w:t xml:space="preserve"> the “medium bin”</w:t>
      </w:r>
      <w:r w:rsidR="00DD34D2" w:rsidRPr="000973F2">
        <w:t xml:space="preserve"> designation.</w:t>
      </w:r>
      <w:r w:rsidRPr="000973F2">
        <w:t xml:space="preserve"> Sampling and analysis hours include completion of the measurements and calculations required in §98.193. Calculations include inputting the CaO and MgO contents of each type of lime and calcined byproduct/waste produced into the Subpart S equations to calculate CO</w:t>
      </w:r>
      <w:r w:rsidRPr="000973F2">
        <w:rPr>
          <w:vertAlign w:val="subscript"/>
        </w:rPr>
        <w:t>2</w:t>
      </w:r>
      <w:r w:rsidRPr="000973F2">
        <w:t xml:space="preserve"> emissions. </w:t>
      </w:r>
    </w:p>
    <w:p w14:paraId="7026F3CD" w14:textId="1CD81BAF" w:rsidR="00FF36E8" w:rsidRPr="000973F2" w:rsidRDefault="00FF36E8" w:rsidP="00C00E4F">
      <w:pPr>
        <w:spacing w:line="240" w:lineRule="auto"/>
        <w:rPr>
          <w:rFonts w:ascii="Times New Roman" w:hAnsi="Times New Roman" w:cs="Times New Roman"/>
        </w:rPr>
      </w:pPr>
      <w:r w:rsidRPr="000973F2">
        <w:rPr>
          <w:rFonts w:ascii="Times New Roman" w:hAnsi="Times New Roman" w:cs="Times New Roman"/>
          <w:b/>
          <w:szCs w:val="16"/>
        </w:rPr>
        <w:t xml:space="preserve">Table </w:t>
      </w:r>
      <w:r w:rsidR="00F35D80" w:rsidRPr="000973F2">
        <w:rPr>
          <w:rFonts w:ascii="Times New Roman" w:hAnsi="Times New Roman" w:cs="Times New Roman"/>
          <w:b/>
          <w:szCs w:val="16"/>
        </w:rPr>
        <w:t>S-</w:t>
      </w:r>
      <w:r w:rsidRPr="000973F2">
        <w:rPr>
          <w:rFonts w:ascii="Times New Roman" w:hAnsi="Times New Roman" w:cs="Times New Roman"/>
          <w:b/>
          <w:szCs w:val="16"/>
        </w:rPr>
        <w:t xml:space="preserve">1b. Labor Costs </w:t>
      </w:r>
      <w:r w:rsidR="00B960CC" w:rsidRPr="000973F2">
        <w:rPr>
          <w:rFonts w:ascii="Times New Roman" w:hAnsi="Times New Roman" w:cs="Times New Roman"/>
          <w:b/>
          <w:szCs w:val="16"/>
        </w:rPr>
        <w:t>–</w:t>
      </w:r>
      <w:r w:rsidRPr="000973F2">
        <w:rPr>
          <w:rFonts w:ascii="Times New Roman" w:hAnsi="Times New Roman" w:cs="Times New Roman"/>
          <w:b/>
          <w:szCs w:val="16"/>
        </w:rPr>
        <w:t xml:space="preserve"> Subpart S – non CEMS Option</w:t>
      </w:r>
    </w:p>
    <w:tbl>
      <w:tblPr>
        <w:tblStyle w:val="PlainTable1"/>
        <w:tblW w:w="5000" w:type="pct"/>
        <w:jc w:val="left"/>
        <w:tblLayout w:type="fixed"/>
        <w:tblCellMar>
          <w:left w:w="115" w:type="dxa"/>
          <w:right w:w="115" w:type="dxa"/>
        </w:tblCellMar>
        <w:tblLook w:val="04A0" w:firstRow="1" w:lastRow="0" w:firstColumn="1" w:lastColumn="0" w:noHBand="0" w:noVBand="1"/>
      </w:tblPr>
      <w:tblGrid>
        <w:gridCol w:w="1925"/>
        <w:gridCol w:w="751"/>
        <w:gridCol w:w="754"/>
        <w:gridCol w:w="752"/>
        <w:gridCol w:w="752"/>
        <w:gridCol w:w="752"/>
        <w:gridCol w:w="752"/>
        <w:gridCol w:w="752"/>
        <w:gridCol w:w="754"/>
        <w:gridCol w:w="825"/>
        <w:gridCol w:w="821"/>
      </w:tblGrid>
      <w:tr w:rsidR="00F35D80" w:rsidRPr="000973F2" w14:paraId="5939AE3F" w14:textId="77777777" w:rsidTr="00F35D80">
        <w:trPr>
          <w:cnfStyle w:val="100000000000" w:firstRow="1" w:lastRow="0" w:firstColumn="0" w:lastColumn="0" w:oddVBand="0" w:evenVBand="0" w:oddHBand="0" w:evenHBand="0" w:firstRowFirstColumn="0" w:firstRowLastColumn="0" w:lastRowFirstColumn="0" w:lastRowLastColumn="0"/>
          <w:cantSplit/>
          <w:jc w:val="left"/>
        </w:trPr>
        <w:tc>
          <w:tcPr>
            <w:cnfStyle w:val="001000000000" w:firstRow="0" w:lastRow="0" w:firstColumn="1" w:lastColumn="0" w:oddVBand="0" w:evenVBand="0" w:oddHBand="0" w:evenHBand="0" w:firstRowFirstColumn="0" w:firstRowLastColumn="0" w:lastRowFirstColumn="0" w:lastRowLastColumn="0"/>
            <w:tcW w:w="1004" w:type="pct"/>
            <w:vMerge w:val="restart"/>
            <w:noWrap/>
            <w:vAlign w:val="top"/>
            <w:hideMark/>
          </w:tcPr>
          <w:p w14:paraId="288638F1" w14:textId="77777777" w:rsidR="0057351F" w:rsidRPr="000973F2" w:rsidRDefault="0057351F" w:rsidP="00F35D80">
            <w:pPr>
              <w:spacing w:before="40" w:after="40"/>
              <w:rPr>
                <w:rFonts w:ascii="Times New Roman" w:eastAsia="Times New Roman" w:hAnsi="Times New Roman" w:cs="Times New Roman"/>
                <w:bCs w:val="0"/>
                <w:sz w:val="18"/>
                <w:szCs w:val="18"/>
              </w:rPr>
            </w:pPr>
            <w:r w:rsidRPr="000973F2">
              <w:rPr>
                <w:rFonts w:ascii="Times New Roman" w:eastAsia="Times New Roman" w:hAnsi="Times New Roman" w:cs="Times New Roman"/>
                <w:sz w:val="18"/>
                <w:szCs w:val="18"/>
              </w:rPr>
              <w:t>Activity</w:t>
            </w:r>
          </w:p>
        </w:tc>
        <w:tc>
          <w:tcPr>
            <w:tcW w:w="3137" w:type="pct"/>
            <w:gridSpan w:val="8"/>
            <w:noWrap/>
            <w:vAlign w:val="top"/>
            <w:hideMark/>
          </w:tcPr>
          <w:p w14:paraId="40434E1E" w14:textId="77777777" w:rsidR="0057351F" w:rsidRPr="000973F2" w:rsidRDefault="0057351F" w:rsidP="00F35D80">
            <w:pPr>
              <w:spacing w:before="40" w:after="40"/>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Cs w:val="0"/>
                <w:sz w:val="18"/>
                <w:szCs w:val="18"/>
              </w:rPr>
            </w:pPr>
            <w:r w:rsidRPr="000973F2">
              <w:rPr>
                <w:rFonts w:ascii="Times New Roman" w:eastAsia="Times New Roman" w:hAnsi="Times New Roman" w:cs="Times New Roman"/>
                <w:bCs w:val="0"/>
                <w:sz w:val="18"/>
                <w:szCs w:val="18"/>
              </w:rPr>
              <w:t>Labor Rates (per hour)</w:t>
            </w:r>
          </w:p>
        </w:tc>
        <w:tc>
          <w:tcPr>
            <w:tcW w:w="859" w:type="pct"/>
            <w:gridSpan w:val="2"/>
            <w:vMerge w:val="restart"/>
            <w:vAlign w:val="top"/>
            <w:hideMark/>
          </w:tcPr>
          <w:p w14:paraId="7118A332" w14:textId="77777777" w:rsidR="0057351F" w:rsidRPr="000973F2" w:rsidRDefault="0057351F" w:rsidP="00F35D80">
            <w:pPr>
              <w:spacing w:before="40" w:after="40"/>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Cs w:val="0"/>
                <w:sz w:val="18"/>
                <w:szCs w:val="18"/>
              </w:rPr>
            </w:pPr>
            <w:r w:rsidRPr="000973F2">
              <w:rPr>
                <w:rFonts w:ascii="Times New Roman" w:eastAsia="Times New Roman" w:hAnsi="Times New Roman" w:cs="Times New Roman"/>
                <w:bCs w:val="0"/>
                <w:sz w:val="18"/>
                <w:szCs w:val="18"/>
              </w:rPr>
              <w:t>Total Labor Cost per Year per Facility (2017$)</w:t>
            </w:r>
          </w:p>
        </w:tc>
      </w:tr>
      <w:tr w:rsidR="00F35D80" w:rsidRPr="000973F2" w14:paraId="5CD2E46C" w14:textId="77777777" w:rsidTr="00A85323">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1004" w:type="pct"/>
            <w:vMerge/>
            <w:hideMark/>
          </w:tcPr>
          <w:p w14:paraId="14DE951C" w14:textId="77777777" w:rsidR="0057351F" w:rsidRPr="000973F2" w:rsidRDefault="0057351F" w:rsidP="00F35D80">
            <w:pPr>
              <w:spacing w:before="40" w:after="40"/>
              <w:rPr>
                <w:rFonts w:ascii="Times New Roman" w:eastAsia="Times New Roman" w:hAnsi="Times New Roman" w:cs="Times New Roman"/>
                <w:b/>
                <w:bCs w:val="0"/>
                <w:sz w:val="18"/>
                <w:szCs w:val="18"/>
              </w:rPr>
            </w:pPr>
          </w:p>
        </w:tc>
        <w:tc>
          <w:tcPr>
            <w:tcW w:w="785" w:type="pct"/>
            <w:gridSpan w:val="2"/>
            <w:noWrap/>
            <w:hideMark/>
          </w:tcPr>
          <w:p w14:paraId="3A0B0E11" w14:textId="77777777" w:rsidR="0057351F" w:rsidRPr="000973F2" w:rsidRDefault="0057351F" w:rsidP="00F35D80">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18"/>
                <w:szCs w:val="18"/>
              </w:rPr>
            </w:pPr>
            <w:r w:rsidRPr="000973F2">
              <w:rPr>
                <w:rFonts w:ascii="Times New Roman" w:eastAsia="Times New Roman" w:hAnsi="Times New Roman" w:cs="Times New Roman"/>
                <w:b/>
                <w:bCs/>
                <w:sz w:val="18"/>
                <w:szCs w:val="18"/>
              </w:rPr>
              <w:t>Lawyer</w:t>
            </w:r>
          </w:p>
        </w:tc>
        <w:tc>
          <w:tcPr>
            <w:tcW w:w="784" w:type="pct"/>
            <w:gridSpan w:val="2"/>
            <w:noWrap/>
            <w:hideMark/>
          </w:tcPr>
          <w:p w14:paraId="5527732C" w14:textId="77777777" w:rsidR="0057351F" w:rsidRPr="000973F2" w:rsidRDefault="0057351F" w:rsidP="00F35D80">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18"/>
                <w:szCs w:val="18"/>
              </w:rPr>
            </w:pPr>
            <w:r w:rsidRPr="000973F2">
              <w:rPr>
                <w:rFonts w:ascii="Times New Roman" w:eastAsia="Times New Roman" w:hAnsi="Times New Roman" w:cs="Times New Roman"/>
                <w:b/>
                <w:bCs/>
                <w:sz w:val="18"/>
                <w:szCs w:val="18"/>
              </w:rPr>
              <w:t>Industrial Manager</w:t>
            </w:r>
          </w:p>
        </w:tc>
        <w:tc>
          <w:tcPr>
            <w:tcW w:w="783" w:type="pct"/>
            <w:gridSpan w:val="2"/>
            <w:hideMark/>
          </w:tcPr>
          <w:p w14:paraId="657A4662" w14:textId="69E3FE09" w:rsidR="0057351F" w:rsidRPr="000973F2" w:rsidRDefault="0057351F" w:rsidP="00F35D80">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18"/>
                <w:szCs w:val="18"/>
              </w:rPr>
            </w:pPr>
            <w:r w:rsidRPr="000973F2">
              <w:rPr>
                <w:rFonts w:ascii="Times New Roman" w:eastAsia="Times New Roman" w:hAnsi="Times New Roman" w:cs="Times New Roman"/>
                <w:b/>
                <w:bCs/>
                <w:sz w:val="18"/>
                <w:szCs w:val="18"/>
              </w:rPr>
              <w:t>Industrial Engineer/</w:t>
            </w:r>
            <w:r w:rsidR="00F35D80" w:rsidRPr="000973F2">
              <w:rPr>
                <w:rFonts w:ascii="Times New Roman" w:eastAsia="Times New Roman" w:hAnsi="Times New Roman" w:cs="Times New Roman"/>
                <w:b/>
                <w:bCs/>
                <w:sz w:val="18"/>
                <w:szCs w:val="18"/>
              </w:rPr>
              <w:t xml:space="preserve"> </w:t>
            </w:r>
            <w:r w:rsidRPr="000973F2">
              <w:rPr>
                <w:rFonts w:ascii="Times New Roman" w:eastAsia="Times New Roman" w:hAnsi="Times New Roman" w:cs="Times New Roman"/>
                <w:b/>
                <w:bCs/>
                <w:sz w:val="18"/>
                <w:szCs w:val="18"/>
              </w:rPr>
              <w:t>Technician</w:t>
            </w:r>
          </w:p>
        </w:tc>
        <w:tc>
          <w:tcPr>
            <w:tcW w:w="785" w:type="pct"/>
            <w:gridSpan w:val="2"/>
            <w:hideMark/>
          </w:tcPr>
          <w:p w14:paraId="1EEB10EB" w14:textId="77777777" w:rsidR="0057351F" w:rsidRPr="000973F2" w:rsidRDefault="0057351F" w:rsidP="00F35D80">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18"/>
                <w:szCs w:val="18"/>
              </w:rPr>
            </w:pPr>
            <w:r w:rsidRPr="000973F2">
              <w:rPr>
                <w:rFonts w:ascii="Times New Roman" w:eastAsia="Times New Roman" w:hAnsi="Times New Roman" w:cs="Times New Roman"/>
                <w:b/>
                <w:bCs/>
                <w:sz w:val="18"/>
                <w:szCs w:val="18"/>
              </w:rPr>
              <w:t>Administrative Support</w:t>
            </w:r>
          </w:p>
        </w:tc>
        <w:tc>
          <w:tcPr>
            <w:tcW w:w="859" w:type="pct"/>
            <w:gridSpan w:val="2"/>
            <w:vMerge/>
            <w:hideMark/>
          </w:tcPr>
          <w:p w14:paraId="3AF4CFC1" w14:textId="77777777" w:rsidR="0057351F" w:rsidRPr="000973F2" w:rsidRDefault="0057351F" w:rsidP="00F35D80">
            <w:pPr>
              <w:spacing w:before="40" w:after="4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18"/>
                <w:szCs w:val="18"/>
              </w:rPr>
            </w:pPr>
          </w:p>
        </w:tc>
      </w:tr>
      <w:tr w:rsidR="00F35D80" w:rsidRPr="000973F2" w14:paraId="4FE370E5" w14:textId="77777777" w:rsidTr="00A85323">
        <w:trPr>
          <w:cantSplit/>
        </w:trPr>
        <w:tc>
          <w:tcPr>
            <w:cnfStyle w:val="001000000000" w:firstRow="0" w:lastRow="0" w:firstColumn="1" w:lastColumn="0" w:oddVBand="0" w:evenVBand="0" w:oddHBand="0" w:evenHBand="0" w:firstRowFirstColumn="0" w:firstRowLastColumn="0" w:lastRowFirstColumn="0" w:lastRowLastColumn="0"/>
            <w:tcW w:w="1004" w:type="pct"/>
            <w:vMerge/>
            <w:hideMark/>
          </w:tcPr>
          <w:p w14:paraId="2191DDC0" w14:textId="77777777" w:rsidR="0057351F" w:rsidRPr="000973F2" w:rsidRDefault="0057351F" w:rsidP="00F35D80">
            <w:pPr>
              <w:spacing w:before="40" w:after="40"/>
              <w:rPr>
                <w:rFonts w:ascii="Times New Roman" w:eastAsia="Times New Roman" w:hAnsi="Times New Roman" w:cs="Times New Roman"/>
                <w:b/>
                <w:bCs w:val="0"/>
                <w:sz w:val="18"/>
                <w:szCs w:val="18"/>
              </w:rPr>
            </w:pPr>
          </w:p>
        </w:tc>
        <w:tc>
          <w:tcPr>
            <w:tcW w:w="785" w:type="pct"/>
            <w:gridSpan w:val="2"/>
            <w:noWrap/>
            <w:hideMark/>
          </w:tcPr>
          <w:p w14:paraId="73F4D268" w14:textId="77777777" w:rsidR="0057351F" w:rsidRPr="000973F2" w:rsidRDefault="0057351F" w:rsidP="00F35D80">
            <w:pPr>
              <w:spacing w:before="40" w:after="4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sz w:val="18"/>
                <w:szCs w:val="18"/>
              </w:rPr>
            </w:pPr>
            <w:r w:rsidRPr="000973F2">
              <w:rPr>
                <w:rFonts w:ascii="Times New Roman" w:eastAsia="Times New Roman" w:hAnsi="Times New Roman" w:cs="Times New Roman"/>
                <w:b/>
                <w:bCs/>
                <w:sz w:val="18"/>
                <w:szCs w:val="18"/>
              </w:rPr>
              <w:t xml:space="preserve">$112.23 </w:t>
            </w:r>
          </w:p>
        </w:tc>
        <w:tc>
          <w:tcPr>
            <w:tcW w:w="784" w:type="pct"/>
            <w:gridSpan w:val="2"/>
            <w:noWrap/>
            <w:hideMark/>
          </w:tcPr>
          <w:p w14:paraId="1238E0D0" w14:textId="77777777" w:rsidR="0057351F" w:rsidRPr="000973F2" w:rsidRDefault="0057351F" w:rsidP="00F35D80">
            <w:pPr>
              <w:spacing w:before="40" w:after="4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sz w:val="18"/>
                <w:szCs w:val="18"/>
              </w:rPr>
            </w:pPr>
            <w:r w:rsidRPr="000973F2">
              <w:rPr>
                <w:rFonts w:ascii="Times New Roman" w:eastAsia="Times New Roman" w:hAnsi="Times New Roman" w:cs="Times New Roman"/>
                <w:b/>
                <w:bCs/>
                <w:sz w:val="18"/>
                <w:szCs w:val="18"/>
              </w:rPr>
              <w:t xml:space="preserve">$87.45 </w:t>
            </w:r>
          </w:p>
        </w:tc>
        <w:tc>
          <w:tcPr>
            <w:tcW w:w="783" w:type="pct"/>
            <w:gridSpan w:val="2"/>
            <w:noWrap/>
            <w:hideMark/>
          </w:tcPr>
          <w:p w14:paraId="2B1536F3" w14:textId="77777777" w:rsidR="0057351F" w:rsidRPr="000973F2" w:rsidRDefault="0057351F" w:rsidP="00F35D80">
            <w:pPr>
              <w:spacing w:before="40" w:after="4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sz w:val="18"/>
                <w:szCs w:val="18"/>
              </w:rPr>
            </w:pPr>
            <w:r w:rsidRPr="000973F2">
              <w:rPr>
                <w:rFonts w:ascii="Times New Roman" w:eastAsia="Times New Roman" w:hAnsi="Times New Roman" w:cs="Times New Roman"/>
                <w:b/>
                <w:bCs/>
                <w:sz w:val="18"/>
                <w:szCs w:val="18"/>
              </w:rPr>
              <w:t xml:space="preserve">$71.45 </w:t>
            </w:r>
          </w:p>
        </w:tc>
        <w:tc>
          <w:tcPr>
            <w:tcW w:w="785" w:type="pct"/>
            <w:gridSpan w:val="2"/>
            <w:noWrap/>
            <w:hideMark/>
          </w:tcPr>
          <w:p w14:paraId="67E9C245" w14:textId="77777777" w:rsidR="0057351F" w:rsidRPr="000973F2" w:rsidRDefault="0057351F" w:rsidP="00F35D80">
            <w:pPr>
              <w:spacing w:before="40" w:after="4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sz w:val="18"/>
                <w:szCs w:val="18"/>
              </w:rPr>
            </w:pPr>
            <w:r w:rsidRPr="000973F2">
              <w:rPr>
                <w:rFonts w:ascii="Times New Roman" w:eastAsia="Times New Roman" w:hAnsi="Times New Roman" w:cs="Times New Roman"/>
                <w:b/>
                <w:bCs/>
                <w:sz w:val="18"/>
                <w:szCs w:val="18"/>
              </w:rPr>
              <w:t xml:space="preserve">$36.28 </w:t>
            </w:r>
          </w:p>
        </w:tc>
        <w:tc>
          <w:tcPr>
            <w:tcW w:w="859" w:type="pct"/>
            <w:gridSpan w:val="2"/>
            <w:vMerge/>
            <w:hideMark/>
          </w:tcPr>
          <w:p w14:paraId="0DCEC18A" w14:textId="77777777" w:rsidR="0057351F" w:rsidRPr="000973F2" w:rsidRDefault="0057351F" w:rsidP="00F35D80">
            <w:pPr>
              <w:spacing w:before="40" w:after="4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sz w:val="18"/>
                <w:szCs w:val="18"/>
              </w:rPr>
            </w:pPr>
          </w:p>
        </w:tc>
      </w:tr>
      <w:tr w:rsidR="00F35D80" w:rsidRPr="000973F2" w14:paraId="7FE33878" w14:textId="77777777" w:rsidTr="00A85323">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1004" w:type="pct"/>
            <w:vMerge/>
            <w:hideMark/>
          </w:tcPr>
          <w:p w14:paraId="636EF002" w14:textId="77777777" w:rsidR="0057351F" w:rsidRPr="000973F2" w:rsidRDefault="0057351F" w:rsidP="00F35D80">
            <w:pPr>
              <w:spacing w:before="40" w:after="40"/>
              <w:rPr>
                <w:rFonts w:ascii="Times New Roman" w:eastAsia="Times New Roman" w:hAnsi="Times New Roman" w:cs="Times New Roman"/>
                <w:b/>
                <w:bCs w:val="0"/>
                <w:sz w:val="18"/>
                <w:szCs w:val="18"/>
              </w:rPr>
            </w:pPr>
          </w:p>
        </w:tc>
        <w:tc>
          <w:tcPr>
            <w:tcW w:w="392" w:type="pct"/>
            <w:tcMar>
              <w:left w:w="14" w:type="dxa"/>
              <w:right w:w="14" w:type="dxa"/>
            </w:tcMar>
            <w:hideMark/>
          </w:tcPr>
          <w:p w14:paraId="6F8F3F8A" w14:textId="09318CAD" w:rsidR="0057351F" w:rsidRPr="000973F2" w:rsidRDefault="0057351F" w:rsidP="00F35D80">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18"/>
                <w:szCs w:val="18"/>
              </w:rPr>
            </w:pPr>
            <w:r w:rsidRPr="000973F2">
              <w:rPr>
                <w:rFonts w:ascii="Times New Roman" w:eastAsia="Times New Roman" w:hAnsi="Times New Roman" w:cs="Times New Roman"/>
                <w:b/>
                <w:bCs/>
                <w:sz w:val="18"/>
                <w:szCs w:val="18"/>
              </w:rPr>
              <w:t xml:space="preserve">Initial </w:t>
            </w:r>
            <w:r w:rsidR="00132320" w:rsidRPr="000973F2">
              <w:rPr>
                <w:rFonts w:ascii="Times New Roman" w:eastAsia="Times New Roman" w:hAnsi="Times New Roman" w:cs="Times New Roman"/>
                <w:b/>
                <w:bCs/>
                <w:sz w:val="18"/>
                <w:szCs w:val="18"/>
              </w:rPr>
              <w:t>Year Hours</w:t>
            </w:r>
          </w:p>
        </w:tc>
        <w:tc>
          <w:tcPr>
            <w:tcW w:w="392" w:type="pct"/>
            <w:tcMar>
              <w:left w:w="14" w:type="dxa"/>
              <w:right w:w="14" w:type="dxa"/>
            </w:tcMar>
            <w:hideMark/>
          </w:tcPr>
          <w:p w14:paraId="4CE0E78C" w14:textId="73583701" w:rsidR="0057351F" w:rsidRPr="000973F2" w:rsidRDefault="0057351F" w:rsidP="00F35D80">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18"/>
                <w:szCs w:val="18"/>
              </w:rPr>
            </w:pPr>
            <w:r w:rsidRPr="000973F2">
              <w:rPr>
                <w:rFonts w:ascii="Times New Roman" w:eastAsia="Times New Roman" w:hAnsi="Times New Roman" w:cs="Times New Roman"/>
                <w:b/>
                <w:bCs/>
                <w:sz w:val="18"/>
                <w:szCs w:val="18"/>
              </w:rPr>
              <w:t xml:space="preserve">Subseq. </w:t>
            </w:r>
            <w:r w:rsidR="00132320" w:rsidRPr="000973F2">
              <w:rPr>
                <w:rFonts w:ascii="Times New Roman" w:eastAsia="Times New Roman" w:hAnsi="Times New Roman" w:cs="Times New Roman"/>
                <w:b/>
                <w:bCs/>
                <w:sz w:val="18"/>
                <w:szCs w:val="18"/>
              </w:rPr>
              <w:t>Year Hours</w:t>
            </w:r>
          </w:p>
        </w:tc>
        <w:tc>
          <w:tcPr>
            <w:tcW w:w="392" w:type="pct"/>
            <w:tcMar>
              <w:left w:w="14" w:type="dxa"/>
              <w:right w:w="14" w:type="dxa"/>
            </w:tcMar>
            <w:hideMark/>
          </w:tcPr>
          <w:p w14:paraId="3D771746" w14:textId="1A3542FA" w:rsidR="0057351F" w:rsidRPr="000973F2" w:rsidRDefault="0057351F" w:rsidP="00F35D80">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18"/>
                <w:szCs w:val="18"/>
              </w:rPr>
            </w:pPr>
            <w:r w:rsidRPr="000973F2">
              <w:rPr>
                <w:rFonts w:ascii="Times New Roman" w:eastAsia="Times New Roman" w:hAnsi="Times New Roman" w:cs="Times New Roman"/>
                <w:b/>
                <w:bCs/>
                <w:sz w:val="18"/>
                <w:szCs w:val="18"/>
              </w:rPr>
              <w:t xml:space="preserve">Initial </w:t>
            </w:r>
            <w:r w:rsidR="00132320" w:rsidRPr="000973F2">
              <w:rPr>
                <w:rFonts w:ascii="Times New Roman" w:eastAsia="Times New Roman" w:hAnsi="Times New Roman" w:cs="Times New Roman"/>
                <w:b/>
                <w:bCs/>
                <w:sz w:val="18"/>
                <w:szCs w:val="18"/>
              </w:rPr>
              <w:t>Year Hours</w:t>
            </w:r>
          </w:p>
        </w:tc>
        <w:tc>
          <w:tcPr>
            <w:tcW w:w="392" w:type="pct"/>
            <w:tcMar>
              <w:left w:w="14" w:type="dxa"/>
              <w:right w:w="14" w:type="dxa"/>
            </w:tcMar>
            <w:hideMark/>
          </w:tcPr>
          <w:p w14:paraId="42F77BB8" w14:textId="150C4745" w:rsidR="0057351F" w:rsidRPr="000973F2" w:rsidRDefault="0057351F" w:rsidP="00F35D80">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18"/>
                <w:szCs w:val="18"/>
              </w:rPr>
            </w:pPr>
            <w:r w:rsidRPr="000973F2">
              <w:rPr>
                <w:rFonts w:ascii="Times New Roman" w:eastAsia="Times New Roman" w:hAnsi="Times New Roman" w:cs="Times New Roman"/>
                <w:b/>
                <w:bCs/>
                <w:sz w:val="18"/>
                <w:szCs w:val="18"/>
              </w:rPr>
              <w:t xml:space="preserve">Subseq. </w:t>
            </w:r>
            <w:r w:rsidR="00132320" w:rsidRPr="000973F2">
              <w:rPr>
                <w:rFonts w:ascii="Times New Roman" w:eastAsia="Times New Roman" w:hAnsi="Times New Roman" w:cs="Times New Roman"/>
                <w:b/>
                <w:bCs/>
                <w:sz w:val="18"/>
                <w:szCs w:val="18"/>
              </w:rPr>
              <w:t>Year Hours</w:t>
            </w:r>
          </w:p>
        </w:tc>
        <w:tc>
          <w:tcPr>
            <w:tcW w:w="392" w:type="pct"/>
            <w:tcMar>
              <w:left w:w="14" w:type="dxa"/>
              <w:right w:w="14" w:type="dxa"/>
            </w:tcMar>
            <w:hideMark/>
          </w:tcPr>
          <w:p w14:paraId="0739630B" w14:textId="7246B669" w:rsidR="0057351F" w:rsidRPr="000973F2" w:rsidRDefault="0057351F" w:rsidP="00F35D80">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18"/>
                <w:szCs w:val="18"/>
              </w:rPr>
            </w:pPr>
            <w:r w:rsidRPr="000973F2">
              <w:rPr>
                <w:rFonts w:ascii="Times New Roman" w:eastAsia="Times New Roman" w:hAnsi="Times New Roman" w:cs="Times New Roman"/>
                <w:b/>
                <w:bCs/>
                <w:sz w:val="18"/>
                <w:szCs w:val="18"/>
              </w:rPr>
              <w:t xml:space="preserve">Initial </w:t>
            </w:r>
            <w:r w:rsidR="00132320" w:rsidRPr="000973F2">
              <w:rPr>
                <w:rFonts w:ascii="Times New Roman" w:eastAsia="Times New Roman" w:hAnsi="Times New Roman" w:cs="Times New Roman"/>
                <w:b/>
                <w:bCs/>
                <w:sz w:val="18"/>
                <w:szCs w:val="18"/>
              </w:rPr>
              <w:t>Year Hours</w:t>
            </w:r>
          </w:p>
        </w:tc>
        <w:tc>
          <w:tcPr>
            <w:tcW w:w="392" w:type="pct"/>
            <w:tcMar>
              <w:left w:w="14" w:type="dxa"/>
              <w:right w:w="14" w:type="dxa"/>
            </w:tcMar>
            <w:hideMark/>
          </w:tcPr>
          <w:p w14:paraId="7960303A" w14:textId="6D671BE8" w:rsidR="0057351F" w:rsidRPr="000973F2" w:rsidRDefault="0057351F" w:rsidP="00F35D80">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18"/>
                <w:szCs w:val="18"/>
              </w:rPr>
            </w:pPr>
            <w:r w:rsidRPr="000973F2">
              <w:rPr>
                <w:rFonts w:ascii="Times New Roman" w:eastAsia="Times New Roman" w:hAnsi="Times New Roman" w:cs="Times New Roman"/>
                <w:b/>
                <w:bCs/>
                <w:sz w:val="18"/>
                <w:szCs w:val="18"/>
              </w:rPr>
              <w:t xml:space="preserve">Subseq. </w:t>
            </w:r>
            <w:r w:rsidR="00132320" w:rsidRPr="000973F2">
              <w:rPr>
                <w:rFonts w:ascii="Times New Roman" w:eastAsia="Times New Roman" w:hAnsi="Times New Roman" w:cs="Times New Roman"/>
                <w:b/>
                <w:bCs/>
                <w:sz w:val="18"/>
                <w:szCs w:val="18"/>
              </w:rPr>
              <w:t>Year Hours</w:t>
            </w:r>
          </w:p>
        </w:tc>
        <w:tc>
          <w:tcPr>
            <w:tcW w:w="392" w:type="pct"/>
            <w:tcMar>
              <w:left w:w="14" w:type="dxa"/>
              <w:right w:w="14" w:type="dxa"/>
            </w:tcMar>
            <w:hideMark/>
          </w:tcPr>
          <w:p w14:paraId="497C5474" w14:textId="38F11659" w:rsidR="0057351F" w:rsidRPr="000973F2" w:rsidRDefault="0057351F" w:rsidP="00F35D80">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18"/>
                <w:szCs w:val="18"/>
              </w:rPr>
            </w:pPr>
            <w:r w:rsidRPr="000973F2">
              <w:rPr>
                <w:rFonts w:ascii="Times New Roman" w:eastAsia="Times New Roman" w:hAnsi="Times New Roman" w:cs="Times New Roman"/>
                <w:b/>
                <w:bCs/>
                <w:sz w:val="18"/>
                <w:szCs w:val="18"/>
              </w:rPr>
              <w:t xml:space="preserve">Initial </w:t>
            </w:r>
            <w:r w:rsidR="00132320" w:rsidRPr="000973F2">
              <w:rPr>
                <w:rFonts w:ascii="Times New Roman" w:eastAsia="Times New Roman" w:hAnsi="Times New Roman" w:cs="Times New Roman"/>
                <w:b/>
                <w:bCs/>
                <w:sz w:val="18"/>
                <w:szCs w:val="18"/>
              </w:rPr>
              <w:t>Year Hours</w:t>
            </w:r>
          </w:p>
        </w:tc>
        <w:tc>
          <w:tcPr>
            <w:tcW w:w="393" w:type="pct"/>
            <w:tcMar>
              <w:left w:w="14" w:type="dxa"/>
              <w:right w:w="14" w:type="dxa"/>
            </w:tcMar>
            <w:hideMark/>
          </w:tcPr>
          <w:p w14:paraId="1AD6CEC1" w14:textId="7319C156" w:rsidR="0057351F" w:rsidRPr="000973F2" w:rsidRDefault="0057351F" w:rsidP="00F35D80">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18"/>
                <w:szCs w:val="18"/>
              </w:rPr>
            </w:pPr>
            <w:r w:rsidRPr="000973F2">
              <w:rPr>
                <w:rFonts w:ascii="Times New Roman" w:eastAsia="Times New Roman" w:hAnsi="Times New Roman" w:cs="Times New Roman"/>
                <w:b/>
                <w:bCs/>
                <w:sz w:val="18"/>
                <w:szCs w:val="18"/>
              </w:rPr>
              <w:t xml:space="preserve">Subseq. </w:t>
            </w:r>
            <w:r w:rsidR="00132320" w:rsidRPr="000973F2">
              <w:rPr>
                <w:rFonts w:ascii="Times New Roman" w:eastAsia="Times New Roman" w:hAnsi="Times New Roman" w:cs="Times New Roman"/>
                <w:b/>
                <w:bCs/>
                <w:sz w:val="18"/>
                <w:szCs w:val="18"/>
              </w:rPr>
              <w:t>Year Hours</w:t>
            </w:r>
          </w:p>
        </w:tc>
        <w:tc>
          <w:tcPr>
            <w:tcW w:w="430" w:type="pct"/>
            <w:tcMar>
              <w:left w:w="14" w:type="dxa"/>
              <w:right w:w="14" w:type="dxa"/>
            </w:tcMar>
            <w:hideMark/>
          </w:tcPr>
          <w:p w14:paraId="3DC68553" w14:textId="77777777" w:rsidR="0057351F" w:rsidRPr="000973F2" w:rsidRDefault="0057351F" w:rsidP="00F35D80">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18"/>
                <w:szCs w:val="18"/>
              </w:rPr>
            </w:pPr>
            <w:r w:rsidRPr="000973F2">
              <w:rPr>
                <w:rFonts w:ascii="Times New Roman" w:eastAsia="Times New Roman" w:hAnsi="Times New Roman" w:cs="Times New Roman"/>
                <w:b/>
                <w:bCs/>
                <w:sz w:val="18"/>
                <w:szCs w:val="18"/>
              </w:rPr>
              <w:t>Initial Year</w:t>
            </w:r>
          </w:p>
        </w:tc>
        <w:tc>
          <w:tcPr>
            <w:tcW w:w="429" w:type="pct"/>
            <w:tcMar>
              <w:left w:w="14" w:type="dxa"/>
              <w:right w:w="14" w:type="dxa"/>
            </w:tcMar>
            <w:hideMark/>
          </w:tcPr>
          <w:p w14:paraId="03F5985F" w14:textId="77777777" w:rsidR="0057351F" w:rsidRPr="000973F2" w:rsidRDefault="0057351F" w:rsidP="00F35D80">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18"/>
                <w:szCs w:val="18"/>
              </w:rPr>
            </w:pPr>
            <w:r w:rsidRPr="000973F2">
              <w:rPr>
                <w:rFonts w:ascii="Times New Roman" w:eastAsia="Times New Roman" w:hAnsi="Times New Roman" w:cs="Times New Roman"/>
                <w:b/>
                <w:bCs/>
                <w:sz w:val="18"/>
                <w:szCs w:val="18"/>
              </w:rPr>
              <w:t>Subseq. Year</w:t>
            </w:r>
          </w:p>
        </w:tc>
      </w:tr>
      <w:tr w:rsidR="00F35D80" w:rsidRPr="000973F2" w14:paraId="4F064470" w14:textId="77777777" w:rsidTr="00A85323">
        <w:trPr>
          <w:cantSplit/>
        </w:trPr>
        <w:tc>
          <w:tcPr>
            <w:cnfStyle w:val="001000000000" w:firstRow="0" w:lastRow="0" w:firstColumn="1" w:lastColumn="0" w:oddVBand="0" w:evenVBand="0" w:oddHBand="0" w:evenHBand="0" w:firstRowFirstColumn="0" w:firstRowLastColumn="0" w:lastRowFirstColumn="0" w:lastRowLastColumn="0"/>
            <w:tcW w:w="1004" w:type="pct"/>
            <w:tcMar>
              <w:right w:w="14" w:type="dxa"/>
            </w:tcMar>
            <w:hideMark/>
          </w:tcPr>
          <w:p w14:paraId="4AFA4A21" w14:textId="77777777" w:rsidR="0057351F" w:rsidRPr="000973F2" w:rsidRDefault="0057351F" w:rsidP="00F35D80">
            <w:pPr>
              <w:spacing w:before="40" w:after="4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Planning</w:t>
            </w:r>
          </w:p>
        </w:tc>
        <w:tc>
          <w:tcPr>
            <w:tcW w:w="392" w:type="pct"/>
            <w:noWrap/>
            <w:hideMark/>
          </w:tcPr>
          <w:p w14:paraId="7EFABB9C" w14:textId="77777777" w:rsidR="0057351F" w:rsidRPr="000973F2" w:rsidRDefault="0057351F" w:rsidP="00F35D80">
            <w:pPr>
              <w:spacing w:before="40" w:after="4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0</w:t>
            </w:r>
          </w:p>
        </w:tc>
        <w:tc>
          <w:tcPr>
            <w:tcW w:w="392" w:type="pct"/>
            <w:noWrap/>
            <w:hideMark/>
          </w:tcPr>
          <w:p w14:paraId="73FC57E4" w14:textId="77777777" w:rsidR="0057351F" w:rsidRPr="000973F2" w:rsidRDefault="0057351F" w:rsidP="00F35D80">
            <w:pPr>
              <w:spacing w:before="40" w:after="4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1</w:t>
            </w:r>
          </w:p>
        </w:tc>
        <w:tc>
          <w:tcPr>
            <w:tcW w:w="392" w:type="pct"/>
            <w:noWrap/>
            <w:hideMark/>
          </w:tcPr>
          <w:p w14:paraId="32C4A85C" w14:textId="77777777" w:rsidR="0057351F" w:rsidRPr="000973F2" w:rsidRDefault="0057351F" w:rsidP="00F35D80">
            <w:pPr>
              <w:spacing w:before="40" w:after="4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0</w:t>
            </w:r>
          </w:p>
        </w:tc>
        <w:tc>
          <w:tcPr>
            <w:tcW w:w="392" w:type="pct"/>
            <w:noWrap/>
            <w:hideMark/>
          </w:tcPr>
          <w:p w14:paraId="3D7BA5DE" w14:textId="77777777" w:rsidR="0057351F" w:rsidRPr="000973F2" w:rsidRDefault="0057351F" w:rsidP="00F35D80">
            <w:pPr>
              <w:tabs>
                <w:tab w:val="decimal" w:pos="211"/>
              </w:tabs>
              <w:spacing w:before="40" w:after="4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0.4</w:t>
            </w:r>
          </w:p>
        </w:tc>
        <w:tc>
          <w:tcPr>
            <w:tcW w:w="392" w:type="pct"/>
            <w:noWrap/>
            <w:hideMark/>
          </w:tcPr>
          <w:p w14:paraId="4B970453" w14:textId="77777777" w:rsidR="0057351F" w:rsidRPr="000973F2" w:rsidRDefault="0057351F" w:rsidP="00F35D80">
            <w:pPr>
              <w:spacing w:before="40" w:after="4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0</w:t>
            </w:r>
          </w:p>
        </w:tc>
        <w:tc>
          <w:tcPr>
            <w:tcW w:w="392" w:type="pct"/>
            <w:noWrap/>
            <w:hideMark/>
          </w:tcPr>
          <w:p w14:paraId="7B8DB359" w14:textId="77777777" w:rsidR="0057351F" w:rsidRPr="000973F2" w:rsidRDefault="0057351F" w:rsidP="00F35D80">
            <w:pPr>
              <w:tabs>
                <w:tab w:val="decimal" w:pos="286"/>
              </w:tabs>
              <w:spacing w:before="40" w:after="4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4</w:t>
            </w:r>
          </w:p>
        </w:tc>
        <w:tc>
          <w:tcPr>
            <w:tcW w:w="392" w:type="pct"/>
            <w:noWrap/>
            <w:hideMark/>
          </w:tcPr>
          <w:p w14:paraId="06265D50" w14:textId="77777777" w:rsidR="0057351F" w:rsidRPr="000973F2" w:rsidRDefault="0057351F" w:rsidP="00F35D80">
            <w:pPr>
              <w:spacing w:before="40" w:after="4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0</w:t>
            </w:r>
          </w:p>
        </w:tc>
        <w:tc>
          <w:tcPr>
            <w:tcW w:w="393" w:type="pct"/>
            <w:noWrap/>
            <w:hideMark/>
          </w:tcPr>
          <w:p w14:paraId="08D682D5" w14:textId="77777777" w:rsidR="0057351F" w:rsidRPr="000973F2" w:rsidRDefault="0057351F" w:rsidP="00F35D80">
            <w:pPr>
              <w:tabs>
                <w:tab w:val="decimal" w:pos="166"/>
              </w:tabs>
              <w:spacing w:before="40" w:after="4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0.2</w:t>
            </w:r>
          </w:p>
        </w:tc>
        <w:tc>
          <w:tcPr>
            <w:tcW w:w="430" w:type="pct"/>
            <w:noWrap/>
            <w:hideMark/>
          </w:tcPr>
          <w:p w14:paraId="2865E4C5" w14:textId="7B17021F" w:rsidR="0057351F" w:rsidRPr="000973F2" w:rsidRDefault="0057351F" w:rsidP="00F35D80">
            <w:pPr>
              <w:spacing w:before="40" w:after="4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$0</w:t>
            </w:r>
          </w:p>
        </w:tc>
        <w:tc>
          <w:tcPr>
            <w:tcW w:w="429" w:type="pct"/>
            <w:noWrap/>
            <w:hideMark/>
          </w:tcPr>
          <w:p w14:paraId="680626AA" w14:textId="3CB948D6" w:rsidR="0057351F" w:rsidRPr="000973F2" w:rsidRDefault="0057351F" w:rsidP="00F35D80">
            <w:pPr>
              <w:tabs>
                <w:tab w:val="decimal" w:pos="526"/>
              </w:tabs>
              <w:spacing w:before="40" w:after="4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$440</w:t>
            </w:r>
          </w:p>
        </w:tc>
      </w:tr>
      <w:tr w:rsidR="00F35D80" w:rsidRPr="000973F2" w14:paraId="5A3252A0" w14:textId="77777777" w:rsidTr="00A85323">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1004" w:type="pct"/>
            <w:tcMar>
              <w:right w:w="14" w:type="dxa"/>
            </w:tcMar>
            <w:hideMark/>
          </w:tcPr>
          <w:p w14:paraId="3E7C601E" w14:textId="77777777" w:rsidR="0057351F" w:rsidRPr="000973F2" w:rsidRDefault="0057351F" w:rsidP="00F35D80">
            <w:pPr>
              <w:spacing w:before="40" w:after="4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QA/QC</w:t>
            </w:r>
          </w:p>
        </w:tc>
        <w:tc>
          <w:tcPr>
            <w:tcW w:w="392" w:type="pct"/>
            <w:noWrap/>
            <w:hideMark/>
          </w:tcPr>
          <w:p w14:paraId="44803A29" w14:textId="77777777" w:rsidR="0057351F" w:rsidRPr="000973F2" w:rsidRDefault="0057351F" w:rsidP="00F35D80">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0</w:t>
            </w:r>
          </w:p>
        </w:tc>
        <w:tc>
          <w:tcPr>
            <w:tcW w:w="392" w:type="pct"/>
            <w:noWrap/>
            <w:hideMark/>
          </w:tcPr>
          <w:p w14:paraId="064419E1" w14:textId="77777777" w:rsidR="0057351F" w:rsidRPr="000973F2" w:rsidRDefault="0057351F" w:rsidP="00F35D80">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1</w:t>
            </w:r>
          </w:p>
        </w:tc>
        <w:tc>
          <w:tcPr>
            <w:tcW w:w="392" w:type="pct"/>
            <w:noWrap/>
            <w:hideMark/>
          </w:tcPr>
          <w:p w14:paraId="7DA17E30" w14:textId="77777777" w:rsidR="0057351F" w:rsidRPr="000973F2" w:rsidRDefault="0057351F" w:rsidP="00F35D80">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0</w:t>
            </w:r>
          </w:p>
        </w:tc>
        <w:tc>
          <w:tcPr>
            <w:tcW w:w="392" w:type="pct"/>
            <w:noWrap/>
            <w:hideMark/>
          </w:tcPr>
          <w:p w14:paraId="3772F325" w14:textId="77777777" w:rsidR="0057351F" w:rsidRPr="000973F2" w:rsidRDefault="0057351F" w:rsidP="00F35D80">
            <w:pPr>
              <w:tabs>
                <w:tab w:val="decimal" w:pos="211"/>
              </w:tabs>
              <w:spacing w:before="40" w:after="4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0.2</w:t>
            </w:r>
          </w:p>
        </w:tc>
        <w:tc>
          <w:tcPr>
            <w:tcW w:w="392" w:type="pct"/>
            <w:noWrap/>
            <w:hideMark/>
          </w:tcPr>
          <w:p w14:paraId="4FE6A815" w14:textId="77777777" w:rsidR="0057351F" w:rsidRPr="000973F2" w:rsidRDefault="0057351F" w:rsidP="00F35D80">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0</w:t>
            </w:r>
          </w:p>
        </w:tc>
        <w:tc>
          <w:tcPr>
            <w:tcW w:w="392" w:type="pct"/>
            <w:noWrap/>
            <w:hideMark/>
          </w:tcPr>
          <w:p w14:paraId="5ECB1F12" w14:textId="77777777" w:rsidR="0057351F" w:rsidRPr="000973F2" w:rsidRDefault="0057351F" w:rsidP="00F35D80">
            <w:pPr>
              <w:tabs>
                <w:tab w:val="decimal" w:pos="286"/>
              </w:tabs>
              <w:spacing w:before="40" w:after="4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2</w:t>
            </w:r>
          </w:p>
        </w:tc>
        <w:tc>
          <w:tcPr>
            <w:tcW w:w="392" w:type="pct"/>
            <w:noWrap/>
            <w:hideMark/>
          </w:tcPr>
          <w:p w14:paraId="3173CF87" w14:textId="77777777" w:rsidR="0057351F" w:rsidRPr="000973F2" w:rsidRDefault="0057351F" w:rsidP="00F35D80">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0</w:t>
            </w:r>
          </w:p>
        </w:tc>
        <w:tc>
          <w:tcPr>
            <w:tcW w:w="393" w:type="pct"/>
            <w:noWrap/>
            <w:hideMark/>
          </w:tcPr>
          <w:p w14:paraId="42ED4DA7" w14:textId="77777777" w:rsidR="0057351F" w:rsidRPr="000973F2" w:rsidRDefault="0057351F" w:rsidP="00F35D80">
            <w:pPr>
              <w:tabs>
                <w:tab w:val="decimal" w:pos="166"/>
              </w:tabs>
              <w:spacing w:before="40" w:after="4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0.1</w:t>
            </w:r>
          </w:p>
        </w:tc>
        <w:tc>
          <w:tcPr>
            <w:tcW w:w="430" w:type="pct"/>
            <w:noWrap/>
            <w:hideMark/>
          </w:tcPr>
          <w:p w14:paraId="24C8D0D1" w14:textId="2B2C1109" w:rsidR="0057351F" w:rsidRPr="000973F2" w:rsidRDefault="0057351F" w:rsidP="00F35D80">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$0</w:t>
            </w:r>
          </w:p>
        </w:tc>
        <w:tc>
          <w:tcPr>
            <w:tcW w:w="429" w:type="pct"/>
            <w:noWrap/>
            <w:hideMark/>
          </w:tcPr>
          <w:p w14:paraId="46FFB0E6" w14:textId="54965132" w:rsidR="0057351F" w:rsidRPr="000973F2" w:rsidRDefault="0057351F" w:rsidP="00F35D80">
            <w:pPr>
              <w:tabs>
                <w:tab w:val="decimal" w:pos="526"/>
              </w:tabs>
              <w:spacing w:before="40" w:after="4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$276</w:t>
            </w:r>
          </w:p>
        </w:tc>
      </w:tr>
      <w:tr w:rsidR="00F35D80" w:rsidRPr="000973F2" w14:paraId="27A7F8A8" w14:textId="77777777" w:rsidTr="00A85323">
        <w:trPr>
          <w:cantSplit/>
        </w:trPr>
        <w:tc>
          <w:tcPr>
            <w:cnfStyle w:val="001000000000" w:firstRow="0" w:lastRow="0" w:firstColumn="1" w:lastColumn="0" w:oddVBand="0" w:evenVBand="0" w:oddHBand="0" w:evenHBand="0" w:firstRowFirstColumn="0" w:firstRowLastColumn="0" w:lastRowFirstColumn="0" w:lastRowLastColumn="0"/>
            <w:tcW w:w="1004" w:type="pct"/>
            <w:tcMar>
              <w:right w:w="14" w:type="dxa"/>
            </w:tcMar>
            <w:hideMark/>
          </w:tcPr>
          <w:p w14:paraId="5798B39E" w14:textId="77777777" w:rsidR="0057351F" w:rsidRPr="000973F2" w:rsidRDefault="0057351F" w:rsidP="00F35D80">
            <w:pPr>
              <w:spacing w:before="40" w:after="4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Recordkeeping</w:t>
            </w:r>
          </w:p>
        </w:tc>
        <w:tc>
          <w:tcPr>
            <w:tcW w:w="392" w:type="pct"/>
            <w:noWrap/>
            <w:hideMark/>
          </w:tcPr>
          <w:p w14:paraId="182F9908" w14:textId="77777777" w:rsidR="0057351F" w:rsidRPr="000973F2" w:rsidRDefault="0057351F" w:rsidP="00F35D80">
            <w:pPr>
              <w:spacing w:before="40" w:after="4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0</w:t>
            </w:r>
          </w:p>
        </w:tc>
        <w:tc>
          <w:tcPr>
            <w:tcW w:w="392" w:type="pct"/>
            <w:noWrap/>
            <w:hideMark/>
          </w:tcPr>
          <w:p w14:paraId="750E7935" w14:textId="77777777" w:rsidR="0057351F" w:rsidRPr="000973F2" w:rsidRDefault="0057351F" w:rsidP="00F35D80">
            <w:pPr>
              <w:spacing w:before="40" w:after="4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0</w:t>
            </w:r>
          </w:p>
        </w:tc>
        <w:tc>
          <w:tcPr>
            <w:tcW w:w="392" w:type="pct"/>
            <w:noWrap/>
            <w:hideMark/>
          </w:tcPr>
          <w:p w14:paraId="474CD406" w14:textId="77777777" w:rsidR="0057351F" w:rsidRPr="000973F2" w:rsidRDefault="0057351F" w:rsidP="00F35D80">
            <w:pPr>
              <w:spacing w:before="40" w:after="4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0</w:t>
            </w:r>
          </w:p>
        </w:tc>
        <w:tc>
          <w:tcPr>
            <w:tcW w:w="392" w:type="pct"/>
            <w:noWrap/>
            <w:hideMark/>
          </w:tcPr>
          <w:p w14:paraId="696EC810" w14:textId="77777777" w:rsidR="0057351F" w:rsidRPr="000973F2" w:rsidRDefault="0057351F" w:rsidP="00F35D80">
            <w:pPr>
              <w:tabs>
                <w:tab w:val="decimal" w:pos="211"/>
              </w:tabs>
              <w:spacing w:before="40" w:after="4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0.5</w:t>
            </w:r>
          </w:p>
        </w:tc>
        <w:tc>
          <w:tcPr>
            <w:tcW w:w="392" w:type="pct"/>
            <w:noWrap/>
            <w:hideMark/>
          </w:tcPr>
          <w:p w14:paraId="59FDFE81" w14:textId="77777777" w:rsidR="0057351F" w:rsidRPr="000973F2" w:rsidRDefault="0057351F" w:rsidP="00F35D80">
            <w:pPr>
              <w:spacing w:before="40" w:after="4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0</w:t>
            </w:r>
          </w:p>
        </w:tc>
        <w:tc>
          <w:tcPr>
            <w:tcW w:w="392" w:type="pct"/>
            <w:noWrap/>
            <w:hideMark/>
          </w:tcPr>
          <w:p w14:paraId="00197BE6" w14:textId="77777777" w:rsidR="0057351F" w:rsidRPr="000973F2" w:rsidRDefault="0057351F" w:rsidP="00F35D80">
            <w:pPr>
              <w:tabs>
                <w:tab w:val="decimal" w:pos="286"/>
              </w:tabs>
              <w:spacing w:before="40" w:after="4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5</w:t>
            </w:r>
          </w:p>
        </w:tc>
        <w:tc>
          <w:tcPr>
            <w:tcW w:w="392" w:type="pct"/>
            <w:noWrap/>
            <w:hideMark/>
          </w:tcPr>
          <w:p w14:paraId="6CB2E2A5" w14:textId="77777777" w:rsidR="0057351F" w:rsidRPr="000973F2" w:rsidRDefault="0057351F" w:rsidP="00F35D80">
            <w:pPr>
              <w:spacing w:before="40" w:after="4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0</w:t>
            </w:r>
          </w:p>
        </w:tc>
        <w:tc>
          <w:tcPr>
            <w:tcW w:w="393" w:type="pct"/>
            <w:noWrap/>
            <w:hideMark/>
          </w:tcPr>
          <w:p w14:paraId="25ADC7B5" w14:textId="77777777" w:rsidR="0057351F" w:rsidRPr="000973F2" w:rsidRDefault="0057351F" w:rsidP="00F35D80">
            <w:pPr>
              <w:tabs>
                <w:tab w:val="decimal" w:pos="166"/>
              </w:tabs>
              <w:spacing w:before="40" w:after="4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0.5</w:t>
            </w:r>
          </w:p>
        </w:tc>
        <w:tc>
          <w:tcPr>
            <w:tcW w:w="430" w:type="pct"/>
            <w:noWrap/>
            <w:hideMark/>
          </w:tcPr>
          <w:p w14:paraId="16D3444C" w14:textId="25B5DD95" w:rsidR="0057351F" w:rsidRPr="000973F2" w:rsidRDefault="0057351F" w:rsidP="00F35D80">
            <w:pPr>
              <w:spacing w:before="40" w:after="4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$0</w:t>
            </w:r>
          </w:p>
        </w:tc>
        <w:tc>
          <w:tcPr>
            <w:tcW w:w="429" w:type="pct"/>
            <w:noWrap/>
            <w:hideMark/>
          </w:tcPr>
          <w:p w14:paraId="41EFCD68" w14:textId="4D025E9E" w:rsidR="0057351F" w:rsidRPr="000973F2" w:rsidRDefault="0057351F" w:rsidP="00F35D80">
            <w:pPr>
              <w:tabs>
                <w:tab w:val="decimal" w:pos="526"/>
              </w:tabs>
              <w:spacing w:before="40" w:after="4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$419</w:t>
            </w:r>
          </w:p>
        </w:tc>
      </w:tr>
      <w:tr w:rsidR="00F35D80" w:rsidRPr="000973F2" w14:paraId="6D83841B" w14:textId="77777777" w:rsidTr="00A85323">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1004" w:type="pct"/>
            <w:tcMar>
              <w:right w:w="14" w:type="dxa"/>
            </w:tcMar>
            <w:hideMark/>
          </w:tcPr>
          <w:p w14:paraId="71FB11C1" w14:textId="77777777" w:rsidR="0057351F" w:rsidRPr="000973F2" w:rsidRDefault="0057351F" w:rsidP="00F35D80">
            <w:pPr>
              <w:spacing w:before="40" w:after="4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Sampling and Analysis (Calculations)</w:t>
            </w:r>
          </w:p>
        </w:tc>
        <w:tc>
          <w:tcPr>
            <w:tcW w:w="392" w:type="pct"/>
            <w:noWrap/>
            <w:hideMark/>
          </w:tcPr>
          <w:p w14:paraId="47E51951" w14:textId="77777777" w:rsidR="0057351F" w:rsidRPr="000973F2" w:rsidRDefault="0057351F" w:rsidP="00F35D80">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0</w:t>
            </w:r>
          </w:p>
        </w:tc>
        <w:tc>
          <w:tcPr>
            <w:tcW w:w="392" w:type="pct"/>
            <w:noWrap/>
            <w:hideMark/>
          </w:tcPr>
          <w:p w14:paraId="3B090A2C" w14:textId="77777777" w:rsidR="0057351F" w:rsidRPr="000973F2" w:rsidRDefault="0057351F" w:rsidP="00F35D80">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0</w:t>
            </w:r>
          </w:p>
        </w:tc>
        <w:tc>
          <w:tcPr>
            <w:tcW w:w="392" w:type="pct"/>
            <w:noWrap/>
            <w:hideMark/>
          </w:tcPr>
          <w:p w14:paraId="64D81A57" w14:textId="77777777" w:rsidR="0057351F" w:rsidRPr="000973F2" w:rsidRDefault="0057351F" w:rsidP="00F35D80">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0</w:t>
            </w:r>
          </w:p>
        </w:tc>
        <w:tc>
          <w:tcPr>
            <w:tcW w:w="392" w:type="pct"/>
            <w:noWrap/>
            <w:hideMark/>
          </w:tcPr>
          <w:p w14:paraId="51776C12" w14:textId="77777777" w:rsidR="0057351F" w:rsidRPr="000973F2" w:rsidRDefault="0057351F" w:rsidP="00F35D80">
            <w:pPr>
              <w:tabs>
                <w:tab w:val="decimal" w:pos="211"/>
              </w:tabs>
              <w:spacing w:before="40" w:after="4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0.1</w:t>
            </w:r>
          </w:p>
        </w:tc>
        <w:tc>
          <w:tcPr>
            <w:tcW w:w="392" w:type="pct"/>
            <w:noWrap/>
            <w:hideMark/>
          </w:tcPr>
          <w:p w14:paraId="6D79E107" w14:textId="77777777" w:rsidR="0057351F" w:rsidRPr="000973F2" w:rsidRDefault="0057351F" w:rsidP="00F35D80">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0</w:t>
            </w:r>
          </w:p>
        </w:tc>
        <w:tc>
          <w:tcPr>
            <w:tcW w:w="392" w:type="pct"/>
            <w:noWrap/>
            <w:hideMark/>
          </w:tcPr>
          <w:p w14:paraId="77BAB85C" w14:textId="77777777" w:rsidR="0057351F" w:rsidRPr="000973F2" w:rsidRDefault="0057351F" w:rsidP="00F35D80">
            <w:pPr>
              <w:tabs>
                <w:tab w:val="decimal" w:pos="286"/>
              </w:tabs>
              <w:spacing w:before="40" w:after="4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1</w:t>
            </w:r>
          </w:p>
        </w:tc>
        <w:tc>
          <w:tcPr>
            <w:tcW w:w="392" w:type="pct"/>
            <w:noWrap/>
            <w:hideMark/>
          </w:tcPr>
          <w:p w14:paraId="513F9423" w14:textId="77777777" w:rsidR="0057351F" w:rsidRPr="000973F2" w:rsidRDefault="0057351F" w:rsidP="00F35D80">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0</w:t>
            </w:r>
          </w:p>
        </w:tc>
        <w:tc>
          <w:tcPr>
            <w:tcW w:w="393" w:type="pct"/>
            <w:noWrap/>
            <w:hideMark/>
          </w:tcPr>
          <w:p w14:paraId="0F22E027" w14:textId="77777777" w:rsidR="0057351F" w:rsidRPr="000973F2" w:rsidRDefault="0057351F" w:rsidP="00F35D80">
            <w:pPr>
              <w:tabs>
                <w:tab w:val="decimal" w:pos="166"/>
              </w:tabs>
              <w:spacing w:before="40" w:after="4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0.1</w:t>
            </w:r>
          </w:p>
        </w:tc>
        <w:tc>
          <w:tcPr>
            <w:tcW w:w="430" w:type="pct"/>
            <w:noWrap/>
            <w:hideMark/>
          </w:tcPr>
          <w:p w14:paraId="47FDFF0D" w14:textId="6EF4A3CB" w:rsidR="0057351F" w:rsidRPr="000973F2" w:rsidRDefault="0057351F" w:rsidP="00F35D80">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$0</w:t>
            </w:r>
          </w:p>
        </w:tc>
        <w:tc>
          <w:tcPr>
            <w:tcW w:w="429" w:type="pct"/>
            <w:noWrap/>
            <w:hideMark/>
          </w:tcPr>
          <w:p w14:paraId="762E691D" w14:textId="3A3C9F21" w:rsidR="0057351F" w:rsidRPr="000973F2" w:rsidRDefault="0057351F" w:rsidP="00F35D80">
            <w:pPr>
              <w:tabs>
                <w:tab w:val="decimal" w:pos="526"/>
              </w:tabs>
              <w:spacing w:before="40" w:after="4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$82</w:t>
            </w:r>
          </w:p>
        </w:tc>
      </w:tr>
      <w:tr w:rsidR="00F35D80" w:rsidRPr="000973F2" w14:paraId="41376C4D" w14:textId="77777777" w:rsidTr="00A85323">
        <w:trPr>
          <w:cantSplit/>
        </w:trPr>
        <w:tc>
          <w:tcPr>
            <w:cnfStyle w:val="001000000000" w:firstRow="0" w:lastRow="0" w:firstColumn="1" w:lastColumn="0" w:oddVBand="0" w:evenVBand="0" w:oddHBand="0" w:evenHBand="0" w:firstRowFirstColumn="0" w:firstRowLastColumn="0" w:lastRowFirstColumn="0" w:lastRowLastColumn="0"/>
            <w:tcW w:w="1004" w:type="pct"/>
            <w:tcMar>
              <w:right w:w="14" w:type="dxa"/>
            </w:tcMar>
            <w:hideMark/>
          </w:tcPr>
          <w:p w14:paraId="696FE256" w14:textId="77777777" w:rsidR="0057351F" w:rsidRPr="000973F2" w:rsidRDefault="0057351F" w:rsidP="00F35D80">
            <w:pPr>
              <w:spacing w:before="40" w:after="4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Reporting</w:t>
            </w:r>
          </w:p>
        </w:tc>
        <w:tc>
          <w:tcPr>
            <w:tcW w:w="392" w:type="pct"/>
            <w:noWrap/>
            <w:hideMark/>
          </w:tcPr>
          <w:p w14:paraId="044AF80E" w14:textId="77777777" w:rsidR="0057351F" w:rsidRPr="000973F2" w:rsidRDefault="0057351F" w:rsidP="00F35D80">
            <w:pPr>
              <w:spacing w:before="40" w:after="4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0</w:t>
            </w:r>
          </w:p>
        </w:tc>
        <w:tc>
          <w:tcPr>
            <w:tcW w:w="392" w:type="pct"/>
            <w:noWrap/>
            <w:hideMark/>
          </w:tcPr>
          <w:p w14:paraId="4B1AD966" w14:textId="77777777" w:rsidR="0057351F" w:rsidRPr="000973F2" w:rsidRDefault="0057351F" w:rsidP="00F35D80">
            <w:pPr>
              <w:spacing w:before="40" w:after="4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0</w:t>
            </w:r>
          </w:p>
        </w:tc>
        <w:tc>
          <w:tcPr>
            <w:tcW w:w="392" w:type="pct"/>
            <w:noWrap/>
            <w:hideMark/>
          </w:tcPr>
          <w:p w14:paraId="6012ED41" w14:textId="77777777" w:rsidR="0057351F" w:rsidRPr="000973F2" w:rsidRDefault="0057351F" w:rsidP="00F35D80">
            <w:pPr>
              <w:spacing w:before="40" w:after="4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0</w:t>
            </w:r>
          </w:p>
        </w:tc>
        <w:tc>
          <w:tcPr>
            <w:tcW w:w="392" w:type="pct"/>
            <w:noWrap/>
            <w:hideMark/>
          </w:tcPr>
          <w:p w14:paraId="5124B03A" w14:textId="77777777" w:rsidR="0057351F" w:rsidRPr="000973F2" w:rsidRDefault="0057351F" w:rsidP="00F35D80">
            <w:pPr>
              <w:tabs>
                <w:tab w:val="decimal" w:pos="211"/>
              </w:tabs>
              <w:spacing w:before="40" w:after="4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1</w:t>
            </w:r>
          </w:p>
        </w:tc>
        <w:tc>
          <w:tcPr>
            <w:tcW w:w="392" w:type="pct"/>
            <w:noWrap/>
            <w:hideMark/>
          </w:tcPr>
          <w:p w14:paraId="07898434" w14:textId="77777777" w:rsidR="0057351F" w:rsidRPr="000973F2" w:rsidRDefault="0057351F" w:rsidP="00F35D80">
            <w:pPr>
              <w:spacing w:before="40" w:after="4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0</w:t>
            </w:r>
          </w:p>
        </w:tc>
        <w:tc>
          <w:tcPr>
            <w:tcW w:w="392" w:type="pct"/>
            <w:noWrap/>
            <w:hideMark/>
          </w:tcPr>
          <w:p w14:paraId="41A17E48" w14:textId="77777777" w:rsidR="0057351F" w:rsidRPr="000973F2" w:rsidRDefault="0057351F" w:rsidP="00F35D80">
            <w:pPr>
              <w:tabs>
                <w:tab w:val="decimal" w:pos="286"/>
              </w:tabs>
              <w:spacing w:before="40" w:after="4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10</w:t>
            </w:r>
          </w:p>
        </w:tc>
        <w:tc>
          <w:tcPr>
            <w:tcW w:w="392" w:type="pct"/>
            <w:noWrap/>
            <w:hideMark/>
          </w:tcPr>
          <w:p w14:paraId="6B765D41" w14:textId="77777777" w:rsidR="0057351F" w:rsidRPr="000973F2" w:rsidRDefault="0057351F" w:rsidP="00F35D80">
            <w:pPr>
              <w:spacing w:before="40" w:after="4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0</w:t>
            </w:r>
          </w:p>
        </w:tc>
        <w:tc>
          <w:tcPr>
            <w:tcW w:w="393" w:type="pct"/>
            <w:noWrap/>
            <w:hideMark/>
          </w:tcPr>
          <w:p w14:paraId="36E4834B" w14:textId="77777777" w:rsidR="0057351F" w:rsidRPr="000973F2" w:rsidRDefault="0057351F" w:rsidP="00F35D80">
            <w:pPr>
              <w:tabs>
                <w:tab w:val="decimal" w:pos="166"/>
              </w:tabs>
              <w:spacing w:before="40" w:after="4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1</w:t>
            </w:r>
          </w:p>
        </w:tc>
        <w:tc>
          <w:tcPr>
            <w:tcW w:w="430" w:type="pct"/>
            <w:noWrap/>
            <w:hideMark/>
          </w:tcPr>
          <w:p w14:paraId="778DB7AC" w14:textId="42B17C8C" w:rsidR="0057351F" w:rsidRPr="000973F2" w:rsidRDefault="0057351F" w:rsidP="00F35D80">
            <w:pPr>
              <w:spacing w:before="40" w:after="4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$0</w:t>
            </w:r>
          </w:p>
        </w:tc>
        <w:tc>
          <w:tcPr>
            <w:tcW w:w="429" w:type="pct"/>
            <w:noWrap/>
            <w:hideMark/>
          </w:tcPr>
          <w:p w14:paraId="12CC431D" w14:textId="2E03CC3F" w:rsidR="0057351F" w:rsidRPr="000973F2" w:rsidRDefault="0057351F" w:rsidP="00F35D80">
            <w:pPr>
              <w:tabs>
                <w:tab w:val="decimal" w:pos="526"/>
              </w:tabs>
              <w:spacing w:before="40" w:after="4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$838</w:t>
            </w:r>
          </w:p>
        </w:tc>
      </w:tr>
      <w:tr w:rsidR="00F35D80" w:rsidRPr="000973F2" w14:paraId="5B3B7DBA" w14:textId="77777777" w:rsidTr="00A85323">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1004" w:type="pct"/>
            <w:noWrap/>
            <w:tcMar>
              <w:right w:w="14" w:type="dxa"/>
            </w:tcMar>
            <w:hideMark/>
          </w:tcPr>
          <w:p w14:paraId="0642ABBB" w14:textId="77777777" w:rsidR="0057351F" w:rsidRPr="000973F2" w:rsidRDefault="0057351F" w:rsidP="00F35D80">
            <w:pPr>
              <w:spacing w:before="40" w:after="40"/>
              <w:rPr>
                <w:rFonts w:ascii="Times New Roman" w:eastAsia="Times New Roman" w:hAnsi="Times New Roman" w:cs="Times New Roman"/>
                <w:b/>
                <w:bCs w:val="0"/>
                <w:sz w:val="18"/>
                <w:szCs w:val="18"/>
              </w:rPr>
            </w:pPr>
            <w:r w:rsidRPr="000973F2">
              <w:rPr>
                <w:rFonts w:ascii="Times New Roman" w:eastAsia="Times New Roman" w:hAnsi="Times New Roman" w:cs="Times New Roman"/>
                <w:b/>
                <w:sz w:val="18"/>
                <w:szCs w:val="18"/>
              </w:rPr>
              <w:t>Total</w:t>
            </w:r>
          </w:p>
        </w:tc>
        <w:tc>
          <w:tcPr>
            <w:tcW w:w="392" w:type="pct"/>
            <w:noWrap/>
            <w:hideMark/>
          </w:tcPr>
          <w:p w14:paraId="46C2CBAC" w14:textId="77777777" w:rsidR="0057351F" w:rsidRPr="000973F2" w:rsidRDefault="0057351F" w:rsidP="00F35D80">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18"/>
                <w:szCs w:val="18"/>
              </w:rPr>
            </w:pPr>
            <w:r w:rsidRPr="000973F2">
              <w:rPr>
                <w:rFonts w:ascii="Times New Roman" w:eastAsia="Times New Roman" w:hAnsi="Times New Roman" w:cs="Times New Roman"/>
                <w:b/>
                <w:bCs/>
                <w:sz w:val="18"/>
                <w:szCs w:val="18"/>
              </w:rPr>
              <w:t>0</w:t>
            </w:r>
          </w:p>
        </w:tc>
        <w:tc>
          <w:tcPr>
            <w:tcW w:w="392" w:type="pct"/>
            <w:noWrap/>
            <w:hideMark/>
          </w:tcPr>
          <w:p w14:paraId="3A0C5BCD" w14:textId="77777777" w:rsidR="0057351F" w:rsidRPr="000973F2" w:rsidRDefault="0057351F" w:rsidP="00F35D80">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18"/>
                <w:szCs w:val="18"/>
              </w:rPr>
            </w:pPr>
            <w:r w:rsidRPr="000973F2">
              <w:rPr>
                <w:rFonts w:ascii="Times New Roman" w:eastAsia="Times New Roman" w:hAnsi="Times New Roman" w:cs="Times New Roman"/>
                <w:b/>
                <w:bCs/>
                <w:sz w:val="18"/>
                <w:szCs w:val="18"/>
              </w:rPr>
              <w:t>2</w:t>
            </w:r>
          </w:p>
        </w:tc>
        <w:tc>
          <w:tcPr>
            <w:tcW w:w="392" w:type="pct"/>
            <w:noWrap/>
            <w:hideMark/>
          </w:tcPr>
          <w:p w14:paraId="072AAAE8" w14:textId="77777777" w:rsidR="0057351F" w:rsidRPr="000973F2" w:rsidRDefault="0057351F" w:rsidP="00F35D80">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18"/>
                <w:szCs w:val="18"/>
              </w:rPr>
            </w:pPr>
            <w:r w:rsidRPr="000973F2">
              <w:rPr>
                <w:rFonts w:ascii="Times New Roman" w:eastAsia="Times New Roman" w:hAnsi="Times New Roman" w:cs="Times New Roman"/>
                <w:b/>
                <w:bCs/>
                <w:sz w:val="18"/>
                <w:szCs w:val="18"/>
              </w:rPr>
              <w:t>0</w:t>
            </w:r>
          </w:p>
        </w:tc>
        <w:tc>
          <w:tcPr>
            <w:tcW w:w="392" w:type="pct"/>
            <w:noWrap/>
            <w:hideMark/>
          </w:tcPr>
          <w:p w14:paraId="0AEB3B2F" w14:textId="77777777" w:rsidR="0057351F" w:rsidRPr="000973F2" w:rsidRDefault="0057351F" w:rsidP="00F35D80">
            <w:pPr>
              <w:tabs>
                <w:tab w:val="decimal" w:pos="211"/>
              </w:tabs>
              <w:spacing w:before="40" w:after="4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18"/>
                <w:szCs w:val="18"/>
              </w:rPr>
            </w:pPr>
            <w:r w:rsidRPr="000973F2">
              <w:rPr>
                <w:rFonts w:ascii="Times New Roman" w:eastAsia="Times New Roman" w:hAnsi="Times New Roman" w:cs="Times New Roman"/>
                <w:b/>
                <w:bCs/>
                <w:sz w:val="18"/>
                <w:szCs w:val="18"/>
              </w:rPr>
              <w:t>2.2</w:t>
            </w:r>
          </w:p>
        </w:tc>
        <w:tc>
          <w:tcPr>
            <w:tcW w:w="392" w:type="pct"/>
            <w:noWrap/>
            <w:hideMark/>
          </w:tcPr>
          <w:p w14:paraId="7D4A36B0" w14:textId="77777777" w:rsidR="0057351F" w:rsidRPr="000973F2" w:rsidRDefault="0057351F" w:rsidP="00F35D80">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18"/>
                <w:szCs w:val="18"/>
              </w:rPr>
            </w:pPr>
            <w:r w:rsidRPr="000973F2">
              <w:rPr>
                <w:rFonts w:ascii="Times New Roman" w:eastAsia="Times New Roman" w:hAnsi="Times New Roman" w:cs="Times New Roman"/>
                <w:b/>
                <w:bCs/>
                <w:sz w:val="18"/>
                <w:szCs w:val="18"/>
              </w:rPr>
              <w:t>0</w:t>
            </w:r>
          </w:p>
        </w:tc>
        <w:tc>
          <w:tcPr>
            <w:tcW w:w="392" w:type="pct"/>
            <w:noWrap/>
            <w:hideMark/>
          </w:tcPr>
          <w:p w14:paraId="2320FC1E" w14:textId="77777777" w:rsidR="0057351F" w:rsidRPr="000973F2" w:rsidRDefault="0057351F" w:rsidP="00F35D80">
            <w:pPr>
              <w:tabs>
                <w:tab w:val="decimal" w:pos="286"/>
              </w:tabs>
              <w:spacing w:before="40" w:after="4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18"/>
                <w:szCs w:val="18"/>
              </w:rPr>
            </w:pPr>
            <w:r w:rsidRPr="000973F2">
              <w:rPr>
                <w:rFonts w:ascii="Times New Roman" w:eastAsia="Times New Roman" w:hAnsi="Times New Roman" w:cs="Times New Roman"/>
                <w:b/>
                <w:bCs/>
                <w:sz w:val="18"/>
                <w:szCs w:val="18"/>
              </w:rPr>
              <w:t>22</w:t>
            </w:r>
          </w:p>
        </w:tc>
        <w:tc>
          <w:tcPr>
            <w:tcW w:w="392" w:type="pct"/>
            <w:noWrap/>
            <w:hideMark/>
          </w:tcPr>
          <w:p w14:paraId="4374E03E" w14:textId="77777777" w:rsidR="0057351F" w:rsidRPr="000973F2" w:rsidRDefault="0057351F" w:rsidP="00F35D80">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18"/>
                <w:szCs w:val="18"/>
              </w:rPr>
            </w:pPr>
            <w:r w:rsidRPr="000973F2">
              <w:rPr>
                <w:rFonts w:ascii="Times New Roman" w:eastAsia="Times New Roman" w:hAnsi="Times New Roman" w:cs="Times New Roman"/>
                <w:b/>
                <w:bCs/>
                <w:sz w:val="18"/>
                <w:szCs w:val="18"/>
              </w:rPr>
              <w:t>0</w:t>
            </w:r>
          </w:p>
        </w:tc>
        <w:tc>
          <w:tcPr>
            <w:tcW w:w="393" w:type="pct"/>
            <w:noWrap/>
            <w:hideMark/>
          </w:tcPr>
          <w:p w14:paraId="75CB8017" w14:textId="77777777" w:rsidR="0057351F" w:rsidRPr="000973F2" w:rsidRDefault="0057351F" w:rsidP="00F35D80">
            <w:pPr>
              <w:tabs>
                <w:tab w:val="decimal" w:pos="166"/>
              </w:tabs>
              <w:spacing w:before="40" w:after="4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18"/>
                <w:szCs w:val="18"/>
              </w:rPr>
            </w:pPr>
            <w:r w:rsidRPr="000973F2">
              <w:rPr>
                <w:rFonts w:ascii="Times New Roman" w:eastAsia="Times New Roman" w:hAnsi="Times New Roman" w:cs="Times New Roman"/>
                <w:b/>
                <w:bCs/>
                <w:sz w:val="18"/>
                <w:szCs w:val="18"/>
              </w:rPr>
              <w:t>1.9</w:t>
            </w:r>
          </w:p>
        </w:tc>
        <w:tc>
          <w:tcPr>
            <w:tcW w:w="430" w:type="pct"/>
            <w:noWrap/>
            <w:hideMark/>
          </w:tcPr>
          <w:p w14:paraId="1AFDDCD5" w14:textId="62BF4801" w:rsidR="0057351F" w:rsidRPr="000973F2" w:rsidRDefault="0057351F" w:rsidP="00F35D80">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18"/>
                <w:szCs w:val="18"/>
              </w:rPr>
            </w:pPr>
            <w:r w:rsidRPr="000973F2">
              <w:rPr>
                <w:rFonts w:ascii="Times New Roman" w:eastAsia="Times New Roman" w:hAnsi="Times New Roman" w:cs="Times New Roman"/>
                <w:b/>
                <w:bCs/>
                <w:sz w:val="18"/>
                <w:szCs w:val="18"/>
              </w:rPr>
              <w:t>$0</w:t>
            </w:r>
          </w:p>
        </w:tc>
        <w:tc>
          <w:tcPr>
            <w:tcW w:w="429" w:type="pct"/>
            <w:noWrap/>
            <w:hideMark/>
          </w:tcPr>
          <w:p w14:paraId="180D8F34" w14:textId="5F3A3444" w:rsidR="0057351F" w:rsidRPr="000973F2" w:rsidRDefault="0057351F" w:rsidP="00F35D80">
            <w:pPr>
              <w:tabs>
                <w:tab w:val="decimal" w:pos="526"/>
              </w:tabs>
              <w:spacing w:before="40" w:after="4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18"/>
                <w:szCs w:val="18"/>
              </w:rPr>
            </w:pPr>
            <w:r w:rsidRPr="000973F2">
              <w:rPr>
                <w:rFonts w:ascii="Times New Roman" w:eastAsia="Times New Roman" w:hAnsi="Times New Roman" w:cs="Times New Roman"/>
                <w:b/>
                <w:bCs/>
                <w:sz w:val="18"/>
                <w:szCs w:val="18"/>
              </w:rPr>
              <w:t>$2,056</w:t>
            </w:r>
          </w:p>
        </w:tc>
      </w:tr>
    </w:tbl>
    <w:p w14:paraId="14533F7C" w14:textId="77777777" w:rsidR="0057351F" w:rsidRPr="000973F2" w:rsidRDefault="0057351F" w:rsidP="00C00E4F">
      <w:pPr>
        <w:spacing w:line="240" w:lineRule="auto"/>
        <w:rPr>
          <w:rFonts w:ascii="Times New Roman" w:hAnsi="Times New Roman" w:cs="Times New Roman"/>
        </w:rPr>
      </w:pPr>
    </w:p>
    <w:p w14:paraId="58B735A3" w14:textId="77777777" w:rsidR="0057351F" w:rsidRPr="000973F2" w:rsidRDefault="0057351F" w:rsidP="00C00E4F">
      <w:pPr>
        <w:spacing w:line="240" w:lineRule="auto"/>
        <w:rPr>
          <w:rFonts w:ascii="Times New Roman" w:hAnsi="Times New Roman" w:cs="Times New Roman"/>
        </w:rPr>
      </w:pPr>
      <w:r w:rsidRPr="000973F2">
        <w:rPr>
          <w:rFonts w:ascii="Times New Roman" w:hAnsi="Times New Roman" w:cs="Times New Roman"/>
        </w:rPr>
        <w:br w:type="page"/>
      </w:r>
    </w:p>
    <w:p w14:paraId="079193E5" w14:textId="4DFE15FD" w:rsidR="0057351F" w:rsidRPr="000973F2" w:rsidRDefault="0057351F" w:rsidP="00DD0E29">
      <w:pPr>
        <w:pStyle w:val="Heading2"/>
      </w:pPr>
      <w:r w:rsidRPr="000973F2">
        <w:t>Capital and O&amp;M Costs for Subpart S</w:t>
      </w:r>
      <w:r w:rsidR="00DD0E29" w:rsidRPr="000973F2">
        <w:t xml:space="preserve"> – </w:t>
      </w:r>
      <w:r w:rsidRPr="000973F2">
        <w:t>CEMS and non CEMS Option</w:t>
      </w:r>
    </w:p>
    <w:p w14:paraId="76E37E52" w14:textId="63B28D3F" w:rsidR="0057351F" w:rsidRPr="000973F2" w:rsidRDefault="0057351F" w:rsidP="00DD0E29">
      <w:pPr>
        <w:pStyle w:val="BodyText"/>
      </w:pPr>
      <w:r w:rsidRPr="000973F2">
        <w:t xml:space="preserve">As shown in Table </w:t>
      </w:r>
      <w:r w:rsidR="00DD0E29" w:rsidRPr="000973F2">
        <w:t>S-</w:t>
      </w:r>
      <w:r w:rsidRPr="000973F2">
        <w:t>2, all Subpart S facilities will only incur O&amp;M costs associated with recordkeeping, as discussed in the Cost Appendix Introduction. Lime facilities are required by the National Lime Association (NLA) Protocol to determine the CaO and MgO content of each type of lime and calcined byproduct/waste produced, as a result there are no additional capital or O&amp;M costs for CaO and MgO testing attributed to Subpart S of the GHGRP.</w:t>
      </w:r>
    </w:p>
    <w:p w14:paraId="10721098" w14:textId="0EFA1790" w:rsidR="0057351F" w:rsidRPr="000973F2" w:rsidRDefault="0054400A" w:rsidP="00DD0E29">
      <w:pPr>
        <w:pStyle w:val="Tabletitle"/>
      </w:pPr>
      <w:r w:rsidRPr="000973F2">
        <w:t xml:space="preserve">Table </w:t>
      </w:r>
      <w:r w:rsidR="00DD0E29" w:rsidRPr="000973F2">
        <w:t>S-</w:t>
      </w:r>
      <w:r w:rsidRPr="000973F2">
        <w:t xml:space="preserve">2. Capital and O&amp;M Costs </w:t>
      </w:r>
      <w:r w:rsidR="00B960CC" w:rsidRPr="000973F2">
        <w:t>–</w:t>
      </w:r>
      <w:r w:rsidRPr="000973F2">
        <w:t xml:space="preserve"> Subpart S – CEMS and non CEMS Options</w:t>
      </w:r>
    </w:p>
    <w:tbl>
      <w:tblPr>
        <w:tblStyle w:val="PlainTable1"/>
        <w:tblW w:w="5000" w:type="pct"/>
        <w:jc w:val="left"/>
        <w:tblLayout w:type="fixed"/>
        <w:tblLook w:val="04A0" w:firstRow="1" w:lastRow="0" w:firstColumn="1" w:lastColumn="0" w:noHBand="0" w:noVBand="1"/>
      </w:tblPr>
      <w:tblGrid>
        <w:gridCol w:w="2571"/>
        <w:gridCol w:w="1167"/>
        <w:gridCol w:w="1168"/>
        <w:gridCol w:w="1166"/>
        <w:gridCol w:w="1210"/>
        <w:gridCol w:w="1124"/>
        <w:gridCol w:w="1170"/>
      </w:tblGrid>
      <w:tr w:rsidR="00FF36E8" w:rsidRPr="000973F2" w14:paraId="5B56F4C5" w14:textId="77777777" w:rsidTr="00DD0E29">
        <w:trPr>
          <w:cnfStyle w:val="100000000000" w:firstRow="1" w:lastRow="0" w:firstColumn="0" w:lastColumn="0" w:oddVBand="0" w:evenVBand="0" w:oddHBand="0" w:evenHBand="0" w:firstRowFirstColumn="0" w:firstRowLastColumn="0" w:lastRowFirstColumn="0" w:lastRowLastColumn="0"/>
          <w:cantSplit/>
          <w:jc w:val="left"/>
        </w:trPr>
        <w:tc>
          <w:tcPr>
            <w:cnfStyle w:val="001000000000" w:firstRow="0" w:lastRow="0" w:firstColumn="1" w:lastColumn="0" w:oddVBand="0" w:evenVBand="0" w:oddHBand="0" w:evenHBand="0" w:firstRowFirstColumn="0" w:firstRowLastColumn="0" w:lastRowFirstColumn="0" w:lastRowLastColumn="0"/>
            <w:tcW w:w="1342" w:type="pct"/>
            <w:vMerge w:val="restart"/>
            <w:noWrap/>
            <w:vAlign w:val="top"/>
            <w:hideMark/>
          </w:tcPr>
          <w:p w14:paraId="63E8E713" w14:textId="541CC003" w:rsidR="00FF36E8" w:rsidRPr="000973F2" w:rsidRDefault="00FF36E8" w:rsidP="00DD0E29">
            <w:pPr>
              <w:spacing w:before="40" w:after="40"/>
              <w:rPr>
                <w:rFonts w:ascii="Times New Roman" w:eastAsia="Times New Roman" w:hAnsi="Times New Roman" w:cs="Times New Roman"/>
                <w:bCs w:val="0"/>
                <w:sz w:val="18"/>
                <w:szCs w:val="18"/>
              </w:rPr>
            </w:pPr>
            <w:r w:rsidRPr="000973F2">
              <w:rPr>
                <w:rFonts w:ascii="Times New Roman" w:eastAsia="Times New Roman" w:hAnsi="Times New Roman" w:cs="Times New Roman"/>
                <w:sz w:val="18"/>
                <w:szCs w:val="18"/>
              </w:rPr>
              <w:t>Activity</w:t>
            </w:r>
          </w:p>
        </w:tc>
        <w:tc>
          <w:tcPr>
            <w:tcW w:w="2460" w:type="pct"/>
            <w:gridSpan w:val="4"/>
            <w:noWrap/>
            <w:vAlign w:val="top"/>
            <w:hideMark/>
          </w:tcPr>
          <w:p w14:paraId="78F5B138" w14:textId="77777777" w:rsidR="00FF36E8" w:rsidRPr="000973F2" w:rsidRDefault="00FF36E8" w:rsidP="00DD0E29">
            <w:pPr>
              <w:spacing w:before="40" w:after="40"/>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Cs w:val="0"/>
                <w:sz w:val="18"/>
                <w:szCs w:val="18"/>
              </w:rPr>
            </w:pPr>
            <w:r w:rsidRPr="000973F2">
              <w:rPr>
                <w:rFonts w:ascii="Times New Roman" w:eastAsia="Times New Roman" w:hAnsi="Times New Roman" w:cs="Times New Roman"/>
                <w:bCs w:val="0"/>
                <w:sz w:val="18"/>
                <w:szCs w:val="18"/>
              </w:rPr>
              <w:t>Cost Categories</w:t>
            </w:r>
          </w:p>
        </w:tc>
        <w:tc>
          <w:tcPr>
            <w:tcW w:w="1198" w:type="pct"/>
            <w:gridSpan w:val="2"/>
            <w:vAlign w:val="top"/>
            <w:hideMark/>
          </w:tcPr>
          <w:p w14:paraId="0A6838C8" w14:textId="1ECC7B00" w:rsidR="00FF36E8" w:rsidRPr="000973F2" w:rsidRDefault="00FF36E8" w:rsidP="00DD0E29">
            <w:pPr>
              <w:spacing w:before="40" w:after="40"/>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Cs w:val="0"/>
                <w:sz w:val="18"/>
                <w:szCs w:val="18"/>
              </w:rPr>
            </w:pPr>
            <w:r w:rsidRPr="000973F2">
              <w:rPr>
                <w:rFonts w:ascii="Times New Roman" w:eastAsia="Times New Roman" w:hAnsi="Times New Roman" w:cs="Times New Roman"/>
                <w:bCs w:val="0"/>
                <w:sz w:val="18"/>
                <w:szCs w:val="18"/>
              </w:rPr>
              <w:t>Total Capital and O&amp;M Cost per Year per Facility (2017$)</w:t>
            </w:r>
          </w:p>
        </w:tc>
      </w:tr>
      <w:tr w:rsidR="00FF36E8" w:rsidRPr="000973F2" w14:paraId="5D47A9BB" w14:textId="77777777" w:rsidTr="00DD0E29">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1342" w:type="pct"/>
            <w:vMerge/>
            <w:noWrap/>
            <w:hideMark/>
          </w:tcPr>
          <w:p w14:paraId="31F91889" w14:textId="47DB27D4" w:rsidR="00FF36E8" w:rsidRPr="000973F2" w:rsidRDefault="00FF36E8" w:rsidP="00DD0E29">
            <w:pPr>
              <w:spacing w:before="40" w:after="40"/>
              <w:jc w:val="center"/>
              <w:rPr>
                <w:rFonts w:ascii="Times New Roman" w:eastAsia="Times New Roman" w:hAnsi="Times New Roman" w:cs="Times New Roman"/>
                <w:b/>
                <w:bCs w:val="0"/>
                <w:sz w:val="18"/>
                <w:szCs w:val="18"/>
              </w:rPr>
            </w:pPr>
          </w:p>
        </w:tc>
        <w:tc>
          <w:tcPr>
            <w:tcW w:w="609" w:type="pct"/>
            <w:hideMark/>
          </w:tcPr>
          <w:p w14:paraId="3C2F19FC" w14:textId="77777777" w:rsidR="00FF36E8" w:rsidRPr="000973F2" w:rsidRDefault="00FF36E8" w:rsidP="00DD0E29">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18"/>
                <w:szCs w:val="18"/>
              </w:rPr>
            </w:pPr>
            <w:r w:rsidRPr="000973F2">
              <w:rPr>
                <w:rFonts w:ascii="Times New Roman" w:eastAsia="Times New Roman" w:hAnsi="Times New Roman" w:cs="Times New Roman"/>
                <w:b/>
                <w:bCs/>
                <w:sz w:val="18"/>
                <w:szCs w:val="18"/>
              </w:rPr>
              <w:t>Capital Cost (2017$)</w:t>
            </w:r>
          </w:p>
        </w:tc>
        <w:tc>
          <w:tcPr>
            <w:tcW w:w="610" w:type="pct"/>
            <w:hideMark/>
          </w:tcPr>
          <w:p w14:paraId="7604A6B2" w14:textId="77777777" w:rsidR="00FF36E8" w:rsidRPr="000973F2" w:rsidRDefault="00FF36E8" w:rsidP="00DD0E29">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18"/>
                <w:szCs w:val="18"/>
              </w:rPr>
            </w:pPr>
            <w:r w:rsidRPr="000973F2">
              <w:rPr>
                <w:rFonts w:ascii="Times New Roman" w:eastAsia="Times New Roman" w:hAnsi="Times New Roman" w:cs="Times New Roman"/>
                <w:b/>
                <w:bCs/>
                <w:sz w:val="18"/>
                <w:szCs w:val="18"/>
              </w:rPr>
              <w:t>Equipment Lifetime</w:t>
            </w:r>
          </w:p>
        </w:tc>
        <w:tc>
          <w:tcPr>
            <w:tcW w:w="609" w:type="pct"/>
            <w:hideMark/>
          </w:tcPr>
          <w:p w14:paraId="2B7BE5D0" w14:textId="0038D192" w:rsidR="00FF36E8" w:rsidRPr="000973F2" w:rsidRDefault="00FF36E8" w:rsidP="00DD0E29">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18"/>
                <w:szCs w:val="18"/>
              </w:rPr>
            </w:pPr>
            <w:r w:rsidRPr="000973F2">
              <w:rPr>
                <w:rFonts w:ascii="Times New Roman" w:eastAsia="Times New Roman" w:hAnsi="Times New Roman" w:cs="Times New Roman"/>
                <w:b/>
                <w:bCs/>
                <w:sz w:val="18"/>
                <w:szCs w:val="18"/>
              </w:rPr>
              <w:t>Annualized Capital Cost (2017$/</w:t>
            </w:r>
            <w:r w:rsidR="00DD0E29" w:rsidRPr="000973F2">
              <w:rPr>
                <w:rFonts w:ascii="Times New Roman" w:eastAsia="Times New Roman" w:hAnsi="Times New Roman" w:cs="Times New Roman"/>
                <w:b/>
                <w:bCs/>
                <w:sz w:val="18"/>
                <w:szCs w:val="18"/>
              </w:rPr>
              <w:t xml:space="preserve"> </w:t>
            </w:r>
            <w:r w:rsidRPr="000973F2">
              <w:rPr>
                <w:rFonts w:ascii="Times New Roman" w:eastAsia="Times New Roman" w:hAnsi="Times New Roman" w:cs="Times New Roman"/>
                <w:b/>
                <w:bCs/>
                <w:sz w:val="18"/>
                <w:szCs w:val="18"/>
              </w:rPr>
              <w:t>year)</w:t>
            </w:r>
          </w:p>
        </w:tc>
        <w:tc>
          <w:tcPr>
            <w:tcW w:w="632" w:type="pct"/>
            <w:hideMark/>
          </w:tcPr>
          <w:p w14:paraId="4B2C2CCF" w14:textId="77777777" w:rsidR="00FF36E8" w:rsidRPr="000973F2" w:rsidRDefault="00FF36E8" w:rsidP="00DD0E29">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18"/>
                <w:szCs w:val="18"/>
              </w:rPr>
            </w:pPr>
            <w:r w:rsidRPr="000973F2">
              <w:rPr>
                <w:rFonts w:ascii="Times New Roman" w:eastAsia="Times New Roman" w:hAnsi="Times New Roman" w:cs="Times New Roman"/>
                <w:b/>
                <w:bCs/>
                <w:sz w:val="18"/>
                <w:szCs w:val="18"/>
              </w:rPr>
              <w:t>O&amp;M Costs (2017$/year)</w:t>
            </w:r>
          </w:p>
        </w:tc>
        <w:tc>
          <w:tcPr>
            <w:tcW w:w="587" w:type="pct"/>
            <w:hideMark/>
          </w:tcPr>
          <w:p w14:paraId="78BFEFA4" w14:textId="77777777" w:rsidR="00FF36E8" w:rsidRPr="000973F2" w:rsidRDefault="00FF36E8" w:rsidP="00DD0E29">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18"/>
                <w:szCs w:val="18"/>
              </w:rPr>
            </w:pPr>
            <w:r w:rsidRPr="000973F2">
              <w:rPr>
                <w:rFonts w:ascii="Times New Roman" w:eastAsia="Times New Roman" w:hAnsi="Times New Roman" w:cs="Times New Roman"/>
                <w:b/>
                <w:bCs/>
                <w:sz w:val="18"/>
                <w:szCs w:val="18"/>
              </w:rPr>
              <w:t>Initial Year</w:t>
            </w:r>
          </w:p>
        </w:tc>
        <w:tc>
          <w:tcPr>
            <w:tcW w:w="611" w:type="pct"/>
            <w:hideMark/>
          </w:tcPr>
          <w:p w14:paraId="76595CBD" w14:textId="77777777" w:rsidR="00FF36E8" w:rsidRPr="000973F2" w:rsidRDefault="00FF36E8" w:rsidP="00DD0E29">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18"/>
                <w:szCs w:val="18"/>
              </w:rPr>
            </w:pPr>
            <w:r w:rsidRPr="000973F2">
              <w:rPr>
                <w:rFonts w:ascii="Times New Roman" w:eastAsia="Times New Roman" w:hAnsi="Times New Roman" w:cs="Times New Roman"/>
                <w:b/>
                <w:bCs/>
                <w:sz w:val="18"/>
                <w:szCs w:val="18"/>
              </w:rPr>
              <w:t>Subseq. Years</w:t>
            </w:r>
          </w:p>
        </w:tc>
      </w:tr>
      <w:tr w:rsidR="00DD0E29" w:rsidRPr="000973F2" w14:paraId="33C3CF59" w14:textId="77777777" w:rsidTr="00DD0E29">
        <w:trPr>
          <w:cantSplit/>
        </w:trPr>
        <w:tc>
          <w:tcPr>
            <w:cnfStyle w:val="001000000000" w:firstRow="0" w:lastRow="0" w:firstColumn="1" w:lastColumn="0" w:oddVBand="0" w:evenVBand="0" w:oddHBand="0" w:evenHBand="0" w:firstRowFirstColumn="0" w:firstRowLastColumn="0" w:lastRowFirstColumn="0" w:lastRowLastColumn="0"/>
            <w:tcW w:w="1342" w:type="pct"/>
            <w:tcMar>
              <w:left w:w="115" w:type="dxa"/>
              <w:right w:w="14" w:type="dxa"/>
            </w:tcMar>
            <w:hideMark/>
          </w:tcPr>
          <w:p w14:paraId="21475A81" w14:textId="77777777" w:rsidR="003E005F" w:rsidRPr="000973F2" w:rsidRDefault="003E005F" w:rsidP="00DD0E29">
            <w:pPr>
              <w:spacing w:before="40" w:after="4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Equipment (selection, purchase, installation)</w:t>
            </w:r>
          </w:p>
        </w:tc>
        <w:tc>
          <w:tcPr>
            <w:tcW w:w="609" w:type="pct"/>
            <w:noWrap/>
            <w:hideMark/>
          </w:tcPr>
          <w:p w14:paraId="4967CC19" w14:textId="6DFF9DD0" w:rsidR="003E005F" w:rsidRPr="000973F2" w:rsidRDefault="00DD0E29" w:rsidP="00DD0E29">
            <w:pPr>
              <w:spacing w:before="40" w:after="4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w:t>
            </w:r>
          </w:p>
        </w:tc>
        <w:tc>
          <w:tcPr>
            <w:tcW w:w="610" w:type="pct"/>
            <w:noWrap/>
          </w:tcPr>
          <w:p w14:paraId="2E0DAEA1" w14:textId="33CBEAFC" w:rsidR="003E005F" w:rsidRPr="000973F2" w:rsidRDefault="003E005F" w:rsidP="00DD0E29">
            <w:pPr>
              <w:spacing w:before="40" w:after="4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p>
        </w:tc>
        <w:tc>
          <w:tcPr>
            <w:tcW w:w="609" w:type="pct"/>
            <w:noWrap/>
            <w:hideMark/>
          </w:tcPr>
          <w:p w14:paraId="5DF11E45" w14:textId="409A904B" w:rsidR="003E005F" w:rsidRPr="000973F2" w:rsidRDefault="00DD0E29" w:rsidP="00DD0E29">
            <w:pPr>
              <w:spacing w:before="40" w:after="4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w:t>
            </w:r>
          </w:p>
        </w:tc>
        <w:tc>
          <w:tcPr>
            <w:tcW w:w="632" w:type="pct"/>
            <w:noWrap/>
            <w:hideMark/>
          </w:tcPr>
          <w:p w14:paraId="0623175C" w14:textId="4DA32B9F" w:rsidR="003E005F" w:rsidRPr="000973F2" w:rsidRDefault="00DD0E29" w:rsidP="00DD0E29">
            <w:pPr>
              <w:spacing w:before="40" w:after="4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w:t>
            </w:r>
          </w:p>
        </w:tc>
        <w:tc>
          <w:tcPr>
            <w:tcW w:w="587" w:type="pct"/>
            <w:noWrap/>
            <w:hideMark/>
          </w:tcPr>
          <w:p w14:paraId="0B43D32E" w14:textId="6A95FAE4" w:rsidR="003E005F" w:rsidRPr="000973F2" w:rsidRDefault="00DD0E29" w:rsidP="00DD0E29">
            <w:pPr>
              <w:spacing w:before="40" w:after="4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w:t>
            </w:r>
          </w:p>
        </w:tc>
        <w:tc>
          <w:tcPr>
            <w:tcW w:w="611" w:type="pct"/>
            <w:noWrap/>
            <w:hideMark/>
          </w:tcPr>
          <w:p w14:paraId="44094C60" w14:textId="67765526" w:rsidR="003E005F" w:rsidRPr="000973F2" w:rsidRDefault="00DD0E29" w:rsidP="00DD0E29">
            <w:pPr>
              <w:spacing w:before="40" w:after="4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w:t>
            </w:r>
          </w:p>
        </w:tc>
      </w:tr>
      <w:tr w:rsidR="00DD0E29" w:rsidRPr="000973F2" w14:paraId="60406A5B" w14:textId="77777777" w:rsidTr="00DD0E29">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1342" w:type="pct"/>
            <w:tcMar>
              <w:left w:w="115" w:type="dxa"/>
              <w:right w:w="14" w:type="dxa"/>
            </w:tcMar>
            <w:hideMark/>
          </w:tcPr>
          <w:p w14:paraId="79F66651" w14:textId="77777777" w:rsidR="003E005F" w:rsidRPr="000973F2" w:rsidRDefault="003E005F" w:rsidP="00DD0E29">
            <w:pPr>
              <w:spacing w:before="40" w:after="4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Performance testing</w:t>
            </w:r>
          </w:p>
        </w:tc>
        <w:tc>
          <w:tcPr>
            <w:tcW w:w="609" w:type="pct"/>
            <w:noWrap/>
            <w:hideMark/>
          </w:tcPr>
          <w:p w14:paraId="7CC01B39" w14:textId="3A1E8EB6" w:rsidR="003E005F" w:rsidRPr="000973F2" w:rsidRDefault="00DD0E29" w:rsidP="00DD0E29">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w:t>
            </w:r>
          </w:p>
        </w:tc>
        <w:tc>
          <w:tcPr>
            <w:tcW w:w="610" w:type="pct"/>
            <w:noWrap/>
          </w:tcPr>
          <w:p w14:paraId="70E145D3" w14:textId="31028756" w:rsidR="003E005F" w:rsidRPr="000973F2" w:rsidRDefault="003E005F" w:rsidP="00DD0E29">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p>
        </w:tc>
        <w:tc>
          <w:tcPr>
            <w:tcW w:w="609" w:type="pct"/>
            <w:noWrap/>
            <w:hideMark/>
          </w:tcPr>
          <w:p w14:paraId="0D40B40E" w14:textId="0E9A1C0B" w:rsidR="003E005F" w:rsidRPr="000973F2" w:rsidRDefault="00DD0E29" w:rsidP="00DD0E29">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w:t>
            </w:r>
          </w:p>
        </w:tc>
        <w:tc>
          <w:tcPr>
            <w:tcW w:w="632" w:type="pct"/>
            <w:noWrap/>
            <w:hideMark/>
          </w:tcPr>
          <w:p w14:paraId="06482F11" w14:textId="339BB498" w:rsidR="003E005F" w:rsidRPr="000973F2" w:rsidRDefault="00DD0E29" w:rsidP="00DD0E29">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w:t>
            </w:r>
          </w:p>
        </w:tc>
        <w:tc>
          <w:tcPr>
            <w:tcW w:w="587" w:type="pct"/>
            <w:noWrap/>
            <w:hideMark/>
          </w:tcPr>
          <w:p w14:paraId="1A425893" w14:textId="0422381C" w:rsidR="003E005F" w:rsidRPr="000973F2" w:rsidRDefault="00DD0E29" w:rsidP="00DD0E29">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w:t>
            </w:r>
          </w:p>
        </w:tc>
        <w:tc>
          <w:tcPr>
            <w:tcW w:w="611" w:type="pct"/>
            <w:noWrap/>
            <w:hideMark/>
          </w:tcPr>
          <w:p w14:paraId="7E4CB81F" w14:textId="3DECCA6C" w:rsidR="003E005F" w:rsidRPr="000973F2" w:rsidRDefault="00DD0E29" w:rsidP="00DD0E29">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w:t>
            </w:r>
          </w:p>
        </w:tc>
      </w:tr>
      <w:tr w:rsidR="00DD0E29" w:rsidRPr="000973F2" w14:paraId="234C2DD2" w14:textId="77777777" w:rsidTr="00DD0E29">
        <w:trPr>
          <w:cantSplit/>
        </w:trPr>
        <w:tc>
          <w:tcPr>
            <w:cnfStyle w:val="001000000000" w:firstRow="0" w:lastRow="0" w:firstColumn="1" w:lastColumn="0" w:oddVBand="0" w:evenVBand="0" w:oddHBand="0" w:evenHBand="0" w:firstRowFirstColumn="0" w:firstRowLastColumn="0" w:lastRowFirstColumn="0" w:lastRowLastColumn="0"/>
            <w:tcW w:w="1342" w:type="pct"/>
            <w:tcMar>
              <w:left w:w="115" w:type="dxa"/>
              <w:right w:w="14" w:type="dxa"/>
            </w:tcMar>
            <w:hideMark/>
          </w:tcPr>
          <w:p w14:paraId="223D10E2" w14:textId="77777777" w:rsidR="0057351F" w:rsidRPr="000973F2" w:rsidRDefault="0057351F" w:rsidP="00DD0E29">
            <w:pPr>
              <w:spacing w:before="40" w:after="4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Recordkeeping</w:t>
            </w:r>
          </w:p>
        </w:tc>
        <w:tc>
          <w:tcPr>
            <w:tcW w:w="609" w:type="pct"/>
            <w:noWrap/>
            <w:hideMark/>
          </w:tcPr>
          <w:p w14:paraId="1BBD7031" w14:textId="77777777" w:rsidR="0057351F" w:rsidRPr="000973F2" w:rsidRDefault="0057351F" w:rsidP="00DD0E29">
            <w:pPr>
              <w:spacing w:before="40" w:after="4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$0</w:t>
            </w:r>
          </w:p>
        </w:tc>
        <w:tc>
          <w:tcPr>
            <w:tcW w:w="610" w:type="pct"/>
            <w:noWrap/>
          </w:tcPr>
          <w:p w14:paraId="4D85C338" w14:textId="77777777" w:rsidR="0057351F" w:rsidRPr="000973F2" w:rsidRDefault="0057351F" w:rsidP="00DD0E29">
            <w:pPr>
              <w:spacing w:before="40" w:after="4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p>
        </w:tc>
        <w:tc>
          <w:tcPr>
            <w:tcW w:w="609" w:type="pct"/>
            <w:noWrap/>
            <w:hideMark/>
          </w:tcPr>
          <w:p w14:paraId="1F9F16C2" w14:textId="77777777" w:rsidR="0057351F" w:rsidRPr="000973F2" w:rsidRDefault="0057351F" w:rsidP="00DD0E29">
            <w:pPr>
              <w:spacing w:before="40" w:after="4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$0</w:t>
            </w:r>
          </w:p>
        </w:tc>
        <w:tc>
          <w:tcPr>
            <w:tcW w:w="632" w:type="pct"/>
            <w:noWrap/>
            <w:hideMark/>
          </w:tcPr>
          <w:p w14:paraId="3538DB08" w14:textId="77777777" w:rsidR="0057351F" w:rsidRPr="000973F2" w:rsidRDefault="0057351F" w:rsidP="00DD0E29">
            <w:pPr>
              <w:spacing w:before="40" w:after="4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$50</w:t>
            </w:r>
          </w:p>
        </w:tc>
        <w:tc>
          <w:tcPr>
            <w:tcW w:w="587" w:type="pct"/>
            <w:noWrap/>
            <w:hideMark/>
          </w:tcPr>
          <w:p w14:paraId="6137917A" w14:textId="77777777" w:rsidR="0057351F" w:rsidRPr="000973F2" w:rsidRDefault="0057351F" w:rsidP="00DD0E29">
            <w:pPr>
              <w:spacing w:before="40" w:after="4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$0</w:t>
            </w:r>
          </w:p>
        </w:tc>
        <w:tc>
          <w:tcPr>
            <w:tcW w:w="611" w:type="pct"/>
            <w:noWrap/>
            <w:hideMark/>
          </w:tcPr>
          <w:p w14:paraId="2BD4F1C7" w14:textId="77777777" w:rsidR="0057351F" w:rsidRPr="000973F2" w:rsidRDefault="0057351F" w:rsidP="00DD0E29">
            <w:pPr>
              <w:spacing w:before="40" w:after="4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$50</w:t>
            </w:r>
          </w:p>
        </w:tc>
      </w:tr>
      <w:tr w:rsidR="00DD0E29" w:rsidRPr="000973F2" w14:paraId="0D35D757" w14:textId="77777777" w:rsidTr="00DD0E29">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1342" w:type="pct"/>
            <w:tcMar>
              <w:left w:w="115" w:type="dxa"/>
              <w:right w:w="14" w:type="dxa"/>
            </w:tcMar>
            <w:hideMark/>
          </w:tcPr>
          <w:p w14:paraId="3C86928D" w14:textId="77777777" w:rsidR="003E005F" w:rsidRPr="000973F2" w:rsidRDefault="003E005F" w:rsidP="00DD0E29">
            <w:pPr>
              <w:spacing w:before="40" w:after="4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Travel</w:t>
            </w:r>
          </w:p>
        </w:tc>
        <w:tc>
          <w:tcPr>
            <w:tcW w:w="609" w:type="pct"/>
            <w:noWrap/>
            <w:hideMark/>
          </w:tcPr>
          <w:p w14:paraId="11B10D15" w14:textId="6B5D39CB" w:rsidR="003E005F" w:rsidRPr="000973F2" w:rsidRDefault="00DD0E29" w:rsidP="00DD0E29">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w:t>
            </w:r>
          </w:p>
        </w:tc>
        <w:tc>
          <w:tcPr>
            <w:tcW w:w="610" w:type="pct"/>
            <w:noWrap/>
          </w:tcPr>
          <w:p w14:paraId="504F9AA5" w14:textId="490EB426" w:rsidR="003E005F" w:rsidRPr="000973F2" w:rsidRDefault="003E005F" w:rsidP="00DD0E29">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p>
        </w:tc>
        <w:tc>
          <w:tcPr>
            <w:tcW w:w="609" w:type="pct"/>
            <w:noWrap/>
            <w:hideMark/>
          </w:tcPr>
          <w:p w14:paraId="18EC98BD" w14:textId="117363C9" w:rsidR="003E005F" w:rsidRPr="000973F2" w:rsidRDefault="00DD0E29" w:rsidP="00DD0E29">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w:t>
            </w:r>
          </w:p>
        </w:tc>
        <w:tc>
          <w:tcPr>
            <w:tcW w:w="632" w:type="pct"/>
            <w:noWrap/>
            <w:hideMark/>
          </w:tcPr>
          <w:p w14:paraId="47AC5A9C" w14:textId="191635F2" w:rsidR="003E005F" w:rsidRPr="000973F2" w:rsidRDefault="00DD0E29" w:rsidP="00DD0E29">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w:t>
            </w:r>
          </w:p>
        </w:tc>
        <w:tc>
          <w:tcPr>
            <w:tcW w:w="587" w:type="pct"/>
            <w:noWrap/>
            <w:hideMark/>
          </w:tcPr>
          <w:p w14:paraId="3A1CE53E" w14:textId="635F6327" w:rsidR="003E005F" w:rsidRPr="000973F2" w:rsidRDefault="00DD0E29" w:rsidP="00DD0E29">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w:t>
            </w:r>
          </w:p>
        </w:tc>
        <w:tc>
          <w:tcPr>
            <w:tcW w:w="611" w:type="pct"/>
            <w:noWrap/>
            <w:hideMark/>
          </w:tcPr>
          <w:p w14:paraId="01935BCF" w14:textId="09D75A05" w:rsidR="003E005F" w:rsidRPr="000973F2" w:rsidRDefault="00DD0E29" w:rsidP="00DD0E29">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w:t>
            </w:r>
          </w:p>
        </w:tc>
      </w:tr>
      <w:tr w:rsidR="00DD0E29" w:rsidRPr="000973F2" w14:paraId="0B5E5282" w14:textId="77777777" w:rsidTr="00DD0E29">
        <w:trPr>
          <w:cantSplit/>
        </w:trPr>
        <w:tc>
          <w:tcPr>
            <w:cnfStyle w:val="001000000000" w:firstRow="0" w:lastRow="0" w:firstColumn="1" w:lastColumn="0" w:oddVBand="0" w:evenVBand="0" w:oddHBand="0" w:evenHBand="0" w:firstRowFirstColumn="0" w:firstRowLastColumn="0" w:lastRowFirstColumn="0" w:lastRowLastColumn="0"/>
            <w:tcW w:w="1342" w:type="pct"/>
            <w:tcMar>
              <w:left w:w="115" w:type="dxa"/>
              <w:right w:w="14" w:type="dxa"/>
            </w:tcMar>
            <w:hideMark/>
          </w:tcPr>
          <w:p w14:paraId="6592CE7D" w14:textId="02AF24D8" w:rsidR="003E005F" w:rsidRPr="000973F2" w:rsidRDefault="003E005F" w:rsidP="00DD0E29">
            <w:pPr>
              <w:spacing w:before="40" w:after="4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Sampling and Analysis Costs</w:t>
            </w:r>
          </w:p>
        </w:tc>
        <w:tc>
          <w:tcPr>
            <w:tcW w:w="609" w:type="pct"/>
            <w:noWrap/>
            <w:hideMark/>
          </w:tcPr>
          <w:p w14:paraId="4C088B5B" w14:textId="495B5986" w:rsidR="003E005F" w:rsidRPr="000973F2" w:rsidRDefault="00DD0E29" w:rsidP="00DD0E29">
            <w:pPr>
              <w:spacing w:before="40" w:after="4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w:t>
            </w:r>
          </w:p>
        </w:tc>
        <w:tc>
          <w:tcPr>
            <w:tcW w:w="610" w:type="pct"/>
            <w:noWrap/>
          </w:tcPr>
          <w:p w14:paraId="7ED70077" w14:textId="542201B3" w:rsidR="003E005F" w:rsidRPr="000973F2" w:rsidRDefault="003E005F" w:rsidP="00DD0E29">
            <w:pPr>
              <w:spacing w:before="40" w:after="4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p>
        </w:tc>
        <w:tc>
          <w:tcPr>
            <w:tcW w:w="609" w:type="pct"/>
            <w:noWrap/>
            <w:hideMark/>
          </w:tcPr>
          <w:p w14:paraId="1939D057" w14:textId="4B5485EB" w:rsidR="003E005F" w:rsidRPr="000973F2" w:rsidRDefault="00DD0E29" w:rsidP="00DD0E29">
            <w:pPr>
              <w:spacing w:before="40" w:after="4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w:t>
            </w:r>
          </w:p>
        </w:tc>
        <w:tc>
          <w:tcPr>
            <w:tcW w:w="632" w:type="pct"/>
            <w:noWrap/>
            <w:hideMark/>
          </w:tcPr>
          <w:p w14:paraId="59FA5DDD" w14:textId="6384CFF6" w:rsidR="003E005F" w:rsidRPr="000973F2" w:rsidRDefault="00DD0E29" w:rsidP="00DD0E29">
            <w:pPr>
              <w:spacing w:before="40" w:after="4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w:t>
            </w:r>
          </w:p>
        </w:tc>
        <w:tc>
          <w:tcPr>
            <w:tcW w:w="587" w:type="pct"/>
            <w:noWrap/>
            <w:hideMark/>
          </w:tcPr>
          <w:p w14:paraId="74EFD354" w14:textId="015EA2CA" w:rsidR="003E005F" w:rsidRPr="000973F2" w:rsidRDefault="00DD0E29" w:rsidP="00DD0E29">
            <w:pPr>
              <w:spacing w:before="40" w:after="4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w:t>
            </w:r>
          </w:p>
        </w:tc>
        <w:tc>
          <w:tcPr>
            <w:tcW w:w="611" w:type="pct"/>
            <w:noWrap/>
            <w:hideMark/>
          </w:tcPr>
          <w:p w14:paraId="2F8B3ADF" w14:textId="2764ABE9" w:rsidR="003E005F" w:rsidRPr="000973F2" w:rsidRDefault="00DD0E29" w:rsidP="00DD0E29">
            <w:pPr>
              <w:spacing w:before="40" w:after="4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w:t>
            </w:r>
          </w:p>
        </w:tc>
      </w:tr>
      <w:tr w:rsidR="00DD0E29" w:rsidRPr="000973F2" w14:paraId="4DA6F1FD" w14:textId="77777777" w:rsidTr="00DD0E29">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1342" w:type="pct"/>
            <w:tcMar>
              <w:left w:w="115" w:type="dxa"/>
              <w:right w:w="14" w:type="dxa"/>
            </w:tcMar>
            <w:hideMark/>
          </w:tcPr>
          <w:p w14:paraId="3C90025E" w14:textId="77777777" w:rsidR="0057351F" w:rsidRPr="000973F2" w:rsidRDefault="0057351F" w:rsidP="00DD0E29">
            <w:pPr>
              <w:spacing w:before="40" w:after="40"/>
              <w:rPr>
                <w:rFonts w:ascii="Times New Roman" w:eastAsia="Times New Roman" w:hAnsi="Times New Roman" w:cs="Times New Roman"/>
                <w:b/>
                <w:bCs w:val="0"/>
                <w:sz w:val="18"/>
                <w:szCs w:val="18"/>
              </w:rPr>
            </w:pPr>
            <w:r w:rsidRPr="000973F2">
              <w:rPr>
                <w:rFonts w:ascii="Times New Roman" w:eastAsia="Times New Roman" w:hAnsi="Times New Roman" w:cs="Times New Roman"/>
                <w:b/>
                <w:sz w:val="18"/>
                <w:szCs w:val="18"/>
              </w:rPr>
              <w:t xml:space="preserve">Total </w:t>
            </w:r>
          </w:p>
        </w:tc>
        <w:tc>
          <w:tcPr>
            <w:tcW w:w="609" w:type="pct"/>
            <w:noWrap/>
            <w:hideMark/>
          </w:tcPr>
          <w:p w14:paraId="7BB7B260" w14:textId="77777777" w:rsidR="0057351F" w:rsidRPr="000973F2" w:rsidRDefault="0057351F" w:rsidP="00DD0E29">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$0</w:t>
            </w:r>
          </w:p>
        </w:tc>
        <w:tc>
          <w:tcPr>
            <w:tcW w:w="610" w:type="pct"/>
            <w:noWrap/>
          </w:tcPr>
          <w:p w14:paraId="51431219" w14:textId="77777777" w:rsidR="0057351F" w:rsidRPr="000973F2" w:rsidRDefault="0057351F" w:rsidP="00DD0E29">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p>
        </w:tc>
        <w:tc>
          <w:tcPr>
            <w:tcW w:w="609" w:type="pct"/>
            <w:noWrap/>
            <w:hideMark/>
          </w:tcPr>
          <w:p w14:paraId="151A216D" w14:textId="77777777" w:rsidR="0057351F" w:rsidRPr="000973F2" w:rsidRDefault="0057351F" w:rsidP="00DD0E29">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$0</w:t>
            </w:r>
          </w:p>
        </w:tc>
        <w:tc>
          <w:tcPr>
            <w:tcW w:w="632" w:type="pct"/>
            <w:noWrap/>
            <w:hideMark/>
          </w:tcPr>
          <w:p w14:paraId="26810BFF" w14:textId="77777777" w:rsidR="0057351F" w:rsidRPr="000973F2" w:rsidRDefault="0057351F" w:rsidP="00DD0E29">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$50</w:t>
            </w:r>
          </w:p>
        </w:tc>
        <w:tc>
          <w:tcPr>
            <w:tcW w:w="587" w:type="pct"/>
            <w:noWrap/>
            <w:hideMark/>
          </w:tcPr>
          <w:p w14:paraId="3FB5EE5C" w14:textId="77777777" w:rsidR="0057351F" w:rsidRPr="000973F2" w:rsidRDefault="0057351F" w:rsidP="00DD0E29">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$0</w:t>
            </w:r>
          </w:p>
        </w:tc>
        <w:tc>
          <w:tcPr>
            <w:tcW w:w="611" w:type="pct"/>
            <w:noWrap/>
            <w:hideMark/>
          </w:tcPr>
          <w:p w14:paraId="41860628" w14:textId="77777777" w:rsidR="0057351F" w:rsidRPr="000973F2" w:rsidRDefault="0057351F" w:rsidP="00DD0E29">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$50</w:t>
            </w:r>
          </w:p>
        </w:tc>
      </w:tr>
    </w:tbl>
    <w:p w14:paraId="189E5F5D" w14:textId="77777777" w:rsidR="0057351F" w:rsidRPr="000973F2" w:rsidRDefault="0057351F" w:rsidP="00DD0E29">
      <w:pPr>
        <w:pStyle w:val="AfterTable"/>
      </w:pPr>
    </w:p>
    <w:p w14:paraId="0EBD2E35" w14:textId="2699509C" w:rsidR="0057351F" w:rsidRPr="000973F2" w:rsidRDefault="0057351F" w:rsidP="00DD0E29">
      <w:pPr>
        <w:pStyle w:val="Heading2"/>
      </w:pPr>
      <w:r w:rsidRPr="000973F2">
        <w:t>Total Costs for Subpart S</w:t>
      </w:r>
    </w:p>
    <w:p w14:paraId="0AA25C4F" w14:textId="77777777" w:rsidR="0057351F" w:rsidRPr="000973F2" w:rsidRDefault="0057351F" w:rsidP="00DD0E29">
      <w:pPr>
        <w:pStyle w:val="BodyText"/>
      </w:pPr>
      <w:r w:rsidRPr="000973F2">
        <w:t>The total industry costs related to Subpart S (from non-CEMS reporting facilities only) are approximately $154,000 per year for a total of $462,000 over the three-year period of the ICR. Total costs are based on 75 facilities each in 2019, 2020, and 2021; it is anticipated that no new facilities will report to Subpart S during the next three years of this ICR.</w:t>
      </w:r>
    </w:p>
    <w:p w14:paraId="452425DD" w14:textId="69734930" w:rsidR="0057351F" w:rsidRPr="000973F2" w:rsidRDefault="0057351F" w:rsidP="00C00E4F">
      <w:pPr>
        <w:spacing w:line="240" w:lineRule="auto"/>
        <w:rPr>
          <w:rFonts w:ascii="Times New Roman" w:hAnsi="Times New Roman" w:cs="Times New Roman"/>
        </w:rPr>
      </w:pPr>
      <w:r w:rsidRPr="000973F2">
        <w:rPr>
          <w:rFonts w:ascii="Times New Roman" w:hAnsi="Times New Roman" w:cs="Times New Roman"/>
        </w:rPr>
        <w:br w:type="page"/>
      </w:r>
    </w:p>
    <w:p w14:paraId="3B687E92" w14:textId="77777777" w:rsidR="005C22AC" w:rsidRPr="000973F2" w:rsidRDefault="005C22AC" w:rsidP="00C00E4F">
      <w:pPr>
        <w:pStyle w:val="Heading1"/>
        <w:spacing w:line="240" w:lineRule="auto"/>
      </w:pPr>
      <w:bookmarkStart w:id="33" w:name="_Toc10715611"/>
      <w:r w:rsidRPr="000973F2">
        <w:t>Cost Appendix for Subpart T – Magnesium Production</w:t>
      </w:r>
      <w:bookmarkEnd w:id="33"/>
    </w:p>
    <w:p w14:paraId="32CC7976" w14:textId="77777777" w:rsidR="005C22AC" w:rsidRPr="000973F2" w:rsidRDefault="005C22AC" w:rsidP="00DD0E29">
      <w:pPr>
        <w:pStyle w:val="Heading2"/>
      </w:pPr>
      <w:r w:rsidRPr="000973F2">
        <w:t>Description of Subpart T</w:t>
      </w:r>
    </w:p>
    <w:p w14:paraId="695C7636" w14:textId="77777777" w:rsidR="005C22AC" w:rsidRPr="000973F2" w:rsidRDefault="005C22AC" w:rsidP="00DD0E29">
      <w:pPr>
        <w:pStyle w:val="BodyText"/>
        <w:rPr>
          <w:color w:val="000000"/>
          <w:shd w:val="clear" w:color="auto" w:fill="FFFFFF"/>
        </w:rPr>
      </w:pPr>
      <w:r w:rsidRPr="000973F2">
        <w:t>For purposes of the GHGRP, magnesium production refers to facilities that engage in the following types of magnesium production activities:</w:t>
      </w:r>
    </w:p>
    <w:p w14:paraId="1B2FE75C" w14:textId="77777777" w:rsidR="005C22AC" w:rsidRPr="000973F2" w:rsidRDefault="005C22AC" w:rsidP="00DA0B85">
      <w:pPr>
        <w:pStyle w:val="ListParagraph"/>
        <w:numPr>
          <w:ilvl w:val="0"/>
          <w:numId w:val="1"/>
        </w:numPr>
        <w:rPr>
          <w:rFonts w:ascii="Times New Roman" w:hAnsi="Times New Roman"/>
          <w:color w:val="000000"/>
          <w:shd w:val="clear" w:color="auto" w:fill="FFFFFF"/>
        </w:rPr>
      </w:pPr>
      <w:r w:rsidRPr="000973F2">
        <w:rPr>
          <w:rFonts w:ascii="Times New Roman" w:hAnsi="Times New Roman"/>
          <w:color w:val="000000"/>
          <w:shd w:val="clear" w:color="auto" w:fill="FFFFFF"/>
        </w:rPr>
        <w:t xml:space="preserve">Primary production where magnesium metal is refined from raw material; </w:t>
      </w:r>
    </w:p>
    <w:p w14:paraId="17CB83EC" w14:textId="77777777" w:rsidR="005C22AC" w:rsidRPr="000973F2" w:rsidRDefault="005C22AC">
      <w:pPr>
        <w:pStyle w:val="ListParagraph"/>
        <w:numPr>
          <w:ilvl w:val="0"/>
          <w:numId w:val="1"/>
        </w:numPr>
        <w:rPr>
          <w:rFonts w:ascii="Times New Roman" w:hAnsi="Times New Roman"/>
          <w:color w:val="000000"/>
          <w:shd w:val="clear" w:color="auto" w:fill="FFFFFF"/>
        </w:rPr>
      </w:pPr>
      <w:r w:rsidRPr="000973F2">
        <w:rPr>
          <w:rFonts w:ascii="Times New Roman" w:hAnsi="Times New Roman"/>
          <w:color w:val="000000"/>
          <w:shd w:val="clear" w:color="auto" w:fill="FFFFFF"/>
        </w:rPr>
        <w:t>Secondary production where scrap is recycled to recover magnesium metal; and</w:t>
      </w:r>
    </w:p>
    <w:p w14:paraId="7590C3DB" w14:textId="77777777" w:rsidR="005C22AC" w:rsidRPr="000973F2" w:rsidRDefault="005C22AC">
      <w:pPr>
        <w:pStyle w:val="ListParagraph"/>
        <w:numPr>
          <w:ilvl w:val="0"/>
          <w:numId w:val="1"/>
        </w:numPr>
        <w:rPr>
          <w:rFonts w:ascii="Times New Roman" w:hAnsi="Times New Roman"/>
          <w:color w:val="000000"/>
          <w:shd w:val="clear" w:color="auto" w:fill="FFFFFF"/>
        </w:rPr>
      </w:pPr>
      <w:r w:rsidRPr="000973F2">
        <w:rPr>
          <w:rFonts w:ascii="Times New Roman" w:hAnsi="Times New Roman"/>
          <w:color w:val="000000"/>
          <w:shd w:val="clear" w:color="auto" w:fill="FFFFFF"/>
        </w:rPr>
        <w:t xml:space="preserve">Casting operations that produce magnesium ingots and/or magnesium and magnesium alloy parts (e.g., automobile parts, camera bodies). </w:t>
      </w:r>
    </w:p>
    <w:p w14:paraId="72611F00" w14:textId="34B12661" w:rsidR="005C22AC" w:rsidRPr="000973F2" w:rsidRDefault="005C22AC" w:rsidP="00DD0E29">
      <w:pPr>
        <w:pStyle w:val="BodyTextfirst"/>
      </w:pPr>
      <w:r w:rsidRPr="000973F2">
        <w:t>The GHG emissions from magnesium production arise from the release of gases used for fire suppression during the handling and processing of molten magnesium metal. Without the cover gas, the molten magnesium readily vaporizes and burns when exposed to air. The gases used for fire suppression contain a mixture of cover gas (e.g., SF</w:t>
      </w:r>
      <w:r w:rsidRPr="000973F2">
        <w:rPr>
          <w:vertAlign w:val="subscript"/>
        </w:rPr>
        <w:t>6</w:t>
      </w:r>
      <w:r w:rsidRPr="000973F2">
        <w:t xml:space="preserve">, HFC-134a, sulfur dioxide) and carrier gas (e.g., </w:t>
      </w:r>
      <w:r w:rsidR="00C61E1A" w:rsidRPr="000973F2">
        <w:t>CO</w:t>
      </w:r>
      <w:r w:rsidR="00C61E1A" w:rsidRPr="000973F2">
        <w:rPr>
          <w:vertAlign w:val="subscript"/>
        </w:rPr>
        <w:t>2</w:t>
      </w:r>
      <w:r w:rsidRPr="000973F2">
        <w:t xml:space="preserve">, nitrogen, dry air) with the cover gas accounting for only a small portion of the total mixture (typically less than 5%). The cover gas molecules form weak bonds with magnesium atoms on the surface of the molten metal, forming a surface layer that prevents oxidation of the molten magnesium. Typically, the cover and carrier gases are stored in a central location within the plant and supplied to each individual unit (e.g., crucible, die casting machine) via a manifold pipe system. Magnesium production facilities track cover and carrier gas consumption as a normal </w:t>
      </w:r>
      <w:r w:rsidR="00A429B9" w:rsidRPr="000973F2">
        <w:t xml:space="preserve">business </w:t>
      </w:r>
      <w:r w:rsidRPr="000973F2">
        <w:t>operation</w:t>
      </w:r>
      <w:r w:rsidR="00A429B9" w:rsidRPr="000973F2">
        <w:t>s</w:t>
      </w:r>
      <w:r w:rsidRPr="000973F2">
        <w:t>. While some facilities use up to three different types of GHGs, most use only one or two GHGs.</w:t>
      </w:r>
      <w:r w:rsidRPr="000973F2">
        <w:rPr>
          <w:rStyle w:val="FootnoteReference"/>
        </w:rPr>
        <w:footnoteReference w:id="5"/>
      </w:r>
    </w:p>
    <w:p w14:paraId="54B96020" w14:textId="77777777" w:rsidR="004F3CD0" w:rsidRPr="000973F2" w:rsidRDefault="005C22AC" w:rsidP="00DD0E29">
      <w:pPr>
        <w:pStyle w:val="BodyText"/>
      </w:pPr>
      <w:r w:rsidRPr="000973F2">
        <w:t xml:space="preserve">The GHG emissions from Subpart T facilities are based on gas usage records, with the assumption that all gas used is emitted to the atmosphere. </w:t>
      </w:r>
    </w:p>
    <w:p w14:paraId="1E577D25" w14:textId="5733B08D" w:rsidR="004F3CD0" w:rsidRPr="000973F2" w:rsidRDefault="004F3CD0" w:rsidP="00DD0E29">
      <w:pPr>
        <w:pStyle w:val="BodyText"/>
        <w:rPr>
          <w:color w:val="000000"/>
          <w:shd w:val="clear" w:color="auto" w:fill="FFFFFF"/>
        </w:rPr>
      </w:pPr>
      <w:r w:rsidRPr="000973F2">
        <w:t>Subpart T facilities are based on gas usage records, with the assumption that all gas used is emitted to the atmosphere. Subpart T allows facilities to calculate emissions using one of the following three methods: (1) GHG usage derived from company records, including GHG deliveries, returns and an annual inventory (Method 1) (see §98.203(a)(1)); (2) direct measurements of GHG usage made using scales to measure the change in weight of each individual gas cylinder (Method 2</w:t>
      </w:r>
      <w:r w:rsidRPr="000973F2">
        <w:rPr>
          <w:highlight w:val="yellow"/>
        </w:rPr>
        <w:t>) (see §98.203(a)(2));</w:t>
      </w:r>
      <w:r w:rsidRPr="000973F2">
        <w:t xml:space="preserve"> or (3) direct measurement of flow (either mass or volumetric) using flow meters installed on the cover gas distribution pipelines (Method 3) </w:t>
      </w:r>
      <w:r w:rsidRPr="000973F2">
        <w:rPr>
          <w:highlight w:val="yellow"/>
        </w:rPr>
        <w:t>(see §98.203(c)).</w:t>
      </w:r>
      <w:r w:rsidRPr="000973F2">
        <w:t xml:space="preserve"> Most facilities use Method 1 with the remainder using Method 2.</w:t>
      </w:r>
      <w:r w:rsidR="0063791D">
        <w:rPr>
          <w:rStyle w:val="FootnoteReference"/>
        </w:rPr>
        <w:footnoteReference w:id="6"/>
      </w:r>
      <w:r w:rsidRPr="000973F2">
        <w:t xml:space="preserve"> Method 3 is not currently used by facilities. It is expected that any new facility would use either Method 1 or 2. </w:t>
      </w:r>
      <w:r w:rsidRPr="000973F2">
        <w:rPr>
          <w:color w:val="000000"/>
          <w:shd w:val="clear" w:color="auto" w:fill="FFFFFF"/>
        </w:rPr>
        <w:t>Facilities using Methods 1 and 2 may use data provided by their gas supplier in lieu of making their own measurements onsite.</w:t>
      </w:r>
    </w:p>
    <w:p w14:paraId="67C3F9D0" w14:textId="7E331C25" w:rsidR="005C22AC" w:rsidRPr="000973F2" w:rsidRDefault="005C22AC" w:rsidP="00DD0E29">
      <w:pPr>
        <w:pStyle w:val="BodyText"/>
        <w:rPr>
          <w:shd w:val="clear" w:color="auto" w:fill="FFFFFF"/>
        </w:rPr>
      </w:pPr>
      <w:r w:rsidRPr="000973F2">
        <w:rPr>
          <w:shd w:val="clear" w:color="auto" w:fill="FFFFFF"/>
        </w:rPr>
        <w:t>The number of facilities reporting to Subpart T has varied from a low of eight in 2017 to a high of eleven in 2014 and 2015. Although eight facilities reported in RY2017, one of the eight facilities was a new facility that was not subject to Part 98 because their reported CO</w:t>
      </w:r>
      <w:r w:rsidRPr="000973F2">
        <w:rPr>
          <w:shd w:val="clear" w:color="auto" w:fill="FFFFFF"/>
          <w:vertAlign w:val="subscript"/>
        </w:rPr>
        <w:t>2</w:t>
      </w:r>
      <w:r w:rsidRPr="000973F2">
        <w:rPr>
          <w:shd w:val="clear" w:color="auto" w:fill="FFFFFF"/>
        </w:rPr>
        <w:t xml:space="preserve">e emissions were below the 25,000 metric tons/year applicability threshold. However, three other magnesium production facilities that had reported in RY2016 failed to submit reports for RY2017. These three facilities were expected to report in RY2017 based on their reporting histories. They do not appear to qualify for the off-ramp provisions in §98.2(i) and have not notified the EPA of any changes in their operations. Although there is uncertainty whether these facilities will continue reporting in future years, we have included them in the count of existing facilities to ensure we do not underestimate the reporting burden for this subpart. We have excluded the one new facility that submitted a report for the first time in RY2017. Since this facility is not currently subject to Part 98, their reporting is voluntary. Hence, we have assumed ten existing facilities consisting of the seven facilities that are subject to Part 98 and submitted RY2017 plus the three facilities that failed to report in RY2017 and </w:t>
      </w:r>
      <w:r w:rsidR="001C2DE7" w:rsidRPr="000973F2">
        <w:rPr>
          <w:shd w:val="clear" w:color="auto" w:fill="FFFFFF"/>
        </w:rPr>
        <w:t xml:space="preserve">are </w:t>
      </w:r>
      <w:r w:rsidRPr="000973F2">
        <w:rPr>
          <w:shd w:val="clear" w:color="auto" w:fill="FFFFFF"/>
        </w:rPr>
        <w:t xml:space="preserve">believed to be still subject to Part 98 reporting. We anticipate that one new Subpart T facility will begin reporting during the three-year period </w:t>
      </w:r>
      <w:r w:rsidR="001C2DE7" w:rsidRPr="000973F2">
        <w:rPr>
          <w:shd w:val="clear" w:color="auto" w:fill="FFFFFF"/>
        </w:rPr>
        <w:t>of this ICR</w:t>
      </w:r>
      <w:r w:rsidRPr="000973F2">
        <w:rPr>
          <w:shd w:val="clear" w:color="auto" w:fill="FFFFFF"/>
        </w:rPr>
        <w:t>. This is consistent with prior years, where one new facility began reporting in the period 2011-2013 and a second new facility began reporting in the period from 2014 to 2016. For the purposes of this analysis, we expect the new facility to begin reporting in 2019 and the eleven facilities (</w:t>
      </w:r>
      <w:r w:rsidRPr="000973F2">
        <w:rPr>
          <w:i/>
          <w:iCs/>
          <w:shd w:val="clear" w:color="auto" w:fill="FFFFFF"/>
        </w:rPr>
        <w:t>i.e.</w:t>
      </w:r>
      <w:r w:rsidRPr="000973F2">
        <w:rPr>
          <w:shd w:val="clear" w:color="auto" w:fill="FFFFFF"/>
        </w:rPr>
        <w:t xml:space="preserve">, ten existing Subpart T facilities and one new facility) will report in 2019 through 2021. </w:t>
      </w:r>
    </w:p>
    <w:p w14:paraId="73829C74" w14:textId="77777777" w:rsidR="005C22AC" w:rsidRPr="000973F2" w:rsidRDefault="005C22AC" w:rsidP="00DD0E29">
      <w:pPr>
        <w:pStyle w:val="Heading2"/>
      </w:pPr>
      <w:r w:rsidRPr="000973F2">
        <w:t>Labor Costs for Subpart T</w:t>
      </w:r>
    </w:p>
    <w:p w14:paraId="74B9159C" w14:textId="752F278B" w:rsidR="005C22AC" w:rsidRPr="000973F2" w:rsidRDefault="005C22AC" w:rsidP="00DD0E29">
      <w:pPr>
        <w:pStyle w:val="BodyText"/>
      </w:pPr>
      <w:r w:rsidRPr="000973F2">
        <w:t xml:space="preserve">Table </w:t>
      </w:r>
      <w:r w:rsidR="00DD0E29" w:rsidRPr="000973F2">
        <w:t>T-</w:t>
      </w:r>
      <w:r w:rsidRPr="000973F2">
        <w:t xml:space="preserve">1 below includes the labor hours for Subpart T. Typical activities for each of the labor categories are discussed in the Cost Appendix Introduction. Recordkeeping and reporting hours </w:t>
      </w:r>
      <w:r w:rsidR="00AE516A" w:rsidRPr="000973F2">
        <w:t xml:space="preserve">are based on </w:t>
      </w:r>
      <w:r w:rsidRPr="000973F2">
        <w:t>the “low bin”</w:t>
      </w:r>
      <w:r w:rsidR="00892409" w:rsidRPr="000973F2">
        <w:t xml:space="preserve"> designation.</w:t>
      </w:r>
      <w:r w:rsidRPr="000973F2">
        <w:t xml:space="preserve"> Calculations include time required to complete measurements and calculations for Method 1 or Method 2, including calculation of emissions, magnesium throughput, and cover gas composition, flow rate and usage rate. Methods 1 and 2 require approximately the same level of effort to complete the measurements, calculations, QA/QC, recordkeeping and reporting.</w:t>
      </w:r>
    </w:p>
    <w:p w14:paraId="7B7EEB18" w14:textId="1F5D6147" w:rsidR="005C22AC" w:rsidRPr="000973F2" w:rsidRDefault="005C22AC" w:rsidP="00DD0E29">
      <w:pPr>
        <w:pStyle w:val="BodyText"/>
      </w:pPr>
      <w:r w:rsidRPr="000973F2">
        <w:rPr>
          <w:shd w:val="clear" w:color="auto" w:fill="FFFFFF"/>
        </w:rPr>
        <w:t xml:space="preserve">The costs for legal support and QA/QC, recordkeeping and calculations for any new facility are expected to be the same as for existing facilities since there are no additional requirements for these tasks that apply to new facilities. </w:t>
      </w:r>
      <w:r w:rsidRPr="000973F2">
        <w:t>However, a new facility in their initial year of reporting will require additional time for planning to familiarize themselves with the rule</w:t>
      </w:r>
      <w:r w:rsidR="001C2DE7" w:rsidRPr="000973F2">
        <w:t>, as discussed in the Cost Appendix Introduction</w:t>
      </w:r>
      <w:r w:rsidRPr="000973F2">
        <w:t xml:space="preserve">. </w:t>
      </w:r>
    </w:p>
    <w:p w14:paraId="0E342761" w14:textId="64D75D80" w:rsidR="004A3755" w:rsidRPr="000973F2" w:rsidRDefault="004A3755" w:rsidP="00DD0E29">
      <w:pPr>
        <w:pStyle w:val="Tabletitle"/>
      </w:pPr>
      <w:r w:rsidRPr="000973F2">
        <w:t xml:space="preserve">Table </w:t>
      </w:r>
      <w:r w:rsidR="00DD0E29" w:rsidRPr="000973F2">
        <w:t>T-</w:t>
      </w:r>
      <w:r w:rsidRPr="000973F2">
        <w:t xml:space="preserve">1. Labor Costs </w:t>
      </w:r>
      <w:r w:rsidR="00B960CC" w:rsidRPr="000973F2">
        <w:t>–</w:t>
      </w:r>
      <w:r w:rsidRPr="000973F2">
        <w:t xml:space="preserve"> Subpart T </w:t>
      </w:r>
    </w:p>
    <w:tbl>
      <w:tblPr>
        <w:tblStyle w:val="PlainTable1"/>
        <w:tblW w:w="5000" w:type="pct"/>
        <w:jc w:val="left"/>
        <w:tblLayout w:type="fixed"/>
        <w:tblCellMar>
          <w:left w:w="115" w:type="dxa"/>
          <w:right w:w="115" w:type="dxa"/>
        </w:tblCellMar>
        <w:tblLook w:val="04A0" w:firstRow="1" w:lastRow="0" w:firstColumn="1" w:lastColumn="0" w:noHBand="0" w:noVBand="1"/>
      </w:tblPr>
      <w:tblGrid>
        <w:gridCol w:w="1366"/>
        <w:gridCol w:w="810"/>
        <w:gridCol w:w="810"/>
        <w:gridCol w:w="810"/>
        <w:gridCol w:w="811"/>
        <w:gridCol w:w="810"/>
        <w:gridCol w:w="810"/>
        <w:gridCol w:w="810"/>
        <w:gridCol w:w="811"/>
        <w:gridCol w:w="839"/>
        <w:gridCol w:w="903"/>
      </w:tblGrid>
      <w:tr w:rsidR="004A3755" w:rsidRPr="000973F2" w14:paraId="00FA77BE" w14:textId="77777777" w:rsidTr="00DD0E29">
        <w:trPr>
          <w:cnfStyle w:val="100000000000" w:firstRow="1" w:lastRow="0" w:firstColumn="0" w:lastColumn="0" w:oddVBand="0" w:evenVBand="0" w:oddHBand="0" w:evenHBand="0" w:firstRowFirstColumn="0" w:firstRowLastColumn="0" w:lastRowFirstColumn="0" w:lastRowLastColumn="0"/>
          <w:cantSplit/>
          <w:jc w:val="left"/>
        </w:trPr>
        <w:tc>
          <w:tcPr>
            <w:cnfStyle w:val="001000000000" w:firstRow="0" w:lastRow="0" w:firstColumn="1" w:lastColumn="0" w:oddVBand="0" w:evenVBand="0" w:oddHBand="0" w:evenHBand="0" w:firstRowFirstColumn="0" w:firstRowLastColumn="0" w:lastRowFirstColumn="0" w:lastRowLastColumn="0"/>
            <w:tcW w:w="1329" w:type="dxa"/>
            <w:vMerge w:val="restart"/>
            <w:noWrap/>
            <w:vAlign w:val="top"/>
            <w:hideMark/>
          </w:tcPr>
          <w:p w14:paraId="01D76CD1" w14:textId="77777777" w:rsidR="004A3755" w:rsidRPr="000973F2" w:rsidRDefault="004A3755" w:rsidP="00DD0E29">
            <w:pPr>
              <w:spacing w:before="40" w:after="40"/>
              <w:rPr>
                <w:rFonts w:ascii="Times New Roman" w:eastAsia="Times New Roman" w:hAnsi="Times New Roman" w:cs="Times New Roman"/>
                <w:b w:val="0"/>
                <w:bCs w:val="0"/>
                <w:sz w:val="18"/>
                <w:szCs w:val="18"/>
              </w:rPr>
            </w:pPr>
            <w:r w:rsidRPr="000973F2">
              <w:rPr>
                <w:rFonts w:ascii="Times New Roman" w:eastAsia="Times New Roman" w:hAnsi="Times New Roman" w:cs="Times New Roman"/>
                <w:sz w:val="18"/>
                <w:szCs w:val="18"/>
              </w:rPr>
              <w:t>Activity</w:t>
            </w:r>
          </w:p>
        </w:tc>
        <w:tc>
          <w:tcPr>
            <w:tcW w:w="6306" w:type="dxa"/>
            <w:gridSpan w:val="8"/>
            <w:noWrap/>
            <w:vAlign w:val="top"/>
            <w:hideMark/>
          </w:tcPr>
          <w:p w14:paraId="4076375D" w14:textId="77777777" w:rsidR="004A3755" w:rsidRPr="000973F2" w:rsidRDefault="004A3755" w:rsidP="00DD0E29">
            <w:pPr>
              <w:spacing w:before="40" w:after="40"/>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bCs w:val="0"/>
                <w:sz w:val="18"/>
                <w:szCs w:val="18"/>
              </w:rPr>
            </w:pPr>
            <w:r w:rsidRPr="000973F2">
              <w:rPr>
                <w:rFonts w:ascii="Times New Roman" w:eastAsia="Times New Roman" w:hAnsi="Times New Roman" w:cs="Times New Roman"/>
                <w:sz w:val="18"/>
                <w:szCs w:val="18"/>
              </w:rPr>
              <w:t>Labor Rates (per hour)</w:t>
            </w:r>
          </w:p>
        </w:tc>
        <w:tc>
          <w:tcPr>
            <w:tcW w:w="1695" w:type="dxa"/>
            <w:gridSpan w:val="2"/>
            <w:vMerge w:val="restart"/>
            <w:vAlign w:val="top"/>
            <w:hideMark/>
          </w:tcPr>
          <w:p w14:paraId="1236AF6D" w14:textId="77777777" w:rsidR="004A3755" w:rsidRPr="000973F2" w:rsidRDefault="004A3755" w:rsidP="00DD0E29">
            <w:pPr>
              <w:spacing w:before="40" w:after="40"/>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bCs w:val="0"/>
                <w:sz w:val="18"/>
                <w:szCs w:val="18"/>
              </w:rPr>
            </w:pPr>
            <w:r w:rsidRPr="000973F2">
              <w:rPr>
                <w:rFonts w:ascii="Times New Roman" w:eastAsia="Times New Roman" w:hAnsi="Times New Roman" w:cs="Times New Roman"/>
                <w:sz w:val="18"/>
                <w:szCs w:val="18"/>
              </w:rPr>
              <w:t>Total Labor Cost per Year per Facility</w:t>
            </w:r>
          </w:p>
          <w:p w14:paraId="56F49B66" w14:textId="77777777" w:rsidR="004A3755" w:rsidRPr="000973F2" w:rsidRDefault="004A3755" w:rsidP="00DD0E29">
            <w:pPr>
              <w:spacing w:before="40" w:after="40"/>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bCs w:val="0"/>
                <w:sz w:val="18"/>
                <w:szCs w:val="18"/>
              </w:rPr>
            </w:pPr>
            <w:r w:rsidRPr="000973F2">
              <w:rPr>
                <w:rFonts w:ascii="Times New Roman" w:eastAsia="Times New Roman" w:hAnsi="Times New Roman" w:cs="Times New Roman"/>
                <w:sz w:val="18"/>
                <w:szCs w:val="18"/>
              </w:rPr>
              <w:t>(2017$)</w:t>
            </w:r>
          </w:p>
        </w:tc>
      </w:tr>
      <w:tr w:rsidR="004A3755" w:rsidRPr="000973F2" w14:paraId="4DC44A9C" w14:textId="77777777" w:rsidTr="00DD0E29">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1329" w:type="dxa"/>
            <w:vMerge/>
            <w:hideMark/>
          </w:tcPr>
          <w:p w14:paraId="23D065C7" w14:textId="77777777" w:rsidR="004A3755" w:rsidRPr="000973F2" w:rsidRDefault="004A3755" w:rsidP="00DD0E29">
            <w:pPr>
              <w:spacing w:before="40" w:after="40"/>
              <w:rPr>
                <w:rFonts w:ascii="Times New Roman" w:eastAsia="Times New Roman" w:hAnsi="Times New Roman" w:cs="Times New Roman"/>
                <w:b/>
                <w:bCs w:val="0"/>
                <w:sz w:val="18"/>
                <w:szCs w:val="18"/>
              </w:rPr>
            </w:pPr>
          </w:p>
        </w:tc>
        <w:tc>
          <w:tcPr>
            <w:tcW w:w="1576" w:type="dxa"/>
            <w:gridSpan w:val="2"/>
            <w:noWrap/>
            <w:hideMark/>
          </w:tcPr>
          <w:p w14:paraId="0CDD4E27" w14:textId="77777777" w:rsidR="004A3755" w:rsidRPr="000973F2" w:rsidRDefault="004A3755" w:rsidP="00DD0E29">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18"/>
                <w:szCs w:val="18"/>
              </w:rPr>
            </w:pPr>
            <w:r w:rsidRPr="000973F2">
              <w:rPr>
                <w:rFonts w:ascii="Times New Roman" w:eastAsia="Times New Roman" w:hAnsi="Times New Roman" w:cs="Times New Roman"/>
                <w:b/>
                <w:bCs/>
                <w:sz w:val="18"/>
                <w:szCs w:val="18"/>
              </w:rPr>
              <w:t>Lawyer</w:t>
            </w:r>
          </w:p>
        </w:tc>
        <w:tc>
          <w:tcPr>
            <w:tcW w:w="1577" w:type="dxa"/>
            <w:gridSpan w:val="2"/>
            <w:noWrap/>
            <w:hideMark/>
          </w:tcPr>
          <w:p w14:paraId="210BD864" w14:textId="77777777" w:rsidR="004A3755" w:rsidRPr="000973F2" w:rsidRDefault="004A3755" w:rsidP="00DD0E29">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18"/>
                <w:szCs w:val="18"/>
              </w:rPr>
            </w:pPr>
            <w:r w:rsidRPr="000973F2">
              <w:rPr>
                <w:rFonts w:ascii="Times New Roman" w:eastAsia="Times New Roman" w:hAnsi="Times New Roman" w:cs="Times New Roman"/>
                <w:b/>
                <w:bCs/>
                <w:sz w:val="18"/>
                <w:szCs w:val="18"/>
              </w:rPr>
              <w:t>Industrial Manager</w:t>
            </w:r>
          </w:p>
        </w:tc>
        <w:tc>
          <w:tcPr>
            <w:tcW w:w="1576" w:type="dxa"/>
            <w:gridSpan w:val="2"/>
            <w:hideMark/>
          </w:tcPr>
          <w:p w14:paraId="5E794895" w14:textId="77777777" w:rsidR="004A3755" w:rsidRPr="000973F2" w:rsidRDefault="004A3755" w:rsidP="00DD0E29">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18"/>
                <w:szCs w:val="18"/>
              </w:rPr>
            </w:pPr>
            <w:r w:rsidRPr="000973F2">
              <w:rPr>
                <w:rFonts w:ascii="Times New Roman" w:eastAsia="Times New Roman" w:hAnsi="Times New Roman" w:cs="Times New Roman"/>
                <w:b/>
                <w:bCs/>
                <w:sz w:val="18"/>
                <w:szCs w:val="18"/>
              </w:rPr>
              <w:t>Industrial Engineer/</w:t>
            </w:r>
          </w:p>
          <w:p w14:paraId="6DE272ED" w14:textId="77777777" w:rsidR="004A3755" w:rsidRPr="000973F2" w:rsidRDefault="004A3755" w:rsidP="00DD0E29">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18"/>
                <w:szCs w:val="18"/>
              </w:rPr>
            </w:pPr>
            <w:r w:rsidRPr="000973F2">
              <w:rPr>
                <w:rFonts w:ascii="Times New Roman" w:eastAsia="Times New Roman" w:hAnsi="Times New Roman" w:cs="Times New Roman"/>
                <w:b/>
                <w:bCs/>
                <w:sz w:val="18"/>
                <w:szCs w:val="18"/>
              </w:rPr>
              <w:t>Technician</w:t>
            </w:r>
          </w:p>
        </w:tc>
        <w:tc>
          <w:tcPr>
            <w:tcW w:w="1577" w:type="dxa"/>
            <w:gridSpan w:val="2"/>
            <w:hideMark/>
          </w:tcPr>
          <w:p w14:paraId="235FDABF" w14:textId="77777777" w:rsidR="004A3755" w:rsidRPr="000973F2" w:rsidRDefault="004A3755" w:rsidP="00DD0E29">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18"/>
                <w:szCs w:val="18"/>
              </w:rPr>
            </w:pPr>
            <w:r w:rsidRPr="000973F2">
              <w:rPr>
                <w:rFonts w:ascii="Times New Roman" w:eastAsia="Times New Roman" w:hAnsi="Times New Roman" w:cs="Times New Roman"/>
                <w:b/>
                <w:bCs/>
                <w:sz w:val="18"/>
                <w:szCs w:val="18"/>
              </w:rPr>
              <w:t>Administrative Support</w:t>
            </w:r>
          </w:p>
        </w:tc>
        <w:tc>
          <w:tcPr>
            <w:tcW w:w="1695" w:type="dxa"/>
            <w:gridSpan w:val="2"/>
            <w:vMerge/>
            <w:hideMark/>
          </w:tcPr>
          <w:p w14:paraId="2F57938D" w14:textId="77777777" w:rsidR="004A3755" w:rsidRPr="000973F2" w:rsidRDefault="004A3755" w:rsidP="00DD0E29">
            <w:pPr>
              <w:spacing w:before="40" w:after="4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18"/>
                <w:szCs w:val="18"/>
              </w:rPr>
            </w:pPr>
          </w:p>
        </w:tc>
      </w:tr>
      <w:tr w:rsidR="004A3755" w:rsidRPr="000973F2" w14:paraId="2724BBCA" w14:textId="77777777" w:rsidTr="00DD0E29">
        <w:trPr>
          <w:cantSplit/>
        </w:trPr>
        <w:tc>
          <w:tcPr>
            <w:cnfStyle w:val="001000000000" w:firstRow="0" w:lastRow="0" w:firstColumn="1" w:lastColumn="0" w:oddVBand="0" w:evenVBand="0" w:oddHBand="0" w:evenHBand="0" w:firstRowFirstColumn="0" w:firstRowLastColumn="0" w:lastRowFirstColumn="0" w:lastRowLastColumn="0"/>
            <w:tcW w:w="1329" w:type="dxa"/>
            <w:vMerge/>
            <w:hideMark/>
          </w:tcPr>
          <w:p w14:paraId="7E6F19F6" w14:textId="77777777" w:rsidR="004A3755" w:rsidRPr="000973F2" w:rsidRDefault="004A3755" w:rsidP="00DD0E29">
            <w:pPr>
              <w:spacing w:before="40" w:after="40"/>
              <w:rPr>
                <w:rFonts w:ascii="Times New Roman" w:eastAsia="Times New Roman" w:hAnsi="Times New Roman" w:cs="Times New Roman"/>
                <w:b/>
                <w:bCs w:val="0"/>
                <w:sz w:val="18"/>
                <w:szCs w:val="18"/>
              </w:rPr>
            </w:pPr>
          </w:p>
        </w:tc>
        <w:tc>
          <w:tcPr>
            <w:tcW w:w="1576" w:type="dxa"/>
            <w:gridSpan w:val="2"/>
            <w:noWrap/>
            <w:hideMark/>
          </w:tcPr>
          <w:p w14:paraId="0743E3AA" w14:textId="77777777" w:rsidR="004A3755" w:rsidRPr="000973F2" w:rsidRDefault="004A3755" w:rsidP="00DD0E29">
            <w:pPr>
              <w:spacing w:before="40" w:after="4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sz w:val="18"/>
                <w:szCs w:val="18"/>
              </w:rPr>
            </w:pPr>
            <w:r w:rsidRPr="000973F2">
              <w:rPr>
                <w:rFonts w:ascii="Times New Roman" w:eastAsia="Times New Roman" w:hAnsi="Times New Roman" w:cs="Times New Roman"/>
                <w:b/>
                <w:bCs/>
                <w:sz w:val="18"/>
                <w:szCs w:val="18"/>
              </w:rPr>
              <w:t xml:space="preserve">$112.23 </w:t>
            </w:r>
          </w:p>
        </w:tc>
        <w:tc>
          <w:tcPr>
            <w:tcW w:w="1577" w:type="dxa"/>
            <w:gridSpan w:val="2"/>
            <w:noWrap/>
            <w:hideMark/>
          </w:tcPr>
          <w:p w14:paraId="52819672" w14:textId="77777777" w:rsidR="004A3755" w:rsidRPr="000973F2" w:rsidRDefault="004A3755" w:rsidP="00DD0E29">
            <w:pPr>
              <w:spacing w:before="40" w:after="4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sz w:val="18"/>
                <w:szCs w:val="18"/>
              </w:rPr>
            </w:pPr>
            <w:r w:rsidRPr="000973F2">
              <w:rPr>
                <w:rFonts w:ascii="Times New Roman" w:eastAsia="Times New Roman" w:hAnsi="Times New Roman" w:cs="Times New Roman"/>
                <w:b/>
                <w:bCs/>
                <w:sz w:val="18"/>
                <w:szCs w:val="18"/>
              </w:rPr>
              <w:t xml:space="preserve">$87.45 </w:t>
            </w:r>
          </w:p>
        </w:tc>
        <w:tc>
          <w:tcPr>
            <w:tcW w:w="1576" w:type="dxa"/>
            <w:gridSpan w:val="2"/>
            <w:noWrap/>
            <w:hideMark/>
          </w:tcPr>
          <w:p w14:paraId="50757B44" w14:textId="77777777" w:rsidR="004A3755" w:rsidRPr="000973F2" w:rsidRDefault="004A3755" w:rsidP="00DD0E29">
            <w:pPr>
              <w:spacing w:before="40" w:after="4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sz w:val="18"/>
                <w:szCs w:val="18"/>
              </w:rPr>
            </w:pPr>
            <w:r w:rsidRPr="000973F2">
              <w:rPr>
                <w:rFonts w:ascii="Times New Roman" w:eastAsia="Times New Roman" w:hAnsi="Times New Roman" w:cs="Times New Roman"/>
                <w:b/>
                <w:bCs/>
                <w:sz w:val="18"/>
                <w:szCs w:val="18"/>
              </w:rPr>
              <w:t xml:space="preserve">$71.45 </w:t>
            </w:r>
          </w:p>
        </w:tc>
        <w:tc>
          <w:tcPr>
            <w:tcW w:w="1577" w:type="dxa"/>
            <w:gridSpan w:val="2"/>
            <w:noWrap/>
            <w:hideMark/>
          </w:tcPr>
          <w:p w14:paraId="4606B01A" w14:textId="77777777" w:rsidR="004A3755" w:rsidRPr="000973F2" w:rsidRDefault="004A3755" w:rsidP="00DD0E29">
            <w:pPr>
              <w:spacing w:before="40" w:after="4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sz w:val="18"/>
                <w:szCs w:val="18"/>
              </w:rPr>
            </w:pPr>
            <w:r w:rsidRPr="000973F2">
              <w:rPr>
                <w:rFonts w:ascii="Times New Roman" w:eastAsia="Times New Roman" w:hAnsi="Times New Roman" w:cs="Times New Roman"/>
                <w:b/>
                <w:bCs/>
                <w:sz w:val="18"/>
                <w:szCs w:val="18"/>
              </w:rPr>
              <w:t xml:space="preserve">$36.28 </w:t>
            </w:r>
          </w:p>
        </w:tc>
        <w:tc>
          <w:tcPr>
            <w:tcW w:w="1695" w:type="dxa"/>
            <w:gridSpan w:val="2"/>
            <w:vMerge/>
            <w:hideMark/>
          </w:tcPr>
          <w:p w14:paraId="099EAB77" w14:textId="77777777" w:rsidR="004A3755" w:rsidRPr="000973F2" w:rsidRDefault="004A3755" w:rsidP="00DD0E29">
            <w:pPr>
              <w:spacing w:before="40" w:after="4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sz w:val="18"/>
                <w:szCs w:val="18"/>
              </w:rPr>
            </w:pPr>
          </w:p>
        </w:tc>
      </w:tr>
      <w:tr w:rsidR="004A3755" w:rsidRPr="000973F2" w14:paraId="768DE938" w14:textId="77777777" w:rsidTr="00DD0E29">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1329" w:type="dxa"/>
            <w:vMerge/>
            <w:hideMark/>
          </w:tcPr>
          <w:p w14:paraId="4744F9C4" w14:textId="77777777" w:rsidR="004A3755" w:rsidRPr="000973F2" w:rsidRDefault="004A3755" w:rsidP="00DD0E29">
            <w:pPr>
              <w:spacing w:before="40" w:after="40"/>
              <w:rPr>
                <w:rFonts w:ascii="Times New Roman" w:eastAsia="Times New Roman" w:hAnsi="Times New Roman" w:cs="Times New Roman"/>
                <w:b/>
                <w:bCs w:val="0"/>
                <w:sz w:val="18"/>
                <w:szCs w:val="18"/>
              </w:rPr>
            </w:pPr>
          </w:p>
        </w:tc>
        <w:tc>
          <w:tcPr>
            <w:tcW w:w="788" w:type="dxa"/>
            <w:tcMar>
              <w:left w:w="14" w:type="dxa"/>
              <w:right w:w="14" w:type="dxa"/>
            </w:tcMar>
            <w:hideMark/>
          </w:tcPr>
          <w:p w14:paraId="66FCE07A" w14:textId="29636FD3" w:rsidR="004A3755" w:rsidRPr="000973F2" w:rsidRDefault="004A3755" w:rsidP="00DD0E29">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18"/>
                <w:szCs w:val="18"/>
              </w:rPr>
            </w:pPr>
            <w:r w:rsidRPr="000973F2">
              <w:rPr>
                <w:rFonts w:ascii="Times New Roman" w:eastAsia="Times New Roman" w:hAnsi="Times New Roman" w:cs="Times New Roman"/>
                <w:b/>
                <w:bCs/>
                <w:sz w:val="18"/>
                <w:szCs w:val="18"/>
              </w:rPr>
              <w:t xml:space="preserve">Initial </w:t>
            </w:r>
            <w:r w:rsidR="00132320" w:rsidRPr="000973F2">
              <w:rPr>
                <w:rFonts w:ascii="Times New Roman" w:eastAsia="Times New Roman" w:hAnsi="Times New Roman" w:cs="Times New Roman"/>
                <w:b/>
                <w:bCs/>
                <w:sz w:val="18"/>
                <w:szCs w:val="18"/>
              </w:rPr>
              <w:t>Year Hours</w:t>
            </w:r>
          </w:p>
        </w:tc>
        <w:tc>
          <w:tcPr>
            <w:tcW w:w="788" w:type="dxa"/>
            <w:tcMar>
              <w:left w:w="14" w:type="dxa"/>
              <w:right w:w="14" w:type="dxa"/>
            </w:tcMar>
            <w:hideMark/>
          </w:tcPr>
          <w:p w14:paraId="0E3C835D" w14:textId="77777777" w:rsidR="004A3755" w:rsidRPr="000973F2" w:rsidRDefault="004A3755" w:rsidP="00DD0E29">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18"/>
                <w:szCs w:val="18"/>
              </w:rPr>
            </w:pPr>
            <w:r w:rsidRPr="000973F2">
              <w:rPr>
                <w:rFonts w:ascii="Times New Roman" w:eastAsia="Times New Roman" w:hAnsi="Times New Roman" w:cs="Times New Roman"/>
                <w:b/>
                <w:bCs/>
                <w:sz w:val="18"/>
                <w:szCs w:val="18"/>
              </w:rPr>
              <w:t>Subseq. Year Hours</w:t>
            </w:r>
          </w:p>
        </w:tc>
        <w:tc>
          <w:tcPr>
            <w:tcW w:w="788" w:type="dxa"/>
            <w:tcMar>
              <w:left w:w="14" w:type="dxa"/>
              <w:right w:w="14" w:type="dxa"/>
            </w:tcMar>
            <w:hideMark/>
          </w:tcPr>
          <w:p w14:paraId="7D6CA250" w14:textId="4C1C9DF4" w:rsidR="004A3755" w:rsidRPr="000973F2" w:rsidRDefault="004A3755" w:rsidP="00DD0E29">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18"/>
                <w:szCs w:val="18"/>
              </w:rPr>
            </w:pPr>
            <w:r w:rsidRPr="000973F2">
              <w:rPr>
                <w:rFonts w:ascii="Times New Roman" w:eastAsia="Times New Roman" w:hAnsi="Times New Roman" w:cs="Times New Roman"/>
                <w:b/>
                <w:bCs/>
                <w:sz w:val="18"/>
                <w:szCs w:val="18"/>
              </w:rPr>
              <w:t xml:space="preserve">Initial </w:t>
            </w:r>
            <w:r w:rsidR="00132320" w:rsidRPr="000973F2">
              <w:rPr>
                <w:rFonts w:ascii="Times New Roman" w:eastAsia="Times New Roman" w:hAnsi="Times New Roman" w:cs="Times New Roman"/>
                <w:b/>
                <w:bCs/>
                <w:sz w:val="18"/>
                <w:szCs w:val="18"/>
              </w:rPr>
              <w:t>Year Hours</w:t>
            </w:r>
          </w:p>
        </w:tc>
        <w:tc>
          <w:tcPr>
            <w:tcW w:w="789" w:type="dxa"/>
            <w:tcMar>
              <w:left w:w="14" w:type="dxa"/>
              <w:right w:w="14" w:type="dxa"/>
            </w:tcMar>
            <w:hideMark/>
          </w:tcPr>
          <w:p w14:paraId="4B9BD1A5" w14:textId="77777777" w:rsidR="004A3755" w:rsidRPr="000973F2" w:rsidRDefault="004A3755" w:rsidP="00DD0E29">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18"/>
                <w:szCs w:val="18"/>
              </w:rPr>
            </w:pPr>
            <w:r w:rsidRPr="000973F2">
              <w:rPr>
                <w:rFonts w:ascii="Times New Roman" w:eastAsia="Times New Roman" w:hAnsi="Times New Roman" w:cs="Times New Roman"/>
                <w:b/>
                <w:bCs/>
                <w:sz w:val="18"/>
                <w:szCs w:val="18"/>
              </w:rPr>
              <w:t>Subseq. Year Hours</w:t>
            </w:r>
          </w:p>
        </w:tc>
        <w:tc>
          <w:tcPr>
            <w:tcW w:w="788" w:type="dxa"/>
            <w:tcMar>
              <w:left w:w="14" w:type="dxa"/>
              <w:right w:w="14" w:type="dxa"/>
            </w:tcMar>
            <w:hideMark/>
          </w:tcPr>
          <w:p w14:paraId="6238BF77" w14:textId="5A56C303" w:rsidR="004A3755" w:rsidRPr="000973F2" w:rsidRDefault="004A3755" w:rsidP="00DD0E29">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18"/>
                <w:szCs w:val="18"/>
              </w:rPr>
            </w:pPr>
            <w:r w:rsidRPr="000973F2">
              <w:rPr>
                <w:rFonts w:ascii="Times New Roman" w:eastAsia="Times New Roman" w:hAnsi="Times New Roman" w:cs="Times New Roman"/>
                <w:b/>
                <w:bCs/>
                <w:sz w:val="18"/>
                <w:szCs w:val="18"/>
              </w:rPr>
              <w:t xml:space="preserve">Initial </w:t>
            </w:r>
            <w:r w:rsidR="00132320" w:rsidRPr="000973F2">
              <w:rPr>
                <w:rFonts w:ascii="Times New Roman" w:eastAsia="Times New Roman" w:hAnsi="Times New Roman" w:cs="Times New Roman"/>
                <w:b/>
                <w:bCs/>
                <w:sz w:val="18"/>
                <w:szCs w:val="18"/>
              </w:rPr>
              <w:t>Year Hours</w:t>
            </w:r>
          </w:p>
        </w:tc>
        <w:tc>
          <w:tcPr>
            <w:tcW w:w="788" w:type="dxa"/>
            <w:tcMar>
              <w:left w:w="14" w:type="dxa"/>
              <w:right w:w="14" w:type="dxa"/>
            </w:tcMar>
            <w:hideMark/>
          </w:tcPr>
          <w:p w14:paraId="361610B9" w14:textId="77777777" w:rsidR="004A3755" w:rsidRPr="000973F2" w:rsidRDefault="004A3755" w:rsidP="00DD0E29">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18"/>
                <w:szCs w:val="18"/>
              </w:rPr>
            </w:pPr>
            <w:r w:rsidRPr="000973F2">
              <w:rPr>
                <w:rFonts w:ascii="Times New Roman" w:eastAsia="Times New Roman" w:hAnsi="Times New Roman" w:cs="Times New Roman"/>
                <w:b/>
                <w:bCs/>
                <w:sz w:val="18"/>
                <w:szCs w:val="18"/>
              </w:rPr>
              <w:t>Subseq. Year Hours</w:t>
            </w:r>
          </w:p>
        </w:tc>
        <w:tc>
          <w:tcPr>
            <w:tcW w:w="788" w:type="dxa"/>
            <w:tcMar>
              <w:left w:w="14" w:type="dxa"/>
              <w:right w:w="14" w:type="dxa"/>
            </w:tcMar>
            <w:hideMark/>
          </w:tcPr>
          <w:p w14:paraId="2CFA94FA" w14:textId="6600A971" w:rsidR="004A3755" w:rsidRPr="000973F2" w:rsidRDefault="004A3755" w:rsidP="00DD0E29">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18"/>
                <w:szCs w:val="18"/>
              </w:rPr>
            </w:pPr>
            <w:r w:rsidRPr="000973F2">
              <w:rPr>
                <w:rFonts w:ascii="Times New Roman" w:eastAsia="Times New Roman" w:hAnsi="Times New Roman" w:cs="Times New Roman"/>
                <w:b/>
                <w:bCs/>
                <w:sz w:val="18"/>
                <w:szCs w:val="18"/>
              </w:rPr>
              <w:t xml:space="preserve">Initial </w:t>
            </w:r>
            <w:r w:rsidR="00132320" w:rsidRPr="000973F2">
              <w:rPr>
                <w:rFonts w:ascii="Times New Roman" w:eastAsia="Times New Roman" w:hAnsi="Times New Roman" w:cs="Times New Roman"/>
                <w:b/>
                <w:bCs/>
                <w:sz w:val="18"/>
                <w:szCs w:val="18"/>
              </w:rPr>
              <w:t>Year Hours</w:t>
            </w:r>
          </w:p>
        </w:tc>
        <w:tc>
          <w:tcPr>
            <w:tcW w:w="789" w:type="dxa"/>
            <w:tcMar>
              <w:left w:w="14" w:type="dxa"/>
              <w:right w:w="14" w:type="dxa"/>
            </w:tcMar>
            <w:hideMark/>
          </w:tcPr>
          <w:p w14:paraId="2432024E" w14:textId="77777777" w:rsidR="004A3755" w:rsidRPr="000973F2" w:rsidRDefault="004A3755" w:rsidP="00DD0E29">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18"/>
                <w:szCs w:val="18"/>
              </w:rPr>
            </w:pPr>
            <w:r w:rsidRPr="000973F2">
              <w:rPr>
                <w:rFonts w:ascii="Times New Roman" w:eastAsia="Times New Roman" w:hAnsi="Times New Roman" w:cs="Times New Roman"/>
                <w:b/>
                <w:bCs/>
                <w:sz w:val="18"/>
                <w:szCs w:val="18"/>
              </w:rPr>
              <w:t>Subseq. Year Hours</w:t>
            </w:r>
          </w:p>
        </w:tc>
        <w:tc>
          <w:tcPr>
            <w:tcW w:w="816" w:type="dxa"/>
            <w:tcMar>
              <w:left w:w="14" w:type="dxa"/>
              <w:right w:w="14" w:type="dxa"/>
            </w:tcMar>
            <w:hideMark/>
          </w:tcPr>
          <w:p w14:paraId="2D8F28C1" w14:textId="77777777" w:rsidR="004A3755" w:rsidRPr="000973F2" w:rsidRDefault="004A3755" w:rsidP="00DD0E29">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18"/>
                <w:szCs w:val="18"/>
              </w:rPr>
            </w:pPr>
            <w:r w:rsidRPr="000973F2">
              <w:rPr>
                <w:rFonts w:ascii="Times New Roman" w:eastAsia="Times New Roman" w:hAnsi="Times New Roman" w:cs="Times New Roman"/>
                <w:b/>
                <w:bCs/>
                <w:sz w:val="18"/>
                <w:szCs w:val="18"/>
              </w:rPr>
              <w:t>Initial Year</w:t>
            </w:r>
          </w:p>
        </w:tc>
        <w:tc>
          <w:tcPr>
            <w:tcW w:w="879" w:type="dxa"/>
            <w:tcMar>
              <w:left w:w="14" w:type="dxa"/>
              <w:right w:w="14" w:type="dxa"/>
            </w:tcMar>
            <w:hideMark/>
          </w:tcPr>
          <w:p w14:paraId="681B335A" w14:textId="77777777" w:rsidR="004A3755" w:rsidRPr="000973F2" w:rsidRDefault="004A3755" w:rsidP="00DD0E29">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18"/>
                <w:szCs w:val="18"/>
              </w:rPr>
            </w:pPr>
            <w:r w:rsidRPr="000973F2">
              <w:rPr>
                <w:rFonts w:ascii="Times New Roman" w:eastAsia="Times New Roman" w:hAnsi="Times New Roman" w:cs="Times New Roman"/>
                <w:b/>
                <w:bCs/>
                <w:sz w:val="18"/>
                <w:szCs w:val="18"/>
              </w:rPr>
              <w:t>Subseq. Year</w:t>
            </w:r>
          </w:p>
        </w:tc>
      </w:tr>
      <w:tr w:rsidR="004A3755" w:rsidRPr="000973F2" w14:paraId="31FDBD01" w14:textId="77777777" w:rsidTr="00DD0E29">
        <w:trPr>
          <w:cantSplit/>
        </w:trPr>
        <w:tc>
          <w:tcPr>
            <w:cnfStyle w:val="001000000000" w:firstRow="0" w:lastRow="0" w:firstColumn="1" w:lastColumn="0" w:oddVBand="0" w:evenVBand="0" w:oddHBand="0" w:evenHBand="0" w:firstRowFirstColumn="0" w:firstRowLastColumn="0" w:lastRowFirstColumn="0" w:lastRowLastColumn="0"/>
            <w:tcW w:w="1329" w:type="dxa"/>
            <w:hideMark/>
          </w:tcPr>
          <w:p w14:paraId="3D390E44" w14:textId="77777777" w:rsidR="004A3755" w:rsidRPr="000973F2" w:rsidRDefault="004A3755" w:rsidP="00DD0E29">
            <w:pPr>
              <w:spacing w:before="40" w:after="4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Planning</w:t>
            </w:r>
          </w:p>
        </w:tc>
        <w:tc>
          <w:tcPr>
            <w:tcW w:w="788" w:type="dxa"/>
            <w:noWrap/>
            <w:hideMark/>
          </w:tcPr>
          <w:p w14:paraId="50E52988" w14:textId="77777777" w:rsidR="004A3755" w:rsidRPr="000973F2" w:rsidRDefault="004A3755" w:rsidP="00DD0E29">
            <w:pPr>
              <w:spacing w:before="40" w:after="4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1</w:t>
            </w:r>
          </w:p>
        </w:tc>
        <w:tc>
          <w:tcPr>
            <w:tcW w:w="788" w:type="dxa"/>
            <w:noWrap/>
            <w:hideMark/>
          </w:tcPr>
          <w:p w14:paraId="027736A7" w14:textId="77777777" w:rsidR="004A3755" w:rsidRPr="000973F2" w:rsidRDefault="004A3755" w:rsidP="00DD0E29">
            <w:pPr>
              <w:spacing w:before="40" w:after="4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1</w:t>
            </w:r>
          </w:p>
        </w:tc>
        <w:tc>
          <w:tcPr>
            <w:tcW w:w="788" w:type="dxa"/>
            <w:noWrap/>
            <w:hideMark/>
          </w:tcPr>
          <w:p w14:paraId="32785BE4" w14:textId="77777777" w:rsidR="004A3755" w:rsidRPr="000973F2" w:rsidRDefault="004A3755" w:rsidP="00DD0E29">
            <w:pPr>
              <w:spacing w:before="40" w:after="4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0.4</w:t>
            </w:r>
          </w:p>
        </w:tc>
        <w:tc>
          <w:tcPr>
            <w:tcW w:w="789" w:type="dxa"/>
            <w:noWrap/>
            <w:hideMark/>
          </w:tcPr>
          <w:p w14:paraId="4E6A0EA6" w14:textId="77777777" w:rsidR="004A3755" w:rsidRPr="000973F2" w:rsidRDefault="004A3755" w:rsidP="00DD0E29">
            <w:pPr>
              <w:spacing w:before="40" w:after="4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0.1</w:t>
            </w:r>
          </w:p>
        </w:tc>
        <w:tc>
          <w:tcPr>
            <w:tcW w:w="788" w:type="dxa"/>
            <w:noWrap/>
            <w:hideMark/>
          </w:tcPr>
          <w:p w14:paraId="55C0D876" w14:textId="77777777" w:rsidR="004A3755" w:rsidRPr="000973F2" w:rsidRDefault="004A3755" w:rsidP="00DD0E29">
            <w:pPr>
              <w:tabs>
                <w:tab w:val="decimal" w:pos="316"/>
              </w:tabs>
              <w:spacing w:before="40" w:after="4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4</w:t>
            </w:r>
          </w:p>
        </w:tc>
        <w:tc>
          <w:tcPr>
            <w:tcW w:w="788" w:type="dxa"/>
            <w:noWrap/>
            <w:hideMark/>
          </w:tcPr>
          <w:p w14:paraId="623CFEC2" w14:textId="77777777" w:rsidR="004A3755" w:rsidRPr="000973F2" w:rsidRDefault="004A3755" w:rsidP="00DD0E29">
            <w:pPr>
              <w:tabs>
                <w:tab w:val="decimal" w:pos="316"/>
              </w:tabs>
              <w:spacing w:before="40" w:after="4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1</w:t>
            </w:r>
          </w:p>
        </w:tc>
        <w:tc>
          <w:tcPr>
            <w:tcW w:w="788" w:type="dxa"/>
            <w:noWrap/>
            <w:hideMark/>
          </w:tcPr>
          <w:p w14:paraId="590634C9" w14:textId="77777777" w:rsidR="004A3755" w:rsidRPr="000973F2" w:rsidRDefault="004A3755" w:rsidP="00DD0E29">
            <w:pPr>
              <w:tabs>
                <w:tab w:val="decimal" w:pos="316"/>
              </w:tabs>
              <w:spacing w:before="40" w:after="4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0.2</w:t>
            </w:r>
          </w:p>
        </w:tc>
        <w:tc>
          <w:tcPr>
            <w:tcW w:w="789" w:type="dxa"/>
            <w:noWrap/>
            <w:hideMark/>
          </w:tcPr>
          <w:p w14:paraId="5E23FAD4" w14:textId="77777777" w:rsidR="004A3755" w:rsidRPr="000973F2" w:rsidRDefault="004A3755" w:rsidP="00DD0E29">
            <w:pPr>
              <w:tabs>
                <w:tab w:val="decimal" w:pos="316"/>
              </w:tabs>
              <w:spacing w:before="40" w:after="4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0.1</w:t>
            </w:r>
          </w:p>
        </w:tc>
        <w:tc>
          <w:tcPr>
            <w:tcW w:w="816" w:type="dxa"/>
            <w:noWrap/>
            <w:hideMark/>
          </w:tcPr>
          <w:p w14:paraId="255A81DE" w14:textId="77D77554" w:rsidR="004A3755" w:rsidRPr="000973F2" w:rsidRDefault="004A3755" w:rsidP="00DD0E29">
            <w:pPr>
              <w:tabs>
                <w:tab w:val="decimal" w:pos="496"/>
              </w:tabs>
              <w:spacing w:before="40" w:after="4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$440</w:t>
            </w:r>
          </w:p>
        </w:tc>
        <w:tc>
          <w:tcPr>
            <w:tcW w:w="879" w:type="dxa"/>
            <w:noWrap/>
            <w:hideMark/>
          </w:tcPr>
          <w:p w14:paraId="1C34D5E0" w14:textId="1FBD1912" w:rsidR="004A3755" w:rsidRPr="000973F2" w:rsidRDefault="004A3755" w:rsidP="00DD0E29">
            <w:pPr>
              <w:tabs>
                <w:tab w:val="decimal" w:pos="496"/>
              </w:tabs>
              <w:spacing w:before="40" w:after="4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$194</w:t>
            </w:r>
          </w:p>
        </w:tc>
      </w:tr>
      <w:tr w:rsidR="004A3755" w:rsidRPr="000973F2" w14:paraId="6EAB3C6F" w14:textId="77777777" w:rsidTr="00DD0E29">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1329" w:type="dxa"/>
            <w:hideMark/>
          </w:tcPr>
          <w:p w14:paraId="6E48A5E7" w14:textId="77777777" w:rsidR="004A3755" w:rsidRPr="000973F2" w:rsidRDefault="004A3755" w:rsidP="00DD0E29">
            <w:pPr>
              <w:spacing w:before="40" w:after="4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QA/QC</w:t>
            </w:r>
          </w:p>
        </w:tc>
        <w:tc>
          <w:tcPr>
            <w:tcW w:w="788" w:type="dxa"/>
            <w:noWrap/>
            <w:hideMark/>
          </w:tcPr>
          <w:p w14:paraId="74118740" w14:textId="77777777" w:rsidR="004A3755" w:rsidRPr="000973F2" w:rsidRDefault="004A3755" w:rsidP="00DD0E29">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0</w:t>
            </w:r>
          </w:p>
        </w:tc>
        <w:tc>
          <w:tcPr>
            <w:tcW w:w="788" w:type="dxa"/>
            <w:noWrap/>
            <w:hideMark/>
          </w:tcPr>
          <w:p w14:paraId="5F7E97A9" w14:textId="77777777" w:rsidR="004A3755" w:rsidRPr="000973F2" w:rsidRDefault="004A3755" w:rsidP="00DD0E29">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0</w:t>
            </w:r>
          </w:p>
        </w:tc>
        <w:tc>
          <w:tcPr>
            <w:tcW w:w="788" w:type="dxa"/>
            <w:noWrap/>
            <w:hideMark/>
          </w:tcPr>
          <w:p w14:paraId="168D2083" w14:textId="77777777" w:rsidR="004A3755" w:rsidRPr="000973F2" w:rsidRDefault="004A3755" w:rsidP="00DD0E29">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0.2</w:t>
            </w:r>
          </w:p>
        </w:tc>
        <w:tc>
          <w:tcPr>
            <w:tcW w:w="789" w:type="dxa"/>
            <w:noWrap/>
            <w:hideMark/>
          </w:tcPr>
          <w:p w14:paraId="3F250D91" w14:textId="77777777" w:rsidR="004A3755" w:rsidRPr="000973F2" w:rsidRDefault="004A3755" w:rsidP="00DD0E29">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0.2</w:t>
            </w:r>
          </w:p>
        </w:tc>
        <w:tc>
          <w:tcPr>
            <w:tcW w:w="788" w:type="dxa"/>
            <w:noWrap/>
            <w:hideMark/>
          </w:tcPr>
          <w:p w14:paraId="0B865490" w14:textId="77777777" w:rsidR="004A3755" w:rsidRPr="000973F2" w:rsidRDefault="004A3755" w:rsidP="00DD0E29">
            <w:pPr>
              <w:tabs>
                <w:tab w:val="decimal" w:pos="316"/>
              </w:tabs>
              <w:spacing w:before="40" w:after="4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2</w:t>
            </w:r>
          </w:p>
        </w:tc>
        <w:tc>
          <w:tcPr>
            <w:tcW w:w="788" w:type="dxa"/>
            <w:noWrap/>
            <w:hideMark/>
          </w:tcPr>
          <w:p w14:paraId="3B66C678" w14:textId="77777777" w:rsidR="004A3755" w:rsidRPr="000973F2" w:rsidRDefault="004A3755" w:rsidP="00DD0E29">
            <w:pPr>
              <w:tabs>
                <w:tab w:val="decimal" w:pos="316"/>
              </w:tabs>
              <w:spacing w:before="40" w:after="4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2</w:t>
            </w:r>
          </w:p>
        </w:tc>
        <w:tc>
          <w:tcPr>
            <w:tcW w:w="788" w:type="dxa"/>
            <w:noWrap/>
            <w:hideMark/>
          </w:tcPr>
          <w:p w14:paraId="70D8BF3C" w14:textId="77777777" w:rsidR="004A3755" w:rsidRPr="000973F2" w:rsidRDefault="004A3755" w:rsidP="00DD0E29">
            <w:pPr>
              <w:tabs>
                <w:tab w:val="decimal" w:pos="316"/>
              </w:tabs>
              <w:spacing w:before="40" w:after="4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0.2</w:t>
            </w:r>
          </w:p>
        </w:tc>
        <w:tc>
          <w:tcPr>
            <w:tcW w:w="789" w:type="dxa"/>
            <w:noWrap/>
            <w:hideMark/>
          </w:tcPr>
          <w:p w14:paraId="462D523D" w14:textId="77777777" w:rsidR="004A3755" w:rsidRPr="000973F2" w:rsidRDefault="004A3755" w:rsidP="00DD0E29">
            <w:pPr>
              <w:tabs>
                <w:tab w:val="decimal" w:pos="316"/>
              </w:tabs>
              <w:spacing w:before="40" w:after="4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0.2</w:t>
            </w:r>
          </w:p>
        </w:tc>
        <w:tc>
          <w:tcPr>
            <w:tcW w:w="816" w:type="dxa"/>
            <w:noWrap/>
            <w:hideMark/>
          </w:tcPr>
          <w:p w14:paraId="53B8C84C" w14:textId="34777D44" w:rsidR="004A3755" w:rsidRPr="000973F2" w:rsidRDefault="004A3755" w:rsidP="00DD0E29">
            <w:pPr>
              <w:tabs>
                <w:tab w:val="decimal" w:pos="496"/>
              </w:tabs>
              <w:spacing w:before="40" w:after="4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$168</w:t>
            </w:r>
          </w:p>
        </w:tc>
        <w:tc>
          <w:tcPr>
            <w:tcW w:w="879" w:type="dxa"/>
            <w:noWrap/>
            <w:hideMark/>
          </w:tcPr>
          <w:p w14:paraId="72E8F927" w14:textId="670D563E" w:rsidR="004A3755" w:rsidRPr="000973F2" w:rsidRDefault="004A3755" w:rsidP="00DD0E29">
            <w:pPr>
              <w:tabs>
                <w:tab w:val="decimal" w:pos="496"/>
              </w:tabs>
              <w:spacing w:before="40" w:after="4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$168</w:t>
            </w:r>
          </w:p>
        </w:tc>
      </w:tr>
      <w:tr w:rsidR="004A3755" w:rsidRPr="000973F2" w14:paraId="10B5ED44" w14:textId="77777777" w:rsidTr="00DD0E29">
        <w:trPr>
          <w:cantSplit/>
        </w:trPr>
        <w:tc>
          <w:tcPr>
            <w:cnfStyle w:val="001000000000" w:firstRow="0" w:lastRow="0" w:firstColumn="1" w:lastColumn="0" w:oddVBand="0" w:evenVBand="0" w:oddHBand="0" w:evenHBand="0" w:firstRowFirstColumn="0" w:firstRowLastColumn="0" w:lastRowFirstColumn="0" w:lastRowLastColumn="0"/>
            <w:tcW w:w="1329" w:type="dxa"/>
            <w:hideMark/>
          </w:tcPr>
          <w:p w14:paraId="3A3A647D" w14:textId="77777777" w:rsidR="004A3755" w:rsidRPr="000973F2" w:rsidRDefault="004A3755" w:rsidP="00DD0E29">
            <w:pPr>
              <w:spacing w:before="40" w:after="4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Recordkeeping</w:t>
            </w:r>
          </w:p>
        </w:tc>
        <w:tc>
          <w:tcPr>
            <w:tcW w:w="788" w:type="dxa"/>
            <w:noWrap/>
            <w:hideMark/>
          </w:tcPr>
          <w:p w14:paraId="6D2DD41E" w14:textId="77777777" w:rsidR="004A3755" w:rsidRPr="000973F2" w:rsidRDefault="004A3755" w:rsidP="00DD0E29">
            <w:pPr>
              <w:spacing w:before="40" w:after="4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0</w:t>
            </w:r>
          </w:p>
        </w:tc>
        <w:tc>
          <w:tcPr>
            <w:tcW w:w="788" w:type="dxa"/>
            <w:noWrap/>
            <w:hideMark/>
          </w:tcPr>
          <w:p w14:paraId="122F7265" w14:textId="77777777" w:rsidR="004A3755" w:rsidRPr="000973F2" w:rsidRDefault="004A3755" w:rsidP="00DD0E29">
            <w:pPr>
              <w:spacing w:before="40" w:after="4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0</w:t>
            </w:r>
          </w:p>
        </w:tc>
        <w:tc>
          <w:tcPr>
            <w:tcW w:w="788" w:type="dxa"/>
            <w:noWrap/>
            <w:hideMark/>
          </w:tcPr>
          <w:p w14:paraId="41444AF5" w14:textId="77777777" w:rsidR="004A3755" w:rsidRPr="000973F2" w:rsidRDefault="004A3755" w:rsidP="00DD0E29">
            <w:pPr>
              <w:spacing w:before="40" w:after="4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0.5</w:t>
            </w:r>
          </w:p>
        </w:tc>
        <w:tc>
          <w:tcPr>
            <w:tcW w:w="789" w:type="dxa"/>
            <w:noWrap/>
            <w:hideMark/>
          </w:tcPr>
          <w:p w14:paraId="73FC70AB" w14:textId="77777777" w:rsidR="004A3755" w:rsidRPr="000973F2" w:rsidRDefault="004A3755" w:rsidP="00DD0E29">
            <w:pPr>
              <w:spacing w:before="40" w:after="4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0.5</w:t>
            </w:r>
          </w:p>
        </w:tc>
        <w:tc>
          <w:tcPr>
            <w:tcW w:w="788" w:type="dxa"/>
            <w:noWrap/>
            <w:hideMark/>
          </w:tcPr>
          <w:p w14:paraId="367B3DE4" w14:textId="77777777" w:rsidR="004A3755" w:rsidRPr="000973F2" w:rsidRDefault="004A3755" w:rsidP="00DD0E29">
            <w:pPr>
              <w:tabs>
                <w:tab w:val="decimal" w:pos="316"/>
              </w:tabs>
              <w:spacing w:before="40" w:after="4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2</w:t>
            </w:r>
          </w:p>
        </w:tc>
        <w:tc>
          <w:tcPr>
            <w:tcW w:w="788" w:type="dxa"/>
            <w:noWrap/>
            <w:hideMark/>
          </w:tcPr>
          <w:p w14:paraId="310231B7" w14:textId="77777777" w:rsidR="004A3755" w:rsidRPr="000973F2" w:rsidRDefault="004A3755" w:rsidP="00DD0E29">
            <w:pPr>
              <w:tabs>
                <w:tab w:val="decimal" w:pos="316"/>
              </w:tabs>
              <w:spacing w:before="40" w:after="4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2</w:t>
            </w:r>
          </w:p>
        </w:tc>
        <w:tc>
          <w:tcPr>
            <w:tcW w:w="788" w:type="dxa"/>
            <w:noWrap/>
            <w:hideMark/>
          </w:tcPr>
          <w:p w14:paraId="3C3A03CF" w14:textId="77777777" w:rsidR="004A3755" w:rsidRPr="000973F2" w:rsidRDefault="004A3755" w:rsidP="00DD0E29">
            <w:pPr>
              <w:tabs>
                <w:tab w:val="decimal" w:pos="316"/>
              </w:tabs>
              <w:spacing w:before="40" w:after="4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0.5</w:t>
            </w:r>
          </w:p>
        </w:tc>
        <w:tc>
          <w:tcPr>
            <w:tcW w:w="789" w:type="dxa"/>
            <w:noWrap/>
            <w:hideMark/>
          </w:tcPr>
          <w:p w14:paraId="18B0FD3C" w14:textId="77777777" w:rsidR="004A3755" w:rsidRPr="000973F2" w:rsidRDefault="004A3755" w:rsidP="00DD0E29">
            <w:pPr>
              <w:tabs>
                <w:tab w:val="decimal" w:pos="316"/>
              </w:tabs>
              <w:spacing w:before="40" w:after="4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0.5</w:t>
            </w:r>
          </w:p>
        </w:tc>
        <w:tc>
          <w:tcPr>
            <w:tcW w:w="816" w:type="dxa"/>
            <w:noWrap/>
            <w:hideMark/>
          </w:tcPr>
          <w:p w14:paraId="58EFA2E3" w14:textId="05B27FBD" w:rsidR="004A3755" w:rsidRPr="000973F2" w:rsidRDefault="004A3755" w:rsidP="00DD0E29">
            <w:pPr>
              <w:tabs>
                <w:tab w:val="decimal" w:pos="496"/>
              </w:tabs>
              <w:spacing w:before="40" w:after="4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$205</w:t>
            </w:r>
          </w:p>
        </w:tc>
        <w:tc>
          <w:tcPr>
            <w:tcW w:w="879" w:type="dxa"/>
            <w:noWrap/>
            <w:hideMark/>
          </w:tcPr>
          <w:p w14:paraId="7C48D23A" w14:textId="2BDB28C3" w:rsidR="004A3755" w:rsidRPr="000973F2" w:rsidRDefault="004A3755" w:rsidP="00DD0E29">
            <w:pPr>
              <w:tabs>
                <w:tab w:val="decimal" w:pos="496"/>
              </w:tabs>
              <w:spacing w:before="40" w:after="4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$205</w:t>
            </w:r>
          </w:p>
        </w:tc>
      </w:tr>
      <w:tr w:rsidR="004A3755" w:rsidRPr="000973F2" w14:paraId="4519BBCF" w14:textId="77777777" w:rsidTr="00DD0E29">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1329" w:type="dxa"/>
            <w:hideMark/>
          </w:tcPr>
          <w:p w14:paraId="2E5BF649" w14:textId="77777777" w:rsidR="004A3755" w:rsidRPr="000973F2" w:rsidRDefault="004A3755" w:rsidP="00DD0E29">
            <w:pPr>
              <w:spacing w:before="40" w:after="4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Sampling and Analysis (Calculations)</w:t>
            </w:r>
          </w:p>
        </w:tc>
        <w:tc>
          <w:tcPr>
            <w:tcW w:w="788" w:type="dxa"/>
            <w:noWrap/>
            <w:hideMark/>
          </w:tcPr>
          <w:p w14:paraId="19042B49" w14:textId="77777777" w:rsidR="004A3755" w:rsidRPr="000973F2" w:rsidRDefault="004A3755" w:rsidP="00DD0E29">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0</w:t>
            </w:r>
          </w:p>
        </w:tc>
        <w:tc>
          <w:tcPr>
            <w:tcW w:w="788" w:type="dxa"/>
            <w:noWrap/>
            <w:hideMark/>
          </w:tcPr>
          <w:p w14:paraId="4FFD3E0D" w14:textId="77777777" w:rsidR="004A3755" w:rsidRPr="000973F2" w:rsidRDefault="004A3755" w:rsidP="00DD0E29">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0</w:t>
            </w:r>
          </w:p>
        </w:tc>
        <w:tc>
          <w:tcPr>
            <w:tcW w:w="788" w:type="dxa"/>
            <w:noWrap/>
            <w:hideMark/>
          </w:tcPr>
          <w:p w14:paraId="41424AD8" w14:textId="77777777" w:rsidR="004A3755" w:rsidRPr="000973F2" w:rsidRDefault="004A3755" w:rsidP="00DD0E29">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1.0</w:t>
            </w:r>
          </w:p>
        </w:tc>
        <w:tc>
          <w:tcPr>
            <w:tcW w:w="789" w:type="dxa"/>
            <w:noWrap/>
            <w:hideMark/>
          </w:tcPr>
          <w:p w14:paraId="273E1D4F" w14:textId="77777777" w:rsidR="004A3755" w:rsidRPr="000973F2" w:rsidRDefault="004A3755" w:rsidP="00DD0E29">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1.0</w:t>
            </w:r>
          </w:p>
        </w:tc>
        <w:tc>
          <w:tcPr>
            <w:tcW w:w="788" w:type="dxa"/>
            <w:noWrap/>
            <w:hideMark/>
          </w:tcPr>
          <w:p w14:paraId="14F71533" w14:textId="77777777" w:rsidR="004A3755" w:rsidRPr="000973F2" w:rsidRDefault="004A3755" w:rsidP="00DD0E29">
            <w:pPr>
              <w:tabs>
                <w:tab w:val="decimal" w:pos="316"/>
              </w:tabs>
              <w:spacing w:before="40" w:after="4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3</w:t>
            </w:r>
          </w:p>
        </w:tc>
        <w:tc>
          <w:tcPr>
            <w:tcW w:w="788" w:type="dxa"/>
            <w:noWrap/>
            <w:hideMark/>
          </w:tcPr>
          <w:p w14:paraId="65F51387" w14:textId="77777777" w:rsidR="004A3755" w:rsidRPr="000973F2" w:rsidRDefault="004A3755" w:rsidP="00DD0E29">
            <w:pPr>
              <w:tabs>
                <w:tab w:val="decimal" w:pos="316"/>
              </w:tabs>
              <w:spacing w:before="40" w:after="4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3</w:t>
            </w:r>
          </w:p>
        </w:tc>
        <w:tc>
          <w:tcPr>
            <w:tcW w:w="788" w:type="dxa"/>
            <w:noWrap/>
            <w:hideMark/>
          </w:tcPr>
          <w:p w14:paraId="05FAFF42" w14:textId="77777777" w:rsidR="004A3755" w:rsidRPr="000973F2" w:rsidRDefault="004A3755" w:rsidP="00DD0E29">
            <w:pPr>
              <w:tabs>
                <w:tab w:val="decimal" w:pos="316"/>
              </w:tabs>
              <w:spacing w:before="40" w:after="4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0.5</w:t>
            </w:r>
          </w:p>
        </w:tc>
        <w:tc>
          <w:tcPr>
            <w:tcW w:w="789" w:type="dxa"/>
            <w:noWrap/>
            <w:hideMark/>
          </w:tcPr>
          <w:p w14:paraId="091F38F5" w14:textId="77777777" w:rsidR="004A3755" w:rsidRPr="000973F2" w:rsidRDefault="004A3755" w:rsidP="00DD0E29">
            <w:pPr>
              <w:tabs>
                <w:tab w:val="decimal" w:pos="316"/>
              </w:tabs>
              <w:spacing w:before="40" w:after="4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0.5</w:t>
            </w:r>
          </w:p>
        </w:tc>
        <w:tc>
          <w:tcPr>
            <w:tcW w:w="816" w:type="dxa"/>
            <w:noWrap/>
            <w:hideMark/>
          </w:tcPr>
          <w:p w14:paraId="0DD8C867" w14:textId="11B79609" w:rsidR="004A3755" w:rsidRPr="000973F2" w:rsidRDefault="004A3755" w:rsidP="00DD0E29">
            <w:pPr>
              <w:tabs>
                <w:tab w:val="decimal" w:pos="496"/>
              </w:tabs>
              <w:spacing w:before="40" w:after="4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$320</w:t>
            </w:r>
          </w:p>
        </w:tc>
        <w:tc>
          <w:tcPr>
            <w:tcW w:w="879" w:type="dxa"/>
            <w:noWrap/>
            <w:hideMark/>
          </w:tcPr>
          <w:p w14:paraId="508CD023" w14:textId="4B039EE7" w:rsidR="004A3755" w:rsidRPr="000973F2" w:rsidRDefault="004A3755" w:rsidP="00DD0E29">
            <w:pPr>
              <w:tabs>
                <w:tab w:val="decimal" w:pos="496"/>
              </w:tabs>
              <w:spacing w:before="40" w:after="4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$320</w:t>
            </w:r>
          </w:p>
        </w:tc>
      </w:tr>
      <w:tr w:rsidR="004A3755" w:rsidRPr="000973F2" w14:paraId="40997AC1" w14:textId="77777777" w:rsidTr="00DD0E29">
        <w:trPr>
          <w:cantSplit/>
        </w:trPr>
        <w:tc>
          <w:tcPr>
            <w:cnfStyle w:val="001000000000" w:firstRow="0" w:lastRow="0" w:firstColumn="1" w:lastColumn="0" w:oddVBand="0" w:evenVBand="0" w:oddHBand="0" w:evenHBand="0" w:firstRowFirstColumn="0" w:firstRowLastColumn="0" w:lastRowFirstColumn="0" w:lastRowLastColumn="0"/>
            <w:tcW w:w="1329" w:type="dxa"/>
            <w:hideMark/>
          </w:tcPr>
          <w:p w14:paraId="0746E006" w14:textId="77777777" w:rsidR="004A3755" w:rsidRPr="000973F2" w:rsidRDefault="004A3755" w:rsidP="00DD0E29">
            <w:pPr>
              <w:spacing w:before="40" w:after="4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Reporting</w:t>
            </w:r>
          </w:p>
        </w:tc>
        <w:tc>
          <w:tcPr>
            <w:tcW w:w="788" w:type="dxa"/>
            <w:noWrap/>
            <w:hideMark/>
          </w:tcPr>
          <w:p w14:paraId="450D0844" w14:textId="77777777" w:rsidR="004A3755" w:rsidRPr="000973F2" w:rsidRDefault="004A3755" w:rsidP="00DD0E29">
            <w:pPr>
              <w:spacing w:before="40" w:after="4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0</w:t>
            </w:r>
          </w:p>
        </w:tc>
        <w:tc>
          <w:tcPr>
            <w:tcW w:w="788" w:type="dxa"/>
            <w:noWrap/>
            <w:hideMark/>
          </w:tcPr>
          <w:p w14:paraId="2002FA7D" w14:textId="77777777" w:rsidR="004A3755" w:rsidRPr="000973F2" w:rsidRDefault="004A3755" w:rsidP="00DD0E29">
            <w:pPr>
              <w:spacing w:before="40" w:after="4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0</w:t>
            </w:r>
          </w:p>
        </w:tc>
        <w:tc>
          <w:tcPr>
            <w:tcW w:w="788" w:type="dxa"/>
            <w:noWrap/>
            <w:hideMark/>
          </w:tcPr>
          <w:p w14:paraId="2D504276" w14:textId="77777777" w:rsidR="004A3755" w:rsidRPr="000973F2" w:rsidRDefault="004A3755" w:rsidP="00DD0E29">
            <w:pPr>
              <w:spacing w:before="40" w:after="4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1.0</w:t>
            </w:r>
          </w:p>
        </w:tc>
        <w:tc>
          <w:tcPr>
            <w:tcW w:w="789" w:type="dxa"/>
            <w:noWrap/>
            <w:hideMark/>
          </w:tcPr>
          <w:p w14:paraId="7B12736B" w14:textId="77777777" w:rsidR="004A3755" w:rsidRPr="000973F2" w:rsidRDefault="004A3755" w:rsidP="00DD0E29">
            <w:pPr>
              <w:spacing w:before="40" w:after="4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1.0</w:t>
            </w:r>
          </w:p>
        </w:tc>
        <w:tc>
          <w:tcPr>
            <w:tcW w:w="788" w:type="dxa"/>
            <w:noWrap/>
            <w:hideMark/>
          </w:tcPr>
          <w:p w14:paraId="0DE2C5D0" w14:textId="77777777" w:rsidR="004A3755" w:rsidRPr="000973F2" w:rsidRDefault="004A3755" w:rsidP="00DD0E29">
            <w:pPr>
              <w:tabs>
                <w:tab w:val="decimal" w:pos="316"/>
              </w:tabs>
              <w:spacing w:before="40" w:after="4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6</w:t>
            </w:r>
          </w:p>
        </w:tc>
        <w:tc>
          <w:tcPr>
            <w:tcW w:w="788" w:type="dxa"/>
            <w:noWrap/>
            <w:hideMark/>
          </w:tcPr>
          <w:p w14:paraId="4FCB6C71" w14:textId="77777777" w:rsidR="004A3755" w:rsidRPr="000973F2" w:rsidRDefault="004A3755" w:rsidP="00DD0E29">
            <w:pPr>
              <w:tabs>
                <w:tab w:val="decimal" w:pos="316"/>
              </w:tabs>
              <w:spacing w:before="40" w:after="4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4</w:t>
            </w:r>
          </w:p>
        </w:tc>
        <w:tc>
          <w:tcPr>
            <w:tcW w:w="788" w:type="dxa"/>
            <w:noWrap/>
            <w:hideMark/>
          </w:tcPr>
          <w:p w14:paraId="4A0C0783" w14:textId="77777777" w:rsidR="004A3755" w:rsidRPr="000973F2" w:rsidRDefault="004A3755" w:rsidP="00DD0E29">
            <w:pPr>
              <w:tabs>
                <w:tab w:val="decimal" w:pos="316"/>
              </w:tabs>
              <w:spacing w:before="40" w:after="4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1.0</w:t>
            </w:r>
          </w:p>
        </w:tc>
        <w:tc>
          <w:tcPr>
            <w:tcW w:w="789" w:type="dxa"/>
            <w:noWrap/>
            <w:hideMark/>
          </w:tcPr>
          <w:p w14:paraId="4A890BF9" w14:textId="77777777" w:rsidR="004A3755" w:rsidRPr="000973F2" w:rsidRDefault="004A3755" w:rsidP="00DD0E29">
            <w:pPr>
              <w:tabs>
                <w:tab w:val="decimal" w:pos="316"/>
              </w:tabs>
              <w:spacing w:before="40" w:after="4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1.0</w:t>
            </w:r>
          </w:p>
        </w:tc>
        <w:tc>
          <w:tcPr>
            <w:tcW w:w="816" w:type="dxa"/>
            <w:noWrap/>
            <w:hideMark/>
          </w:tcPr>
          <w:p w14:paraId="069D3211" w14:textId="64F3D045" w:rsidR="004A3755" w:rsidRPr="000973F2" w:rsidRDefault="004A3755" w:rsidP="00DD0E29">
            <w:pPr>
              <w:tabs>
                <w:tab w:val="decimal" w:pos="496"/>
              </w:tabs>
              <w:spacing w:before="40" w:after="4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$552</w:t>
            </w:r>
          </w:p>
        </w:tc>
        <w:tc>
          <w:tcPr>
            <w:tcW w:w="879" w:type="dxa"/>
            <w:noWrap/>
            <w:hideMark/>
          </w:tcPr>
          <w:p w14:paraId="57966B26" w14:textId="7889C46D" w:rsidR="004A3755" w:rsidRPr="000973F2" w:rsidRDefault="004A3755" w:rsidP="00DD0E29">
            <w:pPr>
              <w:tabs>
                <w:tab w:val="decimal" w:pos="496"/>
              </w:tabs>
              <w:spacing w:before="40" w:after="4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$410</w:t>
            </w:r>
          </w:p>
        </w:tc>
      </w:tr>
      <w:tr w:rsidR="004A3755" w:rsidRPr="000973F2" w14:paraId="5D789999" w14:textId="77777777" w:rsidTr="00DD0E29">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1329" w:type="dxa"/>
            <w:noWrap/>
            <w:hideMark/>
          </w:tcPr>
          <w:p w14:paraId="5B0711CF" w14:textId="77777777" w:rsidR="004A3755" w:rsidRPr="000973F2" w:rsidRDefault="004A3755" w:rsidP="00DD0E29">
            <w:pPr>
              <w:spacing w:before="40" w:after="40"/>
              <w:rPr>
                <w:rFonts w:ascii="Times New Roman" w:eastAsia="Times New Roman" w:hAnsi="Times New Roman" w:cs="Times New Roman"/>
                <w:b/>
                <w:bCs w:val="0"/>
                <w:sz w:val="18"/>
                <w:szCs w:val="18"/>
              </w:rPr>
            </w:pPr>
            <w:r w:rsidRPr="000973F2">
              <w:rPr>
                <w:rFonts w:ascii="Times New Roman" w:eastAsia="Times New Roman" w:hAnsi="Times New Roman" w:cs="Times New Roman"/>
                <w:b/>
                <w:sz w:val="18"/>
                <w:szCs w:val="18"/>
              </w:rPr>
              <w:t>Total</w:t>
            </w:r>
          </w:p>
        </w:tc>
        <w:tc>
          <w:tcPr>
            <w:tcW w:w="788" w:type="dxa"/>
            <w:noWrap/>
            <w:hideMark/>
          </w:tcPr>
          <w:p w14:paraId="394307EB" w14:textId="77777777" w:rsidR="004A3755" w:rsidRPr="000973F2" w:rsidRDefault="004A3755" w:rsidP="00DD0E29">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18"/>
                <w:szCs w:val="18"/>
              </w:rPr>
            </w:pPr>
            <w:r w:rsidRPr="000973F2">
              <w:rPr>
                <w:rFonts w:ascii="Times New Roman" w:eastAsia="Times New Roman" w:hAnsi="Times New Roman" w:cs="Times New Roman"/>
                <w:b/>
                <w:bCs/>
                <w:sz w:val="18"/>
                <w:szCs w:val="18"/>
              </w:rPr>
              <w:t>1</w:t>
            </w:r>
          </w:p>
        </w:tc>
        <w:tc>
          <w:tcPr>
            <w:tcW w:w="788" w:type="dxa"/>
            <w:noWrap/>
            <w:hideMark/>
          </w:tcPr>
          <w:p w14:paraId="5B93946B" w14:textId="77777777" w:rsidR="004A3755" w:rsidRPr="000973F2" w:rsidRDefault="004A3755" w:rsidP="00DD0E29">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18"/>
                <w:szCs w:val="18"/>
              </w:rPr>
            </w:pPr>
            <w:r w:rsidRPr="000973F2">
              <w:rPr>
                <w:rFonts w:ascii="Times New Roman" w:eastAsia="Times New Roman" w:hAnsi="Times New Roman" w:cs="Times New Roman"/>
                <w:b/>
                <w:bCs/>
                <w:sz w:val="18"/>
                <w:szCs w:val="18"/>
              </w:rPr>
              <w:t>1</w:t>
            </w:r>
          </w:p>
        </w:tc>
        <w:tc>
          <w:tcPr>
            <w:tcW w:w="788" w:type="dxa"/>
            <w:noWrap/>
            <w:hideMark/>
          </w:tcPr>
          <w:p w14:paraId="47B1A2BD" w14:textId="77777777" w:rsidR="004A3755" w:rsidRPr="000973F2" w:rsidRDefault="004A3755" w:rsidP="00DD0E29">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18"/>
                <w:szCs w:val="18"/>
              </w:rPr>
            </w:pPr>
            <w:r w:rsidRPr="000973F2">
              <w:rPr>
                <w:rFonts w:ascii="Times New Roman" w:eastAsia="Times New Roman" w:hAnsi="Times New Roman" w:cs="Times New Roman"/>
                <w:b/>
                <w:bCs/>
                <w:sz w:val="18"/>
                <w:szCs w:val="18"/>
              </w:rPr>
              <w:t>3.1</w:t>
            </w:r>
          </w:p>
        </w:tc>
        <w:tc>
          <w:tcPr>
            <w:tcW w:w="789" w:type="dxa"/>
            <w:noWrap/>
            <w:hideMark/>
          </w:tcPr>
          <w:p w14:paraId="04BD0CA6" w14:textId="77777777" w:rsidR="004A3755" w:rsidRPr="000973F2" w:rsidRDefault="004A3755" w:rsidP="00DD0E29">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18"/>
                <w:szCs w:val="18"/>
              </w:rPr>
            </w:pPr>
            <w:r w:rsidRPr="000973F2">
              <w:rPr>
                <w:rFonts w:ascii="Times New Roman" w:eastAsia="Times New Roman" w:hAnsi="Times New Roman" w:cs="Times New Roman"/>
                <w:b/>
                <w:bCs/>
                <w:sz w:val="18"/>
                <w:szCs w:val="18"/>
              </w:rPr>
              <w:t>2.8</w:t>
            </w:r>
          </w:p>
        </w:tc>
        <w:tc>
          <w:tcPr>
            <w:tcW w:w="788" w:type="dxa"/>
            <w:noWrap/>
            <w:hideMark/>
          </w:tcPr>
          <w:p w14:paraId="639AE391" w14:textId="77777777" w:rsidR="004A3755" w:rsidRPr="000973F2" w:rsidRDefault="004A3755" w:rsidP="00DD0E29">
            <w:pPr>
              <w:tabs>
                <w:tab w:val="decimal" w:pos="316"/>
              </w:tabs>
              <w:spacing w:before="40" w:after="4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18"/>
                <w:szCs w:val="18"/>
              </w:rPr>
            </w:pPr>
            <w:r w:rsidRPr="000973F2">
              <w:rPr>
                <w:rFonts w:ascii="Times New Roman" w:eastAsia="Times New Roman" w:hAnsi="Times New Roman" w:cs="Times New Roman"/>
                <w:b/>
                <w:bCs/>
                <w:sz w:val="18"/>
                <w:szCs w:val="18"/>
              </w:rPr>
              <w:t>17</w:t>
            </w:r>
          </w:p>
        </w:tc>
        <w:tc>
          <w:tcPr>
            <w:tcW w:w="788" w:type="dxa"/>
            <w:noWrap/>
            <w:hideMark/>
          </w:tcPr>
          <w:p w14:paraId="48191268" w14:textId="77777777" w:rsidR="004A3755" w:rsidRPr="000973F2" w:rsidRDefault="004A3755" w:rsidP="00DD0E29">
            <w:pPr>
              <w:tabs>
                <w:tab w:val="decimal" w:pos="316"/>
              </w:tabs>
              <w:spacing w:before="40" w:after="4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18"/>
                <w:szCs w:val="18"/>
              </w:rPr>
            </w:pPr>
            <w:r w:rsidRPr="000973F2">
              <w:rPr>
                <w:rFonts w:ascii="Times New Roman" w:eastAsia="Times New Roman" w:hAnsi="Times New Roman" w:cs="Times New Roman"/>
                <w:b/>
                <w:bCs/>
                <w:sz w:val="18"/>
                <w:szCs w:val="18"/>
              </w:rPr>
              <w:t>12</w:t>
            </w:r>
          </w:p>
        </w:tc>
        <w:tc>
          <w:tcPr>
            <w:tcW w:w="788" w:type="dxa"/>
            <w:noWrap/>
            <w:hideMark/>
          </w:tcPr>
          <w:p w14:paraId="04E40CBB" w14:textId="77777777" w:rsidR="004A3755" w:rsidRPr="000973F2" w:rsidRDefault="004A3755" w:rsidP="00DD0E29">
            <w:pPr>
              <w:tabs>
                <w:tab w:val="decimal" w:pos="316"/>
              </w:tabs>
              <w:spacing w:before="40" w:after="4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18"/>
                <w:szCs w:val="18"/>
              </w:rPr>
            </w:pPr>
            <w:r w:rsidRPr="000973F2">
              <w:rPr>
                <w:rFonts w:ascii="Times New Roman" w:eastAsia="Times New Roman" w:hAnsi="Times New Roman" w:cs="Times New Roman"/>
                <w:b/>
                <w:bCs/>
                <w:sz w:val="18"/>
                <w:szCs w:val="18"/>
              </w:rPr>
              <w:t>2.4</w:t>
            </w:r>
          </w:p>
        </w:tc>
        <w:tc>
          <w:tcPr>
            <w:tcW w:w="789" w:type="dxa"/>
            <w:noWrap/>
            <w:hideMark/>
          </w:tcPr>
          <w:p w14:paraId="3BC91975" w14:textId="77777777" w:rsidR="004A3755" w:rsidRPr="000973F2" w:rsidRDefault="004A3755" w:rsidP="00DD0E29">
            <w:pPr>
              <w:tabs>
                <w:tab w:val="decimal" w:pos="316"/>
              </w:tabs>
              <w:spacing w:before="40" w:after="4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18"/>
                <w:szCs w:val="18"/>
              </w:rPr>
            </w:pPr>
            <w:r w:rsidRPr="000973F2">
              <w:rPr>
                <w:rFonts w:ascii="Times New Roman" w:eastAsia="Times New Roman" w:hAnsi="Times New Roman" w:cs="Times New Roman"/>
                <w:b/>
                <w:bCs/>
                <w:sz w:val="18"/>
                <w:szCs w:val="18"/>
              </w:rPr>
              <w:t>2.3</w:t>
            </w:r>
          </w:p>
        </w:tc>
        <w:tc>
          <w:tcPr>
            <w:tcW w:w="816" w:type="dxa"/>
            <w:noWrap/>
            <w:hideMark/>
          </w:tcPr>
          <w:p w14:paraId="2CE267D6" w14:textId="58416FE0" w:rsidR="004A3755" w:rsidRPr="000973F2" w:rsidRDefault="004A3755" w:rsidP="00DD0E29">
            <w:pPr>
              <w:tabs>
                <w:tab w:val="decimal" w:pos="496"/>
              </w:tabs>
              <w:spacing w:before="40" w:after="4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18"/>
                <w:szCs w:val="18"/>
              </w:rPr>
            </w:pPr>
            <w:r w:rsidRPr="000973F2">
              <w:rPr>
                <w:rFonts w:ascii="Times New Roman" w:eastAsia="Times New Roman" w:hAnsi="Times New Roman" w:cs="Times New Roman"/>
                <w:b/>
                <w:bCs/>
                <w:sz w:val="18"/>
                <w:szCs w:val="18"/>
              </w:rPr>
              <w:t>$1,685</w:t>
            </w:r>
          </w:p>
        </w:tc>
        <w:tc>
          <w:tcPr>
            <w:tcW w:w="879" w:type="dxa"/>
            <w:noWrap/>
            <w:hideMark/>
          </w:tcPr>
          <w:p w14:paraId="04B6376A" w14:textId="616DBBF7" w:rsidR="004A3755" w:rsidRPr="000973F2" w:rsidRDefault="004A3755" w:rsidP="00DD0E29">
            <w:pPr>
              <w:tabs>
                <w:tab w:val="decimal" w:pos="496"/>
              </w:tabs>
              <w:spacing w:before="40" w:after="4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18"/>
                <w:szCs w:val="18"/>
              </w:rPr>
            </w:pPr>
            <w:r w:rsidRPr="000973F2">
              <w:rPr>
                <w:rFonts w:ascii="Times New Roman" w:eastAsia="Times New Roman" w:hAnsi="Times New Roman" w:cs="Times New Roman"/>
                <w:b/>
                <w:bCs/>
                <w:sz w:val="18"/>
                <w:szCs w:val="18"/>
              </w:rPr>
              <w:t>$1,296</w:t>
            </w:r>
          </w:p>
        </w:tc>
      </w:tr>
    </w:tbl>
    <w:p w14:paraId="21993265" w14:textId="17B94CE5" w:rsidR="00731F5F" w:rsidRPr="000973F2" w:rsidRDefault="00731F5F" w:rsidP="00C00E4F">
      <w:pPr>
        <w:spacing w:line="240" w:lineRule="auto"/>
        <w:rPr>
          <w:rFonts w:ascii="Times New Roman" w:hAnsi="Times New Roman" w:cs="Times New Roman"/>
        </w:rPr>
      </w:pPr>
    </w:p>
    <w:p w14:paraId="150F570E" w14:textId="77777777" w:rsidR="00DA1F84" w:rsidRPr="000973F2" w:rsidRDefault="00DA1F84" w:rsidP="00C00E4F">
      <w:pPr>
        <w:spacing w:line="240" w:lineRule="auto"/>
        <w:rPr>
          <w:rFonts w:ascii="Times New Roman" w:hAnsi="Times New Roman" w:cs="Times New Roman"/>
          <w:b/>
          <w:i/>
        </w:rPr>
      </w:pPr>
      <w:r w:rsidRPr="000973F2">
        <w:rPr>
          <w:rFonts w:ascii="Times New Roman" w:hAnsi="Times New Roman" w:cs="Times New Roman"/>
          <w:b/>
          <w:i/>
        </w:rPr>
        <w:br w:type="page"/>
      </w:r>
    </w:p>
    <w:p w14:paraId="1BB962EE" w14:textId="4E726166" w:rsidR="005C22AC" w:rsidRPr="000973F2" w:rsidRDefault="005C22AC" w:rsidP="004F15FB">
      <w:pPr>
        <w:pStyle w:val="Heading2"/>
      </w:pPr>
      <w:r w:rsidRPr="000973F2">
        <w:t>Capital and O&amp;M Costs for Subpart T</w:t>
      </w:r>
    </w:p>
    <w:p w14:paraId="3214F7A3" w14:textId="70CB7AA2" w:rsidR="005C22AC" w:rsidRPr="000973F2" w:rsidRDefault="005C22AC" w:rsidP="004F15FB">
      <w:pPr>
        <w:pStyle w:val="BodyText"/>
      </w:pPr>
      <w:r w:rsidRPr="000973F2">
        <w:t xml:space="preserve">Table </w:t>
      </w:r>
      <w:r w:rsidR="004F15FB" w:rsidRPr="000973F2">
        <w:t>T-</w:t>
      </w:r>
      <w:r w:rsidRPr="000973F2">
        <w:t xml:space="preserve">2 shows the capital and O&amp;M costs for each Subpart T facility. The only O&amp;M costs </w:t>
      </w:r>
      <w:r w:rsidR="001C2DE7" w:rsidRPr="000973F2">
        <w:t>expected</w:t>
      </w:r>
      <w:r w:rsidRPr="000973F2">
        <w:t xml:space="preserve"> are those associated with recordkeeping, as discussed in the Cost Appendix introduction. Methods 1 and 2 do not require facilities to install any new monitoring equipment. Facilities may either make their own measurements (using weighing scales or load cells) or use GHG measurements provided by their gas supplier. Routine tracking of cover gas composition and flow rates, as well as tracking of gas inventory, is an essential part of the safe operation of magnesium production facilities due to the potential fire hazards. Hence, facilities are expected to have existing monitoring equipment and procedures in place for tracking cover gas usage. If the facility elects to make their own measurements, they may use equipment already available at the plant.</w:t>
      </w:r>
      <w:r w:rsidRPr="000973F2" w:rsidDel="003E51ED">
        <w:t xml:space="preserve"> </w:t>
      </w:r>
      <w:r w:rsidR="001C2DE7" w:rsidRPr="000973F2">
        <w:t>Therefore, no capital costs are expected.</w:t>
      </w:r>
    </w:p>
    <w:p w14:paraId="696D0460" w14:textId="4C5D9DD6" w:rsidR="005C22AC" w:rsidRPr="000973F2" w:rsidRDefault="0054400A" w:rsidP="004F15FB">
      <w:pPr>
        <w:pStyle w:val="Tabletitle"/>
      </w:pPr>
      <w:r w:rsidRPr="000973F2">
        <w:t xml:space="preserve">Table </w:t>
      </w:r>
      <w:r w:rsidR="004F15FB" w:rsidRPr="000973F2">
        <w:t>T-</w:t>
      </w:r>
      <w:r w:rsidRPr="000973F2">
        <w:t xml:space="preserve">2. Capital and O&amp;M Costs </w:t>
      </w:r>
      <w:r w:rsidR="00B960CC" w:rsidRPr="000973F2">
        <w:t>–</w:t>
      </w:r>
      <w:r w:rsidRPr="000973F2">
        <w:t xml:space="preserve"> Subpart T</w:t>
      </w:r>
    </w:p>
    <w:tbl>
      <w:tblPr>
        <w:tblStyle w:val="PlainTable1"/>
        <w:tblW w:w="5000" w:type="pct"/>
        <w:jc w:val="left"/>
        <w:tblLayout w:type="fixed"/>
        <w:tblCellMar>
          <w:left w:w="115" w:type="dxa"/>
          <w:right w:w="115" w:type="dxa"/>
        </w:tblCellMar>
        <w:tblLook w:val="04A0" w:firstRow="1" w:lastRow="0" w:firstColumn="1" w:lastColumn="0" w:noHBand="0" w:noVBand="1"/>
      </w:tblPr>
      <w:tblGrid>
        <w:gridCol w:w="1834"/>
        <w:gridCol w:w="1318"/>
        <w:gridCol w:w="1319"/>
        <w:gridCol w:w="1318"/>
        <w:gridCol w:w="1319"/>
        <w:gridCol w:w="1189"/>
        <w:gridCol w:w="1293"/>
      </w:tblGrid>
      <w:tr w:rsidR="00D17312" w:rsidRPr="000973F2" w14:paraId="29ECE07A" w14:textId="77777777" w:rsidTr="005A4CA1">
        <w:trPr>
          <w:cnfStyle w:val="100000000000" w:firstRow="1" w:lastRow="0" w:firstColumn="0" w:lastColumn="0" w:oddVBand="0" w:evenVBand="0" w:oddHBand="0" w:evenHBand="0" w:firstRowFirstColumn="0" w:firstRowLastColumn="0" w:lastRowFirstColumn="0" w:lastRowLastColumn="0"/>
          <w:cantSplit/>
          <w:jc w:val="left"/>
        </w:trPr>
        <w:tc>
          <w:tcPr>
            <w:cnfStyle w:val="001000000000" w:firstRow="0" w:lastRow="0" w:firstColumn="1" w:lastColumn="0" w:oddVBand="0" w:evenVBand="0" w:oddHBand="0" w:evenHBand="0" w:firstRowFirstColumn="0" w:firstRowLastColumn="0" w:lastRowFirstColumn="0" w:lastRowLastColumn="0"/>
            <w:tcW w:w="1785" w:type="dxa"/>
            <w:vMerge w:val="restart"/>
            <w:noWrap/>
            <w:vAlign w:val="top"/>
            <w:hideMark/>
          </w:tcPr>
          <w:p w14:paraId="4EB0EC29" w14:textId="3CD4EA64" w:rsidR="00D17312" w:rsidRPr="000973F2" w:rsidRDefault="00D17312" w:rsidP="004F15FB">
            <w:pPr>
              <w:spacing w:before="40" w:after="40"/>
              <w:rPr>
                <w:rFonts w:ascii="Times New Roman" w:eastAsia="Times New Roman" w:hAnsi="Times New Roman" w:cs="Times New Roman"/>
                <w:bCs w:val="0"/>
                <w:sz w:val="18"/>
                <w:szCs w:val="18"/>
              </w:rPr>
            </w:pPr>
            <w:r w:rsidRPr="000973F2">
              <w:rPr>
                <w:rFonts w:ascii="Times New Roman" w:eastAsia="Times New Roman" w:hAnsi="Times New Roman" w:cs="Times New Roman"/>
                <w:sz w:val="18"/>
                <w:szCs w:val="18"/>
              </w:rPr>
              <w:t>Activity</w:t>
            </w:r>
          </w:p>
        </w:tc>
        <w:tc>
          <w:tcPr>
            <w:tcW w:w="5130" w:type="dxa"/>
            <w:gridSpan w:val="4"/>
            <w:noWrap/>
            <w:vAlign w:val="top"/>
            <w:hideMark/>
          </w:tcPr>
          <w:p w14:paraId="7460B290" w14:textId="77777777" w:rsidR="00D17312" w:rsidRPr="000973F2" w:rsidRDefault="00D17312" w:rsidP="004F15FB">
            <w:pPr>
              <w:spacing w:before="40" w:after="40"/>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Cs w:val="0"/>
                <w:sz w:val="18"/>
                <w:szCs w:val="18"/>
              </w:rPr>
            </w:pPr>
            <w:r w:rsidRPr="000973F2">
              <w:rPr>
                <w:rFonts w:ascii="Times New Roman" w:eastAsia="Times New Roman" w:hAnsi="Times New Roman" w:cs="Times New Roman"/>
                <w:bCs w:val="0"/>
                <w:sz w:val="18"/>
                <w:szCs w:val="18"/>
              </w:rPr>
              <w:t>Cost Categories</w:t>
            </w:r>
          </w:p>
        </w:tc>
        <w:tc>
          <w:tcPr>
            <w:tcW w:w="2415" w:type="dxa"/>
            <w:gridSpan w:val="2"/>
            <w:vAlign w:val="top"/>
            <w:hideMark/>
          </w:tcPr>
          <w:p w14:paraId="3CAF3E11" w14:textId="77777777" w:rsidR="00D17312" w:rsidRPr="000973F2" w:rsidRDefault="00D17312" w:rsidP="004F15FB">
            <w:pPr>
              <w:spacing w:before="40" w:after="40"/>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Cs w:val="0"/>
                <w:sz w:val="18"/>
                <w:szCs w:val="18"/>
              </w:rPr>
            </w:pPr>
            <w:r w:rsidRPr="000973F2">
              <w:rPr>
                <w:rFonts w:ascii="Times New Roman" w:eastAsia="Times New Roman" w:hAnsi="Times New Roman" w:cs="Times New Roman"/>
                <w:bCs w:val="0"/>
                <w:sz w:val="18"/>
                <w:szCs w:val="18"/>
              </w:rPr>
              <w:t>Total Capital and O&amp;M Cost per Facility (2017$)</w:t>
            </w:r>
          </w:p>
        </w:tc>
      </w:tr>
      <w:tr w:rsidR="00D17312" w:rsidRPr="000973F2" w14:paraId="6709805E" w14:textId="77777777" w:rsidTr="005A4CA1">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1785" w:type="dxa"/>
            <w:vMerge/>
            <w:noWrap/>
            <w:hideMark/>
          </w:tcPr>
          <w:p w14:paraId="7F6C7B0A" w14:textId="711334B5" w:rsidR="00D17312" w:rsidRPr="000973F2" w:rsidRDefault="00D17312" w:rsidP="004F15FB">
            <w:pPr>
              <w:spacing w:before="40" w:after="40"/>
              <w:jc w:val="center"/>
              <w:rPr>
                <w:rFonts w:ascii="Times New Roman" w:eastAsia="Times New Roman" w:hAnsi="Times New Roman" w:cs="Times New Roman"/>
                <w:b/>
                <w:bCs w:val="0"/>
                <w:sz w:val="18"/>
                <w:szCs w:val="18"/>
              </w:rPr>
            </w:pPr>
          </w:p>
        </w:tc>
        <w:tc>
          <w:tcPr>
            <w:tcW w:w="1282" w:type="dxa"/>
            <w:hideMark/>
          </w:tcPr>
          <w:p w14:paraId="7FB91CD9" w14:textId="77777777" w:rsidR="00D17312" w:rsidRPr="000973F2" w:rsidRDefault="00D17312" w:rsidP="004F15FB">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18"/>
                <w:szCs w:val="18"/>
              </w:rPr>
            </w:pPr>
            <w:r w:rsidRPr="000973F2">
              <w:rPr>
                <w:rFonts w:ascii="Times New Roman" w:eastAsia="Times New Roman" w:hAnsi="Times New Roman" w:cs="Times New Roman"/>
                <w:b/>
                <w:bCs/>
                <w:sz w:val="18"/>
                <w:szCs w:val="18"/>
              </w:rPr>
              <w:t>Capital Cost (2017$)</w:t>
            </w:r>
          </w:p>
        </w:tc>
        <w:tc>
          <w:tcPr>
            <w:tcW w:w="1283" w:type="dxa"/>
            <w:hideMark/>
          </w:tcPr>
          <w:p w14:paraId="7B94B886" w14:textId="77777777" w:rsidR="00D17312" w:rsidRPr="000973F2" w:rsidRDefault="00D17312" w:rsidP="004F15FB">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18"/>
                <w:szCs w:val="18"/>
              </w:rPr>
            </w:pPr>
            <w:r w:rsidRPr="000973F2">
              <w:rPr>
                <w:rFonts w:ascii="Times New Roman" w:eastAsia="Times New Roman" w:hAnsi="Times New Roman" w:cs="Times New Roman"/>
                <w:b/>
                <w:bCs/>
                <w:sz w:val="18"/>
                <w:szCs w:val="18"/>
              </w:rPr>
              <w:t>Equipment Lifetime</w:t>
            </w:r>
          </w:p>
        </w:tc>
        <w:tc>
          <w:tcPr>
            <w:tcW w:w="1282" w:type="dxa"/>
            <w:hideMark/>
          </w:tcPr>
          <w:p w14:paraId="1377EB16" w14:textId="77777777" w:rsidR="00D17312" w:rsidRPr="000973F2" w:rsidRDefault="00D17312" w:rsidP="004F15FB">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18"/>
                <w:szCs w:val="18"/>
              </w:rPr>
            </w:pPr>
            <w:r w:rsidRPr="000973F2">
              <w:rPr>
                <w:rFonts w:ascii="Times New Roman" w:eastAsia="Times New Roman" w:hAnsi="Times New Roman" w:cs="Times New Roman"/>
                <w:b/>
                <w:bCs/>
                <w:sz w:val="18"/>
                <w:szCs w:val="18"/>
              </w:rPr>
              <w:t>Annualized Capital Cost (2017$/year)</w:t>
            </w:r>
          </w:p>
        </w:tc>
        <w:tc>
          <w:tcPr>
            <w:tcW w:w="1283" w:type="dxa"/>
            <w:hideMark/>
          </w:tcPr>
          <w:p w14:paraId="7A826EF3" w14:textId="77777777" w:rsidR="00D17312" w:rsidRPr="000973F2" w:rsidRDefault="00D17312" w:rsidP="004F15FB">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18"/>
                <w:szCs w:val="18"/>
              </w:rPr>
            </w:pPr>
            <w:r w:rsidRPr="000973F2">
              <w:rPr>
                <w:rFonts w:ascii="Times New Roman" w:eastAsia="Times New Roman" w:hAnsi="Times New Roman" w:cs="Times New Roman"/>
                <w:b/>
                <w:bCs/>
                <w:sz w:val="18"/>
                <w:szCs w:val="18"/>
              </w:rPr>
              <w:t>O&amp;M Costs (2017$/year)</w:t>
            </w:r>
          </w:p>
        </w:tc>
        <w:tc>
          <w:tcPr>
            <w:tcW w:w="1157" w:type="dxa"/>
            <w:hideMark/>
          </w:tcPr>
          <w:p w14:paraId="78E756D0" w14:textId="77777777" w:rsidR="00D17312" w:rsidRPr="000973F2" w:rsidRDefault="00D17312" w:rsidP="004F15FB">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18"/>
                <w:szCs w:val="18"/>
              </w:rPr>
            </w:pPr>
            <w:r w:rsidRPr="000973F2">
              <w:rPr>
                <w:rFonts w:ascii="Times New Roman" w:eastAsia="Times New Roman" w:hAnsi="Times New Roman" w:cs="Times New Roman"/>
                <w:b/>
                <w:bCs/>
                <w:sz w:val="18"/>
                <w:szCs w:val="18"/>
              </w:rPr>
              <w:t>Initial Year</w:t>
            </w:r>
          </w:p>
        </w:tc>
        <w:tc>
          <w:tcPr>
            <w:tcW w:w="1258" w:type="dxa"/>
            <w:hideMark/>
          </w:tcPr>
          <w:p w14:paraId="5DFA5130" w14:textId="77777777" w:rsidR="00D17312" w:rsidRPr="000973F2" w:rsidRDefault="00D17312" w:rsidP="004F15FB">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18"/>
                <w:szCs w:val="18"/>
              </w:rPr>
            </w:pPr>
            <w:r w:rsidRPr="000973F2">
              <w:rPr>
                <w:rFonts w:ascii="Times New Roman" w:eastAsia="Times New Roman" w:hAnsi="Times New Roman" w:cs="Times New Roman"/>
                <w:b/>
                <w:bCs/>
                <w:sz w:val="18"/>
                <w:szCs w:val="18"/>
              </w:rPr>
              <w:t>Subseq. Years</w:t>
            </w:r>
          </w:p>
        </w:tc>
      </w:tr>
      <w:tr w:rsidR="005E443D" w:rsidRPr="000973F2" w14:paraId="31C745F7" w14:textId="77777777" w:rsidTr="005A4CA1">
        <w:trPr>
          <w:cantSplit/>
        </w:trPr>
        <w:tc>
          <w:tcPr>
            <w:cnfStyle w:val="001000000000" w:firstRow="0" w:lastRow="0" w:firstColumn="1" w:lastColumn="0" w:oddVBand="0" w:evenVBand="0" w:oddHBand="0" w:evenHBand="0" w:firstRowFirstColumn="0" w:firstRowLastColumn="0" w:lastRowFirstColumn="0" w:lastRowLastColumn="0"/>
            <w:tcW w:w="1785" w:type="dxa"/>
            <w:tcMar>
              <w:right w:w="14" w:type="dxa"/>
            </w:tcMar>
            <w:hideMark/>
          </w:tcPr>
          <w:p w14:paraId="728E7F7F" w14:textId="77777777" w:rsidR="005E443D" w:rsidRPr="000973F2" w:rsidRDefault="005E443D" w:rsidP="004F15FB">
            <w:pPr>
              <w:spacing w:before="40" w:after="4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Equipment (selection, purchase, installation)</w:t>
            </w:r>
          </w:p>
        </w:tc>
        <w:tc>
          <w:tcPr>
            <w:tcW w:w="1282" w:type="dxa"/>
            <w:noWrap/>
            <w:hideMark/>
          </w:tcPr>
          <w:p w14:paraId="5FBE13CF" w14:textId="1AD770FD" w:rsidR="005E443D" w:rsidRPr="000973F2" w:rsidRDefault="004F15FB" w:rsidP="005A4CA1">
            <w:pPr>
              <w:spacing w:before="40" w:after="4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w:t>
            </w:r>
          </w:p>
        </w:tc>
        <w:tc>
          <w:tcPr>
            <w:tcW w:w="1283" w:type="dxa"/>
            <w:noWrap/>
          </w:tcPr>
          <w:p w14:paraId="1A0AE2F7" w14:textId="5283234D" w:rsidR="005E443D" w:rsidRPr="000973F2" w:rsidRDefault="005E443D" w:rsidP="005A4CA1">
            <w:pPr>
              <w:spacing w:before="40" w:after="4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p>
        </w:tc>
        <w:tc>
          <w:tcPr>
            <w:tcW w:w="1282" w:type="dxa"/>
            <w:noWrap/>
            <w:hideMark/>
          </w:tcPr>
          <w:p w14:paraId="2EB1CD63" w14:textId="3227AF2E" w:rsidR="005E443D" w:rsidRPr="000973F2" w:rsidRDefault="004F15FB" w:rsidP="005A4CA1">
            <w:pPr>
              <w:spacing w:before="40" w:after="4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w:t>
            </w:r>
          </w:p>
        </w:tc>
        <w:tc>
          <w:tcPr>
            <w:tcW w:w="1283" w:type="dxa"/>
            <w:noWrap/>
            <w:hideMark/>
          </w:tcPr>
          <w:p w14:paraId="76211685" w14:textId="1AE961E9" w:rsidR="005E443D" w:rsidRPr="000973F2" w:rsidRDefault="004F15FB" w:rsidP="005A4CA1">
            <w:pPr>
              <w:spacing w:before="40" w:after="4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w:t>
            </w:r>
          </w:p>
        </w:tc>
        <w:tc>
          <w:tcPr>
            <w:tcW w:w="1157" w:type="dxa"/>
            <w:noWrap/>
            <w:hideMark/>
          </w:tcPr>
          <w:p w14:paraId="6E69D810" w14:textId="5B0D9606" w:rsidR="005E443D" w:rsidRPr="000973F2" w:rsidRDefault="004F15FB" w:rsidP="005A4CA1">
            <w:pPr>
              <w:spacing w:before="40" w:after="4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w:t>
            </w:r>
          </w:p>
        </w:tc>
        <w:tc>
          <w:tcPr>
            <w:tcW w:w="1258" w:type="dxa"/>
            <w:noWrap/>
            <w:hideMark/>
          </w:tcPr>
          <w:p w14:paraId="6D92BF71" w14:textId="6D6A4425" w:rsidR="005E443D" w:rsidRPr="000973F2" w:rsidRDefault="004F15FB" w:rsidP="005A4CA1">
            <w:pPr>
              <w:spacing w:before="40" w:after="4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w:t>
            </w:r>
          </w:p>
        </w:tc>
      </w:tr>
      <w:tr w:rsidR="005E443D" w:rsidRPr="000973F2" w14:paraId="10F1CD76" w14:textId="77777777" w:rsidTr="005A4CA1">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1785" w:type="dxa"/>
            <w:tcMar>
              <w:right w:w="14" w:type="dxa"/>
            </w:tcMar>
            <w:hideMark/>
          </w:tcPr>
          <w:p w14:paraId="44D3EE92" w14:textId="77777777" w:rsidR="005E443D" w:rsidRPr="000973F2" w:rsidRDefault="005E443D" w:rsidP="004F15FB">
            <w:pPr>
              <w:spacing w:before="40" w:after="4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Performance testing</w:t>
            </w:r>
          </w:p>
        </w:tc>
        <w:tc>
          <w:tcPr>
            <w:tcW w:w="1282" w:type="dxa"/>
            <w:noWrap/>
            <w:hideMark/>
          </w:tcPr>
          <w:p w14:paraId="117428B7" w14:textId="465EBA59" w:rsidR="005E443D" w:rsidRPr="000973F2" w:rsidRDefault="004F15FB" w:rsidP="005A4CA1">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w:t>
            </w:r>
          </w:p>
        </w:tc>
        <w:tc>
          <w:tcPr>
            <w:tcW w:w="1283" w:type="dxa"/>
            <w:noWrap/>
          </w:tcPr>
          <w:p w14:paraId="304AA782" w14:textId="0BEE2169" w:rsidR="005E443D" w:rsidRPr="000973F2" w:rsidRDefault="005E443D" w:rsidP="005A4CA1">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p>
        </w:tc>
        <w:tc>
          <w:tcPr>
            <w:tcW w:w="1282" w:type="dxa"/>
            <w:noWrap/>
            <w:hideMark/>
          </w:tcPr>
          <w:p w14:paraId="3B08F474" w14:textId="49D6A146" w:rsidR="005E443D" w:rsidRPr="000973F2" w:rsidRDefault="004F15FB" w:rsidP="005A4CA1">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w:t>
            </w:r>
          </w:p>
        </w:tc>
        <w:tc>
          <w:tcPr>
            <w:tcW w:w="1283" w:type="dxa"/>
            <w:noWrap/>
            <w:hideMark/>
          </w:tcPr>
          <w:p w14:paraId="6196D1E4" w14:textId="747EA806" w:rsidR="005E443D" w:rsidRPr="000973F2" w:rsidRDefault="004F15FB" w:rsidP="005A4CA1">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w:t>
            </w:r>
          </w:p>
        </w:tc>
        <w:tc>
          <w:tcPr>
            <w:tcW w:w="1157" w:type="dxa"/>
            <w:noWrap/>
            <w:hideMark/>
          </w:tcPr>
          <w:p w14:paraId="71FF0A2A" w14:textId="4EC92E50" w:rsidR="005E443D" w:rsidRPr="000973F2" w:rsidRDefault="004F15FB" w:rsidP="005A4CA1">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w:t>
            </w:r>
          </w:p>
        </w:tc>
        <w:tc>
          <w:tcPr>
            <w:tcW w:w="1258" w:type="dxa"/>
            <w:noWrap/>
            <w:hideMark/>
          </w:tcPr>
          <w:p w14:paraId="6035F480" w14:textId="59FDD368" w:rsidR="005E443D" w:rsidRPr="000973F2" w:rsidRDefault="004F15FB" w:rsidP="005A4CA1">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w:t>
            </w:r>
          </w:p>
        </w:tc>
      </w:tr>
      <w:tr w:rsidR="005C22AC" w:rsidRPr="000973F2" w14:paraId="0687CA15" w14:textId="77777777" w:rsidTr="005A4CA1">
        <w:trPr>
          <w:cantSplit/>
        </w:trPr>
        <w:tc>
          <w:tcPr>
            <w:cnfStyle w:val="001000000000" w:firstRow="0" w:lastRow="0" w:firstColumn="1" w:lastColumn="0" w:oddVBand="0" w:evenVBand="0" w:oddHBand="0" w:evenHBand="0" w:firstRowFirstColumn="0" w:firstRowLastColumn="0" w:lastRowFirstColumn="0" w:lastRowLastColumn="0"/>
            <w:tcW w:w="1785" w:type="dxa"/>
            <w:tcMar>
              <w:right w:w="14" w:type="dxa"/>
            </w:tcMar>
            <w:hideMark/>
          </w:tcPr>
          <w:p w14:paraId="2763DE1E" w14:textId="77777777" w:rsidR="005C22AC" w:rsidRPr="000973F2" w:rsidRDefault="005C22AC" w:rsidP="004F15FB">
            <w:pPr>
              <w:spacing w:before="40" w:after="4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Recordkeeping</w:t>
            </w:r>
          </w:p>
        </w:tc>
        <w:tc>
          <w:tcPr>
            <w:tcW w:w="1282" w:type="dxa"/>
            <w:noWrap/>
            <w:hideMark/>
          </w:tcPr>
          <w:p w14:paraId="3D4CEBDB" w14:textId="77777777" w:rsidR="005C22AC" w:rsidRPr="000973F2" w:rsidRDefault="005C22AC" w:rsidP="005A4CA1">
            <w:pPr>
              <w:spacing w:before="40" w:after="4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$0</w:t>
            </w:r>
          </w:p>
        </w:tc>
        <w:tc>
          <w:tcPr>
            <w:tcW w:w="1283" w:type="dxa"/>
            <w:noWrap/>
          </w:tcPr>
          <w:p w14:paraId="4B010AEC" w14:textId="77777777" w:rsidR="005C22AC" w:rsidRPr="000973F2" w:rsidRDefault="005C22AC" w:rsidP="005A4CA1">
            <w:pPr>
              <w:spacing w:before="40" w:after="4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p>
        </w:tc>
        <w:tc>
          <w:tcPr>
            <w:tcW w:w="1282" w:type="dxa"/>
            <w:noWrap/>
            <w:hideMark/>
          </w:tcPr>
          <w:p w14:paraId="020CDBD3" w14:textId="77777777" w:rsidR="005C22AC" w:rsidRPr="000973F2" w:rsidRDefault="005C22AC" w:rsidP="005A4CA1">
            <w:pPr>
              <w:spacing w:before="40" w:after="4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$0</w:t>
            </w:r>
          </w:p>
        </w:tc>
        <w:tc>
          <w:tcPr>
            <w:tcW w:w="1283" w:type="dxa"/>
            <w:noWrap/>
            <w:hideMark/>
          </w:tcPr>
          <w:p w14:paraId="4259EA32" w14:textId="77777777" w:rsidR="005C22AC" w:rsidRPr="000973F2" w:rsidRDefault="005C22AC" w:rsidP="005A4CA1">
            <w:pPr>
              <w:spacing w:before="40" w:after="4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$50</w:t>
            </w:r>
          </w:p>
        </w:tc>
        <w:tc>
          <w:tcPr>
            <w:tcW w:w="1157" w:type="dxa"/>
            <w:noWrap/>
            <w:hideMark/>
          </w:tcPr>
          <w:p w14:paraId="0E7A5104" w14:textId="77777777" w:rsidR="005C22AC" w:rsidRPr="000973F2" w:rsidRDefault="005C22AC" w:rsidP="005A4CA1">
            <w:pPr>
              <w:spacing w:before="40" w:after="4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$50</w:t>
            </w:r>
          </w:p>
        </w:tc>
        <w:tc>
          <w:tcPr>
            <w:tcW w:w="1258" w:type="dxa"/>
            <w:noWrap/>
            <w:hideMark/>
          </w:tcPr>
          <w:p w14:paraId="0582D090" w14:textId="77777777" w:rsidR="005C22AC" w:rsidRPr="000973F2" w:rsidRDefault="005C22AC" w:rsidP="005A4CA1">
            <w:pPr>
              <w:spacing w:before="40" w:after="4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$50</w:t>
            </w:r>
          </w:p>
        </w:tc>
      </w:tr>
      <w:tr w:rsidR="005E443D" w:rsidRPr="000973F2" w14:paraId="385DA576" w14:textId="77777777" w:rsidTr="005A4CA1">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1785" w:type="dxa"/>
            <w:tcMar>
              <w:right w:w="14" w:type="dxa"/>
            </w:tcMar>
            <w:hideMark/>
          </w:tcPr>
          <w:p w14:paraId="226029B9" w14:textId="77777777" w:rsidR="005E443D" w:rsidRPr="000973F2" w:rsidRDefault="005E443D" w:rsidP="004F15FB">
            <w:pPr>
              <w:spacing w:before="40" w:after="4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Travel</w:t>
            </w:r>
          </w:p>
        </w:tc>
        <w:tc>
          <w:tcPr>
            <w:tcW w:w="1282" w:type="dxa"/>
            <w:noWrap/>
            <w:hideMark/>
          </w:tcPr>
          <w:p w14:paraId="5E2D6A7C" w14:textId="26720A08" w:rsidR="005E443D" w:rsidRPr="000973F2" w:rsidRDefault="004F15FB" w:rsidP="005A4CA1">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w:t>
            </w:r>
          </w:p>
        </w:tc>
        <w:tc>
          <w:tcPr>
            <w:tcW w:w="1283" w:type="dxa"/>
            <w:noWrap/>
          </w:tcPr>
          <w:p w14:paraId="0F5AED71" w14:textId="187FB421" w:rsidR="005E443D" w:rsidRPr="000973F2" w:rsidRDefault="005E443D" w:rsidP="005A4CA1">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p>
        </w:tc>
        <w:tc>
          <w:tcPr>
            <w:tcW w:w="1282" w:type="dxa"/>
            <w:noWrap/>
            <w:hideMark/>
          </w:tcPr>
          <w:p w14:paraId="2E53CC16" w14:textId="58E9CA3C" w:rsidR="005E443D" w:rsidRPr="000973F2" w:rsidRDefault="004F15FB" w:rsidP="005A4CA1">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w:t>
            </w:r>
          </w:p>
        </w:tc>
        <w:tc>
          <w:tcPr>
            <w:tcW w:w="1283" w:type="dxa"/>
            <w:noWrap/>
            <w:hideMark/>
          </w:tcPr>
          <w:p w14:paraId="5FC93F22" w14:textId="50E665EB" w:rsidR="005E443D" w:rsidRPr="000973F2" w:rsidRDefault="004F15FB" w:rsidP="005A4CA1">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w:t>
            </w:r>
          </w:p>
        </w:tc>
        <w:tc>
          <w:tcPr>
            <w:tcW w:w="1157" w:type="dxa"/>
            <w:noWrap/>
            <w:hideMark/>
          </w:tcPr>
          <w:p w14:paraId="4687DEB5" w14:textId="18C089AF" w:rsidR="005E443D" w:rsidRPr="000973F2" w:rsidRDefault="004F15FB" w:rsidP="005A4CA1">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w:t>
            </w:r>
          </w:p>
        </w:tc>
        <w:tc>
          <w:tcPr>
            <w:tcW w:w="1258" w:type="dxa"/>
            <w:noWrap/>
            <w:hideMark/>
          </w:tcPr>
          <w:p w14:paraId="65779A0C" w14:textId="0ED33ECE" w:rsidR="005E443D" w:rsidRPr="000973F2" w:rsidRDefault="004F15FB" w:rsidP="005A4CA1">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w:t>
            </w:r>
          </w:p>
        </w:tc>
      </w:tr>
      <w:tr w:rsidR="005E443D" w:rsidRPr="000973F2" w14:paraId="5FB5C3E5" w14:textId="77777777" w:rsidTr="005A4CA1">
        <w:trPr>
          <w:cantSplit/>
        </w:trPr>
        <w:tc>
          <w:tcPr>
            <w:cnfStyle w:val="001000000000" w:firstRow="0" w:lastRow="0" w:firstColumn="1" w:lastColumn="0" w:oddVBand="0" w:evenVBand="0" w:oddHBand="0" w:evenHBand="0" w:firstRowFirstColumn="0" w:firstRowLastColumn="0" w:lastRowFirstColumn="0" w:lastRowLastColumn="0"/>
            <w:tcW w:w="1785" w:type="dxa"/>
            <w:tcMar>
              <w:right w:w="14" w:type="dxa"/>
            </w:tcMar>
            <w:hideMark/>
          </w:tcPr>
          <w:p w14:paraId="7BA1774E" w14:textId="5456029D" w:rsidR="005E443D" w:rsidRPr="000973F2" w:rsidRDefault="005E443D" w:rsidP="004F15FB">
            <w:pPr>
              <w:spacing w:before="40" w:after="4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Sampling and Analysis Costs</w:t>
            </w:r>
          </w:p>
        </w:tc>
        <w:tc>
          <w:tcPr>
            <w:tcW w:w="1282" w:type="dxa"/>
            <w:noWrap/>
            <w:hideMark/>
          </w:tcPr>
          <w:p w14:paraId="7C6AEA90" w14:textId="4EDB2879" w:rsidR="005E443D" w:rsidRPr="000973F2" w:rsidRDefault="004F15FB" w:rsidP="005A4CA1">
            <w:pPr>
              <w:spacing w:before="40" w:after="4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w:t>
            </w:r>
          </w:p>
        </w:tc>
        <w:tc>
          <w:tcPr>
            <w:tcW w:w="1283" w:type="dxa"/>
            <w:noWrap/>
          </w:tcPr>
          <w:p w14:paraId="2CB580A3" w14:textId="1E972B29" w:rsidR="005E443D" w:rsidRPr="000973F2" w:rsidRDefault="005E443D" w:rsidP="005A4CA1">
            <w:pPr>
              <w:spacing w:before="40" w:after="4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p>
        </w:tc>
        <w:tc>
          <w:tcPr>
            <w:tcW w:w="1282" w:type="dxa"/>
            <w:noWrap/>
            <w:hideMark/>
          </w:tcPr>
          <w:p w14:paraId="4A14BD76" w14:textId="1C6E849D" w:rsidR="005E443D" w:rsidRPr="000973F2" w:rsidRDefault="004F15FB" w:rsidP="005A4CA1">
            <w:pPr>
              <w:spacing w:before="40" w:after="4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w:t>
            </w:r>
          </w:p>
        </w:tc>
        <w:tc>
          <w:tcPr>
            <w:tcW w:w="1283" w:type="dxa"/>
            <w:noWrap/>
            <w:hideMark/>
          </w:tcPr>
          <w:p w14:paraId="18B54650" w14:textId="3EFF5F2D" w:rsidR="005E443D" w:rsidRPr="000973F2" w:rsidRDefault="004F15FB" w:rsidP="005A4CA1">
            <w:pPr>
              <w:spacing w:before="40" w:after="4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w:t>
            </w:r>
          </w:p>
        </w:tc>
        <w:tc>
          <w:tcPr>
            <w:tcW w:w="1157" w:type="dxa"/>
            <w:noWrap/>
            <w:hideMark/>
          </w:tcPr>
          <w:p w14:paraId="7D573ADC" w14:textId="3827EBFA" w:rsidR="005E443D" w:rsidRPr="000973F2" w:rsidRDefault="004F15FB" w:rsidP="005A4CA1">
            <w:pPr>
              <w:spacing w:before="40" w:after="4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w:t>
            </w:r>
          </w:p>
        </w:tc>
        <w:tc>
          <w:tcPr>
            <w:tcW w:w="1258" w:type="dxa"/>
            <w:noWrap/>
            <w:hideMark/>
          </w:tcPr>
          <w:p w14:paraId="1679F4EC" w14:textId="561B9AFC" w:rsidR="005E443D" w:rsidRPr="000973F2" w:rsidRDefault="004F15FB" w:rsidP="005A4CA1">
            <w:pPr>
              <w:spacing w:before="40" w:after="4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w:t>
            </w:r>
          </w:p>
        </w:tc>
      </w:tr>
      <w:tr w:rsidR="005C22AC" w:rsidRPr="000973F2" w14:paraId="211D3BC3" w14:textId="77777777" w:rsidTr="005A4CA1">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1785" w:type="dxa"/>
            <w:tcMar>
              <w:right w:w="14" w:type="dxa"/>
            </w:tcMar>
            <w:hideMark/>
          </w:tcPr>
          <w:p w14:paraId="5B2910F1" w14:textId="77777777" w:rsidR="005C22AC" w:rsidRPr="000973F2" w:rsidRDefault="005C22AC" w:rsidP="004F15FB">
            <w:pPr>
              <w:spacing w:before="40" w:after="40"/>
              <w:rPr>
                <w:rFonts w:ascii="Times New Roman" w:eastAsia="Times New Roman" w:hAnsi="Times New Roman" w:cs="Times New Roman"/>
                <w:b/>
                <w:bCs w:val="0"/>
                <w:sz w:val="18"/>
                <w:szCs w:val="18"/>
              </w:rPr>
            </w:pPr>
            <w:r w:rsidRPr="000973F2">
              <w:rPr>
                <w:rFonts w:ascii="Times New Roman" w:eastAsia="Times New Roman" w:hAnsi="Times New Roman" w:cs="Times New Roman"/>
                <w:b/>
                <w:sz w:val="18"/>
                <w:szCs w:val="18"/>
              </w:rPr>
              <w:t xml:space="preserve">Total </w:t>
            </w:r>
          </w:p>
        </w:tc>
        <w:tc>
          <w:tcPr>
            <w:tcW w:w="1282" w:type="dxa"/>
            <w:noWrap/>
            <w:hideMark/>
          </w:tcPr>
          <w:p w14:paraId="517BC4D7" w14:textId="77777777" w:rsidR="005C22AC" w:rsidRPr="000973F2" w:rsidRDefault="005C22AC" w:rsidP="005A4CA1">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$0</w:t>
            </w:r>
          </w:p>
        </w:tc>
        <w:tc>
          <w:tcPr>
            <w:tcW w:w="1283" w:type="dxa"/>
            <w:noWrap/>
          </w:tcPr>
          <w:p w14:paraId="143B5D66" w14:textId="5A80DD94" w:rsidR="005C22AC" w:rsidRPr="000973F2" w:rsidRDefault="005C22AC" w:rsidP="005A4CA1">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p>
        </w:tc>
        <w:tc>
          <w:tcPr>
            <w:tcW w:w="1282" w:type="dxa"/>
            <w:noWrap/>
            <w:hideMark/>
          </w:tcPr>
          <w:p w14:paraId="447ADE1B" w14:textId="77777777" w:rsidR="005C22AC" w:rsidRPr="000973F2" w:rsidRDefault="005C22AC" w:rsidP="005A4CA1">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$0</w:t>
            </w:r>
          </w:p>
        </w:tc>
        <w:tc>
          <w:tcPr>
            <w:tcW w:w="1283" w:type="dxa"/>
            <w:noWrap/>
            <w:hideMark/>
          </w:tcPr>
          <w:p w14:paraId="38A799A9" w14:textId="77777777" w:rsidR="005C22AC" w:rsidRPr="000973F2" w:rsidRDefault="005C22AC" w:rsidP="005A4CA1">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$50</w:t>
            </w:r>
          </w:p>
        </w:tc>
        <w:tc>
          <w:tcPr>
            <w:tcW w:w="1157" w:type="dxa"/>
            <w:noWrap/>
            <w:hideMark/>
          </w:tcPr>
          <w:p w14:paraId="10BEB8CC" w14:textId="77777777" w:rsidR="005C22AC" w:rsidRPr="000973F2" w:rsidRDefault="005C22AC" w:rsidP="005A4CA1">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$50</w:t>
            </w:r>
          </w:p>
        </w:tc>
        <w:tc>
          <w:tcPr>
            <w:tcW w:w="1258" w:type="dxa"/>
            <w:noWrap/>
            <w:hideMark/>
          </w:tcPr>
          <w:p w14:paraId="7FC419C3" w14:textId="77777777" w:rsidR="005C22AC" w:rsidRPr="000973F2" w:rsidRDefault="005C22AC" w:rsidP="005A4CA1">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$50</w:t>
            </w:r>
          </w:p>
        </w:tc>
      </w:tr>
    </w:tbl>
    <w:p w14:paraId="798A6D4C" w14:textId="77777777" w:rsidR="005C22AC" w:rsidRPr="000973F2" w:rsidRDefault="005C22AC" w:rsidP="004F15FB">
      <w:pPr>
        <w:pStyle w:val="AfterTable"/>
      </w:pPr>
    </w:p>
    <w:p w14:paraId="01535262" w14:textId="77777777" w:rsidR="005C22AC" w:rsidRPr="000973F2" w:rsidRDefault="005C22AC" w:rsidP="005A4CA1">
      <w:pPr>
        <w:pStyle w:val="Heading2"/>
      </w:pPr>
      <w:r w:rsidRPr="000973F2">
        <w:t>Total Costs for Subpart T</w:t>
      </w:r>
    </w:p>
    <w:p w14:paraId="748C3C96" w14:textId="04A1C913" w:rsidR="005C22AC" w:rsidRPr="000973F2" w:rsidRDefault="005C22AC" w:rsidP="005A4CA1">
      <w:pPr>
        <w:pStyle w:val="BodyText"/>
      </w:pPr>
      <w:r w:rsidRPr="000973F2">
        <w:t>The total industry costs related to Subpart T average approximately $14,400 per year for existing sources and approximately $</w:t>
      </w:r>
      <w:r w:rsidR="00470CE2" w:rsidRPr="000973F2">
        <w:t>600</w:t>
      </w:r>
      <w:r w:rsidRPr="000973F2">
        <w:t xml:space="preserve"> per year for new sources, for a total of approximately </w:t>
      </w:r>
      <w:r w:rsidR="001B65BE" w:rsidRPr="000973F2">
        <w:t xml:space="preserve">$15,000 per year and approximately </w:t>
      </w:r>
      <w:r w:rsidRPr="000973F2">
        <w:t xml:space="preserve">$45,000 over the three-year period of the ICR. </w:t>
      </w:r>
      <w:r w:rsidR="009E2DBD" w:rsidRPr="000973F2">
        <w:t>Eleven</w:t>
      </w:r>
      <w:r w:rsidRPr="000973F2">
        <w:t xml:space="preserve"> facilities </w:t>
      </w:r>
      <w:r w:rsidR="009E2DBD" w:rsidRPr="000973F2">
        <w:t xml:space="preserve">are expected to </w:t>
      </w:r>
      <w:r w:rsidRPr="000973F2">
        <w:t>report</w:t>
      </w:r>
      <w:r w:rsidR="009E2DBD" w:rsidRPr="000973F2">
        <w:t xml:space="preserve"> in 2019, 2020, and 2021</w:t>
      </w:r>
      <w:r w:rsidRPr="000973F2">
        <w:t>, which accounts for the one new facility reporting in 2019.</w:t>
      </w:r>
    </w:p>
    <w:p w14:paraId="06CBA509" w14:textId="5A186A76" w:rsidR="005C22AC" w:rsidRPr="000973F2" w:rsidRDefault="005C22AC" w:rsidP="00C00E4F">
      <w:pPr>
        <w:spacing w:line="240" w:lineRule="auto"/>
        <w:rPr>
          <w:rFonts w:ascii="Times New Roman" w:hAnsi="Times New Roman" w:cs="Times New Roman"/>
        </w:rPr>
      </w:pPr>
      <w:r w:rsidRPr="000973F2">
        <w:rPr>
          <w:rFonts w:ascii="Times New Roman" w:hAnsi="Times New Roman" w:cs="Times New Roman"/>
        </w:rPr>
        <w:br w:type="page"/>
      </w:r>
    </w:p>
    <w:p w14:paraId="65F7CBF3" w14:textId="77777777" w:rsidR="0009278E" w:rsidRPr="000973F2" w:rsidRDefault="0009278E" w:rsidP="005A4CA1">
      <w:pPr>
        <w:pStyle w:val="Heading1"/>
      </w:pPr>
      <w:bookmarkStart w:id="34" w:name="_Toc10715612"/>
      <w:r w:rsidRPr="000973F2">
        <w:t>Cost Appendix for Subpart U – Miscellaneous Uses of Carbonate</w:t>
      </w:r>
      <w:bookmarkEnd w:id="34"/>
    </w:p>
    <w:p w14:paraId="6E581BC4" w14:textId="77777777" w:rsidR="0009278E" w:rsidRPr="000973F2" w:rsidRDefault="0009278E" w:rsidP="005A4CA1">
      <w:pPr>
        <w:pStyle w:val="Heading2"/>
      </w:pPr>
      <w:r w:rsidRPr="000973F2">
        <w:t>Description of Subpart U</w:t>
      </w:r>
    </w:p>
    <w:p w14:paraId="452E1D06" w14:textId="087BA76B" w:rsidR="0009278E" w:rsidRPr="000973F2" w:rsidRDefault="0009278E" w:rsidP="005A4CA1">
      <w:pPr>
        <w:pStyle w:val="BodyText"/>
      </w:pPr>
      <w:r w:rsidRPr="000973F2">
        <w:t xml:space="preserve">For purposes of the GHGRP, the miscellaneous uses of carbonate source category includes any equipment that uses certain carbonates in manufacturing processes that emit </w:t>
      </w:r>
      <w:r w:rsidR="00F719AA" w:rsidRPr="000973F2">
        <w:t>CO</w:t>
      </w:r>
      <w:r w:rsidR="00F719AA" w:rsidRPr="000973F2">
        <w:rPr>
          <w:vertAlign w:val="subscript"/>
        </w:rPr>
        <w:t>2</w:t>
      </w:r>
      <w:r w:rsidRPr="000973F2">
        <w:t xml:space="preserve">. The carbonates include limestone, dolomite, ankerite, magnesite, siderite, rhodochrosite, and sodium carbonate. Facilities are considered to emit </w:t>
      </w:r>
      <w:r w:rsidR="00F719AA" w:rsidRPr="000973F2">
        <w:t>CO</w:t>
      </w:r>
      <w:r w:rsidR="00F719AA" w:rsidRPr="000973F2">
        <w:rPr>
          <w:vertAlign w:val="subscript"/>
        </w:rPr>
        <w:t>2</w:t>
      </w:r>
      <w:r w:rsidRPr="000973F2">
        <w:t xml:space="preserve"> if at least 2,000 tons per year of carbonates are consumed and the carbonates are heated to a temperature sufficient to allow the calcination reaction to occur. This source category does not include equipment that uses carbonates or carbonate containing minerals that are consumed in the production of cement, glass, ferroalloys, iron and steel, lead, lime, phosphoric acid, pulp and paper, soda ash, sodium bicarbonate, sodium hydroxide, or zinc. This source category </w:t>
      </w:r>
      <w:r w:rsidR="001C2DE7" w:rsidRPr="000973F2">
        <w:t xml:space="preserve">also </w:t>
      </w:r>
      <w:r w:rsidRPr="000973F2">
        <w:t>does not include carbonates used in sorbent technology used to control emissions from stationary fuel combustion equipment.</w:t>
      </w:r>
    </w:p>
    <w:p w14:paraId="151C3B89" w14:textId="0AD27B0E" w:rsidR="0009278E" w:rsidRPr="000973F2" w:rsidRDefault="0009278E" w:rsidP="005A4CA1">
      <w:pPr>
        <w:pStyle w:val="BodyText"/>
      </w:pPr>
      <w:r w:rsidRPr="000973F2">
        <w:t xml:space="preserve">For RY2017, seven facilities reported to Subpart U. The number of facilities reporting to Subpart U has not increased over the prior six reporting years; therefore, no new facilities are expected to report over the next three years. Initial year costs apply to new facilities; therefore, those costs are zero in the tables below. </w:t>
      </w:r>
    </w:p>
    <w:p w14:paraId="7724ADC4" w14:textId="77777777" w:rsidR="0009278E" w:rsidRPr="000973F2" w:rsidRDefault="0009278E" w:rsidP="005A4CA1">
      <w:pPr>
        <w:pStyle w:val="BodyText"/>
      </w:pPr>
      <w:r w:rsidRPr="000973F2">
        <w:t>Facilities have two options for calculating CO</w:t>
      </w:r>
      <w:r w:rsidRPr="000973F2">
        <w:rPr>
          <w:vertAlign w:val="subscript"/>
        </w:rPr>
        <w:t>2</w:t>
      </w:r>
      <w:r w:rsidRPr="000973F2">
        <w:t xml:space="preserve"> emissions under Subpart U: (1) use calcination fractions with Equation U-1, according to §98.213(a), or (2) use actual mass of input and output carbonates with Equation U-2 (mass balance), according to §98.213(b).</w:t>
      </w:r>
    </w:p>
    <w:p w14:paraId="723D2C46" w14:textId="77777777" w:rsidR="0009278E" w:rsidRPr="000973F2" w:rsidRDefault="0009278E" w:rsidP="005A4CA1">
      <w:pPr>
        <w:pStyle w:val="Heading2"/>
      </w:pPr>
      <w:r w:rsidRPr="000973F2">
        <w:t>Labor Costs for Subpart U</w:t>
      </w:r>
    </w:p>
    <w:p w14:paraId="2FD8603C" w14:textId="2C6BC7C0" w:rsidR="0009278E" w:rsidRPr="000973F2" w:rsidRDefault="0009278E" w:rsidP="005A4CA1">
      <w:pPr>
        <w:pStyle w:val="BodyText"/>
      </w:pPr>
      <w:r w:rsidRPr="000973F2">
        <w:t xml:space="preserve">Table </w:t>
      </w:r>
      <w:r w:rsidR="005A4CA1" w:rsidRPr="000973F2">
        <w:t>U-</w:t>
      </w:r>
      <w:r w:rsidRPr="000973F2">
        <w:t xml:space="preserve">1a and Table </w:t>
      </w:r>
      <w:r w:rsidR="005A4CA1" w:rsidRPr="000973F2">
        <w:t>U-</w:t>
      </w:r>
      <w:r w:rsidRPr="000973F2">
        <w:t xml:space="preserve">1b below includes the labor hours for each of the seven facilities reporting to Subpart U. Four facilities used the calcination fraction methodology, and three facilities used the mass balance approach. Recordkeeping and reporting hours </w:t>
      </w:r>
      <w:r w:rsidR="00AE516A" w:rsidRPr="000973F2">
        <w:t>are based on</w:t>
      </w:r>
      <w:r w:rsidRPr="000973F2">
        <w:t xml:space="preserve"> the “low bin”</w:t>
      </w:r>
      <w:r w:rsidR="00892409" w:rsidRPr="000973F2">
        <w:t xml:space="preserve"> designation</w:t>
      </w:r>
      <w:r w:rsidRPr="000973F2">
        <w:t xml:space="preserve"> as discussed in the Cost Appendix Introduction. No sampling costs are expected because all facilities have used the default calcination fraction of 1.0 instead of using x-ray fluorescence to determine the calcination fraction; and no calculation costs are expected because the only calculation required for Subpart U is automatically performed within e-GGRT.</w:t>
      </w:r>
    </w:p>
    <w:p w14:paraId="1AF0995E" w14:textId="77777777" w:rsidR="0009278E" w:rsidRPr="000973F2" w:rsidRDefault="0009278E" w:rsidP="00C00E4F">
      <w:pPr>
        <w:spacing w:line="240" w:lineRule="auto"/>
        <w:rPr>
          <w:rFonts w:ascii="Times New Roman" w:hAnsi="Times New Roman" w:cs="Times New Roman"/>
          <w:b/>
          <w:szCs w:val="24"/>
        </w:rPr>
      </w:pPr>
      <w:r w:rsidRPr="000973F2">
        <w:rPr>
          <w:rFonts w:ascii="Times New Roman" w:hAnsi="Times New Roman" w:cs="Times New Roman"/>
          <w:b/>
          <w:szCs w:val="24"/>
        </w:rPr>
        <w:br w:type="page"/>
      </w:r>
    </w:p>
    <w:p w14:paraId="1B386E23" w14:textId="116F3FA7" w:rsidR="0009278E" w:rsidRPr="000973F2" w:rsidRDefault="0054400A" w:rsidP="004E64C7">
      <w:pPr>
        <w:pStyle w:val="Tabletitle"/>
        <w:rPr>
          <w:sz w:val="24"/>
        </w:rPr>
      </w:pPr>
      <w:r w:rsidRPr="000973F2">
        <w:t xml:space="preserve">Table </w:t>
      </w:r>
      <w:r w:rsidR="005A4CA1" w:rsidRPr="000973F2">
        <w:t>U-</w:t>
      </w:r>
      <w:r w:rsidRPr="000973F2">
        <w:t xml:space="preserve">1a. Labor Costs </w:t>
      </w:r>
      <w:r w:rsidR="00B960CC" w:rsidRPr="000973F2">
        <w:t>–</w:t>
      </w:r>
      <w:r w:rsidRPr="000973F2">
        <w:t xml:space="preserve"> </w:t>
      </w:r>
      <w:r w:rsidR="0009278E" w:rsidRPr="000973F2">
        <w:t xml:space="preserve">Subpart U </w:t>
      </w:r>
      <w:r w:rsidR="0009278E" w:rsidRPr="000973F2">
        <w:rPr>
          <w:bCs/>
        </w:rPr>
        <w:t>– Calcination fraction method</w:t>
      </w:r>
    </w:p>
    <w:tbl>
      <w:tblPr>
        <w:tblStyle w:val="PlainTable1"/>
        <w:tblW w:w="5000" w:type="pct"/>
        <w:jc w:val="left"/>
        <w:tblLayout w:type="fixed"/>
        <w:tblCellMar>
          <w:left w:w="115" w:type="dxa"/>
          <w:right w:w="115" w:type="dxa"/>
        </w:tblCellMar>
        <w:tblLook w:val="04A0" w:firstRow="1" w:lastRow="0" w:firstColumn="1" w:lastColumn="0" w:noHBand="0" w:noVBand="1"/>
      </w:tblPr>
      <w:tblGrid>
        <w:gridCol w:w="1373"/>
        <w:gridCol w:w="821"/>
        <w:gridCol w:w="822"/>
        <w:gridCol w:w="821"/>
        <w:gridCol w:w="821"/>
        <w:gridCol w:w="820"/>
        <w:gridCol w:w="821"/>
        <w:gridCol w:w="821"/>
        <w:gridCol w:w="821"/>
        <w:gridCol w:w="824"/>
        <w:gridCol w:w="825"/>
      </w:tblGrid>
      <w:tr w:rsidR="008F751E" w:rsidRPr="000973F2" w14:paraId="077A14B5" w14:textId="77777777" w:rsidTr="004E64C7">
        <w:trPr>
          <w:cnfStyle w:val="100000000000" w:firstRow="1" w:lastRow="0" w:firstColumn="0" w:lastColumn="0" w:oddVBand="0" w:evenVBand="0" w:oddHBand="0" w:evenHBand="0" w:firstRowFirstColumn="0" w:firstRowLastColumn="0" w:lastRowFirstColumn="0" w:lastRowLastColumn="0"/>
          <w:cantSplit/>
          <w:jc w:val="left"/>
        </w:trPr>
        <w:tc>
          <w:tcPr>
            <w:cnfStyle w:val="001000000000" w:firstRow="0" w:lastRow="0" w:firstColumn="1" w:lastColumn="0" w:oddVBand="0" w:evenVBand="0" w:oddHBand="0" w:evenHBand="0" w:firstRowFirstColumn="0" w:firstRowLastColumn="0" w:lastRowFirstColumn="0" w:lastRowLastColumn="0"/>
            <w:tcW w:w="1335" w:type="dxa"/>
            <w:vMerge w:val="restart"/>
            <w:noWrap/>
            <w:vAlign w:val="top"/>
            <w:hideMark/>
          </w:tcPr>
          <w:p w14:paraId="5EE5F706" w14:textId="77777777" w:rsidR="0009278E" w:rsidRPr="000973F2" w:rsidRDefault="0009278E" w:rsidP="004E64C7">
            <w:pPr>
              <w:spacing w:before="40" w:after="40"/>
              <w:rPr>
                <w:rFonts w:ascii="Times New Roman" w:eastAsia="Times New Roman" w:hAnsi="Times New Roman" w:cs="Times New Roman"/>
                <w:b w:val="0"/>
                <w:bCs w:val="0"/>
                <w:sz w:val="18"/>
                <w:szCs w:val="18"/>
              </w:rPr>
            </w:pPr>
            <w:r w:rsidRPr="000973F2">
              <w:rPr>
                <w:rFonts w:ascii="Times New Roman" w:eastAsia="Times New Roman" w:hAnsi="Times New Roman" w:cs="Times New Roman"/>
                <w:sz w:val="18"/>
                <w:szCs w:val="18"/>
              </w:rPr>
              <w:t>Activity</w:t>
            </w:r>
          </w:p>
        </w:tc>
        <w:tc>
          <w:tcPr>
            <w:tcW w:w="6390" w:type="dxa"/>
            <w:gridSpan w:val="8"/>
            <w:noWrap/>
            <w:vAlign w:val="top"/>
            <w:hideMark/>
          </w:tcPr>
          <w:p w14:paraId="374297DE" w14:textId="77777777" w:rsidR="0009278E" w:rsidRPr="000973F2" w:rsidRDefault="0009278E" w:rsidP="004E64C7">
            <w:pPr>
              <w:spacing w:before="40" w:after="40"/>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bCs w:val="0"/>
                <w:sz w:val="18"/>
                <w:szCs w:val="18"/>
              </w:rPr>
            </w:pPr>
            <w:r w:rsidRPr="000973F2">
              <w:rPr>
                <w:rFonts w:ascii="Times New Roman" w:eastAsia="Times New Roman" w:hAnsi="Times New Roman" w:cs="Times New Roman"/>
                <w:sz w:val="18"/>
                <w:szCs w:val="18"/>
              </w:rPr>
              <w:t>Labor Rates (per hour)</w:t>
            </w:r>
          </w:p>
        </w:tc>
        <w:tc>
          <w:tcPr>
            <w:tcW w:w="1605" w:type="dxa"/>
            <w:gridSpan w:val="2"/>
            <w:vMerge w:val="restart"/>
            <w:vAlign w:val="top"/>
            <w:hideMark/>
          </w:tcPr>
          <w:p w14:paraId="10C8EEB3" w14:textId="77777777" w:rsidR="0009278E" w:rsidRPr="000973F2" w:rsidRDefault="0009278E" w:rsidP="004E64C7">
            <w:pPr>
              <w:spacing w:before="40" w:after="40"/>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bCs w:val="0"/>
                <w:sz w:val="18"/>
                <w:szCs w:val="18"/>
              </w:rPr>
            </w:pPr>
            <w:r w:rsidRPr="000973F2">
              <w:rPr>
                <w:rFonts w:ascii="Times New Roman" w:eastAsia="Times New Roman" w:hAnsi="Times New Roman" w:cs="Times New Roman"/>
                <w:sz w:val="18"/>
                <w:szCs w:val="18"/>
              </w:rPr>
              <w:t>Total Labor Cost per Year per Facility (2017$)</w:t>
            </w:r>
          </w:p>
        </w:tc>
      </w:tr>
      <w:tr w:rsidR="008F751E" w:rsidRPr="000973F2" w14:paraId="3A24E127" w14:textId="77777777" w:rsidTr="004E64C7">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1335" w:type="dxa"/>
            <w:vMerge/>
            <w:hideMark/>
          </w:tcPr>
          <w:p w14:paraId="717928C3" w14:textId="77777777" w:rsidR="0009278E" w:rsidRPr="000973F2" w:rsidRDefault="0009278E" w:rsidP="004E64C7">
            <w:pPr>
              <w:spacing w:before="40" w:after="40"/>
              <w:rPr>
                <w:rFonts w:ascii="Times New Roman" w:eastAsia="Times New Roman" w:hAnsi="Times New Roman" w:cs="Times New Roman"/>
                <w:b/>
                <w:bCs w:val="0"/>
                <w:sz w:val="18"/>
                <w:szCs w:val="18"/>
              </w:rPr>
            </w:pPr>
          </w:p>
        </w:tc>
        <w:tc>
          <w:tcPr>
            <w:tcW w:w="1597" w:type="dxa"/>
            <w:gridSpan w:val="2"/>
            <w:noWrap/>
            <w:hideMark/>
          </w:tcPr>
          <w:p w14:paraId="501DA5D8" w14:textId="77777777" w:rsidR="0009278E" w:rsidRPr="000973F2" w:rsidRDefault="0009278E" w:rsidP="004E64C7">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18"/>
                <w:szCs w:val="18"/>
              </w:rPr>
            </w:pPr>
            <w:r w:rsidRPr="000973F2">
              <w:rPr>
                <w:rFonts w:ascii="Times New Roman" w:eastAsia="Times New Roman" w:hAnsi="Times New Roman" w:cs="Times New Roman"/>
                <w:b/>
                <w:bCs/>
                <w:sz w:val="18"/>
                <w:szCs w:val="18"/>
              </w:rPr>
              <w:t>Lawyer</w:t>
            </w:r>
          </w:p>
        </w:tc>
        <w:tc>
          <w:tcPr>
            <w:tcW w:w="1598" w:type="dxa"/>
            <w:gridSpan w:val="2"/>
            <w:noWrap/>
            <w:hideMark/>
          </w:tcPr>
          <w:p w14:paraId="1C70239E" w14:textId="77777777" w:rsidR="0009278E" w:rsidRPr="000973F2" w:rsidRDefault="0009278E" w:rsidP="004E64C7">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18"/>
                <w:szCs w:val="18"/>
              </w:rPr>
            </w:pPr>
            <w:r w:rsidRPr="000973F2">
              <w:rPr>
                <w:rFonts w:ascii="Times New Roman" w:eastAsia="Times New Roman" w:hAnsi="Times New Roman" w:cs="Times New Roman"/>
                <w:b/>
                <w:bCs/>
                <w:sz w:val="18"/>
                <w:szCs w:val="18"/>
              </w:rPr>
              <w:t>Industrial Manager</w:t>
            </w:r>
          </w:p>
        </w:tc>
        <w:tc>
          <w:tcPr>
            <w:tcW w:w="1597" w:type="dxa"/>
            <w:gridSpan w:val="2"/>
            <w:hideMark/>
          </w:tcPr>
          <w:p w14:paraId="15131734" w14:textId="7A428BCA" w:rsidR="0009278E" w:rsidRPr="000973F2" w:rsidRDefault="0009278E" w:rsidP="004E64C7">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18"/>
                <w:szCs w:val="18"/>
              </w:rPr>
            </w:pPr>
            <w:r w:rsidRPr="000973F2">
              <w:rPr>
                <w:rFonts w:ascii="Times New Roman" w:eastAsia="Times New Roman" w:hAnsi="Times New Roman" w:cs="Times New Roman"/>
                <w:b/>
                <w:bCs/>
                <w:sz w:val="18"/>
                <w:szCs w:val="18"/>
              </w:rPr>
              <w:t>Industrial Engineer/</w:t>
            </w:r>
            <w:r w:rsidR="004E64C7" w:rsidRPr="000973F2">
              <w:rPr>
                <w:rFonts w:ascii="Times New Roman" w:eastAsia="Times New Roman" w:hAnsi="Times New Roman" w:cs="Times New Roman"/>
                <w:b/>
                <w:bCs/>
                <w:sz w:val="18"/>
                <w:szCs w:val="18"/>
              </w:rPr>
              <w:t xml:space="preserve"> </w:t>
            </w:r>
            <w:r w:rsidRPr="000973F2">
              <w:rPr>
                <w:rFonts w:ascii="Times New Roman" w:eastAsia="Times New Roman" w:hAnsi="Times New Roman" w:cs="Times New Roman"/>
                <w:b/>
                <w:bCs/>
                <w:sz w:val="18"/>
                <w:szCs w:val="18"/>
              </w:rPr>
              <w:t>Technician</w:t>
            </w:r>
          </w:p>
        </w:tc>
        <w:tc>
          <w:tcPr>
            <w:tcW w:w="1598" w:type="dxa"/>
            <w:gridSpan w:val="2"/>
            <w:hideMark/>
          </w:tcPr>
          <w:p w14:paraId="186DDF37" w14:textId="77777777" w:rsidR="0009278E" w:rsidRPr="000973F2" w:rsidRDefault="0009278E" w:rsidP="004E64C7">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18"/>
                <w:szCs w:val="18"/>
              </w:rPr>
            </w:pPr>
            <w:r w:rsidRPr="000973F2">
              <w:rPr>
                <w:rFonts w:ascii="Times New Roman" w:eastAsia="Times New Roman" w:hAnsi="Times New Roman" w:cs="Times New Roman"/>
                <w:b/>
                <w:bCs/>
                <w:sz w:val="18"/>
                <w:szCs w:val="18"/>
              </w:rPr>
              <w:t>Administrative Support</w:t>
            </w:r>
          </w:p>
        </w:tc>
        <w:tc>
          <w:tcPr>
            <w:tcW w:w="1605" w:type="dxa"/>
            <w:gridSpan w:val="2"/>
            <w:vMerge/>
            <w:hideMark/>
          </w:tcPr>
          <w:p w14:paraId="4A18F2BC" w14:textId="77777777" w:rsidR="0009278E" w:rsidRPr="000973F2" w:rsidRDefault="0009278E" w:rsidP="004E64C7">
            <w:pPr>
              <w:spacing w:before="40" w:after="4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18"/>
                <w:szCs w:val="18"/>
              </w:rPr>
            </w:pPr>
          </w:p>
        </w:tc>
      </w:tr>
      <w:tr w:rsidR="008F751E" w:rsidRPr="000973F2" w14:paraId="0D5394A9" w14:textId="77777777" w:rsidTr="004E64C7">
        <w:trPr>
          <w:cantSplit/>
        </w:trPr>
        <w:tc>
          <w:tcPr>
            <w:cnfStyle w:val="001000000000" w:firstRow="0" w:lastRow="0" w:firstColumn="1" w:lastColumn="0" w:oddVBand="0" w:evenVBand="0" w:oddHBand="0" w:evenHBand="0" w:firstRowFirstColumn="0" w:firstRowLastColumn="0" w:lastRowFirstColumn="0" w:lastRowLastColumn="0"/>
            <w:tcW w:w="1335" w:type="dxa"/>
            <w:vMerge/>
            <w:hideMark/>
          </w:tcPr>
          <w:p w14:paraId="33DE5A41" w14:textId="77777777" w:rsidR="0009278E" w:rsidRPr="000973F2" w:rsidRDefault="0009278E" w:rsidP="004E64C7">
            <w:pPr>
              <w:spacing w:before="40" w:after="40"/>
              <w:rPr>
                <w:rFonts w:ascii="Times New Roman" w:eastAsia="Times New Roman" w:hAnsi="Times New Roman" w:cs="Times New Roman"/>
                <w:b/>
                <w:bCs w:val="0"/>
                <w:sz w:val="18"/>
                <w:szCs w:val="18"/>
              </w:rPr>
            </w:pPr>
          </w:p>
        </w:tc>
        <w:tc>
          <w:tcPr>
            <w:tcW w:w="1597" w:type="dxa"/>
            <w:gridSpan w:val="2"/>
            <w:noWrap/>
            <w:hideMark/>
          </w:tcPr>
          <w:p w14:paraId="74393538" w14:textId="77777777" w:rsidR="0009278E" w:rsidRPr="000973F2" w:rsidRDefault="0009278E" w:rsidP="004E64C7">
            <w:pPr>
              <w:spacing w:before="40" w:after="4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sz w:val="18"/>
                <w:szCs w:val="18"/>
              </w:rPr>
            </w:pPr>
            <w:r w:rsidRPr="000973F2">
              <w:rPr>
                <w:rFonts w:ascii="Times New Roman" w:eastAsia="Times New Roman" w:hAnsi="Times New Roman" w:cs="Times New Roman"/>
                <w:b/>
                <w:bCs/>
                <w:sz w:val="18"/>
                <w:szCs w:val="18"/>
              </w:rPr>
              <w:t xml:space="preserve">$112.23 </w:t>
            </w:r>
          </w:p>
        </w:tc>
        <w:tc>
          <w:tcPr>
            <w:tcW w:w="1598" w:type="dxa"/>
            <w:gridSpan w:val="2"/>
            <w:noWrap/>
            <w:hideMark/>
          </w:tcPr>
          <w:p w14:paraId="51BB9BBB" w14:textId="77777777" w:rsidR="0009278E" w:rsidRPr="000973F2" w:rsidRDefault="0009278E" w:rsidP="004E64C7">
            <w:pPr>
              <w:spacing w:before="40" w:after="4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sz w:val="18"/>
                <w:szCs w:val="18"/>
              </w:rPr>
            </w:pPr>
            <w:r w:rsidRPr="000973F2">
              <w:rPr>
                <w:rFonts w:ascii="Times New Roman" w:eastAsia="Times New Roman" w:hAnsi="Times New Roman" w:cs="Times New Roman"/>
                <w:b/>
                <w:bCs/>
                <w:sz w:val="18"/>
                <w:szCs w:val="18"/>
              </w:rPr>
              <w:t xml:space="preserve">$87.45 </w:t>
            </w:r>
          </w:p>
        </w:tc>
        <w:tc>
          <w:tcPr>
            <w:tcW w:w="1597" w:type="dxa"/>
            <w:gridSpan w:val="2"/>
            <w:noWrap/>
            <w:hideMark/>
          </w:tcPr>
          <w:p w14:paraId="25522E7A" w14:textId="77777777" w:rsidR="0009278E" w:rsidRPr="000973F2" w:rsidRDefault="0009278E" w:rsidP="004E64C7">
            <w:pPr>
              <w:spacing w:before="40" w:after="4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sz w:val="18"/>
                <w:szCs w:val="18"/>
              </w:rPr>
            </w:pPr>
            <w:r w:rsidRPr="000973F2">
              <w:rPr>
                <w:rFonts w:ascii="Times New Roman" w:eastAsia="Times New Roman" w:hAnsi="Times New Roman" w:cs="Times New Roman"/>
                <w:b/>
                <w:bCs/>
                <w:sz w:val="18"/>
                <w:szCs w:val="18"/>
              </w:rPr>
              <w:t xml:space="preserve">$71.45 </w:t>
            </w:r>
          </w:p>
        </w:tc>
        <w:tc>
          <w:tcPr>
            <w:tcW w:w="1598" w:type="dxa"/>
            <w:gridSpan w:val="2"/>
            <w:noWrap/>
            <w:hideMark/>
          </w:tcPr>
          <w:p w14:paraId="5CCDB41E" w14:textId="77777777" w:rsidR="0009278E" w:rsidRPr="000973F2" w:rsidRDefault="0009278E" w:rsidP="004E64C7">
            <w:pPr>
              <w:spacing w:before="40" w:after="4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sz w:val="18"/>
                <w:szCs w:val="18"/>
              </w:rPr>
            </w:pPr>
            <w:r w:rsidRPr="000973F2">
              <w:rPr>
                <w:rFonts w:ascii="Times New Roman" w:eastAsia="Times New Roman" w:hAnsi="Times New Roman" w:cs="Times New Roman"/>
                <w:b/>
                <w:bCs/>
                <w:sz w:val="18"/>
                <w:szCs w:val="18"/>
              </w:rPr>
              <w:t xml:space="preserve">$36.28 </w:t>
            </w:r>
          </w:p>
        </w:tc>
        <w:tc>
          <w:tcPr>
            <w:tcW w:w="1605" w:type="dxa"/>
            <w:gridSpan w:val="2"/>
            <w:vMerge/>
            <w:hideMark/>
          </w:tcPr>
          <w:p w14:paraId="5A83CCC5" w14:textId="77777777" w:rsidR="0009278E" w:rsidRPr="000973F2" w:rsidRDefault="0009278E" w:rsidP="004E64C7">
            <w:pPr>
              <w:spacing w:before="40" w:after="4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sz w:val="18"/>
                <w:szCs w:val="18"/>
              </w:rPr>
            </w:pPr>
          </w:p>
        </w:tc>
      </w:tr>
      <w:tr w:rsidR="008F751E" w:rsidRPr="000973F2" w14:paraId="3984BB7F" w14:textId="77777777" w:rsidTr="004E64C7">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1335" w:type="dxa"/>
            <w:vMerge/>
            <w:hideMark/>
          </w:tcPr>
          <w:p w14:paraId="5A7ACADE" w14:textId="77777777" w:rsidR="0009278E" w:rsidRPr="000973F2" w:rsidRDefault="0009278E" w:rsidP="004E64C7">
            <w:pPr>
              <w:spacing w:before="40" w:after="40"/>
              <w:rPr>
                <w:rFonts w:ascii="Times New Roman" w:eastAsia="Times New Roman" w:hAnsi="Times New Roman" w:cs="Times New Roman"/>
                <w:b/>
                <w:bCs w:val="0"/>
                <w:sz w:val="18"/>
                <w:szCs w:val="18"/>
              </w:rPr>
            </w:pPr>
          </w:p>
        </w:tc>
        <w:tc>
          <w:tcPr>
            <w:tcW w:w="798" w:type="dxa"/>
            <w:tcMar>
              <w:left w:w="14" w:type="dxa"/>
              <w:right w:w="14" w:type="dxa"/>
            </w:tcMar>
            <w:hideMark/>
          </w:tcPr>
          <w:p w14:paraId="3F6578F7" w14:textId="0E97EBDC" w:rsidR="0009278E" w:rsidRPr="000973F2" w:rsidRDefault="0009278E" w:rsidP="004E64C7">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18"/>
                <w:szCs w:val="18"/>
              </w:rPr>
            </w:pPr>
            <w:r w:rsidRPr="000973F2">
              <w:rPr>
                <w:rFonts w:ascii="Times New Roman" w:eastAsia="Times New Roman" w:hAnsi="Times New Roman" w:cs="Times New Roman"/>
                <w:b/>
                <w:bCs/>
                <w:sz w:val="18"/>
                <w:szCs w:val="18"/>
              </w:rPr>
              <w:t xml:space="preserve">Initial </w:t>
            </w:r>
            <w:r w:rsidR="00132320" w:rsidRPr="000973F2">
              <w:rPr>
                <w:rFonts w:ascii="Times New Roman" w:eastAsia="Times New Roman" w:hAnsi="Times New Roman" w:cs="Times New Roman"/>
                <w:b/>
                <w:bCs/>
                <w:sz w:val="18"/>
                <w:szCs w:val="18"/>
              </w:rPr>
              <w:t>Year Hours</w:t>
            </w:r>
          </w:p>
        </w:tc>
        <w:tc>
          <w:tcPr>
            <w:tcW w:w="799" w:type="dxa"/>
            <w:tcMar>
              <w:left w:w="14" w:type="dxa"/>
              <w:right w:w="14" w:type="dxa"/>
            </w:tcMar>
            <w:hideMark/>
          </w:tcPr>
          <w:p w14:paraId="32DE69F5" w14:textId="77777777" w:rsidR="0009278E" w:rsidRPr="000973F2" w:rsidRDefault="0009278E" w:rsidP="004E64C7">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18"/>
                <w:szCs w:val="18"/>
              </w:rPr>
            </w:pPr>
            <w:r w:rsidRPr="000973F2">
              <w:rPr>
                <w:rFonts w:ascii="Times New Roman" w:eastAsia="Times New Roman" w:hAnsi="Times New Roman" w:cs="Times New Roman"/>
                <w:b/>
                <w:bCs/>
                <w:sz w:val="18"/>
                <w:szCs w:val="18"/>
              </w:rPr>
              <w:t>Subseq. Year Hours</w:t>
            </w:r>
          </w:p>
        </w:tc>
        <w:tc>
          <w:tcPr>
            <w:tcW w:w="799" w:type="dxa"/>
            <w:tcMar>
              <w:left w:w="14" w:type="dxa"/>
              <w:right w:w="14" w:type="dxa"/>
            </w:tcMar>
            <w:hideMark/>
          </w:tcPr>
          <w:p w14:paraId="50978974" w14:textId="37262258" w:rsidR="0009278E" w:rsidRPr="000973F2" w:rsidRDefault="0009278E" w:rsidP="004E64C7">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18"/>
                <w:szCs w:val="18"/>
              </w:rPr>
            </w:pPr>
            <w:r w:rsidRPr="000973F2">
              <w:rPr>
                <w:rFonts w:ascii="Times New Roman" w:eastAsia="Times New Roman" w:hAnsi="Times New Roman" w:cs="Times New Roman"/>
                <w:b/>
                <w:bCs/>
                <w:sz w:val="18"/>
                <w:szCs w:val="18"/>
              </w:rPr>
              <w:t xml:space="preserve">Initial </w:t>
            </w:r>
            <w:r w:rsidR="00132320" w:rsidRPr="000973F2">
              <w:rPr>
                <w:rFonts w:ascii="Times New Roman" w:eastAsia="Times New Roman" w:hAnsi="Times New Roman" w:cs="Times New Roman"/>
                <w:b/>
                <w:bCs/>
                <w:sz w:val="18"/>
                <w:szCs w:val="18"/>
              </w:rPr>
              <w:t>Year Hours</w:t>
            </w:r>
          </w:p>
        </w:tc>
        <w:tc>
          <w:tcPr>
            <w:tcW w:w="799" w:type="dxa"/>
            <w:tcMar>
              <w:left w:w="14" w:type="dxa"/>
              <w:right w:w="14" w:type="dxa"/>
            </w:tcMar>
            <w:hideMark/>
          </w:tcPr>
          <w:p w14:paraId="60810805" w14:textId="77777777" w:rsidR="0009278E" w:rsidRPr="000973F2" w:rsidRDefault="0009278E" w:rsidP="004E64C7">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18"/>
                <w:szCs w:val="18"/>
              </w:rPr>
            </w:pPr>
            <w:r w:rsidRPr="000973F2">
              <w:rPr>
                <w:rFonts w:ascii="Times New Roman" w:eastAsia="Times New Roman" w:hAnsi="Times New Roman" w:cs="Times New Roman"/>
                <w:b/>
                <w:bCs/>
                <w:sz w:val="18"/>
                <w:szCs w:val="18"/>
              </w:rPr>
              <w:t>Subseq. Year Hours</w:t>
            </w:r>
          </w:p>
        </w:tc>
        <w:tc>
          <w:tcPr>
            <w:tcW w:w="798" w:type="dxa"/>
            <w:tcMar>
              <w:left w:w="14" w:type="dxa"/>
              <w:right w:w="14" w:type="dxa"/>
            </w:tcMar>
            <w:hideMark/>
          </w:tcPr>
          <w:p w14:paraId="78F782AB" w14:textId="2374C8B3" w:rsidR="0009278E" w:rsidRPr="000973F2" w:rsidRDefault="0009278E" w:rsidP="004E64C7">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18"/>
                <w:szCs w:val="18"/>
              </w:rPr>
            </w:pPr>
            <w:r w:rsidRPr="000973F2">
              <w:rPr>
                <w:rFonts w:ascii="Times New Roman" w:eastAsia="Times New Roman" w:hAnsi="Times New Roman" w:cs="Times New Roman"/>
                <w:b/>
                <w:bCs/>
                <w:sz w:val="18"/>
                <w:szCs w:val="18"/>
              </w:rPr>
              <w:t xml:space="preserve">Initial </w:t>
            </w:r>
            <w:r w:rsidR="00132320" w:rsidRPr="000973F2">
              <w:rPr>
                <w:rFonts w:ascii="Times New Roman" w:eastAsia="Times New Roman" w:hAnsi="Times New Roman" w:cs="Times New Roman"/>
                <w:b/>
                <w:bCs/>
                <w:sz w:val="18"/>
                <w:szCs w:val="18"/>
              </w:rPr>
              <w:t>Year Hours</w:t>
            </w:r>
          </w:p>
        </w:tc>
        <w:tc>
          <w:tcPr>
            <w:tcW w:w="799" w:type="dxa"/>
            <w:tcMar>
              <w:left w:w="14" w:type="dxa"/>
              <w:right w:w="14" w:type="dxa"/>
            </w:tcMar>
            <w:hideMark/>
          </w:tcPr>
          <w:p w14:paraId="4A5CCB90" w14:textId="77777777" w:rsidR="0009278E" w:rsidRPr="000973F2" w:rsidRDefault="0009278E" w:rsidP="004E64C7">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18"/>
                <w:szCs w:val="18"/>
              </w:rPr>
            </w:pPr>
            <w:r w:rsidRPr="000973F2">
              <w:rPr>
                <w:rFonts w:ascii="Times New Roman" w:eastAsia="Times New Roman" w:hAnsi="Times New Roman" w:cs="Times New Roman"/>
                <w:b/>
                <w:bCs/>
                <w:sz w:val="18"/>
                <w:szCs w:val="18"/>
              </w:rPr>
              <w:t>Subseq. Year Hours</w:t>
            </w:r>
          </w:p>
        </w:tc>
        <w:tc>
          <w:tcPr>
            <w:tcW w:w="799" w:type="dxa"/>
            <w:tcMar>
              <w:left w:w="14" w:type="dxa"/>
              <w:right w:w="14" w:type="dxa"/>
            </w:tcMar>
            <w:hideMark/>
          </w:tcPr>
          <w:p w14:paraId="6CAE8252" w14:textId="20B26EC2" w:rsidR="0009278E" w:rsidRPr="000973F2" w:rsidRDefault="0009278E" w:rsidP="004E64C7">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18"/>
                <w:szCs w:val="18"/>
              </w:rPr>
            </w:pPr>
            <w:r w:rsidRPr="000973F2">
              <w:rPr>
                <w:rFonts w:ascii="Times New Roman" w:eastAsia="Times New Roman" w:hAnsi="Times New Roman" w:cs="Times New Roman"/>
                <w:b/>
                <w:bCs/>
                <w:sz w:val="18"/>
                <w:szCs w:val="18"/>
              </w:rPr>
              <w:t xml:space="preserve">Initial </w:t>
            </w:r>
            <w:r w:rsidR="00132320" w:rsidRPr="000973F2">
              <w:rPr>
                <w:rFonts w:ascii="Times New Roman" w:eastAsia="Times New Roman" w:hAnsi="Times New Roman" w:cs="Times New Roman"/>
                <w:b/>
                <w:bCs/>
                <w:sz w:val="18"/>
                <w:szCs w:val="18"/>
              </w:rPr>
              <w:t>Year Hours</w:t>
            </w:r>
          </w:p>
        </w:tc>
        <w:tc>
          <w:tcPr>
            <w:tcW w:w="799" w:type="dxa"/>
            <w:tcMar>
              <w:left w:w="14" w:type="dxa"/>
              <w:right w:w="14" w:type="dxa"/>
            </w:tcMar>
            <w:hideMark/>
          </w:tcPr>
          <w:p w14:paraId="7DCA730E" w14:textId="77777777" w:rsidR="0009278E" w:rsidRPr="000973F2" w:rsidRDefault="0009278E" w:rsidP="004E64C7">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18"/>
                <w:szCs w:val="18"/>
              </w:rPr>
            </w:pPr>
            <w:r w:rsidRPr="000973F2">
              <w:rPr>
                <w:rFonts w:ascii="Times New Roman" w:eastAsia="Times New Roman" w:hAnsi="Times New Roman" w:cs="Times New Roman"/>
                <w:b/>
                <w:bCs/>
                <w:sz w:val="18"/>
                <w:szCs w:val="18"/>
              </w:rPr>
              <w:t>Subseq. Year Hours</w:t>
            </w:r>
          </w:p>
        </w:tc>
        <w:tc>
          <w:tcPr>
            <w:tcW w:w="802" w:type="dxa"/>
            <w:tcMar>
              <w:left w:w="14" w:type="dxa"/>
              <w:right w:w="14" w:type="dxa"/>
            </w:tcMar>
            <w:hideMark/>
          </w:tcPr>
          <w:p w14:paraId="5AACD63F" w14:textId="77777777" w:rsidR="0009278E" w:rsidRPr="000973F2" w:rsidRDefault="0009278E" w:rsidP="004E64C7">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18"/>
                <w:szCs w:val="18"/>
              </w:rPr>
            </w:pPr>
            <w:r w:rsidRPr="000973F2">
              <w:rPr>
                <w:rFonts w:ascii="Times New Roman" w:eastAsia="Times New Roman" w:hAnsi="Times New Roman" w:cs="Times New Roman"/>
                <w:b/>
                <w:bCs/>
                <w:sz w:val="18"/>
                <w:szCs w:val="18"/>
              </w:rPr>
              <w:t>Initial Year</w:t>
            </w:r>
          </w:p>
        </w:tc>
        <w:tc>
          <w:tcPr>
            <w:tcW w:w="803" w:type="dxa"/>
            <w:tcMar>
              <w:left w:w="14" w:type="dxa"/>
              <w:right w:w="14" w:type="dxa"/>
            </w:tcMar>
            <w:hideMark/>
          </w:tcPr>
          <w:p w14:paraId="33A419F6" w14:textId="77777777" w:rsidR="0009278E" w:rsidRPr="000973F2" w:rsidRDefault="0009278E" w:rsidP="004E64C7">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18"/>
                <w:szCs w:val="18"/>
              </w:rPr>
            </w:pPr>
            <w:r w:rsidRPr="000973F2">
              <w:rPr>
                <w:rFonts w:ascii="Times New Roman" w:eastAsia="Times New Roman" w:hAnsi="Times New Roman" w:cs="Times New Roman"/>
                <w:b/>
                <w:bCs/>
                <w:sz w:val="18"/>
                <w:szCs w:val="18"/>
              </w:rPr>
              <w:t>Subseq. Year</w:t>
            </w:r>
          </w:p>
        </w:tc>
      </w:tr>
      <w:tr w:rsidR="005E443D" w:rsidRPr="000973F2" w14:paraId="7B1EB33E" w14:textId="77777777" w:rsidTr="004E64C7">
        <w:trPr>
          <w:cantSplit/>
        </w:trPr>
        <w:tc>
          <w:tcPr>
            <w:cnfStyle w:val="001000000000" w:firstRow="0" w:lastRow="0" w:firstColumn="1" w:lastColumn="0" w:oddVBand="0" w:evenVBand="0" w:oddHBand="0" w:evenHBand="0" w:firstRowFirstColumn="0" w:firstRowLastColumn="0" w:lastRowFirstColumn="0" w:lastRowLastColumn="0"/>
            <w:tcW w:w="1335" w:type="dxa"/>
            <w:tcMar>
              <w:right w:w="14" w:type="dxa"/>
            </w:tcMar>
            <w:hideMark/>
          </w:tcPr>
          <w:p w14:paraId="3419DBC4" w14:textId="77777777" w:rsidR="005E443D" w:rsidRPr="000973F2" w:rsidRDefault="005E443D" w:rsidP="004E64C7">
            <w:pPr>
              <w:spacing w:before="40" w:after="4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Planning</w:t>
            </w:r>
          </w:p>
        </w:tc>
        <w:tc>
          <w:tcPr>
            <w:tcW w:w="798" w:type="dxa"/>
            <w:noWrap/>
            <w:hideMark/>
          </w:tcPr>
          <w:p w14:paraId="5F10C5DE" w14:textId="23E97836" w:rsidR="005E443D" w:rsidRPr="000973F2" w:rsidRDefault="004E64C7" w:rsidP="004E64C7">
            <w:pPr>
              <w:spacing w:before="40" w:after="4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w:t>
            </w:r>
          </w:p>
        </w:tc>
        <w:tc>
          <w:tcPr>
            <w:tcW w:w="799" w:type="dxa"/>
            <w:noWrap/>
            <w:hideMark/>
          </w:tcPr>
          <w:p w14:paraId="2183C36C" w14:textId="1F87C2D1" w:rsidR="005E443D" w:rsidRPr="000973F2" w:rsidRDefault="004E64C7" w:rsidP="004E64C7">
            <w:pPr>
              <w:spacing w:before="40" w:after="4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w:t>
            </w:r>
          </w:p>
        </w:tc>
        <w:tc>
          <w:tcPr>
            <w:tcW w:w="799" w:type="dxa"/>
            <w:noWrap/>
            <w:hideMark/>
          </w:tcPr>
          <w:p w14:paraId="56ECBDAE" w14:textId="3DA378D7" w:rsidR="005E443D" w:rsidRPr="000973F2" w:rsidRDefault="004E64C7" w:rsidP="004E64C7">
            <w:pPr>
              <w:spacing w:before="40" w:after="4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w:t>
            </w:r>
          </w:p>
        </w:tc>
        <w:tc>
          <w:tcPr>
            <w:tcW w:w="799" w:type="dxa"/>
            <w:noWrap/>
            <w:hideMark/>
          </w:tcPr>
          <w:p w14:paraId="5335A5EF" w14:textId="45F97241" w:rsidR="005E443D" w:rsidRPr="000973F2" w:rsidRDefault="004E64C7" w:rsidP="004E64C7">
            <w:pPr>
              <w:spacing w:before="40" w:after="4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w:t>
            </w:r>
          </w:p>
        </w:tc>
        <w:tc>
          <w:tcPr>
            <w:tcW w:w="798" w:type="dxa"/>
            <w:noWrap/>
            <w:hideMark/>
          </w:tcPr>
          <w:p w14:paraId="4C2BA6FA" w14:textId="72B94838" w:rsidR="005E443D" w:rsidRPr="000973F2" w:rsidRDefault="004E64C7" w:rsidP="004E64C7">
            <w:pPr>
              <w:spacing w:before="40" w:after="4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w:t>
            </w:r>
          </w:p>
        </w:tc>
        <w:tc>
          <w:tcPr>
            <w:tcW w:w="799" w:type="dxa"/>
            <w:noWrap/>
            <w:hideMark/>
          </w:tcPr>
          <w:p w14:paraId="41B1A6E7" w14:textId="311C2E2B" w:rsidR="005E443D" w:rsidRPr="000973F2" w:rsidRDefault="004E64C7" w:rsidP="004E64C7">
            <w:pPr>
              <w:spacing w:before="40" w:after="4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w:t>
            </w:r>
          </w:p>
        </w:tc>
        <w:tc>
          <w:tcPr>
            <w:tcW w:w="799" w:type="dxa"/>
            <w:noWrap/>
            <w:hideMark/>
          </w:tcPr>
          <w:p w14:paraId="575CBCD7" w14:textId="79062F54" w:rsidR="005E443D" w:rsidRPr="000973F2" w:rsidRDefault="004E64C7" w:rsidP="004E64C7">
            <w:pPr>
              <w:spacing w:before="40" w:after="4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w:t>
            </w:r>
          </w:p>
        </w:tc>
        <w:tc>
          <w:tcPr>
            <w:tcW w:w="799" w:type="dxa"/>
            <w:noWrap/>
            <w:hideMark/>
          </w:tcPr>
          <w:p w14:paraId="1BC5648A" w14:textId="6382D4D7" w:rsidR="005E443D" w:rsidRPr="000973F2" w:rsidRDefault="004E64C7" w:rsidP="004E64C7">
            <w:pPr>
              <w:spacing w:before="40" w:after="4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w:t>
            </w:r>
          </w:p>
        </w:tc>
        <w:tc>
          <w:tcPr>
            <w:tcW w:w="802" w:type="dxa"/>
            <w:noWrap/>
            <w:hideMark/>
          </w:tcPr>
          <w:p w14:paraId="7EAED334" w14:textId="0F303824" w:rsidR="005E443D" w:rsidRPr="000973F2" w:rsidRDefault="004E64C7" w:rsidP="004E64C7">
            <w:pPr>
              <w:spacing w:before="40" w:after="4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w:t>
            </w:r>
          </w:p>
        </w:tc>
        <w:tc>
          <w:tcPr>
            <w:tcW w:w="803" w:type="dxa"/>
            <w:noWrap/>
            <w:hideMark/>
          </w:tcPr>
          <w:p w14:paraId="13E96043" w14:textId="7010F6E4" w:rsidR="005E443D" w:rsidRPr="000973F2" w:rsidRDefault="004E64C7" w:rsidP="004E64C7">
            <w:pPr>
              <w:tabs>
                <w:tab w:val="decimal" w:pos="406"/>
              </w:tabs>
              <w:spacing w:before="40" w:after="4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w:t>
            </w:r>
          </w:p>
        </w:tc>
      </w:tr>
      <w:tr w:rsidR="005E443D" w:rsidRPr="000973F2" w14:paraId="50E32F67" w14:textId="77777777" w:rsidTr="004E64C7">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1335" w:type="dxa"/>
            <w:tcMar>
              <w:right w:w="14" w:type="dxa"/>
            </w:tcMar>
            <w:hideMark/>
          </w:tcPr>
          <w:p w14:paraId="63CF479C" w14:textId="77777777" w:rsidR="005E443D" w:rsidRPr="000973F2" w:rsidRDefault="005E443D" w:rsidP="004E64C7">
            <w:pPr>
              <w:spacing w:before="40" w:after="4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QA/QC</w:t>
            </w:r>
          </w:p>
        </w:tc>
        <w:tc>
          <w:tcPr>
            <w:tcW w:w="798" w:type="dxa"/>
            <w:noWrap/>
            <w:hideMark/>
          </w:tcPr>
          <w:p w14:paraId="21FB0FB4" w14:textId="06FADB3F" w:rsidR="005E443D" w:rsidRPr="000973F2" w:rsidRDefault="004E64C7" w:rsidP="004E64C7">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w:t>
            </w:r>
          </w:p>
        </w:tc>
        <w:tc>
          <w:tcPr>
            <w:tcW w:w="799" w:type="dxa"/>
            <w:noWrap/>
            <w:hideMark/>
          </w:tcPr>
          <w:p w14:paraId="379632AD" w14:textId="4DDDF712" w:rsidR="005E443D" w:rsidRPr="000973F2" w:rsidRDefault="004E64C7" w:rsidP="004E64C7">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w:t>
            </w:r>
          </w:p>
        </w:tc>
        <w:tc>
          <w:tcPr>
            <w:tcW w:w="799" w:type="dxa"/>
            <w:noWrap/>
            <w:hideMark/>
          </w:tcPr>
          <w:p w14:paraId="1822D8DD" w14:textId="0AE5FD82" w:rsidR="005E443D" w:rsidRPr="000973F2" w:rsidRDefault="004E64C7" w:rsidP="004E64C7">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w:t>
            </w:r>
          </w:p>
        </w:tc>
        <w:tc>
          <w:tcPr>
            <w:tcW w:w="799" w:type="dxa"/>
            <w:noWrap/>
            <w:hideMark/>
          </w:tcPr>
          <w:p w14:paraId="0BE64ABD" w14:textId="5A11C5AC" w:rsidR="005E443D" w:rsidRPr="000973F2" w:rsidRDefault="004E64C7" w:rsidP="004E64C7">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w:t>
            </w:r>
          </w:p>
        </w:tc>
        <w:tc>
          <w:tcPr>
            <w:tcW w:w="798" w:type="dxa"/>
            <w:noWrap/>
            <w:hideMark/>
          </w:tcPr>
          <w:p w14:paraId="1CCDEDD5" w14:textId="091A42BA" w:rsidR="005E443D" w:rsidRPr="000973F2" w:rsidRDefault="004E64C7" w:rsidP="004E64C7">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w:t>
            </w:r>
          </w:p>
        </w:tc>
        <w:tc>
          <w:tcPr>
            <w:tcW w:w="799" w:type="dxa"/>
            <w:noWrap/>
            <w:hideMark/>
          </w:tcPr>
          <w:p w14:paraId="2329CE8F" w14:textId="4706BF3C" w:rsidR="005E443D" w:rsidRPr="000973F2" w:rsidRDefault="004E64C7" w:rsidP="004E64C7">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w:t>
            </w:r>
          </w:p>
        </w:tc>
        <w:tc>
          <w:tcPr>
            <w:tcW w:w="799" w:type="dxa"/>
            <w:noWrap/>
            <w:hideMark/>
          </w:tcPr>
          <w:p w14:paraId="15E6170C" w14:textId="71950224" w:rsidR="005E443D" w:rsidRPr="000973F2" w:rsidRDefault="004E64C7" w:rsidP="004E64C7">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w:t>
            </w:r>
          </w:p>
        </w:tc>
        <w:tc>
          <w:tcPr>
            <w:tcW w:w="799" w:type="dxa"/>
            <w:noWrap/>
            <w:hideMark/>
          </w:tcPr>
          <w:p w14:paraId="370EEBB2" w14:textId="58C16FF9" w:rsidR="005E443D" w:rsidRPr="000973F2" w:rsidRDefault="004E64C7" w:rsidP="004E64C7">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w:t>
            </w:r>
          </w:p>
        </w:tc>
        <w:tc>
          <w:tcPr>
            <w:tcW w:w="802" w:type="dxa"/>
            <w:noWrap/>
            <w:hideMark/>
          </w:tcPr>
          <w:p w14:paraId="5274D851" w14:textId="40660701" w:rsidR="005E443D" w:rsidRPr="000973F2" w:rsidRDefault="004E64C7" w:rsidP="004E64C7">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w:t>
            </w:r>
          </w:p>
        </w:tc>
        <w:tc>
          <w:tcPr>
            <w:tcW w:w="803" w:type="dxa"/>
            <w:noWrap/>
            <w:hideMark/>
          </w:tcPr>
          <w:p w14:paraId="679B6E4B" w14:textId="77147294" w:rsidR="005E443D" w:rsidRPr="000973F2" w:rsidRDefault="004E64C7" w:rsidP="004E64C7">
            <w:pPr>
              <w:tabs>
                <w:tab w:val="decimal" w:pos="406"/>
              </w:tabs>
              <w:spacing w:before="40" w:after="4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w:t>
            </w:r>
          </w:p>
        </w:tc>
      </w:tr>
      <w:tr w:rsidR="00E4332A" w:rsidRPr="000973F2" w14:paraId="36DEE679" w14:textId="77777777" w:rsidTr="004E64C7">
        <w:trPr>
          <w:cantSplit/>
        </w:trPr>
        <w:tc>
          <w:tcPr>
            <w:cnfStyle w:val="001000000000" w:firstRow="0" w:lastRow="0" w:firstColumn="1" w:lastColumn="0" w:oddVBand="0" w:evenVBand="0" w:oddHBand="0" w:evenHBand="0" w:firstRowFirstColumn="0" w:firstRowLastColumn="0" w:lastRowFirstColumn="0" w:lastRowLastColumn="0"/>
            <w:tcW w:w="1335" w:type="dxa"/>
            <w:tcMar>
              <w:right w:w="14" w:type="dxa"/>
            </w:tcMar>
            <w:hideMark/>
          </w:tcPr>
          <w:p w14:paraId="369E5B6F" w14:textId="77777777" w:rsidR="0009278E" w:rsidRPr="000973F2" w:rsidRDefault="0009278E" w:rsidP="004E64C7">
            <w:pPr>
              <w:spacing w:before="40" w:after="4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Recordkeeping</w:t>
            </w:r>
          </w:p>
        </w:tc>
        <w:tc>
          <w:tcPr>
            <w:tcW w:w="798" w:type="dxa"/>
            <w:noWrap/>
            <w:hideMark/>
          </w:tcPr>
          <w:p w14:paraId="74268311" w14:textId="77777777" w:rsidR="0009278E" w:rsidRPr="000973F2" w:rsidRDefault="0009278E" w:rsidP="004E64C7">
            <w:pPr>
              <w:spacing w:before="40" w:after="4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0</w:t>
            </w:r>
          </w:p>
        </w:tc>
        <w:tc>
          <w:tcPr>
            <w:tcW w:w="799" w:type="dxa"/>
            <w:noWrap/>
            <w:hideMark/>
          </w:tcPr>
          <w:p w14:paraId="047F29E7" w14:textId="77777777" w:rsidR="0009278E" w:rsidRPr="000973F2" w:rsidRDefault="0009278E" w:rsidP="004E64C7">
            <w:pPr>
              <w:spacing w:before="40" w:after="4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0</w:t>
            </w:r>
          </w:p>
        </w:tc>
        <w:tc>
          <w:tcPr>
            <w:tcW w:w="799" w:type="dxa"/>
            <w:noWrap/>
            <w:hideMark/>
          </w:tcPr>
          <w:p w14:paraId="1D7726D0" w14:textId="77777777" w:rsidR="0009278E" w:rsidRPr="000973F2" w:rsidRDefault="0009278E" w:rsidP="004E64C7">
            <w:pPr>
              <w:spacing w:before="40" w:after="4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0</w:t>
            </w:r>
          </w:p>
        </w:tc>
        <w:tc>
          <w:tcPr>
            <w:tcW w:w="799" w:type="dxa"/>
            <w:noWrap/>
            <w:hideMark/>
          </w:tcPr>
          <w:p w14:paraId="7F18AD42" w14:textId="77777777" w:rsidR="0009278E" w:rsidRPr="000973F2" w:rsidRDefault="0009278E" w:rsidP="004E64C7">
            <w:pPr>
              <w:spacing w:before="40" w:after="4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0.5</w:t>
            </w:r>
          </w:p>
        </w:tc>
        <w:tc>
          <w:tcPr>
            <w:tcW w:w="798" w:type="dxa"/>
            <w:noWrap/>
            <w:hideMark/>
          </w:tcPr>
          <w:p w14:paraId="70BBC9EA" w14:textId="77777777" w:rsidR="0009278E" w:rsidRPr="000973F2" w:rsidRDefault="0009278E" w:rsidP="004E64C7">
            <w:pPr>
              <w:spacing w:before="40" w:after="4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0</w:t>
            </w:r>
          </w:p>
        </w:tc>
        <w:tc>
          <w:tcPr>
            <w:tcW w:w="799" w:type="dxa"/>
            <w:noWrap/>
            <w:hideMark/>
          </w:tcPr>
          <w:p w14:paraId="6F3E0978" w14:textId="77777777" w:rsidR="0009278E" w:rsidRPr="000973F2" w:rsidRDefault="0009278E" w:rsidP="004E64C7">
            <w:pPr>
              <w:spacing w:before="40" w:after="4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2</w:t>
            </w:r>
          </w:p>
        </w:tc>
        <w:tc>
          <w:tcPr>
            <w:tcW w:w="799" w:type="dxa"/>
            <w:noWrap/>
            <w:hideMark/>
          </w:tcPr>
          <w:p w14:paraId="39FE3D5A" w14:textId="77777777" w:rsidR="0009278E" w:rsidRPr="000973F2" w:rsidRDefault="0009278E" w:rsidP="004E64C7">
            <w:pPr>
              <w:spacing w:before="40" w:after="4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0</w:t>
            </w:r>
          </w:p>
        </w:tc>
        <w:tc>
          <w:tcPr>
            <w:tcW w:w="799" w:type="dxa"/>
            <w:noWrap/>
            <w:hideMark/>
          </w:tcPr>
          <w:p w14:paraId="698469CE" w14:textId="77777777" w:rsidR="0009278E" w:rsidRPr="000973F2" w:rsidRDefault="0009278E" w:rsidP="004E64C7">
            <w:pPr>
              <w:spacing w:before="40" w:after="4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0.5</w:t>
            </w:r>
          </w:p>
        </w:tc>
        <w:tc>
          <w:tcPr>
            <w:tcW w:w="802" w:type="dxa"/>
            <w:noWrap/>
            <w:hideMark/>
          </w:tcPr>
          <w:p w14:paraId="17DBE1F3" w14:textId="62468778" w:rsidR="0009278E" w:rsidRPr="000973F2" w:rsidRDefault="0009278E" w:rsidP="004E64C7">
            <w:pPr>
              <w:spacing w:before="40" w:after="4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$0</w:t>
            </w:r>
          </w:p>
        </w:tc>
        <w:tc>
          <w:tcPr>
            <w:tcW w:w="803" w:type="dxa"/>
            <w:noWrap/>
            <w:hideMark/>
          </w:tcPr>
          <w:p w14:paraId="6977E025" w14:textId="46C7E96D" w:rsidR="0009278E" w:rsidRPr="000973F2" w:rsidRDefault="0009278E" w:rsidP="004E64C7">
            <w:pPr>
              <w:tabs>
                <w:tab w:val="decimal" w:pos="406"/>
              </w:tabs>
              <w:spacing w:before="40" w:after="4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$205</w:t>
            </w:r>
          </w:p>
        </w:tc>
      </w:tr>
      <w:tr w:rsidR="005E443D" w:rsidRPr="000973F2" w14:paraId="1E33ED15" w14:textId="77777777" w:rsidTr="004E64C7">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1335" w:type="dxa"/>
            <w:tcMar>
              <w:right w:w="14" w:type="dxa"/>
            </w:tcMar>
            <w:hideMark/>
          </w:tcPr>
          <w:p w14:paraId="203C938A" w14:textId="77777777" w:rsidR="005E443D" w:rsidRPr="000973F2" w:rsidRDefault="005E443D" w:rsidP="004E64C7">
            <w:pPr>
              <w:spacing w:before="40" w:after="4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Sampling and Analysis (Calculations)</w:t>
            </w:r>
          </w:p>
        </w:tc>
        <w:tc>
          <w:tcPr>
            <w:tcW w:w="798" w:type="dxa"/>
            <w:noWrap/>
            <w:hideMark/>
          </w:tcPr>
          <w:p w14:paraId="4EF4D7F8" w14:textId="557FCF99" w:rsidR="005E443D" w:rsidRPr="000973F2" w:rsidRDefault="004E64C7" w:rsidP="004E64C7">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w:t>
            </w:r>
          </w:p>
        </w:tc>
        <w:tc>
          <w:tcPr>
            <w:tcW w:w="799" w:type="dxa"/>
            <w:noWrap/>
            <w:hideMark/>
          </w:tcPr>
          <w:p w14:paraId="220E1FD6" w14:textId="35B5E8B1" w:rsidR="005E443D" w:rsidRPr="000973F2" w:rsidRDefault="004E64C7" w:rsidP="004E64C7">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w:t>
            </w:r>
          </w:p>
        </w:tc>
        <w:tc>
          <w:tcPr>
            <w:tcW w:w="799" w:type="dxa"/>
            <w:noWrap/>
            <w:hideMark/>
          </w:tcPr>
          <w:p w14:paraId="12E806F2" w14:textId="5DDE3FBA" w:rsidR="005E443D" w:rsidRPr="000973F2" w:rsidRDefault="004E64C7" w:rsidP="004E64C7">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w:t>
            </w:r>
          </w:p>
        </w:tc>
        <w:tc>
          <w:tcPr>
            <w:tcW w:w="799" w:type="dxa"/>
            <w:noWrap/>
            <w:hideMark/>
          </w:tcPr>
          <w:p w14:paraId="6A5F4036" w14:textId="4F90C099" w:rsidR="005E443D" w:rsidRPr="000973F2" w:rsidRDefault="004E64C7" w:rsidP="004E64C7">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w:t>
            </w:r>
          </w:p>
        </w:tc>
        <w:tc>
          <w:tcPr>
            <w:tcW w:w="798" w:type="dxa"/>
            <w:noWrap/>
            <w:hideMark/>
          </w:tcPr>
          <w:p w14:paraId="632F50B3" w14:textId="5D496930" w:rsidR="005E443D" w:rsidRPr="000973F2" w:rsidRDefault="004E64C7" w:rsidP="004E64C7">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w:t>
            </w:r>
          </w:p>
        </w:tc>
        <w:tc>
          <w:tcPr>
            <w:tcW w:w="799" w:type="dxa"/>
            <w:noWrap/>
            <w:hideMark/>
          </w:tcPr>
          <w:p w14:paraId="2937D140" w14:textId="3762B4D7" w:rsidR="005E443D" w:rsidRPr="000973F2" w:rsidRDefault="004E64C7" w:rsidP="004E64C7">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w:t>
            </w:r>
          </w:p>
        </w:tc>
        <w:tc>
          <w:tcPr>
            <w:tcW w:w="799" w:type="dxa"/>
            <w:noWrap/>
            <w:hideMark/>
          </w:tcPr>
          <w:p w14:paraId="5D633F24" w14:textId="5029713A" w:rsidR="005E443D" w:rsidRPr="000973F2" w:rsidRDefault="004E64C7" w:rsidP="004E64C7">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w:t>
            </w:r>
          </w:p>
        </w:tc>
        <w:tc>
          <w:tcPr>
            <w:tcW w:w="799" w:type="dxa"/>
            <w:noWrap/>
            <w:hideMark/>
          </w:tcPr>
          <w:p w14:paraId="437A3F70" w14:textId="7D220F8E" w:rsidR="005E443D" w:rsidRPr="000973F2" w:rsidRDefault="004E64C7" w:rsidP="004E64C7">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w:t>
            </w:r>
          </w:p>
        </w:tc>
        <w:tc>
          <w:tcPr>
            <w:tcW w:w="802" w:type="dxa"/>
            <w:noWrap/>
            <w:hideMark/>
          </w:tcPr>
          <w:p w14:paraId="43E09317" w14:textId="20590765" w:rsidR="005E443D" w:rsidRPr="000973F2" w:rsidRDefault="004E64C7" w:rsidP="004E64C7">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w:t>
            </w:r>
          </w:p>
        </w:tc>
        <w:tc>
          <w:tcPr>
            <w:tcW w:w="803" w:type="dxa"/>
            <w:noWrap/>
            <w:hideMark/>
          </w:tcPr>
          <w:p w14:paraId="1977A64F" w14:textId="70C8CBFC" w:rsidR="005E443D" w:rsidRPr="000973F2" w:rsidRDefault="004E64C7" w:rsidP="004E64C7">
            <w:pPr>
              <w:tabs>
                <w:tab w:val="decimal" w:pos="406"/>
              </w:tabs>
              <w:spacing w:before="40" w:after="4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w:t>
            </w:r>
          </w:p>
        </w:tc>
      </w:tr>
      <w:tr w:rsidR="008F751E" w:rsidRPr="000973F2" w14:paraId="5691DC2B" w14:textId="77777777" w:rsidTr="004E64C7">
        <w:trPr>
          <w:cantSplit/>
        </w:trPr>
        <w:tc>
          <w:tcPr>
            <w:cnfStyle w:val="001000000000" w:firstRow="0" w:lastRow="0" w:firstColumn="1" w:lastColumn="0" w:oddVBand="0" w:evenVBand="0" w:oddHBand="0" w:evenHBand="0" w:firstRowFirstColumn="0" w:firstRowLastColumn="0" w:lastRowFirstColumn="0" w:lastRowLastColumn="0"/>
            <w:tcW w:w="1335" w:type="dxa"/>
            <w:tcMar>
              <w:right w:w="14" w:type="dxa"/>
            </w:tcMar>
            <w:hideMark/>
          </w:tcPr>
          <w:p w14:paraId="491B03F0" w14:textId="77777777" w:rsidR="0009278E" w:rsidRPr="000973F2" w:rsidRDefault="0009278E" w:rsidP="004E64C7">
            <w:pPr>
              <w:spacing w:before="40" w:after="4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Reporting</w:t>
            </w:r>
          </w:p>
        </w:tc>
        <w:tc>
          <w:tcPr>
            <w:tcW w:w="798" w:type="dxa"/>
            <w:noWrap/>
            <w:hideMark/>
          </w:tcPr>
          <w:p w14:paraId="2C72E8B4" w14:textId="77777777" w:rsidR="0009278E" w:rsidRPr="000973F2" w:rsidRDefault="0009278E" w:rsidP="004E64C7">
            <w:pPr>
              <w:spacing w:before="40" w:after="4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0</w:t>
            </w:r>
          </w:p>
        </w:tc>
        <w:tc>
          <w:tcPr>
            <w:tcW w:w="799" w:type="dxa"/>
            <w:noWrap/>
            <w:hideMark/>
          </w:tcPr>
          <w:p w14:paraId="4F56050D" w14:textId="77777777" w:rsidR="0009278E" w:rsidRPr="000973F2" w:rsidRDefault="0009278E" w:rsidP="004E64C7">
            <w:pPr>
              <w:spacing w:before="40" w:after="4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0</w:t>
            </w:r>
          </w:p>
        </w:tc>
        <w:tc>
          <w:tcPr>
            <w:tcW w:w="799" w:type="dxa"/>
            <w:noWrap/>
            <w:hideMark/>
          </w:tcPr>
          <w:p w14:paraId="320C9E63" w14:textId="77777777" w:rsidR="0009278E" w:rsidRPr="000973F2" w:rsidRDefault="0009278E" w:rsidP="004E64C7">
            <w:pPr>
              <w:spacing w:before="40" w:after="4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0</w:t>
            </w:r>
          </w:p>
        </w:tc>
        <w:tc>
          <w:tcPr>
            <w:tcW w:w="799" w:type="dxa"/>
            <w:noWrap/>
            <w:hideMark/>
          </w:tcPr>
          <w:p w14:paraId="29250D90" w14:textId="77777777" w:rsidR="0009278E" w:rsidRPr="000973F2" w:rsidRDefault="0009278E" w:rsidP="004E64C7">
            <w:pPr>
              <w:spacing w:before="40" w:after="4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1.0</w:t>
            </w:r>
          </w:p>
        </w:tc>
        <w:tc>
          <w:tcPr>
            <w:tcW w:w="798" w:type="dxa"/>
            <w:noWrap/>
            <w:hideMark/>
          </w:tcPr>
          <w:p w14:paraId="0D861FBD" w14:textId="77777777" w:rsidR="0009278E" w:rsidRPr="000973F2" w:rsidRDefault="0009278E" w:rsidP="004E64C7">
            <w:pPr>
              <w:spacing w:before="40" w:after="4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0</w:t>
            </w:r>
          </w:p>
        </w:tc>
        <w:tc>
          <w:tcPr>
            <w:tcW w:w="799" w:type="dxa"/>
            <w:noWrap/>
            <w:hideMark/>
          </w:tcPr>
          <w:p w14:paraId="6D7C41A4" w14:textId="77777777" w:rsidR="0009278E" w:rsidRPr="000973F2" w:rsidRDefault="0009278E" w:rsidP="004E64C7">
            <w:pPr>
              <w:spacing w:before="40" w:after="4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4</w:t>
            </w:r>
          </w:p>
        </w:tc>
        <w:tc>
          <w:tcPr>
            <w:tcW w:w="799" w:type="dxa"/>
            <w:noWrap/>
            <w:hideMark/>
          </w:tcPr>
          <w:p w14:paraId="52EF2252" w14:textId="77777777" w:rsidR="0009278E" w:rsidRPr="000973F2" w:rsidRDefault="0009278E" w:rsidP="004E64C7">
            <w:pPr>
              <w:spacing w:before="40" w:after="4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0</w:t>
            </w:r>
          </w:p>
        </w:tc>
        <w:tc>
          <w:tcPr>
            <w:tcW w:w="799" w:type="dxa"/>
            <w:noWrap/>
            <w:hideMark/>
          </w:tcPr>
          <w:p w14:paraId="3B047370" w14:textId="77777777" w:rsidR="0009278E" w:rsidRPr="000973F2" w:rsidRDefault="0009278E" w:rsidP="004E64C7">
            <w:pPr>
              <w:spacing w:before="40" w:after="4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1.0</w:t>
            </w:r>
          </w:p>
        </w:tc>
        <w:tc>
          <w:tcPr>
            <w:tcW w:w="802" w:type="dxa"/>
            <w:noWrap/>
            <w:hideMark/>
          </w:tcPr>
          <w:p w14:paraId="34CD6CC0" w14:textId="7E52C479" w:rsidR="0009278E" w:rsidRPr="000973F2" w:rsidRDefault="0009278E" w:rsidP="004E64C7">
            <w:pPr>
              <w:spacing w:before="40" w:after="4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$0</w:t>
            </w:r>
          </w:p>
        </w:tc>
        <w:tc>
          <w:tcPr>
            <w:tcW w:w="803" w:type="dxa"/>
            <w:noWrap/>
            <w:hideMark/>
          </w:tcPr>
          <w:p w14:paraId="47D1CC27" w14:textId="484859E8" w:rsidR="0009278E" w:rsidRPr="000973F2" w:rsidRDefault="0009278E" w:rsidP="004E64C7">
            <w:pPr>
              <w:tabs>
                <w:tab w:val="decimal" w:pos="406"/>
              </w:tabs>
              <w:spacing w:before="40" w:after="4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$410</w:t>
            </w:r>
          </w:p>
        </w:tc>
      </w:tr>
      <w:tr w:rsidR="00AA6488" w:rsidRPr="000973F2" w14:paraId="1EBB4885" w14:textId="77777777" w:rsidTr="004E64C7">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1335" w:type="dxa"/>
            <w:noWrap/>
            <w:tcMar>
              <w:right w:w="14" w:type="dxa"/>
            </w:tcMar>
            <w:hideMark/>
          </w:tcPr>
          <w:p w14:paraId="34B83BF5" w14:textId="77777777" w:rsidR="0009278E" w:rsidRPr="000973F2" w:rsidRDefault="0009278E" w:rsidP="004E64C7">
            <w:pPr>
              <w:spacing w:before="40" w:after="40"/>
              <w:rPr>
                <w:rFonts w:ascii="Times New Roman" w:eastAsia="Times New Roman" w:hAnsi="Times New Roman" w:cs="Times New Roman"/>
                <w:b/>
                <w:bCs w:val="0"/>
                <w:sz w:val="18"/>
                <w:szCs w:val="18"/>
              </w:rPr>
            </w:pPr>
            <w:r w:rsidRPr="000973F2">
              <w:rPr>
                <w:rFonts w:ascii="Times New Roman" w:eastAsia="Times New Roman" w:hAnsi="Times New Roman" w:cs="Times New Roman"/>
                <w:b/>
                <w:sz w:val="18"/>
                <w:szCs w:val="18"/>
              </w:rPr>
              <w:t>Total</w:t>
            </w:r>
          </w:p>
        </w:tc>
        <w:tc>
          <w:tcPr>
            <w:tcW w:w="798" w:type="dxa"/>
            <w:noWrap/>
            <w:hideMark/>
          </w:tcPr>
          <w:p w14:paraId="1AE0F3C8" w14:textId="77777777" w:rsidR="0009278E" w:rsidRPr="000973F2" w:rsidRDefault="0009278E" w:rsidP="004E64C7">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18"/>
                <w:szCs w:val="18"/>
              </w:rPr>
            </w:pPr>
            <w:r w:rsidRPr="000973F2">
              <w:rPr>
                <w:rFonts w:ascii="Times New Roman" w:eastAsia="Times New Roman" w:hAnsi="Times New Roman" w:cs="Times New Roman"/>
                <w:b/>
                <w:bCs/>
                <w:sz w:val="18"/>
                <w:szCs w:val="18"/>
              </w:rPr>
              <w:t>0</w:t>
            </w:r>
          </w:p>
        </w:tc>
        <w:tc>
          <w:tcPr>
            <w:tcW w:w="799" w:type="dxa"/>
            <w:noWrap/>
            <w:hideMark/>
          </w:tcPr>
          <w:p w14:paraId="42F507F6" w14:textId="77777777" w:rsidR="0009278E" w:rsidRPr="000973F2" w:rsidRDefault="0009278E" w:rsidP="004E64C7">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18"/>
                <w:szCs w:val="18"/>
              </w:rPr>
            </w:pPr>
            <w:r w:rsidRPr="000973F2">
              <w:rPr>
                <w:rFonts w:ascii="Times New Roman" w:eastAsia="Times New Roman" w:hAnsi="Times New Roman" w:cs="Times New Roman"/>
                <w:b/>
                <w:bCs/>
                <w:sz w:val="18"/>
                <w:szCs w:val="18"/>
              </w:rPr>
              <w:t>0</w:t>
            </w:r>
          </w:p>
        </w:tc>
        <w:tc>
          <w:tcPr>
            <w:tcW w:w="799" w:type="dxa"/>
            <w:noWrap/>
            <w:hideMark/>
          </w:tcPr>
          <w:p w14:paraId="4D3F4D12" w14:textId="77777777" w:rsidR="0009278E" w:rsidRPr="000973F2" w:rsidRDefault="0009278E" w:rsidP="004E64C7">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18"/>
                <w:szCs w:val="18"/>
              </w:rPr>
            </w:pPr>
            <w:r w:rsidRPr="000973F2">
              <w:rPr>
                <w:rFonts w:ascii="Times New Roman" w:eastAsia="Times New Roman" w:hAnsi="Times New Roman" w:cs="Times New Roman"/>
                <w:b/>
                <w:bCs/>
                <w:sz w:val="18"/>
                <w:szCs w:val="18"/>
              </w:rPr>
              <w:t>0</w:t>
            </w:r>
          </w:p>
        </w:tc>
        <w:tc>
          <w:tcPr>
            <w:tcW w:w="799" w:type="dxa"/>
            <w:noWrap/>
            <w:hideMark/>
          </w:tcPr>
          <w:p w14:paraId="107C8A2D" w14:textId="77777777" w:rsidR="0009278E" w:rsidRPr="000973F2" w:rsidRDefault="0009278E" w:rsidP="004E64C7">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18"/>
                <w:szCs w:val="18"/>
              </w:rPr>
            </w:pPr>
            <w:r w:rsidRPr="000973F2">
              <w:rPr>
                <w:rFonts w:ascii="Times New Roman" w:eastAsia="Times New Roman" w:hAnsi="Times New Roman" w:cs="Times New Roman"/>
                <w:b/>
                <w:bCs/>
                <w:sz w:val="18"/>
                <w:szCs w:val="18"/>
              </w:rPr>
              <w:t>1.5</w:t>
            </w:r>
          </w:p>
        </w:tc>
        <w:tc>
          <w:tcPr>
            <w:tcW w:w="798" w:type="dxa"/>
            <w:noWrap/>
            <w:hideMark/>
          </w:tcPr>
          <w:p w14:paraId="14CDA3A3" w14:textId="77777777" w:rsidR="0009278E" w:rsidRPr="000973F2" w:rsidRDefault="0009278E" w:rsidP="004E64C7">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18"/>
                <w:szCs w:val="18"/>
              </w:rPr>
            </w:pPr>
            <w:r w:rsidRPr="000973F2">
              <w:rPr>
                <w:rFonts w:ascii="Times New Roman" w:eastAsia="Times New Roman" w:hAnsi="Times New Roman" w:cs="Times New Roman"/>
                <w:b/>
                <w:bCs/>
                <w:sz w:val="18"/>
                <w:szCs w:val="18"/>
              </w:rPr>
              <w:t>0</w:t>
            </w:r>
          </w:p>
        </w:tc>
        <w:tc>
          <w:tcPr>
            <w:tcW w:w="799" w:type="dxa"/>
            <w:noWrap/>
            <w:hideMark/>
          </w:tcPr>
          <w:p w14:paraId="300B5C0A" w14:textId="77777777" w:rsidR="0009278E" w:rsidRPr="000973F2" w:rsidRDefault="0009278E" w:rsidP="004E64C7">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18"/>
                <w:szCs w:val="18"/>
              </w:rPr>
            </w:pPr>
            <w:r w:rsidRPr="000973F2">
              <w:rPr>
                <w:rFonts w:ascii="Times New Roman" w:eastAsia="Times New Roman" w:hAnsi="Times New Roman" w:cs="Times New Roman"/>
                <w:b/>
                <w:bCs/>
                <w:sz w:val="18"/>
                <w:szCs w:val="18"/>
              </w:rPr>
              <w:t>6</w:t>
            </w:r>
          </w:p>
        </w:tc>
        <w:tc>
          <w:tcPr>
            <w:tcW w:w="799" w:type="dxa"/>
            <w:noWrap/>
            <w:hideMark/>
          </w:tcPr>
          <w:p w14:paraId="3ED6AB79" w14:textId="77777777" w:rsidR="0009278E" w:rsidRPr="000973F2" w:rsidRDefault="0009278E" w:rsidP="004E64C7">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18"/>
                <w:szCs w:val="18"/>
              </w:rPr>
            </w:pPr>
            <w:r w:rsidRPr="000973F2">
              <w:rPr>
                <w:rFonts w:ascii="Times New Roman" w:eastAsia="Times New Roman" w:hAnsi="Times New Roman" w:cs="Times New Roman"/>
                <w:b/>
                <w:bCs/>
                <w:sz w:val="18"/>
                <w:szCs w:val="18"/>
              </w:rPr>
              <w:t>0</w:t>
            </w:r>
          </w:p>
        </w:tc>
        <w:tc>
          <w:tcPr>
            <w:tcW w:w="799" w:type="dxa"/>
            <w:noWrap/>
            <w:hideMark/>
          </w:tcPr>
          <w:p w14:paraId="4C7D1181" w14:textId="77777777" w:rsidR="0009278E" w:rsidRPr="000973F2" w:rsidRDefault="0009278E" w:rsidP="004E64C7">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18"/>
                <w:szCs w:val="18"/>
              </w:rPr>
            </w:pPr>
            <w:r w:rsidRPr="000973F2">
              <w:rPr>
                <w:rFonts w:ascii="Times New Roman" w:eastAsia="Times New Roman" w:hAnsi="Times New Roman" w:cs="Times New Roman"/>
                <w:b/>
                <w:bCs/>
                <w:sz w:val="18"/>
                <w:szCs w:val="18"/>
              </w:rPr>
              <w:t>1.5</w:t>
            </w:r>
          </w:p>
        </w:tc>
        <w:tc>
          <w:tcPr>
            <w:tcW w:w="802" w:type="dxa"/>
            <w:noWrap/>
            <w:hideMark/>
          </w:tcPr>
          <w:p w14:paraId="751565D1" w14:textId="1AADEE2D" w:rsidR="0009278E" w:rsidRPr="000973F2" w:rsidRDefault="0009278E" w:rsidP="004E64C7">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18"/>
                <w:szCs w:val="18"/>
              </w:rPr>
            </w:pPr>
            <w:r w:rsidRPr="000973F2">
              <w:rPr>
                <w:rFonts w:ascii="Times New Roman" w:eastAsia="Times New Roman" w:hAnsi="Times New Roman" w:cs="Times New Roman"/>
                <w:b/>
                <w:bCs/>
                <w:sz w:val="18"/>
                <w:szCs w:val="18"/>
              </w:rPr>
              <w:t>$0</w:t>
            </w:r>
          </w:p>
        </w:tc>
        <w:tc>
          <w:tcPr>
            <w:tcW w:w="803" w:type="dxa"/>
            <w:noWrap/>
            <w:hideMark/>
          </w:tcPr>
          <w:p w14:paraId="50EFE89A" w14:textId="1D970679" w:rsidR="0009278E" w:rsidRPr="000973F2" w:rsidRDefault="0009278E" w:rsidP="004E64C7">
            <w:pPr>
              <w:tabs>
                <w:tab w:val="decimal" w:pos="406"/>
              </w:tabs>
              <w:spacing w:before="40" w:after="4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18"/>
                <w:szCs w:val="18"/>
              </w:rPr>
            </w:pPr>
            <w:r w:rsidRPr="000973F2">
              <w:rPr>
                <w:rFonts w:ascii="Times New Roman" w:eastAsia="Times New Roman" w:hAnsi="Times New Roman" w:cs="Times New Roman"/>
                <w:b/>
                <w:bCs/>
                <w:sz w:val="18"/>
                <w:szCs w:val="18"/>
              </w:rPr>
              <w:t>$614</w:t>
            </w:r>
          </w:p>
        </w:tc>
      </w:tr>
    </w:tbl>
    <w:p w14:paraId="11D9D15D" w14:textId="77777777" w:rsidR="0009278E" w:rsidRPr="000973F2" w:rsidRDefault="0009278E" w:rsidP="005A4CA1">
      <w:pPr>
        <w:pStyle w:val="AfterTable"/>
      </w:pPr>
    </w:p>
    <w:p w14:paraId="6C41955B" w14:textId="658BD71C" w:rsidR="0009278E" w:rsidRPr="000973F2" w:rsidRDefault="0054400A" w:rsidP="004E64C7">
      <w:pPr>
        <w:pStyle w:val="Tabletitle"/>
        <w:rPr>
          <w:sz w:val="24"/>
        </w:rPr>
      </w:pPr>
      <w:r w:rsidRPr="000973F2">
        <w:t xml:space="preserve">Table </w:t>
      </w:r>
      <w:r w:rsidR="005A4CA1" w:rsidRPr="000973F2">
        <w:t>U-</w:t>
      </w:r>
      <w:r w:rsidRPr="000973F2">
        <w:t xml:space="preserve">1b. Capital and O&amp;M Costs </w:t>
      </w:r>
      <w:r w:rsidR="00B960CC" w:rsidRPr="000973F2">
        <w:t>–</w:t>
      </w:r>
      <w:r w:rsidR="0009278E" w:rsidRPr="000973F2">
        <w:t xml:space="preserve">Subpart U </w:t>
      </w:r>
      <w:r w:rsidR="0009278E" w:rsidRPr="000973F2">
        <w:rPr>
          <w:bCs/>
        </w:rPr>
        <w:t>– Mass balance method</w:t>
      </w:r>
    </w:p>
    <w:tbl>
      <w:tblPr>
        <w:tblStyle w:val="PlainTable1"/>
        <w:tblW w:w="5000" w:type="pct"/>
        <w:jc w:val="left"/>
        <w:tblLayout w:type="fixed"/>
        <w:tblCellMar>
          <w:left w:w="115" w:type="dxa"/>
          <w:right w:w="115" w:type="dxa"/>
        </w:tblCellMar>
        <w:tblLook w:val="04A0" w:firstRow="1" w:lastRow="0" w:firstColumn="1" w:lastColumn="0" w:noHBand="0" w:noVBand="1"/>
      </w:tblPr>
      <w:tblGrid>
        <w:gridCol w:w="1371"/>
        <w:gridCol w:w="809"/>
        <w:gridCol w:w="809"/>
        <w:gridCol w:w="810"/>
        <w:gridCol w:w="809"/>
        <w:gridCol w:w="809"/>
        <w:gridCol w:w="810"/>
        <w:gridCol w:w="809"/>
        <w:gridCol w:w="810"/>
        <w:gridCol w:w="872"/>
        <w:gridCol w:w="872"/>
      </w:tblGrid>
      <w:tr w:rsidR="008F751E" w:rsidRPr="000973F2" w14:paraId="740C136B" w14:textId="77777777" w:rsidTr="004E64C7">
        <w:trPr>
          <w:cnfStyle w:val="100000000000" w:firstRow="1" w:lastRow="0" w:firstColumn="0" w:lastColumn="0" w:oddVBand="0" w:evenVBand="0" w:oddHBand="0" w:evenHBand="0" w:firstRowFirstColumn="0" w:firstRowLastColumn="0" w:lastRowFirstColumn="0" w:lastRowLastColumn="0"/>
          <w:cantSplit/>
          <w:jc w:val="left"/>
        </w:trPr>
        <w:tc>
          <w:tcPr>
            <w:cnfStyle w:val="001000000000" w:firstRow="0" w:lastRow="0" w:firstColumn="1" w:lastColumn="0" w:oddVBand="0" w:evenVBand="0" w:oddHBand="0" w:evenHBand="0" w:firstRowFirstColumn="0" w:firstRowLastColumn="0" w:lastRowFirstColumn="0" w:lastRowLastColumn="0"/>
            <w:tcW w:w="1335" w:type="dxa"/>
            <w:vMerge w:val="restart"/>
            <w:noWrap/>
            <w:vAlign w:val="top"/>
            <w:hideMark/>
          </w:tcPr>
          <w:p w14:paraId="2B0BA338" w14:textId="77777777" w:rsidR="0009278E" w:rsidRPr="000973F2" w:rsidRDefault="0009278E" w:rsidP="004E64C7">
            <w:pPr>
              <w:spacing w:before="40" w:after="40"/>
              <w:rPr>
                <w:rFonts w:ascii="Times New Roman" w:eastAsia="Times New Roman" w:hAnsi="Times New Roman" w:cs="Times New Roman"/>
                <w:b w:val="0"/>
                <w:bCs w:val="0"/>
                <w:sz w:val="18"/>
                <w:szCs w:val="18"/>
              </w:rPr>
            </w:pPr>
            <w:r w:rsidRPr="000973F2">
              <w:rPr>
                <w:rFonts w:ascii="Times New Roman" w:eastAsia="Times New Roman" w:hAnsi="Times New Roman" w:cs="Times New Roman"/>
                <w:sz w:val="18"/>
                <w:szCs w:val="18"/>
              </w:rPr>
              <w:t>Activity</w:t>
            </w:r>
          </w:p>
        </w:tc>
        <w:tc>
          <w:tcPr>
            <w:tcW w:w="6299" w:type="dxa"/>
            <w:gridSpan w:val="8"/>
            <w:noWrap/>
            <w:vAlign w:val="top"/>
            <w:hideMark/>
          </w:tcPr>
          <w:p w14:paraId="78816931" w14:textId="77777777" w:rsidR="0009278E" w:rsidRPr="000973F2" w:rsidRDefault="0009278E" w:rsidP="004E64C7">
            <w:pPr>
              <w:spacing w:before="40" w:after="40"/>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bCs w:val="0"/>
                <w:sz w:val="18"/>
                <w:szCs w:val="18"/>
              </w:rPr>
            </w:pPr>
            <w:r w:rsidRPr="000973F2">
              <w:rPr>
                <w:rFonts w:ascii="Times New Roman" w:eastAsia="Times New Roman" w:hAnsi="Times New Roman" w:cs="Times New Roman"/>
                <w:sz w:val="18"/>
                <w:szCs w:val="18"/>
              </w:rPr>
              <w:t>Labor Rates (per hour)</w:t>
            </w:r>
          </w:p>
        </w:tc>
        <w:tc>
          <w:tcPr>
            <w:tcW w:w="1696" w:type="dxa"/>
            <w:gridSpan w:val="2"/>
            <w:vMerge w:val="restart"/>
            <w:vAlign w:val="top"/>
            <w:hideMark/>
          </w:tcPr>
          <w:p w14:paraId="17AD7271" w14:textId="77777777" w:rsidR="0009278E" w:rsidRPr="000973F2" w:rsidRDefault="0009278E" w:rsidP="004E64C7">
            <w:pPr>
              <w:spacing w:before="40" w:after="40"/>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bCs w:val="0"/>
                <w:sz w:val="18"/>
                <w:szCs w:val="18"/>
              </w:rPr>
            </w:pPr>
            <w:r w:rsidRPr="000973F2">
              <w:rPr>
                <w:rFonts w:ascii="Times New Roman" w:eastAsia="Times New Roman" w:hAnsi="Times New Roman" w:cs="Times New Roman"/>
                <w:sz w:val="18"/>
                <w:szCs w:val="18"/>
              </w:rPr>
              <w:t>Total Labor Cost per Year per Facility (2017$)</w:t>
            </w:r>
          </w:p>
        </w:tc>
      </w:tr>
      <w:tr w:rsidR="008F751E" w:rsidRPr="000973F2" w14:paraId="0A57E872" w14:textId="77777777" w:rsidTr="004E64C7">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1335" w:type="dxa"/>
            <w:vMerge/>
            <w:hideMark/>
          </w:tcPr>
          <w:p w14:paraId="0E51DCD2" w14:textId="77777777" w:rsidR="0009278E" w:rsidRPr="000973F2" w:rsidRDefault="0009278E" w:rsidP="004E64C7">
            <w:pPr>
              <w:spacing w:before="40" w:after="40"/>
              <w:rPr>
                <w:rFonts w:ascii="Times New Roman" w:eastAsia="Times New Roman" w:hAnsi="Times New Roman" w:cs="Times New Roman"/>
                <w:b/>
                <w:bCs w:val="0"/>
                <w:sz w:val="18"/>
                <w:szCs w:val="18"/>
              </w:rPr>
            </w:pPr>
          </w:p>
        </w:tc>
        <w:tc>
          <w:tcPr>
            <w:tcW w:w="1574" w:type="dxa"/>
            <w:gridSpan w:val="2"/>
            <w:noWrap/>
            <w:hideMark/>
          </w:tcPr>
          <w:p w14:paraId="75911BF5" w14:textId="77777777" w:rsidR="0009278E" w:rsidRPr="000973F2" w:rsidRDefault="0009278E" w:rsidP="004E64C7">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18"/>
                <w:szCs w:val="18"/>
              </w:rPr>
            </w:pPr>
            <w:r w:rsidRPr="000973F2">
              <w:rPr>
                <w:rFonts w:ascii="Times New Roman" w:eastAsia="Times New Roman" w:hAnsi="Times New Roman" w:cs="Times New Roman"/>
                <w:b/>
                <w:bCs/>
                <w:sz w:val="18"/>
                <w:szCs w:val="18"/>
              </w:rPr>
              <w:t>Lawyer</w:t>
            </w:r>
          </w:p>
        </w:tc>
        <w:tc>
          <w:tcPr>
            <w:tcW w:w="1575" w:type="dxa"/>
            <w:gridSpan w:val="2"/>
            <w:noWrap/>
            <w:hideMark/>
          </w:tcPr>
          <w:p w14:paraId="5AEA84A2" w14:textId="77777777" w:rsidR="0009278E" w:rsidRPr="000973F2" w:rsidRDefault="0009278E" w:rsidP="004E64C7">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18"/>
                <w:szCs w:val="18"/>
              </w:rPr>
            </w:pPr>
            <w:r w:rsidRPr="000973F2">
              <w:rPr>
                <w:rFonts w:ascii="Times New Roman" w:eastAsia="Times New Roman" w:hAnsi="Times New Roman" w:cs="Times New Roman"/>
                <w:b/>
                <w:bCs/>
                <w:sz w:val="18"/>
                <w:szCs w:val="18"/>
              </w:rPr>
              <w:t>Industrial Manager</w:t>
            </w:r>
          </w:p>
        </w:tc>
        <w:tc>
          <w:tcPr>
            <w:tcW w:w="1575" w:type="dxa"/>
            <w:gridSpan w:val="2"/>
            <w:hideMark/>
          </w:tcPr>
          <w:p w14:paraId="71EF13CA" w14:textId="77777777" w:rsidR="0009278E" w:rsidRPr="000973F2" w:rsidRDefault="0009278E" w:rsidP="004E64C7">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18"/>
                <w:szCs w:val="18"/>
              </w:rPr>
            </w:pPr>
            <w:r w:rsidRPr="000973F2">
              <w:rPr>
                <w:rFonts w:ascii="Times New Roman" w:eastAsia="Times New Roman" w:hAnsi="Times New Roman" w:cs="Times New Roman"/>
                <w:b/>
                <w:bCs/>
                <w:sz w:val="18"/>
                <w:szCs w:val="18"/>
              </w:rPr>
              <w:t>Industrial Engineer/Technician</w:t>
            </w:r>
          </w:p>
        </w:tc>
        <w:tc>
          <w:tcPr>
            <w:tcW w:w="1575" w:type="dxa"/>
            <w:gridSpan w:val="2"/>
            <w:hideMark/>
          </w:tcPr>
          <w:p w14:paraId="7BD71D85" w14:textId="77777777" w:rsidR="0009278E" w:rsidRPr="000973F2" w:rsidRDefault="0009278E" w:rsidP="004E64C7">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18"/>
                <w:szCs w:val="18"/>
              </w:rPr>
            </w:pPr>
            <w:r w:rsidRPr="000973F2">
              <w:rPr>
                <w:rFonts w:ascii="Times New Roman" w:eastAsia="Times New Roman" w:hAnsi="Times New Roman" w:cs="Times New Roman"/>
                <w:b/>
                <w:bCs/>
                <w:sz w:val="18"/>
                <w:szCs w:val="18"/>
              </w:rPr>
              <w:t>Administrative Support</w:t>
            </w:r>
          </w:p>
        </w:tc>
        <w:tc>
          <w:tcPr>
            <w:tcW w:w="1696" w:type="dxa"/>
            <w:gridSpan w:val="2"/>
            <w:vMerge/>
            <w:hideMark/>
          </w:tcPr>
          <w:p w14:paraId="06948250" w14:textId="77777777" w:rsidR="0009278E" w:rsidRPr="000973F2" w:rsidRDefault="0009278E" w:rsidP="004E64C7">
            <w:pPr>
              <w:spacing w:before="40" w:after="4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18"/>
                <w:szCs w:val="18"/>
              </w:rPr>
            </w:pPr>
          </w:p>
        </w:tc>
      </w:tr>
      <w:tr w:rsidR="008F751E" w:rsidRPr="000973F2" w14:paraId="7DD016E0" w14:textId="77777777" w:rsidTr="004E64C7">
        <w:trPr>
          <w:cantSplit/>
        </w:trPr>
        <w:tc>
          <w:tcPr>
            <w:cnfStyle w:val="001000000000" w:firstRow="0" w:lastRow="0" w:firstColumn="1" w:lastColumn="0" w:oddVBand="0" w:evenVBand="0" w:oddHBand="0" w:evenHBand="0" w:firstRowFirstColumn="0" w:firstRowLastColumn="0" w:lastRowFirstColumn="0" w:lastRowLastColumn="0"/>
            <w:tcW w:w="1335" w:type="dxa"/>
            <w:vMerge/>
            <w:hideMark/>
          </w:tcPr>
          <w:p w14:paraId="697D056C" w14:textId="77777777" w:rsidR="0009278E" w:rsidRPr="000973F2" w:rsidRDefault="0009278E" w:rsidP="004E64C7">
            <w:pPr>
              <w:spacing w:before="40" w:after="40"/>
              <w:rPr>
                <w:rFonts w:ascii="Times New Roman" w:eastAsia="Times New Roman" w:hAnsi="Times New Roman" w:cs="Times New Roman"/>
                <w:b/>
                <w:bCs w:val="0"/>
                <w:sz w:val="18"/>
                <w:szCs w:val="18"/>
              </w:rPr>
            </w:pPr>
          </w:p>
        </w:tc>
        <w:tc>
          <w:tcPr>
            <w:tcW w:w="1574" w:type="dxa"/>
            <w:gridSpan w:val="2"/>
            <w:noWrap/>
            <w:hideMark/>
          </w:tcPr>
          <w:p w14:paraId="7C460049" w14:textId="77777777" w:rsidR="0009278E" w:rsidRPr="000973F2" w:rsidRDefault="0009278E" w:rsidP="004E64C7">
            <w:pPr>
              <w:spacing w:before="40" w:after="4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sz w:val="18"/>
                <w:szCs w:val="18"/>
              </w:rPr>
            </w:pPr>
            <w:r w:rsidRPr="000973F2">
              <w:rPr>
                <w:rFonts w:ascii="Times New Roman" w:eastAsia="Times New Roman" w:hAnsi="Times New Roman" w:cs="Times New Roman"/>
                <w:b/>
                <w:bCs/>
                <w:sz w:val="18"/>
                <w:szCs w:val="18"/>
              </w:rPr>
              <w:t xml:space="preserve">$112.23 </w:t>
            </w:r>
          </w:p>
        </w:tc>
        <w:tc>
          <w:tcPr>
            <w:tcW w:w="1575" w:type="dxa"/>
            <w:gridSpan w:val="2"/>
            <w:noWrap/>
            <w:hideMark/>
          </w:tcPr>
          <w:p w14:paraId="2485DA9F" w14:textId="77777777" w:rsidR="0009278E" w:rsidRPr="000973F2" w:rsidRDefault="0009278E" w:rsidP="004E64C7">
            <w:pPr>
              <w:spacing w:before="40" w:after="4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sz w:val="18"/>
                <w:szCs w:val="18"/>
              </w:rPr>
            </w:pPr>
            <w:r w:rsidRPr="000973F2">
              <w:rPr>
                <w:rFonts w:ascii="Times New Roman" w:eastAsia="Times New Roman" w:hAnsi="Times New Roman" w:cs="Times New Roman"/>
                <w:b/>
                <w:bCs/>
                <w:sz w:val="18"/>
                <w:szCs w:val="18"/>
              </w:rPr>
              <w:t xml:space="preserve">$87.45 </w:t>
            </w:r>
          </w:p>
        </w:tc>
        <w:tc>
          <w:tcPr>
            <w:tcW w:w="1575" w:type="dxa"/>
            <w:gridSpan w:val="2"/>
            <w:noWrap/>
            <w:hideMark/>
          </w:tcPr>
          <w:p w14:paraId="3E20C108" w14:textId="77777777" w:rsidR="0009278E" w:rsidRPr="000973F2" w:rsidRDefault="0009278E" w:rsidP="004E64C7">
            <w:pPr>
              <w:spacing w:before="40" w:after="4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sz w:val="18"/>
                <w:szCs w:val="18"/>
              </w:rPr>
            </w:pPr>
            <w:r w:rsidRPr="000973F2">
              <w:rPr>
                <w:rFonts w:ascii="Times New Roman" w:eastAsia="Times New Roman" w:hAnsi="Times New Roman" w:cs="Times New Roman"/>
                <w:b/>
                <w:bCs/>
                <w:sz w:val="18"/>
                <w:szCs w:val="18"/>
              </w:rPr>
              <w:t xml:space="preserve">$71.45 </w:t>
            </w:r>
          </w:p>
        </w:tc>
        <w:tc>
          <w:tcPr>
            <w:tcW w:w="1575" w:type="dxa"/>
            <w:gridSpan w:val="2"/>
            <w:noWrap/>
            <w:hideMark/>
          </w:tcPr>
          <w:p w14:paraId="099A1D63" w14:textId="77777777" w:rsidR="0009278E" w:rsidRPr="000973F2" w:rsidRDefault="0009278E" w:rsidP="004E64C7">
            <w:pPr>
              <w:spacing w:before="40" w:after="4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sz w:val="18"/>
                <w:szCs w:val="18"/>
              </w:rPr>
            </w:pPr>
            <w:r w:rsidRPr="000973F2">
              <w:rPr>
                <w:rFonts w:ascii="Times New Roman" w:eastAsia="Times New Roman" w:hAnsi="Times New Roman" w:cs="Times New Roman"/>
                <w:b/>
                <w:bCs/>
                <w:sz w:val="18"/>
                <w:szCs w:val="18"/>
              </w:rPr>
              <w:t xml:space="preserve">$36.28 </w:t>
            </w:r>
          </w:p>
        </w:tc>
        <w:tc>
          <w:tcPr>
            <w:tcW w:w="1696" w:type="dxa"/>
            <w:gridSpan w:val="2"/>
            <w:vMerge/>
            <w:hideMark/>
          </w:tcPr>
          <w:p w14:paraId="78660B65" w14:textId="77777777" w:rsidR="0009278E" w:rsidRPr="000973F2" w:rsidRDefault="0009278E" w:rsidP="004E64C7">
            <w:pPr>
              <w:spacing w:before="40" w:after="4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sz w:val="18"/>
                <w:szCs w:val="18"/>
              </w:rPr>
            </w:pPr>
          </w:p>
        </w:tc>
      </w:tr>
      <w:tr w:rsidR="008F751E" w:rsidRPr="000973F2" w14:paraId="702CBA7C" w14:textId="77777777" w:rsidTr="004E64C7">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1335" w:type="dxa"/>
            <w:vMerge/>
            <w:hideMark/>
          </w:tcPr>
          <w:p w14:paraId="330A92E0" w14:textId="77777777" w:rsidR="0009278E" w:rsidRPr="000973F2" w:rsidRDefault="0009278E" w:rsidP="004E64C7">
            <w:pPr>
              <w:spacing w:before="40" w:after="40"/>
              <w:rPr>
                <w:rFonts w:ascii="Times New Roman" w:eastAsia="Times New Roman" w:hAnsi="Times New Roman" w:cs="Times New Roman"/>
                <w:b/>
                <w:bCs w:val="0"/>
                <w:sz w:val="18"/>
                <w:szCs w:val="18"/>
              </w:rPr>
            </w:pPr>
          </w:p>
        </w:tc>
        <w:tc>
          <w:tcPr>
            <w:tcW w:w="787" w:type="dxa"/>
            <w:tcMar>
              <w:left w:w="14" w:type="dxa"/>
              <w:right w:w="14" w:type="dxa"/>
            </w:tcMar>
            <w:hideMark/>
          </w:tcPr>
          <w:p w14:paraId="2CA89F23" w14:textId="25B0D3E7" w:rsidR="0009278E" w:rsidRPr="000973F2" w:rsidRDefault="0009278E" w:rsidP="004E64C7">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18"/>
                <w:szCs w:val="18"/>
              </w:rPr>
            </w:pPr>
            <w:r w:rsidRPr="000973F2">
              <w:rPr>
                <w:rFonts w:ascii="Times New Roman" w:eastAsia="Times New Roman" w:hAnsi="Times New Roman" w:cs="Times New Roman"/>
                <w:b/>
                <w:bCs/>
                <w:sz w:val="18"/>
                <w:szCs w:val="18"/>
              </w:rPr>
              <w:t xml:space="preserve">Initial </w:t>
            </w:r>
            <w:r w:rsidR="00132320" w:rsidRPr="000973F2">
              <w:rPr>
                <w:rFonts w:ascii="Times New Roman" w:eastAsia="Times New Roman" w:hAnsi="Times New Roman" w:cs="Times New Roman"/>
                <w:b/>
                <w:bCs/>
                <w:sz w:val="18"/>
                <w:szCs w:val="18"/>
              </w:rPr>
              <w:t>Year Hours</w:t>
            </w:r>
          </w:p>
        </w:tc>
        <w:tc>
          <w:tcPr>
            <w:tcW w:w="787" w:type="dxa"/>
            <w:tcMar>
              <w:left w:w="14" w:type="dxa"/>
              <w:right w:w="14" w:type="dxa"/>
            </w:tcMar>
            <w:hideMark/>
          </w:tcPr>
          <w:p w14:paraId="5BEDDC4D" w14:textId="77777777" w:rsidR="0009278E" w:rsidRPr="000973F2" w:rsidRDefault="0009278E" w:rsidP="004E64C7">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18"/>
                <w:szCs w:val="18"/>
              </w:rPr>
            </w:pPr>
            <w:r w:rsidRPr="000973F2">
              <w:rPr>
                <w:rFonts w:ascii="Times New Roman" w:eastAsia="Times New Roman" w:hAnsi="Times New Roman" w:cs="Times New Roman"/>
                <w:b/>
                <w:bCs/>
                <w:sz w:val="18"/>
                <w:szCs w:val="18"/>
              </w:rPr>
              <w:t>Subseq. Year Hours</w:t>
            </w:r>
          </w:p>
        </w:tc>
        <w:tc>
          <w:tcPr>
            <w:tcW w:w="788" w:type="dxa"/>
            <w:tcMar>
              <w:left w:w="14" w:type="dxa"/>
              <w:right w:w="14" w:type="dxa"/>
            </w:tcMar>
            <w:hideMark/>
          </w:tcPr>
          <w:p w14:paraId="025FE847" w14:textId="12BE030E" w:rsidR="0009278E" w:rsidRPr="000973F2" w:rsidRDefault="0009278E" w:rsidP="004E64C7">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18"/>
                <w:szCs w:val="18"/>
              </w:rPr>
            </w:pPr>
            <w:r w:rsidRPr="000973F2">
              <w:rPr>
                <w:rFonts w:ascii="Times New Roman" w:eastAsia="Times New Roman" w:hAnsi="Times New Roman" w:cs="Times New Roman"/>
                <w:b/>
                <w:bCs/>
                <w:sz w:val="18"/>
                <w:szCs w:val="18"/>
              </w:rPr>
              <w:t xml:space="preserve">Initial </w:t>
            </w:r>
            <w:r w:rsidR="00132320" w:rsidRPr="000973F2">
              <w:rPr>
                <w:rFonts w:ascii="Times New Roman" w:eastAsia="Times New Roman" w:hAnsi="Times New Roman" w:cs="Times New Roman"/>
                <w:b/>
                <w:bCs/>
                <w:sz w:val="18"/>
                <w:szCs w:val="18"/>
              </w:rPr>
              <w:t>Year Hours</w:t>
            </w:r>
          </w:p>
        </w:tc>
        <w:tc>
          <w:tcPr>
            <w:tcW w:w="787" w:type="dxa"/>
            <w:tcMar>
              <w:left w:w="14" w:type="dxa"/>
              <w:right w:w="14" w:type="dxa"/>
            </w:tcMar>
            <w:hideMark/>
          </w:tcPr>
          <w:p w14:paraId="345E9767" w14:textId="77777777" w:rsidR="0009278E" w:rsidRPr="000973F2" w:rsidRDefault="0009278E" w:rsidP="004E64C7">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18"/>
                <w:szCs w:val="18"/>
              </w:rPr>
            </w:pPr>
            <w:r w:rsidRPr="000973F2">
              <w:rPr>
                <w:rFonts w:ascii="Times New Roman" w:eastAsia="Times New Roman" w:hAnsi="Times New Roman" w:cs="Times New Roman"/>
                <w:b/>
                <w:bCs/>
                <w:sz w:val="18"/>
                <w:szCs w:val="18"/>
              </w:rPr>
              <w:t>Subseq. Year Hours</w:t>
            </w:r>
          </w:p>
        </w:tc>
        <w:tc>
          <w:tcPr>
            <w:tcW w:w="787" w:type="dxa"/>
            <w:tcMar>
              <w:left w:w="14" w:type="dxa"/>
              <w:right w:w="14" w:type="dxa"/>
            </w:tcMar>
            <w:hideMark/>
          </w:tcPr>
          <w:p w14:paraId="424F3388" w14:textId="5FA78C2C" w:rsidR="0009278E" w:rsidRPr="000973F2" w:rsidRDefault="0009278E" w:rsidP="004E64C7">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18"/>
                <w:szCs w:val="18"/>
              </w:rPr>
            </w:pPr>
            <w:r w:rsidRPr="000973F2">
              <w:rPr>
                <w:rFonts w:ascii="Times New Roman" w:eastAsia="Times New Roman" w:hAnsi="Times New Roman" w:cs="Times New Roman"/>
                <w:b/>
                <w:bCs/>
                <w:sz w:val="18"/>
                <w:szCs w:val="18"/>
              </w:rPr>
              <w:t xml:space="preserve">Initial </w:t>
            </w:r>
            <w:r w:rsidR="00132320" w:rsidRPr="000973F2">
              <w:rPr>
                <w:rFonts w:ascii="Times New Roman" w:eastAsia="Times New Roman" w:hAnsi="Times New Roman" w:cs="Times New Roman"/>
                <w:b/>
                <w:bCs/>
                <w:sz w:val="18"/>
                <w:szCs w:val="18"/>
              </w:rPr>
              <w:t>Year Hours</w:t>
            </w:r>
          </w:p>
        </w:tc>
        <w:tc>
          <w:tcPr>
            <w:tcW w:w="788" w:type="dxa"/>
            <w:tcMar>
              <w:left w:w="14" w:type="dxa"/>
              <w:right w:w="14" w:type="dxa"/>
            </w:tcMar>
            <w:hideMark/>
          </w:tcPr>
          <w:p w14:paraId="7378D2F4" w14:textId="77777777" w:rsidR="0009278E" w:rsidRPr="000973F2" w:rsidRDefault="0009278E" w:rsidP="004E64C7">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18"/>
                <w:szCs w:val="18"/>
              </w:rPr>
            </w:pPr>
            <w:r w:rsidRPr="000973F2">
              <w:rPr>
                <w:rFonts w:ascii="Times New Roman" w:eastAsia="Times New Roman" w:hAnsi="Times New Roman" w:cs="Times New Roman"/>
                <w:b/>
                <w:bCs/>
                <w:sz w:val="18"/>
                <w:szCs w:val="18"/>
              </w:rPr>
              <w:t>Subseq. Year Hours</w:t>
            </w:r>
          </w:p>
        </w:tc>
        <w:tc>
          <w:tcPr>
            <w:tcW w:w="787" w:type="dxa"/>
            <w:tcMar>
              <w:left w:w="14" w:type="dxa"/>
              <w:right w:w="14" w:type="dxa"/>
            </w:tcMar>
            <w:hideMark/>
          </w:tcPr>
          <w:p w14:paraId="5E64D108" w14:textId="150DE7C6" w:rsidR="0009278E" w:rsidRPr="000973F2" w:rsidRDefault="0009278E" w:rsidP="004E64C7">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18"/>
                <w:szCs w:val="18"/>
              </w:rPr>
            </w:pPr>
            <w:r w:rsidRPr="000973F2">
              <w:rPr>
                <w:rFonts w:ascii="Times New Roman" w:eastAsia="Times New Roman" w:hAnsi="Times New Roman" w:cs="Times New Roman"/>
                <w:b/>
                <w:bCs/>
                <w:sz w:val="18"/>
                <w:szCs w:val="18"/>
              </w:rPr>
              <w:t xml:space="preserve">Initial </w:t>
            </w:r>
            <w:r w:rsidR="00132320" w:rsidRPr="000973F2">
              <w:rPr>
                <w:rFonts w:ascii="Times New Roman" w:eastAsia="Times New Roman" w:hAnsi="Times New Roman" w:cs="Times New Roman"/>
                <w:b/>
                <w:bCs/>
                <w:sz w:val="18"/>
                <w:szCs w:val="18"/>
              </w:rPr>
              <w:t>Year Hours</w:t>
            </w:r>
          </w:p>
        </w:tc>
        <w:tc>
          <w:tcPr>
            <w:tcW w:w="788" w:type="dxa"/>
            <w:tcMar>
              <w:left w:w="14" w:type="dxa"/>
              <w:right w:w="14" w:type="dxa"/>
            </w:tcMar>
            <w:hideMark/>
          </w:tcPr>
          <w:p w14:paraId="5CB3FBFE" w14:textId="77777777" w:rsidR="0009278E" w:rsidRPr="000973F2" w:rsidRDefault="0009278E" w:rsidP="004E64C7">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18"/>
                <w:szCs w:val="18"/>
              </w:rPr>
            </w:pPr>
            <w:r w:rsidRPr="000973F2">
              <w:rPr>
                <w:rFonts w:ascii="Times New Roman" w:eastAsia="Times New Roman" w:hAnsi="Times New Roman" w:cs="Times New Roman"/>
                <w:b/>
                <w:bCs/>
                <w:sz w:val="18"/>
                <w:szCs w:val="18"/>
              </w:rPr>
              <w:t>Subseq. Year Hours</w:t>
            </w:r>
          </w:p>
        </w:tc>
        <w:tc>
          <w:tcPr>
            <w:tcW w:w="848" w:type="dxa"/>
            <w:tcMar>
              <w:left w:w="14" w:type="dxa"/>
              <w:right w:w="14" w:type="dxa"/>
            </w:tcMar>
            <w:hideMark/>
          </w:tcPr>
          <w:p w14:paraId="7FD7222D" w14:textId="77777777" w:rsidR="0009278E" w:rsidRPr="000973F2" w:rsidRDefault="0009278E" w:rsidP="004E64C7">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18"/>
                <w:szCs w:val="18"/>
              </w:rPr>
            </w:pPr>
            <w:r w:rsidRPr="000973F2">
              <w:rPr>
                <w:rFonts w:ascii="Times New Roman" w:eastAsia="Times New Roman" w:hAnsi="Times New Roman" w:cs="Times New Roman"/>
                <w:b/>
                <w:bCs/>
                <w:sz w:val="18"/>
                <w:szCs w:val="18"/>
              </w:rPr>
              <w:t>Initial Year</w:t>
            </w:r>
          </w:p>
        </w:tc>
        <w:tc>
          <w:tcPr>
            <w:tcW w:w="848" w:type="dxa"/>
            <w:tcMar>
              <w:left w:w="14" w:type="dxa"/>
              <w:right w:w="14" w:type="dxa"/>
            </w:tcMar>
            <w:hideMark/>
          </w:tcPr>
          <w:p w14:paraId="7B470F8E" w14:textId="77777777" w:rsidR="0009278E" w:rsidRPr="000973F2" w:rsidRDefault="0009278E" w:rsidP="004E64C7">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18"/>
                <w:szCs w:val="18"/>
              </w:rPr>
            </w:pPr>
            <w:r w:rsidRPr="000973F2">
              <w:rPr>
                <w:rFonts w:ascii="Times New Roman" w:eastAsia="Times New Roman" w:hAnsi="Times New Roman" w:cs="Times New Roman"/>
                <w:b/>
                <w:bCs/>
                <w:sz w:val="18"/>
                <w:szCs w:val="18"/>
              </w:rPr>
              <w:t>Subseq. Year</w:t>
            </w:r>
          </w:p>
        </w:tc>
      </w:tr>
      <w:tr w:rsidR="005E443D" w:rsidRPr="000973F2" w14:paraId="7C7E8F3B" w14:textId="77777777" w:rsidTr="004E64C7">
        <w:trPr>
          <w:cantSplit/>
        </w:trPr>
        <w:tc>
          <w:tcPr>
            <w:cnfStyle w:val="001000000000" w:firstRow="0" w:lastRow="0" w:firstColumn="1" w:lastColumn="0" w:oddVBand="0" w:evenVBand="0" w:oddHBand="0" w:evenHBand="0" w:firstRowFirstColumn="0" w:firstRowLastColumn="0" w:lastRowFirstColumn="0" w:lastRowLastColumn="0"/>
            <w:tcW w:w="1335" w:type="dxa"/>
            <w:tcMar>
              <w:right w:w="14" w:type="dxa"/>
            </w:tcMar>
            <w:hideMark/>
          </w:tcPr>
          <w:p w14:paraId="7EFB29A5" w14:textId="77777777" w:rsidR="005E443D" w:rsidRPr="000973F2" w:rsidRDefault="005E443D" w:rsidP="004E64C7">
            <w:pPr>
              <w:spacing w:before="40" w:after="4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Planning</w:t>
            </w:r>
          </w:p>
        </w:tc>
        <w:tc>
          <w:tcPr>
            <w:tcW w:w="787" w:type="dxa"/>
            <w:noWrap/>
            <w:hideMark/>
          </w:tcPr>
          <w:p w14:paraId="04798FDD" w14:textId="03B9AA02" w:rsidR="005E443D" w:rsidRPr="000973F2" w:rsidRDefault="004E64C7" w:rsidP="004E64C7">
            <w:pPr>
              <w:spacing w:before="40" w:after="4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w:t>
            </w:r>
          </w:p>
        </w:tc>
        <w:tc>
          <w:tcPr>
            <w:tcW w:w="787" w:type="dxa"/>
            <w:noWrap/>
            <w:hideMark/>
          </w:tcPr>
          <w:p w14:paraId="4690BA92" w14:textId="2FCBB0F2" w:rsidR="005E443D" w:rsidRPr="000973F2" w:rsidRDefault="004E64C7" w:rsidP="004E64C7">
            <w:pPr>
              <w:spacing w:before="40" w:after="4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w:t>
            </w:r>
          </w:p>
        </w:tc>
        <w:tc>
          <w:tcPr>
            <w:tcW w:w="788" w:type="dxa"/>
            <w:noWrap/>
            <w:hideMark/>
          </w:tcPr>
          <w:p w14:paraId="3952501A" w14:textId="7D9CBD3F" w:rsidR="005E443D" w:rsidRPr="000973F2" w:rsidRDefault="004E64C7" w:rsidP="004E64C7">
            <w:pPr>
              <w:spacing w:before="40" w:after="4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w:t>
            </w:r>
          </w:p>
        </w:tc>
        <w:tc>
          <w:tcPr>
            <w:tcW w:w="787" w:type="dxa"/>
            <w:noWrap/>
            <w:hideMark/>
          </w:tcPr>
          <w:p w14:paraId="25D7BFDA" w14:textId="23A79E4F" w:rsidR="005E443D" w:rsidRPr="000973F2" w:rsidRDefault="004E64C7" w:rsidP="004E64C7">
            <w:pPr>
              <w:spacing w:before="40" w:after="4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w:t>
            </w:r>
          </w:p>
        </w:tc>
        <w:tc>
          <w:tcPr>
            <w:tcW w:w="787" w:type="dxa"/>
            <w:noWrap/>
            <w:hideMark/>
          </w:tcPr>
          <w:p w14:paraId="60E7CFD5" w14:textId="3A0DD0C0" w:rsidR="005E443D" w:rsidRPr="000973F2" w:rsidRDefault="004E64C7" w:rsidP="004E64C7">
            <w:pPr>
              <w:spacing w:before="40" w:after="4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w:t>
            </w:r>
          </w:p>
        </w:tc>
        <w:tc>
          <w:tcPr>
            <w:tcW w:w="788" w:type="dxa"/>
            <w:noWrap/>
            <w:hideMark/>
          </w:tcPr>
          <w:p w14:paraId="381CFCB7" w14:textId="1F0DBC7A" w:rsidR="005E443D" w:rsidRPr="000973F2" w:rsidRDefault="004E64C7" w:rsidP="004E64C7">
            <w:pPr>
              <w:spacing w:before="40" w:after="4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w:t>
            </w:r>
          </w:p>
        </w:tc>
        <w:tc>
          <w:tcPr>
            <w:tcW w:w="787" w:type="dxa"/>
            <w:noWrap/>
            <w:hideMark/>
          </w:tcPr>
          <w:p w14:paraId="4B17C641" w14:textId="5AF50FBE" w:rsidR="005E443D" w:rsidRPr="000973F2" w:rsidRDefault="004E64C7" w:rsidP="004E64C7">
            <w:pPr>
              <w:spacing w:before="40" w:after="4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w:t>
            </w:r>
          </w:p>
        </w:tc>
        <w:tc>
          <w:tcPr>
            <w:tcW w:w="788" w:type="dxa"/>
            <w:noWrap/>
            <w:hideMark/>
          </w:tcPr>
          <w:p w14:paraId="6A1D9A48" w14:textId="240EF2FE" w:rsidR="005E443D" w:rsidRPr="000973F2" w:rsidRDefault="004E64C7" w:rsidP="004E64C7">
            <w:pPr>
              <w:spacing w:before="40" w:after="4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w:t>
            </w:r>
          </w:p>
        </w:tc>
        <w:tc>
          <w:tcPr>
            <w:tcW w:w="848" w:type="dxa"/>
            <w:noWrap/>
            <w:hideMark/>
          </w:tcPr>
          <w:p w14:paraId="0CB4A0DD" w14:textId="6E2B96D0" w:rsidR="005E443D" w:rsidRPr="000973F2" w:rsidRDefault="004E64C7" w:rsidP="004E64C7">
            <w:pPr>
              <w:spacing w:before="40" w:after="4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w:t>
            </w:r>
          </w:p>
        </w:tc>
        <w:tc>
          <w:tcPr>
            <w:tcW w:w="848" w:type="dxa"/>
            <w:noWrap/>
            <w:hideMark/>
          </w:tcPr>
          <w:p w14:paraId="088BF68F" w14:textId="1EF0A893" w:rsidR="005E443D" w:rsidRPr="000973F2" w:rsidRDefault="004E64C7" w:rsidP="004E64C7">
            <w:pPr>
              <w:spacing w:before="40" w:after="4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w:t>
            </w:r>
          </w:p>
        </w:tc>
      </w:tr>
      <w:tr w:rsidR="005E443D" w:rsidRPr="000973F2" w14:paraId="221D7E0E" w14:textId="77777777" w:rsidTr="004E64C7">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1335" w:type="dxa"/>
            <w:tcMar>
              <w:right w:w="14" w:type="dxa"/>
            </w:tcMar>
            <w:hideMark/>
          </w:tcPr>
          <w:p w14:paraId="1E49CEFC" w14:textId="77777777" w:rsidR="005E443D" w:rsidRPr="000973F2" w:rsidRDefault="005E443D" w:rsidP="004E64C7">
            <w:pPr>
              <w:spacing w:before="40" w:after="4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QA/QC</w:t>
            </w:r>
          </w:p>
        </w:tc>
        <w:tc>
          <w:tcPr>
            <w:tcW w:w="787" w:type="dxa"/>
            <w:noWrap/>
            <w:hideMark/>
          </w:tcPr>
          <w:p w14:paraId="10965977" w14:textId="710FF91E" w:rsidR="005E443D" w:rsidRPr="000973F2" w:rsidRDefault="004E64C7" w:rsidP="004E64C7">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w:t>
            </w:r>
          </w:p>
        </w:tc>
        <w:tc>
          <w:tcPr>
            <w:tcW w:w="787" w:type="dxa"/>
            <w:noWrap/>
            <w:hideMark/>
          </w:tcPr>
          <w:p w14:paraId="72F2DB61" w14:textId="5FD9444C" w:rsidR="005E443D" w:rsidRPr="000973F2" w:rsidRDefault="004E64C7" w:rsidP="004E64C7">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w:t>
            </w:r>
          </w:p>
        </w:tc>
        <w:tc>
          <w:tcPr>
            <w:tcW w:w="788" w:type="dxa"/>
            <w:noWrap/>
            <w:hideMark/>
          </w:tcPr>
          <w:p w14:paraId="69D71E6F" w14:textId="744E11B5" w:rsidR="005E443D" w:rsidRPr="000973F2" w:rsidRDefault="004E64C7" w:rsidP="004E64C7">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w:t>
            </w:r>
          </w:p>
        </w:tc>
        <w:tc>
          <w:tcPr>
            <w:tcW w:w="787" w:type="dxa"/>
            <w:noWrap/>
            <w:hideMark/>
          </w:tcPr>
          <w:p w14:paraId="7CB76E73" w14:textId="11147AB9" w:rsidR="005E443D" w:rsidRPr="000973F2" w:rsidRDefault="004E64C7" w:rsidP="004E64C7">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w:t>
            </w:r>
          </w:p>
        </w:tc>
        <w:tc>
          <w:tcPr>
            <w:tcW w:w="787" w:type="dxa"/>
            <w:noWrap/>
            <w:hideMark/>
          </w:tcPr>
          <w:p w14:paraId="241521B9" w14:textId="046623DF" w:rsidR="005E443D" w:rsidRPr="000973F2" w:rsidRDefault="004E64C7" w:rsidP="004E64C7">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w:t>
            </w:r>
          </w:p>
        </w:tc>
        <w:tc>
          <w:tcPr>
            <w:tcW w:w="788" w:type="dxa"/>
            <w:noWrap/>
            <w:hideMark/>
          </w:tcPr>
          <w:p w14:paraId="59BB7811" w14:textId="4EFD8FD2" w:rsidR="005E443D" w:rsidRPr="000973F2" w:rsidRDefault="004E64C7" w:rsidP="004E64C7">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w:t>
            </w:r>
          </w:p>
        </w:tc>
        <w:tc>
          <w:tcPr>
            <w:tcW w:w="787" w:type="dxa"/>
            <w:noWrap/>
            <w:hideMark/>
          </w:tcPr>
          <w:p w14:paraId="07FA176B" w14:textId="76255E7C" w:rsidR="005E443D" w:rsidRPr="000973F2" w:rsidRDefault="004E64C7" w:rsidP="004E64C7">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w:t>
            </w:r>
          </w:p>
        </w:tc>
        <w:tc>
          <w:tcPr>
            <w:tcW w:w="788" w:type="dxa"/>
            <w:noWrap/>
            <w:hideMark/>
          </w:tcPr>
          <w:p w14:paraId="20612549" w14:textId="22504DA7" w:rsidR="005E443D" w:rsidRPr="000973F2" w:rsidRDefault="004E64C7" w:rsidP="004E64C7">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w:t>
            </w:r>
          </w:p>
        </w:tc>
        <w:tc>
          <w:tcPr>
            <w:tcW w:w="848" w:type="dxa"/>
            <w:noWrap/>
            <w:hideMark/>
          </w:tcPr>
          <w:p w14:paraId="49E02AF3" w14:textId="41985DF6" w:rsidR="005E443D" w:rsidRPr="000973F2" w:rsidRDefault="004E64C7" w:rsidP="004E64C7">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w:t>
            </w:r>
          </w:p>
        </w:tc>
        <w:tc>
          <w:tcPr>
            <w:tcW w:w="848" w:type="dxa"/>
            <w:noWrap/>
            <w:hideMark/>
          </w:tcPr>
          <w:p w14:paraId="37DC866B" w14:textId="3F52EF03" w:rsidR="005E443D" w:rsidRPr="000973F2" w:rsidRDefault="004E64C7" w:rsidP="004E64C7">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w:t>
            </w:r>
          </w:p>
        </w:tc>
      </w:tr>
      <w:tr w:rsidR="00E4332A" w:rsidRPr="000973F2" w14:paraId="6081CB0E" w14:textId="77777777" w:rsidTr="004E64C7">
        <w:trPr>
          <w:cantSplit/>
        </w:trPr>
        <w:tc>
          <w:tcPr>
            <w:cnfStyle w:val="001000000000" w:firstRow="0" w:lastRow="0" w:firstColumn="1" w:lastColumn="0" w:oddVBand="0" w:evenVBand="0" w:oddHBand="0" w:evenHBand="0" w:firstRowFirstColumn="0" w:firstRowLastColumn="0" w:lastRowFirstColumn="0" w:lastRowLastColumn="0"/>
            <w:tcW w:w="1335" w:type="dxa"/>
            <w:tcMar>
              <w:right w:w="14" w:type="dxa"/>
            </w:tcMar>
            <w:hideMark/>
          </w:tcPr>
          <w:p w14:paraId="6079A7FD" w14:textId="77777777" w:rsidR="0009278E" w:rsidRPr="000973F2" w:rsidRDefault="0009278E" w:rsidP="004E64C7">
            <w:pPr>
              <w:spacing w:before="40" w:after="4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Recordkeeping</w:t>
            </w:r>
          </w:p>
        </w:tc>
        <w:tc>
          <w:tcPr>
            <w:tcW w:w="787" w:type="dxa"/>
            <w:noWrap/>
            <w:hideMark/>
          </w:tcPr>
          <w:p w14:paraId="362E8B00" w14:textId="77777777" w:rsidR="0009278E" w:rsidRPr="000973F2" w:rsidRDefault="0009278E" w:rsidP="004E64C7">
            <w:pPr>
              <w:spacing w:before="40" w:after="4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0</w:t>
            </w:r>
          </w:p>
        </w:tc>
        <w:tc>
          <w:tcPr>
            <w:tcW w:w="787" w:type="dxa"/>
            <w:noWrap/>
            <w:hideMark/>
          </w:tcPr>
          <w:p w14:paraId="32973CAB" w14:textId="77777777" w:rsidR="0009278E" w:rsidRPr="000973F2" w:rsidRDefault="0009278E" w:rsidP="004E64C7">
            <w:pPr>
              <w:spacing w:before="40" w:after="4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0</w:t>
            </w:r>
          </w:p>
        </w:tc>
        <w:tc>
          <w:tcPr>
            <w:tcW w:w="788" w:type="dxa"/>
            <w:noWrap/>
            <w:hideMark/>
          </w:tcPr>
          <w:p w14:paraId="6EFF3267" w14:textId="77777777" w:rsidR="0009278E" w:rsidRPr="000973F2" w:rsidRDefault="0009278E" w:rsidP="004E64C7">
            <w:pPr>
              <w:spacing w:before="40" w:after="4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0</w:t>
            </w:r>
          </w:p>
        </w:tc>
        <w:tc>
          <w:tcPr>
            <w:tcW w:w="787" w:type="dxa"/>
            <w:noWrap/>
            <w:hideMark/>
          </w:tcPr>
          <w:p w14:paraId="4F3D81CB" w14:textId="77777777" w:rsidR="0009278E" w:rsidRPr="000973F2" w:rsidRDefault="0009278E" w:rsidP="004E64C7">
            <w:pPr>
              <w:spacing w:before="40" w:after="4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0.5</w:t>
            </w:r>
          </w:p>
        </w:tc>
        <w:tc>
          <w:tcPr>
            <w:tcW w:w="787" w:type="dxa"/>
            <w:noWrap/>
            <w:hideMark/>
          </w:tcPr>
          <w:p w14:paraId="05A923A3" w14:textId="77777777" w:rsidR="0009278E" w:rsidRPr="000973F2" w:rsidRDefault="0009278E" w:rsidP="004E64C7">
            <w:pPr>
              <w:spacing w:before="40" w:after="4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0</w:t>
            </w:r>
          </w:p>
        </w:tc>
        <w:tc>
          <w:tcPr>
            <w:tcW w:w="788" w:type="dxa"/>
            <w:noWrap/>
            <w:hideMark/>
          </w:tcPr>
          <w:p w14:paraId="44C8E45A" w14:textId="77777777" w:rsidR="0009278E" w:rsidRPr="000973F2" w:rsidRDefault="0009278E" w:rsidP="004E64C7">
            <w:pPr>
              <w:spacing w:before="40" w:after="4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2</w:t>
            </w:r>
          </w:p>
        </w:tc>
        <w:tc>
          <w:tcPr>
            <w:tcW w:w="787" w:type="dxa"/>
            <w:noWrap/>
            <w:hideMark/>
          </w:tcPr>
          <w:p w14:paraId="69ED3D1D" w14:textId="77777777" w:rsidR="0009278E" w:rsidRPr="000973F2" w:rsidRDefault="0009278E" w:rsidP="004E64C7">
            <w:pPr>
              <w:spacing w:before="40" w:after="4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0</w:t>
            </w:r>
          </w:p>
        </w:tc>
        <w:tc>
          <w:tcPr>
            <w:tcW w:w="788" w:type="dxa"/>
            <w:noWrap/>
            <w:hideMark/>
          </w:tcPr>
          <w:p w14:paraId="4D4E7B5E" w14:textId="77777777" w:rsidR="0009278E" w:rsidRPr="000973F2" w:rsidRDefault="0009278E" w:rsidP="004E64C7">
            <w:pPr>
              <w:spacing w:before="40" w:after="4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0.5</w:t>
            </w:r>
          </w:p>
        </w:tc>
        <w:tc>
          <w:tcPr>
            <w:tcW w:w="848" w:type="dxa"/>
            <w:noWrap/>
            <w:hideMark/>
          </w:tcPr>
          <w:p w14:paraId="56DFAC53" w14:textId="2214BD14" w:rsidR="0009278E" w:rsidRPr="000973F2" w:rsidRDefault="0009278E" w:rsidP="004E64C7">
            <w:pPr>
              <w:spacing w:before="40" w:after="4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$0</w:t>
            </w:r>
          </w:p>
        </w:tc>
        <w:tc>
          <w:tcPr>
            <w:tcW w:w="848" w:type="dxa"/>
            <w:noWrap/>
            <w:hideMark/>
          </w:tcPr>
          <w:p w14:paraId="5DE2CA8F" w14:textId="10A661AA" w:rsidR="0009278E" w:rsidRPr="000973F2" w:rsidRDefault="0009278E" w:rsidP="004E64C7">
            <w:pPr>
              <w:spacing w:before="40" w:after="4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$205</w:t>
            </w:r>
          </w:p>
        </w:tc>
      </w:tr>
      <w:tr w:rsidR="005E443D" w:rsidRPr="000973F2" w14:paraId="26E4B3D5" w14:textId="77777777" w:rsidTr="004E64C7">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1335" w:type="dxa"/>
            <w:tcMar>
              <w:right w:w="14" w:type="dxa"/>
            </w:tcMar>
            <w:hideMark/>
          </w:tcPr>
          <w:p w14:paraId="6E57C2A2" w14:textId="77777777" w:rsidR="005E443D" w:rsidRPr="000973F2" w:rsidRDefault="005E443D" w:rsidP="004E64C7">
            <w:pPr>
              <w:spacing w:before="40" w:after="4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Sampling and Analysis (Calculations)</w:t>
            </w:r>
          </w:p>
        </w:tc>
        <w:tc>
          <w:tcPr>
            <w:tcW w:w="787" w:type="dxa"/>
            <w:noWrap/>
            <w:hideMark/>
          </w:tcPr>
          <w:p w14:paraId="37D2A5EE" w14:textId="28AD63DD" w:rsidR="005E443D" w:rsidRPr="000973F2" w:rsidRDefault="004E64C7" w:rsidP="004E64C7">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w:t>
            </w:r>
          </w:p>
        </w:tc>
        <w:tc>
          <w:tcPr>
            <w:tcW w:w="787" w:type="dxa"/>
            <w:noWrap/>
            <w:hideMark/>
          </w:tcPr>
          <w:p w14:paraId="273476A7" w14:textId="19EE9168" w:rsidR="005E443D" w:rsidRPr="000973F2" w:rsidRDefault="004E64C7" w:rsidP="004E64C7">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w:t>
            </w:r>
          </w:p>
        </w:tc>
        <w:tc>
          <w:tcPr>
            <w:tcW w:w="788" w:type="dxa"/>
            <w:noWrap/>
            <w:hideMark/>
          </w:tcPr>
          <w:p w14:paraId="22B89A52" w14:textId="565EB351" w:rsidR="005E443D" w:rsidRPr="000973F2" w:rsidRDefault="004E64C7" w:rsidP="004E64C7">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w:t>
            </w:r>
          </w:p>
        </w:tc>
        <w:tc>
          <w:tcPr>
            <w:tcW w:w="787" w:type="dxa"/>
            <w:noWrap/>
            <w:hideMark/>
          </w:tcPr>
          <w:p w14:paraId="1F04F15D" w14:textId="70FDED94" w:rsidR="005E443D" w:rsidRPr="000973F2" w:rsidRDefault="004E64C7" w:rsidP="004E64C7">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w:t>
            </w:r>
          </w:p>
        </w:tc>
        <w:tc>
          <w:tcPr>
            <w:tcW w:w="787" w:type="dxa"/>
            <w:noWrap/>
            <w:hideMark/>
          </w:tcPr>
          <w:p w14:paraId="1BAC51C2" w14:textId="302DBECB" w:rsidR="005E443D" w:rsidRPr="000973F2" w:rsidRDefault="004E64C7" w:rsidP="004E64C7">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w:t>
            </w:r>
          </w:p>
        </w:tc>
        <w:tc>
          <w:tcPr>
            <w:tcW w:w="788" w:type="dxa"/>
            <w:noWrap/>
            <w:hideMark/>
          </w:tcPr>
          <w:p w14:paraId="3CC93234" w14:textId="3ED4077D" w:rsidR="005E443D" w:rsidRPr="000973F2" w:rsidRDefault="004E64C7" w:rsidP="004E64C7">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w:t>
            </w:r>
          </w:p>
        </w:tc>
        <w:tc>
          <w:tcPr>
            <w:tcW w:w="787" w:type="dxa"/>
            <w:noWrap/>
            <w:hideMark/>
          </w:tcPr>
          <w:p w14:paraId="0D97CD9C" w14:textId="39864920" w:rsidR="005E443D" w:rsidRPr="000973F2" w:rsidRDefault="004E64C7" w:rsidP="004E64C7">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w:t>
            </w:r>
          </w:p>
        </w:tc>
        <w:tc>
          <w:tcPr>
            <w:tcW w:w="788" w:type="dxa"/>
            <w:noWrap/>
            <w:hideMark/>
          </w:tcPr>
          <w:p w14:paraId="13B78F8C" w14:textId="52D5DA5C" w:rsidR="005E443D" w:rsidRPr="000973F2" w:rsidRDefault="004E64C7" w:rsidP="004E64C7">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w:t>
            </w:r>
          </w:p>
        </w:tc>
        <w:tc>
          <w:tcPr>
            <w:tcW w:w="848" w:type="dxa"/>
            <w:noWrap/>
            <w:hideMark/>
          </w:tcPr>
          <w:p w14:paraId="040AB858" w14:textId="7CA49C6B" w:rsidR="005E443D" w:rsidRPr="000973F2" w:rsidRDefault="004E64C7" w:rsidP="004E64C7">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w:t>
            </w:r>
          </w:p>
        </w:tc>
        <w:tc>
          <w:tcPr>
            <w:tcW w:w="848" w:type="dxa"/>
            <w:noWrap/>
            <w:hideMark/>
          </w:tcPr>
          <w:p w14:paraId="2A4EAA36" w14:textId="0BE970D3" w:rsidR="005E443D" w:rsidRPr="000973F2" w:rsidRDefault="004E64C7" w:rsidP="004E64C7">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w:t>
            </w:r>
          </w:p>
        </w:tc>
      </w:tr>
      <w:tr w:rsidR="008F751E" w:rsidRPr="000973F2" w14:paraId="0833F7C4" w14:textId="77777777" w:rsidTr="004E64C7">
        <w:trPr>
          <w:cantSplit/>
        </w:trPr>
        <w:tc>
          <w:tcPr>
            <w:cnfStyle w:val="001000000000" w:firstRow="0" w:lastRow="0" w:firstColumn="1" w:lastColumn="0" w:oddVBand="0" w:evenVBand="0" w:oddHBand="0" w:evenHBand="0" w:firstRowFirstColumn="0" w:firstRowLastColumn="0" w:lastRowFirstColumn="0" w:lastRowLastColumn="0"/>
            <w:tcW w:w="1335" w:type="dxa"/>
            <w:tcMar>
              <w:right w:w="14" w:type="dxa"/>
            </w:tcMar>
            <w:hideMark/>
          </w:tcPr>
          <w:p w14:paraId="2ED3C088" w14:textId="77777777" w:rsidR="0009278E" w:rsidRPr="000973F2" w:rsidRDefault="0009278E" w:rsidP="004E64C7">
            <w:pPr>
              <w:spacing w:before="40" w:after="4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Reporting</w:t>
            </w:r>
          </w:p>
        </w:tc>
        <w:tc>
          <w:tcPr>
            <w:tcW w:w="787" w:type="dxa"/>
            <w:noWrap/>
            <w:hideMark/>
          </w:tcPr>
          <w:p w14:paraId="0C8DE632" w14:textId="77777777" w:rsidR="0009278E" w:rsidRPr="000973F2" w:rsidRDefault="0009278E" w:rsidP="004E64C7">
            <w:pPr>
              <w:spacing w:before="40" w:after="4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0</w:t>
            </w:r>
          </w:p>
        </w:tc>
        <w:tc>
          <w:tcPr>
            <w:tcW w:w="787" w:type="dxa"/>
            <w:noWrap/>
            <w:hideMark/>
          </w:tcPr>
          <w:p w14:paraId="3AC4B5E6" w14:textId="77777777" w:rsidR="0009278E" w:rsidRPr="000973F2" w:rsidRDefault="0009278E" w:rsidP="004E64C7">
            <w:pPr>
              <w:spacing w:before="40" w:after="4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0</w:t>
            </w:r>
          </w:p>
        </w:tc>
        <w:tc>
          <w:tcPr>
            <w:tcW w:w="788" w:type="dxa"/>
            <w:noWrap/>
            <w:hideMark/>
          </w:tcPr>
          <w:p w14:paraId="27831910" w14:textId="77777777" w:rsidR="0009278E" w:rsidRPr="000973F2" w:rsidRDefault="0009278E" w:rsidP="004E64C7">
            <w:pPr>
              <w:spacing w:before="40" w:after="4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0</w:t>
            </w:r>
          </w:p>
        </w:tc>
        <w:tc>
          <w:tcPr>
            <w:tcW w:w="787" w:type="dxa"/>
            <w:noWrap/>
            <w:hideMark/>
          </w:tcPr>
          <w:p w14:paraId="6B6552DA" w14:textId="77777777" w:rsidR="0009278E" w:rsidRPr="000973F2" w:rsidRDefault="0009278E" w:rsidP="004E64C7">
            <w:pPr>
              <w:spacing w:before="40" w:after="4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1.0</w:t>
            </w:r>
          </w:p>
        </w:tc>
        <w:tc>
          <w:tcPr>
            <w:tcW w:w="787" w:type="dxa"/>
            <w:noWrap/>
            <w:hideMark/>
          </w:tcPr>
          <w:p w14:paraId="29285F72" w14:textId="77777777" w:rsidR="0009278E" w:rsidRPr="000973F2" w:rsidRDefault="0009278E" w:rsidP="004E64C7">
            <w:pPr>
              <w:spacing w:before="40" w:after="4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0</w:t>
            </w:r>
          </w:p>
        </w:tc>
        <w:tc>
          <w:tcPr>
            <w:tcW w:w="788" w:type="dxa"/>
            <w:noWrap/>
            <w:hideMark/>
          </w:tcPr>
          <w:p w14:paraId="0CE261C6" w14:textId="77777777" w:rsidR="0009278E" w:rsidRPr="000973F2" w:rsidRDefault="0009278E" w:rsidP="004E64C7">
            <w:pPr>
              <w:spacing w:before="40" w:after="4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4</w:t>
            </w:r>
          </w:p>
        </w:tc>
        <w:tc>
          <w:tcPr>
            <w:tcW w:w="787" w:type="dxa"/>
            <w:noWrap/>
            <w:hideMark/>
          </w:tcPr>
          <w:p w14:paraId="63CD95BC" w14:textId="77777777" w:rsidR="0009278E" w:rsidRPr="000973F2" w:rsidRDefault="0009278E" w:rsidP="004E64C7">
            <w:pPr>
              <w:spacing w:before="40" w:after="4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0</w:t>
            </w:r>
          </w:p>
        </w:tc>
        <w:tc>
          <w:tcPr>
            <w:tcW w:w="788" w:type="dxa"/>
            <w:noWrap/>
            <w:hideMark/>
          </w:tcPr>
          <w:p w14:paraId="60F63EF6" w14:textId="77777777" w:rsidR="0009278E" w:rsidRPr="000973F2" w:rsidRDefault="0009278E" w:rsidP="004E64C7">
            <w:pPr>
              <w:spacing w:before="40" w:after="4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1.0</w:t>
            </w:r>
          </w:p>
        </w:tc>
        <w:tc>
          <w:tcPr>
            <w:tcW w:w="848" w:type="dxa"/>
            <w:noWrap/>
            <w:hideMark/>
          </w:tcPr>
          <w:p w14:paraId="61DA5242" w14:textId="59FD6F7A" w:rsidR="0009278E" w:rsidRPr="000973F2" w:rsidRDefault="0009278E" w:rsidP="004E64C7">
            <w:pPr>
              <w:spacing w:before="40" w:after="4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$0</w:t>
            </w:r>
          </w:p>
        </w:tc>
        <w:tc>
          <w:tcPr>
            <w:tcW w:w="848" w:type="dxa"/>
            <w:noWrap/>
            <w:hideMark/>
          </w:tcPr>
          <w:p w14:paraId="0F92A797" w14:textId="6AAA886A" w:rsidR="0009278E" w:rsidRPr="000973F2" w:rsidRDefault="0009278E" w:rsidP="004E64C7">
            <w:pPr>
              <w:spacing w:before="40" w:after="4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$410</w:t>
            </w:r>
          </w:p>
        </w:tc>
      </w:tr>
      <w:tr w:rsidR="00AA6488" w:rsidRPr="000973F2" w14:paraId="069BE148" w14:textId="77777777" w:rsidTr="004E64C7">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1335" w:type="dxa"/>
            <w:noWrap/>
            <w:tcMar>
              <w:right w:w="14" w:type="dxa"/>
            </w:tcMar>
            <w:hideMark/>
          </w:tcPr>
          <w:p w14:paraId="4CB4DE9D" w14:textId="77777777" w:rsidR="0009278E" w:rsidRPr="000973F2" w:rsidRDefault="0009278E" w:rsidP="004E64C7">
            <w:pPr>
              <w:spacing w:before="40" w:after="40"/>
              <w:rPr>
                <w:rFonts w:ascii="Times New Roman" w:eastAsia="Times New Roman" w:hAnsi="Times New Roman" w:cs="Times New Roman"/>
                <w:b/>
                <w:bCs w:val="0"/>
                <w:sz w:val="18"/>
                <w:szCs w:val="18"/>
              </w:rPr>
            </w:pPr>
            <w:r w:rsidRPr="000973F2">
              <w:rPr>
                <w:rFonts w:ascii="Times New Roman" w:eastAsia="Times New Roman" w:hAnsi="Times New Roman" w:cs="Times New Roman"/>
                <w:b/>
                <w:sz w:val="18"/>
                <w:szCs w:val="18"/>
              </w:rPr>
              <w:t>Total</w:t>
            </w:r>
          </w:p>
        </w:tc>
        <w:tc>
          <w:tcPr>
            <w:tcW w:w="787" w:type="dxa"/>
            <w:noWrap/>
            <w:hideMark/>
          </w:tcPr>
          <w:p w14:paraId="51CD00A8" w14:textId="77777777" w:rsidR="0009278E" w:rsidRPr="000973F2" w:rsidRDefault="0009278E" w:rsidP="004E64C7">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18"/>
                <w:szCs w:val="18"/>
              </w:rPr>
            </w:pPr>
            <w:r w:rsidRPr="000973F2">
              <w:rPr>
                <w:rFonts w:ascii="Times New Roman" w:eastAsia="Times New Roman" w:hAnsi="Times New Roman" w:cs="Times New Roman"/>
                <w:b/>
                <w:bCs/>
                <w:sz w:val="18"/>
                <w:szCs w:val="18"/>
              </w:rPr>
              <w:t>0</w:t>
            </w:r>
          </w:p>
        </w:tc>
        <w:tc>
          <w:tcPr>
            <w:tcW w:w="787" w:type="dxa"/>
            <w:noWrap/>
            <w:hideMark/>
          </w:tcPr>
          <w:p w14:paraId="409EFBC8" w14:textId="77777777" w:rsidR="0009278E" w:rsidRPr="000973F2" w:rsidRDefault="0009278E" w:rsidP="004E64C7">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18"/>
                <w:szCs w:val="18"/>
              </w:rPr>
            </w:pPr>
            <w:r w:rsidRPr="000973F2">
              <w:rPr>
                <w:rFonts w:ascii="Times New Roman" w:eastAsia="Times New Roman" w:hAnsi="Times New Roman" w:cs="Times New Roman"/>
                <w:b/>
                <w:bCs/>
                <w:sz w:val="18"/>
                <w:szCs w:val="18"/>
              </w:rPr>
              <w:t>0</w:t>
            </w:r>
          </w:p>
        </w:tc>
        <w:tc>
          <w:tcPr>
            <w:tcW w:w="788" w:type="dxa"/>
            <w:noWrap/>
            <w:hideMark/>
          </w:tcPr>
          <w:p w14:paraId="2E2DFDD3" w14:textId="77777777" w:rsidR="0009278E" w:rsidRPr="000973F2" w:rsidRDefault="0009278E" w:rsidP="004E64C7">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18"/>
                <w:szCs w:val="18"/>
              </w:rPr>
            </w:pPr>
            <w:r w:rsidRPr="000973F2">
              <w:rPr>
                <w:rFonts w:ascii="Times New Roman" w:eastAsia="Times New Roman" w:hAnsi="Times New Roman" w:cs="Times New Roman"/>
                <w:b/>
                <w:bCs/>
                <w:sz w:val="18"/>
                <w:szCs w:val="18"/>
              </w:rPr>
              <w:t>0</w:t>
            </w:r>
          </w:p>
        </w:tc>
        <w:tc>
          <w:tcPr>
            <w:tcW w:w="787" w:type="dxa"/>
            <w:noWrap/>
            <w:hideMark/>
          </w:tcPr>
          <w:p w14:paraId="356F5D26" w14:textId="77777777" w:rsidR="0009278E" w:rsidRPr="000973F2" w:rsidRDefault="0009278E" w:rsidP="004E64C7">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18"/>
                <w:szCs w:val="18"/>
              </w:rPr>
            </w:pPr>
            <w:r w:rsidRPr="000973F2">
              <w:rPr>
                <w:rFonts w:ascii="Times New Roman" w:eastAsia="Times New Roman" w:hAnsi="Times New Roman" w:cs="Times New Roman"/>
                <w:b/>
                <w:bCs/>
                <w:sz w:val="18"/>
                <w:szCs w:val="18"/>
              </w:rPr>
              <w:t>1.5</w:t>
            </w:r>
          </w:p>
        </w:tc>
        <w:tc>
          <w:tcPr>
            <w:tcW w:w="787" w:type="dxa"/>
            <w:noWrap/>
            <w:hideMark/>
          </w:tcPr>
          <w:p w14:paraId="0C5537F3" w14:textId="77777777" w:rsidR="0009278E" w:rsidRPr="000973F2" w:rsidRDefault="0009278E" w:rsidP="004E64C7">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18"/>
                <w:szCs w:val="18"/>
              </w:rPr>
            </w:pPr>
            <w:r w:rsidRPr="000973F2">
              <w:rPr>
                <w:rFonts w:ascii="Times New Roman" w:eastAsia="Times New Roman" w:hAnsi="Times New Roman" w:cs="Times New Roman"/>
                <w:b/>
                <w:bCs/>
                <w:sz w:val="18"/>
                <w:szCs w:val="18"/>
              </w:rPr>
              <w:t>0</w:t>
            </w:r>
          </w:p>
        </w:tc>
        <w:tc>
          <w:tcPr>
            <w:tcW w:w="788" w:type="dxa"/>
            <w:noWrap/>
            <w:hideMark/>
          </w:tcPr>
          <w:p w14:paraId="3C502125" w14:textId="77777777" w:rsidR="0009278E" w:rsidRPr="000973F2" w:rsidRDefault="0009278E" w:rsidP="004E64C7">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18"/>
                <w:szCs w:val="18"/>
              </w:rPr>
            </w:pPr>
            <w:r w:rsidRPr="000973F2">
              <w:rPr>
                <w:rFonts w:ascii="Times New Roman" w:eastAsia="Times New Roman" w:hAnsi="Times New Roman" w:cs="Times New Roman"/>
                <w:b/>
                <w:bCs/>
                <w:sz w:val="18"/>
                <w:szCs w:val="18"/>
              </w:rPr>
              <w:t>6</w:t>
            </w:r>
          </w:p>
        </w:tc>
        <w:tc>
          <w:tcPr>
            <w:tcW w:w="787" w:type="dxa"/>
            <w:noWrap/>
            <w:hideMark/>
          </w:tcPr>
          <w:p w14:paraId="6914674C" w14:textId="77777777" w:rsidR="0009278E" w:rsidRPr="000973F2" w:rsidRDefault="0009278E" w:rsidP="004E64C7">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18"/>
                <w:szCs w:val="18"/>
              </w:rPr>
            </w:pPr>
            <w:r w:rsidRPr="000973F2">
              <w:rPr>
                <w:rFonts w:ascii="Times New Roman" w:eastAsia="Times New Roman" w:hAnsi="Times New Roman" w:cs="Times New Roman"/>
                <w:b/>
                <w:bCs/>
                <w:sz w:val="18"/>
                <w:szCs w:val="18"/>
              </w:rPr>
              <w:t>0</w:t>
            </w:r>
          </w:p>
        </w:tc>
        <w:tc>
          <w:tcPr>
            <w:tcW w:w="788" w:type="dxa"/>
            <w:noWrap/>
            <w:hideMark/>
          </w:tcPr>
          <w:p w14:paraId="4ECBCD2A" w14:textId="77777777" w:rsidR="0009278E" w:rsidRPr="000973F2" w:rsidRDefault="0009278E" w:rsidP="004E64C7">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18"/>
                <w:szCs w:val="18"/>
              </w:rPr>
            </w:pPr>
            <w:r w:rsidRPr="000973F2">
              <w:rPr>
                <w:rFonts w:ascii="Times New Roman" w:eastAsia="Times New Roman" w:hAnsi="Times New Roman" w:cs="Times New Roman"/>
                <w:b/>
                <w:bCs/>
                <w:sz w:val="18"/>
                <w:szCs w:val="18"/>
              </w:rPr>
              <w:t>1.5</w:t>
            </w:r>
          </w:p>
        </w:tc>
        <w:tc>
          <w:tcPr>
            <w:tcW w:w="848" w:type="dxa"/>
            <w:noWrap/>
            <w:hideMark/>
          </w:tcPr>
          <w:p w14:paraId="7B8A9614" w14:textId="2B403655" w:rsidR="0009278E" w:rsidRPr="000973F2" w:rsidRDefault="0009278E" w:rsidP="004E64C7">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18"/>
                <w:szCs w:val="18"/>
              </w:rPr>
            </w:pPr>
            <w:r w:rsidRPr="000973F2">
              <w:rPr>
                <w:rFonts w:ascii="Times New Roman" w:eastAsia="Times New Roman" w:hAnsi="Times New Roman" w:cs="Times New Roman"/>
                <w:b/>
                <w:bCs/>
                <w:sz w:val="18"/>
                <w:szCs w:val="18"/>
              </w:rPr>
              <w:t>$0</w:t>
            </w:r>
          </w:p>
        </w:tc>
        <w:tc>
          <w:tcPr>
            <w:tcW w:w="848" w:type="dxa"/>
            <w:noWrap/>
            <w:hideMark/>
          </w:tcPr>
          <w:p w14:paraId="0EAC6498" w14:textId="59711CF7" w:rsidR="0009278E" w:rsidRPr="000973F2" w:rsidRDefault="0009278E" w:rsidP="004E64C7">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18"/>
                <w:szCs w:val="18"/>
              </w:rPr>
            </w:pPr>
            <w:r w:rsidRPr="000973F2">
              <w:rPr>
                <w:rFonts w:ascii="Times New Roman" w:eastAsia="Times New Roman" w:hAnsi="Times New Roman" w:cs="Times New Roman"/>
                <w:b/>
                <w:bCs/>
                <w:sz w:val="18"/>
                <w:szCs w:val="18"/>
              </w:rPr>
              <w:t>$614</w:t>
            </w:r>
          </w:p>
        </w:tc>
      </w:tr>
    </w:tbl>
    <w:p w14:paraId="251E3444" w14:textId="77777777" w:rsidR="0009278E" w:rsidRPr="000973F2" w:rsidRDefault="0009278E" w:rsidP="004E64C7">
      <w:pPr>
        <w:pStyle w:val="AfterTable"/>
      </w:pPr>
    </w:p>
    <w:p w14:paraId="1757075E" w14:textId="77777777" w:rsidR="0009278E" w:rsidRPr="000973F2" w:rsidRDefault="0009278E" w:rsidP="004E64C7">
      <w:pPr>
        <w:pStyle w:val="Heading2"/>
      </w:pPr>
      <w:r w:rsidRPr="000973F2">
        <w:t>Capital and O&amp;M Costs for Subpart U</w:t>
      </w:r>
    </w:p>
    <w:p w14:paraId="00C24F89" w14:textId="52FF7EC0" w:rsidR="0009278E" w:rsidRPr="000973F2" w:rsidRDefault="0009278E" w:rsidP="004E64C7">
      <w:pPr>
        <w:pStyle w:val="BodyText"/>
      </w:pPr>
      <w:r w:rsidRPr="000973F2">
        <w:t xml:space="preserve">As shown in Table </w:t>
      </w:r>
      <w:r w:rsidR="004E64C7" w:rsidRPr="000973F2">
        <w:t>U-</w:t>
      </w:r>
      <w:r w:rsidRPr="000973F2">
        <w:t>2, facilities will only incur O&amp;M costs associated with recordkeeping as discussed in the Cost Appendix Introduction. N</w:t>
      </w:r>
      <w:r w:rsidRPr="000973F2">
        <w:rPr>
          <w:iCs/>
        </w:rPr>
        <w:t>o additional capital costs are expected because monthly measurement of the amount of each carbonate consumed are determined using the same plant instruments used for regular facility accounting purposes.</w:t>
      </w:r>
    </w:p>
    <w:p w14:paraId="3971D897" w14:textId="77777777" w:rsidR="0009278E" w:rsidRPr="000973F2" w:rsidRDefault="0009278E" w:rsidP="00C00E4F">
      <w:pPr>
        <w:spacing w:line="240" w:lineRule="auto"/>
        <w:rPr>
          <w:rFonts w:ascii="Times New Roman" w:hAnsi="Times New Roman" w:cs="Times New Roman"/>
          <w:b/>
          <w:szCs w:val="24"/>
        </w:rPr>
      </w:pPr>
    </w:p>
    <w:p w14:paraId="5F8EFDEF" w14:textId="77777777" w:rsidR="0009278E" w:rsidRPr="000973F2" w:rsidRDefault="0009278E" w:rsidP="00C00E4F">
      <w:pPr>
        <w:spacing w:line="240" w:lineRule="auto"/>
        <w:rPr>
          <w:rFonts w:ascii="Times New Roman" w:hAnsi="Times New Roman" w:cs="Times New Roman"/>
          <w:b/>
          <w:szCs w:val="24"/>
        </w:rPr>
      </w:pPr>
      <w:r w:rsidRPr="000973F2">
        <w:rPr>
          <w:rFonts w:ascii="Times New Roman" w:hAnsi="Times New Roman" w:cs="Times New Roman"/>
          <w:b/>
          <w:szCs w:val="24"/>
        </w:rPr>
        <w:br w:type="page"/>
      </w:r>
    </w:p>
    <w:p w14:paraId="0BB0A068" w14:textId="754AEEB4" w:rsidR="0009278E" w:rsidRPr="000973F2" w:rsidRDefault="002E6E01" w:rsidP="004E64C7">
      <w:pPr>
        <w:pStyle w:val="Tabletitle"/>
        <w:rPr>
          <w:sz w:val="24"/>
        </w:rPr>
      </w:pPr>
      <w:r w:rsidRPr="000973F2">
        <w:t xml:space="preserve">Table </w:t>
      </w:r>
      <w:r w:rsidR="004E64C7" w:rsidRPr="000973F2">
        <w:t>U-</w:t>
      </w:r>
      <w:r w:rsidRPr="000973F2">
        <w:t xml:space="preserve">2. Capital and O&amp;M Costs </w:t>
      </w:r>
      <w:r w:rsidR="00B960CC" w:rsidRPr="000973F2">
        <w:t>–</w:t>
      </w:r>
      <w:r w:rsidRPr="000973F2">
        <w:t xml:space="preserve"> Subpart</w:t>
      </w:r>
      <w:r w:rsidR="0009278E" w:rsidRPr="000973F2">
        <w:t xml:space="preserve"> U</w:t>
      </w:r>
    </w:p>
    <w:tbl>
      <w:tblPr>
        <w:tblStyle w:val="PlainTable1"/>
        <w:tblW w:w="5000" w:type="pct"/>
        <w:jc w:val="left"/>
        <w:tblLayout w:type="fixed"/>
        <w:tblCellMar>
          <w:left w:w="115" w:type="dxa"/>
          <w:right w:w="115" w:type="dxa"/>
        </w:tblCellMar>
        <w:tblLook w:val="04A0" w:firstRow="1" w:lastRow="0" w:firstColumn="1" w:lastColumn="0" w:noHBand="0" w:noVBand="1"/>
      </w:tblPr>
      <w:tblGrid>
        <w:gridCol w:w="1928"/>
        <w:gridCol w:w="1272"/>
        <w:gridCol w:w="1272"/>
        <w:gridCol w:w="1271"/>
        <w:gridCol w:w="1272"/>
        <w:gridCol w:w="1297"/>
        <w:gridCol w:w="1278"/>
      </w:tblGrid>
      <w:tr w:rsidR="00D17312" w:rsidRPr="000973F2" w14:paraId="77B9EF7B" w14:textId="77777777" w:rsidTr="004E64C7">
        <w:trPr>
          <w:cnfStyle w:val="100000000000" w:firstRow="1" w:lastRow="0" w:firstColumn="0" w:lastColumn="0" w:oddVBand="0" w:evenVBand="0" w:oddHBand="0" w:evenHBand="0" w:firstRowFirstColumn="0" w:firstRowLastColumn="0" w:lastRowFirstColumn="0" w:lastRowLastColumn="0"/>
          <w:cantSplit/>
          <w:jc w:val="left"/>
        </w:trPr>
        <w:tc>
          <w:tcPr>
            <w:cnfStyle w:val="001000000000" w:firstRow="0" w:lastRow="0" w:firstColumn="1" w:lastColumn="0" w:oddVBand="0" w:evenVBand="0" w:oddHBand="0" w:evenHBand="0" w:firstRowFirstColumn="0" w:firstRowLastColumn="0" w:lastRowFirstColumn="0" w:lastRowLastColumn="0"/>
            <w:tcW w:w="1875" w:type="dxa"/>
            <w:vMerge w:val="restart"/>
            <w:noWrap/>
            <w:vAlign w:val="top"/>
            <w:hideMark/>
          </w:tcPr>
          <w:p w14:paraId="12065C73" w14:textId="2305A754" w:rsidR="00D17312" w:rsidRPr="000973F2" w:rsidRDefault="00D17312" w:rsidP="004E64C7">
            <w:pPr>
              <w:spacing w:before="40" w:after="40"/>
              <w:rPr>
                <w:rFonts w:ascii="Times New Roman" w:eastAsia="Times New Roman" w:hAnsi="Times New Roman" w:cs="Times New Roman"/>
                <w:b w:val="0"/>
                <w:bCs w:val="0"/>
                <w:sz w:val="18"/>
                <w:szCs w:val="18"/>
              </w:rPr>
            </w:pPr>
            <w:r w:rsidRPr="000973F2">
              <w:rPr>
                <w:rFonts w:ascii="Times New Roman" w:eastAsia="Times New Roman" w:hAnsi="Times New Roman" w:cs="Times New Roman"/>
                <w:sz w:val="18"/>
                <w:szCs w:val="18"/>
              </w:rPr>
              <w:t>Activity</w:t>
            </w:r>
          </w:p>
        </w:tc>
        <w:tc>
          <w:tcPr>
            <w:tcW w:w="4950" w:type="dxa"/>
            <w:gridSpan w:val="4"/>
            <w:noWrap/>
            <w:vAlign w:val="top"/>
            <w:hideMark/>
          </w:tcPr>
          <w:p w14:paraId="191550C4" w14:textId="77777777" w:rsidR="00D17312" w:rsidRPr="000973F2" w:rsidRDefault="00D17312" w:rsidP="004E64C7">
            <w:pPr>
              <w:spacing w:before="40" w:after="40"/>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bCs w:val="0"/>
                <w:sz w:val="18"/>
                <w:szCs w:val="18"/>
              </w:rPr>
            </w:pPr>
            <w:r w:rsidRPr="000973F2">
              <w:rPr>
                <w:rFonts w:ascii="Times New Roman" w:eastAsia="Times New Roman" w:hAnsi="Times New Roman" w:cs="Times New Roman"/>
                <w:sz w:val="18"/>
                <w:szCs w:val="18"/>
              </w:rPr>
              <w:t>Cost Categories</w:t>
            </w:r>
          </w:p>
        </w:tc>
        <w:tc>
          <w:tcPr>
            <w:tcW w:w="2505" w:type="dxa"/>
            <w:gridSpan w:val="2"/>
            <w:vAlign w:val="top"/>
            <w:hideMark/>
          </w:tcPr>
          <w:p w14:paraId="57F54737" w14:textId="5A5D20B3" w:rsidR="00D17312" w:rsidRPr="000973F2" w:rsidRDefault="00D17312" w:rsidP="004E64C7">
            <w:pPr>
              <w:spacing w:before="40" w:after="40"/>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bCs w:val="0"/>
                <w:sz w:val="18"/>
                <w:szCs w:val="18"/>
              </w:rPr>
            </w:pPr>
            <w:r w:rsidRPr="000973F2">
              <w:rPr>
                <w:rFonts w:ascii="Times New Roman" w:eastAsia="Times New Roman" w:hAnsi="Times New Roman" w:cs="Times New Roman"/>
                <w:sz w:val="18"/>
                <w:szCs w:val="18"/>
              </w:rPr>
              <w:t>Total Capital and O&amp;M Cost per Year per Facility (2017$)</w:t>
            </w:r>
          </w:p>
        </w:tc>
      </w:tr>
      <w:tr w:rsidR="00D17312" w:rsidRPr="000973F2" w14:paraId="6ABE257C" w14:textId="77777777" w:rsidTr="004E64C7">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1875" w:type="dxa"/>
            <w:vMerge/>
            <w:noWrap/>
            <w:hideMark/>
          </w:tcPr>
          <w:p w14:paraId="33252E1B" w14:textId="7EAD7369" w:rsidR="00D17312" w:rsidRPr="000973F2" w:rsidRDefault="00D17312" w:rsidP="004E64C7">
            <w:pPr>
              <w:spacing w:before="40" w:after="40"/>
              <w:jc w:val="center"/>
              <w:rPr>
                <w:rFonts w:ascii="Times New Roman" w:eastAsia="Times New Roman" w:hAnsi="Times New Roman" w:cs="Times New Roman"/>
                <w:b/>
                <w:bCs w:val="0"/>
                <w:sz w:val="18"/>
                <w:szCs w:val="18"/>
              </w:rPr>
            </w:pPr>
          </w:p>
        </w:tc>
        <w:tc>
          <w:tcPr>
            <w:tcW w:w="1237" w:type="dxa"/>
            <w:hideMark/>
          </w:tcPr>
          <w:p w14:paraId="3466955B" w14:textId="77777777" w:rsidR="00D17312" w:rsidRPr="000973F2" w:rsidRDefault="00D17312" w:rsidP="004E64C7">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18"/>
                <w:szCs w:val="18"/>
              </w:rPr>
            </w:pPr>
            <w:r w:rsidRPr="000973F2">
              <w:rPr>
                <w:rFonts w:ascii="Times New Roman" w:eastAsia="Times New Roman" w:hAnsi="Times New Roman" w:cs="Times New Roman"/>
                <w:b/>
                <w:bCs/>
                <w:sz w:val="18"/>
                <w:szCs w:val="18"/>
              </w:rPr>
              <w:t>Capital Cost (2017$)</w:t>
            </w:r>
          </w:p>
        </w:tc>
        <w:tc>
          <w:tcPr>
            <w:tcW w:w="1238" w:type="dxa"/>
            <w:hideMark/>
          </w:tcPr>
          <w:p w14:paraId="5E7C8BD7" w14:textId="77777777" w:rsidR="00D17312" w:rsidRPr="000973F2" w:rsidRDefault="00D17312" w:rsidP="004E64C7">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18"/>
                <w:szCs w:val="18"/>
              </w:rPr>
            </w:pPr>
            <w:r w:rsidRPr="000973F2">
              <w:rPr>
                <w:rFonts w:ascii="Times New Roman" w:eastAsia="Times New Roman" w:hAnsi="Times New Roman" w:cs="Times New Roman"/>
                <w:b/>
                <w:bCs/>
                <w:sz w:val="18"/>
                <w:szCs w:val="18"/>
              </w:rPr>
              <w:t>Equipment Lifetime</w:t>
            </w:r>
          </w:p>
        </w:tc>
        <w:tc>
          <w:tcPr>
            <w:tcW w:w="1237" w:type="dxa"/>
            <w:hideMark/>
          </w:tcPr>
          <w:p w14:paraId="6B0D9164" w14:textId="77777777" w:rsidR="00D17312" w:rsidRPr="000973F2" w:rsidRDefault="00D17312" w:rsidP="004E64C7">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18"/>
                <w:szCs w:val="18"/>
              </w:rPr>
            </w:pPr>
            <w:r w:rsidRPr="000973F2">
              <w:rPr>
                <w:rFonts w:ascii="Times New Roman" w:eastAsia="Times New Roman" w:hAnsi="Times New Roman" w:cs="Times New Roman"/>
                <w:b/>
                <w:bCs/>
                <w:sz w:val="18"/>
                <w:szCs w:val="18"/>
              </w:rPr>
              <w:t>Annualized Capital Cost (2017$/year)</w:t>
            </w:r>
          </w:p>
        </w:tc>
        <w:tc>
          <w:tcPr>
            <w:tcW w:w="1238" w:type="dxa"/>
            <w:hideMark/>
          </w:tcPr>
          <w:p w14:paraId="028FA4D0" w14:textId="77777777" w:rsidR="00D17312" w:rsidRPr="000973F2" w:rsidRDefault="00D17312" w:rsidP="004E64C7">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18"/>
                <w:szCs w:val="18"/>
              </w:rPr>
            </w:pPr>
            <w:r w:rsidRPr="000973F2">
              <w:rPr>
                <w:rFonts w:ascii="Times New Roman" w:eastAsia="Times New Roman" w:hAnsi="Times New Roman" w:cs="Times New Roman"/>
                <w:b/>
                <w:bCs/>
                <w:sz w:val="18"/>
                <w:szCs w:val="18"/>
              </w:rPr>
              <w:t>O&amp;M Costs (2017$/year)</w:t>
            </w:r>
          </w:p>
        </w:tc>
        <w:tc>
          <w:tcPr>
            <w:tcW w:w="1262" w:type="dxa"/>
            <w:hideMark/>
          </w:tcPr>
          <w:p w14:paraId="5BB28039" w14:textId="77777777" w:rsidR="00D17312" w:rsidRPr="000973F2" w:rsidRDefault="00D17312" w:rsidP="004E64C7">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18"/>
                <w:szCs w:val="18"/>
              </w:rPr>
            </w:pPr>
            <w:r w:rsidRPr="000973F2">
              <w:rPr>
                <w:rFonts w:ascii="Times New Roman" w:eastAsia="Times New Roman" w:hAnsi="Times New Roman" w:cs="Times New Roman"/>
                <w:b/>
                <w:bCs/>
                <w:sz w:val="18"/>
                <w:szCs w:val="18"/>
              </w:rPr>
              <w:t>Initial Year</w:t>
            </w:r>
          </w:p>
        </w:tc>
        <w:tc>
          <w:tcPr>
            <w:tcW w:w="1243" w:type="dxa"/>
            <w:hideMark/>
          </w:tcPr>
          <w:p w14:paraId="69EE018B" w14:textId="77777777" w:rsidR="00D17312" w:rsidRPr="000973F2" w:rsidRDefault="00D17312" w:rsidP="004E64C7">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18"/>
                <w:szCs w:val="18"/>
              </w:rPr>
            </w:pPr>
            <w:r w:rsidRPr="000973F2">
              <w:rPr>
                <w:rFonts w:ascii="Times New Roman" w:eastAsia="Times New Roman" w:hAnsi="Times New Roman" w:cs="Times New Roman"/>
                <w:b/>
                <w:bCs/>
                <w:sz w:val="18"/>
                <w:szCs w:val="18"/>
              </w:rPr>
              <w:t>Subseq. Years</w:t>
            </w:r>
          </w:p>
        </w:tc>
      </w:tr>
      <w:tr w:rsidR="005E443D" w:rsidRPr="000973F2" w14:paraId="014F7432" w14:textId="77777777" w:rsidTr="004E64C7">
        <w:trPr>
          <w:cantSplit/>
        </w:trPr>
        <w:tc>
          <w:tcPr>
            <w:cnfStyle w:val="001000000000" w:firstRow="0" w:lastRow="0" w:firstColumn="1" w:lastColumn="0" w:oddVBand="0" w:evenVBand="0" w:oddHBand="0" w:evenHBand="0" w:firstRowFirstColumn="0" w:firstRowLastColumn="0" w:lastRowFirstColumn="0" w:lastRowLastColumn="0"/>
            <w:tcW w:w="1875" w:type="dxa"/>
            <w:tcMar>
              <w:right w:w="14" w:type="dxa"/>
            </w:tcMar>
            <w:hideMark/>
          </w:tcPr>
          <w:p w14:paraId="1BB0E6C8" w14:textId="77777777" w:rsidR="005E443D" w:rsidRPr="000973F2" w:rsidRDefault="005E443D" w:rsidP="004E64C7">
            <w:pPr>
              <w:spacing w:before="40" w:after="4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Equipment (selection, purchase, installation)</w:t>
            </w:r>
          </w:p>
        </w:tc>
        <w:tc>
          <w:tcPr>
            <w:tcW w:w="1237" w:type="dxa"/>
            <w:noWrap/>
            <w:hideMark/>
          </w:tcPr>
          <w:p w14:paraId="6C924D3C" w14:textId="275C3A08" w:rsidR="005E443D" w:rsidRPr="000973F2" w:rsidRDefault="004E64C7" w:rsidP="004E64C7">
            <w:pPr>
              <w:spacing w:before="40" w:after="4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w:t>
            </w:r>
          </w:p>
        </w:tc>
        <w:tc>
          <w:tcPr>
            <w:tcW w:w="1238" w:type="dxa"/>
            <w:noWrap/>
          </w:tcPr>
          <w:p w14:paraId="43A9FB0C" w14:textId="3913B045" w:rsidR="005E443D" w:rsidRPr="000973F2" w:rsidRDefault="005E443D" w:rsidP="004E64C7">
            <w:pPr>
              <w:spacing w:before="40" w:after="4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p>
        </w:tc>
        <w:tc>
          <w:tcPr>
            <w:tcW w:w="1237" w:type="dxa"/>
            <w:noWrap/>
            <w:hideMark/>
          </w:tcPr>
          <w:p w14:paraId="6B10C5C3" w14:textId="4692963A" w:rsidR="005E443D" w:rsidRPr="000973F2" w:rsidRDefault="004E64C7" w:rsidP="004E64C7">
            <w:pPr>
              <w:spacing w:before="40" w:after="4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w:t>
            </w:r>
          </w:p>
        </w:tc>
        <w:tc>
          <w:tcPr>
            <w:tcW w:w="1238" w:type="dxa"/>
            <w:noWrap/>
            <w:hideMark/>
          </w:tcPr>
          <w:p w14:paraId="7D7FB1D6" w14:textId="2F9F8C77" w:rsidR="005E443D" w:rsidRPr="000973F2" w:rsidRDefault="004E64C7" w:rsidP="004E64C7">
            <w:pPr>
              <w:spacing w:before="40" w:after="4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w:t>
            </w:r>
          </w:p>
        </w:tc>
        <w:tc>
          <w:tcPr>
            <w:tcW w:w="1262" w:type="dxa"/>
            <w:noWrap/>
            <w:hideMark/>
          </w:tcPr>
          <w:p w14:paraId="26D66371" w14:textId="2468BEE1" w:rsidR="005E443D" w:rsidRPr="000973F2" w:rsidRDefault="004E64C7" w:rsidP="004E64C7">
            <w:pPr>
              <w:spacing w:before="40" w:after="4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w:t>
            </w:r>
          </w:p>
        </w:tc>
        <w:tc>
          <w:tcPr>
            <w:tcW w:w="1243" w:type="dxa"/>
            <w:noWrap/>
            <w:hideMark/>
          </w:tcPr>
          <w:p w14:paraId="09B1B3E8" w14:textId="0FED57D3" w:rsidR="005E443D" w:rsidRPr="000973F2" w:rsidRDefault="004E64C7" w:rsidP="004E64C7">
            <w:pPr>
              <w:spacing w:before="40" w:after="4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w:t>
            </w:r>
          </w:p>
        </w:tc>
      </w:tr>
      <w:tr w:rsidR="0004335F" w:rsidRPr="000973F2" w14:paraId="19EF6B68" w14:textId="77777777" w:rsidTr="004E64C7">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1875" w:type="dxa"/>
            <w:tcMar>
              <w:right w:w="14" w:type="dxa"/>
            </w:tcMar>
            <w:hideMark/>
          </w:tcPr>
          <w:p w14:paraId="60295C62" w14:textId="77777777" w:rsidR="005E443D" w:rsidRPr="000973F2" w:rsidRDefault="005E443D" w:rsidP="004E64C7">
            <w:pPr>
              <w:spacing w:before="40" w:after="4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Performance testing</w:t>
            </w:r>
          </w:p>
        </w:tc>
        <w:tc>
          <w:tcPr>
            <w:tcW w:w="1237" w:type="dxa"/>
            <w:noWrap/>
            <w:hideMark/>
          </w:tcPr>
          <w:p w14:paraId="2DC9FA9D" w14:textId="3569D471" w:rsidR="005E443D" w:rsidRPr="000973F2" w:rsidRDefault="004E64C7" w:rsidP="004E64C7">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w:t>
            </w:r>
          </w:p>
        </w:tc>
        <w:tc>
          <w:tcPr>
            <w:tcW w:w="1238" w:type="dxa"/>
            <w:noWrap/>
          </w:tcPr>
          <w:p w14:paraId="38A02444" w14:textId="435E0A6D" w:rsidR="005E443D" w:rsidRPr="000973F2" w:rsidRDefault="005E443D" w:rsidP="004E64C7">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p>
        </w:tc>
        <w:tc>
          <w:tcPr>
            <w:tcW w:w="1237" w:type="dxa"/>
            <w:noWrap/>
            <w:hideMark/>
          </w:tcPr>
          <w:p w14:paraId="729C0643" w14:textId="1BE2144F" w:rsidR="005E443D" w:rsidRPr="000973F2" w:rsidRDefault="004E64C7" w:rsidP="004E64C7">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w:t>
            </w:r>
          </w:p>
        </w:tc>
        <w:tc>
          <w:tcPr>
            <w:tcW w:w="1238" w:type="dxa"/>
            <w:noWrap/>
            <w:hideMark/>
          </w:tcPr>
          <w:p w14:paraId="66A93611" w14:textId="513B0075" w:rsidR="005E443D" w:rsidRPr="000973F2" w:rsidRDefault="004E64C7" w:rsidP="004E64C7">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w:t>
            </w:r>
          </w:p>
        </w:tc>
        <w:tc>
          <w:tcPr>
            <w:tcW w:w="1262" w:type="dxa"/>
            <w:noWrap/>
            <w:hideMark/>
          </w:tcPr>
          <w:p w14:paraId="048C2297" w14:textId="5021E333" w:rsidR="005E443D" w:rsidRPr="000973F2" w:rsidRDefault="004E64C7" w:rsidP="004E64C7">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w:t>
            </w:r>
          </w:p>
        </w:tc>
        <w:tc>
          <w:tcPr>
            <w:tcW w:w="1243" w:type="dxa"/>
            <w:noWrap/>
            <w:hideMark/>
          </w:tcPr>
          <w:p w14:paraId="0F17AA5D" w14:textId="46A41DA4" w:rsidR="005E443D" w:rsidRPr="000973F2" w:rsidRDefault="004E64C7" w:rsidP="004E64C7">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w:t>
            </w:r>
          </w:p>
        </w:tc>
      </w:tr>
      <w:tr w:rsidR="008F751E" w:rsidRPr="000973F2" w14:paraId="5A1696FB" w14:textId="77777777" w:rsidTr="004E64C7">
        <w:trPr>
          <w:cantSplit/>
        </w:trPr>
        <w:tc>
          <w:tcPr>
            <w:cnfStyle w:val="001000000000" w:firstRow="0" w:lastRow="0" w:firstColumn="1" w:lastColumn="0" w:oddVBand="0" w:evenVBand="0" w:oddHBand="0" w:evenHBand="0" w:firstRowFirstColumn="0" w:firstRowLastColumn="0" w:lastRowFirstColumn="0" w:lastRowLastColumn="0"/>
            <w:tcW w:w="1875" w:type="dxa"/>
            <w:tcMar>
              <w:right w:w="14" w:type="dxa"/>
            </w:tcMar>
            <w:hideMark/>
          </w:tcPr>
          <w:p w14:paraId="10F84269" w14:textId="77777777" w:rsidR="0009278E" w:rsidRPr="000973F2" w:rsidRDefault="0009278E" w:rsidP="004E64C7">
            <w:pPr>
              <w:spacing w:before="40" w:after="4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Recordkeeping</w:t>
            </w:r>
          </w:p>
        </w:tc>
        <w:tc>
          <w:tcPr>
            <w:tcW w:w="1237" w:type="dxa"/>
            <w:noWrap/>
            <w:hideMark/>
          </w:tcPr>
          <w:p w14:paraId="1F187084" w14:textId="77777777" w:rsidR="0009278E" w:rsidRPr="000973F2" w:rsidRDefault="0009278E" w:rsidP="004E64C7">
            <w:pPr>
              <w:spacing w:before="40" w:after="4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$0</w:t>
            </w:r>
          </w:p>
        </w:tc>
        <w:tc>
          <w:tcPr>
            <w:tcW w:w="1238" w:type="dxa"/>
            <w:noWrap/>
          </w:tcPr>
          <w:p w14:paraId="07A13E8A" w14:textId="77777777" w:rsidR="0009278E" w:rsidRPr="000973F2" w:rsidRDefault="0009278E" w:rsidP="004E64C7">
            <w:pPr>
              <w:spacing w:before="40" w:after="4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p>
        </w:tc>
        <w:tc>
          <w:tcPr>
            <w:tcW w:w="1237" w:type="dxa"/>
            <w:noWrap/>
            <w:hideMark/>
          </w:tcPr>
          <w:p w14:paraId="4FE8EBA7" w14:textId="77777777" w:rsidR="0009278E" w:rsidRPr="000973F2" w:rsidRDefault="0009278E" w:rsidP="004E64C7">
            <w:pPr>
              <w:spacing w:before="40" w:after="4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$0</w:t>
            </w:r>
          </w:p>
        </w:tc>
        <w:tc>
          <w:tcPr>
            <w:tcW w:w="1238" w:type="dxa"/>
            <w:noWrap/>
            <w:hideMark/>
          </w:tcPr>
          <w:p w14:paraId="35A5565C" w14:textId="77777777" w:rsidR="0009278E" w:rsidRPr="000973F2" w:rsidRDefault="0009278E" w:rsidP="004E64C7">
            <w:pPr>
              <w:spacing w:before="40" w:after="4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$50</w:t>
            </w:r>
          </w:p>
        </w:tc>
        <w:tc>
          <w:tcPr>
            <w:tcW w:w="1262" w:type="dxa"/>
            <w:noWrap/>
            <w:hideMark/>
          </w:tcPr>
          <w:p w14:paraId="22EEE875" w14:textId="77777777" w:rsidR="0009278E" w:rsidRPr="000973F2" w:rsidRDefault="0009278E" w:rsidP="004E64C7">
            <w:pPr>
              <w:spacing w:before="40" w:after="4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$0</w:t>
            </w:r>
          </w:p>
        </w:tc>
        <w:tc>
          <w:tcPr>
            <w:tcW w:w="1243" w:type="dxa"/>
            <w:noWrap/>
            <w:hideMark/>
          </w:tcPr>
          <w:p w14:paraId="42588C99" w14:textId="77777777" w:rsidR="0009278E" w:rsidRPr="000973F2" w:rsidRDefault="0009278E" w:rsidP="004E64C7">
            <w:pPr>
              <w:spacing w:before="40" w:after="4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$50</w:t>
            </w:r>
          </w:p>
        </w:tc>
      </w:tr>
      <w:tr w:rsidR="0004335F" w:rsidRPr="000973F2" w14:paraId="487C88C7" w14:textId="77777777" w:rsidTr="004E64C7">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1875" w:type="dxa"/>
            <w:tcMar>
              <w:right w:w="14" w:type="dxa"/>
            </w:tcMar>
            <w:hideMark/>
          </w:tcPr>
          <w:p w14:paraId="2FAB0D60" w14:textId="77777777" w:rsidR="005E443D" w:rsidRPr="000973F2" w:rsidRDefault="005E443D" w:rsidP="004E64C7">
            <w:pPr>
              <w:spacing w:before="40" w:after="4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Travel</w:t>
            </w:r>
          </w:p>
        </w:tc>
        <w:tc>
          <w:tcPr>
            <w:tcW w:w="1237" w:type="dxa"/>
            <w:noWrap/>
            <w:hideMark/>
          </w:tcPr>
          <w:p w14:paraId="502CEED2" w14:textId="4AC805CA" w:rsidR="005E443D" w:rsidRPr="000973F2" w:rsidRDefault="004E64C7" w:rsidP="004E64C7">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w:t>
            </w:r>
          </w:p>
        </w:tc>
        <w:tc>
          <w:tcPr>
            <w:tcW w:w="1238" w:type="dxa"/>
            <w:noWrap/>
          </w:tcPr>
          <w:p w14:paraId="66D2CB0C" w14:textId="09C2DCC1" w:rsidR="005E443D" w:rsidRPr="000973F2" w:rsidRDefault="005E443D" w:rsidP="004E64C7">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p>
        </w:tc>
        <w:tc>
          <w:tcPr>
            <w:tcW w:w="1237" w:type="dxa"/>
            <w:noWrap/>
            <w:hideMark/>
          </w:tcPr>
          <w:p w14:paraId="3FC4869E" w14:textId="00751118" w:rsidR="005E443D" w:rsidRPr="000973F2" w:rsidRDefault="004E64C7" w:rsidP="004E64C7">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w:t>
            </w:r>
          </w:p>
        </w:tc>
        <w:tc>
          <w:tcPr>
            <w:tcW w:w="1238" w:type="dxa"/>
            <w:noWrap/>
            <w:hideMark/>
          </w:tcPr>
          <w:p w14:paraId="716D2D84" w14:textId="559C6F5E" w:rsidR="005E443D" w:rsidRPr="000973F2" w:rsidRDefault="004E64C7" w:rsidP="004E64C7">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w:t>
            </w:r>
          </w:p>
        </w:tc>
        <w:tc>
          <w:tcPr>
            <w:tcW w:w="1262" w:type="dxa"/>
            <w:noWrap/>
            <w:hideMark/>
          </w:tcPr>
          <w:p w14:paraId="04782428" w14:textId="7CDAE76B" w:rsidR="005E443D" w:rsidRPr="000973F2" w:rsidRDefault="004E64C7" w:rsidP="004E64C7">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w:t>
            </w:r>
          </w:p>
        </w:tc>
        <w:tc>
          <w:tcPr>
            <w:tcW w:w="1243" w:type="dxa"/>
            <w:noWrap/>
            <w:hideMark/>
          </w:tcPr>
          <w:p w14:paraId="100FC81C" w14:textId="415C4EA6" w:rsidR="005E443D" w:rsidRPr="000973F2" w:rsidRDefault="004E64C7" w:rsidP="004E64C7">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w:t>
            </w:r>
          </w:p>
        </w:tc>
      </w:tr>
      <w:tr w:rsidR="005E443D" w:rsidRPr="000973F2" w14:paraId="450390F7" w14:textId="77777777" w:rsidTr="004E64C7">
        <w:trPr>
          <w:cantSplit/>
        </w:trPr>
        <w:tc>
          <w:tcPr>
            <w:cnfStyle w:val="001000000000" w:firstRow="0" w:lastRow="0" w:firstColumn="1" w:lastColumn="0" w:oddVBand="0" w:evenVBand="0" w:oddHBand="0" w:evenHBand="0" w:firstRowFirstColumn="0" w:firstRowLastColumn="0" w:lastRowFirstColumn="0" w:lastRowLastColumn="0"/>
            <w:tcW w:w="1875" w:type="dxa"/>
            <w:tcMar>
              <w:right w:w="14" w:type="dxa"/>
            </w:tcMar>
            <w:hideMark/>
          </w:tcPr>
          <w:p w14:paraId="6C981361" w14:textId="40E2B567" w:rsidR="005E443D" w:rsidRPr="000973F2" w:rsidRDefault="005E443D" w:rsidP="004E64C7">
            <w:pPr>
              <w:spacing w:before="40" w:after="4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Sampling and Analysis Costs</w:t>
            </w:r>
          </w:p>
        </w:tc>
        <w:tc>
          <w:tcPr>
            <w:tcW w:w="1237" w:type="dxa"/>
            <w:noWrap/>
            <w:hideMark/>
          </w:tcPr>
          <w:p w14:paraId="212C6F52" w14:textId="3B6F21BC" w:rsidR="005E443D" w:rsidRPr="000973F2" w:rsidRDefault="004E64C7" w:rsidP="004E64C7">
            <w:pPr>
              <w:spacing w:before="40" w:after="4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w:t>
            </w:r>
          </w:p>
        </w:tc>
        <w:tc>
          <w:tcPr>
            <w:tcW w:w="1238" w:type="dxa"/>
            <w:noWrap/>
          </w:tcPr>
          <w:p w14:paraId="40B752AA" w14:textId="139B93D6" w:rsidR="005E443D" w:rsidRPr="000973F2" w:rsidRDefault="005E443D" w:rsidP="004E64C7">
            <w:pPr>
              <w:spacing w:before="40" w:after="4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p>
        </w:tc>
        <w:tc>
          <w:tcPr>
            <w:tcW w:w="1237" w:type="dxa"/>
            <w:noWrap/>
            <w:hideMark/>
          </w:tcPr>
          <w:p w14:paraId="53EB0E3C" w14:textId="61CF062A" w:rsidR="005E443D" w:rsidRPr="000973F2" w:rsidRDefault="004E64C7" w:rsidP="004E64C7">
            <w:pPr>
              <w:spacing w:before="40" w:after="4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w:t>
            </w:r>
          </w:p>
        </w:tc>
        <w:tc>
          <w:tcPr>
            <w:tcW w:w="1238" w:type="dxa"/>
            <w:noWrap/>
            <w:hideMark/>
          </w:tcPr>
          <w:p w14:paraId="7B8E02C3" w14:textId="68AD1306" w:rsidR="005E443D" w:rsidRPr="000973F2" w:rsidRDefault="004E64C7" w:rsidP="004E64C7">
            <w:pPr>
              <w:spacing w:before="40" w:after="4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w:t>
            </w:r>
          </w:p>
        </w:tc>
        <w:tc>
          <w:tcPr>
            <w:tcW w:w="1262" w:type="dxa"/>
            <w:noWrap/>
            <w:hideMark/>
          </w:tcPr>
          <w:p w14:paraId="120CF36B" w14:textId="203A5CAD" w:rsidR="005E443D" w:rsidRPr="000973F2" w:rsidRDefault="004E64C7" w:rsidP="004E64C7">
            <w:pPr>
              <w:spacing w:before="40" w:after="4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w:t>
            </w:r>
          </w:p>
        </w:tc>
        <w:tc>
          <w:tcPr>
            <w:tcW w:w="1243" w:type="dxa"/>
            <w:noWrap/>
            <w:hideMark/>
          </w:tcPr>
          <w:p w14:paraId="15E31E06" w14:textId="3EDB7894" w:rsidR="005E443D" w:rsidRPr="000973F2" w:rsidRDefault="004E64C7" w:rsidP="004E64C7">
            <w:pPr>
              <w:spacing w:before="40" w:after="4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w:t>
            </w:r>
          </w:p>
        </w:tc>
      </w:tr>
      <w:tr w:rsidR="008F751E" w:rsidRPr="000973F2" w14:paraId="04C7C8CA" w14:textId="77777777" w:rsidTr="004E64C7">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1875" w:type="dxa"/>
            <w:tcMar>
              <w:right w:w="14" w:type="dxa"/>
            </w:tcMar>
            <w:hideMark/>
          </w:tcPr>
          <w:p w14:paraId="34DD23D4" w14:textId="77777777" w:rsidR="0009278E" w:rsidRPr="000973F2" w:rsidRDefault="0009278E" w:rsidP="004E64C7">
            <w:pPr>
              <w:spacing w:before="40" w:after="40"/>
              <w:rPr>
                <w:rFonts w:ascii="Times New Roman" w:eastAsia="Times New Roman" w:hAnsi="Times New Roman" w:cs="Times New Roman"/>
                <w:b/>
                <w:bCs w:val="0"/>
                <w:sz w:val="18"/>
                <w:szCs w:val="18"/>
              </w:rPr>
            </w:pPr>
            <w:r w:rsidRPr="000973F2">
              <w:rPr>
                <w:rFonts w:ascii="Times New Roman" w:eastAsia="Times New Roman" w:hAnsi="Times New Roman" w:cs="Times New Roman"/>
                <w:b/>
                <w:sz w:val="18"/>
                <w:szCs w:val="18"/>
              </w:rPr>
              <w:t xml:space="preserve">Total </w:t>
            </w:r>
          </w:p>
        </w:tc>
        <w:tc>
          <w:tcPr>
            <w:tcW w:w="1237" w:type="dxa"/>
            <w:noWrap/>
            <w:hideMark/>
          </w:tcPr>
          <w:p w14:paraId="22B45C86" w14:textId="77777777" w:rsidR="0009278E" w:rsidRPr="000973F2" w:rsidRDefault="0009278E" w:rsidP="004E64C7">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$0</w:t>
            </w:r>
          </w:p>
        </w:tc>
        <w:tc>
          <w:tcPr>
            <w:tcW w:w="1238" w:type="dxa"/>
            <w:noWrap/>
            <w:hideMark/>
          </w:tcPr>
          <w:p w14:paraId="7C4E58B8" w14:textId="04ADA1B5" w:rsidR="0009278E" w:rsidRPr="000973F2" w:rsidRDefault="0009278E" w:rsidP="004E64C7">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p>
        </w:tc>
        <w:tc>
          <w:tcPr>
            <w:tcW w:w="1237" w:type="dxa"/>
            <w:noWrap/>
            <w:hideMark/>
          </w:tcPr>
          <w:p w14:paraId="64AE7517" w14:textId="77777777" w:rsidR="0009278E" w:rsidRPr="000973F2" w:rsidRDefault="0009278E" w:rsidP="004E64C7">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$0</w:t>
            </w:r>
          </w:p>
        </w:tc>
        <w:tc>
          <w:tcPr>
            <w:tcW w:w="1238" w:type="dxa"/>
            <w:noWrap/>
            <w:hideMark/>
          </w:tcPr>
          <w:p w14:paraId="13CEE314" w14:textId="77777777" w:rsidR="0009278E" w:rsidRPr="000973F2" w:rsidRDefault="0009278E" w:rsidP="004E64C7">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$50</w:t>
            </w:r>
          </w:p>
        </w:tc>
        <w:tc>
          <w:tcPr>
            <w:tcW w:w="1262" w:type="dxa"/>
            <w:noWrap/>
            <w:hideMark/>
          </w:tcPr>
          <w:p w14:paraId="02EA2314" w14:textId="77777777" w:rsidR="0009278E" w:rsidRPr="000973F2" w:rsidRDefault="0009278E" w:rsidP="004E64C7">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$0</w:t>
            </w:r>
          </w:p>
        </w:tc>
        <w:tc>
          <w:tcPr>
            <w:tcW w:w="1243" w:type="dxa"/>
            <w:noWrap/>
            <w:hideMark/>
          </w:tcPr>
          <w:p w14:paraId="6B505B34" w14:textId="77777777" w:rsidR="0009278E" w:rsidRPr="000973F2" w:rsidRDefault="0009278E" w:rsidP="004E64C7">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$50</w:t>
            </w:r>
          </w:p>
        </w:tc>
      </w:tr>
    </w:tbl>
    <w:p w14:paraId="7F6EB157" w14:textId="77777777" w:rsidR="0009278E" w:rsidRPr="000973F2" w:rsidRDefault="0009278E" w:rsidP="004E64C7">
      <w:pPr>
        <w:pStyle w:val="AfterTable"/>
      </w:pPr>
    </w:p>
    <w:p w14:paraId="251A45B5" w14:textId="77777777" w:rsidR="0009278E" w:rsidRPr="000973F2" w:rsidRDefault="0009278E" w:rsidP="004E64C7">
      <w:pPr>
        <w:pStyle w:val="Heading2"/>
      </w:pPr>
      <w:r w:rsidRPr="000973F2">
        <w:t>Total Costs for Subpart U</w:t>
      </w:r>
    </w:p>
    <w:p w14:paraId="7BF0EC3E" w14:textId="400607F1" w:rsidR="0009278E" w:rsidRPr="000973F2" w:rsidRDefault="0009278E" w:rsidP="004E64C7">
      <w:pPr>
        <w:pStyle w:val="BodyText"/>
      </w:pPr>
      <w:r w:rsidRPr="000973F2">
        <w:t>The total industry costs related to Subpart U are approximately $4,</w:t>
      </w:r>
      <w:r w:rsidR="008348F8" w:rsidRPr="000973F2">
        <w:t>7</w:t>
      </w:r>
      <w:r w:rsidRPr="000973F2">
        <w:t xml:space="preserve">00 per year for a total of </w:t>
      </w:r>
      <w:r w:rsidR="00971236" w:rsidRPr="000973F2">
        <w:t xml:space="preserve">approximately </w:t>
      </w:r>
      <w:r w:rsidRPr="000973F2">
        <w:t>$14,000 over the three-year period of the ICR. Seven facilities are expected to report in 2019, 2020, and 2021.</w:t>
      </w:r>
    </w:p>
    <w:p w14:paraId="64A40F44" w14:textId="77777777" w:rsidR="0009278E" w:rsidRPr="000973F2" w:rsidRDefault="0009278E" w:rsidP="00C00E4F">
      <w:pPr>
        <w:spacing w:line="240" w:lineRule="auto"/>
        <w:rPr>
          <w:rFonts w:ascii="Times New Roman" w:hAnsi="Times New Roman" w:cs="Times New Roman"/>
          <w:sz w:val="24"/>
          <w:szCs w:val="24"/>
        </w:rPr>
      </w:pPr>
    </w:p>
    <w:p w14:paraId="75B90994" w14:textId="44DD2F05" w:rsidR="009F1933" w:rsidRPr="000973F2" w:rsidRDefault="009F1933" w:rsidP="00C00E4F">
      <w:pPr>
        <w:spacing w:line="240" w:lineRule="auto"/>
        <w:rPr>
          <w:rFonts w:ascii="Times New Roman" w:hAnsi="Times New Roman" w:cs="Times New Roman"/>
        </w:rPr>
      </w:pPr>
      <w:r w:rsidRPr="000973F2">
        <w:rPr>
          <w:rFonts w:ascii="Times New Roman" w:hAnsi="Times New Roman" w:cs="Times New Roman"/>
        </w:rPr>
        <w:br w:type="page"/>
      </w:r>
    </w:p>
    <w:p w14:paraId="007BE9AB" w14:textId="426B87EF" w:rsidR="009A6027" w:rsidRPr="000973F2" w:rsidRDefault="009A6027" w:rsidP="004E64C7">
      <w:pPr>
        <w:pStyle w:val="Heading1"/>
      </w:pPr>
      <w:bookmarkStart w:id="35" w:name="_Toc10715613"/>
      <w:r w:rsidRPr="000973F2">
        <w:t>Cost Appendix</w:t>
      </w:r>
      <w:r w:rsidR="00C779C1" w:rsidRPr="000973F2">
        <w:t xml:space="preserve"> for</w:t>
      </w:r>
      <w:r w:rsidRPr="000973F2">
        <w:t xml:space="preserve"> Subpart V – Nitric Acid Production</w:t>
      </w:r>
      <w:bookmarkEnd w:id="35"/>
    </w:p>
    <w:p w14:paraId="2CBFEE09" w14:textId="77777777" w:rsidR="009A6027" w:rsidRPr="000973F2" w:rsidRDefault="009A6027" w:rsidP="004E64C7">
      <w:pPr>
        <w:pStyle w:val="Heading2"/>
      </w:pPr>
      <w:r w:rsidRPr="000973F2">
        <w:t>Description of Subpart V</w:t>
      </w:r>
    </w:p>
    <w:p w14:paraId="5A1B897D" w14:textId="222DB994" w:rsidR="009A6027" w:rsidRPr="000973F2" w:rsidRDefault="009A6027" w:rsidP="004E64C7">
      <w:pPr>
        <w:pStyle w:val="BodyText"/>
        <w:rPr>
          <w:rStyle w:val="SubtleEmphasis"/>
        </w:rPr>
      </w:pPr>
      <w:r w:rsidRPr="000973F2">
        <w:t xml:space="preserve">For purposes of the GHGRP, nitric acid production involves the production of nitric acid using one or more trains. A nitric acid train produces nitric acid through the catalytic oxidation of ammonia. For </w:t>
      </w:r>
      <w:r w:rsidR="009E0F0E" w:rsidRPr="000973F2">
        <w:t>RY</w:t>
      </w:r>
      <w:r w:rsidRPr="000973F2">
        <w:t xml:space="preserve">2017, 32 facilities reported to Subpart V. The number of facilities in </w:t>
      </w:r>
      <w:r w:rsidR="00941B95" w:rsidRPr="000973F2">
        <w:t>S</w:t>
      </w:r>
      <w:r w:rsidRPr="000973F2">
        <w:t>ubpart V has varied over the course of the GHGRP. Based on the number of facilities over the most recent period, no new facilities are expected in each of the next 3 reporting years. While this subpart applies to strong nitric acid producers after RY2017, the only producer of strong nitric acid in the United States also produces weak nitric acid and already reports to Subpart V. Initial year costs apply to new facilities, therefore these costs are zero in the tables below.</w:t>
      </w:r>
    </w:p>
    <w:p w14:paraId="6D766AEB" w14:textId="252C025E" w:rsidR="009A6027" w:rsidRPr="000973F2" w:rsidRDefault="009A6027" w:rsidP="004E64C7">
      <w:pPr>
        <w:pStyle w:val="BodyText"/>
      </w:pPr>
      <w:r w:rsidRPr="000973F2">
        <w:t xml:space="preserve">There are three options for determining GHG emissions under Subpart V. The annual performance test option at </w:t>
      </w:r>
      <w:r w:rsidR="00D2261D" w:rsidRPr="000973F2">
        <w:t>§</w:t>
      </w:r>
      <w:r w:rsidRPr="000973F2">
        <w:t>98.224(a)(1) requires an annual performance test to determine the N</w:t>
      </w:r>
      <w:r w:rsidRPr="000973F2">
        <w:rPr>
          <w:vertAlign w:val="subscript"/>
        </w:rPr>
        <w:t>2</w:t>
      </w:r>
      <w:r w:rsidRPr="000973F2">
        <w:t>O emission factor, which is then used to calculate N</w:t>
      </w:r>
      <w:r w:rsidRPr="000973F2">
        <w:rPr>
          <w:vertAlign w:val="subscript"/>
        </w:rPr>
        <w:t>2</w:t>
      </w:r>
      <w:r w:rsidRPr="000973F2">
        <w:t>O emissions, using the total annual nitric acid production rate, broken into two sets of costs. One set of costs are for facilities that do not have N</w:t>
      </w:r>
      <w:r w:rsidRPr="000973F2">
        <w:rPr>
          <w:vertAlign w:val="subscript"/>
        </w:rPr>
        <w:t>2</w:t>
      </w:r>
      <w:r w:rsidRPr="000973F2">
        <w:t>O abatement technologies and the other set of costs are for facilities that have N</w:t>
      </w:r>
      <w:r w:rsidRPr="000973F2">
        <w:rPr>
          <w:vertAlign w:val="subscript"/>
        </w:rPr>
        <w:t>2</w:t>
      </w:r>
      <w:r w:rsidRPr="000973F2">
        <w:t xml:space="preserve">O abatement technologies. The alternative monitoring method option at </w:t>
      </w:r>
      <w:r w:rsidR="00D2261D" w:rsidRPr="000973F2">
        <w:t>§</w:t>
      </w:r>
      <w:r w:rsidRPr="000973F2">
        <w:t>98.223(b) allows the facility to use existing monitoring equipment (such as continuous monitoring of N</w:t>
      </w:r>
      <w:r w:rsidRPr="000973F2">
        <w:rPr>
          <w:vertAlign w:val="subscript"/>
        </w:rPr>
        <w:t>2</w:t>
      </w:r>
      <w:r w:rsidRPr="000973F2">
        <w:t>O emissions) to determine total N</w:t>
      </w:r>
      <w:r w:rsidRPr="000973F2">
        <w:rPr>
          <w:vertAlign w:val="subscript"/>
        </w:rPr>
        <w:t>2</w:t>
      </w:r>
      <w:r w:rsidRPr="000973F2">
        <w:t>O emissions. Of the 32 facilities reporting in RY2017, 29 use the annual performance test option (14 with abatement and 15 without abatement) and three use the alternative monitoring method option. Most facilities in Subpart V have 1 or 2 nitric acid trains per facility, with an average of 1.63 nitric acid trains per facility used for cost calculations.</w:t>
      </w:r>
    </w:p>
    <w:p w14:paraId="16544204" w14:textId="77777777" w:rsidR="009A6027" w:rsidRPr="000973F2" w:rsidRDefault="009A6027" w:rsidP="004E64C7">
      <w:pPr>
        <w:pStyle w:val="Heading2"/>
      </w:pPr>
      <w:r w:rsidRPr="000973F2">
        <w:t>Labor Costs for Subpart V - Annual Performance Test Option (without Abatement)</w:t>
      </w:r>
    </w:p>
    <w:p w14:paraId="39753ED6" w14:textId="45BE1C22" w:rsidR="009A6027" w:rsidRPr="000973F2" w:rsidRDefault="009A6027" w:rsidP="004E64C7">
      <w:pPr>
        <w:pStyle w:val="BodyText"/>
      </w:pPr>
      <w:r w:rsidRPr="000973F2">
        <w:t xml:space="preserve">Table </w:t>
      </w:r>
      <w:r w:rsidR="004E64C7" w:rsidRPr="000973F2">
        <w:t>V-</w:t>
      </w:r>
      <w:r w:rsidRPr="000973F2">
        <w:t xml:space="preserve">1a below includes the labor hours for each of the 15 facilities using the annual performance test option (without abatement) to determine emissions under Subpart V. Typical activities related to planning, QA/QC, recordkeeping and reporting, and sampling and analysis (which includes emissions calculations) are discussed in the Cost Appendix Introduction. In addition, labor costs include planning hours related to the required annual performance test: preparing for equipment shutdown prior to testing, contacting the test company, setting up the testing, attending the performance test, etc. Recordkeeping and reporting hours for Subpart V are based on the “low bin” designation, as </w:t>
      </w:r>
      <w:r w:rsidR="00D2261D" w:rsidRPr="000973F2">
        <w:t xml:space="preserve">discussed </w:t>
      </w:r>
      <w:r w:rsidRPr="000973F2">
        <w:t xml:space="preserve">in the Cost Appendix Introduction. Unlike most subparts, QA/QC hours are not expected because the annual performance test (and related QA/QC) is performed by a contractor; </w:t>
      </w:r>
      <w:r w:rsidR="00D2261D" w:rsidRPr="000973F2">
        <w:t xml:space="preserve">as such </w:t>
      </w:r>
      <w:r w:rsidRPr="000973F2">
        <w:t xml:space="preserve">both costs are represented as O&amp;M costs (see Table V-2a below) rather than labor costs. </w:t>
      </w:r>
    </w:p>
    <w:p w14:paraId="61F87819" w14:textId="0350FCA3" w:rsidR="009A6027" w:rsidRPr="000973F2" w:rsidRDefault="009A6027" w:rsidP="005C2715">
      <w:pPr>
        <w:pStyle w:val="BodyText"/>
      </w:pPr>
      <w:r w:rsidRPr="000973F2">
        <w:rPr>
          <w:iCs/>
        </w:rPr>
        <w:t xml:space="preserve">Sampling and analysis </w:t>
      </w:r>
      <w:r w:rsidRPr="000973F2">
        <w:t>costs for the annual performance test option (without abatement) include time to calculate the N</w:t>
      </w:r>
      <w:r w:rsidRPr="000973F2">
        <w:rPr>
          <w:vertAlign w:val="subscript"/>
        </w:rPr>
        <w:t>2</w:t>
      </w:r>
      <w:r w:rsidRPr="000973F2">
        <w:t>O emission factor (according to Equation V-1) using the information gathered during the performance test and to calculate total N</w:t>
      </w:r>
      <w:r w:rsidRPr="000973F2">
        <w:rPr>
          <w:vertAlign w:val="subscript"/>
        </w:rPr>
        <w:t>2</w:t>
      </w:r>
      <w:r w:rsidRPr="000973F2">
        <w:t>O emissions from the nitric acid trains.</w:t>
      </w:r>
    </w:p>
    <w:p w14:paraId="1424478D" w14:textId="77777777" w:rsidR="009A6027" w:rsidRPr="000973F2" w:rsidRDefault="009A6027" w:rsidP="00C00E4F">
      <w:pPr>
        <w:spacing w:line="240" w:lineRule="auto"/>
        <w:jc w:val="center"/>
        <w:rPr>
          <w:rFonts w:ascii="Times New Roman" w:hAnsi="Times New Roman" w:cs="Times New Roman"/>
          <w:b/>
        </w:rPr>
      </w:pPr>
      <w:r w:rsidRPr="000973F2">
        <w:rPr>
          <w:rFonts w:ascii="Times New Roman" w:hAnsi="Times New Roman" w:cs="Times New Roman"/>
          <w:b/>
        </w:rPr>
        <w:br w:type="page"/>
      </w:r>
    </w:p>
    <w:p w14:paraId="4ED9B859" w14:textId="5DFA53B1" w:rsidR="009A6027" w:rsidRPr="000973F2" w:rsidRDefault="002E6E01" w:rsidP="005C2715">
      <w:pPr>
        <w:pStyle w:val="Tabletitle"/>
      </w:pPr>
      <w:r w:rsidRPr="000973F2">
        <w:t xml:space="preserve">Table </w:t>
      </w:r>
      <w:r w:rsidR="005C2715" w:rsidRPr="000973F2">
        <w:t>V-</w:t>
      </w:r>
      <w:r w:rsidRPr="000973F2">
        <w:t xml:space="preserve">1a. Labor Costs </w:t>
      </w:r>
      <w:r w:rsidR="00B960CC" w:rsidRPr="000973F2">
        <w:t>–</w:t>
      </w:r>
      <w:r w:rsidRPr="000973F2">
        <w:t xml:space="preserve"> </w:t>
      </w:r>
      <w:r w:rsidR="009A6027" w:rsidRPr="000973F2">
        <w:t>Subpart V – Annual Performance Test Option (without Abatement)</w:t>
      </w:r>
    </w:p>
    <w:tbl>
      <w:tblPr>
        <w:tblStyle w:val="PlainTable1"/>
        <w:tblW w:w="5000" w:type="pct"/>
        <w:jc w:val="left"/>
        <w:tblLayout w:type="fixed"/>
        <w:tblCellMar>
          <w:left w:w="115" w:type="dxa"/>
          <w:right w:w="115" w:type="dxa"/>
        </w:tblCellMar>
        <w:tblLook w:val="04A0" w:firstRow="1" w:lastRow="0" w:firstColumn="1" w:lastColumn="0" w:noHBand="0" w:noVBand="1"/>
      </w:tblPr>
      <w:tblGrid>
        <w:gridCol w:w="1366"/>
        <w:gridCol w:w="726"/>
        <w:gridCol w:w="849"/>
        <w:gridCol w:w="730"/>
        <w:gridCol w:w="938"/>
        <w:gridCol w:w="715"/>
        <w:gridCol w:w="953"/>
        <w:gridCol w:w="741"/>
        <w:gridCol w:w="928"/>
        <w:gridCol w:w="741"/>
        <w:gridCol w:w="903"/>
      </w:tblGrid>
      <w:tr w:rsidR="009A6027" w:rsidRPr="000973F2" w14:paraId="38323DF0" w14:textId="77777777" w:rsidTr="005C2715">
        <w:trPr>
          <w:cnfStyle w:val="100000000000" w:firstRow="1" w:lastRow="0" w:firstColumn="0" w:lastColumn="0" w:oddVBand="0" w:evenVBand="0" w:oddHBand="0" w:evenHBand="0" w:firstRowFirstColumn="0" w:firstRowLastColumn="0" w:lastRowFirstColumn="0" w:lastRowLastColumn="0"/>
          <w:cantSplit/>
          <w:jc w:val="left"/>
        </w:trPr>
        <w:tc>
          <w:tcPr>
            <w:cnfStyle w:val="001000000000" w:firstRow="0" w:lastRow="0" w:firstColumn="1" w:lastColumn="0" w:oddVBand="0" w:evenVBand="0" w:oddHBand="0" w:evenHBand="0" w:firstRowFirstColumn="0" w:firstRowLastColumn="0" w:lastRowFirstColumn="0" w:lastRowLastColumn="0"/>
            <w:tcW w:w="1331" w:type="dxa"/>
            <w:vMerge w:val="restart"/>
            <w:noWrap/>
            <w:vAlign w:val="top"/>
            <w:hideMark/>
          </w:tcPr>
          <w:p w14:paraId="11821D27" w14:textId="77777777" w:rsidR="009A6027" w:rsidRPr="000973F2" w:rsidRDefault="009A6027" w:rsidP="005C2715">
            <w:pPr>
              <w:spacing w:before="40" w:after="40"/>
              <w:rPr>
                <w:rFonts w:ascii="Times New Roman" w:eastAsia="Times New Roman" w:hAnsi="Times New Roman" w:cs="Times New Roman"/>
                <w:b w:val="0"/>
                <w:bCs w:val="0"/>
                <w:sz w:val="18"/>
                <w:szCs w:val="18"/>
              </w:rPr>
            </w:pPr>
            <w:r w:rsidRPr="000973F2">
              <w:rPr>
                <w:rFonts w:ascii="Times New Roman" w:eastAsia="Times New Roman" w:hAnsi="Times New Roman" w:cs="Times New Roman"/>
                <w:sz w:val="18"/>
                <w:szCs w:val="18"/>
              </w:rPr>
              <w:t>Activity</w:t>
            </w:r>
          </w:p>
        </w:tc>
        <w:tc>
          <w:tcPr>
            <w:tcW w:w="6410" w:type="dxa"/>
            <w:gridSpan w:val="8"/>
            <w:noWrap/>
            <w:vAlign w:val="top"/>
            <w:hideMark/>
          </w:tcPr>
          <w:p w14:paraId="47A52D72" w14:textId="77777777" w:rsidR="009A6027" w:rsidRPr="000973F2" w:rsidRDefault="009A6027" w:rsidP="005C2715">
            <w:pPr>
              <w:spacing w:before="40" w:after="40"/>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bCs w:val="0"/>
                <w:sz w:val="18"/>
                <w:szCs w:val="18"/>
              </w:rPr>
            </w:pPr>
            <w:r w:rsidRPr="000973F2">
              <w:rPr>
                <w:rFonts w:ascii="Times New Roman" w:eastAsia="Times New Roman" w:hAnsi="Times New Roman" w:cs="Times New Roman"/>
                <w:sz w:val="18"/>
                <w:szCs w:val="18"/>
              </w:rPr>
              <w:t>Labor Rates (per hour)</w:t>
            </w:r>
          </w:p>
        </w:tc>
        <w:tc>
          <w:tcPr>
            <w:tcW w:w="1602" w:type="dxa"/>
            <w:gridSpan w:val="2"/>
            <w:vMerge w:val="restart"/>
            <w:vAlign w:val="top"/>
            <w:hideMark/>
          </w:tcPr>
          <w:p w14:paraId="2BD57D3C" w14:textId="27077BC7" w:rsidR="009A6027" w:rsidRPr="000973F2" w:rsidRDefault="009A6027" w:rsidP="005C2715">
            <w:pPr>
              <w:spacing w:before="40" w:after="40"/>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bCs w:val="0"/>
                <w:sz w:val="18"/>
                <w:szCs w:val="18"/>
              </w:rPr>
            </w:pPr>
            <w:r w:rsidRPr="000973F2">
              <w:rPr>
                <w:rFonts w:ascii="Times New Roman" w:eastAsia="Times New Roman" w:hAnsi="Times New Roman" w:cs="Times New Roman"/>
                <w:sz w:val="18"/>
                <w:szCs w:val="18"/>
              </w:rPr>
              <w:t>Total Labor Cost per Year per Facility</w:t>
            </w:r>
            <w:r w:rsidR="005C2715" w:rsidRPr="000973F2">
              <w:rPr>
                <w:rFonts w:ascii="Times New Roman" w:eastAsia="Times New Roman" w:hAnsi="Times New Roman" w:cs="Times New Roman"/>
                <w:sz w:val="18"/>
                <w:szCs w:val="18"/>
              </w:rPr>
              <w:t xml:space="preserve"> </w:t>
            </w:r>
            <w:r w:rsidRPr="000973F2">
              <w:rPr>
                <w:rFonts w:ascii="Times New Roman" w:eastAsia="Times New Roman" w:hAnsi="Times New Roman" w:cs="Times New Roman"/>
                <w:sz w:val="18"/>
                <w:szCs w:val="18"/>
              </w:rPr>
              <w:t>(2017$)</w:t>
            </w:r>
          </w:p>
        </w:tc>
      </w:tr>
      <w:tr w:rsidR="009A6027" w:rsidRPr="000973F2" w14:paraId="43D0BC7D" w14:textId="77777777" w:rsidTr="005C2715">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1331" w:type="dxa"/>
            <w:vMerge/>
            <w:hideMark/>
          </w:tcPr>
          <w:p w14:paraId="7A7F038A" w14:textId="77777777" w:rsidR="009A6027" w:rsidRPr="000973F2" w:rsidRDefault="009A6027" w:rsidP="005C2715">
            <w:pPr>
              <w:spacing w:before="40" w:after="40"/>
              <w:rPr>
                <w:rFonts w:ascii="Times New Roman" w:eastAsia="Times New Roman" w:hAnsi="Times New Roman" w:cs="Times New Roman"/>
                <w:b/>
                <w:bCs w:val="0"/>
                <w:sz w:val="18"/>
                <w:szCs w:val="18"/>
              </w:rPr>
            </w:pPr>
          </w:p>
        </w:tc>
        <w:tc>
          <w:tcPr>
            <w:tcW w:w="1534" w:type="dxa"/>
            <w:gridSpan w:val="2"/>
            <w:noWrap/>
            <w:hideMark/>
          </w:tcPr>
          <w:p w14:paraId="75B7BFCA" w14:textId="77777777" w:rsidR="009A6027" w:rsidRPr="000973F2" w:rsidRDefault="009A6027" w:rsidP="005C2715">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18"/>
                <w:szCs w:val="18"/>
              </w:rPr>
            </w:pPr>
            <w:r w:rsidRPr="000973F2">
              <w:rPr>
                <w:rFonts w:ascii="Times New Roman" w:eastAsia="Times New Roman" w:hAnsi="Times New Roman" w:cs="Times New Roman"/>
                <w:b/>
                <w:bCs/>
                <w:sz w:val="18"/>
                <w:szCs w:val="18"/>
              </w:rPr>
              <w:t>Lawyer</w:t>
            </w:r>
          </w:p>
        </w:tc>
        <w:tc>
          <w:tcPr>
            <w:tcW w:w="1625" w:type="dxa"/>
            <w:gridSpan w:val="2"/>
            <w:noWrap/>
            <w:hideMark/>
          </w:tcPr>
          <w:p w14:paraId="25458F90" w14:textId="77777777" w:rsidR="009A6027" w:rsidRPr="000973F2" w:rsidRDefault="009A6027" w:rsidP="005C2715">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18"/>
                <w:szCs w:val="18"/>
              </w:rPr>
            </w:pPr>
            <w:r w:rsidRPr="000973F2">
              <w:rPr>
                <w:rFonts w:ascii="Times New Roman" w:eastAsia="Times New Roman" w:hAnsi="Times New Roman" w:cs="Times New Roman"/>
                <w:b/>
                <w:bCs/>
                <w:sz w:val="18"/>
                <w:szCs w:val="18"/>
              </w:rPr>
              <w:t>Industrial Manager</w:t>
            </w:r>
          </w:p>
        </w:tc>
        <w:tc>
          <w:tcPr>
            <w:tcW w:w="1625" w:type="dxa"/>
            <w:gridSpan w:val="2"/>
            <w:hideMark/>
          </w:tcPr>
          <w:p w14:paraId="5D0B6109" w14:textId="58388451" w:rsidR="009A6027" w:rsidRPr="000973F2" w:rsidRDefault="009A6027" w:rsidP="005C2715">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18"/>
                <w:szCs w:val="18"/>
              </w:rPr>
            </w:pPr>
            <w:r w:rsidRPr="000973F2">
              <w:rPr>
                <w:rFonts w:ascii="Times New Roman" w:eastAsia="Times New Roman" w:hAnsi="Times New Roman" w:cs="Times New Roman"/>
                <w:b/>
                <w:bCs/>
                <w:sz w:val="18"/>
                <w:szCs w:val="18"/>
              </w:rPr>
              <w:t>Industrial Engineer/</w:t>
            </w:r>
            <w:r w:rsidR="005C2715" w:rsidRPr="000973F2">
              <w:rPr>
                <w:rFonts w:ascii="Times New Roman" w:eastAsia="Times New Roman" w:hAnsi="Times New Roman" w:cs="Times New Roman"/>
                <w:b/>
                <w:bCs/>
                <w:sz w:val="18"/>
                <w:szCs w:val="18"/>
              </w:rPr>
              <w:t xml:space="preserve"> </w:t>
            </w:r>
            <w:r w:rsidRPr="000973F2">
              <w:rPr>
                <w:rFonts w:ascii="Times New Roman" w:eastAsia="Times New Roman" w:hAnsi="Times New Roman" w:cs="Times New Roman"/>
                <w:b/>
                <w:bCs/>
                <w:sz w:val="18"/>
                <w:szCs w:val="18"/>
              </w:rPr>
              <w:t>Technician</w:t>
            </w:r>
          </w:p>
        </w:tc>
        <w:tc>
          <w:tcPr>
            <w:tcW w:w="1626" w:type="dxa"/>
            <w:gridSpan w:val="2"/>
            <w:hideMark/>
          </w:tcPr>
          <w:p w14:paraId="18967CB3" w14:textId="77777777" w:rsidR="009A6027" w:rsidRPr="000973F2" w:rsidRDefault="009A6027" w:rsidP="005C2715">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18"/>
                <w:szCs w:val="18"/>
              </w:rPr>
            </w:pPr>
            <w:r w:rsidRPr="000973F2">
              <w:rPr>
                <w:rFonts w:ascii="Times New Roman" w:eastAsia="Times New Roman" w:hAnsi="Times New Roman" w:cs="Times New Roman"/>
                <w:b/>
                <w:bCs/>
                <w:sz w:val="18"/>
                <w:szCs w:val="18"/>
              </w:rPr>
              <w:t>Administrative Support</w:t>
            </w:r>
          </w:p>
        </w:tc>
        <w:tc>
          <w:tcPr>
            <w:tcW w:w="1602" w:type="dxa"/>
            <w:gridSpan w:val="2"/>
            <w:vMerge/>
            <w:hideMark/>
          </w:tcPr>
          <w:p w14:paraId="603A9E1E" w14:textId="77777777" w:rsidR="009A6027" w:rsidRPr="000973F2" w:rsidRDefault="009A6027" w:rsidP="005C2715">
            <w:pPr>
              <w:spacing w:before="40" w:after="4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18"/>
                <w:szCs w:val="18"/>
              </w:rPr>
            </w:pPr>
          </w:p>
        </w:tc>
      </w:tr>
      <w:tr w:rsidR="009A6027" w:rsidRPr="000973F2" w14:paraId="1ADC4C1C" w14:textId="77777777" w:rsidTr="005C2715">
        <w:trPr>
          <w:cantSplit/>
        </w:trPr>
        <w:tc>
          <w:tcPr>
            <w:cnfStyle w:val="001000000000" w:firstRow="0" w:lastRow="0" w:firstColumn="1" w:lastColumn="0" w:oddVBand="0" w:evenVBand="0" w:oddHBand="0" w:evenHBand="0" w:firstRowFirstColumn="0" w:firstRowLastColumn="0" w:lastRowFirstColumn="0" w:lastRowLastColumn="0"/>
            <w:tcW w:w="1331" w:type="dxa"/>
            <w:vMerge/>
            <w:hideMark/>
          </w:tcPr>
          <w:p w14:paraId="39DBEE36" w14:textId="77777777" w:rsidR="009A6027" w:rsidRPr="000973F2" w:rsidRDefault="009A6027" w:rsidP="005C2715">
            <w:pPr>
              <w:spacing w:before="40" w:after="40"/>
              <w:rPr>
                <w:rFonts w:ascii="Times New Roman" w:eastAsia="Times New Roman" w:hAnsi="Times New Roman" w:cs="Times New Roman"/>
                <w:b/>
                <w:bCs w:val="0"/>
                <w:sz w:val="18"/>
                <w:szCs w:val="18"/>
              </w:rPr>
            </w:pPr>
          </w:p>
        </w:tc>
        <w:tc>
          <w:tcPr>
            <w:tcW w:w="1534" w:type="dxa"/>
            <w:gridSpan w:val="2"/>
            <w:noWrap/>
            <w:hideMark/>
          </w:tcPr>
          <w:p w14:paraId="454E6F8C" w14:textId="77777777" w:rsidR="009A6027" w:rsidRPr="000973F2" w:rsidRDefault="009A6027" w:rsidP="005C2715">
            <w:pPr>
              <w:spacing w:before="40" w:after="4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sz w:val="18"/>
                <w:szCs w:val="18"/>
              </w:rPr>
            </w:pPr>
            <w:r w:rsidRPr="000973F2">
              <w:rPr>
                <w:rFonts w:ascii="Times New Roman" w:eastAsia="Times New Roman" w:hAnsi="Times New Roman" w:cs="Times New Roman"/>
                <w:b/>
                <w:bCs/>
                <w:sz w:val="18"/>
                <w:szCs w:val="18"/>
              </w:rPr>
              <w:t xml:space="preserve">$112.23 </w:t>
            </w:r>
          </w:p>
        </w:tc>
        <w:tc>
          <w:tcPr>
            <w:tcW w:w="1625" w:type="dxa"/>
            <w:gridSpan w:val="2"/>
            <w:noWrap/>
            <w:hideMark/>
          </w:tcPr>
          <w:p w14:paraId="6D1A3735" w14:textId="77777777" w:rsidR="009A6027" w:rsidRPr="000973F2" w:rsidRDefault="009A6027" w:rsidP="005C2715">
            <w:pPr>
              <w:spacing w:before="40" w:after="4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sz w:val="18"/>
                <w:szCs w:val="18"/>
              </w:rPr>
            </w:pPr>
            <w:r w:rsidRPr="000973F2">
              <w:rPr>
                <w:rFonts w:ascii="Times New Roman" w:eastAsia="Times New Roman" w:hAnsi="Times New Roman" w:cs="Times New Roman"/>
                <w:b/>
                <w:bCs/>
                <w:sz w:val="18"/>
                <w:szCs w:val="18"/>
              </w:rPr>
              <w:t xml:space="preserve">$87.45 </w:t>
            </w:r>
          </w:p>
        </w:tc>
        <w:tc>
          <w:tcPr>
            <w:tcW w:w="1625" w:type="dxa"/>
            <w:gridSpan w:val="2"/>
            <w:noWrap/>
            <w:hideMark/>
          </w:tcPr>
          <w:p w14:paraId="21C4D4EE" w14:textId="77777777" w:rsidR="009A6027" w:rsidRPr="000973F2" w:rsidRDefault="009A6027" w:rsidP="005C2715">
            <w:pPr>
              <w:spacing w:before="40" w:after="4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sz w:val="18"/>
                <w:szCs w:val="18"/>
              </w:rPr>
            </w:pPr>
            <w:r w:rsidRPr="000973F2">
              <w:rPr>
                <w:rFonts w:ascii="Times New Roman" w:eastAsia="Times New Roman" w:hAnsi="Times New Roman" w:cs="Times New Roman"/>
                <w:b/>
                <w:bCs/>
                <w:sz w:val="18"/>
                <w:szCs w:val="18"/>
              </w:rPr>
              <w:t xml:space="preserve">$71.45 </w:t>
            </w:r>
          </w:p>
        </w:tc>
        <w:tc>
          <w:tcPr>
            <w:tcW w:w="1626" w:type="dxa"/>
            <w:gridSpan w:val="2"/>
            <w:noWrap/>
            <w:hideMark/>
          </w:tcPr>
          <w:p w14:paraId="17297EDD" w14:textId="77777777" w:rsidR="009A6027" w:rsidRPr="000973F2" w:rsidRDefault="009A6027" w:rsidP="005C2715">
            <w:pPr>
              <w:spacing w:before="40" w:after="4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sz w:val="18"/>
                <w:szCs w:val="18"/>
              </w:rPr>
            </w:pPr>
            <w:r w:rsidRPr="000973F2">
              <w:rPr>
                <w:rFonts w:ascii="Times New Roman" w:eastAsia="Times New Roman" w:hAnsi="Times New Roman" w:cs="Times New Roman"/>
                <w:b/>
                <w:bCs/>
                <w:sz w:val="18"/>
                <w:szCs w:val="18"/>
              </w:rPr>
              <w:t xml:space="preserve">$36.28 </w:t>
            </w:r>
          </w:p>
        </w:tc>
        <w:tc>
          <w:tcPr>
            <w:tcW w:w="1602" w:type="dxa"/>
            <w:gridSpan w:val="2"/>
            <w:vMerge/>
            <w:hideMark/>
          </w:tcPr>
          <w:p w14:paraId="2DF493F1" w14:textId="77777777" w:rsidR="009A6027" w:rsidRPr="000973F2" w:rsidRDefault="009A6027" w:rsidP="005C2715">
            <w:pPr>
              <w:spacing w:before="40" w:after="4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sz w:val="18"/>
                <w:szCs w:val="18"/>
              </w:rPr>
            </w:pPr>
          </w:p>
        </w:tc>
      </w:tr>
      <w:tr w:rsidR="00302E41" w:rsidRPr="000973F2" w14:paraId="4F9A188E" w14:textId="77777777" w:rsidTr="005C2715">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0" w:type="dxa"/>
            <w:vMerge/>
            <w:hideMark/>
          </w:tcPr>
          <w:p w14:paraId="1060938F" w14:textId="77777777" w:rsidR="009A6027" w:rsidRPr="000973F2" w:rsidRDefault="009A6027" w:rsidP="005C2715">
            <w:pPr>
              <w:spacing w:before="40" w:after="40"/>
              <w:rPr>
                <w:rFonts w:ascii="Times New Roman" w:eastAsia="Times New Roman" w:hAnsi="Times New Roman" w:cs="Times New Roman"/>
                <w:b/>
                <w:bCs w:val="0"/>
                <w:sz w:val="18"/>
                <w:szCs w:val="18"/>
              </w:rPr>
            </w:pPr>
          </w:p>
        </w:tc>
        <w:tc>
          <w:tcPr>
            <w:tcW w:w="0" w:type="dxa"/>
            <w:tcMar>
              <w:left w:w="14" w:type="dxa"/>
              <w:right w:w="14" w:type="dxa"/>
            </w:tcMar>
            <w:hideMark/>
          </w:tcPr>
          <w:p w14:paraId="5DE8C214" w14:textId="6C155B27" w:rsidR="009A6027" w:rsidRPr="000973F2" w:rsidRDefault="009A6027" w:rsidP="005C2715">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18"/>
                <w:szCs w:val="18"/>
              </w:rPr>
            </w:pPr>
            <w:r w:rsidRPr="000973F2">
              <w:rPr>
                <w:rFonts w:ascii="Times New Roman" w:eastAsia="Times New Roman" w:hAnsi="Times New Roman" w:cs="Times New Roman"/>
                <w:b/>
                <w:bCs/>
                <w:sz w:val="18"/>
                <w:szCs w:val="18"/>
              </w:rPr>
              <w:t xml:space="preserve">Initial </w:t>
            </w:r>
            <w:r w:rsidR="00132320" w:rsidRPr="000973F2">
              <w:rPr>
                <w:rFonts w:ascii="Times New Roman" w:eastAsia="Times New Roman" w:hAnsi="Times New Roman" w:cs="Times New Roman"/>
                <w:b/>
                <w:bCs/>
                <w:sz w:val="18"/>
                <w:szCs w:val="18"/>
              </w:rPr>
              <w:t>Year Hours</w:t>
            </w:r>
          </w:p>
        </w:tc>
        <w:tc>
          <w:tcPr>
            <w:tcW w:w="0" w:type="dxa"/>
            <w:tcMar>
              <w:left w:w="14" w:type="dxa"/>
              <w:right w:w="14" w:type="dxa"/>
            </w:tcMar>
            <w:hideMark/>
          </w:tcPr>
          <w:p w14:paraId="456A544E" w14:textId="77777777" w:rsidR="009A6027" w:rsidRPr="000973F2" w:rsidRDefault="009A6027" w:rsidP="005C2715">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18"/>
                <w:szCs w:val="18"/>
              </w:rPr>
            </w:pPr>
            <w:r w:rsidRPr="000973F2">
              <w:rPr>
                <w:rFonts w:ascii="Times New Roman" w:eastAsia="Times New Roman" w:hAnsi="Times New Roman" w:cs="Times New Roman"/>
                <w:b/>
                <w:bCs/>
                <w:sz w:val="18"/>
                <w:szCs w:val="18"/>
              </w:rPr>
              <w:t>Subseq. Year Hours</w:t>
            </w:r>
          </w:p>
        </w:tc>
        <w:tc>
          <w:tcPr>
            <w:tcW w:w="0" w:type="dxa"/>
            <w:tcMar>
              <w:left w:w="14" w:type="dxa"/>
              <w:right w:w="14" w:type="dxa"/>
            </w:tcMar>
            <w:hideMark/>
          </w:tcPr>
          <w:p w14:paraId="42365A53" w14:textId="4045184C" w:rsidR="009A6027" w:rsidRPr="000973F2" w:rsidRDefault="009A6027" w:rsidP="005C2715">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18"/>
                <w:szCs w:val="18"/>
              </w:rPr>
            </w:pPr>
            <w:r w:rsidRPr="000973F2">
              <w:rPr>
                <w:rFonts w:ascii="Times New Roman" w:eastAsia="Times New Roman" w:hAnsi="Times New Roman" w:cs="Times New Roman"/>
                <w:b/>
                <w:bCs/>
                <w:sz w:val="18"/>
                <w:szCs w:val="18"/>
              </w:rPr>
              <w:t xml:space="preserve">Initial </w:t>
            </w:r>
            <w:r w:rsidR="00132320" w:rsidRPr="000973F2">
              <w:rPr>
                <w:rFonts w:ascii="Times New Roman" w:eastAsia="Times New Roman" w:hAnsi="Times New Roman" w:cs="Times New Roman"/>
                <w:b/>
                <w:bCs/>
                <w:sz w:val="18"/>
                <w:szCs w:val="18"/>
              </w:rPr>
              <w:t>Year Hours</w:t>
            </w:r>
          </w:p>
        </w:tc>
        <w:tc>
          <w:tcPr>
            <w:tcW w:w="0" w:type="dxa"/>
            <w:tcMar>
              <w:left w:w="14" w:type="dxa"/>
              <w:right w:w="14" w:type="dxa"/>
            </w:tcMar>
            <w:hideMark/>
          </w:tcPr>
          <w:p w14:paraId="3A33F65F" w14:textId="77777777" w:rsidR="009A6027" w:rsidRPr="000973F2" w:rsidRDefault="009A6027" w:rsidP="005C2715">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18"/>
                <w:szCs w:val="18"/>
              </w:rPr>
            </w:pPr>
            <w:r w:rsidRPr="000973F2">
              <w:rPr>
                <w:rFonts w:ascii="Times New Roman" w:eastAsia="Times New Roman" w:hAnsi="Times New Roman" w:cs="Times New Roman"/>
                <w:b/>
                <w:bCs/>
                <w:sz w:val="18"/>
                <w:szCs w:val="18"/>
              </w:rPr>
              <w:t>Subseq. Year Hours</w:t>
            </w:r>
          </w:p>
        </w:tc>
        <w:tc>
          <w:tcPr>
            <w:tcW w:w="0" w:type="dxa"/>
            <w:tcMar>
              <w:left w:w="14" w:type="dxa"/>
              <w:right w:w="14" w:type="dxa"/>
            </w:tcMar>
            <w:hideMark/>
          </w:tcPr>
          <w:p w14:paraId="1390E782" w14:textId="6CAA31AE" w:rsidR="009A6027" w:rsidRPr="000973F2" w:rsidRDefault="009A6027" w:rsidP="005C2715">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18"/>
                <w:szCs w:val="18"/>
              </w:rPr>
            </w:pPr>
            <w:r w:rsidRPr="000973F2">
              <w:rPr>
                <w:rFonts w:ascii="Times New Roman" w:eastAsia="Times New Roman" w:hAnsi="Times New Roman" w:cs="Times New Roman"/>
                <w:b/>
                <w:bCs/>
                <w:sz w:val="18"/>
                <w:szCs w:val="18"/>
              </w:rPr>
              <w:t xml:space="preserve">Initial </w:t>
            </w:r>
            <w:r w:rsidR="00132320" w:rsidRPr="000973F2">
              <w:rPr>
                <w:rFonts w:ascii="Times New Roman" w:eastAsia="Times New Roman" w:hAnsi="Times New Roman" w:cs="Times New Roman"/>
                <w:b/>
                <w:bCs/>
                <w:sz w:val="18"/>
                <w:szCs w:val="18"/>
              </w:rPr>
              <w:t>Year Hours</w:t>
            </w:r>
          </w:p>
        </w:tc>
        <w:tc>
          <w:tcPr>
            <w:tcW w:w="0" w:type="dxa"/>
            <w:tcMar>
              <w:left w:w="14" w:type="dxa"/>
              <w:right w:w="14" w:type="dxa"/>
            </w:tcMar>
            <w:hideMark/>
          </w:tcPr>
          <w:p w14:paraId="390E1881" w14:textId="77777777" w:rsidR="009A6027" w:rsidRPr="000973F2" w:rsidRDefault="009A6027" w:rsidP="005C2715">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18"/>
                <w:szCs w:val="18"/>
              </w:rPr>
            </w:pPr>
            <w:r w:rsidRPr="000973F2">
              <w:rPr>
                <w:rFonts w:ascii="Times New Roman" w:eastAsia="Times New Roman" w:hAnsi="Times New Roman" w:cs="Times New Roman"/>
                <w:b/>
                <w:bCs/>
                <w:sz w:val="18"/>
                <w:szCs w:val="18"/>
              </w:rPr>
              <w:t>Subseq. Year Hours</w:t>
            </w:r>
          </w:p>
        </w:tc>
        <w:tc>
          <w:tcPr>
            <w:tcW w:w="0" w:type="dxa"/>
            <w:tcMar>
              <w:left w:w="14" w:type="dxa"/>
              <w:right w:w="14" w:type="dxa"/>
            </w:tcMar>
            <w:hideMark/>
          </w:tcPr>
          <w:p w14:paraId="57C600F3" w14:textId="4A0E09C7" w:rsidR="009A6027" w:rsidRPr="000973F2" w:rsidRDefault="009A6027" w:rsidP="005C2715">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18"/>
                <w:szCs w:val="18"/>
              </w:rPr>
            </w:pPr>
            <w:r w:rsidRPr="000973F2">
              <w:rPr>
                <w:rFonts w:ascii="Times New Roman" w:eastAsia="Times New Roman" w:hAnsi="Times New Roman" w:cs="Times New Roman"/>
                <w:b/>
                <w:bCs/>
                <w:sz w:val="18"/>
                <w:szCs w:val="18"/>
              </w:rPr>
              <w:t xml:space="preserve">Initial </w:t>
            </w:r>
            <w:r w:rsidR="00132320" w:rsidRPr="000973F2">
              <w:rPr>
                <w:rFonts w:ascii="Times New Roman" w:eastAsia="Times New Roman" w:hAnsi="Times New Roman" w:cs="Times New Roman"/>
                <w:b/>
                <w:bCs/>
                <w:sz w:val="18"/>
                <w:szCs w:val="18"/>
              </w:rPr>
              <w:t>Year Hours</w:t>
            </w:r>
          </w:p>
        </w:tc>
        <w:tc>
          <w:tcPr>
            <w:tcW w:w="0" w:type="dxa"/>
            <w:tcMar>
              <w:left w:w="14" w:type="dxa"/>
              <w:right w:w="14" w:type="dxa"/>
            </w:tcMar>
            <w:hideMark/>
          </w:tcPr>
          <w:p w14:paraId="621F58F2" w14:textId="77777777" w:rsidR="009A6027" w:rsidRPr="000973F2" w:rsidRDefault="009A6027" w:rsidP="005C2715">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18"/>
                <w:szCs w:val="18"/>
              </w:rPr>
            </w:pPr>
            <w:r w:rsidRPr="000973F2">
              <w:rPr>
                <w:rFonts w:ascii="Times New Roman" w:eastAsia="Times New Roman" w:hAnsi="Times New Roman" w:cs="Times New Roman"/>
                <w:b/>
                <w:bCs/>
                <w:sz w:val="18"/>
                <w:szCs w:val="18"/>
              </w:rPr>
              <w:t>Subseq. Year Hours</w:t>
            </w:r>
          </w:p>
        </w:tc>
        <w:tc>
          <w:tcPr>
            <w:tcW w:w="0" w:type="dxa"/>
            <w:tcMar>
              <w:left w:w="14" w:type="dxa"/>
              <w:right w:w="14" w:type="dxa"/>
            </w:tcMar>
            <w:hideMark/>
          </w:tcPr>
          <w:p w14:paraId="67A4209E" w14:textId="77777777" w:rsidR="009A6027" w:rsidRPr="000973F2" w:rsidRDefault="009A6027" w:rsidP="005C2715">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18"/>
                <w:szCs w:val="18"/>
              </w:rPr>
            </w:pPr>
            <w:r w:rsidRPr="000973F2">
              <w:rPr>
                <w:rFonts w:ascii="Times New Roman" w:eastAsia="Times New Roman" w:hAnsi="Times New Roman" w:cs="Times New Roman"/>
                <w:b/>
                <w:bCs/>
                <w:sz w:val="18"/>
                <w:szCs w:val="18"/>
              </w:rPr>
              <w:t>Initial Year</w:t>
            </w:r>
          </w:p>
        </w:tc>
        <w:tc>
          <w:tcPr>
            <w:tcW w:w="0" w:type="dxa"/>
            <w:tcMar>
              <w:left w:w="14" w:type="dxa"/>
              <w:right w:w="14" w:type="dxa"/>
            </w:tcMar>
            <w:hideMark/>
          </w:tcPr>
          <w:p w14:paraId="1E842C09" w14:textId="77777777" w:rsidR="009A6027" w:rsidRPr="000973F2" w:rsidRDefault="009A6027" w:rsidP="005C2715">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18"/>
                <w:szCs w:val="18"/>
              </w:rPr>
            </w:pPr>
            <w:r w:rsidRPr="000973F2">
              <w:rPr>
                <w:rFonts w:ascii="Times New Roman" w:eastAsia="Times New Roman" w:hAnsi="Times New Roman" w:cs="Times New Roman"/>
                <w:b/>
                <w:bCs/>
                <w:sz w:val="18"/>
                <w:szCs w:val="18"/>
              </w:rPr>
              <w:t>Subseq. Year</w:t>
            </w:r>
          </w:p>
        </w:tc>
      </w:tr>
      <w:tr w:rsidR="009A6027" w:rsidRPr="000973F2" w14:paraId="591433A9" w14:textId="77777777" w:rsidTr="005C2715">
        <w:trPr>
          <w:cantSplit/>
        </w:trPr>
        <w:tc>
          <w:tcPr>
            <w:cnfStyle w:val="001000000000" w:firstRow="0" w:lastRow="0" w:firstColumn="1" w:lastColumn="0" w:oddVBand="0" w:evenVBand="0" w:oddHBand="0" w:evenHBand="0" w:firstRowFirstColumn="0" w:firstRowLastColumn="0" w:lastRowFirstColumn="0" w:lastRowLastColumn="0"/>
            <w:tcW w:w="1331" w:type="dxa"/>
            <w:hideMark/>
          </w:tcPr>
          <w:p w14:paraId="65ACDDC5" w14:textId="77777777" w:rsidR="009A6027" w:rsidRPr="000973F2" w:rsidRDefault="009A6027" w:rsidP="005C2715">
            <w:pPr>
              <w:spacing w:before="40" w:after="4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Planning</w:t>
            </w:r>
          </w:p>
        </w:tc>
        <w:tc>
          <w:tcPr>
            <w:tcW w:w="707" w:type="dxa"/>
            <w:noWrap/>
            <w:hideMark/>
          </w:tcPr>
          <w:p w14:paraId="33C4B4C5" w14:textId="77777777" w:rsidR="009A6027" w:rsidRPr="000973F2" w:rsidRDefault="009A6027" w:rsidP="005C2715">
            <w:pPr>
              <w:spacing w:before="40" w:after="4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hAnsi="Times New Roman" w:cs="Times New Roman"/>
                <w:sz w:val="18"/>
                <w:szCs w:val="18"/>
              </w:rPr>
              <w:t>0.0</w:t>
            </w:r>
          </w:p>
        </w:tc>
        <w:tc>
          <w:tcPr>
            <w:tcW w:w="827" w:type="dxa"/>
            <w:noWrap/>
            <w:hideMark/>
          </w:tcPr>
          <w:p w14:paraId="1C57BA1E" w14:textId="77777777" w:rsidR="009A6027" w:rsidRPr="000973F2" w:rsidRDefault="009A6027" w:rsidP="005C2715">
            <w:pPr>
              <w:spacing w:before="40" w:after="4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hAnsi="Times New Roman" w:cs="Times New Roman"/>
                <w:sz w:val="18"/>
                <w:szCs w:val="18"/>
              </w:rPr>
              <w:t>1.0</w:t>
            </w:r>
          </w:p>
        </w:tc>
        <w:tc>
          <w:tcPr>
            <w:tcW w:w="711" w:type="dxa"/>
            <w:noWrap/>
            <w:hideMark/>
          </w:tcPr>
          <w:p w14:paraId="6C8BCE7D" w14:textId="77777777" w:rsidR="009A6027" w:rsidRPr="000973F2" w:rsidRDefault="009A6027" w:rsidP="005C2715">
            <w:pPr>
              <w:spacing w:before="40" w:after="4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hAnsi="Times New Roman" w:cs="Times New Roman"/>
                <w:sz w:val="18"/>
                <w:szCs w:val="18"/>
              </w:rPr>
              <w:t>0.0</w:t>
            </w:r>
          </w:p>
        </w:tc>
        <w:tc>
          <w:tcPr>
            <w:tcW w:w="914" w:type="dxa"/>
            <w:noWrap/>
            <w:hideMark/>
          </w:tcPr>
          <w:p w14:paraId="4A7D7716" w14:textId="77777777" w:rsidR="009A6027" w:rsidRPr="000973F2" w:rsidRDefault="009A6027" w:rsidP="005C2715">
            <w:pPr>
              <w:spacing w:before="40" w:after="4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hAnsi="Times New Roman" w:cs="Times New Roman"/>
                <w:sz w:val="18"/>
                <w:szCs w:val="18"/>
              </w:rPr>
              <w:t>2.0</w:t>
            </w:r>
          </w:p>
        </w:tc>
        <w:tc>
          <w:tcPr>
            <w:tcW w:w="697" w:type="dxa"/>
            <w:noWrap/>
            <w:hideMark/>
          </w:tcPr>
          <w:p w14:paraId="4A4E7390" w14:textId="77777777" w:rsidR="009A6027" w:rsidRPr="000973F2" w:rsidRDefault="009A6027" w:rsidP="005C2715">
            <w:pPr>
              <w:spacing w:before="40" w:after="4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hAnsi="Times New Roman" w:cs="Times New Roman"/>
                <w:sz w:val="18"/>
                <w:szCs w:val="18"/>
              </w:rPr>
              <w:t>0.0</w:t>
            </w:r>
          </w:p>
        </w:tc>
        <w:tc>
          <w:tcPr>
            <w:tcW w:w="928" w:type="dxa"/>
            <w:noWrap/>
            <w:hideMark/>
          </w:tcPr>
          <w:p w14:paraId="3EB43CB8" w14:textId="77777777" w:rsidR="009A6027" w:rsidRPr="000973F2" w:rsidRDefault="009A6027" w:rsidP="005C2715">
            <w:pPr>
              <w:tabs>
                <w:tab w:val="decimal" w:pos="346"/>
              </w:tabs>
              <w:spacing w:before="40" w:after="4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hAnsi="Times New Roman" w:cs="Times New Roman"/>
                <w:sz w:val="18"/>
                <w:szCs w:val="18"/>
              </w:rPr>
              <w:t>19.5</w:t>
            </w:r>
          </w:p>
        </w:tc>
        <w:tc>
          <w:tcPr>
            <w:tcW w:w="722" w:type="dxa"/>
            <w:noWrap/>
            <w:hideMark/>
          </w:tcPr>
          <w:p w14:paraId="238A3DC8" w14:textId="77777777" w:rsidR="009A6027" w:rsidRPr="000973F2" w:rsidRDefault="009A6027" w:rsidP="005C2715">
            <w:pPr>
              <w:spacing w:before="40" w:after="4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hAnsi="Times New Roman" w:cs="Times New Roman"/>
                <w:sz w:val="18"/>
                <w:szCs w:val="18"/>
              </w:rPr>
              <w:t>0.0</w:t>
            </w:r>
          </w:p>
        </w:tc>
        <w:tc>
          <w:tcPr>
            <w:tcW w:w="904" w:type="dxa"/>
            <w:noWrap/>
            <w:hideMark/>
          </w:tcPr>
          <w:p w14:paraId="0970DA75" w14:textId="77777777" w:rsidR="009A6027" w:rsidRPr="000973F2" w:rsidRDefault="009A6027" w:rsidP="005C2715">
            <w:pPr>
              <w:spacing w:before="40" w:after="4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hAnsi="Times New Roman" w:cs="Times New Roman"/>
                <w:sz w:val="18"/>
                <w:szCs w:val="18"/>
              </w:rPr>
              <w:t>1.0</w:t>
            </w:r>
          </w:p>
        </w:tc>
        <w:tc>
          <w:tcPr>
            <w:tcW w:w="722" w:type="dxa"/>
            <w:noWrap/>
            <w:hideMark/>
          </w:tcPr>
          <w:p w14:paraId="497961D7" w14:textId="1E24DC47" w:rsidR="009A6027" w:rsidRPr="000973F2" w:rsidRDefault="009A6027" w:rsidP="005C2715">
            <w:pPr>
              <w:spacing w:before="40" w:after="4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hAnsi="Times New Roman" w:cs="Times New Roman"/>
                <w:sz w:val="18"/>
                <w:szCs w:val="18"/>
              </w:rPr>
              <w:t>$0</w:t>
            </w:r>
          </w:p>
        </w:tc>
        <w:tc>
          <w:tcPr>
            <w:tcW w:w="880" w:type="dxa"/>
            <w:noWrap/>
            <w:hideMark/>
          </w:tcPr>
          <w:p w14:paraId="50AB5CCE" w14:textId="07236511" w:rsidR="009A6027" w:rsidRPr="000973F2" w:rsidRDefault="009A6027" w:rsidP="005C2715">
            <w:pPr>
              <w:tabs>
                <w:tab w:val="decimal" w:pos="541"/>
              </w:tabs>
              <w:spacing w:before="40" w:after="4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hAnsi="Times New Roman" w:cs="Times New Roman"/>
                <w:sz w:val="18"/>
                <w:szCs w:val="18"/>
              </w:rPr>
              <w:t>$1,711</w:t>
            </w:r>
          </w:p>
        </w:tc>
      </w:tr>
      <w:tr w:rsidR="00AD5834" w:rsidRPr="000973F2" w14:paraId="246ECDEC" w14:textId="77777777" w:rsidTr="005C2715">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0" w:type="dxa"/>
            <w:hideMark/>
          </w:tcPr>
          <w:p w14:paraId="770EB8A7" w14:textId="77777777" w:rsidR="005E443D" w:rsidRPr="000973F2" w:rsidRDefault="005E443D" w:rsidP="005C2715">
            <w:pPr>
              <w:spacing w:before="40" w:after="4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QA/QC</w:t>
            </w:r>
          </w:p>
        </w:tc>
        <w:tc>
          <w:tcPr>
            <w:tcW w:w="0" w:type="dxa"/>
            <w:noWrap/>
            <w:hideMark/>
          </w:tcPr>
          <w:p w14:paraId="0ACECBD8" w14:textId="7507F299" w:rsidR="005E443D" w:rsidRPr="000973F2" w:rsidRDefault="005C2715" w:rsidP="005C2715">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w:t>
            </w:r>
          </w:p>
        </w:tc>
        <w:tc>
          <w:tcPr>
            <w:tcW w:w="0" w:type="dxa"/>
            <w:noWrap/>
            <w:hideMark/>
          </w:tcPr>
          <w:p w14:paraId="3A6EC39C" w14:textId="17873739" w:rsidR="005E443D" w:rsidRPr="000973F2" w:rsidRDefault="005C2715" w:rsidP="005C2715">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w:t>
            </w:r>
          </w:p>
        </w:tc>
        <w:tc>
          <w:tcPr>
            <w:tcW w:w="0" w:type="dxa"/>
            <w:noWrap/>
            <w:hideMark/>
          </w:tcPr>
          <w:p w14:paraId="4652FC9B" w14:textId="7048A049" w:rsidR="005E443D" w:rsidRPr="000973F2" w:rsidRDefault="005C2715" w:rsidP="005C2715">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w:t>
            </w:r>
          </w:p>
        </w:tc>
        <w:tc>
          <w:tcPr>
            <w:tcW w:w="0" w:type="dxa"/>
            <w:noWrap/>
            <w:hideMark/>
          </w:tcPr>
          <w:p w14:paraId="78B1A457" w14:textId="24AC5CE5" w:rsidR="005E443D" w:rsidRPr="000973F2" w:rsidRDefault="005C2715" w:rsidP="005C2715">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w:t>
            </w:r>
          </w:p>
        </w:tc>
        <w:tc>
          <w:tcPr>
            <w:tcW w:w="0" w:type="dxa"/>
            <w:noWrap/>
            <w:hideMark/>
          </w:tcPr>
          <w:p w14:paraId="51FA9C3C" w14:textId="2674B1E3" w:rsidR="005E443D" w:rsidRPr="000973F2" w:rsidRDefault="005C2715" w:rsidP="005C2715">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w:t>
            </w:r>
          </w:p>
        </w:tc>
        <w:tc>
          <w:tcPr>
            <w:tcW w:w="0" w:type="dxa"/>
            <w:noWrap/>
            <w:hideMark/>
          </w:tcPr>
          <w:p w14:paraId="164882BD" w14:textId="56148FE1" w:rsidR="005E443D" w:rsidRPr="000973F2" w:rsidRDefault="005C2715" w:rsidP="005C2715">
            <w:pPr>
              <w:tabs>
                <w:tab w:val="decimal" w:pos="346"/>
              </w:tabs>
              <w:spacing w:before="40" w:after="4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w:t>
            </w:r>
          </w:p>
        </w:tc>
        <w:tc>
          <w:tcPr>
            <w:tcW w:w="0" w:type="dxa"/>
            <w:noWrap/>
            <w:hideMark/>
          </w:tcPr>
          <w:p w14:paraId="76CC5770" w14:textId="5B41FCCE" w:rsidR="005E443D" w:rsidRPr="000973F2" w:rsidRDefault="005C2715" w:rsidP="005C2715">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w:t>
            </w:r>
          </w:p>
        </w:tc>
        <w:tc>
          <w:tcPr>
            <w:tcW w:w="0" w:type="dxa"/>
            <w:noWrap/>
            <w:hideMark/>
          </w:tcPr>
          <w:p w14:paraId="1843482B" w14:textId="5A4D25D8" w:rsidR="005E443D" w:rsidRPr="000973F2" w:rsidRDefault="005C2715" w:rsidP="005C2715">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w:t>
            </w:r>
          </w:p>
        </w:tc>
        <w:tc>
          <w:tcPr>
            <w:tcW w:w="0" w:type="dxa"/>
            <w:noWrap/>
            <w:hideMark/>
          </w:tcPr>
          <w:p w14:paraId="6834636C" w14:textId="295F6EDA" w:rsidR="005E443D" w:rsidRPr="000973F2" w:rsidRDefault="005C2715" w:rsidP="005C2715">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w:t>
            </w:r>
          </w:p>
        </w:tc>
        <w:tc>
          <w:tcPr>
            <w:tcW w:w="0" w:type="dxa"/>
            <w:noWrap/>
            <w:hideMark/>
          </w:tcPr>
          <w:p w14:paraId="3CD72337" w14:textId="3C6231FF" w:rsidR="005E443D" w:rsidRPr="000973F2" w:rsidRDefault="005C2715" w:rsidP="005C2715">
            <w:pPr>
              <w:tabs>
                <w:tab w:val="decimal" w:pos="541"/>
              </w:tabs>
              <w:spacing w:before="40" w:after="4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w:t>
            </w:r>
          </w:p>
        </w:tc>
      </w:tr>
      <w:tr w:rsidR="009A6027" w:rsidRPr="000973F2" w14:paraId="7F613BBB" w14:textId="77777777" w:rsidTr="005C2715">
        <w:trPr>
          <w:cantSplit/>
        </w:trPr>
        <w:tc>
          <w:tcPr>
            <w:cnfStyle w:val="001000000000" w:firstRow="0" w:lastRow="0" w:firstColumn="1" w:lastColumn="0" w:oddVBand="0" w:evenVBand="0" w:oddHBand="0" w:evenHBand="0" w:firstRowFirstColumn="0" w:firstRowLastColumn="0" w:lastRowFirstColumn="0" w:lastRowLastColumn="0"/>
            <w:tcW w:w="1331" w:type="dxa"/>
            <w:hideMark/>
          </w:tcPr>
          <w:p w14:paraId="49DEA183" w14:textId="77777777" w:rsidR="009A6027" w:rsidRPr="000973F2" w:rsidRDefault="009A6027" w:rsidP="005C2715">
            <w:pPr>
              <w:spacing w:before="40" w:after="4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Recordkeeping</w:t>
            </w:r>
          </w:p>
        </w:tc>
        <w:tc>
          <w:tcPr>
            <w:tcW w:w="707" w:type="dxa"/>
            <w:noWrap/>
            <w:hideMark/>
          </w:tcPr>
          <w:p w14:paraId="7CE70311" w14:textId="77777777" w:rsidR="009A6027" w:rsidRPr="000973F2" w:rsidRDefault="009A6027" w:rsidP="005C2715">
            <w:pPr>
              <w:spacing w:before="40" w:after="4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hAnsi="Times New Roman" w:cs="Times New Roman"/>
                <w:sz w:val="18"/>
                <w:szCs w:val="18"/>
              </w:rPr>
              <w:t>0.0</w:t>
            </w:r>
          </w:p>
        </w:tc>
        <w:tc>
          <w:tcPr>
            <w:tcW w:w="827" w:type="dxa"/>
            <w:noWrap/>
            <w:hideMark/>
          </w:tcPr>
          <w:p w14:paraId="456D9345" w14:textId="77777777" w:rsidR="009A6027" w:rsidRPr="000973F2" w:rsidRDefault="009A6027" w:rsidP="005C2715">
            <w:pPr>
              <w:spacing w:before="40" w:after="4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hAnsi="Times New Roman" w:cs="Times New Roman"/>
                <w:sz w:val="18"/>
                <w:szCs w:val="18"/>
              </w:rPr>
              <w:t>0.0</w:t>
            </w:r>
          </w:p>
        </w:tc>
        <w:tc>
          <w:tcPr>
            <w:tcW w:w="711" w:type="dxa"/>
            <w:noWrap/>
            <w:hideMark/>
          </w:tcPr>
          <w:p w14:paraId="17B78DB8" w14:textId="77777777" w:rsidR="009A6027" w:rsidRPr="000973F2" w:rsidRDefault="009A6027" w:rsidP="005C2715">
            <w:pPr>
              <w:spacing w:before="40" w:after="4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hAnsi="Times New Roman" w:cs="Times New Roman"/>
                <w:sz w:val="18"/>
                <w:szCs w:val="18"/>
              </w:rPr>
              <w:t>0.0</w:t>
            </w:r>
          </w:p>
        </w:tc>
        <w:tc>
          <w:tcPr>
            <w:tcW w:w="914" w:type="dxa"/>
            <w:noWrap/>
            <w:hideMark/>
          </w:tcPr>
          <w:p w14:paraId="77C4828A" w14:textId="77777777" w:rsidR="009A6027" w:rsidRPr="000973F2" w:rsidRDefault="009A6027" w:rsidP="005C2715">
            <w:pPr>
              <w:spacing w:before="40" w:after="4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hAnsi="Times New Roman" w:cs="Times New Roman"/>
                <w:sz w:val="18"/>
                <w:szCs w:val="18"/>
              </w:rPr>
              <w:t>0.5</w:t>
            </w:r>
          </w:p>
        </w:tc>
        <w:tc>
          <w:tcPr>
            <w:tcW w:w="697" w:type="dxa"/>
            <w:noWrap/>
            <w:hideMark/>
          </w:tcPr>
          <w:p w14:paraId="48D0D8E6" w14:textId="77777777" w:rsidR="009A6027" w:rsidRPr="000973F2" w:rsidRDefault="009A6027" w:rsidP="005C2715">
            <w:pPr>
              <w:spacing w:before="40" w:after="4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hAnsi="Times New Roman" w:cs="Times New Roman"/>
                <w:sz w:val="18"/>
                <w:szCs w:val="18"/>
              </w:rPr>
              <w:t>0.0</w:t>
            </w:r>
          </w:p>
        </w:tc>
        <w:tc>
          <w:tcPr>
            <w:tcW w:w="928" w:type="dxa"/>
            <w:noWrap/>
            <w:hideMark/>
          </w:tcPr>
          <w:p w14:paraId="0F1DD7A2" w14:textId="77777777" w:rsidR="009A6027" w:rsidRPr="000973F2" w:rsidRDefault="009A6027" w:rsidP="005C2715">
            <w:pPr>
              <w:tabs>
                <w:tab w:val="decimal" w:pos="346"/>
              </w:tabs>
              <w:spacing w:before="40" w:after="4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hAnsi="Times New Roman" w:cs="Times New Roman"/>
                <w:sz w:val="18"/>
                <w:szCs w:val="18"/>
              </w:rPr>
              <w:t>2.0</w:t>
            </w:r>
          </w:p>
        </w:tc>
        <w:tc>
          <w:tcPr>
            <w:tcW w:w="722" w:type="dxa"/>
            <w:noWrap/>
            <w:hideMark/>
          </w:tcPr>
          <w:p w14:paraId="06E620CC" w14:textId="77777777" w:rsidR="009A6027" w:rsidRPr="000973F2" w:rsidRDefault="009A6027" w:rsidP="005C2715">
            <w:pPr>
              <w:spacing w:before="40" w:after="4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hAnsi="Times New Roman" w:cs="Times New Roman"/>
                <w:sz w:val="18"/>
                <w:szCs w:val="18"/>
              </w:rPr>
              <w:t>0.0</w:t>
            </w:r>
          </w:p>
        </w:tc>
        <w:tc>
          <w:tcPr>
            <w:tcW w:w="904" w:type="dxa"/>
            <w:noWrap/>
            <w:hideMark/>
          </w:tcPr>
          <w:p w14:paraId="4584D567" w14:textId="77777777" w:rsidR="009A6027" w:rsidRPr="000973F2" w:rsidRDefault="009A6027" w:rsidP="005C2715">
            <w:pPr>
              <w:spacing w:before="40" w:after="4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hAnsi="Times New Roman" w:cs="Times New Roman"/>
                <w:sz w:val="18"/>
                <w:szCs w:val="18"/>
              </w:rPr>
              <w:t>0.5</w:t>
            </w:r>
          </w:p>
        </w:tc>
        <w:tc>
          <w:tcPr>
            <w:tcW w:w="722" w:type="dxa"/>
            <w:noWrap/>
            <w:hideMark/>
          </w:tcPr>
          <w:p w14:paraId="13FB991A" w14:textId="73E8E569" w:rsidR="009A6027" w:rsidRPr="000973F2" w:rsidRDefault="009A6027" w:rsidP="005C2715">
            <w:pPr>
              <w:spacing w:before="40" w:after="4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hAnsi="Times New Roman" w:cs="Times New Roman"/>
                <w:sz w:val="18"/>
                <w:szCs w:val="18"/>
              </w:rPr>
              <w:t>$0</w:t>
            </w:r>
          </w:p>
        </w:tc>
        <w:tc>
          <w:tcPr>
            <w:tcW w:w="880" w:type="dxa"/>
            <w:noWrap/>
            <w:hideMark/>
          </w:tcPr>
          <w:p w14:paraId="362D3544" w14:textId="48B5DBBD" w:rsidR="009A6027" w:rsidRPr="000973F2" w:rsidRDefault="009A6027" w:rsidP="005C2715">
            <w:pPr>
              <w:tabs>
                <w:tab w:val="decimal" w:pos="541"/>
              </w:tabs>
              <w:spacing w:before="40" w:after="4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hAnsi="Times New Roman" w:cs="Times New Roman"/>
                <w:sz w:val="18"/>
                <w:szCs w:val="18"/>
              </w:rPr>
              <w:t>$205</w:t>
            </w:r>
          </w:p>
        </w:tc>
      </w:tr>
      <w:tr w:rsidR="00AD5834" w:rsidRPr="000973F2" w14:paraId="3D64D800" w14:textId="77777777" w:rsidTr="005C2715">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0" w:type="dxa"/>
            <w:hideMark/>
          </w:tcPr>
          <w:p w14:paraId="503D6074" w14:textId="77777777" w:rsidR="009A6027" w:rsidRPr="000973F2" w:rsidRDefault="009A6027" w:rsidP="005C2715">
            <w:pPr>
              <w:spacing w:before="40" w:after="4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Sampling and Analysis (Calculations)</w:t>
            </w:r>
          </w:p>
        </w:tc>
        <w:tc>
          <w:tcPr>
            <w:tcW w:w="0" w:type="dxa"/>
            <w:noWrap/>
            <w:hideMark/>
          </w:tcPr>
          <w:p w14:paraId="5DAA3527" w14:textId="77777777" w:rsidR="009A6027" w:rsidRPr="000973F2" w:rsidRDefault="009A6027" w:rsidP="005C2715">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hAnsi="Times New Roman" w:cs="Times New Roman"/>
                <w:sz w:val="18"/>
                <w:szCs w:val="18"/>
              </w:rPr>
              <w:t>0.0</w:t>
            </w:r>
          </w:p>
        </w:tc>
        <w:tc>
          <w:tcPr>
            <w:tcW w:w="0" w:type="dxa"/>
            <w:noWrap/>
            <w:hideMark/>
          </w:tcPr>
          <w:p w14:paraId="65C61266" w14:textId="77777777" w:rsidR="009A6027" w:rsidRPr="000973F2" w:rsidRDefault="009A6027" w:rsidP="005C2715">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hAnsi="Times New Roman" w:cs="Times New Roman"/>
                <w:sz w:val="18"/>
                <w:szCs w:val="18"/>
              </w:rPr>
              <w:t>0.0</w:t>
            </w:r>
          </w:p>
        </w:tc>
        <w:tc>
          <w:tcPr>
            <w:tcW w:w="0" w:type="dxa"/>
            <w:noWrap/>
            <w:hideMark/>
          </w:tcPr>
          <w:p w14:paraId="7ABCCF35" w14:textId="77777777" w:rsidR="009A6027" w:rsidRPr="000973F2" w:rsidRDefault="009A6027" w:rsidP="005C2715">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hAnsi="Times New Roman" w:cs="Times New Roman"/>
                <w:sz w:val="18"/>
                <w:szCs w:val="18"/>
              </w:rPr>
              <w:t>0.0</w:t>
            </w:r>
          </w:p>
        </w:tc>
        <w:tc>
          <w:tcPr>
            <w:tcW w:w="0" w:type="dxa"/>
            <w:noWrap/>
            <w:hideMark/>
          </w:tcPr>
          <w:p w14:paraId="386623A2" w14:textId="77777777" w:rsidR="009A6027" w:rsidRPr="000973F2" w:rsidRDefault="009A6027" w:rsidP="005C2715">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hAnsi="Times New Roman" w:cs="Times New Roman"/>
                <w:sz w:val="18"/>
                <w:szCs w:val="18"/>
              </w:rPr>
              <w:t>0.3</w:t>
            </w:r>
          </w:p>
        </w:tc>
        <w:tc>
          <w:tcPr>
            <w:tcW w:w="0" w:type="dxa"/>
            <w:noWrap/>
            <w:hideMark/>
          </w:tcPr>
          <w:p w14:paraId="4171CF99" w14:textId="77777777" w:rsidR="009A6027" w:rsidRPr="000973F2" w:rsidRDefault="009A6027" w:rsidP="005C2715">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hAnsi="Times New Roman" w:cs="Times New Roman"/>
                <w:sz w:val="18"/>
                <w:szCs w:val="18"/>
              </w:rPr>
              <w:t>0.0</w:t>
            </w:r>
          </w:p>
        </w:tc>
        <w:tc>
          <w:tcPr>
            <w:tcW w:w="0" w:type="dxa"/>
            <w:noWrap/>
            <w:hideMark/>
          </w:tcPr>
          <w:p w14:paraId="463600F1" w14:textId="77777777" w:rsidR="009A6027" w:rsidRPr="000973F2" w:rsidRDefault="009A6027" w:rsidP="005C2715">
            <w:pPr>
              <w:tabs>
                <w:tab w:val="decimal" w:pos="346"/>
              </w:tabs>
              <w:spacing w:before="40" w:after="4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hAnsi="Times New Roman" w:cs="Times New Roman"/>
                <w:sz w:val="18"/>
                <w:szCs w:val="18"/>
              </w:rPr>
              <w:t>3.3</w:t>
            </w:r>
          </w:p>
        </w:tc>
        <w:tc>
          <w:tcPr>
            <w:tcW w:w="0" w:type="dxa"/>
            <w:noWrap/>
            <w:hideMark/>
          </w:tcPr>
          <w:p w14:paraId="20CEE7A8" w14:textId="77777777" w:rsidR="009A6027" w:rsidRPr="000973F2" w:rsidRDefault="009A6027" w:rsidP="005C2715">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hAnsi="Times New Roman" w:cs="Times New Roman"/>
                <w:sz w:val="18"/>
                <w:szCs w:val="18"/>
              </w:rPr>
              <w:t>0.0</w:t>
            </w:r>
          </w:p>
        </w:tc>
        <w:tc>
          <w:tcPr>
            <w:tcW w:w="0" w:type="dxa"/>
            <w:noWrap/>
            <w:hideMark/>
          </w:tcPr>
          <w:p w14:paraId="3C99E429" w14:textId="77777777" w:rsidR="009A6027" w:rsidRPr="000973F2" w:rsidRDefault="009A6027" w:rsidP="005C2715">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hAnsi="Times New Roman" w:cs="Times New Roman"/>
                <w:sz w:val="18"/>
                <w:szCs w:val="18"/>
              </w:rPr>
              <w:t>0.2</w:t>
            </w:r>
          </w:p>
        </w:tc>
        <w:tc>
          <w:tcPr>
            <w:tcW w:w="0" w:type="dxa"/>
            <w:noWrap/>
            <w:hideMark/>
          </w:tcPr>
          <w:p w14:paraId="76D2C159" w14:textId="03BBBF66" w:rsidR="009A6027" w:rsidRPr="000973F2" w:rsidRDefault="009A6027" w:rsidP="005C2715">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hAnsi="Times New Roman" w:cs="Times New Roman"/>
                <w:sz w:val="18"/>
                <w:szCs w:val="18"/>
              </w:rPr>
              <w:t>$0</w:t>
            </w:r>
          </w:p>
        </w:tc>
        <w:tc>
          <w:tcPr>
            <w:tcW w:w="0" w:type="dxa"/>
            <w:noWrap/>
            <w:hideMark/>
          </w:tcPr>
          <w:p w14:paraId="0E5065FA" w14:textId="54AA6872" w:rsidR="009A6027" w:rsidRPr="000973F2" w:rsidRDefault="009A6027" w:rsidP="005C2715">
            <w:pPr>
              <w:tabs>
                <w:tab w:val="decimal" w:pos="541"/>
              </w:tabs>
              <w:spacing w:before="40" w:after="4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hAnsi="Times New Roman" w:cs="Times New Roman"/>
                <w:sz w:val="18"/>
                <w:szCs w:val="18"/>
              </w:rPr>
              <w:t>$267</w:t>
            </w:r>
          </w:p>
        </w:tc>
      </w:tr>
      <w:tr w:rsidR="009A6027" w:rsidRPr="000973F2" w14:paraId="3700E251" w14:textId="77777777" w:rsidTr="005C2715">
        <w:trPr>
          <w:cantSplit/>
        </w:trPr>
        <w:tc>
          <w:tcPr>
            <w:cnfStyle w:val="001000000000" w:firstRow="0" w:lastRow="0" w:firstColumn="1" w:lastColumn="0" w:oddVBand="0" w:evenVBand="0" w:oddHBand="0" w:evenHBand="0" w:firstRowFirstColumn="0" w:firstRowLastColumn="0" w:lastRowFirstColumn="0" w:lastRowLastColumn="0"/>
            <w:tcW w:w="1331" w:type="dxa"/>
            <w:hideMark/>
          </w:tcPr>
          <w:p w14:paraId="60BF49F8" w14:textId="77777777" w:rsidR="009A6027" w:rsidRPr="000973F2" w:rsidRDefault="009A6027" w:rsidP="005C2715">
            <w:pPr>
              <w:spacing w:before="40" w:after="4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Reporting</w:t>
            </w:r>
          </w:p>
        </w:tc>
        <w:tc>
          <w:tcPr>
            <w:tcW w:w="707" w:type="dxa"/>
            <w:noWrap/>
            <w:hideMark/>
          </w:tcPr>
          <w:p w14:paraId="2585A45C" w14:textId="77777777" w:rsidR="009A6027" w:rsidRPr="000973F2" w:rsidRDefault="009A6027" w:rsidP="005C2715">
            <w:pPr>
              <w:spacing w:before="40" w:after="4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hAnsi="Times New Roman" w:cs="Times New Roman"/>
                <w:sz w:val="18"/>
                <w:szCs w:val="18"/>
              </w:rPr>
              <w:t>0.0</w:t>
            </w:r>
          </w:p>
        </w:tc>
        <w:tc>
          <w:tcPr>
            <w:tcW w:w="827" w:type="dxa"/>
            <w:noWrap/>
            <w:hideMark/>
          </w:tcPr>
          <w:p w14:paraId="12FF1B2A" w14:textId="77777777" w:rsidR="009A6027" w:rsidRPr="000973F2" w:rsidRDefault="009A6027" w:rsidP="005C2715">
            <w:pPr>
              <w:spacing w:before="40" w:after="4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hAnsi="Times New Roman" w:cs="Times New Roman"/>
                <w:sz w:val="18"/>
                <w:szCs w:val="18"/>
              </w:rPr>
              <w:t>0.0</w:t>
            </w:r>
          </w:p>
        </w:tc>
        <w:tc>
          <w:tcPr>
            <w:tcW w:w="711" w:type="dxa"/>
            <w:noWrap/>
            <w:hideMark/>
          </w:tcPr>
          <w:p w14:paraId="5FC1E782" w14:textId="77777777" w:rsidR="009A6027" w:rsidRPr="000973F2" w:rsidRDefault="009A6027" w:rsidP="005C2715">
            <w:pPr>
              <w:spacing w:before="40" w:after="4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hAnsi="Times New Roman" w:cs="Times New Roman"/>
                <w:sz w:val="18"/>
                <w:szCs w:val="18"/>
              </w:rPr>
              <w:t>0.0</w:t>
            </w:r>
          </w:p>
        </w:tc>
        <w:tc>
          <w:tcPr>
            <w:tcW w:w="914" w:type="dxa"/>
            <w:noWrap/>
            <w:hideMark/>
          </w:tcPr>
          <w:p w14:paraId="2CDB4A7B" w14:textId="77777777" w:rsidR="009A6027" w:rsidRPr="000973F2" w:rsidRDefault="009A6027" w:rsidP="005C2715">
            <w:pPr>
              <w:spacing w:before="40" w:after="4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hAnsi="Times New Roman" w:cs="Times New Roman"/>
                <w:sz w:val="18"/>
                <w:szCs w:val="18"/>
              </w:rPr>
              <w:t>1.0</w:t>
            </w:r>
          </w:p>
        </w:tc>
        <w:tc>
          <w:tcPr>
            <w:tcW w:w="697" w:type="dxa"/>
            <w:noWrap/>
            <w:hideMark/>
          </w:tcPr>
          <w:p w14:paraId="73C52BDE" w14:textId="77777777" w:rsidR="009A6027" w:rsidRPr="000973F2" w:rsidRDefault="009A6027" w:rsidP="005C2715">
            <w:pPr>
              <w:spacing w:before="40" w:after="4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hAnsi="Times New Roman" w:cs="Times New Roman"/>
                <w:sz w:val="18"/>
                <w:szCs w:val="18"/>
              </w:rPr>
              <w:t>0.0</w:t>
            </w:r>
          </w:p>
        </w:tc>
        <w:tc>
          <w:tcPr>
            <w:tcW w:w="928" w:type="dxa"/>
            <w:noWrap/>
            <w:hideMark/>
          </w:tcPr>
          <w:p w14:paraId="6E30E605" w14:textId="77777777" w:rsidR="009A6027" w:rsidRPr="000973F2" w:rsidRDefault="009A6027" w:rsidP="005C2715">
            <w:pPr>
              <w:tabs>
                <w:tab w:val="decimal" w:pos="346"/>
              </w:tabs>
              <w:spacing w:before="40" w:after="4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hAnsi="Times New Roman" w:cs="Times New Roman"/>
                <w:sz w:val="18"/>
                <w:szCs w:val="18"/>
              </w:rPr>
              <w:t>4.0</w:t>
            </w:r>
          </w:p>
        </w:tc>
        <w:tc>
          <w:tcPr>
            <w:tcW w:w="722" w:type="dxa"/>
            <w:noWrap/>
            <w:hideMark/>
          </w:tcPr>
          <w:p w14:paraId="64F5501D" w14:textId="77777777" w:rsidR="009A6027" w:rsidRPr="000973F2" w:rsidRDefault="009A6027" w:rsidP="005C2715">
            <w:pPr>
              <w:spacing w:before="40" w:after="4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hAnsi="Times New Roman" w:cs="Times New Roman"/>
                <w:sz w:val="18"/>
                <w:szCs w:val="18"/>
              </w:rPr>
              <w:t>0.0</w:t>
            </w:r>
          </w:p>
        </w:tc>
        <w:tc>
          <w:tcPr>
            <w:tcW w:w="904" w:type="dxa"/>
            <w:noWrap/>
            <w:hideMark/>
          </w:tcPr>
          <w:p w14:paraId="320F63F1" w14:textId="77777777" w:rsidR="009A6027" w:rsidRPr="000973F2" w:rsidRDefault="009A6027" w:rsidP="005C2715">
            <w:pPr>
              <w:spacing w:before="40" w:after="4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hAnsi="Times New Roman" w:cs="Times New Roman"/>
                <w:sz w:val="18"/>
                <w:szCs w:val="18"/>
              </w:rPr>
              <w:t>1.0</w:t>
            </w:r>
          </w:p>
        </w:tc>
        <w:tc>
          <w:tcPr>
            <w:tcW w:w="722" w:type="dxa"/>
            <w:noWrap/>
            <w:hideMark/>
          </w:tcPr>
          <w:p w14:paraId="1379F49D" w14:textId="2875C6B1" w:rsidR="009A6027" w:rsidRPr="000973F2" w:rsidRDefault="009A6027" w:rsidP="005C2715">
            <w:pPr>
              <w:spacing w:before="40" w:after="4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hAnsi="Times New Roman" w:cs="Times New Roman"/>
                <w:sz w:val="18"/>
                <w:szCs w:val="18"/>
              </w:rPr>
              <w:t>$0</w:t>
            </w:r>
          </w:p>
        </w:tc>
        <w:tc>
          <w:tcPr>
            <w:tcW w:w="880" w:type="dxa"/>
            <w:noWrap/>
            <w:hideMark/>
          </w:tcPr>
          <w:p w14:paraId="48A9D944" w14:textId="49542FA5" w:rsidR="009A6027" w:rsidRPr="000973F2" w:rsidRDefault="009A6027" w:rsidP="005C2715">
            <w:pPr>
              <w:tabs>
                <w:tab w:val="decimal" w:pos="541"/>
              </w:tabs>
              <w:spacing w:before="40" w:after="4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hAnsi="Times New Roman" w:cs="Times New Roman"/>
                <w:sz w:val="18"/>
                <w:szCs w:val="18"/>
              </w:rPr>
              <w:t>$410</w:t>
            </w:r>
          </w:p>
        </w:tc>
      </w:tr>
      <w:tr w:rsidR="00AD5834" w:rsidRPr="000973F2" w14:paraId="5D47A78A" w14:textId="77777777" w:rsidTr="005C2715">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0" w:type="dxa"/>
            <w:noWrap/>
            <w:hideMark/>
          </w:tcPr>
          <w:p w14:paraId="37F70462" w14:textId="77777777" w:rsidR="009A6027" w:rsidRPr="000973F2" w:rsidRDefault="009A6027" w:rsidP="005C2715">
            <w:pPr>
              <w:spacing w:before="40" w:after="40"/>
              <w:rPr>
                <w:rFonts w:ascii="Times New Roman" w:eastAsia="Times New Roman" w:hAnsi="Times New Roman" w:cs="Times New Roman"/>
                <w:b/>
                <w:bCs w:val="0"/>
                <w:sz w:val="18"/>
                <w:szCs w:val="18"/>
              </w:rPr>
            </w:pPr>
            <w:r w:rsidRPr="000973F2">
              <w:rPr>
                <w:rFonts w:ascii="Times New Roman" w:eastAsia="Times New Roman" w:hAnsi="Times New Roman" w:cs="Times New Roman"/>
                <w:b/>
                <w:sz w:val="18"/>
                <w:szCs w:val="18"/>
              </w:rPr>
              <w:t>Total</w:t>
            </w:r>
          </w:p>
        </w:tc>
        <w:tc>
          <w:tcPr>
            <w:tcW w:w="0" w:type="dxa"/>
            <w:noWrap/>
            <w:hideMark/>
          </w:tcPr>
          <w:p w14:paraId="1A6FFDF8" w14:textId="77777777" w:rsidR="009A6027" w:rsidRPr="000973F2" w:rsidRDefault="009A6027" w:rsidP="005C2715">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18"/>
                <w:szCs w:val="18"/>
              </w:rPr>
            </w:pPr>
            <w:r w:rsidRPr="000973F2">
              <w:rPr>
                <w:rFonts w:ascii="Times New Roman" w:hAnsi="Times New Roman" w:cs="Times New Roman"/>
                <w:b/>
                <w:bCs/>
                <w:sz w:val="18"/>
                <w:szCs w:val="18"/>
              </w:rPr>
              <w:t>0.0</w:t>
            </w:r>
          </w:p>
        </w:tc>
        <w:tc>
          <w:tcPr>
            <w:tcW w:w="0" w:type="dxa"/>
            <w:noWrap/>
            <w:hideMark/>
          </w:tcPr>
          <w:p w14:paraId="556EC8D1" w14:textId="77777777" w:rsidR="009A6027" w:rsidRPr="000973F2" w:rsidRDefault="009A6027" w:rsidP="005C2715">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18"/>
                <w:szCs w:val="18"/>
              </w:rPr>
            </w:pPr>
            <w:r w:rsidRPr="000973F2">
              <w:rPr>
                <w:rFonts w:ascii="Times New Roman" w:hAnsi="Times New Roman" w:cs="Times New Roman"/>
                <w:b/>
                <w:bCs/>
                <w:sz w:val="18"/>
                <w:szCs w:val="18"/>
              </w:rPr>
              <w:t>1.0</w:t>
            </w:r>
          </w:p>
        </w:tc>
        <w:tc>
          <w:tcPr>
            <w:tcW w:w="0" w:type="dxa"/>
            <w:noWrap/>
            <w:hideMark/>
          </w:tcPr>
          <w:p w14:paraId="161ADCD6" w14:textId="77777777" w:rsidR="009A6027" w:rsidRPr="000973F2" w:rsidRDefault="009A6027" w:rsidP="005C2715">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18"/>
                <w:szCs w:val="18"/>
              </w:rPr>
            </w:pPr>
            <w:r w:rsidRPr="000973F2">
              <w:rPr>
                <w:rFonts w:ascii="Times New Roman" w:hAnsi="Times New Roman" w:cs="Times New Roman"/>
                <w:b/>
                <w:bCs/>
                <w:sz w:val="18"/>
                <w:szCs w:val="18"/>
              </w:rPr>
              <w:t>0.0</w:t>
            </w:r>
          </w:p>
        </w:tc>
        <w:tc>
          <w:tcPr>
            <w:tcW w:w="0" w:type="dxa"/>
            <w:noWrap/>
            <w:hideMark/>
          </w:tcPr>
          <w:p w14:paraId="1F96A83B" w14:textId="77777777" w:rsidR="009A6027" w:rsidRPr="000973F2" w:rsidRDefault="009A6027" w:rsidP="005C2715">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18"/>
                <w:szCs w:val="18"/>
              </w:rPr>
            </w:pPr>
            <w:r w:rsidRPr="000973F2">
              <w:rPr>
                <w:rFonts w:ascii="Times New Roman" w:hAnsi="Times New Roman" w:cs="Times New Roman"/>
                <w:b/>
                <w:bCs/>
                <w:sz w:val="18"/>
                <w:szCs w:val="18"/>
              </w:rPr>
              <w:t>3.8</w:t>
            </w:r>
          </w:p>
        </w:tc>
        <w:tc>
          <w:tcPr>
            <w:tcW w:w="0" w:type="dxa"/>
            <w:noWrap/>
            <w:hideMark/>
          </w:tcPr>
          <w:p w14:paraId="71C09288" w14:textId="77777777" w:rsidR="009A6027" w:rsidRPr="000973F2" w:rsidRDefault="009A6027" w:rsidP="005C2715">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18"/>
                <w:szCs w:val="18"/>
              </w:rPr>
            </w:pPr>
            <w:r w:rsidRPr="000973F2">
              <w:rPr>
                <w:rFonts w:ascii="Times New Roman" w:hAnsi="Times New Roman" w:cs="Times New Roman"/>
                <w:b/>
                <w:bCs/>
                <w:sz w:val="18"/>
                <w:szCs w:val="18"/>
              </w:rPr>
              <w:t>0.0</w:t>
            </w:r>
          </w:p>
        </w:tc>
        <w:tc>
          <w:tcPr>
            <w:tcW w:w="0" w:type="dxa"/>
            <w:noWrap/>
            <w:hideMark/>
          </w:tcPr>
          <w:p w14:paraId="03C266F8" w14:textId="77777777" w:rsidR="009A6027" w:rsidRPr="000973F2" w:rsidRDefault="009A6027" w:rsidP="005C2715">
            <w:pPr>
              <w:tabs>
                <w:tab w:val="decimal" w:pos="346"/>
              </w:tabs>
              <w:spacing w:before="40" w:after="4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18"/>
                <w:szCs w:val="18"/>
              </w:rPr>
            </w:pPr>
            <w:r w:rsidRPr="000973F2">
              <w:rPr>
                <w:rFonts w:ascii="Times New Roman" w:hAnsi="Times New Roman" w:cs="Times New Roman"/>
                <w:b/>
                <w:bCs/>
                <w:sz w:val="18"/>
                <w:szCs w:val="18"/>
              </w:rPr>
              <w:t>28.8</w:t>
            </w:r>
          </w:p>
        </w:tc>
        <w:tc>
          <w:tcPr>
            <w:tcW w:w="0" w:type="dxa"/>
            <w:noWrap/>
            <w:hideMark/>
          </w:tcPr>
          <w:p w14:paraId="53F4D970" w14:textId="77777777" w:rsidR="009A6027" w:rsidRPr="000973F2" w:rsidRDefault="009A6027" w:rsidP="005C2715">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18"/>
                <w:szCs w:val="18"/>
              </w:rPr>
            </w:pPr>
            <w:r w:rsidRPr="000973F2">
              <w:rPr>
                <w:rFonts w:ascii="Times New Roman" w:hAnsi="Times New Roman" w:cs="Times New Roman"/>
                <w:b/>
                <w:bCs/>
                <w:sz w:val="18"/>
                <w:szCs w:val="18"/>
              </w:rPr>
              <w:t>0.0</w:t>
            </w:r>
          </w:p>
        </w:tc>
        <w:tc>
          <w:tcPr>
            <w:tcW w:w="0" w:type="dxa"/>
            <w:noWrap/>
            <w:hideMark/>
          </w:tcPr>
          <w:p w14:paraId="73467101" w14:textId="77777777" w:rsidR="009A6027" w:rsidRPr="000973F2" w:rsidRDefault="009A6027" w:rsidP="005C2715">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18"/>
                <w:szCs w:val="18"/>
              </w:rPr>
            </w:pPr>
            <w:r w:rsidRPr="000973F2">
              <w:rPr>
                <w:rFonts w:ascii="Times New Roman" w:hAnsi="Times New Roman" w:cs="Times New Roman"/>
                <w:b/>
                <w:bCs/>
                <w:sz w:val="18"/>
                <w:szCs w:val="18"/>
              </w:rPr>
              <w:t>2.6</w:t>
            </w:r>
          </w:p>
        </w:tc>
        <w:tc>
          <w:tcPr>
            <w:tcW w:w="0" w:type="dxa"/>
            <w:noWrap/>
            <w:hideMark/>
          </w:tcPr>
          <w:p w14:paraId="706A32F7" w14:textId="3DB4A163" w:rsidR="009A6027" w:rsidRPr="000973F2" w:rsidRDefault="009A6027" w:rsidP="005C2715">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18"/>
                <w:szCs w:val="18"/>
              </w:rPr>
            </w:pPr>
            <w:r w:rsidRPr="000973F2">
              <w:rPr>
                <w:rFonts w:ascii="Times New Roman" w:hAnsi="Times New Roman" w:cs="Times New Roman"/>
                <w:b/>
                <w:bCs/>
                <w:sz w:val="18"/>
                <w:szCs w:val="18"/>
              </w:rPr>
              <w:t>$0</w:t>
            </w:r>
          </w:p>
        </w:tc>
        <w:tc>
          <w:tcPr>
            <w:tcW w:w="0" w:type="dxa"/>
            <w:noWrap/>
            <w:hideMark/>
          </w:tcPr>
          <w:p w14:paraId="35321475" w14:textId="55A021A3" w:rsidR="009A6027" w:rsidRPr="000973F2" w:rsidRDefault="009A6027" w:rsidP="005C2715">
            <w:pPr>
              <w:tabs>
                <w:tab w:val="decimal" w:pos="541"/>
              </w:tabs>
              <w:spacing w:before="40" w:after="4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18"/>
                <w:szCs w:val="18"/>
              </w:rPr>
            </w:pPr>
            <w:r w:rsidRPr="000973F2">
              <w:rPr>
                <w:rFonts w:ascii="Times New Roman" w:hAnsi="Times New Roman" w:cs="Times New Roman"/>
                <w:b/>
                <w:bCs/>
                <w:sz w:val="18"/>
                <w:szCs w:val="18"/>
              </w:rPr>
              <w:t>$2,592</w:t>
            </w:r>
          </w:p>
        </w:tc>
      </w:tr>
    </w:tbl>
    <w:p w14:paraId="20F34D93" w14:textId="77777777" w:rsidR="009A6027" w:rsidRPr="000973F2" w:rsidRDefault="009A6027" w:rsidP="005C2715">
      <w:pPr>
        <w:pStyle w:val="AfterTable"/>
      </w:pPr>
    </w:p>
    <w:p w14:paraId="30F3BE38" w14:textId="6D6EE025" w:rsidR="009A6027" w:rsidRPr="000973F2" w:rsidRDefault="009A6027" w:rsidP="005C2715">
      <w:pPr>
        <w:pStyle w:val="Heading2"/>
      </w:pPr>
      <w:r w:rsidRPr="000973F2">
        <w:t>Capital and O&amp;M Costs for Subpart V -Annual Performance Test Option (without Abatement)</w:t>
      </w:r>
    </w:p>
    <w:p w14:paraId="11D53E91" w14:textId="16622EE9" w:rsidR="009A6027" w:rsidRPr="000973F2" w:rsidRDefault="009A6027" w:rsidP="005C2715">
      <w:pPr>
        <w:pStyle w:val="BodyText"/>
      </w:pPr>
      <w:r w:rsidRPr="000973F2">
        <w:t xml:space="preserve">Table </w:t>
      </w:r>
      <w:r w:rsidR="005C2715" w:rsidRPr="000973F2">
        <w:t>V-</w:t>
      </w:r>
      <w:r w:rsidRPr="000973F2">
        <w:t>2a below includes the capital and O&amp;M costs for each of the 15 facilities using the annual performance test option (without abatement) to comply with Subpart V. Typical costs related to equipment, recordkeeping, travel, and sampling costs are discussed in the Cost Appendix Introduction.</w:t>
      </w:r>
    </w:p>
    <w:p w14:paraId="3CCDFA72" w14:textId="77777777" w:rsidR="009A6027" w:rsidRPr="000973F2" w:rsidRDefault="009A6027" w:rsidP="005C2715">
      <w:pPr>
        <w:pStyle w:val="BodyText"/>
        <w:rPr>
          <w:u w:val="single"/>
        </w:rPr>
      </w:pPr>
      <w:r w:rsidRPr="000973F2">
        <w:t xml:space="preserve">In addition, each of these facilities will incur $5,437 per year for performance testing per nitric acid train. Each facility has an average of 1.63 trains, for a total of $8,835 per facility. The cost estimate is based on a comment letter from Dow Chemical Company, dated June 9, 2009. Comment letter EPA-HQ-OAR-2008-0508-0533 stated that for Subpart V, the “cost to perform the tests would be $5,000 per test" (page 21 of 37). The costs from 2009 have been scaled up to 2017 dollars. </w:t>
      </w:r>
    </w:p>
    <w:p w14:paraId="3BFDC950" w14:textId="6F426AE5" w:rsidR="009A6027" w:rsidRPr="000973F2" w:rsidRDefault="002E6E01" w:rsidP="005C2715">
      <w:pPr>
        <w:pStyle w:val="Tabletitle"/>
      </w:pPr>
      <w:r w:rsidRPr="000973F2">
        <w:t xml:space="preserve">Table </w:t>
      </w:r>
      <w:r w:rsidR="005C2715" w:rsidRPr="000973F2">
        <w:t>V-</w:t>
      </w:r>
      <w:r w:rsidRPr="000973F2">
        <w:t xml:space="preserve">2a. Capital and O&amp;M Costs </w:t>
      </w:r>
      <w:r w:rsidR="00B960CC" w:rsidRPr="000973F2">
        <w:t>–</w:t>
      </w:r>
      <w:r w:rsidRPr="000973F2">
        <w:t xml:space="preserve"> </w:t>
      </w:r>
      <w:r w:rsidR="009A6027" w:rsidRPr="000973F2">
        <w:t xml:space="preserve">Subpart V </w:t>
      </w:r>
      <w:r w:rsidR="00B960CC" w:rsidRPr="000973F2">
        <w:t>–</w:t>
      </w:r>
      <w:r w:rsidR="009A6027" w:rsidRPr="000973F2">
        <w:t xml:space="preserve"> Annual Performance Test Option (without Abatement)</w:t>
      </w:r>
    </w:p>
    <w:tbl>
      <w:tblPr>
        <w:tblStyle w:val="PlainTable1"/>
        <w:tblW w:w="5063" w:type="pct"/>
        <w:jc w:val="left"/>
        <w:tblLayout w:type="fixed"/>
        <w:tblCellMar>
          <w:left w:w="115" w:type="dxa"/>
          <w:right w:w="115" w:type="dxa"/>
        </w:tblCellMar>
        <w:tblLook w:val="04A0" w:firstRow="1" w:lastRow="0" w:firstColumn="1" w:lastColumn="0" w:noHBand="0" w:noVBand="1"/>
      </w:tblPr>
      <w:tblGrid>
        <w:gridCol w:w="1951"/>
        <w:gridCol w:w="1311"/>
        <w:gridCol w:w="1312"/>
        <w:gridCol w:w="1312"/>
        <w:gridCol w:w="1312"/>
        <w:gridCol w:w="1220"/>
        <w:gridCol w:w="1293"/>
      </w:tblGrid>
      <w:tr w:rsidR="00D17312" w:rsidRPr="000973F2" w14:paraId="41619D07" w14:textId="77777777" w:rsidTr="00065233">
        <w:trPr>
          <w:cnfStyle w:val="100000000000" w:firstRow="1" w:lastRow="0" w:firstColumn="0" w:lastColumn="0" w:oddVBand="0" w:evenVBand="0" w:oddHBand="0" w:evenHBand="0" w:firstRowFirstColumn="0" w:firstRowLastColumn="0" w:lastRowFirstColumn="0" w:lastRowLastColumn="0"/>
          <w:cantSplit/>
          <w:trHeight w:val="733"/>
          <w:jc w:val="left"/>
        </w:trPr>
        <w:tc>
          <w:tcPr>
            <w:cnfStyle w:val="001000000000" w:firstRow="0" w:lastRow="0" w:firstColumn="1" w:lastColumn="0" w:oddVBand="0" w:evenVBand="0" w:oddHBand="0" w:evenHBand="0" w:firstRowFirstColumn="0" w:firstRowLastColumn="0" w:lastRowFirstColumn="0" w:lastRowLastColumn="0"/>
            <w:tcW w:w="1899" w:type="dxa"/>
            <w:vMerge w:val="restart"/>
            <w:noWrap/>
            <w:vAlign w:val="top"/>
            <w:hideMark/>
          </w:tcPr>
          <w:p w14:paraId="1220C966" w14:textId="6C65331A" w:rsidR="00D17312" w:rsidRPr="000973F2" w:rsidRDefault="00D17312" w:rsidP="005C2715">
            <w:pPr>
              <w:spacing w:before="40" w:after="40"/>
              <w:rPr>
                <w:rFonts w:ascii="Times New Roman" w:eastAsia="Times New Roman" w:hAnsi="Times New Roman" w:cs="Times New Roman"/>
                <w:b w:val="0"/>
                <w:bCs w:val="0"/>
                <w:sz w:val="18"/>
                <w:szCs w:val="18"/>
              </w:rPr>
            </w:pPr>
            <w:r w:rsidRPr="000973F2">
              <w:rPr>
                <w:rFonts w:ascii="Times New Roman" w:eastAsia="Times New Roman" w:hAnsi="Times New Roman" w:cs="Times New Roman"/>
                <w:sz w:val="18"/>
                <w:szCs w:val="18"/>
              </w:rPr>
              <w:t>Activity</w:t>
            </w:r>
          </w:p>
        </w:tc>
        <w:tc>
          <w:tcPr>
            <w:tcW w:w="5104" w:type="dxa"/>
            <w:gridSpan w:val="4"/>
            <w:noWrap/>
            <w:vAlign w:val="top"/>
            <w:hideMark/>
          </w:tcPr>
          <w:p w14:paraId="0EDAFE89" w14:textId="77777777" w:rsidR="00D17312" w:rsidRPr="000973F2" w:rsidRDefault="00D17312" w:rsidP="005C2715">
            <w:pPr>
              <w:spacing w:before="40" w:after="40"/>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bCs w:val="0"/>
                <w:sz w:val="18"/>
                <w:szCs w:val="18"/>
              </w:rPr>
            </w:pPr>
            <w:r w:rsidRPr="000973F2">
              <w:rPr>
                <w:rFonts w:ascii="Times New Roman" w:eastAsia="Times New Roman" w:hAnsi="Times New Roman" w:cs="Times New Roman"/>
                <w:sz w:val="18"/>
                <w:szCs w:val="18"/>
              </w:rPr>
              <w:t>Cost Categories</w:t>
            </w:r>
          </w:p>
        </w:tc>
        <w:tc>
          <w:tcPr>
            <w:tcW w:w="2445" w:type="dxa"/>
            <w:gridSpan w:val="2"/>
            <w:vAlign w:val="top"/>
            <w:hideMark/>
          </w:tcPr>
          <w:p w14:paraId="02639541" w14:textId="77777777" w:rsidR="00D17312" w:rsidRPr="000973F2" w:rsidRDefault="00D17312" w:rsidP="005C2715">
            <w:pPr>
              <w:spacing w:before="40" w:after="40"/>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bCs w:val="0"/>
                <w:sz w:val="18"/>
                <w:szCs w:val="18"/>
              </w:rPr>
            </w:pPr>
            <w:r w:rsidRPr="000973F2">
              <w:rPr>
                <w:rFonts w:ascii="Times New Roman" w:eastAsia="Times New Roman" w:hAnsi="Times New Roman" w:cs="Times New Roman"/>
                <w:sz w:val="18"/>
                <w:szCs w:val="18"/>
              </w:rPr>
              <w:t>Total Capital and O&amp;M Cost per Year per Facility</w:t>
            </w:r>
            <w:r w:rsidRPr="000973F2">
              <w:rPr>
                <w:rFonts w:ascii="Times New Roman" w:eastAsia="Times New Roman" w:hAnsi="Times New Roman" w:cs="Times New Roman"/>
                <w:sz w:val="18"/>
                <w:szCs w:val="18"/>
              </w:rPr>
              <w:br/>
              <w:t>(2017$)</w:t>
            </w:r>
          </w:p>
        </w:tc>
      </w:tr>
      <w:tr w:rsidR="00D17312" w:rsidRPr="000973F2" w14:paraId="718D4A87" w14:textId="77777777" w:rsidTr="00065233">
        <w:trPr>
          <w:cnfStyle w:val="000000100000" w:firstRow="0" w:lastRow="0" w:firstColumn="0" w:lastColumn="0" w:oddVBand="0" w:evenVBand="0" w:oddHBand="1" w:evenHBand="0" w:firstRowFirstColumn="0" w:firstRowLastColumn="0" w:lastRowFirstColumn="0" w:lastRowLastColumn="0"/>
          <w:cantSplit/>
          <w:trHeight w:val="733"/>
        </w:trPr>
        <w:tc>
          <w:tcPr>
            <w:cnfStyle w:val="001000000000" w:firstRow="0" w:lastRow="0" w:firstColumn="1" w:lastColumn="0" w:oddVBand="0" w:evenVBand="0" w:oddHBand="0" w:evenHBand="0" w:firstRowFirstColumn="0" w:firstRowLastColumn="0" w:lastRowFirstColumn="0" w:lastRowLastColumn="0"/>
            <w:tcW w:w="1899" w:type="dxa"/>
            <w:vMerge/>
            <w:noWrap/>
            <w:hideMark/>
          </w:tcPr>
          <w:p w14:paraId="58D1FB26" w14:textId="2D9E6D48" w:rsidR="00D17312" w:rsidRPr="000973F2" w:rsidRDefault="00D17312" w:rsidP="005C2715">
            <w:pPr>
              <w:spacing w:before="40" w:after="40"/>
              <w:jc w:val="center"/>
              <w:rPr>
                <w:rFonts w:ascii="Times New Roman" w:eastAsia="Times New Roman" w:hAnsi="Times New Roman" w:cs="Times New Roman"/>
                <w:b/>
                <w:bCs w:val="0"/>
                <w:sz w:val="18"/>
                <w:szCs w:val="18"/>
              </w:rPr>
            </w:pPr>
          </w:p>
        </w:tc>
        <w:tc>
          <w:tcPr>
            <w:tcW w:w="1276" w:type="dxa"/>
            <w:hideMark/>
          </w:tcPr>
          <w:p w14:paraId="0A9CB6FA" w14:textId="77777777" w:rsidR="00D17312" w:rsidRPr="000973F2" w:rsidRDefault="00D17312" w:rsidP="005C2715">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18"/>
                <w:szCs w:val="18"/>
              </w:rPr>
            </w:pPr>
            <w:r w:rsidRPr="000973F2">
              <w:rPr>
                <w:rFonts w:ascii="Times New Roman" w:eastAsia="Times New Roman" w:hAnsi="Times New Roman" w:cs="Times New Roman"/>
                <w:b/>
                <w:bCs/>
                <w:sz w:val="18"/>
                <w:szCs w:val="18"/>
              </w:rPr>
              <w:t>Capital Cost (2017$)</w:t>
            </w:r>
          </w:p>
        </w:tc>
        <w:tc>
          <w:tcPr>
            <w:tcW w:w="1276" w:type="dxa"/>
            <w:hideMark/>
          </w:tcPr>
          <w:p w14:paraId="392443F3" w14:textId="77777777" w:rsidR="00D17312" w:rsidRPr="000973F2" w:rsidRDefault="00D17312" w:rsidP="005C2715">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18"/>
                <w:szCs w:val="18"/>
              </w:rPr>
            </w:pPr>
            <w:r w:rsidRPr="000973F2">
              <w:rPr>
                <w:rFonts w:ascii="Times New Roman" w:eastAsia="Times New Roman" w:hAnsi="Times New Roman" w:cs="Times New Roman"/>
                <w:b/>
                <w:bCs/>
                <w:sz w:val="18"/>
                <w:szCs w:val="18"/>
              </w:rPr>
              <w:t>Equipment Lifetime</w:t>
            </w:r>
          </w:p>
        </w:tc>
        <w:tc>
          <w:tcPr>
            <w:tcW w:w="1276" w:type="dxa"/>
            <w:hideMark/>
          </w:tcPr>
          <w:p w14:paraId="3F4FA4C8" w14:textId="77777777" w:rsidR="00D17312" w:rsidRPr="000973F2" w:rsidRDefault="00D17312" w:rsidP="005C2715">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18"/>
                <w:szCs w:val="18"/>
              </w:rPr>
            </w:pPr>
            <w:r w:rsidRPr="000973F2">
              <w:rPr>
                <w:rFonts w:ascii="Times New Roman" w:eastAsia="Times New Roman" w:hAnsi="Times New Roman" w:cs="Times New Roman"/>
                <w:b/>
                <w:bCs/>
                <w:sz w:val="18"/>
                <w:szCs w:val="18"/>
              </w:rPr>
              <w:t>Annualized Capital Cost (2017$/year)</w:t>
            </w:r>
          </w:p>
        </w:tc>
        <w:tc>
          <w:tcPr>
            <w:tcW w:w="1276" w:type="dxa"/>
            <w:hideMark/>
          </w:tcPr>
          <w:p w14:paraId="6D716EE3" w14:textId="77777777" w:rsidR="00D17312" w:rsidRPr="000973F2" w:rsidRDefault="00D17312" w:rsidP="005C2715">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18"/>
                <w:szCs w:val="18"/>
              </w:rPr>
            </w:pPr>
            <w:r w:rsidRPr="000973F2">
              <w:rPr>
                <w:rFonts w:ascii="Times New Roman" w:eastAsia="Times New Roman" w:hAnsi="Times New Roman" w:cs="Times New Roman"/>
                <w:b/>
                <w:bCs/>
                <w:sz w:val="18"/>
                <w:szCs w:val="18"/>
              </w:rPr>
              <w:t>O&amp;M Costs (2017$/year)</w:t>
            </w:r>
          </w:p>
        </w:tc>
        <w:tc>
          <w:tcPr>
            <w:tcW w:w="1187" w:type="dxa"/>
            <w:hideMark/>
          </w:tcPr>
          <w:p w14:paraId="33B7D953" w14:textId="77777777" w:rsidR="00D17312" w:rsidRPr="000973F2" w:rsidRDefault="00D17312" w:rsidP="005C2715">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18"/>
                <w:szCs w:val="18"/>
              </w:rPr>
            </w:pPr>
            <w:r w:rsidRPr="000973F2">
              <w:rPr>
                <w:rFonts w:ascii="Times New Roman" w:eastAsia="Times New Roman" w:hAnsi="Times New Roman" w:cs="Times New Roman"/>
                <w:b/>
                <w:bCs/>
                <w:sz w:val="18"/>
                <w:szCs w:val="18"/>
              </w:rPr>
              <w:t>Initial Year</w:t>
            </w:r>
          </w:p>
        </w:tc>
        <w:tc>
          <w:tcPr>
            <w:tcW w:w="1258" w:type="dxa"/>
            <w:hideMark/>
          </w:tcPr>
          <w:p w14:paraId="2F191D7F" w14:textId="77777777" w:rsidR="00D17312" w:rsidRPr="000973F2" w:rsidRDefault="00D17312" w:rsidP="005C2715">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18"/>
                <w:szCs w:val="18"/>
              </w:rPr>
            </w:pPr>
            <w:r w:rsidRPr="000973F2">
              <w:rPr>
                <w:rFonts w:ascii="Times New Roman" w:eastAsia="Times New Roman" w:hAnsi="Times New Roman" w:cs="Times New Roman"/>
                <w:b/>
                <w:bCs/>
                <w:sz w:val="18"/>
                <w:szCs w:val="18"/>
              </w:rPr>
              <w:t>Subseq. Years</w:t>
            </w:r>
          </w:p>
        </w:tc>
      </w:tr>
      <w:tr w:rsidR="005E443D" w:rsidRPr="000973F2" w14:paraId="671C0D58" w14:textId="77777777" w:rsidTr="00065233">
        <w:trPr>
          <w:cantSplit/>
          <w:trHeight w:val="515"/>
        </w:trPr>
        <w:tc>
          <w:tcPr>
            <w:cnfStyle w:val="001000000000" w:firstRow="0" w:lastRow="0" w:firstColumn="1" w:lastColumn="0" w:oddVBand="0" w:evenVBand="0" w:oddHBand="0" w:evenHBand="0" w:firstRowFirstColumn="0" w:firstRowLastColumn="0" w:lastRowFirstColumn="0" w:lastRowLastColumn="0"/>
            <w:tcW w:w="1899" w:type="dxa"/>
            <w:tcMar>
              <w:right w:w="14" w:type="dxa"/>
            </w:tcMar>
            <w:hideMark/>
          </w:tcPr>
          <w:p w14:paraId="5471227D" w14:textId="77777777" w:rsidR="005E443D" w:rsidRPr="000973F2" w:rsidRDefault="005E443D" w:rsidP="005C2715">
            <w:pPr>
              <w:spacing w:before="40" w:after="4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Equipment (selection, purchase, installation)</w:t>
            </w:r>
          </w:p>
        </w:tc>
        <w:tc>
          <w:tcPr>
            <w:tcW w:w="1276" w:type="dxa"/>
            <w:noWrap/>
            <w:hideMark/>
          </w:tcPr>
          <w:p w14:paraId="13450295" w14:textId="229DAD0A" w:rsidR="005E443D" w:rsidRPr="000973F2" w:rsidRDefault="005C2715" w:rsidP="005C2715">
            <w:pPr>
              <w:spacing w:before="40" w:after="4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w:t>
            </w:r>
          </w:p>
        </w:tc>
        <w:tc>
          <w:tcPr>
            <w:tcW w:w="1276" w:type="dxa"/>
            <w:noWrap/>
          </w:tcPr>
          <w:p w14:paraId="5980DA8E" w14:textId="5C63492B" w:rsidR="005E443D" w:rsidRPr="000973F2" w:rsidRDefault="005E443D" w:rsidP="005C2715">
            <w:pPr>
              <w:spacing w:before="40" w:after="4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p>
        </w:tc>
        <w:tc>
          <w:tcPr>
            <w:tcW w:w="1276" w:type="dxa"/>
            <w:noWrap/>
            <w:hideMark/>
          </w:tcPr>
          <w:p w14:paraId="3F4D5DEA" w14:textId="36EC41D7" w:rsidR="005E443D" w:rsidRPr="000973F2" w:rsidRDefault="005C2715" w:rsidP="005C2715">
            <w:pPr>
              <w:spacing w:before="40" w:after="4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w:t>
            </w:r>
          </w:p>
        </w:tc>
        <w:tc>
          <w:tcPr>
            <w:tcW w:w="1276" w:type="dxa"/>
            <w:noWrap/>
            <w:hideMark/>
          </w:tcPr>
          <w:p w14:paraId="1618BC2B" w14:textId="35F40731" w:rsidR="005E443D" w:rsidRPr="000973F2" w:rsidRDefault="005C2715" w:rsidP="005C2715">
            <w:pPr>
              <w:tabs>
                <w:tab w:val="decimal" w:pos="676"/>
              </w:tabs>
              <w:spacing w:before="40" w:after="4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w:t>
            </w:r>
          </w:p>
        </w:tc>
        <w:tc>
          <w:tcPr>
            <w:tcW w:w="1187" w:type="dxa"/>
            <w:noWrap/>
            <w:hideMark/>
          </w:tcPr>
          <w:p w14:paraId="4DF76F26" w14:textId="2BB45D39" w:rsidR="005E443D" w:rsidRPr="000973F2" w:rsidRDefault="005C2715" w:rsidP="005C2715">
            <w:pPr>
              <w:spacing w:before="40" w:after="4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w:t>
            </w:r>
          </w:p>
        </w:tc>
        <w:tc>
          <w:tcPr>
            <w:tcW w:w="1258" w:type="dxa"/>
            <w:noWrap/>
            <w:hideMark/>
          </w:tcPr>
          <w:p w14:paraId="286FE11E" w14:textId="783C459A" w:rsidR="005E443D" w:rsidRPr="000973F2" w:rsidRDefault="005C2715" w:rsidP="005C2715">
            <w:pPr>
              <w:tabs>
                <w:tab w:val="decimal" w:pos="691"/>
              </w:tabs>
              <w:spacing w:before="40" w:after="4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w:t>
            </w:r>
          </w:p>
        </w:tc>
      </w:tr>
      <w:tr w:rsidR="00321E40" w:rsidRPr="000973F2" w14:paraId="458E7B41" w14:textId="77777777" w:rsidTr="00065233">
        <w:trPr>
          <w:cnfStyle w:val="000000100000" w:firstRow="0" w:lastRow="0" w:firstColumn="0" w:lastColumn="0" w:oddVBand="0" w:evenVBand="0" w:oddHBand="1" w:evenHBand="0" w:firstRowFirstColumn="0" w:firstRowLastColumn="0" w:lastRowFirstColumn="0" w:lastRowLastColumn="0"/>
          <w:cantSplit/>
          <w:trHeight w:val="296"/>
        </w:trPr>
        <w:tc>
          <w:tcPr>
            <w:cnfStyle w:val="001000000000" w:firstRow="0" w:lastRow="0" w:firstColumn="1" w:lastColumn="0" w:oddVBand="0" w:evenVBand="0" w:oddHBand="0" w:evenHBand="0" w:firstRowFirstColumn="0" w:firstRowLastColumn="0" w:lastRowFirstColumn="0" w:lastRowLastColumn="0"/>
            <w:tcW w:w="1899" w:type="dxa"/>
            <w:tcMar>
              <w:right w:w="14" w:type="dxa"/>
            </w:tcMar>
            <w:hideMark/>
          </w:tcPr>
          <w:p w14:paraId="3A38D3D1" w14:textId="77777777" w:rsidR="009A6027" w:rsidRPr="000973F2" w:rsidRDefault="009A6027" w:rsidP="005C2715">
            <w:pPr>
              <w:spacing w:before="40" w:after="4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Performance testing</w:t>
            </w:r>
          </w:p>
        </w:tc>
        <w:tc>
          <w:tcPr>
            <w:tcW w:w="1276" w:type="dxa"/>
            <w:noWrap/>
            <w:hideMark/>
          </w:tcPr>
          <w:p w14:paraId="3122D384" w14:textId="77777777" w:rsidR="009A6027" w:rsidRPr="000973F2" w:rsidRDefault="009A6027" w:rsidP="005C2715">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$0</w:t>
            </w:r>
          </w:p>
        </w:tc>
        <w:tc>
          <w:tcPr>
            <w:tcW w:w="1276" w:type="dxa"/>
            <w:noWrap/>
          </w:tcPr>
          <w:p w14:paraId="20193995" w14:textId="1E77A941" w:rsidR="009A6027" w:rsidRPr="000973F2" w:rsidRDefault="009A6027" w:rsidP="005C2715">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p>
        </w:tc>
        <w:tc>
          <w:tcPr>
            <w:tcW w:w="1276" w:type="dxa"/>
            <w:noWrap/>
            <w:hideMark/>
          </w:tcPr>
          <w:p w14:paraId="02C2DFAD" w14:textId="77777777" w:rsidR="009A6027" w:rsidRPr="000973F2" w:rsidRDefault="009A6027" w:rsidP="005C2715">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$0</w:t>
            </w:r>
          </w:p>
        </w:tc>
        <w:tc>
          <w:tcPr>
            <w:tcW w:w="1276" w:type="dxa"/>
            <w:noWrap/>
            <w:hideMark/>
          </w:tcPr>
          <w:p w14:paraId="090B9B76" w14:textId="77777777" w:rsidR="009A6027" w:rsidRPr="000973F2" w:rsidRDefault="009A6027" w:rsidP="005C2715">
            <w:pPr>
              <w:tabs>
                <w:tab w:val="decimal" w:pos="676"/>
              </w:tabs>
              <w:spacing w:before="40" w:after="4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hAnsi="Times New Roman" w:cs="Times New Roman"/>
                <w:sz w:val="18"/>
                <w:szCs w:val="18"/>
              </w:rPr>
              <w:t>$8,835</w:t>
            </w:r>
          </w:p>
        </w:tc>
        <w:tc>
          <w:tcPr>
            <w:tcW w:w="1187" w:type="dxa"/>
            <w:noWrap/>
            <w:hideMark/>
          </w:tcPr>
          <w:p w14:paraId="1D57A668" w14:textId="77777777" w:rsidR="009A6027" w:rsidRPr="000973F2" w:rsidRDefault="009A6027" w:rsidP="005C2715">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hAnsi="Times New Roman" w:cs="Times New Roman"/>
                <w:sz w:val="18"/>
                <w:szCs w:val="18"/>
              </w:rPr>
              <w:t>$0</w:t>
            </w:r>
          </w:p>
        </w:tc>
        <w:tc>
          <w:tcPr>
            <w:tcW w:w="1258" w:type="dxa"/>
            <w:noWrap/>
            <w:hideMark/>
          </w:tcPr>
          <w:p w14:paraId="4697B884" w14:textId="77777777" w:rsidR="009A6027" w:rsidRPr="000973F2" w:rsidRDefault="009A6027" w:rsidP="005C2715">
            <w:pPr>
              <w:tabs>
                <w:tab w:val="decimal" w:pos="691"/>
              </w:tabs>
              <w:spacing w:before="40" w:after="4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hAnsi="Times New Roman" w:cs="Times New Roman"/>
                <w:sz w:val="18"/>
                <w:szCs w:val="18"/>
              </w:rPr>
              <w:t>$8,835</w:t>
            </w:r>
          </w:p>
        </w:tc>
      </w:tr>
      <w:tr w:rsidR="009A6027" w:rsidRPr="000973F2" w14:paraId="1096FC9D" w14:textId="77777777" w:rsidTr="00065233">
        <w:trPr>
          <w:cantSplit/>
          <w:trHeight w:val="281"/>
        </w:trPr>
        <w:tc>
          <w:tcPr>
            <w:cnfStyle w:val="001000000000" w:firstRow="0" w:lastRow="0" w:firstColumn="1" w:lastColumn="0" w:oddVBand="0" w:evenVBand="0" w:oddHBand="0" w:evenHBand="0" w:firstRowFirstColumn="0" w:firstRowLastColumn="0" w:lastRowFirstColumn="0" w:lastRowLastColumn="0"/>
            <w:tcW w:w="1899" w:type="dxa"/>
            <w:tcMar>
              <w:right w:w="14" w:type="dxa"/>
            </w:tcMar>
            <w:hideMark/>
          </w:tcPr>
          <w:p w14:paraId="061B3FF0" w14:textId="77777777" w:rsidR="009A6027" w:rsidRPr="000973F2" w:rsidRDefault="009A6027" w:rsidP="005C2715">
            <w:pPr>
              <w:spacing w:before="40" w:after="4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Recordkeeping</w:t>
            </w:r>
          </w:p>
        </w:tc>
        <w:tc>
          <w:tcPr>
            <w:tcW w:w="1276" w:type="dxa"/>
            <w:noWrap/>
            <w:hideMark/>
          </w:tcPr>
          <w:p w14:paraId="5E708D10" w14:textId="77777777" w:rsidR="009A6027" w:rsidRPr="000973F2" w:rsidRDefault="009A6027" w:rsidP="005C2715">
            <w:pPr>
              <w:spacing w:before="40" w:after="4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$0</w:t>
            </w:r>
          </w:p>
        </w:tc>
        <w:tc>
          <w:tcPr>
            <w:tcW w:w="1276" w:type="dxa"/>
            <w:noWrap/>
          </w:tcPr>
          <w:p w14:paraId="1EE08577" w14:textId="6FA4EAB1" w:rsidR="009A6027" w:rsidRPr="000973F2" w:rsidRDefault="009A6027" w:rsidP="005C2715">
            <w:pPr>
              <w:spacing w:before="40" w:after="4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p>
        </w:tc>
        <w:tc>
          <w:tcPr>
            <w:tcW w:w="1276" w:type="dxa"/>
            <w:noWrap/>
            <w:hideMark/>
          </w:tcPr>
          <w:p w14:paraId="266CFA3A" w14:textId="77777777" w:rsidR="009A6027" w:rsidRPr="000973F2" w:rsidRDefault="009A6027" w:rsidP="005C2715">
            <w:pPr>
              <w:spacing w:before="40" w:after="4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$0</w:t>
            </w:r>
          </w:p>
        </w:tc>
        <w:tc>
          <w:tcPr>
            <w:tcW w:w="1276" w:type="dxa"/>
            <w:noWrap/>
            <w:hideMark/>
          </w:tcPr>
          <w:p w14:paraId="3DC84E4C" w14:textId="77777777" w:rsidR="009A6027" w:rsidRPr="000973F2" w:rsidRDefault="009A6027" w:rsidP="005C2715">
            <w:pPr>
              <w:tabs>
                <w:tab w:val="decimal" w:pos="676"/>
              </w:tabs>
              <w:spacing w:before="40" w:after="4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hAnsi="Times New Roman" w:cs="Times New Roman"/>
                <w:sz w:val="18"/>
                <w:szCs w:val="18"/>
              </w:rPr>
              <w:t>$50</w:t>
            </w:r>
          </w:p>
        </w:tc>
        <w:tc>
          <w:tcPr>
            <w:tcW w:w="1187" w:type="dxa"/>
            <w:noWrap/>
            <w:hideMark/>
          </w:tcPr>
          <w:p w14:paraId="4870A189" w14:textId="77777777" w:rsidR="009A6027" w:rsidRPr="000973F2" w:rsidRDefault="009A6027" w:rsidP="005C2715">
            <w:pPr>
              <w:spacing w:before="40" w:after="4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hAnsi="Times New Roman" w:cs="Times New Roman"/>
                <w:sz w:val="18"/>
                <w:szCs w:val="18"/>
              </w:rPr>
              <w:t>$0</w:t>
            </w:r>
          </w:p>
        </w:tc>
        <w:tc>
          <w:tcPr>
            <w:tcW w:w="1258" w:type="dxa"/>
            <w:noWrap/>
            <w:hideMark/>
          </w:tcPr>
          <w:p w14:paraId="23F1DC23" w14:textId="77777777" w:rsidR="009A6027" w:rsidRPr="000973F2" w:rsidRDefault="009A6027" w:rsidP="005C2715">
            <w:pPr>
              <w:tabs>
                <w:tab w:val="decimal" w:pos="691"/>
              </w:tabs>
              <w:spacing w:before="40" w:after="4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hAnsi="Times New Roman" w:cs="Times New Roman"/>
                <w:sz w:val="18"/>
                <w:szCs w:val="18"/>
              </w:rPr>
              <w:t>$50</w:t>
            </w:r>
          </w:p>
        </w:tc>
      </w:tr>
      <w:tr w:rsidR="00321E40" w:rsidRPr="000973F2" w14:paraId="79C34B28" w14:textId="77777777" w:rsidTr="00065233">
        <w:trPr>
          <w:cnfStyle w:val="000000100000" w:firstRow="0" w:lastRow="0" w:firstColumn="0" w:lastColumn="0" w:oddVBand="0" w:evenVBand="0" w:oddHBand="1" w:evenHBand="0" w:firstRowFirstColumn="0" w:firstRowLastColumn="0" w:lastRowFirstColumn="0" w:lastRowLastColumn="0"/>
          <w:cantSplit/>
          <w:trHeight w:val="296"/>
        </w:trPr>
        <w:tc>
          <w:tcPr>
            <w:cnfStyle w:val="001000000000" w:firstRow="0" w:lastRow="0" w:firstColumn="1" w:lastColumn="0" w:oddVBand="0" w:evenVBand="0" w:oddHBand="0" w:evenHBand="0" w:firstRowFirstColumn="0" w:firstRowLastColumn="0" w:lastRowFirstColumn="0" w:lastRowLastColumn="0"/>
            <w:tcW w:w="1899" w:type="dxa"/>
            <w:tcMar>
              <w:right w:w="14" w:type="dxa"/>
            </w:tcMar>
            <w:hideMark/>
          </w:tcPr>
          <w:p w14:paraId="0B65DAF8" w14:textId="77777777" w:rsidR="005E443D" w:rsidRPr="000973F2" w:rsidRDefault="005E443D" w:rsidP="005C2715">
            <w:pPr>
              <w:spacing w:before="40" w:after="4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Travel</w:t>
            </w:r>
          </w:p>
        </w:tc>
        <w:tc>
          <w:tcPr>
            <w:tcW w:w="1276" w:type="dxa"/>
            <w:noWrap/>
            <w:hideMark/>
          </w:tcPr>
          <w:p w14:paraId="5D8E1DF4" w14:textId="3146CD20" w:rsidR="005E443D" w:rsidRPr="000973F2" w:rsidRDefault="005C2715" w:rsidP="005C2715">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w:t>
            </w:r>
          </w:p>
        </w:tc>
        <w:tc>
          <w:tcPr>
            <w:tcW w:w="1276" w:type="dxa"/>
            <w:noWrap/>
          </w:tcPr>
          <w:p w14:paraId="30200CE2" w14:textId="541C5FF0" w:rsidR="005E443D" w:rsidRPr="000973F2" w:rsidRDefault="005E443D" w:rsidP="005C2715">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p>
        </w:tc>
        <w:tc>
          <w:tcPr>
            <w:tcW w:w="1276" w:type="dxa"/>
            <w:noWrap/>
            <w:hideMark/>
          </w:tcPr>
          <w:p w14:paraId="589AFB83" w14:textId="758B88B4" w:rsidR="005E443D" w:rsidRPr="000973F2" w:rsidRDefault="005C2715" w:rsidP="005C2715">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w:t>
            </w:r>
          </w:p>
        </w:tc>
        <w:tc>
          <w:tcPr>
            <w:tcW w:w="1276" w:type="dxa"/>
            <w:noWrap/>
            <w:hideMark/>
          </w:tcPr>
          <w:p w14:paraId="4CAFC062" w14:textId="2E10707B" w:rsidR="005E443D" w:rsidRPr="000973F2" w:rsidRDefault="005C2715" w:rsidP="005C2715">
            <w:pPr>
              <w:tabs>
                <w:tab w:val="decimal" w:pos="676"/>
              </w:tabs>
              <w:spacing w:before="40" w:after="4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w:t>
            </w:r>
          </w:p>
        </w:tc>
        <w:tc>
          <w:tcPr>
            <w:tcW w:w="1187" w:type="dxa"/>
            <w:noWrap/>
            <w:hideMark/>
          </w:tcPr>
          <w:p w14:paraId="0D7449BE" w14:textId="763C3011" w:rsidR="005E443D" w:rsidRPr="000973F2" w:rsidRDefault="005C2715" w:rsidP="005C2715">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w:t>
            </w:r>
          </w:p>
        </w:tc>
        <w:tc>
          <w:tcPr>
            <w:tcW w:w="1258" w:type="dxa"/>
            <w:noWrap/>
            <w:hideMark/>
          </w:tcPr>
          <w:p w14:paraId="413DC535" w14:textId="5188DA70" w:rsidR="005E443D" w:rsidRPr="000973F2" w:rsidRDefault="005C2715" w:rsidP="005C2715">
            <w:pPr>
              <w:tabs>
                <w:tab w:val="decimal" w:pos="691"/>
              </w:tabs>
              <w:spacing w:before="40" w:after="4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w:t>
            </w:r>
          </w:p>
        </w:tc>
      </w:tr>
      <w:tr w:rsidR="005E443D" w:rsidRPr="000973F2" w14:paraId="527F1039" w14:textId="77777777" w:rsidTr="00065233">
        <w:trPr>
          <w:cantSplit/>
          <w:trHeight w:val="515"/>
        </w:trPr>
        <w:tc>
          <w:tcPr>
            <w:cnfStyle w:val="001000000000" w:firstRow="0" w:lastRow="0" w:firstColumn="1" w:lastColumn="0" w:oddVBand="0" w:evenVBand="0" w:oddHBand="0" w:evenHBand="0" w:firstRowFirstColumn="0" w:firstRowLastColumn="0" w:lastRowFirstColumn="0" w:lastRowLastColumn="0"/>
            <w:tcW w:w="1899" w:type="dxa"/>
            <w:tcMar>
              <w:right w:w="14" w:type="dxa"/>
            </w:tcMar>
            <w:hideMark/>
          </w:tcPr>
          <w:p w14:paraId="5427339E" w14:textId="48A018C2" w:rsidR="005E443D" w:rsidRPr="000973F2" w:rsidRDefault="005E443D" w:rsidP="005C2715">
            <w:pPr>
              <w:spacing w:before="40" w:after="4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Sampling and Analysis Costs</w:t>
            </w:r>
          </w:p>
        </w:tc>
        <w:tc>
          <w:tcPr>
            <w:tcW w:w="1276" w:type="dxa"/>
            <w:noWrap/>
            <w:hideMark/>
          </w:tcPr>
          <w:p w14:paraId="7EF4186D" w14:textId="0F8C82C0" w:rsidR="005E443D" w:rsidRPr="000973F2" w:rsidRDefault="005C2715" w:rsidP="005C2715">
            <w:pPr>
              <w:spacing w:before="40" w:after="4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w:t>
            </w:r>
          </w:p>
        </w:tc>
        <w:tc>
          <w:tcPr>
            <w:tcW w:w="1276" w:type="dxa"/>
            <w:noWrap/>
          </w:tcPr>
          <w:p w14:paraId="7559FA3E" w14:textId="17376B73" w:rsidR="005E443D" w:rsidRPr="000973F2" w:rsidRDefault="005E443D" w:rsidP="005C2715">
            <w:pPr>
              <w:spacing w:before="40" w:after="4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p>
        </w:tc>
        <w:tc>
          <w:tcPr>
            <w:tcW w:w="1276" w:type="dxa"/>
            <w:noWrap/>
            <w:hideMark/>
          </w:tcPr>
          <w:p w14:paraId="17E2050D" w14:textId="12A1B024" w:rsidR="005E443D" w:rsidRPr="000973F2" w:rsidRDefault="005C2715" w:rsidP="005C2715">
            <w:pPr>
              <w:spacing w:before="40" w:after="4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w:t>
            </w:r>
          </w:p>
        </w:tc>
        <w:tc>
          <w:tcPr>
            <w:tcW w:w="1276" w:type="dxa"/>
            <w:noWrap/>
            <w:hideMark/>
          </w:tcPr>
          <w:p w14:paraId="54E8862F" w14:textId="6E8A13E1" w:rsidR="005E443D" w:rsidRPr="000973F2" w:rsidRDefault="005C2715" w:rsidP="005C2715">
            <w:pPr>
              <w:tabs>
                <w:tab w:val="decimal" w:pos="676"/>
              </w:tabs>
              <w:spacing w:before="40" w:after="4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w:t>
            </w:r>
          </w:p>
        </w:tc>
        <w:tc>
          <w:tcPr>
            <w:tcW w:w="1187" w:type="dxa"/>
            <w:noWrap/>
            <w:hideMark/>
          </w:tcPr>
          <w:p w14:paraId="77709755" w14:textId="4EA43940" w:rsidR="005E443D" w:rsidRPr="000973F2" w:rsidRDefault="005C2715" w:rsidP="005C2715">
            <w:pPr>
              <w:spacing w:before="40" w:after="4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w:t>
            </w:r>
          </w:p>
        </w:tc>
        <w:tc>
          <w:tcPr>
            <w:tcW w:w="1258" w:type="dxa"/>
            <w:noWrap/>
            <w:hideMark/>
          </w:tcPr>
          <w:p w14:paraId="356A850D" w14:textId="4B33EFD4" w:rsidR="005E443D" w:rsidRPr="000973F2" w:rsidRDefault="005C2715" w:rsidP="005C2715">
            <w:pPr>
              <w:tabs>
                <w:tab w:val="decimal" w:pos="691"/>
              </w:tabs>
              <w:spacing w:before="40" w:after="4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w:t>
            </w:r>
          </w:p>
        </w:tc>
      </w:tr>
      <w:tr w:rsidR="009A6027" w:rsidRPr="000973F2" w14:paraId="0E12C0C6" w14:textId="77777777" w:rsidTr="00065233">
        <w:trPr>
          <w:cnfStyle w:val="000000100000" w:firstRow="0" w:lastRow="0" w:firstColumn="0" w:lastColumn="0" w:oddVBand="0" w:evenVBand="0" w:oddHBand="1" w:evenHBand="0" w:firstRowFirstColumn="0" w:firstRowLastColumn="0" w:lastRowFirstColumn="0" w:lastRowLastColumn="0"/>
          <w:cantSplit/>
          <w:trHeight w:val="296"/>
        </w:trPr>
        <w:tc>
          <w:tcPr>
            <w:cnfStyle w:val="001000000000" w:firstRow="0" w:lastRow="0" w:firstColumn="1" w:lastColumn="0" w:oddVBand="0" w:evenVBand="0" w:oddHBand="0" w:evenHBand="0" w:firstRowFirstColumn="0" w:firstRowLastColumn="0" w:lastRowFirstColumn="0" w:lastRowLastColumn="0"/>
            <w:tcW w:w="1899" w:type="dxa"/>
            <w:tcMar>
              <w:right w:w="14" w:type="dxa"/>
            </w:tcMar>
            <w:hideMark/>
          </w:tcPr>
          <w:p w14:paraId="6F9E4600" w14:textId="77777777" w:rsidR="009A6027" w:rsidRPr="000973F2" w:rsidRDefault="009A6027" w:rsidP="005C2715">
            <w:pPr>
              <w:spacing w:before="40" w:after="40"/>
              <w:rPr>
                <w:rFonts w:ascii="Times New Roman" w:eastAsia="Times New Roman" w:hAnsi="Times New Roman" w:cs="Times New Roman"/>
                <w:b/>
                <w:bCs w:val="0"/>
                <w:sz w:val="18"/>
                <w:szCs w:val="18"/>
              </w:rPr>
            </w:pPr>
            <w:r w:rsidRPr="000973F2">
              <w:rPr>
                <w:rFonts w:ascii="Times New Roman" w:eastAsia="Times New Roman" w:hAnsi="Times New Roman" w:cs="Times New Roman"/>
                <w:b/>
                <w:sz w:val="18"/>
                <w:szCs w:val="18"/>
              </w:rPr>
              <w:t>Total</w:t>
            </w:r>
          </w:p>
        </w:tc>
        <w:tc>
          <w:tcPr>
            <w:tcW w:w="1276" w:type="dxa"/>
            <w:noWrap/>
            <w:hideMark/>
          </w:tcPr>
          <w:p w14:paraId="25F07266" w14:textId="77777777" w:rsidR="009A6027" w:rsidRPr="000973F2" w:rsidRDefault="009A6027" w:rsidP="005C2715">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sz w:val="18"/>
                <w:szCs w:val="18"/>
              </w:rPr>
            </w:pPr>
            <w:r w:rsidRPr="000973F2">
              <w:rPr>
                <w:rFonts w:ascii="Times New Roman" w:eastAsia="Times New Roman" w:hAnsi="Times New Roman" w:cs="Times New Roman"/>
                <w:b/>
                <w:sz w:val="18"/>
                <w:szCs w:val="18"/>
              </w:rPr>
              <w:t>$0</w:t>
            </w:r>
          </w:p>
        </w:tc>
        <w:tc>
          <w:tcPr>
            <w:tcW w:w="1276" w:type="dxa"/>
            <w:noWrap/>
            <w:hideMark/>
          </w:tcPr>
          <w:p w14:paraId="14618B66" w14:textId="22847813" w:rsidR="009A6027" w:rsidRPr="000973F2" w:rsidRDefault="009A6027" w:rsidP="005C2715">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sz w:val="18"/>
                <w:szCs w:val="18"/>
              </w:rPr>
            </w:pPr>
          </w:p>
        </w:tc>
        <w:tc>
          <w:tcPr>
            <w:tcW w:w="1276" w:type="dxa"/>
            <w:noWrap/>
            <w:hideMark/>
          </w:tcPr>
          <w:p w14:paraId="7D2D8172" w14:textId="77777777" w:rsidR="009A6027" w:rsidRPr="000973F2" w:rsidRDefault="009A6027" w:rsidP="005C2715">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sz w:val="18"/>
                <w:szCs w:val="18"/>
              </w:rPr>
            </w:pPr>
            <w:r w:rsidRPr="000973F2">
              <w:rPr>
                <w:rFonts w:ascii="Times New Roman" w:eastAsia="Times New Roman" w:hAnsi="Times New Roman" w:cs="Times New Roman"/>
                <w:b/>
                <w:sz w:val="18"/>
                <w:szCs w:val="18"/>
              </w:rPr>
              <w:t>$0</w:t>
            </w:r>
          </w:p>
        </w:tc>
        <w:tc>
          <w:tcPr>
            <w:tcW w:w="1276" w:type="dxa"/>
            <w:noWrap/>
            <w:hideMark/>
          </w:tcPr>
          <w:p w14:paraId="55CBF7DC" w14:textId="77777777" w:rsidR="009A6027" w:rsidRPr="000973F2" w:rsidRDefault="009A6027" w:rsidP="005C2715">
            <w:pPr>
              <w:tabs>
                <w:tab w:val="decimal" w:pos="676"/>
              </w:tabs>
              <w:spacing w:before="40" w:after="4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sz w:val="18"/>
                <w:szCs w:val="18"/>
              </w:rPr>
            </w:pPr>
            <w:r w:rsidRPr="000973F2">
              <w:rPr>
                <w:rFonts w:ascii="Times New Roman" w:hAnsi="Times New Roman" w:cs="Times New Roman"/>
                <w:b/>
                <w:sz w:val="18"/>
                <w:szCs w:val="18"/>
              </w:rPr>
              <w:t>$8,835</w:t>
            </w:r>
          </w:p>
        </w:tc>
        <w:tc>
          <w:tcPr>
            <w:tcW w:w="1187" w:type="dxa"/>
            <w:noWrap/>
            <w:hideMark/>
          </w:tcPr>
          <w:p w14:paraId="0CF0A019" w14:textId="77777777" w:rsidR="009A6027" w:rsidRPr="000973F2" w:rsidRDefault="009A6027" w:rsidP="005C2715">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sz w:val="18"/>
                <w:szCs w:val="18"/>
              </w:rPr>
            </w:pPr>
            <w:r w:rsidRPr="000973F2">
              <w:rPr>
                <w:rFonts w:ascii="Times New Roman" w:hAnsi="Times New Roman" w:cs="Times New Roman"/>
                <w:b/>
                <w:sz w:val="18"/>
                <w:szCs w:val="18"/>
              </w:rPr>
              <w:t>$0</w:t>
            </w:r>
          </w:p>
        </w:tc>
        <w:tc>
          <w:tcPr>
            <w:tcW w:w="1258" w:type="dxa"/>
            <w:noWrap/>
            <w:hideMark/>
          </w:tcPr>
          <w:p w14:paraId="063A8526" w14:textId="77777777" w:rsidR="009A6027" w:rsidRPr="000973F2" w:rsidRDefault="009A6027" w:rsidP="005C2715">
            <w:pPr>
              <w:tabs>
                <w:tab w:val="decimal" w:pos="691"/>
              </w:tabs>
              <w:spacing w:before="40" w:after="4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sz w:val="18"/>
                <w:szCs w:val="18"/>
              </w:rPr>
            </w:pPr>
            <w:r w:rsidRPr="000973F2">
              <w:rPr>
                <w:rFonts w:ascii="Times New Roman" w:hAnsi="Times New Roman" w:cs="Times New Roman"/>
                <w:b/>
                <w:sz w:val="18"/>
                <w:szCs w:val="18"/>
              </w:rPr>
              <w:t>$8,885</w:t>
            </w:r>
          </w:p>
        </w:tc>
      </w:tr>
    </w:tbl>
    <w:p w14:paraId="663F1D0D" w14:textId="77777777" w:rsidR="00F209FE" w:rsidRPr="000973F2" w:rsidRDefault="00F209FE" w:rsidP="00C00E4F">
      <w:pPr>
        <w:spacing w:line="240" w:lineRule="auto"/>
        <w:rPr>
          <w:rFonts w:ascii="Times New Roman" w:hAnsi="Times New Roman" w:cs="Times New Roman"/>
          <w:b/>
          <w:i/>
        </w:rPr>
      </w:pPr>
      <w:r w:rsidRPr="000973F2">
        <w:rPr>
          <w:rFonts w:ascii="Times New Roman" w:hAnsi="Times New Roman" w:cs="Times New Roman"/>
          <w:b/>
          <w:i/>
        </w:rPr>
        <w:br w:type="page"/>
      </w:r>
    </w:p>
    <w:p w14:paraId="6952BC19" w14:textId="23014D3A" w:rsidR="009A6027" w:rsidRPr="000973F2" w:rsidRDefault="009A6027" w:rsidP="005C2715">
      <w:pPr>
        <w:pStyle w:val="Heading2"/>
      </w:pPr>
      <w:r w:rsidRPr="000973F2">
        <w:t>Labor Costs for Subpart V</w:t>
      </w:r>
      <w:r w:rsidR="00C46487" w:rsidRPr="000973F2">
        <w:t>–</w:t>
      </w:r>
      <w:r w:rsidRPr="000973F2">
        <w:t>- Annual Performance Test Option (with Abatement)</w:t>
      </w:r>
    </w:p>
    <w:p w14:paraId="2606E766" w14:textId="4FFD8D25" w:rsidR="009A6027" w:rsidRPr="000973F2" w:rsidRDefault="009A6027" w:rsidP="00C46487">
      <w:pPr>
        <w:pStyle w:val="BodyText"/>
      </w:pPr>
      <w:r w:rsidRPr="000973F2">
        <w:t xml:space="preserve">Table </w:t>
      </w:r>
      <w:r w:rsidR="00C46487" w:rsidRPr="000973F2">
        <w:t>V-</w:t>
      </w:r>
      <w:r w:rsidRPr="000973F2">
        <w:t>1b below includes the labor hours for each of the 14 facilities using the annual performance test option (with abatement) to determine GHG emissions under Subpart V. Typical activities related to planning, QA/QC, recordkeeping and reporting, and sampling and analysis (which includes emissions calculations) are discussed in the Cost Appendix Introduction. In addition, Subpart V includes planning hours related to the required annual performance test: preparing for equipment shutdown prior to testing, contacting the test company, setting up the testing, attending the performance test, etc. Recordkeeping and reporting hours for Subpart V are based on the “low bin” designation, as explained in the Cost Appendix Introduction. Unlike most subparts, Subpart V is not expected to have QA/QC hours because the annual performance test is performed by a contractor and these costs are represented as O&amp;M costs (see Table V</w:t>
      </w:r>
      <w:r w:rsidR="00C46487" w:rsidRPr="000973F2">
        <w:noBreakHyphen/>
      </w:r>
      <w:r w:rsidRPr="000973F2">
        <w:t xml:space="preserve">2b below) rather than labor costs. </w:t>
      </w:r>
    </w:p>
    <w:p w14:paraId="71E7EA9A" w14:textId="2DEDA36D" w:rsidR="009A6027" w:rsidRPr="000973F2" w:rsidRDefault="009A6027" w:rsidP="00C46487">
      <w:pPr>
        <w:pStyle w:val="BodyText"/>
      </w:pPr>
      <w:r w:rsidRPr="000973F2">
        <w:rPr>
          <w:iCs/>
        </w:rPr>
        <w:t xml:space="preserve">For Subpart V, sampling and analysis </w:t>
      </w:r>
      <w:r w:rsidRPr="000973F2">
        <w:t>costs for the annual performance test option (with abatement) include time to calculate the N</w:t>
      </w:r>
      <w:r w:rsidRPr="000973F2">
        <w:rPr>
          <w:vertAlign w:val="subscript"/>
        </w:rPr>
        <w:t>2</w:t>
      </w:r>
      <w:r w:rsidRPr="000973F2">
        <w:t>O emission factor (according to Equation V-1) using the information gathered during the performance test, to determine the abatement utilization factor for each abatement device, and to calculate total N</w:t>
      </w:r>
      <w:r w:rsidRPr="000973F2">
        <w:rPr>
          <w:vertAlign w:val="subscript"/>
        </w:rPr>
        <w:t>2</w:t>
      </w:r>
      <w:r w:rsidRPr="000973F2">
        <w:t xml:space="preserve">O emissions from the nitric acid trains. All </w:t>
      </w:r>
      <w:r w:rsidR="00941B95" w:rsidRPr="000973F2">
        <w:t>S</w:t>
      </w:r>
      <w:r w:rsidRPr="000973F2">
        <w:t xml:space="preserve">ubpart V facilities </w:t>
      </w:r>
      <w:r w:rsidRPr="000973F2">
        <w:rPr>
          <w:iCs/>
        </w:rPr>
        <w:t xml:space="preserve">using the annual performance test option (with abatement) </w:t>
      </w:r>
      <w:r w:rsidRPr="000973F2">
        <w:t>have one abatement device.</w:t>
      </w:r>
    </w:p>
    <w:p w14:paraId="7F265949" w14:textId="5F66B104" w:rsidR="006A0C1C" w:rsidRPr="000973F2" w:rsidRDefault="006A0C1C" w:rsidP="00C46487">
      <w:pPr>
        <w:pStyle w:val="Tabletitle"/>
      </w:pPr>
      <w:r w:rsidRPr="000973F2">
        <w:t xml:space="preserve">Table </w:t>
      </w:r>
      <w:r w:rsidR="00C46487" w:rsidRPr="000973F2">
        <w:t>V-</w:t>
      </w:r>
      <w:r w:rsidRPr="000973F2">
        <w:t xml:space="preserve">1b. Labor Costs </w:t>
      </w:r>
      <w:r w:rsidR="00B960CC" w:rsidRPr="000973F2">
        <w:t>–</w:t>
      </w:r>
      <w:r w:rsidRPr="000973F2">
        <w:t xml:space="preserve"> Subpart V </w:t>
      </w:r>
      <w:r w:rsidR="00B960CC" w:rsidRPr="000973F2">
        <w:t>–</w:t>
      </w:r>
      <w:r w:rsidRPr="000973F2">
        <w:t xml:space="preserve"> Annual Performance Test Option (with Abatement)</w:t>
      </w:r>
    </w:p>
    <w:tbl>
      <w:tblPr>
        <w:tblStyle w:val="PlainTable1"/>
        <w:tblW w:w="0" w:type="auto"/>
        <w:jc w:val="left"/>
        <w:tblLayout w:type="fixed"/>
        <w:tblLook w:val="04A0" w:firstRow="1" w:lastRow="0" w:firstColumn="1" w:lastColumn="0" w:noHBand="0" w:noVBand="1"/>
      </w:tblPr>
      <w:tblGrid>
        <w:gridCol w:w="1327"/>
        <w:gridCol w:w="705"/>
        <w:gridCol w:w="825"/>
        <w:gridCol w:w="709"/>
        <w:gridCol w:w="911"/>
        <w:gridCol w:w="695"/>
        <w:gridCol w:w="925"/>
        <w:gridCol w:w="720"/>
        <w:gridCol w:w="900"/>
        <w:gridCol w:w="720"/>
        <w:gridCol w:w="877"/>
      </w:tblGrid>
      <w:tr w:rsidR="006A0C1C" w:rsidRPr="000973F2" w14:paraId="18860875" w14:textId="77777777" w:rsidTr="00B6531F">
        <w:trPr>
          <w:cnfStyle w:val="100000000000" w:firstRow="1" w:lastRow="0" w:firstColumn="0" w:lastColumn="0" w:oddVBand="0" w:evenVBand="0" w:oddHBand="0" w:evenHBand="0" w:firstRowFirstColumn="0" w:firstRowLastColumn="0" w:lastRowFirstColumn="0" w:lastRowLastColumn="0"/>
          <w:trHeight w:val="270"/>
          <w:jc w:val="left"/>
        </w:trPr>
        <w:tc>
          <w:tcPr>
            <w:cnfStyle w:val="001000000000" w:firstRow="0" w:lastRow="0" w:firstColumn="1" w:lastColumn="0" w:oddVBand="0" w:evenVBand="0" w:oddHBand="0" w:evenHBand="0" w:firstRowFirstColumn="0" w:firstRowLastColumn="0" w:lastRowFirstColumn="0" w:lastRowLastColumn="0"/>
            <w:tcW w:w="0" w:type="dxa"/>
            <w:vMerge w:val="restart"/>
            <w:noWrap/>
            <w:vAlign w:val="top"/>
            <w:hideMark/>
          </w:tcPr>
          <w:p w14:paraId="7D3C2FC4" w14:textId="77777777" w:rsidR="006A0C1C" w:rsidRPr="000973F2" w:rsidRDefault="006A0C1C" w:rsidP="00C46487">
            <w:pPr>
              <w:spacing w:before="40" w:after="40"/>
              <w:rPr>
                <w:rFonts w:ascii="Times New Roman" w:eastAsia="Times New Roman" w:hAnsi="Times New Roman" w:cs="Times New Roman"/>
                <w:b w:val="0"/>
                <w:bCs w:val="0"/>
                <w:sz w:val="18"/>
                <w:szCs w:val="18"/>
              </w:rPr>
            </w:pPr>
            <w:r w:rsidRPr="000973F2">
              <w:rPr>
                <w:rFonts w:ascii="Times New Roman" w:eastAsia="Times New Roman" w:hAnsi="Times New Roman" w:cs="Times New Roman"/>
                <w:sz w:val="18"/>
                <w:szCs w:val="18"/>
              </w:rPr>
              <w:t>Activity</w:t>
            </w:r>
          </w:p>
        </w:tc>
        <w:tc>
          <w:tcPr>
            <w:tcW w:w="0" w:type="dxa"/>
            <w:gridSpan w:val="8"/>
            <w:noWrap/>
            <w:vAlign w:val="top"/>
            <w:hideMark/>
          </w:tcPr>
          <w:p w14:paraId="090161ED" w14:textId="77777777" w:rsidR="006A0C1C" w:rsidRPr="000973F2" w:rsidRDefault="006A0C1C" w:rsidP="00C46487">
            <w:pPr>
              <w:spacing w:before="40" w:after="40"/>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bCs w:val="0"/>
                <w:sz w:val="18"/>
                <w:szCs w:val="18"/>
              </w:rPr>
            </w:pPr>
            <w:r w:rsidRPr="000973F2">
              <w:rPr>
                <w:rFonts w:ascii="Times New Roman" w:eastAsia="Times New Roman" w:hAnsi="Times New Roman" w:cs="Times New Roman"/>
                <w:sz w:val="18"/>
                <w:szCs w:val="18"/>
              </w:rPr>
              <w:t>Labor Rates (per hour)</w:t>
            </w:r>
          </w:p>
        </w:tc>
        <w:tc>
          <w:tcPr>
            <w:tcW w:w="0" w:type="dxa"/>
            <w:gridSpan w:val="2"/>
            <w:vMerge w:val="restart"/>
            <w:vAlign w:val="top"/>
            <w:hideMark/>
          </w:tcPr>
          <w:p w14:paraId="15166DFC" w14:textId="77777777" w:rsidR="006A0C1C" w:rsidRPr="000973F2" w:rsidRDefault="006A0C1C" w:rsidP="00C46487">
            <w:pPr>
              <w:spacing w:before="40" w:after="40"/>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bCs w:val="0"/>
                <w:sz w:val="18"/>
                <w:szCs w:val="18"/>
              </w:rPr>
            </w:pPr>
            <w:r w:rsidRPr="000973F2">
              <w:rPr>
                <w:rFonts w:ascii="Times New Roman" w:eastAsia="Times New Roman" w:hAnsi="Times New Roman" w:cs="Times New Roman"/>
                <w:sz w:val="18"/>
                <w:szCs w:val="18"/>
              </w:rPr>
              <w:t>Total Labor Cost per Year per Facility (2017$)</w:t>
            </w:r>
          </w:p>
        </w:tc>
      </w:tr>
      <w:tr w:rsidR="006A0C1C" w:rsidRPr="000973F2" w14:paraId="274F3E9E" w14:textId="77777777" w:rsidTr="00B6531F">
        <w:trPr>
          <w:cnfStyle w:val="000000100000" w:firstRow="0" w:lastRow="0" w:firstColumn="0" w:lastColumn="0" w:oddVBand="0" w:evenVBand="0" w:oddHBand="1" w:evenHBand="0" w:firstRowFirstColumn="0" w:firstRowLastColumn="0" w:lastRowFirstColumn="0" w:lastRowLastColumn="0"/>
          <w:trHeight w:val="297"/>
        </w:trPr>
        <w:tc>
          <w:tcPr>
            <w:cnfStyle w:val="001000000000" w:firstRow="0" w:lastRow="0" w:firstColumn="1" w:lastColumn="0" w:oddVBand="0" w:evenVBand="0" w:oddHBand="0" w:evenHBand="0" w:firstRowFirstColumn="0" w:firstRowLastColumn="0" w:lastRowFirstColumn="0" w:lastRowLastColumn="0"/>
            <w:tcW w:w="0" w:type="dxa"/>
            <w:vMerge/>
            <w:hideMark/>
          </w:tcPr>
          <w:p w14:paraId="68FF34E9" w14:textId="77777777" w:rsidR="006A0C1C" w:rsidRPr="000973F2" w:rsidRDefault="006A0C1C" w:rsidP="00C46487">
            <w:pPr>
              <w:spacing w:before="40" w:after="40"/>
              <w:rPr>
                <w:rFonts w:ascii="Times New Roman" w:eastAsia="Times New Roman" w:hAnsi="Times New Roman" w:cs="Times New Roman"/>
                <w:b/>
                <w:bCs w:val="0"/>
                <w:sz w:val="18"/>
                <w:szCs w:val="18"/>
              </w:rPr>
            </w:pPr>
          </w:p>
        </w:tc>
        <w:tc>
          <w:tcPr>
            <w:tcW w:w="0" w:type="dxa"/>
            <w:gridSpan w:val="2"/>
            <w:noWrap/>
            <w:hideMark/>
          </w:tcPr>
          <w:p w14:paraId="219DC8A1" w14:textId="77777777" w:rsidR="006A0C1C" w:rsidRPr="000973F2" w:rsidRDefault="006A0C1C" w:rsidP="00C46487">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18"/>
                <w:szCs w:val="18"/>
              </w:rPr>
            </w:pPr>
            <w:r w:rsidRPr="000973F2">
              <w:rPr>
                <w:rFonts w:ascii="Times New Roman" w:eastAsia="Times New Roman" w:hAnsi="Times New Roman" w:cs="Times New Roman"/>
                <w:b/>
                <w:bCs/>
                <w:sz w:val="18"/>
                <w:szCs w:val="18"/>
              </w:rPr>
              <w:t>Lawyer</w:t>
            </w:r>
          </w:p>
        </w:tc>
        <w:tc>
          <w:tcPr>
            <w:tcW w:w="0" w:type="dxa"/>
            <w:gridSpan w:val="2"/>
            <w:noWrap/>
            <w:hideMark/>
          </w:tcPr>
          <w:p w14:paraId="3D26973D" w14:textId="77777777" w:rsidR="006A0C1C" w:rsidRPr="000973F2" w:rsidRDefault="006A0C1C" w:rsidP="00C46487">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18"/>
                <w:szCs w:val="18"/>
              </w:rPr>
            </w:pPr>
            <w:r w:rsidRPr="000973F2">
              <w:rPr>
                <w:rFonts w:ascii="Times New Roman" w:eastAsia="Times New Roman" w:hAnsi="Times New Roman" w:cs="Times New Roman"/>
                <w:b/>
                <w:bCs/>
                <w:sz w:val="18"/>
                <w:szCs w:val="18"/>
              </w:rPr>
              <w:t>Industrial Manager</w:t>
            </w:r>
          </w:p>
        </w:tc>
        <w:tc>
          <w:tcPr>
            <w:tcW w:w="0" w:type="dxa"/>
            <w:gridSpan w:val="2"/>
            <w:hideMark/>
          </w:tcPr>
          <w:p w14:paraId="5EF8CD02" w14:textId="4E4A4551" w:rsidR="006A0C1C" w:rsidRPr="000973F2" w:rsidRDefault="006A0C1C" w:rsidP="00C46487">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18"/>
                <w:szCs w:val="18"/>
              </w:rPr>
            </w:pPr>
            <w:r w:rsidRPr="000973F2">
              <w:rPr>
                <w:rFonts w:ascii="Times New Roman" w:eastAsia="Times New Roman" w:hAnsi="Times New Roman" w:cs="Times New Roman"/>
                <w:b/>
                <w:bCs/>
                <w:sz w:val="18"/>
                <w:szCs w:val="18"/>
              </w:rPr>
              <w:t>Industrial Engineer/</w:t>
            </w:r>
            <w:r w:rsidR="00C46487" w:rsidRPr="000973F2">
              <w:rPr>
                <w:rFonts w:ascii="Times New Roman" w:eastAsia="Times New Roman" w:hAnsi="Times New Roman" w:cs="Times New Roman"/>
                <w:b/>
                <w:bCs/>
                <w:sz w:val="18"/>
                <w:szCs w:val="18"/>
              </w:rPr>
              <w:t xml:space="preserve"> </w:t>
            </w:r>
            <w:r w:rsidRPr="000973F2">
              <w:rPr>
                <w:rFonts w:ascii="Times New Roman" w:eastAsia="Times New Roman" w:hAnsi="Times New Roman" w:cs="Times New Roman"/>
                <w:b/>
                <w:bCs/>
                <w:sz w:val="18"/>
                <w:szCs w:val="18"/>
              </w:rPr>
              <w:t>Technician</w:t>
            </w:r>
          </w:p>
        </w:tc>
        <w:tc>
          <w:tcPr>
            <w:tcW w:w="0" w:type="dxa"/>
            <w:gridSpan w:val="2"/>
            <w:hideMark/>
          </w:tcPr>
          <w:p w14:paraId="09DDA93C" w14:textId="77777777" w:rsidR="006A0C1C" w:rsidRPr="000973F2" w:rsidRDefault="006A0C1C" w:rsidP="00C46487">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18"/>
                <w:szCs w:val="18"/>
              </w:rPr>
            </w:pPr>
            <w:r w:rsidRPr="000973F2">
              <w:rPr>
                <w:rFonts w:ascii="Times New Roman" w:eastAsia="Times New Roman" w:hAnsi="Times New Roman" w:cs="Times New Roman"/>
                <w:b/>
                <w:bCs/>
                <w:sz w:val="18"/>
                <w:szCs w:val="18"/>
              </w:rPr>
              <w:t>Administrative Support</w:t>
            </w:r>
          </w:p>
        </w:tc>
        <w:tc>
          <w:tcPr>
            <w:tcW w:w="0" w:type="dxa"/>
            <w:gridSpan w:val="2"/>
            <w:vMerge/>
            <w:hideMark/>
          </w:tcPr>
          <w:p w14:paraId="17B21EAB" w14:textId="77777777" w:rsidR="006A0C1C" w:rsidRPr="000973F2" w:rsidRDefault="006A0C1C" w:rsidP="00C46487">
            <w:pPr>
              <w:spacing w:before="40" w:after="4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18"/>
                <w:szCs w:val="18"/>
              </w:rPr>
            </w:pPr>
          </w:p>
        </w:tc>
      </w:tr>
      <w:tr w:rsidR="006A0C1C" w:rsidRPr="000973F2" w14:paraId="305C6BA5" w14:textId="77777777" w:rsidTr="00B6531F">
        <w:trPr>
          <w:trHeight w:val="35"/>
        </w:trPr>
        <w:tc>
          <w:tcPr>
            <w:cnfStyle w:val="001000000000" w:firstRow="0" w:lastRow="0" w:firstColumn="1" w:lastColumn="0" w:oddVBand="0" w:evenVBand="0" w:oddHBand="0" w:evenHBand="0" w:firstRowFirstColumn="0" w:firstRowLastColumn="0" w:lastRowFirstColumn="0" w:lastRowLastColumn="0"/>
            <w:tcW w:w="0" w:type="dxa"/>
            <w:vMerge/>
            <w:hideMark/>
          </w:tcPr>
          <w:p w14:paraId="26220B97" w14:textId="77777777" w:rsidR="006A0C1C" w:rsidRPr="000973F2" w:rsidRDefault="006A0C1C" w:rsidP="00C46487">
            <w:pPr>
              <w:spacing w:before="40" w:after="40"/>
              <w:rPr>
                <w:rFonts w:ascii="Times New Roman" w:eastAsia="Times New Roman" w:hAnsi="Times New Roman" w:cs="Times New Roman"/>
                <w:b/>
                <w:bCs w:val="0"/>
                <w:sz w:val="18"/>
                <w:szCs w:val="18"/>
              </w:rPr>
            </w:pPr>
          </w:p>
        </w:tc>
        <w:tc>
          <w:tcPr>
            <w:tcW w:w="0" w:type="dxa"/>
            <w:gridSpan w:val="2"/>
            <w:noWrap/>
            <w:hideMark/>
          </w:tcPr>
          <w:p w14:paraId="032371AE" w14:textId="77777777" w:rsidR="006A0C1C" w:rsidRPr="000973F2" w:rsidRDefault="006A0C1C" w:rsidP="00C46487">
            <w:pPr>
              <w:spacing w:before="40" w:after="4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sz w:val="18"/>
                <w:szCs w:val="18"/>
              </w:rPr>
            </w:pPr>
            <w:r w:rsidRPr="000973F2">
              <w:rPr>
                <w:rFonts w:ascii="Times New Roman" w:eastAsia="Times New Roman" w:hAnsi="Times New Roman" w:cs="Times New Roman"/>
                <w:b/>
                <w:bCs/>
                <w:sz w:val="18"/>
                <w:szCs w:val="18"/>
              </w:rPr>
              <w:t xml:space="preserve">$112.23 </w:t>
            </w:r>
          </w:p>
        </w:tc>
        <w:tc>
          <w:tcPr>
            <w:tcW w:w="0" w:type="dxa"/>
            <w:gridSpan w:val="2"/>
            <w:noWrap/>
            <w:hideMark/>
          </w:tcPr>
          <w:p w14:paraId="01CCE12E" w14:textId="77777777" w:rsidR="006A0C1C" w:rsidRPr="000973F2" w:rsidRDefault="006A0C1C" w:rsidP="00C46487">
            <w:pPr>
              <w:spacing w:before="40" w:after="4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sz w:val="18"/>
                <w:szCs w:val="18"/>
              </w:rPr>
            </w:pPr>
            <w:r w:rsidRPr="000973F2">
              <w:rPr>
                <w:rFonts w:ascii="Times New Roman" w:eastAsia="Times New Roman" w:hAnsi="Times New Roman" w:cs="Times New Roman"/>
                <w:b/>
                <w:bCs/>
                <w:sz w:val="18"/>
                <w:szCs w:val="18"/>
              </w:rPr>
              <w:t xml:space="preserve">$87.45 </w:t>
            </w:r>
          </w:p>
        </w:tc>
        <w:tc>
          <w:tcPr>
            <w:tcW w:w="0" w:type="dxa"/>
            <w:gridSpan w:val="2"/>
            <w:noWrap/>
            <w:hideMark/>
          </w:tcPr>
          <w:p w14:paraId="2BE74156" w14:textId="77777777" w:rsidR="006A0C1C" w:rsidRPr="000973F2" w:rsidRDefault="006A0C1C" w:rsidP="00C46487">
            <w:pPr>
              <w:spacing w:before="40" w:after="4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sz w:val="18"/>
                <w:szCs w:val="18"/>
              </w:rPr>
            </w:pPr>
            <w:r w:rsidRPr="000973F2">
              <w:rPr>
                <w:rFonts w:ascii="Times New Roman" w:eastAsia="Times New Roman" w:hAnsi="Times New Roman" w:cs="Times New Roman"/>
                <w:b/>
                <w:bCs/>
                <w:sz w:val="18"/>
                <w:szCs w:val="18"/>
              </w:rPr>
              <w:t xml:space="preserve">$71.45 </w:t>
            </w:r>
          </w:p>
        </w:tc>
        <w:tc>
          <w:tcPr>
            <w:tcW w:w="0" w:type="dxa"/>
            <w:gridSpan w:val="2"/>
            <w:noWrap/>
            <w:hideMark/>
          </w:tcPr>
          <w:p w14:paraId="61C23D61" w14:textId="77777777" w:rsidR="006A0C1C" w:rsidRPr="000973F2" w:rsidRDefault="006A0C1C" w:rsidP="00C46487">
            <w:pPr>
              <w:spacing w:before="40" w:after="4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sz w:val="18"/>
                <w:szCs w:val="18"/>
              </w:rPr>
            </w:pPr>
            <w:r w:rsidRPr="000973F2">
              <w:rPr>
                <w:rFonts w:ascii="Times New Roman" w:eastAsia="Times New Roman" w:hAnsi="Times New Roman" w:cs="Times New Roman"/>
                <w:b/>
                <w:bCs/>
                <w:sz w:val="18"/>
                <w:szCs w:val="18"/>
              </w:rPr>
              <w:t xml:space="preserve">$36.28 </w:t>
            </w:r>
          </w:p>
        </w:tc>
        <w:tc>
          <w:tcPr>
            <w:tcW w:w="0" w:type="dxa"/>
            <w:gridSpan w:val="2"/>
            <w:vMerge/>
            <w:hideMark/>
          </w:tcPr>
          <w:p w14:paraId="73B98CD3" w14:textId="77777777" w:rsidR="006A0C1C" w:rsidRPr="000973F2" w:rsidRDefault="006A0C1C" w:rsidP="00C46487">
            <w:pPr>
              <w:spacing w:before="40" w:after="4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sz w:val="18"/>
                <w:szCs w:val="18"/>
              </w:rPr>
            </w:pPr>
          </w:p>
        </w:tc>
      </w:tr>
      <w:tr w:rsidR="006A0C1C" w:rsidRPr="000973F2" w14:paraId="1F031B26" w14:textId="77777777" w:rsidTr="00B6531F">
        <w:trPr>
          <w:cnfStyle w:val="000000100000" w:firstRow="0" w:lastRow="0" w:firstColumn="0" w:lastColumn="0" w:oddVBand="0" w:evenVBand="0" w:oddHBand="1" w:evenHBand="0" w:firstRowFirstColumn="0" w:firstRowLastColumn="0" w:lastRowFirstColumn="0" w:lastRowLastColumn="0"/>
          <w:trHeight w:val="495"/>
        </w:trPr>
        <w:tc>
          <w:tcPr>
            <w:cnfStyle w:val="001000000000" w:firstRow="0" w:lastRow="0" w:firstColumn="1" w:lastColumn="0" w:oddVBand="0" w:evenVBand="0" w:oddHBand="0" w:evenHBand="0" w:firstRowFirstColumn="0" w:firstRowLastColumn="0" w:lastRowFirstColumn="0" w:lastRowLastColumn="0"/>
            <w:tcW w:w="0" w:type="dxa"/>
            <w:vMerge/>
            <w:hideMark/>
          </w:tcPr>
          <w:p w14:paraId="649A6F7B" w14:textId="77777777" w:rsidR="006A0C1C" w:rsidRPr="000973F2" w:rsidRDefault="006A0C1C" w:rsidP="00C46487">
            <w:pPr>
              <w:spacing w:before="40" w:after="40"/>
              <w:rPr>
                <w:rFonts w:ascii="Times New Roman" w:eastAsia="Times New Roman" w:hAnsi="Times New Roman" w:cs="Times New Roman"/>
                <w:b/>
                <w:bCs w:val="0"/>
                <w:sz w:val="18"/>
                <w:szCs w:val="18"/>
              </w:rPr>
            </w:pPr>
          </w:p>
        </w:tc>
        <w:tc>
          <w:tcPr>
            <w:tcW w:w="0" w:type="dxa"/>
            <w:tcMar>
              <w:left w:w="14" w:type="dxa"/>
              <w:right w:w="14" w:type="dxa"/>
            </w:tcMar>
            <w:hideMark/>
          </w:tcPr>
          <w:p w14:paraId="70F420B7" w14:textId="075A1BD0" w:rsidR="006A0C1C" w:rsidRPr="000973F2" w:rsidRDefault="006A0C1C" w:rsidP="00C46487">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18"/>
                <w:szCs w:val="18"/>
              </w:rPr>
            </w:pPr>
            <w:r w:rsidRPr="000973F2">
              <w:rPr>
                <w:rFonts w:ascii="Times New Roman" w:eastAsia="Times New Roman" w:hAnsi="Times New Roman" w:cs="Times New Roman"/>
                <w:b/>
                <w:bCs/>
                <w:sz w:val="18"/>
                <w:szCs w:val="18"/>
              </w:rPr>
              <w:t xml:space="preserve">Initial </w:t>
            </w:r>
            <w:r w:rsidR="00132320" w:rsidRPr="000973F2">
              <w:rPr>
                <w:rFonts w:ascii="Times New Roman" w:eastAsia="Times New Roman" w:hAnsi="Times New Roman" w:cs="Times New Roman"/>
                <w:b/>
                <w:bCs/>
                <w:sz w:val="18"/>
                <w:szCs w:val="18"/>
              </w:rPr>
              <w:t>Year Hours</w:t>
            </w:r>
          </w:p>
        </w:tc>
        <w:tc>
          <w:tcPr>
            <w:tcW w:w="0" w:type="dxa"/>
            <w:tcMar>
              <w:left w:w="14" w:type="dxa"/>
              <w:right w:w="14" w:type="dxa"/>
            </w:tcMar>
            <w:hideMark/>
          </w:tcPr>
          <w:p w14:paraId="6097F095" w14:textId="77777777" w:rsidR="006A0C1C" w:rsidRPr="000973F2" w:rsidRDefault="006A0C1C" w:rsidP="00C46487">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18"/>
                <w:szCs w:val="18"/>
              </w:rPr>
            </w:pPr>
            <w:r w:rsidRPr="000973F2">
              <w:rPr>
                <w:rFonts w:ascii="Times New Roman" w:eastAsia="Times New Roman" w:hAnsi="Times New Roman" w:cs="Times New Roman"/>
                <w:b/>
                <w:bCs/>
                <w:sz w:val="18"/>
                <w:szCs w:val="18"/>
              </w:rPr>
              <w:t>Subseq. Year Hours</w:t>
            </w:r>
          </w:p>
        </w:tc>
        <w:tc>
          <w:tcPr>
            <w:tcW w:w="0" w:type="dxa"/>
            <w:tcMar>
              <w:left w:w="14" w:type="dxa"/>
              <w:right w:w="14" w:type="dxa"/>
            </w:tcMar>
            <w:hideMark/>
          </w:tcPr>
          <w:p w14:paraId="46FF9847" w14:textId="6D8FE9C2" w:rsidR="006A0C1C" w:rsidRPr="000973F2" w:rsidRDefault="006A0C1C" w:rsidP="00C46487">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18"/>
                <w:szCs w:val="18"/>
              </w:rPr>
            </w:pPr>
            <w:r w:rsidRPr="000973F2">
              <w:rPr>
                <w:rFonts w:ascii="Times New Roman" w:eastAsia="Times New Roman" w:hAnsi="Times New Roman" w:cs="Times New Roman"/>
                <w:b/>
                <w:bCs/>
                <w:sz w:val="18"/>
                <w:szCs w:val="18"/>
              </w:rPr>
              <w:t xml:space="preserve">Initial </w:t>
            </w:r>
            <w:r w:rsidR="00132320" w:rsidRPr="000973F2">
              <w:rPr>
                <w:rFonts w:ascii="Times New Roman" w:eastAsia="Times New Roman" w:hAnsi="Times New Roman" w:cs="Times New Roman"/>
                <w:b/>
                <w:bCs/>
                <w:sz w:val="18"/>
                <w:szCs w:val="18"/>
              </w:rPr>
              <w:t>Year Hours</w:t>
            </w:r>
          </w:p>
        </w:tc>
        <w:tc>
          <w:tcPr>
            <w:tcW w:w="0" w:type="dxa"/>
            <w:tcMar>
              <w:left w:w="14" w:type="dxa"/>
              <w:right w:w="14" w:type="dxa"/>
            </w:tcMar>
            <w:hideMark/>
          </w:tcPr>
          <w:p w14:paraId="5681B6FB" w14:textId="77777777" w:rsidR="006A0C1C" w:rsidRPr="000973F2" w:rsidRDefault="006A0C1C" w:rsidP="00C46487">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18"/>
                <w:szCs w:val="18"/>
              </w:rPr>
            </w:pPr>
            <w:r w:rsidRPr="000973F2">
              <w:rPr>
                <w:rFonts w:ascii="Times New Roman" w:eastAsia="Times New Roman" w:hAnsi="Times New Roman" w:cs="Times New Roman"/>
                <w:b/>
                <w:bCs/>
                <w:sz w:val="18"/>
                <w:szCs w:val="18"/>
              </w:rPr>
              <w:t>Subseq. Year Hours</w:t>
            </w:r>
          </w:p>
        </w:tc>
        <w:tc>
          <w:tcPr>
            <w:tcW w:w="0" w:type="dxa"/>
            <w:tcMar>
              <w:left w:w="14" w:type="dxa"/>
              <w:right w:w="14" w:type="dxa"/>
            </w:tcMar>
            <w:hideMark/>
          </w:tcPr>
          <w:p w14:paraId="73963519" w14:textId="54497E18" w:rsidR="006A0C1C" w:rsidRPr="000973F2" w:rsidRDefault="006A0C1C" w:rsidP="00C46487">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18"/>
                <w:szCs w:val="18"/>
              </w:rPr>
            </w:pPr>
            <w:r w:rsidRPr="000973F2">
              <w:rPr>
                <w:rFonts w:ascii="Times New Roman" w:eastAsia="Times New Roman" w:hAnsi="Times New Roman" w:cs="Times New Roman"/>
                <w:b/>
                <w:bCs/>
                <w:sz w:val="18"/>
                <w:szCs w:val="18"/>
              </w:rPr>
              <w:t xml:space="preserve">Initial </w:t>
            </w:r>
            <w:r w:rsidR="00132320" w:rsidRPr="000973F2">
              <w:rPr>
                <w:rFonts w:ascii="Times New Roman" w:eastAsia="Times New Roman" w:hAnsi="Times New Roman" w:cs="Times New Roman"/>
                <w:b/>
                <w:bCs/>
                <w:sz w:val="18"/>
                <w:szCs w:val="18"/>
              </w:rPr>
              <w:t>Year Hours</w:t>
            </w:r>
          </w:p>
        </w:tc>
        <w:tc>
          <w:tcPr>
            <w:tcW w:w="0" w:type="dxa"/>
            <w:tcMar>
              <w:left w:w="14" w:type="dxa"/>
              <w:right w:w="14" w:type="dxa"/>
            </w:tcMar>
            <w:hideMark/>
          </w:tcPr>
          <w:p w14:paraId="647FFB6A" w14:textId="77777777" w:rsidR="006A0C1C" w:rsidRPr="000973F2" w:rsidRDefault="006A0C1C" w:rsidP="00C46487">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18"/>
                <w:szCs w:val="18"/>
              </w:rPr>
            </w:pPr>
            <w:r w:rsidRPr="000973F2">
              <w:rPr>
                <w:rFonts w:ascii="Times New Roman" w:eastAsia="Times New Roman" w:hAnsi="Times New Roman" w:cs="Times New Roman"/>
                <w:b/>
                <w:bCs/>
                <w:sz w:val="18"/>
                <w:szCs w:val="18"/>
              </w:rPr>
              <w:t>Subseq. Year Hours</w:t>
            </w:r>
          </w:p>
        </w:tc>
        <w:tc>
          <w:tcPr>
            <w:tcW w:w="0" w:type="dxa"/>
            <w:tcMar>
              <w:left w:w="14" w:type="dxa"/>
              <w:right w:w="14" w:type="dxa"/>
            </w:tcMar>
            <w:hideMark/>
          </w:tcPr>
          <w:p w14:paraId="62268809" w14:textId="514348D2" w:rsidR="006A0C1C" w:rsidRPr="000973F2" w:rsidRDefault="006A0C1C" w:rsidP="00C46487">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18"/>
                <w:szCs w:val="18"/>
              </w:rPr>
            </w:pPr>
            <w:r w:rsidRPr="000973F2">
              <w:rPr>
                <w:rFonts w:ascii="Times New Roman" w:eastAsia="Times New Roman" w:hAnsi="Times New Roman" w:cs="Times New Roman"/>
                <w:b/>
                <w:bCs/>
                <w:sz w:val="18"/>
                <w:szCs w:val="18"/>
              </w:rPr>
              <w:t xml:space="preserve">Initial </w:t>
            </w:r>
            <w:r w:rsidR="00132320" w:rsidRPr="000973F2">
              <w:rPr>
                <w:rFonts w:ascii="Times New Roman" w:eastAsia="Times New Roman" w:hAnsi="Times New Roman" w:cs="Times New Roman"/>
                <w:b/>
                <w:bCs/>
                <w:sz w:val="18"/>
                <w:szCs w:val="18"/>
              </w:rPr>
              <w:t>Year Hours</w:t>
            </w:r>
          </w:p>
        </w:tc>
        <w:tc>
          <w:tcPr>
            <w:tcW w:w="0" w:type="dxa"/>
            <w:tcMar>
              <w:left w:w="14" w:type="dxa"/>
              <w:right w:w="14" w:type="dxa"/>
            </w:tcMar>
            <w:hideMark/>
          </w:tcPr>
          <w:p w14:paraId="7B3DBBA0" w14:textId="77777777" w:rsidR="006A0C1C" w:rsidRPr="000973F2" w:rsidRDefault="006A0C1C" w:rsidP="00C46487">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18"/>
                <w:szCs w:val="18"/>
              </w:rPr>
            </w:pPr>
            <w:r w:rsidRPr="000973F2">
              <w:rPr>
                <w:rFonts w:ascii="Times New Roman" w:eastAsia="Times New Roman" w:hAnsi="Times New Roman" w:cs="Times New Roman"/>
                <w:b/>
                <w:bCs/>
                <w:sz w:val="18"/>
                <w:szCs w:val="18"/>
              </w:rPr>
              <w:t>Subseq. Year Hours</w:t>
            </w:r>
          </w:p>
        </w:tc>
        <w:tc>
          <w:tcPr>
            <w:tcW w:w="0" w:type="dxa"/>
            <w:tcMar>
              <w:left w:w="14" w:type="dxa"/>
              <w:right w:w="14" w:type="dxa"/>
            </w:tcMar>
            <w:hideMark/>
          </w:tcPr>
          <w:p w14:paraId="0A53DAB8" w14:textId="77777777" w:rsidR="006A0C1C" w:rsidRPr="000973F2" w:rsidRDefault="006A0C1C" w:rsidP="00C46487">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18"/>
                <w:szCs w:val="18"/>
              </w:rPr>
            </w:pPr>
            <w:r w:rsidRPr="000973F2">
              <w:rPr>
                <w:rFonts w:ascii="Times New Roman" w:eastAsia="Times New Roman" w:hAnsi="Times New Roman" w:cs="Times New Roman"/>
                <w:b/>
                <w:bCs/>
                <w:sz w:val="18"/>
                <w:szCs w:val="18"/>
              </w:rPr>
              <w:t>Initial Year</w:t>
            </w:r>
          </w:p>
        </w:tc>
        <w:tc>
          <w:tcPr>
            <w:tcW w:w="0" w:type="dxa"/>
            <w:tcMar>
              <w:left w:w="14" w:type="dxa"/>
              <w:right w:w="14" w:type="dxa"/>
            </w:tcMar>
            <w:hideMark/>
          </w:tcPr>
          <w:p w14:paraId="4DFA8668" w14:textId="77777777" w:rsidR="006A0C1C" w:rsidRPr="000973F2" w:rsidRDefault="006A0C1C" w:rsidP="00C46487">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18"/>
                <w:szCs w:val="18"/>
              </w:rPr>
            </w:pPr>
            <w:r w:rsidRPr="000973F2">
              <w:rPr>
                <w:rFonts w:ascii="Times New Roman" w:eastAsia="Times New Roman" w:hAnsi="Times New Roman" w:cs="Times New Roman"/>
                <w:b/>
                <w:bCs/>
                <w:sz w:val="18"/>
                <w:szCs w:val="18"/>
              </w:rPr>
              <w:t>Subseq. Year</w:t>
            </w:r>
          </w:p>
        </w:tc>
      </w:tr>
      <w:tr w:rsidR="006A0C1C" w:rsidRPr="000973F2" w14:paraId="4B2C5075" w14:textId="77777777" w:rsidTr="00B6531F">
        <w:trPr>
          <w:trHeight w:val="285"/>
        </w:trPr>
        <w:tc>
          <w:tcPr>
            <w:cnfStyle w:val="001000000000" w:firstRow="0" w:lastRow="0" w:firstColumn="1" w:lastColumn="0" w:oddVBand="0" w:evenVBand="0" w:oddHBand="0" w:evenHBand="0" w:firstRowFirstColumn="0" w:firstRowLastColumn="0" w:lastRowFirstColumn="0" w:lastRowLastColumn="0"/>
            <w:tcW w:w="0" w:type="dxa"/>
            <w:hideMark/>
          </w:tcPr>
          <w:p w14:paraId="553552B3" w14:textId="77777777" w:rsidR="006A0C1C" w:rsidRPr="000973F2" w:rsidRDefault="006A0C1C" w:rsidP="00C46487">
            <w:pPr>
              <w:spacing w:before="40" w:after="4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Planning</w:t>
            </w:r>
          </w:p>
        </w:tc>
        <w:tc>
          <w:tcPr>
            <w:tcW w:w="0" w:type="dxa"/>
            <w:noWrap/>
            <w:hideMark/>
          </w:tcPr>
          <w:p w14:paraId="79B28B52" w14:textId="77777777" w:rsidR="006A0C1C" w:rsidRPr="000973F2" w:rsidRDefault="006A0C1C" w:rsidP="00C46487">
            <w:pPr>
              <w:spacing w:before="40" w:after="4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hAnsi="Times New Roman" w:cs="Times New Roman"/>
                <w:sz w:val="18"/>
                <w:szCs w:val="18"/>
              </w:rPr>
              <w:t>0.0</w:t>
            </w:r>
          </w:p>
        </w:tc>
        <w:tc>
          <w:tcPr>
            <w:tcW w:w="0" w:type="dxa"/>
            <w:noWrap/>
            <w:hideMark/>
          </w:tcPr>
          <w:p w14:paraId="5197B103" w14:textId="77777777" w:rsidR="006A0C1C" w:rsidRPr="000973F2" w:rsidRDefault="006A0C1C" w:rsidP="00C46487">
            <w:pPr>
              <w:spacing w:before="40" w:after="4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hAnsi="Times New Roman" w:cs="Times New Roman"/>
                <w:sz w:val="18"/>
                <w:szCs w:val="18"/>
              </w:rPr>
              <w:t>1.0</w:t>
            </w:r>
          </w:p>
        </w:tc>
        <w:tc>
          <w:tcPr>
            <w:tcW w:w="0" w:type="dxa"/>
            <w:noWrap/>
            <w:hideMark/>
          </w:tcPr>
          <w:p w14:paraId="436EB368" w14:textId="77777777" w:rsidR="006A0C1C" w:rsidRPr="000973F2" w:rsidRDefault="006A0C1C" w:rsidP="00C46487">
            <w:pPr>
              <w:spacing w:before="40" w:after="4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hAnsi="Times New Roman" w:cs="Times New Roman"/>
                <w:sz w:val="18"/>
                <w:szCs w:val="18"/>
              </w:rPr>
              <w:t>0.0</w:t>
            </w:r>
          </w:p>
        </w:tc>
        <w:tc>
          <w:tcPr>
            <w:tcW w:w="0" w:type="dxa"/>
            <w:noWrap/>
            <w:hideMark/>
          </w:tcPr>
          <w:p w14:paraId="08E5652A" w14:textId="77777777" w:rsidR="006A0C1C" w:rsidRPr="000973F2" w:rsidRDefault="006A0C1C" w:rsidP="00C46487">
            <w:pPr>
              <w:spacing w:before="40" w:after="4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hAnsi="Times New Roman" w:cs="Times New Roman"/>
                <w:sz w:val="18"/>
                <w:szCs w:val="18"/>
              </w:rPr>
              <w:t>2.0</w:t>
            </w:r>
          </w:p>
        </w:tc>
        <w:tc>
          <w:tcPr>
            <w:tcW w:w="0" w:type="dxa"/>
            <w:noWrap/>
            <w:hideMark/>
          </w:tcPr>
          <w:p w14:paraId="6366C191" w14:textId="77777777" w:rsidR="006A0C1C" w:rsidRPr="000973F2" w:rsidRDefault="006A0C1C" w:rsidP="00C46487">
            <w:pPr>
              <w:spacing w:before="40" w:after="4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hAnsi="Times New Roman" w:cs="Times New Roman"/>
                <w:sz w:val="18"/>
                <w:szCs w:val="18"/>
              </w:rPr>
              <w:t>0.0</w:t>
            </w:r>
          </w:p>
        </w:tc>
        <w:tc>
          <w:tcPr>
            <w:tcW w:w="0" w:type="dxa"/>
            <w:noWrap/>
            <w:hideMark/>
          </w:tcPr>
          <w:p w14:paraId="781CB230" w14:textId="77777777" w:rsidR="006A0C1C" w:rsidRPr="000973F2" w:rsidRDefault="006A0C1C" w:rsidP="00C46487">
            <w:pPr>
              <w:tabs>
                <w:tab w:val="decimal" w:pos="316"/>
              </w:tabs>
              <w:spacing w:before="40" w:after="4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hAnsi="Times New Roman" w:cs="Times New Roman"/>
                <w:sz w:val="18"/>
                <w:szCs w:val="18"/>
              </w:rPr>
              <w:t>19.5</w:t>
            </w:r>
          </w:p>
        </w:tc>
        <w:tc>
          <w:tcPr>
            <w:tcW w:w="0" w:type="dxa"/>
            <w:noWrap/>
            <w:hideMark/>
          </w:tcPr>
          <w:p w14:paraId="7FECC575" w14:textId="77777777" w:rsidR="006A0C1C" w:rsidRPr="000973F2" w:rsidRDefault="006A0C1C" w:rsidP="00C46487">
            <w:pPr>
              <w:spacing w:before="40" w:after="4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hAnsi="Times New Roman" w:cs="Times New Roman"/>
                <w:sz w:val="18"/>
                <w:szCs w:val="18"/>
              </w:rPr>
              <w:t>0.0</w:t>
            </w:r>
          </w:p>
        </w:tc>
        <w:tc>
          <w:tcPr>
            <w:tcW w:w="0" w:type="dxa"/>
            <w:noWrap/>
            <w:hideMark/>
          </w:tcPr>
          <w:p w14:paraId="39601A9B" w14:textId="77777777" w:rsidR="006A0C1C" w:rsidRPr="000973F2" w:rsidRDefault="006A0C1C" w:rsidP="00C46487">
            <w:pPr>
              <w:spacing w:before="40" w:after="4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hAnsi="Times New Roman" w:cs="Times New Roman"/>
                <w:sz w:val="18"/>
                <w:szCs w:val="18"/>
              </w:rPr>
              <w:t>1.0</w:t>
            </w:r>
          </w:p>
        </w:tc>
        <w:tc>
          <w:tcPr>
            <w:tcW w:w="0" w:type="dxa"/>
            <w:noWrap/>
            <w:hideMark/>
          </w:tcPr>
          <w:p w14:paraId="36E984F3" w14:textId="01A1C132" w:rsidR="006A0C1C" w:rsidRPr="000973F2" w:rsidRDefault="006A0C1C" w:rsidP="00C46487">
            <w:pPr>
              <w:spacing w:before="40" w:after="4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hAnsi="Times New Roman" w:cs="Times New Roman"/>
                <w:sz w:val="18"/>
                <w:szCs w:val="18"/>
              </w:rPr>
              <w:t>$0</w:t>
            </w:r>
          </w:p>
        </w:tc>
        <w:tc>
          <w:tcPr>
            <w:tcW w:w="0" w:type="dxa"/>
            <w:noWrap/>
            <w:hideMark/>
          </w:tcPr>
          <w:p w14:paraId="379E338C" w14:textId="357D4D5E" w:rsidR="006A0C1C" w:rsidRPr="000973F2" w:rsidRDefault="006A0C1C" w:rsidP="00C46487">
            <w:pPr>
              <w:tabs>
                <w:tab w:val="decimal" w:pos="481"/>
              </w:tabs>
              <w:spacing w:before="40" w:after="4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hAnsi="Times New Roman" w:cs="Times New Roman"/>
                <w:sz w:val="18"/>
                <w:szCs w:val="18"/>
              </w:rPr>
              <w:t>$1,711</w:t>
            </w:r>
          </w:p>
        </w:tc>
      </w:tr>
      <w:tr w:rsidR="006A0C1C" w:rsidRPr="000973F2" w14:paraId="461EC546" w14:textId="77777777" w:rsidTr="00B6531F">
        <w:trPr>
          <w:cnfStyle w:val="000000100000" w:firstRow="0" w:lastRow="0" w:firstColumn="0" w:lastColumn="0" w:oddVBand="0" w:evenVBand="0" w:oddHBand="1" w:evenHBand="0" w:firstRowFirstColumn="0" w:firstRowLastColumn="0" w:lastRowFirstColumn="0" w:lastRowLastColumn="0"/>
          <w:trHeight w:val="285"/>
        </w:trPr>
        <w:tc>
          <w:tcPr>
            <w:cnfStyle w:val="001000000000" w:firstRow="0" w:lastRow="0" w:firstColumn="1" w:lastColumn="0" w:oddVBand="0" w:evenVBand="0" w:oddHBand="0" w:evenHBand="0" w:firstRowFirstColumn="0" w:firstRowLastColumn="0" w:lastRowFirstColumn="0" w:lastRowLastColumn="0"/>
            <w:tcW w:w="0" w:type="dxa"/>
            <w:hideMark/>
          </w:tcPr>
          <w:p w14:paraId="7E178718" w14:textId="77777777" w:rsidR="006A0C1C" w:rsidRPr="000973F2" w:rsidRDefault="006A0C1C" w:rsidP="00C46487">
            <w:pPr>
              <w:spacing w:before="40" w:after="4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QA/QC</w:t>
            </w:r>
          </w:p>
        </w:tc>
        <w:tc>
          <w:tcPr>
            <w:tcW w:w="0" w:type="dxa"/>
            <w:noWrap/>
            <w:hideMark/>
          </w:tcPr>
          <w:p w14:paraId="67A6A7D1" w14:textId="77777777" w:rsidR="006A0C1C" w:rsidRPr="000973F2" w:rsidRDefault="006A0C1C" w:rsidP="00C46487">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hAnsi="Times New Roman" w:cs="Times New Roman"/>
                <w:sz w:val="18"/>
                <w:szCs w:val="18"/>
              </w:rPr>
              <w:t>0.0</w:t>
            </w:r>
          </w:p>
        </w:tc>
        <w:tc>
          <w:tcPr>
            <w:tcW w:w="0" w:type="dxa"/>
            <w:noWrap/>
            <w:hideMark/>
          </w:tcPr>
          <w:p w14:paraId="7F80DFC1" w14:textId="77777777" w:rsidR="006A0C1C" w:rsidRPr="000973F2" w:rsidRDefault="006A0C1C" w:rsidP="00C46487">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hAnsi="Times New Roman" w:cs="Times New Roman"/>
                <w:sz w:val="18"/>
                <w:szCs w:val="18"/>
              </w:rPr>
              <w:t>0.0</w:t>
            </w:r>
          </w:p>
        </w:tc>
        <w:tc>
          <w:tcPr>
            <w:tcW w:w="0" w:type="dxa"/>
            <w:noWrap/>
            <w:hideMark/>
          </w:tcPr>
          <w:p w14:paraId="0E14DF5C" w14:textId="77777777" w:rsidR="006A0C1C" w:rsidRPr="000973F2" w:rsidRDefault="006A0C1C" w:rsidP="00C46487">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hAnsi="Times New Roman" w:cs="Times New Roman"/>
                <w:sz w:val="18"/>
                <w:szCs w:val="18"/>
              </w:rPr>
              <w:t>0.0</w:t>
            </w:r>
          </w:p>
        </w:tc>
        <w:tc>
          <w:tcPr>
            <w:tcW w:w="0" w:type="dxa"/>
            <w:noWrap/>
            <w:hideMark/>
          </w:tcPr>
          <w:p w14:paraId="51C983CB" w14:textId="77777777" w:rsidR="006A0C1C" w:rsidRPr="000973F2" w:rsidRDefault="006A0C1C" w:rsidP="00C46487">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hAnsi="Times New Roman" w:cs="Times New Roman"/>
                <w:sz w:val="18"/>
                <w:szCs w:val="18"/>
              </w:rPr>
              <w:t>0.0</w:t>
            </w:r>
          </w:p>
        </w:tc>
        <w:tc>
          <w:tcPr>
            <w:tcW w:w="0" w:type="dxa"/>
            <w:noWrap/>
            <w:hideMark/>
          </w:tcPr>
          <w:p w14:paraId="3AD1E581" w14:textId="77777777" w:rsidR="006A0C1C" w:rsidRPr="000973F2" w:rsidRDefault="006A0C1C" w:rsidP="00C46487">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hAnsi="Times New Roman" w:cs="Times New Roman"/>
                <w:sz w:val="18"/>
                <w:szCs w:val="18"/>
              </w:rPr>
              <w:t>0.0</w:t>
            </w:r>
          </w:p>
        </w:tc>
        <w:tc>
          <w:tcPr>
            <w:tcW w:w="0" w:type="dxa"/>
            <w:noWrap/>
            <w:hideMark/>
          </w:tcPr>
          <w:p w14:paraId="215E48C7" w14:textId="77777777" w:rsidR="006A0C1C" w:rsidRPr="000973F2" w:rsidRDefault="006A0C1C" w:rsidP="00C46487">
            <w:pPr>
              <w:tabs>
                <w:tab w:val="decimal" w:pos="316"/>
              </w:tabs>
              <w:spacing w:before="40" w:after="4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hAnsi="Times New Roman" w:cs="Times New Roman"/>
                <w:sz w:val="18"/>
                <w:szCs w:val="18"/>
              </w:rPr>
              <w:t>0.0</w:t>
            </w:r>
          </w:p>
        </w:tc>
        <w:tc>
          <w:tcPr>
            <w:tcW w:w="0" w:type="dxa"/>
            <w:noWrap/>
            <w:hideMark/>
          </w:tcPr>
          <w:p w14:paraId="391AB5A3" w14:textId="77777777" w:rsidR="006A0C1C" w:rsidRPr="000973F2" w:rsidRDefault="006A0C1C" w:rsidP="00C46487">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hAnsi="Times New Roman" w:cs="Times New Roman"/>
                <w:sz w:val="18"/>
                <w:szCs w:val="18"/>
              </w:rPr>
              <w:t>0.0</w:t>
            </w:r>
          </w:p>
        </w:tc>
        <w:tc>
          <w:tcPr>
            <w:tcW w:w="0" w:type="dxa"/>
            <w:noWrap/>
            <w:hideMark/>
          </w:tcPr>
          <w:p w14:paraId="50B702A9" w14:textId="77777777" w:rsidR="006A0C1C" w:rsidRPr="000973F2" w:rsidRDefault="006A0C1C" w:rsidP="00C46487">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hAnsi="Times New Roman" w:cs="Times New Roman"/>
                <w:sz w:val="18"/>
                <w:szCs w:val="18"/>
              </w:rPr>
              <w:t>0.0</w:t>
            </w:r>
          </w:p>
        </w:tc>
        <w:tc>
          <w:tcPr>
            <w:tcW w:w="0" w:type="dxa"/>
            <w:noWrap/>
            <w:hideMark/>
          </w:tcPr>
          <w:p w14:paraId="17EDDC12" w14:textId="230DDD74" w:rsidR="006A0C1C" w:rsidRPr="000973F2" w:rsidRDefault="006A0C1C" w:rsidP="00C46487">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hAnsi="Times New Roman" w:cs="Times New Roman"/>
                <w:sz w:val="18"/>
                <w:szCs w:val="18"/>
              </w:rPr>
              <w:t>$0</w:t>
            </w:r>
          </w:p>
        </w:tc>
        <w:tc>
          <w:tcPr>
            <w:tcW w:w="0" w:type="dxa"/>
            <w:noWrap/>
            <w:hideMark/>
          </w:tcPr>
          <w:p w14:paraId="1B206DBE" w14:textId="65F562F6" w:rsidR="006A0C1C" w:rsidRPr="000973F2" w:rsidRDefault="006A0C1C" w:rsidP="00C46487">
            <w:pPr>
              <w:tabs>
                <w:tab w:val="decimal" w:pos="481"/>
              </w:tabs>
              <w:spacing w:before="40" w:after="4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hAnsi="Times New Roman" w:cs="Times New Roman"/>
                <w:sz w:val="18"/>
                <w:szCs w:val="18"/>
              </w:rPr>
              <w:t>$0</w:t>
            </w:r>
          </w:p>
        </w:tc>
      </w:tr>
      <w:tr w:rsidR="006A0C1C" w:rsidRPr="000973F2" w14:paraId="6D6B97AA" w14:textId="77777777" w:rsidTr="00B6531F">
        <w:trPr>
          <w:trHeight w:val="297"/>
        </w:trPr>
        <w:tc>
          <w:tcPr>
            <w:cnfStyle w:val="001000000000" w:firstRow="0" w:lastRow="0" w:firstColumn="1" w:lastColumn="0" w:oddVBand="0" w:evenVBand="0" w:oddHBand="0" w:evenHBand="0" w:firstRowFirstColumn="0" w:firstRowLastColumn="0" w:lastRowFirstColumn="0" w:lastRowLastColumn="0"/>
            <w:tcW w:w="0" w:type="dxa"/>
            <w:hideMark/>
          </w:tcPr>
          <w:p w14:paraId="2582F190" w14:textId="77777777" w:rsidR="006A0C1C" w:rsidRPr="000973F2" w:rsidRDefault="006A0C1C" w:rsidP="00C46487">
            <w:pPr>
              <w:spacing w:before="40" w:after="4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Recordkeeping</w:t>
            </w:r>
          </w:p>
        </w:tc>
        <w:tc>
          <w:tcPr>
            <w:tcW w:w="0" w:type="dxa"/>
            <w:noWrap/>
            <w:hideMark/>
          </w:tcPr>
          <w:p w14:paraId="2B79E0B4" w14:textId="77777777" w:rsidR="006A0C1C" w:rsidRPr="000973F2" w:rsidRDefault="006A0C1C" w:rsidP="00C46487">
            <w:pPr>
              <w:spacing w:before="40" w:after="4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hAnsi="Times New Roman" w:cs="Times New Roman"/>
                <w:sz w:val="18"/>
                <w:szCs w:val="18"/>
              </w:rPr>
              <w:t>0.0</w:t>
            </w:r>
          </w:p>
        </w:tc>
        <w:tc>
          <w:tcPr>
            <w:tcW w:w="0" w:type="dxa"/>
            <w:noWrap/>
            <w:hideMark/>
          </w:tcPr>
          <w:p w14:paraId="7DAE267D" w14:textId="77777777" w:rsidR="006A0C1C" w:rsidRPr="000973F2" w:rsidRDefault="006A0C1C" w:rsidP="00C46487">
            <w:pPr>
              <w:spacing w:before="40" w:after="4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hAnsi="Times New Roman" w:cs="Times New Roman"/>
                <w:sz w:val="18"/>
                <w:szCs w:val="18"/>
              </w:rPr>
              <w:t>0.0</w:t>
            </w:r>
          </w:p>
        </w:tc>
        <w:tc>
          <w:tcPr>
            <w:tcW w:w="0" w:type="dxa"/>
            <w:noWrap/>
            <w:hideMark/>
          </w:tcPr>
          <w:p w14:paraId="1D078618" w14:textId="77777777" w:rsidR="006A0C1C" w:rsidRPr="000973F2" w:rsidRDefault="006A0C1C" w:rsidP="00C46487">
            <w:pPr>
              <w:spacing w:before="40" w:after="4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hAnsi="Times New Roman" w:cs="Times New Roman"/>
                <w:sz w:val="18"/>
                <w:szCs w:val="18"/>
              </w:rPr>
              <w:t>0.0</w:t>
            </w:r>
          </w:p>
        </w:tc>
        <w:tc>
          <w:tcPr>
            <w:tcW w:w="0" w:type="dxa"/>
            <w:noWrap/>
            <w:hideMark/>
          </w:tcPr>
          <w:p w14:paraId="44B003C9" w14:textId="77777777" w:rsidR="006A0C1C" w:rsidRPr="000973F2" w:rsidRDefault="006A0C1C" w:rsidP="00C46487">
            <w:pPr>
              <w:spacing w:before="40" w:after="4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hAnsi="Times New Roman" w:cs="Times New Roman"/>
                <w:sz w:val="18"/>
                <w:szCs w:val="18"/>
              </w:rPr>
              <w:t>0.5</w:t>
            </w:r>
          </w:p>
        </w:tc>
        <w:tc>
          <w:tcPr>
            <w:tcW w:w="0" w:type="dxa"/>
            <w:noWrap/>
            <w:hideMark/>
          </w:tcPr>
          <w:p w14:paraId="2F8E1149" w14:textId="77777777" w:rsidR="006A0C1C" w:rsidRPr="000973F2" w:rsidRDefault="006A0C1C" w:rsidP="00C46487">
            <w:pPr>
              <w:spacing w:before="40" w:after="4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hAnsi="Times New Roman" w:cs="Times New Roman"/>
                <w:sz w:val="18"/>
                <w:szCs w:val="18"/>
              </w:rPr>
              <w:t>0.0</w:t>
            </w:r>
          </w:p>
        </w:tc>
        <w:tc>
          <w:tcPr>
            <w:tcW w:w="0" w:type="dxa"/>
            <w:noWrap/>
            <w:hideMark/>
          </w:tcPr>
          <w:p w14:paraId="7839DA22" w14:textId="77777777" w:rsidR="006A0C1C" w:rsidRPr="000973F2" w:rsidRDefault="006A0C1C" w:rsidP="00C46487">
            <w:pPr>
              <w:tabs>
                <w:tab w:val="decimal" w:pos="316"/>
              </w:tabs>
              <w:spacing w:before="40" w:after="4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hAnsi="Times New Roman" w:cs="Times New Roman"/>
                <w:sz w:val="18"/>
                <w:szCs w:val="18"/>
              </w:rPr>
              <w:t>2.0</w:t>
            </w:r>
          </w:p>
        </w:tc>
        <w:tc>
          <w:tcPr>
            <w:tcW w:w="0" w:type="dxa"/>
            <w:noWrap/>
            <w:hideMark/>
          </w:tcPr>
          <w:p w14:paraId="5E724887" w14:textId="77777777" w:rsidR="006A0C1C" w:rsidRPr="000973F2" w:rsidRDefault="006A0C1C" w:rsidP="00C46487">
            <w:pPr>
              <w:spacing w:before="40" w:after="4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hAnsi="Times New Roman" w:cs="Times New Roman"/>
                <w:sz w:val="18"/>
                <w:szCs w:val="18"/>
              </w:rPr>
              <w:t>0.0</w:t>
            </w:r>
          </w:p>
        </w:tc>
        <w:tc>
          <w:tcPr>
            <w:tcW w:w="0" w:type="dxa"/>
            <w:noWrap/>
            <w:hideMark/>
          </w:tcPr>
          <w:p w14:paraId="61555EBF" w14:textId="77777777" w:rsidR="006A0C1C" w:rsidRPr="000973F2" w:rsidRDefault="006A0C1C" w:rsidP="00C46487">
            <w:pPr>
              <w:spacing w:before="40" w:after="4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hAnsi="Times New Roman" w:cs="Times New Roman"/>
                <w:sz w:val="18"/>
                <w:szCs w:val="18"/>
              </w:rPr>
              <w:t>0.5</w:t>
            </w:r>
          </w:p>
        </w:tc>
        <w:tc>
          <w:tcPr>
            <w:tcW w:w="0" w:type="dxa"/>
            <w:noWrap/>
            <w:hideMark/>
          </w:tcPr>
          <w:p w14:paraId="2320C152" w14:textId="11E25D93" w:rsidR="006A0C1C" w:rsidRPr="000973F2" w:rsidRDefault="006A0C1C" w:rsidP="00C46487">
            <w:pPr>
              <w:spacing w:before="40" w:after="4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hAnsi="Times New Roman" w:cs="Times New Roman"/>
                <w:sz w:val="18"/>
                <w:szCs w:val="18"/>
              </w:rPr>
              <w:t>$0</w:t>
            </w:r>
          </w:p>
        </w:tc>
        <w:tc>
          <w:tcPr>
            <w:tcW w:w="0" w:type="dxa"/>
            <w:noWrap/>
            <w:hideMark/>
          </w:tcPr>
          <w:p w14:paraId="3AA52AE6" w14:textId="342C7A97" w:rsidR="006A0C1C" w:rsidRPr="000973F2" w:rsidRDefault="006A0C1C" w:rsidP="00C46487">
            <w:pPr>
              <w:tabs>
                <w:tab w:val="decimal" w:pos="481"/>
              </w:tabs>
              <w:spacing w:before="40" w:after="4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hAnsi="Times New Roman" w:cs="Times New Roman"/>
                <w:sz w:val="18"/>
                <w:szCs w:val="18"/>
              </w:rPr>
              <w:t>$205</w:t>
            </w:r>
          </w:p>
        </w:tc>
      </w:tr>
      <w:tr w:rsidR="006A0C1C" w:rsidRPr="000973F2" w14:paraId="76013F3C" w14:textId="77777777" w:rsidTr="00B6531F">
        <w:trPr>
          <w:cnfStyle w:val="000000100000" w:firstRow="0" w:lastRow="0" w:firstColumn="0" w:lastColumn="0" w:oddVBand="0" w:evenVBand="0" w:oddHBand="1" w:evenHBand="0" w:firstRowFirstColumn="0" w:firstRowLastColumn="0" w:lastRowFirstColumn="0" w:lastRowLastColumn="0"/>
          <w:trHeight w:val="720"/>
        </w:trPr>
        <w:tc>
          <w:tcPr>
            <w:cnfStyle w:val="001000000000" w:firstRow="0" w:lastRow="0" w:firstColumn="1" w:lastColumn="0" w:oddVBand="0" w:evenVBand="0" w:oddHBand="0" w:evenHBand="0" w:firstRowFirstColumn="0" w:firstRowLastColumn="0" w:lastRowFirstColumn="0" w:lastRowLastColumn="0"/>
            <w:tcW w:w="0" w:type="dxa"/>
            <w:hideMark/>
          </w:tcPr>
          <w:p w14:paraId="53A633FE" w14:textId="77777777" w:rsidR="006A0C1C" w:rsidRPr="000973F2" w:rsidRDefault="006A0C1C" w:rsidP="00C46487">
            <w:pPr>
              <w:spacing w:before="40" w:after="4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Sampling and Analysis (Calculations)</w:t>
            </w:r>
          </w:p>
        </w:tc>
        <w:tc>
          <w:tcPr>
            <w:tcW w:w="0" w:type="dxa"/>
            <w:noWrap/>
            <w:hideMark/>
          </w:tcPr>
          <w:p w14:paraId="2A256C05" w14:textId="77777777" w:rsidR="006A0C1C" w:rsidRPr="000973F2" w:rsidRDefault="006A0C1C" w:rsidP="00C46487">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hAnsi="Times New Roman" w:cs="Times New Roman"/>
                <w:sz w:val="18"/>
                <w:szCs w:val="18"/>
              </w:rPr>
              <w:t>0.0</w:t>
            </w:r>
          </w:p>
        </w:tc>
        <w:tc>
          <w:tcPr>
            <w:tcW w:w="0" w:type="dxa"/>
            <w:noWrap/>
            <w:hideMark/>
          </w:tcPr>
          <w:p w14:paraId="78ADBFFF" w14:textId="77777777" w:rsidR="006A0C1C" w:rsidRPr="000973F2" w:rsidRDefault="006A0C1C" w:rsidP="00C46487">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hAnsi="Times New Roman" w:cs="Times New Roman"/>
                <w:sz w:val="18"/>
                <w:szCs w:val="18"/>
              </w:rPr>
              <w:t>0.0</w:t>
            </w:r>
          </w:p>
        </w:tc>
        <w:tc>
          <w:tcPr>
            <w:tcW w:w="0" w:type="dxa"/>
            <w:noWrap/>
            <w:hideMark/>
          </w:tcPr>
          <w:p w14:paraId="3CABA514" w14:textId="77777777" w:rsidR="006A0C1C" w:rsidRPr="000973F2" w:rsidRDefault="006A0C1C" w:rsidP="00C46487">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hAnsi="Times New Roman" w:cs="Times New Roman"/>
                <w:sz w:val="18"/>
                <w:szCs w:val="18"/>
              </w:rPr>
              <w:t>0.0</w:t>
            </w:r>
          </w:p>
        </w:tc>
        <w:tc>
          <w:tcPr>
            <w:tcW w:w="0" w:type="dxa"/>
            <w:noWrap/>
            <w:hideMark/>
          </w:tcPr>
          <w:p w14:paraId="1FE8CB75" w14:textId="77777777" w:rsidR="006A0C1C" w:rsidRPr="000973F2" w:rsidRDefault="006A0C1C" w:rsidP="00C46487">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hAnsi="Times New Roman" w:cs="Times New Roman"/>
                <w:sz w:val="18"/>
                <w:szCs w:val="18"/>
              </w:rPr>
              <w:t>0.5</w:t>
            </w:r>
          </w:p>
        </w:tc>
        <w:tc>
          <w:tcPr>
            <w:tcW w:w="0" w:type="dxa"/>
            <w:noWrap/>
            <w:hideMark/>
          </w:tcPr>
          <w:p w14:paraId="40D1FD27" w14:textId="77777777" w:rsidR="006A0C1C" w:rsidRPr="000973F2" w:rsidRDefault="006A0C1C" w:rsidP="00C46487">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hAnsi="Times New Roman" w:cs="Times New Roman"/>
                <w:sz w:val="18"/>
                <w:szCs w:val="18"/>
              </w:rPr>
              <w:t>0.0</w:t>
            </w:r>
          </w:p>
        </w:tc>
        <w:tc>
          <w:tcPr>
            <w:tcW w:w="0" w:type="dxa"/>
            <w:noWrap/>
            <w:hideMark/>
          </w:tcPr>
          <w:p w14:paraId="52E99D1B" w14:textId="77777777" w:rsidR="006A0C1C" w:rsidRPr="000973F2" w:rsidRDefault="006A0C1C" w:rsidP="00C46487">
            <w:pPr>
              <w:tabs>
                <w:tab w:val="decimal" w:pos="316"/>
              </w:tabs>
              <w:spacing w:before="40" w:after="4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hAnsi="Times New Roman" w:cs="Times New Roman"/>
                <w:sz w:val="18"/>
                <w:szCs w:val="18"/>
              </w:rPr>
              <w:t>4.9</w:t>
            </w:r>
          </w:p>
        </w:tc>
        <w:tc>
          <w:tcPr>
            <w:tcW w:w="0" w:type="dxa"/>
            <w:noWrap/>
            <w:hideMark/>
          </w:tcPr>
          <w:p w14:paraId="673CE9C6" w14:textId="77777777" w:rsidR="006A0C1C" w:rsidRPr="000973F2" w:rsidRDefault="006A0C1C" w:rsidP="00C46487">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hAnsi="Times New Roman" w:cs="Times New Roman"/>
                <w:sz w:val="18"/>
                <w:szCs w:val="18"/>
              </w:rPr>
              <w:t>0.0</w:t>
            </w:r>
          </w:p>
        </w:tc>
        <w:tc>
          <w:tcPr>
            <w:tcW w:w="0" w:type="dxa"/>
            <w:noWrap/>
            <w:hideMark/>
          </w:tcPr>
          <w:p w14:paraId="26E15062" w14:textId="77777777" w:rsidR="006A0C1C" w:rsidRPr="000973F2" w:rsidRDefault="006A0C1C" w:rsidP="00C46487">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hAnsi="Times New Roman" w:cs="Times New Roman"/>
                <w:sz w:val="18"/>
                <w:szCs w:val="18"/>
              </w:rPr>
              <w:t>0.2</w:t>
            </w:r>
          </w:p>
        </w:tc>
        <w:tc>
          <w:tcPr>
            <w:tcW w:w="0" w:type="dxa"/>
            <w:noWrap/>
            <w:hideMark/>
          </w:tcPr>
          <w:p w14:paraId="2CD59851" w14:textId="2967B073" w:rsidR="006A0C1C" w:rsidRPr="000973F2" w:rsidRDefault="006A0C1C" w:rsidP="00C46487">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hAnsi="Times New Roman" w:cs="Times New Roman"/>
                <w:sz w:val="18"/>
                <w:szCs w:val="18"/>
              </w:rPr>
              <w:t>$0</w:t>
            </w:r>
          </w:p>
        </w:tc>
        <w:tc>
          <w:tcPr>
            <w:tcW w:w="0" w:type="dxa"/>
            <w:noWrap/>
            <w:hideMark/>
          </w:tcPr>
          <w:p w14:paraId="194137AA" w14:textId="09E8EB18" w:rsidR="006A0C1C" w:rsidRPr="000973F2" w:rsidRDefault="006A0C1C" w:rsidP="00C46487">
            <w:pPr>
              <w:tabs>
                <w:tab w:val="decimal" w:pos="481"/>
              </w:tabs>
              <w:spacing w:before="40" w:after="4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hAnsi="Times New Roman" w:cs="Times New Roman"/>
                <w:sz w:val="18"/>
                <w:szCs w:val="18"/>
              </w:rPr>
              <w:t>$400</w:t>
            </w:r>
          </w:p>
        </w:tc>
      </w:tr>
      <w:tr w:rsidR="006A0C1C" w:rsidRPr="000973F2" w14:paraId="0FE0A6D5" w14:textId="77777777" w:rsidTr="00B6531F">
        <w:trPr>
          <w:trHeight w:val="285"/>
        </w:trPr>
        <w:tc>
          <w:tcPr>
            <w:cnfStyle w:val="001000000000" w:firstRow="0" w:lastRow="0" w:firstColumn="1" w:lastColumn="0" w:oddVBand="0" w:evenVBand="0" w:oddHBand="0" w:evenHBand="0" w:firstRowFirstColumn="0" w:firstRowLastColumn="0" w:lastRowFirstColumn="0" w:lastRowLastColumn="0"/>
            <w:tcW w:w="0" w:type="dxa"/>
            <w:hideMark/>
          </w:tcPr>
          <w:p w14:paraId="28E3CFC4" w14:textId="77777777" w:rsidR="006A0C1C" w:rsidRPr="000973F2" w:rsidRDefault="006A0C1C" w:rsidP="00C46487">
            <w:pPr>
              <w:spacing w:before="40" w:after="4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Reporting</w:t>
            </w:r>
          </w:p>
        </w:tc>
        <w:tc>
          <w:tcPr>
            <w:tcW w:w="0" w:type="dxa"/>
            <w:noWrap/>
            <w:hideMark/>
          </w:tcPr>
          <w:p w14:paraId="46A66C7E" w14:textId="77777777" w:rsidR="006A0C1C" w:rsidRPr="000973F2" w:rsidRDefault="006A0C1C" w:rsidP="00C46487">
            <w:pPr>
              <w:spacing w:before="40" w:after="4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hAnsi="Times New Roman" w:cs="Times New Roman"/>
                <w:sz w:val="18"/>
                <w:szCs w:val="18"/>
              </w:rPr>
              <w:t>0.0</w:t>
            </w:r>
          </w:p>
        </w:tc>
        <w:tc>
          <w:tcPr>
            <w:tcW w:w="0" w:type="dxa"/>
            <w:noWrap/>
            <w:hideMark/>
          </w:tcPr>
          <w:p w14:paraId="799CF2E4" w14:textId="77777777" w:rsidR="006A0C1C" w:rsidRPr="000973F2" w:rsidRDefault="006A0C1C" w:rsidP="00C46487">
            <w:pPr>
              <w:spacing w:before="40" w:after="4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hAnsi="Times New Roman" w:cs="Times New Roman"/>
                <w:sz w:val="18"/>
                <w:szCs w:val="18"/>
              </w:rPr>
              <w:t>0.0</w:t>
            </w:r>
          </w:p>
        </w:tc>
        <w:tc>
          <w:tcPr>
            <w:tcW w:w="0" w:type="dxa"/>
            <w:noWrap/>
            <w:hideMark/>
          </w:tcPr>
          <w:p w14:paraId="151EFBDC" w14:textId="77777777" w:rsidR="006A0C1C" w:rsidRPr="000973F2" w:rsidRDefault="006A0C1C" w:rsidP="00C46487">
            <w:pPr>
              <w:spacing w:before="40" w:after="4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hAnsi="Times New Roman" w:cs="Times New Roman"/>
                <w:sz w:val="18"/>
                <w:szCs w:val="18"/>
              </w:rPr>
              <w:t>0.0</w:t>
            </w:r>
          </w:p>
        </w:tc>
        <w:tc>
          <w:tcPr>
            <w:tcW w:w="0" w:type="dxa"/>
            <w:noWrap/>
            <w:hideMark/>
          </w:tcPr>
          <w:p w14:paraId="60B0D11B" w14:textId="77777777" w:rsidR="006A0C1C" w:rsidRPr="000973F2" w:rsidRDefault="006A0C1C" w:rsidP="00C46487">
            <w:pPr>
              <w:spacing w:before="40" w:after="4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hAnsi="Times New Roman" w:cs="Times New Roman"/>
                <w:sz w:val="18"/>
                <w:szCs w:val="18"/>
              </w:rPr>
              <w:t>1.0</w:t>
            </w:r>
          </w:p>
        </w:tc>
        <w:tc>
          <w:tcPr>
            <w:tcW w:w="0" w:type="dxa"/>
            <w:noWrap/>
            <w:hideMark/>
          </w:tcPr>
          <w:p w14:paraId="7A52DCC2" w14:textId="77777777" w:rsidR="006A0C1C" w:rsidRPr="000973F2" w:rsidRDefault="006A0C1C" w:rsidP="00C46487">
            <w:pPr>
              <w:spacing w:before="40" w:after="4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hAnsi="Times New Roman" w:cs="Times New Roman"/>
                <w:sz w:val="18"/>
                <w:szCs w:val="18"/>
              </w:rPr>
              <w:t>0.0</w:t>
            </w:r>
          </w:p>
        </w:tc>
        <w:tc>
          <w:tcPr>
            <w:tcW w:w="0" w:type="dxa"/>
            <w:noWrap/>
            <w:hideMark/>
          </w:tcPr>
          <w:p w14:paraId="57EC0A84" w14:textId="77777777" w:rsidR="006A0C1C" w:rsidRPr="000973F2" w:rsidRDefault="006A0C1C" w:rsidP="00C46487">
            <w:pPr>
              <w:tabs>
                <w:tab w:val="decimal" w:pos="316"/>
              </w:tabs>
              <w:spacing w:before="40" w:after="4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hAnsi="Times New Roman" w:cs="Times New Roman"/>
                <w:sz w:val="18"/>
                <w:szCs w:val="18"/>
              </w:rPr>
              <w:t>4.0</w:t>
            </w:r>
          </w:p>
        </w:tc>
        <w:tc>
          <w:tcPr>
            <w:tcW w:w="0" w:type="dxa"/>
            <w:noWrap/>
            <w:hideMark/>
          </w:tcPr>
          <w:p w14:paraId="155C5687" w14:textId="77777777" w:rsidR="006A0C1C" w:rsidRPr="000973F2" w:rsidRDefault="006A0C1C" w:rsidP="00C46487">
            <w:pPr>
              <w:spacing w:before="40" w:after="4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hAnsi="Times New Roman" w:cs="Times New Roman"/>
                <w:sz w:val="18"/>
                <w:szCs w:val="18"/>
              </w:rPr>
              <w:t>0.0</w:t>
            </w:r>
          </w:p>
        </w:tc>
        <w:tc>
          <w:tcPr>
            <w:tcW w:w="0" w:type="dxa"/>
            <w:noWrap/>
            <w:hideMark/>
          </w:tcPr>
          <w:p w14:paraId="12703417" w14:textId="77777777" w:rsidR="006A0C1C" w:rsidRPr="000973F2" w:rsidRDefault="006A0C1C" w:rsidP="00C46487">
            <w:pPr>
              <w:spacing w:before="40" w:after="4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hAnsi="Times New Roman" w:cs="Times New Roman"/>
                <w:sz w:val="18"/>
                <w:szCs w:val="18"/>
              </w:rPr>
              <w:t>1.0</w:t>
            </w:r>
          </w:p>
        </w:tc>
        <w:tc>
          <w:tcPr>
            <w:tcW w:w="0" w:type="dxa"/>
            <w:noWrap/>
            <w:hideMark/>
          </w:tcPr>
          <w:p w14:paraId="758B0EEC" w14:textId="478FBDDA" w:rsidR="006A0C1C" w:rsidRPr="000973F2" w:rsidRDefault="006A0C1C" w:rsidP="00C46487">
            <w:pPr>
              <w:spacing w:before="40" w:after="4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hAnsi="Times New Roman" w:cs="Times New Roman"/>
                <w:sz w:val="18"/>
                <w:szCs w:val="18"/>
              </w:rPr>
              <w:t>$0</w:t>
            </w:r>
          </w:p>
        </w:tc>
        <w:tc>
          <w:tcPr>
            <w:tcW w:w="0" w:type="dxa"/>
            <w:noWrap/>
            <w:hideMark/>
          </w:tcPr>
          <w:p w14:paraId="72C87941" w14:textId="70732EA2" w:rsidR="006A0C1C" w:rsidRPr="000973F2" w:rsidRDefault="006A0C1C" w:rsidP="00C46487">
            <w:pPr>
              <w:tabs>
                <w:tab w:val="decimal" w:pos="481"/>
              </w:tabs>
              <w:spacing w:before="40" w:after="4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hAnsi="Times New Roman" w:cs="Times New Roman"/>
                <w:sz w:val="18"/>
                <w:szCs w:val="18"/>
              </w:rPr>
              <w:t>$410</w:t>
            </w:r>
          </w:p>
        </w:tc>
      </w:tr>
      <w:tr w:rsidR="006A0C1C" w:rsidRPr="000973F2" w14:paraId="2E7F4DCE" w14:textId="77777777" w:rsidTr="006A0C1C">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327" w:type="dxa"/>
            <w:noWrap/>
            <w:hideMark/>
          </w:tcPr>
          <w:p w14:paraId="386CE25E" w14:textId="77777777" w:rsidR="006A0C1C" w:rsidRPr="000973F2" w:rsidRDefault="006A0C1C" w:rsidP="00C46487">
            <w:pPr>
              <w:spacing w:before="40" w:after="40"/>
              <w:rPr>
                <w:rFonts w:ascii="Times New Roman" w:eastAsia="Times New Roman" w:hAnsi="Times New Roman" w:cs="Times New Roman"/>
                <w:b/>
                <w:bCs w:val="0"/>
                <w:sz w:val="18"/>
                <w:szCs w:val="18"/>
              </w:rPr>
            </w:pPr>
            <w:r w:rsidRPr="000973F2">
              <w:rPr>
                <w:rFonts w:ascii="Times New Roman" w:eastAsia="Times New Roman" w:hAnsi="Times New Roman" w:cs="Times New Roman"/>
                <w:b/>
                <w:sz w:val="18"/>
                <w:szCs w:val="18"/>
              </w:rPr>
              <w:t>Total</w:t>
            </w:r>
          </w:p>
        </w:tc>
        <w:tc>
          <w:tcPr>
            <w:tcW w:w="705" w:type="dxa"/>
            <w:noWrap/>
            <w:hideMark/>
          </w:tcPr>
          <w:p w14:paraId="4434F156" w14:textId="77777777" w:rsidR="006A0C1C" w:rsidRPr="000973F2" w:rsidRDefault="006A0C1C" w:rsidP="00C46487">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18"/>
                <w:szCs w:val="18"/>
              </w:rPr>
            </w:pPr>
            <w:r w:rsidRPr="000973F2">
              <w:rPr>
                <w:rFonts w:ascii="Times New Roman" w:hAnsi="Times New Roman" w:cs="Times New Roman"/>
                <w:b/>
                <w:bCs/>
                <w:sz w:val="18"/>
                <w:szCs w:val="18"/>
              </w:rPr>
              <w:t>0.0</w:t>
            </w:r>
          </w:p>
        </w:tc>
        <w:tc>
          <w:tcPr>
            <w:tcW w:w="825" w:type="dxa"/>
            <w:noWrap/>
            <w:hideMark/>
          </w:tcPr>
          <w:p w14:paraId="3E1B4B21" w14:textId="77777777" w:rsidR="006A0C1C" w:rsidRPr="000973F2" w:rsidRDefault="006A0C1C" w:rsidP="00C46487">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18"/>
                <w:szCs w:val="18"/>
              </w:rPr>
            </w:pPr>
            <w:r w:rsidRPr="000973F2">
              <w:rPr>
                <w:rFonts w:ascii="Times New Roman" w:hAnsi="Times New Roman" w:cs="Times New Roman"/>
                <w:b/>
                <w:bCs/>
                <w:sz w:val="18"/>
                <w:szCs w:val="18"/>
              </w:rPr>
              <w:t>1.0</w:t>
            </w:r>
          </w:p>
        </w:tc>
        <w:tc>
          <w:tcPr>
            <w:tcW w:w="709" w:type="dxa"/>
            <w:noWrap/>
            <w:hideMark/>
          </w:tcPr>
          <w:p w14:paraId="381E177E" w14:textId="77777777" w:rsidR="006A0C1C" w:rsidRPr="000973F2" w:rsidRDefault="006A0C1C" w:rsidP="00C46487">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18"/>
                <w:szCs w:val="18"/>
              </w:rPr>
            </w:pPr>
            <w:r w:rsidRPr="000973F2">
              <w:rPr>
                <w:rFonts w:ascii="Times New Roman" w:hAnsi="Times New Roman" w:cs="Times New Roman"/>
                <w:b/>
                <w:bCs/>
                <w:sz w:val="18"/>
                <w:szCs w:val="18"/>
              </w:rPr>
              <w:t>0.0</w:t>
            </w:r>
          </w:p>
        </w:tc>
        <w:tc>
          <w:tcPr>
            <w:tcW w:w="911" w:type="dxa"/>
            <w:noWrap/>
            <w:hideMark/>
          </w:tcPr>
          <w:p w14:paraId="757802D4" w14:textId="77777777" w:rsidR="006A0C1C" w:rsidRPr="000973F2" w:rsidRDefault="006A0C1C" w:rsidP="00C46487">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18"/>
                <w:szCs w:val="18"/>
              </w:rPr>
            </w:pPr>
            <w:r w:rsidRPr="000973F2">
              <w:rPr>
                <w:rFonts w:ascii="Times New Roman" w:hAnsi="Times New Roman" w:cs="Times New Roman"/>
                <w:b/>
                <w:bCs/>
                <w:sz w:val="18"/>
                <w:szCs w:val="18"/>
              </w:rPr>
              <w:t>3.9</w:t>
            </w:r>
          </w:p>
        </w:tc>
        <w:tc>
          <w:tcPr>
            <w:tcW w:w="695" w:type="dxa"/>
            <w:noWrap/>
            <w:hideMark/>
          </w:tcPr>
          <w:p w14:paraId="181178DA" w14:textId="77777777" w:rsidR="006A0C1C" w:rsidRPr="000973F2" w:rsidRDefault="006A0C1C" w:rsidP="00C46487">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18"/>
                <w:szCs w:val="18"/>
              </w:rPr>
            </w:pPr>
            <w:r w:rsidRPr="000973F2">
              <w:rPr>
                <w:rFonts w:ascii="Times New Roman" w:hAnsi="Times New Roman" w:cs="Times New Roman"/>
                <w:b/>
                <w:bCs/>
                <w:sz w:val="18"/>
                <w:szCs w:val="18"/>
              </w:rPr>
              <w:t>0.0</w:t>
            </w:r>
          </w:p>
        </w:tc>
        <w:tc>
          <w:tcPr>
            <w:tcW w:w="925" w:type="dxa"/>
            <w:noWrap/>
            <w:hideMark/>
          </w:tcPr>
          <w:p w14:paraId="71560428" w14:textId="77777777" w:rsidR="006A0C1C" w:rsidRPr="000973F2" w:rsidRDefault="006A0C1C" w:rsidP="00C46487">
            <w:pPr>
              <w:tabs>
                <w:tab w:val="decimal" w:pos="316"/>
              </w:tabs>
              <w:spacing w:before="40" w:after="4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18"/>
                <w:szCs w:val="18"/>
              </w:rPr>
            </w:pPr>
            <w:r w:rsidRPr="000973F2">
              <w:rPr>
                <w:rFonts w:ascii="Times New Roman" w:hAnsi="Times New Roman" w:cs="Times New Roman"/>
                <w:b/>
                <w:bCs/>
                <w:sz w:val="18"/>
                <w:szCs w:val="18"/>
              </w:rPr>
              <w:t>30.4</w:t>
            </w:r>
          </w:p>
        </w:tc>
        <w:tc>
          <w:tcPr>
            <w:tcW w:w="720" w:type="dxa"/>
            <w:noWrap/>
            <w:hideMark/>
          </w:tcPr>
          <w:p w14:paraId="0BEA5EE2" w14:textId="77777777" w:rsidR="006A0C1C" w:rsidRPr="000973F2" w:rsidRDefault="006A0C1C" w:rsidP="00C46487">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18"/>
                <w:szCs w:val="18"/>
              </w:rPr>
            </w:pPr>
            <w:r w:rsidRPr="000973F2">
              <w:rPr>
                <w:rFonts w:ascii="Times New Roman" w:hAnsi="Times New Roman" w:cs="Times New Roman"/>
                <w:b/>
                <w:bCs/>
                <w:sz w:val="18"/>
                <w:szCs w:val="18"/>
              </w:rPr>
              <w:t>0.0</w:t>
            </w:r>
          </w:p>
        </w:tc>
        <w:tc>
          <w:tcPr>
            <w:tcW w:w="900" w:type="dxa"/>
            <w:noWrap/>
            <w:hideMark/>
          </w:tcPr>
          <w:p w14:paraId="3946AA64" w14:textId="77777777" w:rsidR="006A0C1C" w:rsidRPr="000973F2" w:rsidRDefault="006A0C1C" w:rsidP="00C46487">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18"/>
                <w:szCs w:val="18"/>
              </w:rPr>
            </w:pPr>
            <w:r w:rsidRPr="000973F2">
              <w:rPr>
                <w:rFonts w:ascii="Times New Roman" w:hAnsi="Times New Roman" w:cs="Times New Roman"/>
                <w:b/>
                <w:bCs/>
                <w:sz w:val="18"/>
                <w:szCs w:val="18"/>
              </w:rPr>
              <w:t>2.7</w:t>
            </w:r>
          </w:p>
        </w:tc>
        <w:tc>
          <w:tcPr>
            <w:tcW w:w="720" w:type="dxa"/>
            <w:noWrap/>
            <w:hideMark/>
          </w:tcPr>
          <w:p w14:paraId="67039132" w14:textId="0DD0DFE9" w:rsidR="006A0C1C" w:rsidRPr="000973F2" w:rsidRDefault="006A0C1C" w:rsidP="00C46487">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18"/>
                <w:szCs w:val="18"/>
              </w:rPr>
            </w:pPr>
            <w:r w:rsidRPr="000973F2">
              <w:rPr>
                <w:rFonts w:ascii="Times New Roman" w:hAnsi="Times New Roman" w:cs="Times New Roman"/>
                <w:b/>
                <w:bCs/>
                <w:sz w:val="18"/>
                <w:szCs w:val="18"/>
              </w:rPr>
              <w:t>$0</w:t>
            </w:r>
          </w:p>
        </w:tc>
        <w:tc>
          <w:tcPr>
            <w:tcW w:w="877" w:type="dxa"/>
            <w:noWrap/>
            <w:hideMark/>
          </w:tcPr>
          <w:p w14:paraId="0EE62753" w14:textId="212AA638" w:rsidR="006A0C1C" w:rsidRPr="000973F2" w:rsidRDefault="006A0C1C" w:rsidP="00C46487">
            <w:pPr>
              <w:tabs>
                <w:tab w:val="decimal" w:pos="481"/>
              </w:tabs>
              <w:spacing w:before="40" w:after="4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18"/>
                <w:szCs w:val="18"/>
              </w:rPr>
            </w:pPr>
            <w:r w:rsidRPr="000973F2">
              <w:rPr>
                <w:rFonts w:ascii="Times New Roman" w:hAnsi="Times New Roman" w:cs="Times New Roman"/>
                <w:b/>
                <w:bCs/>
                <w:sz w:val="18"/>
                <w:szCs w:val="18"/>
              </w:rPr>
              <w:t>$2,725</w:t>
            </w:r>
          </w:p>
        </w:tc>
      </w:tr>
    </w:tbl>
    <w:p w14:paraId="547D6C7F" w14:textId="77777777" w:rsidR="009A6027" w:rsidRPr="000973F2" w:rsidRDefault="009A6027" w:rsidP="00C00E4F">
      <w:pPr>
        <w:spacing w:line="240" w:lineRule="auto"/>
        <w:rPr>
          <w:rFonts w:ascii="Times New Roman" w:hAnsi="Times New Roman" w:cs="Times New Roman"/>
          <w:b/>
          <w:i/>
        </w:rPr>
      </w:pPr>
    </w:p>
    <w:p w14:paraId="6AB8204C" w14:textId="77777777" w:rsidR="009A6027" w:rsidRPr="000973F2" w:rsidRDefault="009A6027" w:rsidP="00C00E4F">
      <w:pPr>
        <w:spacing w:line="240" w:lineRule="auto"/>
        <w:rPr>
          <w:rFonts w:ascii="Times New Roman" w:hAnsi="Times New Roman" w:cs="Times New Roman"/>
          <w:b/>
          <w:i/>
        </w:rPr>
      </w:pPr>
      <w:r w:rsidRPr="000973F2">
        <w:rPr>
          <w:rFonts w:ascii="Times New Roman" w:hAnsi="Times New Roman" w:cs="Times New Roman"/>
          <w:b/>
          <w:i/>
        </w:rPr>
        <w:br w:type="page"/>
      </w:r>
    </w:p>
    <w:p w14:paraId="34BBED7C" w14:textId="52B06B5D" w:rsidR="009A6027" w:rsidRPr="000973F2" w:rsidRDefault="009A6027" w:rsidP="00D4772B">
      <w:pPr>
        <w:pStyle w:val="Heading2"/>
      </w:pPr>
      <w:r w:rsidRPr="000973F2">
        <w:t xml:space="preserve">Capital and O&amp;M Costs for Subpart V </w:t>
      </w:r>
      <w:r w:rsidR="00D4772B" w:rsidRPr="000973F2">
        <w:t>–</w:t>
      </w:r>
      <w:r w:rsidRPr="000973F2">
        <w:t xml:space="preserve"> Annual Performance Test Option (with Abatement)</w:t>
      </w:r>
    </w:p>
    <w:p w14:paraId="28927AC6" w14:textId="6EF0CB84" w:rsidR="009A6027" w:rsidRPr="000973F2" w:rsidRDefault="009A6027" w:rsidP="00D4772B">
      <w:pPr>
        <w:pStyle w:val="BodyText"/>
      </w:pPr>
      <w:r w:rsidRPr="000973F2">
        <w:t xml:space="preserve">Table </w:t>
      </w:r>
      <w:r w:rsidR="00D4772B" w:rsidRPr="000973F2">
        <w:t>V-</w:t>
      </w:r>
      <w:r w:rsidRPr="000973F2">
        <w:t>2b below includes the capital and O&amp;M costs for each of the 14 facilities using the annual performance test option (with abatement) to determine GHG emissions under Subpart V. Typical costs related to equipment, recordkeeping, travel, and sampling costs are discussed in the Cost Appendix Introduction.</w:t>
      </w:r>
    </w:p>
    <w:p w14:paraId="167CD7C6" w14:textId="77777777" w:rsidR="009A6027" w:rsidRPr="000973F2" w:rsidRDefault="009A6027" w:rsidP="00D4772B">
      <w:pPr>
        <w:pStyle w:val="BodyText"/>
        <w:rPr>
          <w:u w:val="single"/>
        </w:rPr>
      </w:pPr>
      <w:r w:rsidRPr="000973F2">
        <w:t xml:space="preserve">In addition, each of these facilities will incur $5,437 per year for performance testing per nitric acid train. Each facility has an average of 1.63 trains, for a total of $8,835 per facility. The cost estimate is based on a comment letter from Dow Chemical Company, dated June 9, 2009. Comment letter EPA-HQ-OAR-2008-0508-0533 stated that for Subpart V, the “cost to perform the tests would be $5,000 per test" (page 21 of 37). The costs from 2009 have been scaled up to 2017 dollars. </w:t>
      </w:r>
    </w:p>
    <w:p w14:paraId="7E21678C" w14:textId="5490D492" w:rsidR="009A6027" w:rsidRPr="000973F2" w:rsidRDefault="002E6E01" w:rsidP="00D4772B">
      <w:pPr>
        <w:pStyle w:val="Tabletitle"/>
      </w:pPr>
      <w:r w:rsidRPr="000973F2">
        <w:t xml:space="preserve">Table </w:t>
      </w:r>
      <w:r w:rsidR="00D4772B" w:rsidRPr="000973F2">
        <w:t>V-</w:t>
      </w:r>
      <w:r w:rsidRPr="000973F2">
        <w:t xml:space="preserve">2b. Capital and O&amp;M Costs </w:t>
      </w:r>
      <w:r w:rsidR="00B960CC" w:rsidRPr="000973F2">
        <w:t>–</w:t>
      </w:r>
      <w:r w:rsidRPr="000973F2">
        <w:t xml:space="preserve"> </w:t>
      </w:r>
      <w:r w:rsidR="009A6027" w:rsidRPr="000973F2">
        <w:t>Subpart V – Annual Performance Test Option (with Abatement)</w:t>
      </w:r>
    </w:p>
    <w:tbl>
      <w:tblPr>
        <w:tblStyle w:val="PlainTable1"/>
        <w:tblW w:w="5000" w:type="pct"/>
        <w:jc w:val="left"/>
        <w:tblLayout w:type="fixed"/>
        <w:tblCellMar>
          <w:left w:w="115" w:type="dxa"/>
          <w:right w:w="115" w:type="dxa"/>
        </w:tblCellMar>
        <w:tblLook w:val="04A0" w:firstRow="1" w:lastRow="0" w:firstColumn="1" w:lastColumn="0" w:noHBand="0" w:noVBand="1"/>
      </w:tblPr>
      <w:tblGrid>
        <w:gridCol w:w="2668"/>
        <w:gridCol w:w="1154"/>
        <w:gridCol w:w="1154"/>
        <w:gridCol w:w="1153"/>
        <w:gridCol w:w="1154"/>
        <w:gridCol w:w="103"/>
        <w:gridCol w:w="1050"/>
        <w:gridCol w:w="1154"/>
      </w:tblGrid>
      <w:tr w:rsidR="00D17312" w:rsidRPr="000973F2" w14:paraId="62AD2A7B" w14:textId="77777777" w:rsidTr="00B6531F">
        <w:trPr>
          <w:cnfStyle w:val="100000000000" w:firstRow="1" w:lastRow="0" w:firstColumn="0" w:lastColumn="0" w:oddVBand="0" w:evenVBand="0" w:oddHBand="0" w:evenHBand="0" w:firstRowFirstColumn="0" w:firstRowLastColumn="0" w:lastRowFirstColumn="0" w:lastRowLastColumn="0"/>
          <w:cantSplit/>
          <w:jc w:val="left"/>
        </w:trPr>
        <w:tc>
          <w:tcPr>
            <w:cnfStyle w:val="001000000000" w:firstRow="0" w:lastRow="0" w:firstColumn="1" w:lastColumn="0" w:oddVBand="0" w:evenVBand="0" w:oddHBand="0" w:evenHBand="0" w:firstRowFirstColumn="0" w:firstRowLastColumn="0" w:lastRowFirstColumn="0" w:lastRowLastColumn="0"/>
            <w:tcW w:w="2595" w:type="dxa"/>
            <w:vMerge w:val="restart"/>
            <w:noWrap/>
            <w:vAlign w:val="top"/>
            <w:hideMark/>
          </w:tcPr>
          <w:p w14:paraId="628E5A72" w14:textId="204B16A6" w:rsidR="00D17312" w:rsidRPr="000973F2" w:rsidRDefault="00D17312" w:rsidP="00D4772B">
            <w:pPr>
              <w:spacing w:before="40" w:after="40"/>
              <w:rPr>
                <w:rFonts w:ascii="Times New Roman" w:eastAsia="Times New Roman" w:hAnsi="Times New Roman" w:cs="Times New Roman"/>
                <w:b w:val="0"/>
                <w:bCs w:val="0"/>
                <w:sz w:val="18"/>
                <w:szCs w:val="18"/>
              </w:rPr>
            </w:pPr>
            <w:r w:rsidRPr="000973F2">
              <w:rPr>
                <w:rFonts w:ascii="Times New Roman" w:eastAsia="Times New Roman" w:hAnsi="Times New Roman" w:cs="Times New Roman"/>
                <w:sz w:val="18"/>
                <w:szCs w:val="18"/>
              </w:rPr>
              <w:t>Activity</w:t>
            </w:r>
          </w:p>
        </w:tc>
        <w:tc>
          <w:tcPr>
            <w:tcW w:w="4590" w:type="dxa"/>
            <w:gridSpan w:val="5"/>
            <w:noWrap/>
            <w:vAlign w:val="top"/>
            <w:hideMark/>
          </w:tcPr>
          <w:p w14:paraId="0A30B989" w14:textId="77777777" w:rsidR="00D17312" w:rsidRPr="000973F2" w:rsidRDefault="00D17312" w:rsidP="00D4772B">
            <w:pPr>
              <w:spacing w:before="40" w:after="40"/>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bCs w:val="0"/>
                <w:sz w:val="18"/>
                <w:szCs w:val="18"/>
              </w:rPr>
            </w:pPr>
            <w:r w:rsidRPr="000973F2">
              <w:rPr>
                <w:rFonts w:ascii="Times New Roman" w:eastAsia="Times New Roman" w:hAnsi="Times New Roman" w:cs="Times New Roman"/>
                <w:sz w:val="18"/>
                <w:szCs w:val="18"/>
              </w:rPr>
              <w:t>Cost Categories</w:t>
            </w:r>
          </w:p>
        </w:tc>
        <w:tc>
          <w:tcPr>
            <w:tcW w:w="2145" w:type="dxa"/>
            <w:gridSpan w:val="2"/>
            <w:vAlign w:val="top"/>
            <w:hideMark/>
          </w:tcPr>
          <w:p w14:paraId="0A4A6263" w14:textId="5BCE536F" w:rsidR="00D17312" w:rsidRPr="000973F2" w:rsidRDefault="00D17312" w:rsidP="00D4772B">
            <w:pPr>
              <w:spacing w:before="40" w:after="40"/>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bCs w:val="0"/>
                <w:sz w:val="18"/>
                <w:szCs w:val="18"/>
              </w:rPr>
            </w:pPr>
            <w:r w:rsidRPr="000973F2">
              <w:rPr>
                <w:rFonts w:ascii="Times New Roman" w:eastAsia="Times New Roman" w:hAnsi="Times New Roman" w:cs="Times New Roman"/>
                <w:sz w:val="18"/>
                <w:szCs w:val="18"/>
              </w:rPr>
              <w:t>Total Capital and O&amp;M Cost per Year per Facility</w:t>
            </w:r>
            <w:r w:rsidR="00D4772B" w:rsidRPr="000973F2">
              <w:rPr>
                <w:rFonts w:ascii="Times New Roman" w:eastAsia="Times New Roman" w:hAnsi="Times New Roman" w:cs="Times New Roman"/>
                <w:sz w:val="18"/>
                <w:szCs w:val="18"/>
              </w:rPr>
              <w:t xml:space="preserve"> </w:t>
            </w:r>
            <w:r w:rsidRPr="000973F2">
              <w:rPr>
                <w:rFonts w:ascii="Times New Roman" w:eastAsia="Times New Roman" w:hAnsi="Times New Roman" w:cs="Times New Roman"/>
                <w:sz w:val="18"/>
                <w:szCs w:val="18"/>
              </w:rPr>
              <w:t>(2017$)</w:t>
            </w:r>
          </w:p>
        </w:tc>
      </w:tr>
      <w:tr w:rsidR="00D17312" w:rsidRPr="000973F2" w14:paraId="063AC77E" w14:textId="77777777" w:rsidTr="00B6531F">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2595" w:type="dxa"/>
            <w:vMerge/>
            <w:noWrap/>
            <w:hideMark/>
          </w:tcPr>
          <w:p w14:paraId="2843AB91" w14:textId="05BF304F" w:rsidR="00D17312" w:rsidRPr="000973F2" w:rsidRDefault="00D17312" w:rsidP="00D4772B">
            <w:pPr>
              <w:spacing w:before="40" w:after="40"/>
              <w:jc w:val="center"/>
              <w:rPr>
                <w:rFonts w:ascii="Times New Roman" w:eastAsia="Times New Roman" w:hAnsi="Times New Roman" w:cs="Times New Roman"/>
                <w:b/>
                <w:bCs w:val="0"/>
                <w:sz w:val="18"/>
                <w:szCs w:val="18"/>
              </w:rPr>
            </w:pPr>
          </w:p>
        </w:tc>
        <w:tc>
          <w:tcPr>
            <w:tcW w:w="1122" w:type="dxa"/>
            <w:hideMark/>
          </w:tcPr>
          <w:p w14:paraId="4719AF52" w14:textId="77777777" w:rsidR="00D17312" w:rsidRPr="000973F2" w:rsidRDefault="00D17312" w:rsidP="00D4772B">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18"/>
                <w:szCs w:val="18"/>
              </w:rPr>
            </w:pPr>
            <w:r w:rsidRPr="000973F2">
              <w:rPr>
                <w:rFonts w:ascii="Times New Roman" w:eastAsia="Times New Roman" w:hAnsi="Times New Roman" w:cs="Times New Roman"/>
                <w:b/>
                <w:bCs/>
                <w:sz w:val="18"/>
                <w:szCs w:val="18"/>
              </w:rPr>
              <w:t>Capital Cost (2017$)</w:t>
            </w:r>
          </w:p>
        </w:tc>
        <w:tc>
          <w:tcPr>
            <w:tcW w:w="1123" w:type="dxa"/>
            <w:hideMark/>
          </w:tcPr>
          <w:p w14:paraId="3F67A7DE" w14:textId="77777777" w:rsidR="00D17312" w:rsidRPr="000973F2" w:rsidRDefault="00D17312" w:rsidP="00D4772B">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18"/>
                <w:szCs w:val="18"/>
              </w:rPr>
            </w:pPr>
            <w:r w:rsidRPr="000973F2">
              <w:rPr>
                <w:rFonts w:ascii="Times New Roman" w:eastAsia="Times New Roman" w:hAnsi="Times New Roman" w:cs="Times New Roman"/>
                <w:b/>
                <w:bCs/>
                <w:sz w:val="18"/>
                <w:szCs w:val="18"/>
              </w:rPr>
              <w:t>Equipment Lifetime</w:t>
            </w:r>
          </w:p>
        </w:tc>
        <w:tc>
          <w:tcPr>
            <w:tcW w:w="1122" w:type="dxa"/>
            <w:hideMark/>
          </w:tcPr>
          <w:p w14:paraId="069FC9A4" w14:textId="2DE6792F" w:rsidR="00D17312" w:rsidRPr="000973F2" w:rsidRDefault="00D17312" w:rsidP="00D4772B">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18"/>
                <w:szCs w:val="18"/>
              </w:rPr>
            </w:pPr>
            <w:r w:rsidRPr="000973F2">
              <w:rPr>
                <w:rFonts w:ascii="Times New Roman" w:eastAsia="Times New Roman" w:hAnsi="Times New Roman" w:cs="Times New Roman"/>
                <w:b/>
                <w:bCs/>
                <w:sz w:val="18"/>
                <w:szCs w:val="18"/>
              </w:rPr>
              <w:t>Annualized Capital Cost (2017$/</w:t>
            </w:r>
            <w:r w:rsidR="00D4772B" w:rsidRPr="000973F2">
              <w:rPr>
                <w:rFonts w:ascii="Times New Roman" w:eastAsia="Times New Roman" w:hAnsi="Times New Roman" w:cs="Times New Roman"/>
                <w:b/>
                <w:bCs/>
                <w:sz w:val="18"/>
                <w:szCs w:val="18"/>
              </w:rPr>
              <w:t xml:space="preserve"> </w:t>
            </w:r>
            <w:r w:rsidRPr="000973F2">
              <w:rPr>
                <w:rFonts w:ascii="Times New Roman" w:eastAsia="Times New Roman" w:hAnsi="Times New Roman" w:cs="Times New Roman"/>
                <w:b/>
                <w:bCs/>
                <w:sz w:val="18"/>
                <w:szCs w:val="18"/>
              </w:rPr>
              <w:t>year)</w:t>
            </w:r>
          </w:p>
        </w:tc>
        <w:tc>
          <w:tcPr>
            <w:tcW w:w="1123" w:type="dxa"/>
            <w:hideMark/>
          </w:tcPr>
          <w:p w14:paraId="3B0751D3" w14:textId="7DC3CD9F" w:rsidR="00D17312" w:rsidRPr="000973F2" w:rsidRDefault="00D17312" w:rsidP="00D4772B">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18"/>
                <w:szCs w:val="18"/>
              </w:rPr>
            </w:pPr>
            <w:r w:rsidRPr="000973F2">
              <w:rPr>
                <w:rFonts w:ascii="Times New Roman" w:eastAsia="Times New Roman" w:hAnsi="Times New Roman" w:cs="Times New Roman"/>
                <w:b/>
                <w:bCs/>
                <w:sz w:val="18"/>
                <w:szCs w:val="18"/>
              </w:rPr>
              <w:t>O&amp;M Costs (2017$/</w:t>
            </w:r>
            <w:r w:rsidR="00D4772B" w:rsidRPr="000973F2">
              <w:rPr>
                <w:rFonts w:ascii="Times New Roman" w:eastAsia="Times New Roman" w:hAnsi="Times New Roman" w:cs="Times New Roman"/>
                <w:b/>
                <w:bCs/>
                <w:sz w:val="18"/>
                <w:szCs w:val="18"/>
              </w:rPr>
              <w:t xml:space="preserve"> </w:t>
            </w:r>
            <w:r w:rsidRPr="000973F2">
              <w:rPr>
                <w:rFonts w:ascii="Times New Roman" w:eastAsia="Times New Roman" w:hAnsi="Times New Roman" w:cs="Times New Roman"/>
                <w:b/>
                <w:bCs/>
                <w:sz w:val="18"/>
                <w:szCs w:val="18"/>
              </w:rPr>
              <w:t>year)</w:t>
            </w:r>
          </w:p>
        </w:tc>
        <w:tc>
          <w:tcPr>
            <w:tcW w:w="1122" w:type="dxa"/>
            <w:gridSpan w:val="2"/>
            <w:hideMark/>
          </w:tcPr>
          <w:p w14:paraId="22DADCCD" w14:textId="77777777" w:rsidR="00D17312" w:rsidRPr="000973F2" w:rsidRDefault="00D17312" w:rsidP="00D4772B">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18"/>
                <w:szCs w:val="18"/>
              </w:rPr>
            </w:pPr>
            <w:r w:rsidRPr="000973F2">
              <w:rPr>
                <w:rFonts w:ascii="Times New Roman" w:eastAsia="Times New Roman" w:hAnsi="Times New Roman" w:cs="Times New Roman"/>
                <w:b/>
                <w:bCs/>
                <w:sz w:val="18"/>
                <w:szCs w:val="18"/>
              </w:rPr>
              <w:t>Initial Year</w:t>
            </w:r>
          </w:p>
        </w:tc>
        <w:tc>
          <w:tcPr>
            <w:tcW w:w="1123" w:type="dxa"/>
            <w:hideMark/>
          </w:tcPr>
          <w:p w14:paraId="41557373" w14:textId="77777777" w:rsidR="00D17312" w:rsidRPr="000973F2" w:rsidRDefault="00D17312" w:rsidP="00D4772B">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18"/>
                <w:szCs w:val="18"/>
              </w:rPr>
            </w:pPr>
            <w:r w:rsidRPr="000973F2">
              <w:rPr>
                <w:rFonts w:ascii="Times New Roman" w:eastAsia="Times New Roman" w:hAnsi="Times New Roman" w:cs="Times New Roman"/>
                <w:b/>
                <w:bCs/>
                <w:sz w:val="18"/>
                <w:szCs w:val="18"/>
              </w:rPr>
              <w:t>Subseq. Years</w:t>
            </w:r>
          </w:p>
        </w:tc>
      </w:tr>
      <w:tr w:rsidR="00ED162A" w:rsidRPr="000973F2" w14:paraId="01CDB0CF" w14:textId="77777777" w:rsidTr="00B6531F">
        <w:trPr>
          <w:cantSplit/>
        </w:trPr>
        <w:tc>
          <w:tcPr>
            <w:cnfStyle w:val="001000000000" w:firstRow="0" w:lastRow="0" w:firstColumn="1" w:lastColumn="0" w:oddVBand="0" w:evenVBand="0" w:oddHBand="0" w:evenHBand="0" w:firstRowFirstColumn="0" w:firstRowLastColumn="0" w:lastRowFirstColumn="0" w:lastRowLastColumn="0"/>
            <w:tcW w:w="2595" w:type="dxa"/>
            <w:hideMark/>
          </w:tcPr>
          <w:p w14:paraId="1803CF8B" w14:textId="77777777" w:rsidR="005E443D" w:rsidRPr="000973F2" w:rsidRDefault="005E443D" w:rsidP="00D4772B">
            <w:pPr>
              <w:spacing w:before="40" w:after="4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Equipment (selection, purchase, installation)</w:t>
            </w:r>
          </w:p>
        </w:tc>
        <w:tc>
          <w:tcPr>
            <w:tcW w:w="1122" w:type="dxa"/>
            <w:noWrap/>
            <w:hideMark/>
          </w:tcPr>
          <w:p w14:paraId="653DC5C2" w14:textId="5337C373" w:rsidR="005E443D" w:rsidRPr="000973F2" w:rsidRDefault="00D4772B" w:rsidP="00D4772B">
            <w:pPr>
              <w:spacing w:before="40" w:after="4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w:t>
            </w:r>
          </w:p>
        </w:tc>
        <w:tc>
          <w:tcPr>
            <w:tcW w:w="1123" w:type="dxa"/>
            <w:noWrap/>
          </w:tcPr>
          <w:p w14:paraId="0DD8A182" w14:textId="08864E2E" w:rsidR="005E443D" w:rsidRPr="000973F2" w:rsidRDefault="005E443D" w:rsidP="00D4772B">
            <w:pPr>
              <w:spacing w:before="40" w:after="4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p>
        </w:tc>
        <w:tc>
          <w:tcPr>
            <w:tcW w:w="1122" w:type="dxa"/>
            <w:noWrap/>
            <w:hideMark/>
          </w:tcPr>
          <w:p w14:paraId="4AB8BFA2" w14:textId="1D51E786" w:rsidR="005E443D" w:rsidRPr="000973F2" w:rsidRDefault="00D4772B" w:rsidP="00D4772B">
            <w:pPr>
              <w:spacing w:before="40" w:after="4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w:t>
            </w:r>
          </w:p>
        </w:tc>
        <w:tc>
          <w:tcPr>
            <w:tcW w:w="1123" w:type="dxa"/>
            <w:noWrap/>
            <w:hideMark/>
          </w:tcPr>
          <w:p w14:paraId="2C9C87AA" w14:textId="6A2BC3DD" w:rsidR="005E443D" w:rsidRPr="000973F2" w:rsidRDefault="00D4772B" w:rsidP="00D4772B">
            <w:pPr>
              <w:tabs>
                <w:tab w:val="decimal" w:pos="676"/>
              </w:tabs>
              <w:spacing w:before="40" w:after="4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w:t>
            </w:r>
          </w:p>
        </w:tc>
        <w:tc>
          <w:tcPr>
            <w:tcW w:w="1122" w:type="dxa"/>
            <w:gridSpan w:val="2"/>
            <w:noWrap/>
            <w:hideMark/>
          </w:tcPr>
          <w:p w14:paraId="0C0D481F" w14:textId="2C05DA5D" w:rsidR="005E443D" w:rsidRPr="000973F2" w:rsidRDefault="00D4772B" w:rsidP="00D4772B">
            <w:pPr>
              <w:spacing w:before="40" w:after="4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w:t>
            </w:r>
          </w:p>
        </w:tc>
        <w:tc>
          <w:tcPr>
            <w:tcW w:w="1123" w:type="dxa"/>
            <w:noWrap/>
            <w:hideMark/>
          </w:tcPr>
          <w:p w14:paraId="74948C0C" w14:textId="7796FCE5" w:rsidR="005E443D" w:rsidRPr="000973F2" w:rsidRDefault="00D4772B" w:rsidP="00D4772B">
            <w:pPr>
              <w:tabs>
                <w:tab w:val="decimal" w:pos="661"/>
              </w:tabs>
              <w:spacing w:before="40" w:after="4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w:t>
            </w:r>
          </w:p>
        </w:tc>
      </w:tr>
      <w:tr w:rsidR="00BC23DB" w:rsidRPr="000973F2" w14:paraId="3647EDF3" w14:textId="77777777" w:rsidTr="00B6531F">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2595" w:type="dxa"/>
            <w:hideMark/>
          </w:tcPr>
          <w:p w14:paraId="4B049FD5" w14:textId="77777777" w:rsidR="009A6027" w:rsidRPr="000973F2" w:rsidRDefault="009A6027" w:rsidP="00D4772B">
            <w:pPr>
              <w:spacing w:before="40" w:after="4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Performance testing</w:t>
            </w:r>
          </w:p>
        </w:tc>
        <w:tc>
          <w:tcPr>
            <w:tcW w:w="1122" w:type="dxa"/>
            <w:noWrap/>
            <w:hideMark/>
          </w:tcPr>
          <w:p w14:paraId="0B7495C9" w14:textId="77777777" w:rsidR="009A6027" w:rsidRPr="000973F2" w:rsidRDefault="009A6027" w:rsidP="00D4772B">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$0</w:t>
            </w:r>
          </w:p>
        </w:tc>
        <w:tc>
          <w:tcPr>
            <w:tcW w:w="1123" w:type="dxa"/>
            <w:noWrap/>
          </w:tcPr>
          <w:p w14:paraId="12A2FD9D" w14:textId="2371FAC7" w:rsidR="009A6027" w:rsidRPr="000973F2" w:rsidRDefault="009A6027" w:rsidP="00D4772B">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p>
        </w:tc>
        <w:tc>
          <w:tcPr>
            <w:tcW w:w="1122" w:type="dxa"/>
            <w:noWrap/>
            <w:hideMark/>
          </w:tcPr>
          <w:p w14:paraId="11E82F5A" w14:textId="77777777" w:rsidR="009A6027" w:rsidRPr="000973F2" w:rsidRDefault="009A6027" w:rsidP="00D4772B">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$0</w:t>
            </w:r>
          </w:p>
        </w:tc>
        <w:tc>
          <w:tcPr>
            <w:tcW w:w="1123" w:type="dxa"/>
            <w:noWrap/>
            <w:hideMark/>
          </w:tcPr>
          <w:p w14:paraId="136D55D5" w14:textId="77777777" w:rsidR="009A6027" w:rsidRPr="000973F2" w:rsidRDefault="009A6027" w:rsidP="00D4772B">
            <w:pPr>
              <w:tabs>
                <w:tab w:val="decimal" w:pos="676"/>
              </w:tabs>
              <w:spacing w:before="40" w:after="4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hAnsi="Times New Roman" w:cs="Times New Roman"/>
                <w:sz w:val="18"/>
                <w:szCs w:val="18"/>
              </w:rPr>
              <w:t>$8,835</w:t>
            </w:r>
          </w:p>
        </w:tc>
        <w:tc>
          <w:tcPr>
            <w:tcW w:w="1122" w:type="dxa"/>
            <w:gridSpan w:val="2"/>
            <w:noWrap/>
            <w:hideMark/>
          </w:tcPr>
          <w:p w14:paraId="64828074" w14:textId="77777777" w:rsidR="009A6027" w:rsidRPr="000973F2" w:rsidRDefault="009A6027" w:rsidP="00D4772B">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hAnsi="Times New Roman" w:cs="Times New Roman"/>
                <w:sz w:val="18"/>
                <w:szCs w:val="18"/>
              </w:rPr>
              <w:t>$0</w:t>
            </w:r>
          </w:p>
        </w:tc>
        <w:tc>
          <w:tcPr>
            <w:tcW w:w="1123" w:type="dxa"/>
            <w:noWrap/>
            <w:hideMark/>
          </w:tcPr>
          <w:p w14:paraId="7D86C531" w14:textId="77777777" w:rsidR="009A6027" w:rsidRPr="000973F2" w:rsidRDefault="009A6027" w:rsidP="00D4772B">
            <w:pPr>
              <w:tabs>
                <w:tab w:val="decimal" w:pos="661"/>
              </w:tabs>
              <w:spacing w:before="40" w:after="4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hAnsi="Times New Roman" w:cs="Times New Roman"/>
                <w:sz w:val="18"/>
                <w:szCs w:val="18"/>
              </w:rPr>
              <w:t>$8,835</w:t>
            </w:r>
          </w:p>
        </w:tc>
      </w:tr>
      <w:tr w:rsidR="00260534" w:rsidRPr="000973F2" w14:paraId="6AA6194A" w14:textId="77777777" w:rsidTr="00D4772B">
        <w:trPr>
          <w:cantSplit/>
        </w:trPr>
        <w:tc>
          <w:tcPr>
            <w:cnfStyle w:val="001000000000" w:firstRow="0" w:lastRow="0" w:firstColumn="1" w:lastColumn="0" w:oddVBand="0" w:evenVBand="0" w:oddHBand="0" w:evenHBand="0" w:firstRowFirstColumn="0" w:firstRowLastColumn="0" w:lastRowFirstColumn="0" w:lastRowLastColumn="0"/>
            <w:tcW w:w="2595" w:type="dxa"/>
            <w:shd w:val="clear" w:color="auto" w:fill="auto"/>
            <w:hideMark/>
          </w:tcPr>
          <w:p w14:paraId="00805494" w14:textId="77777777" w:rsidR="009A6027" w:rsidRPr="000973F2" w:rsidRDefault="009A6027" w:rsidP="00D4772B">
            <w:pPr>
              <w:spacing w:before="40" w:after="4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Recordkeeping</w:t>
            </w:r>
          </w:p>
        </w:tc>
        <w:tc>
          <w:tcPr>
            <w:tcW w:w="1122" w:type="dxa"/>
            <w:shd w:val="clear" w:color="auto" w:fill="auto"/>
            <w:noWrap/>
            <w:hideMark/>
          </w:tcPr>
          <w:p w14:paraId="56396850" w14:textId="77777777" w:rsidR="009A6027" w:rsidRPr="000973F2" w:rsidRDefault="009A6027" w:rsidP="00D4772B">
            <w:pPr>
              <w:spacing w:before="40" w:after="4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$0</w:t>
            </w:r>
          </w:p>
        </w:tc>
        <w:tc>
          <w:tcPr>
            <w:tcW w:w="1123" w:type="dxa"/>
            <w:shd w:val="clear" w:color="auto" w:fill="auto"/>
            <w:noWrap/>
          </w:tcPr>
          <w:p w14:paraId="7363A7E4" w14:textId="66AE6361" w:rsidR="009A6027" w:rsidRPr="000973F2" w:rsidRDefault="009A6027" w:rsidP="00D4772B">
            <w:pPr>
              <w:spacing w:before="40" w:after="4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p>
        </w:tc>
        <w:tc>
          <w:tcPr>
            <w:tcW w:w="1122" w:type="dxa"/>
            <w:shd w:val="clear" w:color="auto" w:fill="auto"/>
            <w:noWrap/>
            <w:hideMark/>
          </w:tcPr>
          <w:p w14:paraId="512CD189" w14:textId="77777777" w:rsidR="009A6027" w:rsidRPr="000973F2" w:rsidRDefault="009A6027" w:rsidP="00D4772B">
            <w:pPr>
              <w:spacing w:before="40" w:after="4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$0</w:t>
            </w:r>
          </w:p>
        </w:tc>
        <w:tc>
          <w:tcPr>
            <w:tcW w:w="1123" w:type="dxa"/>
            <w:shd w:val="clear" w:color="auto" w:fill="auto"/>
            <w:noWrap/>
            <w:hideMark/>
          </w:tcPr>
          <w:p w14:paraId="3F6F4A6A" w14:textId="77777777" w:rsidR="009A6027" w:rsidRPr="000973F2" w:rsidRDefault="009A6027" w:rsidP="00D4772B">
            <w:pPr>
              <w:tabs>
                <w:tab w:val="decimal" w:pos="676"/>
              </w:tabs>
              <w:spacing w:before="40" w:after="4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hAnsi="Times New Roman" w:cs="Times New Roman"/>
                <w:sz w:val="18"/>
                <w:szCs w:val="18"/>
              </w:rPr>
              <w:t>$50</w:t>
            </w:r>
          </w:p>
        </w:tc>
        <w:tc>
          <w:tcPr>
            <w:tcW w:w="1122" w:type="dxa"/>
            <w:gridSpan w:val="2"/>
            <w:shd w:val="clear" w:color="auto" w:fill="auto"/>
            <w:noWrap/>
            <w:hideMark/>
          </w:tcPr>
          <w:p w14:paraId="2B868F96" w14:textId="77777777" w:rsidR="009A6027" w:rsidRPr="000973F2" w:rsidRDefault="009A6027" w:rsidP="00D4772B">
            <w:pPr>
              <w:spacing w:before="40" w:after="4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hAnsi="Times New Roman" w:cs="Times New Roman"/>
                <w:sz w:val="18"/>
                <w:szCs w:val="18"/>
              </w:rPr>
              <w:t>$0</w:t>
            </w:r>
          </w:p>
        </w:tc>
        <w:tc>
          <w:tcPr>
            <w:tcW w:w="1123" w:type="dxa"/>
            <w:shd w:val="clear" w:color="auto" w:fill="auto"/>
            <w:noWrap/>
            <w:hideMark/>
          </w:tcPr>
          <w:p w14:paraId="643F477B" w14:textId="77777777" w:rsidR="009A6027" w:rsidRPr="000973F2" w:rsidRDefault="009A6027" w:rsidP="00D4772B">
            <w:pPr>
              <w:tabs>
                <w:tab w:val="decimal" w:pos="661"/>
              </w:tabs>
              <w:spacing w:before="40" w:after="4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hAnsi="Times New Roman" w:cs="Times New Roman"/>
                <w:sz w:val="18"/>
                <w:szCs w:val="18"/>
              </w:rPr>
              <w:t>$50</w:t>
            </w:r>
          </w:p>
        </w:tc>
      </w:tr>
      <w:tr w:rsidR="00BC23DB" w:rsidRPr="000973F2" w14:paraId="29119238" w14:textId="77777777" w:rsidTr="00B6531F">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2595" w:type="dxa"/>
            <w:hideMark/>
          </w:tcPr>
          <w:p w14:paraId="01252366" w14:textId="77777777" w:rsidR="005E443D" w:rsidRPr="000973F2" w:rsidRDefault="005E443D" w:rsidP="00D4772B">
            <w:pPr>
              <w:spacing w:before="40" w:after="4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Travel</w:t>
            </w:r>
          </w:p>
        </w:tc>
        <w:tc>
          <w:tcPr>
            <w:tcW w:w="1122" w:type="dxa"/>
            <w:noWrap/>
            <w:hideMark/>
          </w:tcPr>
          <w:p w14:paraId="08CBA8AB" w14:textId="7670D898" w:rsidR="005E443D" w:rsidRPr="000973F2" w:rsidRDefault="00D4772B" w:rsidP="00D4772B">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w:t>
            </w:r>
          </w:p>
        </w:tc>
        <w:tc>
          <w:tcPr>
            <w:tcW w:w="1123" w:type="dxa"/>
            <w:noWrap/>
          </w:tcPr>
          <w:p w14:paraId="08126CD6" w14:textId="4B277E31" w:rsidR="005E443D" w:rsidRPr="000973F2" w:rsidRDefault="005E443D" w:rsidP="00D4772B">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p>
        </w:tc>
        <w:tc>
          <w:tcPr>
            <w:tcW w:w="1122" w:type="dxa"/>
            <w:noWrap/>
            <w:hideMark/>
          </w:tcPr>
          <w:p w14:paraId="45E5FC03" w14:textId="623245B7" w:rsidR="005E443D" w:rsidRPr="000973F2" w:rsidRDefault="00D4772B" w:rsidP="00D4772B">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w:t>
            </w:r>
          </w:p>
        </w:tc>
        <w:tc>
          <w:tcPr>
            <w:tcW w:w="1123" w:type="dxa"/>
            <w:noWrap/>
            <w:hideMark/>
          </w:tcPr>
          <w:p w14:paraId="2301CC01" w14:textId="3DA9591E" w:rsidR="005E443D" w:rsidRPr="000973F2" w:rsidRDefault="00D4772B" w:rsidP="00D4772B">
            <w:pPr>
              <w:tabs>
                <w:tab w:val="decimal" w:pos="676"/>
              </w:tabs>
              <w:spacing w:before="40" w:after="4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w:t>
            </w:r>
          </w:p>
        </w:tc>
        <w:tc>
          <w:tcPr>
            <w:tcW w:w="1122" w:type="dxa"/>
            <w:gridSpan w:val="2"/>
            <w:noWrap/>
            <w:hideMark/>
          </w:tcPr>
          <w:p w14:paraId="16FC1A7B" w14:textId="24CCB35C" w:rsidR="005E443D" w:rsidRPr="000973F2" w:rsidRDefault="00D4772B" w:rsidP="00D4772B">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w:t>
            </w:r>
          </w:p>
        </w:tc>
        <w:tc>
          <w:tcPr>
            <w:tcW w:w="1123" w:type="dxa"/>
            <w:noWrap/>
            <w:hideMark/>
          </w:tcPr>
          <w:p w14:paraId="6090AB89" w14:textId="5C0993A2" w:rsidR="005E443D" w:rsidRPr="000973F2" w:rsidRDefault="00D4772B" w:rsidP="00D4772B">
            <w:pPr>
              <w:tabs>
                <w:tab w:val="decimal" w:pos="661"/>
              </w:tabs>
              <w:spacing w:before="40" w:after="4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w:t>
            </w:r>
          </w:p>
        </w:tc>
      </w:tr>
      <w:tr w:rsidR="00ED162A" w:rsidRPr="000973F2" w14:paraId="7E133905" w14:textId="77777777" w:rsidTr="00B6531F">
        <w:trPr>
          <w:cantSplit/>
        </w:trPr>
        <w:tc>
          <w:tcPr>
            <w:cnfStyle w:val="001000000000" w:firstRow="0" w:lastRow="0" w:firstColumn="1" w:lastColumn="0" w:oddVBand="0" w:evenVBand="0" w:oddHBand="0" w:evenHBand="0" w:firstRowFirstColumn="0" w:firstRowLastColumn="0" w:lastRowFirstColumn="0" w:lastRowLastColumn="0"/>
            <w:tcW w:w="2595" w:type="dxa"/>
            <w:hideMark/>
          </w:tcPr>
          <w:p w14:paraId="222333F4" w14:textId="02FD4080" w:rsidR="005E443D" w:rsidRPr="000973F2" w:rsidRDefault="005E443D" w:rsidP="00D4772B">
            <w:pPr>
              <w:spacing w:before="40" w:after="4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Sampling and Analysis Costs</w:t>
            </w:r>
          </w:p>
        </w:tc>
        <w:tc>
          <w:tcPr>
            <w:tcW w:w="1122" w:type="dxa"/>
            <w:noWrap/>
            <w:hideMark/>
          </w:tcPr>
          <w:p w14:paraId="3B8CE7AA" w14:textId="76718511" w:rsidR="005E443D" w:rsidRPr="000973F2" w:rsidRDefault="00D4772B" w:rsidP="00D4772B">
            <w:pPr>
              <w:spacing w:before="40" w:after="4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w:t>
            </w:r>
          </w:p>
        </w:tc>
        <w:tc>
          <w:tcPr>
            <w:tcW w:w="1123" w:type="dxa"/>
            <w:noWrap/>
          </w:tcPr>
          <w:p w14:paraId="27A03E4D" w14:textId="4521049A" w:rsidR="005E443D" w:rsidRPr="000973F2" w:rsidRDefault="005E443D" w:rsidP="00D4772B">
            <w:pPr>
              <w:spacing w:before="40" w:after="4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p>
        </w:tc>
        <w:tc>
          <w:tcPr>
            <w:tcW w:w="1122" w:type="dxa"/>
            <w:noWrap/>
            <w:hideMark/>
          </w:tcPr>
          <w:p w14:paraId="4982C5C5" w14:textId="7C0AC77F" w:rsidR="005E443D" w:rsidRPr="000973F2" w:rsidRDefault="00D4772B" w:rsidP="00D4772B">
            <w:pPr>
              <w:spacing w:before="40" w:after="4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w:t>
            </w:r>
          </w:p>
        </w:tc>
        <w:tc>
          <w:tcPr>
            <w:tcW w:w="1123" w:type="dxa"/>
            <w:noWrap/>
            <w:hideMark/>
          </w:tcPr>
          <w:p w14:paraId="38EA0071" w14:textId="449449C0" w:rsidR="005E443D" w:rsidRPr="000973F2" w:rsidRDefault="00D4772B" w:rsidP="00D4772B">
            <w:pPr>
              <w:tabs>
                <w:tab w:val="decimal" w:pos="676"/>
              </w:tabs>
              <w:spacing w:before="40" w:after="4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w:t>
            </w:r>
          </w:p>
        </w:tc>
        <w:tc>
          <w:tcPr>
            <w:tcW w:w="1122" w:type="dxa"/>
            <w:gridSpan w:val="2"/>
            <w:noWrap/>
            <w:hideMark/>
          </w:tcPr>
          <w:p w14:paraId="041FBBC8" w14:textId="07DE12E9" w:rsidR="005E443D" w:rsidRPr="000973F2" w:rsidRDefault="00D4772B" w:rsidP="00D4772B">
            <w:pPr>
              <w:spacing w:before="40" w:after="4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w:t>
            </w:r>
          </w:p>
        </w:tc>
        <w:tc>
          <w:tcPr>
            <w:tcW w:w="1123" w:type="dxa"/>
            <w:noWrap/>
            <w:hideMark/>
          </w:tcPr>
          <w:p w14:paraId="50739B22" w14:textId="6D88250C" w:rsidR="005E443D" w:rsidRPr="000973F2" w:rsidRDefault="00D4772B" w:rsidP="00D4772B">
            <w:pPr>
              <w:tabs>
                <w:tab w:val="decimal" w:pos="661"/>
              </w:tabs>
              <w:spacing w:before="40" w:after="4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w:t>
            </w:r>
          </w:p>
        </w:tc>
      </w:tr>
      <w:tr w:rsidR="00515347" w:rsidRPr="000973F2" w14:paraId="2F0454A3" w14:textId="77777777" w:rsidTr="00B6531F">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2595" w:type="dxa"/>
            <w:hideMark/>
          </w:tcPr>
          <w:p w14:paraId="427F7492" w14:textId="77777777" w:rsidR="009A6027" w:rsidRPr="000973F2" w:rsidRDefault="009A6027" w:rsidP="00D4772B">
            <w:pPr>
              <w:spacing w:before="40" w:after="40"/>
              <w:rPr>
                <w:rFonts w:ascii="Times New Roman" w:eastAsia="Times New Roman" w:hAnsi="Times New Roman" w:cs="Times New Roman"/>
                <w:b/>
                <w:bCs w:val="0"/>
                <w:sz w:val="18"/>
                <w:szCs w:val="18"/>
              </w:rPr>
            </w:pPr>
            <w:r w:rsidRPr="000973F2">
              <w:rPr>
                <w:rFonts w:ascii="Times New Roman" w:eastAsia="Times New Roman" w:hAnsi="Times New Roman" w:cs="Times New Roman"/>
                <w:b/>
                <w:sz w:val="18"/>
                <w:szCs w:val="18"/>
              </w:rPr>
              <w:t>Total</w:t>
            </w:r>
          </w:p>
        </w:tc>
        <w:tc>
          <w:tcPr>
            <w:tcW w:w="1122" w:type="dxa"/>
            <w:noWrap/>
            <w:hideMark/>
          </w:tcPr>
          <w:p w14:paraId="2EA7D357" w14:textId="77777777" w:rsidR="009A6027" w:rsidRPr="000973F2" w:rsidRDefault="009A6027" w:rsidP="00D4772B">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sz w:val="18"/>
                <w:szCs w:val="18"/>
              </w:rPr>
            </w:pPr>
            <w:r w:rsidRPr="000973F2">
              <w:rPr>
                <w:rFonts w:ascii="Times New Roman" w:eastAsia="Times New Roman" w:hAnsi="Times New Roman" w:cs="Times New Roman"/>
                <w:b/>
                <w:sz w:val="18"/>
                <w:szCs w:val="18"/>
              </w:rPr>
              <w:t>$0</w:t>
            </w:r>
          </w:p>
        </w:tc>
        <w:tc>
          <w:tcPr>
            <w:tcW w:w="1123" w:type="dxa"/>
            <w:noWrap/>
          </w:tcPr>
          <w:p w14:paraId="77638353" w14:textId="1EBA69E1" w:rsidR="009A6027" w:rsidRPr="000973F2" w:rsidRDefault="009A6027" w:rsidP="00D4772B">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sz w:val="18"/>
                <w:szCs w:val="18"/>
              </w:rPr>
            </w:pPr>
          </w:p>
        </w:tc>
        <w:tc>
          <w:tcPr>
            <w:tcW w:w="1122" w:type="dxa"/>
            <w:noWrap/>
            <w:hideMark/>
          </w:tcPr>
          <w:p w14:paraId="3FB1F55F" w14:textId="77777777" w:rsidR="009A6027" w:rsidRPr="000973F2" w:rsidRDefault="009A6027" w:rsidP="00D4772B">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sz w:val="18"/>
                <w:szCs w:val="18"/>
              </w:rPr>
            </w:pPr>
            <w:r w:rsidRPr="000973F2">
              <w:rPr>
                <w:rFonts w:ascii="Times New Roman" w:eastAsia="Times New Roman" w:hAnsi="Times New Roman" w:cs="Times New Roman"/>
                <w:b/>
                <w:sz w:val="18"/>
                <w:szCs w:val="18"/>
              </w:rPr>
              <w:t>$0</w:t>
            </w:r>
          </w:p>
        </w:tc>
        <w:tc>
          <w:tcPr>
            <w:tcW w:w="1123" w:type="dxa"/>
            <w:noWrap/>
            <w:hideMark/>
          </w:tcPr>
          <w:p w14:paraId="291F1ED8" w14:textId="77777777" w:rsidR="009A6027" w:rsidRPr="000973F2" w:rsidRDefault="009A6027" w:rsidP="00D4772B">
            <w:pPr>
              <w:tabs>
                <w:tab w:val="decimal" w:pos="676"/>
              </w:tabs>
              <w:spacing w:before="40" w:after="4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sz w:val="18"/>
                <w:szCs w:val="18"/>
              </w:rPr>
            </w:pPr>
            <w:r w:rsidRPr="000973F2">
              <w:rPr>
                <w:rFonts w:ascii="Times New Roman" w:hAnsi="Times New Roman" w:cs="Times New Roman"/>
                <w:b/>
                <w:sz w:val="18"/>
                <w:szCs w:val="18"/>
              </w:rPr>
              <w:t>$8,835</w:t>
            </w:r>
          </w:p>
        </w:tc>
        <w:tc>
          <w:tcPr>
            <w:tcW w:w="1122" w:type="dxa"/>
            <w:gridSpan w:val="2"/>
            <w:noWrap/>
            <w:hideMark/>
          </w:tcPr>
          <w:p w14:paraId="29EF1C70" w14:textId="77777777" w:rsidR="009A6027" w:rsidRPr="000973F2" w:rsidRDefault="009A6027" w:rsidP="00D4772B">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sz w:val="18"/>
                <w:szCs w:val="18"/>
              </w:rPr>
            </w:pPr>
            <w:r w:rsidRPr="000973F2">
              <w:rPr>
                <w:rFonts w:ascii="Times New Roman" w:hAnsi="Times New Roman" w:cs="Times New Roman"/>
                <w:b/>
                <w:sz w:val="18"/>
                <w:szCs w:val="18"/>
              </w:rPr>
              <w:t>$0</w:t>
            </w:r>
          </w:p>
        </w:tc>
        <w:tc>
          <w:tcPr>
            <w:tcW w:w="1123" w:type="dxa"/>
            <w:noWrap/>
            <w:hideMark/>
          </w:tcPr>
          <w:p w14:paraId="5522B19A" w14:textId="77777777" w:rsidR="009A6027" w:rsidRPr="000973F2" w:rsidRDefault="009A6027" w:rsidP="00D4772B">
            <w:pPr>
              <w:tabs>
                <w:tab w:val="decimal" w:pos="661"/>
              </w:tabs>
              <w:spacing w:before="40" w:after="4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sz w:val="18"/>
                <w:szCs w:val="18"/>
              </w:rPr>
            </w:pPr>
            <w:r w:rsidRPr="000973F2">
              <w:rPr>
                <w:rFonts w:ascii="Times New Roman" w:hAnsi="Times New Roman" w:cs="Times New Roman"/>
                <w:b/>
                <w:sz w:val="18"/>
                <w:szCs w:val="18"/>
              </w:rPr>
              <w:t>$8,885</w:t>
            </w:r>
          </w:p>
        </w:tc>
      </w:tr>
    </w:tbl>
    <w:p w14:paraId="542FB613" w14:textId="77777777" w:rsidR="009A6027" w:rsidRPr="000973F2" w:rsidRDefault="009A6027" w:rsidP="00C00E4F">
      <w:pPr>
        <w:spacing w:line="240" w:lineRule="auto"/>
        <w:rPr>
          <w:rFonts w:ascii="Times New Roman" w:hAnsi="Times New Roman" w:cs="Times New Roman"/>
        </w:rPr>
      </w:pPr>
    </w:p>
    <w:p w14:paraId="4568CDF8" w14:textId="77777777" w:rsidR="009A6027" w:rsidRPr="000973F2" w:rsidRDefault="009A6027" w:rsidP="00C00E4F">
      <w:pPr>
        <w:spacing w:line="240" w:lineRule="auto"/>
        <w:rPr>
          <w:rFonts w:ascii="Times New Roman" w:hAnsi="Times New Roman" w:cs="Times New Roman"/>
          <w:b/>
          <w:i/>
        </w:rPr>
      </w:pPr>
      <w:r w:rsidRPr="000973F2">
        <w:rPr>
          <w:rFonts w:ascii="Times New Roman" w:hAnsi="Times New Roman" w:cs="Times New Roman"/>
          <w:b/>
          <w:i/>
        </w:rPr>
        <w:br w:type="page"/>
      </w:r>
    </w:p>
    <w:p w14:paraId="60B27F7B" w14:textId="0FE3841C" w:rsidR="009A6027" w:rsidRPr="000973F2" w:rsidRDefault="009A6027" w:rsidP="00D4772B">
      <w:pPr>
        <w:pStyle w:val="Heading2"/>
      </w:pPr>
      <w:r w:rsidRPr="000973F2">
        <w:t>Labor Costs for Subpart V</w:t>
      </w:r>
      <w:r w:rsidR="00D4772B" w:rsidRPr="000973F2">
        <w:t xml:space="preserve"> –</w:t>
      </w:r>
      <w:r w:rsidRPr="000973F2">
        <w:t xml:space="preserve"> Alternative Monitoring Method Option</w:t>
      </w:r>
    </w:p>
    <w:p w14:paraId="3AD16A1A" w14:textId="10A35A14" w:rsidR="009A6027" w:rsidRPr="000973F2" w:rsidRDefault="009A6027" w:rsidP="00D4772B">
      <w:pPr>
        <w:pStyle w:val="BodyText"/>
      </w:pPr>
      <w:r w:rsidRPr="000973F2">
        <w:t xml:space="preserve">Table </w:t>
      </w:r>
      <w:r w:rsidR="00D4772B" w:rsidRPr="000973F2">
        <w:t>V-</w:t>
      </w:r>
      <w:r w:rsidRPr="000973F2">
        <w:t>1c below includes the labor hours for each of the three facilities using the alternative monitoring method option to determine GHG emissions under Subpart V. Typical activities related to planning, QA/QC, recordkeeping and reporting, and sampling and analysis (which includes emissions calculations) are discussed in the Cost Appendix Introduction. Recordkeeping and reporting hours for Subpart V are based on the “low bin” designation, as explained in the Cost Appendix Introduction. For the alterative monitoring method option, Subpart V is expected to have QA/QC hours related to maintaining the equipment used to comply with the alternative monitoring method option, along with review of all measurements and calculations used to determine emissions. Sampling and analysis costs include time to calculate the total N</w:t>
      </w:r>
      <w:r w:rsidRPr="000973F2">
        <w:rPr>
          <w:vertAlign w:val="subscript"/>
        </w:rPr>
        <w:t>2</w:t>
      </w:r>
      <w:r w:rsidRPr="000973F2">
        <w:t>O emissions using the alternative monitoring procedures already in place.</w:t>
      </w:r>
    </w:p>
    <w:p w14:paraId="48640B29" w14:textId="1B02243D" w:rsidR="009A6027" w:rsidRPr="000973F2" w:rsidRDefault="002E6E01" w:rsidP="00D4772B">
      <w:pPr>
        <w:pStyle w:val="Tabletitle"/>
      </w:pPr>
      <w:r w:rsidRPr="000973F2">
        <w:t xml:space="preserve">Table </w:t>
      </w:r>
      <w:r w:rsidR="00D4772B" w:rsidRPr="000973F2">
        <w:t>V-</w:t>
      </w:r>
      <w:r w:rsidRPr="000973F2">
        <w:t xml:space="preserve">1c. Labor Costs </w:t>
      </w:r>
      <w:r w:rsidR="00B960CC" w:rsidRPr="000973F2">
        <w:t>–</w:t>
      </w:r>
      <w:r w:rsidRPr="000973F2">
        <w:t xml:space="preserve"> </w:t>
      </w:r>
      <w:r w:rsidR="009A6027" w:rsidRPr="000973F2">
        <w:t>Subpart V –Alternative Monitoring Method Option</w:t>
      </w:r>
    </w:p>
    <w:tbl>
      <w:tblPr>
        <w:tblStyle w:val="PlainTable1"/>
        <w:tblW w:w="5000" w:type="pct"/>
        <w:jc w:val="left"/>
        <w:tblLayout w:type="fixed"/>
        <w:tblCellMar>
          <w:left w:w="115" w:type="dxa"/>
          <w:right w:w="115" w:type="dxa"/>
        </w:tblCellMar>
        <w:tblLook w:val="04A0" w:firstRow="1" w:lastRow="0" w:firstColumn="1" w:lastColumn="0" w:noHBand="0" w:noVBand="1"/>
      </w:tblPr>
      <w:tblGrid>
        <w:gridCol w:w="1371"/>
        <w:gridCol w:w="809"/>
        <w:gridCol w:w="809"/>
        <w:gridCol w:w="810"/>
        <w:gridCol w:w="809"/>
        <w:gridCol w:w="809"/>
        <w:gridCol w:w="810"/>
        <w:gridCol w:w="809"/>
        <w:gridCol w:w="810"/>
        <w:gridCol w:w="872"/>
        <w:gridCol w:w="872"/>
      </w:tblGrid>
      <w:tr w:rsidR="009A6027" w:rsidRPr="000973F2" w14:paraId="742283DB" w14:textId="77777777" w:rsidTr="00B6531F">
        <w:trPr>
          <w:cnfStyle w:val="100000000000" w:firstRow="1" w:lastRow="0" w:firstColumn="0" w:lastColumn="0" w:oddVBand="0" w:evenVBand="0" w:oddHBand="0" w:evenHBand="0" w:firstRowFirstColumn="0" w:firstRowLastColumn="0" w:lastRowFirstColumn="0" w:lastRowLastColumn="0"/>
          <w:cantSplit/>
          <w:jc w:val="left"/>
        </w:trPr>
        <w:tc>
          <w:tcPr>
            <w:cnfStyle w:val="001000000000" w:firstRow="0" w:lastRow="0" w:firstColumn="1" w:lastColumn="0" w:oddVBand="0" w:evenVBand="0" w:oddHBand="0" w:evenHBand="0" w:firstRowFirstColumn="0" w:firstRowLastColumn="0" w:lastRowFirstColumn="0" w:lastRowLastColumn="0"/>
            <w:tcW w:w="1335" w:type="dxa"/>
            <w:vMerge w:val="restart"/>
            <w:noWrap/>
            <w:vAlign w:val="top"/>
            <w:hideMark/>
          </w:tcPr>
          <w:p w14:paraId="410D115D" w14:textId="77777777" w:rsidR="009A6027" w:rsidRPr="000973F2" w:rsidRDefault="009A6027" w:rsidP="003E0F61">
            <w:pPr>
              <w:spacing w:before="40" w:after="40"/>
              <w:rPr>
                <w:rFonts w:ascii="Times New Roman" w:eastAsia="Times New Roman" w:hAnsi="Times New Roman" w:cs="Times New Roman"/>
                <w:b w:val="0"/>
                <w:bCs w:val="0"/>
                <w:sz w:val="18"/>
                <w:szCs w:val="18"/>
              </w:rPr>
            </w:pPr>
            <w:r w:rsidRPr="000973F2">
              <w:rPr>
                <w:rFonts w:ascii="Times New Roman" w:eastAsia="Times New Roman" w:hAnsi="Times New Roman" w:cs="Times New Roman"/>
                <w:sz w:val="18"/>
                <w:szCs w:val="18"/>
              </w:rPr>
              <w:t>Activity</w:t>
            </w:r>
          </w:p>
        </w:tc>
        <w:tc>
          <w:tcPr>
            <w:tcW w:w="6299" w:type="dxa"/>
            <w:gridSpan w:val="8"/>
            <w:noWrap/>
            <w:vAlign w:val="top"/>
            <w:hideMark/>
          </w:tcPr>
          <w:p w14:paraId="2D600516" w14:textId="77777777" w:rsidR="009A6027" w:rsidRPr="000973F2" w:rsidRDefault="009A6027" w:rsidP="003E0F61">
            <w:pPr>
              <w:spacing w:before="40" w:after="40"/>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bCs w:val="0"/>
                <w:sz w:val="18"/>
                <w:szCs w:val="18"/>
              </w:rPr>
            </w:pPr>
            <w:r w:rsidRPr="000973F2">
              <w:rPr>
                <w:rFonts w:ascii="Times New Roman" w:eastAsia="Times New Roman" w:hAnsi="Times New Roman" w:cs="Times New Roman"/>
                <w:sz w:val="18"/>
                <w:szCs w:val="18"/>
              </w:rPr>
              <w:t>Labor Rates (per hour)</w:t>
            </w:r>
          </w:p>
        </w:tc>
        <w:tc>
          <w:tcPr>
            <w:tcW w:w="1696" w:type="dxa"/>
            <w:gridSpan w:val="2"/>
            <w:vMerge w:val="restart"/>
            <w:vAlign w:val="top"/>
            <w:hideMark/>
          </w:tcPr>
          <w:p w14:paraId="13B72566" w14:textId="2F9B5F16" w:rsidR="009A6027" w:rsidRPr="000973F2" w:rsidRDefault="009A6027" w:rsidP="003E0F61">
            <w:pPr>
              <w:spacing w:before="40" w:after="40"/>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bCs w:val="0"/>
                <w:sz w:val="18"/>
                <w:szCs w:val="18"/>
              </w:rPr>
            </w:pPr>
            <w:r w:rsidRPr="000973F2">
              <w:rPr>
                <w:rFonts w:ascii="Times New Roman" w:eastAsia="Times New Roman" w:hAnsi="Times New Roman" w:cs="Times New Roman"/>
                <w:sz w:val="18"/>
                <w:szCs w:val="18"/>
              </w:rPr>
              <w:t>Total Labor Cost per Year per Facility</w:t>
            </w:r>
            <w:r w:rsidR="00D4772B" w:rsidRPr="000973F2">
              <w:rPr>
                <w:rFonts w:ascii="Times New Roman" w:eastAsia="Times New Roman" w:hAnsi="Times New Roman" w:cs="Times New Roman"/>
                <w:sz w:val="18"/>
                <w:szCs w:val="18"/>
              </w:rPr>
              <w:t xml:space="preserve"> </w:t>
            </w:r>
            <w:r w:rsidRPr="000973F2">
              <w:rPr>
                <w:rFonts w:ascii="Times New Roman" w:eastAsia="Times New Roman" w:hAnsi="Times New Roman" w:cs="Times New Roman"/>
                <w:sz w:val="18"/>
                <w:szCs w:val="18"/>
              </w:rPr>
              <w:t>(2017$)</w:t>
            </w:r>
          </w:p>
        </w:tc>
      </w:tr>
      <w:tr w:rsidR="009A6027" w:rsidRPr="000973F2" w14:paraId="3B86CA05" w14:textId="77777777" w:rsidTr="00B6531F">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1335" w:type="dxa"/>
            <w:vMerge/>
            <w:hideMark/>
          </w:tcPr>
          <w:p w14:paraId="6B296589" w14:textId="77777777" w:rsidR="009A6027" w:rsidRPr="000973F2" w:rsidRDefault="009A6027" w:rsidP="003E0F61">
            <w:pPr>
              <w:spacing w:before="40" w:after="40"/>
              <w:rPr>
                <w:rFonts w:ascii="Times New Roman" w:eastAsia="Times New Roman" w:hAnsi="Times New Roman" w:cs="Times New Roman"/>
                <w:b/>
                <w:bCs w:val="0"/>
                <w:sz w:val="18"/>
                <w:szCs w:val="18"/>
              </w:rPr>
            </w:pPr>
          </w:p>
        </w:tc>
        <w:tc>
          <w:tcPr>
            <w:tcW w:w="1574" w:type="dxa"/>
            <w:gridSpan w:val="2"/>
            <w:noWrap/>
            <w:hideMark/>
          </w:tcPr>
          <w:p w14:paraId="2E293813" w14:textId="77777777" w:rsidR="009A6027" w:rsidRPr="000973F2" w:rsidRDefault="009A6027" w:rsidP="003E0F61">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18"/>
                <w:szCs w:val="18"/>
              </w:rPr>
            </w:pPr>
            <w:r w:rsidRPr="000973F2">
              <w:rPr>
                <w:rFonts w:ascii="Times New Roman" w:eastAsia="Times New Roman" w:hAnsi="Times New Roman" w:cs="Times New Roman"/>
                <w:b/>
                <w:bCs/>
                <w:sz w:val="18"/>
                <w:szCs w:val="18"/>
              </w:rPr>
              <w:t>Lawyer</w:t>
            </w:r>
          </w:p>
        </w:tc>
        <w:tc>
          <w:tcPr>
            <w:tcW w:w="1575" w:type="dxa"/>
            <w:gridSpan w:val="2"/>
            <w:noWrap/>
            <w:hideMark/>
          </w:tcPr>
          <w:p w14:paraId="7E58FBC1" w14:textId="77777777" w:rsidR="009A6027" w:rsidRPr="000973F2" w:rsidRDefault="009A6027" w:rsidP="003E0F61">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18"/>
                <w:szCs w:val="18"/>
              </w:rPr>
            </w:pPr>
            <w:r w:rsidRPr="000973F2">
              <w:rPr>
                <w:rFonts w:ascii="Times New Roman" w:eastAsia="Times New Roman" w:hAnsi="Times New Roman" w:cs="Times New Roman"/>
                <w:b/>
                <w:bCs/>
                <w:sz w:val="18"/>
                <w:szCs w:val="18"/>
              </w:rPr>
              <w:t>Industrial Manager</w:t>
            </w:r>
          </w:p>
        </w:tc>
        <w:tc>
          <w:tcPr>
            <w:tcW w:w="1575" w:type="dxa"/>
            <w:gridSpan w:val="2"/>
            <w:hideMark/>
          </w:tcPr>
          <w:p w14:paraId="596B8812" w14:textId="6DA3FEFC" w:rsidR="009A6027" w:rsidRPr="000973F2" w:rsidRDefault="009A6027" w:rsidP="003E0F61">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18"/>
                <w:szCs w:val="18"/>
              </w:rPr>
            </w:pPr>
            <w:r w:rsidRPr="000973F2">
              <w:rPr>
                <w:rFonts w:ascii="Times New Roman" w:eastAsia="Times New Roman" w:hAnsi="Times New Roman" w:cs="Times New Roman"/>
                <w:b/>
                <w:bCs/>
                <w:sz w:val="18"/>
                <w:szCs w:val="18"/>
              </w:rPr>
              <w:t>Industrial Engineer/</w:t>
            </w:r>
            <w:r w:rsidR="00D4772B" w:rsidRPr="000973F2">
              <w:rPr>
                <w:rFonts w:ascii="Times New Roman" w:eastAsia="Times New Roman" w:hAnsi="Times New Roman" w:cs="Times New Roman"/>
                <w:b/>
                <w:bCs/>
                <w:sz w:val="18"/>
                <w:szCs w:val="18"/>
              </w:rPr>
              <w:t xml:space="preserve"> </w:t>
            </w:r>
            <w:r w:rsidRPr="000973F2">
              <w:rPr>
                <w:rFonts w:ascii="Times New Roman" w:eastAsia="Times New Roman" w:hAnsi="Times New Roman" w:cs="Times New Roman"/>
                <w:b/>
                <w:bCs/>
                <w:sz w:val="18"/>
                <w:szCs w:val="18"/>
              </w:rPr>
              <w:t>Technician</w:t>
            </w:r>
          </w:p>
        </w:tc>
        <w:tc>
          <w:tcPr>
            <w:tcW w:w="1575" w:type="dxa"/>
            <w:gridSpan w:val="2"/>
            <w:hideMark/>
          </w:tcPr>
          <w:p w14:paraId="0D4FF881" w14:textId="77777777" w:rsidR="009A6027" w:rsidRPr="000973F2" w:rsidRDefault="009A6027" w:rsidP="003E0F61">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18"/>
                <w:szCs w:val="18"/>
              </w:rPr>
            </w:pPr>
            <w:r w:rsidRPr="000973F2">
              <w:rPr>
                <w:rFonts w:ascii="Times New Roman" w:eastAsia="Times New Roman" w:hAnsi="Times New Roman" w:cs="Times New Roman"/>
                <w:b/>
                <w:bCs/>
                <w:sz w:val="18"/>
                <w:szCs w:val="18"/>
              </w:rPr>
              <w:t>Administrative Support</w:t>
            </w:r>
          </w:p>
        </w:tc>
        <w:tc>
          <w:tcPr>
            <w:tcW w:w="1696" w:type="dxa"/>
            <w:gridSpan w:val="2"/>
            <w:vMerge/>
            <w:hideMark/>
          </w:tcPr>
          <w:p w14:paraId="4FFD17CC" w14:textId="77777777" w:rsidR="009A6027" w:rsidRPr="000973F2" w:rsidRDefault="009A6027" w:rsidP="003E0F61">
            <w:pPr>
              <w:spacing w:before="40" w:after="4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18"/>
                <w:szCs w:val="18"/>
              </w:rPr>
            </w:pPr>
          </w:p>
        </w:tc>
      </w:tr>
      <w:tr w:rsidR="009A6027" w:rsidRPr="000973F2" w14:paraId="40B27E77" w14:textId="77777777" w:rsidTr="00B6531F">
        <w:trPr>
          <w:cantSplit/>
        </w:trPr>
        <w:tc>
          <w:tcPr>
            <w:cnfStyle w:val="001000000000" w:firstRow="0" w:lastRow="0" w:firstColumn="1" w:lastColumn="0" w:oddVBand="0" w:evenVBand="0" w:oddHBand="0" w:evenHBand="0" w:firstRowFirstColumn="0" w:firstRowLastColumn="0" w:lastRowFirstColumn="0" w:lastRowLastColumn="0"/>
            <w:tcW w:w="1335" w:type="dxa"/>
            <w:vMerge/>
            <w:hideMark/>
          </w:tcPr>
          <w:p w14:paraId="3D0104A6" w14:textId="77777777" w:rsidR="009A6027" w:rsidRPr="000973F2" w:rsidRDefault="009A6027" w:rsidP="003E0F61">
            <w:pPr>
              <w:spacing w:before="40" w:after="40"/>
              <w:rPr>
                <w:rFonts w:ascii="Times New Roman" w:eastAsia="Times New Roman" w:hAnsi="Times New Roman" w:cs="Times New Roman"/>
                <w:b/>
                <w:bCs w:val="0"/>
                <w:sz w:val="18"/>
                <w:szCs w:val="18"/>
              </w:rPr>
            </w:pPr>
          </w:p>
        </w:tc>
        <w:tc>
          <w:tcPr>
            <w:tcW w:w="1574" w:type="dxa"/>
            <w:gridSpan w:val="2"/>
            <w:noWrap/>
            <w:hideMark/>
          </w:tcPr>
          <w:p w14:paraId="6B1C1E2F" w14:textId="77777777" w:rsidR="009A6027" w:rsidRPr="000973F2" w:rsidRDefault="009A6027" w:rsidP="003E0F61">
            <w:pPr>
              <w:spacing w:before="40" w:after="4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sz w:val="18"/>
                <w:szCs w:val="18"/>
              </w:rPr>
            </w:pPr>
            <w:r w:rsidRPr="000973F2">
              <w:rPr>
                <w:rFonts w:ascii="Times New Roman" w:eastAsia="Times New Roman" w:hAnsi="Times New Roman" w:cs="Times New Roman"/>
                <w:b/>
                <w:bCs/>
                <w:sz w:val="18"/>
                <w:szCs w:val="18"/>
              </w:rPr>
              <w:t xml:space="preserve">$112.23 </w:t>
            </w:r>
          </w:p>
        </w:tc>
        <w:tc>
          <w:tcPr>
            <w:tcW w:w="1575" w:type="dxa"/>
            <w:gridSpan w:val="2"/>
            <w:noWrap/>
            <w:hideMark/>
          </w:tcPr>
          <w:p w14:paraId="30BECEA9" w14:textId="77777777" w:rsidR="009A6027" w:rsidRPr="000973F2" w:rsidRDefault="009A6027" w:rsidP="003E0F61">
            <w:pPr>
              <w:spacing w:before="40" w:after="4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sz w:val="18"/>
                <w:szCs w:val="18"/>
              </w:rPr>
            </w:pPr>
            <w:r w:rsidRPr="000973F2">
              <w:rPr>
                <w:rFonts w:ascii="Times New Roman" w:eastAsia="Times New Roman" w:hAnsi="Times New Roman" w:cs="Times New Roman"/>
                <w:b/>
                <w:bCs/>
                <w:sz w:val="18"/>
                <w:szCs w:val="18"/>
              </w:rPr>
              <w:t xml:space="preserve">$87.45 </w:t>
            </w:r>
          </w:p>
        </w:tc>
        <w:tc>
          <w:tcPr>
            <w:tcW w:w="1575" w:type="dxa"/>
            <w:gridSpan w:val="2"/>
            <w:noWrap/>
            <w:hideMark/>
          </w:tcPr>
          <w:p w14:paraId="230AFE4A" w14:textId="77777777" w:rsidR="009A6027" w:rsidRPr="000973F2" w:rsidRDefault="009A6027" w:rsidP="003E0F61">
            <w:pPr>
              <w:spacing w:before="40" w:after="4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sz w:val="18"/>
                <w:szCs w:val="18"/>
              </w:rPr>
            </w:pPr>
            <w:r w:rsidRPr="000973F2">
              <w:rPr>
                <w:rFonts w:ascii="Times New Roman" w:eastAsia="Times New Roman" w:hAnsi="Times New Roman" w:cs="Times New Roman"/>
                <w:b/>
                <w:bCs/>
                <w:sz w:val="18"/>
                <w:szCs w:val="18"/>
              </w:rPr>
              <w:t xml:space="preserve">$71.45 </w:t>
            </w:r>
          </w:p>
        </w:tc>
        <w:tc>
          <w:tcPr>
            <w:tcW w:w="1575" w:type="dxa"/>
            <w:gridSpan w:val="2"/>
            <w:noWrap/>
            <w:hideMark/>
          </w:tcPr>
          <w:p w14:paraId="77CA2F00" w14:textId="77777777" w:rsidR="009A6027" w:rsidRPr="000973F2" w:rsidRDefault="009A6027" w:rsidP="003E0F61">
            <w:pPr>
              <w:spacing w:before="40" w:after="4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sz w:val="18"/>
                <w:szCs w:val="18"/>
              </w:rPr>
            </w:pPr>
            <w:r w:rsidRPr="000973F2">
              <w:rPr>
                <w:rFonts w:ascii="Times New Roman" w:eastAsia="Times New Roman" w:hAnsi="Times New Roman" w:cs="Times New Roman"/>
                <w:b/>
                <w:bCs/>
                <w:sz w:val="18"/>
                <w:szCs w:val="18"/>
              </w:rPr>
              <w:t xml:space="preserve">$36.28 </w:t>
            </w:r>
          </w:p>
        </w:tc>
        <w:tc>
          <w:tcPr>
            <w:tcW w:w="1696" w:type="dxa"/>
            <w:gridSpan w:val="2"/>
            <w:vMerge/>
            <w:hideMark/>
          </w:tcPr>
          <w:p w14:paraId="227A1634" w14:textId="77777777" w:rsidR="009A6027" w:rsidRPr="000973F2" w:rsidRDefault="009A6027" w:rsidP="003E0F61">
            <w:pPr>
              <w:spacing w:before="40" w:after="4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sz w:val="18"/>
                <w:szCs w:val="18"/>
              </w:rPr>
            </w:pPr>
          </w:p>
        </w:tc>
      </w:tr>
      <w:tr w:rsidR="009A6027" w:rsidRPr="000973F2" w14:paraId="4974F1C1" w14:textId="77777777" w:rsidTr="00B6531F">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1335" w:type="dxa"/>
            <w:vMerge/>
            <w:hideMark/>
          </w:tcPr>
          <w:p w14:paraId="1AAA7034" w14:textId="77777777" w:rsidR="009A6027" w:rsidRPr="000973F2" w:rsidRDefault="009A6027" w:rsidP="003E0F61">
            <w:pPr>
              <w:spacing w:before="40" w:after="40"/>
              <w:rPr>
                <w:rFonts w:ascii="Times New Roman" w:eastAsia="Times New Roman" w:hAnsi="Times New Roman" w:cs="Times New Roman"/>
                <w:b/>
                <w:bCs w:val="0"/>
                <w:sz w:val="18"/>
                <w:szCs w:val="18"/>
              </w:rPr>
            </w:pPr>
          </w:p>
        </w:tc>
        <w:tc>
          <w:tcPr>
            <w:tcW w:w="787" w:type="dxa"/>
            <w:tcMar>
              <w:left w:w="14" w:type="dxa"/>
              <w:right w:w="14" w:type="dxa"/>
            </w:tcMar>
            <w:hideMark/>
          </w:tcPr>
          <w:p w14:paraId="50A5DF1D" w14:textId="41E8636D" w:rsidR="009A6027" w:rsidRPr="000973F2" w:rsidRDefault="009A6027" w:rsidP="003E0F61">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18"/>
                <w:szCs w:val="18"/>
              </w:rPr>
            </w:pPr>
            <w:r w:rsidRPr="000973F2">
              <w:rPr>
                <w:rFonts w:ascii="Times New Roman" w:eastAsia="Times New Roman" w:hAnsi="Times New Roman" w:cs="Times New Roman"/>
                <w:b/>
                <w:bCs/>
                <w:sz w:val="18"/>
                <w:szCs w:val="18"/>
              </w:rPr>
              <w:t xml:space="preserve">Initial </w:t>
            </w:r>
            <w:r w:rsidR="00132320" w:rsidRPr="000973F2">
              <w:rPr>
                <w:rFonts w:ascii="Times New Roman" w:eastAsia="Times New Roman" w:hAnsi="Times New Roman" w:cs="Times New Roman"/>
                <w:b/>
                <w:bCs/>
                <w:sz w:val="18"/>
                <w:szCs w:val="18"/>
              </w:rPr>
              <w:t>Year Hours</w:t>
            </w:r>
          </w:p>
        </w:tc>
        <w:tc>
          <w:tcPr>
            <w:tcW w:w="787" w:type="dxa"/>
            <w:tcMar>
              <w:left w:w="14" w:type="dxa"/>
              <w:right w:w="14" w:type="dxa"/>
            </w:tcMar>
            <w:hideMark/>
          </w:tcPr>
          <w:p w14:paraId="066D37C7" w14:textId="77777777" w:rsidR="009A6027" w:rsidRPr="000973F2" w:rsidRDefault="009A6027" w:rsidP="003E0F61">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18"/>
                <w:szCs w:val="18"/>
              </w:rPr>
            </w:pPr>
            <w:r w:rsidRPr="000973F2">
              <w:rPr>
                <w:rFonts w:ascii="Times New Roman" w:eastAsia="Times New Roman" w:hAnsi="Times New Roman" w:cs="Times New Roman"/>
                <w:b/>
                <w:bCs/>
                <w:sz w:val="18"/>
                <w:szCs w:val="18"/>
              </w:rPr>
              <w:t>Subseq. Year Hours</w:t>
            </w:r>
          </w:p>
        </w:tc>
        <w:tc>
          <w:tcPr>
            <w:tcW w:w="788" w:type="dxa"/>
            <w:tcMar>
              <w:left w:w="14" w:type="dxa"/>
              <w:right w:w="14" w:type="dxa"/>
            </w:tcMar>
            <w:hideMark/>
          </w:tcPr>
          <w:p w14:paraId="7D6891BF" w14:textId="765592D5" w:rsidR="009A6027" w:rsidRPr="000973F2" w:rsidRDefault="009A6027" w:rsidP="003E0F61">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18"/>
                <w:szCs w:val="18"/>
              </w:rPr>
            </w:pPr>
            <w:r w:rsidRPr="000973F2">
              <w:rPr>
                <w:rFonts w:ascii="Times New Roman" w:eastAsia="Times New Roman" w:hAnsi="Times New Roman" w:cs="Times New Roman"/>
                <w:b/>
                <w:bCs/>
                <w:sz w:val="18"/>
                <w:szCs w:val="18"/>
              </w:rPr>
              <w:t xml:space="preserve">Initial </w:t>
            </w:r>
            <w:r w:rsidR="00132320" w:rsidRPr="000973F2">
              <w:rPr>
                <w:rFonts w:ascii="Times New Roman" w:eastAsia="Times New Roman" w:hAnsi="Times New Roman" w:cs="Times New Roman"/>
                <w:b/>
                <w:bCs/>
                <w:sz w:val="18"/>
                <w:szCs w:val="18"/>
              </w:rPr>
              <w:t>Year Hours</w:t>
            </w:r>
          </w:p>
        </w:tc>
        <w:tc>
          <w:tcPr>
            <w:tcW w:w="787" w:type="dxa"/>
            <w:tcMar>
              <w:left w:w="14" w:type="dxa"/>
              <w:right w:w="14" w:type="dxa"/>
            </w:tcMar>
            <w:hideMark/>
          </w:tcPr>
          <w:p w14:paraId="2FAC4CF7" w14:textId="77777777" w:rsidR="009A6027" w:rsidRPr="000973F2" w:rsidRDefault="009A6027" w:rsidP="003E0F61">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18"/>
                <w:szCs w:val="18"/>
              </w:rPr>
            </w:pPr>
            <w:r w:rsidRPr="000973F2">
              <w:rPr>
                <w:rFonts w:ascii="Times New Roman" w:eastAsia="Times New Roman" w:hAnsi="Times New Roman" w:cs="Times New Roman"/>
                <w:b/>
                <w:bCs/>
                <w:sz w:val="18"/>
                <w:szCs w:val="18"/>
              </w:rPr>
              <w:t>Subseq. Year Hours</w:t>
            </w:r>
          </w:p>
        </w:tc>
        <w:tc>
          <w:tcPr>
            <w:tcW w:w="787" w:type="dxa"/>
            <w:tcMar>
              <w:left w:w="14" w:type="dxa"/>
              <w:right w:w="14" w:type="dxa"/>
            </w:tcMar>
            <w:hideMark/>
          </w:tcPr>
          <w:p w14:paraId="37B13BE3" w14:textId="27871B5E" w:rsidR="009A6027" w:rsidRPr="000973F2" w:rsidRDefault="009A6027" w:rsidP="003E0F61">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18"/>
                <w:szCs w:val="18"/>
              </w:rPr>
            </w:pPr>
            <w:r w:rsidRPr="000973F2">
              <w:rPr>
                <w:rFonts w:ascii="Times New Roman" w:eastAsia="Times New Roman" w:hAnsi="Times New Roman" w:cs="Times New Roman"/>
                <w:b/>
                <w:bCs/>
                <w:sz w:val="18"/>
                <w:szCs w:val="18"/>
              </w:rPr>
              <w:t xml:space="preserve">Initial </w:t>
            </w:r>
            <w:r w:rsidR="00132320" w:rsidRPr="000973F2">
              <w:rPr>
                <w:rFonts w:ascii="Times New Roman" w:eastAsia="Times New Roman" w:hAnsi="Times New Roman" w:cs="Times New Roman"/>
                <w:b/>
                <w:bCs/>
                <w:sz w:val="18"/>
                <w:szCs w:val="18"/>
              </w:rPr>
              <w:t>Year Hours</w:t>
            </w:r>
          </w:p>
        </w:tc>
        <w:tc>
          <w:tcPr>
            <w:tcW w:w="788" w:type="dxa"/>
            <w:tcMar>
              <w:left w:w="14" w:type="dxa"/>
              <w:right w:w="14" w:type="dxa"/>
            </w:tcMar>
            <w:hideMark/>
          </w:tcPr>
          <w:p w14:paraId="25534391" w14:textId="77777777" w:rsidR="009A6027" w:rsidRPr="000973F2" w:rsidRDefault="009A6027" w:rsidP="003E0F61">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18"/>
                <w:szCs w:val="18"/>
              </w:rPr>
            </w:pPr>
            <w:r w:rsidRPr="000973F2">
              <w:rPr>
                <w:rFonts w:ascii="Times New Roman" w:eastAsia="Times New Roman" w:hAnsi="Times New Roman" w:cs="Times New Roman"/>
                <w:b/>
                <w:bCs/>
                <w:sz w:val="18"/>
                <w:szCs w:val="18"/>
              </w:rPr>
              <w:t>Subseq. Year Hours</w:t>
            </w:r>
          </w:p>
        </w:tc>
        <w:tc>
          <w:tcPr>
            <w:tcW w:w="787" w:type="dxa"/>
            <w:tcMar>
              <w:left w:w="14" w:type="dxa"/>
              <w:right w:w="14" w:type="dxa"/>
            </w:tcMar>
            <w:hideMark/>
          </w:tcPr>
          <w:p w14:paraId="59CA37CB" w14:textId="5B1D9F45" w:rsidR="009A6027" w:rsidRPr="000973F2" w:rsidRDefault="009A6027" w:rsidP="003E0F61">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18"/>
                <w:szCs w:val="18"/>
              </w:rPr>
            </w:pPr>
            <w:r w:rsidRPr="000973F2">
              <w:rPr>
                <w:rFonts w:ascii="Times New Roman" w:eastAsia="Times New Roman" w:hAnsi="Times New Roman" w:cs="Times New Roman"/>
                <w:b/>
                <w:bCs/>
                <w:sz w:val="18"/>
                <w:szCs w:val="18"/>
              </w:rPr>
              <w:t xml:space="preserve">Initial </w:t>
            </w:r>
            <w:r w:rsidR="00132320" w:rsidRPr="000973F2">
              <w:rPr>
                <w:rFonts w:ascii="Times New Roman" w:eastAsia="Times New Roman" w:hAnsi="Times New Roman" w:cs="Times New Roman"/>
                <w:b/>
                <w:bCs/>
                <w:sz w:val="18"/>
                <w:szCs w:val="18"/>
              </w:rPr>
              <w:t>Year Hours</w:t>
            </w:r>
          </w:p>
        </w:tc>
        <w:tc>
          <w:tcPr>
            <w:tcW w:w="788" w:type="dxa"/>
            <w:tcMar>
              <w:left w:w="14" w:type="dxa"/>
              <w:right w:w="14" w:type="dxa"/>
            </w:tcMar>
            <w:hideMark/>
          </w:tcPr>
          <w:p w14:paraId="3DCB3BDD" w14:textId="77777777" w:rsidR="009A6027" w:rsidRPr="000973F2" w:rsidRDefault="009A6027" w:rsidP="003E0F61">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18"/>
                <w:szCs w:val="18"/>
              </w:rPr>
            </w:pPr>
            <w:r w:rsidRPr="000973F2">
              <w:rPr>
                <w:rFonts w:ascii="Times New Roman" w:eastAsia="Times New Roman" w:hAnsi="Times New Roman" w:cs="Times New Roman"/>
                <w:b/>
                <w:bCs/>
                <w:sz w:val="18"/>
                <w:szCs w:val="18"/>
              </w:rPr>
              <w:t>Subseq. Year Hours</w:t>
            </w:r>
          </w:p>
        </w:tc>
        <w:tc>
          <w:tcPr>
            <w:tcW w:w="848" w:type="dxa"/>
            <w:tcMar>
              <w:left w:w="14" w:type="dxa"/>
              <w:right w:w="14" w:type="dxa"/>
            </w:tcMar>
            <w:hideMark/>
          </w:tcPr>
          <w:p w14:paraId="38C47450" w14:textId="77777777" w:rsidR="009A6027" w:rsidRPr="000973F2" w:rsidRDefault="009A6027" w:rsidP="003E0F61">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18"/>
                <w:szCs w:val="18"/>
              </w:rPr>
            </w:pPr>
            <w:r w:rsidRPr="000973F2">
              <w:rPr>
                <w:rFonts w:ascii="Times New Roman" w:eastAsia="Times New Roman" w:hAnsi="Times New Roman" w:cs="Times New Roman"/>
                <w:b/>
                <w:bCs/>
                <w:sz w:val="18"/>
                <w:szCs w:val="18"/>
              </w:rPr>
              <w:t>Initial Year</w:t>
            </w:r>
          </w:p>
        </w:tc>
        <w:tc>
          <w:tcPr>
            <w:tcW w:w="848" w:type="dxa"/>
            <w:tcMar>
              <w:left w:w="14" w:type="dxa"/>
              <w:right w:w="14" w:type="dxa"/>
            </w:tcMar>
            <w:hideMark/>
          </w:tcPr>
          <w:p w14:paraId="63AEF189" w14:textId="77777777" w:rsidR="009A6027" w:rsidRPr="000973F2" w:rsidRDefault="009A6027" w:rsidP="003E0F61">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18"/>
                <w:szCs w:val="18"/>
              </w:rPr>
            </w:pPr>
            <w:r w:rsidRPr="000973F2">
              <w:rPr>
                <w:rFonts w:ascii="Times New Roman" w:eastAsia="Times New Roman" w:hAnsi="Times New Roman" w:cs="Times New Roman"/>
                <w:b/>
                <w:bCs/>
                <w:sz w:val="18"/>
                <w:szCs w:val="18"/>
              </w:rPr>
              <w:t>Subseq. Year</w:t>
            </w:r>
          </w:p>
        </w:tc>
      </w:tr>
      <w:tr w:rsidR="009A6027" w:rsidRPr="000973F2" w14:paraId="786924F7" w14:textId="77777777" w:rsidTr="00B6531F">
        <w:trPr>
          <w:cantSplit/>
        </w:trPr>
        <w:tc>
          <w:tcPr>
            <w:cnfStyle w:val="001000000000" w:firstRow="0" w:lastRow="0" w:firstColumn="1" w:lastColumn="0" w:oddVBand="0" w:evenVBand="0" w:oddHBand="0" w:evenHBand="0" w:firstRowFirstColumn="0" w:firstRowLastColumn="0" w:lastRowFirstColumn="0" w:lastRowLastColumn="0"/>
            <w:tcW w:w="1335" w:type="dxa"/>
            <w:tcMar>
              <w:right w:w="14" w:type="dxa"/>
            </w:tcMar>
            <w:hideMark/>
          </w:tcPr>
          <w:p w14:paraId="266B62EA" w14:textId="77777777" w:rsidR="009A6027" w:rsidRPr="000973F2" w:rsidRDefault="009A6027" w:rsidP="003E0F61">
            <w:pPr>
              <w:spacing w:before="40" w:after="4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Planning</w:t>
            </w:r>
          </w:p>
        </w:tc>
        <w:tc>
          <w:tcPr>
            <w:tcW w:w="787" w:type="dxa"/>
            <w:noWrap/>
            <w:hideMark/>
          </w:tcPr>
          <w:p w14:paraId="00BE70C5" w14:textId="77777777" w:rsidR="009A6027" w:rsidRPr="000973F2" w:rsidRDefault="009A6027" w:rsidP="003E0F61">
            <w:pPr>
              <w:spacing w:before="40" w:after="4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hAnsi="Times New Roman" w:cs="Times New Roman"/>
                <w:sz w:val="18"/>
                <w:szCs w:val="18"/>
              </w:rPr>
              <w:t>0.0</w:t>
            </w:r>
          </w:p>
        </w:tc>
        <w:tc>
          <w:tcPr>
            <w:tcW w:w="787" w:type="dxa"/>
            <w:noWrap/>
            <w:hideMark/>
          </w:tcPr>
          <w:p w14:paraId="24F8ED2A" w14:textId="77777777" w:rsidR="009A6027" w:rsidRPr="000973F2" w:rsidRDefault="009A6027" w:rsidP="003E0F61">
            <w:pPr>
              <w:spacing w:before="40" w:after="4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hAnsi="Times New Roman" w:cs="Times New Roman"/>
                <w:sz w:val="18"/>
                <w:szCs w:val="18"/>
              </w:rPr>
              <w:t>1.0</w:t>
            </w:r>
          </w:p>
        </w:tc>
        <w:tc>
          <w:tcPr>
            <w:tcW w:w="788" w:type="dxa"/>
            <w:noWrap/>
            <w:hideMark/>
          </w:tcPr>
          <w:p w14:paraId="7CAF358E" w14:textId="77777777" w:rsidR="009A6027" w:rsidRPr="000973F2" w:rsidRDefault="009A6027" w:rsidP="003E0F61">
            <w:pPr>
              <w:spacing w:before="40" w:after="4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hAnsi="Times New Roman" w:cs="Times New Roman"/>
                <w:sz w:val="18"/>
                <w:szCs w:val="18"/>
              </w:rPr>
              <w:t>0.0</w:t>
            </w:r>
          </w:p>
        </w:tc>
        <w:tc>
          <w:tcPr>
            <w:tcW w:w="787" w:type="dxa"/>
            <w:noWrap/>
            <w:hideMark/>
          </w:tcPr>
          <w:p w14:paraId="68A670FF" w14:textId="77777777" w:rsidR="009A6027" w:rsidRPr="000973F2" w:rsidRDefault="009A6027" w:rsidP="003E0F61">
            <w:pPr>
              <w:spacing w:before="40" w:after="4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hAnsi="Times New Roman" w:cs="Times New Roman"/>
                <w:sz w:val="18"/>
                <w:szCs w:val="18"/>
              </w:rPr>
              <w:t>0.3</w:t>
            </w:r>
          </w:p>
        </w:tc>
        <w:tc>
          <w:tcPr>
            <w:tcW w:w="787" w:type="dxa"/>
            <w:noWrap/>
            <w:hideMark/>
          </w:tcPr>
          <w:p w14:paraId="5449D827" w14:textId="77777777" w:rsidR="009A6027" w:rsidRPr="000973F2" w:rsidRDefault="009A6027" w:rsidP="003E0F61">
            <w:pPr>
              <w:spacing w:before="40" w:after="4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hAnsi="Times New Roman" w:cs="Times New Roman"/>
                <w:sz w:val="18"/>
                <w:szCs w:val="18"/>
              </w:rPr>
              <w:t>0.0</w:t>
            </w:r>
          </w:p>
        </w:tc>
        <w:tc>
          <w:tcPr>
            <w:tcW w:w="788" w:type="dxa"/>
            <w:noWrap/>
            <w:hideMark/>
          </w:tcPr>
          <w:p w14:paraId="2FF63120" w14:textId="77777777" w:rsidR="009A6027" w:rsidRPr="000973F2" w:rsidRDefault="009A6027" w:rsidP="003E0F61">
            <w:pPr>
              <w:tabs>
                <w:tab w:val="decimal" w:pos="211"/>
              </w:tabs>
              <w:spacing w:before="40" w:after="4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hAnsi="Times New Roman" w:cs="Times New Roman"/>
                <w:sz w:val="18"/>
                <w:szCs w:val="18"/>
              </w:rPr>
              <w:t>3.3</w:t>
            </w:r>
          </w:p>
        </w:tc>
        <w:tc>
          <w:tcPr>
            <w:tcW w:w="787" w:type="dxa"/>
            <w:noWrap/>
            <w:hideMark/>
          </w:tcPr>
          <w:p w14:paraId="12C7741E" w14:textId="77777777" w:rsidR="009A6027" w:rsidRPr="000973F2" w:rsidRDefault="009A6027" w:rsidP="003E0F61">
            <w:pPr>
              <w:spacing w:before="40" w:after="4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hAnsi="Times New Roman" w:cs="Times New Roman"/>
                <w:sz w:val="18"/>
                <w:szCs w:val="18"/>
              </w:rPr>
              <w:t>0.0</w:t>
            </w:r>
          </w:p>
        </w:tc>
        <w:tc>
          <w:tcPr>
            <w:tcW w:w="788" w:type="dxa"/>
            <w:noWrap/>
            <w:hideMark/>
          </w:tcPr>
          <w:p w14:paraId="08BE4E10" w14:textId="77777777" w:rsidR="009A6027" w:rsidRPr="000973F2" w:rsidRDefault="009A6027" w:rsidP="003E0F61">
            <w:pPr>
              <w:spacing w:before="40" w:after="4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hAnsi="Times New Roman" w:cs="Times New Roman"/>
                <w:sz w:val="18"/>
                <w:szCs w:val="18"/>
              </w:rPr>
              <w:t>0.2</w:t>
            </w:r>
          </w:p>
        </w:tc>
        <w:tc>
          <w:tcPr>
            <w:tcW w:w="848" w:type="dxa"/>
            <w:noWrap/>
            <w:hideMark/>
          </w:tcPr>
          <w:p w14:paraId="07C560E8" w14:textId="2765EB89" w:rsidR="009A6027" w:rsidRPr="000973F2" w:rsidRDefault="009A6027" w:rsidP="003E0F61">
            <w:pPr>
              <w:spacing w:before="40" w:after="4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hAnsi="Times New Roman" w:cs="Times New Roman"/>
                <w:sz w:val="18"/>
                <w:szCs w:val="18"/>
              </w:rPr>
              <w:t>$0</w:t>
            </w:r>
          </w:p>
        </w:tc>
        <w:tc>
          <w:tcPr>
            <w:tcW w:w="848" w:type="dxa"/>
            <w:noWrap/>
            <w:hideMark/>
          </w:tcPr>
          <w:p w14:paraId="3A235463" w14:textId="0C09BF0A" w:rsidR="009A6027" w:rsidRPr="000973F2" w:rsidRDefault="009A6027" w:rsidP="003E0F61">
            <w:pPr>
              <w:tabs>
                <w:tab w:val="decimal" w:pos="496"/>
              </w:tabs>
              <w:spacing w:before="40" w:after="4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hAnsi="Times New Roman" w:cs="Times New Roman"/>
                <w:sz w:val="18"/>
                <w:szCs w:val="18"/>
              </w:rPr>
              <w:t>$379</w:t>
            </w:r>
          </w:p>
        </w:tc>
      </w:tr>
      <w:tr w:rsidR="009A6027" w:rsidRPr="000973F2" w14:paraId="2A96204C" w14:textId="77777777" w:rsidTr="00B6531F">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1335" w:type="dxa"/>
            <w:tcMar>
              <w:right w:w="14" w:type="dxa"/>
            </w:tcMar>
            <w:hideMark/>
          </w:tcPr>
          <w:p w14:paraId="74BC111D" w14:textId="77777777" w:rsidR="009A6027" w:rsidRPr="000973F2" w:rsidRDefault="009A6027" w:rsidP="003E0F61">
            <w:pPr>
              <w:spacing w:before="40" w:after="4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QA/QC</w:t>
            </w:r>
          </w:p>
        </w:tc>
        <w:tc>
          <w:tcPr>
            <w:tcW w:w="787" w:type="dxa"/>
            <w:noWrap/>
            <w:hideMark/>
          </w:tcPr>
          <w:p w14:paraId="6DE96943" w14:textId="77777777" w:rsidR="009A6027" w:rsidRPr="000973F2" w:rsidRDefault="009A6027" w:rsidP="003E0F61">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hAnsi="Times New Roman" w:cs="Times New Roman"/>
                <w:sz w:val="18"/>
                <w:szCs w:val="18"/>
              </w:rPr>
              <w:t>0.0</w:t>
            </w:r>
          </w:p>
        </w:tc>
        <w:tc>
          <w:tcPr>
            <w:tcW w:w="787" w:type="dxa"/>
            <w:noWrap/>
            <w:hideMark/>
          </w:tcPr>
          <w:p w14:paraId="2E78268D" w14:textId="77777777" w:rsidR="009A6027" w:rsidRPr="000973F2" w:rsidRDefault="009A6027" w:rsidP="003E0F61">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hAnsi="Times New Roman" w:cs="Times New Roman"/>
                <w:sz w:val="18"/>
                <w:szCs w:val="18"/>
              </w:rPr>
              <w:t>0.0</w:t>
            </w:r>
          </w:p>
        </w:tc>
        <w:tc>
          <w:tcPr>
            <w:tcW w:w="788" w:type="dxa"/>
            <w:noWrap/>
            <w:hideMark/>
          </w:tcPr>
          <w:p w14:paraId="526BC8C3" w14:textId="77777777" w:rsidR="009A6027" w:rsidRPr="000973F2" w:rsidRDefault="009A6027" w:rsidP="003E0F61">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hAnsi="Times New Roman" w:cs="Times New Roman"/>
                <w:sz w:val="18"/>
                <w:szCs w:val="18"/>
              </w:rPr>
              <w:t>0.0</w:t>
            </w:r>
          </w:p>
        </w:tc>
        <w:tc>
          <w:tcPr>
            <w:tcW w:w="787" w:type="dxa"/>
            <w:noWrap/>
            <w:hideMark/>
          </w:tcPr>
          <w:p w14:paraId="0C01BD01" w14:textId="77777777" w:rsidR="009A6027" w:rsidRPr="000973F2" w:rsidRDefault="009A6027" w:rsidP="003E0F61">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hAnsi="Times New Roman" w:cs="Times New Roman"/>
                <w:sz w:val="18"/>
                <w:szCs w:val="18"/>
              </w:rPr>
              <w:t>0.8</w:t>
            </w:r>
          </w:p>
        </w:tc>
        <w:tc>
          <w:tcPr>
            <w:tcW w:w="787" w:type="dxa"/>
            <w:noWrap/>
            <w:hideMark/>
          </w:tcPr>
          <w:p w14:paraId="39BC92E0" w14:textId="77777777" w:rsidR="009A6027" w:rsidRPr="000973F2" w:rsidRDefault="009A6027" w:rsidP="003E0F61">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hAnsi="Times New Roman" w:cs="Times New Roman"/>
                <w:sz w:val="18"/>
                <w:szCs w:val="18"/>
              </w:rPr>
              <w:t>0.0</w:t>
            </w:r>
          </w:p>
        </w:tc>
        <w:tc>
          <w:tcPr>
            <w:tcW w:w="788" w:type="dxa"/>
            <w:noWrap/>
            <w:hideMark/>
          </w:tcPr>
          <w:p w14:paraId="125B681B" w14:textId="77777777" w:rsidR="009A6027" w:rsidRPr="000973F2" w:rsidRDefault="009A6027" w:rsidP="003E0F61">
            <w:pPr>
              <w:tabs>
                <w:tab w:val="decimal" w:pos="211"/>
              </w:tabs>
              <w:spacing w:before="40" w:after="4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hAnsi="Times New Roman" w:cs="Times New Roman"/>
                <w:sz w:val="18"/>
                <w:szCs w:val="18"/>
              </w:rPr>
              <w:t>8.1</w:t>
            </w:r>
          </w:p>
        </w:tc>
        <w:tc>
          <w:tcPr>
            <w:tcW w:w="787" w:type="dxa"/>
            <w:noWrap/>
            <w:hideMark/>
          </w:tcPr>
          <w:p w14:paraId="57B58749" w14:textId="77777777" w:rsidR="009A6027" w:rsidRPr="000973F2" w:rsidRDefault="009A6027" w:rsidP="003E0F61">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hAnsi="Times New Roman" w:cs="Times New Roman"/>
                <w:sz w:val="18"/>
                <w:szCs w:val="18"/>
              </w:rPr>
              <w:t>0.0</w:t>
            </w:r>
          </w:p>
        </w:tc>
        <w:tc>
          <w:tcPr>
            <w:tcW w:w="788" w:type="dxa"/>
            <w:noWrap/>
            <w:hideMark/>
          </w:tcPr>
          <w:p w14:paraId="6A13CD30" w14:textId="77777777" w:rsidR="009A6027" w:rsidRPr="000973F2" w:rsidRDefault="009A6027" w:rsidP="003E0F61">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hAnsi="Times New Roman" w:cs="Times New Roman"/>
                <w:sz w:val="18"/>
                <w:szCs w:val="18"/>
              </w:rPr>
              <w:t>0.4</w:t>
            </w:r>
          </w:p>
        </w:tc>
        <w:tc>
          <w:tcPr>
            <w:tcW w:w="848" w:type="dxa"/>
            <w:noWrap/>
            <w:hideMark/>
          </w:tcPr>
          <w:p w14:paraId="14B3AA31" w14:textId="6CF2950F" w:rsidR="009A6027" w:rsidRPr="000973F2" w:rsidRDefault="009A6027" w:rsidP="003E0F61">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hAnsi="Times New Roman" w:cs="Times New Roman"/>
                <w:sz w:val="18"/>
                <w:szCs w:val="18"/>
              </w:rPr>
              <w:t>$0</w:t>
            </w:r>
          </w:p>
        </w:tc>
        <w:tc>
          <w:tcPr>
            <w:tcW w:w="848" w:type="dxa"/>
            <w:noWrap/>
            <w:hideMark/>
          </w:tcPr>
          <w:p w14:paraId="4B94E807" w14:textId="314D43A8" w:rsidR="009A6027" w:rsidRPr="000973F2" w:rsidRDefault="009A6027" w:rsidP="003E0F61">
            <w:pPr>
              <w:tabs>
                <w:tab w:val="decimal" w:pos="496"/>
              </w:tabs>
              <w:spacing w:before="40" w:after="4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hAnsi="Times New Roman" w:cs="Times New Roman"/>
                <w:sz w:val="18"/>
                <w:szCs w:val="18"/>
              </w:rPr>
              <w:t>$666</w:t>
            </w:r>
          </w:p>
        </w:tc>
      </w:tr>
      <w:tr w:rsidR="009A6027" w:rsidRPr="000973F2" w14:paraId="325C7A7B" w14:textId="77777777" w:rsidTr="00B6531F">
        <w:trPr>
          <w:cantSplit/>
        </w:trPr>
        <w:tc>
          <w:tcPr>
            <w:cnfStyle w:val="001000000000" w:firstRow="0" w:lastRow="0" w:firstColumn="1" w:lastColumn="0" w:oddVBand="0" w:evenVBand="0" w:oddHBand="0" w:evenHBand="0" w:firstRowFirstColumn="0" w:firstRowLastColumn="0" w:lastRowFirstColumn="0" w:lastRowLastColumn="0"/>
            <w:tcW w:w="1335" w:type="dxa"/>
            <w:tcMar>
              <w:right w:w="14" w:type="dxa"/>
            </w:tcMar>
            <w:hideMark/>
          </w:tcPr>
          <w:p w14:paraId="5C61CF96" w14:textId="77777777" w:rsidR="009A6027" w:rsidRPr="000973F2" w:rsidRDefault="009A6027" w:rsidP="003E0F61">
            <w:pPr>
              <w:spacing w:before="40" w:after="4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Recordkeeping</w:t>
            </w:r>
          </w:p>
        </w:tc>
        <w:tc>
          <w:tcPr>
            <w:tcW w:w="787" w:type="dxa"/>
            <w:noWrap/>
            <w:hideMark/>
          </w:tcPr>
          <w:p w14:paraId="2F658E60" w14:textId="77777777" w:rsidR="009A6027" w:rsidRPr="000973F2" w:rsidRDefault="009A6027" w:rsidP="003E0F61">
            <w:pPr>
              <w:spacing w:before="40" w:after="4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hAnsi="Times New Roman" w:cs="Times New Roman"/>
                <w:sz w:val="18"/>
                <w:szCs w:val="18"/>
              </w:rPr>
              <w:t>0.0</w:t>
            </w:r>
          </w:p>
        </w:tc>
        <w:tc>
          <w:tcPr>
            <w:tcW w:w="787" w:type="dxa"/>
            <w:noWrap/>
            <w:hideMark/>
          </w:tcPr>
          <w:p w14:paraId="6613CD64" w14:textId="77777777" w:rsidR="009A6027" w:rsidRPr="000973F2" w:rsidRDefault="009A6027" w:rsidP="003E0F61">
            <w:pPr>
              <w:spacing w:before="40" w:after="4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hAnsi="Times New Roman" w:cs="Times New Roman"/>
                <w:sz w:val="18"/>
                <w:szCs w:val="18"/>
              </w:rPr>
              <w:t>0.0</w:t>
            </w:r>
          </w:p>
        </w:tc>
        <w:tc>
          <w:tcPr>
            <w:tcW w:w="788" w:type="dxa"/>
            <w:noWrap/>
            <w:hideMark/>
          </w:tcPr>
          <w:p w14:paraId="20BB7156" w14:textId="77777777" w:rsidR="009A6027" w:rsidRPr="000973F2" w:rsidRDefault="009A6027" w:rsidP="003E0F61">
            <w:pPr>
              <w:spacing w:before="40" w:after="4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hAnsi="Times New Roman" w:cs="Times New Roman"/>
                <w:sz w:val="18"/>
                <w:szCs w:val="18"/>
              </w:rPr>
              <w:t>0.0</w:t>
            </w:r>
          </w:p>
        </w:tc>
        <w:tc>
          <w:tcPr>
            <w:tcW w:w="787" w:type="dxa"/>
            <w:noWrap/>
            <w:hideMark/>
          </w:tcPr>
          <w:p w14:paraId="51F7BB52" w14:textId="77777777" w:rsidR="009A6027" w:rsidRPr="000973F2" w:rsidRDefault="009A6027" w:rsidP="003E0F61">
            <w:pPr>
              <w:spacing w:before="40" w:after="4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hAnsi="Times New Roman" w:cs="Times New Roman"/>
                <w:sz w:val="18"/>
                <w:szCs w:val="18"/>
              </w:rPr>
              <w:t>0.5</w:t>
            </w:r>
          </w:p>
        </w:tc>
        <w:tc>
          <w:tcPr>
            <w:tcW w:w="787" w:type="dxa"/>
            <w:noWrap/>
            <w:hideMark/>
          </w:tcPr>
          <w:p w14:paraId="27DA12C8" w14:textId="77777777" w:rsidR="009A6027" w:rsidRPr="000973F2" w:rsidRDefault="009A6027" w:rsidP="003E0F61">
            <w:pPr>
              <w:spacing w:before="40" w:after="4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hAnsi="Times New Roman" w:cs="Times New Roman"/>
                <w:sz w:val="18"/>
                <w:szCs w:val="18"/>
              </w:rPr>
              <w:t>0.0</w:t>
            </w:r>
          </w:p>
        </w:tc>
        <w:tc>
          <w:tcPr>
            <w:tcW w:w="788" w:type="dxa"/>
            <w:noWrap/>
            <w:hideMark/>
          </w:tcPr>
          <w:p w14:paraId="740F3BE6" w14:textId="77777777" w:rsidR="009A6027" w:rsidRPr="000973F2" w:rsidRDefault="009A6027" w:rsidP="003E0F61">
            <w:pPr>
              <w:tabs>
                <w:tab w:val="decimal" w:pos="211"/>
              </w:tabs>
              <w:spacing w:before="40" w:after="4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hAnsi="Times New Roman" w:cs="Times New Roman"/>
                <w:sz w:val="18"/>
                <w:szCs w:val="18"/>
              </w:rPr>
              <w:t>2.0</w:t>
            </w:r>
          </w:p>
        </w:tc>
        <w:tc>
          <w:tcPr>
            <w:tcW w:w="787" w:type="dxa"/>
            <w:noWrap/>
            <w:hideMark/>
          </w:tcPr>
          <w:p w14:paraId="0779DE12" w14:textId="77777777" w:rsidR="009A6027" w:rsidRPr="000973F2" w:rsidRDefault="009A6027" w:rsidP="003E0F61">
            <w:pPr>
              <w:spacing w:before="40" w:after="4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hAnsi="Times New Roman" w:cs="Times New Roman"/>
                <w:sz w:val="18"/>
                <w:szCs w:val="18"/>
              </w:rPr>
              <w:t>0.0</w:t>
            </w:r>
          </w:p>
        </w:tc>
        <w:tc>
          <w:tcPr>
            <w:tcW w:w="788" w:type="dxa"/>
            <w:noWrap/>
            <w:hideMark/>
          </w:tcPr>
          <w:p w14:paraId="69490139" w14:textId="77777777" w:rsidR="009A6027" w:rsidRPr="000973F2" w:rsidRDefault="009A6027" w:rsidP="003E0F61">
            <w:pPr>
              <w:spacing w:before="40" w:after="4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hAnsi="Times New Roman" w:cs="Times New Roman"/>
                <w:sz w:val="18"/>
                <w:szCs w:val="18"/>
              </w:rPr>
              <w:t>0.5</w:t>
            </w:r>
          </w:p>
        </w:tc>
        <w:tc>
          <w:tcPr>
            <w:tcW w:w="848" w:type="dxa"/>
            <w:noWrap/>
            <w:hideMark/>
          </w:tcPr>
          <w:p w14:paraId="30C0D9C0" w14:textId="7C294A63" w:rsidR="009A6027" w:rsidRPr="000973F2" w:rsidRDefault="009A6027" w:rsidP="003E0F61">
            <w:pPr>
              <w:spacing w:before="40" w:after="4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hAnsi="Times New Roman" w:cs="Times New Roman"/>
                <w:sz w:val="18"/>
                <w:szCs w:val="18"/>
              </w:rPr>
              <w:t>$0</w:t>
            </w:r>
          </w:p>
        </w:tc>
        <w:tc>
          <w:tcPr>
            <w:tcW w:w="848" w:type="dxa"/>
            <w:noWrap/>
            <w:hideMark/>
          </w:tcPr>
          <w:p w14:paraId="716E5FC2" w14:textId="5717A74F" w:rsidR="009A6027" w:rsidRPr="000973F2" w:rsidRDefault="009A6027" w:rsidP="003E0F61">
            <w:pPr>
              <w:tabs>
                <w:tab w:val="decimal" w:pos="496"/>
              </w:tabs>
              <w:spacing w:before="40" w:after="4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hAnsi="Times New Roman" w:cs="Times New Roman"/>
                <w:sz w:val="18"/>
                <w:szCs w:val="18"/>
              </w:rPr>
              <w:t>$205</w:t>
            </w:r>
          </w:p>
        </w:tc>
      </w:tr>
      <w:tr w:rsidR="009A6027" w:rsidRPr="000973F2" w14:paraId="64319A0F" w14:textId="77777777" w:rsidTr="00B6531F">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1335" w:type="dxa"/>
            <w:tcMar>
              <w:right w:w="14" w:type="dxa"/>
            </w:tcMar>
            <w:hideMark/>
          </w:tcPr>
          <w:p w14:paraId="20D394D5" w14:textId="77777777" w:rsidR="009A6027" w:rsidRPr="000973F2" w:rsidRDefault="009A6027" w:rsidP="003E0F61">
            <w:pPr>
              <w:spacing w:before="40" w:after="4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Sampling and Analysis (Calculations)</w:t>
            </w:r>
          </w:p>
        </w:tc>
        <w:tc>
          <w:tcPr>
            <w:tcW w:w="787" w:type="dxa"/>
            <w:noWrap/>
            <w:hideMark/>
          </w:tcPr>
          <w:p w14:paraId="7001622D" w14:textId="77777777" w:rsidR="009A6027" w:rsidRPr="000973F2" w:rsidRDefault="009A6027" w:rsidP="003E0F61">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hAnsi="Times New Roman" w:cs="Times New Roman"/>
                <w:sz w:val="18"/>
                <w:szCs w:val="18"/>
              </w:rPr>
              <w:t>0.0</w:t>
            </w:r>
          </w:p>
        </w:tc>
        <w:tc>
          <w:tcPr>
            <w:tcW w:w="787" w:type="dxa"/>
            <w:noWrap/>
            <w:hideMark/>
          </w:tcPr>
          <w:p w14:paraId="00205E66" w14:textId="77777777" w:rsidR="009A6027" w:rsidRPr="000973F2" w:rsidRDefault="009A6027" w:rsidP="003E0F61">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hAnsi="Times New Roman" w:cs="Times New Roman"/>
                <w:sz w:val="18"/>
                <w:szCs w:val="18"/>
              </w:rPr>
              <w:t>0.0</w:t>
            </w:r>
          </w:p>
        </w:tc>
        <w:tc>
          <w:tcPr>
            <w:tcW w:w="788" w:type="dxa"/>
            <w:noWrap/>
            <w:hideMark/>
          </w:tcPr>
          <w:p w14:paraId="74D220E1" w14:textId="77777777" w:rsidR="009A6027" w:rsidRPr="000973F2" w:rsidRDefault="009A6027" w:rsidP="003E0F61">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hAnsi="Times New Roman" w:cs="Times New Roman"/>
                <w:sz w:val="18"/>
                <w:szCs w:val="18"/>
              </w:rPr>
              <w:t>0.0</w:t>
            </w:r>
          </w:p>
        </w:tc>
        <w:tc>
          <w:tcPr>
            <w:tcW w:w="787" w:type="dxa"/>
            <w:noWrap/>
            <w:hideMark/>
          </w:tcPr>
          <w:p w14:paraId="3C444FED" w14:textId="77777777" w:rsidR="009A6027" w:rsidRPr="000973F2" w:rsidRDefault="009A6027" w:rsidP="003E0F61">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hAnsi="Times New Roman" w:cs="Times New Roman"/>
                <w:sz w:val="18"/>
                <w:szCs w:val="18"/>
              </w:rPr>
              <w:t>0.2</w:t>
            </w:r>
          </w:p>
        </w:tc>
        <w:tc>
          <w:tcPr>
            <w:tcW w:w="787" w:type="dxa"/>
            <w:noWrap/>
            <w:hideMark/>
          </w:tcPr>
          <w:p w14:paraId="23BB0673" w14:textId="77777777" w:rsidR="009A6027" w:rsidRPr="000973F2" w:rsidRDefault="009A6027" w:rsidP="003E0F61">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hAnsi="Times New Roman" w:cs="Times New Roman"/>
                <w:sz w:val="18"/>
                <w:szCs w:val="18"/>
              </w:rPr>
              <w:t>0.0</w:t>
            </w:r>
          </w:p>
        </w:tc>
        <w:tc>
          <w:tcPr>
            <w:tcW w:w="788" w:type="dxa"/>
            <w:noWrap/>
            <w:hideMark/>
          </w:tcPr>
          <w:p w14:paraId="58F32AF7" w14:textId="77777777" w:rsidR="009A6027" w:rsidRPr="000973F2" w:rsidRDefault="009A6027" w:rsidP="003E0F61">
            <w:pPr>
              <w:tabs>
                <w:tab w:val="decimal" w:pos="211"/>
              </w:tabs>
              <w:spacing w:before="40" w:after="4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hAnsi="Times New Roman" w:cs="Times New Roman"/>
                <w:sz w:val="18"/>
                <w:szCs w:val="18"/>
              </w:rPr>
              <w:t>1.6</w:t>
            </w:r>
          </w:p>
        </w:tc>
        <w:tc>
          <w:tcPr>
            <w:tcW w:w="787" w:type="dxa"/>
            <w:noWrap/>
            <w:hideMark/>
          </w:tcPr>
          <w:p w14:paraId="03C4209F" w14:textId="77777777" w:rsidR="009A6027" w:rsidRPr="000973F2" w:rsidRDefault="009A6027" w:rsidP="003E0F61">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hAnsi="Times New Roman" w:cs="Times New Roman"/>
                <w:sz w:val="18"/>
                <w:szCs w:val="18"/>
              </w:rPr>
              <w:t>0.0</w:t>
            </w:r>
          </w:p>
        </w:tc>
        <w:tc>
          <w:tcPr>
            <w:tcW w:w="788" w:type="dxa"/>
            <w:noWrap/>
            <w:hideMark/>
          </w:tcPr>
          <w:p w14:paraId="162433E7" w14:textId="77777777" w:rsidR="009A6027" w:rsidRPr="000973F2" w:rsidRDefault="009A6027" w:rsidP="003E0F61">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hAnsi="Times New Roman" w:cs="Times New Roman"/>
                <w:sz w:val="18"/>
                <w:szCs w:val="18"/>
              </w:rPr>
              <w:t>0.1</w:t>
            </w:r>
          </w:p>
        </w:tc>
        <w:tc>
          <w:tcPr>
            <w:tcW w:w="848" w:type="dxa"/>
            <w:noWrap/>
            <w:hideMark/>
          </w:tcPr>
          <w:p w14:paraId="05E7EAFB" w14:textId="417A588B" w:rsidR="009A6027" w:rsidRPr="000973F2" w:rsidRDefault="009A6027" w:rsidP="003E0F61">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hAnsi="Times New Roman" w:cs="Times New Roman"/>
                <w:sz w:val="18"/>
                <w:szCs w:val="18"/>
              </w:rPr>
              <w:t>$0</w:t>
            </w:r>
          </w:p>
        </w:tc>
        <w:tc>
          <w:tcPr>
            <w:tcW w:w="848" w:type="dxa"/>
            <w:noWrap/>
            <w:hideMark/>
          </w:tcPr>
          <w:p w14:paraId="2D2E4C4B" w14:textId="0DA393FB" w:rsidR="009A6027" w:rsidRPr="000973F2" w:rsidRDefault="009A6027" w:rsidP="003E0F61">
            <w:pPr>
              <w:tabs>
                <w:tab w:val="decimal" w:pos="496"/>
              </w:tabs>
              <w:spacing w:before="40" w:after="4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hAnsi="Times New Roman" w:cs="Times New Roman"/>
                <w:sz w:val="18"/>
                <w:szCs w:val="18"/>
              </w:rPr>
              <w:t>$133</w:t>
            </w:r>
          </w:p>
        </w:tc>
      </w:tr>
      <w:tr w:rsidR="009A6027" w:rsidRPr="000973F2" w14:paraId="2B3640BB" w14:textId="77777777" w:rsidTr="00B6531F">
        <w:trPr>
          <w:cantSplit/>
        </w:trPr>
        <w:tc>
          <w:tcPr>
            <w:cnfStyle w:val="001000000000" w:firstRow="0" w:lastRow="0" w:firstColumn="1" w:lastColumn="0" w:oddVBand="0" w:evenVBand="0" w:oddHBand="0" w:evenHBand="0" w:firstRowFirstColumn="0" w:firstRowLastColumn="0" w:lastRowFirstColumn="0" w:lastRowLastColumn="0"/>
            <w:tcW w:w="1335" w:type="dxa"/>
            <w:tcMar>
              <w:right w:w="14" w:type="dxa"/>
            </w:tcMar>
            <w:hideMark/>
          </w:tcPr>
          <w:p w14:paraId="5DF00FDB" w14:textId="77777777" w:rsidR="009A6027" w:rsidRPr="000973F2" w:rsidRDefault="009A6027" w:rsidP="003E0F61">
            <w:pPr>
              <w:spacing w:before="40" w:after="4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Reporting</w:t>
            </w:r>
          </w:p>
        </w:tc>
        <w:tc>
          <w:tcPr>
            <w:tcW w:w="787" w:type="dxa"/>
            <w:noWrap/>
            <w:hideMark/>
          </w:tcPr>
          <w:p w14:paraId="5D9D3FAA" w14:textId="77777777" w:rsidR="009A6027" w:rsidRPr="000973F2" w:rsidRDefault="009A6027" w:rsidP="003E0F61">
            <w:pPr>
              <w:spacing w:before="40" w:after="4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hAnsi="Times New Roman" w:cs="Times New Roman"/>
                <w:sz w:val="18"/>
                <w:szCs w:val="18"/>
              </w:rPr>
              <w:t>0.0</w:t>
            </w:r>
          </w:p>
        </w:tc>
        <w:tc>
          <w:tcPr>
            <w:tcW w:w="787" w:type="dxa"/>
            <w:noWrap/>
            <w:hideMark/>
          </w:tcPr>
          <w:p w14:paraId="74A0474E" w14:textId="77777777" w:rsidR="009A6027" w:rsidRPr="000973F2" w:rsidRDefault="009A6027" w:rsidP="003E0F61">
            <w:pPr>
              <w:spacing w:before="40" w:after="4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hAnsi="Times New Roman" w:cs="Times New Roman"/>
                <w:sz w:val="18"/>
                <w:szCs w:val="18"/>
              </w:rPr>
              <w:t>0.0</w:t>
            </w:r>
          </w:p>
        </w:tc>
        <w:tc>
          <w:tcPr>
            <w:tcW w:w="788" w:type="dxa"/>
            <w:noWrap/>
            <w:hideMark/>
          </w:tcPr>
          <w:p w14:paraId="43DC606A" w14:textId="77777777" w:rsidR="009A6027" w:rsidRPr="000973F2" w:rsidRDefault="009A6027" w:rsidP="003E0F61">
            <w:pPr>
              <w:spacing w:before="40" w:after="4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hAnsi="Times New Roman" w:cs="Times New Roman"/>
                <w:sz w:val="18"/>
                <w:szCs w:val="18"/>
              </w:rPr>
              <w:t>0.0</w:t>
            </w:r>
          </w:p>
        </w:tc>
        <w:tc>
          <w:tcPr>
            <w:tcW w:w="787" w:type="dxa"/>
            <w:noWrap/>
            <w:hideMark/>
          </w:tcPr>
          <w:p w14:paraId="786B9DB1" w14:textId="77777777" w:rsidR="009A6027" w:rsidRPr="000973F2" w:rsidRDefault="009A6027" w:rsidP="003E0F61">
            <w:pPr>
              <w:spacing w:before="40" w:after="4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hAnsi="Times New Roman" w:cs="Times New Roman"/>
                <w:sz w:val="18"/>
                <w:szCs w:val="18"/>
              </w:rPr>
              <w:t>1.0</w:t>
            </w:r>
          </w:p>
        </w:tc>
        <w:tc>
          <w:tcPr>
            <w:tcW w:w="787" w:type="dxa"/>
            <w:noWrap/>
            <w:hideMark/>
          </w:tcPr>
          <w:p w14:paraId="538D91AD" w14:textId="77777777" w:rsidR="009A6027" w:rsidRPr="000973F2" w:rsidRDefault="009A6027" w:rsidP="003E0F61">
            <w:pPr>
              <w:spacing w:before="40" w:after="4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hAnsi="Times New Roman" w:cs="Times New Roman"/>
                <w:sz w:val="18"/>
                <w:szCs w:val="18"/>
              </w:rPr>
              <w:t>0.0</w:t>
            </w:r>
          </w:p>
        </w:tc>
        <w:tc>
          <w:tcPr>
            <w:tcW w:w="788" w:type="dxa"/>
            <w:noWrap/>
            <w:hideMark/>
          </w:tcPr>
          <w:p w14:paraId="791A75C8" w14:textId="77777777" w:rsidR="009A6027" w:rsidRPr="000973F2" w:rsidRDefault="009A6027" w:rsidP="003E0F61">
            <w:pPr>
              <w:tabs>
                <w:tab w:val="decimal" w:pos="211"/>
              </w:tabs>
              <w:spacing w:before="40" w:after="4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hAnsi="Times New Roman" w:cs="Times New Roman"/>
                <w:sz w:val="18"/>
                <w:szCs w:val="18"/>
              </w:rPr>
              <w:t>4.0</w:t>
            </w:r>
          </w:p>
        </w:tc>
        <w:tc>
          <w:tcPr>
            <w:tcW w:w="787" w:type="dxa"/>
            <w:noWrap/>
            <w:hideMark/>
          </w:tcPr>
          <w:p w14:paraId="072574FE" w14:textId="77777777" w:rsidR="009A6027" w:rsidRPr="000973F2" w:rsidRDefault="009A6027" w:rsidP="003E0F61">
            <w:pPr>
              <w:spacing w:before="40" w:after="4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hAnsi="Times New Roman" w:cs="Times New Roman"/>
                <w:sz w:val="18"/>
                <w:szCs w:val="18"/>
              </w:rPr>
              <w:t>0.0</w:t>
            </w:r>
          </w:p>
        </w:tc>
        <w:tc>
          <w:tcPr>
            <w:tcW w:w="788" w:type="dxa"/>
            <w:noWrap/>
            <w:hideMark/>
          </w:tcPr>
          <w:p w14:paraId="4305E726" w14:textId="77777777" w:rsidR="009A6027" w:rsidRPr="000973F2" w:rsidRDefault="009A6027" w:rsidP="003E0F61">
            <w:pPr>
              <w:spacing w:before="40" w:after="4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hAnsi="Times New Roman" w:cs="Times New Roman"/>
                <w:sz w:val="18"/>
                <w:szCs w:val="18"/>
              </w:rPr>
              <w:t>1.0</w:t>
            </w:r>
          </w:p>
        </w:tc>
        <w:tc>
          <w:tcPr>
            <w:tcW w:w="848" w:type="dxa"/>
            <w:noWrap/>
            <w:hideMark/>
          </w:tcPr>
          <w:p w14:paraId="54818375" w14:textId="5770C299" w:rsidR="009A6027" w:rsidRPr="000973F2" w:rsidRDefault="009A6027" w:rsidP="003E0F61">
            <w:pPr>
              <w:spacing w:before="40" w:after="4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hAnsi="Times New Roman" w:cs="Times New Roman"/>
                <w:sz w:val="18"/>
                <w:szCs w:val="18"/>
              </w:rPr>
              <w:t>$0</w:t>
            </w:r>
          </w:p>
        </w:tc>
        <w:tc>
          <w:tcPr>
            <w:tcW w:w="848" w:type="dxa"/>
            <w:noWrap/>
            <w:hideMark/>
          </w:tcPr>
          <w:p w14:paraId="079CF381" w14:textId="1BE64D30" w:rsidR="009A6027" w:rsidRPr="000973F2" w:rsidRDefault="009A6027" w:rsidP="003E0F61">
            <w:pPr>
              <w:tabs>
                <w:tab w:val="decimal" w:pos="496"/>
              </w:tabs>
              <w:spacing w:before="40" w:after="4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hAnsi="Times New Roman" w:cs="Times New Roman"/>
                <w:sz w:val="18"/>
                <w:szCs w:val="18"/>
              </w:rPr>
              <w:t>$410</w:t>
            </w:r>
          </w:p>
        </w:tc>
      </w:tr>
      <w:tr w:rsidR="009A6027" w:rsidRPr="000973F2" w14:paraId="3CC9A955" w14:textId="77777777" w:rsidTr="00B6531F">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1335" w:type="dxa"/>
            <w:noWrap/>
            <w:tcMar>
              <w:right w:w="14" w:type="dxa"/>
            </w:tcMar>
            <w:hideMark/>
          </w:tcPr>
          <w:p w14:paraId="5B5E077F" w14:textId="77777777" w:rsidR="009A6027" w:rsidRPr="000973F2" w:rsidRDefault="009A6027" w:rsidP="003E0F61">
            <w:pPr>
              <w:spacing w:before="40" w:after="40"/>
              <w:rPr>
                <w:rFonts w:ascii="Times New Roman" w:eastAsia="Times New Roman" w:hAnsi="Times New Roman" w:cs="Times New Roman"/>
                <w:b/>
                <w:bCs w:val="0"/>
                <w:sz w:val="18"/>
                <w:szCs w:val="18"/>
              </w:rPr>
            </w:pPr>
            <w:r w:rsidRPr="000973F2">
              <w:rPr>
                <w:rFonts w:ascii="Times New Roman" w:eastAsia="Times New Roman" w:hAnsi="Times New Roman" w:cs="Times New Roman"/>
                <w:b/>
                <w:sz w:val="18"/>
                <w:szCs w:val="18"/>
              </w:rPr>
              <w:t>Total</w:t>
            </w:r>
          </w:p>
        </w:tc>
        <w:tc>
          <w:tcPr>
            <w:tcW w:w="787" w:type="dxa"/>
            <w:noWrap/>
            <w:hideMark/>
          </w:tcPr>
          <w:p w14:paraId="41526A81" w14:textId="77777777" w:rsidR="009A6027" w:rsidRPr="000973F2" w:rsidRDefault="009A6027" w:rsidP="003E0F61">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18"/>
                <w:szCs w:val="18"/>
              </w:rPr>
            </w:pPr>
            <w:r w:rsidRPr="000973F2">
              <w:rPr>
                <w:rFonts w:ascii="Times New Roman" w:hAnsi="Times New Roman" w:cs="Times New Roman"/>
                <w:b/>
                <w:bCs/>
                <w:sz w:val="18"/>
                <w:szCs w:val="18"/>
              </w:rPr>
              <w:t>0.0</w:t>
            </w:r>
          </w:p>
        </w:tc>
        <w:tc>
          <w:tcPr>
            <w:tcW w:w="787" w:type="dxa"/>
            <w:noWrap/>
            <w:hideMark/>
          </w:tcPr>
          <w:p w14:paraId="11CCA8C3" w14:textId="77777777" w:rsidR="009A6027" w:rsidRPr="000973F2" w:rsidRDefault="009A6027" w:rsidP="003E0F61">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18"/>
                <w:szCs w:val="18"/>
              </w:rPr>
            </w:pPr>
            <w:r w:rsidRPr="000973F2">
              <w:rPr>
                <w:rFonts w:ascii="Times New Roman" w:hAnsi="Times New Roman" w:cs="Times New Roman"/>
                <w:b/>
                <w:bCs/>
                <w:sz w:val="18"/>
                <w:szCs w:val="18"/>
              </w:rPr>
              <w:t>1.0</w:t>
            </w:r>
          </w:p>
        </w:tc>
        <w:tc>
          <w:tcPr>
            <w:tcW w:w="788" w:type="dxa"/>
            <w:noWrap/>
            <w:hideMark/>
          </w:tcPr>
          <w:p w14:paraId="737308C5" w14:textId="77777777" w:rsidR="009A6027" w:rsidRPr="000973F2" w:rsidRDefault="009A6027" w:rsidP="003E0F61">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18"/>
                <w:szCs w:val="18"/>
              </w:rPr>
            </w:pPr>
            <w:r w:rsidRPr="000973F2">
              <w:rPr>
                <w:rFonts w:ascii="Times New Roman" w:hAnsi="Times New Roman" w:cs="Times New Roman"/>
                <w:b/>
                <w:bCs/>
                <w:sz w:val="18"/>
                <w:szCs w:val="18"/>
              </w:rPr>
              <w:t>0.0</w:t>
            </w:r>
          </w:p>
        </w:tc>
        <w:tc>
          <w:tcPr>
            <w:tcW w:w="787" w:type="dxa"/>
            <w:noWrap/>
            <w:hideMark/>
          </w:tcPr>
          <w:p w14:paraId="1F2455CB" w14:textId="77777777" w:rsidR="009A6027" w:rsidRPr="000973F2" w:rsidRDefault="009A6027" w:rsidP="003E0F61">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18"/>
                <w:szCs w:val="18"/>
              </w:rPr>
            </w:pPr>
            <w:r w:rsidRPr="000973F2">
              <w:rPr>
                <w:rFonts w:ascii="Times New Roman" w:hAnsi="Times New Roman" w:cs="Times New Roman"/>
                <w:b/>
                <w:bCs/>
                <w:sz w:val="18"/>
                <w:szCs w:val="18"/>
              </w:rPr>
              <w:t>2.8</w:t>
            </w:r>
          </w:p>
        </w:tc>
        <w:tc>
          <w:tcPr>
            <w:tcW w:w="787" w:type="dxa"/>
            <w:noWrap/>
            <w:hideMark/>
          </w:tcPr>
          <w:p w14:paraId="4FFC19B2" w14:textId="77777777" w:rsidR="009A6027" w:rsidRPr="000973F2" w:rsidRDefault="009A6027" w:rsidP="003E0F61">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18"/>
                <w:szCs w:val="18"/>
              </w:rPr>
            </w:pPr>
            <w:r w:rsidRPr="000973F2">
              <w:rPr>
                <w:rFonts w:ascii="Times New Roman" w:hAnsi="Times New Roman" w:cs="Times New Roman"/>
                <w:b/>
                <w:bCs/>
                <w:sz w:val="18"/>
                <w:szCs w:val="18"/>
              </w:rPr>
              <w:t>0.0</w:t>
            </w:r>
          </w:p>
        </w:tc>
        <w:tc>
          <w:tcPr>
            <w:tcW w:w="788" w:type="dxa"/>
            <w:noWrap/>
            <w:hideMark/>
          </w:tcPr>
          <w:p w14:paraId="1572B069" w14:textId="77777777" w:rsidR="009A6027" w:rsidRPr="000973F2" w:rsidRDefault="009A6027" w:rsidP="003E0F61">
            <w:pPr>
              <w:tabs>
                <w:tab w:val="decimal" w:pos="211"/>
              </w:tabs>
              <w:spacing w:before="40" w:after="4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18"/>
                <w:szCs w:val="18"/>
              </w:rPr>
            </w:pPr>
            <w:r w:rsidRPr="000973F2">
              <w:rPr>
                <w:rFonts w:ascii="Times New Roman" w:hAnsi="Times New Roman" w:cs="Times New Roman"/>
                <w:b/>
                <w:bCs/>
                <w:sz w:val="18"/>
                <w:szCs w:val="18"/>
              </w:rPr>
              <w:t>19.0</w:t>
            </w:r>
          </w:p>
        </w:tc>
        <w:tc>
          <w:tcPr>
            <w:tcW w:w="787" w:type="dxa"/>
            <w:noWrap/>
            <w:hideMark/>
          </w:tcPr>
          <w:p w14:paraId="6BE67173" w14:textId="77777777" w:rsidR="009A6027" w:rsidRPr="000973F2" w:rsidRDefault="009A6027" w:rsidP="003E0F61">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18"/>
                <w:szCs w:val="18"/>
              </w:rPr>
            </w:pPr>
            <w:r w:rsidRPr="000973F2">
              <w:rPr>
                <w:rFonts w:ascii="Times New Roman" w:hAnsi="Times New Roman" w:cs="Times New Roman"/>
                <w:b/>
                <w:bCs/>
                <w:sz w:val="18"/>
                <w:szCs w:val="18"/>
              </w:rPr>
              <w:t>0.0</w:t>
            </w:r>
          </w:p>
        </w:tc>
        <w:tc>
          <w:tcPr>
            <w:tcW w:w="788" w:type="dxa"/>
            <w:noWrap/>
            <w:hideMark/>
          </w:tcPr>
          <w:p w14:paraId="029B49A8" w14:textId="77777777" w:rsidR="009A6027" w:rsidRPr="000973F2" w:rsidRDefault="009A6027" w:rsidP="003E0F61">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18"/>
                <w:szCs w:val="18"/>
              </w:rPr>
            </w:pPr>
            <w:r w:rsidRPr="000973F2">
              <w:rPr>
                <w:rFonts w:ascii="Times New Roman" w:hAnsi="Times New Roman" w:cs="Times New Roman"/>
                <w:b/>
                <w:bCs/>
                <w:sz w:val="18"/>
                <w:szCs w:val="18"/>
              </w:rPr>
              <w:t>2.2</w:t>
            </w:r>
          </w:p>
        </w:tc>
        <w:tc>
          <w:tcPr>
            <w:tcW w:w="848" w:type="dxa"/>
            <w:noWrap/>
            <w:hideMark/>
          </w:tcPr>
          <w:p w14:paraId="1A6575B2" w14:textId="6D2BE99A" w:rsidR="009A6027" w:rsidRPr="000973F2" w:rsidRDefault="009A6027" w:rsidP="003E0F61">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18"/>
                <w:szCs w:val="18"/>
              </w:rPr>
            </w:pPr>
            <w:r w:rsidRPr="000973F2">
              <w:rPr>
                <w:rFonts w:ascii="Times New Roman" w:hAnsi="Times New Roman" w:cs="Times New Roman"/>
                <w:b/>
                <w:bCs/>
                <w:sz w:val="18"/>
                <w:szCs w:val="18"/>
              </w:rPr>
              <w:t>$0</w:t>
            </w:r>
          </w:p>
        </w:tc>
        <w:tc>
          <w:tcPr>
            <w:tcW w:w="848" w:type="dxa"/>
            <w:noWrap/>
            <w:hideMark/>
          </w:tcPr>
          <w:p w14:paraId="4160E1F7" w14:textId="48AD9781" w:rsidR="009A6027" w:rsidRPr="000973F2" w:rsidRDefault="009A6027" w:rsidP="003E0F61">
            <w:pPr>
              <w:tabs>
                <w:tab w:val="decimal" w:pos="496"/>
              </w:tabs>
              <w:spacing w:before="40" w:after="4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18"/>
                <w:szCs w:val="18"/>
              </w:rPr>
            </w:pPr>
            <w:r w:rsidRPr="000973F2">
              <w:rPr>
                <w:rFonts w:ascii="Times New Roman" w:hAnsi="Times New Roman" w:cs="Times New Roman"/>
                <w:b/>
                <w:bCs/>
                <w:sz w:val="18"/>
                <w:szCs w:val="18"/>
              </w:rPr>
              <w:t>$1,793</w:t>
            </w:r>
          </w:p>
        </w:tc>
      </w:tr>
    </w:tbl>
    <w:p w14:paraId="1F71EB3C" w14:textId="77777777" w:rsidR="009A6027" w:rsidRPr="000973F2" w:rsidRDefault="009A6027" w:rsidP="00C00E4F">
      <w:pPr>
        <w:spacing w:line="240" w:lineRule="auto"/>
        <w:rPr>
          <w:rFonts w:ascii="Times New Roman" w:hAnsi="Times New Roman" w:cs="Times New Roman"/>
          <w:i/>
        </w:rPr>
      </w:pPr>
    </w:p>
    <w:p w14:paraId="705A2FF7" w14:textId="77777777" w:rsidR="009A6027" w:rsidRPr="000973F2" w:rsidRDefault="009A6027" w:rsidP="00C00E4F">
      <w:pPr>
        <w:spacing w:line="240" w:lineRule="auto"/>
        <w:rPr>
          <w:rFonts w:ascii="Times New Roman" w:hAnsi="Times New Roman" w:cs="Times New Roman"/>
          <w:b/>
          <w:i/>
        </w:rPr>
      </w:pPr>
      <w:r w:rsidRPr="000973F2">
        <w:rPr>
          <w:rFonts w:ascii="Times New Roman" w:hAnsi="Times New Roman" w:cs="Times New Roman"/>
          <w:b/>
          <w:i/>
        </w:rPr>
        <w:br w:type="page"/>
      </w:r>
    </w:p>
    <w:p w14:paraId="4EEF0865" w14:textId="00DF7471" w:rsidR="009A6027" w:rsidRPr="000973F2" w:rsidRDefault="009A6027" w:rsidP="00FD0AEA">
      <w:pPr>
        <w:pStyle w:val="Heading2"/>
      </w:pPr>
      <w:r w:rsidRPr="000973F2">
        <w:t xml:space="preserve">Capital and O&amp;M Costs for Subpart V </w:t>
      </w:r>
      <w:r w:rsidR="00FD0AEA" w:rsidRPr="000973F2">
        <w:t>–</w:t>
      </w:r>
      <w:r w:rsidRPr="000973F2">
        <w:t xml:space="preserve"> Alternative Monitoring Method Option</w:t>
      </w:r>
    </w:p>
    <w:p w14:paraId="4321F9A9" w14:textId="65C35DB2" w:rsidR="009A6027" w:rsidRPr="000973F2" w:rsidRDefault="009A6027" w:rsidP="00FD0AEA">
      <w:pPr>
        <w:pStyle w:val="BodyText"/>
      </w:pPr>
      <w:r w:rsidRPr="000973F2">
        <w:t xml:space="preserve">Table </w:t>
      </w:r>
      <w:r w:rsidR="00FD0AEA" w:rsidRPr="000973F2">
        <w:t>V-</w:t>
      </w:r>
      <w:r w:rsidRPr="000973F2">
        <w:t xml:space="preserve">2c below includes the capital and O&amp;M costs for each of the three facilities using the alternative monitoring method option to comply with Subpart V. </w:t>
      </w:r>
      <w:bookmarkStart w:id="36" w:name="_Hlk521569174"/>
      <w:r w:rsidRPr="000973F2">
        <w:t>The costs related to recordkeeping are detailed in the Cost Appendix Introduction. The alternative monitoring method option allows the facility to use existing monitoring equipment to determine total N</w:t>
      </w:r>
      <w:r w:rsidRPr="000973F2">
        <w:rPr>
          <w:vertAlign w:val="subscript"/>
        </w:rPr>
        <w:t>2</w:t>
      </w:r>
      <w:r w:rsidRPr="000973F2">
        <w:t xml:space="preserve">O emissions; therefore, there are no equipment costs attributed to the GHGRP in Table </w:t>
      </w:r>
      <w:r w:rsidR="000D7DE6" w:rsidRPr="000973F2">
        <w:t>V-</w:t>
      </w:r>
      <w:r w:rsidRPr="000973F2">
        <w:t>2c.</w:t>
      </w:r>
    </w:p>
    <w:bookmarkEnd w:id="36"/>
    <w:p w14:paraId="343208D3" w14:textId="578543C3" w:rsidR="009A6027" w:rsidRPr="000973F2" w:rsidRDefault="00B13D0B" w:rsidP="00C00E4F">
      <w:pPr>
        <w:spacing w:line="240" w:lineRule="auto"/>
        <w:rPr>
          <w:rFonts w:ascii="Times New Roman" w:hAnsi="Times New Roman" w:cs="Times New Roman"/>
        </w:rPr>
      </w:pPr>
      <w:r w:rsidRPr="000973F2">
        <w:rPr>
          <w:rFonts w:ascii="Times New Roman" w:hAnsi="Times New Roman" w:cs="Times New Roman"/>
          <w:b/>
        </w:rPr>
        <w:t xml:space="preserve">Table </w:t>
      </w:r>
      <w:r w:rsidR="00FD0AEA" w:rsidRPr="000973F2">
        <w:rPr>
          <w:rFonts w:ascii="Times New Roman" w:hAnsi="Times New Roman" w:cs="Times New Roman"/>
          <w:b/>
        </w:rPr>
        <w:t>V-</w:t>
      </w:r>
      <w:r w:rsidRPr="000973F2">
        <w:rPr>
          <w:rFonts w:ascii="Times New Roman" w:hAnsi="Times New Roman" w:cs="Times New Roman"/>
          <w:b/>
        </w:rPr>
        <w:t xml:space="preserve">2c. Capital and O&amp;M Costs </w:t>
      </w:r>
      <w:r w:rsidR="00B960CC" w:rsidRPr="000973F2">
        <w:rPr>
          <w:rFonts w:ascii="Times New Roman" w:hAnsi="Times New Roman" w:cs="Times New Roman"/>
          <w:b/>
        </w:rPr>
        <w:t>–</w:t>
      </w:r>
      <w:r w:rsidRPr="000973F2">
        <w:rPr>
          <w:rFonts w:ascii="Times New Roman" w:hAnsi="Times New Roman" w:cs="Times New Roman"/>
          <w:b/>
        </w:rPr>
        <w:t xml:space="preserve"> </w:t>
      </w:r>
      <w:r w:rsidR="009A6027" w:rsidRPr="000973F2">
        <w:rPr>
          <w:rFonts w:ascii="Times New Roman" w:hAnsi="Times New Roman" w:cs="Times New Roman"/>
          <w:b/>
        </w:rPr>
        <w:t xml:space="preserve">Subpart V </w:t>
      </w:r>
      <w:r w:rsidR="00B960CC" w:rsidRPr="000973F2">
        <w:rPr>
          <w:rFonts w:ascii="Times New Roman" w:hAnsi="Times New Roman" w:cs="Times New Roman"/>
          <w:b/>
        </w:rPr>
        <w:t>–</w:t>
      </w:r>
      <w:r w:rsidRPr="000973F2">
        <w:rPr>
          <w:rFonts w:ascii="Times New Roman" w:hAnsi="Times New Roman" w:cs="Times New Roman"/>
          <w:b/>
        </w:rPr>
        <w:t xml:space="preserve"> </w:t>
      </w:r>
      <w:r w:rsidR="009A6027" w:rsidRPr="000973F2">
        <w:rPr>
          <w:rFonts w:ascii="Times New Roman" w:hAnsi="Times New Roman" w:cs="Times New Roman"/>
          <w:b/>
        </w:rPr>
        <w:t>Alternative Monitoring Method Option</w:t>
      </w:r>
    </w:p>
    <w:tbl>
      <w:tblPr>
        <w:tblStyle w:val="PlainTable1"/>
        <w:tblW w:w="5000" w:type="pct"/>
        <w:jc w:val="left"/>
        <w:tblLayout w:type="fixed"/>
        <w:tblCellMar>
          <w:left w:w="115" w:type="dxa"/>
          <w:right w:w="115" w:type="dxa"/>
        </w:tblCellMar>
        <w:tblLook w:val="04A0" w:firstRow="1" w:lastRow="0" w:firstColumn="1" w:lastColumn="0" w:noHBand="0" w:noVBand="1"/>
      </w:tblPr>
      <w:tblGrid>
        <w:gridCol w:w="2020"/>
        <w:gridCol w:w="1261"/>
        <w:gridCol w:w="1262"/>
        <w:gridCol w:w="1261"/>
        <w:gridCol w:w="1211"/>
        <w:gridCol w:w="1313"/>
        <w:gridCol w:w="1262"/>
      </w:tblGrid>
      <w:tr w:rsidR="00D17312" w:rsidRPr="000973F2" w14:paraId="73576507" w14:textId="77777777" w:rsidTr="00B6531F">
        <w:trPr>
          <w:cnfStyle w:val="100000000000" w:firstRow="1" w:lastRow="0" w:firstColumn="0" w:lastColumn="0" w:oddVBand="0" w:evenVBand="0" w:oddHBand="0" w:evenHBand="0" w:firstRowFirstColumn="0" w:firstRowLastColumn="0" w:lastRowFirstColumn="0" w:lastRowLastColumn="0"/>
          <w:cantSplit/>
          <w:jc w:val="left"/>
        </w:trPr>
        <w:tc>
          <w:tcPr>
            <w:cnfStyle w:val="001000000000" w:firstRow="0" w:lastRow="0" w:firstColumn="1" w:lastColumn="0" w:oddVBand="0" w:evenVBand="0" w:oddHBand="0" w:evenHBand="0" w:firstRowFirstColumn="0" w:firstRowLastColumn="0" w:lastRowFirstColumn="0" w:lastRowLastColumn="0"/>
            <w:tcW w:w="1965" w:type="dxa"/>
            <w:vMerge w:val="restart"/>
            <w:noWrap/>
            <w:vAlign w:val="top"/>
            <w:hideMark/>
          </w:tcPr>
          <w:p w14:paraId="7E894B6F" w14:textId="2C0F798C" w:rsidR="00D17312" w:rsidRPr="000973F2" w:rsidRDefault="00D17312" w:rsidP="00FD0AEA">
            <w:pPr>
              <w:spacing w:before="40" w:after="40"/>
              <w:rPr>
                <w:rFonts w:ascii="Times New Roman" w:eastAsia="Times New Roman" w:hAnsi="Times New Roman" w:cs="Times New Roman"/>
                <w:b w:val="0"/>
                <w:bCs w:val="0"/>
                <w:sz w:val="18"/>
                <w:szCs w:val="18"/>
              </w:rPr>
            </w:pPr>
            <w:r w:rsidRPr="000973F2">
              <w:rPr>
                <w:rFonts w:ascii="Times New Roman" w:eastAsia="Times New Roman" w:hAnsi="Times New Roman" w:cs="Times New Roman"/>
                <w:sz w:val="18"/>
                <w:szCs w:val="18"/>
              </w:rPr>
              <w:t>Activity</w:t>
            </w:r>
          </w:p>
        </w:tc>
        <w:tc>
          <w:tcPr>
            <w:tcW w:w="4860" w:type="dxa"/>
            <w:gridSpan w:val="4"/>
            <w:noWrap/>
            <w:vAlign w:val="top"/>
            <w:hideMark/>
          </w:tcPr>
          <w:p w14:paraId="741FD7C8" w14:textId="77777777" w:rsidR="00D17312" w:rsidRPr="000973F2" w:rsidRDefault="00D17312" w:rsidP="00FD0AEA">
            <w:pPr>
              <w:spacing w:before="40" w:after="40"/>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bCs w:val="0"/>
                <w:sz w:val="18"/>
                <w:szCs w:val="18"/>
              </w:rPr>
            </w:pPr>
            <w:r w:rsidRPr="000973F2">
              <w:rPr>
                <w:rFonts w:ascii="Times New Roman" w:eastAsia="Times New Roman" w:hAnsi="Times New Roman" w:cs="Times New Roman"/>
                <w:sz w:val="18"/>
                <w:szCs w:val="18"/>
              </w:rPr>
              <w:t>Cost Categories</w:t>
            </w:r>
          </w:p>
        </w:tc>
        <w:tc>
          <w:tcPr>
            <w:tcW w:w="2505" w:type="dxa"/>
            <w:gridSpan w:val="2"/>
            <w:vAlign w:val="top"/>
            <w:hideMark/>
          </w:tcPr>
          <w:p w14:paraId="04A61A9B" w14:textId="4F4715A8" w:rsidR="00D17312" w:rsidRPr="000973F2" w:rsidRDefault="00D17312" w:rsidP="00FD0AEA">
            <w:pPr>
              <w:spacing w:before="40" w:after="40"/>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bCs w:val="0"/>
                <w:sz w:val="18"/>
                <w:szCs w:val="18"/>
              </w:rPr>
            </w:pPr>
            <w:r w:rsidRPr="000973F2">
              <w:rPr>
                <w:rFonts w:ascii="Times New Roman" w:eastAsia="Times New Roman" w:hAnsi="Times New Roman" w:cs="Times New Roman"/>
                <w:sz w:val="18"/>
                <w:szCs w:val="18"/>
              </w:rPr>
              <w:t>Total Capital and O&amp;M Cost per Year per Facility</w:t>
            </w:r>
            <w:r w:rsidR="00FD0AEA" w:rsidRPr="000973F2">
              <w:rPr>
                <w:rFonts w:ascii="Times New Roman" w:eastAsia="Times New Roman" w:hAnsi="Times New Roman" w:cs="Times New Roman"/>
                <w:sz w:val="18"/>
                <w:szCs w:val="18"/>
              </w:rPr>
              <w:t xml:space="preserve"> </w:t>
            </w:r>
            <w:r w:rsidRPr="000973F2">
              <w:rPr>
                <w:rFonts w:ascii="Times New Roman" w:eastAsia="Times New Roman" w:hAnsi="Times New Roman" w:cs="Times New Roman"/>
                <w:sz w:val="18"/>
                <w:szCs w:val="18"/>
              </w:rPr>
              <w:t>(2017$)</w:t>
            </w:r>
          </w:p>
        </w:tc>
      </w:tr>
      <w:tr w:rsidR="00D17312" w:rsidRPr="000973F2" w14:paraId="29AB5DE4" w14:textId="77777777" w:rsidTr="00B6531F">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1965" w:type="dxa"/>
            <w:vMerge/>
            <w:noWrap/>
            <w:hideMark/>
          </w:tcPr>
          <w:p w14:paraId="7ACBAAA3" w14:textId="58809D38" w:rsidR="00D17312" w:rsidRPr="000973F2" w:rsidRDefault="00D17312" w:rsidP="00FD0AEA">
            <w:pPr>
              <w:spacing w:before="40" w:after="40"/>
              <w:jc w:val="center"/>
              <w:rPr>
                <w:rFonts w:ascii="Times New Roman" w:eastAsia="Times New Roman" w:hAnsi="Times New Roman" w:cs="Times New Roman"/>
                <w:b/>
                <w:bCs w:val="0"/>
                <w:sz w:val="18"/>
                <w:szCs w:val="18"/>
              </w:rPr>
            </w:pPr>
          </w:p>
        </w:tc>
        <w:tc>
          <w:tcPr>
            <w:tcW w:w="1227" w:type="dxa"/>
            <w:tcMar>
              <w:left w:w="14" w:type="dxa"/>
              <w:right w:w="14" w:type="dxa"/>
            </w:tcMar>
            <w:hideMark/>
          </w:tcPr>
          <w:p w14:paraId="725E1B09" w14:textId="77777777" w:rsidR="00D17312" w:rsidRPr="000973F2" w:rsidRDefault="00D17312" w:rsidP="00FD0AEA">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18"/>
                <w:szCs w:val="18"/>
              </w:rPr>
            </w:pPr>
            <w:r w:rsidRPr="000973F2">
              <w:rPr>
                <w:rFonts w:ascii="Times New Roman" w:eastAsia="Times New Roman" w:hAnsi="Times New Roman" w:cs="Times New Roman"/>
                <w:b/>
                <w:bCs/>
                <w:sz w:val="18"/>
                <w:szCs w:val="18"/>
              </w:rPr>
              <w:t>Capital Cost (2017$)</w:t>
            </w:r>
          </w:p>
        </w:tc>
        <w:tc>
          <w:tcPr>
            <w:tcW w:w="1228" w:type="dxa"/>
            <w:tcMar>
              <w:left w:w="14" w:type="dxa"/>
              <w:right w:w="14" w:type="dxa"/>
            </w:tcMar>
            <w:hideMark/>
          </w:tcPr>
          <w:p w14:paraId="1F4010CC" w14:textId="77777777" w:rsidR="00D17312" w:rsidRPr="000973F2" w:rsidRDefault="00D17312" w:rsidP="00FD0AEA">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18"/>
                <w:szCs w:val="18"/>
              </w:rPr>
            </w:pPr>
            <w:r w:rsidRPr="000973F2">
              <w:rPr>
                <w:rFonts w:ascii="Times New Roman" w:eastAsia="Times New Roman" w:hAnsi="Times New Roman" w:cs="Times New Roman"/>
                <w:b/>
                <w:bCs/>
                <w:sz w:val="18"/>
                <w:szCs w:val="18"/>
              </w:rPr>
              <w:t>Equipment Lifetime</w:t>
            </w:r>
          </w:p>
        </w:tc>
        <w:tc>
          <w:tcPr>
            <w:tcW w:w="1227" w:type="dxa"/>
            <w:tcMar>
              <w:left w:w="14" w:type="dxa"/>
              <w:right w:w="14" w:type="dxa"/>
            </w:tcMar>
            <w:hideMark/>
          </w:tcPr>
          <w:p w14:paraId="77D12491" w14:textId="77777777" w:rsidR="00D17312" w:rsidRPr="000973F2" w:rsidRDefault="00D17312" w:rsidP="00FD0AEA">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18"/>
                <w:szCs w:val="18"/>
              </w:rPr>
            </w:pPr>
            <w:r w:rsidRPr="000973F2">
              <w:rPr>
                <w:rFonts w:ascii="Times New Roman" w:eastAsia="Times New Roman" w:hAnsi="Times New Roman" w:cs="Times New Roman"/>
                <w:b/>
                <w:bCs/>
                <w:sz w:val="18"/>
                <w:szCs w:val="18"/>
              </w:rPr>
              <w:t>Annualized Capital Cost (2017$/year)</w:t>
            </w:r>
          </w:p>
        </w:tc>
        <w:tc>
          <w:tcPr>
            <w:tcW w:w="1178" w:type="dxa"/>
            <w:tcMar>
              <w:left w:w="14" w:type="dxa"/>
              <w:right w:w="14" w:type="dxa"/>
            </w:tcMar>
            <w:hideMark/>
          </w:tcPr>
          <w:p w14:paraId="2D74D34D" w14:textId="77777777" w:rsidR="00D17312" w:rsidRPr="000973F2" w:rsidRDefault="00D17312" w:rsidP="00FD0AEA">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18"/>
                <w:szCs w:val="18"/>
              </w:rPr>
            </w:pPr>
            <w:r w:rsidRPr="000973F2">
              <w:rPr>
                <w:rFonts w:ascii="Times New Roman" w:eastAsia="Times New Roman" w:hAnsi="Times New Roman" w:cs="Times New Roman"/>
                <w:b/>
                <w:bCs/>
                <w:sz w:val="18"/>
                <w:szCs w:val="18"/>
              </w:rPr>
              <w:t>O&amp;M Costs (2017$/year)</w:t>
            </w:r>
          </w:p>
        </w:tc>
        <w:tc>
          <w:tcPr>
            <w:tcW w:w="1277" w:type="dxa"/>
            <w:tcMar>
              <w:left w:w="14" w:type="dxa"/>
              <w:right w:w="14" w:type="dxa"/>
            </w:tcMar>
            <w:hideMark/>
          </w:tcPr>
          <w:p w14:paraId="75DAF7ED" w14:textId="77777777" w:rsidR="00D17312" w:rsidRPr="000973F2" w:rsidRDefault="00D17312" w:rsidP="00FD0AEA">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18"/>
                <w:szCs w:val="18"/>
              </w:rPr>
            </w:pPr>
            <w:r w:rsidRPr="000973F2">
              <w:rPr>
                <w:rFonts w:ascii="Times New Roman" w:eastAsia="Times New Roman" w:hAnsi="Times New Roman" w:cs="Times New Roman"/>
                <w:b/>
                <w:bCs/>
                <w:sz w:val="18"/>
                <w:szCs w:val="18"/>
              </w:rPr>
              <w:t>Initial Year</w:t>
            </w:r>
          </w:p>
        </w:tc>
        <w:tc>
          <w:tcPr>
            <w:tcW w:w="1228" w:type="dxa"/>
            <w:tcMar>
              <w:left w:w="14" w:type="dxa"/>
              <w:right w:w="14" w:type="dxa"/>
            </w:tcMar>
            <w:hideMark/>
          </w:tcPr>
          <w:p w14:paraId="6C663FD2" w14:textId="77777777" w:rsidR="00D17312" w:rsidRPr="000973F2" w:rsidRDefault="00D17312" w:rsidP="00FD0AEA">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18"/>
                <w:szCs w:val="18"/>
              </w:rPr>
            </w:pPr>
            <w:r w:rsidRPr="000973F2">
              <w:rPr>
                <w:rFonts w:ascii="Times New Roman" w:eastAsia="Times New Roman" w:hAnsi="Times New Roman" w:cs="Times New Roman"/>
                <w:b/>
                <w:bCs/>
                <w:sz w:val="18"/>
                <w:szCs w:val="18"/>
              </w:rPr>
              <w:t>Subseq. Years</w:t>
            </w:r>
          </w:p>
        </w:tc>
      </w:tr>
      <w:tr w:rsidR="00260534" w:rsidRPr="000973F2" w14:paraId="0DC26F04" w14:textId="77777777" w:rsidTr="00FD0AEA">
        <w:trPr>
          <w:cantSplit/>
        </w:trPr>
        <w:tc>
          <w:tcPr>
            <w:cnfStyle w:val="001000000000" w:firstRow="0" w:lastRow="0" w:firstColumn="1" w:lastColumn="0" w:oddVBand="0" w:evenVBand="0" w:oddHBand="0" w:evenHBand="0" w:firstRowFirstColumn="0" w:firstRowLastColumn="0" w:lastRowFirstColumn="0" w:lastRowLastColumn="0"/>
            <w:tcW w:w="1965" w:type="dxa"/>
            <w:shd w:val="clear" w:color="auto" w:fill="auto"/>
            <w:tcMar>
              <w:right w:w="14" w:type="dxa"/>
            </w:tcMar>
            <w:hideMark/>
          </w:tcPr>
          <w:p w14:paraId="2E3DBE62" w14:textId="77777777" w:rsidR="005E443D" w:rsidRPr="000973F2" w:rsidRDefault="005E443D" w:rsidP="00FD0AEA">
            <w:pPr>
              <w:spacing w:before="40" w:after="4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Equipment (selection, purchase, installation)</w:t>
            </w:r>
          </w:p>
        </w:tc>
        <w:tc>
          <w:tcPr>
            <w:tcW w:w="1227" w:type="dxa"/>
            <w:shd w:val="clear" w:color="auto" w:fill="auto"/>
            <w:noWrap/>
            <w:hideMark/>
          </w:tcPr>
          <w:p w14:paraId="11BD852E" w14:textId="2E8574C5" w:rsidR="005E443D" w:rsidRPr="000973F2" w:rsidRDefault="00FD0AEA" w:rsidP="00FD0AEA">
            <w:pPr>
              <w:spacing w:before="40" w:after="4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w:t>
            </w:r>
          </w:p>
        </w:tc>
        <w:tc>
          <w:tcPr>
            <w:tcW w:w="1228" w:type="dxa"/>
            <w:shd w:val="clear" w:color="auto" w:fill="auto"/>
            <w:noWrap/>
          </w:tcPr>
          <w:p w14:paraId="2EAAE571" w14:textId="1DA7D001" w:rsidR="005E443D" w:rsidRPr="000973F2" w:rsidRDefault="005E443D" w:rsidP="00FD0AEA">
            <w:pPr>
              <w:spacing w:before="40" w:after="4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p>
        </w:tc>
        <w:tc>
          <w:tcPr>
            <w:tcW w:w="1227" w:type="dxa"/>
            <w:shd w:val="clear" w:color="auto" w:fill="auto"/>
            <w:noWrap/>
            <w:hideMark/>
          </w:tcPr>
          <w:p w14:paraId="6D30EE93" w14:textId="50DD76BE" w:rsidR="005E443D" w:rsidRPr="000973F2" w:rsidRDefault="00FD0AEA" w:rsidP="00FD0AEA">
            <w:pPr>
              <w:spacing w:before="40" w:after="4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w:t>
            </w:r>
          </w:p>
        </w:tc>
        <w:tc>
          <w:tcPr>
            <w:tcW w:w="1178" w:type="dxa"/>
            <w:shd w:val="clear" w:color="auto" w:fill="auto"/>
            <w:noWrap/>
            <w:hideMark/>
          </w:tcPr>
          <w:p w14:paraId="093D6508" w14:textId="5B21344F" w:rsidR="005E443D" w:rsidRPr="000973F2" w:rsidRDefault="00FD0AEA" w:rsidP="00FD0AEA">
            <w:pPr>
              <w:spacing w:before="40" w:after="4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w:t>
            </w:r>
          </w:p>
        </w:tc>
        <w:tc>
          <w:tcPr>
            <w:tcW w:w="1277" w:type="dxa"/>
            <w:shd w:val="clear" w:color="auto" w:fill="auto"/>
            <w:noWrap/>
            <w:hideMark/>
          </w:tcPr>
          <w:p w14:paraId="13599F7A" w14:textId="23E09A03" w:rsidR="005E443D" w:rsidRPr="000973F2" w:rsidRDefault="00FD0AEA" w:rsidP="00FD0AEA">
            <w:pPr>
              <w:spacing w:before="40" w:after="4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w:t>
            </w:r>
          </w:p>
        </w:tc>
        <w:tc>
          <w:tcPr>
            <w:tcW w:w="1228" w:type="dxa"/>
            <w:shd w:val="clear" w:color="auto" w:fill="auto"/>
            <w:noWrap/>
            <w:hideMark/>
          </w:tcPr>
          <w:p w14:paraId="7047CE4E" w14:textId="7A811A5C" w:rsidR="005E443D" w:rsidRPr="000973F2" w:rsidRDefault="00FD0AEA" w:rsidP="00FD0AEA">
            <w:pPr>
              <w:spacing w:before="40" w:after="4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w:t>
            </w:r>
          </w:p>
        </w:tc>
      </w:tr>
      <w:tr w:rsidR="0004335F" w:rsidRPr="000973F2" w14:paraId="1BFDA19F" w14:textId="77777777" w:rsidTr="00B6531F">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1965" w:type="dxa"/>
            <w:tcMar>
              <w:right w:w="14" w:type="dxa"/>
            </w:tcMar>
            <w:hideMark/>
          </w:tcPr>
          <w:p w14:paraId="7729967C" w14:textId="77777777" w:rsidR="005E443D" w:rsidRPr="000973F2" w:rsidRDefault="005E443D" w:rsidP="00FD0AEA">
            <w:pPr>
              <w:spacing w:before="40" w:after="4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Performance testing</w:t>
            </w:r>
          </w:p>
        </w:tc>
        <w:tc>
          <w:tcPr>
            <w:tcW w:w="1227" w:type="dxa"/>
            <w:noWrap/>
            <w:hideMark/>
          </w:tcPr>
          <w:p w14:paraId="117F0F6E" w14:textId="45DD413E" w:rsidR="005E443D" w:rsidRPr="000973F2" w:rsidRDefault="00FD0AEA" w:rsidP="00FD0AEA">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w:t>
            </w:r>
          </w:p>
        </w:tc>
        <w:tc>
          <w:tcPr>
            <w:tcW w:w="1228" w:type="dxa"/>
            <w:noWrap/>
          </w:tcPr>
          <w:p w14:paraId="527FB684" w14:textId="49E38749" w:rsidR="005E443D" w:rsidRPr="000973F2" w:rsidRDefault="005E443D" w:rsidP="00FD0AEA">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p>
        </w:tc>
        <w:tc>
          <w:tcPr>
            <w:tcW w:w="1227" w:type="dxa"/>
            <w:noWrap/>
            <w:hideMark/>
          </w:tcPr>
          <w:p w14:paraId="0889D1B4" w14:textId="541CD13F" w:rsidR="005E443D" w:rsidRPr="000973F2" w:rsidRDefault="00FD0AEA" w:rsidP="00FD0AEA">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w:t>
            </w:r>
          </w:p>
        </w:tc>
        <w:tc>
          <w:tcPr>
            <w:tcW w:w="1178" w:type="dxa"/>
            <w:noWrap/>
            <w:hideMark/>
          </w:tcPr>
          <w:p w14:paraId="2A3EA183" w14:textId="7094430A" w:rsidR="005E443D" w:rsidRPr="000973F2" w:rsidRDefault="00FD0AEA" w:rsidP="00FD0AEA">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w:t>
            </w:r>
          </w:p>
        </w:tc>
        <w:tc>
          <w:tcPr>
            <w:tcW w:w="1277" w:type="dxa"/>
            <w:noWrap/>
            <w:hideMark/>
          </w:tcPr>
          <w:p w14:paraId="3FC6DE21" w14:textId="02DCB8B8" w:rsidR="005E443D" w:rsidRPr="000973F2" w:rsidRDefault="00FD0AEA" w:rsidP="00FD0AEA">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w:t>
            </w:r>
          </w:p>
        </w:tc>
        <w:tc>
          <w:tcPr>
            <w:tcW w:w="1228" w:type="dxa"/>
            <w:noWrap/>
            <w:hideMark/>
          </w:tcPr>
          <w:p w14:paraId="4B447307" w14:textId="68A7157A" w:rsidR="005E443D" w:rsidRPr="000973F2" w:rsidRDefault="00FD0AEA" w:rsidP="00FD0AEA">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w:t>
            </w:r>
          </w:p>
        </w:tc>
      </w:tr>
      <w:tr w:rsidR="00260534" w:rsidRPr="000973F2" w14:paraId="46F890CC" w14:textId="77777777" w:rsidTr="00FD0AEA">
        <w:trPr>
          <w:cantSplit/>
        </w:trPr>
        <w:tc>
          <w:tcPr>
            <w:cnfStyle w:val="001000000000" w:firstRow="0" w:lastRow="0" w:firstColumn="1" w:lastColumn="0" w:oddVBand="0" w:evenVBand="0" w:oddHBand="0" w:evenHBand="0" w:firstRowFirstColumn="0" w:firstRowLastColumn="0" w:lastRowFirstColumn="0" w:lastRowLastColumn="0"/>
            <w:tcW w:w="1965" w:type="dxa"/>
            <w:shd w:val="clear" w:color="auto" w:fill="auto"/>
            <w:tcMar>
              <w:right w:w="14" w:type="dxa"/>
            </w:tcMar>
            <w:hideMark/>
          </w:tcPr>
          <w:p w14:paraId="6C2E0E93" w14:textId="77777777" w:rsidR="009A6027" w:rsidRPr="000973F2" w:rsidRDefault="009A6027" w:rsidP="00FD0AEA">
            <w:pPr>
              <w:spacing w:before="40" w:after="4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Recordkeeping</w:t>
            </w:r>
          </w:p>
        </w:tc>
        <w:tc>
          <w:tcPr>
            <w:tcW w:w="1227" w:type="dxa"/>
            <w:shd w:val="clear" w:color="auto" w:fill="auto"/>
            <w:noWrap/>
            <w:hideMark/>
          </w:tcPr>
          <w:p w14:paraId="3DF217FC" w14:textId="77777777" w:rsidR="009A6027" w:rsidRPr="000973F2" w:rsidRDefault="009A6027" w:rsidP="00FD0AEA">
            <w:pPr>
              <w:spacing w:before="40" w:after="4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$0</w:t>
            </w:r>
          </w:p>
        </w:tc>
        <w:tc>
          <w:tcPr>
            <w:tcW w:w="1228" w:type="dxa"/>
            <w:shd w:val="clear" w:color="auto" w:fill="auto"/>
            <w:noWrap/>
          </w:tcPr>
          <w:p w14:paraId="0B8EFEAF" w14:textId="38C9DBF4" w:rsidR="009A6027" w:rsidRPr="000973F2" w:rsidRDefault="009A6027" w:rsidP="00FD0AEA">
            <w:pPr>
              <w:spacing w:before="40" w:after="4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p>
        </w:tc>
        <w:tc>
          <w:tcPr>
            <w:tcW w:w="1227" w:type="dxa"/>
            <w:shd w:val="clear" w:color="auto" w:fill="auto"/>
            <w:noWrap/>
            <w:hideMark/>
          </w:tcPr>
          <w:p w14:paraId="07CD34C7" w14:textId="77777777" w:rsidR="009A6027" w:rsidRPr="000973F2" w:rsidRDefault="009A6027" w:rsidP="00FD0AEA">
            <w:pPr>
              <w:spacing w:before="40" w:after="4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$0</w:t>
            </w:r>
          </w:p>
        </w:tc>
        <w:tc>
          <w:tcPr>
            <w:tcW w:w="1178" w:type="dxa"/>
            <w:shd w:val="clear" w:color="auto" w:fill="auto"/>
            <w:noWrap/>
            <w:hideMark/>
          </w:tcPr>
          <w:p w14:paraId="666E686B" w14:textId="77777777" w:rsidR="009A6027" w:rsidRPr="000973F2" w:rsidRDefault="009A6027" w:rsidP="00FD0AEA">
            <w:pPr>
              <w:spacing w:before="40" w:after="4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$50</w:t>
            </w:r>
          </w:p>
        </w:tc>
        <w:tc>
          <w:tcPr>
            <w:tcW w:w="1277" w:type="dxa"/>
            <w:shd w:val="clear" w:color="auto" w:fill="auto"/>
            <w:noWrap/>
            <w:hideMark/>
          </w:tcPr>
          <w:p w14:paraId="34A8BE91" w14:textId="77777777" w:rsidR="009A6027" w:rsidRPr="000973F2" w:rsidRDefault="009A6027" w:rsidP="00FD0AEA">
            <w:pPr>
              <w:spacing w:before="40" w:after="4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$0</w:t>
            </w:r>
          </w:p>
        </w:tc>
        <w:tc>
          <w:tcPr>
            <w:tcW w:w="1228" w:type="dxa"/>
            <w:shd w:val="clear" w:color="auto" w:fill="auto"/>
            <w:noWrap/>
            <w:hideMark/>
          </w:tcPr>
          <w:p w14:paraId="48A39784" w14:textId="77777777" w:rsidR="009A6027" w:rsidRPr="000973F2" w:rsidRDefault="009A6027" w:rsidP="00FD0AEA">
            <w:pPr>
              <w:spacing w:before="40" w:after="4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$50</w:t>
            </w:r>
          </w:p>
        </w:tc>
      </w:tr>
      <w:tr w:rsidR="0004335F" w:rsidRPr="000973F2" w14:paraId="085C7DF4" w14:textId="77777777" w:rsidTr="00B6531F">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1965" w:type="dxa"/>
            <w:tcMar>
              <w:right w:w="14" w:type="dxa"/>
            </w:tcMar>
            <w:hideMark/>
          </w:tcPr>
          <w:p w14:paraId="48D7C6E3" w14:textId="77777777" w:rsidR="005E443D" w:rsidRPr="000973F2" w:rsidRDefault="005E443D" w:rsidP="00FD0AEA">
            <w:pPr>
              <w:spacing w:before="40" w:after="4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Travel</w:t>
            </w:r>
          </w:p>
        </w:tc>
        <w:tc>
          <w:tcPr>
            <w:tcW w:w="1227" w:type="dxa"/>
            <w:noWrap/>
            <w:hideMark/>
          </w:tcPr>
          <w:p w14:paraId="18F5D812" w14:textId="6CEFD0B9" w:rsidR="005E443D" w:rsidRPr="000973F2" w:rsidRDefault="00FD0AEA" w:rsidP="00FD0AEA">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w:t>
            </w:r>
          </w:p>
        </w:tc>
        <w:tc>
          <w:tcPr>
            <w:tcW w:w="1228" w:type="dxa"/>
            <w:noWrap/>
          </w:tcPr>
          <w:p w14:paraId="2A6EE9B5" w14:textId="3307F0B7" w:rsidR="005E443D" w:rsidRPr="000973F2" w:rsidRDefault="005E443D" w:rsidP="00FD0AEA">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p>
        </w:tc>
        <w:tc>
          <w:tcPr>
            <w:tcW w:w="1227" w:type="dxa"/>
            <w:noWrap/>
            <w:hideMark/>
          </w:tcPr>
          <w:p w14:paraId="7C087CF2" w14:textId="47272D29" w:rsidR="005E443D" w:rsidRPr="000973F2" w:rsidRDefault="00FD0AEA" w:rsidP="00FD0AEA">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w:t>
            </w:r>
          </w:p>
        </w:tc>
        <w:tc>
          <w:tcPr>
            <w:tcW w:w="1178" w:type="dxa"/>
            <w:noWrap/>
            <w:hideMark/>
          </w:tcPr>
          <w:p w14:paraId="6CAE58F5" w14:textId="44FC63B9" w:rsidR="005E443D" w:rsidRPr="000973F2" w:rsidRDefault="00FD0AEA" w:rsidP="00FD0AEA">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w:t>
            </w:r>
          </w:p>
        </w:tc>
        <w:tc>
          <w:tcPr>
            <w:tcW w:w="1277" w:type="dxa"/>
            <w:noWrap/>
            <w:hideMark/>
          </w:tcPr>
          <w:p w14:paraId="77979162" w14:textId="218A8447" w:rsidR="005E443D" w:rsidRPr="000973F2" w:rsidRDefault="00FD0AEA" w:rsidP="00FD0AEA">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w:t>
            </w:r>
          </w:p>
        </w:tc>
        <w:tc>
          <w:tcPr>
            <w:tcW w:w="1228" w:type="dxa"/>
            <w:noWrap/>
            <w:hideMark/>
          </w:tcPr>
          <w:p w14:paraId="0CB1497A" w14:textId="5A0169FD" w:rsidR="005E443D" w:rsidRPr="000973F2" w:rsidRDefault="00FD0AEA" w:rsidP="00FD0AEA">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w:t>
            </w:r>
          </w:p>
        </w:tc>
      </w:tr>
      <w:tr w:rsidR="00260534" w:rsidRPr="000973F2" w14:paraId="1D52189C" w14:textId="77777777" w:rsidTr="00FD0AEA">
        <w:trPr>
          <w:cantSplit/>
        </w:trPr>
        <w:tc>
          <w:tcPr>
            <w:cnfStyle w:val="001000000000" w:firstRow="0" w:lastRow="0" w:firstColumn="1" w:lastColumn="0" w:oddVBand="0" w:evenVBand="0" w:oddHBand="0" w:evenHBand="0" w:firstRowFirstColumn="0" w:firstRowLastColumn="0" w:lastRowFirstColumn="0" w:lastRowLastColumn="0"/>
            <w:tcW w:w="1965" w:type="dxa"/>
            <w:shd w:val="clear" w:color="auto" w:fill="auto"/>
            <w:tcMar>
              <w:right w:w="14" w:type="dxa"/>
            </w:tcMar>
            <w:hideMark/>
          </w:tcPr>
          <w:p w14:paraId="5F58A8B2" w14:textId="470E19B6" w:rsidR="005E443D" w:rsidRPr="000973F2" w:rsidRDefault="005E443D" w:rsidP="00FD0AEA">
            <w:pPr>
              <w:spacing w:before="40" w:after="4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Sampling and Analysis Costs</w:t>
            </w:r>
          </w:p>
        </w:tc>
        <w:tc>
          <w:tcPr>
            <w:tcW w:w="1227" w:type="dxa"/>
            <w:shd w:val="clear" w:color="auto" w:fill="auto"/>
            <w:noWrap/>
            <w:hideMark/>
          </w:tcPr>
          <w:p w14:paraId="674C9133" w14:textId="034BF2B8" w:rsidR="005E443D" w:rsidRPr="000973F2" w:rsidRDefault="00FD0AEA" w:rsidP="00FD0AEA">
            <w:pPr>
              <w:spacing w:before="40" w:after="4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w:t>
            </w:r>
          </w:p>
        </w:tc>
        <w:tc>
          <w:tcPr>
            <w:tcW w:w="1228" w:type="dxa"/>
            <w:shd w:val="clear" w:color="auto" w:fill="auto"/>
            <w:noWrap/>
          </w:tcPr>
          <w:p w14:paraId="7F6B37E0" w14:textId="52AA647C" w:rsidR="005E443D" w:rsidRPr="000973F2" w:rsidRDefault="005E443D" w:rsidP="00FD0AEA">
            <w:pPr>
              <w:spacing w:before="40" w:after="4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p>
        </w:tc>
        <w:tc>
          <w:tcPr>
            <w:tcW w:w="1227" w:type="dxa"/>
            <w:shd w:val="clear" w:color="auto" w:fill="auto"/>
            <w:noWrap/>
            <w:hideMark/>
          </w:tcPr>
          <w:p w14:paraId="4F4B9139" w14:textId="13AB2E39" w:rsidR="005E443D" w:rsidRPr="000973F2" w:rsidRDefault="00FD0AEA" w:rsidP="00FD0AEA">
            <w:pPr>
              <w:spacing w:before="40" w:after="4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w:t>
            </w:r>
          </w:p>
        </w:tc>
        <w:tc>
          <w:tcPr>
            <w:tcW w:w="1178" w:type="dxa"/>
            <w:shd w:val="clear" w:color="auto" w:fill="auto"/>
            <w:noWrap/>
            <w:hideMark/>
          </w:tcPr>
          <w:p w14:paraId="210F137F" w14:textId="29190F16" w:rsidR="005E443D" w:rsidRPr="000973F2" w:rsidRDefault="00FD0AEA" w:rsidP="00FD0AEA">
            <w:pPr>
              <w:spacing w:before="40" w:after="4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w:t>
            </w:r>
          </w:p>
        </w:tc>
        <w:tc>
          <w:tcPr>
            <w:tcW w:w="1277" w:type="dxa"/>
            <w:shd w:val="clear" w:color="auto" w:fill="auto"/>
            <w:noWrap/>
            <w:hideMark/>
          </w:tcPr>
          <w:p w14:paraId="5A6BB62B" w14:textId="41648952" w:rsidR="005E443D" w:rsidRPr="000973F2" w:rsidRDefault="00FD0AEA" w:rsidP="00FD0AEA">
            <w:pPr>
              <w:spacing w:before="40" w:after="4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w:t>
            </w:r>
          </w:p>
        </w:tc>
        <w:tc>
          <w:tcPr>
            <w:tcW w:w="1228" w:type="dxa"/>
            <w:shd w:val="clear" w:color="auto" w:fill="auto"/>
            <w:noWrap/>
            <w:hideMark/>
          </w:tcPr>
          <w:p w14:paraId="713870F3" w14:textId="48F4EFD2" w:rsidR="005E443D" w:rsidRPr="000973F2" w:rsidRDefault="00FD0AEA" w:rsidP="00FD0AEA">
            <w:pPr>
              <w:spacing w:before="40" w:after="4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w:t>
            </w:r>
          </w:p>
        </w:tc>
      </w:tr>
      <w:tr w:rsidR="00260534" w:rsidRPr="000973F2" w14:paraId="04A1A27F" w14:textId="77777777" w:rsidTr="00FD0AEA">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1965" w:type="dxa"/>
            <w:tcMar>
              <w:right w:w="14" w:type="dxa"/>
            </w:tcMar>
            <w:hideMark/>
          </w:tcPr>
          <w:p w14:paraId="7186D5BC" w14:textId="77777777" w:rsidR="009A6027" w:rsidRPr="000973F2" w:rsidRDefault="009A6027" w:rsidP="00FD0AEA">
            <w:pPr>
              <w:spacing w:before="40" w:after="40"/>
              <w:rPr>
                <w:rFonts w:ascii="Times New Roman" w:eastAsia="Times New Roman" w:hAnsi="Times New Roman" w:cs="Times New Roman"/>
                <w:b/>
                <w:bCs w:val="0"/>
                <w:sz w:val="18"/>
                <w:szCs w:val="18"/>
              </w:rPr>
            </w:pPr>
            <w:r w:rsidRPr="000973F2">
              <w:rPr>
                <w:rFonts w:ascii="Times New Roman" w:eastAsia="Times New Roman" w:hAnsi="Times New Roman" w:cs="Times New Roman"/>
                <w:b/>
                <w:sz w:val="18"/>
                <w:szCs w:val="18"/>
              </w:rPr>
              <w:t>Total</w:t>
            </w:r>
          </w:p>
        </w:tc>
        <w:tc>
          <w:tcPr>
            <w:tcW w:w="1227" w:type="dxa"/>
            <w:noWrap/>
            <w:hideMark/>
          </w:tcPr>
          <w:p w14:paraId="5CC28EEC" w14:textId="77777777" w:rsidR="009A6027" w:rsidRPr="000973F2" w:rsidRDefault="009A6027" w:rsidP="00FD0AEA">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sz w:val="18"/>
                <w:szCs w:val="18"/>
              </w:rPr>
            </w:pPr>
            <w:r w:rsidRPr="000973F2">
              <w:rPr>
                <w:rFonts w:ascii="Times New Roman" w:eastAsia="Times New Roman" w:hAnsi="Times New Roman" w:cs="Times New Roman"/>
                <w:b/>
                <w:sz w:val="18"/>
                <w:szCs w:val="18"/>
              </w:rPr>
              <w:t>$0</w:t>
            </w:r>
          </w:p>
        </w:tc>
        <w:tc>
          <w:tcPr>
            <w:tcW w:w="1228" w:type="dxa"/>
            <w:noWrap/>
            <w:hideMark/>
          </w:tcPr>
          <w:p w14:paraId="2EF1D6DE" w14:textId="6DDDD83D" w:rsidR="009A6027" w:rsidRPr="000973F2" w:rsidRDefault="009A6027" w:rsidP="00FD0AEA">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sz w:val="18"/>
                <w:szCs w:val="18"/>
              </w:rPr>
            </w:pPr>
          </w:p>
        </w:tc>
        <w:tc>
          <w:tcPr>
            <w:tcW w:w="1227" w:type="dxa"/>
            <w:noWrap/>
            <w:hideMark/>
          </w:tcPr>
          <w:p w14:paraId="0ECCC20B" w14:textId="77777777" w:rsidR="009A6027" w:rsidRPr="000973F2" w:rsidRDefault="009A6027" w:rsidP="00FD0AEA">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sz w:val="18"/>
                <w:szCs w:val="18"/>
              </w:rPr>
            </w:pPr>
            <w:r w:rsidRPr="000973F2">
              <w:rPr>
                <w:rFonts w:ascii="Times New Roman" w:eastAsia="Times New Roman" w:hAnsi="Times New Roman" w:cs="Times New Roman"/>
                <w:b/>
                <w:sz w:val="18"/>
                <w:szCs w:val="18"/>
              </w:rPr>
              <w:t>$0</w:t>
            </w:r>
          </w:p>
        </w:tc>
        <w:tc>
          <w:tcPr>
            <w:tcW w:w="1178" w:type="dxa"/>
            <w:noWrap/>
            <w:hideMark/>
          </w:tcPr>
          <w:p w14:paraId="603CC6BB" w14:textId="77777777" w:rsidR="009A6027" w:rsidRPr="000973F2" w:rsidRDefault="009A6027" w:rsidP="00FD0AEA">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sz w:val="18"/>
                <w:szCs w:val="18"/>
              </w:rPr>
            </w:pPr>
            <w:r w:rsidRPr="000973F2">
              <w:rPr>
                <w:rFonts w:ascii="Times New Roman" w:eastAsia="Times New Roman" w:hAnsi="Times New Roman" w:cs="Times New Roman"/>
                <w:b/>
                <w:sz w:val="18"/>
                <w:szCs w:val="18"/>
              </w:rPr>
              <w:t>$50</w:t>
            </w:r>
          </w:p>
        </w:tc>
        <w:tc>
          <w:tcPr>
            <w:tcW w:w="1277" w:type="dxa"/>
            <w:noWrap/>
            <w:hideMark/>
          </w:tcPr>
          <w:p w14:paraId="16A0F09E" w14:textId="77777777" w:rsidR="009A6027" w:rsidRPr="000973F2" w:rsidRDefault="009A6027" w:rsidP="00FD0AEA">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sz w:val="18"/>
                <w:szCs w:val="18"/>
              </w:rPr>
            </w:pPr>
            <w:r w:rsidRPr="000973F2">
              <w:rPr>
                <w:rFonts w:ascii="Times New Roman" w:eastAsia="Times New Roman" w:hAnsi="Times New Roman" w:cs="Times New Roman"/>
                <w:b/>
                <w:sz w:val="18"/>
                <w:szCs w:val="18"/>
              </w:rPr>
              <w:t>$0</w:t>
            </w:r>
          </w:p>
        </w:tc>
        <w:tc>
          <w:tcPr>
            <w:tcW w:w="1228" w:type="dxa"/>
            <w:noWrap/>
            <w:hideMark/>
          </w:tcPr>
          <w:p w14:paraId="373B9A77" w14:textId="77777777" w:rsidR="009A6027" w:rsidRPr="000973F2" w:rsidRDefault="009A6027" w:rsidP="00FD0AEA">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sz w:val="18"/>
                <w:szCs w:val="18"/>
              </w:rPr>
            </w:pPr>
            <w:r w:rsidRPr="000973F2">
              <w:rPr>
                <w:rFonts w:ascii="Times New Roman" w:eastAsia="Times New Roman" w:hAnsi="Times New Roman" w:cs="Times New Roman"/>
                <w:b/>
                <w:sz w:val="18"/>
                <w:szCs w:val="18"/>
              </w:rPr>
              <w:t>$50</w:t>
            </w:r>
          </w:p>
        </w:tc>
      </w:tr>
    </w:tbl>
    <w:p w14:paraId="47E39EC1" w14:textId="77777777" w:rsidR="009A6027" w:rsidRPr="000973F2" w:rsidRDefault="009A6027" w:rsidP="00FD0AEA">
      <w:pPr>
        <w:pStyle w:val="AfterTable"/>
      </w:pPr>
    </w:p>
    <w:p w14:paraId="0BAB64CF" w14:textId="77777777" w:rsidR="009A6027" w:rsidRPr="000973F2" w:rsidRDefault="009A6027" w:rsidP="00FD0AEA">
      <w:pPr>
        <w:pStyle w:val="Heading2"/>
      </w:pPr>
      <w:bookmarkStart w:id="37" w:name="_Hlk521569247"/>
      <w:r w:rsidRPr="000973F2">
        <w:t>Total Costs for Subpart V</w:t>
      </w:r>
    </w:p>
    <w:p w14:paraId="49470868" w14:textId="7D64C5C9" w:rsidR="009A6027" w:rsidRPr="000973F2" w:rsidRDefault="009A6027" w:rsidP="00FD0AEA">
      <w:pPr>
        <w:pStyle w:val="BodyText"/>
      </w:pPr>
      <w:r w:rsidRPr="000973F2">
        <w:t>The total industry costs related to Subpart V are approximately $340,000 per year for a total of approximately $1</w:t>
      </w:r>
      <w:r w:rsidR="00141699" w:rsidRPr="000973F2">
        <w:t>,</w:t>
      </w:r>
      <w:r w:rsidRPr="000973F2">
        <w:t>02</w:t>
      </w:r>
      <w:r w:rsidR="00141699" w:rsidRPr="000973F2">
        <w:t>1,000</w:t>
      </w:r>
      <w:r w:rsidRPr="000973F2">
        <w:t xml:space="preserve"> over the three-year period of the ICR. 32 facilities are expected to report in 2019, 2020, and 2021.</w:t>
      </w:r>
    </w:p>
    <w:bookmarkEnd w:id="37"/>
    <w:p w14:paraId="451A58E2" w14:textId="77777777" w:rsidR="009A6027" w:rsidRPr="000973F2" w:rsidRDefault="009A6027" w:rsidP="00C00E4F">
      <w:pPr>
        <w:spacing w:line="240" w:lineRule="auto"/>
        <w:rPr>
          <w:rFonts w:ascii="Times New Roman" w:hAnsi="Times New Roman" w:cs="Times New Roman"/>
        </w:rPr>
      </w:pPr>
    </w:p>
    <w:p w14:paraId="7461A742" w14:textId="49B7E2AB" w:rsidR="009A6027" w:rsidRPr="000973F2" w:rsidRDefault="009A6027" w:rsidP="00C00E4F">
      <w:pPr>
        <w:spacing w:line="240" w:lineRule="auto"/>
        <w:rPr>
          <w:rFonts w:ascii="Times New Roman" w:hAnsi="Times New Roman" w:cs="Times New Roman"/>
        </w:rPr>
      </w:pPr>
      <w:r w:rsidRPr="000973F2">
        <w:rPr>
          <w:rFonts w:ascii="Times New Roman" w:hAnsi="Times New Roman" w:cs="Times New Roman"/>
        </w:rPr>
        <w:br w:type="page"/>
      </w:r>
    </w:p>
    <w:p w14:paraId="3ADD73DC" w14:textId="62B7BB09" w:rsidR="00AB6F50" w:rsidRPr="000973F2" w:rsidRDefault="00AB6F50" w:rsidP="00C00E4F">
      <w:pPr>
        <w:pStyle w:val="Heading1"/>
        <w:spacing w:line="240" w:lineRule="auto"/>
      </w:pPr>
      <w:bookmarkStart w:id="38" w:name="_Toc10715614"/>
      <w:r w:rsidRPr="000973F2">
        <w:t>Cost Appendix</w:t>
      </w:r>
      <w:r w:rsidR="00996D64" w:rsidRPr="000973F2">
        <w:t xml:space="preserve"> for</w:t>
      </w:r>
      <w:r w:rsidRPr="000973F2">
        <w:t xml:space="preserve"> Subpart W – Petroleum and Natural Gas Systems</w:t>
      </w:r>
      <w:bookmarkEnd w:id="38"/>
    </w:p>
    <w:p w14:paraId="5CB28A99" w14:textId="77777777" w:rsidR="00AB6F50" w:rsidRPr="000973F2" w:rsidRDefault="00AB6F50" w:rsidP="0061585D">
      <w:pPr>
        <w:pStyle w:val="Heading2"/>
      </w:pPr>
      <w:r w:rsidRPr="000973F2">
        <w:t>Description of Subpart W</w:t>
      </w:r>
    </w:p>
    <w:p w14:paraId="487BFAF4" w14:textId="01378785" w:rsidR="00AB6F50" w:rsidRPr="000973F2" w:rsidRDefault="000155DC" w:rsidP="00260534">
      <w:pPr>
        <w:pStyle w:val="BodyText"/>
        <w:rPr>
          <w:szCs w:val="20"/>
        </w:rPr>
      </w:pPr>
      <w:r w:rsidRPr="000973F2">
        <w:t xml:space="preserve">Appendix E to the Supporting Statement contains the burden and costs for Subpart W, including the detailed labor assumptions used for each activity required for each industry segment in Subpart W. </w:t>
      </w:r>
      <w:r w:rsidR="00AB6F50" w:rsidRPr="000973F2">
        <w:rPr>
          <w:szCs w:val="20"/>
        </w:rPr>
        <w:t xml:space="preserve">For purposes of the GHGRP, the petroleum and natural gas systems source category consists of the following industry segments (as defined in §98.230): </w:t>
      </w:r>
    </w:p>
    <w:p w14:paraId="575747A5" w14:textId="77777777" w:rsidR="00AB6F50" w:rsidRPr="000973F2" w:rsidRDefault="00AB6F50" w:rsidP="00260534">
      <w:pPr>
        <w:pStyle w:val="Bulletlist1"/>
      </w:pPr>
      <w:r w:rsidRPr="000973F2">
        <w:rPr>
          <w:b/>
        </w:rPr>
        <w:t>Offshore Petroleum and Natural Gas Production</w:t>
      </w:r>
      <w:r w:rsidRPr="000973F2">
        <w:t>: Any platform structure, affixed temporarily or permanently to offshore submerged lands, that houses equipment to extract hydrocarbons from the ocean or lake floor and that processes and/or transfers such hydrocarbons to storage, transport vessels, or onshore. Based on RY2017, there are 141 reporters in this industry segment.</w:t>
      </w:r>
    </w:p>
    <w:p w14:paraId="4A645916" w14:textId="77777777" w:rsidR="00AB6F50" w:rsidRPr="000973F2" w:rsidRDefault="00AB6F50" w:rsidP="00260534">
      <w:pPr>
        <w:pStyle w:val="Bulletlist1"/>
      </w:pPr>
      <w:r w:rsidRPr="000973F2">
        <w:rPr>
          <w:b/>
        </w:rPr>
        <w:t>Onshore Petroleum and Natural Gas Production</w:t>
      </w:r>
      <w:r w:rsidRPr="000973F2">
        <w:t>: All equipment on a single well-pad or associated with a single well-pad used in the production, extraction, recovery, lifting, stabilization, separation or treating of petroleum and/or natural gas (including condensate). Based on RY2017, there are 497 reporters in this industry segment.</w:t>
      </w:r>
    </w:p>
    <w:p w14:paraId="06BA7A29" w14:textId="77777777" w:rsidR="00AB6F50" w:rsidRPr="000973F2" w:rsidRDefault="00AB6F50" w:rsidP="00260534">
      <w:pPr>
        <w:pStyle w:val="Bulletlist1"/>
      </w:pPr>
      <w:r w:rsidRPr="000973F2">
        <w:rPr>
          <w:b/>
        </w:rPr>
        <w:t>Onshore Natural Gas Processing</w:t>
      </w:r>
      <w:r w:rsidRPr="000973F2">
        <w:t>: Processing of field-quality gas to produce pipeline-quality natural gas, processing plants that fractionate gas liquids, and processing plants that do not fractionate gas liquids but have an annual average throughput of 25 MMscf per day or greater. Based on RY2017, there are 449 reporters in this industry segment.</w:t>
      </w:r>
    </w:p>
    <w:p w14:paraId="3AED3037" w14:textId="77777777" w:rsidR="00AB6F50" w:rsidRPr="000973F2" w:rsidRDefault="00AB6F50" w:rsidP="00260534">
      <w:pPr>
        <w:pStyle w:val="Bulletlist1"/>
      </w:pPr>
      <w:r w:rsidRPr="000973F2">
        <w:rPr>
          <w:b/>
        </w:rPr>
        <w:t>Onshore Natural Gas Transmission Compression</w:t>
      </w:r>
      <w:r w:rsidRPr="000973F2">
        <w:t>: Compressor stations used to transfer natural gas through transmission pipelines. Based on RY2017, there are 532 reporters in this industry segment.</w:t>
      </w:r>
    </w:p>
    <w:p w14:paraId="385F8619" w14:textId="77777777" w:rsidR="00AB6F50" w:rsidRPr="000973F2" w:rsidRDefault="00AB6F50" w:rsidP="00260534">
      <w:pPr>
        <w:pStyle w:val="Bulletlist1"/>
      </w:pPr>
      <w:r w:rsidRPr="000973F2">
        <w:rPr>
          <w:b/>
        </w:rPr>
        <w:t>Underground Natural Gas Storage</w:t>
      </w:r>
      <w:r w:rsidRPr="000973F2">
        <w:t>: Reporters that store natural gas in underground formations. Based on RY2017, there are 48 reporters in this industry segment.</w:t>
      </w:r>
    </w:p>
    <w:p w14:paraId="43A837EF" w14:textId="77777777" w:rsidR="00AB6F50" w:rsidRPr="000973F2" w:rsidRDefault="00AB6F50" w:rsidP="00260534">
      <w:pPr>
        <w:pStyle w:val="Bulletlist1"/>
      </w:pPr>
      <w:r w:rsidRPr="000973F2">
        <w:rPr>
          <w:b/>
        </w:rPr>
        <w:t>Liquefied Natural Gas (LNG) Storage</w:t>
      </w:r>
      <w:r w:rsidRPr="000973F2">
        <w:t>: Onshore LNG storage vessels located above ground, equipment for liquefying natural gas, compressors to capture and re-liquefy boil-off-gas, re-condensers, and vaporization units for re-gasification of the liquefied natural gas.</w:t>
      </w:r>
      <w:r w:rsidRPr="000973F2" w:rsidDel="003F2FAA">
        <w:t xml:space="preserve"> </w:t>
      </w:r>
      <w:r w:rsidRPr="000973F2">
        <w:t>Based on RY2017, there are 6 reporters in this industry segment.</w:t>
      </w:r>
    </w:p>
    <w:p w14:paraId="2776B746" w14:textId="77777777" w:rsidR="00AB6F50" w:rsidRPr="000973F2" w:rsidRDefault="00AB6F50" w:rsidP="00260534">
      <w:pPr>
        <w:pStyle w:val="Bulletlist1"/>
      </w:pPr>
      <w:r w:rsidRPr="000973F2">
        <w:rPr>
          <w:b/>
        </w:rPr>
        <w:t>LNG Import/Export</w:t>
      </w:r>
      <w:r w:rsidRPr="000973F2">
        <w:t>: All onshore or offshore equipment that receives imported LNG via ocean transport, stores LNG, re-gasifies LNG, and delivers re-gasified natural gas to a natural gas transmission or distribution system. Based on RY2017, there are 6 reporters in this industry segment.</w:t>
      </w:r>
    </w:p>
    <w:p w14:paraId="1061BE0B" w14:textId="77777777" w:rsidR="00AB6F50" w:rsidRPr="000973F2" w:rsidRDefault="00AB6F50" w:rsidP="00260534">
      <w:pPr>
        <w:pStyle w:val="Bulletlist1"/>
      </w:pPr>
      <w:r w:rsidRPr="000973F2">
        <w:rPr>
          <w:b/>
        </w:rPr>
        <w:t>Natural Gas Distribution</w:t>
      </w:r>
      <w:r w:rsidRPr="000973F2">
        <w:t>: Distribution systems that deliver natural gas to customers. Based on RY2017, there are 169 reporters in this industry segment.</w:t>
      </w:r>
    </w:p>
    <w:p w14:paraId="10C455A9" w14:textId="77777777" w:rsidR="00AB6F50" w:rsidRPr="000973F2" w:rsidRDefault="00AB6F50" w:rsidP="00260534">
      <w:pPr>
        <w:pStyle w:val="Bulletlist1"/>
      </w:pPr>
      <w:r w:rsidRPr="000973F2">
        <w:rPr>
          <w:b/>
        </w:rPr>
        <w:t>Onshore Petroleum and Natural Gas Gathering and Boosting (new for RY2016)</w:t>
      </w:r>
      <w:r w:rsidRPr="000973F2">
        <w:t xml:space="preserve">: Gathering pipelines and other equipment used to collect petroleum/natural gas from onshore production gas or oil wells and used to compress, dehydrate, sweeten, or transport the petroleum/natural gas. Based on RY2017, there are 321 reporters in this industry segment. </w:t>
      </w:r>
    </w:p>
    <w:p w14:paraId="5716E792" w14:textId="77777777" w:rsidR="00AB6F50" w:rsidRPr="000973F2" w:rsidRDefault="00AB6F50" w:rsidP="00260534">
      <w:pPr>
        <w:pStyle w:val="Bulletlist1"/>
      </w:pPr>
      <w:r w:rsidRPr="000973F2">
        <w:rPr>
          <w:b/>
        </w:rPr>
        <w:t>Onshore Natural Gas Transmission Pipeline (new for RY2016)</w:t>
      </w:r>
      <w:r w:rsidRPr="000973F2">
        <w:t>: All natural gas transmission pipelines as defined in §98.238 (a rate-regulated interstate or intrastate pipeline, or a pipeline that falls under the "Hinshaw Exemption" of the Natural Gas Act). Based on RY2017, there are 33 reporters in this industry segment.</w:t>
      </w:r>
    </w:p>
    <w:p w14:paraId="24BEA834" w14:textId="77777777" w:rsidR="00AB6F50" w:rsidRPr="000973F2" w:rsidRDefault="00AB6F50" w:rsidP="00260534">
      <w:pPr>
        <w:pStyle w:val="BodyTextfirst"/>
      </w:pPr>
      <w:r w:rsidRPr="000973F2">
        <w:t>For all industry segments within Subpart W except for Offshore Petroleum and Natural Gas Production, labor hours related to recordkeeping and reporting are based on the “high bin” designation, as discussed in the Cost Appendix Introduction. Subpart W has higher labor rates than other subparts because oil and gas companies typically pay higher than average salaries. Those labor categories are represented in all tables in this chapter as Lawyer, Middle Manager, Senior Manager, Engineer, and Technician.</w:t>
      </w:r>
    </w:p>
    <w:p w14:paraId="41479667" w14:textId="77777777" w:rsidR="00AB6F50" w:rsidRPr="000973F2" w:rsidRDefault="00AB6F50" w:rsidP="00260534">
      <w:pPr>
        <w:pStyle w:val="BodyText"/>
      </w:pPr>
      <w:r w:rsidRPr="000973F2">
        <w:t>For the Offshore Petroleum and Natural Gas Production industry segment, the same labor rates will be used but it is expected that reporters will use one half of the time allotted for recordkeeping and reporting by the “high bin” designation. Reporters in the Offshore Petroleum and Natural Gas Production industry segment submit information that is already submitted through other programs; therefore, EPA estimates that less time will be needed to report Subpart W data than for Subpart W reporters in other industry segments. While the information is already gathered for other programs, time will be needed by reporters in the Offshore Petroleum and Natural Gas Production industry segment to separate the Subpart W specific data from the data reported to other programs and to aggregate any necessary information specifically for Subpart W reporting.</w:t>
      </w:r>
    </w:p>
    <w:p w14:paraId="7261BA24" w14:textId="77777777" w:rsidR="00AB6F50" w:rsidRPr="000973F2" w:rsidRDefault="00AB6F50" w:rsidP="00260534">
      <w:pPr>
        <w:pStyle w:val="BodyText"/>
      </w:pPr>
      <w:r w:rsidRPr="000973F2">
        <w:t>Subpart W contains specific definitions of “facility” depending on the industry segment. To avoid confusion, the Subpart W chapter of this Cost Appendix refers to each entity with an e-GGRT ID as a “reporter” whereas other chapters of this Cost Appendix use the term “facility.”</w:t>
      </w:r>
    </w:p>
    <w:p w14:paraId="2A2EF748" w14:textId="1CBB50B6" w:rsidR="00AB6F50" w:rsidRPr="000973F2" w:rsidRDefault="00AB6F50" w:rsidP="00260534">
      <w:pPr>
        <w:pStyle w:val="BodyText"/>
        <w:rPr>
          <w:i/>
          <w:sz w:val="20"/>
        </w:rPr>
      </w:pPr>
      <w:r w:rsidRPr="000973F2">
        <w:t xml:space="preserve">Many of the industry segments in the oil and gas source category are expected to have a few new reporters in 2019 through 2021. However, it is difficult to develop a realistic estimate of the number of new reporters due to unpredictable market conditions and considerable merger and acquisition activity. Since 2014, the number of new reporters per year has been approximately balanced by the number of reporters exiting the program per the provisions in §98.2(i). Therefore, the total number of reporters has remained relatively stable (excluding the addition of two new industry segments in RY2016) and we expect that the count of reporters in RY2017 provides a reasonable estimate of the number of reporters during the </w:t>
      </w:r>
      <w:r w:rsidR="00E468FF" w:rsidRPr="000973F2">
        <w:t>three year period covered by this</w:t>
      </w:r>
      <w:r w:rsidRPr="000973F2">
        <w:t xml:space="preserve"> ICR. Initial year costs apply only to new reporters; therefore, those costs are zero in all tables below.</w:t>
      </w:r>
    </w:p>
    <w:p w14:paraId="66D156E7" w14:textId="77777777" w:rsidR="00AB6F50" w:rsidRPr="000973F2" w:rsidRDefault="00AB6F50" w:rsidP="00C00E4F">
      <w:pPr>
        <w:spacing w:line="240" w:lineRule="auto"/>
        <w:rPr>
          <w:rFonts w:ascii="Times New Roman" w:hAnsi="Times New Roman" w:cs="Times New Roman"/>
          <w:i/>
          <w:sz w:val="20"/>
          <w:szCs w:val="20"/>
        </w:rPr>
      </w:pPr>
    </w:p>
    <w:p w14:paraId="4881F949" w14:textId="77777777" w:rsidR="0072037C" w:rsidRPr="000973F2" w:rsidRDefault="0072037C" w:rsidP="00C00E4F">
      <w:pPr>
        <w:spacing w:line="240" w:lineRule="auto"/>
        <w:rPr>
          <w:rFonts w:ascii="Times New Roman" w:hAnsi="Times New Roman" w:cs="Times New Roman"/>
          <w:b/>
          <w:i/>
          <w:szCs w:val="20"/>
        </w:rPr>
      </w:pPr>
      <w:r w:rsidRPr="000973F2">
        <w:rPr>
          <w:rFonts w:ascii="Times New Roman" w:hAnsi="Times New Roman" w:cs="Times New Roman"/>
          <w:b/>
          <w:i/>
          <w:szCs w:val="20"/>
        </w:rPr>
        <w:br w:type="page"/>
      </w:r>
    </w:p>
    <w:p w14:paraId="07FFBC48" w14:textId="711CEE88" w:rsidR="00AB6F50" w:rsidRPr="000973F2" w:rsidRDefault="00AB6F50" w:rsidP="00260534">
      <w:pPr>
        <w:pStyle w:val="Heading2"/>
      </w:pPr>
      <w:r w:rsidRPr="000973F2">
        <w:t xml:space="preserve">Labor Costs for Subpart </w:t>
      </w:r>
      <w:bookmarkStart w:id="39" w:name="_Hlk520721858"/>
      <w:r w:rsidRPr="000973F2">
        <w:t xml:space="preserve">W </w:t>
      </w:r>
      <w:r w:rsidR="00260534" w:rsidRPr="000973F2">
        <w:t>–</w:t>
      </w:r>
      <w:r w:rsidRPr="000973F2">
        <w:t xml:space="preserve"> Offshore Petroleum and Natural Gas Production</w:t>
      </w:r>
      <w:bookmarkEnd w:id="39"/>
    </w:p>
    <w:p w14:paraId="78E6B9E5" w14:textId="0D551E19" w:rsidR="00AB6F50" w:rsidRPr="000973F2" w:rsidRDefault="00AB6F50" w:rsidP="00260534">
      <w:pPr>
        <w:pStyle w:val="BodyText"/>
      </w:pPr>
      <w:r w:rsidRPr="000973F2">
        <w:t xml:space="preserve">Table </w:t>
      </w:r>
      <w:r w:rsidR="00260534" w:rsidRPr="000973F2">
        <w:t>W-</w:t>
      </w:r>
      <w:r w:rsidRPr="000973F2">
        <w:t>1a below includes the labor hours for each of the 141 existing reporters in the Offshore Petroleum and Natural Gas Production industry segment to comply with Subpart W according to §98.232(b). Typical activities related to planning, QA/QC, recordkeeping and reporting, and sampling and analysis (which includes emission calculations) are discussed in the Cost Appendix Introduction.</w:t>
      </w:r>
    </w:p>
    <w:p w14:paraId="467678AF" w14:textId="77777777" w:rsidR="00AB6F50" w:rsidRPr="000973F2" w:rsidRDefault="00AB6F50" w:rsidP="00260534">
      <w:pPr>
        <w:pStyle w:val="BodyText"/>
      </w:pPr>
      <w:r w:rsidRPr="000973F2">
        <w:t>For this industry segment, labor hours are only related to planning activities and recordkeeping and reporting.</w:t>
      </w:r>
    </w:p>
    <w:p w14:paraId="1421F130" w14:textId="4E804981" w:rsidR="00AB6F50" w:rsidRPr="000973F2" w:rsidRDefault="00AB6F50" w:rsidP="0061585D">
      <w:pPr>
        <w:pStyle w:val="Heading2"/>
      </w:pPr>
      <w:r w:rsidRPr="000973F2">
        <w:t xml:space="preserve">Capital and O&amp;M Costs for Subpart W </w:t>
      </w:r>
      <w:r w:rsidR="00260534" w:rsidRPr="000973F2">
        <w:t>–</w:t>
      </w:r>
      <w:r w:rsidRPr="000973F2">
        <w:t xml:space="preserve"> Offshore Petroleum and Natural Gas Production</w:t>
      </w:r>
    </w:p>
    <w:p w14:paraId="558081C6" w14:textId="523B2D50" w:rsidR="00D7070F" w:rsidRPr="000973F2" w:rsidRDefault="00AB6F50" w:rsidP="00260534">
      <w:pPr>
        <w:pStyle w:val="BodyText"/>
      </w:pPr>
      <w:r w:rsidRPr="000973F2">
        <w:t xml:space="preserve">Table </w:t>
      </w:r>
      <w:r w:rsidR="00260534" w:rsidRPr="000973F2">
        <w:t>W-</w:t>
      </w:r>
      <w:r w:rsidRPr="000973F2">
        <w:t>2a below includes the capital and O&amp;M costs for each of the 141 reporters in the Offshore Petroleum and Natural Gas Production industry segment to comply with Subpart W according to §98.232(b). O&amp;M costs related to recordkeeping are discussed in the Cost Appendix Introduction.</w:t>
      </w:r>
    </w:p>
    <w:p w14:paraId="6054B8A1" w14:textId="36B41F4C" w:rsidR="00AB6F50" w:rsidRPr="000973F2" w:rsidRDefault="00AB6F50" w:rsidP="00260534">
      <w:pPr>
        <w:pStyle w:val="Tabletitle"/>
      </w:pPr>
      <w:r w:rsidRPr="000973F2">
        <w:t xml:space="preserve">Table </w:t>
      </w:r>
      <w:r w:rsidR="00260534" w:rsidRPr="000973F2">
        <w:t>W-</w:t>
      </w:r>
      <w:r w:rsidRPr="000973F2">
        <w:t xml:space="preserve">1a. </w:t>
      </w:r>
      <w:r w:rsidR="00381C51" w:rsidRPr="000973F2">
        <w:t xml:space="preserve">Labor Costs </w:t>
      </w:r>
      <w:r w:rsidR="00B960CC" w:rsidRPr="000973F2">
        <w:t>–</w:t>
      </w:r>
      <w:r w:rsidR="00260534" w:rsidRPr="000973F2">
        <w:t xml:space="preserve"> </w:t>
      </w:r>
      <w:r w:rsidRPr="000973F2">
        <w:t>Subpart W – Offshore Petroleum and Natural Gas Production</w:t>
      </w:r>
    </w:p>
    <w:tbl>
      <w:tblPr>
        <w:tblStyle w:val="PlainTable1"/>
        <w:tblW w:w="5000" w:type="pct"/>
        <w:jc w:val="left"/>
        <w:tblLayout w:type="fixed"/>
        <w:tblCellMar>
          <w:left w:w="115" w:type="dxa"/>
          <w:right w:w="115" w:type="dxa"/>
        </w:tblCellMar>
        <w:tblLook w:val="04A0" w:firstRow="1" w:lastRow="0" w:firstColumn="1" w:lastColumn="0" w:noHBand="0" w:noVBand="1"/>
      </w:tblPr>
      <w:tblGrid>
        <w:gridCol w:w="1359"/>
        <w:gridCol w:w="681"/>
        <w:gridCol w:w="682"/>
        <w:gridCol w:w="682"/>
        <w:gridCol w:w="680"/>
        <w:gridCol w:w="681"/>
        <w:gridCol w:w="681"/>
        <w:gridCol w:w="680"/>
        <w:gridCol w:w="681"/>
        <w:gridCol w:w="681"/>
        <w:gridCol w:w="681"/>
        <w:gridCol w:w="512"/>
        <w:gridCol w:w="809"/>
      </w:tblGrid>
      <w:tr w:rsidR="00AB6F50" w:rsidRPr="000973F2" w14:paraId="3E15A924" w14:textId="77777777" w:rsidTr="006E60B3">
        <w:trPr>
          <w:cnfStyle w:val="100000000000" w:firstRow="1" w:lastRow="0" w:firstColumn="0" w:lastColumn="0" w:oddVBand="0" w:evenVBand="0" w:oddHBand="0" w:evenHBand="0" w:firstRowFirstColumn="0" w:firstRowLastColumn="0" w:lastRowFirstColumn="0" w:lastRowLastColumn="0"/>
          <w:cantSplit/>
          <w:jc w:val="left"/>
        </w:trPr>
        <w:tc>
          <w:tcPr>
            <w:cnfStyle w:val="001000000000" w:firstRow="0" w:lastRow="0" w:firstColumn="1" w:lastColumn="0" w:oddVBand="0" w:evenVBand="0" w:oddHBand="0" w:evenHBand="0" w:firstRowFirstColumn="0" w:firstRowLastColumn="0" w:lastRowFirstColumn="0" w:lastRowLastColumn="0"/>
            <w:tcW w:w="1335" w:type="dxa"/>
            <w:vMerge w:val="restart"/>
            <w:noWrap/>
            <w:vAlign w:val="top"/>
            <w:hideMark/>
          </w:tcPr>
          <w:p w14:paraId="2D3BDBD8" w14:textId="77777777" w:rsidR="00AB6F50" w:rsidRPr="000973F2" w:rsidRDefault="00AB6F50" w:rsidP="006E60B3">
            <w:pPr>
              <w:spacing w:before="30" w:after="30"/>
              <w:rPr>
                <w:rFonts w:ascii="Times New Roman" w:eastAsia="Times New Roman" w:hAnsi="Times New Roman" w:cs="Times New Roman"/>
                <w:b w:val="0"/>
                <w:bCs w:val="0"/>
                <w:sz w:val="18"/>
                <w:szCs w:val="18"/>
              </w:rPr>
            </w:pPr>
            <w:r w:rsidRPr="000973F2">
              <w:rPr>
                <w:rFonts w:ascii="Times New Roman" w:eastAsia="Times New Roman" w:hAnsi="Times New Roman" w:cs="Times New Roman"/>
                <w:sz w:val="18"/>
                <w:szCs w:val="18"/>
              </w:rPr>
              <w:t>Activity</w:t>
            </w:r>
          </w:p>
        </w:tc>
        <w:tc>
          <w:tcPr>
            <w:tcW w:w="6697" w:type="dxa"/>
            <w:gridSpan w:val="10"/>
            <w:noWrap/>
            <w:vAlign w:val="top"/>
            <w:hideMark/>
          </w:tcPr>
          <w:p w14:paraId="6C6DC1C3" w14:textId="77777777" w:rsidR="00AB6F50" w:rsidRPr="000973F2" w:rsidRDefault="00AB6F50" w:rsidP="006E60B3">
            <w:pPr>
              <w:spacing w:before="30" w:after="30"/>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bCs w:val="0"/>
                <w:sz w:val="18"/>
                <w:szCs w:val="18"/>
              </w:rPr>
            </w:pPr>
            <w:r w:rsidRPr="000973F2">
              <w:rPr>
                <w:rFonts w:ascii="Times New Roman" w:eastAsia="Times New Roman" w:hAnsi="Times New Roman" w:cs="Times New Roman"/>
                <w:sz w:val="18"/>
                <w:szCs w:val="18"/>
              </w:rPr>
              <w:t>Labor Rates (per hour)</w:t>
            </w:r>
          </w:p>
        </w:tc>
        <w:tc>
          <w:tcPr>
            <w:tcW w:w="1298" w:type="dxa"/>
            <w:gridSpan w:val="2"/>
            <w:vMerge w:val="restart"/>
            <w:tcMar>
              <w:left w:w="14" w:type="dxa"/>
              <w:right w:w="14" w:type="dxa"/>
            </w:tcMar>
            <w:vAlign w:val="top"/>
            <w:hideMark/>
          </w:tcPr>
          <w:p w14:paraId="62C1C0FE" w14:textId="0C1F072F" w:rsidR="00AB6F50" w:rsidRPr="000973F2" w:rsidRDefault="00AB6F50" w:rsidP="006E60B3">
            <w:pPr>
              <w:spacing w:before="30" w:after="30"/>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bCs w:val="0"/>
                <w:sz w:val="18"/>
                <w:szCs w:val="18"/>
              </w:rPr>
            </w:pPr>
            <w:r w:rsidRPr="000973F2">
              <w:rPr>
                <w:rFonts w:ascii="Times New Roman" w:eastAsia="Times New Roman" w:hAnsi="Times New Roman" w:cs="Times New Roman"/>
                <w:sz w:val="18"/>
                <w:szCs w:val="18"/>
              </w:rPr>
              <w:t>Total Labor Cost per Year per Reporter</w:t>
            </w:r>
            <w:r w:rsidR="006E60B3" w:rsidRPr="000973F2">
              <w:rPr>
                <w:rFonts w:ascii="Times New Roman" w:eastAsia="Times New Roman" w:hAnsi="Times New Roman" w:cs="Times New Roman"/>
                <w:sz w:val="18"/>
                <w:szCs w:val="18"/>
              </w:rPr>
              <w:t xml:space="preserve"> </w:t>
            </w:r>
            <w:r w:rsidRPr="000973F2">
              <w:rPr>
                <w:rFonts w:ascii="Times New Roman" w:eastAsia="Times New Roman" w:hAnsi="Times New Roman" w:cs="Times New Roman"/>
                <w:sz w:val="18"/>
                <w:szCs w:val="18"/>
              </w:rPr>
              <w:t>(2017$)</w:t>
            </w:r>
          </w:p>
        </w:tc>
      </w:tr>
      <w:tr w:rsidR="00AB6F50" w:rsidRPr="000973F2" w14:paraId="323164AA" w14:textId="77777777" w:rsidTr="006E60B3">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1335" w:type="dxa"/>
            <w:vMerge/>
            <w:hideMark/>
          </w:tcPr>
          <w:p w14:paraId="60068DE3" w14:textId="77777777" w:rsidR="00AB6F50" w:rsidRPr="000973F2" w:rsidRDefault="00AB6F50" w:rsidP="006E60B3">
            <w:pPr>
              <w:spacing w:before="30" w:after="30"/>
              <w:rPr>
                <w:rFonts w:ascii="Times New Roman" w:eastAsia="Times New Roman" w:hAnsi="Times New Roman" w:cs="Times New Roman"/>
                <w:b/>
                <w:bCs w:val="0"/>
                <w:sz w:val="18"/>
                <w:szCs w:val="18"/>
              </w:rPr>
            </w:pPr>
          </w:p>
        </w:tc>
        <w:tc>
          <w:tcPr>
            <w:tcW w:w="1339" w:type="dxa"/>
            <w:gridSpan w:val="2"/>
            <w:noWrap/>
            <w:hideMark/>
          </w:tcPr>
          <w:p w14:paraId="767E2610" w14:textId="77777777" w:rsidR="00AB6F50" w:rsidRPr="000973F2" w:rsidRDefault="00AB6F50" w:rsidP="006E60B3">
            <w:pPr>
              <w:spacing w:before="30" w:after="3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18"/>
                <w:szCs w:val="18"/>
              </w:rPr>
            </w:pPr>
            <w:r w:rsidRPr="000973F2">
              <w:rPr>
                <w:rFonts w:ascii="Times New Roman" w:eastAsia="Times New Roman" w:hAnsi="Times New Roman" w:cs="Times New Roman"/>
                <w:b/>
                <w:bCs/>
                <w:sz w:val="18"/>
                <w:szCs w:val="18"/>
              </w:rPr>
              <w:t>Lawyer</w:t>
            </w:r>
          </w:p>
        </w:tc>
        <w:tc>
          <w:tcPr>
            <w:tcW w:w="1339" w:type="dxa"/>
            <w:gridSpan w:val="2"/>
            <w:noWrap/>
            <w:hideMark/>
          </w:tcPr>
          <w:p w14:paraId="60872387" w14:textId="77777777" w:rsidR="00AB6F50" w:rsidRPr="000973F2" w:rsidRDefault="00AB6F50" w:rsidP="006E60B3">
            <w:pPr>
              <w:spacing w:before="30" w:after="3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18"/>
                <w:szCs w:val="18"/>
              </w:rPr>
            </w:pPr>
            <w:r w:rsidRPr="000973F2">
              <w:rPr>
                <w:rFonts w:ascii="Times New Roman" w:eastAsia="Times New Roman" w:hAnsi="Times New Roman" w:cs="Times New Roman"/>
                <w:b/>
                <w:bCs/>
                <w:sz w:val="18"/>
                <w:szCs w:val="18"/>
              </w:rPr>
              <w:t>Senior Manager</w:t>
            </w:r>
          </w:p>
        </w:tc>
        <w:tc>
          <w:tcPr>
            <w:tcW w:w="1340" w:type="dxa"/>
            <w:gridSpan w:val="2"/>
            <w:noWrap/>
            <w:hideMark/>
          </w:tcPr>
          <w:p w14:paraId="3B6AEBA7" w14:textId="77777777" w:rsidR="00AB6F50" w:rsidRPr="000973F2" w:rsidRDefault="00AB6F50" w:rsidP="006E60B3">
            <w:pPr>
              <w:spacing w:before="30" w:after="3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18"/>
                <w:szCs w:val="18"/>
              </w:rPr>
            </w:pPr>
            <w:r w:rsidRPr="000973F2">
              <w:rPr>
                <w:rFonts w:ascii="Times New Roman" w:eastAsia="Times New Roman" w:hAnsi="Times New Roman" w:cs="Times New Roman"/>
                <w:b/>
                <w:bCs/>
                <w:sz w:val="18"/>
                <w:szCs w:val="18"/>
              </w:rPr>
              <w:t>Middle Manager</w:t>
            </w:r>
          </w:p>
        </w:tc>
        <w:tc>
          <w:tcPr>
            <w:tcW w:w="1339" w:type="dxa"/>
            <w:gridSpan w:val="2"/>
            <w:hideMark/>
          </w:tcPr>
          <w:p w14:paraId="0FDF37F1" w14:textId="77777777" w:rsidR="00AB6F50" w:rsidRPr="000973F2" w:rsidRDefault="00AB6F50" w:rsidP="006E60B3">
            <w:pPr>
              <w:spacing w:before="30" w:after="3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18"/>
                <w:szCs w:val="18"/>
              </w:rPr>
            </w:pPr>
            <w:r w:rsidRPr="000973F2">
              <w:rPr>
                <w:rFonts w:ascii="Times New Roman" w:eastAsia="Times New Roman" w:hAnsi="Times New Roman" w:cs="Times New Roman"/>
                <w:b/>
                <w:bCs/>
                <w:sz w:val="18"/>
                <w:szCs w:val="18"/>
              </w:rPr>
              <w:t>Engineer</w:t>
            </w:r>
          </w:p>
        </w:tc>
        <w:tc>
          <w:tcPr>
            <w:tcW w:w="1340" w:type="dxa"/>
            <w:gridSpan w:val="2"/>
            <w:hideMark/>
          </w:tcPr>
          <w:p w14:paraId="0171DCF7" w14:textId="77777777" w:rsidR="00AB6F50" w:rsidRPr="000973F2" w:rsidRDefault="00AB6F50" w:rsidP="006E60B3">
            <w:pPr>
              <w:spacing w:before="30" w:after="3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18"/>
                <w:szCs w:val="18"/>
              </w:rPr>
            </w:pPr>
            <w:r w:rsidRPr="000973F2">
              <w:rPr>
                <w:rFonts w:ascii="Times New Roman" w:eastAsia="Times New Roman" w:hAnsi="Times New Roman" w:cs="Times New Roman"/>
                <w:b/>
                <w:bCs/>
                <w:sz w:val="18"/>
                <w:szCs w:val="18"/>
              </w:rPr>
              <w:t>Technician</w:t>
            </w:r>
          </w:p>
        </w:tc>
        <w:tc>
          <w:tcPr>
            <w:tcW w:w="1298" w:type="dxa"/>
            <w:gridSpan w:val="2"/>
            <w:vMerge/>
            <w:hideMark/>
          </w:tcPr>
          <w:p w14:paraId="08369CFE" w14:textId="77777777" w:rsidR="00AB6F50" w:rsidRPr="000973F2" w:rsidRDefault="00AB6F50" w:rsidP="006E60B3">
            <w:pPr>
              <w:spacing w:before="30" w:after="3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18"/>
                <w:szCs w:val="18"/>
              </w:rPr>
            </w:pPr>
          </w:p>
        </w:tc>
      </w:tr>
      <w:tr w:rsidR="00AB6F50" w:rsidRPr="000973F2" w14:paraId="3D0669C4" w14:textId="77777777" w:rsidTr="006E60B3">
        <w:trPr>
          <w:cantSplit/>
        </w:trPr>
        <w:tc>
          <w:tcPr>
            <w:cnfStyle w:val="001000000000" w:firstRow="0" w:lastRow="0" w:firstColumn="1" w:lastColumn="0" w:oddVBand="0" w:evenVBand="0" w:oddHBand="0" w:evenHBand="0" w:firstRowFirstColumn="0" w:firstRowLastColumn="0" w:lastRowFirstColumn="0" w:lastRowLastColumn="0"/>
            <w:tcW w:w="1335" w:type="dxa"/>
            <w:vMerge/>
            <w:hideMark/>
          </w:tcPr>
          <w:p w14:paraId="2BEF8911" w14:textId="77777777" w:rsidR="00AB6F50" w:rsidRPr="000973F2" w:rsidRDefault="00AB6F50" w:rsidP="006E60B3">
            <w:pPr>
              <w:spacing w:before="30" w:after="30"/>
              <w:rPr>
                <w:rFonts w:ascii="Times New Roman" w:eastAsia="Times New Roman" w:hAnsi="Times New Roman" w:cs="Times New Roman"/>
                <w:b/>
                <w:bCs w:val="0"/>
                <w:sz w:val="18"/>
                <w:szCs w:val="18"/>
              </w:rPr>
            </w:pPr>
          </w:p>
        </w:tc>
        <w:tc>
          <w:tcPr>
            <w:tcW w:w="1339" w:type="dxa"/>
            <w:gridSpan w:val="2"/>
            <w:noWrap/>
            <w:hideMark/>
          </w:tcPr>
          <w:p w14:paraId="1F6A0EF5" w14:textId="1D6345CE" w:rsidR="00AB6F50" w:rsidRPr="000973F2" w:rsidRDefault="00AB6F50" w:rsidP="006E60B3">
            <w:pPr>
              <w:spacing w:before="30" w:after="3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sz w:val="18"/>
                <w:szCs w:val="18"/>
              </w:rPr>
            </w:pPr>
            <w:r w:rsidRPr="000973F2">
              <w:rPr>
                <w:rFonts w:ascii="Times New Roman" w:eastAsia="Times New Roman" w:hAnsi="Times New Roman" w:cs="Times New Roman"/>
                <w:b/>
                <w:bCs/>
                <w:sz w:val="18"/>
                <w:szCs w:val="18"/>
              </w:rPr>
              <w:t>$112.23</w:t>
            </w:r>
          </w:p>
        </w:tc>
        <w:tc>
          <w:tcPr>
            <w:tcW w:w="1339" w:type="dxa"/>
            <w:gridSpan w:val="2"/>
            <w:hideMark/>
          </w:tcPr>
          <w:p w14:paraId="42CC8A8F" w14:textId="0479BE5D" w:rsidR="00AB6F50" w:rsidRPr="000973F2" w:rsidRDefault="00AB6F50" w:rsidP="006E60B3">
            <w:pPr>
              <w:spacing w:before="30" w:after="3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sz w:val="18"/>
                <w:szCs w:val="18"/>
              </w:rPr>
            </w:pPr>
            <w:r w:rsidRPr="000973F2">
              <w:rPr>
                <w:rFonts w:ascii="Times New Roman" w:eastAsia="Times New Roman" w:hAnsi="Times New Roman" w:cs="Times New Roman"/>
                <w:b/>
                <w:bCs/>
                <w:sz w:val="18"/>
                <w:szCs w:val="18"/>
              </w:rPr>
              <w:t>$141.54</w:t>
            </w:r>
          </w:p>
        </w:tc>
        <w:tc>
          <w:tcPr>
            <w:tcW w:w="1340" w:type="dxa"/>
            <w:gridSpan w:val="2"/>
            <w:noWrap/>
            <w:hideMark/>
          </w:tcPr>
          <w:p w14:paraId="3BEC5EF6" w14:textId="4D88B70C" w:rsidR="00AB6F50" w:rsidRPr="000973F2" w:rsidRDefault="00AB6F50" w:rsidP="006E60B3">
            <w:pPr>
              <w:spacing w:before="30" w:after="3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sz w:val="18"/>
                <w:szCs w:val="18"/>
              </w:rPr>
            </w:pPr>
            <w:r w:rsidRPr="000973F2">
              <w:rPr>
                <w:rFonts w:ascii="Times New Roman" w:eastAsia="Times New Roman" w:hAnsi="Times New Roman" w:cs="Times New Roman"/>
                <w:b/>
                <w:bCs/>
                <w:sz w:val="18"/>
                <w:szCs w:val="18"/>
              </w:rPr>
              <w:t>$105.68</w:t>
            </w:r>
          </w:p>
        </w:tc>
        <w:tc>
          <w:tcPr>
            <w:tcW w:w="1339" w:type="dxa"/>
            <w:gridSpan w:val="2"/>
            <w:hideMark/>
          </w:tcPr>
          <w:p w14:paraId="7603DEC7" w14:textId="10E32938" w:rsidR="00AB6F50" w:rsidRPr="000973F2" w:rsidRDefault="00AB6F50" w:rsidP="006E60B3">
            <w:pPr>
              <w:spacing w:before="30" w:after="3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sz w:val="18"/>
                <w:szCs w:val="18"/>
              </w:rPr>
            </w:pPr>
            <w:r w:rsidRPr="000973F2">
              <w:rPr>
                <w:rFonts w:ascii="Times New Roman" w:eastAsia="Times New Roman" w:hAnsi="Times New Roman" w:cs="Times New Roman"/>
                <w:b/>
                <w:bCs/>
                <w:sz w:val="18"/>
                <w:szCs w:val="18"/>
              </w:rPr>
              <w:t>$91.06</w:t>
            </w:r>
          </w:p>
        </w:tc>
        <w:tc>
          <w:tcPr>
            <w:tcW w:w="1340" w:type="dxa"/>
            <w:gridSpan w:val="2"/>
            <w:noWrap/>
            <w:hideMark/>
          </w:tcPr>
          <w:p w14:paraId="0D866937" w14:textId="75B1055C" w:rsidR="00AB6F50" w:rsidRPr="000973F2" w:rsidRDefault="00AB6F50" w:rsidP="006E60B3">
            <w:pPr>
              <w:spacing w:before="30" w:after="3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sz w:val="18"/>
                <w:szCs w:val="18"/>
              </w:rPr>
            </w:pPr>
            <w:r w:rsidRPr="000973F2">
              <w:rPr>
                <w:rFonts w:ascii="Times New Roman" w:eastAsia="Times New Roman" w:hAnsi="Times New Roman" w:cs="Times New Roman"/>
                <w:b/>
                <w:bCs/>
                <w:sz w:val="18"/>
                <w:szCs w:val="18"/>
              </w:rPr>
              <w:t>$60.72</w:t>
            </w:r>
          </w:p>
        </w:tc>
        <w:tc>
          <w:tcPr>
            <w:tcW w:w="1298" w:type="dxa"/>
            <w:gridSpan w:val="2"/>
            <w:vMerge/>
            <w:hideMark/>
          </w:tcPr>
          <w:p w14:paraId="787F0C43" w14:textId="77777777" w:rsidR="00AB6F50" w:rsidRPr="000973F2" w:rsidRDefault="00AB6F50" w:rsidP="006E60B3">
            <w:pPr>
              <w:spacing w:before="30" w:after="3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sz w:val="18"/>
                <w:szCs w:val="18"/>
              </w:rPr>
            </w:pPr>
          </w:p>
        </w:tc>
      </w:tr>
      <w:tr w:rsidR="00260534" w:rsidRPr="000973F2" w14:paraId="62A46A4C" w14:textId="77777777" w:rsidTr="006E60B3">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1335" w:type="dxa"/>
            <w:vMerge/>
            <w:hideMark/>
          </w:tcPr>
          <w:p w14:paraId="3A144EC2" w14:textId="77777777" w:rsidR="00AB6F50" w:rsidRPr="000973F2" w:rsidRDefault="00AB6F50" w:rsidP="006E60B3">
            <w:pPr>
              <w:spacing w:before="30" w:after="30"/>
              <w:rPr>
                <w:rFonts w:ascii="Times New Roman" w:eastAsia="Times New Roman" w:hAnsi="Times New Roman" w:cs="Times New Roman"/>
                <w:b/>
                <w:bCs w:val="0"/>
                <w:sz w:val="18"/>
                <w:szCs w:val="18"/>
              </w:rPr>
            </w:pPr>
          </w:p>
        </w:tc>
        <w:tc>
          <w:tcPr>
            <w:tcW w:w="669" w:type="dxa"/>
            <w:tcMar>
              <w:left w:w="14" w:type="dxa"/>
              <w:right w:w="14" w:type="dxa"/>
            </w:tcMar>
            <w:hideMark/>
          </w:tcPr>
          <w:p w14:paraId="381E380D" w14:textId="77777777" w:rsidR="00AB6F50" w:rsidRPr="000973F2" w:rsidRDefault="00AB6F50" w:rsidP="006E60B3">
            <w:pPr>
              <w:spacing w:before="30" w:after="3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18"/>
                <w:szCs w:val="18"/>
              </w:rPr>
            </w:pPr>
            <w:r w:rsidRPr="000973F2">
              <w:rPr>
                <w:rFonts w:ascii="Times New Roman" w:eastAsia="Times New Roman" w:hAnsi="Times New Roman" w:cs="Times New Roman"/>
                <w:b/>
                <w:bCs/>
                <w:sz w:val="18"/>
                <w:szCs w:val="18"/>
              </w:rPr>
              <w:t>Initial Year Hours</w:t>
            </w:r>
          </w:p>
        </w:tc>
        <w:tc>
          <w:tcPr>
            <w:tcW w:w="670" w:type="dxa"/>
            <w:tcMar>
              <w:left w:w="14" w:type="dxa"/>
              <w:right w:w="14" w:type="dxa"/>
            </w:tcMar>
            <w:hideMark/>
          </w:tcPr>
          <w:p w14:paraId="7A5920D0" w14:textId="77777777" w:rsidR="00AB6F50" w:rsidRPr="000973F2" w:rsidRDefault="00AB6F50" w:rsidP="006E60B3">
            <w:pPr>
              <w:spacing w:before="30" w:after="3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18"/>
                <w:szCs w:val="18"/>
              </w:rPr>
            </w:pPr>
            <w:r w:rsidRPr="000973F2">
              <w:rPr>
                <w:rFonts w:ascii="Times New Roman" w:eastAsia="Times New Roman" w:hAnsi="Times New Roman" w:cs="Times New Roman"/>
                <w:b/>
                <w:bCs/>
                <w:sz w:val="18"/>
                <w:szCs w:val="18"/>
              </w:rPr>
              <w:t>Subseq. Year Hours</w:t>
            </w:r>
          </w:p>
        </w:tc>
        <w:tc>
          <w:tcPr>
            <w:tcW w:w="670" w:type="dxa"/>
            <w:tcMar>
              <w:left w:w="14" w:type="dxa"/>
              <w:right w:w="14" w:type="dxa"/>
            </w:tcMar>
            <w:hideMark/>
          </w:tcPr>
          <w:p w14:paraId="484CC073" w14:textId="77777777" w:rsidR="00AB6F50" w:rsidRPr="000973F2" w:rsidRDefault="00AB6F50" w:rsidP="006E60B3">
            <w:pPr>
              <w:spacing w:before="30" w:after="3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18"/>
                <w:szCs w:val="18"/>
              </w:rPr>
            </w:pPr>
            <w:r w:rsidRPr="000973F2">
              <w:rPr>
                <w:rFonts w:ascii="Times New Roman" w:eastAsia="Times New Roman" w:hAnsi="Times New Roman" w:cs="Times New Roman"/>
                <w:b/>
                <w:bCs/>
                <w:sz w:val="18"/>
                <w:szCs w:val="18"/>
              </w:rPr>
              <w:t>Initial Year Hours</w:t>
            </w:r>
          </w:p>
        </w:tc>
        <w:tc>
          <w:tcPr>
            <w:tcW w:w="669" w:type="dxa"/>
            <w:tcMar>
              <w:left w:w="14" w:type="dxa"/>
              <w:right w:w="14" w:type="dxa"/>
            </w:tcMar>
            <w:hideMark/>
          </w:tcPr>
          <w:p w14:paraId="437FE367" w14:textId="77777777" w:rsidR="00AB6F50" w:rsidRPr="000973F2" w:rsidRDefault="00AB6F50" w:rsidP="006E60B3">
            <w:pPr>
              <w:spacing w:before="30" w:after="3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18"/>
                <w:szCs w:val="18"/>
              </w:rPr>
            </w:pPr>
            <w:r w:rsidRPr="000973F2">
              <w:rPr>
                <w:rFonts w:ascii="Times New Roman" w:eastAsia="Times New Roman" w:hAnsi="Times New Roman" w:cs="Times New Roman"/>
                <w:b/>
                <w:bCs/>
                <w:sz w:val="18"/>
                <w:szCs w:val="18"/>
              </w:rPr>
              <w:t>Subseq. Year Hours</w:t>
            </w:r>
          </w:p>
        </w:tc>
        <w:tc>
          <w:tcPr>
            <w:tcW w:w="670" w:type="dxa"/>
            <w:tcMar>
              <w:left w:w="14" w:type="dxa"/>
              <w:right w:w="14" w:type="dxa"/>
            </w:tcMar>
            <w:hideMark/>
          </w:tcPr>
          <w:p w14:paraId="1C43C847" w14:textId="77777777" w:rsidR="00AB6F50" w:rsidRPr="000973F2" w:rsidRDefault="00AB6F50" w:rsidP="006E60B3">
            <w:pPr>
              <w:spacing w:before="30" w:after="3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18"/>
                <w:szCs w:val="18"/>
              </w:rPr>
            </w:pPr>
            <w:r w:rsidRPr="000973F2">
              <w:rPr>
                <w:rFonts w:ascii="Times New Roman" w:eastAsia="Times New Roman" w:hAnsi="Times New Roman" w:cs="Times New Roman"/>
                <w:b/>
                <w:bCs/>
                <w:sz w:val="18"/>
                <w:szCs w:val="18"/>
              </w:rPr>
              <w:t>Initial Year Hours</w:t>
            </w:r>
          </w:p>
        </w:tc>
        <w:tc>
          <w:tcPr>
            <w:tcW w:w="670" w:type="dxa"/>
            <w:tcMar>
              <w:left w:w="14" w:type="dxa"/>
              <w:right w:w="14" w:type="dxa"/>
            </w:tcMar>
            <w:hideMark/>
          </w:tcPr>
          <w:p w14:paraId="6F6707CF" w14:textId="77777777" w:rsidR="00AB6F50" w:rsidRPr="000973F2" w:rsidRDefault="00AB6F50" w:rsidP="006E60B3">
            <w:pPr>
              <w:spacing w:before="30" w:after="3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18"/>
                <w:szCs w:val="18"/>
              </w:rPr>
            </w:pPr>
            <w:r w:rsidRPr="000973F2">
              <w:rPr>
                <w:rFonts w:ascii="Times New Roman" w:eastAsia="Times New Roman" w:hAnsi="Times New Roman" w:cs="Times New Roman"/>
                <w:b/>
                <w:bCs/>
                <w:sz w:val="18"/>
                <w:szCs w:val="18"/>
              </w:rPr>
              <w:t>Subseq. Year Hours</w:t>
            </w:r>
          </w:p>
        </w:tc>
        <w:tc>
          <w:tcPr>
            <w:tcW w:w="669" w:type="dxa"/>
            <w:tcMar>
              <w:left w:w="14" w:type="dxa"/>
              <w:right w:w="14" w:type="dxa"/>
            </w:tcMar>
            <w:hideMark/>
          </w:tcPr>
          <w:p w14:paraId="5EA37CFE" w14:textId="77777777" w:rsidR="00AB6F50" w:rsidRPr="000973F2" w:rsidRDefault="00AB6F50" w:rsidP="006E60B3">
            <w:pPr>
              <w:spacing w:before="30" w:after="3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18"/>
                <w:szCs w:val="18"/>
              </w:rPr>
            </w:pPr>
            <w:r w:rsidRPr="000973F2">
              <w:rPr>
                <w:rFonts w:ascii="Times New Roman" w:eastAsia="Times New Roman" w:hAnsi="Times New Roman" w:cs="Times New Roman"/>
                <w:b/>
                <w:bCs/>
                <w:sz w:val="18"/>
                <w:szCs w:val="18"/>
              </w:rPr>
              <w:t>Initial Year Hours</w:t>
            </w:r>
          </w:p>
        </w:tc>
        <w:tc>
          <w:tcPr>
            <w:tcW w:w="670" w:type="dxa"/>
            <w:tcMar>
              <w:left w:w="14" w:type="dxa"/>
              <w:right w:w="14" w:type="dxa"/>
            </w:tcMar>
            <w:hideMark/>
          </w:tcPr>
          <w:p w14:paraId="40FF1296" w14:textId="77777777" w:rsidR="00AB6F50" w:rsidRPr="000973F2" w:rsidRDefault="00AB6F50" w:rsidP="006E60B3">
            <w:pPr>
              <w:spacing w:before="30" w:after="3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18"/>
                <w:szCs w:val="18"/>
              </w:rPr>
            </w:pPr>
            <w:r w:rsidRPr="000973F2">
              <w:rPr>
                <w:rFonts w:ascii="Times New Roman" w:eastAsia="Times New Roman" w:hAnsi="Times New Roman" w:cs="Times New Roman"/>
                <w:b/>
                <w:bCs/>
                <w:sz w:val="18"/>
                <w:szCs w:val="18"/>
              </w:rPr>
              <w:t>Subseq. Year Hours</w:t>
            </w:r>
          </w:p>
        </w:tc>
        <w:tc>
          <w:tcPr>
            <w:tcW w:w="670" w:type="dxa"/>
            <w:tcMar>
              <w:left w:w="14" w:type="dxa"/>
              <w:right w:w="14" w:type="dxa"/>
            </w:tcMar>
            <w:hideMark/>
          </w:tcPr>
          <w:p w14:paraId="1478D711" w14:textId="77777777" w:rsidR="00AB6F50" w:rsidRPr="000973F2" w:rsidRDefault="00AB6F50" w:rsidP="006E60B3">
            <w:pPr>
              <w:spacing w:before="30" w:after="3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18"/>
                <w:szCs w:val="18"/>
              </w:rPr>
            </w:pPr>
            <w:r w:rsidRPr="000973F2">
              <w:rPr>
                <w:rFonts w:ascii="Times New Roman" w:eastAsia="Times New Roman" w:hAnsi="Times New Roman" w:cs="Times New Roman"/>
                <w:b/>
                <w:bCs/>
                <w:sz w:val="18"/>
                <w:szCs w:val="18"/>
              </w:rPr>
              <w:t>Initial Year Hours</w:t>
            </w:r>
          </w:p>
        </w:tc>
        <w:tc>
          <w:tcPr>
            <w:tcW w:w="670" w:type="dxa"/>
            <w:tcMar>
              <w:left w:w="14" w:type="dxa"/>
              <w:right w:w="14" w:type="dxa"/>
            </w:tcMar>
            <w:hideMark/>
          </w:tcPr>
          <w:p w14:paraId="7ADF6118" w14:textId="77777777" w:rsidR="00AB6F50" w:rsidRPr="000973F2" w:rsidRDefault="00AB6F50" w:rsidP="006E60B3">
            <w:pPr>
              <w:spacing w:before="30" w:after="3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18"/>
                <w:szCs w:val="18"/>
              </w:rPr>
            </w:pPr>
            <w:r w:rsidRPr="000973F2">
              <w:rPr>
                <w:rFonts w:ascii="Times New Roman" w:eastAsia="Times New Roman" w:hAnsi="Times New Roman" w:cs="Times New Roman"/>
                <w:b/>
                <w:bCs/>
                <w:sz w:val="18"/>
                <w:szCs w:val="18"/>
              </w:rPr>
              <w:t>Subseq. Year Hours</w:t>
            </w:r>
          </w:p>
        </w:tc>
        <w:tc>
          <w:tcPr>
            <w:tcW w:w="503" w:type="dxa"/>
            <w:tcMar>
              <w:left w:w="14" w:type="dxa"/>
              <w:right w:w="14" w:type="dxa"/>
            </w:tcMar>
            <w:hideMark/>
          </w:tcPr>
          <w:p w14:paraId="669CBF37" w14:textId="77777777" w:rsidR="00AB6F50" w:rsidRPr="000973F2" w:rsidRDefault="00AB6F50" w:rsidP="006E60B3">
            <w:pPr>
              <w:spacing w:before="30" w:after="3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18"/>
                <w:szCs w:val="18"/>
              </w:rPr>
            </w:pPr>
            <w:r w:rsidRPr="000973F2">
              <w:rPr>
                <w:rFonts w:ascii="Times New Roman" w:eastAsia="Times New Roman" w:hAnsi="Times New Roman" w:cs="Times New Roman"/>
                <w:b/>
                <w:bCs/>
                <w:sz w:val="18"/>
                <w:szCs w:val="18"/>
              </w:rPr>
              <w:t>Initial Year</w:t>
            </w:r>
          </w:p>
        </w:tc>
        <w:tc>
          <w:tcPr>
            <w:tcW w:w="795" w:type="dxa"/>
            <w:tcMar>
              <w:left w:w="14" w:type="dxa"/>
              <w:right w:w="14" w:type="dxa"/>
            </w:tcMar>
            <w:hideMark/>
          </w:tcPr>
          <w:p w14:paraId="26609798" w14:textId="77777777" w:rsidR="00AB6F50" w:rsidRPr="000973F2" w:rsidRDefault="00AB6F50" w:rsidP="006E60B3">
            <w:pPr>
              <w:spacing w:before="30" w:after="3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18"/>
                <w:szCs w:val="18"/>
              </w:rPr>
            </w:pPr>
            <w:r w:rsidRPr="000973F2">
              <w:rPr>
                <w:rFonts w:ascii="Times New Roman" w:eastAsia="Times New Roman" w:hAnsi="Times New Roman" w:cs="Times New Roman"/>
                <w:b/>
                <w:bCs/>
                <w:sz w:val="18"/>
                <w:szCs w:val="18"/>
              </w:rPr>
              <w:t>Subseq. Year</w:t>
            </w:r>
          </w:p>
        </w:tc>
      </w:tr>
      <w:tr w:rsidR="00914917" w:rsidRPr="000973F2" w14:paraId="01835E2F" w14:textId="77777777" w:rsidTr="006E60B3">
        <w:trPr>
          <w:cantSplit/>
        </w:trPr>
        <w:tc>
          <w:tcPr>
            <w:cnfStyle w:val="001000000000" w:firstRow="0" w:lastRow="0" w:firstColumn="1" w:lastColumn="0" w:oddVBand="0" w:evenVBand="0" w:oddHBand="0" w:evenHBand="0" w:firstRowFirstColumn="0" w:firstRowLastColumn="0" w:lastRowFirstColumn="0" w:lastRowLastColumn="0"/>
            <w:tcW w:w="1335" w:type="dxa"/>
            <w:tcMar>
              <w:right w:w="14" w:type="dxa"/>
            </w:tcMar>
            <w:hideMark/>
          </w:tcPr>
          <w:p w14:paraId="588EDBC5" w14:textId="77777777" w:rsidR="00AB6F50" w:rsidRPr="000973F2" w:rsidRDefault="00AB6F50" w:rsidP="006E60B3">
            <w:pPr>
              <w:spacing w:before="30" w:after="3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Planning</w:t>
            </w:r>
          </w:p>
        </w:tc>
        <w:tc>
          <w:tcPr>
            <w:tcW w:w="669" w:type="dxa"/>
            <w:noWrap/>
            <w:hideMark/>
          </w:tcPr>
          <w:p w14:paraId="7B91FF90" w14:textId="77777777" w:rsidR="00AB6F50" w:rsidRPr="000973F2" w:rsidRDefault="00AB6F50" w:rsidP="006E60B3">
            <w:pPr>
              <w:spacing w:before="30" w:after="3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0.0</w:t>
            </w:r>
          </w:p>
        </w:tc>
        <w:tc>
          <w:tcPr>
            <w:tcW w:w="670" w:type="dxa"/>
            <w:noWrap/>
            <w:hideMark/>
          </w:tcPr>
          <w:p w14:paraId="2B061FD7" w14:textId="77777777" w:rsidR="00AB6F50" w:rsidRPr="000973F2" w:rsidRDefault="00AB6F50" w:rsidP="006E60B3">
            <w:pPr>
              <w:spacing w:before="30" w:after="3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2.0</w:t>
            </w:r>
          </w:p>
        </w:tc>
        <w:tc>
          <w:tcPr>
            <w:tcW w:w="670" w:type="dxa"/>
            <w:noWrap/>
            <w:hideMark/>
          </w:tcPr>
          <w:p w14:paraId="25003D92" w14:textId="77777777" w:rsidR="00AB6F50" w:rsidRPr="000973F2" w:rsidRDefault="00AB6F50" w:rsidP="006E60B3">
            <w:pPr>
              <w:spacing w:before="30" w:after="3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0.0</w:t>
            </w:r>
          </w:p>
        </w:tc>
        <w:tc>
          <w:tcPr>
            <w:tcW w:w="669" w:type="dxa"/>
            <w:noWrap/>
            <w:hideMark/>
          </w:tcPr>
          <w:p w14:paraId="1546C1F0" w14:textId="77777777" w:rsidR="00AB6F50" w:rsidRPr="000973F2" w:rsidRDefault="00AB6F50" w:rsidP="006E60B3">
            <w:pPr>
              <w:spacing w:before="30" w:after="3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0.3</w:t>
            </w:r>
          </w:p>
        </w:tc>
        <w:tc>
          <w:tcPr>
            <w:tcW w:w="670" w:type="dxa"/>
            <w:noWrap/>
            <w:hideMark/>
          </w:tcPr>
          <w:p w14:paraId="568ADAFE" w14:textId="77777777" w:rsidR="00AB6F50" w:rsidRPr="000973F2" w:rsidRDefault="00AB6F50" w:rsidP="006E60B3">
            <w:pPr>
              <w:spacing w:before="30" w:after="3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0.0</w:t>
            </w:r>
          </w:p>
        </w:tc>
        <w:tc>
          <w:tcPr>
            <w:tcW w:w="670" w:type="dxa"/>
            <w:noWrap/>
            <w:hideMark/>
          </w:tcPr>
          <w:p w14:paraId="28003511" w14:textId="77777777" w:rsidR="00AB6F50" w:rsidRPr="000973F2" w:rsidRDefault="00AB6F50" w:rsidP="006E60B3">
            <w:pPr>
              <w:spacing w:before="30" w:after="3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0.6</w:t>
            </w:r>
          </w:p>
        </w:tc>
        <w:tc>
          <w:tcPr>
            <w:tcW w:w="669" w:type="dxa"/>
            <w:noWrap/>
            <w:hideMark/>
          </w:tcPr>
          <w:p w14:paraId="2B008B25" w14:textId="77777777" w:rsidR="00AB6F50" w:rsidRPr="000973F2" w:rsidRDefault="00AB6F50" w:rsidP="006E60B3">
            <w:pPr>
              <w:spacing w:before="30" w:after="3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0.0</w:t>
            </w:r>
          </w:p>
        </w:tc>
        <w:tc>
          <w:tcPr>
            <w:tcW w:w="670" w:type="dxa"/>
            <w:noWrap/>
            <w:hideMark/>
          </w:tcPr>
          <w:p w14:paraId="4EE6C63C" w14:textId="77777777" w:rsidR="00AB6F50" w:rsidRPr="000973F2" w:rsidRDefault="00AB6F50" w:rsidP="006E60B3">
            <w:pPr>
              <w:spacing w:before="30" w:after="3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6.0</w:t>
            </w:r>
          </w:p>
        </w:tc>
        <w:tc>
          <w:tcPr>
            <w:tcW w:w="670" w:type="dxa"/>
            <w:noWrap/>
            <w:hideMark/>
          </w:tcPr>
          <w:p w14:paraId="064FC3B1" w14:textId="77777777" w:rsidR="00AB6F50" w:rsidRPr="000973F2" w:rsidRDefault="00AB6F50" w:rsidP="006E60B3">
            <w:pPr>
              <w:spacing w:before="30" w:after="3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0.0</w:t>
            </w:r>
          </w:p>
        </w:tc>
        <w:tc>
          <w:tcPr>
            <w:tcW w:w="670" w:type="dxa"/>
            <w:noWrap/>
            <w:hideMark/>
          </w:tcPr>
          <w:p w14:paraId="3D131340" w14:textId="77777777" w:rsidR="00AB6F50" w:rsidRPr="000973F2" w:rsidRDefault="00AB6F50" w:rsidP="006E60B3">
            <w:pPr>
              <w:spacing w:before="30" w:after="3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0.0</w:t>
            </w:r>
          </w:p>
        </w:tc>
        <w:tc>
          <w:tcPr>
            <w:tcW w:w="503" w:type="dxa"/>
            <w:noWrap/>
            <w:hideMark/>
          </w:tcPr>
          <w:p w14:paraId="1FD64FB3" w14:textId="2FA62509" w:rsidR="00AB6F50" w:rsidRPr="000973F2" w:rsidRDefault="00AB6F50" w:rsidP="006E60B3">
            <w:pPr>
              <w:spacing w:before="30" w:after="3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$0</w:t>
            </w:r>
          </w:p>
        </w:tc>
        <w:tc>
          <w:tcPr>
            <w:tcW w:w="795" w:type="dxa"/>
            <w:noWrap/>
            <w:hideMark/>
          </w:tcPr>
          <w:p w14:paraId="7BBC4A82" w14:textId="13E78CBC" w:rsidR="00AB6F50" w:rsidRPr="000973F2" w:rsidRDefault="00AB6F50" w:rsidP="006E60B3">
            <w:pPr>
              <w:tabs>
                <w:tab w:val="decimal" w:pos="451"/>
              </w:tabs>
              <w:spacing w:before="30" w:after="3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$877</w:t>
            </w:r>
          </w:p>
        </w:tc>
      </w:tr>
      <w:tr w:rsidR="00260534" w:rsidRPr="000973F2" w14:paraId="51FB2992" w14:textId="77777777" w:rsidTr="006E60B3">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1335" w:type="dxa"/>
            <w:tcMar>
              <w:right w:w="14" w:type="dxa"/>
            </w:tcMar>
            <w:hideMark/>
          </w:tcPr>
          <w:p w14:paraId="27C0D56B" w14:textId="77777777" w:rsidR="00260534" w:rsidRPr="000973F2" w:rsidRDefault="00260534" w:rsidP="006E60B3">
            <w:pPr>
              <w:spacing w:before="30" w:after="3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QA/QC</w:t>
            </w:r>
          </w:p>
        </w:tc>
        <w:tc>
          <w:tcPr>
            <w:tcW w:w="669" w:type="dxa"/>
            <w:noWrap/>
            <w:hideMark/>
          </w:tcPr>
          <w:p w14:paraId="2BC82105" w14:textId="68BEF882" w:rsidR="00260534" w:rsidRPr="000973F2" w:rsidRDefault="00260534" w:rsidP="006E60B3">
            <w:pPr>
              <w:spacing w:before="30" w:after="3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w:t>
            </w:r>
          </w:p>
        </w:tc>
        <w:tc>
          <w:tcPr>
            <w:tcW w:w="670" w:type="dxa"/>
            <w:noWrap/>
            <w:hideMark/>
          </w:tcPr>
          <w:p w14:paraId="37A7962B" w14:textId="09128D35" w:rsidR="00260534" w:rsidRPr="000973F2" w:rsidRDefault="00260534" w:rsidP="006E60B3">
            <w:pPr>
              <w:spacing w:before="30" w:after="3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w:t>
            </w:r>
          </w:p>
        </w:tc>
        <w:tc>
          <w:tcPr>
            <w:tcW w:w="670" w:type="dxa"/>
            <w:noWrap/>
            <w:hideMark/>
          </w:tcPr>
          <w:p w14:paraId="3338CD8B" w14:textId="08F491BA" w:rsidR="00260534" w:rsidRPr="000973F2" w:rsidRDefault="00260534" w:rsidP="006E60B3">
            <w:pPr>
              <w:spacing w:before="30" w:after="3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w:t>
            </w:r>
          </w:p>
        </w:tc>
        <w:tc>
          <w:tcPr>
            <w:tcW w:w="669" w:type="dxa"/>
            <w:noWrap/>
            <w:hideMark/>
          </w:tcPr>
          <w:p w14:paraId="25322E75" w14:textId="47500FD5" w:rsidR="00260534" w:rsidRPr="000973F2" w:rsidRDefault="00260534" w:rsidP="006E60B3">
            <w:pPr>
              <w:spacing w:before="30" w:after="3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w:t>
            </w:r>
          </w:p>
        </w:tc>
        <w:tc>
          <w:tcPr>
            <w:tcW w:w="670" w:type="dxa"/>
            <w:noWrap/>
            <w:hideMark/>
          </w:tcPr>
          <w:p w14:paraId="112CF3A2" w14:textId="6BDA0337" w:rsidR="00260534" w:rsidRPr="000973F2" w:rsidRDefault="00260534" w:rsidP="006E60B3">
            <w:pPr>
              <w:spacing w:before="30" w:after="3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w:t>
            </w:r>
          </w:p>
        </w:tc>
        <w:tc>
          <w:tcPr>
            <w:tcW w:w="670" w:type="dxa"/>
            <w:noWrap/>
            <w:hideMark/>
          </w:tcPr>
          <w:p w14:paraId="048B3904" w14:textId="772C4BC9" w:rsidR="00260534" w:rsidRPr="000973F2" w:rsidRDefault="00260534" w:rsidP="006E60B3">
            <w:pPr>
              <w:spacing w:before="30" w:after="3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w:t>
            </w:r>
          </w:p>
        </w:tc>
        <w:tc>
          <w:tcPr>
            <w:tcW w:w="669" w:type="dxa"/>
            <w:noWrap/>
            <w:hideMark/>
          </w:tcPr>
          <w:p w14:paraId="6C16F38A" w14:textId="192F31AA" w:rsidR="00260534" w:rsidRPr="000973F2" w:rsidRDefault="00260534" w:rsidP="006E60B3">
            <w:pPr>
              <w:spacing w:before="30" w:after="3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w:t>
            </w:r>
          </w:p>
        </w:tc>
        <w:tc>
          <w:tcPr>
            <w:tcW w:w="670" w:type="dxa"/>
            <w:noWrap/>
            <w:hideMark/>
          </w:tcPr>
          <w:p w14:paraId="4789F1F7" w14:textId="4E69A6A4" w:rsidR="00260534" w:rsidRPr="000973F2" w:rsidRDefault="00260534" w:rsidP="006E60B3">
            <w:pPr>
              <w:spacing w:before="30" w:after="3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w:t>
            </w:r>
          </w:p>
        </w:tc>
        <w:tc>
          <w:tcPr>
            <w:tcW w:w="670" w:type="dxa"/>
            <w:noWrap/>
            <w:hideMark/>
          </w:tcPr>
          <w:p w14:paraId="12145BE3" w14:textId="720876A9" w:rsidR="00260534" w:rsidRPr="000973F2" w:rsidRDefault="00260534" w:rsidP="006E60B3">
            <w:pPr>
              <w:spacing w:before="30" w:after="3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w:t>
            </w:r>
          </w:p>
        </w:tc>
        <w:tc>
          <w:tcPr>
            <w:tcW w:w="670" w:type="dxa"/>
            <w:noWrap/>
            <w:hideMark/>
          </w:tcPr>
          <w:p w14:paraId="3215CE0F" w14:textId="76253A5E" w:rsidR="00260534" w:rsidRPr="000973F2" w:rsidRDefault="00260534" w:rsidP="006E60B3">
            <w:pPr>
              <w:spacing w:before="30" w:after="3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w:t>
            </w:r>
          </w:p>
        </w:tc>
        <w:tc>
          <w:tcPr>
            <w:tcW w:w="503" w:type="dxa"/>
            <w:noWrap/>
            <w:hideMark/>
          </w:tcPr>
          <w:p w14:paraId="098EF0F1" w14:textId="7AE09D71" w:rsidR="00260534" w:rsidRPr="000973F2" w:rsidRDefault="00260534" w:rsidP="006E60B3">
            <w:pPr>
              <w:spacing w:before="30" w:after="3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w:t>
            </w:r>
          </w:p>
        </w:tc>
        <w:tc>
          <w:tcPr>
            <w:tcW w:w="795" w:type="dxa"/>
            <w:noWrap/>
            <w:hideMark/>
          </w:tcPr>
          <w:p w14:paraId="4BBDF8B6" w14:textId="55E5DC41" w:rsidR="00260534" w:rsidRPr="000973F2" w:rsidRDefault="00260534" w:rsidP="006E60B3">
            <w:pPr>
              <w:tabs>
                <w:tab w:val="decimal" w:pos="451"/>
              </w:tabs>
              <w:spacing w:before="30" w:after="3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w:t>
            </w:r>
          </w:p>
        </w:tc>
      </w:tr>
      <w:tr w:rsidR="00914917" w:rsidRPr="000973F2" w14:paraId="1683A9D3" w14:textId="77777777" w:rsidTr="006E60B3">
        <w:trPr>
          <w:cantSplit/>
        </w:trPr>
        <w:tc>
          <w:tcPr>
            <w:cnfStyle w:val="001000000000" w:firstRow="0" w:lastRow="0" w:firstColumn="1" w:lastColumn="0" w:oddVBand="0" w:evenVBand="0" w:oddHBand="0" w:evenHBand="0" w:firstRowFirstColumn="0" w:firstRowLastColumn="0" w:lastRowFirstColumn="0" w:lastRowLastColumn="0"/>
            <w:tcW w:w="1335" w:type="dxa"/>
            <w:tcMar>
              <w:right w:w="14" w:type="dxa"/>
            </w:tcMar>
            <w:hideMark/>
          </w:tcPr>
          <w:p w14:paraId="2B769C82" w14:textId="77777777" w:rsidR="00AB6F50" w:rsidRPr="000973F2" w:rsidRDefault="00AB6F50" w:rsidP="006E60B3">
            <w:pPr>
              <w:spacing w:before="30" w:after="3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Recordkeeping</w:t>
            </w:r>
          </w:p>
        </w:tc>
        <w:tc>
          <w:tcPr>
            <w:tcW w:w="669" w:type="dxa"/>
            <w:noWrap/>
            <w:hideMark/>
          </w:tcPr>
          <w:p w14:paraId="005EF23C" w14:textId="77777777" w:rsidR="00AB6F50" w:rsidRPr="000973F2" w:rsidRDefault="00AB6F50" w:rsidP="006E60B3">
            <w:pPr>
              <w:spacing w:before="30" w:after="3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0.0</w:t>
            </w:r>
          </w:p>
        </w:tc>
        <w:tc>
          <w:tcPr>
            <w:tcW w:w="670" w:type="dxa"/>
            <w:noWrap/>
            <w:hideMark/>
          </w:tcPr>
          <w:p w14:paraId="557F9474" w14:textId="77777777" w:rsidR="00AB6F50" w:rsidRPr="000973F2" w:rsidRDefault="00AB6F50" w:rsidP="006E60B3">
            <w:pPr>
              <w:spacing w:before="30" w:after="3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0.0</w:t>
            </w:r>
          </w:p>
        </w:tc>
        <w:tc>
          <w:tcPr>
            <w:tcW w:w="670" w:type="dxa"/>
            <w:noWrap/>
            <w:hideMark/>
          </w:tcPr>
          <w:p w14:paraId="1A6F09E0" w14:textId="77777777" w:rsidR="00AB6F50" w:rsidRPr="000973F2" w:rsidRDefault="00AB6F50" w:rsidP="006E60B3">
            <w:pPr>
              <w:spacing w:before="30" w:after="3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0.0</w:t>
            </w:r>
          </w:p>
        </w:tc>
        <w:tc>
          <w:tcPr>
            <w:tcW w:w="669" w:type="dxa"/>
            <w:noWrap/>
            <w:hideMark/>
          </w:tcPr>
          <w:p w14:paraId="30DA8F2C" w14:textId="77777777" w:rsidR="00AB6F50" w:rsidRPr="000973F2" w:rsidRDefault="00AB6F50" w:rsidP="006E60B3">
            <w:pPr>
              <w:spacing w:before="30" w:after="3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0.0</w:t>
            </w:r>
          </w:p>
        </w:tc>
        <w:tc>
          <w:tcPr>
            <w:tcW w:w="670" w:type="dxa"/>
            <w:noWrap/>
            <w:hideMark/>
          </w:tcPr>
          <w:p w14:paraId="4BB358AF" w14:textId="77777777" w:rsidR="00AB6F50" w:rsidRPr="000973F2" w:rsidRDefault="00AB6F50" w:rsidP="006E60B3">
            <w:pPr>
              <w:spacing w:before="30" w:after="3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0.0</w:t>
            </w:r>
          </w:p>
        </w:tc>
        <w:tc>
          <w:tcPr>
            <w:tcW w:w="670" w:type="dxa"/>
            <w:noWrap/>
            <w:hideMark/>
          </w:tcPr>
          <w:p w14:paraId="3A5E1947" w14:textId="77777777" w:rsidR="00AB6F50" w:rsidRPr="000973F2" w:rsidRDefault="00AB6F50" w:rsidP="006E60B3">
            <w:pPr>
              <w:spacing w:before="30" w:after="3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1.0</w:t>
            </w:r>
          </w:p>
        </w:tc>
        <w:tc>
          <w:tcPr>
            <w:tcW w:w="669" w:type="dxa"/>
            <w:noWrap/>
            <w:hideMark/>
          </w:tcPr>
          <w:p w14:paraId="46FC7B41" w14:textId="77777777" w:rsidR="00AB6F50" w:rsidRPr="000973F2" w:rsidRDefault="00AB6F50" w:rsidP="006E60B3">
            <w:pPr>
              <w:spacing w:before="30" w:after="3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0.0</w:t>
            </w:r>
          </w:p>
        </w:tc>
        <w:tc>
          <w:tcPr>
            <w:tcW w:w="670" w:type="dxa"/>
            <w:noWrap/>
            <w:hideMark/>
          </w:tcPr>
          <w:p w14:paraId="5F114ADF" w14:textId="77777777" w:rsidR="00AB6F50" w:rsidRPr="000973F2" w:rsidRDefault="00AB6F50" w:rsidP="006E60B3">
            <w:pPr>
              <w:spacing w:before="30" w:after="3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6.5</w:t>
            </w:r>
          </w:p>
        </w:tc>
        <w:tc>
          <w:tcPr>
            <w:tcW w:w="670" w:type="dxa"/>
            <w:noWrap/>
            <w:hideMark/>
          </w:tcPr>
          <w:p w14:paraId="35723A2F" w14:textId="77777777" w:rsidR="00AB6F50" w:rsidRPr="000973F2" w:rsidRDefault="00AB6F50" w:rsidP="006E60B3">
            <w:pPr>
              <w:spacing w:before="30" w:after="3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0.0</w:t>
            </w:r>
          </w:p>
        </w:tc>
        <w:tc>
          <w:tcPr>
            <w:tcW w:w="670" w:type="dxa"/>
            <w:noWrap/>
            <w:hideMark/>
          </w:tcPr>
          <w:p w14:paraId="7A2EE97F" w14:textId="77777777" w:rsidR="00AB6F50" w:rsidRPr="000973F2" w:rsidRDefault="00AB6F50" w:rsidP="006E60B3">
            <w:pPr>
              <w:spacing w:before="30" w:after="3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1.0</w:t>
            </w:r>
          </w:p>
        </w:tc>
        <w:tc>
          <w:tcPr>
            <w:tcW w:w="503" w:type="dxa"/>
            <w:noWrap/>
            <w:hideMark/>
          </w:tcPr>
          <w:p w14:paraId="74C0B7D3" w14:textId="350EC032" w:rsidR="00AB6F50" w:rsidRPr="000973F2" w:rsidRDefault="00AB6F50" w:rsidP="006E60B3">
            <w:pPr>
              <w:spacing w:before="30" w:after="3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$0</w:t>
            </w:r>
          </w:p>
        </w:tc>
        <w:tc>
          <w:tcPr>
            <w:tcW w:w="795" w:type="dxa"/>
            <w:noWrap/>
            <w:hideMark/>
          </w:tcPr>
          <w:p w14:paraId="20592240" w14:textId="77777777" w:rsidR="00AB6F50" w:rsidRPr="000973F2" w:rsidRDefault="00AB6F50" w:rsidP="006E60B3">
            <w:pPr>
              <w:tabs>
                <w:tab w:val="decimal" w:pos="451"/>
              </w:tabs>
              <w:spacing w:before="30" w:after="3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$758</w:t>
            </w:r>
          </w:p>
        </w:tc>
      </w:tr>
      <w:tr w:rsidR="00260534" w:rsidRPr="000973F2" w14:paraId="6F81BB04" w14:textId="77777777" w:rsidTr="006E60B3">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1335" w:type="dxa"/>
            <w:tcMar>
              <w:right w:w="14" w:type="dxa"/>
            </w:tcMar>
            <w:hideMark/>
          </w:tcPr>
          <w:p w14:paraId="5416BC72" w14:textId="77777777" w:rsidR="00260534" w:rsidRPr="000973F2" w:rsidRDefault="00260534" w:rsidP="006E60B3">
            <w:pPr>
              <w:spacing w:before="30" w:after="3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Sampling and Analysis (Calculations)</w:t>
            </w:r>
          </w:p>
        </w:tc>
        <w:tc>
          <w:tcPr>
            <w:tcW w:w="669" w:type="dxa"/>
            <w:noWrap/>
            <w:hideMark/>
          </w:tcPr>
          <w:p w14:paraId="0748557B" w14:textId="067A87B3" w:rsidR="00260534" w:rsidRPr="000973F2" w:rsidRDefault="00260534" w:rsidP="006E60B3">
            <w:pPr>
              <w:spacing w:before="30" w:after="3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w:t>
            </w:r>
          </w:p>
        </w:tc>
        <w:tc>
          <w:tcPr>
            <w:tcW w:w="670" w:type="dxa"/>
            <w:noWrap/>
            <w:hideMark/>
          </w:tcPr>
          <w:p w14:paraId="7D041105" w14:textId="3A97DFAA" w:rsidR="00260534" w:rsidRPr="000973F2" w:rsidRDefault="00260534" w:rsidP="006E60B3">
            <w:pPr>
              <w:spacing w:before="30" w:after="3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w:t>
            </w:r>
          </w:p>
        </w:tc>
        <w:tc>
          <w:tcPr>
            <w:tcW w:w="670" w:type="dxa"/>
            <w:noWrap/>
            <w:hideMark/>
          </w:tcPr>
          <w:p w14:paraId="200DD5A5" w14:textId="2765FE3C" w:rsidR="00260534" w:rsidRPr="000973F2" w:rsidRDefault="00260534" w:rsidP="006E60B3">
            <w:pPr>
              <w:spacing w:before="30" w:after="3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w:t>
            </w:r>
          </w:p>
        </w:tc>
        <w:tc>
          <w:tcPr>
            <w:tcW w:w="669" w:type="dxa"/>
            <w:noWrap/>
            <w:hideMark/>
          </w:tcPr>
          <w:p w14:paraId="4DC9D2EA" w14:textId="6A0C70C0" w:rsidR="00260534" w:rsidRPr="000973F2" w:rsidRDefault="00260534" w:rsidP="006E60B3">
            <w:pPr>
              <w:spacing w:before="30" w:after="3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w:t>
            </w:r>
          </w:p>
        </w:tc>
        <w:tc>
          <w:tcPr>
            <w:tcW w:w="670" w:type="dxa"/>
            <w:noWrap/>
            <w:hideMark/>
          </w:tcPr>
          <w:p w14:paraId="52AD28C8" w14:textId="2EAE27B6" w:rsidR="00260534" w:rsidRPr="000973F2" w:rsidRDefault="00260534" w:rsidP="006E60B3">
            <w:pPr>
              <w:spacing w:before="30" w:after="3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w:t>
            </w:r>
          </w:p>
        </w:tc>
        <w:tc>
          <w:tcPr>
            <w:tcW w:w="670" w:type="dxa"/>
            <w:noWrap/>
            <w:hideMark/>
          </w:tcPr>
          <w:p w14:paraId="58026F53" w14:textId="3DD58279" w:rsidR="00260534" w:rsidRPr="000973F2" w:rsidRDefault="00260534" w:rsidP="006E60B3">
            <w:pPr>
              <w:spacing w:before="30" w:after="3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w:t>
            </w:r>
          </w:p>
        </w:tc>
        <w:tc>
          <w:tcPr>
            <w:tcW w:w="669" w:type="dxa"/>
            <w:noWrap/>
            <w:hideMark/>
          </w:tcPr>
          <w:p w14:paraId="7075A7DA" w14:textId="38E17514" w:rsidR="00260534" w:rsidRPr="000973F2" w:rsidRDefault="00260534" w:rsidP="006E60B3">
            <w:pPr>
              <w:spacing w:before="30" w:after="3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w:t>
            </w:r>
          </w:p>
        </w:tc>
        <w:tc>
          <w:tcPr>
            <w:tcW w:w="670" w:type="dxa"/>
            <w:noWrap/>
            <w:hideMark/>
          </w:tcPr>
          <w:p w14:paraId="6CB55B31" w14:textId="2EB12F0A" w:rsidR="00260534" w:rsidRPr="000973F2" w:rsidRDefault="00260534" w:rsidP="006E60B3">
            <w:pPr>
              <w:spacing w:before="30" w:after="3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w:t>
            </w:r>
          </w:p>
        </w:tc>
        <w:tc>
          <w:tcPr>
            <w:tcW w:w="670" w:type="dxa"/>
            <w:noWrap/>
            <w:hideMark/>
          </w:tcPr>
          <w:p w14:paraId="04785087" w14:textId="15C1A4A8" w:rsidR="00260534" w:rsidRPr="000973F2" w:rsidRDefault="00260534" w:rsidP="006E60B3">
            <w:pPr>
              <w:spacing w:before="30" w:after="3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w:t>
            </w:r>
          </w:p>
        </w:tc>
        <w:tc>
          <w:tcPr>
            <w:tcW w:w="670" w:type="dxa"/>
            <w:noWrap/>
            <w:hideMark/>
          </w:tcPr>
          <w:p w14:paraId="16B609E9" w14:textId="7E6E6ED3" w:rsidR="00260534" w:rsidRPr="000973F2" w:rsidRDefault="00260534" w:rsidP="006E60B3">
            <w:pPr>
              <w:spacing w:before="30" w:after="3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w:t>
            </w:r>
          </w:p>
        </w:tc>
        <w:tc>
          <w:tcPr>
            <w:tcW w:w="503" w:type="dxa"/>
            <w:noWrap/>
            <w:hideMark/>
          </w:tcPr>
          <w:p w14:paraId="60A6F254" w14:textId="794E1575" w:rsidR="00260534" w:rsidRPr="000973F2" w:rsidRDefault="00260534" w:rsidP="006E60B3">
            <w:pPr>
              <w:spacing w:before="30" w:after="3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w:t>
            </w:r>
          </w:p>
        </w:tc>
        <w:tc>
          <w:tcPr>
            <w:tcW w:w="795" w:type="dxa"/>
            <w:noWrap/>
            <w:hideMark/>
          </w:tcPr>
          <w:p w14:paraId="7FAB73AD" w14:textId="087EC1B3" w:rsidR="00260534" w:rsidRPr="000973F2" w:rsidRDefault="00260534" w:rsidP="006E60B3">
            <w:pPr>
              <w:tabs>
                <w:tab w:val="decimal" w:pos="451"/>
              </w:tabs>
              <w:spacing w:before="30" w:after="3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w:t>
            </w:r>
          </w:p>
        </w:tc>
      </w:tr>
      <w:tr w:rsidR="00260534" w:rsidRPr="000973F2" w14:paraId="36F94985" w14:textId="77777777" w:rsidTr="006E60B3">
        <w:trPr>
          <w:cantSplit/>
        </w:trPr>
        <w:tc>
          <w:tcPr>
            <w:cnfStyle w:val="001000000000" w:firstRow="0" w:lastRow="0" w:firstColumn="1" w:lastColumn="0" w:oddVBand="0" w:evenVBand="0" w:oddHBand="0" w:evenHBand="0" w:firstRowFirstColumn="0" w:firstRowLastColumn="0" w:lastRowFirstColumn="0" w:lastRowLastColumn="0"/>
            <w:tcW w:w="1335" w:type="dxa"/>
            <w:tcMar>
              <w:right w:w="14" w:type="dxa"/>
            </w:tcMar>
            <w:hideMark/>
          </w:tcPr>
          <w:p w14:paraId="5EF07C5E" w14:textId="77777777" w:rsidR="00AB6F50" w:rsidRPr="000973F2" w:rsidRDefault="00AB6F50" w:rsidP="006E60B3">
            <w:pPr>
              <w:spacing w:before="30" w:after="3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Reporting</w:t>
            </w:r>
          </w:p>
        </w:tc>
        <w:tc>
          <w:tcPr>
            <w:tcW w:w="669" w:type="dxa"/>
            <w:noWrap/>
            <w:hideMark/>
          </w:tcPr>
          <w:p w14:paraId="4ADFFBFD" w14:textId="77777777" w:rsidR="00AB6F50" w:rsidRPr="000973F2" w:rsidRDefault="00AB6F50" w:rsidP="006E60B3">
            <w:pPr>
              <w:spacing w:before="30" w:after="3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0.0</w:t>
            </w:r>
          </w:p>
        </w:tc>
        <w:tc>
          <w:tcPr>
            <w:tcW w:w="670" w:type="dxa"/>
            <w:noWrap/>
            <w:hideMark/>
          </w:tcPr>
          <w:p w14:paraId="0DD2EA96" w14:textId="77777777" w:rsidR="00AB6F50" w:rsidRPr="000973F2" w:rsidRDefault="00AB6F50" w:rsidP="006E60B3">
            <w:pPr>
              <w:spacing w:before="30" w:after="3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0.0</w:t>
            </w:r>
          </w:p>
        </w:tc>
        <w:tc>
          <w:tcPr>
            <w:tcW w:w="670" w:type="dxa"/>
            <w:noWrap/>
            <w:hideMark/>
          </w:tcPr>
          <w:p w14:paraId="6F7E2F84" w14:textId="77777777" w:rsidR="00AB6F50" w:rsidRPr="000973F2" w:rsidRDefault="00AB6F50" w:rsidP="006E60B3">
            <w:pPr>
              <w:spacing w:before="30" w:after="3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0.0</w:t>
            </w:r>
          </w:p>
        </w:tc>
        <w:tc>
          <w:tcPr>
            <w:tcW w:w="669" w:type="dxa"/>
            <w:noWrap/>
            <w:hideMark/>
          </w:tcPr>
          <w:p w14:paraId="56F1CF8A" w14:textId="77777777" w:rsidR="00AB6F50" w:rsidRPr="000973F2" w:rsidRDefault="00AB6F50" w:rsidP="006E60B3">
            <w:pPr>
              <w:spacing w:before="30" w:after="3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0.0</w:t>
            </w:r>
          </w:p>
        </w:tc>
        <w:tc>
          <w:tcPr>
            <w:tcW w:w="670" w:type="dxa"/>
            <w:noWrap/>
            <w:hideMark/>
          </w:tcPr>
          <w:p w14:paraId="15B3D340" w14:textId="77777777" w:rsidR="00AB6F50" w:rsidRPr="000973F2" w:rsidRDefault="00AB6F50" w:rsidP="006E60B3">
            <w:pPr>
              <w:spacing w:before="30" w:after="3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0.0</w:t>
            </w:r>
          </w:p>
        </w:tc>
        <w:tc>
          <w:tcPr>
            <w:tcW w:w="670" w:type="dxa"/>
            <w:noWrap/>
            <w:hideMark/>
          </w:tcPr>
          <w:p w14:paraId="2EBC0A3B" w14:textId="77777777" w:rsidR="00AB6F50" w:rsidRPr="000973F2" w:rsidRDefault="00AB6F50" w:rsidP="006E60B3">
            <w:pPr>
              <w:spacing w:before="30" w:after="3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1.0</w:t>
            </w:r>
          </w:p>
        </w:tc>
        <w:tc>
          <w:tcPr>
            <w:tcW w:w="669" w:type="dxa"/>
            <w:noWrap/>
            <w:hideMark/>
          </w:tcPr>
          <w:p w14:paraId="7EE133F3" w14:textId="77777777" w:rsidR="00AB6F50" w:rsidRPr="000973F2" w:rsidRDefault="00AB6F50" w:rsidP="006E60B3">
            <w:pPr>
              <w:spacing w:before="30" w:after="3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0.0</w:t>
            </w:r>
          </w:p>
        </w:tc>
        <w:tc>
          <w:tcPr>
            <w:tcW w:w="670" w:type="dxa"/>
            <w:noWrap/>
            <w:hideMark/>
          </w:tcPr>
          <w:p w14:paraId="2092EC29" w14:textId="77777777" w:rsidR="00AB6F50" w:rsidRPr="000973F2" w:rsidRDefault="00AB6F50" w:rsidP="006E60B3">
            <w:pPr>
              <w:spacing w:before="30" w:after="3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13.0</w:t>
            </w:r>
          </w:p>
        </w:tc>
        <w:tc>
          <w:tcPr>
            <w:tcW w:w="670" w:type="dxa"/>
            <w:noWrap/>
            <w:hideMark/>
          </w:tcPr>
          <w:p w14:paraId="3F7AB68A" w14:textId="77777777" w:rsidR="00AB6F50" w:rsidRPr="000973F2" w:rsidRDefault="00AB6F50" w:rsidP="006E60B3">
            <w:pPr>
              <w:spacing w:before="30" w:after="3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0.0</w:t>
            </w:r>
          </w:p>
        </w:tc>
        <w:tc>
          <w:tcPr>
            <w:tcW w:w="670" w:type="dxa"/>
            <w:noWrap/>
            <w:hideMark/>
          </w:tcPr>
          <w:p w14:paraId="61B99736" w14:textId="77777777" w:rsidR="00AB6F50" w:rsidRPr="000973F2" w:rsidRDefault="00AB6F50" w:rsidP="006E60B3">
            <w:pPr>
              <w:spacing w:before="30" w:after="3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1.0</w:t>
            </w:r>
          </w:p>
        </w:tc>
        <w:tc>
          <w:tcPr>
            <w:tcW w:w="503" w:type="dxa"/>
            <w:noWrap/>
            <w:hideMark/>
          </w:tcPr>
          <w:p w14:paraId="27EACC9C" w14:textId="11F004F9" w:rsidR="00AB6F50" w:rsidRPr="000973F2" w:rsidRDefault="00AB6F50" w:rsidP="006E60B3">
            <w:pPr>
              <w:spacing w:before="30" w:after="3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$0</w:t>
            </w:r>
          </w:p>
        </w:tc>
        <w:tc>
          <w:tcPr>
            <w:tcW w:w="795" w:type="dxa"/>
            <w:noWrap/>
            <w:hideMark/>
          </w:tcPr>
          <w:p w14:paraId="75B835EA" w14:textId="3FFB90E2" w:rsidR="00AB6F50" w:rsidRPr="000973F2" w:rsidRDefault="00AB6F50" w:rsidP="006E60B3">
            <w:pPr>
              <w:tabs>
                <w:tab w:val="decimal" w:pos="451"/>
              </w:tabs>
              <w:spacing w:before="30" w:after="3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$1,350</w:t>
            </w:r>
          </w:p>
        </w:tc>
      </w:tr>
      <w:tr w:rsidR="00260534" w:rsidRPr="000973F2" w14:paraId="24CB8281" w14:textId="77777777" w:rsidTr="006E60B3">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1335" w:type="dxa"/>
            <w:noWrap/>
            <w:tcMar>
              <w:right w:w="14" w:type="dxa"/>
            </w:tcMar>
            <w:hideMark/>
          </w:tcPr>
          <w:p w14:paraId="1486425E" w14:textId="77777777" w:rsidR="00AB6F50" w:rsidRPr="000973F2" w:rsidRDefault="00AB6F50" w:rsidP="006E60B3">
            <w:pPr>
              <w:spacing w:before="30" w:after="30"/>
              <w:rPr>
                <w:rFonts w:ascii="Times New Roman" w:eastAsia="Times New Roman" w:hAnsi="Times New Roman" w:cs="Times New Roman"/>
                <w:b/>
                <w:bCs w:val="0"/>
                <w:sz w:val="18"/>
                <w:szCs w:val="18"/>
              </w:rPr>
            </w:pPr>
            <w:r w:rsidRPr="000973F2">
              <w:rPr>
                <w:rFonts w:ascii="Times New Roman" w:eastAsia="Times New Roman" w:hAnsi="Times New Roman" w:cs="Times New Roman"/>
                <w:b/>
                <w:sz w:val="18"/>
                <w:szCs w:val="18"/>
              </w:rPr>
              <w:t>Total</w:t>
            </w:r>
          </w:p>
        </w:tc>
        <w:tc>
          <w:tcPr>
            <w:tcW w:w="669" w:type="dxa"/>
            <w:noWrap/>
            <w:hideMark/>
          </w:tcPr>
          <w:p w14:paraId="7DACDBD3" w14:textId="77777777" w:rsidR="00AB6F50" w:rsidRPr="000973F2" w:rsidRDefault="00AB6F50" w:rsidP="006E60B3">
            <w:pPr>
              <w:spacing w:before="30" w:after="3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18"/>
                <w:szCs w:val="18"/>
              </w:rPr>
            </w:pPr>
            <w:r w:rsidRPr="000973F2">
              <w:rPr>
                <w:rFonts w:ascii="Times New Roman" w:eastAsia="Times New Roman" w:hAnsi="Times New Roman" w:cs="Times New Roman"/>
                <w:b/>
                <w:bCs/>
                <w:sz w:val="18"/>
                <w:szCs w:val="18"/>
              </w:rPr>
              <w:t>0.0</w:t>
            </w:r>
          </w:p>
        </w:tc>
        <w:tc>
          <w:tcPr>
            <w:tcW w:w="670" w:type="dxa"/>
            <w:noWrap/>
            <w:hideMark/>
          </w:tcPr>
          <w:p w14:paraId="6B7A1906" w14:textId="77777777" w:rsidR="00AB6F50" w:rsidRPr="000973F2" w:rsidRDefault="00AB6F50" w:rsidP="006E60B3">
            <w:pPr>
              <w:spacing w:before="30" w:after="3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18"/>
                <w:szCs w:val="18"/>
              </w:rPr>
            </w:pPr>
            <w:r w:rsidRPr="000973F2">
              <w:rPr>
                <w:rFonts w:ascii="Times New Roman" w:eastAsia="Times New Roman" w:hAnsi="Times New Roman" w:cs="Times New Roman"/>
                <w:b/>
                <w:bCs/>
                <w:sz w:val="18"/>
                <w:szCs w:val="18"/>
              </w:rPr>
              <w:t>2.0</w:t>
            </w:r>
          </w:p>
        </w:tc>
        <w:tc>
          <w:tcPr>
            <w:tcW w:w="670" w:type="dxa"/>
            <w:noWrap/>
            <w:hideMark/>
          </w:tcPr>
          <w:p w14:paraId="461EE042" w14:textId="77777777" w:rsidR="00AB6F50" w:rsidRPr="000973F2" w:rsidRDefault="00AB6F50" w:rsidP="006E60B3">
            <w:pPr>
              <w:spacing w:before="30" w:after="3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18"/>
                <w:szCs w:val="18"/>
              </w:rPr>
            </w:pPr>
            <w:r w:rsidRPr="000973F2">
              <w:rPr>
                <w:rFonts w:ascii="Times New Roman" w:eastAsia="Times New Roman" w:hAnsi="Times New Roman" w:cs="Times New Roman"/>
                <w:b/>
                <w:bCs/>
                <w:sz w:val="18"/>
                <w:szCs w:val="18"/>
              </w:rPr>
              <w:t>0.0</w:t>
            </w:r>
          </w:p>
        </w:tc>
        <w:tc>
          <w:tcPr>
            <w:tcW w:w="669" w:type="dxa"/>
            <w:noWrap/>
            <w:hideMark/>
          </w:tcPr>
          <w:p w14:paraId="298E1F2A" w14:textId="77777777" w:rsidR="00AB6F50" w:rsidRPr="000973F2" w:rsidRDefault="00AB6F50" w:rsidP="006E60B3">
            <w:pPr>
              <w:spacing w:before="30" w:after="3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18"/>
                <w:szCs w:val="18"/>
              </w:rPr>
            </w:pPr>
            <w:r w:rsidRPr="000973F2">
              <w:rPr>
                <w:rFonts w:ascii="Times New Roman" w:eastAsia="Times New Roman" w:hAnsi="Times New Roman" w:cs="Times New Roman"/>
                <w:b/>
                <w:bCs/>
                <w:sz w:val="18"/>
                <w:szCs w:val="18"/>
              </w:rPr>
              <w:t>0.3</w:t>
            </w:r>
          </w:p>
        </w:tc>
        <w:tc>
          <w:tcPr>
            <w:tcW w:w="670" w:type="dxa"/>
            <w:noWrap/>
            <w:hideMark/>
          </w:tcPr>
          <w:p w14:paraId="4C4E6A45" w14:textId="77777777" w:rsidR="00AB6F50" w:rsidRPr="000973F2" w:rsidRDefault="00AB6F50" w:rsidP="006E60B3">
            <w:pPr>
              <w:spacing w:before="30" w:after="3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18"/>
                <w:szCs w:val="18"/>
              </w:rPr>
            </w:pPr>
            <w:r w:rsidRPr="000973F2">
              <w:rPr>
                <w:rFonts w:ascii="Times New Roman" w:eastAsia="Times New Roman" w:hAnsi="Times New Roman" w:cs="Times New Roman"/>
                <w:b/>
                <w:bCs/>
                <w:sz w:val="18"/>
                <w:szCs w:val="18"/>
              </w:rPr>
              <w:t>0.0</w:t>
            </w:r>
          </w:p>
        </w:tc>
        <w:tc>
          <w:tcPr>
            <w:tcW w:w="670" w:type="dxa"/>
            <w:noWrap/>
            <w:hideMark/>
          </w:tcPr>
          <w:p w14:paraId="774FB500" w14:textId="77777777" w:rsidR="00AB6F50" w:rsidRPr="000973F2" w:rsidRDefault="00AB6F50" w:rsidP="006E60B3">
            <w:pPr>
              <w:spacing w:before="30" w:after="3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18"/>
                <w:szCs w:val="18"/>
              </w:rPr>
            </w:pPr>
            <w:r w:rsidRPr="000973F2">
              <w:rPr>
                <w:rFonts w:ascii="Times New Roman" w:eastAsia="Times New Roman" w:hAnsi="Times New Roman" w:cs="Times New Roman"/>
                <w:b/>
                <w:bCs/>
                <w:sz w:val="18"/>
                <w:szCs w:val="18"/>
              </w:rPr>
              <w:t>2.6</w:t>
            </w:r>
          </w:p>
        </w:tc>
        <w:tc>
          <w:tcPr>
            <w:tcW w:w="669" w:type="dxa"/>
            <w:noWrap/>
            <w:hideMark/>
          </w:tcPr>
          <w:p w14:paraId="47DFBC55" w14:textId="77777777" w:rsidR="00AB6F50" w:rsidRPr="000973F2" w:rsidRDefault="00AB6F50" w:rsidP="006E60B3">
            <w:pPr>
              <w:spacing w:before="30" w:after="3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18"/>
                <w:szCs w:val="18"/>
              </w:rPr>
            </w:pPr>
            <w:r w:rsidRPr="000973F2">
              <w:rPr>
                <w:rFonts w:ascii="Times New Roman" w:eastAsia="Times New Roman" w:hAnsi="Times New Roman" w:cs="Times New Roman"/>
                <w:b/>
                <w:bCs/>
                <w:sz w:val="18"/>
                <w:szCs w:val="18"/>
              </w:rPr>
              <w:t>0.0</w:t>
            </w:r>
          </w:p>
        </w:tc>
        <w:tc>
          <w:tcPr>
            <w:tcW w:w="670" w:type="dxa"/>
            <w:noWrap/>
            <w:hideMark/>
          </w:tcPr>
          <w:p w14:paraId="6D48E21E" w14:textId="77777777" w:rsidR="00AB6F50" w:rsidRPr="000973F2" w:rsidRDefault="00AB6F50" w:rsidP="006E60B3">
            <w:pPr>
              <w:spacing w:before="30" w:after="3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18"/>
                <w:szCs w:val="18"/>
              </w:rPr>
            </w:pPr>
            <w:r w:rsidRPr="000973F2">
              <w:rPr>
                <w:rFonts w:ascii="Times New Roman" w:eastAsia="Times New Roman" w:hAnsi="Times New Roman" w:cs="Times New Roman"/>
                <w:b/>
                <w:bCs/>
                <w:sz w:val="18"/>
                <w:szCs w:val="18"/>
              </w:rPr>
              <w:t>25.5</w:t>
            </w:r>
          </w:p>
        </w:tc>
        <w:tc>
          <w:tcPr>
            <w:tcW w:w="670" w:type="dxa"/>
            <w:noWrap/>
            <w:hideMark/>
          </w:tcPr>
          <w:p w14:paraId="20177F8D" w14:textId="77777777" w:rsidR="00AB6F50" w:rsidRPr="000973F2" w:rsidRDefault="00AB6F50" w:rsidP="006E60B3">
            <w:pPr>
              <w:spacing w:before="30" w:after="3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18"/>
                <w:szCs w:val="18"/>
              </w:rPr>
            </w:pPr>
            <w:r w:rsidRPr="000973F2">
              <w:rPr>
                <w:rFonts w:ascii="Times New Roman" w:eastAsia="Times New Roman" w:hAnsi="Times New Roman" w:cs="Times New Roman"/>
                <w:b/>
                <w:bCs/>
                <w:sz w:val="18"/>
                <w:szCs w:val="18"/>
              </w:rPr>
              <w:t>0.0</w:t>
            </w:r>
          </w:p>
        </w:tc>
        <w:tc>
          <w:tcPr>
            <w:tcW w:w="670" w:type="dxa"/>
            <w:noWrap/>
            <w:hideMark/>
          </w:tcPr>
          <w:p w14:paraId="4085185E" w14:textId="77777777" w:rsidR="00AB6F50" w:rsidRPr="000973F2" w:rsidRDefault="00AB6F50" w:rsidP="006E60B3">
            <w:pPr>
              <w:spacing w:before="30" w:after="3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18"/>
                <w:szCs w:val="18"/>
              </w:rPr>
            </w:pPr>
            <w:r w:rsidRPr="000973F2">
              <w:rPr>
                <w:rFonts w:ascii="Times New Roman" w:eastAsia="Times New Roman" w:hAnsi="Times New Roman" w:cs="Times New Roman"/>
                <w:b/>
                <w:bCs/>
                <w:sz w:val="18"/>
                <w:szCs w:val="18"/>
              </w:rPr>
              <w:t>2.0</w:t>
            </w:r>
          </w:p>
        </w:tc>
        <w:tc>
          <w:tcPr>
            <w:tcW w:w="503" w:type="dxa"/>
            <w:noWrap/>
            <w:hideMark/>
          </w:tcPr>
          <w:p w14:paraId="4D04A750" w14:textId="30F2126F" w:rsidR="00AB6F50" w:rsidRPr="000973F2" w:rsidRDefault="00AB6F50" w:rsidP="006E60B3">
            <w:pPr>
              <w:spacing w:before="30" w:after="3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18"/>
                <w:szCs w:val="18"/>
              </w:rPr>
            </w:pPr>
            <w:r w:rsidRPr="000973F2">
              <w:rPr>
                <w:rFonts w:ascii="Times New Roman" w:eastAsia="Times New Roman" w:hAnsi="Times New Roman" w:cs="Times New Roman"/>
                <w:b/>
                <w:bCs/>
                <w:sz w:val="18"/>
                <w:szCs w:val="18"/>
              </w:rPr>
              <w:t>$0</w:t>
            </w:r>
          </w:p>
        </w:tc>
        <w:tc>
          <w:tcPr>
            <w:tcW w:w="795" w:type="dxa"/>
            <w:noWrap/>
            <w:hideMark/>
          </w:tcPr>
          <w:p w14:paraId="469387BF" w14:textId="51B9E81E" w:rsidR="00AB6F50" w:rsidRPr="000973F2" w:rsidRDefault="00AB6F50" w:rsidP="006E60B3">
            <w:pPr>
              <w:tabs>
                <w:tab w:val="decimal" w:pos="451"/>
              </w:tabs>
              <w:spacing w:before="30" w:after="3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18"/>
                <w:szCs w:val="18"/>
              </w:rPr>
            </w:pPr>
            <w:r w:rsidRPr="000973F2">
              <w:rPr>
                <w:rFonts w:ascii="Times New Roman" w:eastAsia="Times New Roman" w:hAnsi="Times New Roman" w:cs="Times New Roman"/>
                <w:b/>
                <w:bCs/>
                <w:sz w:val="18"/>
                <w:szCs w:val="18"/>
              </w:rPr>
              <w:t>$2,985</w:t>
            </w:r>
          </w:p>
        </w:tc>
      </w:tr>
    </w:tbl>
    <w:p w14:paraId="2E5A59B8" w14:textId="77777777" w:rsidR="00AB6F50" w:rsidRPr="000973F2" w:rsidRDefault="00AB6F50" w:rsidP="00C00E4F">
      <w:pPr>
        <w:spacing w:line="240" w:lineRule="auto"/>
        <w:rPr>
          <w:rFonts w:ascii="Times New Roman" w:hAnsi="Times New Roman" w:cs="Times New Roman"/>
          <w:sz w:val="20"/>
          <w:szCs w:val="20"/>
        </w:rPr>
      </w:pPr>
    </w:p>
    <w:p w14:paraId="5B30ACED" w14:textId="1CAB1D8B" w:rsidR="00AB6F50" w:rsidRPr="000973F2" w:rsidRDefault="00AB6F50" w:rsidP="00C00E4F">
      <w:pPr>
        <w:spacing w:line="240" w:lineRule="auto"/>
        <w:rPr>
          <w:rFonts w:ascii="Times New Roman" w:hAnsi="Times New Roman" w:cs="Times New Roman"/>
          <w:b/>
          <w:szCs w:val="20"/>
        </w:rPr>
      </w:pPr>
      <w:r w:rsidRPr="000973F2">
        <w:rPr>
          <w:rFonts w:ascii="Times New Roman" w:hAnsi="Times New Roman" w:cs="Times New Roman"/>
          <w:b/>
          <w:szCs w:val="20"/>
        </w:rPr>
        <w:t xml:space="preserve">Table </w:t>
      </w:r>
      <w:r w:rsidR="00260534" w:rsidRPr="000973F2">
        <w:rPr>
          <w:rFonts w:ascii="Times New Roman" w:hAnsi="Times New Roman" w:cs="Times New Roman"/>
          <w:b/>
          <w:szCs w:val="20"/>
        </w:rPr>
        <w:t>W-</w:t>
      </w:r>
      <w:r w:rsidRPr="000973F2">
        <w:rPr>
          <w:rFonts w:ascii="Times New Roman" w:hAnsi="Times New Roman" w:cs="Times New Roman"/>
          <w:b/>
          <w:szCs w:val="20"/>
        </w:rPr>
        <w:t xml:space="preserve">2a. </w:t>
      </w:r>
      <w:r w:rsidR="00381C51" w:rsidRPr="000973F2">
        <w:rPr>
          <w:rFonts w:ascii="Times New Roman" w:hAnsi="Times New Roman" w:cs="Times New Roman"/>
          <w:b/>
          <w:szCs w:val="20"/>
        </w:rPr>
        <w:t xml:space="preserve">Capital and O&amp;M Costs </w:t>
      </w:r>
      <w:r w:rsidR="00B960CC" w:rsidRPr="000973F2">
        <w:rPr>
          <w:rFonts w:ascii="Times New Roman" w:hAnsi="Times New Roman" w:cs="Times New Roman"/>
          <w:b/>
          <w:szCs w:val="20"/>
        </w:rPr>
        <w:t>–</w:t>
      </w:r>
      <w:r w:rsidR="00381C51" w:rsidRPr="000973F2">
        <w:rPr>
          <w:rFonts w:ascii="Times New Roman" w:hAnsi="Times New Roman" w:cs="Times New Roman"/>
          <w:b/>
          <w:szCs w:val="20"/>
        </w:rPr>
        <w:t xml:space="preserve"> </w:t>
      </w:r>
      <w:r w:rsidRPr="000973F2">
        <w:rPr>
          <w:rFonts w:ascii="Times New Roman" w:hAnsi="Times New Roman" w:cs="Times New Roman"/>
          <w:b/>
          <w:szCs w:val="20"/>
        </w:rPr>
        <w:t>Subpart W – Offshore Petroleum and Natural Gas Production</w:t>
      </w:r>
    </w:p>
    <w:tbl>
      <w:tblPr>
        <w:tblStyle w:val="PlainTable1"/>
        <w:tblW w:w="5000" w:type="pct"/>
        <w:jc w:val="left"/>
        <w:tblLayout w:type="fixed"/>
        <w:tblCellMar>
          <w:left w:w="115" w:type="dxa"/>
          <w:right w:w="115" w:type="dxa"/>
        </w:tblCellMar>
        <w:tblLook w:val="04A0" w:firstRow="1" w:lastRow="0" w:firstColumn="1" w:lastColumn="0" w:noHBand="0" w:noVBand="1"/>
      </w:tblPr>
      <w:tblGrid>
        <w:gridCol w:w="1652"/>
        <w:gridCol w:w="1324"/>
        <w:gridCol w:w="1323"/>
        <w:gridCol w:w="1323"/>
        <w:gridCol w:w="1302"/>
        <w:gridCol w:w="1346"/>
        <w:gridCol w:w="1320"/>
      </w:tblGrid>
      <w:tr w:rsidR="00D17312" w:rsidRPr="000973F2" w14:paraId="7A66CE5B" w14:textId="77777777" w:rsidTr="006E60B3">
        <w:trPr>
          <w:cnfStyle w:val="100000000000" w:firstRow="1" w:lastRow="0" w:firstColumn="0" w:lastColumn="0" w:oddVBand="0" w:evenVBand="0" w:oddHBand="0" w:evenHBand="0" w:firstRowFirstColumn="0" w:firstRowLastColumn="0" w:lastRowFirstColumn="0" w:lastRowLastColumn="0"/>
          <w:cantSplit/>
          <w:jc w:val="left"/>
        </w:trPr>
        <w:tc>
          <w:tcPr>
            <w:cnfStyle w:val="001000000000" w:firstRow="0" w:lastRow="0" w:firstColumn="1" w:lastColumn="0" w:oddVBand="0" w:evenVBand="0" w:oddHBand="0" w:evenHBand="0" w:firstRowFirstColumn="0" w:firstRowLastColumn="0" w:lastRowFirstColumn="0" w:lastRowLastColumn="0"/>
            <w:tcW w:w="861" w:type="pct"/>
            <w:vMerge w:val="restart"/>
            <w:noWrap/>
            <w:vAlign w:val="top"/>
            <w:hideMark/>
          </w:tcPr>
          <w:p w14:paraId="7566EC11" w14:textId="7A4CBC5C" w:rsidR="00D17312" w:rsidRPr="000973F2" w:rsidRDefault="00D17312" w:rsidP="006E60B3">
            <w:pPr>
              <w:spacing w:before="30" w:after="30"/>
              <w:rPr>
                <w:rFonts w:ascii="Times New Roman" w:eastAsia="Times New Roman" w:hAnsi="Times New Roman" w:cs="Times New Roman"/>
                <w:b w:val="0"/>
                <w:bCs w:val="0"/>
                <w:sz w:val="18"/>
                <w:szCs w:val="18"/>
              </w:rPr>
            </w:pPr>
            <w:r w:rsidRPr="000973F2">
              <w:rPr>
                <w:rFonts w:ascii="Times New Roman" w:eastAsia="Times New Roman" w:hAnsi="Times New Roman" w:cs="Times New Roman"/>
                <w:sz w:val="18"/>
                <w:szCs w:val="18"/>
              </w:rPr>
              <w:t>Activity</w:t>
            </w:r>
          </w:p>
        </w:tc>
        <w:tc>
          <w:tcPr>
            <w:tcW w:w="2749" w:type="pct"/>
            <w:gridSpan w:val="4"/>
            <w:noWrap/>
            <w:vAlign w:val="top"/>
            <w:hideMark/>
          </w:tcPr>
          <w:p w14:paraId="087B3E91" w14:textId="77777777" w:rsidR="00D17312" w:rsidRPr="000973F2" w:rsidRDefault="00D17312" w:rsidP="006E60B3">
            <w:pPr>
              <w:spacing w:before="30" w:after="30"/>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bCs w:val="0"/>
                <w:sz w:val="18"/>
                <w:szCs w:val="18"/>
              </w:rPr>
            </w:pPr>
            <w:r w:rsidRPr="000973F2">
              <w:rPr>
                <w:rFonts w:ascii="Times New Roman" w:eastAsia="Times New Roman" w:hAnsi="Times New Roman" w:cs="Times New Roman"/>
                <w:sz w:val="18"/>
                <w:szCs w:val="18"/>
              </w:rPr>
              <w:t>Cost Categories</w:t>
            </w:r>
          </w:p>
        </w:tc>
        <w:tc>
          <w:tcPr>
            <w:tcW w:w="1391" w:type="pct"/>
            <w:gridSpan w:val="2"/>
            <w:vAlign w:val="top"/>
            <w:hideMark/>
          </w:tcPr>
          <w:p w14:paraId="7B1BF3D9" w14:textId="6C763720" w:rsidR="00D17312" w:rsidRPr="000973F2" w:rsidRDefault="00D17312" w:rsidP="006E60B3">
            <w:pPr>
              <w:spacing w:before="30" w:after="30"/>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bCs w:val="0"/>
                <w:sz w:val="18"/>
                <w:szCs w:val="18"/>
              </w:rPr>
            </w:pPr>
            <w:r w:rsidRPr="000973F2">
              <w:rPr>
                <w:rFonts w:ascii="Times New Roman" w:eastAsia="Times New Roman" w:hAnsi="Times New Roman" w:cs="Times New Roman"/>
                <w:sz w:val="18"/>
                <w:szCs w:val="18"/>
              </w:rPr>
              <w:t>Total Capital and O&amp;M Cost per Year per Reporter</w:t>
            </w:r>
            <w:r w:rsidR="006E60B3" w:rsidRPr="000973F2">
              <w:rPr>
                <w:rFonts w:ascii="Times New Roman" w:eastAsia="Times New Roman" w:hAnsi="Times New Roman" w:cs="Times New Roman"/>
                <w:sz w:val="18"/>
                <w:szCs w:val="18"/>
              </w:rPr>
              <w:t xml:space="preserve"> </w:t>
            </w:r>
            <w:r w:rsidRPr="000973F2">
              <w:rPr>
                <w:rFonts w:ascii="Times New Roman" w:eastAsia="Times New Roman" w:hAnsi="Times New Roman" w:cs="Times New Roman"/>
                <w:sz w:val="18"/>
                <w:szCs w:val="18"/>
              </w:rPr>
              <w:t>(2017$)</w:t>
            </w:r>
          </w:p>
        </w:tc>
      </w:tr>
      <w:tr w:rsidR="00D17312" w:rsidRPr="000973F2" w14:paraId="2F707BB1" w14:textId="77777777" w:rsidTr="006E60B3">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861" w:type="pct"/>
            <w:vMerge/>
            <w:noWrap/>
            <w:hideMark/>
          </w:tcPr>
          <w:p w14:paraId="55076315" w14:textId="1082B1E5" w:rsidR="00D17312" w:rsidRPr="000973F2" w:rsidRDefault="00D17312" w:rsidP="006E60B3">
            <w:pPr>
              <w:spacing w:before="30" w:after="30"/>
              <w:jc w:val="center"/>
              <w:rPr>
                <w:rFonts w:ascii="Times New Roman" w:eastAsia="Times New Roman" w:hAnsi="Times New Roman" w:cs="Times New Roman"/>
                <w:b/>
                <w:bCs w:val="0"/>
                <w:sz w:val="18"/>
                <w:szCs w:val="18"/>
              </w:rPr>
            </w:pPr>
          </w:p>
        </w:tc>
        <w:tc>
          <w:tcPr>
            <w:tcW w:w="690" w:type="pct"/>
            <w:hideMark/>
          </w:tcPr>
          <w:p w14:paraId="1770F75F" w14:textId="77777777" w:rsidR="00D17312" w:rsidRPr="000973F2" w:rsidRDefault="00D17312" w:rsidP="006E60B3">
            <w:pPr>
              <w:spacing w:before="30" w:after="3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18"/>
                <w:szCs w:val="18"/>
              </w:rPr>
            </w:pPr>
            <w:r w:rsidRPr="000973F2">
              <w:rPr>
                <w:rFonts w:ascii="Times New Roman" w:eastAsia="Times New Roman" w:hAnsi="Times New Roman" w:cs="Times New Roman"/>
                <w:b/>
                <w:bCs/>
                <w:sz w:val="18"/>
                <w:szCs w:val="18"/>
              </w:rPr>
              <w:t>Capital Cost (2017$)</w:t>
            </w:r>
          </w:p>
        </w:tc>
        <w:tc>
          <w:tcPr>
            <w:tcW w:w="690" w:type="pct"/>
            <w:hideMark/>
          </w:tcPr>
          <w:p w14:paraId="63CEA9B6" w14:textId="77777777" w:rsidR="00D17312" w:rsidRPr="000973F2" w:rsidRDefault="00D17312" w:rsidP="006E60B3">
            <w:pPr>
              <w:spacing w:before="30" w:after="3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18"/>
                <w:szCs w:val="18"/>
              </w:rPr>
            </w:pPr>
            <w:r w:rsidRPr="000973F2">
              <w:rPr>
                <w:rFonts w:ascii="Times New Roman" w:eastAsia="Times New Roman" w:hAnsi="Times New Roman" w:cs="Times New Roman"/>
                <w:b/>
                <w:bCs/>
                <w:sz w:val="18"/>
                <w:szCs w:val="18"/>
              </w:rPr>
              <w:t>Equipment Lifetime</w:t>
            </w:r>
          </w:p>
        </w:tc>
        <w:tc>
          <w:tcPr>
            <w:tcW w:w="690" w:type="pct"/>
            <w:hideMark/>
          </w:tcPr>
          <w:p w14:paraId="0A519FC9" w14:textId="77777777" w:rsidR="00D17312" w:rsidRPr="000973F2" w:rsidRDefault="00D17312" w:rsidP="006E60B3">
            <w:pPr>
              <w:spacing w:before="30" w:after="3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18"/>
                <w:szCs w:val="18"/>
              </w:rPr>
            </w:pPr>
            <w:r w:rsidRPr="000973F2">
              <w:rPr>
                <w:rFonts w:ascii="Times New Roman" w:eastAsia="Times New Roman" w:hAnsi="Times New Roman" w:cs="Times New Roman"/>
                <w:b/>
                <w:bCs/>
                <w:sz w:val="18"/>
                <w:szCs w:val="18"/>
              </w:rPr>
              <w:t>Annualized Capital Cost (2017$/year)</w:t>
            </w:r>
          </w:p>
        </w:tc>
        <w:tc>
          <w:tcPr>
            <w:tcW w:w="679" w:type="pct"/>
            <w:hideMark/>
          </w:tcPr>
          <w:p w14:paraId="786B8E60" w14:textId="77777777" w:rsidR="00D17312" w:rsidRPr="000973F2" w:rsidRDefault="00D17312" w:rsidP="006E60B3">
            <w:pPr>
              <w:spacing w:before="30" w:after="3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18"/>
                <w:szCs w:val="18"/>
              </w:rPr>
            </w:pPr>
            <w:r w:rsidRPr="000973F2">
              <w:rPr>
                <w:rFonts w:ascii="Times New Roman" w:eastAsia="Times New Roman" w:hAnsi="Times New Roman" w:cs="Times New Roman"/>
                <w:b/>
                <w:bCs/>
                <w:sz w:val="18"/>
                <w:szCs w:val="18"/>
              </w:rPr>
              <w:t>O&amp;M Costs (2017$/year)</w:t>
            </w:r>
          </w:p>
        </w:tc>
        <w:tc>
          <w:tcPr>
            <w:tcW w:w="702" w:type="pct"/>
            <w:hideMark/>
          </w:tcPr>
          <w:p w14:paraId="5141E718" w14:textId="77777777" w:rsidR="00D17312" w:rsidRPr="000973F2" w:rsidRDefault="00D17312" w:rsidP="006E60B3">
            <w:pPr>
              <w:spacing w:before="30" w:after="3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18"/>
                <w:szCs w:val="18"/>
              </w:rPr>
            </w:pPr>
            <w:r w:rsidRPr="000973F2">
              <w:rPr>
                <w:rFonts w:ascii="Times New Roman" w:eastAsia="Times New Roman" w:hAnsi="Times New Roman" w:cs="Times New Roman"/>
                <w:b/>
                <w:bCs/>
                <w:sz w:val="18"/>
                <w:szCs w:val="18"/>
              </w:rPr>
              <w:t>Initial Year</w:t>
            </w:r>
          </w:p>
        </w:tc>
        <w:tc>
          <w:tcPr>
            <w:tcW w:w="689" w:type="pct"/>
            <w:hideMark/>
          </w:tcPr>
          <w:p w14:paraId="684B650C" w14:textId="77777777" w:rsidR="00D17312" w:rsidRPr="000973F2" w:rsidRDefault="00D17312" w:rsidP="006E60B3">
            <w:pPr>
              <w:spacing w:before="30" w:after="3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18"/>
                <w:szCs w:val="18"/>
              </w:rPr>
            </w:pPr>
            <w:r w:rsidRPr="000973F2">
              <w:rPr>
                <w:rFonts w:ascii="Times New Roman" w:eastAsia="Times New Roman" w:hAnsi="Times New Roman" w:cs="Times New Roman"/>
                <w:b/>
                <w:bCs/>
                <w:sz w:val="18"/>
                <w:szCs w:val="18"/>
              </w:rPr>
              <w:t>Subseq. Years</w:t>
            </w:r>
          </w:p>
        </w:tc>
      </w:tr>
      <w:tr w:rsidR="006E60B3" w:rsidRPr="000973F2" w14:paraId="51FF34EE" w14:textId="77777777" w:rsidTr="006E60B3">
        <w:trPr>
          <w:cantSplit/>
        </w:trPr>
        <w:tc>
          <w:tcPr>
            <w:cnfStyle w:val="001000000000" w:firstRow="0" w:lastRow="0" w:firstColumn="1" w:lastColumn="0" w:oddVBand="0" w:evenVBand="0" w:oddHBand="0" w:evenHBand="0" w:firstRowFirstColumn="0" w:firstRowLastColumn="0" w:lastRowFirstColumn="0" w:lastRowLastColumn="0"/>
            <w:tcW w:w="861" w:type="pct"/>
            <w:tcMar>
              <w:right w:w="14" w:type="dxa"/>
            </w:tcMar>
            <w:hideMark/>
          </w:tcPr>
          <w:p w14:paraId="0945F239" w14:textId="77777777" w:rsidR="006E60B3" w:rsidRPr="000973F2" w:rsidRDefault="006E60B3" w:rsidP="006E60B3">
            <w:pPr>
              <w:spacing w:before="30" w:after="3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Equipment (selection, purchase, installation)</w:t>
            </w:r>
          </w:p>
        </w:tc>
        <w:tc>
          <w:tcPr>
            <w:tcW w:w="690" w:type="pct"/>
            <w:noWrap/>
            <w:hideMark/>
          </w:tcPr>
          <w:p w14:paraId="5B6A1BAB" w14:textId="64338DEB" w:rsidR="006E60B3" w:rsidRPr="000973F2" w:rsidRDefault="006E60B3" w:rsidP="006E60B3">
            <w:pPr>
              <w:spacing w:before="30" w:after="3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w:t>
            </w:r>
          </w:p>
        </w:tc>
        <w:tc>
          <w:tcPr>
            <w:tcW w:w="690" w:type="pct"/>
            <w:noWrap/>
          </w:tcPr>
          <w:p w14:paraId="10B45A59" w14:textId="6EFB17FD" w:rsidR="006E60B3" w:rsidRPr="000973F2" w:rsidRDefault="006E60B3" w:rsidP="006E60B3">
            <w:pPr>
              <w:spacing w:before="30" w:after="3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w:t>
            </w:r>
          </w:p>
        </w:tc>
        <w:tc>
          <w:tcPr>
            <w:tcW w:w="690" w:type="pct"/>
            <w:noWrap/>
            <w:hideMark/>
          </w:tcPr>
          <w:p w14:paraId="71FAB908" w14:textId="26CDE7EF" w:rsidR="006E60B3" w:rsidRPr="000973F2" w:rsidRDefault="006E60B3" w:rsidP="006E60B3">
            <w:pPr>
              <w:spacing w:before="30" w:after="3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w:t>
            </w:r>
          </w:p>
        </w:tc>
        <w:tc>
          <w:tcPr>
            <w:tcW w:w="679" w:type="pct"/>
            <w:noWrap/>
            <w:hideMark/>
          </w:tcPr>
          <w:p w14:paraId="3A996AA8" w14:textId="2F2B1D1F" w:rsidR="006E60B3" w:rsidRPr="000973F2" w:rsidRDefault="006E60B3" w:rsidP="006E60B3">
            <w:pPr>
              <w:spacing w:before="30" w:after="3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w:t>
            </w:r>
          </w:p>
        </w:tc>
        <w:tc>
          <w:tcPr>
            <w:tcW w:w="702" w:type="pct"/>
            <w:noWrap/>
            <w:hideMark/>
          </w:tcPr>
          <w:p w14:paraId="2A9D8786" w14:textId="123D06A8" w:rsidR="006E60B3" w:rsidRPr="000973F2" w:rsidRDefault="006E60B3" w:rsidP="006E60B3">
            <w:pPr>
              <w:spacing w:before="30" w:after="3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w:t>
            </w:r>
          </w:p>
        </w:tc>
        <w:tc>
          <w:tcPr>
            <w:tcW w:w="689" w:type="pct"/>
            <w:noWrap/>
            <w:hideMark/>
          </w:tcPr>
          <w:p w14:paraId="7864E702" w14:textId="4DC9D4FD" w:rsidR="006E60B3" w:rsidRPr="000973F2" w:rsidRDefault="006E60B3" w:rsidP="006E60B3">
            <w:pPr>
              <w:spacing w:before="30" w:after="3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w:t>
            </w:r>
          </w:p>
        </w:tc>
      </w:tr>
      <w:tr w:rsidR="006E60B3" w:rsidRPr="000973F2" w14:paraId="192F6D49" w14:textId="77777777" w:rsidTr="006E60B3">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861" w:type="pct"/>
            <w:tcMar>
              <w:right w:w="14" w:type="dxa"/>
            </w:tcMar>
            <w:hideMark/>
          </w:tcPr>
          <w:p w14:paraId="469E7C61" w14:textId="77777777" w:rsidR="006E60B3" w:rsidRPr="000973F2" w:rsidRDefault="006E60B3" w:rsidP="006E60B3">
            <w:pPr>
              <w:spacing w:before="30" w:after="3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Performance testing</w:t>
            </w:r>
          </w:p>
        </w:tc>
        <w:tc>
          <w:tcPr>
            <w:tcW w:w="690" w:type="pct"/>
            <w:noWrap/>
            <w:hideMark/>
          </w:tcPr>
          <w:p w14:paraId="491680FC" w14:textId="0CFA076A" w:rsidR="006E60B3" w:rsidRPr="000973F2" w:rsidRDefault="006E60B3" w:rsidP="006E60B3">
            <w:pPr>
              <w:spacing w:before="30" w:after="3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w:t>
            </w:r>
          </w:p>
        </w:tc>
        <w:tc>
          <w:tcPr>
            <w:tcW w:w="690" w:type="pct"/>
            <w:noWrap/>
          </w:tcPr>
          <w:p w14:paraId="7F5F2506" w14:textId="31D444BD" w:rsidR="006E60B3" w:rsidRPr="000973F2" w:rsidRDefault="006E60B3" w:rsidP="006E60B3">
            <w:pPr>
              <w:spacing w:before="30" w:after="3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w:t>
            </w:r>
          </w:p>
        </w:tc>
        <w:tc>
          <w:tcPr>
            <w:tcW w:w="690" w:type="pct"/>
            <w:noWrap/>
            <w:hideMark/>
          </w:tcPr>
          <w:p w14:paraId="001C6373" w14:textId="0603D1F0" w:rsidR="006E60B3" w:rsidRPr="000973F2" w:rsidRDefault="006E60B3" w:rsidP="006E60B3">
            <w:pPr>
              <w:spacing w:before="30" w:after="3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w:t>
            </w:r>
          </w:p>
        </w:tc>
        <w:tc>
          <w:tcPr>
            <w:tcW w:w="679" w:type="pct"/>
            <w:noWrap/>
            <w:hideMark/>
          </w:tcPr>
          <w:p w14:paraId="5C1FE773" w14:textId="053E9086" w:rsidR="006E60B3" w:rsidRPr="000973F2" w:rsidRDefault="006E60B3" w:rsidP="006E60B3">
            <w:pPr>
              <w:spacing w:before="30" w:after="3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w:t>
            </w:r>
          </w:p>
        </w:tc>
        <w:tc>
          <w:tcPr>
            <w:tcW w:w="702" w:type="pct"/>
            <w:noWrap/>
            <w:hideMark/>
          </w:tcPr>
          <w:p w14:paraId="4EFF1B37" w14:textId="6EBFB6D0" w:rsidR="006E60B3" w:rsidRPr="000973F2" w:rsidRDefault="006E60B3" w:rsidP="006E60B3">
            <w:pPr>
              <w:spacing w:before="30" w:after="3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w:t>
            </w:r>
          </w:p>
        </w:tc>
        <w:tc>
          <w:tcPr>
            <w:tcW w:w="689" w:type="pct"/>
            <w:noWrap/>
            <w:hideMark/>
          </w:tcPr>
          <w:p w14:paraId="2BC3FF8C" w14:textId="464005A8" w:rsidR="006E60B3" w:rsidRPr="000973F2" w:rsidRDefault="006E60B3" w:rsidP="006E60B3">
            <w:pPr>
              <w:spacing w:before="30" w:after="3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w:t>
            </w:r>
          </w:p>
        </w:tc>
      </w:tr>
      <w:tr w:rsidR="0085724F" w:rsidRPr="000973F2" w14:paraId="61AE4E19" w14:textId="77777777" w:rsidTr="006E60B3">
        <w:trPr>
          <w:cantSplit/>
        </w:trPr>
        <w:tc>
          <w:tcPr>
            <w:cnfStyle w:val="001000000000" w:firstRow="0" w:lastRow="0" w:firstColumn="1" w:lastColumn="0" w:oddVBand="0" w:evenVBand="0" w:oddHBand="0" w:evenHBand="0" w:firstRowFirstColumn="0" w:firstRowLastColumn="0" w:lastRowFirstColumn="0" w:lastRowLastColumn="0"/>
            <w:tcW w:w="861" w:type="pct"/>
            <w:tcMar>
              <w:right w:w="14" w:type="dxa"/>
            </w:tcMar>
            <w:hideMark/>
          </w:tcPr>
          <w:p w14:paraId="4B8051AD" w14:textId="77777777" w:rsidR="00AB6F50" w:rsidRPr="000973F2" w:rsidRDefault="00AB6F50" w:rsidP="006E60B3">
            <w:pPr>
              <w:spacing w:before="30" w:after="3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Recordkeeping</w:t>
            </w:r>
          </w:p>
        </w:tc>
        <w:tc>
          <w:tcPr>
            <w:tcW w:w="690" w:type="pct"/>
            <w:noWrap/>
            <w:hideMark/>
          </w:tcPr>
          <w:p w14:paraId="14CA309E" w14:textId="77777777" w:rsidR="00AB6F50" w:rsidRPr="000973F2" w:rsidRDefault="00AB6F50" w:rsidP="006E60B3">
            <w:pPr>
              <w:spacing w:before="30" w:after="3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$0</w:t>
            </w:r>
          </w:p>
        </w:tc>
        <w:tc>
          <w:tcPr>
            <w:tcW w:w="690" w:type="pct"/>
            <w:noWrap/>
          </w:tcPr>
          <w:p w14:paraId="2BB7DDEA" w14:textId="186FDA98" w:rsidR="00AB6F50" w:rsidRPr="000973F2" w:rsidRDefault="00AB6F50" w:rsidP="006E60B3">
            <w:pPr>
              <w:spacing w:before="30" w:after="3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p>
        </w:tc>
        <w:tc>
          <w:tcPr>
            <w:tcW w:w="690" w:type="pct"/>
            <w:noWrap/>
            <w:hideMark/>
          </w:tcPr>
          <w:p w14:paraId="47C91C8B" w14:textId="77777777" w:rsidR="00AB6F50" w:rsidRPr="000973F2" w:rsidRDefault="00AB6F50" w:rsidP="006E60B3">
            <w:pPr>
              <w:spacing w:before="30" w:after="3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$0</w:t>
            </w:r>
          </w:p>
        </w:tc>
        <w:tc>
          <w:tcPr>
            <w:tcW w:w="679" w:type="pct"/>
            <w:noWrap/>
            <w:hideMark/>
          </w:tcPr>
          <w:p w14:paraId="0958E5BA" w14:textId="77777777" w:rsidR="00AB6F50" w:rsidRPr="000973F2" w:rsidRDefault="00AB6F50" w:rsidP="006E60B3">
            <w:pPr>
              <w:spacing w:before="30" w:after="3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$50</w:t>
            </w:r>
          </w:p>
        </w:tc>
        <w:tc>
          <w:tcPr>
            <w:tcW w:w="702" w:type="pct"/>
            <w:noWrap/>
            <w:hideMark/>
          </w:tcPr>
          <w:p w14:paraId="3271D342" w14:textId="77777777" w:rsidR="00AB6F50" w:rsidRPr="000973F2" w:rsidRDefault="00AB6F50" w:rsidP="006E60B3">
            <w:pPr>
              <w:spacing w:before="30" w:after="3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$0</w:t>
            </w:r>
          </w:p>
        </w:tc>
        <w:tc>
          <w:tcPr>
            <w:tcW w:w="689" w:type="pct"/>
            <w:noWrap/>
            <w:hideMark/>
          </w:tcPr>
          <w:p w14:paraId="53C257C7" w14:textId="77777777" w:rsidR="00AB6F50" w:rsidRPr="000973F2" w:rsidRDefault="00AB6F50" w:rsidP="006E60B3">
            <w:pPr>
              <w:spacing w:before="30" w:after="3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$50</w:t>
            </w:r>
          </w:p>
        </w:tc>
      </w:tr>
      <w:tr w:rsidR="006E60B3" w:rsidRPr="000973F2" w14:paraId="32ABE90F" w14:textId="77777777" w:rsidTr="006E60B3">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861" w:type="pct"/>
            <w:tcMar>
              <w:right w:w="14" w:type="dxa"/>
            </w:tcMar>
            <w:hideMark/>
          </w:tcPr>
          <w:p w14:paraId="76F708FE" w14:textId="77777777" w:rsidR="006E60B3" w:rsidRPr="000973F2" w:rsidRDefault="006E60B3" w:rsidP="006E60B3">
            <w:pPr>
              <w:spacing w:before="30" w:after="3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Travel</w:t>
            </w:r>
          </w:p>
        </w:tc>
        <w:tc>
          <w:tcPr>
            <w:tcW w:w="690" w:type="pct"/>
            <w:noWrap/>
            <w:hideMark/>
          </w:tcPr>
          <w:p w14:paraId="7E20F866" w14:textId="2ECF901E" w:rsidR="006E60B3" w:rsidRPr="000973F2" w:rsidRDefault="006E60B3" w:rsidP="006E60B3">
            <w:pPr>
              <w:spacing w:before="30" w:after="3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w:t>
            </w:r>
          </w:p>
        </w:tc>
        <w:tc>
          <w:tcPr>
            <w:tcW w:w="690" w:type="pct"/>
            <w:noWrap/>
          </w:tcPr>
          <w:p w14:paraId="51E65245" w14:textId="135B5BA5" w:rsidR="006E60B3" w:rsidRPr="000973F2" w:rsidRDefault="006E60B3" w:rsidP="006E60B3">
            <w:pPr>
              <w:spacing w:before="30" w:after="3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w:t>
            </w:r>
          </w:p>
        </w:tc>
        <w:tc>
          <w:tcPr>
            <w:tcW w:w="690" w:type="pct"/>
            <w:noWrap/>
            <w:hideMark/>
          </w:tcPr>
          <w:p w14:paraId="0BEF0C98" w14:textId="1910EF0D" w:rsidR="006E60B3" w:rsidRPr="000973F2" w:rsidRDefault="006E60B3" w:rsidP="006E60B3">
            <w:pPr>
              <w:spacing w:before="30" w:after="3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w:t>
            </w:r>
          </w:p>
        </w:tc>
        <w:tc>
          <w:tcPr>
            <w:tcW w:w="679" w:type="pct"/>
            <w:noWrap/>
            <w:hideMark/>
          </w:tcPr>
          <w:p w14:paraId="6CC2C96E" w14:textId="2A07B67C" w:rsidR="006E60B3" w:rsidRPr="000973F2" w:rsidRDefault="006E60B3" w:rsidP="006E60B3">
            <w:pPr>
              <w:spacing w:before="30" w:after="3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w:t>
            </w:r>
          </w:p>
        </w:tc>
        <w:tc>
          <w:tcPr>
            <w:tcW w:w="702" w:type="pct"/>
            <w:noWrap/>
            <w:hideMark/>
          </w:tcPr>
          <w:p w14:paraId="07B6733B" w14:textId="36D6BEDF" w:rsidR="006E60B3" w:rsidRPr="000973F2" w:rsidRDefault="006E60B3" w:rsidP="006E60B3">
            <w:pPr>
              <w:spacing w:before="30" w:after="3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w:t>
            </w:r>
          </w:p>
        </w:tc>
        <w:tc>
          <w:tcPr>
            <w:tcW w:w="689" w:type="pct"/>
            <w:noWrap/>
            <w:hideMark/>
          </w:tcPr>
          <w:p w14:paraId="7D6F520E" w14:textId="23EE1553" w:rsidR="006E60B3" w:rsidRPr="000973F2" w:rsidRDefault="006E60B3" w:rsidP="006E60B3">
            <w:pPr>
              <w:spacing w:before="30" w:after="3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w:t>
            </w:r>
          </w:p>
        </w:tc>
      </w:tr>
      <w:tr w:rsidR="006E60B3" w:rsidRPr="000973F2" w14:paraId="22964466" w14:textId="77777777" w:rsidTr="006E60B3">
        <w:trPr>
          <w:cantSplit/>
        </w:trPr>
        <w:tc>
          <w:tcPr>
            <w:cnfStyle w:val="001000000000" w:firstRow="0" w:lastRow="0" w:firstColumn="1" w:lastColumn="0" w:oddVBand="0" w:evenVBand="0" w:oddHBand="0" w:evenHBand="0" w:firstRowFirstColumn="0" w:firstRowLastColumn="0" w:lastRowFirstColumn="0" w:lastRowLastColumn="0"/>
            <w:tcW w:w="861" w:type="pct"/>
            <w:tcMar>
              <w:right w:w="14" w:type="dxa"/>
            </w:tcMar>
            <w:hideMark/>
          </w:tcPr>
          <w:p w14:paraId="0818B59A" w14:textId="416B28EE" w:rsidR="006E60B3" w:rsidRPr="000973F2" w:rsidRDefault="006E60B3" w:rsidP="006E60B3">
            <w:pPr>
              <w:spacing w:before="30" w:after="3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Sampling and Analysis Costs</w:t>
            </w:r>
          </w:p>
        </w:tc>
        <w:tc>
          <w:tcPr>
            <w:tcW w:w="690" w:type="pct"/>
            <w:noWrap/>
            <w:hideMark/>
          </w:tcPr>
          <w:p w14:paraId="36FB7D8F" w14:textId="7249C6C5" w:rsidR="006E60B3" w:rsidRPr="000973F2" w:rsidRDefault="006E60B3" w:rsidP="006E60B3">
            <w:pPr>
              <w:spacing w:before="30" w:after="3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w:t>
            </w:r>
          </w:p>
        </w:tc>
        <w:tc>
          <w:tcPr>
            <w:tcW w:w="690" w:type="pct"/>
            <w:noWrap/>
          </w:tcPr>
          <w:p w14:paraId="690C9BA8" w14:textId="32D787F5" w:rsidR="006E60B3" w:rsidRPr="000973F2" w:rsidRDefault="006E60B3" w:rsidP="006E60B3">
            <w:pPr>
              <w:spacing w:before="30" w:after="3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w:t>
            </w:r>
          </w:p>
        </w:tc>
        <w:tc>
          <w:tcPr>
            <w:tcW w:w="690" w:type="pct"/>
            <w:noWrap/>
            <w:hideMark/>
          </w:tcPr>
          <w:p w14:paraId="23BC6B87" w14:textId="1CF17DE2" w:rsidR="006E60B3" w:rsidRPr="000973F2" w:rsidRDefault="006E60B3" w:rsidP="006E60B3">
            <w:pPr>
              <w:spacing w:before="30" w:after="3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w:t>
            </w:r>
          </w:p>
        </w:tc>
        <w:tc>
          <w:tcPr>
            <w:tcW w:w="679" w:type="pct"/>
            <w:noWrap/>
            <w:hideMark/>
          </w:tcPr>
          <w:p w14:paraId="0E75D850" w14:textId="16A26875" w:rsidR="006E60B3" w:rsidRPr="000973F2" w:rsidRDefault="006E60B3" w:rsidP="006E60B3">
            <w:pPr>
              <w:spacing w:before="30" w:after="3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w:t>
            </w:r>
          </w:p>
        </w:tc>
        <w:tc>
          <w:tcPr>
            <w:tcW w:w="702" w:type="pct"/>
            <w:noWrap/>
            <w:hideMark/>
          </w:tcPr>
          <w:p w14:paraId="59F8265D" w14:textId="35095274" w:rsidR="006E60B3" w:rsidRPr="000973F2" w:rsidRDefault="006E60B3" w:rsidP="006E60B3">
            <w:pPr>
              <w:spacing w:before="30" w:after="3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w:t>
            </w:r>
          </w:p>
        </w:tc>
        <w:tc>
          <w:tcPr>
            <w:tcW w:w="689" w:type="pct"/>
            <w:noWrap/>
            <w:hideMark/>
          </w:tcPr>
          <w:p w14:paraId="1FE4AB8F" w14:textId="599F6FD8" w:rsidR="006E60B3" w:rsidRPr="000973F2" w:rsidRDefault="006E60B3" w:rsidP="006E60B3">
            <w:pPr>
              <w:spacing w:before="30" w:after="3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w:t>
            </w:r>
          </w:p>
        </w:tc>
      </w:tr>
      <w:tr w:rsidR="00DC5BA6" w:rsidRPr="000973F2" w14:paraId="30733171" w14:textId="77777777" w:rsidTr="006E60B3">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861" w:type="pct"/>
            <w:tcMar>
              <w:right w:w="14" w:type="dxa"/>
            </w:tcMar>
            <w:hideMark/>
          </w:tcPr>
          <w:p w14:paraId="79CAC069" w14:textId="77777777" w:rsidR="00AB6F50" w:rsidRPr="000973F2" w:rsidRDefault="00AB6F50" w:rsidP="006E60B3">
            <w:pPr>
              <w:spacing w:before="30" w:after="30"/>
              <w:rPr>
                <w:rFonts w:ascii="Times New Roman" w:eastAsia="Times New Roman" w:hAnsi="Times New Roman" w:cs="Times New Roman"/>
                <w:b/>
                <w:bCs w:val="0"/>
                <w:sz w:val="18"/>
                <w:szCs w:val="18"/>
              </w:rPr>
            </w:pPr>
            <w:r w:rsidRPr="000973F2">
              <w:rPr>
                <w:rFonts w:ascii="Times New Roman" w:eastAsia="Times New Roman" w:hAnsi="Times New Roman" w:cs="Times New Roman"/>
                <w:b/>
                <w:sz w:val="18"/>
                <w:szCs w:val="18"/>
              </w:rPr>
              <w:t xml:space="preserve">Total </w:t>
            </w:r>
          </w:p>
        </w:tc>
        <w:tc>
          <w:tcPr>
            <w:tcW w:w="690" w:type="pct"/>
            <w:noWrap/>
            <w:hideMark/>
          </w:tcPr>
          <w:p w14:paraId="724487A9" w14:textId="77777777" w:rsidR="00AB6F50" w:rsidRPr="000973F2" w:rsidRDefault="00AB6F50" w:rsidP="006E60B3">
            <w:pPr>
              <w:spacing w:before="30" w:after="3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sz w:val="18"/>
                <w:szCs w:val="18"/>
              </w:rPr>
            </w:pPr>
            <w:r w:rsidRPr="000973F2">
              <w:rPr>
                <w:rFonts w:ascii="Times New Roman" w:eastAsia="Times New Roman" w:hAnsi="Times New Roman" w:cs="Times New Roman"/>
                <w:b/>
                <w:sz w:val="18"/>
                <w:szCs w:val="18"/>
              </w:rPr>
              <w:t>$0</w:t>
            </w:r>
          </w:p>
        </w:tc>
        <w:tc>
          <w:tcPr>
            <w:tcW w:w="690" w:type="pct"/>
            <w:noWrap/>
            <w:hideMark/>
          </w:tcPr>
          <w:p w14:paraId="4A1540A0" w14:textId="3BEDB3B8" w:rsidR="00AB6F50" w:rsidRPr="000973F2" w:rsidRDefault="00AB6F50" w:rsidP="006E60B3">
            <w:pPr>
              <w:spacing w:before="30" w:after="3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sz w:val="18"/>
                <w:szCs w:val="18"/>
              </w:rPr>
            </w:pPr>
          </w:p>
        </w:tc>
        <w:tc>
          <w:tcPr>
            <w:tcW w:w="690" w:type="pct"/>
            <w:noWrap/>
            <w:hideMark/>
          </w:tcPr>
          <w:p w14:paraId="2C5D1910" w14:textId="77777777" w:rsidR="00AB6F50" w:rsidRPr="000973F2" w:rsidRDefault="00AB6F50" w:rsidP="006E60B3">
            <w:pPr>
              <w:spacing w:before="30" w:after="3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sz w:val="18"/>
                <w:szCs w:val="18"/>
              </w:rPr>
            </w:pPr>
            <w:r w:rsidRPr="000973F2">
              <w:rPr>
                <w:rFonts w:ascii="Times New Roman" w:eastAsia="Times New Roman" w:hAnsi="Times New Roman" w:cs="Times New Roman"/>
                <w:b/>
                <w:sz w:val="18"/>
                <w:szCs w:val="18"/>
              </w:rPr>
              <w:t>$0</w:t>
            </w:r>
          </w:p>
        </w:tc>
        <w:tc>
          <w:tcPr>
            <w:tcW w:w="679" w:type="pct"/>
            <w:noWrap/>
            <w:hideMark/>
          </w:tcPr>
          <w:p w14:paraId="0A97339D" w14:textId="77777777" w:rsidR="00AB6F50" w:rsidRPr="000973F2" w:rsidRDefault="00AB6F50" w:rsidP="006E60B3">
            <w:pPr>
              <w:spacing w:before="30" w:after="3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sz w:val="18"/>
                <w:szCs w:val="18"/>
              </w:rPr>
            </w:pPr>
            <w:r w:rsidRPr="000973F2">
              <w:rPr>
                <w:rFonts w:ascii="Times New Roman" w:eastAsia="Times New Roman" w:hAnsi="Times New Roman" w:cs="Times New Roman"/>
                <w:b/>
                <w:sz w:val="18"/>
                <w:szCs w:val="18"/>
              </w:rPr>
              <w:t>$50</w:t>
            </w:r>
          </w:p>
        </w:tc>
        <w:tc>
          <w:tcPr>
            <w:tcW w:w="702" w:type="pct"/>
            <w:noWrap/>
            <w:hideMark/>
          </w:tcPr>
          <w:p w14:paraId="65A3B55F" w14:textId="77777777" w:rsidR="00AB6F50" w:rsidRPr="000973F2" w:rsidRDefault="00AB6F50" w:rsidP="006E60B3">
            <w:pPr>
              <w:spacing w:before="30" w:after="3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sz w:val="18"/>
                <w:szCs w:val="18"/>
              </w:rPr>
            </w:pPr>
            <w:r w:rsidRPr="000973F2">
              <w:rPr>
                <w:rFonts w:ascii="Times New Roman" w:eastAsia="Times New Roman" w:hAnsi="Times New Roman" w:cs="Times New Roman"/>
                <w:b/>
                <w:sz w:val="18"/>
                <w:szCs w:val="18"/>
              </w:rPr>
              <w:t>$0</w:t>
            </w:r>
          </w:p>
        </w:tc>
        <w:tc>
          <w:tcPr>
            <w:tcW w:w="689" w:type="pct"/>
            <w:noWrap/>
            <w:hideMark/>
          </w:tcPr>
          <w:p w14:paraId="5471E536" w14:textId="77777777" w:rsidR="00AB6F50" w:rsidRPr="000973F2" w:rsidRDefault="00AB6F50" w:rsidP="006E60B3">
            <w:pPr>
              <w:spacing w:before="30" w:after="3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sz w:val="18"/>
                <w:szCs w:val="18"/>
              </w:rPr>
            </w:pPr>
            <w:r w:rsidRPr="000973F2">
              <w:rPr>
                <w:rFonts w:ascii="Times New Roman" w:eastAsia="Times New Roman" w:hAnsi="Times New Roman" w:cs="Times New Roman"/>
                <w:b/>
                <w:sz w:val="18"/>
                <w:szCs w:val="18"/>
              </w:rPr>
              <w:t>$50</w:t>
            </w:r>
          </w:p>
        </w:tc>
      </w:tr>
    </w:tbl>
    <w:p w14:paraId="4FEABB25" w14:textId="77777777" w:rsidR="006E60B3" w:rsidRPr="000973F2" w:rsidRDefault="006E60B3" w:rsidP="0061585D">
      <w:pPr>
        <w:pStyle w:val="Heading2"/>
      </w:pPr>
    </w:p>
    <w:p w14:paraId="05F8B5E0" w14:textId="73383F8B" w:rsidR="00AB6F50" w:rsidRPr="000973F2" w:rsidRDefault="00AB6F50" w:rsidP="0061585D">
      <w:pPr>
        <w:pStyle w:val="Heading2"/>
      </w:pPr>
      <w:r w:rsidRPr="000973F2">
        <w:t xml:space="preserve">Labor Costs for Subpart W </w:t>
      </w:r>
      <w:r w:rsidR="006E60B3" w:rsidRPr="000973F2">
        <w:t>–</w:t>
      </w:r>
      <w:r w:rsidRPr="000973F2">
        <w:t xml:space="preserve"> Onshore Petroleum and Natural Gas Production</w:t>
      </w:r>
    </w:p>
    <w:p w14:paraId="3165F871" w14:textId="03128E4F" w:rsidR="00AB6F50" w:rsidRPr="000973F2" w:rsidRDefault="00AB6F50" w:rsidP="006E60B3">
      <w:pPr>
        <w:pStyle w:val="BodyText"/>
      </w:pPr>
      <w:r w:rsidRPr="000973F2">
        <w:t xml:space="preserve">Table </w:t>
      </w:r>
      <w:r w:rsidR="006E60B3" w:rsidRPr="000973F2">
        <w:t>W-</w:t>
      </w:r>
      <w:r w:rsidRPr="000973F2">
        <w:t xml:space="preserve">1b below includes the labor hours for each of the 497 existing reporters in the Onshore Petroleum and Natural Gas Production industry segment to comply with Subpart W according to §98.232(c). Typical activities related to planning, QA/QC, recordkeeping and reporting, and sampling and analysis (which includes emission calculations) are discussed in the Cost Appendix Introduction. Calculations required for this industry segment are detailed in §98.233, based on the emission sources listed in §98.232(c). </w:t>
      </w:r>
    </w:p>
    <w:p w14:paraId="75AB0C9B" w14:textId="4DEBC490" w:rsidR="00AB6F50" w:rsidRPr="000973F2" w:rsidRDefault="00AB6F50" w:rsidP="006E60B3">
      <w:pPr>
        <w:pStyle w:val="Heading2"/>
      </w:pPr>
      <w:r w:rsidRPr="000973F2">
        <w:t xml:space="preserve">Capital and O&amp;M Costs for Subpart W </w:t>
      </w:r>
      <w:r w:rsidR="006E60B3" w:rsidRPr="000973F2">
        <w:t>–</w:t>
      </w:r>
      <w:r w:rsidRPr="000973F2">
        <w:t xml:space="preserve"> Onshore Petroleum and Natural Gas Production</w:t>
      </w:r>
    </w:p>
    <w:p w14:paraId="3E0F9490" w14:textId="24714094" w:rsidR="00AB6F50" w:rsidRPr="000973F2" w:rsidRDefault="00AB6F50" w:rsidP="006E60B3">
      <w:pPr>
        <w:pStyle w:val="BodyText"/>
      </w:pPr>
      <w:r w:rsidRPr="000973F2">
        <w:t xml:space="preserve">Table </w:t>
      </w:r>
      <w:r w:rsidR="006E60B3" w:rsidRPr="000973F2">
        <w:t>W-</w:t>
      </w:r>
      <w:r w:rsidRPr="000973F2">
        <w:t>2b below includes the capital and O&amp;M costs for each of the 497 reporters in the Onshore Petroleum and Natural Gas Production industry segment to comply with Subpart W §98.232(c). Typical costs related to performance testing, recordkeeping, travel, and sampling are discussed in the Cost Appendix Introduction.</w:t>
      </w:r>
    </w:p>
    <w:p w14:paraId="76C334B2" w14:textId="3B01D518" w:rsidR="00AB6F50" w:rsidRPr="000973F2" w:rsidRDefault="00AB6F50" w:rsidP="006E60B3">
      <w:pPr>
        <w:pStyle w:val="BodyText"/>
      </w:pPr>
      <w:r w:rsidRPr="000973F2">
        <w:t xml:space="preserve">Although there are expected to be equipment costs for the purchase of portable flow meters to determine emissions from oil well completions and workovers with hydraulic fracturing, these costs are shown as zero in Table </w:t>
      </w:r>
      <w:r w:rsidR="006E60B3" w:rsidRPr="000973F2">
        <w:t>W-</w:t>
      </w:r>
      <w:r w:rsidRPr="000973F2">
        <w:t xml:space="preserve">2b. As discussed in the Cost Appendix Introduction, new tax law (Tax Cuts and Jobs Act, Pub. L. No. 115–97 (2017)), makes it beneficial for Subpart W reporters to pay off any remaining annualized capital expenditures prior to RY2019. Therefore, those costs are not included in Table </w:t>
      </w:r>
      <w:r w:rsidR="006E60B3" w:rsidRPr="000973F2">
        <w:t>W-</w:t>
      </w:r>
      <w:r w:rsidRPr="000973F2">
        <w:t>2b.</w:t>
      </w:r>
    </w:p>
    <w:p w14:paraId="009A8C16" w14:textId="222F9230" w:rsidR="00AB6F50" w:rsidRPr="000973F2" w:rsidRDefault="00AB6F50" w:rsidP="00EC3ED7">
      <w:pPr>
        <w:pStyle w:val="Tabletitle"/>
      </w:pPr>
      <w:r w:rsidRPr="000973F2">
        <w:t xml:space="preserve">Table </w:t>
      </w:r>
      <w:r w:rsidR="006E60B3" w:rsidRPr="000973F2">
        <w:t>W-</w:t>
      </w:r>
      <w:r w:rsidRPr="000973F2">
        <w:t xml:space="preserve">1b. </w:t>
      </w:r>
      <w:r w:rsidR="001F4582" w:rsidRPr="000973F2">
        <w:t xml:space="preserve">Labor Costs </w:t>
      </w:r>
      <w:r w:rsidR="00B960CC" w:rsidRPr="000973F2">
        <w:t>–</w:t>
      </w:r>
      <w:r w:rsidR="001F4582" w:rsidRPr="000973F2">
        <w:t xml:space="preserve"> </w:t>
      </w:r>
      <w:r w:rsidRPr="000973F2">
        <w:t xml:space="preserve">Subpart W </w:t>
      </w:r>
      <w:r w:rsidR="006E60B3" w:rsidRPr="000973F2">
        <w:t>–</w:t>
      </w:r>
      <w:r w:rsidRPr="000973F2">
        <w:t xml:space="preserve"> </w:t>
      </w:r>
      <w:bookmarkStart w:id="40" w:name="_Hlk520795180"/>
      <w:r w:rsidRPr="000973F2">
        <w:t>Onshore Petroleum and Natural Gas Production</w:t>
      </w:r>
      <w:bookmarkEnd w:id="40"/>
    </w:p>
    <w:tbl>
      <w:tblPr>
        <w:tblStyle w:val="PlainTable1"/>
        <w:tblW w:w="5000" w:type="pct"/>
        <w:jc w:val="left"/>
        <w:tblLayout w:type="fixed"/>
        <w:tblCellMar>
          <w:left w:w="58" w:type="dxa"/>
          <w:right w:w="58" w:type="dxa"/>
        </w:tblCellMar>
        <w:tblLook w:val="04A0" w:firstRow="1" w:lastRow="0" w:firstColumn="1" w:lastColumn="0" w:noHBand="0" w:noVBand="1"/>
      </w:tblPr>
      <w:tblGrid>
        <w:gridCol w:w="1265"/>
        <w:gridCol w:w="672"/>
        <w:gridCol w:w="672"/>
        <w:gridCol w:w="671"/>
        <w:gridCol w:w="672"/>
        <w:gridCol w:w="671"/>
        <w:gridCol w:w="671"/>
        <w:gridCol w:w="672"/>
        <w:gridCol w:w="671"/>
        <w:gridCol w:w="671"/>
        <w:gridCol w:w="672"/>
        <w:gridCol w:w="748"/>
        <w:gridCol w:w="748"/>
      </w:tblGrid>
      <w:tr w:rsidR="00AB6F50" w:rsidRPr="000973F2" w14:paraId="30686B28" w14:textId="77777777" w:rsidTr="00EC3ED7">
        <w:trPr>
          <w:cnfStyle w:val="100000000000" w:firstRow="1" w:lastRow="0" w:firstColumn="0" w:lastColumn="0" w:oddVBand="0" w:evenVBand="0" w:oddHBand="0" w:evenHBand="0" w:firstRowFirstColumn="0" w:firstRowLastColumn="0" w:lastRowFirstColumn="0" w:lastRowLastColumn="0"/>
          <w:cantSplit/>
          <w:jc w:val="left"/>
        </w:trPr>
        <w:tc>
          <w:tcPr>
            <w:cnfStyle w:val="001000000000" w:firstRow="0" w:lastRow="0" w:firstColumn="1" w:lastColumn="0" w:oddVBand="0" w:evenVBand="0" w:oddHBand="0" w:evenHBand="0" w:firstRowFirstColumn="0" w:firstRowLastColumn="0" w:lastRowFirstColumn="0" w:lastRowLastColumn="0"/>
            <w:tcW w:w="1245" w:type="dxa"/>
            <w:vMerge w:val="restart"/>
            <w:noWrap/>
            <w:tcMar>
              <w:left w:w="58" w:type="dxa"/>
              <w:right w:w="14" w:type="dxa"/>
            </w:tcMar>
            <w:vAlign w:val="top"/>
            <w:hideMark/>
          </w:tcPr>
          <w:p w14:paraId="43FCE9EE" w14:textId="77777777" w:rsidR="00AB6F50" w:rsidRPr="000973F2" w:rsidRDefault="00AB6F50" w:rsidP="00EC3ED7">
            <w:pPr>
              <w:spacing w:before="40" w:after="40"/>
              <w:rPr>
                <w:rFonts w:ascii="Times New Roman" w:eastAsia="Times New Roman" w:hAnsi="Times New Roman" w:cs="Times New Roman"/>
                <w:b w:val="0"/>
                <w:bCs w:val="0"/>
                <w:sz w:val="18"/>
                <w:szCs w:val="18"/>
              </w:rPr>
            </w:pPr>
            <w:r w:rsidRPr="000973F2">
              <w:rPr>
                <w:rFonts w:ascii="Times New Roman" w:eastAsia="Times New Roman" w:hAnsi="Times New Roman" w:cs="Times New Roman"/>
                <w:sz w:val="18"/>
                <w:szCs w:val="18"/>
              </w:rPr>
              <w:t>Activity</w:t>
            </w:r>
          </w:p>
        </w:tc>
        <w:tc>
          <w:tcPr>
            <w:tcW w:w="6613" w:type="dxa"/>
            <w:gridSpan w:val="10"/>
            <w:noWrap/>
            <w:tcMar>
              <w:left w:w="58" w:type="dxa"/>
              <w:right w:w="58" w:type="dxa"/>
            </w:tcMar>
            <w:vAlign w:val="top"/>
            <w:hideMark/>
          </w:tcPr>
          <w:p w14:paraId="58A7234E" w14:textId="77777777" w:rsidR="00AB6F50" w:rsidRPr="000973F2" w:rsidRDefault="00AB6F50" w:rsidP="00EC3ED7">
            <w:pPr>
              <w:spacing w:before="40" w:after="40"/>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bCs w:val="0"/>
                <w:sz w:val="18"/>
                <w:szCs w:val="18"/>
              </w:rPr>
            </w:pPr>
            <w:r w:rsidRPr="000973F2">
              <w:rPr>
                <w:rFonts w:ascii="Times New Roman" w:eastAsia="Times New Roman" w:hAnsi="Times New Roman" w:cs="Times New Roman"/>
                <w:sz w:val="18"/>
                <w:szCs w:val="18"/>
              </w:rPr>
              <w:t>Labor Rates (per hour)</w:t>
            </w:r>
          </w:p>
        </w:tc>
        <w:tc>
          <w:tcPr>
            <w:tcW w:w="1472" w:type="dxa"/>
            <w:gridSpan w:val="2"/>
            <w:vMerge w:val="restart"/>
            <w:tcMar>
              <w:left w:w="58" w:type="dxa"/>
              <w:right w:w="58" w:type="dxa"/>
            </w:tcMar>
            <w:vAlign w:val="top"/>
            <w:hideMark/>
          </w:tcPr>
          <w:p w14:paraId="1F025675" w14:textId="77777777" w:rsidR="00AB6F50" w:rsidRPr="000973F2" w:rsidRDefault="00AB6F50" w:rsidP="00EC3ED7">
            <w:pPr>
              <w:spacing w:before="40" w:after="40"/>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bCs w:val="0"/>
                <w:sz w:val="18"/>
                <w:szCs w:val="18"/>
              </w:rPr>
            </w:pPr>
            <w:r w:rsidRPr="000973F2">
              <w:rPr>
                <w:rFonts w:ascii="Times New Roman" w:eastAsia="Times New Roman" w:hAnsi="Times New Roman" w:cs="Times New Roman"/>
                <w:sz w:val="18"/>
                <w:szCs w:val="18"/>
              </w:rPr>
              <w:t>Total Labor Cost per Year per Reporter</w:t>
            </w:r>
          </w:p>
          <w:p w14:paraId="37BB884B" w14:textId="77777777" w:rsidR="00AB6F50" w:rsidRPr="000973F2" w:rsidRDefault="00AB6F50" w:rsidP="00EC3ED7">
            <w:pPr>
              <w:spacing w:before="40" w:after="40"/>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bCs w:val="0"/>
                <w:sz w:val="18"/>
                <w:szCs w:val="18"/>
              </w:rPr>
            </w:pPr>
            <w:r w:rsidRPr="000973F2">
              <w:rPr>
                <w:rFonts w:ascii="Times New Roman" w:eastAsia="Times New Roman" w:hAnsi="Times New Roman" w:cs="Times New Roman"/>
                <w:sz w:val="18"/>
                <w:szCs w:val="18"/>
              </w:rPr>
              <w:t>(2017$)</w:t>
            </w:r>
          </w:p>
        </w:tc>
      </w:tr>
      <w:tr w:rsidR="002C0577" w:rsidRPr="000973F2" w14:paraId="131C7B31" w14:textId="77777777" w:rsidTr="00EC3ED7">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1245" w:type="dxa"/>
            <w:vMerge/>
            <w:tcMar>
              <w:left w:w="58" w:type="dxa"/>
              <w:right w:w="14" w:type="dxa"/>
            </w:tcMar>
            <w:hideMark/>
          </w:tcPr>
          <w:p w14:paraId="30E3A311" w14:textId="77777777" w:rsidR="00AB6F50" w:rsidRPr="000973F2" w:rsidRDefault="00AB6F50" w:rsidP="00EC3ED7">
            <w:pPr>
              <w:spacing w:before="40" w:after="40"/>
              <w:rPr>
                <w:rFonts w:ascii="Times New Roman" w:eastAsia="Times New Roman" w:hAnsi="Times New Roman" w:cs="Times New Roman"/>
                <w:b/>
                <w:bCs w:val="0"/>
                <w:sz w:val="18"/>
                <w:szCs w:val="18"/>
              </w:rPr>
            </w:pPr>
          </w:p>
        </w:tc>
        <w:tc>
          <w:tcPr>
            <w:tcW w:w="1322" w:type="dxa"/>
            <w:gridSpan w:val="2"/>
            <w:noWrap/>
            <w:tcMar>
              <w:left w:w="58" w:type="dxa"/>
              <w:right w:w="58" w:type="dxa"/>
            </w:tcMar>
            <w:hideMark/>
          </w:tcPr>
          <w:p w14:paraId="27F38C3C" w14:textId="77777777" w:rsidR="00AB6F50" w:rsidRPr="000973F2" w:rsidRDefault="00AB6F50" w:rsidP="00EC3ED7">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18"/>
                <w:szCs w:val="18"/>
              </w:rPr>
            </w:pPr>
            <w:r w:rsidRPr="000973F2">
              <w:rPr>
                <w:rFonts w:ascii="Times New Roman" w:eastAsia="Times New Roman" w:hAnsi="Times New Roman" w:cs="Times New Roman"/>
                <w:b/>
                <w:bCs/>
                <w:sz w:val="18"/>
                <w:szCs w:val="18"/>
              </w:rPr>
              <w:t>Lawyer</w:t>
            </w:r>
          </w:p>
        </w:tc>
        <w:tc>
          <w:tcPr>
            <w:tcW w:w="1323" w:type="dxa"/>
            <w:gridSpan w:val="2"/>
            <w:noWrap/>
            <w:tcMar>
              <w:left w:w="58" w:type="dxa"/>
              <w:right w:w="58" w:type="dxa"/>
            </w:tcMar>
            <w:hideMark/>
          </w:tcPr>
          <w:p w14:paraId="45579118" w14:textId="77777777" w:rsidR="00AB6F50" w:rsidRPr="000973F2" w:rsidRDefault="00AB6F50" w:rsidP="00EC3ED7">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18"/>
                <w:szCs w:val="18"/>
              </w:rPr>
            </w:pPr>
            <w:r w:rsidRPr="000973F2">
              <w:rPr>
                <w:rFonts w:ascii="Times New Roman" w:eastAsia="Times New Roman" w:hAnsi="Times New Roman" w:cs="Times New Roman"/>
                <w:b/>
                <w:bCs/>
                <w:sz w:val="18"/>
                <w:szCs w:val="18"/>
              </w:rPr>
              <w:t>Senior Manager</w:t>
            </w:r>
          </w:p>
        </w:tc>
        <w:tc>
          <w:tcPr>
            <w:tcW w:w="1322" w:type="dxa"/>
            <w:gridSpan w:val="2"/>
            <w:noWrap/>
            <w:tcMar>
              <w:left w:w="58" w:type="dxa"/>
              <w:right w:w="58" w:type="dxa"/>
            </w:tcMar>
            <w:hideMark/>
          </w:tcPr>
          <w:p w14:paraId="4B662181" w14:textId="77777777" w:rsidR="00AB6F50" w:rsidRPr="000973F2" w:rsidRDefault="00AB6F50" w:rsidP="00EC3ED7">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18"/>
                <w:szCs w:val="18"/>
              </w:rPr>
            </w:pPr>
            <w:r w:rsidRPr="000973F2">
              <w:rPr>
                <w:rFonts w:ascii="Times New Roman" w:eastAsia="Times New Roman" w:hAnsi="Times New Roman" w:cs="Times New Roman"/>
                <w:b/>
                <w:bCs/>
                <w:sz w:val="18"/>
                <w:szCs w:val="18"/>
              </w:rPr>
              <w:t>Middle Manager</w:t>
            </w:r>
          </w:p>
        </w:tc>
        <w:tc>
          <w:tcPr>
            <w:tcW w:w="1323" w:type="dxa"/>
            <w:gridSpan w:val="2"/>
            <w:tcMar>
              <w:left w:w="58" w:type="dxa"/>
              <w:right w:w="58" w:type="dxa"/>
            </w:tcMar>
            <w:hideMark/>
          </w:tcPr>
          <w:p w14:paraId="28203F43" w14:textId="77777777" w:rsidR="00AB6F50" w:rsidRPr="000973F2" w:rsidRDefault="00AB6F50" w:rsidP="00EC3ED7">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18"/>
                <w:szCs w:val="18"/>
              </w:rPr>
            </w:pPr>
            <w:r w:rsidRPr="000973F2">
              <w:rPr>
                <w:rFonts w:ascii="Times New Roman" w:eastAsia="Times New Roman" w:hAnsi="Times New Roman" w:cs="Times New Roman"/>
                <w:b/>
                <w:bCs/>
                <w:sz w:val="18"/>
                <w:szCs w:val="18"/>
              </w:rPr>
              <w:t>Engineer</w:t>
            </w:r>
          </w:p>
        </w:tc>
        <w:tc>
          <w:tcPr>
            <w:tcW w:w="1323" w:type="dxa"/>
            <w:gridSpan w:val="2"/>
            <w:tcMar>
              <w:left w:w="58" w:type="dxa"/>
              <w:right w:w="58" w:type="dxa"/>
            </w:tcMar>
            <w:hideMark/>
          </w:tcPr>
          <w:p w14:paraId="7827A84E" w14:textId="77777777" w:rsidR="00AB6F50" w:rsidRPr="000973F2" w:rsidRDefault="00AB6F50" w:rsidP="00EC3ED7">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18"/>
                <w:szCs w:val="18"/>
              </w:rPr>
            </w:pPr>
            <w:r w:rsidRPr="000973F2">
              <w:rPr>
                <w:rFonts w:ascii="Times New Roman" w:eastAsia="Times New Roman" w:hAnsi="Times New Roman" w:cs="Times New Roman"/>
                <w:b/>
                <w:bCs/>
                <w:sz w:val="18"/>
                <w:szCs w:val="18"/>
              </w:rPr>
              <w:t>Technician</w:t>
            </w:r>
          </w:p>
        </w:tc>
        <w:tc>
          <w:tcPr>
            <w:tcW w:w="1472" w:type="dxa"/>
            <w:gridSpan w:val="2"/>
            <w:vMerge/>
            <w:tcMar>
              <w:left w:w="58" w:type="dxa"/>
              <w:right w:w="58" w:type="dxa"/>
            </w:tcMar>
            <w:hideMark/>
          </w:tcPr>
          <w:p w14:paraId="2470B6AB" w14:textId="77777777" w:rsidR="00AB6F50" w:rsidRPr="000973F2" w:rsidRDefault="00AB6F50" w:rsidP="00EC3ED7">
            <w:pPr>
              <w:spacing w:before="40" w:after="4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18"/>
                <w:szCs w:val="18"/>
              </w:rPr>
            </w:pPr>
          </w:p>
        </w:tc>
      </w:tr>
      <w:tr w:rsidR="002C0577" w:rsidRPr="000973F2" w14:paraId="266B33C5" w14:textId="77777777" w:rsidTr="00EC3ED7">
        <w:trPr>
          <w:cantSplit/>
        </w:trPr>
        <w:tc>
          <w:tcPr>
            <w:cnfStyle w:val="001000000000" w:firstRow="0" w:lastRow="0" w:firstColumn="1" w:lastColumn="0" w:oddVBand="0" w:evenVBand="0" w:oddHBand="0" w:evenHBand="0" w:firstRowFirstColumn="0" w:firstRowLastColumn="0" w:lastRowFirstColumn="0" w:lastRowLastColumn="0"/>
            <w:tcW w:w="1245" w:type="dxa"/>
            <w:vMerge/>
            <w:tcMar>
              <w:left w:w="58" w:type="dxa"/>
              <w:right w:w="14" w:type="dxa"/>
            </w:tcMar>
            <w:hideMark/>
          </w:tcPr>
          <w:p w14:paraId="46AEBBB3" w14:textId="77777777" w:rsidR="00AB6F50" w:rsidRPr="000973F2" w:rsidRDefault="00AB6F50" w:rsidP="00EC3ED7">
            <w:pPr>
              <w:spacing w:before="40" w:after="40"/>
              <w:rPr>
                <w:rFonts w:ascii="Times New Roman" w:eastAsia="Times New Roman" w:hAnsi="Times New Roman" w:cs="Times New Roman"/>
                <w:b/>
                <w:bCs w:val="0"/>
                <w:sz w:val="18"/>
                <w:szCs w:val="18"/>
              </w:rPr>
            </w:pPr>
          </w:p>
        </w:tc>
        <w:tc>
          <w:tcPr>
            <w:tcW w:w="1322" w:type="dxa"/>
            <w:gridSpan w:val="2"/>
            <w:noWrap/>
            <w:tcMar>
              <w:left w:w="58" w:type="dxa"/>
              <w:right w:w="58" w:type="dxa"/>
            </w:tcMar>
            <w:hideMark/>
          </w:tcPr>
          <w:p w14:paraId="3863A502" w14:textId="4D14CC3E" w:rsidR="00AB6F50" w:rsidRPr="000973F2" w:rsidRDefault="00AB6F50" w:rsidP="00EC3ED7">
            <w:pPr>
              <w:spacing w:before="40" w:after="4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sz w:val="18"/>
                <w:szCs w:val="18"/>
              </w:rPr>
            </w:pPr>
            <w:r w:rsidRPr="000973F2">
              <w:rPr>
                <w:rFonts w:ascii="Times New Roman" w:eastAsia="Times New Roman" w:hAnsi="Times New Roman" w:cs="Times New Roman"/>
                <w:b/>
                <w:bCs/>
                <w:sz w:val="18"/>
                <w:szCs w:val="18"/>
              </w:rPr>
              <w:t>$112.23</w:t>
            </w:r>
          </w:p>
        </w:tc>
        <w:tc>
          <w:tcPr>
            <w:tcW w:w="1323" w:type="dxa"/>
            <w:gridSpan w:val="2"/>
            <w:tcMar>
              <w:left w:w="58" w:type="dxa"/>
              <w:right w:w="58" w:type="dxa"/>
            </w:tcMar>
            <w:hideMark/>
          </w:tcPr>
          <w:p w14:paraId="61BE158A" w14:textId="31EC3B32" w:rsidR="00AB6F50" w:rsidRPr="000973F2" w:rsidRDefault="00AB6F50" w:rsidP="00EC3ED7">
            <w:pPr>
              <w:spacing w:before="40" w:after="4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sz w:val="18"/>
                <w:szCs w:val="18"/>
              </w:rPr>
            </w:pPr>
            <w:r w:rsidRPr="000973F2">
              <w:rPr>
                <w:rFonts w:ascii="Times New Roman" w:eastAsia="Times New Roman" w:hAnsi="Times New Roman" w:cs="Times New Roman"/>
                <w:b/>
                <w:bCs/>
                <w:sz w:val="18"/>
                <w:szCs w:val="18"/>
              </w:rPr>
              <w:t>$141.54</w:t>
            </w:r>
          </w:p>
        </w:tc>
        <w:tc>
          <w:tcPr>
            <w:tcW w:w="1322" w:type="dxa"/>
            <w:gridSpan w:val="2"/>
            <w:noWrap/>
            <w:tcMar>
              <w:left w:w="58" w:type="dxa"/>
              <w:right w:w="58" w:type="dxa"/>
            </w:tcMar>
            <w:hideMark/>
          </w:tcPr>
          <w:p w14:paraId="544D4AD7" w14:textId="4EA7AA61" w:rsidR="00AB6F50" w:rsidRPr="000973F2" w:rsidRDefault="00AB6F50" w:rsidP="00EC3ED7">
            <w:pPr>
              <w:spacing w:before="40" w:after="4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sz w:val="18"/>
                <w:szCs w:val="18"/>
              </w:rPr>
            </w:pPr>
            <w:r w:rsidRPr="000973F2">
              <w:rPr>
                <w:rFonts w:ascii="Times New Roman" w:eastAsia="Times New Roman" w:hAnsi="Times New Roman" w:cs="Times New Roman"/>
                <w:b/>
                <w:bCs/>
                <w:sz w:val="18"/>
                <w:szCs w:val="18"/>
              </w:rPr>
              <w:t>$105.68</w:t>
            </w:r>
          </w:p>
        </w:tc>
        <w:tc>
          <w:tcPr>
            <w:tcW w:w="1323" w:type="dxa"/>
            <w:gridSpan w:val="2"/>
            <w:tcMar>
              <w:left w:w="58" w:type="dxa"/>
              <w:right w:w="58" w:type="dxa"/>
            </w:tcMar>
            <w:hideMark/>
          </w:tcPr>
          <w:p w14:paraId="343CEFAD" w14:textId="11403471" w:rsidR="00AB6F50" w:rsidRPr="000973F2" w:rsidRDefault="00AB6F50" w:rsidP="00EC3ED7">
            <w:pPr>
              <w:spacing w:before="40" w:after="4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sz w:val="18"/>
                <w:szCs w:val="18"/>
              </w:rPr>
            </w:pPr>
            <w:r w:rsidRPr="000973F2">
              <w:rPr>
                <w:rFonts w:ascii="Times New Roman" w:eastAsia="Times New Roman" w:hAnsi="Times New Roman" w:cs="Times New Roman"/>
                <w:b/>
                <w:bCs/>
                <w:sz w:val="18"/>
                <w:szCs w:val="18"/>
              </w:rPr>
              <w:t>$91.06</w:t>
            </w:r>
          </w:p>
        </w:tc>
        <w:tc>
          <w:tcPr>
            <w:tcW w:w="1323" w:type="dxa"/>
            <w:gridSpan w:val="2"/>
            <w:noWrap/>
            <w:tcMar>
              <w:left w:w="58" w:type="dxa"/>
              <w:right w:w="58" w:type="dxa"/>
            </w:tcMar>
            <w:hideMark/>
          </w:tcPr>
          <w:p w14:paraId="20C383F6" w14:textId="6728876C" w:rsidR="00AB6F50" w:rsidRPr="000973F2" w:rsidRDefault="00AB6F50" w:rsidP="00EC3ED7">
            <w:pPr>
              <w:spacing w:before="40" w:after="4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sz w:val="18"/>
                <w:szCs w:val="18"/>
              </w:rPr>
            </w:pPr>
            <w:r w:rsidRPr="000973F2">
              <w:rPr>
                <w:rFonts w:ascii="Times New Roman" w:eastAsia="Times New Roman" w:hAnsi="Times New Roman" w:cs="Times New Roman"/>
                <w:b/>
                <w:bCs/>
                <w:sz w:val="18"/>
                <w:szCs w:val="18"/>
              </w:rPr>
              <w:t>$60.72</w:t>
            </w:r>
          </w:p>
        </w:tc>
        <w:tc>
          <w:tcPr>
            <w:tcW w:w="1472" w:type="dxa"/>
            <w:gridSpan w:val="2"/>
            <w:vMerge/>
            <w:tcMar>
              <w:left w:w="58" w:type="dxa"/>
              <w:right w:w="58" w:type="dxa"/>
            </w:tcMar>
            <w:hideMark/>
          </w:tcPr>
          <w:p w14:paraId="07AA2C1E" w14:textId="77777777" w:rsidR="00AB6F50" w:rsidRPr="000973F2" w:rsidRDefault="00AB6F50" w:rsidP="00EC3ED7">
            <w:pPr>
              <w:spacing w:before="40" w:after="4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sz w:val="18"/>
                <w:szCs w:val="18"/>
              </w:rPr>
            </w:pPr>
          </w:p>
        </w:tc>
      </w:tr>
      <w:tr w:rsidR="00421E5A" w:rsidRPr="000973F2" w14:paraId="238E51F5" w14:textId="77777777" w:rsidTr="00EC3ED7">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1245" w:type="dxa"/>
            <w:vMerge/>
            <w:tcMar>
              <w:left w:w="58" w:type="dxa"/>
              <w:right w:w="14" w:type="dxa"/>
            </w:tcMar>
            <w:hideMark/>
          </w:tcPr>
          <w:p w14:paraId="79ADE13B" w14:textId="77777777" w:rsidR="00AB6F50" w:rsidRPr="000973F2" w:rsidRDefault="00AB6F50" w:rsidP="00EC3ED7">
            <w:pPr>
              <w:spacing w:before="40" w:after="40"/>
              <w:rPr>
                <w:rFonts w:ascii="Times New Roman" w:eastAsia="Times New Roman" w:hAnsi="Times New Roman" w:cs="Times New Roman"/>
                <w:b/>
                <w:bCs w:val="0"/>
                <w:sz w:val="18"/>
                <w:szCs w:val="18"/>
              </w:rPr>
            </w:pPr>
          </w:p>
        </w:tc>
        <w:tc>
          <w:tcPr>
            <w:tcW w:w="661" w:type="dxa"/>
            <w:tcMar>
              <w:left w:w="14" w:type="dxa"/>
              <w:right w:w="14" w:type="dxa"/>
            </w:tcMar>
            <w:hideMark/>
          </w:tcPr>
          <w:p w14:paraId="1EA69E61" w14:textId="77777777" w:rsidR="00AB6F50" w:rsidRPr="000973F2" w:rsidRDefault="00AB6F50" w:rsidP="00EC3ED7">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18"/>
                <w:szCs w:val="18"/>
              </w:rPr>
            </w:pPr>
            <w:r w:rsidRPr="000973F2">
              <w:rPr>
                <w:rFonts w:ascii="Times New Roman" w:eastAsia="Times New Roman" w:hAnsi="Times New Roman" w:cs="Times New Roman"/>
                <w:b/>
                <w:bCs/>
                <w:sz w:val="18"/>
                <w:szCs w:val="18"/>
              </w:rPr>
              <w:t>Initial Year Hours</w:t>
            </w:r>
          </w:p>
        </w:tc>
        <w:tc>
          <w:tcPr>
            <w:tcW w:w="661" w:type="dxa"/>
            <w:tcMar>
              <w:left w:w="14" w:type="dxa"/>
              <w:right w:w="14" w:type="dxa"/>
            </w:tcMar>
            <w:hideMark/>
          </w:tcPr>
          <w:p w14:paraId="7916B225" w14:textId="77777777" w:rsidR="00AB6F50" w:rsidRPr="000973F2" w:rsidRDefault="00AB6F50" w:rsidP="00EC3ED7">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18"/>
                <w:szCs w:val="18"/>
              </w:rPr>
            </w:pPr>
            <w:r w:rsidRPr="000973F2">
              <w:rPr>
                <w:rFonts w:ascii="Times New Roman" w:eastAsia="Times New Roman" w:hAnsi="Times New Roman" w:cs="Times New Roman"/>
                <w:b/>
                <w:bCs/>
                <w:sz w:val="18"/>
                <w:szCs w:val="18"/>
              </w:rPr>
              <w:t>Subseq. Year Hours</w:t>
            </w:r>
          </w:p>
        </w:tc>
        <w:tc>
          <w:tcPr>
            <w:tcW w:w="661" w:type="dxa"/>
            <w:tcMar>
              <w:left w:w="14" w:type="dxa"/>
              <w:right w:w="14" w:type="dxa"/>
            </w:tcMar>
            <w:hideMark/>
          </w:tcPr>
          <w:p w14:paraId="76BD3D82" w14:textId="77777777" w:rsidR="00AB6F50" w:rsidRPr="000973F2" w:rsidRDefault="00AB6F50" w:rsidP="00EC3ED7">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18"/>
                <w:szCs w:val="18"/>
              </w:rPr>
            </w:pPr>
            <w:r w:rsidRPr="000973F2">
              <w:rPr>
                <w:rFonts w:ascii="Times New Roman" w:eastAsia="Times New Roman" w:hAnsi="Times New Roman" w:cs="Times New Roman"/>
                <w:b/>
                <w:bCs/>
                <w:sz w:val="18"/>
                <w:szCs w:val="18"/>
              </w:rPr>
              <w:t>Initial Year Hours</w:t>
            </w:r>
          </w:p>
        </w:tc>
        <w:tc>
          <w:tcPr>
            <w:tcW w:w="662" w:type="dxa"/>
            <w:tcMar>
              <w:left w:w="14" w:type="dxa"/>
              <w:right w:w="14" w:type="dxa"/>
            </w:tcMar>
            <w:hideMark/>
          </w:tcPr>
          <w:p w14:paraId="54ED9F08" w14:textId="77777777" w:rsidR="00AB6F50" w:rsidRPr="000973F2" w:rsidRDefault="00AB6F50" w:rsidP="00EC3ED7">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18"/>
                <w:szCs w:val="18"/>
              </w:rPr>
            </w:pPr>
            <w:r w:rsidRPr="000973F2">
              <w:rPr>
                <w:rFonts w:ascii="Times New Roman" w:eastAsia="Times New Roman" w:hAnsi="Times New Roman" w:cs="Times New Roman"/>
                <w:b/>
                <w:bCs/>
                <w:sz w:val="18"/>
                <w:szCs w:val="18"/>
              </w:rPr>
              <w:t>Subseq. Year Hours</w:t>
            </w:r>
          </w:p>
        </w:tc>
        <w:tc>
          <w:tcPr>
            <w:tcW w:w="661" w:type="dxa"/>
            <w:tcMar>
              <w:left w:w="14" w:type="dxa"/>
              <w:right w:w="14" w:type="dxa"/>
            </w:tcMar>
            <w:hideMark/>
          </w:tcPr>
          <w:p w14:paraId="3AFAEB05" w14:textId="77777777" w:rsidR="00AB6F50" w:rsidRPr="000973F2" w:rsidRDefault="00AB6F50" w:rsidP="00EC3ED7">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18"/>
                <w:szCs w:val="18"/>
              </w:rPr>
            </w:pPr>
            <w:r w:rsidRPr="000973F2">
              <w:rPr>
                <w:rFonts w:ascii="Times New Roman" w:eastAsia="Times New Roman" w:hAnsi="Times New Roman" w:cs="Times New Roman"/>
                <w:b/>
                <w:bCs/>
                <w:sz w:val="18"/>
                <w:szCs w:val="18"/>
              </w:rPr>
              <w:t>Initial Year Hours</w:t>
            </w:r>
          </w:p>
        </w:tc>
        <w:tc>
          <w:tcPr>
            <w:tcW w:w="661" w:type="dxa"/>
            <w:tcMar>
              <w:left w:w="14" w:type="dxa"/>
              <w:right w:w="14" w:type="dxa"/>
            </w:tcMar>
            <w:hideMark/>
          </w:tcPr>
          <w:p w14:paraId="4716F4FC" w14:textId="77777777" w:rsidR="00AB6F50" w:rsidRPr="000973F2" w:rsidRDefault="00AB6F50" w:rsidP="00EC3ED7">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18"/>
                <w:szCs w:val="18"/>
              </w:rPr>
            </w:pPr>
            <w:r w:rsidRPr="000973F2">
              <w:rPr>
                <w:rFonts w:ascii="Times New Roman" w:eastAsia="Times New Roman" w:hAnsi="Times New Roman" w:cs="Times New Roman"/>
                <w:b/>
                <w:bCs/>
                <w:sz w:val="18"/>
                <w:szCs w:val="18"/>
              </w:rPr>
              <w:t>Subseq. Year Hours</w:t>
            </w:r>
          </w:p>
        </w:tc>
        <w:tc>
          <w:tcPr>
            <w:tcW w:w="662" w:type="dxa"/>
            <w:tcMar>
              <w:left w:w="14" w:type="dxa"/>
              <w:right w:w="14" w:type="dxa"/>
            </w:tcMar>
            <w:hideMark/>
          </w:tcPr>
          <w:p w14:paraId="56C13D0A" w14:textId="77777777" w:rsidR="00AB6F50" w:rsidRPr="000973F2" w:rsidRDefault="00AB6F50" w:rsidP="00EC3ED7">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18"/>
                <w:szCs w:val="18"/>
              </w:rPr>
            </w:pPr>
            <w:r w:rsidRPr="000973F2">
              <w:rPr>
                <w:rFonts w:ascii="Times New Roman" w:eastAsia="Times New Roman" w:hAnsi="Times New Roman" w:cs="Times New Roman"/>
                <w:b/>
                <w:bCs/>
                <w:sz w:val="18"/>
                <w:szCs w:val="18"/>
              </w:rPr>
              <w:t>Initial Year Hours</w:t>
            </w:r>
          </w:p>
        </w:tc>
        <w:tc>
          <w:tcPr>
            <w:tcW w:w="661" w:type="dxa"/>
            <w:tcMar>
              <w:left w:w="14" w:type="dxa"/>
              <w:right w:w="14" w:type="dxa"/>
            </w:tcMar>
            <w:hideMark/>
          </w:tcPr>
          <w:p w14:paraId="4E4F8C23" w14:textId="77777777" w:rsidR="00AB6F50" w:rsidRPr="000973F2" w:rsidRDefault="00AB6F50" w:rsidP="00EC3ED7">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18"/>
                <w:szCs w:val="18"/>
              </w:rPr>
            </w:pPr>
            <w:r w:rsidRPr="000973F2">
              <w:rPr>
                <w:rFonts w:ascii="Times New Roman" w:eastAsia="Times New Roman" w:hAnsi="Times New Roman" w:cs="Times New Roman"/>
                <w:b/>
                <w:bCs/>
                <w:sz w:val="18"/>
                <w:szCs w:val="18"/>
              </w:rPr>
              <w:t>Subseq. Year Hours</w:t>
            </w:r>
          </w:p>
        </w:tc>
        <w:tc>
          <w:tcPr>
            <w:tcW w:w="661" w:type="dxa"/>
            <w:tcMar>
              <w:left w:w="14" w:type="dxa"/>
              <w:right w:w="14" w:type="dxa"/>
            </w:tcMar>
            <w:hideMark/>
          </w:tcPr>
          <w:p w14:paraId="5CBFFCF2" w14:textId="77777777" w:rsidR="00AB6F50" w:rsidRPr="000973F2" w:rsidRDefault="00AB6F50" w:rsidP="00EC3ED7">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18"/>
                <w:szCs w:val="18"/>
              </w:rPr>
            </w:pPr>
            <w:r w:rsidRPr="000973F2">
              <w:rPr>
                <w:rFonts w:ascii="Times New Roman" w:eastAsia="Times New Roman" w:hAnsi="Times New Roman" w:cs="Times New Roman"/>
                <w:b/>
                <w:bCs/>
                <w:sz w:val="18"/>
                <w:szCs w:val="18"/>
              </w:rPr>
              <w:t>Initial Year Hours</w:t>
            </w:r>
          </w:p>
        </w:tc>
        <w:tc>
          <w:tcPr>
            <w:tcW w:w="662" w:type="dxa"/>
            <w:tcMar>
              <w:left w:w="14" w:type="dxa"/>
              <w:right w:w="14" w:type="dxa"/>
            </w:tcMar>
            <w:hideMark/>
          </w:tcPr>
          <w:p w14:paraId="4C57AEC6" w14:textId="77777777" w:rsidR="00AB6F50" w:rsidRPr="000973F2" w:rsidRDefault="00AB6F50" w:rsidP="00EC3ED7">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18"/>
                <w:szCs w:val="18"/>
              </w:rPr>
            </w:pPr>
            <w:r w:rsidRPr="000973F2">
              <w:rPr>
                <w:rFonts w:ascii="Times New Roman" w:eastAsia="Times New Roman" w:hAnsi="Times New Roman" w:cs="Times New Roman"/>
                <w:b/>
                <w:bCs/>
                <w:sz w:val="18"/>
                <w:szCs w:val="18"/>
              </w:rPr>
              <w:t>Subseq. Year Hours</w:t>
            </w:r>
          </w:p>
        </w:tc>
        <w:tc>
          <w:tcPr>
            <w:tcW w:w="736" w:type="dxa"/>
            <w:tcMar>
              <w:left w:w="14" w:type="dxa"/>
              <w:right w:w="14" w:type="dxa"/>
            </w:tcMar>
            <w:hideMark/>
          </w:tcPr>
          <w:p w14:paraId="5AD8BA1E" w14:textId="77777777" w:rsidR="00AB6F50" w:rsidRPr="000973F2" w:rsidRDefault="00AB6F50" w:rsidP="00EC3ED7">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18"/>
                <w:szCs w:val="18"/>
              </w:rPr>
            </w:pPr>
            <w:r w:rsidRPr="000973F2">
              <w:rPr>
                <w:rFonts w:ascii="Times New Roman" w:eastAsia="Times New Roman" w:hAnsi="Times New Roman" w:cs="Times New Roman"/>
                <w:b/>
                <w:bCs/>
                <w:sz w:val="18"/>
                <w:szCs w:val="18"/>
              </w:rPr>
              <w:t>Initial Year</w:t>
            </w:r>
          </w:p>
        </w:tc>
        <w:tc>
          <w:tcPr>
            <w:tcW w:w="736" w:type="dxa"/>
            <w:tcMar>
              <w:left w:w="14" w:type="dxa"/>
              <w:right w:w="14" w:type="dxa"/>
            </w:tcMar>
            <w:hideMark/>
          </w:tcPr>
          <w:p w14:paraId="47690915" w14:textId="77777777" w:rsidR="00AB6F50" w:rsidRPr="000973F2" w:rsidRDefault="00AB6F50" w:rsidP="00EC3ED7">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18"/>
                <w:szCs w:val="18"/>
              </w:rPr>
            </w:pPr>
            <w:r w:rsidRPr="000973F2">
              <w:rPr>
                <w:rFonts w:ascii="Times New Roman" w:eastAsia="Times New Roman" w:hAnsi="Times New Roman" w:cs="Times New Roman"/>
                <w:b/>
                <w:bCs/>
                <w:sz w:val="18"/>
                <w:szCs w:val="18"/>
              </w:rPr>
              <w:t>Subseq. Year</w:t>
            </w:r>
          </w:p>
        </w:tc>
      </w:tr>
      <w:tr w:rsidR="00421E5A" w:rsidRPr="000973F2" w14:paraId="32ACE2B2" w14:textId="77777777" w:rsidTr="00EC3ED7">
        <w:trPr>
          <w:cantSplit/>
        </w:trPr>
        <w:tc>
          <w:tcPr>
            <w:cnfStyle w:val="001000000000" w:firstRow="0" w:lastRow="0" w:firstColumn="1" w:lastColumn="0" w:oddVBand="0" w:evenVBand="0" w:oddHBand="0" w:evenHBand="0" w:firstRowFirstColumn="0" w:firstRowLastColumn="0" w:lastRowFirstColumn="0" w:lastRowLastColumn="0"/>
            <w:tcW w:w="1245" w:type="dxa"/>
            <w:tcMar>
              <w:left w:w="58" w:type="dxa"/>
              <w:right w:w="14" w:type="dxa"/>
            </w:tcMar>
            <w:hideMark/>
          </w:tcPr>
          <w:p w14:paraId="25EAE9FD" w14:textId="77777777" w:rsidR="00AB6F50" w:rsidRPr="000973F2" w:rsidRDefault="00AB6F50" w:rsidP="00EC3ED7">
            <w:pPr>
              <w:spacing w:before="40" w:after="4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Planning</w:t>
            </w:r>
          </w:p>
        </w:tc>
        <w:tc>
          <w:tcPr>
            <w:tcW w:w="661" w:type="dxa"/>
            <w:noWrap/>
            <w:tcMar>
              <w:left w:w="58" w:type="dxa"/>
              <w:right w:w="58" w:type="dxa"/>
            </w:tcMar>
            <w:hideMark/>
          </w:tcPr>
          <w:p w14:paraId="401F5B6A" w14:textId="77777777" w:rsidR="00AB6F50" w:rsidRPr="000973F2" w:rsidRDefault="00AB6F50" w:rsidP="00EC3ED7">
            <w:pPr>
              <w:spacing w:before="40" w:after="4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0.0</w:t>
            </w:r>
          </w:p>
        </w:tc>
        <w:tc>
          <w:tcPr>
            <w:tcW w:w="661" w:type="dxa"/>
            <w:noWrap/>
            <w:tcMar>
              <w:left w:w="58" w:type="dxa"/>
              <w:right w:w="58" w:type="dxa"/>
            </w:tcMar>
            <w:hideMark/>
          </w:tcPr>
          <w:p w14:paraId="0E02B672" w14:textId="77777777" w:rsidR="00AB6F50" w:rsidRPr="000973F2" w:rsidRDefault="00AB6F50" w:rsidP="00EC3ED7">
            <w:pPr>
              <w:spacing w:before="40" w:after="4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2.0</w:t>
            </w:r>
          </w:p>
        </w:tc>
        <w:tc>
          <w:tcPr>
            <w:tcW w:w="661" w:type="dxa"/>
            <w:noWrap/>
            <w:tcMar>
              <w:left w:w="58" w:type="dxa"/>
              <w:right w:w="58" w:type="dxa"/>
            </w:tcMar>
            <w:hideMark/>
          </w:tcPr>
          <w:p w14:paraId="191DEB17" w14:textId="77777777" w:rsidR="00AB6F50" w:rsidRPr="000973F2" w:rsidRDefault="00AB6F50" w:rsidP="00EC3ED7">
            <w:pPr>
              <w:spacing w:before="40" w:after="4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0.0</w:t>
            </w:r>
          </w:p>
        </w:tc>
        <w:tc>
          <w:tcPr>
            <w:tcW w:w="662" w:type="dxa"/>
            <w:noWrap/>
            <w:tcMar>
              <w:left w:w="58" w:type="dxa"/>
              <w:right w:w="58" w:type="dxa"/>
            </w:tcMar>
            <w:hideMark/>
          </w:tcPr>
          <w:p w14:paraId="2BD08342" w14:textId="77777777" w:rsidR="00AB6F50" w:rsidRPr="000973F2" w:rsidRDefault="00AB6F50" w:rsidP="00EC3ED7">
            <w:pPr>
              <w:tabs>
                <w:tab w:val="decimal" w:pos="211"/>
              </w:tabs>
              <w:spacing w:before="40" w:after="4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0.5</w:t>
            </w:r>
          </w:p>
        </w:tc>
        <w:tc>
          <w:tcPr>
            <w:tcW w:w="661" w:type="dxa"/>
            <w:noWrap/>
            <w:tcMar>
              <w:left w:w="58" w:type="dxa"/>
              <w:right w:w="58" w:type="dxa"/>
            </w:tcMar>
            <w:hideMark/>
          </w:tcPr>
          <w:p w14:paraId="794853C3" w14:textId="77777777" w:rsidR="00AB6F50" w:rsidRPr="000973F2" w:rsidRDefault="00AB6F50" w:rsidP="00EC3ED7">
            <w:pPr>
              <w:spacing w:before="40" w:after="4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0.0</w:t>
            </w:r>
          </w:p>
        </w:tc>
        <w:tc>
          <w:tcPr>
            <w:tcW w:w="661" w:type="dxa"/>
            <w:noWrap/>
            <w:tcMar>
              <w:left w:w="58" w:type="dxa"/>
              <w:right w:w="58" w:type="dxa"/>
            </w:tcMar>
            <w:hideMark/>
          </w:tcPr>
          <w:p w14:paraId="66C26968" w14:textId="77777777" w:rsidR="00AB6F50" w:rsidRPr="000973F2" w:rsidRDefault="00AB6F50" w:rsidP="00EC3ED7">
            <w:pPr>
              <w:tabs>
                <w:tab w:val="decimal" w:pos="241"/>
              </w:tabs>
              <w:spacing w:before="40" w:after="4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1.0</w:t>
            </w:r>
          </w:p>
        </w:tc>
        <w:tc>
          <w:tcPr>
            <w:tcW w:w="662" w:type="dxa"/>
            <w:noWrap/>
            <w:tcMar>
              <w:left w:w="58" w:type="dxa"/>
              <w:right w:w="58" w:type="dxa"/>
            </w:tcMar>
            <w:hideMark/>
          </w:tcPr>
          <w:p w14:paraId="4B52A780" w14:textId="77777777" w:rsidR="00AB6F50" w:rsidRPr="000973F2" w:rsidRDefault="00AB6F50" w:rsidP="00EC3ED7">
            <w:pPr>
              <w:spacing w:before="40" w:after="4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0.0</w:t>
            </w:r>
          </w:p>
        </w:tc>
        <w:tc>
          <w:tcPr>
            <w:tcW w:w="661" w:type="dxa"/>
            <w:noWrap/>
            <w:tcMar>
              <w:left w:w="58" w:type="dxa"/>
              <w:right w:w="58" w:type="dxa"/>
            </w:tcMar>
            <w:hideMark/>
          </w:tcPr>
          <w:p w14:paraId="3CF0C8D8" w14:textId="77777777" w:rsidR="00AB6F50" w:rsidRPr="000973F2" w:rsidRDefault="00AB6F50" w:rsidP="00EC3ED7">
            <w:pPr>
              <w:tabs>
                <w:tab w:val="decimal" w:pos="361"/>
              </w:tabs>
              <w:spacing w:before="40" w:after="4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10.0</w:t>
            </w:r>
          </w:p>
        </w:tc>
        <w:tc>
          <w:tcPr>
            <w:tcW w:w="661" w:type="dxa"/>
            <w:noWrap/>
            <w:tcMar>
              <w:left w:w="58" w:type="dxa"/>
              <w:right w:w="58" w:type="dxa"/>
            </w:tcMar>
            <w:hideMark/>
          </w:tcPr>
          <w:p w14:paraId="7C55DD28" w14:textId="77777777" w:rsidR="00AB6F50" w:rsidRPr="000973F2" w:rsidRDefault="00AB6F50" w:rsidP="00EC3ED7">
            <w:pPr>
              <w:spacing w:before="40" w:after="4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0.0</w:t>
            </w:r>
          </w:p>
        </w:tc>
        <w:tc>
          <w:tcPr>
            <w:tcW w:w="662" w:type="dxa"/>
            <w:noWrap/>
            <w:tcMar>
              <w:left w:w="58" w:type="dxa"/>
              <w:right w:w="58" w:type="dxa"/>
            </w:tcMar>
            <w:hideMark/>
          </w:tcPr>
          <w:p w14:paraId="05124DCF" w14:textId="77777777" w:rsidR="00AB6F50" w:rsidRPr="000973F2" w:rsidRDefault="00AB6F50" w:rsidP="00EC3ED7">
            <w:pPr>
              <w:tabs>
                <w:tab w:val="decimal" w:pos="286"/>
              </w:tabs>
              <w:spacing w:before="40" w:after="4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0.0</w:t>
            </w:r>
          </w:p>
        </w:tc>
        <w:tc>
          <w:tcPr>
            <w:tcW w:w="736" w:type="dxa"/>
            <w:noWrap/>
            <w:tcMar>
              <w:left w:w="58" w:type="dxa"/>
              <w:right w:w="58" w:type="dxa"/>
            </w:tcMar>
            <w:hideMark/>
          </w:tcPr>
          <w:p w14:paraId="2A3F9E7F" w14:textId="6CED9D36" w:rsidR="00AB6F50" w:rsidRPr="000973F2" w:rsidRDefault="00AB6F50" w:rsidP="00EC3ED7">
            <w:pPr>
              <w:spacing w:before="40" w:after="4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$0</w:t>
            </w:r>
          </w:p>
        </w:tc>
        <w:tc>
          <w:tcPr>
            <w:tcW w:w="736" w:type="dxa"/>
            <w:noWrap/>
            <w:tcMar>
              <w:left w:w="58" w:type="dxa"/>
              <w:right w:w="58" w:type="dxa"/>
            </w:tcMar>
            <w:hideMark/>
          </w:tcPr>
          <w:p w14:paraId="65B02CA0" w14:textId="72B520BE" w:rsidR="00AB6F50" w:rsidRPr="000973F2" w:rsidRDefault="00AB6F50" w:rsidP="00EC3ED7">
            <w:pPr>
              <w:tabs>
                <w:tab w:val="decimal" w:pos="601"/>
              </w:tabs>
              <w:spacing w:before="40" w:after="4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$1,312</w:t>
            </w:r>
          </w:p>
        </w:tc>
      </w:tr>
      <w:tr w:rsidR="00421E5A" w:rsidRPr="000973F2" w14:paraId="02621F4A" w14:textId="77777777" w:rsidTr="00EC3ED7">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1245" w:type="dxa"/>
            <w:tcMar>
              <w:left w:w="58" w:type="dxa"/>
              <w:right w:w="14" w:type="dxa"/>
            </w:tcMar>
            <w:hideMark/>
          </w:tcPr>
          <w:p w14:paraId="2D81A813" w14:textId="77777777" w:rsidR="00AB6F50" w:rsidRPr="000973F2" w:rsidRDefault="00AB6F50" w:rsidP="00EC3ED7">
            <w:pPr>
              <w:spacing w:before="40" w:after="4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QA/QC</w:t>
            </w:r>
          </w:p>
        </w:tc>
        <w:tc>
          <w:tcPr>
            <w:tcW w:w="661" w:type="dxa"/>
            <w:noWrap/>
            <w:tcMar>
              <w:left w:w="58" w:type="dxa"/>
              <w:right w:w="58" w:type="dxa"/>
            </w:tcMar>
            <w:hideMark/>
          </w:tcPr>
          <w:p w14:paraId="62199979" w14:textId="77777777" w:rsidR="00AB6F50" w:rsidRPr="000973F2" w:rsidRDefault="00AB6F50" w:rsidP="00EC3ED7">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0.0</w:t>
            </w:r>
          </w:p>
        </w:tc>
        <w:tc>
          <w:tcPr>
            <w:tcW w:w="661" w:type="dxa"/>
            <w:noWrap/>
            <w:tcMar>
              <w:left w:w="58" w:type="dxa"/>
              <w:right w:w="58" w:type="dxa"/>
            </w:tcMar>
            <w:hideMark/>
          </w:tcPr>
          <w:p w14:paraId="0B21961F" w14:textId="77777777" w:rsidR="00AB6F50" w:rsidRPr="000973F2" w:rsidRDefault="00AB6F50" w:rsidP="00EC3ED7">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0.0</w:t>
            </w:r>
          </w:p>
        </w:tc>
        <w:tc>
          <w:tcPr>
            <w:tcW w:w="661" w:type="dxa"/>
            <w:noWrap/>
            <w:tcMar>
              <w:left w:w="58" w:type="dxa"/>
              <w:right w:w="58" w:type="dxa"/>
            </w:tcMar>
            <w:hideMark/>
          </w:tcPr>
          <w:p w14:paraId="2288CA9A" w14:textId="77777777" w:rsidR="00AB6F50" w:rsidRPr="000973F2" w:rsidRDefault="00AB6F50" w:rsidP="00EC3ED7">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0.0</w:t>
            </w:r>
          </w:p>
        </w:tc>
        <w:tc>
          <w:tcPr>
            <w:tcW w:w="662" w:type="dxa"/>
            <w:noWrap/>
            <w:tcMar>
              <w:left w:w="58" w:type="dxa"/>
              <w:right w:w="58" w:type="dxa"/>
            </w:tcMar>
            <w:hideMark/>
          </w:tcPr>
          <w:p w14:paraId="74D13748" w14:textId="77777777" w:rsidR="00AB6F50" w:rsidRPr="000973F2" w:rsidRDefault="00AB6F50" w:rsidP="00EC3ED7">
            <w:pPr>
              <w:tabs>
                <w:tab w:val="decimal" w:pos="211"/>
              </w:tabs>
              <w:spacing w:before="40" w:after="4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10.1</w:t>
            </w:r>
          </w:p>
        </w:tc>
        <w:tc>
          <w:tcPr>
            <w:tcW w:w="661" w:type="dxa"/>
            <w:noWrap/>
            <w:tcMar>
              <w:left w:w="58" w:type="dxa"/>
              <w:right w:w="58" w:type="dxa"/>
            </w:tcMar>
            <w:hideMark/>
          </w:tcPr>
          <w:p w14:paraId="1942ADFC" w14:textId="77777777" w:rsidR="00AB6F50" w:rsidRPr="000973F2" w:rsidRDefault="00AB6F50" w:rsidP="00EC3ED7">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0.0</w:t>
            </w:r>
          </w:p>
        </w:tc>
        <w:tc>
          <w:tcPr>
            <w:tcW w:w="661" w:type="dxa"/>
            <w:noWrap/>
            <w:tcMar>
              <w:left w:w="58" w:type="dxa"/>
              <w:right w:w="58" w:type="dxa"/>
            </w:tcMar>
            <w:hideMark/>
          </w:tcPr>
          <w:p w14:paraId="2E195485" w14:textId="77777777" w:rsidR="00AB6F50" w:rsidRPr="000973F2" w:rsidRDefault="00AB6F50" w:rsidP="00EC3ED7">
            <w:pPr>
              <w:tabs>
                <w:tab w:val="decimal" w:pos="241"/>
              </w:tabs>
              <w:spacing w:before="40" w:after="4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20.2</w:t>
            </w:r>
          </w:p>
        </w:tc>
        <w:tc>
          <w:tcPr>
            <w:tcW w:w="662" w:type="dxa"/>
            <w:noWrap/>
            <w:tcMar>
              <w:left w:w="58" w:type="dxa"/>
              <w:right w:w="58" w:type="dxa"/>
            </w:tcMar>
            <w:hideMark/>
          </w:tcPr>
          <w:p w14:paraId="1CCC4018" w14:textId="77777777" w:rsidR="00AB6F50" w:rsidRPr="000973F2" w:rsidRDefault="00AB6F50" w:rsidP="00EC3ED7">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0.0</w:t>
            </w:r>
          </w:p>
        </w:tc>
        <w:tc>
          <w:tcPr>
            <w:tcW w:w="661" w:type="dxa"/>
            <w:noWrap/>
            <w:tcMar>
              <w:left w:w="58" w:type="dxa"/>
              <w:right w:w="58" w:type="dxa"/>
            </w:tcMar>
            <w:hideMark/>
          </w:tcPr>
          <w:p w14:paraId="62C3A106" w14:textId="77777777" w:rsidR="00AB6F50" w:rsidRPr="000973F2" w:rsidRDefault="00AB6F50" w:rsidP="00EC3ED7">
            <w:pPr>
              <w:tabs>
                <w:tab w:val="decimal" w:pos="361"/>
              </w:tabs>
              <w:spacing w:before="40" w:after="4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0.0</w:t>
            </w:r>
          </w:p>
        </w:tc>
        <w:tc>
          <w:tcPr>
            <w:tcW w:w="661" w:type="dxa"/>
            <w:noWrap/>
            <w:tcMar>
              <w:left w:w="58" w:type="dxa"/>
              <w:right w:w="58" w:type="dxa"/>
            </w:tcMar>
            <w:hideMark/>
          </w:tcPr>
          <w:p w14:paraId="060547E3" w14:textId="77777777" w:rsidR="00AB6F50" w:rsidRPr="000973F2" w:rsidRDefault="00AB6F50" w:rsidP="00EC3ED7">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0.0</w:t>
            </w:r>
          </w:p>
        </w:tc>
        <w:tc>
          <w:tcPr>
            <w:tcW w:w="662" w:type="dxa"/>
            <w:noWrap/>
            <w:tcMar>
              <w:left w:w="58" w:type="dxa"/>
              <w:right w:w="58" w:type="dxa"/>
            </w:tcMar>
            <w:hideMark/>
          </w:tcPr>
          <w:p w14:paraId="13A387BD" w14:textId="77777777" w:rsidR="00AB6F50" w:rsidRPr="000973F2" w:rsidRDefault="00AB6F50" w:rsidP="00EC3ED7">
            <w:pPr>
              <w:tabs>
                <w:tab w:val="decimal" w:pos="286"/>
              </w:tabs>
              <w:spacing w:before="40" w:after="4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0.0</w:t>
            </w:r>
          </w:p>
        </w:tc>
        <w:tc>
          <w:tcPr>
            <w:tcW w:w="736" w:type="dxa"/>
            <w:noWrap/>
            <w:tcMar>
              <w:left w:w="58" w:type="dxa"/>
              <w:right w:w="58" w:type="dxa"/>
            </w:tcMar>
            <w:hideMark/>
          </w:tcPr>
          <w:p w14:paraId="039B20F3" w14:textId="29B60A3E" w:rsidR="00AB6F50" w:rsidRPr="000973F2" w:rsidRDefault="00AB6F50" w:rsidP="00EC3ED7">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$0</w:t>
            </w:r>
          </w:p>
        </w:tc>
        <w:tc>
          <w:tcPr>
            <w:tcW w:w="736" w:type="dxa"/>
            <w:noWrap/>
            <w:tcMar>
              <w:left w:w="58" w:type="dxa"/>
              <w:right w:w="58" w:type="dxa"/>
            </w:tcMar>
            <w:hideMark/>
          </w:tcPr>
          <w:p w14:paraId="714BC219" w14:textId="47B3B1AF" w:rsidR="00AB6F50" w:rsidRPr="000973F2" w:rsidRDefault="00AB6F50" w:rsidP="00EC3ED7">
            <w:pPr>
              <w:tabs>
                <w:tab w:val="decimal" w:pos="601"/>
              </w:tabs>
              <w:spacing w:before="40" w:after="4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$3,571</w:t>
            </w:r>
          </w:p>
        </w:tc>
      </w:tr>
      <w:tr w:rsidR="00421E5A" w:rsidRPr="000973F2" w14:paraId="1A3E6A22" w14:textId="77777777" w:rsidTr="00EC3ED7">
        <w:trPr>
          <w:cantSplit/>
        </w:trPr>
        <w:tc>
          <w:tcPr>
            <w:cnfStyle w:val="001000000000" w:firstRow="0" w:lastRow="0" w:firstColumn="1" w:lastColumn="0" w:oddVBand="0" w:evenVBand="0" w:oddHBand="0" w:evenHBand="0" w:firstRowFirstColumn="0" w:firstRowLastColumn="0" w:lastRowFirstColumn="0" w:lastRowLastColumn="0"/>
            <w:tcW w:w="1245" w:type="dxa"/>
            <w:tcMar>
              <w:left w:w="58" w:type="dxa"/>
              <w:right w:w="14" w:type="dxa"/>
            </w:tcMar>
            <w:hideMark/>
          </w:tcPr>
          <w:p w14:paraId="09570412" w14:textId="77777777" w:rsidR="00AB6F50" w:rsidRPr="000973F2" w:rsidRDefault="00AB6F50" w:rsidP="00EC3ED7">
            <w:pPr>
              <w:spacing w:before="40" w:after="4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Recordkeeping</w:t>
            </w:r>
          </w:p>
        </w:tc>
        <w:tc>
          <w:tcPr>
            <w:tcW w:w="661" w:type="dxa"/>
            <w:noWrap/>
            <w:tcMar>
              <w:left w:w="58" w:type="dxa"/>
              <w:right w:w="58" w:type="dxa"/>
            </w:tcMar>
            <w:hideMark/>
          </w:tcPr>
          <w:p w14:paraId="6A43E421" w14:textId="77777777" w:rsidR="00AB6F50" w:rsidRPr="000973F2" w:rsidRDefault="00AB6F50" w:rsidP="00EC3ED7">
            <w:pPr>
              <w:spacing w:before="40" w:after="4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0.0</w:t>
            </w:r>
          </w:p>
        </w:tc>
        <w:tc>
          <w:tcPr>
            <w:tcW w:w="661" w:type="dxa"/>
            <w:noWrap/>
            <w:tcMar>
              <w:left w:w="58" w:type="dxa"/>
              <w:right w:w="58" w:type="dxa"/>
            </w:tcMar>
            <w:hideMark/>
          </w:tcPr>
          <w:p w14:paraId="4993C2A9" w14:textId="77777777" w:rsidR="00AB6F50" w:rsidRPr="000973F2" w:rsidRDefault="00AB6F50" w:rsidP="00EC3ED7">
            <w:pPr>
              <w:spacing w:before="40" w:after="4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0.0</w:t>
            </w:r>
          </w:p>
        </w:tc>
        <w:tc>
          <w:tcPr>
            <w:tcW w:w="661" w:type="dxa"/>
            <w:noWrap/>
            <w:tcMar>
              <w:left w:w="58" w:type="dxa"/>
              <w:right w:w="58" w:type="dxa"/>
            </w:tcMar>
            <w:hideMark/>
          </w:tcPr>
          <w:p w14:paraId="449FA18A" w14:textId="77777777" w:rsidR="00AB6F50" w:rsidRPr="000973F2" w:rsidRDefault="00AB6F50" w:rsidP="00EC3ED7">
            <w:pPr>
              <w:spacing w:before="40" w:after="4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0.0</w:t>
            </w:r>
          </w:p>
        </w:tc>
        <w:tc>
          <w:tcPr>
            <w:tcW w:w="662" w:type="dxa"/>
            <w:noWrap/>
            <w:tcMar>
              <w:left w:w="58" w:type="dxa"/>
              <w:right w:w="58" w:type="dxa"/>
            </w:tcMar>
            <w:hideMark/>
          </w:tcPr>
          <w:p w14:paraId="3B05044C" w14:textId="77777777" w:rsidR="00AB6F50" w:rsidRPr="000973F2" w:rsidRDefault="00AB6F50" w:rsidP="00EC3ED7">
            <w:pPr>
              <w:tabs>
                <w:tab w:val="decimal" w:pos="211"/>
              </w:tabs>
              <w:spacing w:before="40" w:after="4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0.0</w:t>
            </w:r>
          </w:p>
        </w:tc>
        <w:tc>
          <w:tcPr>
            <w:tcW w:w="661" w:type="dxa"/>
            <w:noWrap/>
            <w:tcMar>
              <w:left w:w="58" w:type="dxa"/>
              <w:right w:w="58" w:type="dxa"/>
            </w:tcMar>
            <w:hideMark/>
          </w:tcPr>
          <w:p w14:paraId="4A82B74B" w14:textId="77777777" w:rsidR="00AB6F50" w:rsidRPr="000973F2" w:rsidRDefault="00AB6F50" w:rsidP="00EC3ED7">
            <w:pPr>
              <w:spacing w:before="40" w:after="4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0.0</w:t>
            </w:r>
          </w:p>
        </w:tc>
        <w:tc>
          <w:tcPr>
            <w:tcW w:w="661" w:type="dxa"/>
            <w:noWrap/>
            <w:tcMar>
              <w:left w:w="58" w:type="dxa"/>
              <w:right w:w="58" w:type="dxa"/>
            </w:tcMar>
            <w:hideMark/>
          </w:tcPr>
          <w:p w14:paraId="13BE905D" w14:textId="77777777" w:rsidR="00AB6F50" w:rsidRPr="000973F2" w:rsidRDefault="00AB6F50" w:rsidP="00EC3ED7">
            <w:pPr>
              <w:tabs>
                <w:tab w:val="decimal" w:pos="241"/>
              </w:tabs>
              <w:spacing w:before="40" w:after="4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1.0</w:t>
            </w:r>
          </w:p>
        </w:tc>
        <w:tc>
          <w:tcPr>
            <w:tcW w:w="662" w:type="dxa"/>
            <w:noWrap/>
            <w:tcMar>
              <w:left w:w="58" w:type="dxa"/>
              <w:right w:w="58" w:type="dxa"/>
            </w:tcMar>
            <w:hideMark/>
          </w:tcPr>
          <w:p w14:paraId="10B50AA4" w14:textId="77777777" w:rsidR="00AB6F50" w:rsidRPr="000973F2" w:rsidRDefault="00AB6F50" w:rsidP="00EC3ED7">
            <w:pPr>
              <w:spacing w:before="40" w:after="4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0.0</w:t>
            </w:r>
          </w:p>
        </w:tc>
        <w:tc>
          <w:tcPr>
            <w:tcW w:w="661" w:type="dxa"/>
            <w:noWrap/>
            <w:tcMar>
              <w:left w:w="58" w:type="dxa"/>
              <w:right w:w="58" w:type="dxa"/>
            </w:tcMar>
            <w:hideMark/>
          </w:tcPr>
          <w:p w14:paraId="0C65FAAA" w14:textId="77777777" w:rsidR="00AB6F50" w:rsidRPr="000973F2" w:rsidRDefault="00AB6F50" w:rsidP="00EC3ED7">
            <w:pPr>
              <w:tabs>
                <w:tab w:val="decimal" w:pos="361"/>
              </w:tabs>
              <w:spacing w:before="40" w:after="4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13.0</w:t>
            </w:r>
          </w:p>
        </w:tc>
        <w:tc>
          <w:tcPr>
            <w:tcW w:w="661" w:type="dxa"/>
            <w:noWrap/>
            <w:tcMar>
              <w:left w:w="58" w:type="dxa"/>
              <w:right w:w="58" w:type="dxa"/>
            </w:tcMar>
            <w:hideMark/>
          </w:tcPr>
          <w:p w14:paraId="3F4E115E" w14:textId="77777777" w:rsidR="00AB6F50" w:rsidRPr="000973F2" w:rsidRDefault="00AB6F50" w:rsidP="00EC3ED7">
            <w:pPr>
              <w:spacing w:before="40" w:after="4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0.0</w:t>
            </w:r>
          </w:p>
        </w:tc>
        <w:tc>
          <w:tcPr>
            <w:tcW w:w="662" w:type="dxa"/>
            <w:noWrap/>
            <w:tcMar>
              <w:left w:w="58" w:type="dxa"/>
              <w:right w:w="58" w:type="dxa"/>
            </w:tcMar>
            <w:hideMark/>
          </w:tcPr>
          <w:p w14:paraId="30FD132C" w14:textId="77777777" w:rsidR="00AB6F50" w:rsidRPr="000973F2" w:rsidRDefault="00AB6F50" w:rsidP="00EC3ED7">
            <w:pPr>
              <w:tabs>
                <w:tab w:val="decimal" w:pos="286"/>
              </w:tabs>
              <w:spacing w:before="40" w:after="4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1.0</w:t>
            </w:r>
          </w:p>
        </w:tc>
        <w:tc>
          <w:tcPr>
            <w:tcW w:w="736" w:type="dxa"/>
            <w:noWrap/>
            <w:tcMar>
              <w:left w:w="58" w:type="dxa"/>
              <w:right w:w="58" w:type="dxa"/>
            </w:tcMar>
            <w:hideMark/>
          </w:tcPr>
          <w:p w14:paraId="77D55885" w14:textId="53B45326" w:rsidR="00AB6F50" w:rsidRPr="000973F2" w:rsidRDefault="00AB6F50" w:rsidP="00EC3ED7">
            <w:pPr>
              <w:spacing w:before="40" w:after="4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$0</w:t>
            </w:r>
          </w:p>
        </w:tc>
        <w:tc>
          <w:tcPr>
            <w:tcW w:w="736" w:type="dxa"/>
            <w:noWrap/>
            <w:tcMar>
              <w:left w:w="58" w:type="dxa"/>
              <w:right w:w="58" w:type="dxa"/>
            </w:tcMar>
            <w:hideMark/>
          </w:tcPr>
          <w:p w14:paraId="4EB1E8D7" w14:textId="47E6CB12" w:rsidR="00AB6F50" w:rsidRPr="000973F2" w:rsidRDefault="00AB6F50" w:rsidP="00EC3ED7">
            <w:pPr>
              <w:tabs>
                <w:tab w:val="decimal" w:pos="601"/>
              </w:tabs>
              <w:spacing w:before="40" w:after="4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$1,350</w:t>
            </w:r>
          </w:p>
        </w:tc>
      </w:tr>
      <w:tr w:rsidR="00AD5834" w:rsidRPr="000973F2" w14:paraId="540A664F" w14:textId="77777777" w:rsidTr="00EC3ED7">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1245" w:type="dxa"/>
            <w:tcMar>
              <w:left w:w="58" w:type="dxa"/>
              <w:right w:w="14" w:type="dxa"/>
            </w:tcMar>
            <w:hideMark/>
          </w:tcPr>
          <w:p w14:paraId="677A4EA6" w14:textId="77777777" w:rsidR="00AB6F50" w:rsidRPr="000973F2" w:rsidRDefault="00AB6F50" w:rsidP="00EC3ED7">
            <w:pPr>
              <w:spacing w:before="40" w:after="4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Sampling and Analysis (Calculations)</w:t>
            </w:r>
          </w:p>
        </w:tc>
        <w:tc>
          <w:tcPr>
            <w:tcW w:w="661" w:type="dxa"/>
            <w:noWrap/>
            <w:tcMar>
              <w:left w:w="58" w:type="dxa"/>
              <w:right w:w="58" w:type="dxa"/>
            </w:tcMar>
            <w:hideMark/>
          </w:tcPr>
          <w:p w14:paraId="5A282E43" w14:textId="77777777" w:rsidR="00AB6F50" w:rsidRPr="000973F2" w:rsidRDefault="00AB6F50" w:rsidP="00EC3ED7">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0.0</w:t>
            </w:r>
          </w:p>
        </w:tc>
        <w:tc>
          <w:tcPr>
            <w:tcW w:w="661" w:type="dxa"/>
            <w:noWrap/>
            <w:tcMar>
              <w:left w:w="58" w:type="dxa"/>
              <w:right w:w="58" w:type="dxa"/>
            </w:tcMar>
            <w:hideMark/>
          </w:tcPr>
          <w:p w14:paraId="5283B920" w14:textId="77777777" w:rsidR="00AB6F50" w:rsidRPr="000973F2" w:rsidRDefault="00AB6F50" w:rsidP="00EC3ED7">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0.0</w:t>
            </w:r>
          </w:p>
        </w:tc>
        <w:tc>
          <w:tcPr>
            <w:tcW w:w="661" w:type="dxa"/>
            <w:noWrap/>
            <w:tcMar>
              <w:left w:w="58" w:type="dxa"/>
              <w:right w:w="58" w:type="dxa"/>
            </w:tcMar>
            <w:hideMark/>
          </w:tcPr>
          <w:p w14:paraId="2261D2F9" w14:textId="77777777" w:rsidR="00AB6F50" w:rsidRPr="000973F2" w:rsidRDefault="00AB6F50" w:rsidP="00EC3ED7">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0.0</w:t>
            </w:r>
          </w:p>
        </w:tc>
        <w:tc>
          <w:tcPr>
            <w:tcW w:w="662" w:type="dxa"/>
            <w:noWrap/>
            <w:tcMar>
              <w:left w:w="58" w:type="dxa"/>
              <w:right w:w="58" w:type="dxa"/>
            </w:tcMar>
            <w:hideMark/>
          </w:tcPr>
          <w:p w14:paraId="1DE765D6" w14:textId="77777777" w:rsidR="00AB6F50" w:rsidRPr="000973F2" w:rsidRDefault="00AB6F50" w:rsidP="00EC3ED7">
            <w:pPr>
              <w:tabs>
                <w:tab w:val="decimal" w:pos="211"/>
              </w:tabs>
              <w:spacing w:before="40" w:after="4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0.0</w:t>
            </w:r>
          </w:p>
        </w:tc>
        <w:tc>
          <w:tcPr>
            <w:tcW w:w="661" w:type="dxa"/>
            <w:noWrap/>
            <w:tcMar>
              <w:left w:w="58" w:type="dxa"/>
              <w:right w:w="58" w:type="dxa"/>
            </w:tcMar>
            <w:hideMark/>
          </w:tcPr>
          <w:p w14:paraId="513A923E" w14:textId="77777777" w:rsidR="00AB6F50" w:rsidRPr="000973F2" w:rsidRDefault="00AB6F50" w:rsidP="00EC3ED7">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0.0</w:t>
            </w:r>
          </w:p>
        </w:tc>
        <w:tc>
          <w:tcPr>
            <w:tcW w:w="661" w:type="dxa"/>
            <w:noWrap/>
            <w:tcMar>
              <w:left w:w="58" w:type="dxa"/>
              <w:right w:w="58" w:type="dxa"/>
            </w:tcMar>
            <w:hideMark/>
          </w:tcPr>
          <w:p w14:paraId="4F0923A6" w14:textId="77777777" w:rsidR="00AB6F50" w:rsidRPr="000973F2" w:rsidRDefault="00AB6F50" w:rsidP="00EC3ED7">
            <w:pPr>
              <w:tabs>
                <w:tab w:val="decimal" w:pos="241"/>
              </w:tabs>
              <w:spacing w:before="40" w:after="4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0.0</w:t>
            </w:r>
          </w:p>
        </w:tc>
        <w:tc>
          <w:tcPr>
            <w:tcW w:w="662" w:type="dxa"/>
            <w:noWrap/>
            <w:tcMar>
              <w:left w:w="58" w:type="dxa"/>
              <w:right w:w="58" w:type="dxa"/>
            </w:tcMar>
            <w:hideMark/>
          </w:tcPr>
          <w:p w14:paraId="2CA969F4" w14:textId="77777777" w:rsidR="00AB6F50" w:rsidRPr="000973F2" w:rsidRDefault="00AB6F50" w:rsidP="00EC3ED7">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0.0</w:t>
            </w:r>
          </w:p>
        </w:tc>
        <w:tc>
          <w:tcPr>
            <w:tcW w:w="661" w:type="dxa"/>
            <w:noWrap/>
            <w:tcMar>
              <w:left w:w="58" w:type="dxa"/>
              <w:right w:w="58" w:type="dxa"/>
            </w:tcMar>
            <w:hideMark/>
          </w:tcPr>
          <w:p w14:paraId="7A527686" w14:textId="77777777" w:rsidR="00AB6F50" w:rsidRPr="000973F2" w:rsidRDefault="00AB6F50" w:rsidP="00EC3ED7">
            <w:pPr>
              <w:tabs>
                <w:tab w:val="decimal" w:pos="361"/>
              </w:tabs>
              <w:spacing w:before="40" w:after="4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202.4</w:t>
            </w:r>
          </w:p>
        </w:tc>
        <w:tc>
          <w:tcPr>
            <w:tcW w:w="661" w:type="dxa"/>
            <w:noWrap/>
            <w:tcMar>
              <w:left w:w="58" w:type="dxa"/>
              <w:right w:w="58" w:type="dxa"/>
            </w:tcMar>
            <w:hideMark/>
          </w:tcPr>
          <w:p w14:paraId="4899FE6C" w14:textId="77777777" w:rsidR="00AB6F50" w:rsidRPr="000973F2" w:rsidRDefault="00AB6F50" w:rsidP="00EC3ED7">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0.0</w:t>
            </w:r>
          </w:p>
        </w:tc>
        <w:tc>
          <w:tcPr>
            <w:tcW w:w="662" w:type="dxa"/>
            <w:noWrap/>
            <w:tcMar>
              <w:left w:w="58" w:type="dxa"/>
              <w:right w:w="58" w:type="dxa"/>
            </w:tcMar>
            <w:hideMark/>
          </w:tcPr>
          <w:p w14:paraId="56C245EE" w14:textId="77777777" w:rsidR="00AB6F50" w:rsidRPr="000973F2" w:rsidRDefault="00AB6F50" w:rsidP="00EC3ED7">
            <w:pPr>
              <w:tabs>
                <w:tab w:val="decimal" w:pos="286"/>
              </w:tabs>
              <w:spacing w:before="40" w:after="4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9.1</w:t>
            </w:r>
          </w:p>
        </w:tc>
        <w:tc>
          <w:tcPr>
            <w:tcW w:w="736" w:type="dxa"/>
            <w:noWrap/>
            <w:tcMar>
              <w:left w:w="58" w:type="dxa"/>
              <w:right w:w="58" w:type="dxa"/>
            </w:tcMar>
            <w:hideMark/>
          </w:tcPr>
          <w:p w14:paraId="7601AD59" w14:textId="7C094B73" w:rsidR="00AB6F50" w:rsidRPr="000973F2" w:rsidRDefault="00AB6F50" w:rsidP="00EC3ED7">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$0</w:t>
            </w:r>
          </w:p>
        </w:tc>
        <w:tc>
          <w:tcPr>
            <w:tcW w:w="736" w:type="dxa"/>
            <w:noWrap/>
            <w:tcMar>
              <w:left w:w="58" w:type="dxa"/>
              <w:right w:w="58" w:type="dxa"/>
            </w:tcMar>
            <w:hideMark/>
          </w:tcPr>
          <w:p w14:paraId="39643322" w14:textId="0BA079C9" w:rsidR="00AB6F50" w:rsidRPr="000973F2" w:rsidRDefault="00AB6F50" w:rsidP="00EC3ED7">
            <w:pPr>
              <w:tabs>
                <w:tab w:val="decimal" w:pos="601"/>
              </w:tabs>
              <w:spacing w:before="40" w:after="4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$18,980</w:t>
            </w:r>
          </w:p>
        </w:tc>
      </w:tr>
      <w:tr w:rsidR="00421E5A" w:rsidRPr="000973F2" w14:paraId="473ED956" w14:textId="77777777" w:rsidTr="00EC3ED7">
        <w:trPr>
          <w:cantSplit/>
        </w:trPr>
        <w:tc>
          <w:tcPr>
            <w:cnfStyle w:val="001000000000" w:firstRow="0" w:lastRow="0" w:firstColumn="1" w:lastColumn="0" w:oddVBand="0" w:evenVBand="0" w:oddHBand="0" w:evenHBand="0" w:firstRowFirstColumn="0" w:firstRowLastColumn="0" w:lastRowFirstColumn="0" w:lastRowLastColumn="0"/>
            <w:tcW w:w="1245" w:type="dxa"/>
            <w:tcMar>
              <w:left w:w="58" w:type="dxa"/>
              <w:right w:w="14" w:type="dxa"/>
            </w:tcMar>
            <w:hideMark/>
          </w:tcPr>
          <w:p w14:paraId="2E03BF10" w14:textId="77777777" w:rsidR="00AB6F50" w:rsidRPr="000973F2" w:rsidRDefault="00AB6F50" w:rsidP="00EC3ED7">
            <w:pPr>
              <w:spacing w:before="40" w:after="4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Reporting</w:t>
            </w:r>
          </w:p>
        </w:tc>
        <w:tc>
          <w:tcPr>
            <w:tcW w:w="661" w:type="dxa"/>
            <w:noWrap/>
            <w:tcMar>
              <w:left w:w="58" w:type="dxa"/>
              <w:right w:w="58" w:type="dxa"/>
            </w:tcMar>
            <w:hideMark/>
          </w:tcPr>
          <w:p w14:paraId="60C5A4E6" w14:textId="77777777" w:rsidR="00AB6F50" w:rsidRPr="000973F2" w:rsidRDefault="00AB6F50" w:rsidP="00EC3ED7">
            <w:pPr>
              <w:spacing w:before="40" w:after="4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0.0</w:t>
            </w:r>
          </w:p>
        </w:tc>
        <w:tc>
          <w:tcPr>
            <w:tcW w:w="661" w:type="dxa"/>
            <w:noWrap/>
            <w:tcMar>
              <w:left w:w="58" w:type="dxa"/>
              <w:right w:w="58" w:type="dxa"/>
            </w:tcMar>
            <w:hideMark/>
          </w:tcPr>
          <w:p w14:paraId="1953EE76" w14:textId="77777777" w:rsidR="00AB6F50" w:rsidRPr="000973F2" w:rsidRDefault="00AB6F50" w:rsidP="00EC3ED7">
            <w:pPr>
              <w:spacing w:before="40" w:after="4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0.0</w:t>
            </w:r>
          </w:p>
        </w:tc>
        <w:tc>
          <w:tcPr>
            <w:tcW w:w="661" w:type="dxa"/>
            <w:noWrap/>
            <w:tcMar>
              <w:left w:w="58" w:type="dxa"/>
              <w:right w:w="58" w:type="dxa"/>
            </w:tcMar>
            <w:hideMark/>
          </w:tcPr>
          <w:p w14:paraId="43EFF5B7" w14:textId="77777777" w:rsidR="00AB6F50" w:rsidRPr="000973F2" w:rsidRDefault="00AB6F50" w:rsidP="00EC3ED7">
            <w:pPr>
              <w:spacing w:before="40" w:after="4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0.0</w:t>
            </w:r>
          </w:p>
        </w:tc>
        <w:tc>
          <w:tcPr>
            <w:tcW w:w="662" w:type="dxa"/>
            <w:noWrap/>
            <w:tcMar>
              <w:left w:w="58" w:type="dxa"/>
              <w:right w:w="58" w:type="dxa"/>
            </w:tcMar>
            <w:hideMark/>
          </w:tcPr>
          <w:p w14:paraId="67B246F1" w14:textId="77777777" w:rsidR="00AB6F50" w:rsidRPr="000973F2" w:rsidRDefault="00AB6F50" w:rsidP="00EC3ED7">
            <w:pPr>
              <w:tabs>
                <w:tab w:val="decimal" w:pos="211"/>
              </w:tabs>
              <w:spacing w:before="40" w:after="4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0.0</w:t>
            </w:r>
          </w:p>
        </w:tc>
        <w:tc>
          <w:tcPr>
            <w:tcW w:w="661" w:type="dxa"/>
            <w:noWrap/>
            <w:tcMar>
              <w:left w:w="58" w:type="dxa"/>
              <w:right w:w="58" w:type="dxa"/>
            </w:tcMar>
            <w:hideMark/>
          </w:tcPr>
          <w:p w14:paraId="3D58871C" w14:textId="77777777" w:rsidR="00AB6F50" w:rsidRPr="000973F2" w:rsidRDefault="00AB6F50" w:rsidP="00EC3ED7">
            <w:pPr>
              <w:spacing w:before="40" w:after="4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0.0</w:t>
            </w:r>
          </w:p>
        </w:tc>
        <w:tc>
          <w:tcPr>
            <w:tcW w:w="661" w:type="dxa"/>
            <w:noWrap/>
            <w:tcMar>
              <w:left w:w="58" w:type="dxa"/>
              <w:right w:w="58" w:type="dxa"/>
            </w:tcMar>
            <w:hideMark/>
          </w:tcPr>
          <w:p w14:paraId="084404CF" w14:textId="77777777" w:rsidR="00AB6F50" w:rsidRPr="000973F2" w:rsidRDefault="00AB6F50" w:rsidP="00EC3ED7">
            <w:pPr>
              <w:tabs>
                <w:tab w:val="decimal" w:pos="241"/>
              </w:tabs>
              <w:spacing w:before="40" w:after="4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2.0</w:t>
            </w:r>
          </w:p>
        </w:tc>
        <w:tc>
          <w:tcPr>
            <w:tcW w:w="662" w:type="dxa"/>
            <w:noWrap/>
            <w:tcMar>
              <w:left w:w="58" w:type="dxa"/>
              <w:right w:w="58" w:type="dxa"/>
            </w:tcMar>
            <w:hideMark/>
          </w:tcPr>
          <w:p w14:paraId="34791F30" w14:textId="77777777" w:rsidR="00AB6F50" w:rsidRPr="000973F2" w:rsidRDefault="00AB6F50" w:rsidP="00EC3ED7">
            <w:pPr>
              <w:spacing w:before="40" w:after="4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0.0</w:t>
            </w:r>
          </w:p>
        </w:tc>
        <w:tc>
          <w:tcPr>
            <w:tcW w:w="661" w:type="dxa"/>
            <w:noWrap/>
            <w:tcMar>
              <w:left w:w="58" w:type="dxa"/>
              <w:right w:w="58" w:type="dxa"/>
            </w:tcMar>
            <w:hideMark/>
          </w:tcPr>
          <w:p w14:paraId="25AE51CD" w14:textId="77777777" w:rsidR="00AB6F50" w:rsidRPr="000973F2" w:rsidRDefault="00AB6F50" w:rsidP="00EC3ED7">
            <w:pPr>
              <w:tabs>
                <w:tab w:val="decimal" w:pos="361"/>
              </w:tabs>
              <w:spacing w:before="40" w:after="4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26.0</w:t>
            </w:r>
          </w:p>
        </w:tc>
        <w:tc>
          <w:tcPr>
            <w:tcW w:w="661" w:type="dxa"/>
            <w:noWrap/>
            <w:tcMar>
              <w:left w:w="58" w:type="dxa"/>
              <w:right w:w="58" w:type="dxa"/>
            </w:tcMar>
            <w:hideMark/>
          </w:tcPr>
          <w:p w14:paraId="2B84E563" w14:textId="77777777" w:rsidR="00AB6F50" w:rsidRPr="000973F2" w:rsidRDefault="00AB6F50" w:rsidP="00EC3ED7">
            <w:pPr>
              <w:spacing w:before="40" w:after="4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0.0</w:t>
            </w:r>
          </w:p>
        </w:tc>
        <w:tc>
          <w:tcPr>
            <w:tcW w:w="662" w:type="dxa"/>
            <w:noWrap/>
            <w:tcMar>
              <w:left w:w="58" w:type="dxa"/>
              <w:right w:w="58" w:type="dxa"/>
            </w:tcMar>
            <w:hideMark/>
          </w:tcPr>
          <w:p w14:paraId="2460DE7C" w14:textId="77777777" w:rsidR="00AB6F50" w:rsidRPr="000973F2" w:rsidRDefault="00AB6F50" w:rsidP="00EC3ED7">
            <w:pPr>
              <w:tabs>
                <w:tab w:val="decimal" w:pos="286"/>
              </w:tabs>
              <w:spacing w:before="40" w:after="4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2.0</w:t>
            </w:r>
          </w:p>
        </w:tc>
        <w:tc>
          <w:tcPr>
            <w:tcW w:w="736" w:type="dxa"/>
            <w:noWrap/>
            <w:tcMar>
              <w:left w:w="58" w:type="dxa"/>
              <w:right w:w="58" w:type="dxa"/>
            </w:tcMar>
            <w:hideMark/>
          </w:tcPr>
          <w:p w14:paraId="3343F485" w14:textId="266CC300" w:rsidR="00AB6F50" w:rsidRPr="000973F2" w:rsidRDefault="00AB6F50" w:rsidP="00EC3ED7">
            <w:pPr>
              <w:spacing w:before="40" w:after="4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$0</w:t>
            </w:r>
          </w:p>
        </w:tc>
        <w:tc>
          <w:tcPr>
            <w:tcW w:w="736" w:type="dxa"/>
            <w:noWrap/>
            <w:tcMar>
              <w:left w:w="58" w:type="dxa"/>
              <w:right w:w="58" w:type="dxa"/>
            </w:tcMar>
            <w:hideMark/>
          </w:tcPr>
          <w:p w14:paraId="51085201" w14:textId="3581AC92" w:rsidR="00AB6F50" w:rsidRPr="000973F2" w:rsidRDefault="00AB6F50" w:rsidP="00EC3ED7">
            <w:pPr>
              <w:tabs>
                <w:tab w:val="decimal" w:pos="601"/>
              </w:tabs>
              <w:spacing w:before="40" w:after="4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$2,700</w:t>
            </w:r>
          </w:p>
        </w:tc>
      </w:tr>
      <w:tr w:rsidR="00421E5A" w:rsidRPr="000973F2" w14:paraId="068CA507" w14:textId="77777777" w:rsidTr="00EC3ED7">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1245" w:type="dxa"/>
            <w:noWrap/>
            <w:tcMar>
              <w:left w:w="58" w:type="dxa"/>
              <w:right w:w="14" w:type="dxa"/>
            </w:tcMar>
            <w:hideMark/>
          </w:tcPr>
          <w:p w14:paraId="5124A470" w14:textId="77777777" w:rsidR="00AB6F50" w:rsidRPr="000973F2" w:rsidRDefault="00AB6F50" w:rsidP="00EC3ED7">
            <w:pPr>
              <w:spacing w:before="40" w:after="40"/>
              <w:rPr>
                <w:rFonts w:ascii="Times New Roman" w:eastAsia="Times New Roman" w:hAnsi="Times New Roman" w:cs="Times New Roman"/>
                <w:b/>
                <w:bCs w:val="0"/>
                <w:sz w:val="18"/>
                <w:szCs w:val="18"/>
              </w:rPr>
            </w:pPr>
            <w:r w:rsidRPr="000973F2">
              <w:rPr>
                <w:rFonts w:ascii="Times New Roman" w:eastAsia="Times New Roman" w:hAnsi="Times New Roman" w:cs="Times New Roman"/>
                <w:b/>
                <w:sz w:val="18"/>
                <w:szCs w:val="18"/>
              </w:rPr>
              <w:t>Total</w:t>
            </w:r>
          </w:p>
        </w:tc>
        <w:tc>
          <w:tcPr>
            <w:tcW w:w="661" w:type="dxa"/>
            <w:noWrap/>
            <w:tcMar>
              <w:left w:w="58" w:type="dxa"/>
              <w:right w:w="58" w:type="dxa"/>
            </w:tcMar>
            <w:hideMark/>
          </w:tcPr>
          <w:p w14:paraId="05C5419F" w14:textId="77777777" w:rsidR="00AB6F50" w:rsidRPr="000973F2" w:rsidRDefault="00AB6F50" w:rsidP="00EC3ED7">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18"/>
                <w:szCs w:val="18"/>
              </w:rPr>
            </w:pPr>
            <w:r w:rsidRPr="000973F2">
              <w:rPr>
                <w:rFonts w:ascii="Times New Roman" w:eastAsia="Times New Roman" w:hAnsi="Times New Roman" w:cs="Times New Roman"/>
                <w:b/>
                <w:bCs/>
                <w:sz w:val="18"/>
                <w:szCs w:val="18"/>
              </w:rPr>
              <w:t>0.0</w:t>
            </w:r>
          </w:p>
        </w:tc>
        <w:tc>
          <w:tcPr>
            <w:tcW w:w="661" w:type="dxa"/>
            <w:noWrap/>
            <w:tcMar>
              <w:left w:w="58" w:type="dxa"/>
              <w:right w:w="58" w:type="dxa"/>
            </w:tcMar>
            <w:hideMark/>
          </w:tcPr>
          <w:p w14:paraId="7B731792" w14:textId="77777777" w:rsidR="00AB6F50" w:rsidRPr="000973F2" w:rsidRDefault="00AB6F50" w:rsidP="00EC3ED7">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18"/>
                <w:szCs w:val="18"/>
              </w:rPr>
            </w:pPr>
            <w:r w:rsidRPr="000973F2">
              <w:rPr>
                <w:rFonts w:ascii="Times New Roman" w:eastAsia="Times New Roman" w:hAnsi="Times New Roman" w:cs="Times New Roman"/>
                <w:b/>
                <w:bCs/>
                <w:sz w:val="18"/>
                <w:szCs w:val="18"/>
              </w:rPr>
              <w:t>2.0</w:t>
            </w:r>
          </w:p>
        </w:tc>
        <w:tc>
          <w:tcPr>
            <w:tcW w:w="661" w:type="dxa"/>
            <w:noWrap/>
            <w:tcMar>
              <w:left w:w="58" w:type="dxa"/>
              <w:right w:w="58" w:type="dxa"/>
            </w:tcMar>
            <w:hideMark/>
          </w:tcPr>
          <w:p w14:paraId="095C3FB1" w14:textId="77777777" w:rsidR="00AB6F50" w:rsidRPr="000973F2" w:rsidRDefault="00AB6F50" w:rsidP="00EC3ED7">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18"/>
                <w:szCs w:val="18"/>
              </w:rPr>
            </w:pPr>
            <w:r w:rsidRPr="000973F2">
              <w:rPr>
                <w:rFonts w:ascii="Times New Roman" w:eastAsia="Times New Roman" w:hAnsi="Times New Roman" w:cs="Times New Roman"/>
                <w:b/>
                <w:bCs/>
                <w:sz w:val="18"/>
                <w:szCs w:val="18"/>
              </w:rPr>
              <w:t>0.0</w:t>
            </w:r>
          </w:p>
        </w:tc>
        <w:tc>
          <w:tcPr>
            <w:tcW w:w="662" w:type="dxa"/>
            <w:noWrap/>
            <w:tcMar>
              <w:left w:w="58" w:type="dxa"/>
              <w:right w:w="58" w:type="dxa"/>
            </w:tcMar>
            <w:hideMark/>
          </w:tcPr>
          <w:p w14:paraId="33042253" w14:textId="77777777" w:rsidR="00AB6F50" w:rsidRPr="000973F2" w:rsidRDefault="00AB6F50" w:rsidP="00EC3ED7">
            <w:pPr>
              <w:tabs>
                <w:tab w:val="decimal" w:pos="211"/>
              </w:tabs>
              <w:spacing w:before="40" w:after="4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18"/>
                <w:szCs w:val="18"/>
              </w:rPr>
            </w:pPr>
            <w:r w:rsidRPr="000973F2">
              <w:rPr>
                <w:rFonts w:ascii="Times New Roman" w:eastAsia="Times New Roman" w:hAnsi="Times New Roman" w:cs="Times New Roman"/>
                <w:b/>
                <w:bCs/>
                <w:sz w:val="18"/>
                <w:szCs w:val="18"/>
              </w:rPr>
              <w:t>10.6</w:t>
            </w:r>
          </w:p>
        </w:tc>
        <w:tc>
          <w:tcPr>
            <w:tcW w:w="661" w:type="dxa"/>
            <w:noWrap/>
            <w:tcMar>
              <w:left w:w="58" w:type="dxa"/>
              <w:right w:w="58" w:type="dxa"/>
            </w:tcMar>
            <w:hideMark/>
          </w:tcPr>
          <w:p w14:paraId="40A58665" w14:textId="77777777" w:rsidR="00AB6F50" w:rsidRPr="000973F2" w:rsidRDefault="00AB6F50" w:rsidP="00EC3ED7">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18"/>
                <w:szCs w:val="18"/>
              </w:rPr>
            </w:pPr>
            <w:r w:rsidRPr="000973F2">
              <w:rPr>
                <w:rFonts w:ascii="Times New Roman" w:eastAsia="Times New Roman" w:hAnsi="Times New Roman" w:cs="Times New Roman"/>
                <w:b/>
                <w:bCs/>
                <w:sz w:val="18"/>
                <w:szCs w:val="18"/>
              </w:rPr>
              <w:t>0.0</w:t>
            </w:r>
          </w:p>
        </w:tc>
        <w:tc>
          <w:tcPr>
            <w:tcW w:w="661" w:type="dxa"/>
            <w:noWrap/>
            <w:tcMar>
              <w:left w:w="58" w:type="dxa"/>
              <w:right w:w="58" w:type="dxa"/>
            </w:tcMar>
            <w:hideMark/>
          </w:tcPr>
          <w:p w14:paraId="2921AC08" w14:textId="77777777" w:rsidR="00AB6F50" w:rsidRPr="000973F2" w:rsidRDefault="00AB6F50" w:rsidP="00EC3ED7">
            <w:pPr>
              <w:tabs>
                <w:tab w:val="decimal" w:pos="241"/>
              </w:tabs>
              <w:spacing w:before="40" w:after="4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18"/>
                <w:szCs w:val="18"/>
              </w:rPr>
            </w:pPr>
            <w:r w:rsidRPr="000973F2">
              <w:rPr>
                <w:rFonts w:ascii="Times New Roman" w:eastAsia="Times New Roman" w:hAnsi="Times New Roman" w:cs="Times New Roman"/>
                <w:b/>
                <w:bCs/>
                <w:sz w:val="18"/>
                <w:szCs w:val="18"/>
              </w:rPr>
              <w:t>24.3</w:t>
            </w:r>
          </w:p>
        </w:tc>
        <w:tc>
          <w:tcPr>
            <w:tcW w:w="662" w:type="dxa"/>
            <w:noWrap/>
            <w:tcMar>
              <w:left w:w="58" w:type="dxa"/>
              <w:right w:w="58" w:type="dxa"/>
            </w:tcMar>
            <w:hideMark/>
          </w:tcPr>
          <w:p w14:paraId="0BD1727F" w14:textId="77777777" w:rsidR="00AB6F50" w:rsidRPr="000973F2" w:rsidRDefault="00AB6F50" w:rsidP="00EC3ED7">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18"/>
                <w:szCs w:val="18"/>
              </w:rPr>
            </w:pPr>
            <w:r w:rsidRPr="000973F2">
              <w:rPr>
                <w:rFonts w:ascii="Times New Roman" w:eastAsia="Times New Roman" w:hAnsi="Times New Roman" w:cs="Times New Roman"/>
                <w:b/>
                <w:bCs/>
                <w:sz w:val="18"/>
                <w:szCs w:val="18"/>
              </w:rPr>
              <w:t>0.0</w:t>
            </w:r>
          </w:p>
        </w:tc>
        <w:tc>
          <w:tcPr>
            <w:tcW w:w="661" w:type="dxa"/>
            <w:noWrap/>
            <w:tcMar>
              <w:left w:w="58" w:type="dxa"/>
              <w:right w:w="58" w:type="dxa"/>
            </w:tcMar>
            <w:hideMark/>
          </w:tcPr>
          <w:p w14:paraId="7D221F77" w14:textId="77777777" w:rsidR="00AB6F50" w:rsidRPr="000973F2" w:rsidRDefault="00AB6F50" w:rsidP="00EC3ED7">
            <w:pPr>
              <w:tabs>
                <w:tab w:val="decimal" w:pos="361"/>
              </w:tabs>
              <w:spacing w:before="40" w:after="4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18"/>
                <w:szCs w:val="18"/>
              </w:rPr>
            </w:pPr>
            <w:r w:rsidRPr="000973F2">
              <w:rPr>
                <w:rFonts w:ascii="Times New Roman" w:eastAsia="Times New Roman" w:hAnsi="Times New Roman" w:cs="Times New Roman"/>
                <w:b/>
                <w:bCs/>
                <w:sz w:val="18"/>
                <w:szCs w:val="18"/>
              </w:rPr>
              <w:t>251.4</w:t>
            </w:r>
          </w:p>
        </w:tc>
        <w:tc>
          <w:tcPr>
            <w:tcW w:w="661" w:type="dxa"/>
            <w:noWrap/>
            <w:tcMar>
              <w:left w:w="58" w:type="dxa"/>
              <w:right w:w="58" w:type="dxa"/>
            </w:tcMar>
            <w:hideMark/>
          </w:tcPr>
          <w:p w14:paraId="211E1450" w14:textId="77777777" w:rsidR="00AB6F50" w:rsidRPr="000973F2" w:rsidRDefault="00AB6F50" w:rsidP="00EC3ED7">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18"/>
                <w:szCs w:val="18"/>
              </w:rPr>
            </w:pPr>
            <w:r w:rsidRPr="000973F2">
              <w:rPr>
                <w:rFonts w:ascii="Times New Roman" w:eastAsia="Times New Roman" w:hAnsi="Times New Roman" w:cs="Times New Roman"/>
                <w:b/>
                <w:bCs/>
                <w:sz w:val="18"/>
                <w:szCs w:val="18"/>
              </w:rPr>
              <w:t>0.0</w:t>
            </w:r>
          </w:p>
        </w:tc>
        <w:tc>
          <w:tcPr>
            <w:tcW w:w="662" w:type="dxa"/>
            <w:noWrap/>
            <w:tcMar>
              <w:left w:w="58" w:type="dxa"/>
              <w:right w:w="58" w:type="dxa"/>
            </w:tcMar>
            <w:hideMark/>
          </w:tcPr>
          <w:p w14:paraId="19FE131D" w14:textId="77777777" w:rsidR="00AB6F50" w:rsidRPr="000973F2" w:rsidRDefault="00AB6F50" w:rsidP="00EC3ED7">
            <w:pPr>
              <w:tabs>
                <w:tab w:val="decimal" w:pos="286"/>
              </w:tabs>
              <w:spacing w:before="40" w:after="4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18"/>
                <w:szCs w:val="18"/>
              </w:rPr>
            </w:pPr>
            <w:r w:rsidRPr="000973F2">
              <w:rPr>
                <w:rFonts w:ascii="Times New Roman" w:eastAsia="Times New Roman" w:hAnsi="Times New Roman" w:cs="Times New Roman"/>
                <w:b/>
                <w:bCs/>
                <w:sz w:val="18"/>
                <w:szCs w:val="18"/>
              </w:rPr>
              <w:t>12.1</w:t>
            </w:r>
          </w:p>
        </w:tc>
        <w:tc>
          <w:tcPr>
            <w:tcW w:w="736" w:type="dxa"/>
            <w:noWrap/>
            <w:tcMar>
              <w:left w:w="58" w:type="dxa"/>
              <w:right w:w="58" w:type="dxa"/>
            </w:tcMar>
            <w:hideMark/>
          </w:tcPr>
          <w:p w14:paraId="432FEF0A" w14:textId="4AC62126" w:rsidR="00AB6F50" w:rsidRPr="000973F2" w:rsidRDefault="00AB6F50" w:rsidP="00EC3ED7">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18"/>
                <w:szCs w:val="18"/>
              </w:rPr>
            </w:pPr>
            <w:r w:rsidRPr="000973F2">
              <w:rPr>
                <w:rFonts w:ascii="Times New Roman" w:eastAsia="Times New Roman" w:hAnsi="Times New Roman" w:cs="Times New Roman"/>
                <w:b/>
                <w:bCs/>
                <w:sz w:val="18"/>
                <w:szCs w:val="18"/>
              </w:rPr>
              <w:t>$0</w:t>
            </w:r>
          </w:p>
        </w:tc>
        <w:tc>
          <w:tcPr>
            <w:tcW w:w="736" w:type="dxa"/>
            <w:noWrap/>
            <w:tcMar>
              <w:left w:w="58" w:type="dxa"/>
              <w:right w:w="58" w:type="dxa"/>
            </w:tcMar>
            <w:hideMark/>
          </w:tcPr>
          <w:p w14:paraId="20F2329E" w14:textId="2DF28CEB" w:rsidR="00AB6F50" w:rsidRPr="000973F2" w:rsidRDefault="00AB6F50" w:rsidP="00EC3ED7">
            <w:pPr>
              <w:tabs>
                <w:tab w:val="decimal" w:pos="601"/>
              </w:tabs>
              <w:spacing w:before="40" w:after="4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18"/>
                <w:szCs w:val="18"/>
              </w:rPr>
            </w:pPr>
            <w:r w:rsidRPr="000973F2">
              <w:rPr>
                <w:rFonts w:ascii="Times New Roman" w:eastAsia="Times New Roman" w:hAnsi="Times New Roman" w:cs="Times New Roman"/>
                <w:b/>
                <w:bCs/>
                <w:sz w:val="18"/>
                <w:szCs w:val="18"/>
              </w:rPr>
              <w:t>$27,912</w:t>
            </w:r>
          </w:p>
        </w:tc>
      </w:tr>
    </w:tbl>
    <w:p w14:paraId="5CA3B7E9" w14:textId="77777777" w:rsidR="00AB6F50" w:rsidRPr="000973F2" w:rsidRDefault="00AB6F50" w:rsidP="00C00E4F">
      <w:pPr>
        <w:spacing w:line="240" w:lineRule="auto"/>
        <w:jc w:val="center"/>
        <w:rPr>
          <w:rFonts w:ascii="Times New Roman" w:hAnsi="Times New Roman" w:cs="Times New Roman"/>
          <w:sz w:val="20"/>
          <w:szCs w:val="20"/>
        </w:rPr>
      </w:pPr>
    </w:p>
    <w:p w14:paraId="0FD35298" w14:textId="6931DD48" w:rsidR="00AB6F50" w:rsidRPr="000973F2" w:rsidRDefault="00AB6F50" w:rsidP="00EC3ED7">
      <w:pPr>
        <w:pStyle w:val="Tabletitle"/>
      </w:pPr>
      <w:r w:rsidRPr="000973F2">
        <w:t xml:space="preserve">Table </w:t>
      </w:r>
      <w:r w:rsidR="00EC3ED7" w:rsidRPr="000973F2">
        <w:t>W-</w:t>
      </w:r>
      <w:r w:rsidRPr="000973F2">
        <w:t xml:space="preserve">2b. </w:t>
      </w:r>
      <w:r w:rsidR="001F4582" w:rsidRPr="000973F2">
        <w:t xml:space="preserve">Capital and O&amp;M Costs </w:t>
      </w:r>
      <w:r w:rsidR="00B960CC" w:rsidRPr="000973F2">
        <w:t>–</w:t>
      </w:r>
      <w:r w:rsidR="001F4582" w:rsidRPr="000973F2">
        <w:t xml:space="preserve"> </w:t>
      </w:r>
      <w:r w:rsidRPr="000973F2">
        <w:t>Subpart W - Onshore Petroleum and Natural Gas Production</w:t>
      </w:r>
    </w:p>
    <w:tbl>
      <w:tblPr>
        <w:tblStyle w:val="PlainTable1"/>
        <w:tblW w:w="5000" w:type="pct"/>
        <w:jc w:val="left"/>
        <w:tblLayout w:type="fixed"/>
        <w:tblCellMar>
          <w:left w:w="115" w:type="dxa"/>
          <w:right w:w="115" w:type="dxa"/>
        </w:tblCellMar>
        <w:tblLook w:val="04A0" w:firstRow="1" w:lastRow="0" w:firstColumn="1" w:lastColumn="0" w:noHBand="0" w:noVBand="1"/>
      </w:tblPr>
      <w:tblGrid>
        <w:gridCol w:w="1738"/>
        <w:gridCol w:w="1308"/>
        <w:gridCol w:w="1308"/>
        <w:gridCol w:w="1308"/>
        <w:gridCol w:w="1354"/>
        <w:gridCol w:w="1264"/>
        <w:gridCol w:w="1310"/>
      </w:tblGrid>
      <w:tr w:rsidR="00D17312" w:rsidRPr="000973F2" w14:paraId="720C8E06" w14:textId="77777777" w:rsidTr="00EA5D16">
        <w:trPr>
          <w:cnfStyle w:val="100000000000" w:firstRow="1" w:lastRow="0" w:firstColumn="0" w:lastColumn="0" w:oddVBand="0" w:evenVBand="0" w:oddHBand="0" w:evenHBand="0" w:firstRowFirstColumn="0" w:firstRowLastColumn="0" w:lastRowFirstColumn="0" w:lastRowLastColumn="0"/>
          <w:cantSplit/>
          <w:jc w:val="left"/>
        </w:trPr>
        <w:tc>
          <w:tcPr>
            <w:cnfStyle w:val="001000000000" w:firstRow="0" w:lastRow="0" w:firstColumn="1" w:lastColumn="0" w:oddVBand="0" w:evenVBand="0" w:oddHBand="0" w:evenHBand="0" w:firstRowFirstColumn="0" w:firstRowLastColumn="0" w:lastRowFirstColumn="0" w:lastRowLastColumn="0"/>
            <w:tcW w:w="906" w:type="pct"/>
            <w:vMerge w:val="restart"/>
            <w:noWrap/>
            <w:vAlign w:val="top"/>
            <w:hideMark/>
          </w:tcPr>
          <w:p w14:paraId="391448BE" w14:textId="77A72B36" w:rsidR="00D17312" w:rsidRPr="000973F2" w:rsidRDefault="00D17312" w:rsidP="00EA5D16">
            <w:pPr>
              <w:keepNext/>
              <w:spacing w:before="40" w:after="40"/>
              <w:rPr>
                <w:rFonts w:ascii="Times New Roman" w:eastAsia="Times New Roman" w:hAnsi="Times New Roman" w:cs="Times New Roman"/>
                <w:b w:val="0"/>
                <w:bCs w:val="0"/>
                <w:sz w:val="18"/>
                <w:szCs w:val="18"/>
              </w:rPr>
            </w:pPr>
            <w:r w:rsidRPr="000973F2">
              <w:rPr>
                <w:rFonts w:ascii="Times New Roman" w:eastAsia="Times New Roman" w:hAnsi="Times New Roman" w:cs="Times New Roman"/>
                <w:sz w:val="18"/>
                <w:szCs w:val="18"/>
              </w:rPr>
              <w:t>Activity</w:t>
            </w:r>
          </w:p>
        </w:tc>
        <w:tc>
          <w:tcPr>
            <w:tcW w:w="2752" w:type="pct"/>
            <w:gridSpan w:val="4"/>
            <w:noWrap/>
            <w:vAlign w:val="top"/>
            <w:hideMark/>
          </w:tcPr>
          <w:p w14:paraId="5A376B5A" w14:textId="77777777" w:rsidR="00D17312" w:rsidRPr="000973F2" w:rsidRDefault="00D17312" w:rsidP="00EA5D16">
            <w:pPr>
              <w:keepNext/>
              <w:spacing w:before="40" w:after="40"/>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bCs w:val="0"/>
                <w:sz w:val="18"/>
                <w:szCs w:val="18"/>
              </w:rPr>
            </w:pPr>
            <w:r w:rsidRPr="000973F2">
              <w:rPr>
                <w:rFonts w:ascii="Times New Roman" w:eastAsia="Times New Roman" w:hAnsi="Times New Roman" w:cs="Times New Roman"/>
                <w:sz w:val="18"/>
                <w:szCs w:val="18"/>
              </w:rPr>
              <w:t>Cost Categories</w:t>
            </w:r>
          </w:p>
        </w:tc>
        <w:tc>
          <w:tcPr>
            <w:tcW w:w="1342" w:type="pct"/>
            <w:gridSpan w:val="2"/>
            <w:vAlign w:val="top"/>
            <w:hideMark/>
          </w:tcPr>
          <w:p w14:paraId="1B1E3CBB" w14:textId="2A946404" w:rsidR="00D17312" w:rsidRPr="000973F2" w:rsidRDefault="00D17312" w:rsidP="00EA5D16">
            <w:pPr>
              <w:keepNext/>
              <w:spacing w:before="40" w:after="40"/>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bCs w:val="0"/>
                <w:sz w:val="18"/>
                <w:szCs w:val="18"/>
              </w:rPr>
            </w:pPr>
            <w:r w:rsidRPr="000973F2">
              <w:rPr>
                <w:rFonts w:ascii="Times New Roman" w:eastAsia="Times New Roman" w:hAnsi="Times New Roman" w:cs="Times New Roman"/>
                <w:sz w:val="18"/>
                <w:szCs w:val="18"/>
              </w:rPr>
              <w:t>Total Capital and O&amp;M Cost per Year per Reporter</w:t>
            </w:r>
            <w:r w:rsidR="00EA5D16" w:rsidRPr="000973F2">
              <w:rPr>
                <w:rFonts w:ascii="Times New Roman" w:eastAsia="Times New Roman" w:hAnsi="Times New Roman" w:cs="Times New Roman"/>
                <w:sz w:val="18"/>
                <w:szCs w:val="18"/>
              </w:rPr>
              <w:t xml:space="preserve"> </w:t>
            </w:r>
            <w:r w:rsidRPr="000973F2">
              <w:rPr>
                <w:rFonts w:ascii="Times New Roman" w:eastAsia="Times New Roman" w:hAnsi="Times New Roman" w:cs="Times New Roman"/>
                <w:sz w:val="18"/>
                <w:szCs w:val="18"/>
              </w:rPr>
              <w:t>(2017$)</w:t>
            </w:r>
          </w:p>
        </w:tc>
      </w:tr>
      <w:tr w:rsidR="00D17312" w:rsidRPr="000973F2" w14:paraId="3DCC3E5D" w14:textId="77777777" w:rsidTr="00EA5D16">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906" w:type="pct"/>
            <w:vMerge/>
            <w:noWrap/>
            <w:hideMark/>
          </w:tcPr>
          <w:p w14:paraId="66B16FF1" w14:textId="253BBBB5" w:rsidR="00D17312" w:rsidRPr="000973F2" w:rsidRDefault="00D17312" w:rsidP="00EA5D16">
            <w:pPr>
              <w:keepNext/>
              <w:spacing w:before="40" w:after="40"/>
              <w:jc w:val="center"/>
              <w:rPr>
                <w:rFonts w:ascii="Times New Roman" w:eastAsia="Times New Roman" w:hAnsi="Times New Roman" w:cs="Times New Roman"/>
                <w:b/>
                <w:bCs w:val="0"/>
                <w:sz w:val="18"/>
                <w:szCs w:val="18"/>
              </w:rPr>
            </w:pPr>
          </w:p>
        </w:tc>
        <w:tc>
          <w:tcPr>
            <w:tcW w:w="682" w:type="pct"/>
            <w:hideMark/>
          </w:tcPr>
          <w:p w14:paraId="402062D1" w14:textId="77777777" w:rsidR="00D17312" w:rsidRPr="000973F2" w:rsidRDefault="00D17312" w:rsidP="00EA5D16">
            <w:pPr>
              <w:keepNext/>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18"/>
                <w:szCs w:val="18"/>
              </w:rPr>
            </w:pPr>
            <w:r w:rsidRPr="000973F2">
              <w:rPr>
                <w:rFonts w:ascii="Times New Roman" w:eastAsia="Times New Roman" w:hAnsi="Times New Roman" w:cs="Times New Roman"/>
                <w:b/>
                <w:bCs/>
                <w:sz w:val="18"/>
                <w:szCs w:val="18"/>
              </w:rPr>
              <w:t>Capital Cost (2017$)</w:t>
            </w:r>
          </w:p>
        </w:tc>
        <w:tc>
          <w:tcPr>
            <w:tcW w:w="682" w:type="pct"/>
            <w:hideMark/>
          </w:tcPr>
          <w:p w14:paraId="357BC5D7" w14:textId="77777777" w:rsidR="00D17312" w:rsidRPr="000973F2" w:rsidRDefault="00D17312" w:rsidP="00EA5D16">
            <w:pPr>
              <w:keepNext/>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18"/>
                <w:szCs w:val="18"/>
              </w:rPr>
            </w:pPr>
            <w:r w:rsidRPr="000973F2">
              <w:rPr>
                <w:rFonts w:ascii="Times New Roman" w:eastAsia="Times New Roman" w:hAnsi="Times New Roman" w:cs="Times New Roman"/>
                <w:b/>
                <w:bCs/>
                <w:sz w:val="18"/>
                <w:szCs w:val="18"/>
              </w:rPr>
              <w:t>Equipment Lifetime</w:t>
            </w:r>
          </w:p>
        </w:tc>
        <w:tc>
          <w:tcPr>
            <w:tcW w:w="682" w:type="pct"/>
            <w:hideMark/>
          </w:tcPr>
          <w:p w14:paraId="6861A1BE" w14:textId="77777777" w:rsidR="00D17312" w:rsidRPr="000973F2" w:rsidRDefault="00D17312" w:rsidP="00EA5D16">
            <w:pPr>
              <w:keepNext/>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18"/>
                <w:szCs w:val="18"/>
              </w:rPr>
            </w:pPr>
            <w:r w:rsidRPr="000973F2">
              <w:rPr>
                <w:rFonts w:ascii="Times New Roman" w:eastAsia="Times New Roman" w:hAnsi="Times New Roman" w:cs="Times New Roman"/>
                <w:b/>
                <w:bCs/>
                <w:sz w:val="18"/>
                <w:szCs w:val="18"/>
              </w:rPr>
              <w:t>Annualized Capital Cost (2017$/year)</w:t>
            </w:r>
          </w:p>
        </w:tc>
        <w:tc>
          <w:tcPr>
            <w:tcW w:w="706" w:type="pct"/>
            <w:hideMark/>
          </w:tcPr>
          <w:p w14:paraId="0486F1A9" w14:textId="77777777" w:rsidR="00D17312" w:rsidRPr="000973F2" w:rsidRDefault="00D17312" w:rsidP="00EA5D16">
            <w:pPr>
              <w:keepNext/>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18"/>
                <w:szCs w:val="18"/>
              </w:rPr>
            </w:pPr>
            <w:r w:rsidRPr="000973F2">
              <w:rPr>
                <w:rFonts w:ascii="Times New Roman" w:eastAsia="Times New Roman" w:hAnsi="Times New Roman" w:cs="Times New Roman"/>
                <w:b/>
                <w:bCs/>
                <w:sz w:val="18"/>
                <w:szCs w:val="18"/>
              </w:rPr>
              <w:t>O&amp;M Costs (2017$/year)</w:t>
            </w:r>
          </w:p>
        </w:tc>
        <w:tc>
          <w:tcPr>
            <w:tcW w:w="659" w:type="pct"/>
            <w:hideMark/>
          </w:tcPr>
          <w:p w14:paraId="47F188A2" w14:textId="77777777" w:rsidR="00D17312" w:rsidRPr="000973F2" w:rsidRDefault="00D17312" w:rsidP="00EA5D16">
            <w:pPr>
              <w:keepNext/>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18"/>
                <w:szCs w:val="18"/>
              </w:rPr>
            </w:pPr>
            <w:r w:rsidRPr="000973F2">
              <w:rPr>
                <w:rFonts w:ascii="Times New Roman" w:eastAsia="Times New Roman" w:hAnsi="Times New Roman" w:cs="Times New Roman"/>
                <w:b/>
                <w:bCs/>
                <w:sz w:val="18"/>
                <w:szCs w:val="18"/>
              </w:rPr>
              <w:t>Initial Year</w:t>
            </w:r>
          </w:p>
        </w:tc>
        <w:tc>
          <w:tcPr>
            <w:tcW w:w="684" w:type="pct"/>
            <w:hideMark/>
          </w:tcPr>
          <w:p w14:paraId="18137716" w14:textId="77777777" w:rsidR="00D17312" w:rsidRPr="000973F2" w:rsidRDefault="00D17312" w:rsidP="00EA5D16">
            <w:pPr>
              <w:keepNext/>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18"/>
                <w:szCs w:val="18"/>
              </w:rPr>
            </w:pPr>
            <w:r w:rsidRPr="000973F2">
              <w:rPr>
                <w:rFonts w:ascii="Times New Roman" w:eastAsia="Times New Roman" w:hAnsi="Times New Roman" w:cs="Times New Roman"/>
                <w:b/>
                <w:bCs/>
                <w:sz w:val="18"/>
                <w:szCs w:val="18"/>
              </w:rPr>
              <w:t>Subseq. Years</w:t>
            </w:r>
          </w:p>
        </w:tc>
      </w:tr>
      <w:tr w:rsidR="00052FA5" w:rsidRPr="000973F2" w14:paraId="5F67E479" w14:textId="77777777" w:rsidTr="00EA5D16">
        <w:trPr>
          <w:cantSplit/>
        </w:trPr>
        <w:tc>
          <w:tcPr>
            <w:cnfStyle w:val="001000000000" w:firstRow="0" w:lastRow="0" w:firstColumn="1" w:lastColumn="0" w:oddVBand="0" w:evenVBand="0" w:oddHBand="0" w:evenHBand="0" w:firstRowFirstColumn="0" w:firstRowLastColumn="0" w:lastRowFirstColumn="0" w:lastRowLastColumn="0"/>
            <w:tcW w:w="906" w:type="pct"/>
            <w:tcMar>
              <w:right w:w="14" w:type="dxa"/>
            </w:tcMar>
            <w:hideMark/>
          </w:tcPr>
          <w:p w14:paraId="5F81588A" w14:textId="77777777" w:rsidR="00AB6F50" w:rsidRPr="000973F2" w:rsidRDefault="00AB6F50" w:rsidP="00EA5D16">
            <w:pPr>
              <w:keepNext/>
              <w:spacing w:before="40" w:after="4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Equipment (selection, purchase, installation)</w:t>
            </w:r>
          </w:p>
        </w:tc>
        <w:tc>
          <w:tcPr>
            <w:tcW w:w="682" w:type="pct"/>
            <w:noWrap/>
            <w:hideMark/>
          </w:tcPr>
          <w:p w14:paraId="002E8F69" w14:textId="77777777" w:rsidR="00AB6F50" w:rsidRPr="000973F2" w:rsidRDefault="00AB6F50" w:rsidP="00EA5D16">
            <w:pPr>
              <w:keepNext/>
              <w:spacing w:before="40" w:after="4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$0</w:t>
            </w:r>
          </w:p>
        </w:tc>
        <w:tc>
          <w:tcPr>
            <w:tcW w:w="682" w:type="pct"/>
            <w:noWrap/>
          </w:tcPr>
          <w:p w14:paraId="15406A7E" w14:textId="77777777" w:rsidR="00AB6F50" w:rsidRPr="000973F2" w:rsidRDefault="00AB6F50" w:rsidP="00EA5D16">
            <w:pPr>
              <w:keepNext/>
              <w:spacing w:before="40" w:after="4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p>
        </w:tc>
        <w:tc>
          <w:tcPr>
            <w:tcW w:w="682" w:type="pct"/>
            <w:noWrap/>
            <w:hideMark/>
          </w:tcPr>
          <w:p w14:paraId="634211DB" w14:textId="77777777" w:rsidR="00AB6F50" w:rsidRPr="000973F2" w:rsidRDefault="00AB6F50" w:rsidP="00EA5D16">
            <w:pPr>
              <w:keepNext/>
              <w:spacing w:before="40" w:after="4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$0</w:t>
            </w:r>
          </w:p>
        </w:tc>
        <w:tc>
          <w:tcPr>
            <w:tcW w:w="706" w:type="pct"/>
            <w:noWrap/>
            <w:hideMark/>
          </w:tcPr>
          <w:p w14:paraId="78B3DB99" w14:textId="77777777" w:rsidR="00AB6F50" w:rsidRPr="000973F2" w:rsidRDefault="00AB6F50" w:rsidP="00EA5D16">
            <w:pPr>
              <w:keepNext/>
              <w:tabs>
                <w:tab w:val="decimal" w:pos="751"/>
              </w:tabs>
              <w:spacing w:before="40" w:after="4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$115</w:t>
            </w:r>
          </w:p>
        </w:tc>
        <w:tc>
          <w:tcPr>
            <w:tcW w:w="659" w:type="pct"/>
            <w:noWrap/>
            <w:hideMark/>
          </w:tcPr>
          <w:p w14:paraId="26FC7538" w14:textId="77777777" w:rsidR="00AB6F50" w:rsidRPr="000973F2" w:rsidRDefault="00AB6F50" w:rsidP="00EA5D16">
            <w:pPr>
              <w:keepNext/>
              <w:spacing w:before="40" w:after="4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$0</w:t>
            </w:r>
          </w:p>
        </w:tc>
        <w:tc>
          <w:tcPr>
            <w:tcW w:w="684" w:type="pct"/>
            <w:noWrap/>
            <w:hideMark/>
          </w:tcPr>
          <w:p w14:paraId="3E29A9E7" w14:textId="77777777" w:rsidR="00AB6F50" w:rsidRPr="000973F2" w:rsidRDefault="00AB6F50" w:rsidP="00EA5D16">
            <w:pPr>
              <w:keepNext/>
              <w:tabs>
                <w:tab w:val="decimal" w:pos="661"/>
              </w:tabs>
              <w:spacing w:before="40" w:after="4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$115</w:t>
            </w:r>
          </w:p>
        </w:tc>
      </w:tr>
      <w:tr w:rsidR="00EA5D16" w:rsidRPr="000973F2" w14:paraId="1B72BF9C" w14:textId="77777777" w:rsidTr="00EA5D16">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906" w:type="pct"/>
            <w:tcMar>
              <w:right w:w="14" w:type="dxa"/>
            </w:tcMar>
            <w:hideMark/>
          </w:tcPr>
          <w:p w14:paraId="2FB4E2D4" w14:textId="77777777" w:rsidR="00EA5D16" w:rsidRPr="000973F2" w:rsidRDefault="00EA5D16" w:rsidP="00EA5D16">
            <w:pPr>
              <w:keepNext/>
              <w:spacing w:before="40" w:after="4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Performance testing</w:t>
            </w:r>
          </w:p>
        </w:tc>
        <w:tc>
          <w:tcPr>
            <w:tcW w:w="682" w:type="pct"/>
            <w:noWrap/>
            <w:hideMark/>
          </w:tcPr>
          <w:p w14:paraId="496EB5EF" w14:textId="640108F4" w:rsidR="00EA5D16" w:rsidRPr="000973F2" w:rsidRDefault="00EA5D16" w:rsidP="00EA5D16">
            <w:pPr>
              <w:keepNext/>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w:t>
            </w:r>
          </w:p>
        </w:tc>
        <w:tc>
          <w:tcPr>
            <w:tcW w:w="682" w:type="pct"/>
            <w:noWrap/>
          </w:tcPr>
          <w:p w14:paraId="37466046" w14:textId="16C16F8E" w:rsidR="00EA5D16" w:rsidRPr="000973F2" w:rsidRDefault="00EA5D16" w:rsidP="00EA5D16">
            <w:pPr>
              <w:keepNext/>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w:t>
            </w:r>
          </w:p>
        </w:tc>
        <w:tc>
          <w:tcPr>
            <w:tcW w:w="682" w:type="pct"/>
            <w:noWrap/>
            <w:hideMark/>
          </w:tcPr>
          <w:p w14:paraId="21E83E17" w14:textId="01009C08" w:rsidR="00EA5D16" w:rsidRPr="000973F2" w:rsidRDefault="00EA5D16" w:rsidP="00EA5D16">
            <w:pPr>
              <w:keepNext/>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w:t>
            </w:r>
          </w:p>
        </w:tc>
        <w:tc>
          <w:tcPr>
            <w:tcW w:w="706" w:type="pct"/>
            <w:noWrap/>
            <w:hideMark/>
          </w:tcPr>
          <w:p w14:paraId="65A2B7F8" w14:textId="1CFE8D4A" w:rsidR="00EA5D16" w:rsidRPr="000973F2" w:rsidRDefault="00EA5D16" w:rsidP="00EA5D16">
            <w:pPr>
              <w:keepNext/>
              <w:tabs>
                <w:tab w:val="decimal" w:pos="751"/>
              </w:tabs>
              <w:spacing w:before="40" w:after="4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w:t>
            </w:r>
          </w:p>
        </w:tc>
        <w:tc>
          <w:tcPr>
            <w:tcW w:w="659" w:type="pct"/>
            <w:noWrap/>
            <w:hideMark/>
          </w:tcPr>
          <w:p w14:paraId="2E78871A" w14:textId="62CB7E55" w:rsidR="00EA5D16" w:rsidRPr="000973F2" w:rsidRDefault="00EA5D16" w:rsidP="00EA5D16">
            <w:pPr>
              <w:keepNext/>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w:t>
            </w:r>
          </w:p>
        </w:tc>
        <w:tc>
          <w:tcPr>
            <w:tcW w:w="684" w:type="pct"/>
            <w:noWrap/>
            <w:hideMark/>
          </w:tcPr>
          <w:p w14:paraId="60E3BA66" w14:textId="140D1C45" w:rsidR="00EA5D16" w:rsidRPr="000973F2" w:rsidRDefault="00EA5D16" w:rsidP="00EA5D16">
            <w:pPr>
              <w:keepNext/>
              <w:tabs>
                <w:tab w:val="decimal" w:pos="661"/>
              </w:tabs>
              <w:spacing w:before="40" w:after="4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w:t>
            </w:r>
          </w:p>
        </w:tc>
      </w:tr>
      <w:tr w:rsidR="00052FA5" w:rsidRPr="000973F2" w14:paraId="34511D89" w14:textId="77777777" w:rsidTr="00EA5D16">
        <w:trPr>
          <w:cantSplit/>
        </w:trPr>
        <w:tc>
          <w:tcPr>
            <w:cnfStyle w:val="001000000000" w:firstRow="0" w:lastRow="0" w:firstColumn="1" w:lastColumn="0" w:oddVBand="0" w:evenVBand="0" w:oddHBand="0" w:evenHBand="0" w:firstRowFirstColumn="0" w:firstRowLastColumn="0" w:lastRowFirstColumn="0" w:lastRowLastColumn="0"/>
            <w:tcW w:w="906" w:type="pct"/>
            <w:tcMar>
              <w:right w:w="14" w:type="dxa"/>
            </w:tcMar>
            <w:hideMark/>
          </w:tcPr>
          <w:p w14:paraId="1C2D945F" w14:textId="77777777" w:rsidR="00AB6F50" w:rsidRPr="000973F2" w:rsidRDefault="00AB6F50" w:rsidP="00EA5D16">
            <w:pPr>
              <w:keepNext/>
              <w:spacing w:before="40" w:after="4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Recordkeeping</w:t>
            </w:r>
          </w:p>
        </w:tc>
        <w:tc>
          <w:tcPr>
            <w:tcW w:w="682" w:type="pct"/>
            <w:noWrap/>
            <w:hideMark/>
          </w:tcPr>
          <w:p w14:paraId="1BA1CC0B" w14:textId="77777777" w:rsidR="00AB6F50" w:rsidRPr="000973F2" w:rsidRDefault="00AB6F50" w:rsidP="00EA5D16">
            <w:pPr>
              <w:keepNext/>
              <w:spacing w:before="40" w:after="4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$0</w:t>
            </w:r>
          </w:p>
        </w:tc>
        <w:tc>
          <w:tcPr>
            <w:tcW w:w="682" w:type="pct"/>
            <w:noWrap/>
          </w:tcPr>
          <w:p w14:paraId="291D7912" w14:textId="6D3ED693" w:rsidR="00AB6F50" w:rsidRPr="000973F2" w:rsidRDefault="00AB6F50" w:rsidP="00EA5D16">
            <w:pPr>
              <w:keepNext/>
              <w:spacing w:before="40" w:after="4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p>
        </w:tc>
        <w:tc>
          <w:tcPr>
            <w:tcW w:w="682" w:type="pct"/>
            <w:noWrap/>
            <w:hideMark/>
          </w:tcPr>
          <w:p w14:paraId="6ABA6E6B" w14:textId="77777777" w:rsidR="00AB6F50" w:rsidRPr="000973F2" w:rsidRDefault="00AB6F50" w:rsidP="00EA5D16">
            <w:pPr>
              <w:keepNext/>
              <w:spacing w:before="40" w:after="4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$0</w:t>
            </w:r>
          </w:p>
        </w:tc>
        <w:tc>
          <w:tcPr>
            <w:tcW w:w="706" w:type="pct"/>
            <w:noWrap/>
            <w:hideMark/>
          </w:tcPr>
          <w:p w14:paraId="0D2AF8A2" w14:textId="77777777" w:rsidR="00AB6F50" w:rsidRPr="000973F2" w:rsidRDefault="00AB6F50" w:rsidP="00EA5D16">
            <w:pPr>
              <w:keepNext/>
              <w:tabs>
                <w:tab w:val="decimal" w:pos="751"/>
              </w:tabs>
              <w:spacing w:before="40" w:after="4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$50</w:t>
            </w:r>
          </w:p>
        </w:tc>
        <w:tc>
          <w:tcPr>
            <w:tcW w:w="659" w:type="pct"/>
            <w:noWrap/>
            <w:hideMark/>
          </w:tcPr>
          <w:p w14:paraId="449118B2" w14:textId="77777777" w:rsidR="00AB6F50" w:rsidRPr="000973F2" w:rsidRDefault="00AB6F50" w:rsidP="00EA5D16">
            <w:pPr>
              <w:keepNext/>
              <w:spacing w:before="40" w:after="4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$0</w:t>
            </w:r>
          </w:p>
        </w:tc>
        <w:tc>
          <w:tcPr>
            <w:tcW w:w="684" w:type="pct"/>
            <w:noWrap/>
            <w:hideMark/>
          </w:tcPr>
          <w:p w14:paraId="0D6D4733" w14:textId="77777777" w:rsidR="00AB6F50" w:rsidRPr="000973F2" w:rsidRDefault="00AB6F50" w:rsidP="00EA5D16">
            <w:pPr>
              <w:keepNext/>
              <w:tabs>
                <w:tab w:val="decimal" w:pos="661"/>
              </w:tabs>
              <w:spacing w:before="40" w:after="4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$50</w:t>
            </w:r>
          </w:p>
        </w:tc>
      </w:tr>
      <w:tr w:rsidR="00EA5D16" w:rsidRPr="000973F2" w14:paraId="5CB6C000" w14:textId="77777777" w:rsidTr="00EA5D16">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906" w:type="pct"/>
            <w:tcMar>
              <w:right w:w="14" w:type="dxa"/>
            </w:tcMar>
            <w:hideMark/>
          </w:tcPr>
          <w:p w14:paraId="26E6D87A" w14:textId="77777777" w:rsidR="00EA5D16" w:rsidRPr="000973F2" w:rsidRDefault="00EA5D16" w:rsidP="00EA5D16">
            <w:pPr>
              <w:keepNext/>
              <w:spacing w:before="40" w:after="4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Travel</w:t>
            </w:r>
          </w:p>
        </w:tc>
        <w:tc>
          <w:tcPr>
            <w:tcW w:w="682" w:type="pct"/>
            <w:noWrap/>
            <w:hideMark/>
          </w:tcPr>
          <w:p w14:paraId="010B93A5" w14:textId="5815F243" w:rsidR="00EA5D16" w:rsidRPr="000973F2" w:rsidRDefault="00EA5D16" w:rsidP="00EA5D16">
            <w:pPr>
              <w:keepNext/>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w:t>
            </w:r>
          </w:p>
        </w:tc>
        <w:tc>
          <w:tcPr>
            <w:tcW w:w="682" w:type="pct"/>
            <w:noWrap/>
          </w:tcPr>
          <w:p w14:paraId="342BD3D2" w14:textId="02D41387" w:rsidR="00EA5D16" w:rsidRPr="000973F2" w:rsidRDefault="00EA5D16" w:rsidP="00EA5D16">
            <w:pPr>
              <w:keepNext/>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w:t>
            </w:r>
          </w:p>
        </w:tc>
        <w:tc>
          <w:tcPr>
            <w:tcW w:w="682" w:type="pct"/>
            <w:noWrap/>
            <w:hideMark/>
          </w:tcPr>
          <w:p w14:paraId="1069DF95" w14:textId="5320C5EA" w:rsidR="00EA5D16" w:rsidRPr="000973F2" w:rsidRDefault="00EA5D16" w:rsidP="00EA5D16">
            <w:pPr>
              <w:keepNext/>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w:t>
            </w:r>
          </w:p>
        </w:tc>
        <w:tc>
          <w:tcPr>
            <w:tcW w:w="706" w:type="pct"/>
            <w:noWrap/>
            <w:hideMark/>
          </w:tcPr>
          <w:p w14:paraId="48B31043" w14:textId="47C78730" w:rsidR="00EA5D16" w:rsidRPr="000973F2" w:rsidRDefault="00EA5D16" w:rsidP="00EA5D16">
            <w:pPr>
              <w:keepNext/>
              <w:tabs>
                <w:tab w:val="decimal" w:pos="751"/>
              </w:tabs>
              <w:spacing w:before="40" w:after="4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w:t>
            </w:r>
          </w:p>
        </w:tc>
        <w:tc>
          <w:tcPr>
            <w:tcW w:w="659" w:type="pct"/>
            <w:noWrap/>
            <w:hideMark/>
          </w:tcPr>
          <w:p w14:paraId="1883B438" w14:textId="4FDAB8E7" w:rsidR="00EA5D16" w:rsidRPr="000973F2" w:rsidRDefault="00EA5D16" w:rsidP="00EA5D16">
            <w:pPr>
              <w:keepNext/>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w:t>
            </w:r>
          </w:p>
        </w:tc>
        <w:tc>
          <w:tcPr>
            <w:tcW w:w="684" w:type="pct"/>
            <w:noWrap/>
            <w:hideMark/>
          </w:tcPr>
          <w:p w14:paraId="0FA58A49" w14:textId="06673ADB" w:rsidR="00EA5D16" w:rsidRPr="000973F2" w:rsidRDefault="00EA5D16" w:rsidP="00EA5D16">
            <w:pPr>
              <w:keepNext/>
              <w:tabs>
                <w:tab w:val="decimal" w:pos="661"/>
              </w:tabs>
              <w:spacing w:before="40" w:after="4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w:t>
            </w:r>
          </w:p>
        </w:tc>
      </w:tr>
      <w:tr w:rsidR="00EA5D16" w:rsidRPr="000973F2" w14:paraId="6A3875C0" w14:textId="77777777" w:rsidTr="00EA5D16">
        <w:trPr>
          <w:cantSplit/>
        </w:trPr>
        <w:tc>
          <w:tcPr>
            <w:cnfStyle w:val="001000000000" w:firstRow="0" w:lastRow="0" w:firstColumn="1" w:lastColumn="0" w:oddVBand="0" w:evenVBand="0" w:oddHBand="0" w:evenHBand="0" w:firstRowFirstColumn="0" w:firstRowLastColumn="0" w:lastRowFirstColumn="0" w:lastRowLastColumn="0"/>
            <w:tcW w:w="906" w:type="pct"/>
            <w:tcMar>
              <w:right w:w="14" w:type="dxa"/>
            </w:tcMar>
            <w:hideMark/>
          </w:tcPr>
          <w:p w14:paraId="69F0A3A7" w14:textId="6EEA527F" w:rsidR="00EA5D16" w:rsidRPr="000973F2" w:rsidRDefault="00EA5D16" w:rsidP="00EA5D16">
            <w:pPr>
              <w:keepNext/>
              <w:spacing w:before="40" w:after="4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Sampling and Analysis Costs</w:t>
            </w:r>
          </w:p>
        </w:tc>
        <w:tc>
          <w:tcPr>
            <w:tcW w:w="682" w:type="pct"/>
            <w:noWrap/>
            <w:hideMark/>
          </w:tcPr>
          <w:p w14:paraId="4FC32DD6" w14:textId="43B145EB" w:rsidR="00EA5D16" w:rsidRPr="000973F2" w:rsidRDefault="00EA5D16" w:rsidP="00EA5D16">
            <w:pPr>
              <w:keepNext/>
              <w:spacing w:before="40" w:after="4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w:t>
            </w:r>
          </w:p>
        </w:tc>
        <w:tc>
          <w:tcPr>
            <w:tcW w:w="682" w:type="pct"/>
            <w:noWrap/>
          </w:tcPr>
          <w:p w14:paraId="0DC2415D" w14:textId="1CFDDCA4" w:rsidR="00EA5D16" w:rsidRPr="000973F2" w:rsidRDefault="00EA5D16" w:rsidP="00EA5D16">
            <w:pPr>
              <w:keepNext/>
              <w:spacing w:before="40" w:after="4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w:t>
            </w:r>
          </w:p>
        </w:tc>
        <w:tc>
          <w:tcPr>
            <w:tcW w:w="682" w:type="pct"/>
            <w:noWrap/>
            <w:hideMark/>
          </w:tcPr>
          <w:p w14:paraId="70523F5C" w14:textId="0BB90BC6" w:rsidR="00EA5D16" w:rsidRPr="000973F2" w:rsidRDefault="00EA5D16" w:rsidP="00EA5D16">
            <w:pPr>
              <w:keepNext/>
              <w:spacing w:before="40" w:after="4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w:t>
            </w:r>
          </w:p>
        </w:tc>
        <w:tc>
          <w:tcPr>
            <w:tcW w:w="706" w:type="pct"/>
            <w:noWrap/>
            <w:hideMark/>
          </w:tcPr>
          <w:p w14:paraId="1E559D91" w14:textId="506EFB48" w:rsidR="00EA5D16" w:rsidRPr="000973F2" w:rsidRDefault="00EA5D16" w:rsidP="00EA5D16">
            <w:pPr>
              <w:keepNext/>
              <w:tabs>
                <w:tab w:val="decimal" w:pos="751"/>
              </w:tabs>
              <w:spacing w:before="40" w:after="4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w:t>
            </w:r>
          </w:p>
        </w:tc>
        <w:tc>
          <w:tcPr>
            <w:tcW w:w="659" w:type="pct"/>
            <w:noWrap/>
            <w:hideMark/>
          </w:tcPr>
          <w:p w14:paraId="558A81F1" w14:textId="7E53983C" w:rsidR="00EA5D16" w:rsidRPr="000973F2" w:rsidRDefault="00EA5D16" w:rsidP="00EA5D16">
            <w:pPr>
              <w:keepNext/>
              <w:spacing w:before="40" w:after="4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w:t>
            </w:r>
          </w:p>
        </w:tc>
        <w:tc>
          <w:tcPr>
            <w:tcW w:w="684" w:type="pct"/>
            <w:noWrap/>
            <w:hideMark/>
          </w:tcPr>
          <w:p w14:paraId="3DA7D238" w14:textId="3D70BA3F" w:rsidR="00EA5D16" w:rsidRPr="000973F2" w:rsidRDefault="00EA5D16" w:rsidP="00EA5D16">
            <w:pPr>
              <w:keepNext/>
              <w:tabs>
                <w:tab w:val="decimal" w:pos="661"/>
              </w:tabs>
              <w:spacing w:before="40" w:after="4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w:t>
            </w:r>
          </w:p>
        </w:tc>
      </w:tr>
      <w:tr w:rsidR="00052FA5" w:rsidRPr="000973F2" w14:paraId="0E923FB8" w14:textId="77777777" w:rsidTr="00EA5D16">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906" w:type="pct"/>
            <w:tcMar>
              <w:right w:w="14" w:type="dxa"/>
            </w:tcMar>
            <w:hideMark/>
          </w:tcPr>
          <w:p w14:paraId="130A2490" w14:textId="77777777" w:rsidR="00AB6F50" w:rsidRPr="000973F2" w:rsidRDefault="00AB6F50" w:rsidP="00EA5D16">
            <w:pPr>
              <w:keepNext/>
              <w:spacing w:before="40" w:after="40"/>
              <w:rPr>
                <w:rFonts w:ascii="Times New Roman" w:eastAsia="Times New Roman" w:hAnsi="Times New Roman" w:cs="Times New Roman"/>
                <w:b/>
                <w:bCs w:val="0"/>
                <w:sz w:val="18"/>
                <w:szCs w:val="18"/>
              </w:rPr>
            </w:pPr>
            <w:r w:rsidRPr="000973F2">
              <w:rPr>
                <w:rFonts w:ascii="Times New Roman" w:eastAsia="Times New Roman" w:hAnsi="Times New Roman" w:cs="Times New Roman"/>
                <w:b/>
                <w:sz w:val="18"/>
                <w:szCs w:val="18"/>
              </w:rPr>
              <w:t xml:space="preserve">Total </w:t>
            </w:r>
          </w:p>
        </w:tc>
        <w:tc>
          <w:tcPr>
            <w:tcW w:w="682" w:type="pct"/>
            <w:noWrap/>
            <w:hideMark/>
          </w:tcPr>
          <w:p w14:paraId="07296BAD" w14:textId="77777777" w:rsidR="00AB6F50" w:rsidRPr="000973F2" w:rsidRDefault="00AB6F50" w:rsidP="00EA5D16">
            <w:pPr>
              <w:keepNext/>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sz w:val="18"/>
                <w:szCs w:val="18"/>
              </w:rPr>
            </w:pPr>
            <w:r w:rsidRPr="000973F2">
              <w:rPr>
                <w:rFonts w:ascii="Times New Roman" w:eastAsia="Times New Roman" w:hAnsi="Times New Roman" w:cs="Times New Roman"/>
                <w:b/>
                <w:sz w:val="18"/>
                <w:szCs w:val="18"/>
              </w:rPr>
              <w:t>$0</w:t>
            </w:r>
          </w:p>
        </w:tc>
        <w:tc>
          <w:tcPr>
            <w:tcW w:w="682" w:type="pct"/>
            <w:noWrap/>
            <w:hideMark/>
          </w:tcPr>
          <w:p w14:paraId="5B148AA3" w14:textId="43830B4E" w:rsidR="00AB6F50" w:rsidRPr="000973F2" w:rsidRDefault="00AB6F50" w:rsidP="00EA5D16">
            <w:pPr>
              <w:keepNext/>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sz w:val="18"/>
                <w:szCs w:val="18"/>
              </w:rPr>
            </w:pPr>
          </w:p>
        </w:tc>
        <w:tc>
          <w:tcPr>
            <w:tcW w:w="682" w:type="pct"/>
            <w:noWrap/>
            <w:hideMark/>
          </w:tcPr>
          <w:p w14:paraId="3E17714C" w14:textId="77777777" w:rsidR="00AB6F50" w:rsidRPr="000973F2" w:rsidRDefault="00AB6F50" w:rsidP="00EA5D16">
            <w:pPr>
              <w:keepNext/>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sz w:val="18"/>
                <w:szCs w:val="18"/>
              </w:rPr>
            </w:pPr>
            <w:r w:rsidRPr="000973F2">
              <w:rPr>
                <w:rFonts w:ascii="Times New Roman" w:eastAsia="Times New Roman" w:hAnsi="Times New Roman" w:cs="Times New Roman"/>
                <w:b/>
                <w:sz w:val="18"/>
                <w:szCs w:val="18"/>
              </w:rPr>
              <w:t>$0</w:t>
            </w:r>
          </w:p>
        </w:tc>
        <w:tc>
          <w:tcPr>
            <w:tcW w:w="706" w:type="pct"/>
            <w:noWrap/>
            <w:hideMark/>
          </w:tcPr>
          <w:p w14:paraId="24624189" w14:textId="77777777" w:rsidR="00AB6F50" w:rsidRPr="000973F2" w:rsidRDefault="00AB6F50" w:rsidP="00EA5D16">
            <w:pPr>
              <w:keepNext/>
              <w:tabs>
                <w:tab w:val="decimal" w:pos="751"/>
              </w:tabs>
              <w:spacing w:before="40" w:after="4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sz w:val="18"/>
                <w:szCs w:val="18"/>
              </w:rPr>
            </w:pPr>
            <w:r w:rsidRPr="000973F2">
              <w:rPr>
                <w:rFonts w:ascii="Times New Roman" w:eastAsia="Times New Roman" w:hAnsi="Times New Roman" w:cs="Times New Roman"/>
                <w:b/>
                <w:sz w:val="18"/>
                <w:szCs w:val="18"/>
              </w:rPr>
              <w:t>$165</w:t>
            </w:r>
          </w:p>
        </w:tc>
        <w:tc>
          <w:tcPr>
            <w:tcW w:w="659" w:type="pct"/>
            <w:noWrap/>
            <w:hideMark/>
          </w:tcPr>
          <w:p w14:paraId="6878DED6" w14:textId="77777777" w:rsidR="00AB6F50" w:rsidRPr="000973F2" w:rsidRDefault="00AB6F50" w:rsidP="00EA5D16">
            <w:pPr>
              <w:keepNext/>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sz w:val="18"/>
                <w:szCs w:val="18"/>
              </w:rPr>
            </w:pPr>
            <w:r w:rsidRPr="000973F2">
              <w:rPr>
                <w:rFonts w:ascii="Times New Roman" w:eastAsia="Times New Roman" w:hAnsi="Times New Roman" w:cs="Times New Roman"/>
                <w:b/>
                <w:sz w:val="18"/>
                <w:szCs w:val="18"/>
              </w:rPr>
              <w:t>$0</w:t>
            </w:r>
          </w:p>
        </w:tc>
        <w:tc>
          <w:tcPr>
            <w:tcW w:w="684" w:type="pct"/>
            <w:noWrap/>
            <w:hideMark/>
          </w:tcPr>
          <w:p w14:paraId="0009AF2F" w14:textId="77777777" w:rsidR="00AB6F50" w:rsidRPr="000973F2" w:rsidRDefault="00AB6F50" w:rsidP="00EA5D16">
            <w:pPr>
              <w:keepNext/>
              <w:tabs>
                <w:tab w:val="decimal" w:pos="661"/>
              </w:tabs>
              <w:spacing w:before="40" w:after="4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sz w:val="18"/>
                <w:szCs w:val="18"/>
              </w:rPr>
            </w:pPr>
            <w:r w:rsidRPr="000973F2">
              <w:rPr>
                <w:rFonts w:ascii="Times New Roman" w:eastAsia="Times New Roman" w:hAnsi="Times New Roman" w:cs="Times New Roman"/>
                <w:b/>
                <w:sz w:val="18"/>
                <w:szCs w:val="18"/>
              </w:rPr>
              <w:t>$165</w:t>
            </w:r>
          </w:p>
        </w:tc>
      </w:tr>
    </w:tbl>
    <w:p w14:paraId="57849FE9" w14:textId="77777777" w:rsidR="00D90621" w:rsidRPr="000973F2" w:rsidRDefault="00D90621" w:rsidP="00C00E4F">
      <w:pPr>
        <w:spacing w:line="240" w:lineRule="auto"/>
        <w:rPr>
          <w:rFonts w:ascii="Times New Roman" w:hAnsi="Times New Roman" w:cs="Times New Roman"/>
          <w:b/>
          <w:i/>
          <w:szCs w:val="20"/>
        </w:rPr>
      </w:pPr>
      <w:r w:rsidRPr="000973F2">
        <w:rPr>
          <w:rFonts w:ascii="Times New Roman" w:hAnsi="Times New Roman" w:cs="Times New Roman"/>
          <w:b/>
          <w:i/>
          <w:szCs w:val="20"/>
        </w:rPr>
        <w:br w:type="page"/>
      </w:r>
    </w:p>
    <w:p w14:paraId="60A84942" w14:textId="060A3DEE" w:rsidR="00AB6F50" w:rsidRPr="000973F2" w:rsidRDefault="00AB6F50" w:rsidP="0061585D">
      <w:pPr>
        <w:pStyle w:val="Heading2"/>
      </w:pPr>
      <w:r w:rsidRPr="000973F2">
        <w:t xml:space="preserve">Labor Costs for Subpart W </w:t>
      </w:r>
      <w:r w:rsidR="00EA5D16" w:rsidRPr="000973F2">
        <w:t>–</w:t>
      </w:r>
      <w:r w:rsidRPr="000973F2">
        <w:t xml:space="preserve"> Onshore Natural Gas Processing</w:t>
      </w:r>
    </w:p>
    <w:p w14:paraId="330F4B82" w14:textId="7B7801C7" w:rsidR="00AB6F50" w:rsidRPr="000973F2" w:rsidRDefault="00AB6F50" w:rsidP="00EA5D16">
      <w:pPr>
        <w:pStyle w:val="BodyText"/>
      </w:pPr>
      <w:r w:rsidRPr="000973F2">
        <w:t xml:space="preserve">Table </w:t>
      </w:r>
      <w:r w:rsidR="00EA5D16" w:rsidRPr="000973F2">
        <w:t>W-</w:t>
      </w:r>
      <w:r w:rsidRPr="000973F2">
        <w:t>1c below includes the labor hours for each of the 449 existing reporters in the Onshore Natural Gas Processing industry segment to comply with Subpart W according to §98.232(d). Typical activities related to planning, QA/QC, recordkeeping and reporting, and sampling and analysis (which includes emission calculations) are discussed in the Cost Appendix Introduction. Calculations required for this industry segment are detailed in §98.233, based on the emission sources listed in §98.232(d).</w:t>
      </w:r>
    </w:p>
    <w:p w14:paraId="17FB4B4B" w14:textId="1AD06F57" w:rsidR="00AB6F50" w:rsidRPr="000973F2" w:rsidRDefault="00AB6F50" w:rsidP="00EA5D16">
      <w:pPr>
        <w:pStyle w:val="Heading2"/>
      </w:pPr>
      <w:r w:rsidRPr="000973F2">
        <w:t xml:space="preserve">Capital and O&amp;M Costs for Subpart W </w:t>
      </w:r>
      <w:r w:rsidR="00EA5D16" w:rsidRPr="000973F2">
        <w:t>–</w:t>
      </w:r>
      <w:r w:rsidRPr="000973F2">
        <w:t xml:space="preserve"> Onshore Natural Gas Processing</w:t>
      </w:r>
    </w:p>
    <w:p w14:paraId="1E842948" w14:textId="09EBBAF2" w:rsidR="00AB6F50" w:rsidRPr="000973F2" w:rsidRDefault="00AB6F50" w:rsidP="00EA5D16">
      <w:pPr>
        <w:pStyle w:val="BodyText"/>
      </w:pPr>
      <w:r w:rsidRPr="000973F2">
        <w:t xml:space="preserve">Table </w:t>
      </w:r>
      <w:r w:rsidR="00EA5D16" w:rsidRPr="000973F2">
        <w:t>W-</w:t>
      </w:r>
      <w:r w:rsidRPr="000973F2">
        <w:t>2c below includes the capital and O&amp;M costs for each of the 449 reporters in the Onshore Natural Gas Processing industry segment to comply with Subpart W. Typical costs related to performance testing, recordkeeping, and travel are discussed in the Cost Appendix Introduction.</w:t>
      </w:r>
    </w:p>
    <w:p w14:paraId="58DFE95B" w14:textId="77777777" w:rsidR="00EA5D16" w:rsidRPr="000973F2" w:rsidRDefault="00AB6F50" w:rsidP="00EA5D16">
      <w:pPr>
        <w:pStyle w:val="BodyText"/>
      </w:pPr>
      <w:r w:rsidRPr="000973F2">
        <w:t>Equipment costs for this industry segment are related to the purchase of simulation software needed to model emissions from acid gas removal units and storage tanks. Due to the low cost of this software license (</w:t>
      </w:r>
      <w:r w:rsidR="00CD5C42" w:rsidRPr="000973F2">
        <w:t xml:space="preserve">less than </w:t>
      </w:r>
      <w:r w:rsidRPr="000973F2">
        <w:t>$200 per year), the costs were classified as O&amp;M costs rather than capital costs; reporters are not expected to classify such a small annual cost as a capital expenditure, which would also accrue interest payments over time. Sampling costs for this industry segment are related to the use of EPA Method 21 to conduct equipment leak surveys; the hiring of contractors to conduct leak measurements for reciprocating and centrifugal compressors; and analyzing quarterly gas samples for acid gas removal units.</w:t>
      </w:r>
    </w:p>
    <w:p w14:paraId="19E2C0C7" w14:textId="697DE82D" w:rsidR="00AB6F50" w:rsidRPr="000973F2" w:rsidRDefault="00AB6F50" w:rsidP="00EA5D16">
      <w:pPr>
        <w:pStyle w:val="Tabletitle"/>
      </w:pPr>
      <w:r w:rsidRPr="000973F2">
        <w:t xml:space="preserve">Table </w:t>
      </w:r>
      <w:r w:rsidR="00EA5D16" w:rsidRPr="000973F2">
        <w:t>W-</w:t>
      </w:r>
      <w:r w:rsidRPr="000973F2">
        <w:t xml:space="preserve">1c. </w:t>
      </w:r>
      <w:r w:rsidR="001F4582" w:rsidRPr="000973F2">
        <w:t xml:space="preserve">Labor Costs </w:t>
      </w:r>
      <w:r w:rsidR="00B960CC" w:rsidRPr="000973F2">
        <w:t>–</w:t>
      </w:r>
      <w:r w:rsidR="001F4582" w:rsidRPr="000973F2">
        <w:t xml:space="preserve"> </w:t>
      </w:r>
      <w:r w:rsidRPr="000973F2">
        <w:t xml:space="preserve">Subpart W – </w:t>
      </w:r>
      <w:bookmarkStart w:id="41" w:name="_Hlk520797741"/>
      <w:r w:rsidRPr="000973F2">
        <w:t>Onshore Natural Gas Processing</w:t>
      </w:r>
      <w:bookmarkEnd w:id="41"/>
    </w:p>
    <w:tbl>
      <w:tblPr>
        <w:tblStyle w:val="PlainTable1"/>
        <w:tblW w:w="5000" w:type="pct"/>
        <w:jc w:val="left"/>
        <w:tblLayout w:type="fixed"/>
        <w:tblCellMar>
          <w:left w:w="14" w:type="dxa"/>
          <w:right w:w="14" w:type="dxa"/>
        </w:tblCellMar>
        <w:tblLook w:val="04A0" w:firstRow="1" w:lastRow="0" w:firstColumn="1" w:lastColumn="0" w:noHBand="0" w:noVBand="1"/>
      </w:tblPr>
      <w:tblGrid>
        <w:gridCol w:w="1292"/>
        <w:gridCol w:w="674"/>
        <w:gridCol w:w="674"/>
        <w:gridCol w:w="675"/>
        <w:gridCol w:w="675"/>
        <w:gridCol w:w="675"/>
        <w:gridCol w:w="675"/>
        <w:gridCol w:w="675"/>
        <w:gridCol w:w="675"/>
        <w:gridCol w:w="675"/>
        <w:gridCol w:w="675"/>
        <w:gridCol w:w="675"/>
        <w:gridCol w:w="675"/>
      </w:tblGrid>
      <w:tr w:rsidR="00AB6F50" w:rsidRPr="000973F2" w14:paraId="768CAD4E" w14:textId="77777777" w:rsidTr="00EA5D16">
        <w:trPr>
          <w:cnfStyle w:val="100000000000" w:firstRow="1" w:lastRow="0" w:firstColumn="0" w:lastColumn="0" w:oddVBand="0" w:evenVBand="0" w:oddHBand="0" w:evenHBand="0" w:firstRowFirstColumn="0" w:firstRowLastColumn="0" w:lastRowFirstColumn="0" w:lastRowLastColumn="0"/>
          <w:cantSplit/>
          <w:jc w:val="left"/>
        </w:trPr>
        <w:tc>
          <w:tcPr>
            <w:cnfStyle w:val="001000000000" w:firstRow="0" w:lastRow="0" w:firstColumn="1" w:lastColumn="0" w:oddVBand="0" w:evenVBand="0" w:oddHBand="0" w:evenHBand="0" w:firstRowFirstColumn="0" w:firstRowLastColumn="0" w:lastRowFirstColumn="0" w:lastRowLastColumn="0"/>
            <w:tcW w:w="0" w:type="dxa"/>
            <w:vMerge w:val="restart"/>
            <w:noWrap/>
            <w:vAlign w:val="top"/>
            <w:hideMark/>
          </w:tcPr>
          <w:p w14:paraId="2B0A5A00" w14:textId="77777777" w:rsidR="00AB6F50" w:rsidRPr="000973F2" w:rsidRDefault="00AB6F50" w:rsidP="001D7159">
            <w:pPr>
              <w:spacing w:before="40" w:after="40"/>
              <w:rPr>
                <w:rFonts w:ascii="Times New Roman" w:eastAsia="Times New Roman" w:hAnsi="Times New Roman" w:cs="Times New Roman"/>
                <w:b w:val="0"/>
                <w:bCs w:val="0"/>
                <w:sz w:val="18"/>
                <w:szCs w:val="18"/>
              </w:rPr>
            </w:pPr>
            <w:r w:rsidRPr="000973F2">
              <w:rPr>
                <w:rFonts w:ascii="Times New Roman" w:eastAsia="Times New Roman" w:hAnsi="Times New Roman" w:cs="Times New Roman"/>
                <w:sz w:val="18"/>
                <w:szCs w:val="18"/>
              </w:rPr>
              <w:t>Activity</w:t>
            </w:r>
          </w:p>
        </w:tc>
        <w:tc>
          <w:tcPr>
            <w:tcW w:w="0" w:type="dxa"/>
            <w:gridSpan w:val="10"/>
            <w:noWrap/>
            <w:vAlign w:val="top"/>
            <w:hideMark/>
          </w:tcPr>
          <w:p w14:paraId="472B8552" w14:textId="77777777" w:rsidR="00AB6F50" w:rsidRPr="000973F2" w:rsidRDefault="00AB6F50" w:rsidP="001D7159">
            <w:pPr>
              <w:spacing w:before="40" w:after="40"/>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bCs w:val="0"/>
                <w:sz w:val="18"/>
                <w:szCs w:val="18"/>
              </w:rPr>
            </w:pPr>
            <w:r w:rsidRPr="000973F2">
              <w:rPr>
                <w:rFonts w:ascii="Times New Roman" w:eastAsia="Times New Roman" w:hAnsi="Times New Roman" w:cs="Times New Roman"/>
                <w:sz w:val="18"/>
                <w:szCs w:val="18"/>
              </w:rPr>
              <w:t>Labor Rates (per hour)</w:t>
            </w:r>
          </w:p>
        </w:tc>
        <w:tc>
          <w:tcPr>
            <w:tcW w:w="0" w:type="dxa"/>
            <w:gridSpan w:val="2"/>
            <w:vMerge w:val="restart"/>
            <w:vAlign w:val="top"/>
            <w:hideMark/>
          </w:tcPr>
          <w:p w14:paraId="6BBE1731" w14:textId="10855146" w:rsidR="00AB6F50" w:rsidRPr="000973F2" w:rsidRDefault="00AB6F50" w:rsidP="001D7159">
            <w:pPr>
              <w:spacing w:before="40" w:after="40"/>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bCs w:val="0"/>
                <w:sz w:val="18"/>
                <w:szCs w:val="18"/>
              </w:rPr>
            </w:pPr>
            <w:r w:rsidRPr="000973F2">
              <w:rPr>
                <w:rFonts w:ascii="Times New Roman" w:eastAsia="Times New Roman" w:hAnsi="Times New Roman" w:cs="Times New Roman"/>
                <w:sz w:val="18"/>
                <w:szCs w:val="18"/>
              </w:rPr>
              <w:t>Total Labor Cost per Year per Reporter</w:t>
            </w:r>
            <w:r w:rsidR="001D7159" w:rsidRPr="000973F2">
              <w:rPr>
                <w:rFonts w:ascii="Times New Roman" w:eastAsia="Times New Roman" w:hAnsi="Times New Roman" w:cs="Times New Roman"/>
                <w:sz w:val="18"/>
                <w:szCs w:val="18"/>
              </w:rPr>
              <w:t xml:space="preserve"> </w:t>
            </w:r>
            <w:r w:rsidRPr="000973F2">
              <w:rPr>
                <w:rFonts w:ascii="Times New Roman" w:eastAsia="Times New Roman" w:hAnsi="Times New Roman" w:cs="Times New Roman"/>
                <w:sz w:val="18"/>
                <w:szCs w:val="18"/>
              </w:rPr>
              <w:t>(2017$)</w:t>
            </w:r>
          </w:p>
        </w:tc>
      </w:tr>
      <w:tr w:rsidR="00421E5A" w:rsidRPr="000973F2" w14:paraId="18796480" w14:textId="77777777" w:rsidTr="00EA5D16">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0" w:type="dxa"/>
            <w:vMerge/>
            <w:hideMark/>
          </w:tcPr>
          <w:p w14:paraId="0DE188F1" w14:textId="77777777" w:rsidR="00AB6F50" w:rsidRPr="000973F2" w:rsidRDefault="00AB6F50" w:rsidP="001D7159">
            <w:pPr>
              <w:spacing w:before="40" w:after="40"/>
              <w:rPr>
                <w:rFonts w:ascii="Times New Roman" w:eastAsia="Times New Roman" w:hAnsi="Times New Roman" w:cs="Times New Roman"/>
                <w:b/>
                <w:bCs w:val="0"/>
                <w:sz w:val="18"/>
                <w:szCs w:val="18"/>
              </w:rPr>
            </w:pPr>
          </w:p>
        </w:tc>
        <w:tc>
          <w:tcPr>
            <w:tcW w:w="0" w:type="dxa"/>
            <w:gridSpan w:val="2"/>
            <w:noWrap/>
            <w:hideMark/>
          </w:tcPr>
          <w:p w14:paraId="204F45EB" w14:textId="77777777" w:rsidR="00AB6F50" w:rsidRPr="000973F2" w:rsidRDefault="00AB6F50" w:rsidP="001D7159">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18"/>
                <w:szCs w:val="18"/>
              </w:rPr>
            </w:pPr>
            <w:r w:rsidRPr="000973F2">
              <w:rPr>
                <w:rFonts w:ascii="Times New Roman" w:eastAsia="Times New Roman" w:hAnsi="Times New Roman" w:cs="Times New Roman"/>
                <w:b/>
                <w:bCs/>
                <w:sz w:val="18"/>
                <w:szCs w:val="18"/>
              </w:rPr>
              <w:t>Lawyer</w:t>
            </w:r>
          </w:p>
        </w:tc>
        <w:tc>
          <w:tcPr>
            <w:tcW w:w="0" w:type="dxa"/>
            <w:gridSpan w:val="2"/>
            <w:noWrap/>
            <w:hideMark/>
          </w:tcPr>
          <w:p w14:paraId="1C39FCF9" w14:textId="77777777" w:rsidR="00AB6F50" w:rsidRPr="000973F2" w:rsidRDefault="00AB6F50" w:rsidP="001D7159">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18"/>
                <w:szCs w:val="18"/>
              </w:rPr>
            </w:pPr>
            <w:r w:rsidRPr="000973F2">
              <w:rPr>
                <w:rFonts w:ascii="Times New Roman" w:eastAsia="Times New Roman" w:hAnsi="Times New Roman" w:cs="Times New Roman"/>
                <w:b/>
                <w:bCs/>
                <w:sz w:val="18"/>
                <w:szCs w:val="18"/>
              </w:rPr>
              <w:t>Senior Manager</w:t>
            </w:r>
          </w:p>
        </w:tc>
        <w:tc>
          <w:tcPr>
            <w:tcW w:w="0" w:type="dxa"/>
            <w:gridSpan w:val="2"/>
            <w:noWrap/>
            <w:hideMark/>
          </w:tcPr>
          <w:p w14:paraId="77AAA390" w14:textId="77777777" w:rsidR="00AB6F50" w:rsidRPr="000973F2" w:rsidRDefault="00AB6F50" w:rsidP="001D7159">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18"/>
                <w:szCs w:val="18"/>
              </w:rPr>
            </w:pPr>
            <w:r w:rsidRPr="000973F2">
              <w:rPr>
                <w:rFonts w:ascii="Times New Roman" w:eastAsia="Times New Roman" w:hAnsi="Times New Roman" w:cs="Times New Roman"/>
                <w:b/>
                <w:bCs/>
                <w:sz w:val="18"/>
                <w:szCs w:val="18"/>
              </w:rPr>
              <w:t>Middle Manager</w:t>
            </w:r>
          </w:p>
        </w:tc>
        <w:tc>
          <w:tcPr>
            <w:tcW w:w="0" w:type="dxa"/>
            <w:gridSpan w:val="2"/>
            <w:hideMark/>
          </w:tcPr>
          <w:p w14:paraId="6851B39C" w14:textId="77777777" w:rsidR="00AB6F50" w:rsidRPr="000973F2" w:rsidRDefault="00AB6F50" w:rsidP="001D7159">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18"/>
                <w:szCs w:val="18"/>
              </w:rPr>
            </w:pPr>
            <w:r w:rsidRPr="000973F2">
              <w:rPr>
                <w:rFonts w:ascii="Times New Roman" w:eastAsia="Times New Roman" w:hAnsi="Times New Roman" w:cs="Times New Roman"/>
                <w:b/>
                <w:bCs/>
                <w:sz w:val="18"/>
                <w:szCs w:val="18"/>
              </w:rPr>
              <w:t>Engineer</w:t>
            </w:r>
          </w:p>
        </w:tc>
        <w:tc>
          <w:tcPr>
            <w:tcW w:w="0" w:type="dxa"/>
            <w:gridSpan w:val="2"/>
            <w:hideMark/>
          </w:tcPr>
          <w:p w14:paraId="216461E2" w14:textId="77777777" w:rsidR="00AB6F50" w:rsidRPr="000973F2" w:rsidRDefault="00AB6F50" w:rsidP="001D7159">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18"/>
                <w:szCs w:val="18"/>
              </w:rPr>
            </w:pPr>
            <w:r w:rsidRPr="000973F2">
              <w:rPr>
                <w:rFonts w:ascii="Times New Roman" w:eastAsia="Times New Roman" w:hAnsi="Times New Roman" w:cs="Times New Roman"/>
                <w:b/>
                <w:bCs/>
                <w:sz w:val="18"/>
                <w:szCs w:val="18"/>
              </w:rPr>
              <w:t>Technician</w:t>
            </w:r>
          </w:p>
        </w:tc>
        <w:tc>
          <w:tcPr>
            <w:tcW w:w="0" w:type="dxa"/>
            <w:gridSpan w:val="2"/>
            <w:vMerge/>
            <w:hideMark/>
          </w:tcPr>
          <w:p w14:paraId="230BD865" w14:textId="77777777" w:rsidR="00AB6F50" w:rsidRPr="000973F2" w:rsidRDefault="00AB6F50" w:rsidP="001D7159">
            <w:pPr>
              <w:spacing w:before="40" w:after="4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18"/>
                <w:szCs w:val="18"/>
              </w:rPr>
            </w:pPr>
          </w:p>
        </w:tc>
      </w:tr>
      <w:tr w:rsidR="00421E5A" w:rsidRPr="000973F2" w14:paraId="6A629517" w14:textId="77777777" w:rsidTr="00EA5D16">
        <w:trPr>
          <w:cantSplit/>
        </w:trPr>
        <w:tc>
          <w:tcPr>
            <w:cnfStyle w:val="001000000000" w:firstRow="0" w:lastRow="0" w:firstColumn="1" w:lastColumn="0" w:oddVBand="0" w:evenVBand="0" w:oddHBand="0" w:evenHBand="0" w:firstRowFirstColumn="0" w:firstRowLastColumn="0" w:lastRowFirstColumn="0" w:lastRowLastColumn="0"/>
            <w:tcW w:w="0" w:type="dxa"/>
            <w:vMerge/>
            <w:hideMark/>
          </w:tcPr>
          <w:p w14:paraId="041132C2" w14:textId="77777777" w:rsidR="00AB6F50" w:rsidRPr="000973F2" w:rsidRDefault="00AB6F50" w:rsidP="001D7159">
            <w:pPr>
              <w:spacing w:before="40" w:after="40"/>
              <w:rPr>
                <w:rFonts w:ascii="Times New Roman" w:eastAsia="Times New Roman" w:hAnsi="Times New Roman" w:cs="Times New Roman"/>
                <w:b/>
                <w:bCs w:val="0"/>
                <w:sz w:val="18"/>
                <w:szCs w:val="18"/>
              </w:rPr>
            </w:pPr>
          </w:p>
        </w:tc>
        <w:tc>
          <w:tcPr>
            <w:tcW w:w="0" w:type="dxa"/>
            <w:gridSpan w:val="2"/>
            <w:noWrap/>
            <w:hideMark/>
          </w:tcPr>
          <w:p w14:paraId="22D4EF0E" w14:textId="77777777" w:rsidR="00AB6F50" w:rsidRPr="000973F2" w:rsidRDefault="00AB6F50" w:rsidP="001D7159">
            <w:pPr>
              <w:spacing w:before="40" w:after="4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sz w:val="18"/>
                <w:szCs w:val="18"/>
              </w:rPr>
            </w:pPr>
            <w:r w:rsidRPr="000973F2">
              <w:rPr>
                <w:rFonts w:ascii="Times New Roman" w:eastAsia="Times New Roman" w:hAnsi="Times New Roman" w:cs="Times New Roman"/>
                <w:b/>
                <w:bCs/>
                <w:sz w:val="18"/>
                <w:szCs w:val="18"/>
              </w:rPr>
              <w:t xml:space="preserve">$112.23 </w:t>
            </w:r>
          </w:p>
        </w:tc>
        <w:tc>
          <w:tcPr>
            <w:tcW w:w="0" w:type="dxa"/>
            <w:gridSpan w:val="2"/>
            <w:hideMark/>
          </w:tcPr>
          <w:p w14:paraId="5DE3B6DD" w14:textId="77777777" w:rsidR="00AB6F50" w:rsidRPr="000973F2" w:rsidRDefault="00AB6F50" w:rsidP="001D7159">
            <w:pPr>
              <w:spacing w:before="40" w:after="4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sz w:val="18"/>
                <w:szCs w:val="18"/>
              </w:rPr>
            </w:pPr>
            <w:r w:rsidRPr="000973F2">
              <w:rPr>
                <w:rFonts w:ascii="Times New Roman" w:eastAsia="Times New Roman" w:hAnsi="Times New Roman" w:cs="Times New Roman"/>
                <w:b/>
                <w:bCs/>
                <w:sz w:val="18"/>
                <w:szCs w:val="18"/>
              </w:rPr>
              <w:t xml:space="preserve">$141.54 </w:t>
            </w:r>
          </w:p>
        </w:tc>
        <w:tc>
          <w:tcPr>
            <w:tcW w:w="0" w:type="dxa"/>
            <w:gridSpan w:val="2"/>
            <w:noWrap/>
            <w:hideMark/>
          </w:tcPr>
          <w:p w14:paraId="03EB20C5" w14:textId="77777777" w:rsidR="00AB6F50" w:rsidRPr="000973F2" w:rsidRDefault="00AB6F50" w:rsidP="001D7159">
            <w:pPr>
              <w:spacing w:before="40" w:after="4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sz w:val="18"/>
                <w:szCs w:val="18"/>
              </w:rPr>
            </w:pPr>
            <w:r w:rsidRPr="000973F2">
              <w:rPr>
                <w:rFonts w:ascii="Times New Roman" w:eastAsia="Times New Roman" w:hAnsi="Times New Roman" w:cs="Times New Roman"/>
                <w:b/>
                <w:bCs/>
                <w:sz w:val="18"/>
                <w:szCs w:val="18"/>
              </w:rPr>
              <w:t xml:space="preserve">$105.68 </w:t>
            </w:r>
          </w:p>
        </w:tc>
        <w:tc>
          <w:tcPr>
            <w:tcW w:w="0" w:type="dxa"/>
            <w:gridSpan w:val="2"/>
            <w:hideMark/>
          </w:tcPr>
          <w:p w14:paraId="6E54C8EE" w14:textId="77777777" w:rsidR="00AB6F50" w:rsidRPr="000973F2" w:rsidRDefault="00AB6F50" w:rsidP="001D7159">
            <w:pPr>
              <w:spacing w:before="40" w:after="4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sz w:val="18"/>
                <w:szCs w:val="18"/>
              </w:rPr>
            </w:pPr>
            <w:r w:rsidRPr="000973F2">
              <w:rPr>
                <w:rFonts w:ascii="Times New Roman" w:eastAsia="Times New Roman" w:hAnsi="Times New Roman" w:cs="Times New Roman"/>
                <w:b/>
                <w:bCs/>
                <w:sz w:val="18"/>
                <w:szCs w:val="18"/>
              </w:rPr>
              <w:t xml:space="preserve">$91.06 </w:t>
            </w:r>
          </w:p>
        </w:tc>
        <w:tc>
          <w:tcPr>
            <w:tcW w:w="0" w:type="dxa"/>
            <w:gridSpan w:val="2"/>
            <w:noWrap/>
            <w:hideMark/>
          </w:tcPr>
          <w:p w14:paraId="45AD4879" w14:textId="77777777" w:rsidR="00AB6F50" w:rsidRPr="000973F2" w:rsidRDefault="00AB6F50" w:rsidP="001D7159">
            <w:pPr>
              <w:spacing w:before="40" w:after="4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sz w:val="18"/>
                <w:szCs w:val="18"/>
              </w:rPr>
            </w:pPr>
            <w:r w:rsidRPr="000973F2">
              <w:rPr>
                <w:rFonts w:ascii="Times New Roman" w:eastAsia="Times New Roman" w:hAnsi="Times New Roman" w:cs="Times New Roman"/>
                <w:b/>
                <w:bCs/>
                <w:sz w:val="18"/>
                <w:szCs w:val="18"/>
              </w:rPr>
              <w:t xml:space="preserve">$60.72 </w:t>
            </w:r>
          </w:p>
        </w:tc>
        <w:tc>
          <w:tcPr>
            <w:tcW w:w="0" w:type="dxa"/>
            <w:gridSpan w:val="2"/>
            <w:vMerge/>
            <w:hideMark/>
          </w:tcPr>
          <w:p w14:paraId="23C22718" w14:textId="77777777" w:rsidR="00AB6F50" w:rsidRPr="000973F2" w:rsidRDefault="00AB6F50" w:rsidP="001D7159">
            <w:pPr>
              <w:spacing w:before="40" w:after="4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sz w:val="18"/>
                <w:szCs w:val="18"/>
              </w:rPr>
            </w:pPr>
          </w:p>
        </w:tc>
      </w:tr>
      <w:tr w:rsidR="00816BF1" w:rsidRPr="000973F2" w14:paraId="5F2B66D0" w14:textId="77777777" w:rsidTr="00EA5D16">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0" w:type="dxa"/>
            <w:vMerge/>
            <w:hideMark/>
          </w:tcPr>
          <w:p w14:paraId="62FE773C" w14:textId="77777777" w:rsidR="00AB6F50" w:rsidRPr="000973F2" w:rsidRDefault="00AB6F50" w:rsidP="001D7159">
            <w:pPr>
              <w:spacing w:before="40" w:after="40"/>
              <w:rPr>
                <w:rFonts w:ascii="Times New Roman" w:eastAsia="Times New Roman" w:hAnsi="Times New Roman" w:cs="Times New Roman"/>
                <w:b/>
                <w:bCs w:val="0"/>
                <w:sz w:val="18"/>
                <w:szCs w:val="18"/>
              </w:rPr>
            </w:pPr>
          </w:p>
        </w:tc>
        <w:tc>
          <w:tcPr>
            <w:tcW w:w="0" w:type="dxa"/>
            <w:hideMark/>
          </w:tcPr>
          <w:p w14:paraId="57311781" w14:textId="77777777" w:rsidR="00AB6F50" w:rsidRPr="000973F2" w:rsidRDefault="00AB6F50" w:rsidP="001D7159">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18"/>
                <w:szCs w:val="18"/>
              </w:rPr>
            </w:pPr>
            <w:r w:rsidRPr="000973F2">
              <w:rPr>
                <w:rFonts w:ascii="Times New Roman" w:eastAsia="Times New Roman" w:hAnsi="Times New Roman" w:cs="Times New Roman"/>
                <w:b/>
                <w:bCs/>
                <w:sz w:val="18"/>
                <w:szCs w:val="18"/>
              </w:rPr>
              <w:t>Initial Year Hours</w:t>
            </w:r>
          </w:p>
        </w:tc>
        <w:tc>
          <w:tcPr>
            <w:tcW w:w="0" w:type="dxa"/>
            <w:hideMark/>
          </w:tcPr>
          <w:p w14:paraId="115FA07C" w14:textId="77777777" w:rsidR="00AB6F50" w:rsidRPr="000973F2" w:rsidRDefault="00AB6F50" w:rsidP="001D7159">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18"/>
                <w:szCs w:val="18"/>
              </w:rPr>
            </w:pPr>
            <w:r w:rsidRPr="000973F2">
              <w:rPr>
                <w:rFonts w:ascii="Times New Roman" w:eastAsia="Times New Roman" w:hAnsi="Times New Roman" w:cs="Times New Roman"/>
                <w:b/>
                <w:bCs/>
                <w:sz w:val="18"/>
                <w:szCs w:val="18"/>
              </w:rPr>
              <w:t>Subseq. Year Hours</w:t>
            </w:r>
          </w:p>
        </w:tc>
        <w:tc>
          <w:tcPr>
            <w:tcW w:w="0" w:type="dxa"/>
            <w:hideMark/>
          </w:tcPr>
          <w:p w14:paraId="1C9C68C0" w14:textId="77777777" w:rsidR="00AB6F50" w:rsidRPr="000973F2" w:rsidRDefault="00AB6F50" w:rsidP="001D7159">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18"/>
                <w:szCs w:val="18"/>
              </w:rPr>
            </w:pPr>
            <w:r w:rsidRPr="000973F2">
              <w:rPr>
                <w:rFonts w:ascii="Times New Roman" w:eastAsia="Times New Roman" w:hAnsi="Times New Roman" w:cs="Times New Roman"/>
                <w:b/>
                <w:bCs/>
                <w:sz w:val="18"/>
                <w:szCs w:val="18"/>
              </w:rPr>
              <w:t>Initial Year Hours</w:t>
            </w:r>
          </w:p>
        </w:tc>
        <w:tc>
          <w:tcPr>
            <w:tcW w:w="0" w:type="dxa"/>
            <w:hideMark/>
          </w:tcPr>
          <w:p w14:paraId="376B4DF7" w14:textId="77777777" w:rsidR="00AB6F50" w:rsidRPr="000973F2" w:rsidRDefault="00AB6F50" w:rsidP="001D7159">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18"/>
                <w:szCs w:val="18"/>
              </w:rPr>
            </w:pPr>
            <w:r w:rsidRPr="000973F2">
              <w:rPr>
                <w:rFonts w:ascii="Times New Roman" w:eastAsia="Times New Roman" w:hAnsi="Times New Roman" w:cs="Times New Roman"/>
                <w:b/>
                <w:bCs/>
                <w:sz w:val="18"/>
                <w:szCs w:val="18"/>
              </w:rPr>
              <w:t>Subseq. Year Hours</w:t>
            </w:r>
          </w:p>
        </w:tc>
        <w:tc>
          <w:tcPr>
            <w:tcW w:w="0" w:type="dxa"/>
            <w:hideMark/>
          </w:tcPr>
          <w:p w14:paraId="2A9AC9C2" w14:textId="77777777" w:rsidR="00AB6F50" w:rsidRPr="000973F2" w:rsidRDefault="00AB6F50" w:rsidP="001D7159">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18"/>
                <w:szCs w:val="18"/>
              </w:rPr>
            </w:pPr>
            <w:r w:rsidRPr="000973F2">
              <w:rPr>
                <w:rFonts w:ascii="Times New Roman" w:eastAsia="Times New Roman" w:hAnsi="Times New Roman" w:cs="Times New Roman"/>
                <w:b/>
                <w:bCs/>
                <w:sz w:val="18"/>
                <w:szCs w:val="18"/>
              </w:rPr>
              <w:t>Initial Year Hours</w:t>
            </w:r>
          </w:p>
        </w:tc>
        <w:tc>
          <w:tcPr>
            <w:tcW w:w="0" w:type="dxa"/>
            <w:hideMark/>
          </w:tcPr>
          <w:p w14:paraId="0F3AE6D4" w14:textId="77777777" w:rsidR="00AB6F50" w:rsidRPr="000973F2" w:rsidRDefault="00AB6F50" w:rsidP="001D7159">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18"/>
                <w:szCs w:val="18"/>
              </w:rPr>
            </w:pPr>
            <w:r w:rsidRPr="000973F2">
              <w:rPr>
                <w:rFonts w:ascii="Times New Roman" w:eastAsia="Times New Roman" w:hAnsi="Times New Roman" w:cs="Times New Roman"/>
                <w:b/>
                <w:bCs/>
                <w:sz w:val="18"/>
                <w:szCs w:val="18"/>
              </w:rPr>
              <w:t>Subseq. Year Hours</w:t>
            </w:r>
          </w:p>
        </w:tc>
        <w:tc>
          <w:tcPr>
            <w:tcW w:w="0" w:type="dxa"/>
            <w:hideMark/>
          </w:tcPr>
          <w:p w14:paraId="61B61434" w14:textId="77777777" w:rsidR="00AB6F50" w:rsidRPr="000973F2" w:rsidRDefault="00AB6F50" w:rsidP="001D7159">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18"/>
                <w:szCs w:val="18"/>
              </w:rPr>
            </w:pPr>
            <w:r w:rsidRPr="000973F2">
              <w:rPr>
                <w:rFonts w:ascii="Times New Roman" w:eastAsia="Times New Roman" w:hAnsi="Times New Roman" w:cs="Times New Roman"/>
                <w:b/>
                <w:bCs/>
                <w:sz w:val="18"/>
                <w:szCs w:val="18"/>
              </w:rPr>
              <w:t>Initial Year Hours</w:t>
            </w:r>
          </w:p>
        </w:tc>
        <w:tc>
          <w:tcPr>
            <w:tcW w:w="0" w:type="dxa"/>
            <w:hideMark/>
          </w:tcPr>
          <w:p w14:paraId="2131E9C8" w14:textId="77777777" w:rsidR="00AB6F50" w:rsidRPr="000973F2" w:rsidRDefault="00AB6F50" w:rsidP="001D7159">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18"/>
                <w:szCs w:val="18"/>
              </w:rPr>
            </w:pPr>
            <w:r w:rsidRPr="000973F2">
              <w:rPr>
                <w:rFonts w:ascii="Times New Roman" w:eastAsia="Times New Roman" w:hAnsi="Times New Roman" w:cs="Times New Roman"/>
                <w:b/>
                <w:bCs/>
                <w:sz w:val="18"/>
                <w:szCs w:val="18"/>
              </w:rPr>
              <w:t>Subseq. Year Hours</w:t>
            </w:r>
          </w:p>
        </w:tc>
        <w:tc>
          <w:tcPr>
            <w:tcW w:w="0" w:type="dxa"/>
            <w:hideMark/>
          </w:tcPr>
          <w:p w14:paraId="12E25DCC" w14:textId="77777777" w:rsidR="00AB6F50" w:rsidRPr="000973F2" w:rsidRDefault="00AB6F50" w:rsidP="001D7159">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18"/>
                <w:szCs w:val="18"/>
              </w:rPr>
            </w:pPr>
            <w:r w:rsidRPr="000973F2">
              <w:rPr>
                <w:rFonts w:ascii="Times New Roman" w:eastAsia="Times New Roman" w:hAnsi="Times New Roman" w:cs="Times New Roman"/>
                <w:b/>
                <w:bCs/>
                <w:sz w:val="18"/>
                <w:szCs w:val="18"/>
              </w:rPr>
              <w:t>Initial Year Hours</w:t>
            </w:r>
          </w:p>
        </w:tc>
        <w:tc>
          <w:tcPr>
            <w:tcW w:w="0" w:type="dxa"/>
            <w:hideMark/>
          </w:tcPr>
          <w:p w14:paraId="1135212C" w14:textId="77777777" w:rsidR="00AB6F50" w:rsidRPr="000973F2" w:rsidRDefault="00AB6F50" w:rsidP="001D7159">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18"/>
                <w:szCs w:val="18"/>
              </w:rPr>
            </w:pPr>
            <w:r w:rsidRPr="000973F2">
              <w:rPr>
                <w:rFonts w:ascii="Times New Roman" w:eastAsia="Times New Roman" w:hAnsi="Times New Roman" w:cs="Times New Roman"/>
                <w:b/>
                <w:bCs/>
                <w:sz w:val="18"/>
                <w:szCs w:val="18"/>
              </w:rPr>
              <w:t>Subseq. Year Hours</w:t>
            </w:r>
          </w:p>
        </w:tc>
        <w:tc>
          <w:tcPr>
            <w:tcW w:w="0" w:type="dxa"/>
            <w:hideMark/>
          </w:tcPr>
          <w:p w14:paraId="3E464217" w14:textId="77777777" w:rsidR="00AB6F50" w:rsidRPr="000973F2" w:rsidRDefault="00AB6F50" w:rsidP="001D7159">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18"/>
                <w:szCs w:val="18"/>
              </w:rPr>
            </w:pPr>
            <w:r w:rsidRPr="000973F2">
              <w:rPr>
                <w:rFonts w:ascii="Times New Roman" w:eastAsia="Times New Roman" w:hAnsi="Times New Roman" w:cs="Times New Roman"/>
                <w:b/>
                <w:bCs/>
                <w:sz w:val="18"/>
                <w:szCs w:val="18"/>
              </w:rPr>
              <w:t>Initial Year</w:t>
            </w:r>
          </w:p>
        </w:tc>
        <w:tc>
          <w:tcPr>
            <w:tcW w:w="0" w:type="dxa"/>
            <w:hideMark/>
          </w:tcPr>
          <w:p w14:paraId="28625389" w14:textId="77777777" w:rsidR="00AB6F50" w:rsidRPr="000973F2" w:rsidRDefault="00AB6F50" w:rsidP="001D7159">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18"/>
                <w:szCs w:val="18"/>
              </w:rPr>
            </w:pPr>
            <w:r w:rsidRPr="000973F2">
              <w:rPr>
                <w:rFonts w:ascii="Times New Roman" w:eastAsia="Times New Roman" w:hAnsi="Times New Roman" w:cs="Times New Roman"/>
                <w:b/>
                <w:bCs/>
                <w:sz w:val="18"/>
                <w:szCs w:val="18"/>
              </w:rPr>
              <w:t>Subseq. Year</w:t>
            </w:r>
          </w:p>
        </w:tc>
      </w:tr>
      <w:tr w:rsidR="00444F50" w:rsidRPr="000973F2" w14:paraId="3929E0DE" w14:textId="77777777" w:rsidTr="00EA5D16">
        <w:trPr>
          <w:cantSplit/>
        </w:trPr>
        <w:tc>
          <w:tcPr>
            <w:cnfStyle w:val="001000000000" w:firstRow="0" w:lastRow="0" w:firstColumn="1" w:lastColumn="0" w:oddVBand="0" w:evenVBand="0" w:oddHBand="0" w:evenHBand="0" w:firstRowFirstColumn="0" w:firstRowLastColumn="0" w:lastRowFirstColumn="0" w:lastRowLastColumn="0"/>
            <w:tcW w:w="0" w:type="dxa"/>
            <w:tcMar>
              <w:left w:w="58" w:type="dxa"/>
            </w:tcMar>
            <w:hideMark/>
          </w:tcPr>
          <w:p w14:paraId="1F1434AC" w14:textId="77777777" w:rsidR="00AB6F50" w:rsidRPr="000973F2" w:rsidRDefault="00AB6F50" w:rsidP="001D7159">
            <w:pPr>
              <w:spacing w:before="40" w:after="4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Planning</w:t>
            </w:r>
          </w:p>
        </w:tc>
        <w:tc>
          <w:tcPr>
            <w:tcW w:w="0" w:type="dxa"/>
            <w:noWrap/>
            <w:hideMark/>
          </w:tcPr>
          <w:p w14:paraId="65356EAB" w14:textId="77777777" w:rsidR="00AB6F50" w:rsidRPr="000973F2" w:rsidRDefault="00AB6F50" w:rsidP="001D7159">
            <w:pPr>
              <w:spacing w:before="40" w:after="4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0.0</w:t>
            </w:r>
          </w:p>
        </w:tc>
        <w:tc>
          <w:tcPr>
            <w:tcW w:w="0" w:type="dxa"/>
            <w:noWrap/>
            <w:hideMark/>
          </w:tcPr>
          <w:p w14:paraId="4DE37B33" w14:textId="77777777" w:rsidR="00AB6F50" w:rsidRPr="000973F2" w:rsidRDefault="00AB6F50" w:rsidP="001D7159">
            <w:pPr>
              <w:spacing w:before="40" w:after="4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2.0</w:t>
            </w:r>
          </w:p>
        </w:tc>
        <w:tc>
          <w:tcPr>
            <w:tcW w:w="0" w:type="dxa"/>
            <w:noWrap/>
            <w:hideMark/>
          </w:tcPr>
          <w:p w14:paraId="2AFA2EA4" w14:textId="77777777" w:rsidR="00AB6F50" w:rsidRPr="000973F2" w:rsidRDefault="00AB6F50" w:rsidP="001D7159">
            <w:pPr>
              <w:spacing w:before="40" w:after="4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0.0</w:t>
            </w:r>
          </w:p>
        </w:tc>
        <w:tc>
          <w:tcPr>
            <w:tcW w:w="0" w:type="dxa"/>
            <w:noWrap/>
            <w:hideMark/>
          </w:tcPr>
          <w:p w14:paraId="5ADC1E9F" w14:textId="77777777" w:rsidR="00AB6F50" w:rsidRPr="000973F2" w:rsidRDefault="00AB6F50" w:rsidP="001D7159">
            <w:pPr>
              <w:spacing w:before="40" w:after="4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0.5</w:t>
            </w:r>
          </w:p>
        </w:tc>
        <w:tc>
          <w:tcPr>
            <w:tcW w:w="0" w:type="dxa"/>
            <w:noWrap/>
            <w:hideMark/>
          </w:tcPr>
          <w:p w14:paraId="498F99D2" w14:textId="77777777" w:rsidR="00AB6F50" w:rsidRPr="000973F2" w:rsidRDefault="00AB6F50" w:rsidP="001D7159">
            <w:pPr>
              <w:spacing w:before="40" w:after="4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0.0</w:t>
            </w:r>
          </w:p>
        </w:tc>
        <w:tc>
          <w:tcPr>
            <w:tcW w:w="0" w:type="dxa"/>
            <w:noWrap/>
            <w:hideMark/>
          </w:tcPr>
          <w:p w14:paraId="250CE1E3" w14:textId="77777777" w:rsidR="00AB6F50" w:rsidRPr="000973F2" w:rsidRDefault="00AB6F50" w:rsidP="001D7159">
            <w:pPr>
              <w:spacing w:before="40" w:after="4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1.0</w:t>
            </w:r>
          </w:p>
        </w:tc>
        <w:tc>
          <w:tcPr>
            <w:tcW w:w="0" w:type="dxa"/>
            <w:noWrap/>
            <w:hideMark/>
          </w:tcPr>
          <w:p w14:paraId="7A4277B6" w14:textId="77777777" w:rsidR="00AB6F50" w:rsidRPr="000973F2" w:rsidRDefault="00AB6F50" w:rsidP="001D7159">
            <w:pPr>
              <w:spacing w:before="40" w:after="4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0.0</w:t>
            </w:r>
          </w:p>
        </w:tc>
        <w:tc>
          <w:tcPr>
            <w:tcW w:w="0" w:type="dxa"/>
            <w:noWrap/>
            <w:hideMark/>
          </w:tcPr>
          <w:p w14:paraId="62F76E70" w14:textId="77777777" w:rsidR="00AB6F50" w:rsidRPr="000973F2" w:rsidRDefault="00AB6F50" w:rsidP="001D7159">
            <w:pPr>
              <w:tabs>
                <w:tab w:val="decimal" w:pos="271"/>
              </w:tabs>
              <w:spacing w:before="40" w:after="4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10.0</w:t>
            </w:r>
          </w:p>
        </w:tc>
        <w:tc>
          <w:tcPr>
            <w:tcW w:w="0" w:type="dxa"/>
            <w:noWrap/>
            <w:hideMark/>
          </w:tcPr>
          <w:p w14:paraId="49549920" w14:textId="77777777" w:rsidR="00AB6F50" w:rsidRPr="000973F2" w:rsidRDefault="00AB6F50" w:rsidP="001D7159">
            <w:pPr>
              <w:spacing w:before="40" w:after="4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0.0</w:t>
            </w:r>
          </w:p>
        </w:tc>
        <w:tc>
          <w:tcPr>
            <w:tcW w:w="0" w:type="dxa"/>
            <w:noWrap/>
            <w:hideMark/>
          </w:tcPr>
          <w:p w14:paraId="4D8343AE" w14:textId="77777777" w:rsidR="00AB6F50" w:rsidRPr="000973F2" w:rsidRDefault="00AB6F50" w:rsidP="001D7159">
            <w:pPr>
              <w:spacing w:before="40" w:after="4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0.0</w:t>
            </w:r>
          </w:p>
        </w:tc>
        <w:tc>
          <w:tcPr>
            <w:tcW w:w="0" w:type="dxa"/>
            <w:noWrap/>
            <w:hideMark/>
          </w:tcPr>
          <w:p w14:paraId="3FC848FF" w14:textId="4494A805" w:rsidR="00AB6F50" w:rsidRPr="000973F2" w:rsidRDefault="00AB6F50" w:rsidP="001D7159">
            <w:pPr>
              <w:spacing w:before="40" w:after="4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$0</w:t>
            </w:r>
          </w:p>
        </w:tc>
        <w:tc>
          <w:tcPr>
            <w:tcW w:w="0" w:type="dxa"/>
            <w:noWrap/>
            <w:hideMark/>
          </w:tcPr>
          <w:p w14:paraId="01A52FDD" w14:textId="77777777" w:rsidR="00AB6F50" w:rsidRPr="000973F2" w:rsidRDefault="00AB6F50" w:rsidP="001D7159">
            <w:pPr>
              <w:tabs>
                <w:tab w:val="decimal" w:pos="526"/>
              </w:tabs>
              <w:spacing w:before="40" w:after="4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 xml:space="preserve">$1,312 </w:t>
            </w:r>
          </w:p>
        </w:tc>
      </w:tr>
      <w:tr w:rsidR="00AD5834" w:rsidRPr="000973F2" w14:paraId="3AA287ED" w14:textId="77777777" w:rsidTr="00EA5D16">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0" w:type="dxa"/>
            <w:tcMar>
              <w:left w:w="58" w:type="dxa"/>
            </w:tcMar>
            <w:hideMark/>
          </w:tcPr>
          <w:p w14:paraId="16A4653E" w14:textId="77777777" w:rsidR="00AB6F50" w:rsidRPr="000973F2" w:rsidRDefault="00AB6F50" w:rsidP="001D7159">
            <w:pPr>
              <w:spacing w:before="40" w:after="4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QA/QC</w:t>
            </w:r>
          </w:p>
        </w:tc>
        <w:tc>
          <w:tcPr>
            <w:tcW w:w="0" w:type="dxa"/>
            <w:noWrap/>
            <w:hideMark/>
          </w:tcPr>
          <w:p w14:paraId="3BCCAA21" w14:textId="77777777" w:rsidR="00AB6F50" w:rsidRPr="000973F2" w:rsidRDefault="00AB6F50" w:rsidP="001D7159">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0.0</w:t>
            </w:r>
          </w:p>
        </w:tc>
        <w:tc>
          <w:tcPr>
            <w:tcW w:w="0" w:type="dxa"/>
            <w:noWrap/>
            <w:hideMark/>
          </w:tcPr>
          <w:p w14:paraId="35A78D14" w14:textId="77777777" w:rsidR="00AB6F50" w:rsidRPr="000973F2" w:rsidRDefault="00AB6F50" w:rsidP="001D7159">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0.0</w:t>
            </w:r>
          </w:p>
        </w:tc>
        <w:tc>
          <w:tcPr>
            <w:tcW w:w="0" w:type="dxa"/>
            <w:noWrap/>
            <w:hideMark/>
          </w:tcPr>
          <w:p w14:paraId="77DC10FA" w14:textId="77777777" w:rsidR="00AB6F50" w:rsidRPr="000973F2" w:rsidRDefault="00AB6F50" w:rsidP="001D7159">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0.0</w:t>
            </w:r>
          </w:p>
        </w:tc>
        <w:tc>
          <w:tcPr>
            <w:tcW w:w="0" w:type="dxa"/>
            <w:noWrap/>
            <w:hideMark/>
          </w:tcPr>
          <w:p w14:paraId="5084496B" w14:textId="77777777" w:rsidR="00AB6F50" w:rsidRPr="000973F2" w:rsidRDefault="00AB6F50" w:rsidP="001D7159">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0.5</w:t>
            </w:r>
          </w:p>
        </w:tc>
        <w:tc>
          <w:tcPr>
            <w:tcW w:w="0" w:type="dxa"/>
            <w:noWrap/>
            <w:hideMark/>
          </w:tcPr>
          <w:p w14:paraId="7E017EC9" w14:textId="77777777" w:rsidR="00AB6F50" w:rsidRPr="000973F2" w:rsidRDefault="00AB6F50" w:rsidP="001D7159">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0.0</w:t>
            </w:r>
          </w:p>
        </w:tc>
        <w:tc>
          <w:tcPr>
            <w:tcW w:w="0" w:type="dxa"/>
            <w:noWrap/>
            <w:hideMark/>
          </w:tcPr>
          <w:p w14:paraId="1A69DAF6" w14:textId="77777777" w:rsidR="00AB6F50" w:rsidRPr="000973F2" w:rsidRDefault="00AB6F50" w:rsidP="001D7159">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0.9</w:t>
            </w:r>
          </w:p>
        </w:tc>
        <w:tc>
          <w:tcPr>
            <w:tcW w:w="0" w:type="dxa"/>
            <w:noWrap/>
            <w:hideMark/>
          </w:tcPr>
          <w:p w14:paraId="6A01BF3E" w14:textId="77777777" w:rsidR="00AB6F50" w:rsidRPr="000973F2" w:rsidRDefault="00AB6F50" w:rsidP="001D7159">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0.0</w:t>
            </w:r>
          </w:p>
        </w:tc>
        <w:tc>
          <w:tcPr>
            <w:tcW w:w="0" w:type="dxa"/>
            <w:noWrap/>
            <w:hideMark/>
          </w:tcPr>
          <w:p w14:paraId="6012B059" w14:textId="77777777" w:rsidR="00AB6F50" w:rsidRPr="000973F2" w:rsidRDefault="00AB6F50" w:rsidP="001D7159">
            <w:pPr>
              <w:tabs>
                <w:tab w:val="decimal" w:pos="271"/>
              </w:tabs>
              <w:spacing w:before="40" w:after="4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0.0</w:t>
            </w:r>
          </w:p>
        </w:tc>
        <w:tc>
          <w:tcPr>
            <w:tcW w:w="0" w:type="dxa"/>
            <w:noWrap/>
            <w:hideMark/>
          </w:tcPr>
          <w:p w14:paraId="480425B7" w14:textId="77777777" w:rsidR="00AB6F50" w:rsidRPr="000973F2" w:rsidRDefault="00AB6F50" w:rsidP="001D7159">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0.0</w:t>
            </w:r>
          </w:p>
        </w:tc>
        <w:tc>
          <w:tcPr>
            <w:tcW w:w="0" w:type="dxa"/>
            <w:noWrap/>
            <w:hideMark/>
          </w:tcPr>
          <w:p w14:paraId="6227C016" w14:textId="77777777" w:rsidR="00AB6F50" w:rsidRPr="000973F2" w:rsidRDefault="00AB6F50" w:rsidP="001D7159">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0.0</w:t>
            </w:r>
          </w:p>
        </w:tc>
        <w:tc>
          <w:tcPr>
            <w:tcW w:w="0" w:type="dxa"/>
            <w:noWrap/>
            <w:hideMark/>
          </w:tcPr>
          <w:p w14:paraId="2A00E755" w14:textId="15FE96B8" w:rsidR="00AB6F50" w:rsidRPr="000973F2" w:rsidRDefault="00AB6F50" w:rsidP="001D7159">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$0</w:t>
            </w:r>
          </w:p>
        </w:tc>
        <w:tc>
          <w:tcPr>
            <w:tcW w:w="0" w:type="dxa"/>
            <w:noWrap/>
            <w:hideMark/>
          </w:tcPr>
          <w:p w14:paraId="7FB76B76" w14:textId="77777777" w:rsidR="00AB6F50" w:rsidRPr="000973F2" w:rsidRDefault="00AB6F50" w:rsidP="001D7159">
            <w:pPr>
              <w:tabs>
                <w:tab w:val="decimal" w:pos="526"/>
              </w:tabs>
              <w:spacing w:before="40" w:after="4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 xml:space="preserve">$162 </w:t>
            </w:r>
          </w:p>
        </w:tc>
      </w:tr>
      <w:tr w:rsidR="000B4C60" w:rsidRPr="000973F2" w14:paraId="13E6BCA9" w14:textId="77777777" w:rsidTr="00EA5D16">
        <w:trPr>
          <w:cantSplit/>
        </w:trPr>
        <w:tc>
          <w:tcPr>
            <w:cnfStyle w:val="001000000000" w:firstRow="0" w:lastRow="0" w:firstColumn="1" w:lastColumn="0" w:oddVBand="0" w:evenVBand="0" w:oddHBand="0" w:evenHBand="0" w:firstRowFirstColumn="0" w:firstRowLastColumn="0" w:lastRowFirstColumn="0" w:lastRowLastColumn="0"/>
            <w:tcW w:w="0" w:type="dxa"/>
            <w:tcMar>
              <w:left w:w="58" w:type="dxa"/>
            </w:tcMar>
            <w:hideMark/>
          </w:tcPr>
          <w:p w14:paraId="084564E5" w14:textId="77777777" w:rsidR="00AB6F50" w:rsidRPr="000973F2" w:rsidRDefault="00AB6F50" w:rsidP="001D7159">
            <w:pPr>
              <w:spacing w:before="40" w:after="4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Recordkeeping</w:t>
            </w:r>
          </w:p>
        </w:tc>
        <w:tc>
          <w:tcPr>
            <w:tcW w:w="0" w:type="dxa"/>
            <w:noWrap/>
            <w:hideMark/>
          </w:tcPr>
          <w:p w14:paraId="693C57D7" w14:textId="77777777" w:rsidR="00AB6F50" w:rsidRPr="000973F2" w:rsidRDefault="00AB6F50" w:rsidP="001D7159">
            <w:pPr>
              <w:spacing w:before="40" w:after="4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0.0</w:t>
            </w:r>
          </w:p>
        </w:tc>
        <w:tc>
          <w:tcPr>
            <w:tcW w:w="0" w:type="dxa"/>
            <w:noWrap/>
            <w:hideMark/>
          </w:tcPr>
          <w:p w14:paraId="4B02CB37" w14:textId="77777777" w:rsidR="00AB6F50" w:rsidRPr="000973F2" w:rsidRDefault="00AB6F50" w:rsidP="001D7159">
            <w:pPr>
              <w:spacing w:before="40" w:after="4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0.0</w:t>
            </w:r>
          </w:p>
        </w:tc>
        <w:tc>
          <w:tcPr>
            <w:tcW w:w="0" w:type="dxa"/>
            <w:noWrap/>
            <w:hideMark/>
          </w:tcPr>
          <w:p w14:paraId="453ADD57" w14:textId="77777777" w:rsidR="00AB6F50" w:rsidRPr="000973F2" w:rsidRDefault="00AB6F50" w:rsidP="001D7159">
            <w:pPr>
              <w:spacing w:before="40" w:after="4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0.0</w:t>
            </w:r>
          </w:p>
        </w:tc>
        <w:tc>
          <w:tcPr>
            <w:tcW w:w="0" w:type="dxa"/>
            <w:noWrap/>
            <w:hideMark/>
          </w:tcPr>
          <w:p w14:paraId="7E4A1CB5" w14:textId="77777777" w:rsidR="00AB6F50" w:rsidRPr="000973F2" w:rsidRDefault="00AB6F50" w:rsidP="001D7159">
            <w:pPr>
              <w:spacing w:before="40" w:after="4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0.0</w:t>
            </w:r>
          </w:p>
        </w:tc>
        <w:tc>
          <w:tcPr>
            <w:tcW w:w="0" w:type="dxa"/>
            <w:noWrap/>
            <w:hideMark/>
          </w:tcPr>
          <w:p w14:paraId="7C3C3E3E" w14:textId="77777777" w:rsidR="00AB6F50" w:rsidRPr="000973F2" w:rsidRDefault="00AB6F50" w:rsidP="001D7159">
            <w:pPr>
              <w:spacing w:before="40" w:after="4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0.0</w:t>
            </w:r>
          </w:p>
        </w:tc>
        <w:tc>
          <w:tcPr>
            <w:tcW w:w="0" w:type="dxa"/>
            <w:noWrap/>
            <w:hideMark/>
          </w:tcPr>
          <w:p w14:paraId="2E2CBF58" w14:textId="77777777" w:rsidR="00AB6F50" w:rsidRPr="000973F2" w:rsidRDefault="00AB6F50" w:rsidP="001D7159">
            <w:pPr>
              <w:spacing w:before="40" w:after="4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1.0</w:t>
            </w:r>
          </w:p>
        </w:tc>
        <w:tc>
          <w:tcPr>
            <w:tcW w:w="0" w:type="dxa"/>
            <w:noWrap/>
            <w:hideMark/>
          </w:tcPr>
          <w:p w14:paraId="05B55F53" w14:textId="77777777" w:rsidR="00AB6F50" w:rsidRPr="000973F2" w:rsidRDefault="00AB6F50" w:rsidP="001D7159">
            <w:pPr>
              <w:spacing w:before="40" w:after="4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0.0</w:t>
            </w:r>
          </w:p>
        </w:tc>
        <w:tc>
          <w:tcPr>
            <w:tcW w:w="0" w:type="dxa"/>
            <w:noWrap/>
            <w:hideMark/>
          </w:tcPr>
          <w:p w14:paraId="1A16AA27" w14:textId="77777777" w:rsidR="00AB6F50" w:rsidRPr="000973F2" w:rsidRDefault="00AB6F50" w:rsidP="001D7159">
            <w:pPr>
              <w:tabs>
                <w:tab w:val="decimal" w:pos="271"/>
              </w:tabs>
              <w:spacing w:before="40" w:after="4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13.0</w:t>
            </w:r>
          </w:p>
        </w:tc>
        <w:tc>
          <w:tcPr>
            <w:tcW w:w="0" w:type="dxa"/>
            <w:noWrap/>
            <w:hideMark/>
          </w:tcPr>
          <w:p w14:paraId="728A5A14" w14:textId="77777777" w:rsidR="00AB6F50" w:rsidRPr="000973F2" w:rsidRDefault="00AB6F50" w:rsidP="001D7159">
            <w:pPr>
              <w:spacing w:before="40" w:after="4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0.0</w:t>
            </w:r>
          </w:p>
        </w:tc>
        <w:tc>
          <w:tcPr>
            <w:tcW w:w="0" w:type="dxa"/>
            <w:noWrap/>
            <w:hideMark/>
          </w:tcPr>
          <w:p w14:paraId="40AEAF25" w14:textId="77777777" w:rsidR="00AB6F50" w:rsidRPr="000973F2" w:rsidRDefault="00AB6F50" w:rsidP="001D7159">
            <w:pPr>
              <w:spacing w:before="40" w:after="4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1.0</w:t>
            </w:r>
          </w:p>
        </w:tc>
        <w:tc>
          <w:tcPr>
            <w:tcW w:w="0" w:type="dxa"/>
            <w:noWrap/>
            <w:hideMark/>
          </w:tcPr>
          <w:p w14:paraId="0881FE47" w14:textId="62E8CE95" w:rsidR="00AB6F50" w:rsidRPr="000973F2" w:rsidRDefault="00AB6F50" w:rsidP="001D7159">
            <w:pPr>
              <w:spacing w:before="40" w:after="4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$0</w:t>
            </w:r>
          </w:p>
        </w:tc>
        <w:tc>
          <w:tcPr>
            <w:tcW w:w="0" w:type="dxa"/>
            <w:noWrap/>
            <w:hideMark/>
          </w:tcPr>
          <w:p w14:paraId="7E04A97B" w14:textId="77777777" w:rsidR="00AB6F50" w:rsidRPr="000973F2" w:rsidRDefault="00AB6F50" w:rsidP="001D7159">
            <w:pPr>
              <w:tabs>
                <w:tab w:val="decimal" w:pos="526"/>
              </w:tabs>
              <w:spacing w:before="40" w:after="4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 xml:space="preserve">$1,350 </w:t>
            </w:r>
          </w:p>
        </w:tc>
      </w:tr>
      <w:tr w:rsidR="00AD5834" w:rsidRPr="000973F2" w14:paraId="2492D9BD" w14:textId="77777777" w:rsidTr="00EA5D16">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0" w:type="dxa"/>
            <w:tcMar>
              <w:left w:w="58" w:type="dxa"/>
            </w:tcMar>
            <w:hideMark/>
          </w:tcPr>
          <w:p w14:paraId="15E0654E" w14:textId="77777777" w:rsidR="00AB6F50" w:rsidRPr="000973F2" w:rsidRDefault="00AB6F50" w:rsidP="001D7159">
            <w:pPr>
              <w:spacing w:before="40" w:after="4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Sampling and Analysis (Calculations)</w:t>
            </w:r>
          </w:p>
        </w:tc>
        <w:tc>
          <w:tcPr>
            <w:tcW w:w="0" w:type="dxa"/>
            <w:noWrap/>
            <w:hideMark/>
          </w:tcPr>
          <w:p w14:paraId="5C9B26DE" w14:textId="77777777" w:rsidR="00AB6F50" w:rsidRPr="000973F2" w:rsidRDefault="00AB6F50" w:rsidP="001D7159">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0.0</w:t>
            </w:r>
          </w:p>
        </w:tc>
        <w:tc>
          <w:tcPr>
            <w:tcW w:w="0" w:type="dxa"/>
            <w:noWrap/>
            <w:hideMark/>
          </w:tcPr>
          <w:p w14:paraId="472F0211" w14:textId="77777777" w:rsidR="00AB6F50" w:rsidRPr="000973F2" w:rsidRDefault="00AB6F50" w:rsidP="001D7159">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0.0</w:t>
            </w:r>
          </w:p>
        </w:tc>
        <w:tc>
          <w:tcPr>
            <w:tcW w:w="0" w:type="dxa"/>
            <w:noWrap/>
            <w:hideMark/>
          </w:tcPr>
          <w:p w14:paraId="716F23D5" w14:textId="77777777" w:rsidR="00AB6F50" w:rsidRPr="000973F2" w:rsidRDefault="00AB6F50" w:rsidP="001D7159">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0.0</w:t>
            </w:r>
          </w:p>
        </w:tc>
        <w:tc>
          <w:tcPr>
            <w:tcW w:w="0" w:type="dxa"/>
            <w:noWrap/>
            <w:hideMark/>
          </w:tcPr>
          <w:p w14:paraId="4FBEA487" w14:textId="77777777" w:rsidR="00AB6F50" w:rsidRPr="000973F2" w:rsidRDefault="00AB6F50" w:rsidP="001D7159">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0.0</w:t>
            </w:r>
          </w:p>
        </w:tc>
        <w:tc>
          <w:tcPr>
            <w:tcW w:w="0" w:type="dxa"/>
            <w:noWrap/>
            <w:hideMark/>
          </w:tcPr>
          <w:p w14:paraId="5FBABC83" w14:textId="77777777" w:rsidR="00AB6F50" w:rsidRPr="000973F2" w:rsidRDefault="00AB6F50" w:rsidP="001D7159">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0.0</w:t>
            </w:r>
          </w:p>
        </w:tc>
        <w:tc>
          <w:tcPr>
            <w:tcW w:w="0" w:type="dxa"/>
            <w:noWrap/>
            <w:hideMark/>
          </w:tcPr>
          <w:p w14:paraId="19DED5E5" w14:textId="77777777" w:rsidR="00AB6F50" w:rsidRPr="000973F2" w:rsidRDefault="00AB6F50" w:rsidP="001D7159">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0.0</w:t>
            </w:r>
          </w:p>
        </w:tc>
        <w:tc>
          <w:tcPr>
            <w:tcW w:w="0" w:type="dxa"/>
            <w:noWrap/>
            <w:hideMark/>
          </w:tcPr>
          <w:p w14:paraId="14C05FAD" w14:textId="77777777" w:rsidR="00AB6F50" w:rsidRPr="000973F2" w:rsidRDefault="00AB6F50" w:rsidP="001D7159">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0.0</w:t>
            </w:r>
          </w:p>
        </w:tc>
        <w:tc>
          <w:tcPr>
            <w:tcW w:w="0" w:type="dxa"/>
            <w:noWrap/>
            <w:hideMark/>
          </w:tcPr>
          <w:p w14:paraId="33232D24" w14:textId="77777777" w:rsidR="00AB6F50" w:rsidRPr="000973F2" w:rsidRDefault="00AB6F50" w:rsidP="001D7159">
            <w:pPr>
              <w:tabs>
                <w:tab w:val="decimal" w:pos="271"/>
              </w:tabs>
              <w:spacing w:before="40" w:after="4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9.2</w:t>
            </w:r>
          </w:p>
        </w:tc>
        <w:tc>
          <w:tcPr>
            <w:tcW w:w="0" w:type="dxa"/>
            <w:noWrap/>
            <w:hideMark/>
          </w:tcPr>
          <w:p w14:paraId="678787E1" w14:textId="77777777" w:rsidR="00AB6F50" w:rsidRPr="000973F2" w:rsidRDefault="00AB6F50" w:rsidP="001D7159">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0.0</w:t>
            </w:r>
          </w:p>
        </w:tc>
        <w:tc>
          <w:tcPr>
            <w:tcW w:w="0" w:type="dxa"/>
            <w:noWrap/>
            <w:hideMark/>
          </w:tcPr>
          <w:p w14:paraId="5574BFB8" w14:textId="77777777" w:rsidR="00AB6F50" w:rsidRPr="000973F2" w:rsidRDefault="00AB6F50" w:rsidP="001D7159">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0.1</w:t>
            </w:r>
          </w:p>
        </w:tc>
        <w:tc>
          <w:tcPr>
            <w:tcW w:w="0" w:type="dxa"/>
            <w:noWrap/>
            <w:hideMark/>
          </w:tcPr>
          <w:p w14:paraId="7AEBCEC8" w14:textId="184A1DBF" w:rsidR="00AB6F50" w:rsidRPr="000973F2" w:rsidRDefault="00AB6F50" w:rsidP="001D7159">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$0</w:t>
            </w:r>
          </w:p>
        </w:tc>
        <w:tc>
          <w:tcPr>
            <w:tcW w:w="0" w:type="dxa"/>
            <w:noWrap/>
            <w:hideMark/>
          </w:tcPr>
          <w:p w14:paraId="4368BFCC" w14:textId="77777777" w:rsidR="00AB6F50" w:rsidRPr="000973F2" w:rsidRDefault="00AB6F50" w:rsidP="001D7159">
            <w:pPr>
              <w:tabs>
                <w:tab w:val="decimal" w:pos="526"/>
              </w:tabs>
              <w:spacing w:before="40" w:after="4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 xml:space="preserve">$844 </w:t>
            </w:r>
          </w:p>
        </w:tc>
      </w:tr>
      <w:tr w:rsidR="000B4C60" w:rsidRPr="000973F2" w14:paraId="0ACC8A49" w14:textId="77777777" w:rsidTr="00EA5D16">
        <w:trPr>
          <w:cantSplit/>
        </w:trPr>
        <w:tc>
          <w:tcPr>
            <w:cnfStyle w:val="001000000000" w:firstRow="0" w:lastRow="0" w:firstColumn="1" w:lastColumn="0" w:oddVBand="0" w:evenVBand="0" w:oddHBand="0" w:evenHBand="0" w:firstRowFirstColumn="0" w:firstRowLastColumn="0" w:lastRowFirstColumn="0" w:lastRowLastColumn="0"/>
            <w:tcW w:w="0" w:type="dxa"/>
            <w:tcMar>
              <w:left w:w="58" w:type="dxa"/>
            </w:tcMar>
            <w:hideMark/>
          </w:tcPr>
          <w:p w14:paraId="30B7FF54" w14:textId="77777777" w:rsidR="00AB6F50" w:rsidRPr="000973F2" w:rsidRDefault="00AB6F50" w:rsidP="001D7159">
            <w:pPr>
              <w:spacing w:before="40" w:after="4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Reporting</w:t>
            </w:r>
          </w:p>
        </w:tc>
        <w:tc>
          <w:tcPr>
            <w:tcW w:w="0" w:type="dxa"/>
            <w:noWrap/>
            <w:hideMark/>
          </w:tcPr>
          <w:p w14:paraId="1DCB00ED" w14:textId="77777777" w:rsidR="00AB6F50" w:rsidRPr="000973F2" w:rsidRDefault="00AB6F50" w:rsidP="001D7159">
            <w:pPr>
              <w:spacing w:before="40" w:after="4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0.0</w:t>
            </w:r>
          </w:p>
        </w:tc>
        <w:tc>
          <w:tcPr>
            <w:tcW w:w="0" w:type="dxa"/>
            <w:noWrap/>
            <w:hideMark/>
          </w:tcPr>
          <w:p w14:paraId="0FEF3B8C" w14:textId="77777777" w:rsidR="00AB6F50" w:rsidRPr="000973F2" w:rsidRDefault="00AB6F50" w:rsidP="001D7159">
            <w:pPr>
              <w:spacing w:before="40" w:after="4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0.0</w:t>
            </w:r>
          </w:p>
        </w:tc>
        <w:tc>
          <w:tcPr>
            <w:tcW w:w="0" w:type="dxa"/>
            <w:noWrap/>
            <w:hideMark/>
          </w:tcPr>
          <w:p w14:paraId="67CC2D38" w14:textId="77777777" w:rsidR="00AB6F50" w:rsidRPr="000973F2" w:rsidRDefault="00AB6F50" w:rsidP="001D7159">
            <w:pPr>
              <w:spacing w:before="40" w:after="4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0.0</w:t>
            </w:r>
          </w:p>
        </w:tc>
        <w:tc>
          <w:tcPr>
            <w:tcW w:w="0" w:type="dxa"/>
            <w:noWrap/>
            <w:hideMark/>
          </w:tcPr>
          <w:p w14:paraId="1EEFA280" w14:textId="77777777" w:rsidR="00AB6F50" w:rsidRPr="000973F2" w:rsidRDefault="00AB6F50" w:rsidP="001D7159">
            <w:pPr>
              <w:spacing w:before="40" w:after="4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0.0</w:t>
            </w:r>
          </w:p>
        </w:tc>
        <w:tc>
          <w:tcPr>
            <w:tcW w:w="0" w:type="dxa"/>
            <w:noWrap/>
            <w:hideMark/>
          </w:tcPr>
          <w:p w14:paraId="6A39C437" w14:textId="77777777" w:rsidR="00AB6F50" w:rsidRPr="000973F2" w:rsidRDefault="00AB6F50" w:rsidP="001D7159">
            <w:pPr>
              <w:spacing w:before="40" w:after="4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0.0</w:t>
            </w:r>
          </w:p>
        </w:tc>
        <w:tc>
          <w:tcPr>
            <w:tcW w:w="0" w:type="dxa"/>
            <w:noWrap/>
            <w:hideMark/>
          </w:tcPr>
          <w:p w14:paraId="45296944" w14:textId="77777777" w:rsidR="00AB6F50" w:rsidRPr="000973F2" w:rsidRDefault="00AB6F50" w:rsidP="001D7159">
            <w:pPr>
              <w:spacing w:before="40" w:after="4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2.0</w:t>
            </w:r>
          </w:p>
        </w:tc>
        <w:tc>
          <w:tcPr>
            <w:tcW w:w="0" w:type="dxa"/>
            <w:noWrap/>
            <w:hideMark/>
          </w:tcPr>
          <w:p w14:paraId="60B83622" w14:textId="77777777" w:rsidR="00AB6F50" w:rsidRPr="000973F2" w:rsidRDefault="00AB6F50" w:rsidP="001D7159">
            <w:pPr>
              <w:spacing w:before="40" w:after="4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0.0</w:t>
            </w:r>
          </w:p>
        </w:tc>
        <w:tc>
          <w:tcPr>
            <w:tcW w:w="0" w:type="dxa"/>
            <w:noWrap/>
            <w:hideMark/>
          </w:tcPr>
          <w:p w14:paraId="1601ADCA" w14:textId="77777777" w:rsidR="00AB6F50" w:rsidRPr="000973F2" w:rsidRDefault="00AB6F50" w:rsidP="001D7159">
            <w:pPr>
              <w:tabs>
                <w:tab w:val="decimal" w:pos="271"/>
              </w:tabs>
              <w:spacing w:before="40" w:after="4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26.0</w:t>
            </w:r>
          </w:p>
        </w:tc>
        <w:tc>
          <w:tcPr>
            <w:tcW w:w="0" w:type="dxa"/>
            <w:noWrap/>
            <w:hideMark/>
          </w:tcPr>
          <w:p w14:paraId="5974E663" w14:textId="77777777" w:rsidR="00AB6F50" w:rsidRPr="000973F2" w:rsidRDefault="00AB6F50" w:rsidP="001D7159">
            <w:pPr>
              <w:spacing w:before="40" w:after="4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0.0</w:t>
            </w:r>
          </w:p>
        </w:tc>
        <w:tc>
          <w:tcPr>
            <w:tcW w:w="0" w:type="dxa"/>
            <w:noWrap/>
            <w:hideMark/>
          </w:tcPr>
          <w:p w14:paraId="74B75328" w14:textId="77777777" w:rsidR="00AB6F50" w:rsidRPr="000973F2" w:rsidRDefault="00AB6F50" w:rsidP="001D7159">
            <w:pPr>
              <w:spacing w:before="40" w:after="4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2.0</w:t>
            </w:r>
          </w:p>
        </w:tc>
        <w:tc>
          <w:tcPr>
            <w:tcW w:w="0" w:type="dxa"/>
            <w:noWrap/>
            <w:hideMark/>
          </w:tcPr>
          <w:p w14:paraId="37FE14A7" w14:textId="6E63E646" w:rsidR="00AB6F50" w:rsidRPr="000973F2" w:rsidRDefault="00AB6F50" w:rsidP="001D7159">
            <w:pPr>
              <w:spacing w:before="40" w:after="4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$0</w:t>
            </w:r>
          </w:p>
        </w:tc>
        <w:tc>
          <w:tcPr>
            <w:tcW w:w="0" w:type="dxa"/>
            <w:noWrap/>
            <w:hideMark/>
          </w:tcPr>
          <w:p w14:paraId="296B0C88" w14:textId="77777777" w:rsidR="00AB6F50" w:rsidRPr="000973F2" w:rsidRDefault="00AB6F50" w:rsidP="001D7159">
            <w:pPr>
              <w:tabs>
                <w:tab w:val="decimal" w:pos="526"/>
              </w:tabs>
              <w:spacing w:before="40" w:after="4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 xml:space="preserve">$2,700 </w:t>
            </w:r>
          </w:p>
        </w:tc>
      </w:tr>
      <w:tr w:rsidR="000B4C60" w:rsidRPr="000973F2" w14:paraId="21B3C921" w14:textId="77777777" w:rsidTr="00EA5D16">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0" w:type="dxa"/>
            <w:noWrap/>
            <w:tcMar>
              <w:left w:w="58" w:type="dxa"/>
            </w:tcMar>
            <w:hideMark/>
          </w:tcPr>
          <w:p w14:paraId="63E1D3EE" w14:textId="77777777" w:rsidR="00AB6F50" w:rsidRPr="000973F2" w:rsidRDefault="00AB6F50" w:rsidP="001D7159">
            <w:pPr>
              <w:spacing w:before="40" w:after="40"/>
              <w:rPr>
                <w:rFonts w:ascii="Times New Roman" w:eastAsia="Times New Roman" w:hAnsi="Times New Roman" w:cs="Times New Roman"/>
                <w:b/>
                <w:bCs w:val="0"/>
                <w:sz w:val="18"/>
                <w:szCs w:val="18"/>
              </w:rPr>
            </w:pPr>
            <w:r w:rsidRPr="000973F2">
              <w:rPr>
                <w:rFonts w:ascii="Times New Roman" w:eastAsia="Times New Roman" w:hAnsi="Times New Roman" w:cs="Times New Roman"/>
                <w:b/>
                <w:sz w:val="18"/>
                <w:szCs w:val="18"/>
              </w:rPr>
              <w:t>Total</w:t>
            </w:r>
          </w:p>
        </w:tc>
        <w:tc>
          <w:tcPr>
            <w:tcW w:w="0" w:type="dxa"/>
            <w:noWrap/>
            <w:hideMark/>
          </w:tcPr>
          <w:p w14:paraId="698C4140" w14:textId="77777777" w:rsidR="00AB6F50" w:rsidRPr="000973F2" w:rsidRDefault="00AB6F50" w:rsidP="001D7159">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18"/>
                <w:szCs w:val="18"/>
              </w:rPr>
            </w:pPr>
            <w:r w:rsidRPr="000973F2">
              <w:rPr>
                <w:rFonts w:ascii="Times New Roman" w:eastAsia="Times New Roman" w:hAnsi="Times New Roman" w:cs="Times New Roman"/>
                <w:b/>
                <w:bCs/>
                <w:sz w:val="18"/>
                <w:szCs w:val="18"/>
              </w:rPr>
              <w:t>0.0</w:t>
            </w:r>
          </w:p>
        </w:tc>
        <w:tc>
          <w:tcPr>
            <w:tcW w:w="0" w:type="dxa"/>
            <w:noWrap/>
            <w:hideMark/>
          </w:tcPr>
          <w:p w14:paraId="44B034C1" w14:textId="77777777" w:rsidR="00AB6F50" w:rsidRPr="000973F2" w:rsidRDefault="00AB6F50" w:rsidP="001D7159">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18"/>
                <w:szCs w:val="18"/>
              </w:rPr>
            </w:pPr>
            <w:r w:rsidRPr="000973F2">
              <w:rPr>
                <w:rFonts w:ascii="Times New Roman" w:eastAsia="Times New Roman" w:hAnsi="Times New Roman" w:cs="Times New Roman"/>
                <w:b/>
                <w:bCs/>
                <w:sz w:val="18"/>
                <w:szCs w:val="18"/>
              </w:rPr>
              <w:t>2.0</w:t>
            </w:r>
          </w:p>
        </w:tc>
        <w:tc>
          <w:tcPr>
            <w:tcW w:w="0" w:type="dxa"/>
            <w:noWrap/>
            <w:hideMark/>
          </w:tcPr>
          <w:p w14:paraId="36E4974C" w14:textId="77777777" w:rsidR="00AB6F50" w:rsidRPr="000973F2" w:rsidRDefault="00AB6F50" w:rsidP="001D7159">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18"/>
                <w:szCs w:val="18"/>
              </w:rPr>
            </w:pPr>
            <w:r w:rsidRPr="000973F2">
              <w:rPr>
                <w:rFonts w:ascii="Times New Roman" w:eastAsia="Times New Roman" w:hAnsi="Times New Roman" w:cs="Times New Roman"/>
                <w:b/>
                <w:bCs/>
                <w:sz w:val="18"/>
                <w:szCs w:val="18"/>
              </w:rPr>
              <w:t>0.0</w:t>
            </w:r>
          </w:p>
        </w:tc>
        <w:tc>
          <w:tcPr>
            <w:tcW w:w="0" w:type="dxa"/>
            <w:noWrap/>
            <w:hideMark/>
          </w:tcPr>
          <w:p w14:paraId="7A8D0783" w14:textId="77777777" w:rsidR="00AB6F50" w:rsidRPr="000973F2" w:rsidRDefault="00AB6F50" w:rsidP="001D7159">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18"/>
                <w:szCs w:val="18"/>
              </w:rPr>
            </w:pPr>
            <w:r w:rsidRPr="000973F2">
              <w:rPr>
                <w:rFonts w:ascii="Times New Roman" w:eastAsia="Times New Roman" w:hAnsi="Times New Roman" w:cs="Times New Roman"/>
                <w:b/>
                <w:bCs/>
                <w:sz w:val="18"/>
                <w:szCs w:val="18"/>
              </w:rPr>
              <w:t>1.0</w:t>
            </w:r>
          </w:p>
        </w:tc>
        <w:tc>
          <w:tcPr>
            <w:tcW w:w="0" w:type="dxa"/>
            <w:noWrap/>
            <w:hideMark/>
          </w:tcPr>
          <w:p w14:paraId="0F6622AE" w14:textId="77777777" w:rsidR="00AB6F50" w:rsidRPr="000973F2" w:rsidRDefault="00AB6F50" w:rsidP="001D7159">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18"/>
                <w:szCs w:val="18"/>
              </w:rPr>
            </w:pPr>
            <w:r w:rsidRPr="000973F2">
              <w:rPr>
                <w:rFonts w:ascii="Times New Roman" w:eastAsia="Times New Roman" w:hAnsi="Times New Roman" w:cs="Times New Roman"/>
                <w:b/>
                <w:bCs/>
                <w:sz w:val="18"/>
                <w:szCs w:val="18"/>
              </w:rPr>
              <w:t>0.0</w:t>
            </w:r>
          </w:p>
        </w:tc>
        <w:tc>
          <w:tcPr>
            <w:tcW w:w="0" w:type="dxa"/>
            <w:noWrap/>
            <w:hideMark/>
          </w:tcPr>
          <w:p w14:paraId="5C4D2AE0" w14:textId="77777777" w:rsidR="00AB6F50" w:rsidRPr="000973F2" w:rsidRDefault="00AB6F50" w:rsidP="001D7159">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18"/>
                <w:szCs w:val="18"/>
              </w:rPr>
            </w:pPr>
            <w:r w:rsidRPr="000973F2">
              <w:rPr>
                <w:rFonts w:ascii="Times New Roman" w:eastAsia="Times New Roman" w:hAnsi="Times New Roman" w:cs="Times New Roman"/>
                <w:b/>
                <w:bCs/>
                <w:sz w:val="18"/>
                <w:szCs w:val="18"/>
              </w:rPr>
              <w:t>4.9</w:t>
            </w:r>
          </w:p>
        </w:tc>
        <w:tc>
          <w:tcPr>
            <w:tcW w:w="0" w:type="dxa"/>
            <w:noWrap/>
            <w:hideMark/>
          </w:tcPr>
          <w:p w14:paraId="1772C006" w14:textId="77777777" w:rsidR="00AB6F50" w:rsidRPr="000973F2" w:rsidRDefault="00AB6F50" w:rsidP="001D7159">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18"/>
                <w:szCs w:val="18"/>
              </w:rPr>
            </w:pPr>
            <w:r w:rsidRPr="000973F2">
              <w:rPr>
                <w:rFonts w:ascii="Times New Roman" w:eastAsia="Times New Roman" w:hAnsi="Times New Roman" w:cs="Times New Roman"/>
                <w:b/>
                <w:bCs/>
                <w:sz w:val="18"/>
                <w:szCs w:val="18"/>
              </w:rPr>
              <w:t>0.0</w:t>
            </w:r>
          </w:p>
        </w:tc>
        <w:tc>
          <w:tcPr>
            <w:tcW w:w="0" w:type="dxa"/>
            <w:noWrap/>
            <w:hideMark/>
          </w:tcPr>
          <w:p w14:paraId="283D6831" w14:textId="77777777" w:rsidR="00AB6F50" w:rsidRPr="000973F2" w:rsidRDefault="00AB6F50" w:rsidP="001D7159">
            <w:pPr>
              <w:tabs>
                <w:tab w:val="decimal" w:pos="271"/>
              </w:tabs>
              <w:spacing w:before="40" w:after="4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18"/>
                <w:szCs w:val="18"/>
              </w:rPr>
            </w:pPr>
            <w:r w:rsidRPr="000973F2">
              <w:rPr>
                <w:rFonts w:ascii="Times New Roman" w:eastAsia="Times New Roman" w:hAnsi="Times New Roman" w:cs="Times New Roman"/>
                <w:b/>
                <w:bCs/>
                <w:sz w:val="18"/>
                <w:szCs w:val="18"/>
              </w:rPr>
              <w:t>58.2</w:t>
            </w:r>
          </w:p>
        </w:tc>
        <w:tc>
          <w:tcPr>
            <w:tcW w:w="0" w:type="dxa"/>
            <w:noWrap/>
            <w:hideMark/>
          </w:tcPr>
          <w:p w14:paraId="56D2FA9D" w14:textId="77777777" w:rsidR="00AB6F50" w:rsidRPr="000973F2" w:rsidRDefault="00AB6F50" w:rsidP="001D7159">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18"/>
                <w:szCs w:val="18"/>
              </w:rPr>
            </w:pPr>
            <w:r w:rsidRPr="000973F2">
              <w:rPr>
                <w:rFonts w:ascii="Times New Roman" w:eastAsia="Times New Roman" w:hAnsi="Times New Roman" w:cs="Times New Roman"/>
                <w:b/>
                <w:bCs/>
                <w:sz w:val="18"/>
                <w:szCs w:val="18"/>
              </w:rPr>
              <w:t>0.0</w:t>
            </w:r>
          </w:p>
        </w:tc>
        <w:tc>
          <w:tcPr>
            <w:tcW w:w="0" w:type="dxa"/>
            <w:noWrap/>
            <w:hideMark/>
          </w:tcPr>
          <w:p w14:paraId="76E53891" w14:textId="77777777" w:rsidR="00AB6F50" w:rsidRPr="000973F2" w:rsidRDefault="00AB6F50" w:rsidP="001D7159">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18"/>
                <w:szCs w:val="18"/>
              </w:rPr>
            </w:pPr>
            <w:r w:rsidRPr="000973F2">
              <w:rPr>
                <w:rFonts w:ascii="Times New Roman" w:eastAsia="Times New Roman" w:hAnsi="Times New Roman" w:cs="Times New Roman"/>
                <w:b/>
                <w:bCs/>
                <w:sz w:val="18"/>
                <w:szCs w:val="18"/>
              </w:rPr>
              <w:t>3.1</w:t>
            </w:r>
          </w:p>
        </w:tc>
        <w:tc>
          <w:tcPr>
            <w:tcW w:w="0" w:type="dxa"/>
            <w:noWrap/>
            <w:hideMark/>
          </w:tcPr>
          <w:p w14:paraId="52B80338" w14:textId="09860CFC" w:rsidR="00AB6F50" w:rsidRPr="000973F2" w:rsidRDefault="00AB6F50" w:rsidP="001D7159">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18"/>
                <w:szCs w:val="18"/>
              </w:rPr>
            </w:pPr>
            <w:r w:rsidRPr="000973F2">
              <w:rPr>
                <w:rFonts w:ascii="Times New Roman" w:eastAsia="Times New Roman" w:hAnsi="Times New Roman" w:cs="Times New Roman"/>
                <w:b/>
                <w:bCs/>
                <w:sz w:val="18"/>
                <w:szCs w:val="18"/>
              </w:rPr>
              <w:t>$0</w:t>
            </w:r>
          </w:p>
        </w:tc>
        <w:tc>
          <w:tcPr>
            <w:tcW w:w="0" w:type="dxa"/>
            <w:noWrap/>
            <w:hideMark/>
          </w:tcPr>
          <w:p w14:paraId="78604E96" w14:textId="77777777" w:rsidR="00AB6F50" w:rsidRPr="000973F2" w:rsidRDefault="00AB6F50" w:rsidP="001D7159">
            <w:pPr>
              <w:tabs>
                <w:tab w:val="decimal" w:pos="526"/>
              </w:tabs>
              <w:spacing w:before="40" w:after="4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18"/>
                <w:szCs w:val="18"/>
              </w:rPr>
            </w:pPr>
            <w:r w:rsidRPr="000973F2">
              <w:rPr>
                <w:rFonts w:ascii="Times New Roman" w:eastAsia="Times New Roman" w:hAnsi="Times New Roman" w:cs="Times New Roman"/>
                <w:b/>
                <w:bCs/>
                <w:sz w:val="18"/>
                <w:szCs w:val="18"/>
              </w:rPr>
              <w:t xml:space="preserve">$6,386 </w:t>
            </w:r>
          </w:p>
        </w:tc>
      </w:tr>
    </w:tbl>
    <w:p w14:paraId="0937BB8D" w14:textId="77777777" w:rsidR="00AB6F50" w:rsidRPr="000973F2" w:rsidRDefault="00AB6F50" w:rsidP="00C00E4F">
      <w:pPr>
        <w:spacing w:line="240" w:lineRule="auto"/>
        <w:jc w:val="center"/>
        <w:rPr>
          <w:rFonts w:ascii="Times New Roman" w:hAnsi="Times New Roman" w:cs="Times New Roman"/>
          <w:b/>
          <w:szCs w:val="20"/>
        </w:rPr>
      </w:pPr>
    </w:p>
    <w:p w14:paraId="3A22CB6B" w14:textId="3BFEEAED" w:rsidR="00AB6F50" w:rsidRPr="000973F2" w:rsidRDefault="00AB6F50" w:rsidP="00EA5D16">
      <w:pPr>
        <w:pStyle w:val="Tabletitle"/>
      </w:pPr>
      <w:r w:rsidRPr="000973F2">
        <w:t xml:space="preserve">Table </w:t>
      </w:r>
      <w:r w:rsidR="00EA5D16" w:rsidRPr="000973F2">
        <w:t>W-</w:t>
      </w:r>
      <w:r w:rsidRPr="000973F2">
        <w:t xml:space="preserve">2c. </w:t>
      </w:r>
      <w:r w:rsidR="001F4582" w:rsidRPr="000973F2">
        <w:t xml:space="preserve">Capital and O&amp;M Costs </w:t>
      </w:r>
      <w:r w:rsidR="00B960CC" w:rsidRPr="000973F2">
        <w:t>–</w:t>
      </w:r>
      <w:r w:rsidR="001F4582" w:rsidRPr="000973F2">
        <w:t xml:space="preserve"> </w:t>
      </w:r>
      <w:r w:rsidRPr="000973F2">
        <w:t>Subpart W – Onshore Natural Gas Processing</w:t>
      </w:r>
    </w:p>
    <w:tbl>
      <w:tblPr>
        <w:tblStyle w:val="PlainTable1"/>
        <w:tblW w:w="5000" w:type="pct"/>
        <w:jc w:val="left"/>
        <w:tblLayout w:type="fixed"/>
        <w:tblCellMar>
          <w:left w:w="115" w:type="dxa"/>
          <w:right w:w="115" w:type="dxa"/>
        </w:tblCellMar>
        <w:tblLook w:val="04A0" w:firstRow="1" w:lastRow="0" w:firstColumn="1" w:lastColumn="0" w:noHBand="0" w:noVBand="1"/>
      </w:tblPr>
      <w:tblGrid>
        <w:gridCol w:w="1739"/>
        <w:gridCol w:w="1296"/>
        <w:gridCol w:w="1297"/>
        <w:gridCol w:w="1297"/>
        <w:gridCol w:w="1297"/>
        <w:gridCol w:w="1358"/>
        <w:gridCol w:w="1306"/>
      </w:tblGrid>
      <w:tr w:rsidR="00D17312" w:rsidRPr="000973F2" w14:paraId="5609BFD7" w14:textId="77777777" w:rsidTr="001D7159">
        <w:trPr>
          <w:cnfStyle w:val="100000000000" w:firstRow="1" w:lastRow="0" w:firstColumn="0" w:lastColumn="0" w:oddVBand="0" w:evenVBand="0" w:oddHBand="0" w:evenHBand="0" w:firstRowFirstColumn="0" w:firstRowLastColumn="0" w:lastRowFirstColumn="0" w:lastRowLastColumn="0"/>
          <w:cantSplit/>
          <w:jc w:val="left"/>
        </w:trPr>
        <w:tc>
          <w:tcPr>
            <w:cnfStyle w:val="001000000000" w:firstRow="0" w:lastRow="0" w:firstColumn="1" w:lastColumn="0" w:oddVBand="0" w:evenVBand="0" w:oddHBand="0" w:evenHBand="0" w:firstRowFirstColumn="0" w:firstRowLastColumn="0" w:lastRowFirstColumn="0" w:lastRowLastColumn="0"/>
            <w:tcW w:w="907" w:type="pct"/>
            <w:vMerge w:val="restart"/>
            <w:noWrap/>
            <w:vAlign w:val="top"/>
            <w:hideMark/>
          </w:tcPr>
          <w:p w14:paraId="63E28E60" w14:textId="1FC568A0" w:rsidR="00D17312" w:rsidRPr="000973F2" w:rsidRDefault="00D17312" w:rsidP="001D7159">
            <w:pPr>
              <w:keepNext/>
              <w:spacing w:before="40" w:after="40"/>
              <w:rPr>
                <w:rFonts w:ascii="Times New Roman" w:eastAsia="Times New Roman" w:hAnsi="Times New Roman" w:cs="Times New Roman"/>
                <w:b w:val="0"/>
                <w:bCs w:val="0"/>
                <w:sz w:val="18"/>
                <w:szCs w:val="18"/>
              </w:rPr>
            </w:pPr>
            <w:r w:rsidRPr="000973F2">
              <w:rPr>
                <w:rFonts w:ascii="Times New Roman" w:eastAsia="Times New Roman" w:hAnsi="Times New Roman" w:cs="Times New Roman"/>
                <w:sz w:val="18"/>
                <w:szCs w:val="18"/>
              </w:rPr>
              <w:t>Activity</w:t>
            </w:r>
          </w:p>
        </w:tc>
        <w:tc>
          <w:tcPr>
            <w:tcW w:w="2704" w:type="pct"/>
            <w:gridSpan w:val="4"/>
            <w:noWrap/>
            <w:vAlign w:val="top"/>
            <w:hideMark/>
          </w:tcPr>
          <w:p w14:paraId="057CF629" w14:textId="77777777" w:rsidR="00D17312" w:rsidRPr="000973F2" w:rsidRDefault="00D17312" w:rsidP="001D7159">
            <w:pPr>
              <w:keepNext/>
              <w:spacing w:before="40" w:after="40"/>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bCs w:val="0"/>
                <w:sz w:val="18"/>
                <w:szCs w:val="18"/>
              </w:rPr>
            </w:pPr>
            <w:r w:rsidRPr="000973F2">
              <w:rPr>
                <w:rFonts w:ascii="Times New Roman" w:eastAsia="Times New Roman" w:hAnsi="Times New Roman" w:cs="Times New Roman"/>
                <w:sz w:val="18"/>
                <w:szCs w:val="18"/>
              </w:rPr>
              <w:t>Cost Categories</w:t>
            </w:r>
          </w:p>
        </w:tc>
        <w:tc>
          <w:tcPr>
            <w:tcW w:w="1389" w:type="pct"/>
            <w:gridSpan w:val="2"/>
            <w:vAlign w:val="top"/>
            <w:hideMark/>
          </w:tcPr>
          <w:p w14:paraId="25FC2AFC" w14:textId="4368F87B" w:rsidR="00D17312" w:rsidRPr="000973F2" w:rsidRDefault="00D17312" w:rsidP="001D7159">
            <w:pPr>
              <w:keepNext/>
              <w:spacing w:before="40" w:after="40"/>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bCs w:val="0"/>
                <w:sz w:val="18"/>
                <w:szCs w:val="18"/>
              </w:rPr>
            </w:pPr>
            <w:r w:rsidRPr="000973F2">
              <w:rPr>
                <w:rFonts w:ascii="Times New Roman" w:eastAsia="Times New Roman" w:hAnsi="Times New Roman" w:cs="Times New Roman"/>
                <w:sz w:val="18"/>
                <w:szCs w:val="18"/>
              </w:rPr>
              <w:t>Total Capital and O&amp;M Cost per Year per Reporter</w:t>
            </w:r>
            <w:r w:rsidR="001D7159" w:rsidRPr="000973F2">
              <w:rPr>
                <w:rFonts w:ascii="Times New Roman" w:eastAsia="Times New Roman" w:hAnsi="Times New Roman" w:cs="Times New Roman"/>
                <w:sz w:val="18"/>
                <w:szCs w:val="18"/>
              </w:rPr>
              <w:t xml:space="preserve"> </w:t>
            </w:r>
            <w:r w:rsidRPr="000973F2">
              <w:rPr>
                <w:rFonts w:ascii="Times New Roman" w:eastAsia="Times New Roman" w:hAnsi="Times New Roman" w:cs="Times New Roman"/>
                <w:sz w:val="18"/>
                <w:szCs w:val="18"/>
              </w:rPr>
              <w:t>(2017$)</w:t>
            </w:r>
          </w:p>
        </w:tc>
      </w:tr>
      <w:tr w:rsidR="001D7159" w:rsidRPr="000973F2" w14:paraId="7B01B82A" w14:textId="77777777" w:rsidTr="001D7159">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907" w:type="pct"/>
            <w:vMerge/>
            <w:noWrap/>
            <w:hideMark/>
          </w:tcPr>
          <w:p w14:paraId="4F118115" w14:textId="2D8BFCA4" w:rsidR="00D17312" w:rsidRPr="000973F2" w:rsidRDefault="00D17312" w:rsidP="001D7159">
            <w:pPr>
              <w:keepNext/>
              <w:spacing w:before="40" w:after="40"/>
              <w:jc w:val="center"/>
              <w:rPr>
                <w:rFonts w:ascii="Times New Roman" w:eastAsia="Times New Roman" w:hAnsi="Times New Roman" w:cs="Times New Roman"/>
                <w:b/>
                <w:bCs w:val="0"/>
                <w:sz w:val="18"/>
                <w:szCs w:val="18"/>
              </w:rPr>
            </w:pPr>
          </w:p>
        </w:tc>
        <w:tc>
          <w:tcPr>
            <w:tcW w:w="676" w:type="pct"/>
            <w:hideMark/>
          </w:tcPr>
          <w:p w14:paraId="6D91E4A2" w14:textId="77777777" w:rsidR="00D17312" w:rsidRPr="000973F2" w:rsidRDefault="00D17312" w:rsidP="001D7159">
            <w:pPr>
              <w:keepNext/>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18"/>
                <w:szCs w:val="18"/>
              </w:rPr>
            </w:pPr>
            <w:r w:rsidRPr="000973F2">
              <w:rPr>
                <w:rFonts w:ascii="Times New Roman" w:eastAsia="Times New Roman" w:hAnsi="Times New Roman" w:cs="Times New Roman"/>
                <w:b/>
                <w:bCs/>
                <w:sz w:val="18"/>
                <w:szCs w:val="18"/>
              </w:rPr>
              <w:t>Capital Cost (2017$)</w:t>
            </w:r>
          </w:p>
        </w:tc>
        <w:tc>
          <w:tcPr>
            <w:tcW w:w="676" w:type="pct"/>
            <w:hideMark/>
          </w:tcPr>
          <w:p w14:paraId="10FD0B2C" w14:textId="77777777" w:rsidR="00D17312" w:rsidRPr="000973F2" w:rsidRDefault="00D17312" w:rsidP="001D7159">
            <w:pPr>
              <w:keepNext/>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18"/>
                <w:szCs w:val="18"/>
              </w:rPr>
            </w:pPr>
            <w:r w:rsidRPr="000973F2">
              <w:rPr>
                <w:rFonts w:ascii="Times New Roman" w:eastAsia="Times New Roman" w:hAnsi="Times New Roman" w:cs="Times New Roman"/>
                <w:b/>
                <w:bCs/>
                <w:sz w:val="18"/>
                <w:szCs w:val="18"/>
              </w:rPr>
              <w:t>Equipment Lifetime</w:t>
            </w:r>
          </w:p>
        </w:tc>
        <w:tc>
          <w:tcPr>
            <w:tcW w:w="676" w:type="pct"/>
            <w:hideMark/>
          </w:tcPr>
          <w:p w14:paraId="56A25540" w14:textId="77777777" w:rsidR="00D17312" w:rsidRPr="000973F2" w:rsidRDefault="00D17312" w:rsidP="001D7159">
            <w:pPr>
              <w:keepNext/>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18"/>
                <w:szCs w:val="18"/>
              </w:rPr>
            </w:pPr>
            <w:r w:rsidRPr="000973F2">
              <w:rPr>
                <w:rFonts w:ascii="Times New Roman" w:eastAsia="Times New Roman" w:hAnsi="Times New Roman" w:cs="Times New Roman"/>
                <w:b/>
                <w:bCs/>
                <w:sz w:val="18"/>
                <w:szCs w:val="18"/>
              </w:rPr>
              <w:t>Annualized Capital Cost (2017$/year)</w:t>
            </w:r>
          </w:p>
        </w:tc>
        <w:tc>
          <w:tcPr>
            <w:tcW w:w="676" w:type="pct"/>
            <w:hideMark/>
          </w:tcPr>
          <w:p w14:paraId="2CAD4FEB" w14:textId="77777777" w:rsidR="00D17312" w:rsidRPr="000973F2" w:rsidRDefault="00D17312" w:rsidP="001D7159">
            <w:pPr>
              <w:keepNext/>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18"/>
                <w:szCs w:val="18"/>
              </w:rPr>
            </w:pPr>
            <w:r w:rsidRPr="000973F2">
              <w:rPr>
                <w:rFonts w:ascii="Times New Roman" w:eastAsia="Times New Roman" w:hAnsi="Times New Roman" w:cs="Times New Roman"/>
                <w:b/>
                <w:bCs/>
                <w:sz w:val="18"/>
                <w:szCs w:val="18"/>
              </w:rPr>
              <w:t>O&amp;M Costs (2017$/year)</w:t>
            </w:r>
          </w:p>
        </w:tc>
        <w:tc>
          <w:tcPr>
            <w:tcW w:w="708" w:type="pct"/>
            <w:hideMark/>
          </w:tcPr>
          <w:p w14:paraId="0FDFB1C8" w14:textId="77777777" w:rsidR="00D17312" w:rsidRPr="000973F2" w:rsidRDefault="00D17312" w:rsidP="001D7159">
            <w:pPr>
              <w:keepNext/>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18"/>
                <w:szCs w:val="18"/>
              </w:rPr>
            </w:pPr>
            <w:r w:rsidRPr="000973F2">
              <w:rPr>
                <w:rFonts w:ascii="Times New Roman" w:eastAsia="Times New Roman" w:hAnsi="Times New Roman" w:cs="Times New Roman"/>
                <w:b/>
                <w:bCs/>
                <w:sz w:val="18"/>
                <w:szCs w:val="18"/>
              </w:rPr>
              <w:t>Initial Year</w:t>
            </w:r>
          </w:p>
        </w:tc>
        <w:tc>
          <w:tcPr>
            <w:tcW w:w="681" w:type="pct"/>
            <w:hideMark/>
          </w:tcPr>
          <w:p w14:paraId="13B3FD1B" w14:textId="77777777" w:rsidR="00D17312" w:rsidRPr="000973F2" w:rsidRDefault="00D17312" w:rsidP="001D7159">
            <w:pPr>
              <w:keepNext/>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18"/>
                <w:szCs w:val="18"/>
              </w:rPr>
            </w:pPr>
            <w:r w:rsidRPr="000973F2">
              <w:rPr>
                <w:rFonts w:ascii="Times New Roman" w:eastAsia="Times New Roman" w:hAnsi="Times New Roman" w:cs="Times New Roman"/>
                <w:b/>
                <w:bCs/>
                <w:sz w:val="18"/>
                <w:szCs w:val="18"/>
              </w:rPr>
              <w:t>Subseq. Years</w:t>
            </w:r>
          </w:p>
        </w:tc>
      </w:tr>
      <w:tr w:rsidR="001D7159" w:rsidRPr="000973F2" w14:paraId="38CDAE86" w14:textId="77777777" w:rsidTr="001D7159">
        <w:trPr>
          <w:cantSplit/>
        </w:trPr>
        <w:tc>
          <w:tcPr>
            <w:cnfStyle w:val="001000000000" w:firstRow="0" w:lastRow="0" w:firstColumn="1" w:lastColumn="0" w:oddVBand="0" w:evenVBand="0" w:oddHBand="0" w:evenHBand="0" w:firstRowFirstColumn="0" w:firstRowLastColumn="0" w:lastRowFirstColumn="0" w:lastRowLastColumn="0"/>
            <w:tcW w:w="907" w:type="pct"/>
            <w:tcMar>
              <w:right w:w="14" w:type="dxa"/>
            </w:tcMar>
            <w:hideMark/>
          </w:tcPr>
          <w:p w14:paraId="0C032EC7" w14:textId="77777777" w:rsidR="00AB6F50" w:rsidRPr="000973F2" w:rsidRDefault="00AB6F50" w:rsidP="001D7159">
            <w:pPr>
              <w:keepNext/>
              <w:spacing w:before="40" w:after="4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Equipment (selection, purchase, installation)</w:t>
            </w:r>
          </w:p>
        </w:tc>
        <w:tc>
          <w:tcPr>
            <w:tcW w:w="676" w:type="pct"/>
            <w:noWrap/>
            <w:hideMark/>
          </w:tcPr>
          <w:p w14:paraId="71264428" w14:textId="77777777" w:rsidR="00AB6F50" w:rsidRPr="000973F2" w:rsidRDefault="00AB6F50" w:rsidP="001D7159">
            <w:pPr>
              <w:keepNext/>
              <w:spacing w:before="40" w:after="4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$0</w:t>
            </w:r>
          </w:p>
        </w:tc>
        <w:tc>
          <w:tcPr>
            <w:tcW w:w="676" w:type="pct"/>
            <w:noWrap/>
          </w:tcPr>
          <w:p w14:paraId="6411B7C0" w14:textId="77777777" w:rsidR="00AB6F50" w:rsidRPr="000973F2" w:rsidRDefault="00AB6F50" w:rsidP="001D7159">
            <w:pPr>
              <w:keepNext/>
              <w:spacing w:before="40" w:after="4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p>
        </w:tc>
        <w:tc>
          <w:tcPr>
            <w:tcW w:w="676" w:type="pct"/>
            <w:noWrap/>
            <w:hideMark/>
          </w:tcPr>
          <w:p w14:paraId="16C33F75" w14:textId="77777777" w:rsidR="00AB6F50" w:rsidRPr="000973F2" w:rsidRDefault="00AB6F50" w:rsidP="001D7159">
            <w:pPr>
              <w:keepNext/>
              <w:spacing w:before="40" w:after="4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$0</w:t>
            </w:r>
          </w:p>
        </w:tc>
        <w:tc>
          <w:tcPr>
            <w:tcW w:w="676" w:type="pct"/>
            <w:noWrap/>
            <w:hideMark/>
          </w:tcPr>
          <w:p w14:paraId="5B6624E6" w14:textId="77777777" w:rsidR="00AB6F50" w:rsidRPr="000973F2" w:rsidRDefault="00AB6F50" w:rsidP="001D7159">
            <w:pPr>
              <w:keepNext/>
              <w:tabs>
                <w:tab w:val="decimal" w:pos="781"/>
              </w:tabs>
              <w:spacing w:before="40" w:after="4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$113</w:t>
            </w:r>
          </w:p>
        </w:tc>
        <w:tc>
          <w:tcPr>
            <w:tcW w:w="708" w:type="pct"/>
            <w:noWrap/>
            <w:hideMark/>
          </w:tcPr>
          <w:p w14:paraId="78A26AA3" w14:textId="77777777" w:rsidR="00AB6F50" w:rsidRPr="000973F2" w:rsidRDefault="00AB6F50" w:rsidP="001D7159">
            <w:pPr>
              <w:keepNext/>
              <w:spacing w:before="40" w:after="4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$0</w:t>
            </w:r>
          </w:p>
        </w:tc>
        <w:tc>
          <w:tcPr>
            <w:tcW w:w="681" w:type="pct"/>
            <w:noWrap/>
            <w:hideMark/>
          </w:tcPr>
          <w:p w14:paraId="09E1DC50" w14:textId="77777777" w:rsidR="00AB6F50" w:rsidRPr="000973F2" w:rsidRDefault="00AB6F50" w:rsidP="001D7159">
            <w:pPr>
              <w:keepNext/>
              <w:tabs>
                <w:tab w:val="decimal" w:pos="811"/>
              </w:tabs>
              <w:spacing w:before="40" w:after="4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$113</w:t>
            </w:r>
          </w:p>
        </w:tc>
      </w:tr>
      <w:tr w:rsidR="001D7159" w:rsidRPr="000973F2" w14:paraId="1C8016B2" w14:textId="77777777" w:rsidTr="001D7159">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907" w:type="pct"/>
            <w:tcMar>
              <w:right w:w="14" w:type="dxa"/>
            </w:tcMar>
            <w:hideMark/>
          </w:tcPr>
          <w:p w14:paraId="45AD0CC4" w14:textId="77777777" w:rsidR="001D7159" w:rsidRPr="000973F2" w:rsidRDefault="001D7159" w:rsidP="001D7159">
            <w:pPr>
              <w:keepNext/>
              <w:spacing w:before="40" w:after="4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Performance testing</w:t>
            </w:r>
          </w:p>
        </w:tc>
        <w:tc>
          <w:tcPr>
            <w:tcW w:w="676" w:type="pct"/>
            <w:noWrap/>
            <w:hideMark/>
          </w:tcPr>
          <w:p w14:paraId="1ACF9CFD" w14:textId="1FB3EC9A" w:rsidR="001D7159" w:rsidRPr="000973F2" w:rsidRDefault="001D7159" w:rsidP="001D7159">
            <w:pPr>
              <w:keepNext/>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w:t>
            </w:r>
          </w:p>
        </w:tc>
        <w:tc>
          <w:tcPr>
            <w:tcW w:w="676" w:type="pct"/>
            <w:noWrap/>
          </w:tcPr>
          <w:p w14:paraId="29C64AF6" w14:textId="11A0C389" w:rsidR="001D7159" w:rsidRPr="000973F2" w:rsidRDefault="001D7159" w:rsidP="001D7159">
            <w:pPr>
              <w:keepNext/>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p>
        </w:tc>
        <w:tc>
          <w:tcPr>
            <w:tcW w:w="676" w:type="pct"/>
            <w:noWrap/>
            <w:hideMark/>
          </w:tcPr>
          <w:p w14:paraId="373689EC" w14:textId="52039948" w:rsidR="001D7159" w:rsidRPr="000973F2" w:rsidRDefault="001D7159" w:rsidP="001D7159">
            <w:pPr>
              <w:keepNext/>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w:t>
            </w:r>
          </w:p>
        </w:tc>
        <w:tc>
          <w:tcPr>
            <w:tcW w:w="676" w:type="pct"/>
            <w:noWrap/>
            <w:hideMark/>
          </w:tcPr>
          <w:p w14:paraId="4255F24F" w14:textId="286D2431" w:rsidR="001D7159" w:rsidRPr="000973F2" w:rsidRDefault="001D7159" w:rsidP="001D7159">
            <w:pPr>
              <w:keepNext/>
              <w:tabs>
                <w:tab w:val="decimal" w:pos="781"/>
              </w:tabs>
              <w:spacing w:before="40" w:after="4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w:t>
            </w:r>
          </w:p>
        </w:tc>
        <w:tc>
          <w:tcPr>
            <w:tcW w:w="708" w:type="pct"/>
            <w:noWrap/>
            <w:hideMark/>
          </w:tcPr>
          <w:p w14:paraId="763D96CA" w14:textId="197D2A80" w:rsidR="001D7159" w:rsidRPr="000973F2" w:rsidRDefault="001D7159" w:rsidP="001D7159">
            <w:pPr>
              <w:keepNext/>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w:t>
            </w:r>
          </w:p>
        </w:tc>
        <w:tc>
          <w:tcPr>
            <w:tcW w:w="681" w:type="pct"/>
            <w:noWrap/>
            <w:hideMark/>
          </w:tcPr>
          <w:p w14:paraId="33CEB846" w14:textId="74B3E5A0" w:rsidR="001D7159" w:rsidRPr="000973F2" w:rsidRDefault="001D7159" w:rsidP="001D7159">
            <w:pPr>
              <w:keepNext/>
              <w:tabs>
                <w:tab w:val="decimal" w:pos="811"/>
              </w:tabs>
              <w:spacing w:before="40" w:after="4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w:t>
            </w:r>
          </w:p>
        </w:tc>
      </w:tr>
      <w:tr w:rsidR="001D7159" w:rsidRPr="000973F2" w14:paraId="1C588879" w14:textId="77777777" w:rsidTr="001D7159">
        <w:trPr>
          <w:cantSplit/>
        </w:trPr>
        <w:tc>
          <w:tcPr>
            <w:cnfStyle w:val="001000000000" w:firstRow="0" w:lastRow="0" w:firstColumn="1" w:lastColumn="0" w:oddVBand="0" w:evenVBand="0" w:oddHBand="0" w:evenHBand="0" w:firstRowFirstColumn="0" w:firstRowLastColumn="0" w:lastRowFirstColumn="0" w:lastRowLastColumn="0"/>
            <w:tcW w:w="907" w:type="pct"/>
            <w:tcMar>
              <w:right w:w="14" w:type="dxa"/>
            </w:tcMar>
            <w:hideMark/>
          </w:tcPr>
          <w:p w14:paraId="78F36627" w14:textId="77777777" w:rsidR="00AB6F50" w:rsidRPr="000973F2" w:rsidRDefault="00AB6F50" w:rsidP="001D7159">
            <w:pPr>
              <w:keepNext/>
              <w:spacing w:before="40" w:after="4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Recordkeeping</w:t>
            </w:r>
          </w:p>
        </w:tc>
        <w:tc>
          <w:tcPr>
            <w:tcW w:w="676" w:type="pct"/>
            <w:noWrap/>
            <w:hideMark/>
          </w:tcPr>
          <w:p w14:paraId="2CA2EEEA" w14:textId="77777777" w:rsidR="00AB6F50" w:rsidRPr="000973F2" w:rsidRDefault="00AB6F50" w:rsidP="001D7159">
            <w:pPr>
              <w:keepNext/>
              <w:spacing w:before="40" w:after="4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$0</w:t>
            </w:r>
          </w:p>
        </w:tc>
        <w:tc>
          <w:tcPr>
            <w:tcW w:w="676" w:type="pct"/>
            <w:noWrap/>
          </w:tcPr>
          <w:p w14:paraId="01B44D85" w14:textId="5F7A0E1F" w:rsidR="00AB6F50" w:rsidRPr="000973F2" w:rsidRDefault="00AB6F50" w:rsidP="001D7159">
            <w:pPr>
              <w:keepNext/>
              <w:spacing w:before="40" w:after="4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p>
        </w:tc>
        <w:tc>
          <w:tcPr>
            <w:tcW w:w="676" w:type="pct"/>
            <w:noWrap/>
            <w:hideMark/>
          </w:tcPr>
          <w:p w14:paraId="7D0E97DE" w14:textId="77777777" w:rsidR="00AB6F50" w:rsidRPr="000973F2" w:rsidRDefault="00AB6F50" w:rsidP="001D7159">
            <w:pPr>
              <w:keepNext/>
              <w:spacing w:before="40" w:after="4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$0</w:t>
            </w:r>
          </w:p>
        </w:tc>
        <w:tc>
          <w:tcPr>
            <w:tcW w:w="676" w:type="pct"/>
            <w:noWrap/>
            <w:hideMark/>
          </w:tcPr>
          <w:p w14:paraId="33E51477" w14:textId="77777777" w:rsidR="00AB6F50" w:rsidRPr="000973F2" w:rsidRDefault="00AB6F50" w:rsidP="001D7159">
            <w:pPr>
              <w:keepNext/>
              <w:tabs>
                <w:tab w:val="decimal" w:pos="781"/>
              </w:tabs>
              <w:spacing w:before="40" w:after="4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$50</w:t>
            </w:r>
          </w:p>
        </w:tc>
        <w:tc>
          <w:tcPr>
            <w:tcW w:w="708" w:type="pct"/>
            <w:noWrap/>
            <w:hideMark/>
          </w:tcPr>
          <w:p w14:paraId="764EEA86" w14:textId="77777777" w:rsidR="00AB6F50" w:rsidRPr="000973F2" w:rsidRDefault="00AB6F50" w:rsidP="001D7159">
            <w:pPr>
              <w:keepNext/>
              <w:spacing w:before="40" w:after="4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$0</w:t>
            </w:r>
          </w:p>
        </w:tc>
        <w:tc>
          <w:tcPr>
            <w:tcW w:w="681" w:type="pct"/>
            <w:noWrap/>
            <w:hideMark/>
          </w:tcPr>
          <w:p w14:paraId="4C8819F4" w14:textId="77777777" w:rsidR="00AB6F50" w:rsidRPr="000973F2" w:rsidRDefault="00AB6F50" w:rsidP="001D7159">
            <w:pPr>
              <w:keepNext/>
              <w:tabs>
                <w:tab w:val="decimal" w:pos="811"/>
              </w:tabs>
              <w:spacing w:before="40" w:after="4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$50</w:t>
            </w:r>
          </w:p>
        </w:tc>
      </w:tr>
      <w:tr w:rsidR="001D7159" w:rsidRPr="000973F2" w14:paraId="0F917086" w14:textId="77777777" w:rsidTr="001D7159">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907" w:type="pct"/>
            <w:tcMar>
              <w:right w:w="14" w:type="dxa"/>
            </w:tcMar>
            <w:hideMark/>
          </w:tcPr>
          <w:p w14:paraId="0B7853D7" w14:textId="77777777" w:rsidR="001D7159" w:rsidRPr="000973F2" w:rsidRDefault="001D7159" w:rsidP="001D7159">
            <w:pPr>
              <w:keepNext/>
              <w:spacing w:before="40" w:after="4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Travel</w:t>
            </w:r>
          </w:p>
        </w:tc>
        <w:tc>
          <w:tcPr>
            <w:tcW w:w="676" w:type="pct"/>
            <w:noWrap/>
            <w:hideMark/>
          </w:tcPr>
          <w:p w14:paraId="22351654" w14:textId="4E4F76DE" w:rsidR="001D7159" w:rsidRPr="000973F2" w:rsidRDefault="001D7159" w:rsidP="001D7159">
            <w:pPr>
              <w:keepNext/>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w:t>
            </w:r>
          </w:p>
        </w:tc>
        <w:tc>
          <w:tcPr>
            <w:tcW w:w="676" w:type="pct"/>
            <w:noWrap/>
          </w:tcPr>
          <w:p w14:paraId="69A66955" w14:textId="687CB3AB" w:rsidR="001D7159" w:rsidRPr="000973F2" w:rsidRDefault="001D7159" w:rsidP="001D7159">
            <w:pPr>
              <w:keepNext/>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p>
        </w:tc>
        <w:tc>
          <w:tcPr>
            <w:tcW w:w="676" w:type="pct"/>
            <w:noWrap/>
            <w:hideMark/>
          </w:tcPr>
          <w:p w14:paraId="3023D366" w14:textId="012C5203" w:rsidR="001D7159" w:rsidRPr="000973F2" w:rsidRDefault="001D7159" w:rsidP="001D7159">
            <w:pPr>
              <w:keepNext/>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w:t>
            </w:r>
          </w:p>
        </w:tc>
        <w:tc>
          <w:tcPr>
            <w:tcW w:w="676" w:type="pct"/>
            <w:noWrap/>
            <w:hideMark/>
          </w:tcPr>
          <w:p w14:paraId="6971AAA5" w14:textId="335FADCF" w:rsidR="001D7159" w:rsidRPr="000973F2" w:rsidRDefault="001D7159" w:rsidP="001D7159">
            <w:pPr>
              <w:keepNext/>
              <w:tabs>
                <w:tab w:val="decimal" w:pos="781"/>
              </w:tabs>
              <w:spacing w:before="40" w:after="4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w:t>
            </w:r>
          </w:p>
        </w:tc>
        <w:tc>
          <w:tcPr>
            <w:tcW w:w="708" w:type="pct"/>
            <w:noWrap/>
            <w:hideMark/>
          </w:tcPr>
          <w:p w14:paraId="48AC7DCB" w14:textId="07BB2736" w:rsidR="001D7159" w:rsidRPr="000973F2" w:rsidRDefault="001D7159" w:rsidP="001D7159">
            <w:pPr>
              <w:keepNext/>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w:t>
            </w:r>
          </w:p>
        </w:tc>
        <w:tc>
          <w:tcPr>
            <w:tcW w:w="681" w:type="pct"/>
            <w:noWrap/>
            <w:hideMark/>
          </w:tcPr>
          <w:p w14:paraId="1C62A645" w14:textId="5EB645CD" w:rsidR="001D7159" w:rsidRPr="000973F2" w:rsidRDefault="001D7159" w:rsidP="001D7159">
            <w:pPr>
              <w:keepNext/>
              <w:tabs>
                <w:tab w:val="decimal" w:pos="811"/>
              </w:tabs>
              <w:spacing w:before="40" w:after="4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w:t>
            </w:r>
          </w:p>
        </w:tc>
      </w:tr>
      <w:tr w:rsidR="001D7159" w:rsidRPr="000973F2" w14:paraId="492AAECD" w14:textId="77777777" w:rsidTr="001D7159">
        <w:trPr>
          <w:cantSplit/>
        </w:trPr>
        <w:tc>
          <w:tcPr>
            <w:cnfStyle w:val="001000000000" w:firstRow="0" w:lastRow="0" w:firstColumn="1" w:lastColumn="0" w:oddVBand="0" w:evenVBand="0" w:oddHBand="0" w:evenHBand="0" w:firstRowFirstColumn="0" w:firstRowLastColumn="0" w:lastRowFirstColumn="0" w:lastRowLastColumn="0"/>
            <w:tcW w:w="907" w:type="pct"/>
            <w:tcMar>
              <w:right w:w="14" w:type="dxa"/>
            </w:tcMar>
            <w:hideMark/>
          </w:tcPr>
          <w:p w14:paraId="599674C8" w14:textId="6EE8AAB8" w:rsidR="00AB6F50" w:rsidRPr="000973F2" w:rsidRDefault="00AB6F50" w:rsidP="001D7159">
            <w:pPr>
              <w:keepNext/>
              <w:spacing w:before="40" w:after="4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 xml:space="preserve">Sampling </w:t>
            </w:r>
            <w:r w:rsidR="00321129" w:rsidRPr="000973F2">
              <w:rPr>
                <w:rFonts w:ascii="Times New Roman" w:eastAsia="Times New Roman" w:hAnsi="Times New Roman" w:cs="Times New Roman"/>
                <w:sz w:val="18"/>
                <w:szCs w:val="18"/>
              </w:rPr>
              <w:t xml:space="preserve">and Analysis </w:t>
            </w:r>
            <w:r w:rsidRPr="000973F2">
              <w:rPr>
                <w:rFonts w:ascii="Times New Roman" w:eastAsia="Times New Roman" w:hAnsi="Times New Roman" w:cs="Times New Roman"/>
                <w:sz w:val="18"/>
                <w:szCs w:val="18"/>
              </w:rPr>
              <w:t>Costs</w:t>
            </w:r>
          </w:p>
        </w:tc>
        <w:tc>
          <w:tcPr>
            <w:tcW w:w="676" w:type="pct"/>
            <w:noWrap/>
            <w:hideMark/>
          </w:tcPr>
          <w:p w14:paraId="7C0B0E05" w14:textId="77777777" w:rsidR="00AB6F50" w:rsidRPr="000973F2" w:rsidRDefault="00AB6F50" w:rsidP="001D7159">
            <w:pPr>
              <w:keepNext/>
              <w:spacing w:before="40" w:after="4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$0</w:t>
            </w:r>
          </w:p>
        </w:tc>
        <w:tc>
          <w:tcPr>
            <w:tcW w:w="676" w:type="pct"/>
            <w:noWrap/>
          </w:tcPr>
          <w:p w14:paraId="4F25CF33" w14:textId="1305A35B" w:rsidR="00AB6F50" w:rsidRPr="000973F2" w:rsidRDefault="00AB6F50" w:rsidP="001D7159">
            <w:pPr>
              <w:keepNext/>
              <w:spacing w:before="40" w:after="4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p>
        </w:tc>
        <w:tc>
          <w:tcPr>
            <w:tcW w:w="676" w:type="pct"/>
            <w:noWrap/>
            <w:hideMark/>
          </w:tcPr>
          <w:p w14:paraId="788ABB41" w14:textId="77777777" w:rsidR="00AB6F50" w:rsidRPr="000973F2" w:rsidRDefault="00AB6F50" w:rsidP="001D7159">
            <w:pPr>
              <w:keepNext/>
              <w:spacing w:before="40" w:after="4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$0</w:t>
            </w:r>
          </w:p>
        </w:tc>
        <w:tc>
          <w:tcPr>
            <w:tcW w:w="676" w:type="pct"/>
            <w:noWrap/>
            <w:hideMark/>
          </w:tcPr>
          <w:p w14:paraId="7D3EA3BF" w14:textId="77777777" w:rsidR="00AB6F50" w:rsidRPr="000973F2" w:rsidRDefault="00AB6F50" w:rsidP="001D7159">
            <w:pPr>
              <w:keepNext/>
              <w:tabs>
                <w:tab w:val="decimal" w:pos="781"/>
              </w:tabs>
              <w:spacing w:before="40" w:after="4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$21,228</w:t>
            </w:r>
          </w:p>
        </w:tc>
        <w:tc>
          <w:tcPr>
            <w:tcW w:w="708" w:type="pct"/>
            <w:noWrap/>
            <w:hideMark/>
          </w:tcPr>
          <w:p w14:paraId="671CCF65" w14:textId="77777777" w:rsidR="00AB6F50" w:rsidRPr="000973F2" w:rsidRDefault="00AB6F50" w:rsidP="001D7159">
            <w:pPr>
              <w:keepNext/>
              <w:spacing w:before="40" w:after="4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$0</w:t>
            </w:r>
          </w:p>
        </w:tc>
        <w:tc>
          <w:tcPr>
            <w:tcW w:w="681" w:type="pct"/>
            <w:noWrap/>
            <w:hideMark/>
          </w:tcPr>
          <w:p w14:paraId="574D3D04" w14:textId="77777777" w:rsidR="00AB6F50" w:rsidRPr="000973F2" w:rsidRDefault="00AB6F50" w:rsidP="001D7159">
            <w:pPr>
              <w:keepNext/>
              <w:tabs>
                <w:tab w:val="decimal" w:pos="811"/>
              </w:tabs>
              <w:spacing w:before="40" w:after="4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$21,228</w:t>
            </w:r>
          </w:p>
        </w:tc>
      </w:tr>
      <w:tr w:rsidR="001D7159" w:rsidRPr="000973F2" w14:paraId="526B0FA8" w14:textId="77777777" w:rsidTr="001D7159">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907" w:type="pct"/>
            <w:tcMar>
              <w:right w:w="14" w:type="dxa"/>
            </w:tcMar>
            <w:hideMark/>
          </w:tcPr>
          <w:p w14:paraId="0580BAFA" w14:textId="77777777" w:rsidR="00AB6F50" w:rsidRPr="000973F2" w:rsidRDefault="00AB6F50" w:rsidP="001D7159">
            <w:pPr>
              <w:keepNext/>
              <w:spacing w:before="40" w:after="40"/>
              <w:rPr>
                <w:rFonts w:ascii="Times New Roman" w:eastAsia="Times New Roman" w:hAnsi="Times New Roman" w:cs="Times New Roman"/>
                <w:b/>
                <w:bCs w:val="0"/>
                <w:sz w:val="18"/>
                <w:szCs w:val="18"/>
              </w:rPr>
            </w:pPr>
            <w:r w:rsidRPr="000973F2">
              <w:rPr>
                <w:rFonts w:ascii="Times New Roman" w:eastAsia="Times New Roman" w:hAnsi="Times New Roman" w:cs="Times New Roman"/>
                <w:b/>
                <w:sz w:val="18"/>
                <w:szCs w:val="18"/>
              </w:rPr>
              <w:t xml:space="preserve">Total </w:t>
            </w:r>
          </w:p>
        </w:tc>
        <w:tc>
          <w:tcPr>
            <w:tcW w:w="676" w:type="pct"/>
            <w:noWrap/>
            <w:hideMark/>
          </w:tcPr>
          <w:p w14:paraId="3691CDC1" w14:textId="77777777" w:rsidR="00AB6F50" w:rsidRPr="000973F2" w:rsidRDefault="00AB6F50" w:rsidP="001D7159">
            <w:pPr>
              <w:keepNext/>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sz w:val="18"/>
                <w:szCs w:val="18"/>
              </w:rPr>
            </w:pPr>
            <w:r w:rsidRPr="000973F2">
              <w:rPr>
                <w:rFonts w:ascii="Times New Roman" w:eastAsia="Times New Roman" w:hAnsi="Times New Roman" w:cs="Times New Roman"/>
                <w:b/>
                <w:sz w:val="18"/>
                <w:szCs w:val="18"/>
              </w:rPr>
              <w:t>$0</w:t>
            </w:r>
          </w:p>
        </w:tc>
        <w:tc>
          <w:tcPr>
            <w:tcW w:w="676" w:type="pct"/>
            <w:noWrap/>
          </w:tcPr>
          <w:p w14:paraId="128F4327" w14:textId="5A5893AD" w:rsidR="00AB6F50" w:rsidRPr="000973F2" w:rsidRDefault="00AB6F50" w:rsidP="001D7159">
            <w:pPr>
              <w:keepNext/>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sz w:val="18"/>
                <w:szCs w:val="18"/>
              </w:rPr>
            </w:pPr>
          </w:p>
        </w:tc>
        <w:tc>
          <w:tcPr>
            <w:tcW w:w="676" w:type="pct"/>
            <w:noWrap/>
            <w:hideMark/>
          </w:tcPr>
          <w:p w14:paraId="1D0FE113" w14:textId="77777777" w:rsidR="00AB6F50" w:rsidRPr="000973F2" w:rsidRDefault="00AB6F50" w:rsidP="001D7159">
            <w:pPr>
              <w:keepNext/>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sz w:val="18"/>
                <w:szCs w:val="18"/>
              </w:rPr>
            </w:pPr>
            <w:r w:rsidRPr="000973F2">
              <w:rPr>
                <w:rFonts w:ascii="Times New Roman" w:eastAsia="Times New Roman" w:hAnsi="Times New Roman" w:cs="Times New Roman"/>
                <w:b/>
                <w:sz w:val="18"/>
                <w:szCs w:val="18"/>
              </w:rPr>
              <w:t>$0</w:t>
            </w:r>
          </w:p>
        </w:tc>
        <w:tc>
          <w:tcPr>
            <w:tcW w:w="676" w:type="pct"/>
            <w:noWrap/>
            <w:hideMark/>
          </w:tcPr>
          <w:p w14:paraId="053A4855" w14:textId="77777777" w:rsidR="00AB6F50" w:rsidRPr="000973F2" w:rsidRDefault="00AB6F50" w:rsidP="001D7159">
            <w:pPr>
              <w:keepNext/>
              <w:tabs>
                <w:tab w:val="decimal" w:pos="781"/>
              </w:tabs>
              <w:spacing w:before="40" w:after="4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sz w:val="18"/>
                <w:szCs w:val="18"/>
              </w:rPr>
            </w:pPr>
            <w:r w:rsidRPr="000973F2">
              <w:rPr>
                <w:rFonts w:ascii="Times New Roman" w:eastAsia="Times New Roman" w:hAnsi="Times New Roman" w:cs="Times New Roman"/>
                <w:b/>
                <w:sz w:val="18"/>
                <w:szCs w:val="18"/>
              </w:rPr>
              <w:t>$21,391</w:t>
            </w:r>
          </w:p>
        </w:tc>
        <w:tc>
          <w:tcPr>
            <w:tcW w:w="708" w:type="pct"/>
            <w:noWrap/>
            <w:hideMark/>
          </w:tcPr>
          <w:p w14:paraId="27F5A1B9" w14:textId="77777777" w:rsidR="00AB6F50" w:rsidRPr="000973F2" w:rsidRDefault="00AB6F50" w:rsidP="001D7159">
            <w:pPr>
              <w:keepNext/>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sz w:val="18"/>
                <w:szCs w:val="18"/>
              </w:rPr>
            </w:pPr>
            <w:r w:rsidRPr="000973F2">
              <w:rPr>
                <w:rFonts w:ascii="Times New Roman" w:eastAsia="Times New Roman" w:hAnsi="Times New Roman" w:cs="Times New Roman"/>
                <w:b/>
                <w:sz w:val="18"/>
                <w:szCs w:val="18"/>
              </w:rPr>
              <w:t>$0</w:t>
            </w:r>
          </w:p>
        </w:tc>
        <w:tc>
          <w:tcPr>
            <w:tcW w:w="681" w:type="pct"/>
            <w:noWrap/>
            <w:hideMark/>
          </w:tcPr>
          <w:p w14:paraId="1549FC91" w14:textId="77777777" w:rsidR="00AB6F50" w:rsidRPr="000973F2" w:rsidRDefault="00AB6F50" w:rsidP="001D7159">
            <w:pPr>
              <w:keepNext/>
              <w:tabs>
                <w:tab w:val="decimal" w:pos="811"/>
              </w:tabs>
              <w:spacing w:before="40" w:after="4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sz w:val="18"/>
                <w:szCs w:val="18"/>
              </w:rPr>
            </w:pPr>
            <w:r w:rsidRPr="000973F2">
              <w:rPr>
                <w:rFonts w:ascii="Times New Roman" w:eastAsia="Times New Roman" w:hAnsi="Times New Roman" w:cs="Times New Roman"/>
                <w:b/>
                <w:sz w:val="18"/>
                <w:szCs w:val="18"/>
              </w:rPr>
              <w:t>$21,391</w:t>
            </w:r>
          </w:p>
        </w:tc>
      </w:tr>
    </w:tbl>
    <w:p w14:paraId="704476B8" w14:textId="77777777" w:rsidR="00AB6F50" w:rsidRPr="000973F2" w:rsidRDefault="00AB6F50" w:rsidP="001D7159">
      <w:pPr>
        <w:pStyle w:val="AfterTable"/>
      </w:pPr>
    </w:p>
    <w:p w14:paraId="3A65808E" w14:textId="06DCA957" w:rsidR="00AB6F50" w:rsidRPr="000973F2" w:rsidRDefault="00AB6F50" w:rsidP="0061585D">
      <w:pPr>
        <w:pStyle w:val="Heading2"/>
      </w:pPr>
      <w:r w:rsidRPr="000973F2">
        <w:t xml:space="preserve">Labor Costs for Subpart W </w:t>
      </w:r>
      <w:r w:rsidR="001D7159" w:rsidRPr="000973F2">
        <w:t>–</w:t>
      </w:r>
      <w:r w:rsidRPr="000973F2">
        <w:t xml:space="preserve"> Onshore Natural Gas Transmission Compression</w:t>
      </w:r>
    </w:p>
    <w:p w14:paraId="6301AC70" w14:textId="2880312C" w:rsidR="00AB6F50" w:rsidRPr="000973F2" w:rsidRDefault="00AB6F50" w:rsidP="001D7159">
      <w:pPr>
        <w:pStyle w:val="BodyText"/>
      </w:pPr>
      <w:r w:rsidRPr="000973F2">
        <w:t xml:space="preserve">Table </w:t>
      </w:r>
      <w:r w:rsidR="001D7159" w:rsidRPr="000973F2">
        <w:t>W-</w:t>
      </w:r>
      <w:r w:rsidRPr="000973F2">
        <w:t>1d below includes the labor hours for each of the 532 existing reporters in the Onshore Natural Gas Transmission Compression industry segment to comply with Subpart W according to §98.232(e). Typical activities related to planning, QA/QC, recordkeeping and reporting, and sampling and analysis (which includes emission calculations) are discussed in the Cost Appendix Introduction. Calculations required for this industry segment are detailed in §98.233, based on the emission sources listed in §98.232(e).</w:t>
      </w:r>
    </w:p>
    <w:p w14:paraId="2A0B9263" w14:textId="53269E36" w:rsidR="00AB6F50" w:rsidRPr="000973F2" w:rsidRDefault="00AB6F50" w:rsidP="001D7159">
      <w:pPr>
        <w:pStyle w:val="Heading2"/>
      </w:pPr>
      <w:r w:rsidRPr="000973F2">
        <w:t xml:space="preserve">Capital and O&amp;M Costs for Subpart W </w:t>
      </w:r>
      <w:r w:rsidR="001D7159" w:rsidRPr="000973F2">
        <w:t>–</w:t>
      </w:r>
      <w:r w:rsidRPr="000973F2">
        <w:t xml:space="preserve"> Onshore Natural Gas Transmission Compression</w:t>
      </w:r>
    </w:p>
    <w:p w14:paraId="18FB988A" w14:textId="3E94315A" w:rsidR="00AB6F50" w:rsidRPr="000973F2" w:rsidRDefault="00AB6F50" w:rsidP="001D7159">
      <w:pPr>
        <w:pStyle w:val="BodyText"/>
      </w:pPr>
      <w:r w:rsidRPr="000973F2">
        <w:t xml:space="preserve">Table </w:t>
      </w:r>
      <w:r w:rsidR="001D7159" w:rsidRPr="000973F2">
        <w:t>W-</w:t>
      </w:r>
      <w:r w:rsidRPr="000973F2">
        <w:t>2d below includes the capital and O&amp;M costs for each of the 532 reporters in the Onshore Natural Gas Transmission Compression industry segment to comply with Subpart W. Typical costs related to equipment, performance testing, recordkeeping, and travel are discussed in the Cost Appendix Introduction.</w:t>
      </w:r>
    </w:p>
    <w:p w14:paraId="07179EEF" w14:textId="77777777" w:rsidR="00AB6F50" w:rsidRPr="000973F2" w:rsidRDefault="00AB6F50" w:rsidP="001D7159">
      <w:pPr>
        <w:pStyle w:val="BodyText"/>
      </w:pPr>
      <w:r w:rsidRPr="000973F2">
        <w:t>Sampling costs for this industry segment are related to the use of EPA Method 21 to conduct equipment leak surveys; the hiring of contractors to conduct leak measurements for reciprocating and centrifugal compressors; and determining emissions from transmission storage tanks.</w:t>
      </w:r>
    </w:p>
    <w:p w14:paraId="2D80BDBF" w14:textId="77777777" w:rsidR="0020488C" w:rsidRPr="000973F2" w:rsidRDefault="0020488C" w:rsidP="00C00E4F">
      <w:pPr>
        <w:spacing w:line="240" w:lineRule="auto"/>
        <w:rPr>
          <w:rFonts w:ascii="Times New Roman" w:hAnsi="Times New Roman" w:cs="Times New Roman"/>
          <w:b/>
          <w:szCs w:val="20"/>
        </w:rPr>
      </w:pPr>
      <w:r w:rsidRPr="000973F2">
        <w:rPr>
          <w:rFonts w:ascii="Times New Roman" w:hAnsi="Times New Roman" w:cs="Times New Roman"/>
          <w:b/>
          <w:szCs w:val="20"/>
        </w:rPr>
        <w:br w:type="page"/>
      </w:r>
    </w:p>
    <w:p w14:paraId="61823641" w14:textId="47C6F6D0" w:rsidR="00AB6F50" w:rsidRPr="000973F2" w:rsidRDefault="00AB6F50" w:rsidP="001D7159">
      <w:pPr>
        <w:pStyle w:val="Tabletitle"/>
      </w:pPr>
      <w:r w:rsidRPr="000973F2">
        <w:t xml:space="preserve">Table </w:t>
      </w:r>
      <w:r w:rsidR="001D7159" w:rsidRPr="000973F2">
        <w:t>W-</w:t>
      </w:r>
      <w:r w:rsidRPr="000973F2">
        <w:t>1d.</w:t>
      </w:r>
      <w:r w:rsidR="001F4582" w:rsidRPr="000973F2">
        <w:t xml:space="preserve"> Labor Costs </w:t>
      </w:r>
      <w:r w:rsidR="00B960CC" w:rsidRPr="000973F2">
        <w:t>–</w:t>
      </w:r>
      <w:r w:rsidR="001F4582" w:rsidRPr="000973F2">
        <w:t xml:space="preserve"> </w:t>
      </w:r>
      <w:r w:rsidRPr="000973F2">
        <w:t>Subpart W –</w:t>
      </w:r>
      <w:bookmarkStart w:id="42" w:name="_Hlk520797831"/>
      <w:r w:rsidR="001D7159" w:rsidRPr="000973F2">
        <w:t xml:space="preserve"> </w:t>
      </w:r>
      <w:r w:rsidRPr="000973F2">
        <w:t>Onshore Natural Gas Transmission Compression</w:t>
      </w:r>
      <w:bookmarkEnd w:id="42"/>
    </w:p>
    <w:tbl>
      <w:tblPr>
        <w:tblStyle w:val="PlainTable1"/>
        <w:tblW w:w="5000" w:type="pct"/>
        <w:jc w:val="left"/>
        <w:tblLayout w:type="fixed"/>
        <w:tblCellMar>
          <w:left w:w="115" w:type="dxa"/>
          <w:right w:w="115" w:type="dxa"/>
        </w:tblCellMar>
        <w:tblLook w:val="04A0" w:firstRow="1" w:lastRow="0" w:firstColumn="1" w:lastColumn="0" w:noHBand="0" w:noVBand="1"/>
      </w:tblPr>
      <w:tblGrid>
        <w:gridCol w:w="1373"/>
        <w:gridCol w:w="676"/>
        <w:gridCol w:w="676"/>
        <w:gridCol w:w="675"/>
        <w:gridCol w:w="675"/>
        <w:gridCol w:w="675"/>
        <w:gridCol w:w="675"/>
        <w:gridCol w:w="675"/>
        <w:gridCol w:w="675"/>
        <w:gridCol w:w="675"/>
        <w:gridCol w:w="675"/>
        <w:gridCol w:w="703"/>
        <w:gridCol w:w="762"/>
      </w:tblGrid>
      <w:tr w:rsidR="00AB6F50" w:rsidRPr="000973F2" w14:paraId="2482AB9B" w14:textId="77777777" w:rsidTr="001D7159">
        <w:trPr>
          <w:cnfStyle w:val="100000000000" w:firstRow="1" w:lastRow="0" w:firstColumn="0" w:lastColumn="0" w:oddVBand="0" w:evenVBand="0" w:oddHBand="0" w:evenHBand="0" w:firstRowFirstColumn="0" w:firstRowLastColumn="0" w:lastRowFirstColumn="0" w:lastRowLastColumn="0"/>
          <w:cantSplit/>
          <w:jc w:val="left"/>
        </w:trPr>
        <w:tc>
          <w:tcPr>
            <w:cnfStyle w:val="001000000000" w:firstRow="0" w:lastRow="0" w:firstColumn="1" w:lastColumn="0" w:oddVBand="0" w:evenVBand="0" w:oddHBand="0" w:evenHBand="0" w:firstRowFirstColumn="0" w:firstRowLastColumn="0" w:lastRowFirstColumn="0" w:lastRowLastColumn="0"/>
            <w:tcW w:w="1335" w:type="dxa"/>
            <w:vMerge w:val="restart"/>
            <w:noWrap/>
            <w:tcMar>
              <w:right w:w="14" w:type="dxa"/>
            </w:tcMar>
            <w:vAlign w:val="top"/>
            <w:hideMark/>
          </w:tcPr>
          <w:p w14:paraId="5B6848C8" w14:textId="77777777" w:rsidR="00AB6F50" w:rsidRPr="000973F2" w:rsidRDefault="00AB6F50" w:rsidP="001D7159">
            <w:pPr>
              <w:spacing w:before="40" w:after="40"/>
              <w:rPr>
                <w:rFonts w:ascii="Times New Roman" w:eastAsia="Times New Roman" w:hAnsi="Times New Roman" w:cs="Times New Roman"/>
                <w:b w:val="0"/>
                <w:bCs w:val="0"/>
                <w:sz w:val="18"/>
                <w:szCs w:val="18"/>
              </w:rPr>
            </w:pPr>
            <w:r w:rsidRPr="000973F2">
              <w:rPr>
                <w:rFonts w:ascii="Times New Roman" w:eastAsia="Times New Roman" w:hAnsi="Times New Roman" w:cs="Times New Roman"/>
                <w:sz w:val="18"/>
                <w:szCs w:val="18"/>
              </w:rPr>
              <w:t>Activity</w:t>
            </w:r>
          </w:p>
        </w:tc>
        <w:tc>
          <w:tcPr>
            <w:tcW w:w="6570" w:type="dxa"/>
            <w:gridSpan w:val="10"/>
            <w:noWrap/>
            <w:vAlign w:val="top"/>
            <w:hideMark/>
          </w:tcPr>
          <w:p w14:paraId="4ABD1372" w14:textId="77777777" w:rsidR="00AB6F50" w:rsidRPr="000973F2" w:rsidRDefault="00AB6F50" w:rsidP="001D7159">
            <w:pPr>
              <w:spacing w:before="40" w:after="40"/>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bCs w:val="0"/>
                <w:sz w:val="18"/>
                <w:szCs w:val="18"/>
              </w:rPr>
            </w:pPr>
            <w:r w:rsidRPr="000973F2">
              <w:rPr>
                <w:rFonts w:ascii="Times New Roman" w:eastAsia="Times New Roman" w:hAnsi="Times New Roman" w:cs="Times New Roman"/>
                <w:sz w:val="18"/>
                <w:szCs w:val="18"/>
              </w:rPr>
              <w:t>Labor Rates (per hour)</w:t>
            </w:r>
          </w:p>
        </w:tc>
        <w:tc>
          <w:tcPr>
            <w:tcW w:w="1425" w:type="dxa"/>
            <w:gridSpan w:val="2"/>
            <w:vMerge w:val="restart"/>
            <w:vAlign w:val="top"/>
            <w:hideMark/>
          </w:tcPr>
          <w:p w14:paraId="5A7DBB2E" w14:textId="27B656AE" w:rsidR="00AB6F50" w:rsidRPr="000973F2" w:rsidRDefault="00AB6F50" w:rsidP="001D7159">
            <w:pPr>
              <w:spacing w:before="40" w:after="40"/>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bCs w:val="0"/>
                <w:sz w:val="18"/>
                <w:szCs w:val="18"/>
              </w:rPr>
            </w:pPr>
            <w:r w:rsidRPr="000973F2">
              <w:rPr>
                <w:rFonts w:ascii="Times New Roman" w:eastAsia="Times New Roman" w:hAnsi="Times New Roman" w:cs="Times New Roman"/>
                <w:sz w:val="18"/>
                <w:szCs w:val="18"/>
              </w:rPr>
              <w:t>Total Labor Cost per Year per Reporter</w:t>
            </w:r>
            <w:r w:rsidR="001D7159" w:rsidRPr="000973F2">
              <w:rPr>
                <w:rFonts w:ascii="Times New Roman" w:eastAsia="Times New Roman" w:hAnsi="Times New Roman" w:cs="Times New Roman"/>
                <w:sz w:val="18"/>
                <w:szCs w:val="18"/>
              </w:rPr>
              <w:t xml:space="preserve"> </w:t>
            </w:r>
            <w:r w:rsidRPr="000973F2">
              <w:rPr>
                <w:rFonts w:ascii="Times New Roman" w:eastAsia="Times New Roman" w:hAnsi="Times New Roman" w:cs="Times New Roman"/>
                <w:sz w:val="18"/>
                <w:szCs w:val="18"/>
              </w:rPr>
              <w:t>(2017$)</w:t>
            </w:r>
          </w:p>
        </w:tc>
      </w:tr>
      <w:tr w:rsidR="00AB6F50" w:rsidRPr="000973F2" w14:paraId="198ADBA3" w14:textId="77777777" w:rsidTr="001D7159">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1335" w:type="dxa"/>
            <w:vMerge/>
            <w:tcMar>
              <w:right w:w="14" w:type="dxa"/>
            </w:tcMar>
            <w:hideMark/>
          </w:tcPr>
          <w:p w14:paraId="43FE0F42" w14:textId="77777777" w:rsidR="00AB6F50" w:rsidRPr="000973F2" w:rsidRDefault="00AB6F50" w:rsidP="001D7159">
            <w:pPr>
              <w:spacing w:before="40" w:after="40"/>
              <w:rPr>
                <w:rFonts w:ascii="Times New Roman" w:eastAsia="Times New Roman" w:hAnsi="Times New Roman" w:cs="Times New Roman"/>
                <w:b/>
                <w:bCs w:val="0"/>
                <w:sz w:val="18"/>
                <w:szCs w:val="18"/>
              </w:rPr>
            </w:pPr>
          </w:p>
        </w:tc>
        <w:tc>
          <w:tcPr>
            <w:tcW w:w="1314" w:type="dxa"/>
            <w:gridSpan w:val="2"/>
            <w:noWrap/>
            <w:hideMark/>
          </w:tcPr>
          <w:p w14:paraId="049C286D" w14:textId="77777777" w:rsidR="00AB6F50" w:rsidRPr="000973F2" w:rsidRDefault="00AB6F50" w:rsidP="001D7159">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18"/>
                <w:szCs w:val="18"/>
              </w:rPr>
            </w:pPr>
            <w:r w:rsidRPr="000973F2">
              <w:rPr>
                <w:rFonts w:ascii="Times New Roman" w:eastAsia="Times New Roman" w:hAnsi="Times New Roman" w:cs="Times New Roman"/>
                <w:b/>
                <w:bCs/>
                <w:sz w:val="18"/>
                <w:szCs w:val="18"/>
              </w:rPr>
              <w:t>Lawyer</w:t>
            </w:r>
          </w:p>
        </w:tc>
        <w:tc>
          <w:tcPr>
            <w:tcW w:w="1314" w:type="dxa"/>
            <w:gridSpan w:val="2"/>
            <w:noWrap/>
            <w:hideMark/>
          </w:tcPr>
          <w:p w14:paraId="75C7A214" w14:textId="77777777" w:rsidR="00AB6F50" w:rsidRPr="000973F2" w:rsidRDefault="00AB6F50" w:rsidP="001D7159">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18"/>
                <w:szCs w:val="18"/>
              </w:rPr>
            </w:pPr>
            <w:r w:rsidRPr="000973F2">
              <w:rPr>
                <w:rFonts w:ascii="Times New Roman" w:eastAsia="Times New Roman" w:hAnsi="Times New Roman" w:cs="Times New Roman"/>
                <w:b/>
                <w:bCs/>
                <w:sz w:val="18"/>
                <w:szCs w:val="18"/>
              </w:rPr>
              <w:t>Senior Manager</w:t>
            </w:r>
          </w:p>
        </w:tc>
        <w:tc>
          <w:tcPr>
            <w:tcW w:w="1314" w:type="dxa"/>
            <w:gridSpan w:val="2"/>
            <w:noWrap/>
            <w:hideMark/>
          </w:tcPr>
          <w:p w14:paraId="06A1DA39" w14:textId="77777777" w:rsidR="00AB6F50" w:rsidRPr="000973F2" w:rsidRDefault="00AB6F50" w:rsidP="001D7159">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18"/>
                <w:szCs w:val="18"/>
              </w:rPr>
            </w:pPr>
            <w:r w:rsidRPr="000973F2">
              <w:rPr>
                <w:rFonts w:ascii="Times New Roman" w:eastAsia="Times New Roman" w:hAnsi="Times New Roman" w:cs="Times New Roman"/>
                <w:b/>
                <w:bCs/>
                <w:sz w:val="18"/>
                <w:szCs w:val="18"/>
              </w:rPr>
              <w:t>Middle Manager</w:t>
            </w:r>
          </w:p>
        </w:tc>
        <w:tc>
          <w:tcPr>
            <w:tcW w:w="1314" w:type="dxa"/>
            <w:gridSpan w:val="2"/>
            <w:hideMark/>
          </w:tcPr>
          <w:p w14:paraId="0A3D610D" w14:textId="77777777" w:rsidR="00AB6F50" w:rsidRPr="000973F2" w:rsidRDefault="00AB6F50" w:rsidP="001D7159">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18"/>
                <w:szCs w:val="18"/>
              </w:rPr>
            </w:pPr>
            <w:r w:rsidRPr="000973F2">
              <w:rPr>
                <w:rFonts w:ascii="Times New Roman" w:eastAsia="Times New Roman" w:hAnsi="Times New Roman" w:cs="Times New Roman"/>
                <w:b/>
                <w:bCs/>
                <w:sz w:val="18"/>
                <w:szCs w:val="18"/>
              </w:rPr>
              <w:t>Engineer</w:t>
            </w:r>
          </w:p>
        </w:tc>
        <w:tc>
          <w:tcPr>
            <w:tcW w:w="1314" w:type="dxa"/>
            <w:gridSpan w:val="2"/>
            <w:hideMark/>
          </w:tcPr>
          <w:p w14:paraId="6FC0E6DE" w14:textId="77777777" w:rsidR="00AB6F50" w:rsidRPr="000973F2" w:rsidRDefault="00AB6F50" w:rsidP="001D7159">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18"/>
                <w:szCs w:val="18"/>
              </w:rPr>
            </w:pPr>
            <w:r w:rsidRPr="000973F2">
              <w:rPr>
                <w:rFonts w:ascii="Times New Roman" w:eastAsia="Times New Roman" w:hAnsi="Times New Roman" w:cs="Times New Roman"/>
                <w:b/>
                <w:bCs/>
                <w:sz w:val="18"/>
                <w:szCs w:val="18"/>
              </w:rPr>
              <w:t>Technician</w:t>
            </w:r>
          </w:p>
        </w:tc>
        <w:tc>
          <w:tcPr>
            <w:tcW w:w="1425" w:type="dxa"/>
            <w:gridSpan w:val="2"/>
            <w:vMerge/>
            <w:hideMark/>
          </w:tcPr>
          <w:p w14:paraId="5665C6DC" w14:textId="77777777" w:rsidR="00AB6F50" w:rsidRPr="000973F2" w:rsidRDefault="00AB6F50" w:rsidP="001D7159">
            <w:pPr>
              <w:spacing w:before="40" w:after="4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18"/>
                <w:szCs w:val="18"/>
              </w:rPr>
            </w:pPr>
          </w:p>
        </w:tc>
      </w:tr>
      <w:tr w:rsidR="00AB6F50" w:rsidRPr="000973F2" w14:paraId="0DE9ED22" w14:textId="77777777" w:rsidTr="001D7159">
        <w:trPr>
          <w:cantSplit/>
        </w:trPr>
        <w:tc>
          <w:tcPr>
            <w:cnfStyle w:val="001000000000" w:firstRow="0" w:lastRow="0" w:firstColumn="1" w:lastColumn="0" w:oddVBand="0" w:evenVBand="0" w:oddHBand="0" w:evenHBand="0" w:firstRowFirstColumn="0" w:firstRowLastColumn="0" w:lastRowFirstColumn="0" w:lastRowLastColumn="0"/>
            <w:tcW w:w="1335" w:type="dxa"/>
            <w:vMerge/>
            <w:tcMar>
              <w:right w:w="14" w:type="dxa"/>
            </w:tcMar>
            <w:hideMark/>
          </w:tcPr>
          <w:p w14:paraId="7F18BD66" w14:textId="77777777" w:rsidR="00AB6F50" w:rsidRPr="000973F2" w:rsidRDefault="00AB6F50" w:rsidP="001D7159">
            <w:pPr>
              <w:spacing w:before="40" w:after="40"/>
              <w:rPr>
                <w:rFonts w:ascii="Times New Roman" w:eastAsia="Times New Roman" w:hAnsi="Times New Roman" w:cs="Times New Roman"/>
                <w:b/>
                <w:bCs w:val="0"/>
                <w:sz w:val="18"/>
                <w:szCs w:val="18"/>
              </w:rPr>
            </w:pPr>
          </w:p>
        </w:tc>
        <w:tc>
          <w:tcPr>
            <w:tcW w:w="1314" w:type="dxa"/>
            <w:gridSpan w:val="2"/>
            <w:noWrap/>
            <w:hideMark/>
          </w:tcPr>
          <w:p w14:paraId="7326F34E" w14:textId="19280CC8" w:rsidR="00AB6F50" w:rsidRPr="000973F2" w:rsidRDefault="00AB6F50" w:rsidP="001D7159">
            <w:pPr>
              <w:spacing w:before="40" w:after="4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sz w:val="18"/>
                <w:szCs w:val="18"/>
              </w:rPr>
            </w:pPr>
            <w:r w:rsidRPr="000973F2">
              <w:rPr>
                <w:rFonts w:ascii="Times New Roman" w:eastAsia="Times New Roman" w:hAnsi="Times New Roman" w:cs="Times New Roman"/>
                <w:b/>
                <w:bCs/>
                <w:sz w:val="18"/>
                <w:szCs w:val="18"/>
              </w:rPr>
              <w:t>$112.23</w:t>
            </w:r>
          </w:p>
        </w:tc>
        <w:tc>
          <w:tcPr>
            <w:tcW w:w="1314" w:type="dxa"/>
            <w:gridSpan w:val="2"/>
            <w:hideMark/>
          </w:tcPr>
          <w:p w14:paraId="3850DDEA" w14:textId="307F17A5" w:rsidR="00AB6F50" w:rsidRPr="000973F2" w:rsidRDefault="00AB6F50" w:rsidP="001D7159">
            <w:pPr>
              <w:spacing w:before="40" w:after="4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sz w:val="18"/>
                <w:szCs w:val="18"/>
              </w:rPr>
            </w:pPr>
            <w:r w:rsidRPr="000973F2">
              <w:rPr>
                <w:rFonts w:ascii="Times New Roman" w:eastAsia="Times New Roman" w:hAnsi="Times New Roman" w:cs="Times New Roman"/>
                <w:b/>
                <w:bCs/>
                <w:sz w:val="18"/>
                <w:szCs w:val="18"/>
              </w:rPr>
              <w:t>$141.54</w:t>
            </w:r>
          </w:p>
        </w:tc>
        <w:tc>
          <w:tcPr>
            <w:tcW w:w="1314" w:type="dxa"/>
            <w:gridSpan w:val="2"/>
            <w:noWrap/>
            <w:hideMark/>
          </w:tcPr>
          <w:p w14:paraId="115E271D" w14:textId="16BAD741" w:rsidR="00AB6F50" w:rsidRPr="000973F2" w:rsidRDefault="00AB6F50" w:rsidP="001D7159">
            <w:pPr>
              <w:spacing w:before="40" w:after="4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sz w:val="18"/>
                <w:szCs w:val="18"/>
              </w:rPr>
            </w:pPr>
            <w:r w:rsidRPr="000973F2">
              <w:rPr>
                <w:rFonts w:ascii="Times New Roman" w:eastAsia="Times New Roman" w:hAnsi="Times New Roman" w:cs="Times New Roman"/>
                <w:b/>
                <w:bCs/>
                <w:sz w:val="18"/>
                <w:szCs w:val="18"/>
              </w:rPr>
              <w:t>$105.68</w:t>
            </w:r>
          </w:p>
        </w:tc>
        <w:tc>
          <w:tcPr>
            <w:tcW w:w="1314" w:type="dxa"/>
            <w:gridSpan w:val="2"/>
            <w:hideMark/>
          </w:tcPr>
          <w:p w14:paraId="640F337D" w14:textId="18E0A8F0" w:rsidR="00AB6F50" w:rsidRPr="000973F2" w:rsidRDefault="00AB6F50" w:rsidP="001D7159">
            <w:pPr>
              <w:spacing w:before="40" w:after="4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sz w:val="18"/>
                <w:szCs w:val="18"/>
              </w:rPr>
            </w:pPr>
            <w:r w:rsidRPr="000973F2">
              <w:rPr>
                <w:rFonts w:ascii="Times New Roman" w:eastAsia="Times New Roman" w:hAnsi="Times New Roman" w:cs="Times New Roman"/>
                <w:b/>
                <w:bCs/>
                <w:sz w:val="18"/>
                <w:szCs w:val="18"/>
              </w:rPr>
              <w:t>$91.06</w:t>
            </w:r>
          </w:p>
        </w:tc>
        <w:tc>
          <w:tcPr>
            <w:tcW w:w="1314" w:type="dxa"/>
            <w:gridSpan w:val="2"/>
            <w:noWrap/>
            <w:hideMark/>
          </w:tcPr>
          <w:p w14:paraId="363725D7" w14:textId="7DBDCE3C" w:rsidR="00AB6F50" w:rsidRPr="000973F2" w:rsidRDefault="00AB6F50" w:rsidP="001D7159">
            <w:pPr>
              <w:spacing w:before="40" w:after="4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sz w:val="18"/>
                <w:szCs w:val="18"/>
              </w:rPr>
            </w:pPr>
            <w:r w:rsidRPr="000973F2">
              <w:rPr>
                <w:rFonts w:ascii="Times New Roman" w:eastAsia="Times New Roman" w:hAnsi="Times New Roman" w:cs="Times New Roman"/>
                <w:b/>
                <w:bCs/>
                <w:sz w:val="18"/>
                <w:szCs w:val="18"/>
              </w:rPr>
              <w:t>$60.72</w:t>
            </w:r>
          </w:p>
        </w:tc>
        <w:tc>
          <w:tcPr>
            <w:tcW w:w="1425" w:type="dxa"/>
            <w:gridSpan w:val="2"/>
            <w:vMerge/>
            <w:hideMark/>
          </w:tcPr>
          <w:p w14:paraId="7CB3845D" w14:textId="77777777" w:rsidR="00AB6F50" w:rsidRPr="000973F2" w:rsidRDefault="00AB6F50" w:rsidP="001D7159">
            <w:pPr>
              <w:spacing w:before="40" w:after="4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sz w:val="18"/>
                <w:szCs w:val="18"/>
              </w:rPr>
            </w:pPr>
          </w:p>
        </w:tc>
      </w:tr>
      <w:tr w:rsidR="00816BF1" w:rsidRPr="000973F2" w14:paraId="0C9E7756" w14:textId="77777777" w:rsidTr="001D7159">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1335" w:type="dxa"/>
            <w:vMerge/>
            <w:tcMar>
              <w:right w:w="14" w:type="dxa"/>
            </w:tcMar>
            <w:hideMark/>
          </w:tcPr>
          <w:p w14:paraId="623AE2E1" w14:textId="77777777" w:rsidR="00AB6F50" w:rsidRPr="000973F2" w:rsidRDefault="00AB6F50" w:rsidP="001D7159">
            <w:pPr>
              <w:spacing w:before="40" w:after="40"/>
              <w:rPr>
                <w:rFonts w:ascii="Times New Roman" w:eastAsia="Times New Roman" w:hAnsi="Times New Roman" w:cs="Times New Roman"/>
                <w:b/>
                <w:bCs w:val="0"/>
                <w:sz w:val="18"/>
                <w:szCs w:val="18"/>
              </w:rPr>
            </w:pPr>
          </w:p>
        </w:tc>
        <w:tc>
          <w:tcPr>
            <w:tcW w:w="657" w:type="dxa"/>
            <w:tcMar>
              <w:left w:w="14" w:type="dxa"/>
              <w:right w:w="14" w:type="dxa"/>
            </w:tcMar>
            <w:hideMark/>
          </w:tcPr>
          <w:p w14:paraId="081EAE0E" w14:textId="77777777" w:rsidR="00AB6F50" w:rsidRPr="000973F2" w:rsidRDefault="00AB6F50" w:rsidP="001D7159">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18"/>
                <w:szCs w:val="18"/>
              </w:rPr>
            </w:pPr>
            <w:r w:rsidRPr="000973F2">
              <w:rPr>
                <w:rFonts w:ascii="Times New Roman" w:eastAsia="Times New Roman" w:hAnsi="Times New Roman" w:cs="Times New Roman"/>
                <w:b/>
                <w:bCs/>
                <w:sz w:val="18"/>
                <w:szCs w:val="18"/>
              </w:rPr>
              <w:t>Initial Year Hours</w:t>
            </w:r>
          </w:p>
        </w:tc>
        <w:tc>
          <w:tcPr>
            <w:tcW w:w="657" w:type="dxa"/>
            <w:tcMar>
              <w:left w:w="14" w:type="dxa"/>
              <w:right w:w="14" w:type="dxa"/>
            </w:tcMar>
            <w:hideMark/>
          </w:tcPr>
          <w:p w14:paraId="1C07FA2C" w14:textId="77777777" w:rsidR="00AB6F50" w:rsidRPr="000973F2" w:rsidRDefault="00AB6F50" w:rsidP="001D7159">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18"/>
                <w:szCs w:val="18"/>
              </w:rPr>
            </w:pPr>
            <w:r w:rsidRPr="000973F2">
              <w:rPr>
                <w:rFonts w:ascii="Times New Roman" w:eastAsia="Times New Roman" w:hAnsi="Times New Roman" w:cs="Times New Roman"/>
                <w:b/>
                <w:bCs/>
                <w:sz w:val="18"/>
                <w:szCs w:val="18"/>
              </w:rPr>
              <w:t>Subseq. Year Hours</w:t>
            </w:r>
          </w:p>
        </w:tc>
        <w:tc>
          <w:tcPr>
            <w:tcW w:w="657" w:type="dxa"/>
            <w:tcMar>
              <w:left w:w="14" w:type="dxa"/>
              <w:right w:w="14" w:type="dxa"/>
            </w:tcMar>
            <w:hideMark/>
          </w:tcPr>
          <w:p w14:paraId="79152E77" w14:textId="77777777" w:rsidR="00AB6F50" w:rsidRPr="000973F2" w:rsidRDefault="00AB6F50" w:rsidP="001D7159">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18"/>
                <w:szCs w:val="18"/>
              </w:rPr>
            </w:pPr>
            <w:r w:rsidRPr="000973F2">
              <w:rPr>
                <w:rFonts w:ascii="Times New Roman" w:eastAsia="Times New Roman" w:hAnsi="Times New Roman" w:cs="Times New Roman"/>
                <w:b/>
                <w:bCs/>
                <w:sz w:val="18"/>
                <w:szCs w:val="18"/>
              </w:rPr>
              <w:t>Initial Year Hours</w:t>
            </w:r>
          </w:p>
        </w:tc>
        <w:tc>
          <w:tcPr>
            <w:tcW w:w="657" w:type="dxa"/>
            <w:tcMar>
              <w:left w:w="14" w:type="dxa"/>
              <w:right w:w="14" w:type="dxa"/>
            </w:tcMar>
            <w:hideMark/>
          </w:tcPr>
          <w:p w14:paraId="3CA48C2F" w14:textId="77777777" w:rsidR="00AB6F50" w:rsidRPr="000973F2" w:rsidRDefault="00AB6F50" w:rsidP="001D7159">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18"/>
                <w:szCs w:val="18"/>
              </w:rPr>
            </w:pPr>
            <w:r w:rsidRPr="000973F2">
              <w:rPr>
                <w:rFonts w:ascii="Times New Roman" w:eastAsia="Times New Roman" w:hAnsi="Times New Roman" w:cs="Times New Roman"/>
                <w:b/>
                <w:bCs/>
                <w:sz w:val="18"/>
                <w:szCs w:val="18"/>
              </w:rPr>
              <w:t>Subseq. Year Hours</w:t>
            </w:r>
          </w:p>
        </w:tc>
        <w:tc>
          <w:tcPr>
            <w:tcW w:w="657" w:type="dxa"/>
            <w:tcMar>
              <w:left w:w="14" w:type="dxa"/>
              <w:right w:w="14" w:type="dxa"/>
            </w:tcMar>
            <w:hideMark/>
          </w:tcPr>
          <w:p w14:paraId="0FA2B1C8" w14:textId="77777777" w:rsidR="00AB6F50" w:rsidRPr="000973F2" w:rsidRDefault="00AB6F50" w:rsidP="001D7159">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18"/>
                <w:szCs w:val="18"/>
              </w:rPr>
            </w:pPr>
            <w:r w:rsidRPr="000973F2">
              <w:rPr>
                <w:rFonts w:ascii="Times New Roman" w:eastAsia="Times New Roman" w:hAnsi="Times New Roman" w:cs="Times New Roman"/>
                <w:b/>
                <w:bCs/>
                <w:sz w:val="18"/>
                <w:szCs w:val="18"/>
              </w:rPr>
              <w:t>Initial Year Hours</w:t>
            </w:r>
          </w:p>
        </w:tc>
        <w:tc>
          <w:tcPr>
            <w:tcW w:w="657" w:type="dxa"/>
            <w:tcMar>
              <w:left w:w="14" w:type="dxa"/>
              <w:right w:w="14" w:type="dxa"/>
            </w:tcMar>
            <w:hideMark/>
          </w:tcPr>
          <w:p w14:paraId="6F8AFCCD" w14:textId="77777777" w:rsidR="00AB6F50" w:rsidRPr="000973F2" w:rsidRDefault="00AB6F50" w:rsidP="001D7159">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18"/>
                <w:szCs w:val="18"/>
              </w:rPr>
            </w:pPr>
            <w:r w:rsidRPr="000973F2">
              <w:rPr>
                <w:rFonts w:ascii="Times New Roman" w:eastAsia="Times New Roman" w:hAnsi="Times New Roman" w:cs="Times New Roman"/>
                <w:b/>
                <w:bCs/>
                <w:sz w:val="18"/>
                <w:szCs w:val="18"/>
              </w:rPr>
              <w:t>Subseq. Year Hours</w:t>
            </w:r>
          </w:p>
        </w:tc>
        <w:tc>
          <w:tcPr>
            <w:tcW w:w="657" w:type="dxa"/>
            <w:tcMar>
              <w:left w:w="14" w:type="dxa"/>
              <w:right w:w="14" w:type="dxa"/>
            </w:tcMar>
            <w:hideMark/>
          </w:tcPr>
          <w:p w14:paraId="421138B0" w14:textId="77777777" w:rsidR="00AB6F50" w:rsidRPr="000973F2" w:rsidRDefault="00AB6F50" w:rsidP="001D7159">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18"/>
                <w:szCs w:val="18"/>
              </w:rPr>
            </w:pPr>
            <w:r w:rsidRPr="000973F2">
              <w:rPr>
                <w:rFonts w:ascii="Times New Roman" w:eastAsia="Times New Roman" w:hAnsi="Times New Roman" w:cs="Times New Roman"/>
                <w:b/>
                <w:bCs/>
                <w:sz w:val="18"/>
                <w:szCs w:val="18"/>
              </w:rPr>
              <w:t>Initial Year Hours</w:t>
            </w:r>
          </w:p>
        </w:tc>
        <w:tc>
          <w:tcPr>
            <w:tcW w:w="657" w:type="dxa"/>
            <w:tcMar>
              <w:left w:w="14" w:type="dxa"/>
              <w:right w:w="14" w:type="dxa"/>
            </w:tcMar>
            <w:hideMark/>
          </w:tcPr>
          <w:p w14:paraId="29B8874A" w14:textId="77777777" w:rsidR="00AB6F50" w:rsidRPr="000973F2" w:rsidRDefault="00AB6F50" w:rsidP="001D7159">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18"/>
                <w:szCs w:val="18"/>
              </w:rPr>
            </w:pPr>
            <w:r w:rsidRPr="000973F2">
              <w:rPr>
                <w:rFonts w:ascii="Times New Roman" w:eastAsia="Times New Roman" w:hAnsi="Times New Roman" w:cs="Times New Roman"/>
                <w:b/>
                <w:bCs/>
                <w:sz w:val="18"/>
                <w:szCs w:val="18"/>
              </w:rPr>
              <w:t>Subseq. Year Hours</w:t>
            </w:r>
          </w:p>
        </w:tc>
        <w:tc>
          <w:tcPr>
            <w:tcW w:w="657" w:type="dxa"/>
            <w:tcMar>
              <w:left w:w="14" w:type="dxa"/>
              <w:right w:w="14" w:type="dxa"/>
            </w:tcMar>
            <w:hideMark/>
          </w:tcPr>
          <w:p w14:paraId="272AE313" w14:textId="77777777" w:rsidR="00AB6F50" w:rsidRPr="000973F2" w:rsidRDefault="00AB6F50" w:rsidP="001D7159">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18"/>
                <w:szCs w:val="18"/>
              </w:rPr>
            </w:pPr>
            <w:r w:rsidRPr="000973F2">
              <w:rPr>
                <w:rFonts w:ascii="Times New Roman" w:eastAsia="Times New Roman" w:hAnsi="Times New Roman" w:cs="Times New Roman"/>
                <w:b/>
                <w:bCs/>
                <w:sz w:val="18"/>
                <w:szCs w:val="18"/>
              </w:rPr>
              <w:t>Initial Year Hours</w:t>
            </w:r>
          </w:p>
        </w:tc>
        <w:tc>
          <w:tcPr>
            <w:tcW w:w="657" w:type="dxa"/>
            <w:tcMar>
              <w:left w:w="14" w:type="dxa"/>
              <w:right w:w="14" w:type="dxa"/>
            </w:tcMar>
            <w:hideMark/>
          </w:tcPr>
          <w:p w14:paraId="3356046E" w14:textId="77777777" w:rsidR="00AB6F50" w:rsidRPr="000973F2" w:rsidRDefault="00AB6F50" w:rsidP="001D7159">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18"/>
                <w:szCs w:val="18"/>
              </w:rPr>
            </w:pPr>
            <w:r w:rsidRPr="000973F2">
              <w:rPr>
                <w:rFonts w:ascii="Times New Roman" w:eastAsia="Times New Roman" w:hAnsi="Times New Roman" w:cs="Times New Roman"/>
                <w:b/>
                <w:bCs/>
                <w:sz w:val="18"/>
                <w:szCs w:val="18"/>
              </w:rPr>
              <w:t>Subseq. Year Hours</w:t>
            </w:r>
          </w:p>
        </w:tc>
        <w:tc>
          <w:tcPr>
            <w:tcW w:w="684" w:type="dxa"/>
            <w:tcMar>
              <w:left w:w="14" w:type="dxa"/>
              <w:right w:w="14" w:type="dxa"/>
            </w:tcMar>
            <w:hideMark/>
          </w:tcPr>
          <w:p w14:paraId="05F4B01A" w14:textId="77777777" w:rsidR="00AB6F50" w:rsidRPr="000973F2" w:rsidRDefault="00AB6F50" w:rsidP="001D7159">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18"/>
                <w:szCs w:val="18"/>
              </w:rPr>
            </w:pPr>
            <w:r w:rsidRPr="000973F2">
              <w:rPr>
                <w:rFonts w:ascii="Times New Roman" w:eastAsia="Times New Roman" w:hAnsi="Times New Roman" w:cs="Times New Roman"/>
                <w:b/>
                <w:bCs/>
                <w:sz w:val="18"/>
                <w:szCs w:val="18"/>
              </w:rPr>
              <w:t>Initial Year</w:t>
            </w:r>
          </w:p>
        </w:tc>
        <w:tc>
          <w:tcPr>
            <w:tcW w:w="741" w:type="dxa"/>
            <w:tcMar>
              <w:left w:w="14" w:type="dxa"/>
              <w:right w:w="14" w:type="dxa"/>
            </w:tcMar>
            <w:hideMark/>
          </w:tcPr>
          <w:p w14:paraId="17149B82" w14:textId="77777777" w:rsidR="00AB6F50" w:rsidRPr="000973F2" w:rsidRDefault="00AB6F50" w:rsidP="001D7159">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18"/>
                <w:szCs w:val="18"/>
              </w:rPr>
            </w:pPr>
            <w:r w:rsidRPr="000973F2">
              <w:rPr>
                <w:rFonts w:ascii="Times New Roman" w:eastAsia="Times New Roman" w:hAnsi="Times New Roman" w:cs="Times New Roman"/>
                <w:b/>
                <w:bCs/>
                <w:sz w:val="18"/>
                <w:szCs w:val="18"/>
              </w:rPr>
              <w:t>Subseq. Year</w:t>
            </w:r>
          </w:p>
        </w:tc>
      </w:tr>
      <w:tr w:rsidR="00816BF1" w:rsidRPr="000973F2" w14:paraId="761BCFD1" w14:textId="77777777" w:rsidTr="001D7159">
        <w:trPr>
          <w:cantSplit/>
        </w:trPr>
        <w:tc>
          <w:tcPr>
            <w:cnfStyle w:val="001000000000" w:firstRow="0" w:lastRow="0" w:firstColumn="1" w:lastColumn="0" w:oddVBand="0" w:evenVBand="0" w:oddHBand="0" w:evenHBand="0" w:firstRowFirstColumn="0" w:firstRowLastColumn="0" w:lastRowFirstColumn="0" w:lastRowLastColumn="0"/>
            <w:tcW w:w="1335" w:type="dxa"/>
            <w:tcMar>
              <w:right w:w="14" w:type="dxa"/>
            </w:tcMar>
            <w:hideMark/>
          </w:tcPr>
          <w:p w14:paraId="3654DF0E" w14:textId="77777777" w:rsidR="00AB6F50" w:rsidRPr="000973F2" w:rsidRDefault="00AB6F50" w:rsidP="001D7159">
            <w:pPr>
              <w:spacing w:before="40" w:after="4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Planning</w:t>
            </w:r>
          </w:p>
        </w:tc>
        <w:tc>
          <w:tcPr>
            <w:tcW w:w="657" w:type="dxa"/>
            <w:noWrap/>
            <w:hideMark/>
          </w:tcPr>
          <w:p w14:paraId="70FDFA7E" w14:textId="77777777" w:rsidR="00AB6F50" w:rsidRPr="000973F2" w:rsidRDefault="00AB6F50" w:rsidP="001D7159">
            <w:pPr>
              <w:spacing w:before="40" w:after="4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0.0</w:t>
            </w:r>
          </w:p>
        </w:tc>
        <w:tc>
          <w:tcPr>
            <w:tcW w:w="657" w:type="dxa"/>
            <w:noWrap/>
            <w:hideMark/>
          </w:tcPr>
          <w:p w14:paraId="5A7FAEE1" w14:textId="77777777" w:rsidR="00AB6F50" w:rsidRPr="000973F2" w:rsidRDefault="00AB6F50" w:rsidP="001D7159">
            <w:pPr>
              <w:spacing w:before="40" w:after="4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2.0</w:t>
            </w:r>
          </w:p>
        </w:tc>
        <w:tc>
          <w:tcPr>
            <w:tcW w:w="657" w:type="dxa"/>
            <w:noWrap/>
            <w:hideMark/>
          </w:tcPr>
          <w:p w14:paraId="6F64D85C" w14:textId="77777777" w:rsidR="00AB6F50" w:rsidRPr="000973F2" w:rsidRDefault="00AB6F50" w:rsidP="001D7159">
            <w:pPr>
              <w:spacing w:before="40" w:after="4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0.0</w:t>
            </w:r>
          </w:p>
        </w:tc>
        <w:tc>
          <w:tcPr>
            <w:tcW w:w="657" w:type="dxa"/>
            <w:noWrap/>
            <w:hideMark/>
          </w:tcPr>
          <w:p w14:paraId="0ACD2D79" w14:textId="77777777" w:rsidR="00AB6F50" w:rsidRPr="000973F2" w:rsidRDefault="00AB6F50" w:rsidP="001D7159">
            <w:pPr>
              <w:spacing w:before="40" w:after="4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0.5</w:t>
            </w:r>
          </w:p>
        </w:tc>
        <w:tc>
          <w:tcPr>
            <w:tcW w:w="657" w:type="dxa"/>
            <w:noWrap/>
            <w:hideMark/>
          </w:tcPr>
          <w:p w14:paraId="7C562BBB" w14:textId="77777777" w:rsidR="00AB6F50" w:rsidRPr="000973F2" w:rsidRDefault="00AB6F50" w:rsidP="001D7159">
            <w:pPr>
              <w:spacing w:before="40" w:after="4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0.0</w:t>
            </w:r>
          </w:p>
        </w:tc>
        <w:tc>
          <w:tcPr>
            <w:tcW w:w="657" w:type="dxa"/>
            <w:noWrap/>
            <w:hideMark/>
          </w:tcPr>
          <w:p w14:paraId="10D8AEA8" w14:textId="77777777" w:rsidR="00AB6F50" w:rsidRPr="000973F2" w:rsidRDefault="00AB6F50" w:rsidP="001D7159">
            <w:pPr>
              <w:spacing w:before="40" w:after="4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1.0</w:t>
            </w:r>
          </w:p>
        </w:tc>
        <w:tc>
          <w:tcPr>
            <w:tcW w:w="657" w:type="dxa"/>
            <w:noWrap/>
            <w:hideMark/>
          </w:tcPr>
          <w:p w14:paraId="63B1111C" w14:textId="77777777" w:rsidR="00AB6F50" w:rsidRPr="000973F2" w:rsidRDefault="00AB6F50" w:rsidP="001D7159">
            <w:pPr>
              <w:spacing w:before="40" w:after="4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0.0</w:t>
            </w:r>
          </w:p>
        </w:tc>
        <w:tc>
          <w:tcPr>
            <w:tcW w:w="657" w:type="dxa"/>
            <w:noWrap/>
            <w:hideMark/>
          </w:tcPr>
          <w:p w14:paraId="1AEA5436" w14:textId="77777777" w:rsidR="00AB6F50" w:rsidRPr="000973F2" w:rsidRDefault="00AB6F50" w:rsidP="001D7159">
            <w:pPr>
              <w:tabs>
                <w:tab w:val="decimal" w:pos="151"/>
              </w:tabs>
              <w:spacing w:before="40" w:after="4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10.0</w:t>
            </w:r>
          </w:p>
        </w:tc>
        <w:tc>
          <w:tcPr>
            <w:tcW w:w="657" w:type="dxa"/>
            <w:noWrap/>
            <w:hideMark/>
          </w:tcPr>
          <w:p w14:paraId="2AAD6AD1" w14:textId="77777777" w:rsidR="00AB6F50" w:rsidRPr="000973F2" w:rsidRDefault="00AB6F50" w:rsidP="001D7159">
            <w:pPr>
              <w:spacing w:before="40" w:after="4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0.0</w:t>
            </w:r>
          </w:p>
        </w:tc>
        <w:tc>
          <w:tcPr>
            <w:tcW w:w="657" w:type="dxa"/>
            <w:noWrap/>
            <w:hideMark/>
          </w:tcPr>
          <w:p w14:paraId="59E7AD8A" w14:textId="77777777" w:rsidR="00AB6F50" w:rsidRPr="000973F2" w:rsidRDefault="00AB6F50" w:rsidP="001D7159">
            <w:pPr>
              <w:spacing w:before="40" w:after="4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0.0</w:t>
            </w:r>
          </w:p>
        </w:tc>
        <w:tc>
          <w:tcPr>
            <w:tcW w:w="684" w:type="dxa"/>
            <w:noWrap/>
            <w:hideMark/>
          </w:tcPr>
          <w:p w14:paraId="27F96A44" w14:textId="06C8BC6C" w:rsidR="00AB6F50" w:rsidRPr="000973F2" w:rsidRDefault="00AB6F50" w:rsidP="001D7159">
            <w:pPr>
              <w:spacing w:before="40" w:after="4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$0</w:t>
            </w:r>
          </w:p>
        </w:tc>
        <w:tc>
          <w:tcPr>
            <w:tcW w:w="741" w:type="dxa"/>
            <w:noWrap/>
            <w:hideMark/>
          </w:tcPr>
          <w:p w14:paraId="266E7218" w14:textId="5DF13C32" w:rsidR="00AB6F50" w:rsidRPr="000973F2" w:rsidRDefault="00AB6F50" w:rsidP="001D7159">
            <w:pPr>
              <w:tabs>
                <w:tab w:val="decimal" w:pos="512"/>
              </w:tabs>
              <w:spacing w:before="40" w:after="4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$1,312</w:t>
            </w:r>
          </w:p>
        </w:tc>
      </w:tr>
      <w:tr w:rsidR="00421E5A" w:rsidRPr="000973F2" w14:paraId="1F6BE787" w14:textId="77777777" w:rsidTr="001D7159">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1335" w:type="dxa"/>
            <w:tcMar>
              <w:right w:w="14" w:type="dxa"/>
            </w:tcMar>
            <w:hideMark/>
          </w:tcPr>
          <w:p w14:paraId="2400819C" w14:textId="77777777" w:rsidR="00AB6F50" w:rsidRPr="000973F2" w:rsidRDefault="00AB6F50" w:rsidP="001D7159">
            <w:pPr>
              <w:spacing w:before="40" w:after="4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QA/QC</w:t>
            </w:r>
          </w:p>
        </w:tc>
        <w:tc>
          <w:tcPr>
            <w:tcW w:w="657" w:type="dxa"/>
            <w:noWrap/>
            <w:hideMark/>
          </w:tcPr>
          <w:p w14:paraId="4278FABD" w14:textId="77777777" w:rsidR="00AB6F50" w:rsidRPr="000973F2" w:rsidRDefault="00AB6F50" w:rsidP="001D7159">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0.0</w:t>
            </w:r>
          </w:p>
        </w:tc>
        <w:tc>
          <w:tcPr>
            <w:tcW w:w="657" w:type="dxa"/>
            <w:noWrap/>
            <w:hideMark/>
          </w:tcPr>
          <w:p w14:paraId="3637FFEC" w14:textId="77777777" w:rsidR="00AB6F50" w:rsidRPr="000973F2" w:rsidRDefault="00AB6F50" w:rsidP="001D7159">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0.0</w:t>
            </w:r>
          </w:p>
        </w:tc>
        <w:tc>
          <w:tcPr>
            <w:tcW w:w="657" w:type="dxa"/>
            <w:noWrap/>
            <w:hideMark/>
          </w:tcPr>
          <w:p w14:paraId="1D61E3B8" w14:textId="77777777" w:rsidR="00AB6F50" w:rsidRPr="000973F2" w:rsidRDefault="00AB6F50" w:rsidP="001D7159">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0.0</w:t>
            </w:r>
          </w:p>
        </w:tc>
        <w:tc>
          <w:tcPr>
            <w:tcW w:w="657" w:type="dxa"/>
            <w:noWrap/>
            <w:hideMark/>
          </w:tcPr>
          <w:p w14:paraId="4F69BB4C" w14:textId="77777777" w:rsidR="00AB6F50" w:rsidRPr="000973F2" w:rsidRDefault="00AB6F50" w:rsidP="001D7159">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0.5</w:t>
            </w:r>
          </w:p>
        </w:tc>
        <w:tc>
          <w:tcPr>
            <w:tcW w:w="657" w:type="dxa"/>
            <w:noWrap/>
            <w:hideMark/>
          </w:tcPr>
          <w:p w14:paraId="264327F4" w14:textId="77777777" w:rsidR="00AB6F50" w:rsidRPr="000973F2" w:rsidRDefault="00AB6F50" w:rsidP="001D7159">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0.0</w:t>
            </w:r>
          </w:p>
        </w:tc>
        <w:tc>
          <w:tcPr>
            <w:tcW w:w="657" w:type="dxa"/>
            <w:noWrap/>
            <w:hideMark/>
          </w:tcPr>
          <w:p w14:paraId="79609135" w14:textId="77777777" w:rsidR="00AB6F50" w:rsidRPr="000973F2" w:rsidRDefault="00AB6F50" w:rsidP="001D7159">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1.0</w:t>
            </w:r>
          </w:p>
        </w:tc>
        <w:tc>
          <w:tcPr>
            <w:tcW w:w="657" w:type="dxa"/>
            <w:noWrap/>
            <w:hideMark/>
          </w:tcPr>
          <w:p w14:paraId="08AF88BB" w14:textId="77777777" w:rsidR="00AB6F50" w:rsidRPr="000973F2" w:rsidRDefault="00AB6F50" w:rsidP="001D7159">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0.0</w:t>
            </w:r>
          </w:p>
        </w:tc>
        <w:tc>
          <w:tcPr>
            <w:tcW w:w="657" w:type="dxa"/>
            <w:noWrap/>
            <w:hideMark/>
          </w:tcPr>
          <w:p w14:paraId="511D25C1" w14:textId="77777777" w:rsidR="00AB6F50" w:rsidRPr="000973F2" w:rsidRDefault="00AB6F50" w:rsidP="001D7159">
            <w:pPr>
              <w:tabs>
                <w:tab w:val="decimal" w:pos="151"/>
              </w:tabs>
              <w:spacing w:before="40" w:after="4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0.0</w:t>
            </w:r>
          </w:p>
        </w:tc>
        <w:tc>
          <w:tcPr>
            <w:tcW w:w="657" w:type="dxa"/>
            <w:noWrap/>
            <w:hideMark/>
          </w:tcPr>
          <w:p w14:paraId="663E4350" w14:textId="77777777" w:rsidR="00AB6F50" w:rsidRPr="000973F2" w:rsidRDefault="00AB6F50" w:rsidP="001D7159">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0.0</w:t>
            </w:r>
          </w:p>
        </w:tc>
        <w:tc>
          <w:tcPr>
            <w:tcW w:w="657" w:type="dxa"/>
            <w:noWrap/>
            <w:hideMark/>
          </w:tcPr>
          <w:p w14:paraId="7DA94AF8" w14:textId="77777777" w:rsidR="00AB6F50" w:rsidRPr="000973F2" w:rsidRDefault="00AB6F50" w:rsidP="001D7159">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0.0</w:t>
            </w:r>
          </w:p>
        </w:tc>
        <w:tc>
          <w:tcPr>
            <w:tcW w:w="684" w:type="dxa"/>
            <w:noWrap/>
            <w:hideMark/>
          </w:tcPr>
          <w:p w14:paraId="62AE1669" w14:textId="0A9F3684" w:rsidR="00AB6F50" w:rsidRPr="000973F2" w:rsidRDefault="00AB6F50" w:rsidP="001D7159">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$0</w:t>
            </w:r>
          </w:p>
        </w:tc>
        <w:tc>
          <w:tcPr>
            <w:tcW w:w="741" w:type="dxa"/>
            <w:noWrap/>
            <w:hideMark/>
          </w:tcPr>
          <w:p w14:paraId="4B9E9FF9" w14:textId="18FB0C18" w:rsidR="00AB6F50" w:rsidRPr="000973F2" w:rsidRDefault="00AB6F50" w:rsidP="001D7159">
            <w:pPr>
              <w:tabs>
                <w:tab w:val="decimal" w:pos="512"/>
              </w:tabs>
              <w:spacing w:before="40" w:after="4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$170</w:t>
            </w:r>
          </w:p>
        </w:tc>
      </w:tr>
      <w:tr w:rsidR="00421E5A" w:rsidRPr="000973F2" w14:paraId="34C592ED" w14:textId="77777777" w:rsidTr="001D7159">
        <w:trPr>
          <w:cantSplit/>
        </w:trPr>
        <w:tc>
          <w:tcPr>
            <w:cnfStyle w:val="001000000000" w:firstRow="0" w:lastRow="0" w:firstColumn="1" w:lastColumn="0" w:oddVBand="0" w:evenVBand="0" w:oddHBand="0" w:evenHBand="0" w:firstRowFirstColumn="0" w:firstRowLastColumn="0" w:lastRowFirstColumn="0" w:lastRowLastColumn="0"/>
            <w:tcW w:w="1335" w:type="dxa"/>
            <w:tcMar>
              <w:right w:w="14" w:type="dxa"/>
            </w:tcMar>
            <w:hideMark/>
          </w:tcPr>
          <w:p w14:paraId="099DF83E" w14:textId="77777777" w:rsidR="00AB6F50" w:rsidRPr="000973F2" w:rsidRDefault="00AB6F50" w:rsidP="001D7159">
            <w:pPr>
              <w:spacing w:before="40" w:after="4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Recordkeeping</w:t>
            </w:r>
          </w:p>
        </w:tc>
        <w:tc>
          <w:tcPr>
            <w:tcW w:w="657" w:type="dxa"/>
            <w:noWrap/>
            <w:hideMark/>
          </w:tcPr>
          <w:p w14:paraId="0C491FF8" w14:textId="77777777" w:rsidR="00AB6F50" w:rsidRPr="000973F2" w:rsidRDefault="00AB6F50" w:rsidP="001D7159">
            <w:pPr>
              <w:spacing w:before="40" w:after="4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0.0</w:t>
            </w:r>
          </w:p>
        </w:tc>
        <w:tc>
          <w:tcPr>
            <w:tcW w:w="657" w:type="dxa"/>
            <w:noWrap/>
            <w:hideMark/>
          </w:tcPr>
          <w:p w14:paraId="6C5C1E78" w14:textId="77777777" w:rsidR="00AB6F50" w:rsidRPr="000973F2" w:rsidRDefault="00AB6F50" w:rsidP="001D7159">
            <w:pPr>
              <w:spacing w:before="40" w:after="4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0.0</w:t>
            </w:r>
          </w:p>
        </w:tc>
        <w:tc>
          <w:tcPr>
            <w:tcW w:w="657" w:type="dxa"/>
            <w:noWrap/>
            <w:hideMark/>
          </w:tcPr>
          <w:p w14:paraId="2509D656" w14:textId="77777777" w:rsidR="00AB6F50" w:rsidRPr="000973F2" w:rsidRDefault="00AB6F50" w:rsidP="001D7159">
            <w:pPr>
              <w:spacing w:before="40" w:after="4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0.0</w:t>
            </w:r>
          </w:p>
        </w:tc>
        <w:tc>
          <w:tcPr>
            <w:tcW w:w="657" w:type="dxa"/>
            <w:noWrap/>
            <w:hideMark/>
          </w:tcPr>
          <w:p w14:paraId="057054B9" w14:textId="77777777" w:rsidR="00AB6F50" w:rsidRPr="000973F2" w:rsidRDefault="00AB6F50" w:rsidP="001D7159">
            <w:pPr>
              <w:spacing w:before="40" w:after="4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0.0</w:t>
            </w:r>
          </w:p>
        </w:tc>
        <w:tc>
          <w:tcPr>
            <w:tcW w:w="657" w:type="dxa"/>
            <w:noWrap/>
            <w:hideMark/>
          </w:tcPr>
          <w:p w14:paraId="416EE884" w14:textId="77777777" w:rsidR="00AB6F50" w:rsidRPr="000973F2" w:rsidRDefault="00AB6F50" w:rsidP="001D7159">
            <w:pPr>
              <w:spacing w:before="40" w:after="4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0.0</w:t>
            </w:r>
          </w:p>
        </w:tc>
        <w:tc>
          <w:tcPr>
            <w:tcW w:w="657" w:type="dxa"/>
            <w:noWrap/>
            <w:hideMark/>
          </w:tcPr>
          <w:p w14:paraId="56DAE957" w14:textId="77777777" w:rsidR="00AB6F50" w:rsidRPr="000973F2" w:rsidRDefault="00AB6F50" w:rsidP="001D7159">
            <w:pPr>
              <w:spacing w:before="40" w:after="4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1.0</w:t>
            </w:r>
          </w:p>
        </w:tc>
        <w:tc>
          <w:tcPr>
            <w:tcW w:w="657" w:type="dxa"/>
            <w:noWrap/>
            <w:hideMark/>
          </w:tcPr>
          <w:p w14:paraId="2736A332" w14:textId="77777777" w:rsidR="00AB6F50" w:rsidRPr="000973F2" w:rsidRDefault="00AB6F50" w:rsidP="001D7159">
            <w:pPr>
              <w:spacing w:before="40" w:after="4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0.0</w:t>
            </w:r>
          </w:p>
        </w:tc>
        <w:tc>
          <w:tcPr>
            <w:tcW w:w="657" w:type="dxa"/>
            <w:noWrap/>
            <w:hideMark/>
          </w:tcPr>
          <w:p w14:paraId="761F80EA" w14:textId="77777777" w:rsidR="00AB6F50" w:rsidRPr="000973F2" w:rsidRDefault="00AB6F50" w:rsidP="001D7159">
            <w:pPr>
              <w:tabs>
                <w:tab w:val="decimal" w:pos="151"/>
              </w:tabs>
              <w:spacing w:before="40" w:after="4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13.0</w:t>
            </w:r>
          </w:p>
        </w:tc>
        <w:tc>
          <w:tcPr>
            <w:tcW w:w="657" w:type="dxa"/>
            <w:noWrap/>
            <w:hideMark/>
          </w:tcPr>
          <w:p w14:paraId="31A18359" w14:textId="77777777" w:rsidR="00AB6F50" w:rsidRPr="000973F2" w:rsidRDefault="00AB6F50" w:rsidP="001D7159">
            <w:pPr>
              <w:spacing w:before="40" w:after="4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0.0</w:t>
            </w:r>
          </w:p>
        </w:tc>
        <w:tc>
          <w:tcPr>
            <w:tcW w:w="657" w:type="dxa"/>
            <w:noWrap/>
            <w:hideMark/>
          </w:tcPr>
          <w:p w14:paraId="1C38CE5E" w14:textId="77777777" w:rsidR="00AB6F50" w:rsidRPr="000973F2" w:rsidRDefault="00AB6F50" w:rsidP="001D7159">
            <w:pPr>
              <w:spacing w:before="40" w:after="4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1.0</w:t>
            </w:r>
          </w:p>
        </w:tc>
        <w:tc>
          <w:tcPr>
            <w:tcW w:w="684" w:type="dxa"/>
            <w:noWrap/>
            <w:hideMark/>
          </w:tcPr>
          <w:p w14:paraId="4A51A83E" w14:textId="720BB9A6" w:rsidR="00AB6F50" w:rsidRPr="000973F2" w:rsidRDefault="00AB6F50" w:rsidP="001D7159">
            <w:pPr>
              <w:spacing w:before="40" w:after="4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$0</w:t>
            </w:r>
          </w:p>
        </w:tc>
        <w:tc>
          <w:tcPr>
            <w:tcW w:w="741" w:type="dxa"/>
            <w:noWrap/>
            <w:hideMark/>
          </w:tcPr>
          <w:p w14:paraId="39B01FED" w14:textId="46DE19B4" w:rsidR="00AB6F50" w:rsidRPr="000973F2" w:rsidRDefault="00AB6F50" w:rsidP="001D7159">
            <w:pPr>
              <w:tabs>
                <w:tab w:val="decimal" w:pos="512"/>
              </w:tabs>
              <w:spacing w:before="40" w:after="4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$1,350</w:t>
            </w:r>
          </w:p>
        </w:tc>
      </w:tr>
      <w:tr w:rsidR="00421E5A" w:rsidRPr="000973F2" w14:paraId="74F1ABEA" w14:textId="77777777" w:rsidTr="001D7159">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1335" w:type="dxa"/>
            <w:tcMar>
              <w:right w:w="14" w:type="dxa"/>
            </w:tcMar>
            <w:hideMark/>
          </w:tcPr>
          <w:p w14:paraId="1AA2610C" w14:textId="77777777" w:rsidR="00AB6F50" w:rsidRPr="000973F2" w:rsidRDefault="00AB6F50" w:rsidP="001D7159">
            <w:pPr>
              <w:spacing w:before="40" w:after="4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Sampling and Analysis (Calculations)</w:t>
            </w:r>
          </w:p>
        </w:tc>
        <w:tc>
          <w:tcPr>
            <w:tcW w:w="657" w:type="dxa"/>
            <w:noWrap/>
            <w:hideMark/>
          </w:tcPr>
          <w:p w14:paraId="6271BFC1" w14:textId="77777777" w:rsidR="00AB6F50" w:rsidRPr="000973F2" w:rsidRDefault="00AB6F50" w:rsidP="001D7159">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0.0</w:t>
            </w:r>
          </w:p>
        </w:tc>
        <w:tc>
          <w:tcPr>
            <w:tcW w:w="657" w:type="dxa"/>
            <w:noWrap/>
            <w:hideMark/>
          </w:tcPr>
          <w:p w14:paraId="40D64A5F" w14:textId="77777777" w:rsidR="00AB6F50" w:rsidRPr="000973F2" w:rsidRDefault="00AB6F50" w:rsidP="001D7159">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0.0</w:t>
            </w:r>
          </w:p>
        </w:tc>
        <w:tc>
          <w:tcPr>
            <w:tcW w:w="657" w:type="dxa"/>
            <w:noWrap/>
            <w:hideMark/>
          </w:tcPr>
          <w:p w14:paraId="77EFF0A1" w14:textId="77777777" w:rsidR="00AB6F50" w:rsidRPr="000973F2" w:rsidRDefault="00AB6F50" w:rsidP="001D7159">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0.0</w:t>
            </w:r>
          </w:p>
        </w:tc>
        <w:tc>
          <w:tcPr>
            <w:tcW w:w="657" w:type="dxa"/>
            <w:noWrap/>
            <w:hideMark/>
          </w:tcPr>
          <w:p w14:paraId="4AEF53B0" w14:textId="77777777" w:rsidR="00AB6F50" w:rsidRPr="000973F2" w:rsidRDefault="00AB6F50" w:rsidP="001D7159">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0.0</w:t>
            </w:r>
          </w:p>
        </w:tc>
        <w:tc>
          <w:tcPr>
            <w:tcW w:w="657" w:type="dxa"/>
            <w:noWrap/>
            <w:hideMark/>
          </w:tcPr>
          <w:p w14:paraId="5A6A62E0" w14:textId="77777777" w:rsidR="00AB6F50" w:rsidRPr="000973F2" w:rsidRDefault="00AB6F50" w:rsidP="001D7159">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0.0</w:t>
            </w:r>
          </w:p>
        </w:tc>
        <w:tc>
          <w:tcPr>
            <w:tcW w:w="657" w:type="dxa"/>
            <w:noWrap/>
            <w:hideMark/>
          </w:tcPr>
          <w:p w14:paraId="3E600058" w14:textId="77777777" w:rsidR="00AB6F50" w:rsidRPr="000973F2" w:rsidRDefault="00AB6F50" w:rsidP="001D7159">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0.0</w:t>
            </w:r>
          </w:p>
        </w:tc>
        <w:tc>
          <w:tcPr>
            <w:tcW w:w="657" w:type="dxa"/>
            <w:noWrap/>
            <w:hideMark/>
          </w:tcPr>
          <w:p w14:paraId="03FA0910" w14:textId="77777777" w:rsidR="00AB6F50" w:rsidRPr="000973F2" w:rsidRDefault="00AB6F50" w:rsidP="001D7159">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0.0</w:t>
            </w:r>
          </w:p>
        </w:tc>
        <w:tc>
          <w:tcPr>
            <w:tcW w:w="657" w:type="dxa"/>
            <w:noWrap/>
            <w:hideMark/>
          </w:tcPr>
          <w:p w14:paraId="2A3A5D2A" w14:textId="77777777" w:rsidR="00AB6F50" w:rsidRPr="000973F2" w:rsidRDefault="00AB6F50" w:rsidP="001D7159">
            <w:pPr>
              <w:tabs>
                <w:tab w:val="decimal" w:pos="151"/>
              </w:tabs>
              <w:spacing w:before="40" w:after="4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9.6</w:t>
            </w:r>
          </w:p>
        </w:tc>
        <w:tc>
          <w:tcPr>
            <w:tcW w:w="657" w:type="dxa"/>
            <w:noWrap/>
            <w:hideMark/>
          </w:tcPr>
          <w:p w14:paraId="1C14F07F" w14:textId="77777777" w:rsidR="00AB6F50" w:rsidRPr="000973F2" w:rsidRDefault="00AB6F50" w:rsidP="001D7159">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0.0</w:t>
            </w:r>
          </w:p>
        </w:tc>
        <w:tc>
          <w:tcPr>
            <w:tcW w:w="657" w:type="dxa"/>
            <w:noWrap/>
            <w:hideMark/>
          </w:tcPr>
          <w:p w14:paraId="6A5B029D" w14:textId="77777777" w:rsidR="00AB6F50" w:rsidRPr="000973F2" w:rsidRDefault="00AB6F50" w:rsidP="001D7159">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0.0</w:t>
            </w:r>
          </w:p>
        </w:tc>
        <w:tc>
          <w:tcPr>
            <w:tcW w:w="684" w:type="dxa"/>
            <w:noWrap/>
            <w:hideMark/>
          </w:tcPr>
          <w:p w14:paraId="40803001" w14:textId="518CE6BB" w:rsidR="00AB6F50" w:rsidRPr="000973F2" w:rsidRDefault="00AB6F50" w:rsidP="001D7159">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$0</w:t>
            </w:r>
          </w:p>
        </w:tc>
        <w:tc>
          <w:tcPr>
            <w:tcW w:w="741" w:type="dxa"/>
            <w:noWrap/>
            <w:hideMark/>
          </w:tcPr>
          <w:p w14:paraId="10BE7095" w14:textId="257C73B2" w:rsidR="00AB6F50" w:rsidRPr="000973F2" w:rsidRDefault="00AB6F50" w:rsidP="001D7159">
            <w:pPr>
              <w:tabs>
                <w:tab w:val="decimal" w:pos="512"/>
              </w:tabs>
              <w:spacing w:before="40" w:after="4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$879</w:t>
            </w:r>
          </w:p>
        </w:tc>
      </w:tr>
      <w:tr w:rsidR="00421E5A" w:rsidRPr="000973F2" w14:paraId="1FFE87A3" w14:textId="77777777" w:rsidTr="001D7159">
        <w:trPr>
          <w:cantSplit/>
        </w:trPr>
        <w:tc>
          <w:tcPr>
            <w:cnfStyle w:val="001000000000" w:firstRow="0" w:lastRow="0" w:firstColumn="1" w:lastColumn="0" w:oddVBand="0" w:evenVBand="0" w:oddHBand="0" w:evenHBand="0" w:firstRowFirstColumn="0" w:firstRowLastColumn="0" w:lastRowFirstColumn="0" w:lastRowLastColumn="0"/>
            <w:tcW w:w="1335" w:type="dxa"/>
            <w:tcMar>
              <w:right w:w="14" w:type="dxa"/>
            </w:tcMar>
            <w:hideMark/>
          </w:tcPr>
          <w:p w14:paraId="765D1B27" w14:textId="77777777" w:rsidR="00AB6F50" w:rsidRPr="000973F2" w:rsidRDefault="00AB6F50" w:rsidP="001D7159">
            <w:pPr>
              <w:spacing w:before="40" w:after="4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Reporting</w:t>
            </w:r>
          </w:p>
        </w:tc>
        <w:tc>
          <w:tcPr>
            <w:tcW w:w="657" w:type="dxa"/>
            <w:noWrap/>
            <w:hideMark/>
          </w:tcPr>
          <w:p w14:paraId="6CE79DC7" w14:textId="77777777" w:rsidR="00AB6F50" w:rsidRPr="000973F2" w:rsidRDefault="00AB6F50" w:rsidP="001D7159">
            <w:pPr>
              <w:spacing w:before="40" w:after="4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0.0</w:t>
            </w:r>
          </w:p>
        </w:tc>
        <w:tc>
          <w:tcPr>
            <w:tcW w:w="657" w:type="dxa"/>
            <w:noWrap/>
            <w:hideMark/>
          </w:tcPr>
          <w:p w14:paraId="0C9CC9D1" w14:textId="77777777" w:rsidR="00AB6F50" w:rsidRPr="000973F2" w:rsidRDefault="00AB6F50" w:rsidP="001D7159">
            <w:pPr>
              <w:spacing w:before="40" w:after="4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0.0</w:t>
            </w:r>
          </w:p>
        </w:tc>
        <w:tc>
          <w:tcPr>
            <w:tcW w:w="657" w:type="dxa"/>
            <w:noWrap/>
            <w:hideMark/>
          </w:tcPr>
          <w:p w14:paraId="75F70767" w14:textId="77777777" w:rsidR="00AB6F50" w:rsidRPr="000973F2" w:rsidRDefault="00AB6F50" w:rsidP="001D7159">
            <w:pPr>
              <w:spacing w:before="40" w:after="4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0.0</w:t>
            </w:r>
          </w:p>
        </w:tc>
        <w:tc>
          <w:tcPr>
            <w:tcW w:w="657" w:type="dxa"/>
            <w:noWrap/>
            <w:hideMark/>
          </w:tcPr>
          <w:p w14:paraId="20E3E844" w14:textId="77777777" w:rsidR="00AB6F50" w:rsidRPr="000973F2" w:rsidRDefault="00AB6F50" w:rsidP="001D7159">
            <w:pPr>
              <w:spacing w:before="40" w:after="4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0.0</w:t>
            </w:r>
          </w:p>
        </w:tc>
        <w:tc>
          <w:tcPr>
            <w:tcW w:w="657" w:type="dxa"/>
            <w:noWrap/>
            <w:hideMark/>
          </w:tcPr>
          <w:p w14:paraId="62523744" w14:textId="77777777" w:rsidR="00AB6F50" w:rsidRPr="000973F2" w:rsidRDefault="00AB6F50" w:rsidP="001D7159">
            <w:pPr>
              <w:spacing w:before="40" w:after="4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0.0</w:t>
            </w:r>
          </w:p>
        </w:tc>
        <w:tc>
          <w:tcPr>
            <w:tcW w:w="657" w:type="dxa"/>
            <w:noWrap/>
            <w:hideMark/>
          </w:tcPr>
          <w:p w14:paraId="071F1F3F" w14:textId="77777777" w:rsidR="00AB6F50" w:rsidRPr="000973F2" w:rsidRDefault="00AB6F50" w:rsidP="001D7159">
            <w:pPr>
              <w:spacing w:before="40" w:after="4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2.0</w:t>
            </w:r>
          </w:p>
        </w:tc>
        <w:tc>
          <w:tcPr>
            <w:tcW w:w="657" w:type="dxa"/>
            <w:noWrap/>
            <w:hideMark/>
          </w:tcPr>
          <w:p w14:paraId="4FFE6ACF" w14:textId="77777777" w:rsidR="00AB6F50" w:rsidRPr="000973F2" w:rsidRDefault="00AB6F50" w:rsidP="001D7159">
            <w:pPr>
              <w:spacing w:before="40" w:after="4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0.0</w:t>
            </w:r>
          </w:p>
        </w:tc>
        <w:tc>
          <w:tcPr>
            <w:tcW w:w="657" w:type="dxa"/>
            <w:noWrap/>
            <w:hideMark/>
          </w:tcPr>
          <w:p w14:paraId="6E546681" w14:textId="77777777" w:rsidR="00AB6F50" w:rsidRPr="000973F2" w:rsidRDefault="00AB6F50" w:rsidP="001D7159">
            <w:pPr>
              <w:tabs>
                <w:tab w:val="decimal" w:pos="151"/>
              </w:tabs>
              <w:spacing w:before="40" w:after="4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26.0</w:t>
            </w:r>
          </w:p>
        </w:tc>
        <w:tc>
          <w:tcPr>
            <w:tcW w:w="657" w:type="dxa"/>
            <w:noWrap/>
            <w:hideMark/>
          </w:tcPr>
          <w:p w14:paraId="36ED64DD" w14:textId="77777777" w:rsidR="00AB6F50" w:rsidRPr="000973F2" w:rsidRDefault="00AB6F50" w:rsidP="001D7159">
            <w:pPr>
              <w:spacing w:before="40" w:after="4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0.0</w:t>
            </w:r>
          </w:p>
        </w:tc>
        <w:tc>
          <w:tcPr>
            <w:tcW w:w="657" w:type="dxa"/>
            <w:noWrap/>
            <w:hideMark/>
          </w:tcPr>
          <w:p w14:paraId="4C4351D1" w14:textId="77777777" w:rsidR="00AB6F50" w:rsidRPr="000973F2" w:rsidRDefault="00AB6F50" w:rsidP="001D7159">
            <w:pPr>
              <w:spacing w:before="40" w:after="4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2.0</w:t>
            </w:r>
          </w:p>
        </w:tc>
        <w:tc>
          <w:tcPr>
            <w:tcW w:w="684" w:type="dxa"/>
            <w:noWrap/>
            <w:hideMark/>
          </w:tcPr>
          <w:p w14:paraId="4DA6AF78" w14:textId="326F2C63" w:rsidR="00AB6F50" w:rsidRPr="000973F2" w:rsidRDefault="00AB6F50" w:rsidP="001D7159">
            <w:pPr>
              <w:spacing w:before="40" w:after="4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$0</w:t>
            </w:r>
          </w:p>
        </w:tc>
        <w:tc>
          <w:tcPr>
            <w:tcW w:w="741" w:type="dxa"/>
            <w:noWrap/>
            <w:hideMark/>
          </w:tcPr>
          <w:p w14:paraId="0EA661B1" w14:textId="6E0698B2" w:rsidR="00AB6F50" w:rsidRPr="000973F2" w:rsidRDefault="00AB6F50" w:rsidP="001D7159">
            <w:pPr>
              <w:tabs>
                <w:tab w:val="decimal" w:pos="512"/>
              </w:tabs>
              <w:spacing w:before="40" w:after="4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$2,700</w:t>
            </w:r>
          </w:p>
        </w:tc>
      </w:tr>
      <w:tr w:rsidR="00816BF1" w:rsidRPr="000973F2" w14:paraId="33771823" w14:textId="77777777" w:rsidTr="001D7159">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1335" w:type="dxa"/>
            <w:noWrap/>
            <w:tcMar>
              <w:right w:w="14" w:type="dxa"/>
            </w:tcMar>
            <w:hideMark/>
          </w:tcPr>
          <w:p w14:paraId="02A644DF" w14:textId="77777777" w:rsidR="00AB6F50" w:rsidRPr="000973F2" w:rsidRDefault="00AB6F50" w:rsidP="001D7159">
            <w:pPr>
              <w:spacing w:before="40" w:after="40"/>
              <w:rPr>
                <w:rFonts w:ascii="Times New Roman" w:eastAsia="Times New Roman" w:hAnsi="Times New Roman" w:cs="Times New Roman"/>
                <w:b/>
                <w:bCs w:val="0"/>
                <w:sz w:val="18"/>
                <w:szCs w:val="18"/>
              </w:rPr>
            </w:pPr>
            <w:r w:rsidRPr="000973F2">
              <w:rPr>
                <w:rFonts w:ascii="Times New Roman" w:eastAsia="Times New Roman" w:hAnsi="Times New Roman" w:cs="Times New Roman"/>
                <w:b/>
                <w:sz w:val="18"/>
                <w:szCs w:val="18"/>
              </w:rPr>
              <w:t>Total</w:t>
            </w:r>
          </w:p>
        </w:tc>
        <w:tc>
          <w:tcPr>
            <w:tcW w:w="657" w:type="dxa"/>
            <w:noWrap/>
            <w:hideMark/>
          </w:tcPr>
          <w:p w14:paraId="3FACCB85" w14:textId="77777777" w:rsidR="00AB6F50" w:rsidRPr="000973F2" w:rsidRDefault="00AB6F50" w:rsidP="001D7159">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18"/>
                <w:szCs w:val="18"/>
              </w:rPr>
            </w:pPr>
            <w:r w:rsidRPr="000973F2">
              <w:rPr>
                <w:rFonts w:ascii="Times New Roman" w:eastAsia="Times New Roman" w:hAnsi="Times New Roman" w:cs="Times New Roman"/>
                <w:b/>
                <w:bCs/>
                <w:sz w:val="18"/>
                <w:szCs w:val="18"/>
              </w:rPr>
              <w:t>0.0</w:t>
            </w:r>
          </w:p>
        </w:tc>
        <w:tc>
          <w:tcPr>
            <w:tcW w:w="657" w:type="dxa"/>
            <w:noWrap/>
            <w:hideMark/>
          </w:tcPr>
          <w:p w14:paraId="6308831C" w14:textId="77777777" w:rsidR="00AB6F50" w:rsidRPr="000973F2" w:rsidRDefault="00AB6F50" w:rsidP="001D7159">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18"/>
                <w:szCs w:val="18"/>
              </w:rPr>
            </w:pPr>
            <w:r w:rsidRPr="000973F2">
              <w:rPr>
                <w:rFonts w:ascii="Times New Roman" w:eastAsia="Times New Roman" w:hAnsi="Times New Roman" w:cs="Times New Roman"/>
                <w:b/>
                <w:bCs/>
                <w:sz w:val="18"/>
                <w:szCs w:val="18"/>
              </w:rPr>
              <w:t>2.0</w:t>
            </w:r>
          </w:p>
        </w:tc>
        <w:tc>
          <w:tcPr>
            <w:tcW w:w="657" w:type="dxa"/>
            <w:noWrap/>
            <w:hideMark/>
          </w:tcPr>
          <w:p w14:paraId="589AB930" w14:textId="77777777" w:rsidR="00AB6F50" w:rsidRPr="000973F2" w:rsidRDefault="00AB6F50" w:rsidP="001D7159">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18"/>
                <w:szCs w:val="18"/>
              </w:rPr>
            </w:pPr>
            <w:r w:rsidRPr="000973F2">
              <w:rPr>
                <w:rFonts w:ascii="Times New Roman" w:eastAsia="Times New Roman" w:hAnsi="Times New Roman" w:cs="Times New Roman"/>
                <w:b/>
                <w:bCs/>
                <w:sz w:val="18"/>
                <w:szCs w:val="18"/>
              </w:rPr>
              <w:t>0.0</w:t>
            </w:r>
          </w:p>
        </w:tc>
        <w:tc>
          <w:tcPr>
            <w:tcW w:w="657" w:type="dxa"/>
            <w:noWrap/>
            <w:hideMark/>
          </w:tcPr>
          <w:p w14:paraId="42BF557B" w14:textId="77777777" w:rsidR="00AB6F50" w:rsidRPr="000973F2" w:rsidRDefault="00AB6F50" w:rsidP="001D7159">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18"/>
                <w:szCs w:val="18"/>
              </w:rPr>
            </w:pPr>
            <w:r w:rsidRPr="000973F2">
              <w:rPr>
                <w:rFonts w:ascii="Times New Roman" w:eastAsia="Times New Roman" w:hAnsi="Times New Roman" w:cs="Times New Roman"/>
                <w:b/>
                <w:bCs/>
                <w:sz w:val="18"/>
                <w:szCs w:val="18"/>
              </w:rPr>
              <w:t>1.0</w:t>
            </w:r>
          </w:p>
        </w:tc>
        <w:tc>
          <w:tcPr>
            <w:tcW w:w="657" w:type="dxa"/>
            <w:noWrap/>
            <w:hideMark/>
          </w:tcPr>
          <w:p w14:paraId="413F30DE" w14:textId="77777777" w:rsidR="00AB6F50" w:rsidRPr="000973F2" w:rsidRDefault="00AB6F50" w:rsidP="001D7159">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18"/>
                <w:szCs w:val="18"/>
              </w:rPr>
            </w:pPr>
            <w:r w:rsidRPr="000973F2">
              <w:rPr>
                <w:rFonts w:ascii="Times New Roman" w:eastAsia="Times New Roman" w:hAnsi="Times New Roman" w:cs="Times New Roman"/>
                <w:b/>
                <w:bCs/>
                <w:sz w:val="18"/>
                <w:szCs w:val="18"/>
              </w:rPr>
              <w:t>0.0</w:t>
            </w:r>
          </w:p>
        </w:tc>
        <w:tc>
          <w:tcPr>
            <w:tcW w:w="657" w:type="dxa"/>
            <w:noWrap/>
            <w:hideMark/>
          </w:tcPr>
          <w:p w14:paraId="30427EAE" w14:textId="77777777" w:rsidR="00AB6F50" w:rsidRPr="000973F2" w:rsidRDefault="00AB6F50" w:rsidP="001D7159">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18"/>
                <w:szCs w:val="18"/>
              </w:rPr>
            </w:pPr>
            <w:r w:rsidRPr="000973F2">
              <w:rPr>
                <w:rFonts w:ascii="Times New Roman" w:eastAsia="Times New Roman" w:hAnsi="Times New Roman" w:cs="Times New Roman"/>
                <w:b/>
                <w:bCs/>
                <w:sz w:val="18"/>
                <w:szCs w:val="18"/>
              </w:rPr>
              <w:t>5.0</w:t>
            </w:r>
          </w:p>
        </w:tc>
        <w:tc>
          <w:tcPr>
            <w:tcW w:w="657" w:type="dxa"/>
            <w:noWrap/>
            <w:hideMark/>
          </w:tcPr>
          <w:p w14:paraId="02029E60" w14:textId="77777777" w:rsidR="00AB6F50" w:rsidRPr="000973F2" w:rsidRDefault="00AB6F50" w:rsidP="001D7159">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18"/>
                <w:szCs w:val="18"/>
              </w:rPr>
            </w:pPr>
            <w:r w:rsidRPr="000973F2">
              <w:rPr>
                <w:rFonts w:ascii="Times New Roman" w:eastAsia="Times New Roman" w:hAnsi="Times New Roman" w:cs="Times New Roman"/>
                <w:b/>
                <w:bCs/>
                <w:sz w:val="18"/>
                <w:szCs w:val="18"/>
              </w:rPr>
              <w:t>0.0</w:t>
            </w:r>
          </w:p>
        </w:tc>
        <w:tc>
          <w:tcPr>
            <w:tcW w:w="657" w:type="dxa"/>
            <w:noWrap/>
            <w:hideMark/>
          </w:tcPr>
          <w:p w14:paraId="39826F17" w14:textId="77777777" w:rsidR="00AB6F50" w:rsidRPr="000973F2" w:rsidRDefault="00AB6F50" w:rsidP="001D7159">
            <w:pPr>
              <w:tabs>
                <w:tab w:val="decimal" w:pos="151"/>
              </w:tabs>
              <w:spacing w:before="40" w:after="4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18"/>
                <w:szCs w:val="18"/>
              </w:rPr>
            </w:pPr>
            <w:r w:rsidRPr="000973F2">
              <w:rPr>
                <w:rFonts w:ascii="Times New Roman" w:eastAsia="Times New Roman" w:hAnsi="Times New Roman" w:cs="Times New Roman"/>
                <w:b/>
                <w:bCs/>
                <w:sz w:val="18"/>
                <w:szCs w:val="18"/>
              </w:rPr>
              <w:t>58.6</w:t>
            </w:r>
          </w:p>
        </w:tc>
        <w:tc>
          <w:tcPr>
            <w:tcW w:w="657" w:type="dxa"/>
            <w:noWrap/>
            <w:hideMark/>
          </w:tcPr>
          <w:p w14:paraId="5BEC9142" w14:textId="77777777" w:rsidR="00AB6F50" w:rsidRPr="000973F2" w:rsidRDefault="00AB6F50" w:rsidP="001D7159">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18"/>
                <w:szCs w:val="18"/>
              </w:rPr>
            </w:pPr>
            <w:r w:rsidRPr="000973F2">
              <w:rPr>
                <w:rFonts w:ascii="Times New Roman" w:eastAsia="Times New Roman" w:hAnsi="Times New Roman" w:cs="Times New Roman"/>
                <w:b/>
                <w:bCs/>
                <w:sz w:val="18"/>
                <w:szCs w:val="18"/>
              </w:rPr>
              <w:t>0.0</w:t>
            </w:r>
          </w:p>
        </w:tc>
        <w:tc>
          <w:tcPr>
            <w:tcW w:w="657" w:type="dxa"/>
            <w:noWrap/>
            <w:hideMark/>
          </w:tcPr>
          <w:p w14:paraId="1D8D81E5" w14:textId="77777777" w:rsidR="00AB6F50" w:rsidRPr="000973F2" w:rsidRDefault="00AB6F50" w:rsidP="001D7159">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18"/>
                <w:szCs w:val="18"/>
              </w:rPr>
            </w:pPr>
            <w:r w:rsidRPr="000973F2">
              <w:rPr>
                <w:rFonts w:ascii="Times New Roman" w:eastAsia="Times New Roman" w:hAnsi="Times New Roman" w:cs="Times New Roman"/>
                <w:b/>
                <w:bCs/>
                <w:sz w:val="18"/>
                <w:szCs w:val="18"/>
              </w:rPr>
              <w:t>3.0</w:t>
            </w:r>
          </w:p>
        </w:tc>
        <w:tc>
          <w:tcPr>
            <w:tcW w:w="684" w:type="dxa"/>
            <w:noWrap/>
            <w:hideMark/>
          </w:tcPr>
          <w:p w14:paraId="58BCFDC4" w14:textId="0E1CD07D" w:rsidR="00AB6F50" w:rsidRPr="000973F2" w:rsidRDefault="00AB6F50" w:rsidP="001D7159">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18"/>
                <w:szCs w:val="18"/>
              </w:rPr>
            </w:pPr>
            <w:r w:rsidRPr="000973F2">
              <w:rPr>
                <w:rFonts w:ascii="Times New Roman" w:eastAsia="Times New Roman" w:hAnsi="Times New Roman" w:cs="Times New Roman"/>
                <w:b/>
                <w:bCs/>
                <w:sz w:val="18"/>
                <w:szCs w:val="18"/>
              </w:rPr>
              <w:t>$0</w:t>
            </w:r>
          </w:p>
        </w:tc>
        <w:tc>
          <w:tcPr>
            <w:tcW w:w="741" w:type="dxa"/>
            <w:noWrap/>
            <w:hideMark/>
          </w:tcPr>
          <w:p w14:paraId="65601E4B" w14:textId="02770D93" w:rsidR="00AB6F50" w:rsidRPr="000973F2" w:rsidRDefault="00AB6F50" w:rsidP="001D7159">
            <w:pPr>
              <w:tabs>
                <w:tab w:val="decimal" w:pos="512"/>
              </w:tabs>
              <w:spacing w:before="40" w:after="4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18"/>
                <w:szCs w:val="18"/>
              </w:rPr>
            </w:pPr>
            <w:r w:rsidRPr="000973F2">
              <w:rPr>
                <w:rFonts w:ascii="Times New Roman" w:eastAsia="Times New Roman" w:hAnsi="Times New Roman" w:cs="Times New Roman"/>
                <w:b/>
                <w:bCs/>
                <w:sz w:val="18"/>
                <w:szCs w:val="18"/>
              </w:rPr>
              <w:t>$6,411</w:t>
            </w:r>
          </w:p>
        </w:tc>
      </w:tr>
    </w:tbl>
    <w:p w14:paraId="7AE5B7F9" w14:textId="77777777" w:rsidR="00AB6F50" w:rsidRPr="000973F2" w:rsidRDefault="00AB6F50" w:rsidP="00C00E4F">
      <w:pPr>
        <w:spacing w:line="240" w:lineRule="auto"/>
        <w:jc w:val="center"/>
        <w:rPr>
          <w:rFonts w:ascii="Times New Roman" w:hAnsi="Times New Roman" w:cs="Times New Roman"/>
          <w:sz w:val="20"/>
          <w:szCs w:val="20"/>
        </w:rPr>
      </w:pPr>
    </w:p>
    <w:p w14:paraId="59CFD3AD" w14:textId="755795BC" w:rsidR="00AB6F50" w:rsidRPr="000973F2" w:rsidRDefault="00AB6F50" w:rsidP="001D7159">
      <w:pPr>
        <w:pStyle w:val="Tabletitle"/>
      </w:pPr>
      <w:r w:rsidRPr="000973F2">
        <w:t xml:space="preserve">Table </w:t>
      </w:r>
      <w:r w:rsidR="001D7159" w:rsidRPr="000973F2">
        <w:t>W-</w:t>
      </w:r>
      <w:r w:rsidRPr="000973F2">
        <w:t xml:space="preserve">2d. </w:t>
      </w:r>
      <w:r w:rsidR="001F4582" w:rsidRPr="000973F2">
        <w:t xml:space="preserve">Capital and O&amp;M Costs </w:t>
      </w:r>
      <w:r w:rsidR="00B960CC" w:rsidRPr="000973F2">
        <w:t>–</w:t>
      </w:r>
      <w:r w:rsidR="001F4582" w:rsidRPr="000973F2">
        <w:t xml:space="preserve"> </w:t>
      </w:r>
      <w:r w:rsidRPr="000973F2">
        <w:t>Subpart W – Onshore Natural Gas Transmission Compression</w:t>
      </w:r>
    </w:p>
    <w:tbl>
      <w:tblPr>
        <w:tblStyle w:val="PlainTable1"/>
        <w:tblW w:w="5000" w:type="pct"/>
        <w:jc w:val="left"/>
        <w:tblLayout w:type="fixed"/>
        <w:tblCellMar>
          <w:left w:w="115" w:type="dxa"/>
          <w:right w:w="115" w:type="dxa"/>
        </w:tblCellMar>
        <w:tblLook w:val="04A0" w:firstRow="1" w:lastRow="0" w:firstColumn="1" w:lastColumn="0" w:noHBand="0" w:noVBand="1"/>
      </w:tblPr>
      <w:tblGrid>
        <w:gridCol w:w="1737"/>
        <w:gridCol w:w="1296"/>
        <w:gridCol w:w="1297"/>
        <w:gridCol w:w="1297"/>
        <w:gridCol w:w="1297"/>
        <w:gridCol w:w="1358"/>
        <w:gridCol w:w="1308"/>
      </w:tblGrid>
      <w:tr w:rsidR="00D17312" w:rsidRPr="000973F2" w14:paraId="7B5D378E" w14:textId="77777777" w:rsidTr="001A041D">
        <w:trPr>
          <w:cnfStyle w:val="100000000000" w:firstRow="1" w:lastRow="0" w:firstColumn="0" w:lastColumn="0" w:oddVBand="0" w:evenVBand="0" w:oddHBand="0" w:evenHBand="0" w:firstRowFirstColumn="0" w:firstRowLastColumn="0" w:lastRowFirstColumn="0" w:lastRowLastColumn="0"/>
          <w:cantSplit/>
          <w:jc w:val="left"/>
        </w:trPr>
        <w:tc>
          <w:tcPr>
            <w:cnfStyle w:val="001000000000" w:firstRow="0" w:lastRow="0" w:firstColumn="1" w:lastColumn="0" w:oddVBand="0" w:evenVBand="0" w:oddHBand="0" w:evenHBand="0" w:firstRowFirstColumn="0" w:firstRowLastColumn="0" w:lastRowFirstColumn="0" w:lastRowLastColumn="0"/>
            <w:tcW w:w="906" w:type="pct"/>
            <w:vMerge w:val="restart"/>
            <w:noWrap/>
            <w:vAlign w:val="top"/>
            <w:hideMark/>
          </w:tcPr>
          <w:p w14:paraId="14F87662" w14:textId="03191B8C" w:rsidR="00D17312" w:rsidRPr="000973F2" w:rsidRDefault="00D17312" w:rsidP="001A041D">
            <w:pPr>
              <w:spacing w:before="40" w:after="40"/>
              <w:rPr>
                <w:rFonts w:ascii="Times New Roman" w:eastAsia="Times New Roman" w:hAnsi="Times New Roman" w:cs="Times New Roman"/>
                <w:b w:val="0"/>
                <w:bCs w:val="0"/>
                <w:sz w:val="18"/>
                <w:szCs w:val="18"/>
              </w:rPr>
            </w:pPr>
            <w:r w:rsidRPr="000973F2">
              <w:rPr>
                <w:rFonts w:ascii="Times New Roman" w:eastAsia="Times New Roman" w:hAnsi="Times New Roman" w:cs="Times New Roman"/>
                <w:sz w:val="18"/>
                <w:szCs w:val="18"/>
              </w:rPr>
              <w:t>Activity</w:t>
            </w:r>
          </w:p>
        </w:tc>
        <w:tc>
          <w:tcPr>
            <w:tcW w:w="2704" w:type="pct"/>
            <w:gridSpan w:val="4"/>
            <w:noWrap/>
            <w:vAlign w:val="top"/>
            <w:hideMark/>
          </w:tcPr>
          <w:p w14:paraId="1AE23B9C" w14:textId="77777777" w:rsidR="00D17312" w:rsidRPr="000973F2" w:rsidRDefault="00D17312" w:rsidP="001A041D">
            <w:pPr>
              <w:spacing w:before="40" w:after="40"/>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bCs w:val="0"/>
                <w:sz w:val="18"/>
                <w:szCs w:val="18"/>
              </w:rPr>
            </w:pPr>
            <w:r w:rsidRPr="000973F2">
              <w:rPr>
                <w:rFonts w:ascii="Times New Roman" w:eastAsia="Times New Roman" w:hAnsi="Times New Roman" w:cs="Times New Roman"/>
                <w:sz w:val="18"/>
                <w:szCs w:val="18"/>
              </w:rPr>
              <w:t>Cost Categories</w:t>
            </w:r>
          </w:p>
        </w:tc>
        <w:tc>
          <w:tcPr>
            <w:tcW w:w="1390" w:type="pct"/>
            <w:gridSpan w:val="2"/>
            <w:vAlign w:val="top"/>
            <w:hideMark/>
          </w:tcPr>
          <w:p w14:paraId="74159760" w14:textId="0BFA6874" w:rsidR="00D17312" w:rsidRPr="000973F2" w:rsidRDefault="00D17312" w:rsidP="001A041D">
            <w:pPr>
              <w:spacing w:before="40" w:after="40"/>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bCs w:val="0"/>
                <w:sz w:val="18"/>
                <w:szCs w:val="18"/>
              </w:rPr>
            </w:pPr>
            <w:r w:rsidRPr="000973F2">
              <w:rPr>
                <w:rFonts w:ascii="Times New Roman" w:eastAsia="Times New Roman" w:hAnsi="Times New Roman" w:cs="Times New Roman"/>
                <w:sz w:val="18"/>
                <w:szCs w:val="18"/>
              </w:rPr>
              <w:t>Total Capital and O&amp;M Cost per Year per Reporter</w:t>
            </w:r>
            <w:r w:rsidR="001A041D" w:rsidRPr="000973F2">
              <w:rPr>
                <w:rFonts w:ascii="Times New Roman" w:eastAsia="Times New Roman" w:hAnsi="Times New Roman" w:cs="Times New Roman"/>
                <w:sz w:val="18"/>
                <w:szCs w:val="18"/>
              </w:rPr>
              <w:t xml:space="preserve"> </w:t>
            </w:r>
            <w:r w:rsidRPr="000973F2">
              <w:rPr>
                <w:rFonts w:ascii="Times New Roman" w:eastAsia="Times New Roman" w:hAnsi="Times New Roman" w:cs="Times New Roman"/>
                <w:sz w:val="18"/>
                <w:szCs w:val="18"/>
              </w:rPr>
              <w:t>(2017$)</w:t>
            </w:r>
          </w:p>
        </w:tc>
      </w:tr>
      <w:tr w:rsidR="00D17312" w:rsidRPr="000973F2" w14:paraId="648656BE" w14:textId="77777777" w:rsidTr="001A041D">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906" w:type="pct"/>
            <w:vMerge/>
            <w:noWrap/>
            <w:hideMark/>
          </w:tcPr>
          <w:p w14:paraId="42294230" w14:textId="5921F0DB" w:rsidR="00D17312" w:rsidRPr="000973F2" w:rsidRDefault="00D17312" w:rsidP="001A041D">
            <w:pPr>
              <w:spacing w:before="40" w:after="40"/>
              <w:jc w:val="center"/>
              <w:rPr>
                <w:rFonts w:ascii="Times New Roman" w:eastAsia="Times New Roman" w:hAnsi="Times New Roman" w:cs="Times New Roman"/>
                <w:b/>
                <w:bCs w:val="0"/>
                <w:sz w:val="18"/>
                <w:szCs w:val="18"/>
              </w:rPr>
            </w:pPr>
          </w:p>
        </w:tc>
        <w:tc>
          <w:tcPr>
            <w:tcW w:w="676" w:type="pct"/>
            <w:hideMark/>
          </w:tcPr>
          <w:p w14:paraId="43DD122A" w14:textId="77777777" w:rsidR="00D17312" w:rsidRPr="000973F2" w:rsidRDefault="00D17312" w:rsidP="001A041D">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18"/>
                <w:szCs w:val="18"/>
              </w:rPr>
            </w:pPr>
            <w:r w:rsidRPr="000973F2">
              <w:rPr>
                <w:rFonts w:ascii="Times New Roman" w:eastAsia="Times New Roman" w:hAnsi="Times New Roman" w:cs="Times New Roman"/>
                <w:b/>
                <w:bCs/>
                <w:sz w:val="18"/>
                <w:szCs w:val="18"/>
              </w:rPr>
              <w:t>Capital Cost (2017$)</w:t>
            </w:r>
          </w:p>
        </w:tc>
        <w:tc>
          <w:tcPr>
            <w:tcW w:w="676" w:type="pct"/>
            <w:hideMark/>
          </w:tcPr>
          <w:p w14:paraId="130EB039" w14:textId="77777777" w:rsidR="00D17312" w:rsidRPr="000973F2" w:rsidRDefault="00D17312" w:rsidP="001A041D">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18"/>
                <w:szCs w:val="18"/>
              </w:rPr>
            </w:pPr>
            <w:r w:rsidRPr="000973F2">
              <w:rPr>
                <w:rFonts w:ascii="Times New Roman" w:eastAsia="Times New Roman" w:hAnsi="Times New Roman" w:cs="Times New Roman"/>
                <w:b/>
                <w:bCs/>
                <w:sz w:val="18"/>
                <w:szCs w:val="18"/>
              </w:rPr>
              <w:t>Equipment Lifetime</w:t>
            </w:r>
          </w:p>
        </w:tc>
        <w:tc>
          <w:tcPr>
            <w:tcW w:w="676" w:type="pct"/>
            <w:hideMark/>
          </w:tcPr>
          <w:p w14:paraId="358B41D1" w14:textId="77777777" w:rsidR="00D17312" w:rsidRPr="000973F2" w:rsidRDefault="00D17312" w:rsidP="001A041D">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18"/>
                <w:szCs w:val="18"/>
              </w:rPr>
            </w:pPr>
            <w:r w:rsidRPr="000973F2">
              <w:rPr>
                <w:rFonts w:ascii="Times New Roman" w:eastAsia="Times New Roman" w:hAnsi="Times New Roman" w:cs="Times New Roman"/>
                <w:b/>
                <w:bCs/>
                <w:sz w:val="18"/>
                <w:szCs w:val="18"/>
              </w:rPr>
              <w:t>Annualized Capital Cost (2017$/year)</w:t>
            </w:r>
          </w:p>
        </w:tc>
        <w:tc>
          <w:tcPr>
            <w:tcW w:w="676" w:type="pct"/>
            <w:hideMark/>
          </w:tcPr>
          <w:p w14:paraId="3A68B0DD" w14:textId="77777777" w:rsidR="00D17312" w:rsidRPr="000973F2" w:rsidRDefault="00D17312" w:rsidP="001A041D">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18"/>
                <w:szCs w:val="18"/>
              </w:rPr>
            </w:pPr>
            <w:r w:rsidRPr="000973F2">
              <w:rPr>
                <w:rFonts w:ascii="Times New Roman" w:eastAsia="Times New Roman" w:hAnsi="Times New Roman" w:cs="Times New Roman"/>
                <w:b/>
                <w:bCs/>
                <w:sz w:val="18"/>
                <w:szCs w:val="18"/>
              </w:rPr>
              <w:t>O&amp;M Costs (2017$/year)</w:t>
            </w:r>
          </w:p>
        </w:tc>
        <w:tc>
          <w:tcPr>
            <w:tcW w:w="708" w:type="pct"/>
            <w:hideMark/>
          </w:tcPr>
          <w:p w14:paraId="5D55E221" w14:textId="77777777" w:rsidR="00D17312" w:rsidRPr="000973F2" w:rsidRDefault="00D17312" w:rsidP="001A041D">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18"/>
                <w:szCs w:val="18"/>
              </w:rPr>
            </w:pPr>
            <w:r w:rsidRPr="000973F2">
              <w:rPr>
                <w:rFonts w:ascii="Times New Roman" w:eastAsia="Times New Roman" w:hAnsi="Times New Roman" w:cs="Times New Roman"/>
                <w:b/>
                <w:bCs/>
                <w:sz w:val="18"/>
                <w:szCs w:val="18"/>
              </w:rPr>
              <w:t>Initial Year</w:t>
            </w:r>
          </w:p>
        </w:tc>
        <w:tc>
          <w:tcPr>
            <w:tcW w:w="682" w:type="pct"/>
            <w:hideMark/>
          </w:tcPr>
          <w:p w14:paraId="42D0EFA5" w14:textId="77777777" w:rsidR="00D17312" w:rsidRPr="000973F2" w:rsidRDefault="00D17312" w:rsidP="001A041D">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18"/>
                <w:szCs w:val="18"/>
              </w:rPr>
            </w:pPr>
            <w:r w:rsidRPr="000973F2">
              <w:rPr>
                <w:rFonts w:ascii="Times New Roman" w:eastAsia="Times New Roman" w:hAnsi="Times New Roman" w:cs="Times New Roman"/>
                <w:b/>
                <w:bCs/>
                <w:sz w:val="18"/>
                <w:szCs w:val="18"/>
              </w:rPr>
              <w:t>Subseq. Years</w:t>
            </w:r>
          </w:p>
        </w:tc>
      </w:tr>
      <w:tr w:rsidR="001A041D" w:rsidRPr="000973F2" w14:paraId="232A0F79" w14:textId="77777777" w:rsidTr="001A041D">
        <w:trPr>
          <w:cantSplit/>
        </w:trPr>
        <w:tc>
          <w:tcPr>
            <w:cnfStyle w:val="001000000000" w:firstRow="0" w:lastRow="0" w:firstColumn="1" w:lastColumn="0" w:oddVBand="0" w:evenVBand="0" w:oddHBand="0" w:evenHBand="0" w:firstRowFirstColumn="0" w:firstRowLastColumn="0" w:lastRowFirstColumn="0" w:lastRowLastColumn="0"/>
            <w:tcW w:w="906" w:type="pct"/>
            <w:tcMar>
              <w:right w:w="14" w:type="dxa"/>
            </w:tcMar>
            <w:hideMark/>
          </w:tcPr>
          <w:p w14:paraId="10BAB402" w14:textId="77777777" w:rsidR="001D7159" w:rsidRPr="000973F2" w:rsidRDefault="001D7159" w:rsidP="001A041D">
            <w:pPr>
              <w:spacing w:before="40" w:after="4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Equipment (selection, purchase, installation)</w:t>
            </w:r>
          </w:p>
        </w:tc>
        <w:tc>
          <w:tcPr>
            <w:tcW w:w="676" w:type="pct"/>
            <w:noWrap/>
            <w:hideMark/>
          </w:tcPr>
          <w:p w14:paraId="6598634D" w14:textId="0AF80110" w:rsidR="001D7159" w:rsidRPr="000973F2" w:rsidRDefault="001D7159" w:rsidP="001A041D">
            <w:pPr>
              <w:spacing w:before="40" w:after="4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w:t>
            </w:r>
          </w:p>
        </w:tc>
        <w:tc>
          <w:tcPr>
            <w:tcW w:w="676" w:type="pct"/>
            <w:noWrap/>
          </w:tcPr>
          <w:p w14:paraId="2226721E" w14:textId="349C0CD2" w:rsidR="001D7159" w:rsidRPr="000973F2" w:rsidRDefault="001D7159" w:rsidP="001A041D">
            <w:pPr>
              <w:spacing w:before="40" w:after="4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p>
        </w:tc>
        <w:tc>
          <w:tcPr>
            <w:tcW w:w="676" w:type="pct"/>
            <w:noWrap/>
            <w:hideMark/>
          </w:tcPr>
          <w:p w14:paraId="37F4A704" w14:textId="386BD492" w:rsidR="001D7159" w:rsidRPr="000973F2" w:rsidRDefault="001D7159" w:rsidP="001A041D">
            <w:pPr>
              <w:spacing w:before="40" w:after="4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w:t>
            </w:r>
          </w:p>
        </w:tc>
        <w:tc>
          <w:tcPr>
            <w:tcW w:w="676" w:type="pct"/>
            <w:noWrap/>
            <w:hideMark/>
          </w:tcPr>
          <w:p w14:paraId="3FB80E2F" w14:textId="11BDC7A8" w:rsidR="001D7159" w:rsidRPr="000973F2" w:rsidRDefault="001D7159" w:rsidP="001A041D">
            <w:pPr>
              <w:tabs>
                <w:tab w:val="decimal" w:pos="781"/>
              </w:tabs>
              <w:spacing w:before="40" w:after="4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w:t>
            </w:r>
          </w:p>
        </w:tc>
        <w:tc>
          <w:tcPr>
            <w:tcW w:w="708" w:type="pct"/>
            <w:noWrap/>
            <w:hideMark/>
          </w:tcPr>
          <w:p w14:paraId="1304F0BA" w14:textId="5B3C3D78" w:rsidR="001D7159" w:rsidRPr="000973F2" w:rsidRDefault="001D7159" w:rsidP="001A041D">
            <w:pPr>
              <w:spacing w:before="40" w:after="4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w:t>
            </w:r>
          </w:p>
        </w:tc>
        <w:tc>
          <w:tcPr>
            <w:tcW w:w="682" w:type="pct"/>
            <w:noWrap/>
            <w:hideMark/>
          </w:tcPr>
          <w:p w14:paraId="3F93C645" w14:textId="7DEEEBD7" w:rsidR="001D7159" w:rsidRPr="000973F2" w:rsidRDefault="001D7159" w:rsidP="001A041D">
            <w:pPr>
              <w:tabs>
                <w:tab w:val="decimal" w:pos="811"/>
              </w:tabs>
              <w:spacing w:before="40" w:after="4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w:t>
            </w:r>
          </w:p>
        </w:tc>
      </w:tr>
      <w:tr w:rsidR="001A041D" w:rsidRPr="000973F2" w14:paraId="51831571" w14:textId="77777777" w:rsidTr="001A041D">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906" w:type="pct"/>
            <w:tcMar>
              <w:right w:w="14" w:type="dxa"/>
            </w:tcMar>
            <w:hideMark/>
          </w:tcPr>
          <w:p w14:paraId="1FA05699" w14:textId="77777777" w:rsidR="001D7159" w:rsidRPr="000973F2" w:rsidRDefault="001D7159" w:rsidP="001A041D">
            <w:pPr>
              <w:spacing w:before="40" w:after="4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Performance testing</w:t>
            </w:r>
          </w:p>
        </w:tc>
        <w:tc>
          <w:tcPr>
            <w:tcW w:w="676" w:type="pct"/>
            <w:noWrap/>
            <w:hideMark/>
          </w:tcPr>
          <w:p w14:paraId="6526E38D" w14:textId="24074C4E" w:rsidR="001D7159" w:rsidRPr="000973F2" w:rsidRDefault="001D7159" w:rsidP="001A041D">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w:t>
            </w:r>
          </w:p>
        </w:tc>
        <w:tc>
          <w:tcPr>
            <w:tcW w:w="676" w:type="pct"/>
            <w:noWrap/>
          </w:tcPr>
          <w:p w14:paraId="1FF48C5D" w14:textId="61A4B638" w:rsidR="001D7159" w:rsidRPr="000973F2" w:rsidRDefault="001D7159" w:rsidP="001A041D">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p>
        </w:tc>
        <w:tc>
          <w:tcPr>
            <w:tcW w:w="676" w:type="pct"/>
            <w:noWrap/>
            <w:hideMark/>
          </w:tcPr>
          <w:p w14:paraId="03B99418" w14:textId="2F933212" w:rsidR="001D7159" w:rsidRPr="000973F2" w:rsidRDefault="001D7159" w:rsidP="001A041D">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w:t>
            </w:r>
          </w:p>
        </w:tc>
        <w:tc>
          <w:tcPr>
            <w:tcW w:w="676" w:type="pct"/>
            <w:noWrap/>
            <w:hideMark/>
          </w:tcPr>
          <w:p w14:paraId="01731B10" w14:textId="1B67DC62" w:rsidR="001D7159" w:rsidRPr="000973F2" w:rsidRDefault="001D7159" w:rsidP="001A041D">
            <w:pPr>
              <w:tabs>
                <w:tab w:val="decimal" w:pos="781"/>
              </w:tabs>
              <w:spacing w:before="40" w:after="4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w:t>
            </w:r>
          </w:p>
        </w:tc>
        <w:tc>
          <w:tcPr>
            <w:tcW w:w="708" w:type="pct"/>
            <w:noWrap/>
            <w:hideMark/>
          </w:tcPr>
          <w:p w14:paraId="37E1ED16" w14:textId="2AD01121" w:rsidR="001D7159" w:rsidRPr="000973F2" w:rsidRDefault="001D7159" w:rsidP="001A041D">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w:t>
            </w:r>
          </w:p>
        </w:tc>
        <w:tc>
          <w:tcPr>
            <w:tcW w:w="682" w:type="pct"/>
            <w:noWrap/>
            <w:hideMark/>
          </w:tcPr>
          <w:p w14:paraId="71512847" w14:textId="47C39C47" w:rsidR="001D7159" w:rsidRPr="000973F2" w:rsidRDefault="001D7159" w:rsidP="001A041D">
            <w:pPr>
              <w:tabs>
                <w:tab w:val="decimal" w:pos="811"/>
              </w:tabs>
              <w:spacing w:before="40" w:after="4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w:t>
            </w:r>
          </w:p>
        </w:tc>
      </w:tr>
      <w:tr w:rsidR="00D01FC8" w:rsidRPr="000973F2" w14:paraId="7C34C07E" w14:textId="77777777" w:rsidTr="001A041D">
        <w:trPr>
          <w:cantSplit/>
        </w:trPr>
        <w:tc>
          <w:tcPr>
            <w:cnfStyle w:val="001000000000" w:firstRow="0" w:lastRow="0" w:firstColumn="1" w:lastColumn="0" w:oddVBand="0" w:evenVBand="0" w:oddHBand="0" w:evenHBand="0" w:firstRowFirstColumn="0" w:firstRowLastColumn="0" w:lastRowFirstColumn="0" w:lastRowLastColumn="0"/>
            <w:tcW w:w="906" w:type="pct"/>
            <w:tcMar>
              <w:right w:w="14" w:type="dxa"/>
            </w:tcMar>
            <w:hideMark/>
          </w:tcPr>
          <w:p w14:paraId="2CDA6E63" w14:textId="77777777" w:rsidR="00AB6F50" w:rsidRPr="000973F2" w:rsidRDefault="00AB6F50" w:rsidP="001A041D">
            <w:pPr>
              <w:spacing w:before="40" w:after="4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Recordkeeping</w:t>
            </w:r>
          </w:p>
        </w:tc>
        <w:tc>
          <w:tcPr>
            <w:tcW w:w="676" w:type="pct"/>
            <w:noWrap/>
            <w:hideMark/>
          </w:tcPr>
          <w:p w14:paraId="52C999BD" w14:textId="77777777" w:rsidR="00AB6F50" w:rsidRPr="000973F2" w:rsidRDefault="00AB6F50" w:rsidP="001A041D">
            <w:pPr>
              <w:spacing w:before="40" w:after="4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$0</w:t>
            </w:r>
          </w:p>
        </w:tc>
        <w:tc>
          <w:tcPr>
            <w:tcW w:w="676" w:type="pct"/>
            <w:noWrap/>
          </w:tcPr>
          <w:p w14:paraId="1B1BD655" w14:textId="06EF6BB2" w:rsidR="00AB6F50" w:rsidRPr="000973F2" w:rsidRDefault="00AB6F50" w:rsidP="001A041D">
            <w:pPr>
              <w:spacing w:before="40" w:after="4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p>
        </w:tc>
        <w:tc>
          <w:tcPr>
            <w:tcW w:w="676" w:type="pct"/>
            <w:noWrap/>
            <w:hideMark/>
          </w:tcPr>
          <w:p w14:paraId="15FA3939" w14:textId="77777777" w:rsidR="00AB6F50" w:rsidRPr="000973F2" w:rsidRDefault="00AB6F50" w:rsidP="001A041D">
            <w:pPr>
              <w:spacing w:before="40" w:after="4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$0</w:t>
            </w:r>
          </w:p>
        </w:tc>
        <w:tc>
          <w:tcPr>
            <w:tcW w:w="676" w:type="pct"/>
            <w:noWrap/>
            <w:hideMark/>
          </w:tcPr>
          <w:p w14:paraId="3B71F7FB" w14:textId="77777777" w:rsidR="00AB6F50" w:rsidRPr="000973F2" w:rsidRDefault="00AB6F50" w:rsidP="001A041D">
            <w:pPr>
              <w:tabs>
                <w:tab w:val="decimal" w:pos="781"/>
              </w:tabs>
              <w:spacing w:before="40" w:after="4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$50</w:t>
            </w:r>
          </w:p>
        </w:tc>
        <w:tc>
          <w:tcPr>
            <w:tcW w:w="708" w:type="pct"/>
            <w:noWrap/>
            <w:hideMark/>
          </w:tcPr>
          <w:p w14:paraId="1E431B79" w14:textId="77777777" w:rsidR="00AB6F50" w:rsidRPr="000973F2" w:rsidRDefault="00AB6F50" w:rsidP="001A041D">
            <w:pPr>
              <w:spacing w:before="40" w:after="4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$0</w:t>
            </w:r>
          </w:p>
        </w:tc>
        <w:tc>
          <w:tcPr>
            <w:tcW w:w="682" w:type="pct"/>
            <w:noWrap/>
            <w:hideMark/>
          </w:tcPr>
          <w:p w14:paraId="0F81A8C8" w14:textId="77777777" w:rsidR="00AB6F50" w:rsidRPr="000973F2" w:rsidRDefault="00AB6F50" w:rsidP="001A041D">
            <w:pPr>
              <w:tabs>
                <w:tab w:val="decimal" w:pos="811"/>
              </w:tabs>
              <w:spacing w:before="40" w:after="4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$50</w:t>
            </w:r>
          </w:p>
        </w:tc>
      </w:tr>
      <w:tr w:rsidR="001A041D" w:rsidRPr="000973F2" w14:paraId="6FF39A9A" w14:textId="77777777" w:rsidTr="001A041D">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906" w:type="pct"/>
            <w:tcMar>
              <w:right w:w="14" w:type="dxa"/>
            </w:tcMar>
            <w:hideMark/>
          </w:tcPr>
          <w:p w14:paraId="0EC998B0" w14:textId="77777777" w:rsidR="001D7159" w:rsidRPr="000973F2" w:rsidRDefault="001D7159" w:rsidP="001A041D">
            <w:pPr>
              <w:spacing w:before="40" w:after="4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Travel</w:t>
            </w:r>
          </w:p>
        </w:tc>
        <w:tc>
          <w:tcPr>
            <w:tcW w:w="676" w:type="pct"/>
            <w:noWrap/>
            <w:hideMark/>
          </w:tcPr>
          <w:p w14:paraId="66F3559A" w14:textId="7A852F74" w:rsidR="001D7159" w:rsidRPr="000973F2" w:rsidRDefault="001D7159" w:rsidP="001A041D">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w:t>
            </w:r>
          </w:p>
        </w:tc>
        <w:tc>
          <w:tcPr>
            <w:tcW w:w="676" w:type="pct"/>
            <w:noWrap/>
          </w:tcPr>
          <w:p w14:paraId="2027E198" w14:textId="2A034DFA" w:rsidR="001D7159" w:rsidRPr="000973F2" w:rsidRDefault="001D7159" w:rsidP="001A041D">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p>
        </w:tc>
        <w:tc>
          <w:tcPr>
            <w:tcW w:w="676" w:type="pct"/>
            <w:noWrap/>
            <w:hideMark/>
          </w:tcPr>
          <w:p w14:paraId="3506463B" w14:textId="6123DBE5" w:rsidR="001D7159" w:rsidRPr="000973F2" w:rsidRDefault="001D7159" w:rsidP="001A041D">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w:t>
            </w:r>
          </w:p>
        </w:tc>
        <w:tc>
          <w:tcPr>
            <w:tcW w:w="676" w:type="pct"/>
            <w:noWrap/>
            <w:hideMark/>
          </w:tcPr>
          <w:p w14:paraId="4CC1203F" w14:textId="2048A0FC" w:rsidR="001D7159" w:rsidRPr="000973F2" w:rsidRDefault="001D7159" w:rsidP="001A041D">
            <w:pPr>
              <w:tabs>
                <w:tab w:val="decimal" w:pos="781"/>
              </w:tabs>
              <w:spacing w:before="40" w:after="4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w:t>
            </w:r>
          </w:p>
        </w:tc>
        <w:tc>
          <w:tcPr>
            <w:tcW w:w="708" w:type="pct"/>
            <w:noWrap/>
            <w:hideMark/>
          </w:tcPr>
          <w:p w14:paraId="27FEF06C" w14:textId="517A6F9E" w:rsidR="001D7159" w:rsidRPr="000973F2" w:rsidRDefault="001D7159" w:rsidP="001A041D">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w:t>
            </w:r>
          </w:p>
        </w:tc>
        <w:tc>
          <w:tcPr>
            <w:tcW w:w="682" w:type="pct"/>
            <w:noWrap/>
            <w:hideMark/>
          </w:tcPr>
          <w:p w14:paraId="7A5A2969" w14:textId="1336B3CA" w:rsidR="001D7159" w:rsidRPr="000973F2" w:rsidRDefault="001D7159" w:rsidP="001A041D">
            <w:pPr>
              <w:tabs>
                <w:tab w:val="decimal" w:pos="811"/>
              </w:tabs>
              <w:spacing w:before="40" w:after="4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w:t>
            </w:r>
          </w:p>
        </w:tc>
      </w:tr>
      <w:tr w:rsidR="00807024" w:rsidRPr="000973F2" w14:paraId="49DA12F2" w14:textId="77777777" w:rsidTr="001A041D">
        <w:trPr>
          <w:cantSplit/>
        </w:trPr>
        <w:tc>
          <w:tcPr>
            <w:cnfStyle w:val="001000000000" w:firstRow="0" w:lastRow="0" w:firstColumn="1" w:lastColumn="0" w:oddVBand="0" w:evenVBand="0" w:oddHBand="0" w:evenHBand="0" w:firstRowFirstColumn="0" w:firstRowLastColumn="0" w:lastRowFirstColumn="0" w:lastRowLastColumn="0"/>
            <w:tcW w:w="906" w:type="pct"/>
            <w:tcMar>
              <w:right w:w="14" w:type="dxa"/>
            </w:tcMar>
            <w:hideMark/>
          </w:tcPr>
          <w:p w14:paraId="6F7EF0B7" w14:textId="2E9D984E" w:rsidR="00AB6F50" w:rsidRPr="000973F2" w:rsidRDefault="00AB6F50" w:rsidP="001A041D">
            <w:pPr>
              <w:spacing w:before="40" w:after="4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 xml:space="preserve">Sampling </w:t>
            </w:r>
            <w:r w:rsidR="00321129" w:rsidRPr="000973F2">
              <w:rPr>
                <w:rFonts w:ascii="Times New Roman" w:eastAsia="Times New Roman" w:hAnsi="Times New Roman" w:cs="Times New Roman"/>
                <w:sz w:val="18"/>
                <w:szCs w:val="18"/>
              </w:rPr>
              <w:t xml:space="preserve">and Analysis </w:t>
            </w:r>
            <w:r w:rsidRPr="000973F2">
              <w:rPr>
                <w:rFonts w:ascii="Times New Roman" w:eastAsia="Times New Roman" w:hAnsi="Times New Roman" w:cs="Times New Roman"/>
                <w:sz w:val="18"/>
                <w:szCs w:val="18"/>
              </w:rPr>
              <w:t>Costs</w:t>
            </w:r>
          </w:p>
        </w:tc>
        <w:tc>
          <w:tcPr>
            <w:tcW w:w="676" w:type="pct"/>
            <w:noWrap/>
            <w:hideMark/>
          </w:tcPr>
          <w:p w14:paraId="73E59689" w14:textId="77777777" w:rsidR="00AB6F50" w:rsidRPr="000973F2" w:rsidRDefault="00AB6F50" w:rsidP="001A041D">
            <w:pPr>
              <w:spacing w:before="40" w:after="4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$0</w:t>
            </w:r>
          </w:p>
        </w:tc>
        <w:tc>
          <w:tcPr>
            <w:tcW w:w="676" w:type="pct"/>
            <w:noWrap/>
          </w:tcPr>
          <w:p w14:paraId="49CD01ED" w14:textId="5BD34024" w:rsidR="00AB6F50" w:rsidRPr="000973F2" w:rsidRDefault="00AB6F50" w:rsidP="001A041D">
            <w:pPr>
              <w:spacing w:before="40" w:after="4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p>
        </w:tc>
        <w:tc>
          <w:tcPr>
            <w:tcW w:w="676" w:type="pct"/>
            <w:noWrap/>
            <w:hideMark/>
          </w:tcPr>
          <w:p w14:paraId="58CFBA30" w14:textId="77777777" w:rsidR="00AB6F50" w:rsidRPr="000973F2" w:rsidRDefault="00AB6F50" w:rsidP="001A041D">
            <w:pPr>
              <w:spacing w:before="40" w:after="4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$0</w:t>
            </w:r>
          </w:p>
        </w:tc>
        <w:tc>
          <w:tcPr>
            <w:tcW w:w="676" w:type="pct"/>
            <w:noWrap/>
            <w:hideMark/>
          </w:tcPr>
          <w:p w14:paraId="34269C27" w14:textId="77777777" w:rsidR="00AB6F50" w:rsidRPr="000973F2" w:rsidRDefault="00AB6F50" w:rsidP="001A041D">
            <w:pPr>
              <w:tabs>
                <w:tab w:val="decimal" w:pos="781"/>
              </w:tabs>
              <w:spacing w:before="40" w:after="4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$14,699</w:t>
            </w:r>
          </w:p>
        </w:tc>
        <w:tc>
          <w:tcPr>
            <w:tcW w:w="708" w:type="pct"/>
            <w:noWrap/>
            <w:hideMark/>
          </w:tcPr>
          <w:p w14:paraId="48416068" w14:textId="77777777" w:rsidR="00AB6F50" w:rsidRPr="000973F2" w:rsidRDefault="00AB6F50" w:rsidP="001A041D">
            <w:pPr>
              <w:spacing w:before="40" w:after="4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$0</w:t>
            </w:r>
          </w:p>
        </w:tc>
        <w:tc>
          <w:tcPr>
            <w:tcW w:w="682" w:type="pct"/>
            <w:noWrap/>
            <w:hideMark/>
          </w:tcPr>
          <w:p w14:paraId="0F1C4043" w14:textId="77777777" w:rsidR="00AB6F50" w:rsidRPr="000973F2" w:rsidRDefault="00AB6F50" w:rsidP="001A041D">
            <w:pPr>
              <w:tabs>
                <w:tab w:val="decimal" w:pos="811"/>
              </w:tabs>
              <w:spacing w:before="40" w:after="4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$14,699</w:t>
            </w:r>
          </w:p>
        </w:tc>
      </w:tr>
      <w:tr w:rsidR="00D01FC8" w:rsidRPr="000973F2" w14:paraId="3149E001" w14:textId="77777777" w:rsidTr="001A041D">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906" w:type="pct"/>
            <w:tcMar>
              <w:right w:w="14" w:type="dxa"/>
            </w:tcMar>
            <w:hideMark/>
          </w:tcPr>
          <w:p w14:paraId="4E15A821" w14:textId="77777777" w:rsidR="00AB6F50" w:rsidRPr="000973F2" w:rsidRDefault="00AB6F50" w:rsidP="001A041D">
            <w:pPr>
              <w:spacing w:before="40" w:after="40"/>
              <w:rPr>
                <w:rFonts w:ascii="Times New Roman" w:eastAsia="Times New Roman" w:hAnsi="Times New Roman" w:cs="Times New Roman"/>
                <w:b/>
                <w:bCs w:val="0"/>
                <w:sz w:val="18"/>
                <w:szCs w:val="18"/>
              </w:rPr>
            </w:pPr>
            <w:r w:rsidRPr="000973F2">
              <w:rPr>
                <w:rFonts w:ascii="Times New Roman" w:eastAsia="Times New Roman" w:hAnsi="Times New Roman" w:cs="Times New Roman"/>
                <w:b/>
                <w:sz w:val="18"/>
                <w:szCs w:val="18"/>
              </w:rPr>
              <w:t xml:space="preserve">Total </w:t>
            </w:r>
          </w:p>
        </w:tc>
        <w:tc>
          <w:tcPr>
            <w:tcW w:w="676" w:type="pct"/>
            <w:noWrap/>
            <w:hideMark/>
          </w:tcPr>
          <w:p w14:paraId="2FDFC824" w14:textId="77777777" w:rsidR="00AB6F50" w:rsidRPr="000973F2" w:rsidRDefault="00AB6F50" w:rsidP="001A041D">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sz w:val="18"/>
                <w:szCs w:val="18"/>
              </w:rPr>
            </w:pPr>
            <w:r w:rsidRPr="000973F2">
              <w:rPr>
                <w:rFonts w:ascii="Times New Roman" w:eastAsia="Times New Roman" w:hAnsi="Times New Roman" w:cs="Times New Roman"/>
                <w:b/>
                <w:sz w:val="18"/>
                <w:szCs w:val="18"/>
              </w:rPr>
              <w:t>$0</w:t>
            </w:r>
          </w:p>
        </w:tc>
        <w:tc>
          <w:tcPr>
            <w:tcW w:w="676" w:type="pct"/>
            <w:noWrap/>
          </w:tcPr>
          <w:p w14:paraId="370DD1DD" w14:textId="52509A7D" w:rsidR="00AB6F50" w:rsidRPr="000973F2" w:rsidRDefault="00AB6F50" w:rsidP="001A041D">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sz w:val="18"/>
                <w:szCs w:val="18"/>
              </w:rPr>
            </w:pPr>
          </w:p>
        </w:tc>
        <w:tc>
          <w:tcPr>
            <w:tcW w:w="676" w:type="pct"/>
            <w:noWrap/>
            <w:hideMark/>
          </w:tcPr>
          <w:p w14:paraId="2838DB63" w14:textId="77777777" w:rsidR="00AB6F50" w:rsidRPr="000973F2" w:rsidRDefault="00AB6F50" w:rsidP="001A041D">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sz w:val="18"/>
                <w:szCs w:val="18"/>
              </w:rPr>
            </w:pPr>
            <w:r w:rsidRPr="000973F2">
              <w:rPr>
                <w:rFonts w:ascii="Times New Roman" w:eastAsia="Times New Roman" w:hAnsi="Times New Roman" w:cs="Times New Roman"/>
                <w:b/>
                <w:sz w:val="18"/>
                <w:szCs w:val="18"/>
              </w:rPr>
              <w:t>$0</w:t>
            </w:r>
          </w:p>
        </w:tc>
        <w:tc>
          <w:tcPr>
            <w:tcW w:w="676" w:type="pct"/>
            <w:noWrap/>
            <w:hideMark/>
          </w:tcPr>
          <w:p w14:paraId="28451F1C" w14:textId="77777777" w:rsidR="00AB6F50" w:rsidRPr="000973F2" w:rsidRDefault="00AB6F50" w:rsidP="001A041D">
            <w:pPr>
              <w:tabs>
                <w:tab w:val="decimal" w:pos="781"/>
              </w:tabs>
              <w:spacing w:before="40" w:after="4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sz w:val="18"/>
                <w:szCs w:val="18"/>
              </w:rPr>
            </w:pPr>
            <w:r w:rsidRPr="000973F2">
              <w:rPr>
                <w:rFonts w:ascii="Times New Roman" w:eastAsia="Times New Roman" w:hAnsi="Times New Roman" w:cs="Times New Roman"/>
                <w:b/>
                <w:sz w:val="18"/>
                <w:szCs w:val="18"/>
              </w:rPr>
              <w:t>$14,749</w:t>
            </w:r>
          </w:p>
        </w:tc>
        <w:tc>
          <w:tcPr>
            <w:tcW w:w="708" w:type="pct"/>
            <w:noWrap/>
            <w:hideMark/>
          </w:tcPr>
          <w:p w14:paraId="7EC74D36" w14:textId="77777777" w:rsidR="00AB6F50" w:rsidRPr="000973F2" w:rsidRDefault="00AB6F50" w:rsidP="001A041D">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sz w:val="18"/>
                <w:szCs w:val="18"/>
              </w:rPr>
            </w:pPr>
            <w:r w:rsidRPr="000973F2">
              <w:rPr>
                <w:rFonts w:ascii="Times New Roman" w:eastAsia="Times New Roman" w:hAnsi="Times New Roman" w:cs="Times New Roman"/>
                <w:b/>
                <w:sz w:val="18"/>
                <w:szCs w:val="18"/>
              </w:rPr>
              <w:t>$0</w:t>
            </w:r>
          </w:p>
        </w:tc>
        <w:tc>
          <w:tcPr>
            <w:tcW w:w="682" w:type="pct"/>
            <w:noWrap/>
            <w:hideMark/>
          </w:tcPr>
          <w:p w14:paraId="3EE9FADE" w14:textId="77777777" w:rsidR="00AB6F50" w:rsidRPr="000973F2" w:rsidRDefault="00AB6F50" w:rsidP="001A041D">
            <w:pPr>
              <w:tabs>
                <w:tab w:val="decimal" w:pos="811"/>
              </w:tabs>
              <w:spacing w:before="40" w:after="4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sz w:val="18"/>
                <w:szCs w:val="18"/>
              </w:rPr>
            </w:pPr>
            <w:r w:rsidRPr="000973F2">
              <w:rPr>
                <w:rFonts w:ascii="Times New Roman" w:eastAsia="Times New Roman" w:hAnsi="Times New Roman" w:cs="Times New Roman"/>
                <w:b/>
                <w:sz w:val="18"/>
                <w:szCs w:val="18"/>
              </w:rPr>
              <w:t>$14,749</w:t>
            </w:r>
          </w:p>
        </w:tc>
      </w:tr>
    </w:tbl>
    <w:p w14:paraId="11EB98E6" w14:textId="77777777" w:rsidR="0020488C" w:rsidRPr="000973F2" w:rsidRDefault="0020488C" w:rsidP="00C00E4F">
      <w:pPr>
        <w:spacing w:line="240" w:lineRule="auto"/>
        <w:rPr>
          <w:rFonts w:ascii="Times New Roman" w:hAnsi="Times New Roman" w:cs="Times New Roman"/>
          <w:b/>
          <w:i/>
          <w:szCs w:val="20"/>
        </w:rPr>
      </w:pPr>
      <w:r w:rsidRPr="000973F2">
        <w:rPr>
          <w:rFonts w:ascii="Times New Roman" w:hAnsi="Times New Roman" w:cs="Times New Roman"/>
          <w:b/>
          <w:i/>
          <w:szCs w:val="20"/>
        </w:rPr>
        <w:br w:type="page"/>
      </w:r>
    </w:p>
    <w:p w14:paraId="392EA813" w14:textId="7C7FBB71" w:rsidR="00AB6F50" w:rsidRPr="000973F2" w:rsidRDefault="00AB6F50" w:rsidP="0061585D">
      <w:pPr>
        <w:pStyle w:val="Heading2"/>
      </w:pPr>
      <w:r w:rsidRPr="000973F2">
        <w:t xml:space="preserve">Labor Costs for Subpart W </w:t>
      </w:r>
      <w:r w:rsidR="002E420E" w:rsidRPr="000973F2">
        <w:t>–</w:t>
      </w:r>
      <w:r w:rsidRPr="000973F2">
        <w:t xml:space="preserve"> Underground Natural Gas Storage</w:t>
      </w:r>
    </w:p>
    <w:p w14:paraId="4DF2A982" w14:textId="76735042" w:rsidR="00AB6F50" w:rsidRPr="000973F2" w:rsidRDefault="00AB6F50" w:rsidP="002E420E">
      <w:pPr>
        <w:pStyle w:val="BodyText"/>
      </w:pPr>
      <w:r w:rsidRPr="000973F2">
        <w:t xml:space="preserve">Table </w:t>
      </w:r>
      <w:r w:rsidR="002E420E" w:rsidRPr="000973F2">
        <w:t>W-</w:t>
      </w:r>
      <w:r w:rsidRPr="000973F2">
        <w:t>1e below includes the labor hours for each of the 48 existing reporters in the Underground Natural Gas Storage industry segment to comply with Subpart W according to §98.232(f). Typical activities related to planning, QA/QC, recordkeeping and reporting, and sampling and analysis (which includes emission calculations) are discussed in the Cost Appendix Introduction. Calculations required for this industry segment are detailed in §98.233, based on the emission sources listed in §98.232(f).</w:t>
      </w:r>
    </w:p>
    <w:p w14:paraId="33C64F34" w14:textId="280A9ABD" w:rsidR="00AB6F50" w:rsidRPr="000973F2" w:rsidRDefault="00AB6F50" w:rsidP="0061585D">
      <w:pPr>
        <w:pStyle w:val="Heading2"/>
      </w:pPr>
      <w:r w:rsidRPr="000973F2">
        <w:t xml:space="preserve">Capital and O&amp;M Costs for Subpart W </w:t>
      </w:r>
      <w:r w:rsidR="002E420E" w:rsidRPr="000973F2">
        <w:t>–</w:t>
      </w:r>
      <w:r w:rsidRPr="000973F2">
        <w:t xml:space="preserve"> Underground Natural Gas Storage</w:t>
      </w:r>
    </w:p>
    <w:p w14:paraId="59D942C0" w14:textId="3A74C1CB" w:rsidR="00AB6F50" w:rsidRPr="000973F2" w:rsidRDefault="00AB6F50" w:rsidP="002E420E">
      <w:pPr>
        <w:pStyle w:val="BodyText"/>
      </w:pPr>
      <w:r w:rsidRPr="000973F2">
        <w:t xml:space="preserve">Table </w:t>
      </w:r>
      <w:r w:rsidR="002E420E" w:rsidRPr="000973F2">
        <w:t>W-</w:t>
      </w:r>
      <w:r w:rsidRPr="000973F2">
        <w:t>2e below includes the capital and O&amp;M costs for each of the 48 reporters in the Underground Natural Gas Storage industry segment to comply with Subpart W. Typical costs related to equipment, performance testing, recordkeeping, and travel are discussed in the Cost Appendix Introduction.</w:t>
      </w:r>
    </w:p>
    <w:p w14:paraId="7EE296D0" w14:textId="77777777" w:rsidR="00AB6F50" w:rsidRPr="000973F2" w:rsidRDefault="00AB6F50" w:rsidP="002E420E">
      <w:pPr>
        <w:pStyle w:val="BodyText"/>
        <w:rPr>
          <w:sz w:val="20"/>
        </w:rPr>
      </w:pPr>
      <w:r w:rsidRPr="000973F2">
        <w:t>Sampling costs for this industry segment are related to the use of EPA Method 21 to conduct equipment leak surveys, and the hiring of contractors to conduct leak measurements for reciprocating and centrifugal compressors</w:t>
      </w:r>
      <w:r w:rsidRPr="000973F2">
        <w:rPr>
          <w:sz w:val="20"/>
        </w:rPr>
        <w:t>.</w:t>
      </w:r>
    </w:p>
    <w:p w14:paraId="0A087BEC" w14:textId="4AE0F29E" w:rsidR="00AB6F50" w:rsidRPr="000973F2" w:rsidRDefault="00AB6F50" w:rsidP="002E420E">
      <w:pPr>
        <w:pStyle w:val="Tabletitle"/>
      </w:pPr>
      <w:r w:rsidRPr="000973F2">
        <w:t xml:space="preserve">Table </w:t>
      </w:r>
      <w:r w:rsidR="002E420E" w:rsidRPr="000973F2">
        <w:t>W-</w:t>
      </w:r>
      <w:r w:rsidRPr="000973F2">
        <w:t xml:space="preserve">1e. </w:t>
      </w:r>
      <w:r w:rsidR="001F4582" w:rsidRPr="000973F2">
        <w:t xml:space="preserve">Labor Costs </w:t>
      </w:r>
      <w:r w:rsidR="00B960CC" w:rsidRPr="000973F2">
        <w:t>–</w:t>
      </w:r>
      <w:r w:rsidR="001F4582" w:rsidRPr="000973F2">
        <w:t xml:space="preserve"> </w:t>
      </w:r>
      <w:r w:rsidRPr="000973F2">
        <w:t xml:space="preserve">Subpart W – </w:t>
      </w:r>
      <w:bookmarkStart w:id="43" w:name="_Hlk520798384"/>
      <w:r w:rsidRPr="000973F2">
        <w:t>Underground Natural Gas Storage</w:t>
      </w:r>
      <w:bookmarkEnd w:id="43"/>
    </w:p>
    <w:tbl>
      <w:tblPr>
        <w:tblStyle w:val="PlainTable1"/>
        <w:tblW w:w="5000" w:type="pct"/>
        <w:jc w:val="left"/>
        <w:tblLayout w:type="fixed"/>
        <w:tblCellMar>
          <w:left w:w="115" w:type="dxa"/>
          <w:right w:w="115" w:type="dxa"/>
        </w:tblCellMar>
        <w:tblLook w:val="04A0" w:firstRow="1" w:lastRow="0" w:firstColumn="1" w:lastColumn="0" w:noHBand="0" w:noVBand="1"/>
      </w:tblPr>
      <w:tblGrid>
        <w:gridCol w:w="1279"/>
        <w:gridCol w:w="682"/>
        <w:gridCol w:w="683"/>
        <w:gridCol w:w="683"/>
        <w:gridCol w:w="683"/>
        <w:gridCol w:w="684"/>
        <w:gridCol w:w="684"/>
        <w:gridCol w:w="684"/>
        <w:gridCol w:w="684"/>
        <w:gridCol w:w="684"/>
        <w:gridCol w:w="684"/>
        <w:gridCol w:w="659"/>
        <w:gridCol w:w="817"/>
      </w:tblGrid>
      <w:tr w:rsidR="00AB6F50" w:rsidRPr="000973F2" w14:paraId="13BD6A57" w14:textId="77777777" w:rsidTr="002E420E">
        <w:trPr>
          <w:cnfStyle w:val="100000000000" w:firstRow="1" w:lastRow="0" w:firstColumn="0" w:lastColumn="0" w:oddVBand="0" w:evenVBand="0" w:oddHBand="0" w:evenHBand="0" w:firstRowFirstColumn="0" w:firstRowLastColumn="0" w:lastRowFirstColumn="0" w:lastRowLastColumn="0"/>
          <w:cantSplit/>
          <w:jc w:val="left"/>
        </w:trPr>
        <w:tc>
          <w:tcPr>
            <w:cnfStyle w:val="001000000000" w:firstRow="0" w:lastRow="0" w:firstColumn="1" w:lastColumn="0" w:oddVBand="0" w:evenVBand="0" w:oddHBand="0" w:evenHBand="0" w:firstRowFirstColumn="0" w:firstRowLastColumn="0" w:lastRowFirstColumn="0" w:lastRowLastColumn="0"/>
            <w:tcW w:w="1245" w:type="dxa"/>
            <w:vMerge w:val="restart"/>
            <w:noWrap/>
            <w:vAlign w:val="top"/>
            <w:hideMark/>
          </w:tcPr>
          <w:p w14:paraId="0286BD38" w14:textId="77777777" w:rsidR="00AB6F50" w:rsidRPr="000973F2" w:rsidRDefault="00AB6F50" w:rsidP="002E420E">
            <w:pPr>
              <w:spacing w:before="30" w:after="30"/>
              <w:rPr>
                <w:rFonts w:ascii="Times New Roman" w:eastAsia="Times New Roman" w:hAnsi="Times New Roman" w:cs="Times New Roman"/>
                <w:b w:val="0"/>
                <w:bCs w:val="0"/>
                <w:sz w:val="18"/>
                <w:szCs w:val="18"/>
              </w:rPr>
            </w:pPr>
            <w:r w:rsidRPr="000973F2">
              <w:rPr>
                <w:rFonts w:ascii="Times New Roman" w:eastAsia="Times New Roman" w:hAnsi="Times New Roman" w:cs="Times New Roman"/>
                <w:sz w:val="18"/>
                <w:szCs w:val="18"/>
              </w:rPr>
              <w:t>Activity</w:t>
            </w:r>
          </w:p>
        </w:tc>
        <w:tc>
          <w:tcPr>
            <w:tcW w:w="6649" w:type="dxa"/>
            <w:gridSpan w:val="10"/>
            <w:noWrap/>
            <w:vAlign w:val="top"/>
            <w:hideMark/>
          </w:tcPr>
          <w:p w14:paraId="0615AE77" w14:textId="77777777" w:rsidR="00AB6F50" w:rsidRPr="000973F2" w:rsidRDefault="00AB6F50" w:rsidP="002E420E">
            <w:pPr>
              <w:spacing w:before="30" w:after="30"/>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bCs w:val="0"/>
                <w:sz w:val="18"/>
                <w:szCs w:val="18"/>
              </w:rPr>
            </w:pPr>
            <w:r w:rsidRPr="000973F2">
              <w:rPr>
                <w:rFonts w:ascii="Times New Roman" w:eastAsia="Times New Roman" w:hAnsi="Times New Roman" w:cs="Times New Roman"/>
                <w:sz w:val="18"/>
                <w:szCs w:val="18"/>
              </w:rPr>
              <w:t>Labor Rates (per hour)</w:t>
            </w:r>
          </w:p>
        </w:tc>
        <w:tc>
          <w:tcPr>
            <w:tcW w:w="1436" w:type="dxa"/>
            <w:gridSpan w:val="2"/>
            <w:vMerge w:val="restart"/>
            <w:vAlign w:val="top"/>
            <w:hideMark/>
          </w:tcPr>
          <w:p w14:paraId="198EBB8A" w14:textId="09B39368" w:rsidR="00AB6F50" w:rsidRPr="000973F2" w:rsidRDefault="00AB6F50" w:rsidP="002E420E">
            <w:pPr>
              <w:spacing w:before="30" w:after="30"/>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bCs w:val="0"/>
                <w:sz w:val="18"/>
                <w:szCs w:val="18"/>
              </w:rPr>
            </w:pPr>
            <w:r w:rsidRPr="000973F2">
              <w:rPr>
                <w:rFonts w:ascii="Times New Roman" w:eastAsia="Times New Roman" w:hAnsi="Times New Roman" w:cs="Times New Roman"/>
                <w:sz w:val="18"/>
                <w:szCs w:val="18"/>
              </w:rPr>
              <w:t>Total Labor Cost per Year per Reporter</w:t>
            </w:r>
            <w:r w:rsidR="002E420E" w:rsidRPr="000973F2">
              <w:rPr>
                <w:rFonts w:ascii="Times New Roman" w:eastAsia="Times New Roman" w:hAnsi="Times New Roman" w:cs="Times New Roman"/>
                <w:sz w:val="18"/>
                <w:szCs w:val="18"/>
              </w:rPr>
              <w:t xml:space="preserve"> </w:t>
            </w:r>
            <w:r w:rsidRPr="000973F2">
              <w:rPr>
                <w:rFonts w:ascii="Times New Roman" w:eastAsia="Times New Roman" w:hAnsi="Times New Roman" w:cs="Times New Roman"/>
                <w:sz w:val="18"/>
                <w:szCs w:val="18"/>
              </w:rPr>
              <w:t>(2017$)</w:t>
            </w:r>
          </w:p>
        </w:tc>
      </w:tr>
      <w:tr w:rsidR="000A7480" w:rsidRPr="000973F2" w14:paraId="0559A6DA" w14:textId="77777777" w:rsidTr="002E420E">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1245" w:type="dxa"/>
            <w:vMerge/>
            <w:hideMark/>
          </w:tcPr>
          <w:p w14:paraId="64A549F2" w14:textId="77777777" w:rsidR="00AB6F50" w:rsidRPr="000973F2" w:rsidRDefault="00AB6F50" w:rsidP="002E420E">
            <w:pPr>
              <w:spacing w:before="30" w:after="30"/>
              <w:rPr>
                <w:rFonts w:ascii="Times New Roman" w:eastAsia="Times New Roman" w:hAnsi="Times New Roman" w:cs="Times New Roman"/>
                <w:b/>
                <w:bCs w:val="0"/>
                <w:sz w:val="18"/>
                <w:szCs w:val="18"/>
              </w:rPr>
            </w:pPr>
          </w:p>
        </w:tc>
        <w:tc>
          <w:tcPr>
            <w:tcW w:w="1329" w:type="dxa"/>
            <w:gridSpan w:val="2"/>
            <w:noWrap/>
            <w:hideMark/>
          </w:tcPr>
          <w:p w14:paraId="3412A78D" w14:textId="77777777" w:rsidR="00AB6F50" w:rsidRPr="000973F2" w:rsidRDefault="00AB6F50" w:rsidP="002E420E">
            <w:pPr>
              <w:spacing w:before="30" w:after="3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18"/>
                <w:szCs w:val="18"/>
              </w:rPr>
            </w:pPr>
            <w:r w:rsidRPr="000973F2">
              <w:rPr>
                <w:rFonts w:ascii="Times New Roman" w:eastAsia="Times New Roman" w:hAnsi="Times New Roman" w:cs="Times New Roman"/>
                <w:b/>
                <w:bCs/>
                <w:sz w:val="18"/>
                <w:szCs w:val="18"/>
              </w:rPr>
              <w:t>Lawyer</w:t>
            </w:r>
          </w:p>
        </w:tc>
        <w:tc>
          <w:tcPr>
            <w:tcW w:w="1330" w:type="dxa"/>
            <w:gridSpan w:val="2"/>
            <w:noWrap/>
            <w:hideMark/>
          </w:tcPr>
          <w:p w14:paraId="4AB28F82" w14:textId="77777777" w:rsidR="00AB6F50" w:rsidRPr="000973F2" w:rsidRDefault="00AB6F50" w:rsidP="002E420E">
            <w:pPr>
              <w:spacing w:before="30" w:after="3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18"/>
                <w:szCs w:val="18"/>
              </w:rPr>
            </w:pPr>
            <w:r w:rsidRPr="000973F2">
              <w:rPr>
                <w:rFonts w:ascii="Times New Roman" w:eastAsia="Times New Roman" w:hAnsi="Times New Roman" w:cs="Times New Roman"/>
                <w:b/>
                <w:bCs/>
                <w:sz w:val="18"/>
                <w:szCs w:val="18"/>
              </w:rPr>
              <w:t>Senior Manager</w:t>
            </w:r>
          </w:p>
        </w:tc>
        <w:tc>
          <w:tcPr>
            <w:tcW w:w="1330" w:type="dxa"/>
            <w:gridSpan w:val="2"/>
            <w:noWrap/>
            <w:hideMark/>
          </w:tcPr>
          <w:p w14:paraId="3F384C69" w14:textId="77777777" w:rsidR="00AB6F50" w:rsidRPr="000973F2" w:rsidRDefault="00AB6F50" w:rsidP="002E420E">
            <w:pPr>
              <w:spacing w:before="30" w:after="3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18"/>
                <w:szCs w:val="18"/>
              </w:rPr>
            </w:pPr>
            <w:r w:rsidRPr="000973F2">
              <w:rPr>
                <w:rFonts w:ascii="Times New Roman" w:eastAsia="Times New Roman" w:hAnsi="Times New Roman" w:cs="Times New Roman"/>
                <w:b/>
                <w:bCs/>
                <w:sz w:val="18"/>
                <w:szCs w:val="18"/>
              </w:rPr>
              <w:t>Middle Manager</w:t>
            </w:r>
          </w:p>
        </w:tc>
        <w:tc>
          <w:tcPr>
            <w:tcW w:w="1330" w:type="dxa"/>
            <w:gridSpan w:val="2"/>
            <w:hideMark/>
          </w:tcPr>
          <w:p w14:paraId="6DD83E58" w14:textId="77777777" w:rsidR="00AB6F50" w:rsidRPr="000973F2" w:rsidRDefault="00AB6F50" w:rsidP="002E420E">
            <w:pPr>
              <w:spacing w:before="30" w:after="3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18"/>
                <w:szCs w:val="18"/>
              </w:rPr>
            </w:pPr>
            <w:r w:rsidRPr="000973F2">
              <w:rPr>
                <w:rFonts w:ascii="Times New Roman" w:eastAsia="Times New Roman" w:hAnsi="Times New Roman" w:cs="Times New Roman"/>
                <w:b/>
                <w:bCs/>
                <w:sz w:val="18"/>
                <w:szCs w:val="18"/>
              </w:rPr>
              <w:t>Engineer</w:t>
            </w:r>
          </w:p>
        </w:tc>
        <w:tc>
          <w:tcPr>
            <w:tcW w:w="1330" w:type="dxa"/>
            <w:gridSpan w:val="2"/>
            <w:hideMark/>
          </w:tcPr>
          <w:p w14:paraId="1BDCACE2" w14:textId="77777777" w:rsidR="00AB6F50" w:rsidRPr="000973F2" w:rsidRDefault="00AB6F50" w:rsidP="002E420E">
            <w:pPr>
              <w:spacing w:before="30" w:after="3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18"/>
                <w:szCs w:val="18"/>
              </w:rPr>
            </w:pPr>
            <w:r w:rsidRPr="000973F2">
              <w:rPr>
                <w:rFonts w:ascii="Times New Roman" w:eastAsia="Times New Roman" w:hAnsi="Times New Roman" w:cs="Times New Roman"/>
                <w:b/>
                <w:bCs/>
                <w:sz w:val="18"/>
                <w:szCs w:val="18"/>
              </w:rPr>
              <w:t>Technician</w:t>
            </w:r>
          </w:p>
        </w:tc>
        <w:tc>
          <w:tcPr>
            <w:tcW w:w="1436" w:type="dxa"/>
            <w:gridSpan w:val="2"/>
            <w:vMerge/>
            <w:hideMark/>
          </w:tcPr>
          <w:p w14:paraId="7BE117C4" w14:textId="77777777" w:rsidR="00AB6F50" w:rsidRPr="000973F2" w:rsidRDefault="00AB6F50" w:rsidP="002E420E">
            <w:pPr>
              <w:spacing w:before="30" w:after="3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18"/>
                <w:szCs w:val="18"/>
              </w:rPr>
            </w:pPr>
          </w:p>
        </w:tc>
      </w:tr>
      <w:tr w:rsidR="000A7480" w:rsidRPr="000973F2" w14:paraId="2CF2A7D0" w14:textId="77777777" w:rsidTr="002E420E">
        <w:trPr>
          <w:cantSplit/>
        </w:trPr>
        <w:tc>
          <w:tcPr>
            <w:cnfStyle w:val="001000000000" w:firstRow="0" w:lastRow="0" w:firstColumn="1" w:lastColumn="0" w:oddVBand="0" w:evenVBand="0" w:oddHBand="0" w:evenHBand="0" w:firstRowFirstColumn="0" w:firstRowLastColumn="0" w:lastRowFirstColumn="0" w:lastRowLastColumn="0"/>
            <w:tcW w:w="1245" w:type="dxa"/>
            <w:vMerge/>
            <w:hideMark/>
          </w:tcPr>
          <w:p w14:paraId="5B62BB5B" w14:textId="77777777" w:rsidR="00AB6F50" w:rsidRPr="000973F2" w:rsidRDefault="00AB6F50" w:rsidP="002E420E">
            <w:pPr>
              <w:spacing w:before="30" w:after="30"/>
              <w:rPr>
                <w:rFonts w:ascii="Times New Roman" w:eastAsia="Times New Roman" w:hAnsi="Times New Roman" w:cs="Times New Roman"/>
                <w:b/>
                <w:bCs w:val="0"/>
                <w:sz w:val="18"/>
                <w:szCs w:val="18"/>
              </w:rPr>
            </w:pPr>
          </w:p>
        </w:tc>
        <w:tc>
          <w:tcPr>
            <w:tcW w:w="1329" w:type="dxa"/>
            <w:gridSpan w:val="2"/>
            <w:noWrap/>
            <w:hideMark/>
          </w:tcPr>
          <w:p w14:paraId="75BA7ACE" w14:textId="7A70669F" w:rsidR="00AB6F50" w:rsidRPr="000973F2" w:rsidRDefault="00AB6F50" w:rsidP="002E420E">
            <w:pPr>
              <w:spacing w:before="30" w:after="3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sz w:val="18"/>
                <w:szCs w:val="18"/>
              </w:rPr>
            </w:pPr>
            <w:r w:rsidRPr="000973F2">
              <w:rPr>
                <w:rFonts w:ascii="Times New Roman" w:eastAsia="Times New Roman" w:hAnsi="Times New Roman" w:cs="Times New Roman"/>
                <w:b/>
                <w:bCs/>
                <w:sz w:val="18"/>
                <w:szCs w:val="18"/>
              </w:rPr>
              <w:t>$112.23</w:t>
            </w:r>
          </w:p>
        </w:tc>
        <w:tc>
          <w:tcPr>
            <w:tcW w:w="1330" w:type="dxa"/>
            <w:gridSpan w:val="2"/>
            <w:hideMark/>
          </w:tcPr>
          <w:p w14:paraId="0E062E7E" w14:textId="451DE017" w:rsidR="00AB6F50" w:rsidRPr="000973F2" w:rsidRDefault="00AB6F50" w:rsidP="002E420E">
            <w:pPr>
              <w:spacing w:before="30" w:after="3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sz w:val="18"/>
                <w:szCs w:val="18"/>
              </w:rPr>
            </w:pPr>
            <w:r w:rsidRPr="000973F2">
              <w:rPr>
                <w:rFonts w:ascii="Times New Roman" w:eastAsia="Times New Roman" w:hAnsi="Times New Roman" w:cs="Times New Roman"/>
                <w:b/>
                <w:bCs/>
                <w:sz w:val="18"/>
                <w:szCs w:val="18"/>
              </w:rPr>
              <w:t>$141.54</w:t>
            </w:r>
          </w:p>
        </w:tc>
        <w:tc>
          <w:tcPr>
            <w:tcW w:w="1330" w:type="dxa"/>
            <w:gridSpan w:val="2"/>
            <w:noWrap/>
            <w:hideMark/>
          </w:tcPr>
          <w:p w14:paraId="1E3262C7" w14:textId="262AB5CA" w:rsidR="00AB6F50" w:rsidRPr="000973F2" w:rsidRDefault="00AB6F50" w:rsidP="002E420E">
            <w:pPr>
              <w:spacing w:before="30" w:after="3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sz w:val="18"/>
                <w:szCs w:val="18"/>
              </w:rPr>
            </w:pPr>
            <w:r w:rsidRPr="000973F2">
              <w:rPr>
                <w:rFonts w:ascii="Times New Roman" w:eastAsia="Times New Roman" w:hAnsi="Times New Roman" w:cs="Times New Roman"/>
                <w:b/>
                <w:bCs/>
                <w:sz w:val="18"/>
                <w:szCs w:val="18"/>
              </w:rPr>
              <w:t>$105.68</w:t>
            </w:r>
          </w:p>
        </w:tc>
        <w:tc>
          <w:tcPr>
            <w:tcW w:w="1330" w:type="dxa"/>
            <w:gridSpan w:val="2"/>
            <w:hideMark/>
          </w:tcPr>
          <w:p w14:paraId="0E043F51" w14:textId="4F8CBB48" w:rsidR="00AB6F50" w:rsidRPr="000973F2" w:rsidRDefault="00AB6F50" w:rsidP="002E420E">
            <w:pPr>
              <w:spacing w:before="30" w:after="3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sz w:val="18"/>
                <w:szCs w:val="18"/>
              </w:rPr>
            </w:pPr>
            <w:r w:rsidRPr="000973F2">
              <w:rPr>
                <w:rFonts w:ascii="Times New Roman" w:eastAsia="Times New Roman" w:hAnsi="Times New Roman" w:cs="Times New Roman"/>
                <w:b/>
                <w:bCs/>
                <w:sz w:val="18"/>
                <w:szCs w:val="18"/>
              </w:rPr>
              <w:t>$91.06</w:t>
            </w:r>
          </w:p>
        </w:tc>
        <w:tc>
          <w:tcPr>
            <w:tcW w:w="1330" w:type="dxa"/>
            <w:gridSpan w:val="2"/>
            <w:noWrap/>
            <w:hideMark/>
          </w:tcPr>
          <w:p w14:paraId="53FDC3CB" w14:textId="64F99C22" w:rsidR="00AB6F50" w:rsidRPr="000973F2" w:rsidRDefault="00AB6F50" w:rsidP="002E420E">
            <w:pPr>
              <w:spacing w:before="30" w:after="3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sz w:val="18"/>
                <w:szCs w:val="18"/>
              </w:rPr>
            </w:pPr>
            <w:r w:rsidRPr="000973F2">
              <w:rPr>
                <w:rFonts w:ascii="Times New Roman" w:eastAsia="Times New Roman" w:hAnsi="Times New Roman" w:cs="Times New Roman"/>
                <w:b/>
                <w:bCs/>
                <w:sz w:val="18"/>
                <w:szCs w:val="18"/>
              </w:rPr>
              <w:t>$60.72</w:t>
            </w:r>
          </w:p>
        </w:tc>
        <w:tc>
          <w:tcPr>
            <w:tcW w:w="1436" w:type="dxa"/>
            <w:gridSpan w:val="2"/>
            <w:vMerge/>
            <w:hideMark/>
          </w:tcPr>
          <w:p w14:paraId="494D1385" w14:textId="77777777" w:rsidR="00AB6F50" w:rsidRPr="000973F2" w:rsidRDefault="00AB6F50" w:rsidP="002E420E">
            <w:pPr>
              <w:spacing w:before="30" w:after="3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sz w:val="18"/>
                <w:szCs w:val="18"/>
              </w:rPr>
            </w:pPr>
          </w:p>
        </w:tc>
      </w:tr>
      <w:tr w:rsidR="00720927" w:rsidRPr="000973F2" w14:paraId="19627262" w14:textId="77777777" w:rsidTr="002E420E">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1245" w:type="dxa"/>
            <w:vMerge/>
            <w:hideMark/>
          </w:tcPr>
          <w:p w14:paraId="741CAFE0" w14:textId="77777777" w:rsidR="00AB6F50" w:rsidRPr="000973F2" w:rsidRDefault="00AB6F50" w:rsidP="002E420E">
            <w:pPr>
              <w:spacing w:before="30" w:after="30"/>
              <w:rPr>
                <w:rFonts w:ascii="Times New Roman" w:eastAsia="Times New Roman" w:hAnsi="Times New Roman" w:cs="Times New Roman"/>
                <w:b/>
                <w:bCs w:val="0"/>
                <w:sz w:val="18"/>
                <w:szCs w:val="18"/>
              </w:rPr>
            </w:pPr>
          </w:p>
        </w:tc>
        <w:tc>
          <w:tcPr>
            <w:tcW w:w="664" w:type="dxa"/>
            <w:tcMar>
              <w:left w:w="14" w:type="dxa"/>
              <w:right w:w="14" w:type="dxa"/>
            </w:tcMar>
            <w:hideMark/>
          </w:tcPr>
          <w:p w14:paraId="0B941200" w14:textId="77777777" w:rsidR="00AB6F50" w:rsidRPr="000973F2" w:rsidRDefault="00AB6F50" w:rsidP="002E420E">
            <w:pPr>
              <w:spacing w:before="30" w:after="3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18"/>
                <w:szCs w:val="18"/>
              </w:rPr>
            </w:pPr>
            <w:r w:rsidRPr="000973F2">
              <w:rPr>
                <w:rFonts w:ascii="Times New Roman" w:eastAsia="Times New Roman" w:hAnsi="Times New Roman" w:cs="Times New Roman"/>
                <w:b/>
                <w:bCs/>
                <w:sz w:val="18"/>
                <w:szCs w:val="18"/>
              </w:rPr>
              <w:t>Initial Year Hours</w:t>
            </w:r>
          </w:p>
        </w:tc>
        <w:tc>
          <w:tcPr>
            <w:tcW w:w="665" w:type="dxa"/>
            <w:tcMar>
              <w:left w:w="14" w:type="dxa"/>
              <w:right w:w="14" w:type="dxa"/>
            </w:tcMar>
            <w:hideMark/>
          </w:tcPr>
          <w:p w14:paraId="4A833396" w14:textId="77777777" w:rsidR="00AB6F50" w:rsidRPr="000973F2" w:rsidRDefault="00AB6F50" w:rsidP="002E420E">
            <w:pPr>
              <w:spacing w:before="30" w:after="3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18"/>
                <w:szCs w:val="18"/>
              </w:rPr>
            </w:pPr>
            <w:r w:rsidRPr="000973F2">
              <w:rPr>
                <w:rFonts w:ascii="Times New Roman" w:eastAsia="Times New Roman" w:hAnsi="Times New Roman" w:cs="Times New Roman"/>
                <w:b/>
                <w:bCs/>
                <w:sz w:val="18"/>
                <w:szCs w:val="18"/>
              </w:rPr>
              <w:t>Subseq. Year Hours</w:t>
            </w:r>
          </w:p>
        </w:tc>
        <w:tc>
          <w:tcPr>
            <w:tcW w:w="665" w:type="dxa"/>
            <w:tcMar>
              <w:left w:w="14" w:type="dxa"/>
              <w:right w:w="14" w:type="dxa"/>
            </w:tcMar>
            <w:hideMark/>
          </w:tcPr>
          <w:p w14:paraId="265ED411" w14:textId="77777777" w:rsidR="00AB6F50" w:rsidRPr="000973F2" w:rsidRDefault="00AB6F50" w:rsidP="002E420E">
            <w:pPr>
              <w:spacing w:before="30" w:after="3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18"/>
                <w:szCs w:val="18"/>
              </w:rPr>
            </w:pPr>
            <w:r w:rsidRPr="000973F2">
              <w:rPr>
                <w:rFonts w:ascii="Times New Roman" w:eastAsia="Times New Roman" w:hAnsi="Times New Roman" w:cs="Times New Roman"/>
                <w:b/>
                <w:bCs/>
                <w:sz w:val="18"/>
                <w:szCs w:val="18"/>
              </w:rPr>
              <w:t>Initial Year Hours</w:t>
            </w:r>
          </w:p>
        </w:tc>
        <w:tc>
          <w:tcPr>
            <w:tcW w:w="665" w:type="dxa"/>
            <w:tcMar>
              <w:left w:w="14" w:type="dxa"/>
              <w:right w:w="14" w:type="dxa"/>
            </w:tcMar>
            <w:hideMark/>
          </w:tcPr>
          <w:p w14:paraId="1EFA4A19" w14:textId="77777777" w:rsidR="00AB6F50" w:rsidRPr="000973F2" w:rsidRDefault="00AB6F50" w:rsidP="002E420E">
            <w:pPr>
              <w:spacing w:before="30" w:after="3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18"/>
                <w:szCs w:val="18"/>
              </w:rPr>
            </w:pPr>
            <w:r w:rsidRPr="000973F2">
              <w:rPr>
                <w:rFonts w:ascii="Times New Roman" w:eastAsia="Times New Roman" w:hAnsi="Times New Roman" w:cs="Times New Roman"/>
                <w:b/>
                <w:bCs/>
                <w:sz w:val="18"/>
                <w:szCs w:val="18"/>
              </w:rPr>
              <w:t>Subseq. Year Hours</w:t>
            </w:r>
          </w:p>
        </w:tc>
        <w:tc>
          <w:tcPr>
            <w:tcW w:w="665" w:type="dxa"/>
            <w:tcMar>
              <w:left w:w="14" w:type="dxa"/>
              <w:right w:w="14" w:type="dxa"/>
            </w:tcMar>
            <w:hideMark/>
          </w:tcPr>
          <w:p w14:paraId="02F96439" w14:textId="77777777" w:rsidR="00AB6F50" w:rsidRPr="000973F2" w:rsidRDefault="00AB6F50" w:rsidP="002E420E">
            <w:pPr>
              <w:spacing w:before="30" w:after="3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18"/>
                <w:szCs w:val="18"/>
              </w:rPr>
            </w:pPr>
            <w:r w:rsidRPr="000973F2">
              <w:rPr>
                <w:rFonts w:ascii="Times New Roman" w:eastAsia="Times New Roman" w:hAnsi="Times New Roman" w:cs="Times New Roman"/>
                <w:b/>
                <w:bCs/>
                <w:sz w:val="18"/>
                <w:szCs w:val="18"/>
              </w:rPr>
              <w:t>Initial Year Hours</w:t>
            </w:r>
          </w:p>
        </w:tc>
        <w:tc>
          <w:tcPr>
            <w:tcW w:w="665" w:type="dxa"/>
            <w:tcMar>
              <w:left w:w="14" w:type="dxa"/>
              <w:right w:w="14" w:type="dxa"/>
            </w:tcMar>
            <w:hideMark/>
          </w:tcPr>
          <w:p w14:paraId="34868898" w14:textId="77777777" w:rsidR="00AB6F50" w:rsidRPr="000973F2" w:rsidRDefault="00AB6F50" w:rsidP="002E420E">
            <w:pPr>
              <w:spacing w:before="30" w:after="3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18"/>
                <w:szCs w:val="18"/>
              </w:rPr>
            </w:pPr>
            <w:r w:rsidRPr="000973F2">
              <w:rPr>
                <w:rFonts w:ascii="Times New Roman" w:eastAsia="Times New Roman" w:hAnsi="Times New Roman" w:cs="Times New Roman"/>
                <w:b/>
                <w:bCs/>
                <w:sz w:val="18"/>
                <w:szCs w:val="18"/>
              </w:rPr>
              <w:t>Subseq. Year Hours</w:t>
            </w:r>
          </w:p>
        </w:tc>
        <w:tc>
          <w:tcPr>
            <w:tcW w:w="665" w:type="dxa"/>
            <w:tcMar>
              <w:left w:w="14" w:type="dxa"/>
              <w:right w:w="14" w:type="dxa"/>
            </w:tcMar>
            <w:hideMark/>
          </w:tcPr>
          <w:p w14:paraId="2832F74E" w14:textId="77777777" w:rsidR="00AB6F50" w:rsidRPr="000973F2" w:rsidRDefault="00AB6F50" w:rsidP="002E420E">
            <w:pPr>
              <w:spacing w:before="30" w:after="3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18"/>
                <w:szCs w:val="18"/>
              </w:rPr>
            </w:pPr>
            <w:r w:rsidRPr="000973F2">
              <w:rPr>
                <w:rFonts w:ascii="Times New Roman" w:eastAsia="Times New Roman" w:hAnsi="Times New Roman" w:cs="Times New Roman"/>
                <w:b/>
                <w:bCs/>
                <w:sz w:val="18"/>
                <w:szCs w:val="18"/>
              </w:rPr>
              <w:t>Initial Year Hours</w:t>
            </w:r>
          </w:p>
        </w:tc>
        <w:tc>
          <w:tcPr>
            <w:tcW w:w="665" w:type="dxa"/>
            <w:tcMar>
              <w:left w:w="14" w:type="dxa"/>
              <w:right w:w="14" w:type="dxa"/>
            </w:tcMar>
            <w:hideMark/>
          </w:tcPr>
          <w:p w14:paraId="46462BC6" w14:textId="77777777" w:rsidR="00AB6F50" w:rsidRPr="000973F2" w:rsidRDefault="00AB6F50" w:rsidP="002E420E">
            <w:pPr>
              <w:spacing w:before="30" w:after="3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18"/>
                <w:szCs w:val="18"/>
              </w:rPr>
            </w:pPr>
            <w:r w:rsidRPr="000973F2">
              <w:rPr>
                <w:rFonts w:ascii="Times New Roman" w:eastAsia="Times New Roman" w:hAnsi="Times New Roman" w:cs="Times New Roman"/>
                <w:b/>
                <w:bCs/>
                <w:sz w:val="18"/>
                <w:szCs w:val="18"/>
              </w:rPr>
              <w:t>Subseq. Year Hours</w:t>
            </w:r>
          </w:p>
        </w:tc>
        <w:tc>
          <w:tcPr>
            <w:tcW w:w="665" w:type="dxa"/>
            <w:tcMar>
              <w:left w:w="14" w:type="dxa"/>
              <w:right w:w="14" w:type="dxa"/>
            </w:tcMar>
            <w:hideMark/>
          </w:tcPr>
          <w:p w14:paraId="0D0A2CDD" w14:textId="77777777" w:rsidR="00AB6F50" w:rsidRPr="000973F2" w:rsidRDefault="00AB6F50" w:rsidP="002E420E">
            <w:pPr>
              <w:spacing w:before="30" w:after="3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18"/>
                <w:szCs w:val="18"/>
              </w:rPr>
            </w:pPr>
            <w:r w:rsidRPr="000973F2">
              <w:rPr>
                <w:rFonts w:ascii="Times New Roman" w:eastAsia="Times New Roman" w:hAnsi="Times New Roman" w:cs="Times New Roman"/>
                <w:b/>
                <w:bCs/>
                <w:sz w:val="18"/>
                <w:szCs w:val="18"/>
              </w:rPr>
              <w:t>Initial Year Hours</w:t>
            </w:r>
          </w:p>
        </w:tc>
        <w:tc>
          <w:tcPr>
            <w:tcW w:w="665" w:type="dxa"/>
            <w:tcMar>
              <w:left w:w="14" w:type="dxa"/>
              <w:right w:w="14" w:type="dxa"/>
            </w:tcMar>
            <w:hideMark/>
          </w:tcPr>
          <w:p w14:paraId="5A67DD45" w14:textId="77777777" w:rsidR="00AB6F50" w:rsidRPr="000973F2" w:rsidRDefault="00AB6F50" w:rsidP="002E420E">
            <w:pPr>
              <w:spacing w:before="30" w:after="3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18"/>
                <w:szCs w:val="18"/>
              </w:rPr>
            </w:pPr>
            <w:r w:rsidRPr="000973F2">
              <w:rPr>
                <w:rFonts w:ascii="Times New Roman" w:eastAsia="Times New Roman" w:hAnsi="Times New Roman" w:cs="Times New Roman"/>
                <w:b/>
                <w:bCs/>
                <w:sz w:val="18"/>
                <w:szCs w:val="18"/>
              </w:rPr>
              <w:t>Subseq. Year Hours</w:t>
            </w:r>
          </w:p>
        </w:tc>
        <w:tc>
          <w:tcPr>
            <w:tcW w:w="641" w:type="dxa"/>
            <w:tcMar>
              <w:left w:w="14" w:type="dxa"/>
              <w:right w:w="14" w:type="dxa"/>
            </w:tcMar>
            <w:hideMark/>
          </w:tcPr>
          <w:p w14:paraId="5DA088BD" w14:textId="77777777" w:rsidR="00AB6F50" w:rsidRPr="000973F2" w:rsidRDefault="00AB6F50" w:rsidP="002E420E">
            <w:pPr>
              <w:spacing w:before="30" w:after="3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18"/>
                <w:szCs w:val="18"/>
              </w:rPr>
            </w:pPr>
            <w:r w:rsidRPr="000973F2">
              <w:rPr>
                <w:rFonts w:ascii="Times New Roman" w:eastAsia="Times New Roman" w:hAnsi="Times New Roman" w:cs="Times New Roman"/>
                <w:b/>
                <w:bCs/>
                <w:sz w:val="18"/>
                <w:szCs w:val="18"/>
              </w:rPr>
              <w:t>Initial Year</w:t>
            </w:r>
          </w:p>
        </w:tc>
        <w:tc>
          <w:tcPr>
            <w:tcW w:w="795" w:type="dxa"/>
            <w:tcMar>
              <w:left w:w="14" w:type="dxa"/>
              <w:right w:w="14" w:type="dxa"/>
            </w:tcMar>
            <w:hideMark/>
          </w:tcPr>
          <w:p w14:paraId="72AAB158" w14:textId="77777777" w:rsidR="00AB6F50" w:rsidRPr="000973F2" w:rsidRDefault="00AB6F50" w:rsidP="002E420E">
            <w:pPr>
              <w:spacing w:before="30" w:after="3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18"/>
                <w:szCs w:val="18"/>
              </w:rPr>
            </w:pPr>
            <w:r w:rsidRPr="000973F2">
              <w:rPr>
                <w:rFonts w:ascii="Times New Roman" w:eastAsia="Times New Roman" w:hAnsi="Times New Roman" w:cs="Times New Roman"/>
                <w:b/>
                <w:bCs/>
                <w:sz w:val="18"/>
                <w:szCs w:val="18"/>
              </w:rPr>
              <w:t>Subseq. Year</w:t>
            </w:r>
          </w:p>
        </w:tc>
      </w:tr>
      <w:tr w:rsidR="00720927" w:rsidRPr="000973F2" w14:paraId="6DA0D080" w14:textId="77777777" w:rsidTr="002E420E">
        <w:trPr>
          <w:cantSplit/>
        </w:trPr>
        <w:tc>
          <w:tcPr>
            <w:cnfStyle w:val="001000000000" w:firstRow="0" w:lastRow="0" w:firstColumn="1" w:lastColumn="0" w:oddVBand="0" w:evenVBand="0" w:oddHBand="0" w:evenHBand="0" w:firstRowFirstColumn="0" w:firstRowLastColumn="0" w:lastRowFirstColumn="0" w:lastRowLastColumn="0"/>
            <w:tcW w:w="1245" w:type="dxa"/>
            <w:tcMar>
              <w:right w:w="14" w:type="dxa"/>
            </w:tcMar>
            <w:hideMark/>
          </w:tcPr>
          <w:p w14:paraId="70CAE55A" w14:textId="77777777" w:rsidR="00AB6F50" w:rsidRPr="000973F2" w:rsidRDefault="00AB6F50" w:rsidP="002E420E">
            <w:pPr>
              <w:spacing w:before="30" w:after="3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Planning</w:t>
            </w:r>
          </w:p>
        </w:tc>
        <w:tc>
          <w:tcPr>
            <w:tcW w:w="664" w:type="dxa"/>
            <w:noWrap/>
            <w:hideMark/>
          </w:tcPr>
          <w:p w14:paraId="32CDA009" w14:textId="77777777" w:rsidR="00AB6F50" w:rsidRPr="000973F2" w:rsidRDefault="00AB6F50" w:rsidP="002E420E">
            <w:pPr>
              <w:spacing w:before="30" w:after="3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0.0</w:t>
            </w:r>
          </w:p>
        </w:tc>
        <w:tc>
          <w:tcPr>
            <w:tcW w:w="665" w:type="dxa"/>
            <w:noWrap/>
            <w:hideMark/>
          </w:tcPr>
          <w:p w14:paraId="15815A4E" w14:textId="77777777" w:rsidR="00AB6F50" w:rsidRPr="000973F2" w:rsidRDefault="00AB6F50" w:rsidP="002E420E">
            <w:pPr>
              <w:spacing w:before="30" w:after="3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2.0</w:t>
            </w:r>
          </w:p>
        </w:tc>
        <w:tc>
          <w:tcPr>
            <w:tcW w:w="665" w:type="dxa"/>
            <w:noWrap/>
            <w:hideMark/>
          </w:tcPr>
          <w:p w14:paraId="1E721E6E" w14:textId="77777777" w:rsidR="00AB6F50" w:rsidRPr="000973F2" w:rsidRDefault="00AB6F50" w:rsidP="002E420E">
            <w:pPr>
              <w:spacing w:before="30" w:after="3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0.0</w:t>
            </w:r>
          </w:p>
        </w:tc>
        <w:tc>
          <w:tcPr>
            <w:tcW w:w="665" w:type="dxa"/>
            <w:noWrap/>
            <w:hideMark/>
          </w:tcPr>
          <w:p w14:paraId="1B062F5D" w14:textId="77777777" w:rsidR="00AB6F50" w:rsidRPr="000973F2" w:rsidRDefault="00AB6F50" w:rsidP="002E420E">
            <w:pPr>
              <w:spacing w:before="30" w:after="3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0.5</w:t>
            </w:r>
          </w:p>
        </w:tc>
        <w:tc>
          <w:tcPr>
            <w:tcW w:w="665" w:type="dxa"/>
            <w:noWrap/>
            <w:hideMark/>
          </w:tcPr>
          <w:p w14:paraId="5753CE9D" w14:textId="77777777" w:rsidR="00AB6F50" w:rsidRPr="000973F2" w:rsidRDefault="00AB6F50" w:rsidP="002E420E">
            <w:pPr>
              <w:spacing w:before="30" w:after="3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0.0</w:t>
            </w:r>
          </w:p>
        </w:tc>
        <w:tc>
          <w:tcPr>
            <w:tcW w:w="665" w:type="dxa"/>
            <w:noWrap/>
            <w:hideMark/>
          </w:tcPr>
          <w:p w14:paraId="452A2FFB" w14:textId="77777777" w:rsidR="00AB6F50" w:rsidRPr="000973F2" w:rsidRDefault="00AB6F50" w:rsidP="002E420E">
            <w:pPr>
              <w:spacing w:before="30" w:after="3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1.0</w:t>
            </w:r>
          </w:p>
        </w:tc>
        <w:tc>
          <w:tcPr>
            <w:tcW w:w="665" w:type="dxa"/>
            <w:noWrap/>
            <w:hideMark/>
          </w:tcPr>
          <w:p w14:paraId="7E7F8CF1" w14:textId="77777777" w:rsidR="00AB6F50" w:rsidRPr="000973F2" w:rsidRDefault="00AB6F50" w:rsidP="002E420E">
            <w:pPr>
              <w:spacing w:before="30" w:after="3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0.0</w:t>
            </w:r>
          </w:p>
        </w:tc>
        <w:tc>
          <w:tcPr>
            <w:tcW w:w="665" w:type="dxa"/>
            <w:noWrap/>
            <w:hideMark/>
          </w:tcPr>
          <w:p w14:paraId="7E4EF4CE" w14:textId="77777777" w:rsidR="00AB6F50" w:rsidRPr="000973F2" w:rsidRDefault="00AB6F50" w:rsidP="002E420E">
            <w:pPr>
              <w:tabs>
                <w:tab w:val="decimal" w:pos="271"/>
              </w:tabs>
              <w:spacing w:before="30" w:after="3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10.0</w:t>
            </w:r>
          </w:p>
        </w:tc>
        <w:tc>
          <w:tcPr>
            <w:tcW w:w="665" w:type="dxa"/>
            <w:noWrap/>
            <w:hideMark/>
          </w:tcPr>
          <w:p w14:paraId="36127B66" w14:textId="77777777" w:rsidR="00AB6F50" w:rsidRPr="000973F2" w:rsidRDefault="00AB6F50" w:rsidP="002E420E">
            <w:pPr>
              <w:spacing w:before="30" w:after="3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0.0</w:t>
            </w:r>
          </w:p>
        </w:tc>
        <w:tc>
          <w:tcPr>
            <w:tcW w:w="665" w:type="dxa"/>
            <w:noWrap/>
            <w:hideMark/>
          </w:tcPr>
          <w:p w14:paraId="7E14B591" w14:textId="77777777" w:rsidR="00AB6F50" w:rsidRPr="000973F2" w:rsidRDefault="00AB6F50" w:rsidP="002E420E">
            <w:pPr>
              <w:spacing w:before="30" w:after="3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0.0</w:t>
            </w:r>
          </w:p>
        </w:tc>
        <w:tc>
          <w:tcPr>
            <w:tcW w:w="641" w:type="dxa"/>
            <w:noWrap/>
            <w:hideMark/>
          </w:tcPr>
          <w:p w14:paraId="7B8680BF" w14:textId="56E7C288" w:rsidR="00AB6F50" w:rsidRPr="000973F2" w:rsidRDefault="00AB6F50" w:rsidP="002E420E">
            <w:pPr>
              <w:spacing w:before="30" w:after="3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$0</w:t>
            </w:r>
          </w:p>
        </w:tc>
        <w:tc>
          <w:tcPr>
            <w:tcW w:w="795" w:type="dxa"/>
            <w:noWrap/>
            <w:hideMark/>
          </w:tcPr>
          <w:p w14:paraId="72061000" w14:textId="141EB0C1" w:rsidR="00AB6F50" w:rsidRPr="000973F2" w:rsidRDefault="00AB6F50" w:rsidP="002E420E">
            <w:pPr>
              <w:tabs>
                <w:tab w:val="decimal" w:pos="511"/>
              </w:tabs>
              <w:spacing w:before="30" w:after="3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$1,312</w:t>
            </w:r>
          </w:p>
        </w:tc>
      </w:tr>
      <w:tr w:rsidR="00720927" w:rsidRPr="000973F2" w14:paraId="6701496E" w14:textId="77777777" w:rsidTr="002E420E">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1245" w:type="dxa"/>
            <w:tcMar>
              <w:right w:w="14" w:type="dxa"/>
            </w:tcMar>
            <w:hideMark/>
          </w:tcPr>
          <w:p w14:paraId="4D6BAC1F" w14:textId="77777777" w:rsidR="00AB6F50" w:rsidRPr="000973F2" w:rsidRDefault="00AB6F50" w:rsidP="002E420E">
            <w:pPr>
              <w:spacing w:before="30" w:after="3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QA/QC</w:t>
            </w:r>
          </w:p>
        </w:tc>
        <w:tc>
          <w:tcPr>
            <w:tcW w:w="664" w:type="dxa"/>
            <w:noWrap/>
            <w:hideMark/>
          </w:tcPr>
          <w:p w14:paraId="36B6F136" w14:textId="77777777" w:rsidR="00AB6F50" w:rsidRPr="000973F2" w:rsidRDefault="00AB6F50" w:rsidP="002E420E">
            <w:pPr>
              <w:spacing w:before="30" w:after="3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0.0</w:t>
            </w:r>
          </w:p>
        </w:tc>
        <w:tc>
          <w:tcPr>
            <w:tcW w:w="665" w:type="dxa"/>
            <w:noWrap/>
            <w:hideMark/>
          </w:tcPr>
          <w:p w14:paraId="23507731" w14:textId="77777777" w:rsidR="00AB6F50" w:rsidRPr="000973F2" w:rsidRDefault="00AB6F50" w:rsidP="002E420E">
            <w:pPr>
              <w:spacing w:before="30" w:after="3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0.0</w:t>
            </w:r>
          </w:p>
        </w:tc>
        <w:tc>
          <w:tcPr>
            <w:tcW w:w="665" w:type="dxa"/>
            <w:noWrap/>
            <w:hideMark/>
          </w:tcPr>
          <w:p w14:paraId="60F94CB8" w14:textId="77777777" w:rsidR="00AB6F50" w:rsidRPr="000973F2" w:rsidRDefault="00AB6F50" w:rsidP="002E420E">
            <w:pPr>
              <w:spacing w:before="30" w:after="3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0.0</w:t>
            </w:r>
          </w:p>
        </w:tc>
        <w:tc>
          <w:tcPr>
            <w:tcW w:w="665" w:type="dxa"/>
            <w:noWrap/>
            <w:hideMark/>
          </w:tcPr>
          <w:p w14:paraId="57011857" w14:textId="77777777" w:rsidR="00AB6F50" w:rsidRPr="000973F2" w:rsidRDefault="00AB6F50" w:rsidP="002E420E">
            <w:pPr>
              <w:spacing w:before="30" w:after="3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0.3</w:t>
            </w:r>
          </w:p>
        </w:tc>
        <w:tc>
          <w:tcPr>
            <w:tcW w:w="665" w:type="dxa"/>
            <w:noWrap/>
            <w:hideMark/>
          </w:tcPr>
          <w:p w14:paraId="600FB837" w14:textId="77777777" w:rsidR="00AB6F50" w:rsidRPr="000973F2" w:rsidRDefault="00AB6F50" w:rsidP="002E420E">
            <w:pPr>
              <w:spacing w:before="30" w:after="3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0.0</w:t>
            </w:r>
          </w:p>
        </w:tc>
        <w:tc>
          <w:tcPr>
            <w:tcW w:w="665" w:type="dxa"/>
            <w:noWrap/>
            <w:hideMark/>
          </w:tcPr>
          <w:p w14:paraId="561B046C" w14:textId="77777777" w:rsidR="00AB6F50" w:rsidRPr="000973F2" w:rsidRDefault="00AB6F50" w:rsidP="002E420E">
            <w:pPr>
              <w:spacing w:before="30" w:after="3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0.6</w:t>
            </w:r>
          </w:p>
        </w:tc>
        <w:tc>
          <w:tcPr>
            <w:tcW w:w="665" w:type="dxa"/>
            <w:noWrap/>
            <w:hideMark/>
          </w:tcPr>
          <w:p w14:paraId="65859965" w14:textId="77777777" w:rsidR="00AB6F50" w:rsidRPr="000973F2" w:rsidRDefault="00AB6F50" w:rsidP="002E420E">
            <w:pPr>
              <w:spacing w:before="30" w:after="3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0.0</w:t>
            </w:r>
          </w:p>
        </w:tc>
        <w:tc>
          <w:tcPr>
            <w:tcW w:w="665" w:type="dxa"/>
            <w:noWrap/>
            <w:hideMark/>
          </w:tcPr>
          <w:p w14:paraId="515AA2B0" w14:textId="77777777" w:rsidR="00AB6F50" w:rsidRPr="000973F2" w:rsidRDefault="00AB6F50" w:rsidP="002E420E">
            <w:pPr>
              <w:tabs>
                <w:tab w:val="decimal" w:pos="271"/>
              </w:tabs>
              <w:spacing w:before="30" w:after="3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0.0</w:t>
            </w:r>
          </w:p>
        </w:tc>
        <w:tc>
          <w:tcPr>
            <w:tcW w:w="665" w:type="dxa"/>
            <w:noWrap/>
            <w:hideMark/>
          </w:tcPr>
          <w:p w14:paraId="1D202277" w14:textId="77777777" w:rsidR="00AB6F50" w:rsidRPr="000973F2" w:rsidRDefault="00AB6F50" w:rsidP="002E420E">
            <w:pPr>
              <w:spacing w:before="30" w:after="3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0.0</w:t>
            </w:r>
          </w:p>
        </w:tc>
        <w:tc>
          <w:tcPr>
            <w:tcW w:w="665" w:type="dxa"/>
            <w:noWrap/>
            <w:hideMark/>
          </w:tcPr>
          <w:p w14:paraId="74D6F19D" w14:textId="77777777" w:rsidR="00AB6F50" w:rsidRPr="000973F2" w:rsidRDefault="00AB6F50" w:rsidP="002E420E">
            <w:pPr>
              <w:spacing w:before="30" w:after="3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0.0</w:t>
            </w:r>
          </w:p>
        </w:tc>
        <w:tc>
          <w:tcPr>
            <w:tcW w:w="641" w:type="dxa"/>
            <w:noWrap/>
            <w:hideMark/>
          </w:tcPr>
          <w:p w14:paraId="750011B0" w14:textId="786F8B51" w:rsidR="00AB6F50" w:rsidRPr="000973F2" w:rsidRDefault="00AB6F50" w:rsidP="002E420E">
            <w:pPr>
              <w:spacing w:before="30" w:after="3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$0</w:t>
            </w:r>
          </w:p>
        </w:tc>
        <w:tc>
          <w:tcPr>
            <w:tcW w:w="795" w:type="dxa"/>
            <w:noWrap/>
            <w:hideMark/>
          </w:tcPr>
          <w:p w14:paraId="1EB37E4E" w14:textId="6A408CE6" w:rsidR="00AB6F50" w:rsidRPr="000973F2" w:rsidRDefault="00AB6F50" w:rsidP="002E420E">
            <w:pPr>
              <w:tabs>
                <w:tab w:val="decimal" w:pos="511"/>
              </w:tabs>
              <w:spacing w:before="30" w:after="3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$104</w:t>
            </w:r>
          </w:p>
        </w:tc>
      </w:tr>
      <w:tr w:rsidR="00720927" w:rsidRPr="000973F2" w14:paraId="538B9616" w14:textId="77777777" w:rsidTr="002E420E">
        <w:trPr>
          <w:cantSplit/>
        </w:trPr>
        <w:tc>
          <w:tcPr>
            <w:cnfStyle w:val="001000000000" w:firstRow="0" w:lastRow="0" w:firstColumn="1" w:lastColumn="0" w:oddVBand="0" w:evenVBand="0" w:oddHBand="0" w:evenHBand="0" w:firstRowFirstColumn="0" w:firstRowLastColumn="0" w:lastRowFirstColumn="0" w:lastRowLastColumn="0"/>
            <w:tcW w:w="1245" w:type="dxa"/>
            <w:tcMar>
              <w:right w:w="14" w:type="dxa"/>
            </w:tcMar>
            <w:hideMark/>
          </w:tcPr>
          <w:p w14:paraId="376AEBA9" w14:textId="77777777" w:rsidR="00AB6F50" w:rsidRPr="000973F2" w:rsidRDefault="00AB6F50" w:rsidP="002E420E">
            <w:pPr>
              <w:spacing w:before="30" w:after="3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Recordkeeping</w:t>
            </w:r>
          </w:p>
        </w:tc>
        <w:tc>
          <w:tcPr>
            <w:tcW w:w="664" w:type="dxa"/>
            <w:noWrap/>
            <w:hideMark/>
          </w:tcPr>
          <w:p w14:paraId="1BDF7F0C" w14:textId="77777777" w:rsidR="00AB6F50" w:rsidRPr="000973F2" w:rsidRDefault="00AB6F50" w:rsidP="002E420E">
            <w:pPr>
              <w:spacing w:before="30" w:after="3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0.0</w:t>
            </w:r>
          </w:p>
        </w:tc>
        <w:tc>
          <w:tcPr>
            <w:tcW w:w="665" w:type="dxa"/>
            <w:noWrap/>
            <w:hideMark/>
          </w:tcPr>
          <w:p w14:paraId="6819C23A" w14:textId="77777777" w:rsidR="00AB6F50" w:rsidRPr="000973F2" w:rsidRDefault="00AB6F50" w:rsidP="002E420E">
            <w:pPr>
              <w:spacing w:before="30" w:after="3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0.0</w:t>
            </w:r>
          </w:p>
        </w:tc>
        <w:tc>
          <w:tcPr>
            <w:tcW w:w="665" w:type="dxa"/>
            <w:noWrap/>
            <w:hideMark/>
          </w:tcPr>
          <w:p w14:paraId="3F3D273A" w14:textId="77777777" w:rsidR="00AB6F50" w:rsidRPr="000973F2" w:rsidRDefault="00AB6F50" w:rsidP="002E420E">
            <w:pPr>
              <w:spacing w:before="30" w:after="3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0.0</w:t>
            </w:r>
          </w:p>
        </w:tc>
        <w:tc>
          <w:tcPr>
            <w:tcW w:w="665" w:type="dxa"/>
            <w:noWrap/>
            <w:hideMark/>
          </w:tcPr>
          <w:p w14:paraId="2816B516" w14:textId="77777777" w:rsidR="00AB6F50" w:rsidRPr="000973F2" w:rsidRDefault="00AB6F50" w:rsidP="002E420E">
            <w:pPr>
              <w:spacing w:before="30" w:after="3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0.0</w:t>
            </w:r>
          </w:p>
        </w:tc>
        <w:tc>
          <w:tcPr>
            <w:tcW w:w="665" w:type="dxa"/>
            <w:noWrap/>
            <w:hideMark/>
          </w:tcPr>
          <w:p w14:paraId="0A2DDEBE" w14:textId="77777777" w:rsidR="00AB6F50" w:rsidRPr="000973F2" w:rsidRDefault="00AB6F50" w:rsidP="002E420E">
            <w:pPr>
              <w:spacing w:before="30" w:after="3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0.0</w:t>
            </w:r>
          </w:p>
        </w:tc>
        <w:tc>
          <w:tcPr>
            <w:tcW w:w="665" w:type="dxa"/>
            <w:noWrap/>
            <w:hideMark/>
          </w:tcPr>
          <w:p w14:paraId="1CC6D905" w14:textId="77777777" w:rsidR="00AB6F50" w:rsidRPr="000973F2" w:rsidRDefault="00AB6F50" w:rsidP="002E420E">
            <w:pPr>
              <w:spacing w:before="30" w:after="3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1.0</w:t>
            </w:r>
          </w:p>
        </w:tc>
        <w:tc>
          <w:tcPr>
            <w:tcW w:w="665" w:type="dxa"/>
            <w:noWrap/>
            <w:hideMark/>
          </w:tcPr>
          <w:p w14:paraId="13805EEC" w14:textId="77777777" w:rsidR="00AB6F50" w:rsidRPr="000973F2" w:rsidRDefault="00AB6F50" w:rsidP="002E420E">
            <w:pPr>
              <w:spacing w:before="30" w:after="3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0.0</w:t>
            </w:r>
          </w:p>
        </w:tc>
        <w:tc>
          <w:tcPr>
            <w:tcW w:w="665" w:type="dxa"/>
            <w:noWrap/>
            <w:hideMark/>
          </w:tcPr>
          <w:p w14:paraId="3EC64FDD" w14:textId="77777777" w:rsidR="00AB6F50" w:rsidRPr="000973F2" w:rsidRDefault="00AB6F50" w:rsidP="002E420E">
            <w:pPr>
              <w:tabs>
                <w:tab w:val="decimal" w:pos="271"/>
              </w:tabs>
              <w:spacing w:before="30" w:after="3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13.0</w:t>
            </w:r>
          </w:p>
        </w:tc>
        <w:tc>
          <w:tcPr>
            <w:tcW w:w="665" w:type="dxa"/>
            <w:noWrap/>
            <w:hideMark/>
          </w:tcPr>
          <w:p w14:paraId="58F299BD" w14:textId="77777777" w:rsidR="00AB6F50" w:rsidRPr="000973F2" w:rsidRDefault="00AB6F50" w:rsidP="002E420E">
            <w:pPr>
              <w:spacing w:before="30" w:after="3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0.0</w:t>
            </w:r>
          </w:p>
        </w:tc>
        <w:tc>
          <w:tcPr>
            <w:tcW w:w="665" w:type="dxa"/>
            <w:noWrap/>
            <w:hideMark/>
          </w:tcPr>
          <w:p w14:paraId="6E00DA4C" w14:textId="77777777" w:rsidR="00AB6F50" w:rsidRPr="000973F2" w:rsidRDefault="00AB6F50" w:rsidP="002E420E">
            <w:pPr>
              <w:spacing w:before="30" w:after="3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1.0</w:t>
            </w:r>
          </w:p>
        </w:tc>
        <w:tc>
          <w:tcPr>
            <w:tcW w:w="641" w:type="dxa"/>
            <w:noWrap/>
            <w:hideMark/>
          </w:tcPr>
          <w:p w14:paraId="31C3925E" w14:textId="496A31BD" w:rsidR="00AB6F50" w:rsidRPr="000973F2" w:rsidRDefault="00AB6F50" w:rsidP="002E420E">
            <w:pPr>
              <w:spacing w:before="30" w:after="3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$0</w:t>
            </w:r>
          </w:p>
        </w:tc>
        <w:tc>
          <w:tcPr>
            <w:tcW w:w="795" w:type="dxa"/>
            <w:noWrap/>
            <w:hideMark/>
          </w:tcPr>
          <w:p w14:paraId="36D2E442" w14:textId="0A0305DE" w:rsidR="00AB6F50" w:rsidRPr="000973F2" w:rsidRDefault="00AB6F50" w:rsidP="002E420E">
            <w:pPr>
              <w:tabs>
                <w:tab w:val="decimal" w:pos="511"/>
              </w:tabs>
              <w:spacing w:before="30" w:after="3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$1,350</w:t>
            </w:r>
          </w:p>
        </w:tc>
      </w:tr>
      <w:tr w:rsidR="00720927" w:rsidRPr="000973F2" w14:paraId="7F2C7F3C" w14:textId="77777777" w:rsidTr="002E420E">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1245" w:type="dxa"/>
            <w:tcMar>
              <w:right w:w="14" w:type="dxa"/>
            </w:tcMar>
            <w:hideMark/>
          </w:tcPr>
          <w:p w14:paraId="2D09A93A" w14:textId="77777777" w:rsidR="00AB6F50" w:rsidRPr="000973F2" w:rsidRDefault="00AB6F50" w:rsidP="002E420E">
            <w:pPr>
              <w:spacing w:before="30" w:after="3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Sampling and Analysis (Calculations)</w:t>
            </w:r>
          </w:p>
        </w:tc>
        <w:tc>
          <w:tcPr>
            <w:tcW w:w="664" w:type="dxa"/>
            <w:noWrap/>
            <w:hideMark/>
          </w:tcPr>
          <w:p w14:paraId="66ADEABD" w14:textId="77777777" w:rsidR="00AB6F50" w:rsidRPr="000973F2" w:rsidRDefault="00AB6F50" w:rsidP="002E420E">
            <w:pPr>
              <w:spacing w:before="30" w:after="3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0.0</w:t>
            </w:r>
          </w:p>
        </w:tc>
        <w:tc>
          <w:tcPr>
            <w:tcW w:w="665" w:type="dxa"/>
            <w:noWrap/>
            <w:hideMark/>
          </w:tcPr>
          <w:p w14:paraId="3913383E" w14:textId="77777777" w:rsidR="00AB6F50" w:rsidRPr="000973F2" w:rsidRDefault="00AB6F50" w:rsidP="002E420E">
            <w:pPr>
              <w:spacing w:before="30" w:after="3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0.0</w:t>
            </w:r>
          </w:p>
        </w:tc>
        <w:tc>
          <w:tcPr>
            <w:tcW w:w="665" w:type="dxa"/>
            <w:noWrap/>
            <w:hideMark/>
          </w:tcPr>
          <w:p w14:paraId="3161655C" w14:textId="77777777" w:rsidR="00AB6F50" w:rsidRPr="000973F2" w:rsidRDefault="00AB6F50" w:rsidP="002E420E">
            <w:pPr>
              <w:spacing w:before="30" w:after="3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0.0</w:t>
            </w:r>
          </w:p>
        </w:tc>
        <w:tc>
          <w:tcPr>
            <w:tcW w:w="665" w:type="dxa"/>
            <w:noWrap/>
            <w:hideMark/>
          </w:tcPr>
          <w:p w14:paraId="007A552A" w14:textId="77777777" w:rsidR="00AB6F50" w:rsidRPr="000973F2" w:rsidRDefault="00AB6F50" w:rsidP="002E420E">
            <w:pPr>
              <w:spacing w:before="30" w:after="3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0.0</w:t>
            </w:r>
          </w:p>
        </w:tc>
        <w:tc>
          <w:tcPr>
            <w:tcW w:w="665" w:type="dxa"/>
            <w:noWrap/>
            <w:hideMark/>
          </w:tcPr>
          <w:p w14:paraId="7021DE75" w14:textId="77777777" w:rsidR="00AB6F50" w:rsidRPr="000973F2" w:rsidRDefault="00AB6F50" w:rsidP="002E420E">
            <w:pPr>
              <w:spacing w:before="30" w:after="3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0.0</w:t>
            </w:r>
          </w:p>
        </w:tc>
        <w:tc>
          <w:tcPr>
            <w:tcW w:w="665" w:type="dxa"/>
            <w:noWrap/>
            <w:hideMark/>
          </w:tcPr>
          <w:p w14:paraId="5E60232B" w14:textId="77777777" w:rsidR="00AB6F50" w:rsidRPr="000973F2" w:rsidRDefault="00AB6F50" w:rsidP="002E420E">
            <w:pPr>
              <w:spacing w:before="30" w:after="3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0.0</w:t>
            </w:r>
          </w:p>
        </w:tc>
        <w:tc>
          <w:tcPr>
            <w:tcW w:w="665" w:type="dxa"/>
            <w:noWrap/>
            <w:hideMark/>
          </w:tcPr>
          <w:p w14:paraId="293206F5" w14:textId="77777777" w:rsidR="00AB6F50" w:rsidRPr="000973F2" w:rsidRDefault="00AB6F50" w:rsidP="002E420E">
            <w:pPr>
              <w:spacing w:before="30" w:after="3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0.0</w:t>
            </w:r>
          </w:p>
        </w:tc>
        <w:tc>
          <w:tcPr>
            <w:tcW w:w="665" w:type="dxa"/>
            <w:noWrap/>
            <w:hideMark/>
          </w:tcPr>
          <w:p w14:paraId="7F41B2C7" w14:textId="77777777" w:rsidR="00AB6F50" w:rsidRPr="000973F2" w:rsidRDefault="00AB6F50" w:rsidP="002E420E">
            <w:pPr>
              <w:tabs>
                <w:tab w:val="decimal" w:pos="271"/>
              </w:tabs>
              <w:spacing w:before="30" w:after="3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5.9</w:t>
            </w:r>
          </w:p>
        </w:tc>
        <w:tc>
          <w:tcPr>
            <w:tcW w:w="665" w:type="dxa"/>
            <w:noWrap/>
            <w:hideMark/>
          </w:tcPr>
          <w:p w14:paraId="16746AF7" w14:textId="77777777" w:rsidR="00AB6F50" w:rsidRPr="000973F2" w:rsidRDefault="00AB6F50" w:rsidP="002E420E">
            <w:pPr>
              <w:spacing w:before="30" w:after="3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0.0</w:t>
            </w:r>
          </w:p>
        </w:tc>
        <w:tc>
          <w:tcPr>
            <w:tcW w:w="665" w:type="dxa"/>
            <w:noWrap/>
            <w:hideMark/>
          </w:tcPr>
          <w:p w14:paraId="0B384426" w14:textId="77777777" w:rsidR="00AB6F50" w:rsidRPr="000973F2" w:rsidRDefault="00AB6F50" w:rsidP="002E420E">
            <w:pPr>
              <w:spacing w:before="30" w:after="3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0.4</w:t>
            </w:r>
          </w:p>
        </w:tc>
        <w:tc>
          <w:tcPr>
            <w:tcW w:w="641" w:type="dxa"/>
            <w:noWrap/>
            <w:hideMark/>
          </w:tcPr>
          <w:p w14:paraId="089B250C" w14:textId="3104BFD6" w:rsidR="00AB6F50" w:rsidRPr="000973F2" w:rsidRDefault="00AB6F50" w:rsidP="002E420E">
            <w:pPr>
              <w:spacing w:before="30" w:after="3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$0</w:t>
            </w:r>
          </w:p>
        </w:tc>
        <w:tc>
          <w:tcPr>
            <w:tcW w:w="795" w:type="dxa"/>
            <w:noWrap/>
            <w:hideMark/>
          </w:tcPr>
          <w:p w14:paraId="42E8FC86" w14:textId="1E403256" w:rsidR="00AB6F50" w:rsidRPr="000973F2" w:rsidRDefault="00AB6F50" w:rsidP="002E420E">
            <w:pPr>
              <w:tabs>
                <w:tab w:val="decimal" w:pos="511"/>
              </w:tabs>
              <w:spacing w:before="30" w:after="3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$563</w:t>
            </w:r>
          </w:p>
        </w:tc>
      </w:tr>
      <w:tr w:rsidR="00720927" w:rsidRPr="000973F2" w14:paraId="03BC7B07" w14:textId="77777777" w:rsidTr="002E420E">
        <w:trPr>
          <w:cantSplit/>
        </w:trPr>
        <w:tc>
          <w:tcPr>
            <w:cnfStyle w:val="001000000000" w:firstRow="0" w:lastRow="0" w:firstColumn="1" w:lastColumn="0" w:oddVBand="0" w:evenVBand="0" w:oddHBand="0" w:evenHBand="0" w:firstRowFirstColumn="0" w:firstRowLastColumn="0" w:lastRowFirstColumn="0" w:lastRowLastColumn="0"/>
            <w:tcW w:w="1245" w:type="dxa"/>
            <w:tcMar>
              <w:right w:w="14" w:type="dxa"/>
            </w:tcMar>
            <w:hideMark/>
          </w:tcPr>
          <w:p w14:paraId="691A29D7" w14:textId="77777777" w:rsidR="00AB6F50" w:rsidRPr="000973F2" w:rsidRDefault="00AB6F50" w:rsidP="002E420E">
            <w:pPr>
              <w:spacing w:before="30" w:after="3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Reporting</w:t>
            </w:r>
          </w:p>
        </w:tc>
        <w:tc>
          <w:tcPr>
            <w:tcW w:w="664" w:type="dxa"/>
            <w:noWrap/>
            <w:hideMark/>
          </w:tcPr>
          <w:p w14:paraId="2BC3FF7D" w14:textId="77777777" w:rsidR="00AB6F50" w:rsidRPr="000973F2" w:rsidRDefault="00AB6F50" w:rsidP="002E420E">
            <w:pPr>
              <w:spacing w:before="30" w:after="3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0.0</w:t>
            </w:r>
          </w:p>
        </w:tc>
        <w:tc>
          <w:tcPr>
            <w:tcW w:w="665" w:type="dxa"/>
            <w:noWrap/>
            <w:hideMark/>
          </w:tcPr>
          <w:p w14:paraId="192D24D8" w14:textId="77777777" w:rsidR="00AB6F50" w:rsidRPr="000973F2" w:rsidRDefault="00AB6F50" w:rsidP="002E420E">
            <w:pPr>
              <w:spacing w:before="30" w:after="3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0.0</w:t>
            </w:r>
          </w:p>
        </w:tc>
        <w:tc>
          <w:tcPr>
            <w:tcW w:w="665" w:type="dxa"/>
            <w:noWrap/>
            <w:hideMark/>
          </w:tcPr>
          <w:p w14:paraId="73EB426A" w14:textId="77777777" w:rsidR="00AB6F50" w:rsidRPr="000973F2" w:rsidRDefault="00AB6F50" w:rsidP="002E420E">
            <w:pPr>
              <w:spacing w:before="30" w:after="3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0.0</w:t>
            </w:r>
          </w:p>
        </w:tc>
        <w:tc>
          <w:tcPr>
            <w:tcW w:w="665" w:type="dxa"/>
            <w:noWrap/>
            <w:hideMark/>
          </w:tcPr>
          <w:p w14:paraId="235FD572" w14:textId="77777777" w:rsidR="00AB6F50" w:rsidRPr="000973F2" w:rsidRDefault="00AB6F50" w:rsidP="002E420E">
            <w:pPr>
              <w:spacing w:before="30" w:after="3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0.0</w:t>
            </w:r>
          </w:p>
        </w:tc>
        <w:tc>
          <w:tcPr>
            <w:tcW w:w="665" w:type="dxa"/>
            <w:noWrap/>
            <w:hideMark/>
          </w:tcPr>
          <w:p w14:paraId="2E8C307C" w14:textId="77777777" w:rsidR="00AB6F50" w:rsidRPr="000973F2" w:rsidRDefault="00AB6F50" w:rsidP="002E420E">
            <w:pPr>
              <w:spacing w:before="30" w:after="3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0.0</w:t>
            </w:r>
          </w:p>
        </w:tc>
        <w:tc>
          <w:tcPr>
            <w:tcW w:w="665" w:type="dxa"/>
            <w:noWrap/>
            <w:hideMark/>
          </w:tcPr>
          <w:p w14:paraId="532CD61E" w14:textId="77777777" w:rsidR="00AB6F50" w:rsidRPr="000973F2" w:rsidRDefault="00AB6F50" w:rsidP="002E420E">
            <w:pPr>
              <w:spacing w:before="30" w:after="3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2.0</w:t>
            </w:r>
          </w:p>
        </w:tc>
        <w:tc>
          <w:tcPr>
            <w:tcW w:w="665" w:type="dxa"/>
            <w:noWrap/>
            <w:hideMark/>
          </w:tcPr>
          <w:p w14:paraId="7A1F2B44" w14:textId="77777777" w:rsidR="00AB6F50" w:rsidRPr="000973F2" w:rsidRDefault="00AB6F50" w:rsidP="002E420E">
            <w:pPr>
              <w:spacing w:before="30" w:after="3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0.0</w:t>
            </w:r>
          </w:p>
        </w:tc>
        <w:tc>
          <w:tcPr>
            <w:tcW w:w="665" w:type="dxa"/>
            <w:noWrap/>
            <w:hideMark/>
          </w:tcPr>
          <w:p w14:paraId="18CBBEE6" w14:textId="77777777" w:rsidR="00AB6F50" w:rsidRPr="000973F2" w:rsidRDefault="00AB6F50" w:rsidP="002E420E">
            <w:pPr>
              <w:tabs>
                <w:tab w:val="decimal" w:pos="271"/>
              </w:tabs>
              <w:spacing w:before="30" w:after="3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26.0</w:t>
            </w:r>
          </w:p>
        </w:tc>
        <w:tc>
          <w:tcPr>
            <w:tcW w:w="665" w:type="dxa"/>
            <w:noWrap/>
            <w:hideMark/>
          </w:tcPr>
          <w:p w14:paraId="5B67464F" w14:textId="77777777" w:rsidR="00AB6F50" w:rsidRPr="000973F2" w:rsidRDefault="00AB6F50" w:rsidP="002E420E">
            <w:pPr>
              <w:spacing w:before="30" w:after="3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0.0</w:t>
            </w:r>
          </w:p>
        </w:tc>
        <w:tc>
          <w:tcPr>
            <w:tcW w:w="665" w:type="dxa"/>
            <w:noWrap/>
            <w:hideMark/>
          </w:tcPr>
          <w:p w14:paraId="24012CDA" w14:textId="77777777" w:rsidR="00AB6F50" w:rsidRPr="000973F2" w:rsidRDefault="00AB6F50" w:rsidP="002E420E">
            <w:pPr>
              <w:spacing w:before="30" w:after="3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2.0</w:t>
            </w:r>
          </w:p>
        </w:tc>
        <w:tc>
          <w:tcPr>
            <w:tcW w:w="641" w:type="dxa"/>
            <w:noWrap/>
            <w:hideMark/>
          </w:tcPr>
          <w:p w14:paraId="5C226D1A" w14:textId="1FD7CC8F" w:rsidR="00AB6F50" w:rsidRPr="000973F2" w:rsidRDefault="00AB6F50" w:rsidP="002E420E">
            <w:pPr>
              <w:spacing w:before="30" w:after="3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$0</w:t>
            </w:r>
          </w:p>
        </w:tc>
        <w:tc>
          <w:tcPr>
            <w:tcW w:w="795" w:type="dxa"/>
            <w:noWrap/>
            <w:hideMark/>
          </w:tcPr>
          <w:p w14:paraId="2FC06A58" w14:textId="34CF5015" w:rsidR="00AB6F50" w:rsidRPr="000973F2" w:rsidRDefault="00AB6F50" w:rsidP="002E420E">
            <w:pPr>
              <w:tabs>
                <w:tab w:val="decimal" w:pos="511"/>
              </w:tabs>
              <w:spacing w:before="30" w:after="3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$2,700</w:t>
            </w:r>
          </w:p>
        </w:tc>
      </w:tr>
      <w:tr w:rsidR="00720927" w:rsidRPr="000973F2" w14:paraId="6D53B00F" w14:textId="77777777" w:rsidTr="002E420E">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1245" w:type="dxa"/>
            <w:noWrap/>
            <w:tcMar>
              <w:right w:w="14" w:type="dxa"/>
            </w:tcMar>
            <w:hideMark/>
          </w:tcPr>
          <w:p w14:paraId="70C872D6" w14:textId="77777777" w:rsidR="00AB6F50" w:rsidRPr="000973F2" w:rsidRDefault="00AB6F50" w:rsidP="002E420E">
            <w:pPr>
              <w:spacing w:before="30" w:after="30"/>
              <w:rPr>
                <w:rFonts w:ascii="Times New Roman" w:eastAsia="Times New Roman" w:hAnsi="Times New Roman" w:cs="Times New Roman"/>
                <w:b/>
                <w:bCs w:val="0"/>
                <w:sz w:val="18"/>
                <w:szCs w:val="18"/>
              </w:rPr>
            </w:pPr>
            <w:r w:rsidRPr="000973F2">
              <w:rPr>
                <w:rFonts w:ascii="Times New Roman" w:eastAsia="Times New Roman" w:hAnsi="Times New Roman" w:cs="Times New Roman"/>
                <w:b/>
                <w:sz w:val="18"/>
                <w:szCs w:val="18"/>
              </w:rPr>
              <w:t>Total</w:t>
            </w:r>
          </w:p>
        </w:tc>
        <w:tc>
          <w:tcPr>
            <w:tcW w:w="664" w:type="dxa"/>
            <w:noWrap/>
            <w:hideMark/>
          </w:tcPr>
          <w:p w14:paraId="54EA7DE4" w14:textId="77777777" w:rsidR="00AB6F50" w:rsidRPr="000973F2" w:rsidRDefault="00AB6F50" w:rsidP="002E420E">
            <w:pPr>
              <w:spacing w:before="30" w:after="3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18"/>
                <w:szCs w:val="18"/>
              </w:rPr>
            </w:pPr>
            <w:r w:rsidRPr="000973F2">
              <w:rPr>
                <w:rFonts w:ascii="Times New Roman" w:eastAsia="Times New Roman" w:hAnsi="Times New Roman" w:cs="Times New Roman"/>
                <w:b/>
                <w:bCs/>
                <w:sz w:val="18"/>
                <w:szCs w:val="18"/>
              </w:rPr>
              <w:t>0.0</w:t>
            </w:r>
          </w:p>
        </w:tc>
        <w:tc>
          <w:tcPr>
            <w:tcW w:w="665" w:type="dxa"/>
            <w:noWrap/>
            <w:hideMark/>
          </w:tcPr>
          <w:p w14:paraId="42EC814C" w14:textId="77777777" w:rsidR="00AB6F50" w:rsidRPr="000973F2" w:rsidRDefault="00AB6F50" w:rsidP="002E420E">
            <w:pPr>
              <w:spacing w:before="30" w:after="3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18"/>
                <w:szCs w:val="18"/>
              </w:rPr>
            </w:pPr>
            <w:r w:rsidRPr="000973F2">
              <w:rPr>
                <w:rFonts w:ascii="Times New Roman" w:eastAsia="Times New Roman" w:hAnsi="Times New Roman" w:cs="Times New Roman"/>
                <w:b/>
                <w:bCs/>
                <w:sz w:val="18"/>
                <w:szCs w:val="18"/>
              </w:rPr>
              <w:t>2.0</w:t>
            </w:r>
          </w:p>
        </w:tc>
        <w:tc>
          <w:tcPr>
            <w:tcW w:w="665" w:type="dxa"/>
            <w:noWrap/>
            <w:hideMark/>
          </w:tcPr>
          <w:p w14:paraId="062928EA" w14:textId="77777777" w:rsidR="00AB6F50" w:rsidRPr="000973F2" w:rsidRDefault="00AB6F50" w:rsidP="002E420E">
            <w:pPr>
              <w:spacing w:before="30" w:after="3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18"/>
                <w:szCs w:val="18"/>
              </w:rPr>
            </w:pPr>
            <w:r w:rsidRPr="000973F2">
              <w:rPr>
                <w:rFonts w:ascii="Times New Roman" w:eastAsia="Times New Roman" w:hAnsi="Times New Roman" w:cs="Times New Roman"/>
                <w:b/>
                <w:bCs/>
                <w:sz w:val="18"/>
                <w:szCs w:val="18"/>
              </w:rPr>
              <w:t>0.0</w:t>
            </w:r>
          </w:p>
        </w:tc>
        <w:tc>
          <w:tcPr>
            <w:tcW w:w="665" w:type="dxa"/>
            <w:noWrap/>
            <w:hideMark/>
          </w:tcPr>
          <w:p w14:paraId="7413467D" w14:textId="77777777" w:rsidR="00AB6F50" w:rsidRPr="000973F2" w:rsidRDefault="00AB6F50" w:rsidP="002E420E">
            <w:pPr>
              <w:spacing w:before="30" w:after="3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18"/>
                <w:szCs w:val="18"/>
              </w:rPr>
            </w:pPr>
            <w:r w:rsidRPr="000973F2">
              <w:rPr>
                <w:rFonts w:ascii="Times New Roman" w:eastAsia="Times New Roman" w:hAnsi="Times New Roman" w:cs="Times New Roman"/>
                <w:b/>
                <w:bCs/>
                <w:sz w:val="18"/>
                <w:szCs w:val="18"/>
              </w:rPr>
              <w:t>0.8</w:t>
            </w:r>
          </w:p>
        </w:tc>
        <w:tc>
          <w:tcPr>
            <w:tcW w:w="665" w:type="dxa"/>
            <w:noWrap/>
            <w:hideMark/>
          </w:tcPr>
          <w:p w14:paraId="22840D11" w14:textId="77777777" w:rsidR="00AB6F50" w:rsidRPr="000973F2" w:rsidRDefault="00AB6F50" w:rsidP="002E420E">
            <w:pPr>
              <w:spacing w:before="30" w:after="3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18"/>
                <w:szCs w:val="18"/>
              </w:rPr>
            </w:pPr>
            <w:r w:rsidRPr="000973F2">
              <w:rPr>
                <w:rFonts w:ascii="Times New Roman" w:eastAsia="Times New Roman" w:hAnsi="Times New Roman" w:cs="Times New Roman"/>
                <w:b/>
                <w:bCs/>
                <w:sz w:val="18"/>
                <w:szCs w:val="18"/>
              </w:rPr>
              <w:t>0.0</w:t>
            </w:r>
          </w:p>
        </w:tc>
        <w:tc>
          <w:tcPr>
            <w:tcW w:w="665" w:type="dxa"/>
            <w:noWrap/>
            <w:hideMark/>
          </w:tcPr>
          <w:p w14:paraId="3EF60F21" w14:textId="77777777" w:rsidR="00AB6F50" w:rsidRPr="000973F2" w:rsidRDefault="00AB6F50" w:rsidP="002E420E">
            <w:pPr>
              <w:spacing w:before="30" w:after="3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18"/>
                <w:szCs w:val="18"/>
              </w:rPr>
            </w:pPr>
            <w:r w:rsidRPr="000973F2">
              <w:rPr>
                <w:rFonts w:ascii="Times New Roman" w:eastAsia="Times New Roman" w:hAnsi="Times New Roman" w:cs="Times New Roman"/>
                <w:b/>
                <w:bCs/>
                <w:sz w:val="18"/>
                <w:szCs w:val="18"/>
              </w:rPr>
              <w:t>4.6</w:t>
            </w:r>
          </w:p>
        </w:tc>
        <w:tc>
          <w:tcPr>
            <w:tcW w:w="665" w:type="dxa"/>
            <w:noWrap/>
            <w:hideMark/>
          </w:tcPr>
          <w:p w14:paraId="00AF498C" w14:textId="77777777" w:rsidR="00AB6F50" w:rsidRPr="000973F2" w:rsidRDefault="00AB6F50" w:rsidP="002E420E">
            <w:pPr>
              <w:spacing w:before="30" w:after="3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18"/>
                <w:szCs w:val="18"/>
              </w:rPr>
            </w:pPr>
            <w:r w:rsidRPr="000973F2">
              <w:rPr>
                <w:rFonts w:ascii="Times New Roman" w:eastAsia="Times New Roman" w:hAnsi="Times New Roman" w:cs="Times New Roman"/>
                <w:b/>
                <w:bCs/>
                <w:sz w:val="18"/>
                <w:szCs w:val="18"/>
              </w:rPr>
              <w:t>0.0</w:t>
            </w:r>
          </w:p>
        </w:tc>
        <w:tc>
          <w:tcPr>
            <w:tcW w:w="665" w:type="dxa"/>
            <w:noWrap/>
            <w:hideMark/>
          </w:tcPr>
          <w:p w14:paraId="5FA52A31" w14:textId="77777777" w:rsidR="00AB6F50" w:rsidRPr="000973F2" w:rsidRDefault="00AB6F50" w:rsidP="002E420E">
            <w:pPr>
              <w:tabs>
                <w:tab w:val="decimal" w:pos="271"/>
              </w:tabs>
              <w:spacing w:before="30" w:after="3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18"/>
                <w:szCs w:val="18"/>
              </w:rPr>
            </w:pPr>
            <w:r w:rsidRPr="000973F2">
              <w:rPr>
                <w:rFonts w:ascii="Times New Roman" w:eastAsia="Times New Roman" w:hAnsi="Times New Roman" w:cs="Times New Roman"/>
                <w:b/>
                <w:bCs/>
                <w:sz w:val="18"/>
                <w:szCs w:val="18"/>
              </w:rPr>
              <w:t>54.9</w:t>
            </w:r>
          </w:p>
        </w:tc>
        <w:tc>
          <w:tcPr>
            <w:tcW w:w="665" w:type="dxa"/>
            <w:noWrap/>
            <w:hideMark/>
          </w:tcPr>
          <w:p w14:paraId="5E508BB1" w14:textId="77777777" w:rsidR="00AB6F50" w:rsidRPr="000973F2" w:rsidRDefault="00AB6F50" w:rsidP="002E420E">
            <w:pPr>
              <w:spacing w:before="30" w:after="3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18"/>
                <w:szCs w:val="18"/>
              </w:rPr>
            </w:pPr>
            <w:r w:rsidRPr="000973F2">
              <w:rPr>
                <w:rFonts w:ascii="Times New Roman" w:eastAsia="Times New Roman" w:hAnsi="Times New Roman" w:cs="Times New Roman"/>
                <w:b/>
                <w:bCs/>
                <w:sz w:val="18"/>
                <w:szCs w:val="18"/>
              </w:rPr>
              <w:t>0.0</w:t>
            </w:r>
          </w:p>
        </w:tc>
        <w:tc>
          <w:tcPr>
            <w:tcW w:w="665" w:type="dxa"/>
            <w:noWrap/>
            <w:hideMark/>
          </w:tcPr>
          <w:p w14:paraId="530BEE33" w14:textId="77777777" w:rsidR="00AB6F50" w:rsidRPr="000973F2" w:rsidRDefault="00AB6F50" w:rsidP="002E420E">
            <w:pPr>
              <w:spacing w:before="30" w:after="3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18"/>
                <w:szCs w:val="18"/>
              </w:rPr>
            </w:pPr>
            <w:r w:rsidRPr="000973F2">
              <w:rPr>
                <w:rFonts w:ascii="Times New Roman" w:eastAsia="Times New Roman" w:hAnsi="Times New Roman" w:cs="Times New Roman"/>
                <w:b/>
                <w:bCs/>
                <w:sz w:val="18"/>
                <w:szCs w:val="18"/>
              </w:rPr>
              <w:t>3.4</w:t>
            </w:r>
          </w:p>
        </w:tc>
        <w:tc>
          <w:tcPr>
            <w:tcW w:w="641" w:type="dxa"/>
            <w:noWrap/>
            <w:hideMark/>
          </w:tcPr>
          <w:p w14:paraId="0BBDFFC2" w14:textId="10401012" w:rsidR="00AB6F50" w:rsidRPr="000973F2" w:rsidRDefault="00AB6F50" w:rsidP="002E420E">
            <w:pPr>
              <w:spacing w:before="30" w:after="3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18"/>
                <w:szCs w:val="18"/>
              </w:rPr>
            </w:pPr>
            <w:r w:rsidRPr="000973F2">
              <w:rPr>
                <w:rFonts w:ascii="Times New Roman" w:eastAsia="Times New Roman" w:hAnsi="Times New Roman" w:cs="Times New Roman"/>
                <w:b/>
                <w:bCs/>
                <w:sz w:val="18"/>
                <w:szCs w:val="18"/>
              </w:rPr>
              <w:t>$0</w:t>
            </w:r>
          </w:p>
        </w:tc>
        <w:tc>
          <w:tcPr>
            <w:tcW w:w="795" w:type="dxa"/>
            <w:noWrap/>
            <w:hideMark/>
          </w:tcPr>
          <w:p w14:paraId="1309782A" w14:textId="04B53F3C" w:rsidR="00AB6F50" w:rsidRPr="000973F2" w:rsidRDefault="00AB6F50" w:rsidP="002E420E">
            <w:pPr>
              <w:tabs>
                <w:tab w:val="decimal" w:pos="511"/>
              </w:tabs>
              <w:spacing w:before="30" w:after="3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18"/>
                <w:szCs w:val="18"/>
              </w:rPr>
            </w:pPr>
            <w:r w:rsidRPr="000973F2">
              <w:rPr>
                <w:rFonts w:ascii="Times New Roman" w:eastAsia="Times New Roman" w:hAnsi="Times New Roman" w:cs="Times New Roman"/>
                <w:b/>
                <w:bCs/>
                <w:sz w:val="18"/>
                <w:szCs w:val="18"/>
              </w:rPr>
              <w:t>$6,029</w:t>
            </w:r>
          </w:p>
        </w:tc>
      </w:tr>
    </w:tbl>
    <w:p w14:paraId="3E961042" w14:textId="77777777" w:rsidR="00AB6F50" w:rsidRPr="000973F2" w:rsidRDefault="00AB6F50" w:rsidP="00C00E4F">
      <w:pPr>
        <w:spacing w:line="240" w:lineRule="auto"/>
        <w:jc w:val="center"/>
        <w:rPr>
          <w:rFonts w:ascii="Times New Roman" w:hAnsi="Times New Roman" w:cs="Times New Roman"/>
          <w:sz w:val="20"/>
          <w:szCs w:val="20"/>
        </w:rPr>
      </w:pPr>
    </w:p>
    <w:p w14:paraId="4C935DCB" w14:textId="50A40C33" w:rsidR="00C87A15" w:rsidRPr="000973F2" w:rsidRDefault="00C87A15" w:rsidP="002E420E">
      <w:pPr>
        <w:pStyle w:val="Tabletitle"/>
      </w:pPr>
      <w:r w:rsidRPr="000973F2">
        <w:t xml:space="preserve">Table </w:t>
      </w:r>
      <w:r w:rsidR="002E420E" w:rsidRPr="000973F2">
        <w:t>W-</w:t>
      </w:r>
      <w:r w:rsidRPr="000973F2">
        <w:t xml:space="preserve">2e. Capital and O&amp;M Costs </w:t>
      </w:r>
      <w:r w:rsidR="00B960CC" w:rsidRPr="000973F2">
        <w:t>–</w:t>
      </w:r>
      <w:r w:rsidRPr="000973F2">
        <w:t>Subpart W – Underground Natural Gas Storage</w:t>
      </w:r>
    </w:p>
    <w:tbl>
      <w:tblPr>
        <w:tblStyle w:val="PlainTable1"/>
        <w:tblW w:w="5000" w:type="pct"/>
        <w:jc w:val="left"/>
        <w:tblLayout w:type="fixed"/>
        <w:tblCellMar>
          <w:left w:w="115" w:type="dxa"/>
          <w:right w:w="115" w:type="dxa"/>
        </w:tblCellMar>
        <w:tblLook w:val="04A0" w:firstRow="1" w:lastRow="0" w:firstColumn="1" w:lastColumn="0" w:noHBand="0" w:noVBand="1"/>
      </w:tblPr>
      <w:tblGrid>
        <w:gridCol w:w="1738"/>
        <w:gridCol w:w="1308"/>
        <w:gridCol w:w="1308"/>
        <w:gridCol w:w="1308"/>
        <w:gridCol w:w="1260"/>
        <w:gridCol w:w="1358"/>
        <w:gridCol w:w="1310"/>
      </w:tblGrid>
      <w:tr w:rsidR="002E420E" w:rsidRPr="000973F2" w14:paraId="33EF6041" w14:textId="77777777" w:rsidTr="002E420E">
        <w:trPr>
          <w:cnfStyle w:val="100000000000" w:firstRow="1" w:lastRow="0" w:firstColumn="0" w:lastColumn="0" w:oddVBand="0" w:evenVBand="0" w:oddHBand="0" w:evenHBand="0" w:firstRowFirstColumn="0" w:firstRowLastColumn="0" w:lastRowFirstColumn="0" w:lastRowLastColumn="0"/>
          <w:cantSplit/>
          <w:jc w:val="left"/>
        </w:trPr>
        <w:tc>
          <w:tcPr>
            <w:cnfStyle w:val="001000000000" w:firstRow="0" w:lastRow="0" w:firstColumn="1" w:lastColumn="0" w:oddVBand="0" w:evenVBand="0" w:oddHBand="0" w:evenHBand="0" w:firstRowFirstColumn="0" w:firstRowLastColumn="0" w:lastRowFirstColumn="0" w:lastRowLastColumn="0"/>
            <w:tcW w:w="906" w:type="pct"/>
            <w:vMerge w:val="restart"/>
            <w:noWrap/>
            <w:vAlign w:val="top"/>
            <w:hideMark/>
          </w:tcPr>
          <w:p w14:paraId="4C820718" w14:textId="2C60986E" w:rsidR="002E420E" w:rsidRPr="000973F2" w:rsidRDefault="002E420E" w:rsidP="002E420E">
            <w:pPr>
              <w:spacing w:before="30" w:after="30"/>
              <w:rPr>
                <w:rFonts w:ascii="Times New Roman" w:eastAsia="Times New Roman" w:hAnsi="Times New Roman" w:cs="Times New Roman"/>
                <w:bCs w:val="0"/>
                <w:sz w:val="18"/>
                <w:szCs w:val="18"/>
              </w:rPr>
            </w:pPr>
            <w:r w:rsidRPr="000973F2">
              <w:rPr>
                <w:rFonts w:ascii="Times New Roman" w:eastAsia="Times New Roman" w:hAnsi="Times New Roman" w:cs="Times New Roman"/>
                <w:bCs w:val="0"/>
                <w:sz w:val="18"/>
                <w:szCs w:val="18"/>
              </w:rPr>
              <w:t>Activity</w:t>
            </w:r>
          </w:p>
        </w:tc>
        <w:tc>
          <w:tcPr>
            <w:tcW w:w="2703" w:type="pct"/>
            <w:gridSpan w:val="4"/>
            <w:noWrap/>
            <w:vAlign w:val="top"/>
            <w:hideMark/>
          </w:tcPr>
          <w:p w14:paraId="3356EF19" w14:textId="77777777" w:rsidR="002E420E" w:rsidRPr="000973F2" w:rsidRDefault="002E420E" w:rsidP="002E420E">
            <w:pPr>
              <w:spacing w:before="30" w:after="30"/>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bCs w:val="0"/>
                <w:sz w:val="18"/>
                <w:szCs w:val="18"/>
              </w:rPr>
            </w:pPr>
            <w:r w:rsidRPr="000973F2">
              <w:rPr>
                <w:rFonts w:ascii="Times New Roman" w:eastAsia="Times New Roman" w:hAnsi="Times New Roman" w:cs="Times New Roman"/>
                <w:sz w:val="18"/>
                <w:szCs w:val="18"/>
              </w:rPr>
              <w:t>Cost Categories</w:t>
            </w:r>
          </w:p>
        </w:tc>
        <w:tc>
          <w:tcPr>
            <w:tcW w:w="1391" w:type="pct"/>
            <w:gridSpan w:val="2"/>
            <w:vAlign w:val="top"/>
            <w:hideMark/>
          </w:tcPr>
          <w:p w14:paraId="291F6195" w14:textId="3C414937" w:rsidR="002E420E" w:rsidRPr="000973F2" w:rsidRDefault="002E420E" w:rsidP="002E420E">
            <w:pPr>
              <w:spacing w:before="30" w:after="30"/>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bCs w:val="0"/>
                <w:sz w:val="18"/>
                <w:szCs w:val="18"/>
              </w:rPr>
            </w:pPr>
            <w:r w:rsidRPr="000973F2">
              <w:rPr>
                <w:rFonts w:ascii="Times New Roman" w:eastAsia="Times New Roman" w:hAnsi="Times New Roman" w:cs="Times New Roman"/>
                <w:sz w:val="18"/>
                <w:szCs w:val="18"/>
              </w:rPr>
              <w:t>Total Capital and O&amp;M Cost per Year per Reporter (2017$)</w:t>
            </w:r>
          </w:p>
        </w:tc>
      </w:tr>
      <w:tr w:rsidR="002E420E" w:rsidRPr="000973F2" w14:paraId="39946A94" w14:textId="77777777" w:rsidTr="002E420E">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906" w:type="pct"/>
            <w:vMerge/>
            <w:noWrap/>
            <w:hideMark/>
          </w:tcPr>
          <w:p w14:paraId="014C7043" w14:textId="3284D15D" w:rsidR="002E420E" w:rsidRPr="000973F2" w:rsidRDefault="002E420E" w:rsidP="002E420E">
            <w:pPr>
              <w:spacing w:before="30" w:after="30"/>
              <w:jc w:val="center"/>
              <w:rPr>
                <w:rFonts w:ascii="Times New Roman" w:eastAsia="Times New Roman" w:hAnsi="Times New Roman" w:cs="Times New Roman"/>
                <w:b/>
                <w:bCs w:val="0"/>
                <w:sz w:val="18"/>
                <w:szCs w:val="18"/>
              </w:rPr>
            </w:pPr>
          </w:p>
        </w:tc>
        <w:tc>
          <w:tcPr>
            <w:tcW w:w="682" w:type="pct"/>
            <w:hideMark/>
          </w:tcPr>
          <w:p w14:paraId="6C7B7B3A" w14:textId="77777777" w:rsidR="002E420E" w:rsidRPr="000973F2" w:rsidRDefault="002E420E" w:rsidP="002E420E">
            <w:pPr>
              <w:spacing w:before="30" w:after="3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18"/>
                <w:szCs w:val="18"/>
              </w:rPr>
            </w:pPr>
            <w:r w:rsidRPr="000973F2">
              <w:rPr>
                <w:rFonts w:ascii="Times New Roman" w:eastAsia="Times New Roman" w:hAnsi="Times New Roman" w:cs="Times New Roman"/>
                <w:b/>
                <w:bCs/>
                <w:sz w:val="18"/>
                <w:szCs w:val="18"/>
              </w:rPr>
              <w:t>Capital Cost (2017$)</w:t>
            </w:r>
          </w:p>
        </w:tc>
        <w:tc>
          <w:tcPr>
            <w:tcW w:w="682" w:type="pct"/>
            <w:hideMark/>
          </w:tcPr>
          <w:p w14:paraId="58334573" w14:textId="77777777" w:rsidR="002E420E" w:rsidRPr="000973F2" w:rsidRDefault="002E420E" w:rsidP="002E420E">
            <w:pPr>
              <w:spacing w:before="30" w:after="3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18"/>
                <w:szCs w:val="18"/>
              </w:rPr>
            </w:pPr>
            <w:r w:rsidRPr="000973F2">
              <w:rPr>
                <w:rFonts w:ascii="Times New Roman" w:eastAsia="Times New Roman" w:hAnsi="Times New Roman" w:cs="Times New Roman"/>
                <w:b/>
                <w:bCs/>
                <w:sz w:val="18"/>
                <w:szCs w:val="18"/>
              </w:rPr>
              <w:t>Equipment Lifetime</w:t>
            </w:r>
          </w:p>
        </w:tc>
        <w:tc>
          <w:tcPr>
            <w:tcW w:w="682" w:type="pct"/>
            <w:hideMark/>
          </w:tcPr>
          <w:p w14:paraId="41FC2904" w14:textId="77777777" w:rsidR="002E420E" w:rsidRPr="000973F2" w:rsidRDefault="002E420E" w:rsidP="002E420E">
            <w:pPr>
              <w:spacing w:before="30" w:after="3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18"/>
                <w:szCs w:val="18"/>
              </w:rPr>
            </w:pPr>
            <w:r w:rsidRPr="000973F2">
              <w:rPr>
                <w:rFonts w:ascii="Times New Roman" w:eastAsia="Times New Roman" w:hAnsi="Times New Roman" w:cs="Times New Roman"/>
                <w:b/>
                <w:bCs/>
                <w:sz w:val="18"/>
                <w:szCs w:val="18"/>
              </w:rPr>
              <w:t>Annualized Capital Cost (2017$/year)</w:t>
            </w:r>
          </w:p>
        </w:tc>
        <w:tc>
          <w:tcPr>
            <w:tcW w:w="656" w:type="pct"/>
            <w:hideMark/>
          </w:tcPr>
          <w:p w14:paraId="01BE48F0" w14:textId="77777777" w:rsidR="002E420E" w:rsidRPr="000973F2" w:rsidRDefault="002E420E" w:rsidP="002E420E">
            <w:pPr>
              <w:spacing w:before="30" w:after="3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18"/>
                <w:szCs w:val="18"/>
              </w:rPr>
            </w:pPr>
            <w:r w:rsidRPr="000973F2">
              <w:rPr>
                <w:rFonts w:ascii="Times New Roman" w:eastAsia="Times New Roman" w:hAnsi="Times New Roman" w:cs="Times New Roman"/>
                <w:b/>
                <w:bCs/>
                <w:sz w:val="18"/>
                <w:szCs w:val="18"/>
              </w:rPr>
              <w:t>O&amp;M Costs (2017$/year)</w:t>
            </w:r>
          </w:p>
        </w:tc>
        <w:tc>
          <w:tcPr>
            <w:tcW w:w="708" w:type="pct"/>
            <w:hideMark/>
          </w:tcPr>
          <w:p w14:paraId="7C00C16D" w14:textId="77777777" w:rsidR="002E420E" w:rsidRPr="000973F2" w:rsidRDefault="002E420E" w:rsidP="002E420E">
            <w:pPr>
              <w:spacing w:before="30" w:after="3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18"/>
                <w:szCs w:val="18"/>
              </w:rPr>
            </w:pPr>
            <w:r w:rsidRPr="000973F2">
              <w:rPr>
                <w:rFonts w:ascii="Times New Roman" w:eastAsia="Times New Roman" w:hAnsi="Times New Roman" w:cs="Times New Roman"/>
                <w:b/>
                <w:bCs/>
                <w:sz w:val="18"/>
                <w:szCs w:val="18"/>
              </w:rPr>
              <w:t>Initial Year</w:t>
            </w:r>
          </w:p>
        </w:tc>
        <w:tc>
          <w:tcPr>
            <w:tcW w:w="683" w:type="pct"/>
            <w:hideMark/>
          </w:tcPr>
          <w:p w14:paraId="4409732D" w14:textId="77777777" w:rsidR="002E420E" w:rsidRPr="000973F2" w:rsidRDefault="002E420E" w:rsidP="002E420E">
            <w:pPr>
              <w:spacing w:before="30" w:after="3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18"/>
                <w:szCs w:val="18"/>
              </w:rPr>
            </w:pPr>
            <w:r w:rsidRPr="000973F2">
              <w:rPr>
                <w:rFonts w:ascii="Times New Roman" w:eastAsia="Times New Roman" w:hAnsi="Times New Roman" w:cs="Times New Roman"/>
                <w:b/>
                <w:bCs/>
                <w:sz w:val="18"/>
                <w:szCs w:val="18"/>
              </w:rPr>
              <w:t>Subseq. Years</w:t>
            </w:r>
          </w:p>
        </w:tc>
      </w:tr>
      <w:tr w:rsidR="00C87A15" w:rsidRPr="000973F2" w14:paraId="33839E62" w14:textId="77777777" w:rsidTr="002E420E">
        <w:trPr>
          <w:cantSplit/>
        </w:trPr>
        <w:tc>
          <w:tcPr>
            <w:cnfStyle w:val="001000000000" w:firstRow="0" w:lastRow="0" w:firstColumn="1" w:lastColumn="0" w:oddVBand="0" w:evenVBand="0" w:oddHBand="0" w:evenHBand="0" w:firstRowFirstColumn="0" w:firstRowLastColumn="0" w:lastRowFirstColumn="0" w:lastRowLastColumn="0"/>
            <w:tcW w:w="906" w:type="pct"/>
            <w:tcMar>
              <w:right w:w="14" w:type="dxa"/>
            </w:tcMar>
            <w:hideMark/>
          </w:tcPr>
          <w:p w14:paraId="0DC97275" w14:textId="77777777" w:rsidR="00C87A15" w:rsidRPr="000973F2" w:rsidRDefault="00C87A15" w:rsidP="002E420E">
            <w:pPr>
              <w:spacing w:before="30" w:after="3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Equipment (selection, purchase, installation)</w:t>
            </w:r>
          </w:p>
        </w:tc>
        <w:tc>
          <w:tcPr>
            <w:tcW w:w="682" w:type="pct"/>
            <w:noWrap/>
            <w:hideMark/>
          </w:tcPr>
          <w:p w14:paraId="043898F2" w14:textId="77777777" w:rsidR="00C87A15" w:rsidRPr="000973F2" w:rsidRDefault="00C87A15" w:rsidP="002E420E">
            <w:pPr>
              <w:spacing w:before="30" w:after="3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$0</w:t>
            </w:r>
          </w:p>
        </w:tc>
        <w:tc>
          <w:tcPr>
            <w:tcW w:w="682" w:type="pct"/>
            <w:noWrap/>
            <w:hideMark/>
          </w:tcPr>
          <w:p w14:paraId="0A50365D" w14:textId="77777777" w:rsidR="00C87A15" w:rsidRPr="000973F2" w:rsidRDefault="00C87A15" w:rsidP="002E420E">
            <w:pPr>
              <w:spacing w:before="30" w:after="3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p>
        </w:tc>
        <w:tc>
          <w:tcPr>
            <w:tcW w:w="682" w:type="pct"/>
            <w:noWrap/>
            <w:hideMark/>
          </w:tcPr>
          <w:p w14:paraId="424234F9" w14:textId="77777777" w:rsidR="00C87A15" w:rsidRPr="000973F2" w:rsidRDefault="00C87A15" w:rsidP="002E420E">
            <w:pPr>
              <w:spacing w:before="30" w:after="3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$0</w:t>
            </w:r>
          </w:p>
        </w:tc>
        <w:tc>
          <w:tcPr>
            <w:tcW w:w="656" w:type="pct"/>
            <w:noWrap/>
            <w:hideMark/>
          </w:tcPr>
          <w:p w14:paraId="00F70E3A" w14:textId="77777777" w:rsidR="00C87A15" w:rsidRPr="000973F2" w:rsidRDefault="00C87A15" w:rsidP="002E420E">
            <w:pPr>
              <w:tabs>
                <w:tab w:val="decimal" w:pos="751"/>
              </w:tabs>
              <w:spacing w:before="30" w:after="3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$0</w:t>
            </w:r>
          </w:p>
        </w:tc>
        <w:tc>
          <w:tcPr>
            <w:tcW w:w="708" w:type="pct"/>
            <w:noWrap/>
            <w:hideMark/>
          </w:tcPr>
          <w:p w14:paraId="20E96B6A" w14:textId="77777777" w:rsidR="00C87A15" w:rsidRPr="000973F2" w:rsidRDefault="00C87A15" w:rsidP="002E420E">
            <w:pPr>
              <w:spacing w:before="30" w:after="3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$0</w:t>
            </w:r>
          </w:p>
        </w:tc>
        <w:tc>
          <w:tcPr>
            <w:tcW w:w="683" w:type="pct"/>
            <w:noWrap/>
            <w:hideMark/>
          </w:tcPr>
          <w:p w14:paraId="35CA78A8" w14:textId="77777777" w:rsidR="00C87A15" w:rsidRPr="000973F2" w:rsidRDefault="00C87A15" w:rsidP="002E420E">
            <w:pPr>
              <w:tabs>
                <w:tab w:val="decimal" w:pos="811"/>
              </w:tabs>
              <w:spacing w:before="30" w:after="3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$0</w:t>
            </w:r>
          </w:p>
        </w:tc>
      </w:tr>
      <w:tr w:rsidR="00C87A15" w:rsidRPr="000973F2" w14:paraId="57267169" w14:textId="77777777" w:rsidTr="002E420E">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906" w:type="pct"/>
            <w:tcMar>
              <w:right w:w="14" w:type="dxa"/>
            </w:tcMar>
            <w:hideMark/>
          </w:tcPr>
          <w:p w14:paraId="5B5FF38F" w14:textId="77777777" w:rsidR="00C87A15" w:rsidRPr="000973F2" w:rsidRDefault="00C87A15" w:rsidP="002E420E">
            <w:pPr>
              <w:spacing w:before="30" w:after="3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Performance testing</w:t>
            </w:r>
          </w:p>
        </w:tc>
        <w:tc>
          <w:tcPr>
            <w:tcW w:w="682" w:type="pct"/>
            <w:noWrap/>
            <w:hideMark/>
          </w:tcPr>
          <w:p w14:paraId="0B0FAC9D" w14:textId="77777777" w:rsidR="00C87A15" w:rsidRPr="000973F2" w:rsidRDefault="00C87A15" w:rsidP="002E420E">
            <w:pPr>
              <w:spacing w:before="30" w:after="3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$0</w:t>
            </w:r>
          </w:p>
        </w:tc>
        <w:tc>
          <w:tcPr>
            <w:tcW w:w="682" w:type="pct"/>
            <w:noWrap/>
            <w:hideMark/>
          </w:tcPr>
          <w:p w14:paraId="735DB995" w14:textId="41352FDE" w:rsidR="00C87A15" w:rsidRPr="000973F2" w:rsidRDefault="00C87A15" w:rsidP="002E420E">
            <w:pPr>
              <w:spacing w:before="30" w:after="3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p>
        </w:tc>
        <w:tc>
          <w:tcPr>
            <w:tcW w:w="682" w:type="pct"/>
            <w:noWrap/>
            <w:hideMark/>
          </w:tcPr>
          <w:p w14:paraId="6DA56BF5" w14:textId="77777777" w:rsidR="00C87A15" w:rsidRPr="000973F2" w:rsidRDefault="00C87A15" w:rsidP="002E420E">
            <w:pPr>
              <w:spacing w:before="30" w:after="3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$0</w:t>
            </w:r>
          </w:p>
        </w:tc>
        <w:tc>
          <w:tcPr>
            <w:tcW w:w="656" w:type="pct"/>
            <w:noWrap/>
            <w:hideMark/>
          </w:tcPr>
          <w:p w14:paraId="7E2B8651" w14:textId="77777777" w:rsidR="00C87A15" w:rsidRPr="000973F2" w:rsidRDefault="00C87A15" w:rsidP="002E420E">
            <w:pPr>
              <w:tabs>
                <w:tab w:val="decimal" w:pos="751"/>
              </w:tabs>
              <w:spacing w:before="30" w:after="3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$0</w:t>
            </w:r>
          </w:p>
        </w:tc>
        <w:tc>
          <w:tcPr>
            <w:tcW w:w="708" w:type="pct"/>
            <w:noWrap/>
            <w:hideMark/>
          </w:tcPr>
          <w:p w14:paraId="66CCDC6A" w14:textId="77777777" w:rsidR="00C87A15" w:rsidRPr="000973F2" w:rsidRDefault="00C87A15" w:rsidP="002E420E">
            <w:pPr>
              <w:spacing w:before="30" w:after="3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$0</w:t>
            </w:r>
          </w:p>
        </w:tc>
        <w:tc>
          <w:tcPr>
            <w:tcW w:w="683" w:type="pct"/>
            <w:noWrap/>
            <w:hideMark/>
          </w:tcPr>
          <w:p w14:paraId="5C30CC9C" w14:textId="77777777" w:rsidR="00C87A15" w:rsidRPr="000973F2" w:rsidRDefault="00C87A15" w:rsidP="002E420E">
            <w:pPr>
              <w:tabs>
                <w:tab w:val="decimal" w:pos="811"/>
              </w:tabs>
              <w:spacing w:before="30" w:after="3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$0</w:t>
            </w:r>
          </w:p>
        </w:tc>
      </w:tr>
      <w:tr w:rsidR="00C87A15" w:rsidRPr="000973F2" w14:paraId="30F6F63C" w14:textId="77777777" w:rsidTr="002E420E">
        <w:trPr>
          <w:cantSplit/>
        </w:trPr>
        <w:tc>
          <w:tcPr>
            <w:cnfStyle w:val="001000000000" w:firstRow="0" w:lastRow="0" w:firstColumn="1" w:lastColumn="0" w:oddVBand="0" w:evenVBand="0" w:oddHBand="0" w:evenHBand="0" w:firstRowFirstColumn="0" w:firstRowLastColumn="0" w:lastRowFirstColumn="0" w:lastRowLastColumn="0"/>
            <w:tcW w:w="906" w:type="pct"/>
            <w:tcMar>
              <w:right w:w="14" w:type="dxa"/>
            </w:tcMar>
            <w:hideMark/>
          </w:tcPr>
          <w:p w14:paraId="78D9A2D5" w14:textId="77777777" w:rsidR="00C87A15" w:rsidRPr="000973F2" w:rsidRDefault="00C87A15" w:rsidP="002E420E">
            <w:pPr>
              <w:spacing w:before="30" w:after="3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Recordkeeping</w:t>
            </w:r>
          </w:p>
        </w:tc>
        <w:tc>
          <w:tcPr>
            <w:tcW w:w="682" w:type="pct"/>
            <w:noWrap/>
            <w:hideMark/>
          </w:tcPr>
          <w:p w14:paraId="5048AF7A" w14:textId="77777777" w:rsidR="00C87A15" w:rsidRPr="000973F2" w:rsidRDefault="00C87A15" w:rsidP="002E420E">
            <w:pPr>
              <w:spacing w:before="30" w:after="3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$0</w:t>
            </w:r>
          </w:p>
        </w:tc>
        <w:tc>
          <w:tcPr>
            <w:tcW w:w="682" w:type="pct"/>
            <w:noWrap/>
            <w:hideMark/>
          </w:tcPr>
          <w:p w14:paraId="0F80BCF5" w14:textId="307A256D" w:rsidR="00C87A15" w:rsidRPr="000973F2" w:rsidRDefault="00C87A15" w:rsidP="002E420E">
            <w:pPr>
              <w:spacing w:before="30" w:after="3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p>
        </w:tc>
        <w:tc>
          <w:tcPr>
            <w:tcW w:w="682" w:type="pct"/>
            <w:noWrap/>
            <w:hideMark/>
          </w:tcPr>
          <w:p w14:paraId="58DDAA1E" w14:textId="77777777" w:rsidR="00C87A15" w:rsidRPr="000973F2" w:rsidRDefault="00C87A15" w:rsidP="002E420E">
            <w:pPr>
              <w:spacing w:before="30" w:after="3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$0</w:t>
            </w:r>
          </w:p>
        </w:tc>
        <w:tc>
          <w:tcPr>
            <w:tcW w:w="656" w:type="pct"/>
            <w:noWrap/>
            <w:hideMark/>
          </w:tcPr>
          <w:p w14:paraId="4AD413B2" w14:textId="77777777" w:rsidR="00C87A15" w:rsidRPr="000973F2" w:rsidRDefault="00C87A15" w:rsidP="002E420E">
            <w:pPr>
              <w:tabs>
                <w:tab w:val="decimal" w:pos="751"/>
              </w:tabs>
              <w:spacing w:before="30" w:after="3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$50</w:t>
            </w:r>
          </w:p>
        </w:tc>
        <w:tc>
          <w:tcPr>
            <w:tcW w:w="708" w:type="pct"/>
            <w:noWrap/>
            <w:hideMark/>
          </w:tcPr>
          <w:p w14:paraId="4504627D" w14:textId="77777777" w:rsidR="00C87A15" w:rsidRPr="000973F2" w:rsidRDefault="00C87A15" w:rsidP="002E420E">
            <w:pPr>
              <w:spacing w:before="30" w:after="3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$0</w:t>
            </w:r>
          </w:p>
        </w:tc>
        <w:tc>
          <w:tcPr>
            <w:tcW w:w="683" w:type="pct"/>
            <w:noWrap/>
            <w:hideMark/>
          </w:tcPr>
          <w:p w14:paraId="5443328C" w14:textId="77777777" w:rsidR="00C87A15" w:rsidRPr="000973F2" w:rsidRDefault="00C87A15" w:rsidP="002E420E">
            <w:pPr>
              <w:tabs>
                <w:tab w:val="decimal" w:pos="811"/>
              </w:tabs>
              <w:spacing w:before="30" w:after="3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$50</w:t>
            </w:r>
          </w:p>
        </w:tc>
      </w:tr>
      <w:tr w:rsidR="00C87A15" w:rsidRPr="000973F2" w14:paraId="1F226337" w14:textId="77777777" w:rsidTr="002E420E">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906" w:type="pct"/>
            <w:tcMar>
              <w:right w:w="14" w:type="dxa"/>
            </w:tcMar>
            <w:hideMark/>
          </w:tcPr>
          <w:p w14:paraId="0D511951" w14:textId="77777777" w:rsidR="00C87A15" w:rsidRPr="000973F2" w:rsidRDefault="00C87A15" w:rsidP="002E420E">
            <w:pPr>
              <w:spacing w:before="30" w:after="3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Travel</w:t>
            </w:r>
          </w:p>
        </w:tc>
        <w:tc>
          <w:tcPr>
            <w:tcW w:w="682" w:type="pct"/>
            <w:noWrap/>
            <w:hideMark/>
          </w:tcPr>
          <w:p w14:paraId="7B44F0C5" w14:textId="77777777" w:rsidR="00C87A15" w:rsidRPr="000973F2" w:rsidRDefault="00C87A15" w:rsidP="002E420E">
            <w:pPr>
              <w:spacing w:before="30" w:after="3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$0</w:t>
            </w:r>
          </w:p>
        </w:tc>
        <w:tc>
          <w:tcPr>
            <w:tcW w:w="682" w:type="pct"/>
            <w:noWrap/>
            <w:hideMark/>
          </w:tcPr>
          <w:p w14:paraId="1ED5A630" w14:textId="58FA8EE7" w:rsidR="00C87A15" w:rsidRPr="000973F2" w:rsidRDefault="00C87A15" w:rsidP="002E420E">
            <w:pPr>
              <w:spacing w:before="30" w:after="3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p>
        </w:tc>
        <w:tc>
          <w:tcPr>
            <w:tcW w:w="682" w:type="pct"/>
            <w:noWrap/>
            <w:hideMark/>
          </w:tcPr>
          <w:p w14:paraId="05553338" w14:textId="77777777" w:rsidR="00C87A15" w:rsidRPr="000973F2" w:rsidRDefault="00C87A15" w:rsidP="002E420E">
            <w:pPr>
              <w:spacing w:before="30" w:after="3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$0</w:t>
            </w:r>
          </w:p>
        </w:tc>
        <w:tc>
          <w:tcPr>
            <w:tcW w:w="656" w:type="pct"/>
            <w:noWrap/>
            <w:hideMark/>
          </w:tcPr>
          <w:p w14:paraId="309A8C2A" w14:textId="77777777" w:rsidR="00C87A15" w:rsidRPr="000973F2" w:rsidRDefault="00C87A15" w:rsidP="002E420E">
            <w:pPr>
              <w:tabs>
                <w:tab w:val="decimal" w:pos="751"/>
              </w:tabs>
              <w:spacing w:before="30" w:after="3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$0</w:t>
            </w:r>
          </w:p>
        </w:tc>
        <w:tc>
          <w:tcPr>
            <w:tcW w:w="708" w:type="pct"/>
            <w:noWrap/>
            <w:hideMark/>
          </w:tcPr>
          <w:p w14:paraId="33FFF02A" w14:textId="77777777" w:rsidR="00C87A15" w:rsidRPr="000973F2" w:rsidRDefault="00C87A15" w:rsidP="002E420E">
            <w:pPr>
              <w:spacing w:before="30" w:after="3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$0</w:t>
            </w:r>
          </w:p>
        </w:tc>
        <w:tc>
          <w:tcPr>
            <w:tcW w:w="683" w:type="pct"/>
            <w:noWrap/>
            <w:hideMark/>
          </w:tcPr>
          <w:p w14:paraId="7CAD4AFA" w14:textId="77777777" w:rsidR="00C87A15" w:rsidRPr="000973F2" w:rsidRDefault="00C87A15" w:rsidP="002E420E">
            <w:pPr>
              <w:tabs>
                <w:tab w:val="decimal" w:pos="811"/>
              </w:tabs>
              <w:spacing w:before="30" w:after="3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$0</w:t>
            </w:r>
          </w:p>
        </w:tc>
      </w:tr>
      <w:tr w:rsidR="00C87A15" w:rsidRPr="000973F2" w14:paraId="6747525D" w14:textId="77777777" w:rsidTr="002E420E">
        <w:trPr>
          <w:cantSplit/>
        </w:trPr>
        <w:tc>
          <w:tcPr>
            <w:cnfStyle w:val="001000000000" w:firstRow="0" w:lastRow="0" w:firstColumn="1" w:lastColumn="0" w:oddVBand="0" w:evenVBand="0" w:oddHBand="0" w:evenHBand="0" w:firstRowFirstColumn="0" w:firstRowLastColumn="0" w:lastRowFirstColumn="0" w:lastRowLastColumn="0"/>
            <w:tcW w:w="906" w:type="pct"/>
            <w:tcMar>
              <w:right w:w="14" w:type="dxa"/>
            </w:tcMar>
            <w:hideMark/>
          </w:tcPr>
          <w:p w14:paraId="0544FB58" w14:textId="77777777" w:rsidR="00C87A15" w:rsidRPr="000973F2" w:rsidRDefault="00C87A15" w:rsidP="002E420E">
            <w:pPr>
              <w:spacing w:before="30" w:after="3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Sampling and Analysis Costs</w:t>
            </w:r>
          </w:p>
        </w:tc>
        <w:tc>
          <w:tcPr>
            <w:tcW w:w="682" w:type="pct"/>
            <w:noWrap/>
            <w:hideMark/>
          </w:tcPr>
          <w:p w14:paraId="426B0196" w14:textId="77777777" w:rsidR="00C87A15" w:rsidRPr="000973F2" w:rsidRDefault="00C87A15" w:rsidP="002E420E">
            <w:pPr>
              <w:spacing w:before="30" w:after="3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$0</w:t>
            </w:r>
          </w:p>
        </w:tc>
        <w:tc>
          <w:tcPr>
            <w:tcW w:w="682" w:type="pct"/>
            <w:noWrap/>
            <w:hideMark/>
          </w:tcPr>
          <w:p w14:paraId="1E28AE30" w14:textId="1F4918A0" w:rsidR="00C87A15" w:rsidRPr="000973F2" w:rsidRDefault="00C87A15" w:rsidP="002E420E">
            <w:pPr>
              <w:spacing w:before="30" w:after="3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p>
        </w:tc>
        <w:tc>
          <w:tcPr>
            <w:tcW w:w="682" w:type="pct"/>
            <w:noWrap/>
            <w:hideMark/>
          </w:tcPr>
          <w:p w14:paraId="19AF20FC" w14:textId="77777777" w:rsidR="00C87A15" w:rsidRPr="000973F2" w:rsidRDefault="00C87A15" w:rsidP="002E420E">
            <w:pPr>
              <w:spacing w:before="30" w:after="3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$0</w:t>
            </w:r>
          </w:p>
        </w:tc>
        <w:tc>
          <w:tcPr>
            <w:tcW w:w="656" w:type="pct"/>
            <w:noWrap/>
            <w:hideMark/>
          </w:tcPr>
          <w:p w14:paraId="6E912A34" w14:textId="77777777" w:rsidR="00C87A15" w:rsidRPr="000973F2" w:rsidRDefault="00C87A15" w:rsidP="002E420E">
            <w:pPr>
              <w:tabs>
                <w:tab w:val="decimal" w:pos="751"/>
              </w:tabs>
              <w:spacing w:before="30" w:after="3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$27,572</w:t>
            </w:r>
          </w:p>
        </w:tc>
        <w:tc>
          <w:tcPr>
            <w:tcW w:w="708" w:type="pct"/>
            <w:noWrap/>
            <w:hideMark/>
          </w:tcPr>
          <w:p w14:paraId="520CF1BE" w14:textId="77777777" w:rsidR="00C87A15" w:rsidRPr="000973F2" w:rsidRDefault="00C87A15" w:rsidP="002E420E">
            <w:pPr>
              <w:spacing w:before="30" w:after="3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$0</w:t>
            </w:r>
          </w:p>
        </w:tc>
        <w:tc>
          <w:tcPr>
            <w:tcW w:w="683" w:type="pct"/>
            <w:noWrap/>
            <w:hideMark/>
          </w:tcPr>
          <w:p w14:paraId="55A2F2BE" w14:textId="77777777" w:rsidR="00C87A15" w:rsidRPr="000973F2" w:rsidRDefault="00C87A15" w:rsidP="002E420E">
            <w:pPr>
              <w:tabs>
                <w:tab w:val="decimal" w:pos="811"/>
              </w:tabs>
              <w:spacing w:before="30" w:after="3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$27,572</w:t>
            </w:r>
          </w:p>
        </w:tc>
      </w:tr>
      <w:tr w:rsidR="00C87A15" w:rsidRPr="000973F2" w14:paraId="392D2364" w14:textId="77777777" w:rsidTr="002E420E">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906" w:type="pct"/>
            <w:tcMar>
              <w:right w:w="14" w:type="dxa"/>
            </w:tcMar>
            <w:hideMark/>
          </w:tcPr>
          <w:p w14:paraId="362FB6D7" w14:textId="77777777" w:rsidR="00C87A15" w:rsidRPr="000973F2" w:rsidRDefault="00C87A15" w:rsidP="002E420E">
            <w:pPr>
              <w:spacing w:before="30" w:after="30"/>
              <w:rPr>
                <w:rFonts w:ascii="Times New Roman" w:eastAsia="Times New Roman" w:hAnsi="Times New Roman" w:cs="Times New Roman"/>
                <w:b/>
                <w:bCs w:val="0"/>
                <w:sz w:val="18"/>
                <w:szCs w:val="18"/>
              </w:rPr>
            </w:pPr>
            <w:r w:rsidRPr="000973F2">
              <w:rPr>
                <w:rFonts w:ascii="Times New Roman" w:eastAsia="Times New Roman" w:hAnsi="Times New Roman" w:cs="Times New Roman"/>
                <w:b/>
                <w:sz w:val="18"/>
                <w:szCs w:val="18"/>
              </w:rPr>
              <w:t xml:space="preserve">Total </w:t>
            </w:r>
          </w:p>
        </w:tc>
        <w:tc>
          <w:tcPr>
            <w:tcW w:w="682" w:type="pct"/>
            <w:noWrap/>
            <w:hideMark/>
          </w:tcPr>
          <w:p w14:paraId="5F863603" w14:textId="77777777" w:rsidR="00C87A15" w:rsidRPr="000973F2" w:rsidRDefault="00C87A15" w:rsidP="002E420E">
            <w:pPr>
              <w:spacing w:before="30" w:after="3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sz w:val="18"/>
                <w:szCs w:val="18"/>
              </w:rPr>
            </w:pPr>
            <w:r w:rsidRPr="000973F2">
              <w:rPr>
                <w:rFonts w:ascii="Times New Roman" w:eastAsia="Times New Roman" w:hAnsi="Times New Roman" w:cs="Times New Roman"/>
                <w:b/>
                <w:sz w:val="18"/>
                <w:szCs w:val="18"/>
              </w:rPr>
              <w:t>$0</w:t>
            </w:r>
          </w:p>
        </w:tc>
        <w:tc>
          <w:tcPr>
            <w:tcW w:w="682" w:type="pct"/>
            <w:noWrap/>
            <w:hideMark/>
          </w:tcPr>
          <w:p w14:paraId="3AD2FE1C" w14:textId="52426A65" w:rsidR="00C87A15" w:rsidRPr="000973F2" w:rsidRDefault="00C87A15" w:rsidP="002E420E">
            <w:pPr>
              <w:spacing w:before="30" w:after="3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sz w:val="18"/>
                <w:szCs w:val="18"/>
              </w:rPr>
            </w:pPr>
          </w:p>
        </w:tc>
        <w:tc>
          <w:tcPr>
            <w:tcW w:w="682" w:type="pct"/>
            <w:noWrap/>
            <w:hideMark/>
          </w:tcPr>
          <w:p w14:paraId="4B6B5D06" w14:textId="77777777" w:rsidR="00C87A15" w:rsidRPr="000973F2" w:rsidRDefault="00C87A15" w:rsidP="002E420E">
            <w:pPr>
              <w:spacing w:before="30" w:after="3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sz w:val="18"/>
                <w:szCs w:val="18"/>
              </w:rPr>
            </w:pPr>
            <w:r w:rsidRPr="000973F2">
              <w:rPr>
                <w:rFonts w:ascii="Times New Roman" w:eastAsia="Times New Roman" w:hAnsi="Times New Roman" w:cs="Times New Roman"/>
                <w:b/>
                <w:sz w:val="18"/>
                <w:szCs w:val="18"/>
              </w:rPr>
              <w:t>$0</w:t>
            </w:r>
          </w:p>
        </w:tc>
        <w:tc>
          <w:tcPr>
            <w:tcW w:w="656" w:type="pct"/>
            <w:noWrap/>
            <w:hideMark/>
          </w:tcPr>
          <w:p w14:paraId="70DC9BC0" w14:textId="77777777" w:rsidR="00C87A15" w:rsidRPr="000973F2" w:rsidRDefault="00C87A15" w:rsidP="002E420E">
            <w:pPr>
              <w:tabs>
                <w:tab w:val="decimal" w:pos="751"/>
              </w:tabs>
              <w:spacing w:before="30" w:after="3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sz w:val="18"/>
                <w:szCs w:val="18"/>
              </w:rPr>
            </w:pPr>
            <w:r w:rsidRPr="000973F2">
              <w:rPr>
                <w:rFonts w:ascii="Times New Roman" w:eastAsia="Times New Roman" w:hAnsi="Times New Roman" w:cs="Times New Roman"/>
                <w:b/>
                <w:sz w:val="18"/>
                <w:szCs w:val="18"/>
              </w:rPr>
              <w:t>$27,622</w:t>
            </w:r>
          </w:p>
        </w:tc>
        <w:tc>
          <w:tcPr>
            <w:tcW w:w="708" w:type="pct"/>
            <w:noWrap/>
            <w:hideMark/>
          </w:tcPr>
          <w:p w14:paraId="5A4FF628" w14:textId="77777777" w:rsidR="00C87A15" w:rsidRPr="000973F2" w:rsidRDefault="00C87A15" w:rsidP="002E420E">
            <w:pPr>
              <w:spacing w:before="30" w:after="3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sz w:val="18"/>
                <w:szCs w:val="18"/>
              </w:rPr>
            </w:pPr>
            <w:r w:rsidRPr="000973F2">
              <w:rPr>
                <w:rFonts w:ascii="Times New Roman" w:eastAsia="Times New Roman" w:hAnsi="Times New Roman" w:cs="Times New Roman"/>
                <w:b/>
                <w:sz w:val="18"/>
                <w:szCs w:val="18"/>
              </w:rPr>
              <w:t>$0</w:t>
            </w:r>
          </w:p>
        </w:tc>
        <w:tc>
          <w:tcPr>
            <w:tcW w:w="683" w:type="pct"/>
            <w:noWrap/>
            <w:hideMark/>
          </w:tcPr>
          <w:p w14:paraId="48A33B77" w14:textId="77777777" w:rsidR="00C87A15" w:rsidRPr="000973F2" w:rsidRDefault="00C87A15" w:rsidP="002E420E">
            <w:pPr>
              <w:tabs>
                <w:tab w:val="decimal" w:pos="811"/>
              </w:tabs>
              <w:spacing w:before="30" w:after="3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sz w:val="18"/>
                <w:szCs w:val="18"/>
              </w:rPr>
            </w:pPr>
            <w:r w:rsidRPr="000973F2">
              <w:rPr>
                <w:rFonts w:ascii="Times New Roman" w:eastAsia="Times New Roman" w:hAnsi="Times New Roman" w:cs="Times New Roman"/>
                <w:b/>
                <w:sz w:val="18"/>
                <w:szCs w:val="18"/>
              </w:rPr>
              <w:t>$27,622</w:t>
            </w:r>
          </w:p>
        </w:tc>
      </w:tr>
    </w:tbl>
    <w:p w14:paraId="7BDCCC6B" w14:textId="432090BC" w:rsidR="002A3F0C" w:rsidRPr="000973F2" w:rsidRDefault="002A3F0C" w:rsidP="00C00E4F">
      <w:pPr>
        <w:spacing w:line="240" w:lineRule="auto"/>
        <w:rPr>
          <w:rFonts w:ascii="Times New Roman" w:hAnsi="Times New Roman" w:cs="Times New Roman"/>
          <w:sz w:val="20"/>
          <w:szCs w:val="20"/>
        </w:rPr>
      </w:pPr>
      <w:r w:rsidRPr="000973F2">
        <w:rPr>
          <w:rFonts w:ascii="Times New Roman" w:hAnsi="Times New Roman" w:cs="Times New Roman"/>
          <w:sz w:val="20"/>
          <w:szCs w:val="20"/>
        </w:rPr>
        <w:br w:type="page"/>
      </w:r>
    </w:p>
    <w:p w14:paraId="609B2B5E" w14:textId="26854174" w:rsidR="00AB6F50" w:rsidRPr="000973F2" w:rsidRDefault="00AB6F50" w:rsidP="0061585D">
      <w:pPr>
        <w:pStyle w:val="Heading2"/>
      </w:pPr>
      <w:r w:rsidRPr="000973F2">
        <w:t xml:space="preserve">Labor Costs for Subpart W </w:t>
      </w:r>
      <w:r w:rsidR="002E420E" w:rsidRPr="000973F2">
        <w:t>–</w:t>
      </w:r>
      <w:r w:rsidRPr="000973F2">
        <w:t xml:space="preserve"> LNG Storage</w:t>
      </w:r>
    </w:p>
    <w:p w14:paraId="3BDB90C9" w14:textId="0E2E6226" w:rsidR="00AB6F50" w:rsidRPr="000973F2" w:rsidRDefault="00AB6F50" w:rsidP="002E420E">
      <w:pPr>
        <w:pStyle w:val="BodyText"/>
      </w:pPr>
      <w:r w:rsidRPr="000973F2">
        <w:t xml:space="preserve">Table </w:t>
      </w:r>
      <w:r w:rsidR="002E420E" w:rsidRPr="000973F2">
        <w:t>W-</w:t>
      </w:r>
      <w:r w:rsidRPr="000973F2">
        <w:t>1f below includes the labor hours for each of the 6 existing reporters in the LNG Storage industry segment to comply with Subpart W according to §98.232(g). Typical activities related to planning, QA/QC, recordkeeping and reporting, and sampling and analysis (which includes emission calculations) are discussed in the Cost Appendix Introduction. Calculations required for this industry segment are detailed in §98.233, based on the emission sources listed in §98.232(g).</w:t>
      </w:r>
    </w:p>
    <w:p w14:paraId="642587E4" w14:textId="288C75B8" w:rsidR="00AB6F50" w:rsidRPr="000973F2" w:rsidRDefault="00AB6F50" w:rsidP="0061585D">
      <w:pPr>
        <w:pStyle w:val="Heading2"/>
      </w:pPr>
      <w:r w:rsidRPr="000973F2">
        <w:t xml:space="preserve">Capital and O&amp;M Costs for Subpart W </w:t>
      </w:r>
      <w:r w:rsidR="002E420E" w:rsidRPr="000973F2">
        <w:t>–</w:t>
      </w:r>
      <w:r w:rsidRPr="000973F2">
        <w:t xml:space="preserve"> LNG Storage</w:t>
      </w:r>
    </w:p>
    <w:p w14:paraId="0EDB337C" w14:textId="00652075" w:rsidR="00AB6F50" w:rsidRPr="000973F2" w:rsidRDefault="00AB6F50" w:rsidP="00D471E9">
      <w:pPr>
        <w:pStyle w:val="BodyText"/>
      </w:pPr>
      <w:r w:rsidRPr="000973F2">
        <w:t xml:space="preserve">Table </w:t>
      </w:r>
      <w:r w:rsidR="00D471E9" w:rsidRPr="000973F2">
        <w:t>W-</w:t>
      </w:r>
      <w:r w:rsidRPr="000973F2">
        <w:t>2f below includes the capital and O&amp;M costs for each of the 6 reporters in the LNG Storage industry segment to comply with Subpart W. Typical costs related to equipment, performance testing, recordkeeping, and travel are discussed in the Cost Appendix Introduction.</w:t>
      </w:r>
    </w:p>
    <w:p w14:paraId="0A52E6FB" w14:textId="77777777" w:rsidR="00AB6F50" w:rsidRPr="000973F2" w:rsidRDefault="00AB6F50" w:rsidP="00D471E9">
      <w:pPr>
        <w:pStyle w:val="BodyText"/>
      </w:pPr>
      <w:r w:rsidRPr="000973F2">
        <w:t>Sampling costs for this industry segment are related to the use of EPA Method 21 to conduct equipment leak surveys, and the hiring of contractors to conduct leak measurements for reciprocating and centrifugal compressors.</w:t>
      </w:r>
    </w:p>
    <w:p w14:paraId="17AC08B0" w14:textId="49C5200E" w:rsidR="00AB6F50" w:rsidRPr="000973F2" w:rsidRDefault="00AB6F50" w:rsidP="00D471E9">
      <w:pPr>
        <w:pStyle w:val="Tabletitle"/>
      </w:pPr>
      <w:r w:rsidRPr="000973F2">
        <w:t xml:space="preserve">Table </w:t>
      </w:r>
      <w:r w:rsidR="00D471E9" w:rsidRPr="000973F2">
        <w:t>W-</w:t>
      </w:r>
      <w:r w:rsidRPr="000973F2">
        <w:t xml:space="preserve">1f. </w:t>
      </w:r>
      <w:r w:rsidR="001F4582" w:rsidRPr="000973F2">
        <w:t xml:space="preserve">Labor Costs </w:t>
      </w:r>
      <w:r w:rsidR="00B960CC" w:rsidRPr="000973F2">
        <w:t>–</w:t>
      </w:r>
      <w:r w:rsidR="001F4582" w:rsidRPr="000973F2">
        <w:t xml:space="preserve"> </w:t>
      </w:r>
      <w:r w:rsidRPr="000973F2">
        <w:t>Subpart W –LNG Storage</w:t>
      </w:r>
    </w:p>
    <w:tbl>
      <w:tblPr>
        <w:tblStyle w:val="PlainTable1"/>
        <w:tblW w:w="5000" w:type="pct"/>
        <w:jc w:val="left"/>
        <w:tblLayout w:type="fixed"/>
        <w:tblCellMar>
          <w:left w:w="115" w:type="dxa"/>
          <w:right w:w="115" w:type="dxa"/>
        </w:tblCellMar>
        <w:tblLook w:val="04A0" w:firstRow="1" w:lastRow="0" w:firstColumn="1" w:lastColumn="0" w:noHBand="0" w:noVBand="1"/>
      </w:tblPr>
      <w:tblGrid>
        <w:gridCol w:w="1279"/>
        <w:gridCol w:w="687"/>
        <w:gridCol w:w="688"/>
        <w:gridCol w:w="688"/>
        <w:gridCol w:w="688"/>
        <w:gridCol w:w="689"/>
        <w:gridCol w:w="689"/>
        <w:gridCol w:w="688"/>
        <w:gridCol w:w="689"/>
        <w:gridCol w:w="689"/>
        <w:gridCol w:w="689"/>
        <w:gridCol w:w="610"/>
        <w:gridCol w:w="817"/>
      </w:tblGrid>
      <w:tr w:rsidR="00AB6F50" w:rsidRPr="000973F2" w14:paraId="74634E6A" w14:textId="77777777" w:rsidTr="00D471E9">
        <w:trPr>
          <w:cnfStyle w:val="100000000000" w:firstRow="1" w:lastRow="0" w:firstColumn="0" w:lastColumn="0" w:oddVBand="0" w:evenVBand="0" w:oddHBand="0" w:evenHBand="0" w:firstRowFirstColumn="0" w:firstRowLastColumn="0" w:lastRowFirstColumn="0" w:lastRowLastColumn="0"/>
          <w:cantSplit/>
          <w:jc w:val="left"/>
        </w:trPr>
        <w:tc>
          <w:tcPr>
            <w:cnfStyle w:val="001000000000" w:firstRow="0" w:lastRow="0" w:firstColumn="1" w:lastColumn="0" w:oddVBand="0" w:evenVBand="0" w:oddHBand="0" w:evenHBand="0" w:firstRowFirstColumn="0" w:firstRowLastColumn="0" w:lastRowFirstColumn="0" w:lastRowLastColumn="0"/>
            <w:tcW w:w="1245" w:type="dxa"/>
            <w:vMerge w:val="restart"/>
            <w:noWrap/>
            <w:vAlign w:val="top"/>
            <w:hideMark/>
          </w:tcPr>
          <w:p w14:paraId="3DD5F798" w14:textId="77777777" w:rsidR="00AB6F50" w:rsidRPr="000973F2" w:rsidRDefault="00AB6F50" w:rsidP="00D471E9">
            <w:pPr>
              <w:spacing w:before="40" w:after="40"/>
              <w:rPr>
                <w:rFonts w:ascii="Times New Roman" w:eastAsia="Times New Roman" w:hAnsi="Times New Roman" w:cs="Times New Roman"/>
                <w:b w:val="0"/>
                <w:bCs w:val="0"/>
                <w:sz w:val="18"/>
                <w:szCs w:val="18"/>
              </w:rPr>
            </w:pPr>
            <w:r w:rsidRPr="000973F2">
              <w:rPr>
                <w:rFonts w:ascii="Times New Roman" w:eastAsia="Times New Roman" w:hAnsi="Times New Roman" w:cs="Times New Roman"/>
                <w:sz w:val="18"/>
                <w:szCs w:val="18"/>
              </w:rPr>
              <w:t>Activity</w:t>
            </w:r>
          </w:p>
        </w:tc>
        <w:tc>
          <w:tcPr>
            <w:tcW w:w="6697" w:type="dxa"/>
            <w:gridSpan w:val="10"/>
            <w:noWrap/>
            <w:vAlign w:val="top"/>
            <w:hideMark/>
          </w:tcPr>
          <w:p w14:paraId="548849C6" w14:textId="77777777" w:rsidR="00AB6F50" w:rsidRPr="000973F2" w:rsidRDefault="00AB6F50" w:rsidP="00D471E9">
            <w:pPr>
              <w:spacing w:before="40" w:after="40"/>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bCs w:val="0"/>
                <w:sz w:val="18"/>
                <w:szCs w:val="18"/>
              </w:rPr>
            </w:pPr>
            <w:r w:rsidRPr="000973F2">
              <w:rPr>
                <w:rFonts w:ascii="Times New Roman" w:eastAsia="Times New Roman" w:hAnsi="Times New Roman" w:cs="Times New Roman"/>
                <w:sz w:val="18"/>
                <w:szCs w:val="18"/>
              </w:rPr>
              <w:t>Labor Rates (per hour)</w:t>
            </w:r>
          </w:p>
        </w:tc>
        <w:tc>
          <w:tcPr>
            <w:tcW w:w="1388" w:type="dxa"/>
            <w:gridSpan w:val="2"/>
            <w:vMerge w:val="restart"/>
            <w:vAlign w:val="top"/>
            <w:hideMark/>
          </w:tcPr>
          <w:p w14:paraId="0B831CAE" w14:textId="77777777" w:rsidR="00AB6F50" w:rsidRPr="000973F2" w:rsidRDefault="00AB6F50" w:rsidP="00D471E9">
            <w:pPr>
              <w:spacing w:before="40" w:after="40"/>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bCs w:val="0"/>
                <w:sz w:val="18"/>
                <w:szCs w:val="18"/>
              </w:rPr>
            </w:pPr>
            <w:r w:rsidRPr="000973F2">
              <w:rPr>
                <w:rFonts w:ascii="Times New Roman" w:eastAsia="Times New Roman" w:hAnsi="Times New Roman" w:cs="Times New Roman"/>
                <w:sz w:val="18"/>
                <w:szCs w:val="18"/>
              </w:rPr>
              <w:t>Total Labor Cost per Year per Reporter</w:t>
            </w:r>
          </w:p>
          <w:p w14:paraId="3FEFFA54" w14:textId="77777777" w:rsidR="00AB6F50" w:rsidRPr="000973F2" w:rsidRDefault="00AB6F50" w:rsidP="00D471E9">
            <w:pPr>
              <w:spacing w:before="40" w:after="40"/>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bCs w:val="0"/>
                <w:sz w:val="18"/>
                <w:szCs w:val="18"/>
              </w:rPr>
            </w:pPr>
            <w:r w:rsidRPr="000973F2">
              <w:rPr>
                <w:rFonts w:ascii="Times New Roman" w:eastAsia="Times New Roman" w:hAnsi="Times New Roman" w:cs="Times New Roman"/>
                <w:sz w:val="18"/>
                <w:szCs w:val="18"/>
              </w:rPr>
              <w:t>(2017$)</w:t>
            </w:r>
          </w:p>
        </w:tc>
      </w:tr>
      <w:tr w:rsidR="00AD5834" w:rsidRPr="000973F2" w14:paraId="44988D42" w14:textId="77777777" w:rsidTr="00D471E9">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1245" w:type="dxa"/>
            <w:vMerge/>
            <w:hideMark/>
          </w:tcPr>
          <w:p w14:paraId="20C439E9" w14:textId="77777777" w:rsidR="00AB6F50" w:rsidRPr="000973F2" w:rsidRDefault="00AB6F50" w:rsidP="00D471E9">
            <w:pPr>
              <w:spacing w:before="40" w:after="40"/>
              <w:rPr>
                <w:rFonts w:ascii="Times New Roman" w:eastAsia="Times New Roman" w:hAnsi="Times New Roman" w:cs="Times New Roman"/>
                <w:b/>
                <w:bCs w:val="0"/>
                <w:sz w:val="18"/>
                <w:szCs w:val="18"/>
              </w:rPr>
            </w:pPr>
          </w:p>
        </w:tc>
        <w:tc>
          <w:tcPr>
            <w:tcW w:w="1339" w:type="dxa"/>
            <w:gridSpan w:val="2"/>
            <w:noWrap/>
            <w:hideMark/>
          </w:tcPr>
          <w:p w14:paraId="22EE6DCC" w14:textId="77777777" w:rsidR="00AB6F50" w:rsidRPr="000973F2" w:rsidRDefault="00AB6F50" w:rsidP="00D471E9">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18"/>
                <w:szCs w:val="18"/>
              </w:rPr>
            </w:pPr>
            <w:r w:rsidRPr="000973F2">
              <w:rPr>
                <w:rFonts w:ascii="Times New Roman" w:eastAsia="Times New Roman" w:hAnsi="Times New Roman" w:cs="Times New Roman"/>
                <w:b/>
                <w:bCs/>
                <w:sz w:val="18"/>
                <w:szCs w:val="18"/>
              </w:rPr>
              <w:t>Lawyer</w:t>
            </w:r>
          </w:p>
        </w:tc>
        <w:tc>
          <w:tcPr>
            <w:tcW w:w="1339" w:type="dxa"/>
            <w:gridSpan w:val="2"/>
            <w:noWrap/>
            <w:hideMark/>
          </w:tcPr>
          <w:p w14:paraId="2FF6EFE5" w14:textId="77777777" w:rsidR="00AB6F50" w:rsidRPr="000973F2" w:rsidRDefault="00AB6F50" w:rsidP="00D471E9">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18"/>
                <w:szCs w:val="18"/>
              </w:rPr>
            </w:pPr>
            <w:r w:rsidRPr="000973F2">
              <w:rPr>
                <w:rFonts w:ascii="Times New Roman" w:eastAsia="Times New Roman" w:hAnsi="Times New Roman" w:cs="Times New Roman"/>
                <w:b/>
                <w:bCs/>
                <w:sz w:val="18"/>
                <w:szCs w:val="18"/>
              </w:rPr>
              <w:t>Senior Manager</w:t>
            </w:r>
          </w:p>
        </w:tc>
        <w:tc>
          <w:tcPr>
            <w:tcW w:w="1340" w:type="dxa"/>
            <w:gridSpan w:val="2"/>
            <w:noWrap/>
            <w:hideMark/>
          </w:tcPr>
          <w:p w14:paraId="2F5DF44B" w14:textId="77777777" w:rsidR="00AB6F50" w:rsidRPr="000973F2" w:rsidRDefault="00AB6F50" w:rsidP="00D471E9">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18"/>
                <w:szCs w:val="18"/>
              </w:rPr>
            </w:pPr>
            <w:r w:rsidRPr="000973F2">
              <w:rPr>
                <w:rFonts w:ascii="Times New Roman" w:eastAsia="Times New Roman" w:hAnsi="Times New Roman" w:cs="Times New Roman"/>
                <w:b/>
                <w:bCs/>
                <w:sz w:val="18"/>
                <w:szCs w:val="18"/>
              </w:rPr>
              <w:t>Middle Manager</w:t>
            </w:r>
          </w:p>
        </w:tc>
        <w:tc>
          <w:tcPr>
            <w:tcW w:w="1339" w:type="dxa"/>
            <w:gridSpan w:val="2"/>
            <w:hideMark/>
          </w:tcPr>
          <w:p w14:paraId="42719B64" w14:textId="77777777" w:rsidR="00AB6F50" w:rsidRPr="000973F2" w:rsidRDefault="00AB6F50" w:rsidP="00D471E9">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18"/>
                <w:szCs w:val="18"/>
              </w:rPr>
            </w:pPr>
            <w:r w:rsidRPr="000973F2">
              <w:rPr>
                <w:rFonts w:ascii="Times New Roman" w:eastAsia="Times New Roman" w:hAnsi="Times New Roman" w:cs="Times New Roman"/>
                <w:b/>
                <w:bCs/>
                <w:sz w:val="18"/>
                <w:szCs w:val="18"/>
              </w:rPr>
              <w:t>Engineer</w:t>
            </w:r>
          </w:p>
        </w:tc>
        <w:tc>
          <w:tcPr>
            <w:tcW w:w="1340" w:type="dxa"/>
            <w:gridSpan w:val="2"/>
            <w:hideMark/>
          </w:tcPr>
          <w:p w14:paraId="1B63235F" w14:textId="77777777" w:rsidR="00AB6F50" w:rsidRPr="000973F2" w:rsidRDefault="00AB6F50" w:rsidP="00D471E9">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18"/>
                <w:szCs w:val="18"/>
              </w:rPr>
            </w:pPr>
            <w:r w:rsidRPr="000973F2">
              <w:rPr>
                <w:rFonts w:ascii="Times New Roman" w:eastAsia="Times New Roman" w:hAnsi="Times New Roman" w:cs="Times New Roman"/>
                <w:b/>
                <w:bCs/>
                <w:sz w:val="18"/>
                <w:szCs w:val="18"/>
              </w:rPr>
              <w:t>Technician</w:t>
            </w:r>
          </w:p>
        </w:tc>
        <w:tc>
          <w:tcPr>
            <w:tcW w:w="1388" w:type="dxa"/>
            <w:gridSpan w:val="2"/>
            <w:vMerge/>
            <w:hideMark/>
          </w:tcPr>
          <w:p w14:paraId="4550B766" w14:textId="77777777" w:rsidR="00AB6F50" w:rsidRPr="000973F2" w:rsidRDefault="00AB6F50" w:rsidP="00D471E9">
            <w:pPr>
              <w:spacing w:before="40" w:after="4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18"/>
                <w:szCs w:val="18"/>
              </w:rPr>
            </w:pPr>
          </w:p>
        </w:tc>
      </w:tr>
      <w:tr w:rsidR="00AB6F50" w:rsidRPr="000973F2" w14:paraId="47DFBC6B" w14:textId="77777777" w:rsidTr="00D471E9">
        <w:trPr>
          <w:cantSplit/>
        </w:trPr>
        <w:tc>
          <w:tcPr>
            <w:cnfStyle w:val="001000000000" w:firstRow="0" w:lastRow="0" w:firstColumn="1" w:lastColumn="0" w:oddVBand="0" w:evenVBand="0" w:oddHBand="0" w:evenHBand="0" w:firstRowFirstColumn="0" w:firstRowLastColumn="0" w:lastRowFirstColumn="0" w:lastRowLastColumn="0"/>
            <w:tcW w:w="1245" w:type="dxa"/>
            <w:vMerge/>
            <w:hideMark/>
          </w:tcPr>
          <w:p w14:paraId="2B700893" w14:textId="77777777" w:rsidR="00AB6F50" w:rsidRPr="000973F2" w:rsidRDefault="00AB6F50" w:rsidP="00D471E9">
            <w:pPr>
              <w:spacing w:before="40" w:after="40"/>
              <w:rPr>
                <w:rFonts w:ascii="Times New Roman" w:eastAsia="Times New Roman" w:hAnsi="Times New Roman" w:cs="Times New Roman"/>
                <w:b/>
                <w:bCs w:val="0"/>
                <w:sz w:val="18"/>
                <w:szCs w:val="18"/>
              </w:rPr>
            </w:pPr>
          </w:p>
        </w:tc>
        <w:tc>
          <w:tcPr>
            <w:tcW w:w="1339" w:type="dxa"/>
            <w:gridSpan w:val="2"/>
            <w:noWrap/>
            <w:hideMark/>
          </w:tcPr>
          <w:p w14:paraId="0405C2F4" w14:textId="40E5D472" w:rsidR="00AB6F50" w:rsidRPr="000973F2" w:rsidRDefault="00AB6F50" w:rsidP="00D471E9">
            <w:pPr>
              <w:spacing w:before="40" w:after="4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sz w:val="18"/>
                <w:szCs w:val="18"/>
              </w:rPr>
            </w:pPr>
            <w:r w:rsidRPr="000973F2">
              <w:rPr>
                <w:rFonts w:ascii="Times New Roman" w:eastAsia="Times New Roman" w:hAnsi="Times New Roman" w:cs="Times New Roman"/>
                <w:b/>
                <w:bCs/>
                <w:sz w:val="18"/>
                <w:szCs w:val="18"/>
              </w:rPr>
              <w:t>$112.23</w:t>
            </w:r>
          </w:p>
        </w:tc>
        <w:tc>
          <w:tcPr>
            <w:tcW w:w="1339" w:type="dxa"/>
            <w:gridSpan w:val="2"/>
            <w:hideMark/>
          </w:tcPr>
          <w:p w14:paraId="6C14AC0E" w14:textId="4C13DF2C" w:rsidR="00AB6F50" w:rsidRPr="000973F2" w:rsidRDefault="00AB6F50" w:rsidP="00D471E9">
            <w:pPr>
              <w:spacing w:before="40" w:after="4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sz w:val="18"/>
                <w:szCs w:val="18"/>
              </w:rPr>
            </w:pPr>
            <w:r w:rsidRPr="000973F2">
              <w:rPr>
                <w:rFonts w:ascii="Times New Roman" w:eastAsia="Times New Roman" w:hAnsi="Times New Roman" w:cs="Times New Roman"/>
                <w:b/>
                <w:bCs/>
                <w:sz w:val="18"/>
                <w:szCs w:val="18"/>
              </w:rPr>
              <w:t>$141.54</w:t>
            </w:r>
          </w:p>
        </w:tc>
        <w:tc>
          <w:tcPr>
            <w:tcW w:w="1340" w:type="dxa"/>
            <w:gridSpan w:val="2"/>
            <w:noWrap/>
            <w:hideMark/>
          </w:tcPr>
          <w:p w14:paraId="701995BC" w14:textId="316578F2" w:rsidR="00AB6F50" w:rsidRPr="000973F2" w:rsidRDefault="00AB6F50" w:rsidP="00D471E9">
            <w:pPr>
              <w:spacing w:before="40" w:after="4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sz w:val="18"/>
                <w:szCs w:val="18"/>
              </w:rPr>
            </w:pPr>
            <w:r w:rsidRPr="000973F2">
              <w:rPr>
                <w:rFonts w:ascii="Times New Roman" w:eastAsia="Times New Roman" w:hAnsi="Times New Roman" w:cs="Times New Roman"/>
                <w:b/>
                <w:bCs/>
                <w:sz w:val="18"/>
                <w:szCs w:val="18"/>
              </w:rPr>
              <w:t>$105.68</w:t>
            </w:r>
          </w:p>
        </w:tc>
        <w:tc>
          <w:tcPr>
            <w:tcW w:w="1339" w:type="dxa"/>
            <w:gridSpan w:val="2"/>
            <w:hideMark/>
          </w:tcPr>
          <w:p w14:paraId="209248DB" w14:textId="1CDDAD37" w:rsidR="00AB6F50" w:rsidRPr="000973F2" w:rsidRDefault="00AB6F50" w:rsidP="00D471E9">
            <w:pPr>
              <w:spacing w:before="40" w:after="4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sz w:val="18"/>
                <w:szCs w:val="18"/>
              </w:rPr>
            </w:pPr>
            <w:r w:rsidRPr="000973F2">
              <w:rPr>
                <w:rFonts w:ascii="Times New Roman" w:eastAsia="Times New Roman" w:hAnsi="Times New Roman" w:cs="Times New Roman"/>
                <w:b/>
                <w:bCs/>
                <w:sz w:val="18"/>
                <w:szCs w:val="18"/>
              </w:rPr>
              <w:t>$91.06</w:t>
            </w:r>
          </w:p>
        </w:tc>
        <w:tc>
          <w:tcPr>
            <w:tcW w:w="1340" w:type="dxa"/>
            <w:gridSpan w:val="2"/>
            <w:noWrap/>
            <w:hideMark/>
          </w:tcPr>
          <w:p w14:paraId="2701C144" w14:textId="7F4ACD86" w:rsidR="00AB6F50" w:rsidRPr="000973F2" w:rsidRDefault="00AB6F50" w:rsidP="00D471E9">
            <w:pPr>
              <w:spacing w:before="40" w:after="4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sz w:val="18"/>
                <w:szCs w:val="18"/>
              </w:rPr>
            </w:pPr>
            <w:r w:rsidRPr="000973F2">
              <w:rPr>
                <w:rFonts w:ascii="Times New Roman" w:eastAsia="Times New Roman" w:hAnsi="Times New Roman" w:cs="Times New Roman"/>
                <w:b/>
                <w:bCs/>
                <w:sz w:val="18"/>
                <w:szCs w:val="18"/>
              </w:rPr>
              <w:t>$60.72</w:t>
            </w:r>
          </w:p>
        </w:tc>
        <w:tc>
          <w:tcPr>
            <w:tcW w:w="1388" w:type="dxa"/>
            <w:gridSpan w:val="2"/>
            <w:vMerge/>
            <w:hideMark/>
          </w:tcPr>
          <w:p w14:paraId="09602107" w14:textId="77777777" w:rsidR="00AB6F50" w:rsidRPr="000973F2" w:rsidRDefault="00AB6F50" w:rsidP="00D471E9">
            <w:pPr>
              <w:spacing w:before="40" w:after="4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sz w:val="18"/>
                <w:szCs w:val="18"/>
              </w:rPr>
            </w:pPr>
          </w:p>
        </w:tc>
      </w:tr>
      <w:tr w:rsidR="00D471E9" w:rsidRPr="000973F2" w14:paraId="1C0282A5" w14:textId="77777777" w:rsidTr="00D471E9">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1245" w:type="dxa"/>
            <w:vMerge/>
            <w:hideMark/>
          </w:tcPr>
          <w:p w14:paraId="6D4C3B85" w14:textId="77777777" w:rsidR="00AB6F50" w:rsidRPr="000973F2" w:rsidRDefault="00AB6F50" w:rsidP="00D471E9">
            <w:pPr>
              <w:spacing w:before="40" w:after="40"/>
              <w:rPr>
                <w:rFonts w:ascii="Times New Roman" w:eastAsia="Times New Roman" w:hAnsi="Times New Roman" w:cs="Times New Roman"/>
                <w:b/>
                <w:bCs w:val="0"/>
                <w:sz w:val="18"/>
                <w:szCs w:val="18"/>
              </w:rPr>
            </w:pPr>
          </w:p>
        </w:tc>
        <w:tc>
          <w:tcPr>
            <w:tcW w:w="669" w:type="dxa"/>
            <w:tcMar>
              <w:left w:w="14" w:type="dxa"/>
              <w:right w:w="14" w:type="dxa"/>
            </w:tcMar>
            <w:hideMark/>
          </w:tcPr>
          <w:p w14:paraId="209457AD" w14:textId="77777777" w:rsidR="00AB6F50" w:rsidRPr="000973F2" w:rsidRDefault="00AB6F50" w:rsidP="00D471E9">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18"/>
                <w:szCs w:val="18"/>
              </w:rPr>
            </w:pPr>
            <w:r w:rsidRPr="000973F2">
              <w:rPr>
                <w:rFonts w:ascii="Times New Roman" w:eastAsia="Times New Roman" w:hAnsi="Times New Roman" w:cs="Times New Roman"/>
                <w:b/>
                <w:bCs/>
                <w:sz w:val="18"/>
                <w:szCs w:val="18"/>
              </w:rPr>
              <w:t>Initial Year Hours</w:t>
            </w:r>
          </w:p>
        </w:tc>
        <w:tc>
          <w:tcPr>
            <w:tcW w:w="670" w:type="dxa"/>
            <w:tcMar>
              <w:left w:w="14" w:type="dxa"/>
              <w:right w:w="14" w:type="dxa"/>
            </w:tcMar>
            <w:hideMark/>
          </w:tcPr>
          <w:p w14:paraId="75F45326" w14:textId="77777777" w:rsidR="00AB6F50" w:rsidRPr="000973F2" w:rsidRDefault="00AB6F50" w:rsidP="00D471E9">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18"/>
                <w:szCs w:val="18"/>
              </w:rPr>
            </w:pPr>
            <w:r w:rsidRPr="000973F2">
              <w:rPr>
                <w:rFonts w:ascii="Times New Roman" w:eastAsia="Times New Roman" w:hAnsi="Times New Roman" w:cs="Times New Roman"/>
                <w:b/>
                <w:bCs/>
                <w:sz w:val="18"/>
                <w:szCs w:val="18"/>
              </w:rPr>
              <w:t>Subseq. Year Hours</w:t>
            </w:r>
          </w:p>
        </w:tc>
        <w:tc>
          <w:tcPr>
            <w:tcW w:w="670" w:type="dxa"/>
            <w:tcMar>
              <w:left w:w="14" w:type="dxa"/>
              <w:right w:w="14" w:type="dxa"/>
            </w:tcMar>
            <w:hideMark/>
          </w:tcPr>
          <w:p w14:paraId="3926C7B3" w14:textId="77777777" w:rsidR="00AB6F50" w:rsidRPr="000973F2" w:rsidRDefault="00AB6F50" w:rsidP="00D471E9">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18"/>
                <w:szCs w:val="18"/>
              </w:rPr>
            </w:pPr>
            <w:r w:rsidRPr="000973F2">
              <w:rPr>
                <w:rFonts w:ascii="Times New Roman" w:eastAsia="Times New Roman" w:hAnsi="Times New Roman" w:cs="Times New Roman"/>
                <w:b/>
                <w:bCs/>
                <w:sz w:val="18"/>
                <w:szCs w:val="18"/>
              </w:rPr>
              <w:t>Initial Year Hours</w:t>
            </w:r>
          </w:p>
        </w:tc>
        <w:tc>
          <w:tcPr>
            <w:tcW w:w="669" w:type="dxa"/>
            <w:tcMar>
              <w:left w:w="14" w:type="dxa"/>
              <w:right w:w="14" w:type="dxa"/>
            </w:tcMar>
            <w:hideMark/>
          </w:tcPr>
          <w:p w14:paraId="1FC7F146" w14:textId="77777777" w:rsidR="00AB6F50" w:rsidRPr="000973F2" w:rsidRDefault="00AB6F50" w:rsidP="00D471E9">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18"/>
                <w:szCs w:val="18"/>
              </w:rPr>
            </w:pPr>
            <w:r w:rsidRPr="000973F2">
              <w:rPr>
                <w:rFonts w:ascii="Times New Roman" w:eastAsia="Times New Roman" w:hAnsi="Times New Roman" w:cs="Times New Roman"/>
                <w:b/>
                <w:bCs/>
                <w:sz w:val="18"/>
                <w:szCs w:val="18"/>
              </w:rPr>
              <w:t>Subseq. Year Hours</w:t>
            </w:r>
          </w:p>
        </w:tc>
        <w:tc>
          <w:tcPr>
            <w:tcW w:w="670" w:type="dxa"/>
            <w:tcMar>
              <w:left w:w="14" w:type="dxa"/>
              <w:right w:w="14" w:type="dxa"/>
            </w:tcMar>
            <w:hideMark/>
          </w:tcPr>
          <w:p w14:paraId="547FDCB3" w14:textId="77777777" w:rsidR="00AB6F50" w:rsidRPr="000973F2" w:rsidRDefault="00AB6F50" w:rsidP="00D471E9">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18"/>
                <w:szCs w:val="18"/>
              </w:rPr>
            </w:pPr>
            <w:r w:rsidRPr="000973F2">
              <w:rPr>
                <w:rFonts w:ascii="Times New Roman" w:eastAsia="Times New Roman" w:hAnsi="Times New Roman" w:cs="Times New Roman"/>
                <w:b/>
                <w:bCs/>
                <w:sz w:val="18"/>
                <w:szCs w:val="18"/>
              </w:rPr>
              <w:t>Initial Year Hours</w:t>
            </w:r>
          </w:p>
        </w:tc>
        <w:tc>
          <w:tcPr>
            <w:tcW w:w="670" w:type="dxa"/>
            <w:tcMar>
              <w:left w:w="14" w:type="dxa"/>
              <w:right w:w="14" w:type="dxa"/>
            </w:tcMar>
            <w:hideMark/>
          </w:tcPr>
          <w:p w14:paraId="4842A9CD" w14:textId="77777777" w:rsidR="00AB6F50" w:rsidRPr="000973F2" w:rsidRDefault="00AB6F50" w:rsidP="00D471E9">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18"/>
                <w:szCs w:val="18"/>
              </w:rPr>
            </w:pPr>
            <w:r w:rsidRPr="000973F2">
              <w:rPr>
                <w:rFonts w:ascii="Times New Roman" w:eastAsia="Times New Roman" w:hAnsi="Times New Roman" w:cs="Times New Roman"/>
                <w:b/>
                <w:bCs/>
                <w:sz w:val="18"/>
                <w:szCs w:val="18"/>
              </w:rPr>
              <w:t>Subseq. Year Hours</w:t>
            </w:r>
          </w:p>
        </w:tc>
        <w:tc>
          <w:tcPr>
            <w:tcW w:w="669" w:type="dxa"/>
            <w:tcMar>
              <w:left w:w="14" w:type="dxa"/>
              <w:right w:w="14" w:type="dxa"/>
            </w:tcMar>
            <w:hideMark/>
          </w:tcPr>
          <w:p w14:paraId="4078F118" w14:textId="77777777" w:rsidR="00AB6F50" w:rsidRPr="000973F2" w:rsidRDefault="00AB6F50" w:rsidP="00D471E9">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18"/>
                <w:szCs w:val="18"/>
              </w:rPr>
            </w:pPr>
            <w:r w:rsidRPr="000973F2">
              <w:rPr>
                <w:rFonts w:ascii="Times New Roman" w:eastAsia="Times New Roman" w:hAnsi="Times New Roman" w:cs="Times New Roman"/>
                <w:b/>
                <w:bCs/>
                <w:sz w:val="18"/>
                <w:szCs w:val="18"/>
              </w:rPr>
              <w:t>Initial Year Hours</w:t>
            </w:r>
          </w:p>
        </w:tc>
        <w:tc>
          <w:tcPr>
            <w:tcW w:w="670" w:type="dxa"/>
            <w:tcMar>
              <w:left w:w="14" w:type="dxa"/>
              <w:right w:w="14" w:type="dxa"/>
            </w:tcMar>
            <w:hideMark/>
          </w:tcPr>
          <w:p w14:paraId="7AC5F477" w14:textId="77777777" w:rsidR="00AB6F50" w:rsidRPr="000973F2" w:rsidRDefault="00AB6F50" w:rsidP="00D471E9">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18"/>
                <w:szCs w:val="18"/>
              </w:rPr>
            </w:pPr>
            <w:r w:rsidRPr="000973F2">
              <w:rPr>
                <w:rFonts w:ascii="Times New Roman" w:eastAsia="Times New Roman" w:hAnsi="Times New Roman" w:cs="Times New Roman"/>
                <w:b/>
                <w:bCs/>
                <w:sz w:val="18"/>
                <w:szCs w:val="18"/>
              </w:rPr>
              <w:t>Subseq. Year Hours</w:t>
            </w:r>
          </w:p>
        </w:tc>
        <w:tc>
          <w:tcPr>
            <w:tcW w:w="670" w:type="dxa"/>
            <w:tcMar>
              <w:left w:w="14" w:type="dxa"/>
              <w:right w:w="14" w:type="dxa"/>
            </w:tcMar>
            <w:hideMark/>
          </w:tcPr>
          <w:p w14:paraId="174075C4" w14:textId="77777777" w:rsidR="00AB6F50" w:rsidRPr="000973F2" w:rsidRDefault="00AB6F50" w:rsidP="00D471E9">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18"/>
                <w:szCs w:val="18"/>
              </w:rPr>
            </w:pPr>
            <w:r w:rsidRPr="000973F2">
              <w:rPr>
                <w:rFonts w:ascii="Times New Roman" w:eastAsia="Times New Roman" w:hAnsi="Times New Roman" w:cs="Times New Roman"/>
                <w:b/>
                <w:bCs/>
                <w:sz w:val="18"/>
                <w:szCs w:val="18"/>
              </w:rPr>
              <w:t>Initial Year Hours</w:t>
            </w:r>
          </w:p>
        </w:tc>
        <w:tc>
          <w:tcPr>
            <w:tcW w:w="670" w:type="dxa"/>
            <w:tcMar>
              <w:left w:w="14" w:type="dxa"/>
              <w:right w:w="14" w:type="dxa"/>
            </w:tcMar>
            <w:hideMark/>
          </w:tcPr>
          <w:p w14:paraId="1EF28F7C" w14:textId="77777777" w:rsidR="00AB6F50" w:rsidRPr="000973F2" w:rsidRDefault="00AB6F50" w:rsidP="00D471E9">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18"/>
                <w:szCs w:val="18"/>
              </w:rPr>
            </w:pPr>
            <w:r w:rsidRPr="000973F2">
              <w:rPr>
                <w:rFonts w:ascii="Times New Roman" w:eastAsia="Times New Roman" w:hAnsi="Times New Roman" w:cs="Times New Roman"/>
                <w:b/>
                <w:bCs/>
                <w:sz w:val="18"/>
                <w:szCs w:val="18"/>
              </w:rPr>
              <w:t>Subseq. Year Hours</w:t>
            </w:r>
          </w:p>
        </w:tc>
        <w:tc>
          <w:tcPr>
            <w:tcW w:w="593" w:type="dxa"/>
            <w:tcMar>
              <w:left w:w="14" w:type="dxa"/>
              <w:right w:w="14" w:type="dxa"/>
            </w:tcMar>
            <w:hideMark/>
          </w:tcPr>
          <w:p w14:paraId="5A775320" w14:textId="77777777" w:rsidR="00AB6F50" w:rsidRPr="000973F2" w:rsidRDefault="00AB6F50" w:rsidP="00D471E9">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18"/>
                <w:szCs w:val="18"/>
              </w:rPr>
            </w:pPr>
            <w:r w:rsidRPr="000973F2">
              <w:rPr>
                <w:rFonts w:ascii="Times New Roman" w:eastAsia="Times New Roman" w:hAnsi="Times New Roman" w:cs="Times New Roman"/>
                <w:b/>
                <w:bCs/>
                <w:sz w:val="18"/>
                <w:szCs w:val="18"/>
              </w:rPr>
              <w:t>Initial Year</w:t>
            </w:r>
          </w:p>
        </w:tc>
        <w:tc>
          <w:tcPr>
            <w:tcW w:w="795" w:type="dxa"/>
            <w:tcMar>
              <w:left w:w="14" w:type="dxa"/>
              <w:right w:w="14" w:type="dxa"/>
            </w:tcMar>
            <w:hideMark/>
          </w:tcPr>
          <w:p w14:paraId="2EBCCC9E" w14:textId="77777777" w:rsidR="00AB6F50" w:rsidRPr="000973F2" w:rsidRDefault="00AB6F50" w:rsidP="00D471E9">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18"/>
                <w:szCs w:val="18"/>
              </w:rPr>
            </w:pPr>
            <w:r w:rsidRPr="000973F2">
              <w:rPr>
                <w:rFonts w:ascii="Times New Roman" w:eastAsia="Times New Roman" w:hAnsi="Times New Roman" w:cs="Times New Roman"/>
                <w:b/>
                <w:bCs/>
                <w:sz w:val="18"/>
                <w:szCs w:val="18"/>
              </w:rPr>
              <w:t>Subseq. Year</w:t>
            </w:r>
          </w:p>
        </w:tc>
      </w:tr>
      <w:tr w:rsidR="00D471E9" w:rsidRPr="000973F2" w14:paraId="58279F23" w14:textId="77777777" w:rsidTr="00D471E9">
        <w:trPr>
          <w:cantSplit/>
        </w:trPr>
        <w:tc>
          <w:tcPr>
            <w:cnfStyle w:val="001000000000" w:firstRow="0" w:lastRow="0" w:firstColumn="1" w:lastColumn="0" w:oddVBand="0" w:evenVBand="0" w:oddHBand="0" w:evenHBand="0" w:firstRowFirstColumn="0" w:firstRowLastColumn="0" w:lastRowFirstColumn="0" w:lastRowLastColumn="0"/>
            <w:tcW w:w="1245" w:type="dxa"/>
            <w:tcMar>
              <w:right w:w="14" w:type="dxa"/>
            </w:tcMar>
            <w:hideMark/>
          </w:tcPr>
          <w:p w14:paraId="275AC517" w14:textId="77777777" w:rsidR="00AB6F50" w:rsidRPr="000973F2" w:rsidRDefault="00AB6F50" w:rsidP="00D471E9">
            <w:pPr>
              <w:spacing w:before="40" w:after="4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Planning</w:t>
            </w:r>
          </w:p>
        </w:tc>
        <w:tc>
          <w:tcPr>
            <w:tcW w:w="669" w:type="dxa"/>
            <w:noWrap/>
            <w:hideMark/>
          </w:tcPr>
          <w:p w14:paraId="6047D254" w14:textId="77777777" w:rsidR="00AB6F50" w:rsidRPr="000973F2" w:rsidRDefault="00AB6F50" w:rsidP="00D471E9">
            <w:pPr>
              <w:spacing w:before="40" w:after="4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0.0</w:t>
            </w:r>
          </w:p>
        </w:tc>
        <w:tc>
          <w:tcPr>
            <w:tcW w:w="670" w:type="dxa"/>
            <w:noWrap/>
            <w:hideMark/>
          </w:tcPr>
          <w:p w14:paraId="3E5CCB97" w14:textId="77777777" w:rsidR="00AB6F50" w:rsidRPr="000973F2" w:rsidRDefault="00AB6F50" w:rsidP="00D471E9">
            <w:pPr>
              <w:spacing w:before="40" w:after="4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2.0</w:t>
            </w:r>
          </w:p>
        </w:tc>
        <w:tc>
          <w:tcPr>
            <w:tcW w:w="670" w:type="dxa"/>
            <w:noWrap/>
            <w:hideMark/>
          </w:tcPr>
          <w:p w14:paraId="08FB28FD" w14:textId="77777777" w:rsidR="00AB6F50" w:rsidRPr="000973F2" w:rsidRDefault="00AB6F50" w:rsidP="00D471E9">
            <w:pPr>
              <w:spacing w:before="40" w:after="4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0.0</w:t>
            </w:r>
          </w:p>
        </w:tc>
        <w:tc>
          <w:tcPr>
            <w:tcW w:w="669" w:type="dxa"/>
            <w:noWrap/>
            <w:hideMark/>
          </w:tcPr>
          <w:p w14:paraId="2660302D" w14:textId="77777777" w:rsidR="00AB6F50" w:rsidRPr="000973F2" w:rsidRDefault="00AB6F50" w:rsidP="00D471E9">
            <w:pPr>
              <w:spacing w:before="40" w:after="4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0.5</w:t>
            </w:r>
          </w:p>
        </w:tc>
        <w:tc>
          <w:tcPr>
            <w:tcW w:w="670" w:type="dxa"/>
            <w:noWrap/>
            <w:hideMark/>
          </w:tcPr>
          <w:p w14:paraId="53250603" w14:textId="77777777" w:rsidR="00AB6F50" w:rsidRPr="000973F2" w:rsidRDefault="00AB6F50" w:rsidP="00D471E9">
            <w:pPr>
              <w:spacing w:before="40" w:after="4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0.0</w:t>
            </w:r>
          </w:p>
        </w:tc>
        <w:tc>
          <w:tcPr>
            <w:tcW w:w="670" w:type="dxa"/>
            <w:noWrap/>
            <w:hideMark/>
          </w:tcPr>
          <w:p w14:paraId="4E648EDC" w14:textId="77777777" w:rsidR="00AB6F50" w:rsidRPr="000973F2" w:rsidRDefault="00AB6F50" w:rsidP="00D471E9">
            <w:pPr>
              <w:spacing w:before="40" w:after="4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1.0</w:t>
            </w:r>
          </w:p>
        </w:tc>
        <w:tc>
          <w:tcPr>
            <w:tcW w:w="669" w:type="dxa"/>
            <w:noWrap/>
            <w:hideMark/>
          </w:tcPr>
          <w:p w14:paraId="02C96BBC" w14:textId="77777777" w:rsidR="00AB6F50" w:rsidRPr="000973F2" w:rsidRDefault="00AB6F50" w:rsidP="00D471E9">
            <w:pPr>
              <w:spacing w:before="40" w:after="4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0.0</w:t>
            </w:r>
          </w:p>
        </w:tc>
        <w:tc>
          <w:tcPr>
            <w:tcW w:w="670" w:type="dxa"/>
            <w:noWrap/>
            <w:hideMark/>
          </w:tcPr>
          <w:p w14:paraId="0436CEA9" w14:textId="77777777" w:rsidR="00AB6F50" w:rsidRPr="000973F2" w:rsidRDefault="00AB6F50" w:rsidP="00D471E9">
            <w:pPr>
              <w:tabs>
                <w:tab w:val="decimal" w:pos="241"/>
              </w:tabs>
              <w:spacing w:before="40" w:after="4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10.0</w:t>
            </w:r>
          </w:p>
        </w:tc>
        <w:tc>
          <w:tcPr>
            <w:tcW w:w="670" w:type="dxa"/>
            <w:noWrap/>
            <w:hideMark/>
          </w:tcPr>
          <w:p w14:paraId="45A2E830" w14:textId="77777777" w:rsidR="00AB6F50" w:rsidRPr="000973F2" w:rsidRDefault="00AB6F50" w:rsidP="00D471E9">
            <w:pPr>
              <w:spacing w:before="40" w:after="4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0.0</w:t>
            </w:r>
          </w:p>
        </w:tc>
        <w:tc>
          <w:tcPr>
            <w:tcW w:w="670" w:type="dxa"/>
            <w:noWrap/>
            <w:hideMark/>
          </w:tcPr>
          <w:p w14:paraId="15B24C27" w14:textId="77777777" w:rsidR="00AB6F50" w:rsidRPr="000973F2" w:rsidRDefault="00AB6F50" w:rsidP="00D471E9">
            <w:pPr>
              <w:spacing w:before="40" w:after="4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0.0</w:t>
            </w:r>
          </w:p>
        </w:tc>
        <w:tc>
          <w:tcPr>
            <w:tcW w:w="593" w:type="dxa"/>
            <w:noWrap/>
            <w:hideMark/>
          </w:tcPr>
          <w:p w14:paraId="74202CBC" w14:textId="1FEF21E4" w:rsidR="00AB6F50" w:rsidRPr="000973F2" w:rsidRDefault="00AB6F50" w:rsidP="00D471E9">
            <w:pPr>
              <w:spacing w:before="40" w:after="4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$0</w:t>
            </w:r>
          </w:p>
        </w:tc>
        <w:tc>
          <w:tcPr>
            <w:tcW w:w="795" w:type="dxa"/>
            <w:noWrap/>
            <w:hideMark/>
          </w:tcPr>
          <w:p w14:paraId="11612DD3" w14:textId="33F3EA24" w:rsidR="00AB6F50" w:rsidRPr="000973F2" w:rsidRDefault="00AB6F50" w:rsidP="00D471E9">
            <w:pPr>
              <w:tabs>
                <w:tab w:val="decimal" w:pos="511"/>
              </w:tabs>
              <w:spacing w:before="40" w:after="4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$1,312</w:t>
            </w:r>
          </w:p>
        </w:tc>
      </w:tr>
      <w:tr w:rsidR="00D471E9" w:rsidRPr="000973F2" w14:paraId="63BCC9DB" w14:textId="77777777" w:rsidTr="00D471E9">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1245" w:type="dxa"/>
            <w:tcMar>
              <w:right w:w="14" w:type="dxa"/>
            </w:tcMar>
            <w:hideMark/>
          </w:tcPr>
          <w:p w14:paraId="0310F75B" w14:textId="77777777" w:rsidR="00AB6F50" w:rsidRPr="000973F2" w:rsidRDefault="00AB6F50" w:rsidP="00D471E9">
            <w:pPr>
              <w:spacing w:before="40" w:after="4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QA/QC</w:t>
            </w:r>
          </w:p>
        </w:tc>
        <w:tc>
          <w:tcPr>
            <w:tcW w:w="669" w:type="dxa"/>
            <w:noWrap/>
            <w:hideMark/>
          </w:tcPr>
          <w:p w14:paraId="3CEE1847" w14:textId="77777777" w:rsidR="00AB6F50" w:rsidRPr="000973F2" w:rsidRDefault="00AB6F50" w:rsidP="00D471E9">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0.0</w:t>
            </w:r>
          </w:p>
        </w:tc>
        <w:tc>
          <w:tcPr>
            <w:tcW w:w="670" w:type="dxa"/>
            <w:noWrap/>
            <w:hideMark/>
          </w:tcPr>
          <w:p w14:paraId="15263ACF" w14:textId="77777777" w:rsidR="00AB6F50" w:rsidRPr="000973F2" w:rsidRDefault="00AB6F50" w:rsidP="00D471E9">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0.0</w:t>
            </w:r>
          </w:p>
        </w:tc>
        <w:tc>
          <w:tcPr>
            <w:tcW w:w="670" w:type="dxa"/>
            <w:noWrap/>
            <w:hideMark/>
          </w:tcPr>
          <w:p w14:paraId="76AAC79A" w14:textId="77777777" w:rsidR="00AB6F50" w:rsidRPr="000973F2" w:rsidRDefault="00AB6F50" w:rsidP="00D471E9">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0.0</w:t>
            </w:r>
          </w:p>
        </w:tc>
        <w:tc>
          <w:tcPr>
            <w:tcW w:w="669" w:type="dxa"/>
            <w:noWrap/>
            <w:hideMark/>
          </w:tcPr>
          <w:p w14:paraId="10B845D3" w14:textId="77777777" w:rsidR="00AB6F50" w:rsidRPr="000973F2" w:rsidRDefault="00AB6F50" w:rsidP="00D471E9">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021</w:t>
            </w:r>
          </w:p>
        </w:tc>
        <w:tc>
          <w:tcPr>
            <w:tcW w:w="670" w:type="dxa"/>
            <w:noWrap/>
            <w:hideMark/>
          </w:tcPr>
          <w:p w14:paraId="085B7244" w14:textId="77777777" w:rsidR="00AB6F50" w:rsidRPr="000973F2" w:rsidRDefault="00AB6F50" w:rsidP="00D471E9">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0.0</w:t>
            </w:r>
          </w:p>
        </w:tc>
        <w:tc>
          <w:tcPr>
            <w:tcW w:w="670" w:type="dxa"/>
            <w:noWrap/>
            <w:hideMark/>
          </w:tcPr>
          <w:p w14:paraId="373B608A" w14:textId="77777777" w:rsidR="00AB6F50" w:rsidRPr="000973F2" w:rsidRDefault="00AB6F50" w:rsidP="00D471E9">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0.4</w:t>
            </w:r>
          </w:p>
        </w:tc>
        <w:tc>
          <w:tcPr>
            <w:tcW w:w="669" w:type="dxa"/>
            <w:noWrap/>
            <w:hideMark/>
          </w:tcPr>
          <w:p w14:paraId="7BF34CB2" w14:textId="77777777" w:rsidR="00AB6F50" w:rsidRPr="000973F2" w:rsidRDefault="00AB6F50" w:rsidP="00D471E9">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0.0</w:t>
            </w:r>
          </w:p>
        </w:tc>
        <w:tc>
          <w:tcPr>
            <w:tcW w:w="670" w:type="dxa"/>
            <w:noWrap/>
            <w:hideMark/>
          </w:tcPr>
          <w:p w14:paraId="3FD23C34" w14:textId="77777777" w:rsidR="00AB6F50" w:rsidRPr="000973F2" w:rsidRDefault="00AB6F50" w:rsidP="00D471E9">
            <w:pPr>
              <w:tabs>
                <w:tab w:val="decimal" w:pos="241"/>
              </w:tabs>
              <w:spacing w:before="40" w:after="4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0.0</w:t>
            </w:r>
          </w:p>
        </w:tc>
        <w:tc>
          <w:tcPr>
            <w:tcW w:w="670" w:type="dxa"/>
            <w:noWrap/>
            <w:hideMark/>
          </w:tcPr>
          <w:p w14:paraId="7F5C7453" w14:textId="77777777" w:rsidR="00AB6F50" w:rsidRPr="000973F2" w:rsidRDefault="00AB6F50" w:rsidP="00D471E9">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0.0</w:t>
            </w:r>
          </w:p>
        </w:tc>
        <w:tc>
          <w:tcPr>
            <w:tcW w:w="670" w:type="dxa"/>
            <w:noWrap/>
            <w:hideMark/>
          </w:tcPr>
          <w:p w14:paraId="18E78167" w14:textId="77777777" w:rsidR="00AB6F50" w:rsidRPr="000973F2" w:rsidRDefault="00AB6F50" w:rsidP="00D471E9">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0.0</w:t>
            </w:r>
          </w:p>
        </w:tc>
        <w:tc>
          <w:tcPr>
            <w:tcW w:w="593" w:type="dxa"/>
            <w:noWrap/>
            <w:hideMark/>
          </w:tcPr>
          <w:p w14:paraId="045BF99B" w14:textId="2F6A3767" w:rsidR="00AB6F50" w:rsidRPr="000973F2" w:rsidRDefault="00AB6F50" w:rsidP="00D471E9">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$0</w:t>
            </w:r>
          </w:p>
        </w:tc>
        <w:tc>
          <w:tcPr>
            <w:tcW w:w="795" w:type="dxa"/>
            <w:noWrap/>
            <w:hideMark/>
          </w:tcPr>
          <w:p w14:paraId="578350BA" w14:textId="18DC3978" w:rsidR="00AB6F50" w:rsidRPr="000973F2" w:rsidRDefault="00AB6F50" w:rsidP="00D471E9">
            <w:pPr>
              <w:tabs>
                <w:tab w:val="decimal" w:pos="511"/>
              </w:tabs>
              <w:spacing w:before="40" w:after="4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$75</w:t>
            </w:r>
          </w:p>
        </w:tc>
      </w:tr>
      <w:tr w:rsidR="00D471E9" w:rsidRPr="000973F2" w14:paraId="1E943879" w14:textId="77777777" w:rsidTr="00D471E9">
        <w:trPr>
          <w:cantSplit/>
        </w:trPr>
        <w:tc>
          <w:tcPr>
            <w:cnfStyle w:val="001000000000" w:firstRow="0" w:lastRow="0" w:firstColumn="1" w:lastColumn="0" w:oddVBand="0" w:evenVBand="0" w:oddHBand="0" w:evenHBand="0" w:firstRowFirstColumn="0" w:firstRowLastColumn="0" w:lastRowFirstColumn="0" w:lastRowLastColumn="0"/>
            <w:tcW w:w="1245" w:type="dxa"/>
            <w:tcMar>
              <w:right w:w="14" w:type="dxa"/>
            </w:tcMar>
            <w:hideMark/>
          </w:tcPr>
          <w:p w14:paraId="5C98D20A" w14:textId="77777777" w:rsidR="00AB6F50" w:rsidRPr="000973F2" w:rsidRDefault="00AB6F50" w:rsidP="00D471E9">
            <w:pPr>
              <w:spacing w:before="40" w:after="4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Recordkeeping</w:t>
            </w:r>
          </w:p>
        </w:tc>
        <w:tc>
          <w:tcPr>
            <w:tcW w:w="669" w:type="dxa"/>
            <w:noWrap/>
            <w:hideMark/>
          </w:tcPr>
          <w:p w14:paraId="6DBEB0A8" w14:textId="77777777" w:rsidR="00AB6F50" w:rsidRPr="000973F2" w:rsidRDefault="00AB6F50" w:rsidP="00D471E9">
            <w:pPr>
              <w:spacing w:before="40" w:after="4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0.0</w:t>
            </w:r>
          </w:p>
        </w:tc>
        <w:tc>
          <w:tcPr>
            <w:tcW w:w="670" w:type="dxa"/>
            <w:noWrap/>
            <w:hideMark/>
          </w:tcPr>
          <w:p w14:paraId="478C13DE" w14:textId="77777777" w:rsidR="00AB6F50" w:rsidRPr="000973F2" w:rsidRDefault="00AB6F50" w:rsidP="00D471E9">
            <w:pPr>
              <w:spacing w:before="40" w:after="4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0.0</w:t>
            </w:r>
          </w:p>
        </w:tc>
        <w:tc>
          <w:tcPr>
            <w:tcW w:w="670" w:type="dxa"/>
            <w:noWrap/>
            <w:hideMark/>
          </w:tcPr>
          <w:p w14:paraId="63E308C8" w14:textId="77777777" w:rsidR="00AB6F50" w:rsidRPr="000973F2" w:rsidRDefault="00AB6F50" w:rsidP="00D471E9">
            <w:pPr>
              <w:spacing w:before="40" w:after="4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0.0</w:t>
            </w:r>
          </w:p>
        </w:tc>
        <w:tc>
          <w:tcPr>
            <w:tcW w:w="669" w:type="dxa"/>
            <w:noWrap/>
            <w:hideMark/>
          </w:tcPr>
          <w:p w14:paraId="17D4D865" w14:textId="77777777" w:rsidR="00AB6F50" w:rsidRPr="000973F2" w:rsidRDefault="00AB6F50" w:rsidP="00D471E9">
            <w:pPr>
              <w:spacing w:before="40" w:after="4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0.0</w:t>
            </w:r>
          </w:p>
        </w:tc>
        <w:tc>
          <w:tcPr>
            <w:tcW w:w="670" w:type="dxa"/>
            <w:noWrap/>
            <w:hideMark/>
          </w:tcPr>
          <w:p w14:paraId="5B7E5835" w14:textId="77777777" w:rsidR="00AB6F50" w:rsidRPr="000973F2" w:rsidRDefault="00AB6F50" w:rsidP="00D471E9">
            <w:pPr>
              <w:spacing w:before="40" w:after="4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0.0</w:t>
            </w:r>
          </w:p>
        </w:tc>
        <w:tc>
          <w:tcPr>
            <w:tcW w:w="670" w:type="dxa"/>
            <w:noWrap/>
            <w:hideMark/>
          </w:tcPr>
          <w:p w14:paraId="190AC7F7" w14:textId="77777777" w:rsidR="00AB6F50" w:rsidRPr="000973F2" w:rsidRDefault="00AB6F50" w:rsidP="00D471E9">
            <w:pPr>
              <w:spacing w:before="40" w:after="4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1.0</w:t>
            </w:r>
          </w:p>
        </w:tc>
        <w:tc>
          <w:tcPr>
            <w:tcW w:w="669" w:type="dxa"/>
            <w:noWrap/>
            <w:hideMark/>
          </w:tcPr>
          <w:p w14:paraId="4DA618FC" w14:textId="77777777" w:rsidR="00AB6F50" w:rsidRPr="000973F2" w:rsidRDefault="00AB6F50" w:rsidP="00D471E9">
            <w:pPr>
              <w:spacing w:before="40" w:after="4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0.0</w:t>
            </w:r>
          </w:p>
        </w:tc>
        <w:tc>
          <w:tcPr>
            <w:tcW w:w="670" w:type="dxa"/>
            <w:noWrap/>
            <w:hideMark/>
          </w:tcPr>
          <w:p w14:paraId="7819559C" w14:textId="77777777" w:rsidR="00AB6F50" w:rsidRPr="000973F2" w:rsidRDefault="00AB6F50" w:rsidP="00D471E9">
            <w:pPr>
              <w:tabs>
                <w:tab w:val="decimal" w:pos="241"/>
              </w:tabs>
              <w:spacing w:before="40" w:after="4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13.0</w:t>
            </w:r>
          </w:p>
        </w:tc>
        <w:tc>
          <w:tcPr>
            <w:tcW w:w="670" w:type="dxa"/>
            <w:noWrap/>
            <w:hideMark/>
          </w:tcPr>
          <w:p w14:paraId="7EF6283F" w14:textId="77777777" w:rsidR="00AB6F50" w:rsidRPr="000973F2" w:rsidRDefault="00AB6F50" w:rsidP="00D471E9">
            <w:pPr>
              <w:spacing w:before="40" w:after="4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0.0</w:t>
            </w:r>
          </w:p>
        </w:tc>
        <w:tc>
          <w:tcPr>
            <w:tcW w:w="670" w:type="dxa"/>
            <w:noWrap/>
            <w:hideMark/>
          </w:tcPr>
          <w:p w14:paraId="4472EC5A" w14:textId="77777777" w:rsidR="00AB6F50" w:rsidRPr="000973F2" w:rsidRDefault="00AB6F50" w:rsidP="00D471E9">
            <w:pPr>
              <w:spacing w:before="40" w:after="4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1.0</w:t>
            </w:r>
          </w:p>
        </w:tc>
        <w:tc>
          <w:tcPr>
            <w:tcW w:w="593" w:type="dxa"/>
            <w:noWrap/>
            <w:hideMark/>
          </w:tcPr>
          <w:p w14:paraId="07E20F17" w14:textId="53957C45" w:rsidR="00AB6F50" w:rsidRPr="000973F2" w:rsidRDefault="00AB6F50" w:rsidP="00D471E9">
            <w:pPr>
              <w:spacing w:before="40" w:after="4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$0</w:t>
            </w:r>
          </w:p>
        </w:tc>
        <w:tc>
          <w:tcPr>
            <w:tcW w:w="795" w:type="dxa"/>
            <w:noWrap/>
            <w:hideMark/>
          </w:tcPr>
          <w:p w14:paraId="0669A965" w14:textId="28CD4E71" w:rsidR="00AB6F50" w:rsidRPr="000973F2" w:rsidRDefault="00AB6F50" w:rsidP="00D471E9">
            <w:pPr>
              <w:tabs>
                <w:tab w:val="decimal" w:pos="511"/>
              </w:tabs>
              <w:spacing w:before="40" w:after="4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$1,350</w:t>
            </w:r>
          </w:p>
        </w:tc>
      </w:tr>
      <w:tr w:rsidR="00D471E9" w:rsidRPr="000973F2" w14:paraId="2301D828" w14:textId="77777777" w:rsidTr="00D471E9">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1245" w:type="dxa"/>
            <w:tcMar>
              <w:right w:w="14" w:type="dxa"/>
            </w:tcMar>
            <w:hideMark/>
          </w:tcPr>
          <w:p w14:paraId="374736F3" w14:textId="77777777" w:rsidR="00AB6F50" w:rsidRPr="000973F2" w:rsidRDefault="00AB6F50" w:rsidP="00D471E9">
            <w:pPr>
              <w:spacing w:before="40" w:after="4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Sampling and Analysis (Calculations)</w:t>
            </w:r>
          </w:p>
        </w:tc>
        <w:tc>
          <w:tcPr>
            <w:tcW w:w="669" w:type="dxa"/>
            <w:noWrap/>
            <w:hideMark/>
          </w:tcPr>
          <w:p w14:paraId="4213DC92" w14:textId="77777777" w:rsidR="00AB6F50" w:rsidRPr="000973F2" w:rsidRDefault="00AB6F50" w:rsidP="00D471E9">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0.0</w:t>
            </w:r>
          </w:p>
        </w:tc>
        <w:tc>
          <w:tcPr>
            <w:tcW w:w="670" w:type="dxa"/>
            <w:noWrap/>
            <w:hideMark/>
          </w:tcPr>
          <w:p w14:paraId="0F01B425" w14:textId="77777777" w:rsidR="00AB6F50" w:rsidRPr="000973F2" w:rsidRDefault="00AB6F50" w:rsidP="00D471E9">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0.0</w:t>
            </w:r>
          </w:p>
        </w:tc>
        <w:tc>
          <w:tcPr>
            <w:tcW w:w="670" w:type="dxa"/>
            <w:noWrap/>
            <w:hideMark/>
          </w:tcPr>
          <w:p w14:paraId="4F68A085" w14:textId="77777777" w:rsidR="00AB6F50" w:rsidRPr="000973F2" w:rsidRDefault="00AB6F50" w:rsidP="00D471E9">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0.0</w:t>
            </w:r>
          </w:p>
        </w:tc>
        <w:tc>
          <w:tcPr>
            <w:tcW w:w="669" w:type="dxa"/>
            <w:noWrap/>
            <w:hideMark/>
          </w:tcPr>
          <w:p w14:paraId="7BE2E72E" w14:textId="77777777" w:rsidR="00AB6F50" w:rsidRPr="000973F2" w:rsidRDefault="00AB6F50" w:rsidP="00D471E9">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0.0</w:t>
            </w:r>
          </w:p>
        </w:tc>
        <w:tc>
          <w:tcPr>
            <w:tcW w:w="670" w:type="dxa"/>
            <w:noWrap/>
            <w:hideMark/>
          </w:tcPr>
          <w:p w14:paraId="4ACBB9E2" w14:textId="77777777" w:rsidR="00AB6F50" w:rsidRPr="000973F2" w:rsidRDefault="00AB6F50" w:rsidP="00D471E9">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0.0</w:t>
            </w:r>
          </w:p>
        </w:tc>
        <w:tc>
          <w:tcPr>
            <w:tcW w:w="670" w:type="dxa"/>
            <w:noWrap/>
            <w:hideMark/>
          </w:tcPr>
          <w:p w14:paraId="04A6FBC8" w14:textId="77777777" w:rsidR="00AB6F50" w:rsidRPr="000973F2" w:rsidRDefault="00AB6F50" w:rsidP="00D471E9">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0.0</w:t>
            </w:r>
          </w:p>
        </w:tc>
        <w:tc>
          <w:tcPr>
            <w:tcW w:w="669" w:type="dxa"/>
            <w:noWrap/>
            <w:hideMark/>
          </w:tcPr>
          <w:p w14:paraId="1515D19E" w14:textId="77777777" w:rsidR="00AB6F50" w:rsidRPr="000973F2" w:rsidRDefault="00AB6F50" w:rsidP="00D471E9">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0.0</w:t>
            </w:r>
          </w:p>
        </w:tc>
        <w:tc>
          <w:tcPr>
            <w:tcW w:w="670" w:type="dxa"/>
            <w:noWrap/>
            <w:hideMark/>
          </w:tcPr>
          <w:p w14:paraId="01176974" w14:textId="77777777" w:rsidR="00AB6F50" w:rsidRPr="000973F2" w:rsidRDefault="00AB6F50" w:rsidP="00D471E9">
            <w:pPr>
              <w:tabs>
                <w:tab w:val="decimal" w:pos="241"/>
              </w:tabs>
              <w:spacing w:before="40" w:after="4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4.3</w:t>
            </w:r>
          </w:p>
        </w:tc>
        <w:tc>
          <w:tcPr>
            <w:tcW w:w="670" w:type="dxa"/>
            <w:noWrap/>
            <w:hideMark/>
          </w:tcPr>
          <w:p w14:paraId="7A352C74" w14:textId="77777777" w:rsidR="00AB6F50" w:rsidRPr="000973F2" w:rsidRDefault="00AB6F50" w:rsidP="00D471E9">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0.0</w:t>
            </w:r>
          </w:p>
        </w:tc>
        <w:tc>
          <w:tcPr>
            <w:tcW w:w="670" w:type="dxa"/>
            <w:noWrap/>
            <w:hideMark/>
          </w:tcPr>
          <w:p w14:paraId="64F74983" w14:textId="77777777" w:rsidR="00AB6F50" w:rsidRPr="000973F2" w:rsidRDefault="00AB6F50" w:rsidP="00D471E9">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0.4</w:t>
            </w:r>
          </w:p>
        </w:tc>
        <w:tc>
          <w:tcPr>
            <w:tcW w:w="593" w:type="dxa"/>
            <w:noWrap/>
            <w:hideMark/>
          </w:tcPr>
          <w:p w14:paraId="7DCC1734" w14:textId="674703B0" w:rsidR="00AB6F50" w:rsidRPr="000973F2" w:rsidRDefault="00AB6F50" w:rsidP="00D471E9">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$0</w:t>
            </w:r>
          </w:p>
        </w:tc>
        <w:tc>
          <w:tcPr>
            <w:tcW w:w="795" w:type="dxa"/>
            <w:noWrap/>
            <w:hideMark/>
          </w:tcPr>
          <w:p w14:paraId="19A32652" w14:textId="2A657172" w:rsidR="00AB6F50" w:rsidRPr="000973F2" w:rsidRDefault="00AB6F50" w:rsidP="00D471E9">
            <w:pPr>
              <w:tabs>
                <w:tab w:val="decimal" w:pos="511"/>
              </w:tabs>
              <w:spacing w:before="40" w:after="4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$412</w:t>
            </w:r>
          </w:p>
        </w:tc>
      </w:tr>
      <w:tr w:rsidR="00D471E9" w:rsidRPr="000973F2" w14:paraId="777D3E73" w14:textId="77777777" w:rsidTr="00D471E9">
        <w:trPr>
          <w:cantSplit/>
        </w:trPr>
        <w:tc>
          <w:tcPr>
            <w:cnfStyle w:val="001000000000" w:firstRow="0" w:lastRow="0" w:firstColumn="1" w:lastColumn="0" w:oddVBand="0" w:evenVBand="0" w:oddHBand="0" w:evenHBand="0" w:firstRowFirstColumn="0" w:firstRowLastColumn="0" w:lastRowFirstColumn="0" w:lastRowLastColumn="0"/>
            <w:tcW w:w="1245" w:type="dxa"/>
            <w:tcMar>
              <w:right w:w="14" w:type="dxa"/>
            </w:tcMar>
            <w:hideMark/>
          </w:tcPr>
          <w:p w14:paraId="18CE2B22" w14:textId="77777777" w:rsidR="00AB6F50" w:rsidRPr="000973F2" w:rsidRDefault="00AB6F50" w:rsidP="00D471E9">
            <w:pPr>
              <w:spacing w:before="40" w:after="4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Reporting</w:t>
            </w:r>
          </w:p>
        </w:tc>
        <w:tc>
          <w:tcPr>
            <w:tcW w:w="669" w:type="dxa"/>
            <w:noWrap/>
            <w:hideMark/>
          </w:tcPr>
          <w:p w14:paraId="38597E76" w14:textId="77777777" w:rsidR="00AB6F50" w:rsidRPr="000973F2" w:rsidRDefault="00AB6F50" w:rsidP="00D471E9">
            <w:pPr>
              <w:spacing w:before="40" w:after="4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0.0</w:t>
            </w:r>
          </w:p>
        </w:tc>
        <w:tc>
          <w:tcPr>
            <w:tcW w:w="670" w:type="dxa"/>
            <w:noWrap/>
            <w:hideMark/>
          </w:tcPr>
          <w:p w14:paraId="5C5536CD" w14:textId="77777777" w:rsidR="00AB6F50" w:rsidRPr="000973F2" w:rsidRDefault="00AB6F50" w:rsidP="00D471E9">
            <w:pPr>
              <w:spacing w:before="40" w:after="4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0.0</w:t>
            </w:r>
          </w:p>
        </w:tc>
        <w:tc>
          <w:tcPr>
            <w:tcW w:w="670" w:type="dxa"/>
            <w:noWrap/>
            <w:hideMark/>
          </w:tcPr>
          <w:p w14:paraId="4C2450AE" w14:textId="77777777" w:rsidR="00AB6F50" w:rsidRPr="000973F2" w:rsidRDefault="00AB6F50" w:rsidP="00D471E9">
            <w:pPr>
              <w:spacing w:before="40" w:after="4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0.0</w:t>
            </w:r>
          </w:p>
        </w:tc>
        <w:tc>
          <w:tcPr>
            <w:tcW w:w="669" w:type="dxa"/>
            <w:noWrap/>
            <w:hideMark/>
          </w:tcPr>
          <w:p w14:paraId="283806DE" w14:textId="77777777" w:rsidR="00AB6F50" w:rsidRPr="000973F2" w:rsidRDefault="00AB6F50" w:rsidP="00D471E9">
            <w:pPr>
              <w:spacing w:before="40" w:after="4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0.0</w:t>
            </w:r>
          </w:p>
        </w:tc>
        <w:tc>
          <w:tcPr>
            <w:tcW w:w="670" w:type="dxa"/>
            <w:noWrap/>
            <w:hideMark/>
          </w:tcPr>
          <w:p w14:paraId="086C3C75" w14:textId="77777777" w:rsidR="00AB6F50" w:rsidRPr="000973F2" w:rsidRDefault="00AB6F50" w:rsidP="00D471E9">
            <w:pPr>
              <w:spacing w:before="40" w:after="4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0.0</w:t>
            </w:r>
          </w:p>
        </w:tc>
        <w:tc>
          <w:tcPr>
            <w:tcW w:w="670" w:type="dxa"/>
            <w:noWrap/>
            <w:hideMark/>
          </w:tcPr>
          <w:p w14:paraId="3B5804C2" w14:textId="77777777" w:rsidR="00AB6F50" w:rsidRPr="000973F2" w:rsidRDefault="00AB6F50" w:rsidP="00D471E9">
            <w:pPr>
              <w:spacing w:before="40" w:after="4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2.0</w:t>
            </w:r>
          </w:p>
        </w:tc>
        <w:tc>
          <w:tcPr>
            <w:tcW w:w="669" w:type="dxa"/>
            <w:noWrap/>
            <w:hideMark/>
          </w:tcPr>
          <w:p w14:paraId="3ABB5F6B" w14:textId="77777777" w:rsidR="00AB6F50" w:rsidRPr="000973F2" w:rsidRDefault="00AB6F50" w:rsidP="00D471E9">
            <w:pPr>
              <w:spacing w:before="40" w:after="4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0.0</w:t>
            </w:r>
          </w:p>
        </w:tc>
        <w:tc>
          <w:tcPr>
            <w:tcW w:w="670" w:type="dxa"/>
            <w:noWrap/>
            <w:hideMark/>
          </w:tcPr>
          <w:p w14:paraId="414856A6" w14:textId="77777777" w:rsidR="00AB6F50" w:rsidRPr="000973F2" w:rsidRDefault="00AB6F50" w:rsidP="00D471E9">
            <w:pPr>
              <w:tabs>
                <w:tab w:val="decimal" w:pos="241"/>
              </w:tabs>
              <w:spacing w:before="40" w:after="4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26.0</w:t>
            </w:r>
          </w:p>
        </w:tc>
        <w:tc>
          <w:tcPr>
            <w:tcW w:w="670" w:type="dxa"/>
            <w:noWrap/>
            <w:hideMark/>
          </w:tcPr>
          <w:p w14:paraId="0F3102C9" w14:textId="77777777" w:rsidR="00AB6F50" w:rsidRPr="000973F2" w:rsidRDefault="00AB6F50" w:rsidP="00D471E9">
            <w:pPr>
              <w:spacing w:before="40" w:after="4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0.0</w:t>
            </w:r>
          </w:p>
        </w:tc>
        <w:tc>
          <w:tcPr>
            <w:tcW w:w="670" w:type="dxa"/>
            <w:noWrap/>
            <w:hideMark/>
          </w:tcPr>
          <w:p w14:paraId="6644A2BF" w14:textId="77777777" w:rsidR="00AB6F50" w:rsidRPr="000973F2" w:rsidRDefault="00AB6F50" w:rsidP="00D471E9">
            <w:pPr>
              <w:spacing w:before="40" w:after="4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2.0</w:t>
            </w:r>
          </w:p>
        </w:tc>
        <w:tc>
          <w:tcPr>
            <w:tcW w:w="593" w:type="dxa"/>
            <w:noWrap/>
            <w:hideMark/>
          </w:tcPr>
          <w:p w14:paraId="72246F65" w14:textId="10BDFB95" w:rsidR="00AB6F50" w:rsidRPr="000973F2" w:rsidRDefault="00AB6F50" w:rsidP="00D471E9">
            <w:pPr>
              <w:spacing w:before="40" w:after="4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$0</w:t>
            </w:r>
          </w:p>
        </w:tc>
        <w:tc>
          <w:tcPr>
            <w:tcW w:w="795" w:type="dxa"/>
            <w:noWrap/>
            <w:hideMark/>
          </w:tcPr>
          <w:p w14:paraId="7AD2791D" w14:textId="63693C72" w:rsidR="00AB6F50" w:rsidRPr="000973F2" w:rsidRDefault="00AB6F50" w:rsidP="00D471E9">
            <w:pPr>
              <w:tabs>
                <w:tab w:val="decimal" w:pos="511"/>
              </w:tabs>
              <w:spacing w:before="40" w:after="4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$2,700</w:t>
            </w:r>
          </w:p>
        </w:tc>
      </w:tr>
      <w:tr w:rsidR="00D471E9" w:rsidRPr="000973F2" w14:paraId="5C435633" w14:textId="77777777" w:rsidTr="00D471E9">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1245" w:type="dxa"/>
            <w:noWrap/>
            <w:tcMar>
              <w:right w:w="14" w:type="dxa"/>
            </w:tcMar>
            <w:hideMark/>
          </w:tcPr>
          <w:p w14:paraId="1AD1B7CB" w14:textId="77777777" w:rsidR="00AB6F50" w:rsidRPr="000973F2" w:rsidRDefault="00AB6F50" w:rsidP="00D471E9">
            <w:pPr>
              <w:spacing w:before="40" w:after="40"/>
              <w:rPr>
                <w:rFonts w:ascii="Times New Roman" w:eastAsia="Times New Roman" w:hAnsi="Times New Roman" w:cs="Times New Roman"/>
                <w:b/>
                <w:bCs w:val="0"/>
                <w:sz w:val="18"/>
                <w:szCs w:val="18"/>
              </w:rPr>
            </w:pPr>
            <w:r w:rsidRPr="000973F2">
              <w:rPr>
                <w:rFonts w:ascii="Times New Roman" w:eastAsia="Times New Roman" w:hAnsi="Times New Roman" w:cs="Times New Roman"/>
                <w:b/>
                <w:sz w:val="18"/>
                <w:szCs w:val="18"/>
              </w:rPr>
              <w:t>Total</w:t>
            </w:r>
          </w:p>
        </w:tc>
        <w:tc>
          <w:tcPr>
            <w:tcW w:w="669" w:type="dxa"/>
            <w:noWrap/>
            <w:hideMark/>
          </w:tcPr>
          <w:p w14:paraId="7A849D84" w14:textId="77777777" w:rsidR="00AB6F50" w:rsidRPr="000973F2" w:rsidRDefault="00AB6F50" w:rsidP="00D471E9">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18"/>
                <w:szCs w:val="18"/>
              </w:rPr>
            </w:pPr>
            <w:r w:rsidRPr="000973F2">
              <w:rPr>
                <w:rFonts w:ascii="Times New Roman" w:eastAsia="Times New Roman" w:hAnsi="Times New Roman" w:cs="Times New Roman"/>
                <w:b/>
                <w:bCs/>
                <w:sz w:val="18"/>
                <w:szCs w:val="18"/>
              </w:rPr>
              <w:t>0.0</w:t>
            </w:r>
          </w:p>
        </w:tc>
        <w:tc>
          <w:tcPr>
            <w:tcW w:w="670" w:type="dxa"/>
            <w:noWrap/>
            <w:hideMark/>
          </w:tcPr>
          <w:p w14:paraId="4C9BC8B0" w14:textId="77777777" w:rsidR="00AB6F50" w:rsidRPr="000973F2" w:rsidRDefault="00AB6F50" w:rsidP="00D471E9">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18"/>
                <w:szCs w:val="18"/>
              </w:rPr>
            </w:pPr>
            <w:r w:rsidRPr="000973F2">
              <w:rPr>
                <w:rFonts w:ascii="Times New Roman" w:eastAsia="Times New Roman" w:hAnsi="Times New Roman" w:cs="Times New Roman"/>
                <w:b/>
                <w:bCs/>
                <w:sz w:val="18"/>
                <w:szCs w:val="18"/>
              </w:rPr>
              <w:t>2.0</w:t>
            </w:r>
          </w:p>
        </w:tc>
        <w:tc>
          <w:tcPr>
            <w:tcW w:w="670" w:type="dxa"/>
            <w:noWrap/>
            <w:hideMark/>
          </w:tcPr>
          <w:p w14:paraId="0F6EEBF8" w14:textId="77777777" w:rsidR="00AB6F50" w:rsidRPr="000973F2" w:rsidRDefault="00AB6F50" w:rsidP="00D471E9">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18"/>
                <w:szCs w:val="18"/>
              </w:rPr>
            </w:pPr>
            <w:r w:rsidRPr="000973F2">
              <w:rPr>
                <w:rFonts w:ascii="Times New Roman" w:eastAsia="Times New Roman" w:hAnsi="Times New Roman" w:cs="Times New Roman"/>
                <w:b/>
                <w:bCs/>
                <w:sz w:val="18"/>
                <w:szCs w:val="18"/>
              </w:rPr>
              <w:t>0.0</w:t>
            </w:r>
          </w:p>
        </w:tc>
        <w:tc>
          <w:tcPr>
            <w:tcW w:w="669" w:type="dxa"/>
            <w:noWrap/>
            <w:hideMark/>
          </w:tcPr>
          <w:p w14:paraId="2D5F4F61" w14:textId="77777777" w:rsidR="00AB6F50" w:rsidRPr="000973F2" w:rsidRDefault="00AB6F50" w:rsidP="00D471E9">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18"/>
                <w:szCs w:val="18"/>
              </w:rPr>
            </w:pPr>
            <w:r w:rsidRPr="000973F2">
              <w:rPr>
                <w:rFonts w:ascii="Times New Roman" w:eastAsia="Times New Roman" w:hAnsi="Times New Roman" w:cs="Times New Roman"/>
                <w:b/>
                <w:bCs/>
                <w:sz w:val="18"/>
                <w:szCs w:val="18"/>
              </w:rPr>
              <w:t>0.7</w:t>
            </w:r>
          </w:p>
        </w:tc>
        <w:tc>
          <w:tcPr>
            <w:tcW w:w="670" w:type="dxa"/>
            <w:noWrap/>
            <w:hideMark/>
          </w:tcPr>
          <w:p w14:paraId="3C74FE40" w14:textId="77777777" w:rsidR="00AB6F50" w:rsidRPr="000973F2" w:rsidRDefault="00AB6F50" w:rsidP="00D471E9">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18"/>
                <w:szCs w:val="18"/>
              </w:rPr>
            </w:pPr>
            <w:r w:rsidRPr="000973F2">
              <w:rPr>
                <w:rFonts w:ascii="Times New Roman" w:eastAsia="Times New Roman" w:hAnsi="Times New Roman" w:cs="Times New Roman"/>
                <w:b/>
                <w:bCs/>
                <w:sz w:val="18"/>
                <w:szCs w:val="18"/>
              </w:rPr>
              <w:t>0.0</w:t>
            </w:r>
          </w:p>
        </w:tc>
        <w:tc>
          <w:tcPr>
            <w:tcW w:w="670" w:type="dxa"/>
            <w:noWrap/>
            <w:hideMark/>
          </w:tcPr>
          <w:p w14:paraId="6F4AB80F" w14:textId="77777777" w:rsidR="00AB6F50" w:rsidRPr="000973F2" w:rsidRDefault="00AB6F50" w:rsidP="00D471E9">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18"/>
                <w:szCs w:val="18"/>
              </w:rPr>
            </w:pPr>
            <w:r w:rsidRPr="000973F2">
              <w:rPr>
                <w:rFonts w:ascii="Times New Roman" w:eastAsia="Times New Roman" w:hAnsi="Times New Roman" w:cs="Times New Roman"/>
                <w:b/>
                <w:bCs/>
                <w:sz w:val="18"/>
                <w:szCs w:val="18"/>
              </w:rPr>
              <w:t>4.4</w:t>
            </w:r>
          </w:p>
        </w:tc>
        <w:tc>
          <w:tcPr>
            <w:tcW w:w="669" w:type="dxa"/>
            <w:noWrap/>
            <w:hideMark/>
          </w:tcPr>
          <w:p w14:paraId="20841D59" w14:textId="77777777" w:rsidR="00AB6F50" w:rsidRPr="000973F2" w:rsidRDefault="00AB6F50" w:rsidP="00D471E9">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18"/>
                <w:szCs w:val="18"/>
              </w:rPr>
            </w:pPr>
            <w:r w:rsidRPr="000973F2">
              <w:rPr>
                <w:rFonts w:ascii="Times New Roman" w:eastAsia="Times New Roman" w:hAnsi="Times New Roman" w:cs="Times New Roman"/>
                <w:b/>
                <w:bCs/>
                <w:sz w:val="18"/>
                <w:szCs w:val="18"/>
              </w:rPr>
              <w:t>0.0</w:t>
            </w:r>
          </w:p>
        </w:tc>
        <w:tc>
          <w:tcPr>
            <w:tcW w:w="670" w:type="dxa"/>
            <w:noWrap/>
            <w:hideMark/>
          </w:tcPr>
          <w:p w14:paraId="0766A997" w14:textId="77777777" w:rsidR="00AB6F50" w:rsidRPr="000973F2" w:rsidRDefault="00AB6F50" w:rsidP="00D471E9">
            <w:pPr>
              <w:tabs>
                <w:tab w:val="decimal" w:pos="241"/>
              </w:tabs>
              <w:spacing w:before="40" w:after="4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18"/>
                <w:szCs w:val="18"/>
              </w:rPr>
            </w:pPr>
            <w:r w:rsidRPr="000973F2">
              <w:rPr>
                <w:rFonts w:ascii="Times New Roman" w:eastAsia="Times New Roman" w:hAnsi="Times New Roman" w:cs="Times New Roman"/>
                <w:b/>
                <w:bCs/>
                <w:sz w:val="18"/>
                <w:szCs w:val="18"/>
              </w:rPr>
              <w:t>53.3</w:t>
            </w:r>
          </w:p>
        </w:tc>
        <w:tc>
          <w:tcPr>
            <w:tcW w:w="670" w:type="dxa"/>
            <w:noWrap/>
            <w:hideMark/>
          </w:tcPr>
          <w:p w14:paraId="0884B98F" w14:textId="77777777" w:rsidR="00AB6F50" w:rsidRPr="000973F2" w:rsidRDefault="00AB6F50" w:rsidP="00D471E9">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18"/>
                <w:szCs w:val="18"/>
              </w:rPr>
            </w:pPr>
            <w:r w:rsidRPr="000973F2">
              <w:rPr>
                <w:rFonts w:ascii="Times New Roman" w:eastAsia="Times New Roman" w:hAnsi="Times New Roman" w:cs="Times New Roman"/>
                <w:b/>
                <w:bCs/>
                <w:sz w:val="18"/>
                <w:szCs w:val="18"/>
              </w:rPr>
              <w:t>0.0</w:t>
            </w:r>
          </w:p>
        </w:tc>
        <w:tc>
          <w:tcPr>
            <w:tcW w:w="670" w:type="dxa"/>
            <w:noWrap/>
            <w:hideMark/>
          </w:tcPr>
          <w:p w14:paraId="66CF6329" w14:textId="77777777" w:rsidR="00AB6F50" w:rsidRPr="000973F2" w:rsidRDefault="00AB6F50" w:rsidP="00D471E9">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18"/>
                <w:szCs w:val="18"/>
              </w:rPr>
            </w:pPr>
            <w:r w:rsidRPr="000973F2">
              <w:rPr>
                <w:rFonts w:ascii="Times New Roman" w:eastAsia="Times New Roman" w:hAnsi="Times New Roman" w:cs="Times New Roman"/>
                <w:b/>
                <w:bCs/>
                <w:sz w:val="18"/>
                <w:szCs w:val="18"/>
              </w:rPr>
              <w:t>3.4</w:t>
            </w:r>
          </w:p>
        </w:tc>
        <w:tc>
          <w:tcPr>
            <w:tcW w:w="593" w:type="dxa"/>
            <w:noWrap/>
            <w:hideMark/>
          </w:tcPr>
          <w:p w14:paraId="3D1C0F49" w14:textId="5740DFE4" w:rsidR="00AB6F50" w:rsidRPr="000973F2" w:rsidRDefault="00AB6F50" w:rsidP="00D471E9">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18"/>
                <w:szCs w:val="18"/>
              </w:rPr>
            </w:pPr>
            <w:r w:rsidRPr="000973F2">
              <w:rPr>
                <w:rFonts w:ascii="Times New Roman" w:eastAsia="Times New Roman" w:hAnsi="Times New Roman" w:cs="Times New Roman"/>
                <w:b/>
                <w:bCs/>
                <w:sz w:val="18"/>
                <w:szCs w:val="18"/>
              </w:rPr>
              <w:t>$0</w:t>
            </w:r>
          </w:p>
        </w:tc>
        <w:tc>
          <w:tcPr>
            <w:tcW w:w="795" w:type="dxa"/>
            <w:noWrap/>
            <w:hideMark/>
          </w:tcPr>
          <w:p w14:paraId="788332DE" w14:textId="6EDA1F0B" w:rsidR="00AB6F50" w:rsidRPr="000973F2" w:rsidRDefault="00AB6F50" w:rsidP="00D471E9">
            <w:pPr>
              <w:tabs>
                <w:tab w:val="decimal" w:pos="511"/>
              </w:tabs>
              <w:spacing w:before="40" w:after="4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18"/>
                <w:szCs w:val="18"/>
              </w:rPr>
            </w:pPr>
            <w:r w:rsidRPr="000973F2">
              <w:rPr>
                <w:rFonts w:ascii="Times New Roman" w:eastAsia="Times New Roman" w:hAnsi="Times New Roman" w:cs="Times New Roman"/>
                <w:b/>
                <w:bCs/>
                <w:sz w:val="18"/>
                <w:szCs w:val="18"/>
              </w:rPr>
              <w:t>$5,849</w:t>
            </w:r>
          </w:p>
        </w:tc>
      </w:tr>
    </w:tbl>
    <w:p w14:paraId="1E4EBD91" w14:textId="77777777" w:rsidR="00AB6F50" w:rsidRPr="000973F2" w:rsidRDefault="00AB6F50" w:rsidP="00C00E4F">
      <w:pPr>
        <w:spacing w:line="240" w:lineRule="auto"/>
        <w:jc w:val="center"/>
        <w:rPr>
          <w:rFonts w:ascii="Times New Roman" w:hAnsi="Times New Roman" w:cs="Times New Roman"/>
          <w:b/>
          <w:sz w:val="20"/>
          <w:szCs w:val="20"/>
        </w:rPr>
      </w:pPr>
    </w:p>
    <w:p w14:paraId="074076EF" w14:textId="7D073339" w:rsidR="00AB6F50" w:rsidRPr="000973F2" w:rsidRDefault="00AB6F50" w:rsidP="00D471E9">
      <w:pPr>
        <w:pStyle w:val="Tabletitle"/>
      </w:pPr>
      <w:r w:rsidRPr="000973F2">
        <w:t xml:space="preserve">Table </w:t>
      </w:r>
      <w:r w:rsidR="00D471E9" w:rsidRPr="000973F2">
        <w:t>W-</w:t>
      </w:r>
      <w:r w:rsidRPr="000973F2">
        <w:t xml:space="preserve">2f. </w:t>
      </w:r>
      <w:r w:rsidR="001F4582" w:rsidRPr="000973F2">
        <w:t xml:space="preserve">Capital and O&amp;M Costs </w:t>
      </w:r>
      <w:r w:rsidR="00B960CC" w:rsidRPr="000973F2">
        <w:t>–</w:t>
      </w:r>
      <w:r w:rsidR="001F4582" w:rsidRPr="000973F2">
        <w:t xml:space="preserve"> </w:t>
      </w:r>
      <w:r w:rsidRPr="000973F2">
        <w:t>Subpart W – LNG Storage</w:t>
      </w:r>
    </w:p>
    <w:tbl>
      <w:tblPr>
        <w:tblStyle w:val="PlainTable1"/>
        <w:tblW w:w="5008" w:type="pct"/>
        <w:jc w:val="left"/>
        <w:tblLayout w:type="fixed"/>
        <w:tblCellMar>
          <w:left w:w="115" w:type="dxa"/>
          <w:right w:w="115" w:type="dxa"/>
        </w:tblCellMar>
        <w:tblLook w:val="04A0" w:firstRow="1" w:lastRow="0" w:firstColumn="1" w:lastColumn="0" w:noHBand="0" w:noVBand="1"/>
      </w:tblPr>
      <w:tblGrid>
        <w:gridCol w:w="2567"/>
        <w:gridCol w:w="1118"/>
        <w:gridCol w:w="1110"/>
        <w:gridCol w:w="1297"/>
        <w:gridCol w:w="1206"/>
        <w:gridCol w:w="1106"/>
        <w:gridCol w:w="1193"/>
        <w:gridCol w:w="8"/>
      </w:tblGrid>
      <w:tr w:rsidR="00D17312" w:rsidRPr="000973F2" w14:paraId="10B1CFE7" w14:textId="77777777" w:rsidTr="009F277A">
        <w:trPr>
          <w:gridAfter w:val="1"/>
          <w:cnfStyle w:val="100000000000" w:firstRow="1" w:lastRow="0" w:firstColumn="0" w:lastColumn="0" w:oddVBand="0" w:evenVBand="0" w:oddHBand="0" w:evenHBand="0" w:firstRowFirstColumn="0" w:firstRowLastColumn="0" w:lastRowFirstColumn="0" w:lastRowLastColumn="0"/>
          <w:wAfter w:w="5" w:type="pct"/>
          <w:cantSplit/>
          <w:jc w:val="left"/>
        </w:trPr>
        <w:tc>
          <w:tcPr>
            <w:cnfStyle w:val="001000000000" w:firstRow="0" w:lastRow="0" w:firstColumn="1" w:lastColumn="0" w:oddVBand="0" w:evenVBand="0" w:oddHBand="0" w:evenHBand="0" w:firstRowFirstColumn="0" w:firstRowLastColumn="0" w:lastRowFirstColumn="0" w:lastRowLastColumn="0"/>
            <w:tcW w:w="1336" w:type="pct"/>
            <w:vMerge w:val="restart"/>
            <w:noWrap/>
            <w:vAlign w:val="top"/>
            <w:hideMark/>
          </w:tcPr>
          <w:p w14:paraId="4F1F5CAE" w14:textId="1443DB43" w:rsidR="00D17312" w:rsidRPr="000973F2" w:rsidRDefault="00D17312" w:rsidP="00D471E9">
            <w:pPr>
              <w:spacing w:before="40" w:after="40"/>
              <w:rPr>
                <w:rFonts w:ascii="Times New Roman" w:eastAsia="Times New Roman" w:hAnsi="Times New Roman" w:cs="Times New Roman"/>
                <w:b w:val="0"/>
                <w:bCs w:val="0"/>
                <w:sz w:val="18"/>
                <w:szCs w:val="18"/>
              </w:rPr>
            </w:pPr>
            <w:r w:rsidRPr="000973F2">
              <w:rPr>
                <w:rFonts w:ascii="Times New Roman" w:eastAsia="Times New Roman" w:hAnsi="Times New Roman" w:cs="Times New Roman"/>
                <w:sz w:val="18"/>
                <w:szCs w:val="18"/>
              </w:rPr>
              <w:t>Activity</w:t>
            </w:r>
          </w:p>
        </w:tc>
        <w:tc>
          <w:tcPr>
            <w:tcW w:w="2462" w:type="pct"/>
            <w:gridSpan w:val="4"/>
            <w:noWrap/>
            <w:vAlign w:val="top"/>
            <w:hideMark/>
          </w:tcPr>
          <w:p w14:paraId="01335F59" w14:textId="77777777" w:rsidR="00D17312" w:rsidRPr="000973F2" w:rsidRDefault="00D17312" w:rsidP="00D471E9">
            <w:pPr>
              <w:spacing w:before="40" w:after="40"/>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bCs w:val="0"/>
                <w:sz w:val="18"/>
                <w:szCs w:val="18"/>
              </w:rPr>
            </w:pPr>
            <w:r w:rsidRPr="000973F2">
              <w:rPr>
                <w:rFonts w:ascii="Times New Roman" w:eastAsia="Times New Roman" w:hAnsi="Times New Roman" w:cs="Times New Roman"/>
                <w:sz w:val="18"/>
                <w:szCs w:val="18"/>
              </w:rPr>
              <w:t>Cost Categories</w:t>
            </w:r>
          </w:p>
        </w:tc>
        <w:tc>
          <w:tcPr>
            <w:tcW w:w="1197" w:type="pct"/>
            <w:gridSpan w:val="2"/>
            <w:vAlign w:val="top"/>
            <w:hideMark/>
          </w:tcPr>
          <w:p w14:paraId="2ADD8E88" w14:textId="24970494" w:rsidR="00D17312" w:rsidRPr="000973F2" w:rsidRDefault="00D17312" w:rsidP="00D471E9">
            <w:pPr>
              <w:spacing w:before="40" w:after="40"/>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bCs w:val="0"/>
                <w:sz w:val="18"/>
                <w:szCs w:val="18"/>
              </w:rPr>
            </w:pPr>
            <w:r w:rsidRPr="000973F2">
              <w:rPr>
                <w:rFonts w:ascii="Times New Roman" w:eastAsia="Times New Roman" w:hAnsi="Times New Roman" w:cs="Times New Roman"/>
                <w:sz w:val="18"/>
                <w:szCs w:val="18"/>
              </w:rPr>
              <w:t>Total Capital and O&amp;M Cost per Year per Reporter</w:t>
            </w:r>
            <w:r w:rsidR="00D471E9" w:rsidRPr="000973F2">
              <w:rPr>
                <w:rFonts w:ascii="Times New Roman" w:eastAsia="Times New Roman" w:hAnsi="Times New Roman" w:cs="Times New Roman"/>
                <w:sz w:val="18"/>
                <w:szCs w:val="18"/>
              </w:rPr>
              <w:t xml:space="preserve"> </w:t>
            </w:r>
            <w:r w:rsidRPr="000973F2">
              <w:rPr>
                <w:rFonts w:ascii="Times New Roman" w:eastAsia="Times New Roman" w:hAnsi="Times New Roman" w:cs="Times New Roman"/>
                <w:sz w:val="18"/>
                <w:szCs w:val="18"/>
              </w:rPr>
              <w:t>(2017$)</w:t>
            </w:r>
          </w:p>
        </w:tc>
      </w:tr>
      <w:tr w:rsidR="00D471E9" w:rsidRPr="000973F2" w14:paraId="5E6137B3" w14:textId="77777777" w:rsidTr="009F277A">
        <w:trPr>
          <w:gridAfter w:val="1"/>
          <w:cnfStyle w:val="000000100000" w:firstRow="0" w:lastRow="0" w:firstColumn="0" w:lastColumn="0" w:oddVBand="0" w:evenVBand="0" w:oddHBand="1" w:evenHBand="0" w:firstRowFirstColumn="0" w:firstRowLastColumn="0" w:lastRowFirstColumn="0" w:lastRowLastColumn="0"/>
          <w:wAfter w:w="5" w:type="pct"/>
          <w:cantSplit/>
        </w:trPr>
        <w:tc>
          <w:tcPr>
            <w:cnfStyle w:val="001000000000" w:firstRow="0" w:lastRow="0" w:firstColumn="1" w:lastColumn="0" w:oddVBand="0" w:evenVBand="0" w:oddHBand="0" w:evenHBand="0" w:firstRowFirstColumn="0" w:firstRowLastColumn="0" w:lastRowFirstColumn="0" w:lastRowLastColumn="0"/>
            <w:tcW w:w="1336" w:type="pct"/>
            <w:vMerge/>
            <w:noWrap/>
            <w:hideMark/>
          </w:tcPr>
          <w:p w14:paraId="10817D64" w14:textId="79FCE1DF" w:rsidR="00D17312" w:rsidRPr="000973F2" w:rsidRDefault="00D17312" w:rsidP="00D471E9">
            <w:pPr>
              <w:spacing w:before="40" w:after="40"/>
              <w:jc w:val="center"/>
              <w:rPr>
                <w:rFonts w:ascii="Times New Roman" w:eastAsia="Times New Roman" w:hAnsi="Times New Roman" w:cs="Times New Roman"/>
                <w:b/>
                <w:bCs w:val="0"/>
                <w:sz w:val="18"/>
                <w:szCs w:val="18"/>
              </w:rPr>
            </w:pPr>
          </w:p>
        </w:tc>
        <w:tc>
          <w:tcPr>
            <w:tcW w:w="582" w:type="pct"/>
            <w:tcMar>
              <w:left w:w="14" w:type="dxa"/>
              <w:right w:w="14" w:type="dxa"/>
            </w:tcMar>
            <w:hideMark/>
          </w:tcPr>
          <w:p w14:paraId="52B42474" w14:textId="77777777" w:rsidR="00D17312" w:rsidRPr="000973F2" w:rsidRDefault="00D17312" w:rsidP="00D471E9">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18"/>
                <w:szCs w:val="18"/>
              </w:rPr>
            </w:pPr>
            <w:r w:rsidRPr="000973F2">
              <w:rPr>
                <w:rFonts w:ascii="Times New Roman" w:eastAsia="Times New Roman" w:hAnsi="Times New Roman" w:cs="Times New Roman"/>
                <w:b/>
                <w:bCs/>
                <w:sz w:val="18"/>
                <w:szCs w:val="18"/>
              </w:rPr>
              <w:t>Capital Cost (2017$)</w:t>
            </w:r>
          </w:p>
        </w:tc>
        <w:tc>
          <w:tcPr>
            <w:tcW w:w="578" w:type="pct"/>
            <w:tcMar>
              <w:left w:w="14" w:type="dxa"/>
              <w:right w:w="14" w:type="dxa"/>
            </w:tcMar>
            <w:hideMark/>
          </w:tcPr>
          <w:p w14:paraId="63E76465" w14:textId="77777777" w:rsidR="00D17312" w:rsidRPr="000973F2" w:rsidRDefault="00D17312" w:rsidP="00D471E9">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18"/>
                <w:szCs w:val="18"/>
              </w:rPr>
            </w:pPr>
            <w:r w:rsidRPr="000973F2">
              <w:rPr>
                <w:rFonts w:ascii="Times New Roman" w:eastAsia="Times New Roman" w:hAnsi="Times New Roman" w:cs="Times New Roman"/>
                <w:b/>
                <w:bCs/>
                <w:sz w:val="18"/>
                <w:szCs w:val="18"/>
              </w:rPr>
              <w:t>Equipment Lifetime</w:t>
            </w:r>
          </w:p>
        </w:tc>
        <w:tc>
          <w:tcPr>
            <w:tcW w:w="675" w:type="pct"/>
            <w:tcMar>
              <w:left w:w="14" w:type="dxa"/>
              <w:right w:w="14" w:type="dxa"/>
            </w:tcMar>
            <w:hideMark/>
          </w:tcPr>
          <w:p w14:paraId="3F036E94" w14:textId="6DED4140" w:rsidR="00D17312" w:rsidRPr="000973F2" w:rsidRDefault="00D17312" w:rsidP="00D471E9">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18"/>
                <w:szCs w:val="18"/>
              </w:rPr>
            </w:pPr>
            <w:r w:rsidRPr="000973F2">
              <w:rPr>
                <w:rFonts w:ascii="Times New Roman" w:eastAsia="Times New Roman" w:hAnsi="Times New Roman" w:cs="Times New Roman"/>
                <w:b/>
                <w:bCs/>
                <w:sz w:val="18"/>
                <w:szCs w:val="18"/>
              </w:rPr>
              <w:t>Annualized Capital Cost (2017$/year)</w:t>
            </w:r>
          </w:p>
        </w:tc>
        <w:tc>
          <w:tcPr>
            <w:tcW w:w="628" w:type="pct"/>
            <w:tcMar>
              <w:left w:w="14" w:type="dxa"/>
              <w:right w:w="14" w:type="dxa"/>
            </w:tcMar>
            <w:hideMark/>
          </w:tcPr>
          <w:p w14:paraId="01B5EF39" w14:textId="41ED36DA" w:rsidR="00D17312" w:rsidRPr="000973F2" w:rsidRDefault="00D17312" w:rsidP="00D471E9">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18"/>
                <w:szCs w:val="18"/>
              </w:rPr>
            </w:pPr>
            <w:r w:rsidRPr="000973F2">
              <w:rPr>
                <w:rFonts w:ascii="Times New Roman" w:eastAsia="Times New Roman" w:hAnsi="Times New Roman" w:cs="Times New Roman"/>
                <w:b/>
                <w:bCs/>
                <w:sz w:val="18"/>
                <w:szCs w:val="18"/>
              </w:rPr>
              <w:t>O&amp;M Costs (2017$/year)</w:t>
            </w:r>
          </w:p>
        </w:tc>
        <w:tc>
          <w:tcPr>
            <w:tcW w:w="576" w:type="pct"/>
            <w:tcMar>
              <w:left w:w="14" w:type="dxa"/>
              <w:right w:w="14" w:type="dxa"/>
            </w:tcMar>
            <w:hideMark/>
          </w:tcPr>
          <w:p w14:paraId="3BA70DD0" w14:textId="77777777" w:rsidR="00D17312" w:rsidRPr="000973F2" w:rsidRDefault="00D17312" w:rsidP="00D471E9">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18"/>
                <w:szCs w:val="18"/>
              </w:rPr>
            </w:pPr>
            <w:r w:rsidRPr="000973F2">
              <w:rPr>
                <w:rFonts w:ascii="Times New Roman" w:eastAsia="Times New Roman" w:hAnsi="Times New Roman" w:cs="Times New Roman"/>
                <w:b/>
                <w:bCs/>
                <w:sz w:val="18"/>
                <w:szCs w:val="18"/>
              </w:rPr>
              <w:t>Initial Year</w:t>
            </w:r>
          </w:p>
        </w:tc>
        <w:tc>
          <w:tcPr>
            <w:tcW w:w="621" w:type="pct"/>
            <w:tcMar>
              <w:left w:w="14" w:type="dxa"/>
              <w:right w:w="14" w:type="dxa"/>
            </w:tcMar>
            <w:hideMark/>
          </w:tcPr>
          <w:p w14:paraId="12C9AF92" w14:textId="77777777" w:rsidR="00D17312" w:rsidRPr="000973F2" w:rsidRDefault="00D17312" w:rsidP="00D471E9">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18"/>
                <w:szCs w:val="18"/>
              </w:rPr>
            </w:pPr>
            <w:r w:rsidRPr="000973F2">
              <w:rPr>
                <w:rFonts w:ascii="Times New Roman" w:eastAsia="Times New Roman" w:hAnsi="Times New Roman" w:cs="Times New Roman"/>
                <w:b/>
                <w:bCs/>
                <w:sz w:val="18"/>
                <w:szCs w:val="18"/>
              </w:rPr>
              <w:t>Subseq. Years</w:t>
            </w:r>
          </w:p>
        </w:tc>
      </w:tr>
      <w:tr w:rsidR="00D471E9" w:rsidRPr="000973F2" w14:paraId="664EB68D" w14:textId="77777777" w:rsidTr="009F277A">
        <w:trPr>
          <w:gridAfter w:val="1"/>
          <w:wAfter w:w="5" w:type="pct"/>
          <w:cantSplit/>
        </w:trPr>
        <w:tc>
          <w:tcPr>
            <w:cnfStyle w:val="001000000000" w:firstRow="0" w:lastRow="0" w:firstColumn="1" w:lastColumn="0" w:oddVBand="0" w:evenVBand="0" w:oddHBand="0" w:evenHBand="0" w:firstRowFirstColumn="0" w:firstRowLastColumn="0" w:lastRowFirstColumn="0" w:lastRowLastColumn="0"/>
            <w:tcW w:w="1336" w:type="pct"/>
            <w:hideMark/>
          </w:tcPr>
          <w:p w14:paraId="52A2A8B1" w14:textId="77777777" w:rsidR="00D471E9" w:rsidRPr="000973F2" w:rsidRDefault="00D471E9" w:rsidP="00D471E9">
            <w:pPr>
              <w:spacing w:before="40" w:after="4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Equipment (selection, purchase, installation)</w:t>
            </w:r>
          </w:p>
        </w:tc>
        <w:tc>
          <w:tcPr>
            <w:tcW w:w="582" w:type="pct"/>
            <w:noWrap/>
            <w:hideMark/>
          </w:tcPr>
          <w:p w14:paraId="452E5FE6" w14:textId="21BF3D22" w:rsidR="00D471E9" w:rsidRPr="000973F2" w:rsidRDefault="00D471E9" w:rsidP="00D471E9">
            <w:pPr>
              <w:spacing w:before="40" w:after="4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w:t>
            </w:r>
          </w:p>
        </w:tc>
        <w:tc>
          <w:tcPr>
            <w:tcW w:w="578" w:type="pct"/>
            <w:noWrap/>
          </w:tcPr>
          <w:p w14:paraId="1F21CCFA" w14:textId="44EBF99C" w:rsidR="00D471E9" w:rsidRPr="000973F2" w:rsidRDefault="00D471E9" w:rsidP="00D471E9">
            <w:pPr>
              <w:spacing w:before="40" w:after="4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p>
        </w:tc>
        <w:tc>
          <w:tcPr>
            <w:tcW w:w="675" w:type="pct"/>
            <w:noWrap/>
            <w:hideMark/>
          </w:tcPr>
          <w:p w14:paraId="6EC1652A" w14:textId="233578B2" w:rsidR="00D471E9" w:rsidRPr="000973F2" w:rsidRDefault="00D471E9" w:rsidP="00D471E9">
            <w:pPr>
              <w:spacing w:before="40" w:after="4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w:t>
            </w:r>
          </w:p>
        </w:tc>
        <w:tc>
          <w:tcPr>
            <w:tcW w:w="628" w:type="pct"/>
            <w:noWrap/>
            <w:hideMark/>
          </w:tcPr>
          <w:p w14:paraId="0C52EE01" w14:textId="3AD372B3" w:rsidR="00D471E9" w:rsidRPr="000973F2" w:rsidRDefault="00D471E9" w:rsidP="00D471E9">
            <w:pPr>
              <w:tabs>
                <w:tab w:val="decimal" w:pos="706"/>
              </w:tabs>
              <w:spacing w:before="40" w:after="4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w:t>
            </w:r>
          </w:p>
        </w:tc>
        <w:tc>
          <w:tcPr>
            <w:tcW w:w="576" w:type="pct"/>
            <w:noWrap/>
            <w:hideMark/>
          </w:tcPr>
          <w:p w14:paraId="648145A6" w14:textId="5C0F99E6" w:rsidR="00D471E9" w:rsidRPr="000973F2" w:rsidRDefault="00D471E9" w:rsidP="00D471E9">
            <w:pPr>
              <w:spacing w:before="40" w:after="4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w:t>
            </w:r>
          </w:p>
        </w:tc>
        <w:tc>
          <w:tcPr>
            <w:tcW w:w="621" w:type="pct"/>
            <w:noWrap/>
            <w:hideMark/>
          </w:tcPr>
          <w:p w14:paraId="4E59CE5D" w14:textId="289DBA5C" w:rsidR="00D471E9" w:rsidRPr="000973F2" w:rsidRDefault="00D471E9" w:rsidP="00D471E9">
            <w:pPr>
              <w:tabs>
                <w:tab w:val="decimal" w:pos="676"/>
              </w:tabs>
              <w:spacing w:before="40" w:after="4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w:t>
            </w:r>
          </w:p>
        </w:tc>
      </w:tr>
      <w:tr w:rsidR="00D471E9" w:rsidRPr="000973F2" w14:paraId="508382FB" w14:textId="77777777" w:rsidTr="009F277A">
        <w:trPr>
          <w:gridAfter w:val="1"/>
          <w:cnfStyle w:val="000000100000" w:firstRow="0" w:lastRow="0" w:firstColumn="0" w:lastColumn="0" w:oddVBand="0" w:evenVBand="0" w:oddHBand="1" w:evenHBand="0" w:firstRowFirstColumn="0" w:firstRowLastColumn="0" w:lastRowFirstColumn="0" w:lastRowLastColumn="0"/>
          <w:wAfter w:w="5" w:type="pct"/>
          <w:cantSplit/>
        </w:trPr>
        <w:tc>
          <w:tcPr>
            <w:cnfStyle w:val="001000000000" w:firstRow="0" w:lastRow="0" w:firstColumn="1" w:lastColumn="0" w:oddVBand="0" w:evenVBand="0" w:oddHBand="0" w:evenHBand="0" w:firstRowFirstColumn="0" w:firstRowLastColumn="0" w:lastRowFirstColumn="0" w:lastRowLastColumn="0"/>
            <w:tcW w:w="1336" w:type="pct"/>
            <w:hideMark/>
          </w:tcPr>
          <w:p w14:paraId="74BE2738" w14:textId="77777777" w:rsidR="00D471E9" w:rsidRPr="000973F2" w:rsidRDefault="00D471E9" w:rsidP="00D471E9">
            <w:pPr>
              <w:spacing w:before="40" w:after="4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Performance testing</w:t>
            </w:r>
          </w:p>
        </w:tc>
        <w:tc>
          <w:tcPr>
            <w:tcW w:w="582" w:type="pct"/>
            <w:noWrap/>
            <w:hideMark/>
          </w:tcPr>
          <w:p w14:paraId="3DF3940B" w14:textId="47DE1036" w:rsidR="00D471E9" w:rsidRPr="000973F2" w:rsidRDefault="00D471E9" w:rsidP="00D471E9">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w:t>
            </w:r>
          </w:p>
        </w:tc>
        <w:tc>
          <w:tcPr>
            <w:tcW w:w="578" w:type="pct"/>
            <w:noWrap/>
          </w:tcPr>
          <w:p w14:paraId="448337D9" w14:textId="2BD3BD73" w:rsidR="00D471E9" w:rsidRPr="000973F2" w:rsidRDefault="00D471E9" w:rsidP="00D471E9">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p>
        </w:tc>
        <w:tc>
          <w:tcPr>
            <w:tcW w:w="675" w:type="pct"/>
            <w:noWrap/>
            <w:hideMark/>
          </w:tcPr>
          <w:p w14:paraId="79024F1A" w14:textId="77FF6591" w:rsidR="00D471E9" w:rsidRPr="000973F2" w:rsidRDefault="00D471E9" w:rsidP="00D471E9">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w:t>
            </w:r>
          </w:p>
        </w:tc>
        <w:tc>
          <w:tcPr>
            <w:tcW w:w="628" w:type="pct"/>
            <w:noWrap/>
            <w:hideMark/>
          </w:tcPr>
          <w:p w14:paraId="68A19F64" w14:textId="35F7ACB1" w:rsidR="00D471E9" w:rsidRPr="000973F2" w:rsidRDefault="00D471E9" w:rsidP="00D471E9">
            <w:pPr>
              <w:tabs>
                <w:tab w:val="decimal" w:pos="706"/>
              </w:tabs>
              <w:spacing w:before="40" w:after="4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w:t>
            </w:r>
          </w:p>
        </w:tc>
        <w:tc>
          <w:tcPr>
            <w:tcW w:w="576" w:type="pct"/>
            <w:noWrap/>
            <w:hideMark/>
          </w:tcPr>
          <w:p w14:paraId="1B6C9E6A" w14:textId="75C873E0" w:rsidR="00D471E9" w:rsidRPr="000973F2" w:rsidRDefault="00D471E9" w:rsidP="00D471E9">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w:t>
            </w:r>
          </w:p>
        </w:tc>
        <w:tc>
          <w:tcPr>
            <w:tcW w:w="621" w:type="pct"/>
            <w:noWrap/>
            <w:hideMark/>
          </w:tcPr>
          <w:p w14:paraId="31060F3E" w14:textId="01701BED" w:rsidR="00D471E9" w:rsidRPr="000973F2" w:rsidRDefault="00D471E9" w:rsidP="00D471E9">
            <w:pPr>
              <w:tabs>
                <w:tab w:val="decimal" w:pos="676"/>
              </w:tabs>
              <w:spacing w:before="40" w:after="4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w:t>
            </w:r>
          </w:p>
        </w:tc>
      </w:tr>
      <w:tr w:rsidR="00D471E9" w:rsidRPr="000973F2" w14:paraId="182444E8" w14:textId="77777777" w:rsidTr="009F277A">
        <w:trPr>
          <w:gridAfter w:val="1"/>
          <w:wAfter w:w="5" w:type="pct"/>
          <w:cantSplit/>
        </w:trPr>
        <w:tc>
          <w:tcPr>
            <w:cnfStyle w:val="001000000000" w:firstRow="0" w:lastRow="0" w:firstColumn="1" w:lastColumn="0" w:oddVBand="0" w:evenVBand="0" w:oddHBand="0" w:evenHBand="0" w:firstRowFirstColumn="0" w:firstRowLastColumn="0" w:lastRowFirstColumn="0" w:lastRowLastColumn="0"/>
            <w:tcW w:w="1336" w:type="pct"/>
            <w:hideMark/>
          </w:tcPr>
          <w:p w14:paraId="6044BFA2" w14:textId="77777777" w:rsidR="00AB6F50" w:rsidRPr="000973F2" w:rsidRDefault="00AB6F50" w:rsidP="00D471E9">
            <w:pPr>
              <w:spacing w:before="40" w:after="4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Recordkeeping</w:t>
            </w:r>
          </w:p>
        </w:tc>
        <w:tc>
          <w:tcPr>
            <w:tcW w:w="582" w:type="pct"/>
            <w:noWrap/>
            <w:hideMark/>
          </w:tcPr>
          <w:p w14:paraId="48788BA2" w14:textId="77777777" w:rsidR="00AB6F50" w:rsidRPr="000973F2" w:rsidRDefault="00AB6F50" w:rsidP="00D471E9">
            <w:pPr>
              <w:spacing w:before="40" w:after="4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$0</w:t>
            </w:r>
          </w:p>
        </w:tc>
        <w:tc>
          <w:tcPr>
            <w:tcW w:w="578" w:type="pct"/>
            <w:noWrap/>
          </w:tcPr>
          <w:p w14:paraId="5391A143" w14:textId="54E07A04" w:rsidR="00AB6F50" w:rsidRPr="000973F2" w:rsidRDefault="00AB6F50" w:rsidP="00D471E9">
            <w:pPr>
              <w:spacing w:before="40" w:after="4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p>
        </w:tc>
        <w:tc>
          <w:tcPr>
            <w:tcW w:w="675" w:type="pct"/>
            <w:noWrap/>
            <w:hideMark/>
          </w:tcPr>
          <w:p w14:paraId="14E47842" w14:textId="77777777" w:rsidR="00AB6F50" w:rsidRPr="000973F2" w:rsidRDefault="00AB6F50" w:rsidP="00D471E9">
            <w:pPr>
              <w:spacing w:before="40" w:after="4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$0</w:t>
            </w:r>
          </w:p>
        </w:tc>
        <w:tc>
          <w:tcPr>
            <w:tcW w:w="628" w:type="pct"/>
            <w:noWrap/>
            <w:hideMark/>
          </w:tcPr>
          <w:p w14:paraId="1BE64B8E" w14:textId="77777777" w:rsidR="00AB6F50" w:rsidRPr="000973F2" w:rsidRDefault="00AB6F50" w:rsidP="00D471E9">
            <w:pPr>
              <w:tabs>
                <w:tab w:val="decimal" w:pos="706"/>
              </w:tabs>
              <w:spacing w:before="40" w:after="4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$50</w:t>
            </w:r>
          </w:p>
        </w:tc>
        <w:tc>
          <w:tcPr>
            <w:tcW w:w="576" w:type="pct"/>
            <w:noWrap/>
            <w:hideMark/>
          </w:tcPr>
          <w:p w14:paraId="6CED3650" w14:textId="77777777" w:rsidR="00AB6F50" w:rsidRPr="000973F2" w:rsidRDefault="00AB6F50" w:rsidP="00D471E9">
            <w:pPr>
              <w:spacing w:before="40" w:after="4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$0</w:t>
            </w:r>
          </w:p>
        </w:tc>
        <w:tc>
          <w:tcPr>
            <w:tcW w:w="621" w:type="pct"/>
            <w:noWrap/>
            <w:hideMark/>
          </w:tcPr>
          <w:p w14:paraId="63498FF3" w14:textId="77777777" w:rsidR="00AB6F50" w:rsidRPr="000973F2" w:rsidRDefault="00AB6F50" w:rsidP="00D471E9">
            <w:pPr>
              <w:tabs>
                <w:tab w:val="decimal" w:pos="676"/>
              </w:tabs>
              <w:spacing w:before="40" w:after="4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$50</w:t>
            </w:r>
          </w:p>
        </w:tc>
      </w:tr>
      <w:tr w:rsidR="00D471E9" w:rsidRPr="000973F2" w14:paraId="56159CD1" w14:textId="77777777" w:rsidTr="009F277A">
        <w:trPr>
          <w:gridAfter w:val="1"/>
          <w:cnfStyle w:val="000000100000" w:firstRow="0" w:lastRow="0" w:firstColumn="0" w:lastColumn="0" w:oddVBand="0" w:evenVBand="0" w:oddHBand="1" w:evenHBand="0" w:firstRowFirstColumn="0" w:firstRowLastColumn="0" w:lastRowFirstColumn="0" w:lastRowLastColumn="0"/>
          <w:wAfter w:w="5" w:type="pct"/>
          <w:cantSplit/>
        </w:trPr>
        <w:tc>
          <w:tcPr>
            <w:cnfStyle w:val="001000000000" w:firstRow="0" w:lastRow="0" w:firstColumn="1" w:lastColumn="0" w:oddVBand="0" w:evenVBand="0" w:oddHBand="0" w:evenHBand="0" w:firstRowFirstColumn="0" w:firstRowLastColumn="0" w:lastRowFirstColumn="0" w:lastRowLastColumn="0"/>
            <w:tcW w:w="1336" w:type="pct"/>
            <w:hideMark/>
          </w:tcPr>
          <w:p w14:paraId="427433C6" w14:textId="77777777" w:rsidR="00D471E9" w:rsidRPr="000973F2" w:rsidRDefault="00D471E9" w:rsidP="00D471E9">
            <w:pPr>
              <w:spacing w:before="40" w:after="4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Travel</w:t>
            </w:r>
          </w:p>
        </w:tc>
        <w:tc>
          <w:tcPr>
            <w:tcW w:w="582" w:type="pct"/>
            <w:noWrap/>
            <w:hideMark/>
          </w:tcPr>
          <w:p w14:paraId="7EF3154F" w14:textId="2482244B" w:rsidR="00D471E9" w:rsidRPr="000973F2" w:rsidRDefault="00D471E9" w:rsidP="00D471E9">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w:t>
            </w:r>
          </w:p>
        </w:tc>
        <w:tc>
          <w:tcPr>
            <w:tcW w:w="578" w:type="pct"/>
            <w:noWrap/>
          </w:tcPr>
          <w:p w14:paraId="4E85647F" w14:textId="7F01FB4A" w:rsidR="00D471E9" w:rsidRPr="000973F2" w:rsidRDefault="00D471E9" w:rsidP="00D471E9">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p>
        </w:tc>
        <w:tc>
          <w:tcPr>
            <w:tcW w:w="675" w:type="pct"/>
            <w:noWrap/>
            <w:hideMark/>
          </w:tcPr>
          <w:p w14:paraId="6E6D2C15" w14:textId="6C7E8EF8" w:rsidR="00D471E9" w:rsidRPr="000973F2" w:rsidRDefault="00D471E9" w:rsidP="00D471E9">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w:t>
            </w:r>
          </w:p>
        </w:tc>
        <w:tc>
          <w:tcPr>
            <w:tcW w:w="628" w:type="pct"/>
            <w:noWrap/>
            <w:hideMark/>
          </w:tcPr>
          <w:p w14:paraId="6D411A90" w14:textId="7F2590E7" w:rsidR="00D471E9" w:rsidRPr="000973F2" w:rsidRDefault="00D471E9" w:rsidP="00D471E9">
            <w:pPr>
              <w:tabs>
                <w:tab w:val="decimal" w:pos="706"/>
              </w:tabs>
              <w:spacing w:before="40" w:after="4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w:t>
            </w:r>
          </w:p>
        </w:tc>
        <w:tc>
          <w:tcPr>
            <w:tcW w:w="576" w:type="pct"/>
            <w:noWrap/>
            <w:hideMark/>
          </w:tcPr>
          <w:p w14:paraId="75A4E6BE" w14:textId="0A47281E" w:rsidR="00D471E9" w:rsidRPr="000973F2" w:rsidRDefault="00D471E9" w:rsidP="00D471E9">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w:t>
            </w:r>
          </w:p>
        </w:tc>
        <w:tc>
          <w:tcPr>
            <w:tcW w:w="621" w:type="pct"/>
            <w:noWrap/>
            <w:hideMark/>
          </w:tcPr>
          <w:p w14:paraId="5234FE89" w14:textId="6F0A739B" w:rsidR="00D471E9" w:rsidRPr="000973F2" w:rsidRDefault="00D471E9" w:rsidP="00D471E9">
            <w:pPr>
              <w:tabs>
                <w:tab w:val="decimal" w:pos="676"/>
              </w:tabs>
              <w:spacing w:before="40" w:after="4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w:t>
            </w:r>
          </w:p>
        </w:tc>
      </w:tr>
      <w:tr w:rsidR="00D471E9" w:rsidRPr="000973F2" w14:paraId="4C0F8AA5" w14:textId="77777777" w:rsidTr="009F277A">
        <w:trPr>
          <w:gridAfter w:val="1"/>
          <w:wAfter w:w="5" w:type="pct"/>
          <w:cantSplit/>
        </w:trPr>
        <w:tc>
          <w:tcPr>
            <w:cnfStyle w:val="001000000000" w:firstRow="0" w:lastRow="0" w:firstColumn="1" w:lastColumn="0" w:oddVBand="0" w:evenVBand="0" w:oddHBand="0" w:evenHBand="0" w:firstRowFirstColumn="0" w:firstRowLastColumn="0" w:lastRowFirstColumn="0" w:lastRowLastColumn="0"/>
            <w:tcW w:w="1336" w:type="pct"/>
            <w:hideMark/>
          </w:tcPr>
          <w:p w14:paraId="162DEFF8" w14:textId="6B4A8004" w:rsidR="00AB6F50" w:rsidRPr="000973F2" w:rsidRDefault="00AB6F50" w:rsidP="00D471E9">
            <w:pPr>
              <w:spacing w:before="40" w:after="4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 xml:space="preserve">Sampling </w:t>
            </w:r>
            <w:r w:rsidR="00321129" w:rsidRPr="000973F2">
              <w:rPr>
                <w:rFonts w:ascii="Times New Roman" w:eastAsia="Times New Roman" w:hAnsi="Times New Roman" w:cs="Times New Roman"/>
                <w:sz w:val="18"/>
                <w:szCs w:val="18"/>
              </w:rPr>
              <w:t xml:space="preserve">and Analysis </w:t>
            </w:r>
            <w:r w:rsidRPr="000973F2">
              <w:rPr>
                <w:rFonts w:ascii="Times New Roman" w:eastAsia="Times New Roman" w:hAnsi="Times New Roman" w:cs="Times New Roman"/>
                <w:sz w:val="18"/>
                <w:szCs w:val="18"/>
              </w:rPr>
              <w:t>Costs</w:t>
            </w:r>
          </w:p>
        </w:tc>
        <w:tc>
          <w:tcPr>
            <w:tcW w:w="582" w:type="pct"/>
            <w:noWrap/>
            <w:hideMark/>
          </w:tcPr>
          <w:p w14:paraId="7B5BC219" w14:textId="77777777" w:rsidR="00AB6F50" w:rsidRPr="000973F2" w:rsidRDefault="00AB6F50" w:rsidP="00D471E9">
            <w:pPr>
              <w:spacing w:before="40" w:after="4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$0</w:t>
            </w:r>
          </w:p>
        </w:tc>
        <w:tc>
          <w:tcPr>
            <w:tcW w:w="578" w:type="pct"/>
            <w:noWrap/>
          </w:tcPr>
          <w:p w14:paraId="0A324474" w14:textId="6912BFAF" w:rsidR="00AB6F50" w:rsidRPr="000973F2" w:rsidRDefault="00AB6F50" w:rsidP="00D471E9">
            <w:pPr>
              <w:spacing w:before="40" w:after="4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p>
        </w:tc>
        <w:tc>
          <w:tcPr>
            <w:tcW w:w="675" w:type="pct"/>
            <w:noWrap/>
            <w:hideMark/>
          </w:tcPr>
          <w:p w14:paraId="4578C3EC" w14:textId="77777777" w:rsidR="00AB6F50" w:rsidRPr="000973F2" w:rsidRDefault="00AB6F50" w:rsidP="00D471E9">
            <w:pPr>
              <w:spacing w:before="40" w:after="4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$0</w:t>
            </w:r>
          </w:p>
        </w:tc>
        <w:tc>
          <w:tcPr>
            <w:tcW w:w="628" w:type="pct"/>
            <w:noWrap/>
            <w:hideMark/>
          </w:tcPr>
          <w:p w14:paraId="45010DE6" w14:textId="77777777" w:rsidR="00AB6F50" w:rsidRPr="000973F2" w:rsidRDefault="00AB6F50" w:rsidP="00D471E9">
            <w:pPr>
              <w:tabs>
                <w:tab w:val="decimal" w:pos="706"/>
              </w:tabs>
              <w:spacing w:before="40" w:after="4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$5,478</w:t>
            </w:r>
          </w:p>
        </w:tc>
        <w:tc>
          <w:tcPr>
            <w:tcW w:w="576" w:type="pct"/>
            <w:noWrap/>
            <w:hideMark/>
          </w:tcPr>
          <w:p w14:paraId="547F103D" w14:textId="77777777" w:rsidR="00AB6F50" w:rsidRPr="000973F2" w:rsidRDefault="00AB6F50" w:rsidP="00D471E9">
            <w:pPr>
              <w:spacing w:before="40" w:after="4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$0</w:t>
            </w:r>
          </w:p>
        </w:tc>
        <w:tc>
          <w:tcPr>
            <w:tcW w:w="621" w:type="pct"/>
            <w:noWrap/>
            <w:hideMark/>
          </w:tcPr>
          <w:p w14:paraId="299ECC47" w14:textId="77777777" w:rsidR="00AB6F50" w:rsidRPr="000973F2" w:rsidRDefault="00AB6F50" w:rsidP="00D471E9">
            <w:pPr>
              <w:tabs>
                <w:tab w:val="decimal" w:pos="676"/>
              </w:tabs>
              <w:spacing w:before="40" w:after="4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$5,478</w:t>
            </w:r>
          </w:p>
        </w:tc>
      </w:tr>
      <w:tr w:rsidR="009F277A" w:rsidRPr="000973F2" w14:paraId="6C398BBD" w14:textId="77777777" w:rsidTr="009F277A">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1336" w:type="pct"/>
            <w:hideMark/>
          </w:tcPr>
          <w:p w14:paraId="0B46C764" w14:textId="77777777" w:rsidR="00AB6F50" w:rsidRPr="000973F2" w:rsidRDefault="00AB6F50" w:rsidP="00D471E9">
            <w:pPr>
              <w:spacing w:before="40" w:after="40"/>
              <w:rPr>
                <w:rFonts w:ascii="Times New Roman" w:eastAsia="Times New Roman" w:hAnsi="Times New Roman" w:cs="Times New Roman"/>
                <w:b/>
                <w:bCs w:val="0"/>
                <w:sz w:val="18"/>
                <w:szCs w:val="18"/>
              </w:rPr>
            </w:pPr>
            <w:r w:rsidRPr="000973F2">
              <w:rPr>
                <w:rFonts w:ascii="Times New Roman" w:eastAsia="Times New Roman" w:hAnsi="Times New Roman" w:cs="Times New Roman"/>
                <w:b/>
                <w:sz w:val="18"/>
                <w:szCs w:val="18"/>
              </w:rPr>
              <w:t xml:space="preserve">Total </w:t>
            </w:r>
          </w:p>
        </w:tc>
        <w:tc>
          <w:tcPr>
            <w:tcW w:w="582" w:type="pct"/>
            <w:noWrap/>
            <w:hideMark/>
          </w:tcPr>
          <w:p w14:paraId="355C0CF0" w14:textId="77777777" w:rsidR="00AB6F50" w:rsidRPr="000973F2" w:rsidRDefault="00AB6F50" w:rsidP="009F277A">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sz w:val="18"/>
                <w:szCs w:val="18"/>
              </w:rPr>
            </w:pPr>
            <w:r w:rsidRPr="000973F2">
              <w:rPr>
                <w:rFonts w:ascii="Times New Roman" w:eastAsia="Times New Roman" w:hAnsi="Times New Roman" w:cs="Times New Roman"/>
                <w:b/>
                <w:sz w:val="18"/>
                <w:szCs w:val="18"/>
              </w:rPr>
              <w:t>$0</w:t>
            </w:r>
          </w:p>
        </w:tc>
        <w:tc>
          <w:tcPr>
            <w:tcW w:w="578" w:type="pct"/>
            <w:noWrap/>
            <w:hideMark/>
          </w:tcPr>
          <w:p w14:paraId="27692336" w14:textId="0766710B" w:rsidR="00AB6F50" w:rsidRPr="000973F2" w:rsidRDefault="00AB6F50" w:rsidP="009F277A">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sz w:val="18"/>
                <w:szCs w:val="18"/>
              </w:rPr>
            </w:pPr>
          </w:p>
        </w:tc>
        <w:tc>
          <w:tcPr>
            <w:tcW w:w="675" w:type="pct"/>
            <w:noWrap/>
            <w:hideMark/>
          </w:tcPr>
          <w:p w14:paraId="0778A829" w14:textId="77777777" w:rsidR="00AB6F50" w:rsidRPr="000973F2" w:rsidRDefault="00AB6F50" w:rsidP="009F277A">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sz w:val="18"/>
                <w:szCs w:val="18"/>
              </w:rPr>
            </w:pPr>
            <w:r w:rsidRPr="000973F2">
              <w:rPr>
                <w:rFonts w:ascii="Times New Roman" w:eastAsia="Times New Roman" w:hAnsi="Times New Roman" w:cs="Times New Roman"/>
                <w:b/>
                <w:sz w:val="18"/>
                <w:szCs w:val="18"/>
              </w:rPr>
              <w:t>$0</w:t>
            </w:r>
          </w:p>
        </w:tc>
        <w:tc>
          <w:tcPr>
            <w:tcW w:w="628" w:type="pct"/>
            <w:noWrap/>
            <w:hideMark/>
          </w:tcPr>
          <w:p w14:paraId="3AD7E2B2" w14:textId="77777777" w:rsidR="00AB6F50" w:rsidRPr="000973F2" w:rsidRDefault="00AB6F50" w:rsidP="009F277A">
            <w:pPr>
              <w:tabs>
                <w:tab w:val="decimal" w:pos="691"/>
              </w:tabs>
              <w:spacing w:before="40" w:after="4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sz w:val="18"/>
                <w:szCs w:val="18"/>
              </w:rPr>
            </w:pPr>
            <w:r w:rsidRPr="000973F2">
              <w:rPr>
                <w:rFonts w:ascii="Times New Roman" w:eastAsia="Times New Roman" w:hAnsi="Times New Roman" w:cs="Times New Roman"/>
                <w:b/>
                <w:sz w:val="18"/>
                <w:szCs w:val="18"/>
              </w:rPr>
              <w:t>$5,528</w:t>
            </w:r>
          </w:p>
        </w:tc>
        <w:tc>
          <w:tcPr>
            <w:tcW w:w="576" w:type="pct"/>
            <w:noWrap/>
            <w:hideMark/>
          </w:tcPr>
          <w:p w14:paraId="07208A2E" w14:textId="77777777" w:rsidR="00AB6F50" w:rsidRPr="000973F2" w:rsidRDefault="00AB6F50" w:rsidP="009F277A">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sz w:val="18"/>
                <w:szCs w:val="18"/>
              </w:rPr>
            </w:pPr>
            <w:r w:rsidRPr="000973F2">
              <w:rPr>
                <w:rFonts w:ascii="Times New Roman" w:eastAsia="Times New Roman" w:hAnsi="Times New Roman" w:cs="Times New Roman"/>
                <w:b/>
                <w:sz w:val="18"/>
                <w:szCs w:val="18"/>
              </w:rPr>
              <w:t>$0</w:t>
            </w:r>
          </w:p>
        </w:tc>
        <w:tc>
          <w:tcPr>
            <w:tcW w:w="626" w:type="pct"/>
            <w:gridSpan w:val="2"/>
            <w:noWrap/>
            <w:hideMark/>
          </w:tcPr>
          <w:p w14:paraId="0661AD14" w14:textId="77777777" w:rsidR="00AB6F50" w:rsidRPr="000973F2" w:rsidRDefault="00AB6F50" w:rsidP="009F277A">
            <w:pPr>
              <w:tabs>
                <w:tab w:val="decimal" w:pos="691"/>
              </w:tabs>
              <w:spacing w:before="40" w:after="4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sz w:val="18"/>
                <w:szCs w:val="18"/>
              </w:rPr>
            </w:pPr>
            <w:r w:rsidRPr="000973F2">
              <w:rPr>
                <w:rFonts w:ascii="Times New Roman" w:eastAsia="Times New Roman" w:hAnsi="Times New Roman" w:cs="Times New Roman"/>
                <w:b/>
                <w:sz w:val="18"/>
                <w:szCs w:val="18"/>
              </w:rPr>
              <w:t>$5,528</w:t>
            </w:r>
          </w:p>
        </w:tc>
      </w:tr>
    </w:tbl>
    <w:p w14:paraId="43F08B34" w14:textId="6E99B4F5" w:rsidR="00AB6F50" w:rsidRPr="000973F2" w:rsidRDefault="00AB6F50" w:rsidP="0061585D">
      <w:pPr>
        <w:pStyle w:val="Heading2"/>
      </w:pPr>
      <w:r w:rsidRPr="000973F2">
        <w:t xml:space="preserve">Labor Costs for Subpart W </w:t>
      </w:r>
      <w:r w:rsidR="009F277A" w:rsidRPr="000973F2">
        <w:t>–</w:t>
      </w:r>
      <w:r w:rsidRPr="000973F2">
        <w:t xml:space="preserve"> LNG Import and Export Equipment</w:t>
      </w:r>
    </w:p>
    <w:p w14:paraId="7E192620" w14:textId="7631BC6B" w:rsidR="00AB6F50" w:rsidRPr="000973F2" w:rsidRDefault="00AB6F50" w:rsidP="009F277A">
      <w:pPr>
        <w:pStyle w:val="BodyText"/>
      </w:pPr>
      <w:r w:rsidRPr="000973F2">
        <w:t xml:space="preserve">Table </w:t>
      </w:r>
      <w:r w:rsidR="009F277A" w:rsidRPr="000973F2">
        <w:t>W-</w:t>
      </w:r>
      <w:r w:rsidRPr="000973F2">
        <w:t>1g below includes the labor hours for each of the 6 existing reporters in the LNG Import and Export Equipment industry segment to comply with Subpart W according to §98.232(h). Typical activities related to planning, QA/QC, recordkeeping and reporting, and sampling and analysis (which includes emission calculations) are discussed in the Cost Appendix Introduction. Calculations required for this industry segment are detailed in §98.233, based on the emission sources listed in §98.232(h).</w:t>
      </w:r>
    </w:p>
    <w:p w14:paraId="7F44E658" w14:textId="095DD32C" w:rsidR="00AB6F50" w:rsidRPr="000973F2" w:rsidRDefault="00AB6F50" w:rsidP="009F277A">
      <w:pPr>
        <w:pStyle w:val="Heading2"/>
      </w:pPr>
      <w:r w:rsidRPr="000973F2">
        <w:t xml:space="preserve">Capital and O&amp;M Costs for Subpart W </w:t>
      </w:r>
      <w:r w:rsidR="009F277A" w:rsidRPr="000973F2">
        <w:t>–</w:t>
      </w:r>
      <w:r w:rsidRPr="000973F2">
        <w:t xml:space="preserve"> LNG Import and Export Equipment</w:t>
      </w:r>
    </w:p>
    <w:p w14:paraId="1145CC7C" w14:textId="5B60E2C7" w:rsidR="00AB6F50" w:rsidRPr="000973F2" w:rsidRDefault="00AB6F50" w:rsidP="009F277A">
      <w:pPr>
        <w:pStyle w:val="BodyText"/>
      </w:pPr>
      <w:r w:rsidRPr="000973F2">
        <w:t xml:space="preserve">Table </w:t>
      </w:r>
      <w:r w:rsidR="009F277A" w:rsidRPr="000973F2">
        <w:t>W-</w:t>
      </w:r>
      <w:r w:rsidRPr="000973F2">
        <w:t>2g below includes the capital and O&amp;M costs for each of the 6 reporters in the LNG Import and Export industry segment to comply with Subpart W. Typical costs related to equipment, performance testing, recordkeeping, and travel are discussed in the Cost Appendix Introduction.</w:t>
      </w:r>
    </w:p>
    <w:p w14:paraId="3DC2771B" w14:textId="77777777" w:rsidR="00AB6F50" w:rsidRPr="000973F2" w:rsidRDefault="00AB6F50" w:rsidP="009F277A">
      <w:pPr>
        <w:pStyle w:val="BodyText"/>
      </w:pPr>
      <w:r w:rsidRPr="000973F2">
        <w:t>Sampling costs for this industry segment are related to the use of EPA Method 21 to conduct equipment leak surveys, and the hiring of contractors to conduct leak measurements for reciprocating and centrifugal compressors.</w:t>
      </w:r>
    </w:p>
    <w:p w14:paraId="3DE19481" w14:textId="362AB3D0" w:rsidR="00AB6F50" w:rsidRPr="000973F2" w:rsidRDefault="00AB6F50" w:rsidP="005D6075">
      <w:pPr>
        <w:pStyle w:val="Tabletitle"/>
      </w:pPr>
      <w:r w:rsidRPr="000973F2">
        <w:t xml:space="preserve">Table </w:t>
      </w:r>
      <w:r w:rsidR="009F277A" w:rsidRPr="000973F2">
        <w:t>W-</w:t>
      </w:r>
      <w:r w:rsidRPr="000973F2">
        <w:t xml:space="preserve">1g. </w:t>
      </w:r>
      <w:r w:rsidR="001F4582" w:rsidRPr="000973F2">
        <w:t xml:space="preserve">Labor Costs </w:t>
      </w:r>
      <w:r w:rsidR="00B960CC" w:rsidRPr="000973F2">
        <w:t>–</w:t>
      </w:r>
      <w:r w:rsidR="001F4582" w:rsidRPr="000973F2">
        <w:t xml:space="preserve"> </w:t>
      </w:r>
      <w:r w:rsidRPr="000973F2">
        <w:t>Subpart W –LNG Import and Export Equipment</w:t>
      </w:r>
    </w:p>
    <w:tbl>
      <w:tblPr>
        <w:tblStyle w:val="PlainTable1"/>
        <w:tblW w:w="5000" w:type="pct"/>
        <w:jc w:val="left"/>
        <w:tblLayout w:type="fixed"/>
        <w:tblCellMar>
          <w:left w:w="115" w:type="dxa"/>
          <w:right w:w="115" w:type="dxa"/>
        </w:tblCellMar>
        <w:tblLook w:val="04A0" w:firstRow="1" w:lastRow="0" w:firstColumn="1" w:lastColumn="0" w:noHBand="0" w:noVBand="1"/>
      </w:tblPr>
      <w:tblGrid>
        <w:gridCol w:w="1279"/>
        <w:gridCol w:w="687"/>
        <w:gridCol w:w="688"/>
        <w:gridCol w:w="689"/>
        <w:gridCol w:w="689"/>
        <w:gridCol w:w="689"/>
        <w:gridCol w:w="689"/>
        <w:gridCol w:w="689"/>
        <w:gridCol w:w="689"/>
        <w:gridCol w:w="689"/>
        <w:gridCol w:w="689"/>
        <w:gridCol w:w="607"/>
        <w:gridCol w:w="817"/>
      </w:tblGrid>
      <w:tr w:rsidR="00AB6F50" w:rsidRPr="000973F2" w14:paraId="10B1AA90" w14:textId="77777777" w:rsidTr="009F277A">
        <w:trPr>
          <w:cnfStyle w:val="100000000000" w:firstRow="1" w:lastRow="0" w:firstColumn="0" w:lastColumn="0" w:oddVBand="0" w:evenVBand="0" w:oddHBand="0" w:evenHBand="0" w:firstRowFirstColumn="0" w:firstRowLastColumn="0" w:lastRowFirstColumn="0" w:lastRowLastColumn="0"/>
          <w:cantSplit/>
          <w:jc w:val="left"/>
        </w:trPr>
        <w:tc>
          <w:tcPr>
            <w:cnfStyle w:val="001000000000" w:firstRow="0" w:lastRow="0" w:firstColumn="1" w:lastColumn="0" w:oddVBand="0" w:evenVBand="0" w:oddHBand="0" w:evenHBand="0" w:firstRowFirstColumn="0" w:firstRowLastColumn="0" w:lastRowFirstColumn="0" w:lastRowLastColumn="0"/>
            <w:tcW w:w="1245" w:type="dxa"/>
            <w:vMerge w:val="restart"/>
            <w:noWrap/>
            <w:vAlign w:val="top"/>
            <w:hideMark/>
          </w:tcPr>
          <w:p w14:paraId="120AED9C" w14:textId="77777777" w:rsidR="00AB6F50" w:rsidRPr="000973F2" w:rsidRDefault="00AB6F50" w:rsidP="009F277A">
            <w:pPr>
              <w:spacing w:before="40" w:after="40"/>
              <w:rPr>
                <w:rFonts w:ascii="Times New Roman" w:eastAsia="Times New Roman" w:hAnsi="Times New Roman" w:cs="Times New Roman"/>
                <w:b w:val="0"/>
                <w:bCs w:val="0"/>
                <w:sz w:val="18"/>
                <w:szCs w:val="18"/>
              </w:rPr>
            </w:pPr>
            <w:r w:rsidRPr="000973F2">
              <w:rPr>
                <w:rFonts w:ascii="Times New Roman" w:eastAsia="Times New Roman" w:hAnsi="Times New Roman" w:cs="Times New Roman"/>
                <w:sz w:val="18"/>
                <w:szCs w:val="18"/>
              </w:rPr>
              <w:t>Activity</w:t>
            </w:r>
          </w:p>
        </w:tc>
        <w:tc>
          <w:tcPr>
            <w:tcW w:w="6699" w:type="dxa"/>
            <w:gridSpan w:val="10"/>
            <w:noWrap/>
            <w:vAlign w:val="top"/>
            <w:hideMark/>
          </w:tcPr>
          <w:p w14:paraId="484A3DDB" w14:textId="77777777" w:rsidR="00AB6F50" w:rsidRPr="000973F2" w:rsidRDefault="00AB6F50" w:rsidP="009F277A">
            <w:pPr>
              <w:spacing w:before="40" w:after="40"/>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bCs w:val="0"/>
                <w:sz w:val="18"/>
                <w:szCs w:val="18"/>
              </w:rPr>
            </w:pPr>
            <w:r w:rsidRPr="000973F2">
              <w:rPr>
                <w:rFonts w:ascii="Times New Roman" w:eastAsia="Times New Roman" w:hAnsi="Times New Roman" w:cs="Times New Roman"/>
                <w:sz w:val="18"/>
                <w:szCs w:val="18"/>
              </w:rPr>
              <w:t>Labor Rates (per hour)</w:t>
            </w:r>
          </w:p>
        </w:tc>
        <w:tc>
          <w:tcPr>
            <w:tcW w:w="1386" w:type="dxa"/>
            <w:gridSpan w:val="2"/>
            <w:vMerge w:val="restart"/>
            <w:vAlign w:val="top"/>
            <w:hideMark/>
          </w:tcPr>
          <w:p w14:paraId="58174B54" w14:textId="61E24ACB" w:rsidR="00AB6F50" w:rsidRPr="000973F2" w:rsidRDefault="00AB6F50" w:rsidP="005D6075">
            <w:pPr>
              <w:spacing w:before="40" w:after="40"/>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bCs w:val="0"/>
                <w:sz w:val="18"/>
                <w:szCs w:val="18"/>
              </w:rPr>
            </w:pPr>
            <w:r w:rsidRPr="000973F2">
              <w:rPr>
                <w:rFonts w:ascii="Times New Roman" w:eastAsia="Times New Roman" w:hAnsi="Times New Roman" w:cs="Times New Roman"/>
                <w:sz w:val="18"/>
                <w:szCs w:val="18"/>
              </w:rPr>
              <w:t>Total Labor Cost per Year per Reporter</w:t>
            </w:r>
            <w:r w:rsidR="005D6075" w:rsidRPr="000973F2">
              <w:rPr>
                <w:rFonts w:ascii="Times New Roman" w:eastAsia="Times New Roman" w:hAnsi="Times New Roman" w:cs="Times New Roman"/>
                <w:sz w:val="18"/>
                <w:szCs w:val="18"/>
              </w:rPr>
              <w:t xml:space="preserve"> </w:t>
            </w:r>
            <w:r w:rsidRPr="000973F2">
              <w:rPr>
                <w:rFonts w:ascii="Times New Roman" w:eastAsia="Times New Roman" w:hAnsi="Times New Roman" w:cs="Times New Roman"/>
                <w:sz w:val="18"/>
                <w:szCs w:val="18"/>
              </w:rPr>
              <w:t>(2017$)</w:t>
            </w:r>
          </w:p>
        </w:tc>
      </w:tr>
      <w:tr w:rsidR="00AD5834" w:rsidRPr="000973F2" w14:paraId="417A718A" w14:textId="77777777" w:rsidTr="009F277A">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1245" w:type="dxa"/>
            <w:vMerge/>
            <w:hideMark/>
          </w:tcPr>
          <w:p w14:paraId="0AE91003" w14:textId="77777777" w:rsidR="00AB6F50" w:rsidRPr="000973F2" w:rsidRDefault="00AB6F50" w:rsidP="009F277A">
            <w:pPr>
              <w:spacing w:before="40" w:after="40"/>
              <w:rPr>
                <w:rFonts w:ascii="Times New Roman" w:eastAsia="Times New Roman" w:hAnsi="Times New Roman" w:cs="Times New Roman"/>
                <w:b/>
                <w:bCs w:val="0"/>
                <w:sz w:val="18"/>
                <w:szCs w:val="18"/>
              </w:rPr>
            </w:pPr>
          </w:p>
        </w:tc>
        <w:tc>
          <w:tcPr>
            <w:tcW w:w="1339" w:type="dxa"/>
            <w:gridSpan w:val="2"/>
            <w:noWrap/>
            <w:hideMark/>
          </w:tcPr>
          <w:p w14:paraId="2A17F153" w14:textId="77777777" w:rsidR="00AB6F50" w:rsidRPr="000973F2" w:rsidRDefault="00AB6F50" w:rsidP="009F277A">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18"/>
                <w:szCs w:val="18"/>
              </w:rPr>
            </w:pPr>
            <w:r w:rsidRPr="000973F2">
              <w:rPr>
                <w:rFonts w:ascii="Times New Roman" w:eastAsia="Times New Roman" w:hAnsi="Times New Roman" w:cs="Times New Roman"/>
                <w:b/>
                <w:bCs/>
                <w:sz w:val="18"/>
                <w:szCs w:val="18"/>
              </w:rPr>
              <w:t>Lawyer</w:t>
            </w:r>
          </w:p>
        </w:tc>
        <w:tc>
          <w:tcPr>
            <w:tcW w:w="1340" w:type="dxa"/>
            <w:gridSpan w:val="2"/>
            <w:noWrap/>
            <w:hideMark/>
          </w:tcPr>
          <w:p w14:paraId="7391B366" w14:textId="77777777" w:rsidR="00AB6F50" w:rsidRPr="000973F2" w:rsidRDefault="00AB6F50" w:rsidP="009F277A">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18"/>
                <w:szCs w:val="18"/>
              </w:rPr>
            </w:pPr>
            <w:r w:rsidRPr="000973F2">
              <w:rPr>
                <w:rFonts w:ascii="Times New Roman" w:eastAsia="Times New Roman" w:hAnsi="Times New Roman" w:cs="Times New Roman"/>
                <w:b/>
                <w:bCs/>
                <w:sz w:val="18"/>
                <w:szCs w:val="18"/>
              </w:rPr>
              <w:t>Senior Manager</w:t>
            </w:r>
          </w:p>
        </w:tc>
        <w:tc>
          <w:tcPr>
            <w:tcW w:w="1340" w:type="dxa"/>
            <w:gridSpan w:val="2"/>
            <w:noWrap/>
            <w:hideMark/>
          </w:tcPr>
          <w:p w14:paraId="379C3D60" w14:textId="77777777" w:rsidR="00AB6F50" w:rsidRPr="000973F2" w:rsidRDefault="00AB6F50" w:rsidP="009F277A">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18"/>
                <w:szCs w:val="18"/>
              </w:rPr>
            </w:pPr>
            <w:r w:rsidRPr="000973F2">
              <w:rPr>
                <w:rFonts w:ascii="Times New Roman" w:eastAsia="Times New Roman" w:hAnsi="Times New Roman" w:cs="Times New Roman"/>
                <w:b/>
                <w:bCs/>
                <w:sz w:val="18"/>
                <w:szCs w:val="18"/>
              </w:rPr>
              <w:t>Middle Manager</w:t>
            </w:r>
          </w:p>
        </w:tc>
        <w:tc>
          <w:tcPr>
            <w:tcW w:w="1340" w:type="dxa"/>
            <w:gridSpan w:val="2"/>
            <w:hideMark/>
          </w:tcPr>
          <w:p w14:paraId="7FEB664F" w14:textId="77777777" w:rsidR="00AB6F50" w:rsidRPr="000973F2" w:rsidRDefault="00AB6F50" w:rsidP="009F277A">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18"/>
                <w:szCs w:val="18"/>
              </w:rPr>
            </w:pPr>
            <w:r w:rsidRPr="000973F2">
              <w:rPr>
                <w:rFonts w:ascii="Times New Roman" w:eastAsia="Times New Roman" w:hAnsi="Times New Roman" w:cs="Times New Roman"/>
                <w:b/>
                <w:bCs/>
                <w:sz w:val="18"/>
                <w:szCs w:val="18"/>
              </w:rPr>
              <w:t>Engineer</w:t>
            </w:r>
          </w:p>
        </w:tc>
        <w:tc>
          <w:tcPr>
            <w:tcW w:w="1340" w:type="dxa"/>
            <w:gridSpan w:val="2"/>
            <w:hideMark/>
          </w:tcPr>
          <w:p w14:paraId="04C0EE1F" w14:textId="77777777" w:rsidR="00AB6F50" w:rsidRPr="000973F2" w:rsidRDefault="00AB6F50" w:rsidP="009F277A">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18"/>
                <w:szCs w:val="18"/>
              </w:rPr>
            </w:pPr>
            <w:r w:rsidRPr="000973F2">
              <w:rPr>
                <w:rFonts w:ascii="Times New Roman" w:eastAsia="Times New Roman" w:hAnsi="Times New Roman" w:cs="Times New Roman"/>
                <w:b/>
                <w:bCs/>
                <w:sz w:val="18"/>
                <w:szCs w:val="18"/>
              </w:rPr>
              <w:t>Technician</w:t>
            </w:r>
          </w:p>
        </w:tc>
        <w:tc>
          <w:tcPr>
            <w:tcW w:w="1386" w:type="dxa"/>
            <w:gridSpan w:val="2"/>
            <w:vMerge/>
            <w:hideMark/>
          </w:tcPr>
          <w:p w14:paraId="787BD3D4" w14:textId="77777777" w:rsidR="00AB6F50" w:rsidRPr="000973F2" w:rsidRDefault="00AB6F50" w:rsidP="009F277A">
            <w:pPr>
              <w:spacing w:before="40" w:after="4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18"/>
                <w:szCs w:val="18"/>
              </w:rPr>
            </w:pPr>
          </w:p>
        </w:tc>
      </w:tr>
      <w:tr w:rsidR="00AB6F50" w:rsidRPr="000973F2" w14:paraId="26B32923" w14:textId="77777777" w:rsidTr="009F277A">
        <w:trPr>
          <w:cantSplit/>
        </w:trPr>
        <w:tc>
          <w:tcPr>
            <w:cnfStyle w:val="001000000000" w:firstRow="0" w:lastRow="0" w:firstColumn="1" w:lastColumn="0" w:oddVBand="0" w:evenVBand="0" w:oddHBand="0" w:evenHBand="0" w:firstRowFirstColumn="0" w:firstRowLastColumn="0" w:lastRowFirstColumn="0" w:lastRowLastColumn="0"/>
            <w:tcW w:w="1245" w:type="dxa"/>
            <w:vMerge/>
            <w:hideMark/>
          </w:tcPr>
          <w:p w14:paraId="116288FD" w14:textId="77777777" w:rsidR="00AB6F50" w:rsidRPr="000973F2" w:rsidRDefault="00AB6F50" w:rsidP="009F277A">
            <w:pPr>
              <w:spacing w:before="40" w:after="40"/>
              <w:rPr>
                <w:rFonts w:ascii="Times New Roman" w:eastAsia="Times New Roman" w:hAnsi="Times New Roman" w:cs="Times New Roman"/>
                <w:b/>
                <w:bCs w:val="0"/>
                <w:sz w:val="18"/>
                <w:szCs w:val="18"/>
              </w:rPr>
            </w:pPr>
          </w:p>
        </w:tc>
        <w:tc>
          <w:tcPr>
            <w:tcW w:w="1339" w:type="dxa"/>
            <w:gridSpan w:val="2"/>
            <w:noWrap/>
            <w:hideMark/>
          </w:tcPr>
          <w:p w14:paraId="0C2DFAD3" w14:textId="3B07696E" w:rsidR="00AB6F50" w:rsidRPr="000973F2" w:rsidRDefault="00AB6F50" w:rsidP="009F277A">
            <w:pPr>
              <w:spacing w:before="40" w:after="4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sz w:val="18"/>
                <w:szCs w:val="18"/>
              </w:rPr>
            </w:pPr>
            <w:r w:rsidRPr="000973F2">
              <w:rPr>
                <w:rFonts w:ascii="Times New Roman" w:eastAsia="Times New Roman" w:hAnsi="Times New Roman" w:cs="Times New Roman"/>
                <w:b/>
                <w:bCs/>
                <w:sz w:val="18"/>
                <w:szCs w:val="18"/>
              </w:rPr>
              <w:t>$112.23</w:t>
            </w:r>
          </w:p>
        </w:tc>
        <w:tc>
          <w:tcPr>
            <w:tcW w:w="1340" w:type="dxa"/>
            <w:gridSpan w:val="2"/>
            <w:hideMark/>
          </w:tcPr>
          <w:p w14:paraId="5AFC2ADF" w14:textId="26646778" w:rsidR="00AB6F50" w:rsidRPr="000973F2" w:rsidRDefault="00AB6F50" w:rsidP="009F277A">
            <w:pPr>
              <w:spacing w:before="40" w:after="4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sz w:val="18"/>
                <w:szCs w:val="18"/>
              </w:rPr>
            </w:pPr>
            <w:r w:rsidRPr="000973F2">
              <w:rPr>
                <w:rFonts w:ascii="Times New Roman" w:eastAsia="Times New Roman" w:hAnsi="Times New Roman" w:cs="Times New Roman"/>
                <w:b/>
                <w:bCs/>
                <w:sz w:val="18"/>
                <w:szCs w:val="18"/>
              </w:rPr>
              <w:t>$141.54</w:t>
            </w:r>
          </w:p>
        </w:tc>
        <w:tc>
          <w:tcPr>
            <w:tcW w:w="1340" w:type="dxa"/>
            <w:gridSpan w:val="2"/>
            <w:noWrap/>
            <w:hideMark/>
          </w:tcPr>
          <w:p w14:paraId="17058C06" w14:textId="74E23D82" w:rsidR="00AB6F50" w:rsidRPr="000973F2" w:rsidRDefault="00AB6F50" w:rsidP="009F277A">
            <w:pPr>
              <w:spacing w:before="40" w:after="4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sz w:val="18"/>
                <w:szCs w:val="18"/>
              </w:rPr>
            </w:pPr>
            <w:r w:rsidRPr="000973F2">
              <w:rPr>
                <w:rFonts w:ascii="Times New Roman" w:eastAsia="Times New Roman" w:hAnsi="Times New Roman" w:cs="Times New Roman"/>
                <w:b/>
                <w:bCs/>
                <w:sz w:val="18"/>
                <w:szCs w:val="18"/>
              </w:rPr>
              <w:t>$105.68</w:t>
            </w:r>
          </w:p>
        </w:tc>
        <w:tc>
          <w:tcPr>
            <w:tcW w:w="1340" w:type="dxa"/>
            <w:gridSpan w:val="2"/>
            <w:hideMark/>
          </w:tcPr>
          <w:p w14:paraId="4AD981F1" w14:textId="265E990B" w:rsidR="00AB6F50" w:rsidRPr="000973F2" w:rsidRDefault="00AB6F50" w:rsidP="009F277A">
            <w:pPr>
              <w:spacing w:before="40" w:after="4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sz w:val="18"/>
                <w:szCs w:val="18"/>
              </w:rPr>
            </w:pPr>
            <w:r w:rsidRPr="000973F2">
              <w:rPr>
                <w:rFonts w:ascii="Times New Roman" w:eastAsia="Times New Roman" w:hAnsi="Times New Roman" w:cs="Times New Roman"/>
                <w:b/>
                <w:bCs/>
                <w:sz w:val="18"/>
                <w:szCs w:val="18"/>
              </w:rPr>
              <w:t>$91.06</w:t>
            </w:r>
          </w:p>
        </w:tc>
        <w:tc>
          <w:tcPr>
            <w:tcW w:w="1340" w:type="dxa"/>
            <w:gridSpan w:val="2"/>
            <w:noWrap/>
            <w:hideMark/>
          </w:tcPr>
          <w:p w14:paraId="155AEA7F" w14:textId="1621F55E" w:rsidR="00AB6F50" w:rsidRPr="000973F2" w:rsidRDefault="00AB6F50" w:rsidP="009F277A">
            <w:pPr>
              <w:spacing w:before="40" w:after="4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sz w:val="18"/>
                <w:szCs w:val="18"/>
              </w:rPr>
            </w:pPr>
            <w:r w:rsidRPr="000973F2">
              <w:rPr>
                <w:rFonts w:ascii="Times New Roman" w:eastAsia="Times New Roman" w:hAnsi="Times New Roman" w:cs="Times New Roman"/>
                <w:b/>
                <w:bCs/>
                <w:sz w:val="18"/>
                <w:szCs w:val="18"/>
              </w:rPr>
              <w:t>$60.72</w:t>
            </w:r>
          </w:p>
        </w:tc>
        <w:tc>
          <w:tcPr>
            <w:tcW w:w="1386" w:type="dxa"/>
            <w:gridSpan w:val="2"/>
            <w:vMerge/>
            <w:hideMark/>
          </w:tcPr>
          <w:p w14:paraId="5BE2CBD9" w14:textId="77777777" w:rsidR="00AB6F50" w:rsidRPr="000973F2" w:rsidRDefault="00AB6F50" w:rsidP="009F277A">
            <w:pPr>
              <w:spacing w:before="40" w:after="4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sz w:val="18"/>
                <w:szCs w:val="18"/>
              </w:rPr>
            </w:pPr>
          </w:p>
        </w:tc>
      </w:tr>
      <w:tr w:rsidR="009F277A" w:rsidRPr="000973F2" w14:paraId="3A82B0F2" w14:textId="77777777" w:rsidTr="009F277A">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1245" w:type="dxa"/>
            <w:vMerge/>
            <w:hideMark/>
          </w:tcPr>
          <w:p w14:paraId="423DED5F" w14:textId="77777777" w:rsidR="00AB6F50" w:rsidRPr="000973F2" w:rsidRDefault="00AB6F50" w:rsidP="009F277A">
            <w:pPr>
              <w:spacing w:before="40" w:after="40"/>
              <w:rPr>
                <w:rFonts w:ascii="Times New Roman" w:eastAsia="Times New Roman" w:hAnsi="Times New Roman" w:cs="Times New Roman"/>
                <w:b/>
                <w:bCs w:val="0"/>
                <w:sz w:val="18"/>
                <w:szCs w:val="18"/>
              </w:rPr>
            </w:pPr>
          </w:p>
        </w:tc>
        <w:tc>
          <w:tcPr>
            <w:tcW w:w="669" w:type="dxa"/>
            <w:tcMar>
              <w:left w:w="14" w:type="dxa"/>
              <w:right w:w="14" w:type="dxa"/>
            </w:tcMar>
            <w:hideMark/>
          </w:tcPr>
          <w:p w14:paraId="5CC81E31" w14:textId="77777777" w:rsidR="00AB6F50" w:rsidRPr="000973F2" w:rsidRDefault="00AB6F50" w:rsidP="009F277A">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18"/>
                <w:szCs w:val="18"/>
              </w:rPr>
            </w:pPr>
            <w:r w:rsidRPr="000973F2">
              <w:rPr>
                <w:rFonts w:ascii="Times New Roman" w:eastAsia="Times New Roman" w:hAnsi="Times New Roman" w:cs="Times New Roman"/>
                <w:b/>
                <w:bCs/>
                <w:sz w:val="18"/>
                <w:szCs w:val="18"/>
              </w:rPr>
              <w:t>Initial Year Hours</w:t>
            </w:r>
          </w:p>
        </w:tc>
        <w:tc>
          <w:tcPr>
            <w:tcW w:w="670" w:type="dxa"/>
            <w:tcMar>
              <w:left w:w="14" w:type="dxa"/>
              <w:right w:w="14" w:type="dxa"/>
            </w:tcMar>
            <w:hideMark/>
          </w:tcPr>
          <w:p w14:paraId="043B1EFD" w14:textId="77777777" w:rsidR="00AB6F50" w:rsidRPr="000973F2" w:rsidRDefault="00AB6F50" w:rsidP="009F277A">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18"/>
                <w:szCs w:val="18"/>
              </w:rPr>
            </w:pPr>
            <w:r w:rsidRPr="000973F2">
              <w:rPr>
                <w:rFonts w:ascii="Times New Roman" w:eastAsia="Times New Roman" w:hAnsi="Times New Roman" w:cs="Times New Roman"/>
                <w:b/>
                <w:bCs/>
                <w:sz w:val="18"/>
                <w:szCs w:val="18"/>
              </w:rPr>
              <w:t>Subseq. Year Hours</w:t>
            </w:r>
          </w:p>
        </w:tc>
        <w:tc>
          <w:tcPr>
            <w:tcW w:w="670" w:type="dxa"/>
            <w:tcMar>
              <w:left w:w="14" w:type="dxa"/>
              <w:right w:w="14" w:type="dxa"/>
            </w:tcMar>
            <w:hideMark/>
          </w:tcPr>
          <w:p w14:paraId="6B207393" w14:textId="77777777" w:rsidR="00AB6F50" w:rsidRPr="000973F2" w:rsidRDefault="00AB6F50" w:rsidP="009F277A">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18"/>
                <w:szCs w:val="18"/>
              </w:rPr>
            </w:pPr>
            <w:r w:rsidRPr="000973F2">
              <w:rPr>
                <w:rFonts w:ascii="Times New Roman" w:eastAsia="Times New Roman" w:hAnsi="Times New Roman" w:cs="Times New Roman"/>
                <w:b/>
                <w:bCs/>
                <w:sz w:val="18"/>
                <w:szCs w:val="18"/>
              </w:rPr>
              <w:t>Initial Year Hours</w:t>
            </w:r>
          </w:p>
        </w:tc>
        <w:tc>
          <w:tcPr>
            <w:tcW w:w="670" w:type="dxa"/>
            <w:tcMar>
              <w:left w:w="14" w:type="dxa"/>
              <w:right w:w="14" w:type="dxa"/>
            </w:tcMar>
            <w:hideMark/>
          </w:tcPr>
          <w:p w14:paraId="56FEB9EC" w14:textId="77777777" w:rsidR="00AB6F50" w:rsidRPr="000973F2" w:rsidRDefault="00AB6F50" w:rsidP="009F277A">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18"/>
                <w:szCs w:val="18"/>
              </w:rPr>
            </w:pPr>
            <w:r w:rsidRPr="000973F2">
              <w:rPr>
                <w:rFonts w:ascii="Times New Roman" w:eastAsia="Times New Roman" w:hAnsi="Times New Roman" w:cs="Times New Roman"/>
                <w:b/>
                <w:bCs/>
                <w:sz w:val="18"/>
                <w:szCs w:val="18"/>
              </w:rPr>
              <w:t>Subseq. Year Hours</w:t>
            </w:r>
          </w:p>
        </w:tc>
        <w:tc>
          <w:tcPr>
            <w:tcW w:w="670" w:type="dxa"/>
            <w:tcMar>
              <w:left w:w="14" w:type="dxa"/>
              <w:right w:w="14" w:type="dxa"/>
            </w:tcMar>
            <w:hideMark/>
          </w:tcPr>
          <w:p w14:paraId="052F85C1" w14:textId="77777777" w:rsidR="00AB6F50" w:rsidRPr="000973F2" w:rsidRDefault="00AB6F50" w:rsidP="009F277A">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18"/>
                <w:szCs w:val="18"/>
              </w:rPr>
            </w:pPr>
            <w:r w:rsidRPr="000973F2">
              <w:rPr>
                <w:rFonts w:ascii="Times New Roman" w:eastAsia="Times New Roman" w:hAnsi="Times New Roman" w:cs="Times New Roman"/>
                <w:b/>
                <w:bCs/>
                <w:sz w:val="18"/>
                <w:szCs w:val="18"/>
              </w:rPr>
              <w:t>Initial Year Hours</w:t>
            </w:r>
          </w:p>
        </w:tc>
        <w:tc>
          <w:tcPr>
            <w:tcW w:w="670" w:type="dxa"/>
            <w:tcMar>
              <w:left w:w="14" w:type="dxa"/>
              <w:right w:w="14" w:type="dxa"/>
            </w:tcMar>
            <w:hideMark/>
          </w:tcPr>
          <w:p w14:paraId="0B2AE9A0" w14:textId="77777777" w:rsidR="00AB6F50" w:rsidRPr="000973F2" w:rsidRDefault="00AB6F50" w:rsidP="009F277A">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18"/>
                <w:szCs w:val="18"/>
              </w:rPr>
            </w:pPr>
            <w:r w:rsidRPr="000973F2">
              <w:rPr>
                <w:rFonts w:ascii="Times New Roman" w:eastAsia="Times New Roman" w:hAnsi="Times New Roman" w:cs="Times New Roman"/>
                <w:b/>
                <w:bCs/>
                <w:sz w:val="18"/>
                <w:szCs w:val="18"/>
              </w:rPr>
              <w:t>Subseq. Year Hours</w:t>
            </w:r>
          </w:p>
        </w:tc>
        <w:tc>
          <w:tcPr>
            <w:tcW w:w="670" w:type="dxa"/>
            <w:tcMar>
              <w:left w:w="14" w:type="dxa"/>
              <w:right w:w="14" w:type="dxa"/>
            </w:tcMar>
            <w:hideMark/>
          </w:tcPr>
          <w:p w14:paraId="08514E8F" w14:textId="77777777" w:rsidR="00AB6F50" w:rsidRPr="000973F2" w:rsidRDefault="00AB6F50" w:rsidP="009F277A">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18"/>
                <w:szCs w:val="18"/>
              </w:rPr>
            </w:pPr>
            <w:r w:rsidRPr="000973F2">
              <w:rPr>
                <w:rFonts w:ascii="Times New Roman" w:eastAsia="Times New Roman" w:hAnsi="Times New Roman" w:cs="Times New Roman"/>
                <w:b/>
                <w:bCs/>
                <w:sz w:val="18"/>
                <w:szCs w:val="18"/>
              </w:rPr>
              <w:t>Initial Year Hours</w:t>
            </w:r>
          </w:p>
        </w:tc>
        <w:tc>
          <w:tcPr>
            <w:tcW w:w="670" w:type="dxa"/>
            <w:tcMar>
              <w:left w:w="14" w:type="dxa"/>
              <w:right w:w="14" w:type="dxa"/>
            </w:tcMar>
            <w:hideMark/>
          </w:tcPr>
          <w:p w14:paraId="323F769A" w14:textId="77777777" w:rsidR="00AB6F50" w:rsidRPr="000973F2" w:rsidRDefault="00AB6F50" w:rsidP="009F277A">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18"/>
                <w:szCs w:val="18"/>
              </w:rPr>
            </w:pPr>
            <w:r w:rsidRPr="000973F2">
              <w:rPr>
                <w:rFonts w:ascii="Times New Roman" w:eastAsia="Times New Roman" w:hAnsi="Times New Roman" w:cs="Times New Roman"/>
                <w:b/>
                <w:bCs/>
                <w:sz w:val="18"/>
                <w:szCs w:val="18"/>
              </w:rPr>
              <w:t>Subseq. Year Hours</w:t>
            </w:r>
          </w:p>
        </w:tc>
        <w:tc>
          <w:tcPr>
            <w:tcW w:w="670" w:type="dxa"/>
            <w:tcMar>
              <w:left w:w="14" w:type="dxa"/>
              <w:right w:w="14" w:type="dxa"/>
            </w:tcMar>
            <w:hideMark/>
          </w:tcPr>
          <w:p w14:paraId="47B5C3B1" w14:textId="77777777" w:rsidR="00AB6F50" w:rsidRPr="000973F2" w:rsidRDefault="00AB6F50" w:rsidP="009F277A">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18"/>
                <w:szCs w:val="18"/>
              </w:rPr>
            </w:pPr>
            <w:r w:rsidRPr="000973F2">
              <w:rPr>
                <w:rFonts w:ascii="Times New Roman" w:eastAsia="Times New Roman" w:hAnsi="Times New Roman" w:cs="Times New Roman"/>
                <w:b/>
                <w:bCs/>
                <w:sz w:val="18"/>
                <w:szCs w:val="18"/>
              </w:rPr>
              <w:t>Initial Year Hours</w:t>
            </w:r>
          </w:p>
        </w:tc>
        <w:tc>
          <w:tcPr>
            <w:tcW w:w="670" w:type="dxa"/>
            <w:tcMar>
              <w:left w:w="14" w:type="dxa"/>
              <w:right w:w="14" w:type="dxa"/>
            </w:tcMar>
            <w:hideMark/>
          </w:tcPr>
          <w:p w14:paraId="23213DA9" w14:textId="77777777" w:rsidR="00AB6F50" w:rsidRPr="000973F2" w:rsidRDefault="00AB6F50" w:rsidP="009F277A">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18"/>
                <w:szCs w:val="18"/>
              </w:rPr>
            </w:pPr>
            <w:r w:rsidRPr="000973F2">
              <w:rPr>
                <w:rFonts w:ascii="Times New Roman" w:eastAsia="Times New Roman" w:hAnsi="Times New Roman" w:cs="Times New Roman"/>
                <w:b/>
                <w:bCs/>
                <w:sz w:val="18"/>
                <w:szCs w:val="18"/>
              </w:rPr>
              <w:t>Subseq. Year Hours</w:t>
            </w:r>
          </w:p>
        </w:tc>
        <w:tc>
          <w:tcPr>
            <w:tcW w:w="591" w:type="dxa"/>
            <w:tcMar>
              <w:left w:w="14" w:type="dxa"/>
              <w:right w:w="14" w:type="dxa"/>
            </w:tcMar>
            <w:hideMark/>
          </w:tcPr>
          <w:p w14:paraId="4D474680" w14:textId="77777777" w:rsidR="00AB6F50" w:rsidRPr="000973F2" w:rsidRDefault="00AB6F50" w:rsidP="009F277A">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18"/>
                <w:szCs w:val="18"/>
              </w:rPr>
            </w:pPr>
            <w:r w:rsidRPr="000973F2">
              <w:rPr>
                <w:rFonts w:ascii="Times New Roman" w:eastAsia="Times New Roman" w:hAnsi="Times New Roman" w:cs="Times New Roman"/>
                <w:b/>
                <w:bCs/>
                <w:sz w:val="18"/>
                <w:szCs w:val="18"/>
              </w:rPr>
              <w:t>Initial Year</w:t>
            </w:r>
          </w:p>
        </w:tc>
        <w:tc>
          <w:tcPr>
            <w:tcW w:w="795" w:type="dxa"/>
            <w:tcMar>
              <w:left w:w="14" w:type="dxa"/>
              <w:right w:w="14" w:type="dxa"/>
            </w:tcMar>
            <w:hideMark/>
          </w:tcPr>
          <w:p w14:paraId="426868A1" w14:textId="77777777" w:rsidR="00AB6F50" w:rsidRPr="000973F2" w:rsidRDefault="00AB6F50" w:rsidP="009F277A">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18"/>
                <w:szCs w:val="18"/>
              </w:rPr>
            </w:pPr>
            <w:r w:rsidRPr="000973F2">
              <w:rPr>
                <w:rFonts w:ascii="Times New Roman" w:eastAsia="Times New Roman" w:hAnsi="Times New Roman" w:cs="Times New Roman"/>
                <w:b/>
                <w:bCs/>
                <w:sz w:val="18"/>
                <w:szCs w:val="18"/>
              </w:rPr>
              <w:t>Subseq. Year</w:t>
            </w:r>
          </w:p>
        </w:tc>
      </w:tr>
      <w:tr w:rsidR="009F277A" w:rsidRPr="000973F2" w14:paraId="2C841503" w14:textId="77777777" w:rsidTr="009F277A">
        <w:trPr>
          <w:cantSplit/>
        </w:trPr>
        <w:tc>
          <w:tcPr>
            <w:cnfStyle w:val="001000000000" w:firstRow="0" w:lastRow="0" w:firstColumn="1" w:lastColumn="0" w:oddVBand="0" w:evenVBand="0" w:oddHBand="0" w:evenHBand="0" w:firstRowFirstColumn="0" w:firstRowLastColumn="0" w:lastRowFirstColumn="0" w:lastRowLastColumn="0"/>
            <w:tcW w:w="1245" w:type="dxa"/>
            <w:tcMar>
              <w:right w:w="14" w:type="dxa"/>
            </w:tcMar>
            <w:hideMark/>
          </w:tcPr>
          <w:p w14:paraId="42CB0031" w14:textId="77777777" w:rsidR="00AB6F50" w:rsidRPr="000973F2" w:rsidRDefault="00AB6F50" w:rsidP="009F277A">
            <w:pPr>
              <w:spacing w:before="40" w:after="4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Planning</w:t>
            </w:r>
          </w:p>
        </w:tc>
        <w:tc>
          <w:tcPr>
            <w:tcW w:w="669" w:type="dxa"/>
            <w:noWrap/>
            <w:hideMark/>
          </w:tcPr>
          <w:p w14:paraId="00D32E33" w14:textId="77777777" w:rsidR="00AB6F50" w:rsidRPr="000973F2" w:rsidRDefault="00AB6F50" w:rsidP="009F277A">
            <w:pPr>
              <w:spacing w:before="40" w:after="4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0.0</w:t>
            </w:r>
          </w:p>
        </w:tc>
        <w:tc>
          <w:tcPr>
            <w:tcW w:w="670" w:type="dxa"/>
            <w:noWrap/>
            <w:hideMark/>
          </w:tcPr>
          <w:p w14:paraId="409FF833" w14:textId="77777777" w:rsidR="00AB6F50" w:rsidRPr="000973F2" w:rsidRDefault="00AB6F50" w:rsidP="009F277A">
            <w:pPr>
              <w:spacing w:before="40" w:after="4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2.0</w:t>
            </w:r>
          </w:p>
        </w:tc>
        <w:tc>
          <w:tcPr>
            <w:tcW w:w="670" w:type="dxa"/>
            <w:noWrap/>
            <w:hideMark/>
          </w:tcPr>
          <w:p w14:paraId="540193AB" w14:textId="77777777" w:rsidR="00AB6F50" w:rsidRPr="000973F2" w:rsidRDefault="00AB6F50" w:rsidP="009F277A">
            <w:pPr>
              <w:spacing w:before="40" w:after="4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0.0</w:t>
            </w:r>
          </w:p>
        </w:tc>
        <w:tc>
          <w:tcPr>
            <w:tcW w:w="670" w:type="dxa"/>
            <w:noWrap/>
            <w:hideMark/>
          </w:tcPr>
          <w:p w14:paraId="5B8AF5F0" w14:textId="77777777" w:rsidR="00AB6F50" w:rsidRPr="000973F2" w:rsidRDefault="00AB6F50" w:rsidP="009F277A">
            <w:pPr>
              <w:spacing w:before="40" w:after="4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0.5</w:t>
            </w:r>
          </w:p>
        </w:tc>
        <w:tc>
          <w:tcPr>
            <w:tcW w:w="670" w:type="dxa"/>
            <w:noWrap/>
            <w:hideMark/>
          </w:tcPr>
          <w:p w14:paraId="7D09EAD3" w14:textId="77777777" w:rsidR="00AB6F50" w:rsidRPr="000973F2" w:rsidRDefault="00AB6F50" w:rsidP="009F277A">
            <w:pPr>
              <w:spacing w:before="40" w:after="4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0.0</w:t>
            </w:r>
          </w:p>
        </w:tc>
        <w:tc>
          <w:tcPr>
            <w:tcW w:w="670" w:type="dxa"/>
            <w:noWrap/>
            <w:hideMark/>
          </w:tcPr>
          <w:p w14:paraId="00829D6A" w14:textId="77777777" w:rsidR="00AB6F50" w:rsidRPr="000973F2" w:rsidRDefault="00AB6F50" w:rsidP="009F277A">
            <w:pPr>
              <w:spacing w:before="40" w:after="4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1.0</w:t>
            </w:r>
          </w:p>
        </w:tc>
        <w:tc>
          <w:tcPr>
            <w:tcW w:w="670" w:type="dxa"/>
            <w:noWrap/>
            <w:hideMark/>
          </w:tcPr>
          <w:p w14:paraId="2DDD8941" w14:textId="77777777" w:rsidR="00AB6F50" w:rsidRPr="000973F2" w:rsidRDefault="00AB6F50" w:rsidP="009F277A">
            <w:pPr>
              <w:spacing w:before="40" w:after="4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0.0</w:t>
            </w:r>
          </w:p>
        </w:tc>
        <w:tc>
          <w:tcPr>
            <w:tcW w:w="670" w:type="dxa"/>
            <w:noWrap/>
            <w:hideMark/>
          </w:tcPr>
          <w:p w14:paraId="26E760BA" w14:textId="77777777" w:rsidR="00AB6F50" w:rsidRPr="000973F2" w:rsidRDefault="00AB6F50" w:rsidP="009F277A">
            <w:pPr>
              <w:tabs>
                <w:tab w:val="decimal" w:pos="241"/>
              </w:tabs>
              <w:spacing w:before="40" w:after="4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10.0</w:t>
            </w:r>
          </w:p>
        </w:tc>
        <w:tc>
          <w:tcPr>
            <w:tcW w:w="670" w:type="dxa"/>
            <w:noWrap/>
            <w:hideMark/>
          </w:tcPr>
          <w:p w14:paraId="157683F2" w14:textId="77777777" w:rsidR="00AB6F50" w:rsidRPr="000973F2" w:rsidRDefault="00AB6F50" w:rsidP="009F277A">
            <w:pPr>
              <w:spacing w:before="40" w:after="4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0.0</w:t>
            </w:r>
          </w:p>
        </w:tc>
        <w:tc>
          <w:tcPr>
            <w:tcW w:w="670" w:type="dxa"/>
            <w:noWrap/>
            <w:hideMark/>
          </w:tcPr>
          <w:p w14:paraId="7EB097DD" w14:textId="77777777" w:rsidR="00AB6F50" w:rsidRPr="000973F2" w:rsidRDefault="00AB6F50" w:rsidP="009F277A">
            <w:pPr>
              <w:spacing w:before="40" w:after="4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0.0</w:t>
            </w:r>
          </w:p>
        </w:tc>
        <w:tc>
          <w:tcPr>
            <w:tcW w:w="591" w:type="dxa"/>
            <w:noWrap/>
            <w:hideMark/>
          </w:tcPr>
          <w:p w14:paraId="57BF03A4" w14:textId="1EE280FE" w:rsidR="00AB6F50" w:rsidRPr="000973F2" w:rsidRDefault="00AB6F50" w:rsidP="009F277A">
            <w:pPr>
              <w:spacing w:before="40" w:after="4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$0</w:t>
            </w:r>
          </w:p>
        </w:tc>
        <w:tc>
          <w:tcPr>
            <w:tcW w:w="795" w:type="dxa"/>
            <w:noWrap/>
            <w:hideMark/>
          </w:tcPr>
          <w:p w14:paraId="55FB80AB" w14:textId="727B5042" w:rsidR="00AB6F50" w:rsidRPr="000973F2" w:rsidRDefault="00AB6F50" w:rsidP="009F277A">
            <w:pPr>
              <w:tabs>
                <w:tab w:val="decimal" w:pos="466"/>
              </w:tabs>
              <w:spacing w:before="40" w:after="4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$1,312</w:t>
            </w:r>
          </w:p>
        </w:tc>
      </w:tr>
      <w:tr w:rsidR="009F277A" w:rsidRPr="000973F2" w14:paraId="12A79B63" w14:textId="77777777" w:rsidTr="009F277A">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1245" w:type="dxa"/>
            <w:tcMar>
              <w:right w:w="14" w:type="dxa"/>
            </w:tcMar>
            <w:hideMark/>
          </w:tcPr>
          <w:p w14:paraId="6226D55A" w14:textId="77777777" w:rsidR="00AB6F50" w:rsidRPr="000973F2" w:rsidRDefault="00AB6F50" w:rsidP="009F277A">
            <w:pPr>
              <w:spacing w:before="40" w:after="4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QA/QC</w:t>
            </w:r>
          </w:p>
        </w:tc>
        <w:tc>
          <w:tcPr>
            <w:tcW w:w="669" w:type="dxa"/>
            <w:noWrap/>
            <w:hideMark/>
          </w:tcPr>
          <w:p w14:paraId="06D3BF8E" w14:textId="77777777" w:rsidR="00AB6F50" w:rsidRPr="000973F2" w:rsidRDefault="00AB6F50" w:rsidP="009F277A">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0.0</w:t>
            </w:r>
          </w:p>
        </w:tc>
        <w:tc>
          <w:tcPr>
            <w:tcW w:w="670" w:type="dxa"/>
            <w:noWrap/>
            <w:hideMark/>
          </w:tcPr>
          <w:p w14:paraId="0468669C" w14:textId="77777777" w:rsidR="00AB6F50" w:rsidRPr="000973F2" w:rsidRDefault="00AB6F50" w:rsidP="009F277A">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0.0</w:t>
            </w:r>
          </w:p>
        </w:tc>
        <w:tc>
          <w:tcPr>
            <w:tcW w:w="670" w:type="dxa"/>
            <w:noWrap/>
            <w:hideMark/>
          </w:tcPr>
          <w:p w14:paraId="34350EBE" w14:textId="77777777" w:rsidR="00AB6F50" w:rsidRPr="000973F2" w:rsidRDefault="00AB6F50" w:rsidP="009F277A">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0.0</w:t>
            </w:r>
          </w:p>
        </w:tc>
        <w:tc>
          <w:tcPr>
            <w:tcW w:w="670" w:type="dxa"/>
            <w:noWrap/>
            <w:hideMark/>
          </w:tcPr>
          <w:p w14:paraId="72835EF8" w14:textId="77777777" w:rsidR="00AB6F50" w:rsidRPr="000973F2" w:rsidRDefault="00AB6F50" w:rsidP="009F277A">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0.4</w:t>
            </w:r>
          </w:p>
        </w:tc>
        <w:tc>
          <w:tcPr>
            <w:tcW w:w="670" w:type="dxa"/>
            <w:noWrap/>
            <w:hideMark/>
          </w:tcPr>
          <w:p w14:paraId="34DF4907" w14:textId="77777777" w:rsidR="00AB6F50" w:rsidRPr="000973F2" w:rsidRDefault="00AB6F50" w:rsidP="009F277A">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0.0</w:t>
            </w:r>
          </w:p>
        </w:tc>
        <w:tc>
          <w:tcPr>
            <w:tcW w:w="670" w:type="dxa"/>
            <w:noWrap/>
            <w:hideMark/>
          </w:tcPr>
          <w:p w14:paraId="750171F9" w14:textId="77777777" w:rsidR="00AB6F50" w:rsidRPr="000973F2" w:rsidRDefault="00AB6F50" w:rsidP="009F277A">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0.7</w:t>
            </w:r>
          </w:p>
        </w:tc>
        <w:tc>
          <w:tcPr>
            <w:tcW w:w="670" w:type="dxa"/>
            <w:noWrap/>
            <w:hideMark/>
          </w:tcPr>
          <w:p w14:paraId="537E54E4" w14:textId="77777777" w:rsidR="00AB6F50" w:rsidRPr="000973F2" w:rsidRDefault="00AB6F50" w:rsidP="009F277A">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0.0</w:t>
            </w:r>
          </w:p>
        </w:tc>
        <w:tc>
          <w:tcPr>
            <w:tcW w:w="670" w:type="dxa"/>
            <w:noWrap/>
            <w:hideMark/>
          </w:tcPr>
          <w:p w14:paraId="308B9D59" w14:textId="77777777" w:rsidR="00AB6F50" w:rsidRPr="000973F2" w:rsidRDefault="00AB6F50" w:rsidP="009F277A">
            <w:pPr>
              <w:tabs>
                <w:tab w:val="decimal" w:pos="241"/>
              </w:tabs>
              <w:spacing w:before="40" w:after="4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0.0</w:t>
            </w:r>
          </w:p>
        </w:tc>
        <w:tc>
          <w:tcPr>
            <w:tcW w:w="670" w:type="dxa"/>
            <w:noWrap/>
            <w:hideMark/>
          </w:tcPr>
          <w:p w14:paraId="77203619" w14:textId="77777777" w:rsidR="00AB6F50" w:rsidRPr="000973F2" w:rsidRDefault="00AB6F50" w:rsidP="009F277A">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0.0</w:t>
            </w:r>
          </w:p>
        </w:tc>
        <w:tc>
          <w:tcPr>
            <w:tcW w:w="670" w:type="dxa"/>
            <w:noWrap/>
            <w:hideMark/>
          </w:tcPr>
          <w:p w14:paraId="29C843F6" w14:textId="77777777" w:rsidR="00AB6F50" w:rsidRPr="000973F2" w:rsidRDefault="00AB6F50" w:rsidP="009F277A">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0.0</w:t>
            </w:r>
          </w:p>
        </w:tc>
        <w:tc>
          <w:tcPr>
            <w:tcW w:w="591" w:type="dxa"/>
            <w:noWrap/>
            <w:hideMark/>
          </w:tcPr>
          <w:p w14:paraId="02E3F6FC" w14:textId="7FC2F8D2" w:rsidR="00AB6F50" w:rsidRPr="000973F2" w:rsidRDefault="00AB6F50" w:rsidP="009F277A">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$0</w:t>
            </w:r>
          </w:p>
        </w:tc>
        <w:tc>
          <w:tcPr>
            <w:tcW w:w="795" w:type="dxa"/>
            <w:noWrap/>
            <w:hideMark/>
          </w:tcPr>
          <w:p w14:paraId="7E86C103" w14:textId="75D09270" w:rsidR="00AB6F50" w:rsidRPr="000973F2" w:rsidRDefault="00AB6F50" w:rsidP="009F277A">
            <w:pPr>
              <w:tabs>
                <w:tab w:val="decimal" w:pos="466"/>
              </w:tabs>
              <w:spacing w:before="40" w:after="4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$124</w:t>
            </w:r>
          </w:p>
        </w:tc>
      </w:tr>
      <w:tr w:rsidR="009F277A" w:rsidRPr="000973F2" w14:paraId="6CDD2BF3" w14:textId="77777777" w:rsidTr="009F277A">
        <w:trPr>
          <w:cantSplit/>
        </w:trPr>
        <w:tc>
          <w:tcPr>
            <w:cnfStyle w:val="001000000000" w:firstRow="0" w:lastRow="0" w:firstColumn="1" w:lastColumn="0" w:oddVBand="0" w:evenVBand="0" w:oddHBand="0" w:evenHBand="0" w:firstRowFirstColumn="0" w:firstRowLastColumn="0" w:lastRowFirstColumn="0" w:lastRowLastColumn="0"/>
            <w:tcW w:w="1245" w:type="dxa"/>
            <w:tcMar>
              <w:right w:w="14" w:type="dxa"/>
            </w:tcMar>
            <w:hideMark/>
          </w:tcPr>
          <w:p w14:paraId="4300E2C8" w14:textId="77777777" w:rsidR="00AB6F50" w:rsidRPr="000973F2" w:rsidRDefault="00AB6F50" w:rsidP="009F277A">
            <w:pPr>
              <w:spacing w:before="40" w:after="4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Recordkeeping</w:t>
            </w:r>
          </w:p>
        </w:tc>
        <w:tc>
          <w:tcPr>
            <w:tcW w:w="669" w:type="dxa"/>
            <w:noWrap/>
            <w:hideMark/>
          </w:tcPr>
          <w:p w14:paraId="1408E6E1" w14:textId="77777777" w:rsidR="00AB6F50" w:rsidRPr="000973F2" w:rsidRDefault="00AB6F50" w:rsidP="009F277A">
            <w:pPr>
              <w:spacing w:before="40" w:after="4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0.0</w:t>
            </w:r>
          </w:p>
        </w:tc>
        <w:tc>
          <w:tcPr>
            <w:tcW w:w="670" w:type="dxa"/>
            <w:noWrap/>
            <w:hideMark/>
          </w:tcPr>
          <w:p w14:paraId="348DFF82" w14:textId="77777777" w:rsidR="00AB6F50" w:rsidRPr="000973F2" w:rsidRDefault="00AB6F50" w:rsidP="009F277A">
            <w:pPr>
              <w:spacing w:before="40" w:after="4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0.0</w:t>
            </w:r>
          </w:p>
        </w:tc>
        <w:tc>
          <w:tcPr>
            <w:tcW w:w="670" w:type="dxa"/>
            <w:noWrap/>
            <w:hideMark/>
          </w:tcPr>
          <w:p w14:paraId="468FF9CA" w14:textId="77777777" w:rsidR="00AB6F50" w:rsidRPr="000973F2" w:rsidRDefault="00AB6F50" w:rsidP="009F277A">
            <w:pPr>
              <w:spacing w:before="40" w:after="4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0.0</w:t>
            </w:r>
          </w:p>
        </w:tc>
        <w:tc>
          <w:tcPr>
            <w:tcW w:w="670" w:type="dxa"/>
            <w:noWrap/>
            <w:hideMark/>
          </w:tcPr>
          <w:p w14:paraId="1C6E92E0" w14:textId="77777777" w:rsidR="00AB6F50" w:rsidRPr="000973F2" w:rsidRDefault="00AB6F50" w:rsidP="009F277A">
            <w:pPr>
              <w:spacing w:before="40" w:after="4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0.0</w:t>
            </w:r>
          </w:p>
        </w:tc>
        <w:tc>
          <w:tcPr>
            <w:tcW w:w="670" w:type="dxa"/>
            <w:noWrap/>
            <w:hideMark/>
          </w:tcPr>
          <w:p w14:paraId="590562B5" w14:textId="77777777" w:rsidR="00AB6F50" w:rsidRPr="000973F2" w:rsidRDefault="00AB6F50" w:rsidP="009F277A">
            <w:pPr>
              <w:spacing w:before="40" w:after="4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0.0</w:t>
            </w:r>
          </w:p>
        </w:tc>
        <w:tc>
          <w:tcPr>
            <w:tcW w:w="670" w:type="dxa"/>
            <w:noWrap/>
            <w:hideMark/>
          </w:tcPr>
          <w:p w14:paraId="3EA89099" w14:textId="77777777" w:rsidR="00AB6F50" w:rsidRPr="000973F2" w:rsidRDefault="00AB6F50" w:rsidP="009F277A">
            <w:pPr>
              <w:spacing w:before="40" w:after="4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1.0</w:t>
            </w:r>
          </w:p>
        </w:tc>
        <w:tc>
          <w:tcPr>
            <w:tcW w:w="670" w:type="dxa"/>
            <w:noWrap/>
            <w:hideMark/>
          </w:tcPr>
          <w:p w14:paraId="63C00510" w14:textId="77777777" w:rsidR="00AB6F50" w:rsidRPr="000973F2" w:rsidRDefault="00AB6F50" w:rsidP="009F277A">
            <w:pPr>
              <w:spacing w:before="40" w:after="4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0.0</w:t>
            </w:r>
          </w:p>
        </w:tc>
        <w:tc>
          <w:tcPr>
            <w:tcW w:w="670" w:type="dxa"/>
            <w:noWrap/>
            <w:hideMark/>
          </w:tcPr>
          <w:p w14:paraId="588F1B97" w14:textId="77777777" w:rsidR="00AB6F50" w:rsidRPr="000973F2" w:rsidRDefault="00AB6F50" w:rsidP="009F277A">
            <w:pPr>
              <w:tabs>
                <w:tab w:val="decimal" w:pos="241"/>
              </w:tabs>
              <w:spacing w:before="40" w:after="4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13.0</w:t>
            </w:r>
          </w:p>
        </w:tc>
        <w:tc>
          <w:tcPr>
            <w:tcW w:w="670" w:type="dxa"/>
            <w:noWrap/>
            <w:hideMark/>
          </w:tcPr>
          <w:p w14:paraId="05225576" w14:textId="77777777" w:rsidR="00AB6F50" w:rsidRPr="000973F2" w:rsidRDefault="00AB6F50" w:rsidP="009F277A">
            <w:pPr>
              <w:spacing w:before="40" w:after="4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0.0</w:t>
            </w:r>
          </w:p>
        </w:tc>
        <w:tc>
          <w:tcPr>
            <w:tcW w:w="670" w:type="dxa"/>
            <w:noWrap/>
            <w:hideMark/>
          </w:tcPr>
          <w:p w14:paraId="11354F09" w14:textId="77777777" w:rsidR="00AB6F50" w:rsidRPr="000973F2" w:rsidRDefault="00AB6F50" w:rsidP="009F277A">
            <w:pPr>
              <w:spacing w:before="40" w:after="4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1.0</w:t>
            </w:r>
          </w:p>
        </w:tc>
        <w:tc>
          <w:tcPr>
            <w:tcW w:w="591" w:type="dxa"/>
            <w:noWrap/>
            <w:hideMark/>
          </w:tcPr>
          <w:p w14:paraId="4525C477" w14:textId="5D8EC028" w:rsidR="00AB6F50" w:rsidRPr="000973F2" w:rsidRDefault="00AB6F50" w:rsidP="009F277A">
            <w:pPr>
              <w:spacing w:before="40" w:after="4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$0</w:t>
            </w:r>
          </w:p>
        </w:tc>
        <w:tc>
          <w:tcPr>
            <w:tcW w:w="795" w:type="dxa"/>
            <w:noWrap/>
            <w:hideMark/>
          </w:tcPr>
          <w:p w14:paraId="54EEEBE9" w14:textId="486EA6E8" w:rsidR="00AB6F50" w:rsidRPr="000973F2" w:rsidRDefault="00AB6F50" w:rsidP="009F277A">
            <w:pPr>
              <w:tabs>
                <w:tab w:val="decimal" w:pos="466"/>
              </w:tabs>
              <w:spacing w:before="40" w:after="4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$1,350</w:t>
            </w:r>
          </w:p>
        </w:tc>
      </w:tr>
      <w:tr w:rsidR="009F277A" w:rsidRPr="000973F2" w14:paraId="2CAAAF97" w14:textId="77777777" w:rsidTr="009F277A">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1245" w:type="dxa"/>
            <w:tcMar>
              <w:right w:w="14" w:type="dxa"/>
            </w:tcMar>
            <w:hideMark/>
          </w:tcPr>
          <w:p w14:paraId="7BEBEF1A" w14:textId="77777777" w:rsidR="00AB6F50" w:rsidRPr="000973F2" w:rsidRDefault="00AB6F50" w:rsidP="009F277A">
            <w:pPr>
              <w:spacing w:before="40" w:after="4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Sampling and Analysis (Calculations)</w:t>
            </w:r>
          </w:p>
        </w:tc>
        <w:tc>
          <w:tcPr>
            <w:tcW w:w="669" w:type="dxa"/>
            <w:noWrap/>
            <w:hideMark/>
          </w:tcPr>
          <w:p w14:paraId="2540B2F4" w14:textId="77777777" w:rsidR="00AB6F50" w:rsidRPr="000973F2" w:rsidRDefault="00AB6F50" w:rsidP="009F277A">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0.0</w:t>
            </w:r>
          </w:p>
        </w:tc>
        <w:tc>
          <w:tcPr>
            <w:tcW w:w="670" w:type="dxa"/>
            <w:noWrap/>
            <w:hideMark/>
          </w:tcPr>
          <w:p w14:paraId="3E1E13E1" w14:textId="77777777" w:rsidR="00AB6F50" w:rsidRPr="000973F2" w:rsidRDefault="00AB6F50" w:rsidP="009F277A">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0.0</w:t>
            </w:r>
          </w:p>
        </w:tc>
        <w:tc>
          <w:tcPr>
            <w:tcW w:w="670" w:type="dxa"/>
            <w:noWrap/>
            <w:hideMark/>
          </w:tcPr>
          <w:p w14:paraId="22ED8564" w14:textId="77777777" w:rsidR="00AB6F50" w:rsidRPr="000973F2" w:rsidRDefault="00AB6F50" w:rsidP="009F277A">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0.0</w:t>
            </w:r>
          </w:p>
        </w:tc>
        <w:tc>
          <w:tcPr>
            <w:tcW w:w="670" w:type="dxa"/>
            <w:noWrap/>
            <w:hideMark/>
          </w:tcPr>
          <w:p w14:paraId="0D232153" w14:textId="77777777" w:rsidR="00AB6F50" w:rsidRPr="000973F2" w:rsidRDefault="00AB6F50" w:rsidP="009F277A">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0.0</w:t>
            </w:r>
          </w:p>
        </w:tc>
        <w:tc>
          <w:tcPr>
            <w:tcW w:w="670" w:type="dxa"/>
            <w:noWrap/>
            <w:hideMark/>
          </w:tcPr>
          <w:p w14:paraId="17C23862" w14:textId="77777777" w:rsidR="00AB6F50" w:rsidRPr="000973F2" w:rsidRDefault="00AB6F50" w:rsidP="009F277A">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0.0</w:t>
            </w:r>
          </w:p>
        </w:tc>
        <w:tc>
          <w:tcPr>
            <w:tcW w:w="670" w:type="dxa"/>
            <w:noWrap/>
            <w:hideMark/>
          </w:tcPr>
          <w:p w14:paraId="10F9C92B" w14:textId="77777777" w:rsidR="00AB6F50" w:rsidRPr="000973F2" w:rsidRDefault="00AB6F50" w:rsidP="009F277A">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0.0</w:t>
            </w:r>
          </w:p>
        </w:tc>
        <w:tc>
          <w:tcPr>
            <w:tcW w:w="670" w:type="dxa"/>
            <w:noWrap/>
            <w:hideMark/>
          </w:tcPr>
          <w:p w14:paraId="59A7279F" w14:textId="77777777" w:rsidR="00AB6F50" w:rsidRPr="000973F2" w:rsidRDefault="00AB6F50" w:rsidP="009F277A">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0.0</w:t>
            </w:r>
          </w:p>
        </w:tc>
        <w:tc>
          <w:tcPr>
            <w:tcW w:w="670" w:type="dxa"/>
            <w:noWrap/>
            <w:hideMark/>
          </w:tcPr>
          <w:p w14:paraId="7CA7F705" w14:textId="77777777" w:rsidR="00AB6F50" w:rsidRPr="000973F2" w:rsidRDefault="00AB6F50" w:rsidP="009F277A">
            <w:pPr>
              <w:tabs>
                <w:tab w:val="decimal" w:pos="241"/>
              </w:tabs>
              <w:spacing w:before="40" w:after="4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7.0</w:t>
            </w:r>
          </w:p>
        </w:tc>
        <w:tc>
          <w:tcPr>
            <w:tcW w:w="670" w:type="dxa"/>
            <w:noWrap/>
            <w:hideMark/>
          </w:tcPr>
          <w:p w14:paraId="52BC691C" w14:textId="77777777" w:rsidR="00AB6F50" w:rsidRPr="000973F2" w:rsidRDefault="00AB6F50" w:rsidP="009F277A">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0.0</w:t>
            </w:r>
          </w:p>
        </w:tc>
        <w:tc>
          <w:tcPr>
            <w:tcW w:w="670" w:type="dxa"/>
            <w:noWrap/>
            <w:hideMark/>
          </w:tcPr>
          <w:p w14:paraId="21193F66" w14:textId="77777777" w:rsidR="00AB6F50" w:rsidRPr="000973F2" w:rsidRDefault="00AB6F50" w:rsidP="009F277A">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0.5</w:t>
            </w:r>
          </w:p>
        </w:tc>
        <w:tc>
          <w:tcPr>
            <w:tcW w:w="591" w:type="dxa"/>
            <w:noWrap/>
            <w:hideMark/>
          </w:tcPr>
          <w:p w14:paraId="60A1F8EE" w14:textId="5805ED18" w:rsidR="00AB6F50" w:rsidRPr="000973F2" w:rsidRDefault="00AB6F50" w:rsidP="009F277A">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$0</w:t>
            </w:r>
          </w:p>
        </w:tc>
        <w:tc>
          <w:tcPr>
            <w:tcW w:w="795" w:type="dxa"/>
            <w:noWrap/>
            <w:hideMark/>
          </w:tcPr>
          <w:p w14:paraId="40D7AA3D" w14:textId="76659140" w:rsidR="00AB6F50" w:rsidRPr="000973F2" w:rsidRDefault="00AB6F50" w:rsidP="009F277A">
            <w:pPr>
              <w:tabs>
                <w:tab w:val="decimal" w:pos="466"/>
              </w:tabs>
              <w:spacing w:before="40" w:after="4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$666</w:t>
            </w:r>
          </w:p>
        </w:tc>
      </w:tr>
      <w:tr w:rsidR="009F277A" w:rsidRPr="000973F2" w14:paraId="2F825FFE" w14:textId="77777777" w:rsidTr="009F277A">
        <w:trPr>
          <w:cantSplit/>
        </w:trPr>
        <w:tc>
          <w:tcPr>
            <w:cnfStyle w:val="001000000000" w:firstRow="0" w:lastRow="0" w:firstColumn="1" w:lastColumn="0" w:oddVBand="0" w:evenVBand="0" w:oddHBand="0" w:evenHBand="0" w:firstRowFirstColumn="0" w:firstRowLastColumn="0" w:lastRowFirstColumn="0" w:lastRowLastColumn="0"/>
            <w:tcW w:w="1245" w:type="dxa"/>
            <w:tcMar>
              <w:right w:w="14" w:type="dxa"/>
            </w:tcMar>
            <w:hideMark/>
          </w:tcPr>
          <w:p w14:paraId="2B1F0DFF" w14:textId="77777777" w:rsidR="00AB6F50" w:rsidRPr="000973F2" w:rsidRDefault="00AB6F50" w:rsidP="009F277A">
            <w:pPr>
              <w:spacing w:before="40" w:after="4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Reporting</w:t>
            </w:r>
          </w:p>
        </w:tc>
        <w:tc>
          <w:tcPr>
            <w:tcW w:w="669" w:type="dxa"/>
            <w:noWrap/>
            <w:hideMark/>
          </w:tcPr>
          <w:p w14:paraId="6168B6D1" w14:textId="77777777" w:rsidR="00AB6F50" w:rsidRPr="000973F2" w:rsidRDefault="00AB6F50" w:rsidP="009F277A">
            <w:pPr>
              <w:spacing w:before="40" w:after="4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0.0</w:t>
            </w:r>
          </w:p>
        </w:tc>
        <w:tc>
          <w:tcPr>
            <w:tcW w:w="670" w:type="dxa"/>
            <w:noWrap/>
            <w:hideMark/>
          </w:tcPr>
          <w:p w14:paraId="093A5F33" w14:textId="77777777" w:rsidR="00AB6F50" w:rsidRPr="000973F2" w:rsidRDefault="00AB6F50" w:rsidP="009F277A">
            <w:pPr>
              <w:spacing w:before="40" w:after="4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0.0</w:t>
            </w:r>
          </w:p>
        </w:tc>
        <w:tc>
          <w:tcPr>
            <w:tcW w:w="670" w:type="dxa"/>
            <w:noWrap/>
            <w:hideMark/>
          </w:tcPr>
          <w:p w14:paraId="1F62D0E4" w14:textId="77777777" w:rsidR="00AB6F50" w:rsidRPr="000973F2" w:rsidRDefault="00AB6F50" w:rsidP="009F277A">
            <w:pPr>
              <w:spacing w:before="40" w:after="4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0.0</w:t>
            </w:r>
          </w:p>
        </w:tc>
        <w:tc>
          <w:tcPr>
            <w:tcW w:w="670" w:type="dxa"/>
            <w:noWrap/>
            <w:hideMark/>
          </w:tcPr>
          <w:p w14:paraId="2CF4787F" w14:textId="77777777" w:rsidR="00AB6F50" w:rsidRPr="000973F2" w:rsidRDefault="00AB6F50" w:rsidP="009F277A">
            <w:pPr>
              <w:spacing w:before="40" w:after="4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0.0</w:t>
            </w:r>
          </w:p>
        </w:tc>
        <w:tc>
          <w:tcPr>
            <w:tcW w:w="670" w:type="dxa"/>
            <w:noWrap/>
            <w:hideMark/>
          </w:tcPr>
          <w:p w14:paraId="39BF666C" w14:textId="77777777" w:rsidR="00AB6F50" w:rsidRPr="000973F2" w:rsidRDefault="00AB6F50" w:rsidP="009F277A">
            <w:pPr>
              <w:spacing w:before="40" w:after="4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0.0</w:t>
            </w:r>
          </w:p>
        </w:tc>
        <w:tc>
          <w:tcPr>
            <w:tcW w:w="670" w:type="dxa"/>
            <w:noWrap/>
            <w:hideMark/>
          </w:tcPr>
          <w:p w14:paraId="7EC8FF3E" w14:textId="77777777" w:rsidR="00AB6F50" w:rsidRPr="000973F2" w:rsidRDefault="00AB6F50" w:rsidP="009F277A">
            <w:pPr>
              <w:spacing w:before="40" w:after="4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2.0</w:t>
            </w:r>
          </w:p>
        </w:tc>
        <w:tc>
          <w:tcPr>
            <w:tcW w:w="670" w:type="dxa"/>
            <w:noWrap/>
            <w:hideMark/>
          </w:tcPr>
          <w:p w14:paraId="7FF4EEB2" w14:textId="77777777" w:rsidR="00AB6F50" w:rsidRPr="000973F2" w:rsidRDefault="00AB6F50" w:rsidP="009F277A">
            <w:pPr>
              <w:spacing w:before="40" w:after="4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0.0</w:t>
            </w:r>
          </w:p>
        </w:tc>
        <w:tc>
          <w:tcPr>
            <w:tcW w:w="670" w:type="dxa"/>
            <w:noWrap/>
            <w:hideMark/>
          </w:tcPr>
          <w:p w14:paraId="7276288F" w14:textId="77777777" w:rsidR="00AB6F50" w:rsidRPr="000973F2" w:rsidRDefault="00AB6F50" w:rsidP="009F277A">
            <w:pPr>
              <w:tabs>
                <w:tab w:val="decimal" w:pos="241"/>
              </w:tabs>
              <w:spacing w:before="40" w:after="4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26.0</w:t>
            </w:r>
          </w:p>
        </w:tc>
        <w:tc>
          <w:tcPr>
            <w:tcW w:w="670" w:type="dxa"/>
            <w:noWrap/>
            <w:hideMark/>
          </w:tcPr>
          <w:p w14:paraId="39FEE691" w14:textId="77777777" w:rsidR="00AB6F50" w:rsidRPr="000973F2" w:rsidRDefault="00AB6F50" w:rsidP="009F277A">
            <w:pPr>
              <w:spacing w:before="40" w:after="4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0.0</w:t>
            </w:r>
          </w:p>
        </w:tc>
        <w:tc>
          <w:tcPr>
            <w:tcW w:w="670" w:type="dxa"/>
            <w:noWrap/>
            <w:hideMark/>
          </w:tcPr>
          <w:p w14:paraId="02E022D2" w14:textId="77777777" w:rsidR="00AB6F50" w:rsidRPr="000973F2" w:rsidRDefault="00AB6F50" w:rsidP="009F277A">
            <w:pPr>
              <w:spacing w:before="40" w:after="4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2.0</w:t>
            </w:r>
          </w:p>
        </w:tc>
        <w:tc>
          <w:tcPr>
            <w:tcW w:w="591" w:type="dxa"/>
            <w:noWrap/>
            <w:hideMark/>
          </w:tcPr>
          <w:p w14:paraId="6BA4731B" w14:textId="318234CB" w:rsidR="00AB6F50" w:rsidRPr="000973F2" w:rsidRDefault="00AB6F50" w:rsidP="009F277A">
            <w:pPr>
              <w:spacing w:before="40" w:after="4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$0</w:t>
            </w:r>
          </w:p>
        </w:tc>
        <w:tc>
          <w:tcPr>
            <w:tcW w:w="795" w:type="dxa"/>
            <w:noWrap/>
            <w:hideMark/>
          </w:tcPr>
          <w:p w14:paraId="1EE0C215" w14:textId="6B3022FD" w:rsidR="00AB6F50" w:rsidRPr="000973F2" w:rsidRDefault="00AB6F50" w:rsidP="009F277A">
            <w:pPr>
              <w:tabs>
                <w:tab w:val="decimal" w:pos="466"/>
              </w:tabs>
              <w:spacing w:before="40" w:after="4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$2,700</w:t>
            </w:r>
          </w:p>
        </w:tc>
      </w:tr>
      <w:tr w:rsidR="009F277A" w:rsidRPr="000973F2" w14:paraId="5AFAD9AC" w14:textId="77777777" w:rsidTr="009F277A">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1245" w:type="dxa"/>
            <w:noWrap/>
            <w:tcMar>
              <w:right w:w="14" w:type="dxa"/>
            </w:tcMar>
            <w:hideMark/>
          </w:tcPr>
          <w:p w14:paraId="37A96E3D" w14:textId="77777777" w:rsidR="00AB6F50" w:rsidRPr="000973F2" w:rsidRDefault="00AB6F50" w:rsidP="009F277A">
            <w:pPr>
              <w:spacing w:before="40" w:after="40"/>
              <w:rPr>
                <w:rFonts w:ascii="Times New Roman" w:eastAsia="Times New Roman" w:hAnsi="Times New Roman" w:cs="Times New Roman"/>
                <w:b/>
                <w:bCs w:val="0"/>
                <w:sz w:val="18"/>
                <w:szCs w:val="18"/>
              </w:rPr>
            </w:pPr>
            <w:r w:rsidRPr="000973F2">
              <w:rPr>
                <w:rFonts w:ascii="Times New Roman" w:eastAsia="Times New Roman" w:hAnsi="Times New Roman" w:cs="Times New Roman"/>
                <w:b/>
                <w:sz w:val="18"/>
                <w:szCs w:val="18"/>
              </w:rPr>
              <w:t>Total</w:t>
            </w:r>
          </w:p>
        </w:tc>
        <w:tc>
          <w:tcPr>
            <w:tcW w:w="669" w:type="dxa"/>
            <w:noWrap/>
            <w:hideMark/>
          </w:tcPr>
          <w:p w14:paraId="79F6E144" w14:textId="77777777" w:rsidR="00AB6F50" w:rsidRPr="000973F2" w:rsidRDefault="00AB6F50" w:rsidP="009F277A">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18"/>
                <w:szCs w:val="18"/>
              </w:rPr>
            </w:pPr>
            <w:r w:rsidRPr="000973F2">
              <w:rPr>
                <w:rFonts w:ascii="Times New Roman" w:eastAsia="Times New Roman" w:hAnsi="Times New Roman" w:cs="Times New Roman"/>
                <w:b/>
                <w:bCs/>
                <w:sz w:val="18"/>
                <w:szCs w:val="18"/>
              </w:rPr>
              <w:t>0.0</w:t>
            </w:r>
          </w:p>
        </w:tc>
        <w:tc>
          <w:tcPr>
            <w:tcW w:w="670" w:type="dxa"/>
            <w:noWrap/>
            <w:hideMark/>
          </w:tcPr>
          <w:p w14:paraId="0F2CD602" w14:textId="77777777" w:rsidR="00AB6F50" w:rsidRPr="000973F2" w:rsidRDefault="00AB6F50" w:rsidP="009F277A">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18"/>
                <w:szCs w:val="18"/>
              </w:rPr>
            </w:pPr>
            <w:r w:rsidRPr="000973F2">
              <w:rPr>
                <w:rFonts w:ascii="Times New Roman" w:eastAsia="Times New Roman" w:hAnsi="Times New Roman" w:cs="Times New Roman"/>
                <w:b/>
                <w:bCs/>
                <w:sz w:val="18"/>
                <w:szCs w:val="18"/>
              </w:rPr>
              <w:t>2.0</w:t>
            </w:r>
          </w:p>
        </w:tc>
        <w:tc>
          <w:tcPr>
            <w:tcW w:w="670" w:type="dxa"/>
            <w:noWrap/>
            <w:hideMark/>
          </w:tcPr>
          <w:p w14:paraId="461AB835" w14:textId="77777777" w:rsidR="00AB6F50" w:rsidRPr="000973F2" w:rsidRDefault="00AB6F50" w:rsidP="009F277A">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18"/>
                <w:szCs w:val="18"/>
              </w:rPr>
            </w:pPr>
            <w:r w:rsidRPr="000973F2">
              <w:rPr>
                <w:rFonts w:ascii="Times New Roman" w:eastAsia="Times New Roman" w:hAnsi="Times New Roman" w:cs="Times New Roman"/>
                <w:b/>
                <w:bCs/>
                <w:sz w:val="18"/>
                <w:szCs w:val="18"/>
              </w:rPr>
              <w:t>0.0</w:t>
            </w:r>
          </w:p>
        </w:tc>
        <w:tc>
          <w:tcPr>
            <w:tcW w:w="670" w:type="dxa"/>
            <w:noWrap/>
            <w:hideMark/>
          </w:tcPr>
          <w:p w14:paraId="0A19ACEA" w14:textId="77777777" w:rsidR="00AB6F50" w:rsidRPr="000973F2" w:rsidRDefault="00AB6F50" w:rsidP="009F277A">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18"/>
                <w:szCs w:val="18"/>
              </w:rPr>
            </w:pPr>
            <w:r w:rsidRPr="000973F2">
              <w:rPr>
                <w:rFonts w:ascii="Times New Roman" w:eastAsia="Times New Roman" w:hAnsi="Times New Roman" w:cs="Times New Roman"/>
                <w:b/>
                <w:bCs/>
                <w:sz w:val="18"/>
                <w:szCs w:val="18"/>
              </w:rPr>
              <w:t>0.9</w:t>
            </w:r>
          </w:p>
        </w:tc>
        <w:tc>
          <w:tcPr>
            <w:tcW w:w="670" w:type="dxa"/>
            <w:noWrap/>
            <w:hideMark/>
          </w:tcPr>
          <w:p w14:paraId="160B3074" w14:textId="77777777" w:rsidR="00AB6F50" w:rsidRPr="000973F2" w:rsidRDefault="00AB6F50" w:rsidP="009F277A">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18"/>
                <w:szCs w:val="18"/>
              </w:rPr>
            </w:pPr>
            <w:r w:rsidRPr="000973F2">
              <w:rPr>
                <w:rFonts w:ascii="Times New Roman" w:eastAsia="Times New Roman" w:hAnsi="Times New Roman" w:cs="Times New Roman"/>
                <w:b/>
                <w:bCs/>
                <w:sz w:val="18"/>
                <w:szCs w:val="18"/>
              </w:rPr>
              <w:t>0.0</w:t>
            </w:r>
          </w:p>
        </w:tc>
        <w:tc>
          <w:tcPr>
            <w:tcW w:w="670" w:type="dxa"/>
            <w:noWrap/>
            <w:hideMark/>
          </w:tcPr>
          <w:p w14:paraId="464E8265" w14:textId="77777777" w:rsidR="00AB6F50" w:rsidRPr="000973F2" w:rsidRDefault="00AB6F50" w:rsidP="009F277A">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18"/>
                <w:szCs w:val="18"/>
              </w:rPr>
            </w:pPr>
            <w:r w:rsidRPr="000973F2">
              <w:rPr>
                <w:rFonts w:ascii="Times New Roman" w:eastAsia="Times New Roman" w:hAnsi="Times New Roman" w:cs="Times New Roman"/>
                <w:b/>
                <w:bCs/>
                <w:sz w:val="18"/>
                <w:szCs w:val="18"/>
              </w:rPr>
              <w:t>4.7</w:t>
            </w:r>
          </w:p>
        </w:tc>
        <w:tc>
          <w:tcPr>
            <w:tcW w:w="670" w:type="dxa"/>
            <w:noWrap/>
            <w:hideMark/>
          </w:tcPr>
          <w:p w14:paraId="4CED35A1" w14:textId="77777777" w:rsidR="00AB6F50" w:rsidRPr="000973F2" w:rsidRDefault="00AB6F50" w:rsidP="009F277A">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18"/>
                <w:szCs w:val="18"/>
              </w:rPr>
            </w:pPr>
            <w:r w:rsidRPr="000973F2">
              <w:rPr>
                <w:rFonts w:ascii="Times New Roman" w:eastAsia="Times New Roman" w:hAnsi="Times New Roman" w:cs="Times New Roman"/>
                <w:b/>
                <w:bCs/>
                <w:sz w:val="18"/>
                <w:szCs w:val="18"/>
              </w:rPr>
              <w:t>0.0</w:t>
            </w:r>
          </w:p>
        </w:tc>
        <w:tc>
          <w:tcPr>
            <w:tcW w:w="670" w:type="dxa"/>
            <w:noWrap/>
            <w:hideMark/>
          </w:tcPr>
          <w:p w14:paraId="432F52A1" w14:textId="77777777" w:rsidR="00AB6F50" w:rsidRPr="000973F2" w:rsidRDefault="00AB6F50" w:rsidP="009F277A">
            <w:pPr>
              <w:tabs>
                <w:tab w:val="decimal" w:pos="241"/>
              </w:tabs>
              <w:spacing w:before="40" w:after="4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18"/>
                <w:szCs w:val="18"/>
              </w:rPr>
            </w:pPr>
            <w:r w:rsidRPr="000973F2">
              <w:rPr>
                <w:rFonts w:ascii="Times New Roman" w:eastAsia="Times New Roman" w:hAnsi="Times New Roman" w:cs="Times New Roman"/>
                <w:b/>
                <w:bCs/>
                <w:sz w:val="18"/>
                <w:szCs w:val="18"/>
              </w:rPr>
              <w:t>56.0</w:t>
            </w:r>
          </w:p>
        </w:tc>
        <w:tc>
          <w:tcPr>
            <w:tcW w:w="670" w:type="dxa"/>
            <w:noWrap/>
            <w:hideMark/>
          </w:tcPr>
          <w:p w14:paraId="0981CEF9" w14:textId="77777777" w:rsidR="00AB6F50" w:rsidRPr="000973F2" w:rsidRDefault="00AB6F50" w:rsidP="009F277A">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18"/>
                <w:szCs w:val="18"/>
              </w:rPr>
            </w:pPr>
            <w:r w:rsidRPr="000973F2">
              <w:rPr>
                <w:rFonts w:ascii="Times New Roman" w:eastAsia="Times New Roman" w:hAnsi="Times New Roman" w:cs="Times New Roman"/>
                <w:b/>
                <w:bCs/>
                <w:sz w:val="18"/>
                <w:szCs w:val="18"/>
              </w:rPr>
              <w:t>0.0</w:t>
            </w:r>
          </w:p>
        </w:tc>
        <w:tc>
          <w:tcPr>
            <w:tcW w:w="670" w:type="dxa"/>
            <w:noWrap/>
            <w:hideMark/>
          </w:tcPr>
          <w:p w14:paraId="53EDC9D3" w14:textId="77777777" w:rsidR="00AB6F50" w:rsidRPr="000973F2" w:rsidRDefault="00AB6F50" w:rsidP="009F277A">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18"/>
                <w:szCs w:val="18"/>
              </w:rPr>
            </w:pPr>
            <w:r w:rsidRPr="000973F2">
              <w:rPr>
                <w:rFonts w:ascii="Times New Roman" w:eastAsia="Times New Roman" w:hAnsi="Times New Roman" w:cs="Times New Roman"/>
                <w:b/>
                <w:bCs/>
                <w:sz w:val="18"/>
                <w:szCs w:val="18"/>
              </w:rPr>
              <w:t>3.5</w:t>
            </w:r>
          </w:p>
        </w:tc>
        <w:tc>
          <w:tcPr>
            <w:tcW w:w="591" w:type="dxa"/>
            <w:noWrap/>
            <w:hideMark/>
          </w:tcPr>
          <w:p w14:paraId="6464734D" w14:textId="30BB3C8C" w:rsidR="00AB6F50" w:rsidRPr="000973F2" w:rsidRDefault="00AB6F50" w:rsidP="009F277A">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18"/>
                <w:szCs w:val="18"/>
              </w:rPr>
            </w:pPr>
            <w:r w:rsidRPr="000973F2">
              <w:rPr>
                <w:rFonts w:ascii="Times New Roman" w:eastAsia="Times New Roman" w:hAnsi="Times New Roman" w:cs="Times New Roman"/>
                <w:b/>
                <w:bCs/>
                <w:sz w:val="18"/>
                <w:szCs w:val="18"/>
              </w:rPr>
              <w:t>$0</w:t>
            </w:r>
          </w:p>
        </w:tc>
        <w:tc>
          <w:tcPr>
            <w:tcW w:w="795" w:type="dxa"/>
            <w:noWrap/>
            <w:hideMark/>
          </w:tcPr>
          <w:p w14:paraId="7CA82E08" w14:textId="1A0E8B6C" w:rsidR="00AB6F50" w:rsidRPr="000973F2" w:rsidRDefault="00AB6F50" w:rsidP="009F277A">
            <w:pPr>
              <w:tabs>
                <w:tab w:val="decimal" w:pos="466"/>
              </w:tabs>
              <w:spacing w:before="40" w:after="4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18"/>
                <w:szCs w:val="18"/>
              </w:rPr>
            </w:pPr>
            <w:r w:rsidRPr="000973F2">
              <w:rPr>
                <w:rFonts w:ascii="Times New Roman" w:eastAsia="Times New Roman" w:hAnsi="Times New Roman" w:cs="Times New Roman"/>
                <w:b/>
                <w:bCs/>
                <w:sz w:val="18"/>
                <w:szCs w:val="18"/>
              </w:rPr>
              <w:t>$6,152</w:t>
            </w:r>
          </w:p>
        </w:tc>
      </w:tr>
    </w:tbl>
    <w:p w14:paraId="647D838F" w14:textId="77777777" w:rsidR="00AB6F50" w:rsidRPr="000973F2" w:rsidRDefault="00AB6F50" w:rsidP="00C00E4F">
      <w:pPr>
        <w:spacing w:line="240" w:lineRule="auto"/>
        <w:jc w:val="center"/>
        <w:rPr>
          <w:rFonts w:ascii="Times New Roman" w:hAnsi="Times New Roman" w:cs="Times New Roman"/>
          <w:sz w:val="20"/>
          <w:szCs w:val="20"/>
        </w:rPr>
      </w:pPr>
    </w:p>
    <w:p w14:paraId="5C238944" w14:textId="5A8C288F" w:rsidR="00AB6F50" w:rsidRPr="000973F2" w:rsidRDefault="00AB6F50" w:rsidP="005D6075">
      <w:pPr>
        <w:pStyle w:val="Tabletitle"/>
      </w:pPr>
      <w:r w:rsidRPr="000973F2">
        <w:t xml:space="preserve">Table </w:t>
      </w:r>
      <w:r w:rsidR="005D6075" w:rsidRPr="000973F2">
        <w:t>W-</w:t>
      </w:r>
      <w:r w:rsidRPr="000973F2">
        <w:t xml:space="preserve">2g. </w:t>
      </w:r>
      <w:r w:rsidR="001F4582" w:rsidRPr="000973F2">
        <w:t xml:space="preserve">Capital and O&amp;M Costs </w:t>
      </w:r>
      <w:r w:rsidR="00B960CC" w:rsidRPr="000973F2">
        <w:t>–</w:t>
      </w:r>
      <w:r w:rsidR="001F4582" w:rsidRPr="000973F2">
        <w:t xml:space="preserve"> </w:t>
      </w:r>
      <w:r w:rsidRPr="000973F2">
        <w:t>Subpart W –</w:t>
      </w:r>
      <w:bookmarkStart w:id="44" w:name="_Hlk520798291"/>
      <w:r w:rsidRPr="000973F2">
        <w:t>LNG Import and Export Equipment</w:t>
      </w:r>
      <w:bookmarkEnd w:id="44"/>
    </w:p>
    <w:tbl>
      <w:tblPr>
        <w:tblStyle w:val="PlainTable1"/>
        <w:tblW w:w="5000" w:type="pct"/>
        <w:jc w:val="left"/>
        <w:tblLayout w:type="fixed"/>
        <w:tblCellMar>
          <w:left w:w="115" w:type="dxa"/>
          <w:right w:w="115" w:type="dxa"/>
        </w:tblCellMar>
        <w:tblLook w:val="04A0" w:firstRow="1" w:lastRow="0" w:firstColumn="1" w:lastColumn="0" w:noHBand="0" w:noVBand="1"/>
      </w:tblPr>
      <w:tblGrid>
        <w:gridCol w:w="2072"/>
        <w:gridCol w:w="1236"/>
        <w:gridCol w:w="1236"/>
        <w:gridCol w:w="1237"/>
        <w:gridCol w:w="1162"/>
        <w:gridCol w:w="1310"/>
        <w:gridCol w:w="1237"/>
      </w:tblGrid>
      <w:tr w:rsidR="00824684" w:rsidRPr="000973F2" w14:paraId="5CEC8AB2" w14:textId="77777777" w:rsidTr="005D6075">
        <w:trPr>
          <w:cnfStyle w:val="100000000000" w:firstRow="1" w:lastRow="0" w:firstColumn="0" w:lastColumn="0" w:oddVBand="0" w:evenVBand="0" w:oddHBand="0" w:evenHBand="0" w:firstRowFirstColumn="0" w:firstRowLastColumn="0" w:lastRowFirstColumn="0" w:lastRowLastColumn="0"/>
          <w:cantSplit/>
          <w:jc w:val="left"/>
        </w:trPr>
        <w:tc>
          <w:tcPr>
            <w:cnfStyle w:val="001000000000" w:firstRow="0" w:lastRow="0" w:firstColumn="1" w:lastColumn="0" w:oddVBand="0" w:evenVBand="0" w:oddHBand="0" w:evenHBand="0" w:firstRowFirstColumn="0" w:firstRowLastColumn="0" w:lastRowFirstColumn="0" w:lastRowLastColumn="0"/>
            <w:tcW w:w="1092" w:type="pct"/>
            <w:vMerge w:val="restart"/>
            <w:noWrap/>
            <w:vAlign w:val="top"/>
            <w:hideMark/>
          </w:tcPr>
          <w:p w14:paraId="5A55E4BF" w14:textId="32175CF7" w:rsidR="00D17312" w:rsidRPr="000973F2" w:rsidRDefault="00D17312" w:rsidP="005D6075">
            <w:pPr>
              <w:spacing w:before="40" w:after="40"/>
              <w:rPr>
                <w:rFonts w:ascii="Times New Roman" w:eastAsia="Times New Roman" w:hAnsi="Times New Roman" w:cs="Times New Roman"/>
                <w:b w:val="0"/>
                <w:bCs w:val="0"/>
                <w:sz w:val="18"/>
                <w:szCs w:val="18"/>
              </w:rPr>
            </w:pPr>
            <w:r w:rsidRPr="000973F2">
              <w:rPr>
                <w:rFonts w:ascii="Times New Roman" w:eastAsia="Times New Roman" w:hAnsi="Times New Roman" w:cs="Times New Roman"/>
                <w:sz w:val="18"/>
                <w:szCs w:val="18"/>
              </w:rPr>
              <w:t>Activity</w:t>
            </w:r>
          </w:p>
        </w:tc>
        <w:tc>
          <w:tcPr>
            <w:tcW w:w="2566" w:type="pct"/>
            <w:gridSpan w:val="4"/>
            <w:noWrap/>
            <w:vAlign w:val="top"/>
            <w:hideMark/>
          </w:tcPr>
          <w:p w14:paraId="2C355492" w14:textId="77777777" w:rsidR="00D17312" w:rsidRPr="000973F2" w:rsidRDefault="00D17312" w:rsidP="005D6075">
            <w:pPr>
              <w:spacing w:before="40" w:after="40"/>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bCs w:val="0"/>
                <w:sz w:val="18"/>
                <w:szCs w:val="18"/>
              </w:rPr>
            </w:pPr>
            <w:r w:rsidRPr="000973F2">
              <w:rPr>
                <w:rFonts w:ascii="Times New Roman" w:eastAsia="Times New Roman" w:hAnsi="Times New Roman" w:cs="Times New Roman"/>
                <w:sz w:val="18"/>
                <w:szCs w:val="18"/>
              </w:rPr>
              <w:t>Cost Categories</w:t>
            </w:r>
          </w:p>
        </w:tc>
        <w:tc>
          <w:tcPr>
            <w:tcW w:w="1342" w:type="pct"/>
            <w:gridSpan w:val="2"/>
            <w:tcMar>
              <w:left w:w="14" w:type="dxa"/>
              <w:right w:w="14" w:type="dxa"/>
            </w:tcMar>
            <w:vAlign w:val="top"/>
            <w:hideMark/>
          </w:tcPr>
          <w:p w14:paraId="14FA2F12" w14:textId="380FDE69" w:rsidR="00D17312" w:rsidRPr="000973F2" w:rsidRDefault="00D17312" w:rsidP="005D6075">
            <w:pPr>
              <w:spacing w:before="40" w:after="40"/>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bCs w:val="0"/>
                <w:sz w:val="18"/>
                <w:szCs w:val="18"/>
              </w:rPr>
            </w:pPr>
            <w:r w:rsidRPr="000973F2">
              <w:rPr>
                <w:rFonts w:ascii="Times New Roman" w:eastAsia="Times New Roman" w:hAnsi="Times New Roman" w:cs="Times New Roman"/>
                <w:sz w:val="18"/>
                <w:szCs w:val="18"/>
              </w:rPr>
              <w:t>Total Capital and O&amp;M Cost per Year per Reporter</w:t>
            </w:r>
            <w:r w:rsidR="00824684" w:rsidRPr="000973F2">
              <w:rPr>
                <w:rFonts w:ascii="Times New Roman" w:eastAsia="Times New Roman" w:hAnsi="Times New Roman" w:cs="Times New Roman"/>
                <w:sz w:val="18"/>
                <w:szCs w:val="18"/>
              </w:rPr>
              <w:t xml:space="preserve"> </w:t>
            </w:r>
            <w:r w:rsidRPr="000973F2">
              <w:rPr>
                <w:rFonts w:ascii="Times New Roman" w:eastAsia="Times New Roman" w:hAnsi="Times New Roman" w:cs="Times New Roman"/>
                <w:sz w:val="18"/>
                <w:szCs w:val="18"/>
              </w:rPr>
              <w:t>(2017$)</w:t>
            </w:r>
          </w:p>
        </w:tc>
      </w:tr>
      <w:tr w:rsidR="00824684" w:rsidRPr="000973F2" w14:paraId="31521AE0" w14:textId="77777777" w:rsidTr="005D6075">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1092" w:type="pct"/>
            <w:vMerge/>
            <w:noWrap/>
            <w:hideMark/>
          </w:tcPr>
          <w:p w14:paraId="7991C19A" w14:textId="78D45330" w:rsidR="00D17312" w:rsidRPr="000973F2" w:rsidRDefault="00D17312" w:rsidP="005D6075">
            <w:pPr>
              <w:spacing w:before="40" w:after="40"/>
              <w:jc w:val="center"/>
              <w:rPr>
                <w:rFonts w:ascii="Times New Roman" w:eastAsia="Times New Roman" w:hAnsi="Times New Roman" w:cs="Times New Roman"/>
                <w:b/>
                <w:bCs w:val="0"/>
                <w:sz w:val="18"/>
                <w:szCs w:val="18"/>
              </w:rPr>
            </w:pPr>
          </w:p>
        </w:tc>
        <w:tc>
          <w:tcPr>
            <w:tcW w:w="651" w:type="pct"/>
            <w:tcMar>
              <w:left w:w="14" w:type="dxa"/>
              <w:right w:w="14" w:type="dxa"/>
            </w:tcMar>
            <w:hideMark/>
          </w:tcPr>
          <w:p w14:paraId="67BD2335" w14:textId="77777777" w:rsidR="00D17312" w:rsidRPr="000973F2" w:rsidRDefault="00D17312" w:rsidP="005D6075">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18"/>
                <w:szCs w:val="18"/>
              </w:rPr>
            </w:pPr>
            <w:r w:rsidRPr="000973F2">
              <w:rPr>
                <w:rFonts w:ascii="Times New Roman" w:eastAsia="Times New Roman" w:hAnsi="Times New Roman" w:cs="Times New Roman"/>
                <w:b/>
                <w:bCs/>
                <w:sz w:val="18"/>
                <w:szCs w:val="18"/>
              </w:rPr>
              <w:t>Capital Cost (2017$)</w:t>
            </w:r>
          </w:p>
        </w:tc>
        <w:tc>
          <w:tcPr>
            <w:tcW w:w="651" w:type="pct"/>
            <w:tcMar>
              <w:left w:w="14" w:type="dxa"/>
              <w:right w:w="14" w:type="dxa"/>
            </w:tcMar>
            <w:hideMark/>
          </w:tcPr>
          <w:p w14:paraId="5DFCA89B" w14:textId="77777777" w:rsidR="00D17312" w:rsidRPr="000973F2" w:rsidRDefault="00D17312" w:rsidP="005D6075">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18"/>
                <w:szCs w:val="18"/>
              </w:rPr>
            </w:pPr>
            <w:r w:rsidRPr="000973F2">
              <w:rPr>
                <w:rFonts w:ascii="Times New Roman" w:eastAsia="Times New Roman" w:hAnsi="Times New Roman" w:cs="Times New Roman"/>
                <w:b/>
                <w:bCs/>
                <w:sz w:val="18"/>
                <w:szCs w:val="18"/>
              </w:rPr>
              <w:t>Equipment Lifetime</w:t>
            </w:r>
          </w:p>
        </w:tc>
        <w:tc>
          <w:tcPr>
            <w:tcW w:w="652" w:type="pct"/>
            <w:tcMar>
              <w:left w:w="14" w:type="dxa"/>
              <w:right w:w="14" w:type="dxa"/>
            </w:tcMar>
            <w:hideMark/>
          </w:tcPr>
          <w:p w14:paraId="40DD21EB" w14:textId="77777777" w:rsidR="00D17312" w:rsidRPr="000973F2" w:rsidRDefault="00D17312" w:rsidP="005D6075">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18"/>
                <w:szCs w:val="18"/>
              </w:rPr>
            </w:pPr>
            <w:r w:rsidRPr="000973F2">
              <w:rPr>
                <w:rFonts w:ascii="Times New Roman" w:eastAsia="Times New Roman" w:hAnsi="Times New Roman" w:cs="Times New Roman"/>
                <w:b/>
                <w:bCs/>
                <w:sz w:val="18"/>
                <w:szCs w:val="18"/>
              </w:rPr>
              <w:t>Annualized Capital Cost (2017$/year)</w:t>
            </w:r>
          </w:p>
        </w:tc>
        <w:tc>
          <w:tcPr>
            <w:tcW w:w="612" w:type="pct"/>
            <w:tcMar>
              <w:left w:w="14" w:type="dxa"/>
              <w:right w:w="14" w:type="dxa"/>
            </w:tcMar>
            <w:hideMark/>
          </w:tcPr>
          <w:p w14:paraId="7E6B0584" w14:textId="77777777" w:rsidR="00D17312" w:rsidRPr="000973F2" w:rsidRDefault="00D17312" w:rsidP="005D6075">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18"/>
                <w:szCs w:val="18"/>
              </w:rPr>
            </w:pPr>
            <w:r w:rsidRPr="000973F2">
              <w:rPr>
                <w:rFonts w:ascii="Times New Roman" w:eastAsia="Times New Roman" w:hAnsi="Times New Roman" w:cs="Times New Roman"/>
                <w:b/>
                <w:bCs/>
                <w:sz w:val="18"/>
                <w:szCs w:val="18"/>
              </w:rPr>
              <w:t>O&amp;M Costs (2017$/year)</w:t>
            </w:r>
          </w:p>
        </w:tc>
        <w:tc>
          <w:tcPr>
            <w:tcW w:w="690" w:type="pct"/>
            <w:tcMar>
              <w:left w:w="14" w:type="dxa"/>
              <w:right w:w="14" w:type="dxa"/>
            </w:tcMar>
            <w:hideMark/>
          </w:tcPr>
          <w:p w14:paraId="6ABF8E4A" w14:textId="77777777" w:rsidR="00D17312" w:rsidRPr="000973F2" w:rsidRDefault="00D17312" w:rsidP="005D6075">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18"/>
                <w:szCs w:val="18"/>
              </w:rPr>
            </w:pPr>
            <w:r w:rsidRPr="000973F2">
              <w:rPr>
                <w:rFonts w:ascii="Times New Roman" w:eastAsia="Times New Roman" w:hAnsi="Times New Roman" w:cs="Times New Roman"/>
                <w:b/>
                <w:bCs/>
                <w:sz w:val="18"/>
                <w:szCs w:val="18"/>
              </w:rPr>
              <w:t>Initial Year</w:t>
            </w:r>
          </w:p>
        </w:tc>
        <w:tc>
          <w:tcPr>
            <w:tcW w:w="652" w:type="pct"/>
            <w:tcMar>
              <w:left w:w="14" w:type="dxa"/>
              <w:right w:w="14" w:type="dxa"/>
            </w:tcMar>
            <w:hideMark/>
          </w:tcPr>
          <w:p w14:paraId="51C2981B" w14:textId="77777777" w:rsidR="00D17312" w:rsidRPr="000973F2" w:rsidRDefault="00D17312" w:rsidP="005D6075">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18"/>
                <w:szCs w:val="18"/>
              </w:rPr>
            </w:pPr>
            <w:r w:rsidRPr="000973F2">
              <w:rPr>
                <w:rFonts w:ascii="Times New Roman" w:eastAsia="Times New Roman" w:hAnsi="Times New Roman" w:cs="Times New Roman"/>
                <w:b/>
                <w:bCs/>
                <w:sz w:val="18"/>
                <w:szCs w:val="18"/>
              </w:rPr>
              <w:t>Subseq. Years</w:t>
            </w:r>
          </w:p>
        </w:tc>
      </w:tr>
      <w:tr w:rsidR="005D6075" w:rsidRPr="000973F2" w14:paraId="1EFC434E" w14:textId="77777777" w:rsidTr="005D6075">
        <w:trPr>
          <w:cantSplit/>
        </w:trPr>
        <w:tc>
          <w:tcPr>
            <w:cnfStyle w:val="001000000000" w:firstRow="0" w:lastRow="0" w:firstColumn="1" w:lastColumn="0" w:oddVBand="0" w:evenVBand="0" w:oddHBand="0" w:evenHBand="0" w:firstRowFirstColumn="0" w:firstRowLastColumn="0" w:lastRowFirstColumn="0" w:lastRowLastColumn="0"/>
            <w:tcW w:w="1092" w:type="pct"/>
            <w:hideMark/>
          </w:tcPr>
          <w:p w14:paraId="35DDDFC3" w14:textId="77777777" w:rsidR="005D6075" w:rsidRPr="000973F2" w:rsidRDefault="005D6075" w:rsidP="005D6075">
            <w:pPr>
              <w:spacing w:before="40" w:after="4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Equipment (selection, purchase, installation)</w:t>
            </w:r>
          </w:p>
        </w:tc>
        <w:tc>
          <w:tcPr>
            <w:tcW w:w="651" w:type="pct"/>
            <w:noWrap/>
            <w:hideMark/>
          </w:tcPr>
          <w:p w14:paraId="1BDE1442" w14:textId="1E8E2820" w:rsidR="005D6075" w:rsidRPr="000973F2" w:rsidRDefault="005D6075" w:rsidP="005D6075">
            <w:pPr>
              <w:spacing w:before="40" w:after="4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w:t>
            </w:r>
          </w:p>
        </w:tc>
        <w:tc>
          <w:tcPr>
            <w:tcW w:w="651" w:type="pct"/>
            <w:noWrap/>
          </w:tcPr>
          <w:p w14:paraId="31BBE857" w14:textId="33147A7D" w:rsidR="005D6075" w:rsidRPr="000973F2" w:rsidRDefault="005D6075" w:rsidP="005D6075">
            <w:pPr>
              <w:spacing w:before="40" w:after="4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p>
        </w:tc>
        <w:tc>
          <w:tcPr>
            <w:tcW w:w="652" w:type="pct"/>
            <w:noWrap/>
            <w:hideMark/>
          </w:tcPr>
          <w:p w14:paraId="10CD2C92" w14:textId="070B5F8E" w:rsidR="005D6075" w:rsidRPr="000973F2" w:rsidRDefault="005D6075" w:rsidP="005D6075">
            <w:pPr>
              <w:spacing w:before="40" w:after="4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w:t>
            </w:r>
          </w:p>
        </w:tc>
        <w:tc>
          <w:tcPr>
            <w:tcW w:w="612" w:type="pct"/>
            <w:noWrap/>
            <w:hideMark/>
          </w:tcPr>
          <w:p w14:paraId="2A33A426" w14:textId="51056280" w:rsidR="005D6075" w:rsidRPr="000973F2" w:rsidRDefault="005D6075" w:rsidP="005D6075">
            <w:pPr>
              <w:tabs>
                <w:tab w:val="decimal" w:pos="721"/>
              </w:tabs>
              <w:spacing w:before="40" w:after="4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w:t>
            </w:r>
          </w:p>
        </w:tc>
        <w:tc>
          <w:tcPr>
            <w:tcW w:w="690" w:type="pct"/>
            <w:noWrap/>
            <w:hideMark/>
          </w:tcPr>
          <w:p w14:paraId="1A2D07BF" w14:textId="6CDB1EA3" w:rsidR="005D6075" w:rsidRPr="000973F2" w:rsidRDefault="005D6075" w:rsidP="005D6075">
            <w:pPr>
              <w:spacing w:before="40" w:after="4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w:t>
            </w:r>
          </w:p>
        </w:tc>
        <w:tc>
          <w:tcPr>
            <w:tcW w:w="652" w:type="pct"/>
            <w:noWrap/>
            <w:hideMark/>
          </w:tcPr>
          <w:p w14:paraId="4C8ED7DE" w14:textId="2371EEEC" w:rsidR="005D6075" w:rsidRPr="000973F2" w:rsidRDefault="005D6075" w:rsidP="005D6075">
            <w:pPr>
              <w:tabs>
                <w:tab w:val="decimal" w:pos="871"/>
              </w:tabs>
              <w:spacing w:before="40" w:after="4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w:t>
            </w:r>
          </w:p>
        </w:tc>
      </w:tr>
      <w:tr w:rsidR="005D6075" w:rsidRPr="000973F2" w14:paraId="470A05D9" w14:textId="77777777" w:rsidTr="005D6075">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1092" w:type="pct"/>
            <w:hideMark/>
          </w:tcPr>
          <w:p w14:paraId="4EAED124" w14:textId="77777777" w:rsidR="005D6075" w:rsidRPr="000973F2" w:rsidRDefault="005D6075" w:rsidP="005D6075">
            <w:pPr>
              <w:spacing w:before="40" w:after="4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Performance testing</w:t>
            </w:r>
          </w:p>
        </w:tc>
        <w:tc>
          <w:tcPr>
            <w:tcW w:w="651" w:type="pct"/>
            <w:noWrap/>
            <w:hideMark/>
          </w:tcPr>
          <w:p w14:paraId="239A28B3" w14:textId="54A46882" w:rsidR="005D6075" w:rsidRPr="000973F2" w:rsidRDefault="005D6075" w:rsidP="005D6075">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w:t>
            </w:r>
          </w:p>
        </w:tc>
        <w:tc>
          <w:tcPr>
            <w:tcW w:w="651" w:type="pct"/>
            <w:noWrap/>
          </w:tcPr>
          <w:p w14:paraId="6C180D9A" w14:textId="33ABDEC9" w:rsidR="005D6075" w:rsidRPr="000973F2" w:rsidRDefault="005D6075" w:rsidP="005D6075">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p>
        </w:tc>
        <w:tc>
          <w:tcPr>
            <w:tcW w:w="652" w:type="pct"/>
            <w:noWrap/>
            <w:hideMark/>
          </w:tcPr>
          <w:p w14:paraId="71CEBE16" w14:textId="4EDF8750" w:rsidR="005D6075" w:rsidRPr="000973F2" w:rsidRDefault="005D6075" w:rsidP="005D6075">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w:t>
            </w:r>
          </w:p>
        </w:tc>
        <w:tc>
          <w:tcPr>
            <w:tcW w:w="612" w:type="pct"/>
            <w:noWrap/>
            <w:hideMark/>
          </w:tcPr>
          <w:p w14:paraId="235F369F" w14:textId="6F018CED" w:rsidR="005D6075" w:rsidRPr="000973F2" w:rsidRDefault="005D6075" w:rsidP="005D6075">
            <w:pPr>
              <w:tabs>
                <w:tab w:val="decimal" w:pos="721"/>
              </w:tabs>
              <w:spacing w:before="40" w:after="4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w:t>
            </w:r>
          </w:p>
        </w:tc>
        <w:tc>
          <w:tcPr>
            <w:tcW w:w="690" w:type="pct"/>
            <w:noWrap/>
            <w:hideMark/>
          </w:tcPr>
          <w:p w14:paraId="16BF4981" w14:textId="20541840" w:rsidR="005D6075" w:rsidRPr="000973F2" w:rsidRDefault="005D6075" w:rsidP="005D6075">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w:t>
            </w:r>
          </w:p>
        </w:tc>
        <w:tc>
          <w:tcPr>
            <w:tcW w:w="652" w:type="pct"/>
            <w:noWrap/>
            <w:hideMark/>
          </w:tcPr>
          <w:p w14:paraId="4373A83D" w14:textId="23E435A4" w:rsidR="005D6075" w:rsidRPr="000973F2" w:rsidRDefault="005D6075" w:rsidP="005D6075">
            <w:pPr>
              <w:tabs>
                <w:tab w:val="decimal" w:pos="871"/>
              </w:tabs>
              <w:spacing w:before="40" w:after="4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w:t>
            </w:r>
          </w:p>
        </w:tc>
      </w:tr>
      <w:tr w:rsidR="00824684" w:rsidRPr="000973F2" w14:paraId="78FB1A7E" w14:textId="77777777" w:rsidTr="005D6075">
        <w:trPr>
          <w:cantSplit/>
        </w:trPr>
        <w:tc>
          <w:tcPr>
            <w:cnfStyle w:val="001000000000" w:firstRow="0" w:lastRow="0" w:firstColumn="1" w:lastColumn="0" w:oddVBand="0" w:evenVBand="0" w:oddHBand="0" w:evenHBand="0" w:firstRowFirstColumn="0" w:firstRowLastColumn="0" w:lastRowFirstColumn="0" w:lastRowLastColumn="0"/>
            <w:tcW w:w="1092" w:type="pct"/>
            <w:hideMark/>
          </w:tcPr>
          <w:p w14:paraId="668F3FEE" w14:textId="77777777" w:rsidR="00AB6F50" w:rsidRPr="000973F2" w:rsidRDefault="00AB6F50" w:rsidP="005D6075">
            <w:pPr>
              <w:spacing w:before="40" w:after="4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Recordkeeping</w:t>
            </w:r>
          </w:p>
        </w:tc>
        <w:tc>
          <w:tcPr>
            <w:tcW w:w="651" w:type="pct"/>
            <w:noWrap/>
            <w:hideMark/>
          </w:tcPr>
          <w:p w14:paraId="20946F18" w14:textId="77777777" w:rsidR="00AB6F50" w:rsidRPr="000973F2" w:rsidRDefault="00AB6F50" w:rsidP="005D6075">
            <w:pPr>
              <w:spacing w:before="40" w:after="4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$0</w:t>
            </w:r>
          </w:p>
        </w:tc>
        <w:tc>
          <w:tcPr>
            <w:tcW w:w="651" w:type="pct"/>
            <w:noWrap/>
          </w:tcPr>
          <w:p w14:paraId="7976B931" w14:textId="03F0E197" w:rsidR="00AB6F50" w:rsidRPr="000973F2" w:rsidRDefault="00AB6F50" w:rsidP="005D6075">
            <w:pPr>
              <w:spacing w:before="40" w:after="4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p>
        </w:tc>
        <w:tc>
          <w:tcPr>
            <w:tcW w:w="652" w:type="pct"/>
            <w:noWrap/>
            <w:hideMark/>
          </w:tcPr>
          <w:p w14:paraId="5AAB85F5" w14:textId="77777777" w:rsidR="00AB6F50" w:rsidRPr="000973F2" w:rsidRDefault="00AB6F50" w:rsidP="005D6075">
            <w:pPr>
              <w:spacing w:before="40" w:after="4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$0</w:t>
            </w:r>
          </w:p>
        </w:tc>
        <w:tc>
          <w:tcPr>
            <w:tcW w:w="612" w:type="pct"/>
            <w:noWrap/>
            <w:hideMark/>
          </w:tcPr>
          <w:p w14:paraId="013EFD45" w14:textId="77777777" w:rsidR="00AB6F50" w:rsidRPr="000973F2" w:rsidRDefault="00AB6F50" w:rsidP="005D6075">
            <w:pPr>
              <w:tabs>
                <w:tab w:val="decimal" w:pos="721"/>
              </w:tabs>
              <w:spacing w:before="40" w:after="4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$50</w:t>
            </w:r>
          </w:p>
        </w:tc>
        <w:tc>
          <w:tcPr>
            <w:tcW w:w="690" w:type="pct"/>
            <w:noWrap/>
            <w:hideMark/>
          </w:tcPr>
          <w:p w14:paraId="6886FDCE" w14:textId="77777777" w:rsidR="00AB6F50" w:rsidRPr="000973F2" w:rsidRDefault="00AB6F50" w:rsidP="005D6075">
            <w:pPr>
              <w:spacing w:before="40" w:after="4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$0</w:t>
            </w:r>
          </w:p>
        </w:tc>
        <w:tc>
          <w:tcPr>
            <w:tcW w:w="652" w:type="pct"/>
            <w:noWrap/>
            <w:hideMark/>
          </w:tcPr>
          <w:p w14:paraId="1DC3BB74" w14:textId="77777777" w:rsidR="00AB6F50" w:rsidRPr="000973F2" w:rsidRDefault="00AB6F50" w:rsidP="005D6075">
            <w:pPr>
              <w:tabs>
                <w:tab w:val="decimal" w:pos="871"/>
              </w:tabs>
              <w:spacing w:before="40" w:after="4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$50</w:t>
            </w:r>
          </w:p>
        </w:tc>
      </w:tr>
      <w:tr w:rsidR="005D6075" w:rsidRPr="000973F2" w14:paraId="5D8FC01A" w14:textId="77777777" w:rsidTr="005D6075">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1092" w:type="pct"/>
            <w:hideMark/>
          </w:tcPr>
          <w:p w14:paraId="54344D4E" w14:textId="77777777" w:rsidR="005D6075" w:rsidRPr="000973F2" w:rsidRDefault="005D6075" w:rsidP="005D6075">
            <w:pPr>
              <w:spacing w:before="40" w:after="4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Travel</w:t>
            </w:r>
          </w:p>
        </w:tc>
        <w:tc>
          <w:tcPr>
            <w:tcW w:w="651" w:type="pct"/>
            <w:noWrap/>
            <w:hideMark/>
          </w:tcPr>
          <w:p w14:paraId="75869B26" w14:textId="35017E8B" w:rsidR="005D6075" w:rsidRPr="000973F2" w:rsidRDefault="005D6075" w:rsidP="005D6075">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w:t>
            </w:r>
          </w:p>
        </w:tc>
        <w:tc>
          <w:tcPr>
            <w:tcW w:w="651" w:type="pct"/>
            <w:noWrap/>
          </w:tcPr>
          <w:p w14:paraId="47FAFDA3" w14:textId="638E8289" w:rsidR="005D6075" w:rsidRPr="000973F2" w:rsidRDefault="005D6075" w:rsidP="005D6075">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p>
        </w:tc>
        <w:tc>
          <w:tcPr>
            <w:tcW w:w="652" w:type="pct"/>
            <w:noWrap/>
            <w:hideMark/>
          </w:tcPr>
          <w:p w14:paraId="02E1215F" w14:textId="0C5E9DD7" w:rsidR="005D6075" w:rsidRPr="000973F2" w:rsidRDefault="005D6075" w:rsidP="005D6075">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w:t>
            </w:r>
          </w:p>
        </w:tc>
        <w:tc>
          <w:tcPr>
            <w:tcW w:w="612" w:type="pct"/>
            <w:noWrap/>
            <w:hideMark/>
          </w:tcPr>
          <w:p w14:paraId="11C9F41C" w14:textId="58830A0F" w:rsidR="005D6075" w:rsidRPr="000973F2" w:rsidRDefault="005D6075" w:rsidP="005D6075">
            <w:pPr>
              <w:tabs>
                <w:tab w:val="decimal" w:pos="721"/>
              </w:tabs>
              <w:spacing w:before="40" w:after="4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w:t>
            </w:r>
          </w:p>
        </w:tc>
        <w:tc>
          <w:tcPr>
            <w:tcW w:w="690" w:type="pct"/>
            <w:noWrap/>
            <w:hideMark/>
          </w:tcPr>
          <w:p w14:paraId="0BA68B4D" w14:textId="61B9CA1A" w:rsidR="005D6075" w:rsidRPr="000973F2" w:rsidRDefault="005D6075" w:rsidP="005D6075">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w:t>
            </w:r>
          </w:p>
        </w:tc>
        <w:tc>
          <w:tcPr>
            <w:tcW w:w="652" w:type="pct"/>
            <w:noWrap/>
            <w:hideMark/>
          </w:tcPr>
          <w:p w14:paraId="0F3ACB23" w14:textId="0C3A4923" w:rsidR="005D6075" w:rsidRPr="000973F2" w:rsidRDefault="005D6075" w:rsidP="005D6075">
            <w:pPr>
              <w:tabs>
                <w:tab w:val="decimal" w:pos="871"/>
              </w:tabs>
              <w:spacing w:before="40" w:after="4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w:t>
            </w:r>
          </w:p>
        </w:tc>
      </w:tr>
      <w:tr w:rsidR="00824684" w:rsidRPr="000973F2" w14:paraId="7C2A2E01" w14:textId="77777777" w:rsidTr="005D6075">
        <w:trPr>
          <w:cantSplit/>
        </w:trPr>
        <w:tc>
          <w:tcPr>
            <w:cnfStyle w:val="001000000000" w:firstRow="0" w:lastRow="0" w:firstColumn="1" w:lastColumn="0" w:oddVBand="0" w:evenVBand="0" w:oddHBand="0" w:evenHBand="0" w:firstRowFirstColumn="0" w:firstRowLastColumn="0" w:lastRowFirstColumn="0" w:lastRowLastColumn="0"/>
            <w:tcW w:w="1092" w:type="pct"/>
            <w:hideMark/>
          </w:tcPr>
          <w:p w14:paraId="6EC97CBC" w14:textId="1561FD98" w:rsidR="00AB6F50" w:rsidRPr="000973F2" w:rsidRDefault="00AB6F50" w:rsidP="005D6075">
            <w:pPr>
              <w:spacing w:before="40" w:after="4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 xml:space="preserve">Sampling </w:t>
            </w:r>
            <w:r w:rsidR="00321129" w:rsidRPr="000973F2">
              <w:rPr>
                <w:rFonts w:ascii="Times New Roman" w:eastAsia="Times New Roman" w:hAnsi="Times New Roman" w:cs="Times New Roman"/>
                <w:sz w:val="18"/>
                <w:szCs w:val="18"/>
              </w:rPr>
              <w:t xml:space="preserve">and Analysis </w:t>
            </w:r>
            <w:r w:rsidRPr="000973F2">
              <w:rPr>
                <w:rFonts w:ascii="Times New Roman" w:eastAsia="Times New Roman" w:hAnsi="Times New Roman" w:cs="Times New Roman"/>
                <w:sz w:val="18"/>
                <w:szCs w:val="18"/>
              </w:rPr>
              <w:t>Costs</w:t>
            </w:r>
          </w:p>
        </w:tc>
        <w:tc>
          <w:tcPr>
            <w:tcW w:w="651" w:type="pct"/>
            <w:noWrap/>
            <w:hideMark/>
          </w:tcPr>
          <w:p w14:paraId="42C32997" w14:textId="77777777" w:rsidR="00AB6F50" w:rsidRPr="000973F2" w:rsidRDefault="00AB6F50" w:rsidP="005D6075">
            <w:pPr>
              <w:spacing w:before="40" w:after="4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$0</w:t>
            </w:r>
          </w:p>
        </w:tc>
        <w:tc>
          <w:tcPr>
            <w:tcW w:w="651" w:type="pct"/>
            <w:noWrap/>
          </w:tcPr>
          <w:p w14:paraId="541F51E8" w14:textId="03F6FA18" w:rsidR="00AB6F50" w:rsidRPr="000973F2" w:rsidRDefault="00AB6F50" w:rsidP="005D6075">
            <w:pPr>
              <w:spacing w:before="40" w:after="4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p>
        </w:tc>
        <w:tc>
          <w:tcPr>
            <w:tcW w:w="652" w:type="pct"/>
            <w:noWrap/>
            <w:hideMark/>
          </w:tcPr>
          <w:p w14:paraId="50961922" w14:textId="77777777" w:rsidR="00AB6F50" w:rsidRPr="000973F2" w:rsidRDefault="00AB6F50" w:rsidP="005D6075">
            <w:pPr>
              <w:spacing w:before="40" w:after="4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$0</w:t>
            </w:r>
          </w:p>
        </w:tc>
        <w:tc>
          <w:tcPr>
            <w:tcW w:w="612" w:type="pct"/>
            <w:noWrap/>
            <w:hideMark/>
          </w:tcPr>
          <w:p w14:paraId="294EFDC0" w14:textId="77777777" w:rsidR="00AB6F50" w:rsidRPr="000973F2" w:rsidRDefault="00AB6F50" w:rsidP="005D6075">
            <w:pPr>
              <w:tabs>
                <w:tab w:val="decimal" w:pos="721"/>
              </w:tabs>
              <w:spacing w:before="40" w:after="4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$19,525</w:t>
            </w:r>
          </w:p>
        </w:tc>
        <w:tc>
          <w:tcPr>
            <w:tcW w:w="690" w:type="pct"/>
            <w:noWrap/>
            <w:hideMark/>
          </w:tcPr>
          <w:p w14:paraId="566984C4" w14:textId="77777777" w:rsidR="00AB6F50" w:rsidRPr="000973F2" w:rsidRDefault="00AB6F50" w:rsidP="005D6075">
            <w:pPr>
              <w:spacing w:before="40" w:after="4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$0</w:t>
            </w:r>
          </w:p>
        </w:tc>
        <w:tc>
          <w:tcPr>
            <w:tcW w:w="652" w:type="pct"/>
            <w:noWrap/>
            <w:hideMark/>
          </w:tcPr>
          <w:p w14:paraId="29174120" w14:textId="77777777" w:rsidR="00AB6F50" w:rsidRPr="000973F2" w:rsidRDefault="00AB6F50" w:rsidP="005D6075">
            <w:pPr>
              <w:tabs>
                <w:tab w:val="decimal" w:pos="871"/>
              </w:tabs>
              <w:spacing w:before="40" w:after="4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$19,525</w:t>
            </w:r>
          </w:p>
        </w:tc>
      </w:tr>
      <w:tr w:rsidR="00824684" w:rsidRPr="000973F2" w14:paraId="7981AD42" w14:textId="77777777" w:rsidTr="005D6075">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1092" w:type="pct"/>
            <w:hideMark/>
          </w:tcPr>
          <w:p w14:paraId="7933E435" w14:textId="77777777" w:rsidR="00AB6F50" w:rsidRPr="000973F2" w:rsidRDefault="00AB6F50" w:rsidP="005D6075">
            <w:pPr>
              <w:spacing w:before="40" w:after="40"/>
              <w:rPr>
                <w:rFonts w:ascii="Times New Roman" w:eastAsia="Times New Roman" w:hAnsi="Times New Roman" w:cs="Times New Roman"/>
                <w:b/>
                <w:bCs w:val="0"/>
                <w:sz w:val="18"/>
                <w:szCs w:val="18"/>
              </w:rPr>
            </w:pPr>
            <w:r w:rsidRPr="000973F2">
              <w:rPr>
                <w:rFonts w:ascii="Times New Roman" w:eastAsia="Times New Roman" w:hAnsi="Times New Roman" w:cs="Times New Roman"/>
                <w:b/>
                <w:sz w:val="18"/>
                <w:szCs w:val="18"/>
              </w:rPr>
              <w:t xml:space="preserve">Total </w:t>
            </w:r>
          </w:p>
        </w:tc>
        <w:tc>
          <w:tcPr>
            <w:tcW w:w="651" w:type="pct"/>
            <w:noWrap/>
            <w:hideMark/>
          </w:tcPr>
          <w:p w14:paraId="56C6AB3B" w14:textId="77777777" w:rsidR="00AB6F50" w:rsidRPr="000973F2" w:rsidRDefault="00AB6F50" w:rsidP="005D6075">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sz w:val="18"/>
                <w:szCs w:val="18"/>
              </w:rPr>
            </w:pPr>
            <w:r w:rsidRPr="000973F2">
              <w:rPr>
                <w:rFonts w:ascii="Times New Roman" w:eastAsia="Times New Roman" w:hAnsi="Times New Roman" w:cs="Times New Roman"/>
                <w:b/>
                <w:sz w:val="18"/>
                <w:szCs w:val="18"/>
              </w:rPr>
              <w:t>$0</w:t>
            </w:r>
          </w:p>
        </w:tc>
        <w:tc>
          <w:tcPr>
            <w:tcW w:w="651" w:type="pct"/>
            <w:noWrap/>
            <w:hideMark/>
          </w:tcPr>
          <w:p w14:paraId="1EA3D884" w14:textId="49CBC7BB" w:rsidR="00AB6F50" w:rsidRPr="000973F2" w:rsidRDefault="00AB6F50" w:rsidP="005D6075">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sz w:val="18"/>
                <w:szCs w:val="18"/>
              </w:rPr>
            </w:pPr>
          </w:p>
        </w:tc>
        <w:tc>
          <w:tcPr>
            <w:tcW w:w="652" w:type="pct"/>
            <w:noWrap/>
            <w:hideMark/>
          </w:tcPr>
          <w:p w14:paraId="0EB610E1" w14:textId="77777777" w:rsidR="00AB6F50" w:rsidRPr="000973F2" w:rsidRDefault="00AB6F50" w:rsidP="005D6075">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sz w:val="18"/>
                <w:szCs w:val="18"/>
              </w:rPr>
            </w:pPr>
            <w:r w:rsidRPr="000973F2">
              <w:rPr>
                <w:rFonts w:ascii="Times New Roman" w:eastAsia="Times New Roman" w:hAnsi="Times New Roman" w:cs="Times New Roman"/>
                <w:b/>
                <w:sz w:val="18"/>
                <w:szCs w:val="18"/>
              </w:rPr>
              <w:t>$0</w:t>
            </w:r>
          </w:p>
        </w:tc>
        <w:tc>
          <w:tcPr>
            <w:tcW w:w="612" w:type="pct"/>
            <w:noWrap/>
            <w:hideMark/>
          </w:tcPr>
          <w:p w14:paraId="79B241CE" w14:textId="77777777" w:rsidR="00AB6F50" w:rsidRPr="000973F2" w:rsidRDefault="00AB6F50" w:rsidP="005D6075">
            <w:pPr>
              <w:tabs>
                <w:tab w:val="decimal" w:pos="721"/>
              </w:tabs>
              <w:spacing w:before="40" w:after="4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sz w:val="18"/>
                <w:szCs w:val="18"/>
              </w:rPr>
            </w:pPr>
            <w:r w:rsidRPr="000973F2">
              <w:rPr>
                <w:rFonts w:ascii="Times New Roman" w:eastAsia="Times New Roman" w:hAnsi="Times New Roman" w:cs="Times New Roman"/>
                <w:b/>
                <w:sz w:val="18"/>
                <w:szCs w:val="18"/>
              </w:rPr>
              <w:t>$19,575</w:t>
            </w:r>
          </w:p>
        </w:tc>
        <w:tc>
          <w:tcPr>
            <w:tcW w:w="690" w:type="pct"/>
            <w:noWrap/>
            <w:hideMark/>
          </w:tcPr>
          <w:p w14:paraId="46937346" w14:textId="77777777" w:rsidR="00AB6F50" w:rsidRPr="000973F2" w:rsidRDefault="00AB6F50" w:rsidP="005D6075">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sz w:val="18"/>
                <w:szCs w:val="18"/>
              </w:rPr>
            </w:pPr>
            <w:r w:rsidRPr="000973F2">
              <w:rPr>
                <w:rFonts w:ascii="Times New Roman" w:eastAsia="Times New Roman" w:hAnsi="Times New Roman" w:cs="Times New Roman"/>
                <w:b/>
                <w:sz w:val="18"/>
                <w:szCs w:val="18"/>
              </w:rPr>
              <w:t>$0</w:t>
            </w:r>
          </w:p>
        </w:tc>
        <w:tc>
          <w:tcPr>
            <w:tcW w:w="652" w:type="pct"/>
            <w:noWrap/>
            <w:hideMark/>
          </w:tcPr>
          <w:p w14:paraId="21BA0C96" w14:textId="77777777" w:rsidR="00AB6F50" w:rsidRPr="000973F2" w:rsidRDefault="00AB6F50" w:rsidP="005D6075">
            <w:pPr>
              <w:tabs>
                <w:tab w:val="decimal" w:pos="871"/>
              </w:tabs>
              <w:spacing w:before="40" w:after="4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sz w:val="18"/>
                <w:szCs w:val="18"/>
              </w:rPr>
            </w:pPr>
            <w:r w:rsidRPr="000973F2">
              <w:rPr>
                <w:rFonts w:ascii="Times New Roman" w:eastAsia="Times New Roman" w:hAnsi="Times New Roman" w:cs="Times New Roman"/>
                <w:b/>
                <w:sz w:val="18"/>
                <w:szCs w:val="18"/>
              </w:rPr>
              <w:t>$19,575</w:t>
            </w:r>
          </w:p>
        </w:tc>
      </w:tr>
    </w:tbl>
    <w:p w14:paraId="0AFACB2C" w14:textId="2A39B0CD" w:rsidR="00AB6F50" w:rsidRPr="000973F2" w:rsidRDefault="00AB6F50" w:rsidP="0061585D">
      <w:pPr>
        <w:pStyle w:val="Heading2"/>
      </w:pPr>
      <w:r w:rsidRPr="000973F2">
        <w:t>Labor Costs for Subpart W</w:t>
      </w:r>
      <w:r w:rsidR="00235736" w:rsidRPr="000973F2">
        <w:t>–</w:t>
      </w:r>
      <w:r w:rsidRPr="000973F2">
        <w:t>- Natural Gas Distribution</w:t>
      </w:r>
    </w:p>
    <w:p w14:paraId="52511CE4" w14:textId="7EDE43CA" w:rsidR="00AB6F50" w:rsidRPr="000973F2" w:rsidRDefault="00AB6F50" w:rsidP="00235736">
      <w:pPr>
        <w:pStyle w:val="BodyText"/>
      </w:pPr>
      <w:r w:rsidRPr="000973F2">
        <w:t xml:space="preserve">Table </w:t>
      </w:r>
      <w:r w:rsidR="00235736" w:rsidRPr="000973F2">
        <w:t>W-</w:t>
      </w:r>
      <w:r w:rsidRPr="000973F2">
        <w:t>1h below includes the labor hours for each of the 169 existing reporters in the Natural Gas Distribution industry segment to comply with Subpart W according to §98.232(i). Typical activities related to planning, QA/QC, recordkeeping and reporting, and sampling and analysis (which includes emission calculations) are discussed in the Cost Appendix Introduction. Calculations required for this industry segment are detailed in §98.233, based on the emission sources listed in §98.232(i).</w:t>
      </w:r>
    </w:p>
    <w:p w14:paraId="5FE2A2A0" w14:textId="153194F2" w:rsidR="00AB6F50" w:rsidRPr="000973F2" w:rsidRDefault="00AB6F50" w:rsidP="0061585D">
      <w:pPr>
        <w:pStyle w:val="Heading2"/>
      </w:pPr>
      <w:r w:rsidRPr="000973F2">
        <w:t xml:space="preserve">Capital and O&amp;M Costs for Subpart W </w:t>
      </w:r>
      <w:r w:rsidR="00235736" w:rsidRPr="000973F2">
        <w:t>–</w:t>
      </w:r>
      <w:r w:rsidRPr="000973F2">
        <w:t xml:space="preserve"> Natural Gas Distribution</w:t>
      </w:r>
    </w:p>
    <w:p w14:paraId="1485B1CA" w14:textId="6ADA9BD5" w:rsidR="00AB6F50" w:rsidRPr="000973F2" w:rsidRDefault="00AB6F50" w:rsidP="00235736">
      <w:pPr>
        <w:pStyle w:val="BodyText"/>
      </w:pPr>
      <w:r w:rsidRPr="000973F2">
        <w:t xml:space="preserve">Table </w:t>
      </w:r>
      <w:r w:rsidR="00235736" w:rsidRPr="000973F2">
        <w:t>W-</w:t>
      </w:r>
      <w:r w:rsidRPr="000973F2">
        <w:t>2h below includes the capital and O&amp;M costs for each of the 169 reporters in the Natural Gas Distribution industry segment to comply with Subpart W. Typical costs related to equipment, performance testing, recordkeeping, and travel are discussed in the Cost Appendix Introduction.</w:t>
      </w:r>
    </w:p>
    <w:p w14:paraId="680247CE" w14:textId="77777777" w:rsidR="00AB6F50" w:rsidRPr="000973F2" w:rsidRDefault="00AB6F50" w:rsidP="00235736">
      <w:pPr>
        <w:pStyle w:val="BodyText"/>
      </w:pPr>
      <w:r w:rsidRPr="000973F2">
        <w:t>Sampling costs for this industry segment are related to the use of EPA Method 21 to conduct equipment leak surveys.</w:t>
      </w:r>
    </w:p>
    <w:p w14:paraId="4B7B93C4" w14:textId="2F930E86" w:rsidR="00AB6F50" w:rsidRPr="000973F2" w:rsidRDefault="00AB6F50" w:rsidP="00235736">
      <w:pPr>
        <w:pStyle w:val="Tabletitle"/>
      </w:pPr>
      <w:r w:rsidRPr="000973F2">
        <w:t xml:space="preserve">Table </w:t>
      </w:r>
      <w:r w:rsidR="00235736" w:rsidRPr="000973F2">
        <w:t>W-</w:t>
      </w:r>
      <w:r w:rsidRPr="000973F2">
        <w:t xml:space="preserve">1h. </w:t>
      </w:r>
      <w:r w:rsidR="001F4582" w:rsidRPr="000973F2">
        <w:t xml:space="preserve">Labor Costs </w:t>
      </w:r>
      <w:r w:rsidR="00B960CC" w:rsidRPr="000973F2">
        <w:t>–</w:t>
      </w:r>
      <w:r w:rsidR="001F4582" w:rsidRPr="000973F2">
        <w:t xml:space="preserve"> </w:t>
      </w:r>
      <w:r w:rsidRPr="000973F2">
        <w:t>Subpart W – Natural Gas Distribution</w:t>
      </w:r>
    </w:p>
    <w:tbl>
      <w:tblPr>
        <w:tblStyle w:val="PlainTable1"/>
        <w:tblW w:w="5000" w:type="pct"/>
        <w:jc w:val="left"/>
        <w:tblLayout w:type="fixed"/>
        <w:tblCellMar>
          <w:left w:w="115" w:type="dxa"/>
          <w:right w:w="115" w:type="dxa"/>
        </w:tblCellMar>
        <w:tblLook w:val="04A0" w:firstRow="1" w:lastRow="0" w:firstColumn="1" w:lastColumn="0" w:noHBand="0" w:noVBand="1"/>
      </w:tblPr>
      <w:tblGrid>
        <w:gridCol w:w="1279"/>
        <w:gridCol w:w="682"/>
        <w:gridCol w:w="683"/>
        <w:gridCol w:w="683"/>
        <w:gridCol w:w="683"/>
        <w:gridCol w:w="684"/>
        <w:gridCol w:w="684"/>
        <w:gridCol w:w="684"/>
        <w:gridCol w:w="684"/>
        <w:gridCol w:w="684"/>
        <w:gridCol w:w="684"/>
        <w:gridCol w:w="659"/>
        <w:gridCol w:w="817"/>
      </w:tblGrid>
      <w:tr w:rsidR="00AB6F50" w:rsidRPr="000973F2" w14:paraId="5F465C74" w14:textId="77777777" w:rsidTr="00235736">
        <w:trPr>
          <w:cnfStyle w:val="100000000000" w:firstRow="1" w:lastRow="0" w:firstColumn="0" w:lastColumn="0" w:oddVBand="0" w:evenVBand="0" w:oddHBand="0" w:evenHBand="0" w:firstRowFirstColumn="0" w:firstRowLastColumn="0" w:lastRowFirstColumn="0" w:lastRowLastColumn="0"/>
          <w:cantSplit/>
          <w:jc w:val="left"/>
        </w:trPr>
        <w:tc>
          <w:tcPr>
            <w:cnfStyle w:val="001000000000" w:firstRow="0" w:lastRow="0" w:firstColumn="1" w:lastColumn="0" w:oddVBand="0" w:evenVBand="0" w:oddHBand="0" w:evenHBand="0" w:firstRowFirstColumn="0" w:firstRowLastColumn="0" w:lastRowFirstColumn="0" w:lastRowLastColumn="0"/>
            <w:tcW w:w="1245" w:type="dxa"/>
            <w:vMerge w:val="restart"/>
            <w:noWrap/>
            <w:vAlign w:val="top"/>
            <w:hideMark/>
          </w:tcPr>
          <w:p w14:paraId="5EE09E2B" w14:textId="77777777" w:rsidR="00AB6F50" w:rsidRPr="000973F2" w:rsidRDefault="00AB6F50" w:rsidP="00235736">
            <w:pPr>
              <w:spacing w:before="40" w:after="40"/>
              <w:rPr>
                <w:rFonts w:ascii="Times New Roman" w:eastAsia="Times New Roman" w:hAnsi="Times New Roman" w:cs="Times New Roman"/>
                <w:b w:val="0"/>
                <w:bCs w:val="0"/>
                <w:sz w:val="18"/>
                <w:szCs w:val="18"/>
              </w:rPr>
            </w:pPr>
            <w:r w:rsidRPr="000973F2">
              <w:rPr>
                <w:rFonts w:ascii="Times New Roman" w:eastAsia="Times New Roman" w:hAnsi="Times New Roman" w:cs="Times New Roman"/>
                <w:sz w:val="18"/>
                <w:szCs w:val="18"/>
              </w:rPr>
              <w:t>Activity</w:t>
            </w:r>
          </w:p>
        </w:tc>
        <w:tc>
          <w:tcPr>
            <w:tcW w:w="6649" w:type="dxa"/>
            <w:gridSpan w:val="10"/>
            <w:noWrap/>
            <w:vAlign w:val="top"/>
            <w:hideMark/>
          </w:tcPr>
          <w:p w14:paraId="6A20BAE6" w14:textId="77777777" w:rsidR="00AB6F50" w:rsidRPr="000973F2" w:rsidRDefault="00AB6F50" w:rsidP="00235736">
            <w:pPr>
              <w:spacing w:before="40" w:after="40"/>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bCs w:val="0"/>
                <w:sz w:val="18"/>
                <w:szCs w:val="18"/>
              </w:rPr>
            </w:pPr>
            <w:r w:rsidRPr="000973F2">
              <w:rPr>
                <w:rFonts w:ascii="Times New Roman" w:eastAsia="Times New Roman" w:hAnsi="Times New Roman" w:cs="Times New Roman"/>
                <w:sz w:val="18"/>
                <w:szCs w:val="18"/>
              </w:rPr>
              <w:t>Labor Rates (per hour)</w:t>
            </w:r>
          </w:p>
        </w:tc>
        <w:tc>
          <w:tcPr>
            <w:tcW w:w="1436" w:type="dxa"/>
            <w:gridSpan w:val="2"/>
            <w:vMerge w:val="restart"/>
            <w:vAlign w:val="top"/>
            <w:hideMark/>
          </w:tcPr>
          <w:p w14:paraId="48361EBF" w14:textId="1488D688" w:rsidR="00AB6F50" w:rsidRPr="000973F2" w:rsidRDefault="00AB6F50" w:rsidP="00235736">
            <w:pPr>
              <w:spacing w:before="40" w:after="40"/>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bCs w:val="0"/>
                <w:sz w:val="18"/>
                <w:szCs w:val="18"/>
              </w:rPr>
            </w:pPr>
            <w:r w:rsidRPr="000973F2">
              <w:rPr>
                <w:rFonts w:ascii="Times New Roman" w:eastAsia="Times New Roman" w:hAnsi="Times New Roman" w:cs="Times New Roman"/>
                <w:sz w:val="18"/>
                <w:szCs w:val="18"/>
              </w:rPr>
              <w:t>Total Labor Cost per Year per Reporter</w:t>
            </w:r>
            <w:r w:rsidR="00235736" w:rsidRPr="000973F2">
              <w:rPr>
                <w:rFonts w:ascii="Times New Roman" w:eastAsia="Times New Roman" w:hAnsi="Times New Roman" w:cs="Times New Roman"/>
                <w:sz w:val="18"/>
                <w:szCs w:val="18"/>
              </w:rPr>
              <w:t xml:space="preserve"> </w:t>
            </w:r>
            <w:r w:rsidRPr="000973F2">
              <w:rPr>
                <w:rFonts w:ascii="Times New Roman" w:eastAsia="Times New Roman" w:hAnsi="Times New Roman" w:cs="Times New Roman"/>
                <w:sz w:val="18"/>
                <w:szCs w:val="18"/>
              </w:rPr>
              <w:t>(2017$)</w:t>
            </w:r>
          </w:p>
        </w:tc>
      </w:tr>
      <w:tr w:rsidR="007054A6" w:rsidRPr="000973F2" w14:paraId="55626161" w14:textId="77777777" w:rsidTr="00235736">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1245" w:type="dxa"/>
            <w:vMerge/>
            <w:hideMark/>
          </w:tcPr>
          <w:p w14:paraId="2955AA87" w14:textId="77777777" w:rsidR="00AB6F50" w:rsidRPr="000973F2" w:rsidRDefault="00AB6F50" w:rsidP="00235736">
            <w:pPr>
              <w:spacing w:before="40" w:after="40"/>
              <w:rPr>
                <w:rFonts w:ascii="Times New Roman" w:eastAsia="Times New Roman" w:hAnsi="Times New Roman" w:cs="Times New Roman"/>
                <w:b/>
                <w:bCs w:val="0"/>
                <w:sz w:val="18"/>
                <w:szCs w:val="18"/>
              </w:rPr>
            </w:pPr>
          </w:p>
        </w:tc>
        <w:tc>
          <w:tcPr>
            <w:tcW w:w="1329" w:type="dxa"/>
            <w:gridSpan w:val="2"/>
            <w:noWrap/>
            <w:hideMark/>
          </w:tcPr>
          <w:p w14:paraId="567BD575" w14:textId="77777777" w:rsidR="00AB6F50" w:rsidRPr="000973F2" w:rsidRDefault="00AB6F50" w:rsidP="00235736">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18"/>
                <w:szCs w:val="18"/>
              </w:rPr>
            </w:pPr>
            <w:r w:rsidRPr="000973F2">
              <w:rPr>
                <w:rFonts w:ascii="Times New Roman" w:eastAsia="Times New Roman" w:hAnsi="Times New Roman" w:cs="Times New Roman"/>
                <w:b/>
                <w:bCs/>
                <w:sz w:val="18"/>
                <w:szCs w:val="18"/>
              </w:rPr>
              <w:t>Lawyer</w:t>
            </w:r>
          </w:p>
        </w:tc>
        <w:tc>
          <w:tcPr>
            <w:tcW w:w="1330" w:type="dxa"/>
            <w:gridSpan w:val="2"/>
            <w:noWrap/>
            <w:hideMark/>
          </w:tcPr>
          <w:p w14:paraId="67B8D03A" w14:textId="77777777" w:rsidR="00AB6F50" w:rsidRPr="000973F2" w:rsidRDefault="00AB6F50" w:rsidP="00235736">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18"/>
                <w:szCs w:val="18"/>
              </w:rPr>
            </w:pPr>
            <w:r w:rsidRPr="000973F2">
              <w:rPr>
                <w:rFonts w:ascii="Times New Roman" w:eastAsia="Times New Roman" w:hAnsi="Times New Roman" w:cs="Times New Roman"/>
                <w:b/>
                <w:bCs/>
                <w:sz w:val="18"/>
                <w:szCs w:val="18"/>
              </w:rPr>
              <w:t>Senior Manager</w:t>
            </w:r>
          </w:p>
        </w:tc>
        <w:tc>
          <w:tcPr>
            <w:tcW w:w="1330" w:type="dxa"/>
            <w:gridSpan w:val="2"/>
            <w:noWrap/>
            <w:hideMark/>
          </w:tcPr>
          <w:p w14:paraId="38194266" w14:textId="77777777" w:rsidR="00AB6F50" w:rsidRPr="000973F2" w:rsidRDefault="00AB6F50" w:rsidP="00235736">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18"/>
                <w:szCs w:val="18"/>
              </w:rPr>
            </w:pPr>
            <w:r w:rsidRPr="000973F2">
              <w:rPr>
                <w:rFonts w:ascii="Times New Roman" w:eastAsia="Times New Roman" w:hAnsi="Times New Roman" w:cs="Times New Roman"/>
                <w:b/>
                <w:bCs/>
                <w:sz w:val="18"/>
                <w:szCs w:val="18"/>
              </w:rPr>
              <w:t>Middle Manager</w:t>
            </w:r>
          </w:p>
        </w:tc>
        <w:tc>
          <w:tcPr>
            <w:tcW w:w="1330" w:type="dxa"/>
            <w:gridSpan w:val="2"/>
            <w:hideMark/>
          </w:tcPr>
          <w:p w14:paraId="3C150A2A" w14:textId="77777777" w:rsidR="00AB6F50" w:rsidRPr="000973F2" w:rsidRDefault="00AB6F50" w:rsidP="00235736">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18"/>
                <w:szCs w:val="18"/>
              </w:rPr>
            </w:pPr>
            <w:r w:rsidRPr="000973F2">
              <w:rPr>
                <w:rFonts w:ascii="Times New Roman" w:eastAsia="Times New Roman" w:hAnsi="Times New Roman" w:cs="Times New Roman"/>
                <w:b/>
                <w:bCs/>
                <w:sz w:val="18"/>
                <w:szCs w:val="18"/>
              </w:rPr>
              <w:t>Engineer</w:t>
            </w:r>
          </w:p>
        </w:tc>
        <w:tc>
          <w:tcPr>
            <w:tcW w:w="1330" w:type="dxa"/>
            <w:gridSpan w:val="2"/>
            <w:hideMark/>
          </w:tcPr>
          <w:p w14:paraId="0E33AF33" w14:textId="77777777" w:rsidR="00AB6F50" w:rsidRPr="000973F2" w:rsidRDefault="00AB6F50" w:rsidP="00235736">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18"/>
                <w:szCs w:val="18"/>
              </w:rPr>
            </w:pPr>
            <w:r w:rsidRPr="000973F2">
              <w:rPr>
                <w:rFonts w:ascii="Times New Roman" w:eastAsia="Times New Roman" w:hAnsi="Times New Roman" w:cs="Times New Roman"/>
                <w:b/>
                <w:bCs/>
                <w:sz w:val="18"/>
                <w:szCs w:val="18"/>
              </w:rPr>
              <w:t>Technician</w:t>
            </w:r>
          </w:p>
        </w:tc>
        <w:tc>
          <w:tcPr>
            <w:tcW w:w="1436" w:type="dxa"/>
            <w:gridSpan w:val="2"/>
            <w:vMerge/>
            <w:hideMark/>
          </w:tcPr>
          <w:p w14:paraId="6FD4E502" w14:textId="77777777" w:rsidR="00AB6F50" w:rsidRPr="000973F2" w:rsidRDefault="00AB6F50" w:rsidP="00235736">
            <w:pPr>
              <w:spacing w:before="40" w:after="4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18"/>
                <w:szCs w:val="18"/>
              </w:rPr>
            </w:pPr>
          </w:p>
        </w:tc>
      </w:tr>
      <w:tr w:rsidR="007054A6" w:rsidRPr="000973F2" w14:paraId="28D81FFB" w14:textId="77777777" w:rsidTr="00235736">
        <w:trPr>
          <w:cantSplit/>
        </w:trPr>
        <w:tc>
          <w:tcPr>
            <w:cnfStyle w:val="001000000000" w:firstRow="0" w:lastRow="0" w:firstColumn="1" w:lastColumn="0" w:oddVBand="0" w:evenVBand="0" w:oddHBand="0" w:evenHBand="0" w:firstRowFirstColumn="0" w:firstRowLastColumn="0" w:lastRowFirstColumn="0" w:lastRowLastColumn="0"/>
            <w:tcW w:w="1245" w:type="dxa"/>
            <w:vMerge/>
            <w:hideMark/>
          </w:tcPr>
          <w:p w14:paraId="3A3EB68E" w14:textId="77777777" w:rsidR="00AB6F50" w:rsidRPr="000973F2" w:rsidRDefault="00AB6F50" w:rsidP="00235736">
            <w:pPr>
              <w:spacing w:before="40" w:after="40"/>
              <w:rPr>
                <w:rFonts w:ascii="Times New Roman" w:eastAsia="Times New Roman" w:hAnsi="Times New Roman" w:cs="Times New Roman"/>
                <w:b/>
                <w:bCs w:val="0"/>
                <w:sz w:val="18"/>
                <w:szCs w:val="18"/>
              </w:rPr>
            </w:pPr>
          </w:p>
        </w:tc>
        <w:tc>
          <w:tcPr>
            <w:tcW w:w="1329" w:type="dxa"/>
            <w:gridSpan w:val="2"/>
            <w:noWrap/>
            <w:hideMark/>
          </w:tcPr>
          <w:p w14:paraId="12EE4A25" w14:textId="6A2181E1" w:rsidR="00AB6F50" w:rsidRPr="000973F2" w:rsidRDefault="00AB6F50" w:rsidP="00235736">
            <w:pPr>
              <w:spacing w:before="40" w:after="4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sz w:val="18"/>
                <w:szCs w:val="18"/>
              </w:rPr>
            </w:pPr>
            <w:r w:rsidRPr="000973F2">
              <w:rPr>
                <w:rFonts w:ascii="Times New Roman" w:eastAsia="Times New Roman" w:hAnsi="Times New Roman" w:cs="Times New Roman"/>
                <w:b/>
                <w:bCs/>
                <w:sz w:val="18"/>
                <w:szCs w:val="18"/>
              </w:rPr>
              <w:t>$112.23</w:t>
            </w:r>
          </w:p>
        </w:tc>
        <w:tc>
          <w:tcPr>
            <w:tcW w:w="1330" w:type="dxa"/>
            <w:gridSpan w:val="2"/>
            <w:hideMark/>
          </w:tcPr>
          <w:p w14:paraId="5A9F17C6" w14:textId="228080C9" w:rsidR="00AB6F50" w:rsidRPr="000973F2" w:rsidRDefault="00AB6F50" w:rsidP="00235736">
            <w:pPr>
              <w:spacing w:before="40" w:after="4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sz w:val="18"/>
                <w:szCs w:val="18"/>
              </w:rPr>
            </w:pPr>
            <w:r w:rsidRPr="000973F2">
              <w:rPr>
                <w:rFonts w:ascii="Times New Roman" w:eastAsia="Times New Roman" w:hAnsi="Times New Roman" w:cs="Times New Roman"/>
                <w:b/>
                <w:bCs/>
                <w:sz w:val="18"/>
                <w:szCs w:val="18"/>
              </w:rPr>
              <w:t>$141.54</w:t>
            </w:r>
          </w:p>
        </w:tc>
        <w:tc>
          <w:tcPr>
            <w:tcW w:w="1330" w:type="dxa"/>
            <w:gridSpan w:val="2"/>
            <w:noWrap/>
            <w:hideMark/>
          </w:tcPr>
          <w:p w14:paraId="245FF8D3" w14:textId="36D97603" w:rsidR="00AB6F50" w:rsidRPr="000973F2" w:rsidRDefault="00AB6F50" w:rsidP="00235736">
            <w:pPr>
              <w:spacing w:before="40" w:after="4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sz w:val="18"/>
                <w:szCs w:val="18"/>
              </w:rPr>
            </w:pPr>
            <w:r w:rsidRPr="000973F2">
              <w:rPr>
                <w:rFonts w:ascii="Times New Roman" w:eastAsia="Times New Roman" w:hAnsi="Times New Roman" w:cs="Times New Roman"/>
                <w:b/>
                <w:bCs/>
                <w:sz w:val="18"/>
                <w:szCs w:val="18"/>
              </w:rPr>
              <w:t>$105.68</w:t>
            </w:r>
          </w:p>
        </w:tc>
        <w:tc>
          <w:tcPr>
            <w:tcW w:w="1330" w:type="dxa"/>
            <w:gridSpan w:val="2"/>
            <w:hideMark/>
          </w:tcPr>
          <w:p w14:paraId="10D96DBA" w14:textId="4F912682" w:rsidR="00AB6F50" w:rsidRPr="000973F2" w:rsidRDefault="00AB6F50" w:rsidP="00235736">
            <w:pPr>
              <w:spacing w:before="40" w:after="4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sz w:val="18"/>
                <w:szCs w:val="18"/>
              </w:rPr>
            </w:pPr>
            <w:r w:rsidRPr="000973F2">
              <w:rPr>
                <w:rFonts w:ascii="Times New Roman" w:eastAsia="Times New Roman" w:hAnsi="Times New Roman" w:cs="Times New Roman"/>
                <w:b/>
                <w:bCs/>
                <w:sz w:val="18"/>
                <w:szCs w:val="18"/>
              </w:rPr>
              <w:t>$91.06</w:t>
            </w:r>
          </w:p>
        </w:tc>
        <w:tc>
          <w:tcPr>
            <w:tcW w:w="1330" w:type="dxa"/>
            <w:gridSpan w:val="2"/>
            <w:noWrap/>
            <w:hideMark/>
          </w:tcPr>
          <w:p w14:paraId="00533F75" w14:textId="0E7F25C4" w:rsidR="00AB6F50" w:rsidRPr="000973F2" w:rsidRDefault="00AB6F50" w:rsidP="00235736">
            <w:pPr>
              <w:spacing w:before="40" w:after="4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sz w:val="18"/>
                <w:szCs w:val="18"/>
              </w:rPr>
            </w:pPr>
            <w:r w:rsidRPr="000973F2">
              <w:rPr>
                <w:rFonts w:ascii="Times New Roman" w:eastAsia="Times New Roman" w:hAnsi="Times New Roman" w:cs="Times New Roman"/>
                <w:b/>
                <w:bCs/>
                <w:sz w:val="18"/>
                <w:szCs w:val="18"/>
              </w:rPr>
              <w:t>$60.72</w:t>
            </w:r>
          </w:p>
        </w:tc>
        <w:tc>
          <w:tcPr>
            <w:tcW w:w="1436" w:type="dxa"/>
            <w:gridSpan w:val="2"/>
            <w:vMerge/>
            <w:hideMark/>
          </w:tcPr>
          <w:p w14:paraId="14B6188A" w14:textId="77777777" w:rsidR="00AB6F50" w:rsidRPr="000973F2" w:rsidRDefault="00AB6F50" w:rsidP="00235736">
            <w:pPr>
              <w:spacing w:before="40" w:after="4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sz w:val="18"/>
                <w:szCs w:val="18"/>
              </w:rPr>
            </w:pPr>
          </w:p>
        </w:tc>
      </w:tr>
      <w:tr w:rsidR="00235736" w:rsidRPr="000973F2" w14:paraId="589BB1D5" w14:textId="77777777" w:rsidTr="00235736">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1245" w:type="dxa"/>
            <w:vMerge/>
            <w:hideMark/>
          </w:tcPr>
          <w:p w14:paraId="064FAAB9" w14:textId="77777777" w:rsidR="00AB6F50" w:rsidRPr="000973F2" w:rsidRDefault="00AB6F50" w:rsidP="00235736">
            <w:pPr>
              <w:spacing w:before="40" w:after="40"/>
              <w:rPr>
                <w:rFonts w:ascii="Times New Roman" w:eastAsia="Times New Roman" w:hAnsi="Times New Roman" w:cs="Times New Roman"/>
                <w:b/>
                <w:bCs w:val="0"/>
                <w:sz w:val="18"/>
                <w:szCs w:val="18"/>
              </w:rPr>
            </w:pPr>
          </w:p>
        </w:tc>
        <w:tc>
          <w:tcPr>
            <w:tcW w:w="664" w:type="dxa"/>
            <w:tcMar>
              <w:left w:w="14" w:type="dxa"/>
              <w:right w:w="14" w:type="dxa"/>
            </w:tcMar>
            <w:hideMark/>
          </w:tcPr>
          <w:p w14:paraId="39552C49" w14:textId="77777777" w:rsidR="00AB6F50" w:rsidRPr="000973F2" w:rsidRDefault="00AB6F50" w:rsidP="00235736">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18"/>
                <w:szCs w:val="18"/>
              </w:rPr>
            </w:pPr>
            <w:r w:rsidRPr="000973F2">
              <w:rPr>
                <w:rFonts w:ascii="Times New Roman" w:eastAsia="Times New Roman" w:hAnsi="Times New Roman" w:cs="Times New Roman"/>
                <w:b/>
                <w:bCs/>
                <w:sz w:val="18"/>
                <w:szCs w:val="18"/>
              </w:rPr>
              <w:t>Initial Year Hours</w:t>
            </w:r>
          </w:p>
        </w:tc>
        <w:tc>
          <w:tcPr>
            <w:tcW w:w="665" w:type="dxa"/>
            <w:tcMar>
              <w:left w:w="14" w:type="dxa"/>
              <w:right w:w="14" w:type="dxa"/>
            </w:tcMar>
            <w:hideMark/>
          </w:tcPr>
          <w:p w14:paraId="1390C563" w14:textId="77777777" w:rsidR="00AB6F50" w:rsidRPr="000973F2" w:rsidRDefault="00AB6F50" w:rsidP="00235736">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18"/>
                <w:szCs w:val="18"/>
              </w:rPr>
            </w:pPr>
            <w:r w:rsidRPr="000973F2">
              <w:rPr>
                <w:rFonts w:ascii="Times New Roman" w:eastAsia="Times New Roman" w:hAnsi="Times New Roman" w:cs="Times New Roman"/>
                <w:b/>
                <w:bCs/>
                <w:sz w:val="18"/>
                <w:szCs w:val="18"/>
              </w:rPr>
              <w:t>Subseq. Year Hours</w:t>
            </w:r>
          </w:p>
        </w:tc>
        <w:tc>
          <w:tcPr>
            <w:tcW w:w="665" w:type="dxa"/>
            <w:tcMar>
              <w:left w:w="14" w:type="dxa"/>
              <w:right w:w="14" w:type="dxa"/>
            </w:tcMar>
            <w:hideMark/>
          </w:tcPr>
          <w:p w14:paraId="33F12AC7" w14:textId="77777777" w:rsidR="00AB6F50" w:rsidRPr="000973F2" w:rsidRDefault="00AB6F50" w:rsidP="00235736">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18"/>
                <w:szCs w:val="18"/>
              </w:rPr>
            </w:pPr>
            <w:r w:rsidRPr="000973F2">
              <w:rPr>
                <w:rFonts w:ascii="Times New Roman" w:eastAsia="Times New Roman" w:hAnsi="Times New Roman" w:cs="Times New Roman"/>
                <w:b/>
                <w:bCs/>
                <w:sz w:val="18"/>
                <w:szCs w:val="18"/>
              </w:rPr>
              <w:t>Initial Year Hours</w:t>
            </w:r>
          </w:p>
        </w:tc>
        <w:tc>
          <w:tcPr>
            <w:tcW w:w="665" w:type="dxa"/>
            <w:tcMar>
              <w:left w:w="14" w:type="dxa"/>
              <w:right w:w="14" w:type="dxa"/>
            </w:tcMar>
            <w:hideMark/>
          </w:tcPr>
          <w:p w14:paraId="4602D688" w14:textId="77777777" w:rsidR="00AB6F50" w:rsidRPr="000973F2" w:rsidRDefault="00AB6F50" w:rsidP="00235736">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18"/>
                <w:szCs w:val="18"/>
              </w:rPr>
            </w:pPr>
            <w:r w:rsidRPr="000973F2">
              <w:rPr>
                <w:rFonts w:ascii="Times New Roman" w:eastAsia="Times New Roman" w:hAnsi="Times New Roman" w:cs="Times New Roman"/>
                <w:b/>
                <w:bCs/>
                <w:sz w:val="18"/>
                <w:szCs w:val="18"/>
              </w:rPr>
              <w:t>Subseq. Year Hours</w:t>
            </w:r>
          </w:p>
        </w:tc>
        <w:tc>
          <w:tcPr>
            <w:tcW w:w="665" w:type="dxa"/>
            <w:tcMar>
              <w:left w:w="14" w:type="dxa"/>
              <w:right w:w="14" w:type="dxa"/>
            </w:tcMar>
            <w:hideMark/>
          </w:tcPr>
          <w:p w14:paraId="75ECE8C2" w14:textId="77777777" w:rsidR="00AB6F50" w:rsidRPr="000973F2" w:rsidRDefault="00AB6F50" w:rsidP="00235736">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18"/>
                <w:szCs w:val="18"/>
              </w:rPr>
            </w:pPr>
            <w:r w:rsidRPr="000973F2">
              <w:rPr>
                <w:rFonts w:ascii="Times New Roman" w:eastAsia="Times New Roman" w:hAnsi="Times New Roman" w:cs="Times New Roman"/>
                <w:b/>
                <w:bCs/>
                <w:sz w:val="18"/>
                <w:szCs w:val="18"/>
              </w:rPr>
              <w:t>Initial Year Hours</w:t>
            </w:r>
          </w:p>
        </w:tc>
        <w:tc>
          <w:tcPr>
            <w:tcW w:w="665" w:type="dxa"/>
            <w:tcMar>
              <w:left w:w="14" w:type="dxa"/>
              <w:right w:w="14" w:type="dxa"/>
            </w:tcMar>
            <w:hideMark/>
          </w:tcPr>
          <w:p w14:paraId="1CAA5403" w14:textId="77777777" w:rsidR="00AB6F50" w:rsidRPr="000973F2" w:rsidRDefault="00AB6F50" w:rsidP="00235736">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18"/>
                <w:szCs w:val="18"/>
              </w:rPr>
            </w:pPr>
            <w:r w:rsidRPr="000973F2">
              <w:rPr>
                <w:rFonts w:ascii="Times New Roman" w:eastAsia="Times New Roman" w:hAnsi="Times New Roman" w:cs="Times New Roman"/>
                <w:b/>
                <w:bCs/>
                <w:sz w:val="18"/>
                <w:szCs w:val="18"/>
              </w:rPr>
              <w:t>Subseq. Year Hours</w:t>
            </w:r>
          </w:p>
        </w:tc>
        <w:tc>
          <w:tcPr>
            <w:tcW w:w="665" w:type="dxa"/>
            <w:tcMar>
              <w:left w:w="14" w:type="dxa"/>
              <w:right w:w="14" w:type="dxa"/>
            </w:tcMar>
            <w:hideMark/>
          </w:tcPr>
          <w:p w14:paraId="4D65C28B" w14:textId="77777777" w:rsidR="00AB6F50" w:rsidRPr="000973F2" w:rsidRDefault="00AB6F50" w:rsidP="00235736">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18"/>
                <w:szCs w:val="18"/>
              </w:rPr>
            </w:pPr>
            <w:r w:rsidRPr="000973F2">
              <w:rPr>
                <w:rFonts w:ascii="Times New Roman" w:eastAsia="Times New Roman" w:hAnsi="Times New Roman" w:cs="Times New Roman"/>
                <w:b/>
                <w:bCs/>
                <w:sz w:val="18"/>
                <w:szCs w:val="18"/>
              </w:rPr>
              <w:t>Initial Year Hours</w:t>
            </w:r>
          </w:p>
        </w:tc>
        <w:tc>
          <w:tcPr>
            <w:tcW w:w="665" w:type="dxa"/>
            <w:tcMar>
              <w:left w:w="14" w:type="dxa"/>
              <w:right w:w="14" w:type="dxa"/>
            </w:tcMar>
            <w:hideMark/>
          </w:tcPr>
          <w:p w14:paraId="53E524F6" w14:textId="77777777" w:rsidR="00AB6F50" w:rsidRPr="000973F2" w:rsidRDefault="00AB6F50" w:rsidP="00235736">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18"/>
                <w:szCs w:val="18"/>
              </w:rPr>
            </w:pPr>
            <w:r w:rsidRPr="000973F2">
              <w:rPr>
                <w:rFonts w:ascii="Times New Roman" w:eastAsia="Times New Roman" w:hAnsi="Times New Roman" w:cs="Times New Roman"/>
                <w:b/>
                <w:bCs/>
                <w:sz w:val="18"/>
                <w:szCs w:val="18"/>
              </w:rPr>
              <w:t>Subseq. Year Hours</w:t>
            </w:r>
          </w:p>
        </w:tc>
        <w:tc>
          <w:tcPr>
            <w:tcW w:w="665" w:type="dxa"/>
            <w:tcMar>
              <w:left w:w="14" w:type="dxa"/>
              <w:right w:w="14" w:type="dxa"/>
            </w:tcMar>
            <w:hideMark/>
          </w:tcPr>
          <w:p w14:paraId="18C7E2BD" w14:textId="77777777" w:rsidR="00AB6F50" w:rsidRPr="000973F2" w:rsidRDefault="00AB6F50" w:rsidP="00235736">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18"/>
                <w:szCs w:val="18"/>
              </w:rPr>
            </w:pPr>
            <w:r w:rsidRPr="000973F2">
              <w:rPr>
                <w:rFonts w:ascii="Times New Roman" w:eastAsia="Times New Roman" w:hAnsi="Times New Roman" w:cs="Times New Roman"/>
                <w:b/>
                <w:bCs/>
                <w:sz w:val="18"/>
                <w:szCs w:val="18"/>
              </w:rPr>
              <w:t>Initial Year Hours</w:t>
            </w:r>
          </w:p>
        </w:tc>
        <w:tc>
          <w:tcPr>
            <w:tcW w:w="665" w:type="dxa"/>
            <w:tcMar>
              <w:left w:w="14" w:type="dxa"/>
              <w:right w:w="14" w:type="dxa"/>
            </w:tcMar>
            <w:hideMark/>
          </w:tcPr>
          <w:p w14:paraId="47521951" w14:textId="77777777" w:rsidR="00AB6F50" w:rsidRPr="000973F2" w:rsidRDefault="00AB6F50" w:rsidP="00235736">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18"/>
                <w:szCs w:val="18"/>
              </w:rPr>
            </w:pPr>
            <w:r w:rsidRPr="000973F2">
              <w:rPr>
                <w:rFonts w:ascii="Times New Roman" w:eastAsia="Times New Roman" w:hAnsi="Times New Roman" w:cs="Times New Roman"/>
                <w:b/>
                <w:bCs/>
                <w:sz w:val="18"/>
                <w:szCs w:val="18"/>
              </w:rPr>
              <w:t>Subseq. Year Hours</w:t>
            </w:r>
          </w:p>
        </w:tc>
        <w:tc>
          <w:tcPr>
            <w:tcW w:w="641" w:type="dxa"/>
            <w:tcMar>
              <w:left w:w="14" w:type="dxa"/>
              <w:right w:w="14" w:type="dxa"/>
            </w:tcMar>
            <w:hideMark/>
          </w:tcPr>
          <w:p w14:paraId="33A21C28" w14:textId="77777777" w:rsidR="00AB6F50" w:rsidRPr="000973F2" w:rsidRDefault="00AB6F50" w:rsidP="00235736">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18"/>
                <w:szCs w:val="18"/>
              </w:rPr>
            </w:pPr>
            <w:r w:rsidRPr="000973F2">
              <w:rPr>
                <w:rFonts w:ascii="Times New Roman" w:eastAsia="Times New Roman" w:hAnsi="Times New Roman" w:cs="Times New Roman"/>
                <w:b/>
                <w:bCs/>
                <w:sz w:val="18"/>
                <w:szCs w:val="18"/>
              </w:rPr>
              <w:t>Initial Year</w:t>
            </w:r>
          </w:p>
        </w:tc>
        <w:tc>
          <w:tcPr>
            <w:tcW w:w="795" w:type="dxa"/>
            <w:tcMar>
              <w:left w:w="14" w:type="dxa"/>
              <w:right w:w="14" w:type="dxa"/>
            </w:tcMar>
            <w:hideMark/>
          </w:tcPr>
          <w:p w14:paraId="6D1EFB4D" w14:textId="77777777" w:rsidR="00AB6F50" w:rsidRPr="000973F2" w:rsidRDefault="00AB6F50" w:rsidP="00235736">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18"/>
                <w:szCs w:val="18"/>
              </w:rPr>
            </w:pPr>
            <w:r w:rsidRPr="000973F2">
              <w:rPr>
                <w:rFonts w:ascii="Times New Roman" w:eastAsia="Times New Roman" w:hAnsi="Times New Roman" w:cs="Times New Roman"/>
                <w:b/>
                <w:bCs/>
                <w:sz w:val="18"/>
                <w:szCs w:val="18"/>
              </w:rPr>
              <w:t>Subseq. Year</w:t>
            </w:r>
          </w:p>
        </w:tc>
      </w:tr>
      <w:tr w:rsidR="00235736" w:rsidRPr="000973F2" w14:paraId="56D02C20" w14:textId="77777777" w:rsidTr="00235736">
        <w:trPr>
          <w:cantSplit/>
        </w:trPr>
        <w:tc>
          <w:tcPr>
            <w:cnfStyle w:val="001000000000" w:firstRow="0" w:lastRow="0" w:firstColumn="1" w:lastColumn="0" w:oddVBand="0" w:evenVBand="0" w:oddHBand="0" w:evenHBand="0" w:firstRowFirstColumn="0" w:firstRowLastColumn="0" w:lastRowFirstColumn="0" w:lastRowLastColumn="0"/>
            <w:tcW w:w="1245" w:type="dxa"/>
            <w:tcMar>
              <w:right w:w="14" w:type="dxa"/>
            </w:tcMar>
            <w:hideMark/>
          </w:tcPr>
          <w:p w14:paraId="680211C4" w14:textId="77777777" w:rsidR="00AB6F50" w:rsidRPr="000973F2" w:rsidRDefault="00AB6F50" w:rsidP="00235736">
            <w:pPr>
              <w:spacing w:before="40" w:after="4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Planning</w:t>
            </w:r>
          </w:p>
        </w:tc>
        <w:tc>
          <w:tcPr>
            <w:tcW w:w="664" w:type="dxa"/>
            <w:noWrap/>
            <w:hideMark/>
          </w:tcPr>
          <w:p w14:paraId="327080CB" w14:textId="77777777" w:rsidR="00AB6F50" w:rsidRPr="000973F2" w:rsidRDefault="00AB6F50" w:rsidP="00235736">
            <w:pPr>
              <w:spacing w:before="40" w:after="4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0.0</w:t>
            </w:r>
          </w:p>
        </w:tc>
        <w:tc>
          <w:tcPr>
            <w:tcW w:w="665" w:type="dxa"/>
            <w:noWrap/>
            <w:hideMark/>
          </w:tcPr>
          <w:p w14:paraId="2109B780" w14:textId="77777777" w:rsidR="00AB6F50" w:rsidRPr="000973F2" w:rsidRDefault="00AB6F50" w:rsidP="00235736">
            <w:pPr>
              <w:spacing w:before="40" w:after="4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2.0</w:t>
            </w:r>
          </w:p>
        </w:tc>
        <w:tc>
          <w:tcPr>
            <w:tcW w:w="665" w:type="dxa"/>
            <w:noWrap/>
            <w:hideMark/>
          </w:tcPr>
          <w:p w14:paraId="0CD1757B" w14:textId="77777777" w:rsidR="00AB6F50" w:rsidRPr="000973F2" w:rsidRDefault="00AB6F50" w:rsidP="00235736">
            <w:pPr>
              <w:spacing w:before="40" w:after="4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0.0</w:t>
            </w:r>
          </w:p>
        </w:tc>
        <w:tc>
          <w:tcPr>
            <w:tcW w:w="665" w:type="dxa"/>
            <w:noWrap/>
            <w:hideMark/>
          </w:tcPr>
          <w:p w14:paraId="5A94AA34" w14:textId="77777777" w:rsidR="00AB6F50" w:rsidRPr="000973F2" w:rsidRDefault="00AB6F50" w:rsidP="00235736">
            <w:pPr>
              <w:spacing w:before="40" w:after="4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0.5</w:t>
            </w:r>
          </w:p>
        </w:tc>
        <w:tc>
          <w:tcPr>
            <w:tcW w:w="665" w:type="dxa"/>
            <w:noWrap/>
            <w:hideMark/>
          </w:tcPr>
          <w:p w14:paraId="1452616A" w14:textId="77777777" w:rsidR="00AB6F50" w:rsidRPr="000973F2" w:rsidRDefault="00AB6F50" w:rsidP="00235736">
            <w:pPr>
              <w:spacing w:before="40" w:after="4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0.0</w:t>
            </w:r>
          </w:p>
        </w:tc>
        <w:tc>
          <w:tcPr>
            <w:tcW w:w="665" w:type="dxa"/>
            <w:noWrap/>
            <w:hideMark/>
          </w:tcPr>
          <w:p w14:paraId="376FCECA" w14:textId="77777777" w:rsidR="00AB6F50" w:rsidRPr="000973F2" w:rsidRDefault="00AB6F50" w:rsidP="00235736">
            <w:pPr>
              <w:spacing w:before="40" w:after="4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1.0</w:t>
            </w:r>
          </w:p>
        </w:tc>
        <w:tc>
          <w:tcPr>
            <w:tcW w:w="665" w:type="dxa"/>
            <w:noWrap/>
            <w:hideMark/>
          </w:tcPr>
          <w:p w14:paraId="575CE676" w14:textId="77777777" w:rsidR="00AB6F50" w:rsidRPr="000973F2" w:rsidRDefault="00AB6F50" w:rsidP="00235736">
            <w:pPr>
              <w:spacing w:before="40" w:after="4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0.0</w:t>
            </w:r>
          </w:p>
        </w:tc>
        <w:tc>
          <w:tcPr>
            <w:tcW w:w="665" w:type="dxa"/>
            <w:noWrap/>
            <w:hideMark/>
          </w:tcPr>
          <w:p w14:paraId="220216DC" w14:textId="77777777" w:rsidR="00AB6F50" w:rsidRPr="000973F2" w:rsidRDefault="00AB6F50" w:rsidP="00235736">
            <w:pPr>
              <w:tabs>
                <w:tab w:val="decimal" w:pos="181"/>
              </w:tabs>
              <w:spacing w:before="40" w:after="4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10.0</w:t>
            </w:r>
          </w:p>
        </w:tc>
        <w:tc>
          <w:tcPr>
            <w:tcW w:w="665" w:type="dxa"/>
            <w:noWrap/>
            <w:hideMark/>
          </w:tcPr>
          <w:p w14:paraId="4533AF2B" w14:textId="77777777" w:rsidR="00AB6F50" w:rsidRPr="000973F2" w:rsidRDefault="00AB6F50" w:rsidP="00235736">
            <w:pPr>
              <w:spacing w:before="40" w:after="4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0.0</w:t>
            </w:r>
          </w:p>
        </w:tc>
        <w:tc>
          <w:tcPr>
            <w:tcW w:w="665" w:type="dxa"/>
            <w:noWrap/>
            <w:hideMark/>
          </w:tcPr>
          <w:p w14:paraId="6AD3D5C4" w14:textId="77777777" w:rsidR="00AB6F50" w:rsidRPr="000973F2" w:rsidRDefault="00AB6F50" w:rsidP="00235736">
            <w:pPr>
              <w:spacing w:before="40" w:after="4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0.0</w:t>
            </w:r>
          </w:p>
        </w:tc>
        <w:tc>
          <w:tcPr>
            <w:tcW w:w="641" w:type="dxa"/>
            <w:noWrap/>
            <w:hideMark/>
          </w:tcPr>
          <w:p w14:paraId="5BBCB58A" w14:textId="627AF8BB" w:rsidR="00AB6F50" w:rsidRPr="000973F2" w:rsidRDefault="00AB6F50" w:rsidP="00235736">
            <w:pPr>
              <w:spacing w:before="40" w:after="4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$0</w:t>
            </w:r>
          </w:p>
        </w:tc>
        <w:tc>
          <w:tcPr>
            <w:tcW w:w="795" w:type="dxa"/>
            <w:noWrap/>
            <w:hideMark/>
          </w:tcPr>
          <w:p w14:paraId="718D5A5A" w14:textId="22A4F7ED" w:rsidR="00AB6F50" w:rsidRPr="000973F2" w:rsidRDefault="00AB6F50" w:rsidP="00235736">
            <w:pPr>
              <w:tabs>
                <w:tab w:val="decimal" w:pos="451"/>
              </w:tabs>
              <w:spacing w:before="40" w:after="4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$1,312</w:t>
            </w:r>
          </w:p>
        </w:tc>
      </w:tr>
      <w:tr w:rsidR="00235736" w:rsidRPr="000973F2" w14:paraId="6E05F2A3" w14:textId="77777777" w:rsidTr="00235736">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1245" w:type="dxa"/>
            <w:tcMar>
              <w:right w:w="14" w:type="dxa"/>
            </w:tcMar>
            <w:hideMark/>
          </w:tcPr>
          <w:p w14:paraId="0B39A42A" w14:textId="77777777" w:rsidR="00AB6F50" w:rsidRPr="000973F2" w:rsidRDefault="00AB6F50" w:rsidP="00235736">
            <w:pPr>
              <w:spacing w:before="40" w:after="4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QA/QC</w:t>
            </w:r>
          </w:p>
        </w:tc>
        <w:tc>
          <w:tcPr>
            <w:tcW w:w="664" w:type="dxa"/>
            <w:noWrap/>
            <w:hideMark/>
          </w:tcPr>
          <w:p w14:paraId="3D5B9F3F" w14:textId="77777777" w:rsidR="00AB6F50" w:rsidRPr="000973F2" w:rsidRDefault="00AB6F50" w:rsidP="00235736">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0.0</w:t>
            </w:r>
          </w:p>
        </w:tc>
        <w:tc>
          <w:tcPr>
            <w:tcW w:w="665" w:type="dxa"/>
            <w:noWrap/>
            <w:hideMark/>
          </w:tcPr>
          <w:p w14:paraId="7EF9125E" w14:textId="77777777" w:rsidR="00AB6F50" w:rsidRPr="000973F2" w:rsidRDefault="00AB6F50" w:rsidP="00235736">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0.0</w:t>
            </w:r>
          </w:p>
        </w:tc>
        <w:tc>
          <w:tcPr>
            <w:tcW w:w="665" w:type="dxa"/>
            <w:noWrap/>
            <w:hideMark/>
          </w:tcPr>
          <w:p w14:paraId="3442A23A" w14:textId="77777777" w:rsidR="00AB6F50" w:rsidRPr="000973F2" w:rsidRDefault="00AB6F50" w:rsidP="00235736">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0.0</w:t>
            </w:r>
          </w:p>
        </w:tc>
        <w:tc>
          <w:tcPr>
            <w:tcW w:w="665" w:type="dxa"/>
            <w:noWrap/>
            <w:hideMark/>
          </w:tcPr>
          <w:p w14:paraId="7B564B21" w14:textId="77777777" w:rsidR="00AB6F50" w:rsidRPr="000973F2" w:rsidRDefault="00AB6F50" w:rsidP="00235736">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0.3</w:t>
            </w:r>
          </w:p>
        </w:tc>
        <w:tc>
          <w:tcPr>
            <w:tcW w:w="665" w:type="dxa"/>
            <w:noWrap/>
            <w:hideMark/>
          </w:tcPr>
          <w:p w14:paraId="388D3CCE" w14:textId="77777777" w:rsidR="00AB6F50" w:rsidRPr="000973F2" w:rsidRDefault="00AB6F50" w:rsidP="00235736">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0.0</w:t>
            </w:r>
          </w:p>
        </w:tc>
        <w:tc>
          <w:tcPr>
            <w:tcW w:w="665" w:type="dxa"/>
            <w:noWrap/>
            <w:hideMark/>
          </w:tcPr>
          <w:p w14:paraId="1D628294" w14:textId="77777777" w:rsidR="00AB6F50" w:rsidRPr="000973F2" w:rsidRDefault="00AB6F50" w:rsidP="00235736">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0.6</w:t>
            </w:r>
          </w:p>
        </w:tc>
        <w:tc>
          <w:tcPr>
            <w:tcW w:w="665" w:type="dxa"/>
            <w:noWrap/>
            <w:hideMark/>
          </w:tcPr>
          <w:p w14:paraId="67383623" w14:textId="77777777" w:rsidR="00AB6F50" w:rsidRPr="000973F2" w:rsidRDefault="00AB6F50" w:rsidP="00235736">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0.0</w:t>
            </w:r>
          </w:p>
        </w:tc>
        <w:tc>
          <w:tcPr>
            <w:tcW w:w="665" w:type="dxa"/>
            <w:noWrap/>
            <w:hideMark/>
          </w:tcPr>
          <w:p w14:paraId="7281DCC4" w14:textId="77777777" w:rsidR="00AB6F50" w:rsidRPr="000973F2" w:rsidRDefault="00AB6F50" w:rsidP="00235736">
            <w:pPr>
              <w:tabs>
                <w:tab w:val="decimal" w:pos="181"/>
              </w:tabs>
              <w:spacing w:before="40" w:after="4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0.0</w:t>
            </w:r>
          </w:p>
        </w:tc>
        <w:tc>
          <w:tcPr>
            <w:tcW w:w="665" w:type="dxa"/>
            <w:noWrap/>
            <w:hideMark/>
          </w:tcPr>
          <w:p w14:paraId="7AFF354C" w14:textId="77777777" w:rsidR="00AB6F50" w:rsidRPr="000973F2" w:rsidRDefault="00AB6F50" w:rsidP="00235736">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0.0</w:t>
            </w:r>
          </w:p>
        </w:tc>
        <w:tc>
          <w:tcPr>
            <w:tcW w:w="665" w:type="dxa"/>
            <w:noWrap/>
            <w:hideMark/>
          </w:tcPr>
          <w:p w14:paraId="2BACAC9B" w14:textId="77777777" w:rsidR="00AB6F50" w:rsidRPr="000973F2" w:rsidRDefault="00AB6F50" w:rsidP="00235736">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0.0</w:t>
            </w:r>
          </w:p>
        </w:tc>
        <w:tc>
          <w:tcPr>
            <w:tcW w:w="641" w:type="dxa"/>
            <w:noWrap/>
            <w:hideMark/>
          </w:tcPr>
          <w:p w14:paraId="1A6683DD" w14:textId="2DC7F858" w:rsidR="00AB6F50" w:rsidRPr="000973F2" w:rsidRDefault="00AB6F50" w:rsidP="00235736">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$0</w:t>
            </w:r>
          </w:p>
        </w:tc>
        <w:tc>
          <w:tcPr>
            <w:tcW w:w="795" w:type="dxa"/>
            <w:noWrap/>
            <w:hideMark/>
          </w:tcPr>
          <w:p w14:paraId="69DD68AF" w14:textId="6B8F191D" w:rsidR="00AB6F50" w:rsidRPr="000973F2" w:rsidRDefault="00AB6F50" w:rsidP="00235736">
            <w:pPr>
              <w:tabs>
                <w:tab w:val="decimal" w:pos="451"/>
              </w:tabs>
              <w:spacing w:before="40" w:after="4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$106</w:t>
            </w:r>
          </w:p>
        </w:tc>
      </w:tr>
      <w:tr w:rsidR="00235736" w:rsidRPr="000973F2" w14:paraId="1718B3C6" w14:textId="77777777" w:rsidTr="00235736">
        <w:trPr>
          <w:cantSplit/>
        </w:trPr>
        <w:tc>
          <w:tcPr>
            <w:cnfStyle w:val="001000000000" w:firstRow="0" w:lastRow="0" w:firstColumn="1" w:lastColumn="0" w:oddVBand="0" w:evenVBand="0" w:oddHBand="0" w:evenHBand="0" w:firstRowFirstColumn="0" w:firstRowLastColumn="0" w:lastRowFirstColumn="0" w:lastRowLastColumn="0"/>
            <w:tcW w:w="1245" w:type="dxa"/>
            <w:tcMar>
              <w:right w:w="14" w:type="dxa"/>
            </w:tcMar>
            <w:hideMark/>
          </w:tcPr>
          <w:p w14:paraId="753A5B16" w14:textId="77777777" w:rsidR="00AB6F50" w:rsidRPr="000973F2" w:rsidRDefault="00AB6F50" w:rsidP="00235736">
            <w:pPr>
              <w:spacing w:before="40" w:after="4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Recordkeeping</w:t>
            </w:r>
          </w:p>
        </w:tc>
        <w:tc>
          <w:tcPr>
            <w:tcW w:w="664" w:type="dxa"/>
            <w:noWrap/>
            <w:hideMark/>
          </w:tcPr>
          <w:p w14:paraId="5AC54F34" w14:textId="77777777" w:rsidR="00AB6F50" w:rsidRPr="000973F2" w:rsidRDefault="00AB6F50" w:rsidP="00235736">
            <w:pPr>
              <w:spacing w:before="40" w:after="4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0.0</w:t>
            </w:r>
          </w:p>
        </w:tc>
        <w:tc>
          <w:tcPr>
            <w:tcW w:w="665" w:type="dxa"/>
            <w:noWrap/>
            <w:hideMark/>
          </w:tcPr>
          <w:p w14:paraId="5E7C739A" w14:textId="77777777" w:rsidR="00AB6F50" w:rsidRPr="000973F2" w:rsidRDefault="00AB6F50" w:rsidP="00235736">
            <w:pPr>
              <w:spacing w:before="40" w:after="4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0.0</w:t>
            </w:r>
          </w:p>
        </w:tc>
        <w:tc>
          <w:tcPr>
            <w:tcW w:w="665" w:type="dxa"/>
            <w:noWrap/>
            <w:hideMark/>
          </w:tcPr>
          <w:p w14:paraId="676BC27E" w14:textId="77777777" w:rsidR="00AB6F50" w:rsidRPr="000973F2" w:rsidRDefault="00AB6F50" w:rsidP="00235736">
            <w:pPr>
              <w:spacing w:before="40" w:after="4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0.0</w:t>
            </w:r>
          </w:p>
        </w:tc>
        <w:tc>
          <w:tcPr>
            <w:tcW w:w="665" w:type="dxa"/>
            <w:noWrap/>
            <w:hideMark/>
          </w:tcPr>
          <w:p w14:paraId="2C115D07" w14:textId="77777777" w:rsidR="00AB6F50" w:rsidRPr="000973F2" w:rsidRDefault="00AB6F50" w:rsidP="00235736">
            <w:pPr>
              <w:spacing w:before="40" w:after="4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0.0</w:t>
            </w:r>
          </w:p>
        </w:tc>
        <w:tc>
          <w:tcPr>
            <w:tcW w:w="665" w:type="dxa"/>
            <w:noWrap/>
            <w:hideMark/>
          </w:tcPr>
          <w:p w14:paraId="312A95AF" w14:textId="77777777" w:rsidR="00AB6F50" w:rsidRPr="000973F2" w:rsidRDefault="00AB6F50" w:rsidP="00235736">
            <w:pPr>
              <w:spacing w:before="40" w:after="4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0.0</w:t>
            </w:r>
          </w:p>
        </w:tc>
        <w:tc>
          <w:tcPr>
            <w:tcW w:w="665" w:type="dxa"/>
            <w:noWrap/>
            <w:hideMark/>
          </w:tcPr>
          <w:p w14:paraId="49BD20A2" w14:textId="77777777" w:rsidR="00AB6F50" w:rsidRPr="000973F2" w:rsidRDefault="00AB6F50" w:rsidP="00235736">
            <w:pPr>
              <w:spacing w:before="40" w:after="4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1.0</w:t>
            </w:r>
          </w:p>
        </w:tc>
        <w:tc>
          <w:tcPr>
            <w:tcW w:w="665" w:type="dxa"/>
            <w:noWrap/>
            <w:hideMark/>
          </w:tcPr>
          <w:p w14:paraId="7799BA52" w14:textId="77777777" w:rsidR="00AB6F50" w:rsidRPr="000973F2" w:rsidRDefault="00AB6F50" w:rsidP="00235736">
            <w:pPr>
              <w:spacing w:before="40" w:after="4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0.0</w:t>
            </w:r>
          </w:p>
        </w:tc>
        <w:tc>
          <w:tcPr>
            <w:tcW w:w="665" w:type="dxa"/>
            <w:noWrap/>
            <w:hideMark/>
          </w:tcPr>
          <w:p w14:paraId="5F8DC2F7" w14:textId="77777777" w:rsidR="00AB6F50" w:rsidRPr="000973F2" w:rsidRDefault="00AB6F50" w:rsidP="00235736">
            <w:pPr>
              <w:tabs>
                <w:tab w:val="decimal" w:pos="181"/>
              </w:tabs>
              <w:spacing w:before="40" w:after="4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13.0</w:t>
            </w:r>
          </w:p>
        </w:tc>
        <w:tc>
          <w:tcPr>
            <w:tcW w:w="665" w:type="dxa"/>
            <w:noWrap/>
            <w:hideMark/>
          </w:tcPr>
          <w:p w14:paraId="5C7D5C37" w14:textId="77777777" w:rsidR="00AB6F50" w:rsidRPr="000973F2" w:rsidRDefault="00AB6F50" w:rsidP="00235736">
            <w:pPr>
              <w:spacing w:before="40" w:after="4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0.0</w:t>
            </w:r>
          </w:p>
        </w:tc>
        <w:tc>
          <w:tcPr>
            <w:tcW w:w="665" w:type="dxa"/>
            <w:noWrap/>
            <w:hideMark/>
          </w:tcPr>
          <w:p w14:paraId="504785B1" w14:textId="77777777" w:rsidR="00AB6F50" w:rsidRPr="000973F2" w:rsidRDefault="00AB6F50" w:rsidP="00235736">
            <w:pPr>
              <w:spacing w:before="40" w:after="4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1.0</w:t>
            </w:r>
          </w:p>
        </w:tc>
        <w:tc>
          <w:tcPr>
            <w:tcW w:w="641" w:type="dxa"/>
            <w:noWrap/>
            <w:hideMark/>
          </w:tcPr>
          <w:p w14:paraId="62E0BDBA" w14:textId="6BC362DF" w:rsidR="00AB6F50" w:rsidRPr="000973F2" w:rsidRDefault="00AB6F50" w:rsidP="00235736">
            <w:pPr>
              <w:spacing w:before="40" w:after="4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$0</w:t>
            </w:r>
          </w:p>
        </w:tc>
        <w:tc>
          <w:tcPr>
            <w:tcW w:w="795" w:type="dxa"/>
            <w:noWrap/>
            <w:hideMark/>
          </w:tcPr>
          <w:p w14:paraId="62DB6E05" w14:textId="41B4F03C" w:rsidR="00AB6F50" w:rsidRPr="000973F2" w:rsidRDefault="00AB6F50" w:rsidP="00235736">
            <w:pPr>
              <w:tabs>
                <w:tab w:val="decimal" w:pos="451"/>
              </w:tabs>
              <w:spacing w:before="40" w:after="4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$1,350</w:t>
            </w:r>
          </w:p>
        </w:tc>
      </w:tr>
      <w:tr w:rsidR="00235736" w:rsidRPr="000973F2" w14:paraId="1A742168" w14:textId="77777777" w:rsidTr="00235736">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1245" w:type="dxa"/>
            <w:tcMar>
              <w:right w:w="14" w:type="dxa"/>
            </w:tcMar>
            <w:hideMark/>
          </w:tcPr>
          <w:p w14:paraId="29B5735F" w14:textId="77777777" w:rsidR="00AB6F50" w:rsidRPr="000973F2" w:rsidRDefault="00AB6F50" w:rsidP="00235736">
            <w:pPr>
              <w:spacing w:before="40" w:after="4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Sampling and Analysis (Calculations)</w:t>
            </w:r>
          </w:p>
        </w:tc>
        <w:tc>
          <w:tcPr>
            <w:tcW w:w="664" w:type="dxa"/>
            <w:noWrap/>
            <w:hideMark/>
          </w:tcPr>
          <w:p w14:paraId="3117BF15" w14:textId="77777777" w:rsidR="00AB6F50" w:rsidRPr="000973F2" w:rsidRDefault="00AB6F50" w:rsidP="00235736">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0.0</w:t>
            </w:r>
          </w:p>
        </w:tc>
        <w:tc>
          <w:tcPr>
            <w:tcW w:w="665" w:type="dxa"/>
            <w:noWrap/>
            <w:hideMark/>
          </w:tcPr>
          <w:p w14:paraId="770A4B9D" w14:textId="77777777" w:rsidR="00AB6F50" w:rsidRPr="000973F2" w:rsidRDefault="00AB6F50" w:rsidP="00235736">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0.0</w:t>
            </w:r>
          </w:p>
        </w:tc>
        <w:tc>
          <w:tcPr>
            <w:tcW w:w="665" w:type="dxa"/>
            <w:noWrap/>
            <w:hideMark/>
          </w:tcPr>
          <w:p w14:paraId="6103AEB5" w14:textId="77777777" w:rsidR="00AB6F50" w:rsidRPr="000973F2" w:rsidRDefault="00AB6F50" w:rsidP="00235736">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0.0</w:t>
            </w:r>
          </w:p>
        </w:tc>
        <w:tc>
          <w:tcPr>
            <w:tcW w:w="665" w:type="dxa"/>
            <w:noWrap/>
            <w:hideMark/>
          </w:tcPr>
          <w:p w14:paraId="65524C83" w14:textId="77777777" w:rsidR="00AB6F50" w:rsidRPr="000973F2" w:rsidRDefault="00AB6F50" w:rsidP="00235736">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0.0</w:t>
            </w:r>
          </w:p>
        </w:tc>
        <w:tc>
          <w:tcPr>
            <w:tcW w:w="665" w:type="dxa"/>
            <w:noWrap/>
            <w:hideMark/>
          </w:tcPr>
          <w:p w14:paraId="214E39F9" w14:textId="77777777" w:rsidR="00AB6F50" w:rsidRPr="000973F2" w:rsidRDefault="00AB6F50" w:rsidP="00235736">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0.0</w:t>
            </w:r>
          </w:p>
        </w:tc>
        <w:tc>
          <w:tcPr>
            <w:tcW w:w="665" w:type="dxa"/>
            <w:noWrap/>
            <w:hideMark/>
          </w:tcPr>
          <w:p w14:paraId="5112CD03" w14:textId="77777777" w:rsidR="00AB6F50" w:rsidRPr="000973F2" w:rsidRDefault="00AB6F50" w:rsidP="00235736">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0.0</w:t>
            </w:r>
          </w:p>
        </w:tc>
        <w:tc>
          <w:tcPr>
            <w:tcW w:w="665" w:type="dxa"/>
            <w:noWrap/>
            <w:hideMark/>
          </w:tcPr>
          <w:p w14:paraId="594FD7D6" w14:textId="77777777" w:rsidR="00AB6F50" w:rsidRPr="000973F2" w:rsidRDefault="00AB6F50" w:rsidP="00235736">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0.0</w:t>
            </w:r>
          </w:p>
        </w:tc>
        <w:tc>
          <w:tcPr>
            <w:tcW w:w="665" w:type="dxa"/>
            <w:noWrap/>
            <w:hideMark/>
          </w:tcPr>
          <w:p w14:paraId="67180E39" w14:textId="77777777" w:rsidR="00AB6F50" w:rsidRPr="000973F2" w:rsidRDefault="00AB6F50" w:rsidP="00235736">
            <w:pPr>
              <w:tabs>
                <w:tab w:val="decimal" w:pos="181"/>
              </w:tabs>
              <w:spacing w:before="40" w:after="4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6.0</w:t>
            </w:r>
          </w:p>
        </w:tc>
        <w:tc>
          <w:tcPr>
            <w:tcW w:w="665" w:type="dxa"/>
            <w:noWrap/>
            <w:hideMark/>
          </w:tcPr>
          <w:p w14:paraId="20E6869D" w14:textId="77777777" w:rsidR="00AB6F50" w:rsidRPr="000973F2" w:rsidRDefault="00AB6F50" w:rsidP="00235736">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0.0</w:t>
            </w:r>
          </w:p>
        </w:tc>
        <w:tc>
          <w:tcPr>
            <w:tcW w:w="665" w:type="dxa"/>
            <w:noWrap/>
            <w:hideMark/>
          </w:tcPr>
          <w:p w14:paraId="46C6E9B6" w14:textId="77777777" w:rsidR="00AB6F50" w:rsidRPr="000973F2" w:rsidRDefault="00AB6F50" w:rsidP="00235736">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0.4</w:t>
            </w:r>
          </w:p>
        </w:tc>
        <w:tc>
          <w:tcPr>
            <w:tcW w:w="641" w:type="dxa"/>
            <w:noWrap/>
            <w:hideMark/>
          </w:tcPr>
          <w:p w14:paraId="5800B931" w14:textId="557104F0" w:rsidR="00AB6F50" w:rsidRPr="000973F2" w:rsidRDefault="00AB6F50" w:rsidP="00235736">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$0</w:t>
            </w:r>
          </w:p>
        </w:tc>
        <w:tc>
          <w:tcPr>
            <w:tcW w:w="795" w:type="dxa"/>
            <w:noWrap/>
            <w:hideMark/>
          </w:tcPr>
          <w:p w14:paraId="2ECD70FB" w14:textId="6BD74E8A" w:rsidR="00AB6F50" w:rsidRPr="000973F2" w:rsidRDefault="00AB6F50" w:rsidP="00235736">
            <w:pPr>
              <w:tabs>
                <w:tab w:val="decimal" w:pos="451"/>
              </w:tabs>
              <w:spacing w:before="40" w:after="4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$573</w:t>
            </w:r>
          </w:p>
        </w:tc>
      </w:tr>
      <w:tr w:rsidR="00235736" w:rsidRPr="000973F2" w14:paraId="4CCC27BD" w14:textId="77777777" w:rsidTr="00235736">
        <w:trPr>
          <w:cantSplit/>
        </w:trPr>
        <w:tc>
          <w:tcPr>
            <w:cnfStyle w:val="001000000000" w:firstRow="0" w:lastRow="0" w:firstColumn="1" w:lastColumn="0" w:oddVBand="0" w:evenVBand="0" w:oddHBand="0" w:evenHBand="0" w:firstRowFirstColumn="0" w:firstRowLastColumn="0" w:lastRowFirstColumn="0" w:lastRowLastColumn="0"/>
            <w:tcW w:w="1245" w:type="dxa"/>
            <w:tcMar>
              <w:right w:w="14" w:type="dxa"/>
            </w:tcMar>
            <w:hideMark/>
          </w:tcPr>
          <w:p w14:paraId="74324C8C" w14:textId="77777777" w:rsidR="00AB6F50" w:rsidRPr="000973F2" w:rsidRDefault="00AB6F50" w:rsidP="00235736">
            <w:pPr>
              <w:spacing w:before="40" w:after="4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Reporting</w:t>
            </w:r>
          </w:p>
        </w:tc>
        <w:tc>
          <w:tcPr>
            <w:tcW w:w="664" w:type="dxa"/>
            <w:noWrap/>
            <w:hideMark/>
          </w:tcPr>
          <w:p w14:paraId="48AF98C9" w14:textId="77777777" w:rsidR="00AB6F50" w:rsidRPr="000973F2" w:rsidRDefault="00AB6F50" w:rsidP="00235736">
            <w:pPr>
              <w:spacing w:before="40" w:after="4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0.0</w:t>
            </w:r>
          </w:p>
        </w:tc>
        <w:tc>
          <w:tcPr>
            <w:tcW w:w="665" w:type="dxa"/>
            <w:noWrap/>
            <w:hideMark/>
          </w:tcPr>
          <w:p w14:paraId="13852FAA" w14:textId="77777777" w:rsidR="00AB6F50" w:rsidRPr="000973F2" w:rsidRDefault="00AB6F50" w:rsidP="00235736">
            <w:pPr>
              <w:spacing w:before="40" w:after="4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0.0</w:t>
            </w:r>
          </w:p>
        </w:tc>
        <w:tc>
          <w:tcPr>
            <w:tcW w:w="665" w:type="dxa"/>
            <w:noWrap/>
            <w:hideMark/>
          </w:tcPr>
          <w:p w14:paraId="77823BA9" w14:textId="77777777" w:rsidR="00AB6F50" w:rsidRPr="000973F2" w:rsidRDefault="00AB6F50" w:rsidP="00235736">
            <w:pPr>
              <w:spacing w:before="40" w:after="4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0.0</w:t>
            </w:r>
          </w:p>
        </w:tc>
        <w:tc>
          <w:tcPr>
            <w:tcW w:w="665" w:type="dxa"/>
            <w:noWrap/>
            <w:hideMark/>
          </w:tcPr>
          <w:p w14:paraId="5A37B75B" w14:textId="77777777" w:rsidR="00AB6F50" w:rsidRPr="000973F2" w:rsidRDefault="00AB6F50" w:rsidP="00235736">
            <w:pPr>
              <w:spacing w:before="40" w:after="4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0.0</w:t>
            </w:r>
          </w:p>
        </w:tc>
        <w:tc>
          <w:tcPr>
            <w:tcW w:w="665" w:type="dxa"/>
            <w:noWrap/>
            <w:hideMark/>
          </w:tcPr>
          <w:p w14:paraId="26820CBB" w14:textId="77777777" w:rsidR="00AB6F50" w:rsidRPr="000973F2" w:rsidRDefault="00AB6F50" w:rsidP="00235736">
            <w:pPr>
              <w:spacing w:before="40" w:after="4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0.0</w:t>
            </w:r>
          </w:p>
        </w:tc>
        <w:tc>
          <w:tcPr>
            <w:tcW w:w="665" w:type="dxa"/>
            <w:noWrap/>
            <w:hideMark/>
          </w:tcPr>
          <w:p w14:paraId="662F2046" w14:textId="77777777" w:rsidR="00AB6F50" w:rsidRPr="000973F2" w:rsidRDefault="00AB6F50" w:rsidP="00235736">
            <w:pPr>
              <w:spacing w:before="40" w:after="4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2.0</w:t>
            </w:r>
          </w:p>
        </w:tc>
        <w:tc>
          <w:tcPr>
            <w:tcW w:w="665" w:type="dxa"/>
            <w:noWrap/>
            <w:hideMark/>
          </w:tcPr>
          <w:p w14:paraId="38F5FC11" w14:textId="77777777" w:rsidR="00AB6F50" w:rsidRPr="000973F2" w:rsidRDefault="00AB6F50" w:rsidP="00235736">
            <w:pPr>
              <w:spacing w:before="40" w:after="4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0.0</w:t>
            </w:r>
          </w:p>
        </w:tc>
        <w:tc>
          <w:tcPr>
            <w:tcW w:w="665" w:type="dxa"/>
            <w:noWrap/>
            <w:hideMark/>
          </w:tcPr>
          <w:p w14:paraId="4FD3DB76" w14:textId="77777777" w:rsidR="00AB6F50" w:rsidRPr="000973F2" w:rsidRDefault="00AB6F50" w:rsidP="00235736">
            <w:pPr>
              <w:tabs>
                <w:tab w:val="decimal" w:pos="181"/>
              </w:tabs>
              <w:spacing w:before="40" w:after="4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26.0</w:t>
            </w:r>
          </w:p>
        </w:tc>
        <w:tc>
          <w:tcPr>
            <w:tcW w:w="665" w:type="dxa"/>
            <w:noWrap/>
            <w:hideMark/>
          </w:tcPr>
          <w:p w14:paraId="0D971C0E" w14:textId="77777777" w:rsidR="00AB6F50" w:rsidRPr="000973F2" w:rsidRDefault="00AB6F50" w:rsidP="00235736">
            <w:pPr>
              <w:spacing w:before="40" w:after="4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0.0</w:t>
            </w:r>
          </w:p>
        </w:tc>
        <w:tc>
          <w:tcPr>
            <w:tcW w:w="665" w:type="dxa"/>
            <w:noWrap/>
            <w:hideMark/>
          </w:tcPr>
          <w:p w14:paraId="791C04EC" w14:textId="77777777" w:rsidR="00AB6F50" w:rsidRPr="000973F2" w:rsidRDefault="00AB6F50" w:rsidP="00235736">
            <w:pPr>
              <w:spacing w:before="40" w:after="4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2.0</w:t>
            </w:r>
          </w:p>
        </w:tc>
        <w:tc>
          <w:tcPr>
            <w:tcW w:w="641" w:type="dxa"/>
            <w:noWrap/>
            <w:hideMark/>
          </w:tcPr>
          <w:p w14:paraId="42F5C8A5" w14:textId="3DECFECA" w:rsidR="00AB6F50" w:rsidRPr="000973F2" w:rsidRDefault="00AB6F50" w:rsidP="00235736">
            <w:pPr>
              <w:spacing w:before="40" w:after="4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$0</w:t>
            </w:r>
          </w:p>
        </w:tc>
        <w:tc>
          <w:tcPr>
            <w:tcW w:w="795" w:type="dxa"/>
            <w:noWrap/>
            <w:hideMark/>
          </w:tcPr>
          <w:p w14:paraId="6A1F45F8" w14:textId="47F7728F" w:rsidR="00AB6F50" w:rsidRPr="000973F2" w:rsidRDefault="00AB6F50" w:rsidP="00235736">
            <w:pPr>
              <w:tabs>
                <w:tab w:val="decimal" w:pos="451"/>
              </w:tabs>
              <w:spacing w:before="40" w:after="4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$2,700</w:t>
            </w:r>
          </w:p>
        </w:tc>
      </w:tr>
      <w:tr w:rsidR="00235736" w:rsidRPr="000973F2" w14:paraId="75411B99" w14:textId="77777777" w:rsidTr="00235736">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1245" w:type="dxa"/>
            <w:noWrap/>
            <w:tcMar>
              <w:right w:w="14" w:type="dxa"/>
            </w:tcMar>
            <w:hideMark/>
          </w:tcPr>
          <w:p w14:paraId="4F1D6609" w14:textId="77777777" w:rsidR="00AB6F50" w:rsidRPr="000973F2" w:rsidRDefault="00AB6F50" w:rsidP="00235736">
            <w:pPr>
              <w:spacing w:before="40" w:after="40"/>
              <w:rPr>
                <w:rFonts w:ascii="Times New Roman" w:eastAsia="Times New Roman" w:hAnsi="Times New Roman" w:cs="Times New Roman"/>
                <w:b/>
                <w:bCs w:val="0"/>
                <w:sz w:val="18"/>
                <w:szCs w:val="18"/>
              </w:rPr>
            </w:pPr>
            <w:r w:rsidRPr="000973F2">
              <w:rPr>
                <w:rFonts w:ascii="Times New Roman" w:eastAsia="Times New Roman" w:hAnsi="Times New Roman" w:cs="Times New Roman"/>
                <w:b/>
                <w:sz w:val="18"/>
                <w:szCs w:val="18"/>
              </w:rPr>
              <w:t>Total</w:t>
            </w:r>
          </w:p>
        </w:tc>
        <w:tc>
          <w:tcPr>
            <w:tcW w:w="664" w:type="dxa"/>
            <w:noWrap/>
            <w:hideMark/>
          </w:tcPr>
          <w:p w14:paraId="35E04215" w14:textId="77777777" w:rsidR="00AB6F50" w:rsidRPr="000973F2" w:rsidRDefault="00AB6F50" w:rsidP="00235736">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18"/>
                <w:szCs w:val="18"/>
              </w:rPr>
            </w:pPr>
            <w:r w:rsidRPr="000973F2">
              <w:rPr>
                <w:rFonts w:ascii="Times New Roman" w:eastAsia="Times New Roman" w:hAnsi="Times New Roman" w:cs="Times New Roman"/>
                <w:b/>
                <w:bCs/>
                <w:sz w:val="18"/>
                <w:szCs w:val="18"/>
              </w:rPr>
              <w:t>0.0</w:t>
            </w:r>
          </w:p>
        </w:tc>
        <w:tc>
          <w:tcPr>
            <w:tcW w:w="665" w:type="dxa"/>
            <w:noWrap/>
            <w:hideMark/>
          </w:tcPr>
          <w:p w14:paraId="7753FF29" w14:textId="77777777" w:rsidR="00AB6F50" w:rsidRPr="000973F2" w:rsidRDefault="00AB6F50" w:rsidP="00235736">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18"/>
                <w:szCs w:val="18"/>
              </w:rPr>
            </w:pPr>
            <w:r w:rsidRPr="000973F2">
              <w:rPr>
                <w:rFonts w:ascii="Times New Roman" w:eastAsia="Times New Roman" w:hAnsi="Times New Roman" w:cs="Times New Roman"/>
                <w:b/>
                <w:bCs/>
                <w:sz w:val="18"/>
                <w:szCs w:val="18"/>
              </w:rPr>
              <w:t>2.0</w:t>
            </w:r>
          </w:p>
        </w:tc>
        <w:tc>
          <w:tcPr>
            <w:tcW w:w="665" w:type="dxa"/>
            <w:noWrap/>
            <w:hideMark/>
          </w:tcPr>
          <w:p w14:paraId="6C70B86F" w14:textId="77777777" w:rsidR="00AB6F50" w:rsidRPr="000973F2" w:rsidRDefault="00AB6F50" w:rsidP="00235736">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18"/>
                <w:szCs w:val="18"/>
              </w:rPr>
            </w:pPr>
            <w:r w:rsidRPr="000973F2">
              <w:rPr>
                <w:rFonts w:ascii="Times New Roman" w:eastAsia="Times New Roman" w:hAnsi="Times New Roman" w:cs="Times New Roman"/>
                <w:b/>
                <w:bCs/>
                <w:sz w:val="18"/>
                <w:szCs w:val="18"/>
              </w:rPr>
              <w:t>0.0</w:t>
            </w:r>
          </w:p>
        </w:tc>
        <w:tc>
          <w:tcPr>
            <w:tcW w:w="665" w:type="dxa"/>
            <w:noWrap/>
            <w:hideMark/>
          </w:tcPr>
          <w:p w14:paraId="3B6073EF" w14:textId="77777777" w:rsidR="00AB6F50" w:rsidRPr="000973F2" w:rsidRDefault="00AB6F50" w:rsidP="00235736">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18"/>
                <w:szCs w:val="18"/>
              </w:rPr>
            </w:pPr>
            <w:r w:rsidRPr="000973F2">
              <w:rPr>
                <w:rFonts w:ascii="Times New Roman" w:eastAsia="Times New Roman" w:hAnsi="Times New Roman" w:cs="Times New Roman"/>
                <w:b/>
                <w:bCs/>
                <w:sz w:val="18"/>
                <w:szCs w:val="18"/>
              </w:rPr>
              <w:t>0.8</w:t>
            </w:r>
          </w:p>
        </w:tc>
        <w:tc>
          <w:tcPr>
            <w:tcW w:w="665" w:type="dxa"/>
            <w:noWrap/>
            <w:hideMark/>
          </w:tcPr>
          <w:p w14:paraId="7E4C6A2B" w14:textId="77777777" w:rsidR="00AB6F50" w:rsidRPr="000973F2" w:rsidRDefault="00AB6F50" w:rsidP="00235736">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18"/>
                <w:szCs w:val="18"/>
              </w:rPr>
            </w:pPr>
            <w:r w:rsidRPr="000973F2">
              <w:rPr>
                <w:rFonts w:ascii="Times New Roman" w:eastAsia="Times New Roman" w:hAnsi="Times New Roman" w:cs="Times New Roman"/>
                <w:b/>
                <w:bCs/>
                <w:sz w:val="18"/>
                <w:szCs w:val="18"/>
              </w:rPr>
              <w:t>0.0</w:t>
            </w:r>
          </w:p>
        </w:tc>
        <w:tc>
          <w:tcPr>
            <w:tcW w:w="665" w:type="dxa"/>
            <w:noWrap/>
            <w:hideMark/>
          </w:tcPr>
          <w:p w14:paraId="5491E55C" w14:textId="77777777" w:rsidR="00AB6F50" w:rsidRPr="000973F2" w:rsidRDefault="00AB6F50" w:rsidP="00235736">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18"/>
                <w:szCs w:val="18"/>
              </w:rPr>
            </w:pPr>
            <w:r w:rsidRPr="000973F2">
              <w:rPr>
                <w:rFonts w:ascii="Times New Roman" w:eastAsia="Times New Roman" w:hAnsi="Times New Roman" w:cs="Times New Roman"/>
                <w:b/>
                <w:bCs/>
                <w:sz w:val="18"/>
                <w:szCs w:val="18"/>
              </w:rPr>
              <w:t>4.6</w:t>
            </w:r>
          </w:p>
        </w:tc>
        <w:tc>
          <w:tcPr>
            <w:tcW w:w="665" w:type="dxa"/>
            <w:noWrap/>
            <w:hideMark/>
          </w:tcPr>
          <w:p w14:paraId="7C18F06E" w14:textId="77777777" w:rsidR="00AB6F50" w:rsidRPr="000973F2" w:rsidRDefault="00AB6F50" w:rsidP="00235736">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18"/>
                <w:szCs w:val="18"/>
              </w:rPr>
            </w:pPr>
            <w:r w:rsidRPr="000973F2">
              <w:rPr>
                <w:rFonts w:ascii="Times New Roman" w:eastAsia="Times New Roman" w:hAnsi="Times New Roman" w:cs="Times New Roman"/>
                <w:b/>
                <w:bCs/>
                <w:sz w:val="18"/>
                <w:szCs w:val="18"/>
              </w:rPr>
              <w:t>0.0</w:t>
            </w:r>
          </w:p>
        </w:tc>
        <w:tc>
          <w:tcPr>
            <w:tcW w:w="665" w:type="dxa"/>
            <w:noWrap/>
            <w:hideMark/>
          </w:tcPr>
          <w:p w14:paraId="63CCAF62" w14:textId="77777777" w:rsidR="00AB6F50" w:rsidRPr="000973F2" w:rsidRDefault="00AB6F50" w:rsidP="00235736">
            <w:pPr>
              <w:tabs>
                <w:tab w:val="decimal" w:pos="181"/>
              </w:tabs>
              <w:spacing w:before="40" w:after="4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18"/>
                <w:szCs w:val="18"/>
              </w:rPr>
            </w:pPr>
            <w:r w:rsidRPr="000973F2">
              <w:rPr>
                <w:rFonts w:ascii="Times New Roman" w:eastAsia="Times New Roman" w:hAnsi="Times New Roman" w:cs="Times New Roman"/>
                <w:b/>
                <w:bCs/>
                <w:sz w:val="18"/>
                <w:szCs w:val="18"/>
              </w:rPr>
              <w:t>55.0</w:t>
            </w:r>
          </w:p>
        </w:tc>
        <w:tc>
          <w:tcPr>
            <w:tcW w:w="665" w:type="dxa"/>
            <w:noWrap/>
            <w:hideMark/>
          </w:tcPr>
          <w:p w14:paraId="3E713385" w14:textId="77777777" w:rsidR="00AB6F50" w:rsidRPr="000973F2" w:rsidRDefault="00AB6F50" w:rsidP="00235736">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18"/>
                <w:szCs w:val="18"/>
              </w:rPr>
            </w:pPr>
            <w:r w:rsidRPr="000973F2">
              <w:rPr>
                <w:rFonts w:ascii="Times New Roman" w:eastAsia="Times New Roman" w:hAnsi="Times New Roman" w:cs="Times New Roman"/>
                <w:b/>
                <w:bCs/>
                <w:sz w:val="18"/>
                <w:szCs w:val="18"/>
              </w:rPr>
              <w:t>0.0</w:t>
            </w:r>
          </w:p>
        </w:tc>
        <w:tc>
          <w:tcPr>
            <w:tcW w:w="665" w:type="dxa"/>
            <w:noWrap/>
            <w:hideMark/>
          </w:tcPr>
          <w:p w14:paraId="17D244E5" w14:textId="77777777" w:rsidR="00AB6F50" w:rsidRPr="000973F2" w:rsidRDefault="00AB6F50" w:rsidP="00235736">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18"/>
                <w:szCs w:val="18"/>
              </w:rPr>
            </w:pPr>
            <w:r w:rsidRPr="000973F2">
              <w:rPr>
                <w:rFonts w:ascii="Times New Roman" w:eastAsia="Times New Roman" w:hAnsi="Times New Roman" w:cs="Times New Roman"/>
                <w:b/>
                <w:bCs/>
                <w:sz w:val="18"/>
                <w:szCs w:val="18"/>
              </w:rPr>
              <w:t>3.4</w:t>
            </w:r>
          </w:p>
        </w:tc>
        <w:tc>
          <w:tcPr>
            <w:tcW w:w="641" w:type="dxa"/>
            <w:noWrap/>
            <w:hideMark/>
          </w:tcPr>
          <w:p w14:paraId="78A9B4EB" w14:textId="7AF2B65B" w:rsidR="00AB6F50" w:rsidRPr="000973F2" w:rsidRDefault="00AB6F50" w:rsidP="00235736">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18"/>
                <w:szCs w:val="18"/>
              </w:rPr>
            </w:pPr>
            <w:r w:rsidRPr="000973F2">
              <w:rPr>
                <w:rFonts w:ascii="Times New Roman" w:eastAsia="Times New Roman" w:hAnsi="Times New Roman" w:cs="Times New Roman"/>
                <w:b/>
                <w:bCs/>
                <w:sz w:val="18"/>
                <w:szCs w:val="18"/>
              </w:rPr>
              <w:t>$0</w:t>
            </w:r>
          </w:p>
        </w:tc>
        <w:tc>
          <w:tcPr>
            <w:tcW w:w="795" w:type="dxa"/>
            <w:noWrap/>
            <w:hideMark/>
          </w:tcPr>
          <w:p w14:paraId="218E9043" w14:textId="4C4ABC2A" w:rsidR="00AB6F50" w:rsidRPr="000973F2" w:rsidRDefault="00AB6F50" w:rsidP="00235736">
            <w:pPr>
              <w:tabs>
                <w:tab w:val="decimal" w:pos="451"/>
              </w:tabs>
              <w:spacing w:before="40" w:after="4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18"/>
                <w:szCs w:val="18"/>
              </w:rPr>
            </w:pPr>
            <w:r w:rsidRPr="000973F2">
              <w:rPr>
                <w:rFonts w:ascii="Times New Roman" w:eastAsia="Times New Roman" w:hAnsi="Times New Roman" w:cs="Times New Roman"/>
                <w:b/>
                <w:bCs/>
                <w:sz w:val="18"/>
                <w:szCs w:val="18"/>
              </w:rPr>
              <w:t>$6,041</w:t>
            </w:r>
          </w:p>
        </w:tc>
      </w:tr>
    </w:tbl>
    <w:p w14:paraId="5DCCC4CD" w14:textId="77777777" w:rsidR="00AB6F50" w:rsidRPr="000973F2" w:rsidRDefault="00AB6F50" w:rsidP="00C00E4F">
      <w:pPr>
        <w:spacing w:line="240" w:lineRule="auto"/>
        <w:jc w:val="center"/>
        <w:rPr>
          <w:rFonts w:ascii="Times New Roman" w:hAnsi="Times New Roman" w:cs="Times New Roman"/>
          <w:b/>
          <w:sz w:val="20"/>
          <w:szCs w:val="20"/>
        </w:rPr>
      </w:pPr>
    </w:p>
    <w:p w14:paraId="13A6CF02" w14:textId="4E12A15D" w:rsidR="00AB6F50" w:rsidRPr="000973F2" w:rsidRDefault="00AB6F50" w:rsidP="00817917">
      <w:pPr>
        <w:pStyle w:val="Tabletitle"/>
      </w:pPr>
      <w:r w:rsidRPr="000973F2">
        <w:t xml:space="preserve">Table </w:t>
      </w:r>
      <w:r w:rsidR="000D7DE6" w:rsidRPr="000973F2">
        <w:t>W-</w:t>
      </w:r>
      <w:r w:rsidRPr="000973F2">
        <w:t xml:space="preserve">2h. </w:t>
      </w:r>
      <w:r w:rsidR="001F4582" w:rsidRPr="000973F2">
        <w:t xml:space="preserve">Capital and O&amp;M Costs </w:t>
      </w:r>
      <w:r w:rsidR="00B960CC" w:rsidRPr="000973F2">
        <w:t>–</w:t>
      </w:r>
      <w:r w:rsidR="001F4582" w:rsidRPr="000973F2">
        <w:t xml:space="preserve"> </w:t>
      </w:r>
      <w:r w:rsidRPr="000973F2">
        <w:t xml:space="preserve">Subpart W – </w:t>
      </w:r>
      <w:bookmarkStart w:id="45" w:name="_Hlk520798217"/>
      <w:r w:rsidRPr="000973F2">
        <w:t>Natural Gas Distribution</w:t>
      </w:r>
      <w:bookmarkEnd w:id="45"/>
    </w:p>
    <w:tbl>
      <w:tblPr>
        <w:tblStyle w:val="PlainTable1"/>
        <w:tblW w:w="5000" w:type="pct"/>
        <w:jc w:val="left"/>
        <w:tblLayout w:type="fixed"/>
        <w:tblCellMar>
          <w:left w:w="115" w:type="dxa"/>
          <w:right w:w="115" w:type="dxa"/>
        </w:tblCellMar>
        <w:tblLook w:val="04A0" w:firstRow="1" w:lastRow="0" w:firstColumn="1" w:lastColumn="0" w:noHBand="0" w:noVBand="1"/>
      </w:tblPr>
      <w:tblGrid>
        <w:gridCol w:w="2759"/>
        <w:gridCol w:w="1138"/>
        <w:gridCol w:w="1139"/>
        <w:gridCol w:w="1137"/>
        <w:gridCol w:w="1120"/>
        <w:gridCol w:w="1158"/>
        <w:gridCol w:w="1139"/>
      </w:tblGrid>
      <w:tr w:rsidR="00D17312" w:rsidRPr="000973F2" w14:paraId="38280847" w14:textId="77777777" w:rsidTr="00235736">
        <w:trPr>
          <w:cnfStyle w:val="100000000000" w:firstRow="1" w:lastRow="0" w:firstColumn="0" w:lastColumn="0" w:oddVBand="0" w:evenVBand="0" w:oddHBand="0" w:evenHBand="0" w:firstRowFirstColumn="0" w:firstRowLastColumn="0" w:lastRowFirstColumn="0" w:lastRowLastColumn="0"/>
          <w:cantSplit/>
          <w:jc w:val="left"/>
        </w:trPr>
        <w:tc>
          <w:tcPr>
            <w:cnfStyle w:val="001000000000" w:firstRow="0" w:lastRow="0" w:firstColumn="1" w:lastColumn="0" w:oddVBand="0" w:evenVBand="0" w:oddHBand="0" w:evenHBand="0" w:firstRowFirstColumn="0" w:firstRowLastColumn="0" w:lastRowFirstColumn="0" w:lastRowLastColumn="0"/>
            <w:tcW w:w="1438" w:type="pct"/>
            <w:vMerge w:val="restart"/>
            <w:noWrap/>
            <w:vAlign w:val="top"/>
            <w:hideMark/>
          </w:tcPr>
          <w:p w14:paraId="01602DBD" w14:textId="241224E3" w:rsidR="00D17312" w:rsidRPr="000973F2" w:rsidRDefault="00D17312" w:rsidP="00235736">
            <w:pPr>
              <w:spacing w:before="40" w:after="40"/>
              <w:rPr>
                <w:rFonts w:ascii="Times New Roman" w:eastAsia="Times New Roman" w:hAnsi="Times New Roman" w:cs="Times New Roman"/>
                <w:b w:val="0"/>
                <w:bCs w:val="0"/>
                <w:sz w:val="18"/>
                <w:szCs w:val="18"/>
              </w:rPr>
            </w:pPr>
            <w:r w:rsidRPr="000973F2">
              <w:rPr>
                <w:rFonts w:ascii="Times New Roman" w:eastAsia="Times New Roman" w:hAnsi="Times New Roman" w:cs="Times New Roman"/>
                <w:sz w:val="18"/>
                <w:szCs w:val="18"/>
              </w:rPr>
              <w:t>Activity</w:t>
            </w:r>
          </w:p>
        </w:tc>
        <w:tc>
          <w:tcPr>
            <w:tcW w:w="2364" w:type="pct"/>
            <w:gridSpan w:val="4"/>
            <w:noWrap/>
            <w:vAlign w:val="top"/>
            <w:hideMark/>
          </w:tcPr>
          <w:p w14:paraId="61C74D00" w14:textId="77777777" w:rsidR="00D17312" w:rsidRPr="000973F2" w:rsidRDefault="00D17312" w:rsidP="00235736">
            <w:pPr>
              <w:spacing w:before="40" w:after="40"/>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bCs w:val="0"/>
                <w:sz w:val="18"/>
                <w:szCs w:val="18"/>
              </w:rPr>
            </w:pPr>
            <w:r w:rsidRPr="000973F2">
              <w:rPr>
                <w:rFonts w:ascii="Times New Roman" w:eastAsia="Times New Roman" w:hAnsi="Times New Roman" w:cs="Times New Roman"/>
                <w:sz w:val="18"/>
                <w:szCs w:val="18"/>
              </w:rPr>
              <w:t>Cost Categories</w:t>
            </w:r>
          </w:p>
        </w:tc>
        <w:tc>
          <w:tcPr>
            <w:tcW w:w="1198" w:type="pct"/>
            <w:gridSpan w:val="2"/>
            <w:vAlign w:val="top"/>
            <w:hideMark/>
          </w:tcPr>
          <w:p w14:paraId="35E1F2B0" w14:textId="34E51AD3" w:rsidR="00D17312" w:rsidRPr="000973F2" w:rsidRDefault="00D17312" w:rsidP="00235736">
            <w:pPr>
              <w:spacing w:before="40" w:after="40"/>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bCs w:val="0"/>
                <w:sz w:val="18"/>
                <w:szCs w:val="18"/>
              </w:rPr>
            </w:pPr>
            <w:r w:rsidRPr="000973F2">
              <w:rPr>
                <w:rFonts w:ascii="Times New Roman" w:eastAsia="Times New Roman" w:hAnsi="Times New Roman" w:cs="Times New Roman"/>
                <w:sz w:val="18"/>
                <w:szCs w:val="18"/>
              </w:rPr>
              <w:t>Total Capital and O&amp;M Cost per Year per Reporter</w:t>
            </w:r>
            <w:r w:rsidR="00824684" w:rsidRPr="000973F2">
              <w:rPr>
                <w:rFonts w:ascii="Times New Roman" w:eastAsia="Times New Roman" w:hAnsi="Times New Roman" w:cs="Times New Roman"/>
                <w:sz w:val="18"/>
                <w:szCs w:val="18"/>
              </w:rPr>
              <w:t xml:space="preserve"> </w:t>
            </w:r>
            <w:r w:rsidRPr="000973F2">
              <w:rPr>
                <w:rFonts w:ascii="Times New Roman" w:eastAsia="Times New Roman" w:hAnsi="Times New Roman" w:cs="Times New Roman"/>
                <w:sz w:val="18"/>
                <w:szCs w:val="18"/>
              </w:rPr>
              <w:t>(2017$)</w:t>
            </w:r>
          </w:p>
        </w:tc>
      </w:tr>
      <w:tr w:rsidR="00824684" w:rsidRPr="000973F2" w14:paraId="4A474297" w14:textId="77777777" w:rsidTr="00235736">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1438" w:type="pct"/>
            <w:vMerge/>
            <w:noWrap/>
            <w:hideMark/>
          </w:tcPr>
          <w:p w14:paraId="72D26A6D" w14:textId="7B76B426" w:rsidR="00D17312" w:rsidRPr="000973F2" w:rsidRDefault="00D17312" w:rsidP="00235736">
            <w:pPr>
              <w:spacing w:before="40" w:after="40"/>
              <w:jc w:val="center"/>
              <w:rPr>
                <w:rFonts w:ascii="Times New Roman" w:eastAsia="Times New Roman" w:hAnsi="Times New Roman" w:cs="Times New Roman"/>
                <w:b/>
                <w:bCs w:val="0"/>
                <w:sz w:val="18"/>
                <w:szCs w:val="18"/>
              </w:rPr>
            </w:pPr>
          </w:p>
        </w:tc>
        <w:tc>
          <w:tcPr>
            <w:tcW w:w="593" w:type="pct"/>
            <w:tcMar>
              <w:left w:w="14" w:type="dxa"/>
              <w:right w:w="14" w:type="dxa"/>
            </w:tcMar>
            <w:hideMark/>
          </w:tcPr>
          <w:p w14:paraId="0D49C140" w14:textId="77777777" w:rsidR="00D17312" w:rsidRPr="000973F2" w:rsidRDefault="00D17312" w:rsidP="00235736">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18"/>
                <w:szCs w:val="18"/>
              </w:rPr>
            </w:pPr>
            <w:r w:rsidRPr="000973F2">
              <w:rPr>
                <w:rFonts w:ascii="Times New Roman" w:eastAsia="Times New Roman" w:hAnsi="Times New Roman" w:cs="Times New Roman"/>
                <w:b/>
                <w:bCs/>
                <w:sz w:val="18"/>
                <w:szCs w:val="18"/>
              </w:rPr>
              <w:t>Capital Cost (2017$)</w:t>
            </w:r>
          </w:p>
        </w:tc>
        <w:tc>
          <w:tcPr>
            <w:tcW w:w="594" w:type="pct"/>
            <w:tcMar>
              <w:left w:w="14" w:type="dxa"/>
              <w:right w:w="14" w:type="dxa"/>
            </w:tcMar>
            <w:hideMark/>
          </w:tcPr>
          <w:p w14:paraId="61876C38" w14:textId="77777777" w:rsidR="00D17312" w:rsidRPr="000973F2" w:rsidRDefault="00D17312" w:rsidP="00235736">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18"/>
                <w:szCs w:val="18"/>
              </w:rPr>
            </w:pPr>
            <w:r w:rsidRPr="000973F2">
              <w:rPr>
                <w:rFonts w:ascii="Times New Roman" w:eastAsia="Times New Roman" w:hAnsi="Times New Roman" w:cs="Times New Roman"/>
                <w:b/>
                <w:bCs/>
                <w:sz w:val="18"/>
                <w:szCs w:val="18"/>
              </w:rPr>
              <w:t>Equipment Lifetime</w:t>
            </w:r>
          </w:p>
        </w:tc>
        <w:tc>
          <w:tcPr>
            <w:tcW w:w="593" w:type="pct"/>
            <w:tcMar>
              <w:left w:w="14" w:type="dxa"/>
              <w:right w:w="14" w:type="dxa"/>
            </w:tcMar>
            <w:hideMark/>
          </w:tcPr>
          <w:p w14:paraId="234F947C" w14:textId="77777777" w:rsidR="00D17312" w:rsidRPr="000973F2" w:rsidRDefault="00D17312" w:rsidP="00235736">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18"/>
                <w:szCs w:val="18"/>
              </w:rPr>
            </w:pPr>
            <w:r w:rsidRPr="000973F2">
              <w:rPr>
                <w:rFonts w:ascii="Times New Roman" w:eastAsia="Times New Roman" w:hAnsi="Times New Roman" w:cs="Times New Roman"/>
                <w:b/>
                <w:bCs/>
                <w:sz w:val="18"/>
                <w:szCs w:val="18"/>
              </w:rPr>
              <w:t>Annualized Capital Cost (2017$/year)</w:t>
            </w:r>
          </w:p>
        </w:tc>
        <w:tc>
          <w:tcPr>
            <w:tcW w:w="584" w:type="pct"/>
            <w:tcMar>
              <w:left w:w="14" w:type="dxa"/>
              <w:right w:w="14" w:type="dxa"/>
            </w:tcMar>
            <w:hideMark/>
          </w:tcPr>
          <w:p w14:paraId="3F00215A" w14:textId="77777777" w:rsidR="00D17312" w:rsidRPr="000973F2" w:rsidRDefault="00D17312" w:rsidP="00235736">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18"/>
                <w:szCs w:val="18"/>
              </w:rPr>
            </w:pPr>
            <w:r w:rsidRPr="000973F2">
              <w:rPr>
                <w:rFonts w:ascii="Times New Roman" w:eastAsia="Times New Roman" w:hAnsi="Times New Roman" w:cs="Times New Roman"/>
                <w:b/>
                <w:bCs/>
                <w:sz w:val="18"/>
                <w:szCs w:val="18"/>
              </w:rPr>
              <w:t>O&amp;M Costs (2017$/year)</w:t>
            </w:r>
          </w:p>
        </w:tc>
        <w:tc>
          <w:tcPr>
            <w:tcW w:w="604" w:type="pct"/>
            <w:tcMar>
              <w:left w:w="14" w:type="dxa"/>
              <w:right w:w="14" w:type="dxa"/>
            </w:tcMar>
            <w:hideMark/>
          </w:tcPr>
          <w:p w14:paraId="030C5E67" w14:textId="77777777" w:rsidR="00D17312" w:rsidRPr="000973F2" w:rsidRDefault="00D17312" w:rsidP="00235736">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18"/>
                <w:szCs w:val="18"/>
              </w:rPr>
            </w:pPr>
            <w:r w:rsidRPr="000973F2">
              <w:rPr>
                <w:rFonts w:ascii="Times New Roman" w:eastAsia="Times New Roman" w:hAnsi="Times New Roman" w:cs="Times New Roman"/>
                <w:b/>
                <w:bCs/>
                <w:sz w:val="18"/>
                <w:szCs w:val="18"/>
              </w:rPr>
              <w:t>Initial Year</w:t>
            </w:r>
          </w:p>
        </w:tc>
        <w:tc>
          <w:tcPr>
            <w:tcW w:w="594" w:type="pct"/>
            <w:tcMar>
              <w:left w:w="14" w:type="dxa"/>
              <w:right w:w="14" w:type="dxa"/>
            </w:tcMar>
            <w:hideMark/>
          </w:tcPr>
          <w:p w14:paraId="0C8E4DB1" w14:textId="77777777" w:rsidR="00D17312" w:rsidRPr="000973F2" w:rsidRDefault="00D17312" w:rsidP="00235736">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18"/>
                <w:szCs w:val="18"/>
              </w:rPr>
            </w:pPr>
            <w:r w:rsidRPr="000973F2">
              <w:rPr>
                <w:rFonts w:ascii="Times New Roman" w:eastAsia="Times New Roman" w:hAnsi="Times New Roman" w:cs="Times New Roman"/>
                <w:b/>
                <w:bCs/>
                <w:sz w:val="18"/>
                <w:szCs w:val="18"/>
              </w:rPr>
              <w:t>Subseq. Years</w:t>
            </w:r>
          </w:p>
        </w:tc>
      </w:tr>
      <w:tr w:rsidR="00235736" w:rsidRPr="000973F2" w14:paraId="2BF8F4D8" w14:textId="77777777" w:rsidTr="00235736">
        <w:trPr>
          <w:cantSplit/>
        </w:trPr>
        <w:tc>
          <w:tcPr>
            <w:cnfStyle w:val="001000000000" w:firstRow="0" w:lastRow="0" w:firstColumn="1" w:lastColumn="0" w:oddVBand="0" w:evenVBand="0" w:oddHBand="0" w:evenHBand="0" w:firstRowFirstColumn="0" w:firstRowLastColumn="0" w:lastRowFirstColumn="0" w:lastRowLastColumn="0"/>
            <w:tcW w:w="1438" w:type="pct"/>
            <w:hideMark/>
          </w:tcPr>
          <w:p w14:paraId="2AD269AC" w14:textId="77777777" w:rsidR="00235736" w:rsidRPr="000973F2" w:rsidRDefault="00235736" w:rsidP="00235736">
            <w:pPr>
              <w:spacing w:before="40" w:after="4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Equipment (selection, purchase, installation)</w:t>
            </w:r>
          </w:p>
        </w:tc>
        <w:tc>
          <w:tcPr>
            <w:tcW w:w="593" w:type="pct"/>
            <w:noWrap/>
            <w:hideMark/>
          </w:tcPr>
          <w:p w14:paraId="652CB955" w14:textId="51327CF0" w:rsidR="00235736" w:rsidRPr="000973F2" w:rsidRDefault="00235736" w:rsidP="00235736">
            <w:pPr>
              <w:spacing w:before="40" w:after="4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w:t>
            </w:r>
          </w:p>
        </w:tc>
        <w:tc>
          <w:tcPr>
            <w:tcW w:w="594" w:type="pct"/>
            <w:noWrap/>
          </w:tcPr>
          <w:p w14:paraId="7FCEE783" w14:textId="70E66B7C" w:rsidR="00235736" w:rsidRPr="000973F2" w:rsidRDefault="00235736" w:rsidP="00235736">
            <w:pPr>
              <w:spacing w:before="40" w:after="4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p>
        </w:tc>
        <w:tc>
          <w:tcPr>
            <w:tcW w:w="593" w:type="pct"/>
            <w:noWrap/>
            <w:hideMark/>
          </w:tcPr>
          <w:p w14:paraId="3F949389" w14:textId="6B19FAFC" w:rsidR="00235736" w:rsidRPr="000973F2" w:rsidRDefault="00235736" w:rsidP="00235736">
            <w:pPr>
              <w:spacing w:before="40" w:after="4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w:t>
            </w:r>
          </w:p>
        </w:tc>
        <w:tc>
          <w:tcPr>
            <w:tcW w:w="584" w:type="pct"/>
            <w:noWrap/>
            <w:hideMark/>
          </w:tcPr>
          <w:p w14:paraId="41ECCDDB" w14:textId="6CA942CB" w:rsidR="00235736" w:rsidRPr="000973F2" w:rsidRDefault="00235736" w:rsidP="00235736">
            <w:pPr>
              <w:tabs>
                <w:tab w:val="decimal" w:pos="616"/>
              </w:tabs>
              <w:spacing w:before="40" w:after="4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w:t>
            </w:r>
          </w:p>
        </w:tc>
        <w:tc>
          <w:tcPr>
            <w:tcW w:w="604" w:type="pct"/>
            <w:noWrap/>
            <w:hideMark/>
          </w:tcPr>
          <w:p w14:paraId="34A2114B" w14:textId="4B163A3C" w:rsidR="00235736" w:rsidRPr="000973F2" w:rsidRDefault="00235736" w:rsidP="00235736">
            <w:pPr>
              <w:spacing w:before="40" w:after="4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w:t>
            </w:r>
          </w:p>
        </w:tc>
        <w:tc>
          <w:tcPr>
            <w:tcW w:w="594" w:type="pct"/>
            <w:noWrap/>
            <w:hideMark/>
          </w:tcPr>
          <w:p w14:paraId="487E2FB4" w14:textId="545F6BE9" w:rsidR="00235736" w:rsidRPr="000973F2" w:rsidRDefault="00235736" w:rsidP="00235736">
            <w:pPr>
              <w:tabs>
                <w:tab w:val="decimal" w:pos="631"/>
              </w:tabs>
              <w:spacing w:before="40" w:after="4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w:t>
            </w:r>
          </w:p>
        </w:tc>
      </w:tr>
      <w:tr w:rsidR="00235736" w:rsidRPr="000973F2" w14:paraId="561B621B" w14:textId="77777777" w:rsidTr="00235736">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1438" w:type="pct"/>
            <w:hideMark/>
          </w:tcPr>
          <w:p w14:paraId="08D5BDE4" w14:textId="77777777" w:rsidR="00235736" w:rsidRPr="000973F2" w:rsidRDefault="00235736" w:rsidP="00235736">
            <w:pPr>
              <w:spacing w:before="40" w:after="4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Performance testing</w:t>
            </w:r>
          </w:p>
        </w:tc>
        <w:tc>
          <w:tcPr>
            <w:tcW w:w="593" w:type="pct"/>
            <w:noWrap/>
            <w:hideMark/>
          </w:tcPr>
          <w:p w14:paraId="0AE288E2" w14:textId="478315B6" w:rsidR="00235736" w:rsidRPr="000973F2" w:rsidRDefault="00235736" w:rsidP="00235736">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w:t>
            </w:r>
          </w:p>
        </w:tc>
        <w:tc>
          <w:tcPr>
            <w:tcW w:w="594" w:type="pct"/>
            <w:noWrap/>
          </w:tcPr>
          <w:p w14:paraId="2FA9EA4B" w14:textId="52B67470" w:rsidR="00235736" w:rsidRPr="000973F2" w:rsidRDefault="00235736" w:rsidP="00235736">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p>
        </w:tc>
        <w:tc>
          <w:tcPr>
            <w:tcW w:w="593" w:type="pct"/>
            <w:noWrap/>
            <w:hideMark/>
          </w:tcPr>
          <w:p w14:paraId="248E0ED2" w14:textId="4DE316C2" w:rsidR="00235736" w:rsidRPr="000973F2" w:rsidRDefault="00235736" w:rsidP="00235736">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w:t>
            </w:r>
          </w:p>
        </w:tc>
        <w:tc>
          <w:tcPr>
            <w:tcW w:w="584" w:type="pct"/>
            <w:noWrap/>
            <w:hideMark/>
          </w:tcPr>
          <w:p w14:paraId="78DB6461" w14:textId="6B6D472A" w:rsidR="00235736" w:rsidRPr="000973F2" w:rsidRDefault="00235736" w:rsidP="00235736">
            <w:pPr>
              <w:tabs>
                <w:tab w:val="decimal" w:pos="616"/>
              </w:tabs>
              <w:spacing w:before="40" w:after="4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w:t>
            </w:r>
          </w:p>
        </w:tc>
        <w:tc>
          <w:tcPr>
            <w:tcW w:w="604" w:type="pct"/>
            <w:noWrap/>
            <w:hideMark/>
          </w:tcPr>
          <w:p w14:paraId="13A6D221" w14:textId="5499F47F" w:rsidR="00235736" w:rsidRPr="000973F2" w:rsidRDefault="00235736" w:rsidP="00235736">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w:t>
            </w:r>
          </w:p>
        </w:tc>
        <w:tc>
          <w:tcPr>
            <w:tcW w:w="594" w:type="pct"/>
            <w:noWrap/>
            <w:hideMark/>
          </w:tcPr>
          <w:p w14:paraId="01D7FD41" w14:textId="1C8F0EC7" w:rsidR="00235736" w:rsidRPr="000973F2" w:rsidRDefault="00235736" w:rsidP="00235736">
            <w:pPr>
              <w:tabs>
                <w:tab w:val="decimal" w:pos="631"/>
              </w:tabs>
              <w:spacing w:before="40" w:after="4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w:t>
            </w:r>
          </w:p>
        </w:tc>
      </w:tr>
      <w:tr w:rsidR="00824684" w:rsidRPr="000973F2" w14:paraId="555D9395" w14:textId="77777777" w:rsidTr="00235736">
        <w:trPr>
          <w:cantSplit/>
        </w:trPr>
        <w:tc>
          <w:tcPr>
            <w:cnfStyle w:val="001000000000" w:firstRow="0" w:lastRow="0" w:firstColumn="1" w:lastColumn="0" w:oddVBand="0" w:evenVBand="0" w:oddHBand="0" w:evenHBand="0" w:firstRowFirstColumn="0" w:firstRowLastColumn="0" w:lastRowFirstColumn="0" w:lastRowLastColumn="0"/>
            <w:tcW w:w="1438" w:type="pct"/>
            <w:hideMark/>
          </w:tcPr>
          <w:p w14:paraId="738F8830" w14:textId="77777777" w:rsidR="00AB6F50" w:rsidRPr="000973F2" w:rsidRDefault="00AB6F50" w:rsidP="00235736">
            <w:pPr>
              <w:spacing w:before="40" w:after="4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Recordkeeping</w:t>
            </w:r>
          </w:p>
        </w:tc>
        <w:tc>
          <w:tcPr>
            <w:tcW w:w="593" w:type="pct"/>
            <w:noWrap/>
            <w:hideMark/>
          </w:tcPr>
          <w:p w14:paraId="64689D3C" w14:textId="77777777" w:rsidR="00AB6F50" w:rsidRPr="000973F2" w:rsidRDefault="00AB6F50" w:rsidP="00235736">
            <w:pPr>
              <w:spacing w:before="40" w:after="4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$0</w:t>
            </w:r>
          </w:p>
        </w:tc>
        <w:tc>
          <w:tcPr>
            <w:tcW w:w="594" w:type="pct"/>
            <w:noWrap/>
          </w:tcPr>
          <w:p w14:paraId="1C64F41F" w14:textId="6223CCBE" w:rsidR="00AB6F50" w:rsidRPr="000973F2" w:rsidRDefault="00AB6F50" w:rsidP="00235736">
            <w:pPr>
              <w:spacing w:before="40" w:after="4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p>
        </w:tc>
        <w:tc>
          <w:tcPr>
            <w:tcW w:w="593" w:type="pct"/>
            <w:noWrap/>
            <w:hideMark/>
          </w:tcPr>
          <w:p w14:paraId="67F5FD43" w14:textId="77777777" w:rsidR="00AB6F50" w:rsidRPr="000973F2" w:rsidRDefault="00AB6F50" w:rsidP="00235736">
            <w:pPr>
              <w:spacing w:before="40" w:after="4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$0</w:t>
            </w:r>
          </w:p>
        </w:tc>
        <w:tc>
          <w:tcPr>
            <w:tcW w:w="584" w:type="pct"/>
            <w:noWrap/>
            <w:hideMark/>
          </w:tcPr>
          <w:p w14:paraId="6301CF6D" w14:textId="77777777" w:rsidR="00AB6F50" w:rsidRPr="000973F2" w:rsidRDefault="00AB6F50" w:rsidP="00235736">
            <w:pPr>
              <w:tabs>
                <w:tab w:val="decimal" w:pos="616"/>
              </w:tabs>
              <w:spacing w:before="40" w:after="4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$50</w:t>
            </w:r>
          </w:p>
        </w:tc>
        <w:tc>
          <w:tcPr>
            <w:tcW w:w="604" w:type="pct"/>
            <w:noWrap/>
            <w:hideMark/>
          </w:tcPr>
          <w:p w14:paraId="577F6B80" w14:textId="77777777" w:rsidR="00AB6F50" w:rsidRPr="000973F2" w:rsidRDefault="00AB6F50" w:rsidP="00235736">
            <w:pPr>
              <w:spacing w:before="40" w:after="4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$0</w:t>
            </w:r>
          </w:p>
        </w:tc>
        <w:tc>
          <w:tcPr>
            <w:tcW w:w="594" w:type="pct"/>
            <w:noWrap/>
            <w:hideMark/>
          </w:tcPr>
          <w:p w14:paraId="4E4C04B6" w14:textId="77777777" w:rsidR="00AB6F50" w:rsidRPr="000973F2" w:rsidRDefault="00AB6F50" w:rsidP="00235736">
            <w:pPr>
              <w:tabs>
                <w:tab w:val="decimal" w:pos="631"/>
              </w:tabs>
              <w:spacing w:before="40" w:after="4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$50</w:t>
            </w:r>
          </w:p>
        </w:tc>
      </w:tr>
      <w:tr w:rsidR="00235736" w:rsidRPr="000973F2" w14:paraId="2A46A314" w14:textId="77777777" w:rsidTr="00235736">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1438" w:type="pct"/>
            <w:hideMark/>
          </w:tcPr>
          <w:p w14:paraId="01F39054" w14:textId="77777777" w:rsidR="00235736" w:rsidRPr="000973F2" w:rsidRDefault="00235736" w:rsidP="00235736">
            <w:pPr>
              <w:spacing w:before="40" w:after="4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Travel</w:t>
            </w:r>
          </w:p>
        </w:tc>
        <w:tc>
          <w:tcPr>
            <w:tcW w:w="593" w:type="pct"/>
            <w:noWrap/>
            <w:hideMark/>
          </w:tcPr>
          <w:p w14:paraId="77F487C8" w14:textId="0E9A514E" w:rsidR="00235736" w:rsidRPr="000973F2" w:rsidRDefault="00235736" w:rsidP="00235736">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w:t>
            </w:r>
          </w:p>
        </w:tc>
        <w:tc>
          <w:tcPr>
            <w:tcW w:w="594" w:type="pct"/>
            <w:noWrap/>
          </w:tcPr>
          <w:p w14:paraId="7B09F65F" w14:textId="3C9DBCA3" w:rsidR="00235736" w:rsidRPr="000973F2" w:rsidRDefault="00235736" w:rsidP="00235736">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p>
        </w:tc>
        <w:tc>
          <w:tcPr>
            <w:tcW w:w="593" w:type="pct"/>
            <w:noWrap/>
            <w:hideMark/>
          </w:tcPr>
          <w:p w14:paraId="483D8EE0" w14:textId="294BE80D" w:rsidR="00235736" w:rsidRPr="000973F2" w:rsidRDefault="00235736" w:rsidP="00235736">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w:t>
            </w:r>
          </w:p>
        </w:tc>
        <w:tc>
          <w:tcPr>
            <w:tcW w:w="584" w:type="pct"/>
            <w:noWrap/>
            <w:hideMark/>
          </w:tcPr>
          <w:p w14:paraId="7C9F04A8" w14:textId="2D980D6C" w:rsidR="00235736" w:rsidRPr="000973F2" w:rsidRDefault="00235736" w:rsidP="00235736">
            <w:pPr>
              <w:tabs>
                <w:tab w:val="decimal" w:pos="616"/>
              </w:tabs>
              <w:spacing w:before="40" w:after="4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w:t>
            </w:r>
          </w:p>
        </w:tc>
        <w:tc>
          <w:tcPr>
            <w:tcW w:w="604" w:type="pct"/>
            <w:noWrap/>
            <w:hideMark/>
          </w:tcPr>
          <w:p w14:paraId="7B82A6B3" w14:textId="019A4ADC" w:rsidR="00235736" w:rsidRPr="000973F2" w:rsidRDefault="00235736" w:rsidP="00235736">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w:t>
            </w:r>
          </w:p>
        </w:tc>
        <w:tc>
          <w:tcPr>
            <w:tcW w:w="594" w:type="pct"/>
            <w:noWrap/>
            <w:hideMark/>
          </w:tcPr>
          <w:p w14:paraId="5E422307" w14:textId="219F21F5" w:rsidR="00235736" w:rsidRPr="000973F2" w:rsidRDefault="00235736" w:rsidP="00235736">
            <w:pPr>
              <w:tabs>
                <w:tab w:val="decimal" w:pos="631"/>
              </w:tabs>
              <w:spacing w:before="40" w:after="4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w:t>
            </w:r>
          </w:p>
        </w:tc>
      </w:tr>
      <w:tr w:rsidR="00824684" w:rsidRPr="000973F2" w14:paraId="324AEA9A" w14:textId="77777777" w:rsidTr="00235736">
        <w:trPr>
          <w:cantSplit/>
        </w:trPr>
        <w:tc>
          <w:tcPr>
            <w:cnfStyle w:val="001000000000" w:firstRow="0" w:lastRow="0" w:firstColumn="1" w:lastColumn="0" w:oddVBand="0" w:evenVBand="0" w:oddHBand="0" w:evenHBand="0" w:firstRowFirstColumn="0" w:firstRowLastColumn="0" w:lastRowFirstColumn="0" w:lastRowLastColumn="0"/>
            <w:tcW w:w="1438" w:type="pct"/>
            <w:hideMark/>
          </w:tcPr>
          <w:p w14:paraId="72EB0071" w14:textId="23E14D5F" w:rsidR="00AB6F50" w:rsidRPr="000973F2" w:rsidRDefault="00AB6F50" w:rsidP="00235736">
            <w:pPr>
              <w:spacing w:before="40" w:after="4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 xml:space="preserve">Sampling </w:t>
            </w:r>
            <w:r w:rsidR="00321129" w:rsidRPr="000973F2">
              <w:rPr>
                <w:rFonts w:ascii="Times New Roman" w:eastAsia="Times New Roman" w:hAnsi="Times New Roman" w:cs="Times New Roman"/>
                <w:sz w:val="18"/>
                <w:szCs w:val="18"/>
              </w:rPr>
              <w:t xml:space="preserve">and Analysis </w:t>
            </w:r>
            <w:r w:rsidRPr="000973F2">
              <w:rPr>
                <w:rFonts w:ascii="Times New Roman" w:eastAsia="Times New Roman" w:hAnsi="Times New Roman" w:cs="Times New Roman"/>
                <w:sz w:val="18"/>
                <w:szCs w:val="18"/>
              </w:rPr>
              <w:t>Costs</w:t>
            </w:r>
          </w:p>
        </w:tc>
        <w:tc>
          <w:tcPr>
            <w:tcW w:w="593" w:type="pct"/>
            <w:noWrap/>
            <w:hideMark/>
          </w:tcPr>
          <w:p w14:paraId="3C7CE883" w14:textId="77777777" w:rsidR="00AB6F50" w:rsidRPr="000973F2" w:rsidRDefault="00AB6F50" w:rsidP="00235736">
            <w:pPr>
              <w:spacing w:before="40" w:after="4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$0</w:t>
            </w:r>
          </w:p>
        </w:tc>
        <w:tc>
          <w:tcPr>
            <w:tcW w:w="594" w:type="pct"/>
            <w:noWrap/>
          </w:tcPr>
          <w:p w14:paraId="1EF0AE00" w14:textId="63227201" w:rsidR="00AB6F50" w:rsidRPr="000973F2" w:rsidRDefault="00AB6F50" w:rsidP="00235736">
            <w:pPr>
              <w:spacing w:before="40" w:after="4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p>
        </w:tc>
        <w:tc>
          <w:tcPr>
            <w:tcW w:w="593" w:type="pct"/>
            <w:noWrap/>
            <w:hideMark/>
          </w:tcPr>
          <w:p w14:paraId="125009A0" w14:textId="77777777" w:rsidR="00AB6F50" w:rsidRPr="000973F2" w:rsidRDefault="00AB6F50" w:rsidP="00235736">
            <w:pPr>
              <w:spacing w:before="40" w:after="4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$0</w:t>
            </w:r>
          </w:p>
        </w:tc>
        <w:tc>
          <w:tcPr>
            <w:tcW w:w="584" w:type="pct"/>
            <w:noWrap/>
            <w:hideMark/>
          </w:tcPr>
          <w:p w14:paraId="238DE783" w14:textId="77777777" w:rsidR="00AB6F50" w:rsidRPr="000973F2" w:rsidRDefault="00AB6F50" w:rsidP="00235736">
            <w:pPr>
              <w:tabs>
                <w:tab w:val="decimal" w:pos="616"/>
              </w:tabs>
              <w:spacing w:before="40" w:after="4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$6,365</w:t>
            </w:r>
          </w:p>
        </w:tc>
        <w:tc>
          <w:tcPr>
            <w:tcW w:w="604" w:type="pct"/>
            <w:noWrap/>
            <w:hideMark/>
          </w:tcPr>
          <w:p w14:paraId="15F762C3" w14:textId="77777777" w:rsidR="00AB6F50" w:rsidRPr="000973F2" w:rsidRDefault="00AB6F50" w:rsidP="00235736">
            <w:pPr>
              <w:spacing w:before="40" w:after="4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$0</w:t>
            </w:r>
          </w:p>
        </w:tc>
        <w:tc>
          <w:tcPr>
            <w:tcW w:w="594" w:type="pct"/>
            <w:noWrap/>
            <w:hideMark/>
          </w:tcPr>
          <w:p w14:paraId="4E9481F8" w14:textId="77777777" w:rsidR="00AB6F50" w:rsidRPr="000973F2" w:rsidRDefault="00AB6F50" w:rsidP="00235736">
            <w:pPr>
              <w:tabs>
                <w:tab w:val="decimal" w:pos="631"/>
              </w:tabs>
              <w:spacing w:before="40" w:after="4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$6,365</w:t>
            </w:r>
          </w:p>
        </w:tc>
      </w:tr>
      <w:tr w:rsidR="00824684" w:rsidRPr="000973F2" w14:paraId="389F3477" w14:textId="77777777" w:rsidTr="00235736">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1438" w:type="pct"/>
            <w:hideMark/>
          </w:tcPr>
          <w:p w14:paraId="7F16D1CF" w14:textId="77777777" w:rsidR="00AB6F50" w:rsidRPr="000973F2" w:rsidRDefault="00AB6F50" w:rsidP="00235736">
            <w:pPr>
              <w:spacing w:before="40" w:after="40"/>
              <w:rPr>
                <w:rFonts w:ascii="Times New Roman" w:eastAsia="Times New Roman" w:hAnsi="Times New Roman" w:cs="Times New Roman"/>
                <w:b/>
                <w:bCs w:val="0"/>
                <w:sz w:val="18"/>
                <w:szCs w:val="18"/>
              </w:rPr>
            </w:pPr>
            <w:r w:rsidRPr="000973F2">
              <w:rPr>
                <w:rFonts w:ascii="Times New Roman" w:eastAsia="Times New Roman" w:hAnsi="Times New Roman" w:cs="Times New Roman"/>
                <w:b/>
                <w:sz w:val="18"/>
                <w:szCs w:val="18"/>
              </w:rPr>
              <w:t xml:space="preserve">Total </w:t>
            </w:r>
          </w:p>
        </w:tc>
        <w:tc>
          <w:tcPr>
            <w:tcW w:w="593" w:type="pct"/>
            <w:noWrap/>
            <w:hideMark/>
          </w:tcPr>
          <w:p w14:paraId="297BF76C" w14:textId="77777777" w:rsidR="00AB6F50" w:rsidRPr="000973F2" w:rsidRDefault="00AB6F50" w:rsidP="00235736">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sz w:val="18"/>
                <w:szCs w:val="18"/>
              </w:rPr>
            </w:pPr>
            <w:r w:rsidRPr="000973F2">
              <w:rPr>
                <w:rFonts w:ascii="Times New Roman" w:eastAsia="Times New Roman" w:hAnsi="Times New Roman" w:cs="Times New Roman"/>
                <w:b/>
                <w:sz w:val="18"/>
                <w:szCs w:val="18"/>
              </w:rPr>
              <w:t>$0</w:t>
            </w:r>
          </w:p>
        </w:tc>
        <w:tc>
          <w:tcPr>
            <w:tcW w:w="594" w:type="pct"/>
            <w:noWrap/>
            <w:hideMark/>
          </w:tcPr>
          <w:p w14:paraId="13CFC294" w14:textId="3B3F6456" w:rsidR="00AB6F50" w:rsidRPr="000973F2" w:rsidRDefault="00AB6F50" w:rsidP="00235736">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sz w:val="18"/>
                <w:szCs w:val="18"/>
              </w:rPr>
            </w:pPr>
          </w:p>
        </w:tc>
        <w:tc>
          <w:tcPr>
            <w:tcW w:w="593" w:type="pct"/>
            <w:noWrap/>
            <w:hideMark/>
          </w:tcPr>
          <w:p w14:paraId="2468612A" w14:textId="77777777" w:rsidR="00AB6F50" w:rsidRPr="000973F2" w:rsidRDefault="00AB6F50" w:rsidP="00235736">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sz w:val="18"/>
                <w:szCs w:val="18"/>
              </w:rPr>
            </w:pPr>
            <w:r w:rsidRPr="000973F2">
              <w:rPr>
                <w:rFonts w:ascii="Times New Roman" w:eastAsia="Times New Roman" w:hAnsi="Times New Roman" w:cs="Times New Roman"/>
                <w:b/>
                <w:sz w:val="18"/>
                <w:szCs w:val="18"/>
              </w:rPr>
              <w:t>$0</w:t>
            </w:r>
          </w:p>
        </w:tc>
        <w:tc>
          <w:tcPr>
            <w:tcW w:w="584" w:type="pct"/>
            <w:noWrap/>
            <w:hideMark/>
          </w:tcPr>
          <w:p w14:paraId="536440FA" w14:textId="77777777" w:rsidR="00AB6F50" w:rsidRPr="000973F2" w:rsidRDefault="00AB6F50" w:rsidP="00235736">
            <w:pPr>
              <w:tabs>
                <w:tab w:val="decimal" w:pos="616"/>
              </w:tabs>
              <w:spacing w:before="40" w:after="4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sz w:val="18"/>
                <w:szCs w:val="18"/>
              </w:rPr>
            </w:pPr>
            <w:r w:rsidRPr="000973F2">
              <w:rPr>
                <w:rFonts w:ascii="Times New Roman" w:eastAsia="Times New Roman" w:hAnsi="Times New Roman" w:cs="Times New Roman"/>
                <w:b/>
                <w:sz w:val="18"/>
                <w:szCs w:val="18"/>
              </w:rPr>
              <w:t>$6,415</w:t>
            </w:r>
          </w:p>
        </w:tc>
        <w:tc>
          <w:tcPr>
            <w:tcW w:w="604" w:type="pct"/>
            <w:noWrap/>
            <w:hideMark/>
          </w:tcPr>
          <w:p w14:paraId="481DA3EA" w14:textId="77777777" w:rsidR="00AB6F50" w:rsidRPr="000973F2" w:rsidRDefault="00AB6F50" w:rsidP="00235736">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sz w:val="18"/>
                <w:szCs w:val="18"/>
              </w:rPr>
            </w:pPr>
            <w:r w:rsidRPr="000973F2">
              <w:rPr>
                <w:rFonts w:ascii="Times New Roman" w:eastAsia="Times New Roman" w:hAnsi="Times New Roman" w:cs="Times New Roman"/>
                <w:b/>
                <w:sz w:val="18"/>
                <w:szCs w:val="18"/>
              </w:rPr>
              <w:t>$0</w:t>
            </w:r>
          </w:p>
        </w:tc>
        <w:tc>
          <w:tcPr>
            <w:tcW w:w="594" w:type="pct"/>
            <w:noWrap/>
            <w:hideMark/>
          </w:tcPr>
          <w:p w14:paraId="342633D5" w14:textId="77777777" w:rsidR="00AB6F50" w:rsidRPr="000973F2" w:rsidRDefault="00AB6F50" w:rsidP="00235736">
            <w:pPr>
              <w:tabs>
                <w:tab w:val="decimal" w:pos="631"/>
              </w:tabs>
              <w:spacing w:before="40" w:after="4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sz w:val="18"/>
                <w:szCs w:val="18"/>
              </w:rPr>
            </w:pPr>
            <w:r w:rsidRPr="000973F2">
              <w:rPr>
                <w:rFonts w:ascii="Times New Roman" w:eastAsia="Times New Roman" w:hAnsi="Times New Roman" w:cs="Times New Roman"/>
                <w:b/>
                <w:sz w:val="18"/>
                <w:szCs w:val="18"/>
              </w:rPr>
              <w:t>$6,415</w:t>
            </w:r>
          </w:p>
        </w:tc>
      </w:tr>
    </w:tbl>
    <w:p w14:paraId="3690213B" w14:textId="77777777" w:rsidR="007649D9" w:rsidRPr="000973F2" w:rsidRDefault="007649D9" w:rsidP="00C00E4F">
      <w:pPr>
        <w:spacing w:line="240" w:lineRule="auto"/>
        <w:rPr>
          <w:rFonts w:ascii="Times New Roman" w:hAnsi="Times New Roman" w:cs="Times New Roman"/>
          <w:b/>
          <w:i/>
          <w:szCs w:val="20"/>
        </w:rPr>
      </w:pPr>
      <w:r w:rsidRPr="000973F2">
        <w:rPr>
          <w:rFonts w:ascii="Times New Roman" w:hAnsi="Times New Roman" w:cs="Times New Roman"/>
          <w:b/>
          <w:i/>
          <w:szCs w:val="20"/>
        </w:rPr>
        <w:br w:type="page"/>
      </w:r>
    </w:p>
    <w:p w14:paraId="4EC39D80" w14:textId="18983ADB" w:rsidR="00AB6F50" w:rsidRPr="000973F2" w:rsidRDefault="00AB6F50" w:rsidP="0061585D">
      <w:pPr>
        <w:pStyle w:val="Heading2"/>
      </w:pPr>
      <w:r w:rsidRPr="000973F2">
        <w:t xml:space="preserve">Labor Costs for Subpart W </w:t>
      </w:r>
      <w:r w:rsidR="00817917" w:rsidRPr="000973F2">
        <w:t>–</w:t>
      </w:r>
      <w:r w:rsidRPr="000973F2">
        <w:t xml:space="preserve"> Onshore Petroleum and Natural Gas Gathering and Boosting</w:t>
      </w:r>
    </w:p>
    <w:p w14:paraId="417E286B" w14:textId="37C9421E" w:rsidR="00AB6F50" w:rsidRPr="000973F2" w:rsidRDefault="00AB6F50" w:rsidP="00817917">
      <w:pPr>
        <w:pStyle w:val="BodyText"/>
      </w:pPr>
      <w:r w:rsidRPr="000973F2">
        <w:t xml:space="preserve">Table </w:t>
      </w:r>
      <w:r w:rsidR="00817917" w:rsidRPr="000973F2">
        <w:t>W-</w:t>
      </w:r>
      <w:r w:rsidRPr="000973F2">
        <w:t>1i below includes the labor hours for each of the 321 existing reporters in the Onshore Petroleum and Natural Gas Gathering and Boosting industry segment to comply with Subpart W according to §98.232(j). Typical activities related to planning, QA/QC, recordkeeping and reporting, and sampling and analysis (which includes emission calculations) are discussed in the Cost Appendix Introduction. Calculations required for this industry segment are detailed in §98.233, based on the emission sources listed in §98.232(j).</w:t>
      </w:r>
    </w:p>
    <w:p w14:paraId="243DCB82" w14:textId="37F4C96C" w:rsidR="00AB6F50" w:rsidRPr="000973F2" w:rsidRDefault="00AB6F50" w:rsidP="0061585D">
      <w:pPr>
        <w:pStyle w:val="Heading2"/>
      </w:pPr>
      <w:r w:rsidRPr="000973F2">
        <w:t xml:space="preserve">Capital and O&amp;M Costs for Subpart W </w:t>
      </w:r>
      <w:r w:rsidR="00817917" w:rsidRPr="000973F2">
        <w:t>–</w:t>
      </w:r>
      <w:r w:rsidRPr="000973F2">
        <w:t xml:space="preserve"> Onshore Petroleum and Natural Gas Gathering and Boosting</w:t>
      </w:r>
    </w:p>
    <w:p w14:paraId="71B508C0" w14:textId="259AFEF2" w:rsidR="00AB6F50" w:rsidRPr="000973F2" w:rsidRDefault="00AB6F50" w:rsidP="00817917">
      <w:pPr>
        <w:pStyle w:val="BodyText"/>
      </w:pPr>
      <w:r w:rsidRPr="000973F2">
        <w:t xml:space="preserve">Table </w:t>
      </w:r>
      <w:r w:rsidR="00817917" w:rsidRPr="000973F2">
        <w:t>W-</w:t>
      </w:r>
      <w:r w:rsidRPr="000973F2">
        <w:t>2i below includes the capital and O&amp;M costs for each of the 321 reporters in the Onshore Petroleum and Natural Gas Gathering and Boosting industry segment to comply with Subpart W. Typical costs related to performance testing, recordkeeping, travel, and sampling are discussed in the Cost Appendix Introduction.</w:t>
      </w:r>
    </w:p>
    <w:p w14:paraId="59959871" w14:textId="4324FC5B" w:rsidR="00AB6F50" w:rsidRPr="000973F2" w:rsidRDefault="00AB6F50" w:rsidP="00817917">
      <w:pPr>
        <w:pStyle w:val="BodyText"/>
      </w:pPr>
      <w:r w:rsidRPr="000973F2">
        <w:t>Equipment costs for this industry segment are related to the purchase of simulation software needed to model emissions from acid gas removal units and storage tanks. Due to the low cost of this software license (</w:t>
      </w:r>
      <w:r w:rsidR="00D7792B" w:rsidRPr="000973F2">
        <w:t xml:space="preserve">less than </w:t>
      </w:r>
      <w:r w:rsidRPr="000973F2">
        <w:t>$200 per year), the costs were classified as O&amp;M costs rather than capital costs; reporters are not expected to classify such a small annual cost as a capital expenditure, which would also accrue interest payments over time.</w:t>
      </w:r>
    </w:p>
    <w:p w14:paraId="0EF865CF" w14:textId="0454FF16" w:rsidR="00AB6F50" w:rsidRPr="000973F2" w:rsidRDefault="00AB6F50" w:rsidP="00817917">
      <w:pPr>
        <w:pStyle w:val="Tabletitle"/>
      </w:pPr>
      <w:r w:rsidRPr="000973F2">
        <w:t xml:space="preserve">Table </w:t>
      </w:r>
      <w:r w:rsidR="00817917" w:rsidRPr="000973F2">
        <w:t>W-</w:t>
      </w:r>
      <w:r w:rsidRPr="000973F2">
        <w:t xml:space="preserve">1i. </w:t>
      </w:r>
      <w:r w:rsidR="001F4582" w:rsidRPr="000973F2">
        <w:t>Labor Costs</w:t>
      </w:r>
      <w:r w:rsidR="00817917" w:rsidRPr="000973F2">
        <w:t xml:space="preserve"> </w:t>
      </w:r>
      <w:r w:rsidR="00B960CC" w:rsidRPr="000973F2">
        <w:t>–</w:t>
      </w:r>
      <w:r w:rsidR="001F4582" w:rsidRPr="000973F2">
        <w:t xml:space="preserve"> </w:t>
      </w:r>
      <w:r w:rsidRPr="000973F2">
        <w:t>Subpart W – Onshore Petroleum and Natural Gas Gathering and Boosting</w:t>
      </w:r>
    </w:p>
    <w:tbl>
      <w:tblPr>
        <w:tblStyle w:val="PlainTable1"/>
        <w:tblW w:w="5000" w:type="pct"/>
        <w:jc w:val="left"/>
        <w:tblLayout w:type="fixed"/>
        <w:tblCellMar>
          <w:left w:w="115" w:type="dxa"/>
          <w:right w:w="115" w:type="dxa"/>
        </w:tblCellMar>
        <w:tblLook w:val="04A0" w:firstRow="1" w:lastRow="0" w:firstColumn="1" w:lastColumn="0" w:noHBand="0" w:noVBand="1"/>
      </w:tblPr>
      <w:tblGrid>
        <w:gridCol w:w="1279"/>
        <w:gridCol w:w="687"/>
        <w:gridCol w:w="688"/>
        <w:gridCol w:w="689"/>
        <w:gridCol w:w="689"/>
        <w:gridCol w:w="689"/>
        <w:gridCol w:w="688"/>
        <w:gridCol w:w="689"/>
        <w:gridCol w:w="689"/>
        <w:gridCol w:w="689"/>
        <w:gridCol w:w="689"/>
        <w:gridCol w:w="608"/>
        <w:gridCol w:w="817"/>
      </w:tblGrid>
      <w:tr w:rsidR="00AB6F50" w:rsidRPr="000973F2" w14:paraId="52A35551" w14:textId="77777777" w:rsidTr="00B6531F">
        <w:trPr>
          <w:cnfStyle w:val="100000000000" w:firstRow="1" w:lastRow="0" w:firstColumn="0" w:lastColumn="0" w:oddVBand="0" w:evenVBand="0" w:oddHBand="0" w:evenHBand="0" w:firstRowFirstColumn="0" w:firstRowLastColumn="0" w:lastRowFirstColumn="0" w:lastRowLastColumn="0"/>
          <w:cantSplit/>
          <w:jc w:val="left"/>
        </w:trPr>
        <w:tc>
          <w:tcPr>
            <w:cnfStyle w:val="001000000000" w:firstRow="0" w:lastRow="0" w:firstColumn="1" w:lastColumn="0" w:oddVBand="0" w:evenVBand="0" w:oddHBand="0" w:evenHBand="0" w:firstRowFirstColumn="0" w:firstRowLastColumn="0" w:lastRowFirstColumn="0" w:lastRowLastColumn="0"/>
            <w:tcW w:w="1245" w:type="dxa"/>
            <w:vMerge w:val="restart"/>
            <w:noWrap/>
            <w:vAlign w:val="top"/>
            <w:hideMark/>
          </w:tcPr>
          <w:p w14:paraId="6A66792F" w14:textId="77777777" w:rsidR="00AB6F50" w:rsidRPr="000973F2" w:rsidRDefault="00AB6F50" w:rsidP="00116471">
            <w:pPr>
              <w:spacing w:before="40" w:after="40"/>
              <w:rPr>
                <w:rFonts w:ascii="Times New Roman" w:eastAsia="Times New Roman" w:hAnsi="Times New Roman" w:cs="Times New Roman"/>
                <w:b w:val="0"/>
                <w:bCs w:val="0"/>
                <w:sz w:val="18"/>
                <w:szCs w:val="18"/>
              </w:rPr>
            </w:pPr>
            <w:r w:rsidRPr="000973F2">
              <w:rPr>
                <w:rFonts w:ascii="Times New Roman" w:eastAsia="Times New Roman" w:hAnsi="Times New Roman" w:cs="Times New Roman"/>
                <w:sz w:val="18"/>
                <w:szCs w:val="18"/>
              </w:rPr>
              <w:t>Activity</w:t>
            </w:r>
          </w:p>
        </w:tc>
        <w:tc>
          <w:tcPr>
            <w:tcW w:w="6698" w:type="dxa"/>
            <w:gridSpan w:val="10"/>
            <w:noWrap/>
            <w:vAlign w:val="top"/>
            <w:hideMark/>
          </w:tcPr>
          <w:p w14:paraId="7843E8BF" w14:textId="77777777" w:rsidR="00AB6F50" w:rsidRPr="000973F2" w:rsidRDefault="00AB6F50" w:rsidP="00116471">
            <w:pPr>
              <w:spacing w:before="40" w:after="40"/>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bCs w:val="0"/>
                <w:sz w:val="18"/>
                <w:szCs w:val="18"/>
              </w:rPr>
            </w:pPr>
            <w:r w:rsidRPr="000973F2">
              <w:rPr>
                <w:rFonts w:ascii="Times New Roman" w:eastAsia="Times New Roman" w:hAnsi="Times New Roman" w:cs="Times New Roman"/>
                <w:sz w:val="18"/>
                <w:szCs w:val="18"/>
              </w:rPr>
              <w:t>Labor Rates (per hour)</w:t>
            </w:r>
          </w:p>
        </w:tc>
        <w:tc>
          <w:tcPr>
            <w:tcW w:w="1387" w:type="dxa"/>
            <w:gridSpan w:val="2"/>
            <w:vMerge w:val="restart"/>
            <w:vAlign w:val="top"/>
            <w:hideMark/>
          </w:tcPr>
          <w:p w14:paraId="4D084DF4" w14:textId="4109E77B" w:rsidR="00AB6F50" w:rsidRPr="000973F2" w:rsidRDefault="00AB6F50" w:rsidP="00116471">
            <w:pPr>
              <w:spacing w:before="40" w:after="40"/>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bCs w:val="0"/>
                <w:sz w:val="18"/>
                <w:szCs w:val="18"/>
              </w:rPr>
            </w:pPr>
            <w:r w:rsidRPr="000973F2">
              <w:rPr>
                <w:rFonts w:ascii="Times New Roman" w:eastAsia="Times New Roman" w:hAnsi="Times New Roman" w:cs="Times New Roman"/>
                <w:sz w:val="18"/>
                <w:szCs w:val="18"/>
              </w:rPr>
              <w:t>Total Labor Cost per Year per Reporter</w:t>
            </w:r>
            <w:r w:rsidR="00116471" w:rsidRPr="000973F2">
              <w:rPr>
                <w:rFonts w:ascii="Times New Roman" w:eastAsia="Times New Roman" w:hAnsi="Times New Roman" w:cs="Times New Roman"/>
                <w:sz w:val="18"/>
                <w:szCs w:val="18"/>
              </w:rPr>
              <w:t xml:space="preserve"> </w:t>
            </w:r>
            <w:r w:rsidRPr="000973F2">
              <w:rPr>
                <w:rFonts w:ascii="Times New Roman" w:eastAsia="Times New Roman" w:hAnsi="Times New Roman" w:cs="Times New Roman"/>
                <w:sz w:val="18"/>
                <w:szCs w:val="18"/>
              </w:rPr>
              <w:t>(2017$)</w:t>
            </w:r>
          </w:p>
        </w:tc>
      </w:tr>
      <w:tr w:rsidR="00AB6F50" w:rsidRPr="000973F2" w14:paraId="47821565" w14:textId="77777777" w:rsidTr="00B6531F">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1245" w:type="dxa"/>
            <w:vMerge/>
            <w:hideMark/>
          </w:tcPr>
          <w:p w14:paraId="5F0CEFCC" w14:textId="77777777" w:rsidR="00AB6F50" w:rsidRPr="000973F2" w:rsidRDefault="00AB6F50" w:rsidP="00116471">
            <w:pPr>
              <w:spacing w:before="40" w:after="40"/>
              <w:rPr>
                <w:rFonts w:ascii="Times New Roman" w:eastAsia="Times New Roman" w:hAnsi="Times New Roman" w:cs="Times New Roman"/>
                <w:b/>
                <w:bCs w:val="0"/>
                <w:sz w:val="18"/>
                <w:szCs w:val="18"/>
              </w:rPr>
            </w:pPr>
          </w:p>
        </w:tc>
        <w:tc>
          <w:tcPr>
            <w:tcW w:w="1339" w:type="dxa"/>
            <w:gridSpan w:val="2"/>
            <w:noWrap/>
            <w:hideMark/>
          </w:tcPr>
          <w:p w14:paraId="0E584A1E" w14:textId="77777777" w:rsidR="00AB6F50" w:rsidRPr="000973F2" w:rsidRDefault="00AB6F50" w:rsidP="00116471">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18"/>
                <w:szCs w:val="18"/>
              </w:rPr>
            </w:pPr>
            <w:r w:rsidRPr="000973F2">
              <w:rPr>
                <w:rFonts w:ascii="Times New Roman" w:eastAsia="Times New Roman" w:hAnsi="Times New Roman" w:cs="Times New Roman"/>
                <w:b/>
                <w:bCs/>
                <w:sz w:val="18"/>
                <w:szCs w:val="18"/>
              </w:rPr>
              <w:t>Lawyer</w:t>
            </w:r>
          </w:p>
        </w:tc>
        <w:tc>
          <w:tcPr>
            <w:tcW w:w="1340" w:type="dxa"/>
            <w:gridSpan w:val="2"/>
            <w:noWrap/>
            <w:hideMark/>
          </w:tcPr>
          <w:p w14:paraId="6C200EAD" w14:textId="77777777" w:rsidR="00AB6F50" w:rsidRPr="000973F2" w:rsidRDefault="00AB6F50" w:rsidP="00116471">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18"/>
                <w:szCs w:val="18"/>
              </w:rPr>
            </w:pPr>
            <w:r w:rsidRPr="000973F2">
              <w:rPr>
                <w:rFonts w:ascii="Times New Roman" w:eastAsia="Times New Roman" w:hAnsi="Times New Roman" w:cs="Times New Roman"/>
                <w:b/>
                <w:bCs/>
                <w:sz w:val="18"/>
                <w:szCs w:val="18"/>
              </w:rPr>
              <w:t>Senior Manager</w:t>
            </w:r>
          </w:p>
        </w:tc>
        <w:tc>
          <w:tcPr>
            <w:tcW w:w="1339" w:type="dxa"/>
            <w:gridSpan w:val="2"/>
            <w:noWrap/>
            <w:hideMark/>
          </w:tcPr>
          <w:p w14:paraId="24E00261" w14:textId="77777777" w:rsidR="00AB6F50" w:rsidRPr="000973F2" w:rsidRDefault="00AB6F50" w:rsidP="00116471">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18"/>
                <w:szCs w:val="18"/>
              </w:rPr>
            </w:pPr>
            <w:r w:rsidRPr="000973F2">
              <w:rPr>
                <w:rFonts w:ascii="Times New Roman" w:eastAsia="Times New Roman" w:hAnsi="Times New Roman" w:cs="Times New Roman"/>
                <w:b/>
                <w:bCs/>
                <w:sz w:val="18"/>
                <w:szCs w:val="18"/>
              </w:rPr>
              <w:t>Middle Manager</w:t>
            </w:r>
          </w:p>
        </w:tc>
        <w:tc>
          <w:tcPr>
            <w:tcW w:w="1340" w:type="dxa"/>
            <w:gridSpan w:val="2"/>
            <w:hideMark/>
          </w:tcPr>
          <w:p w14:paraId="40C7FCB5" w14:textId="77777777" w:rsidR="00AB6F50" w:rsidRPr="000973F2" w:rsidRDefault="00AB6F50" w:rsidP="00116471">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18"/>
                <w:szCs w:val="18"/>
              </w:rPr>
            </w:pPr>
            <w:r w:rsidRPr="000973F2">
              <w:rPr>
                <w:rFonts w:ascii="Times New Roman" w:eastAsia="Times New Roman" w:hAnsi="Times New Roman" w:cs="Times New Roman"/>
                <w:b/>
                <w:bCs/>
                <w:sz w:val="18"/>
                <w:szCs w:val="18"/>
              </w:rPr>
              <w:t>Engineer</w:t>
            </w:r>
          </w:p>
        </w:tc>
        <w:tc>
          <w:tcPr>
            <w:tcW w:w="1340" w:type="dxa"/>
            <w:gridSpan w:val="2"/>
            <w:hideMark/>
          </w:tcPr>
          <w:p w14:paraId="533691CE" w14:textId="77777777" w:rsidR="00AB6F50" w:rsidRPr="000973F2" w:rsidRDefault="00AB6F50" w:rsidP="00116471">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18"/>
                <w:szCs w:val="18"/>
              </w:rPr>
            </w:pPr>
            <w:r w:rsidRPr="000973F2">
              <w:rPr>
                <w:rFonts w:ascii="Times New Roman" w:eastAsia="Times New Roman" w:hAnsi="Times New Roman" w:cs="Times New Roman"/>
                <w:b/>
                <w:bCs/>
                <w:sz w:val="18"/>
                <w:szCs w:val="18"/>
              </w:rPr>
              <w:t>Technician</w:t>
            </w:r>
          </w:p>
        </w:tc>
        <w:tc>
          <w:tcPr>
            <w:tcW w:w="1387" w:type="dxa"/>
            <w:gridSpan w:val="2"/>
            <w:vMerge/>
            <w:hideMark/>
          </w:tcPr>
          <w:p w14:paraId="6F8474CF" w14:textId="77777777" w:rsidR="00AB6F50" w:rsidRPr="000973F2" w:rsidRDefault="00AB6F50" w:rsidP="00116471">
            <w:pPr>
              <w:spacing w:before="40" w:after="4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18"/>
                <w:szCs w:val="18"/>
              </w:rPr>
            </w:pPr>
          </w:p>
        </w:tc>
      </w:tr>
      <w:tr w:rsidR="00AB6F50" w:rsidRPr="000973F2" w14:paraId="26F77B84" w14:textId="77777777" w:rsidTr="00B6531F">
        <w:trPr>
          <w:cantSplit/>
        </w:trPr>
        <w:tc>
          <w:tcPr>
            <w:cnfStyle w:val="001000000000" w:firstRow="0" w:lastRow="0" w:firstColumn="1" w:lastColumn="0" w:oddVBand="0" w:evenVBand="0" w:oddHBand="0" w:evenHBand="0" w:firstRowFirstColumn="0" w:firstRowLastColumn="0" w:lastRowFirstColumn="0" w:lastRowLastColumn="0"/>
            <w:tcW w:w="1245" w:type="dxa"/>
            <w:vMerge/>
            <w:hideMark/>
          </w:tcPr>
          <w:p w14:paraId="647BA89E" w14:textId="77777777" w:rsidR="00AB6F50" w:rsidRPr="000973F2" w:rsidRDefault="00AB6F50" w:rsidP="00116471">
            <w:pPr>
              <w:spacing w:before="40" w:after="40"/>
              <w:rPr>
                <w:rFonts w:ascii="Times New Roman" w:eastAsia="Times New Roman" w:hAnsi="Times New Roman" w:cs="Times New Roman"/>
                <w:b/>
                <w:bCs w:val="0"/>
                <w:sz w:val="18"/>
                <w:szCs w:val="18"/>
              </w:rPr>
            </w:pPr>
          </w:p>
        </w:tc>
        <w:tc>
          <w:tcPr>
            <w:tcW w:w="1339" w:type="dxa"/>
            <w:gridSpan w:val="2"/>
            <w:noWrap/>
            <w:hideMark/>
          </w:tcPr>
          <w:p w14:paraId="7700A8EF" w14:textId="3DE1A120" w:rsidR="00AB6F50" w:rsidRPr="000973F2" w:rsidRDefault="00AB6F50" w:rsidP="00116471">
            <w:pPr>
              <w:spacing w:before="40" w:after="4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sz w:val="18"/>
                <w:szCs w:val="18"/>
              </w:rPr>
            </w:pPr>
            <w:r w:rsidRPr="000973F2">
              <w:rPr>
                <w:rFonts w:ascii="Times New Roman" w:eastAsia="Times New Roman" w:hAnsi="Times New Roman" w:cs="Times New Roman"/>
                <w:b/>
                <w:bCs/>
                <w:sz w:val="18"/>
                <w:szCs w:val="18"/>
              </w:rPr>
              <w:t>$112.23</w:t>
            </w:r>
          </w:p>
        </w:tc>
        <w:tc>
          <w:tcPr>
            <w:tcW w:w="1340" w:type="dxa"/>
            <w:gridSpan w:val="2"/>
            <w:hideMark/>
          </w:tcPr>
          <w:p w14:paraId="6F5DDC78" w14:textId="13EF149B" w:rsidR="00AB6F50" w:rsidRPr="000973F2" w:rsidRDefault="00AB6F50" w:rsidP="00116471">
            <w:pPr>
              <w:spacing w:before="40" w:after="4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sz w:val="18"/>
                <w:szCs w:val="18"/>
              </w:rPr>
            </w:pPr>
            <w:r w:rsidRPr="000973F2">
              <w:rPr>
                <w:rFonts w:ascii="Times New Roman" w:eastAsia="Times New Roman" w:hAnsi="Times New Roman" w:cs="Times New Roman"/>
                <w:b/>
                <w:bCs/>
                <w:sz w:val="18"/>
                <w:szCs w:val="18"/>
              </w:rPr>
              <w:t>$141.54</w:t>
            </w:r>
          </w:p>
        </w:tc>
        <w:tc>
          <w:tcPr>
            <w:tcW w:w="1339" w:type="dxa"/>
            <w:gridSpan w:val="2"/>
            <w:noWrap/>
            <w:hideMark/>
          </w:tcPr>
          <w:p w14:paraId="7EDFED56" w14:textId="55F638D4" w:rsidR="00AB6F50" w:rsidRPr="000973F2" w:rsidRDefault="00AB6F50" w:rsidP="00116471">
            <w:pPr>
              <w:spacing w:before="40" w:after="4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sz w:val="18"/>
                <w:szCs w:val="18"/>
              </w:rPr>
            </w:pPr>
            <w:r w:rsidRPr="000973F2">
              <w:rPr>
                <w:rFonts w:ascii="Times New Roman" w:eastAsia="Times New Roman" w:hAnsi="Times New Roman" w:cs="Times New Roman"/>
                <w:b/>
                <w:bCs/>
                <w:sz w:val="18"/>
                <w:szCs w:val="18"/>
              </w:rPr>
              <w:t>$105.68</w:t>
            </w:r>
          </w:p>
        </w:tc>
        <w:tc>
          <w:tcPr>
            <w:tcW w:w="1340" w:type="dxa"/>
            <w:gridSpan w:val="2"/>
            <w:hideMark/>
          </w:tcPr>
          <w:p w14:paraId="6FA10549" w14:textId="61EEF188" w:rsidR="00AB6F50" w:rsidRPr="000973F2" w:rsidRDefault="00AB6F50" w:rsidP="00116471">
            <w:pPr>
              <w:spacing w:before="40" w:after="4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sz w:val="18"/>
                <w:szCs w:val="18"/>
              </w:rPr>
            </w:pPr>
            <w:r w:rsidRPr="000973F2">
              <w:rPr>
                <w:rFonts w:ascii="Times New Roman" w:eastAsia="Times New Roman" w:hAnsi="Times New Roman" w:cs="Times New Roman"/>
                <w:b/>
                <w:bCs/>
                <w:sz w:val="18"/>
                <w:szCs w:val="18"/>
              </w:rPr>
              <w:t>$91.06</w:t>
            </w:r>
          </w:p>
        </w:tc>
        <w:tc>
          <w:tcPr>
            <w:tcW w:w="1340" w:type="dxa"/>
            <w:gridSpan w:val="2"/>
            <w:noWrap/>
            <w:hideMark/>
          </w:tcPr>
          <w:p w14:paraId="0F54A3E7" w14:textId="26B4EA6A" w:rsidR="00AB6F50" w:rsidRPr="000973F2" w:rsidRDefault="00AB6F50" w:rsidP="00116471">
            <w:pPr>
              <w:spacing w:before="40" w:after="4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sz w:val="18"/>
                <w:szCs w:val="18"/>
              </w:rPr>
            </w:pPr>
            <w:r w:rsidRPr="000973F2">
              <w:rPr>
                <w:rFonts w:ascii="Times New Roman" w:eastAsia="Times New Roman" w:hAnsi="Times New Roman" w:cs="Times New Roman"/>
                <w:b/>
                <w:bCs/>
                <w:sz w:val="18"/>
                <w:szCs w:val="18"/>
              </w:rPr>
              <w:t>$60.72</w:t>
            </w:r>
          </w:p>
        </w:tc>
        <w:tc>
          <w:tcPr>
            <w:tcW w:w="1387" w:type="dxa"/>
            <w:gridSpan w:val="2"/>
            <w:vMerge/>
            <w:hideMark/>
          </w:tcPr>
          <w:p w14:paraId="3D209B6D" w14:textId="77777777" w:rsidR="00AB6F50" w:rsidRPr="000973F2" w:rsidRDefault="00AB6F50" w:rsidP="00116471">
            <w:pPr>
              <w:spacing w:before="40" w:after="4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sz w:val="18"/>
                <w:szCs w:val="18"/>
              </w:rPr>
            </w:pPr>
          </w:p>
        </w:tc>
      </w:tr>
      <w:tr w:rsidR="00817917" w:rsidRPr="000973F2" w14:paraId="0FF6CBEC" w14:textId="77777777" w:rsidTr="00116471">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1245" w:type="dxa"/>
            <w:vMerge/>
            <w:hideMark/>
          </w:tcPr>
          <w:p w14:paraId="7F4A4566" w14:textId="77777777" w:rsidR="00AB6F50" w:rsidRPr="000973F2" w:rsidRDefault="00AB6F50" w:rsidP="00116471">
            <w:pPr>
              <w:spacing w:before="40" w:after="40"/>
              <w:rPr>
                <w:rFonts w:ascii="Times New Roman" w:eastAsia="Times New Roman" w:hAnsi="Times New Roman" w:cs="Times New Roman"/>
                <w:b/>
                <w:bCs w:val="0"/>
                <w:sz w:val="18"/>
                <w:szCs w:val="18"/>
              </w:rPr>
            </w:pPr>
          </w:p>
        </w:tc>
        <w:tc>
          <w:tcPr>
            <w:tcW w:w="669" w:type="dxa"/>
            <w:tcMar>
              <w:left w:w="14" w:type="dxa"/>
              <w:right w:w="14" w:type="dxa"/>
            </w:tcMar>
            <w:hideMark/>
          </w:tcPr>
          <w:p w14:paraId="5F556113" w14:textId="77777777" w:rsidR="00AB6F50" w:rsidRPr="000973F2" w:rsidRDefault="00AB6F50" w:rsidP="00116471">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18"/>
                <w:szCs w:val="18"/>
              </w:rPr>
            </w:pPr>
            <w:r w:rsidRPr="000973F2">
              <w:rPr>
                <w:rFonts w:ascii="Times New Roman" w:eastAsia="Times New Roman" w:hAnsi="Times New Roman" w:cs="Times New Roman"/>
                <w:b/>
                <w:bCs/>
                <w:sz w:val="18"/>
                <w:szCs w:val="18"/>
              </w:rPr>
              <w:t>Initial Year Hours</w:t>
            </w:r>
          </w:p>
        </w:tc>
        <w:tc>
          <w:tcPr>
            <w:tcW w:w="670" w:type="dxa"/>
            <w:tcMar>
              <w:left w:w="14" w:type="dxa"/>
              <w:right w:w="14" w:type="dxa"/>
            </w:tcMar>
            <w:hideMark/>
          </w:tcPr>
          <w:p w14:paraId="6979FC07" w14:textId="77777777" w:rsidR="00AB6F50" w:rsidRPr="000973F2" w:rsidRDefault="00AB6F50" w:rsidP="00116471">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18"/>
                <w:szCs w:val="18"/>
              </w:rPr>
            </w:pPr>
            <w:r w:rsidRPr="000973F2">
              <w:rPr>
                <w:rFonts w:ascii="Times New Roman" w:eastAsia="Times New Roman" w:hAnsi="Times New Roman" w:cs="Times New Roman"/>
                <w:b/>
                <w:bCs/>
                <w:sz w:val="18"/>
                <w:szCs w:val="18"/>
              </w:rPr>
              <w:t>Subseq. Year Hours</w:t>
            </w:r>
          </w:p>
        </w:tc>
        <w:tc>
          <w:tcPr>
            <w:tcW w:w="670" w:type="dxa"/>
            <w:tcMar>
              <w:left w:w="14" w:type="dxa"/>
              <w:right w:w="14" w:type="dxa"/>
            </w:tcMar>
            <w:hideMark/>
          </w:tcPr>
          <w:p w14:paraId="07C6887D" w14:textId="77777777" w:rsidR="00AB6F50" w:rsidRPr="000973F2" w:rsidRDefault="00AB6F50" w:rsidP="00116471">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18"/>
                <w:szCs w:val="18"/>
              </w:rPr>
            </w:pPr>
            <w:r w:rsidRPr="000973F2">
              <w:rPr>
                <w:rFonts w:ascii="Times New Roman" w:eastAsia="Times New Roman" w:hAnsi="Times New Roman" w:cs="Times New Roman"/>
                <w:b/>
                <w:bCs/>
                <w:sz w:val="18"/>
                <w:szCs w:val="18"/>
              </w:rPr>
              <w:t>Initial Year Hours</w:t>
            </w:r>
          </w:p>
        </w:tc>
        <w:tc>
          <w:tcPr>
            <w:tcW w:w="670" w:type="dxa"/>
            <w:tcMar>
              <w:left w:w="14" w:type="dxa"/>
              <w:right w:w="14" w:type="dxa"/>
            </w:tcMar>
            <w:hideMark/>
          </w:tcPr>
          <w:p w14:paraId="666EE51F" w14:textId="77777777" w:rsidR="00AB6F50" w:rsidRPr="000973F2" w:rsidRDefault="00AB6F50" w:rsidP="00116471">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18"/>
                <w:szCs w:val="18"/>
              </w:rPr>
            </w:pPr>
            <w:r w:rsidRPr="000973F2">
              <w:rPr>
                <w:rFonts w:ascii="Times New Roman" w:eastAsia="Times New Roman" w:hAnsi="Times New Roman" w:cs="Times New Roman"/>
                <w:b/>
                <w:bCs/>
                <w:sz w:val="18"/>
                <w:szCs w:val="18"/>
              </w:rPr>
              <w:t>Subseq. Year Hours</w:t>
            </w:r>
          </w:p>
        </w:tc>
        <w:tc>
          <w:tcPr>
            <w:tcW w:w="670" w:type="dxa"/>
            <w:tcMar>
              <w:left w:w="14" w:type="dxa"/>
              <w:right w:w="14" w:type="dxa"/>
            </w:tcMar>
            <w:hideMark/>
          </w:tcPr>
          <w:p w14:paraId="4758BB91" w14:textId="77777777" w:rsidR="00AB6F50" w:rsidRPr="000973F2" w:rsidRDefault="00AB6F50" w:rsidP="00116471">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18"/>
                <w:szCs w:val="18"/>
              </w:rPr>
            </w:pPr>
            <w:r w:rsidRPr="000973F2">
              <w:rPr>
                <w:rFonts w:ascii="Times New Roman" w:eastAsia="Times New Roman" w:hAnsi="Times New Roman" w:cs="Times New Roman"/>
                <w:b/>
                <w:bCs/>
                <w:sz w:val="18"/>
                <w:szCs w:val="18"/>
              </w:rPr>
              <w:t>Initial Year Hours</w:t>
            </w:r>
          </w:p>
        </w:tc>
        <w:tc>
          <w:tcPr>
            <w:tcW w:w="669" w:type="dxa"/>
            <w:tcMar>
              <w:left w:w="14" w:type="dxa"/>
              <w:right w:w="14" w:type="dxa"/>
            </w:tcMar>
            <w:hideMark/>
          </w:tcPr>
          <w:p w14:paraId="32207355" w14:textId="77777777" w:rsidR="00AB6F50" w:rsidRPr="000973F2" w:rsidRDefault="00AB6F50" w:rsidP="00116471">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18"/>
                <w:szCs w:val="18"/>
              </w:rPr>
            </w:pPr>
            <w:r w:rsidRPr="000973F2">
              <w:rPr>
                <w:rFonts w:ascii="Times New Roman" w:eastAsia="Times New Roman" w:hAnsi="Times New Roman" w:cs="Times New Roman"/>
                <w:b/>
                <w:bCs/>
                <w:sz w:val="18"/>
                <w:szCs w:val="18"/>
              </w:rPr>
              <w:t>Subseq. Year Hours</w:t>
            </w:r>
          </w:p>
        </w:tc>
        <w:tc>
          <w:tcPr>
            <w:tcW w:w="670" w:type="dxa"/>
            <w:tcMar>
              <w:left w:w="14" w:type="dxa"/>
              <w:right w:w="14" w:type="dxa"/>
            </w:tcMar>
            <w:hideMark/>
          </w:tcPr>
          <w:p w14:paraId="21F54C90" w14:textId="77777777" w:rsidR="00AB6F50" w:rsidRPr="000973F2" w:rsidRDefault="00AB6F50" w:rsidP="00116471">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18"/>
                <w:szCs w:val="18"/>
              </w:rPr>
            </w:pPr>
            <w:r w:rsidRPr="000973F2">
              <w:rPr>
                <w:rFonts w:ascii="Times New Roman" w:eastAsia="Times New Roman" w:hAnsi="Times New Roman" w:cs="Times New Roman"/>
                <w:b/>
                <w:bCs/>
                <w:sz w:val="18"/>
                <w:szCs w:val="18"/>
              </w:rPr>
              <w:t>Initial Year Hours</w:t>
            </w:r>
          </w:p>
        </w:tc>
        <w:tc>
          <w:tcPr>
            <w:tcW w:w="670" w:type="dxa"/>
            <w:tcMar>
              <w:left w:w="14" w:type="dxa"/>
              <w:right w:w="14" w:type="dxa"/>
            </w:tcMar>
            <w:hideMark/>
          </w:tcPr>
          <w:p w14:paraId="5A86EB21" w14:textId="77777777" w:rsidR="00AB6F50" w:rsidRPr="000973F2" w:rsidRDefault="00AB6F50" w:rsidP="00116471">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18"/>
                <w:szCs w:val="18"/>
              </w:rPr>
            </w:pPr>
            <w:r w:rsidRPr="000973F2">
              <w:rPr>
                <w:rFonts w:ascii="Times New Roman" w:eastAsia="Times New Roman" w:hAnsi="Times New Roman" w:cs="Times New Roman"/>
                <w:b/>
                <w:bCs/>
                <w:sz w:val="18"/>
                <w:szCs w:val="18"/>
              </w:rPr>
              <w:t>Subseq. Year Hours</w:t>
            </w:r>
          </w:p>
        </w:tc>
        <w:tc>
          <w:tcPr>
            <w:tcW w:w="670" w:type="dxa"/>
            <w:tcMar>
              <w:left w:w="14" w:type="dxa"/>
              <w:right w:w="14" w:type="dxa"/>
            </w:tcMar>
            <w:hideMark/>
          </w:tcPr>
          <w:p w14:paraId="04F74162" w14:textId="77777777" w:rsidR="00AB6F50" w:rsidRPr="000973F2" w:rsidRDefault="00AB6F50" w:rsidP="00116471">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18"/>
                <w:szCs w:val="18"/>
              </w:rPr>
            </w:pPr>
            <w:r w:rsidRPr="000973F2">
              <w:rPr>
                <w:rFonts w:ascii="Times New Roman" w:eastAsia="Times New Roman" w:hAnsi="Times New Roman" w:cs="Times New Roman"/>
                <w:b/>
                <w:bCs/>
                <w:sz w:val="18"/>
                <w:szCs w:val="18"/>
              </w:rPr>
              <w:t>Initial Year Hours</w:t>
            </w:r>
          </w:p>
        </w:tc>
        <w:tc>
          <w:tcPr>
            <w:tcW w:w="670" w:type="dxa"/>
            <w:tcMar>
              <w:left w:w="14" w:type="dxa"/>
              <w:right w:w="14" w:type="dxa"/>
            </w:tcMar>
            <w:hideMark/>
          </w:tcPr>
          <w:p w14:paraId="1C9411C3" w14:textId="77777777" w:rsidR="00AB6F50" w:rsidRPr="000973F2" w:rsidRDefault="00AB6F50" w:rsidP="00116471">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18"/>
                <w:szCs w:val="18"/>
              </w:rPr>
            </w:pPr>
            <w:r w:rsidRPr="000973F2">
              <w:rPr>
                <w:rFonts w:ascii="Times New Roman" w:eastAsia="Times New Roman" w:hAnsi="Times New Roman" w:cs="Times New Roman"/>
                <w:b/>
                <w:bCs/>
                <w:sz w:val="18"/>
                <w:szCs w:val="18"/>
              </w:rPr>
              <w:t>Subseq. Year Hours</w:t>
            </w:r>
          </w:p>
        </w:tc>
        <w:tc>
          <w:tcPr>
            <w:tcW w:w="592" w:type="dxa"/>
            <w:tcMar>
              <w:left w:w="14" w:type="dxa"/>
              <w:right w:w="14" w:type="dxa"/>
            </w:tcMar>
            <w:hideMark/>
          </w:tcPr>
          <w:p w14:paraId="777A326A" w14:textId="77777777" w:rsidR="00AB6F50" w:rsidRPr="000973F2" w:rsidRDefault="00AB6F50" w:rsidP="00116471">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18"/>
                <w:szCs w:val="18"/>
              </w:rPr>
            </w:pPr>
            <w:r w:rsidRPr="000973F2">
              <w:rPr>
                <w:rFonts w:ascii="Times New Roman" w:eastAsia="Times New Roman" w:hAnsi="Times New Roman" w:cs="Times New Roman"/>
                <w:b/>
                <w:bCs/>
                <w:sz w:val="18"/>
                <w:szCs w:val="18"/>
              </w:rPr>
              <w:t>Initial Year</w:t>
            </w:r>
          </w:p>
        </w:tc>
        <w:tc>
          <w:tcPr>
            <w:tcW w:w="795" w:type="dxa"/>
            <w:tcMar>
              <w:left w:w="14" w:type="dxa"/>
              <w:right w:w="14" w:type="dxa"/>
            </w:tcMar>
            <w:hideMark/>
          </w:tcPr>
          <w:p w14:paraId="25ECFEC6" w14:textId="77777777" w:rsidR="00AB6F50" w:rsidRPr="000973F2" w:rsidRDefault="00AB6F50" w:rsidP="00116471">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18"/>
                <w:szCs w:val="18"/>
              </w:rPr>
            </w:pPr>
            <w:r w:rsidRPr="000973F2">
              <w:rPr>
                <w:rFonts w:ascii="Times New Roman" w:eastAsia="Times New Roman" w:hAnsi="Times New Roman" w:cs="Times New Roman"/>
                <w:b/>
                <w:bCs/>
                <w:sz w:val="18"/>
                <w:szCs w:val="18"/>
              </w:rPr>
              <w:t>Subseq. Year</w:t>
            </w:r>
          </w:p>
        </w:tc>
      </w:tr>
      <w:tr w:rsidR="00817917" w:rsidRPr="000973F2" w14:paraId="7A3D80DC" w14:textId="77777777" w:rsidTr="00817917">
        <w:trPr>
          <w:cantSplit/>
        </w:trPr>
        <w:tc>
          <w:tcPr>
            <w:cnfStyle w:val="001000000000" w:firstRow="0" w:lastRow="0" w:firstColumn="1" w:lastColumn="0" w:oddVBand="0" w:evenVBand="0" w:oddHBand="0" w:evenHBand="0" w:firstRowFirstColumn="0" w:firstRowLastColumn="0" w:lastRowFirstColumn="0" w:lastRowLastColumn="0"/>
            <w:tcW w:w="1245" w:type="dxa"/>
            <w:tcMar>
              <w:right w:w="14" w:type="dxa"/>
            </w:tcMar>
            <w:hideMark/>
          </w:tcPr>
          <w:p w14:paraId="09F9D5FC" w14:textId="77777777" w:rsidR="00AB6F50" w:rsidRPr="000973F2" w:rsidRDefault="00AB6F50" w:rsidP="00116471">
            <w:pPr>
              <w:spacing w:before="40" w:after="4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Planning</w:t>
            </w:r>
          </w:p>
        </w:tc>
        <w:tc>
          <w:tcPr>
            <w:tcW w:w="669" w:type="dxa"/>
            <w:noWrap/>
            <w:hideMark/>
          </w:tcPr>
          <w:p w14:paraId="5092CF55" w14:textId="77777777" w:rsidR="00AB6F50" w:rsidRPr="000973F2" w:rsidRDefault="00AB6F50" w:rsidP="00116471">
            <w:pPr>
              <w:spacing w:before="40" w:after="4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0.0</w:t>
            </w:r>
          </w:p>
        </w:tc>
        <w:tc>
          <w:tcPr>
            <w:tcW w:w="670" w:type="dxa"/>
            <w:noWrap/>
            <w:hideMark/>
          </w:tcPr>
          <w:p w14:paraId="2B28BEDB" w14:textId="77777777" w:rsidR="00AB6F50" w:rsidRPr="000973F2" w:rsidRDefault="00AB6F50" w:rsidP="00116471">
            <w:pPr>
              <w:spacing w:before="40" w:after="4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2.0</w:t>
            </w:r>
          </w:p>
        </w:tc>
        <w:tc>
          <w:tcPr>
            <w:tcW w:w="670" w:type="dxa"/>
            <w:noWrap/>
            <w:hideMark/>
          </w:tcPr>
          <w:p w14:paraId="552E9C44" w14:textId="77777777" w:rsidR="00AB6F50" w:rsidRPr="000973F2" w:rsidRDefault="00AB6F50" w:rsidP="00116471">
            <w:pPr>
              <w:spacing w:before="40" w:after="4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0.0</w:t>
            </w:r>
          </w:p>
        </w:tc>
        <w:tc>
          <w:tcPr>
            <w:tcW w:w="670" w:type="dxa"/>
            <w:noWrap/>
            <w:hideMark/>
          </w:tcPr>
          <w:p w14:paraId="782DCC31" w14:textId="77777777" w:rsidR="00AB6F50" w:rsidRPr="000973F2" w:rsidRDefault="00AB6F50" w:rsidP="00116471">
            <w:pPr>
              <w:spacing w:before="40" w:after="4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0.5</w:t>
            </w:r>
          </w:p>
        </w:tc>
        <w:tc>
          <w:tcPr>
            <w:tcW w:w="670" w:type="dxa"/>
            <w:noWrap/>
            <w:hideMark/>
          </w:tcPr>
          <w:p w14:paraId="0FFF7ECC" w14:textId="77777777" w:rsidR="00AB6F50" w:rsidRPr="000973F2" w:rsidRDefault="00AB6F50" w:rsidP="00116471">
            <w:pPr>
              <w:spacing w:before="40" w:after="4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0.0</w:t>
            </w:r>
          </w:p>
        </w:tc>
        <w:tc>
          <w:tcPr>
            <w:tcW w:w="669" w:type="dxa"/>
            <w:noWrap/>
            <w:hideMark/>
          </w:tcPr>
          <w:p w14:paraId="57B0097C" w14:textId="77777777" w:rsidR="00AB6F50" w:rsidRPr="000973F2" w:rsidRDefault="00AB6F50" w:rsidP="00116471">
            <w:pPr>
              <w:spacing w:before="40" w:after="4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1.0</w:t>
            </w:r>
          </w:p>
        </w:tc>
        <w:tc>
          <w:tcPr>
            <w:tcW w:w="670" w:type="dxa"/>
            <w:noWrap/>
            <w:hideMark/>
          </w:tcPr>
          <w:p w14:paraId="1768CECA" w14:textId="77777777" w:rsidR="00AB6F50" w:rsidRPr="000973F2" w:rsidRDefault="00AB6F50" w:rsidP="00116471">
            <w:pPr>
              <w:spacing w:before="40" w:after="4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0.0</w:t>
            </w:r>
          </w:p>
        </w:tc>
        <w:tc>
          <w:tcPr>
            <w:tcW w:w="670" w:type="dxa"/>
            <w:noWrap/>
            <w:hideMark/>
          </w:tcPr>
          <w:p w14:paraId="2AD1CEB6" w14:textId="77777777" w:rsidR="00AB6F50" w:rsidRPr="000973F2" w:rsidRDefault="00AB6F50" w:rsidP="00116471">
            <w:pPr>
              <w:tabs>
                <w:tab w:val="decimal" w:pos="151"/>
              </w:tabs>
              <w:spacing w:before="40" w:after="4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10.0</w:t>
            </w:r>
          </w:p>
        </w:tc>
        <w:tc>
          <w:tcPr>
            <w:tcW w:w="670" w:type="dxa"/>
            <w:noWrap/>
            <w:hideMark/>
          </w:tcPr>
          <w:p w14:paraId="4DF3DFDA" w14:textId="77777777" w:rsidR="00AB6F50" w:rsidRPr="000973F2" w:rsidRDefault="00AB6F50" w:rsidP="00116471">
            <w:pPr>
              <w:spacing w:before="40" w:after="4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0.0</w:t>
            </w:r>
          </w:p>
        </w:tc>
        <w:tc>
          <w:tcPr>
            <w:tcW w:w="670" w:type="dxa"/>
            <w:noWrap/>
            <w:hideMark/>
          </w:tcPr>
          <w:p w14:paraId="1FDF8FD4" w14:textId="77777777" w:rsidR="00AB6F50" w:rsidRPr="000973F2" w:rsidRDefault="00AB6F50" w:rsidP="00116471">
            <w:pPr>
              <w:spacing w:before="40" w:after="4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0.0</w:t>
            </w:r>
          </w:p>
        </w:tc>
        <w:tc>
          <w:tcPr>
            <w:tcW w:w="592" w:type="dxa"/>
            <w:noWrap/>
            <w:hideMark/>
          </w:tcPr>
          <w:p w14:paraId="5E9D857D" w14:textId="7D5CB275" w:rsidR="00AB6F50" w:rsidRPr="000973F2" w:rsidRDefault="00AB6F50" w:rsidP="00116471">
            <w:pPr>
              <w:spacing w:before="40" w:after="4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$0</w:t>
            </w:r>
          </w:p>
        </w:tc>
        <w:tc>
          <w:tcPr>
            <w:tcW w:w="795" w:type="dxa"/>
            <w:noWrap/>
            <w:hideMark/>
          </w:tcPr>
          <w:p w14:paraId="5C170591" w14:textId="68371EC6" w:rsidR="00AB6F50" w:rsidRPr="000973F2" w:rsidRDefault="00AB6F50" w:rsidP="00116471">
            <w:pPr>
              <w:tabs>
                <w:tab w:val="decimal" w:pos="436"/>
              </w:tabs>
              <w:spacing w:before="40" w:after="4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$1,312</w:t>
            </w:r>
          </w:p>
        </w:tc>
      </w:tr>
      <w:tr w:rsidR="00817917" w:rsidRPr="000973F2" w14:paraId="35B4D78F" w14:textId="77777777" w:rsidTr="00817917">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1245" w:type="dxa"/>
            <w:tcMar>
              <w:right w:w="14" w:type="dxa"/>
            </w:tcMar>
            <w:hideMark/>
          </w:tcPr>
          <w:p w14:paraId="24857B6C" w14:textId="77777777" w:rsidR="00AB6F50" w:rsidRPr="000973F2" w:rsidRDefault="00AB6F50" w:rsidP="00116471">
            <w:pPr>
              <w:spacing w:before="40" w:after="4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QA/QC</w:t>
            </w:r>
          </w:p>
        </w:tc>
        <w:tc>
          <w:tcPr>
            <w:tcW w:w="669" w:type="dxa"/>
            <w:noWrap/>
            <w:hideMark/>
          </w:tcPr>
          <w:p w14:paraId="2FDCAFAF" w14:textId="77777777" w:rsidR="00AB6F50" w:rsidRPr="000973F2" w:rsidRDefault="00AB6F50" w:rsidP="00116471">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0.0</w:t>
            </w:r>
          </w:p>
        </w:tc>
        <w:tc>
          <w:tcPr>
            <w:tcW w:w="670" w:type="dxa"/>
            <w:noWrap/>
            <w:hideMark/>
          </w:tcPr>
          <w:p w14:paraId="404C910F" w14:textId="77777777" w:rsidR="00AB6F50" w:rsidRPr="000973F2" w:rsidRDefault="00AB6F50" w:rsidP="00116471">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0.0</w:t>
            </w:r>
          </w:p>
        </w:tc>
        <w:tc>
          <w:tcPr>
            <w:tcW w:w="670" w:type="dxa"/>
            <w:noWrap/>
            <w:hideMark/>
          </w:tcPr>
          <w:p w14:paraId="5465C709" w14:textId="77777777" w:rsidR="00AB6F50" w:rsidRPr="000973F2" w:rsidRDefault="00AB6F50" w:rsidP="00116471">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0.0</w:t>
            </w:r>
          </w:p>
        </w:tc>
        <w:tc>
          <w:tcPr>
            <w:tcW w:w="670" w:type="dxa"/>
            <w:noWrap/>
            <w:hideMark/>
          </w:tcPr>
          <w:p w14:paraId="5F919543" w14:textId="77777777" w:rsidR="00AB6F50" w:rsidRPr="000973F2" w:rsidRDefault="00AB6F50" w:rsidP="00116471">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1.7</w:t>
            </w:r>
          </w:p>
        </w:tc>
        <w:tc>
          <w:tcPr>
            <w:tcW w:w="670" w:type="dxa"/>
            <w:noWrap/>
            <w:hideMark/>
          </w:tcPr>
          <w:p w14:paraId="6F1801E1" w14:textId="77777777" w:rsidR="00AB6F50" w:rsidRPr="000973F2" w:rsidRDefault="00AB6F50" w:rsidP="00116471">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0.0</w:t>
            </w:r>
          </w:p>
        </w:tc>
        <w:tc>
          <w:tcPr>
            <w:tcW w:w="669" w:type="dxa"/>
            <w:noWrap/>
            <w:hideMark/>
          </w:tcPr>
          <w:p w14:paraId="070D0D14" w14:textId="77777777" w:rsidR="00AB6F50" w:rsidRPr="000973F2" w:rsidRDefault="00AB6F50" w:rsidP="00116471">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3.3</w:t>
            </w:r>
          </w:p>
        </w:tc>
        <w:tc>
          <w:tcPr>
            <w:tcW w:w="670" w:type="dxa"/>
            <w:noWrap/>
            <w:hideMark/>
          </w:tcPr>
          <w:p w14:paraId="1ABB60F4" w14:textId="77777777" w:rsidR="00AB6F50" w:rsidRPr="000973F2" w:rsidRDefault="00AB6F50" w:rsidP="00116471">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0.0</w:t>
            </w:r>
          </w:p>
        </w:tc>
        <w:tc>
          <w:tcPr>
            <w:tcW w:w="670" w:type="dxa"/>
            <w:noWrap/>
            <w:hideMark/>
          </w:tcPr>
          <w:p w14:paraId="21833C52" w14:textId="77777777" w:rsidR="00AB6F50" w:rsidRPr="000973F2" w:rsidRDefault="00AB6F50" w:rsidP="00116471">
            <w:pPr>
              <w:tabs>
                <w:tab w:val="decimal" w:pos="151"/>
              </w:tabs>
              <w:spacing w:before="40" w:after="4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0.0</w:t>
            </w:r>
          </w:p>
        </w:tc>
        <w:tc>
          <w:tcPr>
            <w:tcW w:w="670" w:type="dxa"/>
            <w:noWrap/>
            <w:hideMark/>
          </w:tcPr>
          <w:p w14:paraId="42ADDACC" w14:textId="77777777" w:rsidR="00AB6F50" w:rsidRPr="000973F2" w:rsidRDefault="00AB6F50" w:rsidP="00116471">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0.0</w:t>
            </w:r>
          </w:p>
        </w:tc>
        <w:tc>
          <w:tcPr>
            <w:tcW w:w="670" w:type="dxa"/>
            <w:noWrap/>
            <w:hideMark/>
          </w:tcPr>
          <w:p w14:paraId="22AFA91D" w14:textId="77777777" w:rsidR="00AB6F50" w:rsidRPr="000973F2" w:rsidRDefault="00AB6F50" w:rsidP="00116471">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0.0</w:t>
            </w:r>
          </w:p>
        </w:tc>
        <w:tc>
          <w:tcPr>
            <w:tcW w:w="592" w:type="dxa"/>
            <w:noWrap/>
            <w:hideMark/>
          </w:tcPr>
          <w:p w14:paraId="47F791AE" w14:textId="25A47DE7" w:rsidR="00AB6F50" w:rsidRPr="000973F2" w:rsidRDefault="00AB6F50" w:rsidP="00116471">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$0</w:t>
            </w:r>
          </w:p>
        </w:tc>
        <w:tc>
          <w:tcPr>
            <w:tcW w:w="795" w:type="dxa"/>
            <w:noWrap/>
            <w:hideMark/>
          </w:tcPr>
          <w:p w14:paraId="7F9C995F" w14:textId="327ED6F1" w:rsidR="00AB6F50" w:rsidRPr="000973F2" w:rsidRDefault="00AB6F50" w:rsidP="00116471">
            <w:pPr>
              <w:tabs>
                <w:tab w:val="decimal" w:pos="436"/>
              </w:tabs>
              <w:spacing w:before="40" w:after="4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$586</w:t>
            </w:r>
          </w:p>
        </w:tc>
      </w:tr>
      <w:tr w:rsidR="00817917" w:rsidRPr="000973F2" w14:paraId="0EEDF3EE" w14:textId="77777777" w:rsidTr="00817917">
        <w:trPr>
          <w:cantSplit/>
        </w:trPr>
        <w:tc>
          <w:tcPr>
            <w:cnfStyle w:val="001000000000" w:firstRow="0" w:lastRow="0" w:firstColumn="1" w:lastColumn="0" w:oddVBand="0" w:evenVBand="0" w:oddHBand="0" w:evenHBand="0" w:firstRowFirstColumn="0" w:firstRowLastColumn="0" w:lastRowFirstColumn="0" w:lastRowLastColumn="0"/>
            <w:tcW w:w="1245" w:type="dxa"/>
            <w:tcMar>
              <w:right w:w="14" w:type="dxa"/>
            </w:tcMar>
            <w:hideMark/>
          </w:tcPr>
          <w:p w14:paraId="75BE6123" w14:textId="77777777" w:rsidR="00AB6F50" w:rsidRPr="000973F2" w:rsidRDefault="00AB6F50" w:rsidP="00116471">
            <w:pPr>
              <w:spacing w:before="40" w:after="4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Recordkeeping</w:t>
            </w:r>
          </w:p>
        </w:tc>
        <w:tc>
          <w:tcPr>
            <w:tcW w:w="669" w:type="dxa"/>
            <w:noWrap/>
            <w:hideMark/>
          </w:tcPr>
          <w:p w14:paraId="23A173E7" w14:textId="77777777" w:rsidR="00AB6F50" w:rsidRPr="000973F2" w:rsidRDefault="00AB6F50" w:rsidP="00116471">
            <w:pPr>
              <w:spacing w:before="40" w:after="4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0.0</w:t>
            </w:r>
          </w:p>
        </w:tc>
        <w:tc>
          <w:tcPr>
            <w:tcW w:w="670" w:type="dxa"/>
            <w:noWrap/>
            <w:hideMark/>
          </w:tcPr>
          <w:p w14:paraId="03E825E3" w14:textId="77777777" w:rsidR="00AB6F50" w:rsidRPr="000973F2" w:rsidRDefault="00AB6F50" w:rsidP="00116471">
            <w:pPr>
              <w:spacing w:before="40" w:after="4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0.0</w:t>
            </w:r>
          </w:p>
        </w:tc>
        <w:tc>
          <w:tcPr>
            <w:tcW w:w="670" w:type="dxa"/>
            <w:noWrap/>
            <w:hideMark/>
          </w:tcPr>
          <w:p w14:paraId="7C021515" w14:textId="77777777" w:rsidR="00AB6F50" w:rsidRPr="000973F2" w:rsidRDefault="00AB6F50" w:rsidP="00116471">
            <w:pPr>
              <w:spacing w:before="40" w:after="4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0.0</w:t>
            </w:r>
          </w:p>
        </w:tc>
        <w:tc>
          <w:tcPr>
            <w:tcW w:w="670" w:type="dxa"/>
            <w:noWrap/>
            <w:hideMark/>
          </w:tcPr>
          <w:p w14:paraId="76EFB97E" w14:textId="77777777" w:rsidR="00AB6F50" w:rsidRPr="000973F2" w:rsidRDefault="00AB6F50" w:rsidP="00116471">
            <w:pPr>
              <w:spacing w:before="40" w:after="4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0.0</w:t>
            </w:r>
          </w:p>
        </w:tc>
        <w:tc>
          <w:tcPr>
            <w:tcW w:w="670" w:type="dxa"/>
            <w:noWrap/>
            <w:hideMark/>
          </w:tcPr>
          <w:p w14:paraId="65AC0225" w14:textId="77777777" w:rsidR="00AB6F50" w:rsidRPr="000973F2" w:rsidRDefault="00AB6F50" w:rsidP="00116471">
            <w:pPr>
              <w:spacing w:before="40" w:after="4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0.0</w:t>
            </w:r>
          </w:p>
        </w:tc>
        <w:tc>
          <w:tcPr>
            <w:tcW w:w="669" w:type="dxa"/>
            <w:noWrap/>
            <w:hideMark/>
          </w:tcPr>
          <w:p w14:paraId="12DB2A86" w14:textId="77777777" w:rsidR="00AB6F50" w:rsidRPr="000973F2" w:rsidRDefault="00AB6F50" w:rsidP="00116471">
            <w:pPr>
              <w:spacing w:before="40" w:after="4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1.0</w:t>
            </w:r>
          </w:p>
        </w:tc>
        <w:tc>
          <w:tcPr>
            <w:tcW w:w="670" w:type="dxa"/>
            <w:noWrap/>
            <w:hideMark/>
          </w:tcPr>
          <w:p w14:paraId="7CFB0B6D" w14:textId="77777777" w:rsidR="00AB6F50" w:rsidRPr="000973F2" w:rsidRDefault="00AB6F50" w:rsidP="00116471">
            <w:pPr>
              <w:spacing w:before="40" w:after="4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0.0</w:t>
            </w:r>
          </w:p>
        </w:tc>
        <w:tc>
          <w:tcPr>
            <w:tcW w:w="670" w:type="dxa"/>
            <w:noWrap/>
            <w:hideMark/>
          </w:tcPr>
          <w:p w14:paraId="45F25001" w14:textId="77777777" w:rsidR="00AB6F50" w:rsidRPr="000973F2" w:rsidRDefault="00AB6F50" w:rsidP="00116471">
            <w:pPr>
              <w:tabs>
                <w:tab w:val="decimal" w:pos="151"/>
              </w:tabs>
              <w:spacing w:before="40" w:after="4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13.0</w:t>
            </w:r>
          </w:p>
        </w:tc>
        <w:tc>
          <w:tcPr>
            <w:tcW w:w="670" w:type="dxa"/>
            <w:noWrap/>
            <w:hideMark/>
          </w:tcPr>
          <w:p w14:paraId="7BF4167E" w14:textId="77777777" w:rsidR="00AB6F50" w:rsidRPr="000973F2" w:rsidRDefault="00AB6F50" w:rsidP="00116471">
            <w:pPr>
              <w:spacing w:before="40" w:after="4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0.0</w:t>
            </w:r>
          </w:p>
        </w:tc>
        <w:tc>
          <w:tcPr>
            <w:tcW w:w="670" w:type="dxa"/>
            <w:noWrap/>
            <w:hideMark/>
          </w:tcPr>
          <w:p w14:paraId="5E0FE1B3" w14:textId="77777777" w:rsidR="00AB6F50" w:rsidRPr="000973F2" w:rsidRDefault="00AB6F50" w:rsidP="00116471">
            <w:pPr>
              <w:spacing w:before="40" w:after="4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1.0</w:t>
            </w:r>
          </w:p>
        </w:tc>
        <w:tc>
          <w:tcPr>
            <w:tcW w:w="592" w:type="dxa"/>
            <w:noWrap/>
            <w:hideMark/>
          </w:tcPr>
          <w:p w14:paraId="225268AB" w14:textId="4708B517" w:rsidR="00AB6F50" w:rsidRPr="000973F2" w:rsidRDefault="00AB6F50" w:rsidP="00116471">
            <w:pPr>
              <w:spacing w:before="40" w:after="4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$0</w:t>
            </w:r>
          </w:p>
        </w:tc>
        <w:tc>
          <w:tcPr>
            <w:tcW w:w="795" w:type="dxa"/>
            <w:noWrap/>
            <w:hideMark/>
          </w:tcPr>
          <w:p w14:paraId="4E863D64" w14:textId="34180F85" w:rsidR="00AB6F50" w:rsidRPr="000973F2" w:rsidRDefault="00AB6F50" w:rsidP="00116471">
            <w:pPr>
              <w:tabs>
                <w:tab w:val="decimal" w:pos="436"/>
              </w:tabs>
              <w:spacing w:before="40" w:after="4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$1,350</w:t>
            </w:r>
          </w:p>
        </w:tc>
      </w:tr>
      <w:tr w:rsidR="00817917" w:rsidRPr="000973F2" w14:paraId="57963C33" w14:textId="77777777" w:rsidTr="00817917">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1245" w:type="dxa"/>
            <w:tcMar>
              <w:right w:w="14" w:type="dxa"/>
            </w:tcMar>
            <w:hideMark/>
          </w:tcPr>
          <w:p w14:paraId="59B3B9B1" w14:textId="77777777" w:rsidR="00AB6F50" w:rsidRPr="000973F2" w:rsidRDefault="00AB6F50" w:rsidP="00116471">
            <w:pPr>
              <w:spacing w:before="40" w:after="4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Sampling and Analysis (Calculations)</w:t>
            </w:r>
          </w:p>
        </w:tc>
        <w:tc>
          <w:tcPr>
            <w:tcW w:w="669" w:type="dxa"/>
            <w:noWrap/>
            <w:hideMark/>
          </w:tcPr>
          <w:p w14:paraId="5EE79909" w14:textId="77777777" w:rsidR="00AB6F50" w:rsidRPr="000973F2" w:rsidRDefault="00AB6F50" w:rsidP="00116471">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0.0</w:t>
            </w:r>
          </w:p>
        </w:tc>
        <w:tc>
          <w:tcPr>
            <w:tcW w:w="670" w:type="dxa"/>
            <w:noWrap/>
            <w:hideMark/>
          </w:tcPr>
          <w:p w14:paraId="75E6D106" w14:textId="77777777" w:rsidR="00AB6F50" w:rsidRPr="000973F2" w:rsidRDefault="00AB6F50" w:rsidP="00116471">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0.0</w:t>
            </w:r>
          </w:p>
        </w:tc>
        <w:tc>
          <w:tcPr>
            <w:tcW w:w="670" w:type="dxa"/>
            <w:noWrap/>
            <w:hideMark/>
          </w:tcPr>
          <w:p w14:paraId="32EDBC74" w14:textId="77777777" w:rsidR="00AB6F50" w:rsidRPr="000973F2" w:rsidRDefault="00AB6F50" w:rsidP="00116471">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0.0</w:t>
            </w:r>
          </w:p>
        </w:tc>
        <w:tc>
          <w:tcPr>
            <w:tcW w:w="670" w:type="dxa"/>
            <w:noWrap/>
            <w:hideMark/>
          </w:tcPr>
          <w:p w14:paraId="65638FEC" w14:textId="77777777" w:rsidR="00AB6F50" w:rsidRPr="000973F2" w:rsidRDefault="00AB6F50" w:rsidP="00116471">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0.0</w:t>
            </w:r>
          </w:p>
        </w:tc>
        <w:tc>
          <w:tcPr>
            <w:tcW w:w="670" w:type="dxa"/>
            <w:noWrap/>
            <w:hideMark/>
          </w:tcPr>
          <w:p w14:paraId="37952C26" w14:textId="77777777" w:rsidR="00AB6F50" w:rsidRPr="000973F2" w:rsidRDefault="00AB6F50" w:rsidP="00116471">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0.0</w:t>
            </w:r>
          </w:p>
        </w:tc>
        <w:tc>
          <w:tcPr>
            <w:tcW w:w="669" w:type="dxa"/>
            <w:noWrap/>
            <w:hideMark/>
          </w:tcPr>
          <w:p w14:paraId="70CB785B" w14:textId="77777777" w:rsidR="00AB6F50" w:rsidRPr="000973F2" w:rsidRDefault="00AB6F50" w:rsidP="00116471">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0.0</w:t>
            </w:r>
          </w:p>
        </w:tc>
        <w:tc>
          <w:tcPr>
            <w:tcW w:w="670" w:type="dxa"/>
            <w:noWrap/>
            <w:hideMark/>
          </w:tcPr>
          <w:p w14:paraId="48D530FF" w14:textId="77777777" w:rsidR="00AB6F50" w:rsidRPr="000973F2" w:rsidRDefault="00AB6F50" w:rsidP="00116471">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0.0</w:t>
            </w:r>
          </w:p>
        </w:tc>
        <w:tc>
          <w:tcPr>
            <w:tcW w:w="670" w:type="dxa"/>
            <w:noWrap/>
            <w:hideMark/>
          </w:tcPr>
          <w:p w14:paraId="35C57CE1" w14:textId="77777777" w:rsidR="00AB6F50" w:rsidRPr="000973F2" w:rsidRDefault="00AB6F50" w:rsidP="00116471">
            <w:pPr>
              <w:tabs>
                <w:tab w:val="decimal" w:pos="151"/>
              </w:tabs>
              <w:spacing w:before="40" w:after="4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33.2</w:t>
            </w:r>
          </w:p>
        </w:tc>
        <w:tc>
          <w:tcPr>
            <w:tcW w:w="670" w:type="dxa"/>
            <w:noWrap/>
            <w:hideMark/>
          </w:tcPr>
          <w:p w14:paraId="7454A032" w14:textId="77777777" w:rsidR="00AB6F50" w:rsidRPr="000973F2" w:rsidRDefault="00AB6F50" w:rsidP="00116471">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0.0</w:t>
            </w:r>
          </w:p>
        </w:tc>
        <w:tc>
          <w:tcPr>
            <w:tcW w:w="670" w:type="dxa"/>
            <w:noWrap/>
            <w:hideMark/>
          </w:tcPr>
          <w:p w14:paraId="6D92A3E9" w14:textId="77777777" w:rsidR="00AB6F50" w:rsidRPr="000973F2" w:rsidRDefault="00AB6F50" w:rsidP="00116471">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1.7</w:t>
            </w:r>
          </w:p>
        </w:tc>
        <w:tc>
          <w:tcPr>
            <w:tcW w:w="592" w:type="dxa"/>
            <w:noWrap/>
            <w:hideMark/>
          </w:tcPr>
          <w:p w14:paraId="2DA70454" w14:textId="1A1824D4" w:rsidR="00AB6F50" w:rsidRPr="000973F2" w:rsidRDefault="00AB6F50" w:rsidP="00116471">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$0</w:t>
            </w:r>
          </w:p>
        </w:tc>
        <w:tc>
          <w:tcPr>
            <w:tcW w:w="795" w:type="dxa"/>
            <w:noWrap/>
            <w:hideMark/>
          </w:tcPr>
          <w:p w14:paraId="7B5DC688" w14:textId="2B49A5BE" w:rsidR="00AB6F50" w:rsidRPr="000973F2" w:rsidRDefault="00AB6F50" w:rsidP="00116471">
            <w:pPr>
              <w:tabs>
                <w:tab w:val="decimal" w:pos="436"/>
              </w:tabs>
              <w:spacing w:before="40" w:after="4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$3,131</w:t>
            </w:r>
          </w:p>
        </w:tc>
      </w:tr>
      <w:tr w:rsidR="00817917" w:rsidRPr="000973F2" w14:paraId="1C35DD64" w14:textId="77777777" w:rsidTr="00817917">
        <w:trPr>
          <w:cantSplit/>
        </w:trPr>
        <w:tc>
          <w:tcPr>
            <w:cnfStyle w:val="001000000000" w:firstRow="0" w:lastRow="0" w:firstColumn="1" w:lastColumn="0" w:oddVBand="0" w:evenVBand="0" w:oddHBand="0" w:evenHBand="0" w:firstRowFirstColumn="0" w:firstRowLastColumn="0" w:lastRowFirstColumn="0" w:lastRowLastColumn="0"/>
            <w:tcW w:w="1245" w:type="dxa"/>
            <w:tcMar>
              <w:right w:w="14" w:type="dxa"/>
            </w:tcMar>
            <w:hideMark/>
          </w:tcPr>
          <w:p w14:paraId="399066D7" w14:textId="77777777" w:rsidR="00AB6F50" w:rsidRPr="000973F2" w:rsidRDefault="00AB6F50" w:rsidP="00116471">
            <w:pPr>
              <w:spacing w:before="40" w:after="4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Reporting</w:t>
            </w:r>
          </w:p>
        </w:tc>
        <w:tc>
          <w:tcPr>
            <w:tcW w:w="669" w:type="dxa"/>
            <w:noWrap/>
            <w:hideMark/>
          </w:tcPr>
          <w:p w14:paraId="73C618AC" w14:textId="77777777" w:rsidR="00AB6F50" w:rsidRPr="000973F2" w:rsidRDefault="00AB6F50" w:rsidP="00116471">
            <w:pPr>
              <w:spacing w:before="40" w:after="4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0.0</w:t>
            </w:r>
          </w:p>
        </w:tc>
        <w:tc>
          <w:tcPr>
            <w:tcW w:w="670" w:type="dxa"/>
            <w:noWrap/>
            <w:hideMark/>
          </w:tcPr>
          <w:p w14:paraId="11AD8522" w14:textId="77777777" w:rsidR="00AB6F50" w:rsidRPr="000973F2" w:rsidRDefault="00AB6F50" w:rsidP="00116471">
            <w:pPr>
              <w:spacing w:before="40" w:after="4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0.0</w:t>
            </w:r>
          </w:p>
        </w:tc>
        <w:tc>
          <w:tcPr>
            <w:tcW w:w="670" w:type="dxa"/>
            <w:noWrap/>
            <w:hideMark/>
          </w:tcPr>
          <w:p w14:paraId="48D92C90" w14:textId="77777777" w:rsidR="00AB6F50" w:rsidRPr="000973F2" w:rsidRDefault="00AB6F50" w:rsidP="00116471">
            <w:pPr>
              <w:spacing w:before="40" w:after="4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0.0</w:t>
            </w:r>
          </w:p>
        </w:tc>
        <w:tc>
          <w:tcPr>
            <w:tcW w:w="670" w:type="dxa"/>
            <w:noWrap/>
            <w:hideMark/>
          </w:tcPr>
          <w:p w14:paraId="4E8F6787" w14:textId="77777777" w:rsidR="00AB6F50" w:rsidRPr="000973F2" w:rsidRDefault="00AB6F50" w:rsidP="00116471">
            <w:pPr>
              <w:spacing w:before="40" w:after="4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0.0</w:t>
            </w:r>
          </w:p>
        </w:tc>
        <w:tc>
          <w:tcPr>
            <w:tcW w:w="670" w:type="dxa"/>
            <w:noWrap/>
            <w:hideMark/>
          </w:tcPr>
          <w:p w14:paraId="6E83905D" w14:textId="77777777" w:rsidR="00AB6F50" w:rsidRPr="000973F2" w:rsidRDefault="00AB6F50" w:rsidP="00116471">
            <w:pPr>
              <w:spacing w:before="40" w:after="4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0.0</w:t>
            </w:r>
          </w:p>
        </w:tc>
        <w:tc>
          <w:tcPr>
            <w:tcW w:w="669" w:type="dxa"/>
            <w:noWrap/>
            <w:hideMark/>
          </w:tcPr>
          <w:p w14:paraId="48463652" w14:textId="77777777" w:rsidR="00AB6F50" w:rsidRPr="000973F2" w:rsidRDefault="00AB6F50" w:rsidP="00116471">
            <w:pPr>
              <w:spacing w:before="40" w:after="4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2.0</w:t>
            </w:r>
          </w:p>
        </w:tc>
        <w:tc>
          <w:tcPr>
            <w:tcW w:w="670" w:type="dxa"/>
            <w:noWrap/>
            <w:hideMark/>
          </w:tcPr>
          <w:p w14:paraId="489ECF6A" w14:textId="77777777" w:rsidR="00AB6F50" w:rsidRPr="000973F2" w:rsidRDefault="00AB6F50" w:rsidP="00116471">
            <w:pPr>
              <w:spacing w:before="40" w:after="4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0.0</w:t>
            </w:r>
          </w:p>
        </w:tc>
        <w:tc>
          <w:tcPr>
            <w:tcW w:w="670" w:type="dxa"/>
            <w:noWrap/>
            <w:hideMark/>
          </w:tcPr>
          <w:p w14:paraId="0F87F75E" w14:textId="77777777" w:rsidR="00AB6F50" w:rsidRPr="000973F2" w:rsidRDefault="00AB6F50" w:rsidP="00116471">
            <w:pPr>
              <w:tabs>
                <w:tab w:val="decimal" w:pos="151"/>
              </w:tabs>
              <w:spacing w:before="40" w:after="4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26.0</w:t>
            </w:r>
          </w:p>
        </w:tc>
        <w:tc>
          <w:tcPr>
            <w:tcW w:w="670" w:type="dxa"/>
            <w:noWrap/>
            <w:hideMark/>
          </w:tcPr>
          <w:p w14:paraId="6E298D2A" w14:textId="77777777" w:rsidR="00AB6F50" w:rsidRPr="000973F2" w:rsidRDefault="00AB6F50" w:rsidP="00116471">
            <w:pPr>
              <w:spacing w:before="40" w:after="4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0.0</w:t>
            </w:r>
          </w:p>
        </w:tc>
        <w:tc>
          <w:tcPr>
            <w:tcW w:w="670" w:type="dxa"/>
            <w:noWrap/>
            <w:hideMark/>
          </w:tcPr>
          <w:p w14:paraId="4B19710E" w14:textId="77777777" w:rsidR="00AB6F50" w:rsidRPr="000973F2" w:rsidRDefault="00AB6F50" w:rsidP="00116471">
            <w:pPr>
              <w:spacing w:before="40" w:after="4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2.0</w:t>
            </w:r>
          </w:p>
        </w:tc>
        <w:tc>
          <w:tcPr>
            <w:tcW w:w="592" w:type="dxa"/>
            <w:noWrap/>
            <w:hideMark/>
          </w:tcPr>
          <w:p w14:paraId="2A12F609" w14:textId="436843DD" w:rsidR="00AB6F50" w:rsidRPr="000973F2" w:rsidRDefault="00AB6F50" w:rsidP="00116471">
            <w:pPr>
              <w:spacing w:before="40" w:after="4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$0</w:t>
            </w:r>
          </w:p>
        </w:tc>
        <w:tc>
          <w:tcPr>
            <w:tcW w:w="795" w:type="dxa"/>
            <w:noWrap/>
            <w:hideMark/>
          </w:tcPr>
          <w:p w14:paraId="347589D7" w14:textId="120046F6" w:rsidR="00AB6F50" w:rsidRPr="000973F2" w:rsidRDefault="00AB6F50" w:rsidP="00116471">
            <w:pPr>
              <w:tabs>
                <w:tab w:val="decimal" w:pos="436"/>
              </w:tabs>
              <w:spacing w:before="40" w:after="4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$2,700</w:t>
            </w:r>
          </w:p>
        </w:tc>
      </w:tr>
      <w:tr w:rsidR="00817917" w:rsidRPr="000973F2" w14:paraId="145E9587" w14:textId="77777777" w:rsidTr="00817917">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1245" w:type="dxa"/>
            <w:noWrap/>
            <w:tcMar>
              <w:right w:w="14" w:type="dxa"/>
            </w:tcMar>
            <w:hideMark/>
          </w:tcPr>
          <w:p w14:paraId="597B0876" w14:textId="77777777" w:rsidR="00AB6F50" w:rsidRPr="000973F2" w:rsidRDefault="00AB6F50" w:rsidP="00116471">
            <w:pPr>
              <w:spacing w:before="40" w:after="40"/>
              <w:rPr>
                <w:rFonts w:ascii="Times New Roman" w:eastAsia="Times New Roman" w:hAnsi="Times New Roman" w:cs="Times New Roman"/>
                <w:b/>
                <w:bCs w:val="0"/>
                <w:sz w:val="18"/>
                <w:szCs w:val="18"/>
              </w:rPr>
            </w:pPr>
            <w:r w:rsidRPr="000973F2">
              <w:rPr>
                <w:rFonts w:ascii="Times New Roman" w:eastAsia="Times New Roman" w:hAnsi="Times New Roman" w:cs="Times New Roman"/>
                <w:b/>
                <w:sz w:val="18"/>
                <w:szCs w:val="18"/>
              </w:rPr>
              <w:t>Total</w:t>
            </w:r>
          </w:p>
        </w:tc>
        <w:tc>
          <w:tcPr>
            <w:tcW w:w="669" w:type="dxa"/>
            <w:noWrap/>
            <w:hideMark/>
          </w:tcPr>
          <w:p w14:paraId="60008D7A" w14:textId="77777777" w:rsidR="00AB6F50" w:rsidRPr="000973F2" w:rsidRDefault="00AB6F50" w:rsidP="00116471">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18"/>
                <w:szCs w:val="18"/>
              </w:rPr>
            </w:pPr>
            <w:r w:rsidRPr="000973F2">
              <w:rPr>
                <w:rFonts w:ascii="Times New Roman" w:eastAsia="Times New Roman" w:hAnsi="Times New Roman" w:cs="Times New Roman"/>
                <w:b/>
                <w:bCs/>
                <w:sz w:val="18"/>
                <w:szCs w:val="18"/>
              </w:rPr>
              <w:t>0.0</w:t>
            </w:r>
          </w:p>
        </w:tc>
        <w:tc>
          <w:tcPr>
            <w:tcW w:w="670" w:type="dxa"/>
            <w:noWrap/>
            <w:hideMark/>
          </w:tcPr>
          <w:p w14:paraId="10406FC5" w14:textId="77777777" w:rsidR="00AB6F50" w:rsidRPr="000973F2" w:rsidRDefault="00AB6F50" w:rsidP="00116471">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18"/>
                <w:szCs w:val="18"/>
              </w:rPr>
            </w:pPr>
            <w:r w:rsidRPr="000973F2">
              <w:rPr>
                <w:rFonts w:ascii="Times New Roman" w:eastAsia="Times New Roman" w:hAnsi="Times New Roman" w:cs="Times New Roman"/>
                <w:b/>
                <w:bCs/>
                <w:sz w:val="18"/>
                <w:szCs w:val="18"/>
              </w:rPr>
              <w:t>2.0</w:t>
            </w:r>
          </w:p>
        </w:tc>
        <w:tc>
          <w:tcPr>
            <w:tcW w:w="670" w:type="dxa"/>
            <w:noWrap/>
            <w:hideMark/>
          </w:tcPr>
          <w:p w14:paraId="130C8201" w14:textId="77777777" w:rsidR="00AB6F50" w:rsidRPr="000973F2" w:rsidRDefault="00AB6F50" w:rsidP="00116471">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18"/>
                <w:szCs w:val="18"/>
              </w:rPr>
            </w:pPr>
            <w:r w:rsidRPr="000973F2">
              <w:rPr>
                <w:rFonts w:ascii="Times New Roman" w:eastAsia="Times New Roman" w:hAnsi="Times New Roman" w:cs="Times New Roman"/>
                <w:b/>
                <w:bCs/>
                <w:sz w:val="18"/>
                <w:szCs w:val="18"/>
              </w:rPr>
              <w:t>0.0</w:t>
            </w:r>
          </w:p>
        </w:tc>
        <w:tc>
          <w:tcPr>
            <w:tcW w:w="670" w:type="dxa"/>
            <w:noWrap/>
            <w:hideMark/>
          </w:tcPr>
          <w:p w14:paraId="61E424FF" w14:textId="77777777" w:rsidR="00AB6F50" w:rsidRPr="000973F2" w:rsidRDefault="00AB6F50" w:rsidP="00116471">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18"/>
                <w:szCs w:val="18"/>
              </w:rPr>
            </w:pPr>
            <w:r w:rsidRPr="000973F2">
              <w:rPr>
                <w:rFonts w:ascii="Times New Roman" w:eastAsia="Times New Roman" w:hAnsi="Times New Roman" w:cs="Times New Roman"/>
                <w:b/>
                <w:bCs/>
                <w:sz w:val="18"/>
                <w:szCs w:val="18"/>
              </w:rPr>
              <w:t>2.2</w:t>
            </w:r>
          </w:p>
        </w:tc>
        <w:tc>
          <w:tcPr>
            <w:tcW w:w="670" w:type="dxa"/>
            <w:noWrap/>
            <w:hideMark/>
          </w:tcPr>
          <w:p w14:paraId="086C332A" w14:textId="77777777" w:rsidR="00AB6F50" w:rsidRPr="000973F2" w:rsidRDefault="00AB6F50" w:rsidP="00116471">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18"/>
                <w:szCs w:val="18"/>
              </w:rPr>
            </w:pPr>
            <w:r w:rsidRPr="000973F2">
              <w:rPr>
                <w:rFonts w:ascii="Times New Roman" w:eastAsia="Times New Roman" w:hAnsi="Times New Roman" w:cs="Times New Roman"/>
                <w:b/>
                <w:bCs/>
                <w:sz w:val="18"/>
                <w:szCs w:val="18"/>
              </w:rPr>
              <w:t>0.0</w:t>
            </w:r>
          </w:p>
        </w:tc>
        <w:tc>
          <w:tcPr>
            <w:tcW w:w="669" w:type="dxa"/>
            <w:noWrap/>
            <w:hideMark/>
          </w:tcPr>
          <w:p w14:paraId="39F394A5" w14:textId="77777777" w:rsidR="00AB6F50" w:rsidRPr="000973F2" w:rsidRDefault="00AB6F50" w:rsidP="00116471">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18"/>
                <w:szCs w:val="18"/>
              </w:rPr>
            </w:pPr>
            <w:r w:rsidRPr="000973F2">
              <w:rPr>
                <w:rFonts w:ascii="Times New Roman" w:eastAsia="Times New Roman" w:hAnsi="Times New Roman" w:cs="Times New Roman"/>
                <w:b/>
                <w:bCs/>
                <w:sz w:val="18"/>
                <w:szCs w:val="18"/>
              </w:rPr>
              <w:t>7.3</w:t>
            </w:r>
          </w:p>
        </w:tc>
        <w:tc>
          <w:tcPr>
            <w:tcW w:w="670" w:type="dxa"/>
            <w:noWrap/>
            <w:hideMark/>
          </w:tcPr>
          <w:p w14:paraId="509A553B" w14:textId="77777777" w:rsidR="00AB6F50" w:rsidRPr="000973F2" w:rsidRDefault="00AB6F50" w:rsidP="00116471">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18"/>
                <w:szCs w:val="18"/>
              </w:rPr>
            </w:pPr>
            <w:r w:rsidRPr="000973F2">
              <w:rPr>
                <w:rFonts w:ascii="Times New Roman" w:eastAsia="Times New Roman" w:hAnsi="Times New Roman" w:cs="Times New Roman"/>
                <w:b/>
                <w:bCs/>
                <w:sz w:val="18"/>
                <w:szCs w:val="18"/>
              </w:rPr>
              <w:t>0.0</w:t>
            </w:r>
          </w:p>
        </w:tc>
        <w:tc>
          <w:tcPr>
            <w:tcW w:w="670" w:type="dxa"/>
            <w:noWrap/>
            <w:hideMark/>
          </w:tcPr>
          <w:p w14:paraId="4BC4A9BA" w14:textId="77777777" w:rsidR="00AB6F50" w:rsidRPr="000973F2" w:rsidRDefault="00AB6F50" w:rsidP="00116471">
            <w:pPr>
              <w:tabs>
                <w:tab w:val="decimal" w:pos="151"/>
              </w:tabs>
              <w:spacing w:before="40" w:after="4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18"/>
                <w:szCs w:val="18"/>
              </w:rPr>
            </w:pPr>
            <w:r w:rsidRPr="000973F2">
              <w:rPr>
                <w:rFonts w:ascii="Times New Roman" w:eastAsia="Times New Roman" w:hAnsi="Times New Roman" w:cs="Times New Roman"/>
                <w:b/>
                <w:bCs/>
                <w:sz w:val="18"/>
                <w:szCs w:val="18"/>
              </w:rPr>
              <w:t>82.2</w:t>
            </w:r>
          </w:p>
        </w:tc>
        <w:tc>
          <w:tcPr>
            <w:tcW w:w="670" w:type="dxa"/>
            <w:noWrap/>
            <w:hideMark/>
          </w:tcPr>
          <w:p w14:paraId="52B0109F" w14:textId="77777777" w:rsidR="00AB6F50" w:rsidRPr="000973F2" w:rsidRDefault="00AB6F50" w:rsidP="00116471">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18"/>
                <w:szCs w:val="18"/>
              </w:rPr>
            </w:pPr>
            <w:r w:rsidRPr="000973F2">
              <w:rPr>
                <w:rFonts w:ascii="Times New Roman" w:eastAsia="Times New Roman" w:hAnsi="Times New Roman" w:cs="Times New Roman"/>
                <w:b/>
                <w:bCs/>
                <w:sz w:val="18"/>
                <w:szCs w:val="18"/>
              </w:rPr>
              <w:t>0.0</w:t>
            </w:r>
          </w:p>
        </w:tc>
        <w:tc>
          <w:tcPr>
            <w:tcW w:w="670" w:type="dxa"/>
            <w:noWrap/>
            <w:hideMark/>
          </w:tcPr>
          <w:p w14:paraId="477A8B9D" w14:textId="77777777" w:rsidR="00AB6F50" w:rsidRPr="000973F2" w:rsidRDefault="00AB6F50" w:rsidP="00116471">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18"/>
                <w:szCs w:val="18"/>
              </w:rPr>
            </w:pPr>
            <w:r w:rsidRPr="000973F2">
              <w:rPr>
                <w:rFonts w:ascii="Times New Roman" w:eastAsia="Times New Roman" w:hAnsi="Times New Roman" w:cs="Times New Roman"/>
                <w:b/>
                <w:bCs/>
                <w:sz w:val="18"/>
                <w:szCs w:val="18"/>
              </w:rPr>
              <w:t>4.7</w:t>
            </w:r>
          </w:p>
        </w:tc>
        <w:tc>
          <w:tcPr>
            <w:tcW w:w="592" w:type="dxa"/>
            <w:noWrap/>
            <w:hideMark/>
          </w:tcPr>
          <w:p w14:paraId="434AD66F" w14:textId="2FAEFE65" w:rsidR="00AB6F50" w:rsidRPr="000973F2" w:rsidRDefault="00AB6F50" w:rsidP="00116471">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18"/>
                <w:szCs w:val="18"/>
              </w:rPr>
            </w:pPr>
            <w:r w:rsidRPr="000973F2">
              <w:rPr>
                <w:rFonts w:ascii="Times New Roman" w:eastAsia="Times New Roman" w:hAnsi="Times New Roman" w:cs="Times New Roman"/>
                <w:b/>
                <w:bCs/>
                <w:sz w:val="18"/>
                <w:szCs w:val="18"/>
              </w:rPr>
              <w:t>$0</w:t>
            </w:r>
          </w:p>
        </w:tc>
        <w:tc>
          <w:tcPr>
            <w:tcW w:w="795" w:type="dxa"/>
            <w:noWrap/>
            <w:hideMark/>
          </w:tcPr>
          <w:p w14:paraId="29113658" w14:textId="676236EA" w:rsidR="00AB6F50" w:rsidRPr="000973F2" w:rsidRDefault="00AB6F50" w:rsidP="00116471">
            <w:pPr>
              <w:tabs>
                <w:tab w:val="decimal" w:pos="436"/>
              </w:tabs>
              <w:spacing w:before="40" w:after="4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18"/>
                <w:szCs w:val="18"/>
              </w:rPr>
            </w:pPr>
            <w:r w:rsidRPr="000973F2">
              <w:rPr>
                <w:rFonts w:ascii="Times New Roman" w:eastAsia="Times New Roman" w:hAnsi="Times New Roman" w:cs="Times New Roman"/>
                <w:b/>
                <w:bCs/>
                <w:sz w:val="18"/>
                <w:szCs w:val="18"/>
              </w:rPr>
              <w:t>$9,079</w:t>
            </w:r>
          </w:p>
        </w:tc>
      </w:tr>
    </w:tbl>
    <w:p w14:paraId="0B9B216E" w14:textId="77777777" w:rsidR="00AB6F50" w:rsidRPr="000973F2" w:rsidRDefault="00AB6F50" w:rsidP="00C00E4F">
      <w:pPr>
        <w:spacing w:line="240" w:lineRule="auto"/>
        <w:jc w:val="center"/>
        <w:rPr>
          <w:rFonts w:ascii="Times New Roman" w:hAnsi="Times New Roman" w:cs="Times New Roman"/>
          <w:sz w:val="20"/>
          <w:szCs w:val="20"/>
        </w:rPr>
      </w:pPr>
    </w:p>
    <w:p w14:paraId="0B39BF1C" w14:textId="77777777" w:rsidR="00F853C9" w:rsidRPr="000973F2" w:rsidRDefault="00F853C9" w:rsidP="00C00E4F">
      <w:pPr>
        <w:spacing w:line="240" w:lineRule="auto"/>
        <w:rPr>
          <w:rFonts w:ascii="Times New Roman" w:hAnsi="Times New Roman" w:cs="Times New Roman"/>
          <w:b/>
          <w:szCs w:val="20"/>
        </w:rPr>
      </w:pPr>
      <w:r w:rsidRPr="000973F2">
        <w:rPr>
          <w:rFonts w:ascii="Times New Roman" w:hAnsi="Times New Roman" w:cs="Times New Roman"/>
          <w:b/>
          <w:szCs w:val="20"/>
        </w:rPr>
        <w:br w:type="page"/>
      </w:r>
    </w:p>
    <w:p w14:paraId="595E3414" w14:textId="775DC131" w:rsidR="00AB6F50" w:rsidRPr="000973F2" w:rsidRDefault="00AB6F50" w:rsidP="00403B5A">
      <w:pPr>
        <w:pStyle w:val="Tabletitle"/>
      </w:pPr>
      <w:r w:rsidRPr="000973F2">
        <w:t xml:space="preserve">Table </w:t>
      </w:r>
      <w:r w:rsidR="00403B5A" w:rsidRPr="000973F2">
        <w:t>W-</w:t>
      </w:r>
      <w:r w:rsidRPr="000973F2">
        <w:t xml:space="preserve">2i. </w:t>
      </w:r>
      <w:r w:rsidR="001F4582" w:rsidRPr="000973F2">
        <w:t xml:space="preserve">Capital and O&amp;M Costs </w:t>
      </w:r>
      <w:r w:rsidR="00B960CC" w:rsidRPr="000973F2">
        <w:t>–</w:t>
      </w:r>
      <w:r w:rsidR="001F4582" w:rsidRPr="000973F2">
        <w:t xml:space="preserve"> </w:t>
      </w:r>
      <w:r w:rsidRPr="000973F2">
        <w:t>Subpart W – Onshore Petroleum and Natural Gas Gathering and Boosting</w:t>
      </w:r>
    </w:p>
    <w:tbl>
      <w:tblPr>
        <w:tblStyle w:val="PlainTable1"/>
        <w:tblW w:w="5000" w:type="pct"/>
        <w:jc w:val="left"/>
        <w:tblLayout w:type="fixed"/>
        <w:tblCellMar>
          <w:left w:w="115" w:type="dxa"/>
          <w:right w:w="115" w:type="dxa"/>
        </w:tblCellMar>
        <w:tblLook w:val="04A0" w:firstRow="1" w:lastRow="0" w:firstColumn="1" w:lastColumn="0" w:noHBand="0" w:noVBand="1"/>
      </w:tblPr>
      <w:tblGrid>
        <w:gridCol w:w="2393"/>
        <w:gridCol w:w="1199"/>
        <w:gridCol w:w="1201"/>
        <w:gridCol w:w="1199"/>
        <w:gridCol w:w="1210"/>
        <w:gridCol w:w="1189"/>
        <w:gridCol w:w="1199"/>
      </w:tblGrid>
      <w:tr w:rsidR="00403B5A" w:rsidRPr="000973F2" w14:paraId="642D75C5" w14:textId="77777777" w:rsidTr="00403B5A">
        <w:trPr>
          <w:cnfStyle w:val="100000000000" w:firstRow="1" w:lastRow="0" w:firstColumn="0" w:lastColumn="0" w:oddVBand="0" w:evenVBand="0" w:oddHBand="0" w:evenHBand="0" w:firstRowFirstColumn="0" w:firstRowLastColumn="0" w:lastRowFirstColumn="0" w:lastRowLastColumn="0"/>
          <w:cantSplit/>
          <w:jc w:val="left"/>
        </w:trPr>
        <w:tc>
          <w:tcPr>
            <w:cnfStyle w:val="001000000000" w:firstRow="0" w:lastRow="0" w:firstColumn="1" w:lastColumn="0" w:oddVBand="0" w:evenVBand="0" w:oddHBand="0" w:evenHBand="0" w:firstRowFirstColumn="0" w:firstRowLastColumn="0" w:lastRowFirstColumn="0" w:lastRowLastColumn="0"/>
            <w:tcW w:w="1248" w:type="pct"/>
            <w:vMerge w:val="restart"/>
            <w:noWrap/>
            <w:vAlign w:val="top"/>
            <w:hideMark/>
          </w:tcPr>
          <w:p w14:paraId="0E00C92C" w14:textId="60E6294A" w:rsidR="00D17312" w:rsidRPr="000973F2" w:rsidRDefault="00D17312" w:rsidP="00403B5A">
            <w:pPr>
              <w:spacing w:before="40" w:after="40"/>
              <w:rPr>
                <w:rFonts w:ascii="Times New Roman" w:eastAsia="Times New Roman" w:hAnsi="Times New Roman" w:cs="Times New Roman"/>
                <w:b w:val="0"/>
                <w:bCs w:val="0"/>
                <w:sz w:val="18"/>
                <w:szCs w:val="18"/>
              </w:rPr>
            </w:pPr>
            <w:r w:rsidRPr="000973F2">
              <w:rPr>
                <w:rFonts w:ascii="Times New Roman" w:eastAsia="Times New Roman" w:hAnsi="Times New Roman" w:cs="Times New Roman"/>
                <w:sz w:val="18"/>
                <w:szCs w:val="18"/>
              </w:rPr>
              <w:t>Activity</w:t>
            </w:r>
          </w:p>
        </w:tc>
        <w:tc>
          <w:tcPr>
            <w:tcW w:w="2506" w:type="pct"/>
            <w:gridSpan w:val="4"/>
            <w:noWrap/>
            <w:vAlign w:val="top"/>
            <w:hideMark/>
          </w:tcPr>
          <w:p w14:paraId="4F3251A9" w14:textId="77777777" w:rsidR="00D17312" w:rsidRPr="000973F2" w:rsidRDefault="00D17312" w:rsidP="00403B5A">
            <w:pPr>
              <w:spacing w:before="40" w:after="40"/>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bCs w:val="0"/>
                <w:sz w:val="18"/>
                <w:szCs w:val="18"/>
              </w:rPr>
            </w:pPr>
            <w:r w:rsidRPr="000973F2">
              <w:rPr>
                <w:rFonts w:ascii="Times New Roman" w:eastAsia="Times New Roman" w:hAnsi="Times New Roman" w:cs="Times New Roman"/>
                <w:sz w:val="18"/>
                <w:szCs w:val="18"/>
              </w:rPr>
              <w:t>Cost Categories</w:t>
            </w:r>
          </w:p>
        </w:tc>
        <w:tc>
          <w:tcPr>
            <w:tcW w:w="1246" w:type="pct"/>
            <w:gridSpan w:val="2"/>
            <w:vAlign w:val="top"/>
            <w:hideMark/>
          </w:tcPr>
          <w:p w14:paraId="58738E78" w14:textId="030698E3" w:rsidR="00D17312" w:rsidRPr="000973F2" w:rsidRDefault="00D17312" w:rsidP="00403B5A">
            <w:pPr>
              <w:spacing w:before="40" w:after="40"/>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bCs w:val="0"/>
                <w:sz w:val="18"/>
                <w:szCs w:val="18"/>
              </w:rPr>
            </w:pPr>
            <w:r w:rsidRPr="000973F2">
              <w:rPr>
                <w:rFonts w:ascii="Times New Roman" w:eastAsia="Times New Roman" w:hAnsi="Times New Roman" w:cs="Times New Roman"/>
                <w:sz w:val="18"/>
                <w:szCs w:val="18"/>
              </w:rPr>
              <w:t>Total Capital and O&amp;M Cost per Year per Reporter</w:t>
            </w:r>
            <w:r w:rsidR="00403B5A" w:rsidRPr="000973F2">
              <w:rPr>
                <w:rFonts w:ascii="Times New Roman" w:eastAsia="Times New Roman" w:hAnsi="Times New Roman" w:cs="Times New Roman"/>
                <w:sz w:val="18"/>
                <w:szCs w:val="18"/>
              </w:rPr>
              <w:t xml:space="preserve"> </w:t>
            </w:r>
            <w:r w:rsidRPr="000973F2">
              <w:rPr>
                <w:rFonts w:ascii="Times New Roman" w:eastAsia="Times New Roman" w:hAnsi="Times New Roman" w:cs="Times New Roman"/>
                <w:sz w:val="18"/>
                <w:szCs w:val="18"/>
              </w:rPr>
              <w:t>(2017$)</w:t>
            </w:r>
          </w:p>
        </w:tc>
      </w:tr>
      <w:tr w:rsidR="00403B5A" w:rsidRPr="000973F2" w14:paraId="2DEBDD7C" w14:textId="77777777" w:rsidTr="00403B5A">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1248" w:type="pct"/>
            <w:vMerge/>
            <w:noWrap/>
            <w:hideMark/>
          </w:tcPr>
          <w:p w14:paraId="3F0C0126" w14:textId="7608C7DC" w:rsidR="00D17312" w:rsidRPr="000973F2" w:rsidRDefault="00D17312" w:rsidP="00403B5A">
            <w:pPr>
              <w:spacing w:before="40" w:after="40"/>
              <w:jc w:val="center"/>
              <w:rPr>
                <w:rFonts w:ascii="Times New Roman" w:eastAsia="Times New Roman" w:hAnsi="Times New Roman" w:cs="Times New Roman"/>
                <w:b/>
                <w:bCs w:val="0"/>
                <w:sz w:val="18"/>
                <w:szCs w:val="18"/>
              </w:rPr>
            </w:pPr>
          </w:p>
        </w:tc>
        <w:tc>
          <w:tcPr>
            <w:tcW w:w="625" w:type="pct"/>
            <w:tcMar>
              <w:left w:w="14" w:type="dxa"/>
              <w:right w:w="14" w:type="dxa"/>
            </w:tcMar>
            <w:hideMark/>
          </w:tcPr>
          <w:p w14:paraId="4A94EEF0" w14:textId="77777777" w:rsidR="00D17312" w:rsidRPr="000973F2" w:rsidRDefault="00D17312" w:rsidP="00403B5A">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18"/>
                <w:szCs w:val="18"/>
              </w:rPr>
            </w:pPr>
            <w:r w:rsidRPr="000973F2">
              <w:rPr>
                <w:rFonts w:ascii="Times New Roman" w:eastAsia="Times New Roman" w:hAnsi="Times New Roman" w:cs="Times New Roman"/>
                <w:b/>
                <w:bCs/>
                <w:sz w:val="18"/>
                <w:szCs w:val="18"/>
              </w:rPr>
              <w:t>Capital Cost (2017$)</w:t>
            </w:r>
          </w:p>
        </w:tc>
        <w:tc>
          <w:tcPr>
            <w:tcW w:w="626" w:type="pct"/>
            <w:tcMar>
              <w:left w:w="14" w:type="dxa"/>
              <w:right w:w="14" w:type="dxa"/>
            </w:tcMar>
            <w:hideMark/>
          </w:tcPr>
          <w:p w14:paraId="4E9F48C0" w14:textId="77777777" w:rsidR="00D17312" w:rsidRPr="000973F2" w:rsidRDefault="00D17312" w:rsidP="00403B5A">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18"/>
                <w:szCs w:val="18"/>
              </w:rPr>
            </w:pPr>
            <w:r w:rsidRPr="000973F2">
              <w:rPr>
                <w:rFonts w:ascii="Times New Roman" w:eastAsia="Times New Roman" w:hAnsi="Times New Roman" w:cs="Times New Roman"/>
                <w:b/>
                <w:bCs/>
                <w:sz w:val="18"/>
                <w:szCs w:val="18"/>
              </w:rPr>
              <w:t>Equipment Lifetime</w:t>
            </w:r>
          </w:p>
        </w:tc>
        <w:tc>
          <w:tcPr>
            <w:tcW w:w="625" w:type="pct"/>
            <w:tcMar>
              <w:left w:w="14" w:type="dxa"/>
              <w:right w:w="14" w:type="dxa"/>
            </w:tcMar>
            <w:hideMark/>
          </w:tcPr>
          <w:p w14:paraId="4FB6C63D" w14:textId="77777777" w:rsidR="00D17312" w:rsidRPr="000973F2" w:rsidRDefault="00D17312" w:rsidP="00403B5A">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18"/>
                <w:szCs w:val="18"/>
              </w:rPr>
            </w:pPr>
            <w:r w:rsidRPr="000973F2">
              <w:rPr>
                <w:rFonts w:ascii="Times New Roman" w:eastAsia="Times New Roman" w:hAnsi="Times New Roman" w:cs="Times New Roman"/>
                <w:b/>
                <w:bCs/>
                <w:sz w:val="18"/>
                <w:szCs w:val="18"/>
              </w:rPr>
              <w:t>Annualized Capital Cost (2017$/year)</w:t>
            </w:r>
          </w:p>
        </w:tc>
        <w:tc>
          <w:tcPr>
            <w:tcW w:w="631" w:type="pct"/>
            <w:tcMar>
              <w:left w:w="14" w:type="dxa"/>
              <w:right w:w="14" w:type="dxa"/>
            </w:tcMar>
            <w:hideMark/>
          </w:tcPr>
          <w:p w14:paraId="31DFFFDB" w14:textId="77777777" w:rsidR="00D17312" w:rsidRPr="000973F2" w:rsidRDefault="00D17312" w:rsidP="00403B5A">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18"/>
                <w:szCs w:val="18"/>
              </w:rPr>
            </w:pPr>
            <w:r w:rsidRPr="000973F2">
              <w:rPr>
                <w:rFonts w:ascii="Times New Roman" w:eastAsia="Times New Roman" w:hAnsi="Times New Roman" w:cs="Times New Roman"/>
                <w:b/>
                <w:bCs/>
                <w:sz w:val="18"/>
                <w:szCs w:val="18"/>
              </w:rPr>
              <w:t>O&amp;M Costs (2017$/year)</w:t>
            </w:r>
          </w:p>
        </w:tc>
        <w:tc>
          <w:tcPr>
            <w:tcW w:w="620" w:type="pct"/>
            <w:tcMar>
              <w:left w:w="14" w:type="dxa"/>
              <w:right w:w="14" w:type="dxa"/>
            </w:tcMar>
            <w:hideMark/>
          </w:tcPr>
          <w:p w14:paraId="79674B66" w14:textId="77777777" w:rsidR="00D17312" w:rsidRPr="000973F2" w:rsidRDefault="00D17312" w:rsidP="00403B5A">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18"/>
                <w:szCs w:val="18"/>
              </w:rPr>
            </w:pPr>
            <w:r w:rsidRPr="000973F2">
              <w:rPr>
                <w:rFonts w:ascii="Times New Roman" w:eastAsia="Times New Roman" w:hAnsi="Times New Roman" w:cs="Times New Roman"/>
                <w:b/>
                <w:bCs/>
                <w:sz w:val="18"/>
                <w:szCs w:val="18"/>
              </w:rPr>
              <w:t>Initial Year</w:t>
            </w:r>
          </w:p>
        </w:tc>
        <w:tc>
          <w:tcPr>
            <w:tcW w:w="626" w:type="pct"/>
            <w:tcMar>
              <w:left w:w="14" w:type="dxa"/>
              <w:right w:w="14" w:type="dxa"/>
            </w:tcMar>
            <w:hideMark/>
          </w:tcPr>
          <w:p w14:paraId="0AC475E7" w14:textId="77777777" w:rsidR="00D17312" w:rsidRPr="000973F2" w:rsidRDefault="00D17312" w:rsidP="00403B5A">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18"/>
                <w:szCs w:val="18"/>
              </w:rPr>
            </w:pPr>
            <w:r w:rsidRPr="000973F2">
              <w:rPr>
                <w:rFonts w:ascii="Times New Roman" w:eastAsia="Times New Roman" w:hAnsi="Times New Roman" w:cs="Times New Roman"/>
                <w:b/>
                <w:bCs/>
                <w:sz w:val="18"/>
                <w:szCs w:val="18"/>
              </w:rPr>
              <w:t>Subseq. Years</w:t>
            </w:r>
          </w:p>
        </w:tc>
      </w:tr>
      <w:tr w:rsidR="00403B5A" w:rsidRPr="000973F2" w14:paraId="3EB12806" w14:textId="77777777" w:rsidTr="00403B5A">
        <w:trPr>
          <w:cantSplit/>
        </w:trPr>
        <w:tc>
          <w:tcPr>
            <w:cnfStyle w:val="001000000000" w:firstRow="0" w:lastRow="0" w:firstColumn="1" w:lastColumn="0" w:oddVBand="0" w:evenVBand="0" w:oddHBand="0" w:evenHBand="0" w:firstRowFirstColumn="0" w:firstRowLastColumn="0" w:lastRowFirstColumn="0" w:lastRowLastColumn="0"/>
            <w:tcW w:w="1248" w:type="pct"/>
            <w:shd w:val="clear" w:color="auto" w:fill="auto"/>
            <w:tcMar>
              <w:right w:w="14" w:type="dxa"/>
            </w:tcMar>
            <w:hideMark/>
          </w:tcPr>
          <w:p w14:paraId="4C9CAB39" w14:textId="77777777" w:rsidR="00AB6F50" w:rsidRPr="000973F2" w:rsidRDefault="00AB6F50" w:rsidP="00403B5A">
            <w:pPr>
              <w:spacing w:before="40" w:after="4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Equipment (selection, purchase, installation)</w:t>
            </w:r>
          </w:p>
        </w:tc>
        <w:tc>
          <w:tcPr>
            <w:tcW w:w="625" w:type="pct"/>
            <w:shd w:val="clear" w:color="auto" w:fill="auto"/>
            <w:noWrap/>
            <w:hideMark/>
          </w:tcPr>
          <w:p w14:paraId="316186FE" w14:textId="77777777" w:rsidR="00AB6F50" w:rsidRPr="000973F2" w:rsidRDefault="00AB6F50" w:rsidP="00403B5A">
            <w:pPr>
              <w:spacing w:before="40" w:after="4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$0</w:t>
            </w:r>
          </w:p>
        </w:tc>
        <w:tc>
          <w:tcPr>
            <w:tcW w:w="626" w:type="pct"/>
            <w:shd w:val="clear" w:color="auto" w:fill="auto"/>
            <w:noWrap/>
          </w:tcPr>
          <w:p w14:paraId="05849D96" w14:textId="77777777" w:rsidR="00AB6F50" w:rsidRPr="000973F2" w:rsidRDefault="00AB6F50" w:rsidP="00403B5A">
            <w:pPr>
              <w:spacing w:before="40" w:after="4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p>
        </w:tc>
        <w:tc>
          <w:tcPr>
            <w:tcW w:w="625" w:type="pct"/>
            <w:shd w:val="clear" w:color="auto" w:fill="auto"/>
            <w:noWrap/>
            <w:hideMark/>
          </w:tcPr>
          <w:p w14:paraId="4B9E38C4" w14:textId="77777777" w:rsidR="00AB6F50" w:rsidRPr="000973F2" w:rsidRDefault="00AB6F50" w:rsidP="00403B5A">
            <w:pPr>
              <w:spacing w:before="40" w:after="4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$0</w:t>
            </w:r>
          </w:p>
        </w:tc>
        <w:tc>
          <w:tcPr>
            <w:tcW w:w="631" w:type="pct"/>
            <w:shd w:val="clear" w:color="auto" w:fill="auto"/>
            <w:noWrap/>
            <w:hideMark/>
          </w:tcPr>
          <w:p w14:paraId="0FF496AA" w14:textId="77777777" w:rsidR="00AB6F50" w:rsidRPr="000973F2" w:rsidRDefault="00AB6F50" w:rsidP="00403B5A">
            <w:pPr>
              <w:tabs>
                <w:tab w:val="decimal" w:pos="571"/>
              </w:tabs>
              <w:spacing w:before="40" w:after="4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$134</w:t>
            </w:r>
          </w:p>
        </w:tc>
        <w:tc>
          <w:tcPr>
            <w:tcW w:w="620" w:type="pct"/>
            <w:shd w:val="clear" w:color="auto" w:fill="auto"/>
            <w:noWrap/>
            <w:hideMark/>
          </w:tcPr>
          <w:p w14:paraId="3544BAF8" w14:textId="77777777" w:rsidR="00AB6F50" w:rsidRPr="000973F2" w:rsidRDefault="00AB6F50" w:rsidP="00403B5A">
            <w:pPr>
              <w:spacing w:before="40" w:after="4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$0</w:t>
            </w:r>
          </w:p>
        </w:tc>
        <w:tc>
          <w:tcPr>
            <w:tcW w:w="626" w:type="pct"/>
            <w:shd w:val="clear" w:color="auto" w:fill="auto"/>
            <w:noWrap/>
            <w:hideMark/>
          </w:tcPr>
          <w:p w14:paraId="28C59350" w14:textId="77777777" w:rsidR="00AB6F50" w:rsidRPr="000973F2" w:rsidRDefault="00AB6F50" w:rsidP="00403B5A">
            <w:pPr>
              <w:tabs>
                <w:tab w:val="decimal" w:pos="631"/>
              </w:tabs>
              <w:spacing w:before="40" w:after="4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$134</w:t>
            </w:r>
          </w:p>
        </w:tc>
      </w:tr>
      <w:tr w:rsidR="00403B5A" w:rsidRPr="000973F2" w14:paraId="1C167DBD" w14:textId="77777777" w:rsidTr="00403B5A">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1248" w:type="pct"/>
            <w:tcMar>
              <w:right w:w="14" w:type="dxa"/>
            </w:tcMar>
            <w:hideMark/>
          </w:tcPr>
          <w:p w14:paraId="2D593E5B" w14:textId="77777777" w:rsidR="00403B5A" w:rsidRPr="000973F2" w:rsidRDefault="00403B5A" w:rsidP="00403B5A">
            <w:pPr>
              <w:spacing w:before="40" w:after="4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Performance testing</w:t>
            </w:r>
          </w:p>
        </w:tc>
        <w:tc>
          <w:tcPr>
            <w:tcW w:w="625" w:type="pct"/>
            <w:noWrap/>
            <w:hideMark/>
          </w:tcPr>
          <w:p w14:paraId="53B9EA2C" w14:textId="339D82D0" w:rsidR="00403B5A" w:rsidRPr="000973F2" w:rsidRDefault="00403B5A" w:rsidP="00403B5A">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w:t>
            </w:r>
          </w:p>
        </w:tc>
        <w:tc>
          <w:tcPr>
            <w:tcW w:w="626" w:type="pct"/>
            <w:noWrap/>
          </w:tcPr>
          <w:p w14:paraId="1E596DE8" w14:textId="49BE1ECB" w:rsidR="00403B5A" w:rsidRPr="000973F2" w:rsidRDefault="00403B5A" w:rsidP="00403B5A">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p>
        </w:tc>
        <w:tc>
          <w:tcPr>
            <w:tcW w:w="625" w:type="pct"/>
            <w:noWrap/>
            <w:hideMark/>
          </w:tcPr>
          <w:p w14:paraId="67DA218A" w14:textId="0F58A5FF" w:rsidR="00403B5A" w:rsidRPr="000973F2" w:rsidRDefault="00403B5A" w:rsidP="00403B5A">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w:t>
            </w:r>
          </w:p>
        </w:tc>
        <w:tc>
          <w:tcPr>
            <w:tcW w:w="631" w:type="pct"/>
            <w:noWrap/>
            <w:hideMark/>
          </w:tcPr>
          <w:p w14:paraId="3645972E" w14:textId="27181DCB" w:rsidR="00403B5A" w:rsidRPr="000973F2" w:rsidRDefault="00403B5A" w:rsidP="00403B5A">
            <w:pPr>
              <w:tabs>
                <w:tab w:val="decimal" w:pos="571"/>
              </w:tabs>
              <w:spacing w:before="40" w:after="4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w:t>
            </w:r>
          </w:p>
        </w:tc>
        <w:tc>
          <w:tcPr>
            <w:tcW w:w="620" w:type="pct"/>
            <w:noWrap/>
            <w:hideMark/>
          </w:tcPr>
          <w:p w14:paraId="26C596B4" w14:textId="03ED9628" w:rsidR="00403B5A" w:rsidRPr="000973F2" w:rsidRDefault="00403B5A" w:rsidP="00403B5A">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w:t>
            </w:r>
          </w:p>
        </w:tc>
        <w:tc>
          <w:tcPr>
            <w:tcW w:w="626" w:type="pct"/>
            <w:noWrap/>
            <w:hideMark/>
          </w:tcPr>
          <w:p w14:paraId="05334CD0" w14:textId="1F898305" w:rsidR="00403B5A" w:rsidRPr="000973F2" w:rsidRDefault="00403B5A" w:rsidP="00403B5A">
            <w:pPr>
              <w:tabs>
                <w:tab w:val="decimal" w:pos="631"/>
              </w:tabs>
              <w:spacing w:before="40" w:after="4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w:t>
            </w:r>
          </w:p>
        </w:tc>
      </w:tr>
      <w:tr w:rsidR="00403B5A" w:rsidRPr="000973F2" w14:paraId="7988E66F" w14:textId="77777777" w:rsidTr="00403B5A">
        <w:trPr>
          <w:cantSplit/>
        </w:trPr>
        <w:tc>
          <w:tcPr>
            <w:cnfStyle w:val="001000000000" w:firstRow="0" w:lastRow="0" w:firstColumn="1" w:lastColumn="0" w:oddVBand="0" w:evenVBand="0" w:oddHBand="0" w:evenHBand="0" w:firstRowFirstColumn="0" w:firstRowLastColumn="0" w:lastRowFirstColumn="0" w:lastRowLastColumn="0"/>
            <w:tcW w:w="1248" w:type="pct"/>
            <w:shd w:val="clear" w:color="auto" w:fill="auto"/>
            <w:tcMar>
              <w:right w:w="14" w:type="dxa"/>
            </w:tcMar>
            <w:hideMark/>
          </w:tcPr>
          <w:p w14:paraId="25E27BA7" w14:textId="77777777" w:rsidR="00AB6F50" w:rsidRPr="000973F2" w:rsidRDefault="00AB6F50" w:rsidP="00403B5A">
            <w:pPr>
              <w:spacing w:before="40" w:after="4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Recordkeeping</w:t>
            </w:r>
          </w:p>
        </w:tc>
        <w:tc>
          <w:tcPr>
            <w:tcW w:w="625" w:type="pct"/>
            <w:shd w:val="clear" w:color="auto" w:fill="auto"/>
            <w:noWrap/>
            <w:hideMark/>
          </w:tcPr>
          <w:p w14:paraId="7CAE6DC9" w14:textId="77777777" w:rsidR="00AB6F50" w:rsidRPr="000973F2" w:rsidRDefault="00AB6F50" w:rsidP="00403B5A">
            <w:pPr>
              <w:spacing w:before="40" w:after="4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$0</w:t>
            </w:r>
          </w:p>
        </w:tc>
        <w:tc>
          <w:tcPr>
            <w:tcW w:w="626" w:type="pct"/>
            <w:shd w:val="clear" w:color="auto" w:fill="auto"/>
            <w:noWrap/>
          </w:tcPr>
          <w:p w14:paraId="4AB6BA18" w14:textId="1DB02260" w:rsidR="00AB6F50" w:rsidRPr="000973F2" w:rsidRDefault="00AB6F50" w:rsidP="00403B5A">
            <w:pPr>
              <w:spacing w:before="40" w:after="4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p>
        </w:tc>
        <w:tc>
          <w:tcPr>
            <w:tcW w:w="625" w:type="pct"/>
            <w:shd w:val="clear" w:color="auto" w:fill="auto"/>
            <w:noWrap/>
            <w:hideMark/>
          </w:tcPr>
          <w:p w14:paraId="5F0E1125" w14:textId="77777777" w:rsidR="00AB6F50" w:rsidRPr="000973F2" w:rsidRDefault="00AB6F50" w:rsidP="00403B5A">
            <w:pPr>
              <w:spacing w:before="40" w:after="4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$0</w:t>
            </w:r>
          </w:p>
        </w:tc>
        <w:tc>
          <w:tcPr>
            <w:tcW w:w="631" w:type="pct"/>
            <w:shd w:val="clear" w:color="auto" w:fill="auto"/>
            <w:noWrap/>
            <w:hideMark/>
          </w:tcPr>
          <w:p w14:paraId="39B49DE5" w14:textId="77777777" w:rsidR="00AB6F50" w:rsidRPr="000973F2" w:rsidRDefault="00AB6F50" w:rsidP="00403B5A">
            <w:pPr>
              <w:tabs>
                <w:tab w:val="decimal" w:pos="571"/>
              </w:tabs>
              <w:spacing w:before="40" w:after="4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$50</w:t>
            </w:r>
          </w:p>
        </w:tc>
        <w:tc>
          <w:tcPr>
            <w:tcW w:w="620" w:type="pct"/>
            <w:shd w:val="clear" w:color="auto" w:fill="auto"/>
            <w:noWrap/>
            <w:hideMark/>
          </w:tcPr>
          <w:p w14:paraId="611A31C8" w14:textId="77777777" w:rsidR="00AB6F50" w:rsidRPr="000973F2" w:rsidRDefault="00AB6F50" w:rsidP="00403B5A">
            <w:pPr>
              <w:spacing w:before="40" w:after="4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$0</w:t>
            </w:r>
          </w:p>
        </w:tc>
        <w:tc>
          <w:tcPr>
            <w:tcW w:w="626" w:type="pct"/>
            <w:shd w:val="clear" w:color="auto" w:fill="auto"/>
            <w:noWrap/>
            <w:hideMark/>
          </w:tcPr>
          <w:p w14:paraId="44F4AC75" w14:textId="77777777" w:rsidR="00AB6F50" w:rsidRPr="000973F2" w:rsidRDefault="00AB6F50" w:rsidP="00403B5A">
            <w:pPr>
              <w:tabs>
                <w:tab w:val="decimal" w:pos="631"/>
              </w:tabs>
              <w:spacing w:before="40" w:after="4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$50</w:t>
            </w:r>
          </w:p>
        </w:tc>
      </w:tr>
      <w:tr w:rsidR="00403B5A" w:rsidRPr="000973F2" w14:paraId="17EFDADB" w14:textId="77777777" w:rsidTr="00403B5A">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1248" w:type="pct"/>
            <w:tcMar>
              <w:right w:w="14" w:type="dxa"/>
            </w:tcMar>
            <w:hideMark/>
          </w:tcPr>
          <w:p w14:paraId="13FD19AD" w14:textId="77777777" w:rsidR="00403B5A" w:rsidRPr="000973F2" w:rsidRDefault="00403B5A" w:rsidP="00403B5A">
            <w:pPr>
              <w:spacing w:before="40" w:after="4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Travel</w:t>
            </w:r>
          </w:p>
        </w:tc>
        <w:tc>
          <w:tcPr>
            <w:tcW w:w="625" w:type="pct"/>
            <w:noWrap/>
            <w:hideMark/>
          </w:tcPr>
          <w:p w14:paraId="6FCEC44E" w14:textId="0CA918EB" w:rsidR="00403B5A" w:rsidRPr="000973F2" w:rsidRDefault="00403B5A" w:rsidP="00403B5A">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w:t>
            </w:r>
          </w:p>
        </w:tc>
        <w:tc>
          <w:tcPr>
            <w:tcW w:w="626" w:type="pct"/>
            <w:noWrap/>
          </w:tcPr>
          <w:p w14:paraId="6A4DE8F5" w14:textId="09237214" w:rsidR="00403B5A" w:rsidRPr="000973F2" w:rsidRDefault="00403B5A" w:rsidP="00403B5A">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p>
        </w:tc>
        <w:tc>
          <w:tcPr>
            <w:tcW w:w="625" w:type="pct"/>
            <w:noWrap/>
            <w:hideMark/>
          </w:tcPr>
          <w:p w14:paraId="49EEEC53" w14:textId="7DD27347" w:rsidR="00403B5A" w:rsidRPr="000973F2" w:rsidRDefault="00403B5A" w:rsidP="00403B5A">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w:t>
            </w:r>
          </w:p>
        </w:tc>
        <w:tc>
          <w:tcPr>
            <w:tcW w:w="631" w:type="pct"/>
            <w:noWrap/>
            <w:hideMark/>
          </w:tcPr>
          <w:p w14:paraId="6DED0683" w14:textId="038E8300" w:rsidR="00403B5A" w:rsidRPr="000973F2" w:rsidRDefault="00403B5A" w:rsidP="00403B5A">
            <w:pPr>
              <w:tabs>
                <w:tab w:val="decimal" w:pos="571"/>
              </w:tabs>
              <w:spacing w:before="40" w:after="4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w:t>
            </w:r>
          </w:p>
        </w:tc>
        <w:tc>
          <w:tcPr>
            <w:tcW w:w="620" w:type="pct"/>
            <w:noWrap/>
            <w:hideMark/>
          </w:tcPr>
          <w:p w14:paraId="391FD20A" w14:textId="55CEE471" w:rsidR="00403B5A" w:rsidRPr="000973F2" w:rsidRDefault="00403B5A" w:rsidP="00403B5A">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w:t>
            </w:r>
          </w:p>
        </w:tc>
        <w:tc>
          <w:tcPr>
            <w:tcW w:w="626" w:type="pct"/>
            <w:noWrap/>
            <w:hideMark/>
          </w:tcPr>
          <w:p w14:paraId="14C9AC9E" w14:textId="3DDECBB9" w:rsidR="00403B5A" w:rsidRPr="000973F2" w:rsidRDefault="00403B5A" w:rsidP="00403B5A">
            <w:pPr>
              <w:tabs>
                <w:tab w:val="decimal" w:pos="631"/>
              </w:tabs>
              <w:spacing w:before="40" w:after="4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w:t>
            </w:r>
          </w:p>
        </w:tc>
      </w:tr>
      <w:tr w:rsidR="00403B5A" w:rsidRPr="000973F2" w14:paraId="365570C2" w14:textId="77777777" w:rsidTr="00403B5A">
        <w:trPr>
          <w:cantSplit/>
        </w:trPr>
        <w:tc>
          <w:tcPr>
            <w:cnfStyle w:val="001000000000" w:firstRow="0" w:lastRow="0" w:firstColumn="1" w:lastColumn="0" w:oddVBand="0" w:evenVBand="0" w:oddHBand="0" w:evenHBand="0" w:firstRowFirstColumn="0" w:firstRowLastColumn="0" w:lastRowFirstColumn="0" w:lastRowLastColumn="0"/>
            <w:tcW w:w="1248" w:type="pct"/>
            <w:shd w:val="clear" w:color="auto" w:fill="auto"/>
            <w:tcMar>
              <w:right w:w="14" w:type="dxa"/>
            </w:tcMar>
            <w:hideMark/>
          </w:tcPr>
          <w:p w14:paraId="67ABB289" w14:textId="689E81AA" w:rsidR="00403B5A" w:rsidRPr="000973F2" w:rsidRDefault="00403B5A" w:rsidP="00403B5A">
            <w:pPr>
              <w:spacing w:before="40" w:after="4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Sampling and Analysis Costs</w:t>
            </w:r>
          </w:p>
        </w:tc>
        <w:tc>
          <w:tcPr>
            <w:tcW w:w="625" w:type="pct"/>
            <w:shd w:val="clear" w:color="auto" w:fill="auto"/>
            <w:noWrap/>
            <w:hideMark/>
          </w:tcPr>
          <w:p w14:paraId="40ED2DB4" w14:textId="4609E4CF" w:rsidR="00403B5A" w:rsidRPr="000973F2" w:rsidRDefault="00403B5A" w:rsidP="00403B5A">
            <w:pPr>
              <w:spacing w:before="40" w:after="4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w:t>
            </w:r>
          </w:p>
        </w:tc>
        <w:tc>
          <w:tcPr>
            <w:tcW w:w="626" w:type="pct"/>
            <w:shd w:val="clear" w:color="auto" w:fill="auto"/>
            <w:noWrap/>
          </w:tcPr>
          <w:p w14:paraId="65FF1680" w14:textId="2FDC1B65" w:rsidR="00403B5A" w:rsidRPr="000973F2" w:rsidRDefault="00403B5A" w:rsidP="00403B5A">
            <w:pPr>
              <w:spacing w:before="40" w:after="4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p>
        </w:tc>
        <w:tc>
          <w:tcPr>
            <w:tcW w:w="625" w:type="pct"/>
            <w:shd w:val="clear" w:color="auto" w:fill="auto"/>
            <w:noWrap/>
            <w:hideMark/>
          </w:tcPr>
          <w:p w14:paraId="060F0A9D" w14:textId="686129F0" w:rsidR="00403B5A" w:rsidRPr="000973F2" w:rsidRDefault="00403B5A" w:rsidP="00403B5A">
            <w:pPr>
              <w:spacing w:before="40" w:after="4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w:t>
            </w:r>
          </w:p>
        </w:tc>
        <w:tc>
          <w:tcPr>
            <w:tcW w:w="631" w:type="pct"/>
            <w:shd w:val="clear" w:color="auto" w:fill="auto"/>
            <w:noWrap/>
            <w:hideMark/>
          </w:tcPr>
          <w:p w14:paraId="0A16E1E9" w14:textId="10293926" w:rsidR="00403B5A" w:rsidRPr="000973F2" w:rsidRDefault="00403B5A" w:rsidP="00403B5A">
            <w:pPr>
              <w:tabs>
                <w:tab w:val="decimal" w:pos="571"/>
              </w:tabs>
              <w:spacing w:before="40" w:after="4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w:t>
            </w:r>
          </w:p>
        </w:tc>
        <w:tc>
          <w:tcPr>
            <w:tcW w:w="620" w:type="pct"/>
            <w:shd w:val="clear" w:color="auto" w:fill="auto"/>
            <w:noWrap/>
            <w:hideMark/>
          </w:tcPr>
          <w:p w14:paraId="2AE555F4" w14:textId="1DFC3FE5" w:rsidR="00403B5A" w:rsidRPr="000973F2" w:rsidRDefault="00403B5A" w:rsidP="00403B5A">
            <w:pPr>
              <w:spacing w:before="40" w:after="4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w:t>
            </w:r>
          </w:p>
        </w:tc>
        <w:tc>
          <w:tcPr>
            <w:tcW w:w="626" w:type="pct"/>
            <w:shd w:val="clear" w:color="auto" w:fill="auto"/>
            <w:noWrap/>
            <w:hideMark/>
          </w:tcPr>
          <w:p w14:paraId="3B1F2EDC" w14:textId="02567473" w:rsidR="00403B5A" w:rsidRPr="000973F2" w:rsidRDefault="00403B5A" w:rsidP="00403B5A">
            <w:pPr>
              <w:tabs>
                <w:tab w:val="decimal" w:pos="631"/>
              </w:tabs>
              <w:spacing w:before="40" w:after="4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w:t>
            </w:r>
          </w:p>
        </w:tc>
      </w:tr>
      <w:tr w:rsidR="00403B5A" w:rsidRPr="000973F2" w14:paraId="6368D15E" w14:textId="77777777" w:rsidTr="00403B5A">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1248" w:type="pct"/>
            <w:tcMar>
              <w:right w:w="14" w:type="dxa"/>
            </w:tcMar>
            <w:hideMark/>
          </w:tcPr>
          <w:p w14:paraId="06D39D38" w14:textId="77777777" w:rsidR="00AB6F50" w:rsidRPr="000973F2" w:rsidRDefault="00AB6F50" w:rsidP="00403B5A">
            <w:pPr>
              <w:spacing w:before="40" w:after="40"/>
              <w:rPr>
                <w:rFonts w:ascii="Times New Roman" w:eastAsia="Times New Roman" w:hAnsi="Times New Roman" w:cs="Times New Roman"/>
                <w:b/>
                <w:bCs w:val="0"/>
                <w:sz w:val="18"/>
                <w:szCs w:val="18"/>
              </w:rPr>
            </w:pPr>
            <w:r w:rsidRPr="000973F2">
              <w:rPr>
                <w:rFonts w:ascii="Times New Roman" w:eastAsia="Times New Roman" w:hAnsi="Times New Roman" w:cs="Times New Roman"/>
                <w:b/>
                <w:sz w:val="18"/>
                <w:szCs w:val="18"/>
              </w:rPr>
              <w:t xml:space="preserve">Total </w:t>
            </w:r>
          </w:p>
        </w:tc>
        <w:tc>
          <w:tcPr>
            <w:tcW w:w="625" w:type="pct"/>
            <w:noWrap/>
            <w:hideMark/>
          </w:tcPr>
          <w:p w14:paraId="7F431F8B" w14:textId="77777777" w:rsidR="00AB6F50" w:rsidRPr="000973F2" w:rsidRDefault="00AB6F50" w:rsidP="00403B5A">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sz w:val="18"/>
                <w:szCs w:val="18"/>
              </w:rPr>
            </w:pPr>
            <w:r w:rsidRPr="000973F2">
              <w:rPr>
                <w:rFonts w:ascii="Times New Roman" w:eastAsia="Times New Roman" w:hAnsi="Times New Roman" w:cs="Times New Roman"/>
                <w:b/>
                <w:sz w:val="18"/>
                <w:szCs w:val="18"/>
              </w:rPr>
              <w:t>$0</w:t>
            </w:r>
          </w:p>
        </w:tc>
        <w:tc>
          <w:tcPr>
            <w:tcW w:w="626" w:type="pct"/>
            <w:noWrap/>
            <w:hideMark/>
          </w:tcPr>
          <w:p w14:paraId="4D1E0C29" w14:textId="01316497" w:rsidR="00AB6F50" w:rsidRPr="000973F2" w:rsidRDefault="00AB6F50" w:rsidP="00403B5A">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sz w:val="18"/>
                <w:szCs w:val="18"/>
              </w:rPr>
            </w:pPr>
          </w:p>
        </w:tc>
        <w:tc>
          <w:tcPr>
            <w:tcW w:w="625" w:type="pct"/>
            <w:noWrap/>
            <w:hideMark/>
          </w:tcPr>
          <w:p w14:paraId="14C553B1" w14:textId="77777777" w:rsidR="00AB6F50" w:rsidRPr="000973F2" w:rsidRDefault="00AB6F50" w:rsidP="00403B5A">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sz w:val="18"/>
                <w:szCs w:val="18"/>
              </w:rPr>
            </w:pPr>
            <w:r w:rsidRPr="000973F2">
              <w:rPr>
                <w:rFonts w:ascii="Times New Roman" w:eastAsia="Times New Roman" w:hAnsi="Times New Roman" w:cs="Times New Roman"/>
                <w:b/>
                <w:sz w:val="18"/>
                <w:szCs w:val="18"/>
              </w:rPr>
              <w:t>$0</w:t>
            </w:r>
          </w:p>
        </w:tc>
        <w:tc>
          <w:tcPr>
            <w:tcW w:w="631" w:type="pct"/>
            <w:noWrap/>
            <w:hideMark/>
          </w:tcPr>
          <w:p w14:paraId="71287C1F" w14:textId="77777777" w:rsidR="00AB6F50" w:rsidRPr="000973F2" w:rsidRDefault="00AB6F50" w:rsidP="00403B5A">
            <w:pPr>
              <w:tabs>
                <w:tab w:val="decimal" w:pos="571"/>
              </w:tabs>
              <w:spacing w:before="40" w:after="4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sz w:val="18"/>
                <w:szCs w:val="18"/>
              </w:rPr>
            </w:pPr>
            <w:r w:rsidRPr="000973F2">
              <w:rPr>
                <w:rFonts w:ascii="Times New Roman" w:eastAsia="Times New Roman" w:hAnsi="Times New Roman" w:cs="Times New Roman"/>
                <w:b/>
                <w:sz w:val="18"/>
                <w:szCs w:val="18"/>
              </w:rPr>
              <w:t>$184</w:t>
            </w:r>
          </w:p>
        </w:tc>
        <w:tc>
          <w:tcPr>
            <w:tcW w:w="620" w:type="pct"/>
            <w:noWrap/>
            <w:hideMark/>
          </w:tcPr>
          <w:p w14:paraId="392EB4C3" w14:textId="77777777" w:rsidR="00AB6F50" w:rsidRPr="000973F2" w:rsidRDefault="00AB6F50" w:rsidP="00403B5A">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sz w:val="18"/>
                <w:szCs w:val="18"/>
              </w:rPr>
            </w:pPr>
            <w:r w:rsidRPr="000973F2">
              <w:rPr>
                <w:rFonts w:ascii="Times New Roman" w:eastAsia="Times New Roman" w:hAnsi="Times New Roman" w:cs="Times New Roman"/>
                <w:b/>
                <w:sz w:val="18"/>
                <w:szCs w:val="18"/>
              </w:rPr>
              <w:t>$0</w:t>
            </w:r>
          </w:p>
        </w:tc>
        <w:tc>
          <w:tcPr>
            <w:tcW w:w="626" w:type="pct"/>
            <w:noWrap/>
            <w:hideMark/>
          </w:tcPr>
          <w:p w14:paraId="4FD96E49" w14:textId="77777777" w:rsidR="00AB6F50" w:rsidRPr="000973F2" w:rsidRDefault="00AB6F50" w:rsidP="00403B5A">
            <w:pPr>
              <w:tabs>
                <w:tab w:val="decimal" w:pos="631"/>
              </w:tabs>
              <w:spacing w:before="40" w:after="4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sz w:val="18"/>
                <w:szCs w:val="18"/>
              </w:rPr>
            </w:pPr>
            <w:r w:rsidRPr="000973F2">
              <w:rPr>
                <w:rFonts w:ascii="Times New Roman" w:eastAsia="Times New Roman" w:hAnsi="Times New Roman" w:cs="Times New Roman"/>
                <w:b/>
                <w:sz w:val="18"/>
                <w:szCs w:val="18"/>
              </w:rPr>
              <w:t>$184</w:t>
            </w:r>
          </w:p>
        </w:tc>
      </w:tr>
    </w:tbl>
    <w:p w14:paraId="3CF809D1" w14:textId="77777777" w:rsidR="00F853C9" w:rsidRPr="000973F2" w:rsidRDefault="00F853C9" w:rsidP="00C00E4F">
      <w:pPr>
        <w:spacing w:line="240" w:lineRule="auto"/>
        <w:rPr>
          <w:rFonts w:ascii="Times New Roman" w:hAnsi="Times New Roman" w:cs="Times New Roman"/>
          <w:sz w:val="20"/>
          <w:szCs w:val="20"/>
        </w:rPr>
      </w:pPr>
    </w:p>
    <w:p w14:paraId="522B664A" w14:textId="3B3E9EC5" w:rsidR="00AB6F50" w:rsidRPr="000973F2" w:rsidRDefault="00AB6F50" w:rsidP="0061585D">
      <w:pPr>
        <w:pStyle w:val="Heading2"/>
      </w:pPr>
      <w:r w:rsidRPr="000973F2">
        <w:t xml:space="preserve">Labor Costs for Subpart W </w:t>
      </w:r>
      <w:r w:rsidR="00403B5A" w:rsidRPr="000973F2">
        <w:t>–</w:t>
      </w:r>
      <w:r w:rsidRPr="000973F2">
        <w:t xml:space="preserve"> Natural Gas Transmission Pipeline</w:t>
      </w:r>
    </w:p>
    <w:p w14:paraId="65FFFB6C" w14:textId="244184F8" w:rsidR="00AB6F50" w:rsidRPr="000973F2" w:rsidRDefault="00AB6F50" w:rsidP="00403B5A">
      <w:pPr>
        <w:pStyle w:val="BodyText"/>
      </w:pPr>
      <w:r w:rsidRPr="000973F2">
        <w:t xml:space="preserve">Table </w:t>
      </w:r>
      <w:r w:rsidR="00403B5A" w:rsidRPr="000973F2">
        <w:t>W-</w:t>
      </w:r>
      <w:r w:rsidRPr="000973F2">
        <w:t>1j below includes the labor hours for each of the 33 existing reporters in the Natural Gas Transmission Pipeline industry segment to comply with Subpart W according to §98.232(k). Typical activities related to planning, QA/QC, recordkeeping and reporting, and sampling and analysis (which includes emission calculations) are discussed in the Cost Appendix Introduction. Calculations required for this industry segment are detailed in §98.233, based on the emission sources listed in §98.232(k).</w:t>
      </w:r>
    </w:p>
    <w:p w14:paraId="1FCEEDF1" w14:textId="7AA2EA19" w:rsidR="00AB6F50" w:rsidRPr="000973F2" w:rsidRDefault="00AB6F50" w:rsidP="0061585D">
      <w:pPr>
        <w:pStyle w:val="Heading2"/>
      </w:pPr>
      <w:r w:rsidRPr="000973F2">
        <w:t xml:space="preserve">Capital and O&amp;M Costs for Subpart W </w:t>
      </w:r>
      <w:r w:rsidR="00403B5A" w:rsidRPr="000973F2">
        <w:t>–</w:t>
      </w:r>
      <w:r w:rsidRPr="000973F2">
        <w:t xml:space="preserve"> Natural Gas Transmission Pipeline</w:t>
      </w:r>
    </w:p>
    <w:p w14:paraId="608AF44A" w14:textId="1524239F" w:rsidR="00AB6F50" w:rsidRPr="000973F2" w:rsidRDefault="00AB6F50" w:rsidP="00403B5A">
      <w:pPr>
        <w:pStyle w:val="BodyText"/>
      </w:pPr>
      <w:r w:rsidRPr="000973F2">
        <w:t xml:space="preserve">Table </w:t>
      </w:r>
      <w:r w:rsidR="00403B5A" w:rsidRPr="000973F2">
        <w:t>W-</w:t>
      </w:r>
      <w:r w:rsidRPr="000973F2">
        <w:t>2j below includes the capital and O&amp;M costs for each of the 33 reporters in the Natural Gas Transmission Pipeline industry segment to comply with Subpart W. The O&amp;M costs related to recordkeeping are discussed in the Cost Appendix Introduction.</w:t>
      </w:r>
    </w:p>
    <w:p w14:paraId="4E59710A" w14:textId="4681C881" w:rsidR="00AB6F50" w:rsidRPr="000973F2" w:rsidRDefault="00AB6F50" w:rsidP="00403B5A">
      <w:pPr>
        <w:pStyle w:val="Tabletitle"/>
      </w:pPr>
      <w:r w:rsidRPr="000973F2">
        <w:t xml:space="preserve">Table </w:t>
      </w:r>
      <w:r w:rsidR="00403B5A" w:rsidRPr="000973F2">
        <w:t>W-</w:t>
      </w:r>
      <w:r w:rsidRPr="000973F2">
        <w:t xml:space="preserve">1j. </w:t>
      </w:r>
      <w:r w:rsidR="001F4582" w:rsidRPr="000973F2">
        <w:t xml:space="preserve">Labor Costs </w:t>
      </w:r>
      <w:r w:rsidR="00B960CC" w:rsidRPr="000973F2">
        <w:t>–</w:t>
      </w:r>
      <w:r w:rsidR="001F4582" w:rsidRPr="000973F2">
        <w:t xml:space="preserve"> </w:t>
      </w:r>
      <w:r w:rsidRPr="000973F2">
        <w:t xml:space="preserve">Subpart W – </w:t>
      </w:r>
      <w:bookmarkStart w:id="46" w:name="_Hlk520798063"/>
      <w:r w:rsidRPr="000973F2">
        <w:t>Natural Gas Transmission Pipeline</w:t>
      </w:r>
      <w:bookmarkEnd w:id="46"/>
    </w:p>
    <w:tbl>
      <w:tblPr>
        <w:tblStyle w:val="PlainTable1"/>
        <w:tblW w:w="5000" w:type="pct"/>
        <w:jc w:val="left"/>
        <w:tblLayout w:type="fixed"/>
        <w:tblLook w:val="04A0" w:firstRow="1" w:lastRow="0" w:firstColumn="1" w:lastColumn="0" w:noHBand="0" w:noVBand="1"/>
      </w:tblPr>
      <w:tblGrid>
        <w:gridCol w:w="1278"/>
        <w:gridCol w:w="691"/>
        <w:gridCol w:w="692"/>
        <w:gridCol w:w="693"/>
        <w:gridCol w:w="692"/>
        <w:gridCol w:w="693"/>
        <w:gridCol w:w="692"/>
        <w:gridCol w:w="692"/>
        <w:gridCol w:w="693"/>
        <w:gridCol w:w="692"/>
        <w:gridCol w:w="693"/>
        <w:gridCol w:w="633"/>
        <w:gridCol w:w="742"/>
      </w:tblGrid>
      <w:tr w:rsidR="00AB6F50" w:rsidRPr="000973F2" w14:paraId="688031F2" w14:textId="77777777" w:rsidTr="00B6531F">
        <w:trPr>
          <w:cnfStyle w:val="100000000000" w:firstRow="1" w:lastRow="0" w:firstColumn="0" w:lastColumn="0" w:oddVBand="0" w:evenVBand="0" w:oddHBand="0" w:evenHBand="0" w:firstRowFirstColumn="0" w:firstRowLastColumn="0" w:lastRowFirstColumn="0" w:lastRowLastColumn="0"/>
          <w:trHeight w:val="292"/>
          <w:jc w:val="left"/>
        </w:trPr>
        <w:tc>
          <w:tcPr>
            <w:cnfStyle w:val="001000000000" w:firstRow="0" w:lastRow="0" w:firstColumn="1" w:lastColumn="0" w:oddVBand="0" w:evenVBand="0" w:oddHBand="0" w:evenHBand="0" w:firstRowFirstColumn="0" w:firstRowLastColumn="0" w:lastRowFirstColumn="0" w:lastRowLastColumn="0"/>
            <w:tcW w:w="1246" w:type="dxa"/>
            <w:vMerge w:val="restart"/>
            <w:noWrap/>
            <w:vAlign w:val="top"/>
            <w:hideMark/>
          </w:tcPr>
          <w:p w14:paraId="58526F89" w14:textId="77777777" w:rsidR="00AB6F50" w:rsidRPr="000973F2" w:rsidRDefault="00AB6F50" w:rsidP="00817379">
            <w:pPr>
              <w:spacing w:before="40" w:after="40"/>
              <w:rPr>
                <w:rFonts w:ascii="Times New Roman" w:eastAsia="Times New Roman" w:hAnsi="Times New Roman" w:cs="Times New Roman"/>
                <w:b w:val="0"/>
                <w:bCs w:val="0"/>
                <w:sz w:val="18"/>
                <w:szCs w:val="18"/>
              </w:rPr>
            </w:pPr>
            <w:r w:rsidRPr="000973F2">
              <w:rPr>
                <w:rFonts w:ascii="Times New Roman" w:eastAsia="Times New Roman" w:hAnsi="Times New Roman" w:cs="Times New Roman"/>
                <w:sz w:val="18"/>
                <w:szCs w:val="18"/>
              </w:rPr>
              <w:t>Activity</w:t>
            </w:r>
          </w:p>
        </w:tc>
        <w:tc>
          <w:tcPr>
            <w:tcW w:w="6744" w:type="dxa"/>
            <w:gridSpan w:val="10"/>
            <w:noWrap/>
            <w:vAlign w:val="top"/>
            <w:hideMark/>
          </w:tcPr>
          <w:p w14:paraId="6D8DD1FA" w14:textId="77777777" w:rsidR="00AB6F50" w:rsidRPr="000973F2" w:rsidRDefault="00AB6F50" w:rsidP="00817379">
            <w:pPr>
              <w:spacing w:before="40" w:after="40"/>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bCs w:val="0"/>
                <w:sz w:val="18"/>
                <w:szCs w:val="18"/>
              </w:rPr>
            </w:pPr>
            <w:r w:rsidRPr="000973F2">
              <w:rPr>
                <w:rFonts w:ascii="Times New Roman" w:eastAsia="Times New Roman" w:hAnsi="Times New Roman" w:cs="Times New Roman"/>
                <w:sz w:val="18"/>
                <w:szCs w:val="18"/>
              </w:rPr>
              <w:t>Labor Rates (per hour)</w:t>
            </w:r>
          </w:p>
        </w:tc>
        <w:tc>
          <w:tcPr>
            <w:tcW w:w="1340" w:type="dxa"/>
            <w:gridSpan w:val="2"/>
            <w:vMerge w:val="restart"/>
            <w:vAlign w:val="top"/>
            <w:hideMark/>
          </w:tcPr>
          <w:p w14:paraId="20A4ACA6" w14:textId="5C486486" w:rsidR="00AB6F50" w:rsidRPr="000973F2" w:rsidRDefault="00AB6F50" w:rsidP="00817379">
            <w:pPr>
              <w:spacing w:before="40" w:after="40"/>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bCs w:val="0"/>
                <w:sz w:val="18"/>
                <w:szCs w:val="18"/>
              </w:rPr>
            </w:pPr>
            <w:r w:rsidRPr="000973F2">
              <w:rPr>
                <w:rFonts w:ascii="Times New Roman" w:eastAsia="Times New Roman" w:hAnsi="Times New Roman" w:cs="Times New Roman"/>
                <w:sz w:val="18"/>
                <w:szCs w:val="18"/>
              </w:rPr>
              <w:t>Total Labor Cost per Year per Reporter</w:t>
            </w:r>
            <w:r w:rsidR="00817379" w:rsidRPr="000973F2">
              <w:rPr>
                <w:rFonts w:ascii="Times New Roman" w:eastAsia="Times New Roman" w:hAnsi="Times New Roman" w:cs="Times New Roman"/>
                <w:sz w:val="18"/>
                <w:szCs w:val="18"/>
              </w:rPr>
              <w:t xml:space="preserve"> </w:t>
            </w:r>
            <w:r w:rsidRPr="000973F2">
              <w:rPr>
                <w:rFonts w:ascii="Times New Roman" w:eastAsia="Times New Roman" w:hAnsi="Times New Roman" w:cs="Times New Roman"/>
                <w:sz w:val="18"/>
                <w:szCs w:val="18"/>
              </w:rPr>
              <w:t>(2017$)</w:t>
            </w:r>
          </w:p>
        </w:tc>
      </w:tr>
      <w:tr w:rsidR="00AB6F50" w:rsidRPr="000973F2" w14:paraId="4DE6C504" w14:textId="77777777" w:rsidTr="00B6531F">
        <w:trPr>
          <w:cnfStyle w:val="000000100000" w:firstRow="0" w:lastRow="0" w:firstColumn="0" w:lastColumn="0" w:oddVBand="0" w:evenVBand="0" w:oddHBand="1" w:evenHBand="0" w:firstRowFirstColumn="0" w:firstRowLastColumn="0" w:lastRowFirstColumn="0" w:lastRowLastColumn="0"/>
          <w:trHeight w:val="278"/>
        </w:trPr>
        <w:tc>
          <w:tcPr>
            <w:cnfStyle w:val="001000000000" w:firstRow="0" w:lastRow="0" w:firstColumn="1" w:lastColumn="0" w:oddVBand="0" w:evenVBand="0" w:oddHBand="0" w:evenHBand="0" w:firstRowFirstColumn="0" w:firstRowLastColumn="0" w:lastRowFirstColumn="0" w:lastRowLastColumn="0"/>
            <w:tcW w:w="1246" w:type="dxa"/>
            <w:vMerge/>
            <w:hideMark/>
          </w:tcPr>
          <w:p w14:paraId="1909025C" w14:textId="77777777" w:rsidR="00AB6F50" w:rsidRPr="000973F2" w:rsidRDefault="00AB6F50" w:rsidP="00817379">
            <w:pPr>
              <w:spacing w:before="40" w:after="40"/>
              <w:rPr>
                <w:rFonts w:ascii="Times New Roman" w:eastAsia="Times New Roman" w:hAnsi="Times New Roman" w:cs="Times New Roman"/>
                <w:b/>
                <w:bCs w:val="0"/>
                <w:sz w:val="18"/>
                <w:szCs w:val="18"/>
              </w:rPr>
            </w:pPr>
          </w:p>
        </w:tc>
        <w:tc>
          <w:tcPr>
            <w:tcW w:w="1348" w:type="dxa"/>
            <w:gridSpan w:val="2"/>
            <w:noWrap/>
            <w:hideMark/>
          </w:tcPr>
          <w:p w14:paraId="09AC370D" w14:textId="77777777" w:rsidR="00AB6F50" w:rsidRPr="000973F2" w:rsidRDefault="00AB6F50" w:rsidP="00817379">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18"/>
                <w:szCs w:val="18"/>
              </w:rPr>
            </w:pPr>
            <w:r w:rsidRPr="000973F2">
              <w:rPr>
                <w:rFonts w:ascii="Times New Roman" w:eastAsia="Times New Roman" w:hAnsi="Times New Roman" w:cs="Times New Roman"/>
                <w:b/>
                <w:bCs/>
                <w:sz w:val="18"/>
                <w:szCs w:val="18"/>
              </w:rPr>
              <w:t>Lawyer</w:t>
            </w:r>
          </w:p>
        </w:tc>
        <w:tc>
          <w:tcPr>
            <w:tcW w:w="1349" w:type="dxa"/>
            <w:gridSpan w:val="2"/>
            <w:noWrap/>
            <w:hideMark/>
          </w:tcPr>
          <w:p w14:paraId="2EC8A6F8" w14:textId="77777777" w:rsidR="00AB6F50" w:rsidRPr="000973F2" w:rsidRDefault="00AB6F50" w:rsidP="00817379">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18"/>
                <w:szCs w:val="18"/>
              </w:rPr>
            </w:pPr>
            <w:r w:rsidRPr="000973F2">
              <w:rPr>
                <w:rFonts w:ascii="Times New Roman" w:eastAsia="Times New Roman" w:hAnsi="Times New Roman" w:cs="Times New Roman"/>
                <w:b/>
                <w:bCs/>
                <w:sz w:val="18"/>
                <w:szCs w:val="18"/>
              </w:rPr>
              <w:t>Senior Manager</w:t>
            </w:r>
          </w:p>
        </w:tc>
        <w:tc>
          <w:tcPr>
            <w:tcW w:w="1349" w:type="dxa"/>
            <w:gridSpan w:val="2"/>
            <w:noWrap/>
            <w:hideMark/>
          </w:tcPr>
          <w:p w14:paraId="62BA493D" w14:textId="77777777" w:rsidR="00AB6F50" w:rsidRPr="000973F2" w:rsidRDefault="00AB6F50" w:rsidP="00817379">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18"/>
                <w:szCs w:val="18"/>
              </w:rPr>
            </w:pPr>
            <w:r w:rsidRPr="000973F2">
              <w:rPr>
                <w:rFonts w:ascii="Times New Roman" w:eastAsia="Times New Roman" w:hAnsi="Times New Roman" w:cs="Times New Roman"/>
                <w:b/>
                <w:bCs/>
                <w:sz w:val="18"/>
                <w:szCs w:val="18"/>
              </w:rPr>
              <w:t>Middle Manager</w:t>
            </w:r>
          </w:p>
        </w:tc>
        <w:tc>
          <w:tcPr>
            <w:tcW w:w="1349" w:type="dxa"/>
            <w:gridSpan w:val="2"/>
            <w:hideMark/>
          </w:tcPr>
          <w:p w14:paraId="1F989E80" w14:textId="77777777" w:rsidR="00AB6F50" w:rsidRPr="000973F2" w:rsidRDefault="00AB6F50" w:rsidP="00817379">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18"/>
                <w:szCs w:val="18"/>
              </w:rPr>
            </w:pPr>
            <w:r w:rsidRPr="000973F2">
              <w:rPr>
                <w:rFonts w:ascii="Times New Roman" w:eastAsia="Times New Roman" w:hAnsi="Times New Roman" w:cs="Times New Roman"/>
                <w:b/>
                <w:bCs/>
                <w:sz w:val="18"/>
                <w:szCs w:val="18"/>
              </w:rPr>
              <w:t>Engineer</w:t>
            </w:r>
          </w:p>
        </w:tc>
        <w:tc>
          <w:tcPr>
            <w:tcW w:w="1349" w:type="dxa"/>
            <w:gridSpan w:val="2"/>
            <w:hideMark/>
          </w:tcPr>
          <w:p w14:paraId="3D055936" w14:textId="77777777" w:rsidR="00AB6F50" w:rsidRPr="000973F2" w:rsidRDefault="00AB6F50" w:rsidP="00817379">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18"/>
                <w:szCs w:val="18"/>
              </w:rPr>
            </w:pPr>
            <w:r w:rsidRPr="000973F2">
              <w:rPr>
                <w:rFonts w:ascii="Times New Roman" w:eastAsia="Times New Roman" w:hAnsi="Times New Roman" w:cs="Times New Roman"/>
                <w:b/>
                <w:bCs/>
                <w:sz w:val="18"/>
                <w:szCs w:val="18"/>
              </w:rPr>
              <w:t>Technician</w:t>
            </w:r>
          </w:p>
        </w:tc>
        <w:tc>
          <w:tcPr>
            <w:tcW w:w="1340" w:type="dxa"/>
            <w:gridSpan w:val="2"/>
            <w:vMerge/>
            <w:hideMark/>
          </w:tcPr>
          <w:p w14:paraId="113C35C0" w14:textId="77777777" w:rsidR="00AB6F50" w:rsidRPr="000973F2" w:rsidRDefault="00AB6F50" w:rsidP="00817379">
            <w:pPr>
              <w:spacing w:before="40" w:after="4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18"/>
                <w:szCs w:val="18"/>
              </w:rPr>
            </w:pPr>
          </w:p>
        </w:tc>
      </w:tr>
      <w:tr w:rsidR="00AB6F50" w:rsidRPr="000973F2" w14:paraId="11B4F5BD" w14:textId="77777777" w:rsidTr="00B6531F">
        <w:trPr>
          <w:trHeight w:val="278"/>
        </w:trPr>
        <w:tc>
          <w:tcPr>
            <w:cnfStyle w:val="001000000000" w:firstRow="0" w:lastRow="0" w:firstColumn="1" w:lastColumn="0" w:oddVBand="0" w:evenVBand="0" w:oddHBand="0" w:evenHBand="0" w:firstRowFirstColumn="0" w:firstRowLastColumn="0" w:lastRowFirstColumn="0" w:lastRowLastColumn="0"/>
            <w:tcW w:w="1246" w:type="dxa"/>
            <w:vMerge/>
            <w:hideMark/>
          </w:tcPr>
          <w:p w14:paraId="2921021F" w14:textId="77777777" w:rsidR="00AB6F50" w:rsidRPr="000973F2" w:rsidRDefault="00AB6F50" w:rsidP="00817379">
            <w:pPr>
              <w:spacing w:before="40" w:after="40"/>
              <w:rPr>
                <w:rFonts w:ascii="Times New Roman" w:eastAsia="Times New Roman" w:hAnsi="Times New Roman" w:cs="Times New Roman"/>
                <w:b/>
                <w:bCs w:val="0"/>
                <w:sz w:val="18"/>
                <w:szCs w:val="18"/>
              </w:rPr>
            </w:pPr>
          </w:p>
        </w:tc>
        <w:tc>
          <w:tcPr>
            <w:tcW w:w="1348" w:type="dxa"/>
            <w:gridSpan w:val="2"/>
            <w:noWrap/>
            <w:hideMark/>
          </w:tcPr>
          <w:p w14:paraId="725B26AA" w14:textId="773578AA" w:rsidR="00AB6F50" w:rsidRPr="000973F2" w:rsidRDefault="00AB6F50" w:rsidP="00817379">
            <w:pPr>
              <w:spacing w:before="40" w:after="4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sz w:val="18"/>
                <w:szCs w:val="18"/>
              </w:rPr>
            </w:pPr>
            <w:r w:rsidRPr="000973F2">
              <w:rPr>
                <w:rFonts w:ascii="Times New Roman" w:eastAsia="Times New Roman" w:hAnsi="Times New Roman" w:cs="Times New Roman"/>
                <w:b/>
                <w:bCs/>
                <w:sz w:val="18"/>
                <w:szCs w:val="18"/>
              </w:rPr>
              <w:t>$112.23</w:t>
            </w:r>
          </w:p>
        </w:tc>
        <w:tc>
          <w:tcPr>
            <w:tcW w:w="1349" w:type="dxa"/>
            <w:gridSpan w:val="2"/>
            <w:hideMark/>
          </w:tcPr>
          <w:p w14:paraId="2DE74BEF" w14:textId="5962FC4E" w:rsidR="00AB6F50" w:rsidRPr="000973F2" w:rsidRDefault="00AB6F50" w:rsidP="00817379">
            <w:pPr>
              <w:spacing w:before="40" w:after="4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sz w:val="18"/>
                <w:szCs w:val="18"/>
              </w:rPr>
            </w:pPr>
            <w:r w:rsidRPr="000973F2">
              <w:rPr>
                <w:rFonts w:ascii="Times New Roman" w:eastAsia="Times New Roman" w:hAnsi="Times New Roman" w:cs="Times New Roman"/>
                <w:b/>
                <w:bCs/>
                <w:sz w:val="18"/>
                <w:szCs w:val="18"/>
              </w:rPr>
              <w:t>$141.54</w:t>
            </w:r>
          </w:p>
        </w:tc>
        <w:tc>
          <w:tcPr>
            <w:tcW w:w="1349" w:type="dxa"/>
            <w:gridSpan w:val="2"/>
            <w:noWrap/>
            <w:hideMark/>
          </w:tcPr>
          <w:p w14:paraId="1D58D330" w14:textId="45762190" w:rsidR="00AB6F50" w:rsidRPr="000973F2" w:rsidRDefault="00AB6F50" w:rsidP="00817379">
            <w:pPr>
              <w:spacing w:before="40" w:after="4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sz w:val="18"/>
                <w:szCs w:val="18"/>
              </w:rPr>
            </w:pPr>
            <w:r w:rsidRPr="000973F2">
              <w:rPr>
                <w:rFonts w:ascii="Times New Roman" w:eastAsia="Times New Roman" w:hAnsi="Times New Roman" w:cs="Times New Roman"/>
                <w:b/>
                <w:bCs/>
                <w:sz w:val="18"/>
                <w:szCs w:val="18"/>
              </w:rPr>
              <w:t>$105.68</w:t>
            </w:r>
          </w:p>
        </w:tc>
        <w:tc>
          <w:tcPr>
            <w:tcW w:w="1349" w:type="dxa"/>
            <w:gridSpan w:val="2"/>
            <w:hideMark/>
          </w:tcPr>
          <w:p w14:paraId="73AA9739" w14:textId="5FF27A5C" w:rsidR="00AB6F50" w:rsidRPr="000973F2" w:rsidRDefault="00AB6F50" w:rsidP="00817379">
            <w:pPr>
              <w:spacing w:before="40" w:after="4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sz w:val="18"/>
                <w:szCs w:val="18"/>
              </w:rPr>
            </w:pPr>
            <w:r w:rsidRPr="000973F2">
              <w:rPr>
                <w:rFonts w:ascii="Times New Roman" w:eastAsia="Times New Roman" w:hAnsi="Times New Roman" w:cs="Times New Roman"/>
                <w:b/>
                <w:bCs/>
                <w:sz w:val="18"/>
                <w:szCs w:val="18"/>
              </w:rPr>
              <w:t>$91.06</w:t>
            </w:r>
          </w:p>
        </w:tc>
        <w:tc>
          <w:tcPr>
            <w:tcW w:w="1349" w:type="dxa"/>
            <w:gridSpan w:val="2"/>
            <w:noWrap/>
            <w:hideMark/>
          </w:tcPr>
          <w:p w14:paraId="72786E26" w14:textId="744D0E95" w:rsidR="00AB6F50" w:rsidRPr="000973F2" w:rsidRDefault="00AB6F50" w:rsidP="00817379">
            <w:pPr>
              <w:spacing w:before="40" w:after="4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sz w:val="18"/>
                <w:szCs w:val="18"/>
              </w:rPr>
            </w:pPr>
            <w:r w:rsidRPr="000973F2">
              <w:rPr>
                <w:rFonts w:ascii="Times New Roman" w:eastAsia="Times New Roman" w:hAnsi="Times New Roman" w:cs="Times New Roman"/>
                <w:b/>
                <w:bCs/>
                <w:sz w:val="18"/>
                <w:szCs w:val="18"/>
              </w:rPr>
              <w:t>$60.72</w:t>
            </w:r>
          </w:p>
        </w:tc>
        <w:tc>
          <w:tcPr>
            <w:tcW w:w="1340" w:type="dxa"/>
            <w:gridSpan w:val="2"/>
            <w:vMerge/>
            <w:hideMark/>
          </w:tcPr>
          <w:p w14:paraId="11269F2B" w14:textId="77777777" w:rsidR="00AB6F50" w:rsidRPr="000973F2" w:rsidRDefault="00AB6F50" w:rsidP="00817379">
            <w:pPr>
              <w:spacing w:before="40" w:after="4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sz w:val="18"/>
                <w:szCs w:val="18"/>
              </w:rPr>
            </w:pPr>
          </w:p>
        </w:tc>
      </w:tr>
      <w:tr w:rsidR="00A859C1" w:rsidRPr="000973F2" w14:paraId="586C317F" w14:textId="77777777" w:rsidTr="00817379">
        <w:trPr>
          <w:cnfStyle w:val="000000100000" w:firstRow="0" w:lastRow="0" w:firstColumn="0" w:lastColumn="0" w:oddVBand="0" w:evenVBand="0" w:oddHBand="1" w:evenHBand="0" w:firstRowFirstColumn="0" w:firstRowLastColumn="0" w:lastRowFirstColumn="0" w:lastRowLastColumn="0"/>
          <w:trHeight w:val="725"/>
        </w:trPr>
        <w:tc>
          <w:tcPr>
            <w:cnfStyle w:val="001000000000" w:firstRow="0" w:lastRow="0" w:firstColumn="1" w:lastColumn="0" w:oddVBand="0" w:evenVBand="0" w:oddHBand="0" w:evenHBand="0" w:firstRowFirstColumn="0" w:firstRowLastColumn="0" w:lastRowFirstColumn="0" w:lastRowLastColumn="0"/>
            <w:tcW w:w="1246" w:type="dxa"/>
            <w:vMerge/>
            <w:hideMark/>
          </w:tcPr>
          <w:p w14:paraId="66440137" w14:textId="77777777" w:rsidR="00AB6F50" w:rsidRPr="000973F2" w:rsidRDefault="00AB6F50" w:rsidP="00817379">
            <w:pPr>
              <w:spacing w:before="40" w:after="40"/>
              <w:rPr>
                <w:rFonts w:ascii="Times New Roman" w:eastAsia="Times New Roman" w:hAnsi="Times New Roman" w:cs="Times New Roman"/>
                <w:b/>
                <w:bCs w:val="0"/>
                <w:sz w:val="18"/>
                <w:szCs w:val="18"/>
              </w:rPr>
            </w:pPr>
          </w:p>
        </w:tc>
        <w:tc>
          <w:tcPr>
            <w:tcW w:w="674" w:type="dxa"/>
            <w:tcMar>
              <w:left w:w="14" w:type="dxa"/>
              <w:right w:w="14" w:type="dxa"/>
            </w:tcMar>
            <w:hideMark/>
          </w:tcPr>
          <w:p w14:paraId="59EF859A" w14:textId="77777777" w:rsidR="00AB6F50" w:rsidRPr="000973F2" w:rsidRDefault="00AB6F50" w:rsidP="00817379">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18"/>
                <w:szCs w:val="18"/>
              </w:rPr>
            </w:pPr>
            <w:r w:rsidRPr="000973F2">
              <w:rPr>
                <w:rFonts w:ascii="Times New Roman" w:eastAsia="Times New Roman" w:hAnsi="Times New Roman" w:cs="Times New Roman"/>
                <w:b/>
                <w:bCs/>
                <w:sz w:val="18"/>
                <w:szCs w:val="18"/>
              </w:rPr>
              <w:t>Initial Year Hours</w:t>
            </w:r>
          </w:p>
        </w:tc>
        <w:tc>
          <w:tcPr>
            <w:tcW w:w="674" w:type="dxa"/>
            <w:tcMar>
              <w:left w:w="14" w:type="dxa"/>
              <w:right w:w="14" w:type="dxa"/>
            </w:tcMar>
            <w:hideMark/>
          </w:tcPr>
          <w:p w14:paraId="54E550FE" w14:textId="77777777" w:rsidR="00AB6F50" w:rsidRPr="000973F2" w:rsidRDefault="00AB6F50" w:rsidP="00817379">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18"/>
                <w:szCs w:val="18"/>
              </w:rPr>
            </w:pPr>
            <w:r w:rsidRPr="000973F2">
              <w:rPr>
                <w:rFonts w:ascii="Times New Roman" w:eastAsia="Times New Roman" w:hAnsi="Times New Roman" w:cs="Times New Roman"/>
                <w:b/>
                <w:bCs/>
                <w:sz w:val="18"/>
                <w:szCs w:val="18"/>
              </w:rPr>
              <w:t>Subseq. Year Hours</w:t>
            </w:r>
          </w:p>
        </w:tc>
        <w:tc>
          <w:tcPr>
            <w:tcW w:w="675" w:type="dxa"/>
            <w:tcMar>
              <w:left w:w="14" w:type="dxa"/>
              <w:right w:w="14" w:type="dxa"/>
            </w:tcMar>
            <w:hideMark/>
          </w:tcPr>
          <w:p w14:paraId="7C60F743" w14:textId="77777777" w:rsidR="00AB6F50" w:rsidRPr="000973F2" w:rsidRDefault="00AB6F50" w:rsidP="00817379">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18"/>
                <w:szCs w:val="18"/>
              </w:rPr>
            </w:pPr>
            <w:r w:rsidRPr="000973F2">
              <w:rPr>
                <w:rFonts w:ascii="Times New Roman" w:eastAsia="Times New Roman" w:hAnsi="Times New Roman" w:cs="Times New Roman"/>
                <w:b/>
                <w:bCs/>
                <w:sz w:val="18"/>
                <w:szCs w:val="18"/>
              </w:rPr>
              <w:t>Initial Year Hours</w:t>
            </w:r>
          </w:p>
        </w:tc>
        <w:tc>
          <w:tcPr>
            <w:tcW w:w="674" w:type="dxa"/>
            <w:tcMar>
              <w:left w:w="14" w:type="dxa"/>
              <w:right w:w="14" w:type="dxa"/>
            </w:tcMar>
            <w:hideMark/>
          </w:tcPr>
          <w:p w14:paraId="2EFAC11F" w14:textId="77777777" w:rsidR="00AB6F50" w:rsidRPr="000973F2" w:rsidRDefault="00AB6F50" w:rsidP="00817379">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18"/>
                <w:szCs w:val="18"/>
              </w:rPr>
            </w:pPr>
            <w:r w:rsidRPr="000973F2">
              <w:rPr>
                <w:rFonts w:ascii="Times New Roman" w:eastAsia="Times New Roman" w:hAnsi="Times New Roman" w:cs="Times New Roman"/>
                <w:b/>
                <w:bCs/>
                <w:sz w:val="18"/>
                <w:szCs w:val="18"/>
              </w:rPr>
              <w:t>Subseq. Year Hours</w:t>
            </w:r>
          </w:p>
        </w:tc>
        <w:tc>
          <w:tcPr>
            <w:tcW w:w="675" w:type="dxa"/>
            <w:tcMar>
              <w:left w:w="14" w:type="dxa"/>
              <w:right w:w="14" w:type="dxa"/>
            </w:tcMar>
            <w:hideMark/>
          </w:tcPr>
          <w:p w14:paraId="64CF9ECC" w14:textId="77777777" w:rsidR="00AB6F50" w:rsidRPr="000973F2" w:rsidRDefault="00AB6F50" w:rsidP="00817379">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18"/>
                <w:szCs w:val="18"/>
              </w:rPr>
            </w:pPr>
            <w:r w:rsidRPr="000973F2">
              <w:rPr>
                <w:rFonts w:ascii="Times New Roman" w:eastAsia="Times New Roman" w:hAnsi="Times New Roman" w:cs="Times New Roman"/>
                <w:b/>
                <w:bCs/>
                <w:sz w:val="18"/>
                <w:szCs w:val="18"/>
              </w:rPr>
              <w:t>Initial Year Hours</w:t>
            </w:r>
          </w:p>
        </w:tc>
        <w:tc>
          <w:tcPr>
            <w:tcW w:w="674" w:type="dxa"/>
            <w:tcMar>
              <w:left w:w="14" w:type="dxa"/>
              <w:right w:w="14" w:type="dxa"/>
            </w:tcMar>
            <w:hideMark/>
          </w:tcPr>
          <w:p w14:paraId="0C0BDE77" w14:textId="77777777" w:rsidR="00AB6F50" w:rsidRPr="000973F2" w:rsidRDefault="00AB6F50" w:rsidP="00817379">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18"/>
                <w:szCs w:val="18"/>
              </w:rPr>
            </w:pPr>
            <w:r w:rsidRPr="000973F2">
              <w:rPr>
                <w:rFonts w:ascii="Times New Roman" w:eastAsia="Times New Roman" w:hAnsi="Times New Roman" w:cs="Times New Roman"/>
                <w:b/>
                <w:bCs/>
                <w:sz w:val="18"/>
                <w:szCs w:val="18"/>
              </w:rPr>
              <w:t>Subseq. Year Hours</w:t>
            </w:r>
          </w:p>
        </w:tc>
        <w:tc>
          <w:tcPr>
            <w:tcW w:w="674" w:type="dxa"/>
            <w:tcMar>
              <w:left w:w="14" w:type="dxa"/>
              <w:right w:w="14" w:type="dxa"/>
            </w:tcMar>
            <w:hideMark/>
          </w:tcPr>
          <w:p w14:paraId="3E62335A" w14:textId="77777777" w:rsidR="00AB6F50" w:rsidRPr="000973F2" w:rsidRDefault="00AB6F50" w:rsidP="00817379">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18"/>
                <w:szCs w:val="18"/>
              </w:rPr>
            </w:pPr>
            <w:r w:rsidRPr="000973F2">
              <w:rPr>
                <w:rFonts w:ascii="Times New Roman" w:eastAsia="Times New Roman" w:hAnsi="Times New Roman" w:cs="Times New Roman"/>
                <w:b/>
                <w:bCs/>
                <w:sz w:val="18"/>
                <w:szCs w:val="18"/>
              </w:rPr>
              <w:t>Initial Year Hours</w:t>
            </w:r>
          </w:p>
        </w:tc>
        <w:tc>
          <w:tcPr>
            <w:tcW w:w="675" w:type="dxa"/>
            <w:tcMar>
              <w:left w:w="14" w:type="dxa"/>
              <w:right w:w="14" w:type="dxa"/>
            </w:tcMar>
            <w:hideMark/>
          </w:tcPr>
          <w:p w14:paraId="5858DF68" w14:textId="77777777" w:rsidR="00AB6F50" w:rsidRPr="000973F2" w:rsidRDefault="00AB6F50" w:rsidP="00817379">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18"/>
                <w:szCs w:val="18"/>
              </w:rPr>
            </w:pPr>
            <w:r w:rsidRPr="000973F2">
              <w:rPr>
                <w:rFonts w:ascii="Times New Roman" w:eastAsia="Times New Roman" w:hAnsi="Times New Roman" w:cs="Times New Roman"/>
                <w:b/>
                <w:bCs/>
                <w:sz w:val="18"/>
                <w:szCs w:val="18"/>
              </w:rPr>
              <w:t>Subseq. Year Hours</w:t>
            </w:r>
          </w:p>
        </w:tc>
        <w:tc>
          <w:tcPr>
            <w:tcW w:w="674" w:type="dxa"/>
            <w:tcMar>
              <w:left w:w="14" w:type="dxa"/>
              <w:right w:w="14" w:type="dxa"/>
            </w:tcMar>
            <w:hideMark/>
          </w:tcPr>
          <w:p w14:paraId="647F7F35" w14:textId="77777777" w:rsidR="00AB6F50" w:rsidRPr="000973F2" w:rsidRDefault="00AB6F50" w:rsidP="00817379">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18"/>
                <w:szCs w:val="18"/>
              </w:rPr>
            </w:pPr>
            <w:r w:rsidRPr="000973F2">
              <w:rPr>
                <w:rFonts w:ascii="Times New Roman" w:eastAsia="Times New Roman" w:hAnsi="Times New Roman" w:cs="Times New Roman"/>
                <w:b/>
                <w:bCs/>
                <w:sz w:val="18"/>
                <w:szCs w:val="18"/>
              </w:rPr>
              <w:t>Initial Year Hours</w:t>
            </w:r>
          </w:p>
        </w:tc>
        <w:tc>
          <w:tcPr>
            <w:tcW w:w="675" w:type="dxa"/>
            <w:tcMar>
              <w:left w:w="14" w:type="dxa"/>
              <w:right w:w="14" w:type="dxa"/>
            </w:tcMar>
            <w:hideMark/>
          </w:tcPr>
          <w:p w14:paraId="0A3FF9B6" w14:textId="77777777" w:rsidR="00AB6F50" w:rsidRPr="000973F2" w:rsidRDefault="00AB6F50" w:rsidP="00817379">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18"/>
                <w:szCs w:val="18"/>
              </w:rPr>
            </w:pPr>
            <w:r w:rsidRPr="000973F2">
              <w:rPr>
                <w:rFonts w:ascii="Times New Roman" w:eastAsia="Times New Roman" w:hAnsi="Times New Roman" w:cs="Times New Roman"/>
                <w:b/>
                <w:bCs/>
                <w:sz w:val="18"/>
                <w:szCs w:val="18"/>
              </w:rPr>
              <w:t>Subseq. Year Hours</w:t>
            </w:r>
          </w:p>
        </w:tc>
        <w:tc>
          <w:tcPr>
            <w:tcW w:w="617" w:type="dxa"/>
            <w:tcMar>
              <w:left w:w="14" w:type="dxa"/>
              <w:right w:w="14" w:type="dxa"/>
            </w:tcMar>
            <w:hideMark/>
          </w:tcPr>
          <w:p w14:paraId="535B6C58" w14:textId="77777777" w:rsidR="00AB6F50" w:rsidRPr="000973F2" w:rsidRDefault="00AB6F50" w:rsidP="00817379">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18"/>
                <w:szCs w:val="18"/>
              </w:rPr>
            </w:pPr>
            <w:r w:rsidRPr="000973F2">
              <w:rPr>
                <w:rFonts w:ascii="Times New Roman" w:eastAsia="Times New Roman" w:hAnsi="Times New Roman" w:cs="Times New Roman"/>
                <w:b/>
                <w:bCs/>
                <w:sz w:val="18"/>
                <w:szCs w:val="18"/>
              </w:rPr>
              <w:t>Initial Year</w:t>
            </w:r>
          </w:p>
        </w:tc>
        <w:tc>
          <w:tcPr>
            <w:tcW w:w="723" w:type="dxa"/>
            <w:tcMar>
              <w:left w:w="14" w:type="dxa"/>
              <w:right w:w="14" w:type="dxa"/>
            </w:tcMar>
            <w:hideMark/>
          </w:tcPr>
          <w:p w14:paraId="755852C4" w14:textId="77777777" w:rsidR="00AB6F50" w:rsidRPr="000973F2" w:rsidRDefault="00AB6F50" w:rsidP="00817379">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18"/>
                <w:szCs w:val="18"/>
              </w:rPr>
            </w:pPr>
            <w:r w:rsidRPr="000973F2">
              <w:rPr>
                <w:rFonts w:ascii="Times New Roman" w:eastAsia="Times New Roman" w:hAnsi="Times New Roman" w:cs="Times New Roman"/>
                <w:b/>
                <w:bCs/>
                <w:sz w:val="18"/>
                <w:szCs w:val="18"/>
              </w:rPr>
              <w:t>Subseq. Year</w:t>
            </w:r>
          </w:p>
        </w:tc>
      </w:tr>
      <w:tr w:rsidR="00817379" w:rsidRPr="000973F2" w14:paraId="16C0AADB" w14:textId="77777777" w:rsidTr="00817379">
        <w:trPr>
          <w:trHeight w:val="278"/>
        </w:trPr>
        <w:tc>
          <w:tcPr>
            <w:cnfStyle w:val="001000000000" w:firstRow="0" w:lastRow="0" w:firstColumn="1" w:lastColumn="0" w:oddVBand="0" w:evenVBand="0" w:oddHBand="0" w:evenHBand="0" w:firstRowFirstColumn="0" w:firstRowLastColumn="0" w:lastRowFirstColumn="0" w:lastRowLastColumn="0"/>
            <w:tcW w:w="1246" w:type="dxa"/>
            <w:tcMar>
              <w:left w:w="115" w:type="dxa"/>
              <w:right w:w="14" w:type="dxa"/>
            </w:tcMar>
            <w:hideMark/>
          </w:tcPr>
          <w:p w14:paraId="49B3BE90" w14:textId="77777777" w:rsidR="00AB6F50" w:rsidRPr="000973F2" w:rsidRDefault="00AB6F50" w:rsidP="00817379">
            <w:pPr>
              <w:spacing w:before="40" w:after="4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Planning</w:t>
            </w:r>
          </w:p>
        </w:tc>
        <w:tc>
          <w:tcPr>
            <w:tcW w:w="674" w:type="dxa"/>
            <w:noWrap/>
            <w:hideMark/>
          </w:tcPr>
          <w:p w14:paraId="0FA26398" w14:textId="77777777" w:rsidR="00AB6F50" w:rsidRPr="000973F2" w:rsidRDefault="00AB6F50" w:rsidP="00817379">
            <w:pPr>
              <w:spacing w:before="40" w:after="4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0.0</w:t>
            </w:r>
          </w:p>
        </w:tc>
        <w:tc>
          <w:tcPr>
            <w:tcW w:w="674" w:type="dxa"/>
            <w:noWrap/>
            <w:hideMark/>
          </w:tcPr>
          <w:p w14:paraId="63D38A6B" w14:textId="77777777" w:rsidR="00AB6F50" w:rsidRPr="000973F2" w:rsidRDefault="00AB6F50" w:rsidP="00817379">
            <w:pPr>
              <w:spacing w:before="40" w:after="4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2.0</w:t>
            </w:r>
          </w:p>
        </w:tc>
        <w:tc>
          <w:tcPr>
            <w:tcW w:w="675" w:type="dxa"/>
            <w:noWrap/>
            <w:hideMark/>
          </w:tcPr>
          <w:p w14:paraId="457220A9" w14:textId="77777777" w:rsidR="00AB6F50" w:rsidRPr="000973F2" w:rsidRDefault="00AB6F50" w:rsidP="00817379">
            <w:pPr>
              <w:spacing w:before="40" w:after="4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0.0</w:t>
            </w:r>
          </w:p>
        </w:tc>
        <w:tc>
          <w:tcPr>
            <w:tcW w:w="674" w:type="dxa"/>
            <w:noWrap/>
            <w:hideMark/>
          </w:tcPr>
          <w:p w14:paraId="465BBB8D" w14:textId="77777777" w:rsidR="00AB6F50" w:rsidRPr="000973F2" w:rsidRDefault="00AB6F50" w:rsidP="00817379">
            <w:pPr>
              <w:spacing w:before="40" w:after="4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0.5</w:t>
            </w:r>
          </w:p>
        </w:tc>
        <w:tc>
          <w:tcPr>
            <w:tcW w:w="675" w:type="dxa"/>
            <w:noWrap/>
            <w:hideMark/>
          </w:tcPr>
          <w:p w14:paraId="4836E6FD" w14:textId="77777777" w:rsidR="00AB6F50" w:rsidRPr="000973F2" w:rsidRDefault="00AB6F50" w:rsidP="00817379">
            <w:pPr>
              <w:spacing w:before="40" w:after="4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0.0</w:t>
            </w:r>
          </w:p>
        </w:tc>
        <w:tc>
          <w:tcPr>
            <w:tcW w:w="674" w:type="dxa"/>
            <w:noWrap/>
            <w:hideMark/>
          </w:tcPr>
          <w:p w14:paraId="7D485EC9" w14:textId="77777777" w:rsidR="00AB6F50" w:rsidRPr="000973F2" w:rsidRDefault="00AB6F50" w:rsidP="00817379">
            <w:pPr>
              <w:spacing w:before="40" w:after="4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1.0</w:t>
            </w:r>
          </w:p>
        </w:tc>
        <w:tc>
          <w:tcPr>
            <w:tcW w:w="674" w:type="dxa"/>
            <w:noWrap/>
            <w:hideMark/>
          </w:tcPr>
          <w:p w14:paraId="5C692DEB" w14:textId="77777777" w:rsidR="00AB6F50" w:rsidRPr="000973F2" w:rsidRDefault="00AB6F50" w:rsidP="00817379">
            <w:pPr>
              <w:spacing w:before="40" w:after="4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0.0</w:t>
            </w:r>
          </w:p>
        </w:tc>
        <w:tc>
          <w:tcPr>
            <w:tcW w:w="675" w:type="dxa"/>
            <w:noWrap/>
            <w:hideMark/>
          </w:tcPr>
          <w:p w14:paraId="4A137599" w14:textId="77777777" w:rsidR="00AB6F50" w:rsidRPr="000973F2" w:rsidRDefault="00AB6F50" w:rsidP="00817379">
            <w:pPr>
              <w:tabs>
                <w:tab w:val="decimal" w:pos="211"/>
              </w:tabs>
              <w:spacing w:before="40" w:after="4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10.0</w:t>
            </w:r>
          </w:p>
        </w:tc>
        <w:tc>
          <w:tcPr>
            <w:tcW w:w="674" w:type="dxa"/>
            <w:noWrap/>
            <w:hideMark/>
          </w:tcPr>
          <w:p w14:paraId="679357A1" w14:textId="77777777" w:rsidR="00AB6F50" w:rsidRPr="000973F2" w:rsidRDefault="00AB6F50" w:rsidP="00817379">
            <w:pPr>
              <w:spacing w:before="40" w:after="4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0.0</w:t>
            </w:r>
          </w:p>
        </w:tc>
        <w:tc>
          <w:tcPr>
            <w:tcW w:w="675" w:type="dxa"/>
            <w:noWrap/>
            <w:hideMark/>
          </w:tcPr>
          <w:p w14:paraId="1A95AEA8" w14:textId="77777777" w:rsidR="00AB6F50" w:rsidRPr="000973F2" w:rsidRDefault="00AB6F50" w:rsidP="00817379">
            <w:pPr>
              <w:spacing w:before="40" w:after="4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0.0</w:t>
            </w:r>
          </w:p>
        </w:tc>
        <w:tc>
          <w:tcPr>
            <w:tcW w:w="617" w:type="dxa"/>
            <w:noWrap/>
            <w:hideMark/>
          </w:tcPr>
          <w:p w14:paraId="7B5A1D79" w14:textId="236022FE" w:rsidR="00AB6F50" w:rsidRPr="000973F2" w:rsidRDefault="00AB6F50" w:rsidP="00817379">
            <w:pPr>
              <w:spacing w:before="40" w:after="4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$0</w:t>
            </w:r>
          </w:p>
        </w:tc>
        <w:tc>
          <w:tcPr>
            <w:tcW w:w="723" w:type="dxa"/>
            <w:noWrap/>
            <w:hideMark/>
          </w:tcPr>
          <w:p w14:paraId="4B299EDF" w14:textId="3A2B28EA" w:rsidR="00AB6F50" w:rsidRPr="000973F2" w:rsidRDefault="00AB6F50" w:rsidP="00817379">
            <w:pPr>
              <w:tabs>
                <w:tab w:val="decimal" w:pos="512"/>
              </w:tabs>
              <w:spacing w:before="40" w:after="4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$1,312</w:t>
            </w:r>
          </w:p>
        </w:tc>
      </w:tr>
      <w:tr w:rsidR="00A859C1" w:rsidRPr="000973F2" w14:paraId="663C8C16" w14:textId="77777777" w:rsidTr="00817379">
        <w:trPr>
          <w:cnfStyle w:val="000000100000" w:firstRow="0" w:lastRow="0" w:firstColumn="0" w:lastColumn="0" w:oddVBand="0" w:evenVBand="0" w:oddHBand="1" w:evenHBand="0" w:firstRowFirstColumn="0" w:firstRowLastColumn="0" w:lastRowFirstColumn="0" w:lastRowLastColumn="0"/>
          <w:trHeight w:val="278"/>
        </w:trPr>
        <w:tc>
          <w:tcPr>
            <w:cnfStyle w:val="001000000000" w:firstRow="0" w:lastRow="0" w:firstColumn="1" w:lastColumn="0" w:oddVBand="0" w:evenVBand="0" w:oddHBand="0" w:evenHBand="0" w:firstRowFirstColumn="0" w:firstRowLastColumn="0" w:lastRowFirstColumn="0" w:lastRowLastColumn="0"/>
            <w:tcW w:w="1246" w:type="dxa"/>
            <w:tcMar>
              <w:left w:w="115" w:type="dxa"/>
              <w:right w:w="14" w:type="dxa"/>
            </w:tcMar>
            <w:hideMark/>
          </w:tcPr>
          <w:p w14:paraId="78673EDD" w14:textId="77777777" w:rsidR="00AB6F50" w:rsidRPr="000973F2" w:rsidRDefault="00AB6F50" w:rsidP="00817379">
            <w:pPr>
              <w:spacing w:before="40" w:after="4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QA/QC</w:t>
            </w:r>
          </w:p>
        </w:tc>
        <w:tc>
          <w:tcPr>
            <w:tcW w:w="674" w:type="dxa"/>
            <w:noWrap/>
            <w:hideMark/>
          </w:tcPr>
          <w:p w14:paraId="2BE3A40A" w14:textId="77777777" w:rsidR="00AB6F50" w:rsidRPr="000973F2" w:rsidRDefault="00AB6F50" w:rsidP="00817379">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0.0</w:t>
            </w:r>
          </w:p>
        </w:tc>
        <w:tc>
          <w:tcPr>
            <w:tcW w:w="674" w:type="dxa"/>
            <w:noWrap/>
            <w:hideMark/>
          </w:tcPr>
          <w:p w14:paraId="5718E1EF" w14:textId="77777777" w:rsidR="00AB6F50" w:rsidRPr="000973F2" w:rsidRDefault="00AB6F50" w:rsidP="00817379">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0.0</w:t>
            </w:r>
          </w:p>
        </w:tc>
        <w:tc>
          <w:tcPr>
            <w:tcW w:w="675" w:type="dxa"/>
            <w:noWrap/>
            <w:hideMark/>
          </w:tcPr>
          <w:p w14:paraId="70A0608B" w14:textId="77777777" w:rsidR="00AB6F50" w:rsidRPr="000973F2" w:rsidRDefault="00AB6F50" w:rsidP="00817379">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0.0</w:t>
            </w:r>
          </w:p>
        </w:tc>
        <w:tc>
          <w:tcPr>
            <w:tcW w:w="674" w:type="dxa"/>
            <w:noWrap/>
            <w:hideMark/>
          </w:tcPr>
          <w:p w14:paraId="53A4A2B7" w14:textId="77777777" w:rsidR="00AB6F50" w:rsidRPr="000973F2" w:rsidRDefault="00AB6F50" w:rsidP="00817379">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0.2</w:t>
            </w:r>
          </w:p>
        </w:tc>
        <w:tc>
          <w:tcPr>
            <w:tcW w:w="675" w:type="dxa"/>
            <w:noWrap/>
            <w:hideMark/>
          </w:tcPr>
          <w:p w14:paraId="6E0327CF" w14:textId="77777777" w:rsidR="00AB6F50" w:rsidRPr="000973F2" w:rsidRDefault="00AB6F50" w:rsidP="00817379">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0.0</w:t>
            </w:r>
          </w:p>
        </w:tc>
        <w:tc>
          <w:tcPr>
            <w:tcW w:w="674" w:type="dxa"/>
            <w:noWrap/>
            <w:hideMark/>
          </w:tcPr>
          <w:p w14:paraId="0A1B2E88" w14:textId="77777777" w:rsidR="00AB6F50" w:rsidRPr="000973F2" w:rsidRDefault="00AB6F50" w:rsidP="00817379">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0.4</w:t>
            </w:r>
          </w:p>
        </w:tc>
        <w:tc>
          <w:tcPr>
            <w:tcW w:w="674" w:type="dxa"/>
            <w:noWrap/>
            <w:hideMark/>
          </w:tcPr>
          <w:p w14:paraId="4FD4D479" w14:textId="77777777" w:rsidR="00AB6F50" w:rsidRPr="000973F2" w:rsidRDefault="00AB6F50" w:rsidP="00817379">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0.0</w:t>
            </w:r>
          </w:p>
        </w:tc>
        <w:tc>
          <w:tcPr>
            <w:tcW w:w="675" w:type="dxa"/>
            <w:noWrap/>
            <w:hideMark/>
          </w:tcPr>
          <w:p w14:paraId="32E80139" w14:textId="77777777" w:rsidR="00AB6F50" w:rsidRPr="000973F2" w:rsidRDefault="00AB6F50" w:rsidP="00817379">
            <w:pPr>
              <w:tabs>
                <w:tab w:val="decimal" w:pos="211"/>
              </w:tabs>
              <w:spacing w:before="40" w:after="4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0.0</w:t>
            </w:r>
          </w:p>
        </w:tc>
        <w:tc>
          <w:tcPr>
            <w:tcW w:w="674" w:type="dxa"/>
            <w:noWrap/>
            <w:hideMark/>
          </w:tcPr>
          <w:p w14:paraId="0983A454" w14:textId="77777777" w:rsidR="00AB6F50" w:rsidRPr="000973F2" w:rsidRDefault="00AB6F50" w:rsidP="00817379">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0.0</w:t>
            </w:r>
          </w:p>
        </w:tc>
        <w:tc>
          <w:tcPr>
            <w:tcW w:w="675" w:type="dxa"/>
            <w:noWrap/>
            <w:hideMark/>
          </w:tcPr>
          <w:p w14:paraId="1A43DBF9" w14:textId="77777777" w:rsidR="00AB6F50" w:rsidRPr="000973F2" w:rsidRDefault="00AB6F50" w:rsidP="00817379">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0.0</w:t>
            </w:r>
          </w:p>
        </w:tc>
        <w:tc>
          <w:tcPr>
            <w:tcW w:w="617" w:type="dxa"/>
            <w:noWrap/>
            <w:hideMark/>
          </w:tcPr>
          <w:p w14:paraId="385A8E70" w14:textId="24CD6D27" w:rsidR="00AB6F50" w:rsidRPr="000973F2" w:rsidRDefault="00AB6F50" w:rsidP="00817379">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$0</w:t>
            </w:r>
          </w:p>
        </w:tc>
        <w:tc>
          <w:tcPr>
            <w:tcW w:w="723" w:type="dxa"/>
            <w:noWrap/>
            <w:hideMark/>
          </w:tcPr>
          <w:p w14:paraId="05173442" w14:textId="77E14A54" w:rsidR="00AB6F50" w:rsidRPr="000973F2" w:rsidRDefault="00AB6F50" w:rsidP="00817379">
            <w:pPr>
              <w:tabs>
                <w:tab w:val="decimal" w:pos="512"/>
              </w:tabs>
              <w:spacing w:before="40" w:after="4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$71</w:t>
            </w:r>
          </w:p>
        </w:tc>
      </w:tr>
      <w:tr w:rsidR="00817379" w:rsidRPr="000973F2" w14:paraId="50D0B845" w14:textId="77777777" w:rsidTr="00817379">
        <w:trPr>
          <w:trHeight w:val="278"/>
        </w:trPr>
        <w:tc>
          <w:tcPr>
            <w:cnfStyle w:val="001000000000" w:firstRow="0" w:lastRow="0" w:firstColumn="1" w:lastColumn="0" w:oddVBand="0" w:evenVBand="0" w:oddHBand="0" w:evenHBand="0" w:firstRowFirstColumn="0" w:firstRowLastColumn="0" w:lastRowFirstColumn="0" w:lastRowLastColumn="0"/>
            <w:tcW w:w="1246" w:type="dxa"/>
            <w:tcMar>
              <w:left w:w="115" w:type="dxa"/>
              <w:right w:w="14" w:type="dxa"/>
            </w:tcMar>
            <w:hideMark/>
          </w:tcPr>
          <w:p w14:paraId="3BD7061A" w14:textId="77777777" w:rsidR="00AB6F50" w:rsidRPr="000973F2" w:rsidRDefault="00AB6F50" w:rsidP="00817379">
            <w:pPr>
              <w:spacing w:before="40" w:after="4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Recordkeeping</w:t>
            </w:r>
          </w:p>
        </w:tc>
        <w:tc>
          <w:tcPr>
            <w:tcW w:w="674" w:type="dxa"/>
            <w:noWrap/>
            <w:hideMark/>
          </w:tcPr>
          <w:p w14:paraId="4311F2AE" w14:textId="77777777" w:rsidR="00AB6F50" w:rsidRPr="000973F2" w:rsidRDefault="00AB6F50" w:rsidP="00817379">
            <w:pPr>
              <w:spacing w:before="40" w:after="4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0.0</w:t>
            </w:r>
          </w:p>
        </w:tc>
        <w:tc>
          <w:tcPr>
            <w:tcW w:w="674" w:type="dxa"/>
            <w:noWrap/>
            <w:hideMark/>
          </w:tcPr>
          <w:p w14:paraId="2297D1E2" w14:textId="77777777" w:rsidR="00AB6F50" w:rsidRPr="000973F2" w:rsidRDefault="00AB6F50" w:rsidP="00817379">
            <w:pPr>
              <w:spacing w:before="40" w:after="4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0.0</w:t>
            </w:r>
          </w:p>
        </w:tc>
        <w:tc>
          <w:tcPr>
            <w:tcW w:w="675" w:type="dxa"/>
            <w:noWrap/>
            <w:hideMark/>
          </w:tcPr>
          <w:p w14:paraId="355B8852" w14:textId="77777777" w:rsidR="00AB6F50" w:rsidRPr="000973F2" w:rsidRDefault="00AB6F50" w:rsidP="00817379">
            <w:pPr>
              <w:spacing w:before="40" w:after="4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0.0</w:t>
            </w:r>
          </w:p>
        </w:tc>
        <w:tc>
          <w:tcPr>
            <w:tcW w:w="674" w:type="dxa"/>
            <w:noWrap/>
            <w:hideMark/>
          </w:tcPr>
          <w:p w14:paraId="138974A1" w14:textId="77777777" w:rsidR="00AB6F50" w:rsidRPr="000973F2" w:rsidRDefault="00AB6F50" w:rsidP="00817379">
            <w:pPr>
              <w:spacing w:before="40" w:after="4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0.0</w:t>
            </w:r>
          </w:p>
        </w:tc>
        <w:tc>
          <w:tcPr>
            <w:tcW w:w="675" w:type="dxa"/>
            <w:noWrap/>
            <w:hideMark/>
          </w:tcPr>
          <w:p w14:paraId="1B4BF8DE" w14:textId="77777777" w:rsidR="00AB6F50" w:rsidRPr="000973F2" w:rsidRDefault="00AB6F50" w:rsidP="00817379">
            <w:pPr>
              <w:spacing w:before="40" w:after="4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0.0</w:t>
            </w:r>
          </w:p>
        </w:tc>
        <w:tc>
          <w:tcPr>
            <w:tcW w:w="674" w:type="dxa"/>
            <w:noWrap/>
            <w:hideMark/>
          </w:tcPr>
          <w:p w14:paraId="4C970EDA" w14:textId="77777777" w:rsidR="00AB6F50" w:rsidRPr="000973F2" w:rsidRDefault="00AB6F50" w:rsidP="00817379">
            <w:pPr>
              <w:spacing w:before="40" w:after="4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1.0</w:t>
            </w:r>
          </w:p>
        </w:tc>
        <w:tc>
          <w:tcPr>
            <w:tcW w:w="674" w:type="dxa"/>
            <w:noWrap/>
            <w:hideMark/>
          </w:tcPr>
          <w:p w14:paraId="5A218F7E" w14:textId="77777777" w:rsidR="00AB6F50" w:rsidRPr="000973F2" w:rsidRDefault="00AB6F50" w:rsidP="00817379">
            <w:pPr>
              <w:spacing w:before="40" w:after="4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0.0</w:t>
            </w:r>
          </w:p>
        </w:tc>
        <w:tc>
          <w:tcPr>
            <w:tcW w:w="675" w:type="dxa"/>
            <w:noWrap/>
            <w:hideMark/>
          </w:tcPr>
          <w:p w14:paraId="548ACDDB" w14:textId="77777777" w:rsidR="00AB6F50" w:rsidRPr="000973F2" w:rsidRDefault="00AB6F50" w:rsidP="00817379">
            <w:pPr>
              <w:tabs>
                <w:tab w:val="decimal" w:pos="211"/>
              </w:tabs>
              <w:spacing w:before="40" w:after="4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13.0</w:t>
            </w:r>
          </w:p>
        </w:tc>
        <w:tc>
          <w:tcPr>
            <w:tcW w:w="674" w:type="dxa"/>
            <w:noWrap/>
            <w:hideMark/>
          </w:tcPr>
          <w:p w14:paraId="6C0838C7" w14:textId="77777777" w:rsidR="00AB6F50" w:rsidRPr="000973F2" w:rsidRDefault="00AB6F50" w:rsidP="00817379">
            <w:pPr>
              <w:spacing w:before="40" w:after="4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0.0</w:t>
            </w:r>
          </w:p>
        </w:tc>
        <w:tc>
          <w:tcPr>
            <w:tcW w:w="675" w:type="dxa"/>
            <w:noWrap/>
            <w:hideMark/>
          </w:tcPr>
          <w:p w14:paraId="12770B8E" w14:textId="77777777" w:rsidR="00AB6F50" w:rsidRPr="000973F2" w:rsidRDefault="00AB6F50" w:rsidP="00817379">
            <w:pPr>
              <w:spacing w:before="40" w:after="4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1.0</w:t>
            </w:r>
          </w:p>
        </w:tc>
        <w:tc>
          <w:tcPr>
            <w:tcW w:w="617" w:type="dxa"/>
            <w:noWrap/>
            <w:hideMark/>
          </w:tcPr>
          <w:p w14:paraId="7C02F15E" w14:textId="18ED7E91" w:rsidR="00AB6F50" w:rsidRPr="000973F2" w:rsidRDefault="00AB6F50" w:rsidP="00817379">
            <w:pPr>
              <w:spacing w:before="40" w:after="4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$0</w:t>
            </w:r>
          </w:p>
        </w:tc>
        <w:tc>
          <w:tcPr>
            <w:tcW w:w="723" w:type="dxa"/>
            <w:noWrap/>
            <w:hideMark/>
          </w:tcPr>
          <w:p w14:paraId="17F2987D" w14:textId="6A1D3280" w:rsidR="00AB6F50" w:rsidRPr="000973F2" w:rsidRDefault="00AB6F50" w:rsidP="00817379">
            <w:pPr>
              <w:tabs>
                <w:tab w:val="decimal" w:pos="512"/>
              </w:tabs>
              <w:spacing w:before="40" w:after="4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$1,350</w:t>
            </w:r>
          </w:p>
        </w:tc>
      </w:tr>
      <w:tr w:rsidR="00A859C1" w:rsidRPr="000973F2" w14:paraId="0A5C8C25" w14:textId="77777777" w:rsidTr="00817379">
        <w:trPr>
          <w:cnfStyle w:val="000000100000" w:firstRow="0" w:lastRow="0" w:firstColumn="0" w:lastColumn="0" w:oddVBand="0" w:evenVBand="0" w:oddHBand="1" w:evenHBand="0" w:firstRowFirstColumn="0" w:firstRowLastColumn="0" w:lastRowFirstColumn="0" w:lastRowLastColumn="0"/>
          <w:trHeight w:val="725"/>
        </w:trPr>
        <w:tc>
          <w:tcPr>
            <w:cnfStyle w:val="001000000000" w:firstRow="0" w:lastRow="0" w:firstColumn="1" w:lastColumn="0" w:oddVBand="0" w:evenVBand="0" w:oddHBand="0" w:evenHBand="0" w:firstRowFirstColumn="0" w:firstRowLastColumn="0" w:lastRowFirstColumn="0" w:lastRowLastColumn="0"/>
            <w:tcW w:w="1246" w:type="dxa"/>
            <w:tcMar>
              <w:left w:w="115" w:type="dxa"/>
              <w:right w:w="14" w:type="dxa"/>
            </w:tcMar>
            <w:hideMark/>
          </w:tcPr>
          <w:p w14:paraId="723A0621" w14:textId="77777777" w:rsidR="00AB6F50" w:rsidRPr="000973F2" w:rsidRDefault="00AB6F50" w:rsidP="00817379">
            <w:pPr>
              <w:spacing w:before="40" w:after="4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Sampling and Analysis (Calculations)</w:t>
            </w:r>
          </w:p>
        </w:tc>
        <w:tc>
          <w:tcPr>
            <w:tcW w:w="674" w:type="dxa"/>
            <w:noWrap/>
            <w:hideMark/>
          </w:tcPr>
          <w:p w14:paraId="370A22BD" w14:textId="77777777" w:rsidR="00AB6F50" w:rsidRPr="000973F2" w:rsidRDefault="00AB6F50" w:rsidP="00817379">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0.0</w:t>
            </w:r>
          </w:p>
        </w:tc>
        <w:tc>
          <w:tcPr>
            <w:tcW w:w="674" w:type="dxa"/>
            <w:noWrap/>
            <w:hideMark/>
          </w:tcPr>
          <w:p w14:paraId="1AE38527" w14:textId="77777777" w:rsidR="00AB6F50" w:rsidRPr="000973F2" w:rsidRDefault="00AB6F50" w:rsidP="00817379">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0.0</w:t>
            </w:r>
          </w:p>
        </w:tc>
        <w:tc>
          <w:tcPr>
            <w:tcW w:w="675" w:type="dxa"/>
            <w:noWrap/>
            <w:hideMark/>
          </w:tcPr>
          <w:p w14:paraId="2577F080" w14:textId="77777777" w:rsidR="00AB6F50" w:rsidRPr="000973F2" w:rsidRDefault="00AB6F50" w:rsidP="00817379">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0.0</w:t>
            </w:r>
          </w:p>
        </w:tc>
        <w:tc>
          <w:tcPr>
            <w:tcW w:w="674" w:type="dxa"/>
            <w:noWrap/>
            <w:hideMark/>
          </w:tcPr>
          <w:p w14:paraId="05523559" w14:textId="77777777" w:rsidR="00AB6F50" w:rsidRPr="000973F2" w:rsidRDefault="00AB6F50" w:rsidP="00817379">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0.0</w:t>
            </w:r>
          </w:p>
        </w:tc>
        <w:tc>
          <w:tcPr>
            <w:tcW w:w="675" w:type="dxa"/>
            <w:noWrap/>
            <w:hideMark/>
          </w:tcPr>
          <w:p w14:paraId="3DD53873" w14:textId="77777777" w:rsidR="00AB6F50" w:rsidRPr="000973F2" w:rsidRDefault="00AB6F50" w:rsidP="00817379">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0.0</w:t>
            </w:r>
          </w:p>
        </w:tc>
        <w:tc>
          <w:tcPr>
            <w:tcW w:w="674" w:type="dxa"/>
            <w:noWrap/>
            <w:hideMark/>
          </w:tcPr>
          <w:p w14:paraId="37E3788F" w14:textId="77777777" w:rsidR="00AB6F50" w:rsidRPr="000973F2" w:rsidRDefault="00AB6F50" w:rsidP="00817379">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0.0</w:t>
            </w:r>
          </w:p>
        </w:tc>
        <w:tc>
          <w:tcPr>
            <w:tcW w:w="674" w:type="dxa"/>
            <w:noWrap/>
            <w:hideMark/>
          </w:tcPr>
          <w:p w14:paraId="2C94C531" w14:textId="77777777" w:rsidR="00AB6F50" w:rsidRPr="000973F2" w:rsidRDefault="00AB6F50" w:rsidP="00817379">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0.0</w:t>
            </w:r>
          </w:p>
        </w:tc>
        <w:tc>
          <w:tcPr>
            <w:tcW w:w="675" w:type="dxa"/>
            <w:noWrap/>
            <w:hideMark/>
          </w:tcPr>
          <w:p w14:paraId="625DA7F7" w14:textId="77777777" w:rsidR="00AB6F50" w:rsidRPr="000973F2" w:rsidRDefault="00AB6F50" w:rsidP="00817379">
            <w:pPr>
              <w:tabs>
                <w:tab w:val="decimal" w:pos="211"/>
              </w:tabs>
              <w:spacing w:before="40" w:after="4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4.0</w:t>
            </w:r>
          </w:p>
        </w:tc>
        <w:tc>
          <w:tcPr>
            <w:tcW w:w="674" w:type="dxa"/>
            <w:noWrap/>
            <w:hideMark/>
          </w:tcPr>
          <w:p w14:paraId="3E018D4A" w14:textId="77777777" w:rsidR="00AB6F50" w:rsidRPr="000973F2" w:rsidRDefault="00AB6F50" w:rsidP="00817379">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0.0</w:t>
            </w:r>
          </w:p>
        </w:tc>
        <w:tc>
          <w:tcPr>
            <w:tcW w:w="675" w:type="dxa"/>
            <w:noWrap/>
            <w:hideMark/>
          </w:tcPr>
          <w:p w14:paraId="5C963290" w14:textId="77777777" w:rsidR="00AB6F50" w:rsidRPr="000973F2" w:rsidRDefault="00AB6F50" w:rsidP="00817379">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0.0</w:t>
            </w:r>
          </w:p>
        </w:tc>
        <w:tc>
          <w:tcPr>
            <w:tcW w:w="617" w:type="dxa"/>
            <w:noWrap/>
            <w:hideMark/>
          </w:tcPr>
          <w:p w14:paraId="091EA09F" w14:textId="7D2750AE" w:rsidR="00AB6F50" w:rsidRPr="000973F2" w:rsidRDefault="00AB6F50" w:rsidP="00817379">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$0</w:t>
            </w:r>
          </w:p>
        </w:tc>
        <w:tc>
          <w:tcPr>
            <w:tcW w:w="723" w:type="dxa"/>
            <w:noWrap/>
            <w:hideMark/>
          </w:tcPr>
          <w:p w14:paraId="7704B339" w14:textId="684F30E6" w:rsidR="00AB6F50" w:rsidRPr="000973F2" w:rsidRDefault="00AB6F50" w:rsidP="00817379">
            <w:pPr>
              <w:tabs>
                <w:tab w:val="decimal" w:pos="512"/>
              </w:tabs>
              <w:spacing w:before="40" w:after="4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$364</w:t>
            </w:r>
          </w:p>
        </w:tc>
      </w:tr>
      <w:tr w:rsidR="00817379" w:rsidRPr="000973F2" w14:paraId="626B3B0E" w14:textId="77777777" w:rsidTr="00817379">
        <w:trPr>
          <w:trHeight w:val="278"/>
        </w:trPr>
        <w:tc>
          <w:tcPr>
            <w:cnfStyle w:val="001000000000" w:firstRow="0" w:lastRow="0" w:firstColumn="1" w:lastColumn="0" w:oddVBand="0" w:evenVBand="0" w:oddHBand="0" w:evenHBand="0" w:firstRowFirstColumn="0" w:firstRowLastColumn="0" w:lastRowFirstColumn="0" w:lastRowLastColumn="0"/>
            <w:tcW w:w="1246" w:type="dxa"/>
            <w:tcMar>
              <w:left w:w="115" w:type="dxa"/>
              <w:right w:w="14" w:type="dxa"/>
            </w:tcMar>
            <w:hideMark/>
          </w:tcPr>
          <w:p w14:paraId="1B79136D" w14:textId="77777777" w:rsidR="00AB6F50" w:rsidRPr="000973F2" w:rsidRDefault="00AB6F50" w:rsidP="00817379">
            <w:pPr>
              <w:spacing w:before="40" w:after="4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Reporting</w:t>
            </w:r>
          </w:p>
        </w:tc>
        <w:tc>
          <w:tcPr>
            <w:tcW w:w="674" w:type="dxa"/>
            <w:noWrap/>
            <w:hideMark/>
          </w:tcPr>
          <w:p w14:paraId="0EEB07FB" w14:textId="77777777" w:rsidR="00AB6F50" w:rsidRPr="000973F2" w:rsidRDefault="00AB6F50" w:rsidP="00817379">
            <w:pPr>
              <w:spacing w:before="40" w:after="4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0.0</w:t>
            </w:r>
          </w:p>
        </w:tc>
        <w:tc>
          <w:tcPr>
            <w:tcW w:w="674" w:type="dxa"/>
            <w:noWrap/>
            <w:hideMark/>
          </w:tcPr>
          <w:p w14:paraId="699DD151" w14:textId="77777777" w:rsidR="00AB6F50" w:rsidRPr="000973F2" w:rsidRDefault="00AB6F50" w:rsidP="00817379">
            <w:pPr>
              <w:spacing w:before="40" w:after="4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0.0</w:t>
            </w:r>
          </w:p>
        </w:tc>
        <w:tc>
          <w:tcPr>
            <w:tcW w:w="675" w:type="dxa"/>
            <w:noWrap/>
            <w:hideMark/>
          </w:tcPr>
          <w:p w14:paraId="667405E9" w14:textId="77777777" w:rsidR="00AB6F50" w:rsidRPr="000973F2" w:rsidRDefault="00AB6F50" w:rsidP="00817379">
            <w:pPr>
              <w:spacing w:before="40" w:after="4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0.0</w:t>
            </w:r>
          </w:p>
        </w:tc>
        <w:tc>
          <w:tcPr>
            <w:tcW w:w="674" w:type="dxa"/>
            <w:noWrap/>
            <w:hideMark/>
          </w:tcPr>
          <w:p w14:paraId="0C13B4A8" w14:textId="77777777" w:rsidR="00AB6F50" w:rsidRPr="000973F2" w:rsidRDefault="00AB6F50" w:rsidP="00817379">
            <w:pPr>
              <w:spacing w:before="40" w:after="4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0.0</w:t>
            </w:r>
          </w:p>
        </w:tc>
        <w:tc>
          <w:tcPr>
            <w:tcW w:w="675" w:type="dxa"/>
            <w:noWrap/>
            <w:hideMark/>
          </w:tcPr>
          <w:p w14:paraId="6B0651EB" w14:textId="77777777" w:rsidR="00AB6F50" w:rsidRPr="000973F2" w:rsidRDefault="00AB6F50" w:rsidP="00817379">
            <w:pPr>
              <w:spacing w:before="40" w:after="4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0.0</w:t>
            </w:r>
          </w:p>
        </w:tc>
        <w:tc>
          <w:tcPr>
            <w:tcW w:w="674" w:type="dxa"/>
            <w:noWrap/>
            <w:hideMark/>
          </w:tcPr>
          <w:p w14:paraId="6C8189BF" w14:textId="77777777" w:rsidR="00AB6F50" w:rsidRPr="000973F2" w:rsidRDefault="00AB6F50" w:rsidP="00817379">
            <w:pPr>
              <w:spacing w:before="40" w:after="4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2.0</w:t>
            </w:r>
          </w:p>
        </w:tc>
        <w:tc>
          <w:tcPr>
            <w:tcW w:w="674" w:type="dxa"/>
            <w:noWrap/>
            <w:hideMark/>
          </w:tcPr>
          <w:p w14:paraId="408E5B73" w14:textId="77777777" w:rsidR="00AB6F50" w:rsidRPr="000973F2" w:rsidRDefault="00AB6F50" w:rsidP="00817379">
            <w:pPr>
              <w:spacing w:before="40" w:after="4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0.0</w:t>
            </w:r>
          </w:p>
        </w:tc>
        <w:tc>
          <w:tcPr>
            <w:tcW w:w="675" w:type="dxa"/>
            <w:noWrap/>
            <w:hideMark/>
          </w:tcPr>
          <w:p w14:paraId="30571662" w14:textId="77777777" w:rsidR="00AB6F50" w:rsidRPr="000973F2" w:rsidRDefault="00AB6F50" w:rsidP="00817379">
            <w:pPr>
              <w:tabs>
                <w:tab w:val="decimal" w:pos="211"/>
              </w:tabs>
              <w:spacing w:before="40" w:after="4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26.0</w:t>
            </w:r>
          </w:p>
        </w:tc>
        <w:tc>
          <w:tcPr>
            <w:tcW w:w="674" w:type="dxa"/>
            <w:noWrap/>
            <w:hideMark/>
          </w:tcPr>
          <w:p w14:paraId="18026BA5" w14:textId="77777777" w:rsidR="00AB6F50" w:rsidRPr="000973F2" w:rsidRDefault="00AB6F50" w:rsidP="00817379">
            <w:pPr>
              <w:spacing w:before="40" w:after="4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0.0</w:t>
            </w:r>
          </w:p>
        </w:tc>
        <w:tc>
          <w:tcPr>
            <w:tcW w:w="675" w:type="dxa"/>
            <w:noWrap/>
            <w:hideMark/>
          </w:tcPr>
          <w:p w14:paraId="2FE85BB4" w14:textId="77777777" w:rsidR="00AB6F50" w:rsidRPr="000973F2" w:rsidRDefault="00AB6F50" w:rsidP="00817379">
            <w:pPr>
              <w:spacing w:before="40" w:after="4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2.0</w:t>
            </w:r>
          </w:p>
        </w:tc>
        <w:tc>
          <w:tcPr>
            <w:tcW w:w="617" w:type="dxa"/>
            <w:noWrap/>
            <w:hideMark/>
          </w:tcPr>
          <w:p w14:paraId="0012DC2A" w14:textId="4113D3FA" w:rsidR="00AB6F50" w:rsidRPr="000973F2" w:rsidRDefault="00AB6F50" w:rsidP="00817379">
            <w:pPr>
              <w:spacing w:before="40" w:after="4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$0</w:t>
            </w:r>
          </w:p>
        </w:tc>
        <w:tc>
          <w:tcPr>
            <w:tcW w:w="723" w:type="dxa"/>
            <w:noWrap/>
            <w:hideMark/>
          </w:tcPr>
          <w:p w14:paraId="6E94ED94" w14:textId="30B7F14B" w:rsidR="00AB6F50" w:rsidRPr="000973F2" w:rsidRDefault="00AB6F50" w:rsidP="00817379">
            <w:pPr>
              <w:tabs>
                <w:tab w:val="decimal" w:pos="512"/>
              </w:tabs>
              <w:spacing w:before="40" w:after="4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$2,700</w:t>
            </w:r>
          </w:p>
        </w:tc>
      </w:tr>
      <w:tr w:rsidR="00A859C1" w:rsidRPr="000973F2" w14:paraId="758BAEBA" w14:textId="77777777" w:rsidTr="00817379">
        <w:trPr>
          <w:cnfStyle w:val="000000100000" w:firstRow="0" w:lastRow="0" w:firstColumn="0" w:lastColumn="0" w:oddVBand="0" w:evenVBand="0" w:oddHBand="1" w:evenHBand="0" w:firstRowFirstColumn="0" w:firstRowLastColumn="0" w:lastRowFirstColumn="0" w:lastRowLastColumn="0"/>
          <w:trHeight w:val="292"/>
        </w:trPr>
        <w:tc>
          <w:tcPr>
            <w:cnfStyle w:val="001000000000" w:firstRow="0" w:lastRow="0" w:firstColumn="1" w:lastColumn="0" w:oddVBand="0" w:evenVBand="0" w:oddHBand="0" w:evenHBand="0" w:firstRowFirstColumn="0" w:firstRowLastColumn="0" w:lastRowFirstColumn="0" w:lastRowLastColumn="0"/>
            <w:tcW w:w="1246" w:type="dxa"/>
            <w:noWrap/>
            <w:tcMar>
              <w:left w:w="115" w:type="dxa"/>
              <w:right w:w="14" w:type="dxa"/>
            </w:tcMar>
            <w:hideMark/>
          </w:tcPr>
          <w:p w14:paraId="46C56C1D" w14:textId="77777777" w:rsidR="00AB6F50" w:rsidRPr="000973F2" w:rsidRDefault="00AB6F50" w:rsidP="00817379">
            <w:pPr>
              <w:spacing w:before="40" w:after="40"/>
              <w:rPr>
                <w:rFonts w:ascii="Times New Roman" w:eastAsia="Times New Roman" w:hAnsi="Times New Roman" w:cs="Times New Roman"/>
                <w:b/>
                <w:bCs w:val="0"/>
                <w:sz w:val="18"/>
                <w:szCs w:val="18"/>
              </w:rPr>
            </w:pPr>
            <w:r w:rsidRPr="000973F2">
              <w:rPr>
                <w:rFonts w:ascii="Times New Roman" w:eastAsia="Times New Roman" w:hAnsi="Times New Roman" w:cs="Times New Roman"/>
                <w:b/>
                <w:sz w:val="18"/>
                <w:szCs w:val="18"/>
              </w:rPr>
              <w:t>Total</w:t>
            </w:r>
          </w:p>
        </w:tc>
        <w:tc>
          <w:tcPr>
            <w:tcW w:w="674" w:type="dxa"/>
            <w:noWrap/>
            <w:hideMark/>
          </w:tcPr>
          <w:p w14:paraId="1ED1812F" w14:textId="77777777" w:rsidR="00AB6F50" w:rsidRPr="000973F2" w:rsidRDefault="00AB6F50" w:rsidP="00817379">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18"/>
                <w:szCs w:val="18"/>
              </w:rPr>
            </w:pPr>
            <w:r w:rsidRPr="000973F2">
              <w:rPr>
                <w:rFonts w:ascii="Times New Roman" w:eastAsia="Times New Roman" w:hAnsi="Times New Roman" w:cs="Times New Roman"/>
                <w:b/>
                <w:bCs/>
                <w:sz w:val="18"/>
                <w:szCs w:val="18"/>
              </w:rPr>
              <w:t>0.0</w:t>
            </w:r>
          </w:p>
        </w:tc>
        <w:tc>
          <w:tcPr>
            <w:tcW w:w="674" w:type="dxa"/>
            <w:noWrap/>
            <w:hideMark/>
          </w:tcPr>
          <w:p w14:paraId="6655AA16" w14:textId="77777777" w:rsidR="00AB6F50" w:rsidRPr="000973F2" w:rsidRDefault="00AB6F50" w:rsidP="00817379">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18"/>
                <w:szCs w:val="18"/>
              </w:rPr>
            </w:pPr>
            <w:r w:rsidRPr="000973F2">
              <w:rPr>
                <w:rFonts w:ascii="Times New Roman" w:eastAsia="Times New Roman" w:hAnsi="Times New Roman" w:cs="Times New Roman"/>
                <w:b/>
                <w:bCs/>
                <w:sz w:val="18"/>
                <w:szCs w:val="18"/>
              </w:rPr>
              <w:t>2.0</w:t>
            </w:r>
          </w:p>
        </w:tc>
        <w:tc>
          <w:tcPr>
            <w:tcW w:w="675" w:type="dxa"/>
            <w:noWrap/>
            <w:hideMark/>
          </w:tcPr>
          <w:p w14:paraId="7F6AE8CD" w14:textId="77777777" w:rsidR="00AB6F50" w:rsidRPr="000973F2" w:rsidRDefault="00AB6F50" w:rsidP="00817379">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18"/>
                <w:szCs w:val="18"/>
              </w:rPr>
            </w:pPr>
            <w:r w:rsidRPr="000973F2">
              <w:rPr>
                <w:rFonts w:ascii="Times New Roman" w:eastAsia="Times New Roman" w:hAnsi="Times New Roman" w:cs="Times New Roman"/>
                <w:b/>
                <w:bCs/>
                <w:sz w:val="18"/>
                <w:szCs w:val="18"/>
              </w:rPr>
              <w:t>0.0</w:t>
            </w:r>
          </w:p>
        </w:tc>
        <w:tc>
          <w:tcPr>
            <w:tcW w:w="674" w:type="dxa"/>
            <w:noWrap/>
            <w:hideMark/>
          </w:tcPr>
          <w:p w14:paraId="4372065F" w14:textId="77777777" w:rsidR="00AB6F50" w:rsidRPr="000973F2" w:rsidRDefault="00AB6F50" w:rsidP="00817379">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18"/>
                <w:szCs w:val="18"/>
              </w:rPr>
            </w:pPr>
            <w:r w:rsidRPr="000973F2">
              <w:rPr>
                <w:rFonts w:ascii="Times New Roman" w:eastAsia="Times New Roman" w:hAnsi="Times New Roman" w:cs="Times New Roman"/>
                <w:b/>
                <w:bCs/>
                <w:sz w:val="18"/>
                <w:szCs w:val="18"/>
              </w:rPr>
              <w:t>0.7</w:t>
            </w:r>
          </w:p>
        </w:tc>
        <w:tc>
          <w:tcPr>
            <w:tcW w:w="675" w:type="dxa"/>
            <w:noWrap/>
            <w:hideMark/>
          </w:tcPr>
          <w:p w14:paraId="086B34C5" w14:textId="77777777" w:rsidR="00AB6F50" w:rsidRPr="000973F2" w:rsidRDefault="00AB6F50" w:rsidP="00817379">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18"/>
                <w:szCs w:val="18"/>
              </w:rPr>
            </w:pPr>
            <w:r w:rsidRPr="000973F2">
              <w:rPr>
                <w:rFonts w:ascii="Times New Roman" w:eastAsia="Times New Roman" w:hAnsi="Times New Roman" w:cs="Times New Roman"/>
                <w:b/>
                <w:bCs/>
                <w:sz w:val="18"/>
                <w:szCs w:val="18"/>
              </w:rPr>
              <w:t>0.0</w:t>
            </w:r>
          </w:p>
        </w:tc>
        <w:tc>
          <w:tcPr>
            <w:tcW w:w="674" w:type="dxa"/>
            <w:noWrap/>
            <w:hideMark/>
          </w:tcPr>
          <w:p w14:paraId="13D41D45" w14:textId="77777777" w:rsidR="00AB6F50" w:rsidRPr="000973F2" w:rsidRDefault="00AB6F50" w:rsidP="00817379">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18"/>
                <w:szCs w:val="18"/>
              </w:rPr>
            </w:pPr>
            <w:r w:rsidRPr="000973F2">
              <w:rPr>
                <w:rFonts w:ascii="Times New Roman" w:eastAsia="Times New Roman" w:hAnsi="Times New Roman" w:cs="Times New Roman"/>
                <w:b/>
                <w:bCs/>
                <w:sz w:val="18"/>
                <w:szCs w:val="18"/>
              </w:rPr>
              <w:t>4.4</w:t>
            </w:r>
          </w:p>
        </w:tc>
        <w:tc>
          <w:tcPr>
            <w:tcW w:w="674" w:type="dxa"/>
            <w:noWrap/>
            <w:hideMark/>
          </w:tcPr>
          <w:p w14:paraId="4B73A048" w14:textId="77777777" w:rsidR="00AB6F50" w:rsidRPr="000973F2" w:rsidRDefault="00AB6F50" w:rsidP="00817379">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18"/>
                <w:szCs w:val="18"/>
              </w:rPr>
            </w:pPr>
            <w:r w:rsidRPr="000973F2">
              <w:rPr>
                <w:rFonts w:ascii="Times New Roman" w:eastAsia="Times New Roman" w:hAnsi="Times New Roman" w:cs="Times New Roman"/>
                <w:b/>
                <w:bCs/>
                <w:sz w:val="18"/>
                <w:szCs w:val="18"/>
              </w:rPr>
              <w:t>0.0</w:t>
            </w:r>
          </w:p>
        </w:tc>
        <w:tc>
          <w:tcPr>
            <w:tcW w:w="675" w:type="dxa"/>
            <w:noWrap/>
            <w:hideMark/>
          </w:tcPr>
          <w:p w14:paraId="2DD8B72F" w14:textId="77777777" w:rsidR="00AB6F50" w:rsidRPr="000973F2" w:rsidRDefault="00AB6F50" w:rsidP="00817379">
            <w:pPr>
              <w:tabs>
                <w:tab w:val="decimal" w:pos="211"/>
              </w:tabs>
              <w:spacing w:before="40" w:after="4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18"/>
                <w:szCs w:val="18"/>
              </w:rPr>
            </w:pPr>
            <w:r w:rsidRPr="000973F2">
              <w:rPr>
                <w:rFonts w:ascii="Times New Roman" w:eastAsia="Times New Roman" w:hAnsi="Times New Roman" w:cs="Times New Roman"/>
                <w:b/>
                <w:bCs/>
                <w:sz w:val="18"/>
                <w:szCs w:val="18"/>
              </w:rPr>
              <w:t>53.0</w:t>
            </w:r>
          </w:p>
        </w:tc>
        <w:tc>
          <w:tcPr>
            <w:tcW w:w="674" w:type="dxa"/>
            <w:noWrap/>
            <w:hideMark/>
          </w:tcPr>
          <w:p w14:paraId="6DF8556C" w14:textId="77777777" w:rsidR="00AB6F50" w:rsidRPr="000973F2" w:rsidRDefault="00AB6F50" w:rsidP="00817379">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18"/>
                <w:szCs w:val="18"/>
              </w:rPr>
            </w:pPr>
            <w:r w:rsidRPr="000973F2">
              <w:rPr>
                <w:rFonts w:ascii="Times New Roman" w:eastAsia="Times New Roman" w:hAnsi="Times New Roman" w:cs="Times New Roman"/>
                <w:b/>
                <w:bCs/>
                <w:sz w:val="18"/>
                <w:szCs w:val="18"/>
              </w:rPr>
              <w:t>0.0</w:t>
            </w:r>
          </w:p>
        </w:tc>
        <w:tc>
          <w:tcPr>
            <w:tcW w:w="675" w:type="dxa"/>
            <w:noWrap/>
            <w:hideMark/>
          </w:tcPr>
          <w:p w14:paraId="6AF1F7C8" w14:textId="77777777" w:rsidR="00AB6F50" w:rsidRPr="000973F2" w:rsidRDefault="00AB6F50" w:rsidP="00817379">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18"/>
                <w:szCs w:val="18"/>
              </w:rPr>
            </w:pPr>
            <w:r w:rsidRPr="000973F2">
              <w:rPr>
                <w:rFonts w:ascii="Times New Roman" w:eastAsia="Times New Roman" w:hAnsi="Times New Roman" w:cs="Times New Roman"/>
                <w:b/>
                <w:bCs/>
                <w:sz w:val="18"/>
                <w:szCs w:val="18"/>
              </w:rPr>
              <w:t>3.0</w:t>
            </w:r>
          </w:p>
        </w:tc>
        <w:tc>
          <w:tcPr>
            <w:tcW w:w="617" w:type="dxa"/>
            <w:noWrap/>
            <w:hideMark/>
          </w:tcPr>
          <w:p w14:paraId="5FBBB50E" w14:textId="1BB08B10" w:rsidR="00AB6F50" w:rsidRPr="000973F2" w:rsidRDefault="00AB6F50" w:rsidP="00817379">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18"/>
                <w:szCs w:val="18"/>
              </w:rPr>
            </w:pPr>
            <w:r w:rsidRPr="000973F2">
              <w:rPr>
                <w:rFonts w:ascii="Times New Roman" w:eastAsia="Times New Roman" w:hAnsi="Times New Roman" w:cs="Times New Roman"/>
                <w:b/>
                <w:bCs/>
                <w:sz w:val="18"/>
                <w:szCs w:val="18"/>
              </w:rPr>
              <w:t>$0</w:t>
            </w:r>
          </w:p>
        </w:tc>
        <w:tc>
          <w:tcPr>
            <w:tcW w:w="723" w:type="dxa"/>
            <w:noWrap/>
            <w:hideMark/>
          </w:tcPr>
          <w:p w14:paraId="3F1DCE9A" w14:textId="5ED39CDB" w:rsidR="00AB6F50" w:rsidRPr="000973F2" w:rsidRDefault="00AB6F50" w:rsidP="00817379">
            <w:pPr>
              <w:tabs>
                <w:tab w:val="decimal" w:pos="512"/>
              </w:tabs>
              <w:spacing w:before="40" w:after="4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18"/>
                <w:szCs w:val="18"/>
              </w:rPr>
            </w:pPr>
            <w:r w:rsidRPr="000973F2">
              <w:rPr>
                <w:rFonts w:ascii="Times New Roman" w:eastAsia="Times New Roman" w:hAnsi="Times New Roman" w:cs="Times New Roman"/>
                <w:b/>
                <w:bCs/>
                <w:sz w:val="18"/>
                <w:szCs w:val="18"/>
              </w:rPr>
              <w:t>$5,797</w:t>
            </w:r>
          </w:p>
        </w:tc>
      </w:tr>
    </w:tbl>
    <w:p w14:paraId="0ABB0C09" w14:textId="7ACAECE2" w:rsidR="007649D9" w:rsidRPr="000973F2" w:rsidRDefault="007649D9" w:rsidP="00C00E4F">
      <w:pPr>
        <w:spacing w:line="240" w:lineRule="auto"/>
        <w:rPr>
          <w:rFonts w:ascii="Times New Roman" w:hAnsi="Times New Roman" w:cs="Times New Roman"/>
          <w:b/>
          <w:sz w:val="20"/>
          <w:szCs w:val="20"/>
        </w:rPr>
      </w:pPr>
      <w:r w:rsidRPr="000973F2">
        <w:rPr>
          <w:rFonts w:ascii="Times New Roman" w:hAnsi="Times New Roman" w:cs="Times New Roman"/>
          <w:b/>
          <w:sz w:val="20"/>
          <w:szCs w:val="20"/>
        </w:rPr>
        <w:br w:type="page"/>
      </w:r>
    </w:p>
    <w:p w14:paraId="3DD29E0E" w14:textId="76A910C3" w:rsidR="00E6536B" w:rsidRPr="000973F2" w:rsidRDefault="00E6536B" w:rsidP="00A75904">
      <w:pPr>
        <w:pStyle w:val="Tabletitle"/>
      </w:pPr>
      <w:r w:rsidRPr="000973F2">
        <w:t xml:space="preserve">Table </w:t>
      </w:r>
      <w:r w:rsidR="00A75904" w:rsidRPr="000973F2">
        <w:t>W-</w:t>
      </w:r>
      <w:r w:rsidRPr="000973F2">
        <w:t xml:space="preserve">1j. Labor Costs </w:t>
      </w:r>
      <w:r w:rsidR="00B960CC" w:rsidRPr="000973F2">
        <w:t>–</w:t>
      </w:r>
      <w:r w:rsidRPr="000973F2">
        <w:t xml:space="preserve"> Subpart W – Natural Gas Transmission Pipeline</w:t>
      </w:r>
    </w:p>
    <w:tbl>
      <w:tblPr>
        <w:tblStyle w:val="PlainTable1"/>
        <w:tblW w:w="5000" w:type="pct"/>
        <w:jc w:val="left"/>
        <w:tblLayout w:type="fixed"/>
        <w:tblCellMar>
          <w:left w:w="115" w:type="dxa"/>
          <w:right w:w="115" w:type="dxa"/>
        </w:tblCellMar>
        <w:tblLook w:val="04A0" w:firstRow="1" w:lastRow="0" w:firstColumn="1" w:lastColumn="0" w:noHBand="0" w:noVBand="1"/>
      </w:tblPr>
      <w:tblGrid>
        <w:gridCol w:w="1373"/>
        <w:gridCol w:w="674"/>
        <w:gridCol w:w="675"/>
        <w:gridCol w:w="674"/>
        <w:gridCol w:w="674"/>
        <w:gridCol w:w="674"/>
        <w:gridCol w:w="674"/>
        <w:gridCol w:w="674"/>
        <w:gridCol w:w="674"/>
        <w:gridCol w:w="674"/>
        <w:gridCol w:w="674"/>
        <w:gridCol w:w="659"/>
        <w:gridCol w:w="817"/>
      </w:tblGrid>
      <w:tr w:rsidR="00E6536B" w:rsidRPr="000973F2" w14:paraId="71647789" w14:textId="77777777" w:rsidTr="00B6531F">
        <w:trPr>
          <w:cnfStyle w:val="100000000000" w:firstRow="1" w:lastRow="0" w:firstColumn="0" w:lastColumn="0" w:oddVBand="0" w:evenVBand="0" w:oddHBand="0" w:evenHBand="0" w:firstRowFirstColumn="0" w:firstRowLastColumn="0" w:lastRowFirstColumn="0" w:lastRowLastColumn="0"/>
          <w:cantSplit/>
          <w:jc w:val="left"/>
        </w:trPr>
        <w:tc>
          <w:tcPr>
            <w:cnfStyle w:val="001000000000" w:firstRow="0" w:lastRow="0" w:firstColumn="1" w:lastColumn="0" w:oddVBand="0" w:evenVBand="0" w:oddHBand="0" w:evenHBand="0" w:firstRowFirstColumn="0" w:firstRowLastColumn="0" w:lastRowFirstColumn="0" w:lastRowLastColumn="0"/>
            <w:tcW w:w="1335" w:type="dxa"/>
            <w:vMerge w:val="restart"/>
            <w:noWrap/>
            <w:vAlign w:val="top"/>
            <w:hideMark/>
          </w:tcPr>
          <w:p w14:paraId="54064FDC" w14:textId="77777777" w:rsidR="00E6536B" w:rsidRPr="000973F2" w:rsidRDefault="00E6536B" w:rsidP="00A75904">
            <w:pPr>
              <w:spacing w:before="40" w:after="40"/>
              <w:rPr>
                <w:rFonts w:ascii="Times New Roman" w:eastAsia="Times New Roman" w:hAnsi="Times New Roman" w:cs="Times New Roman"/>
                <w:b w:val="0"/>
                <w:bCs w:val="0"/>
                <w:sz w:val="18"/>
                <w:szCs w:val="18"/>
              </w:rPr>
            </w:pPr>
            <w:r w:rsidRPr="000973F2">
              <w:rPr>
                <w:rFonts w:ascii="Times New Roman" w:eastAsia="Times New Roman" w:hAnsi="Times New Roman" w:cs="Times New Roman"/>
                <w:sz w:val="18"/>
                <w:szCs w:val="18"/>
              </w:rPr>
              <w:t>Activity</w:t>
            </w:r>
          </w:p>
        </w:tc>
        <w:tc>
          <w:tcPr>
            <w:tcW w:w="6559" w:type="dxa"/>
            <w:gridSpan w:val="10"/>
            <w:noWrap/>
            <w:vAlign w:val="top"/>
            <w:hideMark/>
          </w:tcPr>
          <w:p w14:paraId="11327D6C" w14:textId="77777777" w:rsidR="00E6536B" w:rsidRPr="000973F2" w:rsidRDefault="00E6536B" w:rsidP="00A75904">
            <w:pPr>
              <w:spacing w:before="40" w:after="40"/>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bCs w:val="0"/>
                <w:sz w:val="18"/>
                <w:szCs w:val="18"/>
              </w:rPr>
            </w:pPr>
            <w:r w:rsidRPr="000973F2">
              <w:rPr>
                <w:rFonts w:ascii="Times New Roman" w:eastAsia="Times New Roman" w:hAnsi="Times New Roman" w:cs="Times New Roman"/>
                <w:sz w:val="18"/>
                <w:szCs w:val="18"/>
              </w:rPr>
              <w:t>Labor Rates (per hour)</w:t>
            </w:r>
          </w:p>
        </w:tc>
        <w:tc>
          <w:tcPr>
            <w:tcW w:w="1436" w:type="dxa"/>
            <w:gridSpan w:val="2"/>
            <w:vMerge w:val="restart"/>
            <w:vAlign w:val="top"/>
            <w:hideMark/>
          </w:tcPr>
          <w:p w14:paraId="59024B2F" w14:textId="77777777" w:rsidR="00E6536B" w:rsidRPr="000973F2" w:rsidRDefault="00E6536B" w:rsidP="00A75904">
            <w:pPr>
              <w:spacing w:before="40" w:after="40"/>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bCs w:val="0"/>
                <w:sz w:val="18"/>
                <w:szCs w:val="18"/>
              </w:rPr>
            </w:pPr>
            <w:r w:rsidRPr="000973F2">
              <w:rPr>
                <w:rFonts w:ascii="Times New Roman" w:eastAsia="Times New Roman" w:hAnsi="Times New Roman" w:cs="Times New Roman"/>
                <w:sz w:val="18"/>
                <w:szCs w:val="18"/>
              </w:rPr>
              <w:t>Total Labor Cost per Year per Reporter</w:t>
            </w:r>
          </w:p>
          <w:p w14:paraId="480B37B2" w14:textId="77777777" w:rsidR="00E6536B" w:rsidRPr="000973F2" w:rsidRDefault="00E6536B" w:rsidP="00A75904">
            <w:pPr>
              <w:spacing w:before="40" w:after="40"/>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bCs w:val="0"/>
                <w:sz w:val="18"/>
                <w:szCs w:val="18"/>
              </w:rPr>
            </w:pPr>
            <w:r w:rsidRPr="000973F2">
              <w:rPr>
                <w:rFonts w:ascii="Times New Roman" w:eastAsia="Times New Roman" w:hAnsi="Times New Roman" w:cs="Times New Roman"/>
                <w:sz w:val="18"/>
                <w:szCs w:val="18"/>
              </w:rPr>
              <w:t>(2017$)</w:t>
            </w:r>
          </w:p>
        </w:tc>
      </w:tr>
      <w:tr w:rsidR="00B6531F" w:rsidRPr="000973F2" w14:paraId="032F6B9A" w14:textId="77777777" w:rsidTr="00B6531F">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1335" w:type="dxa"/>
            <w:vMerge/>
            <w:hideMark/>
          </w:tcPr>
          <w:p w14:paraId="364AB4BD" w14:textId="77777777" w:rsidR="00E6536B" w:rsidRPr="000973F2" w:rsidRDefault="00E6536B" w:rsidP="00A75904">
            <w:pPr>
              <w:spacing w:before="40" w:after="40"/>
              <w:rPr>
                <w:rFonts w:ascii="Times New Roman" w:eastAsia="Times New Roman" w:hAnsi="Times New Roman" w:cs="Times New Roman"/>
                <w:b/>
                <w:bCs w:val="0"/>
                <w:sz w:val="18"/>
                <w:szCs w:val="18"/>
              </w:rPr>
            </w:pPr>
          </w:p>
        </w:tc>
        <w:tc>
          <w:tcPr>
            <w:tcW w:w="1311" w:type="dxa"/>
            <w:gridSpan w:val="2"/>
            <w:noWrap/>
            <w:hideMark/>
          </w:tcPr>
          <w:p w14:paraId="6B0474C6" w14:textId="77777777" w:rsidR="00E6536B" w:rsidRPr="000973F2" w:rsidRDefault="00E6536B" w:rsidP="00A75904">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18"/>
                <w:szCs w:val="18"/>
              </w:rPr>
            </w:pPr>
            <w:r w:rsidRPr="000973F2">
              <w:rPr>
                <w:rFonts w:ascii="Times New Roman" w:eastAsia="Times New Roman" w:hAnsi="Times New Roman" w:cs="Times New Roman"/>
                <w:b/>
                <w:bCs/>
                <w:sz w:val="18"/>
                <w:szCs w:val="18"/>
              </w:rPr>
              <w:t>Lawyer</w:t>
            </w:r>
          </w:p>
        </w:tc>
        <w:tc>
          <w:tcPr>
            <w:tcW w:w="1312" w:type="dxa"/>
            <w:gridSpan w:val="2"/>
            <w:noWrap/>
            <w:hideMark/>
          </w:tcPr>
          <w:p w14:paraId="2500C006" w14:textId="77777777" w:rsidR="00E6536B" w:rsidRPr="000973F2" w:rsidRDefault="00E6536B" w:rsidP="00A75904">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18"/>
                <w:szCs w:val="18"/>
              </w:rPr>
            </w:pPr>
            <w:r w:rsidRPr="000973F2">
              <w:rPr>
                <w:rFonts w:ascii="Times New Roman" w:eastAsia="Times New Roman" w:hAnsi="Times New Roman" w:cs="Times New Roman"/>
                <w:b/>
                <w:bCs/>
                <w:sz w:val="18"/>
                <w:szCs w:val="18"/>
              </w:rPr>
              <w:t>Senior Manager</w:t>
            </w:r>
          </w:p>
        </w:tc>
        <w:tc>
          <w:tcPr>
            <w:tcW w:w="1312" w:type="dxa"/>
            <w:gridSpan w:val="2"/>
            <w:noWrap/>
            <w:hideMark/>
          </w:tcPr>
          <w:p w14:paraId="28D375D5" w14:textId="77777777" w:rsidR="00E6536B" w:rsidRPr="000973F2" w:rsidRDefault="00E6536B" w:rsidP="00A75904">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18"/>
                <w:szCs w:val="18"/>
              </w:rPr>
            </w:pPr>
            <w:r w:rsidRPr="000973F2">
              <w:rPr>
                <w:rFonts w:ascii="Times New Roman" w:eastAsia="Times New Roman" w:hAnsi="Times New Roman" w:cs="Times New Roman"/>
                <w:b/>
                <w:bCs/>
                <w:sz w:val="18"/>
                <w:szCs w:val="18"/>
              </w:rPr>
              <w:t>Middle Manager</w:t>
            </w:r>
          </w:p>
        </w:tc>
        <w:tc>
          <w:tcPr>
            <w:tcW w:w="1312" w:type="dxa"/>
            <w:gridSpan w:val="2"/>
            <w:hideMark/>
          </w:tcPr>
          <w:p w14:paraId="535C2313" w14:textId="77777777" w:rsidR="00E6536B" w:rsidRPr="000973F2" w:rsidRDefault="00E6536B" w:rsidP="00A75904">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18"/>
                <w:szCs w:val="18"/>
              </w:rPr>
            </w:pPr>
            <w:r w:rsidRPr="000973F2">
              <w:rPr>
                <w:rFonts w:ascii="Times New Roman" w:eastAsia="Times New Roman" w:hAnsi="Times New Roman" w:cs="Times New Roman"/>
                <w:b/>
                <w:bCs/>
                <w:sz w:val="18"/>
                <w:szCs w:val="18"/>
              </w:rPr>
              <w:t>Engineer</w:t>
            </w:r>
          </w:p>
        </w:tc>
        <w:tc>
          <w:tcPr>
            <w:tcW w:w="1312" w:type="dxa"/>
            <w:gridSpan w:val="2"/>
            <w:hideMark/>
          </w:tcPr>
          <w:p w14:paraId="10BA80AC" w14:textId="77777777" w:rsidR="00E6536B" w:rsidRPr="000973F2" w:rsidRDefault="00E6536B" w:rsidP="00A75904">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18"/>
                <w:szCs w:val="18"/>
              </w:rPr>
            </w:pPr>
            <w:r w:rsidRPr="000973F2">
              <w:rPr>
                <w:rFonts w:ascii="Times New Roman" w:eastAsia="Times New Roman" w:hAnsi="Times New Roman" w:cs="Times New Roman"/>
                <w:b/>
                <w:bCs/>
                <w:sz w:val="18"/>
                <w:szCs w:val="18"/>
              </w:rPr>
              <w:t>Technician</w:t>
            </w:r>
          </w:p>
        </w:tc>
        <w:tc>
          <w:tcPr>
            <w:tcW w:w="1436" w:type="dxa"/>
            <w:gridSpan w:val="2"/>
            <w:vMerge/>
            <w:hideMark/>
          </w:tcPr>
          <w:p w14:paraId="5DE7081F" w14:textId="77777777" w:rsidR="00E6536B" w:rsidRPr="000973F2" w:rsidRDefault="00E6536B" w:rsidP="00A75904">
            <w:pPr>
              <w:spacing w:before="40" w:after="4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18"/>
                <w:szCs w:val="18"/>
              </w:rPr>
            </w:pPr>
          </w:p>
        </w:tc>
      </w:tr>
      <w:tr w:rsidR="00E6536B" w:rsidRPr="000973F2" w14:paraId="744AA3EC" w14:textId="77777777" w:rsidTr="00B6531F">
        <w:trPr>
          <w:cantSplit/>
        </w:trPr>
        <w:tc>
          <w:tcPr>
            <w:cnfStyle w:val="001000000000" w:firstRow="0" w:lastRow="0" w:firstColumn="1" w:lastColumn="0" w:oddVBand="0" w:evenVBand="0" w:oddHBand="0" w:evenHBand="0" w:firstRowFirstColumn="0" w:firstRowLastColumn="0" w:lastRowFirstColumn="0" w:lastRowLastColumn="0"/>
            <w:tcW w:w="1335" w:type="dxa"/>
            <w:vMerge/>
            <w:hideMark/>
          </w:tcPr>
          <w:p w14:paraId="4D3F9A5B" w14:textId="77777777" w:rsidR="00E6536B" w:rsidRPr="000973F2" w:rsidRDefault="00E6536B" w:rsidP="00A75904">
            <w:pPr>
              <w:spacing w:before="40" w:after="40"/>
              <w:rPr>
                <w:rFonts w:ascii="Times New Roman" w:eastAsia="Times New Roman" w:hAnsi="Times New Roman" w:cs="Times New Roman"/>
                <w:b/>
                <w:bCs w:val="0"/>
                <w:sz w:val="18"/>
                <w:szCs w:val="18"/>
              </w:rPr>
            </w:pPr>
          </w:p>
        </w:tc>
        <w:tc>
          <w:tcPr>
            <w:tcW w:w="1311" w:type="dxa"/>
            <w:gridSpan w:val="2"/>
            <w:noWrap/>
            <w:hideMark/>
          </w:tcPr>
          <w:p w14:paraId="1C1183BC" w14:textId="619DF660" w:rsidR="00E6536B" w:rsidRPr="000973F2" w:rsidRDefault="00E6536B" w:rsidP="00A75904">
            <w:pPr>
              <w:spacing w:before="40" w:after="4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sz w:val="18"/>
                <w:szCs w:val="18"/>
              </w:rPr>
            </w:pPr>
            <w:r w:rsidRPr="000973F2">
              <w:rPr>
                <w:rFonts w:ascii="Times New Roman" w:eastAsia="Times New Roman" w:hAnsi="Times New Roman" w:cs="Times New Roman"/>
                <w:b/>
                <w:bCs/>
                <w:sz w:val="18"/>
                <w:szCs w:val="18"/>
              </w:rPr>
              <w:t>$112.23</w:t>
            </w:r>
          </w:p>
        </w:tc>
        <w:tc>
          <w:tcPr>
            <w:tcW w:w="1312" w:type="dxa"/>
            <w:gridSpan w:val="2"/>
            <w:hideMark/>
          </w:tcPr>
          <w:p w14:paraId="66F77246" w14:textId="0401A150" w:rsidR="00E6536B" w:rsidRPr="000973F2" w:rsidRDefault="00E6536B" w:rsidP="00A75904">
            <w:pPr>
              <w:spacing w:before="40" w:after="4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sz w:val="18"/>
                <w:szCs w:val="18"/>
              </w:rPr>
            </w:pPr>
            <w:r w:rsidRPr="000973F2">
              <w:rPr>
                <w:rFonts w:ascii="Times New Roman" w:eastAsia="Times New Roman" w:hAnsi="Times New Roman" w:cs="Times New Roman"/>
                <w:b/>
                <w:bCs/>
                <w:sz w:val="18"/>
                <w:szCs w:val="18"/>
              </w:rPr>
              <w:t>$141.54</w:t>
            </w:r>
          </w:p>
        </w:tc>
        <w:tc>
          <w:tcPr>
            <w:tcW w:w="1312" w:type="dxa"/>
            <w:gridSpan w:val="2"/>
            <w:noWrap/>
            <w:hideMark/>
          </w:tcPr>
          <w:p w14:paraId="3DE7E35D" w14:textId="4D9624C5" w:rsidR="00E6536B" w:rsidRPr="000973F2" w:rsidRDefault="00E6536B" w:rsidP="00A75904">
            <w:pPr>
              <w:spacing w:before="40" w:after="4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sz w:val="18"/>
                <w:szCs w:val="18"/>
              </w:rPr>
            </w:pPr>
            <w:r w:rsidRPr="000973F2">
              <w:rPr>
                <w:rFonts w:ascii="Times New Roman" w:eastAsia="Times New Roman" w:hAnsi="Times New Roman" w:cs="Times New Roman"/>
                <w:b/>
                <w:bCs/>
                <w:sz w:val="18"/>
                <w:szCs w:val="18"/>
              </w:rPr>
              <w:t>$105.68</w:t>
            </w:r>
          </w:p>
        </w:tc>
        <w:tc>
          <w:tcPr>
            <w:tcW w:w="1312" w:type="dxa"/>
            <w:gridSpan w:val="2"/>
            <w:hideMark/>
          </w:tcPr>
          <w:p w14:paraId="040A2AE6" w14:textId="140D87F0" w:rsidR="00E6536B" w:rsidRPr="000973F2" w:rsidRDefault="00E6536B" w:rsidP="00A75904">
            <w:pPr>
              <w:spacing w:before="40" w:after="4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sz w:val="18"/>
                <w:szCs w:val="18"/>
              </w:rPr>
            </w:pPr>
            <w:r w:rsidRPr="000973F2">
              <w:rPr>
                <w:rFonts w:ascii="Times New Roman" w:eastAsia="Times New Roman" w:hAnsi="Times New Roman" w:cs="Times New Roman"/>
                <w:b/>
                <w:bCs/>
                <w:sz w:val="18"/>
                <w:szCs w:val="18"/>
              </w:rPr>
              <w:t>$91.06</w:t>
            </w:r>
          </w:p>
        </w:tc>
        <w:tc>
          <w:tcPr>
            <w:tcW w:w="1312" w:type="dxa"/>
            <w:gridSpan w:val="2"/>
            <w:noWrap/>
            <w:hideMark/>
          </w:tcPr>
          <w:p w14:paraId="151C714E" w14:textId="6624CB04" w:rsidR="00E6536B" w:rsidRPr="000973F2" w:rsidRDefault="00E6536B" w:rsidP="00A75904">
            <w:pPr>
              <w:spacing w:before="40" w:after="4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sz w:val="18"/>
                <w:szCs w:val="18"/>
              </w:rPr>
            </w:pPr>
            <w:r w:rsidRPr="000973F2">
              <w:rPr>
                <w:rFonts w:ascii="Times New Roman" w:eastAsia="Times New Roman" w:hAnsi="Times New Roman" w:cs="Times New Roman"/>
                <w:b/>
                <w:bCs/>
                <w:sz w:val="18"/>
                <w:szCs w:val="18"/>
              </w:rPr>
              <w:t>$60.72</w:t>
            </w:r>
          </w:p>
        </w:tc>
        <w:tc>
          <w:tcPr>
            <w:tcW w:w="1436" w:type="dxa"/>
            <w:gridSpan w:val="2"/>
            <w:vMerge/>
            <w:hideMark/>
          </w:tcPr>
          <w:p w14:paraId="7F337634" w14:textId="77777777" w:rsidR="00E6536B" w:rsidRPr="000973F2" w:rsidRDefault="00E6536B" w:rsidP="00A75904">
            <w:pPr>
              <w:spacing w:before="40" w:after="4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sz w:val="18"/>
                <w:szCs w:val="18"/>
              </w:rPr>
            </w:pPr>
          </w:p>
        </w:tc>
      </w:tr>
      <w:tr w:rsidR="00B6531F" w:rsidRPr="000973F2" w14:paraId="6EE49DFB" w14:textId="77777777" w:rsidTr="00A75904">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1335" w:type="dxa"/>
            <w:vMerge/>
            <w:hideMark/>
          </w:tcPr>
          <w:p w14:paraId="6E7F7876" w14:textId="77777777" w:rsidR="00E6536B" w:rsidRPr="000973F2" w:rsidRDefault="00E6536B" w:rsidP="00A75904">
            <w:pPr>
              <w:spacing w:before="40" w:after="40"/>
              <w:rPr>
                <w:rFonts w:ascii="Times New Roman" w:eastAsia="Times New Roman" w:hAnsi="Times New Roman" w:cs="Times New Roman"/>
                <w:b/>
                <w:bCs w:val="0"/>
                <w:sz w:val="18"/>
                <w:szCs w:val="18"/>
              </w:rPr>
            </w:pPr>
          </w:p>
        </w:tc>
        <w:tc>
          <w:tcPr>
            <w:tcW w:w="655" w:type="dxa"/>
            <w:tcMar>
              <w:left w:w="14" w:type="dxa"/>
              <w:right w:w="14" w:type="dxa"/>
            </w:tcMar>
            <w:hideMark/>
          </w:tcPr>
          <w:p w14:paraId="2B3D3E14" w14:textId="77777777" w:rsidR="00E6536B" w:rsidRPr="000973F2" w:rsidRDefault="00E6536B" w:rsidP="00A75904">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18"/>
                <w:szCs w:val="18"/>
              </w:rPr>
            </w:pPr>
            <w:r w:rsidRPr="000973F2">
              <w:rPr>
                <w:rFonts w:ascii="Times New Roman" w:eastAsia="Times New Roman" w:hAnsi="Times New Roman" w:cs="Times New Roman"/>
                <w:b/>
                <w:bCs/>
                <w:sz w:val="18"/>
                <w:szCs w:val="18"/>
              </w:rPr>
              <w:t>Initial Year Hours</w:t>
            </w:r>
          </w:p>
        </w:tc>
        <w:tc>
          <w:tcPr>
            <w:tcW w:w="656" w:type="dxa"/>
            <w:tcMar>
              <w:left w:w="14" w:type="dxa"/>
              <w:right w:w="14" w:type="dxa"/>
            </w:tcMar>
            <w:hideMark/>
          </w:tcPr>
          <w:p w14:paraId="67835ECE" w14:textId="77777777" w:rsidR="00E6536B" w:rsidRPr="000973F2" w:rsidRDefault="00E6536B" w:rsidP="00A75904">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18"/>
                <w:szCs w:val="18"/>
              </w:rPr>
            </w:pPr>
            <w:r w:rsidRPr="000973F2">
              <w:rPr>
                <w:rFonts w:ascii="Times New Roman" w:eastAsia="Times New Roman" w:hAnsi="Times New Roman" w:cs="Times New Roman"/>
                <w:b/>
                <w:bCs/>
                <w:sz w:val="18"/>
                <w:szCs w:val="18"/>
              </w:rPr>
              <w:t>Subseq. Year Hours</w:t>
            </w:r>
          </w:p>
        </w:tc>
        <w:tc>
          <w:tcPr>
            <w:tcW w:w="656" w:type="dxa"/>
            <w:tcMar>
              <w:left w:w="14" w:type="dxa"/>
              <w:right w:w="14" w:type="dxa"/>
            </w:tcMar>
            <w:hideMark/>
          </w:tcPr>
          <w:p w14:paraId="35D8E100" w14:textId="77777777" w:rsidR="00E6536B" w:rsidRPr="000973F2" w:rsidRDefault="00E6536B" w:rsidP="00A75904">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18"/>
                <w:szCs w:val="18"/>
              </w:rPr>
            </w:pPr>
            <w:r w:rsidRPr="000973F2">
              <w:rPr>
                <w:rFonts w:ascii="Times New Roman" w:eastAsia="Times New Roman" w:hAnsi="Times New Roman" w:cs="Times New Roman"/>
                <w:b/>
                <w:bCs/>
                <w:sz w:val="18"/>
                <w:szCs w:val="18"/>
              </w:rPr>
              <w:t>Initial Year Hours</w:t>
            </w:r>
          </w:p>
        </w:tc>
        <w:tc>
          <w:tcPr>
            <w:tcW w:w="656" w:type="dxa"/>
            <w:tcMar>
              <w:left w:w="14" w:type="dxa"/>
              <w:right w:w="14" w:type="dxa"/>
            </w:tcMar>
            <w:hideMark/>
          </w:tcPr>
          <w:p w14:paraId="5C3C8082" w14:textId="77777777" w:rsidR="00E6536B" w:rsidRPr="000973F2" w:rsidRDefault="00E6536B" w:rsidP="00A75904">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18"/>
                <w:szCs w:val="18"/>
              </w:rPr>
            </w:pPr>
            <w:r w:rsidRPr="000973F2">
              <w:rPr>
                <w:rFonts w:ascii="Times New Roman" w:eastAsia="Times New Roman" w:hAnsi="Times New Roman" w:cs="Times New Roman"/>
                <w:b/>
                <w:bCs/>
                <w:sz w:val="18"/>
                <w:szCs w:val="18"/>
              </w:rPr>
              <w:t>Subseq. Year Hours</w:t>
            </w:r>
          </w:p>
        </w:tc>
        <w:tc>
          <w:tcPr>
            <w:tcW w:w="656" w:type="dxa"/>
            <w:tcMar>
              <w:left w:w="14" w:type="dxa"/>
              <w:right w:w="14" w:type="dxa"/>
            </w:tcMar>
            <w:hideMark/>
          </w:tcPr>
          <w:p w14:paraId="181AEE52" w14:textId="77777777" w:rsidR="00E6536B" w:rsidRPr="000973F2" w:rsidRDefault="00E6536B" w:rsidP="00A75904">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18"/>
                <w:szCs w:val="18"/>
              </w:rPr>
            </w:pPr>
            <w:r w:rsidRPr="000973F2">
              <w:rPr>
                <w:rFonts w:ascii="Times New Roman" w:eastAsia="Times New Roman" w:hAnsi="Times New Roman" w:cs="Times New Roman"/>
                <w:b/>
                <w:bCs/>
                <w:sz w:val="18"/>
                <w:szCs w:val="18"/>
              </w:rPr>
              <w:t>Initial Year Hours</w:t>
            </w:r>
          </w:p>
        </w:tc>
        <w:tc>
          <w:tcPr>
            <w:tcW w:w="656" w:type="dxa"/>
            <w:tcMar>
              <w:left w:w="14" w:type="dxa"/>
              <w:right w:w="14" w:type="dxa"/>
            </w:tcMar>
            <w:hideMark/>
          </w:tcPr>
          <w:p w14:paraId="5C357343" w14:textId="77777777" w:rsidR="00E6536B" w:rsidRPr="000973F2" w:rsidRDefault="00E6536B" w:rsidP="00A75904">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18"/>
                <w:szCs w:val="18"/>
              </w:rPr>
            </w:pPr>
            <w:r w:rsidRPr="000973F2">
              <w:rPr>
                <w:rFonts w:ascii="Times New Roman" w:eastAsia="Times New Roman" w:hAnsi="Times New Roman" w:cs="Times New Roman"/>
                <w:b/>
                <w:bCs/>
                <w:sz w:val="18"/>
                <w:szCs w:val="18"/>
              </w:rPr>
              <w:t>Subseq. Year Hours</w:t>
            </w:r>
          </w:p>
        </w:tc>
        <w:tc>
          <w:tcPr>
            <w:tcW w:w="656" w:type="dxa"/>
            <w:tcMar>
              <w:left w:w="14" w:type="dxa"/>
              <w:right w:w="14" w:type="dxa"/>
            </w:tcMar>
            <w:hideMark/>
          </w:tcPr>
          <w:p w14:paraId="0993C961" w14:textId="77777777" w:rsidR="00E6536B" w:rsidRPr="000973F2" w:rsidRDefault="00E6536B" w:rsidP="00A75904">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18"/>
                <w:szCs w:val="18"/>
              </w:rPr>
            </w:pPr>
            <w:r w:rsidRPr="000973F2">
              <w:rPr>
                <w:rFonts w:ascii="Times New Roman" w:eastAsia="Times New Roman" w:hAnsi="Times New Roman" w:cs="Times New Roman"/>
                <w:b/>
                <w:bCs/>
                <w:sz w:val="18"/>
                <w:szCs w:val="18"/>
              </w:rPr>
              <w:t>Initial Year Hours</w:t>
            </w:r>
          </w:p>
        </w:tc>
        <w:tc>
          <w:tcPr>
            <w:tcW w:w="656" w:type="dxa"/>
            <w:tcMar>
              <w:left w:w="14" w:type="dxa"/>
              <w:right w:w="14" w:type="dxa"/>
            </w:tcMar>
            <w:hideMark/>
          </w:tcPr>
          <w:p w14:paraId="05A14145" w14:textId="77777777" w:rsidR="00E6536B" w:rsidRPr="000973F2" w:rsidRDefault="00E6536B" w:rsidP="00A75904">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18"/>
                <w:szCs w:val="18"/>
              </w:rPr>
            </w:pPr>
            <w:r w:rsidRPr="000973F2">
              <w:rPr>
                <w:rFonts w:ascii="Times New Roman" w:eastAsia="Times New Roman" w:hAnsi="Times New Roman" w:cs="Times New Roman"/>
                <w:b/>
                <w:bCs/>
                <w:sz w:val="18"/>
                <w:szCs w:val="18"/>
              </w:rPr>
              <w:t>Subseq. Year Hours</w:t>
            </w:r>
          </w:p>
        </w:tc>
        <w:tc>
          <w:tcPr>
            <w:tcW w:w="656" w:type="dxa"/>
            <w:tcMar>
              <w:left w:w="14" w:type="dxa"/>
              <w:right w:w="14" w:type="dxa"/>
            </w:tcMar>
            <w:hideMark/>
          </w:tcPr>
          <w:p w14:paraId="16519BEE" w14:textId="77777777" w:rsidR="00E6536B" w:rsidRPr="000973F2" w:rsidRDefault="00E6536B" w:rsidP="00A75904">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18"/>
                <w:szCs w:val="18"/>
              </w:rPr>
            </w:pPr>
            <w:r w:rsidRPr="000973F2">
              <w:rPr>
                <w:rFonts w:ascii="Times New Roman" w:eastAsia="Times New Roman" w:hAnsi="Times New Roman" w:cs="Times New Roman"/>
                <w:b/>
                <w:bCs/>
                <w:sz w:val="18"/>
                <w:szCs w:val="18"/>
              </w:rPr>
              <w:t>Initial Year Hours</w:t>
            </w:r>
          </w:p>
        </w:tc>
        <w:tc>
          <w:tcPr>
            <w:tcW w:w="656" w:type="dxa"/>
            <w:tcMar>
              <w:left w:w="14" w:type="dxa"/>
              <w:right w:w="14" w:type="dxa"/>
            </w:tcMar>
            <w:hideMark/>
          </w:tcPr>
          <w:p w14:paraId="53D7C536" w14:textId="77777777" w:rsidR="00E6536B" w:rsidRPr="000973F2" w:rsidRDefault="00E6536B" w:rsidP="00A75904">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18"/>
                <w:szCs w:val="18"/>
              </w:rPr>
            </w:pPr>
            <w:r w:rsidRPr="000973F2">
              <w:rPr>
                <w:rFonts w:ascii="Times New Roman" w:eastAsia="Times New Roman" w:hAnsi="Times New Roman" w:cs="Times New Roman"/>
                <w:b/>
                <w:bCs/>
                <w:sz w:val="18"/>
                <w:szCs w:val="18"/>
              </w:rPr>
              <w:t>Subseq. Year Hours</w:t>
            </w:r>
          </w:p>
        </w:tc>
        <w:tc>
          <w:tcPr>
            <w:tcW w:w="641" w:type="dxa"/>
            <w:tcMar>
              <w:left w:w="14" w:type="dxa"/>
              <w:right w:w="14" w:type="dxa"/>
            </w:tcMar>
            <w:hideMark/>
          </w:tcPr>
          <w:p w14:paraId="17B59AF6" w14:textId="77777777" w:rsidR="00E6536B" w:rsidRPr="000973F2" w:rsidRDefault="00E6536B" w:rsidP="00A75904">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18"/>
                <w:szCs w:val="18"/>
              </w:rPr>
            </w:pPr>
            <w:r w:rsidRPr="000973F2">
              <w:rPr>
                <w:rFonts w:ascii="Times New Roman" w:eastAsia="Times New Roman" w:hAnsi="Times New Roman" w:cs="Times New Roman"/>
                <w:b/>
                <w:bCs/>
                <w:sz w:val="18"/>
                <w:szCs w:val="18"/>
              </w:rPr>
              <w:t>Initial Year</w:t>
            </w:r>
          </w:p>
        </w:tc>
        <w:tc>
          <w:tcPr>
            <w:tcW w:w="795" w:type="dxa"/>
            <w:tcMar>
              <w:left w:w="14" w:type="dxa"/>
              <w:right w:w="14" w:type="dxa"/>
            </w:tcMar>
            <w:hideMark/>
          </w:tcPr>
          <w:p w14:paraId="2D0689E3" w14:textId="77777777" w:rsidR="00E6536B" w:rsidRPr="000973F2" w:rsidRDefault="00E6536B" w:rsidP="00A75904">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18"/>
                <w:szCs w:val="18"/>
              </w:rPr>
            </w:pPr>
            <w:r w:rsidRPr="000973F2">
              <w:rPr>
                <w:rFonts w:ascii="Times New Roman" w:eastAsia="Times New Roman" w:hAnsi="Times New Roman" w:cs="Times New Roman"/>
                <w:b/>
                <w:bCs/>
                <w:sz w:val="18"/>
                <w:szCs w:val="18"/>
              </w:rPr>
              <w:t>Subseq. Year</w:t>
            </w:r>
          </w:p>
        </w:tc>
      </w:tr>
      <w:tr w:rsidR="00A75904" w:rsidRPr="000973F2" w14:paraId="1FAA4FC2" w14:textId="77777777" w:rsidTr="00A75904">
        <w:trPr>
          <w:cantSplit/>
        </w:trPr>
        <w:tc>
          <w:tcPr>
            <w:cnfStyle w:val="001000000000" w:firstRow="0" w:lastRow="0" w:firstColumn="1" w:lastColumn="0" w:oddVBand="0" w:evenVBand="0" w:oddHBand="0" w:evenHBand="0" w:firstRowFirstColumn="0" w:firstRowLastColumn="0" w:lastRowFirstColumn="0" w:lastRowLastColumn="0"/>
            <w:tcW w:w="1335" w:type="dxa"/>
            <w:tcMar>
              <w:right w:w="14" w:type="dxa"/>
            </w:tcMar>
            <w:hideMark/>
          </w:tcPr>
          <w:p w14:paraId="538DA230" w14:textId="77777777" w:rsidR="00E6536B" w:rsidRPr="000973F2" w:rsidRDefault="00E6536B" w:rsidP="00A75904">
            <w:pPr>
              <w:spacing w:before="40" w:after="4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Planning</w:t>
            </w:r>
          </w:p>
        </w:tc>
        <w:tc>
          <w:tcPr>
            <w:tcW w:w="655" w:type="dxa"/>
            <w:noWrap/>
            <w:hideMark/>
          </w:tcPr>
          <w:p w14:paraId="7B93FCF3" w14:textId="77777777" w:rsidR="00E6536B" w:rsidRPr="000973F2" w:rsidRDefault="00E6536B" w:rsidP="00A75904">
            <w:pPr>
              <w:spacing w:before="40" w:after="4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0.0</w:t>
            </w:r>
          </w:p>
        </w:tc>
        <w:tc>
          <w:tcPr>
            <w:tcW w:w="656" w:type="dxa"/>
            <w:noWrap/>
            <w:hideMark/>
          </w:tcPr>
          <w:p w14:paraId="775BFD98" w14:textId="77777777" w:rsidR="00E6536B" w:rsidRPr="000973F2" w:rsidRDefault="00E6536B" w:rsidP="00A75904">
            <w:pPr>
              <w:spacing w:before="40" w:after="4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2.0</w:t>
            </w:r>
          </w:p>
        </w:tc>
        <w:tc>
          <w:tcPr>
            <w:tcW w:w="656" w:type="dxa"/>
            <w:noWrap/>
            <w:hideMark/>
          </w:tcPr>
          <w:p w14:paraId="1F1CB239" w14:textId="77777777" w:rsidR="00E6536B" w:rsidRPr="000973F2" w:rsidRDefault="00E6536B" w:rsidP="00A75904">
            <w:pPr>
              <w:spacing w:before="40" w:after="4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0.0</w:t>
            </w:r>
          </w:p>
        </w:tc>
        <w:tc>
          <w:tcPr>
            <w:tcW w:w="656" w:type="dxa"/>
            <w:noWrap/>
            <w:hideMark/>
          </w:tcPr>
          <w:p w14:paraId="2AEDEDE1" w14:textId="77777777" w:rsidR="00E6536B" w:rsidRPr="000973F2" w:rsidRDefault="00E6536B" w:rsidP="00A75904">
            <w:pPr>
              <w:spacing w:before="40" w:after="4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0.5</w:t>
            </w:r>
          </w:p>
        </w:tc>
        <w:tc>
          <w:tcPr>
            <w:tcW w:w="656" w:type="dxa"/>
            <w:noWrap/>
            <w:hideMark/>
          </w:tcPr>
          <w:p w14:paraId="04CB9AEC" w14:textId="77777777" w:rsidR="00E6536B" w:rsidRPr="000973F2" w:rsidRDefault="00E6536B" w:rsidP="00A75904">
            <w:pPr>
              <w:spacing w:before="40" w:after="4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0.0</w:t>
            </w:r>
          </w:p>
        </w:tc>
        <w:tc>
          <w:tcPr>
            <w:tcW w:w="656" w:type="dxa"/>
            <w:noWrap/>
            <w:hideMark/>
          </w:tcPr>
          <w:p w14:paraId="1202FC78" w14:textId="77777777" w:rsidR="00E6536B" w:rsidRPr="000973F2" w:rsidRDefault="00E6536B" w:rsidP="00A75904">
            <w:pPr>
              <w:spacing w:before="40" w:after="4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1.0</w:t>
            </w:r>
          </w:p>
        </w:tc>
        <w:tc>
          <w:tcPr>
            <w:tcW w:w="656" w:type="dxa"/>
            <w:noWrap/>
            <w:hideMark/>
          </w:tcPr>
          <w:p w14:paraId="179C4BEE" w14:textId="77777777" w:rsidR="00E6536B" w:rsidRPr="000973F2" w:rsidRDefault="00E6536B" w:rsidP="00A75904">
            <w:pPr>
              <w:spacing w:before="40" w:after="4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0.0</w:t>
            </w:r>
          </w:p>
        </w:tc>
        <w:tc>
          <w:tcPr>
            <w:tcW w:w="656" w:type="dxa"/>
            <w:noWrap/>
            <w:hideMark/>
          </w:tcPr>
          <w:p w14:paraId="6219B61C" w14:textId="77777777" w:rsidR="00E6536B" w:rsidRPr="000973F2" w:rsidRDefault="00E6536B" w:rsidP="00A75904">
            <w:pPr>
              <w:tabs>
                <w:tab w:val="decimal" w:pos="151"/>
              </w:tabs>
              <w:spacing w:before="40" w:after="4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10.0</w:t>
            </w:r>
          </w:p>
        </w:tc>
        <w:tc>
          <w:tcPr>
            <w:tcW w:w="656" w:type="dxa"/>
            <w:noWrap/>
            <w:hideMark/>
          </w:tcPr>
          <w:p w14:paraId="0F6C4969" w14:textId="77777777" w:rsidR="00E6536B" w:rsidRPr="000973F2" w:rsidRDefault="00E6536B" w:rsidP="00A75904">
            <w:pPr>
              <w:spacing w:before="40" w:after="4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0.0</w:t>
            </w:r>
          </w:p>
        </w:tc>
        <w:tc>
          <w:tcPr>
            <w:tcW w:w="656" w:type="dxa"/>
            <w:noWrap/>
            <w:hideMark/>
          </w:tcPr>
          <w:p w14:paraId="4848F093" w14:textId="77777777" w:rsidR="00E6536B" w:rsidRPr="000973F2" w:rsidRDefault="00E6536B" w:rsidP="00A75904">
            <w:pPr>
              <w:spacing w:before="40" w:after="4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0.0</w:t>
            </w:r>
          </w:p>
        </w:tc>
        <w:tc>
          <w:tcPr>
            <w:tcW w:w="641" w:type="dxa"/>
            <w:noWrap/>
            <w:hideMark/>
          </w:tcPr>
          <w:p w14:paraId="3142106B" w14:textId="25BAC7CB" w:rsidR="00E6536B" w:rsidRPr="000973F2" w:rsidRDefault="00E6536B" w:rsidP="00A75904">
            <w:pPr>
              <w:spacing w:before="40" w:after="4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$0</w:t>
            </w:r>
          </w:p>
        </w:tc>
        <w:tc>
          <w:tcPr>
            <w:tcW w:w="795" w:type="dxa"/>
            <w:noWrap/>
            <w:hideMark/>
          </w:tcPr>
          <w:p w14:paraId="4E7CAA9E" w14:textId="098F82A7" w:rsidR="00E6536B" w:rsidRPr="000973F2" w:rsidRDefault="00E6536B" w:rsidP="00A75904">
            <w:pPr>
              <w:tabs>
                <w:tab w:val="decimal" w:pos="511"/>
              </w:tabs>
              <w:spacing w:before="40" w:after="4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$1,312</w:t>
            </w:r>
          </w:p>
        </w:tc>
      </w:tr>
      <w:tr w:rsidR="00B6531F" w:rsidRPr="000973F2" w14:paraId="6D6D66F3" w14:textId="77777777" w:rsidTr="00A75904">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1335" w:type="dxa"/>
            <w:tcMar>
              <w:right w:w="14" w:type="dxa"/>
            </w:tcMar>
            <w:hideMark/>
          </w:tcPr>
          <w:p w14:paraId="63C28F94" w14:textId="77777777" w:rsidR="00E6536B" w:rsidRPr="000973F2" w:rsidRDefault="00E6536B" w:rsidP="00A75904">
            <w:pPr>
              <w:spacing w:before="40" w:after="4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QA/QC</w:t>
            </w:r>
          </w:p>
        </w:tc>
        <w:tc>
          <w:tcPr>
            <w:tcW w:w="655" w:type="dxa"/>
            <w:noWrap/>
            <w:hideMark/>
          </w:tcPr>
          <w:p w14:paraId="3A0B1342" w14:textId="77777777" w:rsidR="00E6536B" w:rsidRPr="000973F2" w:rsidRDefault="00E6536B" w:rsidP="00A75904">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0.0</w:t>
            </w:r>
          </w:p>
        </w:tc>
        <w:tc>
          <w:tcPr>
            <w:tcW w:w="656" w:type="dxa"/>
            <w:noWrap/>
            <w:hideMark/>
          </w:tcPr>
          <w:p w14:paraId="55EE936E" w14:textId="77777777" w:rsidR="00E6536B" w:rsidRPr="000973F2" w:rsidRDefault="00E6536B" w:rsidP="00A75904">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0.0</w:t>
            </w:r>
          </w:p>
        </w:tc>
        <w:tc>
          <w:tcPr>
            <w:tcW w:w="656" w:type="dxa"/>
            <w:noWrap/>
            <w:hideMark/>
          </w:tcPr>
          <w:p w14:paraId="3C9AD59A" w14:textId="77777777" w:rsidR="00E6536B" w:rsidRPr="000973F2" w:rsidRDefault="00E6536B" w:rsidP="00A75904">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0.0</w:t>
            </w:r>
          </w:p>
        </w:tc>
        <w:tc>
          <w:tcPr>
            <w:tcW w:w="656" w:type="dxa"/>
            <w:noWrap/>
            <w:hideMark/>
          </w:tcPr>
          <w:p w14:paraId="1B014B57" w14:textId="77777777" w:rsidR="00E6536B" w:rsidRPr="000973F2" w:rsidRDefault="00E6536B" w:rsidP="00A75904">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0.2</w:t>
            </w:r>
          </w:p>
        </w:tc>
        <w:tc>
          <w:tcPr>
            <w:tcW w:w="656" w:type="dxa"/>
            <w:noWrap/>
            <w:hideMark/>
          </w:tcPr>
          <w:p w14:paraId="1BB40CA5" w14:textId="77777777" w:rsidR="00E6536B" w:rsidRPr="000973F2" w:rsidRDefault="00E6536B" w:rsidP="00A75904">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0.0</w:t>
            </w:r>
          </w:p>
        </w:tc>
        <w:tc>
          <w:tcPr>
            <w:tcW w:w="656" w:type="dxa"/>
            <w:noWrap/>
            <w:hideMark/>
          </w:tcPr>
          <w:p w14:paraId="6555C6B8" w14:textId="77777777" w:rsidR="00E6536B" w:rsidRPr="000973F2" w:rsidRDefault="00E6536B" w:rsidP="00A75904">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0.4</w:t>
            </w:r>
          </w:p>
        </w:tc>
        <w:tc>
          <w:tcPr>
            <w:tcW w:w="656" w:type="dxa"/>
            <w:noWrap/>
            <w:hideMark/>
          </w:tcPr>
          <w:p w14:paraId="26B56433" w14:textId="77777777" w:rsidR="00E6536B" w:rsidRPr="000973F2" w:rsidRDefault="00E6536B" w:rsidP="00A75904">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0.0</w:t>
            </w:r>
          </w:p>
        </w:tc>
        <w:tc>
          <w:tcPr>
            <w:tcW w:w="656" w:type="dxa"/>
            <w:noWrap/>
            <w:hideMark/>
          </w:tcPr>
          <w:p w14:paraId="17D1CCD3" w14:textId="77777777" w:rsidR="00E6536B" w:rsidRPr="000973F2" w:rsidRDefault="00E6536B" w:rsidP="00A75904">
            <w:pPr>
              <w:tabs>
                <w:tab w:val="decimal" w:pos="151"/>
              </w:tabs>
              <w:spacing w:before="40" w:after="4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0.0</w:t>
            </w:r>
          </w:p>
        </w:tc>
        <w:tc>
          <w:tcPr>
            <w:tcW w:w="656" w:type="dxa"/>
            <w:noWrap/>
            <w:hideMark/>
          </w:tcPr>
          <w:p w14:paraId="66AB7B63" w14:textId="77777777" w:rsidR="00E6536B" w:rsidRPr="000973F2" w:rsidRDefault="00E6536B" w:rsidP="00A75904">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0.0</w:t>
            </w:r>
          </w:p>
        </w:tc>
        <w:tc>
          <w:tcPr>
            <w:tcW w:w="656" w:type="dxa"/>
            <w:noWrap/>
            <w:hideMark/>
          </w:tcPr>
          <w:p w14:paraId="5BA982C5" w14:textId="77777777" w:rsidR="00E6536B" w:rsidRPr="000973F2" w:rsidRDefault="00E6536B" w:rsidP="00A75904">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0.0</w:t>
            </w:r>
          </w:p>
        </w:tc>
        <w:tc>
          <w:tcPr>
            <w:tcW w:w="641" w:type="dxa"/>
            <w:noWrap/>
            <w:hideMark/>
          </w:tcPr>
          <w:p w14:paraId="110A986F" w14:textId="6193F438" w:rsidR="00E6536B" w:rsidRPr="000973F2" w:rsidRDefault="00E6536B" w:rsidP="00A75904">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$0</w:t>
            </w:r>
          </w:p>
        </w:tc>
        <w:tc>
          <w:tcPr>
            <w:tcW w:w="795" w:type="dxa"/>
            <w:noWrap/>
            <w:hideMark/>
          </w:tcPr>
          <w:p w14:paraId="5E869E22" w14:textId="040CE0FD" w:rsidR="00E6536B" w:rsidRPr="000973F2" w:rsidRDefault="00E6536B" w:rsidP="00A75904">
            <w:pPr>
              <w:tabs>
                <w:tab w:val="decimal" w:pos="511"/>
              </w:tabs>
              <w:spacing w:before="40" w:after="4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$71</w:t>
            </w:r>
          </w:p>
        </w:tc>
      </w:tr>
      <w:tr w:rsidR="00A75904" w:rsidRPr="000973F2" w14:paraId="1C8DD752" w14:textId="77777777" w:rsidTr="00A75904">
        <w:trPr>
          <w:cantSplit/>
        </w:trPr>
        <w:tc>
          <w:tcPr>
            <w:cnfStyle w:val="001000000000" w:firstRow="0" w:lastRow="0" w:firstColumn="1" w:lastColumn="0" w:oddVBand="0" w:evenVBand="0" w:oddHBand="0" w:evenHBand="0" w:firstRowFirstColumn="0" w:firstRowLastColumn="0" w:lastRowFirstColumn="0" w:lastRowLastColumn="0"/>
            <w:tcW w:w="1335" w:type="dxa"/>
            <w:tcMar>
              <w:right w:w="14" w:type="dxa"/>
            </w:tcMar>
            <w:hideMark/>
          </w:tcPr>
          <w:p w14:paraId="19136800" w14:textId="77777777" w:rsidR="00E6536B" w:rsidRPr="000973F2" w:rsidRDefault="00E6536B" w:rsidP="00A75904">
            <w:pPr>
              <w:spacing w:before="40" w:after="4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Recordkeeping</w:t>
            </w:r>
          </w:p>
        </w:tc>
        <w:tc>
          <w:tcPr>
            <w:tcW w:w="655" w:type="dxa"/>
            <w:noWrap/>
            <w:hideMark/>
          </w:tcPr>
          <w:p w14:paraId="188974E3" w14:textId="77777777" w:rsidR="00E6536B" w:rsidRPr="000973F2" w:rsidRDefault="00E6536B" w:rsidP="00A75904">
            <w:pPr>
              <w:spacing w:before="40" w:after="4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0.0</w:t>
            </w:r>
          </w:p>
        </w:tc>
        <w:tc>
          <w:tcPr>
            <w:tcW w:w="656" w:type="dxa"/>
            <w:noWrap/>
            <w:hideMark/>
          </w:tcPr>
          <w:p w14:paraId="6C55D45F" w14:textId="77777777" w:rsidR="00E6536B" w:rsidRPr="000973F2" w:rsidRDefault="00E6536B" w:rsidP="00A75904">
            <w:pPr>
              <w:spacing w:before="40" w:after="4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0.0</w:t>
            </w:r>
          </w:p>
        </w:tc>
        <w:tc>
          <w:tcPr>
            <w:tcW w:w="656" w:type="dxa"/>
            <w:noWrap/>
            <w:hideMark/>
          </w:tcPr>
          <w:p w14:paraId="33C12B49" w14:textId="77777777" w:rsidR="00E6536B" w:rsidRPr="000973F2" w:rsidRDefault="00E6536B" w:rsidP="00A75904">
            <w:pPr>
              <w:spacing w:before="40" w:after="4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0.0</w:t>
            </w:r>
          </w:p>
        </w:tc>
        <w:tc>
          <w:tcPr>
            <w:tcW w:w="656" w:type="dxa"/>
            <w:noWrap/>
            <w:hideMark/>
          </w:tcPr>
          <w:p w14:paraId="14A66338" w14:textId="77777777" w:rsidR="00E6536B" w:rsidRPr="000973F2" w:rsidRDefault="00E6536B" w:rsidP="00A75904">
            <w:pPr>
              <w:spacing w:before="40" w:after="4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0.0</w:t>
            </w:r>
          </w:p>
        </w:tc>
        <w:tc>
          <w:tcPr>
            <w:tcW w:w="656" w:type="dxa"/>
            <w:noWrap/>
            <w:hideMark/>
          </w:tcPr>
          <w:p w14:paraId="4E390AB3" w14:textId="77777777" w:rsidR="00E6536B" w:rsidRPr="000973F2" w:rsidRDefault="00E6536B" w:rsidP="00A75904">
            <w:pPr>
              <w:spacing w:before="40" w:after="4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0.0</w:t>
            </w:r>
          </w:p>
        </w:tc>
        <w:tc>
          <w:tcPr>
            <w:tcW w:w="656" w:type="dxa"/>
            <w:noWrap/>
            <w:hideMark/>
          </w:tcPr>
          <w:p w14:paraId="7D5C4712" w14:textId="77777777" w:rsidR="00E6536B" w:rsidRPr="000973F2" w:rsidRDefault="00E6536B" w:rsidP="00A75904">
            <w:pPr>
              <w:spacing w:before="40" w:after="4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1.0</w:t>
            </w:r>
          </w:p>
        </w:tc>
        <w:tc>
          <w:tcPr>
            <w:tcW w:w="656" w:type="dxa"/>
            <w:noWrap/>
            <w:hideMark/>
          </w:tcPr>
          <w:p w14:paraId="581F79C5" w14:textId="77777777" w:rsidR="00E6536B" w:rsidRPr="000973F2" w:rsidRDefault="00E6536B" w:rsidP="00A75904">
            <w:pPr>
              <w:spacing w:before="40" w:after="4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0.0</w:t>
            </w:r>
          </w:p>
        </w:tc>
        <w:tc>
          <w:tcPr>
            <w:tcW w:w="656" w:type="dxa"/>
            <w:noWrap/>
            <w:hideMark/>
          </w:tcPr>
          <w:p w14:paraId="4A8F5AB3" w14:textId="77777777" w:rsidR="00E6536B" w:rsidRPr="000973F2" w:rsidRDefault="00E6536B" w:rsidP="00A75904">
            <w:pPr>
              <w:tabs>
                <w:tab w:val="decimal" w:pos="151"/>
              </w:tabs>
              <w:spacing w:before="40" w:after="4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13.0</w:t>
            </w:r>
          </w:p>
        </w:tc>
        <w:tc>
          <w:tcPr>
            <w:tcW w:w="656" w:type="dxa"/>
            <w:noWrap/>
            <w:hideMark/>
          </w:tcPr>
          <w:p w14:paraId="78976096" w14:textId="77777777" w:rsidR="00E6536B" w:rsidRPr="000973F2" w:rsidRDefault="00E6536B" w:rsidP="00A75904">
            <w:pPr>
              <w:spacing w:before="40" w:after="4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0.0</w:t>
            </w:r>
          </w:p>
        </w:tc>
        <w:tc>
          <w:tcPr>
            <w:tcW w:w="656" w:type="dxa"/>
            <w:noWrap/>
            <w:hideMark/>
          </w:tcPr>
          <w:p w14:paraId="62615958" w14:textId="77777777" w:rsidR="00E6536B" w:rsidRPr="000973F2" w:rsidRDefault="00E6536B" w:rsidP="00A75904">
            <w:pPr>
              <w:spacing w:before="40" w:after="4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1.0</w:t>
            </w:r>
          </w:p>
        </w:tc>
        <w:tc>
          <w:tcPr>
            <w:tcW w:w="641" w:type="dxa"/>
            <w:noWrap/>
            <w:hideMark/>
          </w:tcPr>
          <w:p w14:paraId="4BAD72BD" w14:textId="7D1FF8D0" w:rsidR="00E6536B" w:rsidRPr="000973F2" w:rsidRDefault="00E6536B" w:rsidP="00A75904">
            <w:pPr>
              <w:spacing w:before="40" w:after="4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$0</w:t>
            </w:r>
          </w:p>
        </w:tc>
        <w:tc>
          <w:tcPr>
            <w:tcW w:w="795" w:type="dxa"/>
            <w:noWrap/>
            <w:hideMark/>
          </w:tcPr>
          <w:p w14:paraId="58179A78" w14:textId="4E993886" w:rsidR="00E6536B" w:rsidRPr="000973F2" w:rsidRDefault="00E6536B" w:rsidP="00A75904">
            <w:pPr>
              <w:tabs>
                <w:tab w:val="decimal" w:pos="511"/>
              </w:tabs>
              <w:spacing w:before="40" w:after="4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$1,350</w:t>
            </w:r>
          </w:p>
        </w:tc>
      </w:tr>
      <w:tr w:rsidR="00B6531F" w:rsidRPr="000973F2" w14:paraId="0FB2034E" w14:textId="77777777" w:rsidTr="00A75904">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1335" w:type="dxa"/>
            <w:tcMar>
              <w:right w:w="14" w:type="dxa"/>
            </w:tcMar>
            <w:hideMark/>
          </w:tcPr>
          <w:p w14:paraId="088A2395" w14:textId="77777777" w:rsidR="00E6536B" w:rsidRPr="000973F2" w:rsidRDefault="00E6536B" w:rsidP="00A75904">
            <w:pPr>
              <w:spacing w:before="40" w:after="4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Sampling and Analysis (Calculations)</w:t>
            </w:r>
          </w:p>
        </w:tc>
        <w:tc>
          <w:tcPr>
            <w:tcW w:w="655" w:type="dxa"/>
            <w:noWrap/>
            <w:hideMark/>
          </w:tcPr>
          <w:p w14:paraId="3683C6D9" w14:textId="77777777" w:rsidR="00E6536B" w:rsidRPr="000973F2" w:rsidRDefault="00E6536B" w:rsidP="00A75904">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0.0</w:t>
            </w:r>
          </w:p>
        </w:tc>
        <w:tc>
          <w:tcPr>
            <w:tcW w:w="656" w:type="dxa"/>
            <w:noWrap/>
            <w:hideMark/>
          </w:tcPr>
          <w:p w14:paraId="787043C0" w14:textId="77777777" w:rsidR="00E6536B" w:rsidRPr="000973F2" w:rsidRDefault="00E6536B" w:rsidP="00A75904">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0.0</w:t>
            </w:r>
          </w:p>
        </w:tc>
        <w:tc>
          <w:tcPr>
            <w:tcW w:w="656" w:type="dxa"/>
            <w:noWrap/>
            <w:hideMark/>
          </w:tcPr>
          <w:p w14:paraId="05E4238D" w14:textId="77777777" w:rsidR="00E6536B" w:rsidRPr="000973F2" w:rsidRDefault="00E6536B" w:rsidP="00A75904">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0.0</w:t>
            </w:r>
          </w:p>
        </w:tc>
        <w:tc>
          <w:tcPr>
            <w:tcW w:w="656" w:type="dxa"/>
            <w:noWrap/>
            <w:hideMark/>
          </w:tcPr>
          <w:p w14:paraId="1C348302" w14:textId="77777777" w:rsidR="00E6536B" w:rsidRPr="000973F2" w:rsidRDefault="00E6536B" w:rsidP="00A75904">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0.0</w:t>
            </w:r>
          </w:p>
        </w:tc>
        <w:tc>
          <w:tcPr>
            <w:tcW w:w="656" w:type="dxa"/>
            <w:noWrap/>
            <w:hideMark/>
          </w:tcPr>
          <w:p w14:paraId="2592B2B4" w14:textId="77777777" w:rsidR="00E6536B" w:rsidRPr="000973F2" w:rsidRDefault="00E6536B" w:rsidP="00A75904">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0.0</w:t>
            </w:r>
          </w:p>
        </w:tc>
        <w:tc>
          <w:tcPr>
            <w:tcW w:w="656" w:type="dxa"/>
            <w:noWrap/>
            <w:hideMark/>
          </w:tcPr>
          <w:p w14:paraId="07DE681B" w14:textId="77777777" w:rsidR="00E6536B" w:rsidRPr="000973F2" w:rsidRDefault="00E6536B" w:rsidP="00A75904">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0.0</w:t>
            </w:r>
          </w:p>
        </w:tc>
        <w:tc>
          <w:tcPr>
            <w:tcW w:w="656" w:type="dxa"/>
            <w:noWrap/>
            <w:hideMark/>
          </w:tcPr>
          <w:p w14:paraId="7A4C7692" w14:textId="77777777" w:rsidR="00E6536B" w:rsidRPr="000973F2" w:rsidRDefault="00E6536B" w:rsidP="00A75904">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0.0</w:t>
            </w:r>
          </w:p>
        </w:tc>
        <w:tc>
          <w:tcPr>
            <w:tcW w:w="656" w:type="dxa"/>
            <w:noWrap/>
            <w:hideMark/>
          </w:tcPr>
          <w:p w14:paraId="626DCA07" w14:textId="77777777" w:rsidR="00E6536B" w:rsidRPr="000973F2" w:rsidRDefault="00E6536B" w:rsidP="00A75904">
            <w:pPr>
              <w:tabs>
                <w:tab w:val="decimal" w:pos="151"/>
              </w:tabs>
              <w:spacing w:before="40" w:after="4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4.0</w:t>
            </w:r>
          </w:p>
        </w:tc>
        <w:tc>
          <w:tcPr>
            <w:tcW w:w="656" w:type="dxa"/>
            <w:noWrap/>
            <w:hideMark/>
          </w:tcPr>
          <w:p w14:paraId="28EC6CA6" w14:textId="77777777" w:rsidR="00E6536B" w:rsidRPr="000973F2" w:rsidRDefault="00E6536B" w:rsidP="00A75904">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0.0</w:t>
            </w:r>
          </w:p>
        </w:tc>
        <w:tc>
          <w:tcPr>
            <w:tcW w:w="656" w:type="dxa"/>
            <w:noWrap/>
            <w:hideMark/>
          </w:tcPr>
          <w:p w14:paraId="1110EAAF" w14:textId="77777777" w:rsidR="00E6536B" w:rsidRPr="000973F2" w:rsidRDefault="00E6536B" w:rsidP="00A75904">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0.0</w:t>
            </w:r>
          </w:p>
        </w:tc>
        <w:tc>
          <w:tcPr>
            <w:tcW w:w="641" w:type="dxa"/>
            <w:noWrap/>
            <w:hideMark/>
          </w:tcPr>
          <w:p w14:paraId="5107EEE6" w14:textId="671A5B59" w:rsidR="00E6536B" w:rsidRPr="000973F2" w:rsidRDefault="00E6536B" w:rsidP="00A75904">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$0</w:t>
            </w:r>
          </w:p>
        </w:tc>
        <w:tc>
          <w:tcPr>
            <w:tcW w:w="795" w:type="dxa"/>
            <w:noWrap/>
            <w:hideMark/>
          </w:tcPr>
          <w:p w14:paraId="3864D7A7" w14:textId="792F4A08" w:rsidR="00E6536B" w:rsidRPr="000973F2" w:rsidRDefault="00E6536B" w:rsidP="00A75904">
            <w:pPr>
              <w:tabs>
                <w:tab w:val="decimal" w:pos="511"/>
              </w:tabs>
              <w:spacing w:before="40" w:after="4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$364</w:t>
            </w:r>
          </w:p>
        </w:tc>
      </w:tr>
      <w:tr w:rsidR="00A75904" w:rsidRPr="000973F2" w14:paraId="683A9411" w14:textId="77777777" w:rsidTr="00A75904">
        <w:trPr>
          <w:cantSplit/>
        </w:trPr>
        <w:tc>
          <w:tcPr>
            <w:cnfStyle w:val="001000000000" w:firstRow="0" w:lastRow="0" w:firstColumn="1" w:lastColumn="0" w:oddVBand="0" w:evenVBand="0" w:oddHBand="0" w:evenHBand="0" w:firstRowFirstColumn="0" w:firstRowLastColumn="0" w:lastRowFirstColumn="0" w:lastRowLastColumn="0"/>
            <w:tcW w:w="1335" w:type="dxa"/>
            <w:tcMar>
              <w:right w:w="14" w:type="dxa"/>
            </w:tcMar>
            <w:hideMark/>
          </w:tcPr>
          <w:p w14:paraId="3B356E73" w14:textId="77777777" w:rsidR="00E6536B" w:rsidRPr="000973F2" w:rsidRDefault="00E6536B" w:rsidP="00A75904">
            <w:pPr>
              <w:spacing w:before="40" w:after="4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Reporting</w:t>
            </w:r>
          </w:p>
        </w:tc>
        <w:tc>
          <w:tcPr>
            <w:tcW w:w="655" w:type="dxa"/>
            <w:noWrap/>
            <w:hideMark/>
          </w:tcPr>
          <w:p w14:paraId="0BDB0494" w14:textId="77777777" w:rsidR="00E6536B" w:rsidRPr="000973F2" w:rsidRDefault="00E6536B" w:rsidP="00A75904">
            <w:pPr>
              <w:spacing w:before="40" w:after="4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0.0</w:t>
            </w:r>
          </w:p>
        </w:tc>
        <w:tc>
          <w:tcPr>
            <w:tcW w:w="656" w:type="dxa"/>
            <w:noWrap/>
            <w:hideMark/>
          </w:tcPr>
          <w:p w14:paraId="6C4B4A39" w14:textId="77777777" w:rsidR="00E6536B" w:rsidRPr="000973F2" w:rsidRDefault="00E6536B" w:rsidP="00A75904">
            <w:pPr>
              <w:spacing w:before="40" w:after="4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0.0</w:t>
            </w:r>
          </w:p>
        </w:tc>
        <w:tc>
          <w:tcPr>
            <w:tcW w:w="656" w:type="dxa"/>
            <w:noWrap/>
            <w:hideMark/>
          </w:tcPr>
          <w:p w14:paraId="1F6B7035" w14:textId="77777777" w:rsidR="00E6536B" w:rsidRPr="000973F2" w:rsidRDefault="00E6536B" w:rsidP="00A75904">
            <w:pPr>
              <w:spacing w:before="40" w:after="4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0.0</w:t>
            </w:r>
          </w:p>
        </w:tc>
        <w:tc>
          <w:tcPr>
            <w:tcW w:w="656" w:type="dxa"/>
            <w:noWrap/>
            <w:hideMark/>
          </w:tcPr>
          <w:p w14:paraId="77BC72B3" w14:textId="77777777" w:rsidR="00E6536B" w:rsidRPr="000973F2" w:rsidRDefault="00E6536B" w:rsidP="00A75904">
            <w:pPr>
              <w:spacing w:before="40" w:after="4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0.0</w:t>
            </w:r>
          </w:p>
        </w:tc>
        <w:tc>
          <w:tcPr>
            <w:tcW w:w="656" w:type="dxa"/>
            <w:noWrap/>
            <w:hideMark/>
          </w:tcPr>
          <w:p w14:paraId="138927E1" w14:textId="77777777" w:rsidR="00E6536B" w:rsidRPr="000973F2" w:rsidRDefault="00E6536B" w:rsidP="00A75904">
            <w:pPr>
              <w:spacing w:before="40" w:after="4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0.0</w:t>
            </w:r>
          </w:p>
        </w:tc>
        <w:tc>
          <w:tcPr>
            <w:tcW w:w="656" w:type="dxa"/>
            <w:noWrap/>
            <w:hideMark/>
          </w:tcPr>
          <w:p w14:paraId="0FCB971E" w14:textId="77777777" w:rsidR="00E6536B" w:rsidRPr="000973F2" w:rsidRDefault="00E6536B" w:rsidP="00A75904">
            <w:pPr>
              <w:spacing w:before="40" w:after="4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2.0</w:t>
            </w:r>
          </w:p>
        </w:tc>
        <w:tc>
          <w:tcPr>
            <w:tcW w:w="656" w:type="dxa"/>
            <w:noWrap/>
            <w:hideMark/>
          </w:tcPr>
          <w:p w14:paraId="10710C1B" w14:textId="77777777" w:rsidR="00E6536B" w:rsidRPr="000973F2" w:rsidRDefault="00E6536B" w:rsidP="00A75904">
            <w:pPr>
              <w:spacing w:before="40" w:after="4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0.0</w:t>
            </w:r>
          </w:p>
        </w:tc>
        <w:tc>
          <w:tcPr>
            <w:tcW w:w="656" w:type="dxa"/>
            <w:noWrap/>
            <w:hideMark/>
          </w:tcPr>
          <w:p w14:paraId="5BEA0FBE" w14:textId="77777777" w:rsidR="00E6536B" w:rsidRPr="000973F2" w:rsidRDefault="00E6536B" w:rsidP="00A75904">
            <w:pPr>
              <w:tabs>
                <w:tab w:val="decimal" w:pos="151"/>
              </w:tabs>
              <w:spacing w:before="40" w:after="4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26.0</w:t>
            </w:r>
          </w:p>
        </w:tc>
        <w:tc>
          <w:tcPr>
            <w:tcW w:w="656" w:type="dxa"/>
            <w:noWrap/>
            <w:hideMark/>
          </w:tcPr>
          <w:p w14:paraId="3D6AE51C" w14:textId="77777777" w:rsidR="00E6536B" w:rsidRPr="000973F2" w:rsidRDefault="00E6536B" w:rsidP="00A75904">
            <w:pPr>
              <w:spacing w:before="40" w:after="4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0.0</w:t>
            </w:r>
          </w:p>
        </w:tc>
        <w:tc>
          <w:tcPr>
            <w:tcW w:w="656" w:type="dxa"/>
            <w:noWrap/>
            <w:hideMark/>
          </w:tcPr>
          <w:p w14:paraId="48E42B07" w14:textId="77777777" w:rsidR="00E6536B" w:rsidRPr="000973F2" w:rsidRDefault="00E6536B" w:rsidP="00A75904">
            <w:pPr>
              <w:spacing w:before="40" w:after="4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2.0</w:t>
            </w:r>
          </w:p>
        </w:tc>
        <w:tc>
          <w:tcPr>
            <w:tcW w:w="641" w:type="dxa"/>
            <w:noWrap/>
            <w:hideMark/>
          </w:tcPr>
          <w:p w14:paraId="74538CCC" w14:textId="263819E8" w:rsidR="00E6536B" w:rsidRPr="000973F2" w:rsidRDefault="00E6536B" w:rsidP="00A75904">
            <w:pPr>
              <w:spacing w:before="40" w:after="4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$0</w:t>
            </w:r>
          </w:p>
        </w:tc>
        <w:tc>
          <w:tcPr>
            <w:tcW w:w="795" w:type="dxa"/>
            <w:noWrap/>
            <w:hideMark/>
          </w:tcPr>
          <w:p w14:paraId="444D6578" w14:textId="51469CA4" w:rsidR="00E6536B" w:rsidRPr="000973F2" w:rsidRDefault="00E6536B" w:rsidP="00A75904">
            <w:pPr>
              <w:tabs>
                <w:tab w:val="decimal" w:pos="511"/>
              </w:tabs>
              <w:spacing w:before="40" w:after="4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$2,700</w:t>
            </w:r>
          </w:p>
        </w:tc>
      </w:tr>
      <w:tr w:rsidR="00B6531F" w:rsidRPr="000973F2" w14:paraId="6183ADE2" w14:textId="77777777" w:rsidTr="00A75904">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1335" w:type="dxa"/>
            <w:noWrap/>
            <w:tcMar>
              <w:right w:w="14" w:type="dxa"/>
            </w:tcMar>
            <w:hideMark/>
          </w:tcPr>
          <w:p w14:paraId="2A4F4A76" w14:textId="77777777" w:rsidR="00E6536B" w:rsidRPr="000973F2" w:rsidRDefault="00E6536B" w:rsidP="00A75904">
            <w:pPr>
              <w:spacing w:before="40" w:after="40"/>
              <w:rPr>
                <w:rFonts w:ascii="Times New Roman" w:eastAsia="Times New Roman" w:hAnsi="Times New Roman" w:cs="Times New Roman"/>
                <w:b/>
                <w:bCs w:val="0"/>
                <w:sz w:val="18"/>
                <w:szCs w:val="18"/>
              </w:rPr>
            </w:pPr>
            <w:r w:rsidRPr="000973F2">
              <w:rPr>
                <w:rFonts w:ascii="Times New Roman" w:eastAsia="Times New Roman" w:hAnsi="Times New Roman" w:cs="Times New Roman"/>
                <w:b/>
                <w:sz w:val="18"/>
                <w:szCs w:val="18"/>
              </w:rPr>
              <w:t>Total</w:t>
            </w:r>
          </w:p>
        </w:tc>
        <w:tc>
          <w:tcPr>
            <w:tcW w:w="655" w:type="dxa"/>
            <w:noWrap/>
            <w:hideMark/>
          </w:tcPr>
          <w:p w14:paraId="3EE85521" w14:textId="77777777" w:rsidR="00E6536B" w:rsidRPr="000973F2" w:rsidRDefault="00E6536B" w:rsidP="00A75904">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18"/>
                <w:szCs w:val="18"/>
              </w:rPr>
            </w:pPr>
            <w:r w:rsidRPr="000973F2">
              <w:rPr>
                <w:rFonts w:ascii="Times New Roman" w:eastAsia="Times New Roman" w:hAnsi="Times New Roman" w:cs="Times New Roman"/>
                <w:b/>
                <w:bCs/>
                <w:sz w:val="18"/>
                <w:szCs w:val="18"/>
              </w:rPr>
              <w:t>0.0</w:t>
            </w:r>
          </w:p>
        </w:tc>
        <w:tc>
          <w:tcPr>
            <w:tcW w:w="656" w:type="dxa"/>
            <w:noWrap/>
            <w:hideMark/>
          </w:tcPr>
          <w:p w14:paraId="721698AB" w14:textId="77777777" w:rsidR="00E6536B" w:rsidRPr="000973F2" w:rsidRDefault="00E6536B" w:rsidP="00A75904">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18"/>
                <w:szCs w:val="18"/>
              </w:rPr>
            </w:pPr>
            <w:r w:rsidRPr="000973F2">
              <w:rPr>
                <w:rFonts w:ascii="Times New Roman" w:eastAsia="Times New Roman" w:hAnsi="Times New Roman" w:cs="Times New Roman"/>
                <w:b/>
                <w:bCs/>
                <w:sz w:val="18"/>
                <w:szCs w:val="18"/>
              </w:rPr>
              <w:t>2.0</w:t>
            </w:r>
          </w:p>
        </w:tc>
        <w:tc>
          <w:tcPr>
            <w:tcW w:w="656" w:type="dxa"/>
            <w:noWrap/>
            <w:hideMark/>
          </w:tcPr>
          <w:p w14:paraId="67EBD579" w14:textId="77777777" w:rsidR="00E6536B" w:rsidRPr="000973F2" w:rsidRDefault="00E6536B" w:rsidP="00A75904">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18"/>
                <w:szCs w:val="18"/>
              </w:rPr>
            </w:pPr>
            <w:r w:rsidRPr="000973F2">
              <w:rPr>
                <w:rFonts w:ascii="Times New Roman" w:eastAsia="Times New Roman" w:hAnsi="Times New Roman" w:cs="Times New Roman"/>
                <w:b/>
                <w:bCs/>
                <w:sz w:val="18"/>
                <w:szCs w:val="18"/>
              </w:rPr>
              <w:t>0.0</w:t>
            </w:r>
          </w:p>
        </w:tc>
        <w:tc>
          <w:tcPr>
            <w:tcW w:w="656" w:type="dxa"/>
            <w:noWrap/>
            <w:hideMark/>
          </w:tcPr>
          <w:p w14:paraId="5D697ED0" w14:textId="77777777" w:rsidR="00E6536B" w:rsidRPr="000973F2" w:rsidRDefault="00E6536B" w:rsidP="00A75904">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18"/>
                <w:szCs w:val="18"/>
              </w:rPr>
            </w:pPr>
            <w:r w:rsidRPr="000973F2">
              <w:rPr>
                <w:rFonts w:ascii="Times New Roman" w:eastAsia="Times New Roman" w:hAnsi="Times New Roman" w:cs="Times New Roman"/>
                <w:b/>
                <w:bCs/>
                <w:sz w:val="18"/>
                <w:szCs w:val="18"/>
              </w:rPr>
              <w:t>0.7</w:t>
            </w:r>
          </w:p>
        </w:tc>
        <w:tc>
          <w:tcPr>
            <w:tcW w:w="656" w:type="dxa"/>
            <w:noWrap/>
            <w:hideMark/>
          </w:tcPr>
          <w:p w14:paraId="3332D512" w14:textId="77777777" w:rsidR="00E6536B" w:rsidRPr="000973F2" w:rsidRDefault="00E6536B" w:rsidP="00A75904">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18"/>
                <w:szCs w:val="18"/>
              </w:rPr>
            </w:pPr>
            <w:r w:rsidRPr="000973F2">
              <w:rPr>
                <w:rFonts w:ascii="Times New Roman" w:eastAsia="Times New Roman" w:hAnsi="Times New Roman" w:cs="Times New Roman"/>
                <w:b/>
                <w:bCs/>
                <w:sz w:val="18"/>
                <w:szCs w:val="18"/>
              </w:rPr>
              <w:t>0.0</w:t>
            </w:r>
          </w:p>
        </w:tc>
        <w:tc>
          <w:tcPr>
            <w:tcW w:w="656" w:type="dxa"/>
            <w:noWrap/>
            <w:hideMark/>
          </w:tcPr>
          <w:p w14:paraId="4024CF68" w14:textId="77777777" w:rsidR="00E6536B" w:rsidRPr="000973F2" w:rsidRDefault="00E6536B" w:rsidP="00A75904">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18"/>
                <w:szCs w:val="18"/>
              </w:rPr>
            </w:pPr>
            <w:r w:rsidRPr="000973F2">
              <w:rPr>
                <w:rFonts w:ascii="Times New Roman" w:eastAsia="Times New Roman" w:hAnsi="Times New Roman" w:cs="Times New Roman"/>
                <w:b/>
                <w:bCs/>
                <w:sz w:val="18"/>
                <w:szCs w:val="18"/>
              </w:rPr>
              <w:t>4.4</w:t>
            </w:r>
          </w:p>
        </w:tc>
        <w:tc>
          <w:tcPr>
            <w:tcW w:w="656" w:type="dxa"/>
            <w:noWrap/>
            <w:hideMark/>
          </w:tcPr>
          <w:p w14:paraId="5F35A7A4" w14:textId="77777777" w:rsidR="00E6536B" w:rsidRPr="000973F2" w:rsidRDefault="00E6536B" w:rsidP="00A75904">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18"/>
                <w:szCs w:val="18"/>
              </w:rPr>
            </w:pPr>
            <w:r w:rsidRPr="000973F2">
              <w:rPr>
                <w:rFonts w:ascii="Times New Roman" w:eastAsia="Times New Roman" w:hAnsi="Times New Roman" w:cs="Times New Roman"/>
                <w:b/>
                <w:bCs/>
                <w:sz w:val="18"/>
                <w:szCs w:val="18"/>
              </w:rPr>
              <w:t>0.0</w:t>
            </w:r>
          </w:p>
        </w:tc>
        <w:tc>
          <w:tcPr>
            <w:tcW w:w="656" w:type="dxa"/>
            <w:noWrap/>
            <w:hideMark/>
          </w:tcPr>
          <w:p w14:paraId="286D16C5" w14:textId="77777777" w:rsidR="00E6536B" w:rsidRPr="000973F2" w:rsidRDefault="00E6536B" w:rsidP="00A75904">
            <w:pPr>
              <w:tabs>
                <w:tab w:val="decimal" w:pos="151"/>
              </w:tabs>
              <w:spacing w:before="40" w:after="4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18"/>
                <w:szCs w:val="18"/>
              </w:rPr>
            </w:pPr>
            <w:r w:rsidRPr="000973F2">
              <w:rPr>
                <w:rFonts w:ascii="Times New Roman" w:eastAsia="Times New Roman" w:hAnsi="Times New Roman" w:cs="Times New Roman"/>
                <w:b/>
                <w:bCs/>
                <w:sz w:val="18"/>
                <w:szCs w:val="18"/>
              </w:rPr>
              <w:t>53.0</w:t>
            </w:r>
          </w:p>
        </w:tc>
        <w:tc>
          <w:tcPr>
            <w:tcW w:w="656" w:type="dxa"/>
            <w:noWrap/>
            <w:hideMark/>
          </w:tcPr>
          <w:p w14:paraId="7C0F5562" w14:textId="77777777" w:rsidR="00E6536B" w:rsidRPr="000973F2" w:rsidRDefault="00E6536B" w:rsidP="00A75904">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18"/>
                <w:szCs w:val="18"/>
              </w:rPr>
            </w:pPr>
            <w:r w:rsidRPr="000973F2">
              <w:rPr>
                <w:rFonts w:ascii="Times New Roman" w:eastAsia="Times New Roman" w:hAnsi="Times New Roman" w:cs="Times New Roman"/>
                <w:b/>
                <w:bCs/>
                <w:sz w:val="18"/>
                <w:szCs w:val="18"/>
              </w:rPr>
              <w:t>0.0</w:t>
            </w:r>
          </w:p>
        </w:tc>
        <w:tc>
          <w:tcPr>
            <w:tcW w:w="656" w:type="dxa"/>
            <w:noWrap/>
            <w:hideMark/>
          </w:tcPr>
          <w:p w14:paraId="734B9E4A" w14:textId="77777777" w:rsidR="00E6536B" w:rsidRPr="000973F2" w:rsidRDefault="00E6536B" w:rsidP="00A75904">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18"/>
                <w:szCs w:val="18"/>
              </w:rPr>
            </w:pPr>
            <w:r w:rsidRPr="000973F2">
              <w:rPr>
                <w:rFonts w:ascii="Times New Roman" w:eastAsia="Times New Roman" w:hAnsi="Times New Roman" w:cs="Times New Roman"/>
                <w:b/>
                <w:bCs/>
                <w:sz w:val="18"/>
                <w:szCs w:val="18"/>
              </w:rPr>
              <w:t>3.0</w:t>
            </w:r>
          </w:p>
        </w:tc>
        <w:tc>
          <w:tcPr>
            <w:tcW w:w="641" w:type="dxa"/>
            <w:noWrap/>
            <w:hideMark/>
          </w:tcPr>
          <w:p w14:paraId="3704694E" w14:textId="1CF424BC" w:rsidR="00E6536B" w:rsidRPr="000973F2" w:rsidRDefault="00E6536B" w:rsidP="00A75904">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18"/>
                <w:szCs w:val="18"/>
              </w:rPr>
            </w:pPr>
            <w:r w:rsidRPr="000973F2">
              <w:rPr>
                <w:rFonts w:ascii="Times New Roman" w:eastAsia="Times New Roman" w:hAnsi="Times New Roman" w:cs="Times New Roman"/>
                <w:b/>
                <w:bCs/>
                <w:sz w:val="18"/>
                <w:szCs w:val="18"/>
              </w:rPr>
              <w:t>$0</w:t>
            </w:r>
          </w:p>
        </w:tc>
        <w:tc>
          <w:tcPr>
            <w:tcW w:w="795" w:type="dxa"/>
            <w:noWrap/>
            <w:hideMark/>
          </w:tcPr>
          <w:p w14:paraId="3F48A8E2" w14:textId="5D31FC03" w:rsidR="00E6536B" w:rsidRPr="000973F2" w:rsidRDefault="00E6536B" w:rsidP="00A75904">
            <w:pPr>
              <w:tabs>
                <w:tab w:val="decimal" w:pos="511"/>
              </w:tabs>
              <w:spacing w:before="40" w:after="4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18"/>
                <w:szCs w:val="18"/>
              </w:rPr>
            </w:pPr>
            <w:r w:rsidRPr="000973F2">
              <w:rPr>
                <w:rFonts w:ascii="Times New Roman" w:eastAsia="Times New Roman" w:hAnsi="Times New Roman" w:cs="Times New Roman"/>
                <w:b/>
                <w:bCs/>
                <w:sz w:val="18"/>
                <w:szCs w:val="18"/>
              </w:rPr>
              <w:t>$5,797</w:t>
            </w:r>
          </w:p>
        </w:tc>
      </w:tr>
    </w:tbl>
    <w:p w14:paraId="070BE868" w14:textId="77777777" w:rsidR="00F853C9" w:rsidRPr="000973F2" w:rsidRDefault="00F853C9" w:rsidP="00A75904">
      <w:pPr>
        <w:spacing w:line="240" w:lineRule="auto"/>
        <w:rPr>
          <w:rFonts w:ascii="Times New Roman" w:hAnsi="Times New Roman" w:cs="Times New Roman"/>
          <w:szCs w:val="20"/>
        </w:rPr>
      </w:pPr>
    </w:p>
    <w:p w14:paraId="6EDF9154" w14:textId="77777777" w:rsidR="00F853C9" w:rsidRPr="000973F2" w:rsidRDefault="00F853C9" w:rsidP="00A75904">
      <w:pPr>
        <w:pStyle w:val="Heading2"/>
      </w:pPr>
      <w:r w:rsidRPr="000973F2">
        <w:t>Total Costs for Subpart W</w:t>
      </w:r>
    </w:p>
    <w:p w14:paraId="11D74286" w14:textId="5E7A64F7" w:rsidR="00F853C9" w:rsidRPr="000973F2" w:rsidRDefault="00F853C9" w:rsidP="00A75904">
      <w:pPr>
        <w:pStyle w:val="BodyText"/>
        <w:rPr>
          <w:b/>
          <w:sz w:val="20"/>
        </w:rPr>
      </w:pPr>
      <w:r w:rsidRPr="000973F2">
        <w:t>The total industry costs related to Subpart W average approximately $45</w:t>
      </w:r>
      <w:r w:rsidR="00BB14ED" w:rsidRPr="000973F2">
        <w:t>,</w:t>
      </w:r>
      <w:r w:rsidRPr="000973F2">
        <w:t>2</w:t>
      </w:r>
      <w:r w:rsidR="00BB14ED" w:rsidRPr="000973F2">
        <w:t>12</w:t>
      </w:r>
      <w:r w:rsidR="00BA2D5C" w:rsidRPr="000973F2">
        <w:t xml:space="preserve">,000 </w:t>
      </w:r>
      <w:r w:rsidRPr="000973F2">
        <w:t>per year with a total of $135</w:t>
      </w:r>
      <w:r w:rsidR="00BB14ED" w:rsidRPr="000973F2">
        <w:t>,</w:t>
      </w:r>
      <w:r w:rsidRPr="000973F2">
        <w:t>6</w:t>
      </w:r>
      <w:r w:rsidR="00BB14ED" w:rsidRPr="000973F2">
        <w:t>37</w:t>
      </w:r>
      <w:r w:rsidR="0014343B" w:rsidRPr="000973F2">
        <w:t>,000</w:t>
      </w:r>
      <w:r w:rsidRPr="000973F2">
        <w:t xml:space="preserve"> over the three-year period of the ICR. Approximately 2,200 reporters are expected to report in 2019, 2020, and 2021. For more details on the annual cost estimates, please see Appendix E to the Supporting Statement.</w:t>
      </w:r>
    </w:p>
    <w:p w14:paraId="2E7F8B6B" w14:textId="33625E44" w:rsidR="005755FD" w:rsidRPr="000973F2" w:rsidRDefault="005755FD" w:rsidP="00C00E4F">
      <w:pPr>
        <w:spacing w:line="240" w:lineRule="auto"/>
        <w:rPr>
          <w:rFonts w:ascii="Times New Roman" w:hAnsi="Times New Roman" w:cs="Times New Roman"/>
        </w:rPr>
      </w:pPr>
      <w:r w:rsidRPr="000973F2">
        <w:rPr>
          <w:rFonts w:ascii="Times New Roman" w:hAnsi="Times New Roman" w:cs="Times New Roman"/>
        </w:rPr>
        <w:br w:type="page"/>
      </w:r>
    </w:p>
    <w:p w14:paraId="19AA9EA0" w14:textId="77777777" w:rsidR="006C4F63" w:rsidRPr="000973F2" w:rsidRDefault="006C4F63" w:rsidP="00A75904">
      <w:pPr>
        <w:pStyle w:val="Heading1"/>
      </w:pPr>
      <w:bookmarkStart w:id="47" w:name="_Toc10715615"/>
      <w:r w:rsidRPr="000973F2">
        <w:t>Cost Appendix for Subpart X – Petrochemical Production</w:t>
      </w:r>
      <w:bookmarkEnd w:id="47"/>
    </w:p>
    <w:p w14:paraId="41942390" w14:textId="77777777" w:rsidR="006C4F63" w:rsidRPr="000973F2" w:rsidRDefault="006C4F63" w:rsidP="00A75904">
      <w:pPr>
        <w:pStyle w:val="Heading2"/>
      </w:pPr>
      <w:r w:rsidRPr="000973F2">
        <w:t>Description of Subpart X</w:t>
      </w:r>
    </w:p>
    <w:p w14:paraId="6B251112" w14:textId="3B3C9319" w:rsidR="006C4F63" w:rsidRPr="000973F2" w:rsidRDefault="006C4F63" w:rsidP="00A75904">
      <w:pPr>
        <w:pStyle w:val="BodyText"/>
      </w:pPr>
      <w:r w:rsidRPr="000973F2">
        <w:t>For purposes of the GHGRP, the petrochemical production source category consists of all processes that produce acrylonitrile, carbon black, ethylene, ethylene dichloride, ethylene oxide, or methanol. The source category includes processes that produce the petrochemical as an intermediate in the on</w:t>
      </w:r>
      <w:r w:rsidR="00051F9B">
        <w:t>site</w:t>
      </w:r>
      <w:r w:rsidRPr="000973F2">
        <w:t xml:space="preserve"> production of other chemicals</w:t>
      </w:r>
      <w:r w:rsidR="00E468FF" w:rsidRPr="000973F2">
        <w:t>,</w:t>
      </w:r>
      <w:r w:rsidRPr="000973F2">
        <w:t xml:space="preserve"> as well as processes that produce the petrochemical as an end product for sale or shipment off site.</w:t>
      </w:r>
    </w:p>
    <w:p w14:paraId="080CBD81" w14:textId="59141CEC" w:rsidR="006C4F63" w:rsidRPr="000973F2" w:rsidRDefault="006C4F63" w:rsidP="00A75904">
      <w:pPr>
        <w:pStyle w:val="BodyText"/>
      </w:pPr>
      <w:r w:rsidRPr="000973F2">
        <w:t xml:space="preserve">For RY2017, 69 facilities included Subpart X in their annual reports. The number of facilities making each type of petrochemical has been relatively stable from 2010 to 2017, except for methanol, which has increased from 2 facilities in 2010 to 7 facilities in 2017 and is expected to continue increasing in the next few years due to the increased production of natural gas, which is the primary feedstock for methanol production. Additionally, several ethylene production facilities have been increasing capacity in recent years, one new production facility started operations in 2017, and company announcements and industry analyses indicate that several other new facilities are expecting to start operations in the next few years. Thus, it is anticipated that 3 new methanol production facilities and 3 new ethylene production facilities will report to Subpart X during the </w:t>
      </w:r>
      <w:r w:rsidR="00A75904" w:rsidRPr="000973F2">
        <w:t>three-year</w:t>
      </w:r>
      <w:r w:rsidRPr="000973F2">
        <w:t xml:space="preserve"> period covered by the ICR (i.e., one new methanol facility and one new ethylene facility each year of the 3 years).</w:t>
      </w:r>
    </w:p>
    <w:p w14:paraId="6BCEA8F2" w14:textId="77777777" w:rsidR="006C4F63" w:rsidRPr="000973F2" w:rsidRDefault="006C4F63" w:rsidP="00A75904">
      <w:pPr>
        <w:pStyle w:val="BodyText"/>
      </w:pPr>
      <w:r w:rsidRPr="000973F2">
        <w:t>The number of facilities making each type of petrochemical are as follows (note that the sum of these counts per type of petrochemical exceeds the total number of reporting facilities because some facilities make more than one type of petrochemical):</w:t>
      </w:r>
    </w:p>
    <w:p w14:paraId="723436C2" w14:textId="77777777" w:rsidR="006C4F63" w:rsidRPr="000973F2" w:rsidRDefault="006C4F63" w:rsidP="00A75904">
      <w:pPr>
        <w:pStyle w:val="Bulletlist1"/>
      </w:pPr>
      <w:r w:rsidRPr="000973F2">
        <w:t>Acrylonitrile production: 4</w:t>
      </w:r>
    </w:p>
    <w:p w14:paraId="5825B194" w14:textId="77777777" w:rsidR="006C4F63" w:rsidRPr="000973F2" w:rsidRDefault="006C4F63" w:rsidP="00A75904">
      <w:pPr>
        <w:pStyle w:val="Bulletlist1"/>
      </w:pPr>
      <w:r w:rsidRPr="000973F2">
        <w:t>Carbon black production: 16</w:t>
      </w:r>
    </w:p>
    <w:p w14:paraId="391A5368" w14:textId="77777777" w:rsidR="006C4F63" w:rsidRPr="000973F2" w:rsidRDefault="006C4F63" w:rsidP="00A75904">
      <w:pPr>
        <w:pStyle w:val="Bulletlist1"/>
      </w:pPr>
      <w:r w:rsidRPr="000973F2">
        <w:t>Ethylene: 28</w:t>
      </w:r>
    </w:p>
    <w:p w14:paraId="41FE920D" w14:textId="77777777" w:rsidR="006C4F63" w:rsidRPr="000973F2" w:rsidRDefault="006C4F63" w:rsidP="00A75904">
      <w:pPr>
        <w:pStyle w:val="Bulletlist1"/>
      </w:pPr>
      <w:r w:rsidRPr="000973F2">
        <w:t>Ethylene dichloride: 13</w:t>
      </w:r>
    </w:p>
    <w:p w14:paraId="5E35CB52" w14:textId="77777777" w:rsidR="006C4F63" w:rsidRPr="000973F2" w:rsidRDefault="006C4F63" w:rsidP="00A75904">
      <w:pPr>
        <w:pStyle w:val="Bulletlist1"/>
      </w:pPr>
      <w:r w:rsidRPr="000973F2">
        <w:t>Ethylene oxide: 10</w:t>
      </w:r>
    </w:p>
    <w:p w14:paraId="50C5F762" w14:textId="77777777" w:rsidR="006C4F63" w:rsidRPr="000973F2" w:rsidRDefault="006C4F63" w:rsidP="00A75904">
      <w:pPr>
        <w:pStyle w:val="Bulletlist1"/>
      </w:pPr>
      <w:r w:rsidRPr="000973F2">
        <w:t>Methanol: 7</w:t>
      </w:r>
    </w:p>
    <w:p w14:paraId="55B04856" w14:textId="77777777" w:rsidR="006C4F63" w:rsidRPr="000973F2" w:rsidRDefault="006C4F63" w:rsidP="00A75904">
      <w:pPr>
        <w:pStyle w:val="BodyTextfirst"/>
      </w:pPr>
      <w:r w:rsidRPr="000973F2">
        <w:t>Subpart X provides 3 types of calculation methodologies:</w:t>
      </w:r>
    </w:p>
    <w:p w14:paraId="66D3EDFF" w14:textId="77777777" w:rsidR="006C4F63" w:rsidRPr="000973F2" w:rsidRDefault="006C4F63" w:rsidP="00A75904">
      <w:pPr>
        <w:pStyle w:val="Bulletlist1"/>
      </w:pPr>
      <w:r w:rsidRPr="000973F2">
        <w:t xml:space="preserve">Optional combustion methodology (§98.243(d)) – Most ethylene production facilities (25) used this methodology in RY2017. For these facilities, emissions from combustion units that burn vented off-gases from the ethylene production processes are calculated using Subpart C procedures and are reported under Subpart C rather than Subpart X. The only emissions from these processes that are reported under Subpart X are emissions from flares. Although emissions from stationary combustion units that burn ethylene process off-gas as fuel are reported under Subpart C, the costs for these units are attributed to Subpart X because Subpart X specifies this reporting procedure, and the bulk of the fuel burned in the combustion units is off-gas from the ethylene processes. </w:t>
      </w:r>
    </w:p>
    <w:p w14:paraId="6B5E38E9" w14:textId="77777777" w:rsidR="006C4F63" w:rsidRPr="000973F2" w:rsidRDefault="006C4F63" w:rsidP="00A75904">
      <w:pPr>
        <w:pStyle w:val="Bulletlist1"/>
      </w:pPr>
      <w:r w:rsidRPr="000973F2">
        <w:t>CEMS methodology (§98.243(b)) — 2 ethylene dichloride production facilities and 1 ethylene production facility used this methodology in RY2017.</w:t>
      </w:r>
    </w:p>
    <w:p w14:paraId="18BA245B" w14:textId="77777777" w:rsidR="006C4F63" w:rsidRPr="000973F2" w:rsidRDefault="006C4F63" w:rsidP="00A75904">
      <w:pPr>
        <w:pStyle w:val="Bulletlist1"/>
      </w:pPr>
      <w:r w:rsidRPr="000973F2">
        <w:t>Mass balance methodology (§98.243(c)) — A total of 47 facilities used this methodology for at least one type of petrochemical in RY2017.</w:t>
      </w:r>
    </w:p>
    <w:p w14:paraId="38116524" w14:textId="77777777" w:rsidR="006C4F63" w:rsidRPr="000973F2" w:rsidRDefault="006C4F63" w:rsidP="00A75904">
      <w:pPr>
        <w:pStyle w:val="BodyTextfirst"/>
      </w:pPr>
      <w:r w:rsidRPr="000973F2">
        <w:t>The costs presented in this appendix are per methodology per facility. Thus, the total costs attributed to Subpart X are equal to the sum of the number of facilities using the optional combustion methodology times the annual cost for the optional combustion methodology plus the number of facilities using the CEMS methodology times the annual cost for the CEMS methodology plus the number of facilities using the mass balance methodology times the annual cost for the mass balance methodology. Most petrochemical production facilities use only a single methodology, regardless of the number of types of petrochemical products produced. But a few facilities use different methodologies for different petrochemical products. For example, some facilities use the optional combustion methodology for ethylene production and the mass balance methodology for ethylene oxide and/or ethylene dichloride production. The cost for such a facility is equal to the sum of the annual cost for the optional combustion methodology plus the annual cost for the mass balance methodology.</w:t>
      </w:r>
    </w:p>
    <w:p w14:paraId="5C918F50" w14:textId="77777777" w:rsidR="006C4F63" w:rsidRPr="000973F2" w:rsidRDefault="006C4F63" w:rsidP="0061585D">
      <w:pPr>
        <w:pStyle w:val="Heading2"/>
      </w:pPr>
      <w:r w:rsidRPr="000973F2">
        <w:t>Labor Costs for Subpart X – Optional Combustion Methodology (§98.243(d))</w:t>
      </w:r>
    </w:p>
    <w:p w14:paraId="5733C9AD" w14:textId="55040502" w:rsidR="006C4F63" w:rsidRPr="000973F2" w:rsidRDefault="006C4F63" w:rsidP="00A75904">
      <w:pPr>
        <w:pStyle w:val="BodyText"/>
      </w:pPr>
      <w:r w:rsidRPr="000973F2">
        <w:t xml:space="preserve">Table </w:t>
      </w:r>
      <w:r w:rsidR="00A75904" w:rsidRPr="000973F2">
        <w:t>X-</w:t>
      </w:r>
      <w:r w:rsidRPr="000973F2">
        <w:t xml:space="preserve">1a summarizes the expected labor costs using the optional combustion methodology for Subpart X. Typical activities for each of the labor activities are discussed in the Cost Appendix Introduction. Recordkeeping and reporting hours </w:t>
      </w:r>
      <w:r w:rsidR="00A74D20" w:rsidRPr="000973F2">
        <w:t>are based on</w:t>
      </w:r>
      <w:r w:rsidRPr="000973F2">
        <w:t xml:space="preserve"> the “high bin”</w:t>
      </w:r>
      <w:r w:rsidR="00A74D20" w:rsidRPr="000973F2">
        <w:t xml:space="preserve"> designation.</w:t>
      </w:r>
      <w:r w:rsidRPr="000973F2">
        <w:t xml:space="preserve"> Sampling and analysis (calculations) hours include completion of the measurements and calculations in §98.243, including calculation of emissions, feedstocks and products quantities, and other process data. These sampling and analysis hours also include the labor hours required to collect and prepare the sample shipments at facilities that conduct weekly sampling and analysis of fuel gas (i.e., ethylene process off-gas burned in stationary combustion units) for carbon content determinations. In RY2017, 46 percent of facilities using the optional combustion methodology reported weekly sampling and analysis. The remaining facilities reported using daily or hourly sampling. No labor costs are estimated for hourly or daily sampling because such sampling is expected to be done automatically via continuous, on-line equipment. It is anticipated that 3 new ethylene production facilities will report to Subpart X using the optional combustion methodology during the 3-year period covered by the ICR (one facility per year). New facilities in their initial year of reporting will incur additional planning time to familiarize themselves with the rule and to establish standard operating procedures. Initial year labor costs also include time for setup of compliance activities. Existing facilities are expected to already have required monitoring equipment and will only need to do annual QA/QC.</w:t>
      </w:r>
    </w:p>
    <w:p w14:paraId="041C6109" w14:textId="63242BE6" w:rsidR="00F853C9" w:rsidRPr="000973F2" w:rsidRDefault="00F853C9" w:rsidP="00A75904">
      <w:pPr>
        <w:pStyle w:val="Tabletitle"/>
      </w:pPr>
      <w:r w:rsidRPr="000973F2">
        <w:t xml:space="preserve">Table </w:t>
      </w:r>
      <w:r w:rsidR="00A75904" w:rsidRPr="000973F2">
        <w:t>X-</w:t>
      </w:r>
      <w:r w:rsidRPr="000973F2">
        <w:t xml:space="preserve">1a. Labor Costs </w:t>
      </w:r>
      <w:r w:rsidR="00B960CC" w:rsidRPr="000973F2">
        <w:t>–</w:t>
      </w:r>
      <w:r w:rsidRPr="000973F2">
        <w:t xml:space="preserve"> Subpart X – Optional Combustion Methodology (§98.243(d))</w:t>
      </w:r>
    </w:p>
    <w:tbl>
      <w:tblPr>
        <w:tblStyle w:val="PlainTable1"/>
        <w:tblW w:w="5000" w:type="pct"/>
        <w:jc w:val="left"/>
        <w:tblLayout w:type="fixed"/>
        <w:tblCellMar>
          <w:left w:w="115" w:type="dxa"/>
          <w:right w:w="115" w:type="dxa"/>
        </w:tblCellMar>
        <w:tblLook w:val="04A0" w:firstRow="1" w:lastRow="0" w:firstColumn="1" w:lastColumn="0" w:noHBand="0" w:noVBand="1"/>
      </w:tblPr>
      <w:tblGrid>
        <w:gridCol w:w="1464"/>
        <w:gridCol w:w="797"/>
        <w:gridCol w:w="797"/>
        <w:gridCol w:w="797"/>
        <w:gridCol w:w="798"/>
        <w:gridCol w:w="798"/>
        <w:gridCol w:w="798"/>
        <w:gridCol w:w="798"/>
        <w:gridCol w:w="799"/>
        <w:gridCol w:w="872"/>
        <w:gridCol w:w="872"/>
      </w:tblGrid>
      <w:tr w:rsidR="006C4F63" w:rsidRPr="000973F2" w14:paraId="1B138E32" w14:textId="77777777" w:rsidTr="00B6531F">
        <w:trPr>
          <w:cnfStyle w:val="100000000000" w:firstRow="1" w:lastRow="0" w:firstColumn="0" w:lastColumn="0" w:oddVBand="0" w:evenVBand="0" w:oddHBand="0" w:evenHBand="0" w:firstRowFirstColumn="0" w:firstRowLastColumn="0" w:lastRowFirstColumn="0" w:lastRowLastColumn="0"/>
          <w:cantSplit/>
          <w:jc w:val="left"/>
        </w:trPr>
        <w:tc>
          <w:tcPr>
            <w:cnfStyle w:val="001000000000" w:firstRow="0" w:lastRow="0" w:firstColumn="1" w:lastColumn="0" w:oddVBand="0" w:evenVBand="0" w:oddHBand="0" w:evenHBand="0" w:firstRowFirstColumn="0" w:firstRowLastColumn="0" w:lastRowFirstColumn="0" w:lastRowLastColumn="0"/>
            <w:tcW w:w="1425" w:type="dxa"/>
            <w:vMerge w:val="restart"/>
            <w:noWrap/>
            <w:tcMar>
              <w:right w:w="14" w:type="dxa"/>
            </w:tcMar>
            <w:hideMark/>
          </w:tcPr>
          <w:p w14:paraId="6C5B4EEB" w14:textId="77777777" w:rsidR="006C4F63" w:rsidRPr="000973F2" w:rsidRDefault="006C4F63" w:rsidP="00706B2E">
            <w:pPr>
              <w:spacing w:before="40" w:after="40"/>
              <w:rPr>
                <w:rFonts w:ascii="Times New Roman" w:eastAsia="Times New Roman" w:hAnsi="Times New Roman" w:cs="Times New Roman"/>
                <w:b w:val="0"/>
                <w:bCs w:val="0"/>
                <w:sz w:val="18"/>
                <w:szCs w:val="18"/>
              </w:rPr>
            </w:pPr>
            <w:r w:rsidRPr="000973F2">
              <w:rPr>
                <w:rFonts w:ascii="Times New Roman" w:eastAsia="Times New Roman" w:hAnsi="Times New Roman" w:cs="Times New Roman"/>
                <w:sz w:val="18"/>
                <w:szCs w:val="18"/>
              </w:rPr>
              <w:t>Activity</w:t>
            </w:r>
          </w:p>
        </w:tc>
        <w:tc>
          <w:tcPr>
            <w:tcW w:w="6209" w:type="dxa"/>
            <w:gridSpan w:val="8"/>
            <w:noWrap/>
            <w:hideMark/>
          </w:tcPr>
          <w:p w14:paraId="05EF8EED" w14:textId="77777777" w:rsidR="006C4F63" w:rsidRPr="000973F2" w:rsidRDefault="006C4F63" w:rsidP="00706B2E">
            <w:pPr>
              <w:spacing w:before="40" w:after="40"/>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bCs w:val="0"/>
                <w:sz w:val="18"/>
                <w:szCs w:val="18"/>
              </w:rPr>
            </w:pPr>
            <w:r w:rsidRPr="000973F2">
              <w:rPr>
                <w:rFonts w:ascii="Times New Roman" w:eastAsia="Times New Roman" w:hAnsi="Times New Roman" w:cs="Times New Roman"/>
                <w:sz w:val="18"/>
                <w:szCs w:val="18"/>
              </w:rPr>
              <w:t>Labor Rates (per hour)</w:t>
            </w:r>
          </w:p>
        </w:tc>
        <w:tc>
          <w:tcPr>
            <w:tcW w:w="1696" w:type="dxa"/>
            <w:gridSpan w:val="2"/>
            <w:vMerge w:val="restart"/>
            <w:hideMark/>
          </w:tcPr>
          <w:p w14:paraId="524ACFD2" w14:textId="77777777" w:rsidR="006C4F63" w:rsidRPr="000973F2" w:rsidRDefault="006C4F63" w:rsidP="00706B2E">
            <w:pPr>
              <w:spacing w:before="40" w:after="40"/>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bCs w:val="0"/>
                <w:sz w:val="18"/>
                <w:szCs w:val="18"/>
              </w:rPr>
            </w:pPr>
            <w:r w:rsidRPr="000973F2">
              <w:rPr>
                <w:rFonts w:ascii="Times New Roman" w:eastAsia="Times New Roman" w:hAnsi="Times New Roman" w:cs="Times New Roman"/>
                <w:sz w:val="18"/>
                <w:szCs w:val="18"/>
              </w:rPr>
              <w:t>Total Labor Cost per Year per Facility (2017$)</w:t>
            </w:r>
          </w:p>
        </w:tc>
      </w:tr>
      <w:tr w:rsidR="006C4F63" w:rsidRPr="000973F2" w14:paraId="6C8803CE" w14:textId="77777777" w:rsidTr="00B6531F">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1425" w:type="dxa"/>
            <w:vMerge/>
            <w:tcMar>
              <w:right w:w="14" w:type="dxa"/>
            </w:tcMar>
            <w:hideMark/>
          </w:tcPr>
          <w:p w14:paraId="5842E503" w14:textId="77777777" w:rsidR="006C4F63" w:rsidRPr="000973F2" w:rsidRDefault="006C4F63" w:rsidP="00706B2E">
            <w:pPr>
              <w:spacing w:before="40" w:after="40"/>
              <w:rPr>
                <w:rFonts w:ascii="Times New Roman" w:eastAsia="Times New Roman" w:hAnsi="Times New Roman" w:cs="Times New Roman"/>
                <w:b/>
                <w:bCs w:val="0"/>
                <w:sz w:val="18"/>
                <w:szCs w:val="18"/>
              </w:rPr>
            </w:pPr>
          </w:p>
        </w:tc>
        <w:tc>
          <w:tcPr>
            <w:tcW w:w="1552" w:type="dxa"/>
            <w:gridSpan w:val="2"/>
            <w:hideMark/>
          </w:tcPr>
          <w:p w14:paraId="19587D8F" w14:textId="77777777" w:rsidR="006C4F63" w:rsidRPr="000973F2" w:rsidRDefault="006C4F63" w:rsidP="00706B2E">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18"/>
                <w:szCs w:val="18"/>
              </w:rPr>
            </w:pPr>
            <w:r w:rsidRPr="000973F2">
              <w:rPr>
                <w:rFonts w:ascii="Times New Roman" w:eastAsia="Times New Roman" w:hAnsi="Times New Roman" w:cs="Times New Roman"/>
                <w:b/>
                <w:bCs/>
                <w:sz w:val="18"/>
                <w:szCs w:val="18"/>
              </w:rPr>
              <w:t>Lawyer</w:t>
            </w:r>
          </w:p>
        </w:tc>
        <w:tc>
          <w:tcPr>
            <w:tcW w:w="1552" w:type="dxa"/>
            <w:gridSpan w:val="2"/>
            <w:hideMark/>
          </w:tcPr>
          <w:p w14:paraId="72D585C7" w14:textId="77777777" w:rsidR="006C4F63" w:rsidRPr="000973F2" w:rsidRDefault="006C4F63" w:rsidP="00706B2E">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18"/>
                <w:szCs w:val="18"/>
              </w:rPr>
            </w:pPr>
            <w:r w:rsidRPr="000973F2">
              <w:rPr>
                <w:rFonts w:ascii="Times New Roman" w:eastAsia="Times New Roman" w:hAnsi="Times New Roman" w:cs="Times New Roman"/>
                <w:b/>
                <w:bCs/>
                <w:sz w:val="18"/>
                <w:szCs w:val="18"/>
              </w:rPr>
              <w:t>Industrial Manager</w:t>
            </w:r>
          </w:p>
        </w:tc>
        <w:tc>
          <w:tcPr>
            <w:tcW w:w="1552" w:type="dxa"/>
            <w:gridSpan w:val="2"/>
            <w:hideMark/>
          </w:tcPr>
          <w:p w14:paraId="047A114B" w14:textId="77777777" w:rsidR="006C4F63" w:rsidRPr="000973F2" w:rsidRDefault="006C4F63" w:rsidP="00706B2E">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18"/>
                <w:szCs w:val="18"/>
              </w:rPr>
            </w:pPr>
            <w:r w:rsidRPr="000973F2">
              <w:rPr>
                <w:rFonts w:ascii="Times New Roman" w:eastAsia="Times New Roman" w:hAnsi="Times New Roman" w:cs="Times New Roman"/>
                <w:b/>
                <w:bCs/>
                <w:sz w:val="18"/>
                <w:szCs w:val="18"/>
              </w:rPr>
              <w:t>Industrial Engineer/Technician</w:t>
            </w:r>
          </w:p>
        </w:tc>
        <w:tc>
          <w:tcPr>
            <w:tcW w:w="1553" w:type="dxa"/>
            <w:gridSpan w:val="2"/>
            <w:hideMark/>
          </w:tcPr>
          <w:p w14:paraId="59F6103C" w14:textId="77777777" w:rsidR="006C4F63" w:rsidRPr="000973F2" w:rsidRDefault="006C4F63" w:rsidP="00706B2E">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18"/>
                <w:szCs w:val="18"/>
              </w:rPr>
            </w:pPr>
            <w:r w:rsidRPr="000973F2">
              <w:rPr>
                <w:rFonts w:ascii="Times New Roman" w:eastAsia="Times New Roman" w:hAnsi="Times New Roman" w:cs="Times New Roman"/>
                <w:b/>
                <w:bCs/>
                <w:sz w:val="18"/>
                <w:szCs w:val="18"/>
              </w:rPr>
              <w:t>Administrative Support</w:t>
            </w:r>
          </w:p>
        </w:tc>
        <w:tc>
          <w:tcPr>
            <w:tcW w:w="1696" w:type="dxa"/>
            <w:gridSpan w:val="2"/>
            <w:vMerge/>
            <w:hideMark/>
          </w:tcPr>
          <w:p w14:paraId="4FD9AB28" w14:textId="77777777" w:rsidR="006C4F63" w:rsidRPr="000973F2" w:rsidRDefault="006C4F63" w:rsidP="00706B2E">
            <w:pPr>
              <w:spacing w:before="40" w:after="4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18"/>
                <w:szCs w:val="18"/>
              </w:rPr>
            </w:pPr>
          </w:p>
        </w:tc>
      </w:tr>
      <w:tr w:rsidR="006C4F63" w:rsidRPr="000973F2" w14:paraId="4917EA6F" w14:textId="77777777" w:rsidTr="00B6531F">
        <w:trPr>
          <w:cantSplit/>
        </w:trPr>
        <w:tc>
          <w:tcPr>
            <w:cnfStyle w:val="001000000000" w:firstRow="0" w:lastRow="0" w:firstColumn="1" w:lastColumn="0" w:oddVBand="0" w:evenVBand="0" w:oddHBand="0" w:evenHBand="0" w:firstRowFirstColumn="0" w:firstRowLastColumn="0" w:lastRowFirstColumn="0" w:lastRowLastColumn="0"/>
            <w:tcW w:w="1425" w:type="dxa"/>
            <w:vMerge/>
            <w:tcMar>
              <w:right w:w="14" w:type="dxa"/>
            </w:tcMar>
            <w:hideMark/>
          </w:tcPr>
          <w:p w14:paraId="3906F3B7" w14:textId="77777777" w:rsidR="006C4F63" w:rsidRPr="000973F2" w:rsidRDefault="006C4F63" w:rsidP="00706B2E">
            <w:pPr>
              <w:spacing w:before="40" w:after="40"/>
              <w:rPr>
                <w:rFonts w:ascii="Times New Roman" w:eastAsia="Times New Roman" w:hAnsi="Times New Roman" w:cs="Times New Roman"/>
                <w:b/>
                <w:bCs w:val="0"/>
                <w:sz w:val="18"/>
                <w:szCs w:val="18"/>
              </w:rPr>
            </w:pPr>
          </w:p>
        </w:tc>
        <w:tc>
          <w:tcPr>
            <w:tcW w:w="1552" w:type="dxa"/>
            <w:gridSpan w:val="2"/>
            <w:noWrap/>
            <w:hideMark/>
          </w:tcPr>
          <w:p w14:paraId="5AC09350" w14:textId="77777777" w:rsidR="006C4F63" w:rsidRPr="000973F2" w:rsidRDefault="006C4F63" w:rsidP="00706B2E">
            <w:pPr>
              <w:spacing w:before="40" w:after="4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sz w:val="18"/>
                <w:szCs w:val="18"/>
              </w:rPr>
            </w:pPr>
            <w:r w:rsidRPr="000973F2">
              <w:rPr>
                <w:rFonts w:ascii="Times New Roman" w:eastAsia="Times New Roman" w:hAnsi="Times New Roman" w:cs="Times New Roman"/>
                <w:b/>
                <w:bCs/>
                <w:sz w:val="18"/>
                <w:szCs w:val="18"/>
              </w:rPr>
              <w:t xml:space="preserve">$112.23 </w:t>
            </w:r>
          </w:p>
        </w:tc>
        <w:tc>
          <w:tcPr>
            <w:tcW w:w="1552" w:type="dxa"/>
            <w:gridSpan w:val="2"/>
            <w:noWrap/>
            <w:hideMark/>
          </w:tcPr>
          <w:p w14:paraId="28E04A1E" w14:textId="77777777" w:rsidR="006C4F63" w:rsidRPr="000973F2" w:rsidRDefault="006C4F63" w:rsidP="00706B2E">
            <w:pPr>
              <w:spacing w:before="40" w:after="4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sz w:val="18"/>
                <w:szCs w:val="18"/>
              </w:rPr>
            </w:pPr>
            <w:r w:rsidRPr="000973F2">
              <w:rPr>
                <w:rFonts w:ascii="Times New Roman" w:eastAsia="Times New Roman" w:hAnsi="Times New Roman" w:cs="Times New Roman"/>
                <w:b/>
                <w:bCs/>
                <w:sz w:val="18"/>
                <w:szCs w:val="18"/>
              </w:rPr>
              <w:t xml:space="preserve">$87.45 </w:t>
            </w:r>
          </w:p>
        </w:tc>
        <w:tc>
          <w:tcPr>
            <w:tcW w:w="1552" w:type="dxa"/>
            <w:gridSpan w:val="2"/>
            <w:noWrap/>
            <w:hideMark/>
          </w:tcPr>
          <w:p w14:paraId="3F882383" w14:textId="77777777" w:rsidR="006C4F63" w:rsidRPr="000973F2" w:rsidRDefault="006C4F63" w:rsidP="00706B2E">
            <w:pPr>
              <w:spacing w:before="40" w:after="4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sz w:val="18"/>
                <w:szCs w:val="18"/>
              </w:rPr>
            </w:pPr>
            <w:r w:rsidRPr="000973F2">
              <w:rPr>
                <w:rFonts w:ascii="Times New Roman" w:eastAsia="Times New Roman" w:hAnsi="Times New Roman" w:cs="Times New Roman"/>
                <w:b/>
                <w:bCs/>
                <w:sz w:val="18"/>
                <w:szCs w:val="18"/>
              </w:rPr>
              <w:t xml:space="preserve">$71.45 </w:t>
            </w:r>
          </w:p>
        </w:tc>
        <w:tc>
          <w:tcPr>
            <w:tcW w:w="1553" w:type="dxa"/>
            <w:gridSpan w:val="2"/>
            <w:noWrap/>
            <w:hideMark/>
          </w:tcPr>
          <w:p w14:paraId="64C71E6C" w14:textId="77777777" w:rsidR="006C4F63" w:rsidRPr="000973F2" w:rsidRDefault="006C4F63" w:rsidP="00706B2E">
            <w:pPr>
              <w:spacing w:before="40" w:after="4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sz w:val="18"/>
                <w:szCs w:val="18"/>
              </w:rPr>
            </w:pPr>
            <w:r w:rsidRPr="000973F2">
              <w:rPr>
                <w:rFonts w:ascii="Times New Roman" w:eastAsia="Times New Roman" w:hAnsi="Times New Roman" w:cs="Times New Roman"/>
                <w:b/>
                <w:bCs/>
                <w:sz w:val="18"/>
                <w:szCs w:val="18"/>
              </w:rPr>
              <w:t xml:space="preserve">$36.28 </w:t>
            </w:r>
          </w:p>
        </w:tc>
        <w:tc>
          <w:tcPr>
            <w:tcW w:w="1696" w:type="dxa"/>
            <w:gridSpan w:val="2"/>
            <w:vMerge/>
            <w:hideMark/>
          </w:tcPr>
          <w:p w14:paraId="45E6FA2A" w14:textId="77777777" w:rsidR="006C4F63" w:rsidRPr="000973F2" w:rsidRDefault="006C4F63" w:rsidP="00706B2E">
            <w:pPr>
              <w:spacing w:before="40" w:after="4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sz w:val="18"/>
                <w:szCs w:val="18"/>
              </w:rPr>
            </w:pPr>
          </w:p>
        </w:tc>
      </w:tr>
      <w:tr w:rsidR="00D7694D" w:rsidRPr="000973F2" w14:paraId="0CCBAD20" w14:textId="77777777" w:rsidTr="00B6531F">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1425" w:type="dxa"/>
            <w:vMerge/>
            <w:tcMar>
              <w:right w:w="14" w:type="dxa"/>
            </w:tcMar>
            <w:hideMark/>
          </w:tcPr>
          <w:p w14:paraId="3589819C" w14:textId="77777777" w:rsidR="006C4F63" w:rsidRPr="000973F2" w:rsidRDefault="006C4F63" w:rsidP="00706B2E">
            <w:pPr>
              <w:spacing w:before="40" w:after="40"/>
              <w:rPr>
                <w:rFonts w:ascii="Times New Roman" w:eastAsia="Times New Roman" w:hAnsi="Times New Roman" w:cs="Times New Roman"/>
                <w:b/>
                <w:bCs w:val="0"/>
                <w:sz w:val="18"/>
                <w:szCs w:val="18"/>
              </w:rPr>
            </w:pPr>
          </w:p>
        </w:tc>
        <w:tc>
          <w:tcPr>
            <w:tcW w:w="776" w:type="dxa"/>
            <w:tcMar>
              <w:left w:w="14" w:type="dxa"/>
              <w:right w:w="14" w:type="dxa"/>
            </w:tcMar>
            <w:hideMark/>
          </w:tcPr>
          <w:p w14:paraId="24EAA4D3" w14:textId="6EB12DD2" w:rsidR="006C4F63" w:rsidRPr="000973F2" w:rsidRDefault="006C4F63" w:rsidP="00706B2E">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18"/>
                <w:szCs w:val="18"/>
              </w:rPr>
            </w:pPr>
            <w:r w:rsidRPr="000973F2">
              <w:rPr>
                <w:rFonts w:ascii="Times New Roman" w:eastAsia="Times New Roman" w:hAnsi="Times New Roman" w:cs="Times New Roman"/>
                <w:b/>
                <w:bCs/>
                <w:sz w:val="18"/>
                <w:szCs w:val="18"/>
              </w:rPr>
              <w:t xml:space="preserve">Initial </w:t>
            </w:r>
            <w:r w:rsidR="00132320" w:rsidRPr="000973F2">
              <w:rPr>
                <w:rFonts w:ascii="Times New Roman" w:eastAsia="Times New Roman" w:hAnsi="Times New Roman" w:cs="Times New Roman"/>
                <w:b/>
                <w:bCs/>
                <w:sz w:val="18"/>
                <w:szCs w:val="18"/>
              </w:rPr>
              <w:t>Year Hours</w:t>
            </w:r>
          </w:p>
        </w:tc>
        <w:tc>
          <w:tcPr>
            <w:tcW w:w="776" w:type="dxa"/>
            <w:tcMar>
              <w:left w:w="14" w:type="dxa"/>
              <w:right w:w="14" w:type="dxa"/>
            </w:tcMar>
          </w:tcPr>
          <w:p w14:paraId="2280C7D5" w14:textId="5B16E701" w:rsidR="006C4F63" w:rsidRPr="000973F2" w:rsidRDefault="006C4F63" w:rsidP="00706B2E">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18"/>
                <w:szCs w:val="18"/>
              </w:rPr>
            </w:pPr>
            <w:r w:rsidRPr="000973F2">
              <w:rPr>
                <w:rFonts w:ascii="Times New Roman" w:eastAsia="Times New Roman" w:hAnsi="Times New Roman" w:cs="Times New Roman"/>
                <w:b/>
                <w:bCs/>
                <w:sz w:val="18"/>
                <w:szCs w:val="18"/>
              </w:rPr>
              <w:t xml:space="preserve">Subseq. </w:t>
            </w:r>
            <w:r w:rsidR="00132320" w:rsidRPr="000973F2">
              <w:rPr>
                <w:rFonts w:ascii="Times New Roman" w:eastAsia="Times New Roman" w:hAnsi="Times New Roman" w:cs="Times New Roman"/>
                <w:b/>
                <w:bCs/>
                <w:sz w:val="18"/>
                <w:szCs w:val="18"/>
              </w:rPr>
              <w:t>Year Hours</w:t>
            </w:r>
          </w:p>
        </w:tc>
        <w:tc>
          <w:tcPr>
            <w:tcW w:w="776" w:type="dxa"/>
            <w:tcMar>
              <w:left w:w="14" w:type="dxa"/>
              <w:right w:w="14" w:type="dxa"/>
            </w:tcMar>
          </w:tcPr>
          <w:p w14:paraId="419B51A8" w14:textId="24CC8A9F" w:rsidR="006C4F63" w:rsidRPr="000973F2" w:rsidRDefault="006C4F63" w:rsidP="00706B2E">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18"/>
                <w:szCs w:val="18"/>
              </w:rPr>
            </w:pPr>
            <w:r w:rsidRPr="000973F2">
              <w:rPr>
                <w:rFonts w:ascii="Times New Roman" w:eastAsia="Times New Roman" w:hAnsi="Times New Roman" w:cs="Times New Roman"/>
                <w:b/>
                <w:bCs/>
                <w:sz w:val="18"/>
                <w:szCs w:val="18"/>
              </w:rPr>
              <w:t xml:space="preserve">Initial </w:t>
            </w:r>
            <w:r w:rsidR="00132320" w:rsidRPr="000973F2">
              <w:rPr>
                <w:rFonts w:ascii="Times New Roman" w:eastAsia="Times New Roman" w:hAnsi="Times New Roman" w:cs="Times New Roman"/>
                <w:b/>
                <w:bCs/>
                <w:sz w:val="18"/>
                <w:szCs w:val="18"/>
              </w:rPr>
              <w:t>Year Hours</w:t>
            </w:r>
          </w:p>
        </w:tc>
        <w:tc>
          <w:tcPr>
            <w:tcW w:w="776" w:type="dxa"/>
            <w:tcMar>
              <w:left w:w="14" w:type="dxa"/>
              <w:right w:w="14" w:type="dxa"/>
            </w:tcMar>
            <w:hideMark/>
          </w:tcPr>
          <w:p w14:paraId="37A81A72" w14:textId="45237E2E" w:rsidR="006C4F63" w:rsidRPr="000973F2" w:rsidRDefault="006C4F63" w:rsidP="00706B2E">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18"/>
                <w:szCs w:val="18"/>
              </w:rPr>
            </w:pPr>
            <w:r w:rsidRPr="000973F2">
              <w:rPr>
                <w:rFonts w:ascii="Times New Roman" w:eastAsia="Times New Roman" w:hAnsi="Times New Roman" w:cs="Times New Roman"/>
                <w:b/>
                <w:bCs/>
                <w:sz w:val="18"/>
                <w:szCs w:val="18"/>
              </w:rPr>
              <w:t xml:space="preserve">Subseq. </w:t>
            </w:r>
            <w:r w:rsidR="00132320" w:rsidRPr="000973F2">
              <w:rPr>
                <w:rFonts w:ascii="Times New Roman" w:eastAsia="Times New Roman" w:hAnsi="Times New Roman" w:cs="Times New Roman"/>
                <w:b/>
                <w:bCs/>
                <w:sz w:val="18"/>
                <w:szCs w:val="18"/>
              </w:rPr>
              <w:t>Year Hours</w:t>
            </w:r>
          </w:p>
        </w:tc>
        <w:tc>
          <w:tcPr>
            <w:tcW w:w="776" w:type="dxa"/>
            <w:tcMar>
              <w:left w:w="14" w:type="dxa"/>
              <w:right w:w="14" w:type="dxa"/>
            </w:tcMar>
            <w:hideMark/>
          </w:tcPr>
          <w:p w14:paraId="1A095303" w14:textId="5C2420E3" w:rsidR="006C4F63" w:rsidRPr="000973F2" w:rsidRDefault="006C4F63" w:rsidP="00706B2E">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18"/>
                <w:szCs w:val="18"/>
              </w:rPr>
            </w:pPr>
            <w:r w:rsidRPr="000973F2">
              <w:rPr>
                <w:rFonts w:ascii="Times New Roman" w:eastAsia="Times New Roman" w:hAnsi="Times New Roman" w:cs="Times New Roman"/>
                <w:b/>
                <w:bCs/>
                <w:sz w:val="18"/>
                <w:szCs w:val="18"/>
              </w:rPr>
              <w:t xml:space="preserve">Initial </w:t>
            </w:r>
            <w:r w:rsidR="00132320" w:rsidRPr="000973F2">
              <w:rPr>
                <w:rFonts w:ascii="Times New Roman" w:eastAsia="Times New Roman" w:hAnsi="Times New Roman" w:cs="Times New Roman"/>
                <w:b/>
                <w:bCs/>
                <w:sz w:val="18"/>
                <w:szCs w:val="18"/>
              </w:rPr>
              <w:t>Year Hours</w:t>
            </w:r>
          </w:p>
        </w:tc>
        <w:tc>
          <w:tcPr>
            <w:tcW w:w="776" w:type="dxa"/>
            <w:tcMar>
              <w:left w:w="14" w:type="dxa"/>
              <w:right w:w="14" w:type="dxa"/>
            </w:tcMar>
            <w:hideMark/>
          </w:tcPr>
          <w:p w14:paraId="26739F54" w14:textId="5768E178" w:rsidR="006C4F63" w:rsidRPr="000973F2" w:rsidRDefault="006C4F63" w:rsidP="00706B2E">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18"/>
                <w:szCs w:val="18"/>
              </w:rPr>
            </w:pPr>
            <w:r w:rsidRPr="000973F2">
              <w:rPr>
                <w:rFonts w:ascii="Times New Roman" w:eastAsia="Times New Roman" w:hAnsi="Times New Roman" w:cs="Times New Roman"/>
                <w:b/>
                <w:bCs/>
                <w:sz w:val="18"/>
                <w:szCs w:val="18"/>
              </w:rPr>
              <w:t xml:space="preserve">Subseq. </w:t>
            </w:r>
            <w:r w:rsidR="00132320" w:rsidRPr="000973F2">
              <w:rPr>
                <w:rFonts w:ascii="Times New Roman" w:eastAsia="Times New Roman" w:hAnsi="Times New Roman" w:cs="Times New Roman"/>
                <w:b/>
                <w:bCs/>
                <w:sz w:val="18"/>
                <w:szCs w:val="18"/>
              </w:rPr>
              <w:t>Year Hours</w:t>
            </w:r>
          </w:p>
        </w:tc>
        <w:tc>
          <w:tcPr>
            <w:tcW w:w="776" w:type="dxa"/>
            <w:tcMar>
              <w:left w:w="14" w:type="dxa"/>
              <w:right w:w="14" w:type="dxa"/>
            </w:tcMar>
            <w:hideMark/>
          </w:tcPr>
          <w:p w14:paraId="64B9230B" w14:textId="7741FF8C" w:rsidR="006C4F63" w:rsidRPr="000973F2" w:rsidRDefault="006C4F63" w:rsidP="00706B2E">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18"/>
                <w:szCs w:val="18"/>
              </w:rPr>
            </w:pPr>
            <w:r w:rsidRPr="000973F2">
              <w:rPr>
                <w:rFonts w:ascii="Times New Roman" w:eastAsia="Times New Roman" w:hAnsi="Times New Roman" w:cs="Times New Roman"/>
                <w:b/>
                <w:bCs/>
                <w:sz w:val="18"/>
                <w:szCs w:val="18"/>
              </w:rPr>
              <w:t xml:space="preserve">Initial </w:t>
            </w:r>
            <w:r w:rsidR="00132320" w:rsidRPr="000973F2">
              <w:rPr>
                <w:rFonts w:ascii="Times New Roman" w:eastAsia="Times New Roman" w:hAnsi="Times New Roman" w:cs="Times New Roman"/>
                <w:b/>
                <w:bCs/>
                <w:sz w:val="18"/>
                <w:szCs w:val="18"/>
              </w:rPr>
              <w:t>Year Hours</w:t>
            </w:r>
          </w:p>
        </w:tc>
        <w:tc>
          <w:tcPr>
            <w:tcW w:w="777" w:type="dxa"/>
            <w:tcMar>
              <w:left w:w="14" w:type="dxa"/>
              <w:right w:w="14" w:type="dxa"/>
            </w:tcMar>
            <w:hideMark/>
          </w:tcPr>
          <w:p w14:paraId="7B3316BC" w14:textId="1A9BCD27" w:rsidR="006C4F63" w:rsidRPr="000973F2" w:rsidRDefault="006C4F63" w:rsidP="00706B2E">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18"/>
                <w:szCs w:val="18"/>
              </w:rPr>
            </w:pPr>
            <w:r w:rsidRPr="000973F2">
              <w:rPr>
                <w:rFonts w:ascii="Times New Roman" w:eastAsia="Times New Roman" w:hAnsi="Times New Roman" w:cs="Times New Roman"/>
                <w:b/>
                <w:bCs/>
                <w:sz w:val="18"/>
                <w:szCs w:val="18"/>
              </w:rPr>
              <w:t xml:space="preserve">Subseq. </w:t>
            </w:r>
            <w:r w:rsidR="00132320" w:rsidRPr="000973F2">
              <w:rPr>
                <w:rFonts w:ascii="Times New Roman" w:eastAsia="Times New Roman" w:hAnsi="Times New Roman" w:cs="Times New Roman"/>
                <w:b/>
                <w:bCs/>
                <w:sz w:val="18"/>
                <w:szCs w:val="18"/>
              </w:rPr>
              <w:t>Year Hours</w:t>
            </w:r>
          </w:p>
        </w:tc>
        <w:tc>
          <w:tcPr>
            <w:tcW w:w="848" w:type="dxa"/>
            <w:tcMar>
              <w:left w:w="14" w:type="dxa"/>
              <w:right w:w="14" w:type="dxa"/>
            </w:tcMar>
            <w:hideMark/>
          </w:tcPr>
          <w:p w14:paraId="71FC18D0" w14:textId="77777777" w:rsidR="006C4F63" w:rsidRPr="000973F2" w:rsidRDefault="006C4F63" w:rsidP="00706B2E">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18"/>
                <w:szCs w:val="18"/>
              </w:rPr>
            </w:pPr>
            <w:r w:rsidRPr="000973F2">
              <w:rPr>
                <w:rFonts w:ascii="Times New Roman" w:eastAsia="Times New Roman" w:hAnsi="Times New Roman" w:cs="Times New Roman"/>
                <w:b/>
                <w:bCs/>
                <w:sz w:val="18"/>
                <w:szCs w:val="18"/>
              </w:rPr>
              <w:t>Initial Year</w:t>
            </w:r>
          </w:p>
        </w:tc>
        <w:tc>
          <w:tcPr>
            <w:tcW w:w="848" w:type="dxa"/>
            <w:tcMar>
              <w:left w:w="14" w:type="dxa"/>
              <w:right w:w="14" w:type="dxa"/>
            </w:tcMar>
            <w:hideMark/>
          </w:tcPr>
          <w:p w14:paraId="6F50E0C4" w14:textId="77777777" w:rsidR="006C4F63" w:rsidRPr="000973F2" w:rsidRDefault="006C4F63" w:rsidP="00706B2E">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18"/>
                <w:szCs w:val="18"/>
              </w:rPr>
            </w:pPr>
            <w:r w:rsidRPr="000973F2">
              <w:rPr>
                <w:rFonts w:ascii="Times New Roman" w:eastAsia="Times New Roman" w:hAnsi="Times New Roman" w:cs="Times New Roman"/>
                <w:b/>
                <w:bCs/>
                <w:sz w:val="18"/>
                <w:szCs w:val="18"/>
              </w:rPr>
              <w:t>Subseq. Year</w:t>
            </w:r>
          </w:p>
        </w:tc>
      </w:tr>
      <w:tr w:rsidR="006C4F63" w:rsidRPr="000973F2" w14:paraId="3464B234" w14:textId="77777777" w:rsidTr="00B6531F">
        <w:trPr>
          <w:cantSplit/>
        </w:trPr>
        <w:tc>
          <w:tcPr>
            <w:cnfStyle w:val="001000000000" w:firstRow="0" w:lastRow="0" w:firstColumn="1" w:lastColumn="0" w:oddVBand="0" w:evenVBand="0" w:oddHBand="0" w:evenHBand="0" w:firstRowFirstColumn="0" w:firstRowLastColumn="0" w:lastRowFirstColumn="0" w:lastRowLastColumn="0"/>
            <w:tcW w:w="1425" w:type="dxa"/>
            <w:tcMar>
              <w:right w:w="14" w:type="dxa"/>
            </w:tcMar>
            <w:hideMark/>
          </w:tcPr>
          <w:p w14:paraId="7CBD6A15" w14:textId="77777777" w:rsidR="006C4F63" w:rsidRPr="000973F2" w:rsidRDefault="006C4F63" w:rsidP="00706B2E">
            <w:pPr>
              <w:spacing w:before="40" w:after="4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Planning</w:t>
            </w:r>
          </w:p>
        </w:tc>
        <w:tc>
          <w:tcPr>
            <w:tcW w:w="776" w:type="dxa"/>
            <w:noWrap/>
            <w:hideMark/>
          </w:tcPr>
          <w:p w14:paraId="099B9015" w14:textId="77777777" w:rsidR="006C4F63" w:rsidRPr="000973F2" w:rsidRDefault="006C4F63" w:rsidP="00706B2E">
            <w:pPr>
              <w:tabs>
                <w:tab w:val="decimal" w:pos="286"/>
              </w:tabs>
              <w:spacing w:before="40" w:after="4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16</w:t>
            </w:r>
          </w:p>
        </w:tc>
        <w:tc>
          <w:tcPr>
            <w:tcW w:w="776" w:type="dxa"/>
          </w:tcPr>
          <w:p w14:paraId="2FF33133" w14:textId="77777777" w:rsidR="006C4F63" w:rsidRPr="000973F2" w:rsidRDefault="006C4F63" w:rsidP="00706B2E">
            <w:pPr>
              <w:spacing w:before="40" w:after="4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2</w:t>
            </w:r>
          </w:p>
        </w:tc>
        <w:tc>
          <w:tcPr>
            <w:tcW w:w="776" w:type="dxa"/>
            <w:noWrap/>
          </w:tcPr>
          <w:p w14:paraId="1FB33484" w14:textId="77777777" w:rsidR="006C4F63" w:rsidRPr="000973F2" w:rsidRDefault="006C4F63" w:rsidP="00706B2E">
            <w:pPr>
              <w:tabs>
                <w:tab w:val="decimal" w:pos="316"/>
              </w:tabs>
              <w:spacing w:before="40" w:after="4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1</w:t>
            </w:r>
          </w:p>
        </w:tc>
        <w:tc>
          <w:tcPr>
            <w:tcW w:w="776" w:type="dxa"/>
            <w:noWrap/>
          </w:tcPr>
          <w:p w14:paraId="38F26E44" w14:textId="77777777" w:rsidR="006C4F63" w:rsidRPr="000973F2" w:rsidRDefault="006C4F63" w:rsidP="00706B2E">
            <w:pPr>
              <w:spacing w:before="40" w:after="4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0</w:t>
            </w:r>
          </w:p>
        </w:tc>
        <w:tc>
          <w:tcPr>
            <w:tcW w:w="776" w:type="dxa"/>
            <w:noWrap/>
          </w:tcPr>
          <w:p w14:paraId="477CF707" w14:textId="77777777" w:rsidR="006C4F63" w:rsidRPr="000973F2" w:rsidRDefault="006C4F63" w:rsidP="00706B2E">
            <w:pPr>
              <w:tabs>
                <w:tab w:val="decimal" w:pos="376"/>
              </w:tabs>
              <w:spacing w:before="40" w:after="4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18</w:t>
            </w:r>
          </w:p>
        </w:tc>
        <w:tc>
          <w:tcPr>
            <w:tcW w:w="776" w:type="dxa"/>
            <w:noWrap/>
          </w:tcPr>
          <w:p w14:paraId="201D9698" w14:textId="77777777" w:rsidR="006C4F63" w:rsidRPr="000973F2" w:rsidRDefault="006C4F63" w:rsidP="00706B2E">
            <w:pPr>
              <w:tabs>
                <w:tab w:val="decimal" w:pos="286"/>
              </w:tabs>
              <w:spacing w:before="40" w:after="4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6</w:t>
            </w:r>
          </w:p>
        </w:tc>
        <w:tc>
          <w:tcPr>
            <w:tcW w:w="776" w:type="dxa"/>
            <w:noWrap/>
          </w:tcPr>
          <w:p w14:paraId="2A2710E6" w14:textId="77777777" w:rsidR="006C4F63" w:rsidRPr="000973F2" w:rsidRDefault="006C4F63" w:rsidP="00706B2E">
            <w:pPr>
              <w:tabs>
                <w:tab w:val="decimal" w:pos="286"/>
              </w:tabs>
              <w:spacing w:before="40" w:after="4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2</w:t>
            </w:r>
          </w:p>
        </w:tc>
        <w:tc>
          <w:tcPr>
            <w:tcW w:w="777" w:type="dxa"/>
            <w:noWrap/>
          </w:tcPr>
          <w:p w14:paraId="37C00C91" w14:textId="77777777" w:rsidR="006C4F63" w:rsidRPr="000973F2" w:rsidRDefault="006C4F63" w:rsidP="00706B2E">
            <w:pPr>
              <w:tabs>
                <w:tab w:val="decimal" w:pos="286"/>
              </w:tabs>
              <w:spacing w:before="40" w:after="4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1</w:t>
            </w:r>
          </w:p>
        </w:tc>
        <w:tc>
          <w:tcPr>
            <w:tcW w:w="848" w:type="dxa"/>
            <w:noWrap/>
            <w:hideMark/>
          </w:tcPr>
          <w:p w14:paraId="5DAED550" w14:textId="77777777" w:rsidR="006C4F63" w:rsidRPr="000973F2" w:rsidRDefault="006C4F63" w:rsidP="00706B2E">
            <w:pPr>
              <w:tabs>
                <w:tab w:val="decimal" w:pos="601"/>
              </w:tabs>
              <w:spacing w:before="40" w:after="4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$3,226</w:t>
            </w:r>
          </w:p>
        </w:tc>
        <w:tc>
          <w:tcPr>
            <w:tcW w:w="848" w:type="dxa"/>
            <w:noWrap/>
            <w:hideMark/>
          </w:tcPr>
          <w:p w14:paraId="173A5893" w14:textId="77777777" w:rsidR="006C4F63" w:rsidRPr="000973F2" w:rsidRDefault="006C4F63" w:rsidP="00706B2E">
            <w:pPr>
              <w:tabs>
                <w:tab w:val="decimal" w:pos="601"/>
              </w:tabs>
              <w:spacing w:before="40" w:after="4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$701</w:t>
            </w:r>
          </w:p>
        </w:tc>
      </w:tr>
      <w:tr w:rsidR="00D7694D" w:rsidRPr="000973F2" w14:paraId="7087DA5F" w14:textId="77777777" w:rsidTr="00B6531F">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1425" w:type="dxa"/>
            <w:tcMar>
              <w:right w:w="14" w:type="dxa"/>
            </w:tcMar>
            <w:hideMark/>
          </w:tcPr>
          <w:p w14:paraId="16155494" w14:textId="77777777" w:rsidR="006C4F63" w:rsidRPr="000973F2" w:rsidRDefault="006C4F63" w:rsidP="00706B2E">
            <w:pPr>
              <w:spacing w:before="40" w:after="4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QA/QC</w:t>
            </w:r>
          </w:p>
        </w:tc>
        <w:tc>
          <w:tcPr>
            <w:tcW w:w="776" w:type="dxa"/>
            <w:noWrap/>
            <w:hideMark/>
          </w:tcPr>
          <w:p w14:paraId="4B5A6385" w14:textId="77777777" w:rsidR="006C4F63" w:rsidRPr="000973F2" w:rsidRDefault="006C4F63" w:rsidP="00706B2E">
            <w:pPr>
              <w:tabs>
                <w:tab w:val="decimal" w:pos="286"/>
              </w:tabs>
              <w:spacing w:before="40" w:after="4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0</w:t>
            </w:r>
          </w:p>
        </w:tc>
        <w:tc>
          <w:tcPr>
            <w:tcW w:w="776" w:type="dxa"/>
          </w:tcPr>
          <w:p w14:paraId="65A8B02B" w14:textId="77777777" w:rsidR="006C4F63" w:rsidRPr="000973F2" w:rsidRDefault="006C4F63" w:rsidP="00706B2E">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0</w:t>
            </w:r>
          </w:p>
        </w:tc>
        <w:tc>
          <w:tcPr>
            <w:tcW w:w="776" w:type="dxa"/>
            <w:noWrap/>
          </w:tcPr>
          <w:p w14:paraId="137B4D12" w14:textId="77777777" w:rsidR="006C4F63" w:rsidRPr="000973F2" w:rsidRDefault="006C4F63" w:rsidP="00706B2E">
            <w:pPr>
              <w:tabs>
                <w:tab w:val="decimal" w:pos="316"/>
              </w:tabs>
              <w:spacing w:before="40" w:after="4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3</w:t>
            </w:r>
          </w:p>
        </w:tc>
        <w:tc>
          <w:tcPr>
            <w:tcW w:w="776" w:type="dxa"/>
            <w:noWrap/>
          </w:tcPr>
          <w:p w14:paraId="7C487125" w14:textId="77777777" w:rsidR="006C4F63" w:rsidRPr="000973F2" w:rsidRDefault="006C4F63" w:rsidP="00706B2E">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1</w:t>
            </w:r>
          </w:p>
        </w:tc>
        <w:tc>
          <w:tcPr>
            <w:tcW w:w="776" w:type="dxa"/>
            <w:noWrap/>
          </w:tcPr>
          <w:p w14:paraId="02298ED5" w14:textId="77777777" w:rsidR="006C4F63" w:rsidRPr="000973F2" w:rsidRDefault="006C4F63" w:rsidP="00706B2E">
            <w:pPr>
              <w:tabs>
                <w:tab w:val="decimal" w:pos="376"/>
              </w:tabs>
              <w:spacing w:before="40" w:after="4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50</w:t>
            </w:r>
          </w:p>
        </w:tc>
        <w:tc>
          <w:tcPr>
            <w:tcW w:w="776" w:type="dxa"/>
            <w:noWrap/>
          </w:tcPr>
          <w:p w14:paraId="0F59348F" w14:textId="77777777" w:rsidR="006C4F63" w:rsidRPr="000973F2" w:rsidRDefault="006C4F63" w:rsidP="00706B2E">
            <w:pPr>
              <w:tabs>
                <w:tab w:val="decimal" w:pos="286"/>
              </w:tabs>
              <w:spacing w:before="40" w:after="4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17</w:t>
            </w:r>
          </w:p>
        </w:tc>
        <w:tc>
          <w:tcPr>
            <w:tcW w:w="776" w:type="dxa"/>
            <w:noWrap/>
          </w:tcPr>
          <w:p w14:paraId="6C4207BF" w14:textId="77777777" w:rsidR="006C4F63" w:rsidRPr="000973F2" w:rsidRDefault="006C4F63" w:rsidP="00706B2E">
            <w:pPr>
              <w:tabs>
                <w:tab w:val="decimal" w:pos="286"/>
              </w:tabs>
              <w:spacing w:before="40" w:after="4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5</w:t>
            </w:r>
          </w:p>
        </w:tc>
        <w:tc>
          <w:tcPr>
            <w:tcW w:w="777" w:type="dxa"/>
            <w:noWrap/>
          </w:tcPr>
          <w:p w14:paraId="3C302B44" w14:textId="77777777" w:rsidR="006C4F63" w:rsidRPr="000973F2" w:rsidRDefault="006C4F63" w:rsidP="00706B2E">
            <w:pPr>
              <w:tabs>
                <w:tab w:val="decimal" w:pos="286"/>
              </w:tabs>
              <w:spacing w:before="40" w:after="4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2</w:t>
            </w:r>
          </w:p>
        </w:tc>
        <w:tc>
          <w:tcPr>
            <w:tcW w:w="848" w:type="dxa"/>
            <w:noWrap/>
            <w:hideMark/>
          </w:tcPr>
          <w:p w14:paraId="1EF8935E" w14:textId="77777777" w:rsidR="006C4F63" w:rsidRPr="000973F2" w:rsidRDefault="006C4F63" w:rsidP="00706B2E">
            <w:pPr>
              <w:tabs>
                <w:tab w:val="decimal" w:pos="601"/>
              </w:tabs>
              <w:spacing w:before="40" w:after="4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$4,004</w:t>
            </w:r>
          </w:p>
        </w:tc>
        <w:tc>
          <w:tcPr>
            <w:tcW w:w="848" w:type="dxa"/>
            <w:noWrap/>
            <w:hideMark/>
          </w:tcPr>
          <w:p w14:paraId="413A3173" w14:textId="77777777" w:rsidR="006C4F63" w:rsidRPr="000973F2" w:rsidRDefault="006C4F63" w:rsidP="00706B2E">
            <w:pPr>
              <w:tabs>
                <w:tab w:val="decimal" w:pos="601"/>
              </w:tabs>
              <w:spacing w:before="40" w:after="4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$1,335</w:t>
            </w:r>
          </w:p>
        </w:tc>
      </w:tr>
      <w:tr w:rsidR="006C4F63" w:rsidRPr="000973F2" w14:paraId="56AA7363" w14:textId="77777777" w:rsidTr="00B6531F">
        <w:trPr>
          <w:cantSplit/>
        </w:trPr>
        <w:tc>
          <w:tcPr>
            <w:cnfStyle w:val="001000000000" w:firstRow="0" w:lastRow="0" w:firstColumn="1" w:lastColumn="0" w:oddVBand="0" w:evenVBand="0" w:oddHBand="0" w:evenHBand="0" w:firstRowFirstColumn="0" w:firstRowLastColumn="0" w:lastRowFirstColumn="0" w:lastRowLastColumn="0"/>
            <w:tcW w:w="1425" w:type="dxa"/>
            <w:tcMar>
              <w:right w:w="14" w:type="dxa"/>
            </w:tcMar>
            <w:hideMark/>
          </w:tcPr>
          <w:p w14:paraId="26D1674C" w14:textId="77777777" w:rsidR="006C4F63" w:rsidRPr="000973F2" w:rsidRDefault="006C4F63" w:rsidP="00706B2E">
            <w:pPr>
              <w:spacing w:before="40" w:after="4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Recordkeeping</w:t>
            </w:r>
          </w:p>
        </w:tc>
        <w:tc>
          <w:tcPr>
            <w:tcW w:w="776" w:type="dxa"/>
            <w:noWrap/>
            <w:hideMark/>
          </w:tcPr>
          <w:p w14:paraId="4A74A0F5" w14:textId="77777777" w:rsidR="006C4F63" w:rsidRPr="000973F2" w:rsidRDefault="006C4F63" w:rsidP="00706B2E">
            <w:pPr>
              <w:tabs>
                <w:tab w:val="decimal" w:pos="286"/>
              </w:tabs>
              <w:spacing w:before="40" w:after="4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0</w:t>
            </w:r>
          </w:p>
        </w:tc>
        <w:tc>
          <w:tcPr>
            <w:tcW w:w="776" w:type="dxa"/>
          </w:tcPr>
          <w:p w14:paraId="774FA261" w14:textId="77777777" w:rsidR="006C4F63" w:rsidRPr="000973F2" w:rsidRDefault="006C4F63" w:rsidP="00706B2E">
            <w:pPr>
              <w:spacing w:before="40" w:after="4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0</w:t>
            </w:r>
          </w:p>
        </w:tc>
        <w:tc>
          <w:tcPr>
            <w:tcW w:w="776" w:type="dxa"/>
            <w:noWrap/>
          </w:tcPr>
          <w:p w14:paraId="4515591A" w14:textId="77777777" w:rsidR="006C4F63" w:rsidRPr="000973F2" w:rsidRDefault="006C4F63" w:rsidP="00706B2E">
            <w:pPr>
              <w:tabs>
                <w:tab w:val="decimal" w:pos="316"/>
              </w:tabs>
              <w:spacing w:before="40" w:after="4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1</w:t>
            </w:r>
          </w:p>
        </w:tc>
        <w:tc>
          <w:tcPr>
            <w:tcW w:w="776" w:type="dxa"/>
            <w:noWrap/>
          </w:tcPr>
          <w:p w14:paraId="5F0809A5" w14:textId="77777777" w:rsidR="006C4F63" w:rsidRPr="000973F2" w:rsidRDefault="006C4F63" w:rsidP="00706B2E">
            <w:pPr>
              <w:spacing w:before="40" w:after="4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1</w:t>
            </w:r>
          </w:p>
        </w:tc>
        <w:tc>
          <w:tcPr>
            <w:tcW w:w="776" w:type="dxa"/>
            <w:noWrap/>
          </w:tcPr>
          <w:p w14:paraId="5266D88E" w14:textId="77777777" w:rsidR="006C4F63" w:rsidRPr="000973F2" w:rsidRDefault="006C4F63" w:rsidP="00706B2E">
            <w:pPr>
              <w:tabs>
                <w:tab w:val="decimal" w:pos="376"/>
              </w:tabs>
              <w:spacing w:before="40" w:after="4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13</w:t>
            </w:r>
          </w:p>
        </w:tc>
        <w:tc>
          <w:tcPr>
            <w:tcW w:w="776" w:type="dxa"/>
            <w:noWrap/>
          </w:tcPr>
          <w:p w14:paraId="4E8EA2B7" w14:textId="77777777" w:rsidR="006C4F63" w:rsidRPr="000973F2" w:rsidRDefault="006C4F63" w:rsidP="00706B2E">
            <w:pPr>
              <w:tabs>
                <w:tab w:val="decimal" w:pos="286"/>
              </w:tabs>
              <w:spacing w:before="40" w:after="4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13</w:t>
            </w:r>
          </w:p>
        </w:tc>
        <w:tc>
          <w:tcPr>
            <w:tcW w:w="776" w:type="dxa"/>
            <w:noWrap/>
          </w:tcPr>
          <w:p w14:paraId="51052C3B" w14:textId="77777777" w:rsidR="006C4F63" w:rsidRPr="000973F2" w:rsidRDefault="006C4F63" w:rsidP="00706B2E">
            <w:pPr>
              <w:tabs>
                <w:tab w:val="decimal" w:pos="286"/>
              </w:tabs>
              <w:spacing w:before="40" w:after="4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1</w:t>
            </w:r>
          </w:p>
        </w:tc>
        <w:tc>
          <w:tcPr>
            <w:tcW w:w="777" w:type="dxa"/>
            <w:noWrap/>
          </w:tcPr>
          <w:p w14:paraId="4E7EC6E6" w14:textId="77777777" w:rsidR="006C4F63" w:rsidRPr="000973F2" w:rsidRDefault="006C4F63" w:rsidP="00706B2E">
            <w:pPr>
              <w:tabs>
                <w:tab w:val="decimal" w:pos="286"/>
              </w:tabs>
              <w:spacing w:before="40" w:after="4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1</w:t>
            </w:r>
          </w:p>
        </w:tc>
        <w:tc>
          <w:tcPr>
            <w:tcW w:w="848" w:type="dxa"/>
            <w:noWrap/>
            <w:hideMark/>
          </w:tcPr>
          <w:p w14:paraId="70A13BDF" w14:textId="77777777" w:rsidR="006C4F63" w:rsidRPr="000973F2" w:rsidRDefault="006C4F63" w:rsidP="00706B2E">
            <w:pPr>
              <w:tabs>
                <w:tab w:val="decimal" w:pos="601"/>
              </w:tabs>
              <w:spacing w:before="40" w:after="4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$1,053</w:t>
            </w:r>
          </w:p>
        </w:tc>
        <w:tc>
          <w:tcPr>
            <w:tcW w:w="848" w:type="dxa"/>
            <w:noWrap/>
            <w:hideMark/>
          </w:tcPr>
          <w:p w14:paraId="7482BD70" w14:textId="77777777" w:rsidR="006C4F63" w:rsidRPr="000973F2" w:rsidRDefault="006C4F63" w:rsidP="00706B2E">
            <w:pPr>
              <w:tabs>
                <w:tab w:val="decimal" w:pos="601"/>
              </w:tabs>
              <w:spacing w:before="40" w:after="4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$1,053</w:t>
            </w:r>
          </w:p>
        </w:tc>
      </w:tr>
      <w:tr w:rsidR="00D7694D" w:rsidRPr="000973F2" w14:paraId="4DBC05A8" w14:textId="77777777" w:rsidTr="00B6531F">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1425" w:type="dxa"/>
            <w:tcMar>
              <w:right w:w="14" w:type="dxa"/>
            </w:tcMar>
            <w:hideMark/>
          </w:tcPr>
          <w:p w14:paraId="641986FD" w14:textId="77777777" w:rsidR="006C4F63" w:rsidRPr="000973F2" w:rsidRDefault="006C4F63" w:rsidP="00706B2E">
            <w:pPr>
              <w:spacing w:before="40" w:after="4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Sampling and Analysis (Calculations)</w:t>
            </w:r>
          </w:p>
        </w:tc>
        <w:tc>
          <w:tcPr>
            <w:tcW w:w="776" w:type="dxa"/>
            <w:noWrap/>
            <w:hideMark/>
          </w:tcPr>
          <w:p w14:paraId="425C7293" w14:textId="77777777" w:rsidR="006C4F63" w:rsidRPr="000973F2" w:rsidRDefault="006C4F63" w:rsidP="00706B2E">
            <w:pPr>
              <w:tabs>
                <w:tab w:val="decimal" w:pos="286"/>
              </w:tabs>
              <w:spacing w:before="40" w:after="4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0</w:t>
            </w:r>
          </w:p>
        </w:tc>
        <w:tc>
          <w:tcPr>
            <w:tcW w:w="776" w:type="dxa"/>
          </w:tcPr>
          <w:p w14:paraId="6FA442FF" w14:textId="77777777" w:rsidR="006C4F63" w:rsidRPr="000973F2" w:rsidRDefault="006C4F63" w:rsidP="00706B2E">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0</w:t>
            </w:r>
          </w:p>
        </w:tc>
        <w:tc>
          <w:tcPr>
            <w:tcW w:w="776" w:type="dxa"/>
            <w:noWrap/>
          </w:tcPr>
          <w:p w14:paraId="0BAB296D" w14:textId="77777777" w:rsidR="006C4F63" w:rsidRPr="000973F2" w:rsidRDefault="006C4F63" w:rsidP="00706B2E">
            <w:pPr>
              <w:tabs>
                <w:tab w:val="decimal" w:pos="316"/>
              </w:tabs>
              <w:spacing w:before="40" w:after="4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15</w:t>
            </w:r>
          </w:p>
        </w:tc>
        <w:tc>
          <w:tcPr>
            <w:tcW w:w="776" w:type="dxa"/>
            <w:noWrap/>
          </w:tcPr>
          <w:p w14:paraId="4060E695" w14:textId="77777777" w:rsidR="006C4F63" w:rsidRPr="000973F2" w:rsidRDefault="006C4F63" w:rsidP="00706B2E">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5</w:t>
            </w:r>
          </w:p>
        </w:tc>
        <w:tc>
          <w:tcPr>
            <w:tcW w:w="776" w:type="dxa"/>
            <w:noWrap/>
          </w:tcPr>
          <w:p w14:paraId="607AAD81" w14:textId="77777777" w:rsidR="006C4F63" w:rsidRPr="000973F2" w:rsidRDefault="006C4F63" w:rsidP="00706B2E">
            <w:pPr>
              <w:tabs>
                <w:tab w:val="decimal" w:pos="376"/>
              </w:tabs>
              <w:spacing w:before="40" w:after="4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307</w:t>
            </w:r>
          </w:p>
        </w:tc>
        <w:tc>
          <w:tcPr>
            <w:tcW w:w="776" w:type="dxa"/>
            <w:noWrap/>
          </w:tcPr>
          <w:p w14:paraId="5D5F23B9" w14:textId="77777777" w:rsidR="006C4F63" w:rsidRPr="000973F2" w:rsidRDefault="006C4F63" w:rsidP="00706B2E">
            <w:pPr>
              <w:tabs>
                <w:tab w:val="decimal" w:pos="286"/>
              </w:tabs>
              <w:spacing w:before="40" w:after="4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102</w:t>
            </w:r>
          </w:p>
        </w:tc>
        <w:tc>
          <w:tcPr>
            <w:tcW w:w="776" w:type="dxa"/>
            <w:noWrap/>
          </w:tcPr>
          <w:p w14:paraId="25EA65B2" w14:textId="77777777" w:rsidR="006C4F63" w:rsidRPr="000973F2" w:rsidRDefault="006C4F63" w:rsidP="00706B2E">
            <w:pPr>
              <w:tabs>
                <w:tab w:val="decimal" w:pos="286"/>
              </w:tabs>
              <w:spacing w:before="40" w:after="4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31</w:t>
            </w:r>
          </w:p>
        </w:tc>
        <w:tc>
          <w:tcPr>
            <w:tcW w:w="777" w:type="dxa"/>
            <w:noWrap/>
          </w:tcPr>
          <w:p w14:paraId="2C4C3050" w14:textId="77777777" w:rsidR="006C4F63" w:rsidRPr="000973F2" w:rsidRDefault="006C4F63" w:rsidP="00706B2E">
            <w:pPr>
              <w:tabs>
                <w:tab w:val="decimal" w:pos="286"/>
              </w:tabs>
              <w:spacing w:before="40" w:after="4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10</w:t>
            </w:r>
          </w:p>
        </w:tc>
        <w:tc>
          <w:tcPr>
            <w:tcW w:w="848" w:type="dxa"/>
            <w:noWrap/>
            <w:hideMark/>
          </w:tcPr>
          <w:p w14:paraId="01E62DF4" w14:textId="77777777" w:rsidR="006C4F63" w:rsidRPr="000973F2" w:rsidRDefault="006C4F63" w:rsidP="00706B2E">
            <w:pPr>
              <w:tabs>
                <w:tab w:val="decimal" w:pos="601"/>
              </w:tabs>
              <w:spacing w:before="40" w:after="4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$24,407</w:t>
            </w:r>
          </w:p>
        </w:tc>
        <w:tc>
          <w:tcPr>
            <w:tcW w:w="848" w:type="dxa"/>
            <w:noWrap/>
            <w:hideMark/>
          </w:tcPr>
          <w:p w14:paraId="767DA8A7" w14:textId="77777777" w:rsidR="006C4F63" w:rsidRPr="000973F2" w:rsidRDefault="006C4F63" w:rsidP="00706B2E">
            <w:pPr>
              <w:tabs>
                <w:tab w:val="decimal" w:pos="601"/>
              </w:tabs>
              <w:spacing w:before="40" w:after="4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$8,136</w:t>
            </w:r>
          </w:p>
        </w:tc>
      </w:tr>
      <w:tr w:rsidR="006C4F63" w:rsidRPr="000973F2" w14:paraId="32F76AC5" w14:textId="77777777" w:rsidTr="00B6531F">
        <w:trPr>
          <w:cantSplit/>
        </w:trPr>
        <w:tc>
          <w:tcPr>
            <w:cnfStyle w:val="001000000000" w:firstRow="0" w:lastRow="0" w:firstColumn="1" w:lastColumn="0" w:oddVBand="0" w:evenVBand="0" w:oddHBand="0" w:evenHBand="0" w:firstRowFirstColumn="0" w:firstRowLastColumn="0" w:lastRowFirstColumn="0" w:lastRowLastColumn="0"/>
            <w:tcW w:w="1425" w:type="dxa"/>
            <w:tcMar>
              <w:right w:w="14" w:type="dxa"/>
            </w:tcMar>
            <w:hideMark/>
          </w:tcPr>
          <w:p w14:paraId="4131D9AB" w14:textId="77777777" w:rsidR="006C4F63" w:rsidRPr="000973F2" w:rsidRDefault="006C4F63" w:rsidP="00706B2E">
            <w:pPr>
              <w:spacing w:before="40" w:after="4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Reporting</w:t>
            </w:r>
          </w:p>
        </w:tc>
        <w:tc>
          <w:tcPr>
            <w:tcW w:w="776" w:type="dxa"/>
            <w:noWrap/>
            <w:hideMark/>
          </w:tcPr>
          <w:p w14:paraId="30785495" w14:textId="77777777" w:rsidR="006C4F63" w:rsidRPr="000973F2" w:rsidRDefault="006C4F63" w:rsidP="00706B2E">
            <w:pPr>
              <w:tabs>
                <w:tab w:val="decimal" w:pos="286"/>
              </w:tabs>
              <w:spacing w:before="40" w:after="4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0</w:t>
            </w:r>
          </w:p>
        </w:tc>
        <w:tc>
          <w:tcPr>
            <w:tcW w:w="776" w:type="dxa"/>
          </w:tcPr>
          <w:p w14:paraId="13519B58" w14:textId="77777777" w:rsidR="006C4F63" w:rsidRPr="000973F2" w:rsidRDefault="006C4F63" w:rsidP="00706B2E">
            <w:pPr>
              <w:spacing w:before="40" w:after="4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0</w:t>
            </w:r>
          </w:p>
        </w:tc>
        <w:tc>
          <w:tcPr>
            <w:tcW w:w="776" w:type="dxa"/>
            <w:noWrap/>
          </w:tcPr>
          <w:p w14:paraId="3CC12FD3" w14:textId="77777777" w:rsidR="006C4F63" w:rsidRPr="000973F2" w:rsidRDefault="006C4F63" w:rsidP="00706B2E">
            <w:pPr>
              <w:tabs>
                <w:tab w:val="decimal" w:pos="316"/>
              </w:tabs>
              <w:spacing w:before="40" w:after="4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2</w:t>
            </w:r>
          </w:p>
        </w:tc>
        <w:tc>
          <w:tcPr>
            <w:tcW w:w="776" w:type="dxa"/>
            <w:noWrap/>
          </w:tcPr>
          <w:p w14:paraId="5A54759C" w14:textId="77777777" w:rsidR="006C4F63" w:rsidRPr="000973F2" w:rsidRDefault="006C4F63" w:rsidP="00706B2E">
            <w:pPr>
              <w:spacing w:before="40" w:after="4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2</w:t>
            </w:r>
          </w:p>
        </w:tc>
        <w:tc>
          <w:tcPr>
            <w:tcW w:w="776" w:type="dxa"/>
            <w:noWrap/>
          </w:tcPr>
          <w:p w14:paraId="7530D835" w14:textId="77777777" w:rsidR="006C4F63" w:rsidRPr="000973F2" w:rsidRDefault="006C4F63" w:rsidP="00706B2E">
            <w:pPr>
              <w:tabs>
                <w:tab w:val="decimal" w:pos="376"/>
              </w:tabs>
              <w:spacing w:before="40" w:after="4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26</w:t>
            </w:r>
          </w:p>
        </w:tc>
        <w:tc>
          <w:tcPr>
            <w:tcW w:w="776" w:type="dxa"/>
            <w:noWrap/>
          </w:tcPr>
          <w:p w14:paraId="6DE350BA" w14:textId="77777777" w:rsidR="006C4F63" w:rsidRPr="000973F2" w:rsidRDefault="006C4F63" w:rsidP="00706B2E">
            <w:pPr>
              <w:tabs>
                <w:tab w:val="decimal" w:pos="286"/>
              </w:tabs>
              <w:spacing w:before="40" w:after="4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26</w:t>
            </w:r>
          </w:p>
        </w:tc>
        <w:tc>
          <w:tcPr>
            <w:tcW w:w="776" w:type="dxa"/>
            <w:noWrap/>
          </w:tcPr>
          <w:p w14:paraId="449CE9EE" w14:textId="77777777" w:rsidR="006C4F63" w:rsidRPr="000973F2" w:rsidRDefault="006C4F63" w:rsidP="00706B2E">
            <w:pPr>
              <w:tabs>
                <w:tab w:val="decimal" w:pos="286"/>
              </w:tabs>
              <w:spacing w:before="40" w:after="4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2</w:t>
            </w:r>
          </w:p>
        </w:tc>
        <w:tc>
          <w:tcPr>
            <w:tcW w:w="777" w:type="dxa"/>
            <w:noWrap/>
          </w:tcPr>
          <w:p w14:paraId="52C71AC3" w14:textId="77777777" w:rsidR="006C4F63" w:rsidRPr="000973F2" w:rsidRDefault="006C4F63" w:rsidP="00706B2E">
            <w:pPr>
              <w:tabs>
                <w:tab w:val="decimal" w:pos="286"/>
              </w:tabs>
              <w:spacing w:before="40" w:after="4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2</w:t>
            </w:r>
          </w:p>
        </w:tc>
        <w:tc>
          <w:tcPr>
            <w:tcW w:w="848" w:type="dxa"/>
            <w:noWrap/>
            <w:hideMark/>
          </w:tcPr>
          <w:p w14:paraId="3B5A99BC" w14:textId="77777777" w:rsidR="006C4F63" w:rsidRPr="000973F2" w:rsidRDefault="006C4F63" w:rsidP="00706B2E">
            <w:pPr>
              <w:tabs>
                <w:tab w:val="decimal" w:pos="601"/>
              </w:tabs>
              <w:spacing w:before="40" w:after="4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$2,105</w:t>
            </w:r>
          </w:p>
        </w:tc>
        <w:tc>
          <w:tcPr>
            <w:tcW w:w="848" w:type="dxa"/>
            <w:noWrap/>
            <w:hideMark/>
          </w:tcPr>
          <w:p w14:paraId="1DC8948B" w14:textId="77777777" w:rsidR="006C4F63" w:rsidRPr="000973F2" w:rsidRDefault="006C4F63" w:rsidP="00706B2E">
            <w:pPr>
              <w:tabs>
                <w:tab w:val="decimal" w:pos="601"/>
              </w:tabs>
              <w:spacing w:before="40" w:after="4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$2,105</w:t>
            </w:r>
          </w:p>
        </w:tc>
      </w:tr>
      <w:tr w:rsidR="00D7694D" w:rsidRPr="000973F2" w14:paraId="16CA46A5" w14:textId="77777777" w:rsidTr="00B6531F">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1425" w:type="dxa"/>
            <w:noWrap/>
            <w:tcMar>
              <w:right w:w="14" w:type="dxa"/>
            </w:tcMar>
            <w:hideMark/>
          </w:tcPr>
          <w:p w14:paraId="58C7CBFA" w14:textId="77777777" w:rsidR="006C4F63" w:rsidRPr="000973F2" w:rsidRDefault="006C4F63" w:rsidP="00706B2E">
            <w:pPr>
              <w:spacing w:before="40" w:after="40"/>
              <w:rPr>
                <w:rFonts w:ascii="Times New Roman" w:eastAsia="Times New Roman" w:hAnsi="Times New Roman" w:cs="Times New Roman"/>
                <w:b/>
                <w:bCs w:val="0"/>
                <w:sz w:val="18"/>
                <w:szCs w:val="18"/>
              </w:rPr>
            </w:pPr>
            <w:r w:rsidRPr="000973F2">
              <w:rPr>
                <w:rFonts w:ascii="Times New Roman" w:eastAsia="Times New Roman" w:hAnsi="Times New Roman" w:cs="Times New Roman"/>
                <w:b/>
                <w:sz w:val="18"/>
                <w:szCs w:val="18"/>
              </w:rPr>
              <w:t>Total</w:t>
            </w:r>
          </w:p>
        </w:tc>
        <w:tc>
          <w:tcPr>
            <w:tcW w:w="776" w:type="dxa"/>
            <w:noWrap/>
            <w:hideMark/>
          </w:tcPr>
          <w:p w14:paraId="03E90972" w14:textId="77777777" w:rsidR="006C4F63" w:rsidRPr="000973F2" w:rsidRDefault="006C4F63" w:rsidP="00706B2E">
            <w:pPr>
              <w:tabs>
                <w:tab w:val="decimal" w:pos="286"/>
              </w:tabs>
              <w:spacing w:before="40" w:after="4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18"/>
                <w:szCs w:val="18"/>
              </w:rPr>
            </w:pPr>
            <w:r w:rsidRPr="000973F2">
              <w:rPr>
                <w:rFonts w:ascii="Times New Roman" w:eastAsia="Times New Roman" w:hAnsi="Times New Roman" w:cs="Times New Roman"/>
                <w:b/>
                <w:bCs/>
                <w:sz w:val="18"/>
                <w:szCs w:val="18"/>
              </w:rPr>
              <w:t>16</w:t>
            </w:r>
          </w:p>
        </w:tc>
        <w:tc>
          <w:tcPr>
            <w:tcW w:w="776" w:type="dxa"/>
          </w:tcPr>
          <w:p w14:paraId="1E1C02CE" w14:textId="77777777" w:rsidR="006C4F63" w:rsidRPr="000973F2" w:rsidRDefault="006C4F63" w:rsidP="00706B2E">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18"/>
                <w:szCs w:val="18"/>
              </w:rPr>
            </w:pPr>
            <w:r w:rsidRPr="000973F2">
              <w:rPr>
                <w:rFonts w:ascii="Times New Roman" w:eastAsia="Times New Roman" w:hAnsi="Times New Roman" w:cs="Times New Roman"/>
                <w:b/>
                <w:bCs/>
                <w:sz w:val="18"/>
                <w:szCs w:val="18"/>
              </w:rPr>
              <w:t>2</w:t>
            </w:r>
          </w:p>
        </w:tc>
        <w:tc>
          <w:tcPr>
            <w:tcW w:w="776" w:type="dxa"/>
            <w:noWrap/>
          </w:tcPr>
          <w:p w14:paraId="33A448A4" w14:textId="77777777" w:rsidR="006C4F63" w:rsidRPr="000973F2" w:rsidRDefault="006C4F63" w:rsidP="00706B2E">
            <w:pPr>
              <w:tabs>
                <w:tab w:val="decimal" w:pos="316"/>
              </w:tabs>
              <w:spacing w:before="40" w:after="4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18"/>
                <w:szCs w:val="18"/>
              </w:rPr>
            </w:pPr>
            <w:r w:rsidRPr="000973F2">
              <w:rPr>
                <w:rFonts w:ascii="Times New Roman" w:eastAsia="Times New Roman" w:hAnsi="Times New Roman" w:cs="Times New Roman"/>
                <w:b/>
                <w:bCs/>
                <w:sz w:val="18"/>
                <w:szCs w:val="18"/>
              </w:rPr>
              <w:t>22</w:t>
            </w:r>
          </w:p>
        </w:tc>
        <w:tc>
          <w:tcPr>
            <w:tcW w:w="776" w:type="dxa"/>
            <w:noWrap/>
          </w:tcPr>
          <w:p w14:paraId="40839112" w14:textId="77777777" w:rsidR="006C4F63" w:rsidRPr="000973F2" w:rsidRDefault="006C4F63" w:rsidP="00706B2E">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18"/>
                <w:szCs w:val="18"/>
              </w:rPr>
            </w:pPr>
            <w:r w:rsidRPr="000973F2">
              <w:rPr>
                <w:rFonts w:ascii="Times New Roman" w:eastAsia="Times New Roman" w:hAnsi="Times New Roman" w:cs="Times New Roman"/>
                <w:b/>
                <w:bCs/>
                <w:sz w:val="18"/>
                <w:szCs w:val="18"/>
              </w:rPr>
              <w:t>9</w:t>
            </w:r>
          </w:p>
        </w:tc>
        <w:tc>
          <w:tcPr>
            <w:tcW w:w="776" w:type="dxa"/>
            <w:noWrap/>
          </w:tcPr>
          <w:p w14:paraId="1261430C" w14:textId="77777777" w:rsidR="006C4F63" w:rsidRPr="000973F2" w:rsidRDefault="006C4F63" w:rsidP="00706B2E">
            <w:pPr>
              <w:tabs>
                <w:tab w:val="decimal" w:pos="376"/>
              </w:tabs>
              <w:spacing w:before="40" w:after="4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18"/>
                <w:szCs w:val="18"/>
              </w:rPr>
            </w:pPr>
            <w:r w:rsidRPr="000973F2">
              <w:rPr>
                <w:rFonts w:ascii="Times New Roman" w:eastAsia="Times New Roman" w:hAnsi="Times New Roman" w:cs="Times New Roman"/>
                <w:b/>
                <w:bCs/>
                <w:sz w:val="18"/>
                <w:szCs w:val="18"/>
              </w:rPr>
              <w:t>415</w:t>
            </w:r>
          </w:p>
        </w:tc>
        <w:tc>
          <w:tcPr>
            <w:tcW w:w="776" w:type="dxa"/>
            <w:noWrap/>
          </w:tcPr>
          <w:p w14:paraId="3855DF3A" w14:textId="77777777" w:rsidR="006C4F63" w:rsidRPr="000973F2" w:rsidRDefault="006C4F63" w:rsidP="00706B2E">
            <w:pPr>
              <w:tabs>
                <w:tab w:val="decimal" w:pos="286"/>
              </w:tabs>
              <w:spacing w:before="40" w:after="4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18"/>
                <w:szCs w:val="18"/>
              </w:rPr>
            </w:pPr>
            <w:r w:rsidRPr="000973F2">
              <w:rPr>
                <w:rFonts w:ascii="Times New Roman" w:eastAsia="Times New Roman" w:hAnsi="Times New Roman" w:cs="Times New Roman"/>
                <w:b/>
                <w:bCs/>
                <w:sz w:val="18"/>
                <w:szCs w:val="18"/>
              </w:rPr>
              <w:t>164</w:t>
            </w:r>
          </w:p>
        </w:tc>
        <w:tc>
          <w:tcPr>
            <w:tcW w:w="776" w:type="dxa"/>
            <w:noWrap/>
          </w:tcPr>
          <w:p w14:paraId="516192EE" w14:textId="77777777" w:rsidR="006C4F63" w:rsidRPr="000973F2" w:rsidRDefault="006C4F63" w:rsidP="00706B2E">
            <w:pPr>
              <w:tabs>
                <w:tab w:val="decimal" w:pos="286"/>
              </w:tabs>
              <w:spacing w:before="40" w:after="4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18"/>
                <w:szCs w:val="18"/>
              </w:rPr>
            </w:pPr>
            <w:r w:rsidRPr="000973F2">
              <w:rPr>
                <w:rFonts w:ascii="Times New Roman" w:eastAsia="Times New Roman" w:hAnsi="Times New Roman" w:cs="Times New Roman"/>
                <w:b/>
                <w:bCs/>
                <w:sz w:val="18"/>
                <w:szCs w:val="18"/>
              </w:rPr>
              <w:t>41</w:t>
            </w:r>
          </w:p>
        </w:tc>
        <w:tc>
          <w:tcPr>
            <w:tcW w:w="777" w:type="dxa"/>
            <w:noWrap/>
          </w:tcPr>
          <w:p w14:paraId="274E8CA7" w14:textId="77777777" w:rsidR="006C4F63" w:rsidRPr="000973F2" w:rsidRDefault="006C4F63" w:rsidP="00706B2E">
            <w:pPr>
              <w:tabs>
                <w:tab w:val="decimal" w:pos="286"/>
              </w:tabs>
              <w:spacing w:before="40" w:after="4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18"/>
                <w:szCs w:val="18"/>
              </w:rPr>
            </w:pPr>
            <w:r w:rsidRPr="000973F2">
              <w:rPr>
                <w:rFonts w:ascii="Times New Roman" w:eastAsia="Times New Roman" w:hAnsi="Times New Roman" w:cs="Times New Roman"/>
                <w:b/>
                <w:bCs/>
                <w:sz w:val="18"/>
                <w:szCs w:val="18"/>
              </w:rPr>
              <w:t>16</w:t>
            </w:r>
          </w:p>
        </w:tc>
        <w:tc>
          <w:tcPr>
            <w:tcW w:w="848" w:type="dxa"/>
            <w:noWrap/>
            <w:hideMark/>
          </w:tcPr>
          <w:p w14:paraId="0B76B47E" w14:textId="77777777" w:rsidR="006C4F63" w:rsidRPr="000973F2" w:rsidRDefault="006C4F63" w:rsidP="00706B2E">
            <w:pPr>
              <w:tabs>
                <w:tab w:val="decimal" w:pos="601"/>
              </w:tabs>
              <w:spacing w:before="40" w:after="4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18"/>
                <w:szCs w:val="18"/>
              </w:rPr>
            </w:pPr>
            <w:r w:rsidRPr="000973F2">
              <w:rPr>
                <w:rFonts w:ascii="Times New Roman" w:eastAsia="Times New Roman" w:hAnsi="Times New Roman" w:cs="Times New Roman"/>
                <w:b/>
                <w:bCs/>
                <w:sz w:val="18"/>
                <w:szCs w:val="18"/>
              </w:rPr>
              <w:t>$34,795</w:t>
            </w:r>
          </w:p>
        </w:tc>
        <w:tc>
          <w:tcPr>
            <w:tcW w:w="848" w:type="dxa"/>
            <w:noWrap/>
            <w:hideMark/>
          </w:tcPr>
          <w:p w14:paraId="63F706BC" w14:textId="77777777" w:rsidR="006C4F63" w:rsidRPr="000973F2" w:rsidRDefault="006C4F63" w:rsidP="00706B2E">
            <w:pPr>
              <w:tabs>
                <w:tab w:val="decimal" w:pos="601"/>
              </w:tabs>
              <w:spacing w:before="40" w:after="4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18"/>
                <w:szCs w:val="18"/>
              </w:rPr>
            </w:pPr>
            <w:r w:rsidRPr="000973F2">
              <w:rPr>
                <w:rFonts w:ascii="Times New Roman" w:eastAsia="Times New Roman" w:hAnsi="Times New Roman" w:cs="Times New Roman"/>
                <w:b/>
                <w:bCs/>
                <w:sz w:val="18"/>
                <w:szCs w:val="18"/>
              </w:rPr>
              <w:t>$13,329</w:t>
            </w:r>
          </w:p>
        </w:tc>
      </w:tr>
    </w:tbl>
    <w:p w14:paraId="7E227E58" w14:textId="4F9FD373" w:rsidR="006C4F63" w:rsidRPr="000973F2" w:rsidRDefault="006E21DB" w:rsidP="0061585D">
      <w:pPr>
        <w:pStyle w:val="Heading2"/>
      </w:pPr>
      <w:r w:rsidRPr="000973F2">
        <w:br w:type="page"/>
      </w:r>
      <w:r w:rsidR="006C4F63" w:rsidRPr="000973F2">
        <w:t xml:space="preserve">Capital and O&amp;M Costs for Subpart X – Optional Combustion Methodology §98.243(d)(1) </w:t>
      </w:r>
    </w:p>
    <w:p w14:paraId="0C55FA5F" w14:textId="3C20EB27" w:rsidR="006C4F63" w:rsidRPr="000973F2" w:rsidRDefault="006C4F63" w:rsidP="00706B2E">
      <w:pPr>
        <w:pStyle w:val="BodyText"/>
      </w:pPr>
      <w:r w:rsidRPr="000973F2">
        <w:t xml:space="preserve">The optional combustion methodology in Subpart X requires use of measurement methods for stationary combustion units and flares that are already in use at the facility and provide simpler, default methods when measurement data are not available (e.g., for flare gas flow). We expect existing facilities will either already have all equipment needed to comply with the rule, or that they </w:t>
      </w:r>
      <w:r w:rsidR="0023201B" w:rsidRPr="000973F2">
        <w:t xml:space="preserve">will </w:t>
      </w:r>
      <w:r w:rsidRPr="000973F2">
        <w:t>contract for analytical services. Similarly, for new facilities, we expect that either the monitoring equipment needed for process control and other regulatory compliance purposes would meet the requirements for monitoring equipment in Subpart X, or the facility will contract for analytical services. Thus, no additional capital costs will be incurred by either existing or new facilities to comply with this methodology.</w:t>
      </w:r>
    </w:p>
    <w:p w14:paraId="5972C07D" w14:textId="49D6BE5C" w:rsidR="006C4F63" w:rsidRPr="000973F2" w:rsidRDefault="006C4F63" w:rsidP="00706B2E">
      <w:pPr>
        <w:pStyle w:val="BodyText"/>
      </w:pPr>
      <w:r w:rsidRPr="000973F2">
        <w:t xml:space="preserve">Table </w:t>
      </w:r>
      <w:r w:rsidR="00706B2E" w:rsidRPr="000973F2">
        <w:t>X-</w:t>
      </w:r>
      <w:r w:rsidRPr="000973F2">
        <w:t>2a summarizes the O&amp;M costs for the optional combustion methodology in §98.243(d)(1). These costs consist of the fee charged by an offsite lab to conduct carbon content analyses, the cost to ship the collected samples to the lab, and costs to store records of the carbon content values and other monitoring data. As discussed for labor costs above, facilities may conduct hourly, daily, or weekly sampling. Carbon content analyses at an offsite lab are required only for the 46 percent of facilities that conduct weekly sampling because no lab analyses are required when hourly and daily sampling is conducted automatically via continuous, on-line equipment. Based on analytical price lists, we estimated that costs of shipping and analyzing a gaseous fuel sample for carbon content would be $195</w:t>
      </w:r>
      <w:r w:rsidRPr="000973F2">
        <w:rPr>
          <w:rStyle w:val="FootnoteReference"/>
        </w:rPr>
        <w:footnoteReference w:id="7"/>
      </w:r>
      <w:r w:rsidRPr="000973F2">
        <w:t>. The average annual cost per facility is estimated by using the $195 per week analytical price times 52 weeks per year times 46 percent (i.e., the percentage of facilities reporting weekly sampling under the §98.243(d)(1) methodology). All facilities using the optional combustion methodology are expected to incur O&amp;M costs associated with recordkeeping as discussed in the Cost Appendix Introduction.</w:t>
      </w:r>
    </w:p>
    <w:p w14:paraId="224F5B2C" w14:textId="7CEE8415" w:rsidR="006C4F63" w:rsidRPr="000973F2" w:rsidRDefault="006E21DB" w:rsidP="00706B2E">
      <w:pPr>
        <w:pStyle w:val="Tabletitle"/>
      </w:pPr>
      <w:r w:rsidRPr="000973F2">
        <w:t xml:space="preserve">Table </w:t>
      </w:r>
      <w:r w:rsidR="00706B2E" w:rsidRPr="000973F2">
        <w:t>X-</w:t>
      </w:r>
      <w:r w:rsidRPr="000973F2">
        <w:t xml:space="preserve">2a. Capital and O&amp;M Costs – Subpart X </w:t>
      </w:r>
      <w:r w:rsidR="00B960CC" w:rsidRPr="000973F2">
        <w:t>–</w:t>
      </w:r>
      <w:r w:rsidRPr="000973F2">
        <w:t xml:space="preserve"> Optional Combustion Methodology §98.243(d)(1)</w:t>
      </w:r>
    </w:p>
    <w:tbl>
      <w:tblPr>
        <w:tblStyle w:val="PlainTable1"/>
        <w:tblW w:w="5000" w:type="pct"/>
        <w:tblLayout w:type="fixed"/>
        <w:tblLook w:val="04A0" w:firstRow="1" w:lastRow="0" w:firstColumn="1" w:lastColumn="0" w:noHBand="0" w:noVBand="1"/>
      </w:tblPr>
      <w:tblGrid>
        <w:gridCol w:w="2662"/>
        <w:gridCol w:w="1152"/>
        <w:gridCol w:w="1153"/>
        <w:gridCol w:w="1152"/>
        <w:gridCol w:w="1163"/>
        <w:gridCol w:w="1141"/>
        <w:gridCol w:w="1153"/>
      </w:tblGrid>
      <w:tr w:rsidR="00D17312" w:rsidRPr="000973F2" w14:paraId="407DA7B3" w14:textId="77777777" w:rsidTr="00B6531F">
        <w:trPr>
          <w:cnfStyle w:val="100000000000" w:firstRow="1" w:lastRow="0" w:firstColumn="0" w:lastColumn="0" w:oddVBand="0" w:evenVBand="0" w:oddHBand="0"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2595" w:type="dxa"/>
            <w:vMerge w:val="restart"/>
            <w:noWrap/>
            <w:hideMark/>
          </w:tcPr>
          <w:p w14:paraId="44A0A5DE" w14:textId="1082D52A" w:rsidR="00D17312" w:rsidRPr="000973F2" w:rsidRDefault="00D17312" w:rsidP="00706B2E">
            <w:pPr>
              <w:spacing w:before="40" w:after="40"/>
              <w:rPr>
                <w:rFonts w:ascii="Times New Roman" w:eastAsia="Times New Roman" w:hAnsi="Times New Roman" w:cs="Times New Roman"/>
                <w:b w:val="0"/>
                <w:bCs w:val="0"/>
                <w:sz w:val="18"/>
                <w:szCs w:val="18"/>
              </w:rPr>
            </w:pPr>
            <w:r w:rsidRPr="000973F2">
              <w:rPr>
                <w:rFonts w:ascii="Times New Roman" w:eastAsia="Times New Roman" w:hAnsi="Times New Roman" w:cs="Times New Roman"/>
                <w:sz w:val="18"/>
                <w:szCs w:val="18"/>
              </w:rPr>
              <w:t>Activity</w:t>
            </w:r>
          </w:p>
        </w:tc>
        <w:tc>
          <w:tcPr>
            <w:tcW w:w="4500" w:type="dxa"/>
            <w:gridSpan w:val="4"/>
            <w:noWrap/>
            <w:hideMark/>
          </w:tcPr>
          <w:p w14:paraId="62081E19" w14:textId="77777777" w:rsidR="00D17312" w:rsidRPr="000973F2" w:rsidRDefault="00D17312" w:rsidP="00706B2E">
            <w:pPr>
              <w:spacing w:before="40" w:after="40"/>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bCs w:val="0"/>
                <w:sz w:val="18"/>
                <w:szCs w:val="18"/>
              </w:rPr>
            </w:pPr>
            <w:r w:rsidRPr="000973F2">
              <w:rPr>
                <w:rFonts w:ascii="Times New Roman" w:eastAsia="Times New Roman" w:hAnsi="Times New Roman" w:cs="Times New Roman"/>
                <w:sz w:val="18"/>
                <w:szCs w:val="18"/>
              </w:rPr>
              <w:t>Cost Categories</w:t>
            </w:r>
          </w:p>
        </w:tc>
        <w:tc>
          <w:tcPr>
            <w:tcW w:w="2235" w:type="dxa"/>
            <w:gridSpan w:val="2"/>
            <w:hideMark/>
          </w:tcPr>
          <w:p w14:paraId="6C7786DC" w14:textId="77777777" w:rsidR="00D17312" w:rsidRPr="000973F2" w:rsidRDefault="00D17312" w:rsidP="00706B2E">
            <w:pPr>
              <w:spacing w:before="40" w:after="40"/>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bCs w:val="0"/>
                <w:sz w:val="18"/>
                <w:szCs w:val="18"/>
              </w:rPr>
            </w:pPr>
            <w:r w:rsidRPr="000973F2">
              <w:rPr>
                <w:rFonts w:ascii="Times New Roman" w:eastAsia="Times New Roman" w:hAnsi="Times New Roman" w:cs="Times New Roman"/>
                <w:sz w:val="18"/>
                <w:szCs w:val="18"/>
              </w:rPr>
              <w:t>Total Capital and O&amp;M Cost per Year per Facility (2017$)</w:t>
            </w:r>
          </w:p>
        </w:tc>
      </w:tr>
      <w:tr w:rsidR="00D7694D" w:rsidRPr="000973F2" w14:paraId="21FA1861" w14:textId="77777777" w:rsidTr="00B6531F">
        <w:tblPrEx>
          <w:jc w:val="left"/>
        </w:tblPrEx>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2595" w:type="dxa"/>
            <w:vMerge/>
            <w:noWrap/>
            <w:hideMark/>
          </w:tcPr>
          <w:p w14:paraId="2F974895" w14:textId="75A0F776" w:rsidR="00D17312" w:rsidRPr="000973F2" w:rsidRDefault="00D17312" w:rsidP="00706B2E">
            <w:pPr>
              <w:spacing w:before="40" w:after="40"/>
              <w:jc w:val="center"/>
              <w:rPr>
                <w:rFonts w:ascii="Times New Roman" w:eastAsia="Times New Roman" w:hAnsi="Times New Roman" w:cs="Times New Roman"/>
                <w:b/>
                <w:bCs w:val="0"/>
                <w:sz w:val="18"/>
                <w:szCs w:val="18"/>
              </w:rPr>
            </w:pPr>
          </w:p>
        </w:tc>
        <w:tc>
          <w:tcPr>
            <w:tcW w:w="1122" w:type="dxa"/>
            <w:tcMar>
              <w:left w:w="14" w:type="dxa"/>
              <w:right w:w="14" w:type="dxa"/>
            </w:tcMar>
            <w:hideMark/>
          </w:tcPr>
          <w:p w14:paraId="59C84BB4" w14:textId="77777777" w:rsidR="00D17312" w:rsidRPr="000973F2" w:rsidRDefault="00D17312" w:rsidP="00706B2E">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18"/>
                <w:szCs w:val="18"/>
              </w:rPr>
            </w:pPr>
            <w:r w:rsidRPr="000973F2">
              <w:rPr>
                <w:rFonts w:ascii="Times New Roman" w:eastAsia="Times New Roman" w:hAnsi="Times New Roman" w:cs="Times New Roman"/>
                <w:b/>
                <w:bCs/>
                <w:sz w:val="18"/>
                <w:szCs w:val="18"/>
              </w:rPr>
              <w:t>Capital Cost (2017$)</w:t>
            </w:r>
          </w:p>
        </w:tc>
        <w:tc>
          <w:tcPr>
            <w:tcW w:w="1123" w:type="dxa"/>
            <w:tcMar>
              <w:left w:w="14" w:type="dxa"/>
              <w:right w:w="14" w:type="dxa"/>
            </w:tcMar>
            <w:hideMark/>
          </w:tcPr>
          <w:p w14:paraId="740D0E7B" w14:textId="77777777" w:rsidR="00D17312" w:rsidRPr="000973F2" w:rsidRDefault="00D17312" w:rsidP="00706B2E">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18"/>
                <w:szCs w:val="18"/>
              </w:rPr>
            </w:pPr>
            <w:r w:rsidRPr="000973F2">
              <w:rPr>
                <w:rFonts w:ascii="Times New Roman" w:eastAsia="Times New Roman" w:hAnsi="Times New Roman" w:cs="Times New Roman"/>
                <w:b/>
                <w:bCs/>
                <w:sz w:val="18"/>
                <w:szCs w:val="18"/>
              </w:rPr>
              <w:t>Equipment Lifetime</w:t>
            </w:r>
          </w:p>
        </w:tc>
        <w:tc>
          <w:tcPr>
            <w:tcW w:w="1122" w:type="dxa"/>
            <w:tcMar>
              <w:left w:w="14" w:type="dxa"/>
              <w:right w:w="14" w:type="dxa"/>
            </w:tcMar>
            <w:hideMark/>
          </w:tcPr>
          <w:p w14:paraId="33F17993" w14:textId="77777777" w:rsidR="00D17312" w:rsidRPr="000973F2" w:rsidRDefault="00D17312" w:rsidP="00706B2E">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18"/>
                <w:szCs w:val="18"/>
              </w:rPr>
            </w:pPr>
            <w:r w:rsidRPr="000973F2">
              <w:rPr>
                <w:rFonts w:ascii="Times New Roman" w:eastAsia="Times New Roman" w:hAnsi="Times New Roman" w:cs="Times New Roman"/>
                <w:b/>
                <w:bCs/>
                <w:sz w:val="18"/>
                <w:szCs w:val="18"/>
              </w:rPr>
              <w:t>Annualized Capital Cost (2017$/year)</w:t>
            </w:r>
          </w:p>
        </w:tc>
        <w:tc>
          <w:tcPr>
            <w:tcW w:w="1133" w:type="dxa"/>
            <w:tcMar>
              <w:left w:w="14" w:type="dxa"/>
              <w:right w:w="14" w:type="dxa"/>
            </w:tcMar>
            <w:hideMark/>
          </w:tcPr>
          <w:p w14:paraId="51D1BDAA" w14:textId="77777777" w:rsidR="00D17312" w:rsidRPr="000973F2" w:rsidRDefault="00D17312" w:rsidP="00706B2E">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18"/>
                <w:szCs w:val="18"/>
              </w:rPr>
            </w:pPr>
            <w:r w:rsidRPr="000973F2">
              <w:rPr>
                <w:rFonts w:ascii="Times New Roman" w:eastAsia="Times New Roman" w:hAnsi="Times New Roman" w:cs="Times New Roman"/>
                <w:b/>
                <w:bCs/>
                <w:sz w:val="18"/>
                <w:szCs w:val="18"/>
              </w:rPr>
              <w:t>O&amp;M Costs (2017$/year)</w:t>
            </w:r>
          </w:p>
        </w:tc>
        <w:tc>
          <w:tcPr>
            <w:tcW w:w="1112" w:type="dxa"/>
            <w:tcMar>
              <w:left w:w="115" w:type="dxa"/>
              <w:right w:w="115" w:type="dxa"/>
            </w:tcMar>
            <w:hideMark/>
          </w:tcPr>
          <w:p w14:paraId="7666049C" w14:textId="77777777" w:rsidR="00D17312" w:rsidRPr="000973F2" w:rsidRDefault="00D17312" w:rsidP="00706B2E">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18"/>
                <w:szCs w:val="18"/>
              </w:rPr>
            </w:pPr>
            <w:r w:rsidRPr="000973F2">
              <w:rPr>
                <w:rFonts w:ascii="Times New Roman" w:eastAsia="Times New Roman" w:hAnsi="Times New Roman" w:cs="Times New Roman"/>
                <w:b/>
                <w:bCs/>
                <w:sz w:val="18"/>
                <w:szCs w:val="18"/>
              </w:rPr>
              <w:t>Initial Year</w:t>
            </w:r>
          </w:p>
        </w:tc>
        <w:tc>
          <w:tcPr>
            <w:tcW w:w="1123" w:type="dxa"/>
            <w:tcMar>
              <w:left w:w="115" w:type="dxa"/>
              <w:right w:w="115" w:type="dxa"/>
            </w:tcMar>
            <w:hideMark/>
          </w:tcPr>
          <w:p w14:paraId="42CBDD6B" w14:textId="77777777" w:rsidR="00D17312" w:rsidRPr="000973F2" w:rsidRDefault="00D17312" w:rsidP="00706B2E">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18"/>
                <w:szCs w:val="18"/>
              </w:rPr>
            </w:pPr>
            <w:r w:rsidRPr="000973F2">
              <w:rPr>
                <w:rFonts w:ascii="Times New Roman" w:eastAsia="Times New Roman" w:hAnsi="Times New Roman" w:cs="Times New Roman"/>
                <w:b/>
                <w:bCs/>
                <w:sz w:val="18"/>
                <w:szCs w:val="18"/>
              </w:rPr>
              <w:t>Subseq. Years</w:t>
            </w:r>
          </w:p>
        </w:tc>
      </w:tr>
      <w:tr w:rsidR="00706B2E" w:rsidRPr="000973F2" w14:paraId="0FEB19FF" w14:textId="77777777" w:rsidTr="00B6531F">
        <w:tblPrEx>
          <w:jc w:val="left"/>
        </w:tblPrEx>
        <w:trPr>
          <w:cantSplit/>
        </w:trPr>
        <w:tc>
          <w:tcPr>
            <w:cnfStyle w:val="001000000000" w:firstRow="0" w:lastRow="0" w:firstColumn="1" w:lastColumn="0" w:oddVBand="0" w:evenVBand="0" w:oddHBand="0" w:evenHBand="0" w:firstRowFirstColumn="0" w:firstRowLastColumn="0" w:lastRowFirstColumn="0" w:lastRowLastColumn="0"/>
            <w:tcW w:w="2595" w:type="dxa"/>
            <w:hideMark/>
          </w:tcPr>
          <w:p w14:paraId="12861828" w14:textId="77777777" w:rsidR="00706B2E" w:rsidRPr="000973F2" w:rsidRDefault="00706B2E" w:rsidP="00706B2E">
            <w:pPr>
              <w:spacing w:before="40" w:after="4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Equipment (selection, purchase, installation)</w:t>
            </w:r>
          </w:p>
        </w:tc>
        <w:tc>
          <w:tcPr>
            <w:tcW w:w="1122" w:type="dxa"/>
            <w:noWrap/>
            <w:hideMark/>
          </w:tcPr>
          <w:p w14:paraId="3D5984FB" w14:textId="5EBD248C" w:rsidR="00706B2E" w:rsidRPr="000973F2" w:rsidRDefault="00706B2E" w:rsidP="00706B2E">
            <w:pPr>
              <w:spacing w:before="40" w:after="4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w:t>
            </w:r>
          </w:p>
        </w:tc>
        <w:tc>
          <w:tcPr>
            <w:tcW w:w="1123" w:type="dxa"/>
            <w:noWrap/>
          </w:tcPr>
          <w:p w14:paraId="2E4F71D8" w14:textId="7E6EE647" w:rsidR="00706B2E" w:rsidRPr="000973F2" w:rsidRDefault="00706B2E" w:rsidP="00706B2E">
            <w:pPr>
              <w:spacing w:before="40" w:after="4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p>
        </w:tc>
        <w:tc>
          <w:tcPr>
            <w:tcW w:w="1122" w:type="dxa"/>
            <w:noWrap/>
            <w:hideMark/>
          </w:tcPr>
          <w:p w14:paraId="38CF2B15" w14:textId="10476810" w:rsidR="00706B2E" w:rsidRPr="000973F2" w:rsidRDefault="00706B2E" w:rsidP="00706B2E">
            <w:pPr>
              <w:spacing w:before="40" w:after="4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w:t>
            </w:r>
          </w:p>
        </w:tc>
        <w:tc>
          <w:tcPr>
            <w:tcW w:w="1133" w:type="dxa"/>
            <w:noWrap/>
            <w:hideMark/>
          </w:tcPr>
          <w:p w14:paraId="7EB4A6A2" w14:textId="62B9809B" w:rsidR="00706B2E" w:rsidRPr="000973F2" w:rsidRDefault="00706B2E" w:rsidP="00706B2E">
            <w:pPr>
              <w:tabs>
                <w:tab w:val="decimal" w:pos="721"/>
              </w:tabs>
              <w:spacing w:before="40" w:after="4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w:t>
            </w:r>
          </w:p>
        </w:tc>
        <w:tc>
          <w:tcPr>
            <w:tcW w:w="1112" w:type="dxa"/>
            <w:noWrap/>
            <w:hideMark/>
          </w:tcPr>
          <w:p w14:paraId="7369852B" w14:textId="275F728E" w:rsidR="00706B2E" w:rsidRPr="000973F2" w:rsidRDefault="00706B2E" w:rsidP="00706B2E">
            <w:pPr>
              <w:tabs>
                <w:tab w:val="decimal" w:pos="721"/>
              </w:tabs>
              <w:spacing w:before="40" w:after="4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w:t>
            </w:r>
          </w:p>
        </w:tc>
        <w:tc>
          <w:tcPr>
            <w:tcW w:w="1123" w:type="dxa"/>
            <w:noWrap/>
            <w:hideMark/>
          </w:tcPr>
          <w:p w14:paraId="3226A740" w14:textId="1A702738" w:rsidR="00706B2E" w:rsidRPr="000973F2" w:rsidRDefault="00706B2E" w:rsidP="00706B2E">
            <w:pPr>
              <w:tabs>
                <w:tab w:val="decimal" w:pos="721"/>
              </w:tabs>
              <w:spacing w:before="40" w:after="4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w:t>
            </w:r>
          </w:p>
        </w:tc>
      </w:tr>
      <w:tr w:rsidR="00D7694D" w:rsidRPr="000973F2" w14:paraId="3370B48D" w14:textId="77777777" w:rsidTr="00B6531F">
        <w:tblPrEx>
          <w:jc w:val="left"/>
        </w:tblPrEx>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2595" w:type="dxa"/>
            <w:hideMark/>
          </w:tcPr>
          <w:p w14:paraId="4950F3A6" w14:textId="77777777" w:rsidR="00706B2E" w:rsidRPr="000973F2" w:rsidRDefault="00706B2E" w:rsidP="00706B2E">
            <w:pPr>
              <w:spacing w:before="40" w:after="4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Performance testing</w:t>
            </w:r>
          </w:p>
        </w:tc>
        <w:tc>
          <w:tcPr>
            <w:tcW w:w="1122" w:type="dxa"/>
            <w:noWrap/>
            <w:hideMark/>
          </w:tcPr>
          <w:p w14:paraId="41A000FE" w14:textId="5DF08D58" w:rsidR="00706B2E" w:rsidRPr="000973F2" w:rsidRDefault="00706B2E" w:rsidP="00706B2E">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w:t>
            </w:r>
          </w:p>
        </w:tc>
        <w:tc>
          <w:tcPr>
            <w:tcW w:w="1123" w:type="dxa"/>
            <w:noWrap/>
          </w:tcPr>
          <w:p w14:paraId="3252FA60" w14:textId="7F85319E" w:rsidR="00706B2E" w:rsidRPr="000973F2" w:rsidRDefault="00706B2E" w:rsidP="00706B2E">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p>
        </w:tc>
        <w:tc>
          <w:tcPr>
            <w:tcW w:w="1122" w:type="dxa"/>
            <w:noWrap/>
            <w:hideMark/>
          </w:tcPr>
          <w:p w14:paraId="345BF025" w14:textId="442B70AD" w:rsidR="00706B2E" w:rsidRPr="000973F2" w:rsidRDefault="00706B2E" w:rsidP="00706B2E">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w:t>
            </w:r>
          </w:p>
        </w:tc>
        <w:tc>
          <w:tcPr>
            <w:tcW w:w="1133" w:type="dxa"/>
            <w:noWrap/>
            <w:hideMark/>
          </w:tcPr>
          <w:p w14:paraId="461888EB" w14:textId="4C53648F" w:rsidR="00706B2E" w:rsidRPr="000973F2" w:rsidRDefault="00706B2E" w:rsidP="00706B2E">
            <w:pPr>
              <w:tabs>
                <w:tab w:val="decimal" w:pos="721"/>
              </w:tabs>
              <w:spacing w:before="40" w:after="4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w:t>
            </w:r>
          </w:p>
        </w:tc>
        <w:tc>
          <w:tcPr>
            <w:tcW w:w="1112" w:type="dxa"/>
            <w:noWrap/>
            <w:hideMark/>
          </w:tcPr>
          <w:p w14:paraId="3649722B" w14:textId="746FDE31" w:rsidR="00706B2E" w:rsidRPr="000973F2" w:rsidRDefault="00706B2E" w:rsidP="00706B2E">
            <w:pPr>
              <w:tabs>
                <w:tab w:val="decimal" w:pos="721"/>
              </w:tabs>
              <w:spacing w:before="40" w:after="4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w:t>
            </w:r>
          </w:p>
        </w:tc>
        <w:tc>
          <w:tcPr>
            <w:tcW w:w="1123" w:type="dxa"/>
            <w:noWrap/>
            <w:hideMark/>
          </w:tcPr>
          <w:p w14:paraId="3AADAA72" w14:textId="3EA2D23A" w:rsidR="00706B2E" w:rsidRPr="000973F2" w:rsidRDefault="00706B2E" w:rsidP="00706B2E">
            <w:pPr>
              <w:tabs>
                <w:tab w:val="decimal" w:pos="721"/>
              </w:tabs>
              <w:spacing w:before="40" w:after="4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w:t>
            </w:r>
          </w:p>
        </w:tc>
      </w:tr>
      <w:tr w:rsidR="00DE236B" w:rsidRPr="000973F2" w14:paraId="68966930" w14:textId="77777777" w:rsidTr="00B6531F">
        <w:tblPrEx>
          <w:jc w:val="left"/>
        </w:tblPrEx>
        <w:trPr>
          <w:cantSplit/>
        </w:trPr>
        <w:tc>
          <w:tcPr>
            <w:cnfStyle w:val="001000000000" w:firstRow="0" w:lastRow="0" w:firstColumn="1" w:lastColumn="0" w:oddVBand="0" w:evenVBand="0" w:oddHBand="0" w:evenHBand="0" w:firstRowFirstColumn="0" w:firstRowLastColumn="0" w:lastRowFirstColumn="0" w:lastRowLastColumn="0"/>
            <w:tcW w:w="2595" w:type="dxa"/>
            <w:hideMark/>
          </w:tcPr>
          <w:p w14:paraId="05CB5699" w14:textId="77777777" w:rsidR="006C4F63" w:rsidRPr="000973F2" w:rsidRDefault="006C4F63" w:rsidP="00706B2E">
            <w:pPr>
              <w:spacing w:before="40" w:after="4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Recordkeeping</w:t>
            </w:r>
          </w:p>
        </w:tc>
        <w:tc>
          <w:tcPr>
            <w:tcW w:w="1122" w:type="dxa"/>
            <w:noWrap/>
            <w:hideMark/>
          </w:tcPr>
          <w:p w14:paraId="64C5E919" w14:textId="77777777" w:rsidR="006C4F63" w:rsidRPr="000973F2" w:rsidRDefault="006C4F63" w:rsidP="00706B2E">
            <w:pPr>
              <w:spacing w:before="40" w:after="4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$0</w:t>
            </w:r>
          </w:p>
        </w:tc>
        <w:tc>
          <w:tcPr>
            <w:tcW w:w="1123" w:type="dxa"/>
            <w:noWrap/>
          </w:tcPr>
          <w:p w14:paraId="178C42CB" w14:textId="77777777" w:rsidR="006C4F63" w:rsidRPr="000973F2" w:rsidRDefault="006C4F63" w:rsidP="00706B2E">
            <w:pPr>
              <w:spacing w:before="40" w:after="4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p>
        </w:tc>
        <w:tc>
          <w:tcPr>
            <w:tcW w:w="1122" w:type="dxa"/>
            <w:noWrap/>
            <w:hideMark/>
          </w:tcPr>
          <w:p w14:paraId="7AEB2FFF" w14:textId="77777777" w:rsidR="006C4F63" w:rsidRPr="000973F2" w:rsidRDefault="006C4F63" w:rsidP="00706B2E">
            <w:pPr>
              <w:spacing w:before="40" w:after="4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$0</w:t>
            </w:r>
          </w:p>
        </w:tc>
        <w:tc>
          <w:tcPr>
            <w:tcW w:w="1133" w:type="dxa"/>
            <w:noWrap/>
            <w:hideMark/>
          </w:tcPr>
          <w:p w14:paraId="2B9D4A11" w14:textId="77777777" w:rsidR="006C4F63" w:rsidRPr="000973F2" w:rsidRDefault="006C4F63" w:rsidP="00706B2E">
            <w:pPr>
              <w:tabs>
                <w:tab w:val="decimal" w:pos="721"/>
              </w:tabs>
              <w:spacing w:before="40" w:after="4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$50</w:t>
            </w:r>
          </w:p>
        </w:tc>
        <w:tc>
          <w:tcPr>
            <w:tcW w:w="1112" w:type="dxa"/>
            <w:noWrap/>
            <w:hideMark/>
          </w:tcPr>
          <w:p w14:paraId="4C2F2E8A" w14:textId="77777777" w:rsidR="006C4F63" w:rsidRPr="000973F2" w:rsidRDefault="006C4F63" w:rsidP="00706B2E">
            <w:pPr>
              <w:tabs>
                <w:tab w:val="decimal" w:pos="721"/>
              </w:tabs>
              <w:spacing w:before="40" w:after="4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$50</w:t>
            </w:r>
          </w:p>
        </w:tc>
        <w:tc>
          <w:tcPr>
            <w:tcW w:w="1123" w:type="dxa"/>
            <w:noWrap/>
            <w:hideMark/>
          </w:tcPr>
          <w:p w14:paraId="49193F18" w14:textId="77777777" w:rsidR="006C4F63" w:rsidRPr="000973F2" w:rsidRDefault="006C4F63" w:rsidP="00706B2E">
            <w:pPr>
              <w:tabs>
                <w:tab w:val="decimal" w:pos="721"/>
              </w:tabs>
              <w:spacing w:before="40" w:after="4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$50</w:t>
            </w:r>
          </w:p>
        </w:tc>
      </w:tr>
      <w:tr w:rsidR="00D7694D" w:rsidRPr="000973F2" w14:paraId="5DE4D4DE" w14:textId="77777777" w:rsidTr="00B6531F">
        <w:tblPrEx>
          <w:jc w:val="left"/>
        </w:tblPrEx>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2595" w:type="dxa"/>
            <w:hideMark/>
          </w:tcPr>
          <w:p w14:paraId="6D4E3EBC" w14:textId="77777777" w:rsidR="00706B2E" w:rsidRPr="000973F2" w:rsidRDefault="00706B2E" w:rsidP="00706B2E">
            <w:pPr>
              <w:spacing w:before="40" w:after="4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Travel</w:t>
            </w:r>
          </w:p>
        </w:tc>
        <w:tc>
          <w:tcPr>
            <w:tcW w:w="1122" w:type="dxa"/>
            <w:noWrap/>
            <w:hideMark/>
          </w:tcPr>
          <w:p w14:paraId="6DC9AC81" w14:textId="651698D3" w:rsidR="00706B2E" w:rsidRPr="000973F2" w:rsidRDefault="00706B2E" w:rsidP="00706B2E">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w:t>
            </w:r>
          </w:p>
        </w:tc>
        <w:tc>
          <w:tcPr>
            <w:tcW w:w="1123" w:type="dxa"/>
            <w:noWrap/>
          </w:tcPr>
          <w:p w14:paraId="6CEBB497" w14:textId="33CD761B" w:rsidR="00706B2E" w:rsidRPr="000973F2" w:rsidRDefault="00706B2E" w:rsidP="00706B2E">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p>
        </w:tc>
        <w:tc>
          <w:tcPr>
            <w:tcW w:w="1122" w:type="dxa"/>
            <w:noWrap/>
            <w:hideMark/>
          </w:tcPr>
          <w:p w14:paraId="297BFC11" w14:textId="17942DF3" w:rsidR="00706B2E" w:rsidRPr="000973F2" w:rsidRDefault="00706B2E" w:rsidP="00706B2E">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w:t>
            </w:r>
          </w:p>
        </w:tc>
        <w:tc>
          <w:tcPr>
            <w:tcW w:w="1133" w:type="dxa"/>
            <w:noWrap/>
            <w:hideMark/>
          </w:tcPr>
          <w:p w14:paraId="1481F1B8" w14:textId="411664D7" w:rsidR="00706B2E" w:rsidRPr="000973F2" w:rsidRDefault="00706B2E" w:rsidP="00706B2E">
            <w:pPr>
              <w:tabs>
                <w:tab w:val="decimal" w:pos="721"/>
              </w:tabs>
              <w:spacing w:before="40" w:after="4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w:t>
            </w:r>
          </w:p>
        </w:tc>
        <w:tc>
          <w:tcPr>
            <w:tcW w:w="1112" w:type="dxa"/>
            <w:noWrap/>
            <w:hideMark/>
          </w:tcPr>
          <w:p w14:paraId="5822D5A4" w14:textId="66AA672D" w:rsidR="00706B2E" w:rsidRPr="000973F2" w:rsidRDefault="00706B2E" w:rsidP="00706B2E">
            <w:pPr>
              <w:tabs>
                <w:tab w:val="decimal" w:pos="721"/>
              </w:tabs>
              <w:spacing w:before="40" w:after="4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w:t>
            </w:r>
          </w:p>
        </w:tc>
        <w:tc>
          <w:tcPr>
            <w:tcW w:w="1123" w:type="dxa"/>
            <w:noWrap/>
            <w:hideMark/>
          </w:tcPr>
          <w:p w14:paraId="4B6ADE74" w14:textId="1CEE563B" w:rsidR="00706B2E" w:rsidRPr="000973F2" w:rsidRDefault="00706B2E" w:rsidP="00706B2E">
            <w:pPr>
              <w:tabs>
                <w:tab w:val="decimal" w:pos="721"/>
              </w:tabs>
              <w:spacing w:before="40" w:after="4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w:t>
            </w:r>
          </w:p>
        </w:tc>
      </w:tr>
      <w:tr w:rsidR="00DE236B" w:rsidRPr="000973F2" w14:paraId="676A94A8" w14:textId="77777777" w:rsidTr="00B6531F">
        <w:tblPrEx>
          <w:jc w:val="left"/>
        </w:tblPrEx>
        <w:trPr>
          <w:cantSplit/>
        </w:trPr>
        <w:tc>
          <w:tcPr>
            <w:cnfStyle w:val="001000000000" w:firstRow="0" w:lastRow="0" w:firstColumn="1" w:lastColumn="0" w:oddVBand="0" w:evenVBand="0" w:oddHBand="0" w:evenHBand="0" w:firstRowFirstColumn="0" w:firstRowLastColumn="0" w:lastRowFirstColumn="0" w:lastRowLastColumn="0"/>
            <w:tcW w:w="2595" w:type="dxa"/>
            <w:hideMark/>
          </w:tcPr>
          <w:p w14:paraId="2EC7227D" w14:textId="6C865416" w:rsidR="006C4F63" w:rsidRPr="000973F2" w:rsidRDefault="006C4F63" w:rsidP="00706B2E">
            <w:pPr>
              <w:spacing w:before="40" w:after="4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 xml:space="preserve">Sampling </w:t>
            </w:r>
            <w:r w:rsidR="00321129" w:rsidRPr="000973F2">
              <w:rPr>
                <w:rFonts w:ascii="Times New Roman" w:eastAsia="Times New Roman" w:hAnsi="Times New Roman" w:cs="Times New Roman"/>
                <w:sz w:val="18"/>
                <w:szCs w:val="18"/>
              </w:rPr>
              <w:t xml:space="preserve">and Analysis </w:t>
            </w:r>
            <w:r w:rsidRPr="000973F2">
              <w:rPr>
                <w:rFonts w:ascii="Times New Roman" w:eastAsia="Times New Roman" w:hAnsi="Times New Roman" w:cs="Times New Roman"/>
                <w:sz w:val="18"/>
                <w:szCs w:val="18"/>
              </w:rPr>
              <w:t>Costs</w:t>
            </w:r>
          </w:p>
        </w:tc>
        <w:tc>
          <w:tcPr>
            <w:tcW w:w="1122" w:type="dxa"/>
            <w:noWrap/>
            <w:hideMark/>
          </w:tcPr>
          <w:p w14:paraId="2882E715" w14:textId="77777777" w:rsidR="006C4F63" w:rsidRPr="000973F2" w:rsidRDefault="006C4F63" w:rsidP="00706B2E">
            <w:pPr>
              <w:spacing w:before="40" w:after="4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$0</w:t>
            </w:r>
          </w:p>
        </w:tc>
        <w:tc>
          <w:tcPr>
            <w:tcW w:w="1123" w:type="dxa"/>
            <w:noWrap/>
          </w:tcPr>
          <w:p w14:paraId="40E7EA05" w14:textId="77777777" w:rsidR="006C4F63" w:rsidRPr="000973F2" w:rsidRDefault="006C4F63" w:rsidP="00706B2E">
            <w:pPr>
              <w:spacing w:before="40" w:after="4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p>
        </w:tc>
        <w:tc>
          <w:tcPr>
            <w:tcW w:w="1122" w:type="dxa"/>
            <w:noWrap/>
            <w:hideMark/>
          </w:tcPr>
          <w:p w14:paraId="1C09900B" w14:textId="77777777" w:rsidR="006C4F63" w:rsidRPr="000973F2" w:rsidRDefault="006C4F63" w:rsidP="00706B2E">
            <w:pPr>
              <w:spacing w:before="40" w:after="4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$0</w:t>
            </w:r>
          </w:p>
        </w:tc>
        <w:tc>
          <w:tcPr>
            <w:tcW w:w="1133" w:type="dxa"/>
            <w:noWrap/>
            <w:hideMark/>
          </w:tcPr>
          <w:p w14:paraId="35E7C1C0" w14:textId="77777777" w:rsidR="006C4F63" w:rsidRPr="000973F2" w:rsidRDefault="006C4F63" w:rsidP="00706B2E">
            <w:pPr>
              <w:tabs>
                <w:tab w:val="decimal" w:pos="721"/>
              </w:tabs>
              <w:spacing w:before="40" w:after="4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$4,660</w:t>
            </w:r>
          </w:p>
        </w:tc>
        <w:tc>
          <w:tcPr>
            <w:tcW w:w="1112" w:type="dxa"/>
            <w:noWrap/>
            <w:hideMark/>
          </w:tcPr>
          <w:p w14:paraId="1700AEBB" w14:textId="77777777" w:rsidR="006C4F63" w:rsidRPr="000973F2" w:rsidRDefault="006C4F63" w:rsidP="00706B2E">
            <w:pPr>
              <w:tabs>
                <w:tab w:val="decimal" w:pos="721"/>
              </w:tabs>
              <w:spacing w:before="40" w:after="4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$4,660</w:t>
            </w:r>
          </w:p>
        </w:tc>
        <w:tc>
          <w:tcPr>
            <w:tcW w:w="1123" w:type="dxa"/>
            <w:noWrap/>
            <w:hideMark/>
          </w:tcPr>
          <w:p w14:paraId="103BF675" w14:textId="77777777" w:rsidR="006C4F63" w:rsidRPr="000973F2" w:rsidRDefault="006C4F63" w:rsidP="00706B2E">
            <w:pPr>
              <w:tabs>
                <w:tab w:val="decimal" w:pos="721"/>
              </w:tabs>
              <w:spacing w:before="40" w:after="4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$4,660</w:t>
            </w:r>
          </w:p>
        </w:tc>
      </w:tr>
      <w:tr w:rsidR="00D7694D" w:rsidRPr="000973F2" w14:paraId="2CEE04D1" w14:textId="77777777" w:rsidTr="00B6531F">
        <w:tblPrEx>
          <w:jc w:val="left"/>
        </w:tblPrEx>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2595" w:type="dxa"/>
            <w:hideMark/>
          </w:tcPr>
          <w:p w14:paraId="7ED5ED09" w14:textId="77777777" w:rsidR="006C4F63" w:rsidRPr="000973F2" w:rsidRDefault="006C4F63" w:rsidP="00706B2E">
            <w:pPr>
              <w:spacing w:before="40" w:after="40"/>
              <w:rPr>
                <w:rFonts w:ascii="Times New Roman" w:eastAsia="Times New Roman" w:hAnsi="Times New Roman" w:cs="Times New Roman"/>
                <w:b/>
                <w:bCs w:val="0"/>
                <w:sz w:val="18"/>
                <w:szCs w:val="18"/>
              </w:rPr>
            </w:pPr>
            <w:r w:rsidRPr="000973F2">
              <w:rPr>
                <w:rFonts w:ascii="Times New Roman" w:eastAsia="Times New Roman" w:hAnsi="Times New Roman" w:cs="Times New Roman"/>
                <w:b/>
                <w:sz w:val="18"/>
                <w:szCs w:val="18"/>
              </w:rPr>
              <w:t xml:space="preserve">Total </w:t>
            </w:r>
          </w:p>
        </w:tc>
        <w:tc>
          <w:tcPr>
            <w:tcW w:w="1122" w:type="dxa"/>
            <w:noWrap/>
            <w:hideMark/>
          </w:tcPr>
          <w:p w14:paraId="6FF363B5" w14:textId="77777777" w:rsidR="006C4F63" w:rsidRPr="000973F2" w:rsidRDefault="006C4F63" w:rsidP="00706B2E">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sz w:val="18"/>
                <w:szCs w:val="18"/>
              </w:rPr>
            </w:pPr>
            <w:r w:rsidRPr="000973F2">
              <w:rPr>
                <w:rFonts w:ascii="Times New Roman" w:eastAsia="Times New Roman" w:hAnsi="Times New Roman" w:cs="Times New Roman"/>
                <w:b/>
                <w:sz w:val="18"/>
                <w:szCs w:val="18"/>
              </w:rPr>
              <w:t>$0</w:t>
            </w:r>
          </w:p>
        </w:tc>
        <w:tc>
          <w:tcPr>
            <w:tcW w:w="1123" w:type="dxa"/>
            <w:noWrap/>
          </w:tcPr>
          <w:p w14:paraId="67451741" w14:textId="77777777" w:rsidR="006C4F63" w:rsidRPr="000973F2" w:rsidRDefault="006C4F63" w:rsidP="00706B2E">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sz w:val="18"/>
                <w:szCs w:val="18"/>
              </w:rPr>
            </w:pPr>
          </w:p>
        </w:tc>
        <w:tc>
          <w:tcPr>
            <w:tcW w:w="1122" w:type="dxa"/>
            <w:noWrap/>
            <w:hideMark/>
          </w:tcPr>
          <w:p w14:paraId="609A063B" w14:textId="77777777" w:rsidR="006C4F63" w:rsidRPr="000973F2" w:rsidRDefault="006C4F63" w:rsidP="00706B2E">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sz w:val="18"/>
                <w:szCs w:val="18"/>
              </w:rPr>
            </w:pPr>
            <w:r w:rsidRPr="000973F2">
              <w:rPr>
                <w:rFonts w:ascii="Times New Roman" w:eastAsia="Times New Roman" w:hAnsi="Times New Roman" w:cs="Times New Roman"/>
                <w:b/>
                <w:sz w:val="18"/>
                <w:szCs w:val="18"/>
              </w:rPr>
              <w:t>$0</w:t>
            </w:r>
          </w:p>
        </w:tc>
        <w:tc>
          <w:tcPr>
            <w:tcW w:w="1133" w:type="dxa"/>
            <w:noWrap/>
            <w:hideMark/>
          </w:tcPr>
          <w:p w14:paraId="0FEDFBAC" w14:textId="77777777" w:rsidR="006C4F63" w:rsidRPr="000973F2" w:rsidRDefault="006C4F63" w:rsidP="00706B2E">
            <w:pPr>
              <w:tabs>
                <w:tab w:val="decimal" w:pos="721"/>
              </w:tabs>
              <w:spacing w:before="40" w:after="4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sz w:val="18"/>
                <w:szCs w:val="18"/>
              </w:rPr>
            </w:pPr>
            <w:r w:rsidRPr="000973F2">
              <w:rPr>
                <w:rFonts w:ascii="Times New Roman" w:eastAsia="Times New Roman" w:hAnsi="Times New Roman" w:cs="Times New Roman"/>
                <w:b/>
                <w:sz w:val="18"/>
                <w:szCs w:val="18"/>
              </w:rPr>
              <w:t>$4,710</w:t>
            </w:r>
          </w:p>
        </w:tc>
        <w:tc>
          <w:tcPr>
            <w:tcW w:w="1112" w:type="dxa"/>
            <w:noWrap/>
            <w:hideMark/>
          </w:tcPr>
          <w:p w14:paraId="37DCC116" w14:textId="77777777" w:rsidR="006C4F63" w:rsidRPr="000973F2" w:rsidRDefault="006C4F63" w:rsidP="00706B2E">
            <w:pPr>
              <w:tabs>
                <w:tab w:val="decimal" w:pos="721"/>
              </w:tabs>
              <w:spacing w:before="40" w:after="4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sz w:val="18"/>
                <w:szCs w:val="18"/>
              </w:rPr>
            </w:pPr>
            <w:r w:rsidRPr="000973F2">
              <w:rPr>
                <w:rFonts w:ascii="Times New Roman" w:eastAsia="Times New Roman" w:hAnsi="Times New Roman" w:cs="Times New Roman"/>
                <w:b/>
                <w:sz w:val="18"/>
                <w:szCs w:val="18"/>
              </w:rPr>
              <w:t>$4,710</w:t>
            </w:r>
          </w:p>
        </w:tc>
        <w:tc>
          <w:tcPr>
            <w:tcW w:w="1123" w:type="dxa"/>
            <w:noWrap/>
            <w:hideMark/>
          </w:tcPr>
          <w:p w14:paraId="2AE84D66" w14:textId="77777777" w:rsidR="006C4F63" w:rsidRPr="000973F2" w:rsidRDefault="006C4F63" w:rsidP="00706B2E">
            <w:pPr>
              <w:tabs>
                <w:tab w:val="decimal" w:pos="721"/>
              </w:tabs>
              <w:spacing w:before="40" w:after="4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sz w:val="18"/>
                <w:szCs w:val="18"/>
              </w:rPr>
            </w:pPr>
            <w:r w:rsidRPr="000973F2">
              <w:rPr>
                <w:rFonts w:ascii="Times New Roman" w:eastAsia="Times New Roman" w:hAnsi="Times New Roman" w:cs="Times New Roman"/>
                <w:b/>
                <w:sz w:val="18"/>
                <w:szCs w:val="18"/>
              </w:rPr>
              <w:t>$4,710</w:t>
            </w:r>
          </w:p>
        </w:tc>
      </w:tr>
    </w:tbl>
    <w:p w14:paraId="7E8D309E" w14:textId="77777777" w:rsidR="006C4F63" w:rsidRPr="000973F2" w:rsidRDefault="006C4F63" w:rsidP="00C00E4F">
      <w:pPr>
        <w:spacing w:line="240" w:lineRule="auto"/>
        <w:rPr>
          <w:rFonts w:ascii="Times New Roman" w:hAnsi="Times New Roman" w:cs="Times New Roman"/>
          <w:b/>
          <w:i/>
        </w:rPr>
      </w:pPr>
      <w:r w:rsidRPr="000973F2">
        <w:rPr>
          <w:rFonts w:ascii="Times New Roman" w:hAnsi="Times New Roman" w:cs="Times New Roman"/>
          <w:b/>
          <w:i/>
        </w:rPr>
        <w:br w:type="page"/>
      </w:r>
    </w:p>
    <w:p w14:paraId="098F1A02" w14:textId="77777777" w:rsidR="006C4F63" w:rsidRPr="000973F2" w:rsidRDefault="006C4F63" w:rsidP="0061585D">
      <w:pPr>
        <w:pStyle w:val="Heading2"/>
      </w:pPr>
      <w:r w:rsidRPr="000973F2">
        <w:t>Labor Costs for Subpart X – CEMS (§98.243(b)) Methodology</w:t>
      </w:r>
    </w:p>
    <w:p w14:paraId="51E574E6" w14:textId="56A838DD" w:rsidR="006C4F63" w:rsidRPr="000973F2" w:rsidRDefault="006C4F63" w:rsidP="00706B2E">
      <w:pPr>
        <w:pStyle w:val="BodyText"/>
      </w:pPr>
      <w:r w:rsidRPr="000973F2">
        <w:t xml:space="preserve">Table </w:t>
      </w:r>
      <w:r w:rsidR="00706B2E" w:rsidRPr="000973F2">
        <w:t>X-</w:t>
      </w:r>
      <w:r w:rsidRPr="000973F2">
        <w:t xml:space="preserve">1b summarizes the expected labor costs using the CEMS methodology for Subpart X. Typical activities for each of the labor activities are discussed in the Cost Appendix Introduction. Recordkeeping and reporting hours </w:t>
      </w:r>
      <w:r w:rsidR="00A74D20" w:rsidRPr="000973F2">
        <w:t>are based on</w:t>
      </w:r>
      <w:r w:rsidRPr="000973F2">
        <w:t xml:space="preserve"> the “high bin”</w:t>
      </w:r>
      <w:r w:rsidR="00A74D20" w:rsidRPr="000973F2">
        <w:t xml:space="preserve"> designation.</w:t>
      </w:r>
      <w:r w:rsidRPr="000973F2">
        <w:t xml:space="preserve"> Sampling and analysis (calculations) hours include completion of the measurements and calculations in §98.243, including emissions, feedstock and product quantities, and other process data. No new facilities are expected to use CEMS to report under Subpart X during the </w:t>
      </w:r>
      <w:r w:rsidR="00706B2E" w:rsidRPr="000973F2">
        <w:t>three-year</w:t>
      </w:r>
      <w:r w:rsidRPr="000973F2">
        <w:t xml:space="preserve"> period covered by th</w:t>
      </w:r>
      <w:r w:rsidR="0023201B" w:rsidRPr="000973F2">
        <w:t>is</w:t>
      </w:r>
      <w:r w:rsidRPr="000973F2">
        <w:t xml:space="preserve"> ICR. Existing facilities are expected to have required monitoring equipment and will only need to do annual QA/QC. Costs are provided on a per facility basis.</w:t>
      </w:r>
    </w:p>
    <w:p w14:paraId="6AC281E8" w14:textId="13B06F2D" w:rsidR="006C4F63" w:rsidRPr="000973F2" w:rsidRDefault="006E21DB" w:rsidP="00C00E4F">
      <w:pPr>
        <w:spacing w:line="240" w:lineRule="auto"/>
        <w:rPr>
          <w:rFonts w:ascii="Times New Roman" w:hAnsi="Times New Roman" w:cs="Times New Roman"/>
        </w:rPr>
      </w:pPr>
      <w:r w:rsidRPr="000973F2">
        <w:rPr>
          <w:rFonts w:ascii="Times New Roman" w:eastAsia="Times New Roman" w:hAnsi="Times New Roman" w:cs="Times New Roman"/>
          <w:b/>
          <w:bCs/>
          <w:szCs w:val="16"/>
        </w:rPr>
        <w:t xml:space="preserve">Table </w:t>
      </w:r>
      <w:r w:rsidR="00706B2E" w:rsidRPr="000973F2">
        <w:rPr>
          <w:rFonts w:ascii="Times New Roman" w:eastAsia="Times New Roman" w:hAnsi="Times New Roman" w:cs="Times New Roman"/>
          <w:b/>
          <w:bCs/>
          <w:szCs w:val="16"/>
        </w:rPr>
        <w:t>X-</w:t>
      </w:r>
      <w:r w:rsidRPr="000973F2">
        <w:rPr>
          <w:rFonts w:ascii="Times New Roman" w:eastAsia="Times New Roman" w:hAnsi="Times New Roman" w:cs="Times New Roman"/>
          <w:b/>
          <w:bCs/>
          <w:szCs w:val="16"/>
        </w:rPr>
        <w:t>1b</w:t>
      </w:r>
      <w:r w:rsidR="002543C6" w:rsidRPr="000973F2">
        <w:rPr>
          <w:rFonts w:ascii="Times New Roman" w:eastAsia="Times New Roman" w:hAnsi="Times New Roman" w:cs="Times New Roman"/>
          <w:b/>
          <w:bCs/>
          <w:szCs w:val="16"/>
        </w:rPr>
        <w:t xml:space="preserve">. Labor Costs </w:t>
      </w:r>
      <w:r w:rsidR="00B960CC" w:rsidRPr="000973F2">
        <w:rPr>
          <w:rFonts w:ascii="Times New Roman" w:eastAsia="Times New Roman" w:hAnsi="Times New Roman" w:cs="Times New Roman"/>
          <w:b/>
          <w:bCs/>
          <w:szCs w:val="16"/>
        </w:rPr>
        <w:t>–</w:t>
      </w:r>
      <w:r w:rsidR="002543C6" w:rsidRPr="000973F2">
        <w:rPr>
          <w:rFonts w:ascii="Times New Roman" w:eastAsia="Times New Roman" w:hAnsi="Times New Roman" w:cs="Times New Roman"/>
          <w:b/>
          <w:bCs/>
          <w:szCs w:val="16"/>
        </w:rPr>
        <w:t xml:space="preserve">Subpart X </w:t>
      </w:r>
      <w:r w:rsidRPr="000973F2">
        <w:rPr>
          <w:rFonts w:ascii="Times New Roman" w:eastAsia="Times New Roman" w:hAnsi="Times New Roman" w:cs="Times New Roman"/>
          <w:b/>
          <w:bCs/>
          <w:szCs w:val="16"/>
        </w:rPr>
        <w:t>- CEMS (§98.243(b)) Methodology</w:t>
      </w:r>
    </w:p>
    <w:tbl>
      <w:tblPr>
        <w:tblStyle w:val="PlainTable1"/>
        <w:tblW w:w="5000" w:type="pct"/>
        <w:jc w:val="left"/>
        <w:tblLayout w:type="fixed"/>
        <w:tblCellMar>
          <w:left w:w="115" w:type="dxa"/>
          <w:right w:w="115" w:type="dxa"/>
        </w:tblCellMar>
        <w:tblLook w:val="04A0" w:firstRow="1" w:lastRow="0" w:firstColumn="1" w:lastColumn="0" w:noHBand="0" w:noVBand="1"/>
      </w:tblPr>
      <w:tblGrid>
        <w:gridCol w:w="1764"/>
        <w:gridCol w:w="736"/>
        <w:gridCol w:w="737"/>
        <w:gridCol w:w="737"/>
        <w:gridCol w:w="737"/>
        <w:gridCol w:w="737"/>
        <w:gridCol w:w="737"/>
        <w:gridCol w:w="737"/>
        <w:gridCol w:w="737"/>
        <w:gridCol w:w="888"/>
        <w:gridCol w:w="1043"/>
      </w:tblGrid>
      <w:tr w:rsidR="006C4F63" w:rsidRPr="000973F2" w14:paraId="5C3AA8A5" w14:textId="77777777" w:rsidTr="00065233">
        <w:trPr>
          <w:cnfStyle w:val="100000000000" w:firstRow="1" w:lastRow="0" w:firstColumn="0" w:lastColumn="0" w:oddVBand="0" w:evenVBand="0" w:oddHBand="0" w:evenHBand="0" w:firstRowFirstColumn="0" w:firstRowLastColumn="0" w:lastRowFirstColumn="0" w:lastRowLastColumn="0"/>
          <w:cantSplit/>
          <w:jc w:val="left"/>
        </w:trPr>
        <w:tc>
          <w:tcPr>
            <w:cnfStyle w:val="001000000000" w:firstRow="0" w:lastRow="0" w:firstColumn="1" w:lastColumn="0" w:oddVBand="0" w:evenVBand="0" w:oddHBand="0" w:evenHBand="0" w:firstRowFirstColumn="0" w:firstRowLastColumn="0" w:lastRowFirstColumn="0" w:lastRowLastColumn="0"/>
            <w:tcW w:w="1716" w:type="dxa"/>
            <w:vMerge w:val="restart"/>
            <w:noWrap/>
            <w:hideMark/>
          </w:tcPr>
          <w:p w14:paraId="7CB7C06E" w14:textId="77777777" w:rsidR="006C4F63" w:rsidRPr="000973F2" w:rsidRDefault="006C4F63" w:rsidP="00706B2E">
            <w:pPr>
              <w:spacing w:before="40" w:after="40"/>
              <w:rPr>
                <w:rFonts w:ascii="Times New Roman" w:eastAsia="Times New Roman" w:hAnsi="Times New Roman" w:cs="Times New Roman"/>
                <w:b w:val="0"/>
                <w:bCs w:val="0"/>
                <w:sz w:val="18"/>
                <w:szCs w:val="18"/>
              </w:rPr>
            </w:pPr>
            <w:r w:rsidRPr="000973F2">
              <w:rPr>
                <w:rFonts w:ascii="Times New Roman" w:eastAsia="Times New Roman" w:hAnsi="Times New Roman" w:cs="Times New Roman"/>
                <w:sz w:val="18"/>
                <w:szCs w:val="18"/>
              </w:rPr>
              <w:t>Activity</w:t>
            </w:r>
          </w:p>
        </w:tc>
        <w:tc>
          <w:tcPr>
            <w:tcW w:w="5735" w:type="dxa"/>
            <w:gridSpan w:val="8"/>
            <w:noWrap/>
            <w:hideMark/>
          </w:tcPr>
          <w:p w14:paraId="305E47C7" w14:textId="77777777" w:rsidR="006C4F63" w:rsidRPr="000973F2" w:rsidRDefault="006C4F63" w:rsidP="00706B2E">
            <w:pPr>
              <w:spacing w:before="40" w:after="40"/>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bCs w:val="0"/>
                <w:sz w:val="18"/>
                <w:szCs w:val="18"/>
              </w:rPr>
            </w:pPr>
            <w:r w:rsidRPr="000973F2">
              <w:rPr>
                <w:rFonts w:ascii="Times New Roman" w:eastAsia="Times New Roman" w:hAnsi="Times New Roman" w:cs="Times New Roman"/>
                <w:sz w:val="18"/>
                <w:szCs w:val="18"/>
              </w:rPr>
              <w:t>Labor Rates (per hour)</w:t>
            </w:r>
          </w:p>
        </w:tc>
        <w:tc>
          <w:tcPr>
            <w:tcW w:w="1879" w:type="dxa"/>
            <w:gridSpan w:val="2"/>
            <w:vMerge w:val="restart"/>
            <w:hideMark/>
          </w:tcPr>
          <w:p w14:paraId="2BF47509" w14:textId="77777777" w:rsidR="006C4F63" w:rsidRPr="000973F2" w:rsidRDefault="006C4F63" w:rsidP="00706B2E">
            <w:pPr>
              <w:spacing w:before="40" w:after="40"/>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bCs w:val="0"/>
                <w:sz w:val="18"/>
                <w:szCs w:val="18"/>
              </w:rPr>
            </w:pPr>
            <w:r w:rsidRPr="000973F2">
              <w:rPr>
                <w:rFonts w:ascii="Times New Roman" w:eastAsia="Times New Roman" w:hAnsi="Times New Roman" w:cs="Times New Roman"/>
                <w:sz w:val="18"/>
                <w:szCs w:val="18"/>
              </w:rPr>
              <w:t>Total Labor Cost per Year per Facility (2017$)</w:t>
            </w:r>
          </w:p>
        </w:tc>
      </w:tr>
      <w:tr w:rsidR="006C4F63" w:rsidRPr="000973F2" w14:paraId="35F73E78" w14:textId="77777777" w:rsidTr="00065233">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1716" w:type="dxa"/>
            <w:vMerge/>
            <w:hideMark/>
          </w:tcPr>
          <w:p w14:paraId="51649BA1" w14:textId="77777777" w:rsidR="006C4F63" w:rsidRPr="000973F2" w:rsidRDefault="006C4F63" w:rsidP="00706B2E">
            <w:pPr>
              <w:spacing w:before="40" w:after="40"/>
              <w:rPr>
                <w:rFonts w:ascii="Times New Roman" w:eastAsia="Times New Roman" w:hAnsi="Times New Roman" w:cs="Times New Roman"/>
                <w:b/>
                <w:bCs w:val="0"/>
                <w:sz w:val="18"/>
                <w:szCs w:val="18"/>
              </w:rPr>
            </w:pPr>
          </w:p>
        </w:tc>
        <w:tc>
          <w:tcPr>
            <w:tcW w:w="1433" w:type="dxa"/>
            <w:gridSpan w:val="2"/>
            <w:hideMark/>
          </w:tcPr>
          <w:p w14:paraId="1BB35997" w14:textId="77777777" w:rsidR="006C4F63" w:rsidRPr="000973F2" w:rsidRDefault="006C4F63" w:rsidP="00706B2E">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18"/>
                <w:szCs w:val="18"/>
              </w:rPr>
            </w:pPr>
            <w:r w:rsidRPr="000973F2">
              <w:rPr>
                <w:rFonts w:ascii="Times New Roman" w:eastAsia="Times New Roman" w:hAnsi="Times New Roman" w:cs="Times New Roman"/>
                <w:b/>
                <w:bCs/>
                <w:sz w:val="18"/>
                <w:szCs w:val="18"/>
              </w:rPr>
              <w:t>Lawyer</w:t>
            </w:r>
          </w:p>
        </w:tc>
        <w:tc>
          <w:tcPr>
            <w:tcW w:w="1434" w:type="dxa"/>
            <w:gridSpan w:val="2"/>
            <w:hideMark/>
          </w:tcPr>
          <w:p w14:paraId="4A80B120" w14:textId="77777777" w:rsidR="006C4F63" w:rsidRPr="000973F2" w:rsidRDefault="006C4F63" w:rsidP="00706B2E">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18"/>
                <w:szCs w:val="18"/>
              </w:rPr>
            </w:pPr>
            <w:r w:rsidRPr="000973F2">
              <w:rPr>
                <w:rFonts w:ascii="Times New Roman" w:eastAsia="Times New Roman" w:hAnsi="Times New Roman" w:cs="Times New Roman"/>
                <w:b/>
                <w:bCs/>
                <w:sz w:val="18"/>
                <w:szCs w:val="18"/>
              </w:rPr>
              <w:t>Industrial Manager</w:t>
            </w:r>
          </w:p>
        </w:tc>
        <w:tc>
          <w:tcPr>
            <w:tcW w:w="1434" w:type="dxa"/>
            <w:gridSpan w:val="2"/>
            <w:hideMark/>
          </w:tcPr>
          <w:p w14:paraId="4617E61A" w14:textId="77777777" w:rsidR="006C4F63" w:rsidRPr="000973F2" w:rsidRDefault="006C4F63" w:rsidP="00706B2E">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18"/>
                <w:szCs w:val="18"/>
              </w:rPr>
            </w:pPr>
            <w:r w:rsidRPr="000973F2">
              <w:rPr>
                <w:rFonts w:ascii="Times New Roman" w:eastAsia="Times New Roman" w:hAnsi="Times New Roman" w:cs="Times New Roman"/>
                <w:b/>
                <w:bCs/>
                <w:sz w:val="18"/>
                <w:szCs w:val="18"/>
              </w:rPr>
              <w:t>Industrial Engineer/ Technician</w:t>
            </w:r>
          </w:p>
        </w:tc>
        <w:tc>
          <w:tcPr>
            <w:tcW w:w="1434" w:type="dxa"/>
            <w:gridSpan w:val="2"/>
            <w:hideMark/>
          </w:tcPr>
          <w:p w14:paraId="1DE3463E" w14:textId="77777777" w:rsidR="006C4F63" w:rsidRPr="000973F2" w:rsidRDefault="006C4F63" w:rsidP="00706B2E">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18"/>
                <w:szCs w:val="18"/>
              </w:rPr>
            </w:pPr>
            <w:r w:rsidRPr="000973F2">
              <w:rPr>
                <w:rFonts w:ascii="Times New Roman" w:eastAsia="Times New Roman" w:hAnsi="Times New Roman" w:cs="Times New Roman"/>
                <w:b/>
                <w:bCs/>
                <w:sz w:val="18"/>
                <w:szCs w:val="18"/>
              </w:rPr>
              <w:t>Administrative Support</w:t>
            </w:r>
          </w:p>
        </w:tc>
        <w:tc>
          <w:tcPr>
            <w:tcW w:w="1879" w:type="dxa"/>
            <w:gridSpan w:val="2"/>
            <w:vMerge/>
            <w:hideMark/>
          </w:tcPr>
          <w:p w14:paraId="330A8759" w14:textId="77777777" w:rsidR="006C4F63" w:rsidRPr="000973F2" w:rsidRDefault="006C4F63" w:rsidP="00706B2E">
            <w:pPr>
              <w:spacing w:before="40" w:after="4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18"/>
                <w:szCs w:val="18"/>
              </w:rPr>
            </w:pPr>
          </w:p>
        </w:tc>
      </w:tr>
      <w:tr w:rsidR="006C4F63" w:rsidRPr="000973F2" w14:paraId="0972BE87" w14:textId="77777777" w:rsidTr="00065233">
        <w:trPr>
          <w:cantSplit/>
        </w:trPr>
        <w:tc>
          <w:tcPr>
            <w:cnfStyle w:val="001000000000" w:firstRow="0" w:lastRow="0" w:firstColumn="1" w:lastColumn="0" w:oddVBand="0" w:evenVBand="0" w:oddHBand="0" w:evenHBand="0" w:firstRowFirstColumn="0" w:firstRowLastColumn="0" w:lastRowFirstColumn="0" w:lastRowLastColumn="0"/>
            <w:tcW w:w="1716" w:type="dxa"/>
            <w:vMerge/>
            <w:hideMark/>
          </w:tcPr>
          <w:p w14:paraId="692452F7" w14:textId="77777777" w:rsidR="006C4F63" w:rsidRPr="000973F2" w:rsidRDefault="006C4F63" w:rsidP="00706B2E">
            <w:pPr>
              <w:spacing w:before="40" w:after="40"/>
              <w:rPr>
                <w:rFonts w:ascii="Times New Roman" w:eastAsia="Times New Roman" w:hAnsi="Times New Roman" w:cs="Times New Roman"/>
                <w:b/>
                <w:bCs w:val="0"/>
                <w:sz w:val="18"/>
                <w:szCs w:val="18"/>
              </w:rPr>
            </w:pPr>
          </w:p>
        </w:tc>
        <w:tc>
          <w:tcPr>
            <w:tcW w:w="1433" w:type="dxa"/>
            <w:gridSpan w:val="2"/>
            <w:noWrap/>
            <w:hideMark/>
          </w:tcPr>
          <w:p w14:paraId="318FB19C" w14:textId="77777777" w:rsidR="006C4F63" w:rsidRPr="000973F2" w:rsidRDefault="006C4F63" w:rsidP="00706B2E">
            <w:pPr>
              <w:spacing w:before="40" w:after="4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sz w:val="18"/>
                <w:szCs w:val="18"/>
              </w:rPr>
            </w:pPr>
            <w:r w:rsidRPr="000973F2">
              <w:rPr>
                <w:rFonts w:ascii="Times New Roman" w:eastAsia="Times New Roman" w:hAnsi="Times New Roman" w:cs="Times New Roman"/>
                <w:b/>
                <w:bCs/>
                <w:sz w:val="18"/>
                <w:szCs w:val="18"/>
              </w:rPr>
              <w:t xml:space="preserve">$112.23 </w:t>
            </w:r>
          </w:p>
        </w:tc>
        <w:tc>
          <w:tcPr>
            <w:tcW w:w="1434" w:type="dxa"/>
            <w:gridSpan w:val="2"/>
            <w:noWrap/>
            <w:hideMark/>
          </w:tcPr>
          <w:p w14:paraId="709D8C61" w14:textId="77777777" w:rsidR="006C4F63" w:rsidRPr="000973F2" w:rsidRDefault="006C4F63" w:rsidP="00706B2E">
            <w:pPr>
              <w:spacing w:before="40" w:after="4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sz w:val="18"/>
                <w:szCs w:val="18"/>
              </w:rPr>
            </w:pPr>
            <w:r w:rsidRPr="000973F2">
              <w:rPr>
                <w:rFonts w:ascii="Times New Roman" w:eastAsia="Times New Roman" w:hAnsi="Times New Roman" w:cs="Times New Roman"/>
                <w:b/>
                <w:bCs/>
                <w:sz w:val="18"/>
                <w:szCs w:val="18"/>
              </w:rPr>
              <w:t xml:space="preserve">$87.45 </w:t>
            </w:r>
          </w:p>
        </w:tc>
        <w:tc>
          <w:tcPr>
            <w:tcW w:w="1434" w:type="dxa"/>
            <w:gridSpan w:val="2"/>
            <w:noWrap/>
            <w:hideMark/>
          </w:tcPr>
          <w:p w14:paraId="671F55DA" w14:textId="77777777" w:rsidR="006C4F63" w:rsidRPr="000973F2" w:rsidRDefault="006C4F63" w:rsidP="00706B2E">
            <w:pPr>
              <w:spacing w:before="40" w:after="4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sz w:val="18"/>
                <w:szCs w:val="18"/>
              </w:rPr>
            </w:pPr>
            <w:r w:rsidRPr="000973F2">
              <w:rPr>
                <w:rFonts w:ascii="Times New Roman" w:eastAsia="Times New Roman" w:hAnsi="Times New Roman" w:cs="Times New Roman"/>
                <w:b/>
                <w:bCs/>
                <w:sz w:val="18"/>
                <w:szCs w:val="18"/>
              </w:rPr>
              <w:t xml:space="preserve">$71.45 </w:t>
            </w:r>
          </w:p>
        </w:tc>
        <w:tc>
          <w:tcPr>
            <w:tcW w:w="1434" w:type="dxa"/>
            <w:gridSpan w:val="2"/>
            <w:noWrap/>
            <w:hideMark/>
          </w:tcPr>
          <w:p w14:paraId="382D8CB3" w14:textId="77777777" w:rsidR="006C4F63" w:rsidRPr="000973F2" w:rsidRDefault="006C4F63" w:rsidP="00706B2E">
            <w:pPr>
              <w:spacing w:before="40" w:after="4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sz w:val="18"/>
                <w:szCs w:val="18"/>
              </w:rPr>
            </w:pPr>
            <w:r w:rsidRPr="000973F2">
              <w:rPr>
                <w:rFonts w:ascii="Times New Roman" w:eastAsia="Times New Roman" w:hAnsi="Times New Roman" w:cs="Times New Roman"/>
                <w:b/>
                <w:bCs/>
                <w:sz w:val="18"/>
                <w:szCs w:val="18"/>
              </w:rPr>
              <w:t xml:space="preserve">$36.28 </w:t>
            </w:r>
          </w:p>
        </w:tc>
        <w:tc>
          <w:tcPr>
            <w:tcW w:w="1879" w:type="dxa"/>
            <w:gridSpan w:val="2"/>
            <w:vMerge/>
            <w:hideMark/>
          </w:tcPr>
          <w:p w14:paraId="467B7636" w14:textId="77777777" w:rsidR="006C4F63" w:rsidRPr="000973F2" w:rsidRDefault="006C4F63" w:rsidP="00706B2E">
            <w:pPr>
              <w:spacing w:before="40" w:after="4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sz w:val="18"/>
                <w:szCs w:val="18"/>
              </w:rPr>
            </w:pPr>
          </w:p>
        </w:tc>
      </w:tr>
      <w:tr w:rsidR="00706B2E" w:rsidRPr="000973F2" w14:paraId="1199E0DA" w14:textId="77777777" w:rsidTr="00065233">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1716" w:type="dxa"/>
            <w:vMerge/>
            <w:hideMark/>
          </w:tcPr>
          <w:p w14:paraId="1203EA68" w14:textId="77777777" w:rsidR="006C4F63" w:rsidRPr="000973F2" w:rsidRDefault="006C4F63" w:rsidP="00706B2E">
            <w:pPr>
              <w:spacing w:before="40" w:after="40"/>
              <w:rPr>
                <w:rFonts w:ascii="Times New Roman" w:eastAsia="Times New Roman" w:hAnsi="Times New Roman" w:cs="Times New Roman"/>
                <w:b/>
                <w:bCs w:val="0"/>
                <w:sz w:val="18"/>
                <w:szCs w:val="18"/>
              </w:rPr>
            </w:pPr>
          </w:p>
        </w:tc>
        <w:tc>
          <w:tcPr>
            <w:tcW w:w="716" w:type="dxa"/>
            <w:tcMar>
              <w:left w:w="14" w:type="dxa"/>
              <w:right w:w="14" w:type="dxa"/>
            </w:tcMar>
            <w:hideMark/>
          </w:tcPr>
          <w:p w14:paraId="478EE30F" w14:textId="1338F130" w:rsidR="006C4F63" w:rsidRPr="000973F2" w:rsidRDefault="006C4F63" w:rsidP="00706B2E">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18"/>
                <w:szCs w:val="18"/>
              </w:rPr>
            </w:pPr>
            <w:r w:rsidRPr="000973F2">
              <w:rPr>
                <w:rFonts w:ascii="Times New Roman" w:eastAsia="Times New Roman" w:hAnsi="Times New Roman" w:cs="Times New Roman"/>
                <w:b/>
                <w:bCs/>
                <w:sz w:val="18"/>
                <w:szCs w:val="18"/>
              </w:rPr>
              <w:t xml:space="preserve">Initial </w:t>
            </w:r>
            <w:r w:rsidR="00132320" w:rsidRPr="000973F2">
              <w:rPr>
                <w:rFonts w:ascii="Times New Roman" w:eastAsia="Times New Roman" w:hAnsi="Times New Roman" w:cs="Times New Roman"/>
                <w:b/>
                <w:bCs/>
                <w:sz w:val="18"/>
                <w:szCs w:val="18"/>
              </w:rPr>
              <w:t>Year Hours</w:t>
            </w:r>
          </w:p>
        </w:tc>
        <w:tc>
          <w:tcPr>
            <w:tcW w:w="717" w:type="dxa"/>
            <w:tcMar>
              <w:left w:w="14" w:type="dxa"/>
              <w:right w:w="14" w:type="dxa"/>
            </w:tcMar>
          </w:tcPr>
          <w:p w14:paraId="393EDF77" w14:textId="5853B39D" w:rsidR="006C4F63" w:rsidRPr="000973F2" w:rsidRDefault="006C4F63" w:rsidP="00706B2E">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18"/>
                <w:szCs w:val="18"/>
              </w:rPr>
            </w:pPr>
            <w:r w:rsidRPr="000973F2">
              <w:rPr>
                <w:rFonts w:ascii="Times New Roman" w:eastAsia="Times New Roman" w:hAnsi="Times New Roman" w:cs="Times New Roman"/>
                <w:b/>
                <w:bCs/>
                <w:sz w:val="18"/>
                <w:szCs w:val="18"/>
              </w:rPr>
              <w:t xml:space="preserve">Subseq. </w:t>
            </w:r>
            <w:r w:rsidR="00132320" w:rsidRPr="000973F2">
              <w:rPr>
                <w:rFonts w:ascii="Times New Roman" w:eastAsia="Times New Roman" w:hAnsi="Times New Roman" w:cs="Times New Roman"/>
                <w:b/>
                <w:bCs/>
                <w:sz w:val="18"/>
                <w:szCs w:val="18"/>
              </w:rPr>
              <w:t>Year Hours</w:t>
            </w:r>
          </w:p>
        </w:tc>
        <w:tc>
          <w:tcPr>
            <w:tcW w:w="717" w:type="dxa"/>
            <w:tcMar>
              <w:left w:w="14" w:type="dxa"/>
              <w:right w:w="14" w:type="dxa"/>
            </w:tcMar>
          </w:tcPr>
          <w:p w14:paraId="4209A462" w14:textId="1369412C" w:rsidR="006C4F63" w:rsidRPr="000973F2" w:rsidRDefault="006C4F63" w:rsidP="00706B2E">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18"/>
                <w:szCs w:val="18"/>
              </w:rPr>
            </w:pPr>
            <w:r w:rsidRPr="000973F2">
              <w:rPr>
                <w:rFonts w:ascii="Times New Roman" w:eastAsia="Times New Roman" w:hAnsi="Times New Roman" w:cs="Times New Roman"/>
                <w:b/>
                <w:bCs/>
                <w:sz w:val="18"/>
                <w:szCs w:val="18"/>
              </w:rPr>
              <w:t xml:space="preserve">Initial </w:t>
            </w:r>
            <w:r w:rsidR="00132320" w:rsidRPr="000973F2">
              <w:rPr>
                <w:rFonts w:ascii="Times New Roman" w:eastAsia="Times New Roman" w:hAnsi="Times New Roman" w:cs="Times New Roman"/>
                <w:b/>
                <w:bCs/>
                <w:sz w:val="18"/>
                <w:szCs w:val="18"/>
              </w:rPr>
              <w:t>Year Hours</w:t>
            </w:r>
          </w:p>
        </w:tc>
        <w:tc>
          <w:tcPr>
            <w:tcW w:w="717" w:type="dxa"/>
            <w:tcMar>
              <w:left w:w="14" w:type="dxa"/>
              <w:right w:w="14" w:type="dxa"/>
            </w:tcMar>
            <w:hideMark/>
          </w:tcPr>
          <w:p w14:paraId="5D17955C" w14:textId="43FCF956" w:rsidR="006C4F63" w:rsidRPr="000973F2" w:rsidRDefault="006C4F63" w:rsidP="00706B2E">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18"/>
                <w:szCs w:val="18"/>
              </w:rPr>
            </w:pPr>
            <w:r w:rsidRPr="000973F2">
              <w:rPr>
                <w:rFonts w:ascii="Times New Roman" w:eastAsia="Times New Roman" w:hAnsi="Times New Roman" w:cs="Times New Roman"/>
                <w:b/>
                <w:bCs/>
                <w:sz w:val="18"/>
                <w:szCs w:val="18"/>
              </w:rPr>
              <w:t xml:space="preserve">Subseq. </w:t>
            </w:r>
            <w:r w:rsidR="00132320" w:rsidRPr="000973F2">
              <w:rPr>
                <w:rFonts w:ascii="Times New Roman" w:eastAsia="Times New Roman" w:hAnsi="Times New Roman" w:cs="Times New Roman"/>
                <w:b/>
                <w:bCs/>
                <w:sz w:val="18"/>
                <w:szCs w:val="18"/>
              </w:rPr>
              <w:t>Year Hours</w:t>
            </w:r>
          </w:p>
        </w:tc>
        <w:tc>
          <w:tcPr>
            <w:tcW w:w="717" w:type="dxa"/>
            <w:tcMar>
              <w:left w:w="14" w:type="dxa"/>
              <w:right w:w="14" w:type="dxa"/>
            </w:tcMar>
            <w:hideMark/>
          </w:tcPr>
          <w:p w14:paraId="1740E490" w14:textId="30A74FEA" w:rsidR="006C4F63" w:rsidRPr="000973F2" w:rsidRDefault="006C4F63" w:rsidP="00706B2E">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18"/>
                <w:szCs w:val="18"/>
              </w:rPr>
            </w:pPr>
            <w:r w:rsidRPr="000973F2">
              <w:rPr>
                <w:rFonts w:ascii="Times New Roman" w:eastAsia="Times New Roman" w:hAnsi="Times New Roman" w:cs="Times New Roman"/>
                <w:b/>
                <w:bCs/>
                <w:sz w:val="18"/>
                <w:szCs w:val="18"/>
              </w:rPr>
              <w:t xml:space="preserve">Initial </w:t>
            </w:r>
            <w:r w:rsidR="00132320" w:rsidRPr="000973F2">
              <w:rPr>
                <w:rFonts w:ascii="Times New Roman" w:eastAsia="Times New Roman" w:hAnsi="Times New Roman" w:cs="Times New Roman"/>
                <w:b/>
                <w:bCs/>
                <w:sz w:val="18"/>
                <w:szCs w:val="18"/>
              </w:rPr>
              <w:t>Year Hours</w:t>
            </w:r>
          </w:p>
        </w:tc>
        <w:tc>
          <w:tcPr>
            <w:tcW w:w="717" w:type="dxa"/>
            <w:tcMar>
              <w:left w:w="14" w:type="dxa"/>
              <w:right w:w="14" w:type="dxa"/>
            </w:tcMar>
            <w:hideMark/>
          </w:tcPr>
          <w:p w14:paraId="52DA6CC7" w14:textId="42BC3719" w:rsidR="006C4F63" w:rsidRPr="000973F2" w:rsidRDefault="006C4F63" w:rsidP="00706B2E">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18"/>
                <w:szCs w:val="18"/>
              </w:rPr>
            </w:pPr>
            <w:r w:rsidRPr="000973F2">
              <w:rPr>
                <w:rFonts w:ascii="Times New Roman" w:eastAsia="Times New Roman" w:hAnsi="Times New Roman" w:cs="Times New Roman"/>
                <w:b/>
                <w:bCs/>
                <w:sz w:val="18"/>
                <w:szCs w:val="18"/>
              </w:rPr>
              <w:t xml:space="preserve">Subseq. </w:t>
            </w:r>
            <w:r w:rsidR="00132320" w:rsidRPr="000973F2">
              <w:rPr>
                <w:rFonts w:ascii="Times New Roman" w:eastAsia="Times New Roman" w:hAnsi="Times New Roman" w:cs="Times New Roman"/>
                <w:b/>
                <w:bCs/>
                <w:sz w:val="18"/>
                <w:szCs w:val="18"/>
              </w:rPr>
              <w:t>Year Hours</w:t>
            </w:r>
          </w:p>
        </w:tc>
        <w:tc>
          <w:tcPr>
            <w:tcW w:w="717" w:type="dxa"/>
            <w:tcMar>
              <w:left w:w="14" w:type="dxa"/>
              <w:right w:w="14" w:type="dxa"/>
            </w:tcMar>
            <w:hideMark/>
          </w:tcPr>
          <w:p w14:paraId="35A24C01" w14:textId="4A323605" w:rsidR="006C4F63" w:rsidRPr="000973F2" w:rsidRDefault="006C4F63" w:rsidP="00706B2E">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18"/>
                <w:szCs w:val="18"/>
              </w:rPr>
            </w:pPr>
            <w:r w:rsidRPr="000973F2">
              <w:rPr>
                <w:rFonts w:ascii="Times New Roman" w:eastAsia="Times New Roman" w:hAnsi="Times New Roman" w:cs="Times New Roman"/>
                <w:b/>
                <w:bCs/>
                <w:sz w:val="18"/>
                <w:szCs w:val="18"/>
              </w:rPr>
              <w:t xml:space="preserve">Initial </w:t>
            </w:r>
            <w:r w:rsidR="00132320" w:rsidRPr="000973F2">
              <w:rPr>
                <w:rFonts w:ascii="Times New Roman" w:eastAsia="Times New Roman" w:hAnsi="Times New Roman" w:cs="Times New Roman"/>
                <w:b/>
                <w:bCs/>
                <w:sz w:val="18"/>
                <w:szCs w:val="18"/>
              </w:rPr>
              <w:t>Year Hours</w:t>
            </w:r>
          </w:p>
        </w:tc>
        <w:tc>
          <w:tcPr>
            <w:tcW w:w="717" w:type="dxa"/>
            <w:tcMar>
              <w:left w:w="14" w:type="dxa"/>
              <w:right w:w="14" w:type="dxa"/>
            </w:tcMar>
            <w:hideMark/>
          </w:tcPr>
          <w:p w14:paraId="7BED6FE0" w14:textId="0F2B6FD2" w:rsidR="006C4F63" w:rsidRPr="000973F2" w:rsidRDefault="006C4F63" w:rsidP="00706B2E">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18"/>
                <w:szCs w:val="18"/>
              </w:rPr>
            </w:pPr>
            <w:r w:rsidRPr="000973F2">
              <w:rPr>
                <w:rFonts w:ascii="Times New Roman" w:eastAsia="Times New Roman" w:hAnsi="Times New Roman" w:cs="Times New Roman"/>
                <w:b/>
                <w:bCs/>
                <w:sz w:val="18"/>
                <w:szCs w:val="18"/>
              </w:rPr>
              <w:t xml:space="preserve">Subseq. </w:t>
            </w:r>
            <w:r w:rsidR="00132320" w:rsidRPr="000973F2">
              <w:rPr>
                <w:rFonts w:ascii="Times New Roman" w:eastAsia="Times New Roman" w:hAnsi="Times New Roman" w:cs="Times New Roman"/>
                <w:b/>
                <w:bCs/>
                <w:sz w:val="18"/>
                <w:szCs w:val="18"/>
              </w:rPr>
              <w:t>Year Hours</w:t>
            </w:r>
          </w:p>
        </w:tc>
        <w:tc>
          <w:tcPr>
            <w:tcW w:w="864" w:type="dxa"/>
            <w:hideMark/>
          </w:tcPr>
          <w:p w14:paraId="5EE9D6F0" w14:textId="77777777" w:rsidR="006C4F63" w:rsidRPr="000973F2" w:rsidRDefault="006C4F63" w:rsidP="00706B2E">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18"/>
                <w:szCs w:val="18"/>
              </w:rPr>
            </w:pPr>
            <w:r w:rsidRPr="000973F2">
              <w:rPr>
                <w:rFonts w:ascii="Times New Roman" w:eastAsia="Times New Roman" w:hAnsi="Times New Roman" w:cs="Times New Roman"/>
                <w:b/>
                <w:bCs/>
                <w:sz w:val="18"/>
                <w:szCs w:val="18"/>
              </w:rPr>
              <w:t>Initial Year</w:t>
            </w:r>
          </w:p>
        </w:tc>
        <w:tc>
          <w:tcPr>
            <w:tcW w:w="1015" w:type="dxa"/>
            <w:hideMark/>
          </w:tcPr>
          <w:p w14:paraId="4BE7AB0D" w14:textId="77777777" w:rsidR="006C4F63" w:rsidRPr="000973F2" w:rsidRDefault="006C4F63" w:rsidP="00706B2E">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18"/>
                <w:szCs w:val="18"/>
              </w:rPr>
            </w:pPr>
            <w:r w:rsidRPr="000973F2">
              <w:rPr>
                <w:rFonts w:ascii="Times New Roman" w:eastAsia="Times New Roman" w:hAnsi="Times New Roman" w:cs="Times New Roman"/>
                <w:b/>
                <w:bCs/>
                <w:sz w:val="18"/>
                <w:szCs w:val="18"/>
              </w:rPr>
              <w:t>Subseq. Year</w:t>
            </w:r>
          </w:p>
        </w:tc>
      </w:tr>
      <w:tr w:rsidR="00706B2E" w:rsidRPr="000973F2" w14:paraId="25CDEAD1" w14:textId="77777777" w:rsidTr="00065233">
        <w:trPr>
          <w:cantSplit/>
        </w:trPr>
        <w:tc>
          <w:tcPr>
            <w:cnfStyle w:val="001000000000" w:firstRow="0" w:lastRow="0" w:firstColumn="1" w:lastColumn="0" w:oddVBand="0" w:evenVBand="0" w:oddHBand="0" w:evenHBand="0" w:firstRowFirstColumn="0" w:firstRowLastColumn="0" w:lastRowFirstColumn="0" w:lastRowLastColumn="0"/>
            <w:tcW w:w="1716" w:type="dxa"/>
            <w:hideMark/>
          </w:tcPr>
          <w:p w14:paraId="5753B77A" w14:textId="77777777" w:rsidR="006C4F63" w:rsidRPr="000973F2" w:rsidRDefault="006C4F63" w:rsidP="00706B2E">
            <w:pPr>
              <w:spacing w:before="40" w:after="4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Planning</w:t>
            </w:r>
          </w:p>
        </w:tc>
        <w:tc>
          <w:tcPr>
            <w:tcW w:w="716" w:type="dxa"/>
            <w:noWrap/>
            <w:hideMark/>
          </w:tcPr>
          <w:p w14:paraId="41B2AA92" w14:textId="77777777" w:rsidR="006C4F63" w:rsidRPr="000973F2" w:rsidRDefault="006C4F63" w:rsidP="000C3089">
            <w:pPr>
              <w:spacing w:before="40" w:after="4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0</w:t>
            </w:r>
          </w:p>
        </w:tc>
        <w:tc>
          <w:tcPr>
            <w:tcW w:w="717" w:type="dxa"/>
          </w:tcPr>
          <w:p w14:paraId="7E46886A" w14:textId="77777777" w:rsidR="006C4F63" w:rsidRPr="000973F2" w:rsidRDefault="006C4F63" w:rsidP="000C3089">
            <w:pPr>
              <w:spacing w:before="40" w:after="4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2</w:t>
            </w:r>
          </w:p>
        </w:tc>
        <w:tc>
          <w:tcPr>
            <w:tcW w:w="717" w:type="dxa"/>
            <w:noWrap/>
          </w:tcPr>
          <w:p w14:paraId="72EC417E" w14:textId="77777777" w:rsidR="006C4F63" w:rsidRPr="000973F2" w:rsidRDefault="006C4F63" w:rsidP="000C3089">
            <w:pPr>
              <w:spacing w:before="40" w:after="4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0</w:t>
            </w:r>
          </w:p>
        </w:tc>
        <w:tc>
          <w:tcPr>
            <w:tcW w:w="717" w:type="dxa"/>
            <w:noWrap/>
          </w:tcPr>
          <w:p w14:paraId="6C9969B2" w14:textId="77777777" w:rsidR="006C4F63" w:rsidRPr="000973F2" w:rsidRDefault="006C4F63" w:rsidP="000C3089">
            <w:pPr>
              <w:spacing w:before="40" w:after="4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0</w:t>
            </w:r>
          </w:p>
        </w:tc>
        <w:tc>
          <w:tcPr>
            <w:tcW w:w="717" w:type="dxa"/>
            <w:noWrap/>
            <w:hideMark/>
          </w:tcPr>
          <w:p w14:paraId="5478B34B" w14:textId="77777777" w:rsidR="006C4F63" w:rsidRPr="000973F2" w:rsidRDefault="006C4F63" w:rsidP="000C3089">
            <w:pPr>
              <w:spacing w:before="40" w:after="4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0</w:t>
            </w:r>
          </w:p>
        </w:tc>
        <w:tc>
          <w:tcPr>
            <w:tcW w:w="717" w:type="dxa"/>
            <w:noWrap/>
            <w:hideMark/>
          </w:tcPr>
          <w:p w14:paraId="35833829" w14:textId="77777777" w:rsidR="006C4F63" w:rsidRPr="000973F2" w:rsidRDefault="006C4F63" w:rsidP="000C3089">
            <w:pPr>
              <w:tabs>
                <w:tab w:val="decimal" w:pos="271"/>
              </w:tabs>
              <w:spacing w:before="40" w:after="4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6</w:t>
            </w:r>
          </w:p>
        </w:tc>
        <w:tc>
          <w:tcPr>
            <w:tcW w:w="717" w:type="dxa"/>
            <w:noWrap/>
          </w:tcPr>
          <w:p w14:paraId="060E56AA" w14:textId="77777777" w:rsidR="006C4F63" w:rsidRPr="000973F2" w:rsidRDefault="006C4F63" w:rsidP="000C3089">
            <w:pPr>
              <w:spacing w:before="40" w:after="4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0</w:t>
            </w:r>
          </w:p>
        </w:tc>
        <w:tc>
          <w:tcPr>
            <w:tcW w:w="717" w:type="dxa"/>
            <w:noWrap/>
          </w:tcPr>
          <w:p w14:paraId="6F1F5C18" w14:textId="77777777" w:rsidR="006C4F63" w:rsidRPr="000973F2" w:rsidRDefault="006C4F63" w:rsidP="000C3089">
            <w:pPr>
              <w:spacing w:before="40" w:after="4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1</w:t>
            </w:r>
          </w:p>
        </w:tc>
        <w:tc>
          <w:tcPr>
            <w:tcW w:w="864" w:type="dxa"/>
            <w:noWrap/>
            <w:hideMark/>
          </w:tcPr>
          <w:p w14:paraId="211D0898" w14:textId="77777777" w:rsidR="006C4F63" w:rsidRPr="000973F2" w:rsidRDefault="006C4F63" w:rsidP="000C3089">
            <w:pPr>
              <w:spacing w:before="40" w:after="4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$0</w:t>
            </w:r>
          </w:p>
        </w:tc>
        <w:tc>
          <w:tcPr>
            <w:tcW w:w="1015" w:type="dxa"/>
            <w:noWrap/>
            <w:hideMark/>
          </w:tcPr>
          <w:p w14:paraId="71DF7D11" w14:textId="77777777" w:rsidR="006C4F63" w:rsidRPr="000973F2" w:rsidRDefault="006C4F63" w:rsidP="000C3089">
            <w:pPr>
              <w:tabs>
                <w:tab w:val="decimal" w:pos="556"/>
              </w:tabs>
              <w:spacing w:before="40" w:after="4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$701</w:t>
            </w:r>
          </w:p>
        </w:tc>
      </w:tr>
      <w:tr w:rsidR="00706B2E" w:rsidRPr="000973F2" w14:paraId="2E1E536D" w14:textId="77777777" w:rsidTr="00065233">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1716" w:type="dxa"/>
            <w:hideMark/>
          </w:tcPr>
          <w:p w14:paraId="67B60E4B" w14:textId="77777777" w:rsidR="006C4F63" w:rsidRPr="000973F2" w:rsidRDefault="006C4F63" w:rsidP="00706B2E">
            <w:pPr>
              <w:spacing w:before="40" w:after="4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QA/QC</w:t>
            </w:r>
          </w:p>
        </w:tc>
        <w:tc>
          <w:tcPr>
            <w:tcW w:w="716" w:type="dxa"/>
            <w:noWrap/>
            <w:hideMark/>
          </w:tcPr>
          <w:p w14:paraId="4E4F4031" w14:textId="77777777" w:rsidR="006C4F63" w:rsidRPr="000973F2" w:rsidRDefault="006C4F63" w:rsidP="000C3089">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0</w:t>
            </w:r>
          </w:p>
        </w:tc>
        <w:tc>
          <w:tcPr>
            <w:tcW w:w="717" w:type="dxa"/>
          </w:tcPr>
          <w:p w14:paraId="515E75AF" w14:textId="77777777" w:rsidR="006C4F63" w:rsidRPr="000973F2" w:rsidRDefault="006C4F63" w:rsidP="000C3089">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0</w:t>
            </w:r>
          </w:p>
        </w:tc>
        <w:tc>
          <w:tcPr>
            <w:tcW w:w="717" w:type="dxa"/>
            <w:noWrap/>
          </w:tcPr>
          <w:p w14:paraId="2FD5AB45" w14:textId="77777777" w:rsidR="006C4F63" w:rsidRPr="000973F2" w:rsidRDefault="006C4F63" w:rsidP="000C3089">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0</w:t>
            </w:r>
          </w:p>
        </w:tc>
        <w:tc>
          <w:tcPr>
            <w:tcW w:w="717" w:type="dxa"/>
            <w:noWrap/>
          </w:tcPr>
          <w:p w14:paraId="331830BD" w14:textId="77777777" w:rsidR="006C4F63" w:rsidRPr="000973F2" w:rsidRDefault="006C4F63" w:rsidP="000C3089">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1</w:t>
            </w:r>
          </w:p>
        </w:tc>
        <w:tc>
          <w:tcPr>
            <w:tcW w:w="717" w:type="dxa"/>
            <w:noWrap/>
            <w:hideMark/>
          </w:tcPr>
          <w:p w14:paraId="42127EC1" w14:textId="77777777" w:rsidR="006C4F63" w:rsidRPr="000973F2" w:rsidRDefault="006C4F63" w:rsidP="000C3089">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0</w:t>
            </w:r>
          </w:p>
        </w:tc>
        <w:tc>
          <w:tcPr>
            <w:tcW w:w="717" w:type="dxa"/>
            <w:noWrap/>
            <w:hideMark/>
          </w:tcPr>
          <w:p w14:paraId="5A957F83" w14:textId="77777777" w:rsidR="006C4F63" w:rsidRPr="000973F2" w:rsidRDefault="006C4F63" w:rsidP="000C3089">
            <w:pPr>
              <w:tabs>
                <w:tab w:val="decimal" w:pos="271"/>
              </w:tabs>
              <w:spacing w:before="40" w:after="4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13</w:t>
            </w:r>
          </w:p>
        </w:tc>
        <w:tc>
          <w:tcPr>
            <w:tcW w:w="717" w:type="dxa"/>
            <w:noWrap/>
          </w:tcPr>
          <w:p w14:paraId="3449B6C8" w14:textId="77777777" w:rsidR="006C4F63" w:rsidRPr="000973F2" w:rsidRDefault="006C4F63" w:rsidP="000C3089">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0</w:t>
            </w:r>
          </w:p>
        </w:tc>
        <w:tc>
          <w:tcPr>
            <w:tcW w:w="717" w:type="dxa"/>
            <w:noWrap/>
          </w:tcPr>
          <w:p w14:paraId="0AF5E99B" w14:textId="77777777" w:rsidR="006C4F63" w:rsidRPr="000973F2" w:rsidRDefault="006C4F63" w:rsidP="000C3089">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1</w:t>
            </w:r>
          </w:p>
        </w:tc>
        <w:tc>
          <w:tcPr>
            <w:tcW w:w="864" w:type="dxa"/>
            <w:noWrap/>
            <w:hideMark/>
          </w:tcPr>
          <w:p w14:paraId="170F95B6" w14:textId="77777777" w:rsidR="006C4F63" w:rsidRPr="000973F2" w:rsidRDefault="006C4F63" w:rsidP="000C3089">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$0</w:t>
            </w:r>
          </w:p>
        </w:tc>
        <w:tc>
          <w:tcPr>
            <w:tcW w:w="1015" w:type="dxa"/>
            <w:noWrap/>
            <w:hideMark/>
          </w:tcPr>
          <w:p w14:paraId="4BEF15A6" w14:textId="77777777" w:rsidR="006C4F63" w:rsidRPr="000973F2" w:rsidRDefault="006C4F63" w:rsidP="000C3089">
            <w:pPr>
              <w:tabs>
                <w:tab w:val="decimal" w:pos="556"/>
              </w:tabs>
              <w:spacing w:before="40" w:after="4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$1,057</w:t>
            </w:r>
          </w:p>
        </w:tc>
      </w:tr>
      <w:tr w:rsidR="00706B2E" w:rsidRPr="000973F2" w14:paraId="72A8563A" w14:textId="77777777" w:rsidTr="00065233">
        <w:trPr>
          <w:cantSplit/>
        </w:trPr>
        <w:tc>
          <w:tcPr>
            <w:cnfStyle w:val="001000000000" w:firstRow="0" w:lastRow="0" w:firstColumn="1" w:lastColumn="0" w:oddVBand="0" w:evenVBand="0" w:oddHBand="0" w:evenHBand="0" w:firstRowFirstColumn="0" w:firstRowLastColumn="0" w:lastRowFirstColumn="0" w:lastRowLastColumn="0"/>
            <w:tcW w:w="1716" w:type="dxa"/>
            <w:hideMark/>
          </w:tcPr>
          <w:p w14:paraId="5C73596F" w14:textId="77777777" w:rsidR="006C4F63" w:rsidRPr="000973F2" w:rsidRDefault="006C4F63" w:rsidP="00706B2E">
            <w:pPr>
              <w:spacing w:before="40" w:after="4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Recordkeeping</w:t>
            </w:r>
          </w:p>
        </w:tc>
        <w:tc>
          <w:tcPr>
            <w:tcW w:w="716" w:type="dxa"/>
            <w:noWrap/>
            <w:hideMark/>
          </w:tcPr>
          <w:p w14:paraId="503AD330" w14:textId="77777777" w:rsidR="006C4F63" w:rsidRPr="000973F2" w:rsidRDefault="006C4F63" w:rsidP="000C3089">
            <w:pPr>
              <w:spacing w:before="40" w:after="4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0</w:t>
            </w:r>
          </w:p>
        </w:tc>
        <w:tc>
          <w:tcPr>
            <w:tcW w:w="717" w:type="dxa"/>
          </w:tcPr>
          <w:p w14:paraId="7BC4A66F" w14:textId="77777777" w:rsidR="006C4F63" w:rsidRPr="000973F2" w:rsidRDefault="006C4F63" w:rsidP="000C3089">
            <w:pPr>
              <w:spacing w:before="40" w:after="4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0</w:t>
            </w:r>
          </w:p>
        </w:tc>
        <w:tc>
          <w:tcPr>
            <w:tcW w:w="717" w:type="dxa"/>
            <w:noWrap/>
          </w:tcPr>
          <w:p w14:paraId="4231F3E6" w14:textId="77777777" w:rsidR="006C4F63" w:rsidRPr="000973F2" w:rsidRDefault="006C4F63" w:rsidP="000C3089">
            <w:pPr>
              <w:spacing w:before="40" w:after="4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0</w:t>
            </w:r>
          </w:p>
        </w:tc>
        <w:tc>
          <w:tcPr>
            <w:tcW w:w="717" w:type="dxa"/>
            <w:noWrap/>
          </w:tcPr>
          <w:p w14:paraId="116696E6" w14:textId="77777777" w:rsidR="006C4F63" w:rsidRPr="000973F2" w:rsidRDefault="006C4F63" w:rsidP="000C3089">
            <w:pPr>
              <w:spacing w:before="40" w:after="4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1</w:t>
            </w:r>
          </w:p>
        </w:tc>
        <w:tc>
          <w:tcPr>
            <w:tcW w:w="717" w:type="dxa"/>
            <w:noWrap/>
            <w:hideMark/>
          </w:tcPr>
          <w:p w14:paraId="27B7AEF4" w14:textId="77777777" w:rsidR="006C4F63" w:rsidRPr="000973F2" w:rsidRDefault="006C4F63" w:rsidP="000C3089">
            <w:pPr>
              <w:spacing w:before="40" w:after="4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0</w:t>
            </w:r>
          </w:p>
        </w:tc>
        <w:tc>
          <w:tcPr>
            <w:tcW w:w="717" w:type="dxa"/>
            <w:noWrap/>
            <w:hideMark/>
          </w:tcPr>
          <w:p w14:paraId="4CBF7F5C" w14:textId="77777777" w:rsidR="006C4F63" w:rsidRPr="000973F2" w:rsidRDefault="006C4F63" w:rsidP="000C3089">
            <w:pPr>
              <w:tabs>
                <w:tab w:val="decimal" w:pos="271"/>
              </w:tabs>
              <w:spacing w:before="40" w:after="4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13</w:t>
            </w:r>
          </w:p>
        </w:tc>
        <w:tc>
          <w:tcPr>
            <w:tcW w:w="717" w:type="dxa"/>
            <w:noWrap/>
          </w:tcPr>
          <w:p w14:paraId="6985D984" w14:textId="77777777" w:rsidR="006C4F63" w:rsidRPr="000973F2" w:rsidRDefault="006C4F63" w:rsidP="000C3089">
            <w:pPr>
              <w:spacing w:before="40" w:after="4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0</w:t>
            </w:r>
          </w:p>
        </w:tc>
        <w:tc>
          <w:tcPr>
            <w:tcW w:w="717" w:type="dxa"/>
            <w:noWrap/>
          </w:tcPr>
          <w:p w14:paraId="4EF688C6" w14:textId="77777777" w:rsidR="006C4F63" w:rsidRPr="000973F2" w:rsidRDefault="006C4F63" w:rsidP="000C3089">
            <w:pPr>
              <w:spacing w:before="40" w:after="4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1</w:t>
            </w:r>
          </w:p>
        </w:tc>
        <w:tc>
          <w:tcPr>
            <w:tcW w:w="864" w:type="dxa"/>
            <w:noWrap/>
            <w:hideMark/>
          </w:tcPr>
          <w:p w14:paraId="62E9FC61" w14:textId="77777777" w:rsidR="006C4F63" w:rsidRPr="000973F2" w:rsidRDefault="006C4F63" w:rsidP="000C3089">
            <w:pPr>
              <w:spacing w:before="40" w:after="4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$0</w:t>
            </w:r>
          </w:p>
        </w:tc>
        <w:tc>
          <w:tcPr>
            <w:tcW w:w="1015" w:type="dxa"/>
            <w:noWrap/>
            <w:hideMark/>
          </w:tcPr>
          <w:p w14:paraId="4583F705" w14:textId="77777777" w:rsidR="006C4F63" w:rsidRPr="000973F2" w:rsidRDefault="006C4F63" w:rsidP="000C3089">
            <w:pPr>
              <w:tabs>
                <w:tab w:val="decimal" w:pos="556"/>
              </w:tabs>
              <w:spacing w:before="40" w:after="4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$1,053</w:t>
            </w:r>
          </w:p>
        </w:tc>
      </w:tr>
      <w:tr w:rsidR="00706B2E" w:rsidRPr="000973F2" w14:paraId="77DF1FE9" w14:textId="77777777" w:rsidTr="00065233">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1716" w:type="dxa"/>
            <w:hideMark/>
          </w:tcPr>
          <w:p w14:paraId="3F00DFFD" w14:textId="77777777" w:rsidR="006C4F63" w:rsidRPr="000973F2" w:rsidRDefault="006C4F63" w:rsidP="00706B2E">
            <w:pPr>
              <w:spacing w:before="40" w:after="4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Sampling and Analysis (Calculations)</w:t>
            </w:r>
          </w:p>
        </w:tc>
        <w:tc>
          <w:tcPr>
            <w:tcW w:w="716" w:type="dxa"/>
            <w:noWrap/>
            <w:hideMark/>
          </w:tcPr>
          <w:p w14:paraId="1F9DBC90" w14:textId="77777777" w:rsidR="006C4F63" w:rsidRPr="000973F2" w:rsidRDefault="006C4F63" w:rsidP="000C3089">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0</w:t>
            </w:r>
          </w:p>
        </w:tc>
        <w:tc>
          <w:tcPr>
            <w:tcW w:w="717" w:type="dxa"/>
          </w:tcPr>
          <w:p w14:paraId="01579704" w14:textId="77777777" w:rsidR="006C4F63" w:rsidRPr="000973F2" w:rsidRDefault="006C4F63" w:rsidP="000C3089">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0</w:t>
            </w:r>
          </w:p>
        </w:tc>
        <w:tc>
          <w:tcPr>
            <w:tcW w:w="717" w:type="dxa"/>
            <w:noWrap/>
          </w:tcPr>
          <w:p w14:paraId="1849187F" w14:textId="77777777" w:rsidR="006C4F63" w:rsidRPr="000973F2" w:rsidRDefault="006C4F63" w:rsidP="000C3089">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0</w:t>
            </w:r>
          </w:p>
        </w:tc>
        <w:tc>
          <w:tcPr>
            <w:tcW w:w="717" w:type="dxa"/>
            <w:noWrap/>
          </w:tcPr>
          <w:p w14:paraId="473D81C6" w14:textId="77777777" w:rsidR="006C4F63" w:rsidRPr="000973F2" w:rsidRDefault="006C4F63" w:rsidP="000C3089">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0</w:t>
            </w:r>
          </w:p>
        </w:tc>
        <w:tc>
          <w:tcPr>
            <w:tcW w:w="717" w:type="dxa"/>
            <w:noWrap/>
            <w:hideMark/>
          </w:tcPr>
          <w:p w14:paraId="1DA872C5" w14:textId="77777777" w:rsidR="006C4F63" w:rsidRPr="000973F2" w:rsidRDefault="006C4F63" w:rsidP="000C3089">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0</w:t>
            </w:r>
          </w:p>
        </w:tc>
        <w:tc>
          <w:tcPr>
            <w:tcW w:w="717" w:type="dxa"/>
            <w:noWrap/>
            <w:hideMark/>
          </w:tcPr>
          <w:p w14:paraId="6247A5AA" w14:textId="77777777" w:rsidR="006C4F63" w:rsidRPr="000973F2" w:rsidRDefault="006C4F63" w:rsidP="000C3089">
            <w:pPr>
              <w:tabs>
                <w:tab w:val="decimal" w:pos="271"/>
              </w:tabs>
              <w:spacing w:before="40" w:after="4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3</w:t>
            </w:r>
          </w:p>
        </w:tc>
        <w:tc>
          <w:tcPr>
            <w:tcW w:w="717" w:type="dxa"/>
            <w:noWrap/>
          </w:tcPr>
          <w:p w14:paraId="71AB4A24" w14:textId="77777777" w:rsidR="006C4F63" w:rsidRPr="000973F2" w:rsidRDefault="006C4F63" w:rsidP="000C3089">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0</w:t>
            </w:r>
          </w:p>
        </w:tc>
        <w:tc>
          <w:tcPr>
            <w:tcW w:w="717" w:type="dxa"/>
            <w:noWrap/>
          </w:tcPr>
          <w:p w14:paraId="534829AF" w14:textId="77777777" w:rsidR="006C4F63" w:rsidRPr="000973F2" w:rsidRDefault="006C4F63" w:rsidP="000C3089">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0</w:t>
            </w:r>
          </w:p>
        </w:tc>
        <w:tc>
          <w:tcPr>
            <w:tcW w:w="864" w:type="dxa"/>
            <w:noWrap/>
            <w:hideMark/>
          </w:tcPr>
          <w:p w14:paraId="1273F9EA" w14:textId="77777777" w:rsidR="006C4F63" w:rsidRPr="000973F2" w:rsidRDefault="006C4F63" w:rsidP="000C3089">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$0</w:t>
            </w:r>
          </w:p>
        </w:tc>
        <w:tc>
          <w:tcPr>
            <w:tcW w:w="1015" w:type="dxa"/>
            <w:noWrap/>
            <w:hideMark/>
          </w:tcPr>
          <w:p w14:paraId="06474999" w14:textId="77777777" w:rsidR="006C4F63" w:rsidRPr="000973F2" w:rsidRDefault="006C4F63" w:rsidP="000C3089">
            <w:pPr>
              <w:tabs>
                <w:tab w:val="decimal" w:pos="556"/>
              </w:tabs>
              <w:spacing w:before="40" w:after="4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$262</w:t>
            </w:r>
          </w:p>
        </w:tc>
      </w:tr>
      <w:tr w:rsidR="00706B2E" w:rsidRPr="000973F2" w14:paraId="1418C548" w14:textId="77777777" w:rsidTr="00065233">
        <w:trPr>
          <w:cantSplit/>
        </w:trPr>
        <w:tc>
          <w:tcPr>
            <w:cnfStyle w:val="001000000000" w:firstRow="0" w:lastRow="0" w:firstColumn="1" w:lastColumn="0" w:oddVBand="0" w:evenVBand="0" w:oddHBand="0" w:evenHBand="0" w:firstRowFirstColumn="0" w:firstRowLastColumn="0" w:lastRowFirstColumn="0" w:lastRowLastColumn="0"/>
            <w:tcW w:w="1716" w:type="dxa"/>
            <w:hideMark/>
          </w:tcPr>
          <w:p w14:paraId="45D829BA" w14:textId="77777777" w:rsidR="006C4F63" w:rsidRPr="000973F2" w:rsidRDefault="006C4F63" w:rsidP="00706B2E">
            <w:pPr>
              <w:spacing w:before="40" w:after="4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Reporting</w:t>
            </w:r>
          </w:p>
        </w:tc>
        <w:tc>
          <w:tcPr>
            <w:tcW w:w="716" w:type="dxa"/>
            <w:noWrap/>
            <w:hideMark/>
          </w:tcPr>
          <w:p w14:paraId="10C5969F" w14:textId="77777777" w:rsidR="006C4F63" w:rsidRPr="000973F2" w:rsidRDefault="006C4F63" w:rsidP="000C3089">
            <w:pPr>
              <w:spacing w:before="40" w:after="4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0</w:t>
            </w:r>
          </w:p>
        </w:tc>
        <w:tc>
          <w:tcPr>
            <w:tcW w:w="717" w:type="dxa"/>
          </w:tcPr>
          <w:p w14:paraId="07300145" w14:textId="77777777" w:rsidR="006C4F63" w:rsidRPr="000973F2" w:rsidRDefault="006C4F63" w:rsidP="000C3089">
            <w:pPr>
              <w:spacing w:before="40" w:after="4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0</w:t>
            </w:r>
          </w:p>
        </w:tc>
        <w:tc>
          <w:tcPr>
            <w:tcW w:w="717" w:type="dxa"/>
            <w:noWrap/>
          </w:tcPr>
          <w:p w14:paraId="57AD6DAF" w14:textId="77777777" w:rsidR="006C4F63" w:rsidRPr="000973F2" w:rsidRDefault="006C4F63" w:rsidP="000C3089">
            <w:pPr>
              <w:spacing w:before="40" w:after="4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0</w:t>
            </w:r>
          </w:p>
        </w:tc>
        <w:tc>
          <w:tcPr>
            <w:tcW w:w="717" w:type="dxa"/>
            <w:noWrap/>
          </w:tcPr>
          <w:p w14:paraId="3355C690" w14:textId="77777777" w:rsidR="006C4F63" w:rsidRPr="000973F2" w:rsidRDefault="006C4F63" w:rsidP="000C3089">
            <w:pPr>
              <w:spacing w:before="40" w:after="4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2</w:t>
            </w:r>
          </w:p>
        </w:tc>
        <w:tc>
          <w:tcPr>
            <w:tcW w:w="717" w:type="dxa"/>
            <w:noWrap/>
            <w:hideMark/>
          </w:tcPr>
          <w:p w14:paraId="7CAF630B" w14:textId="77777777" w:rsidR="006C4F63" w:rsidRPr="000973F2" w:rsidRDefault="006C4F63" w:rsidP="000C3089">
            <w:pPr>
              <w:spacing w:before="40" w:after="4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0</w:t>
            </w:r>
          </w:p>
        </w:tc>
        <w:tc>
          <w:tcPr>
            <w:tcW w:w="717" w:type="dxa"/>
            <w:noWrap/>
            <w:hideMark/>
          </w:tcPr>
          <w:p w14:paraId="6F7789F0" w14:textId="77777777" w:rsidR="006C4F63" w:rsidRPr="000973F2" w:rsidRDefault="006C4F63" w:rsidP="000C3089">
            <w:pPr>
              <w:tabs>
                <w:tab w:val="decimal" w:pos="271"/>
              </w:tabs>
              <w:spacing w:before="40" w:after="4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26</w:t>
            </w:r>
          </w:p>
        </w:tc>
        <w:tc>
          <w:tcPr>
            <w:tcW w:w="717" w:type="dxa"/>
            <w:noWrap/>
          </w:tcPr>
          <w:p w14:paraId="57F3C096" w14:textId="77777777" w:rsidR="006C4F63" w:rsidRPr="000973F2" w:rsidRDefault="006C4F63" w:rsidP="000C3089">
            <w:pPr>
              <w:spacing w:before="40" w:after="4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0</w:t>
            </w:r>
          </w:p>
        </w:tc>
        <w:tc>
          <w:tcPr>
            <w:tcW w:w="717" w:type="dxa"/>
            <w:noWrap/>
          </w:tcPr>
          <w:p w14:paraId="3D3012D5" w14:textId="77777777" w:rsidR="006C4F63" w:rsidRPr="000973F2" w:rsidRDefault="006C4F63" w:rsidP="000C3089">
            <w:pPr>
              <w:spacing w:before="40" w:after="4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2</w:t>
            </w:r>
          </w:p>
        </w:tc>
        <w:tc>
          <w:tcPr>
            <w:tcW w:w="864" w:type="dxa"/>
            <w:noWrap/>
            <w:hideMark/>
          </w:tcPr>
          <w:p w14:paraId="784F5522" w14:textId="77777777" w:rsidR="006C4F63" w:rsidRPr="000973F2" w:rsidRDefault="006C4F63" w:rsidP="000C3089">
            <w:pPr>
              <w:spacing w:before="40" w:after="4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$0</w:t>
            </w:r>
          </w:p>
        </w:tc>
        <w:tc>
          <w:tcPr>
            <w:tcW w:w="1015" w:type="dxa"/>
            <w:noWrap/>
            <w:hideMark/>
          </w:tcPr>
          <w:p w14:paraId="1681FECD" w14:textId="77777777" w:rsidR="006C4F63" w:rsidRPr="000973F2" w:rsidRDefault="006C4F63" w:rsidP="000C3089">
            <w:pPr>
              <w:tabs>
                <w:tab w:val="decimal" w:pos="556"/>
              </w:tabs>
              <w:spacing w:before="40" w:after="4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$2,105</w:t>
            </w:r>
          </w:p>
        </w:tc>
      </w:tr>
      <w:tr w:rsidR="00706B2E" w:rsidRPr="000973F2" w14:paraId="4985A903" w14:textId="77777777" w:rsidTr="00065233">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1716" w:type="dxa"/>
            <w:noWrap/>
            <w:hideMark/>
          </w:tcPr>
          <w:p w14:paraId="15552796" w14:textId="77777777" w:rsidR="006C4F63" w:rsidRPr="000973F2" w:rsidRDefault="006C4F63" w:rsidP="00706B2E">
            <w:pPr>
              <w:spacing w:before="40" w:after="40"/>
              <w:rPr>
                <w:rFonts w:ascii="Times New Roman" w:eastAsia="Times New Roman" w:hAnsi="Times New Roman" w:cs="Times New Roman"/>
                <w:b/>
                <w:bCs w:val="0"/>
                <w:sz w:val="18"/>
                <w:szCs w:val="18"/>
              </w:rPr>
            </w:pPr>
            <w:r w:rsidRPr="000973F2">
              <w:rPr>
                <w:rFonts w:ascii="Times New Roman" w:eastAsia="Times New Roman" w:hAnsi="Times New Roman" w:cs="Times New Roman"/>
                <w:b/>
                <w:sz w:val="18"/>
                <w:szCs w:val="18"/>
              </w:rPr>
              <w:t>Total</w:t>
            </w:r>
          </w:p>
        </w:tc>
        <w:tc>
          <w:tcPr>
            <w:tcW w:w="716" w:type="dxa"/>
            <w:noWrap/>
            <w:hideMark/>
          </w:tcPr>
          <w:p w14:paraId="7EDC6374" w14:textId="77777777" w:rsidR="006C4F63" w:rsidRPr="000973F2" w:rsidRDefault="006C4F63" w:rsidP="000C3089">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18"/>
                <w:szCs w:val="18"/>
              </w:rPr>
            </w:pPr>
            <w:r w:rsidRPr="000973F2">
              <w:rPr>
                <w:rFonts w:ascii="Times New Roman" w:eastAsia="Times New Roman" w:hAnsi="Times New Roman" w:cs="Times New Roman"/>
                <w:b/>
                <w:bCs/>
                <w:sz w:val="18"/>
                <w:szCs w:val="18"/>
              </w:rPr>
              <w:t>0</w:t>
            </w:r>
          </w:p>
        </w:tc>
        <w:tc>
          <w:tcPr>
            <w:tcW w:w="717" w:type="dxa"/>
          </w:tcPr>
          <w:p w14:paraId="67E061A8" w14:textId="77777777" w:rsidR="006C4F63" w:rsidRPr="000973F2" w:rsidRDefault="006C4F63" w:rsidP="000C3089">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18"/>
                <w:szCs w:val="18"/>
              </w:rPr>
            </w:pPr>
            <w:r w:rsidRPr="000973F2">
              <w:rPr>
                <w:rFonts w:ascii="Times New Roman" w:eastAsia="Times New Roman" w:hAnsi="Times New Roman" w:cs="Times New Roman"/>
                <w:b/>
                <w:bCs/>
                <w:sz w:val="18"/>
                <w:szCs w:val="18"/>
              </w:rPr>
              <w:t>2</w:t>
            </w:r>
          </w:p>
        </w:tc>
        <w:tc>
          <w:tcPr>
            <w:tcW w:w="717" w:type="dxa"/>
            <w:noWrap/>
          </w:tcPr>
          <w:p w14:paraId="260F6870" w14:textId="77777777" w:rsidR="006C4F63" w:rsidRPr="000973F2" w:rsidRDefault="006C4F63" w:rsidP="000C3089">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18"/>
                <w:szCs w:val="18"/>
              </w:rPr>
            </w:pPr>
            <w:r w:rsidRPr="000973F2">
              <w:rPr>
                <w:rFonts w:ascii="Times New Roman" w:eastAsia="Times New Roman" w:hAnsi="Times New Roman" w:cs="Times New Roman"/>
                <w:b/>
                <w:bCs/>
                <w:sz w:val="18"/>
                <w:szCs w:val="18"/>
              </w:rPr>
              <w:t>0</w:t>
            </w:r>
          </w:p>
        </w:tc>
        <w:tc>
          <w:tcPr>
            <w:tcW w:w="717" w:type="dxa"/>
            <w:noWrap/>
            <w:hideMark/>
          </w:tcPr>
          <w:p w14:paraId="38265493" w14:textId="77777777" w:rsidR="006C4F63" w:rsidRPr="000973F2" w:rsidRDefault="006C4F63" w:rsidP="000C3089">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18"/>
                <w:szCs w:val="18"/>
              </w:rPr>
            </w:pPr>
            <w:r w:rsidRPr="000973F2">
              <w:rPr>
                <w:rFonts w:ascii="Times New Roman" w:eastAsia="Times New Roman" w:hAnsi="Times New Roman" w:cs="Times New Roman"/>
                <w:b/>
                <w:bCs/>
                <w:sz w:val="18"/>
                <w:szCs w:val="18"/>
              </w:rPr>
              <w:t>4</w:t>
            </w:r>
          </w:p>
        </w:tc>
        <w:tc>
          <w:tcPr>
            <w:tcW w:w="717" w:type="dxa"/>
            <w:noWrap/>
            <w:hideMark/>
          </w:tcPr>
          <w:p w14:paraId="3187549C" w14:textId="77777777" w:rsidR="006C4F63" w:rsidRPr="000973F2" w:rsidRDefault="006C4F63" w:rsidP="000C3089">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18"/>
                <w:szCs w:val="18"/>
              </w:rPr>
            </w:pPr>
            <w:r w:rsidRPr="000973F2">
              <w:rPr>
                <w:rFonts w:ascii="Times New Roman" w:eastAsia="Times New Roman" w:hAnsi="Times New Roman" w:cs="Times New Roman"/>
                <w:b/>
                <w:bCs/>
                <w:sz w:val="18"/>
                <w:szCs w:val="18"/>
              </w:rPr>
              <w:t>0</w:t>
            </w:r>
          </w:p>
        </w:tc>
        <w:tc>
          <w:tcPr>
            <w:tcW w:w="717" w:type="dxa"/>
            <w:noWrap/>
            <w:hideMark/>
          </w:tcPr>
          <w:p w14:paraId="2FC5A9E8" w14:textId="77777777" w:rsidR="006C4F63" w:rsidRPr="000973F2" w:rsidRDefault="006C4F63" w:rsidP="000C3089">
            <w:pPr>
              <w:tabs>
                <w:tab w:val="decimal" w:pos="271"/>
              </w:tabs>
              <w:spacing w:before="40" w:after="4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18"/>
                <w:szCs w:val="18"/>
              </w:rPr>
            </w:pPr>
            <w:r w:rsidRPr="000973F2">
              <w:rPr>
                <w:rFonts w:ascii="Times New Roman" w:eastAsia="Times New Roman" w:hAnsi="Times New Roman" w:cs="Times New Roman"/>
                <w:b/>
                <w:bCs/>
                <w:sz w:val="18"/>
                <w:szCs w:val="18"/>
              </w:rPr>
              <w:t>62</w:t>
            </w:r>
          </w:p>
        </w:tc>
        <w:tc>
          <w:tcPr>
            <w:tcW w:w="717" w:type="dxa"/>
            <w:noWrap/>
          </w:tcPr>
          <w:p w14:paraId="4D13FCD3" w14:textId="77777777" w:rsidR="006C4F63" w:rsidRPr="000973F2" w:rsidRDefault="006C4F63" w:rsidP="000C3089">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18"/>
                <w:szCs w:val="18"/>
              </w:rPr>
            </w:pPr>
            <w:r w:rsidRPr="000973F2">
              <w:rPr>
                <w:rFonts w:ascii="Times New Roman" w:eastAsia="Times New Roman" w:hAnsi="Times New Roman" w:cs="Times New Roman"/>
                <w:b/>
                <w:bCs/>
                <w:sz w:val="18"/>
                <w:szCs w:val="18"/>
              </w:rPr>
              <w:t>0</w:t>
            </w:r>
          </w:p>
        </w:tc>
        <w:tc>
          <w:tcPr>
            <w:tcW w:w="717" w:type="dxa"/>
            <w:noWrap/>
          </w:tcPr>
          <w:p w14:paraId="12D718CD" w14:textId="77777777" w:rsidR="006C4F63" w:rsidRPr="000973F2" w:rsidRDefault="006C4F63" w:rsidP="000C3089">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18"/>
                <w:szCs w:val="18"/>
              </w:rPr>
            </w:pPr>
            <w:r w:rsidRPr="000973F2">
              <w:rPr>
                <w:rFonts w:ascii="Times New Roman" w:eastAsia="Times New Roman" w:hAnsi="Times New Roman" w:cs="Times New Roman"/>
                <w:b/>
                <w:bCs/>
                <w:sz w:val="18"/>
                <w:szCs w:val="18"/>
              </w:rPr>
              <w:t>5</w:t>
            </w:r>
          </w:p>
        </w:tc>
        <w:tc>
          <w:tcPr>
            <w:tcW w:w="864" w:type="dxa"/>
            <w:noWrap/>
            <w:hideMark/>
          </w:tcPr>
          <w:p w14:paraId="60DF2465" w14:textId="77777777" w:rsidR="006C4F63" w:rsidRPr="000973F2" w:rsidRDefault="006C4F63" w:rsidP="000C3089">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18"/>
                <w:szCs w:val="18"/>
              </w:rPr>
            </w:pPr>
            <w:r w:rsidRPr="000973F2">
              <w:rPr>
                <w:rFonts w:ascii="Times New Roman" w:eastAsia="Times New Roman" w:hAnsi="Times New Roman" w:cs="Times New Roman"/>
                <w:b/>
                <w:bCs/>
                <w:sz w:val="18"/>
                <w:szCs w:val="18"/>
              </w:rPr>
              <w:t>$0</w:t>
            </w:r>
          </w:p>
        </w:tc>
        <w:tc>
          <w:tcPr>
            <w:tcW w:w="1015" w:type="dxa"/>
            <w:noWrap/>
            <w:hideMark/>
          </w:tcPr>
          <w:p w14:paraId="6B84322C" w14:textId="77777777" w:rsidR="006C4F63" w:rsidRPr="000973F2" w:rsidRDefault="006C4F63" w:rsidP="000C3089">
            <w:pPr>
              <w:tabs>
                <w:tab w:val="decimal" w:pos="556"/>
              </w:tabs>
              <w:spacing w:before="40" w:after="4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18"/>
                <w:szCs w:val="18"/>
              </w:rPr>
            </w:pPr>
            <w:r w:rsidRPr="000973F2">
              <w:rPr>
                <w:rFonts w:ascii="Times New Roman" w:eastAsia="Times New Roman" w:hAnsi="Times New Roman" w:cs="Times New Roman"/>
                <w:b/>
                <w:bCs/>
                <w:sz w:val="18"/>
                <w:szCs w:val="18"/>
              </w:rPr>
              <w:t>$5,178</w:t>
            </w:r>
          </w:p>
        </w:tc>
      </w:tr>
    </w:tbl>
    <w:p w14:paraId="27B1A8A4" w14:textId="77777777" w:rsidR="006C4F63" w:rsidRPr="000973F2" w:rsidRDefault="006C4F63" w:rsidP="00C00E4F">
      <w:pPr>
        <w:spacing w:line="240" w:lineRule="auto"/>
        <w:rPr>
          <w:rFonts w:ascii="Times New Roman" w:hAnsi="Times New Roman" w:cs="Times New Roman"/>
        </w:rPr>
      </w:pPr>
    </w:p>
    <w:p w14:paraId="2D2CAC4D" w14:textId="77777777" w:rsidR="006C4F63" w:rsidRPr="000973F2" w:rsidRDefault="006C4F63" w:rsidP="0061585D">
      <w:pPr>
        <w:pStyle w:val="Heading2"/>
      </w:pPr>
      <w:r w:rsidRPr="000973F2">
        <w:t>Labor Costs for Subpart X – Mass balance (§98.243(c)) Methodology</w:t>
      </w:r>
    </w:p>
    <w:p w14:paraId="25DACC1C" w14:textId="50C17024" w:rsidR="006C4F63" w:rsidRPr="000973F2" w:rsidRDefault="006C4F63" w:rsidP="000C3089">
      <w:pPr>
        <w:pStyle w:val="BodyText"/>
      </w:pPr>
      <w:r w:rsidRPr="000973F2">
        <w:t xml:space="preserve">Table </w:t>
      </w:r>
      <w:r w:rsidR="000C3089" w:rsidRPr="000973F2">
        <w:t>X-</w:t>
      </w:r>
      <w:r w:rsidRPr="000973F2">
        <w:t xml:space="preserve">1c summarizes the expected labor costs using the mass balance methodology for Subpart X. Typical activities for each of the labor activities are discussed in the Cost Appendix Introduction. Recordkeeping and reporting hours </w:t>
      </w:r>
      <w:r w:rsidR="00A74D20" w:rsidRPr="000973F2">
        <w:t>are based on</w:t>
      </w:r>
      <w:r w:rsidRPr="000973F2">
        <w:t xml:space="preserve"> the “high bin”</w:t>
      </w:r>
      <w:r w:rsidR="00A74D20" w:rsidRPr="000973F2">
        <w:t xml:space="preserve"> designation.</w:t>
      </w:r>
      <w:r w:rsidRPr="000973F2">
        <w:t xml:space="preserve"> Sampling and analysis (calculations) hours include completion of the measurements and calculations in §98.243, including calculation of emissions, feedstocks and products quantities, and other process data. 3 new methanol facilities are expected to report to Subpart X during the 3-year period covered by the ICR (one facility per year) and each of these is anticipated to use the mass balance methodology. New facilities in their initial year of reporting will incur additional planning time to familiarize themselves with the rule and to establish standard operating procedures. Initial year labor costs also include time for setup of compliance activities. Existing facilities are expected to have required monitoring equipment and will only need to do annual QA/QC. Costs are provided on a per facility basis.</w:t>
      </w:r>
      <w:r w:rsidRPr="000973F2">
        <w:br w:type="page"/>
      </w:r>
    </w:p>
    <w:p w14:paraId="18FDE660" w14:textId="235CBDEC" w:rsidR="002543C6" w:rsidRPr="000973F2" w:rsidRDefault="002543C6" w:rsidP="000C3089">
      <w:pPr>
        <w:pStyle w:val="Tabletitle"/>
      </w:pPr>
      <w:r w:rsidRPr="000973F2">
        <w:t xml:space="preserve">Table </w:t>
      </w:r>
      <w:r w:rsidR="000C3089" w:rsidRPr="000973F2">
        <w:t>X-</w:t>
      </w:r>
      <w:r w:rsidRPr="000973F2">
        <w:t>1c. Labor Costs –Subpart X - Mass balance (§98.243(c)) Methodology</w:t>
      </w:r>
    </w:p>
    <w:tbl>
      <w:tblPr>
        <w:tblStyle w:val="PlainTable1"/>
        <w:tblW w:w="5000" w:type="pct"/>
        <w:jc w:val="left"/>
        <w:tblLayout w:type="fixed"/>
        <w:tblCellMar>
          <w:left w:w="115" w:type="dxa"/>
          <w:right w:w="115" w:type="dxa"/>
        </w:tblCellMar>
        <w:tblLook w:val="04A0" w:firstRow="1" w:lastRow="0" w:firstColumn="1" w:lastColumn="0" w:noHBand="0" w:noVBand="1"/>
      </w:tblPr>
      <w:tblGrid>
        <w:gridCol w:w="1371"/>
        <w:gridCol w:w="809"/>
        <w:gridCol w:w="809"/>
        <w:gridCol w:w="810"/>
        <w:gridCol w:w="809"/>
        <w:gridCol w:w="809"/>
        <w:gridCol w:w="810"/>
        <w:gridCol w:w="809"/>
        <w:gridCol w:w="810"/>
        <w:gridCol w:w="872"/>
        <w:gridCol w:w="872"/>
      </w:tblGrid>
      <w:tr w:rsidR="006C4F63" w:rsidRPr="000973F2" w14:paraId="48CA7AF0" w14:textId="77777777" w:rsidTr="00B6531F">
        <w:trPr>
          <w:cnfStyle w:val="100000000000" w:firstRow="1" w:lastRow="0" w:firstColumn="0" w:lastColumn="0" w:oddVBand="0" w:evenVBand="0" w:oddHBand="0" w:evenHBand="0" w:firstRowFirstColumn="0" w:firstRowLastColumn="0" w:lastRowFirstColumn="0" w:lastRowLastColumn="0"/>
          <w:cantSplit/>
          <w:jc w:val="left"/>
        </w:trPr>
        <w:tc>
          <w:tcPr>
            <w:cnfStyle w:val="001000000000" w:firstRow="0" w:lastRow="0" w:firstColumn="1" w:lastColumn="0" w:oddVBand="0" w:evenVBand="0" w:oddHBand="0" w:evenHBand="0" w:firstRowFirstColumn="0" w:firstRowLastColumn="0" w:lastRowFirstColumn="0" w:lastRowLastColumn="0"/>
            <w:tcW w:w="1335" w:type="dxa"/>
            <w:vMerge w:val="restart"/>
            <w:noWrap/>
            <w:hideMark/>
          </w:tcPr>
          <w:p w14:paraId="6757B555" w14:textId="77777777" w:rsidR="006C4F63" w:rsidRPr="000973F2" w:rsidRDefault="006C4F63" w:rsidP="000C3089">
            <w:pPr>
              <w:spacing w:before="40" w:after="40"/>
              <w:rPr>
                <w:rFonts w:ascii="Times New Roman" w:eastAsia="Times New Roman" w:hAnsi="Times New Roman" w:cs="Times New Roman"/>
                <w:b w:val="0"/>
                <w:bCs w:val="0"/>
                <w:sz w:val="18"/>
                <w:szCs w:val="18"/>
              </w:rPr>
            </w:pPr>
            <w:r w:rsidRPr="000973F2">
              <w:rPr>
                <w:rFonts w:ascii="Times New Roman" w:eastAsia="Times New Roman" w:hAnsi="Times New Roman" w:cs="Times New Roman"/>
                <w:sz w:val="18"/>
                <w:szCs w:val="18"/>
              </w:rPr>
              <w:t>Activity</w:t>
            </w:r>
          </w:p>
        </w:tc>
        <w:tc>
          <w:tcPr>
            <w:tcW w:w="6299" w:type="dxa"/>
            <w:gridSpan w:val="8"/>
            <w:noWrap/>
            <w:hideMark/>
          </w:tcPr>
          <w:p w14:paraId="2AD47577" w14:textId="77777777" w:rsidR="006C4F63" w:rsidRPr="000973F2" w:rsidRDefault="006C4F63" w:rsidP="000C3089">
            <w:pPr>
              <w:spacing w:before="40" w:after="40"/>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bCs w:val="0"/>
                <w:sz w:val="18"/>
                <w:szCs w:val="18"/>
              </w:rPr>
            </w:pPr>
            <w:r w:rsidRPr="000973F2">
              <w:rPr>
                <w:rFonts w:ascii="Times New Roman" w:eastAsia="Times New Roman" w:hAnsi="Times New Roman" w:cs="Times New Roman"/>
                <w:sz w:val="18"/>
                <w:szCs w:val="18"/>
              </w:rPr>
              <w:t>Labor Rates (per hour)</w:t>
            </w:r>
          </w:p>
        </w:tc>
        <w:tc>
          <w:tcPr>
            <w:tcW w:w="1696" w:type="dxa"/>
            <w:gridSpan w:val="2"/>
            <w:vMerge w:val="restart"/>
            <w:hideMark/>
          </w:tcPr>
          <w:p w14:paraId="33AB2C2D" w14:textId="77777777" w:rsidR="006C4F63" w:rsidRPr="000973F2" w:rsidRDefault="006C4F63" w:rsidP="000C3089">
            <w:pPr>
              <w:spacing w:before="40" w:after="40"/>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bCs w:val="0"/>
                <w:sz w:val="18"/>
                <w:szCs w:val="18"/>
              </w:rPr>
            </w:pPr>
            <w:r w:rsidRPr="000973F2">
              <w:rPr>
                <w:rFonts w:ascii="Times New Roman" w:eastAsia="Times New Roman" w:hAnsi="Times New Roman" w:cs="Times New Roman"/>
                <w:sz w:val="18"/>
                <w:szCs w:val="18"/>
              </w:rPr>
              <w:t>Total Labor Cost per Year per Facility (2017$)</w:t>
            </w:r>
          </w:p>
        </w:tc>
      </w:tr>
      <w:tr w:rsidR="006C4F63" w:rsidRPr="000973F2" w14:paraId="4EA96221" w14:textId="77777777" w:rsidTr="00B6531F">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1335" w:type="dxa"/>
            <w:vMerge/>
            <w:hideMark/>
          </w:tcPr>
          <w:p w14:paraId="1ADB12B2" w14:textId="77777777" w:rsidR="006C4F63" w:rsidRPr="000973F2" w:rsidRDefault="006C4F63" w:rsidP="000C3089">
            <w:pPr>
              <w:spacing w:before="40" w:after="40"/>
              <w:rPr>
                <w:rFonts w:ascii="Times New Roman" w:eastAsia="Times New Roman" w:hAnsi="Times New Roman" w:cs="Times New Roman"/>
                <w:b/>
                <w:bCs w:val="0"/>
                <w:sz w:val="18"/>
                <w:szCs w:val="18"/>
              </w:rPr>
            </w:pPr>
          </w:p>
        </w:tc>
        <w:tc>
          <w:tcPr>
            <w:tcW w:w="1574" w:type="dxa"/>
            <w:gridSpan w:val="2"/>
            <w:hideMark/>
          </w:tcPr>
          <w:p w14:paraId="6168F168" w14:textId="77777777" w:rsidR="006C4F63" w:rsidRPr="000973F2" w:rsidRDefault="006C4F63" w:rsidP="000C3089">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18"/>
                <w:szCs w:val="18"/>
              </w:rPr>
            </w:pPr>
            <w:r w:rsidRPr="000973F2">
              <w:rPr>
                <w:rFonts w:ascii="Times New Roman" w:eastAsia="Times New Roman" w:hAnsi="Times New Roman" w:cs="Times New Roman"/>
                <w:b/>
                <w:bCs/>
                <w:sz w:val="18"/>
                <w:szCs w:val="18"/>
              </w:rPr>
              <w:t>Lawyer</w:t>
            </w:r>
          </w:p>
        </w:tc>
        <w:tc>
          <w:tcPr>
            <w:tcW w:w="1575" w:type="dxa"/>
            <w:gridSpan w:val="2"/>
            <w:hideMark/>
          </w:tcPr>
          <w:p w14:paraId="12020C35" w14:textId="77777777" w:rsidR="006C4F63" w:rsidRPr="000973F2" w:rsidRDefault="006C4F63" w:rsidP="000C3089">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18"/>
                <w:szCs w:val="18"/>
              </w:rPr>
            </w:pPr>
            <w:r w:rsidRPr="000973F2">
              <w:rPr>
                <w:rFonts w:ascii="Times New Roman" w:eastAsia="Times New Roman" w:hAnsi="Times New Roman" w:cs="Times New Roman"/>
                <w:b/>
                <w:bCs/>
                <w:sz w:val="18"/>
                <w:szCs w:val="18"/>
              </w:rPr>
              <w:t>Industrial Manager</w:t>
            </w:r>
          </w:p>
        </w:tc>
        <w:tc>
          <w:tcPr>
            <w:tcW w:w="1575" w:type="dxa"/>
            <w:gridSpan w:val="2"/>
            <w:hideMark/>
          </w:tcPr>
          <w:p w14:paraId="739B1688" w14:textId="67602DB5" w:rsidR="006C4F63" w:rsidRPr="000973F2" w:rsidRDefault="006C4F63" w:rsidP="000C3089">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18"/>
                <w:szCs w:val="18"/>
              </w:rPr>
            </w:pPr>
            <w:r w:rsidRPr="000973F2">
              <w:rPr>
                <w:rFonts w:ascii="Times New Roman" w:eastAsia="Times New Roman" w:hAnsi="Times New Roman" w:cs="Times New Roman"/>
                <w:b/>
                <w:bCs/>
                <w:sz w:val="18"/>
                <w:szCs w:val="18"/>
              </w:rPr>
              <w:t>Industrial Engineer/</w:t>
            </w:r>
            <w:r w:rsidR="000C3089" w:rsidRPr="000973F2">
              <w:rPr>
                <w:rFonts w:ascii="Times New Roman" w:eastAsia="Times New Roman" w:hAnsi="Times New Roman" w:cs="Times New Roman"/>
                <w:b/>
                <w:bCs/>
                <w:sz w:val="18"/>
                <w:szCs w:val="18"/>
              </w:rPr>
              <w:t xml:space="preserve"> </w:t>
            </w:r>
            <w:r w:rsidRPr="000973F2">
              <w:rPr>
                <w:rFonts w:ascii="Times New Roman" w:eastAsia="Times New Roman" w:hAnsi="Times New Roman" w:cs="Times New Roman"/>
                <w:b/>
                <w:bCs/>
                <w:sz w:val="18"/>
                <w:szCs w:val="18"/>
              </w:rPr>
              <w:t>Technician</w:t>
            </w:r>
          </w:p>
        </w:tc>
        <w:tc>
          <w:tcPr>
            <w:tcW w:w="1575" w:type="dxa"/>
            <w:gridSpan w:val="2"/>
            <w:hideMark/>
          </w:tcPr>
          <w:p w14:paraId="1FBC51F9" w14:textId="77777777" w:rsidR="006C4F63" w:rsidRPr="000973F2" w:rsidRDefault="006C4F63" w:rsidP="000C3089">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18"/>
                <w:szCs w:val="18"/>
              </w:rPr>
            </w:pPr>
            <w:r w:rsidRPr="000973F2">
              <w:rPr>
                <w:rFonts w:ascii="Times New Roman" w:eastAsia="Times New Roman" w:hAnsi="Times New Roman" w:cs="Times New Roman"/>
                <w:b/>
                <w:bCs/>
                <w:sz w:val="18"/>
                <w:szCs w:val="18"/>
              </w:rPr>
              <w:t>Administrative Support</w:t>
            </w:r>
          </w:p>
        </w:tc>
        <w:tc>
          <w:tcPr>
            <w:tcW w:w="1696" w:type="dxa"/>
            <w:gridSpan w:val="2"/>
            <w:vMerge/>
            <w:hideMark/>
          </w:tcPr>
          <w:p w14:paraId="16A18CF5" w14:textId="77777777" w:rsidR="006C4F63" w:rsidRPr="000973F2" w:rsidRDefault="006C4F63" w:rsidP="000C3089">
            <w:pPr>
              <w:spacing w:before="40" w:after="4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18"/>
                <w:szCs w:val="18"/>
              </w:rPr>
            </w:pPr>
          </w:p>
        </w:tc>
      </w:tr>
      <w:tr w:rsidR="006C4F63" w:rsidRPr="000973F2" w14:paraId="6B1C27A1" w14:textId="77777777" w:rsidTr="00B6531F">
        <w:trPr>
          <w:cantSplit/>
        </w:trPr>
        <w:tc>
          <w:tcPr>
            <w:cnfStyle w:val="001000000000" w:firstRow="0" w:lastRow="0" w:firstColumn="1" w:lastColumn="0" w:oddVBand="0" w:evenVBand="0" w:oddHBand="0" w:evenHBand="0" w:firstRowFirstColumn="0" w:firstRowLastColumn="0" w:lastRowFirstColumn="0" w:lastRowLastColumn="0"/>
            <w:tcW w:w="1335" w:type="dxa"/>
            <w:vMerge/>
            <w:hideMark/>
          </w:tcPr>
          <w:p w14:paraId="53265EA2" w14:textId="77777777" w:rsidR="006C4F63" w:rsidRPr="000973F2" w:rsidRDefault="006C4F63" w:rsidP="000C3089">
            <w:pPr>
              <w:spacing w:before="40" w:after="40"/>
              <w:rPr>
                <w:rFonts w:ascii="Times New Roman" w:eastAsia="Times New Roman" w:hAnsi="Times New Roman" w:cs="Times New Roman"/>
                <w:b/>
                <w:bCs w:val="0"/>
                <w:sz w:val="18"/>
                <w:szCs w:val="18"/>
              </w:rPr>
            </w:pPr>
          </w:p>
        </w:tc>
        <w:tc>
          <w:tcPr>
            <w:tcW w:w="1574" w:type="dxa"/>
            <w:gridSpan w:val="2"/>
            <w:noWrap/>
            <w:hideMark/>
          </w:tcPr>
          <w:p w14:paraId="0209541B" w14:textId="77777777" w:rsidR="006C4F63" w:rsidRPr="000973F2" w:rsidRDefault="006C4F63" w:rsidP="000C3089">
            <w:pPr>
              <w:spacing w:before="40" w:after="4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sz w:val="18"/>
                <w:szCs w:val="18"/>
              </w:rPr>
            </w:pPr>
            <w:r w:rsidRPr="000973F2">
              <w:rPr>
                <w:rFonts w:ascii="Times New Roman" w:eastAsia="Times New Roman" w:hAnsi="Times New Roman" w:cs="Times New Roman"/>
                <w:b/>
                <w:bCs/>
                <w:sz w:val="18"/>
                <w:szCs w:val="18"/>
              </w:rPr>
              <w:t xml:space="preserve">$112.23 </w:t>
            </w:r>
          </w:p>
        </w:tc>
        <w:tc>
          <w:tcPr>
            <w:tcW w:w="1575" w:type="dxa"/>
            <w:gridSpan w:val="2"/>
            <w:noWrap/>
            <w:hideMark/>
          </w:tcPr>
          <w:p w14:paraId="3AEC4ED3" w14:textId="77777777" w:rsidR="006C4F63" w:rsidRPr="000973F2" w:rsidRDefault="006C4F63" w:rsidP="000C3089">
            <w:pPr>
              <w:spacing w:before="40" w:after="4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sz w:val="18"/>
                <w:szCs w:val="18"/>
              </w:rPr>
            </w:pPr>
            <w:r w:rsidRPr="000973F2">
              <w:rPr>
                <w:rFonts w:ascii="Times New Roman" w:eastAsia="Times New Roman" w:hAnsi="Times New Roman" w:cs="Times New Roman"/>
                <w:b/>
                <w:bCs/>
                <w:sz w:val="18"/>
                <w:szCs w:val="18"/>
              </w:rPr>
              <w:t xml:space="preserve">$87.45 </w:t>
            </w:r>
          </w:p>
        </w:tc>
        <w:tc>
          <w:tcPr>
            <w:tcW w:w="1575" w:type="dxa"/>
            <w:gridSpan w:val="2"/>
            <w:noWrap/>
            <w:hideMark/>
          </w:tcPr>
          <w:p w14:paraId="1698C548" w14:textId="77777777" w:rsidR="006C4F63" w:rsidRPr="000973F2" w:rsidRDefault="006C4F63" w:rsidP="000C3089">
            <w:pPr>
              <w:spacing w:before="40" w:after="4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sz w:val="18"/>
                <w:szCs w:val="18"/>
              </w:rPr>
            </w:pPr>
            <w:r w:rsidRPr="000973F2">
              <w:rPr>
                <w:rFonts w:ascii="Times New Roman" w:eastAsia="Times New Roman" w:hAnsi="Times New Roman" w:cs="Times New Roman"/>
                <w:b/>
                <w:bCs/>
                <w:sz w:val="18"/>
                <w:szCs w:val="18"/>
              </w:rPr>
              <w:t xml:space="preserve">$71.45 </w:t>
            </w:r>
          </w:p>
        </w:tc>
        <w:tc>
          <w:tcPr>
            <w:tcW w:w="1575" w:type="dxa"/>
            <w:gridSpan w:val="2"/>
            <w:noWrap/>
            <w:hideMark/>
          </w:tcPr>
          <w:p w14:paraId="7DD5105A" w14:textId="77777777" w:rsidR="006C4F63" w:rsidRPr="000973F2" w:rsidRDefault="006C4F63" w:rsidP="000C3089">
            <w:pPr>
              <w:spacing w:before="40" w:after="4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sz w:val="18"/>
                <w:szCs w:val="18"/>
              </w:rPr>
            </w:pPr>
            <w:r w:rsidRPr="000973F2">
              <w:rPr>
                <w:rFonts w:ascii="Times New Roman" w:eastAsia="Times New Roman" w:hAnsi="Times New Roman" w:cs="Times New Roman"/>
                <w:b/>
                <w:bCs/>
                <w:sz w:val="18"/>
                <w:szCs w:val="18"/>
              </w:rPr>
              <w:t xml:space="preserve">$36.28 </w:t>
            </w:r>
          </w:p>
        </w:tc>
        <w:tc>
          <w:tcPr>
            <w:tcW w:w="1696" w:type="dxa"/>
            <w:gridSpan w:val="2"/>
            <w:vMerge/>
            <w:hideMark/>
          </w:tcPr>
          <w:p w14:paraId="71E14B8C" w14:textId="77777777" w:rsidR="006C4F63" w:rsidRPr="000973F2" w:rsidRDefault="006C4F63" w:rsidP="000C3089">
            <w:pPr>
              <w:spacing w:before="40" w:after="4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sz w:val="18"/>
                <w:szCs w:val="18"/>
              </w:rPr>
            </w:pPr>
          </w:p>
        </w:tc>
      </w:tr>
      <w:tr w:rsidR="006305F0" w:rsidRPr="000973F2" w14:paraId="480EADD9" w14:textId="77777777" w:rsidTr="000C3089">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1335" w:type="dxa"/>
            <w:vMerge/>
            <w:hideMark/>
          </w:tcPr>
          <w:p w14:paraId="32292960" w14:textId="77777777" w:rsidR="006C4F63" w:rsidRPr="000973F2" w:rsidRDefault="006C4F63" w:rsidP="000C3089">
            <w:pPr>
              <w:spacing w:before="40" w:after="40"/>
              <w:rPr>
                <w:rFonts w:ascii="Times New Roman" w:eastAsia="Times New Roman" w:hAnsi="Times New Roman" w:cs="Times New Roman"/>
                <w:b/>
                <w:bCs w:val="0"/>
                <w:sz w:val="18"/>
                <w:szCs w:val="18"/>
              </w:rPr>
            </w:pPr>
          </w:p>
        </w:tc>
        <w:tc>
          <w:tcPr>
            <w:tcW w:w="787" w:type="dxa"/>
            <w:tcMar>
              <w:left w:w="14" w:type="dxa"/>
              <w:right w:w="14" w:type="dxa"/>
            </w:tcMar>
            <w:hideMark/>
          </w:tcPr>
          <w:p w14:paraId="593B15CB" w14:textId="55B31636" w:rsidR="006C4F63" w:rsidRPr="000973F2" w:rsidRDefault="006C4F63" w:rsidP="000C3089">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18"/>
                <w:szCs w:val="18"/>
              </w:rPr>
            </w:pPr>
            <w:r w:rsidRPr="000973F2">
              <w:rPr>
                <w:rFonts w:ascii="Times New Roman" w:eastAsia="Times New Roman" w:hAnsi="Times New Roman" w:cs="Times New Roman"/>
                <w:b/>
                <w:bCs/>
                <w:sz w:val="18"/>
                <w:szCs w:val="18"/>
              </w:rPr>
              <w:t xml:space="preserve">Initial </w:t>
            </w:r>
            <w:r w:rsidR="00132320" w:rsidRPr="000973F2">
              <w:rPr>
                <w:rFonts w:ascii="Times New Roman" w:eastAsia="Times New Roman" w:hAnsi="Times New Roman" w:cs="Times New Roman"/>
                <w:b/>
                <w:bCs/>
                <w:sz w:val="18"/>
                <w:szCs w:val="18"/>
              </w:rPr>
              <w:t>Year Hours</w:t>
            </w:r>
          </w:p>
        </w:tc>
        <w:tc>
          <w:tcPr>
            <w:tcW w:w="787" w:type="dxa"/>
            <w:tcMar>
              <w:left w:w="14" w:type="dxa"/>
              <w:right w:w="14" w:type="dxa"/>
            </w:tcMar>
          </w:tcPr>
          <w:p w14:paraId="3FAA5268" w14:textId="78E426F7" w:rsidR="006C4F63" w:rsidRPr="000973F2" w:rsidRDefault="006C4F63" w:rsidP="000C3089">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18"/>
                <w:szCs w:val="18"/>
              </w:rPr>
            </w:pPr>
            <w:r w:rsidRPr="000973F2">
              <w:rPr>
                <w:rFonts w:ascii="Times New Roman" w:eastAsia="Times New Roman" w:hAnsi="Times New Roman" w:cs="Times New Roman"/>
                <w:b/>
                <w:bCs/>
                <w:sz w:val="18"/>
                <w:szCs w:val="18"/>
              </w:rPr>
              <w:t xml:space="preserve">Subseq. </w:t>
            </w:r>
            <w:r w:rsidR="00132320" w:rsidRPr="000973F2">
              <w:rPr>
                <w:rFonts w:ascii="Times New Roman" w:eastAsia="Times New Roman" w:hAnsi="Times New Roman" w:cs="Times New Roman"/>
                <w:b/>
                <w:bCs/>
                <w:sz w:val="18"/>
                <w:szCs w:val="18"/>
              </w:rPr>
              <w:t>Year Hours</w:t>
            </w:r>
          </w:p>
        </w:tc>
        <w:tc>
          <w:tcPr>
            <w:tcW w:w="788" w:type="dxa"/>
            <w:tcMar>
              <w:left w:w="14" w:type="dxa"/>
              <w:right w:w="14" w:type="dxa"/>
            </w:tcMar>
          </w:tcPr>
          <w:p w14:paraId="1396B8B3" w14:textId="1D065AB2" w:rsidR="006C4F63" w:rsidRPr="000973F2" w:rsidRDefault="006C4F63" w:rsidP="000C3089">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18"/>
                <w:szCs w:val="18"/>
              </w:rPr>
            </w:pPr>
            <w:r w:rsidRPr="000973F2">
              <w:rPr>
                <w:rFonts w:ascii="Times New Roman" w:eastAsia="Times New Roman" w:hAnsi="Times New Roman" w:cs="Times New Roman"/>
                <w:b/>
                <w:bCs/>
                <w:sz w:val="18"/>
                <w:szCs w:val="18"/>
              </w:rPr>
              <w:t xml:space="preserve">Initial </w:t>
            </w:r>
            <w:r w:rsidR="00132320" w:rsidRPr="000973F2">
              <w:rPr>
                <w:rFonts w:ascii="Times New Roman" w:eastAsia="Times New Roman" w:hAnsi="Times New Roman" w:cs="Times New Roman"/>
                <w:b/>
                <w:bCs/>
                <w:sz w:val="18"/>
                <w:szCs w:val="18"/>
              </w:rPr>
              <w:t>Year Hours</w:t>
            </w:r>
          </w:p>
        </w:tc>
        <w:tc>
          <w:tcPr>
            <w:tcW w:w="787" w:type="dxa"/>
            <w:tcMar>
              <w:left w:w="14" w:type="dxa"/>
              <w:right w:w="14" w:type="dxa"/>
            </w:tcMar>
            <w:hideMark/>
          </w:tcPr>
          <w:p w14:paraId="46464442" w14:textId="736785B8" w:rsidR="006C4F63" w:rsidRPr="000973F2" w:rsidRDefault="006C4F63" w:rsidP="000C3089">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18"/>
                <w:szCs w:val="18"/>
              </w:rPr>
            </w:pPr>
            <w:r w:rsidRPr="000973F2">
              <w:rPr>
                <w:rFonts w:ascii="Times New Roman" w:eastAsia="Times New Roman" w:hAnsi="Times New Roman" w:cs="Times New Roman"/>
                <w:b/>
                <w:bCs/>
                <w:sz w:val="18"/>
                <w:szCs w:val="18"/>
              </w:rPr>
              <w:t xml:space="preserve">Subseq. </w:t>
            </w:r>
            <w:r w:rsidR="00132320" w:rsidRPr="000973F2">
              <w:rPr>
                <w:rFonts w:ascii="Times New Roman" w:eastAsia="Times New Roman" w:hAnsi="Times New Roman" w:cs="Times New Roman"/>
                <w:b/>
                <w:bCs/>
                <w:sz w:val="18"/>
                <w:szCs w:val="18"/>
              </w:rPr>
              <w:t>Year Hours</w:t>
            </w:r>
          </w:p>
        </w:tc>
        <w:tc>
          <w:tcPr>
            <w:tcW w:w="787" w:type="dxa"/>
            <w:tcMar>
              <w:left w:w="14" w:type="dxa"/>
              <w:right w:w="14" w:type="dxa"/>
            </w:tcMar>
            <w:hideMark/>
          </w:tcPr>
          <w:p w14:paraId="1C82E919" w14:textId="406D30D5" w:rsidR="006C4F63" w:rsidRPr="000973F2" w:rsidRDefault="006C4F63" w:rsidP="000C3089">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18"/>
                <w:szCs w:val="18"/>
              </w:rPr>
            </w:pPr>
            <w:r w:rsidRPr="000973F2">
              <w:rPr>
                <w:rFonts w:ascii="Times New Roman" w:eastAsia="Times New Roman" w:hAnsi="Times New Roman" w:cs="Times New Roman"/>
                <w:b/>
                <w:bCs/>
                <w:sz w:val="18"/>
                <w:szCs w:val="18"/>
              </w:rPr>
              <w:t xml:space="preserve">Initial </w:t>
            </w:r>
            <w:r w:rsidR="00132320" w:rsidRPr="000973F2">
              <w:rPr>
                <w:rFonts w:ascii="Times New Roman" w:eastAsia="Times New Roman" w:hAnsi="Times New Roman" w:cs="Times New Roman"/>
                <w:b/>
                <w:bCs/>
                <w:sz w:val="18"/>
                <w:szCs w:val="18"/>
              </w:rPr>
              <w:t>Year Hours</w:t>
            </w:r>
          </w:p>
        </w:tc>
        <w:tc>
          <w:tcPr>
            <w:tcW w:w="788" w:type="dxa"/>
            <w:tcMar>
              <w:left w:w="14" w:type="dxa"/>
              <w:right w:w="14" w:type="dxa"/>
            </w:tcMar>
            <w:hideMark/>
          </w:tcPr>
          <w:p w14:paraId="4530E871" w14:textId="20AAA390" w:rsidR="006C4F63" w:rsidRPr="000973F2" w:rsidRDefault="006C4F63" w:rsidP="000C3089">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18"/>
                <w:szCs w:val="18"/>
              </w:rPr>
            </w:pPr>
            <w:r w:rsidRPr="000973F2">
              <w:rPr>
                <w:rFonts w:ascii="Times New Roman" w:eastAsia="Times New Roman" w:hAnsi="Times New Roman" w:cs="Times New Roman"/>
                <w:b/>
                <w:bCs/>
                <w:sz w:val="18"/>
                <w:szCs w:val="18"/>
              </w:rPr>
              <w:t xml:space="preserve">Subseq. </w:t>
            </w:r>
            <w:r w:rsidR="00132320" w:rsidRPr="000973F2">
              <w:rPr>
                <w:rFonts w:ascii="Times New Roman" w:eastAsia="Times New Roman" w:hAnsi="Times New Roman" w:cs="Times New Roman"/>
                <w:b/>
                <w:bCs/>
                <w:sz w:val="18"/>
                <w:szCs w:val="18"/>
              </w:rPr>
              <w:t>Year Hours</w:t>
            </w:r>
          </w:p>
        </w:tc>
        <w:tc>
          <w:tcPr>
            <w:tcW w:w="787" w:type="dxa"/>
            <w:tcMar>
              <w:left w:w="14" w:type="dxa"/>
              <w:right w:w="14" w:type="dxa"/>
            </w:tcMar>
            <w:hideMark/>
          </w:tcPr>
          <w:p w14:paraId="6924F810" w14:textId="4CD2A206" w:rsidR="006C4F63" w:rsidRPr="000973F2" w:rsidRDefault="006C4F63" w:rsidP="000C3089">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18"/>
                <w:szCs w:val="18"/>
              </w:rPr>
            </w:pPr>
            <w:r w:rsidRPr="000973F2">
              <w:rPr>
                <w:rFonts w:ascii="Times New Roman" w:eastAsia="Times New Roman" w:hAnsi="Times New Roman" w:cs="Times New Roman"/>
                <w:b/>
                <w:bCs/>
                <w:sz w:val="18"/>
                <w:szCs w:val="18"/>
              </w:rPr>
              <w:t xml:space="preserve">Initial </w:t>
            </w:r>
            <w:r w:rsidR="00132320" w:rsidRPr="000973F2">
              <w:rPr>
                <w:rFonts w:ascii="Times New Roman" w:eastAsia="Times New Roman" w:hAnsi="Times New Roman" w:cs="Times New Roman"/>
                <w:b/>
                <w:bCs/>
                <w:sz w:val="18"/>
                <w:szCs w:val="18"/>
              </w:rPr>
              <w:t>Year Hours</w:t>
            </w:r>
          </w:p>
        </w:tc>
        <w:tc>
          <w:tcPr>
            <w:tcW w:w="788" w:type="dxa"/>
            <w:tcMar>
              <w:left w:w="14" w:type="dxa"/>
              <w:right w:w="14" w:type="dxa"/>
            </w:tcMar>
            <w:hideMark/>
          </w:tcPr>
          <w:p w14:paraId="19FF3E7B" w14:textId="2D9DFFED" w:rsidR="006C4F63" w:rsidRPr="000973F2" w:rsidRDefault="006C4F63" w:rsidP="000C3089">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18"/>
                <w:szCs w:val="18"/>
              </w:rPr>
            </w:pPr>
            <w:r w:rsidRPr="000973F2">
              <w:rPr>
                <w:rFonts w:ascii="Times New Roman" w:eastAsia="Times New Roman" w:hAnsi="Times New Roman" w:cs="Times New Roman"/>
                <w:b/>
                <w:bCs/>
                <w:sz w:val="18"/>
                <w:szCs w:val="18"/>
              </w:rPr>
              <w:t xml:space="preserve">Subseq. </w:t>
            </w:r>
            <w:r w:rsidR="00132320" w:rsidRPr="000973F2">
              <w:rPr>
                <w:rFonts w:ascii="Times New Roman" w:eastAsia="Times New Roman" w:hAnsi="Times New Roman" w:cs="Times New Roman"/>
                <w:b/>
                <w:bCs/>
                <w:sz w:val="18"/>
                <w:szCs w:val="18"/>
              </w:rPr>
              <w:t>Year Hours</w:t>
            </w:r>
          </w:p>
        </w:tc>
        <w:tc>
          <w:tcPr>
            <w:tcW w:w="848" w:type="dxa"/>
            <w:hideMark/>
          </w:tcPr>
          <w:p w14:paraId="700CA84E" w14:textId="77777777" w:rsidR="006C4F63" w:rsidRPr="000973F2" w:rsidRDefault="006C4F63" w:rsidP="000C3089">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18"/>
                <w:szCs w:val="18"/>
              </w:rPr>
            </w:pPr>
            <w:r w:rsidRPr="000973F2">
              <w:rPr>
                <w:rFonts w:ascii="Times New Roman" w:eastAsia="Times New Roman" w:hAnsi="Times New Roman" w:cs="Times New Roman"/>
                <w:b/>
                <w:bCs/>
                <w:sz w:val="18"/>
                <w:szCs w:val="18"/>
              </w:rPr>
              <w:t>Initial Year</w:t>
            </w:r>
          </w:p>
        </w:tc>
        <w:tc>
          <w:tcPr>
            <w:tcW w:w="848" w:type="dxa"/>
            <w:hideMark/>
          </w:tcPr>
          <w:p w14:paraId="30A1BE4F" w14:textId="77777777" w:rsidR="006C4F63" w:rsidRPr="000973F2" w:rsidRDefault="006C4F63" w:rsidP="000C3089">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18"/>
                <w:szCs w:val="18"/>
              </w:rPr>
            </w:pPr>
            <w:r w:rsidRPr="000973F2">
              <w:rPr>
                <w:rFonts w:ascii="Times New Roman" w:eastAsia="Times New Roman" w:hAnsi="Times New Roman" w:cs="Times New Roman"/>
                <w:b/>
                <w:bCs/>
                <w:sz w:val="18"/>
                <w:szCs w:val="18"/>
              </w:rPr>
              <w:t>Subseq. Year</w:t>
            </w:r>
          </w:p>
        </w:tc>
      </w:tr>
      <w:tr w:rsidR="00D7694D" w:rsidRPr="000973F2" w14:paraId="6D0E60C1" w14:textId="77777777" w:rsidTr="00B6531F">
        <w:trPr>
          <w:cantSplit/>
        </w:trPr>
        <w:tc>
          <w:tcPr>
            <w:cnfStyle w:val="001000000000" w:firstRow="0" w:lastRow="0" w:firstColumn="1" w:lastColumn="0" w:oddVBand="0" w:evenVBand="0" w:oddHBand="0" w:evenHBand="0" w:firstRowFirstColumn="0" w:firstRowLastColumn="0" w:lastRowFirstColumn="0" w:lastRowLastColumn="0"/>
            <w:tcW w:w="1335" w:type="dxa"/>
            <w:tcMar>
              <w:right w:w="14" w:type="dxa"/>
            </w:tcMar>
            <w:hideMark/>
          </w:tcPr>
          <w:p w14:paraId="76302CCE" w14:textId="77777777" w:rsidR="006C4F63" w:rsidRPr="000973F2" w:rsidRDefault="006C4F63" w:rsidP="000C3089">
            <w:pPr>
              <w:spacing w:before="40" w:after="4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Planning</w:t>
            </w:r>
          </w:p>
        </w:tc>
        <w:tc>
          <w:tcPr>
            <w:tcW w:w="787" w:type="dxa"/>
            <w:noWrap/>
            <w:hideMark/>
          </w:tcPr>
          <w:p w14:paraId="3133C5E9" w14:textId="77777777" w:rsidR="006C4F63" w:rsidRPr="000973F2" w:rsidRDefault="006C4F63" w:rsidP="000C3089">
            <w:pPr>
              <w:tabs>
                <w:tab w:val="decimal" w:pos="331"/>
              </w:tabs>
              <w:spacing w:before="40" w:after="4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16</w:t>
            </w:r>
          </w:p>
        </w:tc>
        <w:tc>
          <w:tcPr>
            <w:tcW w:w="787" w:type="dxa"/>
          </w:tcPr>
          <w:p w14:paraId="2A3C44DA" w14:textId="77777777" w:rsidR="006C4F63" w:rsidRPr="000973F2" w:rsidRDefault="006C4F63" w:rsidP="000C3089">
            <w:pPr>
              <w:spacing w:before="40" w:after="4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2</w:t>
            </w:r>
          </w:p>
        </w:tc>
        <w:tc>
          <w:tcPr>
            <w:tcW w:w="788" w:type="dxa"/>
            <w:noWrap/>
          </w:tcPr>
          <w:p w14:paraId="652A246D" w14:textId="77777777" w:rsidR="006C4F63" w:rsidRPr="000973F2" w:rsidRDefault="006C4F63" w:rsidP="000C3089">
            <w:pPr>
              <w:tabs>
                <w:tab w:val="decimal" w:pos="316"/>
              </w:tabs>
              <w:spacing w:before="40" w:after="4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1</w:t>
            </w:r>
          </w:p>
        </w:tc>
        <w:tc>
          <w:tcPr>
            <w:tcW w:w="787" w:type="dxa"/>
            <w:noWrap/>
          </w:tcPr>
          <w:p w14:paraId="1CC46382" w14:textId="77777777" w:rsidR="006C4F63" w:rsidRPr="000973F2" w:rsidRDefault="006C4F63" w:rsidP="000C3089">
            <w:pPr>
              <w:spacing w:before="40" w:after="4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0</w:t>
            </w:r>
          </w:p>
        </w:tc>
        <w:tc>
          <w:tcPr>
            <w:tcW w:w="787" w:type="dxa"/>
            <w:noWrap/>
          </w:tcPr>
          <w:p w14:paraId="352A3A02" w14:textId="77777777" w:rsidR="006C4F63" w:rsidRPr="000973F2" w:rsidRDefault="006C4F63" w:rsidP="000C3089">
            <w:pPr>
              <w:tabs>
                <w:tab w:val="decimal" w:pos="331"/>
              </w:tabs>
              <w:spacing w:before="40" w:after="4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18</w:t>
            </w:r>
          </w:p>
        </w:tc>
        <w:tc>
          <w:tcPr>
            <w:tcW w:w="788" w:type="dxa"/>
            <w:noWrap/>
          </w:tcPr>
          <w:p w14:paraId="30003904" w14:textId="77777777" w:rsidR="006C4F63" w:rsidRPr="000973F2" w:rsidRDefault="006C4F63" w:rsidP="000C3089">
            <w:pPr>
              <w:tabs>
                <w:tab w:val="decimal" w:pos="331"/>
              </w:tabs>
              <w:spacing w:before="40" w:after="4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6</w:t>
            </w:r>
          </w:p>
        </w:tc>
        <w:tc>
          <w:tcPr>
            <w:tcW w:w="787" w:type="dxa"/>
            <w:noWrap/>
          </w:tcPr>
          <w:p w14:paraId="13982393" w14:textId="77777777" w:rsidR="006C4F63" w:rsidRPr="000973F2" w:rsidRDefault="006C4F63" w:rsidP="000C3089">
            <w:pPr>
              <w:tabs>
                <w:tab w:val="decimal" w:pos="331"/>
              </w:tabs>
              <w:spacing w:before="40" w:after="4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2</w:t>
            </w:r>
          </w:p>
        </w:tc>
        <w:tc>
          <w:tcPr>
            <w:tcW w:w="788" w:type="dxa"/>
            <w:noWrap/>
          </w:tcPr>
          <w:p w14:paraId="4E997F11" w14:textId="77777777" w:rsidR="006C4F63" w:rsidRPr="000973F2" w:rsidRDefault="006C4F63" w:rsidP="000C3089">
            <w:pPr>
              <w:tabs>
                <w:tab w:val="decimal" w:pos="331"/>
              </w:tabs>
              <w:spacing w:before="40" w:after="4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1</w:t>
            </w:r>
          </w:p>
        </w:tc>
        <w:tc>
          <w:tcPr>
            <w:tcW w:w="848" w:type="dxa"/>
            <w:noWrap/>
            <w:hideMark/>
          </w:tcPr>
          <w:p w14:paraId="71AC7FA5" w14:textId="77777777" w:rsidR="006C4F63" w:rsidRPr="000973F2" w:rsidRDefault="006C4F63" w:rsidP="000C3089">
            <w:pPr>
              <w:tabs>
                <w:tab w:val="decimal" w:pos="541"/>
              </w:tabs>
              <w:spacing w:before="40" w:after="4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$3,226</w:t>
            </w:r>
          </w:p>
        </w:tc>
        <w:tc>
          <w:tcPr>
            <w:tcW w:w="848" w:type="dxa"/>
            <w:noWrap/>
            <w:hideMark/>
          </w:tcPr>
          <w:p w14:paraId="01A9E04B" w14:textId="77777777" w:rsidR="006C4F63" w:rsidRPr="000973F2" w:rsidRDefault="006C4F63" w:rsidP="000C3089">
            <w:pPr>
              <w:tabs>
                <w:tab w:val="decimal" w:pos="541"/>
              </w:tabs>
              <w:spacing w:before="40" w:after="4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$701</w:t>
            </w:r>
          </w:p>
        </w:tc>
      </w:tr>
      <w:tr w:rsidR="006305F0" w:rsidRPr="000973F2" w14:paraId="6C8235A4" w14:textId="77777777" w:rsidTr="000C3089">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1335" w:type="dxa"/>
            <w:tcMar>
              <w:right w:w="14" w:type="dxa"/>
            </w:tcMar>
            <w:hideMark/>
          </w:tcPr>
          <w:p w14:paraId="5BA2BF34" w14:textId="77777777" w:rsidR="006C4F63" w:rsidRPr="000973F2" w:rsidRDefault="006C4F63" w:rsidP="000C3089">
            <w:pPr>
              <w:spacing w:before="40" w:after="4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QA/QC</w:t>
            </w:r>
          </w:p>
        </w:tc>
        <w:tc>
          <w:tcPr>
            <w:tcW w:w="787" w:type="dxa"/>
            <w:noWrap/>
            <w:hideMark/>
          </w:tcPr>
          <w:p w14:paraId="0D8E1346" w14:textId="77777777" w:rsidR="006C4F63" w:rsidRPr="000973F2" w:rsidRDefault="006C4F63" w:rsidP="000C3089">
            <w:pPr>
              <w:tabs>
                <w:tab w:val="decimal" w:pos="331"/>
              </w:tabs>
              <w:spacing w:before="40" w:after="4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0</w:t>
            </w:r>
          </w:p>
        </w:tc>
        <w:tc>
          <w:tcPr>
            <w:tcW w:w="787" w:type="dxa"/>
          </w:tcPr>
          <w:p w14:paraId="1E860EB1" w14:textId="77777777" w:rsidR="006C4F63" w:rsidRPr="000973F2" w:rsidRDefault="006C4F63" w:rsidP="000C3089">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0</w:t>
            </w:r>
          </w:p>
        </w:tc>
        <w:tc>
          <w:tcPr>
            <w:tcW w:w="788" w:type="dxa"/>
            <w:noWrap/>
          </w:tcPr>
          <w:p w14:paraId="17EE60DD" w14:textId="77777777" w:rsidR="006C4F63" w:rsidRPr="000973F2" w:rsidRDefault="006C4F63" w:rsidP="000C3089">
            <w:pPr>
              <w:tabs>
                <w:tab w:val="decimal" w:pos="316"/>
              </w:tabs>
              <w:spacing w:before="40" w:after="4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5</w:t>
            </w:r>
          </w:p>
        </w:tc>
        <w:tc>
          <w:tcPr>
            <w:tcW w:w="787" w:type="dxa"/>
            <w:noWrap/>
          </w:tcPr>
          <w:p w14:paraId="2F06B97B" w14:textId="77777777" w:rsidR="006C4F63" w:rsidRPr="000973F2" w:rsidRDefault="006C4F63" w:rsidP="000C3089">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2</w:t>
            </w:r>
          </w:p>
        </w:tc>
        <w:tc>
          <w:tcPr>
            <w:tcW w:w="787" w:type="dxa"/>
            <w:noWrap/>
          </w:tcPr>
          <w:p w14:paraId="30066A31" w14:textId="77777777" w:rsidR="006C4F63" w:rsidRPr="000973F2" w:rsidRDefault="006C4F63" w:rsidP="000C3089">
            <w:pPr>
              <w:tabs>
                <w:tab w:val="decimal" w:pos="331"/>
              </w:tabs>
              <w:spacing w:before="40" w:after="4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105</w:t>
            </w:r>
          </w:p>
        </w:tc>
        <w:tc>
          <w:tcPr>
            <w:tcW w:w="788" w:type="dxa"/>
            <w:noWrap/>
          </w:tcPr>
          <w:p w14:paraId="0124B0B9" w14:textId="77777777" w:rsidR="006C4F63" w:rsidRPr="000973F2" w:rsidRDefault="006C4F63" w:rsidP="000C3089">
            <w:pPr>
              <w:tabs>
                <w:tab w:val="decimal" w:pos="331"/>
              </w:tabs>
              <w:spacing w:before="40" w:after="4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35</w:t>
            </w:r>
          </w:p>
        </w:tc>
        <w:tc>
          <w:tcPr>
            <w:tcW w:w="787" w:type="dxa"/>
            <w:noWrap/>
          </w:tcPr>
          <w:p w14:paraId="779C514A" w14:textId="77777777" w:rsidR="006C4F63" w:rsidRPr="000973F2" w:rsidRDefault="006C4F63" w:rsidP="000C3089">
            <w:pPr>
              <w:tabs>
                <w:tab w:val="decimal" w:pos="331"/>
              </w:tabs>
              <w:spacing w:before="40" w:after="4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10</w:t>
            </w:r>
          </w:p>
        </w:tc>
        <w:tc>
          <w:tcPr>
            <w:tcW w:w="788" w:type="dxa"/>
            <w:noWrap/>
          </w:tcPr>
          <w:p w14:paraId="42E78AE8" w14:textId="77777777" w:rsidR="006C4F63" w:rsidRPr="000973F2" w:rsidRDefault="006C4F63" w:rsidP="000C3089">
            <w:pPr>
              <w:tabs>
                <w:tab w:val="decimal" w:pos="331"/>
              </w:tabs>
              <w:spacing w:before="40" w:after="4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3</w:t>
            </w:r>
          </w:p>
        </w:tc>
        <w:tc>
          <w:tcPr>
            <w:tcW w:w="848" w:type="dxa"/>
            <w:noWrap/>
            <w:hideMark/>
          </w:tcPr>
          <w:p w14:paraId="47C8B16F" w14:textId="77777777" w:rsidR="006C4F63" w:rsidRPr="000973F2" w:rsidRDefault="006C4F63" w:rsidP="000C3089">
            <w:pPr>
              <w:tabs>
                <w:tab w:val="decimal" w:pos="541"/>
              </w:tabs>
              <w:spacing w:before="40" w:after="4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$8,318</w:t>
            </w:r>
          </w:p>
        </w:tc>
        <w:tc>
          <w:tcPr>
            <w:tcW w:w="848" w:type="dxa"/>
            <w:noWrap/>
            <w:hideMark/>
          </w:tcPr>
          <w:p w14:paraId="794BD047" w14:textId="77777777" w:rsidR="006C4F63" w:rsidRPr="000973F2" w:rsidRDefault="006C4F63" w:rsidP="000C3089">
            <w:pPr>
              <w:tabs>
                <w:tab w:val="decimal" w:pos="541"/>
              </w:tabs>
              <w:spacing w:before="40" w:after="4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$2,773</w:t>
            </w:r>
          </w:p>
        </w:tc>
      </w:tr>
      <w:tr w:rsidR="00D7694D" w:rsidRPr="000973F2" w14:paraId="6608E44E" w14:textId="77777777" w:rsidTr="00B6531F">
        <w:trPr>
          <w:cantSplit/>
        </w:trPr>
        <w:tc>
          <w:tcPr>
            <w:cnfStyle w:val="001000000000" w:firstRow="0" w:lastRow="0" w:firstColumn="1" w:lastColumn="0" w:oddVBand="0" w:evenVBand="0" w:oddHBand="0" w:evenHBand="0" w:firstRowFirstColumn="0" w:firstRowLastColumn="0" w:lastRowFirstColumn="0" w:lastRowLastColumn="0"/>
            <w:tcW w:w="1335" w:type="dxa"/>
            <w:tcMar>
              <w:right w:w="14" w:type="dxa"/>
            </w:tcMar>
            <w:hideMark/>
          </w:tcPr>
          <w:p w14:paraId="5A50CC89" w14:textId="77777777" w:rsidR="006C4F63" w:rsidRPr="000973F2" w:rsidRDefault="006C4F63" w:rsidP="000C3089">
            <w:pPr>
              <w:spacing w:before="40" w:after="4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Recordkeeping</w:t>
            </w:r>
          </w:p>
        </w:tc>
        <w:tc>
          <w:tcPr>
            <w:tcW w:w="787" w:type="dxa"/>
            <w:noWrap/>
            <w:hideMark/>
          </w:tcPr>
          <w:p w14:paraId="68C39CA0" w14:textId="77777777" w:rsidR="006C4F63" w:rsidRPr="000973F2" w:rsidRDefault="006C4F63" w:rsidP="000C3089">
            <w:pPr>
              <w:tabs>
                <w:tab w:val="decimal" w:pos="331"/>
              </w:tabs>
              <w:spacing w:before="40" w:after="4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0</w:t>
            </w:r>
          </w:p>
        </w:tc>
        <w:tc>
          <w:tcPr>
            <w:tcW w:w="787" w:type="dxa"/>
          </w:tcPr>
          <w:p w14:paraId="335CA5CE" w14:textId="77777777" w:rsidR="006C4F63" w:rsidRPr="000973F2" w:rsidRDefault="006C4F63" w:rsidP="000C3089">
            <w:pPr>
              <w:spacing w:before="40" w:after="4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0</w:t>
            </w:r>
          </w:p>
        </w:tc>
        <w:tc>
          <w:tcPr>
            <w:tcW w:w="788" w:type="dxa"/>
            <w:noWrap/>
          </w:tcPr>
          <w:p w14:paraId="04519719" w14:textId="77777777" w:rsidR="006C4F63" w:rsidRPr="000973F2" w:rsidRDefault="006C4F63" w:rsidP="000C3089">
            <w:pPr>
              <w:tabs>
                <w:tab w:val="decimal" w:pos="316"/>
              </w:tabs>
              <w:spacing w:before="40" w:after="4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1</w:t>
            </w:r>
          </w:p>
        </w:tc>
        <w:tc>
          <w:tcPr>
            <w:tcW w:w="787" w:type="dxa"/>
            <w:noWrap/>
          </w:tcPr>
          <w:p w14:paraId="491E4398" w14:textId="77777777" w:rsidR="006C4F63" w:rsidRPr="000973F2" w:rsidRDefault="006C4F63" w:rsidP="000C3089">
            <w:pPr>
              <w:spacing w:before="40" w:after="4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1</w:t>
            </w:r>
          </w:p>
        </w:tc>
        <w:tc>
          <w:tcPr>
            <w:tcW w:w="787" w:type="dxa"/>
            <w:noWrap/>
          </w:tcPr>
          <w:p w14:paraId="2913E9D3" w14:textId="77777777" w:rsidR="006C4F63" w:rsidRPr="000973F2" w:rsidRDefault="006C4F63" w:rsidP="000C3089">
            <w:pPr>
              <w:tabs>
                <w:tab w:val="decimal" w:pos="331"/>
              </w:tabs>
              <w:spacing w:before="40" w:after="4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13</w:t>
            </w:r>
          </w:p>
        </w:tc>
        <w:tc>
          <w:tcPr>
            <w:tcW w:w="788" w:type="dxa"/>
            <w:noWrap/>
          </w:tcPr>
          <w:p w14:paraId="7BFE01B1" w14:textId="77777777" w:rsidR="006C4F63" w:rsidRPr="000973F2" w:rsidRDefault="006C4F63" w:rsidP="000C3089">
            <w:pPr>
              <w:tabs>
                <w:tab w:val="decimal" w:pos="331"/>
              </w:tabs>
              <w:spacing w:before="40" w:after="4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13</w:t>
            </w:r>
          </w:p>
        </w:tc>
        <w:tc>
          <w:tcPr>
            <w:tcW w:w="787" w:type="dxa"/>
            <w:noWrap/>
          </w:tcPr>
          <w:p w14:paraId="5A93CC6D" w14:textId="77777777" w:rsidR="006C4F63" w:rsidRPr="000973F2" w:rsidRDefault="006C4F63" w:rsidP="000C3089">
            <w:pPr>
              <w:tabs>
                <w:tab w:val="decimal" w:pos="331"/>
              </w:tabs>
              <w:spacing w:before="40" w:after="4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1</w:t>
            </w:r>
          </w:p>
        </w:tc>
        <w:tc>
          <w:tcPr>
            <w:tcW w:w="788" w:type="dxa"/>
            <w:noWrap/>
          </w:tcPr>
          <w:p w14:paraId="73164571" w14:textId="77777777" w:rsidR="006C4F63" w:rsidRPr="000973F2" w:rsidRDefault="006C4F63" w:rsidP="000C3089">
            <w:pPr>
              <w:tabs>
                <w:tab w:val="decimal" w:pos="331"/>
              </w:tabs>
              <w:spacing w:before="40" w:after="4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1</w:t>
            </w:r>
          </w:p>
        </w:tc>
        <w:tc>
          <w:tcPr>
            <w:tcW w:w="848" w:type="dxa"/>
            <w:noWrap/>
            <w:hideMark/>
          </w:tcPr>
          <w:p w14:paraId="3872E3B5" w14:textId="77777777" w:rsidR="006C4F63" w:rsidRPr="000973F2" w:rsidRDefault="006C4F63" w:rsidP="000C3089">
            <w:pPr>
              <w:tabs>
                <w:tab w:val="decimal" w:pos="541"/>
              </w:tabs>
              <w:spacing w:before="40" w:after="4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$1,053</w:t>
            </w:r>
          </w:p>
        </w:tc>
        <w:tc>
          <w:tcPr>
            <w:tcW w:w="848" w:type="dxa"/>
            <w:noWrap/>
            <w:hideMark/>
          </w:tcPr>
          <w:p w14:paraId="2A9660B6" w14:textId="77777777" w:rsidR="006C4F63" w:rsidRPr="000973F2" w:rsidRDefault="006C4F63" w:rsidP="000C3089">
            <w:pPr>
              <w:tabs>
                <w:tab w:val="decimal" w:pos="541"/>
              </w:tabs>
              <w:spacing w:before="40" w:after="4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$1,053</w:t>
            </w:r>
          </w:p>
        </w:tc>
      </w:tr>
      <w:tr w:rsidR="006305F0" w:rsidRPr="000973F2" w14:paraId="1BC418BF" w14:textId="77777777" w:rsidTr="000C3089">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1335" w:type="dxa"/>
            <w:tcMar>
              <w:right w:w="14" w:type="dxa"/>
            </w:tcMar>
            <w:hideMark/>
          </w:tcPr>
          <w:p w14:paraId="7E2B7B65" w14:textId="77777777" w:rsidR="006C4F63" w:rsidRPr="000973F2" w:rsidRDefault="006C4F63" w:rsidP="000C3089">
            <w:pPr>
              <w:spacing w:before="40" w:after="4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Sampling and Analysis (Calculations)</w:t>
            </w:r>
          </w:p>
        </w:tc>
        <w:tc>
          <w:tcPr>
            <w:tcW w:w="787" w:type="dxa"/>
            <w:noWrap/>
            <w:hideMark/>
          </w:tcPr>
          <w:p w14:paraId="6529C395" w14:textId="77777777" w:rsidR="006C4F63" w:rsidRPr="000973F2" w:rsidRDefault="006C4F63" w:rsidP="000C3089">
            <w:pPr>
              <w:tabs>
                <w:tab w:val="decimal" w:pos="331"/>
              </w:tabs>
              <w:spacing w:before="40" w:after="4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0</w:t>
            </w:r>
          </w:p>
        </w:tc>
        <w:tc>
          <w:tcPr>
            <w:tcW w:w="787" w:type="dxa"/>
          </w:tcPr>
          <w:p w14:paraId="0E410891" w14:textId="77777777" w:rsidR="006C4F63" w:rsidRPr="000973F2" w:rsidRDefault="006C4F63" w:rsidP="000C3089">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0</w:t>
            </w:r>
          </w:p>
        </w:tc>
        <w:tc>
          <w:tcPr>
            <w:tcW w:w="788" w:type="dxa"/>
            <w:noWrap/>
          </w:tcPr>
          <w:p w14:paraId="6FF2698E" w14:textId="77777777" w:rsidR="006C4F63" w:rsidRPr="000973F2" w:rsidRDefault="006C4F63" w:rsidP="000C3089">
            <w:pPr>
              <w:tabs>
                <w:tab w:val="decimal" w:pos="316"/>
              </w:tabs>
              <w:spacing w:before="40" w:after="4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6</w:t>
            </w:r>
          </w:p>
        </w:tc>
        <w:tc>
          <w:tcPr>
            <w:tcW w:w="787" w:type="dxa"/>
            <w:noWrap/>
          </w:tcPr>
          <w:p w14:paraId="41C86658" w14:textId="77777777" w:rsidR="006C4F63" w:rsidRPr="000973F2" w:rsidRDefault="006C4F63" w:rsidP="000C3089">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2</w:t>
            </w:r>
          </w:p>
        </w:tc>
        <w:tc>
          <w:tcPr>
            <w:tcW w:w="787" w:type="dxa"/>
            <w:noWrap/>
          </w:tcPr>
          <w:p w14:paraId="400B1E40" w14:textId="77777777" w:rsidR="006C4F63" w:rsidRPr="000973F2" w:rsidRDefault="006C4F63" w:rsidP="000C3089">
            <w:pPr>
              <w:tabs>
                <w:tab w:val="decimal" w:pos="331"/>
              </w:tabs>
              <w:spacing w:before="40" w:after="4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120</w:t>
            </w:r>
          </w:p>
        </w:tc>
        <w:tc>
          <w:tcPr>
            <w:tcW w:w="788" w:type="dxa"/>
            <w:noWrap/>
          </w:tcPr>
          <w:p w14:paraId="059466C1" w14:textId="77777777" w:rsidR="006C4F63" w:rsidRPr="000973F2" w:rsidRDefault="006C4F63" w:rsidP="000C3089">
            <w:pPr>
              <w:tabs>
                <w:tab w:val="decimal" w:pos="331"/>
              </w:tabs>
              <w:spacing w:before="40" w:after="4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40</w:t>
            </w:r>
          </w:p>
        </w:tc>
        <w:tc>
          <w:tcPr>
            <w:tcW w:w="787" w:type="dxa"/>
            <w:noWrap/>
          </w:tcPr>
          <w:p w14:paraId="2936A400" w14:textId="77777777" w:rsidR="006C4F63" w:rsidRPr="000973F2" w:rsidRDefault="006C4F63" w:rsidP="000C3089">
            <w:pPr>
              <w:tabs>
                <w:tab w:val="decimal" w:pos="331"/>
              </w:tabs>
              <w:spacing w:before="40" w:after="4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12</w:t>
            </w:r>
          </w:p>
        </w:tc>
        <w:tc>
          <w:tcPr>
            <w:tcW w:w="788" w:type="dxa"/>
            <w:noWrap/>
          </w:tcPr>
          <w:p w14:paraId="303E5C15" w14:textId="77777777" w:rsidR="006C4F63" w:rsidRPr="000973F2" w:rsidRDefault="006C4F63" w:rsidP="000C3089">
            <w:pPr>
              <w:tabs>
                <w:tab w:val="decimal" w:pos="331"/>
              </w:tabs>
              <w:spacing w:before="40" w:after="4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4</w:t>
            </w:r>
          </w:p>
        </w:tc>
        <w:tc>
          <w:tcPr>
            <w:tcW w:w="848" w:type="dxa"/>
            <w:noWrap/>
            <w:hideMark/>
          </w:tcPr>
          <w:p w14:paraId="635F616D" w14:textId="77777777" w:rsidR="006C4F63" w:rsidRPr="000973F2" w:rsidRDefault="006C4F63" w:rsidP="000C3089">
            <w:pPr>
              <w:tabs>
                <w:tab w:val="decimal" w:pos="541"/>
              </w:tabs>
              <w:spacing w:before="40" w:after="4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$9,510</w:t>
            </w:r>
          </w:p>
        </w:tc>
        <w:tc>
          <w:tcPr>
            <w:tcW w:w="848" w:type="dxa"/>
            <w:noWrap/>
            <w:hideMark/>
          </w:tcPr>
          <w:p w14:paraId="5D297D98" w14:textId="77777777" w:rsidR="006C4F63" w:rsidRPr="000973F2" w:rsidRDefault="006C4F63" w:rsidP="000C3089">
            <w:pPr>
              <w:tabs>
                <w:tab w:val="decimal" w:pos="541"/>
              </w:tabs>
              <w:spacing w:before="40" w:after="4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$3,170</w:t>
            </w:r>
          </w:p>
        </w:tc>
      </w:tr>
      <w:tr w:rsidR="00D7694D" w:rsidRPr="000973F2" w14:paraId="433D529C" w14:textId="77777777" w:rsidTr="00B6531F">
        <w:trPr>
          <w:cantSplit/>
        </w:trPr>
        <w:tc>
          <w:tcPr>
            <w:cnfStyle w:val="001000000000" w:firstRow="0" w:lastRow="0" w:firstColumn="1" w:lastColumn="0" w:oddVBand="0" w:evenVBand="0" w:oddHBand="0" w:evenHBand="0" w:firstRowFirstColumn="0" w:firstRowLastColumn="0" w:lastRowFirstColumn="0" w:lastRowLastColumn="0"/>
            <w:tcW w:w="1335" w:type="dxa"/>
            <w:tcMar>
              <w:right w:w="14" w:type="dxa"/>
            </w:tcMar>
            <w:hideMark/>
          </w:tcPr>
          <w:p w14:paraId="4CF619C6" w14:textId="77777777" w:rsidR="006C4F63" w:rsidRPr="000973F2" w:rsidRDefault="006C4F63" w:rsidP="000C3089">
            <w:pPr>
              <w:spacing w:before="40" w:after="4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Reporting</w:t>
            </w:r>
          </w:p>
        </w:tc>
        <w:tc>
          <w:tcPr>
            <w:tcW w:w="787" w:type="dxa"/>
            <w:noWrap/>
            <w:hideMark/>
          </w:tcPr>
          <w:p w14:paraId="18479839" w14:textId="77777777" w:rsidR="006C4F63" w:rsidRPr="000973F2" w:rsidRDefault="006C4F63" w:rsidP="000C3089">
            <w:pPr>
              <w:tabs>
                <w:tab w:val="decimal" w:pos="331"/>
              </w:tabs>
              <w:spacing w:before="40" w:after="4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0</w:t>
            </w:r>
          </w:p>
        </w:tc>
        <w:tc>
          <w:tcPr>
            <w:tcW w:w="787" w:type="dxa"/>
          </w:tcPr>
          <w:p w14:paraId="0DA78DA4" w14:textId="77777777" w:rsidR="006C4F63" w:rsidRPr="000973F2" w:rsidRDefault="006C4F63" w:rsidP="000C3089">
            <w:pPr>
              <w:spacing w:before="40" w:after="4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0</w:t>
            </w:r>
          </w:p>
        </w:tc>
        <w:tc>
          <w:tcPr>
            <w:tcW w:w="788" w:type="dxa"/>
            <w:noWrap/>
          </w:tcPr>
          <w:p w14:paraId="6FF17244" w14:textId="77777777" w:rsidR="006C4F63" w:rsidRPr="000973F2" w:rsidRDefault="006C4F63" w:rsidP="000C3089">
            <w:pPr>
              <w:tabs>
                <w:tab w:val="decimal" w:pos="316"/>
              </w:tabs>
              <w:spacing w:before="40" w:after="4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2</w:t>
            </w:r>
          </w:p>
        </w:tc>
        <w:tc>
          <w:tcPr>
            <w:tcW w:w="787" w:type="dxa"/>
            <w:noWrap/>
          </w:tcPr>
          <w:p w14:paraId="1CB9828E" w14:textId="77777777" w:rsidR="006C4F63" w:rsidRPr="000973F2" w:rsidRDefault="006C4F63" w:rsidP="000C3089">
            <w:pPr>
              <w:spacing w:before="40" w:after="4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2</w:t>
            </w:r>
          </w:p>
        </w:tc>
        <w:tc>
          <w:tcPr>
            <w:tcW w:w="787" w:type="dxa"/>
            <w:noWrap/>
          </w:tcPr>
          <w:p w14:paraId="13D25223" w14:textId="77777777" w:rsidR="006C4F63" w:rsidRPr="000973F2" w:rsidRDefault="006C4F63" w:rsidP="000C3089">
            <w:pPr>
              <w:tabs>
                <w:tab w:val="decimal" w:pos="331"/>
              </w:tabs>
              <w:spacing w:before="40" w:after="4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26</w:t>
            </w:r>
          </w:p>
        </w:tc>
        <w:tc>
          <w:tcPr>
            <w:tcW w:w="788" w:type="dxa"/>
            <w:noWrap/>
          </w:tcPr>
          <w:p w14:paraId="06A5C64F" w14:textId="77777777" w:rsidR="006C4F63" w:rsidRPr="000973F2" w:rsidRDefault="006C4F63" w:rsidP="000C3089">
            <w:pPr>
              <w:tabs>
                <w:tab w:val="decimal" w:pos="331"/>
              </w:tabs>
              <w:spacing w:before="40" w:after="4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26</w:t>
            </w:r>
          </w:p>
        </w:tc>
        <w:tc>
          <w:tcPr>
            <w:tcW w:w="787" w:type="dxa"/>
            <w:noWrap/>
          </w:tcPr>
          <w:p w14:paraId="20B58404" w14:textId="77777777" w:rsidR="006C4F63" w:rsidRPr="000973F2" w:rsidRDefault="006C4F63" w:rsidP="000C3089">
            <w:pPr>
              <w:tabs>
                <w:tab w:val="decimal" w:pos="331"/>
              </w:tabs>
              <w:spacing w:before="40" w:after="4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2</w:t>
            </w:r>
          </w:p>
        </w:tc>
        <w:tc>
          <w:tcPr>
            <w:tcW w:w="788" w:type="dxa"/>
            <w:noWrap/>
          </w:tcPr>
          <w:p w14:paraId="6E965395" w14:textId="77777777" w:rsidR="006C4F63" w:rsidRPr="000973F2" w:rsidRDefault="006C4F63" w:rsidP="000C3089">
            <w:pPr>
              <w:tabs>
                <w:tab w:val="decimal" w:pos="331"/>
              </w:tabs>
              <w:spacing w:before="40" w:after="4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2</w:t>
            </w:r>
          </w:p>
        </w:tc>
        <w:tc>
          <w:tcPr>
            <w:tcW w:w="848" w:type="dxa"/>
            <w:noWrap/>
            <w:hideMark/>
          </w:tcPr>
          <w:p w14:paraId="18117BEF" w14:textId="77777777" w:rsidR="006C4F63" w:rsidRPr="000973F2" w:rsidRDefault="006C4F63" w:rsidP="000C3089">
            <w:pPr>
              <w:tabs>
                <w:tab w:val="decimal" w:pos="541"/>
              </w:tabs>
              <w:spacing w:before="40" w:after="4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$2,105</w:t>
            </w:r>
          </w:p>
        </w:tc>
        <w:tc>
          <w:tcPr>
            <w:tcW w:w="848" w:type="dxa"/>
            <w:noWrap/>
            <w:hideMark/>
          </w:tcPr>
          <w:p w14:paraId="71CC3C97" w14:textId="77777777" w:rsidR="006C4F63" w:rsidRPr="000973F2" w:rsidRDefault="006C4F63" w:rsidP="000C3089">
            <w:pPr>
              <w:tabs>
                <w:tab w:val="decimal" w:pos="541"/>
              </w:tabs>
              <w:spacing w:before="40" w:after="4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$2,105</w:t>
            </w:r>
          </w:p>
        </w:tc>
      </w:tr>
      <w:tr w:rsidR="006305F0" w:rsidRPr="000973F2" w14:paraId="280AA60F" w14:textId="77777777" w:rsidTr="000C3089">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1335" w:type="dxa"/>
            <w:noWrap/>
            <w:tcMar>
              <w:right w:w="14" w:type="dxa"/>
            </w:tcMar>
            <w:hideMark/>
          </w:tcPr>
          <w:p w14:paraId="2296F7ED" w14:textId="77777777" w:rsidR="006C4F63" w:rsidRPr="000973F2" w:rsidRDefault="006C4F63" w:rsidP="000C3089">
            <w:pPr>
              <w:spacing w:before="40" w:after="40"/>
              <w:rPr>
                <w:rFonts w:ascii="Times New Roman" w:eastAsia="Times New Roman" w:hAnsi="Times New Roman" w:cs="Times New Roman"/>
                <w:b/>
                <w:bCs w:val="0"/>
                <w:sz w:val="18"/>
                <w:szCs w:val="18"/>
              </w:rPr>
            </w:pPr>
            <w:r w:rsidRPr="000973F2">
              <w:rPr>
                <w:rFonts w:ascii="Times New Roman" w:eastAsia="Times New Roman" w:hAnsi="Times New Roman" w:cs="Times New Roman"/>
                <w:b/>
                <w:sz w:val="18"/>
                <w:szCs w:val="18"/>
              </w:rPr>
              <w:t>Total</w:t>
            </w:r>
          </w:p>
        </w:tc>
        <w:tc>
          <w:tcPr>
            <w:tcW w:w="787" w:type="dxa"/>
            <w:noWrap/>
            <w:hideMark/>
          </w:tcPr>
          <w:p w14:paraId="14B1FCFE" w14:textId="77777777" w:rsidR="006C4F63" w:rsidRPr="000973F2" w:rsidRDefault="006C4F63" w:rsidP="000C3089">
            <w:pPr>
              <w:tabs>
                <w:tab w:val="decimal" w:pos="331"/>
              </w:tabs>
              <w:spacing w:before="40" w:after="4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18"/>
                <w:szCs w:val="18"/>
              </w:rPr>
            </w:pPr>
            <w:r w:rsidRPr="000973F2">
              <w:rPr>
                <w:rFonts w:ascii="Times New Roman" w:eastAsia="Times New Roman" w:hAnsi="Times New Roman" w:cs="Times New Roman"/>
                <w:b/>
                <w:bCs/>
                <w:sz w:val="18"/>
                <w:szCs w:val="18"/>
              </w:rPr>
              <w:t>16</w:t>
            </w:r>
          </w:p>
        </w:tc>
        <w:tc>
          <w:tcPr>
            <w:tcW w:w="787" w:type="dxa"/>
          </w:tcPr>
          <w:p w14:paraId="0B43511A" w14:textId="77777777" w:rsidR="006C4F63" w:rsidRPr="000973F2" w:rsidRDefault="006C4F63" w:rsidP="000C3089">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18"/>
                <w:szCs w:val="18"/>
              </w:rPr>
            </w:pPr>
            <w:r w:rsidRPr="000973F2">
              <w:rPr>
                <w:rFonts w:ascii="Times New Roman" w:eastAsia="Times New Roman" w:hAnsi="Times New Roman" w:cs="Times New Roman"/>
                <w:b/>
                <w:bCs/>
                <w:sz w:val="18"/>
                <w:szCs w:val="18"/>
              </w:rPr>
              <w:t>2</w:t>
            </w:r>
          </w:p>
        </w:tc>
        <w:tc>
          <w:tcPr>
            <w:tcW w:w="788" w:type="dxa"/>
            <w:noWrap/>
          </w:tcPr>
          <w:p w14:paraId="308B0818" w14:textId="77777777" w:rsidR="006C4F63" w:rsidRPr="000973F2" w:rsidRDefault="006C4F63" w:rsidP="000C3089">
            <w:pPr>
              <w:tabs>
                <w:tab w:val="decimal" w:pos="316"/>
              </w:tabs>
              <w:spacing w:before="40" w:after="4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18"/>
                <w:szCs w:val="18"/>
              </w:rPr>
            </w:pPr>
            <w:r w:rsidRPr="000973F2">
              <w:rPr>
                <w:rFonts w:ascii="Times New Roman" w:eastAsia="Times New Roman" w:hAnsi="Times New Roman" w:cs="Times New Roman"/>
                <w:b/>
                <w:bCs/>
                <w:sz w:val="18"/>
                <w:szCs w:val="18"/>
              </w:rPr>
              <w:t>15</w:t>
            </w:r>
          </w:p>
        </w:tc>
        <w:tc>
          <w:tcPr>
            <w:tcW w:w="787" w:type="dxa"/>
            <w:noWrap/>
          </w:tcPr>
          <w:p w14:paraId="60C25CA7" w14:textId="77777777" w:rsidR="006C4F63" w:rsidRPr="000973F2" w:rsidRDefault="006C4F63" w:rsidP="000C3089">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18"/>
                <w:szCs w:val="18"/>
              </w:rPr>
            </w:pPr>
            <w:r w:rsidRPr="000973F2">
              <w:rPr>
                <w:rFonts w:ascii="Times New Roman" w:eastAsia="Times New Roman" w:hAnsi="Times New Roman" w:cs="Times New Roman"/>
                <w:b/>
                <w:bCs/>
                <w:sz w:val="18"/>
                <w:szCs w:val="18"/>
              </w:rPr>
              <w:t>7</w:t>
            </w:r>
          </w:p>
        </w:tc>
        <w:tc>
          <w:tcPr>
            <w:tcW w:w="787" w:type="dxa"/>
            <w:noWrap/>
          </w:tcPr>
          <w:p w14:paraId="1B696E01" w14:textId="77777777" w:rsidR="006C4F63" w:rsidRPr="000973F2" w:rsidRDefault="006C4F63" w:rsidP="000C3089">
            <w:pPr>
              <w:tabs>
                <w:tab w:val="decimal" w:pos="331"/>
              </w:tabs>
              <w:spacing w:before="40" w:after="4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18"/>
                <w:szCs w:val="18"/>
              </w:rPr>
            </w:pPr>
            <w:r w:rsidRPr="000973F2">
              <w:rPr>
                <w:rFonts w:ascii="Times New Roman" w:eastAsia="Times New Roman" w:hAnsi="Times New Roman" w:cs="Times New Roman"/>
                <w:b/>
                <w:bCs/>
                <w:sz w:val="18"/>
                <w:szCs w:val="18"/>
              </w:rPr>
              <w:t>281</w:t>
            </w:r>
          </w:p>
        </w:tc>
        <w:tc>
          <w:tcPr>
            <w:tcW w:w="788" w:type="dxa"/>
            <w:noWrap/>
          </w:tcPr>
          <w:p w14:paraId="36ADCF17" w14:textId="77777777" w:rsidR="006C4F63" w:rsidRPr="000973F2" w:rsidRDefault="006C4F63" w:rsidP="000C3089">
            <w:pPr>
              <w:tabs>
                <w:tab w:val="decimal" w:pos="331"/>
              </w:tabs>
              <w:spacing w:before="40" w:after="4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18"/>
                <w:szCs w:val="18"/>
              </w:rPr>
            </w:pPr>
            <w:r w:rsidRPr="000973F2">
              <w:rPr>
                <w:rFonts w:ascii="Times New Roman" w:eastAsia="Times New Roman" w:hAnsi="Times New Roman" w:cs="Times New Roman"/>
                <w:b/>
                <w:bCs/>
                <w:sz w:val="18"/>
                <w:szCs w:val="18"/>
              </w:rPr>
              <w:t>120</w:t>
            </w:r>
          </w:p>
        </w:tc>
        <w:tc>
          <w:tcPr>
            <w:tcW w:w="787" w:type="dxa"/>
            <w:noWrap/>
          </w:tcPr>
          <w:p w14:paraId="44EE7E12" w14:textId="77777777" w:rsidR="006C4F63" w:rsidRPr="000973F2" w:rsidRDefault="006C4F63" w:rsidP="000C3089">
            <w:pPr>
              <w:tabs>
                <w:tab w:val="decimal" w:pos="331"/>
              </w:tabs>
              <w:spacing w:before="40" w:after="4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18"/>
                <w:szCs w:val="18"/>
              </w:rPr>
            </w:pPr>
            <w:r w:rsidRPr="000973F2">
              <w:rPr>
                <w:rFonts w:ascii="Times New Roman" w:eastAsia="Times New Roman" w:hAnsi="Times New Roman" w:cs="Times New Roman"/>
                <w:b/>
                <w:bCs/>
                <w:sz w:val="18"/>
                <w:szCs w:val="18"/>
              </w:rPr>
              <w:t>27</w:t>
            </w:r>
          </w:p>
        </w:tc>
        <w:tc>
          <w:tcPr>
            <w:tcW w:w="788" w:type="dxa"/>
            <w:noWrap/>
          </w:tcPr>
          <w:p w14:paraId="0C6754C7" w14:textId="77777777" w:rsidR="006C4F63" w:rsidRPr="000973F2" w:rsidRDefault="006C4F63" w:rsidP="000C3089">
            <w:pPr>
              <w:tabs>
                <w:tab w:val="decimal" w:pos="331"/>
              </w:tabs>
              <w:spacing w:before="40" w:after="4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18"/>
                <w:szCs w:val="18"/>
              </w:rPr>
            </w:pPr>
            <w:r w:rsidRPr="000973F2">
              <w:rPr>
                <w:rFonts w:ascii="Times New Roman" w:eastAsia="Times New Roman" w:hAnsi="Times New Roman" w:cs="Times New Roman"/>
                <w:b/>
                <w:bCs/>
                <w:sz w:val="18"/>
                <w:szCs w:val="18"/>
              </w:rPr>
              <w:t>11</w:t>
            </w:r>
          </w:p>
        </w:tc>
        <w:tc>
          <w:tcPr>
            <w:tcW w:w="848" w:type="dxa"/>
            <w:noWrap/>
            <w:hideMark/>
          </w:tcPr>
          <w:p w14:paraId="732C20C5" w14:textId="77777777" w:rsidR="006C4F63" w:rsidRPr="000973F2" w:rsidRDefault="006C4F63" w:rsidP="000C3089">
            <w:pPr>
              <w:tabs>
                <w:tab w:val="decimal" w:pos="541"/>
              </w:tabs>
              <w:spacing w:before="40" w:after="4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18"/>
                <w:szCs w:val="18"/>
              </w:rPr>
            </w:pPr>
            <w:r w:rsidRPr="000973F2">
              <w:rPr>
                <w:rFonts w:ascii="Times New Roman" w:eastAsia="Times New Roman" w:hAnsi="Times New Roman" w:cs="Times New Roman"/>
                <w:b/>
                <w:bCs/>
                <w:sz w:val="18"/>
                <w:szCs w:val="18"/>
              </w:rPr>
              <w:t>$24,212</w:t>
            </w:r>
          </w:p>
        </w:tc>
        <w:tc>
          <w:tcPr>
            <w:tcW w:w="848" w:type="dxa"/>
            <w:noWrap/>
            <w:hideMark/>
          </w:tcPr>
          <w:p w14:paraId="7EF21488" w14:textId="77777777" w:rsidR="006C4F63" w:rsidRPr="000973F2" w:rsidRDefault="006C4F63" w:rsidP="000C3089">
            <w:pPr>
              <w:tabs>
                <w:tab w:val="decimal" w:pos="541"/>
              </w:tabs>
              <w:spacing w:before="40" w:after="4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18"/>
                <w:szCs w:val="18"/>
              </w:rPr>
            </w:pPr>
            <w:r w:rsidRPr="000973F2">
              <w:rPr>
                <w:rFonts w:ascii="Times New Roman" w:eastAsia="Times New Roman" w:hAnsi="Times New Roman" w:cs="Times New Roman"/>
                <w:b/>
                <w:bCs/>
                <w:sz w:val="18"/>
                <w:szCs w:val="18"/>
              </w:rPr>
              <w:t>$9,802</w:t>
            </w:r>
          </w:p>
        </w:tc>
      </w:tr>
    </w:tbl>
    <w:p w14:paraId="3B9162A5" w14:textId="77777777" w:rsidR="006C4F63" w:rsidRPr="000973F2" w:rsidRDefault="006C4F63" w:rsidP="00C00E4F">
      <w:pPr>
        <w:spacing w:line="240" w:lineRule="auto"/>
        <w:jc w:val="center"/>
        <w:rPr>
          <w:rFonts w:ascii="Times New Roman" w:hAnsi="Times New Roman" w:cs="Times New Roman"/>
        </w:rPr>
      </w:pPr>
    </w:p>
    <w:p w14:paraId="53821B92" w14:textId="77777777" w:rsidR="006C4F63" w:rsidRPr="000973F2" w:rsidRDefault="006C4F63" w:rsidP="00C00E4F">
      <w:pPr>
        <w:spacing w:line="240" w:lineRule="auto"/>
        <w:rPr>
          <w:rFonts w:ascii="Times New Roman" w:hAnsi="Times New Roman" w:cs="Times New Roman"/>
          <w:b/>
          <w:i/>
        </w:rPr>
      </w:pPr>
      <w:r w:rsidRPr="000973F2">
        <w:rPr>
          <w:rFonts w:ascii="Times New Roman" w:hAnsi="Times New Roman" w:cs="Times New Roman"/>
          <w:b/>
          <w:i/>
        </w:rPr>
        <w:t>Capital and O&amp;M Costs for Subpart X – CEMS (§98.243(b)) or Mass Balance (§98.243(c)) Methodologies</w:t>
      </w:r>
    </w:p>
    <w:p w14:paraId="4168A2C1" w14:textId="77777777" w:rsidR="006C4F63" w:rsidRPr="000973F2" w:rsidRDefault="006C4F63" w:rsidP="00C00E4F">
      <w:pPr>
        <w:spacing w:line="240" w:lineRule="auto"/>
        <w:rPr>
          <w:rFonts w:ascii="Times New Roman" w:hAnsi="Times New Roman" w:cs="Times New Roman"/>
        </w:rPr>
      </w:pPr>
      <w:r w:rsidRPr="000973F2">
        <w:rPr>
          <w:rFonts w:ascii="Times New Roman" w:hAnsi="Times New Roman" w:cs="Times New Roman"/>
        </w:rPr>
        <w:t>The CEMS or Mass Balance calculation methodologies in Subpart X require use of measurement methods or default methods when measurement data are not available. Existing facilities are expected to already have all equipment needed to comply with the rule. For new facilities using the mass balance method, it is expected that the monitoring equipment needed for process control and other regulatory compliance purposes will meet the requirements for monitoring equipment in Subpart X, such that no additional capital costs would be incurred.</w:t>
      </w:r>
    </w:p>
    <w:p w14:paraId="6638A379" w14:textId="1205E2C4" w:rsidR="006C4F63" w:rsidRPr="000973F2" w:rsidRDefault="006C4F63" w:rsidP="00C00E4F">
      <w:pPr>
        <w:spacing w:line="240" w:lineRule="auto"/>
        <w:rPr>
          <w:rFonts w:ascii="Times New Roman" w:hAnsi="Times New Roman" w:cs="Times New Roman"/>
        </w:rPr>
      </w:pPr>
      <w:r w:rsidRPr="000973F2">
        <w:rPr>
          <w:rFonts w:ascii="Times New Roman" w:hAnsi="Times New Roman" w:cs="Times New Roman"/>
        </w:rPr>
        <w:t xml:space="preserve">Table </w:t>
      </w:r>
      <w:r w:rsidR="00122518" w:rsidRPr="000973F2">
        <w:rPr>
          <w:rFonts w:ascii="Times New Roman" w:hAnsi="Times New Roman" w:cs="Times New Roman"/>
        </w:rPr>
        <w:t>X-</w:t>
      </w:r>
      <w:r w:rsidRPr="000973F2">
        <w:rPr>
          <w:rFonts w:ascii="Times New Roman" w:hAnsi="Times New Roman" w:cs="Times New Roman"/>
        </w:rPr>
        <w:t xml:space="preserve">2b is a summary of the anticipated O&amp;M costs for Subpart X facilities that use the CEMS or Mass Balance methodologies. Facilities will incur O&amp;M costs associated with recordkeeping as discussed in the Cost Appendix Introduction. Note that there are no new sources expected to use the CEMS methodology so initial year costs apply only to the one new facility expected to use the Mass Balance methodology. </w:t>
      </w:r>
      <w:r w:rsidRPr="000973F2">
        <w:rPr>
          <w:rFonts w:ascii="Times New Roman" w:hAnsi="Times New Roman" w:cs="Times New Roman"/>
        </w:rPr>
        <w:br w:type="page"/>
      </w:r>
    </w:p>
    <w:p w14:paraId="6AC72382" w14:textId="133463E6" w:rsidR="00A1651D" w:rsidRPr="000973F2" w:rsidRDefault="00A1651D" w:rsidP="00122518">
      <w:pPr>
        <w:pStyle w:val="Tabletitle"/>
      </w:pPr>
      <w:r w:rsidRPr="000973F2">
        <w:t xml:space="preserve">Table </w:t>
      </w:r>
      <w:r w:rsidR="00122518" w:rsidRPr="000973F2">
        <w:t>X-</w:t>
      </w:r>
      <w:r w:rsidRPr="000973F2">
        <w:t xml:space="preserve">2b. Capital and O&amp;M Costs—Subpart X </w:t>
      </w:r>
      <w:r w:rsidR="00B960CC" w:rsidRPr="000973F2">
        <w:t>–</w:t>
      </w:r>
      <w:r w:rsidRPr="000973F2">
        <w:t xml:space="preserve"> CEMS (§98.243(b)) or Mass Balance (§98.243(c)) Methodologies</w:t>
      </w:r>
    </w:p>
    <w:tbl>
      <w:tblPr>
        <w:tblStyle w:val="PlainTable1"/>
        <w:tblW w:w="5000" w:type="pct"/>
        <w:jc w:val="left"/>
        <w:tblLayout w:type="fixed"/>
        <w:tblCellMar>
          <w:left w:w="115" w:type="dxa"/>
          <w:right w:w="115" w:type="dxa"/>
        </w:tblCellMar>
        <w:tblLook w:val="04A0" w:firstRow="1" w:lastRow="0" w:firstColumn="1" w:lastColumn="0" w:noHBand="0" w:noVBand="1"/>
      </w:tblPr>
      <w:tblGrid>
        <w:gridCol w:w="1835"/>
        <w:gridCol w:w="1292"/>
        <w:gridCol w:w="1293"/>
        <w:gridCol w:w="1292"/>
        <w:gridCol w:w="1303"/>
        <w:gridCol w:w="1282"/>
        <w:gridCol w:w="1293"/>
      </w:tblGrid>
      <w:tr w:rsidR="00D17312" w:rsidRPr="000973F2" w14:paraId="4BE9EE26" w14:textId="77777777" w:rsidTr="00B6531F">
        <w:trPr>
          <w:cnfStyle w:val="100000000000" w:firstRow="1" w:lastRow="0" w:firstColumn="0" w:lastColumn="0" w:oddVBand="0" w:evenVBand="0" w:oddHBand="0" w:evenHBand="0" w:firstRowFirstColumn="0" w:firstRowLastColumn="0" w:lastRowFirstColumn="0" w:lastRowLastColumn="0"/>
          <w:cantSplit/>
          <w:jc w:val="left"/>
        </w:trPr>
        <w:tc>
          <w:tcPr>
            <w:cnfStyle w:val="001000000000" w:firstRow="0" w:lastRow="0" w:firstColumn="1" w:lastColumn="0" w:oddVBand="0" w:evenVBand="0" w:oddHBand="0" w:evenHBand="0" w:firstRowFirstColumn="0" w:firstRowLastColumn="0" w:lastRowFirstColumn="0" w:lastRowLastColumn="0"/>
            <w:tcW w:w="1785" w:type="dxa"/>
            <w:vMerge w:val="restart"/>
            <w:noWrap/>
            <w:hideMark/>
          </w:tcPr>
          <w:p w14:paraId="735DB4E5" w14:textId="65D17068" w:rsidR="00D17312" w:rsidRPr="000973F2" w:rsidRDefault="00D17312" w:rsidP="00844ED4">
            <w:pPr>
              <w:spacing w:before="40" w:after="40"/>
              <w:rPr>
                <w:rFonts w:ascii="Times New Roman" w:eastAsia="Times New Roman" w:hAnsi="Times New Roman" w:cs="Times New Roman"/>
                <w:b w:val="0"/>
                <w:bCs w:val="0"/>
                <w:sz w:val="18"/>
                <w:szCs w:val="18"/>
              </w:rPr>
            </w:pPr>
            <w:r w:rsidRPr="000973F2">
              <w:rPr>
                <w:rFonts w:ascii="Times New Roman" w:eastAsia="Times New Roman" w:hAnsi="Times New Roman" w:cs="Times New Roman"/>
                <w:sz w:val="18"/>
                <w:szCs w:val="18"/>
              </w:rPr>
              <w:t>Activity</w:t>
            </w:r>
          </w:p>
        </w:tc>
        <w:tc>
          <w:tcPr>
            <w:tcW w:w="5040" w:type="dxa"/>
            <w:gridSpan w:val="4"/>
            <w:noWrap/>
            <w:hideMark/>
          </w:tcPr>
          <w:p w14:paraId="6CF19B3E" w14:textId="77777777" w:rsidR="00D17312" w:rsidRPr="000973F2" w:rsidRDefault="00D17312" w:rsidP="00844ED4">
            <w:pPr>
              <w:spacing w:before="40" w:after="40"/>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bCs w:val="0"/>
                <w:sz w:val="18"/>
                <w:szCs w:val="18"/>
              </w:rPr>
            </w:pPr>
            <w:r w:rsidRPr="000973F2">
              <w:rPr>
                <w:rFonts w:ascii="Times New Roman" w:eastAsia="Times New Roman" w:hAnsi="Times New Roman" w:cs="Times New Roman"/>
                <w:sz w:val="18"/>
                <w:szCs w:val="18"/>
              </w:rPr>
              <w:t>Cost Categories</w:t>
            </w:r>
          </w:p>
        </w:tc>
        <w:tc>
          <w:tcPr>
            <w:tcW w:w="2505" w:type="dxa"/>
            <w:gridSpan w:val="2"/>
            <w:hideMark/>
          </w:tcPr>
          <w:p w14:paraId="0BDD82A7" w14:textId="77777777" w:rsidR="00D17312" w:rsidRPr="000973F2" w:rsidRDefault="00D17312" w:rsidP="00844ED4">
            <w:pPr>
              <w:spacing w:before="40" w:after="40"/>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bCs w:val="0"/>
                <w:sz w:val="18"/>
                <w:szCs w:val="18"/>
              </w:rPr>
            </w:pPr>
            <w:r w:rsidRPr="000973F2">
              <w:rPr>
                <w:rFonts w:ascii="Times New Roman" w:eastAsia="Times New Roman" w:hAnsi="Times New Roman" w:cs="Times New Roman"/>
                <w:sz w:val="18"/>
                <w:szCs w:val="18"/>
              </w:rPr>
              <w:t>Total Capital and O&amp;M Cost per Year per Facility (2017$)</w:t>
            </w:r>
          </w:p>
        </w:tc>
      </w:tr>
      <w:tr w:rsidR="00D7694D" w:rsidRPr="000973F2" w14:paraId="5101B7DE" w14:textId="77777777" w:rsidTr="00B6531F">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1785" w:type="dxa"/>
            <w:vMerge/>
            <w:noWrap/>
            <w:hideMark/>
          </w:tcPr>
          <w:p w14:paraId="68620B75" w14:textId="1B06CE6B" w:rsidR="00D17312" w:rsidRPr="000973F2" w:rsidRDefault="00D17312" w:rsidP="00844ED4">
            <w:pPr>
              <w:spacing w:before="40" w:after="40"/>
              <w:jc w:val="center"/>
              <w:rPr>
                <w:rFonts w:ascii="Times New Roman" w:eastAsia="Times New Roman" w:hAnsi="Times New Roman" w:cs="Times New Roman"/>
                <w:b/>
                <w:bCs w:val="0"/>
                <w:sz w:val="18"/>
                <w:szCs w:val="18"/>
              </w:rPr>
            </w:pPr>
          </w:p>
        </w:tc>
        <w:tc>
          <w:tcPr>
            <w:tcW w:w="1257" w:type="dxa"/>
            <w:hideMark/>
          </w:tcPr>
          <w:p w14:paraId="145E77AD" w14:textId="77777777" w:rsidR="00D17312" w:rsidRPr="000973F2" w:rsidRDefault="00D17312" w:rsidP="00844ED4">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18"/>
                <w:szCs w:val="18"/>
              </w:rPr>
            </w:pPr>
            <w:r w:rsidRPr="000973F2">
              <w:rPr>
                <w:rFonts w:ascii="Times New Roman" w:eastAsia="Times New Roman" w:hAnsi="Times New Roman" w:cs="Times New Roman"/>
                <w:b/>
                <w:bCs/>
                <w:sz w:val="18"/>
                <w:szCs w:val="18"/>
              </w:rPr>
              <w:t>Capital Cost (2017$)</w:t>
            </w:r>
          </w:p>
        </w:tc>
        <w:tc>
          <w:tcPr>
            <w:tcW w:w="1258" w:type="dxa"/>
            <w:hideMark/>
          </w:tcPr>
          <w:p w14:paraId="0721D81B" w14:textId="77777777" w:rsidR="00D17312" w:rsidRPr="000973F2" w:rsidRDefault="00D17312" w:rsidP="00844ED4">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18"/>
                <w:szCs w:val="18"/>
              </w:rPr>
            </w:pPr>
            <w:r w:rsidRPr="000973F2">
              <w:rPr>
                <w:rFonts w:ascii="Times New Roman" w:eastAsia="Times New Roman" w:hAnsi="Times New Roman" w:cs="Times New Roman"/>
                <w:b/>
                <w:bCs/>
                <w:sz w:val="18"/>
                <w:szCs w:val="18"/>
              </w:rPr>
              <w:t>Equipment Lifetime</w:t>
            </w:r>
          </w:p>
        </w:tc>
        <w:tc>
          <w:tcPr>
            <w:tcW w:w="1257" w:type="dxa"/>
            <w:hideMark/>
          </w:tcPr>
          <w:p w14:paraId="386C3663" w14:textId="77777777" w:rsidR="00D17312" w:rsidRPr="000973F2" w:rsidRDefault="00D17312" w:rsidP="00844ED4">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18"/>
                <w:szCs w:val="18"/>
              </w:rPr>
            </w:pPr>
            <w:r w:rsidRPr="000973F2">
              <w:rPr>
                <w:rFonts w:ascii="Times New Roman" w:eastAsia="Times New Roman" w:hAnsi="Times New Roman" w:cs="Times New Roman"/>
                <w:b/>
                <w:bCs/>
                <w:sz w:val="18"/>
                <w:szCs w:val="18"/>
              </w:rPr>
              <w:t>Annualized Capital Cost (2017$/year)</w:t>
            </w:r>
          </w:p>
        </w:tc>
        <w:tc>
          <w:tcPr>
            <w:tcW w:w="1268" w:type="dxa"/>
            <w:hideMark/>
          </w:tcPr>
          <w:p w14:paraId="2A6F3EBF" w14:textId="77777777" w:rsidR="00D17312" w:rsidRPr="000973F2" w:rsidRDefault="00D17312" w:rsidP="00844ED4">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18"/>
                <w:szCs w:val="18"/>
              </w:rPr>
            </w:pPr>
            <w:r w:rsidRPr="000973F2">
              <w:rPr>
                <w:rFonts w:ascii="Times New Roman" w:eastAsia="Times New Roman" w:hAnsi="Times New Roman" w:cs="Times New Roman"/>
                <w:b/>
                <w:bCs/>
                <w:sz w:val="18"/>
                <w:szCs w:val="18"/>
              </w:rPr>
              <w:t>O&amp;M Costs (2017$/year)</w:t>
            </w:r>
          </w:p>
        </w:tc>
        <w:tc>
          <w:tcPr>
            <w:tcW w:w="1247" w:type="dxa"/>
            <w:hideMark/>
          </w:tcPr>
          <w:p w14:paraId="08C6E382" w14:textId="77777777" w:rsidR="00D17312" w:rsidRPr="000973F2" w:rsidRDefault="00D17312" w:rsidP="00844ED4">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18"/>
                <w:szCs w:val="18"/>
              </w:rPr>
            </w:pPr>
            <w:r w:rsidRPr="000973F2">
              <w:rPr>
                <w:rFonts w:ascii="Times New Roman" w:eastAsia="Times New Roman" w:hAnsi="Times New Roman" w:cs="Times New Roman"/>
                <w:b/>
                <w:bCs/>
                <w:sz w:val="18"/>
                <w:szCs w:val="18"/>
              </w:rPr>
              <w:t>Initial Year</w:t>
            </w:r>
          </w:p>
        </w:tc>
        <w:tc>
          <w:tcPr>
            <w:tcW w:w="1258" w:type="dxa"/>
            <w:hideMark/>
          </w:tcPr>
          <w:p w14:paraId="51129598" w14:textId="77777777" w:rsidR="00D17312" w:rsidRPr="000973F2" w:rsidRDefault="00D17312" w:rsidP="00844ED4">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18"/>
                <w:szCs w:val="18"/>
              </w:rPr>
            </w:pPr>
            <w:r w:rsidRPr="000973F2">
              <w:rPr>
                <w:rFonts w:ascii="Times New Roman" w:eastAsia="Times New Roman" w:hAnsi="Times New Roman" w:cs="Times New Roman"/>
                <w:b/>
                <w:bCs/>
                <w:sz w:val="18"/>
                <w:szCs w:val="18"/>
              </w:rPr>
              <w:t>Subseq. Years</w:t>
            </w:r>
          </w:p>
        </w:tc>
      </w:tr>
      <w:tr w:rsidR="00844ED4" w:rsidRPr="000973F2" w14:paraId="32BF635B" w14:textId="77777777" w:rsidTr="00B6531F">
        <w:trPr>
          <w:cantSplit/>
        </w:trPr>
        <w:tc>
          <w:tcPr>
            <w:cnfStyle w:val="001000000000" w:firstRow="0" w:lastRow="0" w:firstColumn="1" w:lastColumn="0" w:oddVBand="0" w:evenVBand="0" w:oddHBand="0" w:evenHBand="0" w:firstRowFirstColumn="0" w:firstRowLastColumn="0" w:lastRowFirstColumn="0" w:lastRowLastColumn="0"/>
            <w:tcW w:w="1785" w:type="dxa"/>
            <w:hideMark/>
          </w:tcPr>
          <w:p w14:paraId="49F79CB6" w14:textId="77777777" w:rsidR="00844ED4" w:rsidRPr="000973F2" w:rsidRDefault="00844ED4" w:rsidP="00844ED4">
            <w:pPr>
              <w:spacing w:before="40" w:after="4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Equipment (selection, purchase, installation)</w:t>
            </w:r>
          </w:p>
        </w:tc>
        <w:tc>
          <w:tcPr>
            <w:tcW w:w="1257" w:type="dxa"/>
            <w:noWrap/>
            <w:hideMark/>
          </w:tcPr>
          <w:p w14:paraId="3B43BC86" w14:textId="5D78B0CA" w:rsidR="00844ED4" w:rsidRPr="000973F2" w:rsidRDefault="00844ED4" w:rsidP="00844ED4">
            <w:pPr>
              <w:spacing w:before="40" w:after="4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w:t>
            </w:r>
          </w:p>
        </w:tc>
        <w:tc>
          <w:tcPr>
            <w:tcW w:w="1258" w:type="dxa"/>
            <w:noWrap/>
          </w:tcPr>
          <w:p w14:paraId="30A42251" w14:textId="11B29502" w:rsidR="00844ED4" w:rsidRPr="000973F2" w:rsidRDefault="00844ED4" w:rsidP="00844ED4">
            <w:pPr>
              <w:spacing w:before="40" w:after="4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p>
        </w:tc>
        <w:tc>
          <w:tcPr>
            <w:tcW w:w="1257" w:type="dxa"/>
            <w:noWrap/>
            <w:hideMark/>
          </w:tcPr>
          <w:p w14:paraId="23C55BC3" w14:textId="52A74C72" w:rsidR="00844ED4" w:rsidRPr="000973F2" w:rsidRDefault="00844ED4" w:rsidP="00844ED4">
            <w:pPr>
              <w:spacing w:before="40" w:after="4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w:t>
            </w:r>
          </w:p>
        </w:tc>
        <w:tc>
          <w:tcPr>
            <w:tcW w:w="1268" w:type="dxa"/>
            <w:noWrap/>
            <w:hideMark/>
          </w:tcPr>
          <w:p w14:paraId="655E159D" w14:textId="64E73462" w:rsidR="00844ED4" w:rsidRPr="000973F2" w:rsidRDefault="00844ED4" w:rsidP="00844ED4">
            <w:pPr>
              <w:spacing w:before="40" w:after="4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w:t>
            </w:r>
          </w:p>
        </w:tc>
        <w:tc>
          <w:tcPr>
            <w:tcW w:w="1247" w:type="dxa"/>
            <w:noWrap/>
            <w:hideMark/>
          </w:tcPr>
          <w:p w14:paraId="657016B4" w14:textId="13025106" w:rsidR="00844ED4" w:rsidRPr="000973F2" w:rsidRDefault="00844ED4" w:rsidP="00844ED4">
            <w:pPr>
              <w:spacing w:before="40" w:after="4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w:t>
            </w:r>
          </w:p>
        </w:tc>
        <w:tc>
          <w:tcPr>
            <w:tcW w:w="1258" w:type="dxa"/>
            <w:noWrap/>
            <w:hideMark/>
          </w:tcPr>
          <w:p w14:paraId="1823DC19" w14:textId="51CD4088" w:rsidR="00844ED4" w:rsidRPr="000973F2" w:rsidRDefault="00844ED4" w:rsidP="00844ED4">
            <w:pPr>
              <w:spacing w:before="40" w:after="4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w:t>
            </w:r>
          </w:p>
        </w:tc>
      </w:tr>
      <w:tr w:rsidR="00D7694D" w:rsidRPr="000973F2" w14:paraId="608A5A24" w14:textId="77777777" w:rsidTr="00B6531F">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1785" w:type="dxa"/>
            <w:hideMark/>
          </w:tcPr>
          <w:p w14:paraId="73535D57" w14:textId="77777777" w:rsidR="00844ED4" w:rsidRPr="000973F2" w:rsidRDefault="00844ED4" w:rsidP="00844ED4">
            <w:pPr>
              <w:spacing w:before="40" w:after="4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Performance testing</w:t>
            </w:r>
          </w:p>
        </w:tc>
        <w:tc>
          <w:tcPr>
            <w:tcW w:w="1257" w:type="dxa"/>
            <w:noWrap/>
            <w:hideMark/>
          </w:tcPr>
          <w:p w14:paraId="6030D727" w14:textId="31D483CC" w:rsidR="00844ED4" w:rsidRPr="000973F2" w:rsidRDefault="00844ED4" w:rsidP="00844ED4">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w:t>
            </w:r>
          </w:p>
        </w:tc>
        <w:tc>
          <w:tcPr>
            <w:tcW w:w="1258" w:type="dxa"/>
            <w:noWrap/>
          </w:tcPr>
          <w:p w14:paraId="4CBAD972" w14:textId="0B0B187A" w:rsidR="00844ED4" w:rsidRPr="000973F2" w:rsidRDefault="00844ED4" w:rsidP="00844ED4">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p>
        </w:tc>
        <w:tc>
          <w:tcPr>
            <w:tcW w:w="1257" w:type="dxa"/>
            <w:noWrap/>
            <w:hideMark/>
          </w:tcPr>
          <w:p w14:paraId="3734C1EE" w14:textId="060BEA14" w:rsidR="00844ED4" w:rsidRPr="000973F2" w:rsidRDefault="00844ED4" w:rsidP="00844ED4">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w:t>
            </w:r>
          </w:p>
        </w:tc>
        <w:tc>
          <w:tcPr>
            <w:tcW w:w="1268" w:type="dxa"/>
            <w:noWrap/>
            <w:hideMark/>
          </w:tcPr>
          <w:p w14:paraId="7E00A74A" w14:textId="457C6A64" w:rsidR="00844ED4" w:rsidRPr="000973F2" w:rsidRDefault="00844ED4" w:rsidP="00844ED4">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w:t>
            </w:r>
          </w:p>
        </w:tc>
        <w:tc>
          <w:tcPr>
            <w:tcW w:w="1247" w:type="dxa"/>
            <w:noWrap/>
            <w:hideMark/>
          </w:tcPr>
          <w:p w14:paraId="7A1ECE4C" w14:textId="059EEA61" w:rsidR="00844ED4" w:rsidRPr="000973F2" w:rsidRDefault="00844ED4" w:rsidP="00844ED4">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w:t>
            </w:r>
          </w:p>
        </w:tc>
        <w:tc>
          <w:tcPr>
            <w:tcW w:w="1258" w:type="dxa"/>
            <w:noWrap/>
            <w:hideMark/>
          </w:tcPr>
          <w:p w14:paraId="0ADD22BD" w14:textId="673532DA" w:rsidR="00844ED4" w:rsidRPr="000973F2" w:rsidRDefault="00844ED4" w:rsidP="00844ED4">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w:t>
            </w:r>
          </w:p>
        </w:tc>
      </w:tr>
      <w:tr w:rsidR="00DE236B" w:rsidRPr="000973F2" w14:paraId="7254D27A" w14:textId="77777777" w:rsidTr="00B6531F">
        <w:trPr>
          <w:cantSplit/>
        </w:trPr>
        <w:tc>
          <w:tcPr>
            <w:cnfStyle w:val="001000000000" w:firstRow="0" w:lastRow="0" w:firstColumn="1" w:lastColumn="0" w:oddVBand="0" w:evenVBand="0" w:oddHBand="0" w:evenHBand="0" w:firstRowFirstColumn="0" w:firstRowLastColumn="0" w:lastRowFirstColumn="0" w:lastRowLastColumn="0"/>
            <w:tcW w:w="1785" w:type="dxa"/>
            <w:hideMark/>
          </w:tcPr>
          <w:p w14:paraId="36B0FABC" w14:textId="77777777" w:rsidR="006C4F63" w:rsidRPr="000973F2" w:rsidRDefault="006C4F63" w:rsidP="00844ED4">
            <w:pPr>
              <w:spacing w:before="40" w:after="4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Recordkeeping</w:t>
            </w:r>
          </w:p>
        </w:tc>
        <w:tc>
          <w:tcPr>
            <w:tcW w:w="1257" w:type="dxa"/>
            <w:noWrap/>
            <w:hideMark/>
          </w:tcPr>
          <w:p w14:paraId="3E8FC81A" w14:textId="77777777" w:rsidR="006C4F63" w:rsidRPr="000973F2" w:rsidRDefault="006C4F63" w:rsidP="00844ED4">
            <w:pPr>
              <w:spacing w:before="40" w:after="4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$0</w:t>
            </w:r>
          </w:p>
        </w:tc>
        <w:tc>
          <w:tcPr>
            <w:tcW w:w="1258" w:type="dxa"/>
            <w:noWrap/>
          </w:tcPr>
          <w:p w14:paraId="2CFC6410" w14:textId="77777777" w:rsidR="006C4F63" w:rsidRPr="000973F2" w:rsidRDefault="006C4F63" w:rsidP="00844ED4">
            <w:pPr>
              <w:spacing w:before="40" w:after="4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p>
        </w:tc>
        <w:tc>
          <w:tcPr>
            <w:tcW w:w="1257" w:type="dxa"/>
            <w:noWrap/>
            <w:hideMark/>
          </w:tcPr>
          <w:p w14:paraId="699792C0" w14:textId="77777777" w:rsidR="006C4F63" w:rsidRPr="000973F2" w:rsidRDefault="006C4F63" w:rsidP="00844ED4">
            <w:pPr>
              <w:spacing w:before="40" w:after="4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$0</w:t>
            </w:r>
          </w:p>
        </w:tc>
        <w:tc>
          <w:tcPr>
            <w:tcW w:w="1268" w:type="dxa"/>
            <w:noWrap/>
            <w:hideMark/>
          </w:tcPr>
          <w:p w14:paraId="76E5C0E4" w14:textId="77777777" w:rsidR="006C4F63" w:rsidRPr="000973F2" w:rsidRDefault="006C4F63" w:rsidP="00844ED4">
            <w:pPr>
              <w:spacing w:before="40" w:after="4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$50</w:t>
            </w:r>
          </w:p>
        </w:tc>
        <w:tc>
          <w:tcPr>
            <w:tcW w:w="1247" w:type="dxa"/>
            <w:noWrap/>
            <w:hideMark/>
          </w:tcPr>
          <w:p w14:paraId="6725CF4E" w14:textId="77777777" w:rsidR="006C4F63" w:rsidRPr="000973F2" w:rsidRDefault="006C4F63" w:rsidP="00844ED4">
            <w:pPr>
              <w:spacing w:before="40" w:after="4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$50</w:t>
            </w:r>
          </w:p>
        </w:tc>
        <w:tc>
          <w:tcPr>
            <w:tcW w:w="1258" w:type="dxa"/>
            <w:noWrap/>
            <w:hideMark/>
          </w:tcPr>
          <w:p w14:paraId="308ED381" w14:textId="77777777" w:rsidR="006C4F63" w:rsidRPr="000973F2" w:rsidRDefault="006C4F63" w:rsidP="00844ED4">
            <w:pPr>
              <w:spacing w:before="40" w:after="4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$50</w:t>
            </w:r>
          </w:p>
        </w:tc>
      </w:tr>
      <w:tr w:rsidR="00D7694D" w:rsidRPr="000973F2" w14:paraId="64C33179" w14:textId="77777777" w:rsidTr="00B6531F">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1785" w:type="dxa"/>
            <w:hideMark/>
          </w:tcPr>
          <w:p w14:paraId="3B1B91A0" w14:textId="77777777" w:rsidR="00844ED4" w:rsidRPr="000973F2" w:rsidRDefault="00844ED4" w:rsidP="00844ED4">
            <w:pPr>
              <w:spacing w:before="40" w:after="4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Travel</w:t>
            </w:r>
          </w:p>
        </w:tc>
        <w:tc>
          <w:tcPr>
            <w:tcW w:w="1257" w:type="dxa"/>
            <w:noWrap/>
            <w:hideMark/>
          </w:tcPr>
          <w:p w14:paraId="2BAE71FB" w14:textId="07737A58" w:rsidR="00844ED4" w:rsidRPr="000973F2" w:rsidRDefault="00844ED4" w:rsidP="00844ED4">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w:t>
            </w:r>
          </w:p>
        </w:tc>
        <w:tc>
          <w:tcPr>
            <w:tcW w:w="1258" w:type="dxa"/>
            <w:noWrap/>
          </w:tcPr>
          <w:p w14:paraId="5E576F44" w14:textId="43B6B8A1" w:rsidR="00844ED4" w:rsidRPr="000973F2" w:rsidRDefault="00844ED4" w:rsidP="00844ED4">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p>
        </w:tc>
        <w:tc>
          <w:tcPr>
            <w:tcW w:w="1257" w:type="dxa"/>
            <w:noWrap/>
            <w:hideMark/>
          </w:tcPr>
          <w:p w14:paraId="5B546FAC" w14:textId="573B0247" w:rsidR="00844ED4" w:rsidRPr="000973F2" w:rsidRDefault="00844ED4" w:rsidP="00844ED4">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w:t>
            </w:r>
          </w:p>
        </w:tc>
        <w:tc>
          <w:tcPr>
            <w:tcW w:w="1268" w:type="dxa"/>
            <w:noWrap/>
            <w:hideMark/>
          </w:tcPr>
          <w:p w14:paraId="514D0FDF" w14:textId="631D7F00" w:rsidR="00844ED4" w:rsidRPr="000973F2" w:rsidRDefault="00844ED4" w:rsidP="00844ED4">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w:t>
            </w:r>
          </w:p>
        </w:tc>
        <w:tc>
          <w:tcPr>
            <w:tcW w:w="1247" w:type="dxa"/>
            <w:noWrap/>
            <w:hideMark/>
          </w:tcPr>
          <w:p w14:paraId="1466B78E" w14:textId="5936FE03" w:rsidR="00844ED4" w:rsidRPr="000973F2" w:rsidRDefault="00844ED4" w:rsidP="00844ED4">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w:t>
            </w:r>
          </w:p>
        </w:tc>
        <w:tc>
          <w:tcPr>
            <w:tcW w:w="1258" w:type="dxa"/>
            <w:noWrap/>
            <w:hideMark/>
          </w:tcPr>
          <w:p w14:paraId="439C7862" w14:textId="7FF1FA06" w:rsidR="00844ED4" w:rsidRPr="000973F2" w:rsidRDefault="00844ED4" w:rsidP="00844ED4">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w:t>
            </w:r>
          </w:p>
        </w:tc>
      </w:tr>
      <w:tr w:rsidR="00844ED4" w:rsidRPr="000973F2" w14:paraId="1DEB3D3A" w14:textId="77777777" w:rsidTr="00B6531F">
        <w:trPr>
          <w:cantSplit/>
        </w:trPr>
        <w:tc>
          <w:tcPr>
            <w:cnfStyle w:val="001000000000" w:firstRow="0" w:lastRow="0" w:firstColumn="1" w:lastColumn="0" w:oddVBand="0" w:evenVBand="0" w:oddHBand="0" w:evenHBand="0" w:firstRowFirstColumn="0" w:firstRowLastColumn="0" w:lastRowFirstColumn="0" w:lastRowLastColumn="0"/>
            <w:tcW w:w="1785" w:type="dxa"/>
            <w:hideMark/>
          </w:tcPr>
          <w:p w14:paraId="2F4DE20C" w14:textId="39C598DE" w:rsidR="00844ED4" w:rsidRPr="000973F2" w:rsidRDefault="00844ED4" w:rsidP="00844ED4">
            <w:pPr>
              <w:spacing w:before="40" w:after="4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Sampling and Analysis Costs</w:t>
            </w:r>
          </w:p>
        </w:tc>
        <w:tc>
          <w:tcPr>
            <w:tcW w:w="1257" w:type="dxa"/>
            <w:noWrap/>
            <w:hideMark/>
          </w:tcPr>
          <w:p w14:paraId="59E5C032" w14:textId="6DFF508C" w:rsidR="00844ED4" w:rsidRPr="000973F2" w:rsidRDefault="00844ED4" w:rsidP="00844ED4">
            <w:pPr>
              <w:spacing w:before="40" w:after="4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w:t>
            </w:r>
          </w:p>
        </w:tc>
        <w:tc>
          <w:tcPr>
            <w:tcW w:w="1258" w:type="dxa"/>
            <w:noWrap/>
          </w:tcPr>
          <w:p w14:paraId="5E0B3633" w14:textId="53D5D270" w:rsidR="00844ED4" w:rsidRPr="000973F2" w:rsidRDefault="00844ED4" w:rsidP="00844ED4">
            <w:pPr>
              <w:spacing w:before="40" w:after="4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p>
        </w:tc>
        <w:tc>
          <w:tcPr>
            <w:tcW w:w="1257" w:type="dxa"/>
            <w:noWrap/>
            <w:hideMark/>
          </w:tcPr>
          <w:p w14:paraId="6F2B1BEA" w14:textId="7AE1D555" w:rsidR="00844ED4" w:rsidRPr="000973F2" w:rsidRDefault="00844ED4" w:rsidP="00844ED4">
            <w:pPr>
              <w:spacing w:before="40" w:after="4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w:t>
            </w:r>
          </w:p>
        </w:tc>
        <w:tc>
          <w:tcPr>
            <w:tcW w:w="1268" w:type="dxa"/>
            <w:noWrap/>
            <w:hideMark/>
          </w:tcPr>
          <w:p w14:paraId="63DAD498" w14:textId="318C2F2F" w:rsidR="00844ED4" w:rsidRPr="000973F2" w:rsidRDefault="00844ED4" w:rsidP="00844ED4">
            <w:pPr>
              <w:spacing w:before="40" w:after="4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w:t>
            </w:r>
          </w:p>
        </w:tc>
        <w:tc>
          <w:tcPr>
            <w:tcW w:w="1247" w:type="dxa"/>
            <w:noWrap/>
            <w:hideMark/>
          </w:tcPr>
          <w:p w14:paraId="5D1ABD55" w14:textId="0F1A907B" w:rsidR="00844ED4" w:rsidRPr="000973F2" w:rsidRDefault="00844ED4" w:rsidP="00844ED4">
            <w:pPr>
              <w:spacing w:before="40" w:after="4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w:t>
            </w:r>
          </w:p>
        </w:tc>
        <w:tc>
          <w:tcPr>
            <w:tcW w:w="1258" w:type="dxa"/>
            <w:noWrap/>
            <w:hideMark/>
          </w:tcPr>
          <w:p w14:paraId="65DE5838" w14:textId="1FB8DAE7" w:rsidR="00844ED4" w:rsidRPr="000973F2" w:rsidRDefault="00844ED4" w:rsidP="00844ED4">
            <w:pPr>
              <w:spacing w:before="40" w:after="4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w:t>
            </w:r>
          </w:p>
        </w:tc>
      </w:tr>
      <w:tr w:rsidR="00D7694D" w:rsidRPr="000973F2" w14:paraId="2E22E121" w14:textId="77777777" w:rsidTr="00B6531F">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1785" w:type="dxa"/>
            <w:hideMark/>
          </w:tcPr>
          <w:p w14:paraId="6498AE96" w14:textId="77777777" w:rsidR="006C4F63" w:rsidRPr="000973F2" w:rsidRDefault="006C4F63" w:rsidP="00844ED4">
            <w:pPr>
              <w:spacing w:before="40" w:after="40"/>
              <w:rPr>
                <w:rFonts w:ascii="Times New Roman" w:eastAsia="Times New Roman" w:hAnsi="Times New Roman" w:cs="Times New Roman"/>
                <w:b/>
                <w:bCs w:val="0"/>
                <w:sz w:val="18"/>
                <w:szCs w:val="18"/>
              </w:rPr>
            </w:pPr>
            <w:r w:rsidRPr="000973F2">
              <w:rPr>
                <w:rFonts w:ascii="Times New Roman" w:eastAsia="Times New Roman" w:hAnsi="Times New Roman" w:cs="Times New Roman"/>
                <w:b/>
                <w:sz w:val="18"/>
                <w:szCs w:val="18"/>
              </w:rPr>
              <w:t xml:space="preserve">Total </w:t>
            </w:r>
          </w:p>
        </w:tc>
        <w:tc>
          <w:tcPr>
            <w:tcW w:w="1257" w:type="dxa"/>
            <w:noWrap/>
            <w:hideMark/>
          </w:tcPr>
          <w:p w14:paraId="506EAC7F" w14:textId="77777777" w:rsidR="006C4F63" w:rsidRPr="000973F2" w:rsidRDefault="006C4F63" w:rsidP="00844ED4">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sz w:val="18"/>
                <w:szCs w:val="18"/>
              </w:rPr>
            </w:pPr>
            <w:r w:rsidRPr="000973F2">
              <w:rPr>
                <w:rFonts w:ascii="Times New Roman" w:eastAsia="Times New Roman" w:hAnsi="Times New Roman" w:cs="Times New Roman"/>
                <w:b/>
                <w:sz w:val="18"/>
                <w:szCs w:val="18"/>
              </w:rPr>
              <w:t>$0</w:t>
            </w:r>
          </w:p>
        </w:tc>
        <w:tc>
          <w:tcPr>
            <w:tcW w:w="1258" w:type="dxa"/>
            <w:noWrap/>
          </w:tcPr>
          <w:p w14:paraId="40DC7594" w14:textId="77777777" w:rsidR="006C4F63" w:rsidRPr="000973F2" w:rsidRDefault="006C4F63" w:rsidP="00844ED4">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sz w:val="18"/>
                <w:szCs w:val="18"/>
              </w:rPr>
            </w:pPr>
          </w:p>
        </w:tc>
        <w:tc>
          <w:tcPr>
            <w:tcW w:w="1257" w:type="dxa"/>
            <w:noWrap/>
            <w:hideMark/>
          </w:tcPr>
          <w:p w14:paraId="649788C1" w14:textId="77777777" w:rsidR="006C4F63" w:rsidRPr="000973F2" w:rsidRDefault="006C4F63" w:rsidP="00844ED4">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sz w:val="18"/>
                <w:szCs w:val="18"/>
              </w:rPr>
            </w:pPr>
            <w:r w:rsidRPr="000973F2">
              <w:rPr>
                <w:rFonts w:ascii="Times New Roman" w:eastAsia="Times New Roman" w:hAnsi="Times New Roman" w:cs="Times New Roman"/>
                <w:b/>
                <w:sz w:val="18"/>
                <w:szCs w:val="18"/>
              </w:rPr>
              <w:t>$0</w:t>
            </w:r>
          </w:p>
        </w:tc>
        <w:tc>
          <w:tcPr>
            <w:tcW w:w="1268" w:type="dxa"/>
            <w:noWrap/>
            <w:hideMark/>
          </w:tcPr>
          <w:p w14:paraId="246633B9" w14:textId="77777777" w:rsidR="006C4F63" w:rsidRPr="000973F2" w:rsidRDefault="006C4F63" w:rsidP="00844ED4">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sz w:val="18"/>
                <w:szCs w:val="18"/>
              </w:rPr>
            </w:pPr>
            <w:r w:rsidRPr="000973F2">
              <w:rPr>
                <w:rFonts w:ascii="Times New Roman" w:eastAsia="Times New Roman" w:hAnsi="Times New Roman" w:cs="Times New Roman"/>
                <w:b/>
                <w:sz w:val="18"/>
                <w:szCs w:val="18"/>
              </w:rPr>
              <w:t>$50</w:t>
            </w:r>
          </w:p>
        </w:tc>
        <w:tc>
          <w:tcPr>
            <w:tcW w:w="1247" w:type="dxa"/>
            <w:noWrap/>
            <w:hideMark/>
          </w:tcPr>
          <w:p w14:paraId="7FDB115A" w14:textId="77777777" w:rsidR="006C4F63" w:rsidRPr="000973F2" w:rsidRDefault="006C4F63" w:rsidP="00844ED4">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sz w:val="18"/>
                <w:szCs w:val="18"/>
              </w:rPr>
            </w:pPr>
            <w:r w:rsidRPr="000973F2">
              <w:rPr>
                <w:rFonts w:ascii="Times New Roman" w:eastAsia="Times New Roman" w:hAnsi="Times New Roman" w:cs="Times New Roman"/>
                <w:b/>
                <w:sz w:val="18"/>
                <w:szCs w:val="18"/>
              </w:rPr>
              <w:t>$50</w:t>
            </w:r>
          </w:p>
        </w:tc>
        <w:tc>
          <w:tcPr>
            <w:tcW w:w="1258" w:type="dxa"/>
            <w:noWrap/>
            <w:hideMark/>
          </w:tcPr>
          <w:p w14:paraId="12359F09" w14:textId="77777777" w:rsidR="006C4F63" w:rsidRPr="000973F2" w:rsidRDefault="006C4F63" w:rsidP="00844ED4">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sz w:val="18"/>
                <w:szCs w:val="18"/>
              </w:rPr>
            </w:pPr>
            <w:r w:rsidRPr="000973F2">
              <w:rPr>
                <w:rFonts w:ascii="Times New Roman" w:eastAsia="Times New Roman" w:hAnsi="Times New Roman" w:cs="Times New Roman"/>
                <w:b/>
                <w:sz w:val="18"/>
                <w:szCs w:val="18"/>
              </w:rPr>
              <w:t>$50</w:t>
            </w:r>
          </w:p>
        </w:tc>
      </w:tr>
    </w:tbl>
    <w:p w14:paraId="1ABE3160" w14:textId="77777777" w:rsidR="006C4F63" w:rsidRPr="000973F2" w:rsidRDefault="006C4F63" w:rsidP="00844ED4">
      <w:pPr>
        <w:spacing w:before="40" w:after="40" w:line="240" w:lineRule="auto"/>
        <w:rPr>
          <w:rFonts w:ascii="Times New Roman" w:hAnsi="Times New Roman" w:cs="Times New Roman"/>
          <w:b/>
          <w:i/>
        </w:rPr>
      </w:pPr>
    </w:p>
    <w:p w14:paraId="0D78F03E" w14:textId="77777777" w:rsidR="006C4F63" w:rsidRPr="000973F2" w:rsidRDefault="006C4F63" w:rsidP="0061585D">
      <w:pPr>
        <w:pStyle w:val="Heading2"/>
      </w:pPr>
      <w:r w:rsidRPr="000973F2">
        <w:t>Total Costs for Subpart X</w:t>
      </w:r>
    </w:p>
    <w:p w14:paraId="73A52F1F" w14:textId="05C41F83" w:rsidR="006C4F63" w:rsidRPr="000973F2" w:rsidRDefault="006C4F63" w:rsidP="00844ED4">
      <w:pPr>
        <w:pStyle w:val="BodyText"/>
      </w:pPr>
      <w:r w:rsidRPr="000973F2">
        <w:t xml:space="preserve">The total industry costs related to Subpart X average approximately $958,000 per year for existing sources and approximately $64,000 per year for new sources, for a total of </w:t>
      </w:r>
      <w:r w:rsidR="00150C73" w:rsidRPr="000973F2">
        <w:t>approximately $1,02</w:t>
      </w:r>
      <w:r w:rsidR="0014343B" w:rsidRPr="000973F2">
        <w:t>1</w:t>
      </w:r>
      <w:r w:rsidR="00150C73" w:rsidRPr="000973F2">
        <w:t xml:space="preserve">,000 per year and a total of approximately </w:t>
      </w:r>
      <w:r w:rsidRPr="000973F2">
        <w:t>$3,06</w:t>
      </w:r>
      <w:r w:rsidR="0014343B" w:rsidRPr="000973F2">
        <w:t>4</w:t>
      </w:r>
      <w:r w:rsidRPr="000973F2">
        <w:t>,000 over the three-year period of the ICR. Total costs are based on 3 facilities using the CEMS methodology (§98.243(b)), 48 facilities using the mass balance methodology (§98.243(c)), and 26 facilities using the optional combustion methodology (§98.243(d)) in 2019; 3 CEMS facilities, 49 mass balance facilities, and 27 optional combustion facilities in 2020; and 3 CEMS facilities, 50 mass balance facilities, and 28 optional combustion facilities in 2021. These totals include 2 new facilities per year (1 methanol production facility using the mass balance methodology and 1 ethylene production facility using the optional combustion methodology).</w:t>
      </w:r>
    </w:p>
    <w:p w14:paraId="3FD2B483" w14:textId="1CE79AC2" w:rsidR="006C4F63" w:rsidRPr="000973F2" w:rsidRDefault="006C4F63" w:rsidP="00C00E4F">
      <w:pPr>
        <w:spacing w:line="240" w:lineRule="auto"/>
        <w:rPr>
          <w:rFonts w:ascii="Times New Roman" w:hAnsi="Times New Roman" w:cs="Times New Roman"/>
        </w:rPr>
      </w:pPr>
    </w:p>
    <w:p w14:paraId="5FC726A6" w14:textId="6E42E98B" w:rsidR="006C4F63" w:rsidRPr="000973F2" w:rsidRDefault="006C4F63" w:rsidP="00C00E4F">
      <w:pPr>
        <w:spacing w:line="240" w:lineRule="auto"/>
        <w:rPr>
          <w:rFonts w:ascii="Times New Roman" w:hAnsi="Times New Roman" w:cs="Times New Roman"/>
        </w:rPr>
      </w:pPr>
      <w:r w:rsidRPr="000973F2">
        <w:rPr>
          <w:rFonts w:ascii="Times New Roman" w:hAnsi="Times New Roman" w:cs="Times New Roman"/>
        </w:rPr>
        <w:br w:type="page"/>
      </w:r>
    </w:p>
    <w:p w14:paraId="48F61A02" w14:textId="77777777" w:rsidR="0086415A" w:rsidRPr="000973F2" w:rsidRDefault="0086415A" w:rsidP="00C00E4F">
      <w:pPr>
        <w:pStyle w:val="Heading1"/>
        <w:spacing w:line="240" w:lineRule="auto"/>
      </w:pPr>
      <w:bookmarkStart w:id="48" w:name="_Toc10715616"/>
      <w:r w:rsidRPr="000973F2">
        <w:t>Cost Appendix for Subpart Y – Petroleum Refineries</w:t>
      </w:r>
      <w:bookmarkEnd w:id="48"/>
    </w:p>
    <w:p w14:paraId="24508F20" w14:textId="77777777" w:rsidR="0086415A" w:rsidRPr="000973F2" w:rsidRDefault="0086415A" w:rsidP="0061585D">
      <w:pPr>
        <w:pStyle w:val="Heading2"/>
      </w:pPr>
      <w:r w:rsidRPr="000973F2">
        <w:t>Description of Subpart Y</w:t>
      </w:r>
    </w:p>
    <w:p w14:paraId="418F94A5" w14:textId="77777777" w:rsidR="0086415A" w:rsidRPr="000973F2" w:rsidRDefault="0086415A" w:rsidP="00266033">
      <w:pPr>
        <w:pStyle w:val="BodyText"/>
      </w:pPr>
      <w:bookmarkStart w:id="49" w:name="_Hlk520710952"/>
      <w:r w:rsidRPr="000973F2">
        <w:t xml:space="preserve">For purposes of the GHGRP, the petroleum refineries source category includes facilities </w:t>
      </w:r>
      <w:bookmarkEnd w:id="49"/>
      <w:r w:rsidRPr="000973F2">
        <w:t>that produce gasoline, gasoline blending stocks, naphtha, kerosene, distillate fuel oils, residual fuel oils, lubricants, or asphalt (bitumen) by the distillation of petroleum or the redistillation, cracking, or reforming of unfinished petroleum derivatives. Facilities that distill only pipeline transmix (off-spec material created when different specification products mix during pipeline transportation) are not petroleum refineries, regardless of the products produced.</w:t>
      </w:r>
    </w:p>
    <w:p w14:paraId="3C464580" w14:textId="77777777" w:rsidR="0086415A" w:rsidRPr="000973F2" w:rsidRDefault="0086415A" w:rsidP="00266033">
      <w:pPr>
        <w:pStyle w:val="BodyText"/>
      </w:pPr>
      <w:r w:rsidRPr="000973F2">
        <w:t>Petroleum refineries are energy intensive facilities and rank among the top GHG emitters, both in terms of industry sector totals and in terms of emissions per facility. Stationary fuel combustion is the largest source of GHG emissions at petroleum refineries. These emissions are reported under Subpart C, but Subpart Y includes specific methodology requirements when refinery fuel gas is used. Petroleum refining sources emit GHGs from venting, flares, and fugitive leaks from process equipment components (e.g., valves, flanges, pumps). The primary sources of venting that emit GHG emissions, when present at the refinery, are fluid catalytic cracking units (FCCU), fluid coking units (FCU), catalytic reforming units, sulfur recovery units, delayed coking units, coke calcining units, and asphalt blowing units. Other sources of GHG emissions at refineries include storage tanks, loading operations and blowdown systems.</w:t>
      </w:r>
    </w:p>
    <w:p w14:paraId="6EE504E2" w14:textId="56402D9D" w:rsidR="0086415A" w:rsidRPr="000973F2" w:rsidRDefault="0086415A" w:rsidP="00266033">
      <w:pPr>
        <w:pStyle w:val="BodyText"/>
      </w:pPr>
      <w:r w:rsidRPr="000973F2">
        <w:t xml:space="preserve">The number of facilities reporting to Subpart Y has been consistent over the past 5 years, with slight variations from one year to the next but with no specific trend. The number of petroleum refineries reporting emissions for </w:t>
      </w:r>
      <w:r w:rsidR="00D33D52" w:rsidRPr="000973F2">
        <w:t>RY</w:t>
      </w:r>
      <w:r w:rsidRPr="000973F2">
        <w:t xml:space="preserve">2017 was 144. No new facilities are expected to report to Subpart Y during the </w:t>
      </w:r>
      <w:r w:rsidR="00266033" w:rsidRPr="000973F2">
        <w:t>three-year</w:t>
      </w:r>
      <w:r w:rsidRPr="000973F2">
        <w:t xml:space="preserve"> period covered by th</w:t>
      </w:r>
      <w:r w:rsidR="00515CBD" w:rsidRPr="000973F2">
        <w:t>is</w:t>
      </w:r>
      <w:r w:rsidRPr="000973F2">
        <w:t xml:space="preserve"> ICR. Initial year costs apply only to new facilities; therefore, those costs are zero in the tables below.</w:t>
      </w:r>
    </w:p>
    <w:p w14:paraId="62F93395" w14:textId="77777777" w:rsidR="0086415A" w:rsidRPr="000973F2" w:rsidRDefault="0086415A" w:rsidP="00266033">
      <w:pPr>
        <w:pStyle w:val="BodyText"/>
      </w:pPr>
      <w:r w:rsidRPr="000973F2">
        <w:t xml:space="preserve">Subpart Y generally requires the use of continuous monitoring systems for key emission sources if they are present. If they are not present, then an alternative methodology or, in the case of FCCU/FCU and flares, a series of methodologies are provided: </w:t>
      </w:r>
    </w:p>
    <w:p w14:paraId="0D3CC11C" w14:textId="77777777" w:rsidR="0086415A" w:rsidRPr="000973F2" w:rsidRDefault="0086415A" w:rsidP="00266033">
      <w:pPr>
        <w:pStyle w:val="BodyText"/>
      </w:pPr>
      <w:r w:rsidRPr="000973F2">
        <w:t>For FCCU, there are four potential calculation options: measured using CEMS; calculated using regenerator exhaust CO</w:t>
      </w:r>
      <w:r w:rsidRPr="000973F2">
        <w:rPr>
          <w:vertAlign w:val="subscript"/>
        </w:rPr>
        <w:t>2</w:t>
      </w:r>
      <w:r w:rsidRPr="000973F2">
        <w:t xml:space="preserve"> and carbon monoxide (CO) monitoring with continuous flow monitoring (Equation Y-6 + direct flow); calculated using regenerator exhaust CO</w:t>
      </w:r>
      <w:r w:rsidRPr="000973F2">
        <w:rPr>
          <w:vertAlign w:val="subscript"/>
        </w:rPr>
        <w:t>2</w:t>
      </w:r>
      <w:r w:rsidRPr="000973F2">
        <w:t xml:space="preserve"> and carbon monoxide (CO) and calculated flow rate (Equation Y-6/Y-7a/Y-7b); or, for FCCU with capacities of 10,000 barrels per stream day or less, calculated using annual throughput (Equation Y-8). </w:t>
      </w:r>
    </w:p>
    <w:p w14:paraId="6EC90AD0" w14:textId="77777777" w:rsidR="0086415A" w:rsidRPr="000973F2" w:rsidRDefault="0086415A" w:rsidP="00266033">
      <w:pPr>
        <w:pStyle w:val="BodyText"/>
      </w:pPr>
      <w:r w:rsidRPr="000973F2">
        <w:t xml:space="preserve">Similarly, there are 4 alternative calculation options for flares: gas composition monitoring method (Equations Y-1a or Y-1b); heat content monitoring method (Y-2); or engineering estimate method (Equation Y-3). The gas composition monitoring method and heat content monitoring method are typically used for primary facility flares, while the engineering calculation method is typically used for an emergency only flare. </w:t>
      </w:r>
    </w:p>
    <w:p w14:paraId="31B0BDE2" w14:textId="32F739EC" w:rsidR="0086415A" w:rsidRPr="000973F2" w:rsidRDefault="0086415A" w:rsidP="00266033">
      <w:pPr>
        <w:pStyle w:val="BodyText"/>
      </w:pPr>
      <w:r w:rsidRPr="000973F2">
        <w:t xml:space="preserve">Other sources, including blowdown emissions, asphalt blowing, and sulfur recovery units have two emissions calculation alternatives; these generally allow for the use of either default emission factor/equation or measurement of the vented emissions (referred to as the “process vent method” using Equation Y-19). Recent amendments to Subpart Y for delayed coking units (DCUs), which are effective starting in </w:t>
      </w:r>
      <w:r w:rsidR="00D33D52" w:rsidRPr="000973F2">
        <w:t>RY</w:t>
      </w:r>
      <w:r w:rsidRPr="000973F2">
        <w:t xml:space="preserve">2018, changed the calculation methodology from a simple gas expansion model to a steam generation model. As explained in the preamble to the final amendments, the use of the steam generation model more accurately reflects the emissions from DCU and provides consistency between the GHGRP’s Subpart Y requirements and other federal rule requirements for refineries (e.g., 40 CFR part 63 </w:t>
      </w:r>
      <w:r w:rsidR="00941B95" w:rsidRPr="000973F2">
        <w:t>S</w:t>
      </w:r>
      <w:r w:rsidRPr="000973F2">
        <w:t>ubpart CC).</w:t>
      </w:r>
      <w:r w:rsidRPr="000973F2">
        <w:rPr>
          <w:rStyle w:val="FootnoteReference"/>
        </w:rPr>
        <w:footnoteReference w:id="8"/>
      </w:r>
      <w:r w:rsidRPr="000973F2">
        <w:t xml:space="preserve"> </w:t>
      </w:r>
    </w:p>
    <w:p w14:paraId="687EFED0" w14:textId="77777777" w:rsidR="0086415A" w:rsidRPr="000973F2" w:rsidRDefault="0086415A" w:rsidP="0061585D">
      <w:pPr>
        <w:pStyle w:val="Heading2"/>
      </w:pPr>
      <w:r w:rsidRPr="000973F2">
        <w:t>Model Plants for Subpart Y</w:t>
      </w:r>
    </w:p>
    <w:p w14:paraId="6B025F55" w14:textId="5175D63E" w:rsidR="0086415A" w:rsidRPr="000973F2" w:rsidRDefault="0086415A" w:rsidP="00266033">
      <w:pPr>
        <w:pStyle w:val="BodyText"/>
      </w:pPr>
      <w:r w:rsidRPr="000973F2">
        <w:t xml:space="preserve">Labor costs for Subpart Y were developed based on model plants. There are three general types of refineries: 1) topping refineries, which typically only have atmospheric and/or vacuum distillation units, but also include asphalt refineries; 2) hydroskimming refineries, which have sulfur removal and catalytic reforming to produce final gasoline products, but no upgrading equipment; </w:t>
      </w:r>
      <w:r w:rsidR="00515CBD" w:rsidRPr="000973F2">
        <w:t xml:space="preserve">and </w:t>
      </w:r>
      <w:r w:rsidRPr="000973F2">
        <w:t>3) upgrading or “complex” refineries, which have cracking and/or coking units. Topping and hydroskimming units are typically small, with crude capacities under 30,000 barrels per day (bbls/d) capacity, although a few have capacities as high as 85,000 bbls/day. Most refineries in the U.S. are upgrading refineries. These plants are generally larger than topping and hydroskimming refineries, with less than 8 percent of refineries with capacities under 30,000 bbls/d and the largest complex refineries pushing 600,000 bbls/d capacity. A count of facilities by model plant type and size was developed based on the processes and capacities reported in the 2016 Refinery Capacity Report (EIA, 2016)</w:t>
      </w:r>
      <w:r w:rsidRPr="000973F2">
        <w:rPr>
          <w:rStyle w:val="FootnoteReference"/>
        </w:rPr>
        <w:footnoteReference w:id="9"/>
      </w:r>
      <w:r w:rsidRPr="000973F2">
        <w:t>. An appropriate number of sources was then assigned to each model plant and assigned a calculation method for those sources, if applicable, so that the aggregate total counts of sources per calculation methodology matched the counts observed in the RY2017 Subpart Y reports. It should be noted that some model plants have a fractional count of sources, as not all sources are present at every refinery assigned to each model plant. For example, only half of the refineries assigned to the “medium upgrading refinery” model plant category have a DCU, resulting in a unit count of 0.5 DCU per refinery for this model plant.</w:t>
      </w:r>
    </w:p>
    <w:p w14:paraId="3CF3B301" w14:textId="30A8FB9D" w:rsidR="00BB2E7F" w:rsidRPr="000973F2" w:rsidRDefault="0086415A" w:rsidP="00266033">
      <w:pPr>
        <w:pStyle w:val="BodyText"/>
      </w:pPr>
      <w:r w:rsidRPr="000973F2">
        <w:t xml:space="preserve">There are some activities and emission calculations that every refinery will have to complete. For example, all petroleum refineries will have to estimate emissions from storage tanks and fugitive leaks from process equipment components. These calculations are expected to require the same effort regardless of the facility size. Other emission sources may exist only at select refineries. Table </w:t>
      </w:r>
      <w:r w:rsidR="00266033" w:rsidRPr="000973F2">
        <w:t>Y-</w:t>
      </w:r>
      <w:r w:rsidRPr="000973F2">
        <w:t>1 below shows the name of each model plant, the number of petroleum refinery facilities represented by the model plant, and a matrix of the unique mix of sources at the model plant. Note that the size reference is relative to refineries of that type; a small upgrading refinery may have a capacity similar to that of a “larger” topping refinery</w:t>
      </w:r>
      <w:r w:rsidR="00526EDA" w:rsidRPr="000973F2">
        <w:t>.</w:t>
      </w:r>
    </w:p>
    <w:p w14:paraId="382DCC84" w14:textId="77777777" w:rsidR="00BB2E7F" w:rsidRPr="000973F2" w:rsidRDefault="00BB2E7F" w:rsidP="00C00E4F">
      <w:pPr>
        <w:spacing w:line="240" w:lineRule="auto"/>
        <w:rPr>
          <w:rFonts w:ascii="Times New Roman" w:hAnsi="Times New Roman" w:cs="Times New Roman"/>
        </w:rPr>
      </w:pPr>
    </w:p>
    <w:p w14:paraId="2ECCF96B" w14:textId="77777777" w:rsidR="00F66A65" w:rsidRPr="000973F2" w:rsidRDefault="00F66A65" w:rsidP="00C00E4F">
      <w:pPr>
        <w:spacing w:line="240" w:lineRule="auto"/>
        <w:rPr>
          <w:rFonts w:ascii="Times New Roman" w:eastAsia="Times New Roman" w:hAnsi="Times New Roman" w:cs="Times New Roman"/>
          <w:b/>
          <w:bCs/>
          <w:szCs w:val="20"/>
        </w:rPr>
        <w:sectPr w:rsidR="00F66A65" w:rsidRPr="000973F2" w:rsidSect="006305F0">
          <w:footerReference w:type="default" r:id="rId13"/>
          <w:type w:val="continuous"/>
          <w:pgSz w:w="12240" w:h="15840"/>
          <w:pgMar w:top="1440" w:right="1440" w:bottom="1440" w:left="1440" w:header="720" w:footer="720" w:gutter="0"/>
          <w:cols w:space="720"/>
          <w:titlePg/>
          <w:docGrid w:linePitch="360"/>
        </w:sectPr>
      </w:pPr>
    </w:p>
    <w:p w14:paraId="1DC50D9F" w14:textId="77777777" w:rsidR="00266033" w:rsidRPr="000973F2" w:rsidRDefault="00266033" w:rsidP="00266033">
      <w:pPr>
        <w:pStyle w:val="Tabletitle"/>
        <w:rPr>
          <w:bCs/>
        </w:rPr>
      </w:pPr>
      <w:r w:rsidRPr="000973F2">
        <w:t>Table Y-1. Model Plants – Subpart Y</w:t>
      </w:r>
    </w:p>
    <w:tbl>
      <w:tblPr>
        <w:tblStyle w:val="PlainTable1"/>
        <w:tblW w:w="5000" w:type="pct"/>
        <w:jc w:val="left"/>
        <w:tblLayout w:type="fixed"/>
        <w:tblCellMar>
          <w:left w:w="58" w:type="dxa"/>
          <w:right w:w="58" w:type="dxa"/>
        </w:tblCellMar>
        <w:tblLook w:val="04A0" w:firstRow="1" w:lastRow="0" w:firstColumn="1" w:lastColumn="0" w:noHBand="0" w:noVBand="1"/>
      </w:tblPr>
      <w:tblGrid>
        <w:gridCol w:w="1467"/>
        <w:gridCol w:w="966"/>
        <w:gridCol w:w="762"/>
        <w:gridCol w:w="492"/>
        <w:gridCol w:w="492"/>
        <w:gridCol w:w="492"/>
        <w:gridCol w:w="492"/>
        <w:gridCol w:w="492"/>
        <w:gridCol w:w="497"/>
        <w:gridCol w:w="497"/>
        <w:gridCol w:w="492"/>
        <w:gridCol w:w="492"/>
        <w:gridCol w:w="492"/>
        <w:gridCol w:w="492"/>
        <w:gridCol w:w="859"/>
        <w:gridCol w:w="492"/>
        <w:gridCol w:w="497"/>
        <w:gridCol w:w="492"/>
        <w:gridCol w:w="590"/>
        <w:gridCol w:w="497"/>
        <w:gridCol w:w="497"/>
        <w:gridCol w:w="492"/>
      </w:tblGrid>
      <w:tr w:rsidR="00D87FBF" w:rsidRPr="000973F2" w14:paraId="59CEF7C1" w14:textId="77777777" w:rsidTr="008A2B1B">
        <w:trPr>
          <w:cnfStyle w:val="100000000000" w:firstRow="1" w:lastRow="0" w:firstColumn="0" w:lastColumn="0" w:oddVBand="0" w:evenVBand="0" w:oddHBand="0" w:evenHBand="0" w:firstRowFirstColumn="0" w:firstRowLastColumn="0" w:lastRowFirstColumn="0" w:lastRowLastColumn="0"/>
          <w:jc w:val="left"/>
        </w:trPr>
        <w:tc>
          <w:tcPr>
            <w:cnfStyle w:val="001000000000" w:firstRow="0" w:lastRow="0" w:firstColumn="1" w:lastColumn="0" w:oddVBand="0" w:evenVBand="0" w:oddHBand="0" w:evenHBand="0" w:firstRowFirstColumn="0" w:firstRowLastColumn="0" w:lastRowFirstColumn="0" w:lastRowLastColumn="0"/>
            <w:tcW w:w="1456" w:type="dxa"/>
            <w:vMerge w:val="restart"/>
            <w:vAlign w:val="top"/>
            <w:hideMark/>
          </w:tcPr>
          <w:p w14:paraId="53FD5653" w14:textId="77777777" w:rsidR="00526EDA" w:rsidRPr="000973F2" w:rsidRDefault="00526EDA" w:rsidP="00266033">
            <w:pPr>
              <w:spacing w:before="40" w:after="40"/>
              <w:rPr>
                <w:rFonts w:ascii="Times New Roman" w:eastAsia="Times New Roman" w:hAnsi="Times New Roman" w:cs="Times New Roman"/>
                <w:bCs w:val="0"/>
                <w:sz w:val="16"/>
                <w:szCs w:val="16"/>
              </w:rPr>
            </w:pPr>
            <w:r w:rsidRPr="000973F2">
              <w:rPr>
                <w:rFonts w:ascii="Times New Roman" w:eastAsia="Times New Roman" w:hAnsi="Times New Roman" w:cs="Times New Roman"/>
                <w:bCs w:val="0"/>
                <w:sz w:val="16"/>
                <w:szCs w:val="16"/>
              </w:rPr>
              <w:t>Model Plant</w:t>
            </w:r>
          </w:p>
        </w:tc>
        <w:tc>
          <w:tcPr>
            <w:tcW w:w="959" w:type="dxa"/>
            <w:vMerge w:val="restart"/>
            <w:vAlign w:val="top"/>
            <w:hideMark/>
          </w:tcPr>
          <w:p w14:paraId="38E583F2" w14:textId="77777777" w:rsidR="00526EDA" w:rsidRPr="000973F2" w:rsidRDefault="00526EDA" w:rsidP="00266033">
            <w:pPr>
              <w:spacing w:before="40" w:after="40"/>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Cs w:val="0"/>
                <w:sz w:val="16"/>
                <w:szCs w:val="16"/>
              </w:rPr>
            </w:pPr>
            <w:r w:rsidRPr="000973F2">
              <w:rPr>
                <w:rFonts w:ascii="Times New Roman" w:eastAsia="Times New Roman" w:hAnsi="Times New Roman" w:cs="Times New Roman"/>
                <w:bCs w:val="0"/>
                <w:sz w:val="16"/>
                <w:szCs w:val="16"/>
              </w:rPr>
              <w:t>Labor Hours and Cost Table</w:t>
            </w:r>
          </w:p>
        </w:tc>
        <w:tc>
          <w:tcPr>
            <w:tcW w:w="757" w:type="dxa"/>
            <w:vMerge w:val="restart"/>
            <w:vAlign w:val="top"/>
            <w:hideMark/>
          </w:tcPr>
          <w:p w14:paraId="5803B3ED" w14:textId="77777777" w:rsidR="00526EDA" w:rsidRPr="000973F2" w:rsidRDefault="00526EDA" w:rsidP="00266033">
            <w:pPr>
              <w:spacing w:before="40" w:after="40"/>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Cs w:val="0"/>
                <w:sz w:val="16"/>
                <w:szCs w:val="16"/>
              </w:rPr>
            </w:pPr>
            <w:r w:rsidRPr="000973F2">
              <w:rPr>
                <w:rFonts w:ascii="Times New Roman" w:eastAsia="Times New Roman" w:hAnsi="Times New Roman" w:cs="Times New Roman"/>
                <w:bCs w:val="0"/>
                <w:sz w:val="16"/>
                <w:szCs w:val="16"/>
              </w:rPr>
              <w:t>No. of Facilities</w:t>
            </w:r>
          </w:p>
        </w:tc>
        <w:tc>
          <w:tcPr>
            <w:tcW w:w="1952" w:type="dxa"/>
            <w:gridSpan w:val="4"/>
            <w:noWrap/>
            <w:vAlign w:val="top"/>
            <w:hideMark/>
          </w:tcPr>
          <w:p w14:paraId="211A8336" w14:textId="77777777" w:rsidR="00526EDA" w:rsidRPr="000973F2" w:rsidRDefault="00526EDA" w:rsidP="00266033">
            <w:pPr>
              <w:spacing w:before="40" w:after="40"/>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16"/>
                <w:szCs w:val="16"/>
              </w:rPr>
            </w:pPr>
            <w:r w:rsidRPr="000973F2">
              <w:rPr>
                <w:rFonts w:ascii="Times New Roman" w:eastAsia="Times New Roman" w:hAnsi="Times New Roman" w:cs="Times New Roman"/>
                <w:sz w:val="16"/>
                <w:szCs w:val="16"/>
              </w:rPr>
              <w:t>Flares</w:t>
            </w:r>
          </w:p>
        </w:tc>
        <w:tc>
          <w:tcPr>
            <w:tcW w:w="1474" w:type="dxa"/>
            <w:gridSpan w:val="3"/>
            <w:noWrap/>
            <w:vAlign w:val="top"/>
            <w:hideMark/>
          </w:tcPr>
          <w:p w14:paraId="1128689D" w14:textId="77777777" w:rsidR="00526EDA" w:rsidRPr="000973F2" w:rsidRDefault="00526EDA" w:rsidP="00266033">
            <w:pPr>
              <w:spacing w:before="40" w:after="40"/>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16"/>
                <w:szCs w:val="16"/>
              </w:rPr>
            </w:pPr>
            <w:r w:rsidRPr="000973F2">
              <w:rPr>
                <w:rFonts w:ascii="Times New Roman" w:eastAsia="Times New Roman" w:hAnsi="Times New Roman" w:cs="Times New Roman"/>
                <w:sz w:val="16"/>
                <w:szCs w:val="16"/>
              </w:rPr>
              <w:t>SRU</w:t>
            </w:r>
          </w:p>
        </w:tc>
        <w:tc>
          <w:tcPr>
            <w:tcW w:w="1952" w:type="dxa"/>
            <w:gridSpan w:val="4"/>
            <w:noWrap/>
            <w:vAlign w:val="top"/>
            <w:hideMark/>
          </w:tcPr>
          <w:p w14:paraId="56421923" w14:textId="77777777" w:rsidR="00526EDA" w:rsidRPr="000973F2" w:rsidRDefault="00526EDA" w:rsidP="00266033">
            <w:pPr>
              <w:spacing w:before="40" w:after="40"/>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16"/>
                <w:szCs w:val="16"/>
              </w:rPr>
            </w:pPr>
            <w:r w:rsidRPr="000973F2">
              <w:rPr>
                <w:rFonts w:ascii="Times New Roman" w:eastAsia="Times New Roman" w:hAnsi="Times New Roman" w:cs="Times New Roman"/>
                <w:sz w:val="16"/>
                <w:szCs w:val="16"/>
              </w:rPr>
              <w:t>FCCU</w:t>
            </w:r>
          </w:p>
        </w:tc>
        <w:tc>
          <w:tcPr>
            <w:tcW w:w="852" w:type="dxa"/>
            <w:vAlign w:val="top"/>
            <w:hideMark/>
          </w:tcPr>
          <w:p w14:paraId="40CB4635" w14:textId="77777777" w:rsidR="00526EDA" w:rsidRPr="000973F2" w:rsidRDefault="00526EDA" w:rsidP="00266033">
            <w:pPr>
              <w:spacing w:before="40" w:after="40"/>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16"/>
                <w:szCs w:val="16"/>
              </w:rPr>
            </w:pPr>
            <w:r w:rsidRPr="000973F2">
              <w:rPr>
                <w:rFonts w:ascii="Times New Roman" w:eastAsia="Times New Roman" w:hAnsi="Times New Roman" w:cs="Times New Roman"/>
                <w:sz w:val="16"/>
                <w:szCs w:val="16"/>
              </w:rPr>
              <w:t>Process Vent</w:t>
            </w:r>
          </w:p>
        </w:tc>
        <w:tc>
          <w:tcPr>
            <w:tcW w:w="488" w:type="dxa"/>
            <w:vMerge w:val="restart"/>
            <w:textDirection w:val="btLr"/>
            <w:vAlign w:val="top"/>
            <w:hideMark/>
          </w:tcPr>
          <w:p w14:paraId="515127B5" w14:textId="77777777" w:rsidR="00526EDA" w:rsidRPr="000973F2" w:rsidRDefault="00526EDA" w:rsidP="00266033">
            <w:pPr>
              <w:spacing w:before="40" w:after="40"/>
              <w:ind w:left="43" w:right="43"/>
              <w:jc w:val="left"/>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16"/>
                <w:szCs w:val="16"/>
              </w:rPr>
            </w:pPr>
            <w:r w:rsidRPr="000973F2">
              <w:rPr>
                <w:rFonts w:ascii="Times New Roman" w:eastAsia="Times New Roman" w:hAnsi="Times New Roman" w:cs="Times New Roman"/>
                <w:sz w:val="16"/>
                <w:szCs w:val="16"/>
              </w:rPr>
              <w:t>Asphalt Blowing Units</w:t>
            </w:r>
          </w:p>
        </w:tc>
        <w:tc>
          <w:tcPr>
            <w:tcW w:w="493" w:type="dxa"/>
            <w:vMerge w:val="restart"/>
            <w:textDirection w:val="btLr"/>
            <w:vAlign w:val="top"/>
            <w:hideMark/>
          </w:tcPr>
          <w:p w14:paraId="316D3D65" w14:textId="77777777" w:rsidR="00526EDA" w:rsidRPr="000973F2" w:rsidRDefault="00526EDA" w:rsidP="00266033">
            <w:pPr>
              <w:spacing w:before="40" w:after="40"/>
              <w:ind w:left="43" w:right="43"/>
              <w:jc w:val="left"/>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16"/>
                <w:szCs w:val="16"/>
              </w:rPr>
            </w:pPr>
            <w:r w:rsidRPr="000973F2">
              <w:rPr>
                <w:rFonts w:ascii="Times New Roman" w:eastAsia="Times New Roman" w:hAnsi="Times New Roman" w:cs="Times New Roman"/>
                <w:sz w:val="16"/>
                <w:szCs w:val="16"/>
              </w:rPr>
              <w:t>DCU</w:t>
            </w:r>
          </w:p>
        </w:tc>
        <w:tc>
          <w:tcPr>
            <w:tcW w:w="488" w:type="dxa"/>
            <w:vMerge w:val="restart"/>
            <w:textDirection w:val="btLr"/>
            <w:vAlign w:val="top"/>
            <w:hideMark/>
          </w:tcPr>
          <w:p w14:paraId="46D92215" w14:textId="77777777" w:rsidR="00526EDA" w:rsidRPr="000973F2" w:rsidRDefault="00526EDA" w:rsidP="00266033">
            <w:pPr>
              <w:spacing w:before="40" w:after="40"/>
              <w:ind w:left="43" w:right="43"/>
              <w:jc w:val="left"/>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16"/>
                <w:szCs w:val="16"/>
              </w:rPr>
            </w:pPr>
            <w:r w:rsidRPr="000973F2">
              <w:rPr>
                <w:rFonts w:ascii="Times New Roman" w:eastAsia="Times New Roman" w:hAnsi="Times New Roman" w:cs="Times New Roman"/>
                <w:sz w:val="16"/>
                <w:szCs w:val="16"/>
              </w:rPr>
              <w:t>Loading</w:t>
            </w:r>
          </w:p>
        </w:tc>
        <w:tc>
          <w:tcPr>
            <w:tcW w:w="1078" w:type="dxa"/>
            <w:gridSpan w:val="2"/>
            <w:vAlign w:val="top"/>
            <w:hideMark/>
          </w:tcPr>
          <w:p w14:paraId="12FD6A08" w14:textId="77777777" w:rsidR="00526EDA" w:rsidRPr="000973F2" w:rsidRDefault="00526EDA" w:rsidP="00266033">
            <w:pPr>
              <w:spacing w:before="40" w:after="40"/>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16"/>
                <w:szCs w:val="16"/>
              </w:rPr>
            </w:pPr>
            <w:r w:rsidRPr="000973F2">
              <w:rPr>
                <w:rFonts w:ascii="Times New Roman" w:eastAsia="Times New Roman" w:hAnsi="Times New Roman" w:cs="Times New Roman"/>
                <w:sz w:val="16"/>
                <w:szCs w:val="16"/>
              </w:rPr>
              <w:t>Coke Calciners</w:t>
            </w:r>
          </w:p>
        </w:tc>
        <w:tc>
          <w:tcPr>
            <w:tcW w:w="493" w:type="dxa"/>
            <w:vMerge w:val="restart"/>
            <w:textDirection w:val="btLr"/>
            <w:vAlign w:val="top"/>
            <w:hideMark/>
          </w:tcPr>
          <w:p w14:paraId="1ED965B0" w14:textId="77777777" w:rsidR="00526EDA" w:rsidRPr="000973F2" w:rsidRDefault="00526EDA" w:rsidP="00266033">
            <w:pPr>
              <w:spacing w:before="40" w:after="40"/>
              <w:ind w:left="43" w:right="43"/>
              <w:jc w:val="left"/>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16"/>
                <w:szCs w:val="16"/>
              </w:rPr>
            </w:pPr>
            <w:r w:rsidRPr="000973F2">
              <w:rPr>
                <w:rFonts w:ascii="Times New Roman" w:eastAsia="Times New Roman" w:hAnsi="Times New Roman" w:cs="Times New Roman"/>
                <w:sz w:val="16"/>
                <w:szCs w:val="16"/>
              </w:rPr>
              <w:t>CRU</w:t>
            </w:r>
          </w:p>
        </w:tc>
        <w:tc>
          <w:tcPr>
            <w:tcW w:w="488" w:type="dxa"/>
            <w:vMerge w:val="restart"/>
            <w:tcMar>
              <w:left w:w="0" w:type="dxa"/>
              <w:right w:w="0" w:type="dxa"/>
            </w:tcMar>
            <w:textDirection w:val="btLr"/>
            <w:vAlign w:val="top"/>
            <w:hideMark/>
          </w:tcPr>
          <w:p w14:paraId="151ECDEF" w14:textId="77777777" w:rsidR="00526EDA" w:rsidRPr="000973F2" w:rsidRDefault="00526EDA" w:rsidP="00266033">
            <w:pPr>
              <w:spacing w:before="40" w:after="40"/>
              <w:ind w:left="43" w:right="43"/>
              <w:jc w:val="left"/>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16"/>
                <w:szCs w:val="16"/>
              </w:rPr>
            </w:pPr>
            <w:r w:rsidRPr="000973F2">
              <w:rPr>
                <w:rFonts w:ascii="Times New Roman" w:eastAsia="Times New Roman" w:hAnsi="Times New Roman" w:cs="Times New Roman"/>
                <w:sz w:val="16"/>
                <w:szCs w:val="16"/>
              </w:rPr>
              <w:t>Other (e.g., Equipment leaks, blowdowns)</w:t>
            </w:r>
          </w:p>
        </w:tc>
      </w:tr>
      <w:tr w:rsidR="00A859C1" w:rsidRPr="000973F2" w14:paraId="78C93895" w14:textId="77777777" w:rsidTr="008A2B1B">
        <w:trPr>
          <w:cnfStyle w:val="000000100000" w:firstRow="0" w:lastRow="0" w:firstColumn="0" w:lastColumn="0" w:oddVBand="0" w:evenVBand="0" w:oddHBand="1" w:evenHBand="0" w:firstRowFirstColumn="0" w:firstRowLastColumn="0" w:lastRowFirstColumn="0" w:lastRowLastColumn="0"/>
          <w:trHeight w:val="1817"/>
        </w:trPr>
        <w:tc>
          <w:tcPr>
            <w:cnfStyle w:val="001000000000" w:firstRow="0" w:lastRow="0" w:firstColumn="1" w:lastColumn="0" w:oddVBand="0" w:evenVBand="0" w:oddHBand="0" w:evenHBand="0" w:firstRowFirstColumn="0" w:firstRowLastColumn="0" w:lastRowFirstColumn="0" w:lastRowLastColumn="0"/>
            <w:tcW w:w="1456" w:type="dxa"/>
            <w:vMerge/>
            <w:hideMark/>
          </w:tcPr>
          <w:p w14:paraId="74038E36" w14:textId="77777777" w:rsidR="00526EDA" w:rsidRPr="000973F2" w:rsidRDefault="00526EDA" w:rsidP="00266033">
            <w:pPr>
              <w:spacing w:before="40" w:after="40"/>
              <w:rPr>
                <w:rFonts w:ascii="Times New Roman" w:eastAsia="Times New Roman" w:hAnsi="Times New Roman" w:cs="Times New Roman"/>
                <w:b/>
                <w:bCs w:val="0"/>
                <w:sz w:val="16"/>
                <w:szCs w:val="16"/>
              </w:rPr>
            </w:pPr>
          </w:p>
        </w:tc>
        <w:tc>
          <w:tcPr>
            <w:tcW w:w="959" w:type="dxa"/>
            <w:vMerge/>
            <w:hideMark/>
          </w:tcPr>
          <w:p w14:paraId="4773AB6C" w14:textId="77777777" w:rsidR="00526EDA" w:rsidRPr="000973F2" w:rsidRDefault="00526EDA" w:rsidP="00266033">
            <w:pPr>
              <w:spacing w:before="40" w:after="4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16"/>
                <w:szCs w:val="16"/>
              </w:rPr>
            </w:pPr>
          </w:p>
        </w:tc>
        <w:tc>
          <w:tcPr>
            <w:tcW w:w="757" w:type="dxa"/>
            <w:vMerge/>
            <w:hideMark/>
          </w:tcPr>
          <w:p w14:paraId="3B84272D" w14:textId="77777777" w:rsidR="00526EDA" w:rsidRPr="000973F2" w:rsidRDefault="00526EDA" w:rsidP="00266033">
            <w:pPr>
              <w:spacing w:before="40" w:after="4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16"/>
                <w:szCs w:val="16"/>
              </w:rPr>
            </w:pPr>
          </w:p>
        </w:tc>
        <w:tc>
          <w:tcPr>
            <w:tcW w:w="488" w:type="dxa"/>
            <w:noWrap/>
            <w:textDirection w:val="btLr"/>
            <w:vAlign w:val="center"/>
            <w:hideMark/>
          </w:tcPr>
          <w:p w14:paraId="57DFB420" w14:textId="77777777" w:rsidR="00526EDA" w:rsidRPr="000973F2" w:rsidRDefault="00526EDA" w:rsidP="00266033">
            <w:pPr>
              <w:spacing w:before="40" w:after="40"/>
              <w:ind w:left="43"/>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16"/>
                <w:szCs w:val="16"/>
              </w:rPr>
            </w:pPr>
            <w:r w:rsidRPr="000973F2">
              <w:rPr>
                <w:rFonts w:ascii="Times New Roman" w:eastAsia="Times New Roman" w:hAnsi="Times New Roman" w:cs="Times New Roman"/>
                <w:b/>
                <w:bCs/>
                <w:sz w:val="16"/>
                <w:szCs w:val="16"/>
              </w:rPr>
              <w:t>Eqn Y-1a</w:t>
            </w:r>
          </w:p>
        </w:tc>
        <w:tc>
          <w:tcPr>
            <w:tcW w:w="488" w:type="dxa"/>
            <w:noWrap/>
            <w:textDirection w:val="btLr"/>
            <w:vAlign w:val="center"/>
            <w:hideMark/>
          </w:tcPr>
          <w:p w14:paraId="3C0E141B" w14:textId="77777777" w:rsidR="00526EDA" w:rsidRPr="000973F2" w:rsidRDefault="00526EDA" w:rsidP="00266033">
            <w:pPr>
              <w:spacing w:before="40" w:after="40"/>
              <w:ind w:left="43"/>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16"/>
                <w:szCs w:val="16"/>
              </w:rPr>
            </w:pPr>
            <w:r w:rsidRPr="000973F2">
              <w:rPr>
                <w:rFonts w:ascii="Times New Roman" w:eastAsia="Times New Roman" w:hAnsi="Times New Roman" w:cs="Times New Roman"/>
                <w:b/>
                <w:bCs/>
                <w:sz w:val="16"/>
                <w:szCs w:val="16"/>
              </w:rPr>
              <w:t>Eqn Y-1b</w:t>
            </w:r>
          </w:p>
        </w:tc>
        <w:tc>
          <w:tcPr>
            <w:tcW w:w="488" w:type="dxa"/>
            <w:noWrap/>
            <w:textDirection w:val="btLr"/>
            <w:vAlign w:val="center"/>
            <w:hideMark/>
          </w:tcPr>
          <w:p w14:paraId="0326198B" w14:textId="77777777" w:rsidR="00526EDA" w:rsidRPr="000973F2" w:rsidRDefault="00526EDA" w:rsidP="00266033">
            <w:pPr>
              <w:spacing w:before="40" w:after="40"/>
              <w:ind w:left="43"/>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16"/>
                <w:szCs w:val="16"/>
              </w:rPr>
            </w:pPr>
            <w:r w:rsidRPr="000973F2">
              <w:rPr>
                <w:rFonts w:ascii="Times New Roman" w:eastAsia="Times New Roman" w:hAnsi="Times New Roman" w:cs="Times New Roman"/>
                <w:b/>
                <w:bCs/>
                <w:sz w:val="16"/>
                <w:szCs w:val="16"/>
              </w:rPr>
              <w:t>Eqn Y-2</w:t>
            </w:r>
          </w:p>
        </w:tc>
        <w:tc>
          <w:tcPr>
            <w:tcW w:w="488" w:type="dxa"/>
            <w:noWrap/>
            <w:textDirection w:val="btLr"/>
            <w:vAlign w:val="center"/>
            <w:hideMark/>
          </w:tcPr>
          <w:p w14:paraId="67AE92C8" w14:textId="77777777" w:rsidR="00526EDA" w:rsidRPr="000973F2" w:rsidRDefault="00526EDA" w:rsidP="00266033">
            <w:pPr>
              <w:spacing w:before="40" w:after="40"/>
              <w:ind w:left="43"/>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16"/>
                <w:szCs w:val="16"/>
              </w:rPr>
            </w:pPr>
            <w:r w:rsidRPr="000973F2">
              <w:rPr>
                <w:rFonts w:ascii="Times New Roman" w:eastAsia="Times New Roman" w:hAnsi="Times New Roman" w:cs="Times New Roman"/>
                <w:b/>
                <w:bCs/>
                <w:sz w:val="16"/>
                <w:szCs w:val="16"/>
              </w:rPr>
              <w:t>Eqn Y-3</w:t>
            </w:r>
          </w:p>
        </w:tc>
        <w:tc>
          <w:tcPr>
            <w:tcW w:w="488" w:type="dxa"/>
            <w:noWrap/>
            <w:textDirection w:val="btLr"/>
            <w:vAlign w:val="center"/>
            <w:hideMark/>
          </w:tcPr>
          <w:p w14:paraId="2F41DFB9" w14:textId="77777777" w:rsidR="00526EDA" w:rsidRPr="000973F2" w:rsidRDefault="00526EDA" w:rsidP="00266033">
            <w:pPr>
              <w:spacing w:before="40" w:after="40"/>
              <w:ind w:left="43"/>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16"/>
                <w:szCs w:val="16"/>
              </w:rPr>
            </w:pPr>
            <w:r w:rsidRPr="000973F2">
              <w:rPr>
                <w:rFonts w:ascii="Times New Roman" w:eastAsia="Times New Roman" w:hAnsi="Times New Roman" w:cs="Times New Roman"/>
                <w:b/>
                <w:bCs/>
                <w:sz w:val="16"/>
                <w:szCs w:val="16"/>
              </w:rPr>
              <w:t>Eqn Y-12</w:t>
            </w:r>
          </w:p>
        </w:tc>
        <w:tc>
          <w:tcPr>
            <w:tcW w:w="493" w:type="dxa"/>
            <w:noWrap/>
            <w:textDirection w:val="btLr"/>
            <w:vAlign w:val="center"/>
            <w:hideMark/>
          </w:tcPr>
          <w:p w14:paraId="0D307741" w14:textId="77777777" w:rsidR="00526EDA" w:rsidRPr="000973F2" w:rsidRDefault="00526EDA" w:rsidP="00266033">
            <w:pPr>
              <w:spacing w:before="40" w:after="40"/>
              <w:ind w:left="43"/>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16"/>
                <w:szCs w:val="16"/>
              </w:rPr>
            </w:pPr>
            <w:r w:rsidRPr="000973F2">
              <w:rPr>
                <w:rFonts w:ascii="Times New Roman" w:eastAsia="Times New Roman" w:hAnsi="Times New Roman" w:cs="Times New Roman"/>
                <w:b/>
                <w:bCs/>
                <w:sz w:val="16"/>
                <w:szCs w:val="16"/>
              </w:rPr>
              <w:t>Eqn Y-19</w:t>
            </w:r>
          </w:p>
        </w:tc>
        <w:tc>
          <w:tcPr>
            <w:tcW w:w="493" w:type="dxa"/>
            <w:noWrap/>
            <w:textDirection w:val="btLr"/>
            <w:vAlign w:val="center"/>
            <w:hideMark/>
          </w:tcPr>
          <w:p w14:paraId="175BB130" w14:textId="77777777" w:rsidR="00526EDA" w:rsidRPr="000973F2" w:rsidRDefault="00526EDA" w:rsidP="00266033">
            <w:pPr>
              <w:spacing w:before="40" w:after="40"/>
              <w:ind w:left="43"/>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16"/>
                <w:szCs w:val="16"/>
              </w:rPr>
            </w:pPr>
            <w:r w:rsidRPr="000973F2">
              <w:rPr>
                <w:rFonts w:ascii="Times New Roman" w:eastAsia="Times New Roman" w:hAnsi="Times New Roman" w:cs="Times New Roman"/>
                <w:b/>
                <w:bCs/>
                <w:sz w:val="16"/>
                <w:szCs w:val="16"/>
              </w:rPr>
              <w:t>CEMS</w:t>
            </w:r>
          </w:p>
        </w:tc>
        <w:tc>
          <w:tcPr>
            <w:tcW w:w="488" w:type="dxa"/>
            <w:noWrap/>
            <w:textDirection w:val="btLr"/>
            <w:vAlign w:val="center"/>
            <w:hideMark/>
          </w:tcPr>
          <w:p w14:paraId="33A9373C" w14:textId="77777777" w:rsidR="00526EDA" w:rsidRPr="000973F2" w:rsidRDefault="00526EDA" w:rsidP="00266033">
            <w:pPr>
              <w:spacing w:before="40" w:after="40"/>
              <w:ind w:left="43"/>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16"/>
                <w:szCs w:val="16"/>
              </w:rPr>
            </w:pPr>
            <w:r w:rsidRPr="000973F2">
              <w:rPr>
                <w:rFonts w:ascii="Times New Roman" w:eastAsia="Times New Roman" w:hAnsi="Times New Roman" w:cs="Times New Roman"/>
                <w:b/>
                <w:bCs/>
                <w:sz w:val="16"/>
                <w:szCs w:val="16"/>
              </w:rPr>
              <w:t>Eqn Y-8</w:t>
            </w:r>
          </w:p>
        </w:tc>
        <w:tc>
          <w:tcPr>
            <w:tcW w:w="488" w:type="dxa"/>
            <w:noWrap/>
            <w:textDirection w:val="btLr"/>
            <w:vAlign w:val="center"/>
            <w:hideMark/>
          </w:tcPr>
          <w:p w14:paraId="7DB8C67E" w14:textId="77777777" w:rsidR="00526EDA" w:rsidRPr="000973F2" w:rsidRDefault="00526EDA" w:rsidP="00266033">
            <w:pPr>
              <w:spacing w:before="40" w:after="40"/>
              <w:ind w:left="43"/>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16"/>
                <w:szCs w:val="16"/>
              </w:rPr>
            </w:pPr>
            <w:r w:rsidRPr="000973F2">
              <w:rPr>
                <w:rFonts w:ascii="Times New Roman" w:eastAsia="Times New Roman" w:hAnsi="Times New Roman" w:cs="Times New Roman"/>
                <w:b/>
                <w:bCs/>
                <w:sz w:val="16"/>
                <w:szCs w:val="16"/>
              </w:rPr>
              <w:t>Eqn Y-6/Y-7a/Y-7b</w:t>
            </w:r>
          </w:p>
        </w:tc>
        <w:tc>
          <w:tcPr>
            <w:tcW w:w="488" w:type="dxa"/>
            <w:noWrap/>
            <w:textDirection w:val="btLr"/>
            <w:vAlign w:val="center"/>
            <w:hideMark/>
          </w:tcPr>
          <w:p w14:paraId="34A3DDD7" w14:textId="77777777" w:rsidR="00526EDA" w:rsidRPr="000973F2" w:rsidRDefault="00526EDA" w:rsidP="00266033">
            <w:pPr>
              <w:spacing w:before="40" w:after="40"/>
              <w:ind w:left="43"/>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16"/>
                <w:szCs w:val="16"/>
              </w:rPr>
            </w:pPr>
            <w:r w:rsidRPr="000973F2">
              <w:rPr>
                <w:rFonts w:ascii="Times New Roman" w:eastAsia="Times New Roman" w:hAnsi="Times New Roman" w:cs="Times New Roman"/>
                <w:b/>
                <w:bCs/>
                <w:sz w:val="16"/>
                <w:szCs w:val="16"/>
              </w:rPr>
              <w:t>Eqn Y-6 + Direct Flow</w:t>
            </w:r>
          </w:p>
        </w:tc>
        <w:tc>
          <w:tcPr>
            <w:tcW w:w="488" w:type="dxa"/>
            <w:noWrap/>
            <w:textDirection w:val="btLr"/>
            <w:vAlign w:val="center"/>
            <w:hideMark/>
          </w:tcPr>
          <w:p w14:paraId="0D824392" w14:textId="77777777" w:rsidR="00526EDA" w:rsidRPr="000973F2" w:rsidRDefault="00526EDA" w:rsidP="00266033">
            <w:pPr>
              <w:spacing w:before="40" w:after="40"/>
              <w:ind w:left="43"/>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16"/>
                <w:szCs w:val="16"/>
              </w:rPr>
            </w:pPr>
            <w:r w:rsidRPr="000973F2">
              <w:rPr>
                <w:rFonts w:ascii="Times New Roman" w:eastAsia="Times New Roman" w:hAnsi="Times New Roman" w:cs="Times New Roman"/>
                <w:b/>
                <w:bCs/>
                <w:sz w:val="16"/>
                <w:szCs w:val="16"/>
              </w:rPr>
              <w:t>CEMS</w:t>
            </w:r>
          </w:p>
        </w:tc>
        <w:tc>
          <w:tcPr>
            <w:tcW w:w="852" w:type="dxa"/>
            <w:noWrap/>
            <w:textDirection w:val="btLr"/>
            <w:vAlign w:val="center"/>
            <w:hideMark/>
          </w:tcPr>
          <w:p w14:paraId="5966EFEF" w14:textId="77777777" w:rsidR="00526EDA" w:rsidRPr="000973F2" w:rsidRDefault="00526EDA" w:rsidP="00266033">
            <w:pPr>
              <w:spacing w:before="40" w:after="40"/>
              <w:ind w:left="43"/>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16"/>
                <w:szCs w:val="16"/>
              </w:rPr>
            </w:pPr>
            <w:r w:rsidRPr="000973F2">
              <w:rPr>
                <w:rFonts w:ascii="Times New Roman" w:eastAsia="Times New Roman" w:hAnsi="Times New Roman" w:cs="Times New Roman"/>
                <w:b/>
                <w:bCs/>
                <w:sz w:val="16"/>
                <w:szCs w:val="16"/>
              </w:rPr>
              <w:t>Eqn Y-19</w:t>
            </w:r>
          </w:p>
        </w:tc>
        <w:tc>
          <w:tcPr>
            <w:tcW w:w="488" w:type="dxa"/>
            <w:vMerge/>
            <w:hideMark/>
          </w:tcPr>
          <w:p w14:paraId="5D0F90FE" w14:textId="77777777" w:rsidR="00526EDA" w:rsidRPr="000973F2" w:rsidRDefault="00526EDA" w:rsidP="00266033">
            <w:pPr>
              <w:spacing w:before="40" w:after="4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16"/>
                <w:szCs w:val="16"/>
              </w:rPr>
            </w:pPr>
          </w:p>
        </w:tc>
        <w:tc>
          <w:tcPr>
            <w:tcW w:w="493" w:type="dxa"/>
            <w:vMerge/>
            <w:hideMark/>
          </w:tcPr>
          <w:p w14:paraId="393A5310" w14:textId="77777777" w:rsidR="00526EDA" w:rsidRPr="000973F2" w:rsidRDefault="00526EDA" w:rsidP="00266033">
            <w:pPr>
              <w:spacing w:before="40" w:after="4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16"/>
                <w:szCs w:val="16"/>
              </w:rPr>
            </w:pPr>
          </w:p>
        </w:tc>
        <w:tc>
          <w:tcPr>
            <w:tcW w:w="488" w:type="dxa"/>
            <w:vMerge/>
            <w:hideMark/>
          </w:tcPr>
          <w:p w14:paraId="0D917125" w14:textId="77777777" w:rsidR="00526EDA" w:rsidRPr="000973F2" w:rsidRDefault="00526EDA" w:rsidP="00266033">
            <w:pPr>
              <w:spacing w:before="40" w:after="4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16"/>
                <w:szCs w:val="16"/>
              </w:rPr>
            </w:pPr>
          </w:p>
        </w:tc>
        <w:tc>
          <w:tcPr>
            <w:tcW w:w="585" w:type="dxa"/>
            <w:noWrap/>
            <w:textDirection w:val="btLr"/>
            <w:vAlign w:val="center"/>
            <w:hideMark/>
          </w:tcPr>
          <w:p w14:paraId="1FAE543D" w14:textId="77777777" w:rsidR="00526EDA" w:rsidRPr="000973F2" w:rsidRDefault="00526EDA" w:rsidP="00266033">
            <w:pPr>
              <w:spacing w:before="40" w:after="40"/>
              <w:ind w:left="43" w:right="43"/>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16"/>
                <w:szCs w:val="16"/>
              </w:rPr>
            </w:pPr>
            <w:r w:rsidRPr="000973F2">
              <w:rPr>
                <w:rFonts w:ascii="Times New Roman" w:eastAsia="Times New Roman" w:hAnsi="Times New Roman" w:cs="Times New Roman"/>
                <w:b/>
                <w:bCs/>
                <w:sz w:val="16"/>
                <w:szCs w:val="16"/>
              </w:rPr>
              <w:t>Eqn Y-13</w:t>
            </w:r>
          </w:p>
        </w:tc>
        <w:tc>
          <w:tcPr>
            <w:tcW w:w="493" w:type="dxa"/>
            <w:noWrap/>
            <w:textDirection w:val="btLr"/>
            <w:vAlign w:val="center"/>
            <w:hideMark/>
          </w:tcPr>
          <w:p w14:paraId="7DE259AF" w14:textId="77777777" w:rsidR="00526EDA" w:rsidRPr="000973F2" w:rsidRDefault="00526EDA" w:rsidP="00266033">
            <w:pPr>
              <w:spacing w:before="40" w:after="40"/>
              <w:ind w:left="43" w:right="43"/>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16"/>
                <w:szCs w:val="16"/>
              </w:rPr>
            </w:pPr>
            <w:r w:rsidRPr="000973F2">
              <w:rPr>
                <w:rFonts w:ascii="Times New Roman" w:eastAsia="Times New Roman" w:hAnsi="Times New Roman" w:cs="Times New Roman"/>
                <w:b/>
                <w:bCs/>
                <w:sz w:val="16"/>
                <w:szCs w:val="16"/>
              </w:rPr>
              <w:t>CEMS</w:t>
            </w:r>
          </w:p>
        </w:tc>
        <w:tc>
          <w:tcPr>
            <w:tcW w:w="493" w:type="dxa"/>
            <w:vMerge/>
            <w:hideMark/>
          </w:tcPr>
          <w:p w14:paraId="6F97913F" w14:textId="77777777" w:rsidR="00526EDA" w:rsidRPr="000973F2" w:rsidRDefault="00526EDA" w:rsidP="00266033">
            <w:pPr>
              <w:spacing w:before="40" w:after="4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16"/>
                <w:szCs w:val="16"/>
              </w:rPr>
            </w:pPr>
          </w:p>
        </w:tc>
        <w:tc>
          <w:tcPr>
            <w:tcW w:w="488" w:type="dxa"/>
            <w:vMerge/>
            <w:hideMark/>
          </w:tcPr>
          <w:p w14:paraId="24AC15B3" w14:textId="77777777" w:rsidR="00526EDA" w:rsidRPr="000973F2" w:rsidRDefault="00526EDA" w:rsidP="00266033">
            <w:pPr>
              <w:spacing w:before="40" w:after="4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16"/>
                <w:szCs w:val="16"/>
              </w:rPr>
            </w:pPr>
          </w:p>
        </w:tc>
      </w:tr>
      <w:tr w:rsidR="005D4A67" w:rsidRPr="000973F2" w14:paraId="02E9506F" w14:textId="77777777" w:rsidTr="008A2B1B">
        <w:tc>
          <w:tcPr>
            <w:cnfStyle w:val="001000000000" w:firstRow="0" w:lastRow="0" w:firstColumn="1" w:lastColumn="0" w:oddVBand="0" w:evenVBand="0" w:oddHBand="0" w:evenHBand="0" w:firstRowFirstColumn="0" w:firstRowLastColumn="0" w:lastRowFirstColumn="0" w:lastRowLastColumn="0"/>
            <w:tcW w:w="1456" w:type="dxa"/>
            <w:noWrap/>
            <w:hideMark/>
          </w:tcPr>
          <w:p w14:paraId="5A8CB40C" w14:textId="77777777" w:rsidR="00526EDA" w:rsidRPr="000973F2" w:rsidRDefault="00526EDA" w:rsidP="00266033">
            <w:pPr>
              <w:spacing w:before="40" w:after="40"/>
              <w:rPr>
                <w:rFonts w:ascii="Times New Roman" w:eastAsia="Times New Roman" w:hAnsi="Times New Roman" w:cs="Times New Roman"/>
                <w:sz w:val="16"/>
                <w:szCs w:val="16"/>
              </w:rPr>
            </w:pPr>
            <w:r w:rsidRPr="000973F2">
              <w:rPr>
                <w:rFonts w:ascii="Times New Roman" w:eastAsia="Times New Roman" w:hAnsi="Times New Roman" w:cs="Times New Roman"/>
                <w:sz w:val="16"/>
                <w:szCs w:val="16"/>
              </w:rPr>
              <w:t>Small Topping Refinery</w:t>
            </w:r>
          </w:p>
        </w:tc>
        <w:tc>
          <w:tcPr>
            <w:tcW w:w="959" w:type="dxa"/>
            <w:noWrap/>
            <w:hideMark/>
          </w:tcPr>
          <w:p w14:paraId="62E41D61" w14:textId="5460AE28" w:rsidR="00526EDA" w:rsidRPr="000973F2" w:rsidRDefault="00526EDA" w:rsidP="00266033">
            <w:pPr>
              <w:spacing w:before="40" w:after="4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6"/>
                <w:szCs w:val="16"/>
              </w:rPr>
            </w:pPr>
            <w:r w:rsidRPr="000973F2">
              <w:rPr>
                <w:rFonts w:ascii="Times New Roman" w:eastAsia="Times New Roman" w:hAnsi="Times New Roman" w:cs="Times New Roman"/>
                <w:sz w:val="16"/>
                <w:szCs w:val="16"/>
              </w:rPr>
              <w:t xml:space="preserve">Table </w:t>
            </w:r>
            <w:r w:rsidR="008A2B1B">
              <w:rPr>
                <w:rFonts w:ascii="Times New Roman" w:eastAsia="Times New Roman" w:hAnsi="Times New Roman" w:cs="Times New Roman"/>
                <w:sz w:val="16"/>
                <w:szCs w:val="16"/>
              </w:rPr>
              <w:t>Y-</w:t>
            </w:r>
            <w:r w:rsidRPr="000973F2">
              <w:rPr>
                <w:rFonts w:ascii="Times New Roman" w:eastAsia="Times New Roman" w:hAnsi="Times New Roman" w:cs="Times New Roman"/>
                <w:sz w:val="16"/>
                <w:szCs w:val="16"/>
              </w:rPr>
              <w:t>2a</w:t>
            </w:r>
          </w:p>
        </w:tc>
        <w:tc>
          <w:tcPr>
            <w:tcW w:w="757" w:type="dxa"/>
            <w:noWrap/>
            <w:hideMark/>
          </w:tcPr>
          <w:p w14:paraId="6447F717" w14:textId="77777777" w:rsidR="00526EDA" w:rsidRPr="000973F2" w:rsidRDefault="00526EDA" w:rsidP="00266033">
            <w:pPr>
              <w:spacing w:before="40" w:after="4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6"/>
                <w:szCs w:val="16"/>
              </w:rPr>
            </w:pPr>
            <w:r w:rsidRPr="000973F2">
              <w:rPr>
                <w:rFonts w:ascii="Times New Roman" w:eastAsia="Times New Roman" w:hAnsi="Times New Roman" w:cs="Times New Roman"/>
                <w:sz w:val="16"/>
                <w:szCs w:val="16"/>
              </w:rPr>
              <w:t>11</w:t>
            </w:r>
          </w:p>
        </w:tc>
        <w:tc>
          <w:tcPr>
            <w:tcW w:w="488" w:type="dxa"/>
            <w:noWrap/>
            <w:hideMark/>
          </w:tcPr>
          <w:p w14:paraId="37DF19ED" w14:textId="77777777" w:rsidR="00526EDA" w:rsidRPr="000973F2" w:rsidRDefault="00526EDA" w:rsidP="00266033">
            <w:pPr>
              <w:spacing w:before="40" w:after="4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6"/>
                <w:szCs w:val="16"/>
              </w:rPr>
            </w:pPr>
          </w:p>
        </w:tc>
        <w:tc>
          <w:tcPr>
            <w:tcW w:w="488" w:type="dxa"/>
            <w:noWrap/>
            <w:hideMark/>
          </w:tcPr>
          <w:p w14:paraId="04F27A82" w14:textId="77777777" w:rsidR="00526EDA" w:rsidRPr="000973F2" w:rsidRDefault="00526EDA" w:rsidP="00266033">
            <w:pPr>
              <w:spacing w:before="40" w:after="4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6"/>
                <w:szCs w:val="16"/>
              </w:rPr>
            </w:pPr>
          </w:p>
        </w:tc>
        <w:tc>
          <w:tcPr>
            <w:tcW w:w="488" w:type="dxa"/>
            <w:noWrap/>
            <w:hideMark/>
          </w:tcPr>
          <w:p w14:paraId="655285CC" w14:textId="77777777" w:rsidR="00526EDA" w:rsidRPr="000973F2" w:rsidRDefault="00526EDA" w:rsidP="00266033">
            <w:pPr>
              <w:spacing w:before="40" w:after="4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6"/>
                <w:szCs w:val="16"/>
              </w:rPr>
            </w:pPr>
          </w:p>
        </w:tc>
        <w:tc>
          <w:tcPr>
            <w:tcW w:w="488" w:type="dxa"/>
            <w:noWrap/>
            <w:hideMark/>
          </w:tcPr>
          <w:p w14:paraId="29E3C245" w14:textId="77777777" w:rsidR="00526EDA" w:rsidRPr="000973F2" w:rsidRDefault="00526EDA" w:rsidP="00266033">
            <w:pPr>
              <w:spacing w:before="40" w:after="4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6"/>
                <w:szCs w:val="16"/>
              </w:rPr>
            </w:pPr>
            <w:r w:rsidRPr="000973F2">
              <w:rPr>
                <w:rFonts w:ascii="Times New Roman" w:eastAsia="Times New Roman" w:hAnsi="Times New Roman" w:cs="Times New Roman"/>
                <w:sz w:val="16"/>
                <w:szCs w:val="16"/>
              </w:rPr>
              <w:t>1</w:t>
            </w:r>
          </w:p>
        </w:tc>
        <w:tc>
          <w:tcPr>
            <w:tcW w:w="488" w:type="dxa"/>
            <w:noWrap/>
            <w:hideMark/>
          </w:tcPr>
          <w:p w14:paraId="21A09EC5" w14:textId="77777777" w:rsidR="00526EDA" w:rsidRPr="000973F2" w:rsidRDefault="00526EDA" w:rsidP="00266033">
            <w:pPr>
              <w:spacing w:before="40" w:after="4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6"/>
                <w:szCs w:val="16"/>
              </w:rPr>
            </w:pPr>
          </w:p>
        </w:tc>
        <w:tc>
          <w:tcPr>
            <w:tcW w:w="493" w:type="dxa"/>
            <w:noWrap/>
            <w:hideMark/>
          </w:tcPr>
          <w:p w14:paraId="29F7ACE8" w14:textId="77777777" w:rsidR="00526EDA" w:rsidRPr="000973F2" w:rsidRDefault="00526EDA" w:rsidP="00266033">
            <w:pPr>
              <w:spacing w:before="40" w:after="4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6"/>
                <w:szCs w:val="16"/>
              </w:rPr>
            </w:pPr>
          </w:p>
        </w:tc>
        <w:tc>
          <w:tcPr>
            <w:tcW w:w="493" w:type="dxa"/>
            <w:noWrap/>
            <w:hideMark/>
          </w:tcPr>
          <w:p w14:paraId="1DB102BF" w14:textId="77777777" w:rsidR="00526EDA" w:rsidRPr="000973F2" w:rsidRDefault="00526EDA" w:rsidP="00266033">
            <w:pPr>
              <w:spacing w:before="40" w:after="4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6"/>
                <w:szCs w:val="16"/>
              </w:rPr>
            </w:pPr>
          </w:p>
        </w:tc>
        <w:tc>
          <w:tcPr>
            <w:tcW w:w="488" w:type="dxa"/>
            <w:noWrap/>
            <w:hideMark/>
          </w:tcPr>
          <w:p w14:paraId="2AC31149" w14:textId="77777777" w:rsidR="00526EDA" w:rsidRPr="000973F2" w:rsidRDefault="00526EDA" w:rsidP="00266033">
            <w:pPr>
              <w:spacing w:before="40" w:after="4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6"/>
                <w:szCs w:val="16"/>
              </w:rPr>
            </w:pPr>
          </w:p>
        </w:tc>
        <w:tc>
          <w:tcPr>
            <w:tcW w:w="488" w:type="dxa"/>
            <w:noWrap/>
            <w:hideMark/>
          </w:tcPr>
          <w:p w14:paraId="187AE454" w14:textId="77777777" w:rsidR="00526EDA" w:rsidRPr="000973F2" w:rsidRDefault="00526EDA" w:rsidP="00266033">
            <w:pPr>
              <w:spacing w:before="40" w:after="4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6"/>
                <w:szCs w:val="16"/>
              </w:rPr>
            </w:pPr>
          </w:p>
        </w:tc>
        <w:tc>
          <w:tcPr>
            <w:tcW w:w="488" w:type="dxa"/>
            <w:noWrap/>
            <w:hideMark/>
          </w:tcPr>
          <w:p w14:paraId="3D9636F1" w14:textId="77777777" w:rsidR="00526EDA" w:rsidRPr="000973F2" w:rsidRDefault="00526EDA" w:rsidP="00266033">
            <w:pPr>
              <w:spacing w:before="40" w:after="4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6"/>
                <w:szCs w:val="16"/>
              </w:rPr>
            </w:pPr>
          </w:p>
        </w:tc>
        <w:tc>
          <w:tcPr>
            <w:tcW w:w="488" w:type="dxa"/>
            <w:noWrap/>
            <w:hideMark/>
          </w:tcPr>
          <w:p w14:paraId="46C69FE1" w14:textId="77777777" w:rsidR="00526EDA" w:rsidRPr="000973F2" w:rsidRDefault="00526EDA" w:rsidP="00266033">
            <w:pPr>
              <w:spacing w:before="40" w:after="4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6"/>
                <w:szCs w:val="16"/>
              </w:rPr>
            </w:pPr>
          </w:p>
        </w:tc>
        <w:tc>
          <w:tcPr>
            <w:tcW w:w="852" w:type="dxa"/>
            <w:noWrap/>
            <w:hideMark/>
          </w:tcPr>
          <w:p w14:paraId="4CF05CE5" w14:textId="77777777" w:rsidR="00526EDA" w:rsidRPr="000973F2" w:rsidRDefault="00526EDA" w:rsidP="00266033">
            <w:pPr>
              <w:spacing w:before="40" w:after="4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6"/>
                <w:szCs w:val="16"/>
              </w:rPr>
            </w:pPr>
          </w:p>
        </w:tc>
        <w:tc>
          <w:tcPr>
            <w:tcW w:w="488" w:type="dxa"/>
            <w:noWrap/>
            <w:hideMark/>
          </w:tcPr>
          <w:p w14:paraId="3C289515" w14:textId="77777777" w:rsidR="00526EDA" w:rsidRPr="000973F2" w:rsidRDefault="00526EDA" w:rsidP="00266033">
            <w:pPr>
              <w:spacing w:before="40" w:after="4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6"/>
                <w:szCs w:val="16"/>
              </w:rPr>
            </w:pPr>
          </w:p>
        </w:tc>
        <w:tc>
          <w:tcPr>
            <w:tcW w:w="493" w:type="dxa"/>
            <w:noWrap/>
            <w:hideMark/>
          </w:tcPr>
          <w:p w14:paraId="7BEC22F0" w14:textId="77777777" w:rsidR="00526EDA" w:rsidRPr="000973F2" w:rsidRDefault="00526EDA" w:rsidP="00266033">
            <w:pPr>
              <w:spacing w:before="40" w:after="4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6"/>
                <w:szCs w:val="16"/>
              </w:rPr>
            </w:pPr>
          </w:p>
        </w:tc>
        <w:tc>
          <w:tcPr>
            <w:tcW w:w="488" w:type="dxa"/>
            <w:noWrap/>
            <w:hideMark/>
          </w:tcPr>
          <w:p w14:paraId="2D054900" w14:textId="77777777" w:rsidR="00526EDA" w:rsidRPr="000973F2" w:rsidRDefault="00526EDA" w:rsidP="00266033">
            <w:pPr>
              <w:spacing w:before="40" w:after="4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6"/>
                <w:szCs w:val="16"/>
              </w:rPr>
            </w:pPr>
          </w:p>
        </w:tc>
        <w:tc>
          <w:tcPr>
            <w:tcW w:w="585" w:type="dxa"/>
            <w:noWrap/>
            <w:hideMark/>
          </w:tcPr>
          <w:p w14:paraId="3ECE498F" w14:textId="77777777" w:rsidR="00526EDA" w:rsidRPr="000973F2" w:rsidRDefault="00526EDA" w:rsidP="00266033">
            <w:pPr>
              <w:spacing w:before="40" w:after="4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6"/>
                <w:szCs w:val="16"/>
              </w:rPr>
            </w:pPr>
          </w:p>
        </w:tc>
        <w:tc>
          <w:tcPr>
            <w:tcW w:w="493" w:type="dxa"/>
            <w:noWrap/>
            <w:hideMark/>
          </w:tcPr>
          <w:p w14:paraId="0AE8D482" w14:textId="77777777" w:rsidR="00526EDA" w:rsidRPr="000973F2" w:rsidRDefault="00526EDA" w:rsidP="00266033">
            <w:pPr>
              <w:spacing w:before="40" w:after="4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6"/>
                <w:szCs w:val="16"/>
              </w:rPr>
            </w:pPr>
          </w:p>
        </w:tc>
        <w:tc>
          <w:tcPr>
            <w:tcW w:w="493" w:type="dxa"/>
            <w:noWrap/>
            <w:hideMark/>
          </w:tcPr>
          <w:p w14:paraId="212D45BC" w14:textId="77777777" w:rsidR="00526EDA" w:rsidRPr="000973F2" w:rsidRDefault="00526EDA" w:rsidP="00266033">
            <w:pPr>
              <w:spacing w:before="40" w:after="4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6"/>
                <w:szCs w:val="16"/>
              </w:rPr>
            </w:pPr>
          </w:p>
        </w:tc>
        <w:tc>
          <w:tcPr>
            <w:tcW w:w="488" w:type="dxa"/>
            <w:noWrap/>
            <w:hideMark/>
          </w:tcPr>
          <w:p w14:paraId="60D91436" w14:textId="77777777" w:rsidR="00526EDA" w:rsidRPr="000973F2" w:rsidRDefault="00526EDA" w:rsidP="00266033">
            <w:pPr>
              <w:spacing w:before="40" w:after="4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6"/>
                <w:szCs w:val="16"/>
              </w:rPr>
            </w:pPr>
            <w:r w:rsidRPr="000973F2">
              <w:rPr>
                <w:rFonts w:ascii="Times New Roman" w:eastAsia="Times New Roman" w:hAnsi="Times New Roman" w:cs="Times New Roman"/>
                <w:sz w:val="16"/>
                <w:szCs w:val="16"/>
              </w:rPr>
              <w:t>1</w:t>
            </w:r>
          </w:p>
        </w:tc>
      </w:tr>
      <w:tr w:rsidR="00A859C1" w:rsidRPr="000973F2" w14:paraId="048F3DF9" w14:textId="77777777" w:rsidTr="008A2B1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56" w:type="dxa"/>
            <w:noWrap/>
            <w:hideMark/>
          </w:tcPr>
          <w:p w14:paraId="4BBF6C9E" w14:textId="77777777" w:rsidR="00526EDA" w:rsidRPr="000973F2" w:rsidRDefault="00526EDA" w:rsidP="00266033">
            <w:pPr>
              <w:spacing w:before="40" w:after="40"/>
              <w:rPr>
                <w:rFonts w:ascii="Times New Roman" w:eastAsia="Times New Roman" w:hAnsi="Times New Roman" w:cs="Times New Roman"/>
                <w:sz w:val="16"/>
                <w:szCs w:val="16"/>
              </w:rPr>
            </w:pPr>
            <w:r w:rsidRPr="000973F2">
              <w:rPr>
                <w:rFonts w:ascii="Times New Roman" w:eastAsia="Times New Roman" w:hAnsi="Times New Roman" w:cs="Times New Roman"/>
                <w:sz w:val="16"/>
                <w:szCs w:val="16"/>
              </w:rPr>
              <w:t>Asphalt Refinery</w:t>
            </w:r>
          </w:p>
        </w:tc>
        <w:tc>
          <w:tcPr>
            <w:tcW w:w="959" w:type="dxa"/>
            <w:noWrap/>
            <w:hideMark/>
          </w:tcPr>
          <w:p w14:paraId="09B6CF62" w14:textId="32D1BC9C" w:rsidR="00526EDA" w:rsidRPr="000973F2" w:rsidRDefault="00526EDA" w:rsidP="00266033">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6"/>
                <w:szCs w:val="16"/>
              </w:rPr>
            </w:pPr>
            <w:r w:rsidRPr="000973F2">
              <w:rPr>
                <w:rFonts w:ascii="Times New Roman" w:eastAsia="Times New Roman" w:hAnsi="Times New Roman" w:cs="Times New Roman"/>
                <w:sz w:val="16"/>
                <w:szCs w:val="16"/>
              </w:rPr>
              <w:t xml:space="preserve">Table </w:t>
            </w:r>
            <w:r w:rsidR="008A2B1B">
              <w:rPr>
                <w:rFonts w:ascii="Times New Roman" w:eastAsia="Times New Roman" w:hAnsi="Times New Roman" w:cs="Times New Roman"/>
                <w:sz w:val="16"/>
                <w:szCs w:val="16"/>
              </w:rPr>
              <w:t>Y-</w:t>
            </w:r>
            <w:r w:rsidRPr="000973F2">
              <w:rPr>
                <w:rFonts w:ascii="Times New Roman" w:eastAsia="Times New Roman" w:hAnsi="Times New Roman" w:cs="Times New Roman"/>
                <w:sz w:val="16"/>
                <w:szCs w:val="16"/>
              </w:rPr>
              <w:t>2b</w:t>
            </w:r>
          </w:p>
        </w:tc>
        <w:tc>
          <w:tcPr>
            <w:tcW w:w="757" w:type="dxa"/>
            <w:noWrap/>
            <w:hideMark/>
          </w:tcPr>
          <w:p w14:paraId="453E8EE2" w14:textId="77777777" w:rsidR="00526EDA" w:rsidRPr="000973F2" w:rsidRDefault="00526EDA" w:rsidP="00266033">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6"/>
                <w:szCs w:val="16"/>
              </w:rPr>
            </w:pPr>
            <w:r w:rsidRPr="000973F2">
              <w:rPr>
                <w:rFonts w:ascii="Times New Roman" w:eastAsia="Times New Roman" w:hAnsi="Times New Roman" w:cs="Times New Roman"/>
                <w:sz w:val="16"/>
                <w:szCs w:val="16"/>
              </w:rPr>
              <w:t>9</w:t>
            </w:r>
          </w:p>
        </w:tc>
        <w:tc>
          <w:tcPr>
            <w:tcW w:w="488" w:type="dxa"/>
            <w:noWrap/>
            <w:hideMark/>
          </w:tcPr>
          <w:p w14:paraId="0BFC5B5B" w14:textId="77777777" w:rsidR="00526EDA" w:rsidRPr="000973F2" w:rsidRDefault="00526EDA" w:rsidP="00266033">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6"/>
                <w:szCs w:val="16"/>
              </w:rPr>
            </w:pPr>
          </w:p>
        </w:tc>
        <w:tc>
          <w:tcPr>
            <w:tcW w:w="488" w:type="dxa"/>
            <w:noWrap/>
            <w:hideMark/>
          </w:tcPr>
          <w:p w14:paraId="6B497112" w14:textId="77777777" w:rsidR="00526EDA" w:rsidRPr="000973F2" w:rsidRDefault="00526EDA" w:rsidP="00266033">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6"/>
                <w:szCs w:val="16"/>
              </w:rPr>
            </w:pPr>
          </w:p>
        </w:tc>
        <w:tc>
          <w:tcPr>
            <w:tcW w:w="488" w:type="dxa"/>
            <w:noWrap/>
            <w:hideMark/>
          </w:tcPr>
          <w:p w14:paraId="7B83B686" w14:textId="77777777" w:rsidR="00526EDA" w:rsidRPr="000973F2" w:rsidRDefault="00526EDA" w:rsidP="00266033">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6"/>
                <w:szCs w:val="16"/>
              </w:rPr>
            </w:pPr>
          </w:p>
        </w:tc>
        <w:tc>
          <w:tcPr>
            <w:tcW w:w="488" w:type="dxa"/>
            <w:noWrap/>
            <w:hideMark/>
          </w:tcPr>
          <w:p w14:paraId="06FE1D9B" w14:textId="77777777" w:rsidR="00526EDA" w:rsidRPr="000973F2" w:rsidRDefault="00526EDA" w:rsidP="00266033">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6"/>
                <w:szCs w:val="16"/>
              </w:rPr>
            </w:pPr>
            <w:r w:rsidRPr="000973F2">
              <w:rPr>
                <w:rFonts w:ascii="Times New Roman" w:eastAsia="Times New Roman" w:hAnsi="Times New Roman" w:cs="Times New Roman"/>
                <w:sz w:val="16"/>
                <w:szCs w:val="16"/>
              </w:rPr>
              <w:t>2</w:t>
            </w:r>
          </w:p>
        </w:tc>
        <w:tc>
          <w:tcPr>
            <w:tcW w:w="488" w:type="dxa"/>
            <w:noWrap/>
            <w:hideMark/>
          </w:tcPr>
          <w:p w14:paraId="5DC27E93" w14:textId="77777777" w:rsidR="00526EDA" w:rsidRPr="000973F2" w:rsidRDefault="00526EDA" w:rsidP="00266033">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6"/>
                <w:szCs w:val="16"/>
              </w:rPr>
            </w:pPr>
          </w:p>
        </w:tc>
        <w:tc>
          <w:tcPr>
            <w:tcW w:w="493" w:type="dxa"/>
            <w:noWrap/>
            <w:hideMark/>
          </w:tcPr>
          <w:p w14:paraId="097EC13F" w14:textId="77777777" w:rsidR="00526EDA" w:rsidRPr="000973F2" w:rsidRDefault="00526EDA" w:rsidP="00266033">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6"/>
                <w:szCs w:val="16"/>
              </w:rPr>
            </w:pPr>
          </w:p>
        </w:tc>
        <w:tc>
          <w:tcPr>
            <w:tcW w:w="493" w:type="dxa"/>
            <w:noWrap/>
            <w:hideMark/>
          </w:tcPr>
          <w:p w14:paraId="5EC83A51" w14:textId="77777777" w:rsidR="00526EDA" w:rsidRPr="000973F2" w:rsidRDefault="00526EDA" w:rsidP="00266033">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6"/>
                <w:szCs w:val="16"/>
              </w:rPr>
            </w:pPr>
          </w:p>
        </w:tc>
        <w:tc>
          <w:tcPr>
            <w:tcW w:w="488" w:type="dxa"/>
            <w:noWrap/>
            <w:hideMark/>
          </w:tcPr>
          <w:p w14:paraId="42722A9D" w14:textId="77777777" w:rsidR="00526EDA" w:rsidRPr="000973F2" w:rsidRDefault="00526EDA" w:rsidP="00266033">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6"/>
                <w:szCs w:val="16"/>
              </w:rPr>
            </w:pPr>
          </w:p>
        </w:tc>
        <w:tc>
          <w:tcPr>
            <w:tcW w:w="488" w:type="dxa"/>
            <w:noWrap/>
            <w:hideMark/>
          </w:tcPr>
          <w:p w14:paraId="30D9A62C" w14:textId="77777777" w:rsidR="00526EDA" w:rsidRPr="000973F2" w:rsidRDefault="00526EDA" w:rsidP="00266033">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6"/>
                <w:szCs w:val="16"/>
              </w:rPr>
            </w:pPr>
          </w:p>
        </w:tc>
        <w:tc>
          <w:tcPr>
            <w:tcW w:w="488" w:type="dxa"/>
            <w:noWrap/>
            <w:hideMark/>
          </w:tcPr>
          <w:p w14:paraId="28C8B75C" w14:textId="77777777" w:rsidR="00526EDA" w:rsidRPr="000973F2" w:rsidRDefault="00526EDA" w:rsidP="00266033">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6"/>
                <w:szCs w:val="16"/>
              </w:rPr>
            </w:pPr>
          </w:p>
        </w:tc>
        <w:tc>
          <w:tcPr>
            <w:tcW w:w="488" w:type="dxa"/>
            <w:noWrap/>
            <w:hideMark/>
          </w:tcPr>
          <w:p w14:paraId="372F01F0" w14:textId="77777777" w:rsidR="00526EDA" w:rsidRPr="000973F2" w:rsidRDefault="00526EDA" w:rsidP="00266033">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6"/>
                <w:szCs w:val="16"/>
              </w:rPr>
            </w:pPr>
          </w:p>
        </w:tc>
        <w:tc>
          <w:tcPr>
            <w:tcW w:w="852" w:type="dxa"/>
            <w:noWrap/>
            <w:hideMark/>
          </w:tcPr>
          <w:p w14:paraId="216A32E6" w14:textId="77777777" w:rsidR="00526EDA" w:rsidRPr="000973F2" w:rsidRDefault="00526EDA" w:rsidP="00266033">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6"/>
                <w:szCs w:val="16"/>
              </w:rPr>
            </w:pPr>
          </w:p>
        </w:tc>
        <w:tc>
          <w:tcPr>
            <w:tcW w:w="488" w:type="dxa"/>
            <w:noWrap/>
            <w:hideMark/>
          </w:tcPr>
          <w:p w14:paraId="022F6BD0" w14:textId="77777777" w:rsidR="00526EDA" w:rsidRPr="000973F2" w:rsidRDefault="00526EDA" w:rsidP="00266033">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6"/>
                <w:szCs w:val="16"/>
              </w:rPr>
            </w:pPr>
            <w:r w:rsidRPr="000973F2">
              <w:rPr>
                <w:rFonts w:ascii="Times New Roman" w:eastAsia="Times New Roman" w:hAnsi="Times New Roman" w:cs="Times New Roman"/>
                <w:sz w:val="16"/>
                <w:szCs w:val="16"/>
              </w:rPr>
              <w:t>1</w:t>
            </w:r>
          </w:p>
        </w:tc>
        <w:tc>
          <w:tcPr>
            <w:tcW w:w="493" w:type="dxa"/>
            <w:noWrap/>
            <w:hideMark/>
          </w:tcPr>
          <w:p w14:paraId="7047BE43" w14:textId="77777777" w:rsidR="00526EDA" w:rsidRPr="000973F2" w:rsidRDefault="00526EDA" w:rsidP="00266033">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6"/>
                <w:szCs w:val="16"/>
              </w:rPr>
            </w:pPr>
          </w:p>
        </w:tc>
        <w:tc>
          <w:tcPr>
            <w:tcW w:w="488" w:type="dxa"/>
            <w:noWrap/>
            <w:hideMark/>
          </w:tcPr>
          <w:p w14:paraId="0B5AF6EC" w14:textId="77777777" w:rsidR="00526EDA" w:rsidRPr="000973F2" w:rsidRDefault="00526EDA" w:rsidP="00266033">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6"/>
                <w:szCs w:val="16"/>
              </w:rPr>
            </w:pPr>
          </w:p>
        </w:tc>
        <w:tc>
          <w:tcPr>
            <w:tcW w:w="585" w:type="dxa"/>
            <w:noWrap/>
            <w:hideMark/>
          </w:tcPr>
          <w:p w14:paraId="3BBF7967" w14:textId="77777777" w:rsidR="00526EDA" w:rsidRPr="000973F2" w:rsidRDefault="00526EDA" w:rsidP="00266033">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6"/>
                <w:szCs w:val="16"/>
              </w:rPr>
            </w:pPr>
          </w:p>
        </w:tc>
        <w:tc>
          <w:tcPr>
            <w:tcW w:w="493" w:type="dxa"/>
            <w:noWrap/>
            <w:hideMark/>
          </w:tcPr>
          <w:p w14:paraId="3BA12AB4" w14:textId="77777777" w:rsidR="00526EDA" w:rsidRPr="000973F2" w:rsidRDefault="00526EDA" w:rsidP="00266033">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6"/>
                <w:szCs w:val="16"/>
              </w:rPr>
            </w:pPr>
          </w:p>
        </w:tc>
        <w:tc>
          <w:tcPr>
            <w:tcW w:w="493" w:type="dxa"/>
            <w:noWrap/>
            <w:hideMark/>
          </w:tcPr>
          <w:p w14:paraId="30EFFD67" w14:textId="77777777" w:rsidR="00526EDA" w:rsidRPr="000973F2" w:rsidRDefault="00526EDA" w:rsidP="00266033">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6"/>
                <w:szCs w:val="16"/>
              </w:rPr>
            </w:pPr>
          </w:p>
        </w:tc>
        <w:tc>
          <w:tcPr>
            <w:tcW w:w="488" w:type="dxa"/>
            <w:noWrap/>
            <w:hideMark/>
          </w:tcPr>
          <w:p w14:paraId="01D9333C" w14:textId="77777777" w:rsidR="00526EDA" w:rsidRPr="000973F2" w:rsidRDefault="00526EDA" w:rsidP="00266033">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6"/>
                <w:szCs w:val="16"/>
              </w:rPr>
            </w:pPr>
            <w:r w:rsidRPr="000973F2">
              <w:rPr>
                <w:rFonts w:ascii="Times New Roman" w:eastAsia="Times New Roman" w:hAnsi="Times New Roman" w:cs="Times New Roman"/>
                <w:sz w:val="16"/>
                <w:szCs w:val="16"/>
              </w:rPr>
              <w:t>1</w:t>
            </w:r>
          </w:p>
        </w:tc>
      </w:tr>
      <w:tr w:rsidR="005D4A67" w:rsidRPr="000973F2" w14:paraId="609FC558" w14:textId="77777777" w:rsidTr="008A2B1B">
        <w:tc>
          <w:tcPr>
            <w:cnfStyle w:val="001000000000" w:firstRow="0" w:lastRow="0" w:firstColumn="1" w:lastColumn="0" w:oddVBand="0" w:evenVBand="0" w:oddHBand="0" w:evenHBand="0" w:firstRowFirstColumn="0" w:firstRowLastColumn="0" w:lastRowFirstColumn="0" w:lastRowLastColumn="0"/>
            <w:tcW w:w="1456" w:type="dxa"/>
            <w:noWrap/>
            <w:hideMark/>
          </w:tcPr>
          <w:p w14:paraId="06491D47" w14:textId="77777777" w:rsidR="00526EDA" w:rsidRPr="000973F2" w:rsidRDefault="00526EDA" w:rsidP="00266033">
            <w:pPr>
              <w:spacing w:before="40" w:after="40"/>
              <w:rPr>
                <w:rFonts w:ascii="Times New Roman" w:eastAsia="Times New Roman" w:hAnsi="Times New Roman" w:cs="Times New Roman"/>
                <w:sz w:val="16"/>
                <w:szCs w:val="16"/>
              </w:rPr>
            </w:pPr>
            <w:r w:rsidRPr="000973F2">
              <w:rPr>
                <w:rFonts w:ascii="Times New Roman" w:eastAsia="Times New Roman" w:hAnsi="Times New Roman" w:cs="Times New Roman"/>
                <w:sz w:val="16"/>
                <w:szCs w:val="16"/>
              </w:rPr>
              <w:t>Larger Topping Refinery</w:t>
            </w:r>
          </w:p>
        </w:tc>
        <w:tc>
          <w:tcPr>
            <w:tcW w:w="959" w:type="dxa"/>
            <w:noWrap/>
            <w:hideMark/>
          </w:tcPr>
          <w:p w14:paraId="3DF4F085" w14:textId="40AFB22B" w:rsidR="00526EDA" w:rsidRPr="000973F2" w:rsidRDefault="00526EDA" w:rsidP="00266033">
            <w:pPr>
              <w:spacing w:before="40" w:after="4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6"/>
                <w:szCs w:val="16"/>
              </w:rPr>
            </w:pPr>
            <w:r w:rsidRPr="000973F2">
              <w:rPr>
                <w:rFonts w:ascii="Times New Roman" w:eastAsia="Times New Roman" w:hAnsi="Times New Roman" w:cs="Times New Roman"/>
                <w:sz w:val="16"/>
                <w:szCs w:val="16"/>
              </w:rPr>
              <w:t>Table</w:t>
            </w:r>
            <w:r w:rsidR="008A2B1B">
              <w:rPr>
                <w:rFonts w:ascii="Times New Roman" w:eastAsia="Times New Roman" w:hAnsi="Times New Roman" w:cs="Times New Roman"/>
                <w:sz w:val="16"/>
                <w:szCs w:val="16"/>
              </w:rPr>
              <w:t xml:space="preserve"> Y-</w:t>
            </w:r>
            <w:r w:rsidRPr="000973F2">
              <w:rPr>
                <w:rFonts w:ascii="Times New Roman" w:eastAsia="Times New Roman" w:hAnsi="Times New Roman" w:cs="Times New Roman"/>
                <w:sz w:val="16"/>
                <w:szCs w:val="16"/>
              </w:rPr>
              <w:t xml:space="preserve"> 2c</w:t>
            </w:r>
          </w:p>
        </w:tc>
        <w:tc>
          <w:tcPr>
            <w:tcW w:w="757" w:type="dxa"/>
            <w:noWrap/>
            <w:hideMark/>
          </w:tcPr>
          <w:p w14:paraId="78BBF0B0" w14:textId="77777777" w:rsidR="00526EDA" w:rsidRPr="000973F2" w:rsidRDefault="00526EDA" w:rsidP="00266033">
            <w:pPr>
              <w:spacing w:before="40" w:after="4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6"/>
                <w:szCs w:val="16"/>
              </w:rPr>
            </w:pPr>
            <w:r w:rsidRPr="000973F2">
              <w:rPr>
                <w:rFonts w:ascii="Times New Roman" w:eastAsia="Times New Roman" w:hAnsi="Times New Roman" w:cs="Times New Roman"/>
                <w:sz w:val="16"/>
                <w:szCs w:val="16"/>
              </w:rPr>
              <w:t>5</w:t>
            </w:r>
          </w:p>
        </w:tc>
        <w:tc>
          <w:tcPr>
            <w:tcW w:w="488" w:type="dxa"/>
            <w:noWrap/>
            <w:hideMark/>
          </w:tcPr>
          <w:p w14:paraId="5D0D8918" w14:textId="77777777" w:rsidR="00526EDA" w:rsidRPr="000973F2" w:rsidRDefault="00526EDA" w:rsidP="00266033">
            <w:pPr>
              <w:spacing w:before="40" w:after="4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6"/>
                <w:szCs w:val="16"/>
              </w:rPr>
            </w:pPr>
          </w:p>
        </w:tc>
        <w:tc>
          <w:tcPr>
            <w:tcW w:w="488" w:type="dxa"/>
            <w:noWrap/>
            <w:hideMark/>
          </w:tcPr>
          <w:p w14:paraId="6B5152FB" w14:textId="77777777" w:rsidR="00526EDA" w:rsidRPr="000973F2" w:rsidRDefault="00526EDA" w:rsidP="00266033">
            <w:pPr>
              <w:spacing w:before="40" w:after="4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6"/>
                <w:szCs w:val="16"/>
              </w:rPr>
            </w:pPr>
          </w:p>
        </w:tc>
        <w:tc>
          <w:tcPr>
            <w:tcW w:w="488" w:type="dxa"/>
            <w:noWrap/>
            <w:hideMark/>
          </w:tcPr>
          <w:p w14:paraId="29E94B4A" w14:textId="77777777" w:rsidR="00526EDA" w:rsidRPr="000973F2" w:rsidRDefault="00526EDA" w:rsidP="00266033">
            <w:pPr>
              <w:spacing w:before="40" w:after="4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6"/>
                <w:szCs w:val="16"/>
              </w:rPr>
            </w:pPr>
          </w:p>
        </w:tc>
        <w:tc>
          <w:tcPr>
            <w:tcW w:w="488" w:type="dxa"/>
            <w:noWrap/>
            <w:hideMark/>
          </w:tcPr>
          <w:p w14:paraId="75FA2322" w14:textId="77777777" w:rsidR="00526EDA" w:rsidRPr="000973F2" w:rsidRDefault="00526EDA" w:rsidP="00266033">
            <w:pPr>
              <w:spacing w:before="40" w:after="4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6"/>
                <w:szCs w:val="16"/>
              </w:rPr>
            </w:pPr>
            <w:r w:rsidRPr="000973F2">
              <w:rPr>
                <w:rFonts w:ascii="Times New Roman" w:eastAsia="Times New Roman" w:hAnsi="Times New Roman" w:cs="Times New Roman"/>
                <w:sz w:val="16"/>
                <w:szCs w:val="16"/>
              </w:rPr>
              <w:t>3</w:t>
            </w:r>
          </w:p>
        </w:tc>
        <w:tc>
          <w:tcPr>
            <w:tcW w:w="488" w:type="dxa"/>
            <w:noWrap/>
            <w:hideMark/>
          </w:tcPr>
          <w:p w14:paraId="1822B39C" w14:textId="77777777" w:rsidR="00526EDA" w:rsidRPr="000973F2" w:rsidRDefault="00526EDA" w:rsidP="00266033">
            <w:pPr>
              <w:spacing w:before="40" w:after="4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6"/>
                <w:szCs w:val="16"/>
              </w:rPr>
            </w:pPr>
          </w:p>
        </w:tc>
        <w:tc>
          <w:tcPr>
            <w:tcW w:w="493" w:type="dxa"/>
            <w:noWrap/>
            <w:hideMark/>
          </w:tcPr>
          <w:p w14:paraId="06511CA6" w14:textId="77777777" w:rsidR="00526EDA" w:rsidRPr="000973F2" w:rsidRDefault="00526EDA" w:rsidP="00266033">
            <w:pPr>
              <w:spacing w:before="40" w:after="4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6"/>
                <w:szCs w:val="16"/>
              </w:rPr>
            </w:pPr>
          </w:p>
        </w:tc>
        <w:tc>
          <w:tcPr>
            <w:tcW w:w="493" w:type="dxa"/>
            <w:noWrap/>
            <w:hideMark/>
          </w:tcPr>
          <w:p w14:paraId="70C4CFE3" w14:textId="77777777" w:rsidR="00526EDA" w:rsidRPr="000973F2" w:rsidRDefault="00526EDA" w:rsidP="00266033">
            <w:pPr>
              <w:spacing w:before="40" w:after="4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6"/>
                <w:szCs w:val="16"/>
              </w:rPr>
            </w:pPr>
          </w:p>
        </w:tc>
        <w:tc>
          <w:tcPr>
            <w:tcW w:w="488" w:type="dxa"/>
            <w:noWrap/>
            <w:hideMark/>
          </w:tcPr>
          <w:p w14:paraId="49683186" w14:textId="77777777" w:rsidR="00526EDA" w:rsidRPr="000973F2" w:rsidRDefault="00526EDA" w:rsidP="00266033">
            <w:pPr>
              <w:spacing w:before="40" w:after="4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6"/>
                <w:szCs w:val="16"/>
              </w:rPr>
            </w:pPr>
          </w:p>
        </w:tc>
        <w:tc>
          <w:tcPr>
            <w:tcW w:w="488" w:type="dxa"/>
            <w:noWrap/>
            <w:hideMark/>
          </w:tcPr>
          <w:p w14:paraId="3D40B779" w14:textId="77777777" w:rsidR="00526EDA" w:rsidRPr="000973F2" w:rsidRDefault="00526EDA" w:rsidP="00266033">
            <w:pPr>
              <w:spacing w:before="40" w:after="4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6"/>
                <w:szCs w:val="16"/>
              </w:rPr>
            </w:pPr>
          </w:p>
        </w:tc>
        <w:tc>
          <w:tcPr>
            <w:tcW w:w="488" w:type="dxa"/>
            <w:noWrap/>
            <w:hideMark/>
          </w:tcPr>
          <w:p w14:paraId="76CB75F8" w14:textId="77777777" w:rsidR="00526EDA" w:rsidRPr="000973F2" w:rsidRDefault="00526EDA" w:rsidP="00266033">
            <w:pPr>
              <w:spacing w:before="40" w:after="4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6"/>
                <w:szCs w:val="16"/>
              </w:rPr>
            </w:pPr>
          </w:p>
        </w:tc>
        <w:tc>
          <w:tcPr>
            <w:tcW w:w="488" w:type="dxa"/>
            <w:noWrap/>
            <w:hideMark/>
          </w:tcPr>
          <w:p w14:paraId="7679A333" w14:textId="77777777" w:rsidR="00526EDA" w:rsidRPr="000973F2" w:rsidRDefault="00526EDA" w:rsidP="00266033">
            <w:pPr>
              <w:spacing w:before="40" w:after="4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6"/>
                <w:szCs w:val="16"/>
              </w:rPr>
            </w:pPr>
          </w:p>
        </w:tc>
        <w:tc>
          <w:tcPr>
            <w:tcW w:w="852" w:type="dxa"/>
            <w:noWrap/>
            <w:hideMark/>
          </w:tcPr>
          <w:p w14:paraId="3376E253" w14:textId="77777777" w:rsidR="00526EDA" w:rsidRPr="000973F2" w:rsidRDefault="00526EDA" w:rsidP="00266033">
            <w:pPr>
              <w:spacing w:before="40" w:after="4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6"/>
                <w:szCs w:val="16"/>
              </w:rPr>
            </w:pPr>
          </w:p>
        </w:tc>
        <w:tc>
          <w:tcPr>
            <w:tcW w:w="488" w:type="dxa"/>
            <w:noWrap/>
            <w:hideMark/>
          </w:tcPr>
          <w:p w14:paraId="72D55B4C" w14:textId="77777777" w:rsidR="00526EDA" w:rsidRPr="000973F2" w:rsidRDefault="00526EDA" w:rsidP="00266033">
            <w:pPr>
              <w:spacing w:before="40" w:after="4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6"/>
                <w:szCs w:val="16"/>
              </w:rPr>
            </w:pPr>
          </w:p>
        </w:tc>
        <w:tc>
          <w:tcPr>
            <w:tcW w:w="493" w:type="dxa"/>
            <w:noWrap/>
            <w:hideMark/>
          </w:tcPr>
          <w:p w14:paraId="7E1C67F2" w14:textId="77777777" w:rsidR="00526EDA" w:rsidRPr="000973F2" w:rsidRDefault="00526EDA" w:rsidP="00266033">
            <w:pPr>
              <w:spacing w:before="40" w:after="4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6"/>
                <w:szCs w:val="16"/>
              </w:rPr>
            </w:pPr>
          </w:p>
        </w:tc>
        <w:tc>
          <w:tcPr>
            <w:tcW w:w="488" w:type="dxa"/>
            <w:noWrap/>
            <w:hideMark/>
          </w:tcPr>
          <w:p w14:paraId="22CC9A23" w14:textId="77777777" w:rsidR="00526EDA" w:rsidRPr="000973F2" w:rsidRDefault="00526EDA" w:rsidP="00266033">
            <w:pPr>
              <w:spacing w:before="40" w:after="4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6"/>
                <w:szCs w:val="16"/>
              </w:rPr>
            </w:pPr>
          </w:p>
        </w:tc>
        <w:tc>
          <w:tcPr>
            <w:tcW w:w="585" w:type="dxa"/>
            <w:noWrap/>
            <w:hideMark/>
          </w:tcPr>
          <w:p w14:paraId="1E4207DC" w14:textId="77777777" w:rsidR="00526EDA" w:rsidRPr="000973F2" w:rsidRDefault="00526EDA" w:rsidP="00266033">
            <w:pPr>
              <w:spacing w:before="40" w:after="4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6"/>
                <w:szCs w:val="16"/>
              </w:rPr>
            </w:pPr>
          </w:p>
        </w:tc>
        <w:tc>
          <w:tcPr>
            <w:tcW w:w="493" w:type="dxa"/>
            <w:noWrap/>
            <w:hideMark/>
          </w:tcPr>
          <w:p w14:paraId="66343FE9" w14:textId="77777777" w:rsidR="00526EDA" w:rsidRPr="000973F2" w:rsidRDefault="00526EDA" w:rsidP="00266033">
            <w:pPr>
              <w:spacing w:before="40" w:after="4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6"/>
                <w:szCs w:val="16"/>
              </w:rPr>
            </w:pPr>
          </w:p>
        </w:tc>
        <w:tc>
          <w:tcPr>
            <w:tcW w:w="493" w:type="dxa"/>
            <w:noWrap/>
            <w:hideMark/>
          </w:tcPr>
          <w:p w14:paraId="7D84C84C" w14:textId="77777777" w:rsidR="00526EDA" w:rsidRPr="000973F2" w:rsidRDefault="00526EDA" w:rsidP="00266033">
            <w:pPr>
              <w:spacing w:before="40" w:after="4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6"/>
                <w:szCs w:val="16"/>
              </w:rPr>
            </w:pPr>
          </w:p>
        </w:tc>
        <w:tc>
          <w:tcPr>
            <w:tcW w:w="488" w:type="dxa"/>
            <w:noWrap/>
            <w:hideMark/>
          </w:tcPr>
          <w:p w14:paraId="6A051912" w14:textId="77777777" w:rsidR="00526EDA" w:rsidRPr="000973F2" w:rsidRDefault="00526EDA" w:rsidP="00266033">
            <w:pPr>
              <w:spacing w:before="40" w:after="4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6"/>
                <w:szCs w:val="16"/>
              </w:rPr>
            </w:pPr>
            <w:r w:rsidRPr="000973F2">
              <w:rPr>
                <w:rFonts w:ascii="Times New Roman" w:eastAsia="Times New Roman" w:hAnsi="Times New Roman" w:cs="Times New Roman"/>
                <w:sz w:val="16"/>
                <w:szCs w:val="16"/>
              </w:rPr>
              <w:t>1</w:t>
            </w:r>
          </w:p>
        </w:tc>
      </w:tr>
      <w:tr w:rsidR="00A859C1" w:rsidRPr="000973F2" w14:paraId="2507BE08" w14:textId="77777777" w:rsidTr="008A2B1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56" w:type="dxa"/>
            <w:noWrap/>
            <w:hideMark/>
          </w:tcPr>
          <w:p w14:paraId="6C6299D5" w14:textId="77777777" w:rsidR="00526EDA" w:rsidRPr="000973F2" w:rsidRDefault="00526EDA" w:rsidP="00266033">
            <w:pPr>
              <w:spacing w:before="40" w:after="40"/>
              <w:rPr>
                <w:rFonts w:ascii="Times New Roman" w:eastAsia="Times New Roman" w:hAnsi="Times New Roman" w:cs="Times New Roman"/>
                <w:sz w:val="16"/>
                <w:szCs w:val="16"/>
              </w:rPr>
            </w:pPr>
            <w:r w:rsidRPr="000973F2">
              <w:rPr>
                <w:rFonts w:ascii="Times New Roman" w:eastAsia="Times New Roman" w:hAnsi="Times New Roman" w:cs="Times New Roman"/>
                <w:sz w:val="16"/>
                <w:szCs w:val="16"/>
              </w:rPr>
              <w:t>Small Hydroskimming Refinery</w:t>
            </w:r>
          </w:p>
        </w:tc>
        <w:tc>
          <w:tcPr>
            <w:tcW w:w="959" w:type="dxa"/>
            <w:noWrap/>
            <w:hideMark/>
          </w:tcPr>
          <w:p w14:paraId="1DB46A8E" w14:textId="1E404ECA" w:rsidR="00526EDA" w:rsidRPr="000973F2" w:rsidRDefault="00526EDA" w:rsidP="00266033">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6"/>
                <w:szCs w:val="16"/>
              </w:rPr>
            </w:pPr>
            <w:r w:rsidRPr="000973F2">
              <w:rPr>
                <w:rFonts w:ascii="Times New Roman" w:eastAsia="Times New Roman" w:hAnsi="Times New Roman" w:cs="Times New Roman"/>
                <w:sz w:val="16"/>
                <w:szCs w:val="16"/>
              </w:rPr>
              <w:t xml:space="preserve">Table </w:t>
            </w:r>
            <w:r w:rsidR="008A2B1B">
              <w:rPr>
                <w:rFonts w:ascii="Times New Roman" w:eastAsia="Times New Roman" w:hAnsi="Times New Roman" w:cs="Times New Roman"/>
                <w:sz w:val="16"/>
                <w:szCs w:val="16"/>
              </w:rPr>
              <w:t>Y-</w:t>
            </w:r>
            <w:r w:rsidRPr="000973F2">
              <w:rPr>
                <w:rFonts w:ascii="Times New Roman" w:eastAsia="Times New Roman" w:hAnsi="Times New Roman" w:cs="Times New Roman"/>
                <w:sz w:val="16"/>
                <w:szCs w:val="16"/>
              </w:rPr>
              <w:t>2d</w:t>
            </w:r>
          </w:p>
        </w:tc>
        <w:tc>
          <w:tcPr>
            <w:tcW w:w="757" w:type="dxa"/>
            <w:noWrap/>
            <w:hideMark/>
          </w:tcPr>
          <w:p w14:paraId="2D688BE6" w14:textId="77777777" w:rsidR="00526EDA" w:rsidRPr="000973F2" w:rsidRDefault="00526EDA" w:rsidP="00266033">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6"/>
                <w:szCs w:val="16"/>
              </w:rPr>
            </w:pPr>
            <w:r w:rsidRPr="000973F2">
              <w:rPr>
                <w:rFonts w:ascii="Times New Roman" w:eastAsia="Times New Roman" w:hAnsi="Times New Roman" w:cs="Times New Roman"/>
                <w:sz w:val="16"/>
                <w:szCs w:val="16"/>
              </w:rPr>
              <w:t>2</w:t>
            </w:r>
          </w:p>
        </w:tc>
        <w:tc>
          <w:tcPr>
            <w:tcW w:w="488" w:type="dxa"/>
            <w:noWrap/>
            <w:hideMark/>
          </w:tcPr>
          <w:p w14:paraId="1ECBC6E1" w14:textId="77777777" w:rsidR="00526EDA" w:rsidRPr="000973F2" w:rsidRDefault="00526EDA" w:rsidP="00266033">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6"/>
                <w:szCs w:val="16"/>
              </w:rPr>
            </w:pPr>
          </w:p>
        </w:tc>
        <w:tc>
          <w:tcPr>
            <w:tcW w:w="488" w:type="dxa"/>
            <w:noWrap/>
            <w:hideMark/>
          </w:tcPr>
          <w:p w14:paraId="0A9974CB" w14:textId="77777777" w:rsidR="00526EDA" w:rsidRPr="000973F2" w:rsidRDefault="00526EDA" w:rsidP="00266033">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6"/>
                <w:szCs w:val="16"/>
              </w:rPr>
            </w:pPr>
          </w:p>
        </w:tc>
        <w:tc>
          <w:tcPr>
            <w:tcW w:w="488" w:type="dxa"/>
            <w:noWrap/>
            <w:hideMark/>
          </w:tcPr>
          <w:p w14:paraId="3C223510" w14:textId="77777777" w:rsidR="00526EDA" w:rsidRPr="000973F2" w:rsidRDefault="00526EDA" w:rsidP="00266033">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6"/>
                <w:szCs w:val="16"/>
              </w:rPr>
            </w:pPr>
          </w:p>
        </w:tc>
        <w:tc>
          <w:tcPr>
            <w:tcW w:w="488" w:type="dxa"/>
            <w:noWrap/>
            <w:hideMark/>
          </w:tcPr>
          <w:p w14:paraId="075A6BD3" w14:textId="77777777" w:rsidR="00526EDA" w:rsidRPr="000973F2" w:rsidRDefault="00526EDA" w:rsidP="00266033">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6"/>
                <w:szCs w:val="16"/>
              </w:rPr>
            </w:pPr>
            <w:r w:rsidRPr="000973F2">
              <w:rPr>
                <w:rFonts w:ascii="Times New Roman" w:eastAsia="Times New Roman" w:hAnsi="Times New Roman" w:cs="Times New Roman"/>
                <w:sz w:val="16"/>
                <w:szCs w:val="16"/>
              </w:rPr>
              <w:t>1</w:t>
            </w:r>
          </w:p>
        </w:tc>
        <w:tc>
          <w:tcPr>
            <w:tcW w:w="488" w:type="dxa"/>
            <w:noWrap/>
            <w:hideMark/>
          </w:tcPr>
          <w:p w14:paraId="32E73C4B" w14:textId="77777777" w:rsidR="00526EDA" w:rsidRPr="000973F2" w:rsidRDefault="00526EDA" w:rsidP="00266033">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6"/>
                <w:szCs w:val="16"/>
              </w:rPr>
            </w:pPr>
            <w:r w:rsidRPr="000973F2">
              <w:rPr>
                <w:rFonts w:ascii="Times New Roman" w:eastAsia="Times New Roman" w:hAnsi="Times New Roman" w:cs="Times New Roman"/>
                <w:sz w:val="16"/>
                <w:szCs w:val="16"/>
              </w:rPr>
              <w:t>1</w:t>
            </w:r>
          </w:p>
        </w:tc>
        <w:tc>
          <w:tcPr>
            <w:tcW w:w="493" w:type="dxa"/>
            <w:noWrap/>
            <w:hideMark/>
          </w:tcPr>
          <w:p w14:paraId="6C00DD63" w14:textId="77777777" w:rsidR="00526EDA" w:rsidRPr="000973F2" w:rsidRDefault="00526EDA" w:rsidP="00266033">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6"/>
                <w:szCs w:val="16"/>
              </w:rPr>
            </w:pPr>
          </w:p>
        </w:tc>
        <w:tc>
          <w:tcPr>
            <w:tcW w:w="493" w:type="dxa"/>
            <w:noWrap/>
            <w:hideMark/>
          </w:tcPr>
          <w:p w14:paraId="783A1E7D" w14:textId="77777777" w:rsidR="00526EDA" w:rsidRPr="000973F2" w:rsidRDefault="00526EDA" w:rsidP="00266033">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6"/>
                <w:szCs w:val="16"/>
              </w:rPr>
            </w:pPr>
          </w:p>
        </w:tc>
        <w:tc>
          <w:tcPr>
            <w:tcW w:w="488" w:type="dxa"/>
            <w:noWrap/>
            <w:hideMark/>
          </w:tcPr>
          <w:p w14:paraId="68B0A79B" w14:textId="77777777" w:rsidR="00526EDA" w:rsidRPr="000973F2" w:rsidRDefault="00526EDA" w:rsidP="00266033">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6"/>
                <w:szCs w:val="16"/>
              </w:rPr>
            </w:pPr>
          </w:p>
        </w:tc>
        <w:tc>
          <w:tcPr>
            <w:tcW w:w="488" w:type="dxa"/>
            <w:noWrap/>
            <w:hideMark/>
          </w:tcPr>
          <w:p w14:paraId="5C1ACB6F" w14:textId="77777777" w:rsidR="00526EDA" w:rsidRPr="000973F2" w:rsidRDefault="00526EDA" w:rsidP="00266033">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6"/>
                <w:szCs w:val="16"/>
              </w:rPr>
            </w:pPr>
          </w:p>
        </w:tc>
        <w:tc>
          <w:tcPr>
            <w:tcW w:w="488" w:type="dxa"/>
            <w:noWrap/>
            <w:hideMark/>
          </w:tcPr>
          <w:p w14:paraId="0AFB5145" w14:textId="77777777" w:rsidR="00526EDA" w:rsidRPr="000973F2" w:rsidRDefault="00526EDA" w:rsidP="00266033">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6"/>
                <w:szCs w:val="16"/>
              </w:rPr>
            </w:pPr>
          </w:p>
        </w:tc>
        <w:tc>
          <w:tcPr>
            <w:tcW w:w="488" w:type="dxa"/>
            <w:noWrap/>
            <w:hideMark/>
          </w:tcPr>
          <w:p w14:paraId="666985C7" w14:textId="77777777" w:rsidR="00526EDA" w:rsidRPr="000973F2" w:rsidRDefault="00526EDA" w:rsidP="00266033">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6"/>
                <w:szCs w:val="16"/>
              </w:rPr>
            </w:pPr>
          </w:p>
        </w:tc>
        <w:tc>
          <w:tcPr>
            <w:tcW w:w="852" w:type="dxa"/>
            <w:noWrap/>
            <w:hideMark/>
          </w:tcPr>
          <w:p w14:paraId="793E0898" w14:textId="77777777" w:rsidR="00526EDA" w:rsidRPr="000973F2" w:rsidRDefault="00526EDA" w:rsidP="00266033">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6"/>
                <w:szCs w:val="16"/>
              </w:rPr>
            </w:pPr>
          </w:p>
        </w:tc>
        <w:tc>
          <w:tcPr>
            <w:tcW w:w="488" w:type="dxa"/>
            <w:noWrap/>
            <w:hideMark/>
          </w:tcPr>
          <w:p w14:paraId="5BDC9F3C" w14:textId="77777777" w:rsidR="00526EDA" w:rsidRPr="000973F2" w:rsidRDefault="00526EDA" w:rsidP="00266033">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6"/>
                <w:szCs w:val="16"/>
              </w:rPr>
            </w:pPr>
          </w:p>
        </w:tc>
        <w:tc>
          <w:tcPr>
            <w:tcW w:w="493" w:type="dxa"/>
            <w:noWrap/>
            <w:hideMark/>
          </w:tcPr>
          <w:p w14:paraId="39D5AFEB" w14:textId="77777777" w:rsidR="00526EDA" w:rsidRPr="000973F2" w:rsidRDefault="00526EDA" w:rsidP="00266033">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6"/>
                <w:szCs w:val="16"/>
              </w:rPr>
            </w:pPr>
          </w:p>
        </w:tc>
        <w:tc>
          <w:tcPr>
            <w:tcW w:w="488" w:type="dxa"/>
            <w:noWrap/>
            <w:hideMark/>
          </w:tcPr>
          <w:p w14:paraId="55CA8C28" w14:textId="77777777" w:rsidR="00526EDA" w:rsidRPr="000973F2" w:rsidRDefault="00526EDA" w:rsidP="00266033">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6"/>
                <w:szCs w:val="16"/>
              </w:rPr>
            </w:pPr>
          </w:p>
        </w:tc>
        <w:tc>
          <w:tcPr>
            <w:tcW w:w="585" w:type="dxa"/>
            <w:noWrap/>
            <w:hideMark/>
          </w:tcPr>
          <w:p w14:paraId="566FC6CD" w14:textId="77777777" w:rsidR="00526EDA" w:rsidRPr="000973F2" w:rsidRDefault="00526EDA" w:rsidP="00266033">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6"/>
                <w:szCs w:val="16"/>
              </w:rPr>
            </w:pPr>
          </w:p>
        </w:tc>
        <w:tc>
          <w:tcPr>
            <w:tcW w:w="493" w:type="dxa"/>
            <w:noWrap/>
            <w:hideMark/>
          </w:tcPr>
          <w:p w14:paraId="192A925F" w14:textId="77777777" w:rsidR="00526EDA" w:rsidRPr="000973F2" w:rsidRDefault="00526EDA" w:rsidP="00266033">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6"/>
                <w:szCs w:val="16"/>
              </w:rPr>
            </w:pPr>
          </w:p>
        </w:tc>
        <w:tc>
          <w:tcPr>
            <w:tcW w:w="493" w:type="dxa"/>
            <w:noWrap/>
            <w:hideMark/>
          </w:tcPr>
          <w:p w14:paraId="113E0F92" w14:textId="77777777" w:rsidR="00526EDA" w:rsidRPr="000973F2" w:rsidRDefault="00526EDA" w:rsidP="00266033">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6"/>
                <w:szCs w:val="16"/>
              </w:rPr>
            </w:pPr>
            <w:r w:rsidRPr="000973F2">
              <w:rPr>
                <w:rFonts w:ascii="Times New Roman" w:eastAsia="Times New Roman" w:hAnsi="Times New Roman" w:cs="Times New Roman"/>
                <w:sz w:val="16"/>
                <w:szCs w:val="16"/>
              </w:rPr>
              <w:t>1</w:t>
            </w:r>
          </w:p>
        </w:tc>
        <w:tc>
          <w:tcPr>
            <w:tcW w:w="488" w:type="dxa"/>
            <w:noWrap/>
            <w:hideMark/>
          </w:tcPr>
          <w:p w14:paraId="14E80B57" w14:textId="77777777" w:rsidR="00526EDA" w:rsidRPr="000973F2" w:rsidRDefault="00526EDA" w:rsidP="00266033">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6"/>
                <w:szCs w:val="16"/>
              </w:rPr>
            </w:pPr>
            <w:r w:rsidRPr="000973F2">
              <w:rPr>
                <w:rFonts w:ascii="Times New Roman" w:eastAsia="Times New Roman" w:hAnsi="Times New Roman" w:cs="Times New Roman"/>
                <w:sz w:val="16"/>
                <w:szCs w:val="16"/>
              </w:rPr>
              <w:t>1</w:t>
            </w:r>
          </w:p>
        </w:tc>
      </w:tr>
      <w:tr w:rsidR="005D4A67" w:rsidRPr="000973F2" w14:paraId="17BB473E" w14:textId="77777777" w:rsidTr="008A2B1B">
        <w:tc>
          <w:tcPr>
            <w:cnfStyle w:val="001000000000" w:firstRow="0" w:lastRow="0" w:firstColumn="1" w:lastColumn="0" w:oddVBand="0" w:evenVBand="0" w:oddHBand="0" w:evenHBand="0" w:firstRowFirstColumn="0" w:firstRowLastColumn="0" w:lastRowFirstColumn="0" w:lastRowLastColumn="0"/>
            <w:tcW w:w="1456" w:type="dxa"/>
            <w:noWrap/>
            <w:hideMark/>
          </w:tcPr>
          <w:p w14:paraId="3511FFF0" w14:textId="77777777" w:rsidR="00526EDA" w:rsidRPr="000973F2" w:rsidRDefault="00526EDA" w:rsidP="00266033">
            <w:pPr>
              <w:spacing w:before="40" w:after="40"/>
              <w:rPr>
                <w:rFonts w:ascii="Times New Roman" w:eastAsia="Times New Roman" w:hAnsi="Times New Roman" w:cs="Times New Roman"/>
                <w:sz w:val="16"/>
                <w:szCs w:val="16"/>
              </w:rPr>
            </w:pPr>
            <w:r w:rsidRPr="000973F2">
              <w:rPr>
                <w:rFonts w:ascii="Times New Roman" w:eastAsia="Times New Roman" w:hAnsi="Times New Roman" w:cs="Times New Roman"/>
                <w:sz w:val="16"/>
                <w:szCs w:val="16"/>
              </w:rPr>
              <w:t>Larger Hydroskimming Refinery</w:t>
            </w:r>
          </w:p>
        </w:tc>
        <w:tc>
          <w:tcPr>
            <w:tcW w:w="959" w:type="dxa"/>
            <w:noWrap/>
            <w:hideMark/>
          </w:tcPr>
          <w:p w14:paraId="0E947B86" w14:textId="678BC0AE" w:rsidR="00526EDA" w:rsidRPr="000973F2" w:rsidRDefault="00526EDA" w:rsidP="00266033">
            <w:pPr>
              <w:spacing w:before="40" w:after="4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6"/>
                <w:szCs w:val="16"/>
              </w:rPr>
            </w:pPr>
            <w:r w:rsidRPr="000973F2">
              <w:rPr>
                <w:rFonts w:ascii="Times New Roman" w:eastAsia="Times New Roman" w:hAnsi="Times New Roman" w:cs="Times New Roman"/>
                <w:sz w:val="16"/>
                <w:szCs w:val="16"/>
              </w:rPr>
              <w:t>Table</w:t>
            </w:r>
            <w:r w:rsidR="008A2B1B">
              <w:rPr>
                <w:rFonts w:ascii="Times New Roman" w:eastAsia="Times New Roman" w:hAnsi="Times New Roman" w:cs="Times New Roman"/>
                <w:sz w:val="16"/>
                <w:szCs w:val="16"/>
              </w:rPr>
              <w:t xml:space="preserve"> Y-</w:t>
            </w:r>
            <w:r w:rsidRPr="000973F2">
              <w:rPr>
                <w:rFonts w:ascii="Times New Roman" w:eastAsia="Times New Roman" w:hAnsi="Times New Roman" w:cs="Times New Roman"/>
                <w:sz w:val="16"/>
                <w:szCs w:val="16"/>
              </w:rPr>
              <w:t>2e</w:t>
            </w:r>
          </w:p>
        </w:tc>
        <w:tc>
          <w:tcPr>
            <w:tcW w:w="757" w:type="dxa"/>
            <w:noWrap/>
            <w:hideMark/>
          </w:tcPr>
          <w:p w14:paraId="71537548" w14:textId="77777777" w:rsidR="00526EDA" w:rsidRPr="000973F2" w:rsidRDefault="00526EDA" w:rsidP="00266033">
            <w:pPr>
              <w:spacing w:before="40" w:after="4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6"/>
                <w:szCs w:val="16"/>
              </w:rPr>
            </w:pPr>
            <w:r w:rsidRPr="000973F2">
              <w:rPr>
                <w:rFonts w:ascii="Times New Roman" w:eastAsia="Times New Roman" w:hAnsi="Times New Roman" w:cs="Times New Roman"/>
                <w:sz w:val="16"/>
                <w:szCs w:val="16"/>
              </w:rPr>
              <w:t>8</w:t>
            </w:r>
          </w:p>
        </w:tc>
        <w:tc>
          <w:tcPr>
            <w:tcW w:w="488" w:type="dxa"/>
            <w:noWrap/>
            <w:hideMark/>
          </w:tcPr>
          <w:p w14:paraId="29C72E70" w14:textId="77777777" w:rsidR="00526EDA" w:rsidRPr="000973F2" w:rsidRDefault="00526EDA" w:rsidP="00266033">
            <w:pPr>
              <w:spacing w:before="40" w:after="4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6"/>
                <w:szCs w:val="16"/>
              </w:rPr>
            </w:pPr>
          </w:p>
        </w:tc>
        <w:tc>
          <w:tcPr>
            <w:tcW w:w="488" w:type="dxa"/>
            <w:noWrap/>
            <w:hideMark/>
          </w:tcPr>
          <w:p w14:paraId="594D4C16" w14:textId="77777777" w:rsidR="00526EDA" w:rsidRPr="000973F2" w:rsidRDefault="00526EDA" w:rsidP="00266033">
            <w:pPr>
              <w:spacing w:before="40" w:after="4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6"/>
                <w:szCs w:val="16"/>
              </w:rPr>
            </w:pPr>
          </w:p>
        </w:tc>
        <w:tc>
          <w:tcPr>
            <w:tcW w:w="488" w:type="dxa"/>
            <w:noWrap/>
            <w:hideMark/>
          </w:tcPr>
          <w:p w14:paraId="056CDA30" w14:textId="77777777" w:rsidR="00526EDA" w:rsidRPr="000973F2" w:rsidRDefault="00526EDA" w:rsidP="00266033">
            <w:pPr>
              <w:spacing w:before="40" w:after="4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6"/>
                <w:szCs w:val="16"/>
              </w:rPr>
            </w:pPr>
          </w:p>
        </w:tc>
        <w:tc>
          <w:tcPr>
            <w:tcW w:w="488" w:type="dxa"/>
            <w:noWrap/>
            <w:hideMark/>
          </w:tcPr>
          <w:p w14:paraId="3BFB1005" w14:textId="77777777" w:rsidR="00526EDA" w:rsidRPr="000973F2" w:rsidRDefault="00526EDA" w:rsidP="00266033">
            <w:pPr>
              <w:spacing w:before="40" w:after="4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6"/>
                <w:szCs w:val="16"/>
              </w:rPr>
            </w:pPr>
            <w:r w:rsidRPr="000973F2">
              <w:rPr>
                <w:rFonts w:ascii="Times New Roman" w:eastAsia="Times New Roman" w:hAnsi="Times New Roman" w:cs="Times New Roman"/>
                <w:sz w:val="16"/>
                <w:szCs w:val="16"/>
              </w:rPr>
              <w:t>3</w:t>
            </w:r>
          </w:p>
        </w:tc>
        <w:tc>
          <w:tcPr>
            <w:tcW w:w="488" w:type="dxa"/>
            <w:noWrap/>
            <w:hideMark/>
          </w:tcPr>
          <w:p w14:paraId="29A26C94" w14:textId="77777777" w:rsidR="00526EDA" w:rsidRPr="000973F2" w:rsidRDefault="00526EDA" w:rsidP="00266033">
            <w:pPr>
              <w:spacing w:before="40" w:after="4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6"/>
                <w:szCs w:val="16"/>
              </w:rPr>
            </w:pPr>
            <w:r w:rsidRPr="000973F2">
              <w:rPr>
                <w:rFonts w:ascii="Times New Roman" w:eastAsia="Times New Roman" w:hAnsi="Times New Roman" w:cs="Times New Roman"/>
                <w:sz w:val="16"/>
                <w:szCs w:val="16"/>
              </w:rPr>
              <w:t>1</w:t>
            </w:r>
          </w:p>
        </w:tc>
        <w:tc>
          <w:tcPr>
            <w:tcW w:w="493" w:type="dxa"/>
            <w:noWrap/>
            <w:hideMark/>
          </w:tcPr>
          <w:p w14:paraId="572C3EA9" w14:textId="77777777" w:rsidR="00526EDA" w:rsidRPr="000973F2" w:rsidRDefault="00526EDA" w:rsidP="00266033">
            <w:pPr>
              <w:spacing w:before="40" w:after="4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6"/>
                <w:szCs w:val="16"/>
              </w:rPr>
            </w:pPr>
          </w:p>
        </w:tc>
        <w:tc>
          <w:tcPr>
            <w:tcW w:w="493" w:type="dxa"/>
            <w:noWrap/>
            <w:hideMark/>
          </w:tcPr>
          <w:p w14:paraId="576CAB84" w14:textId="77777777" w:rsidR="00526EDA" w:rsidRPr="000973F2" w:rsidRDefault="00526EDA" w:rsidP="00266033">
            <w:pPr>
              <w:spacing w:before="40" w:after="4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6"/>
                <w:szCs w:val="16"/>
              </w:rPr>
            </w:pPr>
          </w:p>
        </w:tc>
        <w:tc>
          <w:tcPr>
            <w:tcW w:w="488" w:type="dxa"/>
            <w:noWrap/>
            <w:hideMark/>
          </w:tcPr>
          <w:p w14:paraId="7EFCC3C9" w14:textId="77777777" w:rsidR="00526EDA" w:rsidRPr="000973F2" w:rsidRDefault="00526EDA" w:rsidP="00266033">
            <w:pPr>
              <w:spacing w:before="40" w:after="4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6"/>
                <w:szCs w:val="16"/>
              </w:rPr>
            </w:pPr>
          </w:p>
        </w:tc>
        <w:tc>
          <w:tcPr>
            <w:tcW w:w="488" w:type="dxa"/>
            <w:noWrap/>
            <w:hideMark/>
          </w:tcPr>
          <w:p w14:paraId="41EFF83F" w14:textId="77777777" w:rsidR="00526EDA" w:rsidRPr="000973F2" w:rsidRDefault="00526EDA" w:rsidP="00266033">
            <w:pPr>
              <w:spacing w:before="40" w:after="4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6"/>
                <w:szCs w:val="16"/>
              </w:rPr>
            </w:pPr>
          </w:p>
        </w:tc>
        <w:tc>
          <w:tcPr>
            <w:tcW w:w="488" w:type="dxa"/>
            <w:noWrap/>
            <w:hideMark/>
          </w:tcPr>
          <w:p w14:paraId="2E13570A" w14:textId="77777777" w:rsidR="00526EDA" w:rsidRPr="000973F2" w:rsidRDefault="00526EDA" w:rsidP="00266033">
            <w:pPr>
              <w:spacing w:before="40" w:after="4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6"/>
                <w:szCs w:val="16"/>
              </w:rPr>
            </w:pPr>
          </w:p>
        </w:tc>
        <w:tc>
          <w:tcPr>
            <w:tcW w:w="488" w:type="dxa"/>
            <w:noWrap/>
            <w:hideMark/>
          </w:tcPr>
          <w:p w14:paraId="36FEDF6B" w14:textId="77777777" w:rsidR="00526EDA" w:rsidRPr="000973F2" w:rsidRDefault="00526EDA" w:rsidP="00266033">
            <w:pPr>
              <w:spacing w:before="40" w:after="4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6"/>
                <w:szCs w:val="16"/>
              </w:rPr>
            </w:pPr>
          </w:p>
        </w:tc>
        <w:tc>
          <w:tcPr>
            <w:tcW w:w="852" w:type="dxa"/>
            <w:noWrap/>
            <w:hideMark/>
          </w:tcPr>
          <w:p w14:paraId="6ACDDBF8" w14:textId="77777777" w:rsidR="00526EDA" w:rsidRPr="000973F2" w:rsidRDefault="00526EDA" w:rsidP="00266033">
            <w:pPr>
              <w:spacing w:before="40" w:after="4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6"/>
                <w:szCs w:val="16"/>
              </w:rPr>
            </w:pPr>
          </w:p>
        </w:tc>
        <w:tc>
          <w:tcPr>
            <w:tcW w:w="488" w:type="dxa"/>
            <w:noWrap/>
            <w:hideMark/>
          </w:tcPr>
          <w:p w14:paraId="767C9999" w14:textId="77777777" w:rsidR="00526EDA" w:rsidRPr="000973F2" w:rsidRDefault="00526EDA" w:rsidP="00266033">
            <w:pPr>
              <w:spacing w:before="40" w:after="4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6"/>
                <w:szCs w:val="16"/>
              </w:rPr>
            </w:pPr>
          </w:p>
        </w:tc>
        <w:tc>
          <w:tcPr>
            <w:tcW w:w="493" w:type="dxa"/>
            <w:noWrap/>
            <w:hideMark/>
          </w:tcPr>
          <w:p w14:paraId="251D80FD" w14:textId="77777777" w:rsidR="00526EDA" w:rsidRPr="000973F2" w:rsidRDefault="00526EDA" w:rsidP="00266033">
            <w:pPr>
              <w:spacing w:before="40" w:after="4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6"/>
                <w:szCs w:val="16"/>
              </w:rPr>
            </w:pPr>
          </w:p>
        </w:tc>
        <w:tc>
          <w:tcPr>
            <w:tcW w:w="488" w:type="dxa"/>
            <w:noWrap/>
            <w:hideMark/>
          </w:tcPr>
          <w:p w14:paraId="77EA2DDE" w14:textId="77777777" w:rsidR="00526EDA" w:rsidRPr="000973F2" w:rsidRDefault="00526EDA" w:rsidP="00266033">
            <w:pPr>
              <w:spacing w:before="40" w:after="4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6"/>
                <w:szCs w:val="16"/>
              </w:rPr>
            </w:pPr>
          </w:p>
        </w:tc>
        <w:tc>
          <w:tcPr>
            <w:tcW w:w="585" w:type="dxa"/>
            <w:noWrap/>
            <w:hideMark/>
          </w:tcPr>
          <w:p w14:paraId="6DEE942F" w14:textId="77777777" w:rsidR="00526EDA" w:rsidRPr="000973F2" w:rsidRDefault="00526EDA" w:rsidP="00266033">
            <w:pPr>
              <w:spacing w:before="40" w:after="4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6"/>
                <w:szCs w:val="16"/>
              </w:rPr>
            </w:pPr>
          </w:p>
        </w:tc>
        <w:tc>
          <w:tcPr>
            <w:tcW w:w="493" w:type="dxa"/>
            <w:noWrap/>
            <w:hideMark/>
          </w:tcPr>
          <w:p w14:paraId="74B7B6B2" w14:textId="77777777" w:rsidR="00526EDA" w:rsidRPr="000973F2" w:rsidRDefault="00526EDA" w:rsidP="00266033">
            <w:pPr>
              <w:spacing w:before="40" w:after="4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6"/>
                <w:szCs w:val="16"/>
              </w:rPr>
            </w:pPr>
          </w:p>
        </w:tc>
        <w:tc>
          <w:tcPr>
            <w:tcW w:w="493" w:type="dxa"/>
            <w:noWrap/>
            <w:hideMark/>
          </w:tcPr>
          <w:p w14:paraId="46E8D2F5" w14:textId="77777777" w:rsidR="00526EDA" w:rsidRPr="000973F2" w:rsidRDefault="00526EDA" w:rsidP="00266033">
            <w:pPr>
              <w:spacing w:before="40" w:after="4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6"/>
                <w:szCs w:val="16"/>
              </w:rPr>
            </w:pPr>
            <w:r w:rsidRPr="000973F2">
              <w:rPr>
                <w:rFonts w:ascii="Times New Roman" w:eastAsia="Times New Roman" w:hAnsi="Times New Roman" w:cs="Times New Roman"/>
                <w:sz w:val="16"/>
                <w:szCs w:val="16"/>
              </w:rPr>
              <w:t>1</w:t>
            </w:r>
          </w:p>
        </w:tc>
        <w:tc>
          <w:tcPr>
            <w:tcW w:w="488" w:type="dxa"/>
            <w:noWrap/>
            <w:hideMark/>
          </w:tcPr>
          <w:p w14:paraId="6CF1EA6D" w14:textId="77777777" w:rsidR="00526EDA" w:rsidRPr="000973F2" w:rsidRDefault="00526EDA" w:rsidP="00266033">
            <w:pPr>
              <w:spacing w:before="40" w:after="4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6"/>
                <w:szCs w:val="16"/>
              </w:rPr>
            </w:pPr>
            <w:r w:rsidRPr="000973F2">
              <w:rPr>
                <w:rFonts w:ascii="Times New Roman" w:eastAsia="Times New Roman" w:hAnsi="Times New Roman" w:cs="Times New Roman"/>
                <w:sz w:val="16"/>
                <w:szCs w:val="16"/>
              </w:rPr>
              <w:t>1</w:t>
            </w:r>
          </w:p>
        </w:tc>
      </w:tr>
      <w:tr w:rsidR="00A859C1" w:rsidRPr="000973F2" w14:paraId="7E60B31F" w14:textId="77777777" w:rsidTr="008A2B1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56" w:type="dxa"/>
            <w:noWrap/>
            <w:hideMark/>
          </w:tcPr>
          <w:p w14:paraId="06A8E1E1" w14:textId="77777777" w:rsidR="00526EDA" w:rsidRPr="000973F2" w:rsidRDefault="00526EDA" w:rsidP="00266033">
            <w:pPr>
              <w:spacing w:before="40" w:after="40"/>
              <w:rPr>
                <w:rFonts w:ascii="Times New Roman" w:eastAsia="Times New Roman" w:hAnsi="Times New Roman" w:cs="Times New Roman"/>
                <w:sz w:val="16"/>
                <w:szCs w:val="16"/>
              </w:rPr>
            </w:pPr>
            <w:r w:rsidRPr="000973F2">
              <w:rPr>
                <w:rFonts w:ascii="Times New Roman" w:eastAsia="Times New Roman" w:hAnsi="Times New Roman" w:cs="Times New Roman"/>
                <w:sz w:val="16"/>
                <w:szCs w:val="16"/>
              </w:rPr>
              <w:t>Very Small Upgrading Refinery</w:t>
            </w:r>
          </w:p>
        </w:tc>
        <w:tc>
          <w:tcPr>
            <w:tcW w:w="959" w:type="dxa"/>
            <w:noWrap/>
            <w:hideMark/>
          </w:tcPr>
          <w:p w14:paraId="17EE2BBD" w14:textId="7A5EABEF" w:rsidR="00526EDA" w:rsidRPr="000973F2" w:rsidRDefault="00526EDA" w:rsidP="00266033">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6"/>
                <w:szCs w:val="16"/>
              </w:rPr>
            </w:pPr>
            <w:r w:rsidRPr="000973F2">
              <w:rPr>
                <w:rFonts w:ascii="Times New Roman" w:eastAsia="Times New Roman" w:hAnsi="Times New Roman" w:cs="Times New Roman"/>
                <w:sz w:val="16"/>
                <w:szCs w:val="16"/>
              </w:rPr>
              <w:t xml:space="preserve">Table </w:t>
            </w:r>
            <w:r w:rsidR="008A2B1B">
              <w:rPr>
                <w:rFonts w:ascii="Times New Roman" w:eastAsia="Times New Roman" w:hAnsi="Times New Roman" w:cs="Times New Roman"/>
                <w:sz w:val="16"/>
                <w:szCs w:val="16"/>
              </w:rPr>
              <w:t>Y-</w:t>
            </w:r>
            <w:r w:rsidRPr="000973F2">
              <w:rPr>
                <w:rFonts w:ascii="Times New Roman" w:eastAsia="Times New Roman" w:hAnsi="Times New Roman" w:cs="Times New Roman"/>
                <w:sz w:val="16"/>
                <w:szCs w:val="16"/>
              </w:rPr>
              <w:t>2f</w:t>
            </w:r>
          </w:p>
        </w:tc>
        <w:tc>
          <w:tcPr>
            <w:tcW w:w="757" w:type="dxa"/>
            <w:noWrap/>
            <w:hideMark/>
          </w:tcPr>
          <w:p w14:paraId="2710B193" w14:textId="77777777" w:rsidR="00526EDA" w:rsidRPr="000973F2" w:rsidRDefault="00526EDA" w:rsidP="00266033">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6"/>
                <w:szCs w:val="16"/>
              </w:rPr>
            </w:pPr>
            <w:r w:rsidRPr="000973F2">
              <w:rPr>
                <w:rFonts w:ascii="Times New Roman" w:eastAsia="Times New Roman" w:hAnsi="Times New Roman" w:cs="Times New Roman"/>
                <w:sz w:val="16"/>
                <w:szCs w:val="16"/>
              </w:rPr>
              <w:t>2</w:t>
            </w:r>
          </w:p>
        </w:tc>
        <w:tc>
          <w:tcPr>
            <w:tcW w:w="488" w:type="dxa"/>
            <w:noWrap/>
            <w:hideMark/>
          </w:tcPr>
          <w:p w14:paraId="46792BEB" w14:textId="77777777" w:rsidR="00526EDA" w:rsidRPr="000973F2" w:rsidRDefault="00526EDA" w:rsidP="00266033">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6"/>
                <w:szCs w:val="16"/>
              </w:rPr>
            </w:pPr>
          </w:p>
        </w:tc>
        <w:tc>
          <w:tcPr>
            <w:tcW w:w="488" w:type="dxa"/>
            <w:noWrap/>
            <w:hideMark/>
          </w:tcPr>
          <w:p w14:paraId="3196B635" w14:textId="77777777" w:rsidR="00526EDA" w:rsidRPr="000973F2" w:rsidRDefault="00526EDA" w:rsidP="00266033">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6"/>
                <w:szCs w:val="16"/>
              </w:rPr>
            </w:pPr>
          </w:p>
        </w:tc>
        <w:tc>
          <w:tcPr>
            <w:tcW w:w="488" w:type="dxa"/>
            <w:noWrap/>
            <w:hideMark/>
          </w:tcPr>
          <w:p w14:paraId="7DD8CEF1" w14:textId="77777777" w:rsidR="00526EDA" w:rsidRPr="000973F2" w:rsidRDefault="00526EDA" w:rsidP="00266033">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6"/>
                <w:szCs w:val="16"/>
              </w:rPr>
            </w:pPr>
          </w:p>
        </w:tc>
        <w:tc>
          <w:tcPr>
            <w:tcW w:w="488" w:type="dxa"/>
            <w:noWrap/>
            <w:hideMark/>
          </w:tcPr>
          <w:p w14:paraId="0187DC88" w14:textId="77777777" w:rsidR="00526EDA" w:rsidRPr="000973F2" w:rsidRDefault="00526EDA" w:rsidP="00266033">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6"/>
                <w:szCs w:val="16"/>
              </w:rPr>
            </w:pPr>
            <w:r w:rsidRPr="000973F2">
              <w:rPr>
                <w:rFonts w:ascii="Times New Roman" w:eastAsia="Times New Roman" w:hAnsi="Times New Roman" w:cs="Times New Roman"/>
                <w:sz w:val="16"/>
                <w:szCs w:val="16"/>
              </w:rPr>
              <w:t>1</w:t>
            </w:r>
          </w:p>
        </w:tc>
        <w:tc>
          <w:tcPr>
            <w:tcW w:w="488" w:type="dxa"/>
            <w:noWrap/>
            <w:hideMark/>
          </w:tcPr>
          <w:p w14:paraId="5423ECF3" w14:textId="77777777" w:rsidR="00526EDA" w:rsidRPr="000973F2" w:rsidRDefault="00526EDA" w:rsidP="00266033">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6"/>
                <w:szCs w:val="16"/>
              </w:rPr>
            </w:pPr>
          </w:p>
        </w:tc>
        <w:tc>
          <w:tcPr>
            <w:tcW w:w="493" w:type="dxa"/>
            <w:noWrap/>
            <w:hideMark/>
          </w:tcPr>
          <w:p w14:paraId="0146122E" w14:textId="77777777" w:rsidR="00526EDA" w:rsidRPr="000973F2" w:rsidRDefault="00526EDA" w:rsidP="00266033">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6"/>
                <w:szCs w:val="16"/>
              </w:rPr>
            </w:pPr>
            <w:r w:rsidRPr="000973F2">
              <w:rPr>
                <w:rFonts w:ascii="Times New Roman" w:eastAsia="Times New Roman" w:hAnsi="Times New Roman" w:cs="Times New Roman"/>
                <w:sz w:val="16"/>
                <w:szCs w:val="16"/>
              </w:rPr>
              <w:t>0.5</w:t>
            </w:r>
          </w:p>
        </w:tc>
        <w:tc>
          <w:tcPr>
            <w:tcW w:w="493" w:type="dxa"/>
            <w:noWrap/>
            <w:hideMark/>
          </w:tcPr>
          <w:p w14:paraId="78341CDD" w14:textId="77777777" w:rsidR="00526EDA" w:rsidRPr="000973F2" w:rsidRDefault="00526EDA" w:rsidP="00266033">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6"/>
                <w:szCs w:val="16"/>
              </w:rPr>
            </w:pPr>
            <w:r w:rsidRPr="000973F2">
              <w:rPr>
                <w:rFonts w:ascii="Times New Roman" w:eastAsia="Times New Roman" w:hAnsi="Times New Roman" w:cs="Times New Roman"/>
                <w:sz w:val="16"/>
                <w:szCs w:val="16"/>
              </w:rPr>
              <w:t>0.5</w:t>
            </w:r>
          </w:p>
        </w:tc>
        <w:tc>
          <w:tcPr>
            <w:tcW w:w="488" w:type="dxa"/>
            <w:noWrap/>
            <w:hideMark/>
          </w:tcPr>
          <w:p w14:paraId="0244464C" w14:textId="77777777" w:rsidR="00526EDA" w:rsidRPr="000973F2" w:rsidRDefault="00526EDA" w:rsidP="00266033">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6"/>
                <w:szCs w:val="16"/>
              </w:rPr>
            </w:pPr>
            <w:r w:rsidRPr="000973F2">
              <w:rPr>
                <w:rFonts w:ascii="Times New Roman" w:eastAsia="Times New Roman" w:hAnsi="Times New Roman" w:cs="Times New Roman"/>
                <w:sz w:val="16"/>
                <w:szCs w:val="16"/>
              </w:rPr>
              <w:t>1</w:t>
            </w:r>
          </w:p>
        </w:tc>
        <w:tc>
          <w:tcPr>
            <w:tcW w:w="488" w:type="dxa"/>
            <w:noWrap/>
            <w:hideMark/>
          </w:tcPr>
          <w:p w14:paraId="104981F1" w14:textId="77777777" w:rsidR="00526EDA" w:rsidRPr="000973F2" w:rsidRDefault="00526EDA" w:rsidP="00266033">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6"/>
                <w:szCs w:val="16"/>
              </w:rPr>
            </w:pPr>
          </w:p>
        </w:tc>
        <w:tc>
          <w:tcPr>
            <w:tcW w:w="488" w:type="dxa"/>
            <w:noWrap/>
            <w:hideMark/>
          </w:tcPr>
          <w:p w14:paraId="6F0AB418" w14:textId="77777777" w:rsidR="00526EDA" w:rsidRPr="000973F2" w:rsidRDefault="00526EDA" w:rsidP="00266033">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6"/>
                <w:szCs w:val="16"/>
              </w:rPr>
            </w:pPr>
          </w:p>
        </w:tc>
        <w:tc>
          <w:tcPr>
            <w:tcW w:w="488" w:type="dxa"/>
            <w:noWrap/>
            <w:hideMark/>
          </w:tcPr>
          <w:p w14:paraId="08AC00BF" w14:textId="77777777" w:rsidR="00526EDA" w:rsidRPr="000973F2" w:rsidRDefault="00526EDA" w:rsidP="00266033">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6"/>
                <w:szCs w:val="16"/>
              </w:rPr>
            </w:pPr>
          </w:p>
        </w:tc>
        <w:tc>
          <w:tcPr>
            <w:tcW w:w="852" w:type="dxa"/>
            <w:noWrap/>
            <w:hideMark/>
          </w:tcPr>
          <w:p w14:paraId="49A554F6" w14:textId="77777777" w:rsidR="00526EDA" w:rsidRPr="000973F2" w:rsidRDefault="00526EDA" w:rsidP="00266033">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6"/>
                <w:szCs w:val="16"/>
              </w:rPr>
            </w:pPr>
          </w:p>
        </w:tc>
        <w:tc>
          <w:tcPr>
            <w:tcW w:w="488" w:type="dxa"/>
            <w:noWrap/>
            <w:hideMark/>
          </w:tcPr>
          <w:p w14:paraId="66B93655" w14:textId="77777777" w:rsidR="00526EDA" w:rsidRPr="000973F2" w:rsidRDefault="00526EDA" w:rsidP="00266033">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6"/>
                <w:szCs w:val="16"/>
              </w:rPr>
            </w:pPr>
          </w:p>
        </w:tc>
        <w:tc>
          <w:tcPr>
            <w:tcW w:w="493" w:type="dxa"/>
            <w:noWrap/>
            <w:hideMark/>
          </w:tcPr>
          <w:p w14:paraId="6A665A54" w14:textId="77777777" w:rsidR="00526EDA" w:rsidRPr="000973F2" w:rsidRDefault="00526EDA" w:rsidP="00266033">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6"/>
                <w:szCs w:val="16"/>
              </w:rPr>
            </w:pPr>
          </w:p>
        </w:tc>
        <w:tc>
          <w:tcPr>
            <w:tcW w:w="488" w:type="dxa"/>
            <w:noWrap/>
            <w:hideMark/>
          </w:tcPr>
          <w:p w14:paraId="73A44797" w14:textId="77777777" w:rsidR="00526EDA" w:rsidRPr="000973F2" w:rsidRDefault="00526EDA" w:rsidP="00266033">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6"/>
                <w:szCs w:val="16"/>
              </w:rPr>
            </w:pPr>
          </w:p>
        </w:tc>
        <w:tc>
          <w:tcPr>
            <w:tcW w:w="585" w:type="dxa"/>
            <w:noWrap/>
            <w:hideMark/>
          </w:tcPr>
          <w:p w14:paraId="005B6E76" w14:textId="77777777" w:rsidR="00526EDA" w:rsidRPr="000973F2" w:rsidRDefault="00526EDA" w:rsidP="00266033">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6"/>
                <w:szCs w:val="16"/>
              </w:rPr>
            </w:pPr>
          </w:p>
        </w:tc>
        <w:tc>
          <w:tcPr>
            <w:tcW w:w="493" w:type="dxa"/>
            <w:noWrap/>
            <w:hideMark/>
          </w:tcPr>
          <w:p w14:paraId="4EA9490F" w14:textId="77777777" w:rsidR="00526EDA" w:rsidRPr="000973F2" w:rsidRDefault="00526EDA" w:rsidP="00266033">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6"/>
                <w:szCs w:val="16"/>
              </w:rPr>
            </w:pPr>
          </w:p>
        </w:tc>
        <w:tc>
          <w:tcPr>
            <w:tcW w:w="493" w:type="dxa"/>
            <w:noWrap/>
            <w:hideMark/>
          </w:tcPr>
          <w:p w14:paraId="4F649406" w14:textId="77777777" w:rsidR="00526EDA" w:rsidRPr="000973F2" w:rsidRDefault="00526EDA" w:rsidP="00266033">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6"/>
                <w:szCs w:val="16"/>
              </w:rPr>
            </w:pPr>
            <w:r w:rsidRPr="000973F2">
              <w:rPr>
                <w:rFonts w:ascii="Times New Roman" w:eastAsia="Times New Roman" w:hAnsi="Times New Roman" w:cs="Times New Roman"/>
                <w:sz w:val="16"/>
                <w:szCs w:val="16"/>
              </w:rPr>
              <w:t>1</w:t>
            </w:r>
          </w:p>
        </w:tc>
        <w:tc>
          <w:tcPr>
            <w:tcW w:w="488" w:type="dxa"/>
            <w:noWrap/>
            <w:hideMark/>
          </w:tcPr>
          <w:p w14:paraId="608F8EA8" w14:textId="77777777" w:rsidR="00526EDA" w:rsidRPr="000973F2" w:rsidRDefault="00526EDA" w:rsidP="00266033">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6"/>
                <w:szCs w:val="16"/>
              </w:rPr>
            </w:pPr>
            <w:r w:rsidRPr="000973F2">
              <w:rPr>
                <w:rFonts w:ascii="Times New Roman" w:eastAsia="Times New Roman" w:hAnsi="Times New Roman" w:cs="Times New Roman"/>
                <w:sz w:val="16"/>
                <w:szCs w:val="16"/>
              </w:rPr>
              <w:t>1</w:t>
            </w:r>
          </w:p>
        </w:tc>
      </w:tr>
      <w:tr w:rsidR="005D4A67" w:rsidRPr="000973F2" w14:paraId="6F679916" w14:textId="77777777" w:rsidTr="008A2B1B">
        <w:tc>
          <w:tcPr>
            <w:cnfStyle w:val="001000000000" w:firstRow="0" w:lastRow="0" w:firstColumn="1" w:lastColumn="0" w:oddVBand="0" w:evenVBand="0" w:oddHBand="0" w:evenHBand="0" w:firstRowFirstColumn="0" w:firstRowLastColumn="0" w:lastRowFirstColumn="0" w:lastRowLastColumn="0"/>
            <w:tcW w:w="1456" w:type="dxa"/>
            <w:noWrap/>
            <w:hideMark/>
          </w:tcPr>
          <w:p w14:paraId="5EC4A246" w14:textId="77777777" w:rsidR="00526EDA" w:rsidRPr="000973F2" w:rsidRDefault="00526EDA" w:rsidP="00266033">
            <w:pPr>
              <w:spacing w:before="40" w:after="40"/>
              <w:rPr>
                <w:rFonts w:ascii="Times New Roman" w:eastAsia="Times New Roman" w:hAnsi="Times New Roman" w:cs="Times New Roman"/>
                <w:sz w:val="16"/>
                <w:szCs w:val="16"/>
              </w:rPr>
            </w:pPr>
            <w:r w:rsidRPr="000973F2">
              <w:rPr>
                <w:rFonts w:ascii="Times New Roman" w:eastAsia="Times New Roman" w:hAnsi="Times New Roman" w:cs="Times New Roman"/>
                <w:sz w:val="16"/>
                <w:szCs w:val="16"/>
              </w:rPr>
              <w:t>Small Upgrading Refinery</w:t>
            </w:r>
          </w:p>
        </w:tc>
        <w:tc>
          <w:tcPr>
            <w:tcW w:w="959" w:type="dxa"/>
            <w:noWrap/>
            <w:hideMark/>
          </w:tcPr>
          <w:p w14:paraId="38923491" w14:textId="4571F02C" w:rsidR="00526EDA" w:rsidRPr="000973F2" w:rsidRDefault="00526EDA" w:rsidP="00266033">
            <w:pPr>
              <w:spacing w:before="40" w:after="4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6"/>
                <w:szCs w:val="16"/>
              </w:rPr>
            </w:pPr>
            <w:r w:rsidRPr="000973F2">
              <w:rPr>
                <w:rFonts w:ascii="Times New Roman" w:eastAsia="Times New Roman" w:hAnsi="Times New Roman" w:cs="Times New Roman"/>
                <w:sz w:val="16"/>
                <w:szCs w:val="16"/>
              </w:rPr>
              <w:t xml:space="preserve">Table </w:t>
            </w:r>
            <w:r w:rsidR="008A2B1B">
              <w:rPr>
                <w:rFonts w:ascii="Times New Roman" w:eastAsia="Times New Roman" w:hAnsi="Times New Roman" w:cs="Times New Roman"/>
                <w:sz w:val="16"/>
                <w:szCs w:val="16"/>
              </w:rPr>
              <w:t>Y-</w:t>
            </w:r>
            <w:r w:rsidRPr="000973F2">
              <w:rPr>
                <w:rFonts w:ascii="Times New Roman" w:eastAsia="Times New Roman" w:hAnsi="Times New Roman" w:cs="Times New Roman"/>
                <w:sz w:val="16"/>
                <w:szCs w:val="16"/>
              </w:rPr>
              <w:t>2g</w:t>
            </w:r>
          </w:p>
        </w:tc>
        <w:tc>
          <w:tcPr>
            <w:tcW w:w="757" w:type="dxa"/>
            <w:noWrap/>
            <w:hideMark/>
          </w:tcPr>
          <w:p w14:paraId="5BF7700C" w14:textId="77777777" w:rsidR="00526EDA" w:rsidRPr="000973F2" w:rsidRDefault="00526EDA" w:rsidP="00266033">
            <w:pPr>
              <w:spacing w:before="40" w:after="4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6"/>
                <w:szCs w:val="16"/>
              </w:rPr>
            </w:pPr>
            <w:r w:rsidRPr="000973F2">
              <w:rPr>
                <w:rFonts w:ascii="Times New Roman" w:eastAsia="Times New Roman" w:hAnsi="Times New Roman" w:cs="Times New Roman"/>
                <w:sz w:val="16"/>
                <w:szCs w:val="16"/>
              </w:rPr>
              <w:t>40</w:t>
            </w:r>
          </w:p>
        </w:tc>
        <w:tc>
          <w:tcPr>
            <w:tcW w:w="488" w:type="dxa"/>
            <w:noWrap/>
            <w:hideMark/>
          </w:tcPr>
          <w:p w14:paraId="3E92603D" w14:textId="77777777" w:rsidR="00526EDA" w:rsidRPr="000973F2" w:rsidRDefault="00526EDA" w:rsidP="00266033">
            <w:pPr>
              <w:spacing w:before="40" w:after="4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6"/>
                <w:szCs w:val="16"/>
              </w:rPr>
            </w:pPr>
          </w:p>
        </w:tc>
        <w:tc>
          <w:tcPr>
            <w:tcW w:w="488" w:type="dxa"/>
            <w:noWrap/>
            <w:hideMark/>
          </w:tcPr>
          <w:p w14:paraId="1082E2DF" w14:textId="77777777" w:rsidR="00526EDA" w:rsidRPr="000973F2" w:rsidRDefault="00526EDA" w:rsidP="00266033">
            <w:pPr>
              <w:spacing w:before="40" w:after="4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6"/>
                <w:szCs w:val="16"/>
              </w:rPr>
            </w:pPr>
          </w:p>
        </w:tc>
        <w:tc>
          <w:tcPr>
            <w:tcW w:w="488" w:type="dxa"/>
            <w:noWrap/>
            <w:hideMark/>
          </w:tcPr>
          <w:p w14:paraId="08464F45" w14:textId="77777777" w:rsidR="00526EDA" w:rsidRPr="000973F2" w:rsidRDefault="00526EDA" w:rsidP="00266033">
            <w:pPr>
              <w:spacing w:before="40" w:after="4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6"/>
                <w:szCs w:val="16"/>
              </w:rPr>
            </w:pPr>
            <w:r w:rsidRPr="000973F2">
              <w:rPr>
                <w:rFonts w:ascii="Times New Roman" w:eastAsia="Times New Roman" w:hAnsi="Times New Roman" w:cs="Times New Roman"/>
                <w:sz w:val="16"/>
                <w:szCs w:val="16"/>
              </w:rPr>
              <w:t>1</w:t>
            </w:r>
          </w:p>
        </w:tc>
        <w:tc>
          <w:tcPr>
            <w:tcW w:w="488" w:type="dxa"/>
            <w:noWrap/>
            <w:hideMark/>
          </w:tcPr>
          <w:p w14:paraId="0C5BBDC5" w14:textId="77777777" w:rsidR="00526EDA" w:rsidRPr="000973F2" w:rsidRDefault="00526EDA" w:rsidP="00266033">
            <w:pPr>
              <w:spacing w:before="40" w:after="4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6"/>
                <w:szCs w:val="16"/>
              </w:rPr>
            </w:pPr>
            <w:r w:rsidRPr="000973F2">
              <w:rPr>
                <w:rFonts w:ascii="Times New Roman" w:eastAsia="Times New Roman" w:hAnsi="Times New Roman" w:cs="Times New Roman"/>
                <w:sz w:val="16"/>
                <w:szCs w:val="16"/>
              </w:rPr>
              <w:t>1</w:t>
            </w:r>
          </w:p>
        </w:tc>
        <w:tc>
          <w:tcPr>
            <w:tcW w:w="488" w:type="dxa"/>
            <w:noWrap/>
            <w:hideMark/>
          </w:tcPr>
          <w:p w14:paraId="368BEEC8" w14:textId="77777777" w:rsidR="00526EDA" w:rsidRPr="000973F2" w:rsidRDefault="00526EDA" w:rsidP="00266033">
            <w:pPr>
              <w:spacing w:before="40" w:after="4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6"/>
                <w:szCs w:val="16"/>
              </w:rPr>
            </w:pPr>
            <w:r w:rsidRPr="000973F2">
              <w:rPr>
                <w:rFonts w:ascii="Times New Roman" w:eastAsia="Times New Roman" w:hAnsi="Times New Roman" w:cs="Times New Roman"/>
                <w:sz w:val="16"/>
                <w:szCs w:val="16"/>
              </w:rPr>
              <w:t>1</w:t>
            </w:r>
          </w:p>
        </w:tc>
        <w:tc>
          <w:tcPr>
            <w:tcW w:w="493" w:type="dxa"/>
            <w:noWrap/>
            <w:hideMark/>
          </w:tcPr>
          <w:p w14:paraId="31543BAF" w14:textId="77777777" w:rsidR="00526EDA" w:rsidRPr="000973F2" w:rsidRDefault="00526EDA" w:rsidP="00266033">
            <w:pPr>
              <w:spacing w:before="40" w:after="4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6"/>
                <w:szCs w:val="16"/>
              </w:rPr>
            </w:pPr>
          </w:p>
        </w:tc>
        <w:tc>
          <w:tcPr>
            <w:tcW w:w="493" w:type="dxa"/>
            <w:noWrap/>
            <w:hideMark/>
          </w:tcPr>
          <w:p w14:paraId="078277ED" w14:textId="77777777" w:rsidR="00526EDA" w:rsidRPr="000973F2" w:rsidRDefault="00526EDA" w:rsidP="00266033">
            <w:pPr>
              <w:spacing w:before="40" w:after="4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6"/>
                <w:szCs w:val="16"/>
              </w:rPr>
            </w:pPr>
          </w:p>
        </w:tc>
        <w:tc>
          <w:tcPr>
            <w:tcW w:w="488" w:type="dxa"/>
            <w:noWrap/>
            <w:hideMark/>
          </w:tcPr>
          <w:p w14:paraId="333F8049" w14:textId="77777777" w:rsidR="00526EDA" w:rsidRPr="000973F2" w:rsidRDefault="00526EDA" w:rsidP="00266033">
            <w:pPr>
              <w:spacing w:before="40" w:after="4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6"/>
                <w:szCs w:val="16"/>
              </w:rPr>
            </w:pPr>
          </w:p>
        </w:tc>
        <w:tc>
          <w:tcPr>
            <w:tcW w:w="488" w:type="dxa"/>
            <w:noWrap/>
            <w:hideMark/>
          </w:tcPr>
          <w:p w14:paraId="26294B69" w14:textId="77777777" w:rsidR="00526EDA" w:rsidRPr="000973F2" w:rsidRDefault="00526EDA" w:rsidP="00266033">
            <w:pPr>
              <w:spacing w:before="40" w:after="4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6"/>
                <w:szCs w:val="16"/>
              </w:rPr>
            </w:pPr>
            <w:r w:rsidRPr="000973F2">
              <w:rPr>
                <w:rFonts w:ascii="Times New Roman" w:eastAsia="Times New Roman" w:hAnsi="Times New Roman" w:cs="Times New Roman"/>
                <w:sz w:val="16"/>
                <w:szCs w:val="16"/>
              </w:rPr>
              <w:t>1</w:t>
            </w:r>
          </w:p>
        </w:tc>
        <w:tc>
          <w:tcPr>
            <w:tcW w:w="488" w:type="dxa"/>
            <w:noWrap/>
            <w:hideMark/>
          </w:tcPr>
          <w:p w14:paraId="193EBB49" w14:textId="77777777" w:rsidR="00526EDA" w:rsidRPr="000973F2" w:rsidRDefault="00526EDA" w:rsidP="00266033">
            <w:pPr>
              <w:spacing w:before="40" w:after="4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6"/>
                <w:szCs w:val="16"/>
              </w:rPr>
            </w:pPr>
          </w:p>
        </w:tc>
        <w:tc>
          <w:tcPr>
            <w:tcW w:w="488" w:type="dxa"/>
            <w:noWrap/>
            <w:hideMark/>
          </w:tcPr>
          <w:p w14:paraId="16A3A595" w14:textId="77777777" w:rsidR="00526EDA" w:rsidRPr="000973F2" w:rsidRDefault="00526EDA" w:rsidP="00266033">
            <w:pPr>
              <w:spacing w:before="40" w:after="4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6"/>
                <w:szCs w:val="16"/>
              </w:rPr>
            </w:pPr>
          </w:p>
        </w:tc>
        <w:tc>
          <w:tcPr>
            <w:tcW w:w="852" w:type="dxa"/>
            <w:noWrap/>
            <w:hideMark/>
          </w:tcPr>
          <w:p w14:paraId="1F13F23D" w14:textId="77777777" w:rsidR="00526EDA" w:rsidRPr="000973F2" w:rsidRDefault="00526EDA" w:rsidP="00266033">
            <w:pPr>
              <w:spacing w:before="40" w:after="4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6"/>
                <w:szCs w:val="16"/>
              </w:rPr>
            </w:pPr>
            <w:r w:rsidRPr="000973F2">
              <w:rPr>
                <w:rFonts w:ascii="Times New Roman" w:eastAsia="Times New Roman" w:hAnsi="Times New Roman" w:cs="Times New Roman"/>
                <w:sz w:val="16"/>
                <w:szCs w:val="16"/>
              </w:rPr>
              <w:t>1</w:t>
            </w:r>
          </w:p>
        </w:tc>
        <w:tc>
          <w:tcPr>
            <w:tcW w:w="488" w:type="dxa"/>
            <w:noWrap/>
            <w:hideMark/>
          </w:tcPr>
          <w:p w14:paraId="5B40CEF9" w14:textId="77777777" w:rsidR="00526EDA" w:rsidRPr="000973F2" w:rsidRDefault="00526EDA" w:rsidP="00266033">
            <w:pPr>
              <w:spacing w:before="40" w:after="4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6"/>
                <w:szCs w:val="16"/>
              </w:rPr>
            </w:pPr>
          </w:p>
        </w:tc>
        <w:tc>
          <w:tcPr>
            <w:tcW w:w="493" w:type="dxa"/>
            <w:noWrap/>
            <w:hideMark/>
          </w:tcPr>
          <w:p w14:paraId="605104DD" w14:textId="77777777" w:rsidR="00526EDA" w:rsidRPr="000973F2" w:rsidRDefault="00526EDA" w:rsidP="00266033">
            <w:pPr>
              <w:spacing w:before="40" w:after="4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6"/>
                <w:szCs w:val="16"/>
              </w:rPr>
            </w:pPr>
          </w:p>
        </w:tc>
        <w:tc>
          <w:tcPr>
            <w:tcW w:w="488" w:type="dxa"/>
            <w:noWrap/>
            <w:hideMark/>
          </w:tcPr>
          <w:p w14:paraId="1F348D65" w14:textId="77777777" w:rsidR="00526EDA" w:rsidRPr="000973F2" w:rsidRDefault="00526EDA" w:rsidP="00266033">
            <w:pPr>
              <w:spacing w:before="40" w:after="4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6"/>
                <w:szCs w:val="16"/>
              </w:rPr>
            </w:pPr>
          </w:p>
        </w:tc>
        <w:tc>
          <w:tcPr>
            <w:tcW w:w="585" w:type="dxa"/>
            <w:noWrap/>
            <w:hideMark/>
          </w:tcPr>
          <w:p w14:paraId="3E211FE0" w14:textId="77777777" w:rsidR="00526EDA" w:rsidRPr="000973F2" w:rsidRDefault="00526EDA" w:rsidP="00266033">
            <w:pPr>
              <w:spacing w:before="40" w:after="4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6"/>
                <w:szCs w:val="16"/>
              </w:rPr>
            </w:pPr>
          </w:p>
        </w:tc>
        <w:tc>
          <w:tcPr>
            <w:tcW w:w="493" w:type="dxa"/>
            <w:noWrap/>
            <w:hideMark/>
          </w:tcPr>
          <w:p w14:paraId="17D0B975" w14:textId="77777777" w:rsidR="00526EDA" w:rsidRPr="000973F2" w:rsidRDefault="00526EDA" w:rsidP="00266033">
            <w:pPr>
              <w:spacing w:before="40" w:after="4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6"/>
                <w:szCs w:val="16"/>
              </w:rPr>
            </w:pPr>
          </w:p>
        </w:tc>
        <w:tc>
          <w:tcPr>
            <w:tcW w:w="493" w:type="dxa"/>
            <w:noWrap/>
            <w:hideMark/>
          </w:tcPr>
          <w:p w14:paraId="3D677241" w14:textId="77777777" w:rsidR="00526EDA" w:rsidRPr="000973F2" w:rsidRDefault="00526EDA" w:rsidP="00266033">
            <w:pPr>
              <w:spacing w:before="40" w:after="4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6"/>
                <w:szCs w:val="16"/>
              </w:rPr>
            </w:pPr>
            <w:r w:rsidRPr="000973F2">
              <w:rPr>
                <w:rFonts w:ascii="Times New Roman" w:eastAsia="Times New Roman" w:hAnsi="Times New Roman" w:cs="Times New Roman"/>
                <w:sz w:val="16"/>
                <w:szCs w:val="16"/>
              </w:rPr>
              <w:t>1</w:t>
            </w:r>
          </w:p>
        </w:tc>
        <w:tc>
          <w:tcPr>
            <w:tcW w:w="488" w:type="dxa"/>
            <w:noWrap/>
            <w:hideMark/>
          </w:tcPr>
          <w:p w14:paraId="4496FCA8" w14:textId="77777777" w:rsidR="00526EDA" w:rsidRPr="000973F2" w:rsidRDefault="00526EDA" w:rsidP="00266033">
            <w:pPr>
              <w:spacing w:before="40" w:after="4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6"/>
                <w:szCs w:val="16"/>
              </w:rPr>
            </w:pPr>
            <w:r w:rsidRPr="000973F2">
              <w:rPr>
                <w:rFonts w:ascii="Times New Roman" w:eastAsia="Times New Roman" w:hAnsi="Times New Roman" w:cs="Times New Roman"/>
                <w:sz w:val="16"/>
                <w:szCs w:val="16"/>
              </w:rPr>
              <w:t>1</w:t>
            </w:r>
          </w:p>
        </w:tc>
      </w:tr>
      <w:tr w:rsidR="00A859C1" w:rsidRPr="000973F2" w14:paraId="3C8C17EE" w14:textId="77777777" w:rsidTr="008A2B1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56" w:type="dxa"/>
            <w:noWrap/>
            <w:hideMark/>
          </w:tcPr>
          <w:p w14:paraId="7468DBF2" w14:textId="77777777" w:rsidR="00526EDA" w:rsidRPr="000973F2" w:rsidRDefault="00526EDA" w:rsidP="00266033">
            <w:pPr>
              <w:spacing w:before="40" w:after="40"/>
              <w:rPr>
                <w:rFonts w:ascii="Times New Roman" w:eastAsia="Times New Roman" w:hAnsi="Times New Roman" w:cs="Times New Roman"/>
                <w:sz w:val="16"/>
                <w:szCs w:val="16"/>
              </w:rPr>
            </w:pPr>
            <w:r w:rsidRPr="000973F2">
              <w:rPr>
                <w:rFonts w:ascii="Times New Roman" w:eastAsia="Times New Roman" w:hAnsi="Times New Roman" w:cs="Times New Roman"/>
                <w:sz w:val="16"/>
                <w:szCs w:val="16"/>
              </w:rPr>
              <w:t>Medium Upgrading Refinery</w:t>
            </w:r>
          </w:p>
        </w:tc>
        <w:tc>
          <w:tcPr>
            <w:tcW w:w="959" w:type="dxa"/>
            <w:noWrap/>
            <w:hideMark/>
          </w:tcPr>
          <w:p w14:paraId="75CAD5F6" w14:textId="0A76B882" w:rsidR="00526EDA" w:rsidRPr="000973F2" w:rsidRDefault="00526EDA" w:rsidP="00266033">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6"/>
                <w:szCs w:val="16"/>
              </w:rPr>
            </w:pPr>
            <w:r w:rsidRPr="000973F2">
              <w:rPr>
                <w:rFonts w:ascii="Times New Roman" w:eastAsia="Times New Roman" w:hAnsi="Times New Roman" w:cs="Times New Roman"/>
                <w:sz w:val="16"/>
                <w:szCs w:val="16"/>
              </w:rPr>
              <w:t xml:space="preserve">Table </w:t>
            </w:r>
            <w:r w:rsidR="008A2B1B">
              <w:rPr>
                <w:rFonts w:ascii="Times New Roman" w:eastAsia="Times New Roman" w:hAnsi="Times New Roman" w:cs="Times New Roman"/>
                <w:sz w:val="16"/>
                <w:szCs w:val="16"/>
              </w:rPr>
              <w:t>Y-</w:t>
            </w:r>
            <w:r w:rsidRPr="000973F2">
              <w:rPr>
                <w:rFonts w:ascii="Times New Roman" w:eastAsia="Times New Roman" w:hAnsi="Times New Roman" w:cs="Times New Roman"/>
                <w:sz w:val="16"/>
                <w:szCs w:val="16"/>
              </w:rPr>
              <w:t>2h</w:t>
            </w:r>
          </w:p>
        </w:tc>
        <w:tc>
          <w:tcPr>
            <w:tcW w:w="757" w:type="dxa"/>
            <w:noWrap/>
            <w:hideMark/>
          </w:tcPr>
          <w:p w14:paraId="017F32BC" w14:textId="77777777" w:rsidR="00526EDA" w:rsidRPr="000973F2" w:rsidRDefault="00526EDA" w:rsidP="00266033">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6"/>
                <w:szCs w:val="16"/>
              </w:rPr>
            </w:pPr>
            <w:r w:rsidRPr="000973F2">
              <w:rPr>
                <w:rFonts w:ascii="Times New Roman" w:eastAsia="Times New Roman" w:hAnsi="Times New Roman" w:cs="Times New Roman"/>
                <w:sz w:val="16"/>
                <w:szCs w:val="16"/>
              </w:rPr>
              <w:t>20</w:t>
            </w:r>
          </w:p>
        </w:tc>
        <w:tc>
          <w:tcPr>
            <w:tcW w:w="488" w:type="dxa"/>
            <w:noWrap/>
            <w:hideMark/>
          </w:tcPr>
          <w:p w14:paraId="07CA0D39" w14:textId="77777777" w:rsidR="00526EDA" w:rsidRPr="000973F2" w:rsidRDefault="00526EDA" w:rsidP="00266033">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6"/>
                <w:szCs w:val="16"/>
              </w:rPr>
            </w:pPr>
            <w:r w:rsidRPr="000973F2">
              <w:rPr>
                <w:rFonts w:ascii="Times New Roman" w:eastAsia="Times New Roman" w:hAnsi="Times New Roman" w:cs="Times New Roman"/>
                <w:sz w:val="16"/>
                <w:szCs w:val="16"/>
              </w:rPr>
              <w:t>2</w:t>
            </w:r>
          </w:p>
        </w:tc>
        <w:tc>
          <w:tcPr>
            <w:tcW w:w="488" w:type="dxa"/>
            <w:noWrap/>
            <w:hideMark/>
          </w:tcPr>
          <w:p w14:paraId="6D69FCA7" w14:textId="77777777" w:rsidR="00526EDA" w:rsidRPr="000973F2" w:rsidRDefault="00526EDA" w:rsidP="00266033">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6"/>
                <w:szCs w:val="16"/>
              </w:rPr>
            </w:pPr>
          </w:p>
        </w:tc>
        <w:tc>
          <w:tcPr>
            <w:tcW w:w="488" w:type="dxa"/>
            <w:noWrap/>
            <w:hideMark/>
          </w:tcPr>
          <w:p w14:paraId="160E79CF" w14:textId="77777777" w:rsidR="00526EDA" w:rsidRPr="000973F2" w:rsidRDefault="00526EDA" w:rsidP="00266033">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6"/>
                <w:szCs w:val="16"/>
              </w:rPr>
            </w:pPr>
          </w:p>
        </w:tc>
        <w:tc>
          <w:tcPr>
            <w:tcW w:w="488" w:type="dxa"/>
            <w:noWrap/>
            <w:hideMark/>
          </w:tcPr>
          <w:p w14:paraId="4463C20E" w14:textId="77777777" w:rsidR="00526EDA" w:rsidRPr="000973F2" w:rsidRDefault="00526EDA" w:rsidP="00266033">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6"/>
                <w:szCs w:val="16"/>
              </w:rPr>
            </w:pPr>
            <w:r w:rsidRPr="000973F2">
              <w:rPr>
                <w:rFonts w:ascii="Times New Roman" w:eastAsia="Times New Roman" w:hAnsi="Times New Roman" w:cs="Times New Roman"/>
                <w:sz w:val="16"/>
                <w:szCs w:val="16"/>
              </w:rPr>
              <w:t>1</w:t>
            </w:r>
          </w:p>
        </w:tc>
        <w:tc>
          <w:tcPr>
            <w:tcW w:w="488" w:type="dxa"/>
            <w:noWrap/>
            <w:hideMark/>
          </w:tcPr>
          <w:p w14:paraId="42187458" w14:textId="77777777" w:rsidR="00526EDA" w:rsidRPr="000973F2" w:rsidRDefault="00526EDA" w:rsidP="00266033">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6"/>
                <w:szCs w:val="16"/>
              </w:rPr>
            </w:pPr>
            <w:r w:rsidRPr="000973F2">
              <w:rPr>
                <w:rFonts w:ascii="Times New Roman" w:eastAsia="Times New Roman" w:hAnsi="Times New Roman" w:cs="Times New Roman"/>
                <w:sz w:val="16"/>
                <w:szCs w:val="16"/>
              </w:rPr>
              <w:t>1</w:t>
            </w:r>
          </w:p>
        </w:tc>
        <w:tc>
          <w:tcPr>
            <w:tcW w:w="493" w:type="dxa"/>
            <w:noWrap/>
            <w:hideMark/>
          </w:tcPr>
          <w:p w14:paraId="3F3424F7" w14:textId="77777777" w:rsidR="00526EDA" w:rsidRPr="000973F2" w:rsidRDefault="00526EDA" w:rsidP="00266033">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6"/>
                <w:szCs w:val="16"/>
              </w:rPr>
            </w:pPr>
          </w:p>
        </w:tc>
        <w:tc>
          <w:tcPr>
            <w:tcW w:w="493" w:type="dxa"/>
            <w:noWrap/>
            <w:hideMark/>
          </w:tcPr>
          <w:p w14:paraId="4E7AFF22" w14:textId="77777777" w:rsidR="00526EDA" w:rsidRPr="000973F2" w:rsidRDefault="00526EDA" w:rsidP="00266033">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6"/>
                <w:szCs w:val="16"/>
              </w:rPr>
            </w:pPr>
          </w:p>
        </w:tc>
        <w:tc>
          <w:tcPr>
            <w:tcW w:w="488" w:type="dxa"/>
            <w:noWrap/>
            <w:hideMark/>
          </w:tcPr>
          <w:p w14:paraId="5F9A884D" w14:textId="77777777" w:rsidR="00526EDA" w:rsidRPr="000973F2" w:rsidRDefault="00526EDA" w:rsidP="00266033">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6"/>
                <w:szCs w:val="16"/>
              </w:rPr>
            </w:pPr>
          </w:p>
        </w:tc>
        <w:tc>
          <w:tcPr>
            <w:tcW w:w="488" w:type="dxa"/>
            <w:noWrap/>
            <w:hideMark/>
          </w:tcPr>
          <w:p w14:paraId="466BE0B7" w14:textId="77777777" w:rsidR="00526EDA" w:rsidRPr="000973F2" w:rsidRDefault="00526EDA" w:rsidP="00266033">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6"/>
                <w:szCs w:val="16"/>
              </w:rPr>
            </w:pPr>
            <w:r w:rsidRPr="000973F2">
              <w:rPr>
                <w:rFonts w:ascii="Times New Roman" w:eastAsia="Times New Roman" w:hAnsi="Times New Roman" w:cs="Times New Roman"/>
                <w:sz w:val="16"/>
                <w:szCs w:val="16"/>
              </w:rPr>
              <w:t>1</w:t>
            </w:r>
          </w:p>
        </w:tc>
        <w:tc>
          <w:tcPr>
            <w:tcW w:w="488" w:type="dxa"/>
            <w:noWrap/>
            <w:hideMark/>
          </w:tcPr>
          <w:p w14:paraId="3398B827" w14:textId="77777777" w:rsidR="00526EDA" w:rsidRPr="000973F2" w:rsidRDefault="00526EDA" w:rsidP="00266033">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6"/>
                <w:szCs w:val="16"/>
              </w:rPr>
            </w:pPr>
          </w:p>
        </w:tc>
        <w:tc>
          <w:tcPr>
            <w:tcW w:w="488" w:type="dxa"/>
            <w:noWrap/>
            <w:hideMark/>
          </w:tcPr>
          <w:p w14:paraId="04DD8AAF" w14:textId="77777777" w:rsidR="00526EDA" w:rsidRPr="000973F2" w:rsidRDefault="00526EDA" w:rsidP="00266033">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6"/>
                <w:szCs w:val="16"/>
              </w:rPr>
            </w:pPr>
          </w:p>
        </w:tc>
        <w:tc>
          <w:tcPr>
            <w:tcW w:w="852" w:type="dxa"/>
            <w:noWrap/>
            <w:hideMark/>
          </w:tcPr>
          <w:p w14:paraId="421E1F3C" w14:textId="77777777" w:rsidR="00526EDA" w:rsidRPr="000973F2" w:rsidRDefault="00526EDA" w:rsidP="00266033">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6"/>
                <w:szCs w:val="16"/>
              </w:rPr>
            </w:pPr>
            <w:r w:rsidRPr="000973F2">
              <w:rPr>
                <w:rFonts w:ascii="Times New Roman" w:eastAsia="Times New Roman" w:hAnsi="Times New Roman" w:cs="Times New Roman"/>
                <w:sz w:val="16"/>
                <w:szCs w:val="16"/>
              </w:rPr>
              <w:t>1</w:t>
            </w:r>
          </w:p>
        </w:tc>
        <w:tc>
          <w:tcPr>
            <w:tcW w:w="488" w:type="dxa"/>
            <w:noWrap/>
            <w:hideMark/>
          </w:tcPr>
          <w:p w14:paraId="18A11B76" w14:textId="77777777" w:rsidR="00526EDA" w:rsidRPr="000973F2" w:rsidRDefault="00526EDA" w:rsidP="00266033">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6"/>
                <w:szCs w:val="16"/>
              </w:rPr>
            </w:pPr>
          </w:p>
        </w:tc>
        <w:tc>
          <w:tcPr>
            <w:tcW w:w="493" w:type="dxa"/>
            <w:noWrap/>
            <w:hideMark/>
          </w:tcPr>
          <w:p w14:paraId="77A74F76" w14:textId="77777777" w:rsidR="00526EDA" w:rsidRPr="000973F2" w:rsidRDefault="00526EDA" w:rsidP="00266033">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6"/>
                <w:szCs w:val="16"/>
              </w:rPr>
            </w:pPr>
            <w:r w:rsidRPr="000973F2">
              <w:rPr>
                <w:rFonts w:ascii="Times New Roman" w:eastAsia="Times New Roman" w:hAnsi="Times New Roman" w:cs="Times New Roman"/>
                <w:sz w:val="16"/>
                <w:szCs w:val="16"/>
              </w:rPr>
              <w:t>0.5</w:t>
            </w:r>
          </w:p>
        </w:tc>
        <w:tc>
          <w:tcPr>
            <w:tcW w:w="488" w:type="dxa"/>
            <w:noWrap/>
            <w:hideMark/>
          </w:tcPr>
          <w:p w14:paraId="68A05AA6" w14:textId="77777777" w:rsidR="00526EDA" w:rsidRPr="000973F2" w:rsidRDefault="00526EDA" w:rsidP="00266033">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6"/>
                <w:szCs w:val="16"/>
              </w:rPr>
            </w:pPr>
          </w:p>
        </w:tc>
        <w:tc>
          <w:tcPr>
            <w:tcW w:w="585" w:type="dxa"/>
            <w:noWrap/>
            <w:hideMark/>
          </w:tcPr>
          <w:p w14:paraId="6AC28B03" w14:textId="77777777" w:rsidR="00526EDA" w:rsidRPr="000973F2" w:rsidRDefault="00526EDA" w:rsidP="00266033">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6"/>
                <w:szCs w:val="16"/>
              </w:rPr>
            </w:pPr>
          </w:p>
        </w:tc>
        <w:tc>
          <w:tcPr>
            <w:tcW w:w="493" w:type="dxa"/>
            <w:noWrap/>
            <w:hideMark/>
          </w:tcPr>
          <w:p w14:paraId="445BE3D5" w14:textId="77777777" w:rsidR="00526EDA" w:rsidRPr="000973F2" w:rsidRDefault="00526EDA" w:rsidP="00266033">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6"/>
                <w:szCs w:val="16"/>
              </w:rPr>
            </w:pPr>
          </w:p>
        </w:tc>
        <w:tc>
          <w:tcPr>
            <w:tcW w:w="493" w:type="dxa"/>
            <w:noWrap/>
            <w:hideMark/>
          </w:tcPr>
          <w:p w14:paraId="144031E1" w14:textId="77777777" w:rsidR="00526EDA" w:rsidRPr="000973F2" w:rsidRDefault="00526EDA" w:rsidP="00266033">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6"/>
                <w:szCs w:val="16"/>
              </w:rPr>
            </w:pPr>
            <w:r w:rsidRPr="000973F2">
              <w:rPr>
                <w:rFonts w:ascii="Times New Roman" w:eastAsia="Times New Roman" w:hAnsi="Times New Roman" w:cs="Times New Roman"/>
                <w:sz w:val="16"/>
                <w:szCs w:val="16"/>
              </w:rPr>
              <w:t>1</w:t>
            </w:r>
          </w:p>
        </w:tc>
        <w:tc>
          <w:tcPr>
            <w:tcW w:w="488" w:type="dxa"/>
            <w:noWrap/>
            <w:hideMark/>
          </w:tcPr>
          <w:p w14:paraId="7DC653DC" w14:textId="77777777" w:rsidR="00526EDA" w:rsidRPr="000973F2" w:rsidRDefault="00526EDA" w:rsidP="00266033">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6"/>
                <w:szCs w:val="16"/>
              </w:rPr>
            </w:pPr>
            <w:r w:rsidRPr="000973F2">
              <w:rPr>
                <w:rFonts w:ascii="Times New Roman" w:eastAsia="Times New Roman" w:hAnsi="Times New Roman" w:cs="Times New Roman"/>
                <w:sz w:val="16"/>
                <w:szCs w:val="16"/>
              </w:rPr>
              <w:t>1</w:t>
            </w:r>
          </w:p>
        </w:tc>
      </w:tr>
      <w:tr w:rsidR="005D4A67" w:rsidRPr="000973F2" w14:paraId="3D64C8DC" w14:textId="77777777" w:rsidTr="008A2B1B">
        <w:tc>
          <w:tcPr>
            <w:cnfStyle w:val="001000000000" w:firstRow="0" w:lastRow="0" w:firstColumn="1" w:lastColumn="0" w:oddVBand="0" w:evenVBand="0" w:oddHBand="0" w:evenHBand="0" w:firstRowFirstColumn="0" w:firstRowLastColumn="0" w:lastRowFirstColumn="0" w:lastRowLastColumn="0"/>
            <w:tcW w:w="1456" w:type="dxa"/>
            <w:noWrap/>
            <w:hideMark/>
          </w:tcPr>
          <w:p w14:paraId="657EECC9" w14:textId="77777777" w:rsidR="00526EDA" w:rsidRPr="000973F2" w:rsidRDefault="00526EDA" w:rsidP="00266033">
            <w:pPr>
              <w:spacing w:before="40" w:after="40"/>
              <w:rPr>
                <w:rFonts w:ascii="Times New Roman" w:eastAsia="Times New Roman" w:hAnsi="Times New Roman" w:cs="Times New Roman"/>
                <w:sz w:val="16"/>
                <w:szCs w:val="16"/>
              </w:rPr>
            </w:pPr>
            <w:r w:rsidRPr="000973F2">
              <w:rPr>
                <w:rFonts w:ascii="Times New Roman" w:eastAsia="Times New Roman" w:hAnsi="Times New Roman" w:cs="Times New Roman"/>
                <w:sz w:val="16"/>
                <w:szCs w:val="16"/>
              </w:rPr>
              <w:t>Medium Upgrading Refinery with Loading</w:t>
            </w:r>
          </w:p>
        </w:tc>
        <w:tc>
          <w:tcPr>
            <w:tcW w:w="959" w:type="dxa"/>
            <w:noWrap/>
            <w:hideMark/>
          </w:tcPr>
          <w:p w14:paraId="514EC75D" w14:textId="5FF7AD5D" w:rsidR="00526EDA" w:rsidRPr="000973F2" w:rsidRDefault="00526EDA" w:rsidP="00266033">
            <w:pPr>
              <w:spacing w:before="40" w:after="4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6"/>
                <w:szCs w:val="16"/>
              </w:rPr>
            </w:pPr>
            <w:r w:rsidRPr="000973F2">
              <w:rPr>
                <w:rFonts w:ascii="Times New Roman" w:eastAsia="Times New Roman" w:hAnsi="Times New Roman" w:cs="Times New Roman"/>
                <w:sz w:val="16"/>
                <w:szCs w:val="16"/>
              </w:rPr>
              <w:t xml:space="preserve">Table </w:t>
            </w:r>
            <w:r w:rsidR="008A2B1B">
              <w:rPr>
                <w:rFonts w:ascii="Times New Roman" w:eastAsia="Times New Roman" w:hAnsi="Times New Roman" w:cs="Times New Roman"/>
                <w:sz w:val="16"/>
                <w:szCs w:val="16"/>
              </w:rPr>
              <w:t>Y-</w:t>
            </w:r>
            <w:r w:rsidRPr="000973F2">
              <w:rPr>
                <w:rFonts w:ascii="Times New Roman" w:eastAsia="Times New Roman" w:hAnsi="Times New Roman" w:cs="Times New Roman"/>
                <w:sz w:val="16"/>
                <w:szCs w:val="16"/>
              </w:rPr>
              <w:t>2i</w:t>
            </w:r>
          </w:p>
        </w:tc>
        <w:tc>
          <w:tcPr>
            <w:tcW w:w="757" w:type="dxa"/>
            <w:noWrap/>
            <w:hideMark/>
          </w:tcPr>
          <w:p w14:paraId="56432DA6" w14:textId="77777777" w:rsidR="00526EDA" w:rsidRPr="000973F2" w:rsidRDefault="00526EDA" w:rsidP="00266033">
            <w:pPr>
              <w:spacing w:before="40" w:after="4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6"/>
                <w:szCs w:val="16"/>
              </w:rPr>
            </w:pPr>
            <w:r w:rsidRPr="000973F2">
              <w:rPr>
                <w:rFonts w:ascii="Times New Roman" w:eastAsia="Times New Roman" w:hAnsi="Times New Roman" w:cs="Times New Roman"/>
                <w:sz w:val="16"/>
                <w:szCs w:val="16"/>
              </w:rPr>
              <w:t>10</w:t>
            </w:r>
          </w:p>
        </w:tc>
        <w:tc>
          <w:tcPr>
            <w:tcW w:w="488" w:type="dxa"/>
            <w:noWrap/>
            <w:hideMark/>
          </w:tcPr>
          <w:p w14:paraId="6A3B249A" w14:textId="77777777" w:rsidR="00526EDA" w:rsidRPr="000973F2" w:rsidRDefault="00526EDA" w:rsidP="00266033">
            <w:pPr>
              <w:spacing w:before="40" w:after="4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6"/>
                <w:szCs w:val="16"/>
              </w:rPr>
            </w:pPr>
          </w:p>
        </w:tc>
        <w:tc>
          <w:tcPr>
            <w:tcW w:w="488" w:type="dxa"/>
            <w:noWrap/>
            <w:hideMark/>
          </w:tcPr>
          <w:p w14:paraId="79F805FA" w14:textId="77777777" w:rsidR="00526EDA" w:rsidRPr="000973F2" w:rsidRDefault="00526EDA" w:rsidP="00266033">
            <w:pPr>
              <w:spacing w:before="40" w:after="4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6"/>
                <w:szCs w:val="16"/>
              </w:rPr>
            </w:pPr>
            <w:r w:rsidRPr="000973F2">
              <w:rPr>
                <w:rFonts w:ascii="Times New Roman" w:eastAsia="Times New Roman" w:hAnsi="Times New Roman" w:cs="Times New Roman"/>
                <w:sz w:val="16"/>
                <w:szCs w:val="16"/>
              </w:rPr>
              <w:t>1</w:t>
            </w:r>
          </w:p>
        </w:tc>
        <w:tc>
          <w:tcPr>
            <w:tcW w:w="488" w:type="dxa"/>
            <w:noWrap/>
            <w:hideMark/>
          </w:tcPr>
          <w:p w14:paraId="3B0A4673" w14:textId="77777777" w:rsidR="00526EDA" w:rsidRPr="000973F2" w:rsidRDefault="00526EDA" w:rsidP="00266033">
            <w:pPr>
              <w:spacing w:before="40" w:after="4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6"/>
                <w:szCs w:val="16"/>
              </w:rPr>
            </w:pPr>
          </w:p>
        </w:tc>
        <w:tc>
          <w:tcPr>
            <w:tcW w:w="488" w:type="dxa"/>
            <w:noWrap/>
            <w:hideMark/>
          </w:tcPr>
          <w:p w14:paraId="143D82B8" w14:textId="77777777" w:rsidR="00526EDA" w:rsidRPr="000973F2" w:rsidRDefault="00526EDA" w:rsidP="00266033">
            <w:pPr>
              <w:spacing w:before="40" w:after="4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6"/>
                <w:szCs w:val="16"/>
              </w:rPr>
            </w:pPr>
            <w:r w:rsidRPr="000973F2">
              <w:rPr>
                <w:rFonts w:ascii="Times New Roman" w:eastAsia="Times New Roman" w:hAnsi="Times New Roman" w:cs="Times New Roman"/>
                <w:sz w:val="16"/>
                <w:szCs w:val="16"/>
              </w:rPr>
              <w:t>1</w:t>
            </w:r>
          </w:p>
        </w:tc>
        <w:tc>
          <w:tcPr>
            <w:tcW w:w="488" w:type="dxa"/>
            <w:noWrap/>
            <w:hideMark/>
          </w:tcPr>
          <w:p w14:paraId="16CC97A0" w14:textId="77777777" w:rsidR="00526EDA" w:rsidRPr="000973F2" w:rsidRDefault="00526EDA" w:rsidP="00266033">
            <w:pPr>
              <w:spacing w:before="40" w:after="4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6"/>
                <w:szCs w:val="16"/>
              </w:rPr>
            </w:pPr>
            <w:r w:rsidRPr="000973F2">
              <w:rPr>
                <w:rFonts w:ascii="Times New Roman" w:eastAsia="Times New Roman" w:hAnsi="Times New Roman" w:cs="Times New Roman"/>
                <w:sz w:val="16"/>
                <w:szCs w:val="16"/>
              </w:rPr>
              <w:t>1</w:t>
            </w:r>
          </w:p>
        </w:tc>
        <w:tc>
          <w:tcPr>
            <w:tcW w:w="493" w:type="dxa"/>
            <w:noWrap/>
            <w:hideMark/>
          </w:tcPr>
          <w:p w14:paraId="41E1933E" w14:textId="77777777" w:rsidR="00526EDA" w:rsidRPr="000973F2" w:rsidRDefault="00526EDA" w:rsidP="00266033">
            <w:pPr>
              <w:spacing w:before="40" w:after="4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6"/>
                <w:szCs w:val="16"/>
              </w:rPr>
            </w:pPr>
          </w:p>
        </w:tc>
        <w:tc>
          <w:tcPr>
            <w:tcW w:w="493" w:type="dxa"/>
            <w:noWrap/>
            <w:hideMark/>
          </w:tcPr>
          <w:p w14:paraId="05DA7B42" w14:textId="77777777" w:rsidR="00526EDA" w:rsidRPr="000973F2" w:rsidRDefault="00526EDA" w:rsidP="00266033">
            <w:pPr>
              <w:spacing w:before="40" w:after="4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6"/>
                <w:szCs w:val="16"/>
              </w:rPr>
            </w:pPr>
          </w:p>
        </w:tc>
        <w:tc>
          <w:tcPr>
            <w:tcW w:w="488" w:type="dxa"/>
            <w:noWrap/>
            <w:hideMark/>
          </w:tcPr>
          <w:p w14:paraId="29B73C44" w14:textId="77777777" w:rsidR="00526EDA" w:rsidRPr="000973F2" w:rsidRDefault="00526EDA" w:rsidP="00266033">
            <w:pPr>
              <w:spacing w:before="40" w:after="4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6"/>
                <w:szCs w:val="16"/>
              </w:rPr>
            </w:pPr>
          </w:p>
        </w:tc>
        <w:tc>
          <w:tcPr>
            <w:tcW w:w="488" w:type="dxa"/>
            <w:noWrap/>
            <w:hideMark/>
          </w:tcPr>
          <w:p w14:paraId="758FB366" w14:textId="77777777" w:rsidR="00526EDA" w:rsidRPr="000973F2" w:rsidRDefault="00526EDA" w:rsidP="00266033">
            <w:pPr>
              <w:spacing w:before="40" w:after="4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6"/>
                <w:szCs w:val="16"/>
              </w:rPr>
            </w:pPr>
            <w:r w:rsidRPr="000973F2">
              <w:rPr>
                <w:rFonts w:ascii="Times New Roman" w:eastAsia="Times New Roman" w:hAnsi="Times New Roman" w:cs="Times New Roman"/>
                <w:sz w:val="16"/>
                <w:szCs w:val="16"/>
              </w:rPr>
              <w:t>1</w:t>
            </w:r>
          </w:p>
        </w:tc>
        <w:tc>
          <w:tcPr>
            <w:tcW w:w="488" w:type="dxa"/>
            <w:noWrap/>
            <w:hideMark/>
          </w:tcPr>
          <w:p w14:paraId="24E240D3" w14:textId="77777777" w:rsidR="00526EDA" w:rsidRPr="000973F2" w:rsidRDefault="00526EDA" w:rsidP="00266033">
            <w:pPr>
              <w:spacing w:before="40" w:after="4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6"/>
                <w:szCs w:val="16"/>
              </w:rPr>
            </w:pPr>
          </w:p>
        </w:tc>
        <w:tc>
          <w:tcPr>
            <w:tcW w:w="488" w:type="dxa"/>
            <w:noWrap/>
            <w:hideMark/>
          </w:tcPr>
          <w:p w14:paraId="16DDA05E" w14:textId="77777777" w:rsidR="00526EDA" w:rsidRPr="000973F2" w:rsidRDefault="00526EDA" w:rsidP="00266033">
            <w:pPr>
              <w:spacing w:before="40" w:after="4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6"/>
                <w:szCs w:val="16"/>
              </w:rPr>
            </w:pPr>
          </w:p>
        </w:tc>
        <w:tc>
          <w:tcPr>
            <w:tcW w:w="852" w:type="dxa"/>
            <w:noWrap/>
            <w:hideMark/>
          </w:tcPr>
          <w:p w14:paraId="4F5DF516" w14:textId="77777777" w:rsidR="00526EDA" w:rsidRPr="000973F2" w:rsidRDefault="00526EDA" w:rsidP="00266033">
            <w:pPr>
              <w:spacing w:before="40" w:after="4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6"/>
                <w:szCs w:val="16"/>
              </w:rPr>
            </w:pPr>
            <w:r w:rsidRPr="000973F2">
              <w:rPr>
                <w:rFonts w:ascii="Times New Roman" w:eastAsia="Times New Roman" w:hAnsi="Times New Roman" w:cs="Times New Roman"/>
                <w:sz w:val="16"/>
                <w:szCs w:val="16"/>
              </w:rPr>
              <w:t>2</w:t>
            </w:r>
          </w:p>
        </w:tc>
        <w:tc>
          <w:tcPr>
            <w:tcW w:w="488" w:type="dxa"/>
            <w:noWrap/>
            <w:hideMark/>
          </w:tcPr>
          <w:p w14:paraId="62903D02" w14:textId="77777777" w:rsidR="00526EDA" w:rsidRPr="000973F2" w:rsidRDefault="00526EDA" w:rsidP="00266033">
            <w:pPr>
              <w:spacing w:before="40" w:after="4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6"/>
                <w:szCs w:val="16"/>
              </w:rPr>
            </w:pPr>
          </w:p>
        </w:tc>
        <w:tc>
          <w:tcPr>
            <w:tcW w:w="493" w:type="dxa"/>
            <w:noWrap/>
            <w:hideMark/>
          </w:tcPr>
          <w:p w14:paraId="528164C5" w14:textId="77777777" w:rsidR="00526EDA" w:rsidRPr="000973F2" w:rsidRDefault="00526EDA" w:rsidP="00266033">
            <w:pPr>
              <w:spacing w:before="40" w:after="4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6"/>
                <w:szCs w:val="16"/>
              </w:rPr>
            </w:pPr>
            <w:r w:rsidRPr="000973F2">
              <w:rPr>
                <w:rFonts w:ascii="Times New Roman" w:eastAsia="Times New Roman" w:hAnsi="Times New Roman" w:cs="Times New Roman"/>
                <w:sz w:val="16"/>
                <w:szCs w:val="16"/>
              </w:rPr>
              <w:t>1</w:t>
            </w:r>
          </w:p>
        </w:tc>
        <w:tc>
          <w:tcPr>
            <w:tcW w:w="488" w:type="dxa"/>
            <w:noWrap/>
            <w:hideMark/>
          </w:tcPr>
          <w:p w14:paraId="4903BAC0" w14:textId="77777777" w:rsidR="00526EDA" w:rsidRPr="000973F2" w:rsidRDefault="00526EDA" w:rsidP="00266033">
            <w:pPr>
              <w:spacing w:before="40" w:after="4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6"/>
                <w:szCs w:val="16"/>
              </w:rPr>
            </w:pPr>
            <w:r w:rsidRPr="000973F2">
              <w:rPr>
                <w:rFonts w:ascii="Times New Roman" w:eastAsia="Times New Roman" w:hAnsi="Times New Roman" w:cs="Times New Roman"/>
                <w:sz w:val="16"/>
                <w:szCs w:val="16"/>
              </w:rPr>
              <w:t>27</w:t>
            </w:r>
          </w:p>
        </w:tc>
        <w:tc>
          <w:tcPr>
            <w:tcW w:w="585" w:type="dxa"/>
            <w:noWrap/>
            <w:hideMark/>
          </w:tcPr>
          <w:p w14:paraId="2F2021C8" w14:textId="77777777" w:rsidR="00526EDA" w:rsidRPr="000973F2" w:rsidRDefault="00526EDA" w:rsidP="00266033">
            <w:pPr>
              <w:spacing w:before="40" w:after="4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6"/>
                <w:szCs w:val="16"/>
              </w:rPr>
            </w:pPr>
          </w:p>
        </w:tc>
        <w:tc>
          <w:tcPr>
            <w:tcW w:w="493" w:type="dxa"/>
            <w:noWrap/>
            <w:hideMark/>
          </w:tcPr>
          <w:p w14:paraId="7EBCBAD0" w14:textId="77777777" w:rsidR="00526EDA" w:rsidRPr="000973F2" w:rsidRDefault="00526EDA" w:rsidP="00266033">
            <w:pPr>
              <w:spacing w:before="40" w:after="4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6"/>
                <w:szCs w:val="16"/>
              </w:rPr>
            </w:pPr>
          </w:p>
        </w:tc>
        <w:tc>
          <w:tcPr>
            <w:tcW w:w="493" w:type="dxa"/>
            <w:noWrap/>
            <w:hideMark/>
          </w:tcPr>
          <w:p w14:paraId="2957B081" w14:textId="77777777" w:rsidR="00526EDA" w:rsidRPr="000973F2" w:rsidRDefault="00526EDA" w:rsidP="00266033">
            <w:pPr>
              <w:spacing w:before="40" w:after="4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6"/>
                <w:szCs w:val="16"/>
              </w:rPr>
            </w:pPr>
            <w:r w:rsidRPr="000973F2">
              <w:rPr>
                <w:rFonts w:ascii="Times New Roman" w:eastAsia="Times New Roman" w:hAnsi="Times New Roman" w:cs="Times New Roman"/>
                <w:sz w:val="16"/>
                <w:szCs w:val="16"/>
              </w:rPr>
              <w:t>1.3</w:t>
            </w:r>
          </w:p>
        </w:tc>
        <w:tc>
          <w:tcPr>
            <w:tcW w:w="488" w:type="dxa"/>
            <w:noWrap/>
            <w:hideMark/>
          </w:tcPr>
          <w:p w14:paraId="241B10EB" w14:textId="77777777" w:rsidR="00526EDA" w:rsidRPr="000973F2" w:rsidRDefault="00526EDA" w:rsidP="00266033">
            <w:pPr>
              <w:spacing w:before="40" w:after="4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6"/>
                <w:szCs w:val="16"/>
              </w:rPr>
            </w:pPr>
            <w:r w:rsidRPr="000973F2">
              <w:rPr>
                <w:rFonts w:ascii="Times New Roman" w:eastAsia="Times New Roman" w:hAnsi="Times New Roman" w:cs="Times New Roman"/>
                <w:sz w:val="16"/>
                <w:szCs w:val="16"/>
              </w:rPr>
              <w:t>1</w:t>
            </w:r>
          </w:p>
        </w:tc>
      </w:tr>
      <w:tr w:rsidR="00A859C1" w:rsidRPr="000973F2" w14:paraId="56BEFF03" w14:textId="77777777" w:rsidTr="008A2B1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56" w:type="dxa"/>
            <w:noWrap/>
            <w:hideMark/>
          </w:tcPr>
          <w:p w14:paraId="5E7A7052" w14:textId="77777777" w:rsidR="00526EDA" w:rsidRPr="000973F2" w:rsidRDefault="00526EDA" w:rsidP="00266033">
            <w:pPr>
              <w:spacing w:before="40" w:after="40"/>
              <w:rPr>
                <w:rFonts w:ascii="Times New Roman" w:eastAsia="Times New Roman" w:hAnsi="Times New Roman" w:cs="Times New Roman"/>
                <w:sz w:val="16"/>
                <w:szCs w:val="16"/>
              </w:rPr>
            </w:pPr>
            <w:r w:rsidRPr="000973F2">
              <w:rPr>
                <w:rFonts w:ascii="Times New Roman" w:eastAsia="Times New Roman" w:hAnsi="Times New Roman" w:cs="Times New Roman"/>
                <w:sz w:val="16"/>
                <w:szCs w:val="16"/>
              </w:rPr>
              <w:t>Large Upgrading Refinery with CEMS</w:t>
            </w:r>
          </w:p>
        </w:tc>
        <w:tc>
          <w:tcPr>
            <w:tcW w:w="959" w:type="dxa"/>
            <w:noWrap/>
            <w:hideMark/>
          </w:tcPr>
          <w:p w14:paraId="1A33CFCF" w14:textId="39CDCD48" w:rsidR="00526EDA" w:rsidRPr="000973F2" w:rsidRDefault="00526EDA" w:rsidP="00266033">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6"/>
                <w:szCs w:val="16"/>
              </w:rPr>
            </w:pPr>
            <w:r w:rsidRPr="000973F2">
              <w:rPr>
                <w:rFonts w:ascii="Times New Roman" w:eastAsia="Times New Roman" w:hAnsi="Times New Roman" w:cs="Times New Roman"/>
                <w:sz w:val="16"/>
                <w:szCs w:val="16"/>
              </w:rPr>
              <w:t xml:space="preserve">Table </w:t>
            </w:r>
            <w:r w:rsidR="008A2B1B">
              <w:rPr>
                <w:rFonts w:ascii="Times New Roman" w:eastAsia="Times New Roman" w:hAnsi="Times New Roman" w:cs="Times New Roman"/>
                <w:sz w:val="16"/>
                <w:szCs w:val="16"/>
              </w:rPr>
              <w:t>Y-</w:t>
            </w:r>
            <w:r w:rsidRPr="000973F2">
              <w:rPr>
                <w:rFonts w:ascii="Times New Roman" w:eastAsia="Times New Roman" w:hAnsi="Times New Roman" w:cs="Times New Roman"/>
                <w:sz w:val="16"/>
                <w:szCs w:val="16"/>
              </w:rPr>
              <w:t>2j</w:t>
            </w:r>
          </w:p>
        </w:tc>
        <w:tc>
          <w:tcPr>
            <w:tcW w:w="757" w:type="dxa"/>
            <w:noWrap/>
            <w:hideMark/>
          </w:tcPr>
          <w:p w14:paraId="50B7FFC1" w14:textId="77777777" w:rsidR="00526EDA" w:rsidRPr="000973F2" w:rsidRDefault="00526EDA" w:rsidP="00266033">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6"/>
                <w:szCs w:val="16"/>
              </w:rPr>
            </w:pPr>
            <w:r w:rsidRPr="000973F2">
              <w:rPr>
                <w:rFonts w:ascii="Times New Roman" w:eastAsia="Times New Roman" w:hAnsi="Times New Roman" w:cs="Times New Roman"/>
                <w:sz w:val="16"/>
                <w:szCs w:val="16"/>
              </w:rPr>
              <w:t>26</w:t>
            </w:r>
          </w:p>
        </w:tc>
        <w:tc>
          <w:tcPr>
            <w:tcW w:w="488" w:type="dxa"/>
            <w:noWrap/>
            <w:hideMark/>
          </w:tcPr>
          <w:p w14:paraId="3DDB7ADC" w14:textId="77777777" w:rsidR="00526EDA" w:rsidRPr="000973F2" w:rsidRDefault="00526EDA" w:rsidP="00266033">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6"/>
                <w:szCs w:val="16"/>
              </w:rPr>
            </w:pPr>
            <w:r w:rsidRPr="000973F2">
              <w:rPr>
                <w:rFonts w:ascii="Times New Roman" w:eastAsia="Times New Roman" w:hAnsi="Times New Roman" w:cs="Times New Roman"/>
                <w:sz w:val="16"/>
                <w:szCs w:val="16"/>
              </w:rPr>
              <w:t>3</w:t>
            </w:r>
          </w:p>
        </w:tc>
        <w:tc>
          <w:tcPr>
            <w:tcW w:w="488" w:type="dxa"/>
            <w:noWrap/>
            <w:hideMark/>
          </w:tcPr>
          <w:p w14:paraId="28052B68" w14:textId="77777777" w:rsidR="00526EDA" w:rsidRPr="000973F2" w:rsidRDefault="00526EDA" w:rsidP="00266033">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6"/>
                <w:szCs w:val="16"/>
              </w:rPr>
            </w:pPr>
          </w:p>
        </w:tc>
        <w:tc>
          <w:tcPr>
            <w:tcW w:w="488" w:type="dxa"/>
            <w:noWrap/>
            <w:hideMark/>
          </w:tcPr>
          <w:p w14:paraId="695EF451" w14:textId="77777777" w:rsidR="00526EDA" w:rsidRPr="000973F2" w:rsidRDefault="00526EDA" w:rsidP="00266033">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6"/>
                <w:szCs w:val="16"/>
              </w:rPr>
            </w:pPr>
          </w:p>
        </w:tc>
        <w:tc>
          <w:tcPr>
            <w:tcW w:w="488" w:type="dxa"/>
            <w:noWrap/>
            <w:hideMark/>
          </w:tcPr>
          <w:p w14:paraId="7ACFC8D3" w14:textId="77777777" w:rsidR="00526EDA" w:rsidRPr="000973F2" w:rsidRDefault="00526EDA" w:rsidP="00266033">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6"/>
                <w:szCs w:val="16"/>
              </w:rPr>
            </w:pPr>
            <w:r w:rsidRPr="000973F2">
              <w:rPr>
                <w:rFonts w:ascii="Times New Roman" w:eastAsia="Times New Roman" w:hAnsi="Times New Roman" w:cs="Times New Roman"/>
                <w:sz w:val="16"/>
                <w:szCs w:val="16"/>
              </w:rPr>
              <w:t>3</w:t>
            </w:r>
          </w:p>
        </w:tc>
        <w:tc>
          <w:tcPr>
            <w:tcW w:w="488" w:type="dxa"/>
            <w:noWrap/>
            <w:hideMark/>
          </w:tcPr>
          <w:p w14:paraId="10583B18" w14:textId="77777777" w:rsidR="00526EDA" w:rsidRPr="000973F2" w:rsidRDefault="00526EDA" w:rsidP="00266033">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6"/>
                <w:szCs w:val="16"/>
              </w:rPr>
            </w:pPr>
            <w:r w:rsidRPr="000973F2">
              <w:rPr>
                <w:rFonts w:ascii="Times New Roman" w:eastAsia="Times New Roman" w:hAnsi="Times New Roman" w:cs="Times New Roman"/>
                <w:sz w:val="16"/>
                <w:szCs w:val="16"/>
              </w:rPr>
              <w:t>3</w:t>
            </w:r>
          </w:p>
        </w:tc>
        <w:tc>
          <w:tcPr>
            <w:tcW w:w="493" w:type="dxa"/>
            <w:noWrap/>
            <w:hideMark/>
          </w:tcPr>
          <w:p w14:paraId="23DFC5B0" w14:textId="77777777" w:rsidR="00526EDA" w:rsidRPr="000973F2" w:rsidRDefault="00526EDA" w:rsidP="00266033">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6"/>
                <w:szCs w:val="16"/>
              </w:rPr>
            </w:pPr>
          </w:p>
        </w:tc>
        <w:tc>
          <w:tcPr>
            <w:tcW w:w="493" w:type="dxa"/>
            <w:noWrap/>
            <w:hideMark/>
          </w:tcPr>
          <w:p w14:paraId="5AAFACBB" w14:textId="77777777" w:rsidR="00526EDA" w:rsidRPr="000973F2" w:rsidRDefault="00526EDA" w:rsidP="00266033">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6"/>
                <w:szCs w:val="16"/>
              </w:rPr>
            </w:pPr>
          </w:p>
        </w:tc>
        <w:tc>
          <w:tcPr>
            <w:tcW w:w="488" w:type="dxa"/>
            <w:noWrap/>
            <w:hideMark/>
          </w:tcPr>
          <w:p w14:paraId="208259D4" w14:textId="77777777" w:rsidR="00526EDA" w:rsidRPr="000973F2" w:rsidRDefault="00526EDA" w:rsidP="00266033">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6"/>
                <w:szCs w:val="16"/>
              </w:rPr>
            </w:pPr>
          </w:p>
        </w:tc>
        <w:tc>
          <w:tcPr>
            <w:tcW w:w="488" w:type="dxa"/>
            <w:noWrap/>
            <w:hideMark/>
          </w:tcPr>
          <w:p w14:paraId="43BCCFF7" w14:textId="77777777" w:rsidR="00526EDA" w:rsidRPr="000973F2" w:rsidRDefault="00526EDA" w:rsidP="00266033">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6"/>
                <w:szCs w:val="16"/>
              </w:rPr>
            </w:pPr>
          </w:p>
        </w:tc>
        <w:tc>
          <w:tcPr>
            <w:tcW w:w="488" w:type="dxa"/>
            <w:noWrap/>
            <w:hideMark/>
          </w:tcPr>
          <w:p w14:paraId="3D83082E" w14:textId="77777777" w:rsidR="00526EDA" w:rsidRPr="000973F2" w:rsidRDefault="00526EDA" w:rsidP="00266033">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6"/>
                <w:szCs w:val="16"/>
              </w:rPr>
            </w:pPr>
          </w:p>
        </w:tc>
        <w:tc>
          <w:tcPr>
            <w:tcW w:w="488" w:type="dxa"/>
            <w:noWrap/>
            <w:hideMark/>
          </w:tcPr>
          <w:p w14:paraId="66DD9131" w14:textId="77777777" w:rsidR="00526EDA" w:rsidRPr="000973F2" w:rsidRDefault="00526EDA" w:rsidP="00266033">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6"/>
                <w:szCs w:val="16"/>
              </w:rPr>
            </w:pPr>
            <w:r w:rsidRPr="000973F2">
              <w:rPr>
                <w:rFonts w:ascii="Times New Roman" w:eastAsia="Times New Roman" w:hAnsi="Times New Roman" w:cs="Times New Roman"/>
                <w:sz w:val="16"/>
                <w:szCs w:val="16"/>
              </w:rPr>
              <w:t>1</w:t>
            </w:r>
          </w:p>
        </w:tc>
        <w:tc>
          <w:tcPr>
            <w:tcW w:w="852" w:type="dxa"/>
            <w:noWrap/>
            <w:hideMark/>
          </w:tcPr>
          <w:p w14:paraId="5D1805C0" w14:textId="77777777" w:rsidR="00526EDA" w:rsidRPr="000973F2" w:rsidRDefault="00526EDA" w:rsidP="00266033">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6"/>
                <w:szCs w:val="16"/>
              </w:rPr>
            </w:pPr>
            <w:r w:rsidRPr="000973F2">
              <w:rPr>
                <w:rFonts w:ascii="Times New Roman" w:eastAsia="Times New Roman" w:hAnsi="Times New Roman" w:cs="Times New Roman"/>
                <w:sz w:val="16"/>
                <w:szCs w:val="16"/>
              </w:rPr>
              <w:t>2</w:t>
            </w:r>
          </w:p>
        </w:tc>
        <w:tc>
          <w:tcPr>
            <w:tcW w:w="488" w:type="dxa"/>
            <w:noWrap/>
            <w:hideMark/>
          </w:tcPr>
          <w:p w14:paraId="7DA187BD" w14:textId="77777777" w:rsidR="00526EDA" w:rsidRPr="000973F2" w:rsidRDefault="00526EDA" w:rsidP="00266033">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6"/>
                <w:szCs w:val="16"/>
              </w:rPr>
            </w:pPr>
          </w:p>
        </w:tc>
        <w:tc>
          <w:tcPr>
            <w:tcW w:w="493" w:type="dxa"/>
            <w:noWrap/>
            <w:hideMark/>
          </w:tcPr>
          <w:p w14:paraId="38E15A91" w14:textId="77777777" w:rsidR="00526EDA" w:rsidRPr="000973F2" w:rsidRDefault="00526EDA" w:rsidP="00266033">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6"/>
                <w:szCs w:val="16"/>
              </w:rPr>
            </w:pPr>
            <w:r w:rsidRPr="000973F2">
              <w:rPr>
                <w:rFonts w:ascii="Times New Roman" w:eastAsia="Times New Roman" w:hAnsi="Times New Roman" w:cs="Times New Roman"/>
                <w:sz w:val="16"/>
                <w:szCs w:val="16"/>
              </w:rPr>
              <w:t>1</w:t>
            </w:r>
          </w:p>
        </w:tc>
        <w:tc>
          <w:tcPr>
            <w:tcW w:w="488" w:type="dxa"/>
            <w:noWrap/>
            <w:hideMark/>
          </w:tcPr>
          <w:p w14:paraId="385C3EB9" w14:textId="77777777" w:rsidR="00526EDA" w:rsidRPr="000973F2" w:rsidRDefault="00526EDA" w:rsidP="00266033">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6"/>
                <w:szCs w:val="16"/>
              </w:rPr>
            </w:pPr>
          </w:p>
        </w:tc>
        <w:tc>
          <w:tcPr>
            <w:tcW w:w="585" w:type="dxa"/>
            <w:noWrap/>
            <w:hideMark/>
          </w:tcPr>
          <w:p w14:paraId="45DF1513" w14:textId="77777777" w:rsidR="00526EDA" w:rsidRPr="000973F2" w:rsidRDefault="00526EDA" w:rsidP="00266033">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6"/>
                <w:szCs w:val="16"/>
              </w:rPr>
            </w:pPr>
          </w:p>
        </w:tc>
        <w:tc>
          <w:tcPr>
            <w:tcW w:w="493" w:type="dxa"/>
            <w:noWrap/>
            <w:hideMark/>
          </w:tcPr>
          <w:p w14:paraId="1A3859E3" w14:textId="77777777" w:rsidR="00526EDA" w:rsidRPr="000973F2" w:rsidRDefault="00526EDA" w:rsidP="00266033">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6"/>
                <w:szCs w:val="16"/>
              </w:rPr>
            </w:pPr>
          </w:p>
        </w:tc>
        <w:tc>
          <w:tcPr>
            <w:tcW w:w="493" w:type="dxa"/>
            <w:noWrap/>
            <w:hideMark/>
          </w:tcPr>
          <w:p w14:paraId="7EDD2716" w14:textId="77777777" w:rsidR="00526EDA" w:rsidRPr="000973F2" w:rsidRDefault="00526EDA" w:rsidP="00266033">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6"/>
                <w:szCs w:val="16"/>
              </w:rPr>
            </w:pPr>
            <w:r w:rsidRPr="000973F2">
              <w:rPr>
                <w:rFonts w:ascii="Times New Roman" w:eastAsia="Times New Roman" w:hAnsi="Times New Roman" w:cs="Times New Roman"/>
                <w:sz w:val="16"/>
                <w:szCs w:val="16"/>
              </w:rPr>
              <w:t>1</w:t>
            </w:r>
          </w:p>
        </w:tc>
        <w:tc>
          <w:tcPr>
            <w:tcW w:w="488" w:type="dxa"/>
            <w:noWrap/>
            <w:hideMark/>
          </w:tcPr>
          <w:p w14:paraId="05317E18" w14:textId="77777777" w:rsidR="00526EDA" w:rsidRPr="000973F2" w:rsidRDefault="00526EDA" w:rsidP="00266033">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6"/>
                <w:szCs w:val="16"/>
              </w:rPr>
            </w:pPr>
            <w:r w:rsidRPr="000973F2">
              <w:rPr>
                <w:rFonts w:ascii="Times New Roman" w:eastAsia="Times New Roman" w:hAnsi="Times New Roman" w:cs="Times New Roman"/>
                <w:sz w:val="16"/>
                <w:szCs w:val="16"/>
              </w:rPr>
              <w:t>1</w:t>
            </w:r>
          </w:p>
        </w:tc>
      </w:tr>
      <w:tr w:rsidR="005D4A67" w:rsidRPr="000973F2" w14:paraId="7A7CA139" w14:textId="77777777" w:rsidTr="008A2B1B">
        <w:tc>
          <w:tcPr>
            <w:cnfStyle w:val="001000000000" w:firstRow="0" w:lastRow="0" w:firstColumn="1" w:lastColumn="0" w:oddVBand="0" w:evenVBand="0" w:oddHBand="0" w:evenHBand="0" w:firstRowFirstColumn="0" w:firstRowLastColumn="0" w:lastRowFirstColumn="0" w:lastRowLastColumn="0"/>
            <w:tcW w:w="1456" w:type="dxa"/>
            <w:noWrap/>
            <w:hideMark/>
          </w:tcPr>
          <w:p w14:paraId="7849FAF1" w14:textId="77777777" w:rsidR="00526EDA" w:rsidRPr="000973F2" w:rsidRDefault="00526EDA" w:rsidP="00266033">
            <w:pPr>
              <w:spacing w:before="40" w:after="40"/>
              <w:rPr>
                <w:rFonts w:ascii="Times New Roman" w:eastAsia="Times New Roman" w:hAnsi="Times New Roman" w:cs="Times New Roman"/>
                <w:sz w:val="16"/>
                <w:szCs w:val="16"/>
              </w:rPr>
            </w:pPr>
            <w:r w:rsidRPr="000973F2">
              <w:rPr>
                <w:rFonts w:ascii="Times New Roman" w:eastAsia="Times New Roman" w:hAnsi="Times New Roman" w:cs="Times New Roman"/>
                <w:sz w:val="16"/>
                <w:szCs w:val="16"/>
              </w:rPr>
              <w:t>Large Upgrading Refinery with Coke Calcining</w:t>
            </w:r>
          </w:p>
        </w:tc>
        <w:tc>
          <w:tcPr>
            <w:tcW w:w="959" w:type="dxa"/>
            <w:noWrap/>
            <w:hideMark/>
          </w:tcPr>
          <w:p w14:paraId="492CDC1F" w14:textId="3B2C5156" w:rsidR="00526EDA" w:rsidRPr="000973F2" w:rsidRDefault="00526EDA" w:rsidP="00266033">
            <w:pPr>
              <w:spacing w:before="40" w:after="4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6"/>
                <w:szCs w:val="16"/>
              </w:rPr>
            </w:pPr>
            <w:r w:rsidRPr="000973F2">
              <w:rPr>
                <w:rFonts w:ascii="Times New Roman" w:eastAsia="Times New Roman" w:hAnsi="Times New Roman" w:cs="Times New Roman"/>
                <w:sz w:val="16"/>
                <w:szCs w:val="16"/>
              </w:rPr>
              <w:t xml:space="preserve">Table </w:t>
            </w:r>
            <w:r w:rsidR="008A2B1B">
              <w:rPr>
                <w:rFonts w:ascii="Times New Roman" w:eastAsia="Times New Roman" w:hAnsi="Times New Roman" w:cs="Times New Roman"/>
                <w:sz w:val="16"/>
                <w:szCs w:val="16"/>
              </w:rPr>
              <w:t>Y-</w:t>
            </w:r>
            <w:r w:rsidRPr="000973F2">
              <w:rPr>
                <w:rFonts w:ascii="Times New Roman" w:eastAsia="Times New Roman" w:hAnsi="Times New Roman" w:cs="Times New Roman"/>
                <w:sz w:val="16"/>
                <w:szCs w:val="16"/>
              </w:rPr>
              <w:t>2k</w:t>
            </w:r>
          </w:p>
        </w:tc>
        <w:tc>
          <w:tcPr>
            <w:tcW w:w="757" w:type="dxa"/>
            <w:noWrap/>
            <w:hideMark/>
          </w:tcPr>
          <w:p w14:paraId="590572BE" w14:textId="77777777" w:rsidR="00526EDA" w:rsidRPr="000973F2" w:rsidRDefault="00526EDA" w:rsidP="00266033">
            <w:pPr>
              <w:spacing w:before="40" w:after="4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6"/>
                <w:szCs w:val="16"/>
              </w:rPr>
            </w:pPr>
            <w:r w:rsidRPr="000973F2">
              <w:rPr>
                <w:rFonts w:ascii="Times New Roman" w:eastAsia="Times New Roman" w:hAnsi="Times New Roman" w:cs="Times New Roman"/>
                <w:sz w:val="16"/>
                <w:szCs w:val="16"/>
              </w:rPr>
              <w:t>4</w:t>
            </w:r>
          </w:p>
        </w:tc>
        <w:tc>
          <w:tcPr>
            <w:tcW w:w="488" w:type="dxa"/>
            <w:noWrap/>
            <w:hideMark/>
          </w:tcPr>
          <w:p w14:paraId="410FC8ED" w14:textId="77777777" w:rsidR="00526EDA" w:rsidRPr="000973F2" w:rsidRDefault="00526EDA" w:rsidP="00266033">
            <w:pPr>
              <w:spacing w:before="40" w:after="4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6"/>
                <w:szCs w:val="16"/>
              </w:rPr>
            </w:pPr>
            <w:r w:rsidRPr="000973F2">
              <w:rPr>
                <w:rFonts w:ascii="Times New Roman" w:eastAsia="Times New Roman" w:hAnsi="Times New Roman" w:cs="Times New Roman"/>
                <w:sz w:val="16"/>
                <w:szCs w:val="16"/>
              </w:rPr>
              <w:t>3</w:t>
            </w:r>
          </w:p>
        </w:tc>
        <w:tc>
          <w:tcPr>
            <w:tcW w:w="488" w:type="dxa"/>
            <w:noWrap/>
            <w:hideMark/>
          </w:tcPr>
          <w:p w14:paraId="159C0723" w14:textId="77777777" w:rsidR="00526EDA" w:rsidRPr="000973F2" w:rsidRDefault="00526EDA" w:rsidP="00266033">
            <w:pPr>
              <w:spacing w:before="40" w:after="4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6"/>
                <w:szCs w:val="16"/>
              </w:rPr>
            </w:pPr>
          </w:p>
        </w:tc>
        <w:tc>
          <w:tcPr>
            <w:tcW w:w="488" w:type="dxa"/>
            <w:noWrap/>
            <w:hideMark/>
          </w:tcPr>
          <w:p w14:paraId="1DCA97CB" w14:textId="77777777" w:rsidR="00526EDA" w:rsidRPr="000973F2" w:rsidRDefault="00526EDA" w:rsidP="00266033">
            <w:pPr>
              <w:spacing w:before="40" w:after="4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6"/>
                <w:szCs w:val="16"/>
              </w:rPr>
            </w:pPr>
          </w:p>
        </w:tc>
        <w:tc>
          <w:tcPr>
            <w:tcW w:w="488" w:type="dxa"/>
            <w:noWrap/>
            <w:hideMark/>
          </w:tcPr>
          <w:p w14:paraId="002E0491" w14:textId="77777777" w:rsidR="00526EDA" w:rsidRPr="000973F2" w:rsidRDefault="00526EDA" w:rsidP="00266033">
            <w:pPr>
              <w:spacing w:before="40" w:after="4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6"/>
                <w:szCs w:val="16"/>
              </w:rPr>
            </w:pPr>
            <w:r w:rsidRPr="000973F2">
              <w:rPr>
                <w:rFonts w:ascii="Times New Roman" w:eastAsia="Times New Roman" w:hAnsi="Times New Roman" w:cs="Times New Roman"/>
                <w:sz w:val="16"/>
                <w:szCs w:val="16"/>
              </w:rPr>
              <w:t>4</w:t>
            </w:r>
          </w:p>
        </w:tc>
        <w:tc>
          <w:tcPr>
            <w:tcW w:w="488" w:type="dxa"/>
            <w:noWrap/>
            <w:hideMark/>
          </w:tcPr>
          <w:p w14:paraId="0071DC89" w14:textId="77777777" w:rsidR="00526EDA" w:rsidRPr="000973F2" w:rsidRDefault="00526EDA" w:rsidP="00266033">
            <w:pPr>
              <w:spacing w:before="40" w:after="4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6"/>
                <w:szCs w:val="16"/>
              </w:rPr>
            </w:pPr>
            <w:r w:rsidRPr="000973F2">
              <w:rPr>
                <w:rFonts w:ascii="Times New Roman" w:eastAsia="Times New Roman" w:hAnsi="Times New Roman" w:cs="Times New Roman"/>
                <w:sz w:val="16"/>
                <w:szCs w:val="16"/>
              </w:rPr>
              <w:t>3</w:t>
            </w:r>
          </w:p>
        </w:tc>
        <w:tc>
          <w:tcPr>
            <w:tcW w:w="493" w:type="dxa"/>
            <w:noWrap/>
            <w:hideMark/>
          </w:tcPr>
          <w:p w14:paraId="2B262D8B" w14:textId="77777777" w:rsidR="00526EDA" w:rsidRPr="000973F2" w:rsidRDefault="00526EDA" w:rsidP="00266033">
            <w:pPr>
              <w:spacing w:before="40" w:after="4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6"/>
                <w:szCs w:val="16"/>
              </w:rPr>
            </w:pPr>
          </w:p>
        </w:tc>
        <w:tc>
          <w:tcPr>
            <w:tcW w:w="493" w:type="dxa"/>
            <w:noWrap/>
            <w:hideMark/>
          </w:tcPr>
          <w:p w14:paraId="72ADF111" w14:textId="77777777" w:rsidR="00526EDA" w:rsidRPr="000973F2" w:rsidRDefault="00526EDA" w:rsidP="00266033">
            <w:pPr>
              <w:spacing w:before="40" w:after="4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6"/>
                <w:szCs w:val="16"/>
              </w:rPr>
            </w:pPr>
          </w:p>
        </w:tc>
        <w:tc>
          <w:tcPr>
            <w:tcW w:w="488" w:type="dxa"/>
            <w:noWrap/>
            <w:hideMark/>
          </w:tcPr>
          <w:p w14:paraId="160607D9" w14:textId="77777777" w:rsidR="00526EDA" w:rsidRPr="000973F2" w:rsidRDefault="00526EDA" w:rsidP="00266033">
            <w:pPr>
              <w:spacing w:before="40" w:after="4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6"/>
                <w:szCs w:val="16"/>
              </w:rPr>
            </w:pPr>
          </w:p>
        </w:tc>
        <w:tc>
          <w:tcPr>
            <w:tcW w:w="488" w:type="dxa"/>
            <w:noWrap/>
            <w:hideMark/>
          </w:tcPr>
          <w:p w14:paraId="0067CE40" w14:textId="77777777" w:rsidR="00526EDA" w:rsidRPr="000973F2" w:rsidRDefault="00526EDA" w:rsidP="00266033">
            <w:pPr>
              <w:spacing w:before="40" w:after="4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6"/>
                <w:szCs w:val="16"/>
              </w:rPr>
            </w:pPr>
            <w:r w:rsidRPr="000973F2">
              <w:rPr>
                <w:rFonts w:ascii="Times New Roman" w:eastAsia="Times New Roman" w:hAnsi="Times New Roman" w:cs="Times New Roman"/>
                <w:sz w:val="16"/>
                <w:szCs w:val="16"/>
              </w:rPr>
              <w:t>1</w:t>
            </w:r>
          </w:p>
        </w:tc>
        <w:tc>
          <w:tcPr>
            <w:tcW w:w="488" w:type="dxa"/>
            <w:noWrap/>
            <w:hideMark/>
          </w:tcPr>
          <w:p w14:paraId="29602C7E" w14:textId="77777777" w:rsidR="00526EDA" w:rsidRPr="000973F2" w:rsidRDefault="00526EDA" w:rsidP="00266033">
            <w:pPr>
              <w:spacing w:before="40" w:after="4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6"/>
                <w:szCs w:val="16"/>
              </w:rPr>
            </w:pPr>
          </w:p>
        </w:tc>
        <w:tc>
          <w:tcPr>
            <w:tcW w:w="488" w:type="dxa"/>
            <w:noWrap/>
            <w:hideMark/>
          </w:tcPr>
          <w:p w14:paraId="69979CF0" w14:textId="77777777" w:rsidR="00526EDA" w:rsidRPr="000973F2" w:rsidRDefault="00526EDA" w:rsidP="00266033">
            <w:pPr>
              <w:spacing w:before="40" w:after="4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6"/>
                <w:szCs w:val="16"/>
              </w:rPr>
            </w:pPr>
          </w:p>
        </w:tc>
        <w:tc>
          <w:tcPr>
            <w:tcW w:w="852" w:type="dxa"/>
            <w:noWrap/>
            <w:hideMark/>
          </w:tcPr>
          <w:p w14:paraId="786C9021" w14:textId="77777777" w:rsidR="00526EDA" w:rsidRPr="000973F2" w:rsidRDefault="00526EDA" w:rsidP="00266033">
            <w:pPr>
              <w:spacing w:before="40" w:after="4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6"/>
                <w:szCs w:val="16"/>
              </w:rPr>
            </w:pPr>
            <w:r w:rsidRPr="000973F2">
              <w:rPr>
                <w:rFonts w:ascii="Times New Roman" w:eastAsia="Times New Roman" w:hAnsi="Times New Roman" w:cs="Times New Roman"/>
                <w:sz w:val="16"/>
                <w:szCs w:val="16"/>
              </w:rPr>
              <w:t>7.5</w:t>
            </w:r>
          </w:p>
        </w:tc>
        <w:tc>
          <w:tcPr>
            <w:tcW w:w="488" w:type="dxa"/>
            <w:noWrap/>
            <w:hideMark/>
          </w:tcPr>
          <w:p w14:paraId="77E2463C" w14:textId="77777777" w:rsidR="00526EDA" w:rsidRPr="000973F2" w:rsidRDefault="00526EDA" w:rsidP="00266033">
            <w:pPr>
              <w:spacing w:before="40" w:after="4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6"/>
                <w:szCs w:val="16"/>
              </w:rPr>
            </w:pPr>
          </w:p>
        </w:tc>
        <w:tc>
          <w:tcPr>
            <w:tcW w:w="493" w:type="dxa"/>
            <w:noWrap/>
            <w:hideMark/>
          </w:tcPr>
          <w:p w14:paraId="3EAD5C90" w14:textId="77777777" w:rsidR="00526EDA" w:rsidRPr="000973F2" w:rsidRDefault="00526EDA" w:rsidP="00266033">
            <w:pPr>
              <w:spacing w:before="40" w:after="4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6"/>
                <w:szCs w:val="16"/>
              </w:rPr>
            </w:pPr>
            <w:r w:rsidRPr="000973F2">
              <w:rPr>
                <w:rFonts w:ascii="Times New Roman" w:eastAsia="Times New Roman" w:hAnsi="Times New Roman" w:cs="Times New Roman"/>
                <w:sz w:val="16"/>
                <w:szCs w:val="16"/>
              </w:rPr>
              <w:t>4</w:t>
            </w:r>
          </w:p>
        </w:tc>
        <w:tc>
          <w:tcPr>
            <w:tcW w:w="488" w:type="dxa"/>
            <w:noWrap/>
            <w:hideMark/>
          </w:tcPr>
          <w:p w14:paraId="1BC4E864" w14:textId="77777777" w:rsidR="00526EDA" w:rsidRPr="000973F2" w:rsidRDefault="00526EDA" w:rsidP="00266033">
            <w:pPr>
              <w:spacing w:before="40" w:after="4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6"/>
                <w:szCs w:val="16"/>
              </w:rPr>
            </w:pPr>
          </w:p>
        </w:tc>
        <w:tc>
          <w:tcPr>
            <w:tcW w:w="585" w:type="dxa"/>
            <w:noWrap/>
            <w:hideMark/>
          </w:tcPr>
          <w:p w14:paraId="6C140344" w14:textId="77777777" w:rsidR="00526EDA" w:rsidRPr="000973F2" w:rsidRDefault="00526EDA" w:rsidP="00266033">
            <w:pPr>
              <w:spacing w:before="40" w:after="4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6"/>
                <w:szCs w:val="16"/>
              </w:rPr>
            </w:pPr>
            <w:r w:rsidRPr="000973F2">
              <w:rPr>
                <w:rFonts w:ascii="Times New Roman" w:eastAsia="Times New Roman" w:hAnsi="Times New Roman" w:cs="Times New Roman"/>
                <w:sz w:val="16"/>
                <w:szCs w:val="16"/>
              </w:rPr>
              <w:t>0.75</w:t>
            </w:r>
          </w:p>
        </w:tc>
        <w:tc>
          <w:tcPr>
            <w:tcW w:w="493" w:type="dxa"/>
            <w:noWrap/>
            <w:hideMark/>
          </w:tcPr>
          <w:p w14:paraId="56CE37B8" w14:textId="77777777" w:rsidR="00526EDA" w:rsidRPr="000973F2" w:rsidRDefault="00526EDA" w:rsidP="00266033">
            <w:pPr>
              <w:spacing w:before="40" w:after="4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6"/>
                <w:szCs w:val="16"/>
              </w:rPr>
            </w:pPr>
            <w:r w:rsidRPr="000973F2">
              <w:rPr>
                <w:rFonts w:ascii="Times New Roman" w:eastAsia="Times New Roman" w:hAnsi="Times New Roman" w:cs="Times New Roman"/>
                <w:sz w:val="16"/>
                <w:szCs w:val="16"/>
              </w:rPr>
              <w:t>0.5</w:t>
            </w:r>
          </w:p>
        </w:tc>
        <w:tc>
          <w:tcPr>
            <w:tcW w:w="493" w:type="dxa"/>
            <w:noWrap/>
            <w:hideMark/>
          </w:tcPr>
          <w:p w14:paraId="403C7CF6" w14:textId="77777777" w:rsidR="00526EDA" w:rsidRPr="000973F2" w:rsidRDefault="00526EDA" w:rsidP="00266033">
            <w:pPr>
              <w:spacing w:before="40" w:after="4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6"/>
                <w:szCs w:val="16"/>
              </w:rPr>
            </w:pPr>
            <w:r w:rsidRPr="000973F2">
              <w:rPr>
                <w:rFonts w:ascii="Times New Roman" w:eastAsia="Times New Roman" w:hAnsi="Times New Roman" w:cs="Times New Roman"/>
                <w:sz w:val="16"/>
                <w:szCs w:val="16"/>
              </w:rPr>
              <w:t>3</w:t>
            </w:r>
          </w:p>
        </w:tc>
        <w:tc>
          <w:tcPr>
            <w:tcW w:w="488" w:type="dxa"/>
            <w:noWrap/>
            <w:hideMark/>
          </w:tcPr>
          <w:p w14:paraId="6B92D184" w14:textId="77777777" w:rsidR="00526EDA" w:rsidRPr="000973F2" w:rsidRDefault="00526EDA" w:rsidP="00266033">
            <w:pPr>
              <w:spacing w:before="40" w:after="4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6"/>
                <w:szCs w:val="16"/>
              </w:rPr>
            </w:pPr>
            <w:r w:rsidRPr="000973F2">
              <w:rPr>
                <w:rFonts w:ascii="Times New Roman" w:eastAsia="Times New Roman" w:hAnsi="Times New Roman" w:cs="Times New Roman"/>
                <w:sz w:val="16"/>
                <w:szCs w:val="16"/>
              </w:rPr>
              <w:t>1</w:t>
            </w:r>
          </w:p>
        </w:tc>
      </w:tr>
      <w:tr w:rsidR="00A859C1" w:rsidRPr="000973F2" w14:paraId="044BFC3C" w14:textId="77777777" w:rsidTr="008A2B1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56" w:type="dxa"/>
            <w:noWrap/>
            <w:hideMark/>
          </w:tcPr>
          <w:p w14:paraId="1A41F3AE" w14:textId="77777777" w:rsidR="00526EDA" w:rsidRPr="000973F2" w:rsidRDefault="00526EDA" w:rsidP="00266033">
            <w:pPr>
              <w:spacing w:before="40" w:after="40"/>
              <w:rPr>
                <w:rFonts w:ascii="Times New Roman" w:eastAsia="Times New Roman" w:hAnsi="Times New Roman" w:cs="Times New Roman"/>
                <w:sz w:val="16"/>
                <w:szCs w:val="16"/>
              </w:rPr>
            </w:pPr>
            <w:r w:rsidRPr="000973F2">
              <w:rPr>
                <w:rFonts w:ascii="Times New Roman" w:eastAsia="Times New Roman" w:hAnsi="Times New Roman" w:cs="Times New Roman"/>
                <w:sz w:val="16"/>
                <w:szCs w:val="16"/>
              </w:rPr>
              <w:t>Very Large Upgrading Refinery</w:t>
            </w:r>
          </w:p>
        </w:tc>
        <w:tc>
          <w:tcPr>
            <w:tcW w:w="959" w:type="dxa"/>
            <w:noWrap/>
            <w:hideMark/>
          </w:tcPr>
          <w:p w14:paraId="6F2E2A4F" w14:textId="5F4A393E" w:rsidR="00526EDA" w:rsidRPr="000973F2" w:rsidRDefault="00526EDA" w:rsidP="00266033">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6"/>
                <w:szCs w:val="16"/>
              </w:rPr>
            </w:pPr>
            <w:r w:rsidRPr="000973F2">
              <w:rPr>
                <w:rFonts w:ascii="Times New Roman" w:eastAsia="Times New Roman" w:hAnsi="Times New Roman" w:cs="Times New Roman"/>
                <w:sz w:val="16"/>
                <w:szCs w:val="16"/>
              </w:rPr>
              <w:t>Table</w:t>
            </w:r>
            <w:r w:rsidR="008A2B1B">
              <w:rPr>
                <w:rFonts w:ascii="Times New Roman" w:eastAsia="Times New Roman" w:hAnsi="Times New Roman" w:cs="Times New Roman"/>
                <w:sz w:val="16"/>
                <w:szCs w:val="16"/>
              </w:rPr>
              <w:t>Y-</w:t>
            </w:r>
            <w:r w:rsidRPr="000973F2">
              <w:rPr>
                <w:rFonts w:ascii="Times New Roman" w:eastAsia="Times New Roman" w:hAnsi="Times New Roman" w:cs="Times New Roman"/>
                <w:sz w:val="16"/>
                <w:szCs w:val="16"/>
              </w:rPr>
              <w:t xml:space="preserve"> 2l</w:t>
            </w:r>
          </w:p>
        </w:tc>
        <w:tc>
          <w:tcPr>
            <w:tcW w:w="757" w:type="dxa"/>
            <w:noWrap/>
            <w:hideMark/>
          </w:tcPr>
          <w:p w14:paraId="5919F935" w14:textId="77777777" w:rsidR="00526EDA" w:rsidRPr="000973F2" w:rsidRDefault="00526EDA" w:rsidP="00266033">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6"/>
                <w:szCs w:val="16"/>
              </w:rPr>
            </w:pPr>
            <w:r w:rsidRPr="000973F2">
              <w:rPr>
                <w:rFonts w:ascii="Times New Roman" w:eastAsia="Times New Roman" w:hAnsi="Times New Roman" w:cs="Times New Roman"/>
                <w:sz w:val="16"/>
                <w:szCs w:val="16"/>
              </w:rPr>
              <w:t>7</w:t>
            </w:r>
          </w:p>
        </w:tc>
        <w:tc>
          <w:tcPr>
            <w:tcW w:w="488" w:type="dxa"/>
            <w:noWrap/>
            <w:hideMark/>
          </w:tcPr>
          <w:p w14:paraId="547A3E4B" w14:textId="77777777" w:rsidR="00526EDA" w:rsidRPr="000973F2" w:rsidRDefault="00526EDA" w:rsidP="00266033">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6"/>
                <w:szCs w:val="16"/>
              </w:rPr>
            </w:pPr>
            <w:r w:rsidRPr="000973F2">
              <w:rPr>
                <w:rFonts w:ascii="Times New Roman" w:eastAsia="Times New Roman" w:hAnsi="Times New Roman" w:cs="Times New Roman"/>
                <w:sz w:val="16"/>
                <w:szCs w:val="16"/>
              </w:rPr>
              <w:t>6</w:t>
            </w:r>
          </w:p>
        </w:tc>
        <w:tc>
          <w:tcPr>
            <w:tcW w:w="488" w:type="dxa"/>
            <w:noWrap/>
            <w:hideMark/>
          </w:tcPr>
          <w:p w14:paraId="70B4AD7E" w14:textId="77777777" w:rsidR="00526EDA" w:rsidRPr="000973F2" w:rsidRDefault="00526EDA" w:rsidP="00266033">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6"/>
                <w:szCs w:val="16"/>
              </w:rPr>
            </w:pPr>
          </w:p>
        </w:tc>
        <w:tc>
          <w:tcPr>
            <w:tcW w:w="488" w:type="dxa"/>
            <w:noWrap/>
            <w:hideMark/>
          </w:tcPr>
          <w:p w14:paraId="5E70AA57" w14:textId="77777777" w:rsidR="00526EDA" w:rsidRPr="000973F2" w:rsidRDefault="00526EDA" w:rsidP="00266033">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6"/>
                <w:szCs w:val="16"/>
              </w:rPr>
            </w:pPr>
          </w:p>
        </w:tc>
        <w:tc>
          <w:tcPr>
            <w:tcW w:w="488" w:type="dxa"/>
            <w:noWrap/>
            <w:hideMark/>
          </w:tcPr>
          <w:p w14:paraId="2343B748" w14:textId="77777777" w:rsidR="00526EDA" w:rsidRPr="000973F2" w:rsidRDefault="00526EDA" w:rsidP="00266033">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6"/>
                <w:szCs w:val="16"/>
              </w:rPr>
            </w:pPr>
            <w:r w:rsidRPr="000973F2">
              <w:rPr>
                <w:rFonts w:ascii="Times New Roman" w:eastAsia="Times New Roman" w:hAnsi="Times New Roman" w:cs="Times New Roman"/>
                <w:sz w:val="16"/>
                <w:szCs w:val="16"/>
              </w:rPr>
              <w:t>4</w:t>
            </w:r>
          </w:p>
        </w:tc>
        <w:tc>
          <w:tcPr>
            <w:tcW w:w="488" w:type="dxa"/>
            <w:noWrap/>
            <w:hideMark/>
          </w:tcPr>
          <w:p w14:paraId="77DAF94E" w14:textId="77777777" w:rsidR="00526EDA" w:rsidRPr="000973F2" w:rsidRDefault="00526EDA" w:rsidP="00266033">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6"/>
                <w:szCs w:val="16"/>
              </w:rPr>
            </w:pPr>
            <w:r w:rsidRPr="000973F2">
              <w:rPr>
                <w:rFonts w:ascii="Times New Roman" w:eastAsia="Times New Roman" w:hAnsi="Times New Roman" w:cs="Times New Roman"/>
                <w:sz w:val="16"/>
                <w:szCs w:val="16"/>
              </w:rPr>
              <w:t>5</w:t>
            </w:r>
          </w:p>
        </w:tc>
        <w:tc>
          <w:tcPr>
            <w:tcW w:w="493" w:type="dxa"/>
            <w:noWrap/>
            <w:hideMark/>
          </w:tcPr>
          <w:p w14:paraId="269B0F5D" w14:textId="77777777" w:rsidR="00526EDA" w:rsidRPr="000973F2" w:rsidRDefault="00526EDA" w:rsidP="00266033">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6"/>
                <w:szCs w:val="16"/>
              </w:rPr>
            </w:pPr>
          </w:p>
        </w:tc>
        <w:tc>
          <w:tcPr>
            <w:tcW w:w="493" w:type="dxa"/>
            <w:noWrap/>
            <w:hideMark/>
          </w:tcPr>
          <w:p w14:paraId="25A91729" w14:textId="77777777" w:rsidR="00526EDA" w:rsidRPr="000973F2" w:rsidRDefault="00526EDA" w:rsidP="00266033">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6"/>
                <w:szCs w:val="16"/>
              </w:rPr>
            </w:pPr>
          </w:p>
        </w:tc>
        <w:tc>
          <w:tcPr>
            <w:tcW w:w="488" w:type="dxa"/>
            <w:noWrap/>
            <w:hideMark/>
          </w:tcPr>
          <w:p w14:paraId="62EA5875" w14:textId="77777777" w:rsidR="00526EDA" w:rsidRPr="000973F2" w:rsidRDefault="00526EDA" w:rsidP="00266033">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6"/>
                <w:szCs w:val="16"/>
              </w:rPr>
            </w:pPr>
          </w:p>
        </w:tc>
        <w:tc>
          <w:tcPr>
            <w:tcW w:w="488" w:type="dxa"/>
            <w:noWrap/>
            <w:hideMark/>
          </w:tcPr>
          <w:p w14:paraId="5350752B" w14:textId="77777777" w:rsidR="00526EDA" w:rsidRPr="000973F2" w:rsidRDefault="00526EDA" w:rsidP="00266033">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6"/>
                <w:szCs w:val="16"/>
              </w:rPr>
            </w:pPr>
          </w:p>
        </w:tc>
        <w:tc>
          <w:tcPr>
            <w:tcW w:w="488" w:type="dxa"/>
            <w:noWrap/>
            <w:hideMark/>
          </w:tcPr>
          <w:p w14:paraId="50ABC557" w14:textId="77777777" w:rsidR="00526EDA" w:rsidRPr="000973F2" w:rsidRDefault="00526EDA" w:rsidP="00266033">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6"/>
                <w:szCs w:val="16"/>
              </w:rPr>
            </w:pPr>
            <w:r w:rsidRPr="000973F2">
              <w:rPr>
                <w:rFonts w:ascii="Times New Roman" w:eastAsia="Times New Roman" w:hAnsi="Times New Roman" w:cs="Times New Roman"/>
                <w:sz w:val="16"/>
                <w:szCs w:val="16"/>
              </w:rPr>
              <w:t>1</w:t>
            </w:r>
          </w:p>
        </w:tc>
        <w:tc>
          <w:tcPr>
            <w:tcW w:w="488" w:type="dxa"/>
            <w:noWrap/>
            <w:hideMark/>
          </w:tcPr>
          <w:p w14:paraId="68BE88D3" w14:textId="77777777" w:rsidR="00526EDA" w:rsidRPr="000973F2" w:rsidRDefault="00526EDA" w:rsidP="00266033">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6"/>
                <w:szCs w:val="16"/>
              </w:rPr>
            </w:pPr>
          </w:p>
        </w:tc>
        <w:tc>
          <w:tcPr>
            <w:tcW w:w="852" w:type="dxa"/>
            <w:noWrap/>
            <w:hideMark/>
          </w:tcPr>
          <w:p w14:paraId="7093E7E8" w14:textId="77777777" w:rsidR="00526EDA" w:rsidRPr="000973F2" w:rsidRDefault="00526EDA" w:rsidP="00266033">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6"/>
                <w:szCs w:val="16"/>
              </w:rPr>
            </w:pPr>
            <w:r w:rsidRPr="000973F2">
              <w:rPr>
                <w:rFonts w:ascii="Times New Roman" w:eastAsia="Times New Roman" w:hAnsi="Times New Roman" w:cs="Times New Roman"/>
                <w:sz w:val="16"/>
                <w:szCs w:val="16"/>
              </w:rPr>
              <w:t>7</w:t>
            </w:r>
          </w:p>
        </w:tc>
        <w:tc>
          <w:tcPr>
            <w:tcW w:w="488" w:type="dxa"/>
            <w:noWrap/>
            <w:hideMark/>
          </w:tcPr>
          <w:p w14:paraId="7534A6A4" w14:textId="77777777" w:rsidR="00526EDA" w:rsidRPr="000973F2" w:rsidRDefault="00526EDA" w:rsidP="00266033">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6"/>
                <w:szCs w:val="16"/>
              </w:rPr>
            </w:pPr>
          </w:p>
        </w:tc>
        <w:tc>
          <w:tcPr>
            <w:tcW w:w="493" w:type="dxa"/>
            <w:noWrap/>
            <w:hideMark/>
          </w:tcPr>
          <w:p w14:paraId="7FE9C90D" w14:textId="77777777" w:rsidR="00526EDA" w:rsidRPr="000973F2" w:rsidRDefault="00526EDA" w:rsidP="00266033">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6"/>
                <w:szCs w:val="16"/>
              </w:rPr>
            </w:pPr>
            <w:r w:rsidRPr="000973F2">
              <w:rPr>
                <w:rFonts w:ascii="Times New Roman" w:eastAsia="Times New Roman" w:hAnsi="Times New Roman" w:cs="Times New Roman"/>
                <w:sz w:val="16"/>
                <w:szCs w:val="16"/>
              </w:rPr>
              <w:t>2</w:t>
            </w:r>
          </w:p>
        </w:tc>
        <w:tc>
          <w:tcPr>
            <w:tcW w:w="488" w:type="dxa"/>
            <w:noWrap/>
            <w:hideMark/>
          </w:tcPr>
          <w:p w14:paraId="46D2F215" w14:textId="77777777" w:rsidR="00526EDA" w:rsidRPr="000973F2" w:rsidRDefault="00526EDA" w:rsidP="00266033">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6"/>
                <w:szCs w:val="16"/>
              </w:rPr>
            </w:pPr>
          </w:p>
        </w:tc>
        <w:tc>
          <w:tcPr>
            <w:tcW w:w="585" w:type="dxa"/>
            <w:noWrap/>
            <w:hideMark/>
          </w:tcPr>
          <w:p w14:paraId="259DDAEF" w14:textId="77777777" w:rsidR="00526EDA" w:rsidRPr="000973F2" w:rsidRDefault="00526EDA" w:rsidP="00266033">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6"/>
                <w:szCs w:val="16"/>
              </w:rPr>
            </w:pPr>
          </w:p>
        </w:tc>
        <w:tc>
          <w:tcPr>
            <w:tcW w:w="493" w:type="dxa"/>
            <w:noWrap/>
            <w:hideMark/>
          </w:tcPr>
          <w:p w14:paraId="33E4CB5B" w14:textId="77777777" w:rsidR="00526EDA" w:rsidRPr="000973F2" w:rsidRDefault="00526EDA" w:rsidP="00266033">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6"/>
                <w:szCs w:val="16"/>
              </w:rPr>
            </w:pPr>
          </w:p>
        </w:tc>
        <w:tc>
          <w:tcPr>
            <w:tcW w:w="493" w:type="dxa"/>
            <w:noWrap/>
            <w:hideMark/>
          </w:tcPr>
          <w:p w14:paraId="6B5A354D" w14:textId="77777777" w:rsidR="00526EDA" w:rsidRPr="000973F2" w:rsidRDefault="00526EDA" w:rsidP="00266033">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6"/>
                <w:szCs w:val="16"/>
              </w:rPr>
            </w:pPr>
            <w:r w:rsidRPr="000973F2">
              <w:rPr>
                <w:rFonts w:ascii="Times New Roman" w:eastAsia="Times New Roman" w:hAnsi="Times New Roman" w:cs="Times New Roman"/>
                <w:sz w:val="16"/>
                <w:szCs w:val="16"/>
              </w:rPr>
              <w:t>3</w:t>
            </w:r>
          </w:p>
        </w:tc>
        <w:tc>
          <w:tcPr>
            <w:tcW w:w="488" w:type="dxa"/>
            <w:noWrap/>
            <w:hideMark/>
          </w:tcPr>
          <w:p w14:paraId="7EBBC39B" w14:textId="77777777" w:rsidR="00526EDA" w:rsidRPr="000973F2" w:rsidRDefault="00526EDA" w:rsidP="00266033">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6"/>
                <w:szCs w:val="16"/>
              </w:rPr>
            </w:pPr>
            <w:r w:rsidRPr="000973F2">
              <w:rPr>
                <w:rFonts w:ascii="Times New Roman" w:eastAsia="Times New Roman" w:hAnsi="Times New Roman" w:cs="Times New Roman"/>
                <w:sz w:val="16"/>
                <w:szCs w:val="16"/>
              </w:rPr>
              <w:t>1</w:t>
            </w:r>
          </w:p>
        </w:tc>
      </w:tr>
    </w:tbl>
    <w:p w14:paraId="3CFBCD21" w14:textId="77777777" w:rsidR="0086415A" w:rsidRPr="000973F2" w:rsidRDefault="0086415A" w:rsidP="00C00E4F">
      <w:pPr>
        <w:spacing w:line="240" w:lineRule="auto"/>
        <w:rPr>
          <w:rFonts w:ascii="Times New Roman" w:hAnsi="Times New Roman" w:cs="Times New Roman"/>
        </w:rPr>
      </w:pPr>
    </w:p>
    <w:p w14:paraId="55101DB0" w14:textId="704FB5BB" w:rsidR="00F66A65" w:rsidRPr="000973F2" w:rsidRDefault="00F66A65" w:rsidP="00C00E4F">
      <w:pPr>
        <w:spacing w:line="240" w:lineRule="auto"/>
        <w:rPr>
          <w:rFonts w:ascii="Times New Roman" w:hAnsi="Times New Roman" w:cs="Times New Roman"/>
        </w:rPr>
        <w:sectPr w:rsidR="00F66A65" w:rsidRPr="000973F2" w:rsidSect="001872B3">
          <w:pgSz w:w="15840" w:h="12240" w:orient="landscape"/>
          <w:pgMar w:top="1440" w:right="1440" w:bottom="1440" w:left="1440" w:header="720" w:footer="720" w:gutter="0"/>
          <w:cols w:space="720"/>
          <w:docGrid w:linePitch="360"/>
        </w:sectPr>
      </w:pPr>
    </w:p>
    <w:p w14:paraId="3D1C9C2E" w14:textId="77777777" w:rsidR="0086415A" w:rsidRPr="000973F2" w:rsidRDefault="0086415A" w:rsidP="00907F7B">
      <w:pPr>
        <w:pStyle w:val="Heading2"/>
      </w:pPr>
      <w:r w:rsidRPr="000973F2">
        <w:t>Labor Costs for Subpart Y</w:t>
      </w:r>
    </w:p>
    <w:p w14:paraId="0DA06442" w14:textId="20C35A61" w:rsidR="0086415A" w:rsidRPr="000973F2" w:rsidRDefault="0086415A" w:rsidP="00907F7B">
      <w:pPr>
        <w:pStyle w:val="BodyText"/>
      </w:pPr>
      <w:r w:rsidRPr="000973F2">
        <w:t xml:space="preserve">Tables </w:t>
      </w:r>
      <w:r w:rsidR="00907F7B" w:rsidRPr="000973F2">
        <w:t>Y-</w:t>
      </w:r>
      <w:r w:rsidRPr="000973F2">
        <w:t xml:space="preserve">2a through </w:t>
      </w:r>
      <w:r w:rsidR="00907F7B" w:rsidRPr="000973F2">
        <w:t>Y-</w:t>
      </w:r>
      <w:r w:rsidRPr="000973F2">
        <w:t xml:space="preserve">2l provide the labor hour estimates and labor costs for each model plant. </w:t>
      </w:r>
    </w:p>
    <w:p w14:paraId="5D32FFC2" w14:textId="05E3F9C5" w:rsidR="0086415A" w:rsidRPr="000973F2" w:rsidRDefault="0086415A" w:rsidP="00907F7B">
      <w:pPr>
        <w:pStyle w:val="BodyText"/>
      </w:pPr>
      <w:r w:rsidRPr="000973F2">
        <w:t xml:space="preserve">It is assumed that the existing facilities already have required monitoring equipment and will only need to do annual QA/QC on that monitoring equipment. </w:t>
      </w:r>
      <w:r w:rsidRPr="000973F2">
        <w:rPr>
          <w:iCs/>
        </w:rPr>
        <w:t>Typical activities for each of the labor activities are discussed in the Cost Appendix Introduction</w:t>
      </w:r>
      <w:r w:rsidRPr="000973F2">
        <w:t xml:space="preserve">. Recordkeeping and reporting hours </w:t>
      </w:r>
      <w:r w:rsidR="00DD34D2" w:rsidRPr="000973F2">
        <w:t>are based on</w:t>
      </w:r>
      <w:r w:rsidRPr="000973F2">
        <w:t xml:space="preserve"> the “medium bin”</w:t>
      </w:r>
      <w:r w:rsidR="00DD34D2" w:rsidRPr="000973F2">
        <w:t xml:space="preserve"> designation.</w:t>
      </w:r>
      <w:r w:rsidRPr="000973F2">
        <w:t xml:space="preserve"> Sampling and analysis (calculations) hours include completion of the measurements and calculations of GHG emissions as required in Section §98.253. </w:t>
      </w:r>
    </w:p>
    <w:p w14:paraId="088A8FC5" w14:textId="1986401C" w:rsidR="0086415A" w:rsidRPr="000973F2" w:rsidRDefault="00D826A6" w:rsidP="00907F7B">
      <w:pPr>
        <w:pStyle w:val="Tabletitle"/>
        <w:rPr>
          <w:sz w:val="32"/>
        </w:rPr>
      </w:pPr>
      <w:r w:rsidRPr="000973F2">
        <w:t xml:space="preserve">Table </w:t>
      </w:r>
      <w:r w:rsidR="00907F7B" w:rsidRPr="000973F2">
        <w:t>Y-</w:t>
      </w:r>
      <w:r w:rsidRPr="000973F2">
        <w:t xml:space="preserve">2a. Labor Costs </w:t>
      </w:r>
      <w:r w:rsidR="00B960CC" w:rsidRPr="000973F2">
        <w:t>–</w:t>
      </w:r>
      <w:r w:rsidRPr="000973F2">
        <w:t xml:space="preserve"> Subpart Y – Small Topping Refinery</w:t>
      </w:r>
    </w:p>
    <w:tbl>
      <w:tblPr>
        <w:tblStyle w:val="PlainTable1"/>
        <w:tblW w:w="5000" w:type="pct"/>
        <w:jc w:val="left"/>
        <w:tblLayout w:type="fixed"/>
        <w:tblLook w:val="04A0" w:firstRow="1" w:lastRow="0" w:firstColumn="1" w:lastColumn="0" w:noHBand="0" w:noVBand="1"/>
      </w:tblPr>
      <w:tblGrid>
        <w:gridCol w:w="1925"/>
        <w:gridCol w:w="759"/>
        <w:gridCol w:w="759"/>
        <w:gridCol w:w="759"/>
        <w:gridCol w:w="758"/>
        <w:gridCol w:w="758"/>
        <w:gridCol w:w="758"/>
        <w:gridCol w:w="758"/>
        <w:gridCol w:w="758"/>
        <w:gridCol w:w="726"/>
        <w:gridCol w:w="858"/>
      </w:tblGrid>
      <w:tr w:rsidR="0086415A" w:rsidRPr="000973F2" w14:paraId="55EB2BDD" w14:textId="77777777" w:rsidTr="00B926DD">
        <w:trPr>
          <w:cnfStyle w:val="100000000000" w:firstRow="1" w:lastRow="0" w:firstColumn="0" w:lastColumn="0" w:oddVBand="0" w:evenVBand="0" w:oddHBand="0" w:evenHBand="0" w:firstRowFirstColumn="0" w:firstRowLastColumn="0" w:lastRowFirstColumn="0" w:lastRowLastColumn="0"/>
          <w:cantSplit/>
          <w:jc w:val="left"/>
        </w:trPr>
        <w:tc>
          <w:tcPr>
            <w:cnfStyle w:val="001000000000" w:firstRow="0" w:lastRow="0" w:firstColumn="1" w:lastColumn="0" w:oddVBand="0" w:evenVBand="0" w:oddHBand="0" w:evenHBand="0" w:firstRowFirstColumn="0" w:firstRowLastColumn="0" w:lastRowFirstColumn="0" w:lastRowLastColumn="0"/>
            <w:tcW w:w="1875" w:type="dxa"/>
            <w:vMerge w:val="restart"/>
            <w:noWrap/>
            <w:vAlign w:val="top"/>
          </w:tcPr>
          <w:p w14:paraId="40663166" w14:textId="77777777" w:rsidR="0086415A" w:rsidRPr="000973F2" w:rsidRDefault="0086415A" w:rsidP="00907F7B">
            <w:pPr>
              <w:spacing w:before="40" w:after="40"/>
              <w:rPr>
                <w:rFonts w:ascii="Times New Roman" w:eastAsia="Times New Roman" w:hAnsi="Times New Roman" w:cs="Times New Roman"/>
                <w:bCs w:val="0"/>
                <w:sz w:val="18"/>
                <w:szCs w:val="18"/>
              </w:rPr>
            </w:pPr>
            <w:r w:rsidRPr="000973F2">
              <w:rPr>
                <w:rFonts w:ascii="Times New Roman" w:eastAsia="Times New Roman" w:hAnsi="Times New Roman" w:cs="Times New Roman"/>
                <w:bCs w:val="0"/>
                <w:sz w:val="18"/>
                <w:szCs w:val="18"/>
              </w:rPr>
              <w:t>Activity</w:t>
            </w:r>
          </w:p>
        </w:tc>
        <w:tc>
          <w:tcPr>
            <w:tcW w:w="5912" w:type="dxa"/>
            <w:gridSpan w:val="8"/>
            <w:noWrap/>
            <w:vAlign w:val="top"/>
          </w:tcPr>
          <w:p w14:paraId="2B81F331" w14:textId="77777777" w:rsidR="0086415A" w:rsidRPr="000973F2" w:rsidRDefault="0086415A" w:rsidP="00907F7B">
            <w:pPr>
              <w:spacing w:before="40" w:after="40"/>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Cs w:val="0"/>
                <w:sz w:val="18"/>
                <w:szCs w:val="18"/>
              </w:rPr>
            </w:pPr>
            <w:r w:rsidRPr="000973F2">
              <w:rPr>
                <w:rFonts w:ascii="Times New Roman" w:eastAsia="Times New Roman" w:hAnsi="Times New Roman" w:cs="Times New Roman"/>
                <w:bCs w:val="0"/>
                <w:sz w:val="18"/>
                <w:szCs w:val="18"/>
              </w:rPr>
              <w:t>Labor Rates (per hour)</w:t>
            </w:r>
          </w:p>
        </w:tc>
        <w:tc>
          <w:tcPr>
            <w:tcW w:w="1543" w:type="dxa"/>
            <w:gridSpan w:val="2"/>
            <w:vMerge w:val="restart"/>
            <w:vAlign w:val="top"/>
          </w:tcPr>
          <w:p w14:paraId="335B702D" w14:textId="77777777" w:rsidR="0086415A" w:rsidRPr="000973F2" w:rsidRDefault="0086415A" w:rsidP="00907F7B">
            <w:pPr>
              <w:spacing w:before="40" w:after="40"/>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Cs w:val="0"/>
                <w:sz w:val="18"/>
                <w:szCs w:val="18"/>
              </w:rPr>
            </w:pPr>
            <w:r w:rsidRPr="000973F2">
              <w:rPr>
                <w:rFonts w:ascii="Times New Roman" w:eastAsia="Times New Roman" w:hAnsi="Times New Roman" w:cs="Times New Roman"/>
                <w:bCs w:val="0"/>
                <w:sz w:val="18"/>
                <w:szCs w:val="18"/>
              </w:rPr>
              <w:t>Total Labor Cost per Year per Facility (2017$)</w:t>
            </w:r>
          </w:p>
        </w:tc>
      </w:tr>
      <w:tr w:rsidR="0086415A" w:rsidRPr="000973F2" w14:paraId="7AF734D0" w14:textId="77777777" w:rsidTr="00B926DD">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1875" w:type="dxa"/>
            <w:vMerge/>
          </w:tcPr>
          <w:p w14:paraId="39FE9BFF" w14:textId="77777777" w:rsidR="0086415A" w:rsidRPr="000973F2" w:rsidRDefault="0086415A" w:rsidP="00907F7B">
            <w:pPr>
              <w:spacing w:before="40" w:after="40"/>
              <w:rPr>
                <w:rFonts w:ascii="Times New Roman" w:eastAsia="Times New Roman" w:hAnsi="Times New Roman" w:cs="Times New Roman"/>
                <w:b/>
                <w:bCs w:val="0"/>
                <w:sz w:val="18"/>
                <w:szCs w:val="18"/>
              </w:rPr>
            </w:pPr>
          </w:p>
        </w:tc>
        <w:tc>
          <w:tcPr>
            <w:tcW w:w="1478" w:type="dxa"/>
            <w:gridSpan w:val="2"/>
            <w:noWrap/>
          </w:tcPr>
          <w:p w14:paraId="77B34FE3" w14:textId="77777777" w:rsidR="0086415A" w:rsidRPr="000973F2" w:rsidRDefault="0086415A" w:rsidP="00907F7B">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18"/>
                <w:szCs w:val="18"/>
              </w:rPr>
            </w:pPr>
            <w:r w:rsidRPr="000973F2">
              <w:rPr>
                <w:rFonts w:ascii="Times New Roman" w:eastAsia="Times New Roman" w:hAnsi="Times New Roman" w:cs="Times New Roman"/>
                <w:b/>
                <w:bCs/>
                <w:sz w:val="18"/>
                <w:szCs w:val="18"/>
              </w:rPr>
              <w:t>Lawyer</w:t>
            </w:r>
          </w:p>
        </w:tc>
        <w:tc>
          <w:tcPr>
            <w:tcW w:w="1478" w:type="dxa"/>
            <w:gridSpan w:val="2"/>
            <w:noWrap/>
          </w:tcPr>
          <w:p w14:paraId="350CB7E5" w14:textId="77777777" w:rsidR="0086415A" w:rsidRPr="000973F2" w:rsidRDefault="0086415A" w:rsidP="00907F7B">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18"/>
                <w:szCs w:val="18"/>
              </w:rPr>
            </w:pPr>
            <w:r w:rsidRPr="000973F2">
              <w:rPr>
                <w:rFonts w:ascii="Times New Roman" w:eastAsia="Times New Roman" w:hAnsi="Times New Roman" w:cs="Times New Roman"/>
                <w:b/>
                <w:bCs/>
                <w:sz w:val="18"/>
                <w:szCs w:val="18"/>
              </w:rPr>
              <w:t>Industrial Manager</w:t>
            </w:r>
          </w:p>
        </w:tc>
        <w:tc>
          <w:tcPr>
            <w:tcW w:w="1478" w:type="dxa"/>
            <w:gridSpan w:val="2"/>
          </w:tcPr>
          <w:p w14:paraId="43F78C8E" w14:textId="35247A70" w:rsidR="0086415A" w:rsidRPr="000973F2" w:rsidRDefault="0086415A" w:rsidP="00907F7B">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18"/>
                <w:szCs w:val="18"/>
              </w:rPr>
            </w:pPr>
            <w:r w:rsidRPr="000973F2">
              <w:rPr>
                <w:rFonts w:ascii="Times New Roman" w:eastAsia="Times New Roman" w:hAnsi="Times New Roman" w:cs="Times New Roman"/>
                <w:b/>
                <w:bCs/>
                <w:sz w:val="18"/>
                <w:szCs w:val="18"/>
              </w:rPr>
              <w:t>Industrial Engineer/</w:t>
            </w:r>
            <w:r w:rsidR="00907F7B" w:rsidRPr="000973F2">
              <w:rPr>
                <w:rFonts w:ascii="Times New Roman" w:eastAsia="Times New Roman" w:hAnsi="Times New Roman" w:cs="Times New Roman"/>
                <w:b/>
                <w:bCs/>
                <w:sz w:val="18"/>
                <w:szCs w:val="18"/>
              </w:rPr>
              <w:t xml:space="preserve"> </w:t>
            </w:r>
            <w:r w:rsidRPr="000973F2">
              <w:rPr>
                <w:rFonts w:ascii="Times New Roman" w:eastAsia="Times New Roman" w:hAnsi="Times New Roman" w:cs="Times New Roman"/>
                <w:b/>
                <w:bCs/>
                <w:sz w:val="18"/>
                <w:szCs w:val="18"/>
              </w:rPr>
              <w:t>Technician</w:t>
            </w:r>
          </w:p>
        </w:tc>
        <w:tc>
          <w:tcPr>
            <w:tcW w:w="1478" w:type="dxa"/>
            <w:gridSpan w:val="2"/>
          </w:tcPr>
          <w:p w14:paraId="0AD7FE8D" w14:textId="77777777" w:rsidR="0086415A" w:rsidRPr="000973F2" w:rsidRDefault="0086415A" w:rsidP="00907F7B">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18"/>
                <w:szCs w:val="18"/>
              </w:rPr>
            </w:pPr>
            <w:r w:rsidRPr="000973F2">
              <w:rPr>
                <w:rFonts w:ascii="Times New Roman" w:eastAsia="Times New Roman" w:hAnsi="Times New Roman" w:cs="Times New Roman"/>
                <w:b/>
                <w:bCs/>
                <w:sz w:val="18"/>
                <w:szCs w:val="18"/>
              </w:rPr>
              <w:t>Administrative Support</w:t>
            </w:r>
          </w:p>
        </w:tc>
        <w:tc>
          <w:tcPr>
            <w:tcW w:w="1543" w:type="dxa"/>
            <w:gridSpan w:val="2"/>
            <w:vMerge/>
          </w:tcPr>
          <w:p w14:paraId="1B4D2E55" w14:textId="77777777" w:rsidR="0086415A" w:rsidRPr="000973F2" w:rsidRDefault="0086415A" w:rsidP="00907F7B">
            <w:pPr>
              <w:spacing w:before="40" w:after="4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18"/>
                <w:szCs w:val="18"/>
              </w:rPr>
            </w:pPr>
          </w:p>
        </w:tc>
      </w:tr>
      <w:tr w:rsidR="0086415A" w:rsidRPr="000973F2" w14:paraId="5B64E04E" w14:textId="77777777" w:rsidTr="00B926DD">
        <w:trPr>
          <w:cantSplit/>
        </w:trPr>
        <w:tc>
          <w:tcPr>
            <w:cnfStyle w:val="001000000000" w:firstRow="0" w:lastRow="0" w:firstColumn="1" w:lastColumn="0" w:oddVBand="0" w:evenVBand="0" w:oddHBand="0" w:evenHBand="0" w:firstRowFirstColumn="0" w:firstRowLastColumn="0" w:lastRowFirstColumn="0" w:lastRowLastColumn="0"/>
            <w:tcW w:w="1875" w:type="dxa"/>
            <w:vMerge/>
          </w:tcPr>
          <w:p w14:paraId="78B209C4" w14:textId="77777777" w:rsidR="0086415A" w:rsidRPr="000973F2" w:rsidRDefault="0086415A" w:rsidP="00907F7B">
            <w:pPr>
              <w:spacing w:before="40" w:after="40"/>
              <w:rPr>
                <w:rFonts w:ascii="Times New Roman" w:eastAsia="Times New Roman" w:hAnsi="Times New Roman" w:cs="Times New Roman"/>
                <w:b/>
                <w:bCs w:val="0"/>
                <w:sz w:val="18"/>
                <w:szCs w:val="18"/>
              </w:rPr>
            </w:pPr>
          </w:p>
        </w:tc>
        <w:tc>
          <w:tcPr>
            <w:tcW w:w="1478" w:type="dxa"/>
            <w:gridSpan w:val="2"/>
            <w:noWrap/>
          </w:tcPr>
          <w:p w14:paraId="612DAE4B" w14:textId="77777777" w:rsidR="0086415A" w:rsidRPr="000973F2" w:rsidRDefault="0086415A" w:rsidP="00907F7B">
            <w:pPr>
              <w:spacing w:before="40" w:after="4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sz w:val="18"/>
                <w:szCs w:val="18"/>
              </w:rPr>
            </w:pPr>
            <w:r w:rsidRPr="000973F2">
              <w:rPr>
                <w:rFonts w:ascii="Times New Roman" w:eastAsia="Times New Roman" w:hAnsi="Times New Roman" w:cs="Times New Roman"/>
                <w:b/>
                <w:bCs/>
                <w:sz w:val="18"/>
                <w:szCs w:val="18"/>
              </w:rPr>
              <w:t xml:space="preserve">$112.23 </w:t>
            </w:r>
          </w:p>
        </w:tc>
        <w:tc>
          <w:tcPr>
            <w:tcW w:w="1478" w:type="dxa"/>
            <w:gridSpan w:val="2"/>
            <w:noWrap/>
          </w:tcPr>
          <w:p w14:paraId="30846A75" w14:textId="77777777" w:rsidR="0086415A" w:rsidRPr="000973F2" w:rsidRDefault="0086415A" w:rsidP="00907F7B">
            <w:pPr>
              <w:spacing w:before="40" w:after="4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sz w:val="18"/>
                <w:szCs w:val="18"/>
              </w:rPr>
            </w:pPr>
            <w:r w:rsidRPr="000973F2">
              <w:rPr>
                <w:rFonts w:ascii="Times New Roman" w:eastAsia="Times New Roman" w:hAnsi="Times New Roman" w:cs="Times New Roman"/>
                <w:b/>
                <w:bCs/>
                <w:sz w:val="18"/>
                <w:szCs w:val="18"/>
              </w:rPr>
              <w:t xml:space="preserve">$87.45 </w:t>
            </w:r>
          </w:p>
        </w:tc>
        <w:tc>
          <w:tcPr>
            <w:tcW w:w="1478" w:type="dxa"/>
            <w:gridSpan w:val="2"/>
            <w:noWrap/>
          </w:tcPr>
          <w:p w14:paraId="62F4E3F7" w14:textId="77777777" w:rsidR="0086415A" w:rsidRPr="000973F2" w:rsidRDefault="0086415A" w:rsidP="00907F7B">
            <w:pPr>
              <w:spacing w:before="40" w:after="4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sz w:val="18"/>
                <w:szCs w:val="18"/>
              </w:rPr>
            </w:pPr>
            <w:r w:rsidRPr="000973F2">
              <w:rPr>
                <w:rFonts w:ascii="Times New Roman" w:eastAsia="Times New Roman" w:hAnsi="Times New Roman" w:cs="Times New Roman"/>
                <w:b/>
                <w:bCs/>
                <w:sz w:val="18"/>
                <w:szCs w:val="18"/>
              </w:rPr>
              <w:t xml:space="preserve">$71.45 </w:t>
            </w:r>
          </w:p>
        </w:tc>
        <w:tc>
          <w:tcPr>
            <w:tcW w:w="1478" w:type="dxa"/>
            <w:gridSpan w:val="2"/>
            <w:noWrap/>
          </w:tcPr>
          <w:p w14:paraId="67DA7649" w14:textId="77777777" w:rsidR="0086415A" w:rsidRPr="000973F2" w:rsidRDefault="0086415A" w:rsidP="00907F7B">
            <w:pPr>
              <w:spacing w:before="40" w:after="4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sz w:val="18"/>
                <w:szCs w:val="18"/>
              </w:rPr>
            </w:pPr>
            <w:r w:rsidRPr="000973F2">
              <w:rPr>
                <w:rFonts w:ascii="Times New Roman" w:eastAsia="Times New Roman" w:hAnsi="Times New Roman" w:cs="Times New Roman"/>
                <w:b/>
                <w:bCs/>
                <w:sz w:val="18"/>
                <w:szCs w:val="18"/>
              </w:rPr>
              <w:t xml:space="preserve">$36.28 </w:t>
            </w:r>
          </w:p>
        </w:tc>
        <w:tc>
          <w:tcPr>
            <w:tcW w:w="1543" w:type="dxa"/>
            <w:gridSpan w:val="2"/>
            <w:vMerge/>
          </w:tcPr>
          <w:p w14:paraId="42F8BC84" w14:textId="77777777" w:rsidR="0086415A" w:rsidRPr="000973F2" w:rsidRDefault="0086415A" w:rsidP="00907F7B">
            <w:pPr>
              <w:spacing w:before="40" w:after="4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sz w:val="18"/>
                <w:szCs w:val="18"/>
              </w:rPr>
            </w:pPr>
          </w:p>
        </w:tc>
      </w:tr>
      <w:tr w:rsidR="00907F7B" w:rsidRPr="000973F2" w14:paraId="2EE3E0C4" w14:textId="77777777" w:rsidTr="00907F7B">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1875" w:type="dxa"/>
            <w:vMerge/>
          </w:tcPr>
          <w:p w14:paraId="47FDEDB2" w14:textId="77777777" w:rsidR="0086415A" w:rsidRPr="000973F2" w:rsidRDefault="0086415A" w:rsidP="00907F7B">
            <w:pPr>
              <w:spacing w:before="40" w:after="40"/>
              <w:rPr>
                <w:rFonts w:ascii="Times New Roman" w:eastAsia="Times New Roman" w:hAnsi="Times New Roman" w:cs="Times New Roman"/>
                <w:b/>
                <w:bCs w:val="0"/>
                <w:sz w:val="18"/>
                <w:szCs w:val="18"/>
              </w:rPr>
            </w:pPr>
          </w:p>
        </w:tc>
        <w:tc>
          <w:tcPr>
            <w:tcW w:w="739" w:type="dxa"/>
            <w:tcMar>
              <w:left w:w="14" w:type="dxa"/>
              <w:right w:w="14" w:type="dxa"/>
            </w:tcMar>
          </w:tcPr>
          <w:p w14:paraId="7394ABF0" w14:textId="77777777" w:rsidR="0086415A" w:rsidRPr="000973F2" w:rsidRDefault="0086415A" w:rsidP="00907F7B">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18"/>
                <w:szCs w:val="18"/>
              </w:rPr>
            </w:pPr>
            <w:r w:rsidRPr="000973F2">
              <w:rPr>
                <w:rFonts w:ascii="Times New Roman" w:eastAsia="Times New Roman" w:hAnsi="Times New Roman" w:cs="Times New Roman"/>
                <w:b/>
                <w:bCs/>
                <w:sz w:val="18"/>
                <w:szCs w:val="18"/>
              </w:rPr>
              <w:t>Initial Year Hours</w:t>
            </w:r>
          </w:p>
        </w:tc>
        <w:tc>
          <w:tcPr>
            <w:tcW w:w="739" w:type="dxa"/>
            <w:tcMar>
              <w:left w:w="14" w:type="dxa"/>
              <w:right w:w="14" w:type="dxa"/>
            </w:tcMar>
          </w:tcPr>
          <w:p w14:paraId="29951412" w14:textId="77777777" w:rsidR="0086415A" w:rsidRPr="000973F2" w:rsidRDefault="0086415A" w:rsidP="00907F7B">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18"/>
                <w:szCs w:val="18"/>
              </w:rPr>
            </w:pPr>
            <w:r w:rsidRPr="000973F2">
              <w:rPr>
                <w:rFonts w:ascii="Times New Roman" w:eastAsia="Times New Roman" w:hAnsi="Times New Roman" w:cs="Times New Roman"/>
                <w:b/>
                <w:bCs/>
                <w:sz w:val="18"/>
                <w:szCs w:val="18"/>
              </w:rPr>
              <w:t>Subseq. Year Hours</w:t>
            </w:r>
          </w:p>
        </w:tc>
        <w:tc>
          <w:tcPr>
            <w:tcW w:w="739" w:type="dxa"/>
            <w:tcMar>
              <w:left w:w="14" w:type="dxa"/>
              <w:right w:w="14" w:type="dxa"/>
            </w:tcMar>
          </w:tcPr>
          <w:p w14:paraId="572FB002" w14:textId="77777777" w:rsidR="0086415A" w:rsidRPr="000973F2" w:rsidRDefault="0086415A" w:rsidP="00907F7B">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18"/>
                <w:szCs w:val="18"/>
              </w:rPr>
            </w:pPr>
            <w:r w:rsidRPr="000973F2">
              <w:rPr>
                <w:rFonts w:ascii="Times New Roman" w:eastAsia="Times New Roman" w:hAnsi="Times New Roman" w:cs="Times New Roman"/>
                <w:b/>
                <w:bCs/>
                <w:sz w:val="18"/>
                <w:szCs w:val="18"/>
              </w:rPr>
              <w:t>Initial Year Hours</w:t>
            </w:r>
          </w:p>
        </w:tc>
        <w:tc>
          <w:tcPr>
            <w:tcW w:w="739" w:type="dxa"/>
            <w:tcMar>
              <w:left w:w="14" w:type="dxa"/>
              <w:right w:w="14" w:type="dxa"/>
            </w:tcMar>
          </w:tcPr>
          <w:p w14:paraId="5B8022C7" w14:textId="77777777" w:rsidR="0086415A" w:rsidRPr="000973F2" w:rsidRDefault="0086415A" w:rsidP="00907F7B">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18"/>
                <w:szCs w:val="18"/>
              </w:rPr>
            </w:pPr>
            <w:r w:rsidRPr="000973F2">
              <w:rPr>
                <w:rFonts w:ascii="Times New Roman" w:eastAsia="Times New Roman" w:hAnsi="Times New Roman" w:cs="Times New Roman"/>
                <w:b/>
                <w:bCs/>
                <w:sz w:val="18"/>
                <w:szCs w:val="18"/>
              </w:rPr>
              <w:t>Subseq. Year Hours</w:t>
            </w:r>
          </w:p>
        </w:tc>
        <w:tc>
          <w:tcPr>
            <w:tcW w:w="739" w:type="dxa"/>
            <w:tcMar>
              <w:left w:w="14" w:type="dxa"/>
              <w:right w:w="14" w:type="dxa"/>
            </w:tcMar>
          </w:tcPr>
          <w:p w14:paraId="5DC31544" w14:textId="77777777" w:rsidR="0086415A" w:rsidRPr="000973F2" w:rsidRDefault="0086415A" w:rsidP="00907F7B">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18"/>
                <w:szCs w:val="18"/>
              </w:rPr>
            </w:pPr>
            <w:r w:rsidRPr="000973F2">
              <w:rPr>
                <w:rFonts w:ascii="Times New Roman" w:eastAsia="Times New Roman" w:hAnsi="Times New Roman" w:cs="Times New Roman"/>
                <w:b/>
                <w:bCs/>
                <w:sz w:val="18"/>
                <w:szCs w:val="18"/>
              </w:rPr>
              <w:t>Initial Year Hours</w:t>
            </w:r>
          </w:p>
        </w:tc>
        <w:tc>
          <w:tcPr>
            <w:tcW w:w="739" w:type="dxa"/>
            <w:tcMar>
              <w:left w:w="14" w:type="dxa"/>
              <w:right w:w="14" w:type="dxa"/>
            </w:tcMar>
          </w:tcPr>
          <w:p w14:paraId="2013BDE7" w14:textId="77777777" w:rsidR="0086415A" w:rsidRPr="000973F2" w:rsidRDefault="0086415A" w:rsidP="00907F7B">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18"/>
                <w:szCs w:val="18"/>
              </w:rPr>
            </w:pPr>
            <w:r w:rsidRPr="000973F2">
              <w:rPr>
                <w:rFonts w:ascii="Times New Roman" w:eastAsia="Times New Roman" w:hAnsi="Times New Roman" w:cs="Times New Roman"/>
                <w:b/>
                <w:bCs/>
                <w:sz w:val="18"/>
                <w:szCs w:val="18"/>
              </w:rPr>
              <w:t>Subseq. Year Hours</w:t>
            </w:r>
          </w:p>
        </w:tc>
        <w:tc>
          <w:tcPr>
            <w:tcW w:w="739" w:type="dxa"/>
            <w:tcMar>
              <w:left w:w="14" w:type="dxa"/>
              <w:right w:w="14" w:type="dxa"/>
            </w:tcMar>
          </w:tcPr>
          <w:p w14:paraId="3069057C" w14:textId="77777777" w:rsidR="0086415A" w:rsidRPr="000973F2" w:rsidRDefault="0086415A" w:rsidP="00907F7B">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18"/>
                <w:szCs w:val="18"/>
              </w:rPr>
            </w:pPr>
            <w:r w:rsidRPr="000973F2">
              <w:rPr>
                <w:rFonts w:ascii="Times New Roman" w:eastAsia="Times New Roman" w:hAnsi="Times New Roman" w:cs="Times New Roman"/>
                <w:b/>
                <w:bCs/>
                <w:sz w:val="18"/>
                <w:szCs w:val="18"/>
              </w:rPr>
              <w:t>Initial Year Hours</w:t>
            </w:r>
          </w:p>
        </w:tc>
        <w:tc>
          <w:tcPr>
            <w:tcW w:w="739" w:type="dxa"/>
            <w:tcMar>
              <w:left w:w="14" w:type="dxa"/>
              <w:right w:w="14" w:type="dxa"/>
            </w:tcMar>
          </w:tcPr>
          <w:p w14:paraId="48043339" w14:textId="77777777" w:rsidR="0086415A" w:rsidRPr="000973F2" w:rsidRDefault="0086415A" w:rsidP="00907F7B">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18"/>
                <w:szCs w:val="18"/>
              </w:rPr>
            </w:pPr>
            <w:r w:rsidRPr="000973F2">
              <w:rPr>
                <w:rFonts w:ascii="Times New Roman" w:eastAsia="Times New Roman" w:hAnsi="Times New Roman" w:cs="Times New Roman"/>
                <w:b/>
                <w:bCs/>
                <w:sz w:val="18"/>
                <w:szCs w:val="18"/>
              </w:rPr>
              <w:t>Subseq. Year Hours</w:t>
            </w:r>
          </w:p>
        </w:tc>
        <w:tc>
          <w:tcPr>
            <w:tcW w:w="707" w:type="dxa"/>
            <w:tcMar>
              <w:left w:w="14" w:type="dxa"/>
              <w:right w:w="14" w:type="dxa"/>
            </w:tcMar>
          </w:tcPr>
          <w:p w14:paraId="642DEEFE" w14:textId="77777777" w:rsidR="0086415A" w:rsidRPr="000973F2" w:rsidRDefault="0086415A" w:rsidP="00907F7B">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18"/>
                <w:szCs w:val="18"/>
              </w:rPr>
            </w:pPr>
            <w:r w:rsidRPr="000973F2">
              <w:rPr>
                <w:rFonts w:ascii="Times New Roman" w:eastAsia="Times New Roman" w:hAnsi="Times New Roman" w:cs="Times New Roman"/>
                <w:b/>
                <w:bCs/>
                <w:sz w:val="18"/>
                <w:szCs w:val="18"/>
              </w:rPr>
              <w:t>Initial Year</w:t>
            </w:r>
          </w:p>
        </w:tc>
        <w:tc>
          <w:tcPr>
            <w:tcW w:w="836" w:type="dxa"/>
            <w:tcMar>
              <w:left w:w="14" w:type="dxa"/>
              <w:right w:w="14" w:type="dxa"/>
            </w:tcMar>
          </w:tcPr>
          <w:p w14:paraId="51366595" w14:textId="77777777" w:rsidR="0086415A" w:rsidRPr="000973F2" w:rsidRDefault="0086415A" w:rsidP="00907F7B">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18"/>
                <w:szCs w:val="18"/>
              </w:rPr>
            </w:pPr>
            <w:r w:rsidRPr="000973F2">
              <w:rPr>
                <w:rFonts w:ascii="Times New Roman" w:eastAsia="Times New Roman" w:hAnsi="Times New Roman" w:cs="Times New Roman"/>
                <w:b/>
                <w:bCs/>
                <w:sz w:val="18"/>
                <w:szCs w:val="18"/>
              </w:rPr>
              <w:t>Subseq. Year</w:t>
            </w:r>
          </w:p>
        </w:tc>
      </w:tr>
      <w:tr w:rsidR="00907F7B" w:rsidRPr="000973F2" w14:paraId="596E04EE" w14:textId="77777777" w:rsidTr="00907F7B">
        <w:trPr>
          <w:cantSplit/>
        </w:trPr>
        <w:tc>
          <w:tcPr>
            <w:cnfStyle w:val="001000000000" w:firstRow="0" w:lastRow="0" w:firstColumn="1" w:lastColumn="0" w:oddVBand="0" w:evenVBand="0" w:oddHBand="0" w:evenHBand="0" w:firstRowFirstColumn="0" w:firstRowLastColumn="0" w:lastRowFirstColumn="0" w:lastRowLastColumn="0"/>
            <w:tcW w:w="1875" w:type="dxa"/>
            <w:tcMar>
              <w:left w:w="115" w:type="dxa"/>
              <w:right w:w="14" w:type="dxa"/>
            </w:tcMar>
          </w:tcPr>
          <w:p w14:paraId="77329EA9" w14:textId="77777777" w:rsidR="0086415A" w:rsidRPr="000973F2" w:rsidRDefault="0086415A" w:rsidP="00907F7B">
            <w:pPr>
              <w:spacing w:before="40" w:after="4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Planning</w:t>
            </w:r>
          </w:p>
        </w:tc>
        <w:tc>
          <w:tcPr>
            <w:tcW w:w="739" w:type="dxa"/>
            <w:noWrap/>
          </w:tcPr>
          <w:p w14:paraId="6BFDA2F7" w14:textId="77777777" w:rsidR="0086415A" w:rsidRPr="000973F2" w:rsidRDefault="0086415A" w:rsidP="00C63C55">
            <w:pPr>
              <w:spacing w:before="40" w:after="4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0</w:t>
            </w:r>
          </w:p>
        </w:tc>
        <w:tc>
          <w:tcPr>
            <w:tcW w:w="739" w:type="dxa"/>
            <w:noWrap/>
          </w:tcPr>
          <w:p w14:paraId="7C61DB62" w14:textId="77777777" w:rsidR="0086415A" w:rsidRPr="000973F2" w:rsidRDefault="0086415A" w:rsidP="00C63C55">
            <w:pPr>
              <w:spacing w:before="40" w:after="4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2</w:t>
            </w:r>
          </w:p>
        </w:tc>
        <w:tc>
          <w:tcPr>
            <w:tcW w:w="739" w:type="dxa"/>
            <w:noWrap/>
          </w:tcPr>
          <w:p w14:paraId="512A2FF8" w14:textId="77777777" w:rsidR="0086415A" w:rsidRPr="000973F2" w:rsidRDefault="0086415A" w:rsidP="00C63C55">
            <w:pPr>
              <w:spacing w:before="40" w:after="4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0</w:t>
            </w:r>
          </w:p>
        </w:tc>
        <w:tc>
          <w:tcPr>
            <w:tcW w:w="739" w:type="dxa"/>
            <w:noWrap/>
          </w:tcPr>
          <w:p w14:paraId="5A7F1030" w14:textId="77777777" w:rsidR="0086415A" w:rsidRPr="000973F2" w:rsidRDefault="0086415A" w:rsidP="00C63C55">
            <w:pPr>
              <w:tabs>
                <w:tab w:val="decimal" w:pos="286"/>
              </w:tabs>
              <w:spacing w:before="40" w:after="4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0.2</w:t>
            </w:r>
          </w:p>
        </w:tc>
        <w:tc>
          <w:tcPr>
            <w:tcW w:w="739" w:type="dxa"/>
            <w:noWrap/>
          </w:tcPr>
          <w:p w14:paraId="579CEC22" w14:textId="77777777" w:rsidR="0086415A" w:rsidRPr="000973F2" w:rsidRDefault="0086415A" w:rsidP="00C63C55">
            <w:pPr>
              <w:spacing w:before="40" w:after="4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0</w:t>
            </w:r>
          </w:p>
        </w:tc>
        <w:tc>
          <w:tcPr>
            <w:tcW w:w="739" w:type="dxa"/>
            <w:noWrap/>
          </w:tcPr>
          <w:p w14:paraId="3A1BC75E" w14:textId="77777777" w:rsidR="0086415A" w:rsidRPr="000973F2" w:rsidRDefault="0086415A" w:rsidP="00C63C55">
            <w:pPr>
              <w:tabs>
                <w:tab w:val="decimal" w:pos="331"/>
              </w:tabs>
              <w:spacing w:before="40" w:after="4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2</w:t>
            </w:r>
          </w:p>
        </w:tc>
        <w:tc>
          <w:tcPr>
            <w:tcW w:w="739" w:type="dxa"/>
            <w:noWrap/>
          </w:tcPr>
          <w:p w14:paraId="56BC3405" w14:textId="77777777" w:rsidR="0086415A" w:rsidRPr="000973F2" w:rsidRDefault="0086415A" w:rsidP="00C63C55">
            <w:pPr>
              <w:spacing w:before="40" w:after="4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0</w:t>
            </w:r>
          </w:p>
        </w:tc>
        <w:tc>
          <w:tcPr>
            <w:tcW w:w="739" w:type="dxa"/>
            <w:noWrap/>
          </w:tcPr>
          <w:p w14:paraId="0D24799D" w14:textId="77777777" w:rsidR="0086415A" w:rsidRPr="000973F2" w:rsidRDefault="0086415A" w:rsidP="00C63C55">
            <w:pPr>
              <w:tabs>
                <w:tab w:val="decimal" w:pos="301"/>
              </w:tabs>
              <w:spacing w:before="40" w:after="4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0.2</w:t>
            </w:r>
          </w:p>
        </w:tc>
        <w:tc>
          <w:tcPr>
            <w:tcW w:w="707" w:type="dxa"/>
            <w:noWrap/>
          </w:tcPr>
          <w:p w14:paraId="4B5A2EB0" w14:textId="77777777" w:rsidR="0086415A" w:rsidRPr="000973F2" w:rsidRDefault="0086415A" w:rsidP="00C63C55">
            <w:pPr>
              <w:spacing w:before="40" w:after="4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$0</w:t>
            </w:r>
          </w:p>
        </w:tc>
        <w:tc>
          <w:tcPr>
            <w:tcW w:w="836" w:type="dxa"/>
            <w:noWrap/>
          </w:tcPr>
          <w:p w14:paraId="5DBDE7AF" w14:textId="77777777" w:rsidR="0086415A" w:rsidRPr="000973F2" w:rsidRDefault="0086415A" w:rsidP="00C63C55">
            <w:pPr>
              <w:tabs>
                <w:tab w:val="decimal" w:pos="496"/>
              </w:tabs>
              <w:spacing w:before="40" w:after="4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$392</w:t>
            </w:r>
          </w:p>
        </w:tc>
      </w:tr>
      <w:tr w:rsidR="00907F7B" w:rsidRPr="000973F2" w14:paraId="580E0B4B" w14:textId="77777777" w:rsidTr="00907F7B">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1875" w:type="dxa"/>
            <w:tcMar>
              <w:left w:w="115" w:type="dxa"/>
              <w:right w:w="14" w:type="dxa"/>
            </w:tcMar>
          </w:tcPr>
          <w:p w14:paraId="6CC00EED" w14:textId="77777777" w:rsidR="0086415A" w:rsidRPr="000973F2" w:rsidRDefault="0086415A" w:rsidP="00907F7B">
            <w:pPr>
              <w:spacing w:before="40" w:after="4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QA/QC</w:t>
            </w:r>
          </w:p>
        </w:tc>
        <w:tc>
          <w:tcPr>
            <w:tcW w:w="739" w:type="dxa"/>
            <w:noWrap/>
          </w:tcPr>
          <w:p w14:paraId="1F098C97" w14:textId="77777777" w:rsidR="0086415A" w:rsidRPr="000973F2" w:rsidRDefault="0086415A" w:rsidP="00C63C55">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0</w:t>
            </w:r>
          </w:p>
        </w:tc>
        <w:tc>
          <w:tcPr>
            <w:tcW w:w="739" w:type="dxa"/>
            <w:noWrap/>
          </w:tcPr>
          <w:p w14:paraId="4C634550" w14:textId="77777777" w:rsidR="0086415A" w:rsidRPr="000973F2" w:rsidRDefault="0086415A" w:rsidP="00C63C55">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0</w:t>
            </w:r>
          </w:p>
        </w:tc>
        <w:tc>
          <w:tcPr>
            <w:tcW w:w="739" w:type="dxa"/>
            <w:noWrap/>
          </w:tcPr>
          <w:p w14:paraId="1766DA58" w14:textId="77777777" w:rsidR="0086415A" w:rsidRPr="000973F2" w:rsidRDefault="0086415A" w:rsidP="00C63C55">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0</w:t>
            </w:r>
          </w:p>
        </w:tc>
        <w:tc>
          <w:tcPr>
            <w:tcW w:w="739" w:type="dxa"/>
            <w:noWrap/>
          </w:tcPr>
          <w:p w14:paraId="5FD311FF" w14:textId="77777777" w:rsidR="0086415A" w:rsidRPr="000973F2" w:rsidRDefault="0086415A" w:rsidP="00C63C55">
            <w:pPr>
              <w:tabs>
                <w:tab w:val="decimal" w:pos="286"/>
              </w:tabs>
              <w:spacing w:before="40" w:after="4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0.4</w:t>
            </w:r>
          </w:p>
        </w:tc>
        <w:tc>
          <w:tcPr>
            <w:tcW w:w="739" w:type="dxa"/>
            <w:noWrap/>
          </w:tcPr>
          <w:p w14:paraId="3F664E09" w14:textId="77777777" w:rsidR="0086415A" w:rsidRPr="000973F2" w:rsidRDefault="0086415A" w:rsidP="00C63C55">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0</w:t>
            </w:r>
          </w:p>
        </w:tc>
        <w:tc>
          <w:tcPr>
            <w:tcW w:w="739" w:type="dxa"/>
            <w:noWrap/>
          </w:tcPr>
          <w:p w14:paraId="52CC8669" w14:textId="77777777" w:rsidR="0086415A" w:rsidRPr="000973F2" w:rsidRDefault="0086415A" w:rsidP="00C63C55">
            <w:pPr>
              <w:tabs>
                <w:tab w:val="decimal" w:pos="331"/>
              </w:tabs>
              <w:spacing w:before="40" w:after="4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4</w:t>
            </w:r>
          </w:p>
        </w:tc>
        <w:tc>
          <w:tcPr>
            <w:tcW w:w="739" w:type="dxa"/>
            <w:noWrap/>
          </w:tcPr>
          <w:p w14:paraId="0B4D4D81" w14:textId="77777777" w:rsidR="0086415A" w:rsidRPr="000973F2" w:rsidRDefault="0086415A" w:rsidP="00C63C55">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0</w:t>
            </w:r>
          </w:p>
        </w:tc>
        <w:tc>
          <w:tcPr>
            <w:tcW w:w="739" w:type="dxa"/>
            <w:noWrap/>
          </w:tcPr>
          <w:p w14:paraId="2FA2FBCC" w14:textId="77777777" w:rsidR="0086415A" w:rsidRPr="000973F2" w:rsidRDefault="0086415A" w:rsidP="00C63C55">
            <w:pPr>
              <w:tabs>
                <w:tab w:val="decimal" w:pos="301"/>
              </w:tabs>
              <w:spacing w:before="40" w:after="4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0.4</w:t>
            </w:r>
          </w:p>
        </w:tc>
        <w:tc>
          <w:tcPr>
            <w:tcW w:w="707" w:type="dxa"/>
            <w:noWrap/>
          </w:tcPr>
          <w:p w14:paraId="1AA281DA" w14:textId="77777777" w:rsidR="0086415A" w:rsidRPr="000973F2" w:rsidRDefault="0086415A" w:rsidP="00C63C55">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$0</w:t>
            </w:r>
          </w:p>
        </w:tc>
        <w:tc>
          <w:tcPr>
            <w:tcW w:w="836" w:type="dxa"/>
            <w:noWrap/>
          </w:tcPr>
          <w:p w14:paraId="675C3945" w14:textId="77777777" w:rsidR="0086415A" w:rsidRPr="000973F2" w:rsidRDefault="0086415A" w:rsidP="00C63C55">
            <w:pPr>
              <w:tabs>
                <w:tab w:val="decimal" w:pos="496"/>
              </w:tabs>
              <w:spacing w:before="40" w:after="4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$335</w:t>
            </w:r>
          </w:p>
        </w:tc>
      </w:tr>
      <w:tr w:rsidR="00907F7B" w:rsidRPr="000973F2" w14:paraId="26FF99C8" w14:textId="77777777" w:rsidTr="00907F7B">
        <w:trPr>
          <w:cantSplit/>
        </w:trPr>
        <w:tc>
          <w:tcPr>
            <w:cnfStyle w:val="001000000000" w:firstRow="0" w:lastRow="0" w:firstColumn="1" w:lastColumn="0" w:oddVBand="0" w:evenVBand="0" w:oddHBand="0" w:evenHBand="0" w:firstRowFirstColumn="0" w:firstRowLastColumn="0" w:lastRowFirstColumn="0" w:lastRowLastColumn="0"/>
            <w:tcW w:w="1875" w:type="dxa"/>
            <w:tcMar>
              <w:left w:w="115" w:type="dxa"/>
              <w:right w:w="14" w:type="dxa"/>
            </w:tcMar>
          </w:tcPr>
          <w:p w14:paraId="2DD4266C" w14:textId="77777777" w:rsidR="0086415A" w:rsidRPr="000973F2" w:rsidRDefault="0086415A" w:rsidP="00907F7B">
            <w:pPr>
              <w:spacing w:before="40" w:after="4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Recordkeeping</w:t>
            </w:r>
          </w:p>
        </w:tc>
        <w:tc>
          <w:tcPr>
            <w:tcW w:w="739" w:type="dxa"/>
            <w:noWrap/>
          </w:tcPr>
          <w:p w14:paraId="3ED2BF79" w14:textId="77777777" w:rsidR="0086415A" w:rsidRPr="000973F2" w:rsidRDefault="0086415A" w:rsidP="00C63C55">
            <w:pPr>
              <w:spacing w:before="40" w:after="4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0</w:t>
            </w:r>
          </w:p>
        </w:tc>
        <w:tc>
          <w:tcPr>
            <w:tcW w:w="739" w:type="dxa"/>
            <w:noWrap/>
          </w:tcPr>
          <w:p w14:paraId="36084E50" w14:textId="77777777" w:rsidR="0086415A" w:rsidRPr="000973F2" w:rsidRDefault="0086415A" w:rsidP="00C63C55">
            <w:pPr>
              <w:spacing w:before="40" w:after="4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0</w:t>
            </w:r>
          </w:p>
        </w:tc>
        <w:tc>
          <w:tcPr>
            <w:tcW w:w="739" w:type="dxa"/>
            <w:noWrap/>
          </w:tcPr>
          <w:p w14:paraId="77B1263B" w14:textId="77777777" w:rsidR="0086415A" w:rsidRPr="000973F2" w:rsidRDefault="0086415A" w:rsidP="00C63C55">
            <w:pPr>
              <w:spacing w:before="40" w:after="4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0</w:t>
            </w:r>
          </w:p>
        </w:tc>
        <w:tc>
          <w:tcPr>
            <w:tcW w:w="739" w:type="dxa"/>
            <w:noWrap/>
          </w:tcPr>
          <w:p w14:paraId="62149719" w14:textId="77777777" w:rsidR="0086415A" w:rsidRPr="000973F2" w:rsidRDefault="0086415A" w:rsidP="00C63C55">
            <w:pPr>
              <w:tabs>
                <w:tab w:val="decimal" w:pos="286"/>
              </w:tabs>
              <w:spacing w:before="40" w:after="4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0.5</w:t>
            </w:r>
          </w:p>
        </w:tc>
        <w:tc>
          <w:tcPr>
            <w:tcW w:w="739" w:type="dxa"/>
            <w:noWrap/>
          </w:tcPr>
          <w:p w14:paraId="4AF5890D" w14:textId="77777777" w:rsidR="0086415A" w:rsidRPr="000973F2" w:rsidRDefault="0086415A" w:rsidP="00C63C55">
            <w:pPr>
              <w:spacing w:before="40" w:after="4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0</w:t>
            </w:r>
          </w:p>
        </w:tc>
        <w:tc>
          <w:tcPr>
            <w:tcW w:w="739" w:type="dxa"/>
            <w:noWrap/>
          </w:tcPr>
          <w:p w14:paraId="489791F0" w14:textId="77777777" w:rsidR="0086415A" w:rsidRPr="000973F2" w:rsidRDefault="0086415A" w:rsidP="00C63C55">
            <w:pPr>
              <w:tabs>
                <w:tab w:val="decimal" w:pos="331"/>
              </w:tabs>
              <w:spacing w:before="40" w:after="4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5</w:t>
            </w:r>
          </w:p>
        </w:tc>
        <w:tc>
          <w:tcPr>
            <w:tcW w:w="739" w:type="dxa"/>
            <w:noWrap/>
          </w:tcPr>
          <w:p w14:paraId="79C67256" w14:textId="77777777" w:rsidR="0086415A" w:rsidRPr="000973F2" w:rsidRDefault="0086415A" w:rsidP="00C63C55">
            <w:pPr>
              <w:spacing w:before="40" w:after="4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0</w:t>
            </w:r>
          </w:p>
        </w:tc>
        <w:tc>
          <w:tcPr>
            <w:tcW w:w="739" w:type="dxa"/>
            <w:noWrap/>
          </w:tcPr>
          <w:p w14:paraId="4D1D3864" w14:textId="77777777" w:rsidR="0086415A" w:rsidRPr="000973F2" w:rsidRDefault="0086415A" w:rsidP="00C63C55">
            <w:pPr>
              <w:tabs>
                <w:tab w:val="decimal" w:pos="301"/>
              </w:tabs>
              <w:spacing w:before="40" w:after="4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0.5</w:t>
            </w:r>
          </w:p>
        </w:tc>
        <w:tc>
          <w:tcPr>
            <w:tcW w:w="707" w:type="dxa"/>
            <w:noWrap/>
          </w:tcPr>
          <w:p w14:paraId="75092493" w14:textId="77777777" w:rsidR="0086415A" w:rsidRPr="000973F2" w:rsidRDefault="0086415A" w:rsidP="00C63C55">
            <w:pPr>
              <w:spacing w:before="40" w:after="4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$0</w:t>
            </w:r>
          </w:p>
        </w:tc>
        <w:tc>
          <w:tcPr>
            <w:tcW w:w="836" w:type="dxa"/>
            <w:noWrap/>
          </w:tcPr>
          <w:p w14:paraId="7ACD09D8" w14:textId="77777777" w:rsidR="0086415A" w:rsidRPr="000973F2" w:rsidRDefault="0086415A" w:rsidP="00C63C55">
            <w:pPr>
              <w:tabs>
                <w:tab w:val="decimal" w:pos="496"/>
              </w:tabs>
              <w:spacing w:before="40" w:after="4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$419</w:t>
            </w:r>
          </w:p>
        </w:tc>
      </w:tr>
      <w:tr w:rsidR="00907F7B" w:rsidRPr="000973F2" w14:paraId="71E136AA" w14:textId="77777777" w:rsidTr="00907F7B">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1875" w:type="dxa"/>
            <w:tcMar>
              <w:left w:w="115" w:type="dxa"/>
              <w:right w:w="14" w:type="dxa"/>
            </w:tcMar>
          </w:tcPr>
          <w:p w14:paraId="36BB604E" w14:textId="77777777" w:rsidR="0086415A" w:rsidRPr="000973F2" w:rsidRDefault="0086415A" w:rsidP="00907F7B">
            <w:pPr>
              <w:spacing w:before="40" w:after="4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Sampling and Analysis (Calculations)</w:t>
            </w:r>
          </w:p>
        </w:tc>
        <w:tc>
          <w:tcPr>
            <w:tcW w:w="739" w:type="dxa"/>
            <w:noWrap/>
          </w:tcPr>
          <w:p w14:paraId="4D6A5139" w14:textId="77777777" w:rsidR="0086415A" w:rsidRPr="000973F2" w:rsidRDefault="0086415A" w:rsidP="00C63C55">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0</w:t>
            </w:r>
          </w:p>
        </w:tc>
        <w:tc>
          <w:tcPr>
            <w:tcW w:w="739" w:type="dxa"/>
            <w:noWrap/>
          </w:tcPr>
          <w:p w14:paraId="02BADD17" w14:textId="77777777" w:rsidR="0086415A" w:rsidRPr="000973F2" w:rsidRDefault="0086415A" w:rsidP="00C63C55">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0</w:t>
            </w:r>
          </w:p>
        </w:tc>
        <w:tc>
          <w:tcPr>
            <w:tcW w:w="739" w:type="dxa"/>
            <w:noWrap/>
          </w:tcPr>
          <w:p w14:paraId="55C0659D" w14:textId="77777777" w:rsidR="0086415A" w:rsidRPr="000973F2" w:rsidRDefault="0086415A" w:rsidP="00C63C55">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0</w:t>
            </w:r>
          </w:p>
        </w:tc>
        <w:tc>
          <w:tcPr>
            <w:tcW w:w="739" w:type="dxa"/>
            <w:noWrap/>
          </w:tcPr>
          <w:p w14:paraId="510722F6" w14:textId="77777777" w:rsidR="0086415A" w:rsidRPr="000973F2" w:rsidRDefault="0086415A" w:rsidP="00C63C55">
            <w:pPr>
              <w:tabs>
                <w:tab w:val="decimal" w:pos="286"/>
              </w:tabs>
              <w:spacing w:before="40" w:after="4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0.3</w:t>
            </w:r>
          </w:p>
        </w:tc>
        <w:tc>
          <w:tcPr>
            <w:tcW w:w="739" w:type="dxa"/>
            <w:noWrap/>
          </w:tcPr>
          <w:p w14:paraId="19D50991" w14:textId="77777777" w:rsidR="0086415A" w:rsidRPr="000973F2" w:rsidRDefault="0086415A" w:rsidP="00C63C55">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0</w:t>
            </w:r>
          </w:p>
        </w:tc>
        <w:tc>
          <w:tcPr>
            <w:tcW w:w="739" w:type="dxa"/>
            <w:noWrap/>
          </w:tcPr>
          <w:p w14:paraId="1CDCBD1F" w14:textId="77777777" w:rsidR="0086415A" w:rsidRPr="000973F2" w:rsidRDefault="0086415A" w:rsidP="00C63C55">
            <w:pPr>
              <w:tabs>
                <w:tab w:val="decimal" w:pos="331"/>
              </w:tabs>
              <w:spacing w:before="40" w:after="4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3</w:t>
            </w:r>
          </w:p>
        </w:tc>
        <w:tc>
          <w:tcPr>
            <w:tcW w:w="739" w:type="dxa"/>
            <w:noWrap/>
          </w:tcPr>
          <w:p w14:paraId="5B4FFFA3" w14:textId="77777777" w:rsidR="0086415A" w:rsidRPr="000973F2" w:rsidRDefault="0086415A" w:rsidP="00C63C55">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0</w:t>
            </w:r>
          </w:p>
        </w:tc>
        <w:tc>
          <w:tcPr>
            <w:tcW w:w="739" w:type="dxa"/>
            <w:noWrap/>
          </w:tcPr>
          <w:p w14:paraId="270F04F4" w14:textId="77777777" w:rsidR="0086415A" w:rsidRPr="000973F2" w:rsidRDefault="0086415A" w:rsidP="00C63C55">
            <w:pPr>
              <w:tabs>
                <w:tab w:val="decimal" w:pos="301"/>
              </w:tabs>
              <w:spacing w:before="40" w:after="4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0.3</w:t>
            </w:r>
          </w:p>
        </w:tc>
        <w:tc>
          <w:tcPr>
            <w:tcW w:w="707" w:type="dxa"/>
            <w:noWrap/>
          </w:tcPr>
          <w:p w14:paraId="063DDE55" w14:textId="77777777" w:rsidR="0086415A" w:rsidRPr="000973F2" w:rsidRDefault="0086415A" w:rsidP="00C63C55">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$0</w:t>
            </w:r>
          </w:p>
        </w:tc>
        <w:tc>
          <w:tcPr>
            <w:tcW w:w="836" w:type="dxa"/>
            <w:noWrap/>
          </w:tcPr>
          <w:p w14:paraId="0E87269E" w14:textId="77777777" w:rsidR="0086415A" w:rsidRPr="000973F2" w:rsidRDefault="0086415A" w:rsidP="00C63C55">
            <w:pPr>
              <w:tabs>
                <w:tab w:val="decimal" w:pos="496"/>
              </w:tabs>
              <w:spacing w:before="40" w:after="4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$251</w:t>
            </w:r>
          </w:p>
        </w:tc>
      </w:tr>
      <w:tr w:rsidR="00907F7B" w:rsidRPr="000973F2" w14:paraId="6A5981E5" w14:textId="77777777" w:rsidTr="00907F7B">
        <w:trPr>
          <w:cantSplit/>
        </w:trPr>
        <w:tc>
          <w:tcPr>
            <w:cnfStyle w:val="001000000000" w:firstRow="0" w:lastRow="0" w:firstColumn="1" w:lastColumn="0" w:oddVBand="0" w:evenVBand="0" w:oddHBand="0" w:evenHBand="0" w:firstRowFirstColumn="0" w:firstRowLastColumn="0" w:lastRowFirstColumn="0" w:lastRowLastColumn="0"/>
            <w:tcW w:w="1875" w:type="dxa"/>
            <w:tcMar>
              <w:left w:w="115" w:type="dxa"/>
              <w:right w:w="14" w:type="dxa"/>
            </w:tcMar>
          </w:tcPr>
          <w:p w14:paraId="67FB0B98" w14:textId="77777777" w:rsidR="0086415A" w:rsidRPr="000973F2" w:rsidRDefault="0086415A" w:rsidP="00907F7B">
            <w:pPr>
              <w:spacing w:before="40" w:after="4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Reporting</w:t>
            </w:r>
          </w:p>
        </w:tc>
        <w:tc>
          <w:tcPr>
            <w:tcW w:w="739" w:type="dxa"/>
            <w:noWrap/>
          </w:tcPr>
          <w:p w14:paraId="24F8BF88" w14:textId="77777777" w:rsidR="0086415A" w:rsidRPr="000973F2" w:rsidRDefault="0086415A" w:rsidP="00C63C55">
            <w:pPr>
              <w:spacing w:before="40" w:after="4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0</w:t>
            </w:r>
          </w:p>
        </w:tc>
        <w:tc>
          <w:tcPr>
            <w:tcW w:w="739" w:type="dxa"/>
            <w:noWrap/>
          </w:tcPr>
          <w:p w14:paraId="75D87ACD" w14:textId="77777777" w:rsidR="0086415A" w:rsidRPr="000973F2" w:rsidRDefault="0086415A" w:rsidP="00C63C55">
            <w:pPr>
              <w:spacing w:before="40" w:after="4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0</w:t>
            </w:r>
          </w:p>
        </w:tc>
        <w:tc>
          <w:tcPr>
            <w:tcW w:w="739" w:type="dxa"/>
            <w:noWrap/>
          </w:tcPr>
          <w:p w14:paraId="0CEC05BC" w14:textId="77777777" w:rsidR="0086415A" w:rsidRPr="000973F2" w:rsidRDefault="0086415A" w:rsidP="00C63C55">
            <w:pPr>
              <w:spacing w:before="40" w:after="4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0</w:t>
            </w:r>
          </w:p>
        </w:tc>
        <w:tc>
          <w:tcPr>
            <w:tcW w:w="739" w:type="dxa"/>
            <w:noWrap/>
          </w:tcPr>
          <w:p w14:paraId="55A4A921" w14:textId="77777777" w:rsidR="0086415A" w:rsidRPr="000973F2" w:rsidRDefault="0086415A" w:rsidP="00C63C55">
            <w:pPr>
              <w:tabs>
                <w:tab w:val="decimal" w:pos="286"/>
              </w:tabs>
              <w:spacing w:before="40" w:after="4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1</w:t>
            </w:r>
          </w:p>
        </w:tc>
        <w:tc>
          <w:tcPr>
            <w:tcW w:w="739" w:type="dxa"/>
            <w:noWrap/>
          </w:tcPr>
          <w:p w14:paraId="28F93ACB" w14:textId="77777777" w:rsidR="0086415A" w:rsidRPr="000973F2" w:rsidRDefault="0086415A" w:rsidP="00C63C55">
            <w:pPr>
              <w:spacing w:before="40" w:after="4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0</w:t>
            </w:r>
          </w:p>
        </w:tc>
        <w:tc>
          <w:tcPr>
            <w:tcW w:w="739" w:type="dxa"/>
            <w:noWrap/>
          </w:tcPr>
          <w:p w14:paraId="7C51557C" w14:textId="77777777" w:rsidR="0086415A" w:rsidRPr="000973F2" w:rsidRDefault="0086415A" w:rsidP="00C63C55">
            <w:pPr>
              <w:tabs>
                <w:tab w:val="decimal" w:pos="331"/>
              </w:tabs>
              <w:spacing w:before="40" w:after="4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10</w:t>
            </w:r>
          </w:p>
        </w:tc>
        <w:tc>
          <w:tcPr>
            <w:tcW w:w="739" w:type="dxa"/>
            <w:noWrap/>
          </w:tcPr>
          <w:p w14:paraId="57496AC9" w14:textId="77777777" w:rsidR="0086415A" w:rsidRPr="000973F2" w:rsidRDefault="0086415A" w:rsidP="00C63C55">
            <w:pPr>
              <w:spacing w:before="40" w:after="4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0</w:t>
            </w:r>
          </w:p>
        </w:tc>
        <w:tc>
          <w:tcPr>
            <w:tcW w:w="739" w:type="dxa"/>
            <w:noWrap/>
          </w:tcPr>
          <w:p w14:paraId="36927ADC" w14:textId="77777777" w:rsidR="0086415A" w:rsidRPr="000973F2" w:rsidRDefault="0086415A" w:rsidP="00C63C55">
            <w:pPr>
              <w:tabs>
                <w:tab w:val="decimal" w:pos="301"/>
              </w:tabs>
              <w:spacing w:before="40" w:after="4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1</w:t>
            </w:r>
          </w:p>
        </w:tc>
        <w:tc>
          <w:tcPr>
            <w:tcW w:w="707" w:type="dxa"/>
            <w:noWrap/>
          </w:tcPr>
          <w:p w14:paraId="2C801B98" w14:textId="77777777" w:rsidR="0086415A" w:rsidRPr="000973F2" w:rsidRDefault="0086415A" w:rsidP="00C63C55">
            <w:pPr>
              <w:spacing w:before="40" w:after="4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$0</w:t>
            </w:r>
          </w:p>
        </w:tc>
        <w:tc>
          <w:tcPr>
            <w:tcW w:w="836" w:type="dxa"/>
            <w:noWrap/>
          </w:tcPr>
          <w:p w14:paraId="49AF6F9C" w14:textId="77777777" w:rsidR="0086415A" w:rsidRPr="000973F2" w:rsidRDefault="0086415A" w:rsidP="00C63C55">
            <w:pPr>
              <w:tabs>
                <w:tab w:val="decimal" w:pos="496"/>
              </w:tabs>
              <w:spacing w:before="40" w:after="4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$838</w:t>
            </w:r>
          </w:p>
        </w:tc>
      </w:tr>
      <w:tr w:rsidR="00907F7B" w:rsidRPr="000973F2" w14:paraId="55F2BF1E" w14:textId="77777777" w:rsidTr="00907F7B">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1875" w:type="dxa"/>
            <w:noWrap/>
            <w:tcMar>
              <w:left w:w="115" w:type="dxa"/>
              <w:right w:w="14" w:type="dxa"/>
            </w:tcMar>
          </w:tcPr>
          <w:p w14:paraId="06D92050" w14:textId="77777777" w:rsidR="0086415A" w:rsidRPr="000973F2" w:rsidRDefault="0086415A" w:rsidP="00907F7B">
            <w:pPr>
              <w:spacing w:before="40" w:after="40"/>
              <w:rPr>
                <w:rFonts w:ascii="Times New Roman" w:eastAsia="Times New Roman" w:hAnsi="Times New Roman" w:cs="Times New Roman"/>
                <w:b/>
                <w:bCs w:val="0"/>
                <w:sz w:val="18"/>
                <w:szCs w:val="18"/>
              </w:rPr>
            </w:pPr>
            <w:r w:rsidRPr="000973F2">
              <w:rPr>
                <w:rFonts w:ascii="Times New Roman" w:eastAsia="Times New Roman" w:hAnsi="Times New Roman" w:cs="Times New Roman"/>
                <w:b/>
                <w:sz w:val="18"/>
                <w:szCs w:val="18"/>
              </w:rPr>
              <w:t>Total</w:t>
            </w:r>
          </w:p>
        </w:tc>
        <w:tc>
          <w:tcPr>
            <w:tcW w:w="739" w:type="dxa"/>
            <w:noWrap/>
          </w:tcPr>
          <w:p w14:paraId="52B942AD" w14:textId="77777777" w:rsidR="0086415A" w:rsidRPr="000973F2" w:rsidRDefault="0086415A" w:rsidP="00C63C55">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18"/>
                <w:szCs w:val="18"/>
              </w:rPr>
            </w:pPr>
            <w:r w:rsidRPr="000973F2">
              <w:rPr>
                <w:rFonts w:ascii="Times New Roman" w:eastAsia="Times New Roman" w:hAnsi="Times New Roman" w:cs="Times New Roman"/>
                <w:b/>
                <w:bCs/>
                <w:sz w:val="18"/>
                <w:szCs w:val="18"/>
              </w:rPr>
              <w:t>0</w:t>
            </w:r>
          </w:p>
        </w:tc>
        <w:tc>
          <w:tcPr>
            <w:tcW w:w="739" w:type="dxa"/>
            <w:noWrap/>
          </w:tcPr>
          <w:p w14:paraId="283FC7BB" w14:textId="77777777" w:rsidR="0086415A" w:rsidRPr="000973F2" w:rsidRDefault="0086415A" w:rsidP="00C63C55">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18"/>
                <w:szCs w:val="18"/>
              </w:rPr>
            </w:pPr>
            <w:r w:rsidRPr="000973F2">
              <w:rPr>
                <w:rFonts w:ascii="Times New Roman" w:eastAsia="Times New Roman" w:hAnsi="Times New Roman" w:cs="Times New Roman"/>
                <w:b/>
                <w:bCs/>
                <w:sz w:val="18"/>
                <w:szCs w:val="18"/>
              </w:rPr>
              <w:t>2</w:t>
            </w:r>
          </w:p>
        </w:tc>
        <w:tc>
          <w:tcPr>
            <w:tcW w:w="739" w:type="dxa"/>
            <w:noWrap/>
          </w:tcPr>
          <w:p w14:paraId="31DE2574" w14:textId="77777777" w:rsidR="0086415A" w:rsidRPr="000973F2" w:rsidRDefault="0086415A" w:rsidP="00C63C55">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18"/>
                <w:szCs w:val="18"/>
              </w:rPr>
            </w:pPr>
            <w:r w:rsidRPr="000973F2">
              <w:rPr>
                <w:rFonts w:ascii="Times New Roman" w:eastAsia="Times New Roman" w:hAnsi="Times New Roman" w:cs="Times New Roman"/>
                <w:b/>
                <w:bCs/>
                <w:sz w:val="18"/>
                <w:szCs w:val="18"/>
              </w:rPr>
              <w:t>0</w:t>
            </w:r>
          </w:p>
        </w:tc>
        <w:tc>
          <w:tcPr>
            <w:tcW w:w="739" w:type="dxa"/>
            <w:noWrap/>
          </w:tcPr>
          <w:p w14:paraId="324FA8C9" w14:textId="77777777" w:rsidR="0086415A" w:rsidRPr="000973F2" w:rsidRDefault="0086415A" w:rsidP="00C63C55">
            <w:pPr>
              <w:tabs>
                <w:tab w:val="decimal" w:pos="286"/>
              </w:tabs>
              <w:spacing w:before="40" w:after="4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18"/>
                <w:szCs w:val="18"/>
              </w:rPr>
            </w:pPr>
            <w:r w:rsidRPr="000973F2">
              <w:rPr>
                <w:rFonts w:ascii="Times New Roman" w:eastAsia="Times New Roman" w:hAnsi="Times New Roman" w:cs="Times New Roman"/>
                <w:b/>
                <w:bCs/>
                <w:sz w:val="18"/>
                <w:szCs w:val="18"/>
              </w:rPr>
              <w:t>2.4</w:t>
            </w:r>
          </w:p>
        </w:tc>
        <w:tc>
          <w:tcPr>
            <w:tcW w:w="739" w:type="dxa"/>
            <w:noWrap/>
          </w:tcPr>
          <w:p w14:paraId="350AF219" w14:textId="77777777" w:rsidR="0086415A" w:rsidRPr="000973F2" w:rsidRDefault="0086415A" w:rsidP="00C63C55">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18"/>
                <w:szCs w:val="18"/>
              </w:rPr>
            </w:pPr>
            <w:r w:rsidRPr="000973F2">
              <w:rPr>
                <w:rFonts w:ascii="Times New Roman" w:eastAsia="Times New Roman" w:hAnsi="Times New Roman" w:cs="Times New Roman"/>
                <w:b/>
                <w:bCs/>
                <w:sz w:val="18"/>
                <w:szCs w:val="18"/>
              </w:rPr>
              <w:t>0</w:t>
            </w:r>
          </w:p>
        </w:tc>
        <w:tc>
          <w:tcPr>
            <w:tcW w:w="739" w:type="dxa"/>
            <w:noWrap/>
          </w:tcPr>
          <w:p w14:paraId="7FF68311" w14:textId="77777777" w:rsidR="0086415A" w:rsidRPr="000973F2" w:rsidRDefault="0086415A" w:rsidP="00C63C55">
            <w:pPr>
              <w:tabs>
                <w:tab w:val="decimal" w:pos="331"/>
              </w:tabs>
              <w:spacing w:before="40" w:after="4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18"/>
                <w:szCs w:val="18"/>
              </w:rPr>
            </w:pPr>
            <w:r w:rsidRPr="000973F2">
              <w:rPr>
                <w:rFonts w:ascii="Times New Roman" w:eastAsia="Times New Roman" w:hAnsi="Times New Roman" w:cs="Times New Roman"/>
                <w:b/>
                <w:bCs/>
                <w:sz w:val="18"/>
                <w:szCs w:val="18"/>
              </w:rPr>
              <w:t>24</w:t>
            </w:r>
          </w:p>
        </w:tc>
        <w:tc>
          <w:tcPr>
            <w:tcW w:w="739" w:type="dxa"/>
            <w:noWrap/>
          </w:tcPr>
          <w:p w14:paraId="2F0F2926" w14:textId="77777777" w:rsidR="0086415A" w:rsidRPr="000973F2" w:rsidRDefault="0086415A" w:rsidP="00C63C55">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18"/>
                <w:szCs w:val="18"/>
              </w:rPr>
            </w:pPr>
            <w:r w:rsidRPr="000973F2">
              <w:rPr>
                <w:rFonts w:ascii="Times New Roman" w:eastAsia="Times New Roman" w:hAnsi="Times New Roman" w:cs="Times New Roman"/>
                <w:b/>
                <w:bCs/>
                <w:sz w:val="18"/>
                <w:szCs w:val="18"/>
              </w:rPr>
              <w:t>0</w:t>
            </w:r>
          </w:p>
        </w:tc>
        <w:tc>
          <w:tcPr>
            <w:tcW w:w="739" w:type="dxa"/>
            <w:noWrap/>
          </w:tcPr>
          <w:p w14:paraId="73AA67F3" w14:textId="77777777" w:rsidR="0086415A" w:rsidRPr="000973F2" w:rsidRDefault="0086415A" w:rsidP="00C63C55">
            <w:pPr>
              <w:tabs>
                <w:tab w:val="decimal" w:pos="301"/>
              </w:tabs>
              <w:spacing w:before="40" w:after="4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18"/>
                <w:szCs w:val="18"/>
              </w:rPr>
            </w:pPr>
            <w:r w:rsidRPr="000973F2">
              <w:rPr>
                <w:rFonts w:ascii="Times New Roman" w:eastAsia="Times New Roman" w:hAnsi="Times New Roman" w:cs="Times New Roman"/>
                <w:b/>
                <w:bCs/>
                <w:sz w:val="18"/>
                <w:szCs w:val="18"/>
              </w:rPr>
              <w:t>2.4</w:t>
            </w:r>
          </w:p>
        </w:tc>
        <w:tc>
          <w:tcPr>
            <w:tcW w:w="707" w:type="dxa"/>
            <w:noWrap/>
          </w:tcPr>
          <w:p w14:paraId="6B62CA9D" w14:textId="77777777" w:rsidR="0086415A" w:rsidRPr="000973F2" w:rsidRDefault="0086415A" w:rsidP="00C63C55">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18"/>
                <w:szCs w:val="18"/>
              </w:rPr>
            </w:pPr>
            <w:r w:rsidRPr="000973F2">
              <w:rPr>
                <w:rFonts w:ascii="Times New Roman" w:eastAsia="Times New Roman" w:hAnsi="Times New Roman" w:cs="Times New Roman"/>
                <w:b/>
                <w:bCs/>
                <w:sz w:val="18"/>
                <w:szCs w:val="18"/>
              </w:rPr>
              <w:t>$0</w:t>
            </w:r>
          </w:p>
        </w:tc>
        <w:tc>
          <w:tcPr>
            <w:tcW w:w="836" w:type="dxa"/>
            <w:noWrap/>
          </w:tcPr>
          <w:p w14:paraId="4803D442" w14:textId="77777777" w:rsidR="0086415A" w:rsidRPr="000973F2" w:rsidRDefault="0086415A" w:rsidP="00C63C55">
            <w:pPr>
              <w:tabs>
                <w:tab w:val="decimal" w:pos="496"/>
              </w:tabs>
              <w:spacing w:before="40" w:after="4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18"/>
                <w:szCs w:val="18"/>
              </w:rPr>
            </w:pPr>
            <w:r w:rsidRPr="000973F2">
              <w:rPr>
                <w:rFonts w:ascii="Times New Roman" w:eastAsia="Times New Roman" w:hAnsi="Times New Roman" w:cs="Times New Roman"/>
                <w:b/>
                <w:bCs/>
                <w:sz w:val="18"/>
                <w:szCs w:val="18"/>
              </w:rPr>
              <w:t>$2,236</w:t>
            </w:r>
          </w:p>
        </w:tc>
      </w:tr>
    </w:tbl>
    <w:p w14:paraId="5C9AC540" w14:textId="5CAB6D64" w:rsidR="0086415A" w:rsidRPr="000973F2" w:rsidRDefault="0086415A" w:rsidP="00C00E4F">
      <w:pPr>
        <w:spacing w:line="240" w:lineRule="auto"/>
        <w:rPr>
          <w:rFonts w:ascii="Times New Roman" w:hAnsi="Times New Roman" w:cs="Times New Roman"/>
          <w:sz w:val="24"/>
          <w:szCs w:val="18"/>
        </w:rPr>
      </w:pPr>
    </w:p>
    <w:p w14:paraId="37908858" w14:textId="339D5075" w:rsidR="00D826A6" w:rsidRPr="000973F2" w:rsidRDefault="00B00E3D" w:rsidP="00907F7B">
      <w:pPr>
        <w:pStyle w:val="Tabletitle"/>
        <w:rPr>
          <w:sz w:val="24"/>
          <w:szCs w:val="18"/>
        </w:rPr>
      </w:pPr>
      <w:r w:rsidRPr="000973F2">
        <w:t xml:space="preserve">Table </w:t>
      </w:r>
      <w:r w:rsidR="00907F7B" w:rsidRPr="000973F2">
        <w:t>Y-</w:t>
      </w:r>
      <w:r w:rsidRPr="000973F2">
        <w:t xml:space="preserve">2b. Labor Costs </w:t>
      </w:r>
      <w:r w:rsidR="00B960CC" w:rsidRPr="000973F2">
        <w:t>–</w:t>
      </w:r>
      <w:r w:rsidRPr="000973F2">
        <w:t xml:space="preserve"> </w:t>
      </w:r>
      <w:r w:rsidR="00D826A6" w:rsidRPr="000973F2">
        <w:t>Subpart Y – Asphalt Refinery</w:t>
      </w:r>
    </w:p>
    <w:tbl>
      <w:tblPr>
        <w:tblStyle w:val="PlainTable1"/>
        <w:tblW w:w="5000" w:type="pct"/>
        <w:jc w:val="left"/>
        <w:tblLayout w:type="fixed"/>
        <w:tblCellMar>
          <w:left w:w="115" w:type="dxa"/>
          <w:right w:w="115" w:type="dxa"/>
        </w:tblCellMar>
        <w:tblLook w:val="04A0" w:firstRow="1" w:lastRow="0" w:firstColumn="1" w:lastColumn="0" w:noHBand="0" w:noVBand="1"/>
      </w:tblPr>
      <w:tblGrid>
        <w:gridCol w:w="1916"/>
        <w:gridCol w:w="763"/>
        <w:gridCol w:w="764"/>
        <w:gridCol w:w="765"/>
        <w:gridCol w:w="765"/>
        <w:gridCol w:w="764"/>
        <w:gridCol w:w="765"/>
        <w:gridCol w:w="765"/>
        <w:gridCol w:w="765"/>
        <w:gridCol w:w="686"/>
        <w:gridCol w:w="872"/>
      </w:tblGrid>
      <w:tr w:rsidR="0086415A" w:rsidRPr="000973F2" w14:paraId="23F54152" w14:textId="77777777" w:rsidTr="00B926DD">
        <w:trPr>
          <w:cnfStyle w:val="100000000000" w:firstRow="1" w:lastRow="0" w:firstColumn="0" w:lastColumn="0" w:oddVBand="0" w:evenVBand="0" w:oddHBand="0" w:evenHBand="0" w:firstRowFirstColumn="0" w:firstRowLastColumn="0" w:lastRowFirstColumn="0" w:lastRowLastColumn="0"/>
          <w:cantSplit/>
          <w:jc w:val="left"/>
        </w:trPr>
        <w:tc>
          <w:tcPr>
            <w:cnfStyle w:val="001000000000" w:firstRow="0" w:lastRow="0" w:firstColumn="1" w:lastColumn="0" w:oddVBand="0" w:evenVBand="0" w:oddHBand="0" w:evenHBand="0" w:firstRowFirstColumn="0" w:firstRowLastColumn="0" w:lastRowFirstColumn="0" w:lastRowLastColumn="0"/>
            <w:tcW w:w="1865" w:type="dxa"/>
            <w:vMerge w:val="restart"/>
            <w:noWrap/>
            <w:vAlign w:val="top"/>
          </w:tcPr>
          <w:p w14:paraId="4381580B" w14:textId="77777777" w:rsidR="0086415A" w:rsidRPr="000973F2" w:rsidRDefault="0086415A" w:rsidP="00907F7B">
            <w:pPr>
              <w:spacing w:before="40" w:after="40"/>
              <w:rPr>
                <w:rFonts w:ascii="Times New Roman" w:eastAsia="Times New Roman" w:hAnsi="Times New Roman" w:cs="Times New Roman"/>
                <w:bCs w:val="0"/>
                <w:sz w:val="18"/>
                <w:szCs w:val="18"/>
              </w:rPr>
            </w:pPr>
            <w:r w:rsidRPr="000973F2">
              <w:rPr>
                <w:rFonts w:ascii="Times New Roman" w:eastAsia="Times New Roman" w:hAnsi="Times New Roman" w:cs="Times New Roman"/>
                <w:bCs w:val="0"/>
                <w:sz w:val="18"/>
                <w:szCs w:val="18"/>
              </w:rPr>
              <w:t>Activity</w:t>
            </w:r>
          </w:p>
        </w:tc>
        <w:tc>
          <w:tcPr>
            <w:tcW w:w="5950" w:type="dxa"/>
            <w:gridSpan w:val="8"/>
            <w:noWrap/>
            <w:vAlign w:val="top"/>
          </w:tcPr>
          <w:p w14:paraId="541B76DC" w14:textId="77777777" w:rsidR="0086415A" w:rsidRPr="000973F2" w:rsidRDefault="0086415A" w:rsidP="00907F7B">
            <w:pPr>
              <w:spacing w:before="40" w:after="40"/>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Cs w:val="0"/>
                <w:sz w:val="18"/>
                <w:szCs w:val="18"/>
              </w:rPr>
            </w:pPr>
            <w:r w:rsidRPr="000973F2">
              <w:rPr>
                <w:rFonts w:ascii="Times New Roman" w:eastAsia="Times New Roman" w:hAnsi="Times New Roman" w:cs="Times New Roman"/>
                <w:bCs w:val="0"/>
                <w:sz w:val="18"/>
                <w:szCs w:val="18"/>
              </w:rPr>
              <w:t>Labor Rates (per hour)</w:t>
            </w:r>
          </w:p>
        </w:tc>
        <w:tc>
          <w:tcPr>
            <w:tcW w:w="1515" w:type="dxa"/>
            <w:gridSpan w:val="2"/>
            <w:vMerge w:val="restart"/>
            <w:vAlign w:val="top"/>
          </w:tcPr>
          <w:p w14:paraId="3CABC019" w14:textId="77777777" w:rsidR="0086415A" w:rsidRPr="000973F2" w:rsidRDefault="0086415A" w:rsidP="00907F7B">
            <w:pPr>
              <w:spacing w:before="40" w:after="40"/>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Cs w:val="0"/>
                <w:sz w:val="18"/>
                <w:szCs w:val="18"/>
              </w:rPr>
            </w:pPr>
            <w:r w:rsidRPr="000973F2">
              <w:rPr>
                <w:rFonts w:ascii="Times New Roman" w:eastAsia="Times New Roman" w:hAnsi="Times New Roman" w:cs="Times New Roman"/>
                <w:bCs w:val="0"/>
                <w:sz w:val="18"/>
                <w:szCs w:val="18"/>
              </w:rPr>
              <w:t>Total Labor Cost per Year per Facility (2017$)</w:t>
            </w:r>
          </w:p>
        </w:tc>
      </w:tr>
      <w:tr w:rsidR="00C63C55" w:rsidRPr="000973F2" w14:paraId="6FF64E7C" w14:textId="77777777" w:rsidTr="00C63C55">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1865" w:type="dxa"/>
            <w:vMerge/>
          </w:tcPr>
          <w:p w14:paraId="12D7B026" w14:textId="77777777" w:rsidR="0086415A" w:rsidRPr="000973F2" w:rsidRDefault="0086415A" w:rsidP="00907F7B">
            <w:pPr>
              <w:spacing w:before="40" w:after="40"/>
              <w:rPr>
                <w:rFonts w:ascii="Times New Roman" w:eastAsia="Times New Roman" w:hAnsi="Times New Roman" w:cs="Times New Roman"/>
                <w:b/>
                <w:bCs w:val="0"/>
                <w:sz w:val="18"/>
                <w:szCs w:val="18"/>
              </w:rPr>
            </w:pPr>
          </w:p>
        </w:tc>
        <w:tc>
          <w:tcPr>
            <w:tcW w:w="1487" w:type="dxa"/>
            <w:gridSpan w:val="2"/>
            <w:noWrap/>
          </w:tcPr>
          <w:p w14:paraId="778D4E9C" w14:textId="77777777" w:rsidR="0086415A" w:rsidRPr="000973F2" w:rsidRDefault="0086415A" w:rsidP="00907F7B">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18"/>
                <w:szCs w:val="18"/>
              </w:rPr>
            </w:pPr>
            <w:r w:rsidRPr="000973F2">
              <w:rPr>
                <w:rFonts w:ascii="Times New Roman" w:eastAsia="Times New Roman" w:hAnsi="Times New Roman" w:cs="Times New Roman"/>
                <w:b/>
                <w:bCs/>
                <w:sz w:val="18"/>
                <w:szCs w:val="18"/>
              </w:rPr>
              <w:t>Lawyer</w:t>
            </w:r>
          </w:p>
        </w:tc>
        <w:tc>
          <w:tcPr>
            <w:tcW w:w="1488" w:type="dxa"/>
            <w:gridSpan w:val="2"/>
            <w:noWrap/>
          </w:tcPr>
          <w:p w14:paraId="030DA858" w14:textId="77777777" w:rsidR="0086415A" w:rsidRPr="000973F2" w:rsidRDefault="0086415A" w:rsidP="00907F7B">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18"/>
                <w:szCs w:val="18"/>
              </w:rPr>
            </w:pPr>
            <w:r w:rsidRPr="000973F2">
              <w:rPr>
                <w:rFonts w:ascii="Times New Roman" w:eastAsia="Times New Roman" w:hAnsi="Times New Roman" w:cs="Times New Roman"/>
                <w:b/>
                <w:bCs/>
                <w:sz w:val="18"/>
                <w:szCs w:val="18"/>
              </w:rPr>
              <w:t>Industrial Manager</w:t>
            </w:r>
          </w:p>
        </w:tc>
        <w:tc>
          <w:tcPr>
            <w:tcW w:w="1487" w:type="dxa"/>
            <w:gridSpan w:val="2"/>
          </w:tcPr>
          <w:p w14:paraId="3DFFDA36" w14:textId="78229C32" w:rsidR="0086415A" w:rsidRPr="000973F2" w:rsidRDefault="0086415A" w:rsidP="00907F7B">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18"/>
                <w:szCs w:val="18"/>
              </w:rPr>
            </w:pPr>
            <w:r w:rsidRPr="000973F2">
              <w:rPr>
                <w:rFonts w:ascii="Times New Roman" w:eastAsia="Times New Roman" w:hAnsi="Times New Roman" w:cs="Times New Roman"/>
                <w:b/>
                <w:bCs/>
                <w:sz w:val="18"/>
                <w:szCs w:val="18"/>
              </w:rPr>
              <w:t>Industrial Engineer/</w:t>
            </w:r>
            <w:r w:rsidR="00907F7B" w:rsidRPr="000973F2">
              <w:rPr>
                <w:rFonts w:ascii="Times New Roman" w:eastAsia="Times New Roman" w:hAnsi="Times New Roman" w:cs="Times New Roman"/>
                <w:b/>
                <w:bCs/>
                <w:sz w:val="18"/>
                <w:szCs w:val="18"/>
              </w:rPr>
              <w:t xml:space="preserve"> </w:t>
            </w:r>
            <w:r w:rsidRPr="000973F2">
              <w:rPr>
                <w:rFonts w:ascii="Times New Roman" w:eastAsia="Times New Roman" w:hAnsi="Times New Roman" w:cs="Times New Roman"/>
                <w:b/>
                <w:bCs/>
                <w:sz w:val="18"/>
                <w:szCs w:val="18"/>
              </w:rPr>
              <w:t>Technician</w:t>
            </w:r>
          </w:p>
        </w:tc>
        <w:tc>
          <w:tcPr>
            <w:tcW w:w="1488" w:type="dxa"/>
            <w:gridSpan w:val="2"/>
          </w:tcPr>
          <w:p w14:paraId="1B6323D6" w14:textId="77777777" w:rsidR="0086415A" w:rsidRPr="000973F2" w:rsidRDefault="0086415A" w:rsidP="00907F7B">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18"/>
                <w:szCs w:val="18"/>
              </w:rPr>
            </w:pPr>
            <w:r w:rsidRPr="000973F2">
              <w:rPr>
                <w:rFonts w:ascii="Times New Roman" w:eastAsia="Times New Roman" w:hAnsi="Times New Roman" w:cs="Times New Roman"/>
                <w:b/>
                <w:bCs/>
                <w:sz w:val="18"/>
                <w:szCs w:val="18"/>
              </w:rPr>
              <w:t>Administrative Support</w:t>
            </w:r>
          </w:p>
        </w:tc>
        <w:tc>
          <w:tcPr>
            <w:tcW w:w="1515" w:type="dxa"/>
            <w:gridSpan w:val="2"/>
            <w:vMerge/>
          </w:tcPr>
          <w:p w14:paraId="45628788" w14:textId="77777777" w:rsidR="0086415A" w:rsidRPr="000973F2" w:rsidRDefault="0086415A" w:rsidP="00907F7B">
            <w:pPr>
              <w:spacing w:before="40" w:after="4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18"/>
                <w:szCs w:val="18"/>
              </w:rPr>
            </w:pPr>
          </w:p>
        </w:tc>
      </w:tr>
      <w:tr w:rsidR="00C63C55" w:rsidRPr="000973F2" w14:paraId="000DAF1F" w14:textId="77777777" w:rsidTr="00C63C55">
        <w:trPr>
          <w:cantSplit/>
        </w:trPr>
        <w:tc>
          <w:tcPr>
            <w:cnfStyle w:val="001000000000" w:firstRow="0" w:lastRow="0" w:firstColumn="1" w:lastColumn="0" w:oddVBand="0" w:evenVBand="0" w:oddHBand="0" w:evenHBand="0" w:firstRowFirstColumn="0" w:firstRowLastColumn="0" w:lastRowFirstColumn="0" w:lastRowLastColumn="0"/>
            <w:tcW w:w="1865" w:type="dxa"/>
            <w:vMerge/>
          </w:tcPr>
          <w:p w14:paraId="572DE255" w14:textId="77777777" w:rsidR="0086415A" w:rsidRPr="000973F2" w:rsidRDefault="0086415A" w:rsidP="00907F7B">
            <w:pPr>
              <w:spacing w:before="40" w:after="40"/>
              <w:rPr>
                <w:rFonts w:ascii="Times New Roman" w:eastAsia="Times New Roman" w:hAnsi="Times New Roman" w:cs="Times New Roman"/>
                <w:b/>
                <w:bCs w:val="0"/>
                <w:sz w:val="18"/>
                <w:szCs w:val="18"/>
              </w:rPr>
            </w:pPr>
          </w:p>
        </w:tc>
        <w:tc>
          <w:tcPr>
            <w:tcW w:w="1487" w:type="dxa"/>
            <w:gridSpan w:val="2"/>
            <w:noWrap/>
          </w:tcPr>
          <w:p w14:paraId="1650B751" w14:textId="77777777" w:rsidR="0086415A" w:rsidRPr="000973F2" w:rsidRDefault="0086415A" w:rsidP="00907F7B">
            <w:pPr>
              <w:spacing w:before="40" w:after="4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sz w:val="18"/>
                <w:szCs w:val="18"/>
              </w:rPr>
            </w:pPr>
            <w:r w:rsidRPr="000973F2">
              <w:rPr>
                <w:rFonts w:ascii="Times New Roman" w:eastAsia="Times New Roman" w:hAnsi="Times New Roman" w:cs="Times New Roman"/>
                <w:b/>
                <w:bCs/>
                <w:sz w:val="18"/>
                <w:szCs w:val="18"/>
              </w:rPr>
              <w:t xml:space="preserve">$112.23 </w:t>
            </w:r>
          </w:p>
        </w:tc>
        <w:tc>
          <w:tcPr>
            <w:tcW w:w="1488" w:type="dxa"/>
            <w:gridSpan w:val="2"/>
            <w:noWrap/>
          </w:tcPr>
          <w:p w14:paraId="31954923" w14:textId="77777777" w:rsidR="0086415A" w:rsidRPr="000973F2" w:rsidRDefault="0086415A" w:rsidP="00907F7B">
            <w:pPr>
              <w:spacing w:before="40" w:after="4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sz w:val="18"/>
                <w:szCs w:val="18"/>
              </w:rPr>
            </w:pPr>
            <w:r w:rsidRPr="000973F2">
              <w:rPr>
                <w:rFonts w:ascii="Times New Roman" w:eastAsia="Times New Roman" w:hAnsi="Times New Roman" w:cs="Times New Roman"/>
                <w:b/>
                <w:bCs/>
                <w:sz w:val="18"/>
                <w:szCs w:val="18"/>
              </w:rPr>
              <w:t xml:space="preserve">$87.45 </w:t>
            </w:r>
          </w:p>
        </w:tc>
        <w:tc>
          <w:tcPr>
            <w:tcW w:w="1487" w:type="dxa"/>
            <w:gridSpan w:val="2"/>
            <w:noWrap/>
          </w:tcPr>
          <w:p w14:paraId="47238BB9" w14:textId="77777777" w:rsidR="0086415A" w:rsidRPr="000973F2" w:rsidRDefault="0086415A" w:rsidP="00907F7B">
            <w:pPr>
              <w:spacing w:before="40" w:after="4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sz w:val="18"/>
                <w:szCs w:val="18"/>
              </w:rPr>
            </w:pPr>
            <w:r w:rsidRPr="000973F2">
              <w:rPr>
                <w:rFonts w:ascii="Times New Roman" w:eastAsia="Times New Roman" w:hAnsi="Times New Roman" w:cs="Times New Roman"/>
                <w:b/>
                <w:bCs/>
                <w:sz w:val="18"/>
                <w:szCs w:val="18"/>
              </w:rPr>
              <w:t xml:space="preserve">$71.45 </w:t>
            </w:r>
          </w:p>
        </w:tc>
        <w:tc>
          <w:tcPr>
            <w:tcW w:w="1488" w:type="dxa"/>
            <w:gridSpan w:val="2"/>
            <w:noWrap/>
          </w:tcPr>
          <w:p w14:paraId="39B4010A" w14:textId="77777777" w:rsidR="0086415A" w:rsidRPr="000973F2" w:rsidRDefault="0086415A" w:rsidP="00907F7B">
            <w:pPr>
              <w:spacing w:before="40" w:after="4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sz w:val="18"/>
                <w:szCs w:val="18"/>
              </w:rPr>
            </w:pPr>
            <w:r w:rsidRPr="000973F2">
              <w:rPr>
                <w:rFonts w:ascii="Times New Roman" w:eastAsia="Times New Roman" w:hAnsi="Times New Roman" w:cs="Times New Roman"/>
                <w:b/>
                <w:bCs/>
                <w:sz w:val="18"/>
                <w:szCs w:val="18"/>
              </w:rPr>
              <w:t xml:space="preserve">$36.28 </w:t>
            </w:r>
          </w:p>
        </w:tc>
        <w:tc>
          <w:tcPr>
            <w:tcW w:w="1515" w:type="dxa"/>
            <w:gridSpan w:val="2"/>
            <w:vMerge/>
          </w:tcPr>
          <w:p w14:paraId="4998A563" w14:textId="77777777" w:rsidR="0086415A" w:rsidRPr="000973F2" w:rsidRDefault="0086415A" w:rsidP="00907F7B">
            <w:pPr>
              <w:spacing w:before="40" w:after="4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sz w:val="18"/>
                <w:szCs w:val="18"/>
              </w:rPr>
            </w:pPr>
          </w:p>
        </w:tc>
      </w:tr>
      <w:tr w:rsidR="00C63C55" w:rsidRPr="000973F2" w14:paraId="4EBE7FDC" w14:textId="77777777" w:rsidTr="00C63C55">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1865" w:type="dxa"/>
            <w:vMerge/>
          </w:tcPr>
          <w:p w14:paraId="2803D7CF" w14:textId="77777777" w:rsidR="0086415A" w:rsidRPr="000973F2" w:rsidRDefault="0086415A" w:rsidP="00907F7B">
            <w:pPr>
              <w:spacing w:before="40" w:after="40"/>
              <w:rPr>
                <w:rFonts w:ascii="Times New Roman" w:eastAsia="Times New Roman" w:hAnsi="Times New Roman" w:cs="Times New Roman"/>
                <w:b/>
                <w:bCs w:val="0"/>
                <w:sz w:val="18"/>
                <w:szCs w:val="18"/>
              </w:rPr>
            </w:pPr>
          </w:p>
        </w:tc>
        <w:tc>
          <w:tcPr>
            <w:tcW w:w="743" w:type="dxa"/>
            <w:tcMar>
              <w:left w:w="14" w:type="dxa"/>
              <w:right w:w="14" w:type="dxa"/>
            </w:tcMar>
          </w:tcPr>
          <w:p w14:paraId="367AE5BC" w14:textId="77777777" w:rsidR="0086415A" w:rsidRPr="000973F2" w:rsidRDefault="0086415A" w:rsidP="00907F7B">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18"/>
                <w:szCs w:val="18"/>
              </w:rPr>
            </w:pPr>
            <w:r w:rsidRPr="000973F2">
              <w:rPr>
                <w:rFonts w:ascii="Times New Roman" w:eastAsia="Times New Roman" w:hAnsi="Times New Roman" w:cs="Times New Roman"/>
                <w:b/>
                <w:bCs/>
                <w:sz w:val="18"/>
                <w:szCs w:val="18"/>
              </w:rPr>
              <w:t>Initial Year Hours</w:t>
            </w:r>
          </w:p>
        </w:tc>
        <w:tc>
          <w:tcPr>
            <w:tcW w:w="744" w:type="dxa"/>
            <w:tcMar>
              <w:left w:w="14" w:type="dxa"/>
              <w:right w:w="14" w:type="dxa"/>
            </w:tcMar>
          </w:tcPr>
          <w:p w14:paraId="23CC33FE" w14:textId="77777777" w:rsidR="0086415A" w:rsidRPr="000973F2" w:rsidRDefault="0086415A" w:rsidP="00907F7B">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18"/>
                <w:szCs w:val="18"/>
              </w:rPr>
            </w:pPr>
            <w:r w:rsidRPr="000973F2">
              <w:rPr>
                <w:rFonts w:ascii="Times New Roman" w:eastAsia="Times New Roman" w:hAnsi="Times New Roman" w:cs="Times New Roman"/>
                <w:b/>
                <w:bCs/>
                <w:sz w:val="18"/>
                <w:szCs w:val="18"/>
              </w:rPr>
              <w:t>Subseq. Year Hours</w:t>
            </w:r>
          </w:p>
        </w:tc>
        <w:tc>
          <w:tcPr>
            <w:tcW w:w="744" w:type="dxa"/>
            <w:tcMar>
              <w:left w:w="14" w:type="dxa"/>
              <w:right w:w="14" w:type="dxa"/>
            </w:tcMar>
          </w:tcPr>
          <w:p w14:paraId="6BF350D1" w14:textId="77777777" w:rsidR="0086415A" w:rsidRPr="000973F2" w:rsidRDefault="0086415A" w:rsidP="00907F7B">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18"/>
                <w:szCs w:val="18"/>
              </w:rPr>
            </w:pPr>
            <w:r w:rsidRPr="000973F2">
              <w:rPr>
                <w:rFonts w:ascii="Times New Roman" w:eastAsia="Times New Roman" w:hAnsi="Times New Roman" w:cs="Times New Roman"/>
                <w:b/>
                <w:bCs/>
                <w:sz w:val="18"/>
                <w:szCs w:val="18"/>
              </w:rPr>
              <w:t>Initial Year Hours</w:t>
            </w:r>
          </w:p>
        </w:tc>
        <w:tc>
          <w:tcPr>
            <w:tcW w:w="744" w:type="dxa"/>
            <w:tcMar>
              <w:left w:w="14" w:type="dxa"/>
              <w:right w:w="14" w:type="dxa"/>
            </w:tcMar>
          </w:tcPr>
          <w:p w14:paraId="70704EF2" w14:textId="77777777" w:rsidR="0086415A" w:rsidRPr="000973F2" w:rsidRDefault="0086415A" w:rsidP="00907F7B">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18"/>
                <w:szCs w:val="18"/>
              </w:rPr>
            </w:pPr>
            <w:r w:rsidRPr="000973F2">
              <w:rPr>
                <w:rFonts w:ascii="Times New Roman" w:eastAsia="Times New Roman" w:hAnsi="Times New Roman" w:cs="Times New Roman"/>
                <w:b/>
                <w:bCs/>
                <w:sz w:val="18"/>
                <w:szCs w:val="18"/>
              </w:rPr>
              <w:t>Subseq. Year Hours</w:t>
            </w:r>
          </w:p>
        </w:tc>
        <w:tc>
          <w:tcPr>
            <w:tcW w:w="743" w:type="dxa"/>
            <w:tcMar>
              <w:left w:w="14" w:type="dxa"/>
              <w:right w:w="14" w:type="dxa"/>
            </w:tcMar>
          </w:tcPr>
          <w:p w14:paraId="1F917ED8" w14:textId="77777777" w:rsidR="0086415A" w:rsidRPr="000973F2" w:rsidRDefault="0086415A" w:rsidP="00907F7B">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18"/>
                <w:szCs w:val="18"/>
              </w:rPr>
            </w:pPr>
            <w:r w:rsidRPr="000973F2">
              <w:rPr>
                <w:rFonts w:ascii="Times New Roman" w:eastAsia="Times New Roman" w:hAnsi="Times New Roman" w:cs="Times New Roman"/>
                <w:b/>
                <w:bCs/>
                <w:sz w:val="18"/>
                <w:szCs w:val="18"/>
              </w:rPr>
              <w:t>Initial Year Hours</w:t>
            </w:r>
          </w:p>
        </w:tc>
        <w:tc>
          <w:tcPr>
            <w:tcW w:w="744" w:type="dxa"/>
            <w:tcMar>
              <w:left w:w="14" w:type="dxa"/>
              <w:right w:w="14" w:type="dxa"/>
            </w:tcMar>
          </w:tcPr>
          <w:p w14:paraId="2BBBF1B9" w14:textId="77777777" w:rsidR="0086415A" w:rsidRPr="000973F2" w:rsidRDefault="0086415A" w:rsidP="00907F7B">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18"/>
                <w:szCs w:val="18"/>
              </w:rPr>
            </w:pPr>
            <w:r w:rsidRPr="000973F2">
              <w:rPr>
                <w:rFonts w:ascii="Times New Roman" w:eastAsia="Times New Roman" w:hAnsi="Times New Roman" w:cs="Times New Roman"/>
                <w:b/>
                <w:bCs/>
                <w:sz w:val="18"/>
                <w:szCs w:val="18"/>
              </w:rPr>
              <w:t>Subseq. Year Hours</w:t>
            </w:r>
          </w:p>
        </w:tc>
        <w:tc>
          <w:tcPr>
            <w:tcW w:w="744" w:type="dxa"/>
            <w:tcMar>
              <w:left w:w="14" w:type="dxa"/>
              <w:right w:w="14" w:type="dxa"/>
            </w:tcMar>
          </w:tcPr>
          <w:p w14:paraId="64350419" w14:textId="77777777" w:rsidR="0086415A" w:rsidRPr="000973F2" w:rsidRDefault="0086415A" w:rsidP="00907F7B">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18"/>
                <w:szCs w:val="18"/>
              </w:rPr>
            </w:pPr>
            <w:r w:rsidRPr="000973F2">
              <w:rPr>
                <w:rFonts w:ascii="Times New Roman" w:eastAsia="Times New Roman" w:hAnsi="Times New Roman" w:cs="Times New Roman"/>
                <w:b/>
                <w:bCs/>
                <w:sz w:val="18"/>
                <w:szCs w:val="18"/>
              </w:rPr>
              <w:t>Initial Year Hours</w:t>
            </w:r>
          </w:p>
        </w:tc>
        <w:tc>
          <w:tcPr>
            <w:tcW w:w="744" w:type="dxa"/>
            <w:tcMar>
              <w:left w:w="14" w:type="dxa"/>
              <w:right w:w="14" w:type="dxa"/>
            </w:tcMar>
          </w:tcPr>
          <w:p w14:paraId="60EB0E45" w14:textId="77777777" w:rsidR="0086415A" w:rsidRPr="000973F2" w:rsidRDefault="0086415A" w:rsidP="00907F7B">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18"/>
                <w:szCs w:val="18"/>
              </w:rPr>
            </w:pPr>
            <w:r w:rsidRPr="000973F2">
              <w:rPr>
                <w:rFonts w:ascii="Times New Roman" w:eastAsia="Times New Roman" w:hAnsi="Times New Roman" w:cs="Times New Roman"/>
                <w:b/>
                <w:bCs/>
                <w:sz w:val="18"/>
                <w:szCs w:val="18"/>
              </w:rPr>
              <w:t>Subseq. Year Hours</w:t>
            </w:r>
          </w:p>
        </w:tc>
        <w:tc>
          <w:tcPr>
            <w:tcW w:w="667" w:type="dxa"/>
            <w:tcMar>
              <w:left w:w="14" w:type="dxa"/>
              <w:right w:w="14" w:type="dxa"/>
            </w:tcMar>
          </w:tcPr>
          <w:p w14:paraId="348F4914" w14:textId="77777777" w:rsidR="0086415A" w:rsidRPr="000973F2" w:rsidRDefault="0086415A" w:rsidP="00907F7B">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18"/>
                <w:szCs w:val="18"/>
              </w:rPr>
            </w:pPr>
            <w:r w:rsidRPr="000973F2">
              <w:rPr>
                <w:rFonts w:ascii="Times New Roman" w:eastAsia="Times New Roman" w:hAnsi="Times New Roman" w:cs="Times New Roman"/>
                <w:b/>
                <w:bCs/>
                <w:sz w:val="18"/>
                <w:szCs w:val="18"/>
              </w:rPr>
              <w:t>Initial Year</w:t>
            </w:r>
          </w:p>
        </w:tc>
        <w:tc>
          <w:tcPr>
            <w:tcW w:w="848" w:type="dxa"/>
            <w:tcMar>
              <w:left w:w="14" w:type="dxa"/>
              <w:right w:w="14" w:type="dxa"/>
            </w:tcMar>
          </w:tcPr>
          <w:p w14:paraId="77F36033" w14:textId="77777777" w:rsidR="0086415A" w:rsidRPr="000973F2" w:rsidRDefault="0086415A" w:rsidP="00907F7B">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18"/>
                <w:szCs w:val="18"/>
              </w:rPr>
            </w:pPr>
            <w:r w:rsidRPr="000973F2">
              <w:rPr>
                <w:rFonts w:ascii="Times New Roman" w:eastAsia="Times New Roman" w:hAnsi="Times New Roman" w:cs="Times New Roman"/>
                <w:b/>
                <w:bCs/>
                <w:sz w:val="18"/>
                <w:szCs w:val="18"/>
              </w:rPr>
              <w:t>Subseq. Year</w:t>
            </w:r>
          </w:p>
        </w:tc>
      </w:tr>
      <w:tr w:rsidR="00C63C55" w:rsidRPr="000973F2" w14:paraId="732A5251" w14:textId="77777777" w:rsidTr="00C63C55">
        <w:trPr>
          <w:cantSplit/>
        </w:trPr>
        <w:tc>
          <w:tcPr>
            <w:cnfStyle w:val="001000000000" w:firstRow="0" w:lastRow="0" w:firstColumn="1" w:lastColumn="0" w:oddVBand="0" w:evenVBand="0" w:oddHBand="0" w:evenHBand="0" w:firstRowFirstColumn="0" w:firstRowLastColumn="0" w:lastRowFirstColumn="0" w:lastRowLastColumn="0"/>
            <w:tcW w:w="1865" w:type="dxa"/>
            <w:tcMar>
              <w:right w:w="14" w:type="dxa"/>
            </w:tcMar>
          </w:tcPr>
          <w:p w14:paraId="7D3BF428" w14:textId="77777777" w:rsidR="0086415A" w:rsidRPr="000973F2" w:rsidRDefault="0086415A" w:rsidP="00907F7B">
            <w:pPr>
              <w:spacing w:before="40" w:after="4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Planning</w:t>
            </w:r>
          </w:p>
        </w:tc>
        <w:tc>
          <w:tcPr>
            <w:tcW w:w="743" w:type="dxa"/>
            <w:noWrap/>
          </w:tcPr>
          <w:p w14:paraId="0012AF8D" w14:textId="77777777" w:rsidR="0086415A" w:rsidRPr="000973F2" w:rsidRDefault="0086415A" w:rsidP="00907F7B">
            <w:pPr>
              <w:spacing w:before="40" w:after="4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0</w:t>
            </w:r>
          </w:p>
        </w:tc>
        <w:tc>
          <w:tcPr>
            <w:tcW w:w="744" w:type="dxa"/>
            <w:noWrap/>
          </w:tcPr>
          <w:p w14:paraId="67E56200" w14:textId="77777777" w:rsidR="0086415A" w:rsidRPr="000973F2" w:rsidRDefault="0086415A" w:rsidP="00907F7B">
            <w:pPr>
              <w:spacing w:before="40" w:after="4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2</w:t>
            </w:r>
          </w:p>
        </w:tc>
        <w:tc>
          <w:tcPr>
            <w:tcW w:w="744" w:type="dxa"/>
            <w:noWrap/>
          </w:tcPr>
          <w:p w14:paraId="65ED9987" w14:textId="77777777" w:rsidR="0086415A" w:rsidRPr="000973F2" w:rsidRDefault="0086415A" w:rsidP="00907F7B">
            <w:pPr>
              <w:spacing w:before="40" w:after="4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0</w:t>
            </w:r>
          </w:p>
        </w:tc>
        <w:tc>
          <w:tcPr>
            <w:tcW w:w="744" w:type="dxa"/>
            <w:noWrap/>
          </w:tcPr>
          <w:p w14:paraId="6727BD5C" w14:textId="77777777" w:rsidR="0086415A" w:rsidRPr="000973F2" w:rsidRDefault="0086415A" w:rsidP="00907F7B">
            <w:pPr>
              <w:tabs>
                <w:tab w:val="decimal" w:pos="226"/>
              </w:tabs>
              <w:spacing w:before="40" w:after="4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0.2</w:t>
            </w:r>
          </w:p>
        </w:tc>
        <w:tc>
          <w:tcPr>
            <w:tcW w:w="743" w:type="dxa"/>
            <w:noWrap/>
          </w:tcPr>
          <w:p w14:paraId="7A987325" w14:textId="77777777" w:rsidR="0086415A" w:rsidRPr="000973F2" w:rsidRDefault="0086415A" w:rsidP="00907F7B">
            <w:pPr>
              <w:spacing w:before="40" w:after="4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0</w:t>
            </w:r>
          </w:p>
        </w:tc>
        <w:tc>
          <w:tcPr>
            <w:tcW w:w="744" w:type="dxa"/>
            <w:noWrap/>
          </w:tcPr>
          <w:p w14:paraId="458654E4" w14:textId="77777777" w:rsidR="0086415A" w:rsidRPr="000973F2" w:rsidRDefault="0086415A" w:rsidP="00907F7B">
            <w:pPr>
              <w:tabs>
                <w:tab w:val="decimal" w:pos="271"/>
              </w:tabs>
              <w:spacing w:before="40" w:after="4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2</w:t>
            </w:r>
          </w:p>
        </w:tc>
        <w:tc>
          <w:tcPr>
            <w:tcW w:w="744" w:type="dxa"/>
            <w:noWrap/>
          </w:tcPr>
          <w:p w14:paraId="4D7391CF" w14:textId="77777777" w:rsidR="0086415A" w:rsidRPr="000973F2" w:rsidRDefault="0086415A" w:rsidP="00907F7B">
            <w:pPr>
              <w:spacing w:before="40" w:after="4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0</w:t>
            </w:r>
          </w:p>
        </w:tc>
        <w:tc>
          <w:tcPr>
            <w:tcW w:w="744" w:type="dxa"/>
            <w:noWrap/>
          </w:tcPr>
          <w:p w14:paraId="65AD8A03" w14:textId="77777777" w:rsidR="0086415A" w:rsidRPr="000973F2" w:rsidRDefault="0086415A" w:rsidP="00907F7B">
            <w:pPr>
              <w:tabs>
                <w:tab w:val="decimal" w:pos="226"/>
              </w:tabs>
              <w:spacing w:before="40" w:after="4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0.2</w:t>
            </w:r>
          </w:p>
        </w:tc>
        <w:tc>
          <w:tcPr>
            <w:tcW w:w="667" w:type="dxa"/>
            <w:noWrap/>
          </w:tcPr>
          <w:p w14:paraId="4D9490CC" w14:textId="77777777" w:rsidR="0086415A" w:rsidRPr="000973F2" w:rsidRDefault="0086415A" w:rsidP="00907F7B">
            <w:pPr>
              <w:spacing w:before="40" w:after="4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$0</w:t>
            </w:r>
          </w:p>
        </w:tc>
        <w:tc>
          <w:tcPr>
            <w:tcW w:w="848" w:type="dxa"/>
            <w:noWrap/>
          </w:tcPr>
          <w:p w14:paraId="5783B7AD" w14:textId="77777777" w:rsidR="0086415A" w:rsidRPr="000973F2" w:rsidRDefault="0086415A" w:rsidP="00907F7B">
            <w:pPr>
              <w:tabs>
                <w:tab w:val="decimal" w:pos="481"/>
              </w:tabs>
              <w:spacing w:before="40" w:after="4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$392</w:t>
            </w:r>
          </w:p>
        </w:tc>
      </w:tr>
      <w:tr w:rsidR="00C63C55" w:rsidRPr="000973F2" w14:paraId="53ADB9E8" w14:textId="77777777" w:rsidTr="00C63C55">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1865" w:type="dxa"/>
            <w:tcMar>
              <w:right w:w="14" w:type="dxa"/>
            </w:tcMar>
          </w:tcPr>
          <w:p w14:paraId="39A4F1E6" w14:textId="77777777" w:rsidR="0086415A" w:rsidRPr="000973F2" w:rsidRDefault="0086415A" w:rsidP="00907F7B">
            <w:pPr>
              <w:spacing w:before="40" w:after="4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QA/QC</w:t>
            </w:r>
          </w:p>
        </w:tc>
        <w:tc>
          <w:tcPr>
            <w:tcW w:w="743" w:type="dxa"/>
            <w:noWrap/>
          </w:tcPr>
          <w:p w14:paraId="07E0E3CB" w14:textId="77777777" w:rsidR="0086415A" w:rsidRPr="000973F2" w:rsidRDefault="0086415A" w:rsidP="00907F7B">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0</w:t>
            </w:r>
          </w:p>
        </w:tc>
        <w:tc>
          <w:tcPr>
            <w:tcW w:w="744" w:type="dxa"/>
            <w:noWrap/>
          </w:tcPr>
          <w:p w14:paraId="598F910D" w14:textId="77777777" w:rsidR="0086415A" w:rsidRPr="000973F2" w:rsidRDefault="0086415A" w:rsidP="00907F7B">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0</w:t>
            </w:r>
          </w:p>
        </w:tc>
        <w:tc>
          <w:tcPr>
            <w:tcW w:w="744" w:type="dxa"/>
            <w:noWrap/>
          </w:tcPr>
          <w:p w14:paraId="73BC834D" w14:textId="77777777" w:rsidR="0086415A" w:rsidRPr="000973F2" w:rsidRDefault="0086415A" w:rsidP="00907F7B">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0</w:t>
            </w:r>
          </w:p>
        </w:tc>
        <w:tc>
          <w:tcPr>
            <w:tcW w:w="744" w:type="dxa"/>
            <w:noWrap/>
          </w:tcPr>
          <w:p w14:paraId="22060A2D" w14:textId="77777777" w:rsidR="0086415A" w:rsidRPr="000973F2" w:rsidRDefault="0086415A" w:rsidP="00907F7B">
            <w:pPr>
              <w:tabs>
                <w:tab w:val="decimal" w:pos="226"/>
              </w:tabs>
              <w:spacing w:before="40" w:after="4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0.4</w:t>
            </w:r>
          </w:p>
        </w:tc>
        <w:tc>
          <w:tcPr>
            <w:tcW w:w="743" w:type="dxa"/>
            <w:noWrap/>
          </w:tcPr>
          <w:p w14:paraId="5CC114B9" w14:textId="77777777" w:rsidR="0086415A" w:rsidRPr="000973F2" w:rsidRDefault="0086415A" w:rsidP="00907F7B">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0</w:t>
            </w:r>
          </w:p>
        </w:tc>
        <w:tc>
          <w:tcPr>
            <w:tcW w:w="744" w:type="dxa"/>
            <w:noWrap/>
          </w:tcPr>
          <w:p w14:paraId="7644D5C5" w14:textId="77777777" w:rsidR="0086415A" w:rsidRPr="000973F2" w:rsidRDefault="0086415A" w:rsidP="00907F7B">
            <w:pPr>
              <w:tabs>
                <w:tab w:val="decimal" w:pos="271"/>
              </w:tabs>
              <w:spacing w:before="40" w:after="4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4</w:t>
            </w:r>
          </w:p>
        </w:tc>
        <w:tc>
          <w:tcPr>
            <w:tcW w:w="744" w:type="dxa"/>
            <w:noWrap/>
          </w:tcPr>
          <w:p w14:paraId="49C9DB3B" w14:textId="77777777" w:rsidR="0086415A" w:rsidRPr="000973F2" w:rsidRDefault="0086415A" w:rsidP="00907F7B">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0</w:t>
            </w:r>
          </w:p>
        </w:tc>
        <w:tc>
          <w:tcPr>
            <w:tcW w:w="744" w:type="dxa"/>
            <w:noWrap/>
          </w:tcPr>
          <w:p w14:paraId="5FEC393A" w14:textId="77777777" w:rsidR="0086415A" w:rsidRPr="000973F2" w:rsidRDefault="0086415A" w:rsidP="00907F7B">
            <w:pPr>
              <w:tabs>
                <w:tab w:val="decimal" w:pos="226"/>
              </w:tabs>
              <w:spacing w:before="40" w:after="4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0.4</w:t>
            </w:r>
          </w:p>
        </w:tc>
        <w:tc>
          <w:tcPr>
            <w:tcW w:w="667" w:type="dxa"/>
            <w:noWrap/>
          </w:tcPr>
          <w:p w14:paraId="045C5B43" w14:textId="77777777" w:rsidR="0086415A" w:rsidRPr="000973F2" w:rsidRDefault="0086415A" w:rsidP="00907F7B">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$0</w:t>
            </w:r>
          </w:p>
        </w:tc>
        <w:tc>
          <w:tcPr>
            <w:tcW w:w="848" w:type="dxa"/>
            <w:noWrap/>
          </w:tcPr>
          <w:p w14:paraId="6625D01C" w14:textId="77777777" w:rsidR="0086415A" w:rsidRPr="000973F2" w:rsidRDefault="0086415A" w:rsidP="00907F7B">
            <w:pPr>
              <w:tabs>
                <w:tab w:val="decimal" w:pos="481"/>
              </w:tabs>
              <w:spacing w:before="40" w:after="4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$335</w:t>
            </w:r>
          </w:p>
        </w:tc>
      </w:tr>
      <w:tr w:rsidR="00C63C55" w:rsidRPr="000973F2" w14:paraId="7B6BA413" w14:textId="77777777" w:rsidTr="00C63C55">
        <w:trPr>
          <w:cantSplit/>
        </w:trPr>
        <w:tc>
          <w:tcPr>
            <w:cnfStyle w:val="001000000000" w:firstRow="0" w:lastRow="0" w:firstColumn="1" w:lastColumn="0" w:oddVBand="0" w:evenVBand="0" w:oddHBand="0" w:evenHBand="0" w:firstRowFirstColumn="0" w:firstRowLastColumn="0" w:lastRowFirstColumn="0" w:lastRowLastColumn="0"/>
            <w:tcW w:w="1865" w:type="dxa"/>
            <w:tcMar>
              <w:right w:w="14" w:type="dxa"/>
            </w:tcMar>
          </w:tcPr>
          <w:p w14:paraId="4AC1DD29" w14:textId="77777777" w:rsidR="0086415A" w:rsidRPr="000973F2" w:rsidRDefault="0086415A" w:rsidP="00907F7B">
            <w:pPr>
              <w:spacing w:before="40" w:after="4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Recordkeeping</w:t>
            </w:r>
          </w:p>
        </w:tc>
        <w:tc>
          <w:tcPr>
            <w:tcW w:w="743" w:type="dxa"/>
            <w:noWrap/>
          </w:tcPr>
          <w:p w14:paraId="0A4E4C9C" w14:textId="77777777" w:rsidR="0086415A" w:rsidRPr="000973F2" w:rsidRDefault="0086415A" w:rsidP="00907F7B">
            <w:pPr>
              <w:spacing w:before="40" w:after="4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0</w:t>
            </w:r>
          </w:p>
        </w:tc>
        <w:tc>
          <w:tcPr>
            <w:tcW w:w="744" w:type="dxa"/>
            <w:noWrap/>
          </w:tcPr>
          <w:p w14:paraId="78DDA08F" w14:textId="77777777" w:rsidR="0086415A" w:rsidRPr="000973F2" w:rsidRDefault="0086415A" w:rsidP="00907F7B">
            <w:pPr>
              <w:spacing w:before="40" w:after="4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0</w:t>
            </w:r>
          </w:p>
        </w:tc>
        <w:tc>
          <w:tcPr>
            <w:tcW w:w="744" w:type="dxa"/>
            <w:noWrap/>
          </w:tcPr>
          <w:p w14:paraId="69658E60" w14:textId="77777777" w:rsidR="0086415A" w:rsidRPr="000973F2" w:rsidRDefault="0086415A" w:rsidP="00907F7B">
            <w:pPr>
              <w:spacing w:before="40" w:after="4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0</w:t>
            </w:r>
          </w:p>
        </w:tc>
        <w:tc>
          <w:tcPr>
            <w:tcW w:w="744" w:type="dxa"/>
            <w:noWrap/>
          </w:tcPr>
          <w:p w14:paraId="7813DF99" w14:textId="77777777" w:rsidR="0086415A" w:rsidRPr="000973F2" w:rsidRDefault="0086415A" w:rsidP="00907F7B">
            <w:pPr>
              <w:tabs>
                <w:tab w:val="decimal" w:pos="226"/>
              </w:tabs>
              <w:spacing w:before="40" w:after="4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0.5</w:t>
            </w:r>
          </w:p>
        </w:tc>
        <w:tc>
          <w:tcPr>
            <w:tcW w:w="743" w:type="dxa"/>
            <w:noWrap/>
          </w:tcPr>
          <w:p w14:paraId="2D75F1E9" w14:textId="77777777" w:rsidR="0086415A" w:rsidRPr="000973F2" w:rsidRDefault="0086415A" w:rsidP="00907F7B">
            <w:pPr>
              <w:spacing w:before="40" w:after="4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0</w:t>
            </w:r>
          </w:p>
        </w:tc>
        <w:tc>
          <w:tcPr>
            <w:tcW w:w="744" w:type="dxa"/>
            <w:noWrap/>
          </w:tcPr>
          <w:p w14:paraId="20CE3EE7" w14:textId="77777777" w:rsidR="0086415A" w:rsidRPr="000973F2" w:rsidRDefault="0086415A" w:rsidP="00907F7B">
            <w:pPr>
              <w:tabs>
                <w:tab w:val="decimal" w:pos="271"/>
              </w:tabs>
              <w:spacing w:before="40" w:after="4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5</w:t>
            </w:r>
          </w:p>
        </w:tc>
        <w:tc>
          <w:tcPr>
            <w:tcW w:w="744" w:type="dxa"/>
            <w:noWrap/>
          </w:tcPr>
          <w:p w14:paraId="234FF3CB" w14:textId="77777777" w:rsidR="0086415A" w:rsidRPr="000973F2" w:rsidRDefault="0086415A" w:rsidP="00907F7B">
            <w:pPr>
              <w:spacing w:before="40" w:after="4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0</w:t>
            </w:r>
          </w:p>
        </w:tc>
        <w:tc>
          <w:tcPr>
            <w:tcW w:w="744" w:type="dxa"/>
            <w:noWrap/>
          </w:tcPr>
          <w:p w14:paraId="4D487E59" w14:textId="77777777" w:rsidR="0086415A" w:rsidRPr="000973F2" w:rsidRDefault="0086415A" w:rsidP="00907F7B">
            <w:pPr>
              <w:tabs>
                <w:tab w:val="decimal" w:pos="226"/>
              </w:tabs>
              <w:spacing w:before="40" w:after="4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0.5</w:t>
            </w:r>
          </w:p>
        </w:tc>
        <w:tc>
          <w:tcPr>
            <w:tcW w:w="667" w:type="dxa"/>
            <w:noWrap/>
          </w:tcPr>
          <w:p w14:paraId="712400BC" w14:textId="77777777" w:rsidR="0086415A" w:rsidRPr="000973F2" w:rsidRDefault="0086415A" w:rsidP="00907F7B">
            <w:pPr>
              <w:spacing w:before="40" w:after="4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$0</w:t>
            </w:r>
          </w:p>
        </w:tc>
        <w:tc>
          <w:tcPr>
            <w:tcW w:w="848" w:type="dxa"/>
            <w:noWrap/>
          </w:tcPr>
          <w:p w14:paraId="0D3D156D" w14:textId="77777777" w:rsidR="0086415A" w:rsidRPr="000973F2" w:rsidRDefault="0086415A" w:rsidP="00907F7B">
            <w:pPr>
              <w:tabs>
                <w:tab w:val="decimal" w:pos="481"/>
              </w:tabs>
              <w:spacing w:before="40" w:after="4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$419</w:t>
            </w:r>
          </w:p>
        </w:tc>
      </w:tr>
      <w:tr w:rsidR="00C63C55" w:rsidRPr="000973F2" w14:paraId="154C2E32" w14:textId="77777777" w:rsidTr="00C63C55">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1865" w:type="dxa"/>
            <w:tcMar>
              <w:right w:w="14" w:type="dxa"/>
            </w:tcMar>
          </w:tcPr>
          <w:p w14:paraId="6B8276EB" w14:textId="77777777" w:rsidR="0086415A" w:rsidRPr="000973F2" w:rsidRDefault="0086415A" w:rsidP="00907F7B">
            <w:pPr>
              <w:spacing w:before="40" w:after="4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Sampling and Analysis (Calculations)</w:t>
            </w:r>
          </w:p>
        </w:tc>
        <w:tc>
          <w:tcPr>
            <w:tcW w:w="743" w:type="dxa"/>
            <w:noWrap/>
          </w:tcPr>
          <w:p w14:paraId="071905B1" w14:textId="77777777" w:rsidR="0086415A" w:rsidRPr="000973F2" w:rsidRDefault="0086415A" w:rsidP="00907F7B">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0</w:t>
            </w:r>
          </w:p>
        </w:tc>
        <w:tc>
          <w:tcPr>
            <w:tcW w:w="744" w:type="dxa"/>
            <w:noWrap/>
          </w:tcPr>
          <w:p w14:paraId="65FC1590" w14:textId="77777777" w:rsidR="0086415A" w:rsidRPr="000973F2" w:rsidRDefault="0086415A" w:rsidP="00907F7B">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0</w:t>
            </w:r>
          </w:p>
        </w:tc>
        <w:tc>
          <w:tcPr>
            <w:tcW w:w="744" w:type="dxa"/>
            <w:noWrap/>
          </w:tcPr>
          <w:p w14:paraId="12D43358" w14:textId="77777777" w:rsidR="0086415A" w:rsidRPr="000973F2" w:rsidRDefault="0086415A" w:rsidP="00907F7B">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0</w:t>
            </w:r>
          </w:p>
        </w:tc>
        <w:tc>
          <w:tcPr>
            <w:tcW w:w="744" w:type="dxa"/>
            <w:noWrap/>
          </w:tcPr>
          <w:p w14:paraId="71C27E5F" w14:textId="77777777" w:rsidR="0086415A" w:rsidRPr="000973F2" w:rsidRDefault="0086415A" w:rsidP="00907F7B">
            <w:pPr>
              <w:tabs>
                <w:tab w:val="decimal" w:pos="226"/>
              </w:tabs>
              <w:spacing w:before="40" w:after="4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0.6</w:t>
            </w:r>
          </w:p>
        </w:tc>
        <w:tc>
          <w:tcPr>
            <w:tcW w:w="743" w:type="dxa"/>
            <w:noWrap/>
          </w:tcPr>
          <w:p w14:paraId="4D7706AF" w14:textId="77777777" w:rsidR="0086415A" w:rsidRPr="000973F2" w:rsidRDefault="0086415A" w:rsidP="00907F7B">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0</w:t>
            </w:r>
          </w:p>
        </w:tc>
        <w:tc>
          <w:tcPr>
            <w:tcW w:w="744" w:type="dxa"/>
            <w:noWrap/>
          </w:tcPr>
          <w:p w14:paraId="6A48514C" w14:textId="77777777" w:rsidR="0086415A" w:rsidRPr="000973F2" w:rsidRDefault="0086415A" w:rsidP="00907F7B">
            <w:pPr>
              <w:tabs>
                <w:tab w:val="decimal" w:pos="271"/>
              </w:tabs>
              <w:spacing w:before="40" w:after="4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5.5</w:t>
            </w:r>
          </w:p>
        </w:tc>
        <w:tc>
          <w:tcPr>
            <w:tcW w:w="744" w:type="dxa"/>
            <w:noWrap/>
          </w:tcPr>
          <w:p w14:paraId="7363B5C2" w14:textId="77777777" w:rsidR="0086415A" w:rsidRPr="000973F2" w:rsidRDefault="0086415A" w:rsidP="00907F7B">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0</w:t>
            </w:r>
          </w:p>
        </w:tc>
        <w:tc>
          <w:tcPr>
            <w:tcW w:w="744" w:type="dxa"/>
            <w:noWrap/>
          </w:tcPr>
          <w:p w14:paraId="5340DBEC" w14:textId="77777777" w:rsidR="0086415A" w:rsidRPr="000973F2" w:rsidRDefault="0086415A" w:rsidP="00907F7B">
            <w:pPr>
              <w:tabs>
                <w:tab w:val="decimal" w:pos="226"/>
              </w:tabs>
              <w:spacing w:before="40" w:after="4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0.6</w:t>
            </w:r>
          </w:p>
        </w:tc>
        <w:tc>
          <w:tcPr>
            <w:tcW w:w="667" w:type="dxa"/>
            <w:noWrap/>
          </w:tcPr>
          <w:p w14:paraId="7A41BDBB" w14:textId="77777777" w:rsidR="0086415A" w:rsidRPr="000973F2" w:rsidRDefault="0086415A" w:rsidP="00907F7B">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$0</w:t>
            </w:r>
          </w:p>
        </w:tc>
        <w:tc>
          <w:tcPr>
            <w:tcW w:w="848" w:type="dxa"/>
            <w:noWrap/>
          </w:tcPr>
          <w:p w14:paraId="47189656" w14:textId="77777777" w:rsidR="0086415A" w:rsidRPr="000973F2" w:rsidRDefault="0086415A" w:rsidP="00907F7B">
            <w:pPr>
              <w:tabs>
                <w:tab w:val="decimal" w:pos="481"/>
              </w:tabs>
              <w:spacing w:before="40" w:after="4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$461</w:t>
            </w:r>
          </w:p>
        </w:tc>
      </w:tr>
      <w:tr w:rsidR="00C63C55" w:rsidRPr="000973F2" w14:paraId="6F389992" w14:textId="77777777" w:rsidTr="00C63C55">
        <w:trPr>
          <w:cantSplit/>
        </w:trPr>
        <w:tc>
          <w:tcPr>
            <w:cnfStyle w:val="001000000000" w:firstRow="0" w:lastRow="0" w:firstColumn="1" w:lastColumn="0" w:oddVBand="0" w:evenVBand="0" w:oddHBand="0" w:evenHBand="0" w:firstRowFirstColumn="0" w:firstRowLastColumn="0" w:lastRowFirstColumn="0" w:lastRowLastColumn="0"/>
            <w:tcW w:w="1865" w:type="dxa"/>
            <w:tcMar>
              <w:right w:w="14" w:type="dxa"/>
            </w:tcMar>
          </w:tcPr>
          <w:p w14:paraId="2694FC8C" w14:textId="77777777" w:rsidR="0086415A" w:rsidRPr="000973F2" w:rsidRDefault="0086415A" w:rsidP="00907F7B">
            <w:pPr>
              <w:spacing w:before="40" w:after="4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Reporting</w:t>
            </w:r>
          </w:p>
        </w:tc>
        <w:tc>
          <w:tcPr>
            <w:tcW w:w="743" w:type="dxa"/>
            <w:noWrap/>
          </w:tcPr>
          <w:p w14:paraId="3CA94C2B" w14:textId="77777777" w:rsidR="0086415A" w:rsidRPr="000973F2" w:rsidRDefault="0086415A" w:rsidP="00907F7B">
            <w:pPr>
              <w:spacing w:before="40" w:after="4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0</w:t>
            </w:r>
          </w:p>
        </w:tc>
        <w:tc>
          <w:tcPr>
            <w:tcW w:w="744" w:type="dxa"/>
            <w:noWrap/>
          </w:tcPr>
          <w:p w14:paraId="45DBE822" w14:textId="77777777" w:rsidR="0086415A" w:rsidRPr="000973F2" w:rsidRDefault="0086415A" w:rsidP="00907F7B">
            <w:pPr>
              <w:spacing w:before="40" w:after="4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0</w:t>
            </w:r>
          </w:p>
        </w:tc>
        <w:tc>
          <w:tcPr>
            <w:tcW w:w="744" w:type="dxa"/>
            <w:noWrap/>
          </w:tcPr>
          <w:p w14:paraId="20654A61" w14:textId="77777777" w:rsidR="0086415A" w:rsidRPr="000973F2" w:rsidRDefault="0086415A" w:rsidP="00907F7B">
            <w:pPr>
              <w:spacing w:before="40" w:after="4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0</w:t>
            </w:r>
          </w:p>
        </w:tc>
        <w:tc>
          <w:tcPr>
            <w:tcW w:w="744" w:type="dxa"/>
            <w:noWrap/>
          </w:tcPr>
          <w:p w14:paraId="68E31F89" w14:textId="77777777" w:rsidR="0086415A" w:rsidRPr="000973F2" w:rsidRDefault="0086415A" w:rsidP="00907F7B">
            <w:pPr>
              <w:tabs>
                <w:tab w:val="decimal" w:pos="226"/>
              </w:tabs>
              <w:spacing w:before="40" w:after="4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1</w:t>
            </w:r>
          </w:p>
        </w:tc>
        <w:tc>
          <w:tcPr>
            <w:tcW w:w="743" w:type="dxa"/>
            <w:noWrap/>
          </w:tcPr>
          <w:p w14:paraId="6C3DC2BA" w14:textId="77777777" w:rsidR="0086415A" w:rsidRPr="000973F2" w:rsidRDefault="0086415A" w:rsidP="00907F7B">
            <w:pPr>
              <w:spacing w:before="40" w:after="4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0</w:t>
            </w:r>
          </w:p>
        </w:tc>
        <w:tc>
          <w:tcPr>
            <w:tcW w:w="744" w:type="dxa"/>
            <w:noWrap/>
          </w:tcPr>
          <w:p w14:paraId="1864525C" w14:textId="77777777" w:rsidR="0086415A" w:rsidRPr="000973F2" w:rsidRDefault="0086415A" w:rsidP="00907F7B">
            <w:pPr>
              <w:tabs>
                <w:tab w:val="decimal" w:pos="271"/>
              </w:tabs>
              <w:spacing w:before="40" w:after="4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10</w:t>
            </w:r>
          </w:p>
        </w:tc>
        <w:tc>
          <w:tcPr>
            <w:tcW w:w="744" w:type="dxa"/>
            <w:noWrap/>
          </w:tcPr>
          <w:p w14:paraId="5BB83F67" w14:textId="77777777" w:rsidR="0086415A" w:rsidRPr="000973F2" w:rsidRDefault="0086415A" w:rsidP="00907F7B">
            <w:pPr>
              <w:spacing w:before="40" w:after="4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0</w:t>
            </w:r>
          </w:p>
        </w:tc>
        <w:tc>
          <w:tcPr>
            <w:tcW w:w="744" w:type="dxa"/>
            <w:noWrap/>
          </w:tcPr>
          <w:p w14:paraId="46654429" w14:textId="77777777" w:rsidR="0086415A" w:rsidRPr="000973F2" w:rsidRDefault="0086415A" w:rsidP="00907F7B">
            <w:pPr>
              <w:tabs>
                <w:tab w:val="decimal" w:pos="226"/>
              </w:tabs>
              <w:spacing w:before="40" w:after="4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1</w:t>
            </w:r>
          </w:p>
        </w:tc>
        <w:tc>
          <w:tcPr>
            <w:tcW w:w="667" w:type="dxa"/>
            <w:noWrap/>
          </w:tcPr>
          <w:p w14:paraId="35F4A865" w14:textId="77777777" w:rsidR="0086415A" w:rsidRPr="000973F2" w:rsidRDefault="0086415A" w:rsidP="00907F7B">
            <w:pPr>
              <w:spacing w:before="40" w:after="4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$0</w:t>
            </w:r>
          </w:p>
        </w:tc>
        <w:tc>
          <w:tcPr>
            <w:tcW w:w="848" w:type="dxa"/>
            <w:noWrap/>
          </w:tcPr>
          <w:p w14:paraId="05ECF9D2" w14:textId="77777777" w:rsidR="0086415A" w:rsidRPr="000973F2" w:rsidRDefault="0086415A" w:rsidP="00907F7B">
            <w:pPr>
              <w:tabs>
                <w:tab w:val="decimal" w:pos="481"/>
              </w:tabs>
              <w:spacing w:before="40" w:after="4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$838</w:t>
            </w:r>
          </w:p>
        </w:tc>
      </w:tr>
      <w:tr w:rsidR="00C63C55" w:rsidRPr="000973F2" w14:paraId="62434FAC" w14:textId="77777777" w:rsidTr="00C63C55">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1865" w:type="dxa"/>
            <w:noWrap/>
          </w:tcPr>
          <w:p w14:paraId="69685D4A" w14:textId="77777777" w:rsidR="0086415A" w:rsidRPr="000973F2" w:rsidRDefault="0086415A" w:rsidP="00907F7B">
            <w:pPr>
              <w:spacing w:before="40" w:after="40"/>
              <w:rPr>
                <w:rFonts w:ascii="Times New Roman" w:eastAsia="Times New Roman" w:hAnsi="Times New Roman" w:cs="Times New Roman"/>
                <w:b/>
                <w:bCs w:val="0"/>
                <w:sz w:val="18"/>
                <w:szCs w:val="18"/>
              </w:rPr>
            </w:pPr>
            <w:r w:rsidRPr="000973F2">
              <w:rPr>
                <w:rFonts w:ascii="Times New Roman" w:eastAsia="Times New Roman" w:hAnsi="Times New Roman" w:cs="Times New Roman"/>
                <w:b/>
                <w:sz w:val="18"/>
                <w:szCs w:val="18"/>
              </w:rPr>
              <w:t>Total</w:t>
            </w:r>
          </w:p>
        </w:tc>
        <w:tc>
          <w:tcPr>
            <w:tcW w:w="743" w:type="dxa"/>
            <w:noWrap/>
          </w:tcPr>
          <w:p w14:paraId="63CFC569" w14:textId="77777777" w:rsidR="0086415A" w:rsidRPr="000973F2" w:rsidRDefault="0086415A" w:rsidP="00907F7B">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18"/>
                <w:szCs w:val="18"/>
              </w:rPr>
            </w:pPr>
            <w:r w:rsidRPr="000973F2">
              <w:rPr>
                <w:rFonts w:ascii="Times New Roman" w:eastAsia="Times New Roman" w:hAnsi="Times New Roman" w:cs="Times New Roman"/>
                <w:b/>
                <w:bCs/>
                <w:sz w:val="18"/>
                <w:szCs w:val="18"/>
              </w:rPr>
              <w:t>0</w:t>
            </w:r>
          </w:p>
        </w:tc>
        <w:tc>
          <w:tcPr>
            <w:tcW w:w="744" w:type="dxa"/>
            <w:noWrap/>
          </w:tcPr>
          <w:p w14:paraId="34D52BB4" w14:textId="77777777" w:rsidR="0086415A" w:rsidRPr="000973F2" w:rsidRDefault="0086415A" w:rsidP="00907F7B">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18"/>
                <w:szCs w:val="18"/>
              </w:rPr>
            </w:pPr>
            <w:r w:rsidRPr="000973F2">
              <w:rPr>
                <w:rFonts w:ascii="Times New Roman" w:eastAsia="Times New Roman" w:hAnsi="Times New Roman" w:cs="Times New Roman"/>
                <w:b/>
                <w:bCs/>
                <w:sz w:val="18"/>
                <w:szCs w:val="18"/>
              </w:rPr>
              <w:t>2</w:t>
            </w:r>
          </w:p>
        </w:tc>
        <w:tc>
          <w:tcPr>
            <w:tcW w:w="744" w:type="dxa"/>
            <w:noWrap/>
          </w:tcPr>
          <w:p w14:paraId="70FA7B12" w14:textId="77777777" w:rsidR="0086415A" w:rsidRPr="000973F2" w:rsidRDefault="0086415A" w:rsidP="00907F7B">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18"/>
                <w:szCs w:val="18"/>
              </w:rPr>
            </w:pPr>
            <w:r w:rsidRPr="000973F2">
              <w:rPr>
                <w:rFonts w:ascii="Times New Roman" w:eastAsia="Times New Roman" w:hAnsi="Times New Roman" w:cs="Times New Roman"/>
                <w:b/>
                <w:bCs/>
                <w:sz w:val="18"/>
                <w:szCs w:val="18"/>
              </w:rPr>
              <w:t>0</w:t>
            </w:r>
          </w:p>
        </w:tc>
        <w:tc>
          <w:tcPr>
            <w:tcW w:w="744" w:type="dxa"/>
            <w:noWrap/>
          </w:tcPr>
          <w:p w14:paraId="545043D8" w14:textId="77777777" w:rsidR="0086415A" w:rsidRPr="000973F2" w:rsidRDefault="0086415A" w:rsidP="00907F7B">
            <w:pPr>
              <w:tabs>
                <w:tab w:val="decimal" w:pos="226"/>
              </w:tabs>
              <w:spacing w:before="40" w:after="4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18"/>
                <w:szCs w:val="18"/>
              </w:rPr>
            </w:pPr>
            <w:r w:rsidRPr="000973F2">
              <w:rPr>
                <w:rFonts w:ascii="Times New Roman" w:eastAsia="Times New Roman" w:hAnsi="Times New Roman" w:cs="Times New Roman"/>
                <w:b/>
                <w:bCs/>
                <w:sz w:val="18"/>
                <w:szCs w:val="18"/>
              </w:rPr>
              <w:t>2.7</w:t>
            </w:r>
          </w:p>
        </w:tc>
        <w:tc>
          <w:tcPr>
            <w:tcW w:w="743" w:type="dxa"/>
            <w:noWrap/>
          </w:tcPr>
          <w:p w14:paraId="26479B4C" w14:textId="77777777" w:rsidR="0086415A" w:rsidRPr="000973F2" w:rsidRDefault="0086415A" w:rsidP="00907F7B">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18"/>
                <w:szCs w:val="18"/>
              </w:rPr>
            </w:pPr>
            <w:r w:rsidRPr="000973F2">
              <w:rPr>
                <w:rFonts w:ascii="Times New Roman" w:eastAsia="Times New Roman" w:hAnsi="Times New Roman" w:cs="Times New Roman"/>
                <w:b/>
                <w:bCs/>
                <w:sz w:val="18"/>
                <w:szCs w:val="18"/>
              </w:rPr>
              <w:t>0</w:t>
            </w:r>
          </w:p>
        </w:tc>
        <w:tc>
          <w:tcPr>
            <w:tcW w:w="744" w:type="dxa"/>
            <w:noWrap/>
          </w:tcPr>
          <w:p w14:paraId="241D86AE" w14:textId="77777777" w:rsidR="0086415A" w:rsidRPr="000973F2" w:rsidRDefault="0086415A" w:rsidP="00907F7B">
            <w:pPr>
              <w:tabs>
                <w:tab w:val="decimal" w:pos="271"/>
              </w:tabs>
              <w:spacing w:before="40" w:after="4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18"/>
                <w:szCs w:val="18"/>
              </w:rPr>
            </w:pPr>
            <w:r w:rsidRPr="000973F2">
              <w:rPr>
                <w:rFonts w:ascii="Times New Roman" w:eastAsia="Times New Roman" w:hAnsi="Times New Roman" w:cs="Times New Roman"/>
                <w:b/>
                <w:bCs/>
                <w:sz w:val="18"/>
                <w:szCs w:val="18"/>
              </w:rPr>
              <w:t>26.5</w:t>
            </w:r>
          </w:p>
        </w:tc>
        <w:tc>
          <w:tcPr>
            <w:tcW w:w="744" w:type="dxa"/>
            <w:noWrap/>
          </w:tcPr>
          <w:p w14:paraId="1BC49369" w14:textId="77777777" w:rsidR="0086415A" w:rsidRPr="000973F2" w:rsidRDefault="0086415A" w:rsidP="00907F7B">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18"/>
                <w:szCs w:val="18"/>
              </w:rPr>
            </w:pPr>
            <w:r w:rsidRPr="000973F2">
              <w:rPr>
                <w:rFonts w:ascii="Times New Roman" w:eastAsia="Times New Roman" w:hAnsi="Times New Roman" w:cs="Times New Roman"/>
                <w:b/>
                <w:bCs/>
                <w:sz w:val="18"/>
                <w:szCs w:val="18"/>
              </w:rPr>
              <w:t>0</w:t>
            </w:r>
          </w:p>
        </w:tc>
        <w:tc>
          <w:tcPr>
            <w:tcW w:w="744" w:type="dxa"/>
            <w:noWrap/>
          </w:tcPr>
          <w:p w14:paraId="5F57E096" w14:textId="77777777" w:rsidR="0086415A" w:rsidRPr="000973F2" w:rsidRDefault="0086415A" w:rsidP="00907F7B">
            <w:pPr>
              <w:tabs>
                <w:tab w:val="decimal" w:pos="226"/>
              </w:tabs>
              <w:spacing w:before="40" w:after="4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18"/>
                <w:szCs w:val="18"/>
              </w:rPr>
            </w:pPr>
            <w:r w:rsidRPr="000973F2">
              <w:rPr>
                <w:rFonts w:ascii="Times New Roman" w:eastAsia="Times New Roman" w:hAnsi="Times New Roman" w:cs="Times New Roman"/>
                <w:b/>
                <w:bCs/>
                <w:sz w:val="18"/>
                <w:szCs w:val="18"/>
              </w:rPr>
              <w:t>2.7</w:t>
            </w:r>
          </w:p>
        </w:tc>
        <w:tc>
          <w:tcPr>
            <w:tcW w:w="667" w:type="dxa"/>
            <w:noWrap/>
          </w:tcPr>
          <w:p w14:paraId="494FB23C" w14:textId="77777777" w:rsidR="0086415A" w:rsidRPr="000973F2" w:rsidRDefault="0086415A" w:rsidP="00907F7B">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18"/>
                <w:szCs w:val="18"/>
              </w:rPr>
            </w:pPr>
            <w:r w:rsidRPr="000973F2">
              <w:rPr>
                <w:rFonts w:ascii="Times New Roman" w:eastAsia="Times New Roman" w:hAnsi="Times New Roman" w:cs="Times New Roman"/>
                <w:b/>
                <w:bCs/>
                <w:sz w:val="18"/>
                <w:szCs w:val="18"/>
              </w:rPr>
              <w:t>$0</w:t>
            </w:r>
          </w:p>
        </w:tc>
        <w:tc>
          <w:tcPr>
            <w:tcW w:w="848" w:type="dxa"/>
            <w:noWrap/>
          </w:tcPr>
          <w:p w14:paraId="1175762D" w14:textId="77777777" w:rsidR="0086415A" w:rsidRPr="000973F2" w:rsidRDefault="0086415A" w:rsidP="00907F7B">
            <w:pPr>
              <w:tabs>
                <w:tab w:val="decimal" w:pos="481"/>
              </w:tabs>
              <w:spacing w:before="40" w:after="4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18"/>
                <w:szCs w:val="18"/>
              </w:rPr>
            </w:pPr>
            <w:r w:rsidRPr="000973F2">
              <w:rPr>
                <w:rFonts w:ascii="Times New Roman" w:eastAsia="Times New Roman" w:hAnsi="Times New Roman" w:cs="Times New Roman"/>
                <w:b/>
                <w:bCs/>
                <w:sz w:val="18"/>
                <w:szCs w:val="18"/>
              </w:rPr>
              <w:t>$2,446</w:t>
            </w:r>
          </w:p>
        </w:tc>
      </w:tr>
    </w:tbl>
    <w:p w14:paraId="4B546395" w14:textId="77777777" w:rsidR="0086415A" w:rsidRPr="000973F2" w:rsidRDefault="0086415A" w:rsidP="00C00E4F">
      <w:pPr>
        <w:spacing w:line="240" w:lineRule="auto"/>
        <w:rPr>
          <w:rFonts w:ascii="Times New Roman" w:hAnsi="Times New Roman" w:cs="Times New Roman"/>
          <w:sz w:val="18"/>
          <w:szCs w:val="18"/>
        </w:rPr>
      </w:pPr>
    </w:p>
    <w:p w14:paraId="7F7D2CC2" w14:textId="2AB00F31" w:rsidR="0086415A" w:rsidRPr="000973F2" w:rsidRDefault="0086415A" w:rsidP="00C00E4F">
      <w:pPr>
        <w:spacing w:line="240" w:lineRule="auto"/>
        <w:rPr>
          <w:rFonts w:ascii="Times New Roman" w:hAnsi="Times New Roman" w:cs="Times New Roman"/>
        </w:rPr>
      </w:pPr>
      <w:r w:rsidRPr="000973F2">
        <w:rPr>
          <w:rFonts w:ascii="Times New Roman" w:hAnsi="Times New Roman" w:cs="Times New Roman"/>
        </w:rPr>
        <w:br w:type="page"/>
      </w:r>
    </w:p>
    <w:p w14:paraId="3F439175" w14:textId="19341458" w:rsidR="00D826A6" w:rsidRPr="000973F2" w:rsidRDefault="00B00E3D" w:rsidP="001320D7">
      <w:pPr>
        <w:pStyle w:val="Tabletitle"/>
        <w:rPr>
          <w:sz w:val="32"/>
        </w:rPr>
      </w:pPr>
      <w:r w:rsidRPr="000973F2">
        <w:t xml:space="preserve">Table </w:t>
      </w:r>
      <w:r w:rsidR="001320D7" w:rsidRPr="000973F2">
        <w:t>Y-</w:t>
      </w:r>
      <w:r w:rsidRPr="000973F2">
        <w:t xml:space="preserve">2c. Labor Costs </w:t>
      </w:r>
      <w:r w:rsidR="00B960CC" w:rsidRPr="000973F2">
        <w:t>–</w:t>
      </w:r>
      <w:r w:rsidRPr="000973F2">
        <w:t xml:space="preserve"> </w:t>
      </w:r>
      <w:r w:rsidR="00D826A6" w:rsidRPr="000973F2">
        <w:t xml:space="preserve">Subpart Y </w:t>
      </w:r>
      <w:r w:rsidR="00B960CC" w:rsidRPr="000973F2">
        <w:t>–</w:t>
      </w:r>
      <w:r w:rsidRPr="000973F2">
        <w:t xml:space="preserve"> </w:t>
      </w:r>
      <w:r w:rsidR="00D826A6" w:rsidRPr="000973F2">
        <w:t>Larger Topping Refinery</w:t>
      </w:r>
    </w:p>
    <w:tbl>
      <w:tblPr>
        <w:tblStyle w:val="PlainTable1"/>
        <w:tblW w:w="5000" w:type="pct"/>
        <w:jc w:val="left"/>
        <w:tblLayout w:type="fixed"/>
        <w:tblCellMar>
          <w:left w:w="115" w:type="dxa"/>
          <w:right w:w="115" w:type="dxa"/>
        </w:tblCellMar>
        <w:tblLook w:val="04A0" w:firstRow="1" w:lastRow="0" w:firstColumn="1" w:lastColumn="0" w:noHBand="0" w:noVBand="1"/>
      </w:tblPr>
      <w:tblGrid>
        <w:gridCol w:w="1358"/>
        <w:gridCol w:w="737"/>
        <w:gridCol w:w="854"/>
        <w:gridCol w:w="737"/>
        <w:gridCol w:w="854"/>
        <w:gridCol w:w="870"/>
        <w:gridCol w:w="1008"/>
        <w:gridCol w:w="737"/>
        <w:gridCol w:w="854"/>
        <w:gridCol w:w="727"/>
        <w:gridCol w:w="854"/>
      </w:tblGrid>
      <w:tr w:rsidR="0086415A" w:rsidRPr="000973F2" w14:paraId="56A3811F" w14:textId="77777777" w:rsidTr="00B926DD">
        <w:trPr>
          <w:cnfStyle w:val="100000000000" w:firstRow="1" w:lastRow="0" w:firstColumn="0" w:lastColumn="0" w:oddVBand="0" w:evenVBand="0" w:oddHBand="0" w:evenHBand="0" w:firstRowFirstColumn="0" w:firstRowLastColumn="0" w:lastRowFirstColumn="0" w:lastRowLastColumn="0"/>
          <w:cantSplit/>
          <w:jc w:val="left"/>
        </w:trPr>
        <w:tc>
          <w:tcPr>
            <w:cnfStyle w:val="001000000000" w:firstRow="0" w:lastRow="0" w:firstColumn="1" w:lastColumn="0" w:oddVBand="0" w:evenVBand="0" w:oddHBand="0" w:evenHBand="0" w:firstRowFirstColumn="0" w:firstRowLastColumn="0" w:lastRowFirstColumn="0" w:lastRowLastColumn="0"/>
            <w:tcW w:w="1321" w:type="dxa"/>
            <w:vMerge w:val="restart"/>
            <w:noWrap/>
            <w:vAlign w:val="top"/>
          </w:tcPr>
          <w:p w14:paraId="07EF0947" w14:textId="77777777" w:rsidR="0086415A" w:rsidRPr="000973F2" w:rsidRDefault="0086415A" w:rsidP="00DC5BA6">
            <w:pPr>
              <w:spacing w:before="40" w:after="40"/>
              <w:rPr>
                <w:rFonts w:ascii="Times New Roman" w:eastAsia="Times New Roman" w:hAnsi="Times New Roman" w:cs="Times New Roman"/>
                <w:bCs w:val="0"/>
                <w:sz w:val="18"/>
                <w:szCs w:val="18"/>
              </w:rPr>
            </w:pPr>
            <w:r w:rsidRPr="000973F2">
              <w:rPr>
                <w:rFonts w:ascii="Times New Roman" w:eastAsia="Times New Roman" w:hAnsi="Times New Roman" w:cs="Times New Roman"/>
                <w:bCs w:val="0"/>
                <w:sz w:val="18"/>
                <w:szCs w:val="18"/>
              </w:rPr>
              <w:t>Activity</w:t>
            </w:r>
          </w:p>
        </w:tc>
        <w:tc>
          <w:tcPr>
            <w:tcW w:w="6471" w:type="dxa"/>
            <w:gridSpan w:val="8"/>
            <w:noWrap/>
            <w:vAlign w:val="top"/>
          </w:tcPr>
          <w:p w14:paraId="7843A5B2" w14:textId="77777777" w:rsidR="0086415A" w:rsidRPr="000973F2" w:rsidRDefault="0086415A" w:rsidP="00DC5BA6">
            <w:pPr>
              <w:spacing w:before="40" w:after="40"/>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Cs w:val="0"/>
                <w:sz w:val="18"/>
                <w:szCs w:val="18"/>
              </w:rPr>
            </w:pPr>
            <w:r w:rsidRPr="000973F2">
              <w:rPr>
                <w:rFonts w:ascii="Times New Roman" w:eastAsia="Times New Roman" w:hAnsi="Times New Roman" w:cs="Times New Roman"/>
                <w:bCs w:val="0"/>
                <w:sz w:val="18"/>
                <w:szCs w:val="18"/>
              </w:rPr>
              <w:t>Labor Rates (per hour)</w:t>
            </w:r>
          </w:p>
        </w:tc>
        <w:tc>
          <w:tcPr>
            <w:tcW w:w="1538" w:type="dxa"/>
            <w:gridSpan w:val="2"/>
            <w:vMerge w:val="restart"/>
            <w:vAlign w:val="top"/>
          </w:tcPr>
          <w:p w14:paraId="5638A875" w14:textId="77777777" w:rsidR="0086415A" w:rsidRPr="000973F2" w:rsidRDefault="0086415A" w:rsidP="00DC5BA6">
            <w:pPr>
              <w:spacing w:before="40" w:after="40"/>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Cs w:val="0"/>
                <w:sz w:val="18"/>
                <w:szCs w:val="18"/>
              </w:rPr>
            </w:pPr>
            <w:r w:rsidRPr="000973F2">
              <w:rPr>
                <w:rFonts w:ascii="Times New Roman" w:eastAsia="Times New Roman" w:hAnsi="Times New Roman" w:cs="Times New Roman"/>
                <w:bCs w:val="0"/>
                <w:sz w:val="18"/>
                <w:szCs w:val="18"/>
              </w:rPr>
              <w:t>Total Labor Cost per Year per Facility (2017$)</w:t>
            </w:r>
          </w:p>
        </w:tc>
      </w:tr>
      <w:tr w:rsidR="0086415A" w:rsidRPr="000973F2" w14:paraId="49C6673F" w14:textId="77777777" w:rsidTr="00B926DD">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1321" w:type="dxa"/>
            <w:vMerge/>
          </w:tcPr>
          <w:p w14:paraId="599D5C53" w14:textId="77777777" w:rsidR="0086415A" w:rsidRPr="000973F2" w:rsidRDefault="0086415A" w:rsidP="00DC5BA6">
            <w:pPr>
              <w:spacing w:before="40" w:after="40"/>
              <w:rPr>
                <w:rFonts w:ascii="Times New Roman" w:eastAsia="Times New Roman" w:hAnsi="Times New Roman" w:cs="Times New Roman"/>
                <w:b/>
                <w:bCs w:val="0"/>
                <w:sz w:val="18"/>
                <w:szCs w:val="18"/>
              </w:rPr>
            </w:pPr>
          </w:p>
        </w:tc>
        <w:tc>
          <w:tcPr>
            <w:tcW w:w="1548" w:type="dxa"/>
            <w:gridSpan w:val="2"/>
            <w:noWrap/>
          </w:tcPr>
          <w:p w14:paraId="04EBC2BC" w14:textId="77777777" w:rsidR="0086415A" w:rsidRPr="000973F2" w:rsidRDefault="0086415A" w:rsidP="00DC5BA6">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18"/>
                <w:szCs w:val="18"/>
              </w:rPr>
            </w:pPr>
            <w:r w:rsidRPr="000973F2">
              <w:rPr>
                <w:rFonts w:ascii="Times New Roman" w:eastAsia="Times New Roman" w:hAnsi="Times New Roman" w:cs="Times New Roman"/>
                <w:b/>
                <w:bCs/>
                <w:sz w:val="18"/>
                <w:szCs w:val="18"/>
              </w:rPr>
              <w:t>Lawyer</w:t>
            </w:r>
          </w:p>
        </w:tc>
        <w:tc>
          <w:tcPr>
            <w:tcW w:w="1548" w:type="dxa"/>
            <w:gridSpan w:val="2"/>
            <w:noWrap/>
          </w:tcPr>
          <w:p w14:paraId="639A4CF5" w14:textId="77777777" w:rsidR="0086415A" w:rsidRPr="000973F2" w:rsidRDefault="0086415A" w:rsidP="00DC5BA6">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18"/>
                <w:szCs w:val="18"/>
              </w:rPr>
            </w:pPr>
            <w:r w:rsidRPr="000973F2">
              <w:rPr>
                <w:rFonts w:ascii="Times New Roman" w:eastAsia="Times New Roman" w:hAnsi="Times New Roman" w:cs="Times New Roman"/>
                <w:b/>
                <w:bCs/>
                <w:sz w:val="18"/>
                <w:szCs w:val="18"/>
              </w:rPr>
              <w:t>Industrial Manager</w:t>
            </w:r>
          </w:p>
        </w:tc>
        <w:tc>
          <w:tcPr>
            <w:tcW w:w="1827" w:type="dxa"/>
            <w:gridSpan w:val="2"/>
          </w:tcPr>
          <w:p w14:paraId="318748B8" w14:textId="73BC37B3" w:rsidR="0086415A" w:rsidRPr="000973F2" w:rsidRDefault="0086415A" w:rsidP="00DC5BA6">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18"/>
                <w:szCs w:val="18"/>
              </w:rPr>
            </w:pPr>
            <w:r w:rsidRPr="000973F2">
              <w:rPr>
                <w:rFonts w:ascii="Times New Roman" w:eastAsia="Times New Roman" w:hAnsi="Times New Roman" w:cs="Times New Roman"/>
                <w:b/>
                <w:bCs/>
                <w:sz w:val="18"/>
                <w:szCs w:val="18"/>
              </w:rPr>
              <w:t>Industrial Engineer/</w:t>
            </w:r>
            <w:r w:rsidR="003B058A" w:rsidRPr="000973F2">
              <w:rPr>
                <w:rFonts w:ascii="Times New Roman" w:eastAsia="Times New Roman" w:hAnsi="Times New Roman" w:cs="Times New Roman"/>
                <w:b/>
                <w:bCs/>
                <w:sz w:val="18"/>
                <w:szCs w:val="18"/>
              </w:rPr>
              <w:t xml:space="preserve"> </w:t>
            </w:r>
            <w:r w:rsidRPr="000973F2">
              <w:rPr>
                <w:rFonts w:ascii="Times New Roman" w:eastAsia="Times New Roman" w:hAnsi="Times New Roman" w:cs="Times New Roman"/>
                <w:b/>
                <w:bCs/>
                <w:sz w:val="18"/>
                <w:szCs w:val="18"/>
              </w:rPr>
              <w:t>Technician</w:t>
            </w:r>
          </w:p>
        </w:tc>
        <w:tc>
          <w:tcPr>
            <w:tcW w:w="1548" w:type="dxa"/>
            <w:gridSpan w:val="2"/>
          </w:tcPr>
          <w:p w14:paraId="2DFD7C08" w14:textId="77777777" w:rsidR="0086415A" w:rsidRPr="000973F2" w:rsidRDefault="0086415A" w:rsidP="00DC5BA6">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18"/>
                <w:szCs w:val="18"/>
              </w:rPr>
            </w:pPr>
            <w:r w:rsidRPr="000973F2">
              <w:rPr>
                <w:rFonts w:ascii="Times New Roman" w:eastAsia="Times New Roman" w:hAnsi="Times New Roman" w:cs="Times New Roman"/>
                <w:b/>
                <w:bCs/>
                <w:sz w:val="18"/>
                <w:szCs w:val="18"/>
              </w:rPr>
              <w:t>Administrative Support</w:t>
            </w:r>
          </w:p>
        </w:tc>
        <w:tc>
          <w:tcPr>
            <w:tcW w:w="1538" w:type="dxa"/>
            <w:gridSpan w:val="2"/>
            <w:vMerge/>
          </w:tcPr>
          <w:p w14:paraId="708C19CB" w14:textId="77777777" w:rsidR="0086415A" w:rsidRPr="000973F2" w:rsidRDefault="0086415A" w:rsidP="00DC5BA6">
            <w:pPr>
              <w:spacing w:before="40" w:after="4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18"/>
                <w:szCs w:val="18"/>
              </w:rPr>
            </w:pPr>
          </w:p>
        </w:tc>
      </w:tr>
      <w:tr w:rsidR="0086415A" w:rsidRPr="000973F2" w14:paraId="7B830DB6" w14:textId="77777777" w:rsidTr="00B926DD">
        <w:trPr>
          <w:cantSplit/>
        </w:trPr>
        <w:tc>
          <w:tcPr>
            <w:cnfStyle w:val="001000000000" w:firstRow="0" w:lastRow="0" w:firstColumn="1" w:lastColumn="0" w:oddVBand="0" w:evenVBand="0" w:oddHBand="0" w:evenHBand="0" w:firstRowFirstColumn="0" w:firstRowLastColumn="0" w:lastRowFirstColumn="0" w:lastRowLastColumn="0"/>
            <w:tcW w:w="1321" w:type="dxa"/>
            <w:vMerge/>
          </w:tcPr>
          <w:p w14:paraId="5B73C84E" w14:textId="77777777" w:rsidR="0086415A" w:rsidRPr="000973F2" w:rsidRDefault="0086415A" w:rsidP="00DC5BA6">
            <w:pPr>
              <w:spacing w:before="40" w:after="40"/>
              <w:rPr>
                <w:rFonts w:ascii="Times New Roman" w:eastAsia="Times New Roman" w:hAnsi="Times New Roman" w:cs="Times New Roman"/>
                <w:b/>
                <w:bCs w:val="0"/>
                <w:sz w:val="18"/>
                <w:szCs w:val="18"/>
              </w:rPr>
            </w:pPr>
          </w:p>
        </w:tc>
        <w:tc>
          <w:tcPr>
            <w:tcW w:w="1548" w:type="dxa"/>
            <w:gridSpan w:val="2"/>
            <w:noWrap/>
          </w:tcPr>
          <w:p w14:paraId="03D8522C" w14:textId="77777777" w:rsidR="0086415A" w:rsidRPr="000973F2" w:rsidRDefault="0086415A" w:rsidP="00DC5BA6">
            <w:pPr>
              <w:spacing w:before="40" w:after="4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sz w:val="18"/>
                <w:szCs w:val="18"/>
              </w:rPr>
            </w:pPr>
            <w:r w:rsidRPr="000973F2">
              <w:rPr>
                <w:rFonts w:ascii="Times New Roman" w:eastAsia="Times New Roman" w:hAnsi="Times New Roman" w:cs="Times New Roman"/>
                <w:b/>
                <w:bCs/>
                <w:sz w:val="18"/>
                <w:szCs w:val="18"/>
              </w:rPr>
              <w:t xml:space="preserve">$112.23 </w:t>
            </w:r>
          </w:p>
        </w:tc>
        <w:tc>
          <w:tcPr>
            <w:tcW w:w="1548" w:type="dxa"/>
            <w:gridSpan w:val="2"/>
            <w:noWrap/>
          </w:tcPr>
          <w:p w14:paraId="1CD522CD" w14:textId="77777777" w:rsidR="0086415A" w:rsidRPr="000973F2" w:rsidRDefault="0086415A" w:rsidP="00DC5BA6">
            <w:pPr>
              <w:spacing w:before="40" w:after="4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sz w:val="18"/>
                <w:szCs w:val="18"/>
              </w:rPr>
            </w:pPr>
            <w:r w:rsidRPr="000973F2">
              <w:rPr>
                <w:rFonts w:ascii="Times New Roman" w:eastAsia="Times New Roman" w:hAnsi="Times New Roman" w:cs="Times New Roman"/>
                <w:b/>
                <w:bCs/>
                <w:sz w:val="18"/>
                <w:szCs w:val="18"/>
              </w:rPr>
              <w:t xml:space="preserve">$87.45 </w:t>
            </w:r>
          </w:p>
        </w:tc>
        <w:tc>
          <w:tcPr>
            <w:tcW w:w="1827" w:type="dxa"/>
            <w:gridSpan w:val="2"/>
            <w:noWrap/>
          </w:tcPr>
          <w:p w14:paraId="37A4CA85" w14:textId="77777777" w:rsidR="0086415A" w:rsidRPr="000973F2" w:rsidRDefault="0086415A" w:rsidP="00DC5BA6">
            <w:pPr>
              <w:spacing w:before="40" w:after="4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sz w:val="18"/>
                <w:szCs w:val="18"/>
              </w:rPr>
            </w:pPr>
            <w:r w:rsidRPr="000973F2">
              <w:rPr>
                <w:rFonts w:ascii="Times New Roman" w:eastAsia="Times New Roman" w:hAnsi="Times New Roman" w:cs="Times New Roman"/>
                <w:b/>
                <w:bCs/>
                <w:sz w:val="18"/>
                <w:szCs w:val="18"/>
              </w:rPr>
              <w:t xml:space="preserve">$71.45 </w:t>
            </w:r>
          </w:p>
        </w:tc>
        <w:tc>
          <w:tcPr>
            <w:tcW w:w="1548" w:type="dxa"/>
            <w:gridSpan w:val="2"/>
            <w:noWrap/>
          </w:tcPr>
          <w:p w14:paraId="47FA250F" w14:textId="77777777" w:rsidR="0086415A" w:rsidRPr="000973F2" w:rsidRDefault="0086415A" w:rsidP="00DC5BA6">
            <w:pPr>
              <w:spacing w:before="40" w:after="4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sz w:val="18"/>
                <w:szCs w:val="18"/>
              </w:rPr>
            </w:pPr>
            <w:r w:rsidRPr="000973F2">
              <w:rPr>
                <w:rFonts w:ascii="Times New Roman" w:eastAsia="Times New Roman" w:hAnsi="Times New Roman" w:cs="Times New Roman"/>
                <w:b/>
                <w:bCs/>
                <w:sz w:val="18"/>
                <w:szCs w:val="18"/>
              </w:rPr>
              <w:t xml:space="preserve">$36.28 </w:t>
            </w:r>
          </w:p>
        </w:tc>
        <w:tc>
          <w:tcPr>
            <w:tcW w:w="1538" w:type="dxa"/>
            <w:gridSpan w:val="2"/>
            <w:vMerge/>
          </w:tcPr>
          <w:p w14:paraId="626C9AFF" w14:textId="77777777" w:rsidR="0086415A" w:rsidRPr="000973F2" w:rsidRDefault="0086415A" w:rsidP="00DC5BA6">
            <w:pPr>
              <w:spacing w:before="40" w:after="4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sz w:val="18"/>
                <w:szCs w:val="18"/>
              </w:rPr>
            </w:pPr>
          </w:p>
        </w:tc>
      </w:tr>
      <w:tr w:rsidR="00DC5BA6" w:rsidRPr="000973F2" w14:paraId="71C92312" w14:textId="77777777" w:rsidTr="00DC5BA6">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1321" w:type="dxa"/>
            <w:vMerge/>
          </w:tcPr>
          <w:p w14:paraId="6DB20097" w14:textId="77777777" w:rsidR="0086415A" w:rsidRPr="000973F2" w:rsidRDefault="0086415A" w:rsidP="00DC5BA6">
            <w:pPr>
              <w:spacing w:before="40" w:after="40"/>
              <w:rPr>
                <w:rFonts w:ascii="Times New Roman" w:eastAsia="Times New Roman" w:hAnsi="Times New Roman" w:cs="Times New Roman"/>
                <w:b/>
                <w:bCs w:val="0"/>
                <w:sz w:val="18"/>
                <w:szCs w:val="18"/>
              </w:rPr>
            </w:pPr>
          </w:p>
        </w:tc>
        <w:tc>
          <w:tcPr>
            <w:tcW w:w="717" w:type="dxa"/>
          </w:tcPr>
          <w:p w14:paraId="60CD9C43" w14:textId="77777777" w:rsidR="0086415A" w:rsidRPr="000973F2" w:rsidRDefault="0086415A" w:rsidP="00DC5BA6">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18"/>
                <w:szCs w:val="18"/>
              </w:rPr>
            </w:pPr>
            <w:r w:rsidRPr="000973F2">
              <w:rPr>
                <w:rFonts w:ascii="Times New Roman" w:eastAsia="Times New Roman" w:hAnsi="Times New Roman" w:cs="Times New Roman"/>
                <w:b/>
                <w:bCs/>
                <w:sz w:val="18"/>
                <w:szCs w:val="18"/>
              </w:rPr>
              <w:t>Initial Year Hours</w:t>
            </w:r>
          </w:p>
        </w:tc>
        <w:tc>
          <w:tcPr>
            <w:tcW w:w="831" w:type="dxa"/>
          </w:tcPr>
          <w:p w14:paraId="4AF09679" w14:textId="77777777" w:rsidR="0086415A" w:rsidRPr="000973F2" w:rsidRDefault="0086415A" w:rsidP="00DC5BA6">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18"/>
                <w:szCs w:val="18"/>
              </w:rPr>
            </w:pPr>
            <w:r w:rsidRPr="000973F2">
              <w:rPr>
                <w:rFonts w:ascii="Times New Roman" w:eastAsia="Times New Roman" w:hAnsi="Times New Roman" w:cs="Times New Roman"/>
                <w:b/>
                <w:bCs/>
                <w:sz w:val="18"/>
                <w:szCs w:val="18"/>
              </w:rPr>
              <w:t>Subseq. Year Hours</w:t>
            </w:r>
          </w:p>
        </w:tc>
        <w:tc>
          <w:tcPr>
            <w:tcW w:w="717" w:type="dxa"/>
          </w:tcPr>
          <w:p w14:paraId="0AC97B86" w14:textId="77777777" w:rsidR="0086415A" w:rsidRPr="000973F2" w:rsidRDefault="0086415A" w:rsidP="00DC5BA6">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18"/>
                <w:szCs w:val="18"/>
              </w:rPr>
            </w:pPr>
            <w:r w:rsidRPr="000973F2">
              <w:rPr>
                <w:rFonts w:ascii="Times New Roman" w:eastAsia="Times New Roman" w:hAnsi="Times New Roman" w:cs="Times New Roman"/>
                <w:b/>
                <w:bCs/>
                <w:sz w:val="18"/>
                <w:szCs w:val="18"/>
              </w:rPr>
              <w:t>Initial Year Hours</w:t>
            </w:r>
          </w:p>
        </w:tc>
        <w:tc>
          <w:tcPr>
            <w:tcW w:w="831" w:type="dxa"/>
          </w:tcPr>
          <w:p w14:paraId="6E9475CE" w14:textId="77777777" w:rsidR="0086415A" w:rsidRPr="000973F2" w:rsidRDefault="0086415A" w:rsidP="00DC5BA6">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18"/>
                <w:szCs w:val="18"/>
              </w:rPr>
            </w:pPr>
            <w:r w:rsidRPr="000973F2">
              <w:rPr>
                <w:rFonts w:ascii="Times New Roman" w:eastAsia="Times New Roman" w:hAnsi="Times New Roman" w:cs="Times New Roman"/>
                <w:b/>
                <w:bCs/>
                <w:sz w:val="18"/>
                <w:szCs w:val="18"/>
              </w:rPr>
              <w:t>Subseq. Year Hours</w:t>
            </w:r>
          </w:p>
        </w:tc>
        <w:tc>
          <w:tcPr>
            <w:tcW w:w="846" w:type="dxa"/>
          </w:tcPr>
          <w:p w14:paraId="50784D88" w14:textId="77777777" w:rsidR="0086415A" w:rsidRPr="000973F2" w:rsidRDefault="0086415A" w:rsidP="00DC5BA6">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18"/>
                <w:szCs w:val="18"/>
              </w:rPr>
            </w:pPr>
            <w:r w:rsidRPr="000973F2">
              <w:rPr>
                <w:rFonts w:ascii="Times New Roman" w:eastAsia="Times New Roman" w:hAnsi="Times New Roman" w:cs="Times New Roman"/>
                <w:b/>
                <w:bCs/>
                <w:sz w:val="18"/>
                <w:szCs w:val="18"/>
              </w:rPr>
              <w:t>Initial Year Hours</w:t>
            </w:r>
          </w:p>
        </w:tc>
        <w:tc>
          <w:tcPr>
            <w:tcW w:w="981" w:type="dxa"/>
          </w:tcPr>
          <w:p w14:paraId="32433140" w14:textId="77777777" w:rsidR="0086415A" w:rsidRPr="000973F2" w:rsidRDefault="0086415A" w:rsidP="00DC5BA6">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18"/>
                <w:szCs w:val="18"/>
              </w:rPr>
            </w:pPr>
            <w:r w:rsidRPr="000973F2">
              <w:rPr>
                <w:rFonts w:ascii="Times New Roman" w:eastAsia="Times New Roman" w:hAnsi="Times New Roman" w:cs="Times New Roman"/>
                <w:b/>
                <w:bCs/>
                <w:sz w:val="18"/>
                <w:szCs w:val="18"/>
              </w:rPr>
              <w:t>Subseq. Year Hours</w:t>
            </w:r>
          </w:p>
        </w:tc>
        <w:tc>
          <w:tcPr>
            <w:tcW w:w="717" w:type="dxa"/>
          </w:tcPr>
          <w:p w14:paraId="56C52BBB" w14:textId="77777777" w:rsidR="0086415A" w:rsidRPr="000973F2" w:rsidRDefault="0086415A" w:rsidP="00DC5BA6">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18"/>
                <w:szCs w:val="18"/>
              </w:rPr>
            </w:pPr>
            <w:r w:rsidRPr="000973F2">
              <w:rPr>
                <w:rFonts w:ascii="Times New Roman" w:eastAsia="Times New Roman" w:hAnsi="Times New Roman" w:cs="Times New Roman"/>
                <w:b/>
                <w:bCs/>
                <w:sz w:val="18"/>
                <w:szCs w:val="18"/>
              </w:rPr>
              <w:t>Initial Year Hours</w:t>
            </w:r>
          </w:p>
        </w:tc>
        <w:tc>
          <w:tcPr>
            <w:tcW w:w="831" w:type="dxa"/>
          </w:tcPr>
          <w:p w14:paraId="652B89B6" w14:textId="77777777" w:rsidR="0086415A" w:rsidRPr="000973F2" w:rsidRDefault="0086415A" w:rsidP="00DC5BA6">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18"/>
                <w:szCs w:val="18"/>
              </w:rPr>
            </w:pPr>
            <w:r w:rsidRPr="000973F2">
              <w:rPr>
                <w:rFonts w:ascii="Times New Roman" w:eastAsia="Times New Roman" w:hAnsi="Times New Roman" w:cs="Times New Roman"/>
                <w:b/>
                <w:bCs/>
                <w:sz w:val="18"/>
                <w:szCs w:val="18"/>
              </w:rPr>
              <w:t>Subseq. Year Hours</w:t>
            </w:r>
          </w:p>
        </w:tc>
        <w:tc>
          <w:tcPr>
            <w:tcW w:w="707" w:type="dxa"/>
          </w:tcPr>
          <w:p w14:paraId="524EF0B8" w14:textId="77777777" w:rsidR="0086415A" w:rsidRPr="000973F2" w:rsidRDefault="0086415A" w:rsidP="00DC5BA6">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18"/>
                <w:szCs w:val="18"/>
              </w:rPr>
            </w:pPr>
            <w:r w:rsidRPr="000973F2">
              <w:rPr>
                <w:rFonts w:ascii="Times New Roman" w:eastAsia="Times New Roman" w:hAnsi="Times New Roman" w:cs="Times New Roman"/>
                <w:b/>
                <w:bCs/>
                <w:sz w:val="18"/>
                <w:szCs w:val="18"/>
              </w:rPr>
              <w:t>Initial Year</w:t>
            </w:r>
          </w:p>
        </w:tc>
        <w:tc>
          <w:tcPr>
            <w:tcW w:w="831" w:type="dxa"/>
          </w:tcPr>
          <w:p w14:paraId="3975A85F" w14:textId="77777777" w:rsidR="0086415A" w:rsidRPr="000973F2" w:rsidRDefault="0086415A" w:rsidP="00DC5BA6">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18"/>
                <w:szCs w:val="18"/>
              </w:rPr>
            </w:pPr>
            <w:r w:rsidRPr="000973F2">
              <w:rPr>
                <w:rFonts w:ascii="Times New Roman" w:eastAsia="Times New Roman" w:hAnsi="Times New Roman" w:cs="Times New Roman"/>
                <w:b/>
                <w:bCs/>
                <w:sz w:val="18"/>
                <w:szCs w:val="18"/>
              </w:rPr>
              <w:t>Subseq. Year</w:t>
            </w:r>
          </w:p>
        </w:tc>
      </w:tr>
      <w:tr w:rsidR="0086415A" w:rsidRPr="000973F2" w14:paraId="761407D0" w14:textId="77777777" w:rsidTr="00B926DD">
        <w:trPr>
          <w:cantSplit/>
        </w:trPr>
        <w:tc>
          <w:tcPr>
            <w:cnfStyle w:val="001000000000" w:firstRow="0" w:lastRow="0" w:firstColumn="1" w:lastColumn="0" w:oddVBand="0" w:evenVBand="0" w:oddHBand="0" w:evenHBand="0" w:firstRowFirstColumn="0" w:firstRowLastColumn="0" w:lastRowFirstColumn="0" w:lastRowLastColumn="0"/>
            <w:tcW w:w="1321" w:type="dxa"/>
          </w:tcPr>
          <w:p w14:paraId="4C534C38" w14:textId="77777777" w:rsidR="0086415A" w:rsidRPr="000973F2" w:rsidRDefault="0086415A" w:rsidP="00DC5BA6">
            <w:pPr>
              <w:spacing w:before="40" w:after="4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Planning</w:t>
            </w:r>
          </w:p>
        </w:tc>
        <w:tc>
          <w:tcPr>
            <w:tcW w:w="717" w:type="dxa"/>
            <w:noWrap/>
          </w:tcPr>
          <w:p w14:paraId="329FE2BA" w14:textId="77777777" w:rsidR="0086415A" w:rsidRPr="000973F2" w:rsidRDefault="0086415A" w:rsidP="003B058A">
            <w:pPr>
              <w:tabs>
                <w:tab w:val="decimal" w:pos="346"/>
              </w:tabs>
              <w:spacing w:before="40" w:after="4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0</w:t>
            </w:r>
          </w:p>
        </w:tc>
        <w:tc>
          <w:tcPr>
            <w:tcW w:w="831" w:type="dxa"/>
            <w:noWrap/>
          </w:tcPr>
          <w:p w14:paraId="3AC9C001" w14:textId="77777777" w:rsidR="0086415A" w:rsidRPr="000973F2" w:rsidRDefault="0086415A" w:rsidP="003B058A">
            <w:pPr>
              <w:tabs>
                <w:tab w:val="decimal" w:pos="346"/>
              </w:tabs>
              <w:spacing w:before="40" w:after="4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2</w:t>
            </w:r>
          </w:p>
        </w:tc>
        <w:tc>
          <w:tcPr>
            <w:tcW w:w="717" w:type="dxa"/>
            <w:noWrap/>
          </w:tcPr>
          <w:p w14:paraId="68D7B64F" w14:textId="77777777" w:rsidR="0086415A" w:rsidRPr="000973F2" w:rsidRDefault="0086415A" w:rsidP="003B058A">
            <w:pPr>
              <w:tabs>
                <w:tab w:val="decimal" w:pos="346"/>
              </w:tabs>
              <w:spacing w:before="40" w:after="4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0</w:t>
            </w:r>
          </w:p>
        </w:tc>
        <w:tc>
          <w:tcPr>
            <w:tcW w:w="831" w:type="dxa"/>
            <w:noWrap/>
          </w:tcPr>
          <w:p w14:paraId="3679EDA2" w14:textId="77777777" w:rsidR="0086415A" w:rsidRPr="000973F2" w:rsidRDefault="0086415A" w:rsidP="003B058A">
            <w:pPr>
              <w:tabs>
                <w:tab w:val="decimal" w:pos="346"/>
              </w:tabs>
              <w:spacing w:before="40" w:after="4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0.2</w:t>
            </w:r>
          </w:p>
        </w:tc>
        <w:tc>
          <w:tcPr>
            <w:tcW w:w="846" w:type="dxa"/>
            <w:noWrap/>
          </w:tcPr>
          <w:p w14:paraId="7E9E4022" w14:textId="77777777" w:rsidR="0086415A" w:rsidRPr="000973F2" w:rsidRDefault="0086415A" w:rsidP="003B058A">
            <w:pPr>
              <w:tabs>
                <w:tab w:val="decimal" w:pos="346"/>
              </w:tabs>
              <w:spacing w:before="40" w:after="4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0</w:t>
            </w:r>
          </w:p>
        </w:tc>
        <w:tc>
          <w:tcPr>
            <w:tcW w:w="981" w:type="dxa"/>
            <w:noWrap/>
          </w:tcPr>
          <w:p w14:paraId="180F41DA" w14:textId="77777777" w:rsidR="0086415A" w:rsidRPr="000973F2" w:rsidRDefault="0086415A" w:rsidP="003B058A">
            <w:pPr>
              <w:tabs>
                <w:tab w:val="decimal" w:pos="346"/>
              </w:tabs>
              <w:spacing w:before="40" w:after="4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2</w:t>
            </w:r>
          </w:p>
        </w:tc>
        <w:tc>
          <w:tcPr>
            <w:tcW w:w="717" w:type="dxa"/>
            <w:noWrap/>
          </w:tcPr>
          <w:p w14:paraId="1C5E1872" w14:textId="77777777" w:rsidR="0086415A" w:rsidRPr="000973F2" w:rsidRDefault="0086415A" w:rsidP="003B058A">
            <w:pPr>
              <w:tabs>
                <w:tab w:val="decimal" w:pos="346"/>
              </w:tabs>
              <w:spacing w:before="40" w:after="4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0</w:t>
            </w:r>
          </w:p>
        </w:tc>
        <w:tc>
          <w:tcPr>
            <w:tcW w:w="831" w:type="dxa"/>
            <w:noWrap/>
          </w:tcPr>
          <w:p w14:paraId="60DC957E" w14:textId="77777777" w:rsidR="0086415A" w:rsidRPr="000973F2" w:rsidRDefault="0086415A" w:rsidP="003B058A">
            <w:pPr>
              <w:tabs>
                <w:tab w:val="decimal" w:pos="346"/>
              </w:tabs>
              <w:spacing w:before="40" w:after="4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0.2</w:t>
            </w:r>
          </w:p>
        </w:tc>
        <w:tc>
          <w:tcPr>
            <w:tcW w:w="707" w:type="dxa"/>
            <w:noWrap/>
          </w:tcPr>
          <w:p w14:paraId="095FF8F0" w14:textId="77777777" w:rsidR="0086415A" w:rsidRPr="000973F2" w:rsidRDefault="0086415A" w:rsidP="003B058A">
            <w:pPr>
              <w:tabs>
                <w:tab w:val="decimal" w:pos="346"/>
              </w:tabs>
              <w:spacing w:before="40" w:after="4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$0</w:t>
            </w:r>
          </w:p>
        </w:tc>
        <w:tc>
          <w:tcPr>
            <w:tcW w:w="831" w:type="dxa"/>
            <w:noWrap/>
          </w:tcPr>
          <w:p w14:paraId="41DDD3D2" w14:textId="77777777" w:rsidR="0086415A" w:rsidRPr="000973F2" w:rsidRDefault="0086415A" w:rsidP="003B058A">
            <w:pPr>
              <w:tabs>
                <w:tab w:val="decimal" w:pos="556"/>
              </w:tabs>
              <w:spacing w:before="40" w:after="4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$392</w:t>
            </w:r>
          </w:p>
        </w:tc>
      </w:tr>
      <w:tr w:rsidR="00DC5BA6" w:rsidRPr="000973F2" w14:paraId="1EEA333C" w14:textId="77777777" w:rsidTr="00DC5BA6">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1321" w:type="dxa"/>
          </w:tcPr>
          <w:p w14:paraId="797C9F4F" w14:textId="77777777" w:rsidR="0086415A" w:rsidRPr="000973F2" w:rsidRDefault="0086415A" w:rsidP="00DC5BA6">
            <w:pPr>
              <w:spacing w:before="40" w:after="4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QA/QC</w:t>
            </w:r>
          </w:p>
        </w:tc>
        <w:tc>
          <w:tcPr>
            <w:tcW w:w="717" w:type="dxa"/>
            <w:noWrap/>
          </w:tcPr>
          <w:p w14:paraId="3CF89781" w14:textId="77777777" w:rsidR="0086415A" w:rsidRPr="000973F2" w:rsidRDefault="0086415A" w:rsidP="003B058A">
            <w:pPr>
              <w:tabs>
                <w:tab w:val="decimal" w:pos="346"/>
              </w:tabs>
              <w:spacing w:before="40" w:after="4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0</w:t>
            </w:r>
          </w:p>
        </w:tc>
        <w:tc>
          <w:tcPr>
            <w:tcW w:w="831" w:type="dxa"/>
            <w:noWrap/>
          </w:tcPr>
          <w:p w14:paraId="27D908CE" w14:textId="77777777" w:rsidR="0086415A" w:rsidRPr="000973F2" w:rsidRDefault="0086415A" w:rsidP="003B058A">
            <w:pPr>
              <w:tabs>
                <w:tab w:val="decimal" w:pos="346"/>
              </w:tabs>
              <w:spacing w:before="40" w:after="4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0</w:t>
            </w:r>
          </w:p>
        </w:tc>
        <w:tc>
          <w:tcPr>
            <w:tcW w:w="717" w:type="dxa"/>
            <w:noWrap/>
          </w:tcPr>
          <w:p w14:paraId="4C33919D" w14:textId="77777777" w:rsidR="0086415A" w:rsidRPr="000973F2" w:rsidRDefault="0086415A" w:rsidP="003B058A">
            <w:pPr>
              <w:tabs>
                <w:tab w:val="decimal" w:pos="346"/>
              </w:tabs>
              <w:spacing w:before="40" w:after="4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0</w:t>
            </w:r>
          </w:p>
        </w:tc>
        <w:tc>
          <w:tcPr>
            <w:tcW w:w="831" w:type="dxa"/>
            <w:noWrap/>
          </w:tcPr>
          <w:p w14:paraId="71661883" w14:textId="77777777" w:rsidR="0086415A" w:rsidRPr="000973F2" w:rsidRDefault="0086415A" w:rsidP="003B058A">
            <w:pPr>
              <w:tabs>
                <w:tab w:val="decimal" w:pos="346"/>
              </w:tabs>
              <w:spacing w:before="40" w:after="4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0.4</w:t>
            </w:r>
          </w:p>
        </w:tc>
        <w:tc>
          <w:tcPr>
            <w:tcW w:w="846" w:type="dxa"/>
            <w:noWrap/>
          </w:tcPr>
          <w:p w14:paraId="74C749AE" w14:textId="77777777" w:rsidR="0086415A" w:rsidRPr="000973F2" w:rsidRDefault="0086415A" w:rsidP="003B058A">
            <w:pPr>
              <w:tabs>
                <w:tab w:val="decimal" w:pos="346"/>
              </w:tabs>
              <w:spacing w:before="40" w:after="4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0</w:t>
            </w:r>
          </w:p>
        </w:tc>
        <w:tc>
          <w:tcPr>
            <w:tcW w:w="981" w:type="dxa"/>
            <w:noWrap/>
          </w:tcPr>
          <w:p w14:paraId="1C628E3A" w14:textId="77777777" w:rsidR="0086415A" w:rsidRPr="000973F2" w:rsidRDefault="0086415A" w:rsidP="003B058A">
            <w:pPr>
              <w:tabs>
                <w:tab w:val="decimal" w:pos="346"/>
              </w:tabs>
              <w:spacing w:before="40" w:after="4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4</w:t>
            </w:r>
          </w:p>
        </w:tc>
        <w:tc>
          <w:tcPr>
            <w:tcW w:w="717" w:type="dxa"/>
            <w:noWrap/>
          </w:tcPr>
          <w:p w14:paraId="0BF6FDD9" w14:textId="77777777" w:rsidR="0086415A" w:rsidRPr="000973F2" w:rsidRDefault="0086415A" w:rsidP="003B058A">
            <w:pPr>
              <w:tabs>
                <w:tab w:val="decimal" w:pos="346"/>
              </w:tabs>
              <w:spacing w:before="40" w:after="4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0</w:t>
            </w:r>
          </w:p>
        </w:tc>
        <w:tc>
          <w:tcPr>
            <w:tcW w:w="831" w:type="dxa"/>
            <w:noWrap/>
          </w:tcPr>
          <w:p w14:paraId="1D7518D8" w14:textId="77777777" w:rsidR="0086415A" w:rsidRPr="000973F2" w:rsidRDefault="0086415A" w:rsidP="003B058A">
            <w:pPr>
              <w:tabs>
                <w:tab w:val="decimal" w:pos="346"/>
              </w:tabs>
              <w:spacing w:before="40" w:after="4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0.4</w:t>
            </w:r>
          </w:p>
        </w:tc>
        <w:tc>
          <w:tcPr>
            <w:tcW w:w="707" w:type="dxa"/>
            <w:noWrap/>
          </w:tcPr>
          <w:p w14:paraId="3046D3FC" w14:textId="77777777" w:rsidR="0086415A" w:rsidRPr="000973F2" w:rsidRDefault="0086415A" w:rsidP="003B058A">
            <w:pPr>
              <w:tabs>
                <w:tab w:val="decimal" w:pos="346"/>
              </w:tabs>
              <w:spacing w:before="40" w:after="4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$0</w:t>
            </w:r>
          </w:p>
        </w:tc>
        <w:tc>
          <w:tcPr>
            <w:tcW w:w="831" w:type="dxa"/>
            <w:noWrap/>
          </w:tcPr>
          <w:p w14:paraId="283F4942" w14:textId="77777777" w:rsidR="0086415A" w:rsidRPr="000973F2" w:rsidRDefault="0086415A" w:rsidP="003B058A">
            <w:pPr>
              <w:tabs>
                <w:tab w:val="decimal" w:pos="556"/>
              </w:tabs>
              <w:spacing w:before="40" w:after="4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$335</w:t>
            </w:r>
          </w:p>
        </w:tc>
      </w:tr>
      <w:tr w:rsidR="0086415A" w:rsidRPr="000973F2" w14:paraId="079C7B6C" w14:textId="77777777" w:rsidTr="00B926DD">
        <w:trPr>
          <w:cantSplit/>
        </w:trPr>
        <w:tc>
          <w:tcPr>
            <w:cnfStyle w:val="001000000000" w:firstRow="0" w:lastRow="0" w:firstColumn="1" w:lastColumn="0" w:oddVBand="0" w:evenVBand="0" w:oddHBand="0" w:evenHBand="0" w:firstRowFirstColumn="0" w:firstRowLastColumn="0" w:lastRowFirstColumn="0" w:lastRowLastColumn="0"/>
            <w:tcW w:w="1321" w:type="dxa"/>
          </w:tcPr>
          <w:p w14:paraId="19BC3880" w14:textId="77777777" w:rsidR="0086415A" w:rsidRPr="000973F2" w:rsidRDefault="0086415A" w:rsidP="00DC5BA6">
            <w:pPr>
              <w:spacing w:before="40" w:after="4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Recordkeeping</w:t>
            </w:r>
          </w:p>
        </w:tc>
        <w:tc>
          <w:tcPr>
            <w:tcW w:w="717" w:type="dxa"/>
            <w:noWrap/>
          </w:tcPr>
          <w:p w14:paraId="64D046B6" w14:textId="77777777" w:rsidR="0086415A" w:rsidRPr="000973F2" w:rsidRDefault="0086415A" w:rsidP="003B058A">
            <w:pPr>
              <w:tabs>
                <w:tab w:val="decimal" w:pos="346"/>
              </w:tabs>
              <w:spacing w:before="40" w:after="4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0</w:t>
            </w:r>
          </w:p>
        </w:tc>
        <w:tc>
          <w:tcPr>
            <w:tcW w:w="831" w:type="dxa"/>
            <w:noWrap/>
          </w:tcPr>
          <w:p w14:paraId="2535A782" w14:textId="77777777" w:rsidR="0086415A" w:rsidRPr="000973F2" w:rsidRDefault="0086415A" w:rsidP="003B058A">
            <w:pPr>
              <w:tabs>
                <w:tab w:val="decimal" w:pos="346"/>
              </w:tabs>
              <w:spacing w:before="40" w:after="4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0</w:t>
            </w:r>
          </w:p>
        </w:tc>
        <w:tc>
          <w:tcPr>
            <w:tcW w:w="717" w:type="dxa"/>
            <w:noWrap/>
          </w:tcPr>
          <w:p w14:paraId="1667F594" w14:textId="77777777" w:rsidR="0086415A" w:rsidRPr="000973F2" w:rsidRDefault="0086415A" w:rsidP="003B058A">
            <w:pPr>
              <w:tabs>
                <w:tab w:val="decimal" w:pos="346"/>
              </w:tabs>
              <w:spacing w:before="40" w:after="4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0</w:t>
            </w:r>
          </w:p>
        </w:tc>
        <w:tc>
          <w:tcPr>
            <w:tcW w:w="831" w:type="dxa"/>
            <w:noWrap/>
          </w:tcPr>
          <w:p w14:paraId="2D44EFF4" w14:textId="77777777" w:rsidR="0086415A" w:rsidRPr="000973F2" w:rsidRDefault="0086415A" w:rsidP="003B058A">
            <w:pPr>
              <w:tabs>
                <w:tab w:val="decimal" w:pos="346"/>
              </w:tabs>
              <w:spacing w:before="40" w:after="4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0.5</w:t>
            </w:r>
          </w:p>
        </w:tc>
        <w:tc>
          <w:tcPr>
            <w:tcW w:w="846" w:type="dxa"/>
            <w:noWrap/>
          </w:tcPr>
          <w:p w14:paraId="48B63E87" w14:textId="77777777" w:rsidR="0086415A" w:rsidRPr="000973F2" w:rsidRDefault="0086415A" w:rsidP="003B058A">
            <w:pPr>
              <w:tabs>
                <w:tab w:val="decimal" w:pos="346"/>
              </w:tabs>
              <w:spacing w:before="40" w:after="4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0</w:t>
            </w:r>
          </w:p>
        </w:tc>
        <w:tc>
          <w:tcPr>
            <w:tcW w:w="981" w:type="dxa"/>
            <w:noWrap/>
          </w:tcPr>
          <w:p w14:paraId="1289A78C" w14:textId="77777777" w:rsidR="0086415A" w:rsidRPr="000973F2" w:rsidRDefault="0086415A" w:rsidP="003B058A">
            <w:pPr>
              <w:tabs>
                <w:tab w:val="decimal" w:pos="346"/>
              </w:tabs>
              <w:spacing w:before="40" w:after="4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5</w:t>
            </w:r>
          </w:p>
        </w:tc>
        <w:tc>
          <w:tcPr>
            <w:tcW w:w="717" w:type="dxa"/>
            <w:noWrap/>
          </w:tcPr>
          <w:p w14:paraId="45ED6BEB" w14:textId="77777777" w:rsidR="0086415A" w:rsidRPr="000973F2" w:rsidRDefault="0086415A" w:rsidP="003B058A">
            <w:pPr>
              <w:tabs>
                <w:tab w:val="decimal" w:pos="346"/>
              </w:tabs>
              <w:spacing w:before="40" w:after="4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0</w:t>
            </w:r>
          </w:p>
        </w:tc>
        <w:tc>
          <w:tcPr>
            <w:tcW w:w="831" w:type="dxa"/>
            <w:noWrap/>
          </w:tcPr>
          <w:p w14:paraId="4051E9D7" w14:textId="77777777" w:rsidR="0086415A" w:rsidRPr="000973F2" w:rsidRDefault="0086415A" w:rsidP="003B058A">
            <w:pPr>
              <w:tabs>
                <w:tab w:val="decimal" w:pos="346"/>
              </w:tabs>
              <w:spacing w:before="40" w:after="4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0.5</w:t>
            </w:r>
          </w:p>
        </w:tc>
        <w:tc>
          <w:tcPr>
            <w:tcW w:w="707" w:type="dxa"/>
            <w:noWrap/>
          </w:tcPr>
          <w:p w14:paraId="2184C449" w14:textId="77777777" w:rsidR="0086415A" w:rsidRPr="000973F2" w:rsidRDefault="0086415A" w:rsidP="003B058A">
            <w:pPr>
              <w:tabs>
                <w:tab w:val="decimal" w:pos="346"/>
              </w:tabs>
              <w:spacing w:before="40" w:after="4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$0</w:t>
            </w:r>
          </w:p>
        </w:tc>
        <w:tc>
          <w:tcPr>
            <w:tcW w:w="831" w:type="dxa"/>
            <w:noWrap/>
          </w:tcPr>
          <w:p w14:paraId="7D6ADC90" w14:textId="77777777" w:rsidR="0086415A" w:rsidRPr="000973F2" w:rsidRDefault="0086415A" w:rsidP="003B058A">
            <w:pPr>
              <w:tabs>
                <w:tab w:val="decimal" w:pos="556"/>
              </w:tabs>
              <w:spacing w:before="40" w:after="4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$419</w:t>
            </w:r>
          </w:p>
        </w:tc>
      </w:tr>
      <w:tr w:rsidR="00DC5BA6" w:rsidRPr="000973F2" w14:paraId="196E26C4" w14:textId="77777777" w:rsidTr="00DC5BA6">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1321" w:type="dxa"/>
          </w:tcPr>
          <w:p w14:paraId="1937A27F" w14:textId="77777777" w:rsidR="0086415A" w:rsidRPr="000973F2" w:rsidRDefault="0086415A" w:rsidP="00DC5BA6">
            <w:pPr>
              <w:spacing w:before="40" w:after="4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Sampling and Analysis (Calculations)</w:t>
            </w:r>
          </w:p>
        </w:tc>
        <w:tc>
          <w:tcPr>
            <w:tcW w:w="717" w:type="dxa"/>
            <w:noWrap/>
          </w:tcPr>
          <w:p w14:paraId="0661A7D3" w14:textId="77777777" w:rsidR="0086415A" w:rsidRPr="000973F2" w:rsidRDefault="0086415A" w:rsidP="003B058A">
            <w:pPr>
              <w:tabs>
                <w:tab w:val="decimal" w:pos="346"/>
              </w:tabs>
              <w:spacing w:before="40" w:after="4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0</w:t>
            </w:r>
          </w:p>
        </w:tc>
        <w:tc>
          <w:tcPr>
            <w:tcW w:w="831" w:type="dxa"/>
            <w:noWrap/>
          </w:tcPr>
          <w:p w14:paraId="6B6FFA47" w14:textId="77777777" w:rsidR="0086415A" w:rsidRPr="000973F2" w:rsidRDefault="0086415A" w:rsidP="003B058A">
            <w:pPr>
              <w:tabs>
                <w:tab w:val="decimal" w:pos="346"/>
              </w:tabs>
              <w:spacing w:before="40" w:after="4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0</w:t>
            </w:r>
          </w:p>
        </w:tc>
        <w:tc>
          <w:tcPr>
            <w:tcW w:w="717" w:type="dxa"/>
            <w:noWrap/>
          </w:tcPr>
          <w:p w14:paraId="41E17193" w14:textId="77777777" w:rsidR="0086415A" w:rsidRPr="000973F2" w:rsidRDefault="0086415A" w:rsidP="003B058A">
            <w:pPr>
              <w:tabs>
                <w:tab w:val="decimal" w:pos="346"/>
              </w:tabs>
              <w:spacing w:before="40" w:after="4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0</w:t>
            </w:r>
          </w:p>
        </w:tc>
        <w:tc>
          <w:tcPr>
            <w:tcW w:w="831" w:type="dxa"/>
            <w:noWrap/>
          </w:tcPr>
          <w:p w14:paraId="00CEF0F1" w14:textId="77777777" w:rsidR="0086415A" w:rsidRPr="000973F2" w:rsidRDefault="0086415A" w:rsidP="003B058A">
            <w:pPr>
              <w:tabs>
                <w:tab w:val="decimal" w:pos="346"/>
              </w:tabs>
              <w:spacing w:before="40" w:after="4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0.7</w:t>
            </w:r>
          </w:p>
        </w:tc>
        <w:tc>
          <w:tcPr>
            <w:tcW w:w="846" w:type="dxa"/>
            <w:noWrap/>
          </w:tcPr>
          <w:p w14:paraId="1DFE0D8B" w14:textId="77777777" w:rsidR="0086415A" w:rsidRPr="000973F2" w:rsidRDefault="0086415A" w:rsidP="003B058A">
            <w:pPr>
              <w:tabs>
                <w:tab w:val="decimal" w:pos="346"/>
              </w:tabs>
              <w:spacing w:before="40" w:after="4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0</w:t>
            </w:r>
          </w:p>
        </w:tc>
        <w:tc>
          <w:tcPr>
            <w:tcW w:w="981" w:type="dxa"/>
            <w:noWrap/>
          </w:tcPr>
          <w:p w14:paraId="365A459F" w14:textId="77777777" w:rsidR="0086415A" w:rsidRPr="000973F2" w:rsidRDefault="0086415A" w:rsidP="003B058A">
            <w:pPr>
              <w:tabs>
                <w:tab w:val="decimal" w:pos="346"/>
              </w:tabs>
              <w:spacing w:before="40" w:after="4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7</w:t>
            </w:r>
          </w:p>
        </w:tc>
        <w:tc>
          <w:tcPr>
            <w:tcW w:w="717" w:type="dxa"/>
            <w:noWrap/>
          </w:tcPr>
          <w:p w14:paraId="402DA59D" w14:textId="77777777" w:rsidR="0086415A" w:rsidRPr="000973F2" w:rsidRDefault="0086415A" w:rsidP="003B058A">
            <w:pPr>
              <w:tabs>
                <w:tab w:val="decimal" w:pos="346"/>
              </w:tabs>
              <w:spacing w:before="40" w:after="4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0</w:t>
            </w:r>
          </w:p>
        </w:tc>
        <w:tc>
          <w:tcPr>
            <w:tcW w:w="831" w:type="dxa"/>
            <w:noWrap/>
          </w:tcPr>
          <w:p w14:paraId="323746B6" w14:textId="77777777" w:rsidR="0086415A" w:rsidRPr="000973F2" w:rsidRDefault="0086415A" w:rsidP="003B058A">
            <w:pPr>
              <w:tabs>
                <w:tab w:val="decimal" w:pos="346"/>
              </w:tabs>
              <w:spacing w:before="40" w:after="4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0.7</w:t>
            </w:r>
          </w:p>
        </w:tc>
        <w:tc>
          <w:tcPr>
            <w:tcW w:w="707" w:type="dxa"/>
            <w:noWrap/>
          </w:tcPr>
          <w:p w14:paraId="0DA08352" w14:textId="77777777" w:rsidR="0086415A" w:rsidRPr="000973F2" w:rsidRDefault="0086415A" w:rsidP="003B058A">
            <w:pPr>
              <w:tabs>
                <w:tab w:val="decimal" w:pos="346"/>
              </w:tabs>
              <w:spacing w:before="40" w:after="4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$0</w:t>
            </w:r>
          </w:p>
        </w:tc>
        <w:tc>
          <w:tcPr>
            <w:tcW w:w="831" w:type="dxa"/>
            <w:noWrap/>
          </w:tcPr>
          <w:p w14:paraId="61DA940A" w14:textId="77777777" w:rsidR="0086415A" w:rsidRPr="000973F2" w:rsidRDefault="0086415A" w:rsidP="003B058A">
            <w:pPr>
              <w:tabs>
                <w:tab w:val="decimal" w:pos="556"/>
              </w:tabs>
              <w:spacing w:before="40" w:after="4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$587</w:t>
            </w:r>
          </w:p>
        </w:tc>
      </w:tr>
      <w:tr w:rsidR="00AD5834" w:rsidRPr="000973F2" w14:paraId="34BC1C3E" w14:textId="77777777" w:rsidTr="00B926DD">
        <w:trPr>
          <w:cantSplit/>
        </w:trPr>
        <w:tc>
          <w:tcPr>
            <w:cnfStyle w:val="001000000000" w:firstRow="0" w:lastRow="0" w:firstColumn="1" w:lastColumn="0" w:oddVBand="0" w:evenVBand="0" w:oddHBand="0" w:evenHBand="0" w:firstRowFirstColumn="0" w:firstRowLastColumn="0" w:lastRowFirstColumn="0" w:lastRowLastColumn="0"/>
            <w:tcW w:w="1321" w:type="dxa"/>
          </w:tcPr>
          <w:p w14:paraId="31D1EC98" w14:textId="77777777" w:rsidR="0086415A" w:rsidRPr="000973F2" w:rsidRDefault="0086415A" w:rsidP="00DC5BA6">
            <w:pPr>
              <w:spacing w:before="40" w:after="4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Reporting</w:t>
            </w:r>
          </w:p>
        </w:tc>
        <w:tc>
          <w:tcPr>
            <w:tcW w:w="717" w:type="dxa"/>
            <w:noWrap/>
          </w:tcPr>
          <w:p w14:paraId="5D6E5052" w14:textId="77777777" w:rsidR="0086415A" w:rsidRPr="000973F2" w:rsidRDefault="0086415A" w:rsidP="003B058A">
            <w:pPr>
              <w:tabs>
                <w:tab w:val="decimal" w:pos="346"/>
              </w:tabs>
              <w:spacing w:before="40" w:after="4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0</w:t>
            </w:r>
          </w:p>
        </w:tc>
        <w:tc>
          <w:tcPr>
            <w:tcW w:w="831" w:type="dxa"/>
            <w:noWrap/>
          </w:tcPr>
          <w:p w14:paraId="6C0C301B" w14:textId="77777777" w:rsidR="0086415A" w:rsidRPr="000973F2" w:rsidRDefault="0086415A" w:rsidP="003B058A">
            <w:pPr>
              <w:tabs>
                <w:tab w:val="decimal" w:pos="346"/>
              </w:tabs>
              <w:spacing w:before="40" w:after="4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0</w:t>
            </w:r>
          </w:p>
        </w:tc>
        <w:tc>
          <w:tcPr>
            <w:tcW w:w="717" w:type="dxa"/>
            <w:noWrap/>
          </w:tcPr>
          <w:p w14:paraId="2A9E5F3D" w14:textId="77777777" w:rsidR="0086415A" w:rsidRPr="000973F2" w:rsidRDefault="0086415A" w:rsidP="003B058A">
            <w:pPr>
              <w:tabs>
                <w:tab w:val="decimal" w:pos="346"/>
              </w:tabs>
              <w:spacing w:before="40" w:after="4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0</w:t>
            </w:r>
          </w:p>
        </w:tc>
        <w:tc>
          <w:tcPr>
            <w:tcW w:w="831" w:type="dxa"/>
            <w:noWrap/>
          </w:tcPr>
          <w:p w14:paraId="18B88280" w14:textId="77777777" w:rsidR="0086415A" w:rsidRPr="000973F2" w:rsidRDefault="0086415A" w:rsidP="003B058A">
            <w:pPr>
              <w:tabs>
                <w:tab w:val="decimal" w:pos="346"/>
              </w:tabs>
              <w:spacing w:before="40" w:after="4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1</w:t>
            </w:r>
          </w:p>
        </w:tc>
        <w:tc>
          <w:tcPr>
            <w:tcW w:w="846" w:type="dxa"/>
            <w:noWrap/>
          </w:tcPr>
          <w:p w14:paraId="79732C15" w14:textId="77777777" w:rsidR="0086415A" w:rsidRPr="000973F2" w:rsidRDefault="0086415A" w:rsidP="003B058A">
            <w:pPr>
              <w:tabs>
                <w:tab w:val="decimal" w:pos="346"/>
              </w:tabs>
              <w:spacing w:before="40" w:after="4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0</w:t>
            </w:r>
          </w:p>
        </w:tc>
        <w:tc>
          <w:tcPr>
            <w:tcW w:w="981" w:type="dxa"/>
            <w:noWrap/>
          </w:tcPr>
          <w:p w14:paraId="526F1BB0" w14:textId="77777777" w:rsidR="0086415A" w:rsidRPr="000973F2" w:rsidRDefault="0086415A" w:rsidP="003B058A">
            <w:pPr>
              <w:tabs>
                <w:tab w:val="decimal" w:pos="346"/>
              </w:tabs>
              <w:spacing w:before="40" w:after="4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10</w:t>
            </w:r>
          </w:p>
        </w:tc>
        <w:tc>
          <w:tcPr>
            <w:tcW w:w="717" w:type="dxa"/>
            <w:noWrap/>
          </w:tcPr>
          <w:p w14:paraId="0B8604BC" w14:textId="77777777" w:rsidR="0086415A" w:rsidRPr="000973F2" w:rsidRDefault="0086415A" w:rsidP="003B058A">
            <w:pPr>
              <w:tabs>
                <w:tab w:val="decimal" w:pos="346"/>
              </w:tabs>
              <w:spacing w:before="40" w:after="4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0</w:t>
            </w:r>
          </w:p>
        </w:tc>
        <w:tc>
          <w:tcPr>
            <w:tcW w:w="831" w:type="dxa"/>
            <w:noWrap/>
          </w:tcPr>
          <w:p w14:paraId="2F7052F3" w14:textId="77777777" w:rsidR="0086415A" w:rsidRPr="000973F2" w:rsidRDefault="0086415A" w:rsidP="003B058A">
            <w:pPr>
              <w:tabs>
                <w:tab w:val="decimal" w:pos="346"/>
              </w:tabs>
              <w:spacing w:before="40" w:after="4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1</w:t>
            </w:r>
          </w:p>
        </w:tc>
        <w:tc>
          <w:tcPr>
            <w:tcW w:w="707" w:type="dxa"/>
            <w:noWrap/>
          </w:tcPr>
          <w:p w14:paraId="032B0607" w14:textId="77777777" w:rsidR="0086415A" w:rsidRPr="000973F2" w:rsidRDefault="0086415A" w:rsidP="003B058A">
            <w:pPr>
              <w:tabs>
                <w:tab w:val="decimal" w:pos="346"/>
              </w:tabs>
              <w:spacing w:before="40" w:after="4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$0</w:t>
            </w:r>
          </w:p>
        </w:tc>
        <w:tc>
          <w:tcPr>
            <w:tcW w:w="831" w:type="dxa"/>
            <w:noWrap/>
          </w:tcPr>
          <w:p w14:paraId="2492F48A" w14:textId="77777777" w:rsidR="0086415A" w:rsidRPr="000973F2" w:rsidRDefault="0086415A" w:rsidP="003B058A">
            <w:pPr>
              <w:tabs>
                <w:tab w:val="decimal" w:pos="556"/>
              </w:tabs>
              <w:spacing w:before="40" w:after="4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$838</w:t>
            </w:r>
          </w:p>
        </w:tc>
      </w:tr>
      <w:tr w:rsidR="00DC5BA6" w:rsidRPr="000973F2" w14:paraId="4BB548B1" w14:textId="77777777" w:rsidTr="00DC5BA6">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1321" w:type="dxa"/>
            <w:noWrap/>
          </w:tcPr>
          <w:p w14:paraId="2F94334B" w14:textId="77777777" w:rsidR="0086415A" w:rsidRPr="000973F2" w:rsidRDefault="0086415A" w:rsidP="00DC5BA6">
            <w:pPr>
              <w:spacing w:before="40" w:after="40"/>
              <w:rPr>
                <w:rFonts w:ascii="Times New Roman" w:eastAsia="Times New Roman" w:hAnsi="Times New Roman" w:cs="Times New Roman"/>
                <w:b/>
                <w:bCs w:val="0"/>
                <w:sz w:val="18"/>
                <w:szCs w:val="18"/>
              </w:rPr>
            </w:pPr>
            <w:r w:rsidRPr="000973F2">
              <w:rPr>
                <w:rFonts w:ascii="Times New Roman" w:eastAsia="Times New Roman" w:hAnsi="Times New Roman" w:cs="Times New Roman"/>
                <w:b/>
                <w:sz w:val="18"/>
                <w:szCs w:val="18"/>
              </w:rPr>
              <w:t>Total</w:t>
            </w:r>
          </w:p>
        </w:tc>
        <w:tc>
          <w:tcPr>
            <w:tcW w:w="717" w:type="dxa"/>
            <w:noWrap/>
          </w:tcPr>
          <w:p w14:paraId="638083A2" w14:textId="77777777" w:rsidR="0086415A" w:rsidRPr="000973F2" w:rsidRDefault="0086415A" w:rsidP="003B058A">
            <w:pPr>
              <w:tabs>
                <w:tab w:val="decimal" w:pos="346"/>
              </w:tabs>
              <w:spacing w:before="40" w:after="4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18"/>
                <w:szCs w:val="18"/>
              </w:rPr>
            </w:pPr>
            <w:r w:rsidRPr="000973F2">
              <w:rPr>
                <w:rFonts w:ascii="Times New Roman" w:eastAsia="Times New Roman" w:hAnsi="Times New Roman" w:cs="Times New Roman"/>
                <w:b/>
                <w:bCs/>
                <w:sz w:val="18"/>
                <w:szCs w:val="18"/>
              </w:rPr>
              <w:t>0</w:t>
            </w:r>
          </w:p>
        </w:tc>
        <w:tc>
          <w:tcPr>
            <w:tcW w:w="831" w:type="dxa"/>
            <w:noWrap/>
          </w:tcPr>
          <w:p w14:paraId="5446D151" w14:textId="77777777" w:rsidR="0086415A" w:rsidRPr="000973F2" w:rsidRDefault="0086415A" w:rsidP="003B058A">
            <w:pPr>
              <w:tabs>
                <w:tab w:val="decimal" w:pos="346"/>
              </w:tabs>
              <w:spacing w:before="40" w:after="4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18"/>
                <w:szCs w:val="18"/>
              </w:rPr>
            </w:pPr>
            <w:r w:rsidRPr="000973F2">
              <w:rPr>
                <w:rFonts w:ascii="Times New Roman" w:eastAsia="Times New Roman" w:hAnsi="Times New Roman" w:cs="Times New Roman"/>
                <w:b/>
                <w:bCs/>
                <w:sz w:val="18"/>
                <w:szCs w:val="18"/>
              </w:rPr>
              <w:t>2</w:t>
            </w:r>
          </w:p>
        </w:tc>
        <w:tc>
          <w:tcPr>
            <w:tcW w:w="717" w:type="dxa"/>
            <w:noWrap/>
          </w:tcPr>
          <w:p w14:paraId="3BD8E6BE" w14:textId="77777777" w:rsidR="0086415A" w:rsidRPr="000973F2" w:rsidRDefault="0086415A" w:rsidP="003B058A">
            <w:pPr>
              <w:tabs>
                <w:tab w:val="decimal" w:pos="346"/>
              </w:tabs>
              <w:spacing w:before="40" w:after="4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18"/>
                <w:szCs w:val="18"/>
              </w:rPr>
            </w:pPr>
            <w:r w:rsidRPr="000973F2">
              <w:rPr>
                <w:rFonts w:ascii="Times New Roman" w:eastAsia="Times New Roman" w:hAnsi="Times New Roman" w:cs="Times New Roman"/>
                <w:b/>
                <w:bCs/>
                <w:sz w:val="18"/>
                <w:szCs w:val="18"/>
              </w:rPr>
              <w:t>0</w:t>
            </w:r>
          </w:p>
        </w:tc>
        <w:tc>
          <w:tcPr>
            <w:tcW w:w="831" w:type="dxa"/>
            <w:noWrap/>
          </w:tcPr>
          <w:p w14:paraId="0B18EA75" w14:textId="77777777" w:rsidR="0086415A" w:rsidRPr="000973F2" w:rsidRDefault="0086415A" w:rsidP="003B058A">
            <w:pPr>
              <w:tabs>
                <w:tab w:val="decimal" w:pos="346"/>
              </w:tabs>
              <w:spacing w:before="40" w:after="4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18"/>
                <w:szCs w:val="18"/>
              </w:rPr>
            </w:pPr>
            <w:r w:rsidRPr="000973F2">
              <w:rPr>
                <w:rFonts w:ascii="Times New Roman" w:eastAsia="Times New Roman" w:hAnsi="Times New Roman" w:cs="Times New Roman"/>
                <w:b/>
                <w:bCs/>
                <w:sz w:val="18"/>
                <w:szCs w:val="18"/>
              </w:rPr>
              <w:t>2.8</w:t>
            </w:r>
          </w:p>
        </w:tc>
        <w:tc>
          <w:tcPr>
            <w:tcW w:w="846" w:type="dxa"/>
            <w:noWrap/>
          </w:tcPr>
          <w:p w14:paraId="55E73F67" w14:textId="77777777" w:rsidR="0086415A" w:rsidRPr="000973F2" w:rsidRDefault="0086415A" w:rsidP="003B058A">
            <w:pPr>
              <w:tabs>
                <w:tab w:val="decimal" w:pos="346"/>
              </w:tabs>
              <w:spacing w:before="40" w:after="4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18"/>
                <w:szCs w:val="18"/>
              </w:rPr>
            </w:pPr>
            <w:r w:rsidRPr="000973F2">
              <w:rPr>
                <w:rFonts w:ascii="Times New Roman" w:eastAsia="Times New Roman" w:hAnsi="Times New Roman" w:cs="Times New Roman"/>
                <w:b/>
                <w:bCs/>
                <w:sz w:val="18"/>
                <w:szCs w:val="18"/>
              </w:rPr>
              <w:t>0</w:t>
            </w:r>
          </w:p>
        </w:tc>
        <w:tc>
          <w:tcPr>
            <w:tcW w:w="981" w:type="dxa"/>
            <w:noWrap/>
          </w:tcPr>
          <w:p w14:paraId="23783566" w14:textId="77777777" w:rsidR="0086415A" w:rsidRPr="000973F2" w:rsidRDefault="0086415A" w:rsidP="003B058A">
            <w:pPr>
              <w:tabs>
                <w:tab w:val="decimal" w:pos="346"/>
              </w:tabs>
              <w:spacing w:before="40" w:after="4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18"/>
                <w:szCs w:val="18"/>
              </w:rPr>
            </w:pPr>
            <w:r w:rsidRPr="000973F2">
              <w:rPr>
                <w:rFonts w:ascii="Times New Roman" w:eastAsia="Times New Roman" w:hAnsi="Times New Roman" w:cs="Times New Roman"/>
                <w:b/>
                <w:bCs/>
                <w:sz w:val="18"/>
                <w:szCs w:val="18"/>
              </w:rPr>
              <w:t>28</w:t>
            </w:r>
          </w:p>
        </w:tc>
        <w:tc>
          <w:tcPr>
            <w:tcW w:w="717" w:type="dxa"/>
            <w:noWrap/>
          </w:tcPr>
          <w:p w14:paraId="55A561DF" w14:textId="77777777" w:rsidR="0086415A" w:rsidRPr="000973F2" w:rsidRDefault="0086415A" w:rsidP="003B058A">
            <w:pPr>
              <w:tabs>
                <w:tab w:val="decimal" w:pos="346"/>
              </w:tabs>
              <w:spacing w:before="40" w:after="4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18"/>
                <w:szCs w:val="18"/>
              </w:rPr>
            </w:pPr>
            <w:r w:rsidRPr="000973F2">
              <w:rPr>
                <w:rFonts w:ascii="Times New Roman" w:eastAsia="Times New Roman" w:hAnsi="Times New Roman" w:cs="Times New Roman"/>
                <w:b/>
                <w:bCs/>
                <w:sz w:val="18"/>
                <w:szCs w:val="18"/>
              </w:rPr>
              <w:t>0</w:t>
            </w:r>
          </w:p>
        </w:tc>
        <w:tc>
          <w:tcPr>
            <w:tcW w:w="831" w:type="dxa"/>
            <w:noWrap/>
          </w:tcPr>
          <w:p w14:paraId="44A87D5B" w14:textId="77777777" w:rsidR="0086415A" w:rsidRPr="000973F2" w:rsidRDefault="0086415A" w:rsidP="003B058A">
            <w:pPr>
              <w:tabs>
                <w:tab w:val="decimal" w:pos="346"/>
              </w:tabs>
              <w:spacing w:before="40" w:after="4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18"/>
                <w:szCs w:val="18"/>
              </w:rPr>
            </w:pPr>
            <w:r w:rsidRPr="000973F2">
              <w:rPr>
                <w:rFonts w:ascii="Times New Roman" w:eastAsia="Times New Roman" w:hAnsi="Times New Roman" w:cs="Times New Roman"/>
                <w:b/>
                <w:bCs/>
                <w:sz w:val="18"/>
                <w:szCs w:val="18"/>
              </w:rPr>
              <w:t>2.8</w:t>
            </w:r>
          </w:p>
        </w:tc>
        <w:tc>
          <w:tcPr>
            <w:tcW w:w="707" w:type="dxa"/>
            <w:noWrap/>
          </w:tcPr>
          <w:p w14:paraId="0EDDE1A1" w14:textId="77777777" w:rsidR="0086415A" w:rsidRPr="000973F2" w:rsidRDefault="0086415A" w:rsidP="003B058A">
            <w:pPr>
              <w:tabs>
                <w:tab w:val="decimal" w:pos="346"/>
              </w:tabs>
              <w:spacing w:before="40" w:after="4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18"/>
                <w:szCs w:val="18"/>
              </w:rPr>
            </w:pPr>
            <w:r w:rsidRPr="000973F2">
              <w:rPr>
                <w:rFonts w:ascii="Times New Roman" w:eastAsia="Times New Roman" w:hAnsi="Times New Roman" w:cs="Times New Roman"/>
                <w:b/>
                <w:bCs/>
                <w:sz w:val="18"/>
                <w:szCs w:val="18"/>
              </w:rPr>
              <w:t>$0</w:t>
            </w:r>
          </w:p>
        </w:tc>
        <w:tc>
          <w:tcPr>
            <w:tcW w:w="831" w:type="dxa"/>
            <w:noWrap/>
          </w:tcPr>
          <w:p w14:paraId="7125A198" w14:textId="77777777" w:rsidR="0086415A" w:rsidRPr="000973F2" w:rsidRDefault="0086415A" w:rsidP="003B058A">
            <w:pPr>
              <w:tabs>
                <w:tab w:val="decimal" w:pos="556"/>
              </w:tabs>
              <w:spacing w:before="40" w:after="4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18"/>
                <w:szCs w:val="18"/>
              </w:rPr>
            </w:pPr>
            <w:r w:rsidRPr="000973F2">
              <w:rPr>
                <w:rFonts w:ascii="Times New Roman" w:eastAsia="Times New Roman" w:hAnsi="Times New Roman" w:cs="Times New Roman"/>
                <w:b/>
                <w:bCs/>
                <w:sz w:val="18"/>
                <w:szCs w:val="18"/>
              </w:rPr>
              <w:t>$2,572</w:t>
            </w:r>
          </w:p>
        </w:tc>
      </w:tr>
    </w:tbl>
    <w:p w14:paraId="04B28D8A" w14:textId="77777777" w:rsidR="0086415A" w:rsidRPr="000973F2" w:rsidRDefault="0086415A" w:rsidP="00C00E4F">
      <w:pPr>
        <w:spacing w:line="240" w:lineRule="auto"/>
        <w:rPr>
          <w:rFonts w:ascii="Times New Roman" w:hAnsi="Times New Roman" w:cs="Times New Roman"/>
          <w:sz w:val="16"/>
          <w:szCs w:val="16"/>
        </w:rPr>
      </w:pPr>
    </w:p>
    <w:p w14:paraId="5575D643" w14:textId="67829432" w:rsidR="00D826A6" w:rsidRPr="000973F2" w:rsidRDefault="00B00E3D" w:rsidP="00EF48A8">
      <w:pPr>
        <w:pStyle w:val="Tabletitle"/>
        <w:rPr>
          <w:sz w:val="16"/>
        </w:rPr>
      </w:pPr>
      <w:r w:rsidRPr="000973F2">
        <w:t xml:space="preserve">Table </w:t>
      </w:r>
      <w:r w:rsidR="00EF48A8" w:rsidRPr="000973F2">
        <w:t>Y-</w:t>
      </w:r>
      <w:r w:rsidRPr="000973F2">
        <w:t xml:space="preserve">2d. Labor Costs </w:t>
      </w:r>
      <w:r w:rsidR="00B960CC" w:rsidRPr="000973F2">
        <w:t>–</w:t>
      </w:r>
      <w:r w:rsidRPr="000973F2">
        <w:t xml:space="preserve"> </w:t>
      </w:r>
      <w:r w:rsidR="00D826A6" w:rsidRPr="000973F2">
        <w:t>Subpart Y – Small Hydroskimming Refinery</w:t>
      </w:r>
    </w:p>
    <w:tbl>
      <w:tblPr>
        <w:tblStyle w:val="PlainTable1"/>
        <w:tblW w:w="5000" w:type="pct"/>
        <w:jc w:val="left"/>
        <w:tblLayout w:type="fixed"/>
        <w:tblCellMar>
          <w:left w:w="115" w:type="dxa"/>
          <w:right w:w="115" w:type="dxa"/>
        </w:tblCellMar>
        <w:tblLook w:val="04A0" w:firstRow="1" w:lastRow="0" w:firstColumn="1" w:lastColumn="0" w:noHBand="0" w:noVBand="1"/>
      </w:tblPr>
      <w:tblGrid>
        <w:gridCol w:w="1371"/>
        <w:gridCol w:w="832"/>
        <w:gridCol w:w="832"/>
        <w:gridCol w:w="832"/>
        <w:gridCol w:w="833"/>
        <w:gridCol w:w="833"/>
        <w:gridCol w:w="833"/>
        <w:gridCol w:w="833"/>
        <w:gridCol w:w="833"/>
        <w:gridCol w:w="686"/>
        <w:gridCol w:w="872"/>
      </w:tblGrid>
      <w:tr w:rsidR="0086415A" w:rsidRPr="000973F2" w14:paraId="470116D3" w14:textId="77777777" w:rsidTr="00B926DD">
        <w:trPr>
          <w:cnfStyle w:val="100000000000" w:firstRow="1" w:lastRow="0" w:firstColumn="0" w:lastColumn="0" w:oddVBand="0" w:evenVBand="0" w:oddHBand="0" w:evenHBand="0" w:firstRowFirstColumn="0" w:firstRowLastColumn="0" w:lastRowFirstColumn="0" w:lastRowLastColumn="0"/>
          <w:cantSplit/>
          <w:jc w:val="left"/>
        </w:trPr>
        <w:tc>
          <w:tcPr>
            <w:cnfStyle w:val="001000000000" w:firstRow="0" w:lastRow="0" w:firstColumn="1" w:lastColumn="0" w:oddVBand="0" w:evenVBand="0" w:oddHBand="0" w:evenHBand="0" w:firstRowFirstColumn="0" w:firstRowLastColumn="0" w:lastRowFirstColumn="0" w:lastRowLastColumn="0"/>
            <w:tcW w:w="1335" w:type="dxa"/>
            <w:vMerge w:val="restart"/>
            <w:noWrap/>
            <w:vAlign w:val="top"/>
          </w:tcPr>
          <w:p w14:paraId="1E9882A9" w14:textId="77777777" w:rsidR="0086415A" w:rsidRPr="000973F2" w:rsidRDefault="0086415A" w:rsidP="003B058A">
            <w:pPr>
              <w:spacing w:before="40" w:after="40"/>
              <w:rPr>
                <w:rFonts w:ascii="Times New Roman" w:eastAsia="Times New Roman" w:hAnsi="Times New Roman" w:cs="Times New Roman"/>
                <w:bCs w:val="0"/>
                <w:sz w:val="18"/>
                <w:szCs w:val="18"/>
              </w:rPr>
            </w:pPr>
            <w:r w:rsidRPr="000973F2">
              <w:rPr>
                <w:rFonts w:ascii="Times New Roman" w:eastAsia="Times New Roman" w:hAnsi="Times New Roman" w:cs="Times New Roman"/>
                <w:bCs w:val="0"/>
                <w:sz w:val="18"/>
                <w:szCs w:val="18"/>
              </w:rPr>
              <w:t>Activity</w:t>
            </w:r>
          </w:p>
        </w:tc>
        <w:tc>
          <w:tcPr>
            <w:tcW w:w="6480" w:type="dxa"/>
            <w:gridSpan w:val="8"/>
            <w:noWrap/>
            <w:vAlign w:val="top"/>
          </w:tcPr>
          <w:p w14:paraId="5BD93F98" w14:textId="77777777" w:rsidR="0086415A" w:rsidRPr="000973F2" w:rsidRDefault="0086415A" w:rsidP="003B058A">
            <w:pPr>
              <w:spacing w:before="40" w:after="40"/>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Cs w:val="0"/>
                <w:sz w:val="18"/>
                <w:szCs w:val="18"/>
              </w:rPr>
            </w:pPr>
            <w:r w:rsidRPr="000973F2">
              <w:rPr>
                <w:rFonts w:ascii="Times New Roman" w:eastAsia="Times New Roman" w:hAnsi="Times New Roman" w:cs="Times New Roman"/>
                <w:bCs w:val="0"/>
                <w:sz w:val="18"/>
                <w:szCs w:val="18"/>
              </w:rPr>
              <w:t>Labor Rates (per hour)</w:t>
            </w:r>
          </w:p>
        </w:tc>
        <w:tc>
          <w:tcPr>
            <w:tcW w:w="1515" w:type="dxa"/>
            <w:gridSpan w:val="2"/>
            <w:vMerge w:val="restart"/>
            <w:vAlign w:val="top"/>
          </w:tcPr>
          <w:p w14:paraId="38699EE2" w14:textId="77777777" w:rsidR="0086415A" w:rsidRPr="000973F2" w:rsidRDefault="0086415A" w:rsidP="003B058A">
            <w:pPr>
              <w:spacing w:before="40" w:after="40"/>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Cs w:val="0"/>
                <w:sz w:val="18"/>
                <w:szCs w:val="18"/>
              </w:rPr>
            </w:pPr>
            <w:r w:rsidRPr="000973F2">
              <w:rPr>
                <w:rFonts w:ascii="Times New Roman" w:eastAsia="Times New Roman" w:hAnsi="Times New Roman" w:cs="Times New Roman"/>
                <w:bCs w:val="0"/>
                <w:sz w:val="18"/>
                <w:szCs w:val="18"/>
              </w:rPr>
              <w:t>Total Labor Cost per Year per Facility (2017$)</w:t>
            </w:r>
          </w:p>
        </w:tc>
      </w:tr>
      <w:tr w:rsidR="0086415A" w:rsidRPr="000973F2" w14:paraId="3BF3D57B" w14:textId="77777777" w:rsidTr="00B926DD">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1335" w:type="dxa"/>
            <w:vMerge/>
          </w:tcPr>
          <w:p w14:paraId="0FD56483" w14:textId="77777777" w:rsidR="0086415A" w:rsidRPr="000973F2" w:rsidRDefault="0086415A" w:rsidP="003B058A">
            <w:pPr>
              <w:spacing w:before="40" w:after="40"/>
              <w:rPr>
                <w:rFonts w:ascii="Times New Roman" w:eastAsia="Times New Roman" w:hAnsi="Times New Roman" w:cs="Times New Roman"/>
                <w:b/>
                <w:bCs w:val="0"/>
                <w:sz w:val="18"/>
                <w:szCs w:val="18"/>
              </w:rPr>
            </w:pPr>
          </w:p>
        </w:tc>
        <w:tc>
          <w:tcPr>
            <w:tcW w:w="1620" w:type="dxa"/>
            <w:gridSpan w:val="2"/>
            <w:noWrap/>
          </w:tcPr>
          <w:p w14:paraId="087DB07D" w14:textId="77777777" w:rsidR="0086415A" w:rsidRPr="000973F2" w:rsidRDefault="0086415A" w:rsidP="003B058A">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18"/>
                <w:szCs w:val="18"/>
              </w:rPr>
            </w:pPr>
            <w:r w:rsidRPr="000973F2">
              <w:rPr>
                <w:rFonts w:ascii="Times New Roman" w:eastAsia="Times New Roman" w:hAnsi="Times New Roman" w:cs="Times New Roman"/>
                <w:b/>
                <w:bCs/>
                <w:sz w:val="18"/>
                <w:szCs w:val="18"/>
              </w:rPr>
              <w:t>Lawyer</w:t>
            </w:r>
          </w:p>
        </w:tc>
        <w:tc>
          <w:tcPr>
            <w:tcW w:w="1620" w:type="dxa"/>
            <w:gridSpan w:val="2"/>
            <w:noWrap/>
          </w:tcPr>
          <w:p w14:paraId="58E8560B" w14:textId="77777777" w:rsidR="0086415A" w:rsidRPr="000973F2" w:rsidRDefault="0086415A" w:rsidP="003B058A">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18"/>
                <w:szCs w:val="18"/>
              </w:rPr>
            </w:pPr>
            <w:r w:rsidRPr="000973F2">
              <w:rPr>
                <w:rFonts w:ascii="Times New Roman" w:eastAsia="Times New Roman" w:hAnsi="Times New Roman" w:cs="Times New Roman"/>
                <w:b/>
                <w:bCs/>
                <w:sz w:val="18"/>
                <w:szCs w:val="18"/>
              </w:rPr>
              <w:t>Industrial Manager</w:t>
            </w:r>
          </w:p>
        </w:tc>
        <w:tc>
          <w:tcPr>
            <w:tcW w:w="1620" w:type="dxa"/>
            <w:gridSpan w:val="2"/>
          </w:tcPr>
          <w:p w14:paraId="6439CB65" w14:textId="16B1D1E7" w:rsidR="0086415A" w:rsidRPr="000973F2" w:rsidRDefault="0086415A" w:rsidP="003B058A">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18"/>
                <w:szCs w:val="18"/>
              </w:rPr>
            </w:pPr>
            <w:r w:rsidRPr="000973F2">
              <w:rPr>
                <w:rFonts w:ascii="Times New Roman" w:eastAsia="Times New Roman" w:hAnsi="Times New Roman" w:cs="Times New Roman"/>
                <w:b/>
                <w:bCs/>
                <w:sz w:val="18"/>
                <w:szCs w:val="18"/>
              </w:rPr>
              <w:t>Industrial Engineer/</w:t>
            </w:r>
            <w:r w:rsidR="003B058A" w:rsidRPr="000973F2">
              <w:rPr>
                <w:rFonts w:ascii="Times New Roman" w:eastAsia="Times New Roman" w:hAnsi="Times New Roman" w:cs="Times New Roman"/>
                <w:b/>
                <w:bCs/>
                <w:sz w:val="18"/>
                <w:szCs w:val="18"/>
              </w:rPr>
              <w:t xml:space="preserve"> </w:t>
            </w:r>
            <w:r w:rsidRPr="000973F2">
              <w:rPr>
                <w:rFonts w:ascii="Times New Roman" w:eastAsia="Times New Roman" w:hAnsi="Times New Roman" w:cs="Times New Roman"/>
                <w:b/>
                <w:bCs/>
                <w:sz w:val="18"/>
                <w:szCs w:val="18"/>
              </w:rPr>
              <w:t>Technician</w:t>
            </w:r>
          </w:p>
        </w:tc>
        <w:tc>
          <w:tcPr>
            <w:tcW w:w="1620" w:type="dxa"/>
            <w:gridSpan w:val="2"/>
          </w:tcPr>
          <w:p w14:paraId="183CD502" w14:textId="77777777" w:rsidR="0086415A" w:rsidRPr="000973F2" w:rsidRDefault="0086415A" w:rsidP="003B058A">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18"/>
                <w:szCs w:val="18"/>
              </w:rPr>
            </w:pPr>
            <w:r w:rsidRPr="000973F2">
              <w:rPr>
                <w:rFonts w:ascii="Times New Roman" w:eastAsia="Times New Roman" w:hAnsi="Times New Roman" w:cs="Times New Roman"/>
                <w:b/>
                <w:bCs/>
                <w:sz w:val="18"/>
                <w:szCs w:val="18"/>
              </w:rPr>
              <w:t>Administrative Support</w:t>
            </w:r>
          </w:p>
        </w:tc>
        <w:tc>
          <w:tcPr>
            <w:tcW w:w="1515" w:type="dxa"/>
            <w:gridSpan w:val="2"/>
            <w:vMerge/>
          </w:tcPr>
          <w:p w14:paraId="70C4761B" w14:textId="77777777" w:rsidR="0086415A" w:rsidRPr="000973F2" w:rsidRDefault="0086415A" w:rsidP="003B058A">
            <w:pPr>
              <w:spacing w:before="40" w:after="4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18"/>
                <w:szCs w:val="18"/>
              </w:rPr>
            </w:pPr>
          </w:p>
        </w:tc>
      </w:tr>
      <w:tr w:rsidR="0086415A" w:rsidRPr="000973F2" w14:paraId="0783CBA9" w14:textId="77777777" w:rsidTr="00B926DD">
        <w:trPr>
          <w:cantSplit/>
        </w:trPr>
        <w:tc>
          <w:tcPr>
            <w:cnfStyle w:val="001000000000" w:firstRow="0" w:lastRow="0" w:firstColumn="1" w:lastColumn="0" w:oddVBand="0" w:evenVBand="0" w:oddHBand="0" w:evenHBand="0" w:firstRowFirstColumn="0" w:firstRowLastColumn="0" w:lastRowFirstColumn="0" w:lastRowLastColumn="0"/>
            <w:tcW w:w="1335" w:type="dxa"/>
            <w:vMerge/>
          </w:tcPr>
          <w:p w14:paraId="1451AA46" w14:textId="77777777" w:rsidR="0086415A" w:rsidRPr="000973F2" w:rsidRDefault="0086415A" w:rsidP="003B058A">
            <w:pPr>
              <w:spacing w:before="40" w:after="40"/>
              <w:rPr>
                <w:rFonts w:ascii="Times New Roman" w:eastAsia="Times New Roman" w:hAnsi="Times New Roman" w:cs="Times New Roman"/>
                <w:b/>
                <w:bCs w:val="0"/>
                <w:sz w:val="18"/>
                <w:szCs w:val="18"/>
              </w:rPr>
            </w:pPr>
          </w:p>
        </w:tc>
        <w:tc>
          <w:tcPr>
            <w:tcW w:w="1620" w:type="dxa"/>
            <w:gridSpan w:val="2"/>
            <w:noWrap/>
          </w:tcPr>
          <w:p w14:paraId="1BFE0A10" w14:textId="77777777" w:rsidR="0086415A" w:rsidRPr="000973F2" w:rsidRDefault="0086415A" w:rsidP="003B058A">
            <w:pPr>
              <w:spacing w:before="40" w:after="4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sz w:val="18"/>
                <w:szCs w:val="18"/>
              </w:rPr>
            </w:pPr>
            <w:r w:rsidRPr="000973F2">
              <w:rPr>
                <w:rFonts w:ascii="Times New Roman" w:eastAsia="Times New Roman" w:hAnsi="Times New Roman" w:cs="Times New Roman"/>
                <w:b/>
                <w:bCs/>
                <w:sz w:val="18"/>
                <w:szCs w:val="18"/>
              </w:rPr>
              <w:t xml:space="preserve">$112.23 </w:t>
            </w:r>
          </w:p>
        </w:tc>
        <w:tc>
          <w:tcPr>
            <w:tcW w:w="1620" w:type="dxa"/>
            <w:gridSpan w:val="2"/>
            <w:noWrap/>
          </w:tcPr>
          <w:p w14:paraId="7BD4B7FD" w14:textId="77777777" w:rsidR="0086415A" w:rsidRPr="000973F2" w:rsidRDefault="0086415A" w:rsidP="003B058A">
            <w:pPr>
              <w:spacing w:before="40" w:after="4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sz w:val="18"/>
                <w:szCs w:val="18"/>
              </w:rPr>
            </w:pPr>
            <w:r w:rsidRPr="000973F2">
              <w:rPr>
                <w:rFonts w:ascii="Times New Roman" w:eastAsia="Times New Roman" w:hAnsi="Times New Roman" w:cs="Times New Roman"/>
                <w:b/>
                <w:bCs/>
                <w:sz w:val="18"/>
                <w:szCs w:val="18"/>
              </w:rPr>
              <w:t xml:space="preserve">$87.45 </w:t>
            </w:r>
          </w:p>
        </w:tc>
        <w:tc>
          <w:tcPr>
            <w:tcW w:w="1620" w:type="dxa"/>
            <w:gridSpan w:val="2"/>
            <w:noWrap/>
          </w:tcPr>
          <w:p w14:paraId="2AA35D3F" w14:textId="77777777" w:rsidR="0086415A" w:rsidRPr="000973F2" w:rsidRDefault="0086415A" w:rsidP="003B058A">
            <w:pPr>
              <w:spacing w:before="40" w:after="4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sz w:val="18"/>
                <w:szCs w:val="18"/>
              </w:rPr>
            </w:pPr>
            <w:r w:rsidRPr="000973F2">
              <w:rPr>
                <w:rFonts w:ascii="Times New Roman" w:eastAsia="Times New Roman" w:hAnsi="Times New Roman" w:cs="Times New Roman"/>
                <w:b/>
                <w:bCs/>
                <w:sz w:val="18"/>
                <w:szCs w:val="18"/>
              </w:rPr>
              <w:t xml:space="preserve">$71.45 </w:t>
            </w:r>
          </w:p>
        </w:tc>
        <w:tc>
          <w:tcPr>
            <w:tcW w:w="1620" w:type="dxa"/>
            <w:gridSpan w:val="2"/>
            <w:noWrap/>
          </w:tcPr>
          <w:p w14:paraId="583D08EF" w14:textId="77777777" w:rsidR="0086415A" w:rsidRPr="000973F2" w:rsidRDefault="0086415A" w:rsidP="003B058A">
            <w:pPr>
              <w:spacing w:before="40" w:after="4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sz w:val="18"/>
                <w:szCs w:val="18"/>
              </w:rPr>
            </w:pPr>
            <w:r w:rsidRPr="000973F2">
              <w:rPr>
                <w:rFonts w:ascii="Times New Roman" w:eastAsia="Times New Roman" w:hAnsi="Times New Roman" w:cs="Times New Roman"/>
                <w:b/>
                <w:bCs/>
                <w:sz w:val="18"/>
                <w:szCs w:val="18"/>
              </w:rPr>
              <w:t xml:space="preserve">$36.28 </w:t>
            </w:r>
          </w:p>
        </w:tc>
        <w:tc>
          <w:tcPr>
            <w:tcW w:w="1515" w:type="dxa"/>
            <w:gridSpan w:val="2"/>
            <w:vMerge/>
          </w:tcPr>
          <w:p w14:paraId="388CAADE" w14:textId="77777777" w:rsidR="0086415A" w:rsidRPr="000973F2" w:rsidRDefault="0086415A" w:rsidP="003B058A">
            <w:pPr>
              <w:spacing w:before="40" w:after="4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sz w:val="18"/>
                <w:szCs w:val="18"/>
              </w:rPr>
            </w:pPr>
          </w:p>
        </w:tc>
      </w:tr>
      <w:tr w:rsidR="0086415A" w:rsidRPr="000973F2" w14:paraId="39B49DDB" w14:textId="77777777" w:rsidTr="00B926DD">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1335" w:type="dxa"/>
            <w:vMerge/>
          </w:tcPr>
          <w:p w14:paraId="6628D108" w14:textId="77777777" w:rsidR="0086415A" w:rsidRPr="000973F2" w:rsidRDefault="0086415A" w:rsidP="003B058A">
            <w:pPr>
              <w:spacing w:before="40" w:after="40"/>
              <w:rPr>
                <w:rFonts w:ascii="Times New Roman" w:eastAsia="Times New Roman" w:hAnsi="Times New Roman" w:cs="Times New Roman"/>
                <w:b/>
                <w:bCs w:val="0"/>
                <w:sz w:val="18"/>
                <w:szCs w:val="18"/>
              </w:rPr>
            </w:pPr>
          </w:p>
        </w:tc>
        <w:tc>
          <w:tcPr>
            <w:tcW w:w="810" w:type="dxa"/>
            <w:tcMar>
              <w:left w:w="14" w:type="dxa"/>
              <w:right w:w="14" w:type="dxa"/>
            </w:tcMar>
          </w:tcPr>
          <w:p w14:paraId="46E81A6A" w14:textId="77777777" w:rsidR="0086415A" w:rsidRPr="000973F2" w:rsidRDefault="0086415A" w:rsidP="003B058A">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18"/>
                <w:szCs w:val="18"/>
              </w:rPr>
            </w:pPr>
            <w:r w:rsidRPr="000973F2">
              <w:rPr>
                <w:rFonts w:ascii="Times New Roman" w:eastAsia="Times New Roman" w:hAnsi="Times New Roman" w:cs="Times New Roman"/>
                <w:b/>
                <w:bCs/>
                <w:sz w:val="18"/>
                <w:szCs w:val="18"/>
              </w:rPr>
              <w:t>Initial Year Hours</w:t>
            </w:r>
          </w:p>
        </w:tc>
        <w:tc>
          <w:tcPr>
            <w:tcW w:w="810" w:type="dxa"/>
            <w:tcMar>
              <w:left w:w="14" w:type="dxa"/>
              <w:right w:w="14" w:type="dxa"/>
            </w:tcMar>
          </w:tcPr>
          <w:p w14:paraId="514A2DAC" w14:textId="77777777" w:rsidR="0086415A" w:rsidRPr="000973F2" w:rsidRDefault="0086415A" w:rsidP="003B058A">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18"/>
                <w:szCs w:val="18"/>
              </w:rPr>
            </w:pPr>
            <w:r w:rsidRPr="000973F2">
              <w:rPr>
                <w:rFonts w:ascii="Times New Roman" w:eastAsia="Times New Roman" w:hAnsi="Times New Roman" w:cs="Times New Roman"/>
                <w:b/>
                <w:bCs/>
                <w:sz w:val="18"/>
                <w:szCs w:val="18"/>
              </w:rPr>
              <w:t>Subseq. Year Hours</w:t>
            </w:r>
          </w:p>
        </w:tc>
        <w:tc>
          <w:tcPr>
            <w:tcW w:w="810" w:type="dxa"/>
            <w:tcMar>
              <w:left w:w="14" w:type="dxa"/>
              <w:right w:w="14" w:type="dxa"/>
            </w:tcMar>
          </w:tcPr>
          <w:p w14:paraId="25C6FF2B" w14:textId="77777777" w:rsidR="0086415A" w:rsidRPr="000973F2" w:rsidRDefault="0086415A" w:rsidP="003B058A">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18"/>
                <w:szCs w:val="18"/>
              </w:rPr>
            </w:pPr>
            <w:r w:rsidRPr="000973F2">
              <w:rPr>
                <w:rFonts w:ascii="Times New Roman" w:eastAsia="Times New Roman" w:hAnsi="Times New Roman" w:cs="Times New Roman"/>
                <w:b/>
                <w:bCs/>
                <w:sz w:val="18"/>
                <w:szCs w:val="18"/>
              </w:rPr>
              <w:t>Initial Year Hours</w:t>
            </w:r>
          </w:p>
        </w:tc>
        <w:tc>
          <w:tcPr>
            <w:tcW w:w="810" w:type="dxa"/>
            <w:tcMar>
              <w:left w:w="14" w:type="dxa"/>
              <w:right w:w="14" w:type="dxa"/>
            </w:tcMar>
          </w:tcPr>
          <w:p w14:paraId="5E37ECBC" w14:textId="77777777" w:rsidR="0086415A" w:rsidRPr="000973F2" w:rsidRDefault="0086415A" w:rsidP="003B058A">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18"/>
                <w:szCs w:val="18"/>
              </w:rPr>
            </w:pPr>
            <w:r w:rsidRPr="000973F2">
              <w:rPr>
                <w:rFonts w:ascii="Times New Roman" w:eastAsia="Times New Roman" w:hAnsi="Times New Roman" w:cs="Times New Roman"/>
                <w:b/>
                <w:bCs/>
                <w:sz w:val="18"/>
                <w:szCs w:val="18"/>
              </w:rPr>
              <w:t>Subseq. Year Hours</w:t>
            </w:r>
          </w:p>
        </w:tc>
        <w:tc>
          <w:tcPr>
            <w:tcW w:w="810" w:type="dxa"/>
            <w:tcMar>
              <w:left w:w="14" w:type="dxa"/>
              <w:right w:w="14" w:type="dxa"/>
            </w:tcMar>
          </w:tcPr>
          <w:p w14:paraId="2281D984" w14:textId="77777777" w:rsidR="0086415A" w:rsidRPr="000973F2" w:rsidRDefault="0086415A" w:rsidP="003B058A">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18"/>
                <w:szCs w:val="18"/>
              </w:rPr>
            </w:pPr>
            <w:r w:rsidRPr="000973F2">
              <w:rPr>
                <w:rFonts w:ascii="Times New Roman" w:eastAsia="Times New Roman" w:hAnsi="Times New Roman" w:cs="Times New Roman"/>
                <w:b/>
                <w:bCs/>
                <w:sz w:val="18"/>
                <w:szCs w:val="18"/>
              </w:rPr>
              <w:t>Initial Year Hours</w:t>
            </w:r>
          </w:p>
        </w:tc>
        <w:tc>
          <w:tcPr>
            <w:tcW w:w="810" w:type="dxa"/>
            <w:tcMar>
              <w:left w:w="14" w:type="dxa"/>
              <w:right w:w="14" w:type="dxa"/>
            </w:tcMar>
          </w:tcPr>
          <w:p w14:paraId="6A826209" w14:textId="77777777" w:rsidR="0086415A" w:rsidRPr="000973F2" w:rsidRDefault="0086415A" w:rsidP="003B058A">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18"/>
                <w:szCs w:val="18"/>
              </w:rPr>
            </w:pPr>
            <w:r w:rsidRPr="000973F2">
              <w:rPr>
                <w:rFonts w:ascii="Times New Roman" w:eastAsia="Times New Roman" w:hAnsi="Times New Roman" w:cs="Times New Roman"/>
                <w:b/>
                <w:bCs/>
                <w:sz w:val="18"/>
                <w:szCs w:val="18"/>
              </w:rPr>
              <w:t>Subseq. Year Hours</w:t>
            </w:r>
          </w:p>
        </w:tc>
        <w:tc>
          <w:tcPr>
            <w:tcW w:w="810" w:type="dxa"/>
            <w:tcMar>
              <w:left w:w="14" w:type="dxa"/>
              <w:right w:w="14" w:type="dxa"/>
            </w:tcMar>
          </w:tcPr>
          <w:p w14:paraId="26F7DF3E" w14:textId="77777777" w:rsidR="0086415A" w:rsidRPr="000973F2" w:rsidRDefault="0086415A" w:rsidP="003B058A">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18"/>
                <w:szCs w:val="18"/>
              </w:rPr>
            </w:pPr>
            <w:r w:rsidRPr="000973F2">
              <w:rPr>
                <w:rFonts w:ascii="Times New Roman" w:eastAsia="Times New Roman" w:hAnsi="Times New Roman" w:cs="Times New Roman"/>
                <w:b/>
                <w:bCs/>
                <w:sz w:val="18"/>
                <w:szCs w:val="18"/>
              </w:rPr>
              <w:t>Initial Year Hours</w:t>
            </w:r>
          </w:p>
        </w:tc>
        <w:tc>
          <w:tcPr>
            <w:tcW w:w="810" w:type="dxa"/>
            <w:tcMar>
              <w:left w:w="14" w:type="dxa"/>
              <w:right w:w="14" w:type="dxa"/>
            </w:tcMar>
          </w:tcPr>
          <w:p w14:paraId="0E3C1D8D" w14:textId="77777777" w:rsidR="0086415A" w:rsidRPr="000973F2" w:rsidRDefault="0086415A" w:rsidP="003B058A">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18"/>
                <w:szCs w:val="18"/>
              </w:rPr>
            </w:pPr>
            <w:r w:rsidRPr="000973F2">
              <w:rPr>
                <w:rFonts w:ascii="Times New Roman" w:eastAsia="Times New Roman" w:hAnsi="Times New Roman" w:cs="Times New Roman"/>
                <w:b/>
                <w:bCs/>
                <w:sz w:val="18"/>
                <w:szCs w:val="18"/>
              </w:rPr>
              <w:t>Subseq. Year Hours</w:t>
            </w:r>
          </w:p>
        </w:tc>
        <w:tc>
          <w:tcPr>
            <w:tcW w:w="667" w:type="dxa"/>
            <w:tcMar>
              <w:left w:w="14" w:type="dxa"/>
              <w:right w:w="14" w:type="dxa"/>
            </w:tcMar>
          </w:tcPr>
          <w:p w14:paraId="33465D66" w14:textId="77777777" w:rsidR="0086415A" w:rsidRPr="000973F2" w:rsidRDefault="0086415A" w:rsidP="003B058A">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18"/>
                <w:szCs w:val="18"/>
              </w:rPr>
            </w:pPr>
            <w:r w:rsidRPr="000973F2">
              <w:rPr>
                <w:rFonts w:ascii="Times New Roman" w:eastAsia="Times New Roman" w:hAnsi="Times New Roman" w:cs="Times New Roman"/>
                <w:b/>
                <w:bCs/>
                <w:sz w:val="18"/>
                <w:szCs w:val="18"/>
              </w:rPr>
              <w:t>Initial Year</w:t>
            </w:r>
          </w:p>
        </w:tc>
        <w:tc>
          <w:tcPr>
            <w:tcW w:w="848" w:type="dxa"/>
            <w:tcMar>
              <w:left w:w="14" w:type="dxa"/>
              <w:right w:w="14" w:type="dxa"/>
            </w:tcMar>
          </w:tcPr>
          <w:p w14:paraId="2D79EE38" w14:textId="77777777" w:rsidR="0086415A" w:rsidRPr="000973F2" w:rsidRDefault="0086415A" w:rsidP="003B058A">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18"/>
                <w:szCs w:val="18"/>
              </w:rPr>
            </w:pPr>
            <w:r w:rsidRPr="000973F2">
              <w:rPr>
                <w:rFonts w:ascii="Times New Roman" w:eastAsia="Times New Roman" w:hAnsi="Times New Roman" w:cs="Times New Roman"/>
                <w:b/>
                <w:bCs/>
                <w:sz w:val="18"/>
                <w:szCs w:val="18"/>
              </w:rPr>
              <w:t>Subseq. Year</w:t>
            </w:r>
          </w:p>
        </w:tc>
      </w:tr>
      <w:tr w:rsidR="0086415A" w:rsidRPr="000973F2" w14:paraId="76E1704E" w14:textId="77777777" w:rsidTr="00B926DD">
        <w:trPr>
          <w:cantSplit/>
        </w:trPr>
        <w:tc>
          <w:tcPr>
            <w:cnfStyle w:val="001000000000" w:firstRow="0" w:lastRow="0" w:firstColumn="1" w:lastColumn="0" w:oddVBand="0" w:evenVBand="0" w:oddHBand="0" w:evenHBand="0" w:firstRowFirstColumn="0" w:firstRowLastColumn="0" w:lastRowFirstColumn="0" w:lastRowLastColumn="0"/>
            <w:tcW w:w="1335" w:type="dxa"/>
          </w:tcPr>
          <w:p w14:paraId="6118A749" w14:textId="77777777" w:rsidR="0086415A" w:rsidRPr="000973F2" w:rsidRDefault="0086415A" w:rsidP="003B058A">
            <w:pPr>
              <w:spacing w:before="40" w:after="4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Planning</w:t>
            </w:r>
          </w:p>
        </w:tc>
        <w:tc>
          <w:tcPr>
            <w:tcW w:w="810" w:type="dxa"/>
            <w:noWrap/>
          </w:tcPr>
          <w:p w14:paraId="09D6755D" w14:textId="77777777" w:rsidR="0086415A" w:rsidRPr="000973F2" w:rsidRDefault="0086415A" w:rsidP="003B058A">
            <w:pPr>
              <w:tabs>
                <w:tab w:val="decimal" w:pos="331"/>
              </w:tabs>
              <w:spacing w:before="40" w:after="4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0</w:t>
            </w:r>
          </w:p>
        </w:tc>
        <w:tc>
          <w:tcPr>
            <w:tcW w:w="810" w:type="dxa"/>
            <w:noWrap/>
          </w:tcPr>
          <w:p w14:paraId="03611C19" w14:textId="77777777" w:rsidR="0086415A" w:rsidRPr="000973F2" w:rsidRDefault="0086415A" w:rsidP="003B058A">
            <w:pPr>
              <w:tabs>
                <w:tab w:val="decimal" w:pos="331"/>
              </w:tabs>
              <w:spacing w:before="40" w:after="4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2</w:t>
            </w:r>
          </w:p>
        </w:tc>
        <w:tc>
          <w:tcPr>
            <w:tcW w:w="810" w:type="dxa"/>
            <w:noWrap/>
          </w:tcPr>
          <w:p w14:paraId="3F7F9E1C" w14:textId="77777777" w:rsidR="0086415A" w:rsidRPr="000973F2" w:rsidRDefault="0086415A" w:rsidP="003B058A">
            <w:pPr>
              <w:tabs>
                <w:tab w:val="decimal" w:pos="331"/>
              </w:tabs>
              <w:spacing w:before="40" w:after="4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0</w:t>
            </w:r>
          </w:p>
        </w:tc>
        <w:tc>
          <w:tcPr>
            <w:tcW w:w="810" w:type="dxa"/>
            <w:noWrap/>
          </w:tcPr>
          <w:p w14:paraId="1DE16666" w14:textId="77777777" w:rsidR="0086415A" w:rsidRPr="000973F2" w:rsidRDefault="0086415A" w:rsidP="003B058A">
            <w:pPr>
              <w:tabs>
                <w:tab w:val="decimal" w:pos="331"/>
              </w:tabs>
              <w:spacing w:before="40" w:after="4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0.4</w:t>
            </w:r>
          </w:p>
        </w:tc>
        <w:tc>
          <w:tcPr>
            <w:tcW w:w="810" w:type="dxa"/>
            <w:noWrap/>
          </w:tcPr>
          <w:p w14:paraId="6B2222CE" w14:textId="77777777" w:rsidR="0086415A" w:rsidRPr="000973F2" w:rsidRDefault="0086415A" w:rsidP="003B058A">
            <w:pPr>
              <w:tabs>
                <w:tab w:val="decimal" w:pos="331"/>
              </w:tabs>
              <w:spacing w:before="40" w:after="4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0</w:t>
            </w:r>
          </w:p>
        </w:tc>
        <w:tc>
          <w:tcPr>
            <w:tcW w:w="810" w:type="dxa"/>
            <w:noWrap/>
          </w:tcPr>
          <w:p w14:paraId="179E2B2E" w14:textId="77777777" w:rsidR="0086415A" w:rsidRPr="000973F2" w:rsidRDefault="0086415A" w:rsidP="003B058A">
            <w:pPr>
              <w:tabs>
                <w:tab w:val="decimal" w:pos="331"/>
              </w:tabs>
              <w:spacing w:before="40" w:after="4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4</w:t>
            </w:r>
          </w:p>
        </w:tc>
        <w:tc>
          <w:tcPr>
            <w:tcW w:w="810" w:type="dxa"/>
            <w:noWrap/>
          </w:tcPr>
          <w:p w14:paraId="29EB3E62" w14:textId="77777777" w:rsidR="0086415A" w:rsidRPr="000973F2" w:rsidRDefault="0086415A" w:rsidP="003B058A">
            <w:pPr>
              <w:tabs>
                <w:tab w:val="decimal" w:pos="331"/>
              </w:tabs>
              <w:spacing w:before="40" w:after="4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0</w:t>
            </w:r>
          </w:p>
        </w:tc>
        <w:tc>
          <w:tcPr>
            <w:tcW w:w="810" w:type="dxa"/>
            <w:noWrap/>
          </w:tcPr>
          <w:p w14:paraId="40C4F1B2" w14:textId="77777777" w:rsidR="0086415A" w:rsidRPr="000973F2" w:rsidRDefault="0086415A" w:rsidP="003B058A">
            <w:pPr>
              <w:tabs>
                <w:tab w:val="decimal" w:pos="331"/>
              </w:tabs>
              <w:spacing w:before="40" w:after="4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0.4</w:t>
            </w:r>
          </w:p>
        </w:tc>
        <w:tc>
          <w:tcPr>
            <w:tcW w:w="667" w:type="dxa"/>
            <w:noWrap/>
          </w:tcPr>
          <w:p w14:paraId="5E790710" w14:textId="77777777" w:rsidR="0086415A" w:rsidRPr="000973F2" w:rsidRDefault="0086415A" w:rsidP="003B058A">
            <w:pPr>
              <w:tabs>
                <w:tab w:val="decimal" w:pos="331"/>
              </w:tabs>
              <w:spacing w:before="40" w:after="4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$0</w:t>
            </w:r>
          </w:p>
        </w:tc>
        <w:tc>
          <w:tcPr>
            <w:tcW w:w="848" w:type="dxa"/>
            <w:noWrap/>
          </w:tcPr>
          <w:p w14:paraId="6410E300" w14:textId="77777777" w:rsidR="0086415A" w:rsidRPr="000973F2" w:rsidRDefault="0086415A" w:rsidP="003B058A">
            <w:pPr>
              <w:tabs>
                <w:tab w:val="decimal" w:pos="571"/>
              </w:tabs>
              <w:spacing w:before="40" w:after="4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$560</w:t>
            </w:r>
          </w:p>
        </w:tc>
      </w:tr>
      <w:tr w:rsidR="0086415A" w:rsidRPr="000973F2" w14:paraId="73E5B9ED" w14:textId="77777777" w:rsidTr="00B926DD">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1335" w:type="dxa"/>
          </w:tcPr>
          <w:p w14:paraId="419E6376" w14:textId="77777777" w:rsidR="0086415A" w:rsidRPr="000973F2" w:rsidRDefault="0086415A" w:rsidP="003B058A">
            <w:pPr>
              <w:spacing w:before="40" w:after="4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QA/QC</w:t>
            </w:r>
          </w:p>
        </w:tc>
        <w:tc>
          <w:tcPr>
            <w:tcW w:w="810" w:type="dxa"/>
            <w:noWrap/>
          </w:tcPr>
          <w:p w14:paraId="745A7AE8" w14:textId="77777777" w:rsidR="0086415A" w:rsidRPr="000973F2" w:rsidRDefault="0086415A" w:rsidP="003B058A">
            <w:pPr>
              <w:tabs>
                <w:tab w:val="decimal" w:pos="331"/>
              </w:tabs>
              <w:spacing w:before="40" w:after="4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0</w:t>
            </w:r>
          </w:p>
        </w:tc>
        <w:tc>
          <w:tcPr>
            <w:tcW w:w="810" w:type="dxa"/>
            <w:noWrap/>
          </w:tcPr>
          <w:p w14:paraId="4E2A1CB4" w14:textId="77777777" w:rsidR="0086415A" w:rsidRPr="000973F2" w:rsidRDefault="0086415A" w:rsidP="003B058A">
            <w:pPr>
              <w:tabs>
                <w:tab w:val="decimal" w:pos="331"/>
              </w:tabs>
              <w:spacing w:before="40" w:after="4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0</w:t>
            </w:r>
          </w:p>
        </w:tc>
        <w:tc>
          <w:tcPr>
            <w:tcW w:w="810" w:type="dxa"/>
            <w:noWrap/>
          </w:tcPr>
          <w:p w14:paraId="409BFA23" w14:textId="77777777" w:rsidR="0086415A" w:rsidRPr="000973F2" w:rsidRDefault="0086415A" w:rsidP="003B058A">
            <w:pPr>
              <w:tabs>
                <w:tab w:val="decimal" w:pos="331"/>
              </w:tabs>
              <w:spacing w:before="40" w:after="4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0</w:t>
            </w:r>
          </w:p>
        </w:tc>
        <w:tc>
          <w:tcPr>
            <w:tcW w:w="810" w:type="dxa"/>
            <w:noWrap/>
          </w:tcPr>
          <w:p w14:paraId="3AD7D4E6" w14:textId="77777777" w:rsidR="0086415A" w:rsidRPr="000973F2" w:rsidRDefault="0086415A" w:rsidP="003B058A">
            <w:pPr>
              <w:tabs>
                <w:tab w:val="decimal" w:pos="331"/>
              </w:tabs>
              <w:spacing w:before="40" w:after="4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0.4</w:t>
            </w:r>
          </w:p>
        </w:tc>
        <w:tc>
          <w:tcPr>
            <w:tcW w:w="810" w:type="dxa"/>
            <w:noWrap/>
          </w:tcPr>
          <w:p w14:paraId="050F60A3" w14:textId="77777777" w:rsidR="0086415A" w:rsidRPr="000973F2" w:rsidRDefault="0086415A" w:rsidP="003B058A">
            <w:pPr>
              <w:tabs>
                <w:tab w:val="decimal" w:pos="331"/>
              </w:tabs>
              <w:spacing w:before="40" w:after="4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0</w:t>
            </w:r>
          </w:p>
        </w:tc>
        <w:tc>
          <w:tcPr>
            <w:tcW w:w="810" w:type="dxa"/>
            <w:noWrap/>
          </w:tcPr>
          <w:p w14:paraId="39FB01F7" w14:textId="77777777" w:rsidR="0086415A" w:rsidRPr="000973F2" w:rsidRDefault="0086415A" w:rsidP="003B058A">
            <w:pPr>
              <w:tabs>
                <w:tab w:val="decimal" w:pos="331"/>
              </w:tabs>
              <w:spacing w:before="40" w:after="4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4</w:t>
            </w:r>
          </w:p>
        </w:tc>
        <w:tc>
          <w:tcPr>
            <w:tcW w:w="810" w:type="dxa"/>
            <w:noWrap/>
          </w:tcPr>
          <w:p w14:paraId="6D8735C6" w14:textId="77777777" w:rsidR="0086415A" w:rsidRPr="000973F2" w:rsidRDefault="0086415A" w:rsidP="003B058A">
            <w:pPr>
              <w:tabs>
                <w:tab w:val="decimal" w:pos="331"/>
              </w:tabs>
              <w:spacing w:before="40" w:after="4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0</w:t>
            </w:r>
          </w:p>
        </w:tc>
        <w:tc>
          <w:tcPr>
            <w:tcW w:w="810" w:type="dxa"/>
            <w:noWrap/>
          </w:tcPr>
          <w:p w14:paraId="7726CCFC" w14:textId="77777777" w:rsidR="0086415A" w:rsidRPr="000973F2" w:rsidRDefault="0086415A" w:rsidP="003B058A">
            <w:pPr>
              <w:tabs>
                <w:tab w:val="decimal" w:pos="331"/>
              </w:tabs>
              <w:spacing w:before="40" w:after="4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0.4</w:t>
            </w:r>
          </w:p>
        </w:tc>
        <w:tc>
          <w:tcPr>
            <w:tcW w:w="667" w:type="dxa"/>
            <w:noWrap/>
          </w:tcPr>
          <w:p w14:paraId="2692DAA8" w14:textId="77777777" w:rsidR="0086415A" w:rsidRPr="000973F2" w:rsidRDefault="0086415A" w:rsidP="003B058A">
            <w:pPr>
              <w:tabs>
                <w:tab w:val="decimal" w:pos="331"/>
              </w:tabs>
              <w:spacing w:before="40" w:after="4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$0</w:t>
            </w:r>
          </w:p>
        </w:tc>
        <w:tc>
          <w:tcPr>
            <w:tcW w:w="848" w:type="dxa"/>
            <w:noWrap/>
          </w:tcPr>
          <w:p w14:paraId="6ADB234A" w14:textId="77777777" w:rsidR="0086415A" w:rsidRPr="000973F2" w:rsidRDefault="0086415A" w:rsidP="003B058A">
            <w:pPr>
              <w:tabs>
                <w:tab w:val="decimal" w:pos="571"/>
              </w:tabs>
              <w:spacing w:before="40" w:after="4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$335</w:t>
            </w:r>
          </w:p>
        </w:tc>
      </w:tr>
      <w:tr w:rsidR="0086415A" w:rsidRPr="000973F2" w14:paraId="2A9A9149" w14:textId="77777777" w:rsidTr="00B926DD">
        <w:trPr>
          <w:cantSplit/>
        </w:trPr>
        <w:tc>
          <w:tcPr>
            <w:cnfStyle w:val="001000000000" w:firstRow="0" w:lastRow="0" w:firstColumn="1" w:lastColumn="0" w:oddVBand="0" w:evenVBand="0" w:oddHBand="0" w:evenHBand="0" w:firstRowFirstColumn="0" w:firstRowLastColumn="0" w:lastRowFirstColumn="0" w:lastRowLastColumn="0"/>
            <w:tcW w:w="1335" w:type="dxa"/>
          </w:tcPr>
          <w:p w14:paraId="4F1AB69A" w14:textId="77777777" w:rsidR="0086415A" w:rsidRPr="000973F2" w:rsidRDefault="0086415A" w:rsidP="003B058A">
            <w:pPr>
              <w:spacing w:before="40" w:after="4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Recordkeeping</w:t>
            </w:r>
          </w:p>
        </w:tc>
        <w:tc>
          <w:tcPr>
            <w:tcW w:w="810" w:type="dxa"/>
            <w:noWrap/>
          </w:tcPr>
          <w:p w14:paraId="4EDC1560" w14:textId="77777777" w:rsidR="0086415A" w:rsidRPr="000973F2" w:rsidRDefault="0086415A" w:rsidP="003B058A">
            <w:pPr>
              <w:tabs>
                <w:tab w:val="decimal" w:pos="331"/>
              </w:tabs>
              <w:spacing w:before="40" w:after="4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0</w:t>
            </w:r>
          </w:p>
        </w:tc>
        <w:tc>
          <w:tcPr>
            <w:tcW w:w="810" w:type="dxa"/>
            <w:noWrap/>
          </w:tcPr>
          <w:p w14:paraId="6C2CDF23" w14:textId="77777777" w:rsidR="0086415A" w:rsidRPr="000973F2" w:rsidRDefault="0086415A" w:rsidP="003B058A">
            <w:pPr>
              <w:tabs>
                <w:tab w:val="decimal" w:pos="331"/>
              </w:tabs>
              <w:spacing w:before="40" w:after="4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0</w:t>
            </w:r>
          </w:p>
        </w:tc>
        <w:tc>
          <w:tcPr>
            <w:tcW w:w="810" w:type="dxa"/>
            <w:noWrap/>
          </w:tcPr>
          <w:p w14:paraId="107924B3" w14:textId="77777777" w:rsidR="0086415A" w:rsidRPr="000973F2" w:rsidRDefault="0086415A" w:rsidP="003B058A">
            <w:pPr>
              <w:tabs>
                <w:tab w:val="decimal" w:pos="331"/>
              </w:tabs>
              <w:spacing w:before="40" w:after="4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0</w:t>
            </w:r>
          </w:p>
        </w:tc>
        <w:tc>
          <w:tcPr>
            <w:tcW w:w="810" w:type="dxa"/>
            <w:noWrap/>
          </w:tcPr>
          <w:p w14:paraId="1281988F" w14:textId="77777777" w:rsidR="0086415A" w:rsidRPr="000973F2" w:rsidRDefault="0086415A" w:rsidP="003B058A">
            <w:pPr>
              <w:tabs>
                <w:tab w:val="decimal" w:pos="331"/>
              </w:tabs>
              <w:spacing w:before="40" w:after="4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0.5</w:t>
            </w:r>
          </w:p>
        </w:tc>
        <w:tc>
          <w:tcPr>
            <w:tcW w:w="810" w:type="dxa"/>
            <w:noWrap/>
          </w:tcPr>
          <w:p w14:paraId="10C65BE7" w14:textId="77777777" w:rsidR="0086415A" w:rsidRPr="000973F2" w:rsidRDefault="0086415A" w:rsidP="003B058A">
            <w:pPr>
              <w:tabs>
                <w:tab w:val="decimal" w:pos="331"/>
              </w:tabs>
              <w:spacing w:before="40" w:after="4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0</w:t>
            </w:r>
          </w:p>
        </w:tc>
        <w:tc>
          <w:tcPr>
            <w:tcW w:w="810" w:type="dxa"/>
            <w:noWrap/>
          </w:tcPr>
          <w:p w14:paraId="24C05801" w14:textId="77777777" w:rsidR="0086415A" w:rsidRPr="000973F2" w:rsidRDefault="0086415A" w:rsidP="003B058A">
            <w:pPr>
              <w:tabs>
                <w:tab w:val="decimal" w:pos="331"/>
              </w:tabs>
              <w:spacing w:before="40" w:after="4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5</w:t>
            </w:r>
          </w:p>
        </w:tc>
        <w:tc>
          <w:tcPr>
            <w:tcW w:w="810" w:type="dxa"/>
            <w:noWrap/>
          </w:tcPr>
          <w:p w14:paraId="01FCE2DA" w14:textId="77777777" w:rsidR="0086415A" w:rsidRPr="000973F2" w:rsidRDefault="0086415A" w:rsidP="003B058A">
            <w:pPr>
              <w:tabs>
                <w:tab w:val="decimal" w:pos="331"/>
              </w:tabs>
              <w:spacing w:before="40" w:after="4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0</w:t>
            </w:r>
          </w:p>
        </w:tc>
        <w:tc>
          <w:tcPr>
            <w:tcW w:w="810" w:type="dxa"/>
            <w:noWrap/>
          </w:tcPr>
          <w:p w14:paraId="5D97796B" w14:textId="77777777" w:rsidR="0086415A" w:rsidRPr="000973F2" w:rsidRDefault="0086415A" w:rsidP="003B058A">
            <w:pPr>
              <w:tabs>
                <w:tab w:val="decimal" w:pos="331"/>
              </w:tabs>
              <w:spacing w:before="40" w:after="4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0.5</w:t>
            </w:r>
          </w:p>
        </w:tc>
        <w:tc>
          <w:tcPr>
            <w:tcW w:w="667" w:type="dxa"/>
            <w:noWrap/>
          </w:tcPr>
          <w:p w14:paraId="1719EEDE" w14:textId="77777777" w:rsidR="0086415A" w:rsidRPr="000973F2" w:rsidRDefault="0086415A" w:rsidP="003B058A">
            <w:pPr>
              <w:tabs>
                <w:tab w:val="decimal" w:pos="331"/>
              </w:tabs>
              <w:spacing w:before="40" w:after="4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$0</w:t>
            </w:r>
          </w:p>
        </w:tc>
        <w:tc>
          <w:tcPr>
            <w:tcW w:w="848" w:type="dxa"/>
            <w:noWrap/>
          </w:tcPr>
          <w:p w14:paraId="58ED81D4" w14:textId="77777777" w:rsidR="0086415A" w:rsidRPr="000973F2" w:rsidRDefault="0086415A" w:rsidP="003B058A">
            <w:pPr>
              <w:tabs>
                <w:tab w:val="decimal" w:pos="571"/>
              </w:tabs>
              <w:spacing w:before="40" w:after="4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$419</w:t>
            </w:r>
          </w:p>
        </w:tc>
      </w:tr>
      <w:tr w:rsidR="0086415A" w:rsidRPr="000973F2" w14:paraId="3CCCC8B9" w14:textId="77777777" w:rsidTr="00B926DD">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1335" w:type="dxa"/>
          </w:tcPr>
          <w:p w14:paraId="06C46D3F" w14:textId="77777777" w:rsidR="0086415A" w:rsidRPr="000973F2" w:rsidRDefault="0086415A" w:rsidP="003B058A">
            <w:pPr>
              <w:spacing w:before="40" w:after="4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Sampling and Analysis (Calculations)</w:t>
            </w:r>
          </w:p>
        </w:tc>
        <w:tc>
          <w:tcPr>
            <w:tcW w:w="810" w:type="dxa"/>
            <w:noWrap/>
          </w:tcPr>
          <w:p w14:paraId="389FC78E" w14:textId="77777777" w:rsidR="0086415A" w:rsidRPr="000973F2" w:rsidRDefault="0086415A" w:rsidP="003B058A">
            <w:pPr>
              <w:tabs>
                <w:tab w:val="decimal" w:pos="331"/>
              </w:tabs>
              <w:spacing w:before="40" w:after="4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0</w:t>
            </w:r>
          </w:p>
        </w:tc>
        <w:tc>
          <w:tcPr>
            <w:tcW w:w="810" w:type="dxa"/>
            <w:noWrap/>
          </w:tcPr>
          <w:p w14:paraId="64B758DE" w14:textId="77777777" w:rsidR="0086415A" w:rsidRPr="000973F2" w:rsidRDefault="0086415A" w:rsidP="003B058A">
            <w:pPr>
              <w:tabs>
                <w:tab w:val="decimal" w:pos="331"/>
              </w:tabs>
              <w:spacing w:before="40" w:after="4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0</w:t>
            </w:r>
          </w:p>
        </w:tc>
        <w:tc>
          <w:tcPr>
            <w:tcW w:w="810" w:type="dxa"/>
            <w:noWrap/>
          </w:tcPr>
          <w:p w14:paraId="68D92505" w14:textId="77777777" w:rsidR="0086415A" w:rsidRPr="000973F2" w:rsidRDefault="0086415A" w:rsidP="003B058A">
            <w:pPr>
              <w:tabs>
                <w:tab w:val="decimal" w:pos="331"/>
              </w:tabs>
              <w:spacing w:before="40" w:after="4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0</w:t>
            </w:r>
          </w:p>
        </w:tc>
        <w:tc>
          <w:tcPr>
            <w:tcW w:w="810" w:type="dxa"/>
            <w:noWrap/>
          </w:tcPr>
          <w:p w14:paraId="6D6E31FE" w14:textId="77777777" w:rsidR="0086415A" w:rsidRPr="000973F2" w:rsidRDefault="0086415A" w:rsidP="003B058A">
            <w:pPr>
              <w:tabs>
                <w:tab w:val="decimal" w:pos="331"/>
              </w:tabs>
              <w:spacing w:before="40" w:after="4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0.4</w:t>
            </w:r>
          </w:p>
        </w:tc>
        <w:tc>
          <w:tcPr>
            <w:tcW w:w="810" w:type="dxa"/>
            <w:noWrap/>
          </w:tcPr>
          <w:p w14:paraId="3780BCCF" w14:textId="77777777" w:rsidR="0086415A" w:rsidRPr="000973F2" w:rsidRDefault="0086415A" w:rsidP="003B058A">
            <w:pPr>
              <w:tabs>
                <w:tab w:val="decimal" w:pos="331"/>
              </w:tabs>
              <w:spacing w:before="40" w:after="4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0</w:t>
            </w:r>
          </w:p>
        </w:tc>
        <w:tc>
          <w:tcPr>
            <w:tcW w:w="810" w:type="dxa"/>
            <w:noWrap/>
          </w:tcPr>
          <w:p w14:paraId="60D81B74" w14:textId="77777777" w:rsidR="0086415A" w:rsidRPr="000973F2" w:rsidRDefault="0086415A" w:rsidP="003B058A">
            <w:pPr>
              <w:tabs>
                <w:tab w:val="decimal" w:pos="331"/>
              </w:tabs>
              <w:spacing w:before="40" w:after="4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4.3</w:t>
            </w:r>
          </w:p>
        </w:tc>
        <w:tc>
          <w:tcPr>
            <w:tcW w:w="810" w:type="dxa"/>
            <w:noWrap/>
          </w:tcPr>
          <w:p w14:paraId="5DA20B34" w14:textId="77777777" w:rsidR="0086415A" w:rsidRPr="000973F2" w:rsidRDefault="0086415A" w:rsidP="003B058A">
            <w:pPr>
              <w:tabs>
                <w:tab w:val="decimal" w:pos="331"/>
              </w:tabs>
              <w:spacing w:before="40" w:after="4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0</w:t>
            </w:r>
          </w:p>
        </w:tc>
        <w:tc>
          <w:tcPr>
            <w:tcW w:w="810" w:type="dxa"/>
            <w:noWrap/>
          </w:tcPr>
          <w:p w14:paraId="2C94B078" w14:textId="77777777" w:rsidR="0086415A" w:rsidRPr="000973F2" w:rsidRDefault="0086415A" w:rsidP="003B058A">
            <w:pPr>
              <w:tabs>
                <w:tab w:val="decimal" w:pos="331"/>
              </w:tabs>
              <w:spacing w:before="40" w:after="4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0.4</w:t>
            </w:r>
          </w:p>
        </w:tc>
        <w:tc>
          <w:tcPr>
            <w:tcW w:w="667" w:type="dxa"/>
            <w:noWrap/>
          </w:tcPr>
          <w:p w14:paraId="5F42B89E" w14:textId="77777777" w:rsidR="0086415A" w:rsidRPr="000973F2" w:rsidRDefault="0086415A" w:rsidP="003B058A">
            <w:pPr>
              <w:tabs>
                <w:tab w:val="decimal" w:pos="331"/>
              </w:tabs>
              <w:spacing w:before="40" w:after="4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$0</w:t>
            </w:r>
          </w:p>
        </w:tc>
        <w:tc>
          <w:tcPr>
            <w:tcW w:w="848" w:type="dxa"/>
            <w:noWrap/>
          </w:tcPr>
          <w:p w14:paraId="1DB17B1D" w14:textId="77777777" w:rsidR="0086415A" w:rsidRPr="000973F2" w:rsidRDefault="0086415A" w:rsidP="003B058A">
            <w:pPr>
              <w:tabs>
                <w:tab w:val="decimal" w:pos="571"/>
              </w:tabs>
              <w:spacing w:before="40" w:after="4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$356</w:t>
            </w:r>
          </w:p>
        </w:tc>
      </w:tr>
      <w:tr w:rsidR="00AD5834" w:rsidRPr="000973F2" w14:paraId="041C49E6" w14:textId="77777777" w:rsidTr="00B926DD">
        <w:trPr>
          <w:cantSplit/>
        </w:trPr>
        <w:tc>
          <w:tcPr>
            <w:cnfStyle w:val="001000000000" w:firstRow="0" w:lastRow="0" w:firstColumn="1" w:lastColumn="0" w:oddVBand="0" w:evenVBand="0" w:oddHBand="0" w:evenHBand="0" w:firstRowFirstColumn="0" w:firstRowLastColumn="0" w:lastRowFirstColumn="0" w:lastRowLastColumn="0"/>
            <w:tcW w:w="1335" w:type="dxa"/>
          </w:tcPr>
          <w:p w14:paraId="173D3C19" w14:textId="77777777" w:rsidR="0086415A" w:rsidRPr="000973F2" w:rsidRDefault="0086415A" w:rsidP="003B058A">
            <w:pPr>
              <w:spacing w:before="40" w:after="4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Reporting</w:t>
            </w:r>
          </w:p>
        </w:tc>
        <w:tc>
          <w:tcPr>
            <w:tcW w:w="810" w:type="dxa"/>
            <w:noWrap/>
          </w:tcPr>
          <w:p w14:paraId="23374B39" w14:textId="77777777" w:rsidR="0086415A" w:rsidRPr="000973F2" w:rsidRDefault="0086415A" w:rsidP="003B058A">
            <w:pPr>
              <w:tabs>
                <w:tab w:val="decimal" w:pos="331"/>
              </w:tabs>
              <w:spacing w:before="40" w:after="4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0</w:t>
            </w:r>
          </w:p>
        </w:tc>
        <w:tc>
          <w:tcPr>
            <w:tcW w:w="810" w:type="dxa"/>
            <w:noWrap/>
          </w:tcPr>
          <w:p w14:paraId="1B4D8FC4" w14:textId="77777777" w:rsidR="0086415A" w:rsidRPr="000973F2" w:rsidRDefault="0086415A" w:rsidP="003B058A">
            <w:pPr>
              <w:tabs>
                <w:tab w:val="decimal" w:pos="331"/>
              </w:tabs>
              <w:spacing w:before="40" w:after="4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0</w:t>
            </w:r>
          </w:p>
        </w:tc>
        <w:tc>
          <w:tcPr>
            <w:tcW w:w="810" w:type="dxa"/>
            <w:noWrap/>
          </w:tcPr>
          <w:p w14:paraId="099125AD" w14:textId="77777777" w:rsidR="0086415A" w:rsidRPr="000973F2" w:rsidRDefault="0086415A" w:rsidP="003B058A">
            <w:pPr>
              <w:tabs>
                <w:tab w:val="decimal" w:pos="331"/>
              </w:tabs>
              <w:spacing w:before="40" w:after="4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0</w:t>
            </w:r>
          </w:p>
        </w:tc>
        <w:tc>
          <w:tcPr>
            <w:tcW w:w="810" w:type="dxa"/>
            <w:noWrap/>
          </w:tcPr>
          <w:p w14:paraId="205F1EAA" w14:textId="77777777" w:rsidR="0086415A" w:rsidRPr="000973F2" w:rsidRDefault="0086415A" w:rsidP="003B058A">
            <w:pPr>
              <w:tabs>
                <w:tab w:val="decimal" w:pos="331"/>
              </w:tabs>
              <w:spacing w:before="40" w:after="4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1</w:t>
            </w:r>
          </w:p>
        </w:tc>
        <w:tc>
          <w:tcPr>
            <w:tcW w:w="810" w:type="dxa"/>
            <w:noWrap/>
          </w:tcPr>
          <w:p w14:paraId="7C2817CD" w14:textId="77777777" w:rsidR="0086415A" w:rsidRPr="000973F2" w:rsidRDefault="0086415A" w:rsidP="003B058A">
            <w:pPr>
              <w:tabs>
                <w:tab w:val="decimal" w:pos="331"/>
              </w:tabs>
              <w:spacing w:before="40" w:after="4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0</w:t>
            </w:r>
          </w:p>
        </w:tc>
        <w:tc>
          <w:tcPr>
            <w:tcW w:w="810" w:type="dxa"/>
            <w:noWrap/>
          </w:tcPr>
          <w:p w14:paraId="29260E95" w14:textId="77777777" w:rsidR="0086415A" w:rsidRPr="000973F2" w:rsidRDefault="0086415A" w:rsidP="003B058A">
            <w:pPr>
              <w:tabs>
                <w:tab w:val="decimal" w:pos="331"/>
              </w:tabs>
              <w:spacing w:before="40" w:after="4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10</w:t>
            </w:r>
          </w:p>
        </w:tc>
        <w:tc>
          <w:tcPr>
            <w:tcW w:w="810" w:type="dxa"/>
            <w:noWrap/>
          </w:tcPr>
          <w:p w14:paraId="340A2E64" w14:textId="77777777" w:rsidR="0086415A" w:rsidRPr="000973F2" w:rsidRDefault="0086415A" w:rsidP="003B058A">
            <w:pPr>
              <w:tabs>
                <w:tab w:val="decimal" w:pos="331"/>
              </w:tabs>
              <w:spacing w:before="40" w:after="4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0</w:t>
            </w:r>
          </w:p>
        </w:tc>
        <w:tc>
          <w:tcPr>
            <w:tcW w:w="810" w:type="dxa"/>
            <w:noWrap/>
          </w:tcPr>
          <w:p w14:paraId="05A27804" w14:textId="77777777" w:rsidR="0086415A" w:rsidRPr="000973F2" w:rsidRDefault="0086415A" w:rsidP="003B058A">
            <w:pPr>
              <w:tabs>
                <w:tab w:val="decimal" w:pos="331"/>
              </w:tabs>
              <w:spacing w:before="40" w:after="4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1</w:t>
            </w:r>
          </w:p>
        </w:tc>
        <w:tc>
          <w:tcPr>
            <w:tcW w:w="667" w:type="dxa"/>
            <w:noWrap/>
          </w:tcPr>
          <w:p w14:paraId="44E2E215" w14:textId="77777777" w:rsidR="0086415A" w:rsidRPr="000973F2" w:rsidRDefault="0086415A" w:rsidP="003B058A">
            <w:pPr>
              <w:tabs>
                <w:tab w:val="decimal" w:pos="331"/>
              </w:tabs>
              <w:spacing w:before="40" w:after="4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$0</w:t>
            </w:r>
          </w:p>
        </w:tc>
        <w:tc>
          <w:tcPr>
            <w:tcW w:w="848" w:type="dxa"/>
            <w:noWrap/>
          </w:tcPr>
          <w:p w14:paraId="4F08150C" w14:textId="77777777" w:rsidR="0086415A" w:rsidRPr="000973F2" w:rsidRDefault="0086415A" w:rsidP="003B058A">
            <w:pPr>
              <w:tabs>
                <w:tab w:val="decimal" w:pos="571"/>
              </w:tabs>
              <w:spacing w:before="40" w:after="4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$838</w:t>
            </w:r>
          </w:p>
        </w:tc>
      </w:tr>
      <w:tr w:rsidR="0086415A" w:rsidRPr="000973F2" w14:paraId="629C42C4" w14:textId="77777777" w:rsidTr="00B926DD">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1335" w:type="dxa"/>
            <w:noWrap/>
          </w:tcPr>
          <w:p w14:paraId="4C4BBC8B" w14:textId="77777777" w:rsidR="0086415A" w:rsidRPr="000973F2" w:rsidRDefault="0086415A" w:rsidP="003B058A">
            <w:pPr>
              <w:spacing w:before="40" w:after="40"/>
              <w:rPr>
                <w:rFonts w:ascii="Times New Roman" w:eastAsia="Times New Roman" w:hAnsi="Times New Roman" w:cs="Times New Roman"/>
                <w:b/>
                <w:bCs w:val="0"/>
                <w:sz w:val="18"/>
                <w:szCs w:val="18"/>
              </w:rPr>
            </w:pPr>
            <w:r w:rsidRPr="000973F2">
              <w:rPr>
                <w:rFonts w:ascii="Times New Roman" w:eastAsia="Times New Roman" w:hAnsi="Times New Roman" w:cs="Times New Roman"/>
                <w:b/>
                <w:sz w:val="18"/>
                <w:szCs w:val="18"/>
              </w:rPr>
              <w:t>Total</w:t>
            </w:r>
          </w:p>
        </w:tc>
        <w:tc>
          <w:tcPr>
            <w:tcW w:w="810" w:type="dxa"/>
            <w:noWrap/>
          </w:tcPr>
          <w:p w14:paraId="108CFEFC" w14:textId="77777777" w:rsidR="0086415A" w:rsidRPr="000973F2" w:rsidRDefault="0086415A" w:rsidP="003B058A">
            <w:pPr>
              <w:tabs>
                <w:tab w:val="decimal" w:pos="331"/>
              </w:tabs>
              <w:spacing w:before="40" w:after="4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18"/>
                <w:szCs w:val="18"/>
              </w:rPr>
            </w:pPr>
            <w:r w:rsidRPr="000973F2">
              <w:rPr>
                <w:rFonts w:ascii="Times New Roman" w:eastAsia="Times New Roman" w:hAnsi="Times New Roman" w:cs="Times New Roman"/>
                <w:b/>
                <w:bCs/>
                <w:sz w:val="18"/>
                <w:szCs w:val="18"/>
              </w:rPr>
              <w:t>0</w:t>
            </w:r>
          </w:p>
        </w:tc>
        <w:tc>
          <w:tcPr>
            <w:tcW w:w="810" w:type="dxa"/>
            <w:noWrap/>
          </w:tcPr>
          <w:p w14:paraId="0C1EBEE6" w14:textId="77777777" w:rsidR="0086415A" w:rsidRPr="000973F2" w:rsidRDefault="0086415A" w:rsidP="003B058A">
            <w:pPr>
              <w:tabs>
                <w:tab w:val="decimal" w:pos="331"/>
              </w:tabs>
              <w:spacing w:before="40" w:after="4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18"/>
                <w:szCs w:val="18"/>
              </w:rPr>
            </w:pPr>
            <w:r w:rsidRPr="000973F2">
              <w:rPr>
                <w:rFonts w:ascii="Times New Roman" w:eastAsia="Times New Roman" w:hAnsi="Times New Roman" w:cs="Times New Roman"/>
                <w:b/>
                <w:bCs/>
                <w:sz w:val="18"/>
                <w:szCs w:val="18"/>
              </w:rPr>
              <w:t>2</w:t>
            </w:r>
          </w:p>
        </w:tc>
        <w:tc>
          <w:tcPr>
            <w:tcW w:w="810" w:type="dxa"/>
            <w:noWrap/>
          </w:tcPr>
          <w:p w14:paraId="128E3D9F" w14:textId="77777777" w:rsidR="0086415A" w:rsidRPr="000973F2" w:rsidRDefault="0086415A" w:rsidP="003B058A">
            <w:pPr>
              <w:tabs>
                <w:tab w:val="decimal" w:pos="331"/>
              </w:tabs>
              <w:spacing w:before="40" w:after="4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18"/>
                <w:szCs w:val="18"/>
              </w:rPr>
            </w:pPr>
            <w:r w:rsidRPr="000973F2">
              <w:rPr>
                <w:rFonts w:ascii="Times New Roman" w:eastAsia="Times New Roman" w:hAnsi="Times New Roman" w:cs="Times New Roman"/>
                <w:b/>
                <w:bCs/>
                <w:sz w:val="18"/>
                <w:szCs w:val="18"/>
              </w:rPr>
              <w:t>0</w:t>
            </w:r>
          </w:p>
        </w:tc>
        <w:tc>
          <w:tcPr>
            <w:tcW w:w="810" w:type="dxa"/>
            <w:noWrap/>
          </w:tcPr>
          <w:p w14:paraId="75DEBBD9" w14:textId="77777777" w:rsidR="0086415A" w:rsidRPr="000973F2" w:rsidRDefault="0086415A" w:rsidP="003B058A">
            <w:pPr>
              <w:tabs>
                <w:tab w:val="decimal" w:pos="331"/>
              </w:tabs>
              <w:spacing w:before="40" w:after="4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18"/>
                <w:szCs w:val="18"/>
              </w:rPr>
            </w:pPr>
            <w:r w:rsidRPr="000973F2">
              <w:rPr>
                <w:rFonts w:ascii="Times New Roman" w:eastAsia="Times New Roman" w:hAnsi="Times New Roman" w:cs="Times New Roman"/>
                <w:b/>
                <w:bCs/>
                <w:sz w:val="18"/>
                <w:szCs w:val="18"/>
              </w:rPr>
              <w:t>2.7</w:t>
            </w:r>
          </w:p>
        </w:tc>
        <w:tc>
          <w:tcPr>
            <w:tcW w:w="810" w:type="dxa"/>
            <w:noWrap/>
          </w:tcPr>
          <w:p w14:paraId="7CD971C8" w14:textId="77777777" w:rsidR="0086415A" w:rsidRPr="000973F2" w:rsidRDefault="0086415A" w:rsidP="003B058A">
            <w:pPr>
              <w:tabs>
                <w:tab w:val="decimal" w:pos="331"/>
              </w:tabs>
              <w:spacing w:before="40" w:after="4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18"/>
                <w:szCs w:val="18"/>
              </w:rPr>
            </w:pPr>
            <w:r w:rsidRPr="000973F2">
              <w:rPr>
                <w:rFonts w:ascii="Times New Roman" w:eastAsia="Times New Roman" w:hAnsi="Times New Roman" w:cs="Times New Roman"/>
                <w:b/>
                <w:bCs/>
                <w:sz w:val="18"/>
                <w:szCs w:val="18"/>
              </w:rPr>
              <w:t>0</w:t>
            </w:r>
          </w:p>
        </w:tc>
        <w:tc>
          <w:tcPr>
            <w:tcW w:w="810" w:type="dxa"/>
            <w:noWrap/>
          </w:tcPr>
          <w:p w14:paraId="3CEF12E6" w14:textId="77777777" w:rsidR="0086415A" w:rsidRPr="000973F2" w:rsidRDefault="0086415A" w:rsidP="003B058A">
            <w:pPr>
              <w:tabs>
                <w:tab w:val="decimal" w:pos="331"/>
              </w:tabs>
              <w:spacing w:before="40" w:after="4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18"/>
                <w:szCs w:val="18"/>
              </w:rPr>
            </w:pPr>
            <w:r w:rsidRPr="000973F2">
              <w:rPr>
                <w:rFonts w:ascii="Times New Roman" w:eastAsia="Times New Roman" w:hAnsi="Times New Roman" w:cs="Times New Roman"/>
                <w:b/>
                <w:bCs/>
                <w:sz w:val="18"/>
                <w:szCs w:val="18"/>
              </w:rPr>
              <w:t>27.3</w:t>
            </w:r>
          </w:p>
        </w:tc>
        <w:tc>
          <w:tcPr>
            <w:tcW w:w="810" w:type="dxa"/>
            <w:noWrap/>
          </w:tcPr>
          <w:p w14:paraId="3AB4C42B" w14:textId="77777777" w:rsidR="0086415A" w:rsidRPr="000973F2" w:rsidRDefault="0086415A" w:rsidP="003B058A">
            <w:pPr>
              <w:tabs>
                <w:tab w:val="decimal" w:pos="331"/>
              </w:tabs>
              <w:spacing w:before="40" w:after="4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18"/>
                <w:szCs w:val="18"/>
              </w:rPr>
            </w:pPr>
            <w:r w:rsidRPr="000973F2">
              <w:rPr>
                <w:rFonts w:ascii="Times New Roman" w:eastAsia="Times New Roman" w:hAnsi="Times New Roman" w:cs="Times New Roman"/>
                <w:b/>
                <w:bCs/>
                <w:sz w:val="18"/>
                <w:szCs w:val="18"/>
              </w:rPr>
              <w:t>0</w:t>
            </w:r>
          </w:p>
        </w:tc>
        <w:tc>
          <w:tcPr>
            <w:tcW w:w="810" w:type="dxa"/>
            <w:noWrap/>
          </w:tcPr>
          <w:p w14:paraId="43D66B74" w14:textId="77777777" w:rsidR="0086415A" w:rsidRPr="000973F2" w:rsidRDefault="0086415A" w:rsidP="003B058A">
            <w:pPr>
              <w:tabs>
                <w:tab w:val="decimal" w:pos="331"/>
              </w:tabs>
              <w:spacing w:before="40" w:after="4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18"/>
                <w:szCs w:val="18"/>
              </w:rPr>
            </w:pPr>
            <w:r w:rsidRPr="000973F2">
              <w:rPr>
                <w:rFonts w:ascii="Times New Roman" w:eastAsia="Times New Roman" w:hAnsi="Times New Roman" w:cs="Times New Roman"/>
                <w:b/>
                <w:bCs/>
                <w:sz w:val="18"/>
                <w:szCs w:val="18"/>
              </w:rPr>
              <w:t>2.7</w:t>
            </w:r>
          </w:p>
        </w:tc>
        <w:tc>
          <w:tcPr>
            <w:tcW w:w="667" w:type="dxa"/>
            <w:noWrap/>
          </w:tcPr>
          <w:p w14:paraId="13E52612" w14:textId="77777777" w:rsidR="0086415A" w:rsidRPr="000973F2" w:rsidRDefault="0086415A" w:rsidP="003B058A">
            <w:pPr>
              <w:tabs>
                <w:tab w:val="decimal" w:pos="331"/>
              </w:tabs>
              <w:spacing w:before="40" w:after="4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18"/>
                <w:szCs w:val="18"/>
              </w:rPr>
            </w:pPr>
            <w:r w:rsidRPr="000973F2">
              <w:rPr>
                <w:rFonts w:ascii="Times New Roman" w:eastAsia="Times New Roman" w:hAnsi="Times New Roman" w:cs="Times New Roman"/>
                <w:b/>
                <w:bCs/>
                <w:sz w:val="18"/>
                <w:szCs w:val="18"/>
              </w:rPr>
              <w:t>$0</w:t>
            </w:r>
          </w:p>
        </w:tc>
        <w:tc>
          <w:tcPr>
            <w:tcW w:w="848" w:type="dxa"/>
            <w:noWrap/>
          </w:tcPr>
          <w:p w14:paraId="58F24DB7" w14:textId="77777777" w:rsidR="0086415A" w:rsidRPr="000973F2" w:rsidRDefault="0086415A" w:rsidP="003B058A">
            <w:pPr>
              <w:tabs>
                <w:tab w:val="decimal" w:pos="571"/>
              </w:tabs>
              <w:spacing w:before="40" w:after="4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18"/>
                <w:szCs w:val="18"/>
              </w:rPr>
            </w:pPr>
            <w:r w:rsidRPr="000973F2">
              <w:rPr>
                <w:rFonts w:ascii="Times New Roman" w:eastAsia="Times New Roman" w:hAnsi="Times New Roman" w:cs="Times New Roman"/>
                <w:b/>
                <w:bCs/>
                <w:sz w:val="18"/>
                <w:szCs w:val="18"/>
              </w:rPr>
              <w:t>$2,509</w:t>
            </w:r>
          </w:p>
        </w:tc>
      </w:tr>
    </w:tbl>
    <w:p w14:paraId="1FBA3884" w14:textId="77777777" w:rsidR="0086415A" w:rsidRPr="000973F2" w:rsidRDefault="0086415A" w:rsidP="00C00E4F">
      <w:pPr>
        <w:spacing w:line="240" w:lineRule="auto"/>
        <w:rPr>
          <w:rFonts w:ascii="Times New Roman" w:hAnsi="Times New Roman" w:cs="Times New Roman"/>
          <w:sz w:val="16"/>
          <w:szCs w:val="16"/>
        </w:rPr>
      </w:pPr>
    </w:p>
    <w:p w14:paraId="6A14E2C7" w14:textId="10DAB210" w:rsidR="00D826A6" w:rsidRPr="000973F2" w:rsidRDefault="00D826A6" w:rsidP="00EF48A8">
      <w:pPr>
        <w:pStyle w:val="Tabletitle"/>
        <w:rPr>
          <w:sz w:val="16"/>
        </w:rPr>
      </w:pPr>
      <w:r w:rsidRPr="000973F2">
        <w:t xml:space="preserve">Table </w:t>
      </w:r>
      <w:r w:rsidR="00EF48A8" w:rsidRPr="000973F2">
        <w:t>Y-</w:t>
      </w:r>
      <w:r w:rsidRPr="000973F2">
        <w:t>2e. Labor Costs</w:t>
      </w:r>
      <w:r w:rsidR="00EE78FC" w:rsidRPr="000973F2">
        <w:t xml:space="preserve"> </w:t>
      </w:r>
      <w:r w:rsidR="00B960CC" w:rsidRPr="000973F2">
        <w:t>–</w:t>
      </w:r>
      <w:r w:rsidR="00EE78FC" w:rsidRPr="000973F2">
        <w:t xml:space="preserve"> </w:t>
      </w:r>
      <w:r w:rsidRPr="000973F2">
        <w:t>Subpart Y – Larger Hydroskimming Refinery</w:t>
      </w:r>
    </w:p>
    <w:tbl>
      <w:tblPr>
        <w:tblStyle w:val="PlainTable1"/>
        <w:tblW w:w="5000" w:type="pct"/>
        <w:jc w:val="left"/>
        <w:tblLayout w:type="fixed"/>
        <w:tblCellMar>
          <w:left w:w="115" w:type="dxa"/>
          <w:right w:w="115" w:type="dxa"/>
        </w:tblCellMar>
        <w:tblLook w:val="04A0" w:firstRow="1" w:lastRow="0" w:firstColumn="1" w:lastColumn="0" w:noHBand="0" w:noVBand="1"/>
      </w:tblPr>
      <w:tblGrid>
        <w:gridCol w:w="1371"/>
        <w:gridCol w:w="832"/>
        <w:gridCol w:w="832"/>
        <w:gridCol w:w="832"/>
        <w:gridCol w:w="833"/>
        <w:gridCol w:w="833"/>
        <w:gridCol w:w="833"/>
        <w:gridCol w:w="833"/>
        <w:gridCol w:w="833"/>
        <w:gridCol w:w="686"/>
        <w:gridCol w:w="872"/>
      </w:tblGrid>
      <w:tr w:rsidR="0086415A" w:rsidRPr="000973F2" w14:paraId="0B81CBCB" w14:textId="77777777" w:rsidTr="00B926DD">
        <w:trPr>
          <w:cnfStyle w:val="100000000000" w:firstRow="1" w:lastRow="0" w:firstColumn="0" w:lastColumn="0" w:oddVBand="0" w:evenVBand="0" w:oddHBand="0" w:evenHBand="0" w:firstRowFirstColumn="0" w:firstRowLastColumn="0" w:lastRowFirstColumn="0" w:lastRowLastColumn="0"/>
          <w:cantSplit/>
          <w:jc w:val="left"/>
        </w:trPr>
        <w:tc>
          <w:tcPr>
            <w:cnfStyle w:val="001000000000" w:firstRow="0" w:lastRow="0" w:firstColumn="1" w:lastColumn="0" w:oddVBand="0" w:evenVBand="0" w:oddHBand="0" w:evenHBand="0" w:firstRowFirstColumn="0" w:firstRowLastColumn="0" w:lastRowFirstColumn="0" w:lastRowLastColumn="0"/>
            <w:tcW w:w="1335" w:type="dxa"/>
            <w:vMerge w:val="restart"/>
            <w:noWrap/>
            <w:vAlign w:val="top"/>
          </w:tcPr>
          <w:p w14:paraId="449ED1B1" w14:textId="77777777" w:rsidR="0086415A" w:rsidRPr="000973F2" w:rsidRDefault="0086415A" w:rsidP="005872F5">
            <w:pPr>
              <w:keepNext/>
              <w:spacing w:before="40" w:after="40"/>
              <w:rPr>
                <w:rFonts w:ascii="Times New Roman" w:eastAsia="Times New Roman" w:hAnsi="Times New Roman" w:cs="Times New Roman"/>
                <w:bCs w:val="0"/>
                <w:sz w:val="18"/>
                <w:szCs w:val="18"/>
              </w:rPr>
            </w:pPr>
            <w:r w:rsidRPr="000973F2">
              <w:rPr>
                <w:rFonts w:ascii="Times New Roman" w:eastAsia="Times New Roman" w:hAnsi="Times New Roman" w:cs="Times New Roman"/>
                <w:bCs w:val="0"/>
                <w:sz w:val="18"/>
                <w:szCs w:val="18"/>
              </w:rPr>
              <w:t>Activity</w:t>
            </w:r>
          </w:p>
        </w:tc>
        <w:tc>
          <w:tcPr>
            <w:tcW w:w="6480" w:type="dxa"/>
            <w:gridSpan w:val="8"/>
            <w:noWrap/>
            <w:vAlign w:val="top"/>
          </w:tcPr>
          <w:p w14:paraId="1BDF3E4E" w14:textId="77777777" w:rsidR="0086415A" w:rsidRPr="000973F2" w:rsidRDefault="0086415A" w:rsidP="005872F5">
            <w:pPr>
              <w:keepNext/>
              <w:spacing w:before="40" w:after="40"/>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Cs w:val="0"/>
                <w:sz w:val="18"/>
                <w:szCs w:val="18"/>
              </w:rPr>
            </w:pPr>
            <w:r w:rsidRPr="000973F2">
              <w:rPr>
                <w:rFonts w:ascii="Times New Roman" w:eastAsia="Times New Roman" w:hAnsi="Times New Roman" w:cs="Times New Roman"/>
                <w:bCs w:val="0"/>
                <w:sz w:val="18"/>
                <w:szCs w:val="18"/>
              </w:rPr>
              <w:t>Labor Rates (per hour)</w:t>
            </w:r>
          </w:p>
        </w:tc>
        <w:tc>
          <w:tcPr>
            <w:tcW w:w="1515" w:type="dxa"/>
            <w:gridSpan w:val="2"/>
            <w:vMerge w:val="restart"/>
            <w:vAlign w:val="top"/>
          </w:tcPr>
          <w:p w14:paraId="5E66095B" w14:textId="77777777" w:rsidR="0086415A" w:rsidRPr="000973F2" w:rsidRDefault="0086415A" w:rsidP="005872F5">
            <w:pPr>
              <w:keepNext/>
              <w:spacing w:before="40" w:after="40"/>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Cs w:val="0"/>
                <w:sz w:val="18"/>
                <w:szCs w:val="18"/>
              </w:rPr>
            </w:pPr>
            <w:r w:rsidRPr="000973F2">
              <w:rPr>
                <w:rFonts w:ascii="Times New Roman" w:eastAsia="Times New Roman" w:hAnsi="Times New Roman" w:cs="Times New Roman"/>
                <w:bCs w:val="0"/>
                <w:sz w:val="18"/>
                <w:szCs w:val="18"/>
              </w:rPr>
              <w:t>Total Labor Cost per Year per Facility (2017$)</w:t>
            </w:r>
          </w:p>
        </w:tc>
      </w:tr>
      <w:tr w:rsidR="0086415A" w:rsidRPr="000973F2" w14:paraId="5380391F" w14:textId="77777777" w:rsidTr="00B926DD">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1335" w:type="dxa"/>
            <w:vMerge/>
          </w:tcPr>
          <w:p w14:paraId="0D73D529" w14:textId="77777777" w:rsidR="0086415A" w:rsidRPr="000973F2" w:rsidRDefault="0086415A" w:rsidP="005872F5">
            <w:pPr>
              <w:keepNext/>
              <w:spacing w:before="40" w:after="40"/>
              <w:rPr>
                <w:rFonts w:ascii="Times New Roman" w:eastAsia="Times New Roman" w:hAnsi="Times New Roman" w:cs="Times New Roman"/>
                <w:b/>
                <w:bCs w:val="0"/>
                <w:sz w:val="18"/>
                <w:szCs w:val="18"/>
              </w:rPr>
            </w:pPr>
          </w:p>
        </w:tc>
        <w:tc>
          <w:tcPr>
            <w:tcW w:w="1620" w:type="dxa"/>
            <w:gridSpan w:val="2"/>
            <w:noWrap/>
          </w:tcPr>
          <w:p w14:paraId="2FC53207" w14:textId="77777777" w:rsidR="0086415A" w:rsidRPr="000973F2" w:rsidRDefault="0086415A" w:rsidP="005872F5">
            <w:pPr>
              <w:keepNext/>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18"/>
                <w:szCs w:val="18"/>
              </w:rPr>
            </w:pPr>
            <w:r w:rsidRPr="000973F2">
              <w:rPr>
                <w:rFonts w:ascii="Times New Roman" w:eastAsia="Times New Roman" w:hAnsi="Times New Roman" w:cs="Times New Roman"/>
                <w:b/>
                <w:bCs/>
                <w:sz w:val="18"/>
                <w:szCs w:val="18"/>
              </w:rPr>
              <w:t>Lawyer</w:t>
            </w:r>
          </w:p>
        </w:tc>
        <w:tc>
          <w:tcPr>
            <w:tcW w:w="1620" w:type="dxa"/>
            <w:gridSpan w:val="2"/>
            <w:noWrap/>
          </w:tcPr>
          <w:p w14:paraId="3B1D0FDC" w14:textId="77777777" w:rsidR="0086415A" w:rsidRPr="000973F2" w:rsidRDefault="0086415A" w:rsidP="005872F5">
            <w:pPr>
              <w:keepNext/>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18"/>
                <w:szCs w:val="18"/>
              </w:rPr>
            </w:pPr>
            <w:r w:rsidRPr="000973F2">
              <w:rPr>
                <w:rFonts w:ascii="Times New Roman" w:eastAsia="Times New Roman" w:hAnsi="Times New Roman" w:cs="Times New Roman"/>
                <w:b/>
                <w:bCs/>
                <w:sz w:val="18"/>
                <w:szCs w:val="18"/>
              </w:rPr>
              <w:t>Industrial Manager</w:t>
            </w:r>
          </w:p>
        </w:tc>
        <w:tc>
          <w:tcPr>
            <w:tcW w:w="1620" w:type="dxa"/>
            <w:gridSpan w:val="2"/>
          </w:tcPr>
          <w:p w14:paraId="64F6322D" w14:textId="47C95CE7" w:rsidR="0086415A" w:rsidRPr="000973F2" w:rsidRDefault="0086415A" w:rsidP="005872F5">
            <w:pPr>
              <w:keepNext/>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18"/>
                <w:szCs w:val="18"/>
              </w:rPr>
            </w:pPr>
            <w:r w:rsidRPr="000973F2">
              <w:rPr>
                <w:rFonts w:ascii="Times New Roman" w:eastAsia="Times New Roman" w:hAnsi="Times New Roman" w:cs="Times New Roman"/>
                <w:b/>
                <w:bCs/>
                <w:sz w:val="18"/>
                <w:szCs w:val="18"/>
              </w:rPr>
              <w:t>Industrial Engineer/</w:t>
            </w:r>
            <w:r w:rsidR="00DA48B3" w:rsidRPr="000973F2">
              <w:rPr>
                <w:rFonts w:ascii="Times New Roman" w:eastAsia="Times New Roman" w:hAnsi="Times New Roman" w:cs="Times New Roman"/>
                <w:b/>
                <w:bCs/>
                <w:sz w:val="18"/>
                <w:szCs w:val="18"/>
              </w:rPr>
              <w:t xml:space="preserve"> </w:t>
            </w:r>
            <w:r w:rsidRPr="000973F2">
              <w:rPr>
                <w:rFonts w:ascii="Times New Roman" w:eastAsia="Times New Roman" w:hAnsi="Times New Roman" w:cs="Times New Roman"/>
                <w:b/>
                <w:bCs/>
                <w:sz w:val="18"/>
                <w:szCs w:val="18"/>
              </w:rPr>
              <w:t>Technician</w:t>
            </w:r>
          </w:p>
        </w:tc>
        <w:tc>
          <w:tcPr>
            <w:tcW w:w="1620" w:type="dxa"/>
            <w:gridSpan w:val="2"/>
          </w:tcPr>
          <w:p w14:paraId="53EFDE95" w14:textId="77777777" w:rsidR="0086415A" w:rsidRPr="000973F2" w:rsidRDefault="0086415A" w:rsidP="005872F5">
            <w:pPr>
              <w:keepNext/>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18"/>
                <w:szCs w:val="18"/>
              </w:rPr>
            </w:pPr>
            <w:r w:rsidRPr="000973F2">
              <w:rPr>
                <w:rFonts w:ascii="Times New Roman" w:eastAsia="Times New Roman" w:hAnsi="Times New Roman" w:cs="Times New Roman"/>
                <w:b/>
                <w:bCs/>
                <w:sz w:val="18"/>
                <w:szCs w:val="18"/>
              </w:rPr>
              <w:t>Administrative Support</w:t>
            </w:r>
          </w:p>
        </w:tc>
        <w:tc>
          <w:tcPr>
            <w:tcW w:w="1515" w:type="dxa"/>
            <w:gridSpan w:val="2"/>
            <w:vMerge/>
          </w:tcPr>
          <w:p w14:paraId="343AEC19" w14:textId="77777777" w:rsidR="0086415A" w:rsidRPr="000973F2" w:rsidRDefault="0086415A" w:rsidP="005872F5">
            <w:pPr>
              <w:keepNext/>
              <w:spacing w:before="40" w:after="4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18"/>
                <w:szCs w:val="18"/>
              </w:rPr>
            </w:pPr>
          </w:p>
        </w:tc>
      </w:tr>
      <w:tr w:rsidR="0086415A" w:rsidRPr="000973F2" w14:paraId="56EF4937" w14:textId="77777777" w:rsidTr="00B926DD">
        <w:trPr>
          <w:cantSplit/>
        </w:trPr>
        <w:tc>
          <w:tcPr>
            <w:cnfStyle w:val="001000000000" w:firstRow="0" w:lastRow="0" w:firstColumn="1" w:lastColumn="0" w:oddVBand="0" w:evenVBand="0" w:oddHBand="0" w:evenHBand="0" w:firstRowFirstColumn="0" w:firstRowLastColumn="0" w:lastRowFirstColumn="0" w:lastRowLastColumn="0"/>
            <w:tcW w:w="1335" w:type="dxa"/>
            <w:vMerge/>
          </w:tcPr>
          <w:p w14:paraId="791C4362" w14:textId="77777777" w:rsidR="0086415A" w:rsidRPr="000973F2" w:rsidRDefault="0086415A" w:rsidP="005872F5">
            <w:pPr>
              <w:keepNext/>
              <w:spacing w:before="40" w:after="40"/>
              <w:rPr>
                <w:rFonts w:ascii="Times New Roman" w:eastAsia="Times New Roman" w:hAnsi="Times New Roman" w:cs="Times New Roman"/>
                <w:b/>
                <w:bCs w:val="0"/>
                <w:sz w:val="18"/>
                <w:szCs w:val="18"/>
              </w:rPr>
            </w:pPr>
          </w:p>
        </w:tc>
        <w:tc>
          <w:tcPr>
            <w:tcW w:w="1620" w:type="dxa"/>
            <w:gridSpan w:val="2"/>
            <w:noWrap/>
          </w:tcPr>
          <w:p w14:paraId="4C5200BC" w14:textId="77777777" w:rsidR="0086415A" w:rsidRPr="000973F2" w:rsidRDefault="0086415A" w:rsidP="005872F5">
            <w:pPr>
              <w:keepNext/>
              <w:spacing w:before="40" w:after="4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sz w:val="18"/>
                <w:szCs w:val="18"/>
              </w:rPr>
            </w:pPr>
            <w:r w:rsidRPr="000973F2">
              <w:rPr>
                <w:rFonts w:ascii="Times New Roman" w:eastAsia="Times New Roman" w:hAnsi="Times New Roman" w:cs="Times New Roman"/>
                <w:b/>
                <w:bCs/>
                <w:sz w:val="18"/>
                <w:szCs w:val="18"/>
              </w:rPr>
              <w:t xml:space="preserve">$112.23 </w:t>
            </w:r>
          </w:p>
        </w:tc>
        <w:tc>
          <w:tcPr>
            <w:tcW w:w="1620" w:type="dxa"/>
            <w:gridSpan w:val="2"/>
            <w:noWrap/>
          </w:tcPr>
          <w:p w14:paraId="00F30923" w14:textId="77777777" w:rsidR="0086415A" w:rsidRPr="000973F2" w:rsidRDefault="0086415A" w:rsidP="005872F5">
            <w:pPr>
              <w:keepNext/>
              <w:spacing w:before="40" w:after="4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sz w:val="18"/>
                <w:szCs w:val="18"/>
              </w:rPr>
            </w:pPr>
            <w:r w:rsidRPr="000973F2">
              <w:rPr>
                <w:rFonts w:ascii="Times New Roman" w:eastAsia="Times New Roman" w:hAnsi="Times New Roman" w:cs="Times New Roman"/>
                <w:b/>
                <w:bCs/>
                <w:sz w:val="18"/>
                <w:szCs w:val="18"/>
              </w:rPr>
              <w:t xml:space="preserve">$87.45 </w:t>
            </w:r>
          </w:p>
        </w:tc>
        <w:tc>
          <w:tcPr>
            <w:tcW w:w="1620" w:type="dxa"/>
            <w:gridSpan w:val="2"/>
            <w:noWrap/>
          </w:tcPr>
          <w:p w14:paraId="06B23938" w14:textId="77777777" w:rsidR="0086415A" w:rsidRPr="000973F2" w:rsidRDefault="0086415A" w:rsidP="005872F5">
            <w:pPr>
              <w:keepNext/>
              <w:spacing w:before="40" w:after="4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sz w:val="18"/>
                <w:szCs w:val="18"/>
              </w:rPr>
            </w:pPr>
            <w:r w:rsidRPr="000973F2">
              <w:rPr>
                <w:rFonts w:ascii="Times New Roman" w:eastAsia="Times New Roman" w:hAnsi="Times New Roman" w:cs="Times New Roman"/>
                <w:b/>
                <w:bCs/>
                <w:sz w:val="18"/>
                <w:szCs w:val="18"/>
              </w:rPr>
              <w:t xml:space="preserve">$71.45 </w:t>
            </w:r>
          </w:p>
        </w:tc>
        <w:tc>
          <w:tcPr>
            <w:tcW w:w="1620" w:type="dxa"/>
            <w:gridSpan w:val="2"/>
            <w:noWrap/>
          </w:tcPr>
          <w:p w14:paraId="7E49C0FB" w14:textId="77777777" w:rsidR="0086415A" w:rsidRPr="000973F2" w:rsidRDefault="0086415A" w:rsidP="005872F5">
            <w:pPr>
              <w:keepNext/>
              <w:spacing w:before="40" w:after="4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sz w:val="18"/>
                <w:szCs w:val="18"/>
              </w:rPr>
            </w:pPr>
            <w:r w:rsidRPr="000973F2">
              <w:rPr>
                <w:rFonts w:ascii="Times New Roman" w:eastAsia="Times New Roman" w:hAnsi="Times New Roman" w:cs="Times New Roman"/>
                <w:b/>
                <w:bCs/>
                <w:sz w:val="18"/>
                <w:szCs w:val="18"/>
              </w:rPr>
              <w:t xml:space="preserve">$36.28 </w:t>
            </w:r>
          </w:p>
        </w:tc>
        <w:tc>
          <w:tcPr>
            <w:tcW w:w="1515" w:type="dxa"/>
            <w:gridSpan w:val="2"/>
            <w:vMerge/>
          </w:tcPr>
          <w:p w14:paraId="6E7D45E5" w14:textId="77777777" w:rsidR="0086415A" w:rsidRPr="000973F2" w:rsidRDefault="0086415A" w:rsidP="005872F5">
            <w:pPr>
              <w:keepNext/>
              <w:spacing w:before="40" w:after="4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sz w:val="18"/>
                <w:szCs w:val="18"/>
              </w:rPr>
            </w:pPr>
          </w:p>
        </w:tc>
      </w:tr>
      <w:tr w:rsidR="0086415A" w:rsidRPr="000973F2" w14:paraId="0C819CE5" w14:textId="77777777" w:rsidTr="00B926DD">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1335" w:type="dxa"/>
            <w:vMerge/>
          </w:tcPr>
          <w:p w14:paraId="34D8B9E5" w14:textId="77777777" w:rsidR="0086415A" w:rsidRPr="000973F2" w:rsidRDefault="0086415A" w:rsidP="005872F5">
            <w:pPr>
              <w:keepNext/>
              <w:spacing w:before="40" w:after="40"/>
              <w:rPr>
                <w:rFonts w:ascii="Times New Roman" w:eastAsia="Times New Roman" w:hAnsi="Times New Roman" w:cs="Times New Roman"/>
                <w:b/>
                <w:bCs w:val="0"/>
                <w:sz w:val="18"/>
                <w:szCs w:val="18"/>
              </w:rPr>
            </w:pPr>
          </w:p>
        </w:tc>
        <w:tc>
          <w:tcPr>
            <w:tcW w:w="810" w:type="dxa"/>
            <w:tcMar>
              <w:left w:w="14" w:type="dxa"/>
              <w:right w:w="14" w:type="dxa"/>
            </w:tcMar>
          </w:tcPr>
          <w:p w14:paraId="796043C7" w14:textId="77777777" w:rsidR="0086415A" w:rsidRPr="000973F2" w:rsidRDefault="0086415A" w:rsidP="005872F5">
            <w:pPr>
              <w:keepNext/>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18"/>
                <w:szCs w:val="18"/>
              </w:rPr>
            </w:pPr>
            <w:r w:rsidRPr="000973F2">
              <w:rPr>
                <w:rFonts w:ascii="Times New Roman" w:eastAsia="Times New Roman" w:hAnsi="Times New Roman" w:cs="Times New Roman"/>
                <w:b/>
                <w:bCs/>
                <w:sz w:val="18"/>
                <w:szCs w:val="18"/>
              </w:rPr>
              <w:t>Initial Year Hours</w:t>
            </w:r>
          </w:p>
        </w:tc>
        <w:tc>
          <w:tcPr>
            <w:tcW w:w="810" w:type="dxa"/>
            <w:tcMar>
              <w:left w:w="14" w:type="dxa"/>
              <w:right w:w="14" w:type="dxa"/>
            </w:tcMar>
          </w:tcPr>
          <w:p w14:paraId="7D153555" w14:textId="77777777" w:rsidR="0086415A" w:rsidRPr="000973F2" w:rsidRDefault="0086415A" w:rsidP="005872F5">
            <w:pPr>
              <w:keepNext/>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18"/>
                <w:szCs w:val="18"/>
              </w:rPr>
            </w:pPr>
            <w:r w:rsidRPr="000973F2">
              <w:rPr>
                <w:rFonts w:ascii="Times New Roman" w:eastAsia="Times New Roman" w:hAnsi="Times New Roman" w:cs="Times New Roman"/>
                <w:b/>
                <w:bCs/>
                <w:sz w:val="18"/>
                <w:szCs w:val="18"/>
              </w:rPr>
              <w:t>Subseq. Year Hours</w:t>
            </w:r>
          </w:p>
        </w:tc>
        <w:tc>
          <w:tcPr>
            <w:tcW w:w="810" w:type="dxa"/>
            <w:tcMar>
              <w:left w:w="14" w:type="dxa"/>
              <w:right w:w="14" w:type="dxa"/>
            </w:tcMar>
          </w:tcPr>
          <w:p w14:paraId="31ABEA74" w14:textId="77777777" w:rsidR="0086415A" w:rsidRPr="000973F2" w:rsidRDefault="0086415A" w:rsidP="005872F5">
            <w:pPr>
              <w:keepNext/>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18"/>
                <w:szCs w:val="18"/>
              </w:rPr>
            </w:pPr>
            <w:r w:rsidRPr="000973F2">
              <w:rPr>
                <w:rFonts w:ascii="Times New Roman" w:eastAsia="Times New Roman" w:hAnsi="Times New Roman" w:cs="Times New Roman"/>
                <w:b/>
                <w:bCs/>
                <w:sz w:val="18"/>
                <w:szCs w:val="18"/>
              </w:rPr>
              <w:t>Initial Year Hours</w:t>
            </w:r>
          </w:p>
        </w:tc>
        <w:tc>
          <w:tcPr>
            <w:tcW w:w="810" w:type="dxa"/>
            <w:tcMar>
              <w:left w:w="14" w:type="dxa"/>
              <w:right w:w="14" w:type="dxa"/>
            </w:tcMar>
          </w:tcPr>
          <w:p w14:paraId="2B4E1F43" w14:textId="77777777" w:rsidR="0086415A" w:rsidRPr="000973F2" w:rsidRDefault="0086415A" w:rsidP="005872F5">
            <w:pPr>
              <w:keepNext/>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18"/>
                <w:szCs w:val="18"/>
              </w:rPr>
            </w:pPr>
            <w:r w:rsidRPr="000973F2">
              <w:rPr>
                <w:rFonts w:ascii="Times New Roman" w:eastAsia="Times New Roman" w:hAnsi="Times New Roman" w:cs="Times New Roman"/>
                <w:b/>
                <w:bCs/>
                <w:sz w:val="18"/>
                <w:szCs w:val="18"/>
              </w:rPr>
              <w:t>Subseq. Year Hours</w:t>
            </w:r>
          </w:p>
        </w:tc>
        <w:tc>
          <w:tcPr>
            <w:tcW w:w="810" w:type="dxa"/>
            <w:tcMar>
              <w:left w:w="14" w:type="dxa"/>
              <w:right w:w="14" w:type="dxa"/>
            </w:tcMar>
          </w:tcPr>
          <w:p w14:paraId="6F120CE0" w14:textId="77777777" w:rsidR="0086415A" w:rsidRPr="000973F2" w:rsidRDefault="0086415A" w:rsidP="005872F5">
            <w:pPr>
              <w:keepNext/>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18"/>
                <w:szCs w:val="18"/>
              </w:rPr>
            </w:pPr>
            <w:r w:rsidRPr="000973F2">
              <w:rPr>
                <w:rFonts w:ascii="Times New Roman" w:eastAsia="Times New Roman" w:hAnsi="Times New Roman" w:cs="Times New Roman"/>
                <w:b/>
                <w:bCs/>
                <w:sz w:val="18"/>
                <w:szCs w:val="18"/>
              </w:rPr>
              <w:t>Initial Year Hours</w:t>
            </w:r>
          </w:p>
        </w:tc>
        <w:tc>
          <w:tcPr>
            <w:tcW w:w="810" w:type="dxa"/>
            <w:tcMar>
              <w:left w:w="14" w:type="dxa"/>
              <w:right w:w="14" w:type="dxa"/>
            </w:tcMar>
          </w:tcPr>
          <w:p w14:paraId="2284EEC7" w14:textId="77777777" w:rsidR="0086415A" w:rsidRPr="000973F2" w:rsidRDefault="0086415A" w:rsidP="005872F5">
            <w:pPr>
              <w:keepNext/>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18"/>
                <w:szCs w:val="18"/>
              </w:rPr>
            </w:pPr>
            <w:r w:rsidRPr="000973F2">
              <w:rPr>
                <w:rFonts w:ascii="Times New Roman" w:eastAsia="Times New Roman" w:hAnsi="Times New Roman" w:cs="Times New Roman"/>
                <w:b/>
                <w:bCs/>
                <w:sz w:val="18"/>
                <w:szCs w:val="18"/>
              </w:rPr>
              <w:t>Subseq. Year Hours</w:t>
            </w:r>
          </w:p>
        </w:tc>
        <w:tc>
          <w:tcPr>
            <w:tcW w:w="810" w:type="dxa"/>
            <w:tcMar>
              <w:left w:w="14" w:type="dxa"/>
              <w:right w:w="14" w:type="dxa"/>
            </w:tcMar>
          </w:tcPr>
          <w:p w14:paraId="60C91671" w14:textId="77777777" w:rsidR="0086415A" w:rsidRPr="000973F2" w:rsidRDefault="0086415A" w:rsidP="005872F5">
            <w:pPr>
              <w:keepNext/>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18"/>
                <w:szCs w:val="18"/>
              </w:rPr>
            </w:pPr>
            <w:r w:rsidRPr="000973F2">
              <w:rPr>
                <w:rFonts w:ascii="Times New Roman" w:eastAsia="Times New Roman" w:hAnsi="Times New Roman" w:cs="Times New Roman"/>
                <w:b/>
                <w:bCs/>
                <w:sz w:val="18"/>
                <w:szCs w:val="18"/>
              </w:rPr>
              <w:t>Initial Year Hours</w:t>
            </w:r>
          </w:p>
        </w:tc>
        <w:tc>
          <w:tcPr>
            <w:tcW w:w="810" w:type="dxa"/>
            <w:tcMar>
              <w:left w:w="14" w:type="dxa"/>
              <w:right w:w="14" w:type="dxa"/>
            </w:tcMar>
          </w:tcPr>
          <w:p w14:paraId="1D6ED833" w14:textId="77777777" w:rsidR="0086415A" w:rsidRPr="000973F2" w:rsidRDefault="0086415A" w:rsidP="005872F5">
            <w:pPr>
              <w:keepNext/>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18"/>
                <w:szCs w:val="18"/>
              </w:rPr>
            </w:pPr>
            <w:r w:rsidRPr="000973F2">
              <w:rPr>
                <w:rFonts w:ascii="Times New Roman" w:eastAsia="Times New Roman" w:hAnsi="Times New Roman" w:cs="Times New Roman"/>
                <w:b/>
                <w:bCs/>
                <w:sz w:val="18"/>
                <w:szCs w:val="18"/>
              </w:rPr>
              <w:t>Subseq. Year Hours</w:t>
            </w:r>
          </w:p>
        </w:tc>
        <w:tc>
          <w:tcPr>
            <w:tcW w:w="667" w:type="dxa"/>
            <w:tcMar>
              <w:left w:w="14" w:type="dxa"/>
              <w:right w:w="14" w:type="dxa"/>
            </w:tcMar>
          </w:tcPr>
          <w:p w14:paraId="4068ECA0" w14:textId="77777777" w:rsidR="0086415A" w:rsidRPr="000973F2" w:rsidRDefault="0086415A" w:rsidP="005872F5">
            <w:pPr>
              <w:keepNext/>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18"/>
                <w:szCs w:val="18"/>
              </w:rPr>
            </w:pPr>
            <w:r w:rsidRPr="000973F2">
              <w:rPr>
                <w:rFonts w:ascii="Times New Roman" w:eastAsia="Times New Roman" w:hAnsi="Times New Roman" w:cs="Times New Roman"/>
                <w:b/>
                <w:bCs/>
                <w:sz w:val="18"/>
                <w:szCs w:val="18"/>
              </w:rPr>
              <w:t>Initial Year</w:t>
            </w:r>
          </w:p>
        </w:tc>
        <w:tc>
          <w:tcPr>
            <w:tcW w:w="848" w:type="dxa"/>
            <w:tcMar>
              <w:left w:w="14" w:type="dxa"/>
              <w:right w:w="14" w:type="dxa"/>
            </w:tcMar>
          </w:tcPr>
          <w:p w14:paraId="144A96A3" w14:textId="77777777" w:rsidR="0086415A" w:rsidRPr="000973F2" w:rsidRDefault="0086415A" w:rsidP="005872F5">
            <w:pPr>
              <w:keepNext/>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18"/>
                <w:szCs w:val="18"/>
              </w:rPr>
            </w:pPr>
            <w:r w:rsidRPr="000973F2">
              <w:rPr>
                <w:rFonts w:ascii="Times New Roman" w:eastAsia="Times New Roman" w:hAnsi="Times New Roman" w:cs="Times New Roman"/>
                <w:b/>
                <w:bCs/>
                <w:sz w:val="18"/>
                <w:szCs w:val="18"/>
              </w:rPr>
              <w:t>Subseq. Year</w:t>
            </w:r>
          </w:p>
        </w:tc>
      </w:tr>
      <w:tr w:rsidR="0086415A" w:rsidRPr="000973F2" w14:paraId="6B408154" w14:textId="77777777" w:rsidTr="00B926DD">
        <w:trPr>
          <w:cantSplit/>
        </w:trPr>
        <w:tc>
          <w:tcPr>
            <w:cnfStyle w:val="001000000000" w:firstRow="0" w:lastRow="0" w:firstColumn="1" w:lastColumn="0" w:oddVBand="0" w:evenVBand="0" w:oddHBand="0" w:evenHBand="0" w:firstRowFirstColumn="0" w:firstRowLastColumn="0" w:lastRowFirstColumn="0" w:lastRowLastColumn="0"/>
            <w:tcW w:w="1335" w:type="dxa"/>
          </w:tcPr>
          <w:p w14:paraId="636CC113" w14:textId="77777777" w:rsidR="0086415A" w:rsidRPr="000973F2" w:rsidRDefault="0086415A" w:rsidP="005872F5">
            <w:pPr>
              <w:keepNext/>
              <w:spacing w:before="40" w:after="4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Planning</w:t>
            </w:r>
          </w:p>
        </w:tc>
        <w:tc>
          <w:tcPr>
            <w:tcW w:w="810" w:type="dxa"/>
            <w:noWrap/>
          </w:tcPr>
          <w:p w14:paraId="5E37E578" w14:textId="77777777" w:rsidR="0086415A" w:rsidRPr="000973F2" w:rsidRDefault="0086415A" w:rsidP="005872F5">
            <w:pPr>
              <w:keepNext/>
              <w:tabs>
                <w:tab w:val="decimal" w:pos="331"/>
              </w:tabs>
              <w:spacing w:before="40" w:after="4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0</w:t>
            </w:r>
          </w:p>
        </w:tc>
        <w:tc>
          <w:tcPr>
            <w:tcW w:w="810" w:type="dxa"/>
            <w:noWrap/>
          </w:tcPr>
          <w:p w14:paraId="216B1831" w14:textId="77777777" w:rsidR="0086415A" w:rsidRPr="000973F2" w:rsidRDefault="0086415A" w:rsidP="005872F5">
            <w:pPr>
              <w:keepNext/>
              <w:tabs>
                <w:tab w:val="decimal" w:pos="331"/>
              </w:tabs>
              <w:spacing w:before="40" w:after="4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2</w:t>
            </w:r>
          </w:p>
        </w:tc>
        <w:tc>
          <w:tcPr>
            <w:tcW w:w="810" w:type="dxa"/>
            <w:noWrap/>
          </w:tcPr>
          <w:p w14:paraId="248BE359" w14:textId="77777777" w:rsidR="0086415A" w:rsidRPr="000973F2" w:rsidRDefault="0086415A" w:rsidP="005872F5">
            <w:pPr>
              <w:keepNext/>
              <w:tabs>
                <w:tab w:val="decimal" w:pos="331"/>
              </w:tabs>
              <w:spacing w:before="40" w:after="4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0</w:t>
            </w:r>
          </w:p>
        </w:tc>
        <w:tc>
          <w:tcPr>
            <w:tcW w:w="810" w:type="dxa"/>
            <w:noWrap/>
          </w:tcPr>
          <w:p w14:paraId="259D951E" w14:textId="77777777" w:rsidR="0086415A" w:rsidRPr="000973F2" w:rsidRDefault="0086415A" w:rsidP="005872F5">
            <w:pPr>
              <w:keepNext/>
              <w:tabs>
                <w:tab w:val="decimal" w:pos="331"/>
              </w:tabs>
              <w:spacing w:before="40" w:after="4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0.4</w:t>
            </w:r>
          </w:p>
        </w:tc>
        <w:tc>
          <w:tcPr>
            <w:tcW w:w="810" w:type="dxa"/>
            <w:noWrap/>
          </w:tcPr>
          <w:p w14:paraId="296E53D3" w14:textId="77777777" w:rsidR="0086415A" w:rsidRPr="000973F2" w:rsidRDefault="0086415A" w:rsidP="005872F5">
            <w:pPr>
              <w:keepNext/>
              <w:tabs>
                <w:tab w:val="decimal" w:pos="331"/>
              </w:tabs>
              <w:spacing w:before="40" w:after="4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0</w:t>
            </w:r>
          </w:p>
        </w:tc>
        <w:tc>
          <w:tcPr>
            <w:tcW w:w="810" w:type="dxa"/>
            <w:noWrap/>
          </w:tcPr>
          <w:p w14:paraId="08929AC6" w14:textId="77777777" w:rsidR="0086415A" w:rsidRPr="000973F2" w:rsidRDefault="0086415A" w:rsidP="005872F5">
            <w:pPr>
              <w:keepNext/>
              <w:tabs>
                <w:tab w:val="decimal" w:pos="331"/>
              </w:tabs>
              <w:spacing w:before="40" w:after="4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4</w:t>
            </w:r>
          </w:p>
        </w:tc>
        <w:tc>
          <w:tcPr>
            <w:tcW w:w="810" w:type="dxa"/>
            <w:noWrap/>
          </w:tcPr>
          <w:p w14:paraId="7B485E97" w14:textId="77777777" w:rsidR="0086415A" w:rsidRPr="000973F2" w:rsidRDefault="0086415A" w:rsidP="005872F5">
            <w:pPr>
              <w:keepNext/>
              <w:tabs>
                <w:tab w:val="decimal" w:pos="331"/>
              </w:tabs>
              <w:spacing w:before="40" w:after="4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0</w:t>
            </w:r>
          </w:p>
        </w:tc>
        <w:tc>
          <w:tcPr>
            <w:tcW w:w="810" w:type="dxa"/>
            <w:noWrap/>
          </w:tcPr>
          <w:p w14:paraId="2261BDB2" w14:textId="77777777" w:rsidR="0086415A" w:rsidRPr="000973F2" w:rsidRDefault="0086415A" w:rsidP="005872F5">
            <w:pPr>
              <w:keepNext/>
              <w:tabs>
                <w:tab w:val="decimal" w:pos="331"/>
              </w:tabs>
              <w:spacing w:before="40" w:after="4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0.4</w:t>
            </w:r>
          </w:p>
        </w:tc>
        <w:tc>
          <w:tcPr>
            <w:tcW w:w="667" w:type="dxa"/>
            <w:noWrap/>
          </w:tcPr>
          <w:p w14:paraId="1AB70C70" w14:textId="77777777" w:rsidR="0086415A" w:rsidRPr="000973F2" w:rsidRDefault="0086415A" w:rsidP="005872F5">
            <w:pPr>
              <w:keepNext/>
              <w:tabs>
                <w:tab w:val="decimal" w:pos="331"/>
              </w:tabs>
              <w:spacing w:before="40" w:after="4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$0</w:t>
            </w:r>
          </w:p>
        </w:tc>
        <w:tc>
          <w:tcPr>
            <w:tcW w:w="848" w:type="dxa"/>
            <w:noWrap/>
          </w:tcPr>
          <w:p w14:paraId="7B64F60E" w14:textId="77777777" w:rsidR="0086415A" w:rsidRPr="000973F2" w:rsidRDefault="0086415A" w:rsidP="005872F5">
            <w:pPr>
              <w:keepNext/>
              <w:tabs>
                <w:tab w:val="decimal" w:pos="481"/>
              </w:tabs>
              <w:spacing w:before="40" w:after="4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$560</w:t>
            </w:r>
          </w:p>
        </w:tc>
      </w:tr>
      <w:tr w:rsidR="0086415A" w:rsidRPr="000973F2" w14:paraId="7B2CE272" w14:textId="77777777" w:rsidTr="00B926DD">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1335" w:type="dxa"/>
          </w:tcPr>
          <w:p w14:paraId="24AE524D" w14:textId="77777777" w:rsidR="0086415A" w:rsidRPr="000973F2" w:rsidRDefault="0086415A" w:rsidP="005872F5">
            <w:pPr>
              <w:keepNext/>
              <w:spacing w:before="40" w:after="4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QA/QC</w:t>
            </w:r>
          </w:p>
        </w:tc>
        <w:tc>
          <w:tcPr>
            <w:tcW w:w="810" w:type="dxa"/>
            <w:noWrap/>
          </w:tcPr>
          <w:p w14:paraId="4E982545" w14:textId="77777777" w:rsidR="0086415A" w:rsidRPr="000973F2" w:rsidRDefault="0086415A" w:rsidP="005872F5">
            <w:pPr>
              <w:keepNext/>
              <w:tabs>
                <w:tab w:val="decimal" w:pos="331"/>
              </w:tabs>
              <w:spacing w:before="40" w:after="4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0</w:t>
            </w:r>
          </w:p>
        </w:tc>
        <w:tc>
          <w:tcPr>
            <w:tcW w:w="810" w:type="dxa"/>
            <w:noWrap/>
          </w:tcPr>
          <w:p w14:paraId="3DDAA4FA" w14:textId="77777777" w:rsidR="0086415A" w:rsidRPr="000973F2" w:rsidRDefault="0086415A" w:rsidP="005872F5">
            <w:pPr>
              <w:keepNext/>
              <w:tabs>
                <w:tab w:val="decimal" w:pos="331"/>
              </w:tabs>
              <w:spacing w:before="40" w:after="4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0</w:t>
            </w:r>
          </w:p>
        </w:tc>
        <w:tc>
          <w:tcPr>
            <w:tcW w:w="810" w:type="dxa"/>
            <w:noWrap/>
          </w:tcPr>
          <w:p w14:paraId="07F7EDA8" w14:textId="77777777" w:rsidR="0086415A" w:rsidRPr="000973F2" w:rsidRDefault="0086415A" w:rsidP="005872F5">
            <w:pPr>
              <w:keepNext/>
              <w:tabs>
                <w:tab w:val="decimal" w:pos="331"/>
              </w:tabs>
              <w:spacing w:before="40" w:after="4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0</w:t>
            </w:r>
          </w:p>
        </w:tc>
        <w:tc>
          <w:tcPr>
            <w:tcW w:w="810" w:type="dxa"/>
            <w:noWrap/>
          </w:tcPr>
          <w:p w14:paraId="4D64E98C" w14:textId="77777777" w:rsidR="0086415A" w:rsidRPr="000973F2" w:rsidRDefault="0086415A" w:rsidP="005872F5">
            <w:pPr>
              <w:keepNext/>
              <w:tabs>
                <w:tab w:val="decimal" w:pos="331"/>
              </w:tabs>
              <w:spacing w:before="40" w:after="4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0.4</w:t>
            </w:r>
          </w:p>
        </w:tc>
        <w:tc>
          <w:tcPr>
            <w:tcW w:w="810" w:type="dxa"/>
            <w:noWrap/>
          </w:tcPr>
          <w:p w14:paraId="33607D72" w14:textId="77777777" w:rsidR="0086415A" w:rsidRPr="000973F2" w:rsidRDefault="0086415A" w:rsidP="005872F5">
            <w:pPr>
              <w:keepNext/>
              <w:tabs>
                <w:tab w:val="decimal" w:pos="331"/>
              </w:tabs>
              <w:spacing w:before="40" w:after="4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0</w:t>
            </w:r>
          </w:p>
        </w:tc>
        <w:tc>
          <w:tcPr>
            <w:tcW w:w="810" w:type="dxa"/>
            <w:noWrap/>
          </w:tcPr>
          <w:p w14:paraId="17B9533C" w14:textId="77777777" w:rsidR="0086415A" w:rsidRPr="000973F2" w:rsidRDefault="0086415A" w:rsidP="005872F5">
            <w:pPr>
              <w:keepNext/>
              <w:tabs>
                <w:tab w:val="decimal" w:pos="331"/>
              </w:tabs>
              <w:spacing w:before="40" w:after="4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4</w:t>
            </w:r>
          </w:p>
        </w:tc>
        <w:tc>
          <w:tcPr>
            <w:tcW w:w="810" w:type="dxa"/>
            <w:noWrap/>
          </w:tcPr>
          <w:p w14:paraId="3BBAEFF3" w14:textId="77777777" w:rsidR="0086415A" w:rsidRPr="000973F2" w:rsidRDefault="0086415A" w:rsidP="005872F5">
            <w:pPr>
              <w:keepNext/>
              <w:tabs>
                <w:tab w:val="decimal" w:pos="331"/>
              </w:tabs>
              <w:spacing w:before="40" w:after="4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0</w:t>
            </w:r>
          </w:p>
        </w:tc>
        <w:tc>
          <w:tcPr>
            <w:tcW w:w="810" w:type="dxa"/>
            <w:noWrap/>
          </w:tcPr>
          <w:p w14:paraId="0D941E3D" w14:textId="77777777" w:rsidR="0086415A" w:rsidRPr="000973F2" w:rsidRDefault="0086415A" w:rsidP="005872F5">
            <w:pPr>
              <w:keepNext/>
              <w:tabs>
                <w:tab w:val="decimal" w:pos="331"/>
              </w:tabs>
              <w:spacing w:before="40" w:after="4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0.4</w:t>
            </w:r>
          </w:p>
        </w:tc>
        <w:tc>
          <w:tcPr>
            <w:tcW w:w="667" w:type="dxa"/>
            <w:noWrap/>
          </w:tcPr>
          <w:p w14:paraId="0658BF4A" w14:textId="77777777" w:rsidR="0086415A" w:rsidRPr="000973F2" w:rsidRDefault="0086415A" w:rsidP="005872F5">
            <w:pPr>
              <w:keepNext/>
              <w:tabs>
                <w:tab w:val="decimal" w:pos="331"/>
              </w:tabs>
              <w:spacing w:before="40" w:after="4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$0</w:t>
            </w:r>
          </w:p>
        </w:tc>
        <w:tc>
          <w:tcPr>
            <w:tcW w:w="848" w:type="dxa"/>
            <w:noWrap/>
          </w:tcPr>
          <w:p w14:paraId="15AF250B" w14:textId="77777777" w:rsidR="0086415A" w:rsidRPr="000973F2" w:rsidRDefault="0086415A" w:rsidP="005872F5">
            <w:pPr>
              <w:keepNext/>
              <w:tabs>
                <w:tab w:val="decimal" w:pos="481"/>
              </w:tabs>
              <w:spacing w:before="40" w:after="4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$335</w:t>
            </w:r>
          </w:p>
        </w:tc>
      </w:tr>
      <w:tr w:rsidR="0086415A" w:rsidRPr="000973F2" w14:paraId="0638B5ED" w14:textId="77777777" w:rsidTr="00B926DD">
        <w:trPr>
          <w:cantSplit/>
        </w:trPr>
        <w:tc>
          <w:tcPr>
            <w:cnfStyle w:val="001000000000" w:firstRow="0" w:lastRow="0" w:firstColumn="1" w:lastColumn="0" w:oddVBand="0" w:evenVBand="0" w:oddHBand="0" w:evenHBand="0" w:firstRowFirstColumn="0" w:firstRowLastColumn="0" w:lastRowFirstColumn="0" w:lastRowLastColumn="0"/>
            <w:tcW w:w="1335" w:type="dxa"/>
          </w:tcPr>
          <w:p w14:paraId="03F82C40" w14:textId="77777777" w:rsidR="0086415A" w:rsidRPr="000973F2" w:rsidRDefault="0086415A" w:rsidP="005872F5">
            <w:pPr>
              <w:keepNext/>
              <w:spacing w:before="40" w:after="4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Recordkeeping</w:t>
            </w:r>
          </w:p>
        </w:tc>
        <w:tc>
          <w:tcPr>
            <w:tcW w:w="810" w:type="dxa"/>
            <w:noWrap/>
          </w:tcPr>
          <w:p w14:paraId="62C6380A" w14:textId="77777777" w:rsidR="0086415A" w:rsidRPr="000973F2" w:rsidRDefault="0086415A" w:rsidP="005872F5">
            <w:pPr>
              <w:keepNext/>
              <w:tabs>
                <w:tab w:val="decimal" w:pos="331"/>
              </w:tabs>
              <w:spacing w:before="40" w:after="4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0</w:t>
            </w:r>
          </w:p>
        </w:tc>
        <w:tc>
          <w:tcPr>
            <w:tcW w:w="810" w:type="dxa"/>
            <w:noWrap/>
          </w:tcPr>
          <w:p w14:paraId="6960B896" w14:textId="77777777" w:rsidR="0086415A" w:rsidRPr="000973F2" w:rsidRDefault="0086415A" w:rsidP="005872F5">
            <w:pPr>
              <w:keepNext/>
              <w:tabs>
                <w:tab w:val="decimal" w:pos="331"/>
              </w:tabs>
              <w:spacing w:before="40" w:after="4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0</w:t>
            </w:r>
          </w:p>
        </w:tc>
        <w:tc>
          <w:tcPr>
            <w:tcW w:w="810" w:type="dxa"/>
            <w:noWrap/>
          </w:tcPr>
          <w:p w14:paraId="3E965458" w14:textId="77777777" w:rsidR="0086415A" w:rsidRPr="000973F2" w:rsidRDefault="0086415A" w:rsidP="005872F5">
            <w:pPr>
              <w:keepNext/>
              <w:tabs>
                <w:tab w:val="decimal" w:pos="331"/>
              </w:tabs>
              <w:spacing w:before="40" w:after="4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0</w:t>
            </w:r>
          </w:p>
        </w:tc>
        <w:tc>
          <w:tcPr>
            <w:tcW w:w="810" w:type="dxa"/>
            <w:noWrap/>
          </w:tcPr>
          <w:p w14:paraId="282E857E" w14:textId="77777777" w:rsidR="0086415A" w:rsidRPr="000973F2" w:rsidRDefault="0086415A" w:rsidP="005872F5">
            <w:pPr>
              <w:keepNext/>
              <w:tabs>
                <w:tab w:val="decimal" w:pos="331"/>
              </w:tabs>
              <w:spacing w:before="40" w:after="4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0.5</w:t>
            </w:r>
          </w:p>
        </w:tc>
        <w:tc>
          <w:tcPr>
            <w:tcW w:w="810" w:type="dxa"/>
            <w:noWrap/>
          </w:tcPr>
          <w:p w14:paraId="1BC3FE3B" w14:textId="77777777" w:rsidR="0086415A" w:rsidRPr="000973F2" w:rsidRDefault="0086415A" w:rsidP="005872F5">
            <w:pPr>
              <w:keepNext/>
              <w:tabs>
                <w:tab w:val="decimal" w:pos="331"/>
              </w:tabs>
              <w:spacing w:before="40" w:after="4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0</w:t>
            </w:r>
          </w:p>
        </w:tc>
        <w:tc>
          <w:tcPr>
            <w:tcW w:w="810" w:type="dxa"/>
            <w:noWrap/>
          </w:tcPr>
          <w:p w14:paraId="48FCCD8A" w14:textId="77777777" w:rsidR="0086415A" w:rsidRPr="000973F2" w:rsidRDefault="0086415A" w:rsidP="005872F5">
            <w:pPr>
              <w:keepNext/>
              <w:tabs>
                <w:tab w:val="decimal" w:pos="331"/>
              </w:tabs>
              <w:spacing w:before="40" w:after="4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5</w:t>
            </w:r>
          </w:p>
        </w:tc>
        <w:tc>
          <w:tcPr>
            <w:tcW w:w="810" w:type="dxa"/>
            <w:noWrap/>
          </w:tcPr>
          <w:p w14:paraId="2565F223" w14:textId="77777777" w:rsidR="0086415A" w:rsidRPr="000973F2" w:rsidRDefault="0086415A" w:rsidP="005872F5">
            <w:pPr>
              <w:keepNext/>
              <w:tabs>
                <w:tab w:val="decimal" w:pos="331"/>
              </w:tabs>
              <w:spacing w:before="40" w:after="4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0</w:t>
            </w:r>
          </w:p>
        </w:tc>
        <w:tc>
          <w:tcPr>
            <w:tcW w:w="810" w:type="dxa"/>
            <w:noWrap/>
          </w:tcPr>
          <w:p w14:paraId="5306FBBC" w14:textId="77777777" w:rsidR="0086415A" w:rsidRPr="000973F2" w:rsidRDefault="0086415A" w:rsidP="005872F5">
            <w:pPr>
              <w:keepNext/>
              <w:tabs>
                <w:tab w:val="decimal" w:pos="331"/>
              </w:tabs>
              <w:spacing w:before="40" w:after="4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0.5</w:t>
            </w:r>
          </w:p>
        </w:tc>
        <w:tc>
          <w:tcPr>
            <w:tcW w:w="667" w:type="dxa"/>
            <w:noWrap/>
          </w:tcPr>
          <w:p w14:paraId="4DF43F07" w14:textId="77777777" w:rsidR="0086415A" w:rsidRPr="000973F2" w:rsidRDefault="0086415A" w:rsidP="005872F5">
            <w:pPr>
              <w:keepNext/>
              <w:tabs>
                <w:tab w:val="decimal" w:pos="331"/>
              </w:tabs>
              <w:spacing w:before="40" w:after="4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$0</w:t>
            </w:r>
          </w:p>
        </w:tc>
        <w:tc>
          <w:tcPr>
            <w:tcW w:w="848" w:type="dxa"/>
            <w:noWrap/>
          </w:tcPr>
          <w:p w14:paraId="2E22C051" w14:textId="77777777" w:rsidR="0086415A" w:rsidRPr="000973F2" w:rsidRDefault="0086415A" w:rsidP="005872F5">
            <w:pPr>
              <w:keepNext/>
              <w:tabs>
                <w:tab w:val="decimal" w:pos="481"/>
              </w:tabs>
              <w:spacing w:before="40" w:after="4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$419</w:t>
            </w:r>
          </w:p>
        </w:tc>
      </w:tr>
      <w:tr w:rsidR="0086415A" w:rsidRPr="000973F2" w14:paraId="3D38F8C5" w14:textId="77777777" w:rsidTr="00B926DD">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1335" w:type="dxa"/>
          </w:tcPr>
          <w:p w14:paraId="48A7F80C" w14:textId="77777777" w:rsidR="0086415A" w:rsidRPr="000973F2" w:rsidRDefault="0086415A" w:rsidP="005872F5">
            <w:pPr>
              <w:keepNext/>
              <w:spacing w:before="40" w:after="4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Sampling and Analysis (Calculations)</w:t>
            </w:r>
          </w:p>
        </w:tc>
        <w:tc>
          <w:tcPr>
            <w:tcW w:w="810" w:type="dxa"/>
            <w:noWrap/>
          </w:tcPr>
          <w:p w14:paraId="6EE3D1FA" w14:textId="77777777" w:rsidR="0086415A" w:rsidRPr="000973F2" w:rsidRDefault="0086415A" w:rsidP="005872F5">
            <w:pPr>
              <w:keepNext/>
              <w:tabs>
                <w:tab w:val="decimal" w:pos="331"/>
              </w:tabs>
              <w:spacing w:before="40" w:after="4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0</w:t>
            </w:r>
          </w:p>
        </w:tc>
        <w:tc>
          <w:tcPr>
            <w:tcW w:w="810" w:type="dxa"/>
            <w:noWrap/>
          </w:tcPr>
          <w:p w14:paraId="34FB5A0F" w14:textId="77777777" w:rsidR="0086415A" w:rsidRPr="000973F2" w:rsidRDefault="0086415A" w:rsidP="005872F5">
            <w:pPr>
              <w:keepNext/>
              <w:tabs>
                <w:tab w:val="decimal" w:pos="331"/>
              </w:tabs>
              <w:spacing w:before="40" w:after="4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0</w:t>
            </w:r>
          </w:p>
        </w:tc>
        <w:tc>
          <w:tcPr>
            <w:tcW w:w="810" w:type="dxa"/>
            <w:noWrap/>
          </w:tcPr>
          <w:p w14:paraId="29BABD34" w14:textId="77777777" w:rsidR="0086415A" w:rsidRPr="000973F2" w:rsidRDefault="0086415A" w:rsidP="005872F5">
            <w:pPr>
              <w:keepNext/>
              <w:tabs>
                <w:tab w:val="decimal" w:pos="331"/>
              </w:tabs>
              <w:spacing w:before="40" w:after="4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0</w:t>
            </w:r>
          </w:p>
        </w:tc>
        <w:tc>
          <w:tcPr>
            <w:tcW w:w="810" w:type="dxa"/>
            <w:noWrap/>
          </w:tcPr>
          <w:p w14:paraId="7BF93FDD" w14:textId="77777777" w:rsidR="0086415A" w:rsidRPr="000973F2" w:rsidRDefault="0086415A" w:rsidP="005872F5">
            <w:pPr>
              <w:keepNext/>
              <w:tabs>
                <w:tab w:val="decimal" w:pos="331"/>
              </w:tabs>
              <w:spacing w:before="40" w:after="4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0.8</w:t>
            </w:r>
          </w:p>
        </w:tc>
        <w:tc>
          <w:tcPr>
            <w:tcW w:w="810" w:type="dxa"/>
            <w:noWrap/>
          </w:tcPr>
          <w:p w14:paraId="24140888" w14:textId="77777777" w:rsidR="0086415A" w:rsidRPr="000973F2" w:rsidRDefault="0086415A" w:rsidP="005872F5">
            <w:pPr>
              <w:keepNext/>
              <w:tabs>
                <w:tab w:val="decimal" w:pos="331"/>
              </w:tabs>
              <w:spacing w:before="40" w:after="4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0</w:t>
            </w:r>
          </w:p>
        </w:tc>
        <w:tc>
          <w:tcPr>
            <w:tcW w:w="810" w:type="dxa"/>
            <w:noWrap/>
          </w:tcPr>
          <w:p w14:paraId="2F981E00" w14:textId="77777777" w:rsidR="0086415A" w:rsidRPr="000973F2" w:rsidRDefault="0086415A" w:rsidP="005872F5">
            <w:pPr>
              <w:keepNext/>
              <w:tabs>
                <w:tab w:val="decimal" w:pos="331"/>
              </w:tabs>
              <w:spacing w:before="40" w:after="4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8.3</w:t>
            </w:r>
          </w:p>
        </w:tc>
        <w:tc>
          <w:tcPr>
            <w:tcW w:w="810" w:type="dxa"/>
            <w:noWrap/>
          </w:tcPr>
          <w:p w14:paraId="79C3C29C" w14:textId="77777777" w:rsidR="0086415A" w:rsidRPr="000973F2" w:rsidRDefault="0086415A" w:rsidP="005872F5">
            <w:pPr>
              <w:keepNext/>
              <w:tabs>
                <w:tab w:val="decimal" w:pos="331"/>
              </w:tabs>
              <w:spacing w:before="40" w:after="4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0</w:t>
            </w:r>
          </w:p>
        </w:tc>
        <w:tc>
          <w:tcPr>
            <w:tcW w:w="810" w:type="dxa"/>
            <w:noWrap/>
          </w:tcPr>
          <w:p w14:paraId="660DC7FE" w14:textId="77777777" w:rsidR="0086415A" w:rsidRPr="000973F2" w:rsidRDefault="0086415A" w:rsidP="005872F5">
            <w:pPr>
              <w:keepNext/>
              <w:tabs>
                <w:tab w:val="decimal" w:pos="331"/>
              </w:tabs>
              <w:spacing w:before="40" w:after="4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0.8</w:t>
            </w:r>
          </w:p>
        </w:tc>
        <w:tc>
          <w:tcPr>
            <w:tcW w:w="667" w:type="dxa"/>
            <w:noWrap/>
          </w:tcPr>
          <w:p w14:paraId="39BE35B6" w14:textId="77777777" w:rsidR="0086415A" w:rsidRPr="000973F2" w:rsidRDefault="0086415A" w:rsidP="005872F5">
            <w:pPr>
              <w:keepNext/>
              <w:tabs>
                <w:tab w:val="decimal" w:pos="331"/>
              </w:tabs>
              <w:spacing w:before="40" w:after="4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$0</w:t>
            </w:r>
          </w:p>
        </w:tc>
        <w:tc>
          <w:tcPr>
            <w:tcW w:w="848" w:type="dxa"/>
            <w:noWrap/>
          </w:tcPr>
          <w:p w14:paraId="511F6A2C" w14:textId="77777777" w:rsidR="0086415A" w:rsidRPr="000973F2" w:rsidRDefault="0086415A" w:rsidP="005872F5">
            <w:pPr>
              <w:keepNext/>
              <w:tabs>
                <w:tab w:val="decimal" w:pos="481"/>
              </w:tabs>
              <w:spacing w:before="40" w:after="4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$692</w:t>
            </w:r>
          </w:p>
        </w:tc>
      </w:tr>
      <w:tr w:rsidR="00AD5834" w:rsidRPr="000973F2" w14:paraId="2E4FD17E" w14:textId="77777777" w:rsidTr="00B926DD">
        <w:trPr>
          <w:cantSplit/>
        </w:trPr>
        <w:tc>
          <w:tcPr>
            <w:cnfStyle w:val="001000000000" w:firstRow="0" w:lastRow="0" w:firstColumn="1" w:lastColumn="0" w:oddVBand="0" w:evenVBand="0" w:oddHBand="0" w:evenHBand="0" w:firstRowFirstColumn="0" w:firstRowLastColumn="0" w:lastRowFirstColumn="0" w:lastRowLastColumn="0"/>
            <w:tcW w:w="1335" w:type="dxa"/>
          </w:tcPr>
          <w:p w14:paraId="4DAC6ECA" w14:textId="77777777" w:rsidR="0086415A" w:rsidRPr="000973F2" w:rsidRDefault="0086415A" w:rsidP="005872F5">
            <w:pPr>
              <w:keepNext/>
              <w:spacing w:before="40" w:after="4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Reporting</w:t>
            </w:r>
          </w:p>
        </w:tc>
        <w:tc>
          <w:tcPr>
            <w:tcW w:w="810" w:type="dxa"/>
            <w:noWrap/>
          </w:tcPr>
          <w:p w14:paraId="6B231153" w14:textId="77777777" w:rsidR="0086415A" w:rsidRPr="000973F2" w:rsidRDefault="0086415A" w:rsidP="005872F5">
            <w:pPr>
              <w:keepNext/>
              <w:tabs>
                <w:tab w:val="decimal" w:pos="331"/>
              </w:tabs>
              <w:spacing w:before="40" w:after="4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0</w:t>
            </w:r>
          </w:p>
        </w:tc>
        <w:tc>
          <w:tcPr>
            <w:tcW w:w="810" w:type="dxa"/>
            <w:noWrap/>
          </w:tcPr>
          <w:p w14:paraId="3B5C841B" w14:textId="77777777" w:rsidR="0086415A" w:rsidRPr="000973F2" w:rsidRDefault="0086415A" w:rsidP="005872F5">
            <w:pPr>
              <w:keepNext/>
              <w:tabs>
                <w:tab w:val="decimal" w:pos="331"/>
              </w:tabs>
              <w:spacing w:before="40" w:after="4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0</w:t>
            </w:r>
          </w:p>
        </w:tc>
        <w:tc>
          <w:tcPr>
            <w:tcW w:w="810" w:type="dxa"/>
            <w:noWrap/>
          </w:tcPr>
          <w:p w14:paraId="6744C976" w14:textId="77777777" w:rsidR="0086415A" w:rsidRPr="000973F2" w:rsidRDefault="0086415A" w:rsidP="005872F5">
            <w:pPr>
              <w:keepNext/>
              <w:tabs>
                <w:tab w:val="decimal" w:pos="331"/>
              </w:tabs>
              <w:spacing w:before="40" w:after="4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0</w:t>
            </w:r>
          </w:p>
        </w:tc>
        <w:tc>
          <w:tcPr>
            <w:tcW w:w="810" w:type="dxa"/>
            <w:noWrap/>
          </w:tcPr>
          <w:p w14:paraId="54F1A2E9" w14:textId="77777777" w:rsidR="0086415A" w:rsidRPr="000973F2" w:rsidRDefault="0086415A" w:rsidP="005872F5">
            <w:pPr>
              <w:keepNext/>
              <w:tabs>
                <w:tab w:val="decimal" w:pos="331"/>
              </w:tabs>
              <w:spacing w:before="40" w:after="4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1</w:t>
            </w:r>
          </w:p>
        </w:tc>
        <w:tc>
          <w:tcPr>
            <w:tcW w:w="810" w:type="dxa"/>
            <w:noWrap/>
          </w:tcPr>
          <w:p w14:paraId="5503A5D3" w14:textId="77777777" w:rsidR="0086415A" w:rsidRPr="000973F2" w:rsidRDefault="0086415A" w:rsidP="005872F5">
            <w:pPr>
              <w:keepNext/>
              <w:tabs>
                <w:tab w:val="decimal" w:pos="331"/>
              </w:tabs>
              <w:spacing w:before="40" w:after="4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0</w:t>
            </w:r>
          </w:p>
        </w:tc>
        <w:tc>
          <w:tcPr>
            <w:tcW w:w="810" w:type="dxa"/>
            <w:noWrap/>
          </w:tcPr>
          <w:p w14:paraId="07FD800C" w14:textId="77777777" w:rsidR="0086415A" w:rsidRPr="000973F2" w:rsidRDefault="0086415A" w:rsidP="005872F5">
            <w:pPr>
              <w:keepNext/>
              <w:tabs>
                <w:tab w:val="decimal" w:pos="331"/>
              </w:tabs>
              <w:spacing w:before="40" w:after="4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10</w:t>
            </w:r>
          </w:p>
        </w:tc>
        <w:tc>
          <w:tcPr>
            <w:tcW w:w="810" w:type="dxa"/>
            <w:noWrap/>
          </w:tcPr>
          <w:p w14:paraId="23261185" w14:textId="77777777" w:rsidR="0086415A" w:rsidRPr="000973F2" w:rsidRDefault="0086415A" w:rsidP="005872F5">
            <w:pPr>
              <w:keepNext/>
              <w:tabs>
                <w:tab w:val="decimal" w:pos="331"/>
              </w:tabs>
              <w:spacing w:before="40" w:after="4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0</w:t>
            </w:r>
          </w:p>
        </w:tc>
        <w:tc>
          <w:tcPr>
            <w:tcW w:w="810" w:type="dxa"/>
            <w:noWrap/>
          </w:tcPr>
          <w:p w14:paraId="067AE7E6" w14:textId="77777777" w:rsidR="0086415A" w:rsidRPr="000973F2" w:rsidRDefault="0086415A" w:rsidP="005872F5">
            <w:pPr>
              <w:keepNext/>
              <w:tabs>
                <w:tab w:val="decimal" w:pos="331"/>
              </w:tabs>
              <w:spacing w:before="40" w:after="4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1</w:t>
            </w:r>
          </w:p>
        </w:tc>
        <w:tc>
          <w:tcPr>
            <w:tcW w:w="667" w:type="dxa"/>
            <w:noWrap/>
          </w:tcPr>
          <w:p w14:paraId="341F0818" w14:textId="77777777" w:rsidR="0086415A" w:rsidRPr="000973F2" w:rsidRDefault="0086415A" w:rsidP="005872F5">
            <w:pPr>
              <w:keepNext/>
              <w:tabs>
                <w:tab w:val="decimal" w:pos="331"/>
              </w:tabs>
              <w:spacing w:before="40" w:after="4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$0</w:t>
            </w:r>
          </w:p>
        </w:tc>
        <w:tc>
          <w:tcPr>
            <w:tcW w:w="848" w:type="dxa"/>
            <w:noWrap/>
          </w:tcPr>
          <w:p w14:paraId="25865AA2" w14:textId="77777777" w:rsidR="0086415A" w:rsidRPr="000973F2" w:rsidRDefault="0086415A" w:rsidP="005872F5">
            <w:pPr>
              <w:keepNext/>
              <w:tabs>
                <w:tab w:val="decimal" w:pos="481"/>
              </w:tabs>
              <w:spacing w:before="40" w:after="4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$838</w:t>
            </w:r>
          </w:p>
        </w:tc>
      </w:tr>
      <w:tr w:rsidR="0086415A" w:rsidRPr="000973F2" w14:paraId="2885AB99" w14:textId="77777777" w:rsidTr="00B926DD">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1335" w:type="dxa"/>
            <w:noWrap/>
          </w:tcPr>
          <w:p w14:paraId="4724A40B" w14:textId="77777777" w:rsidR="0086415A" w:rsidRPr="000973F2" w:rsidRDefault="0086415A" w:rsidP="005872F5">
            <w:pPr>
              <w:keepNext/>
              <w:spacing w:before="40" w:after="40"/>
              <w:rPr>
                <w:rFonts w:ascii="Times New Roman" w:eastAsia="Times New Roman" w:hAnsi="Times New Roman" w:cs="Times New Roman"/>
                <w:b/>
                <w:bCs w:val="0"/>
                <w:sz w:val="18"/>
                <w:szCs w:val="18"/>
              </w:rPr>
            </w:pPr>
            <w:r w:rsidRPr="000973F2">
              <w:rPr>
                <w:rFonts w:ascii="Times New Roman" w:eastAsia="Times New Roman" w:hAnsi="Times New Roman" w:cs="Times New Roman"/>
                <w:b/>
                <w:sz w:val="18"/>
                <w:szCs w:val="18"/>
              </w:rPr>
              <w:t>Total</w:t>
            </w:r>
          </w:p>
        </w:tc>
        <w:tc>
          <w:tcPr>
            <w:tcW w:w="810" w:type="dxa"/>
            <w:noWrap/>
          </w:tcPr>
          <w:p w14:paraId="63B60898" w14:textId="77777777" w:rsidR="0086415A" w:rsidRPr="000973F2" w:rsidRDefault="0086415A" w:rsidP="005872F5">
            <w:pPr>
              <w:keepNext/>
              <w:tabs>
                <w:tab w:val="decimal" w:pos="331"/>
              </w:tabs>
              <w:spacing w:before="40" w:after="4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18"/>
                <w:szCs w:val="18"/>
              </w:rPr>
            </w:pPr>
            <w:r w:rsidRPr="000973F2">
              <w:rPr>
                <w:rFonts w:ascii="Times New Roman" w:eastAsia="Times New Roman" w:hAnsi="Times New Roman" w:cs="Times New Roman"/>
                <w:b/>
                <w:bCs/>
                <w:sz w:val="18"/>
                <w:szCs w:val="18"/>
              </w:rPr>
              <w:t>0</w:t>
            </w:r>
          </w:p>
        </w:tc>
        <w:tc>
          <w:tcPr>
            <w:tcW w:w="810" w:type="dxa"/>
            <w:noWrap/>
          </w:tcPr>
          <w:p w14:paraId="59749DD0" w14:textId="77777777" w:rsidR="0086415A" w:rsidRPr="000973F2" w:rsidRDefault="0086415A" w:rsidP="005872F5">
            <w:pPr>
              <w:keepNext/>
              <w:tabs>
                <w:tab w:val="decimal" w:pos="331"/>
              </w:tabs>
              <w:spacing w:before="40" w:after="4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18"/>
                <w:szCs w:val="18"/>
              </w:rPr>
            </w:pPr>
            <w:r w:rsidRPr="000973F2">
              <w:rPr>
                <w:rFonts w:ascii="Times New Roman" w:eastAsia="Times New Roman" w:hAnsi="Times New Roman" w:cs="Times New Roman"/>
                <w:b/>
                <w:bCs/>
                <w:sz w:val="18"/>
                <w:szCs w:val="18"/>
              </w:rPr>
              <w:t>2</w:t>
            </w:r>
          </w:p>
        </w:tc>
        <w:tc>
          <w:tcPr>
            <w:tcW w:w="810" w:type="dxa"/>
            <w:noWrap/>
          </w:tcPr>
          <w:p w14:paraId="69D7124C" w14:textId="77777777" w:rsidR="0086415A" w:rsidRPr="000973F2" w:rsidRDefault="0086415A" w:rsidP="005872F5">
            <w:pPr>
              <w:keepNext/>
              <w:tabs>
                <w:tab w:val="decimal" w:pos="331"/>
              </w:tabs>
              <w:spacing w:before="40" w:after="4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18"/>
                <w:szCs w:val="18"/>
              </w:rPr>
            </w:pPr>
            <w:r w:rsidRPr="000973F2">
              <w:rPr>
                <w:rFonts w:ascii="Times New Roman" w:eastAsia="Times New Roman" w:hAnsi="Times New Roman" w:cs="Times New Roman"/>
                <w:b/>
                <w:bCs/>
                <w:sz w:val="18"/>
                <w:szCs w:val="18"/>
              </w:rPr>
              <w:t>0</w:t>
            </w:r>
          </w:p>
        </w:tc>
        <w:tc>
          <w:tcPr>
            <w:tcW w:w="810" w:type="dxa"/>
            <w:noWrap/>
          </w:tcPr>
          <w:p w14:paraId="7AE5D05D" w14:textId="77777777" w:rsidR="0086415A" w:rsidRPr="000973F2" w:rsidRDefault="0086415A" w:rsidP="005872F5">
            <w:pPr>
              <w:keepNext/>
              <w:tabs>
                <w:tab w:val="decimal" w:pos="331"/>
              </w:tabs>
              <w:spacing w:before="40" w:after="4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18"/>
                <w:szCs w:val="18"/>
              </w:rPr>
            </w:pPr>
            <w:r w:rsidRPr="000973F2">
              <w:rPr>
                <w:rFonts w:ascii="Times New Roman" w:eastAsia="Times New Roman" w:hAnsi="Times New Roman" w:cs="Times New Roman"/>
                <w:b/>
                <w:bCs/>
                <w:sz w:val="18"/>
                <w:szCs w:val="18"/>
              </w:rPr>
              <w:t>3.1</w:t>
            </w:r>
          </w:p>
        </w:tc>
        <w:tc>
          <w:tcPr>
            <w:tcW w:w="810" w:type="dxa"/>
            <w:noWrap/>
          </w:tcPr>
          <w:p w14:paraId="5D77690F" w14:textId="77777777" w:rsidR="0086415A" w:rsidRPr="000973F2" w:rsidRDefault="0086415A" w:rsidP="005872F5">
            <w:pPr>
              <w:keepNext/>
              <w:tabs>
                <w:tab w:val="decimal" w:pos="331"/>
              </w:tabs>
              <w:spacing w:before="40" w:after="4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18"/>
                <w:szCs w:val="18"/>
              </w:rPr>
            </w:pPr>
            <w:r w:rsidRPr="000973F2">
              <w:rPr>
                <w:rFonts w:ascii="Times New Roman" w:eastAsia="Times New Roman" w:hAnsi="Times New Roman" w:cs="Times New Roman"/>
                <w:b/>
                <w:bCs/>
                <w:sz w:val="18"/>
                <w:szCs w:val="18"/>
              </w:rPr>
              <w:t>0</w:t>
            </w:r>
          </w:p>
        </w:tc>
        <w:tc>
          <w:tcPr>
            <w:tcW w:w="810" w:type="dxa"/>
            <w:noWrap/>
          </w:tcPr>
          <w:p w14:paraId="4906463B" w14:textId="77777777" w:rsidR="0086415A" w:rsidRPr="000973F2" w:rsidRDefault="0086415A" w:rsidP="005872F5">
            <w:pPr>
              <w:keepNext/>
              <w:tabs>
                <w:tab w:val="decimal" w:pos="331"/>
              </w:tabs>
              <w:spacing w:before="40" w:after="4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18"/>
                <w:szCs w:val="18"/>
              </w:rPr>
            </w:pPr>
            <w:r w:rsidRPr="000973F2">
              <w:rPr>
                <w:rFonts w:ascii="Times New Roman" w:eastAsia="Times New Roman" w:hAnsi="Times New Roman" w:cs="Times New Roman"/>
                <w:b/>
                <w:bCs/>
                <w:sz w:val="18"/>
                <w:szCs w:val="18"/>
              </w:rPr>
              <w:t>31.3</w:t>
            </w:r>
          </w:p>
        </w:tc>
        <w:tc>
          <w:tcPr>
            <w:tcW w:w="810" w:type="dxa"/>
            <w:noWrap/>
          </w:tcPr>
          <w:p w14:paraId="10C120D9" w14:textId="77777777" w:rsidR="0086415A" w:rsidRPr="000973F2" w:rsidRDefault="0086415A" w:rsidP="005872F5">
            <w:pPr>
              <w:keepNext/>
              <w:tabs>
                <w:tab w:val="decimal" w:pos="331"/>
              </w:tabs>
              <w:spacing w:before="40" w:after="4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18"/>
                <w:szCs w:val="18"/>
              </w:rPr>
            </w:pPr>
            <w:r w:rsidRPr="000973F2">
              <w:rPr>
                <w:rFonts w:ascii="Times New Roman" w:eastAsia="Times New Roman" w:hAnsi="Times New Roman" w:cs="Times New Roman"/>
                <w:b/>
                <w:bCs/>
                <w:sz w:val="18"/>
                <w:szCs w:val="18"/>
              </w:rPr>
              <w:t>0</w:t>
            </w:r>
          </w:p>
        </w:tc>
        <w:tc>
          <w:tcPr>
            <w:tcW w:w="810" w:type="dxa"/>
            <w:noWrap/>
          </w:tcPr>
          <w:p w14:paraId="5C15EF62" w14:textId="77777777" w:rsidR="0086415A" w:rsidRPr="000973F2" w:rsidRDefault="0086415A" w:rsidP="005872F5">
            <w:pPr>
              <w:keepNext/>
              <w:tabs>
                <w:tab w:val="decimal" w:pos="331"/>
              </w:tabs>
              <w:spacing w:before="40" w:after="4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18"/>
                <w:szCs w:val="18"/>
              </w:rPr>
            </w:pPr>
            <w:r w:rsidRPr="000973F2">
              <w:rPr>
                <w:rFonts w:ascii="Times New Roman" w:eastAsia="Times New Roman" w:hAnsi="Times New Roman" w:cs="Times New Roman"/>
                <w:b/>
                <w:bCs/>
                <w:sz w:val="18"/>
                <w:szCs w:val="18"/>
              </w:rPr>
              <w:t>3.1</w:t>
            </w:r>
          </w:p>
        </w:tc>
        <w:tc>
          <w:tcPr>
            <w:tcW w:w="667" w:type="dxa"/>
            <w:noWrap/>
          </w:tcPr>
          <w:p w14:paraId="508D788A" w14:textId="77777777" w:rsidR="0086415A" w:rsidRPr="000973F2" w:rsidRDefault="0086415A" w:rsidP="005872F5">
            <w:pPr>
              <w:keepNext/>
              <w:tabs>
                <w:tab w:val="decimal" w:pos="331"/>
              </w:tabs>
              <w:spacing w:before="40" w:after="4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18"/>
                <w:szCs w:val="18"/>
              </w:rPr>
            </w:pPr>
            <w:r w:rsidRPr="000973F2">
              <w:rPr>
                <w:rFonts w:ascii="Times New Roman" w:eastAsia="Times New Roman" w:hAnsi="Times New Roman" w:cs="Times New Roman"/>
                <w:b/>
                <w:bCs/>
                <w:sz w:val="18"/>
                <w:szCs w:val="18"/>
              </w:rPr>
              <w:t>$0</w:t>
            </w:r>
          </w:p>
        </w:tc>
        <w:tc>
          <w:tcPr>
            <w:tcW w:w="848" w:type="dxa"/>
            <w:noWrap/>
          </w:tcPr>
          <w:p w14:paraId="5E561C39" w14:textId="77777777" w:rsidR="0086415A" w:rsidRPr="000973F2" w:rsidRDefault="0086415A" w:rsidP="005872F5">
            <w:pPr>
              <w:keepNext/>
              <w:tabs>
                <w:tab w:val="decimal" w:pos="481"/>
              </w:tabs>
              <w:spacing w:before="40" w:after="4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18"/>
                <w:szCs w:val="18"/>
              </w:rPr>
            </w:pPr>
            <w:r w:rsidRPr="000973F2">
              <w:rPr>
                <w:rFonts w:ascii="Times New Roman" w:eastAsia="Times New Roman" w:hAnsi="Times New Roman" w:cs="Times New Roman"/>
                <w:b/>
                <w:bCs/>
                <w:sz w:val="18"/>
                <w:szCs w:val="18"/>
              </w:rPr>
              <w:t>$2,844</w:t>
            </w:r>
          </w:p>
        </w:tc>
      </w:tr>
    </w:tbl>
    <w:p w14:paraId="2B14CDD9" w14:textId="6E899067" w:rsidR="0086415A" w:rsidRPr="000973F2" w:rsidRDefault="0086415A" w:rsidP="00C00E4F">
      <w:pPr>
        <w:spacing w:line="240" w:lineRule="auto"/>
        <w:rPr>
          <w:rFonts w:ascii="Times New Roman" w:hAnsi="Times New Roman" w:cs="Times New Roman"/>
          <w:sz w:val="16"/>
          <w:szCs w:val="16"/>
        </w:rPr>
      </w:pPr>
    </w:p>
    <w:p w14:paraId="5829B953" w14:textId="0671F0B5" w:rsidR="0086415A" w:rsidRPr="000973F2" w:rsidRDefault="00D826A6" w:rsidP="005872F5">
      <w:pPr>
        <w:pStyle w:val="Tabletitle"/>
        <w:rPr>
          <w:sz w:val="16"/>
        </w:rPr>
      </w:pPr>
      <w:r w:rsidRPr="000973F2">
        <w:t xml:space="preserve">Table </w:t>
      </w:r>
      <w:r w:rsidR="005872F5" w:rsidRPr="000973F2">
        <w:t>Y-</w:t>
      </w:r>
      <w:r w:rsidRPr="000973F2">
        <w:t>2f. Labor Costs</w:t>
      </w:r>
      <w:r w:rsidR="00EE78FC" w:rsidRPr="000973F2">
        <w:t xml:space="preserve"> </w:t>
      </w:r>
      <w:r w:rsidR="00B960CC" w:rsidRPr="000973F2">
        <w:t>–</w:t>
      </w:r>
      <w:r w:rsidRPr="000973F2">
        <w:t xml:space="preserve"> Subpart Y – Very Small Upgrading Refinery</w:t>
      </w:r>
    </w:p>
    <w:tbl>
      <w:tblPr>
        <w:tblStyle w:val="PlainTable1"/>
        <w:tblW w:w="5000" w:type="pct"/>
        <w:jc w:val="left"/>
        <w:tblLayout w:type="fixed"/>
        <w:tblLook w:val="04A0" w:firstRow="1" w:lastRow="0" w:firstColumn="1" w:lastColumn="0" w:noHBand="0" w:noVBand="1"/>
      </w:tblPr>
      <w:tblGrid>
        <w:gridCol w:w="1371"/>
        <w:gridCol w:w="832"/>
        <w:gridCol w:w="832"/>
        <w:gridCol w:w="831"/>
        <w:gridCol w:w="831"/>
        <w:gridCol w:w="831"/>
        <w:gridCol w:w="831"/>
        <w:gridCol w:w="831"/>
        <w:gridCol w:w="831"/>
        <w:gridCol w:w="701"/>
        <w:gridCol w:w="854"/>
      </w:tblGrid>
      <w:tr w:rsidR="0086415A" w:rsidRPr="000973F2" w14:paraId="2BACD97D" w14:textId="77777777" w:rsidTr="00B926DD">
        <w:trPr>
          <w:cnfStyle w:val="100000000000" w:firstRow="1" w:lastRow="0" w:firstColumn="0" w:lastColumn="0" w:oddVBand="0" w:evenVBand="0" w:oddHBand="0" w:evenHBand="0" w:firstRowFirstColumn="0" w:firstRowLastColumn="0" w:lastRowFirstColumn="0" w:lastRowLastColumn="0"/>
          <w:cantSplit/>
          <w:jc w:val="left"/>
        </w:trPr>
        <w:tc>
          <w:tcPr>
            <w:cnfStyle w:val="001000000000" w:firstRow="0" w:lastRow="0" w:firstColumn="1" w:lastColumn="0" w:oddVBand="0" w:evenVBand="0" w:oddHBand="0" w:evenHBand="0" w:firstRowFirstColumn="0" w:firstRowLastColumn="0" w:lastRowFirstColumn="0" w:lastRowLastColumn="0"/>
            <w:tcW w:w="1335" w:type="dxa"/>
            <w:vMerge w:val="restart"/>
            <w:noWrap/>
            <w:vAlign w:val="top"/>
          </w:tcPr>
          <w:p w14:paraId="5A85EFD6" w14:textId="77777777" w:rsidR="0086415A" w:rsidRPr="000973F2" w:rsidRDefault="0086415A" w:rsidP="005872F5">
            <w:pPr>
              <w:spacing w:before="40" w:after="40"/>
              <w:rPr>
                <w:rFonts w:ascii="Times New Roman" w:eastAsia="Times New Roman" w:hAnsi="Times New Roman" w:cs="Times New Roman"/>
                <w:bCs w:val="0"/>
                <w:sz w:val="18"/>
                <w:szCs w:val="18"/>
              </w:rPr>
            </w:pPr>
            <w:r w:rsidRPr="000973F2">
              <w:rPr>
                <w:rFonts w:ascii="Times New Roman" w:eastAsia="Times New Roman" w:hAnsi="Times New Roman" w:cs="Times New Roman"/>
                <w:bCs w:val="0"/>
                <w:sz w:val="18"/>
                <w:szCs w:val="18"/>
              </w:rPr>
              <w:t>Activity</w:t>
            </w:r>
          </w:p>
        </w:tc>
        <w:tc>
          <w:tcPr>
            <w:tcW w:w="6480" w:type="dxa"/>
            <w:gridSpan w:val="8"/>
            <w:noWrap/>
            <w:vAlign w:val="top"/>
          </w:tcPr>
          <w:p w14:paraId="5F4EDDAD" w14:textId="77777777" w:rsidR="0086415A" w:rsidRPr="000973F2" w:rsidRDefault="0086415A" w:rsidP="005872F5">
            <w:pPr>
              <w:spacing w:before="40" w:after="40"/>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Cs w:val="0"/>
                <w:sz w:val="18"/>
                <w:szCs w:val="18"/>
              </w:rPr>
            </w:pPr>
            <w:r w:rsidRPr="000973F2">
              <w:rPr>
                <w:rFonts w:ascii="Times New Roman" w:eastAsia="Times New Roman" w:hAnsi="Times New Roman" w:cs="Times New Roman"/>
                <w:bCs w:val="0"/>
                <w:sz w:val="18"/>
                <w:szCs w:val="18"/>
              </w:rPr>
              <w:t>Labor Rates (per hour)</w:t>
            </w:r>
          </w:p>
        </w:tc>
        <w:tc>
          <w:tcPr>
            <w:tcW w:w="1515" w:type="dxa"/>
            <w:gridSpan w:val="2"/>
            <w:vMerge w:val="restart"/>
            <w:vAlign w:val="top"/>
          </w:tcPr>
          <w:p w14:paraId="6F9B1621" w14:textId="77777777" w:rsidR="0086415A" w:rsidRPr="000973F2" w:rsidRDefault="0086415A" w:rsidP="005872F5">
            <w:pPr>
              <w:spacing w:before="40" w:after="40"/>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Cs w:val="0"/>
                <w:sz w:val="18"/>
                <w:szCs w:val="18"/>
              </w:rPr>
            </w:pPr>
            <w:r w:rsidRPr="000973F2">
              <w:rPr>
                <w:rFonts w:ascii="Times New Roman" w:eastAsia="Times New Roman" w:hAnsi="Times New Roman" w:cs="Times New Roman"/>
                <w:bCs w:val="0"/>
                <w:sz w:val="18"/>
                <w:szCs w:val="18"/>
              </w:rPr>
              <w:t>Total Labor Cost per Year per Facility (2017$)</w:t>
            </w:r>
          </w:p>
        </w:tc>
      </w:tr>
      <w:tr w:rsidR="0086415A" w:rsidRPr="000973F2" w14:paraId="6A7DA4ED" w14:textId="77777777" w:rsidTr="00B926DD">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1335" w:type="dxa"/>
            <w:vMerge/>
          </w:tcPr>
          <w:p w14:paraId="212060A9" w14:textId="77777777" w:rsidR="0086415A" w:rsidRPr="000973F2" w:rsidRDefault="0086415A" w:rsidP="005872F5">
            <w:pPr>
              <w:spacing w:before="40" w:after="40"/>
              <w:rPr>
                <w:rFonts w:ascii="Times New Roman" w:eastAsia="Times New Roman" w:hAnsi="Times New Roman" w:cs="Times New Roman"/>
                <w:b/>
                <w:bCs w:val="0"/>
                <w:sz w:val="18"/>
                <w:szCs w:val="18"/>
              </w:rPr>
            </w:pPr>
          </w:p>
        </w:tc>
        <w:tc>
          <w:tcPr>
            <w:tcW w:w="1620" w:type="dxa"/>
            <w:gridSpan w:val="2"/>
            <w:noWrap/>
          </w:tcPr>
          <w:p w14:paraId="7228FB79" w14:textId="77777777" w:rsidR="0086415A" w:rsidRPr="000973F2" w:rsidRDefault="0086415A" w:rsidP="005872F5">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18"/>
                <w:szCs w:val="18"/>
              </w:rPr>
            </w:pPr>
            <w:r w:rsidRPr="000973F2">
              <w:rPr>
                <w:rFonts w:ascii="Times New Roman" w:eastAsia="Times New Roman" w:hAnsi="Times New Roman" w:cs="Times New Roman"/>
                <w:b/>
                <w:bCs/>
                <w:sz w:val="18"/>
                <w:szCs w:val="18"/>
              </w:rPr>
              <w:t>Lawyer</w:t>
            </w:r>
          </w:p>
        </w:tc>
        <w:tc>
          <w:tcPr>
            <w:tcW w:w="1620" w:type="dxa"/>
            <w:gridSpan w:val="2"/>
            <w:noWrap/>
          </w:tcPr>
          <w:p w14:paraId="2944471F" w14:textId="77777777" w:rsidR="0086415A" w:rsidRPr="000973F2" w:rsidRDefault="0086415A" w:rsidP="005872F5">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18"/>
                <w:szCs w:val="18"/>
              </w:rPr>
            </w:pPr>
            <w:r w:rsidRPr="000973F2">
              <w:rPr>
                <w:rFonts w:ascii="Times New Roman" w:eastAsia="Times New Roman" w:hAnsi="Times New Roman" w:cs="Times New Roman"/>
                <w:b/>
                <w:bCs/>
                <w:sz w:val="18"/>
                <w:szCs w:val="18"/>
              </w:rPr>
              <w:t>Industrial Manager</w:t>
            </w:r>
          </w:p>
        </w:tc>
        <w:tc>
          <w:tcPr>
            <w:tcW w:w="1620" w:type="dxa"/>
            <w:gridSpan w:val="2"/>
          </w:tcPr>
          <w:p w14:paraId="3B6934F9" w14:textId="593014A2" w:rsidR="0086415A" w:rsidRPr="000973F2" w:rsidRDefault="0086415A" w:rsidP="005872F5">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18"/>
                <w:szCs w:val="18"/>
              </w:rPr>
            </w:pPr>
            <w:r w:rsidRPr="000973F2">
              <w:rPr>
                <w:rFonts w:ascii="Times New Roman" w:eastAsia="Times New Roman" w:hAnsi="Times New Roman" w:cs="Times New Roman"/>
                <w:b/>
                <w:bCs/>
                <w:sz w:val="18"/>
                <w:szCs w:val="18"/>
              </w:rPr>
              <w:t>Industrial Engineer/</w:t>
            </w:r>
            <w:r w:rsidR="005872F5" w:rsidRPr="000973F2">
              <w:rPr>
                <w:rFonts w:ascii="Times New Roman" w:eastAsia="Times New Roman" w:hAnsi="Times New Roman" w:cs="Times New Roman"/>
                <w:b/>
                <w:bCs/>
                <w:sz w:val="18"/>
                <w:szCs w:val="18"/>
              </w:rPr>
              <w:t xml:space="preserve"> </w:t>
            </w:r>
            <w:r w:rsidRPr="000973F2">
              <w:rPr>
                <w:rFonts w:ascii="Times New Roman" w:eastAsia="Times New Roman" w:hAnsi="Times New Roman" w:cs="Times New Roman"/>
                <w:b/>
                <w:bCs/>
                <w:sz w:val="18"/>
                <w:szCs w:val="18"/>
              </w:rPr>
              <w:t>Technician</w:t>
            </w:r>
          </w:p>
        </w:tc>
        <w:tc>
          <w:tcPr>
            <w:tcW w:w="1620" w:type="dxa"/>
            <w:gridSpan w:val="2"/>
          </w:tcPr>
          <w:p w14:paraId="4E21FD96" w14:textId="77777777" w:rsidR="0086415A" w:rsidRPr="000973F2" w:rsidRDefault="0086415A" w:rsidP="005872F5">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18"/>
                <w:szCs w:val="18"/>
              </w:rPr>
            </w:pPr>
            <w:r w:rsidRPr="000973F2">
              <w:rPr>
                <w:rFonts w:ascii="Times New Roman" w:eastAsia="Times New Roman" w:hAnsi="Times New Roman" w:cs="Times New Roman"/>
                <w:b/>
                <w:bCs/>
                <w:sz w:val="18"/>
                <w:szCs w:val="18"/>
              </w:rPr>
              <w:t>Administrative Support</w:t>
            </w:r>
          </w:p>
        </w:tc>
        <w:tc>
          <w:tcPr>
            <w:tcW w:w="1515" w:type="dxa"/>
            <w:gridSpan w:val="2"/>
            <w:vMerge/>
          </w:tcPr>
          <w:p w14:paraId="090A4820" w14:textId="77777777" w:rsidR="0086415A" w:rsidRPr="000973F2" w:rsidRDefault="0086415A" w:rsidP="005872F5">
            <w:pPr>
              <w:spacing w:before="40" w:after="4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18"/>
                <w:szCs w:val="18"/>
              </w:rPr>
            </w:pPr>
          </w:p>
        </w:tc>
      </w:tr>
      <w:tr w:rsidR="0086415A" w:rsidRPr="000973F2" w14:paraId="130951C6" w14:textId="77777777" w:rsidTr="00B926DD">
        <w:trPr>
          <w:cantSplit/>
        </w:trPr>
        <w:tc>
          <w:tcPr>
            <w:cnfStyle w:val="001000000000" w:firstRow="0" w:lastRow="0" w:firstColumn="1" w:lastColumn="0" w:oddVBand="0" w:evenVBand="0" w:oddHBand="0" w:evenHBand="0" w:firstRowFirstColumn="0" w:firstRowLastColumn="0" w:lastRowFirstColumn="0" w:lastRowLastColumn="0"/>
            <w:tcW w:w="1335" w:type="dxa"/>
            <w:vMerge/>
          </w:tcPr>
          <w:p w14:paraId="712D05DD" w14:textId="77777777" w:rsidR="0086415A" w:rsidRPr="000973F2" w:rsidRDefault="0086415A" w:rsidP="005872F5">
            <w:pPr>
              <w:spacing w:before="40" w:after="40"/>
              <w:rPr>
                <w:rFonts w:ascii="Times New Roman" w:eastAsia="Times New Roman" w:hAnsi="Times New Roman" w:cs="Times New Roman"/>
                <w:b/>
                <w:bCs w:val="0"/>
                <w:sz w:val="18"/>
                <w:szCs w:val="18"/>
              </w:rPr>
            </w:pPr>
          </w:p>
        </w:tc>
        <w:tc>
          <w:tcPr>
            <w:tcW w:w="1620" w:type="dxa"/>
            <w:gridSpan w:val="2"/>
            <w:noWrap/>
          </w:tcPr>
          <w:p w14:paraId="6746F375" w14:textId="77777777" w:rsidR="0086415A" w:rsidRPr="000973F2" w:rsidRDefault="0086415A" w:rsidP="005872F5">
            <w:pPr>
              <w:spacing w:before="40" w:after="4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sz w:val="18"/>
                <w:szCs w:val="18"/>
              </w:rPr>
            </w:pPr>
            <w:r w:rsidRPr="000973F2">
              <w:rPr>
                <w:rFonts w:ascii="Times New Roman" w:eastAsia="Times New Roman" w:hAnsi="Times New Roman" w:cs="Times New Roman"/>
                <w:b/>
                <w:bCs/>
                <w:sz w:val="18"/>
                <w:szCs w:val="18"/>
              </w:rPr>
              <w:t xml:space="preserve">$112.23 </w:t>
            </w:r>
          </w:p>
        </w:tc>
        <w:tc>
          <w:tcPr>
            <w:tcW w:w="1620" w:type="dxa"/>
            <w:gridSpan w:val="2"/>
            <w:noWrap/>
          </w:tcPr>
          <w:p w14:paraId="27F6B93B" w14:textId="77777777" w:rsidR="0086415A" w:rsidRPr="000973F2" w:rsidRDefault="0086415A" w:rsidP="005872F5">
            <w:pPr>
              <w:spacing w:before="40" w:after="4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sz w:val="18"/>
                <w:szCs w:val="18"/>
              </w:rPr>
            </w:pPr>
            <w:r w:rsidRPr="000973F2">
              <w:rPr>
                <w:rFonts w:ascii="Times New Roman" w:eastAsia="Times New Roman" w:hAnsi="Times New Roman" w:cs="Times New Roman"/>
                <w:b/>
                <w:bCs/>
                <w:sz w:val="18"/>
                <w:szCs w:val="18"/>
              </w:rPr>
              <w:t xml:space="preserve">$87.45 </w:t>
            </w:r>
          </w:p>
        </w:tc>
        <w:tc>
          <w:tcPr>
            <w:tcW w:w="1620" w:type="dxa"/>
            <w:gridSpan w:val="2"/>
            <w:noWrap/>
          </w:tcPr>
          <w:p w14:paraId="3F2CCB39" w14:textId="77777777" w:rsidR="0086415A" w:rsidRPr="000973F2" w:rsidRDefault="0086415A" w:rsidP="005872F5">
            <w:pPr>
              <w:spacing w:before="40" w:after="4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sz w:val="18"/>
                <w:szCs w:val="18"/>
              </w:rPr>
            </w:pPr>
            <w:r w:rsidRPr="000973F2">
              <w:rPr>
                <w:rFonts w:ascii="Times New Roman" w:eastAsia="Times New Roman" w:hAnsi="Times New Roman" w:cs="Times New Roman"/>
                <w:b/>
                <w:bCs/>
                <w:sz w:val="18"/>
                <w:szCs w:val="18"/>
              </w:rPr>
              <w:t xml:space="preserve">$71.45 </w:t>
            </w:r>
          </w:p>
        </w:tc>
        <w:tc>
          <w:tcPr>
            <w:tcW w:w="1620" w:type="dxa"/>
            <w:gridSpan w:val="2"/>
            <w:noWrap/>
          </w:tcPr>
          <w:p w14:paraId="347D2BCA" w14:textId="77777777" w:rsidR="0086415A" w:rsidRPr="000973F2" w:rsidRDefault="0086415A" w:rsidP="005872F5">
            <w:pPr>
              <w:spacing w:before="40" w:after="4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sz w:val="18"/>
                <w:szCs w:val="18"/>
              </w:rPr>
            </w:pPr>
            <w:r w:rsidRPr="000973F2">
              <w:rPr>
                <w:rFonts w:ascii="Times New Roman" w:eastAsia="Times New Roman" w:hAnsi="Times New Roman" w:cs="Times New Roman"/>
                <w:b/>
                <w:bCs/>
                <w:sz w:val="18"/>
                <w:szCs w:val="18"/>
              </w:rPr>
              <w:t xml:space="preserve">$36.28 </w:t>
            </w:r>
          </w:p>
        </w:tc>
        <w:tc>
          <w:tcPr>
            <w:tcW w:w="1515" w:type="dxa"/>
            <w:gridSpan w:val="2"/>
            <w:vMerge/>
          </w:tcPr>
          <w:p w14:paraId="4105B54E" w14:textId="77777777" w:rsidR="0086415A" w:rsidRPr="000973F2" w:rsidRDefault="0086415A" w:rsidP="005872F5">
            <w:pPr>
              <w:spacing w:before="40" w:after="4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sz w:val="18"/>
                <w:szCs w:val="18"/>
              </w:rPr>
            </w:pPr>
          </w:p>
        </w:tc>
      </w:tr>
      <w:tr w:rsidR="005872F5" w:rsidRPr="000973F2" w14:paraId="4F270C22" w14:textId="77777777" w:rsidTr="005872F5">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1335" w:type="dxa"/>
            <w:vMerge/>
          </w:tcPr>
          <w:p w14:paraId="6792C3A3" w14:textId="77777777" w:rsidR="0086415A" w:rsidRPr="000973F2" w:rsidRDefault="0086415A" w:rsidP="005872F5">
            <w:pPr>
              <w:spacing w:before="40" w:after="40"/>
              <w:rPr>
                <w:rFonts w:ascii="Times New Roman" w:eastAsia="Times New Roman" w:hAnsi="Times New Roman" w:cs="Times New Roman"/>
                <w:b/>
                <w:bCs w:val="0"/>
                <w:sz w:val="18"/>
                <w:szCs w:val="18"/>
              </w:rPr>
            </w:pPr>
          </w:p>
        </w:tc>
        <w:tc>
          <w:tcPr>
            <w:tcW w:w="810" w:type="dxa"/>
            <w:tcMar>
              <w:left w:w="14" w:type="dxa"/>
              <w:right w:w="14" w:type="dxa"/>
            </w:tcMar>
          </w:tcPr>
          <w:p w14:paraId="04683297" w14:textId="77777777" w:rsidR="0086415A" w:rsidRPr="000973F2" w:rsidRDefault="0086415A" w:rsidP="005872F5">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18"/>
                <w:szCs w:val="18"/>
              </w:rPr>
            </w:pPr>
            <w:r w:rsidRPr="000973F2">
              <w:rPr>
                <w:rFonts w:ascii="Times New Roman" w:eastAsia="Times New Roman" w:hAnsi="Times New Roman" w:cs="Times New Roman"/>
                <w:b/>
                <w:bCs/>
                <w:sz w:val="18"/>
                <w:szCs w:val="18"/>
              </w:rPr>
              <w:t>Initial Year Hours</w:t>
            </w:r>
          </w:p>
        </w:tc>
        <w:tc>
          <w:tcPr>
            <w:tcW w:w="810" w:type="dxa"/>
            <w:tcMar>
              <w:left w:w="14" w:type="dxa"/>
              <w:right w:w="14" w:type="dxa"/>
            </w:tcMar>
          </w:tcPr>
          <w:p w14:paraId="2C696D53" w14:textId="77777777" w:rsidR="0086415A" w:rsidRPr="000973F2" w:rsidRDefault="0086415A" w:rsidP="005872F5">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18"/>
                <w:szCs w:val="18"/>
              </w:rPr>
            </w:pPr>
            <w:r w:rsidRPr="000973F2">
              <w:rPr>
                <w:rFonts w:ascii="Times New Roman" w:eastAsia="Times New Roman" w:hAnsi="Times New Roman" w:cs="Times New Roman"/>
                <w:b/>
                <w:bCs/>
                <w:sz w:val="18"/>
                <w:szCs w:val="18"/>
              </w:rPr>
              <w:t>Subseq. Year Hours</w:t>
            </w:r>
          </w:p>
        </w:tc>
        <w:tc>
          <w:tcPr>
            <w:tcW w:w="810" w:type="dxa"/>
            <w:tcMar>
              <w:left w:w="14" w:type="dxa"/>
              <w:right w:w="14" w:type="dxa"/>
            </w:tcMar>
          </w:tcPr>
          <w:p w14:paraId="6393D1E8" w14:textId="77777777" w:rsidR="0086415A" w:rsidRPr="000973F2" w:rsidRDefault="0086415A" w:rsidP="005872F5">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18"/>
                <w:szCs w:val="18"/>
              </w:rPr>
            </w:pPr>
            <w:r w:rsidRPr="000973F2">
              <w:rPr>
                <w:rFonts w:ascii="Times New Roman" w:eastAsia="Times New Roman" w:hAnsi="Times New Roman" w:cs="Times New Roman"/>
                <w:b/>
                <w:bCs/>
                <w:sz w:val="18"/>
                <w:szCs w:val="18"/>
              </w:rPr>
              <w:t>Initial Year Hours</w:t>
            </w:r>
          </w:p>
        </w:tc>
        <w:tc>
          <w:tcPr>
            <w:tcW w:w="810" w:type="dxa"/>
            <w:tcMar>
              <w:left w:w="14" w:type="dxa"/>
              <w:right w:w="14" w:type="dxa"/>
            </w:tcMar>
          </w:tcPr>
          <w:p w14:paraId="38E8996F" w14:textId="77777777" w:rsidR="0086415A" w:rsidRPr="000973F2" w:rsidRDefault="0086415A" w:rsidP="005872F5">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18"/>
                <w:szCs w:val="18"/>
              </w:rPr>
            </w:pPr>
            <w:r w:rsidRPr="000973F2">
              <w:rPr>
                <w:rFonts w:ascii="Times New Roman" w:eastAsia="Times New Roman" w:hAnsi="Times New Roman" w:cs="Times New Roman"/>
                <w:b/>
                <w:bCs/>
                <w:sz w:val="18"/>
                <w:szCs w:val="18"/>
              </w:rPr>
              <w:t>Subseq. Year Hours</w:t>
            </w:r>
          </w:p>
        </w:tc>
        <w:tc>
          <w:tcPr>
            <w:tcW w:w="810" w:type="dxa"/>
            <w:tcMar>
              <w:left w:w="14" w:type="dxa"/>
              <w:right w:w="14" w:type="dxa"/>
            </w:tcMar>
          </w:tcPr>
          <w:p w14:paraId="4E52FD3B" w14:textId="77777777" w:rsidR="0086415A" w:rsidRPr="000973F2" w:rsidRDefault="0086415A" w:rsidP="005872F5">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18"/>
                <w:szCs w:val="18"/>
              </w:rPr>
            </w:pPr>
            <w:r w:rsidRPr="000973F2">
              <w:rPr>
                <w:rFonts w:ascii="Times New Roman" w:eastAsia="Times New Roman" w:hAnsi="Times New Roman" w:cs="Times New Roman"/>
                <w:b/>
                <w:bCs/>
                <w:sz w:val="18"/>
                <w:szCs w:val="18"/>
              </w:rPr>
              <w:t>Initial Year Hours</w:t>
            </w:r>
          </w:p>
        </w:tc>
        <w:tc>
          <w:tcPr>
            <w:tcW w:w="810" w:type="dxa"/>
            <w:tcMar>
              <w:left w:w="14" w:type="dxa"/>
              <w:right w:w="14" w:type="dxa"/>
            </w:tcMar>
          </w:tcPr>
          <w:p w14:paraId="60C9AC54" w14:textId="77777777" w:rsidR="0086415A" w:rsidRPr="000973F2" w:rsidRDefault="0086415A" w:rsidP="005872F5">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18"/>
                <w:szCs w:val="18"/>
              </w:rPr>
            </w:pPr>
            <w:r w:rsidRPr="000973F2">
              <w:rPr>
                <w:rFonts w:ascii="Times New Roman" w:eastAsia="Times New Roman" w:hAnsi="Times New Roman" w:cs="Times New Roman"/>
                <w:b/>
                <w:bCs/>
                <w:sz w:val="18"/>
                <w:szCs w:val="18"/>
              </w:rPr>
              <w:t>Subseq. Year Hours</w:t>
            </w:r>
          </w:p>
        </w:tc>
        <w:tc>
          <w:tcPr>
            <w:tcW w:w="810" w:type="dxa"/>
            <w:tcMar>
              <w:left w:w="14" w:type="dxa"/>
              <w:right w:w="14" w:type="dxa"/>
            </w:tcMar>
          </w:tcPr>
          <w:p w14:paraId="33E501EF" w14:textId="77777777" w:rsidR="0086415A" w:rsidRPr="000973F2" w:rsidRDefault="0086415A" w:rsidP="005872F5">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18"/>
                <w:szCs w:val="18"/>
              </w:rPr>
            </w:pPr>
            <w:r w:rsidRPr="000973F2">
              <w:rPr>
                <w:rFonts w:ascii="Times New Roman" w:eastAsia="Times New Roman" w:hAnsi="Times New Roman" w:cs="Times New Roman"/>
                <w:b/>
                <w:bCs/>
                <w:sz w:val="18"/>
                <w:szCs w:val="18"/>
              </w:rPr>
              <w:t>Initial Year Hours</w:t>
            </w:r>
          </w:p>
        </w:tc>
        <w:tc>
          <w:tcPr>
            <w:tcW w:w="810" w:type="dxa"/>
            <w:tcMar>
              <w:left w:w="14" w:type="dxa"/>
              <w:right w:w="14" w:type="dxa"/>
            </w:tcMar>
          </w:tcPr>
          <w:p w14:paraId="73880B7B" w14:textId="77777777" w:rsidR="0086415A" w:rsidRPr="000973F2" w:rsidRDefault="0086415A" w:rsidP="005872F5">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18"/>
                <w:szCs w:val="18"/>
              </w:rPr>
            </w:pPr>
            <w:r w:rsidRPr="000973F2">
              <w:rPr>
                <w:rFonts w:ascii="Times New Roman" w:eastAsia="Times New Roman" w:hAnsi="Times New Roman" w:cs="Times New Roman"/>
                <w:b/>
                <w:bCs/>
                <w:sz w:val="18"/>
                <w:szCs w:val="18"/>
              </w:rPr>
              <w:t>Subseq. Year Hours</w:t>
            </w:r>
          </w:p>
        </w:tc>
        <w:tc>
          <w:tcPr>
            <w:tcW w:w="683" w:type="dxa"/>
            <w:tcMar>
              <w:left w:w="14" w:type="dxa"/>
              <w:right w:w="14" w:type="dxa"/>
            </w:tcMar>
          </w:tcPr>
          <w:p w14:paraId="452D6FD6" w14:textId="77777777" w:rsidR="0086415A" w:rsidRPr="000973F2" w:rsidRDefault="0086415A" w:rsidP="005872F5">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18"/>
                <w:szCs w:val="18"/>
              </w:rPr>
            </w:pPr>
            <w:r w:rsidRPr="000973F2">
              <w:rPr>
                <w:rFonts w:ascii="Times New Roman" w:eastAsia="Times New Roman" w:hAnsi="Times New Roman" w:cs="Times New Roman"/>
                <w:b/>
                <w:bCs/>
                <w:sz w:val="18"/>
                <w:szCs w:val="18"/>
              </w:rPr>
              <w:t>Initial Year</w:t>
            </w:r>
          </w:p>
        </w:tc>
        <w:tc>
          <w:tcPr>
            <w:tcW w:w="832" w:type="dxa"/>
            <w:tcMar>
              <w:left w:w="14" w:type="dxa"/>
              <w:right w:w="14" w:type="dxa"/>
            </w:tcMar>
          </w:tcPr>
          <w:p w14:paraId="7B282BD9" w14:textId="77777777" w:rsidR="0086415A" w:rsidRPr="000973F2" w:rsidRDefault="0086415A" w:rsidP="005872F5">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18"/>
                <w:szCs w:val="18"/>
              </w:rPr>
            </w:pPr>
            <w:r w:rsidRPr="000973F2">
              <w:rPr>
                <w:rFonts w:ascii="Times New Roman" w:eastAsia="Times New Roman" w:hAnsi="Times New Roman" w:cs="Times New Roman"/>
                <w:b/>
                <w:bCs/>
                <w:sz w:val="18"/>
                <w:szCs w:val="18"/>
              </w:rPr>
              <w:t>Subseq. Year</w:t>
            </w:r>
          </w:p>
        </w:tc>
      </w:tr>
      <w:tr w:rsidR="005872F5" w:rsidRPr="000973F2" w14:paraId="42A539C1" w14:textId="77777777" w:rsidTr="005872F5">
        <w:trPr>
          <w:cantSplit/>
        </w:trPr>
        <w:tc>
          <w:tcPr>
            <w:cnfStyle w:val="001000000000" w:firstRow="0" w:lastRow="0" w:firstColumn="1" w:lastColumn="0" w:oddVBand="0" w:evenVBand="0" w:oddHBand="0" w:evenHBand="0" w:firstRowFirstColumn="0" w:firstRowLastColumn="0" w:lastRowFirstColumn="0" w:lastRowLastColumn="0"/>
            <w:tcW w:w="1335" w:type="dxa"/>
          </w:tcPr>
          <w:p w14:paraId="28094833" w14:textId="77777777" w:rsidR="0086415A" w:rsidRPr="000973F2" w:rsidRDefault="0086415A" w:rsidP="005872F5">
            <w:pPr>
              <w:spacing w:before="40" w:after="4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Planning</w:t>
            </w:r>
          </w:p>
        </w:tc>
        <w:tc>
          <w:tcPr>
            <w:tcW w:w="810" w:type="dxa"/>
            <w:noWrap/>
          </w:tcPr>
          <w:p w14:paraId="072389D3" w14:textId="77777777" w:rsidR="0086415A" w:rsidRPr="000973F2" w:rsidRDefault="0086415A" w:rsidP="005872F5">
            <w:pPr>
              <w:tabs>
                <w:tab w:val="decimal" w:pos="346"/>
              </w:tabs>
              <w:spacing w:before="40" w:after="4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0</w:t>
            </w:r>
          </w:p>
        </w:tc>
        <w:tc>
          <w:tcPr>
            <w:tcW w:w="810" w:type="dxa"/>
            <w:noWrap/>
          </w:tcPr>
          <w:p w14:paraId="796B0717" w14:textId="77777777" w:rsidR="0086415A" w:rsidRPr="000973F2" w:rsidRDefault="0086415A" w:rsidP="005872F5">
            <w:pPr>
              <w:tabs>
                <w:tab w:val="decimal" w:pos="346"/>
              </w:tabs>
              <w:spacing w:before="40" w:after="4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2</w:t>
            </w:r>
          </w:p>
        </w:tc>
        <w:tc>
          <w:tcPr>
            <w:tcW w:w="810" w:type="dxa"/>
            <w:noWrap/>
          </w:tcPr>
          <w:p w14:paraId="19FBFA57" w14:textId="77777777" w:rsidR="0086415A" w:rsidRPr="000973F2" w:rsidRDefault="0086415A" w:rsidP="005872F5">
            <w:pPr>
              <w:tabs>
                <w:tab w:val="decimal" w:pos="346"/>
              </w:tabs>
              <w:spacing w:before="40" w:after="4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0</w:t>
            </w:r>
          </w:p>
        </w:tc>
        <w:tc>
          <w:tcPr>
            <w:tcW w:w="810" w:type="dxa"/>
            <w:noWrap/>
          </w:tcPr>
          <w:p w14:paraId="72BF8E2E" w14:textId="77777777" w:rsidR="0086415A" w:rsidRPr="000973F2" w:rsidRDefault="0086415A" w:rsidP="005872F5">
            <w:pPr>
              <w:tabs>
                <w:tab w:val="decimal" w:pos="346"/>
              </w:tabs>
              <w:spacing w:before="40" w:after="4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0.4</w:t>
            </w:r>
          </w:p>
        </w:tc>
        <w:tc>
          <w:tcPr>
            <w:tcW w:w="810" w:type="dxa"/>
            <w:noWrap/>
          </w:tcPr>
          <w:p w14:paraId="39BE6BDA" w14:textId="77777777" w:rsidR="0086415A" w:rsidRPr="000973F2" w:rsidRDefault="0086415A" w:rsidP="005872F5">
            <w:pPr>
              <w:tabs>
                <w:tab w:val="decimal" w:pos="346"/>
              </w:tabs>
              <w:spacing w:before="40" w:after="4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0</w:t>
            </w:r>
          </w:p>
        </w:tc>
        <w:tc>
          <w:tcPr>
            <w:tcW w:w="810" w:type="dxa"/>
            <w:noWrap/>
          </w:tcPr>
          <w:p w14:paraId="593C6ED3" w14:textId="77777777" w:rsidR="0086415A" w:rsidRPr="000973F2" w:rsidRDefault="0086415A" w:rsidP="005872F5">
            <w:pPr>
              <w:tabs>
                <w:tab w:val="decimal" w:pos="346"/>
              </w:tabs>
              <w:spacing w:before="40" w:after="4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4</w:t>
            </w:r>
          </w:p>
        </w:tc>
        <w:tc>
          <w:tcPr>
            <w:tcW w:w="810" w:type="dxa"/>
            <w:noWrap/>
          </w:tcPr>
          <w:p w14:paraId="7E746C51" w14:textId="77777777" w:rsidR="0086415A" w:rsidRPr="000973F2" w:rsidRDefault="0086415A" w:rsidP="005872F5">
            <w:pPr>
              <w:tabs>
                <w:tab w:val="decimal" w:pos="346"/>
              </w:tabs>
              <w:spacing w:before="40" w:after="4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0</w:t>
            </w:r>
          </w:p>
        </w:tc>
        <w:tc>
          <w:tcPr>
            <w:tcW w:w="810" w:type="dxa"/>
            <w:noWrap/>
          </w:tcPr>
          <w:p w14:paraId="536C4D32" w14:textId="77777777" w:rsidR="0086415A" w:rsidRPr="000973F2" w:rsidRDefault="0086415A" w:rsidP="005872F5">
            <w:pPr>
              <w:tabs>
                <w:tab w:val="decimal" w:pos="346"/>
              </w:tabs>
              <w:spacing w:before="40" w:after="4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0.4</w:t>
            </w:r>
          </w:p>
        </w:tc>
        <w:tc>
          <w:tcPr>
            <w:tcW w:w="683" w:type="dxa"/>
            <w:noWrap/>
          </w:tcPr>
          <w:p w14:paraId="7CDA550C" w14:textId="77777777" w:rsidR="0086415A" w:rsidRPr="000973F2" w:rsidRDefault="0086415A" w:rsidP="005872F5">
            <w:pPr>
              <w:tabs>
                <w:tab w:val="decimal" w:pos="346"/>
              </w:tabs>
              <w:spacing w:before="40" w:after="4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$0</w:t>
            </w:r>
          </w:p>
        </w:tc>
        <w:tc>
          <w:tcPr>
            <w:tcW w:w="832" w:type="dxa"/>
            <w:noWrap/>
          </w:tcPr>
          <w:p w14:paraId="5EFD9E0D" w14:textId="77777777" w:rsidR="0086415A" w:rsidRPr="000973F2" w:rsidRDefault="0086415A" w:rsidP="005872F5">
            <w:pPr>
              <w:tabs>
                <w:tab w:val="decimal" w:pos="466"/>
              </w:tabs>
              <w:spacing w:before="40" w:after="4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$560</w:t>
            </w:r>
          </w:p>
        </w:tc>
      </w:tr>
      <w:tr w:rsidR="005872F5" w:rsidRPr="000973F2" w14:paraId="506CFF02" w14:textId="77777777" w:rsidTr="005872F5">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1335" w:type="dxa"/>
          </w:tcPr>
          <w:p w14:paraId="57A58391" w14:textId="77777777" w:rsidR="0086415A" w:rsidRPr="000973F2" w:rsidRDefault="0086415A" w:rsidP="005872F5">
            <w:pPr>
              <w:spacing w:before="40" w:after="4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QA/QC</w:t>
            </w:r>
          </w:p>
        </w:tc>
        <w:tc>
          <w:tcPr>
            <w:tcW w:w="810" w:type="dxa"/>
            <w:noWrap/>
          </w:tcPr>
          <w:p w14:paraId="03B54572" w14:textId="77777777" w:rsidR="0086415A" w:rsidRPr="000973F2" w:rsidRDefault="0086415A" w:rsidP="005872F5">
            <w:pPr>
              <w:tabs>
                <w:tab w:val="decimal" w:pos="346"/>
              </w:tabs>
              <w:spacing w:before="40" w:after="4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0</w:t>
            </w:r>
          </w:p>
        </w:tc>
        <w:tc>
          <w:tcPr>
            <w:tcW w:w="810" w:type="dxa"/>
            <w:noWrap/>
          </w:tcPr>
          <w:p w14:paraId="5C35CBE0" w14:textId="77777777" w:rsidR="0086415A" w:rsidRPr="000973F2" w:rsidRDefault="0086415A" w:rsidP="005872F5">
            <w:pPr>
              <w:tabs>
                <w:tab w:val="decimal" w:pos="346"/>
              </w:tabs>
              <w:spacing w:before="40" w:after="4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0</w:t>
            </w:r>
          </w:p>
        </w:tc>
        <w:tc>
          <w:tcPr>
            <w:tcW w:w="810" w:type="dxa"/>
            <w:noWrap/>
          </w:tcPr>
          <w:p w14:paraId="16DB49B0" w14:textId="77777777" w:rsidR="0086415A" w:rsidRPr="000973F2" w:rsidRDefault="0086415A" w:rsidP="005872F5">
            <w:pPr>
              <w:tabs>
                <w:tab w:val="decimal" w:pos="346"/>
              </w:tabs>
              <w:spacing w:before="40" w:after="4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0</w:t>
            </w:r>
          </w:p>
        </w:tc>
        <w:tc>
          <w:tcPr>
            <w:tcW w:w="810" w:type="dxa"/>
            <w:noWrap/>
          </w:tcPr>
          <w:p w14:paraId="75A69B55" w14:textId="77777777" w:rsidR="0086415A" w:rsidRPr="000973F2" w:rsidRDefault="0086415A" w:rsidP="005872F5">
            <w:pPr>
              <w:tabs>
                <w:tab w:val="decimal" w:pos="346"/>
              </w:tabs>
              <w:spacing w:before="40" w:after="4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0.8</w:t>
            </w:r>
          </w:p>
        </w:tc>
        <w:tc>
          <w:tcPr>
            <w:tcW w:w="810" w:type="dxa"/>
            <w:noWrap/>
          </w:tcPr>
          <w:p w14:paraId="13A20724" w14:textId="77777777" w:rsidR="0086415A" w:rsidRPr="000973F2" w:rsidRDefault="0086415A" w:rsidP="005872F5">
            <w:pPr>
              <w:tabs>
                <w:tab w:val="decimal" w:pos="346"/>
              </w:tabs>
              <w:spacing w:before="40" w:after="4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0</w:t>
            </w:r>
          </w:p>
        </w:tc>
        <w:tc>
          <w:tcPr>
            <w:tcW w:w="810" w:type="dxa"/>
            <w:noWrap/>
          </w:tcPr>
          <w:p w14:paraId="49F89BE9" w14:textId="77777777" w:rsidR="0086415A" w:rsidRPr="000973F2" w:rsidRDefault="0086415A" w:rsidP="005872F5">
            <w:pPr>
              <w:tabs>
                <w:tab w:val="decimal" w:pos="346"/>
              </w:tabs>
              <w:spacing w:before="40" w:after="4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8</w:t>
            </w:r>
          </w:p>
        </w:tc>
        <w:tc>
          <w:tcPr>
            <w:tcW w:w="810" w:type="dxa"/>
            <w:noWrap/>
          </w:tcPr>
          <w:p w14:paraId="61821D73" w14:textId="77777777" w:rsidR="0086415A" w:rsidRPr="000973F2" w:rsidRDefault="0086415A" w:rsidP="005872F5">
            <w:pPr>
              <w:tabs>
                <w:tab w:val="decimal" w:pos="346"/>
              </w:tabs>
              <w:spacing w:before="40" w:after="4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0</w:t>
            </w:r>
          </w:p>
        </w:tc>
        <w:tc>
          <w:tcPr>
            <w:tcW w:w="810" w:type="dxa"/>
            <w:noWrap/>
          </w:tcPr>
          <w:p w14:paraId="57B09C84" w14:textId="77777777" w:rsidR="0086415A" w:rsidRPr="000973F2" w:rsidRDefault="0086415A" w:rsidP="005872F5">
            <w:pPr>
              <w:tabs>
                <w:tab w:val="decimal" w:pos="346"/>
              </w:tabs>
              <w:spacing w:before="40" w:after="4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0.8</w:t>
            </w:r>
          </w:p>
        </w:tc>
        <w:tc>
          <w:tcPr>
            <w:tcW w:w="683" w:type="dxa"/>
            <w:noWrap/>
          </w:tcPr>
          <w:p w14:paraId="2D7168B1" w14:textId="77777777" w:rsidR="0086415A" w:rsidRPr="000973F2" w:rsidRDefault="0086415A" w:rsidP="005872F5">
            <w:pPr>
              <w:tabs>
                <w:tab w:val="decimal" w:pos="346"/>
              </w:tabs>
              <w:spacing w:before="40" w:after="4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$0</w:t>
            </w:r>
          </w:p>
        </w:tc>
        <w:tc>
          <w:tcPr>
            <w:tcW w:w="832" w:type="dxa"/>
            <w:noWrap/>
          </w:tcPr>
          <w:p w14:paraId="72CA27FD" w14:textId="77777777" w:rsidR="0086415A" w:rsidRPr="000973F2" w:rsidRDefault="0086415A" w:rsidP="005872F5">
            <w:pPr>
              <w:tabs>
                <w:tab w:val="decimal" w:pos="466"/>
              </w:tabs>
              <w:spacing w:before="40" w:after="4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$671</w:t>
            </w:r>
          </w:p>
        </w:tc>
      </w:tr>
      <w:tr w:rsidR="005872F5" w:rsidRPr="000973F2" w14:paraId="47AA085F" w14:textId="77777777" w:rsidTr="005872F5">
        <w:trPr>
          <w:cantSplit/>
        </w:trPr>
        <w:tc>
          <w:tcPr>
            <w:cnfStyle w:val="001000000000" w:firstRow="0" w:lastRow="0" w:firstColumn="1" w:lastColumn="0" w:oddVBand="0" w:evenVBand="0" w:oddHBand="0" w:evenHBand="0" w:firstRowFirstColumn="0" w:firstRowLastColumn="0" w:lastRowFirstColumn="0" w:lastRowLastColumn="0"/>
            <w:tcW w:w="1335" w:type="dxa"/>
          </w:tcPr>
          <w:p w14:paraId="007FD15D" w14:textId="77777777" w:rsidR="0086415A" w:rsidRPr="000973F2" w:rsidRDefault="0086415A" w:rsidP="005872F5">
            <w:pPr>
              <w:spacing w:before="40" w:after="4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Recordkeeping</w:t>
            </w:r>
          </w:p>
        </w:tc>
        <w:tc>
          <w:tcPr>
            <w:tcW w:w="810" w:type="dxa"/>
            <w:noWrap/>
          </w:tcPr>
          <w:p w14:paraId="428F83E6" w14:textId="77777777" w:rsidR="0086415A" w:rsidRPr="000973F2" w:rsidRDefault="0086415A" w:rsidP="005872F5">
            <w:pPr>
              <w:tabs>
                <w:tab w:val="decimal" w:pos="346"/>
              </w:tabs>
              <w:spacing w:before="40" w:after="4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0</w:t>
            </w:r>
          </w:p>
        </w:tc>
        <w:tc>
          <w:tcPr>
            <w:tcW w:w="810" w:type="dxa"/>
            <w:noWrap/>
          </w:tcPr>
          <w:p w14:paraId="16C3E15B" w14:textId="77777777" w:rsidR="0086415A" w:rsidRPr="000973F2" w:rsidRDefault="0086415A" w:rsidP="005872F5">
            <w:pPr>
              <w:tabs>
                <w:tab w:val="decimal" w:pos="346"/>
              </w:tabs>
              <w:spacing w:before="40" w:after="4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0</w:t>
            </w:r>
          </w:p>
        </w:tc>
        <w:tc>
          <w:tcPr>
            <w:tcW w:w="810" w:type="dxa"/>
            <w:noWrap/>
          </w:tcPr>
          <w:p w14:paraId="73A913FB" w14:textId="77777777" w:rsidR="0086415A" w:rsidRPr="000973F2" w:rsidRDefault="0086415A" w:rsidP="005872F5">
            <w:pPr>
              <w:tabs>
                <w:tab w:val="decimal" w:pos="346"/>
              </w:tabs>
              <w:spacing w:before="40" w:after="4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0</w:t>
            </w:r>
          </w:p>
        </w:tc>
        <w:tc>
          <w:tcPr>
            <w:tcW w:w="810" w:type="dxa"/>
            <w:noWrap/>
          </w:tcPr>
          <w:p w14:paraId="38707FAB" w14:textId="77777777" w:rsidR="0086415A" w:rsidRPr="000973F2" w:rsidRDefault="0086415A" w:rsidP="005872F5">
            <w:pPr>
              <w:tabs>
                <w:tab w:val="decimal" w:pos="346"/>
              </w:tabs>
              <w:spacing w:before="40" w:after="4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0.5</w:t>
            </w:r>
          </w:p>
        </w:tc>
        <w:tc>
          <w:tcPr>
            <w:tcW w:w="810" w:type="dxa"/>
            <w:noWrap/>
          </w:tcPr>
          <w:p w14:paraId="4EDE83C9" w14:textId="77777777" w:rsidR="0086415A" w:rsidRPr="000973F2" w:rsidRDefault="0086415A" w:rsidP="005872F5">
            <w:pPr>
              <w:tabs>
                <w:tab w:val="decimal" w:pos="346"/>
              </w:tabs>
              <w:spacing w:before="40" w:after="4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0</w:t>
            </w:r>
          </w:p>
        </w:tc>
        <w:tc>
          <w:tcPr>
            <w:tcW w:w="810" w:type="dxa"/>
            <w:noWrap/>
          </w:tcPr>
          <w:p w14:paraId="4972867E" w14:textId="77777777" w:rsidR="0086415A" w:rsidRPr="000973F2" w:rsidRDefault="0086415A" w:rsidP="005872F5">
            <w:pPr>
              <w:tabs>
                <w:tab w:val="decimal" w:pos="346"/>
              </w:tabs>
              <w:spacing w:before="40" w:after="4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5</w:t>
            </w:r>
          </w:p>
        </w:tc>
        <w:tc>
          <w:tcPr>
            <w:tcW w:w="810" w:type="dxa"/>
            <w:noWrap/>
          </w:tcPr>
          <w:p w14:paraId="499E6CC2" w14:textId="77777777" w:rsidR="0086415A" w:rsidRPr="000973F2" w:rsidRDefault="0086415A" w:rsidP="005872F5">
            <w:pPr>
              <w:tabs>
                <w:tab w:val="decimal" w:pos="346"/>
              </w:tabs>
              <w:spacing w:before="40" w:after="4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0</w:t>
            </w:r>
          </w:p>
        </w:tc>
        <w:tc>
          <w:tcPr>
            <w:tcW w:w="810" w:type="dxa"/>
            <w:noWrap/>
          </w:tcPr>
          <w:p w14:paraId="5DBF3846" w14:textId="77777777" w:rsidR="0086415A" w:rsidRPr="000973F2" w:rsidRDefault="0086415A" w:rsidP="005872F5">
            <w:pPr>
              <w:tabs>
                <w:tab w:val="decimal" w:pos="346"/>
              </w:tabs>
              <w:spacing w:before="40" w:after="4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0.5</w:t>
            </w:r>
          </w:p>
        </w:tc>
        <w:tc>
          <w:tcPr>
            <w:tcW w:w="683" w:type="dxa"/>
            <w:noWrap/>
          </w:tcPr>
          <w:p w14:paraId="0BDEC18E" w14:textId="77777777" w:rsidR="0086415A" w:rsidRPr="000973F2" w:rsidRDefault="0086415A" w:rsidP="005872F5">
            <w:pPr>
              <w:tabs>
                <w:tab w:val="decimal" w:pos="346"/>
              </w:tabs>
              <w:spacing w:before="40" w:after="4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$0</w:t>
            </w:r>
          </w:p>
        </w:tc>
        <w:tc>
          <w:tcPr>
            <w:tcW w:w="832" w:type="dxa"/>
            <w:noWrap/>
          </w:tcPr>
          <w:p w14:paraId="7BB41C2E" w14:textId="77777777" w:rsidR="0086415A" w:rsidRPr="000973F2" w:rsidRDefault="0086415A" w:rsidP="005872F5">
            <w:pPr>
              <w:tabs>
                <w:tab w:val="decimal" w:pos="466"/>
              </w:tabs>
              <w:spacing w:before="40" w:after="4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$419</w:t>
            </w:r>
          </w:p>
        </w:tc>
      </w:tr>
      <w:tr w:rsidR="005872F5" w:rsidRPr="000973F2" w14:paraId="3FD2D588" w14:textId="77777777" w:rsidTr="005872F5">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1335" w:type="dxa"/>
          </w:tcPr>
          <w:p w14:paraId="6110017F" w14:textId="77777777" w:rsidR="0086415A" w:rsidRPr="000973F2" w:rsidRDefault="0086415A" w:rsidP="005872F5">
            <w:pPr>
              <w:spacing w:before="40" w:after="4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Sampling and Analysis (Calculations)</w:t>
            </w:r>
          </w:p>
        </w:tc>
        <w:tc>
          <w:tcPr>
            <w:tcW w:w="810" w:type="dxa"/>
            <w:noWrap/>
          </w:tcPr>
          <w:p w14:paraId="3E164EF0" w14:textId="77777777" w:rsidR="0086415A" w:rsidRPr="000973F2" w:rsidRDefault="0086415A" w:rsidP="005872F5">
            <w:pPr>
              <w:tabs>
                <w:tab w:val="decimal" w:pos="346"/>
              </w:tabs>
              <w:spacing w:before="40" w:after="4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0</w:t>
            </w:r>
          </w:p>
        </w:tc>
        <w:tc>
          <w:tcPr>
            <w:tcW w:w="810" w:type="dxa"/>
            <w:noWrap/>
          </w:tcPr>
          <w:p w14:paraId="78DF12F1" w14:textId="77777777" w:rsidR="0086415A" w:rsidRPr="000973F2" w:rsidRDefault="0086415A" w:rsidP="005872F5">
            <w:pPr>
              <w:tabs>
                <w:tab w:val="decimal" w:pos="346"/>
              </w:tabs>
              <w:spacing w:before="40" w:after="4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0</w:t>
            </w:r>
          </w:p>
        </w:tc>
        <w:tc>
          <w:tcPr>
            <w:tcW w:w="810" w:type="dxa"/>
            <w:noWrap/>
          </w:tcPr>
          <w:p w14:paraId="20E6ABE0" w14:textId="77777777" w:rsidR="0086415A" w:rsidRPr="000973F2" w:rsidRDefault="0086415A" w:rsidP="005872F5">
            <w:pPr>
              <w:tabs>
                <w:tab w:val="decimal" w:pos="346"/>
              </w:tabs>
              <w:spacing w:before="40" w:after="4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0</w:t>
            </w:r>
          </w:p>
        </w:tc>
        <w:tc>
          <w:tcPr>
            <w:tcW w:w="810" w:type="dxa"/>
            <w:noWrap/>
          </w:tcPr>
          <w:p w14:paraId="4C5C81D2" w14:textId="77777777" w:rsidR="0086415A" w:rsidRPr="000973F2" w:rsidRDefault="0086415A" w:rsidP="005872F5">
            <w:pPr>
              <w:tabs>
                <w:tab w:val="decimal" w:pos="346"/>
              </w:tabs>
              <w:spacing w:before="40" w:after="4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0.5</w:t>
            </w:r>
          </w:p>
        </w:tc>
        <w:tc>
          <w:tcPr>
            <w:tcW w:w="810" w:type="dxa"/>
            <w:noWrap/>
          </w:tcPr>
          <w:p w14:paraId="13ED4024" w14:textId="77777777" w:rsidR="0086415A" w:rsidRPr="000973F2" w:rsidRDefault="0086415A" w:rsidP="005872F5">
            <w:pPr>
              <w:tabs>
                <w:tab w:val="decimal" w:pos="346"/>
              </w:tabs>
              <w:spacing w:before="40" w:after="4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0</w:t>
            </w:r>
          </w:p>
        </w:tc>
        <w:tc>
          <w:tcPr>
            <w:tcW w:w="810" w:type="dxa"/>
            <w:noWrap/>
          </w:tcPr>
          <w:p w14:paraId="0FC2594E" w14:textId="77777777" w:rsidR="0086415A" w:rsidRPr="000973F2" w:rsidRDefault="0086415A" w:rsidP="005872F5">
            <w:pPr>
              <w:tabs>
                <w:tab w:val="decimal" w:pos="346"/>
              </w:tabs>
              <w:spacing w:before="40" w:after="4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5.3</w:t>
            </w:r>
          </w:p>
        </w:tc>
        <w:tc>
          <w:tcPr>
            <w:tcW w:w="810" w:type="dxa"/>
            <w:noWrap/>
          </w:tcPr>
          <w:p w14:paraId="2DE8CFF7" w14:textId="77777777" w:rsidR="0086415A" w:rsidRPr="000973F2" w:rsidRDefault="0086415A" w:rsidP="005872F5">
            <w:pPr>
              <w:tabs>
                <w:tab w:val="decimal" w:pos="346"/>
              </w:tabs>
              <w:spacing w:before="40" w:after="4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0</w:t>
            </w:r>
          </w:p>
        </w:tc>
        <w:tc>
          <w:tcPr>
            <w:tcW w:w="810" w:type="dxa"/>
            <w:noWrap/>
          </w:tcPr>
          <w:p w14:paraId="577F0D46" w14:textId="77777777" w:rsidR="0086415A" w:rsidRPr="000973F2" w:rsidRDefault="0086415A" w:rsidP="005872F5">
            <w:pPr>
              <w:tabs>
                <w:tab w:val="decimal" w:pos="346"/>
              </w:tabs>
              <w:spacing w:before="40" w:after="4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0.5</w:t>
            </w:r>
          </w:p>
        </w:tc>
        <w:tc>
          <w:tcPr>
            <w:tcW w:w="683" w:type="dxa"/>
            <w:noWrap/>
          </w:tcPr>
          <w:p w14:paraId="402D0867" w14:textId="77777777" w:rsidR="0086415A" w:rsidRPr="000973F2" w:rsidRDefault="0086415A" w:rsidP="005872F5">
            <w:pPr>
              <w:tabs>
                <w:tab w:val="decimal" w:pos="346"/>
              </w:tabs>
              <w:spacing w:before="40" w:after="4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$0</w:t>
            </w:r>
          </w:p>
        </w:tc>
        <w:tc>
          <w:tcPr>
            <w:tcW w:w="832" w:type="dxa"/>
            <w:noWrap/>
          </w:tcPr>
          <w:p w14:paraId="1AA82652" w14:textId="77777777" w:rsidR="0086415A" w:rsidRPr="000973F2" w:rsidRDefault="0086415A" w:rsidP="005872F5">
            <w:pPr>
              <w:tabs>
                <w:tab w:val="decimal" w:pos="466"/>
              </w:tabs>
              <w:spacing w:before="40" w:after="4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$440</w:t>
            </w:r>
          </w:p>
        </w:tc>
      </w:tr>
      <w:tr w:rsidR="005872F5" w:rsidRPr="000973F2" w14:paraId="25434757" w14:textId="77777777" w:rsidTr="005872F5">
        <w:trPr>
          <w:cantSplit/>
        </w:trPr>
        <w:tc>
          <w:tcPr>
            <w:cnfStyle w:val="001000000000" w:firstRow="0" w:lastRow="0" w:firstColumn="1" w:lastColumn="0" w:oddVBand="0" w:evenVBand="0" w:oddHBand="0" w:evenHBand="0" w:firstRowFirstColumn="0" w:firstRowLastColumn="0" w:lastRowFirstColumn="0" w:lastRowLastColumn="0"/>
            <w:tcW w:w="1335" w:type="dxa"/>
          </w:tcPr>
          <w:p w14:paraId="16568FA9" w14:textId="77777777" w:rsidR="0086415A" w:rsidRPr="000973F2" w:rsidRDefault="0086415A" w:rsidP="005872F5">
            <w:pPr>
              <w:spacing w:before="40" w:after="4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Reporting</w:t>
            </w:r>
          </w:p>
        </w:tc>
        <w:tc>
          <w:tcPr>
            <w:tcW w:w="810" w:type="dxa"/>
            <w:noWrap/>
          </w:tcPr>
          <w:p w14:paraId="11D2044A" w14:textId="77777777" w:rsidR="0086415A" w:rsidRPr="000973F2" w:rsidRDefault="0086415A" w:rsidP="005872F5">
            <w:pPr>
              <w:tabs>
                <w:tab w:val="decimal" w:pos="346"/>
              </w:tabs>
              <w:spacing w:before="40" w:after="4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0</w:t>
            </w:r>
          </w:p>
        </w:tc>
        <w:tc>
          <w:tcPr>
            <w:tcW w:w="810" w:type="dxa"/>
            <w:noWrap/>
          </w:tcPr>
          <w:p w14:paraId="40FB3FB5" w14:textId="77777777" w:rsidR="0086415A" w:rsidRPr="000973F2" w:rsidRDefault="0086415A" w:rsidP="005872F5">
            <w:pPr>
              <w:tabs>
                <w:tab w:val="decimal" w:pos="346"/>
              </w:tabs>
              <w:spacing w:before="40" w:after="4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0</w:t>
            </w:r>
          </w:p>
        </w:tc>
        <w:tc>
          <w:tcPr>
            <w:tcW w:w="810" w:type="dxa"/>
            <w:noWrap/>
          </w:tcPr>
          <w:p w14:paraId="01C7DEC5" w14:textId="77777777" w:rsidR="0086415A" w:rsidRPr="000973F2" w:rsidRDefault="0086415A" w:rsidP="005872F5">
            <w:pPr>
              <w:tabs>
                <w:tab w:val="decimal" w:pos="346"/>
              </w:tabs>
              <w:spacing w:before="40" w:after="4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0</w:t>
            </w:r>
          </w:p>
        </w:tc>
        <w:tc>
          <w:tcPr>
            <w:tcW w:w="810" w:type="dxa"/>
            <w:noWrap/>
          </w:tcPr>
          <w:p w14:paraId="6BB9E123" w14:textId="77777777" w:rsidR="0086415A" w:rsidRPr="000973F2" w:rsidRDefault="0086415A" w:rsidP="005872F5">
            <w:pPr>
              <w:tabs>
                <w:tab w:val="decimal" w:pos="346"/>
              </w:tabs>
              <w:spacing w:before="40" w:after="4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1</w:t>
            </w:r>
          </w:p>
        </w:tc>
        <w:tc>
          <w:tcPr>
            <w:tcW w:w="810" w:type="dxa"/>
            <w:noWrap/>
          </w:tcPr>
          <w:p w14:paraId="54FEF70C" w14:textId="77777777" w:rsidR="0086415A" w:rsidRPr="000973F2" w:rsidRDefault="0086415A" w:rsidP="005872F5">
            <w:pPr>
              <w:tabs>
                <w:tab w:val="decimal" w:pos="346"/>
              </w:tabs>
              <w:spacing w:before="40" w:after="4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0</w:t>
            </w:r>
          </w:p>
        </w:tc>
        <w:tc>
          <w:tcPr>
            <w:tcW w:w="810" w:type="dxa"/>
            <w:noWrap/>
          </w:tcPr>
          <w:p w14:paraId="54587787" w14:textId="77777777" w:rsidR="0086415A" w:rsidRPr="000973F2" w:rsidRDefault="0086415A" w:rsidP="005872F5">
            <w:pPr>
              <w:tabs>
                <w:tab w:val="decimal" w:pos="346"/>
              </w:tabs>
              <w:spacing w:before="40" w:after="4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10</w:t>
            </w:r>
          </w:p>
        </w:tc>
        <w:tc>
          <w:tcPr>
            <w:tcW w:w="810" w:type="dxa"/>
            <w:noWrap/>
          </w:tcPr>
          <w:p w14:paraId="60EE4CA9" w14:textId="77777777" w:rsidR="0086415A" w:rsidRPr="000973F2" w:rsidRDefault="0086415A" w:rsidP="005872F5">
            <w:pPr>
              <w:tabs>
                <w:tab w:val="decimal" w:pos="346"/>
              </w:tabs>
              <w:spacing w:before="40" w:after="4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0</w:t>
            </w:r>
          </w:p>
        </w:tc>
        <w:tc>
          <w:tcPr>
            <w:tcW w:w="810" w:type="dxa"/>
            <w:noWrap/>
          </w:tcPr>
          <w:p w14:paraId="30FFC856" w14:textId="77777777" w:rsidR="0086415A" w:rsidRPr="000973F2" w:rsidRDefault="0086415A" w:rsidP="005872F5">
            <w:pPr>
              <w:tabs>
                <w:tab w:val="decimal" w:pos="346"/>
              </w:tabs>
              <w:spacing w:before="40" w:after="4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1</w:t>
            </w:r>
          </w:p>
        </w:tc>
        <w:tc>
          <w:tcPr>
            <w:tcW w:w="683" w:type="dxa"/>
            <w:noWrap/>
          </w:tcPr>
          <w:p w14:paraId="5FB55605" w14:textId="77777777" w:rsidR="0086415A" w:rsidRPr="000973F2" w:rsidRDefault="0086415A" w:rsidP="005872F5">
            <w:pPr>
              <w:tabs>
                <w:tab w:val="decimal" w:pos="346"/>
              </w:tabs>
              <w:spacing w:before="40" w:after="4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$0</w:t>
            </w:r>
          </w:p>
        </w:tc>
        <w:tc>
          <w:tcPr>
            <w:tcW w:w="832" w:type="dxa"/>
            <w:noWrap/>
          </w:tcPr>
          <w:p w14:paraId="4AB1E24B" w14:textId="77777777" w:rsidR="0086415A" w:rsidRPr="000973F2" w:rsidRDefault="0086415A" w:rsidP="005872F5">
            <w:pPr>
              <w:tabs>
                <w:tab w:val="decimal" w:pos="466"/>
              </w:tabs>
              <w:spacing w:before="40" w:after="4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$838</w:t>
            </w:r>
          </w:p>
        </w:tc>
      </w:tr>
      <w:tr w:rsidR="005872F5" w:rsidRPr="000973F2" w14:paraId="39B748D4" w14:textId="77777777" w:rsidTr="005872F5">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1335" w:type="dxa"/>
            <w:noWrap/>
          </w:tcPr>
          <w:p w14:paraId="2114A442" w14:textId="77777777" w:rsidR="0086415A" w:rsidRPr="000973F2" w:rsidRDefault="0086415A" w:rsidP="005872F5">
            <w:pPr>
              <w:spacing w:before="40" w:after="40"/>
              <w:rPr>
                <w:rFonts w:ascii="Times New Roman" w:eastAsia="Times New Roman" w:hAnsi="Times New Roman" w:cs="Times New Roman"/>
                <w:b/>
                <w:bCs w:val="0"/>
                <w:sz w:val="18"/>
                <w:szCs w:val="18"/>
              </w:rPr>
            </w:pPr>
            <w:r w:rsidRPr="000973F2">
              <w:rPr>
                <w:rFonts w:ascii="Times New Roman" w:eastAsia="Times New Roman" w:hAnsi="Times New Roman" w:cs="Times New Roman"/>
                <w:b/>
                <w:sz w:val="18"/>
                <w:szCs w:val="18"/>
              </w:rPr>
              <w:t>Total</w:t>
            </w:r>
          </w:p>
        </w:tc>
        <w:tc>
          <w:tcPr>
            <w:tcW w:w="810" w:type="dxa"/>
            <w:noWrap/>
          </w:tcPr>
          <w:p w14:paraId="2FEE2EAD" w14:textId="77777777" w:rsidR="0086415A" w:rsidRPr="000973F2" w:rsidRDefault="0086415A" w:rsidP="005872F5">
            <w:pPr>
              <w:tabs>
                <w:tab w:val="decimal" w:pos="346"/>
              </w:tabs>
              <w:spacing w:before="40" w:after="4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18"/>
                <w:szCs w:val="18"/>
              </w:rPr>
            </w:pPr>
            <w:r w:rsidRPr="000973F2">
              <w:rPr>
                <w:rFonts w:ascii="Times New Roman" w:eastAsia="Times New Roman" w:hAnsi="Times New Roman" w:cs="Times New Roman"/>
                <w:b/>
                <w:bCs/>
                <w:sz w:val="18"/>
                <w:szCs w:val="18"/>
              </w:rPr>
              <w:t>0</w:t>
            </w:r>
          </w:p>
        </w:tc>
        <w:tc>
          <w:tcPr>
            <w:tcW w:w="810" w:type="dxa"/>
            <w:noWrap/>
          </w:tcPr>
          <w:p w14:paraId="5F816D40" w14:textId="77777777" w:rsidR="0086415A" w:rsidRPr="000973F2" w:rsidRDefault="0086415A" w:rsidP="005872F5">
            <w:pPr>
              <w:tabs>
                <w:tab w:val="decimal" w:pos="346"/>
              </w:tabs>
              <w:spacing w:before="40" w:after="4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18"/>
                <w:szCs w:val="18"/>
              </w:rPr>
            </w:pPr>
            <w:r w:rsidRPr="000973F2">
              <w:rPr>
                <w:rFonts w:ascii="Times New Roman" w:eastAsia="Times New Roman" w:hAnsi="Times New Roman" w:cs="Times New Roman"/>
                <w:b/>
                <w:bCs/>
                <w:sz w:val="18"/>
                <w:szCs w:val="18"/>
              </w:rPr>
              <w:t>2</w:t>
            </w:r>
          </w:p>
        </w:tc>
        <w:tc>
          <w:tcPr>
            <w:tcW w:w="810" w:type="dxa"/>
            <w:noWrap/>
          </w:tcPr>
          <w:p w14:paraId="03491841" w14:textId="77777777" w:rsidR="0086415A" w:rsidRPr="000973F2" w:rsidRDefault="0086415A" w:rsidP="005872F5">
            <w:pPr>
              <w:tabs>
                <w:tab w:val="decimal" w:pos="346"/>
              </w:tabs>
              <w:spacing w:before="40" w:after="4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18"/>
                <w:szCs w:val="18"/>
              </w:rPr>
            </w:pPr>
            <w:r w:rsidRPr="000973F2">
              <w:rPr>
                <w:rFonts w:ascii="Times New Roman" w:eastAsia="Times New Roman" w:hAnsi="Times New Roman" w:cs="Times New Roman"/>
                <w:b/>
                <w:bCs/>
                <w:sz w:val="18"/>
                <w:szCs w:val="18"/>
              </w:rPr>
              <w:t>0</w:t>
            </w:r>
          </w:p>
        </w:tc>
        <w:tc>
          <w:tcPr>
            <w:tcW w:w="810" w:type="dxa"/>
            <w:noWrap/>
          </w:tcPr>
          <w:p w14:paraId="26342D96" w14:textId="77777777" w:rsidR="0086415A" w:rsidRPr="000973F2" w:rsidRDefault="0086415A" w:rsidP="005872F5">
            <w:pPr>
              <w:tabs>
                <w:tab w:val="decimal" w:pos="346"/>
              </w:tabs>
              <w:spacing w:before="40" w:after="4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18"/>
                <w:szCs w:val="18"/>
              </w:rPr>
            </w:pPr>
            <w:r w:rsidRPr="000973F2">
              <w:rPr>
                <w:rFonts w:ascii="Times New Roman" w:eastAsia="Times New Roman" w:hAnsi="Times New Roman" w:cs="Times New Roman"/>
                <w:b/>
                <w:bCs/>
                <w:sz w:val="18"/>
                <w:szCs w:val="18"/>
              </w:rPr>
              <w:t>3.2</w:t>
            </w:r>
          </w:p>
        </w:tc>
        <w:tc>
          <w:tcPr>
            <w:tcW w:w="810" w:type="dxa"/>
            <w:noWrap/>
          </w:tcPr>
          <w:p w14:paraId="3AC5A145" w14:textId="77777777" w:rsidR="0086415A" w:rsidRPr="000973F2" w:rsidRDefault="0086415A" w:rsidP="005872F5">
            <w:pPr>
              <w:tabs>
                <w:tab w:val="decimal" w:pos="346"/>
              </w:tabs>
              <w:spacing w:before="40" w:after="4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18"/>
                <w:szCs w:val="18"/>
              </w:rPr>
            </w:pPr>
            <w:r w:rsidRPr="000973F2">
              <w:rPr>
                <w:rFonts w:ascii="Times New Roman" w:eastAsia="Times New Roman" w:hAnsi="Times New Roman" w:cs="Times New Roman"/>
                <w:b/>
                <w:bCs/>
                <w:sz w:val="18"/>
                <w:szCs w:val="18"/>
              </w:rPr>
              <w:t>0</w:t>
            </w:r>
          </w:p>
        </w:tc>
        <w:tc>
          <w:tcPr>
            <w:tcW w:w="810" w:type="dxa"/>
            <w:noWrap/>
          </w:tcPr>
          <w:p w14:paraId="4AC8B360" w14:textId="77777777" w:rsidR="0086415A" w:rsidRPr="000973F2" w:rsidRDefault="0086415A" w:rsidP="005872F5">
            <w:pPr>
              <w:tabs>
                <w:tab w:val="decimal" w:pos="346"/>
              </w:tabs>
              <w:spacing w:before="40" w:after="4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18"/>
                <w:szCs w:val="18"/>
              </w:rPr>
            </w:pPr>
            <w:r w:rsidRPr="000973F2">
              <w:rPr>
                <w:rFonts w:ascii="Times New Roman" w:eastAsia="Times New Roman" w:hAnsi="Times New Roman" w:cs="Times New Roman"/>
                <w:b/>
                <w:bCs/>
                <w:sz w:val="18"/>
                <w:szCs w:val="18"/>
              </w:rPr>
              <w:t>32.3</w:t>
            </w:r>
          </w:p>
        </w:tc>
        <w:tc>
          <w:tcPr>
            <w:tcW w:w="810" w:type="dxa"/>
            <w:noWrap/>
          </w:tcPr>
          <w:p w14:paraId="10964584" w14:textId="77777777" w:rsidR="0086415A" w:rsidRPr="000973F2" w:rsidRDefault="0086415A" w:rsidP="005872F5">
            <w:pPr>
              <w:tabs>
                <w:tab w:val="decimal" w:pos="346"/>
              </w:tabs>
              <w:spacing w:before="40" w:after="4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18"/>
                <w:szCs w:val="18"/>
              </w:rPr>
            </w:pPr>
            <w:r w:rsidRPr="000973F2">
              <w:rPr>
                <w:rFonts w:ascii="Times New Roman" w:eastAsia="Times New Roman" w:hAnsi="Times New Roman" w:cs="Times New Roman"/>
                <w:b/>
                <w:bCs/>
                <w:sz w:val="18"/>
                <w:szCs w:val="18"/>
              </w:rPr>
              <w:t>0</w:t>
            </w:r>
          </w:p>
        </w:tc>
        <w:tc>
          <w:tcPr>
            <w:tcW w:w="810" w:type="dxa"/>
            <w:noWrap/>
          </w:tcPr>
          <w:p w14:paraId="6FF5920C" w14:textId="77777777" w:rsidR="0086415A" w:rsidRPr="000973F2" w:rsidRDefault="0086415A" w:rsidP="005872F5">
            <w:pPr>
              <w:tabs>
                <w:tab w:val="decimal" w:pos="346"/>
              </w:tabs>
              <w:spacing w:before="40" w:after="4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18"/>
                <w:szCs w:val="18"/>
              </w:rPr>
            </w:pPr>
            <w:r w:rsidRPr="000973F2">
              <w:rPr>
                <w:rFonts w:ascii="Times New Roman" w:eastAsia="Times New Roman" w:hAnsi="Times New Roman" w:cs="Times New Roman"/>
                <w:b/>
                <w:bCs/>
                <w:sz w:val="18"/>
                <w:szCs w:val="18"/>
              </w:rPr>
              <w:t>3.2</w:t>
            </w:r>
          </w:p>
        </w:tc>
        <w:tc>
          <w:tcPr>
            <w:tcW w:w="683" w:type="dxa"/>
            <w:noWrap/>
          </w:tcPr>
          <w:p w14:paraId="3AF0BFEF" w14:textId="77777777" w:rsidR="0086415A" w:rsidRPr="000973F2" w:rsidRDefault="0086415A" w:rsidP="005872F5">
            <w:pPr>
              <w:tabs>
                <w:tab w:val="decimal" w:pos="346"/>
              </w:tabs>
              <w:spacing w:before="40" w:after="4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18"/>
                <w:szCs w:val="18"/>
              </w:rPr>
            </w:pPr>
            <w:r w:rsidRPr="000973F2">
              <w:rPr>
                <w:rFonts w:ascii="Times New Roman" w:eastAsia="Times New Roman" w:hAnsi="Times New Roman" w:cs="Times New Roman"/>
                <w:b/>
                <w:bCs/>
                <w:sz w:val="18"/>
                <w:szCs w:val="18"/>
              </w:rPr>
              <w:t>$0</w:t>
            </w:r>
          </w:p>
        </w:tc>
        <w:tc>
          <w:tcPr>
            <w:tcW w:w="832" w:type="dxa"/>
            <w:noWrap/>
          </w:tcPr>
          <w:p w14:paraId="41000B1E" w14:textId="77777777" w:rsidR="0086415A" w:rsidRPr="000973F2" w:rsidRDefault="0086415A" w:rsidP="005872F5">
            <w:pPr>
              <w:tabs>
                <w:tab w:val="decimal" w:pos="466"/>
              </w:tabs>
              <w:spacing w:before="40" w:after="4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18"/>
                <w:szCs w:val="18"/>
              </w:rPr>
            </w:pPr>
            <w:r w:rsidRPr="000973F2">
              <w:rPr>
                <w:rFonts w:ascii="Times New Roman" w:eastAsia="Times New Roman" w:hAnsi="Times New Roman" w:cs="Times New Roman"/>
                <w:b/>
                <w:bCs/>
                <w:sz w:val="18"/>
                <w:szCs w:val="18"/>
              </w:rPr>
              <w:t>$2,928</w:t>
            </w:r>
          </w:p>
        </w:tc>
      </w:tr>
    </w:tbl>
    <w:p w14:paraId="4771B911" w14:textId="77777777" w:rsidR="0086415A" w:rsidRPr="000973F2" w:rsidRDefault="0086415A" w:rsidP="00C00E4F">
      <w:pPr>
        <w:spacing w:line="240" w:lineRule="auto"/>
        <w:rPr>
          <w:rFonts w:ascii="Times New Roman" w:hAnsi="Times New Roman" w:cs="Times New Roman"/>
          <w:sz w:val="16"/>
          <w:szCs w:val="16"/>
        </w:rPr>
      </w:pPr>
    </w:p>
    <w:p w14:paraId="6A3F6F93" w14:textId="3527814A" w:rsidR="00D826A6" w:rsidRPr="000973F2" w:rsidRDefault="00D826A6" w:rsidP="005872F5">
      <w:pPr>
        <w:pStyle w:val="Tabletitle"/>
        <w:rPr>
          <w:sz w:val="16"/>
        </w:rPr>
      </w:pPr>
      <w:r w:rsidRPr="000973F2">
        <w:t xml:space="preserve">Table </w:t>
      </w:r>
      <w:r w:rsidR="005872F5" w:rsidRPr="000973F2">
        <w:t>Y-</w:t>
      </w:r>
      <w:r w:rsidRPr="000973F2">
        <w:t>2g. Labor Costs</w:t>
      </w:r>
      <w:r w:rsidR="00EE78FC" w:rsidRPr="000973F2">
        <w:t xml:space="preserve"> </w:t>
      </w:r>
      <w:r w:rsidR="00B960CC" w:rsidRPr="000973F2">
        <w:t>–</w:t>
      </w:r>
      <w:r w:rsidRPr="000973F2">
        <w:t xml:space="preserve"> Subpart Y – Small Upgrading Refinery</w:t>
      </w:r>
    </w:p>
    <w:tbl>
      <w:tblPr>
        <w:tblStyle w:val="PlainTable1"/>
        <w:tblW w:w="5000" w:type="pct"/>
        <w:jc w:val="left"/>
        <w:tblLayout w:type="fixed"/>
        <w:tblLook w:val="04A0" w:firstRow="1" w:lastRow="0" w:firstColumn="1" w:lastColumn="0" w:noHBand="0" w:noVBand="1"/>
      </w:tblPr>
      <w:tblGrid>
        <w:gridCol w:w="1569"/>
        <w:gridCol w:w="819"/>
        <w:gridCol w:w="819"/>
        <w:gridCol w:w="819"/>
        <w:gridCol w:w="820"/>
        <w:gridCol w:w="819"/>
        <w:gridCol w:w="819"/>
        <w:gridCol w:w="819"/>
        <w:gridCol w:w="820"/>
        <w:gridCol w:w="599"/>
        <w:gridCol w:w="854"/>
      </w:tblGrid>
      <w:tr w:rsidR="0086415A" w:rsidRPr="000973F2" w14:paraId="667F9FE3" w14:textId="77777777" w:rsidTr="00B926DD">
        <w:trPr>
          <w:cnfStyle w:val="100000000000" w:firstRow="1" w:lastRow="0" w:firstColumn="0" w:lastColumn="0" w:oddVBand="0" w:evenVBand="0" w:oddHBand="0" w:evenHBand="0" w:firstRowFirstColumn="0" w:firstRowLastColumn="0" w:lastRowFirstColumn="0" w:lastRowLastColumn="0"/>
          <w:cantSplit/>
          <w:jc w:val="left"/>
        </w:trPr>
        <w:tc>
          <w:tcPr>
            <w:cnfStyle w:val="001000000000" w:firstRow="0" w:lastRow="0" w:firstColumn="1" w:lastColumn="0" w:oddVBand="0" w:evenVBand="0" w:oddHBand="0" w:evenHBand="0" w:firstRowFirstColumn="0" w:firstRowLastColumn="0" w:lastRowFirstColumn="0" w:lastRowLastColumn="0"/>
            <w:tcW w:w="1528" w:type="dxa"/>
            <w:vMerge w:val="restart"/>
            <w:noWrap/>
            <w:vAlign w:val="top"/>
          </w:tcPr>
          <w:p w14:paraId="4881D877" w14:textId="77777777" w:rsidR="0086415A" w:rsidRPr="000973F2" w:rsidRDefault="0086415A" w:rsidP="005872F5">
            <w:pPr>
              <w:keepNext/>
              <w:spacing w:before="40" w:after="40"/>
              <w:rPr>
                <w:rFonts w:ascii="Times New Roman" w:eastAsia="Times New Roman" w:hAnsi="Times New Roman" w:cs="Times New Roman"/>
                <w:bCs w:val="0"/>
                <w:sz w:val="18"/>
                <w:szCs w:val="18"/>
              </w:rPr>
            </w:pPr>
            <w:r w:rsidRPr="000973F2">
              <w:rPr>
                <w:rFonts w:ascii="Times New Roman" w:eastAsia="Times New Roman" w:hAnsi="Times New Roman" w:cs="Times New Roman"/>
                <w:bCs w:val="0"/>
                <w:sz w:val="18"/>
                <w:szCs w:val="18"/>
              </w:rPr>
              <w:t>Activity</w:t>
            </w:r>
          </w:p>
        </w:tc>
        <w:tc>
          <w:tcPr>
            <w:tcW w:w="6386" w:type="dxa"/>
            <w:gridSpan w:val="8"/>
            <w:noWrap/>
            <w:vAlign w:val="top"/>
          </w:tcPr>
          <w:p w14:paraId="385A34DB" w14:textId="77777777" w:rsidR="0086415A" w:rsidRPr="000973F2" w:rsidRDefault="0086415A" w:rsidP="005872F5">
            <w:pPr>
              <w:keepNext/>
              <w:spacing w:before="40" w:after="40"/>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Cs w:val="0"/>
                <w:sz w:val="18"/>
                <w:szCs w:val="18"/>
              </w:rPr>
            </w:pPr>
            <w:r w:rsidRPr="000973F2">
              <w:rPr>
                <w:rFonts w:ascii="Times New Roman" w:eastAsia="Times New Roman" w:hAnsi="Times New Roman" w:cs="Times New Roman"/>
                <w:bCs w:val="0"/>
                <w:sz w:val="18"/>
                <w:szCs w:val="18"/>
              </w:rPr>
              <w:t>Labor Rates (per hour)</w:t>
            </w:r>
          </w:p>
        </w:tc>
        <w:tc>
          <w:tcPr>
            <w:tcW w:w="1416" w:type="dxa"/>
            <w:gridSpan w:val="2"/>
            <w:vMerge w:val="restart"/>
            <w:vAlign w:val="top"/>
          </w:tcPr>
          <w:p w14:paraId="77AA9769" w14:textId="77777777" w:rsidR="0086415A" w:rsidRPr="000973F2" w:rsidRDefault="0086415A" w:rsidP="005872F5">
            <w:pPr>
              <w:keepNext/>
              <w:spacing w:before="40" w:after="40"/>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Cs w:val="0"/>
                <w:sz w:val="18"/>
                <w:szCs w:val="18"/>
              </w:rPr>
            </w:pPr>
            <w:r w:rsidRPr="000973F2">
              <w:rPr>
                <w:rFonts w:ascii="Times New Roman" w:eastAsia="Times New Roman" w:hAnsi="Times New Roman" w:cs="Times New Roman"/>
                <w:bCs w:val="0"/>
                <w:sz w:val="18"/>
                <w:szCs w:val="18"/>
              </w:rPr>
              <w:t>Total Labor Cost per Year per Facility (2017$)</w:t>
            </w:r>
          </w:p>
        </w:tc>
      </w:tr>
      <w:tr w:rsidR="0086415A" w:rsidRPr="000973F2" w14:paraId="77ABD017" w14:textId="77777777" w:rsidTr="00B926DD">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1528" w:type="dxa"/>
            <w:vMerge/>
          </w:tcPr>
          <w:p w14:paraId="4925B456" w14:textId="77777777" w:rsidR="0086415A" w:rsidRPr="000973F2" w:rsidRDefault="0086415A" w:rsidP="005872F5">
            <w:pPr>
              <w:keepNext/>
              <w:spacing w:before="40" w:after="40"/>
              <w:rPr>
                <w:rFonts w:ascii="Times New Roman" w:eastAsia="Times New Roman" w:hAnsi="Times New Roman" w:cs="Times New Roman"/>
                <w:b/>
                <w:bCs w:val="0"/>
                <w:sz w:val="18"/>
                <w:szCs w:val="18"/>
              </w:rPr>
            </w:pPr>
          </w:p>
        </w:tc>
        <w:tc>
          <w:tcPr>
            <w:tcW w:w="1596" w:type="dxa"/>
            <w:gridSpan w:val="2"/>
            <w:noWrap/>
          </w:tcPr>
          <w:p w14:paraId="46841E29" w14:textId="77777777" w:rsidR="0086415A" w:rsidRPr="000973F2" w:rsidRDefault="0086415A" w:rsidP="005872F5">
            <w:pPr>
              <w:keepNext/>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18"/>
                <w:szCs w:val="18"/>
              </w:rPr>
            </w:pPr>
            <w:r w:rsidRPr="000973F2">
              <w:rPr>
                <w:rFonts w:ascii="Times New Roman" w:eastAsia="Times New Roman" w:hAnsi="Times New Roman" w:cs="Times New Roman"/>
                <w:b/>
                <w:bCs/>
                <w:sz w:val="18"/>
                <w:szCs w:val="18"/>
              </w:rPr>
              <w:t>Lawyer</w:t>
            </w:r>
          </w:p>
        </w:tc>
        <w:tc>
          <w:tcPr>
            <w:tcW w:w="1597" w:type="dxa"/>
            <w:gridSpan w:val="2"/>
            <w:noWrap/>
          </w:tcPr>
          <w:p w14:paraId="5585D958" w14:textId="77777777" w:rsidR="0086415A" w:rsidRPr="000973F2" w:rsidRDefault="0086415A" w:rsidP="005872F5">
            <w:pPr>
              <w:keepNext/>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18"/>
                <w:szCs w:val="18"/>
              </w:rPr>
            </w:pPr>
            <w:r w:rsidRPr="000973F2">
              <w:rPr>
                <w:rFonts w:ascii="Times New Roman" w:eastAsia="Times New Roman" w:hAnsi="Times New Roman" w:cs="Times New Roman"/>
                <w:b/>
                <w:bCs/>
                <w:sz w:val="18"/>
                <w:szCs w:val="18"/>
              </w:rPr>
              <w:t>Industrial Manager</w:t>
            </w:r>
          </w:p>
        </w:tc>
        <w:tc>
          <w:tcPr>
            <w:tcW w:w="1596" w:type="dxa"/>
            <w:gridSpan w:val="2"/>
          </w:tcPr>
          <w:p w14:paraId="0AEFE5A1" w14:textId="3F6896B1" w:rsidR="0086415A" w:rsidRPr="000973F2" w:rsidRDefault="0086415A" w:rsidP="005872F5">
            <w:pPr>
              <w:keepNext/>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18"/>
                <w:szCs w:val="18"/>
              </w:rPr>
            </w:pPr>
            <w:r w:rsidRPr="000973F2">
              <w:rPr>
                <w:rFonts w:ascii="Times New Roman" w:eastAsia="Times New Roman" w:hAnsi="Times New Roman" w:cs="Times New Roman"/>
                <w:b/>
                <w:bCs/>
                <w:sz w:val="18"/>
                <w:szCs w:val="18"/>
              </w:rPr>
              <w:t>Industrial Engineer/</w:t>
            </w:r>
            <w:r w:rsidR="005872F5" w:rsidRPr="000973F2">
              <w:rPr>
                <w:rFonts w:ascii="Times New Roman" w:eastAsia="Times New Roman" w:hAnsi="Times New Roman" w:cs="Times New Roman"/>
                <w:b/>
                <w:bCs/>
                <w:sz w:val="18"/>
                <w:szCs w:val="18"/>
              </w:rPr>
              <w:t xml:space="preserve"> </w:t>
            </w:r>
            <w:r w:rsidRPr="000973F2">
              <w:rPr>
                <w:rFonts w:ascii="Times New Roman" w:eastAsia="Times New Roman" w:hAnsi="Times New Roman" w:cs="Times New Roman"/>
                <w:b/>
                <w:bCs/>
                <w:sz w:val="18"/>
                <w:szCs w:val="18"/>
              </w:rPr>
              <w:t>Technician</w:t>
            </w:r>
          </w:p>
        </w:tc>
        <w:tc>
          <w:tcPr>
            <w:tcW w:w="1597" w:type="dxa"/>
            <w:gridSpan w:val="2"/>
          </w:tcPr>
          <w:p w14:paraId="3049111B" w14:textId="77777777" w:rsidR="0086415A" w:rsidRPr="000973F2" w:rsidRDefault="0086415A" w:rsidP="005872F5">
            <w:pPr>
              <w:keepNext/>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18"/>
                <w:szCs w:val="18"/>
              </w:rPr>
            </w:pPr>
            <w:r w:rsidRPr="000973F2">
              <w:rPr>
                <w:rFonts w:ascii="Times New Roman" w:eastAsia="Times New Roman" w:hAnsi="Times New Roman" w:cs="Times New Roman"/>
                <w:b/>
                <w:bCs/>
                <w:sz w:val="18"/>
                <w:szCs w:val="18"/>
              </w:rPr>
              <w:t>Administrative Support</w:t>
            </w:r>
          </w:p>
        </w:tc>
        <w:tc>
          <w:tcPr>
            <w:tcW w:w="1416" w:type="dxa"/>
            <w:gridSpan w:val="2"/>
            <w:vMerge/>
          </w:tcPr>
          <w:p w14:paraId="7E21F473" w14:textId="77777777" w:rsidR="0086415A" w:rsidRPr="000973F2" w:rsidRDefault="0086415A" w:rsidP="005872F5">
            <w:pPr>
              <w:keepNext/>
              <w:spacing w:before="40" w:after="4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18"/>
                <w:szCs w:val="18"/>
              </w:rPr>
            </w:pPr>
          </w:p>
        </w:tc>
      </w:tr>
      <w:tr w:rsidR="0086415A" w:rsidRPr="000973F2" w14:paraId="0027D170" w14:textId="77777777" w:rsidTr="00B926DD">
        <w:trPr>
          <w:cantSplit/>
        </w:trPr>
        <w:tc>
          <w:tcPr>
            <w:cnfStyle w:val="001000000000" w:firstRow="0" w:lastRow="0" w:firstColumn="1" w:lastColumn="0" w:oddVBand="0" w:evenVBand="0" w:oddHBand="0" w:evenHBand="0" w:firstRowFirstColumn="0" w:firstRowLastColumn="0" w:lastRowFirstColumn="0" w:lastRowLastColumn="0"/>
            <w:tcW w:w="1528" w:type="dxa"/>
            <w:vMerge/>
          </w:tcPr>
          <w:p w14:paraId="155B0D5A" w14:textId="77777777" w:rsidR="0086415A" w:rsidRPr="000973F2" w:rsidRDefault="0086415A" w:rsidP="005872F5">
            <w:pPr>
              <w:keepNext/>
              <w:spacing w:before="40" w:after="40"/>
              <w:rPr>
                <w:rFonts w:ascii="Times New Roman" w:eastAsia="Times New Roman" w:hAnsi="Times New Roman" w:cs="Times New Roman"/>
                <w:b/>
                <w:bCs w:val="0"/>
                <w:sz w:val="18"/>
                <w:szCs w:val="18"/>
              </w:rPr>
            </w:pPr>
          </w:p>
        </w:tc>
        <w:tc>
          <w:tcPr>
            <w:tcW w:w="1596" w:type="dxa"/>
            <w:gridSpan w:val="2"/>
            <w:noWrap/>
          </w:tcPr>
          <w:p w14:paraId="611BE712" w14:textId="77777777" w:rsidR="0086415A" w:rsidRPr="000973F2" w:rsidRDefault="0086415A" w:rsidP="005872F5">
            <w:pPr>
              <w:keepNext/>
              <w:spacing w:before="40" w:after="4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sz w:val="18"/>
                <w:szCs w:val="18"/>
              </w:rPr>
            </w:pPr>
            <w:r w:rsidRPr="000973F2">
              <w:rPr>
                <w:rFonts w:ascii="Times New Roman" w:eastAsia="Times New Roman" w:hAnsi="Times New Roman" w:cs="Times New Roman"/>
                <w:b/>
                <w:bCs/>
                <w:sz w:val="18"/>
                <w:szCs w:val="18"/>
              </w:rPr>
              <w:t xml:space="preserve">$112.23 </w:t>
            </w:r>
          </w:p>
        </w:tc>
        <w:tc>
          <w:tcPr>
            <w:tcW w:w="1597" w:type="dxa"/>
            <w:gridSpan w:val="2"/>
            <w:noWrap/>
          </w:tcPr>
          <w:p w14:paraId="067C9248" w14:textId="77777777" w:rsidR="0086415A" w:rsidRPr="000973F2" w:rsidRDefault="0086415A" w:rsidP="005872F5">
            <w:pPr>
              <w:keepNext/>
              <w:spacing w:before="40" w:after="4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sz w:val="18"/>
                <w:szCs w:val="18"/>
              </w:rPr>
            </w:pPr>
            <w:r w:rsidRPr="000973F2">
              <w:rPr>
                <w:rFonts w:ascii="Times New Roman" w:eastAsia="Times New Roman" w:hAnsi="Times New Roman" w:cs="Times New Roman"/>
                <w:b/>
                <w:bCs/>
                <w:sz w:val="18"/>
                <w:szCs w:val="18"/>
              </w:rPr>
              <w:t xml:space="preserve">$87.45 </w:t>
            </w:r>
          </w:p>
        </w:tc>
        <w:tc>
          <w:tcPr>
            <w:tcW w:w="1596" w:type="dxa"/>
            <w:gridSpan w:val="2"/>
            <w:noWrap/>
          </w:tcPr>
          <w:p w14:paraId="7404877B" w14:textId="77777777" w:rsidR="0086415A" w:rsidRPr="000973F2" w:rsidRDefault="0086415A" w:rsidP="005872F5">
            <w:pPr>
              <w:keepNext/>
              <w:spacing w:before="40" w:after="4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sz w:val="18"/>
                <w:szCs w:val="18"/>
              </w:rPr>
            </w:pPr>
            <w:r w:rsidRPr="000973F2">
              <w:rPr>
                <w:rFonts w:ascii="Times New Roman" w:eastAsia="Times New Roman" w:hAnsi="Times New Roman" w:cs="Times New Roman"/>
                <w:b/>
                <w:bCs/>
                <w:sz w:val="18"/>
                <w:szCs w:val="18"/>
              </w:rPr>
              <w:t xml:space="preserve">$71.45 </w:t>
            </w:r>
          </w:p>
        </w:tc>
        <w:tc>
          <w:tcPr>
            <w:tcW w:w="1597" w:type="dxa"/>
            <w:gridSpan w:val="2"/>
            <w:noWrap/>
          </w:tcPr>
          <w:p w14:paraId="6CCE63C8" w14:textId="77777777" w:rsidR="0086415A" w:rsidRPr="000973F2" w:rsidRDefault="0086415A" w:rsidP="005872F5">
            <w:pPr>
              <w:keepNext/>
              <w:spacing w:before="40" w:after="4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sz w:val="18"/>
                <w:szCs w:val="18"/>
              </w:rPr>
            </w:pPr>
            <w:r w:rsidRPr="000973F2">
              <w:rPr>
                <w:rFonts w:ascii="Times New Roman" w:eastAsia="Times New Roman" w:hAnsi="Times New Roman" w:cs="Times New Roman"/>
                <w:b/>
                <w:bCs/>
                <w:sz w:val="18"/>
                <w:szCs w:val="18"/>
              </w:rPr>
              <w:t xml:space="preserve">$36.28 </w:t>
            </w:r>
          </w:p>
        </w:tc>
        <w:tc>
          <w:tcPr>
            <w:tcW w:w="1416" w:type="dxa"/>
            <w:gridSpan w:val="2"/>
            <w:vMerge/>
          </w:tcPr>
          <w:p w14:paraId="44D6D14A" w14:textId="77777777" w:rsidR="0086415A" w:rsidRPr="000973F2" w:rsidRDefault="0086415A" w:rsidP="005872F5">
            <w:pPr>
              <w:keepNext/>
              <w:spacing w:before="40" w:after="4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sz w:val="18"/>
                <w:szCs w:val="18"/>
              </w:rPr>
            </w:pPr>
          </w:p>
        </w:tc>
      </w:tr>
      <w:tr w:rsidR="005872F5" w:rsidRPr="000973F2" w14:paraId="3A6F34BD" w14:textId="77777777" w:rsidTr="005872F5">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1528" w:type="dxa"/>
            <w:vMerge/>
          </w:tcPr>
          <w:p w14:paraId="129A6917" w14:textId="77777777" w:rsidR="0086415A" w:rsidRPr="000973F2" w:rsidRDefault="0086415A" w:rsidP="005872F5">
            <w:pPr>
              <w:keepNext/>
              <w:spacing w:before="40" w:after="40"/>
              <w:rPr>
                <w:rFonts w:ascii="Times New Roman" w:eastAsia="Times New Roman" w:hAnsi="Times New Roman" w:cs="Times New Roman"/>
                <w:b/>
                <w:bCs w:val="0"/>
                <w:sz w:val="18"/>
                <w:szCs w:val="18"/>
              </w:rPr>
            </w:pPr>
          </w:p>
        </w:tc>
        <w:tc>
          <w:tcPr>
            <w:tcW w:w="798" w:type="dxa"/>
            <w:tcMar>
              <w:left w:w="14" w:type="dxa"/>
              <w:right w:w="14" w:type="dxa"/>
            </w:tcMar>
          </w:tcPr>
          <w:p w14:paraId="48BE620F" w14:textId="77777777" w:rsidR="0086415A" w:rsidRPr="000973F2" w:rsidRDefault="0086415A" w:rsidP="005872F5">
            <w:pPr>
              <w:keepNext/>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18"/>
                <w:szCs w:val="18"/>
              </w:rPr>
            </w:pPr>
            <w:r w:rsidRPr="000973F2">
              <w:rPr>
                <w:rFonts w:ascii="Times New Roman" w:eastAsia="Times New Roman" w:hAnsi="Times New Roman" w:cs="Times New Roman"/>
                <w:b/>
                <w:bCs/>
                <w:sz w:val="18"/>
                <w:szCs w:val="18"/>
              </w:rPr>
              <w:t>Initial Year Hours</w:t>
            </w:r>
          </w:p>
        </w:tc>
        <w:tc>
          <w:tcPr>
            <w:tcW w:w="798" w:type="dxa"/>
            <w:tcMar>
              <w:left w:w="14" w:type="dxa"/>
              <w:right w:w="14" w:type="dxa"/>
            </w:tcMar>
          </w:tcPr>
          <w:p w14:paraId="4AC4C554" w14:textId="77777777" w:rsidR="0086415A" w:rsidRPr="000973F2" w:rsidRDefault="0086415A" w:rsidP="005872F5">
            <w:pPr>
              <w:keepNext/>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18"/>
                <w:szCs w:val="18"/>
              </w:rPr>
            </w:pPr>
            <w:r w:rsidRPr="000973F2">
              <w:rPr>
                <w:rFonts w:ascii="Times New Roman" w:eastAsia="Times New Roman" w:hAnsi="Times New Roman" w:cs="Times New Roman"/>
                <w:b/>
                <w:bCs/>
                <w:sz w:val="18"/>
                <w:szCs w:val="18"/>
              </w:rPr>
              <w:t>Subseq. Year Hours</w:t>
            </w:r>
          </w:p>
        </w:tc>
        <w:tc>
          <w:tcPr>
            <w:tcW w:w="798" w:type="dxa"/>
            <w:tcMar>
              <w:left w:w="14" w:type="dxa"/>
              <w:right w:w="14" w:type="dxa"/>
            </w:tcMar>
          </w:tcPr>
          <w:p w14:paraId="79D2F86F" w14:textId="77777777" w:rsidR="0086415A" w:rsidRPr="000973F2" w:rsidRDefault="0086415A" w:rsidP="005872F5">
            <w:pPr>
              <w:keepNext/>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18"/>
                <w:szCs w:val="18"/>
              </w:rPr>
            </w:pPr>
            <w:r w:rsidRPr="000973F2">
              <w:rPr>
                <w:rFonts w:ascii="Times New Roman" w:eastAsia="Times New Roman" w:hAnsi="Times New Roman" w:cs="Times New Roman"/>
                <w:b/>
                <w:bCs/>
                <w:sz w:val="18"/>
                <w:szCs w:val="18"/>
              </w:rPr>
              <w:t>Initial Year Hours</w:t>
            </w:r>
          </w:p>
        </w:tc>
        <w:tc>
          <w:tcPr>
            <w:tcW w:w="799" w:type="dxa"/>
            <w:tcMar>
              <w:left w:w="14" w:type="dxa"/>
              <w:right w:w="14" w:type="dxa"/>
            </w:tcMar>
          </w:tcPr>
          <w:p w14:paraId="2D91C11F" w14:textId="77777777" w:rsidR="0086415A" w:rsidRPr="000973F2" w:rsidRDefault="0086415A" w:rsidP="005872F5">
            <w:pPr>
              <w:keepNext/>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18"/>
                <w:szCs w:val="18"/>
              </w:rPr>
            </w:pPr>
            <w:r w:rsidRPr="000973F2">
              <w:rPr>
                <w:rFonts w:ascii="Times New Roman" w:eastAsia="Times New Roman" w:hAnsi="Times New Roman" w:cs="Times New Roman"/>
                <w:b/>
                <w:bCs/>
                <w:sz w:val="18"/>
                <w:szCs w:val="18"/>
              </w:rPr>
              <w:t>Subseq. Year Hours</w:t>
            </w:r>
          </w:p>
        </w:tc>
        <w:tc>
          <w:tcPr>
            <w:tcW w:w="798" w:type="dxa"/>
            <w:tcMar>
              <w:left w:w="14" w:type="dxa"/>
              <w:right w:w="14" w:type="dxa"/>
            </w:tcMar>
          </w:tcPr>
          <w:p w14:paraId="4BAA9369" w14:textId="77777777" w:rsidR="0086415A" w:rsidRPr="000973F2" w:rsidRDefault="0086415A" w:rsidP="005872F5">
            <w:pPr>
              <w:keepNext/>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18"/>
                <w:szCs w:val="18"/>
              </w:rPr>
            </w:pPr>
            <w:r w:rsidRPr="000973F2">
              <w:rPr>
                <w:rFonts w:ascii="Times New Roman" w:eastAsia="Times New Roman" w:hAnsi="Times New Roman" w:cs="Times New Roman"/>
                <w:b/>
                <w:bCs/>
                <w:sz w:val="18"/>
                <w:szCs w:val="18"/>
              </w:rPr>
              <w:t>Initial Year Hours</w:t>
            </w:r>
          </w:p>
        </w:tc>
        <w:tc>
          <w:tcPr>
            <w:tcW w:w="798" w:type="dxa"/>
            <w:tcMar>
              <w:left w:w="14" w:type="dxa"/>
              <w:right w:w="14" w:type="dxa"/>
            </w:tcMar>
          </w:tcPr>
          <w:p w14:paraId="69E5F21E" w14:textId="77777777" w:rsidR="0086415A" w:rsidRPr="000973F2" w:rsidRDefault="0086415A" w:rsidP="005872F5">
            <w:pPr>
              <w:keepNext/>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18"/>
                <w:szCs w:val="18"/>
              </w:rPr>
            </w:pPr>
            <w:r w:rsidRPr="000973F2">
              <w:rPr>
                <w:rFonts w:ascii="Times New Roman" w:eastAsia="Times New Roman" w:hAnsi="Times New Roman" w:cs="Times New Roman"/>
                <w:b/>
                <w:bCs/>
                <w:sz w:val="18"/>
                <w:szCs w:val="18"/>
              </w:rPr>
              <w:t>Subseq. Year Hours</w:t>
            </w:r>
          </w:p>
        </w:tc>
        <w:tc>
          <w:tcPr>
            <w:tcW w:w="798" w:type="dxa"/>
            <w:tcMar>
              <w:left w:w="14" w:type="dxa"/>
              <w:right w:w="14" w:type="dxa"/>
            </w:tcMar>
          </w:tcPr>
          <w:p w14:paraId="358653F9" w14:textId="77777777" w:rsidR="0086415A" w:rsidRPr="000973F2" w:rsidRDefault="0086415A" w:rsidP="005872F5">
            <w:pPr>
              <w:keepNext/>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18"/>
                <w:szCs w:val="18"/>
              </w:rPr>
            </w:pPr>
            <w:r w:rsidRPr="000973F2">
              <w:rPr>
                <w:rFonts w:ascii="Times New Roman" w:eastAsia="Times New Roman" w:hAnsi="Times New Roman" w:cs="Times New Roman"/>
                <w:b/>
                <w:bCs/>
                <w:sz w:val="18"/>
                <w:szCs w:val="18"/>
              </w:rPr>
              <w:t>Initial Year Hours</w:t>
            </w:r>
          </w:p>
        </w:tc>
        <w:tc>
          <w:tcPr>
            <w:tcW w:w="799" w:type="dxa"/>
            <w:tcMar>
              <w:left w:w="14" w:type="dxa"/>
              <w:right w:w="14" w:type="dxa"/>
            </w:tcMar>
          </w:tcPr>
          <w:p w14:paraId="7D504095" w14:textId="77777777" w:rsidR="0086415A" w:rsidRPr="000973F2" w:rsidRDefault="0086415A" w:rsidP="005872F5">
            <w:pPr>
              <w:keepNext/>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18"/>
                <w:szCs w:val="18"/>
              </w:rPr>
            </w:pPr>
            <w:r w:rsidRPr="000973F2">
              <w:rPr>
                <w:rFonts w:ascii="Times New Roman" w:eastAsia="Times New Roman" w:hAnsi="Times New Roman" w:cs="Times New Roman"/>
                <w:b/>
                <w:bCs/>
                <w:sz w:val="18"/>
                <w:szCs w:val="18"/>
              </w:rPr>
              <w:t>Subseq. Year Hours</w:t>
            </w:r>
          </w:p>
        </w:tc>
        <w:tc>
          <w:tcPr>
            <w:tcW w:w="584" w:type="dxa"/>
            <w:tcMar>
              <w:left w:w="14" w:type="dxa"/>
              <w:right w:w="14" w:type="dxa"/>
            </w:tcMar>
          </w:tcPr>
          <w:p w14:paraId="0ACA9F20" w14:textId="77777777" w:rsidR="0086415A" w:rsidRPr="000973F2" w:rsidRDefault="0086415A" w:rsidP="005872F5">
            <w:pPr>
              <w:keepNext/>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18"/>
                <w:szCs w:val="18"/>
              </w:rPr>
            </w:pPr>
            <w:r w:rsidRPr="000973F2">
              <w:rPr>
                <w:rFonts w:ascii="Times New Roman" w:eastAsia="Times New Roman" w:hAnsi="Times New Roman" w:cs="Times New Roman"/>
                <w:b/>
                <w:bCs/>
                <w:sz w:val="18"/>
                <w:szCs w:val="18"/>
              </w:rPr>
              <w:t>Initial Year</w:t>
            </w:r>
          </w:p>
        </w:tc>
        <w:tc>
          <w:tcPr>
            <w:tcW w:w="832" w:type="dxa"/>
            <w:tcMar>
              <w:left w:w="14" w:type="dxa"/>
              <w:right w:w="14" w:type="dxa"/>
            </w:tcMar>
          </w:tcPr>
          <w:p w14:paraId="1A474001" w14:textId="77777777" w:rsidR="0086415A" w:rsidRPr="000973F2" w:rsidRDefault="0086415A" w:rsidP="005872F5">
            <w:pPr>
              <w:keepNext/>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18"/>
                <w:szCs w:val="18"/>
              </w:rPr>
            </w:pPr>
            <w:r w:rsidRPr="000973F2">
              <w:rPr>
                <w:rFonts w:ascii="Times New Roman" w:eastAsia="Times New Roman" w:hAnsi="Times New Roman" w:cs="Times New Roman"/>
                <w:b/>
                <w:bCs/>
                <w:sz w:val="18"/>
                <w:szCs w:val="18"/>
              </w:rPr>
              <w:t>Subseq. Year</w:t>
            </w:r>
          </w:p>
        </w:tc>
      </w:tr>
      <w:tr w:rsidR="005872F5" w:rsidRPr="000973F2" w14:paraId="6B773A67" w14:textId="77777777" w:rsidTr="005872F5">
        <w:trPr>
          <w:cantSplit/>
        </w:trPr>
        <w:tc>
          <w:tcPr>
            <w:cnfStyle w:val="001000000000" w:firstRow="0" w:lastRow="0" w:firstColumn="1" w:lastColumn="0" w:oddVBand="0" w:evenVBand="0" w:oddHBand="0" w:evenHBand="0" w:firstRowFirstColumn="0" w:firstRowLastColumn="0" w:lastRowFirstColumn="0" w:lastRowLastColumn="0"/>
            <w:tcW w:w="1528" w:type="dxa"/>
          </w:tcPr>
          <w:p w14:paraId="57471059" w14:textId="77777777" w:rsidR="0086415A" w:rsidRPr="000973F2" w:rsidRDefault="0086415A" w:rsidP="005872F5">
            <w:pPr>
              <w:keepNext/>
              <w:spacing w:before="40" w:after="4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Planning</w:t>
            </w:r>
          </w:p>
        </w:tc>
        <w:tc>
          <w:tcPr>
            <w:tcW w:w="798" w:type="dxa"/>
            <w:noWrap/>
          </w:tcPr>
          <w:p w14:paraId="5C4B106E" w14:textId="77777777" w:rsidR="0086415A" w:rsidRPr="000973F2" w:rsidRDefault="0086415A" w:rsidP="005872F5">
            <w:pPr>
              <w:keepNext/>
              <w:tabs>
                <w:tab w:val="decimal" w:pos="331"/>
              </w:tabs>
              <w:spacing w:before="40" w:after="4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0</w:t>
            </w:r>
          </w:p>
        </w:tc>
        <w:tc>
          <w:tcPr>
            <w:tcW w:w="798" w:type="dxa"/>
            <w:noWrap/>
          </w:tcPr>
          <w:p w14:paraId="46C22D98" w14:textId="77777777" w:rsidR="0086415A" w:rsidRPr="000973F2" w:rsidRDefault="0086415A" w:rsidP="005872F5">
            <w:pPr>
              <w:keepNext/>
              <w:tabs>
                <w:tab w:val="decimal" w:pos="331"/>
              </w:tabs>
              <w:spacing w:before="40" w:after="4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2</w:t>
            </w:r>
          </w:p>
        </w:tc>
        <w:tc>
          <w:tcPr>
            <w:tcW w:w="798" w:type="dxa"/>
            <w:noWrap/>
          </w:tcPr>
          <w:p w14:paraId="225BEDB2" w14:textId="77777777" w:rsidR="0086415A" w:rsidRPr="000973F2" w:rsidRDefault="0086415A" w:rsidP="005872F5">
            <w:pPr>
              <w:keepNext/>
              <w:tabs>
                <w:tab w:val="decimal" w:pos="331"/>
              </w:tabs>
              <w:spacing w:before="40" w:after="4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0</w:t>
            </w:r>
          </w:p>
        </w:tc>
        <w:tc>
          <w:tcPr>
            <w:tcW w:w="799" w:type="dxa"/>
            <w:noWrap/>
          </w:tcPr>
          <w:p w14:paraId="3BBA9876" w14:textId="77777777" w:rsidR="0086415A" w:rsidRPr="000973F2" w:rsidRDefault="0086415A" w:rsidP="005872F5">
            <w:pPr>
              <w:keepNext/>
              <w:tabs>
                <w:tab w:val="decimal" w:pos="331"/>
              </w:tabs>
              <w:spacing w:before="40" w:after="4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0.6</w:t>
            </w:r>
          </w:p>
        </w:tc>
        <w:tc>
          <w:tcPr>
            <w:tcW w:w="798" w:type="dxa"/>
            <w:noWrap/>
          </w:tcPr>
          <w:p w14:paraId="0077B5B2" w14:textId="77777777" w:rsidR="0086415A" w:rsidRPr="000973F2" w:rsidRDefault="0086415A" w:rsidP="005872F5">
            <w:pPr>
              <w:keepNext/>
              <w:tabs>
                <w:tab w:val="decimal" w:pos="331"/>
              </w:tabs>
              <w:spacing w:before="40" w:after="4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0</w:t>
            </w:r>
          </w:p>
        </w:tc>
        <w:tc>
          <w:tcPr>
            <w:tcW w:w="798" w:type="dxa"/>
            <w:noWrap/>
          </w:tcPr>
          <w:p w14:paraId="0B822471" w14:textId="77777777" w:rsidR="0086415A" w:rsidRPr="000973F2" w:rsidRDefault="0086415A" w:rsidP="005872F5">
            <w:pPr>
              <w:keepNext/>
              <w:tabs>
                <w:tab w:val="decimal" w:pos="331"/>
              </w:tabs>
              <w:spacing w:before="40" w:after="4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6</w:t>
            </w:r>
          </w:p>
        </w:tc>
        <w:tc>
          <w:tcPr>
            <w:tcW w:w="798" w:type="dxa"/>
            <w:noWrap/>
          </w:tcPr>
          <w:p w14:paraId="1ABCAE10" w14:textId="77777777" w:rsidR="0086415A" w:rsidRPr="000973F2" w:rsidRDefault="0086415A" w:rsidP="005872F5">
            <w:pPr>
              <w:keepNext/>
              <w:tabs>
                <w:tab w:val="decimal" w:pos="331"/>
              </w:tabs>
              <w:spacing w:before="40" w:after="4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0</w:t>
            </w:r>
          </w:p>
        </w:tc>
        <w:tc>
          <w:tcPr>
            <w:tcW w:w="799" w:type="dxa"/>
            <w:noWrap/>
          </w:tcPr>
          <w:p w14:paraId="536E64D4" w14:textId="77777777" w:rsidR="0086415A" w:rsidRPr="000973F2" w:rsidRDefault="0086415A" w:rsidP="005872F5">
            <w:pPr>
              <w:keepNext/>
              <w:tabs>
                <w:tab w:val="decimal" w:pos="331"/>
              </w:tabs>
              <w:spacing w:before="40" w:after="4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0.6</w:t>
            </w:r>
          </w:p>
        </w:tc>
        <w:tc>
          <w:tcPr>
            <w:tcW w:w="584" w:type="dxa"/>
            <w:noWrap/>
          </w:tcPr>
          <w:p w14:paraId="4D1F065F" w14:textId="77777777" w:rsidR="0086415A" w:rsidRPr="000973F2" w:rsidRDefault="0086415A" w:rsidP="005872F5">
            <w:pPr>
              <w:keepNext/>
              <w:tabs>
                <w:tab w:val="decimal" w:pos="331"/>
              </w:tabs>
              <w:spacing w:before="40" w:after="4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$0</w:t>
            </w:r>
          </w:p>
        </w:tc>
        <w:tc>
          <w:tcPr>
            <w:tcW w:w="832" w:type="dxa"/>
            <w:noWrap/>
          </w:tcPr>
          <w:p w14:paraId="3A445B81" w14:textId="77777777" w:rsidR="0086415A" w:rsidRPr="000973F2" w:rsidRDefault="0086415A" w:rsidP="005872F5">
            <w:pPr>
              <w:keepNext/>
              <w:tabs>
                <w:tab w:val="decimal" w:pos="466"/>
              </w:tabs>
              <w:spacing w:before="40" w:after="4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$727</w:t>
            </w:r>
          </w:p>
        </w:tc>
      </w:tr>
      <w:tr w:rsidR="005872F5" w:rsidRPr="000973F2" w14:paraId="119032C5" w14:textId="77777777" w:rsidTr="005872F5">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1528" w:type="dxa"/>
          </w:tcPr>
          <w:p w14:paraId="580879C0" w14:textId="77777777" w:rsidR="0086415A" w:rsidRPr="000973F2" w:rsidRDefault="0086415A" w:rsidP="005872F5">
            <w:pPr>
              <w:keepNext/>
              <w:spacing w:before="40" w:after="4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QA/QC</w:t>
            </w:r>
          </w:p>
        </w:tc>
        <w:tc>
          <w:tcPr>
            <w:tcW w:w="798" w:type="dxa"/>
            <w:noWrap/>
          </w:tcPr>
          <w:p w14:paraId="5833B029" w14:textId="77777777" w:rsidR="0086415A" w:rsidRPr="000973F2" w:rsidRDefault="0086415A" w:rsidP="005872F5">
            <w:pPr>
              <w:keepNext/>
              <w:tabs>
                <w:tab w:val="decimal" w:pos="331"/>
              </w:tabs>
              <w:spacing w:before="40" w:after="4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0</w:t>
            </w:r>
          </w:p>
        </w:tc>
        <w:tc>
          <w:tcPr>
            <w:tcW w:w="798" w:type="dxa"/>
            <w:noWrap/>
          </w:tcPr>
          <w:p w14:paraId="51FA06EF" w14:textId="77777777" w:rsidR="0086415A" w:rsidRPr="000973F2" w:rsidRDefault="0086415A" w:rsidP="005872F5">
            <w:pPr>
              <w:keepNext/>
              <w:tabs>
                <w:tab w:val="decimal" w:pos="331"/>
              </w:tabs>
              <w:spacing w:before="40" w:after="4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0</w:t>
            </w:r>
          </w:p>
        </w:tc>
        <w:tc>
          <w:tcPr>
            <w:tcW w:w="798" w:type="dxa"/>
            <w:noWrap/>
          </w:tcPr>
          <w:p w14:paraId="7FE8EA31" w14:textId="77777777" w:rsidR="0086415A" w:rsidRPr="000973F2" w:rsidRDefault="0086415A" w:rsidP="005872F5">
            <w:pPr>
              <w:keepNext/>
              <w:tabs>
                <w:tab w:val="decimal" w:pos="331"/>
              </w:tabs>
              <w:spacing w:before="40" w:after="4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0</w:t>
            </w:r>
          </w:p>
        </w:tc>
        <w:tc>
          <w:tcPr>
            <w:tcW w:w="799" w:type="dxa"/>
            <w:noWrap/>
          </w:tcPr>
          <w:p w14:paraId="256D652B" w14:textId="77777777" w:rsidR="0086415A" w:rsidRPr="000973F2" w:rsidRDefault="0086415A" w:rsidP="005872F5">
            <w:pPr>
              <w:keepNext/>
              <w:tabs>
                <w:tab w:val="decimal" w:pos="331"/>
              </w:tabs>
              <w:spacing w:before="40" w:after="4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0.6</w:t>
            </w:r>
          </w:p>
        </w:tc>
        <w:tc>
          <w:tcPr>
            <w:tcW w:w="798" w:type="dxa"/>
            <w:noWrap/>
          </w:tcPr>
          <w:p w14:paraId="70CEF6C3" w14:textId="77777777" w:rsidR="0086415A" w:rsidRPr="000973F2" w:rsidRDefault="0086415A" w:rsidP="005872F5">
            <w:pPr>
              <w:keepNext/>
              <w:tabs>
                <w:tab w:val="decimal" w:pos="331"/>
              </w:tabs>
              <w:spacing w:before="40" w:after="4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0</w:t>
            </w:r>
          </w:p>
        </w:tc>
        <w:tc>
          <w:tcPr>
            <w:tcW w:w="798" w:type="dxa"/>
            <w:noWrap/>
          </w:tcPr>
          <w:p w14:paraId="4EDD965E" w14:textId="77777777" w:rsidR="0086415A" w:rsidRPr="000973F2" w:rsidRDefault="0086415A" w:rsidP="005872F5">
            <w:pPr>
              <w:keepNext/>
              <w:tabs>
                <w:tab w:val="decimal" w:pos="331"/>
              </w:tabs>
              <w:spacing w:before="40" w:after="4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6</w:t>
            </w:r>
          </w:p>
        </w:tc>
        <w:tc>
          <w:tcPr>
            <w:tcW w:w="798" w:type="dxa"/>
            <w:noWrap/>
          </w:tcPr>
          <w:p w14:paraId="25DE73FC" w14:textId="77777777" w:rsidR="0086415A" w:rsidRPr="000973F2" w:rsidRDefault="0086415A" w:rsidP="005872F5">
            <w:pPr>
              <w:keepNext/>
              <w:tabs>
                <w:tab w:val="decimal" w:pos="331"/>
              </w:tabs>
              <w:spacing w:before="40" w:after="4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0</w:t>
            </w:r>
          </w:p>
        </w:tc>
        <w:tc>
          <w:tcPr>
            <w:tcW w:w="799" w:type="dxa"/>
            <w:noWrap/>
          </w:tcPr>
          <w:p w14:paraId="62144A3C" w14:textId="77777777" w:rsidR="0086415A" w:rsidRPr="000973F2" w:rsidRDefault="0086415A" w:rsidP="005872F5">
            <w:pPr>
              <w:keepNext/>
              <w:tabs>
                <w:tab w:val="decimal" w:pos="331"/>
              </w:tabs>
              <w:spacing w:before="40" w:after="4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0.6</w:t>
            </w:r>
          </w:p>
        </w:tc>
        <w:tc>
          <w:tcPr>
            <w:tcW w:w="584" w:type="dxa"/>
            <w:noWrap/>
          </w:tcPr>
          <w:p w14:paraId="3F70C8C6" w14:textId="77777777" w:rsidR="0086415A" w:rsidRPr="000973F2" w:rsidRDefault="0086415A" w:rsidP="005872F5">
            <w:pPr>
              <w:keepNext/>
              <w:tabs>
                <w:tab w:val="decimal" w:pos="331"/>
              </w:tabs>
              <w:spacing w:before="40" w:after="4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$0</w:t>
            </w:r>
          </w:p>
        </w:tc>
        <w:tc>
          <w:tcPr>
            <w:tcW w:w="832" w:type="dxa"/>
            <w:noWrap/>
          </w:tcPr>
          <w:p w14:paraId="64D319C3" w14:textId="77777777" w:rsidR="0086415A" w:rsidRPr="000973F2" w:rsidRDefault="0086415A" w:rsidP="005872F5">
            <w:pPr>
              <w:keepNext/>
              <w:tabs>
                <w:tab w:val="decimal" w:pos="466"/>
              </w:tabs>
              <w:spacing w:before="40" w:after="4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$503</w:t>
            </w:r>
          </w:p>
        </w:tc>
      </w:tr>
      <w:tr w:rsidR="005872F5" w:rsidRPr="000973F2" w14:paraId="57151330" w14:textId="77777777" w:rsidTr="005872F5">
        <w:trPr>
          <w:cantSplit/>
        </w:trPr>
        <w:tc>
          <w:tcPr>
            <w:cnfStyle w:val="001000000000" w:firstRow="0" w:lastRow="0" w:firstColumn="1" w:lastColumn="0" w:oddVBand="0" w:evenVBand="0" w:oddHBand="0" w:evenHBand="0" w:firstRowFirstColumn="0" w:firstRowLastColumn="0" w:lastRowFirstColumn="0" w:lastRowLastColumn="0"/>
            <w:tcW w:w="1528" w:type="dxa"/>
          </w:tcPr>
          <w:p w14:paraId="63F87CBE" w14:textId="77777777" w:rsidR="0086415A" w:rsidRPr="000973F2" w:rsidRDefault="0086415A" w:rsidP="005872F5">
            <w:pPr>
              <w:keepNext/>
              <w:spacing w:before="40" w:after="4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Recordkeeping</w:t>
            </w:r>
          </w:p>
        </w:tc>
        <w:tc>
          <w:tcPr>
            <w:tcW w:w="798" w:type="dxa"/>
            <w:noWrap/>
          </w:tcPr>
          <w:p w14:paraId="4ED6624F" w14:textId="77777777" w:rsidR="0086415A" w:rsidRPr="000973F2" w:rsidRDefault="0086415A" w:rsidP="005872F5">
            <w:pPr>
              <w:keepNext/>
              <w:tabs>
                <w:tab w:val="decimal" w:pos="331"/>
              </w:tabs>
              <w:spacing w:before="40" w:after="4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0</w:t>
            </w:r>
          </w:p>
        </w:tc>
        <w:tc>
          <w:tcPr>
            <w:tcW w:w="798" w:type="dxa"/>
            <w:noWrap/>
          </w:tcPr>
          <w:p w14:paraId="11865003" w14:textId="77777777" w:rsidR="0086415A" w:rsidRPr="000973F2" w:rsidRDefault="0086415A" w:rsidP="005872F5">
            <w:pPr>
              <w:keepNext/>
              <w:tabs>
                <w:tab w:val="decimal" w:pos="331"/>
              </w:tabs>
              <w:spacing w:before="40" w:after="4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0</w:t>
            </w:r>
          </w:p>
        </w:tc>
        <w:tc>
          <w:tcPr>
            <w:tcW w:w="798" w:type="dxa"/>
            <w:noWrap/>
          </w:tcPr>
          <w:p w14:paraId="68B8385D" w14:textId="77777777" w:rsidR="0086415A" w:rsidRPr="000973F2" w:rsidRDefault="0086415A" w:rsidP="005872F5">
            <w:pPr>
              <w:keepNext/>
              <w:tabs>
                <w:tab w:val="decimal" w:pos="331"/>
              </w:tabs>
              <w:spacing w:before="40" w:after="4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0</w:t>
            </w:r>
          </w:p>
        </w:tc>
        <w:tc>
          <w:tcPr>
            <w:tcW w:w="799" w:type="dxa"/>
            <w:noWrap/>
          </w:tcPr>
          <w:p w14:paraId="7E57273E" w14:textId="77777777" w:rsidR="0086415A" w:rsidRPr="000973F2" w:rsidRDefault="0086415A" w:rsidP="005872F5">
            <w:pPr>
              <w:keepNext/>
              <w:tabs>
                <w:tab w:val="decimal" w:pos="331"/>
              </w:tabs>
              <w:spacing w:before="40" w:after="4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0.5</w:t>
            </w:r>
          </w:p>
        </w:tc>
        <w:tc>
          <w:tcPr>
            <w:tcW w:w="798" w:type="dxa"/>
            <w:noWrap/>
          </w:tcPr>
          <w:p w14:paraId="70895F18" w14:textId="77777777" w:rsidR="0086415A" w:rsidRPr="000973F2" w:rsidRDefault="0086415A" w:rsidP="005872F5">
            <w:pPr>
              <w:keepNext/>
              <w:tabs>
                <w:tab w:val="decimal" w:pos="331"/>
              </w:tabs>
              <w:spacing w:before="40" w:after="4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0</w:t>
            </w:r>
          </w:p>
        </w:tc>
        <w:tc>
          <w:tcPr>
            <w:tcW w:w="798" w:type="dxa"/>
            <w:noWrap/>
          </w:tcPr>
          <w:p w14:paraId="6112195F" w14:textId="77777777" w:rsidR="0086415A" w:rsidRPr="000973F2" w:rsidRDefault="0086415A" w:rsidP="005872F5">
            <w:pPr>
              <w:keepNext/>
              <w:tabs>
                <w:tab w:val="decimal" w:pos="331"/>
              </w:tabs>
              <w:spacing w:before="40" w:after="4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5</w:t>
            </w:r>
          </w:p>
        </w:tc>
        <w:tc>
          <w:tcPr>
            <w:tcW w:w="798" w:type="dxa"/>
            <w:noWrap/>
          </w:tcPr>
          <w:p w14:paraId="0E6442E2" w14:textId="77777777" w:rsidR="0086415A" w:rsidRPr="000973F2" w:rsidRDefault="0086415A" w:rsidP="005872F5">
            <w:pPr>
              <w:keepNext/>
              <w:tabs>
                <w:tab w:val="decimal" w:pos="331"/>
              </w:tabs>
              <w:spacing w:before="40" w:after="4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0</w:t>
            </w:r>
          </w:p>
        </w:tc>
        <w:tc>
          <w:tcPr>
            <w:tcW w:w="799" w:type="dxa"/>
            <w:noWrap/>
          </w:tcPr>
          <w:p w14:paraId="376684C2" w14:textId="77777777" w:rsidR="0086415A" w:rsidRPr="000973F2" w:rsidRDefault="0086415A" w:rsidP="005872F5">
            <w:pPr>
              <w:keepNext/>
              <w:tabs>
                <w:tab w:val="decimal" w:pos="331"/>
              </w:tabs>
              <w:spacing w:before="40" w:after="4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0.5</w:t>
            </w:r>
          </w:p>
        </w:tc>
        <w:tc>
          <w:tcPr>
            <w:tcW w:w="584" w:type="dxa"/>
            <w:noWrap/>
          </w:tcPr>
          <w:p w14:paraId="72FFEA34" w14:textId="77777777" w:rsidR="0086415A" w:rsidRPr="000973F2" w:rsidRDefault="0086415A" w:rsidP="005872F5">
            <w:pPr>
              <w:keepNext/>
              <w:tabs>
                <w:tab w:val="decimal" w:pos="331"/>
              </w:tabs>
              <w:spacing w:before="40" w:after="4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$0</w:t>
            </w:r>
          </w:p>
        </w:tc>
        <w:tc>
          <w:tcPr>
            <w:tcW w:w="832" w:type="dxa"/>
            <w:noWrap/>
          </w:tcPr>
          <w:p w14:paraId="5EC8C406" w14:textId="77777777" w:rsidR="0086415A" w:rsidRPr="000973F2" w:rsidRDefault="0086415A" w:rsidP="005872F5">
            <w:pPr>
              <w:keepNext/>
              <w:tabs>
                <w:tab w:val="decimal" w:pos="466"/>
              </w:tabs>
              <w:spacing w:before="40" w:after="4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$419</w:t>
            </w:r>
          </w:p>
        </w:tc>
      </w:tr>
      <w:tr w:rsidR="005872F5" w:rsidRPr="000973F2" w14:paraId="02204868" w14:textId="77777777" w:rsidTr="005872F5">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1528" w:type="dxa"/>
          </w:tcPr>
          <w:p w14:paraId="5E8DFFB0" w14:textId="77777777" w:rsidR="0086415A" w:rsidRPr="000973F2" w:rsidRDefault="0086415A" w:rsidP="005872F5">
            <w:pPr>
              <w:keepNext/>
              <w:spacing w:before="40" w:after="4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Sampling and Analysis (Calculations)</w:t>
            </w:r>
          </w:p>
        </w:tc>
        <w:tc>
          <w:tcPr>
            <w:tcW w:w="798" w:type="dxa"/>
            <w:noWrap/>
          </w:tcPr>
          <w:p w14:paraId="0896E852" w14:textId="77777777" w:rsidR="0086415A" w:rsidRPr="000973F2" w:rsidRDefault="0086415A" w:rsidP="005872F5">
            <w:pPr>
              <w:keepNext/>
              <w:tabs>
                <w:tab w:val="decimal" w:pos="331"/>
              </w:tabs>
              <w:spacing w:before="40" w:after="4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0</w:t>
            </w:r>
          </w:p>
        </w:tc>
        <w:tc>
          <w:tcPr>
            <w:tcW w:w="798" w:type="dxa"/>
            <w:noWrap/>
          </w:tcPr>
          <w:p w14:paraId="205B3C0D" w14:textId="77777777" w:rsidR="0086415A" w:rsidRPr="000973F2" w:rsidRDefault="0086415A" w:rsidP="005872F5">
            <w:pPr>
              <w:keepNext/>
              <w:tabs>
                <w:tab w:val="decimal" w:pos="331"/>
              </w:tabs>
              <w:spacing w:before="40" w:after="4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0</w:t>
            </w:r>
          </w:p>
        </w:tc>
        <w:tc>
          <w:tcPr>
            <w:tcW w:w="798" w:type="dxa"/>
            <w:noWrap/>
          </w:tcPr>
          <w:p w14:paraId="671B8348" w14:textId="77777777" w:rsidR="0086415A" w:rsidRPr="000973F2" w:rsidRDefault="0086415A" w:rsidP="005872F5">
            <w:pPr>
              <w:keepNext/>
              <w:tabs>
                <w:tab w:val="decimal" w:pos="331"/>
              </w:tabs>
              <w:spacing w:before="40" w:after="4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0</w:t>
            </w:r>
          </w:p>
        </w:tc>
        <w:tc>
          <w:tcPr>
            <w:tcW w:w="799" w:type="dxa"/>
            <w:noWrap/>
          </w:tcPr>
          <w:p w14:paraId="258842B7" w14:textId="77777777" w:rsidR="0086415A" w:rsidRPr="000973F2" w:rsidRDefault="0086415A" w:rsidP="005872F5">
            <w:pPr>
              <w:keepNext/>
              <w:tabs>
                <w:tab w:val="decimal" w:pos="331"/>
              </w:tabs>
              <w:spacing w:before="40" w:after="4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0.7</w:t>
            </w:r>
          </w:p>
        </w:tc>
        <w:tc>
          <w:tcPr>
            <w:tcW w:w="798" w:type="dxa"/>
            <w:noWrap/>
          </w:tcPr>
          <w:p w14:paraId="77742CFC" w14:textId="77777777" w:rsidR="0086415A" w:rsidRPr="000973F2" w:rsidRDefault="0086415A" w:rsidP="005872F5">
            <w:pPr>
              <w:keepNext/>
              <w:tabs>
                <w:tab w:val="decimal" w:pos="331"/>
              </w:tabs>
              <w:spacing w:before="40" w:after="4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0</w:t>
            </w:r>
          </w:p>
        </w:tc>
        <w:tc>
          <w:tcPr>
            <w:tcW w:w="798" w:type="dxa"/>
            <w:noWrap/>
          </w:tcPr>
          <w:p w14:paraId="3EEEBCD4" w14:textId="77777777" w:rsidR="0086415A" w:rsidRPr="000973F2" w:rsidRDefault="0086415A" w:rsidP="005872F5">
            <w:pPr>
              <w:keepNext/>
              <w:tabs>
                <w:tab w:val="decimal" w:pos="331"/>
              </w:tabs>
              <w:spacing w:before="40" w:after="4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6.8</w:t>
            </w:r>
          </w:p>
        </w:tc>
        <w:tc>
          <w:tcPr>
            <w:tcW w:w="798" w:type="dxa"/>
            <w:noWrap/>
          </w:tcPr>
          <w:p w14:paraId="67CEDF77" w14:textId="77777777" w:rsidR="0086415A" w:rsidRPr="000973F2" w:rsidRDefault="0086415A" w:rsidP="005872F5">
            <w:pPr>
              <w:keepNext/>
              <w:tabs>
                <w:tab w:val="decimal" w:pos="331"/>
              </w:tabs>
              <w:spacing w:before="40" w:after="4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0</w:t>
            </w:r>
          </w:p>
        </w:tc>
        <w:tc>
          <w:tcPr>
            <w:tcW w:w="799" w:type="dxa"/>
            <w:noWrap/>
          </w:tcPr>
          <w:p w14:paraId="065FB8E4" w14:textId="77777777" w:rsidR="0086415A" w:rsidRPr="000973F2" w:rsidRDefault="0086415A" w:rsidP="005872F5">
            <w:pPr>
              <w:keepNext/>
              <w:tabs>
                <w:tab w:val="decimal" w:pos="331"/>
              </w:tabs>
              <w:spacing w:before="40" w:after="4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0.7</w:t>
            </w:r>
          </w:p>
        </w:tc>
        <w:tc>
          <w:tcPr>
            <w:tcW w:w="584" w:type="dxa"/>
            <w:noWrap/>
          </w:tcPr>
          <w:p w14:paraId="2144C272" w14:textId="77777777" w:rsidR="0086415A" w:rsidRPr="000973F2" w:rsidRDefault="0086415A" w:rsidP="005872F5">
            <w:pPr>
              <w:keepNext/>
              <w:tabs>
                <w:tab w:val="decimal" w:pos="331"/>
              </w:tabs>
              <w:spacing w:before="40" w:after="4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$0</w:t>
            </w:r>
          </w:p>
        </w:tc>
        <w:tc>
          <w:tcPr>
            <w:tcW w:w="832" w:type="dxa"/>
            <w:noWrap/>
          </w:tcPr>
          <w:p w14:paraId="65E44B0E" w14:textId="77777777" w:rsidR="0086415A" w:rsidRPr="000973F2" w:rsidRDefault="0086415A" w:rsidP="005872F5">
            <w:pPr>
              <w:keepNext/>
              <w:tabs>
                <w:tab w:val="decimal" w:pos="466"/>
              </w:tabs>
              <w:spacing w:before="40" w:after="4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$566</w:t>
            </w:r>
          </w:p>
        </w:tc>
      </w:tr>
      <w:tr w:rsidR="005872F5" w:rsidRPr="000973F2" w14:paraId="497B5A36" w14:textId="77777777" w:rsidTr="005872F5">
        <w:trPr>
          <w:cantSplit/>
        </w:trPr>
        <w:tc>
          <w:tcPr>
            <w:cnfStyle w:val="001000000000" w:firstRow="0" w:lastRow="0" w:firstColumn="1" w:lastColumn="0" w:oddVBand="0" w:evenVBand="0" w:oddHBand="0" w:evenHBand="0" w:firstRowFirstColumn="0" w:firstRowLastColumn="0" w:lastRowFirstColumn="0" w:lastRowLastColumn="0"/>
            <w:tcW w:w="1528" w:type="dxa"/>
          </w:tcPr>
          <w:p w14:paraId="2B867BF9" w14:textId="77777777" w:rsidR="0086415A" w:rsidRPr="000973F2" w:rsidRDefault="0086415A" w:rsidP="005872F5">
            <w:pPr>
              <w:keepNext/>
              <w:spacing w:before="40" w:after="4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Reporting</w:t>
            </w:r>
          </w:p>
        </w:tc>
        <w:tc>
          <w:tcPr>
            <w:tcW w:w="798" w:type="dxa"/>
            <w:noWrap/>
          </w:tcPr>
          <w:p w14:paraId="614ED028" w14:textId="77777777" w:rsidR="0086415A" w:rsidRPr="000973F2" w:rsidRDefault="0086415A" w:rsidP="005872F5">
            <w:pPr>
              <w:keepNext/>
              <w:tabs>
                <w:tab w:val="decimal" w:pos="331"/>
              </w:tabs>
              <w:spacing w:before="40" w:after="4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0</w:t>
            </w:r>
          </w:p>
        </w:tc>
        <w:tc>
          <w:tcPr>
            <w:tcW w:w="798" w:type="dxa"/>
            <w:noWrap/>
          </w:tcPr>
          <w:p w14:paraId="27947110" w14:textId="77777777" w:rsidR="0086415A" w:rsidRPr="000973F2" w:rsidRDefault="0086415A" w:rsidP="005872F5">
            <w:pPr>
              <w:keepNext/>
              <w:tabs>
                <w:tab w:val="decimal" w:pos="331"/>
              </w:tabs>
              <w:spacing w:before="40" w:after="4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0</w:t>
            </w:r>
          </w:p>
        </w:tc>
        <w:tc>
          <w:tcPr>
            <w:tcW w:w="798" w:type="dxa"/>
            <w:noWrap/>
          </w:tcPr>
          <w:p w14:paraId="04C24730" w14:textId="77777777" w:rsidR="0086415A" w:rsidRPr="000973F2" w:rsidRDefault="0086415A" w:rsidP="005872F5">
            <w:pPr>
              <w:keepNext/>
              <w:tabs>
                <w:tab w:val="decimal" w:pos="331"/>
              </w:tabs>
              <w:spacing w:before="40" w:after="4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0</w:t>
            </w:r>
          </w:p>
        </w:tc>
        <w:tc>
          <w:tcPr>
            <w:tcW w:w="799" w:type="dxa"/>
            <w:noWrap/>
          </w:tcPr>
          <w:p w14:paraId="2C319DC8" w14:textId="77777777" w:rsidR="0086415A" w:rsidRPr="000973F2" w:rsidRDefault="0086415A" w:rsidP="005872F5">
            <w:pPr>
              <w:keepNext/>
              <w:tabs>
                <w:tab w:val="decimal" w:pos="331"/>
              </w:tabs>
              <w:spacing w:before="40" w:after="4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1</w:t>
            </w:r>
          </w:p>
        </w:tc>
        <w:tc>
          <w:tcPr>
            <w:tcW w:w="798" w:type="dxa"/>
            <w:noWrap/>
          </w:tcPr>
          <w:p w14:paraId="067ED4FB" w14:textId="77777777" w:rsidR="0086415A" w:rsidRPr="000973F2" w:rsidRDefault="0086415A" w:rsidP="005872F5">
            <w:pPr>
              <w:keepNext/>
              <w:tabs>
                <w:tab w:val="decimal" w:pos="331"/>
              </w:tabs>
              <w:spacing w:before="40" w:after="4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0</w:t>
            </w:r>
          </w:p>
        </w:tc>
        <w:tc>
          <w:tcPr>
            <w:tcW w:w="798" w:type="dxa"/>
            <w:noWrap/>
          </w:tcPr>
          <w:p w14:paraId="4ABD540F" w14:textId="77777777" w:rsidR="0086415A" w:rsidRPr="000973F2" w:rsidRDefault="0086415A" w:rsidP="005872F5">
            <w:pPr>
              <w:keepNext/>
              <w:tabs>
                <w:tab w:val="decimal" w:pos="331"/>
              </w:tabs>
              <w:spacing w:before="40" w:after="4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10</w:t>
            </w:r>
          </w:p>
        </w:tc>
        <w:tc>
          <w:tcPr>
            <w:tcW w:w="798" w:type="dxa"/>
            <w:noWrap/>
          </w:tcPr>
          <w:p w14:paraId="5C4EAA19" w14:textId="77777777" w:rsidR="0086415A" w:rsidRPr="000973F2" w:rsidRDefault="0086415A" w:rsidP="005872F5">
            <w:pPr>
              <w:keepNext/>
              <w:tabs>
                <w:tab w:val="decimal" w:pos="331"/>
              </w:tabs>
              <w:spacing w:before="40" w:after="4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0</w:t>
            </w:r>
          </w:p>
        </w:tc>
        <w:tc>
          <w:tcPr>
            <w:tcW w:w="799" w:type="dxa"/>
            <w:noWrap/>
          </w:tcPr>
          <w:p w14:paraId="50E07B70" w14:textId="77777777" w:rsidR="0086415A" w:rsidRPr="000973F2" w:rsidRDefault="0086415A" w:rsidP="005872F5">
            <w:pPr>
              <w:keepNext/>
              <w:tabs>
                <w:tab w:val="decimal" w:pos="331"/>
              </w:tabs>
              <w:spacing w:before="40" w:after="4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1</w:t>
            </w:r>
          </w:p>
        </w:tc>
        <w:tc>
          <w:tcPr>
            <w:tcW w:w="584" w:type="dxa"/>
            <w:noWrap/>
          </w:tcPr>
          <w:p w14:paraId="4EEC6947" w14:textId="77777777" w:rsidR="0086415A" w:rsidRPr="000973F2" w:rsidRDefault="0086415A" w:rsidP="005872F5">
            <w:pPr>
              <w:keepNext/>
              <w:tabs>
                <w:tab w:val="decimal" w:pos="331"/>
              </w:tabs>
              <w:spacing w:before="40" w:after="4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$0</w:t>
            </w:r>
          </w:p>
        </w:tc>
        <w:tc>
          <w:tcPr>
            <w:tcW w:w="832" w:type="dxa"/>
            <w:noWrap/>
          </w:tcPr>
          <w:p w14:paraId="5E8FB0B8" w14:textId="77777777" w:rsidR="0086415A" w:rsidRPr="000973F2" w:rsidRDefault="0086415A" w:rsidP="005872F5">
            <w:pPr>
              <w:keepNext/>
              <w:tabs>
                <w:tab w:val="decimal" w:pos="466"/>
              </w:tabs>
              <w:spacing w:before="40" w:after="4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$838</w:t>
            </w:r>
          </w:p>
        </w:tc>
      </w:tr>
      <w:tr w:rsidR="005872F5" w:rsidRPr="000973F2" w14:paraId="40B86C4D" w14:textId="77777777" w:rsidTr="005872F5">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1528" w:type="dxa"/>
            <w:noWrap/>
          </w:tcPr>
          <w:p w14:paraId="1C409B84" w14:textId="77777777" w:rsidR="0086415A" w:rsidRPr="000973F2" w:rsidRDefault="0086415A" w:rsidP="005872F5">
            <w:pPr>
              <w:keepNext/>
              <w:spacing w:before="40" w:after="40"/>
              <w:rPr>
                <w:rFonts w:ascii="Times New Roman" w:eastAsia="Times New Roman" w:hAnsi="Times New Roman" w:cs="Times New Roman"/>
                <w:b/>
                <w:bCs w:val="0"/>
                <w:sz w:val="18"/>
                <w:szCs w:val="18"/>
              </w:rPr>
            </w:pPr>
            <w:r w:rsidRPr="000973F2">
              <w:rPr>
                <w:rFonts w:ascii="Times New Roman" w:eastAsia="Times New Roman" w:hAnsi="Times New Roman" w:cs="Times New Roman"/>
                <w:b/>
                <w:sz w:val="18"/>
                <w:szCs w:val="18"/>
              </w:rPr>
              <w:t>Total</w:t>
            </w:r>
          </w:p>
        </w:tc>
        <w:tc>
          <w:tcPr>
            <w:tcW w:w="798" w:type="dxa"/>
            <w:noWrap/>
          </w:tcPr>
          <w:p w14:paraId="759ADEE2" w14:textId="77777777" w:rsidR="0086415A" w:rsidRPr="000973F2" w:rsidRDefault="0086415A" w:rsidP="005872F5">
            <w:pPr>
              <w:keepNext/>
              <w:tabs>
                <w:tab w:val="decimal" w:pos="331"/>
              </w:tabs>
              <w:spacing w:before="40" w:after="4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18"/>
                <w:szCs w:val="18"/>
              </w:rPr>
            </w:pPr>
            <w:r w:rsidRPr="000973F2">
              <w:rPr>
                <w:rFonts w:ascii="Times New Roman" w:eastAsia="Times New Roman" w:hAnsi="Times New Roman" w:cs="Times New Roman"/>
                <w:b/>
                <w:bCs/>
                <w:sz w:val="18"/>
                <w:szCs w:val="18"/>
              </w:rPr>
              <w:t>0</w:t>
            </w:r>
          </w:p>
        </w:tc>
        <w:tc>
          <w:tcPr>
            <w:tcW w:w="798" w:type="dxa"/>
            <w:noWrap/>
          </w:tcPr>
          <w:p w14:paraId="51656C53" w14:textId="77777777" w:rsidR="0086415A" w:rsidRPr="000973F2" w:rsidRDefault="0086415A" w:rsidP="005872F5">
            <w:pPr>
              <w:keepNext/>
              <w:tabs>
                <w:tab w:val="decimal" w:pos="331"/>
              </w:tabs>
              <w:spacing w:before="40" w:after="4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18"/>
                <w:szCs w:val="18"/>
              </w:rPr>
            </w:pPr>
            <w:r w:rsidRPr="000973F2">
              <w:rPr>
                <w:rFonts w:ascii="Times New Roman" w:eastAsia="Times New Roman" w:hAnsi="Times New Roman" w:cs="Times New Roman"/>
                <w:b/>
                <w:bCs/>
                <w:sz w:val="18"/>
                <w:szCs w:val="18"/>
              </w:rPr>
              <w:t>2</w:t>
            </w:r>
          </w:p>
        </w:tc>
        <w:tc>
          <w:tcPr>
            <w:tcW w:w="798" w:type="dxa"/>
            <w:noWrap/>
          </w:tcPr>
          <w:p w14:paraId="3AF99F78" w14:textId="77777777" w:rsidR="0086415A" w:rsidRPr="000973F2" w:rsidRDefault="0086415A" w:rsidP="005872F5">
            <w:pPr>
              <w:keepNext/>
              <w:tabs>
                <w:tab w:val="decimal" w:pos="331"/>
              </w:tabs>
              <w:spacing w:before="40" w:after="4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18"/>
                <w:szCs w:val="18"/>
              </w:rPr>
            </w:pPr>
            <w:r w:rsidRPr="000973F2">
              <w:rPr>
                <w:rFonts w:ascii="Times New Roman" w:eastAsia="Times New Roman" w:hAnsi="Times New Roman" w:cs="Times New Roman"/>
                <w:b/>
                <w:bCs/>
                <w:sz w:val="18"/>
                <w:szCs w:val="18"/>
              </w:rPr>
              <w:t>0</w:t>
            </w:r>
          </w:p>
        </w:tc>
        <w:tc>
          <w:tcPr>
            <w:tcW w:w="799" w:type="dxa"/>
            <w:noWrap/>
          </w:tcPr>
          <w:p w14:paraId="156786FA" w14:textId="77777777" w:rsidR="0086415A" w:rsidRPr="000973F2" w:rsidRDefault="0086415A" w:rsidP="005872F5">
            <w:pPr>
              <w:keepNext/>
              <w:tabs>
                <w:tab w:val="decimal" w:pos="331"/>
              </w:tabs>
              <w:spacing w:before="40" w:after="4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18"/>
                <w:szCs w:val="18"/>
              </w:rPr>
            </w:pPr>
            <w:r w:rsidRPr="000973F2">
              <w:rPr>
                <w:rFonts w:ascii="Times New Roman" w:eastAsia="Times New Roman" w:hAnsi="Times New Roman" w:cs="Times New Roman"/>
                <w:b/>
                <w:bCs/>
                <w:sz w:val="18"/>
                <w:szCs w:val="18"/>
              </w:rPr>
              <w:t>3.4</w:t>
            </w:r>
          </w:p>
        </w:tc>
        <w:tc>
          <w:tcPr>
            <w:tcW w:w="798" w:type="dxa"/>
            <w:noWrap/>
          </w:tcPr>
          <w:p w14:paraId="3FB1EA21" w14:textId="77777777" w:rsidR="0086415A" w:rsidRPr="000973F2" w:rsidRDefault="0086415A" w:rsidP="005872F5">
            <w:pPr>
              <w:keepNext/>
              <w:tabs>
                <w:tab w:val="decimal" w:pos="331"/>
              </w:tabs>
              <w:spacing w:before="40" w:after="4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18"/>
                <w:szCs w:val="18"/>
              </w:rPr>
            </w:pPr>
            <w:r w:rsidRPr="000973F2">
              <w:rPr>
                <w:rFonts w:ascii="Times New Roman" w:eastAsia="Times New Roman" w:hAnsi="Times New Roman" w:cs="Times New Roman"/>
                <w:b/>
                <w:bCs/>
                <w:sz w:val="18"/>
                <w:szCs w:val="18"/>
              </w:rPr>
              <w:t>0</w:t>
            </w:r>
          </w:p>
        </w:tc>
        <w:tc>
          <w:tcPr>
            <w:tcW w:w="798" w:type="dxa"/>
            <w:noWrap/>
          </w:tcPr>
          <w:p w14:paraId="276FCE81" w14:textId="77777777" w:rsidR="0086415A" w:rsidRPr="000973F2" w:rsidRDefault="0086415A" w:rsidP="005872F5">
            <w:pPr>
              <w:keepNext/>
              <w:tabs>
                <w:tab w:val="decimal" w:pos="331"/>
              </w:tabs>
              <w:spacing w:before="40" w:after="4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18"/>
                <w:szCs w:val="18"/>
              </w:rPr>
            </w:pPr>
            <w:r w:rsidRPr="000973F2">
              <w:rPr>
                <w:rFonts w:ascii="Times New Roman" w:eastAsia="Times New Roman" w:hAnsi="Times New Roman" w:cs="Times New Roman"/>
                <w:b/>
                <w:bCs/>
                <w:sz w:val="18"/>
                <w:szCs w:val="18"/>
              </w:rPr>
              <w:t>33.8</w:t>
            </w:r>
          </w:p>
        </w:tc>
        <w:tc>
          <w:tcPr>
            <w:tcW w:w="798" w:type="dxa"/>
            <w:noWrap/>
          </w:tcPr>
          <w:p w14:paraId="0751EE87" w14:textId="77777777" w:rsidR="0086415A" w:rsidRPr="000973F2" w:rsidRDefault="0086415A" w:rsidP="005872F5">
            <w:pPr>
              <w:keepNext/>
              <w:tabs>
                <w:tab w:val="decimal" w:pos="331"/>
              </w:tabs>
              <w:spacing w:before="40" w:after="4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18"/>
                <w:szCs w:val="18"/>
              </w:rPr>
            </w:pPr>
            <w:r w:rsidRPr="000973F2">
              <w:rPr>
                <w:rFonts w:ascii="Times New Roman" w:eastAsia="Times New Roman" w:hAnsi="Times New Roman" w:cs="Times New Roman"/>
                <w:b/>
                <w:bCs/>
                <w:sz w:val="18"/>
                <w:szCs w:val="18"/>
              </w:rPr>
              <w:t>0</w:t>
            </w:r>
          </w:p>
        </w:tc>
        <w:tc>
          <w:tcPr>
            <w:tcW w:w="799" w:type="dxa"/>
            <w:noWrap/>
          </w:tcPr>
          <w:p w14:paraId="6D386557" w14:textId="77777777" w:rsidR="0086415A" w:rsidRPr="000973F2" w:rsidRDefault="0086415A" w:rsidP="005872F5">
            <w:pPr>
              <w:keepNext/>
              <w:tabs>
                <w:tab w:val="decimal" w:pos="331"/>
              </w:tabs>
              <w:spacing w:before="40" w:after="4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18"/>
                <w:szCs w:val="18"/>
              </w:rPr>
            </w:pPr>
            <w:r w:rsidRPr="000973F2">
              <w:rPr>
                <w:rFonts w:ascii="Times New Roman" w:eastAsia="Times New Roman" w:hAnsi="Times New Roman" w:cs="Times New Roman"/>
                <w:b/>
                <w:bCs/>
                <w:sz w:val="18"/>
                <w:szCs w:val="18"/>
              </w:rPr>
              <w:t>3.4</w:t>
            </w:r>
          </w:p>
        </w:tc>
        <w:tc>
          <w:tcPr>
            <w:tcW w:w="584" w:type="dxa"/>
            <w:noWrap/>
          </w:tcPr>
          <w:p w14:paraId="2794B291" w14:textId="77777777" w:rsidR="0086415A" w:rsidRPr="000973F2" w:rsidRDefault="0086415A" w:rsidP="005872F5">
            <w:pPr>
              <w:keepNext/>
              <w:tabs>
                <w:tab w:val="decimal" w:pos="331"/>
              </w:tabs>
              <w:spacing w:before="40" w:after="4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18"/>
                <w:szCs w:val="18"/>
              </w:rPr>
            </w:pPr>
            <w:r w:rsidRPr="000973F2">
              <w:rPr>
                <w:rFonts w:ascii="Times New Roman" w:eastAsia="Times New Roman" w:hAnsi="Times New Roman" w:cs="Times New Roman"/>
                <w:b/>
                <w:bCs/>
                <w:sz w:val="18"/>
                <w:szCs w:val="18"/>
              </w:rPr>
              <w:t>$0</w:t>
            </w:r>
          </w:p>
        </w:tc>
        <w:tc>
          <w:tcPr>
            <w:tcW w:w="832" w:type="dxa"/>
            <w:noWrap/>
          </w:tcPr>
          <w:p w14:paraId="0E93372D" w14:textId="77777777" w:rsidR="0086415A" w:rsidRPr="000973F2" w:rsidRDefault="0086415A" w:rsidP="005872F5">
            <w:pPr>
              <w:keepNext/>
              <w:tabs>
                <w:tab w:val="decimal" w:pos="466"/>
              </w:tabs>
              <w:spacing w:before="40" w:after="4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18"/>
                <w:szCs w:val="18"/>
              </w:rPr>
            </w:pPr>
            <w:r w:rsidRPr="000973F2">
              <w:rPr>
                <w:rFonts w:ascii="Times New Roman" w:eastAsia="Times New Roman" w:hAnsi="Times New Roman" w:cs="Times New Roman"/>
                <w:b/>
                <w:bCs/>
                <w:sz w:val="18"/>
                <w:szCs w:val="18"/>
              </w:rPr>
              <w:t>$3,053</w:t>
            </w:r>
          </w:p>
        </w:tc>
      </w:tr>
    </w:tbl>
    <w:p w14:paraId="7E1F8D3A" w14:textId="77777777" w:rsidR="0086415A" w:rsidRPr="000973F2" w:rsidRDefault="0086415A" w:rsidP="00C00E4F">
      <w:pPr>
        <w:spacing w:line="240" w:lineRule="auto"/>
        <w:rPr>
          <w:rFonts w:ascii="Times New Roman" w:hAnsi="Times New Roman" w:cs="Times New Roman"/>
          <w:sz w:val="16"/>
          <w:szCs w:val="16"/>
        </w:rPr>
      </w:pPr>
    </w:p>
    <w:p w14:paraId="2D0F184C" w14:textId="57668711" w:rsidR="00D826A6" w:rsidRPr="000973F2" w:rsidRDefault="00D826A6" w:rsidP="00906956">
      <w:pPr>
        <w:pStyle w:val="Tabletitle"/>
        <w:rPr>
          <w:sz w:val="16"/>
        </w:rPr>
      </w:pPr>
      <w:r w:rsidRPr="000973F2">
        <w:t xml:space="preserve">Table </w:t>
      </w:r>
      <w:r w:rsidR="00906956" w:rsidRPr="000973F2">
        <w:t>Y-</w:t>
      </w:r>
      <w:r w:rsidRPr="000973F2">
        <w:t>2h. Labor Costs</w:t>
      </w:r>
      <w:r w:rsidR="00EE78FC" w:rsidRPr="000973F2">
        <w:t xml:space="preserve"> </w:t>
      </w:r>
      <w:r w:rsidR="00B960CC" w:rsidRPr="000973F2">
        <w:t>–</w:t>
      </w:r>
      <w:r w:rsidR="00EE78FC" w:rsidRPr="000973F2">
        <w:t xml:space="preserve"> </w:t>
      </w:r>
      <w:r w:rsidRPr="000973F2">
        <w:t>Subpart Y – Medium Upgrading Refinery</w:t>
      </w:r>
    </w:p>
    <w:tbl>
      <w:tblPr>
        <w:tblStyle w:val="PlainTable1"/>
        <w:tblW w:w="5000" w:type="pct"/>
        <w:jc w:val="left"/>
        <w:tblLayout w:type="fixed"/>
        <w:tblCellMar>
          <w:left w:w="115" w:type="dxa"/>
          <w:right w:w="115" w:type="dxa"/>
        </w:tblCellMar>
        <w:tblLook w:val="04A0" w:firstRow="1" w:lastRow="0" w:firstColumn="1" w:lastColumn="0" w:noHBand="0" w:noVBand="1"/>
      </w:tblPr>
      <w:tblGrid>
        <w:gridCol w:w="1464"/>
        <w:gridCol w:w="832"/>
        <w:gridCol w:w="832"/>
        <w:gridCol w:w="832"/>
        <w:gridCol w:w="833"/>
        <w:gridCol w:w="833"/>
        <w:gridCol w:w="833"/>
        <w:gridCol w:w="833"/>
        <w:gridCol w:w="833"/>
        <w:gridCol w:w="593"/>
        <w:gridCol w:w="872"/>
      </w:tblGrid>
      <w:tr w:rsidR="0086415A" w:rsidRPr="000973F2" w14:paraId="0A40A8B0" w14:textId="77777777" w:rsidTr="00B926DD">
        <w:trPr>
          <w:cnfStyle w:val="100000000000" w:firstRow="1" w:lastRow="0" w:firstColumn="0" w:lastColumn="0" w:oddVBand="0" w:evenVBand="0" w:oddHBand="0" w:evenHBand="0" w:firstRowFirstColumn="0" w:firstRowLastColumn="0" w:lastRowFirstColumn="0" w:lastRowLastColumn="0"/>
          <w:cantSplit/>
          <w:jc w:val="left"/>
        </w:trPr>
        <w:tc>
          <w:tcPr>
            <w:cnfStyle w:val="001000000000" w:firstRow="0" w:lastRow="0" w:firstColumn="1" w:lastColumn="0" w:oddVBand="0" w:evenVBand="0" w:oddHBand="0" w:evenHBand="0" w:firstRowFirstColumn="0" w:firstRowLastColumn="0" w:lastRowFirstColumn="0" w:lastRowLastColumn="0"/>
            <w:tcW w:w="1425" w:type="dxa"/>
            <w:vMerge w:val="restart"/>
            <w:noWrap/>
            <w:vAlign w:val="top"/>
          </w:tcPr>
          <w:p w14:paraId="2CE7782D" w14:textId="77777777" w:rsidR="0086415A" w:rsidRPr="000973F2" w:rsidRDefault="0086415A" w:rsidP="00DA20D3">
            <w:pPr>
              <w:spacing w:before="40" w:after="40"/>
              <w:rPr>
                <w:rFonts w:ascii="Times New Roman" w:eastAsia="Times New Roman" w:hAnsi="Times New Roman" w:cs="Times New Roman"/>
                <w:bCs w:val="0"/>
                <w:sz w:val="18"/>
                <w:szCs w:val="18"/>
              </w:rPr>
            </w:pPr>
            <w:r w:rsidRPr="000973F2">
              <w:rPr>
                <w:rFonts w:ascii="Times New Roman" w:eastAsia="Times New Roman" w:hAnsi="Times New Roman" w:cs="Times New Roman"/>
                <w:bCs w:val="0"/>
                <w:sz w:val="18"/>
                <w:szCs w:val="18"/>
              </w:rPr>
              <w:t>Activity</w:t>
            </w:r>
          </w:p>
        </w:tc>
        <w:tc>
          <w:tcPr>
            <w:tcW w:w="6480" w:type="dxa"/>
            <w:gridSpan w:val="8"/>
            <w:noWrap/>
            <w:vAlign w:val="top"/>
          </w:tcPr>
          <w:p w14:paraId="46FA2BFE" w14:textId="77777777" w:rsidR="0086415A" w:rsidRPr="000973F2" w:rsidRDefault="0086415A" w:rsidP="00DA20D3">
            <w:pPr>
              <w:spacing w:before="40" w:after="40"/>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Cs w:val="0"/>
                <w:sz w:val="18"/>
                <w:szCs w:val="18"/>
              </w:rPr>
            </w:pPr>
            <w:r w:rsidRPr="000973F2">
              <w:rPr>
                <w:rFonts w:ascii="Times New Roman" w:eastAsia="Times New Roman" w:hAnsi="Times New Roman" w:cs="Times New Roman"/>
                <w:bCs w:val="0"/>
                <w:sz w:val="18"/>
                <w:szCs w:val="18"/>
              </w:rPr>
              <w:t>Labor Rates (per hour)</w:t>
            </w:r>
          </w:p>
        </w:tc>
        <w:tc>
          <w:tcPr>
            <w:tcW w:w="1425" w:type="dxa"/>
            <w:gridSpan w:val="2"/>
            <w:vMerge w:val="restart"/>
            <w:vAlign w:val="top"/>
          </w:tcPr>
          <w:p w14:paraId="06767A5B" w14:textId="77777777" w:rsidR="0086415A" w:rsidRPr="000973F2" w:rsidRDefault="0086415A" w:rsidP="00DA20D3">
            <w:pPr>
              <w:spacing w:before="40" w:after="40"/>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Cs w:val="0"/>
                <w:sz w:val="18"/>
                <w:szCs w:val="18"/>
              </w:rPr>
            </w:pPr>
            <w:r w:rsidRPr="000973F2">
              <w:rPr>
                <w:rFonts w:ascii="Times New Roman" w:eastAsia="Times New Roman" w:hAnsi="Times New Roman" w:cs="Times New Roman"/>
                <w:bCs w:val="0"/>
                <w:sz w:val="18"/>
                <w:szCs w:val="18"/>
              </w:rPr>
              <w:t>Total Labor Cost per Year per Facility (2017$)</w:t>
            </w:r>
          </w:p>
        </w:tc>
      </w:tr>
      <w:tr w:rsidR="0086415A" w:rsidRPr="000973F2" w14:paraId="778078DB" w14:textId="77777777" w:rsidTr="00B926DD">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1425" w:type="dxa"/>
            <w:vMerge/>
          </w:tcPr>
          <w:p w14:paraId="6D94212E" w14:textId="77777777" w:rsidR="0086415A" w:rsidRPr="000973F2" w:rsidRDefault="0086415A" w:rsidP="00DA20D3">
            <w:pPr>
              <w:spacing w:before="40" w:after="40"/>
              <w:rPr>
                <w:rFonts w:ascii="Times New Roman" w:eastAsia="Times New Roman" w:hAnsi="Times New Roman" w:cs="Times New Roman"/>
                <w:b/>
                <w:bCs w:val="0"/>
                <w:sz w:val="18"/>
                <w:szCs w:val="18"/>
              </w:rPr>
            </w:pPr>
          </w:p>
        </w:tc>
        <w:tc>
          <w:tcPr>
            <w:tcW w:w="1620" w:type="dxa"/>
            <w:gridSpan w:val="2"/>
            <w:noWrap/>
          </w:tcPr>
          <w:p w14:paraId="66C9D938" w14:textId="77777777" w:rsidR="0086415A" w:rsidRPr="000973F2" w:rsidRDefault="0086415A" w:rsidP="00DA20D3">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18"/>
                <w:szCs w:val="18"/>
              </w:rPr>
            </w:pPr>
            <w:r w:rsidRPr="000973F2">
              <w:rPr>
                <w:rFonts w:ascii="Times New Roman" w:eastAsia="Times New Roman" w:hAnsi="Times New Roman" w:cs="Times New Roman"/>
                <w:b/>
                <w:bCs/>
                <w:sz w:val="18"/>
                <w:szCs w:val="18"/>
              </w:rPr>
              <w:t>Lawyer</w:t>
            </w:r>
          </w:p>
        </w:tc>
        <w:tc>
          <w:tcPr>
            <w:tcW w:w="1620" w:type="dxa"/>
            <w:gridSpan w:val="2"/>
            <w:noWrap/>
          </w:tcPr>
          <w:p w14:paraId="689F2EC1" w14:textId="77777777" w:rsidR="0086415A" w:rsidRPr="000973F2" w:rsidRDefault="0086415A" w:rsidP="00DA20D3">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18"/>
                <w:szCs w:val="18"/>
              </w:rPr>
            </w:pPr>
            <w:r w:rsidRPr="000973F2">
              <w:rPr>
                <w:rFonts w:ascii="Times New Roman" w:eastAsia="Times New Roman" w:hAnsi="Times New Roman" w:cs="Times New Roman"/>
                <w:b/>
                <w:bCs/>
                <w:sz w:val="18"/>
                <w:szCs w:val="18"/>
              </w:rPr>
              <w:t>Industrial Manager</w:t>
            </w:r>
          </w:p>
        </w:tc>
        <w:tc>
          <w:tcPr>
            <w:tcW w:w="1620" w:type="dxa"/>
            <w:gridSpan w:val="2"/>
          </w:tcPr>
          <w:p w14:paraId="3DD19428" w14:textId="59C8AF89" w:rsidR="0086415A" w:rsidRPr="000973F2" w:rsidRDefault="0086415A" w:rsidP="00DA20D3">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18"/>
                <w:szCs w:val="18"/>
              </w:rPr>
            </w:pPr>
            <w:r w:rsidRPr="000973F2">
              <w:rPr>
                <w:rFonts w:ascii="Times New Roman" w:eastAsia="Times New Roman" w:hAnsi="Times New Roman" w:cs="Times New Roman"/>
                <w:b/>
                <w:bCs/>
                <w:sz w:val="18"/>
                <w:szCs w:val="18"/>
              </w:rPr>
              <w:t>Industrial Engineer/</w:t>
            </w:r>
            <w:r w:rsidR="00DA20D3" w:rsidRPr="000973F2">
              <w:rPr>
                <w:rFonts w:ascii="Times New Roman" w:eastAsia="Times New Roman" w:hAnsi="Times New Roman" w:cs="Times New Roman"/>
                <w:b/>
                <w:bCs/>
                <w:sz w:val="18"/>
                <w:szCs w:val="18"/>
              </w:rPr>
              <w:t xml:space="preserve"> </w:t>
            </w:r>
            <w:r w:rsidRPr="000973F2">
              <w:rPr>
                <w:rFonts w:ascii="Times New Roman" w:eastAsia="Times New Roman" w:hAnsi="Times New Roman" w:cs="Times New Roman"/>
                <w:b/>
                <w:bCs/>
                <w:sz w:val="18"/>
                <w:szCs w:val="18"/>
              </w:rPr>
              <w:t>Technician</w:t>
            </w:r>
          </w:p>
        </w:tc>
        <w:tc>
          <w:tcPr>
            <w:tcW w:w="1620" w:type="dxa"/>
            <w:gridSpan w:val="2"/>
          </w:tcPr>
          <w:p w14:paraId="2C2D878B" w14:textId="77777777" w:rsidR="0086415A" w:rsidRPr="000973F2" w:rsidRDefault="0086415A" w:rsidP="00DA20D3">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18"/>
                <w:szCs w:val="18"/>
              </w:rPr>
            </w:pPr>
            <w:r w:rsidRPr="000973F2">
              <w:rPr>
                <w:rFonts w:ascii="Times New Roman" w:eastAsia="Times New Roman" w:hAnsi="Times New Roman" w:cs="Times New Roman"/>
                <w:b/>
                <w:bCs/>
                <w:sz w:val="18"/>
                <w:szCs w:val="18"/>
              </w:rPr>
              <w:t>Administrative Support</w:t>
            </w:r>
          </w:p>
        </w:tc>
        <w:tc>
          <w:tcPr>
            <w:tcW w:w="1425" w:type="dxa"/>
            <w:gridSpan w:val="2"/>
            <w:vMerge/>
          </w:tcPr>
          <w:p w14:paraId="69B59E22" w14:textId="77777777" w:rsidR="0086415A" w:rsidRPr="000973F2" w:rsidRDefault="0086415A" w:rsidP="00DA20D3">
            <w:pPr>
              <w:spacing w:before="40" w:after="4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18"/>
                <w:szCs w:val="18"/>
              </w:rPr>
            </w:pPr>
          </w:p>
        </w:tc>
      </w:tr>
      <w:tr w:rsidR="0086415A" w:rsidRPr="000973F2" w14:paraId="22463132" w14:textId="77777777" w:rsidTr="00B926DD">
        <w:trPr>
          <w:cantSplit/>
        </w:trPr>
        <w:tc>
          <w:tcPr>
            <w:cnfStyle w:val="001000000000" w:firstRow="0" w:lastRow="0" w:firstColumn="1" w:lastColumn="0" w:oddVBand="0" w:evenVBand="0" w:oddHBand="0" w:evenHBand="0" w:firstRowFirstColumn="0" w:firstRowLastColumn="0" w:lastRowFirstColumn="0" w:lastRowLastColumn="0"/>
            <w:tcW w:w="1425" w:type="dxa"/>
            <w:vMerge/>
          </w:tcPr>
          <w:p w14:paraId="16A96917" w14:textId="77777777" w:rsidR="0086415A" w:rsidRPr="000973F2" w:rsidRDefault="0086415A" w:rsidP="00DA20D3">
            <w:pPr>
              <w:spacing w:before="40" w:after="40"/>
              <w:rPr>
                <w:rFonts w:ascii="Times New Roman" w:eastAsia="Times New Roman" w:hAnsi="Times New Roman" w:cs="Times New Roman"/>
                <w:b/>
                <w:bCs w:val="0"/>
                <w:sz w:val="18"/>
                <w:szCs w:val="18"/>
              </w:rPr>
            </w:pPr>
          </w:p>
        </w:tc>
        <w:tc>
          <w:tcPr>
            <w:tcW w:w="1620" w:type="dxa"/>
            <w:gridSpan w:val="2"/>
            <w:noWrap/>
          </w:tcPr>
          <w:p w14:paraId="7C3150D2" w14:textId="77777777" w:rsidR="0086415A" w:rsidRPr="000973F2" w:rsidRDefault="0086415A" w:rsidP="00DA20D3">
            <w:pPr>
              <w:spacing w:before="40" w:after="4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sz w:val="18"/>
                <w:szCs w:val="18"/>
              </w:rPr>
            </w:pPr>
            <w:r w:rsidRPr="000973F2">
              <w:rPr>
                <w:rFonts w:ascii="Times New Roman" w:eastAsia="Times New Roman" w:hAnsi="Times New Roman" w:cs="Times New Roman"/>
                <w:b/>
                <w:bCs/>
                <w:sz w:val="18"/>
                <w:szCs w:val="18"/>
              </w:rPr>
              <w:t xml:space="preserve">$112.23 </w:t>
            </w:r>
          </w:p>
        </w:tc>
        <w:tc>
          <w:tcPr>
            <w:tcW w:w="1620" w:type="dxa"/>
            <w:gridSpan w:val="2"/>
            <w:noWrap/>
          </w:tcPr>
          <w:p w14:paraId="0AF694B5" w14:textId="77777777" w:rsidR="0086415A" w:rsidRPr="000973F2" w:rsidRDefault="0086415A" w:rsidP="00DA20D3">
            <w:pPr>
              <w:spacing w:before="40" w:after="4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sz w:val="18"/>
                <w:szCs w:val="18"/>
              </w:rPr>
            </w:pPr>
            <w:r w:rsidRPr="000973F2">
              <w:rPr>
                <w:rFonts w:ascii="Times New Roman" w:eastAsia="Times New Roman" w:hAnsi="Times New Roman" w:cs="Times New Roman"/>
                <w:b/>
                <w:bCs/>
                <w:sz w:val="18"/>
                <w:szCs w:val="18"/>
              </w:rPr>
              <w:t xml:space="preserve">$87.45 </w:t>
            </w:r>
          </w:p>
        </w:tc>
        <w:tc>
          <w:tcPr>
            <w:tcW w:w="1620" w:type="dxa"/>
            <w:gridSpan w:val="2"/>
            <w:noWrap/>
          </w:tcPr>
          <w:p w14:paraId="30B3A684" w14:textId="77777777" w:rsidR="0086415A" w:rsidRPr="000973F2" w:rsidRDefault="0086415A" w:rsidP="00DA20D3">
            <w:pPr>
              <w:spacing w:before="40" w:after="4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sz w:val="18"/>
                <w:szCs w:val="18"/>
              </w:rPr>
            </w:pPr>
            <w:r w:rsidRPr="000973F2">
              <w:rPr>
                <w:rFonts w:ascii="Times New Roman" w:eastAsia="Times New Roman" w:hAnsi="Times New Roman" w:cs="Times New Roman"/>
                <w:b/>
                <w:bCs/>
                <w:sz w:val="18"/>
                <w:szCs w:val="18"/>
              </w:rPr>
              <w:t xml:space="preserve">$71.45 </w:t>
            </w:r>
          </w:p>
        </w:tc>
        <w:tc>
          <w:tcPr>
            <w:tcW w:w="1620" w:type="dxa"/>
            <w:gridSpan w:val="2"/>
            <w:noWrap/>
          </w:tcPr>
          <w:p w14:paraId="7707E9B8" w14:textId="77777777" w:rsidR="0086415A" w:rsidRPr="000973F2" w:rsidRDefault="0086415A" w:rsidP="00DA20D3">
            <w:pPr>
              <w:spacing w:before="40" w:after="4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sz w:val="18"/>
                <w:szCs w:val="18"/>
              </w:rPr>
            </w:pPr>
            <w:r w:rsidRPr="000973F2">
              <w:rPr>
                <w:rFonts w:ascii="Times New Roman" w:eastAsia="Times New Roman" w:hAnsi="Times New Roman" w:cs="Times New Roman"/>
                <w:b/>
                <w:bCs/>
                <w:sz w:val="18"/>
                <w:szCs w:val="18"/>
              </w:rPr>
              <w:t xml:space="preserve">$36.28 </w:t>
            </w:r>
          </w:p>
        </w:tc>
        <w:tc>
          <w:tcPr>
            <w:tcW w:w="1425" w:type="dxa"/>
            <w:gridSpan w:val="2"/>
            <w:vMerge/>
          </w:tcPr>
          <w:p w14:paraId="059E3AE6" w14:textId="77777777" w:rsidR="0086415A" w:rsidRPr="000973F2" w:rsidRDefault="0086415A" w:rsidP="00DA20D3">
            <w:pPr>
              <w:spacing w:before="40" w:after="4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sz w:val="18"/>
                <w:szCs w:val="18"/>
              </w:rPr>
            </w:pPr>
          </w:p>
        </w:tc>
      </w:tr>
      <w:tr w:rsidR="0086415A" w:rsidRPr="000973F2" w14:paraId="06CEE4CF" w14:textId="77777777" w:rsidTr="00B926DD">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1425" w:type="dxa"/>
            <w:vMerge/>
          </w:tcPr>
          <w:p w14:paraId="79DA0202" w14:textId="77777777" w:rsidR="0086415A" w:rsidRPr="000973F2" w:rsidRDefault="0086415A" w:rsidP="00DA20D3">
            <w:pPr>
              <w:spacing w:before="40" w:after="40"/>
              <w:rPr>
                <w:rFonts w:ascii="Times New Roman" w:eastAsia="Times New Roman" w:hAnsi="Times New Roman" w:cs="Times New Roman"/>
                <w:b/>
                <w:bCs w:val="0"/>
                <w:sz w:val="18"/>
                <w:szCs w:val="18"/>
              </w:rPr>
            </w:pPr>
          </w:p>
        </w:tc>
        <w:tc>
          <w:tcPr>
            <w:tcW w:w="810" w:type="dxa"/>
            <w:tcMar>
              <w:left w:w="14" w:type="dxa"/>
              <w:right w:w="14" w:type="dxa"/>
            </w:tcMar>
          </w:tcPr>
          <w:p w14:paraId="3B8C056E" w14:textId="77777777" w:rsidR="0086415A" w:rsidRPr="000973F2" w:rsidRDefault="0086415A" w:rsidP="00DA20D3">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18"/>
                <w:szCs w:val="18"/>
              </w:rPr>
            </w:pPr>
            <w:r w:rsidRPr="000973F2">
              <w:rPr>
                <w:rFonts w:ascii="Times New Roman" w:eastAsia="Times New Roman" w:hAnsi="Times New Roman" w:cs="Times New Roman"/>
                <w:b/>
                <w:bCs/>
                <w:sz w:val="18"/>
                <w:szCs w:val="18"/>
              </w:rPr>
              <w:t>Initial Year Hours</w:t>
            </w:r>
          </w:p>
        </w:tc>
        <w:tc>
          <w:tcPr>
            <w:tcW w:w="810" w:type="dxa"/>
            <w:tcMar>
              <w:left w:w="14" w:type="dxa"/>
              <w:right w:w="14" w:type="dxa"/>
            </w:tcMar>
          </w:tcPr>
          <w:p w14:paraId="05B92CCC" w14:textId="77777777" w:rsidR="0086415A" w:rsidRPr="000973F2" w:rsidRDefault="0086415A" w:rsidP="00DA20D3">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18"/>
                <w:szCs w:val="18"/>
              </w:rPr>
            </w:pPr>
            <w:r w:rsidRPr="000973F2">
              <w:rPr>
                <w:rFonts w:ascii="Times New Roman" w:eastAsia="Times New Roman" w:hAnsi="Times New Roman" w:cs="Times New Roman"/>
                <w:b/>
                <w:bCs/>
                <w:sz w:val="18"/>
                <w:szCs w:val="18"/>
              </w:rPr>
              <w:t>Subseq. Year Hours</w:t>
            </w:r>
          </w:p>
        </w:tc>
        <w:tc>
          <w:tcPr>
            <w:tcW w:w="810" w:type="dxa"/>
            <w:tcMar>
              <w:left w:w="14" w:type="dxa"/>
              <w:right w:w="14" w:type="dxa"/>
            </w:tcMar>
          </w:tcPr>
          <w:p w14:paraId="2BF84DCD" w14:textId="77777777" w:rsidR="0086415A" w:rsidRPr="000973F2" w:rsidRDefault="0086415A" w:rsidP="00DA20D3">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18"/>
                <w:szCs w:val="18"/>
              </w:rPr>
            </w:pPr>
            <w:r w:rsidRPr="000973F2">
              <w:rPr>
                <w:rFonts w:ascii="Times New Roman" w:eastAsia="Times New Roman" w:hAnsi="Times New Roman" w:cs="Times New Roman"/>
                <w:b/>
                <w:bCs/>
                <w:sz w:val="18"/>
                <w:szCs w:val="18"/>
              </w:rPr>
              <w:t>Initial Year Hours</w:t>
            </w:r>
          </w:p>
        </w:tc>
        <w:tc>
          <w:tcPr>
            <w:tcW w:w="810" w:type="dxa"/>
            <w:tcMar>
              <w:left w:w="14" w:type="dxa"/>
              <w:right w:w="14" w:type="dxa"/>
            </w:tcMar>
          </w:tcPr>
          <w:p w14:paraId="6FCD7415" w14:textId="77777777" w:rsidR="0086415A" w:rsidRPr="000973F2" w:rsidRDefault="0086415A" w:rsidP="00DA20D3">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18"/>
                <w:szCs w:val="18"/>
              </w:rPr>
            </w:pPr>
            <w:r w:rsidRPr="000973F2">
              <w:rPr>
                <w:rFonts w:ascii="Times New Roman" w:eastAsia="Times New Roman" w:hAnsi="Times New Roman" w:cs="Times New Roman"/>
                <w:b/>
                <w:bCs/>
                <w:sz w:val="18"/>
                <w:szCs w:val="18"/>
              </w:rPr>
              <w:t>Subseq. Year Hours</w:t>
            </w:r>
          </w:p>
        </w:tc>
        <w:tc>
          <w:tcPr>
            <w:tcW w:w="810" w:type="dxa"/>
            <w:tcMar>
              <w:left w:w="14" w:type="dxa"/>
              <w:right w:w="14" w:type="dxa"/>
            </w:tcMar>
          </w:tcPr>
          <w:p w14:paraId="37EB35D4" w14:textId="77777777" w:rsidR="0086415A" w:rsidRPr="000973F2" w:rsidRDefault="0086415A" w:rsidP="00DA20D3">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18"/>
                <w:szCs w:val="18"/>
              </w:rPr>
            </w:pPr>
            <w:r w:rsidRPr="000973F2">
              <w:rPr>
                <w:rFonts w:ascii="Times New Roman" w:eastAsia="Times New Roman" w:hAnsi="Times New Roman" w:cs="Times New Roman"/>
                <w:b/>
                <w:bCs/>
                <w:sz w:val="18"/>
                <w:szCs w:val="18"/>
              </w:rPr>
              <w:t>Initial Year Hours</w:t>
            </w:r>
          </w:p>
        </w:tc>
        <w:tc>
          <w:tcPr>
            <w:tcW w:w="810" w:type="dxa"/>
            <w:tcMar>
              <w:left w:w="14" w:type="dxa"/>
              <w:right w:w="14" w:type="dxa"/>
            </w:tcMar>
          </w:tcPr>
          <w:p w14:paraId="557CC494" w14:textId="77777777" w:rsidR="0086415A" w:rsidRPr="000973F2" w:rsidRDefault="0086415A" w:rsidP="00DA20D3">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18"/>
                <w:szCs w:val="18"/>
              </w:rPr>
            </w:pPr>
            <w:r w:rsidRPr="000973F2">
              <w:rPr>
                <w:rFonts w:ascii="Times New Roman" w:eastAsia="Times New Roman" w:hAnsi="Times New Roman" w:cs="Times New Roman"/>
                <w:b/>
                <w:bCs/>
                <w:sz w:val="18"/>
                <w:szCs w:val="18"/>
              </w:rPr>
              <w:t>Subseq. Year Hours</w:t>
            </w:r>
          </w:p>
        </w:tc>
        <w:tc>
          <w:tcPr>
            <w:tcW w:w="810" w:type="dxa"/>
            <w:tcMar>
              <w:left w:w="14" w:type="dxa"/>
              <w:right w:w="14" w:type="dxa"/>
            </w:tcMar>
          </w:tcPr>
          <w:p w14:paraId="2E8E554E" w14:textId="77777777" w:rsidR="0086415A" w:rsidRPr="000973F2" w:rsidRDefault="0086415A" w:rsidP="00DA20D3">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18"/>
                <w:szCs w:val="18"/>
              </w:rPr>
            </w:pPr>
            <w:r w:rsidRPr="000973F2">
              <w:rPr>
                <w:rFonts w:ascii="Times New Roman" w:eastAsia="Times New Roman" w:hAnsi="Times New Roman" w:cs="Times New Roman"/>
                <w:b/>
                <w:bCs/>
                <w:sz w:val="18"/>
                <w:szCs w:val="18"/>
              </w:rPr>
              <w:t>Initial Year Hours</w:t>
            </w:r>
          </w:p>
        </w:tc>
        <w:tc>
          <w:tcPr>
            <w:tcW w:w="810" w:type="dxa"/>
            <w:tcMar>
              <w:left w:w="14" w:type="dxa"/>
              <w:right w:w="14" w:type="dxa"/>
            </w:tcMar>
          </w:tcPr>
          <w:p w14:paraId="256B6EA0" w14:textId="77777777" w:rsidR="0086415A" w:rsidRPr="000973F2" w:rsidRDefault="0086415A" w:rsidP="00DA20D3">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18"/>
                <w:szCs w:val="18"/>
              </w:rPr>
            </w:pPr>
            <w:r w:rsidRPr="000973F2">
              <w:rPr>
                <w:rFonts w:ascii="Times New Roman" w:eastAsia="Times New Roman" w:hAnsi="Times New Roman" w:cs="Times New Roman"/>
                <w:b/>
                <w:bCs/>
                <w:sz w:val="18"/>
                <w:szCs w:val="18"/>
              </w:rPr>
              <w:t>Subseq. Year Hours</w:t>
            </w:r>
          </w:p>
        </w:tc>
        <w:tc>
          <w:tcPr>
            <w:tcW w:w="577" w:type="dxa"/>
            <w:tcMar>
              <w:left w:w="14" w:type="dxa"/>
              <w:right w:w="14" w:type="dxa"/>
            </w:tcMar>
          </w:tcPr>
          <w:p w14:paraId="257FA913" w14:textId="77777777" w:rsidR="0086415A" w:rsidRPr="000973F2" w:rsidRDefault="0086415A" w:rsidP="00DA20D3">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18"/>
                <w:szCs w:val="18"/>
              </w:rPr>
            </w:pPr>
            <w:r w:rsidRPr="000973F2">
              <w:rPr>
                <w:rFonts w:ascii="Times New Roman" w:eastAsia="Times New Roman" w:hAnsi="Times New Roman" w:cs="Times New Roman"/>
                <w:b/>
                <w:bCs/>
                <w:sz w:val="18"/>
                <w:szCs w:val="18"/>
              </w:rPr>
              <w:t>Initial Year</w:t>
            </w:r>
          </w:p>
        </w:tc>
        <w:tc>
          <w:tcPr>
            <w:tcW w:w="848" w:type="dxa"/>
            <w:tcMar>
              <w:left w:w="14" w:type="dxa"/>
              <w:right w:w="14" w:type="dxa"/>
            </w:tcMar>
          </w:tcPr>
          <w:p w14:paraId="2D85F32E" w14:textId="77777777" w:rsidR="0086415A" w:rsidRPr="000973F2" w:rsidRDefault="0086415A" w:rsidP="00DA20D3">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18"/>
                <w:szCs w:val="18"/>
              </w:rPr>
            </w:pPr>
            <w:r w:rsidRPr="000973F2">
              <w:rPr>
                <w:rFonts w:ascii="Times New Roman" w:eastAsia="Times New Roman" w:hAnsi="Times New Roman" w:cs="Times New Roman"/>
                <w:b/>
                <w:bCs/>
                <w:sz w:val="18"/>
                <w:szCs w:val="18"/>
              </w:rPr>
              <w:t>Subseq. Year</w:t>
            </w:r>
          </w:p>
        </w:tc>
      </w:tr>
      <w:tr w:rsidR="0086415A" w:rsidRPr="000973F2" w14:paraId="299C7AFC" w14:textId="77777777" w:rsidTr="00B926DD">
        <w:trPr>
          <w:cantSplit/>
        </w:trPr>
        <w:tc>
          <w:tcPr>
            <w:cnfStyle w:val="001000000000" w:firstRow="0" w:lastRow="0" w:firstColumn="1" w:lastColumn="0" w:oddVBand="0" w:evenVBand="0" w:oddHBand="0" w:evenHBand="0" w:firstRowFirstColumn="0" w:firstRowLastColumn="0" w:lastRowFirstColumn="0" w:lastRowLastColumn="0"/>
            <w:tcW w:w="1425" w:type="dxa"/>
          </w:tcPr>
          <w:p w14:paraId="4A2C9C69" w14:textId="77777777" w:rsidR="0086415A" w:rsidRPr="000973F2" w:rsidRDefault="0086415A" w:rsidP="00DA20D3">
            <w:pPr>
              <w:spacing w:before="40" w:after="4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Planning</w:t>
            </w:r>
          </w:p>
        </w:tc>
        <w:tc>
          <w:tcPr>
            <w:tcW w:w="810" w:type="dxa"/>
            <w:noWrap/>
          </w:tcPr>
          <w:p w14:paraId="2C793F5D" w14:textId="77777777" w:rsidR="0086415A" w:rsidRPr="000973F2" w:rsidRDefault="0086415A" w:rsidP="00DA20D3">
            <w:pPr>
              <w:tabs>
                <w:tab w:val="decimal" w:pos="301"/>
              </w:tabs>
              <w:spacing w:before="40" w:after="4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0</w:t>
            </w:r>
          </w:p>
        </w:tc>
        <w:tc>
          <w:tcPr>
            <w:tcW w:w="810" w:type="dxa"/>
            <w:noWrap/>
          </w:tcPr>
          <w:p w14:paraId="428096BF" w14:textId="77777777" w:rsidR="0086415A" w:rsidRPr="000973F2" w:rsidRDefault="0086415A" w:rsidP="00DA20D3">
            <w:pPr>
              <w:tabs>
                <w:tab w:val="decimal" w:pos="301"/>
              </w:tabs>
              <w:spacing w:before="40" w:after="4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2</w:t>
            </w:r>
          </w:p>
        </w:tc>
        <w:tc>
          <w:tcPr>
            <w:tcW w:w="810" w:type="dxa"/>
            <w:noWrap/>
          </w:tcPr>
          <w:p w14:paraId="5A23ED8F" w14:textId="77777777" w:rsidR="0086415A" w:rsidRPr="000973F2" w:rsidRDefault="0086415A" w:rsidP="00DA20D3">
            <w:pPr>
              <w:tabs>
                <w:tab w:val="decimal" w:pos="301"/>
              </w:tabs>
              <w:spacing w:before="40" w:after="4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0</w:t>
            </w:r>
          </w:p>
        </w:tc>
        <w:tc>
          <w:tcPr>
            <w:tcW w:w="810" w:type="dxa"/>
            <w:noWrap/>
          </w:tcPr>
          <w:p w14:paraId="2F5D6E6D" w14:textId="77777777" w:rsidR="0086415A" w:rsidRPr="000973F2" w:rsidRDefault="0086415A" w:rsidP="00DA20D3">
            <w:pPr>
              <w:tabs>
                <w:tab w:val="decimal" w:pos="301"/>
              </w:tabs>
              <w:spacing w:before="40" w:after="4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0.8</w:t>
            </w:r>
          </w:p>
        </w:tc>
        <w:tc>
          <w:tcPr>
            <w:tcW w:w="810" w:type="dxa"/>
            <w:noWrap/>
          </w:tcPr>
          <w:p w14:paraId="2E621F85" w14:textId="77777777" w:rsidR="0086415A" w:rsidRPr="000973F2" w:rsidRDefault="0086415A" w:rsidP="00DA20D3">
            <w:pPr>
              <w:tabs>
                <w:tab w:val="decimal" w:pos="301"/>
              </w:tabs>
              <w:spacing w:before="40" w:after="4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0</w:t>
            </w:r>
          </w:p>
        </w:tc>
        <w:tc>
          <w:tcPr>
            <w:tcW w:w="810" w:type="dxa"/>
            <w:noWrap/>
          </w:tcPr>
          <w:p w14:paraId="055FF594" w14:textId="77777777" w:rsidR="0086415A" w:rsidRPr="000973F2" w:rsidRDefault="0086415A" w:rsidP="00DA20D3">
            <w:pPr>
              <w:tabs>
                <w:tab w:val="decimal" w:pos="301"/>
              </w:tabs>
              <w:spacing w:before="40" w:after="4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8</w:t>
            </w:r>
          </w:p>
        </w:tc>
        <w:tc>
          <w:tcPr>
            <w:tcW w:w="810" w:type="dxa"/>
            <w:noWrap/>
          </w:tcPr>
          <w:p w14:paraId="4D5CF473" w14:textId="77777777" w:rsidR="0086415A" w:rsidRPr="000973F2" w:rsidRDefault="0086415A" w:rsidP="00DA20D3">
            <w:pPr>
              <w:tabs>
                <w:tab w:val="decimal" w:pos="301"/>
              </w:tabs>
              <w:spacing w:before="40" w:after="4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0</w:t>
            </w:r>
          </w:p>
        </w:tc>
        <w:tc>
          <w:tcPr>
            <w:tcW w:w="810" w:type="dxa"/>
            <w:noWrap/>
          </w:tcPr>
          <w:p w14:paraId="021AB6C6" w14:textId="77777777" w:rsidR="0086415A" w:rsidRPr="000973F2" w:rsidRDefault="0086415A" w:rsidP="00DA20D3">
            <w:pPr>
              <w:tabs>
                <w:tab w:val="decimal" w:pos="301"/>
              </w:tabs>
              <w:spacing w:before="40" w:after="4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0.8</w:t>
            </w:r>
          </w:p>
        </w:tc>
        <w:tc>
          <w:tcPr>
            <w:tcW w:w="577" w:type="dxa"/>
            <w:noWrap/>
          </w:tcPr>
          <w:p w14:paraId="55E278FC" w14:textId="77777777" w:rsidR="0086415A" w:rsidRPr="000973F2" w:rsidRDefault="0086415A" w:rsidP="00DA20D3">
            <w:pPr>
              <w:tabs>
                <w:tab w:val="decimal" w:pos="301"/>
              </w:tabs>
              <w:spacing w:before="40" w:after="4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$0</w:t>
            </w:r>
          </w:p>
        </w:tc>
        <w:tc>
          <w:tcPr>
            <w:tcW w:w="848" w:type="dxa"/>
            <w:noWrap/>
          </w:tcPr>
          <w:p w14:paraId="6C483815" w14:textId="77777777" w:rsidR="0086415A" w:rsidRPr="000973F2" w:rsidRDefault="0086415A" w:rsidP="00DA20D3">
            <w:pPr>
              <w:tabs>
                <w:tab w:val="decimal" w:pos="481"/>
              </w:tabs>
              <w:spacing w:before="40" w:after="4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$895</w:t>
            </w:r>
          </w:p>
        </w:tc>
      </w:tr>
      <w:tr w:rsidR="0086415A" w:rsidRPr="000973F2" w14:paraId="6F74E87B" w14:textId="77777777" w:rsidTr="00B926DD">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1425" w:type="dxa"/>
          </w:tcPr>
          <w:p w14:paraId="7326EB0A" w14:textId="77777777" w:rsidR="0086415A" w:rsidRPr="000973F2" w:rsidRDefault="0086415A" w:rsidP="00DA20D3">
            <w:pPr>
              <w:spacing w:before="40" w:after="4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QA/QC</w:t>
            </w:r>
          </w:p>
        </w:tc>
        <w:tc>
          <w:tcPr>
            <w:tcW w:w="810" w:type="dxa"/>
            <w:noWrap/>
          </w:tcPr>
          <w:p w14:paraId="3713C223" w14:textId="77777777" w:rsidR="0086415A" w:rsidRPr="000973F2" w:rsidRDefault="0086415A" w:rsidP="00DA20D3">
            <w:pPr>
              <w:tabs>
                <w:tab w:val="decimal" w:pos="301"/>
              </w:tabs>
              <w:spacing w:before="40" w:after="4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0</w:t>
            </w:r>
          </w:p>
        </w:tc>
        <w:tc>
          <w:tcPr>
            <w:tcW w:w="810" w:type="dxa"/>
            <w:noWrap/>
          </w:tcPr>
          <w:p w14:paraId="0C0B9AF3" w14:textId="77777777" w:rsidR="0086415A" w:rsidRPr="000973F2" w:rsidRDefault="0086415A" w:rsidP="00DA20D3">
            <w:pPr>
              <w:tabs>
                <w:tab w:val="decimal" w:pos="301"/>
              </w:tabs>
              <w:spacing w:before="40" w:after="4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0</w:t>
            </w:r>
          </w:p>
        </w:tc>
        <w:tc>
          <w:tcPr>
            <w:tcW w:w="810" w:type="dxa"/>
            <w:noWrap/>
          </w:tcPr>
          <w:p w14:paraId="344414C6" w14:textId="77777777" w:rsidR="0086415A" w:rsidRPr="000973F2" w:rsidRDefault="0086415A" w:rsidP="00DA20D3">
            <w:pPr>
              <w:tabs>
                <w:tab w:val="decimal" w:pos="301"/>
              </w:tabs>
              <w:spacing w:before="40" w:after="4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0</w:t>
            </w:r>
          </w:p>
        </w:tc>
        <w:tc>
          <w:tcPr>
            <w:tcW w:w="810" w:type="dxa"/>
            <w:noWrap/>
          </w:tcPr>
          <w:p w14:paraId="32DDC81F" w14:textId="77777777" w:rsidR="0086415A" w:rsidRPr="000973F2" w:rsidRDefault="0086415A" w:rsidP="00DA20D3">
            <w:pPr>
              <w:tabs>
                <w:tab w:val="decimal" w:pos="301"/>
              </w:tabs>
              <w:spacing w:before="40" w:after="4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1.2</w:t>
            </w:r>
          </w:p>
        </w:tc>
        <w:tc>
          <w:tcPr>
            <w:tcW w:w="810" w:type="dxa"/>
            <w:noWrap/>
          </w:tcPr>
          <w:p w14:paraId="01531F16" w14:textId="77777777" w:rsidR="0086415A" w:rsidRPr="000973F2" w:rsidRDefault="0086415A" w:rsidP="00DA20D3">
            <w:pPr>
              <w:tabs>
                <w:tab w:val="decimal" w:pos="301"/>
              </w:tabs>
              <w:spacing w:before="40" w:after="4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0</w:t>
            </w:r>
          </w:p>
        </w:tc>
        <w:tc>
          <w:tcPr>
            <w:tcW w:w="810" w:type="dxa"/>
            <w:noWrap/>
          </w:tcPr>
          <w:p w14:paraId="6CDC4FF4" w14:textId="77777777" w:rsidR="0086415A" w:rsidRPr="000973F2" w:rsidRDefault="0086415A" w:rsidP="00DA20D3">
            <w:pPr>
              <w:tabs>
                <w:tab w:val="decimal" w:pos="301"/>
              </w:tabs>
              <w:spacing w:before="40" w:after="4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12</w:t>
            </w:r>
          </w:p>
        </w:tc>
        <w:tc>
          <w:tcPr>
            <w:tcW w:w="810" w:type="dxa"/>
            <w:noWrap/>
          </w:tcPr>
          <w:p w14:paraId="5AF42FFD" w14:textId="77777777" w:rsidR="0086415A" w:rsidRPr="000973F2" w:rsidRDefault="0086415A" w:rsidP="00DA20D3">
            <w:pPr>
              <w:tabs>
                <w:tab w:val="decimal" w:pos="301"/>
              </w:tabs>
              <w:spacing w:before="40" w:after="4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0</w:t>
            </w:r>
          </w:p>
        </w:tc>
        <w:tc>
          <w:tcPr>
            <w:tcW w:w="810" w:type="dxa"/>
            <w:noWrap/>
          </w:tcPr>
          <w:p w14:paraId="64E1D4F3" w14:textId="77777777" w:rsidR="0086415A" w:rsidRPr="000973F2" w:rsidRDefault="0086415A" w:rsidP="00DA20D3">
            <w:pPr>
              <w:tabs>
                <w:tab w:val="decimal" w:pos="301"/>
              </w:tabs>
              <w:spacing w:before="40" w:after="4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1.2</w:t>
            </w:r>
          </w:p>
        </w:tc>
        <w:tc>
          <w:tcPr>
            <w:tcW w:w="577" w:type="dxa"/>
            <w:noWrap/>
          </w:tcPr>
          <w:p w14:paraId="46B35887" w14:textId="77777777" w:rsidR="0086415A" w:rsidRPr="000973F2" w:rsidRDefault="0086415A" w:rsidP="00DA20D3">
            <w:pPr>
              <w:tabs>
                <w:tab w:val="decimal" w:pos="301"/>
              </w:tabs>
              <w:spacing w:before="40" w:after="4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$0</w:t>
            </w:r>
          </w:p>
        </w:tc>
        <w:tc>
          <w:tcPr>
            <w:tcW w:w="848" w:type="dxa"/>
            <w:noWrap/>
          </w:tcPr>
          <w:p w14:paraId="6957FC3F" w14:textId="77777777" w:rsidR="0086415A" w:rsidRPr="000973F2" w:rsidRDefault="0086415A" w:rsidP="00DA20D3">
            <w:pPr>
              <w:tabs>
                <w:tab w:val="decimal" w:pos="481"/>
              </w:tabs>
              <w:spacing w:before="40" w:after="4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$1,006</w:t>
            </w:r>
          </w:p>
        </w:tc>
      </w:tr>
      <w:tr w:rsidR="0086415A" w:rsidRPr="000973F2" w14:paraId="3E2CEA7E" w14:textId="77777777" w:rsidTr="00B926DD">
        <w:trPr>
          <w:cantSplit/>
        </w:trPr>
        <w:tc>
          <w:tcPr>
            <w:cnfStyle w:val="001000000000" w:firstRow="0" w:lastRow="0" w:firstColumn="1" w:lastColumn="0" w:oddVBand="0" w:evenVBand="0" w:oddHBand="0" w:evenHBand="0" w:firstRowFirstColumn="0" w:firstRowLastColumn="0" w:lastRowFirstColumn="0" w:lastRowLastColumn="0"/>
            <w:tcW w:w="1425" w:type="dxa"/>
          </w:tcPr>
          <w:p w14:paraId="7307B097" w14:textId="77777777" w:rsidR="0086415A" w:rsidRPr="000973F2" w:rsidRDefault="0086415A" w:rsidP="00DA20D3">
            <w:pPr>
              <w:spacing w:before="40" w:after="4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Recordkeeping</w:t>
            </w:r>
          </w:p>
        </w:tc>
        <w:tc>
          <w:tcPr>
            <w:tcW w:w="810" w:type="dxa"/>
            <w:noWrap/>
          </w:tcPr>
          <w:p w14:paraId="090E7F14" w14:textId="77777777" w:rsidR="0086415A" w:rsidRPr="000973F2" w:rsidRDefault="0086415A" w:rsidP="00DA20D3">
            <w:pPr>
              <w:tabs>
                <w:tab w:val="decimal" w:pos="301"/>
              </w:tabs>
              <w:spacing w:before="40" w:after="4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0</w:t>
            </w:r>
          </w:p>
        </w:tc>
        <w:tc>
          <w:tcPr>
            <w:tcW w:w="810" w:type="dxa"/>
            <w:noWrap/>
          </w:tcPr>
          <w:p w14:paraId="0C2DDD3D" w14:textId="77777777" w:rsidR="0086415A" w:rsidRPr="000973F2" w:rsidRDefault="0086415A" w:rsidP="00DA20D3">
            <w:pPr>
              <w:tabs>
                <w:tab w:val="decimal" w:pos="301"/>
              </w:tabs>
              <w:spacing w:before="40" w:after="4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0</w:t>
            </w:r>
          </w:p>
        </w:tc>
        <w:tc>
          <w:tcPr>
            <w:tcW w:w="810" w:type="dxa"/>
            <w:noWrap/>
          </w:tcPr>
          <w:p w14:paraId="568D1EC3" w14:textId="77777777" w:rsidR="0086415A" w:rsidRPr="000973F2" w:rsidRDefault="0086415A" w:rsidP="00DA20D3">
            <w:pPr>
              <w:tabs>
                <w:tab w:val="decimal" w:pos="301"/>
              </w:tabs>
              <w:spacing w:before="40" w:after="4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0</w:t>
            </w:r>
          </w:p>
        </w:tc>
        <w:tc>
          <w:tcPr>
            <w:tcW w:w="810" w:type="dxa"/>
            <w:noWrap/>
          </w:tcPr>
          <w:p w14:paraId="7EE2021E" w14:textId="77777777" w:rsidR="0086415A" w:rsidRPr="000973F2" w:rsidRDefault="0086415A" w:rsidP="00DA20D3">
            <w:pPr>
              <w:tabs>
                <w:tab w:val="decimal" w:pos="301"/>
              </w:tabs>
              <w:spacing w:before="40" w:after="4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0.5</w:t>
            </w:r>
          </w:p>
        </w:tc>
        <w:tc>
          <w:tcPr>
            <w:tcW w:w="810" w:type="dxa"/>
            <w:noWrap/>
          </w:tcPr>
          <w:p w14:paraId="3F782C97" w14:textId="77777777" w:rsidR="0086415A" w:rsidRPr="000973F2" w:rsidRDefault="0086415A" w:rsidP="00DA20D3">
            <w:pPr>
              <w:tabs>
                <w:tab w:val="decimal" w:pos="301"/>
              </w:tabs>
              <w:spacing w:before="40" w:after="4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0</w:t>
            </w:r>
          </w:p>
        </w:tc>
        <w:tc>
          <w:tcPr>
            <w:tcW w:w="810" w:type="dxa"/>
            <w:noWrap/>
          </w:tcPr>
          <w:p w14:paraId="005361B8" w14:textId="77777777" w:rsidR="0086415A" w:rsidRPr="000973F2" w:rsidRDefault="0086415A" w:rsidP="00DA20D3">
            <w:pPr>
              <w:tabs>
                <w:tab w:val="decimal" w:pos="301"/>
              </w:tabs>
              <w:spacing w:before="40" w:after="4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5</w:t>
            </w:r>
          </w:p>
        </w:tc>
        <w:tc>
          <w:tcPr>
            <w:tcW w:w="810" w:type="dxa"/>
            <w:noWrap/>
          </w:tcPr>
          <w:p w14:paraId="19D8808D" w14:textId="77777777" w:rsidR="0086415A" w:rsidRPr="000973F2" w:rsidRDefault="0086415A" w:rsidP="00DA20D3">
            <w:pPr>
              <w:tabs>
                <w:tab w:val="decimal" w:pos="301"/>
              </w:tabs>
              <w:spacing w:before="40" w:after="4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0</w:t>
            </w:r>
          </w:p>
        </w:tc>
        <w:tc>
          <w:tcPr>
            <w:tcW w:w="810" w:type="dxa"/>
            <w:noWrap/>
          </w:tcPr>
          <w:p w14:paraId="21C85740" w14:textId="77777777" w:rsidR="0086415A" w:rsidRPr="000973F2" w:rsidRDefault="0086415A" w:rsidP="00DA20D3">
            <w:pPr>
              <w:tabs>
                <w:tab w:val="decimal" w:pos="301"/>
              </w:tabs>
              <w:spacing w:before="40" w:after="4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0.5</w:t>
            </w:r>
          </w:p>
        </w:tc>
        <w:tc>
          <w:tcPr>
            <w:tcW w:w="577" w:type="dxa"/>
            <w:noWrap/>
          </w:tcPr>
          <w:p w14:paraId="1DC7F2AC" w14:textId="77777777" w:rsidR="0086415A" w:rsidRPr="000973F2" w:rsidRDefault="0086415A" w:rsidP="00DA20D3">
            <w:pPr>
              <w:tabs>
                <w:tab w:val="decimal" w:pos="301"/>
              </w:tabs>
              <w:spacing w:before="40" w:after="4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$0</w:t>
            </w:r>
          </w:p>
        </w:tc>
        <w:tc>
          <w:tcPr>
            <w:tcW w:w="848" w:type="dxa"/>
            <w:noWrap/>
          </w:tcPr>
          <w:p w14:paraId="1AB573EC" w14:textId="77777777" w:rsidR="0086415A" w:rsidRPr="000973F2" w:rsidRDefault="0086415A" w:rsidP="00DA20D3">
            <w:pPr>
              <w:tabs>
                <w:tab w:val="decimal" w:pos="481"/>
              </w:tabs>
              <w:spacing w:before="40" w:after="4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$419</w:t>
            </w:r>
          </w:p>
        </w:tc>
      </w:tr>
      <w:tr w:rsidR="0086415A" w:rsidRPr="000973F2" w14:paraId="7713B791" w14:textId="77777777" w:rsidTr="00B926DD">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1425" w:type="dxa"/>
          </w:tcPr>
          <w:p w14:paraId="5C2CC1BB" w14:textId="77777777" w:rsidR="0086415A" w:rsidRPr="000973F2" w:rsidRDefault="0086415A" w:rsidP="00DA20D3">
            <w:pPr>
              <w:spacing w:before="40" w:after="4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Sampling and Analysis (Calculations)</w:t>
            </w:r>
          </w:p>
        </w:tc>
        <w:tc>
          <w:tcPr>
            <w:tcW w:w="810" w:type="dxa"/>
            <w:noWrap/>
          </w:tcPr>
          <w:p w14:paraId="3C111A98" w14:textId="77777777" w:rsidR="0086415A" w:rsidRPr="000973F2" w:rsidRDefault="0086415A" w:rsidP="00DA20D3">
            <w:pPr>
              <w:tabs>
                <w:tab w:val="decimal" w:pos="301"/>
              </w:tabs>
              <w:spacing w:before="40" w:after="4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0</w:t>
            </w:r>
          </w:p>
        </w:tc>
        <w:tc>
          <w:tcPr>
            <w:tcW w:w="810" w:type="dxa"/>
            <w:noWrap/>
          </w:tcPr>
          <w:p w14:paraId="77361620" w14:textId="77777777" w:rsidR="0086415A" w:rsidRPr="000973F2" w:rsidRDefault="0086415A" w:rsidP="00DA20D3">
            <w:pPr>
              <w:tabs>
                <w:tab w:val="decimal" w:pos="301"/>
              </w:tabs>
              <w:spacing w:before="40" w:after="4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0</w:t>
            </w:r>
          </w:p>
        </w:tc>
        <w:tc>
          <w:tcPr>
            <w:tcW w:w="810" w:type="dxa"/>
            <w:noWrap/>
          </w:tcPr>
          <w:p w14:paraId="70FBD2D1" w14:textId="77777777" w:rsidR="0086415A" w:rsidRPr="000973F2" w:rsidRDefault="0086415A" w:rsidP="00DA20D3">
            <w:pPr>
              <w:tabs>
                <w:tab w:val="decimal" w:pos="301"/>
              </w:tabs>
              <w:spacing w:before="40" w:after="4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0</w:t>
            </w:r>
          </w:p>
        </w:tc>
        <w:tc>
          <w:tcPr>
            <w:tcW w:w="810" w:type="dxa"/>
            <w:noWrap/>
          </w:tcPr>
          <w:p w14:paraId="07D38C3F" w14:textId="77777777" w:rsidR="0086415A" w:rsidRPr="000973F2" w:rsidRDefault="0086415A" w:rsidP="00DA20D3">
            <w:pPr>
              <w:tabs>
                <w:tab w:val="decimal" w:pos="301"/>
              </w:tabs>
              <w:spacing w:before="40" w:after="4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0.8</w:t>
            </w:r>
          </w:p>
        </w:tc>
        <w:tc>
          <w:tcPr>
            <w:tcW w:w="810" w:type="dxa"/>
            <w:noWrap/>
          </w:tcPr>
          <w:p w14:paraId="59B80B27" w14:textId="77777777" w:rsidR="0086415A" w:rsidRPr="000973F2" w:rsidRDefault="0086415A" w:rsidP="00DA20D3">
            <w:pPr>
              <w:tabs>
                <w:tab w:val="decimal" w:pos="301"/>
              </w:tabs>
              <w:spacing w:before="40" w:after="4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0</w:t>
            </w:r>
          </w:p>
        </w:tc>
        <w:tc>
          <w:tcPr>
            <w:tcW w:w="810" w:type="dxa"/>
            <w:noWrap/>
          </w:tcPr>
          <w:p w14:paraId="0490AED7" w14:textId="77777777" w:rsidR="0086415A" w:rsidRPr="000973F2" w:rsidRDefault="0086415A" w:rsidP="00DA20D3">
            <w:pPr>
              <w:tabs>
                <w:tab w:val="decimal" w:pos="301"/>
              </w:tabs>
              <w:spacing w:before="40" w:after="4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8.3</w:t>
            </w:r>
          </w:p>
        </w:tc>
        <w:tc>
          <w:tcPr>
            <w:tcW w:w="810" w:type="dxa"/>
            <w:noWrap/>
          </w:tcPr>
          <w:p w14:paraId="3D900F26" w14:textId="77777777" w:rsidR="0086415A" w:rsidRPr="000973F2" w:rsidRDefault="0086415A" w:rsidP="00DA20D3">
            <w:pPr>
              <w:tabs>
                <w:tab w:val="decimal" w:pos="301"/>
              </w:tabs>
              <w:spacing w:before="40" w:after="4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0</w:t>
            </w:r>
          </w:p>
        </w:tc>
        <w:tc>
          <w:tcPr>
            <w:tcW w:w="810" w:type="dxa"/>
            <w:noWrap/>
          </w:tcPr>
          <w:p w14:paraId="5AA2029D" w14:textId="77777777" w:rsidR="0086415A" w:rsidRPr="000973F2" w:rsidRDefault="0086415A" w:rsidP="00DA20D3">
            <w:pPr>
              <w:tabs>
                <w:tab w:val="decimal" w:pos="301"/>
              </w:tabs>
              <w:spacing w:before="40" w:after="4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0.8</w:t>
            </w:r>
          </w:p>
        </w:tc>
        <w:tc>
          <w:tcPr>
            <w:tcW w:w="577" w:type="dxa"/>
            <w:noWrap/>
          </w:tcPr>
          <w:p w14:paraId="144B2AC3" w14:textId="77777777" w:rsidR="0086415A" w:rsidRPr="000973F2" w:rsidRDefault="0086415A" w:rsidP="00DA20D3">
            <w:pPr>
              <w:tabs>
                <w:tab w:val="decimal" w:pos="301"/>
              </w:tabs>
              <w:spacing w:before="40" w:after="4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$0</w:t>
            </w:r>
          </w:p>
        </w:tc>
        <w:tc>
          <w:tcPr>
            <w:tcW w:w="848" w:type="dxa"/>
            <w:noWrap/>
          </w:tcPr>
          <w:p w14:paraId="22B439A2" w14:textId="77777777" w:rsidR="0086415A" w:rsidRPr="000973F2" w:rsidRDefault="0086415A" w:rsidP="00DA20D3">
            <w:pPr>
              <w:tabs>
                <w:tab w:val="decimal" w:pos="481"/>
              </w:tabs>
              <w:spacing w:before="40" w:after="4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$692</w:t>
            </w:r>
          </w:p>
        </w:tc>
      </w:tr>
      <w:tr w:rsidR="00FE5692" w:rsidRPr="000973F2" w14:paraId="16A5B31E" w14:textId="77777777" w:rsidTr="00B926DD">
        <w:trPr>
          <w:cantSplit/>
        </w:trPr>
        <w:tc>
          <w:tcPr>
            <w:cnfStyle w:val="001000000000" w:firstRow="0" w:lastRow="0" w:firstColumn="1" w:lastColumn="0" w:oddVBand="0" w:evenVBand="0" w:oddHBand="0" w:evenHBand="0" w:firstRowFirstColumn="0" w:firstRowLastColumn="0" w:lastRowFirstColumn="0" w:lastRowLastColumn="0"/>
            <w:tcW w:w="1425" w:type="dxa"/>
          </w:tcPr>
          <w:p w14:paraId="4A762CF6" w14:textId="77777777" w:rsidR="0086415A" w:rsidRPr="000973F2" w:rsidRDefault="0086415A" w:rsidP="00DA20D3">
            <w:pPr>
              <w:spacing w:before="40" w:after="4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Reporting</w:t>
            </w:r>
          </w:p>
        </w:tc>
        <w:tc>
          <w:tcPr>
            <w:tcW w:w="810" w:type="dxa"/>
            <w:noWrap/>
          </w:tcPr>
          <w:p w14:paraId="32A7B9CD" w14:textId="77777777" w:rsidR="0086415A" w:rsidRPr="000973F2" w:rsidRDefault="0086415A" w:rsidP="00DA20D3">
            <w:pPr>
              <w:tabs>
                <w:tab w:val="decimal" w:pos="301"/>
              </w:tabs>
              <w:spacing w:before="40" w:after="4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0</w:t>
            </w:r>
          </w:p>
        </w:tc>
        <w:tc>
          <w:tcPr>
            <w:tcW w:w="810" w:type="dxa"/>
            <w:noWrap/>
          </w:tcPr>
          <w:p w14:paraId="678FBE8B" w14:textId="77777777" w:rsidR="0086415A" w:rsidRPr="000973F2" w:rsidRDefault="0086415A" w:rsidP="00DA20D3">
            <w:pPr>
              <w:tabs>
                <w:tab w:val="decimal" w:pos="301"/>
              </w:tabs>
              <w:spacing w:before="40" w:after="4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0</w:t>
            </w:r>
          </w:p>
        </w:tc>
        <w:tc>
          <w:tcPr>
            <w:tcW w:w="810" w:type="dxa"/>
            <w:noWrap/>
          </w:tcPr>
          <w:p w14:paraId="108DC8DE" w14:textId="77777777" w:rsidR="0086415A" w:rsidRPr="000973F2" w:rsidRDefault="0086415A" w:rsidP="00DA20D3">
            <w:pPr>
              <w:tabs>
                <w:tab w:val="decimal" w:pos="301"/>
              </w:tabs>
              <w:spacing w:before="40" w:after="4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0</w:t>
            </w:r>
          </w:p>
        </w:tc>
        <w:tc>
          <w:tcPr>
            <w:tcW w:w="810" w:type="dxa"/>
            <w:noWrap/>
          </w:tcPr>
          <w:p w14:paraId="2A5FB57B" w14:textId="77777777" w:rsidR="0086415A" w:rsidRPr="000973F2" w:rsidRDefault="0086415A" w:rsidP="00DA20D3">
            <w:pPr>
              <w:tabs>
                <w:tab w:val="decimal" w:pos="301"/>
              </w:tabs>
              <w:spacing w:before="40" w:after="4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1</w:t>
            </w:r>
          </w:p>
        </w:tc>
        <w:tc>
          <w:tcPr>
            <w:tcW w:w="810" w:type="dxa"/>
            <w:noWrap/>
          </w:tcPr>
          <w:p w14:paraId="34C1F871" w14:textId="77777777" w:rsidR="0086415A" w:rsidRPr="000973F2" w:rsidRDefault="0086415A" w:rsidP="00DA20D3">
            <w:pPr>
              <w:tabs>
                <w:tab w:val="decimal" w:pos="301"/>
              </w:tabs>
              <w:spacing w:before="40" w:after="4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0</w:t>
            </w:r>
          </w:p>
        </w:tc>
        <w:tc>
          <w:tcPr>
            <w:tcW w:w="810" w:type="dxa"/>
            <w:noWrap/>
          </w:tcPr>
          <w:p w14:paraId="1064C8D7" w14:textId="77777777" w:rsidR="0086415A" w:rsidRPr="000973F2" w:rsidRDefault="0086415A" w:rsidP="00DA20D3">
            <w:pPr>
              <w:tabs>
                <w:tab w:val="decimal" w:pos="301"/>
              </w:tabs>
              <w:spacing w:before="40" w:after="4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10</w:t>
            </w:r>
          </w:p>
        </w:tc>
        <w:tc>
          <w:tcPr>
            <w:tcW w:w="810" w:type="dxa"/>
            <w:noWrap/>
          </w:tcPr>
          <w:p w14:paraId="0579A604" w14:textId="77777777" w:rsidR="0086415A" w:rsidRPr="000973F2" w:rsidRDefault="0086415A" w:rsidP="00DA20D3">
            <w:pPr>
              <w:tabs>
                <w:tab w:val="decimal" w:pos="301"/>
              </w:tabs>
              <w:spacing w:before="40" w:after="4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0</w:t>
            </w:r>
          </w:p>
        </w:tc>
        <w:tc>
          <w:tcPr>
            <w:tcW w:w="810" w:type="dxa"/>
            <w:noWrap/>
          </w:tcPr>
          <w:p w14:paraId="26E2ACFD" w14:textId="77777777" w:rsidR="0086415A" w:rsidRPr="000973F2" w:rsidRDefault="0086415A" w:rsidP="00DA20D3">
            <w:pPr>
              <w:tabs>
                <w:tab w:val="decimal" w:pos="301"/>
              </w:tabs>
              <w:spacing w:before="40" w:after="4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1</w:t>
            </w:r>
          </w:p>
        </w:tc>
        <w:tc>
          <w:tcPr>
            <w:tcW w:w="577" w:type="dxa"/>
            <w:noWrap/>
          </w:tcPr>
          <w:p w14:paraId="61132EF7" w14:textId="77777777" w:rsidR="0086415A" w:rsidRPr="000973F2" w:rsidRDefault="0086415A" w:rsidP="00DA20D3">
            <w:pPr>
              <w:tabs>
                <w:tab w:val="decimal" w:pos="301"/>
              </w:tabs>
              <w:spacing w:before="40" w:after="4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$0</w:t>
            </w:r>
          </w:p>
        </w:tc>
        <w:tc>
          <w:tcPr>
            <w:tcW w:w="848" w:type="dxa"/>
            <w:noWrap/>
          </w:tcPr>
          <w:p w14:paraId="37FD9764" w14:textId="77777777" w:rsidR="0086415A" w:rsidRPr="000973F2" w:rsidRDefault="0086415A" w:rsidP="00DA20D3">
            <w:pPr>
              <w:tabs>
                <w:tab w:val="decimal" w:pos="481"/>
              </w:tabs>
              <w:spacing w:before="40" w:after="4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$838</w:t>
            </w:r>
          </w:p>
        </w:tc>
      </w:tr>
      <w:tr w:rsidR="0086415A" w:rsidRPr="000973F2" w14:paraId="5C11D2EA" w14:textId="77777777" w:rsidTr="00B926DD">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1425" w:type="dxa"/>
            <w:noWrap/>
          </w:tcPr>
          <w:p w14:paraId="6DD54CEE" w14:textId="77777777" w:rsidR="0086415A" w:rsidRPr="000973F2" w:rsidRDefault="0086415A" w:rsidP="00DA20D3">
            <w:pPr>
              <w:spacing w:before="40" w:after="40"/>
              <w:rPr>
                <w:rFonts w:ascii="Times New Roman" w:eastAsia="Times New Roman" w:hAnsi="Times New Roman" w:cs="Times New Roman"/>
                <w:b/>
                <w:bCs w:val="0"/>
                <w:sz w:val="18"/>
                <w:szCs w:val="18"/>
              </w:rPr>
            </w:pPr>
            <w:r w:rsidRPr="000973F2">
              <w:rPr>
                <w:rFonts w:ascii="Times New Roman" w:eastAsia="Times New Roman" w:hAnsi="Times New Roman" w:cs="Times New Roman"/>
                <w:b/>
                <w:sz w:val="18"/>
                <w:szCs w:val="18"/>
              </w:rPr>
              <w:t>Total</w:t>
            </w:r>
          </w:p>
        </w:tc>
        <w:tc>
          <w:tcPr>
            <w:tcW w:w="810" w:type="dxa"/>
            <w:noWrap/>
          </w:tcPr>
          <w:p w14:paraId="2AF527CB" w14:textId="77777777" w:rsidR="0086415A" w:rsidRPr="000973F2" w:rsidRDefault="0086415A" w:rsidP="00DA20D3">
            <w:pPr>
              <w:tabs>
                <w:tab w:val="decimal" w:pos="301"/>
              </w:tabs>
              <w:spacing w:before="40" w:after="4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18"/>
                <w:szCs w:val="18"/>
              </w:rPr>
            </w:pPr>
            <w:r w:rsidRPr="000973F2">
              <w:rPr>
                <w:rFonts w:ascii="Times New Roman" w:eastAsia="Times New Roman" w:hAnsi="Times New Roman" w:cs="Times New Roman"/>
                <w:b/>
                <w:bCs/>
                <w:sz w:val="18"/>
                <w:szCs w:val="18"/>
              </w:rPr>
              <w:t>0</w:t>
            </w:r>
          </w:p>
        </w:tc>
        <w:tc>
          <w:tcPr>
            <w:tcW w:w="810" w:type="dxa"/>
            <w:noWrap/>
          </w:tcPr>
          <w:p w14:paraId="1A046ECA" w14:textId="77777777" w:rsidR="0086415A" w:rsidRPr="000973F2" w:rsidRDefault="0086415A" w:rsidP="00DA20D3">
            <w:pPr>
              <w:tabs>
                <w:tab w:val="decimal" w:pos="301"/>
              </w:tabs>
              <w:spacing w:before="40" w:after="4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18"/>
                <w:szCs w:val="18"/>
              </w:rPr>
            </w:pPr>
            <w:r w:rsidRPr="000973F2">
              <w:rPr>
                <w:rFonts w:ascii="Times New Roman" w:eastAsia="Times New Roman" w:hAnsi="Times New Roman" w:cs="Times New Roman"/>
                <w:b/>
                <w:bCs/>
                <w:sz w:val="18"/>
                <w:szCs w:val="18"/>
              </w:rPr>
              <w:t>2</w:t>
            </w:r>
          </w:p>
        </w:tc>
        <w:tc>
          <w:tcPr>
            <w:tcW w:w="810" w:type="dxa"/>
            <w:noWrap/>
          </w:tcPr>
          <w:p w14:paraId="371AFF45" w14:textId="77777777" w:rsidR="0086415A" w:rsidRPr="000973F2" w:rsidRDefault="0086415A" w:rsidP="00DA20D3">
            <w:pPr>
              <w:tabs>
                <w:tab w:val="decimal" w:pos="301"/>
              </w:tabs>
              <w:spacing w:before="40" w:after="4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18"/>
                <w:szCs w:val="18"/>
              </w:rPr>
            </w:pPr>
            <w:r w:rsidRPr="000973F2">
              <w:rPr>
                <w:rFonts w:ascii="Times New Roman" w:eastAsia="Times New Roman" w:hAnsi="Times New Roman" w:cs="Times New Roman"/>
                <w:b/>
                <w:bCs/>
                <w:sz w:val="18"/>
                <w:szCs w:val="18"/>
              </w:rPr>
              <w:t>0</w:t>
            </w:r>
          </w:p>
        </w:tc>
        <w:tc>
          <w:tcPr>
            <w:tcW w:w="810" w:type="dxa"/>
            <w:noWrap/>
          </w:tcPr>
          <w:p w14:paraId="21BFC346" w14:textId="77777777" w:rsidR="0086415A" w:rsidRPr="000973F2" w:rsidRDefault="0086415A" w:rsidP="00DA20D3">
            <w:pPr>
              <w:tabs>
                <w:tab w:val="decimal" w:pos="301"/>
              </w:tabs>
              <w:spacing w:before="40" w:after="4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18"/>
                <w:szCs w:val="18"/>
              </w:rPr>
            </w:pPr>
            <w:r w:rsidRPr="000973F2">
              <w:rPr>
                <w:rFonts w:ascii="Times New Roman" w:eastAsia="Times New Roman" w:hAnsi="Times New Roman" w:cs="Times New Roman"/>
                <w:b/>
                <w:bCs/>
                <w:sz w:val="18"/>
                <w:szCs w:val="18"/>
              </w:rPr>
              <w:t>4.3</w:t>
            </w:r>
          </w:p>
        </w:tc>
        <w:tc>
          <w:tcPr>
            <w:tcW w:w="810" w:type="dxa"/>
            <w:noWrap/>
          </w:tcPr>
          <w:p w14:paraId="54B319AA" w14:textId="77777777" w:rsidR="0086415A" w:rsidRPr="000973F2" w:rsidRDefault="0086415A" w:rsidP="00DA20D3">
            <w:pPr>
              <w:tabs>
                <w:tab w:val="decimal" w:pos="301"/>
              </w:tabs>
              <w:spacing w:before="40" w:after="4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18"/>
                <w:szCs w:val="18"/>
              </w:rPr>
            </w:pPr>
            <w:r w:rsidRPr="000973F2">
              <w:rPr>
                <w:rFonts w:ascii="Times New Roman" w:eastAsia="Times New Roman" w:hAnsi="Times New Roman" w:cs="Times New Roman"/>
                <w:b/>
                <w:bCs/>
                <w:sz w:val="18"/>
                <w:szCs w:val="18"/>
              </w:rPr>
              <w:t>0</w:t>
            </w:r>
          </w:p>
        </w:tc>
        <w:tc>
          <w:tcPr>
            <w:tcW w:w="810" w:type="dxa"/>
            <w:noWrap/>
          </w:tcPr>
          <w:p w14:paraId="75EC624D" w14:textId="77777777" w:rsidR="0086415A" w:rsidRPr="000973F2" w:rsidRDefault="0086415A" w:rsidP="00DA20D3">
            <w:pPr>
              <w:tabs>
                <w:tab w:val="decimal" w:pos="301"/>
              </w:tabs>
              <w:spacing w:before="40" w:after="4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18"/>
                <w:szCs w:val="18"/>
              </w:rPr>
            </w:pPr>
            <w:r w:rsidRPr="000973F2">
              <w:rPr>
                <w:rFonts w:ascii="Times New Roman" w:eastAsia="Times New Roman" w:hAnsi="Times New Roman" w:cs="Times New Roman"/>
                <w:b/>
                <w:bCs/>
                <w:sz w:val="18"/>
                <w:szCs w:val="18"/>
              </w:rPr>
              <w:t>43.3</w:t>
            </w:r>
          </w:p>
        </w:tc>
        <w:tc>
          <w:tcPr>
            <w:tcW w:w="810" w:type="dxa"/>
            <w:noWrap/>
          </w:tcPr>
          <w:p w14:paraId="0884121F" w14:textId="77777777" w:rsidR="0086415A" w:rsidRPr="000973F2" w:rsidRDefault="0086415A" w:rsidP="00DA20D3">
            <w:pPr>
              <w:tabs>
                <w:tab w:val="decimal" w:pos="301"/>
              </w:tabs>
              <w:spacing w:before="40" w:after="4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18"/>
                <w:szCs w:val="18"/>
              </w:rPr>
            </w:pPr>
            <w:r w:rsidRPr="000973F2">
              <w:rPr>
                <w:rFonts w:ascii="Times New Roman" w:eastAsia="Times New Roman" w:hAnsi="Times New Roman" w:cs="Times New Roman"/>
                <w:b/>
                <w:bCs/>
                <w:sz w:val="18"/>
                <w:szCs w:val="18"/>
              </w:rPr>
              <w:t>0</w:t>
            </w:r>
          </w:p>
        </w:tc>
        <w:tc>
          <w:tcPr>
            <w:tcW w:w="810" w:type="dxa"/>
            <w:noWrap/>
          </w:tcPr>
          <w:p w14:paraId="4DB7E356" w14:textId="77777777" w:rsidR="0086415A" w:rsidRPr="000973F2" w:rsidRDefault="0086415A" w:rsidP="00DA20D3">
            <w:pPr>
              <w:tabs>
                <w:tab w:val="decimal" w:pos="301"/>
              </w:tabs>
              <w:spacing w:before="40" w:after="4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18"/>
                <w:szCs w:val="18"/>
              </w:rPr>
            </w:pPr>
            <w:r w:rsidRPr="000973F2">
              <w:rPr>
                <w:rFonts w:ascii="Times New Roman" w:eastAsia="Times New Roman" w:hAnsi="Times New Roman" w:cs="Times New Roman"/>
                <w:b/>
                <w:bCs/>
                <w:sz w:val="18"/>
                <w:szCs w:val="18"/>
              </w:rPr>
              <w:t>4.3</w:t>
            </w:r>
          </w:p>
        </w:tc>
        <w:tc>
          <w:tcPr>
            <w:tcW w:w="577" w:type="dxa"/>
            <w:noWrap/>
          </w:tcPr>
          <w:p w14:paraId="22993D4D" w14:textId="77777777" w:rsidR="0086415A" w:rsidRPr="000973F2" w:rsidRDefault="0086415A" w:rsidP="00DA20D3">
            <w:pPr>
              <w:tabs>
                <w:tab w:val="decimal" w:pos="301"/>
              </w:tabs>
              <w:spacing w:before="40" w:after="4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18"/>
                <w:szCs w:val="18"/>
              </w:rPr>
            </w:pPr>
            <w:r w:rsidRPr="000973F2">
              <w:rPr>
                <w:rFonts w:ascii="Times New Roman" w:eastAsia="Times New Roman" w:hAnsi="Times New Roman" w:cs="Times New Roman"/>
                <w:b/>
                <w:bCs/>
                <w:sz w:val="18"/>
                <w:szCs w:val="18"/>
              </w:rPr>
              <w:t>$0</w:t>
            </w:r>
          </w:p>
        </w:tc>
        <w:tc>
          <w:tcPr>
            <w:tcW w:w="848" w:type="dxa"/>
            <w:noWrap/>
          </w:tcPr>
          <w:p w14:paraId="6BD16B64" w14:textId="77777777" w:rsidR="0086415A" w:rsidRPr="000973F2" w:rsidRDefault="0086415A" w:rsidP="00DA20D3">
            <w:pPr>
              <w:tabs>
                <w:tab w:val="decimal" w:pos="481"/>
              </w:tabs>
              <w:spacing w:before="40" w:after="4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18"/>
                <w:szCs w:val="18"/>
              </w:rPr>
            </w:pPr>
            <w:r w:rsidRPr="000973F2">
              <w:rPr>
                <w:rFonts w:ascii="Times New Roman" w:eastAsia="Times New Roman" w:hAnsi="Times New Roman" w:cs="Times New Roman"/>
                <w:b/>
                <w:bCs/>
                <w:sz w:val="18"/>
                <w:szCs w:val="18"/>
              </w:rPr>
              <w:t>$3,850</w:t>
            </w:r>
          </w:p>
        </w:tc>
      </w:tr>
    </w:tbl>
    <w:p w14:paraId="32D530F4" w14:textId="083E1BFC" w:rsidR="0086415A" w:rsidRPr="000973F2" w:rsidRDefault="0086415A" w:rsidP="00C00E4F">
      <w:pPr>
        <w:spacing w:line="240" w:lineRule="auto"/>
        <w:rPr>
          <w:rFonts w:ascii="Times New Roman" w:hAnsi="Times New Roman" w:cs="Times New Roman"/>
          <w:sz w:val="16"/>
          <w:szCs w:val="16"/>
        </w:rPr>
      </w:pPr>
    </w:p>
    <w:p w14:paraId="5F97A732" w14:textId="77777777" w:rsidR="00CE6104" w:rsidRPr="000973F2" w:rsidRDefault="00CE6104" w:rsidP="00C00E4F">
      <w:pPr>
        <w:spacing w:line="240" w:lineRule="auto"/>
        <w:rPr>
          <w:rFonts w:ascii="Times New Roman" w:eastAsia="Times New Roman" w:hAnsi="Times New Roman" w:cs="Times New Roman"/>
          <w:b/>
          <w:bCs/>
          <w:szCs w:val="16"/>
        </w:rPr>
      </w:pPr>
      <w:r w:rsidRPr="000973F2">
        <w:rPr>
          <w:rFonts w:ascii="Times New Roman" w:eastAsia="Times New Roman" w:hAnsi="Times New Roman" w:cs="Times New Roman"/>
          <w:b/>
          <w:bCs/>
          <w:szCs w:val="16"/>
        </w:rPr>
        <w:br w:type="page"/>
      </w:r>
    </w:p>
    <w:p w14:paraId="37C3C13B" w14:textId="447C481C" w:rsidR="0086415A" w:rsidRPr="000973F2" w:rsidRDefault="00D826A6" w:rsidP="00121F32">
      <w:pPr>
        <w:pStyle w:val="Tabletitle"/>
        <w:rPr>
          <w:sz w:val="16"/>
        </w:rPr>
      </w:pPr>
      <w:r w:rsidRPr="000973F2">
        <w:t xml:space="preserve">Table </w:t>
      </w:r>
      <w:r w:rsidR="00121F32" w:rsidRPr="000973F2">
        <w:t>Y-</w:t>
      </w:r>
      <w:r w:rsidRPr="000973F2">
        <w:t>2i. Labor Costs</w:t>
      </w:r>
      <w:r w:rsidR="00EE78FC" w:rsidRPr="000973F2">
        <w:t xml:space="preserve"> </w:t>
      </w:r>
      <w:r w:rsidR="00B960CC" w:rsidRPr="000973F2">
        <w:t>–</w:t>
      </w:r>
      <w:r w:rsidR="00EE78FC" w:rsidRPr="000973F2">
        <w:t xml:space="preserve"> </w:t>
      </w:r>
      <w:r w:rsidRPr="000973F2">
        <w:t>Subpart Y – Medium Upgrading Refinery with Loading</w:t>
      </w:r>
    </w:p>
    <w:tbl>
      <w:tblPr>
        <w:tblStyle w:val="PlainTable1"/>
        <w:tblW w:w="5000" w:type="pct"/>
        <w:jc w:val="left"/>
        <w:tblLayout w:type="fixed"/>
        <w:tblCellMar>
          <w:left w:w="115" w:type="dxa"/>
          <w:right w:w="115" w:type="dxa"/>
        </w:tblCellMar>
        <w:tblLook w:val="04A0" w:firstRow="1" w:lastRow="0" w:firstColumn="1" w:lastColumn="0" w:noHBand="0" w:noVBand="1"/>
      </w:tblPr>
      <w:tblGrid>
        <w:gridCol w:w="1464"/>
        <w:gridCol w:w="832"/>
        <w:gridCol w:w="832"/>
        <w:gridCol w:w="832"/>
        <w:gridCol w:w="833"/>
        <w:gridCol w:w="833"/>
        <w:gridCol w:w="833"/>
        <w:gridCol w:w="833"/>
        <w:gridCol w:w="833"/>
        <w:gridCol w:w="648"/>
        <w:gridCol w:w="817"/>
      </w:tblGrid>
      <w:tr w:rsidR="0086415A" w:rsidRPr="000973F2" w14:paraId="2D56A3F8" w14:textId="77777777" w:rsidTr="00B926DD">
        <w:trPr>
          <w:cnfStyle w:val="100000000000" w:firstRow="1" w:lastRow="0" w:firstColumn="0" w:lastColumn="0" w:oddVBand="0" w:evenVBand="0" w:oddHBand="0" w:evenHBand="0" w:firstRowFirstColumn="0" w:firstRowLastColumn="0" w:lastRowFirstColumn="0" w:lastRowLastColumn="0"/>
          <w:cantSplit/>
          <w:jc w:val="left"/>
        </w:trPr>
        <w:tc>
          <w:tcPr>
            <w:cnfStyle w:val="001000000000" w:firstRow="0" w:lastRow="0" w:firstColumn="1" w:lastColumn="0" w:oddVBand="0" w:evenVBand="0" w:oddHBand="0" w:evenHBand="0" w:firstRowFirstColumn="0" w:firstRowLastColumn="0" w:lastRowFirstColumn="0" w:lastRowLastColumn="0"/>
            <w:tcW w:w="1425" w:type="dxa"/>
            <w:vMerge w:val="restart"/>
            <w:noWrap/>
            <w:vAlign w:val="top"/>
          </w:tcPr>
          <w:p w14:paraId="6F9C03AB" w14:textId="77777777" w:rsidR="0086415A" w:rsidRPr="000973F2" w:rsidRDefault="0086415A" w:rsidP="00121F32">
            <w:pPr>
              <w:spacing w:before="40" w:after="40"/>
              <w:rPr>
                <w:rFonts w:ascii="Times New Roman" w:eastAsia="Times New Roman" w:hAnsi="Times New Roman" w:cs="Times New Roman"/>
                <w:bCs w:val="0"/>
                <w:sz w:val="18"/>
                <w:szCs w:val="18"/>
              </w:rPr>
            </w:pPr>
            <w:r w:rsidRPr="000973F2">
              <w:rPr>
                <w:rFonts w:ascii="Times New Roman" w:eastAsia="Times New Roman" w:hAnsi="Times New Roman" w:cs="Times New Roman"/>
                <w:bCs w:val="0"/>
                <w:sz w:val="18"/>
                <w:szCs w:val="18"/>
              </w:rPr>
              <w:t>Activity</w:t>
            </w:r>
          </w:p>
        </w:tc>
        <w:tc>
          <w:tcPr>
            <w:tcW w:w="6480" w:type="dxa"/>
            <w:gridSpan w:val="8"/>
            <w:noWrap/>
            <w:vAlign w:val="top"/>
          </w:tcPr>
          <w:p w14:paraId="4F45A6D7" w14:textId="77777777" w:rsidR="0086415A" w:rsidRPr="000973F2" w:rsidRDefault="0086415A" w:rsidP="00121F32">
            <w:pPr>
              <w:spacing w:before="40" w:after="40"/>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Cs w:val="0"/>
                <w:sz w:val="18"/>
                <w:szCs w:val="18"/>
              </w:rPr>
            </w:pPr>
            <w:r w:rsidRPr="000973F2">
              <w:rPr>
                <w:rFonts w:ascii="Times New Roman" w:eastAsia="Times New Roman" w:hAnsi="Times New Roman" w:cs="Times New Roman"/>
                <w:bCs w:val="0"/>
                <w:sz w:val="18"/>
                <w:szCs w:val="18"/>
              </w:rPr>
              <w:t>Labor Rates (per hour)</w:t>
            </w:r>
          </w:p>
        </w:tc>
        <w:tc>
          <w:tcPr>
            <w:tcW w:w="1425" w:type="dxa"/>
            <w:gridSpan w:val="2"/>
            <w:vMerge w:val="restart"/>
            <w:vAlign w:val="top"/>
          </w:tcPr>
          <w:p w14:paraId="3E1E595A" w14:textId="77777777" w:rsidR="0086415A" w:rsidRPr="000973F2" w:rsidRDefault="0086415A" w:rsidP="00121F32">
            <w:pPr>
              <w:spacing w:before="40" w:after="40"/>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Cs w:val="0"/>
                <w:sz w:val="18"/>
                <w:szCs w:val="18"/>
              </w:rPr>
            </w:pPr>
            <w:r w:rsidRPr="000973F2">
              <w:rPr>
                <w:rFonts w:ascii="Times New Roman" w:eastAsia="Times New Roman" w:hAnsi="Times New Roman" w:cs="Times New Roman"/>
                <w:bCs w:val="0"/>
                <w:sz w:val="18"/>
                <w:szCs w:val="18"/>
              </w:rPr>
              <w:t>Total Labor Cost per Year per Facility (2017$)</w:t>
            </w:r>
          </w:p>
        </w:tc>
      </w:tr>
      <w:tr w:rsidR="0086415A" w:rsidRPr="000973F2" w14:paraId="45DC0110" w14:textId="77777777" w:rsidTr="00B926DD">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1425" w:type="dxa"/>
            <w:vMerge/>
          </w:tcPr>
          <w:p w14:paraId="6FDD2580" w14:textId="77777777" w:rsidR="0086415A" w:rsidRPr="000973F2" w:rsidRDefault="0086415A" w:rsidP="00121F32">
            <w:pPr>
              <w:spacing w:before="40" w:after="40"/>
              <w:rPr>
                <w:rFonts w:ascii="Times New Roman" w:eastAsia="Times New Roman" w:hAnsi="Times New Roman" w:cs="Times New Roman"/>
                <w:b/>
                <w:bCs w:val="0"/>
                <w:sz w:val="18"/>
                <w:szCs w:val="18"/>
              </w:rPr>
            </w:pPr>
          </w:p>
        </w:tc>
        <w:tc>
          <w:tcPr>
            <w:tcW w:w="1620" w:type="dxa"/>
            <w:gridSpan w:val="2"/>
            <w:noWrap/>
          </w:tcPr>
          <w:p w14:paraId="11F4997D" w14:textId="77777777" w:rsidR="0086415A" w:rsidRPr="000973F2" w:rsidRDefault="0086415A" w:rsidP="00121F32">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18"/>
                <w:szCs w:val="18"/>
              </w:rPr>
            </w:pPr>
            <w:r w:rsidRPr="000973F2">
              <w:rPr>
                <w:rFonts w:ascii="Times New Roman" w:eastAsia="Times New Roman" w:hAnsi="Times New Roman" w:cs="Times New Roman"/>
                <w:b/>
                <w:bCs/>
                <w:sz w:val="18"/>
                <w:szCs w:val="18"/>
              </w:rPr>
              <w:t>Lawyer</w:t>
            </w:r>
          </w:p>
        </w:tc>
        <w:tc>
          <w:tcPr>
            <w:tcW w:w="1620" w:type="dxa"/>
            <w:gridSpan w:val="2"/>
            <w:noWrap/>
          </w:tcPr>
          <w:p w14:paraId="6FB0F8CB" w14:textId="77777777" w:rsidR="0086415A" w:rsidRPr="000973F2" w:rsidRDefault="0086415A" w:rsidP="00121F32">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18"/>
                <w:szCs w:val="18"/>
              </w:rPr>
            </w:pPr>
            <w:r w:rsidRPr="000973F2">
              <w:rPr>
                <w:rFonts w:ascii="Times New Roman" w:eastAsia="Times New Roman" w:hAnsi="Times New Roman" w:cs="Times New Roman"/>
                <w:b/>
                <w:bCs/>
                <w:sz w:val="18"/>
                <w:szCs w:val="18"/>
              </w:rPr>
              <w:t>Industrial Manager</w:t>
            </w:r>
          </w:p>
        </w:tc>
        <w:tc>
          <w:tcPr>
            <w:tcW w:w="1620" w:type="dxa"/>
            <w:gridSpan w:val="2"/>
          </w:tcPr>
          <w:p w14:paraId="73458046" w14:textId="5A75D2B1" w:rsidR="0086415A" w:rsidRPr="000973F2" w:rsidRDefault="0086415A" w:rsidP="00121F32">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18"/>
                <w:szCs w:val="18"/>
              </w:rPr>
            </w:pPr>
            <w:r w:rsidRPr="000973F2">
              <w:rPr>
                <w:rFonts w:ascii="Times New Roman" w:eastAsia="Times New Roman" w:hAnsi="Times New Roman" w:cs="Times New Roman"/>
                <w:b/>
                <w:bCs/>
                <w:sz w:val="18"/>
                <w:szCs w:val="18"/>
              </w:rPr>
              <w:t>Industrial Engineer/</w:t>
            </w:r>
            <w:r w:rsidR="00121F32" w:rsidRPr="000973F2">
              <w:rPr>
                <w:rFonts w:ascii="Times New Roman" w:eastAsia="Times New Roman" w:hAnsi="Times New Roman" w:cs="Times New Roman"/>
                <w:b/>
                <w:bCs/>
                <w:sz w:val="18"/>
                <w:szCs w:val="18"/>
              </w:rPr>
              <w:t xml:space="preserve"> </w:t>
            </w:r>
            <w:r w:rsidRPr="000973F2">
              <w:rPr>
                <w:rFonts w:ascii="Times New Roman" w:eastAsia="Times New Roman" w:hAnsi="Times New Roman" w:cs="Times New Roman"/>
                <w:b/>
                <w:bCs/>
                <w:sz w:val="18"/>
                <w:szCs w:val="18"/>
              </w:rPr>
              <w:t>Technician</w:t>
            </w:r>
          </w:p>
        </w:tc>
        <w:tc>
          <w:tcPr>
            <w:tcW w:w="1620" w:type="dxa"/>
            <w:gridSpan w:val="2"/>
          </w:tcPr>
          <w:p w14:paraId="4C56F970" w14:textId="77777777" w:rsidR="0086415A" w:rsidRPr="000973F2" w:rsidRDefault="0086415A" w:rsidP="00121F32">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18"/>
                <w:szCs w:val="18"/>
              </w:rPr>
            </w:pPr>
            <w:r w:rsidRPr="000973F2">
              <w:rPr>
                <w:rFonts w:ascii="Times New Roman" w:eastAsia="Times New Roman" w:hAnsi="Times New Roman" w:cs="Times New Roman"/>
                <w:b/>
                <w:bCs/>
                <w:sz w:val="18"/>
                <w:szCs w:val="18"/>
              </w:rPr>
              <w:t>Administrative Support</w:t>
            </w:r>
          </w:p>
        </w:tc>
        <w:tc>
          <w:tcPr>
            <w:tcW w:w="1425" w:type="dxa"/>
            <w:gridSpan w:val="2"/>
            <w:vMerge/>
          </w:tcPr>
          <w:p w14:paraId="3FAC08D7" w14:textId="77777777" w:rsidR="0086415A" w:rsidRPr="000973F2" w:rsidRDefault="0086415A" w:rsidP="00121F32">
            <w:pPr>
              <w:spacing w:before="40" w:after="4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18"/>
                <w:szCs w:val="18"/>
              </w:rPr>
            </w:pPr>
          </w:p>
        </w:tc>
      </w:tr>
      <w:tr w:rsidR="0086415A" w:rsidRPr="000973F2" w14:paraId="0CEE87F5" w14:textId="77777777" w:rsidTr="00B926DD">
        <w:trPr>
          <w:cantSplit/>
        </w:trPr>
        <w:tc>
          <w:tcPr>
            <w:cnfStyle w:val="001000000000" w:firstRow="0" w:lastRow="0" w:firstColumn="1" w:lastColumn="0" w:oddVBand="0" w:evenVBand="0" w:oddHBand="0" w:evenHBand="0" w:firstRowFirstColumn="0" w:firstRowLastColumn="0" w:lastRowFirstColumn="0" w:lastRowLastColumn="0"/>
            <w:tcW w:w="1425" w:type="dxa"/>
            <w:vMerge/>
          </w:tcPr>
          <w:p w14:paraId="24219E4D" w14:textId="77777777" w:rsidR="0086415A" w:rsidRPr="000973F2" w:rsidRDefault="0086415A" w:rsidP="00121F32">
            <w:pPr>
              <w:spacing w:before="40" w:after="40"/>
              <w:rPr>
                <w:rFonts w:ascii="Times New Roman" w:eastAsia="Times New Roman" w:hAnsi="Times New Roman" w:cs="Times New Roman"/>
                <w:b/>
                <w:bCs w:val="0"/>
                <w:sz w:val="18"/>
                <w:szCs w:val="18"/>
              </w:rPr>
            </w:pPr>
          </w:p>
        </w:tc>
        <w:tc>
          <w:tcPr>
            <w:tcW w:w="1620" w:type="dxa"/>
            <w:gridSpan w:val="2"/>
            <w:noWrap/>
          </w:tcPr>
          <w:p w14:paraId="38C2C17F" w14:textId="77777777" w:rsidR="0086415A" w:rsidRPr="000973F2" w:rsidRDefault="0086415A" w:rsidP="00121F32">
            <w:pPr>
              <w:spacing w:before="40" w:after="4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sz w:val="18"/>
                <w:szCs w:val="18"/>
              </w:rPr>
            </w:pPr>
            <w:r w:rsidRPr="000973F2">
              <w:rPr>
                <w:rFonts w:ascii="Times New Roman" w:eastAsia="Times New Roman" w:hAnsi="Times New Roman" w:cs="Times New Roman"/>
                <w:b/>
                <w:bCs/>
                <w:sz w:val="18"/>
                <w:szCs w:val="18"/>
              </w:rPr>
              <w:t xml:space="preserve">$112.23 </w:t>
            </w:r>
          </w:p>
        </w:tc>
        <w:tc>
          <w:tcPr>
            <w:tcW w:w="1620" w:type="dxa"/>
            <w:gridSpan w:val="2"/>
            <w:noWrap/>
          </w:tcPr>
          <w:p w14:paraId="2285F097" w14:textId="77777777" w:rsidR="0086415A" w:rsidRPr="000973F2" w:rsidRDefault="0086415A" w:rsidP="00121F32">
            <w:pPr>
              <w:spacing w:before="40" w:after="4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sz w:val="18"/>
                <w:szCs w:val="18"/>
              </w:rPr>
            </w:pPr>
            <w:r w:rsidRPr="000973F2">
              <w:rPr>
                <w:rFonts w:ascii="Times New Roman" w:eastAsia="Times New Roman" w:hAnsi="Times New Roman" w:cs="Times New Roman"/>
                <w:b/>
                <w:bCs/>
                <w:sz w:val="18"/>
                <w:szCs w:val="18"/>
              </w:rPr>
              <w:t xml:space="preserve">$87.45 </w:t>
            </w:r>
          </w:p>
        </w:tc>
        <w:tc>
          <w:tcPr>
            <w:tcW w:w="1620" w:type="dxa"/>
            <w:gridSpan w:val="2"/>
            <w:noWrap/>
          </w:tcPr>
          <w:p w14:paraId="076BA754" w14:textId="77777777" w:rsidR="0086415A" w:rsidRPr="000973F2" w:rsidRDefault="0086415A" w:rsidP="00121F32">
            <w:pPr>
              <w:spacing w:before="40" w:after="4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sz w:val="18"/>
                <w:szCs w:val="18"/>
              </w:rPr>
            </w:pPr>
            <w:r w:rsidRPr="000973F2">
              <w:rPr>
                <w:rFonts w:ascii="Times New Roman" w:eastAsia="Times New Roman" w:hAnsi="Times New Roman" w:cs="Times New Roman"/>
                <w:b/>
                <w:bCs/>
                <w:sz w:val="18"/>
                <w:szCs w:val="18"/>
              </w:rPr>
              <w:t xml:space="preserve">$71.45 </w:t>
            </w:r>
          </w:p>
        </w:tc>
        <w:tc>
          <w:tcPr>
            <w:tcW w:w="1620" w:type="dxa"/>
            <w:gridSpan w:val="2"/>
            <w:noWrap/>
          </w:tcPr>
          <w:p w14:paraId="47FEE628" w14:textId="77777777" w:rsidR="0086415A" w:rsidRPr="000973F2" w:rsidRDefault="0086415A" w:rsidP="00121F32">
            <w:pPr>
              <w:spacing w:before="40" w:after="4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sz w:val="18"/>
                <w:szCs w:val="18"/>
              </w:rPr>
            </w:pPr>
            <w:r w:rsidRPr="000973F2">
              <w:rPr>
                <w:rFonts w:ascii="Times New Roman" w:eastAsia="Times New Roman" w:hAnsi="Times New Roman" w:cs="Times New Roman"/>
                <w:b/>
                <w:bCs/>
                <w:sz w:val="18"/>
                <w:szCs w:val="18"/>
              </w:rPr>
              <w:t xml:space="preserve">$36.28 </w:t>
            </w:r>
          </w:p>
        </w:tc>
        <w:tc>
          <w:tcPr>
            <w:tcW w:w="1425" w:type="dxa"/>
            <w:gridSpan w:val="2"/>
            <w:vMerge/>
          </w:tcPr>
          <w:p w14:paraId="18D05F8E" w14:textId="77777777" w:rsidR="0086415A" w:rsidRPr="000973F2" w:rsidRDefault="0086415A" w:rsidP="00121F32">
            <w:pPr>
              <w:spacing w:before="40" w:after="4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sz w:val="18"/>
                <w:szCs w:val="18"/>
              </w:rPr>
            </w:pPr>
          </w:p>
        </w:tc>
      </w:tr>
      <w:tr w:rsidR="0086415A" w:rsidRPr="000973F2" w14:paraId="3D628FBD" w14:textId="77777777" w:rsidTr="00B926DD">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1425" w:type="dxa"/>
            <w:vMerge/>
          </w:tcPr>
          <w:p w14:paraId="35E26C6A" w14:textId="77777777" w:rsidR="0086415A" w:rsidRPr="000973F2" w:rsidRDefault="0086415A" w:rsidP="00121F32">
            <w:pPr>
              <w:spacing w:before="40" w:after="40"/>
              <w:rPr>
                <w:rFonts w:ascii="Times New Roman" w:eastAsia="Times New Roman" w:hAnsi="Times New Roman" w:cs="Times New Roman"/>
                <w:b/>
                <w:bCs w:val="0"/>
                <w:sz w:val="18"/>
                <w:szCs w:val="18"/>
              </w:rPr>
            </w:pPr>
          </w:p>
        </w:tc>
        <w:tc>
          <w:tcPr>
            <w:tcW w:w="810" w:type="dxa"/>
            <w:tcMar>
              <w:left w:w="14" w:type="dxa"/>
              <w:right w:w="14" w:type="dxa"/>
            </w:tcMar>
          </w:tcPr>
          <w:p w14:paraId="4A65F101" w14:textId="77777777" w:rsidR="0086415A" w:rsidRPr="000973F2" w:rsidRDefault="0086415A" w:rsidP="00121F32">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18"/>
                <w:szCs w:val="18"/>
              </w:rPr>
            </w:pPr>
            <w:r w:rsidRPr="000973F2">
              <w:rPr>
                <w:rFonts w:ascii="Times New Roman" w:eastAsia="Times New Roman" w:hAnsi="Times New Roman" w:cs="Times New Roman"/>
                <w:b/>
                <w:bCs/>
                <w:sz w:val="18"/>
                <w:szCs w:val="18"/>
              </w:rPr>
              <w:t>Initial Year Hours</w:t>
            </w:r>
          </w:p>
        </w:tc>
        <w:tc>
          <w:tcPr>
            <w:tcW w:w="810" w:type="dxa"/>
            <w:tcMar>
              <w:left w:w="14" w:type="dxa"/>
              <w:right w:w="14" w:type="dxa"/>
            </w:tcMar>
          </w:tcPr>
          <w:p w14:paraId="43DB8CAE" w14:textId="77777777" w:rsidR="0086415A" w:rsidRPr="000973F2" w:rsidRDefault="0086415A" w:rsidP="00121F32">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18"/>
                <w:szCs w:val="18"/>
              </w:rPr>
            </w:pPr>
            <w:r w:rsidRPr="000973F2">
              <w:rPr>
                <w:rFonts w:ascii="Times New Roman" w:eastAsia="Times New Roman" w:hAnsi="Times New Roman" w:cs="Times New Roman"/>
                <w:b/>
                <w:bCs/>
                <w:sz w:val="18"/>
                <w:szCs w:val="18"/>
              </w:rPr>
              <w:t>Subseq. Year Hours</w:t>
            </w:r>
          </w:p>
        </w:tc>
        <w:tc>
          <w:tcPr>
            <w:tcW w:w="810" w:type="dxa"/>
            <w:tcMar>
              <w:left w:w="14" w:type="dxa"/>
              <w:right w:w="14" w:type="dxa"/>
            </w:tcMar>
          </w:tcPr>
          <w:p w14:paraId="58B0B677" w14:textId="77777777" w:rsidR="0086415A" w:rsidRPr="000973F2" w:rsidRDefault="0086415A" w:rsidP="00121F32">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18"/>
                <w:szCs w:val="18"/>
              </w:rPr>
            </w:pPr>
            <w:r w:rsidRPr="000973F2">
              <w:rPr>
                <w:rFonts w:ascii="Times New Roman" w:eastAsia="Times New Roman" w:hAnsi="Times New Roman" w:cs="Times New Roman"/>
                <w:b/>
                <w:bCs/>
                <w:sz w:val="18"/>
                <w:szCs w:val="18"/>
              </w:rPr>
              <w:t>Initial Year Hours</w:t>
            </w:r>
          </w:p>
        </w:tc>
        <w:tc>
          <w:tcPr>
            <w:tcW w:w="810" w:type="dxa"/>
            <w:tcMar>
              <w:left w:w="14" w:type="dxa"/>
              <w:right w:w="14" w:type="dxa"/>
            </w:tcMar>
          </w:tcPr>
          <w:p w14:paraId="0E54E978" w14:textId="77777777" w:rsidR="0086415A" w:rsidRPr="000973F2" w:rsidRDefault="0086415A" w:rsidP="00121F32">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18"/>
                <w:szCs w:val="18"/>
              </w:rPr>
            </w:pPr>
            <w:r w:rsidRPr="000973F2">
              <w:rPr>
                <w:rFonts w:ascii="Times New Roman" w:eastAsia="Times New Roman" w:hAnsi="Times New Roman" w:cs="Times New Roman"/>
                <w:b/>
                <w:bCs/>
                <w:sz w:val="18"/>
                <w:szCs w:val="18"/>
              </w:rPr>
              <w:t>Subseq. Year Hours</w:t>
            </w:r>
          </w:p>
        </w:tc>
        <w:tc>
          <w:tcPr>
            <w:tcW w:w="810" w:type="dxa"/>
            <w:tcMar>
              <w:left w:w="14" w:type="dxa"/>
              <w:right w:w="14" w:type="dxa"/>
            </w:tcMar>
          </w:tcPr>
          <w:p w14:paraId="6A8D6C32" w14:textId="77777777" w:rsidR="0086415A" w:rsidRPr="000973F2" w:rsidRDefault="0086415A" w:rsidP="00121F32">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18"/>
                <w:szCs w:val="18"/>
              </w:rPr>
            </w:pPr>
            <w:r w:rsidRPr="000973F2">
              <w:rPr>
                <w:rFonts w:ascii="Times New Roman" w:eastAsia="Times New Roman" w:hAnsi="Times New Roman" w:cs="Times New Roman"/>
                <w:b/>
                <w:bCs/>
                <w:sz w:val="18"/>
                <w:szCs w:val="18"/>
              </w:rPr>
              <w:t>Initial Year Hours</w:t>
            </w:r>
          </w:p>
        </w:tc>
        <w:tc>
          <w:tcPr>
            <w:tcW w:w="810" w:type="dxa"/>
            <w:tcMar>
              <w:left w:w="14" w:type="dxa"/>
              <w:right w:w="14" w:type="dxa"/>
            </w:tcMar>
          </w:tcPr>
          <w:p w14:paraId="4E7C9E91" w14:textId="77777777" w:rsidR="0086415A" w:rsidRPr="000973F2" w:rsidRDefault="0086415A" w:rsidP="00121F32">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18"/>
                <w:szCs w:val="18"/>
              </w:rPr>
            </w:pPr>
            <w:r w:rsidRPr="000973F2">
              <w:rPr>
                <w:rFonts w:ascii="Times New Roman" w:eastAsia="Times New Roman" w:hAnsi="Times New Roman" w:cs="Times New Roman"/>
                <w:b/>
                <w:bCs/>
                <w:sz w:val="18"/>
                <w:szCs w:val="18"/>
              </w:rPr>
              <w:t>Subseq. Year Hours</w:t>
            </w:r>
          </w:p>
        </w:tc>
        <w:tc>
          <w:tcPr>
            <w:tcW w:w="810" w:type="dxa"/>
            <w:tcMar>
              <w:left w:w="14" w:type="dxa"/>
              <w:right w:w="14" w:type="dxa"/>
            </w:tcMar>
          </w:tcPr>
          <w:p w14:paraId="1DDC09CD" w14:textId="77777777" w:rsidR="0086415A" w:rsidRPr="000973F2" w:rsidRDefault="0086415A" w:rsidP="00121F32">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18"/>
                <w:szCs w:val="18"/>
              </w:rPr>
            </w:pPr>
            <w:r w:rsidRPr="000973F2">
              <w:rPr>
                <w:rFonts w:ascii="Times New Roman" w:eastAsia="Times New Roman" w:hAnsi="Times New Roman" w:cs="Times New Roman"/>
                <w:b/>
                <w:bCs/>
                <w:sz w:val="18"/>
                <w:szCs w:val="18"/>
              </w:rPr>
              <w:t>Initial Year Hours</w:t>
            </w:r>
          </w:p>
        </w:tc>
        <w:tc>
          <w:tcPr>
            <w:tcW w:w="810" w:type="dxa"/>
            <w:tcMar>
              <w:left w:w="14" w:type="dxa"/>
              <w:right w:w="14" w:type="dxa"/>
            </w:tcMar>
          </w:tcPr>
          <w:p w14:paraId="1D70D13F" w14:textId="77777777" w:rsidR="0086415A" w:rsidRPr="000973F2" w:rsidRDefault="0086415A" w:rsidP="00121F32">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18"/>
                <w:szCs w:val="18"/>
              </w:rPr>
            </w:pPr>
            <w:r w:rsidRPr="000973F2">
              <w:rPr>
                <w:rFonts w:ascii="Times New Roman" w:eastAsia="Times New Roman" w:hAnsi="Times New Roman" w:cs="Times New Roman"/>
                <w:b/>
                <w:bCs/>
                <w:sz w:val="18"/>
                <w:szCs w:val="18"/>
              </w:rPr>
              <w:t>Subseq. Year Hours</w:t>
            </w:r>
          </w:p>
        </w:tc>
        <w:tc>
          <w:tcPr>
            <w:tcW w:w="630" w:type="dxa"/>
            <w:tcMar>
              <w:left w:w="14" w:type="dxa"/>
              <w:right w:w="14" w:type="dxa"/>
            </w:tcMar>
          </w:tcPr>
          <w:p w14:paraId="0C181437" w14:textId="77777777" w:rsidR="0086415A" w:rsidRPr="000973F2" w:rsidRDefault="0086415A" w:rsidP="00121F32">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18"/>
                <w:szCs w:val="18"/>
              </w:rPr>
            </w:pPr>
            <w:r w:rsidRPr="000973F2">
              <w:rPr>
                <w:rFonts w:ascii="Times New Roman" w:eastAsia="Times New Roman" w:hAnsi="Times New Roman" w:cs="Times New Roman"/>
                <w:b/>
                <w:bCs/>
                <w:sz w:val="18"/>
                <w:szCs w:val="18"/>
              </w:rPr>
              <w:t>Initial Year</w:t>
            </w:r>
          </w:p>
        </w:tc>
        <w:tc>
          <w:tcPr>
            <w:tcW w:w="795" w:type="dxa"/>
            <w:tcMar>
              <w:left w:w="14" w:type="dxa"/>
              <w:right w:w="14" w:type="dxa"/>
            </w:tcMar>
          </w:tcPr>
          <w:p w14:paraId="12CC298C" w14:textId="77777777" w:rsidR="0086415A" w:rsidRPr="000973F2" w:rsidRDefault="0086415A" w:rsidP="00121F32">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18"/>
                <w:szCs w:val="18"/>
              </w:rPr>
            </w:pPr>
            <w:r w:rsidRPr="000973F2">
              <w:rPr>
                <w:rFonts w:ascii="Times New Roman" w:eastAsia="Times New Roman" w:hAnsi="Times New Roman" w:cs="Times New Roman"/>
                <w:b/>
                <w:bCs/>
                <w:sz w:val="18"/>
                <w:szCs w:val="18"/>
              </w:rPr>
              <w:t>Subseq. Year</w:t>
            </w:r>
          </w:p>
        </w:tc>
      </w:tr>
      <w:tr w:rsidR="0086415A" w:rsidRPr="000973F2" w14:paraId="48A401DC" w14:textId="77777777" w:rsidTr="00B926DD">
        <w:trPr>
          <w:cantSplit/>
        </w:trPr>
        <w:tc>
          <w:tcPr>
            <w:cnfStyle w:val="001000000000" w:firstRow="0" w:lastRow="0" w:firstColumn="1" w:lastColumn="0" w:oddVBand="0" w:evenVBand="0" w:oddHBand="0" w:evenHBand="0" w:firstRowFirstColumn="0" w:firstRowLastColumn="0" w:lastRowFirstColumn="0" w:lastRowLastColumn="0"/>
            <w:tcW w:w="1425" w:type="dxa"/>
          </w:tcPr>
          <w:p w14:paraId="09312220" w14:textId="77777777" w:rsidR="0086415A" w:rsidRPr="000973F2" w:rsidRDefault="0086415A" w:rsidP="00121F32">
            <w:pPr>
              <w:spacing w:before="40" w:after="4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Planning</w:t>
            </w:r>
          </w:p>
        </w:tc>
        <w:tc>
          <w:tcPr>
            <w:tcW w:w="810" w:type="dxa"/>
            <w:noWrap/>
          </w:tcPr>
          <w:p w14:paraId="3CF6DEA5" w14:textId="77777777" w:rsidR="0086415A" w:rsidRPr="000973F2" w:rsidRDefault="0086415A" w:rsidP="00121F32">
            <w:pPr>
              <w:tabs>
                <w:tab w:val="decimal" w:pos="286"/>
              </w:tabs>
              <w:spacing w:before="40" w:after="4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0</w:t>
            </w:r>
          </w:p>
        </w:tc>
        <w:tc>
          <w:tcPr>
            <w:tcW w:w="810" w:type="dxa"/>
            <w:noWrap/>
          </w:tcPr>
          <w:p w14:paraId="65C8428C" w14:textId="77777777" w:rsidR="0086415A" w:rsidRPr="000973F2" w:rsidRDefault="0086415A" w:rsidP="00121F32">
            <w:pPr>
              <w:tabs>
                <w:tab w:val="decimal" w:pos="286"/>
              </w:tabs>
              <w:spacing w:before="40" w:after="4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2</w:t>
            </w:r>
          </w:p>
        </w:tc>
        <w:tc>
          <w:tcPr>
            <w:tcW w:w="810" w:type="dxa"/>
            <w:noWrap/>
          </w:tcPr>
          <w:p w14:paraId="4EADD032" w14:textId="77777777" w:rsidR="0086415A" w:rsidRPr="000973F2" w:rsidRDefault="0086415A" w:rsidP="00121F32">
            <w:pPr>
              <w:tabs>
                <w:tab w:val="decimal" w:pos="286"/>
              </w:tabs>
              <w:spacing w:before="40" w:after="4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0</w:t>
            </w:r>
          </w:p>
        </w:tc>
        <w:tc>
          <w:tcPr>
            <w:tcW w:w="810" w:type="dxa"/>
            <w:noWrap/>
          </w:tcPr>
          <w:p w14:paraId="7D18F81C" w14:textId="77777777" w:rsidR="0086415A" w:rsidRPr="000973F2" w:rsidRDefault="0086415A" w:rsidP="00121F32">
            <w:pPr>
              <w:tabs>
                <w:tab w:val="decimal" w:pos="286"/>
              </w:tabs>
              <w:spacing w:before="40" w:after="4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0.8</w:t>
            </w:r>
          </w:p>
        </w:tc>
        <w:tc>
          <w:tcPr>
            <w:tcW w:w="810" w:type="dxa"/>
            <w:noWrap/>
          </w:tcPr>
          <w:p w14:paraId="41F3443B" w14:textId="77777777" w:rsidR="0086415A" w:rsidRPr="000973F2" w:rsidRDefault="0086415A" w:rsidP="00121F32">
            <w:pPr>
              <w:tabs>
                <w:tab w:val="decimal" w:pos="286"/>
              </w:tabs>
              <w:spacing w:before="40" w:after="4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0</w:t>
            </w:r>
          </w:p>
        </w:tc>
        <w:tc>
          <w:tcPr>
            <w:tcW w:w="810" w:type="dxa"/>
            <w:noWrap/>
          </w:tcPr>
          <w:p w14:paraId="2C8D613A" w14:textId="77777777" w:rsidR="0086415A" w:rsidRPr="000973F2" w:rsidRDefault="0086415A" w:rsidP="00121F32">
            <w:pPr>
              <w:tabs>
                <w:tab w:val="decimal" w:pos="286"/>
              </w:tabs>
              <w:spacing w:before="40" w:after="4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8</w:t>
            </w:r>
          </w:p>
        </w:tc>
        <w:tc>
          <w:tcPr>
            <w:tcW w:w="810" w:type="dxa"/>
            <w:noWrap/>
          </w:tcPr>
          <w:p w14:paraId="46D7C716" w14:textId="77777777" w:rsidR="0086415A" w:rsidRPr="000973F2" w:rsidRDefault="0086415A" w:rsidP="00121F32">
            <w:pPr>
              <w:tabs>
                <w:tab w:val="decimal" w:pos="286"/>
              </w:tabs>
              <w:spacing w:before="40" w:after="4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0</w:t>
            </w:r>
          </w:p>
        </w:tc>
        <w:tc>
          <w:tcPr>
            <w:tcW w:w="810" w:type="dxa"/>
            <w:noWrap/>
          </w:tcPr>
          <w:p w14:paraId="5EFD68BD" w14:textId="77777777" w:rsidR="0086415A" w:rsidRPr="000973F2" w:rsidRDefault="0086415A" w:rsidP="00121F32">
            <w:pPr>
              <w:tabs>
                <w:tab w:val="decimal" w:pos="286"/>
              </w:tabs>
              <w:spacing w:before="40" w:after="4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0.8</w:t>
            </w:r>
          </w:p>
        </w:tc>
        <w:tc>
          <w:tcPr>
            <w:tcW w:w="630" w:type="dxa"/>
            <w:noWrap/>
          </w:tcPr>
          <w:p w14:paraId="3AA7FB05" w14:textId="77777777" w:rsidR="0086415A" w:rsidRPr="000973F2" w:rsidRDefault="0086415A" w:rsidP="00121F32">
            <w:pPr>
              <w:tabs>
                <w:tab w:val="decimal" w:pos="286"/>
              </w:tabs>
              <w:spacing w:before="40" w:after="4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$0</w:t>
            </w:r>
          </w:p>
        </w:tc>
        <w:tc>
          <w:tcPr>
            <w:tcW w:w="795" w:type="dxa"/>
            <w:noWrap/>
          </w:tcPr>
          <w:p w14:paraId="5955B8EB" w14:textId="77777777" w:rsidR="0086415A" w:rsidRPr="000973F2" w:rsidRDefault="0086415A" w:rsidP="00121F32">
            <w:pPr>
              <w:tabs>
                <w:tab w:val="decimal" w:pos="511"/>
              </w:tabs>
              <w:spacing w:before="40" w:after="4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$895</w:t>
            </w:r>
          </w:p>
        </w:tc>
      </w:tr>
      <w:tr w:rsidR="0086415A" w:rsidRPr="000973F2" w14:paraId="0F82E660" w14:textId="77777777" w:rsidTr="00B926DD">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1425" w:type="dxa"/>
          </w:tcPr>
          <w:p w14:paraId="56E843BD" w14:textId="77777777" w:rsidR="0086415A" w:rsidRPr="000973F2" w:rsidRDefault="0086415A" w:rsidP="00121F32">
            <w:pPr>
              <w:spacing w:before="40" w:after="4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QA/QC</w:t>
            </w:r>
          </w:p>
        </w:tc>
        <w:tc>
          <w:tcPr>
            <w:tcW w:w="810" w:type="dxa"/>
            <w:noWrap/>
          </w:tcPr>
          <w:p w14:paraId="277B9C4D" w14:textId="77777777" w:rsidR="0086415A" w:rsidRPr="000973F2" w:rsidRDefault="0086415A" w:rsidP="00121F32">
            <w:pPr>
              <w:tabs>
                <w:tab w:val="decimal" w:pos="286"/>
              </w:tabs>
              <w:spacing w:before="40" w:after="4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0</w:t>
            </w:r>
          </w:p>
        </w:tc>
        <w:tc>
          <w:tcPr>
            <w:tcW w:w="810" w:type="dxa"/>
            <w:noWrap/>
          </w:tcPr>
          <w:p w14:paraId="4C280C5D" w14:textId="77777777" w:rsidR="0086415A" w:rsidRPr="000973F2" w:rsidRDefault="0086415A" w:rsidP="00121F32">
            <w:pPr>
              <w:tabs>
                <w:tab w:val="decimal" w:pos="286"/>
              </w:tabs>
              <w:spacing w:before="40" w:after="4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0</w:t>
            </w:r>
          </w:p>
        </w:tc>
        <w:tc>
          <w:tcPr>
            <w:tcW w:w="810" w:type="dxa"/>
            <w:noWrap/>
          </w:tcPr>
          <w:p w14:paraId="376F362F" w14:textId="77777777" w:rsidR="0086415A" w:rsidRPr="000973F2" w:rsidRDefault="0086415A" w:rsidP="00121F32">
            <w:pPr>
              <w:tabs>
                <w:tab w:val="decimal" w:pos="286"/>
              </w:tabs>
              <w:spacing w:before="40" w:after="4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0</w:t>
            </w:r>
          </w:p>
        </w:tc>
        <w:tc>
          <w:tcPr>
            <w:tcW w:w="810" w:type="dxa"/>
            <w:noWrap/>
          </w:tcPr>
          <w:p w14:paraId="407E8037" w14:textId="77777777" w:rsidR="0086415A" w:rsidRPr="000973F2" w:rsidRDefault="0086415A" w:rsidP="00121F32">
            <w:pPr>
              <w:tabs>
                <w:tab w:val="decimal" w:pos="286"/>
              </w:tabs>
              <w:spacing w:before="40" w:after="4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0.9</w:t>
            </w:r>
          </w:p>
        </w:tc>
        <w:tc>
          <w:tcPr>
            <w:tcW w:w="810" w:type="dxa"/>
            <w:noWrap/>
          </w:tcPr>
          <w:p w14:paraId="5009A156" w14:textId="77777777" w:rsidR="0086415A" w:rsidRPr="000973F2" w:rsidRDefault="0086415A" w:rsidP="00121F32">
            <w:pPr>
              <w:tabs>
                <w:tab w:val="decimal" w:pos="286"/>
              </w:tabs>
              <w:spacing w:before="40" w:after="4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0</w:t>
            </w:r>
          </w:p>
        </w:tc>
        <w:tc>
          <w:tcPr>
            <w:tcW w:w="810" w:type="dxa"/>
            <w:noWrap/>
          </w:tcPr>
          <w:p w14:paraId="1C7F348A" w14:textId="77777777" w:rsidR="0086415A" w:rsidRPr="000973F2" w:rsidRDefault="0086415A" w:rsidP="00121F32">
            <w:pPr>
              <w:tabs>
                <w:tab w:val="decimal" w:pos="286"/>
              </w:tabs>
              <w:spacing w:before="40" w:after="4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9.2</w:t>
            </w:r>
          </w:p>
        </w:tc>
        <w:tc>
          <w:tcPr>
            <w:tcW w:w="810" w:type="dxa"/>
            <w:noWrap/>
          </w:tcPr>
          <w:p w14:paraId="570F52DF" w14:textId="77777777" w:rsidR="0086415A" w:rsidRPr="000973F2" w:rsidRDefault="0086415A" w:rsidP="00121F32">
            <w:pPr>
              <w:tabs>
                <w:tab w:val="decimal" w:pos="286"/>
              </w:tabs>
              <w:spacing w:before="40" w:after="4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0</w:t>
            </w:r>
          </w:p>
        </w:tc>
        <w:tc>
          <w:tcPr>
            <w:tcW w:w="810" w:type="dxa"/>
            <w:noWrap/>
          </w:tcPr>
          <w:p w14:paraId="01EB0C75" w14:textId="77777777" w:rsidR="0086415A" w:rsidRPr="000973F2" w:rsidRDefault="0086415A" w:rsidP="00121F32">
            <w:pPr>
              <w:tabs>
                <w:tab w:val="decimal" w:pos="286"/>
              </w:tabs>
              <w:spacing w:before="40" w:after="4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0.9</w:t>
            </w:r>
          </w:p>
        </w:tc>
        <w:tc>
          <w:tcPr>
            <w:tcW w:w="630" w:type="dxa"/>
            <w:noWrap/>
          </w:tcPr>
          <w:p w14:paraId="31499702" w14:textId="77777777" w:rsidR="0086415A" w:rsidRPr="000973F2" w:rsidRDefault="0086415A" w:rsidP="00121F32">
            <w:pPr>
              <w:tabs>
                <w:tab w:val="decimal" w:pos="286"/>
              </w:tabs>
              <w:spacing w:before="40" w:after="4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$0</w:t>
            </w:r>
          </w:p>
        </w:tc>
        <w:tc>
          <w:tcPr>
            <w:tcW w:w="795" w:type="dxa"/>
            <w:noWrap/>
          </w:tcPr>
          <w:p w14:paraId="6F32EB89" w14:textId="77777777" w:rsidR="0086415A" w:rsidRPr="000973F2" w:rsidRDefault="0086415A" w:rsidP="00121F32">
            <w:pPr>
              <w:tabs>
                <w:tab w:val="decimal" w:pos="511"/>
              </w:tabs>
              <w:spacing w:before="40" w:after="4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$771</w:t>
            </w:r>
          </w:p>
        </w:tc>
      </w:tr>
      <w:tr w:rsidR="0086415A" w:rsidRPr="000973F2" w14:paraId="3C820515" w14:textId="77777777" w:rsidTr="00B926DD">
        <w:trPr>
          <w:cantSplit/>
        </w:trPr>
        <w:tc>
          <w:tcPr>
            <w:cnfStyle w:val="001000000000" w:firstRow="0" w:lastRow="0" w:firstColumn="1" w:lastColumn="0" w:oddVBand="0" w:evenVBand="0" w:oddHBand="0" w:evenHBand="0" w:firstRowFirstColumn="0" w:firstRowLastColumn="0" w:lastRowFirstColumn="0" w:lastRowLastColumn="0"/>
            <w:tcW w:w="1425" w:type="dxa"/>
          </w:tcPr>
          <w:p w14:paraId="2BCCB13D" w14:textId="77777777" w:rsidR="0086415A" w:rsidRPr="000973F2" w:rsidRDefault="0086415A" w:rsidP="00121F32">
            <w:pPr>
              <w:spacing w:before="40" w:after="4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Recordkeeping</w:t>
            </w:r>
          </w:p>
        </w:tc>
        <w:tc>
          <w:tcPr>
            <w:tcW w:w="810" w:type="dxa"/>
            <w:noWrap/>
          </w:tcPr>
          <w:p w14:paraId="66B84C1F" w14:textId="77777777" w:rsidR="0086415A" w:rsidRPr="000973F2" w:rsidRDefault="0086415A" w:rsidP="00121F32">
            <w:pPr>
              <w:tabs>
                <w:tab w:val="decimal" w:pos="286"/>
              </w:tabs>
              <w:spacing w:before="40" w:after="4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0</w:t>
            </w:r>
          </w:p>
        </w:tc>
        <w:tc>
          <w:tcPr>
            <w:tcW w:w="810" w:type="dxa"/>
            <w:noWrap/>
          </w:tcPr>
          <w:p w14:paraId="474D2EBB" w14:textId="77777777" w:rsidR="0086415A" w:rsidRPr="000973F2" w:rsidRDefault="0086415A" w:rsidP="00121F32">
            <w:pPr>
              <w:tabs>
                <w:tab w:val="decimal" w:pos="286"/>
              </w:tabs>
              <w:spacing w:before="40" w:after="4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0</w:t>
            </w:r>
          </w:p>
        </w:tc>
        <w:tc>
          <w:tcPr>
            <w:tcW w:w="810" w:type="dxa"/>
            <w:noWrap/>
          </w:tcPr>
          <w:p w14:paraId="7706A43B" w14:textId="77777777" w:rsidR="0086415A" w:rsidRPr="000973F2" w:rsidRDefault="0086415A" w:rsidP="00121F32">
            <w:pPr>
              <w:tabs>
                <w:tab w:val="decimal" w:pos="286"/>
              </w:tabs>
              <w:spacing w:before="40" w:after="4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0</w:t>
            </w:r>
          </w:p>
        </w:tc>
        <w:tc>
          <w:tcPr>
            <w:tcW w:w="810" w:type="dxa"/>
            <w:noWrap/>
          </w:tcPr>
          <w:p w14:paraId="54D765A4" w14:textId="77777777" w:rsidR="0086415A" w:rsidRPr="000973F2" w:rsidRDefault="0086415A" w:rsidP="00121F32">
            <w:pPr>
              <w:tabs>
                <w:tab w:val="decimal" w:pos="286"/>
              </w:tabs>
              <w:spacing w:before="40" w:after="4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0.5</w:t>
            </w:r>
          </w:p>
        </w:tc>
        <w:tc>
          <w:tcPr>
            <w:tcW w:w="810" w:type="dxa"/>
            <w:noWrap/>
          </w:tcPr>
          <w:p w14:paraId="6663284E" w14:textId="77777777" w:rsidR="0086415A" w:rsidRPr="000973F2" w:rsidRDefault="0086415A" w:rsidP="00121F32">
            <w:pPr>
              <w:tabs>
                <w:tab w:val="decimal" w:pos="286"/>
              </w:tabs>
              <w:spacing w:before="40" w:after="4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0</w:t>
            </w:r>
          </w:p>
        </w:tc>
        <w:tc>
          <w:tcPr>
            <w:tcW w:w="810" w:type="dxa"/>
            <w:noWrap/>
          </w:tcPr>
          <w:p w14:paraId="050E2F7A" w14:textId="77777777" w:rsidR="0086415A" w:rsidRPr="000973F2" w:rsidRDefault="0086415A" w:rsidP="00121F32">
            <w:pPr>
              <w:tabs>
                <w:tab w:val="decimal" w:pos="286"/>
              </w:tabs>
              <w:spacing w:before="40" w:after="4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5</w:t>
            </w:r>
          </w:p>
        </w:tc>
        <w:tc>
          <w:tcPr>
            <w:tcW w:w="810" w:type="dxa"/>
            <w:noWrap/>
          </w:tcPr>
          <w:p w14:paraId="0C400775" w14:textId="77777777" w:rsidR="0086415A" w:rsidRPr="000973F2" w:rsidRDefault="0086415A" w:rsidP="00121F32">
            <w:pPr>
              <w:tabs>
                <w:tab w:val="decimal" w:pos="286"/>
              </w:tabs>
              <w:spacing w:before="40" w:after="4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0</w:t>
            </w:r>
          </w:p>
        </w:tc>
        <w:tc>
          <w:tcPr>
            <w:tcW w:w="810" w:type="dxa"/>
            <w:noWrap/>
          </w:tcPr>
          <w:p w14:paraId="0F6AC675" w14:textId="77777777" w:rsidR="0086415A" w:rsidRPr="000973F2" w:rsidRDefault="0086415A" w:rsidP="00121F32">
            <w:pPr>
              <w:tabs>
                <w:tab w:val="decimal" w:pos="286"/>
              </w:tabs>
              <w:spacing w:before="40" w:after="4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0.5</w:t>
            </w:r>
          </w:p>
        </w:tc>
        <w:tc>
          <w:tcPr>
            <w:tcW w:w="630" w:type="dxa"/>
            <w:noWrap/>
          </w:tcPr>
          <w:p w14:paraId="0E4C3DC4" w14:textId="77777777" w:rsidR="0086415A" w:rsidRPr="000973F2" w:rsidRDefault="0086415A" w:rsidP="00121F32">
            <w:pPr>
              <w:tabs>
                <w:tab w:val="decimal" w:pos="286"/>
              </w:tabs>
              <w:spacing w:before="40" w:after="4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$0</w:t>
            </w:r>
          </w:p>
        </w:tc>
        <w:tc>
          <w:tcPr>
            <w:tcW w:w="795" w:type="dxa"/>
            <w:noWrap/>
          </w:tcPr>
          <w:p w14:paraId="1DEA31B7" w14:textId="77777777" w:rsidR="0086415A" w:rsidRPr="000973F2" w:rsidRDefault="0086415A" w:rsidP="00121F32">
            <w:pPr>
              <w:tabs>
                <w:tab w:val="decimal" w:pos="511"/>
              </w:tabs>
              <w:spacing w:before="40" w:after="4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$419</w:t>
            </w:r>
          </w:p>
        </w:tc>
      </w:tr>
      <w:tr w:rsidR="0086415A" w:rsidRPr="000973F2" w14:paraId="287E7393" w14:textId="77777777" w:rsidTr="00B926DD">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1425" w:type="dxa"/>
          </w:tcPr>
          <w:p w14:paraId="6309DB08" w14:textId="77777777" w:rsidR="0086415A" w:rsidRPr="000973F2" w:rsidRDefault="0086415A" w:rsidP="00121F32">
            <w:pPr>
              <w:spacing w:before="40" w:after="4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Sampling and Analysis (Calculations)</w:t>
            </w:r>
          </w:p>
        </w:tc>
        <w:tc>
          <w:tcPr>
            <w:tcW w:w="810" w:type="dxa"/>
            <w:noWrap/>
          </w:tcPr>
          <w:p w14:paraId="0C24AB09" w14:textId="77777777" w:rsidR="0086415A" w:rsidRPr="000973F2" w:rsidRDefault="0086415A" w:rsidP="00121F32">
            <w:pPr>
              <w:tabs>
                <w:tab w:val="decimal" w:pos="286"/>
              </w:tabs>
              <w:spacing w:before="40" w:after="4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0</w:t>
            </w:r>
          </w:p>
        </w:tc>
        <w:tc>
          <w:tcPr>
            <w:tcW w:w="810" w:type="dxa"/>
            <w:noWrap/>
          </w:tcPr>
          <w:p w14:paraId="75C225AC" w14:textId="77777777" w:rsidR="0086415A" w:rsidRPr="000973F2" w:rsidRDefault="0086415A" w:rsidP="00121F32">
            <w:pPr>
              <w:tabs>
                <w:tab w:val="decimal" w:pos="286"/>
              </w:tabs>
              <w:spacing w:before="40" w:after="4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0</w:t>
            </w:r>
          </w:p>
        </w:tc>
        <w:tc>
          <w:tcPr>
            <w:tcW w:w="810" w:type="dxa"/>
            <w:noWrap/>
          </w:tcPr>
          <w:p w14:paraId="342C3A89" w14:textId="77777777" w:rsidR="0086415A" w:rsidRPr="000973F2" w:rsidRDefault="0086415A" w:rsidP="00121F32">
            <w:pPr>
              <w:tabs>
                <w:tab w:val="decimal" w:pos="286"/>
              </w:tabs>
              <w:spacing w:before="40" w:after="4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0</w:t>
            </w:r>
          </w:p>
        </w:tc>
        <w:tc>
          <w:tcPr>
            <w:tcW w:w="810" w:type="dxa"/>
            <w:noWrap/>
          </w:tcPr>
          <w:p w14:paraId="1FCE67C6" w14:textId="77777777" w:rsidR="0086415A" w:rsidRPr="000973F2" w:rsidRDefault="0086415A" w:rsidP="00121F32">
            <w:pPr>
              <w:tabs>
                <w:tab w:val="decimal" w:pos="286"/>
              </w:tabs>
              <w:spacing w:before="40" w:after="4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1.8</w:t>
            </w:r>
          </w:p>
        </w:tc>
        <w:tc>
          <w:tcPr>
            <w:tcW w:w="810" w:type="dxa"/>
            <w:noWrap/>
          </w:tcPr>
          <w:p w14:paraId="4C6FCDC7" w14:textId="77777777" w:rsidR="0086415A" w:rsidRPr="000973F2" w:rsidRDefault="0086415A" w:rsidP="00121F32">
            <w:pPr>
              <w:tabs>
                <w:tab w:val="decimal" w:pos="286"/>
              </w:tabs>
              <w:spacing w:before="40" w:after="4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0</w:t>
            </w:r>
          </w:p>
        </w:tc>
        <w:tc>
          <w:tcPr>
            <w:tcW w:w="810" w:type="dxa"/>
            <w:noWrap/>
          </w:tcPr>
          <w:p w14:paraId="783623A1" w14:textId="77777777" w:rsidR="0086415A" w:rsidRPr="000973F2" w:rsidRDefault="0086415A" w:rsidP="00121F32">
            <w:pPr>
              <w:tabs>
                <w:tab w:val="decimal" w:pos="286"/>
              </w:tabs>
              <w:spacing w:before="40" w:after="4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17.6</w:t>
            </w:r>
          </w:p>
        </w:tc>
        <w:tc>
          <w:tcPr>
            <w:tcW w:w="810" w:type="dxa"/>
            <w:noWrap/>
          </w:tcPr>
          <w:p w14:paraId="5001DD9C" w14:textId="77777777" w:rsidR="0086415A" w:rsidRPr="000973F2" w:rsidRDefault="0086415A" w:rsidP="00121F32">
            <w:pPr>
              <w:tabs>
                <w:tab w:val="decimal" w:pos="286"/>
              </w:tabs>
              <w:spacing w:before="40" w:after="4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0</w:t>
            </w:r>
          </w:p>
        </w:tc>
        <w:tc>
          <w:tcPr>
            <w:tcW w:w="810" w:type="dxa"/>
            <w:noWrap/>
          </w:tcPr>
          <w:p w14:paraId="729F88E7" w14:textId="77777777" w:rsidR="0086415A" w:rsidRPr="000973F2" w:rsidRDefault="0086415A" w:rsidP="00121F32">
            <w:pPr>
              <w:tabs>
                <w:tab w:val="decimal" w:pos="286"/>
              </w:tabs>
              <w:spacing w:before="40" w:after="4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1.8</w:t>
            </w:r>
          </w:p>
        </w:tc>
        <w:tc>
          <w:tcPr>
            <w:tcW w:w="630" w:type="dxa"/>
            <w:noWrap/>
          </w:tcPr>
          <w:p w14:paraId="6D5400F3" w14:textId="77777777" w:rsidR="0086415A" w:rsidRPr="000973F2" w:rsidRDefault="0086415A" w:rsidP="00121F32">
            <w:pPr>
              <w:tabs>
                <w:tab w:val="decimal" w:pos="286"/>
              </w:tabs>
              <w:spacing w:before="40" w:after="4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$0</w:t>
            </w:r>
          </w:p>
        </w:tc>
        <w:tc>
          <w:tcPr>
            <w:tcW w:w="795" w:type="dxa"/>
            <w:noWrap/>
          </w:tcPr>
          <w:p w14:paraId="4AB54E02" w14:textId="77777777" w:rsidR="0086415A" w:rsidRPr="000973F2" w:rsidRDefault="0086415A" w:rsidP="00121F32">
            <w:pPr>
              <w:tabs>
                <w:tab w:val="decimal" w:pos="511"/>
              </w:tabs>
              <w:spacing w:before="40" w:after="4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$1,475</w:t>
            </w:r>
          </w:p>
        </w:tc>
      </w:tr>
      <w:tr w:rsidR="00FE5692" w:rsidRPr="000973F2" w14:paraId="5F800A8D" w14:textId="77777777" w:rsidTr="00B926DD">
        <w:trPr>
          <w:cantSplit/>
        </w:trPr>
        <w:tc>
          <w:tcPr>
            <w:cnfStyle w:val="001000000000" w:firstRow="0" w:lastRow="0" w:firstColumn="1" w:lastColumn="0" w:oddVBand="0" w:evenVBand="0" w:oddHBand="0" w:evenHBand="0" w:firstRowFirstColumn="0" w:firstRowLastColumn="0" w:lastRowFirstColumn="0" w:lastRowLastColumn="0"/>
            <w:tcW w:w="1425" w:type="dxa"/>
          </w:tcPr>
          <w:p w14:paraId="1624A7DF" w14:textId="77777777" w:rsidR="0086415A" w:rsidRPr="000973F2" w:rsidRDefault="0086415A" w:rsidP="00121F32">
            <w:pPr>
              <w:spacing w:before="40" w:after="4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Reporting</w:t>
            </w:r>
          </w:p>
        </w:tc>
        <w:tc>
          <w:tcPr>
            <w:tcW w:w="810" w:type="dxa"/>
            <w:noWrap/>
          </w:tcPr>
          <w:p w14:paraId="1748C4D8" w14:textId="77777777" w:rsidR="0086415A" w:rsidRPr="000973F2" w:rsidRDefault="0086415A" w:rsidP="00121F32">
            <w:pPr>
              <w:tabs>
                <w:tab w:val="decimal" w:pos="286"/>
              </w:tabs>
              <w:spacing w:before="40" w:after="4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0</w:t>
            </w:r>
          </w:p>
        </w:tc>
        <w:tc>
          <w:tcPr>
            <w:tcW w:w="810" w:type="dxa"/>
            <w:noWrap/>
          </w:tcPr>
          <w:p w14:paraId="5DB45A19" w14:textId="77777777" w:rsidR="0086415A" w:rsidRPr="000973F2" w:rsidRDefault="0086415A" w:rsidP="00121F32">
            <w:pPr>
              <w:tabs>
                <w:tab w:val="decimal" w:pos="286"/>
              </w:tabs>
              <w:spacing w:before="40" w:after="4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0</w:t>
            </w:r>
          </w:p>
        </w:tc>
        <w:tc>
          <w:tcPr>
            <w:tcW w:w="810" w:type="dxa"/>
            <w:noWrap/>
          </w:tcPr>
          <w:p w14:paraId="6AF163CC" w14:textId="77777777" w:rsidR="0086415A" w:rsidRPr="000973F2" w:rsidRDefault="0086415A" w:rsidP="00121F32">
            <w:pPr>
              <w:tabs>
                <w:tab w:val="decimal" w:pos="286"/>
              </w:tabs>
              <w:spacing w:before="40" w:after="4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0</w:t>
            </w:r>
          </w:p>
        </w:tc>
        <w:tc>
          <w:tcPr>
            <w:tcW w:w="810" w:type="dxa"/>
            <w:noWrap/>
          </w:tcPr>
          <w:p w14:paraId="498E6678" w14:textId="77777777" w:rsidR="0086415A" w:rsidRPr="000973F2" w:rsidRDefault="0086415A" w:rsidP="00121F32">
            <w:pPr>
              <w:tabs>
                <w:tab w:val="decimal" w:pos="286"/>
              </w:tabs>
              <w:spacing w:before="40" w:after="4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1</w:t>
            </w:r>
          </w:p>
        </w:tc>
        <w:tc>
          <w:tcPr>
            <w:tcW w:w="810" w:type="dxa"/>
            <w:noWrap/>
          </w:tcPr>
          <w:p w14:paraId="76FDF005" w14:textId="77777777" w:rsidR="0086415A" w:rsidRPr="000973F2" w:rsidRDefault="0086415A" w:rsidP="00121F32">
            <w:pPr>
              <w:tabs>
                <w:tab w:val="decimal" w:pos="286"/>
              </w:tabs>
              <w:spacing w:before="40" w:after="4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0</w:t>
            </w:r>
          </w:p>
        </w:tc>
        <w:tc>
          <w:tcPr>
            <w:tcW w:w="810" w:type="dxa"/>
            <w:noWrap/>
          </w:tcPr>
          <w:p w14:paraId="06EDD546" w14:textId="77777777" w:rsidR="0086415A" w:rsidRPr="000973F2" w:rsidRDefault="0086415A" w:rsidP="00121F32">
            <w:pPr>
              <w:tabs>
                <w:tab w:val="decimal" w:pos="286"/>
              </w:tabs>
              <w:spacing w:before="40" w:after="4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10</w:t>
            </w:r>
          </w:p>
        </w:tc>
        <w:tc>
          <w:tcPr>
            <w:tcW w:w="810" w:type="dxa"/>
            <w:noWrap/>
          </w:tcPr>
          <w:p w14:paraId="6D1B8FCE" w14:textId="77777777" w:rsidR="0086415A" w:rsidRPr="000973F2" w:rsidRDefault="0086415A" w:rsidP="00121F32">
            <w:pPr>
              <w:tabs>
                <w:tab w:val="decimal" w:pos="286"/>
              </w:tabs>
              <w:spacing w:before="40" w:after="4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0</w:t>
            </w:r>
          </w:p>
        </w:tc>
        <w:tc>
          <w:tcPr>
            <w:tcW w:w="810" w:type="dxa"/>
            <w:noWrap/>
          </w:tcPr>
          <w:p w14:paraId="5568C693" w14:textId="77777777" w:rsidR="0086415A" w:rsidRPr="000973F2" w:rsidRDefault="0086415A" w:rsidP="00121F32">
            <w:pPr>
              <w:tabs>
                <w:tab w:val="decimal" w:pos="286"/>
              </w:tabs>
              <w:spacing w:before="40" w:after="4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1</w:t>
            </w:r>
          </w:p>
        </w:tc>
        <w:tc>
          <w:tcPr>
            <w:tcW w:w="630" w:type="dxa"/>
            <w:noWrap/>
          </w:tcPr>
          <w:p w14:paraId="2F96CF3E" w14:textId="77777777" w:rsidR="0086415A" w:rsidRPr="000973F2" w:rsidRDefault="0086415A" w:rsidP="00121F32">
            <w:pPr>
              <w:tabs>
                <w:tab w:val="decimal" w:pos="286"/>
              </w:tabs>
              <w:spacing w:before="40" w:after="4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$0</w:t>
            </w:r>
          </w:p>
        </w:tc>
        <w:tc>
          <w:tcPr>
            <w:tcW w:w="795" w:type="dxa"/>
            <w:noWrap/>
          </w:tcPr>
          <w:p w14:paraId="47994F32" w14:textId="77777777" w:rsidR="0086415A" w:rsidRPr="000973F2" w:rsidRDefault="0086415A" w:rsidP="00121F32">
            <w:pPr>
              <w:tabs>
                <w:tab w:val="decimal" w:pos="511"/>
              </w:tabs>
              <w:spacing w:before="40" w:after="4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$838</w:t>
            </w:r>
          </w:p>
        </w:tc>
      </w:tr>
      <w:tr w:rsidR="0086415A" w:rsidRPr="000973F2" w14:paraId="6C2CA8D5" w14:textId="77777777" w:rsidTr="00B926DD">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1425" w:type="dxa"/>
            <w:noWrap/>
          </w:tcPr>
          <w:p w14:paraId="4E21B7CF" w14:textId="77777777" w:rsidR="0086415A" w:rsidRPr="000973F2" w:rsidRDefault="0086415A" w:rsidP="00121F32">
            <w:pPr>
              <w:spacing w:before="40" w:after="40"/>
              <w:rPr>
                <w:rFonts w:ascii="Times New Roman" w:eastAsia="Times New Roman" w:hAnsi="Times New Roman" w:cs="Times New Roman"/>
                <w:b/>
                <w:bCs w:val="0"/>
                <w:sz w:val="18"/>
                <w:szCs w:val="18"/>
              </w:rPr>
            </w:pPr>
            <w:r w:rsidRPr="000973F2">
              <w:rPr>
                <w:rFonts w:ascii="Times New Roman" w:eastAsia="Times New Roman" w:hAnsi="Times New Roman" w:cs="Times New Roman"/>
                <w:b/>
                <w:sz w:val="18"/>
                <w:szCs w:val="18"/>
              </w:rPr>
              <w:t>Total</w:t>
            </w:r>
          </w:p>
        </w:tc>
        <w:tc>
          <w:tcPr>
            <w:tcW w:w="810" w:type="dxa"/>
            <w:noWrap/>
          </w:tcPr>
          <w:p w14:paraId="7E957250" w14:textId="77777777" w:rsidR="0086415A" w:rsidRPr="000973F2" w:rsidRDefault="0086415A" w:rsidP="00121F32">
            <w:pPr>
              <w:tabs>
                <w:tab w:val="decimal" w:pos="286"/>
              </w:tabs>
              <w:spacing w:before="40" w:after="4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18"/>
                <w:szCs w:val="18"/>
              </w:rPr>
            </w:pPr>
            <w:r w:rsidRPr="000973F2">
              <w:rPr>
                <w:rFonts w:ascii="Times New Roman" w:eastAsia="Times New Roman" w:hAnsi="Times New Roman" w:cs="Times New Roman"/>
                <w:b/>
                <w:bCs/>
                <w:sz w:val="18"/>
                <w:szCs w:val="18"/>
              </w:rPr>
              <w:t>0</w:t>
            </w:r>
          </w:p>
        </w:tc>
        <w:tc>
          <w:tcPr>
            <w:tcW w:w="810" w:type="dxa"/>
            <w:noWrap/>
          </w:tcPr>
          <w:p w14:paraId="464F5967" w14:textId="77777777" w:rsidR="0086415A" w:rsidRPr="000973F2" w:rsidRDefault="0086415A" w:rsidP="00121F32">
            <w:pPr>
              <w:tabs>
                <w:tab w:val="decimal" w:pos="286"/>
              </w:tabs>
              <w:spacing w:before="40" w:after="4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18"/>
                <w:szCs w:val="18"/>
              </w:rPr>
            </w:pPr>
            <w:r w:rsidRPr="000973F2">
              <w:rPr>
                <w:rFonts w:ascii="Times New Roman" w:eastAsia="Times New Roman" w:hAnsi="Times New Roman" w:cs="Times New Roman"/>
                <w:b/>
                <w:bCs/>
                <w:sz w:val="18"/>
                <w:szCs w:val="18"/>
              </w:rPr>
              <w:t>2</w:t>
            </w:r>
          </w:p>
        </w:tc>
        <w:tc>
          <w:tcPr>
            <w:tcW w:w="810" w:type="dxa"/>
            <w:noWrap/>
          </w:tcPr>
          <w:p w14:paraId="6D25A573" w14:textId="77777777" w:rsidR="0086415A" w:rsidRPr="000973F2" w:rsidRDefault="0086415A" w:rsidP="00121F32">
            <w:pPr>
              <w:tabs>
                <w:tab w:val="decimal" w:pos="286"/>
              </w:tabs>
              <w:spacing w:before="40" w:after="4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18"/>
                <w:szCs w:val="18"/>
              </w:rPr>
            </w:pPr>
            <w:r w:rsidRPr="000973F2">
              <w:rPr>
                <w:rFonts w:ascii="Times New Roman" w:eastAsia="Times New Roman" w:hAnsi="Times New Roman" w:cs="Times New Roman"/>
                <w:b/>
                <w:bCs/>
                <w:sz w:val="18"/>
                <w:szCs w:val="18"/>
              </w:rPr>
              <w:t>0</w:t>
            </w:r>
          </w:p>
        </w:tc>
        <w:tc>
          <w:tcPr>
            <w:tcW w:w="810" w:type="dxa"/>
            <w:noWrap/>
          </w:tcPr>
          <w:p w14:paraId="58490F3B" w14:textId="77777777" w:rsidR="0086415A" w:rsidRPr="000973F2" w:rsidRDefault="0086415A" w:rsidP="00121F32">
            <w:pPr>
              <w:tabs>
                <w:tab w:val="decimal" w:pos="286"/>
              </w:tabs>
              <w:spacing w:before="40" w:after="4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18"/>
                <w:szCs w:val="18"/>
              </w:rPr>
            </w:pPr>
            <w:r w:rsidRPr="000973F2">
              <w:rPr>
                <w:rFonts w:ascii="Times New Roman" w:eastAsia="Times New Roman" w:hAnsi="Times New Roman" w:cs="Times New Roman"/>
                <w:b/>
                <w:bCs/>
                <w:sz w:val="18"/>
                <w:szCs w:val="18"/>
              </w:rPr>
              <w:t>5.0</w:t>
            </w:r>
          </w:p>
        </w:tc>
        <w:tc>
          <w:tcPr>
            <w:tcW w:w="810" w:type="dxa"/>
            <w:noWrap/>
          </w:tcPr>
          <w:p w14:paraId="05DA3E5A" w14:textId="77777777" w:rsidR="0086415A" w:rsidRPr="000973F2" w:rsidRDefault="0086415A" w:rsidP="00121F32">
            <w:pPr>
              <w:tabs>
                <w:tab w:val="decimal" w:pos="286"/>
              </w:tabs>
              <w:spacing w:before="40" w:after="4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18"/>
                <w:szCs w:val="18"/>
              </w:rPr>
            </w:pPr>
            <w:r w:rsidRPr="000973F2">
              <w:rPr>
                <w:rFonts w:ascii="Times New Roman" w:eastAsia="Times New Roman" w:hAnsi="Times New Roman" w:cs="Times New Roman"/>
                <w:b/>
                <w:bCs/>
                <w:sz w:val="18"/>
                <w:szCs w:val="18"/>
              </w:rPr>
              <w:t>0</w:t>
            </w:r>
          </w:p>
        </w:tc>
        <w:tc>
          <w:tcPr>
            <w:tcW w:w="810" w:type="dxa"/>
            <w:noWrap/>
          </w:tcPr>
          <w:p w14:paraId="2096B619" w14:textId="77777777" w:rsidR="0086415A" w:rsidRPr="000973F2" w:rsidRDefault="0086415A" w:rsidP="00121F32">
            <w:pPr>
              <w:tabs>
                <w:tab w:val="decimal" w:pos="286"/>
              </w:tabs>
              <w:spacing w:before="40" w:after="4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18"/>
                <w:szCs w:val="18"/>
              </w:rPr>
            </w:pPr>
            <w:r w:rsidRPr="000973F2">
              <w:rPr>
                <w:rFonts w:ascii="Times New Roman" w:eastAsia="Times New Roman" w:hAnsi="Times New Roman" w:cs="Times New Roman"/>
                <w:b/>
                <w:bCs/>
                <w:sz w:val="18"/>
                <w:szCs w:val="18"/>
              </w:rPr>
              <w:t>49.8</w:t>
            </w:r>
          </w:p>
        </w:tc>
        <w:tc>
          <w:tcPr>
            <w:tcW w:w="810" w:type="dxa"/>
            <w:noWrap/>
          </w:tcPr>
          <w:p w14:paraId="50D4A7C9" w14:textId="77777777" w:rsidR="0086415A" w:rsidRPr="000973F2" w:rsidRDefault="0086415A" w:rsidP="00121F32">
            <w:pPr>
              <w:tabs>
                <w:tab w:val="decimal" w:pos="286"/>
              </w:tabs>
              <w:spacing w:before="40" w:after="4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18"/>
                <w:szCs w:val="18"/>
              </w:rPr>
            </w:pPr>
            <w:r w:rsidRPr="000973F2">
              <w:rPr>
                <w:rFonts w:ascii="Times New Roman" w:eastAsia="Times New Roman" w:hAnsi="Times New Roman" w:cs="Times New Roman"/>
                <w:b/>
                <w:bCs/>
                <w:sz w:val="18"/>
                <w:szCs w:val="18"/>
              </w:rPr>
              <w:t>0</w:t>
            </w:r>
          </w:p>
        </w:tc>
        <w:tc>
          <w:tcPr>
            <w:tcW w:w="810" w:type="dxa"/>
            <w:noWrap/>
          </w:tcPr>
          <w:p w14:paraId="0935A789" w14:textId="77777777" w:rsidR="0086415A" w:rsidRPr="000973F2" w:rsidRDefault="0086415A" w:rsidP="00121F32">
            <w:pPr>
              <w:tabs>
                <w:tab w:val="decimal" w:pos="286"/>
              </w:tabs>
              <w:spacing w:before="40" w:after="4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18"/>
                <w:szCs w:val="18"/>
              </w:rPr>
            </w:pPr>
            <w:r w:rsidRPr="000973F2">
              <w:rPr>
                <w:rFonts w:ascii="Times New Roman" w:eastAsia="Times New Roman" w:hAnsi="Times New Roman" w:cs="Times New Roman"/>
                <w:b/>
                <w:bCs/>
                <w:sz w:val="18"/>
                <w:szCs w:val="18"/>
              </w:rPr>
              <w:t>5.0</w:t>
            </w:r>
          </w:p>
        </w:tc>
        <w:tc>
          <w:tcPr>
            <w:tcW w:w="630" w:type="dxa"/>
            <w:noWrap/>
          </w:tcPr>
          <w:p w14:paraId="6A68DA41" w14:textId="77777777" w:rsidR="0086415A" w:rsidRPr="000973F2" w:rsidRDefault="0086415A" w:rsidP="00121F32">
            <w:pPr>
              <w:tabs>
                <w:tab w:val="decimal" w:pos="286"/>
              </w:tabs>
              <w:spacing w:before="40" w:after="4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18"/>
                <w:szCs w:val="18"/>
              </w:rPr>
            </w:pPr>
            <w:r w:rsidRPr="000973F2">
              <w:rPr>
                <w:rFonts w:ascii="Times New Roman" w:eastAsia="Times New Roman" w:hAnsi="Times New Roman" w:cs="Times New Roman"/>
                <w:b/>
                <w:bCs/>
                <w:sz w:val="18"/>
                <w:szCs w:val="18"/>
              </w:rPr>
              <w:t>$0</w:t>
            </w:r>
          </w:p>
        </w:tc>
        <w:tc>
          <w:tcPr>
            <w:tcW w:w="795" w:type="dxa"/>
            <w:noWrap/>
          </w:tcPr>
          <w:p w14:paraId="5389E540" w14:textId="77777777" w:rsidR="0086415A" w:rsidRPr="000973F2" w:rsidRDefault="0086415A" w:rsidP="00121F32">
            <w:pPr>
              <w:tabs>
                <w:tab w:val="decimal" w:pos="511"/>
              </w:tabs>
              <w:spacing w:before="40" w:after="4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18"/>
                <w:szCs w:val="18"/>
              </w:rPr>
            </w:pPr>
            <w:r w:rsidRPr="000973F2">
              <w:rPr>
                <w:rFonts w:ascii="Times New Roman" w:eastAsia="Times New Roman" w:hAnsi="Times New Roman" w:cs="Times New Roman"/>
                <w:b/>
                <w:bCs/>
                <w:sz w:val="18"/>
                <w:szCs w:val="18"/>
              </w:rPr>
              <w:t>$4,399</w:t>
            </w:r>
          </w:p>
        </w:tc>
      </w:tr>
    </w:tbl>
    <w:p w14:paraId="0855D264" w14:textId="71C358CA" w:rsidR="0086415A" w:rsidRPr="000973F2" w:rsidRDefault="0086415A" w:rsidP="00C00E4F">
      <w:pPr>
        <w:spacing w:line="240" w:lineRule="auto"/>
        <w:rPr>
          <w:rFonts w:ascii="Times New Roman" w:hAnsi="Times New Roman" w:cs="Times New Roman"/>
          <w:sz w:val="16"/>
          <w:szCs w:val="16"/>
        </w:rPr>
      </w:pPr>
    </w:p>
    <w:p w14:paraId="5F750617" w14:textId="35539AD1" w:rsidR="0086415A" w:rsidRPr="000973F2" w:rsidRDefault="00D826A6" w:rsidP="00121F32">
      <w:pPr>
        <w:pStyle w:val="Tabletitle"/>
        <w:rPr>
          <w:sz w:val="16"/>
        </w:rPr>
      </w:pPr>
      <w:r w:rsidRPr="000973F2">
        <w:t xml:space="preserve">Table </w:t>
      </w:r>
      <w:r w:rsidR="00121F32" w:rsidRPr="000973F2">
        <w:t>Y-</w:t>
      </w:r>
      <w:r w:rsidRPr="000973F2">
        <w:t>2j. Labor Costs</w:t>
      </w:r>
      <w:r w:rsidR="00EE78FC" w:rsidRPr="000973F2">
        <w:t xml:space="preserve"> </w:t>
      </w:r>
      <w:r w:rsidR="00B960CC" w:rsidRPr="000973F2">
        <w:t>–</w:t>
      </w:r>
      <w:r w:rsidRPr="000973F2">
        <w:t xml:space="preserve"> Subpart Y – Large Upgrading Refinery with CEMS</w:t>
      </w:r>
    </w:p>
    <w:tbl>
      <w:tblPr>
        <w:tblStyle w:val="PlainTable1"/>
        <w:tblW w:w="5000" w:type="pct"/>
        <w:jc w:val="left"/>
        <w:tblLayout w:type="fixed"/>
        <w:tblCellMar>
          <w:left w:w="115" w:type="dxa"/>
          <w:right w:w="115" w:type="dxa"/>
        </w:tblCellMar>
        <w:tblLook w:val="04A0" w:firstRow="1" w:lastRow="0" w:firstColumn="1" w:lastColumn="0" w:noHBand="0" w:noVBand="1"/>
      </w:tblPr>
      <w:tblGrid>
        <w:gridCol w:w="1464"/>
        <w:gridCol w:w="832"/>
        <w:gridCol w:w="832"/>
        <w:gridCol w:w="832"/>
        <w:gridCol w:w="833"/>
        <w:gridCol w:w="833"/>
        <w:gridCol w:w="833"/>
        <w:gridCol w:w="833"/>
        <w:gridCol w:w="833"/>
        <w:gridCol w:w="648"/>
        <w:gridCol w:w="817"/>
      </w:tblGrid>
      <w:tr w:rsidR="0086415A" w:rsidRPr="000973F2" w14:paraId="5287E6B1" w14:textId="77777777" w:rsidTr="00B926DD">
        <w:trPr>
          <w:cnfStyle w:val="100000000000" w:firstRow="1" w:lastRow="0" w:firstColumn="0" w:lastColumn="0" w:oddVBand="0" w:evenVBand="0" w:oddHBand="0" w:evenHBand="0" w:firstRowFirstColumn="0" w:firstRowLastColumn="0" w:lastRowFirstColumn="0" w:lastRowLastColumn="0"/>
          <w:cantSplit/>
          <w:jc w:val="left"/>
        </w:trPr>
        <w:tc>
          <w:tcPr>
            <w:cnfStyle w:val="001000000000" w:firstRow="0" w:lastRow="0" w:firstColumn="1" w:lastColumn="0" w:oddVBand="0" w:evenVBand="0" w:oddHBand="0" w:evenHBand="0" w:firstRowFirstColumn="0" w:firstRowLastColumn="0" w:lastRowFirstColumn="0" w:lastRowLastColumn="0"/>
            <w:tcW w:w="1425" w:type="dxa"/>
            <w:vMerge w:val="restart"/>
            <w:noWrap/>
            <w:vAlign w:val="top"/>
          </w:tcPr>
          <w:p w14:paraId="404C6DE1" w14:textId="77777777" w:rsidR="0086415A" w:rsidRPr="000973F2" w:rsidRDefault="0086415A" w:rsidP="00121F32">
            <w:pPr>
              <w:spacing w:before="40" w:after="40"/>
              <w:rPr>
                <w:rFonts w:ascii="Times New Roman" w:eastAsia="Times New Roman" w:hAnsi="Times New Roman" w:cs="Times New Roman"/>
                <w:bCs w:val="0"/>
                <w:sz w:val="18"/>
                <w:szCs w:val="18"/>
              </w:rPr>
            </w:pPr>
            <w:r w:rsidRPr="000973F2">
              <w:rPr>
                <w:rFonts w:ascii="Times New Roman" w:eastAsia="Times New Roman" w:hAnsi="Times New Roman" w:cs="Times New Roman"/>
                <w:bCs w:val="0"/>
                <w:sz w:val="18"/>
                <w:szCs w:val="18"/>
              </w:rPr>
              <w:t>Activity</w:t>
            </w:r>
          </w:p>
        </w:tc>
        <w:tc>
          <w:tcPr>
            <w:tcW w:w="6480" w:type="dxa"/>
            <w:gridSpan w:val="8"/>
            <w:noWrap/>
            <w:vAlign w:val="top"/>
          </w:tcPr>
          <w:p w14:paraId="4F201A64" w14:textId="77777777" w:rsidR="0086415A" w:rsidRPr="000973F2" w:rsidRDefault="0086415A" w:rsidP="00121F32">
            <w:pPr>
              <w:spacing w:before="40" w:after="40"/>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Cs w:val="0"/>
                <w:sz w:val="18"/>
                <w:szCs w:val="18"/>
              </w:rPr>
            </w:pPr>
            <w:r w:rsidRPr="000973F2">
              <w:rPr>
                <w:rFonts w:ascii="Times New Roman" w:eastAsia="Times New Roman" w:hAnsi="Times New Roman" w:cs="Times New Roman"/>
                <w:bCs w:val="0"/>
                <w:sz w:val="18"/>
                <w:szCs w:val="18"/>
              </w:rPr>
              <w:t>Labor Rates (per hour)</w:t>
            </w:r>
          </w:p>
        </w:tc>
        <w:tc>
          <w:tcPr>
            <w:tcW w:w="1425" w:type="dxa"/>
            <w:gridSpan w:val="2"/>
            <w:vMerge w:val="restart"/>
            <w:vAlign w:val="top"/>
          </w:tcPr>
          <w:p w14:paraId="1DA15D60" w14:textId="77777777" w:rsidR="0086415A" w:rsidRPr="000973F2" w:rsidRDefault="0086415A" w:rsidP="00121F32">
            <w:pPr>
              <w:spacing w:before="40" w:after="40"/>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Cs w:val="0"/>
                <w:sz w:val="18"/>
                <w:szCs w:val="18"/>
              </w:rPr>
            </w:pPr>
            <w:r w:rsidRPr="000973F2">
              <w:rPr>
                <w:rFonts w:ascii="Times New Roman" w:eastAsia="Times New Roman" w:hAnsi="Times New Roman" w:cs="Times New Roman"/>
                <w:bCs w:val="0"/>
                <w:sz w:val="18"/>
                <w:szCs w:val="18"/>
              </w:rPr>
              <w:t>Total Labor Cost per Year per Facility (2017$)</w:t>
            </w:r>
          </w:p>
        </w:tc>
      </w:tr>
      <w:tr w:rsidR="0086415A" w:rsidRPr="000973F2" w14:paraId="60027853" w14:textId="77777777" w:rsidTr="00B926DD">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1425" w:type="dxa"/>
            <w:vMerge/>
          </w:tcPr>
          <w:p w14:paraId="42AA04B2" w14:textId="77777777" w:rsidR="0086415A" w:rsidRPr="000973F2" w:rsidRDefault="0086415A" w:rsidP="00121F32">
            <w:pPr>
              <w:spacing w:before="40" w:after="40"/>
              <w:rPr>
                <w:rFonts w:ascii="Times New Roman" w:eastAsia="Times New Roman" w:hAnsi="Times New Roman" w:cs="Times New Roman"/>
                <w:b/>
                <w:bCs w:val="0"/>
                <w:sz w:val="18"/>
                <w:szCs w:val="18"/>
              </w:rPr>
            </w:pPr>
          </w:p>
        </w:tc>
        <w:tc>
          <w:tcPr>
            <w:tcW w:w="1620" w:type="dxa"/>
            <w:gridSpan w:val="2"/>
            <w:noWrap/>
          </w:tcPr>
          <w:p w14:paraId="0F82E5D3" w14:textId="77777777" w:rsidR="0086415A" w:rsidRPr="000973F2" w:rsidRDefault="0086415A" w:rsidP="00121F32">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18"/>
                <w:szCs w:val="18"/>
              </w:rPr>
            </w:pPr>
            <w:r w:rsidRPr="000973F2">
              <w:rPr>
                <w:rFonts w:ascii="Times New Roman" w:eastAsia="Times New Roman" w:hAnsi="Times New Roman" w:cs="Times New Roman"/>
                <w:b/>
                <w:bCs/>
                <w:sz w:val="18"/>
                <w:szCs w:val="18"/>
              </w:rPr>
              <w:t>Lawyer</w:t>
            </w:r>
          </w:p>
        </w:tc>
        <w:tc>
          <w:tcPr>
            <w:tcW w:w="1620" w:type="dxa"/>
            <w:gridSpan w:val="2"/>
            <w:noWrap/>
          </w:tcPr>
          <w:p w14:paraId="2BB79C3B" w14:textId="77777777" w:rsidR="0086415A" w:rsidRPr="000973F2" w:rsidRDefault="0086415A" w:rsidP="00121F32">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18"/>
                <w:szCs w:val="18"/>
              </w:rPr>
            </w:pPr>
            <w:r w:rsidRPr="000973F2">
              <w:rPr>
                <w:rFonts w:ascii="Times New Roman" w:eastAsia="Times New Roman" w:hAnsi="Times New Roman" w:cs="Times New Roman"/>
                <w:b/>
                <w:bCs/>
                <w:sz w:val="18"/>
                <w:szCs w:val="18"/>
              </w:rPr>
              <w:t>Industrial Manager</w:t>
            </w:r>
          </w:p>
        </w:tc>
        <w:tc>
          <w:tcPr>
            <w:tcW w:w="1620" w:type="dxa"/>
            <w:gridSpan w:val="2"/>
          </w:tcPr>
          <w:p w14:paraId="3DF14F56" w14:textId="06236E15" w:rsidR="0086415A" w:rsidRPr="000973F2" w:rsidRDefault="0086415A" w:rsidP="00121F32">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18"/>
                <w:szCs w:val="18"/>
              </w:rPr>
            </w:pPr>
            <w:r w:rsidRPr="000973F2">
              <w:rPr>
                <w:rFonts w:ascii="Times New Roman" w:eastAsia="Times New Roman" w:hAnsi="Times New Roman" w:cs="Times New Roman"/>
                <w:b/>
                <w:bCs/>
                <w:sz w:val="18"/>
                <w:szCs w:val="18"/>
              </w:rPr>
              <w:t>Industrial Engineer/</w:t>
            </w:r>
            <w:r w:rsidR="00121F32" w:rsidRPr="000973F2">
              <w:rPr>
                <w:rFonts w:ascii="Times New Roman" w:eastAsia="Times New Roman" w:hAnsi="Times New Roman" w:cs="Times New Roman"/>
                <w:b/>
                <w:bCs/>
                <w:sz w:val="18"/>
                <w:szCs w:val="18"/>
              </w:rPr>
              <w:t xml:space="preserve"> </w:t>
            </w:r>
            <w:r w:rsidRPr="000973F2">
              <w:rPr>
                <w:rFonts w:ascii="Times New Roman" w:eastAsia="Times New Roman" w:hAnsi="Times New Roman" w:cs="Times New Roman"/>
                <w:b/>
                <w:bCs/>
                <w:sz w:val="18"/>
                <w:szCs w:val="18"/>
              </w:rPr>
              <w:t>Technician</w:t>
            </w:r>
          </w:p>
        </w:tc>
        <w:tc>
          <w:tcPr>
            <w:tcW w:w="1620" w:type="dxa"/>
            <w:gridSpan w:val="2"/>
          </w:tcPr>
          <w:p w14:paraId="6D7D7027" w14:textId="77777777" w:rsidR="0086415A" w:rsidRPr="000973F2" w:rsidRDefault="0086415A" w:rsidP="00121F32">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18"/>
                <w:szCs w:val="18"/>
              </w:rPr>
            </w:pPr>
            <w:r w:rsidRPr="000973F2">
              <w:rPr>
                <w:rFonts w:ascii="Times New Roman" w:eastAsia="Times New Roman" w:hAnsi="Times New Roman" w:cs="Times New Roman"/>
                <w:b/>
                <w:bCs/>
                <w:sz w:val="18"/>
                <w:szCs w:val="18"/>
              </w:rPr>
              <w:t>Administrative Support</w:t>
            </w:r>
          </w:p>
        </w:tc>
        <w:tc>
          <w:tcPr>
            <w:tcW w:w="1425" w:type="dxa"/>
            <w:gridSpan w:val="2"/>
            <w:vMerge/>
          </w:tcPr>
          <w:p w14:paraId="0044872D" w14:textId="77777777" w:rsidR="0086415A" w:rsidRPr="000973F2" w:rsidRDefault="0086415A" w:rsidP="00121F32">
            <w:pPr>
              <w:spacing w:before="40" w:after="4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18"/>
                <w:szCs w:val="18"/>
              </w:rPr>
            </w:pPr>
          </w:p>
        </w:tc>
      </w:tr>
      <w:tr w:rsidR="0086415A" w:rsidRPr="000973F2" w14:paraId="6834EE2E" w14:textId="77777777" w:rsidTr="00B926DD">
        <w:trPr>
          <w:cantSplit/>
        </w:trPr>
        <w:tc>
          <w:tcPr>
            <w:cnfStyle w:val="001000000000" w:firstRow="0" w:lastRow="0" w:firstColumn="1" w:lastColumn="0" w:oddVBand="0" w:evenVBand="0" w:oddHBand="0" w:evenHBand="0" w:firstRowFirstColumn="0" w:firstRowLastColumn="0" w:lastRowFirstColumn="0" w:lastRowLastColumn="0"/>
            <w:tcW w:w="1425" w:type="dxa"/>
            <w:vMerge/>
          </w:tcPr>
          <w:p w14:paraId="59CF0415" w14:textId="77777777" w:rsidR="0086415A" w:rsidRPr="000973F2" w:rsidRDefault="0086415A" w:rsidP="00121F32">
            <w:pPr>
              <w:spacing w:before="40" w:after="40"/>
              <w:rPr>
                <w:rFonts w:ascii="Times New Roman" w:eastAsia="Times New Roman" w:hAnsi="Times New Roman" w:cs="Times New Roman"/>
                <w:b/>
                <w:bCs w:val="0"/>
                <w:sz w:val="18"/>
                <w:szCs w:val="18"/>
              </w:rPr>
            </w:pPr>
          </w:p>
        </w:tc>
        <w:tc>
          <w:tcPr>
            <w:tcW w:w="1620" w:type="dxa"/>
            <w:gridSpan w:val="2"/>
            <w:noWrap/>
          </w:tcPr>
          <w:p w14:paraId="75DC927C" w14:textId="77777777" w:rsidR="0086415A" w:rsidRPr="000973F2" w:rsidRDefault="0086415A" w:rsidP="00121F32">
            <w:pPr>
              <w:spacing w:before="40" w:after="4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sz w:val="18"/>
                <w:szCs w:val="18"/>
              </w:rPr>
            </w:pPr>
            <w:r w:rsidRPr="000973F2">
              <w:rPr>
                <w:rFonts w:ascii="Times New Roman" w:eastAsia="Times New Roman" w:hAnsi="Times New Roman" w:cs="Times New Roman"/>
                <w:b/>
                <w:bCs/>
                <w:sz w:val="18"/>
                <w:szCs w:val="18"/>
              </w:rPr>
              <w:t xml:space="preserve">$112.23 </w:t>
            </w:r>
          </w:p>
        </w:tc>
        <w:tc>
          <w:tcPr>
            <w:tcW w:w="1620" w:type="dxa"/>
            <w:gridSpan w:val="2"/>
            <w:noWrap/>
          </w:tcPr>
          <w:p w14:paraId="29EC9EBA" w14:textId="77777777" w:rsidR="0086415A" w:rsidRPr="000973F2" w:rsidRDefault="0086415A" w:rsidP="00121F32">
            <w:pPr>
              <w:spacing w:before="40" w:after="4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sz w:val="18"/>
                <w:szCs w:val="18"/>
              </w:rPr>
            </w:pPr>
            <w:r w:rsidRPr="000973F2">
              <w:rPr>
                <w:rFonts w:ascii="Times New Roman" w:eastAsia="Times New Roman" w:hAnsi="Times New Roman" w:cs="Times New Roman"/>
                <w:b/>
                <w:bCs/>
                <w:sz w:val="18"/>
                <w:szCs w:val="18"/>
              </w:rPr>
              <w:t xml:space="preserve">$87.45 </w:t>
            </w:r>
          </w:p>
        </w:tc>
        <w:tc>
          <w:tcPr>
            <w:tcW w:w="1620" w:type="dxa"/>
            <w:gridSpan w:val="2"/>
            <w:noWrap/>
          </w:tcPr>
          <w:p w14:paraId="75920CD3" w14:textId="77777777" w:rsidR="0086415A" w:rsidRPr="000973F2" w:rsidRDefault="0086415A" w:rsidP="00121F32">
            <w:pPr>
              <w:spacing w:before="40" w:after="4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sz w:val="18"/>
                <w:szCs w:val="18"/>
              </w:rPr>
            </w:pPr>
            <w:r w:rsidRPr="000973F2">
              <w:rPr>
                <w:rFonts w:ascii="Times New Roman" w:eastAsia="Times New Roman" w:hAnsi="Times New Roman" w:cs="Times New Roman"/>
                <w:b/>
                <w:bCs/>
                <w:sz w:val="18"/>
                <w:szCs w:val="18"/>
              </w:rPr>
              <w:t xml:space="preserve">$71.45 </w:t>
            </w:r>
          </w:p>
        </w:tc>
        <w:tc>
          <w:tcPr>
            <w:tcW w:w="1620" w:type="dxa"/>
            <w:gridSpan w:val="2"/>
            <w:noWrap/>
          </w:tcPr>
          <w:p w14:paraId="7F02F0E3" w14:textId="77777777" w:rsidR="0086415A" w:rsidRPr="000973F2" w:rsidRDefault="0086415A" w:rsidP="00121F32">
            <w:pPr>
              <w:spacing w:before="40" w:after="4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sz w:val="18"/>
                <w:szCs w:val="18"/>
              </w:rPr>
            </w:pPr>
            <w:r w:rsidRPr="000973F2">
              <w:rPr>
                <w:rFonts w:ascii="Times New Roman" w:eastAsia="Times New Roman" w:hAnsi="Times New Roman" w:cs="Times New Roman"/>
                <w:b/>
                <w:bCs/>
                <w:sz w:val="18"/>
                <w:szCs w:val="18"/>
              </w:rPr>
              <w:t xml:space="preserve">$36.28 </w:t>
            </w:r>
          </w:p>
        </w:tc>
        <w:tc>
          <w:tcPr>
            <w:tcW w:w="1425" w:type="dxa"/>
            <w:gridSpan w:val="2"/>
            <w:vMerge/>
          </w:tcPr>
          <w:p w14:paraId="2EE02695" w14:textId="77777777" w:rsidR="0086415A" w:rsidRPr="000973F2" w:rsidRDefault="0086415A" w:rsidP="00121F32">
            <w:pPr>
              <w:spacing w:before="40" w:after="4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sz w:val="18"/>
                <w:szCs w:val="18"/>
              </w:rPr>
            </w:pPr>
          </w:p>
        </w:tc>
      </w:tr>
      <w:tr w:rsidR="0086415A" w:rsidRPr="000973F2" w14:paraId="24D7C1CC" w14:textId="77777777" w:rsidTr="00B926DD">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1425" w:type="dxa"/>
            <w:vMerge/>
          </w:tcPr>
          <w:p w14:paraId="51A24290" w14:textId="77777777" w:rsidR="0086415A" w:rsidRPr="000973F2" w:rsidRDefault="0086415A" w:rsidP="00121F32">
            <w:pPr>
              <w:spacing w:before="40" w:after="40"/>
              <w:rPr>
                <w:rFonts w:ascii="Times New Roman" w:eastAsia="Times New Roman" w:hAnsi="Times New Roman" w:cs="Times New Roman"/>
                <w:b/>
                <w:bCs w:val="0"/>
                <w:sz w:val="18"/>
                <w:szCs w:val="18"/>
              </w:rPr>
            </w:pPr>
          </w:p>
        </w:tc>
        <w:tc>
          <w:tcPr>
            <w:tcW w:w="810" w:type="dxa"/>
            <w:tcMar>
              <w:left w:w="14" w:type="dxa"/>
              <w:right w:w="14" w:type="dxa"/>
            </w:tcMar>
          </w:tcPr>
          <w:p w14:paraId="58E05EB6" w14:textId="77777777" w:rsidR="0086415A" w:rsidRPr="000973F2" w:rsidRDefault="0086415A" w:rsidP="00121F32">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18"/>
                <w:szCs w:val="18"/>
              </w:rPr>
            </w:pPr>
            <w:r w:rsidRPr="000973F2">
              <w:rPr>
                <w:rFonts w:ascii="Times New Roman" w:eastAsia="Times New Roman" w:hAnsi="Times New Roman" w:cs="Times New Roman"/>
                <w:b/>
                <w:bCs/>
                <w:sz w:val="18"/>
                <w:szCs w:val="18"/>
              </w:rPr>
              <w:t>Initial Year Hours</w:t>
            </w:r>
          </w:p>
        </w:tc>
        <w:tc>
          <w:tcPr>
            <w:tcW w:w="810" w:type="dxa"/>
            <w:tcMar>
              <w:left w:w="14" w:type="dxa"/>
              <w:right w:w="14" w:type="dxa"/>
            </w:tcMar>
          </w:tcPr>
          <w:p w14:paraId="329E4223" w14:textId="77777777" w:rsidR="0086415A" w:rsidRPr="000973F2" w:rsidRDefault="0086415A" w:rsidP="00121F32">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18"/>
                <w:szCs w:val="18"/>
              </w:rPr>
            </w:pPr>
            <w:r w:rsidRPr="000973F2">
              <w:rPr>
                <w:rFonts w:ascii="Times New Roman" w:eastAsia="Times New Roman" w:hAnsi="Times New Roman" w:cs="Times New Roman"/>
                <w:b/>
                <w:bCs/>
                <w:sz w:val="18"/>
                <w:szCs w:val="18"/>
              </w:rPr>
              <w:t>Subseq. Year Hours</w:t>
            </w:r>
          </w:p>
        </w:tc>
        <w:tc>
          <w:tcPr>
            <w:tcW w:w="810" w:type="dxa"/>
            <w:tcMar>
              <w:left w:w="14" w:type="dxa"/>
              <w:right w:w="14" w:type="dxa"/>
            </w:tcMar>
          </w:tcPr>
          <w:p w14:paraId="7C5C0045" w14:textId="77777777" w:rsidR="0086415A" w:rsidRPr="000973F2" w:rsidRDefault="0086415A" w:rsidP="00121F32">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18"/>
                <w:szCs w:val="18"/>
              </w:rPr>
            </w:pPr>
            <w:r w:rsidRPr="000973F2">
              <w:rPr>
                <w:rFonts w:ascii="Times New Roman" w:eastAsia="Times New Roman" w:hAnsi="Times New Roman" w:cs="Times New Roman"/>
                <w:b/>
                <w:bCs/>
                <w:sz w:val="18"/>
                <w:szCs w:val="18"/>
              </w:rPr>
              <w:t>Initial Year Hours</w:t>
            </w:r>
          </w:p>
        </w:tc>
        <w:tc>
          <w:tcPr>
            <w:tcW w:w="810" w:type="dxa"/>
            <w:tcMar>
              <w:left w:w="14" w:type="dxa"/>
              <w:right w:w="14" w:type="dxa"/>
            </w:tcMar>
          </w:tcPr>
          <w:p w14:paraId="708342D0" w14:textId="77777777" w:rsidR="0086415A" w:rsidRPr="000973F2" w:rsidRDefault="0086415A" w:rsidP="00121F32">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18"/>
                <w:szCs w:val="18"/>
              </w:rPr>
            </w:pPr>
            <w:r w:rsidRPr="000973F2">
              <w:rPr>
                <w:rFonts w:ascii="Times New Roman" w:eastAsia="Times New Roman" w:hAnsi="Times New Roman" w:cs="Times New Roman"/>
                <w:b/>
                <w:bCs/>
                <w:sz w:val="18"/>
                <w:szCs w:val="18"/>
              </w:rPr>
              <w:t>Subseq. Year Hours</w:t>
            </w:r>
          </w:p>
        </w:tc>
        <w:tc>
          <w:tcPr>
            <w:tcW w:w="810" w:type="dxa"/>
            <w:tcMar>
              <w:left w:w="14" w:type="dxa"/>
              <w:right w:w="14" w:type="dxa"/>
            </w:tcMar>
          </w:tcPr>
          <w:p w14:paraId="76A70731" w14:textId="77777777" w:rsidR="0086415A" w:rsidRPr="000973F2" w:rsidRDefault="0086415A" w:rsidP="00121F32">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18"/>
                <w:szCs w:val="18"/>
              </w:rPr>
            </w:pPr>
            <w:r w:rsidRPr="000973F2">
              <w:rPr>
                <w:rFonts w:ascii="Times New Roman" w:eastAsia="Times New Roman" w:hAnsi="Times New Roman" w:cs="Times New Roman"/>
                <w:b/>
                <w:bCs/>
                <w:sz w:val="18"/>
                <w:szCs w:val="18"/>
              </w:rPr>
              <w:t>Initial Year Hours</w:t>
            </w:r>
          </w:p>
        </w:tc>
        <w:tc>
          <w:tcPr>
            <w:tcW w:w="810" w:type="dxa"/>
            <w:tcMar>
              <w:left w:w="14" w:type="dxa"/>
              <w:right w:w="14" w:type="dxa"/>
            </w:tcMar>
          </w:tcPr>
          <w:p w14:paraId="00CBD6B8" w14:textId="77777777" w:rsidR="0086415A" w:rsidRPr="000973F2" w:rsidRDefault="0086415A" w:rsidP="00121F32">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18"/>
                <w:szCs w:val="18"/>
              </w:rPr>
            </w:pPr>
            <w:r w:rsidRPr="000973F2">
              <w:rPr>
                <w:rFonts w:ascii="Times New Roman" w:eastAsia="Times New Roman" w:hAnsi="Times New Roman" w:cs="Times New Roman"/>
                <w:b/>
                <w:bCs/>
                <w:sz w:val="18"/>
                <w:szCs w:val="18"/>
              </w:rPr>
              <w:t>Subseq. Year Hours</w:t>
            </w:r>
          </w:p>
        </w:tc>
        <w:tc>
          <w:tcPr>
            <w:tcW w:w="810" w:type="dxa"/>
            <w:tcMar>
              <w:left w:w="14" w:type="dxa"/>
              <w:right w:w="14" w:type="dxa"/>
            </w:tcMar>
          </w:tcPr>
          <w:p w14:paraId="26F90452" w14:textId="77777777" w:rsidR="0086415A" w:rsidRPr="000973F2" w:rsidRDefault="0086415A" w:rsidP="00121F32">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18"/>
                <w:szCs w:val="18"/>
              </w:rPr>
            </w:pPr>
            <w:r w:rsidRPr="000973F2">
              <w:rPr>
                <w:rFonts w:ascii="Times New Roman" w:eastAsia="Times New Roman" w:hAnsi="Times New Roman" w:cs="Times New Roman"/>
                <w:b/>
                <w:bCs/>
                <w:sz w:val="18"/>
                <w:szCs w:val="18"/>
              </w:rPr>
              <w:t>Initial Year Hours</w:t>
            </w:r>
          </w:p>
        </w:tc>
        <w:tc>
          <w:tcPr>
            <w:tcW w:w="810" w:type="dxa"/>
            <w:tcMar>
              <w:left w:w="14" w:type="dxa"/>
              <w:right w:w="14" w:type="dxa"/>
            </w:tcMar>
          </w:tcPr>
          <w:p w14:paraId="3A278F76" w14:textId="77777777" w:rsidR="0086415A" w:rsidRPr="000973F2" w:rsidRDefault="0086415A" w:rsidP="00121F32">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18"/>
                <w:szCs w:val="18"/>
              </w:rPr>
            </w:pPr>
            <w:r w:rsidRPr="000973F2">
              <w:rPr>
                <w:rFonts w:ascii="Times New Roman" w:eastAsia="Times New Roman" w:hAnsi="Times New Roman" w:cs="Times New Roman"/>
                <w:b/>
                <w:bCs/>
                <w:sz w:val="18"/>
                <w:szCs w:val="18"/>
              </w:rPr>
              <w:t>Subseq. Year Hours</w:t>
            </w:r>
          </w:p>
        </w:tc>
        <w:tc>
          <w:tcPr>
            <w:tcW w:w="630" w:type="dxa"/>
            <w:tcMar>
              <w:left w:w="14" w:type="dxa"/>
              <w:right w:w="14" w:type="dxa"/>
            </w:tcMar>
          </w:tcPr>
          <w:p w14:paraId="1AB786C3" w14:textId="77777777" w:rsidR="0086415A" w:rsidRPr="000973F2" w:rsidRDefault="0086415A" w:rsidP="00121F32">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18"/>
                <w:szCs w:val="18"/>
              </w:rPr>
            </w:pPr>
            <w:r w:rsidRPr="000973F2">
              <w:rPr>
                <w:rFonts w:ascii="Times New Roman" w:eastAsia="Times New Roman" w:hAnsi="Times New Roman" w:cs="Times New Roman"/>
                <w:b/>
                <w:bCs/>
                <w:sz w:val="18"/>
                <w:szCs w:val="18"/>
              </w:rPr>
              <w:t>Initial Year</w:t>
            </w:r>
          </w:p>
        </w:tc>
        <w:tc>
          <w:tcPr>
            <w:tcW w:w="795" w:type="dxa"/>
            <w:tcMar>
              <w:left w:w="14" w:type="dxa"/>
              <w:right w:w="14" w:type="dxa"/>
            </w:tcMar>
          </w:tcPr>
          <w:p w14:paraId="0DB99D64" w14:textId="77777777" w:rsidR="0086415A" w:rsidRPr="000973F2" w:rsidRDefault="0086415A" w:rsidP="00121F32">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18"/>
                <w:szCs w:val="18"/>
              </w:rPr>
            </w:pPr>
            <w:r w:rsidRPr="000973F2">
              <w:rPr>
                <w:rFonts w:ascii="Times New Roman" w:eastAsia="Times New Roman" w:hAnsi="Times New Roman" w:cs="Times New Roman"/>
                <w:b/>
                <w:bCs/>
                <w:sz w:val="18"/>
                <w:szCs w:val="18"/>
              </w:rPr>
              <w:t>Subseq. Year</w:t>
            </w:r>
          </w:p>
        </w:tc>
      </w:tr>
      <w:tr w:rsidR="0086415A" w:rsidRPr="000973F2" w14:paraId="6F291D96" w14:textId="77777777" w:rsidTr="00B926DD">
        <w:trPr>
          <w:cantSplit/>
        </w:trPr>
        <w:tc>
          <w:tcPr>
            <w:cnfStyle w:val="001000000000" w:firstRow="0" w:lastRow="0" w:firstColumn="1" w:lastColumn="0" w:oddVBand="0" w:evenVBand="0" w:oddHBand="0" w:evenHBand="0" w:firstRowFirstColumn="0" w:firstRowLastColumn="0" w:lastRowFirstColumn="0" w:lastRowLastColumn="0"/>
            <w:tcW w:w="1425" w:type="dxa"/>
          </w:tcPr>
          <w:p w14:paraId="043278FE" w14:textId="77777777" w:rsidR="0086415A" w:rsidRPr="000973F2" w:rsidRDefault="0086415A" w:rsidP="00121F32">
            <w:pPr>
              <w:spacing w:before="40" w:after="4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Planning</w:t>
            </w:r>
          </w:p>
        </w:tc>
        <w:tc>
          <w:tcPr>
            <w:tcW w:w="810" w:type="dxa"/>
            <w:noWrap/>
          </w:tcPr>
          <w:p w14:paraId="1F585F7F" w14:textId="77777777" w:rsidR="0086415A" w:rsidRPr="000973F2" w:rsidRDefault="0086415A" w:rsidP="00121F32">
            <w:pPr>
              <w:tabs>
                <w:tab w:val="decimal" w:pos="286"/>
              </w:tabs>
              <w:spacing w:before="40" w:after="4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0</w:t>
            </w:r>
          </w:p>
        </w:tc>
        <w:tc>
          <w:tcPr>
            <w:tcW w:w="810" w:type="dxa"/>
            <w:noWrap/>
          </w:tcPr>
          <w:p w14:paraId="1C545FF5" w14:textId="77777777" w:rsidR="0086415A" w:rsidRPr="000973F2" w:rsidRDefault="0086415A" w:rsidP="00121F32">
            <w:pPr>
              <w:tabs>
                <w:tab w:val="decimal" w:pos="286"/>
              </w:tabs>
              <w:spacing w:before="40" w:after="4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2</w:t>
            </w:r>
          </w:p>
        </w:tc>
        <w:tc>
          <w:tcPr>
            <w:tcW w:w="810" w:type="dxa"/>
            <w:noWrap/>
          </w:tcPr>
          <w:p w14:paraId="6BF20528" w14:textId="77777777" w:rsidR="0086415A" w:rsidRPr="000973F2" w:rsidRDefault="0086415A" w:rsidP="00121F32">
            <w:pPr>
              <w:tabs>
                <w:tab w:val="decimal" w:pos="286"/>
              </w:tabs>
              <w:spacing w:before="40" w:after="4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0</w:t>
            </w:r>
          </w:p>
        </w:tc>
        <w:tc>
          <w:tcPr>
            <w:tcW w:w="810" w:type="dxa"/>
            <w:noWrap/>
          </w:tcPr>
          <w:p w14:paraId="3EBCB07D" w14:textId="77777777" w:rsidR="0086415A" w:rsidRPr="000973F2" w:rsidRDefault="0086415A" w:rsidP="00121F32">
            <w:pPr>
              <w:tabs>
                <w:tab w:val="decimal" w:pos="286"/>
              </w:tabs>
              <w:spacing w:before="40" w:after="4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1.2</w:t>
            </w:r>
          </w:p>
        </w:tc>
        <w:tc>
          <w:tcPr>
            <w:tcW w:w="810" w:type="dxa"/>
            <w:noWrap/>
          </w:tcPr>
          <w:p w14:paraId="67CB870C" w14:textId="77777777" w:rsidR="0086415A" w:rsidRPr="000973F2" w:rsidRDefault="0086415A" w:rsidP="00121F32">
            <w:pPr>
              <w:tabs>
                <w:tab w:val="decimal" w:pos="286"/>
              </w:tabs>
              <w:spacing w:before="40" w:after="4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0</w:t>
            </w:r>
          </w:p>
        </w:tc>
        <w:tc>
          <w:tcPr>
            <w:tcW w:w="810" w:type="dxa"/>
            <w:noWrap/>
          </w:tcPr>
          <w:p w14:paraId="0608B6D2" w14:textId="77777777" w:rsidR="0086415A" w:rsidRPr="000973F2" w:rsidRDefault="0086415A" w:rsidP="00121F32">
            <w:pPr>
              <w:tabs>
                <w:tab w:val="decimal" w:pos="286"/>
              </w:tabs>
              <w:spacing w:before="40" w:after="4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12</w:t>
            </w:r>
          </w:p>
        </w:tc>
        <w:tc>
          <w:tcPr>
            <w:tcW w:w="810" w:type="dxa"/>
            <w:noWrap/>
          </w:tcPr>
          <w:p w14:paraId="175A5981" w14:textId="77777777" w:rsidR="0086415A" w:rsidRPr="000973F2" w:rsidRDefault="0086415A" w:rsidP="00121F32">
            <w:pPr>
              <w:tabs>
                <w:tab w:val="decimal" w:pos="286"/>
              </w:tabs>
              <w:spacing w:before="40" w:after="4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0</w:t>
            </w:r>
          </w:p>
        </w:tc>
        <w:tc>
          <w:tcPr>
            <w:tcW w:w="810" w:type="dxa"/>
            <w:noWrap/>
          </w:tcPr>
          <w:p w14:paraId="00285AB9" w14:textId="77777777" w:rsidR="0086415A" w:rsidRPr="000973F2" w:rsidRDefault="0086415A" w:rsidP="00121F32">
            <w:pPr>
              <w:tabs>
                <w:tab w:val="decimal" w:pos="286"/>
              </w:tabs>
              <w:spacing w:before="40" w:after="4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1.2</w:t>
            </w:r>
          </w:p>
        </w:tc>
        <w:tc>
          <w:tcPr>
            <w:tcW w:w="630" w:type="dxa"/>
            <w:noWrap/>
          </w:tcPr>
          <w:p w14:paraId="272D08CE" w14:textId="77777777" w:rsidR="0086415A" w:rsidRPr="000973F2" w:rsidRDefault="0086415A" w:rsidP="00121F32">
            <w:pPr>
              <w:tabs>
                <w:tab w:val="decimal" w:pos="286"/>
              </w:tabs>
              <w:spacing w:before="40" w:after="4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$0</w:t>
            </w:r>
          </w:p>
        </w:tc>
        <w:tc>
          <w:tcPr>
            <w:tcW w:w="795" w:type="dxa"/>
            <w:noWrap/>
          </w:tcPr>
          <w:p w14:paraId="05B79704" w14:textId="77777777" w:rsidR="0086415A" w:rsidRPr="000973F2" w:rsidRDefault="0086415A" w:rsidP="00121F32">
            <w:pPr>
              <w:tabs>
                <w:tab w:val="decimal" w:pos="511"/>
              </w:tabs>
              <w:spacing w:before="40" w:after="4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$1,230</w:t>
            </w:r>
          </w:p>
        </w:tc>
      </w:tr>
      <w:tr w:rsidR="0086415A" w:rsidRPr="000973F2" w14:paraId="1D54BE4E" w14:textId="77777777" w:rsidTr="00B926DD">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1425" w:type="dxa"/>
          </w:tcPr>
          <w:p w14:paraId="1760F8FC" w14:textId="77777777" w:rsidR="0086415A" w:rsidRPr="000973F2" w:rsidRDefault="0086415A" w:rsidP="00121F32">
            <w:pPr>
              <w:spacing w:before="40" w:after="4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QA/QC</w:t>
            </w:r>
          </w:p>
        </w:tc>
        <w:tc>
          <w:tcPr>
            <w:tcW w:w="810" w:type="dxa"/>
            <w:noWrap/>
          </w:tcPr>
          <w:p w14:paraId="7E3C87D3" w14:textId="77777777" w:rsidR="0086415A" w:rsidRPr="000973F2" w:rsidRDefault="0086415A" w:rsidP="00121F32">
            <w:pPr>
              <w:tabs>
                <w:tab w:val="decimal" w:pos="286"/>
              </w:tabs>
              <w:spacing w:before="40" w:after="4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0</w:t>
            </w:r>
          </w:p>
        </w:tc>
        <w:tc>
          <w:tcPr>
            <w:tcW w:w="810" w:type="dxa"/>
            <w:noWrap/>
          </w:tcPr>
          <w:p w14:paraId="7333B744" w14:textId="77777777" w:rsidR="0086415A" w:rsidRPr="000973F2" w:rsidRDefault="0086415A" w:rsidP="00121F32">
            <w:pPr>
              <w:tabs>
                <w:tab w:val="decimal" w:pos="286"/>
              </w:tabs>
              <w:spacing w:before="40" w:after="4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0</w:t>
            </w:r>
          </w:p>
        </w:tc>
        <w:tc>
          <w:tcPr>
            <w:tcW w:w="810" w:type="dxa"/>
            <w:noWrap/>
          </w:tcPr>
          <w:p w14:paraId="220A913C" w14:textId="77777777" w:rsidR="0086415A" w:rsidRPr="000973F2" w:rsidRDefault="0086415A" w:rsidP="00121F32">
            <w:pPr>
              <w:tabs>
                <w:tab w:val="decimal" w:pos="286"/>
              </w:tabs>
              <w:spacing w:before="40" w:after="4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0</w:t>
            </w:r>
          </w:p>
        </w:tc>
        <w:tc>
          <w:tcPr>
            <w:tcW w:w="810" w:type="dxa"/>
            <w:noWrap/>
          </w:tcPr>
          <w:p w14:paraId="0A726312" w14:textId="77777777" w:rsidR="0086415A" w:rsidRPr="000973F2" w:rsidRDefault="0086415A" w:rsidP="00121F32">
            <w:pPr>
              <w:tabs>
                <w:tab w:val="decimal" w:pos="286"/>
              </w:tabs>
              <w:spacing w:before="40" w:after="4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2.5</w:t>
            </w:r>
          </w:p>
        </w:tc>
        <w:tc>
          <w:tcPr>
            <w:tcW w:w="810" w:type="dxa"/>
            <w:noWrap/>
          </w:tcPr>
          <w:p w14:paraId="614F6CD3" w14:textId="77777777" w:rsidR="0086415A" w:rsidRPr="000973F2" w:rsidRDefault="0086415A" w:rsidP="00121F32">
            <w:pPr>
              <w:tabs>
                <w:tab w:val="decimal" w:pos="286"/>
              </w:tabs>
              <w:spacing w:before="40" w:after="4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0</w:t>
            </w:r>
          </w:p>
        </w:tc>
        <w:tc>
          <w:tcPr>
            <w:tcW w:w="810" w:type="dxa"/>
            <w:noWrap/>
          </w:tcPr>
          <w:p w14:paraId="3F0EB8D6" w14:textId="77777777" w:rsidR="0086415A" w:rsidRPr="000973F2" w:rsidRDefault="0086415A" w:rsidP="00121F32">
            <w:pPr>
              <w:tabs>
                <w:tab w:val="decimal" w:pos="286"/>
              </w:tabs>
              <w:spacing w:before="40" w:after="4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24.8</w:t>
            </w:r>
          </w:p>
        </w:tc>
        <w:tc>
          <w:tcPr>
            <w:tcW w:w="810" w:type="dxa"/>
            <w:noWrap/>
          </w:tcPr>
          <w:p w14:paraId="32D5CFF2" w14:textId="77777777" w:rsidR="0086415A" w:rsidRPr="000973F2" w:rsidRDefault="0086415A" w:rsidP="00121F32">
            <w:pPr>
              <w:tabs>
                <w:tab w:val="decimal" w:pos="286"/>
              </w:tabs>
              <w:spacing w:before="40" w:after="4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0</w:t>
            </w:r>
          </w:p>
        </w:tc>
        <w:tc>
          <w:tcPr>
            <w:tcW w:w="810" w:type="dxa"/>
            <w:noWrap/>
          </w:tcPr>
          <w:p w14:paraId="4F974776" w14:textId="77777777" w:rsidR="0086415A" w:rsidRPr="000973F2" w:rsidRDefault="0086415A" w:rsidP="00121F32">
            <w:pPr>
              <w:tabs>
                <w:tab w:val="decimal" w:pos="286"/>
              </w:tabs>
              <w:spacing w:before="40" w:after="4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2.5</w:t>
            </w:r>
          </w:p>
        </w:tc>
        <w:tc>
          <w:tcPr>
            <w:tcW w:w="630" w:type="dxa"/>
            <w:noWrap/>
          </w:tcPr>
          <w:p w14:paraId="799D5DD1" w14:textId="77777777" w:rsidR="0086415A" w:rsidRPr="000973F2" w:rsidRDefault="0086415A" w:rsidP="00121F32">
            <w:pPr>
              <w:tabs>
                <w:tab w:val="decimal" w:pos="286"/>
              </w:tabs>
              <w:spacing w:before="40" w:after="4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$0</w:t>
            </w:r>
          </w:p>
        </w:tc>
        <w:tc>
          <w:tcPr>
            <w:tcW w:w="795" w:type="dxa"/>
            <w:noWrap/>
          </w:tcPr>
          <w:p w14:paraId="252526F8" w14:textId="77777777" w:rsidR="0086415A" w:rsidRPr="000973F2" w:rsidRDefault="0086415A" w:rsidP="00121F32">
            <w:pPr>
              <w:tabs>
                <w:tab w:val="decimal" w:pos="511"/>
              </w:tabs>
              <w:spacing w:before="40" w:after="4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$2,079</w:t>
            </w:r>
          </w:p>
        </w:tc>
      </w:tr>
      <w:tr w:rsidR="0086415A" w:rsidRPr="000973F2" w14:paraId="792182D5" w14:textId="77777777" w:rsidTr="00B926DD">
        <w:trPr>
          <w:cantSplit/>
        </w:trPr>
        <w:tc>
          <w:tcPr>
            <w:cnfStyle w:val="001000000000" w:firstRow="0" w:lastRow="0" w:firstColumn="1" w:lastColumn="0" w:oddVBand="0" w:evenVBand="0" w:oddHBand="0" w:evenHBand="0" w:firstRowFirstColumn="0" w:firstRowLastColumn="0" w:lastRowFirstColumn="0" w:lastRowLastColumn="0"/>
            <w:tcW w:w="1425" w:type="dxa"/>
          </w:tcPr>
          <w:p w14:paraId="57157161" w14:textId="77777777" w:rsidR="0086415A" w:rsidRPr="000973F2" w:rsidRDefault="0086415A" w:rsidP="00121F32">
            <w:pPr>
              <w:spacing w:before="40" w:after="4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Recordkeeping</w:t>
            </w:r>
          </w:p>
        </w:tc>
        <w:tc>
          <w:tcPr>
            <w:tcW w:w="810" w:type="dxa"/>
            <w:noWrap/>
          </w:tcPr>
          <w:p w14:paraId="6CAB752C" w14:textId="77777777" w:rsidR="0086415A" w:rsidRPr="000973F2" w:rsidRDefault="0086415A" w:rsidP="00121F32">
            <w:pPr>
              <w:tabs>
                <w:tab w:val="decimal" w:pos="286"/>
              </w:tabs>
              <w:spacing w:before="40" w:after="4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0</w:t>
            </w:r>
          </w:p>
        </w:tc>
        <w:tc>
          <w:tcPr>
            <w:tcW w:w="810" w:type="dxa"/>
            <w:noWrap/>
          </w:tcPr>
          <w:p w14:paraId="08BAF826" w14:textId="77777777" w:rsidR="0086415A" w:rsidRPr="000973F2" w:rsidRDefault="0086415A" w:rsidP="00121F32">
            <w:pPr>
              <w:tabs>
                <w:tab w:val="decimal" w:pos="286"/>
              </w:tabs>
              <w:spacing w:before="40" w:after="4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0</w:t>
            </w:r>
          </w:p>
        </w:tc>
        <w:tc>
          <w:tcPr>
            <w:tcW w:w="810" w:type="dxa"/>
            <w:noWrap/>
          </w:tcPr>
          <w:p w14:paraId="07CE714C" w14:textId="77777777" w:rsidR="0086415A" w:rsidRPr="000973F2" w:rsidRDefault="0086415A" w:rsidP="00121F32">
            <w:pPr>
              <w:tabs>
                <w:tab w:val="decimal" w:pos="286"/>
              </w:tabs>
              <w:spacing w:before="40" w:after="4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0</w:t>
            </w:r>
          </w:p>
        </w:tc>
        <w:tc>
          <w:tcPr>
            <w:tcW w:w="810" w:type="dxa"/>
            <w:noWrap/>
          </w:tcPr>
          <w:p w14:paraId="15DD1986" w14:textId="77777777" w:rsidR="0086415A" w:rsidRPr="000973F2" w:rsidRDefault="0086415A" w:rsidP="00121F32">
            <w:pPr>
              <w:tabs>
                <w:tab w:val="decimal" w:pos="286"/>
              </w:tabs>
              <w:spacing w:before="40" w:after="4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0.5</w:t>
            </w:r>
          </w:p>
        </w:tc>
        <w:tc>
          <w:tcPr>
            <w:tcW w:w="810" w:type="dxa"/>
            <w:noWrap/>
          </w:tcPr>
          <w:p w14:paraId="5E28E3E6" w14:textId="77777777" w:rsidR="0086415A" w:rsidRPr="000973F2" w:rsidRDefault="0086415A" w:rsidP="00121F32">
            <w:pPr>
              <w:tabs>
                <w:tab w:val="decimal" w:pos="286"/>
              </w:tabs>
              <w:spacing w:before="40" w:after="4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0</w:t>
            </w:r>
          </w:p>
        </w:tc>
        <w:tc>
          <w:tcPr>
            <w:tcW w:w="810" w:type="dxa"/>
            <w:noWrap/>
          </w:tcPr>
          <w:p w14:paraId="61BBCD90" w14:textId="77777777" w:rsidR="0086415A" w:rsidRPr="000973F2" w:rsidRDefault="0086415A" w:rsidP="00121F32">
            <w:pPr>
              <w:tabs>
                <w:tab w:val="decimal" w:pos="286"/>
              </w:tabs>
              <w:spacing w:before="40" w:after="4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5</w:t>
            </w:r>
          </w:p>
        </w:tc>
        <w:tc>
          <w:tcPr>
            <w:tcW w:w="810" w:type="dxa"/>
            <w:noWrap/>
          </w:tcPr>
          <w:p w14:paraId="7CC9F370" w14:textId="77777777" w:rsidR="0086415A" w:rsidRPr="000973F2" w:rsidRDefault="0086415A" w:rsidP="00121F32">
            <w:pPr>
              <w:tabs>
                <w:tab w:val="decimal" w:pos="286"/>
              </w:tabs>
              <w:spacing w:before="40" w:after="4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0</w:t>
            </w:r>
          </w:p>
        </w:tc>
        <w:tc>
          <w:tcPr>
            <w:tcW w:w="810" w:type="dxa"/>
            <w:noWrap/>
          </w:tcPr>
          <w:p w14:paraId="6A8CFFA1" w14:textId="77777777" w:rsidR="0086415A" w:rsidRPr="000973F2" w:rsidRDefault="0086415A" w:rsidP="00121F32">
            <w:pPr>
              <w:tabs>
                <w:tab w:val="decimal" w:pos="286"/>
              </w:tabs>
              <w:spacing w:before="40" w:after="4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0.5</w:t>
            </w:r>
          </w:p>
        </w:tc>
        <w:tc>
          <w:tcPr>
            <w:tcW w:w="630" w:type="dxa"/>
            <w:noWrap/>
          </w:tcPr>
          <w:p w14:paraId="3E37ABB7" w14:textId="77777777" w:rsidR="0086415A" w:rsidRPr="000973F2" w:rsidRDefault="0086415A" w:rsidP="00121F32">
            <w:pPr>
              <w:tabs>
                <w:tab w:val="decimal" w:pos="286"/>
              </w:tabs>
              <w:spacing w:before="40" w:after="4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$0</w:t>
            </w:r>
          </w:p>
        </w:tc>
        <w:tc>
          <w:tcPr>
            <w:tcW w:w="795" w:type="dxa"/>
            <w:noWrap/>
          </w:tcPr>
          <w:p w14:paraId="78C3585B" w14:textId="77777777" w:rsidR="0086415A" w:rsidRPr="000973F2" w:rsidRDefault="0086415A" w:rsidP="00121F32">
            <w:pPr>
              <w:tabs>
                <w:tab w:val="decimal" w:pos="511"/>
              </w:tabs>
              <w:spacing w:before="40" w:after="4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$419</w:t>
            </w:r>
          </w:p>
        </w:tc>
      </w:tr>
      <w:tr w:rsidR="0086415A" w:rsidRPr="000973F2" w14:paraId="21E99ABB" w14:textId="77777777" w:rsidTr="00B926DD">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1425" w:type="dxa"/>
          </w:tcPr>
          <w:p w14:paraId="15A51540" w14:textId="77777777" w:rsidR="0086415A" w:rsidRPr="000973F2" w:rsidRDefault="0086415A" w:rsidP="00121F32">
            <w:pPr>
              <w:spacing w:before="40" w:after="4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Sampling and Analysis (Calculations)</w:t>
            </w:r>
          </w:p>
        </w:tc>
        <w:tc>
          <w:tcPr>
            <w:tcW w:w="810" w:type="dxa"/>
            <w:noWrap/>
          </w:tcPr>
          <w:p w14:paraId="792CF311" w14:textId="77777777" w:rsidR="0086415A" w:rsidRPr="000973F2" w:rsidRDefault="0086415A" w:rsidP="00121F32">
            <w:pPr>
              <w:tabs>
                <w:tab w:val="decimal" w:pos="286"/>
              </w:tabs>
              <w:spacing w:before="40" w:after="4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0</w:t>
            </w:r>
          </w:p>
        </w:tc>
        <w:tc>
          <w:tcPr>
            <w:tcW w:w="810" w:type="dxa"/>
            <w:noWrap/>
          </w:tcPr>
          <w:p w14:paraId="4C75C391" w14:textId="77777777" w:rsidR="0086415A" w:rsidRPr="000973F2" w:rsidRDefault="0086415A" w:rsidP="00121F32">
            <w:pPr>
              <w:tabs>
                <w:tab w:val="decimal" w:pos="286"/>
              </w:tabs>
              <w:spacing w:before="40" w:after="4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0</w:t>
            </w:r>
          </w:p>
        </w:tc>
        <w:tc>
          <w:tcPr>
            <w:tcW w:w="810" w:type="dxa"/>
            <w:noWrap/>
          </w:tcPr>
          <w:p w14:paraId="5CDC7D32" w14:textId="77777777" w:rsidR="0086415A" w:rsidRPr="000973F2" w:rsidRDefault="0086415A" w:rsidP="00121F32">
            <w:pPr>
              <w:tabs>
                <w:tab w:val="decimal" w:pos="286"/>
              </w:tabs>
              <w:spacing w:before="40" w:after="4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0</w:t>
            </w:r>
          </w:p>
        </w:tc>
        <w:tc>
          <w:tcPr>
            <w:tcW w:w="810" w:type="dxa"/>
            <w:noWrap/>
          </w:tcPr>
          <w:p w14:paraId="11BBDA1B" w14:textId="77777777" w:rsidR="0086415A" w:rsidRPr="000973F2" w:rsidRDefault="0086415A" w:rsidP="00121F32">
            <w:pPr>
              <w:tabs>
                <w:tab w:val="decimal" w:pos="286"/>
              </w:tabs>
              <w:spacing w:before="40" w:after="4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1.8</w:t>
            </w:r>
          </w:p>
        </w:tc>
        <w:tc>
          <w:tcPr>
            <w:tcW w:w="810" w:type="dxa"/>
            <w:noWrap/>
          </w:tcPr>
          <w:p w14:paraId="6EAB09B5" w14:textId="77777777" w:rsidR="0086415A" w:rsidRPr="000973F2" w:rsidRDefault="0086415A" w:rsidP="00121F32">
            <w:pPr>
              <w:tabs>
                <w:tab w:val="decimal" w:pos="286"/>
              </w:tabs>
              <w:spacing w:before="40" w:after="4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0</w:t>
            </w:r>
          </w:p>
        </w:tc>
        <w:tc>
          <w:tcPr>
            <w:tcW w:w="810" w:type="dxa"/>
            <w:noWrap/>
          </w:tcPr>
          <w:p w14:paraId="32A06508" w14:textId="77777777" w:rsidR="0086415A" w:rsidRPr="000973F2" w:rsidRDefault="0086415A" w:rsidP="00121F32">
            <w:pPr>
              <w:tabs>
                <w:tab w:val="decimal" w:pos="286"/>
              </w:tabs>
              <w:spacing w:before="40" w:after="4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18.0</w:t>
            </w:r>
          </w:p>
        </w:tc>
        <w:tc>
          <w:tcPr>
            <w:tcW w:w="810" w:type="dxa"/>
            <w:noWrap/>
          </w:tcPr>
          <w:p w14:paraId="4E50BC8C" w14:textId="77777777" w:rsidR="0086415A" w:rsidRPr="000973F2" w:rsidRDefault="0086415A" w:rsidP="00121F32">
            <w:pPr>
              <w:tabs>
                <w:tab w:val="decimal" w:pos="286"/>
              </w:tabs>
              <w:spacing w:before="40" w:after="4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0</w:t>
            </w:r>
          </w:p>
        </w:tc>
        <w:tc>
          <w:tcPr>
            <w:tcW w:w="810" w:type="dxa"/>
            <w:noWrap/>
          </w:tcPr>
          <w:p w14:paraId="0A5E1C22" w14:textId="77777777" w:rsidR="0086415A" w:rsidRPr="000973F2" w:rsidRDefault="0086415A" w:rsidP="00121F32">
            <w:pPr>
              <w:tabs>
                <w:tab w:val="decimal" w:pos="286"/>
              </w:tabs>
              <w:spacing w:before="40" w:after="4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1.8</w:t>
            </w:r>
          </w:p>
        </w:tc>
        <w:tc>
          <w:tcPr>
            <w:tcW w:w="630" w:type="dxa"/>
            <w:noWrap/>
          </w:tcPr>
          <w:p w14:paraId="5769EC96" w14:textId="77777777" w:rsidR="0086415A" w:rsidRPr="000973F2" w:rsidRDefault="0086415A" w:rsidP="00121F32">
            <w:pPr>
              <w:tabs>
                <w:tab w:val="decimal" w:pos="286"/>
              </w:tabs>
              <w:spacing w:before="40" w:after="4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$0</w:t>
            </w:r>
          </w:p>
        </w:tc>
        <w:tc>
          <w:tcPr>
            <w:tcW w:w="795" w:type="dxa"/>
            <w:noWrap/>
          </w:tcPr>
          <w:p w14:paraId="15A62517" w14:textId="77777777" w:rsidR="0086415A" w:rsidRPr="000973F2" w:rsidRDefault="0086415A" w:rsidP="00121F32">
            <w:pPr>
              <w:tabs>
                <w:tab w:val="decimal" w:pos="511"/>
              </w:tabs>
              <w:spacing w:before="40" w:after="4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$1,505</w:t>
            </w:r>
          </w:p>
        </w:tc>
      </w:tr>
      <w:tr w:rsidR="00FE5692" w:rsidRPr="000973F2" w14:paraId="042E2A92" w14:textId="77777777" w:rsidTr="00B926DD">
        <w:trPr>
          <w:cantSplit/>
        </w:trPr>
        <w:tc>
          <w:tcPr>
            <w:cnfStyle w:val="001000000000" w:firstRow="0" w:lastRow="0" w:firstColumn="1" w:lastColumn="0" w:oddVBand="0" w:evenVBand="0" w:oddHBand="0" w:evenHBand="0" w:firstRowFirstColumn="0" w:firstRowLastColumn="0" w:lastRowFirstColumn="0" w:lastRowLastColumn="0"/>
            <w:tcW w:w="1425" w:type="dxa"/>
          </w:tcPr>
          <w:p w14:paraId="19E1B454" w14:textId="77777777" w:rsidR="0086415A" w:rsidRPr="000973F2" w:rsidRDefault="0086415A" w:rsidP="00121F32">
            <w:pPr>
              <w:spacing w:before="40" w:after="4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Reporting</w:t>
            </w:r>
          </w:p>
        </w:tc>
        <w:tc>
          <w:tcPr>
            <w:tcW w:w="810" w:type="dxa"/>
            <w:noWrap/>
          </w:tcPr>
          <w:p w14:paraId="02CFBD6E" w14:textId="77777777" w:rsidR="0086415A" w:rsidRPr="000973F2" w:rsidRDefault="0086415A" w:rsidP="00121F32">
            <w:pPr>
              <w:tabs>
                <w:tab w:val="decimal" w:pos="286"/>
              </w:tabs>
              <w:spacing w:before="40" w:after="4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0</w:t>
            </w:r>
          </w:p>
        </w:tc>
        <w:tc>
          <w:tcPr>
            <w:tcW w:w="810" w:type="dxa"/>
            <w:noWrap/>
          </w:tcPr>
          <w:p w14:paraId="76A2E04D" w14:textId="77777777" w:rsidR="0086415A" w:rsidRPr="000973F2" w:rsidRDefault="0086415A" w:rsidP="00121F32">
            <w:pPr>
              <w:tabs>
                <w:tab w:val="decimal" w:pos="286"/>
              </w:tabs>
              <w:spacing w:before="40" w:after="4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0</w:t>
            </w:r>
          </w:p>
        </w:tc>
        <w:tc>
          <w:tcPr>
            <w:tcW w:w="810" w:type="dxa"/>
            <w:noWrap/>
          </w:tcPr>
          <w:p w14:paraId="6183E4C8" w14:textId="77777777" w:rsidR="0086415A" w:rsidRPr="000973F2" w:rsidRDefault="0086415A" w:rsidP="00121F32">
            <w:pPr>
              <w:tabs>
                <w:tab w:val="decimal" w:pos="286"/>
              </w:tabs>
              <w:spacing w:before="40" w:after="4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0</w:t>
            </w:r>
          </w:p>
        </w:tc>
        <w:tc>
          <w:tcPr>
            <w:tcW w:w="810" w:type="dxa"/>
            <w:noWrap/>
          </w:tcPr>
          <w:p w14:paraId="1BECB256" w14:textId="77777777" w:rsidR="0086415A" w:rsidRPr="000973F2" w:rsidRDefault="0086415A" w:rsidP="00121F32">
            <w:pPr>
              <w:tabs>
                <w:tab w:val="decimal" w:pos="286"/>
              </w:tabs>
              <w:spacing w:before="40" w:after="4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1</w:t>
            </w:r>
          </w:p>
        </w:tc>
        <w:tc>
          <w:tcPr>
            <w:tcW w:w="810" w:type="dxa"/>
            <w:noWrap/>
          </w:tcPr>
          <w:p w14:paraId="62825360" w14:textId="77777777" w:rsidR="0086415A" w:rsidRPr="000973F2" w:rsidRDefault="0086415A" w:rsidP="00121F32">
            <w:pPr>
              <w:tabs>
                <w:tab w:val="decimal" w:pos="286"/>
              </w:tabs>
              <w:spacing w:before="40" w:after="4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0</w:t>
            </w:r>
          </w:p>
        </w:tc>
        <w:tc>
          <w:tcPr>
            <w:tcW w:w="810" w:type="dxa"/>
            <w:noWrap/>
          </w:tcPr>
          <w:p w14:paraId="3CC56450" w14:textId="77777777" w:rsidR="0086415A" w:rsidRPr="000973F2" w:rsidRDefault="0086415A" w:rsidP="00121F32">
            <w:pPr>
              <w:tabs>
                <w:tab w:val="decimal" w:pos="286"/>
              </w:tabs>
              <w:spacing w:before="40" w:after="4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10</w:t>
            </w:r>
          </w:p>
        </w:tc>
        <w:tc>
          <w:tcPr>
            <w:tcW w:w="810" w:type="dxa"/>
            <w:noWrap/>
          </w:tcPr>
          <w:p w14:paraId="7BA6341D" w14:textId="77777777" w:rsidR="0086415A" w:rsidRPr="000973F2" w:rsidRDefault="0086415A" w:rsidP="00121F32">
            <w:pPr>
              <w:tabs>
                <w:tab w:val="decimal" w:pos="286"/>
              </w:tabs>
              <w:spacing w:before="40" w:after="4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0</w:t>
            </w:r>
          </w:p>
        </w:tc>
        <w:tc>
          <w:tcPr>
            <w:tcW w:w="810" w:type="dxa"/>
            <w:noWrap/>
          </w:tcPr>
          <w:p w14:paraId="322A41AF" w14:textId="77777777" w:rsidR="0086415A" w:rsidRPr="000973F2" w:rsidRDefault="0086415A" w:rsidP="00121F32">
            <w:pPr>
              <w:tabs>
                <w:tab w:val="decimal" w:pos="286"/>
              </w:tabs>
              <w:spacing w:before="40" w:after="4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1</w:t>
            </w:r>
          </w:p>
        </w:tc>
        <w:tc>
          <w:tcPr>
            <w:tcW w:w="630" w:type="dxa"/>
            <w:noWrap/>
          </w:tcPr>
          <w:p w14:paraId="1A26A7E0" w14:textId="77777777" w:rsidR="0086415A" w:rsidRPr="000973F2" w:rsidRDefault="0086415A" w:rsidP="00121F32">
            <w:pPr>
              <w:tabs>
                <w:tab w:val="decimal" w:pos="286"/>
              </w:tabs>
              <w:spacing w:before="40" w:after="4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$0</w:t>
            </w:r>
          </w:p>
        </w:tc>
        <w:tc>
          <w:tcPr>
            <w:tcW w:w="795" w:type="dxa"/>
            <w:noWrap/>
          </w:tcPr>
          <w:p w14:paraId="5802F2EC" w14:textId="77777777" w:rsidR="0086415A" w:rsidRPr="000973F2" w:rsidRDefault="0086415A" w:rsidP="00121F32">
            <w:pPr>
              <w:tabs>
                <w:tab w:val="decimal" w:pos="511"/>
              </w:tabs>
              <w:spacing w:before="40" w:after="4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$838</w:t>
            </w:r>
          </w:p>
        </w:tc>
      </w:tr>
      <w:tr w:rsidR="0086415A" w:rsidRPr="000973F2" w14:paraId="2FD754AF" w14:textId="77777777" w:rsidTr="00B926DD">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1425" w:type="dxa"/>
            <w:noWrap/>
          </w:tcPr>
          <w:p w14:paraId="7A23C68D" w14:textId="77777777" w:rsidR="0086415A" w:rsidRPr="000973F2" w:rsidRDefault="0086415A" w:rsidP="00121F32">
            <w:pPr>
              <w:spacing w:before="40" w:after="40"/>
              <w:rPr>
                <w:rFonts w:ascii="Times New Roman" w:eastAsia="Times New Roman" w:hAnsi="Times New Roman" w:cs="Times New Roman"/>
                <w:b/>
                <w:bCs w:val="0"/>
                <w:sz w:val="18"/>
                <w:szCs w:val="18"/>
              </w:rPr>
            </w:pPr>
            <w:r w:rsidRPr="000973F2">
              <w:rPr>
                <w:rFonts w:ascii="Times New Roman" w:eastAsia="Times New Roman" w:hAnsi="Times New Roman" w:cs="Times New Roman"/>
                <w:b/>
                <w:sz w:val="18"/>
                <w:szCs w:val="18"/>
              </w:rPr>
              <w:t>Total</w:t>
            </w:r>
          </w:p>
        </w:tc>
        <w:tc>
          <w:tcPr>
            <w:tcW w:w="810" w:type="dxa"/>
            <w:noWrap/>
          </w:tcPr>
          <w:p w14:paraId="4985132C" w14:textId="77777777" w:rsidR="0086415A" w:rsidRPr="000973F2" w:rsidRDefault="0086415A" w:rsidP="00121F32">
            <w:pPr>
              <w:tabs>
                <w:tab w:val="decimal" w:pos="286"/>
              </w:tabs>
              <w:spacing w:before="40" w:after="4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18"/>
                <w:szCs w:val="18"/>
              </w:rPr>
            </w:pPr>
            <w:r w:rsidRPr="000973F2">
              <w:rPr>
                <w:rFonts w:ascii="Times New Roman" w:eastAsia="Times New Roman" w:hAnsi="Times New Roman" w:cs="Times New Roman"/>
                <w:b/>
                <w:bCs/>
                <w:sz w:val="18"/>
                <w:szCs w:val="18"/>
              </w:rPr>
              <w:t>0</w:t>
            </w:r>
          </w:p>
        </w:tc>
        <w:tc>
          <w:tcPr>
            <w:tcW w:w="810" w:type="dxa"/>
            <w:noWrap/>
          </w:tcPr>
          <w:p w14:paraId="113D53E2" w14:textId="77777777" w:rsidR="0086415A" w:rsidRPr="000973F2" w:rsidRDefault="0086415A" w:rsidP="00121F32">
            <w:pPr>
              <w:tabs>
                <w:tab w:val="decimal" w:pos="286"/>
              </w:tabs>
              <w:spacing w:before="40" w:after="4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18"/>
                <w:szCs w:val="18"/>
              </w:rPr>
            </w:pPr>
            <w:r w:rsidRPr="000973F2">
              <w:rPr>
                <w:rFonts w:ascii="Times New Roman" w:eastAsia="Times New Roman" w:hAnsi="Times New Roman" w:cs="Times New Roman"/>
                <w:b/>
                <w:bCs/>
                <w:sz w:val="18"/>
                <w:szCs w:val="18"/>
              </w:rPr>
              <w:t>2</w:t>
            </w:r>
          </w:p>
        </w:tc>
        <w:tc>
          <w:tcPr>
            <w:tcW w:w="810" w:type="dxa"/>
            <w:noWrap/>
          </w:tcPr>
          <w:p w14:paraId="78C7B0DB" w14:textId="77777777" w:rsidR="0086415A" w:rsidRPr="000973F2" w:rsidRDefault="0086415A" w:rsidP="00121F32">
            <w:pPr>
              <w:tabs>
                <w:tab w:val="decimal" w:pos="286"/>
              </w:tabs>
              <w:spacing w:before="40" w:after="4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18"/>
                <w:szCs w:val="18"/>
              </w:rPr>
            </w:pPr>
            <w:r w:rsidRPr="000973F2">
              <w:rPr>
                <w:rFonts w:ascii="Times New Roman" w:eastAsia="Times New Roman" w:hAnsi="Times New Roman" w:cs="Times New Roman"/>
                <w:b/>
                <w:bCs/>
                <w:sz w:val="18"/>
                <w:szCs w:val="18"/>
              </w:rPr>
              <w:t>0</w:t>
            </w:r>
          </w:p>
        </w:tc>
        <w:tc>
          <w:tcPr>
            <w:tcW w:w="810" w:type="dxa"/>
            <w:noWrap/>
          </w:tcPr>
          <w:p w14:paraId="1FD8C4C3" w14:textId="77777777" w:rsidR="0086415A" w:rsidRPr="000973F2" w:rsidRDefault="0086415A" w:rsidP="00121F32">
            <w:pPr>
              <w:tabs>
                <w:tab w:val="decimal" w:pos="286"/>
              </w:tabs>
              <w:spacing w:before="40" w:after="4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18"/>
                <w:szCs w:val="18"/>
              </w:rPr>
            </w:pPr>
            <w:r w:rsidRPr="000973F2">
              <w:rPr>
                <w:rFonts w:ascii="Times New Roman" w:eastAsia="Times New Roman" w:hAnsi="Times New Roman" w:cs="Times New Roman"/>
                <w:b/>
                <w:bCs/>
                <w:sz w:val="18"/>
                <w:szCs w:val="18"/>
              </w:rPr>
              <w:t>7.0</w:t>
            </w:r>
          </w:p>
        </w:tc>
        <w:tc>
          <w:tcPr>
            <w:tcW w:w="810" w:type="dxa"/>
            <w:noWrap/>
          </w:tcPr>
          <w:p w14:paraId="5A01226A" w14:textId="77777777" w:rsidR="0086415A" w:rsidRPr="000973F2" w:rsidRDefault="0086415A" w:rsidP="00121F32">
            <w:pPr>
              <w:tabs>
                <w:tab w:val="decimal" w:pos="286"/>
              </w:tabs>
              <w:spacing w:before="40" w:after="4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18"/>
                <w:szCs w:val="18"/>
              </w:rPr>
            </w:pPr>
            <w:r w:rsidRPr="000973F2">
              <w:rPr>
                <w:rFonts w:ascii="Times New Roman" w:eastAsia="Times New Roman" w:hAnsi="Times New Roman" w:cs="Times New Roman"/>
                <w:b/>
                <w:bCs/>
                <w:sz w:val="18"/>
                <w:szCs w:val="18"/>
              </w:rPr>
              <w:t>0</w:t>
            </w:r>
          </w:p>
        </w:tc>
        <w:tc>
          <w:tcPr>
            <w:tcW w:w="810" w:type="dxa"/>
            <w:noWrap/>
          </w:tcPr>
          <w:p w14:paraId="78921179" w14:textId="77777777" w:rsidR="0086415A" w:rsidRPr="000973F2" w:rsidRDefault="0086415A" w:rsidP="00121F32">
            <w:pPr>
              <w:tabs>
                <w:tab w:val="decimal" w:pos="286"/>
              </w:tabs>
              <w:spacing w:before="40" w:after="4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18"/>
                <w:szCs w:val="18"/>
              </w:rPr>
            </w:pPr>
            <w:r w:rsidRPr="000973F2">
              <w:rPr>
                <w:rFonts w:ascii="Times New Roman" w:eastAsia="Times New Roman" w:hAnsi="Times New Roman" w:cs="Times New Roman"/>
                <w:b/>
                <w:bCs/>
                <w:sz w:val="18"/>
                <w:szCs w:val="18"/>
              </w:rPr>
              <w:t>70.0</w:t>
            </w:r>
          </w:p>
        </w:tc>
        <w:tc>
          <w:tcPr>
            <w:tcW w:w="810" w:type="dxa"/>
            <w:noWrap/>
          </w:tcPr>
          <w:p w14:paraId="16B54E6A" w14:textId="77777777" w:rsidR="0086415A" w:rsidRPr="000973F2" w:rsidRDefault="0086415A" w:rsidP="00121F32">
            <w:pPr>
              <w:tabs>
                <w:tab w:val="decimal" w:pos="286"/>
              </w:tabs>
              <w:spacing w:before="40" w:after="4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18"/>
                <w:szCs w:val="18"/>
              </w:rPr>
            </w:pPr>
            <w:r w:rsidRPr="000973F2">
              <w:rPr>
                <w:rFonts w:ascii="Times New Roman" w:eastAsia="Times New Roman" w:hAnsi="Times New Roman" w:cs="Times New Roman"/>
                <w:b/>
                <w:bCs/>
                <w:sz w:val="18"/>
                <w:szCs w:val="18"/>
              </w:rPr>
              <w:t>0</w:t>
            </w:r>
          </w:p>
        </w:tc>
        <w:tc>
          <w:tcPr>
            <w:tcW w:w="810" w:type="dxa"/>
            <w:noWrap/>
          </w:tcPr>
          <w:p w14:paraId="448DEAEF" w14:textId="77777777" w:rsidR="0086415A" w:rsidRPr="000973F2" w:rsidRDefault="0086415A" w:rsidP="00121F32">
            <w:pPr>
              <w:tabs>
                <w:tab w:val="decimal" w:pos="286"/>
              </w:tabs>
              <w:spacing w:before="40" w:after="4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18"/>
                <w:szCs w:val="18"/>
              </w:rPr>
            </w:pPr>
            <w:r w:rsidRPr="000973F2">
              <w:rPr>
                <w:rFonts w:ascii="Times New Roman" w:eastAsia="Times New Roman" w:hAnsi="Times New Roman" w:cs="Times New Roman"/>
                <w:b/>
                <w:bCs/>
                <w:sz w:val="18"/>
                <w:szCs w:val="18"/>
              </w:rPr>
              <w:t>7.0</w:t>
            </w:r>
          </w:p>
        </w:tc>
        <w:tc>
          <w:tcPr>
            <w:tcW w:w="630" w:type="dxa"/>
            <w:noWrap/>
          </w:tcPr>
          <w:p w14:paraId="137AB608" w14:textId="77777777" w:rsidR="0086415A" w:rsidRPr="000973F2" w:rsidRDefault="0086415A" w:rsidP="00121F32">
            <w:pPr>
              <w:tabs>
                <w:tab w:val="decimal" w:pos="286"/>
              </w:tabs>
              <w:spacing w:before="40" w:after="4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18"/>
                <w:szCs w:val="18"/>
              </w:rPr>
            </w:pPr>
            <w:r w:rsidRPr="000973F2">
              <w:rPr>
                <w:rFonts w:ascii="Times New Roman" w:eastAsia="Times New Roman" w:hAnsi="Times New Roman" w:cs="Times New Roman"/>
                <w:b/>
                <w:bCs/>
                <w:sz w:val="18"/>
                <w:szCs w:val="18"/>
              </w:rPr>
              <w:t>$0</w:t>
            </w:r>
          </w:p>
        </w:tc>
        <w:tc>
          <w:tcPr>
            <w:tcW w:w="795" w:type="dxa"/>
            <w:noWrap/>
          </w:tcPr>
          <w:p w14:paraId="65A61743" w14:textId="77777777" w:rsidR="0086415A" w:rsidRPr="000973F2" w:rsidRDefault="0086415A" w:rsidP="00121F32">
            <w:pPr>
              <w:tabs>
                <w:tab w:val="decimal" w:pos="511"/>
              </w:tabs>
              <w:spacing w:before="40" w:after="4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18"/>
                <w:szCs w:val="18"/>
              </w:rPr>
            </w:pPr>
            <w:r w:rsidRPr="000973F2">
              <w:rPr>
                <w:rFonts w:ascii="Times New Roman" w:eastAsia="Times New Roman" w:hAnsi="Times New Roman" w:cs="Times New Roman"/>
                <w:b/>
                <w:bCs/>
                <w:sz w:val="18"/>
                <w:szCs w:val="18"/>
              </w:rPr>
              <w:t>$6,071</w:t>
            </w:r>
          </w:p>
        </w:tc>
      </w:tr>
    </w:tbl>
    <w:p w14:paraId="72D89443" w14:textId="77777777" w:rsidR="0086415A" w:rsidRPr="000973F2" w:rsidRDefault="0086415A" w:rsidP="00C00E4F">
      <w:pPr>
        <w:spacing w:line="240" w:lineRule="auto"/>
        <w:rPr>
          <w:rFonts w:ascii="Times New Roman" w:hAnsi="Times New Roman" w:cs="Times New Roman"/>
          <w:sz w:val="16"/>
          <w:szCs w:val="16"/>
        </w:rPr>
      </w:pPr>
    </w:p>
    <w:p w14:paraId="709424E6" w14:textId="414C4612" w:rsidR="00D826A6" w:rsidRPr="000973F2" w:rsidRDefault="00D826A6" w:rsidP="00121F32">
      <w:pPr>
        <w:pStyle w:val="Tabletitle"/>
        <w:rPr>
          <w:sz w:val="24"/>
          <w:szCs w:val="18"/>
        </w:rPr>
      </w:pPr>
      <w:r w:rsidRPr="000973F2">
        <w:t xml:space="preserve">Table </w:t>
      </w:r>
      <w:r w:rsidR="00121F32" w:rsidRPr="000973F2">
        <w:t>Y-</w:t>
      </w:r>
      <w:r w:rsidRPr="000973F2">
        <w:t>2k. Labor Costs</w:t>
      </w:r>
      <w:r w:rsidR="00EE78FC" w:rsidRPr="000973F2">
        <w:t xml:space="preserve"> </w:t>
      </w:r>
      <w:r w:rsidR="00B960CC" w:rsidRPr="000973F2">
        <w:t>–</w:t>
      </w:r>
      <w:r w:rsidR="00EE78FC" w:rsidRPr="000973F2">
        <w:t xml:space="preserve"> </w:t>
      </w:r>
      <w:r w:rsidRPr="000973F2">
        <w:t>Subpart Y – Large Upgrading Refinery with Coke Calciner</w:t>
      </w:r>
    </w:p>
    <w:tbl>
      <w:tblPr>
        <w:tblStyle w:val="PlainTable1"/>
        <w:tblW w:w="5000" w:type="pct"/>
        <w:jc w:val="left"/>
        <w:tblLayout w:type="fixed"/>
        <w:tblCellMar>
          <w:left w:w="115" w:type="dxa"/>
          <w:right w:w="115" w:type="dxa"/>
        </w:tblCellMar>
        <w:tblLook w:val="04A0" w:firstRow="1" w:lastRow="0" w:firstColumn="1" w:lastColumn="0" w:noHBand="0" w:noVBand="1"/>
      </w:tblPr>
      <w:tblGrid>
        <w:gridCol w:w="1464"/>
        <w:gridCol w:w="832"/>
        <w:gridCol w:w="832"/>
        <w:gridCol w:w="832"/>
        <w:gridCol w:w="833"/>
        <w:gridCol w:w="833"/>
        <w:gridCol w:w="833"/>
        <w:gridCol w:w="833"/>
        <w:gridCol w:w="833"/>
        <w:gridCol w:w="648"/>
        <w:gridCol w:w="817"/>
      </w:tblGrid>
      <w:tr w:rsidR="0086415A" w:rsidRPr="000973F2" w14:paraId="017CC7B4" w14:textId="77777777" w:rsidTr="00B926DD">
        <w:trPr>
          <w:cnfStyle w:val="100000000000" w:firstRow="1" w:lastRow="0" w:firstColumn="0" w:lastColumn="0" w:oddVBand="0" w:evenVBand="0" w:oddHBand="0" w:evenHBand="0" w:firstRowFirstColumn="0" w:firstRowLastColumn="0" w:lastRowFirstColumn="0" w:lastRowLastColumn="0"/>
          <w:cantSplit/>
          <w:jc w:val="left"/>
        </w:trPr>
        <w:tc>
          <w:tcPr>
            <w:cnfStyle w:val="001000000000" w:firstRow="0" w:lastRow="0" w:firstColumn="1" w:lastColumn="0" w:oddVBand="0" w:evenVBand="0" w:oddHBand="0" w:evenHBand="0" w:firstRowFirstColumn="0" w:firstRowLastColumn="0" w:lastRowFirstColumn="0" w:lastRowLastColumn="0"/>
            <w:tcW w:w="1425" w:type="dxa"/>
            <w:vMerge w:val="restart"/>
            <w:noWrap/>
            <w:vAlign w:val="top"/>
          </w:tcPr>
          <w:p w14:paraId="03F31C9D" w14:textId="77777777" w:rsidR="0086415A" w:rsidRPr="000973F2" w:rsidRDefault="0086415A" w:rsidP="00206831">
            <w:pPr>
              <w:keepNext/>
              <w:spacing w:before="40" w:after="40"/>
              <w:rPr>
                <w:rFonts w:ascii="Times New Roman" w:eastAsia="Times New Roman" w:hAnsi="Times New Roman" w:cs="Times New Roman"/>
                <w:bCs w:val="0"/>
                <w:sz w:val="18"/>
                <w:szCs w:val="18"/>
              </w:rPr>
            </w:pPr>
            <w:r w:rsidRPr="000973F2">
              <w:rPr>
                <w:rFonts w:ascii="Times New Roman" w:eastAsia="Times New Roman" w:hAnsi="Times New Roman" w:cs="Times New Roman"/>
                <w:bCs w:val="0"/>
                <w:sz w:val="18"/>
                <w:szCs w:val="18"/>
              </w:rPr>
              <w:t>Activity</w:t>
            </w:r>
          </w:p>
        </w:tc>
        <w:tc>
          <w:tcPr>
            <w:tcW w:w="6480" w:type="dxa"/>
            <w:gridSpan w:val="8"/>
            <w:noWrap/>
            <w:vAlign w:val="top"/>
          </w:tcPr>
          <w:p w14:paraId="209D69F6" w14:textId="77777777" w:rsidR="0086415A" w:rsidRPr="000973F2" w:rsidRDefault="0086415A" w:rsidP="00206831">
            <w:pPr>
              <w:keepNext/>
              <w:spacing w:before="40" w:after="40"/>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Cs w:val="0"/>
                <w:sz w:val="18"/>
                <w:szCs w:val="18"/>
              </w:rPr>
            </w:pPr>
            <w:r w:rsidRPr="000973F2">
              <w:rPr>
                <w:rFonts w:ascii="Times New Roman" w:eastAsia="Times New Roman" w:hAnsi="Times New Roman" w:cs="Times New Roman"/>
                <w:bCs w:val="0"/>
                <w:sz w:val="18"/>
                <w:szCs w:val="18"/>
              </w:rPr>
              <w:t>Labor Rates (per hour)</w:t>
            </w:r>
          </w:p>
        </w:tc>
        <w:tc>
          <w:tcPr>
            <w:tcW w:w="1425" w:type="dxa"/>
            <w:gridSpan w:val="2"/>
            <w:vMerge w:val="restart"/>
            <w:vAlign w:val="top"/>
          </w:tcPr>
          <w:p w14:paraId="51F6BB50" w14:textId="77777777" w:rsidR="0086415A" w:rsidRPr="000973F2" w:rsidRDefault="0086415A" w:rsidP="00206831">
            <w:pPr>
              <w:keepNext/>
              <w:spacing w:before="40" w:after="40"/>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Cs w:val="0"/>
                <w:sz w:val="18"/>
                <w:szCs w:val="18"/>
              </w:rPr>
            </w:pPr>
            <w:r w:rsidRPr="000973F2">
              <w:rPr>
                <w:rFonts w:ascii="Times New Roman" w:eastAsia="Times New Roman" w:hAnsi="Times New Roman" w:cs="Times New Roman"/>
                <w:bCs w:val="0"/>
                <w:sz w:val="18"/>
                <w:szCs w:val="18"/>
              </w:rPr>
              <w:t>Total Labor Cost per Year per Facility (2017$)</w:t>
            </w:r>
          </w:p>
        </w:tc>
      </w:tr>
      <w:tr w:rsidR="0086415A" w:rsidRPr="000973F2" w14:paraId="6FA80BC3" w14:textId="77777777" w:rsidTr="00B926DD">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1425" w:type="dxa"/>
            <w:vMerge/>
          </w:tcPr>
          <w:p w14:paraId="2B05FD7D" w14:textId="77777777" w:rsidR="0086415A" w:rsidRPr="000973F2" w:rsidRDefault="0086415A" w:rsidP="00206831">
            <w:pPr>
              <w:keepNext/>
              <w:spacing w:before="40" w:after="40"/>
              <w:rPr>
                <w:rFonts w:ascii="Times New Roman" w:eastAsia="Times New Roman" w:hAnsi="Times New Roman" w:cs="Times New Roman"/>
                <w:b/>
                <w:bCs w:val="0"/>
                <w:sz w:val="18"/>
                <w:szCs w:val="18"/>
              </w:rPr>
            </w:pPr>
          </w:p>
        </w:tc>
        <w:tc>
          <w:tcPr>
            <w:tcW w:w="1620" w:type="dxa"/>
            <w:gridSpan w:val="2"/>
            <w:noWrap/>
          </w:tcPr>
          <w:p w14:paraId="1FDA67A0" w14:textId="77777777" w:rsidR="0086415A" w:rsidRPr="000973F2" w:rsidRDefault="0086415A" w:rsidP="00206831">
            <w:pPr>
              <w:keepNext/>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18"/>
                <w:szCs w:val="18"/>
              </w:rPr>
            </w:pPr>
            <w:r w:rsidRPr="000973F2">
              <w:rPr>
                <w:rFonts w:ascii="Times New Roman" w:eastAsia="Times New Roman" w:hAnsi="Times New Roman" w:cs="Times New Roman"/>
                <w:b/>
                <w:bCs/>
                <w:sz w:val="18"/>
                <w:szCs w:val="18"/>
              </w:rPr>
              <w:t>Lawyer</w:t>
            </w:r>
          </w:p>
        </w:tc>
        <w:tc>
          <w:tcPr>
            <w:tcW w:w="1620" w:type="dxa"/>
            <w:gridSpan w:val="2"/>
            <w:noWrap/>
          </w:tcPr>
          <w:p w14:paraId="18C6217C" w14:textId="77777777" w:rsidR="0086415A" w:rsidRPr="000973F2" w:rsidRDefault="0086415A" w:rsidP="00206831">
            <w:pPr>
              <w:keepNext/>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18"/>
                <w:szCs w:val="18"/>
              </w:rPr>
            </w:pPr>
            <w:r w:rsidRPr="000973F2">
              <w:rPr>
                <w:rFonts w:ascii="Times New Roman" w:eastAsia="Times New Roman" w:hAnsi="Times New Roman" w:cs="Times New Roman"/>
                <w:b/>
                <w:bCs/>
                <w:sz w:val="18"/>
                <w:szCs w:val="18"/>
              </w:rPr>
              <w:t>Industrial Manager</w:t>
            </w:r>
          </w:p>
        </w:tc>
        <w:tc>
          <w:tcPr>
            <w:tcW w:w="1620" w:type="dxa"/>
            <w:gridSpan w:val="2"/>
          </w:tcPr>
          <w:p w14:paraId="03FF3E4C" w14:textId="42DEAEA2" w:rsidR="0086415A" w:rsidRPr="000973F2" w:rsidRDefault="0086415A" w:rsidP="00206831">
            <w:pPr>
              <w:keepNext/>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18"/>
                <w:szCs w:val="18"/>
              </w:rPr>
            </w:pPr>
            <w:r w:rsidRPr="000973F2">
              <w:rPr>
                <w:rFonts w:ascii="Times New Roman" w:eastAsia="Times New Roman" w:hAnsi="Times New Roman" w:cs="Times New Roman"/>
                <w:b/>
                <w:bCs/>
                <w:sz w:val="18"/>
                <w:szCs w:val="18"/>
              </w:rPr>
              <w:t>Industrial Engineer/</w:t>
            </w:r>
            <w:r w:rsidR="00206831" w:rsidRPr="000973F2">
              <w:rPr>
                <w:rFonts w:ascii="Times New Roman" w:eastAsia="Times New Roman" w:hAnsi="Times New Roman" w:cs="Times New Roman"/>
                <w:b/>
                <w:bCs/>
                <w:sz w:val="18"/>
                <w:szCs w:val="18"/>
              </w:rPr>
              <w:t xml:space="preserve"> </w:t>
            </w:r>
            <w:r w:rsidRPr="000973F2">
              <w:rPr>
                <w:rFonts w:ascii="Times New Roman" w:eastAsia="Times New Roman" w:hAnsi="Times New Roman" w:cs="Times New Roman"/>
                <w:b/>
                <w:bCs/>
                <w:sz w:val="18"/>
                <w:szCs w:val="18"/>
              </w:rPr>
              <w:t>Technician</w:t>
            </w:r>
          </w:p>
        </w:tc>
        <w:tc>
          <w:tcPr>
            <w:tcW w:w="1620" w:type="dxa"/>
            <w:gridSpan w:val="2"/>
          </w:tcPr>
          <w:p w14:paraId="720593D4" w14:textId="77777777" w:rsidR="0086415A" w:rsidRPr="000973F2" w:rsidRDefault="0086415A" w:rsidP="00206831">
            <w:pPr>
              <w:keepNext/>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18"/>
                <w:szCs w:val="18"/>
              </w:rPr>
            </w:pPr>
            <w:r w:rsidRPr="000973F2">
              <w:rPr>
                <w:rFonts w:ascii="Times New Roman" w:eastAsia="Times New Roman" w:hAnsi="Times New Roman" w:cs="Times New Roman"/>
                <w:b/>
                <w:bCs/>
                <w:sz w:val="18"/>
                <w:szCs w:val="18"/>
              </w:rPr>
              <w:t>Administrative Support</w:t>
            </w:r>
          </w:p>
        </w:tc>
        <w:tc>
          <w:tcPr>
            <w:tcW w:w="1425" w:type="dxa"/>
            <w:gridSpan w:val="2"/>
            <w:vMerge/>
          </w:tcPr>
          <w:p w14:paraId="5B0526A2" w14:textId="77777777" w:rsidR="0086415A" w:rsidRPr="000973F2" w:rsidRDefault="0086415A" w:rsidP="00206831">
            <w:pPr>
              <w:keepNext/>
              <w:spacing w:before="40" w:after="4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18"/>
                <w:szCs w:val="18"/>
              </w:rPr>
            </w:pPr>
          </w:p>
        </w:tc>
      </w:tr>
      <w:tr w:rsidR="0086415A" w:rsidRPr="000973F2" w14:paraId="5B6DFCFA" w14:textId="77777777" w:rsidTr="00B926DD">
        <w:trPr>
          <w:cantSplit/>
        </w:trPr>
        <w:tc>
          <w:tcPr>
            <w:cnfStyle w:val="001000000000" w:firstRow="0" w:lastRow="0" w:firstColumn="1" w:lastColumn="0" w:oddVBand="0" w:evenVBand="0" w:oddHBand="0" w:evenHBand="0" w:firstRowFirstColumn="0" w:firstRowLastColumn="0" w:lastRowFirstColumn="0" w:lastRowLastColumn="0"/>
            <w:tcW w:w="1425" w:type="dxa"/>
            <w:vMerge/>
          </w:tcPr>
          <w:p w14:paraId="1CD81BCC" w14:textId="77777777" w:rsidR="0086415A" w:rsidRPr="000973F2" w:rsidRDefault="0086415A" w:rsidP="00206831">
            <w:pPr>
              <w:keepNext/>
              <w:spacing w:before="40" w:after="40"/>
              <w:rPr>
                <w:rFonts w:ascii="Times New Roman" w:eastAsia="Times New Roman" w:hAnsi="Times New Roman" w:cs="Times New Roman"/>
                <w:b/>
                <w:bCs w:val="0"/>
                <w:sz w:val="18"/>
                <w:szCs w:val="18"/>
              </w:rPr>
            </w:pPr>
          </w:p>
        </w:tc>
        <w:tc>
          <w:tcPr>
            <w:tcW w:w="1620" w:type="dxa"/>
            <w:gridSpan w:val="2"/>
            <w:noWrap/>
          </w:tcPr>
          <w:p w14:paraId="29AF2093" w14:textId="77777777" w:rsidR="0086415A" w:rsidRPr="000973F2" w:rsidRDefault="0086415A" w:rsidP="00206831">
            <w:pPr>
              <w:keepNext/>
              <w:spacing w:before="40" w:after="4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sz w:val="18"/>
                <w:szCs w:val="18"/>
              </w:rPr>
            </w:pPr>
            <w:r w:rsidRPr="000973F2">
              <w:rPr>
                <w:rFonts w:ascii="Times New Roman" w:eastAsia="Times New Roman" w:hAnsi="Times New Roman" w:cs="Times New Roman"/>
                <w:b/>
                <w:bCs/>
                <w:sz w:val="18"/>
                <w:szCs w:val="18"/>
              </w:rPr>
              <w:t xml:space="preserve">$112.23 </w:t>
            </w:r>
          </w:p>
        </w:tc>
        <w:tc>
          <w:tcPr>
            <w:tcW w:w="1620" w:type="dxa"/>
            <w:gridSpan w:val="2"/>
            <w:noWrap/>
          </w:tcPr>
          <w:p w14:paraId="3E817B79" w14:textId="77777777" w:rsidR="0086415A" w:rsidRPr="000973F2" w:rsidRDefault="0086415A" w:rsidP="00206831">
            <w:pPr>
              <w:keepNext/>
              <w:spacing w:before="40" w:after="4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sz w:val="18"/>
                <w:szCs w:val="18"/>
              </w:rPr>
            </w:pPr>
            <w:r w:rsidRPr="000973F2">
              <w:rPr>
                <w:rFonts w:ascii="Times New Roman" w:eastAsia="Times New Roman" w:hAnsi="Times New Roman" w:cs="Times New Roman"/>
                <w:b/>
                <w:bCs/>
                <w:sz w:val="18"/>
                <w:szCs w:val="18"/>
              </w:rPr>
              <w:t xml:space="preserve">$87.45 </w:t>
            </w:r>
          </w:p>
        </w:tc>
        <w:tc>
          <w:tcPr>
            <w:tcW w:w="1620" w:type="dxa"/>
            <w:gridSpan w:val="2"/>
            <w:noWrap/>
          </w:tcPr>
          <w:p w14:paraId="086AA328" w14:textId="77777777" w:rsidR="0086415A" w:rsidRPr="000973F2" w:rsidRDefault="0086415A" w:rsidP="00206831">
            <w:pPr>
              <w:keepNext/>
              <w:spacing w:before="40" w:after="4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sz w:val="18"/>
                <w:szCs w:val="18"/>
              </w:rPr>
            </w:pPr>
            <w:r w:rsidRPr="000973F2">
              <w:rPr>
                <w:rFonts w:ascii="Times New Roman" w:eastAsia="Times New Roman" w:hAnsi="Times New Roman" w:cs="Times New Roman"/>
                <w:b/>
                <w:bCs/>
                <w:sz w:val="18"/>
                <w:szCs w:val="18"/>
              </w:rPr>
              <w:t xml:space="preserve">$71.45 </w:t>
            </w:r>
          </w:p>
        </w:tc>
        <w:tc>
          <w:tcPr>
            <w:tcW w:w="1620" w:type="dxa"/>
            <w:gridSpan w:val="2"/>
            <w:noWrap/>
          </w:tcPr>
          <w:p w14:paraId="7E01F2F8" w14:textId="77777777" w:rsidR="0086415A" w:rsidRPr="000973F2" w:rsidRDefault="0086415A" w:rsidP="00206831">
            <w:pPr>
              <w:keepNext/>
              <w:spacing w:before="40" w:after="4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sz w:val="18"/>
                <w:szCs w:val="18"/>
              </w:rPr>
            </w:pPr>
            <w:r w:rsidRPr="000973F2">
              <w:rPr>
                <w:rFonts w:ascii="Times New Roman" w:eastAsia="Times New Roman" w:hAnsi="Times New Roman" w:cs="Times New Roman"/>
                <w:b/>
                <w:bCs/>
                <w:sz w:val="18"/>
                <w:szCs w:val="18"/>
              </w:rPr>
              <w:t xml:space="preserve">$36.28 </w:t>
            </w:r>
          </w:p>
        </w:tc>
        <w:tc>
          <w:tcPr>
            <w:tcW w:w="1425" w:type="dxa"/>
            <w:gridSpan w:val="2"/>
            <w:vMerge/>
          </w:tcPr>
          <w:p w14:paraId="2BD31233" w14:textId="77777777" w:rsidR="0086415A" w:rsidRPr="000973F2" w:rsidRDefault="0086415A" w:rsidP="00206831">
            <w:pPr>
              <w:keepNext/>
              <w:spacing w:before="40" w:after="4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sz w:val="18"/>
                <w:szCs w:val="18"/>
              </w:rPr>
            </w:pPr>
          </w:p>
        </w:tc>
      </w:tr>
      <w:tr w:rsidR="0086415A" w:rsidRPr="000973F2" w14:paraId="2B10C764" w14:textId="77777777" w:rsidTr="00B926DD">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1425" w:type="dxa"/>
            <w:vMerge/>
          </w:tcPr>
          <w:p w14:paraId="258EE37B" w14:textId="77777777" w:rsidR="0086415A" w:rsidRPr="000973F2" w:rsidRDefault="0086415A" w:rsidP="00206831">
            <w:pPr>
              <w:keepNext/>
              <w:spacing w:before="40" w:after="40"/>
              <w:rPr>
                <w:rFonts w:ascii="Times New Roman" w:eastAsia="Times New Roman" w:hAnsi="Times New Roman" w:cs="Times New Roman"/>
                <w:b/>
                <w:bCs w:val="0"/>
                <w:sz w:val="18"/>
                <w:szCs w:val="18"/>
              </w:rPr>
            </w:pPr>
          </w:p>
        </w:tc>
        <w:tc>
          <w:tcPr>
            <w:tcW w:w="810" w:type="dxa"/>
            <w:tcMar>
              <w:left w:w="14" w:type="dxa"/>
              <w:right w:w="14" w:type="dxa"/>
            </w:tcMar>
          </w:tcPr>
          <w:p w14:paraId="75B9A54B" w14:textId="77777777" w:rsidR="0086415A" w:rsidRPr="000973F2" w:rsidRDefault="0086415A" w:rsidP="00206831">
            <w:pPr>
              <w:keepNext/>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18"/>
                <w:szCs w:val="18"/>
              </w:rPr>
            </w:pPr>
            <w:r w:rsidRPr="000973F2">
              <w:rPr>
                <w:rFonts w:ascii="Times New Roman" w:eastAsia="Times New Roman" w:hAnsi="Times New Roman" w:cs="Times New Roman"/>
                <w:b/>
                <w:bCs/>
                <w:sz w:val="18"/>
                <w:szCs w:val="18"/>
              </w:rPr>
              <w:t>Initial Year Hours</w:t>
            </w:r>
          </w:p>
        </w:tc>
        <w:tc>
          <w:tcPr>
            <w:tcW w:w="810" w:type="dxa"/>
            <w:tcMar>
              <w:left w:w="14" w:type="dxa"/>
              <w:right w:w="14" w:type="dxa"/>
            </w:tcMar>
          </w:tcPr>
          <w:p w14:paraId="6E07369D" w14:textId="77777777" w:rsidR="0086415A" w:rsidRPr="000973F2" w:rsidRDefault="0086415A" w:rsidP="00206831">
            <w:pPr>
              <w:keepNext/>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18"/>
                <w:szCs w:val="18"/>
              </w:rPr>
            </w:pPr>
            <w:r w:rsidRPr="000973F2">
              <w:rPr>
                <w:rFonts w:ascii="Times New Roman" w:eastAsia="Times New Roman" w:hAnsi="Times New Roman" w:cs="Times New Roman"/>
                <w:b/>
                <w:bCs/>
                <w:sz w:val="18"/>
                <w:szCs w:val="18"/>
              </w:rPr>
              <w:t>Subseq. Year Hours</w:t>
            </w:r>
          </w:p>
        </w:tc>
        <w:tc>
          <w:tcPr>
            <w:tcW w:w="810" w:type="dxa"/>
            <w:tcMar>
              <w:left w:w="14" w:type="dxa"/>
              <w:right w:w="14" w:type="dxa"/>
            </w:tcMar>
          </w:tcPr>
          <w:p w14:paraId="25C7155B" w14:textId="77777777" w:rsidR="0086415A" w:rsidRPr="000973F2" w:rsidRDefault="0086415A" w:rsidP="00206831">
            <w:pPr>
              <w:keepNext/>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18"/>
                <w:szCs w:val="18"/>
              </w:rPr>
            </w:pPr>
            <w:r w:rsidRPr="000973F2">
              <w:rPr>
                <w:rFonts w:ascii="Times New Roman" w:eastAsia="Times New Roman" w:hAnsi="Times New Roman" w:cs="Times New Roman"/>
                <w:b/>
                <w:bCs/>
                <w:sz w:val="18"/>
                <w:szCs w:val="18"/>
              </w:rPr>
              <w:t>Initial Year Hours</w:t>
            </w:r>
          </w:p>
        </w:tc>
        <w:tc>
          <w:tcPr>
            <w:tcW w:w="810" w:type="dxa"/>
            <w:tcMar>
              <w:left w:w="14" w:type="dxa"/>
              <w:right w:w="14" w:type="dxa"/>
            </w:tcMar>
          </w:tcPr>
          <w:p w14:paraId="618B0253" w14:textId="77777777" w:rsidR="0086415A" w:rsidRPr="000973F2" w:rsidRDefault="0086415A" w:rsidP="00206831">
            <w:pPr>
              <w:keepNext/>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18"/>
                <w:szCs w:val="18"/>
              </w:rPr>
            </w:pPr>
            <w:r w:rsidRPr="000973F2">
              <w:rPr>
                <w:rFonts w:ascii="Times New Roman" w:eastAsia="Times New Roman" w:hAnsi="Times New Roman" w:cs="Times New Roman"/>
                <w:b/>
                <w:bCs/>
                <w:sz w:val="18"/>
                <w:szCs w:val="18"/>
              </w:rPr>
              <w:t>Subseq. Year Hours</w:t>
            </w:r>
          </w:p>
        </w:tc>
        <w:tc>
          <w:tcPr>
            <w:tcW w:w="810" w:type="dxa"/>
            <w:tcMar>
              <w:left w:w="14" w:type="dxa"/>
              <w:right w:w="14" w:type="dxa"/>
            </w:tcMar>
          </w:tcPr>
          <w:p w14:paraId="2CE501D2" w14:textId="77777777" w:rsidR="0086415A" w:rsidRPr="000973F2" w:rsidRDefault="0086415A" w:rsidP="00206831">
            <w:pPr>
              <w:keepNext/>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18"/>
                <w:szCs w:val="18"/>
              </w:rPr>
            </w:pPr>
            <w:r w:rsidRPr="000973F2">
              <w:rPr>
                <w:rFonts w:ascii="Times New Roman" w:eastAsia="Times New Roman" w:hAnsi="Times New Roman" w:cs="Times New Roman"/>
                <w:b/>
                <w:bCs/>
                <w:sz w:val="18"/>
                <w:szCs w:val="18"/>
              </w:rPr>
              <w:t>Initial Year Hours</w:t>
            </w:r>
          </w:p>
        </w:tc>
        <w:tc>
          <w:tcPr>
            <w:tcW w:w="810" w:type="dxa"/>
            <w:tcMar>
              <w:left w:w="14" w:type="dxa"/>
              <w:right w:w="14" w:type="dxa"/>
            </w:tcMar>
          </w:tcPr>
          <w:p w14:paraId="68839CB2" w14:textId="77777777" w:rsidR="0086415A" w:rsidRPr="000973F2" w:rsidRDefault="0086415A" w:rsidP="00206831">
            <w:pPr>
              <w:keepNext/>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18"/>
                <w:szCs w:val="18"/>
              </w:rPr>
            </w:pPr>
            <w:r w:rsidRPr="000973F2">
              <w:rPr>
                <w:rFonts w:ascii="Times New Roman" w:eastAsia="Times New Roman" w:hAnsi="Times New Roman" w:cs="Times New Roman"/>
                <w:b/>
                <w:bCs/>
                <w:sz w:val="18"/>
                <w:szCs w:val="18"/>
              </w:rPr>
              <w:t>Subseq. Year Hours</w:t>
            </w:r>
          </w:p>
        </w:tc>
        <w:tc>
          <w:tcPr>
            <w:tcW w:w="810" w:type="dxa"/>
            <w:tcMar>
              <w:left w:w="14" w:type="dxa"/>
              <w:right w:w="14" w:type="dxa"/>
            </w:tcMar>
          </w:tcPr>
          <w:p w14:paraId="1C1F367A" w14:textId="77777777" w:rsidR="0086415A" w:rsidRPr="000973F2" w:rsidRDefault="0086415A" w:rsidP="00206831">
            <w:pPr>
              <w:keepNext/>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18"/>
                <w:szCs w:val="18"/>
              </w:rPr>
            </w:pPr>
            <w:r w:rsidRPr="000973F2">
              <w:rPr>
                <w:rFonts w:ascii="Times New Roman" w:eastAsia="Times New Roman" w:hAnsi="Times New Roman" w:cs="Times New Roman"/>
                <w:b/>
                <w:bCs/>
                <w:sz w:val="18"/>
                <w:szCs w:val="18"/>
              </w:rPr>
              <w:t>Initial Year Hours</w:t>
            </w:r>
          </w:p>
        </w:tc>
        <w:tc>
          <w:tcPr>
            <w:tcW w:w="810" w:type="dxa"/>
            <w:tcMar>
              <w:left w:w="14" w:type="dxa"/>
              <w:right w:w="14" w:type="dxa"/>
            </w:tcMar>
          </w:tcPr>
          <w:p w14:paraId="7479A9AE" w14:textId="77777777" w:rsidR="0086415A" w:rsidRPr="000973F2" w:rsidRDefault="0086415A" w:rsidP="00206831">
            <w:pPr>
              <w:keepNext/>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18"/>
                <w:szCs w:val="18"/>
              </w:rPr>
            </w:pPr>
            <w:r w:rsidRPr="000973F2">
              <w:rPr>
                <w:rFonts w:ascii="Times New Roman" w:eastAsia="Times New Roman" w:hAnsi="Times New Roman" w:cs="Times New Roman"/>
                <w:b/>
                <w:bCs/>
                <w:sz w:val="18"/>
                <w:szCs w:val="18"/>
              </w:rPr>
              <w:t>Subseq. Year Hours</w:t>
            </w:r>
          </w:p>
        </w:tc>
        <w:tc>
          <w:tcPr>
            <w:tcW w:w="630" w:type="dxa"/>
            <w:tcMar>
              <w:left w:w="14" w:type="dxa"/>
              <w:right w:w="14" w:type="dxa"/>
            </w:tcMar>
          </w:tcPr>
          <w:p w14:paraId="7A6F5D5C" w14:textId="77777777" w:rsidR="0086415A" w:rsidRPr="000973F2" w:rsidRDefault="0086415A" w:rsidP="00206831">
            <w:pPr>
              <w:keepNext/>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18"/>
                <w:szCs w:val="18"/>
              </w:rPr>
            </w:pPr>
            <w:r w:rsidRPr="000973F2">
              <w:rPr>
                <w:rFonts w:ascii="Times New Roman" w:eastAsia="Times New Roman" w:hAnsi="Times New Roman" w:cs="Times New Roman"/>
                <w:b/>
                <w:bCs/>
                <w:sz w:val="18"/>
                <w:szCs w:val="18"/>
              </w:rPr>
              <w:t>Initial Year</w:t>
            </w:r>
          </w:p>
        </w:tc>
        <w:tc>
          <w:tcPr>
            <w:tcW w:w="795" w:type="dxa"/>
            <w:tcMar>
              <w:left w:w="14" w:type="dxa"/>
              <w:right w:w="14" w:type="dxa"/>
            </w:tcMar>
          </w:tcPr>
          <w:p w14:paraId="1D5D9B05" w14:textId="77777777" w:rsidR="0086415A" w:rsidRPr="000973F2" w:rsidRDefault="0086415A" w:rsidP="00206831">
            <w:pPr>
              <w:keepNext/>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18"/>
                <w:szCs w:val="18"/>
              </w:rPr>
            </w:pPr>
            <w:r w:rsidRPr="000973F2">
              <w:rPr>
                <w:rFonts w:ascii="Times New Roman" w:eastAsia="Times New Roman" w:hAnsi="Times New Roman" w:cs="Times New Roman"/>
                <w:b/>
                <w:bCs/>
                <w:sz w:val="18"/>
                <w:szCs w:val="18"/>
              </w:rPr>
              <w:t>Subseq. Year</w:t>
            </w:r>
          </w:p>
        </w:tc>
      </w:tr>
      <w:tr w:rsidR="0086415A" w:rsidRPr="000973F2" w14:paraId="5E92AA85" w14:textId="77777777" w:rsidTr="00B926DD">
        <w:trPr>
          <w:cantSplit/>
        </w:trPr>
        <w:tc>
          <w:tcPr>
            <w:cnfStyle w:val="001000000000" w:firstRow="0" w:lastRow="0" w:firstColumn="1" w:lastColumn="0" w:oddVBand="0" w:evenVBand="0" w:oddHBand="0" w:evenHBand="0" w:firstRowFirstColumn="0" w:firstRowLastColumn="0" w:lastRowFirstColumn="0" w:lastRowLastColumn="0"/>
            <w:tcW w:w="1425" w:type="dxa"/>
          </w:tcPr>
          <w:p w14:paraId="3DBE0020" w14:textId="77777777" w:rsidR="0086415A" w:rsidRPr="000973F2" w:rsidRDefault="0086415A" w:rsidP="00206831">
            <w:pPr>
              <w:keepNext/>
              <w:spacing w:before="40" w:after="4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Planning</w:t>
            </w:r>
          </w:p>
        </w:tc>
        <w:tc>
          <w:tcPr>
            <w:tcW w:w="810" w:type="dxa"/>
            <w:noWrap/>
          </w:tcPr>
          <w:p w14:paraId="3D179953" w14:textId="77777777" w:rsidR="0086415A" w:rsidRPr="000973F2" w:rsidRDefault="0086415A" w:rsidP="00206831">
            <w:pPr>
              <w:keepNext/>
              <w:tabs>
                <w:tab w:val="decimal" w:pos="316"/>
              </w:tabs>
              <w:spacing w:before="40" w:after="4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0</w:t>
            </w:r>
          </w:p>
        </w:tc>
        <w:tc>
          <w:tcPr>
            <w:tcW w:w="810" w:type="dxa"/>
            <w:noWrap/>
          </w:tcPr>
          <w:p w14:paraId="4D61ECDA" w14:textId="77777777" w:rsidR="0086415A" w:rsidRPr="000973F2" w:rsidRDefault="0086415A" w:rsidP="00206831">
            <w:pPr>
              <w:keepNext/>
              <w:tabs>
                <w:tab w:val="decimal" w:pos="316"/>
              </w:tabs>
              <w:spacing w:before="40" w:after="4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2</w:t>
            </w:r>
          </w:p>
        </w:tc>
        <w:tc>
          <w:tcPr>
            <w:tcW w:w="810" w:type="dxa"/>
            <w:noWrap/>
          </w:tcPr>
          <w:p w14:paraId="40C85005" w14:textId="77777777" w:rsidR="0086415A" w:rsidRPr="000973F2" w:rsidRDefault="0086415A" w:rsidP="00206831">
            <w:pPr>
              <w:keepNext/>
              <w:tabs>
                <w:tab w:val="decimal" w:pos="316"/>
              </w:tabs>
              <w:spacing w:before="40" w:after="4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0</w:t>
            </w:r>
          </w:p>
        </w:tc>
        <w:tc>
          <w:tcPr>
            <w:tcW w:w="810" w:type="dxa"/>
            <w:noWrap/>
          </w:tcPr>
          <w:p w14:paraId="5FB2AE13" w14:textId="77777777" w:rsidR="0086415A" w:rsidRPr="000973F2" w:rsidRDefault="0086415A" w:rsidP="00206831">
            <w:pPr>
              <w:keepNext/>
              <w:tabs>
                <w:tab w:val="decimal" w:pos="316"/>
              </w:tabs>
              <w:spacing w:before="40" w:after="4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1.2</w:t>
            </w:r>
          </w:p>
        </w:tc>
        <w:tc>
          <w:tcPr>
            <w:tcW w:w="810" w:type="dxa"/>
            <w:noWrap/>
          </w:tcPr>
          <w:p w14:paraId="64CCFC12" w14:textId="77777777" w:rsidR="0086415A" w:rsidRPr="000973F2" w:rsidRDefault="0086415A" w:rsidP="00206831">
            <w:pPr>
              <w:keepNext/>
              <w:tabs>
                <w:tab w:val="decimal" w:pos="316"/>
              </w:tabs>
              <w:spacing w:before="40" w:after="4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0</w:t>
            </w:r>
          </w:p>
        </w:tc>
        <w:tc>
          <w:tcPr>
            <w:tcW w:w="810" w:type="dxa"/>
            <w:noWrap/>
          </w:tcPr>
          <w:p w14:paraId="26EF3155" w14:textId="77777777" w:rsidR="0086415A" w:rsidRPr="000973F2" w:rsidRDefault="0086415A" w:rsidP="00206831">
            <w:pPr>
              <w:keepNext/>
              <w:tabs>
                <w:tab w:val="decimal" w:pos="316"/>
              </w:tabs>
              <w:spacing w:before="40" w:after="4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12</w:t>
            </w:r>
          </w:p>
        </w:tc>
        <w:tc>
          <w:tcPr>
            <w:tcW w:w="810" w:type="dxa"/>
            <w:noWrap/>
          </w:tcPr>
          <w:p w14:paraId="414447D8" w14:textId="77777777" w:rsidR="0086415A" w:rsidRPr="000973F2" w:rsidRDefault="0086415A" w:rsidP="00206831">
            <w:pPr>
              <w:keepNext/>
              <w:tabs>
                <w:tab w:val="decimal" w:pos="316"/>
              </w:tabs>
              <w:spacing w:before="40" w:after="4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0</w:t>
            </w:r>
          </w:p>
        </w:tc>
        <w:tc>
          <w:tcPr>
            <w:tcW w:w="810" w:type="dxa"/>
            <w:noWrap/>
          </w:tcPr>
          <w:p w14:paraId="73850B9F" w14:textId="77777777" w:rsidR="0086415A" w:rsidRPr="000973F2" w:rsidRDefault="0086415A" w:rsidP="00206831">
            <w:pPr>
              <w:keepNext/>
              <w:tabs>
                <w:tab w:val="decimal" w:pos="316"/>
              </w:tabs>
              <w:spacing w:before="40" w:after="4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1.2</w:t>
            </w:r>
          </w:p>
        </w:tc>
        <w:tc>
          <w:tcPr>
            <w:tcW w:w="630" w:type="dxa"/>
            <w:noWrap/>
          </w:tcPr>
          <w:p w14:paraId="521BD104" w14:textId="77777777" w:rsidR="0086415A" w:rsidRPr="000973F2" w:rsidRDefault="0086415A" w:rsidP="00206831">
            <w:pPr>
              <w:keepNext/>
              <w:tabs>
                <w:tab w:val="decimal" w:pos="316"/>
              </w:tabs>
              <w:spacing w:before="40" w:after="4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$0</w:t>
            </w:r>
          </w:p>
        </w:tc>
        <w:tc>
          <w:tcPr>
            <w:tcW w:w="795" w:type="dxa"/>
            <w:noWrap/>
          </w:tcPr>
          <w:p w14:paraId="102E62D8" w14:textId="77777777" w:rsidR="0086415A" w:rsidRPr="000973F2" w:rsidRDefault="0086415A" w:rsidP="00206831">
            <w:pPr>
              <w:keepNext/>
              <w:tabs>
                <w:tab w:val="decimal" w:pos="511"/>
              </w:tabs>
              <w:spacing w:before="40" w:after="4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$1,230</w:t>
            </w:r>
          </w:p>
        </w:tc>
      </w:tr>
      <w:tr w:rsidR="0086415A" w:rsidRPr="000973F2" w14:paraId="1FBDF5C4" w14:textId="77777777" w:rsidTr="00B926DD">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1425" w:type="dxa"/>
          </w:tcPr>
          <w:p w14:paraId="3BA4970B" w14:textId="77777777" w:rsidR="0086415A" w:rsidRPr="000973F2" w:rsidRDefault="0086415A" w:rsidP="00206831">
            <w:pPr>
              <w:keepNext/>
              <w:spacing w:before="40" w:after="4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QA/QC</w:t>
            </w:r>
          </w:p>
        </w:tc>
        <w:tc>
          <w:tcPr>
            <w:tcW w:w="810" w:type="dxa"/>
            <w:noWrap/>
          </w:tcPr>
          <w:p w14:paraId="34435BF6" w14:textId="77777777" w:rsidR="0086415A" w:rsidRPr="000973F2" w:rsidRDefault="0086415A" w:rsidP="00206831">
            <w:pPr>
              <w:keepNext/>
              <w:tabs>
                <w:tab w:val="decimal" w:pos="316"/>
              </w:tabs>
              <w:spacing w:before="40" w:after="4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0</w:t>
            </w:r>
          </w:p>
        </w:tc>
        <w:tc>
          <w:tcPr>
            <w:tcW w:w="810" w:type="dxa"/>
            <w:noWrap/>
          </w:tcPr>
          <w:p w14:paraId="172BB37A" w14:textId="77777777" w:rsidR="0086415A" w:rsidRPr="000973F2" w:rsidRDefault="0086415A" w:rsidP="00206831">
            <w:pPr>
              <w:keepNext/>
              <w:tabs>
                <w:tab w:val="decimal" w:pos="316"/>
              </w:tabs>
              <w:spacing w:before="40" w:after="4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0</w:t>
            </w:r>
          </w:p>
        </w:tc>
        <w:tc>
          <w:tcPr>
            <w:tcW w:w="810" w:type="dxa"/>
            <w:noWrap/>
          </w:tcPr>
          <w:p w14:paraId="02911143" w14:textId="77777777" w:rsidR="0086415A" w:rsidRPr="000973F2" w:rsidRDefault="0086415A" w:rsidP="00206831">
            <w:pPr>
              <w:keepNext/>
              <w:tabs>
                <w:tab w:val="decimal" w:pos="316"/>
              </w:tabs>
              <w:spacing w:before="40" w:after="4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0</w:t>
            </w:r>
          </w:p>
        </w:tc>
        <w:tc>
          <w:tcPr>
            <w:tcW w:w="810" w:type="dxa"/>
            <w:noWrap/>
          </w:tcPr>
          <w:p w14:paraId="124FE4D3" w14:textId="77777777" w:rsidR="0086415A" w:rsidRPr="000973F2" w:rsidRDefault="0086415A" w:rsidP="00206831">
            <w:pPr>
              <w:keepNext/>
              <w:tabs>
                <w:tab w:val="decimal" w:pos="316"/>
              </w:tabs>
              <w:spacing w:before="40" w:after="4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2.0</w:t>
            </w:r>
          </w:p>
        </w:tc>
        <w:tc>
          <w:tcPr>
            <w:tcW w:w="810" w:type="dxa"/>
            <w:noWrap/>
          </w:tcPr>
          <w:p w14:paraId="1E0A2FF3" w14:textId="77777777" w:rsidR="0086415A" w:rsidRPr="000973F2" w:rsidRDefault="0086415A" w:rsidP="00206831">
            <w:pPr>
              <w:keepNext/>
              <w:tabs>
                <w:tab w:val="decimal" w:pos="316"/>
              </w:tabs>
              <w:spacing w:before="40" w:after="4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0</w:t>
            </w:r>
          </w:p>
        </w:tc>
        <w:tc>
          <w:tcPr>
            <w:tcW w:w="810" w:type="dxa"/>
            <w:noWrap/>
          </w:tcPr>
          <w:p w14:paraId="07DE37BA" w14:textId="77777777" w:rsidR="0086415A" w:rsidRPr="000973F2" w:rsidRDefault="0086415A" w:rsidP="00206831">
            <w:pPr>
              <w:keepNext/>
              <w:tabs>
                <w:tab w:val="decimal" w:pos="316"/>
              </w:tabs>
              <w:spacing w:before="40" w:after="4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20</w:t>
            </w:r>
          </w:p>
        </w:tc>
        <w:tc>
          <w:tcPr>
            <w:tcW w:w="810" w:type="dxa"/>
            <w:noWrap/>
          </w:tcPr>
          <w:p w14:paraId="730C81C1" w14:textId="77777777" w:rsidR="0086415A" w:rsidRPr="000973F2" w:rsidRDefault="0086415A" w:rsidP="00206831">
            <w:pPr>
              <w:keepNext/>
              <w:tabs>
                <w:tab w:val="decimal" w:pos="316"/>
              </w:tabs>
              <w:spacing w:before="40" w:after="4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0</w:t>
            </w:r>
          </w:p>
        </w:tc>
        <w:tc>
          <w:tcPr>
            <w:tcW w:w="810" w:type="dxa"/>
            <w:noWrap/>
          </w:tcPr>
          <w:p w14:paraId="41DAC93E" w14:textId="77777777" w:rsidR="0086415A" w:rsidRPr="000973F2" w:rsidRDefault="0086415A" w:rsidP="00206831">
            <w:pPr>
              <w:keepNext/>
              <w:tabs>
                <w:tab w:val="decimal" w:pos="316"/>
              </w:tabs>
              <w:spacing w:before="40" w:after="4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2.0</w:t>
            </w:r>
          </w:p>
        </w:tc>
        <w:tc>
          <w:tcPr>
            <w:tcW w:w="630" w:type="dxa"/>
            <w:noWrap/>
          </w:tcPr>
          <w:p w14:paraId="01671A62" w14:textId="77777777" w:rsidR="0086415A" w:rsidRPr="000973F2" w:rsidRDefault="0086415A" w:rsidP="00206831">
            <w:pPr>
              <w:keepNext/>
              <w:tabs>
                <w:tab w:val="decimal" w:pos="316"/>
              </w:tabs>
              <w:spacing w:before="40" w:after="4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$0</w:t>
            </w:r>
          </w:p>
        </w:tc>
        <w:tc>
          <w:tcPr>
            <w:tcW w:w="795" w:type="dxa"/>
            <w:noWrap/>
          </w:tcPr>
          <w:p w14:paraId="6B6BC052" w14:textId="77777777" w:rsidR="0086415A" w:rsidRPr="000973F2" w:rsidRDefault="0086415A" w:rsidP="00206831">
            <w:pPr>
              <w:keepNext/>
              <w:tabs>
                <w:tab w:val="decimal" w:pos="511"/>
              </w:tabs>
              <w:spacing w:before="40" w:after="4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$1,676</w:t>
            </w:r>
          </w:p>
        </w:tc>
      </w:tr>
      <w:tr w:rsidR="0086415A" w:rsidRPr="000973F2" w14:paraId="327214DB" w14:textId="77777777" w:rsidTr="00B926DD">
        <w:trPr>
          <w:cantSplit/>
        </w:trPr>
        <w:tc>
          <w:tcPr>
            <w:cnfStyle w:val="001000000000" w:firstRow="0" w:lastRow="0" w:firstColumn="1" w:lastColumn="0" w:oddVBand="0" w:evenVBand="0" w:oddHBand="0" w:evenHBand="0" w:firstRowFirstColumn="0" w:firstRowLastColumn="0" w:lastRowFirstColumn="0" w:lastRowLastColumn="0"/>
            <w:tcW w:w="1425" w:type="dxa"/>
          </w:tcPr>
          <w:p w14:paraId="558A157A" w14:textId="77777777" w:rsidR="0086415A" w:rsidRPr="000973F2" w:rsidRDefault="0086415A" w:rsidP="00206831">
            <w:pPr>
              <w:keepNext/>
              <w:spacing w:before="40" w:after="4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Recordkeeping</w:t>
            </w:r>
          </w:p>
        </w:tc>
        <w:tc>
          <w:tcPr>
            <w:tcW w:w="810" w:type="dxa"/>
            <w:noWrap/>
          </w:tcPr>
          <w:p w14:paraId="2D66C8C8" w14:textId="77777777" w:rsidR="0086415A" w:rsidRPr="000973F2" w:rsidRDefault="0086415A" w:rsidP="00206831">
            <w:pPr>
              <w:keepNext/>
              <w:tabs>
                <w:tab w:val="decimal" w:pos="316"/>
              </w:tabs>
              <w:spacing w:before="40" w:after="4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0</w:t>
            </w:r>
          </w:p>
        </w:tc>
        <w:tc>
          <w:tcPr>
            <w:tcW w:w="810" w:type="dxa"/>
            <w:noWrap/>
          </w:tcPr>
          <w:p w14:paraId="5B3163DE" w14:textId="77777777" w:rsidR="0086415A" w:rsidRPr="000973F2" w:rsidRDefault="0086415A" w:rsidP="00206831">
            <w:pPr>
              <w:keepNext/>
              <w:tabs>
                <w:tab w:val="decimal" w:pos="316"/>
              </w:tabs>
              <w:spacing w:before="40" w:after="4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0</w:t>
            </w:r>
          </w:p>
        </w:tc>
        <w:tc>
          <w:tcPr>
            <w:tcW w:w="810" w:type="dxa"/>
            <w:noWrap/>
          </w:tcPr>
          <w:p w14:paraId="10D112DE" w14:textId="77777777" w:rsidR="0086415A" w:rsidRPr="000973F2" w:rsidRDefault="0086415A" w:rsidP="00206831">
            <w:pPr>
              <w:keepNext/>
              <w:tabs>
                <w:tab w:val="decimal" w:pos="316"/>
              </w:tabs>
              <w:spacing w:before="40" w:after="4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0</w:t>
            </w:r>
          </w:p>
        </w:tc>
        <w:tc>
          <w:tcPr>
            <w:tcW w:w="810" w:type="dxa"/>
            <w:noWrap/>
          </w:tcPr>
          <w:p w14:paraId="3FCD929C" w14:textId="77777777" w:rsidR="0086415A" w:rsidRPr="000973F2" w:rsidRDefault="0086415A" w:rsidP="00206831">
            <w:pPr>
              <w:keepNext/>
              <w:tabs>
                <w:tab w:val="decimal" w:pos="316"/>
              </w:tabs>
              <w:spacing w:before="40" w:after="4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0.5</w:t>
            </w:r>
          </w:p>
        </w:tc>
        <w:tc>
          <w:tcPr>
            <w:tcW w:w="810" w:type="dxa"/>
            <w:noWrap/>
          </w:tcPr>
          <w:p w14:paraId="4C7E3AD8" w14:textId="77777777" w:rsidR="0086415A" w:rsidRPr="000973F2" w:rsidRDefault="0086415A" w:rsidP="00206831">
            <w:pPr>
              <w:keepNext/>
              <w:tabs>
                <w:tab w:val="decimal" w:pos="316"/>
              </w:tabs>
              <w:spacing w:before="40" w:after="4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0</w:t>
            </w:r>
          </w:p>
        </w:tc>
        <w:tc>
          <w:tcPr>
            <w:tcW w:w="810" w:type="dxa"/>
            <w:noWrap/>
          </w:tcPr>
          <w:p w14:paraId="21A457F2" w14:textId="77777777" w:rsidR="0086415A" w:rsidRPr="000973F2" w:rsidRDefault="0086415A" w:rsidP="00206831">
            <w:pPr>
              <w:keepNext/>
              <w:tabs>
                <w:tab w:val="decimal" w:pos="316"/>
              </w:tabs>
              <w:spacing w:before="40" w:after="4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5</w:t>
            </w:r>
          </w:p>
        </w:tc>
        <w:tc>
          <w:tcPr>
            <w:tcW w:w="810" w:type="dxa"/>
            <w:noWrap/>
          </w:tcPr>
          <w:p w14:paraId="38CEB2D6" w14:textId="77777777" w:rsidR="0086415A" w:rsidRPr="000973F2" w:rsidRDefault="0086415A" w:rsidP="00206831">
            <w:pPr>
              <w:keepNext/>
              <w:tabs>
                <w:tab w:val="decimal" w:pos="316"/>
              </w:tabs>
              <w:spacing w:before="40" w:after="4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0</w:t>
            </w:r>
          </w:p>
        </w:tc>
        <w:tc>
          <w:tcPr>
            <w:tcW w:w="810" w:type="dxa"/>
            <w:noWrap/>
          </w:tcPr>
          <w:p w14:paraId="6CAF8000" w14:textId="77777777" w:rsidR="0086415A" w:rsidRPr="000973F2" w:rsidRDefault="0086415A" w:rsidP="00206831">
            <w:pPr>
              <w:keepNext/>
              <w:tabs>
                <w:tab w:val="decimal" w:pos="316"/>
              </w:tabs>
              <w:spacing w:before="40" w:after="4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0.5</w:t>
            </w:r>
          </w:p>
        </w:tc>
        <w:tc>
          <w:tcPr>
            <w:tcW w:w="630" w:type="dxa"/>
            <w:noWrap/>
          </w:tcPr>
          <w:p w14:paraId="23CE6C0C" w14:textId="77777777" w:rsidR="0086415A" w:rsidRPr="000973F2" w:rsidRDefault="0086415A" w:rsidP="00206831">
            <w:pPr>
              <w:keepNext/>
              <w:tabs>
                <w:tab w:val="decimal" w:pos="316"/>
              </w:tabs>
              <w:spacing w:before="40" w:after="4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$0</w:t>
            </w:r>
          </w:p>
        </w:tc>
        <w:tc>
          <w:tcPr>
            <w:tcW w:w="795" w:type="dxa"/>
            <w:noWrap/>
          </w:tcPr>
          <w:p w14:paraId="4113DF80" w14:textId="77777777" w:rsidR="0086415A" w:rsidRPr="000973F2" w:rsidRDefault="0086415A" w:rsidP="00206831">
            <w:pPr>
              <w:keepNext/>
              <w:tabs>
                <w:tab w:val="decimal" w:pos="511"/>
              </w:tabs>
              <w:spacing w:before="40" w:after="4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$419</w:t>
            </w:r>
          </w:p>
        </w:tc>
      </w:tr>
      <w:tr w:rsidR="0086415A" w:rsidRPr="000973F2" w14:paraId="21AE0DAA" w14:textId="77777777" w:rsidTr="00B926DD">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1425" w:type="dxa"/>
          </w:tcPr>
          <w:p w14:paraId="5D96E9DA" w14:textId="77777777" w:rsidR="0086415A" w:rsidRPr="000973F2" w:rsidRDefault="0086415A" w:rsidP="00206831">
            <w:pPr>
              <w:keepNext/>
              <w:spacing w:before="40" w:after="4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Sampling and Analysis (Calculations)</w:t>
            </w:r>
          </w:p>
        </w:tc>
        <w:tc>
          <w:tcPr>
            <w:tcW w:w="810" w:type="dxa"/>
            <w:noWrap/>
          </w:tcPr>
          <w:p w14:paraId="0196374D" w14:textId="77777777" w:rsidR="0086415A" w:rsidRPr="000973F2" w:rsidRDefault="0086415A" w:rsidP="00206831">
            <w:pPr>
              <w:keepNext/>
              <w:tabs>
                <w:tab w:val="decimal" w:pos="316"/>
              </w:tabs>
              <w:spacing w:before="40" w:after="4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0</w:t>
            </w:r>
          </w:p>
        </w:tc>
        <w:tc>
          <w:tcPr>
            <w:tcW w:w="810" w:type="dxa"/>
            <w:noWrap/>
          </w:tcPr>
          <w:p w14:paraId="7AD4360C" w14:textId="77777777" w:rsidR="0086415A" w:rsidRPr="000973F2" w:rsidRDefault="0086415A" w:rsidP="00206831">
            <w:pPr>
              <w:keepNext/>
              <w:tabs>
                <w:tab w:val="decimal" w:pos="316"/>
              </w:tabs>
              <w:spacing w:before="40" w:after="4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0</w:t>
            </w:r>
          </w:p>
        </w:tc>
        <w:tc>
          <w:tcPr>
            <w:tcW w:w="810" w:type="dxa"/>
            <w:noWrap/>
          </w:tcPr>
          <w:p w14:paraId="3A2A6997" w14:textId="77777777" w:rsidR="0086415A" w:rsidRPr="000973F2" w:rsidRDefault="0086415A" w:rsidP="00206831">
            <w:pPr>
              <w:keepNext/>
              <w:tabs>
                <w:tab w:val="decimal" w:pos="316"/>
              </w:tabs>
              <w:spacing w:before="40" w:after="4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0</w:t>
            </w:r>
          </w:p>
        </w:tc>
        <w:tc>
          <w:tcPr>
            <w:tcW w:w="810" w:type="dxa"/>
            <w:noWrap/>
          </w:tcPr>
          <w:p w14:paraId="08219535" w14:textId="77777777" w:rsidR="0086415A" w:rsidRPr="000973F2" w:rsidRDefault="0086415A" w:rsidP="00206831">
            <w:pPr>
              <w:keepNext/>
              <w:tabs>
                <w:tab w:val="decimal" w:pos="316"/>
              </w:tabs>
              <w:spacing w:before="40" w:after="4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2.4</w:t>
            </w:r>
          </w:p>
        </w:tc>
        <w:tc>
          <w:tcPr>
            <w:tcW w:w="810" w:type="dxa"/>
            <w:noWrap/>
          </w:tcPr>
          <w:p w14:paraId="0B65D372" w14:textId="77777777" w:rsidR="0086415A" w:rsidRPr="000973F2" w:rsidRDefault="0086415A" w:rsidP="00206831">
            <w:pPr>
              <w:keepNext/>
              <w:tabs>
                <w:tab w:val="decimal" w:pos="316"/>
              </w:tabs>
              <w:spacing w:before="40" w:after="4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0</w:t>
            </w:r>
          </w:p>
        </w:tc>
        <w:tc>
          <w:tcPr>
            <w:tcW w:w="810" w:type="dxa"/>
            <w:noWrap/>
          </w:tcPr>
          <w:p w14:paraId="5C6D70F0" w14:textId="77777777" w:rsidR="0086415A" w:rsidRPr="000973F2" w:rsidRDefault="0086415A" w:rsidP="00206831">
            <w:pPr>
              <w:keepNext/>
              <w:tabs>
                <w:tab w:val="decimal" w:pos="316"/>
              </w:tabs>
              <w:spacing w:before="40" w:after="4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23.9</w:t>
            </w:r>
          </w:p>
        </w:tc>
        <w:tc>
          <w:tcPr>
            <w:tcW w:w="810" w:type="dxa"/>
            <w:noWrap/>
          </w:tcPr>
          <w:p w14:paraId="6D928DB0" w14:textId="77777777" w:rsidR="0086415A" w:rsidRPr="000973F2" w:rsidRDefault="0086415A" w:rsidP="00206831">
            <w:pPr>
              <w:keepNext/>
              <w:tabs>
                <w:tab w:val="decimal" w:pos="316"/>
              </w:tabs>
              <w:spacing w:before="40" w:after="4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0</w:t>
            </w:r>
          </w:p>
        </w:tc>
        <w:tc>
          <w:tcPr>
            <w:tcW w:w="810" w:type="dxa"/>
            <w:noWrap/>
          </w:tcPr>
          <w:p w14:paraId="2A52855C" w14:textId="77777777" w:rsidR="0086415A" w:rsidRPr="000973F2" w:rsidRDefault="0086415A" w:rsidP="00206831">
            <w:pPr>
              <w:keepNext/>
              <w:tabs>
                <w:tab w:val="decimal" w:pos="316"/>
              </w:tabs>
              <w:spacing w:before="40" w:after="4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2.4</w:t>
            </w:r>
          </w:p>
        </w:tc>
        <w:tc>
          <w:tcPr>
            <w:tcW w:w="630" w:type="dxa"/>
            <w:noWrap/>
          </w:tcPr>
          <w:p w14:paraId="3AD2EDF8" w14:textId="77777777" w:rsidR="0086415A" w:rsidRPr="000973F2" w:rsidRDefault="0086415A" w:rsidP="00206831">
            <w:pPr>
              <w:keepNext/>
              <w:tabs>
                <w:tab w:val="decimal" w:pos="316"/>
              </w:tabs>
              <w:spacing w:before="40" w:after="4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$0</w:t>
            </w:r>
          </w:p>
        </w:tc>
        <w:tc>
          <w:tcPr>
            <w:tcW w:w="795" w:type="dxa"/>
            <w:noWrap/>
          </w:tcPr>
          <w:p w14:paraId="49000AE0" w14:textId="77777777" w:rsidR="0086415A" w:rsidRPr="000973F2" w:rsidRDefault="0086415A" w:rsidP="00206831">
            <w:pPr>
              <w:keepNext/>
              <w:tabs>
                <w:tab w:val="decimal" w:pos="511"/>
              </w:tabs>
              <w:spacing w:before="40" w:after="4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$2,001</w:t>
            </w:r>
          </w:p>
        </w:tc>
      </w:tr>
      <w:tr w:rsidR="00FE5692" w:rsidRPr="000973F2" w14:paraId="053B3623" w14:textId="77777777" w:rsidTr="00B926DD">
        <w:trPr>
          <w:cantSplit/>
        </w:trPr>
        <w:tc>
          <w:tcPr>
            <w:cnfStyle w:val="001000000000" w:firstRow="0" w:lastRow="0" w:firstColumn="1" w:lastColumn="0" w:oddVBand="0" w:evenVBand="0" w:oddHBand="0" w:evenHBand="0" w:firstRowFirstColumn="0" w:firstRowLastColumn="0" w:lastRowFirstColumn="0" w:lastRowLastColumn="0"/>
            <w:tcW w:w="1425" w:type="dxa"/>
          </w:tcPr>
          <w:p w14:paraId="2D4F07E1" w14:textId="77777777" w:rsidR="0086415A" w:rsidRPr="000973F2" w:rsidRDefault="0086415A" w:rsidP="00206831">
            <w:pPr>
              <w:keepNext/>
              <w:spacing w:before="40" w:after="4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Reporting</w:t>
            </w:r>
          </w:p>
        </w:tc>
        <w:tc>
          <w:tcPr>
            <w:tcW w:w="810" w:type="dxa"/>
            <w:noWrap/>
          </w:tcPr>
          <w:p w14:paraId="4BEE0367" w14:textId="77777777" w:rsidR="0086415A" w:rsidRPr="000973F2" w:rsidRDefault="0086415A" w:rsidP="00206831">
            <w:pPr>
              <w:keepNext/>
              <w:tabs>
                <w:tab w:val="decimal" w:pos="316"/>
              </w:tabs>
              <w:spacing w:before="40" w:after="4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0</w:t>
            </w:r>
          </w:p>
        </w:tc>
        <w:tc>
          <w:tcPr>
            <w:tcW w:w="810" w:type="dxa"/>
            <w:noWrap/>
          </w:tcPr>
          <w:p w14:paraId="050556E5" w14:textId="77777777" w:rsidR="0086415A" w:rsidRPr="000973F2" w:rsidRDefault="0086415A" w:rsidP="00206831">
            <w:pPr>
              <w:keepNext/>
              <w:tabs>
                <w:tab w:val="decimal" w:pos="316"/>
              </w:tabs>
              <w:spacing w:before="40" w:after="4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0</w:t>
            </w:r>
          </w:p>
        </w:tc>
        <w:tc>
          <w:tcPr>
            <w:tcW w:w="810" w:type="dxa"/>
            <w:noWrap/>
          </w:tcPr>
          <w:p w14:paraId="38E345D1" w14:textId="77777777" w:rsidR="0086415A" w:rsidRPr="000973F2" w:rsidRDefault="0086415A" w:rsidP="00206831">
            <w:pPr>
              <w:keepNext/>
              <w:tabs>
                <w:tab w:val="decimal" w:pos="316"/>
              </w:tabs>
              <w:spacing w:before="40" w:after="4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0</w:t>
            </w:r>
          </w:p>
        </w:tc>
        <w:tc>
          <w:tcPr>
            <w:tcW w:w="810" w:type="dxa"/>
            <w:noWrap/>
          </w:tcPr>
          <w:p w14:paraId="01FA265E" w14:textId="77777777" w:rsidR="0086415A" w:rsidRPr="000973F2" w:rsidRDefault="0086415A" w:rsidP="00206831">
            <w:pPr>
              <w:keepNext/>
              <w:tabs>
                <w:tab w:val="decimal" w:pos="316"/>
              </w:tabs>
              <w:spacing w:before="40" w:after="4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1</w:t>
            </w:r>
          </w:p>
        </w:tc>
        <w:tc>
          <w:tcPr>
            <w:tcW w:w="810" w:type="dxa"/>
            <w:noWrap/>
          </w:tcPr>
          <w:p w14:paraId="749E838A" w14:textId="77777777" w:rsidR="0086415A" w:rsidRPr="000973F2" w:rsidRDefault="0086415A" w:rsidP="00206831">
            <w:pPr>
              <w:keepNext/>
              <w:tabs>
                <w:tab w:val="decimal" w:pos="316"/>
              </w:tabs>
              <w:spacing w:before="40" w:after="4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0</w:t>
            </w:r>
          </w:p>
        </w:tc>
        <w:tc>
          <w:tcPr>
            <w:tcW w:w="810" w:type="dxa"/>
            <w:noWrap/>
          </w:tcPr>
          <w:p w14:paraId="00294976" w14:textId="77777777" w:rsidR="0086415A" w:rsidRPr="000973F2" w:rsidRDefault="0086415A" w:rsidP="00206831">
            <w:pPr>
              <w:keepNext/>
              <w:tabs>
                <w:tab w:val="decimal" w:pos="316"/>
              </w:tabs>
              <w:spacing w:before="40" w:after="4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10</w:t>
            </w:r>
          </w:p>
        </w:tc>
        <w:tc>
          <w:tcPr>
            <w:tcW w:w="810" w:type="dxa"/>
            <w:noWrap/>
          </w:tcPr>
          <w:p w14:paraId="4AF3F5E1" w14:textId="77777777" w:rsidR="0086415A" w:rsidRPr="000973F2" w:rsidRDefault="0086415A" w:rsidP="00206831">
            <w:pPr>
              <w:keepNext/>
              <w:tabs>
                <w:tab w:val="decimal" w:pos="316"/>
              </w:tabs>
              <w:spacing w:before="40" w:after="4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0</w:t>
            </w:r>
          </w:p>
        </w:tc>
        <w:tc>
          <w:tcPr>
            <w:tcW w:w="810" w:type="dxa"/>
            <w:noWrap/>
          </w:tcPr>
          <w:p w14:paraId="0C2C938E" w14:textId="77777777" w:rsidR="0086415A" w:rsidRPr="000973F2" w:rsidRDefault="0086415A" w:rsidP="00206831">
            <w:pPr>
              <w:keepNext/>
              <w:tabs>
                <w:tab w:val="decimal" w:pos="316"/>
              </w:tabs>
              <w:spacing w:before="40" w:after="4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1</w:t>
            </w:r>
          </w:p>
        </w:tc>
        <w:tc>
          <w:tcPr>
            <w:tcW w:w="630" w:type="dxa"/>
            <w:noWrap/>
          </w:tcPr>
          <w:p w14:paraId="25257625" w14:textId="77777777" w:rsidR="0086415A" w:rsidRPr="000973F2" w:rsidRDefault="0086415A" w:rsidP="00206831">
            <w:pPr>
              <w:keepNext/>
              <w:tabs>
                <w:tab w:val="decimal" w:pos="316"/>
              </w:tabs>
              <w:spacing w:before="40" w:after="4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$0</w:t>
            </w:r>
          </w:p>
        </w:tc>
        <w:tc>
          <w:tcPr>
            <w:tcW w:w="795" w:type="dxa"/>
            <w:noWrap/>
          </w:tcPr>
          <w:p w14:paraId="29322ED4" w14:textId="77777777" w:rsidR="0086415A" w:rsidRPr="000973F2" w:rsidRDefault="0086415A" w:rsidP="00206831">
            <w:pPr>
              <w:keepNext/>
              <w:tabs>
                <w:tab w:val="decimal" w:pos="511"/>
              </w:tabs>
              <w:spacing w:before="40" w:after="4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$838</w:t>
            </w:r>
          </w:p>
        </w:tc>
      </w:tr>
      <w:tr w:rsidR="0086415A" w:rsidRPr="000973F2" w14:paraId="65A2A1A9" w14:textId="77777777" w:rsidTr="00B926DD">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1425" w:type="dxa"/>
            <w:noWrap/>
          </w:tcPr>
          <w:p w14:paraId="4B989C41" w14:textId="77777777" w:rsidR="0086415A" w:rsidRPr="000973F2" w:rsidRDefault="0086415A" w:rsidP="00206831">
            <w:pPr>
              <w:keepNext/>
              <w:spacing w:before="40" w:after="40"/>
              <w:rPr>
                <w:rFonts w:ascii="Times New Roman" w:eastAsia="Times New Roman" w:hAnsi="Times New Roman" w:cs="Times New Roman"/>
                <w:b/>
                <w:bCs w:val="0"/>
                <w:sz w:val="18"/>
                <w:szCs w:val="18"/>
              </w:rPr>
            </w:pPr>
            <w:r w:rsidRPr="000973F2">
              <w:rPr>
                <w:rFonts w:ascii="Times New Roman" w:eastAsia="Times New Roman" w:hAnsi="Times New Roman" w:cs="Times New Roman"/>
                <w:b/>
                <w:sz w:val="18"/>
                <w:szCs w:val="18"/>
              </w:rPr>
              <w:t>Total</w:t>
            </w:r>
          </w:p>
        </w:tc>
        <w:tc>
          <w:tcPr>
            <w:tcW w:w="810" w:type="dxa"/>
            <w:noWrap/>
          </w:tcPr>
          <w:p w14:paraId="38AF44A7" w14:textId="77777777" w:rsidR="0086415A" w:rsidRPr="000973F2" w:rsidRDefault="0086415A" w:rsidP="00206831">
            <w:pPr>
              <w:keepNext/>
              <w:tabs>
                <w:tab w:val="decimal" w:pos="316"/>
              </w:tabs>
              <w:spacing w:before="40" w:after="4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18"/>
                <w:szCs w:val="18"/>
              </w:rPr>
            </w:pPr>
            <w:r w:rsidRPr="000973F2">
              <w:rPr>
                <w:rFonts w:ascii="Times New Roman" w:eastAsia="Times New Roman" w:hAnsi="Times New Roman" w:cs="Times New Roman"/>
                <w:b/>
                <w:bCs/>
                <w:sz w:val="18"/>
                <w:szCs w:val="18"/>
              </w:rPr>
              <w:t>0</w:t>
            </w:r>
          </w:p>
        </w:tc>
        <w:tc>
          <w:tcPr>
            <w:tcW w:w="810" w:type="dxa"/>
            <w:noWrap/>
          </w:tcPr>
          <w:p w14:paraId="36E988BE" w14:textId="77777777" w:rsidR="0086415A" w:rsidRPr="000973F2" w:rsidRDefault="0086415A" w:rsidP="00206831">
            <w:pPr>
              <w:keepNext/>
              <w:tabs>
                <w:tab w:val="decimal" w:pos="316"/>
              </w:tabs>
              <w:spacing w:before="40" w:after="4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18"/>
                <w:szCs w:val="18"/>
              </w:rPr>
            </w:pPr>
            <w:r w:rsidRPr="000973F2">
              <w:rPr>
                <w:rFonts w:ascii="Times New Roman" w:eastAsia="Times New Roman" w:hAnsi="Times New Roman" w:cs="Times New Roman"/>
                <w:b/>
                <w:bCs/>
                <w:sz w:val="18"/>
                <w:szCs w:val="18"/>
              </w:rPr>
              <w:t>2</w:t>
            </w:r>
          </w:p>
        </w:tc>
        <w:tc>
          <w:tcPr>
            <w:tcW w:w="810" w:type="dxa"/>
            <w:noWrap/>
          </w:tcPr>
          <w:p w14:paraId="382FC534" w14:textId="77777777" w:rsidR="0086415A" w:rsidRPr="000973F2" w:rsidRDefault="0086415A" w:rsidP="00206831">
            <w:pPr>
              <w:keepNext/>
              <w:tabs>
                <w:tab w:val="decimal" w:pos="316"/>
              </w:tabs>
              <w:spacing w:before="40" w:after="4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18"/>
                <w:szCs w:val="18"/>
              </w:rPr>
            </w:pPr>
            <w:r w:rsidRPr="000973F2">
              <w:rPr>
                <w:rFonts w:ascii="Times New Roman" w:eastAsia="Times New Roman" w:hAnsi="Times New Roman" w:cs="Times New Roman"/>
                <w:b/>
                <w:bCs/>
                <w:sz w:val="18"/>
                <w:szCs w:val="18"/>
              </w:rPr>
              <w:t>0</w:t>
            </w:r>
          </w:p>
        </w:tc>
        <w:tc>
          <w:tcPr>
            <w:tcW w:w="810" w:type="dxa"/>
            <w:noWrap/>
          </w:tcPr>
          <w:p w14:paraId="1BAD301D" w14:textId="77777777" w:rsidR="0086415A" w:rsidRPr="000973F2" w:rsidRDefault="0086415A" w:rsidP="00206831">
            <w:pPr>
              <w:keepNext/>
              <w:tabs>
                <w:tab w:val="decimal" w:pos="316"/>
              </w:tabs>
              <w:spacing w:before="40" w:after="4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18"/>
                <w:szCs w:val="18"/>
              </w:rPr>
            </w:pPr>
            <w:r w:rsidRPr="000973F2">
              <w:rPr>
                <w:rFonts w:ascii="Times New Roman" w:eastAsia="Times New Roman" w:hAnsi="Times New Roman" w:cs="Times New Roman"/>
                <w:b/>
                <w:bCs/>
                <w:sz w:val="18"/>
                <w:szCs w:val="18"/>
              </w:rPr>
              <w:t>7.1</w:t>
            </w:r>
          </w:p>
        </w:tc>
        <w:tc>
          <w:tcPr>
            <w:tcW w:w="810" w:type="dxa"/>
            <w:noWrap/>
          </w:tcPr>
          <w:p w14:paraId="5E1B824E" w14:textId="77777777" w:rsidR="0086415A" w:rsidRPr="000973F2" w:rsidRDefault="0086415A" w:rsidP="00206831">
            <w:pPr>
              <w:keepNext/>
              <w:tabs>
                <w:tab w:val="decimal" w:pos="316"/>
              </w:tabs>
              <w:spacing w:before="40" w:after="4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18"/>
                <w:szCs w:val="18"/>
              </w:rPr>
            </w:pPr>
            <w:r w:rsidRPr="000973F2">
              <w:rPr>
                <w:rFonts w:ascii="Times New Roman" w:eastAsia="Times New Roman" w:hAnsi="Times New Roman" w:cs="Times New Roman"/>
                <w:b/>
                <w:bCs/>
                <w:sz w:val="18"/>
                <w:szCs w:val="18"/>
              </w:rPr>
              <w:t>0</w:t>
            </w:r>
          </w:p>
        </w:tc>
        <w:tc>
          <w:tcPr>
            <w:tcW w:w="810" w:type="dxa"/>
            <w:noWrap/>
          </w:tcPr>
          <w:p w14:paraId="6062C5E6" w14:textId="77777777" w:rsidR="0086415A" w:rsidRPr="000973F2" w:rsidRDefault="0086415A" w:rsidP="00206831">
            <w:pPr>
              <w:keepNext/>
              <w:tabs>
                <w:tab w:val="decimal" w:pos="316"/>
              </w:tabs>
              <w:spacing w:before="40" w:after="4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18"/>
                <w:szCs w:val="18"/>
              </w:rPr>
            </w:pPr>
            <w:r w:rsidRPr="000973F2">
              <w:rPr>
                <w:rFonts w:ascii="Times New Roman" w:eastAsia="Times New Roman" w:hAnsi="Times New Roman" w:cs="Times New Roman"/>
                <w:b/>
                <w:bCs/>
                <w:sz w:val="18"/>
                <w:szCs w:val="18"/>
              </w:rPr>
              <w:t>70.9</w:t>
            </w:r>
          </w:p>
        </w:tc>
        <w:tc>
          <w:tcPr>
            <w:tcW w:w="810" w:type="dxa"/>
            <w:noWrap/>
          </w:tcPr>
          <w:p w14:paraId="484EE10B" w14:textId="77777777" w:rsidR="0086415A" w:rsidRPr="000973F2" w:rsidRDefault="0086415A" w:rsidP="00206831">
            <w:pPr>
              <w:keepNext/>
              <w:tabs>
                <w:tab w:val="decimal" w:pos="316"/>
              </w:tabs>
              <w:spacing w:before="40" w:after="4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18"/>
                <w:szCs w:val="18"/>
              </w:rPr>
            </w:pPr>
            <w:r w:rsidRPr="000973F2">
              <w:rPr>
                <w:rFonts w:ascii="Times New Roman" w:eastAsia="Times New Roman" w:hAnsi="Times New Roman" w:cs="Times New Roman"/>
                <w:b/>
                <w:bCs/>
                <w:sz w:val="18"/>
                <w:szCs w:val="18"/>
              </w:rPr>
              <w:t>0</w:t>
            </w:r>
          </w:p>
        </w:tc>
        <w:tc>
          <w:tcPr>
            <w:tcW w:w="810" w:type="dxa"/>
            <w:noWrap/>
          </w:tcPr>
          <w:p w14:paraId="151C50B2" w14:textId="77777777" w:rsidR="0086415A" w:rsidRPr="000973F2" w:rsidRDefault="0086415A" w:rsidP="00206831">
            <w:pPr>
              <w:keepNext/>
              <w:tabs>
                <w:tab w:val="decimal" w:pos="316"/>
              </w:tabs>
              <w:spacing w:before="40" w:after="4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18"/>
                <w:szCs w:val="18"/>
              </w:rPr>
            </w:pPr>
            <w:r w:rsidRPr="000973F2">
              <w:rPr>
                <w:rFonts w:ascii="Times New Roman" w:eastAsia="Times New Roman" w:hAnsi="Times New Roman" w:cs="Times New Roman"/>
                <w:b/>
                <w:bCs/>
                <w:sz w:val="18"/>
                <w:szCs w:val="18"/>
              </w:rPr>
              <w:t>7.1</w:t>
            </w:r>
          </w:p>
        </w:tc>
        <w:tc>
          <w:tcPr>
            <w:tcW w:w="630" w:type="dxa"/>
            <w:noWrap/>
          </w:tcPr>
          <w:p w14:paraId="7A506D24" w14:textId="77777777" w:rsidR="0086415A" w:rsidRPr="000973F2" w:rsidRDefault="0086415A" w:rsidP="00206831">
            <w:pPr>
              <w:keepNext/>
              <w:tabs>
                <w:tab w:val="decimal" w:pos="316"/>
              </w:tabs>
              <w:spacing w:before="40" w:after="4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18"/>
                <w:szCs w:val="18"/>
              </w:rPr>
            </w:pPr>
            <w:r w:rsidRPr="000973F2">
              <w:rPr>
                <w:rFonts w:ascii="Times New Roman" w:eastAsia="Times New Roman" w:hAnsi="Times New Roman" w:cs="Times New Roman"/>
                <w:b/>
                <w:bCs/>
                <w:sz w:val="18"/>
                <w:szCs w:val="18"/>
              </w:rPr>
              <w:t>$0</w:t>
            </w:r>
          </w:p>
        </w:tc>
        <w:tc>
          <w:tcPr>
            <w:tcW w:w="795" w:type="dxa"/>
            <w:noWrap/>
          </w:tcPr>
          <w:p w14:paraId="7A77EBEB" w14:textId="77777777" w:rsidR="0086415A" w:rsidRPr="000973F2" w:rsidRDefault="0086415A" w:rsidP="00206831">
            <w:pPr>
              <w:keepNext/>
              <w:tabs>
                <w:tab w:val="decimal" w:pos="511"/>
              </w:tabs>
              <w:spacing w:before="40" w:after="4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18"/>
                <w:szCs w:val="18"/>
              </w:rPr>
            </w:pPr>
            <w:r w:rsidRPr="000973F2">
              <w:rPr>
                <w:rFonts w:ascii="Times New Roman" w:eastAsia="Times New Roman" w:hAnsi="Times New Roman" w:cs="Times New Roman"/>
                <w:b/>
                <w:bCs/>
                <w:sz w:val="18"/>
                <w:szCs w:val="18"/>
              </w:rPr>
              <w:t>$6,165</w:t>
            </w:r>
          </w:p>
        </w:tc>
      </w:tr>
    </w:tbl>
    <w:p w14:paraId="2B20C403" w14:textId="64006B33" w:rsidR="0086415A" w:rsidRPr="000973F2" w:rsidRDefault="0086415A" w:rsidP="00C00E4F">
      <w:pPr>
        <w:spacing w:line="240" w:lineRule="auto"/>
        <w:rPr>
          <w:rFonts w:ascii="Times New Roman" w:hAnsi="Times New Roman" w:cs="Times New Roman"/>
          <w:sz w:val="18"/>
          <w:szCs w:val="18"/>
        </w:rPr>
      </w:pPr>
    </w:p>
    <w:p w14:paraId="230C64FC" w14:textId="44C3055B" w:rsidR="0086415A" w:rsidRPr="000973F2" w:rsidRDefault="00D826A6" w:rsidP="00C00E4F">
      <w:pPr>
        <w:spacing w:line="240" w:lineRule="auto"/>
        <w:rPr>
          <w:rFonts w:ascii="Times New Roman" w:hAnsi="Times New Roman" w:cs="Times New Roman"/>
          <w:sz w:val="18"/>
          <w:szCs w:val="18"/>
        </w:rPr>
      </w:pPr>
      <w:r w:rsidRPr="000973F2">
        <w:rPr>
          <w:rFonts w:ascii="Times New Roman" w:eastAsia="Times New Roman" w:hAnsi="Times New Roman" w:cs="Times New Roman"/>
          <w:b/>
          <w:bCs/>
          <w:szCs w:val="16"/>
        </w:rPr>
        <w:t xml:space="preserve">Table </w:t>
      </w:r>
      <w:r w:rsidR="00206831" w:rsidRPr="000973F2">
        <w:rPr>
          <w:rFonts w:ascii="Times New Roman" w:eastAsia="Times New Roman" w:hAnsi="Times New Roman" w:cs="Times New Roman"/>
          <w:b/>
          <w:bCs/>
          <w:szCs w:val="16"/>
        </w:rPr>
        <w:t>Y-</w:t>
      </w:r>
      <w:r w:rsidRPr="000973F2">
        <w:rPr>
          <w:rFonts w:ascii="Times New Roman" w:eastAsia="Times New Roman" w:hAnsi="Times New Roman" w:cs="Times New Roman"/>
          <w:b/>
          <w:bCs/>
          <w:szCs w:val="16"/>
        </w:rPr>
        <w:t>2l. Labor Costs</w:t>
      </w:r>
      <w:r w:rsidR="00EE78FC" w:rsidRPr="000973F2">
        <w:rPr>
          <w:rFonts w:ascii="Times New Roman" w:eastAsia="Times New Roman" w:hAnsi="Times New Roman" w:cs="Times New Roman"/>
          <w:b/>
          <w:bCs/>
          <w:szCs w:val="16"/>
        </w:rPr>
        <w:t xml:space="preserve"> </w:t>
      </w:r>
      <w:r w:rsidR="00B960CC" w:rsidRPr="000973F2">
        <w:rPr>
          <w:rFonts w:ascii="Times New Roman" w:eastAsia="Times New Roman" w:hAnsi="Times New Roman" w:cs="Times New Roman"/>
          <w:b/>
          <w:bCs/>
          <w:szCs w:val="16"/>
        </w:rPr>
        <w:t>–</w:t>
      </w:r>
      <w:r w:rsidRPr="000973F2">
        <w:rPr>
          <w:rFonts w:ascii="Times New Roman" w:eastAsia="Times New Roman" w:hAnsi="Times New Roman" w:cs="Times New Roman"/>
          <w:b/>
          <w:bCs/>
          <w:szCs w:val="16"/>
        </w:rPr>
        <w:t xml:space="preserve"> Subpart Y – Very Large Upgrading Refinery</w:t>
      </w:r>
    </w:p>
    <w:tbl>
      <w:tblPr>
        <w:tblStyle w:val="PlainTable1"/>
        <w:tblW w:w="5000" w:type="pct"/>
        <w:jc w:val="left"/>
        <w:tblLayout w:type="fixed"/>
        <w:tblCellMar>
          <w:left w:w="115" w:type="dxa"/>
          <w:right w:w="115" w:type="dxa"/>
        </w:tblCellMar>
        <w:tblLook w:val="04A0" w:firstRow="1" w:lastRow="0" w:firstColumn="1" w:lastColumn="0" w:noHBand="0" w:noVBand="1"/>
      </w:tblPr>
      <w:tblGrid>
        <w:gridCol w:w="1460"/>
        <w:gridCol w:w="841"/>
        <w:gridCol w:w="842"/>
        <w:gridCol w:w="841"/>
        <w:gridCol w:w="842"/>
        <w:gridCol w:w="841"/>
        <w:gridCol w:w="841"/>
        <w:gridCol w:w="841"/>
        <w:gridCol w:w="842"/>
        <w:gridCol w:w="646"/>
        <w:gridCol w:w="753"/>
      </w:tblGrid>
      <w:tr w:rsidR="0086415A" w:rsidRPr="000973F2" w14:paraId="0F3705E2" w14:textId="77777777" w:rsidTr="00B926DD">
        <w:trPr>
          <w:cnfStyle w:val="100000000000" w:firstRow="1" w:lastRow="0" w:firstColumn="0" w:lastColumn="0" w:oddVBand="0" w:evenVBand="0" w:oddHBand="0" w:evenHBand="0" w:firstRowFirstColumn="0" w:firstRowLastColumn="0" w:lastRowFirstColumn="0" w:lastRowLastColumn="0"/>
          <w:cantSplit/>
          <w:jc w:val="left"/>
        </w:trPr>
        <w:tc>
          <w:tcPr>
            <w:cnfStyle w:val="001000000000" w:firstRow="0" w:lastRow="0" w:firstColumn="1" w:lastColumn="0" w:oddVBand="0" w:evenVBand="0" w:oddHBand="0" w:evenHBand="0" w:firstRowFirstColumn="0" w:firstRowLastColumn="0" w:lastRowFirstColumn="0" w:lastRowLastColumn="0"/>
            <w:tcW w:w="1421" w:type="dxa"/>
            <w:vMerge w:val="restart"/>
            <w:noWrap/>
            <w:vAlign w:val="top"/>
          </w:tcPr>
          <w:p w14:paraId="681ED49D" w14:textId="77777777" w:rsidR="0086415A" w:rsidRPr="000973F2" w:rsidRDefault="0086415A" w:rsidP="00206831">
            <w:pPr>
              <w:spacing w:before="40" w:after="40"/>
              <w:rPr>
                <w:rFonts w:ascii="Times New Roman" w:eastAsia="Times New Roman" w:hAnsi="Times New Roman" w:cs="Times New Roman"/>
                <w:bCs w:val="0"/>
                <w:sz w:val="18"/>
                <w:szCs w:val="18"/>
              </w:rPr>
            </w:pPr>
            <w:r w:rsidRPr="000973F2">
              <w:rPr>
                <w:rFonts w:ascii="Times New Roman" w:eastAsia="Times New Roman" w:hAnsi="Times New Roman" w:cs="Times New Roman"/>
                <w:bCs w:val="0"/>
                <w:sz w:val="18"/>
                <w:szCs w:val="18"/>
              </w:rPr>
              <w:t>Activity</w:t>
            </w:r>
          </w:p>
        </w:tc>
        <w:tc>
          <w:tcPr>
            <w:tcW w:w="6548" w:type="dxa"/>
            <w:gridSpan w:val="8"/>
            <w:noWrap/>
            <w:vAlign w:val="top"/>
          </w:tcPr>
          <w:p w14:paraId="01CF865F" w14:textId="77777777" w:rsidR="0086415A" w:rsidRPr="000973F2" w:rsidRDefault="0086415A" w:rsidP="00206831">
            <w:pPr>
              <w:spacing w:before="40" w:after="40"/>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Cs w:val="0"/>
                <w:sz w:val="18"/>
                <w:szCs w:val="18"/>
              </w:rPr>
            </w:pPr>
            <w:r w:rsidRPr="000973F2">
              <w:rPr>
                <w:rFonts w:ascii="Times New Roman" w:eastAsia="Times New Roman" w:hAnsi="Times New Roman" w:cs="Times New Roman"/>
                <w:bCs w:val="0"/>
                <w:sz w:val="18"/>
                <w:szCs w:val="18"/>
              </w:rPr>
              <w:t>Labor Rates (per hour)</w:t>
            </w:r>
          </w:p>
        </w:tc>
        <w:tc>
          <w:tcPr>
            <w:tcW w:w="1361" w:type="dxa"/>
            <w:gridSpan w:val="2"/>
            <w:vMerge w:val="restart"/>
            <w:vAlign w:val="top"/>
          </w:tcPr>
          <w:p w14:paraId="11629D3E" w14:textId="77777777" w:rsidR="0086415A" w:rsidRPr="000973F2" w:rsidRDefault="0086415A" w:rsidP="00206831">
            <w:pPr>
              <w:spacing w:before="40" w:after="40"/>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Cs w:val="0"/>
                <w:sz w:val="18"/>
                <w:szCs w:val="18"/>
              </w:rPr>
            </w:pPr>
            <w:r w:rsidRPr="000973F2">
              <w:rPr>
                <w:rFonts w:ascii="Times New Roman" w:eastAsia="Times New Roman" w:hAnsi="Times New Roman" w:cs="Times New Roman"/>
                <w:bCs w:val="0"/>
                <w:sz w:val="18"/>
                <w:szCs w:val="18"/>
              </w:rPr>
              <w:t>Total Labor Cost per Year per Facility (2017$)</w:t>
            </w:r>
          </w:p>
        </w:tc>
      </w:tr>
      <w:tr w:rsidR="00206831" w:rsidRPr="000973F2" w14:paraId="36DA77DF" w14:textId="77777777" w:rsidTr="00206831">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1421" w:type="dxa"/>
            <w:vMerge/>
          </w:tcPr>
          <w:p w14:paraId="4CE9559D" w14:textId="77777777" w:rsidR="0086415A" w:rsidRPr="000973F2" w:rsidRDefault="0086415A" w:rsidP="00206831">
            <w:pPr>
              <w:spacing w:before="40" w:after="40"/>
              <w:rPr>
                <w:rFonts w:ascii="Times New Roman" w:eastAsia="Times New Roman" w:hAnsi="Times New Roman" w:cs="Times New Roman"/>
                <w:b/>
                <w:bCs w:val="0"/>
                <w:sz w:val="18"/>
                <w:szCs w:val="18"/>
              </w:rPr>
            </w:pPr>
          </w:p>
        </w:tc>
        <w:tc>
          <w:tcPr>
            <w:tcW w:w="1638" w:type="dxa"/>
            <w:gridSpan w:val="2"/>
            <w:noWrap/>
          </w:tcPr>
          <w:p w14:paraId="2E864FD0" w14:textId="77777777" w:rsidR="0086415A" w:rsidRPr="000973F2" w:rsidRDefault="0086415A" w:rsidP="00206831">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18"/>
                <w:szCs w:val="18"/>
              </w:rPr>
            </w:pPr>
            <w:r w:rsidRPr="000973F2">
              <w:rPr>
                <w:rFonts w:ascii="Times New Roman" w:eastAsia="Times New Roman" w:hAnsi="Times New Roman" w:cs="Times New Roman"/>
                <w:b/>
                <w:bCs/>
                <w:sz w:val="18"/>
                <w:szCs w:val="18"/>
              </w:rPr>
              <w:t>Lawyer</w:t>
            </w:r>
          </w:p>
        </w:tc>
        <w:tc>
          <w:tcPr>
            <w:tcW w:w="1637" w:type="dxa"/>
            <w:gridSpan w:val="2"/>
            <w:noWrap/>
          </w:tcPr>
          <w:p w14:paraId="71B0A7FD" w14:textId="77777777" w:rsidR="0086415A" w:rsidRPr="000973F2" w:rsidRDefault="0086415A" w:rsidP="00206831">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18"/>
                <w:szCs w:val="18"/>
              </w:rPr>
            </w:pPr>
            <w:r w:rsidRPr="000973F2">
              <w:rPr>
                <w:rFonts w:ascii="Times New Roman" w:eastAsia="Times New Roman" w:hAnsi="Times New Roman" w:cs="Times New Roman"/>
                <w:b/>
                <w:bCs/>
                <w:sz w:val="18"/>
                <w:szCs w:val="18"/>
              </w:rPr>
              <w:t>Industrial Manager</w:t>
            </w:r>
          </w:p>
        </w:tc>
        <w:tc>
          <w:tcPr>
            <w:tcW w:w="1636" w:type="dxa"/>
            <w:gridSpan w:val="2"/>
          </w:tcPr>
          <w:p w14:paraId="2129956A" w14:textId="36B8C52A" w:rsidR="0086415A" w:rsidRPr="000973F2" w:rsidRDefault="0086415A" w:rsidP="00206831">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18"/>
                <w:szCs w:val="18"/>
              </w:rPr>
            </w:pPr>
            <w:r w:rsidRPr="000973F2">
              <w:rPr>
                <w:rFonts w:ascii="Times New Roman" w:eastAsia="Times New Roman" w:hAnsi="Times New Roman" w:cs="Times New Roman"/>
                <w:b/>
                <w:bCs/>
                <w:sz w:val="18"/>
                <w:szCs w:val="18"/>
              </w:rPr>
              <w:t>Industrial Engineer/</w:t>
            </w:r>
            <w:r w:rsidR="00206831" w:rsidRPr="000973F2">
              <w:rPr>
                <w:rFonts w:ascii="Times New Roman" w:eastAsia="Times New Roman" w:hAnsi="Times New Roman" w:cs="Times New Roman"/>
                <w:b/>
                <w:bCs/>
                <w:sz w:val="18"/>
                <w:szCs w:val="18"/>
              </w:rPr>
              <w:t xml:space="preserve"> </w:t>
            </w:r>
            <w:r w:rsidRPr="000973F2">
              <w:rPr>
                <w:rFonts w:ascii="Times New Roman" w:eastAsia="Times New Roman" w:hAnsi="Times New Roman" w:cs="Times New Roman"/>
                <w:b/>
                <w:bCs/>
                <w:sz w:val="18"/>
                <w:szCs w:val="18"/>
              </w:rPr>
              <w:t>Technician</w:t>
            </w:r>
          </w:p>
        </w:tc>
        <w:tc>
          <w:tcPr>
            <w:tcW w:w="1637" w:type="dxa"/>
            <w:gridSpan w:val="2"/>
          </w:tcPr>
          <w:p w14:paraId="5355CAC4" w14:textId="77777777" w:rsidR="0086415A" w:rsidRPr="000973F2" w:rsidRDefault="0086415A" w:rsidP="00206831">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18"/>
                <w:szCs w:val="18"/>
              </w:rPr>
            </w:pPr>
            <w:r w:rsidRPr="000973F2">
              <w:rPr>
                <w:rFonts w:ascii="Times New Roman" w:eastAsia="Times New Roman" w:hAnsi="Times New Roman" w:cs="Times New Roman"/>
                <w:b/>
                <w:bCs/>
                <w:sz w:val="18"/>
                <w:szCs w:val="18"/>
              </w:rPr>
              <w:t>Administrative Support</w:t>
            </w:r>
          </w:p>
        </w:tc>
        <w:tc>
          <w:tcPr>
            <w:tcW w:w="1361" w:type="dxa"/>
            <w:gridSpan w:val="2"/>
            <w:vMerge/>
          </w:tcPr>
          <w:p w14:paraId="1D509114" w14:textId="77777777" w:rsidR="0086415A" w:rsidRPr="000973F2" w:rsidRDefault="0086415A" w:rsidP="00206831">
            <w:pPr>
              <w:spacing w:before="40" w:after="4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18"/>
                <w:szCs w:val="18"/>
              </w:rPr>
            </w:pPr>
          </w:p>
        </w:tc>
      </w:tr>
      <w:tr w:rsidR="00206831" w:rsidRPr="000973F2" w14:paraId="6C50BCB1" w14:textId="77777777" w:rsidTr="00206831">
        <w:trPr>
          <w:cantSplit/>
        </w:trPr>
        <w:tc>
          <w:tcPr>
            <w:cnfStyle w:val="001000000000" w:firstRow="0" w:lastRow="0" w:firstColumn="1" w:lastColumn="0" w:oddVBand="0" w:evenVBand="0" w:oddHBand="0" w:evenHBand="0" w:firstRowFirstColumn="0" w:firstRowLastColumn="0" w:lastRowFirstColumn="0" w:lastRowLastColumn="0"/>
            <w:tcW w:w="1421" w:type="dxa"/>
            <w:vMerge/>
          </w:tcPr>
          <w:p w14:paraId="7635640D" w14:textId="77777777" w:rsidR="0086415A" w:rsidRPr="000973F2" w:rsidRDefault="0086415A" w:rsidP="00206831">
            <w:pPr>
              <w:spacing w:before="40" w:after="40"/>
              <w:rPr>
                <w:rFonts w:ascii="Times New Roman" w:eastAsia="Times New Roman" w:hAnsi="Times New Roman" w:cs="Times New Roman"/>
                <w:b/>
                <w:bCs w:val="0"/>
                <w:sz w:val="18"/>
                <w:szCs w:val="18"/>
              </w:rPr>
            </w:pPr>
          </w:p>
        </w:tc>
        <w:tc>
          <w:tcPr>
            <w:tcW w:w="1638" w:type="dxa"/>
            <w:gridSpan w:val="2"/>
            <w:noWrap/>
          </w:tcPr>
          <w:p w14:paraId="794C2FD8" w14:textId="77777777" w:rsidR="0086415A" w:rsidRPr="000973F2" w:rsidRDefault="0086415A" w:rsidP="00206831">
            <w:pPr>
              <w:spacing w:before="40" w:after="4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sz w:val="18"/>
                <w:szCs w:val="18"/>
              </w:rPr>
            </w:pPr>
            <w:r w:rsidRPr="000973F2">
              <w:rPr>
                <w:rFonts w:ascii="Times New Roman" w:eastAsia="Times New Roman" w:hAnsi="Times New Roman" w:cs="Times New Roman"/>
                <w:b/>
                <w:bCs/>
                <w:sz w:val="18"/>
                <w:szCs w:val="18"/>
              </w:rPr>
              <w:t xml:space="preserve">$112.23 </w:t>
            </w:r>
          </w:p>
        </w:tc>
        <w:tc>
          <w:tcPr>
            <w:tcW w:w="1637" w:type="dxa"/>
            <w:gridSpan w:val="2"/>
            <w:noWrap/>
          </w:tcPr>
          <w:p w14:paraId="7AD46BAC" w14:textId="77777777" w:rsidR="0086415A" w:rsidRPr="000973F2" w:rsidRDefault="0086415A" w:rsidP="00206831">
            <w:pPr>
              <w:spacing w:before="40" w:after="4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sz w:val="18"/>
                <w:szCs w:val="18"/>
              </w:rPr>
            </w:pPr>
            <w:r w:rsidRPr="000973F2">
              <w:rPr>
                <w:rFonts w:ascii="Times New Roman" w:eastAsia="Times New Roman" w:hAnsi="Times New Roman" w:cs="Times New Roman"/>
                <w:b/>
                <w:bCs/>
                <w:sz w:val="18"/>
                <w:szCs w:val="18"/>
              </w:rPr>
              <w:t xml:space="preserve">$87.45 </w:t>
            </w:r>
          </w:p>
        </w:tc>
        <w:tc>
          <w:tcPr>
            <w:tcW w:w="1636" w:type="dxa"/>
            <w:gridSpan w:val="2"/>
            <w:noWrap/>
          </w:tcPr>
          <w:p w14:paraId="4233AF94" w14:textId="77777777" w:rsidR="0086415A" w:rsidRPr="000973F2" w:rsidRDefault="0086415A" w:rsidP="00206831">
            <w:pPr>
              <w:spacing w:before="40" w:after="4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sz w:val="18"/>
                <w:szCs w:val="18"/>
              </w:rPr>
            </w:pPr>
            <w:r w:rsidRPr="000973F2">
              <w:rPr>
                <w:rFonts w:ascii="Times New Roman" w:eastAsia="Times New Roman" w:hAnsi="Times New Roman" w:cs="Times New Roman"/>
                <w:b/>
                <w:bCs/>
                <w:sz w:val="18"/>
                <w:szCs w:val="18"/>
              </w:rPr>
              <w:t xml:space="preserve">$71.45 </w:t>
            </w:r>
          </w:p>
        </w:tc>
        <w:tc>
          <w:tcPr>
            <w:tcW w:w="1637" w:type="dxa"/>
            <w:gridSpan w:val="2"/>
            <w:noWrap/>
          </w:tcPr>
          <w:p w14:paraId="53E3919D" w14:textId="77777777" w:rsidR="0086415A" w:rsidRPr="000973F2" w:rsidRDefault="0086415A" w:rsidP="00206831">
            <w:pPr>
              <w:spacing w:before="40" w:after="4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sz w:val="18"/>
                <w:szCs w:val="18"/>
              </w:rPr>
            </w:pPr>
            <w:r w:rsidRPr="000973F2">
              <w:rPr>
                <w:rFonts w:ascii="Times New Roman" w:eastAsia="Times New Roman" w:hAnsi="Times New Roman" w:cs="Times New Roman"/>
                <w:b/>
                <w:bCs/>
                <w:sz w:val="18"/>
                <w:szCs w:val="18"/>
              </w:rPr>
              <w:t xml:space="preserve">$36.28 </w:t>
            </w:r>
          </w:p>
        </w:tc>
        <w:tc>
          <w:tcPr>
            <w:tcW w:w="1361" w:type="dxa"/>
            <w:gridSpan w:val="2"/>
            <w:vMerge/>
          </w:tcPr>
          <w:p w14:paraId="5C560D80" w14:textId="77777777" w:rsidR="0086415A" w:rsidRPr="000973F2" w:rsidRDefault="0086415A" w:rsidP="00206831">
            <w:pPr>
              <w:spacing w:before="40" w:after="4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sz w:val="18"/>
                <w:szCs w:val="18"/>
              </w:rPr>
            </w:pPr>
          </w:p>
        </w:tc>
      </w:tr>
      <w:tr w:rsidR="00206831" w:rsidRPr="000973F2" w14:paraId="25B17689" w14:textId="77777777" w:rsidTr="00206831">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1421" w:type="dxa"/>
            <w:vMerge/>
          </w:tcPr>
          <w:p w14:paraId="7063C04B" w14:textId="77777777" w:rsidR="0086415A" w:rsidRPr="000973F2" w:rsidRDefault="0086415A" w:rsidP="00206831">
            <w:pPr>
              <w:spacing w:before="40" w:after="40"/>
              <w:rPr>
                <w:rFonts w:ascii="Times New Roman" w:eastAsia="Times New Roman" w:hAnsi="Times New Roman" w:cs="Times New Roman"/>
                <w:b/>
                <w:bCs w:val="0"/>
                <w:sz w:val="18"/>
                <w:szCs w:val="18"/>
              </w:rPr>
            </w:pPr>
          </w:p>
        </w:tc>
        <w:tc>
          <w:tcPr>
            <w:tcW w:w="819" w:type="dxa"/>
            <w:tcMar>
              <w:left w:w="14" w:type="dxa"/>
              <w:right w:w="14" w:type="dxa"/>
            </w:tcMar>
          </w:tcPr>
          <w:p w14:paraId="3DD4EFF6" w14:textId="77777777" w:rsidR="0086415A" w:rsidRPr="000973F2" w:rsidRDefault="0086415A" w:rsidP="00206831">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18"/>
                <w:szCs w:val="18"/>
              </w:rPr>
            </w:pPr>
            <w:r w:rsidRPr="000973F2">
              <w:rPr>
                <w:rFonts w:ascii="Times New Roman" w:eastAsia="Times New Roman" w:hAnsi="Times New Roman" w:cs="Times New Roman"/>
                <w:b/>
                <w:bCs/>
                <w:sz w:val="18"/>
                <w:szCs w:val="18"/>
              </w:rPr>
              <w:t>Initial Year Hours</w:t>
            </w:r>
          </w:p>
        </w:tc>
        <w:tc>
          <w:tcPr>
            <w:tcW w:w="819" w:type="dxa"/>
            <w:tcMar>
              <w:left w:w="14" w:type="dxa"/>
              <w:right w:w="14" w:type="dxa"/>
            </w:tcMar>
          </w:tcPr>
          <w:p w14:paraId="2D068DCE" w14:textId="4CFDCA77" w:rsidR="0086415A" w:rsidRPr="000973F2" w:rsidRDefault="0086415A" w:rsidP="00206831">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18"/>
                <w:szCs w:val="18"/>
              </w:rPr>
            </w:pPr>
            <w:r w:rsidRPr="000973F2">
              <w:rPr>
                <w:rFonts w:ascii="Times New Roman" w:eastAsia="Times New Roman" w:hAnsi="Times New Roman" w:cs="Times New Roman"/>
                <w:b/>
                <w:bCs/>
                <w:sz w:val="18"/>
                <w:szCs w:val="18"/>
              </w:rPr>
              <w:t>Subseq</w:t>
            </w:r>
            <w:r w:rsidR="00206831" w:rsidRPr="000973F2">
              <w:rPr>
                <w:rFonts w:ascii="Times New Roman" w:eastAsia="Times New Roman" w:hAnsi="Times New Roman" w:cs="Times New Roman"/>
                <w:b/>
                <w:bCs/>
                <w:sz w:val="18"/>
                <w:szCs w:val="18"/>
              </w:rPr>
              <w:t xml:space="preserve">. </w:t>
            </w:r>
            <w:r w:rsidRPr="000973F2">
              <w:rPr>
                <w:rFonts w:ascii="Times New Roman" w:eastAsia="Times New Roman" w:hAnsi="Times New Roman" w:cs="Times New Roman"/>
                <w:b/>
                <w:bCs/>
                <w:sz w:val="18"/>
                <w:szCs w:val="18"/>
              </w:rPr>
              <w:t>Year Hours</w:t>
            </w:r>
          </w:p>
        </w:tc>
        <w:tc>
          <w:tcPr>
            <w:tcW w:w="818" w:type="dxa"/>
            <w:tcMar>
              <w:left w:w="14" w:type="dxa"/>
              <w:right w:w="14" w:type="dxa"/>
            </w:tcMar>
          </w:tcPr>
          <w:p w14:paraId="6F7ADEB7" w14:textId="77777777" w:rsidR="0086415A" w:rsidRPr="000973F2" w:rsidRDefault="0086415A" w:rsidP="00206831">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18"/>
                <w:szCs w:val="18"/>
              </w:rPr>
            </w:pPr>
            <w:r w:rsidRPr="000973F2">
              <w:rPr>
                <w:rFonts w:ascii="Times New Roman" w:eastAsia="Times New Roman" w:hAnsi="Times New Roman" w:cs="Times New Roman"/>
                <w:b/>
                <w:bCs/>
                <w:sz w:val="18"/>
                <w:szCs w:val="18"/>
              </w:rPr>
              <w:t>Initial Year Hours</w:t>
            </w:r>
          </w:p>
        </w:tc>
        <w:tc>
          <w:tcPr>
            <w:tcW w:w="819" w:type="dxa"/>
            <w:tcMar>
              <w:left w:w="14" w:type="dxa"/>
              <w:right w:w="14" w:type="dxa"/>
            </w:tcMar>
          </w:tcPr>
          <w:p w14:paraId="57BF0C3D" w14:textId="0B7AA6DE" w:rsidR="0086415A" w:rsidRPr="000973F2" w:rsidRDefault="0086415A" w:rsidP="00206831">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18"/>
                <w:szCs w:val="18"/>
              </w:rPr>
            </w:pPr>
            <w:r w:rsidRPr="000973F2">
              <w:rPr>
                <w:rFonts w:ascii="Times New Roman" w:eastAsia="Times New Roman" w:hAnsi="Times New Roman" w:cs="Times New Roman"/>
                <w:b/>
                <w:bCs/>
                <w:sz w:val="18"/>
                <w:szCs w:val="18"/>
              </w:rPr>
              <w:t>Subseq</w:t>
            </w:r>
            <w:r w:rsidR="00206831" w:rsidRPr="000973F2">
              <w:rPr>
                <w:rFonts w:ascii="Times New Roman" w:eastAsia="Times New Roman" w:hAnsi="Times New Roman" w:cs="Times New Roman"/>
                <w:b/>
                <w:bCs/>
                <w:sz w:val="18"/>
                <w:szCs w:val="18"/>
              </w:rPr>
              <w:t xml:space="preserve">. </w:t>
            </w:r>
            <w:r w:rsidRPr="000973F2">
              <w:rPr>
                <w:rFonts w:ascii="Times New Roman" w:eastAsia="Times New Roman" w:hAnsi="Times New Roman" w:cs="Times New Roman"/>
                <w:b/>
                <w:bCs/>
                <w:sz w:val="18"/>
                <w:szCs w:val="18"/>
              </w:rPr>
              <w:t>Year Hours</w:t>
            </w:r>
          </w:p>
        </w:tc>
        <w:tc>
          <w:tcPr>
            <w:tcW w:w="818" w:type="dxa"/>
            <w:tcMar>
              <w:left w:w="14" w:type="dxa"/>
              <w:right w:w="14" w:type="dxa"/>
            </w:tcMar>
          </w:tcPr>
          <w:p w14:paraId="57456071" w14:textId="77777777" w:rsidR="0086415A" w:rsidRPr="000973F2" w:rsidRDefault="0086415A" w:rsidP="00206831">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18"/>
                <w:szCs w:val="18"/>
              </w:rPr>
            </w:pPr>
            <w:r w:rsidRPr="000973F2">
              <w:rPr>
                <w:rFonts w:ascii="Times New Roman" w:eastAsia="Times New Roman" w:hAnsi="Times New Roman" w:cs="Times New Roman"/>
                <w:b/>
                <w:bCs/>
                <w:sz w:val="18"/>
                <w:szCs w:val="18"/>
              </w:rPr>
              <w:t>Initial Year Hours</w:t>
            </w:r>
          </w:p>
        </w:tc>
        <w:tc>
          <w:tcPr>
            <w:tcW w:w="818" w:type="dxa"/>
            <w:tcMar>
              <w:left w:w="14" w:type="dxa"/>
              <w:right w:w="14" w:type="dxa"/>
            </w:tcMar>
          </w:tcPr>
          <w:p w14:paraId="1B91B88D" w14:textId="77777777" w:rsidR="0086415A" w:rsidRPr="000973F2" w:rsidRDefault="0086415A" w:rsidP="00206831">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18"/>
                <w:szCs w:val="18"/>
              </w:rPr>
            </w:pPr>
            <w:r w:rsidRPr="000973F2">
              <w:rPr>
                <w:rFonts w:ascii="Times New Roman" w:eastAsia="Times New Roman" w:hAnsi="Times New Roman" w:cs="Times New Roman"/>
                <w:b/>
                <w:bCs/>
                <w:sz w:val="18"/>
                <w:szCs w:val="18"/>
              </w:rPr>
              <w:t>Subseq. Year Hours</w:t>
            </w:r>
          </w:p>
        </w:tc>
        <w:tc>
          <w:tcPr>
            <w:tcW w:w="818" w:type="dxa"/>
            <w:tcMar>
              <w:left w:w="14" w:type="dxa"/>
              <w:right w:w="14" w:type="dxa"/>
            </w:tcMar>
          </w:tcPr>
          <w:p w14:paraId="4061C979" w14:textId="77777777" w:rsidR="0086415A" w:rsidRPr="000973F2" w:rsidRDefault="0086415A" w:rsidP="00206831">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18"/>
                <w:szCs w:val="18"/>
              </w:rPr>
            </w:pPr>
            <w:r w:rsidRPr="000973F2">
              <w:rPr>
                <w:rFonts w:ascii="Times New Roman" w:eastAsia="Times New Roman" w:hAnsi="Times New Roman" w:cs="Times New Roman"/>
                <w:b/>
                <w:bCs/>
                <w:sz w:val="18"/>
                <w:szCs w:val="18"/>
              </w:rPr>
              <w:t>Initial Year Hours</w:t>
            </w:r>
          </w:p>
        </w:tc>
        <w:tc>
          <w:tcPr>
            <w:tcW w:w="819" w:type="dxa"/>
            <w:tcMar>
              <w:left w:w="14" w:type="dxa"/>
              <w:right w:w="14" w:type="dxa"/>
            </w:tcMar>
          </w:tcPr>
          <w:p w14:paraId="027AEF0B" w14:textId="77777777" w:rsidR="0086415A" w:rsidRPr="000973F2" w:rsidRDefault="0086415A" w:rsidP="00206831">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18"/>
                <w:szCs w:val="18"/>
              </w:rPr>
            </w:pPr>
            <w:r w:rsidRPr="000973F2">
              <w:rPr>
                <w:rFonts w:ascii="Times New Roman" w:eastAsia="Times New Roman" w:hAnsi="Times New Roman" w:cs="Times New Roman"/>
                <w:b/>
                <w:bCs/>
                <w:sz w:val="18"/>
                <w:szCs w:val="18"/>
              </w:rPr>
              <w:t>Subseq. Year Hours</w:t>
            </w:r>
          </w:p>
        </w:tc>
        <w:tc>
          <w:tcPr>
            <w:tcW w:w="628" w:type="dxa"/>
            <w:tcMar>
              <w:left w:w="14" w:type="dxa"/>
              <w:right w:w="14" w:type="dxa"/>
            </w:tcMar>
          </w:tcPr>
          <w:p w14:paraId="4131226F" w14:textId="77777777" w:rsidR="0086415A" w:rsidRPr="000973F2" w:rsidRDefault="0086415A" w:rsidP="00206831">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18"/>
                <w:szCs w:val="18"/>
              </w:rPr>
            </w:pPr>
            <w:r w:rsidRPr="000973F2">
              <w:rPr>
                <w:rFonts w:ascii="Times New Roman" w:eastAsia="Times New Roman" w:hAnsi="Times New Roman" w:cs="Times New Roman"/>
                <w:b/>
                <w:bCs/>
                <w:sz w:val="18"/>
                <w:szCs w:val="18"/>
              </w:rPr>
              <w:t>Initial Year</w:t>
            </w:r>
          </w:p>
        </w:tc>
        <w:tc>
          <w:tcPr>
            <w:tcW w:w="733" w:type="dxa"/>
            <w:tcMar>
              <w:left w:w="14" w:type="dxa"/>
              <w:right w:w="14" w:type="dxa"/>
            </w:tcMar>
          </w:tcPr>
          <w:p w14:paraId="1502C0F7" w14:textId="77777777" w:rsidR="0086415A" w:rsidRPr="000973F2" w:rsidRDefault="0086415A" w:rsidP="00206831">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18"/>
                <w:szCs w:val="18"/>
              </w:rPr>
            </w:pPr>
            <w:r w:rsidRPr="000973F2">
              <w:rPr>
                <w:rFonts w:ascii="Times New Roman" w:eastAsia="Times New Roman" w:hAnsi="Times New Roman" w:cs="Times New Roman"/>
                <w:b/>
                <w:bCs/>
                <w:sz w:val="18"/>
                <w:szCs w:val="18"/>
              </w:rPr>
              <w:t>Subseq. Year</w:t>
            </w:r>
          </w:p>
        </w:tc>
      </w:tr>
      <w:tr w:rsidR="00206831" w:rsidRPr="000973F2" w14:paraId="024B7D35" w14:textId="77777777" w:rsidTr="00206831">
        <w:trPr>
          <w:cantSplit/>
        </w:trPr>
        <w:tc>
          <w:tcPr>
            <w:cnfStyle w:val="001000000000" w:firstRow="0" w:lastRow="0" w:firstColumn="1" w:lastColumn="0" w:oddVBand="0" w:evenVBand="0" w:oddHBand="0" w:evenHBand="0" w:firstRowFirstColumn="0" w:firstRowLastColumn="0" w:lastRowFirstColumn="0" w:lastRowLastColumn="0"/>
            <w:tcW w:w="1421" w:type="dxa"/>
          </w:tcPr>
          <w:p w14:paraId="241D1F17" w14:textId="77777777" w:rsidR="0086415A" w:rsidRPr="000973F2" w:rsidRDefault="0086415A" w:rsidP="00206831">
            <w:pPr>
              <w:spacing w:before="40" w:after="4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Planning</w:t>
            </w:r>
          </w:p>
        </w:tc>
        <w:tc>
          <w:tcPr>
            <w:tcW w:w="819" w:type="dxa"/>
            <w:noWrap/>
          </w:tcPr>
          <w:p w14:paraId="0C3E8D7A" w14:textId="77777777" w:rsidR="0086415A" w:rsidRPr="000973F2" w:rsidRDefault="0086415A" w:rsidP="00206831">
            <w:pPr>
              <w:tabs>
                <w:tab w:val="decimal" w:pos="301"/>
              </w:tabs>
              <w:spacing w:before="40" w:after="4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0</w:t>
            </w:r>
          </w:p>
        </w:tc>
        <w:tc>
          <w:tcPr>
            <w:tcW w:w="819" w:type="dxa"/>
            <w:noWrap/>
          </w:tcPr>
          <w:p w14:paraId="56C625CF" w14:textId="77777777" w:rsidR="0086415A" w:rsidRPr="000973F2" w:rsidRDefault="0086415A" w:rsidP="00206831">
            <w:pPr>
              <w:tabs>
                <w:tab w:val="decimal" w:pos="301"/>
              </w:tabs>
              <w:spacing w:before="40" w:after="4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2</w:t>
            </w:r>
          </w:p>
        </w:tc>
        <w:tc>
          <w:tcPr>
            <w:tcW w:w="818" w:type="dxa"/>
            <w:noWrap/>
          </w:tcPr>
          <w:p w14:paraId="0AA561A6" w14:textId="77777777" w:rsidR="0086415A" w:rsidRPr="000973F2" w:rsidRDefault="0086415A" w:rsidP="00206831">
            <w:pPr>
              <w:tabs>
                <w:tab w:val="decimal" w:pos="301"/>
              </w:tabs>
              <w:spacing w:before="40" w:after="4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0</w:t>
            </w:r>
          </w:p>
        </w:tc>
        <w:tc>
          <w:tcPr>
            <w:tcW w:w="819" w:type="dxa"/>
            <w:noWrap/>
          </w:tcPr>
          <w:p w14:paraId="059FE2EB" w14:textId="77777777" w:rsidR="0086415A" w:rsidRPr="000973F2" w:rsidRDefault="0086415A" w:rsidP="00206831">
            <w:pPr>
              <w:tabs>
                <w:tab w:val="decimal" w:pos="301"/>
              </w:tabs>
              <w:spacing w:before="40" w:after="4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1.6</w:t>
            </w:r>
          </w:p>
        </w:tc>
        <w:tc>
          <w:tcPr>
            <w:tcW w:w="818" w:type="dxa"/>
            <w:noWrap/>
          </w:tcPr>
          <w:p w14:paraId="61D0FB08" w14:textId="77777777" w:rsidR="0086415A" w:rsidRPr="000973F2" w:rsidRDefault="0086415A" w:rsidP="00206831">
            <w:pPr>
              <w:tabs>
                <w:tab w:val="decimal" w:pos="301"/>
              </w:tabs>
              <w:spacing w:before="40" w:after="4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0</w:t>
            </w:r>
          </w:p>
        </w:tc>
        <w:tc>
          <w:tcPr>
            <w:tcW w:w="818" w:type="dxa"/>
            <w:noWrap/>
          </w:tcPr>
          <w:p w14:paraId="293B3B73" w14:textId="77777777" w:rsidR="0086415A" w:rsidRPr="000973F2" w:rsidRDefault="0086415A" w:rsidP="00206831">
            <w:pPr>
              <w:tabs>
                <w:tab w:val="decimal" w:pos="301"/>
              </w:tabs>
              <w:spacing w:before="40" w:after="4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16</w:t>
            </w:r>
          </w:p>
        </w:tc>
        <w:tc>
          <w:tcPr>
            <w:tcW w:w="818" w:type="dxa"/>
            <w:noWrap/>
          </w:tcPr>
          <w:p w14:paraId="60646093" w14:textId="77777777" w:rsidR="0086415A" w:rsidRPr="000973F2" w:rsidRDefault="0086415A" w:rsidP="00206831">
            <w:pPr>
              <w:tabs>
                <w:tab w:val="decimal" w:pos="301"/>
              </w:tabs>
              <w:spacing w:before="40" w:after="4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0</w:t>
            </w:r>
          </w:p>
        </w:tc>
        <w:tc>
          <w:tcPr>
            <w:tcW w:w="819" w:type="dxa"/>
            <w:noWrap/>
          </w:tcPr>
          <w:p w14:paraId="05D9D148" w14:textId="77777777" w:rsidR="0086415A" w:rsidRPr="000973F2" w:rsidRDefault="0086415A" w:rsidP="00206831">
            <w:pPr>
              <w:tabs>
                <w:tab w:val="decimal" w:pos="301"/>
              </w:tabs>
              <w:spacing w:before="40" w:after="4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1.6</w:t>
            </w:r>
          </w:p>
        </w:tc>
        <w:tc>
          <w:tcPr>
            <w:tcW w:w="628" w:type="dxa"/>
            <w:noWrap/>
          </w:tcPr>
          <w:p w14:paraId="103E5D86" w14:textId="77777777" w:rsidR="0086415A" w:rsidRPr="000973F2" w:rsidRDefault="0086415A" w:rsidP="00206831">
            <w:pPr>
              <w:tabs>
                <w:tab w:val="decimal" w:pos="301"/>
              </w:tabs>
              <w:spacing w:before="40" w:after="4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$0</w:t>
            </w:r>
          </w:p>
        </w:tc>
        <w:tc>
          <w:tcPr>
            <w:tcW w:w="733" w:type="dxa"/>
            <w:noWrap/>
          </w:tcPr>
          <w:p w14:paraId="43969128" w14:textId="77777777" w:rsidR="0086415A" w:rsidRPr="000973F2" w:rsidRDefault="0086415A" w:rsidP="00206831">
            <w:pPr>
              <w:tabs>
                <w:tab w:val="decimal" w:pos="497"/>
              </w:tabs>
              <w:spacing w:before="40" w:after="4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$1,566</w:t>
            </w:r>
          </w:p>
        </w:tc>
      </w:tr>
      <w:tr w:rsidR="00206831" w:rsidRPr="000973F2" w14:paraId="693BCE6C" w14:textId="77777777" w:rsidTr="00206831">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1421" w:type="dxa"/>
          </w:tcPr>
          <w:p w14:paraId="250F0D48" w14:textId="77777777" w:rsidR="0086415A" w:rsidRPr="000973F2" w:rsidRDefault="0086415A" w:rsidP="00206831">
            <w:pPr>
              <w:spacing w:before="40" w:after="4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QA/QC</w:t>
            </w:r>
          </w:p>
        </w:tc>
        <w:tc>
          <w:tcPr>
            <w:tcW w:w="819" w:type="dxa"/>
            <w:noWrap/>
          </w:tcPr>
          <w:p w14:paraId="4D7D5162" w14:textId="77777777" w:rsidR="0086415A" w:rsidRPr="000973F2" w:rsidRDefault="0086415A" w:rsidP="00206831">
            <w:pPr>
              <w:tabs>
                <w:tab w:val="decimal" w:pos="301"/>
              </w:tabs>
              <w:spacing w:before="40" w:after="4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0</w:t>
            </w:r>
          </w:p>
        </w:tc>
        <w:tc>
          <w:tcPr>
            <w:tcW w:w="819" w:type="dxa"/>
            <w:noWrap/>
          </w:tcPr>
          <w:p w14:paraId="5BA7FF5B" w14:textId="77777777" w:rsidR="0086415A" w:rsidRPr="000973F2" w:rsidRDefault="0086415A" w:rsidP="00206831">
            <w:pPr>
              <w:tabs>
                <w:tab w:val="decimal" w:pos="301"/>
              </w:tabs>
              <w:spacing w:before="40" w:after="4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0</w:t>
            </w:r>
          </w:p>
        </w:tc>
        <w:tc>
          <w:tcPr>
            <w:tcW w:w="818" w:type="dxa"/>
            <w:noWrap/>
          </w:tcPr>
          <w:p w14:paraId="56FC2F55" w14:textId="77777777" w:rsidR="0086415A" w:rsidRPr="000973F2" w:rsidRDefault="0086415A" w:rsidP="00206831">
            <w:pPr>
              <w:tabs>
                <w:tab w:val="decimal" w:pos="301"/>
              </w:tabs>
              <w:spacing w:before="40" w:after="4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0</w:t>
            </w:r>
          </w:p>
        </w:tc>
        <w:tc>
          <w:tcPr>
            <w:tcW w:w="819" w:type="dxa"/>
            <w:noWrap/>
          </w:tcPr>
          <w:p w14:paraId="23B0B196" w14:textId="77777777" w:rsidR="0086415A" w:rsidRPr="000973F2" w:rsidRDefault="0086415A" w:rsidP="00206831">
            <w:pPr>
              <w:tabs>
                <w:tab w:val="decimal" w:pos="301"/>
              </w:tabs>
              <w:spacing w:before="40" w:after="4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3.4</w:t>
            </w:r>
          </w:p>
        </w:tc>
        <w:tc>
          <w:tcPr>
            <w:tcW w:w="818" w:type="dxa"/>
            <w:noWrap/>
          </w:tcPr>
          <w:p w14:paraId="4C999BF0" w14:textId="77777777" w:rsidR="0086415A" w:rsidRPr="000973F2" w:rsidRDefault="0086415A" w:rsidP="00206831">
            <w:pPr>
              <w:tabs>
                <w:tab w:val="decimal" w:pos="301"/>
              </w:tabs>
              <w:spacing w:before="40" w:after="4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0</w:t>
            </w:r>
          </w:p>
        </w:tc>
        <w:tc>
          <w:tcPr>
            <w:tcW w:w="818" w:type="dxa"/>
            <w:noWrap/>
          </w:tcPr>
          <w:p w14:paraId="3C0014DD" w14:textId="77777777" w:rsidR="0086415A" w:rsidRPr="000973F2" w:rsidRDefault="0086415A" w:rsidP="00206831">
            <w:pPr>
              <w:tabs>
                <w:tab w:val="decimal" w:pos="301"/>
              </w:tabs>
              <w:spacing w:before="40" w:after="4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33.6</w:t>
            </w:r>
          </w:p>
        </w:tc>
        <w:tc>
          <w:tcPr>
            <w:tcW w:w="818" w:type="dxa"/>
            <w:noWrap/>
          </w:tcPr>
          <w:p w14:paraId="6A2D317B" w14:textId="77777777" w:rsidR="0086415A" w:rsidRPr="000973F2" w:rsidRDefault="0086415A" w:rsidP="00206831">
            <w:pPr>
              <w:tabs>
                <w:tab w:val="decimal" w:pos="301"/>
              </w:tabs>
              <w:spacing w:before="40" w:after="4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0</w:t>
            </w:r>
          </w:p>
        </w:tc>
        <w:tc>
          <w:tcPr>
            <w:tcW w:w="819" w:type="dxa"/>
            <w:noWrap/>
          </w:tcPr>
          <w:p w14:paraId="62D03BA9" w14:textId="77777777" w:rsidR="0086415A" w:rsidRPr="000973F2" w:rsidRDefault="0086415A" w:rsidP="00206831">
            <w:pPr>
              <w:tabs>
                <w:tab w:val="decimal" w:pos="301"/>
              </w:tabs>
              <w:spacing w:before="40" w:after="4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3.4</w:t>
            </w:r>
          </w:p>
        </w:tc>
        <w:tc>
          <w:tcPr>
            <w:tcW w:w="628" w:type="dxa"/>
            <w:noWrap/>
          </w:tcPr>
          <w:p w14:paraId="698DA586" w14:textId="77777777" w:rsidR="0086415A" w:rsidRPr="000973F2" w:rsidRDefault="0086415A" w:rsidP="00206831">
            <w:pPr>
              <w:tabs>
                <w:tab w:val="decimal" w:pos="301"/>
              </w:tabs>
              <w:spacing w:before="40" w:after="4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$0</w:t>
            </w:r>
          </w:p>
        </w:tc>
        <w:tc>
          <w:tcPr>
            <w:tcW w:w="733" w:type="dxa"/>
            <w:noWrap/>
          </w:tcPr>
          <w:p w14:paraId="7A13EB6E" w14:textId="77777777" w:rsidR="0086415A" w:rsidRPr="000973F2" w:rsidRDefault="0086415A" w:rsidP="00206831">
            <w:pPr>
              <w:tabs>
                <w:tab w:val="decimal" w:pos="497"/>
              </w:tabs>
              <w:spacing w:before="40" w:after="4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$2,816</w:t>
            </w:r>
          </w:p>
        </w:tc>
      </w:tr>
      <w:tr w:rsidR="00206831" w:rsidRPr="000973F2" w14:paraId="0C1294F1" w14:textId="77777777" w:rsidTr="00206831">
        <w:trPr>
          <w:cantSplit/>
        </w:trPr>
        <w:tc>
          <w:tcPr>
            <w:cnfStyle w:val="001000000000" w:firstRow="0" w:lastRow="0" w:firstColumn="1" w:lastColumn="0" w:oddVBand="0" w:evenVBand="0" w:oddHBand="0" w:evenHBand="0" w:firstRowFirstColumn="0" w:firstRowLastColumn="0" w:lastRowFirstColumn="0" w:lastRowLastColumn="0"/>
            <w:tcW w:w="1421" w:type="dxa"/>
          </w:tcPr>
          <w:p w14:paraId="366B01FE" w14:textId="77777777" w:rsidR="0086415A" w:rsidRPr="000973F2" w:rsidRDefault="0086415A" w:rsidP="00206831">
            <w:pPr>
              <w:spacing w:before="40" w:after="4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Recordkeeping</w:t>
            </w:r>
          </w:p>
        </w:tc>
        <w:tc>
          <w:tcPr>
            <w:tcW w:w="819" w:type="dxa"/>
            <w:noWrap/>
          </w:tcPr>
          <w:p w14:paraId="4238314F" w14:textId="77777777" w:rsidR="0086415A" w:rsidRPr="000973F2" w:rsidRDefault="0086415A" w:rsidP="00206831">
            <w:pPr>
              <w:tabs>
                <w:tab w:val="decimal" w:pos="301"/>
              </w:tabs>
              <w:spacing w:before="40" w:after="4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0</w:t>
            </w:r>
          </w:p>
        </w:tc>
        <w:tc>
          <w:tcPr>
            <w:tcW w:w="819" w:type="dxa"/>
            <w:noWrap/>
          </w:tcPr>
          <w:p w14:paraId="00C87AD8" w14:textId="77777777" w:rsidR="0086415A" w:rsidRPr="000973F2" w:rsidRDefault="0086415A" w:rsidP="00206831">
            <w:pPr>
              <w:tabs>
                <w:tab w:val="decimal" w:pos="301"/>
              </w:tabs>
              <w:spacing w:before="40" w:after="4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0</w:t>
            </w:r>
          </w:p>
        </w:tc>
        <w:tc>
          <w:tcPr>
            <w:tcW w:w="818" w:type="dxa"/>
            <w:noWrap/>
          </w:tcPr>
          <w:p w14:paraId="261D6D76" w14:textId="77777777" w:rsidR="0086415A" w:rsidRPr="000973F2" w:rsidRDefault="0086415A" w:rsidP="00206831">
            <w:pPr>
              <w:tabs>
                <w:tab w:val="decimal" w:pos="301"/>
              </w:tabs>
              <w:spacing w:before="40" w:after="4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0</w:t>
            </w:r>
          </w:p>
        </w:tc>
        <w:tc>
          <w:tcPr>
            <w:tcW w:w="819" w:type="dxa"/>
            <w:noWrap/>
          </w:tcPr>
          <w:p w14:paraId="51FD1C29" w14:textId="77777777" w:rsidR="0086415A" w:rsidRPr="000973F2" w:rsidRDefault="0086415A" w:rsidP="00206831">
            <w:pPr>
              <w:tabs>
                <w:tab w:val="decimal" w:pos="301"/>
              </w:tabs>
              <w:spacing w:before="40" w:after="4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0.5</w:t>
            </w:r>
          </w:p>
        </w:tc>
        <w:tc>
          <w:tcPr>
            <w:tcW w:w="818" w:type="dxa"/>
            <w:noWrap/>
          </w:tcPr>
          <w:p w14:paraId="762E437F" w14:textId="77777777" w:rsidR="0086415A" w:rsidRPr="000973F2" w:rsidRDefault="0086415A" w:rsidP="00206831">
            <w:pPr>
              <w:tabs>
                <w:tab w:val="decimal" w:pos="301"/>
              </w:tabs>
              <w:spacing w:before="40" w:after="4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0</w:t>
            </w:r>
          </w:p>
        </w:tc>
        <w:tc>
          <w:tcPr>
            <w:tcW w:w="818" w:type="dxa"/>
            <w:noWrap/>
          </w:tcPr>
          <w:p w14:paraId="67E04530" w14:textId="77777777" w:rsidR="0086415A" w:rsidRPr="000973F2" w:rsidRDefault="0086415A" w:rsidP="00206831">
            <w:pPr>
              <w:tabs>
                <w:tab w:val="decimal" w:pos="301"/>
              </w:tabs>
              <w:spacing w:before="40" w:after="4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5</w:t>
            </w:r>
          </w:p>
        </w:tc>
        <w:tc>
          <w:tcPr>
            <w:tcW w:w="818" w:type="dxa"/>
            <w:noWrap/>
          </w:tcPr>
          <w:p w14:paraId="21CB2B90" w14:textId="77777777" w:rsidR="0086415A" w:rsidRPr="000973F2" w:rsidRDefault="0086415A" w:rsidP="00206831">
            <w:pPr>
              <w:tabs>
                <w:tab w:val="decimal" w:pos="301"/>
              </w:tabs>
              <w:spacing w:before="40" w:after="4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0</w:t>
            </w:r>
          </w:p>
        </w:tc>
        <w:tc>
          <w:tcPr>
            <w:tcW w:w="819" w:type="dxa"/>
            <w:noWrap/>
          </w:tcPr>
          <w:p w14:paraId="0A530716" w14:textId="77777777" w:rsidR="0086415A" w:rsidRPr="000973F2" w:rsidRDefault="0086415A" w:rsidP="00206831">
            <w:pPr>
              <w:tabs>
                <w:tab w:val="decimal" w:pos="301"/>
              </w:tabs>
              <w:spacing w:before="40" w:after="4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0.5</w:t>
            </w:r>
          </w:p>
        </w:tc>
        <w:tc>
          <w:tcPr>
            <w:tcW w:w="628" w:type="dxa"/>
            <w:noWrap/>
          </w:tcPr>
          <w:p w14:paraId="2E438D51" w14:textId="77777777" w:rsidR="0086415A" w:rsidRPr="000973F2" w:rsidRDefault="0086415A" w:rsidP="00206831">
            <w:pPr>
              <w:tabs>
                <w:tab w:val="decimal" w:pos="301"/>
              </w:tabs>
              <w:spacing w:before="40" w:after="4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$0</w:t>
            </w:r>
          </w:p>
        </w:tc>
        <w:tc>
          <w:tcPr>
            <w:tcW w:w="733" w:type="dxa"/>
            <w:noWrap/>
          </w:tcPr>
          <w:p w14:paraId="70912A59" w14:textId="77777777" w:rsidR="0086415A" w:rsidRPr="000973F2" w:rsidRDefault="0086415A" w:rsidP="00206831">
            <w:pPr>
              <w:tabs>
                <w:tab w:val="decimal" w:pos="497"/>
              </w:tabs>
              <w:spacing w:before="40" w:after="4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$419</w:t>
            </w:r>
          </w:p>
        </w:tc>
      </w:tr>
      <w:tr w:rsidR="00206831" w:rsidRPr="000973F2" w14:paraId="6DE3A186" w14:textId="77777777" w:rsidTr="00206831">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1421" w:type="dxa"/>
          </w:tcPr>
          <w:p w14:paraId="3FE897B9" w14:textId="77777777" w:rsidR="0086415A" w:rsidRPr="000973F2" w:rsidRDefault="0086415A" w:rsidP="00206831">
            <w:pPr>
              <w:spacing w:before="40" w:after="4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Sampling and Analysis (Calculations)</w:t>
            </w:r>
          </w:p>
        </w:tc>
        <w:tc>
          <w:tcPr>
            <w:tcW w:w="819" w:type="dxa"/>
            <w:noWrap/>
          </w:tcPr>
          <w:p w14:paraId="59117A8F" w14:textId="77777777" w:rsidR="0086415A" w:rsidRPr="000973F2" w:rsidRDefault="0086415A" w:rsidP="00206831">
            <w:pPr>
              <w:tabs>
                <w:tab w:val="decimal" w:pos="301"/>
              </w:tabs>
              <w:spacing w:before="40" w:after="4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0</w:t>
            </w:r>
          </w:p>
        </w:tc>
        <w:tc>
          <w:tcPr>
            <w:tcW w:w="819" w:type="dxa"/>
            <w:noWrap/>
          </w:tcPr>
          <w:p w14:paraId="0E979E70" w14:textId="77777777" w:rsidR="0086415A" w:rsidRPr="000973F2" w:rsidRDefault="0086415A" w:rsidP="00206831">
            <w:pPr>
              <w:tabs>
                <w:tab w:val="decimal" w:pos="301"/>
              </w:tabs>
              <w:spacing w:before="40" w:after="4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0</w:t>
            </w:r>
          </w:p>
        </w:tc>
        <w:tc>
          <w:tcPr>
            <w:tcW w:w="818" w:type="dxa"/>
            <w:noWrap/>
          </w:tcPr>
          <w:p w14:paraId="69A5E409" w14:textId="77777777" w:rsidR="0086415A" w:rsidRPr="000973F2" w:rsidRDefault="0086415A" w:rsidP="00206831">
            <w:pPr>
              <w:tabs>
                <w:tab w:val="decimal" w:pos="301"/>
              </w:tabs>
              <w:spacing w:before="40" w:after="4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0</w:t>
            </w:r>
          </w:p>
        </w:tc>
        <w:tc>
          <w:tcPr>
            <w:tcW w:w="819" w:type="dxa"/>
            <w:noWrap/>
          </w:tcPr>
          <w:p w14:paraId="1C2A13B3" w14:textId="77777777" w:rsidR="0086415A" w:rsidRPr="000973F2" w:rsidRDefault="0086415A" w:rsidP="00206831">
            <w:pPr>
              <w:tabs>
                <w:tab w:val="decimal" w:pos="301"/>
              </w:tabs>
              <w:spacing w:before="40" w:after="4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3.0</w:t>
            </w:r>
          </w:p>
        </w:tc>
        <w:tc>
          <w:tcPr>
            <w:tcW w:w="818" w:type="dxa"/>
            <w:noWrap/>
          </w:tcPr>
          <w:p w14:paraId="1542791F" w14:textId="77777777" w:rsidR="0086415A" w:rsidRPr="000973F2" w:rsidRDefault="0086415A" w:rsidP="00206831">
            <w:pPr>
              <w:tabs>
                <w:tab w:val="decimal" w:pos="301"/>
              </w:tabs>
              <w:spacing w:before="40" w:after="4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0</w:t>
            </w:r>
          </w:p>
        </w:tc>
        <w:tc>
          <w:tcPr>
            <w:tcW w:w="818" w:type="dxa"/>
            <w:noWrap/>
          </w:tcPr>
          <w:p w14:paraId="322D4B7E" w14:textId="77777777" w:rsidR="0086415A" w:rsidRPr="000973F2" w:rsidRDefault="0086415A" w:rsidP="00206831">
            <w:pPr>
              <w:tabs>
                <w:tab w:val="decimal" w:pos="301"/>
              </w:tabs>
              <w:spacing w:before="40" w:after="4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30.2</w:t>
            </w:r>
          </w:p>
        </w:tc>
        <w:tc>
          <w:tcPr>
            <w:tcW w:w="818" w:type="dxa"/>
            <w:noWrap/>
          </w:tcPr>
          <w:p w14:paraId="0EB5E137" w14:textId="77777777" w:rsidR="0086415A" w:rsidRPr="000973F2" w:rsidRDefault="0086415A" w:rsidP="00206831">
            <w:pPr>
              <w:tabs>
                <w:tab w:val="decimal" w:pos="301"/>
              </w:tabs>
              <w:spacing w:before="40" w:after="4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0</w:t>
            </w:r>
          </w:p>
        </w:tc>
        <w:tc>
          <w:tcPr>
            <w:tcW w:w="819" w:type="dxa"/>
            <w:noWrap/>
          </w:tcPr>
          <w:p w14:paraId="728DB68C" w14:textId="77777777" w:rsidR="0086415A" w:rsidRPr="000973F2" w:rsidRDefault="0086415A" w:rsidP="00206831">
            <w:pPr>
              <w:tabs>
                <w:tab w:val="decimal" w:pos="301"/>
              </w:tabs>
              <w:spacing w:before="40" w:after="4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3.0</w:t>
            </w:r>
          </w:p>
        </w:tc>
        <w:tc>
          <w:tcPr>
            <w:tcW w:w="628" w:type="dxa"/>
            <w:noWrap/>
          </w:tcPr>
          <w:p w14:paraId="41A10235" w14:textId="77777777" w:rsidR="0086415A" w:rsidRPr="000973F2" w:rsidRDefault="0086415A" w:rsidP="00206831">
            <w:pPr>
              <w:tabs>
                <w:tab w:val="decimal" w:pos="301"/>
              </w:tabs>
              <w:spacing w:before="40" w:after="4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$0</w:t>
            </w:r>
          </w:p>
        </w:tc>
        <w:tc>
          <w:tcPr>
            <w:tcW w:w="733" w:type="dxa"/>
            <w:noWrap/>
          </w:tcPr>
          <w:p w14:paraId="58DE9414" w14:textId="77777777" w:rsidR="0086415A" w:rsidRPr="000973F2" w:rsidRDefault="0086415A" w:rsidP="00206831">
            <w:pPr>
              <w:tabs>
                <w:tab w:val="decimal" w:pos="497"/>
              </w:tabs>
              <w:spacing w:before="40" w:after="4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$2,527</w:t>
            </w:r>
          </w:p>
        </w:tc>
      </w:tr>
      <w:tr w:rsidR="00206831" w:rsidRPr="000973F2" w14:paraId="525EB96F" w14:textId="77777777" w:rsidTr="00206831">
        <w:trPr>
          <w:cantSplit/>
        </w:trPr>
        <w:tc>
          <w:tcPr>
            <w:cnfStyle w:val="001000000000" w:firstRow="0" w:lastRow="0" w:firstColumn="1" w:lastColumn="0" w:oddVBand="0" w:evenVBand="0" w:oddHBand="0" w:evenHBand="0" w:firstRowFirstColumn="0" w:firstRowLastColumn="0" w:lastRowFirstColumn="0" w:lastRowLastColumn="0"/>
            <w:tcW w:w="1421" w:type="dxa"/>
          </w:tcPr>
          <w:p w14:paraId="50B87ED9" w14:textId="77777777" w:rsidR="0086415A" w:rsidRPr="000973F2" w:rsidRDefault="0086415A" w:rsidP="00206831">
            <w:pPr>
              <w:spacing w:before="40" w:after="4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Reporting</w:t>
            </w:r>
          </w:p>
        </w:tc>
        <w:tc>
          <w:tcPr>
            <w:tcW w:w="819" w:type="dxa"/>
            <w:noWrap/>
          </w:tcPr>
          <w:p w14:paraId="50E73DB2" w14:textId="77777777" w:rsidR="0086415A" w:rsidRPr="000973F2" w:rsidRDefault="0086415A" w:rsidP="00206831">
            <w:pPr>
              <w:tabs>
                <w:tab w:val="decimal" w:pos="301"/>
              </w:tabs>
              <w:spacing w:before="40" w:after="4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0</w:t>
            </w:r>
          </w:p>
        </w:tc>
        <w:tc>
          <w:tcPr>
            <w:tcW w:w="819" w:type="dxa"/>
            <w:noWrap/>
          </w:tcPr>
          <w:p w14:paraId="5236C0F6" w14:textId="77777777" w:rsidR="0086415A" w:rsidRPr="000973F2" w:rsidRDefault="0086415A" w:rsidP="00206831">
            <w:pPr>
              <w:tabs>
                <w:tab w:val="decimal" w:pos="301"/>
              </w:tabs>
              <w:spacing w:before="40" w:after="4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0</w:t>
            </w:r>
          </w:p>
        </w:tc>
        <w:tc>
          <w:tcPr>
            <w:tcW w:w="818" w:type="dxa"/>
            <w:noWrap/>
          </w:tcPr>
          <w:p w14:paraId="19957B68" w14:textId="77777777" w:rsidR="0086415A" w:rsidRPr="000973F2" w:rsidRDefault="0086415A" w:rsidP="00206831">
            <w:pPr>
              <w:tabs>
                <w:tab w:val="decimal" w:pos="301"/>
              </w:tabs>
              <w:spacing w:before="40" w:after="4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0</w:t>
            </w:r>
          </w:p>
        </w:tc>
        <w:tc>
          <w:tcPr>
            <w:tcW w:w="819" w:type="dxa"/>
            <w:noWrap/>
          </w:tcPr>
          <w:p w14:paraId="16ABF6B0" w14:textId="77777777" w:rsidR="0086415A" w:rsidRPr="000973F2" w:rsidRDefault="0086415A" w:rsidP="00206831">
            <w:pPr>
              <w:tabs>
                <w:tab w:val="decimal" w:pos="301"/>
              </w:tabs>
              <w:spacing w:before="40" w:after="4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1</w:t>
            </w:r>
          </w:p>
        </w:tc>
        <w:tc>
          <w:tcPr>
            <w:tcW w:w="818" w:type="dxa"/>
            <w:noWrap/>
          </w:tcPr>
          <w:p w14:paraId="5E23705D" w14:textId="77777777" w:rsidR="0086415A" w:rsidRPr="000973F2" w:rsidRDefault="0086415A" w:rsidP="00206831">
            <w:pPr>
              <w:tabs>
                <w:tab w:val="decimal" w:pos="301"/>
              </w:tabs>
              <w:spacing w:before="40" w:after="4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0</w:t>
            </w:r>
          </w:p>
        </w:tc>
        <w:tc>
          <w:tcPr>
            <w:tcW w:w="818" w:type="dxa"/>
            <w:noWrap/>
          </w:tcPr>
          <w:p w14:paraId="109A82FE" w14:textId="77777777" w:rsidR="0086415A" w:rsidRPr="000973F2" w:rsidRDefault="0086415A" w:rsidP="00206831">
            <w:pPr>
              <w:tabs>
                <w:tab w:val="decimal" w:pos="301"/>
              </w:tabs>
              <w:spacing w:before="40" w:after="4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10</w:t>
            </w:r>
          </w:p>
        </w:tc>
        <w:tc>
          <w:tcPr>
            <w:tcW w:w="818" w:type="dxa"/>
            <w:noWrap/>
          </w:tcPr>
          <w:p w14:paraId="12A010A2" w14:textId="77777777" w:rsidR="0086415A" w:rsidRPr="000973F2" w:rsidRDefault="0086415A" w:rsidP="00206831">
            <w:pPr>
              <w:tabs>
                <w:tab w:val="decimal" w:pos="301"/>
              </w:tabs>
              <w:spacing w:before="40" w:after="4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0</w:t>
            </w:r>
          </w:p>
        </w:tc>
        <w:tc>
          <w:tcPr>
            <w:tcW w:w="819" w:type="dxa"/>
            <w:noWrap/>
          </w:tcPr>
          <w:p w14:paraId="21AADFD5" w14:textId="77777777" w:rsidR="0086415A" w:rsidRPr="000973F2" w:rsidRDefault="0086415A" w:rsidP="00206831">
            <w:pPr>
              <w:tabs>
                <w:tab w:val="decimal" w:pos="301"/>
              </w:tabs>
              <w:spacing w:before="40" w:after="4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1</w:t>
            </w:r>
          </w:p>
        </w:tc>
        <w:tc>
          <w:tcPr>
            <w:tcW w:w="628" w:type="dxa"/>
            <w:noWrap/>
          </w:tcPr>
          <w:p w14:paraId="3359C512" w14:textId="77777777" w:rsidR="0086415A" w:rsidRPr="000973F2" w:rsidRDefault="0086415A" w:rsidP="00206831">
            <w:pPr>
              <w:tabs>
                <w:tab w:val="decimal" w:pos="301"/>
              </w:tabs>
              <w:spacing w:before="40" w:after="4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$0</w:t>
            </w:r>
          </w:p>
        </w:tc>
        <w:tc>
          <w:tcPr>
            <w:tcW w:w="733" w:type="dxa"/>
            <w:noWrap/>
          </w:tcPr>
          <w:p w14:paraId="15EA2373" w14:textId="77777777" w:rsidR="0086415A" w:rsidRPr="000973F2" w:rsidRDefault="0086415A" w:rsidP="00206831">
            <w:pPr>
              <w:tabs>
                <w:tab w:val="decimal" w:pos="497"/>
              </w:tabs>
              <w:spacing w:before="40" w:after="4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$838</w:t>
            </w:r>
          </w:p>
        </w:tc>
      </w:tr>
      <w:tr w:rsidR="00206831" w:rsidRPr="000973F2" w14:paraId="06825E10" w14:textId="77777777" w:rsidTr="00206831">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1421" w:type="dxa"/>
            <w:noWrap/>
          </w:tcPr>
          <w:p w14:paraId="16FCBC2E" w14:textId="77777777" w:rsidR="0086415A" w:rsidRPr="000973F2" w:rsidRDefault="0086415A" w:rsidP="00206831">
            <w:pPr>
              <w:spacing w:before="40" w:after="40"/>
              <w:rPr>
                <w:rFonts w:ascii="Times New Roman" w:eastAsia="Times New Roman" w:hAnsi="Times New Roman" w:cs="Times New Roman"/>
                <w:b/>
                <w:bCs w:val="0"/>
                <w:sz w:val="18"/>
                <w:szCs w:val="18"/>
              </w:rPr>
            </w:pPr>
            <w:r w:rsidRPr="000973F2">
              <w:rPr>
                <w:rFonts w:ascii="Times New Roman" w:eastAsia="Times New Roman" w:hAnsi="Times New Roman" w:cs="Times New Roman"/>
                <w:b/>
                <w:sz w:val="18"/>
                <w:szCs w:val="18"/>
              </w:rPr>
              <w:t>Total</w:t>
            </w:r>
          </w:p>
        </w:tc>
        <w:tc>
          <w:tcPr>
            <w:tcW w:w="819" w:type="dxa"/>
            <w:noWrap/>
          </w:tcPr>
          <w:p w14:paraId="78CBF6EA" w14:textId="77777777" w:rsidR="0086415A" w:rsidRPr="000973F2" w:rsidRDefault="0086415A" w:rsidP="00206831">
            <w:pPr>
              <w:tabs>
                <w:tab w:val="decimal" w:pos="301"/>
              </w:tabs>
              <w:spacing w:before="40" w:after="4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18"/>
                <w:szCs w:val="18"/>
              </w:rPr>
            </w:pPr>
            <w:r w:rsidRPr="000973F2">
              <w:rPr>
                <w:rFonts w:ascii="Times New Roman" w:eastAsia="Times New Roman" w:hAnsi="Times New Roman" w:cs="Times New Roman"/>
                <w:b/>
                <w:bCs/>
                <w:sz w:val="18"/>
                <w:szCs w:val="18"/>
              </w:rPr>
              <w:t>0</w:t>
            </w:r>
          </w:p>
        </w:tc>
        <w:tc>
          <w:tcPr>
            <w:tcW w:w="819" w:type="dxa"/>
            <w:noWrap/>
          </w:tcPr>
          <w:p w14:paraId="43CC76C7" w14:textId="77777777" w:rsidR="0086415A" w:rsidRPr="000973F2" w:rsidRDefault="0086415A" w:rsidP="00206831">
            <w:pPr>
              <w:tabs>
                <w:tab w:val="decimal" w:pos="301"/>
              </w:tabs>
              <w:spacing w:before="40" w:after="4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18"/>
                <w:szCs w:val="18"/>
              </w:rPr>
            </w:pPr>
            <w:r w:rsidRPr="000973F2">
              <w:rPr>
                <w:rFonts w:ascii="Times New Roman" w:eastAsia="Times New Roman" w:hAnsi="Times New Roman" w:cs="Times New Roman"/>
                <w:b/>
                <w:bCs/>
                <w:sz w:val="18"/>
                <w:szCs w:val="18"/>
              </w:rPr>
              <w:t>2</w:t>
            </w:r>
          </w:p>
        </w:tc>
        <w:tc>
          <w:tcPr>
            <w:tcW w:w="818" w:type="dxa"/>
            <w:noWrap/>
          </w:tcPr>
          <w:p w14:paraId="15F58F3B" w14:textId="77777777" w:rsidR="0086415A" w:rsidRPr="000973F2" w:rsidRDefault="0086415A" w:rsidP="00206831">
            <w:pPr>
              <w:tabs>
                <w:tab w:val="decimal" w:pos="301"/>
              </w:tabs>
              <w:spacing w:before="40" w:after="4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18"/>
                <w:szCs w:val="18"/>
              </w:rPr>
            </w:pPr>
            <w:r w:rsidRPr="000973F2">
              <w:rPr>
                <w:rFonts w:ascii="Times New Roman" w:eastAsia="Times New Roman" w:hAnsi="Times New Roman" w:cs="Times New Roman"/>
                <w:b/>
                <w:bCs/>
                <w:sz w:val="18"/>
                <w:szCs w:val="18"/>
              </w:rPr>
              <w:t>0</w:t>
            </w:r>
          </w:p>
        </w:tc>
        <w:tc>
          <w:tcPr>
            <w:tcW w:w="819" w:type="dxa"/>
            <w:noWrap/>
          </w:tcPr>
          <w:p w14:paraId="0884833C" w14:textId="77777777" w:rsidR="0086415A" w:rsidRPr="000973F2" w:rsidRDefault="0086415A" w:rsidP="00206831">
            <w:pPr>
              <w:tabs>
                <w:tab w:val="decimal" w:pos="301"/>
              </w:tabs>
              <w:spacing w:before="40" w:after="4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18"/>
                <w:szCs w:val="18"/>
              </w:rPr>
            </w:pPr>
            <w:r w:rsidRPr="000973F2">
              <w:rPr>
                <w:rFonts w:ascii="Times New Roman" w:eastAsia="Times New Roman" w:hAnsi="Times New Roman" w:cs="Times New Roman"/>
                <w:b/>
                <w:bCs/>
                <w:sz w:val="18"/>
                <w:szCs w:val="18"/>
              </w:rPr>
              <w:t>9.5</w:t>
            </w:r>
          </w:p>
        </w:tc>
        <w:tc>
          <w:tcPr>
            <w:tcW w:w="818" w:type="dxa"/>
            <w:noWrap/>
          </w:tcPr>
          <w:p w14:paraId="5EAB3C22" w14:textId="77777777" w:rsidR="0086415A" w:rsidRPr="000973F2" w:rsidRDefault="0086415A" w:rsidP="00206831">
            <w:pPr>
              <w:tabs>
                <w:tab w:val="decimal" w:pos="301"/>
              </w:tabs>
              <w:spacing w:before="40" w:after="4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18"/>
                <w:szCs w:val="18"/>
              </w:rPr>
            </w:pPr>
            <w:r w:rsidRPr="000973F2">
              <w:rPr>
                <w:rFonts w:ascii="Times New Roman" w:eastAsia="Times New Roman" w:hAnsi="Times New Roman" w:cs="Times New Roman"/>
                <w:b/>
                <w:bCs/>
                <w:sz w:val="18"/>
                <w:szCs w:val="18"/>
              </w:rPr>
              <w:t>0</w:t>
            </w:r>
          </w:p>
        </w:tc>
        <w:tc>
          <w:tcPr>
            <w:tcW w:w="818" w:type="dxa"/>
            <w:noWrap/>
          </w:tcPr>
          <w:p w14:paraId="6A2ECC0D" w14:textId="77777777" w:rsidR="0086415A" w:rsidRPr="000973F2" w:rsidRDefault="0086415A" w:rsidP="00206831">
            <w:pPr>
              <w:tabs>
                <w:tab w:val="decimal" w:pos="301"/>
              </w:tabs>
              <w:spacing w:before="40" w:after="4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18"/>
                <w:szCs w:val="18"/>
              </w:rPr>
            </w:pPr>
            <w:r w:rsidRPr="000973F2">
              <w:rPr>
                <w:rFonts w:ascii="Times New Roman" w:eastAsia="Times New Roman" w:hAnsi="Times New Roman" w:cs="Times New Roman"/>
                <w:b/>
                <w:bCs/>
                <w:sz w:val="18"/>
                <w:szCs w:val="18"/>
              </w:rPr>
              <w:t>94.8</w:t>
            </w:r>
          </w:p>
        </w:tc>
        <w:tc>
          <w:tcPr>
            <w:tcW w:w="818" w:type="dxa"/>
            <w:noWrap/>
          </w:tcPr>
          <w:p w14:paraId="2056F78D" w14:textId="77777777" w:rsidR="0086415A" w:rsidRPr="000973F2" w:rsidRDefault="0086415A" w:rsidP="00206831">
            <w:pPr>
              <w:tabs>
                <w:tab w:val="decimal" w:pos="301"/>
              </w:tabs>
              <w:spacing w:before="40" w:after="4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18"/>
                <w:szCs w:val="18"/>
              </w:rPr>
            </w:pPr>
            <w:r w:rsidRPr="000973F2">
              <w:rPr>
                <w:rFonts w:ascii="Times New Roman" w:eastAsia="Times New Roman" w:hAnsi="Times New Roman" w:cs="Times New Roman"/>
                <w:b/>
                <w:bCs/>
                <w:sz w:val="18"/>
                <w:szCs w:val="18"/>
              </w:rPr>
              <w:t>0</w:t>
            </w:r>
          </w:p>
        </w:tc>
        <w:tc>
          <w:tcPr>
            <w:tcW w:w="819" w:type="dxa"/>
            <w:noWrap/>
          </w:tcPr>
          <w:p w14:paraId="4363941F" w14:textId="77777777" w:rsidR="0086415A" w:rsidRPr="000973F2" w:rsidRDefault="0086415A" w:rsidP="00206831">
            <w:pPr>
              <w:tabs>
                <w:tab w:val="decimal" w:pos="301"/>
              </w:tabs>
              <w:spacing w:before="40" w:after="4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18"/>
                <w:szCs w:val="18"/>
              </w:rPr>
            </w:pPr>
            <w:r w:rsidRPr="000973F2">
              <w:rPr>
                <w:rFonts w:ascii="Times New Roman" w:eastAsia="Times New Roman" w:hAnsi="Times New Roman" w:cs="Times New Roman"/>
                <w:b/>
                <w:bCs/>
                <w:sz w:val="18"/>
                <w:szCs w:val="18"/>
              </w:rPr>
              <w:t>9.5</w:t>
            </w:r>
          </w:p>
        </w:tc>
        <w:tc>
          <w:tcPr>
            <w:tcW w:w="628" w:type="dxa"/>
            <w:noWrap/>
          </w:tcPr>
          <w:p w14:paraId="5E363011" w14:textId="77777777" w:rsidR="0086415A" w:rsidRPr="000973F2" w:rsidRDefault="0086415A" w:rsidP="00206831">
            <w:pPr>
              <w:tabs>
                <w:tab w:val="decimal" w:pos="301"/>
              </w:tabs>
              <w:spacing w:before="40" w:after="4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18"/>
                <w:szCs w:val="18"/>
              </w:rPr>
            </w:pPr>
            <w:r w:rsidRPr="000973F2">
              <w:rPr>
                <w:rFonts w:ascii="Times New Roman" w:eastAsia="Times New Roman" w:hAnsi="Times New Roman" w:cs="Times New Roman"/>
                <w:b/>
                <w:bCs/>
                <w:sz w:val="18"/>
                <w:szCs w:val="18"/>
              </w:rPr>
              <w:t>$0</w:t>
            </w:r>
          </w:p>
        </w:tc>
        <w:tc>
          <w:tcPr>
            <w:tcW w:w="733" w:type="dxa"/>
            <w:noWrap/>
          </w:tcPr>
          <w:p w14:paraId="5FDEEEF7" w14:textId="77777777" w:rsidR="0086415A" w:rsidRPr="000973F2" w:rsidRDefault="0086415A" w:rsidP="00206831">
            <w:pPr>
              <w:tabs>
                <w:tab w:val="decimal" w:pos="497"/>
              </w:tabs>
              <w:spacing w:before="40" w:after="4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18"/>
                <w:szCs w:val="18"/>
              </w:rPr>
            </w:pPr>
            <w:r w:rsidRPr="000973F2">
              <w:rPr>
                <w:rFonts w:ascii="Times New Roman" w:eastAsia="Times New Roman" w:hAnsi="Times New Roman" w:cs="Times New Roman"/>
                <w:b/>
                <w:bCs/>
                <w:sz w:val="18"/>
                <w:szCs w:val="18"/>
              </w:rPr>
              <w:t>$8,167</w:t>
            </w:r>
          </w:p>
        </w:tc>
      </w:tr>
    </w:tbl>
    <w:p w14:paraId="525F479B" w14:textId="77777777" w:rsidR="0086415A" w:rsidRPr="000973F2" w:rsidRDefault="0086415A" w:rsidP="00C00E4F">
      <w:pPr>
        <w:spacing w:line="240" w:lineRule="auto"/>
        <w:rPr>
          <w:rFonts w:ascii="Times New Roman" w:hAnsi="Times New Roman" w:cs="Times New Roman"/>
          <w:sz w:val="18"/>
          <w:szCs w:val="18"/>
        </w:rPr>
      </w:pPr>
    </w:p>
    <w:p w14:paraId="39311D8D" w14:textId="77777777" w:rsidR="00206831" w:rsidRPr="000973F2" w:rsidRDefault="00206831">
      <w:pPr>
        <w:rPr>
          <w:rFonts w:ascii="Times New Roman" w:hAnsi="Times New Roman" w:cs="Times New Roman"/>
          <w:b/>
          <w:i/>
        </w:rPr>
      </w:pPr>
      <w:r w:rsidRPr="000973F2">
        <w:br w:type="page"/>
      </w:r>
    </w:p>
    <w:p w14:paraId="2C4ADD33" w14:textId="5D91B09B" w:rsidR="0086415A" w:rsidRPr="000973F2" w:rsidRDefault="0086415A" w:rsidP="0061585D">
      <w:pPr>
        <w:pStyle w:val="Heading2"/>
      </w:pPr>
      <w:r w:rsidRPr="000973F2">
        <w:t>Capital and O&amp;M Costs for Subpart Y</w:t>
      </w:r>
    </w:p>
    <w:p w14:paraId="6B900E8D" w14:textId="2E325FCB" w:rsidR="0086415A" w:rsidRPr="000973F2" w:rsidRDefault="0086415A" w:rsidP="00206831">
      <w:pPr>
        <w:pStyle w:val="BodyText"/>
      </w:pPr>
      <w:r w:rsidRPr="000973F2">
        <w:t xml:space="preserve">Most calculation methodologies in Subpart Y require use of measurement methods when they are already in use at the facility, but provide simpler, default methods when measurement data are not available. There are no mandatory testing requirements or sampling requirements for Subpart Y (except for sampling of refinery fuel gas, the burden for which is included in Subpart C). Table </w:t>
      </w:r>
      <w:r w:rsidR="00206831" w:rsidRPr="000973F2">
        <w:t>Y-</w:t>
      </w:r>
      <w:r w:rsidRPr="000973F2">
        <w:t xml:space="preserve">3 is a summary of the anticipated operating and maintenance (O&amp;M) costs for each Subpart Y facility. </w:t>
      </w:r>
      <w:r w:rsidRPr="000973F2">
        <w:rPr>
          <w:szCs w:val="24"/>
        </w:rPr>
        <w:t>The O&amp;M costs associated with recordkeeping are discussed in the Cost Appendix Introduction. No capital costs are expected to be incurred due to Subpart Y.</w:t>
      </w:r>
    </w:p>
    <w:p w14:paraId="3B36BEAF" w14:textId="4AF915A5" w:rsidR="00D826A6" w:rsidRPr="000973F2" w:rsidRDefault="00D826A6" w:rsidP="00206831">
      <w:pPr>
        <w:pStyle w:val="Tabletitle"/>
        <w:rPr>
          <w:sz w:val="32"/>
        </w:rPr>
      </w:pPr>
      <w:r w:rsidRPr="000973F2">
        <w:t xml:space="preserve">Table </w:t>
      </w:r>
      <w:r w:rsidR="00206831" w:rsidRPr="000973F2">
        <w:t>Y-</w:t>
      </w:r>
      <w:r w:rsidRPr="000973F2">
        <w:t>3. Capital and O&amp;M Costs</w:t>
      </w:r>
      <w:r w:rsidR="00B00E3D" w:rsidRPr="000973F2">
        <w:t xml:space="preserve"> </w:t>
      </w:r>
      <w:r w:rsidR="00B960CC" w:rsidRPr="000973F2">
        <w:t>–</w:t>
      </w:r>
      <w:r w:rsidR="00B00E3D" w:rsidRPr="000973F2">
        <w:t xml:space="preserve"> </w:t>
      </w:r>
      <w:r w:rsidRPr="000973F2">
        <w:t>Subpart Y</w:t>
      </w:r>
      <w:r w:rsidR="00B00E3D" w:rsidRPr="000973F2">
        <w:t xml:space="preserve"> </w:t>
      </w:r>
      <w:r w:rsidR="00B960CC" w:rsidRPr="000973F2">
        <w:t>–</w:t>
      </w:r>
      <w:r w:rsidR="00B00E3D" w:rsidRPr="000973F2">
        <w:t xml:space="preserve"> </w:t>
      </w:r>
      <w:r w:rsidRPr="000973F2">
        <w:t>All Refineries</w:t>
      </w:r>
    </w:p>
    <w:tbl>
      <w:tblPr>
        <w:tblStyle w:val="PlainTable1"/>
        <w:tblW w:w="5000" w:type="pct"/>
        <w:jc w:val="left"/>
        <w:tblLayout w:type="fixed"/>
        <w:tblCellMar>
          <w:left w:w="115" w:type="dxa"/>
          <w:right w:w="115" w:type="dxa"/>
        </w:tblCellMar>
        <w:tblLook w:val="04A0" w:firstRow="1" w:lastRow="0" w:firstColumn="1" w:lastColumn="0" w:noHBand="0" w:noVBand="1"/>
      </w:tblPr>
      <w:tblGrid>
        <w:gridCol w:w="1926"/>
        <w:gridCol w:w="1277"/>
        <w:gridCol w:w="1278"/>
        <w:gridCol w:w="1277"/>
        <w:gridCol w:w="1257"/>
        <w:gridCol w:w="1297"/>
        <w:gridCol w:w="1278"/>
      </w:tblGrid>
      <w:tr w:rsidR="00D17312" w:rsidRPr="000973F2" w14:paraId="18C79BAF" w14:textId="77777777" w:rsidTr="0083119C">
        <w:trPr>
          <w:cnfStyle w:val="100000000000" w:firstRow="1" w:lastRow="0" w:firstColumn="0" w:lastColumn="0" w:oddVBand="0" w:evenVBand="0" w:oddHBand="0" w:evenHBand="0" w:firstRowFirstColumn="0" w:firstRowLastColumn="0" w:lastRowFirstColumn="0" w:lastRowLastColumn="0"/>
          <w:cantSplit/>
          <w:jc w:val="left"/>
        </w:trPr>
        <w:tc>
          <w:tcPr>
            <w:cnfStyle w:val="001000000000" w:firstRow="0" w:lastRow="0" w:firstColumn="1" w:lastColumn="0" w:oddVBand="0" w:evenVBand="0" w:oddHBand="0" w:evenHBand="0" w:firstRowFirstColumn="0" w:firstRowLastColumn="0" w:lastRowFirstColumn="0" w:lastRowLastColumn="0"/>
            <w:tcW w:w="1875" w:type="dxa"/>
            <w:vMerge w:val="restart"/>
            <w:noWrap/>
            <w:vAlign w:val="top"/>
          </w:tcPr>
          <w:p w14:paraId="67A102B8" w14:textId="77777777" w:rsidR="00D17312" w:rsidRPr="000973F2" w:rsidRDefault="00D17312" w:rsidP="00206831">
            <w:pPr>
              <w:spacing w:before="40" w:after="40"/>
              <w:rPr>
                <w:rFonts w:ascii="Times New Roman" w:eastAsia="Times New Roman" w:hAnsi="Times New Roman" w:cs="Times New Roman"/>
                <w:bCs w:val="0"/>
                <w:sz w:val="18"/>
                <w:szCs w:val="18"/>
              </w:rPr>
            </w:pPr>
            <w:r w:rsidRPr="000973F2">
              <w:rPr>
                <w:rFonts w:ascii="Times New Roman" w:eastAsia="Times New Roman" w:hAnsi="Times New Roman" w:cs="Times New Roman"/>
                <w:bCs w:val="0"/>
                <w:sz w:val="18"/>
                <w:szCs w:val="18"/>
              </w:rPr>
              <w:t>Activity</w:t>
            </w:r>
          </w:p>
        </w:tc>
        <w:tc>
          <w:tcPr>
            <w:tcW w:w="4950" w:type="dxa"/>
            <w:gridSpan w:val="4"/>
            <w:noWrap/>
            <w:vAlign w:val="top"/>
          </w:tcPr>
          <w:p w14:paraId="26F245EE" w14:textId="77777777" w:rsidR="00D17312" w:rsidRPr="000973F2" w:rsidRDefault="00D17312" w:rsidP="00206831">
            <w:pPr>
              <w:spacing w:before="40" w:after="40"/>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Cs w:val="0"/>
                <w:sz w:val="18"/>
                <w:szCs w:val="18"/>
              </w:rPr>
            </w:pPr>
            <w:r w:rsidRPr="000973F2">
              <w:rPr>
                <w:rFonts w:ascii="Times New Roman" w:eastAsia="Times New Roman" w:hAnsi="Times New Roman" w:cs="Times New Roman"/>
                <w:bCs w:val="0"/>
                <w:sz w:val="18"/>
                <w:szCs w:val="18"/>
              </w:rPr>
              <w:t>Cost Categories</w:t>
            </w:r>
          </w:p>
        </w:tc>
        <w:tc>
          <w:tcPr>
            <w:tcW w:w="2505" w:type="dxa"/>
            <w:gridSpan w:val="2"/>
            <w:vAlign w:val="top"/>
          </w:tcPr>
          <w:p w14:paraId="37718351" w14:textId="77777777" w:rsidR="00D17312" w:rsidRPr="000973F2" w:rsidRDefault="00D17312" w:rsidP="00206831">
            <w:pPr>
              <w:spacing w:before="40" w:after="40"/>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Cs w:val="0"/>
                <w:sz w:val="18"/>
                <w:szCs w:val="18"/>
              </w:rPr>
            </w:pPr>
            <w:r w:rsidRPr="000973F2">
              <w:rPr>
                <w:rFonts w:ascii="Times New Roman" w:eastAsia="Times New Roman" w:hAnsi="Times New Roman" w:cs="Times New Roman"/>
                <w:bCs w:val="0"/>
                <w:sz w:val="18"/>
                <w:szCs w:val="18"/>
              </w:rPr>
              <w:t>Total Capital and O&amp;M Cost per Year per Facility (2017$)</w:t>
            </w:r>
          </w:p>
        </w:tc>
      </w:tr>
      <w:tr w:rsidR="00D17312" w:rsidRPr="000973F2" w14:paraId="1C39412D" w14:textId="77777777" w:rsidTr="0083119C">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1875" w:type="dxa"/>
            <w:vMerge/>
            <w:noWrap/>
          </w:tcPr>
          <w:p w14:paraId="3CAC5992" w14:textId="77777777" w:rsidR="00D17312" w:rsidRPr="000973F2" w:rsidRDefault="00D17312" w:rsidP="00206831">
            <w:pPr>
              <w:spacing w:before="40" w:after="40"/>
              <w:jc w:val="center"/>
              <w:rPr>
                <w:rFonts w:ascii="Times New Roman" w:eastAsia="Times New Roman" w:hAnsi="Times New Roman" w:cs="Times New Roman"/>
                <w:b/>
                <w:bCs w:val="0"/>
                <w:sz w:val="18"/>
                <w:szCs w:val="18"/>
              </w:rPr>
            </w:pPr>
          </w:p>
        </w:tc>
        <w:tc>
          <w:tcPr>
            <w:tcW w:w="1242" w:type="dxa"/>
          </w:tcPr>
          <w:p w14:paraId="3AF51D71" w14:textId="77777777" w:rsidR="00D17312" w:rsidRPr="000973F2" w:rsidRDefault="00D17312" w:rsidP="00206831">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18"/>
                <w:szCs w:val="18"/>
              </w:rPr>
            </w:pPr>
            <w:r w:rsidRPr="000973F2">
              <w:rPr>
                <w:rFonts w:ascii="Times New Roman" w:eastAsia="Times New Roman" w:hAnsi="Times New Roman" w:cs="Times New Roman"/>
                <w:b/>
                <w:bCs/>
                <w:sz w:val="18"/>
                <w:szCs w:val="18"/>
              </w:rPr>
              <w:t>Capital Cost</w:t>
            </w:r>
          </w:p>
        </w:tc>
        <w:tc>
          <w:tcPr>
            <w:tcW w:w="1243" w:type="dxa"/>
          </w:tcPr>
          <w:p w14:paraId="68774500" w14:textId="77777777" w:rsidR="00D17312" w:rsidRPr="000973F2" w:rsidRDefault="00D17312" w:rsidP="00206831">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18"/>
                <w:szCs w:val="18"/>
              </w:rPr>
            </w:pPr>
            <w:r w:rsidRPr="000973F2">
              <w:rPr>
                <w:rFonts w:ascii="Times New Roman" w:eastAsia="Times New Roman" w:hAnsi="Times New Roman" w:cs="Times New Roman"/>
                <w:b/>
                <w:bCs/>
                <w:sz w:val="18"/>
                <w:szCs w:val="18"/>
              </w:rPr>
              <w:t>Equipment Lifetime</w:t>
            </w:r>
          </w:p>
        </w:tc>
        <w:tc>
          <w:tcPr>
            <w:tcW w:w="1242" w:type="dxa"/>
          </w:tcPr>
          <w:p w14:paraId="429EFFBF" w14:textId="77777777" w:rsidR="00D17312" w:rsidRPr="000973F2" w:rsidRDefault="00D17312" w:rsidP="00206831">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18"/>
                <w:szCs w:val="18"/>
              </w:rPr>
            </w:pPr>
            <w:r w:rsidRPr="000973F2">
              <w:rPr>
                <w:rFonts w:ascii="Times New Roman" w:eastAsia="Times New Roman" w:hAnsi="Times New Roman" w:cs="Times New Roman"/>
                <w:b/>
                <w:bCs/>
                <w:sz w:val="18"/>
                <w:szCs w:val="18"/>
              </w:rPr>
              <w:t>Annualized Capital Cost (2017$/year)</w:t>
            </w:r>
          </w:p>
        </w:tc>
        <w:tc>
          <w:tcPr>
            <w:tcW w:w="1223" w:type="dxa"/>
          </w:tcPr>
          <w:p w14:paraId="68C607B1" w14:textId="77777777" w:rsidR="00D17312" w:rsidRPr="000973F2" w:rsidRDefault="00D17312" w:rsidP="00206831">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18"/>
                <w:szCs w:val="18"/>
              </w:rPr>
            </w:pPr>
            <w:r w:rsidRPr="000973F2">
              <w:rPr>
                <w:rFonts w:ascii="Times New Roman" w:eastAsia="Times New Roman" w:hAnsi="Times New Roman" w:cs="Times New Roman"/>
                <w:b/>
                <w:bCs/>
                <w:sz w:val="18"/>
                <w:szCs w:val="18"/>
              </w:rPr>
              <w:t>O&amp;M Costs (2017$/year)</w:t>
            </w:r>
          </w:p>
        </w:tc>
        <w:tc>
          <w:tcPr>
            <w:tcW w:w="1262" w:type="dxa"/>
          </w:tcPr>
          <w:p w14:paraId="1022122E" w14:textId="77777777" w:rsidR="00D17312" w:rsidRPr="000973F2" w:rsidRDefault="00D17312" w:rsidP="00206831">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18"/>
                <w:szCs w:val="18"/>
              </w:rPr>
            </w:pPr>
            <w:r w:rsidRPr="000973F2">
              <w:rPr>
                <w:rFonts w:ascii="Times New Roman" w:eastAsia="Times New Roman" w:hAnsi="Times New Roman" w:cs="Times New Roman"/>
                <w:b/>
                <w:bCs/>
                <w:sz w:val="18"/>
                <w:szCs w:val="18"/>
              </w:rPr>
              <w:t>Initial Year</w:t>
            </w:r>
          </w:p>
        </w:tc>
        <w:tc>
          <w:tcPr>
            <w:tcW w:w="1243" w:type="dxa"/>
          </w:tcPr>
          <w:p w14:paraId="06203260" w14:textId="77777777" w:rsidR="00D17312" w:rsidRPr="000973F2" w:rsidRDefault="00D17312" w:rsidP="00206831">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18"/>
                <w:szCs w:val="18"/>
              </w:rPr>
            </w:pPr>
            <w:r w:rsidRPr="000973F2">
              <w:rPr>
                <w:rFonts w:ascii="Times New Roman" w:eastAsia="Times New Roman" w:hAnsi="Times New Roman" w:cs="Times New Roman"/>
                <w:b/>
                <w:bCs/>
                <w:sz w:val="18"/>
                <w:szCs w:val="18"/>
              </w:rPr>
              <w:t>Subseq. Years</w:t>
            </w:r>
          </w:p>
        </w:tc>
      </w:tr>
      <w:tr w:rsidR="00206831" w:rsidRPr="000973F2" w14:paraId="4DA00CCD" w14:textId="77777777" w:rsidTr="0083119C">
        <w:trPr>
          <w:cantSplit/>
        </w:trPr>
        <w:tc>
          <w:tcPr>
            <w:cnfStyle w:val="001000000000" w:firstRow="0" w:lastRow="0" w:firstColumn="1" w:lastColumn="0" w:oddVBand="0" w:evenVBand="0" w:oddHBand="0" w:evenHBand="0" w:firstRowFirstColumn="0" w:firstRowLastColumn="0" w:lastRowFirstColumn="0" w:lastRowLastColumn="0"/>
            <w:tcW w:w="1875" w:type="dxa"/>
          </w:tcPr>
          <w:p w14:paraId="5B862CF1" w14:textId="77777777" w:rsidR="00206831" w:rsidRPr="000973F2" w:rsidRDefault="00206831" w:rsidP="00206831">
            <w:pPr>
              <w:spacing w:before="40" w:after="4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Equipment (selection, purchase, installation)</w:t>
            </w:r>
          </w:p>
        </w:tc>
        <w:tc>
          <w:tcPr>
            <w:tcW w:w="1242" w:type="dxa"/>
            <w:noWrap/>
          </w:tcPr>
          <w:p w14:paraId="45771256" w14:textId="0F50052D" w:rsidR="00206831" w:rsidRPr="000973F2" w:rsidRDefault="00206831" w:rsidP="0083119C">
            <w:pPr>
              <w:spacing w:before="40" w:after="4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w:t>
            </w:r>
          </w:p>
        </w:tc>
        <w:tc>
          <w:tcPr>
            <w:tcW w:w="1243" w:type="dxa"/>
            <w:noWrap/>
          </w:tcPr>
          <w:p w14:paraId="04073F98" w14:textId="095A3950" w:rsidR="00206831" w:rsidRPr="000973F2" w:rsidRDefault="00206831" w:rsidP="0083119C">
            <w:pPr>
              <w:spacing w:before="40" w:after="4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p>
        </w:tc>
        <w:tc>
          <w:tcPr>
            <w:tcW w:w="1242" w:type="dxa"/>
            <w:noWrap/>
          </w:tcPr>
          <w:p w14:paraId="251F4F3C" w14:textId="0F6F770A" w:rsidR="00206831" w:rsidRPr="000973F2" w:rsidRDefault="00206831" w:rsidP="0083119C">
            <w:pPr>
              <w:spacing w:before="40" w:after="4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w:t>
            </w:r>
          </w:p>
        </w:tc>
        <w:tc>
          <w:tcPr>
            <w:tcW w:w="1223" w:type="dxa"/>
            <w:noWrap/>
          </w:tcPr>
          <w:p w14:paraId="3D2F804C" w14:textId="404FD5A2" w:rsidR="00206831" w:rsidRPr="000973F2" w:rsidRDefault="00206831" w:rsidP="0083119C">
            <w:pPr>
              <w:spacing w:before="40" w:after="4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w:t>
            </w:r>
          </w:p>
        </w:tc>
        <w:tc>
          <w:tcPr>
            <w:tcW w:w="1262" w:type="dxa"/>
            <w:noWrap/>
          </w:tcPr>
          <w:p w14:paraId="6259B2BB" w14:textId="53CEFAEC" w:rsidR="00206831" w:rsidRPr="000973F2" w:rsidRDefault="00206831" w:rsidP="0083119C">
            <w:pPr>
              <w:spacing w:before="40" w:after="4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w:t>
            </w:r>
          </w:p>
        </w:tc>
        <w:tc>
          <w:tcPr>
            <w:tcW w:w="1243" w:type="dxa"/>
            <w:noWrap/>
          </w:tcPr>
          <w:p w14:paraId="262AA8F2" w14:textId="457DA2BB" w:rsidR="00206831" w:rsidRPr="000973F2" w:rsidRDefault="00206831" w:rsidP="0083119C">
            <w:pPr>
              <w:spacing w:before="40" w:after="4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w:t>
            </w:r>
          </w:p>
        </w:tc>
      </w:tr>
      <w:tr w:rsidR="00206831" w:rsidRPr="000973F2" w14:paraId="241B6A97" w14:textId="77777777" w:rsidTr="0083119C">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1875" w:type="dxa"/>
          </w:tcPr>
          <w:p w14:paraId="1017F9DB" w14:textId="77777777" w:rsidR="00206831" w:rsidRPr="000973F2" w:rsidRDefault="00206831" w:rsidP="00206831">
            <w:pPr>
              <w:spacing w:before="40" w:after="4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Performance testing</w:t>
            </w:r>
          </w:p>
        </w:tc>
        <w:tc>
          <w:tcPr>
            <w:tcW w:w="1242" w:type="dxa"/>
            <w:noWrap/>
          </w:tcPr>
          <w:p w14:paraId="02D8F0D2" w14:textId="1DDB6ADB" w:rsidR="00206831" w:rsidRPr="000973F2" w:rsidRDefault="00206831" w:rsidP="0083119C">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w:t>
            </w:r>
          </w:p>
        </w:tc>
        <w:tc>
          <w:tcPr>
            <w:tcW w:w="1243" w:type="dxa"/>
            <w:noWrap/>
          </w:tcPr>
          <w:p w14:paraId="579B6CD9" w14:textId="65556144" w:rsidR="00206831" w:rsidRPr="000973F2" w:rsidRDefault="00206831" w:rsidP="0083119C">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p>
        </w:tc>
        <w:tc>
          <w:tcPr>
            <w:tcW w:w="1242" w:type="dxa"/>
            <w:noWrap/>
          </w:tcPr>
          <w:p w14:paraId="00ABA265" w14:textId="4E09FBB6" w:rsidR="00206831" w:rsidRPr="000973F2" w:rsidRDefault="00206831" w:rsidP="0083119C">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w:t>
            </w:r>
          </w:p>
        </w:tc>
        <w:tc>
          <w:tcPr>
            <w:tcW w:w="1223" w:type="dxa"/>
            <w:noWrap/>
          </w:tcPr>
          <w:p w14:paraId="5381B3D6" w14:textId="5752D55D" w:rsidR="00206831" w:rsidRPr="000973F2" w:rsidRDefault="00206831" w:rsidP="0083119C">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w:t>
            </w:r>
          </w:p>
        </w:tc>
        <w:tc>
          <w:tcPr>
            <w:tcW w:w="1262" w:type="dxa"/>
            <w:noWrap/>
          </w:tcPr>
          <w:p w14:paraId="31DD0CF5" w14:textId="117B7CBB" w:rsidR="00206831" w:rsidRPr="000973F2" w:rsidRDefault="00206831" w:rsidP="0083119C">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w:t>
            </w:r>
          </w:p>
        </w:tc>
        <w:tc>
          <w:tcPr>
            <w:tcW w:w="1243" w:type="dxa"/>
            <w:noWrap/>
          </w:tcPr>
          <w:p w14:paraId="0846EDBF" w14:textId="6BC46B7D" w:rsidR="00206831" w:rsidRPr="000973F2" w:rsidRDefault="00206831" w:rsidP="0083119C">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w:t>
            </w:r>
          </w:p>
        </w:tc>
      </w:tr>
      <w:tr w:rsidR="0086415A" w:rsidRPr="000973F2" w14:paraId="2966CC6F" w14:textId="77777777" w:rsidTr="0083119C">
        <w:trPr>
          <w:cantSplit/>
        </w:trPr>
        <w:tc>
          <w:tcPr>
            <w:cnfStyle w:val="001000000000" w:firstRow="0" w:lastRow="0" w:firstColumn="1" w:lastColumn="0" w:oddVBand="0" w:evenVBand="0" w:oddHBand="0" w:evenHBand="0" w:firstRowFirstColumn="0" w:firstRowLastColumn="0" w:lastRowFirstColumn="0" w:lastRowLastColumn="0"/>
            <w:tcW w:w="1875" w:type="dxa"/>
          </w:tcPr>
          <w:p w14:paraId="4AD4F128" w14:textId="77777777" w:rsidR="0086415A" w:rsidRPr="000973F2" w:rsidRDefault="0086415A" w:rsidP="00206831">
            <w:pPr>
              <w:spacing w:before="40" w:after="4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Recordkeeping</w:t>
            </w:r>
          </w:p>
        </w:tc>
        <w:tc>
          <w:tcPr>
            <w:tcW w:w="1242" w:type="dxa"/>
            <w:noWrap/>
          </w:tcPr>
          <w:p w14:paraId="66345E40" w14:textId="77777777" w:rsidR="0086415A" w:rsidRPr="000973F2" w:rsidRDefault="0086415A" w:rsidP="0083119C">
            <w:pPr>
              <w:spacing w:before="40" w:after="4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$0</w:t>
            </w:r>
          </w:p>
        </w:tc>
        <w:tc>
          <w:tcPr>
            <w:tcW w:w="1243" w:type="dxa"/>
            <w:noWrap/>
          </w:tcPr>
          <w:p w14:paraId="0210AB79" w14:textId="77777777" w:rsidR="0086415A" w:rsidRPr="000973F2" w:rsidRDefault="0086415A" w:rsidP="0083119C">
            <w:pPr>
              <w:spacing w:before="40" w:after="4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p>
        </w:tc>
        <w:tc>
          <w:tcPr>
            <w:tcW w:w="1242" w:type="dxa"/>
            <w:noWrap/>
          </w:tcPr>
          <w:p w14:paraId="548EFBDA" w14:textId="77777777" w:rsidR="0086415A" w:rsidRPr="000973F2" w:rsidRDefault="0086415A" w:rsidP="0083119C">
            <w:pPr>
              <w:spacing w:before="40" w:after="4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$0</w:t>
            </w:r>
          </w:p>
        </w:tc>
        <w:tc>
          <w:tcPr>
            <w:tcW w:w="1223" w:type="dxa"/>
            <w:noWrap/>
          </w:tcPr>
          <w:p w14:paraId="0C60AB33" w14:textId="77777777" w:rsidR="0086415A" w:rsidRPr="000973F2" w:rsidRDefault="0086415A" w:rsidP="0083119C">
            <w:pPr>
              <w:spacing w:before="40" w:after="4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$50</w:t>
            </w:r>
          </w:p>
        </w:tc>
        <w:tc>
          <w:tcPr>
            <w:tcW w:w="1262" w:type="dxa"/>
            <w:noWrap/>
          </w:tcPr>
          <w:p w14:paraId="73947534" w14:textId="77777777" w:rsidR="0086415A" w:rsidRPr="000973F2" w:rsidRDefault="0086415A" w:rsidP="0083119C">
            <w:pPr>
              <w:spacing w:before="40" w:after="4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$0</w:t>
            </w:r>
          </w:p>
        </w:tc>
        <w:tc>
          <w:tcPr>
            <w:tcW w:w="1243" w:type="dxa"/>
            <w:noWrap/>
          </w:tcPr>
          <w:p w14:paraId="21613624" w14:textId="77777777" w:rsidR="0086415A" w:rsidRPr="000973F2" w:rsidRDefault="0086415A" w:rsidP="0083119C">
            <w:pPr>
              <w:spacing w:before="40" w:after="4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$50</w:t>
            </w:r>
          </w:p>
        </w:tc>
      </w:tr>
      <w:tr w:rsidR="00206831" w:rsidRPr="000973F2" w14:paraId="14FF80B3" w14:textId="77777777" w:rsidTr="0083119C">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1875" w:type="dxa"/>
          </w:tcPr>
          <w:p w14:paraId="67BD917E" w14:textId="77777777" w:rsidR="00206831" w:rsidRPr="000973F2" w:rsidRDefault="00206831" w:rsidP="00206831">
            <w:pPr>
              <w:spacing w:before="40" w:after="4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Travel</w:t>
            </w:r>
          </w:p>
        </w:tc>
        <w:tc>
          <w:tcPr>
            <w:tcW w:w="1242" w:type="dxa"/>
            <w:noWrap/>
          </w:tcPr>
          <w:p w14:paraId="6E838070" w14:textId="0B68914D" w:rsidR="00206831" w:rsidRPr="000973F2" w:rsidRDefault="00206831" w:rsidP="0083119C">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w:t>
            </w:r>
          </w:p>
        </w:tc>
        <w:tc>
          <w:tcPr>
            <w:tcW w:w="1243" w:type="dxa"/>
            <w:noWrap/>
          </w:tcPr>
          <w:p w14:paraId="45E33795" w14:textId="6EA78DAE" w:rsidR="00206831" w:rsidRPr="000973F2" w:rsidRDefault="00206831" w:rsidP="0083119C">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p>
        </w:tc>
        <w:tc>
          <w:tcPr>
            <w:tcW w:w="1242" w:type="dxa"/>
            <w:noWrap/>
          </w:tcPr>
          <w:p w14:paraId="38D82260" w14:textId="72AAD224" w:rsidR="00206831" w:rsidRPr="000973F2" w:rsidRDefault="00206831" w:rsidP="0083119C">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w:t>
            </w:r>
          </w:p>
        </w:tc>
        <w:tc>
          <w:tcPr>
            <w:tcW w:w="1223" w:type="dxa"/>
            <w:noWrap/>
          </w:tcPr>
          <w:p w14:paraId="56AB8F25" w14:textId="256AD399" w:rsidR="00206831" w:rsidRPr="000973F2" w:rsidRDefault="00206831" w:rsidP="0083119C">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w:t>
            </w:r>
          </w:p>
        </w:tc>
        <w:tc>
          <w:tcPr>
            <w:tcW w:w="1262" w:type="dxa"/>
            <w:noWrap/>
          </w:tcPr>
          <w:p w14:paraId="0E9F6938" w14:textId="65CC28E3" w:rsidR="00206831" w:rsidRPr="000973F2" w:rsidRDefault="00206831" w:rsidP="0083119C">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w:t>
            </w:r>
          </w:p>
        </w:tc>
        <w:tc>
          <w:tcPr>
            <w:tcW w:w="1243" w:type="dxa"/>
            <w:noWrap/>
          </w:tcPr>
          <w:p w14:paraId="1494369A" w14:textId="74084FA3" w:rsidR="00206831" w:rsidRPr="000973F2" w:rsidRDefault="00206831" w:rsidP="0083119C">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w:t>
            </w:r>
          </w:p>
        </w:tc>
      </w:tr>
      <w:tr w:rsidR="00206831" w:rsidRPr="000973F2" w14:paraId="776C3FAF" w14:textId="77777777" w:rsidTr="0083119C">
        <w:trPr>
          <w:cantSplit/>
        </w:trPr>
        <w:tc>
          <w:tcPr>
            <w:cnfStyle w:val="001000000000" w:firstRow="0" w:lastRow="0" w:firstColumn="1" w:lastColumn="0" w:oddVBand="0" w:evenVBand="0" w:oddHBand="0" w:evenHBand="0" w:firstRowFirstColumn="0" w:firstRowLastColumn="0" w:lastRowFirstColumn="0" w:lastRowLastColumn="0"/>
            <w:tcW w:w="1875" w:type="dxa"/>
          </w:tcPr>
          <w:p w14:paraId="28F902D5" w14:textId="42DFA978" w:rsidR="00206831" w:rsidRPr="000973F2" w:rsidRDefault="00206831" w:rsidP="00206831">
            <w:pPr>
              <w:spacing w:before="40" w:after="4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Sampling and Analysis Costs</w:t>
            </w:r>
          </w:p>
        </w:tc>
        <w:tc>
          <w:tcPr>
            <w:tcW w:w="1242" w:type="dxa"/>
            <w:noWrap/>
          </w:tcPr>
          <w:p w14:paraId="73EE7ADF" w14:textId="645A615A" w:rsidR="00206831" w:rsidRPr="000973F2" w:rsidRDefault="00206831" w:rsidP="0083119C">
            <w:pPr>
              <w:spacing w:before="40" w:after="4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w:t>
            </w:r>
          </w:p>
        </w:tc>
        <w:tc>
          <w:tcPr>
            <w:tcW w:w="1243" w:type="dxa"/>
            <w:noWrap/>
          </w:tcPr>
          <w:p w14:paraId="1EECA085" w14:textId="2CF34A8B" w:rsidR="00206831" w:rsidRPr="000973F2" w:rsidRDefault="00206831" w:rsidP="0083119C">
            <w:pPr>
              <w:spacing w:before="40" w:after="4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p>
        </w:tc>
        <w:tc>
          <w:tcPr>
            <w:tcW w:w="1242" w:type="dxa"/>
            <w:noWrap/>
          </w:tcPr>
          <w:p w14:paraId="76D6CA2E" w14:textId="7B77D6BB" w:rsidR="00206831" w:rsidRPr="000973F2" w:rsidRDefault="00206831" w:rsidP="0083119C">
            <w:pPr>
              <w:spacing w:before="40" w:after="4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w:t>
            </w:r>
          </w:p>
        </w:tc>
        <w:tc>
          <w:tcPr>
            <w:tcW w:w="1223" w:type="dxa"/>
            <w:noWrap/>
          </w:tcPr>
          <w:p w14:paraId="29174BEF" w14:textId="6E2846A0" w:rsidR="00206831" w:rsidRPr="000973F2" w:rsidRDefault="00206831" w:rsidP="0083119C">
            <w:pPr>
              <w:spacing w:before="40" w:after="4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w:t>
            </w:r>
          </w:p>
        </w:tc>
        <w:tc>
          <w:tcPr>
            <w:tcW w:w="1262" w:type="dxa"/>
            <w:noWrap/>
          </w:tcPr>
          <w:p w14:paraId="7DC8E829" w14:textId="71CF0E82" w:rsidR="00206831" w:rsidRPr="000973F2" w:rsidRDefault="00206831" w:rsidP="0083119C">
            <w:pPr>
              <w:spacing w:before="40" w:after="4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w:t>
            </w:r>
          </w:p>
        </w:tc>
        <w:tc>
          <w:tcPr>
            <w:tcW w:w="1243" w:type="dxa"/>
            <w:noWrap/>
          </w:tcPr>
          <w:p w14:paraId="1F7F7305" w14:textId="32EAA422" w:rsidR="00206831" w:rsidRPr="000973F2" w:rsidRDefault="00206831" w:rsidP="0083119C">
            <w:pPr>
              <w:spacing w:before="40" w:after="4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w:t>
            </w:r>
          </w:p>
        </w:tc>
      </w:tr>
      <w:tr w:rsidR="0086415A" w:rsidRPr="000973F2" w14:paraId="10EC65F5" w14:textId="77777777" w:rsidTr="0083119C">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1875" w:type="dxa"/>
          </w:tcPr>
          <w:p w14:paraId="0ED4179C" w14:textId="77777777" w:rsidR="0086415A" w:rsidRPr="000973F2" w:rsidRDefault="0086415A" w:rsidP="00206831">
            <w:pPr>
              <w:spacing w:before="40" w:after="40"/>
              <w:rPr>
                <w:rFonts w:ascii="Times New Roman" w:eastAsia="Times New Roman" w:hAnsi="Times New Roman" w:cs="Times New Roman"/>
                <w:b/>
                <w:bCs w:val="0"/>
                <w:sz w:val="18"/>
                <w:szCs w:val="18"/>
              </w:rPr>
            </w:pPr>
            <w:r w:rsidRPr="000973F2">
              <w:rPr>
                <w:rFonts w:ascii="Times New Roman" w:eastAsia="Times New Roman" w:hAnsi="Times New Roman" w:cs="Times New Roman"/>
                <w:b/>
                <w:sz w:val="18"/>
                <w:szCs w:val="18"/>
              </w:rPr>
              <w:t xml:space="preserve">Total </w:t>
            </w:r>
          </w:p>
        </w:tc>
        <w:tc>
          <w:tcPr>
            <w:tcW w:w="1242" w:type="dxa"/>
            <w:noWrap/>
          </w:tcPr>
          <w:p w14:paraId="799A7909" w14:textId="77777777" w:rsidR="0086415A" w:rsidRPr="000973F2" w:rsidRDefault="0086415A" w:rsidP="0083119C">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b/>
                <w:sz w:val="18"/>
                <w:szCs w:val="18"/>
              </w:rPr>
              <w:t>$0</w:t>
            </w:r>
          </w:p>
        </w:tc>
        <w:tc>
          <w:tcPr>
            <w:tcW w:w="1243" w:type="dxa"/>
            <w:noWrap/>
          </w:tcPr>
          <w:p w14:paraId="36224568" w14:textId="77777777" w:rsidR="0086415A" w:rsidRPr="000973F2" w:rsidRDefault="0086415A" w:rsidP="0083119C">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p>
        </w:tc>
        <w:tc>
          <w:tcPr>
            <w:tcW w:w="1242" w:type="dxa"/>
            <w:noWrap/>
          </w:tcPr>
          <w:p w14:paraId="5BCD796D" w14:textId="77777777" w:rsidR="0086415A" w:rsidRPr="000973F2" w:rsidRDefault="0086415A" w:rsidP="0083119C">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b/>
                <w:sz w:val="18"/>
                <w:szCs w:val="18"/>
              </w:rPr>
              <w:t>$0</w:t>
            </w:r>
          </w:p>
        </w:tc>
        <w:tc>
          <w:tcPr>
            <w:tcW w:w="1223" w:type="dxa"/>
            <w:noWrap/>
          </w:tcPr>
          <w:p w14:paraId="74B831D9" w14:textId="77777777" w:rsidR="0086415A" w:rsidRPr="000973F2" w:rsidRDefault="0086415A" w:rsidP="0083119C">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b/>
                <w:sz w:val="18"/>
                <w:szCs w:val="18"/>
              </w:rPr>
              <w:t>$50</w:t>
            </w:r>
          </w:p>
        </w:tc>
        <w:tc>
          <w:tcPr>
            <w:tcW w:w="1262" w:type="dxa"/>
            <w:noWrap/>
          </w:tcPr>
          <w:p w14:paraId="595D3735" w14:textId="77777777" w:rsidR="0086415A" w:rsidRPr="000973F2" w:rsidRDefault="0086415A" w:rsidP="0083119C">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b/>
                <w:sz w:val="18"/>
                <w:szCs w:val="18"/>
              </w:rPr>
              <w:t>$0</w:t>
            </w:r>
          </w:p>
        </w:tc>
        <w:tc>
          <w:tcPr>
            <w:tcW w:w="1243" w:type="dxa"/>
            <w:noWrap/>
          </w:tcPr>
          <w:p w14:paraId="681BE350" w14:textId="77777777" w:rsidR="0086415A" w:rsidRPr="000973F2" w:rsidRDefault="0086415A" w:rsidP="0083119C">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b/>
                <w:sz w:val="18"/>
                <w:szCs w:val="18"/>
              </w:rPr>
              <w:t>$50</w:t>
            </w:r>
          </w:p>
        </w:tc>
      </w:tr>
    </w:tbl>
    <w:p w14:paraId="58101F13" w14:textId="77777777" w:rsidR="0086415A" w:rsidRPr="000973F2" w:rsidRDefault="0086415A" w:rsidP="00C00E4F">
      <w:pPr>
        <w:spacing w:line="240" w:lineRule="auto"/>
        <w:rPr>
          <w:rFonts w:ascii="Times New Roman" w:hAnsi="Times New Roman" w:cs="Times New Roman"/>
        </w:rPr>
      </w:pPr>
    </w:p>
    <w:p w14:paraId="7D850925" w14:textId="77777777" w:rsidR="0086415A" w:rsidRPr="000973F2" w:rsidRDefault="0086415A" w:rsidP="0061585D">
      <w:pPr>
        <w:pStyle w:val="Heading2"/>
      </w:pPr>
      <w:r w:rsidRPr="000973F2">
        <w:t>Total Costs for Subpart Y</w:t>
      </w:r>
    </w:p>
    <w:p w14:paraId="73BCCA32" w14:textId="0E17A8CC" w:rsidR="0086415A" w:rsidRPr="000973F2" w:rsidRDefault="0086415A" w:rsidP="0083119C">
      <w:pPr>
        <w:pStyle w:val="BodyText"/>
        <w:rPr>
          <w:color w:val="262626"/>
        </w:rPr>
      </w:pPr>
      <w:r w:rsidRPr="000973F2">
        <w:t>The total industry costs related to Subpart Y are approximately $583,000 per year for a total of $1,7</w:t>
      </w:r>
      <w:r w:rsidR="00925F04" w:rsidRPr="000973F2">
        <w:t>49</w:t>
      </w:r>
      <w:r w:rsidRPr="000973F2">
        <w:t xml:space="preserve">,000 over the three-year period of the ICR. </w:t>
      </w:r>
      <w:r w:rsidRPr="000973F2">
        <w:rPr>
          <w:color w:val="262626"/>
        </w:rPr>
        <w:t>144 facilities are expected to report in 2019, 2020, and 2021.</w:t>
      </w:r>
    </w:p>
    <w:p w14:paraId="180672CF" w14:textId="3413853B" w:rsidR="0086415A" w:rsidRPr="000973F2" w:rsidRDefault="0086415A" w:rsidP="00C00E4F">
      <w:pPr>
        <w:spacing w:line="240" w:lineRule="auto"/>
        <w:rPr>
          <w:rFonts w:ascii="Times New Roman" w:hAnsi="Times New Roman" w:cs="Times New Roman"/>
        </w:rPr>
      </w:pPr>
      <w:r w:rsidRPr="000973F2">
        <w:rPr>
          <w:rFonts w:ascii="Times New Roman" w:hAnsi="Times New Roman" w:cs="Times New Roman"/>
        </w:rPr>
        <w:br w:type="page"/>
      </w:r>
    </w:p>
    <w:p w14:paraId="52FAD4A9" w14:textId="77777777" w:rsidR="006B7F2C" w:rsidRPr="000973F2" w:rsidRDefault="006B7F2C" w:rsidP="00C00E4F">
      <w:pPr>
        <w:pStyle w:val="Heading1"/>
        <w:spacing w:line="240" w:lineRule="auto"/>
      </w:pPr>
      <w:bookmarkStart w:id="50" w:name="_Toc10715617"/>
      <w:r w:rsidRPr="000973F2">
        <w:t>Cost Appendix for Subpart Z – Phosphoric Acid Production</w:t>
      </w:r>
      <w:bookmarkEnd w:id="50"/>
    </w:p>
    <w:p w14:paraId="7BBD3E45" w14:textId="77777777" w:rsidR="006B7F2C" w:rsidRPr="000973F2" w:rsidRDefault="006B7F2C" w:rsidP="0068622D">
      <w:pPr>
        <w:pStyle w:val="Heading2"/>
      </w:pPr>
      <w:r w:rsidRPr="000973F2">
        <w:t>Description of Subpart Z</w:t>
      </w:r>
    </w:p>
    <w:p w14:paraId="260AC5F8" w14:textId="21ADC4CA" w:rsidR="006B7F2C" w:rsidRPr="000973F2" w:rsidRDefault="006B7F2C" w:rsidP="0068622D">
      <w:pPr>
        <w:pStyle w:val="BodyText"/>
      </w:pPr>
      <w:r w:rsidRPr="000973F2">
        <w:t xml:space="preserve">For purposes of the GHGRP, the phosphoric acid production source category consists of facilities that produce phosphoric acid using a wet-process phosphoric acid process line in which phosphate rock is reacted with acid. In </w:t>
      </w:r>
      <w:r w:rsidR="009E63AC" w:rsidRPr="000973F2">
        <w:t>RY</w:t>
      </w:r>
      <w:r w:rsidRPr="000973F2">
        <w:t>201</w:t>
      </w:r>
      <w:r w:rsidR="00A316ED" w:rsidRPr="000973F2">
        <w:t>7</w:t>
      </w:r>
      <w:r w:rsidRPr="000973F2">
        <w:t xml:space="preserve"> 11 phosphoric acid production facilities reported their GHG emissions under Subpart Z. The number of facilities has decreased since 2010, and no new facilities to Subpart Z are expected over the three</w:t>
      </w:r>
      <w:r w:rsidR="00896D77" w:rsidRPr="000973F2">
        <w:t>-</w:t>
      </w:r>
      <w:r w:rsidRPr="000973F2">
        <w:t>year</w:t>
      </w:r>
      <w:r w:rsidR="00896D77" w:rsidRPr="000973F2">
        <w:t xml:space="preserve"> period covered by this ICR</w:t>
      </w:r>
      <w:r w:rsidRPr="000973F2">
        <w:t>. Initial costs apply to new facilities; therefore, those costs are zero in the tables below.</w:t>
      </w:r>
    </w:p>
    <w:p w14:paraId="065979F6" w14:textId="77777777" w:rsidR="006B7F2C" w:rsidRPr="000973F2" w:rsidRDefault="006B7F2C" w:rsidP="0068622D">
      <w:pPr>
        <w:pStyle w:val="BodyText"/>
        <w:spacing w:after="80"/>
      </w:pPr>
      <w:r w:rsidRPr="000973F2">
        <w:t>Facilities reporting to Subpart Z estimate emissions using one of the following three approaches:</w:t>
      </w:r>
    </w:p>
    <w:p w14:paraId="31A8950E" w14:textId="49DD2CED" w:rsidR="006B7F2C" w:rsidRPr="000973F2" w:rsidRDefault="006B7F2C" w:rsidP="0068622D">
      <w:pPr>
        <w:pStyle w:val="Bulletlist1"/>
      </w:pPr>
      <w:r w:rsidRPr="000973F2">
        <w:t>CO</w:t>
      </w:r>
      <w:r w:rsidRPr="000973F2">
        <w:rPr>
          <w:vertAlign w:val="subscript"/>
        </w:rPr>
        <w:t>2</w:t>
      </w:r>
      <w:r w:rsidRPr="000973F2">
        <w:t xml:space="preserve"> emissions are measured using a CEMS</w:t>
      </w:r>
    </w:p>
    <w:p w14:paraId="2B6B06E4" w14:textId="4511536B" w:rsidR="006B7F2C" w:rsidRPr="000973F2" w:rsidRDefault="00896D77" w:rsidP="0068622D">
      <w:pPr>
        <w:pStyle w:val="Bulletlist1"/>
      </w:pPr>
      <w:r w:rsidRPr="000973F2">
        <w:t>P</w:t>
      </w:r>
      <w:r w:rsidR="006B7F2C" w:rsidRPr="000973F2">
        <w:t>rocess CO</w:t>
      </w:r>
      <w:r w:rsidR="006B7F2C" w:rsidRPr="000973F2">
        <w:rPr>
          <w:vertAlign w:val="subscript"/>
        </w:rPr>
        <w:t>2</w:t>
      </w:r>
      <w:r w:rsidR="006B7F2C" w:rsidRPr="000973F2">
        <w:t xml:space="preserve"> emissions </w:t>
      </w:r>
      <w:r w:rsidRPr="000973F2">
        <w:t xml:space="preserve">are calculated </w:t>
      </w:r>
      <w:r w:rsidR="006B7F2C" w:rsidRPr="000973F2">
        <w:t xml:space="preserve">using the monthly mass of phosphate rock consumed by each process line and one of the following; </w:t>
      </w:r>
    </w:p>
    <w:p w14:paraId="43F41346" w14:textId="77777777" w:rsidR="006B7F2C" w:rsidRPr="000973F2" w:rsidRDefault="006B7F2C" w:rsidP="0068622D">
      <w:pPr>
        <w:pStyle w:val="Bulletlist2"/>
      </w:pPr>
      <w:r w:rsidRPr="000973F2">
        <w:t>Monthly inorganic carbon content of each grab sample of phosphate rock, or</w:t>
      </w:r>
    </w:p>
    <w:p w14:paraId="059431FC" w14:textId="44BA091C" w:rsidR="006B7F2C" w:rsidRPr="000973F2" w:rsidRDefault="006B7F2C" w:rsidP="0068622D">
      <w:pPr>
        <w:pStyle w:val="Bulletlist2"/>
      </w:pPr>
      <w:r w:rsidRPr="000973F2">
        <w:t xml:space="preserve">Monthly </w:t>
      </w:r>
      <w:r w:rsidR="00F719AA" w:rsidRPr="000973F2">
        <w:t>CO</w:t>
      </w:r>
      <w:r w:rsidR="00F719AA" w:rsidRPr="000973F2">
        <w:rPr>
          <w:vertAlign w:val="subscript"/>
        </w:rPr>
        <w:t>2</w:t>
      </w:r>
      <w:r w:rsidRPr="000973F2">
        <w:t xml:space="preserve"> content of each grab sample of phosphate rock.</w:t>
      </w:r>
    </w:p>
    <w:p w14:paraId="214E43F3" w14:textId="77777777" w:rsidR="006B7F2C" w:rsidRPr="000973F2" w:rsidRDefault="006B7F2C" w:rsidP="0068622D">
      <w:pPr>
        <w:pStyle w:val="BodyTextfirst"/>
      </w:pPr>
      <w:r w:rsidRPr="000973F2">
        <w:t>No Subpart Z facilities use CEMS for estimating CO</w:t>
      </w:r>
      <w:r w:rsidRPr="000973F2">
        <w:rPr>
          <w:vertAlign w:val="subscript"/>
        </w:rPr>
        <w:t>2</w:t>
      </w:r>
      <w:r w:rsidRPr="000973F2">
        <w:t xml:space="preserve"> emissions; therefore, separate cost tables have not been included for that option.</w:t>
      </w:r>
    </w:p>
    <w:p w14:paraId="34B3F9B2" w14:textId="77777777" w:rsidR="006B7F2C" w:rsidRPr="000973F2" w:rsidRDefault="006B7F2C" w:rsidP="0061585D">
      <w:pPr>
        <w:pStyle w:val="Heading2"/>
      </w:pPr>
      <w:r w:rsidRPr="000973F2">
        <w:t>Labor Costs for Subpart Z</w:t>
      </w:r>
    </w:p>
    <w:p w14:paraId="777EEF83" w14:textId="5D1D9054" w:rsidR="006B7F2C" w:rsidRPr="000973F2" w:rsidRDefault="006B7F2C" w:rsidP="00C00E4F">
      <w:pPr>
        <w:spacing w:line="240" w:lineRule="auto"/>
        <w:rPr>
          <w:rFonts w:ascii="Times New Roman" w:hAnsi="Times New Roman" w:cs="Times New Roman"/>
        </w:rPr>
      </w:pPr>
      <w:r w:rsidRPr="000973F2">
        <w:rPr>
          <w:rFonts w:ascii="Times New Roman" w:hAnsi="Times New Roman" w:cs="Times New Roman"/>
        </w:rPr>
        <w:t xml:space="preserve">Labor costs for Subpart Z are shown in Table </w:t>
      </w:r>
      <w:r w:rsidR="0068622D" w:rsidRPr="000973F2">
        <w:rPr>
          <w:rFonts w:ascii="Times New Roman" w:hAnsi="Times New Roman" w:cs="Times New Roman"/>
        </w:rPr>
        <w:t>Z-</w:t>
      </w:r>
      <w:r w:rsidRPr="000973F2">
        <w:rPr>
          <w:rFonts w:ascii="Times New Roman" w:hAnsi="Times New Roman" w:cs="Times New Roman"/>
        </w:rPr>
        <w:t xml:space="preserve">1. </w:t>
      </w:r>
      <w:bookmarkStart w:id="51" w:name="_Hlk522789283"/>
      <w:r w:rsidRPr="000973F2">
        <w:rPr>
          <w:rFonts w:ascii="Times New Roman" w:hAnsi="Times New Roman" w:cs="Times New Roman"/>
          <w:iCs/>
        </w:rPr>
        <w:t>Typical activities for each of the labor activities are discussed in the Cost Appendix Introduction</w:t>
      </w:r>
      <w:r w:rsidRPr="000973F2">
        <w:rPr>
          <w:rFonts w:ascii="Times New Roman" w:hAnsi="Times New Roman" w:cs="Times New Roman"/>
        </w:rPr>
        <w:t xml:space="preserve">. </w:t>
      </w:r>
      <w:bookmarkEnd w:id="51"/>
      <w:r w:rsidRPr="000973F2">
        <w:rPr>
          <w:rFonts w:ascii="Times New Roman" w:hAnsi="Times New Roman" w:cs="Times New Roman"/>
        </w:rPr>
        <w:t xml:space="preserve">Facilities are tracking and collecting the data required for estimating emissions such as phosphate rock feed rates and sampling and testing phosphate rock for its inorganic carbon or </w:t>
      </w:r>
      <w:r w:rsidR="00953736" w:rsidRPr="000973F2">
        <w:rPr>
          <w:rFonts w:ascii="Times New Roman" w:hAnsi="Times New Roman" w:cs="Times New Roman"/>
        </w:rPr>
        <w:t>CO</w:t>
      </w:r>
      <w:r w:rsidR="00953736" w:rsidRPr="000973F2">
        <w:rPr>
          <w:rFonts w:ascii="Times New Roman" w:hAnsi="Times New Roman" w:cs="Times New Roman"/>
          <w:vertAlign w:val="subscript"/>
        </w:rPr>
        <w:t>2</w:t>
      </w:r>
      <w:r w:rsidRPr="000973F2">
        <w:rPr>
          <w:rFonts w:ascii="Times New Roman" w:hAnsi="Times New Roman" w:cs="Times New Roman"/>
        </w:rPr>
        <w:t xml:space="preserve"> contents as part of normal business operations. Therefore, no costs are </w:t>
      </w:r>
      <w:r w:rsidR="00896D77" w:rsidRPr="000973F2">
        <w:rPr>
          <w:rFonts w:ascii="Times New Roman" w:hAnsi="Times New Roman" w:cs="Times New Roman"/>
        </w:rPr>
        <w:t>attributed to Subpart Z for</w:t>
      </w:r>
      <w:r w:rsidRPr="000973F2">
        <w:rPr>
          <w:rFonts w:ascii="Times New Roman" w:hAnsi="Times New Roman" w:cs="Times New Roman"/>
        </w:rPr>
        <w:t xml:space="preserve"> obtaining the necessary data and performing the necessary QA/QC on the data required for estimating process-related CO</w:t>
      </w:r>
      <w:r w:rsidRPr="000973F2">
        <w:rPr>
          <w:rFonts w:ascii="Times New Roman" w:hAnsi="Times New Roman" w:cs="Times New Roman"/>
          <w:vertAlign w:val="subscript"/>
        </w:rPr>
        <w:t>2</w:t>
      </w:r>
      <w:r w:rsidRPr="000973F2">
        <w:rPr>
          <w:rFonts w:ascii="Times New Roman" w:hAnsi="Times New Roman" w:cs="Times New Roman"/>
        </w:rPr>
        <w:t xml:space="preserve"> emissions on a routine basis. The calculation of CO</w:t>
      </w:r>
      <w:r w:rsidRPr="000973F2">
        <w:rPr>
          <w:rFonts w:ascii="Times New Roman" w:hAnsi="Times New Roman" w:cs="Times New Roman"/>
          <w:vertAlign w:val="subscript"/>
        </w:rPr>
        <w:t>2</w:t>
      </w:r>
      <w:r w:rsidRPr="000973F2">
        <w:rPr>
          <w:rFonts w:ascii="Times New Roman" w:hAnsi="Times New Roman" w:cs="Times New Roman"/>
        </w:rPr>
        <w:t xml:space="preserve"> emissions for Subpart Z are automatically generated by e-GGRT, when each facility enters the required data into their GHGRP report. Therefore, those costs are not attributed to Subpart Z calculation costs but are included as part of reporting costs. Recordkeeping and reporting labor costs are based on the “</w:t>
      </w:r>
      <w:r w:rsidR="00460A01" w:rsidRPr="000973F2">
        <w:rPr>
          <w:rFonts w:ascii="Times New Roman" w:hAnsi="Times New Roman" w:cs="Times New Roman"/>
        </w:rPr>
        <w:t>l</w:t>
      </w:r>
      <w:r w:rsidRPr="000973F2">
        <w:rPr>
          <w:rFonts w:ascii="Times New Roman" w:hAnsi="Times New Roman" w:cs="Times New Roman"/>
        </w:rPr>
        <w:t xml:space="preserve">ow bin” designation as discussed in the Cost Appendix Introduction. </w:t>
      </w:r>
    </w:p>
    <w:p w14:paraId="0B757080" w14:textId="1D6C4778" w:rsidR="006767C4" w:rsidRPr="000973F2" w:rsidRDefault="006767C4" w:rsidP="0068622D">
      <w:pPr>
        <w:pStyle w:val="Tabletitle"/>
      </w:pPr>
      <w:r w:rsidRPr="000973F2">
        <w:t xml:space="preserve">Table </w:t>
      </w:r>
      <w:r w:rsidR="0068622D" w:rsidRPr="000973F2">
        <w:t>Z-</w:t>
      </w:r>
      <w:r w:rsidRPr="000973F2">
        <w:t xml:space="preserve">1. Labor Costs </w:t>
      </w:r>
      <w:r w:rsidR="00B960CC" w:rsidRPr="000973F2">
        <w:t>–</w:t>
      </w:r>
      <w:r w:rsidRPr="000973F2">
        <w:t xml:space="preserve"> Subpart Z</w:t>
      </w:r>
    </w:p>
    <w:tbl>
      <w:tblPr>
        <w:tblStyle w:val="PlainTable1"/>
        <w:tblW w:w="5000" w:type="pct"/>
        <w:jc w:val="left"/>
        <w:tblLayout w:type="fixed"/>
        <w:tblCellMar>
          <w:left w:w="115" w:type="dxa"/>
          <w:right w:w="115" w:type="dxa"/>
        </w:tblCellMar>
        <w:tblLook w:val="04A0" w:firstRow="1" w:lastRow="0" w:firstColumn="1" w:lastColumn="0" w:noHBand="0" w:noVBand="1"/>
      </w:tblPr>
      <w:tblGrid>
        <w:gridCol w:w="1464"/>
        <w:gridCol w:w="832"/>
        <w:gridCol w:w="832"/>
        <w:gridCol w:w="832"/>
        <w:gridCol w:w="833"/>
        <w:gridCol w:w="833"/>
        <w:gridCol w:w="833"/>
        <w:gridCol w:w="833"/>
        <w:gridCol w:w="833"/>
        <w:gridCol w:w="740"/>
        <w:gridCol w:w="700"/>
        <w:gridCol w:w="25"/>
      </w:tblGrid>
      <w:tr w:rsidR="006767C4" w:rsidRPr="000973F2" w14:paraId="2B2CC04B" w14:textId="77777777" w:rsidTr="0068622D">
        <w:trPr>
          <w:cnfStyle w:val="100000000000" w:firstRow="1" w:lastRow="0" w:firstColumn="0" w:lastColumn="0" w:oddVBand="0" w:evenVBand="0" w:oddHBand="0" w:evenHBand="0" w:firstRowFirstColumn="0" w:firstRowLastColumn="0" w:lastRowFirstColumn="0" w:lastRowLastColumn="0"/>
          <w:cantSplit/>
          <w:jc w:val="left"/>
        </w:trPr>
        <w:tc>
          <w:tcPr>
            <w:cnfStyle w:val="001000000000" w:firstRow="0" w:lastRow="0" w:firstColumn="1" w:lastColumn="0" w:oddVBand="0" w:evenVBand="0" w:oddHBand="0" w:evenHBand="0" w:firstRowFirstColumn="0" w:firstRowLastColumn="0" w:lastRowFirstColumn="0" w:lastRowLastColumn="0"/>
            <w:tcW w:w="1425" w:type="dxa"/>
            <w:vMerge w:val="restart"/>
            <w:noWrap/>
            <w:vAlign w:val="top"/>
            <w:hideMark/>
          </w:tcPr>
          <w:p w14:paraId="33698D68" w14:textId="77777777" w:rsidR="006767C4" w:rsidRPr="000973F2" w:rsidRDefault="006767C4" w:rsidP="0068622D">
            <w:pPr>
              <w:spacing w:before="30" w:after="30"/>
              <w:rPr>
                <w:rFonts w:ascii="Times New Roman" w:eastAsia="Times New Roman" w:hAnsi="Times New Roman" w:cs="Times New Roman"/>
                <w:b w:val="0"/>
                <w:bCs w:val="0"/>
                <w:sz w:val="18"/>
                <w:szCs w:val="18"/>
              </w:rPr>
            </w:pPr>
            <w:r w:rsidRPr="000973F2">
              <w:rPr>
                <w:rFonts w:ascii="Times New Roman" w:eastAsia="Times New Roman" w:hAnsi="Times New Roman" w:cs="Times New Roman"/>
                <w:sz w:val="18"/>
                <w:szCs w:val="18"/>
              </w:rPr>
              <w:t>Activity</w:t>
            </w:r>
          </w:p>
        </w:tc>
        <w:tc>
          <w:tcPr>
            <w:tcW w:w="6480" w:type="dxa"/>
            <w:gridSpan w:val="8"/>
            <w:noWrap/>
            <w:vAlign w:val="top"/>
            <w:hideMark/>
          </w:tcPr>
          <w:p w14:paraId="73629D61" w14:textId="77777777" w:rsidR="006767C4" w:rsidRPr="000973F2" w:rsidRDefault="006767C4" w:rsidP="0068622D">
            <w:pPr>
              <w:spacing w:before="30" w:after="30"/>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bCs w:val="0"/>
                <w:sz w:val="18"/>
                <w:szCs w:val="18"/>
              </w:rPr>
            </w:pPr>
            <w:r w:rsidRPr="000973F2">
              <w:rPr>
                <w:rFonts w:ascii="Times New Roman" w:eastAsia="Times New Roman" w:hAnsi="Times New Roman" w:cs="Times New Roman"/>
                <w:sz w:val="18"/>
                <w:szCs w:val="18"/>
              </w:rPr>
              <w:t>Labor Rates (per hour)</w:t>
            </w:r>
          </w:p>
        </w:tc>
        <w:tc>
          <w:tcPr>
            <w:tcW w:w="1425" w:type="dxa"/>
            <w:gridSpan w:val="3"/>
            <w:vMerge w:val="restart"/>
            <w:vAlign w:val="top"/>
            <w:hideMark/>
          </w:tcPr>
          <w:p w14:paraId="1127491E" w14:textId="38F805AC" w:rsidR="006767C4" w:rsidRPr="000973F2" w:rsidRDefault="006767C4" w:rsidP="006A22E2">
            <w:pPr>
              <w:spacing w:before="30" w:after="30"/>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bCs w:val="0"/>
                <w:sz w:val="18"/>
                <w:szCs w:val="18"/>
              </w:rPr>
            </w:pPr>
            <w:r w:rsidRPr="000973F2">
              <w:rPr>
                <w:rFonts w:ascii="Times New Roman" w:eastAsia="Times New Roman" w:hAnsi="Times New Roman" w:cs="Times New Roman"/>
                <w:sz w:val="18"/>
                <w:szCs w:val="18"/>
              </w:rPr>
              <w:t>Total Labor Cost per Year per Facility</w:t>
            </w:r>
            <w:r w:rsidR="006A22E2" w:rsidRPr="000973F2">
              <w:rPr>
                <w:rFonts w:ascii="Times New Roman" w:eastAsia="Times New Roman" w:hAnsi="Times New Roman" w:cs="Times New Roman"/>
                <w:sz w:val="18"/>
                <w:szCs w:val="18"/>
              </w:rPr>
              <w:t xml:space="preserve"> </w:t>
            </w:r>
            <w:r w:rsidRPr="000973F2">
              <w:rPr>
                <w:rFonts w:ascii="Times New Roman" w:eastAsia="Times New Roman" w:hAnsi="Times New Roman" w:cs="Times New Roman"/>
                <w:sz w:val="18"/>
                <w:szCs w:val="18"/>
              </w:rPr>
              <w:t>(2017$)</w:t>
            </w:r>
          </w:p>
        </w:tc>
      </w:tr>
      <w:tr w:rsidR="006767C4" w:rsidRPr="000973F2" w14:paraId="0371E9BF" w14:textId="77777777" w:rsidTr="0068622D">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1425" w:type="dxa"/>
            <w:vMerge/>
            <w:hideMark/>
          </w:tcPr>
          <w:p w14:paraId="6ED9C028" w14:textId="77777777" w:rsidR="006767C4" w:rsidRPr="000973F2" w:rsidRDefault="006767C4" w:rsidP="0068622D">
            <w:pPr>
              <w:spacing w:before="30" w:after="30"/>
              <w:rPr>
                <w:rFonts w:ascii="Times New Roman" w:eastAsia="Times New Roman" w:hAnsi="Times New Roman" w:cs="Times New Roman"/>
                <w:b/>
                <w:bCs w:val="0"/>
                <w:sz w:val="18"/>
                <w:szCs w:val="18"/>
              </w:rPr>
            </w:pPr>
          </w:p>
        </w:tc>
        <w:tc>
          <w:tcPr>
            <w:tcW w:w="1620" w:type="dxa"/>
            <w:gridSpan w:val="2"/>
            <w:noWrap/>
            <w:hideMark/>
          </w:tcPr>
          <w:p w14:paraId="32ADA03D" w14:textId="77777777" w:rsidR="006767C4" w:rsidRPr="000973F2" w:rsidRDefault="006767C4" w:rsidP="0068622D">
            <w:pPr>
              <w:spacing w:before="30" w:after="3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18"/>
                <w:szCs w:val="18"/>
              </w:rPr>
            </w:pPr>
            <w:r w:rsidRPr="000973F2">
              <w:rPr>
                <w:rFonts w:ascii="Times New Roman" w:eastAsia="Times New Roman" w:hAnsi="Times New Roman" w:cs="Times New Roman"/>
                <w:b/>
                <w:bCs/>
                <w:sz w:val="18"/>
                <w:szCs w:val="18"/>
              </w:rPr>
              <w:t>Lawyer</w:t>
            </w:r>
          </w:p>
        </w:tc>
        <w:tc>
          <w:tcPr>
            <w:tcW w:w="1620" w:type="dxa"/>
            <w:gridSpan w:val="2"/>
            <w:noWrap/>
            <w:hideMark/>
          </w:tcPr>
          <w:p w14:paraId="49E9189B" w14:textId="77777777" w:rsidR="006767C4" w:rsidRPr="000973F2" w:rsidRDefault="006767C4" w:rsidP="0068622D">
            <w:pPr>
              <w:spacing w:before="30" w:after="3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18"/>
                <w:szCs w:val="18"/>
              </w:rPr>
            </w:pPr>
            <w:r w:rsidRPr="000973F2">
              <w:rPr>
                <w:rFonts w:ascii="Times New Roman" w:eastAsia="Times New Roman" w:hAnsi="Times New Roman" w:cs="Times New Roman"/>
                <w:b/>
                <w:bCs/>
                <w:sz w:val="18"/>
                <w:szCs w:val="18"/>
              </w:rPr>
              <w:t>Industrial Manager</w:t>
            </w:r>
          </w:p>
        </w:tc>
        <w:tc>
          <w:tcPr>
            <w:tcW w:w="1620" w:type="dxa"/>
            <w:gridSpan w:val="2"/>
            <w:hideMark/>
          </w:tcPr>
          <w:p w14:paraId="573552BF" w14:textId="6ABC10C7" w:rsidR="006767C4" w:rsidRPr="000973F2" w:rsidRDefault="006767C4" w:rsidP="0068622D">
            <w:pPr>
              <w:spacing w:before="30" w:after="3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18"/>
                <w:szCs w:val="18"/>
              </w:rPr>
            </w:pPr>
            <w:r w:rsidRPr="000973F2">
              <w:rPr>
                <w:rFonts w:ascii="Times New Roman" w:eastAsia="Times New Roman" w:hAnsi="Times New Roman" w:cs="Times New Roman"/>
                <w:b/>
                <w:bCs/>
                <w:sz w:val="18"/>
                <w:szCs w:val="18"/>
              </w:rPr>
              <w:t>Industrial Engineer/</w:t>
            </w:r>
            <w:r w:rsidR="0068622D" w:rsidRPr="000973F2">
              <w:rPr>
                <w:rFonts w:ascii="Times New Roman" w:eastAsia="Times New Roman" w:hAnsi="Times New Roman" w:cs="Times New Roman"/>
                <w:b/>
                <w:bCs/>
                <w:sz w:val="18"/>
                <w:szCs w:val="18"/>
              </w:rPr>
              <w:t xml:space="preserve"> </w:t>
            </w:r>
            <w:r w:rsidRPr="000973F2">
              <w:rPr>
                <w:rFonts w:ascii="Times New Roman" w:eastAsia="Times New Roman" w:hAnsi="Times New Roman" w:cs="Times New Roman"/>
                <w:b/>
                <w:bCs/>
                <w:sz w:val="18"/>
                <w:szCs w:val="18"/>
              </w:rPr>
              <w:t>Technician</w:t>
            </w:r>
          </w:p>
        </w:tc>
        <w:tc>
          <w:tcPr>
            <w:tcW w:w="1620" w:type="dxa"/>
            <w:gridSpan w:val="2"/>
            <w:hideMark/>
          </w:tcPr>
          <w:p w14:paraId="33B44301" w14:textId="77777777" w:rsidR="006767C4" w:rsidRPr="000973F2" w:rsidRDefault="006767C4" w:rsidP="0068622D">
            <w:pPr>
              <w:spacing w:before="30" w:after="3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18"/>
                <w:szCs w:val="18"/>
              </w:rPr>
            </w:pPr>
            <w:r w:rsidRPr="000973F2">
              <w:rPr>
                <w:rFonts w:ascii="Times New Roman" w:eastAsia="Times New Roman" w:hAnsi="Times New Roman" w:cs="Times New Roman"/>
                <w:b/>
                <w:bCs/>
                <w:sz w:val="18"/>
                <w:szCs w:val="18"/>
              </w:rPr>
              <w:t>Administrative Support</w:t>
            </w:r>
          </w:p>
        </w:tc>
        <w:tc>
          <w:tcPr>
            <w:tcW w:w="1425" w:type="dxa"/>
            <w:gridSpan w:val="3"/>
            <w:vMerge/>
            <w:hideMark/>
          </w:tcPr>
          <w:p w14:paraId="257B3A22" w14:textId="77777777" w:rsidR="006767C4" w:rsidRPr="000973F2" w:rsidRDefault="006767C4" w:rsidP="0068622D">
            <w:pPr>
              <w:spacing w:before="30" w:after="3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18"/>
                <w:szCs w:val="18"/>
              </w:rPr>
            </w:pPr>
          </w:p>
        </w:tc>
      </w:tr>
      <w:tr w:rsidR="006767C4" w:rsidRPr="000973F2" w14:paraId="42783292" w14:textId="77777777" w:rsidTr="0068622D">
        <w:trPr>
          <w:cantSplit/>
        </w:trPr>
        <w:tc>
          <w:tcPr>
            <w:cnfStyle w:val="001000000000" w:firstRow="0" w:lastRow="0" w:firstColumn="1" w:lastColumn="0" w:oddVBand="0" w:evenVBand="0" w:oddHBand="0" w:evenHBand="0" w:firstRowFirstColumn="0" w:firstRowLastColumn="0" w:lastRowFirstColumn="0" w:lastRowLastColumn="0"/>
            <w:tcW w:w="1425" w:type="dxa"/>
            <w:vMerge/>
            <w:hideMark/>
          </w:tcPr>
          <w:p w14:paraId="4420EB20" w14:textId="77777777" w:rsidR="006767C4" w:rsidRPr="000973F2" w:rsidRDefault="006767C4" w:rsidP="0068622D">
            <w:pPr>
              <w:spacing w:before="30" w:after="30"/>
              <w:rPr>
                <w:rFonts w:ascii="Times New Roman" w:eastAsia="Times New Roman" w:hAnsi="Times New Roman" w:cs="Times New Roman"/>
                <w:b/>
                <w:bCs w:val="0"/>
                <w:sz w:val="18"/>
                <w:szCs w:val="18"/>
              </w:rPr>
            </w:pPr>
          </w:p>
        </w:tc>
        <w:tc>
          <w:tcPr>
            <w:tcW w:w="1620" w:type="dxa"/>
            <w:gridSpan w:val="2"/>
            <w:noWrap/>
            <w:hideMark/>
          </w:tcPr>
          <w:p w14:paraId="3DE900F1" w14:textId="77777777" w:rsidR="006767C4" w:rsidRPr="000973F2" w:rsidRDefault="006767C4" w:rsidP="0068622D">
            <w:pPr>
              <w:spacing w:before="30" w:after="3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sz w:val="18"/>
                <w:szCs w:val="18"/>
              </w:rPr>
            </w:pPr>
            <w:r w:rsidRPr="000973F2">
              <w:rPr>
                <w:rFonts w:ascii="Times New Roman" w:eastAsia="Times New Roman" w:hAnsi="Times New Roman" w:cs="Times New Roman"/>
                <w:b/>
                <w:bCs/>
                <w:sz w:val="18"/>
                <w:szCs w:val="18"/>
              </w:rPr>
              <w:t xml:space="preserve">$112.23 </w:t>
            </w:r>
          </w:p>
        </w:tc>
        <w:tc>
          <w:tcPr>
            <w:tcW w:w="1620" w:type="dxa"/>
            <w:gridSpan w:val="2"/>
            <w:noWrap/>
            <w:hideMark/>
          </w:tcPr>
          <w:p w14:paraId="2ED600FB" w14:textId="77777777" w:rsidR="006767C4" w:rsidRPr="000973F2" w:rsidRDefault="006767C4" w:rsidP="0068622D">
            <w:pPr>
              <w:spacing w:before="30" w:after="3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sz w:val="18"/>
                <w:szCs w:val="18"/>
              </w:rPr>
            </w:pPr>
            <w:r w:rsidRPr="000973F2">
              <w:rPr>
                <w:rFonts w:ascii="Times New Roman" w:eastAsia="Times New Roman" w:hAnsi="Times New Roman" w:cs="Times New Roman"/>
                <w:b/>
                <w:bCs/>
                <w:sz w:val="18"/>
                <w:szCs w:val="18"/>
              </w:rPr>
              <w:t xml:space="preserve">$87.45 </w:t>
            </w:r>
          </w:p>
        </w:tc>
        <w:tc>
          <w:tcPr>
            <w:tcW w:w="1620" w:type="dxa"/>
            <w:gridSpan w:val="2"/>
            <w:noWrap/>
            <w:hideMark/>
          </w:tcPr>
          <w:p w14:paraId="62F07872" w14:textId="77777777" w:rsidR="006767C4" w:rsidRPr="000973F2" w:rsidRDefault="006767C4" w:rsidP="0068622D">
            <w:pPr>
              <w:spacing w:before="30" w:after="3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sz w:val="18"/>
                <w:szCs w:val="18"/>
              </w:rPr>
            </w:pPr>
            <w:r w:rsidRPr="000973F2">
              <w:rPr>
                <w:rFonts w:ascii="Times New Roman" w:eastAsia="Times New Roman" w:hAnsi="Times New Roman" w:cs="Times New Roman"/>
                <w:b/>
                <w:bCs/>
                <w:sz w:val="18"/>
                <w:szCs w:val="18"/>
              </w:rPr>
              <w:t xml:space="preserve">$71.45 </w:t>
            </w:r>
          </w:p>
        </w:tc>
        <w:tc>
          <w:tcPr>
            <w:tcW w:w="1620" w:type="dxa"/>
            <w:gridSpan w:val="2"/>
            <w:noWrap/>
            <w:hideMark/>
          </w:tcPr>
          <w:p w14:paraId="3E499065" w14:textId="77777777" w:rsidR="006767C4" w:rsidRPr="000973F2" w:rsidRDefault="006767C4" w:rsidP="0068622D">
            <w:pPr>
              <w:spacing w:before="30" w:after="3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sz w:val="18"/>
                <w:szCs w:val="18"/>
              </w:rPr>
            </w:pPr>
            <w:r w:rsidRPr="000973F2">
              <w:rPr>
                <w:rFonts w:ascii="Times New Roman" w:eastAsia="Times New Roman" w:hAnsi="Times New Roman" w:cs="Times New Roman"/>
                <w:b/>
                <w:bCs/>
                <w:sz w:val="18"/>
                <w:szCs w:val="18"/>
              </w:rPr>
              <w:t xml:space="preserve">$36.28 </w:t>
            </w:r>
          </w:p>
        </w:tc>
        <w:tc>
          <w:tcPr>
            <w:tcW w:w="1425" w:type="dxa"/>
            <w:gridSpan w:val="3"/>
            <w:vMerge/>
            <w:hideMark/>
          </w:tcPr>
          <w:p w14:paraId="27354A82" w14:textId="77777777" w:rsidR="006767C4" w:rsidRPr="000973F2" w:rsidRDefault="006767C4" w:rsidP="0068622D">
            <w:pPr>
              <w:spacing w:before="30" w:after="3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sz w:val="18"/>
                <w:szCs w:val="18"/>
              </w:rPr>
            </w:pPr>
          </w:p>
        </w:tc>
      </w:tr>
      <w:tr w:rsidR="006767C4" w:rsidRPr="000973F2" w14:paraId="7CFBB46E" w14:textId="77777777" w:rsidTr="0068622D">
        <w:trPr>
          <w:gridAfter w:val="1"/>
          <w:cnfStyle w:val="000000100000" w:firstRow="0" w:lastRow="0" w:firstColumn="0" w:lastColumn="0" w:oddVBand="0" w:evenVBand="0" w:oddHBand="1" w:evenHBand="0" w:firstRowFirstColumn="0" w:firstRowLastColumn="0" w:lastRowFirstColumn="0" w:lastRowLastColumn="0"/>
          <w:wAfter w:w="24" w:type="dxa"/>
          <w:cantSplit/>
        </w:trPr>
        <w:tc>
          <w:tcPr>
            <w:cnfStyle w:val="001000000000" w:firstRow="0" w:lastRow="0" w:firstColumn="1" w:lastColumn="0" w:oddVBand="0" w:evenVBand="0" w:oddHBand="0" w:evenHBand="0" w:firstRowFirstColumn="0" w:firstRowLastColumn="0" w:lastRowFirstColumn="0" w:lastRowLastColumn="0"/>
            <w:tcW w:w="1425" w:type="dxa"/>
            <w:vMerge/>
            <w:hideMark/>
          </w:tcPr>
          <w:p w14:paraId="1838E09C" w14:textId="77777777" w:rsidR="006767C4" w:rsidRPr="000973F2" w:rsidRDefault="006767C4" w:rsidP="0068622D">
            <w:pPr>
              <w:spacing w:before="30" w:after="30"/>
              <w:rPr>
                <w:rFonts w:ascii="Times New Roman" w:eastAsia="Times New Roman" w:hAnsi="Times New Roman" w:cs="Times New Roman"/>
                <w:b/>
                <w:bCs w:val="0"/>
                <w:sz w:val="18"/>
                <w:szCs w:val="18"/>
              </w:rPr>
            </w:pPr>
          </w:p>
        </w:tc>
        <w:tc>
          <w:tcPr>
            <w:tcW w:w="810" w:type="dxa"/>
            <w:tcMar>
              <w:left w:w="14" w:type="dxa"/>
              <w:right w:w="14" w:type="dxa"/>
            </w:tcMar>
            <w:hideMark/>
          </w:tcPr>
          <w:p w14:paraId="76ABCAC3" w14:textId="5DB34D75" w:rsidR="006767C4" w:rsidRPr="000973F2" w:rsidRDefault="006767C4" w:rsidP="0068622D">
            <w:pPr>
              <w:spacing w:before="30" w:after="3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18"/>
                <w:szCs w:val="18"/>
              </w:rPr>
            </w:pPr>
            <w:r w:rsidRPr="000973F2">
              <w:rPr>
                <w:rFonts w:ascii="Times New Roman" w:eastAsia="Times New Roman" w:hAnsi="Times New Roman" w:cs="Times New Roman"/>
                <w:b/>
                <w:bCs/>
                <w:sz w:val="18"/>
                <w:szCs w:val="18"/>
              </w:rPr>
              <w:t xml:space="preserve">Initial </w:t>
            </w:r>
            <w:r w:rsidR="00132320" w:rsidRPr="000973F2">
              <w:rPr>
                <w:rFonts w:ascii="Times New Roman" w:eastAsia="Times New Roman" w:hAnsi="Times New Roman" w:cs="Times New Roman"/>
                <w:b/>
                <w:bCs/>
                <w:sz w:val="18"/>
                <w:szCs w:val="18"/>
              </w:rPr>
              <w:t>Year Hours</w:t>
            </w:r>
          </w:p>
        </w:tc>
        <w:tc>
          <w:tcPr>
            <w:tcW w:w="810" w:type="dxa"/>
            <w:tcMar>
              <w:left w:w="14" w:type="dxa"/>
              <w:right w:w="14" w:type="dxa"/>
            </w:tcMar>
            <w:hideMark/>
          </w:tcPr>
          <w:p w14:paraId="75ADBD6E" w14:textId="5E8C16E7" w:rsidR="006767C4" w:rsidRPr="000973F2" w:rsidRDefault="006767C4" w:rsidP="0068622D">
            <w:pPr>
              <w:spacing w:before="30" w:after="3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18"/>
                <w:szCs w:val="18"/>
              </w:rPr>
            </w:pPr>
            <w:r w:rsidRPr="000973F2">
              <w:rPr>
                <w:rFonts w:ascii="Times New Roman" w:eastAsia="Times New Roman" w:hAnsi="Times New Roman" w:cs="Times New Roman"/>
                <w:b/>
                <w:bCs/>
                <w:sz w:val="18"/>
                <w:szCs w:val="18"/>
              </w:rPr>
              <w:t xml:space="preserve">Subseq. </w:t>
            </w:r>
            <w:r w:rsidR="00132320" w:rsidRPr="000973F2">
              <w:rPr>
                <w:rFonts w:ascii="Times New Roman" w:eastAsia="Times New Roman" w:hAnsi="Times New Roman" w:cs="Times New Roman"/>
                <w:b/>
                <w:bCs/>
                <w:sz w:val="18"/>
                <w:szCs w:val="18"/>
              </w:rPr>
              <w:t>Year Hours</w:t>
            </w:r>
          </w:p>
        </w:tc>
        <w:tc>
          <w:tcPr>
            <w:tcW w:w="810" w:type="dxa"/>
            <w:tcMar>
              <w:left w:w="14" w:type="dxa"/>
              <w:right w:w="14" w:type="dxa"/>
            </w:tcMar>
            <w:hideMark/>
          </w:tcPr>
          <w:p w14:paraId="7EE4D373" w14:textId="1CD11CAC" w:rsidR="006767C4" w:rsidRPr="000973F2" w:rsidRDefault="006767C4" w:rsidP="0068622D">
            <w:pPr>
              <w:spacing w:before="30" w:after="3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18"/>
                <w:szCs w:val="18"/>
              </w:rPr>
            </w:pPr>
            <w:r w:rsidRPr="000973F2">
              <w:rPr>
                <w:rFonts w:ascii="Times New Roman" w:eastAsia="Times New Roman" w:hAnsi="Times New Roman" w:cs="Times New Roman"/>
                <w:b/>
                <w:bCs/>
                <w:sz w:val="18"/>
                <w:szCs w:val="18"/>
              </w:rPr>
              <w:t xml:space="preserve">Initial </w:t>
            </w:r>
            <w:r w:rsidR="00132320" w:rsidRPr="000973F2">
              <w:rPr>
                <w:rFonts w:ascii="Times New Roman" w:eastAsia="Times New Roman" w:hAnsi="Times New Roman" w:cs="Times New Roman"/>
                <w:b/>
                <w:bCs/>
                <w:sz w:val="18"/>
                <w:szCs w:val="18"/>
              </w:rPr>
              <w:t>Year Hours</w:t>
            </w:r>
          </w:p>
        </w:tc>
        <w:tc>
          <w:tcPr>
            <w:tcW w:w="810" w:type="dxa"/>
            <w:tcMar>
              <w:left w:w="14" w:type="dxa"/>
              <w:right w:w="14" w:type="dxa"/>
            </w:tcMar>
            <w:hideMark/>
          </w:tcPr>
          <w:p w14:paraId="72A80EC0" w14:textId="161627DC" w:rsidR="006767C4" w:rsidRPr="000973F2" w:rsidRDefault="006767C4" w:rsidP="0068622D">
            <w:pPr>
              <w:spacing w:before="30" w:after="3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18"/>
                <w:szCs w:val="18"/>
              </w:rPr>
            </w:pPr>
            <w:r w:rsidRPr="000973F2">
              <w:rPr>
                <w:rFonts w:ascii="Times New Roman" w:eastAsia="Times New Roman" w:hAnsi="Times New Roman" w:cs="Times New Roman"/>
                <w:b/>
                <w:bCs/>
                <w:sz w:val="18"/>
                <w:szCs w:val="18"/>
              </w:rPr>
              <w:t xml:space="preserve">Subseq. </w:t>
            </w:r>
            <w:r w:rsidR="00132320" w:rsidRPr="000973F2">
              <w:rPr>
                <w:rFonts w:ascii="Times New Roman" w:eastAsia="Times New Roman" w:hAnsi="Times New Roman" w:cs="Times New Roman"/>
                <w:b/>
                <w:bCs/>
                <w:sz w:val="18"/>
                <w:szCs w:val="18"/>
              </w:rPr>
              <w:t>Year Hours</w:t>
            </w:r>
          </w:p>
        </w:tc>
        <w:tc>
          <w:tcPr>
            <w:tcW w:w="810" w:type="dxa"/>
            <w:tcMar>
              <w:left w:w="14" w:type="dxa"/>
              <w:right w:w="14" w:type="dxa"/>
            </w:tcMar>
            <w:hideMark/>
          </w:tcPr>
          <w:p w14:paraId="34472F99" w14:textId="0CB23F53" w:rsidR="006767C4" w:rsidRPr="000973F2" w:rsidRDefault="006767C4" w:rsidP="0068622D">
            <w:pPr>
              <w:spacing w:before="30" w:after="3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18"/>
                <w:szCs w:val="18"/>
              </w:rPr>
            </w:pPr>
            <w:r w:rsidRPr="000973F2">
              <w:rPr>
                <w:rFonts w:ascii="Times New Roman" w:eastAsia="Times New Roman" w:hAnsi="Times New Roman" w:cs="Times New Roman"/>
                <w:b/>
                <w:bCs/>
                <w:sz w:val="18"/>
                <w:szCs w:val="18"/>
              </w:rPr>
              <w:t xml:space="preserve">Initial </w:t>
            </w:r>
            <w:r w:rsidR="00132320" w:rsidRPr="000973F2">
              <w:rPr>
                <w:rFonts w:ascii="Times New Roman" w:eastAsia="Times New Roman" w:hAnsi="Times New Roman" w:cs="Times New Roman"/>
                <w:b/>
                <w:bCs/>
                <w:sz w:val="18"/>
                <w:szCs w:val="18"/>
              </w:rPr>
              <w:t>Year Hours</w:t>
            </w:r>
          </w:p>
        </w:tc>
        <w:tc>
          <w:tcPr>
            <w:tcW w:w="810" w:type="dxa"/>
            <w:tcMar>
              <w:left w:w="14" w:type="dxa"/>
              <w:right w:w="14" w:type="dxa"/>
            </w:tcMar>
            <w:hideMark/>
          </w:tcPr>
          <w:p w14:paraId="6DADFBE6" w14:textId="42A1011F" w:rsidR="006767C4" w:rsidRPr="000973F2" w:rsidRDefault="006767C4" w:rsidP="0068622D">
            <w:pPr>
              <w:spacing w:before="30" w:after="3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18"/>
                <w:szCs w:val="18"/>
              </w:rPr>
            </w:pPr>
            <w:r w:rsidRPr="000973F2">
              <w:rPr>
                <w:rFonts w:ascii="Times New Roman" w:eastAsia="Times New Roman" w:hAnsi="Times New Roman" w:cs="Times New Roman"/>
                <w:b/>
                <w:bCs/>
                <w:sz w:val="18"/>
                <w:szCs w:val="18"/>
              </w:rPr>
              <w:t xml:space="preserve">Subseq. </w:t>
            </w:r>
            <w:r w:rsidR="00132320" w:rsidRPr="000973F2">
              <w:rPr>
                <w:rFonts w:ascii="Times New Roman" w:eastAsia="Times New Roman" w:hAnsi="Times New Roman" w:cs="Times New Roman"/>
                <w:b/>
                <w:bCs/>
                <w:sz w:val="18"/>
                <w:szCs w:val="18"/>
              </w:rPr>
              <w:t>Year Hours</w:t>
            </w:r>
          </w:p>
        </w:tc>
        <w:tc>
          <w:tcPr>
            <w:tcW w:w="810" w:type="dxa"/>
            <w:tcMar>
              <w:left w:w="14" w:type="dxa"/>
              <w:right w:w="14" w:type="dxa"/>
            </w:tcMar>
            <w:hideMark/>
          </w:tcPr>
          <w:p w14:paraId="5C378F6E" w14:textId="779D5568" w:rsidR="006767C4" w:rsidRPr="000973F2" w:rsidRDefault="006767C4" w:rsidP="0068622D">
            <w:pPr>
              <w:spacing w:before="30" w:after="3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18"/>
                <w:szCs w:val="18"/>
              </w:rPr>
            </w:pPr>
            <w:r w:rsidRPr="000973F2">
              <w:rPr>
                <w:rFonts w:ascii="Times New Roman" w:eastAsia="Times New Roman" w:hAnsi="Times New Roman" w:cs="Times New Roman"/>
                <w:b/>
                <w:bCs/>
                <w:sz w:val="18"/>
                <w:szCs w:val="18"/>
              </w:rPr>
              <w:t xml:space="preserve">Initial </w:t>
            </w:r>
            <w:r w:rsidR="00132320" w:rsidRPr="000973F2">
              <w:rPr>
                <w:rFonts w:ascii="Times New Roman" w:eastAsia="Times New Roman" w:hAnsi="Times New Roman" w:cs="Times New Roman"/>
                <w:b/>
                <w:bCs/>
                <w:sz w:val="18"/>
                <w:szCs w:val="18"/>
              </w:rPr>
              <w:t>Year Hours</w:t>
            </w:r>
          </w:p>
        </w:tc>
        <w:tc>
          <w:tcPr>
            <w:tcW w:w="810" w:type="dxa"/>
            <w:tcMar>
              <w:left w:w="14" w:type="dxa"/>
              <w:right w:w="14" w:type="dxa"/>
            </w:tcMar>
            <w:hideMark/>
          </w:tcPr>
          <w:p w14:paraId="70D9A1A5" w14:textId="2DB10DAD" w:rsidR="006767C4" w:rsidRPr="000973F2" w:rsidRDefault="006767C4" w:rsidP="0068622D">
            <w:pPr>
              <w:spacing w:before="30" w:after="3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18"/>
                <w:szCs w:val="18"/>
              </w:rPr>
            </w:pPr>
            <w:r w:rsidRPr="000973F2">
              <w:rPr>
                <w:rFonts w:ascii="Times New Roman" w:eastAsia="Times New Roman" w:hAnsi="Times New Roman" w:cs="Times New Roman"/>
                <w:b/>
                <w:bCs/>
                <w:sz w:val="18"/>
                <w:szCs w:val="18"/>
              </w:rPr>
              <w:t xml:space="preserve">Subseq. </w:t>
            </w:r>
            <w:r w:rsidR="00132320" w:rsidRPr="000973F2">
              <w:rPr>
                <w:rFonts w:ascii="Times New Roman" w:eastAsia="Times New Roman" w:hAnsi="Times New Roman" w:cs="Times New Roman"/>
                <w:b/>
                <w:bCs/>
                <w:sz w:val="18"/>
                <w:szCs w:val="18"/>
              </w:rPr>
              <w:t>Year Hours</w:t>
            </w:r>
          </w:p>
        </w:tc>
        <w:tc>
          <w:tcPr>
            <w:tcW w:w="720" w:type="dxa"/>
            <w:tcMar>
              <w:left w:w="14" w:type="dxa"/>
              <w:right w:w="14" w:type="dxa"/>
            </w:tcMar>
            <w:hideMark/>
          </w:tcPr>
          <w:p w14:paraId="681B2BD4" w14:textId="77777777" w:rsidR="006767C4" w:rsidRPr="000973F2" w:rsidRDefault="006767C4" w:rsidP="0068622D">
            <w:pPr>
              <w:spacing w:before="30" w:after="3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18"/>
                <w:szCs w:val="18"/>
              </w:rPr>
            </w:pPr>
            <w:r w:rsidRPr="000973F2">
              <w:rPr>
                <w:rFonts w:ascii="Times New Roman" w:eastAsia="Times New Roman" w:hAnsi="Times New Roman" w:cs="Times New Roman"/>
                <w:b/>
                <w:bCs/>
                <w:sz w:val="18"/>
                <w:szCs w:val="18"/>
              </w:rPr>
              <w:t>Initial Year</w:t>
            </w:r>
          </w:p>
        </w:tc>
        <w:tc>
          <w:tcPr>
            <w:tcW w:w="681" w:type="dxa"/>
            <w:tcMar>
              <w:left w:w="14" w:type="dxa"/>
              <w:right w:w="14" w:type="dxa"/>
            </w:tcMar>
            <w:hideMark/>
          </w:tcPr>
          <w:p w14:paraId="756D4BA3" w14:textId="77777777" w:rsidR="006767C4" w:rsidRPr="000973F2" w:rsidRDefault="006767C4" w:rsidP="0068622D">
            <w:pPr>
              <w:spacing w:before="30" w:after="3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18"/>
                <w:szCs w:val="18"/>
              </w:rPr>
            </w:pPr>
            <w:r w:rsidRPr="000973F2">
              <w:rPr>
                <w:rFonts w:ascii="Times New Roman" w:eastAsia="Times New Roman" w:hAnsi="Times New Roman" w:cs="Times New Roman"/>
                <w:b/>
                <w:bCs/>
                <w:sz w:val="18"/>
                <w:szCs w:val="18"/>
              </w:rPr>
              <w:t>Subseq. Year</w:t>
            </w:r>
          </w:p>
        </w:tc>
      </w:tr>
      <w:tr w:rsidR="006767C4" w:rsidRPr="000973F2" w14:paraId="6B01E93A" w14:textId="77777777" w:rsidTr="0068622D">
        <w:trPr>
          <w:gridAfter w:val="1"/>
          <w:wAfter w:w="24" w:type="dxa"/>
          <w:cantSplit/>
        </w:trPr>
        <w:tc>
          <w:tcPr>
            <w:cnfStyle w:val="001000000000" w:firstRow="0" w:lastRow="0" w:firstColumn="1" w:lastColumn="0" w:oddVBand="0" w:evenVBand="0" w:oddHBand="0" w:evenHBand="0" w:firstRowFirstColumn="0" w:firstRowLastColumn="0" w:lastRowFirstColumn="0" w:lastRowLastColumn="0"/>
            <w:tcW w:w="1425" w:type="dxa"/>
            <w:hideMark/>
          </w:tcPr>
          <w:p w14:paraId="5F45E8DA" w14:textId="77777777" w:rsidR="006767C4" w:rsidRPr="000973F2" w:rsidRDefault="006767C4" w:rsidP="0068622D">
            <w:pPr>
              <w:spacing w:before="30" w:after="3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Planning</w:t>
            </w:r>
          </w:p>
        </w:tc>
        <w:tc>
          <w:tcPr>
            <w:tcW w:w="810" w:type="dxa"/>
            <w:noWrap/>
            <w:hideMark/>
          </w:tcPr>
          <w:p w14:paraId="1802EE01" w14:textId="77777777" w:rsidR="006767C4" w:rsidRPr="000973F2" w:rsidRDefault="006767C4" w:rsidP="0068622D">
            <w:pPr>
              <w:tabs>
                <w:tab w:val="decimal" w:pos="331"/>
              </w:tabs>
              <w:spacing w:before="30" w:after="3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0</w:t>
            </w:r>
          </w:p>
        </w:tc>
        <w:tc>
          <w:tcPr>
            <w:tcW w:w="810" w:type="dxa"/>
            <w:noWrap/>
            <w:hideMark/>
          </w:tcPr>
          <w:p w14:paraId="43716B0A" w14:textId="77777777" w:rsidR="006767C4" w:rsidRPr="000973F2" w:rsidRDefault="006767C4" w:rsidP="0068622D">
            <w:pPr>
              <w:tabs>
                <w:tab w:val="decimal" w:pos="331"/>
              </w:tabs>
              <w:spacing w:before="30" w:after="3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1</w:t>
            </w:r>
          </w:p>
        </w:tc>
        <w:tc>
          <w:tcPr>
            <w:tcW w:w="810" w:type="dxa"/>
            <w:noWrap/>
            <w:hideMark/>
          </w:tcPr>
          <w:p w14:paraId="71242DD4" w14:textId="77777777" w:rsidR="006767C4" w:rsidRPr="000973F2" w:rsidRDefault="006767C4" w:rsidP="0068622D">
            <w:pPr>
              <w:tabs>
                <w:tab w:val="decimal" w:pos="331"/>
              </w:tabs>
              <w:spacing w:before="30" w:after="3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0</w:t>
            </w:r>
          </w:p>
        </w:tc>
        <w:tc>
          <w:tcPr>
            <w:tcW w:w="810" w:type="dxa"/>
            <w:noWrap/>
            <w:hideMark/>
          </w:tcPr>
          <w:p w14:paraId="13FF1DFF" w14:textId="77777777" w:rsidR="006767C4" w:rsidRPr="000973F2" w:rsidRDefault="006767C4" w:rsidP="0068622D">
            <w:pPr>
              <w:tabs>
                <w:tab w:val="decimal" w:pos="331"/>
              </w:tabs>
              <w:spacing w:before="30" w:after="3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0</w:t>
            </w:r>
          </w:p>
        </w:tc>
        <w:tc>
          <w:tcPr>
            <w:tcW w:w="810" w:type="dxa"/>
            <w:noWrap/>
            <w:hideMark/>
          </w:tcPr>
          <w:p w14:paraId="3D2E7C67" w14:textId="77777777" w:rsidR="006767C4" w:rsidRPr="000973F2" w:rsidRDefault="006767C4" w:rsidP="0068622D">
            <w:pPr>
              <w:tabs>
                <w:tab w:val="decimal" w:pos="331"/>
              </w:tabs>
              <w:spacing w:before="30" w:after="3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0</w:t>
            </w:r>
          </w:p>
        </w:tc>
        <w:tc>
          <w:tcPr>
            <w:tcW w:w="810" w:type="dxa"/>
            <w:noWrap/>
            <w:hideMark/>
          </w:tcPr>
          <w:p w14:paraId="3B67612C" w14:textId="77777777" w:rsidR="006767C4" w:rsidRPr="000973F2" w:rsidRDefault="006767C4" w:rsidP="0068622D">
            <w:pPr>
              <w:tabs>
                <w:tab w:val="decimal" w:pos="331"/>
              </w:tabs>
              <w:spacing w:before="30" w:after="3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0</w:t>
            </w:r>
          </w:p>
        </w:tc>
        <w:tc>
          <w:tcPr>
            <w:tcW w:w="810" w:type="dxa"/>
            <w:noWrap/>
            <w:hideMark/>
          </w:tcPr>
          <w:p w14:paraId="0807A217" w14:textId="77777777" w:rsidR="006767C4" w:rsidRPr="000973F2" w:rsidRDefault="006767C4" w:rsidP="0068622D">
            <w:pPr>
              <w:tabs>
                <w:tab w:val="decimal" w:pos="331"/>
              </w:tabs>
              <w:spacing w:before="30" w:after="3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0</w:t>
            </w:r>
          </w:p>
        </w:tc>
        <w:tc>
          <w:tcPr>
            <w:tcW w:w="810" w:type="dxa"/>
            <w:noWrap/>
            <w:hideMark/>
          </w:tcPr>
          <w:p w14:paraId="27E1FC50" w14:textId="77777777" w:rsidR="006767C4" w:rsidRPr="000973F2" w:rsidRDefault="006767C4" w:rsidP="0068622D">
            <w:pPr>
              <w:tabs>
                <w:tab w:val="decimal" w:pos="331"/>
              </w:tabs>
              <w:spacing w:before="30" w:after="3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0</w:t>
            </w:r>
          </w:p>
        </w:tc>
        <w:tc>
          <w:tcPr>
            <w:tcW w:w="720" w:type="dxa"/>
            <w:noWrap/>
            <w:hideMark/>
          </w:tcPr>
          <w:p w14:paraId="23994622" w14:textId="77777777" w:rsidR="006767C4" w:rsidRPr="000973F2" w:rsidRDefault="006767C4" w:rsidP="0068622D">
            <w:pPr>
              <w:tabs>
                <w:tab w:val="decimal" w:pos="331"/>
              </w:tabs>
              <w:spacing w:before="30" w:after="3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 xml:space="preserve">$0 </w:t>
            </w:r>
          </w:p>
        </w:tc>
        <w:tc>
          <w:tcPr>
            <w:tcW w:w="681" w:type="dxa"/>
            <w:noWrap/>
            <w:hideMark/>
          </w:tcPr>
          <w:p w14:paraId="4A243B40" w14:textId="77777777" w:rsidR="006767C4" w:rsidRPr="000973F2" w:rsidRDefault="006767C4" w:rsidP="0068622D">
            <w:pPr>
              <w:tabs>
                <w:tab w:val="decimal" w:pos="421"/>
              </w:tabs>
              <w:spacing w:before="30" w:after="3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$112</w:t>
            </w:r>
          </w:p>
        </w:tc>
      </w:tr>
      <w:tr w:rsidR="006767C4" w:rsidRPr="000973F2" w14:paraId="626E9825" w14:textId="77777777" w:rsidTr="0068622D">
        <w:trPr>
          <w:gridAfter w:val="1"/>
          <w:cnfStyle w:val="000000100000" w:firstRow="0" w:lastRow="0" w:firstColumn="0" w:lastColumn="0" w:oddVBand="0" w:evenVBand="0" w:oddHBand="1" w:evenHBand="0" w:firstRowFirstColumn="0" w:firstRowLastColumn="0" w:lastRowFirstColumn="0" w:lastRowLastColumn="0"/>
          <w:wAfter w:w="24" w:type="dxa"/>
          <w:cantSplit/>
        </w:trPr>
        <w:tc>
          <w:tcPr>
            <w:cnfStyle w:val="001000000000" w:firstRow="0" w:lastRow="0" w:firstColumn="1" w:lastColumn="0" w:oddVBand="0" w:evenVBand="0" w:oddHBand="0" w:evenHBand="0" w:firstRowFirstColumn="0" w:firstRowLastColumn="0" w:lastRowFirstColumn="0" w:lastRowLastColumn="0"/>
            <w:tcW w:w="1425" w:type="dxa"/>
            <w:hideMark/>
          </w:tcPr>
          <w:p w14:paraId="435D5440" w14:textId="77777777" w:rsidR="006767C4" w:rsidRPr="000973F2" w:rsidRDefault="006767C4" w:rsidP="0068622D">
            <w:pPr>
              <w:spacing w:before="30" w:after="3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QA/QC</w:t>
            </w:r>
          </w:p>
        </w:tc>
        <w:tc>
          <w:tcPr>
            <w:tcW w:w="810" w:type="dxa"/>
            <w:noWrap/>
            <w:hideMark/>
          </w:tcPr>
          <w:p w14:paraId="6E75F097" w14:textId="77777777" w:rsidR="006767C4" w:rsidRPr="000973F2" w:rsidRDefault="006767C4" w:rsidP="0068622D">
            <w:pPr>
              <w:tabs>
                <w:tab w:val="decimal" w:pos="331"/>
              </w:tabs>
              <w:spacing w:before="30" w:after="3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0</w:t>
            </w:r>
          </w:p>
        </w:tc>
        <w:tc>
          <w:tcPr>
            <w:tcW w:w="810" w:type="dxa"/>
            <w:noWrap/>
            <w:hideMark/>
          </w:tcPr>
          <w:p w14:paraId="3D9BCCCA" w14:textId="77777777" w:rsidR="006767C4" w:rsidRPr="000973F2" w:rsidRDefault="006767C4" w:rsidP="0068622D">
            <w:pPr>
              <w:tabs>
                <w:tab w:val="decimal" w:pos="331"/>
              </w:tabs>
              <w:spacing w:before="30" w:after="3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0</w:t>
            </w:r>
          </w:p>
        </w:tc>
        <w:tc>
          <w:tcPr>
            <w:tcW w:w="810" w:type="dxa"/>
            <w:noWrap/>
            <w:hideMark/>
          </w:tcPr>
          <w:p w14:paraId="1D0C25A5" w14:textId="77777777" w:rsidR="006767C4" w:rsidRPr="000973F2" w:rsidRDefault="006767C4" w:rsidP="0068622D">
            <w:pPr>
              <w:tabs>
                <w:tab w:val="decimal" w:pos="331"/>
              </w:tabs>
              <w:spacing w:before="30" w:after="3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0</w:t>
            </w:r>
          </w:p>
        </w:tc>
        <w:tc>
          <w:tcPr>
            <w:tcW w:w="810" w:type="dxa"/>
            <w:noWrap/>
            <w:hideMark/>
          </w:tcPr>
          <w:p w14:paraId="760CF09F" w14:textId="77777777" w:rsidR="006767C4" w:rsidRPr="000973F2" w:rsidRDefault="006767C4" w:rsidP="0068622D">
            <w:pPr>
              <w:tabs>
                <w:tab w:val="decimal" w:pos="331"/>
              </w:tabs>
              <w:spacing w:before="30" w:after="3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0</w:t>
            </w:r>
          </w:p>
        </w:tc>
        <w:tc>
          <w:tcPr>
            <w:tcW w:w="810" w:type="dxa"/>
            <w:noWrap/>
            <w:hideMark/>
          </w:tcPr>
          <w:p w14:paraId="6978011D" w14:textId="77777777" w:rsidR="006767C4" w:rsidRPr="000973F2" w:rsidRDefault="006767C4" w:rsidP="0068622D">
            <w:pPr>
              <w:tabs>
                <w:tab w:val="decimal" w:pos="331"/>
              </w:tabs>
              <w:spacing w:before="30" w:after="3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0</w:t>
            </w:r>
          </w:p>
        </w:tc>
        <w:tc>
          <w:tcPr>
            <w:tcW w:w="810" w:type="dxa"/>
            <w:noWrap/>
            <w:hideMark/>
          </w:tcPr>
          <w:p w14:paraId="3BCFB164" w14:textId="77777777" w:rsidR="006767C4" w:rsidRPr="000973F2" w:rsidRDefault="006767C4" w:rsidP="0068622D">
            <w:pPr>
              <w:tabs>
                <w:tab w:val="decimal" w:pos="331"/>
              </w:tabs>
              <w:spacing w:before="30" w:after="3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0</w:t>
            </w:r>
          </w:p>
        </w:tc>
        <w:tc>
          <w:tcPr>
            <w:tcW w:w="810" w:type="dxa"/>
            <w:noWrap/>
            <w:hideMark/>
          </w:tcPr>
          <w:p w14:paraId="29D52CD6" w14:textId="77777777" w:rsidR="006767C4" w:rsidRPr="000973F2" w:rsidRDefault="006767C4" w:rsidP="0068622D">
            <w:pPr>
              <w:tabs>
                <w:tab w:val="decimal" w:pos="331"/>
              </w:tabs>
              <w:spacing w:before="30" w:after="3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0</w:t>
            </w:r>
          </w:p>
        </w:tc>
        <w:tc>
          <w:tcPr>
            <w:tcW w:w="810" w:type="dxa"/>
            <w:noWrap/>
            <w:hideMark/>
          </w:tcPr>
          <w:p w14:paraId="7225C99B" w14:textId="77777777" w:rsidR="006767C4" w:rsidRPr="000973F2" w:rsidRDefault="006767C4" w:rsidP="0068622D">
            <w:pPr>
              <w:tabs>
                <w:tab w:val="decimal" w:pos="331"/>
              </w:tabs>
              <w:spacing w:before="30" w:after="3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0</w:t>
            </w:r>
          </w:p>
        </w:tc>
        <w:tc>
          <w:tcPr>
            <w:tcW w:w="720" w:type="dxa"/>
            <w:noWrap/>
            <w:hideMark/>
          </w:tcPr>
          <w:p w14:paraId="2EB44488" w14:textId="77777777" w:rsidR="006767C4" w:rsidRPr="000973F2" w:rsidRDefault="006767C4" w:rsidP="0068622D">
            <w:pPr>
              <w:tabs>
                <w:tab w:val="decimal" w:pos="331"/>
              </w:tabs>
              <w:spacing w:before="30" w:after="3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 xml:space="preserve">$0 </w:t>
            </w:r>
          </w:p>
        </w:tc>
        <w:tc>
          <w:tcPr>
            <w:tcW w:w="681" w:type="dxa"/>
            <w:noWrap/>
            <w:hideMark/>
          </w:tcPr>
          <w:p w14:paraId="54B5EDBF" w14:textId="77777777" w:rsidR="006767C4" w:rsidRPr="000973F2" w:rsidRDefault="006767C4" w:rsidP="0068622D">
            <w:pPr>
              <w:tabs>
                <w:tab w:val="decimal" w:pos="421"/>
              </w:tabs>
              <w:spacing w:before="30" w:after="3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 xml:space="preserve">$0 </w:t>
            </w:r>
          </w:p>
        </w:tc>
      </w:tr>
      <w:tr w:rsidR="006767C4" w:rsidRPr="000973F2" w14:paraId="436C9B43" w14:textId="77777777" w:rsidTr="0068622D">
        <w:trPr>
          <w:gridAfter w:val="1"/>
          <w:wAfter w:w="24" w:type="dxa"/>
          <w:cantSplit/>
        </w:trPr>
        <w:tc>
          <w:tcPr>
            <w:cnfStyle w:val="001000000000" w:firstRow="0" w:lastRow="0" w:firstColumn="1" w:lastColumn="0" w:oddVBand="0" w:evenVBand="0" w:oddHBand="0" w:evenHBand="0" w:firstRowFirstColumn="0" w:firstRowLastColumn="0" w:lastRowFirstColumn="0" w:lastRowLastColumn="0"/>
            <w:tcW w:w="1425" w:type="dxa"/>
            <w:hideMark/>
          </w:tcPr>
          <w:p w14:paraId="47CFA286" w14:textId="77777777" w:rsidR="006767C4" w:rsidRPr="000973F2" w:rsidRDefault="006767C4" w:rsidP="0068622D">
            <w:pPr>
              <w:spacing w:before="30" w:after="3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Recordkeeping</w:t>
            </w:r>
          </w:p>
        </w:tc>
        <w:tc>
          <w:tcPr>
            <w:tcW w:w="810" w:type="dxa"/>
            <w:noWrap/>
            <w:hideMark/>
          </w:tcPr>
          <w:p w14:paraId="039ADBC7" w14:textId="77777777" w:rsidR="006767C4" w:rsidRPr="000973F2" w:rsidRDefault="006767C4" w:rsidP="0068622D">
            <w:pPr>
              <w:tabs>
                <w:tab w:val="decimal" w:pos="331"/>
              </w:tabs>
              <w:spacing w:before="30" w:after="3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0</w:t>
            </w:r>
          </w:p>
        </w:tc>
        <w:tc>
          <w:tcPr>
            <w:tcW w:w="810" w:type="dxa"/>
            <w:noWrap/>
            <w:hideMark/>
          </w:tcPr>
          <w:p w14:paraId="66EE26C0" w14:textId="77777777" w:rsidR="006767C4" w:rsidRPr="000973F2" w:rsidRDefault="006767C4" w:rsidP="0068622D">
            <w:pPr>
              <w:tabs>
                <w:tab w:val="decimal" w:pos="331"/>
              </w:tabs>
              <w:spacing w:before="30" w:after="3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0</w:t>
            </w:r>
          </w:p>
        </w:tc>
        <w:tc>
          <w:tcPr>
            <w:tcW w:w="810" w:type="dxa"/>
            <w:noWrap/>
            <w:hideMark/>
          </w:tcPr>
          <w:p w14:paraId="59517C33" w14:textId="77777777" w:rsidR="006767C4" w:rsidRPr="000973F2" w:rsidRDefault="006767C4" w:rsidP="0068622D">
            <w:pPr>
              <w:tabs>
                <w:tab w:val="decimal" w:pos="331"/>
              </w:tabs>
              <w:spacing w:before="30" w:after="3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0</w:t>
            </w:r>
          </w:p>
        </w:tc>
        <w:tc>
          <w:tcPr>
            <w:tcW w:w="810" w:type="dxa"/>
            <w:noWrap/>
            <w:hideMark/>
          </w:tcPr>
          <w:p w14:paraId="26169250" w14:textId="77777777" w:rsidR="006767C4" w:rsidRPr="000973F2" w:rsidRDefault="006767C4" w:rsidP="0068622D">
            <w:pPr>
              <w:tabs>
                <w:tab w:val="decimal" w:pos="331"/>
              </w:tabs>
              <w:spacing w:before="30" w:after="3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0.5</w:t>
            </w:r>
          </w:p>
        </w:tc>
        <w:tc>
          <w:tcPr>
            <w:tcW w:w="810" w:type="dxa"/>
            <w:noWrap/>
            <w:hideMark/>
          </w:tcPr>
          <w:p w14:paraId="4AF7BC1D" w14:textId="77777777" w:rsidR="006767C4" w:rsidRPr="000973F2" w:rsidRDefault="006767C4" w:rsidP="0068622D">
            <w:pPr>
              <w:tabs>
                <w:tab w:val="decimal" w:pos="331"/>
              </w:tabs>
              <w:spacing w:before="30" w:after="3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0</w:t>
            </w:r>
          </w:p>
        </w:tc>
        <w:tc>
          <w:tcPr>
            <w:tcW w:w="810" w:type="dxa"/>
            <w:noWrap/>
            <w:hideMark/>
          </w:tcPr>
          <w:p w14:paraId="1CF86F17" w14:textId="77777777" w:rsidR="006767C4" w:rsidRPr="000973F2" w:rsidRDefault="006767C4" w:rsidP="0068622D">
            <w:pPr>
              <w:tabs>
                <w:tab w:val="decimal" w:pos="331"/>
              </w:tabs>
              <w:spacing w:before="30" w:after="3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2</w:t>
            </w:r>
          </w:p>
        </w:tc>
        <w:tc>
          <w:tcPr>
            <w:tcW w:w="810" w:type="dxa"/>
            <w:noWrap/>
            <w:hideMark/>
          </w:tcPr>
          <w:p w14:paraId="01CA94EF" w14:textId="77777777" w:rsidR="006767C4" w:rsidRPr="000973F2" w:rsidRDefault="006767C4" w:rsidP="0068622D">
            <w:pPr>
              <w:tabs>
                <w:tab w:val="decimal" w:pos="331"/>
              </w:tabs>
              <w:spacing w:before="30" w:after="3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0</w:t>
            </w:r>
          </w:p>
        </w:tc>
        <w:tc>
          <w:tcPr>
            <w:tcW w:w="810" w:type="dxa"/>
            <w:noWrap/>
            <w:hideMark/>
          </w:tcPr>
          <w:p w14:paraId="53C0448D" w14:textId="77777777" w:rsidR="006767C4" w:rsidRPr="000973F2" w:rsidRDefault="006767C4" w:rsidP="0068622D">
            <w:pPr>
              <w:tabs>
                <w:tab w:val="decimal" w:pos="331"/>
              </w:tabs>
              <w:spacing w:before="30" w:after="3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0.5</w:t>
            </w:r>
          </w:p>
        </w:tc>
        <w:tc>
          <w:tcPr>
            <w:tcW w:w="720" w:type="dxa"/>
            <w:noWrap/>
            <w:hideMark/>
          </w:tcPr>
          <w:p w14:paraId="1212CA1E" w14:textId="77777777" w:rsidR="006767C4" w:rsidRPr="000973F2" w:rsidRDefault="006767C4" w:rsidP="0068622D">
            <w:pPr>
              <w:tabs>
                <w:tab w:val="decimal" w:pos="331"/>
              </w:tabs>
              <w:spacing w:before="30" w:after="3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 xml:space="preserve">$0 </w:t>
            </w:r>
          </w:p>
        </w:tc>
        <w:tc>
          <w:tcPr>
            <w:tcW w:w="681" w:type="dxa"/>
            <w:noWrap/>
            <w:hideMark/>
          </w:tcPr>
          <w:p w14:paraId="75E092CC" w14:textId="77777777" w:rsidR="006767C4" w:rsidRPr="000973F2" w:rsidRDefault="006767C4" w:rsidP="0068622D">
            <w:pPr>
              <w:tabs>
                <w:tab w:val="decimal" w:pos="421"/>
              </w:tabs>
              <w:spacing w:before="30" w:after="3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 xml:space="preserve">$205 </w:t>
            </w:r>
          </w:p>
        </w:tc>
      </w:tr>
      <w:tr w:rsidR="006767C4" w:rsidRPr="000973F2" w14:paraId="670D5718" w14:textId="77777777" w:rsidTr="0068622D">
        <w:trPr>
          <w:gridAfter w:val="1"/>
          <w:cnfStyle w:val="000000100000" w:firstRow="0" w:lastRow="0" w:firstColumn="0" w:lastColumn="0" w:oddVBand="0" w:evenVBand="0" w:oddHBand="1" w:evenHBand="0" w:firstRowFirstColumn="0" w:firstRowLastColumn="0" w:lastRowFirstColumn="0" w:lastRowLastColumn="0"/>
          <w:wAfter w:w="24" w:type="dxa"/>
          <w:cantSplit/>
        </w:trPr>
        <w:tc>
          <w:tcPr>
            <w:cnfStyle w:val="001000000000" w:firstRow="0" w:lastRow="0" w:firstColumn="1" w:lastColumn="0" w:oddVBand="0" w:evenVBand="0" w:oddHBand="0" w:evenHBand="0" w:firstRowFirstColumn="0" w:firstRowLastColumn="0" w:lastRowFirstColumn="0" w:lastRowLastColumn="0"/>
            <w:tcW w:w="1425" w:type="dxa"/>
            <w:hideMark/>
          </w:tcPr>
          <w:p w14:paraId="388D3C9F" w14:textId="77777777" w:rsidR="006767C4" w:rsidRPr="000973F2" w:rsidRDefault="006767C4" w:rsidP="0068622D">
            <w:pPr>
              <w:spacing w:before="30" w:after="3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Sampling and Analysis (Calculations)</w:t>
            </w:r>
          </w:p>
        </w:tc>
        <w:tc>
          <w:tcPr>
            <w:tcW w:w="810" w:type="dxa"/>
            <w:noWrap/>
            <w:hideMark/>
          </w:tcPr>
          <w:p w14:paraId="1D5B6D17" w14:textId="77777777" w:rsidR="006767C4" w:rsidRPr="000973F2" w:rsidRDefault="006767C4" w:rsidP="0068622D">
            <w:pPr>
              <w:tabs>
                <w:tab w:val="decimal" w:pos="331"/>
              </w:tabs>
              <w:spacing w:before="30" w:after="3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0</w:t>
            </w:r>
          </w:p>
        </w:tc>
        <w:tc>
          <w:tcPr>
            <w:tcW w:w="810" w:type="dxa"/>
            <w:noWrap/>
            <w:hideMark/>
          </w:tcPr>
          <w:p w14:paraId="5774D037" w14:textId="77777777" w:rsidR="006767C4" w:rsidRPr="000973F2" w:rsidRDefault="006767C4" w:rsidP="0068622D">
            <w:pPr>
              <w:tabs>
                <w:tab w:val="decimal" w:pos="331"/>
              </w:tabs>
              <w:spacing w:before="30" w:after="3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0</w:t>
            </w:r>
          </w:p>
        </w:tc>
        <w:tc>
          <w:tcPr>
            <w:tcW w:w="810" w:type="dxa"/>
            <w:noWrap/>
            <w:hideMark/>
          </w:tcPr>
          <w:p w14:paraId="3764A50C" w14:textId="77777777" w:rsidR="006767C4" w:rsidRPr="000973F2" w:rsidRDefault="006767C4" w:rsidP="0068622D">
            <w:pPr>
              <w:tabs>
                <w:tab w:val="decimal" w:pos="331"/>
              </w:tabs>
              <w:spacing w:before="30" w:after="3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0</w:t>
            </w:r>
          </w:p>
        </w:tc>
        <w:tc>
          <w:tcPr>
            <w:tcW w:w="810" w:type="dxa"/>
            <w:noWrap/>
            <w:hideMark/>
          </w:tcPr>
          <w:p w14:paraId="2B1C99BF" w14:textId="77777777" w:rsidR="006767C4" w:rsidRPr="000973F2" w:rsidRDefault="006767C4" w:rsidP="0068622D">
            <w:pPr>
              <w:tabs>
                <w:tab w:val="decimal" w:pos="331"/>
              </w:tabs>
              <w:spacing w:before="30" w:after="3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0</w:t>
            </w:r>
          </w:p>
        </w:tc>
        <w:tc>
          <w:tcPr>
            <w:tcW w:w="810" w:type="dxa"/>
            <w:noWrap/>
            <w:hideMark/>
          </w:tcPr>
          <w:p w14:paraId="03430CCE" w14:textId="77777777" w:rsidR="006767C4" w:rsidRPr="000973F2" w:rsidRDefault="006767C4" w:rsidP="0068622D">
            <w:pPr>
              <w:tabs>
                <w:tab w:val="decimal" w:pos="331"/>
              </w:tabs>
              <w:spacing w:before="30" w:after="3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0</w:t>
            </w:r>
          </w:p>
        </w:tc>
        <w:tc>
          <w:tcPr>
            <w:tcW w:w="810" w:type="dxa"/>
            <w:noWrap/>
            <w:hideMark/>
          </w:tcPr>
          <w:p w14:paraId="3E4EFB33" w14:textId="77777777" w:rsidR="006767C4" w:rsidRPr="000973F2" w:rsidRDefault="006767C4" w:rsidP="0068622D">
            <w:pPr>
              <w:tabs>
                <w:tab w:val="decimal" w:pos="331"/>
              </w:tabs>
              <w:spacing w:before="30" w:after="3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0</w:t>
            </w:r>
          </w:p>
        </w:tc>
        <w:tc>
          <w:tcPr>
            <w:tcW w:w="810" w:type="dxa"/>
            <w:noWrap/>
            <w:hideMark/>
          </w:tcPr>
          <w:p w14:paraId="7707AE7D" w14:textId="77777777" w:rsidR="006767C4" w:rsidRPr="000973F2" w:rsidRDefault="006767C4" w:rsidP="0068622D">
            <w:pPr>
              <w:tabs>
                <w:tab w:val="decimal" w:pos="331"/>
              </w:tabs>
              <w:spacing w:before="30" w:after="3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0</w:t>
            </w:r>
          </w:p>
        </w:tc>
        <w:tc>
          <w:tcPr>
            <w:tcW w:w="810" w:type="dxa"/>
            <w:noWrap/>
            <w:hideMark/>
          </w:tcPr>
          <w:p w14:paraId="7CBDF5E1" w14:textId="77777777" w:rsidR="006767C4" w:rsidRPr="000973F2" w:rsidRDefault="006767C4" w:rsidP="0068622D">
            <w:pPr>
              <w:tabs>
                <w:tab w:val="decimal" w:pos="331"/>
              </w:tabs>
              <w:spacing w:before="30" w:after="3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0</w:t>
            </w:r>
          </w:p>
        </w:tc>
        <w:tc>
          <w:tcPr>
            <w:tcW w:w="720" w:type="dxa"/>
            <w:noWrap/>
            <w:hideMark/>
          </w:tcPr>
          <w:p w14:paraId="1E8EBE56" w14:textId="77777777" w:rsidR="006767C4" w:rsidRPr="000973F2" w:rsidRDefault="006767C4" w:rsidP="0068622D">
            <w:pPr>
              <w:tabs>
                <w:tab w:val="decimal" w:pos="331"/>
              </w:tabs>
              <w:spacing w:before="30" w:after="3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 xml:space="preserve">$0 </w:t>
            </w:r>
          </w:p>
        </w:tc>
        <w:tc>
          <w:tcPr>
            <w:tcW w:w="681" w:type="dxa"/>
            <w:noWrap/>
            <w:hideMark/>
          </w:tcPr>
          <w:p w14:paraId="6528BDFC" w14:textId="77777777" w:rsidR="006767C4" w:rsidRPr="000973F2" w:rsidRDefault="006767C4" w:rsidP="0068622D">
            <w:pPr>
              <w:tabs>
                <w:tab w:val="decimal" w:pos="421"/>
              </w:tabs>
              <w:spacing w:before="30" w:after="3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 xml:space="preserve">$0 </w:t>
            </w:r>
          </w:p>
        </w:tc>
      </w:tr>
      <w:tr w:rsidR="006767C4" w:rsidRPr="000973F2" w14:paraId="21659BB0" w14:textId="77777777" w:rsidTr="0068622D">
        <w:trPr>
          <w:gridAfter w:val="1"/>
          <w:wAfter w:w="24" w:type="dxa"/>
          <w:cantSplit/>
        </w:trPr>
        <w:tc>
          <w:tcPr>
            <w:cnfStyle w:val="001000000000" w:firstRow="0" w:lastRow="0" w:firstColumn="1" w:lastColumn="0" w:oddVBand="0" w:evenVBand="0" w:oddHBand="0" w:evenHBand="0" w:firstRowFirstColumn="0" w:firstRowLastColumn="0" w:lastRowFirstColumn="0" w:lastRowLastColumn="0"/>
            <w:tcW w:w="1425" w:type="dxa"/>
            <w:hideMark/>
          </w:tcPr>
          <w:p w14:paraId="05D318CD" w14:textId="77777777" w:rsidR="006767C4" w:rsidRPr="000973F2" w:rsidRDefault="006767C4" w:rsidP="0068622D">
            <w:pPr>
              <w:spacing w:before="30" w:after="3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Reporting</w:t>
            </w:r>
          </w:p>
        </w:tc>
        <w:tc>
          <w:tcPr>
            <w:tcW w:w="810" w:type="dxa"/>
            <w:noWrap/>
            <w:hideMark/>
          </w:tcPr>
          <w:p w14:paraId="0E6B253A" w14:textId="77777777" w:rsidR="006767C4" w:rsidRPr="000973F2" w:rsidRDefault="006767C4" w:rsidP="0068622D">
            <w:pPr>
              <w:tabs>
                <w:tab w:val="decimal" w:pos="331"/>
              </w:tabs>
              <w:spacing w:before="30" w:after="3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0</w:t>
            </w:r>
          </w:p>
        </w:tc>
        <w:tc>
          <w:tcPr>
            <w:tcW w:w="810" w:type="dxa"/>
            <w:noWrap/>
            <w:hideMark/>
          </w:tcPr>
          <w:p w14:paraId="3F7FD0C0" w14:textId="77777777" w:rsidR="006767C4" w:rsidRPr="000973F2" w:rsidRDefault="006767C4" w:rsidP="0068622D">
            <w:pPr>
              <w:tabs>
                <w:tab w:val="decimal" w:pos="331"/>
              </w:tabs>
              <w:spacing w:before="30" w:after="3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0</w:t>
            </w:r>
          </w:p>
        </w:tc>
        <w:tc>
          <w:tcPr>
            <w:tcW w:w="810" w:type="dxa"/>
            <w:noWrap/>
            <w:hideMark/>
          </w:tcPr>
          <w:p w14:paraId="257835CF" w14:textId="77777777" w:rsidR="006767C4" w:rsidRPr="000973F2" w:rsidRDefault="006767C4" w:rsidP="0068622D">
            <w:pPr>
              <w:tabs>
                <w:tab w:val="decimal" w:pos="331"/>
              </w:tabs>
              <w:spacing w:before="30" w:after="3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0</w:t>
            </w:r>
          </w:p>
        </w:tc>
        <w:tc>
          <w:tcPr>
            <w:tcW w:w="810" w:type="dxa"/>
            <w:noWrap/>
            <w:hideMark/>
          </w:tcPr>
          <w:p w14:paraId="0FB51ACC" w14:textId="77777777" w:rsidR="006767C4" w:rsidRPr="000973F2" w:rsidRDefault="006767C4" w:rsidP="0068622D">
            <w:pPr>
              <w:tabs>
                <w:tab w:val="decimal" w:pos="331"/>
              </w:tabs>
              <w:spacing w:before="30" w:after="3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1</w:t>
            </w:r>
          </w:p>
        </w:tc>
        <w:tc>
          <w:tcPr>
            <w:tcW w:w="810" w:type="dxa"/>
            <w:noWrap/>
            <w:hideMark/>
          </w:tcPr>
          <w:p w14:paraId="31D1BA5C" w14:textId="77777777" w:rsidR="006767C4" w:rsidRPr="000973F2" w:rsidRDefault="006767C4" w:rsidP="0068622D">
            <w:pPr>
              <w:tabs>
                <w:tab w:val="decimal" w:pos="331"/>
              </w:tabs>
              <w:spacing w:before="30" w:after="3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0</w:t>
            </w:r>
          </w:p>
        </w:tc>
        <w:tc>
          <w:tcPr>
            <w:tcW w:w="810" w:type="dxa"/>
            <w:noWrap/>
            <w:hideMark/>
          </w:tcPr>
          <w:p w14:paraId="55E72261" w14:textId="77777777" w:rsidR="006767C4" w:rsidRPr="000973F2" w:rsidRDefault="006767C4" w:rsidP="0068622D">
            <w:pPr>
              <w:tabs>
                <w:tab w:val="decimal" w:pos="331"/>
              </w:tabs>
              <w:spacing w:before="30" w:after="3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4</w:t>
            </w:r>
          </w:p>
        </w:tc>
        <w:tc>
          <w:tcPr>
            <w:tcW w:w="810" w:type="dxa"/>
            <w:noWrap/>
            <w:hideMark/>
          </w:tcPr>
          <w:p w14:paraId="1F1EBD9B" w14:textId="77777777" w:rsidR="006767C4" w:rsidRPr="000973F2" w:rsidRDefault="006767C4" w:rsidP="0068622D">
            <w:pPr>
              <w:tabs>
                <w:tab w:val="decimal" w:pos="331"/>
              </w:tabs>
              <w:spacing w:before="30" w:after="3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0</w:t>
            </w:r>
          </w:p>
        </w:tc>
        <w:tc>
          <w:tcPr>
            <w:tcW w:w="810" w:type="dxa"/>
            <w:noWrap/>
            <w:hideMark/>
          </w:tcPr>
          <w:p w14:paraId="795C9907" w14:textId="77777777" w:rsidR="006767C4" w:rsidRPr="000973F2" w:rsidRDefault="006767C4" w:rsidP="0068622D">
            <w:pPr>
              <w:tabs>
                <w:tab w:val="decimal" w:pos="331"/>
              </w:tabs>
              <w:spacing w:before="30" w:after="3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1</w:t>
            </w:r>
          </w:p>
        </w:tc>
        <w:tc>
          <w:tcPr>
            <w:tcW w:w="720" w:type="dxa"/>
            <w:noWrap/>
            <w:hideMark/>
          </w:tcPr>
          <w:p w14:paraId="7067AACF" w14:textId="77777777" w:rsidR="006767C4" w:rsidRPr="000973F2" w:rsidRDefault="006767C4" w:rsidP="0068622D">
            <w:pPr>
              <w:tabs>
                <w:tab w:val="decimal" w:pos="331"/>
              </w:tabs>
              <w:spacing w:before="30" w:after="3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$0</w:t>
            </w:r>
          </w:p>
        </w:tc>
        <w:tc>
          <w:tcPr>
            <w:tcW w:w="681" w:type="dxa"/>
            <w:noWrap/>
            <w:hideMark/>
          </w:tcPr>
          <w:p w14:paraId="5410BE69" w14:textId="77777777" w:rsidR="006767C4" w:rsidRPr="000973F2" w:rsidRDefault="006767C4" w:rsidP="0068622D">
            <w:pPr>
              <w:tabs>
                <w:tab w:val="decimal" w:pos="421"/>
              </w:tabs>
              <w:spacing w:before="30" w:after="3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 xml:space="preserve">$410 </w:t>
            </w:r>
          </w:p>
        </w:tc>
      </w:tr>
      <w:tr w:rsidR="006767C4" w:rsidRPr="000973F2" w14:paraId="7BD2E381" w14:textId="77777777" w:rsidTr="0068622D">
        <w:trPr>
          <w:gridAfter w:val="1"/>
          <w:cnfStyle w:val="000000100000" w:firstRow="0" w:lastRow="0" w:firstColumn="0" w:lastColumn="0" w:oddVBand="0" w:evenVBand="0" w:oddHBand="1" w:evenHBand="0" w:firstRowFirstColumn="0" w:firstRowLastColumn="0" w:lastRowFirstColumn="0" w:lastRowLastColumn="0"/>
          <w:wAfter w:w="24" w:type="dxa"/>
          <w:cantSplit/>
        </w:trPr>
        <w:tc>
          <w:tcPr>
            <w:cnfStyle w:val="001000000000" w:firstRow="0" w:lastRow="0" w:firstColumn="1" w:lastColumn="0" w:oddVBand="0" w:evenVBand="0" w:oddHBand="0" w:evenHBand="0" w:firstRowFirstColumn="0" w:firstRowLastColumn="0" w:lastRowFirstColumn="0" w:lastRowLastColumn="0"/>
            <w:tcW w:w="1425" w:type="dxa"/>
            <w:noWrap/>
            <w:hideMark/>
          </w:tcPr>
          <w:p w14:paraId="521264BC" w14:textId="77777777" w:rsidR="006767C4" w:rsidRPr="000973F2" w:rsidRDefault="006767C4" w:rsidP="0068622D">
            <w:pPr>
              <w:spacing w:before="30" w:after="30"/>
              <w:rPr>
                <w:rFonts w:ascii="Times New Roman" w:eastAsia="Times New Roman" w:hAnsi="Times New Roman" w:cs="Times New Roman"/>
                <w:b/>
                <w:bCs w:val="0"/>
                <w:sz w:val="18"/>
                <w:szCs w:val="18"/>
              </w:rPr>
            </w:pPr>
            <w:r w:rsidRPr="000973F2">
              <w:rPr>
                <w:rFonts w:ascii="Times New Roman" w:eastAsia="Times New Roman" w:hAnsi="Times New Roman" w:cs="Times New Roman"/>
                <w:b/>
                <w:sz w:val="18"/>
                <w:szCs w:val="18"/>
              </w:rPr>
              <w:t>Total</w:t>
            </w:r>
          </w:p>
        </w:tc>
        <w:tc>
          <w:tcPr>
            <w:tcW w:w="810" w:type="dxa"/>
            <w:noWrap/>
            <w:hideMark/>
          </w:tcPr>
          <w:p w14:paraId="26AF6A2C" w14:textId="77777777" w:rsidR="006767C4" w:rsidRPr="000973F2" w:rsidRDefault="006767C4" w:rsidP="0068622D">
            <w:pPr>
              <w:tabs>
                <w:tab w:val="decimal" w:pos="331"/>
              </w:tabs>
              <w:spacing w:before="30" w:after="3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18"/>
                <w:szCs w:val="18"/>
              </w:rPr>
            </w:pPr>
            <w:r w:rsidRPr="000973F2">
              <w:rPr>
                <w:rFonts w:ascii="Times New Roman" w:eastAsia="Times New Roman" w:hAnsi="Times New Roman" w:cs="Times New Roman"/>
                <w:b/>
                <w:bCs/>
                <w:sz w:val="18"/>
                <w:szCs w:val="18"/>
              </w:rPr>
              <w:t>0</w:t>
            </w:r>
          </w:p>
        </w:tc>
        <w:tc>
          <w:tcPr>
            <w:tcW w:w="810" w:type="dxa"/>
            <w:noWrap/>
            <w:hideMark/>
          </w:tcPr>
          <w:p w14:paraId="3288E6B6" w14:textId="77777777" w:rsidR="006767C4" w:rsidRPr="000973F2" w:rsidRDefault="006767C4" w:rsidP="0068622D">
            <w:pPr>
              <w:tabs>
                <w:tab w:val="decimal" w:pos="331"/>
              </w:tabs>
              <w:spacing w:before="30" w:after="3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18"/>
                <w:szCs w:val="18"/>
              </w:rPr>
            </w:pPr>
            <w:r w:rsidRPr="000973F2">
              <w:rPr>
                <w:rFonts w:ascii="Times New Roman" w:eastAsia="Times New Roman" w:hAnsi="Times New Roman" w:cs="Times New Roman"/>
                <w:b/>
                <w:bCs/>
                <w:sz w:val="18"/>
                <w:szCs w:val="18"/>
              </w:rPr>
              <w:t>1</w:t>
            </w:r>
          </w:p>
        </w:tc>
        <w:tc>
          <w:tcPr>
            <w:tcW w:w="810" w:type="dxa"/>
            <w:noWrap/>
            <w:hideMark/>
          </w:tcPr>
          <w:p w14:paraId="4907ADF5" w14:textId="77777777" w:rsidR="006767C4" w:rsidRPr="000973F2" w:rsidRDefault="006767C4" w:rsidP="0068622D">
            <w:pPr>
              <w:tabs>
                <w:tab w:val="decimal" w:pos="331"/>
              </w:tabs>
              <w:spacing w:before="30" w:after="3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18"/>
                <w:szCs w:val="18"/>
              </w:rPr>
            </w:pPr>
            <w:r w:rsidRPr="000973F2">
              <w:rPr>
                <w:rFonts w:ascii="Times New Roman" w:eastAsia="Times New Roman" w:hAnsi="Times New Roman" w:cs="Times New Roman"/>
                <w:b/>
                <w:bCs/>
                <w:sz w:val="18"/>
                <w:szCs w:val="18"/>
              </w:rPr>
              <w:t>0</w:t>
            </w:r>
          </w:p>
        </w:tc>
        <w:tc>
          <w:tcPr>
            <w:tcW w:w="810" w:type="dxa"/>
            <w:noWrap/>
            <w:hideMark/>
          </w:tcPr>
          <w:p w14:paraId="46A961AD" w14:textId="77777777" w:rsidR="006767C4" w:rsidRPr="000973F2" w:rsidRDefault="006767C4" w:rsidP="0068622D">
            <w:pPr>
              <w:tabs>
                <w:tab w:val="decimal" w:pos="331"/>
              </w:tabs>
              <w:spacing w:before="30" w:after="3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18"/>
                <w:szCs w:val="18"/>
              </w:rPr>
            </w:pPr>
            <w:r w:rsidRPr="000973F2">
              <w:rPr>
                <w:rFonts w:ascii="Times New Roman" w:eastAsia="Times New Roman" w:hAnsi="Times New Roman" w:cs="Times New Roman"/>
                <w:b/>
                <w:bCs/>
                <w:sz w:val="18"/>
                <w:szCs w:val="18"/>
              </w:rPr>
              <w:t>1.5</w:t>
            </w:r>
          </w:p>
        </w:tc>
        <w:tc>
          <w:tcPr>
            <w:tcW w:w="810" w:type="dxa"/>
            <w:noWrap/>
            <w:hideMark/>
          </w:tcPr>
          <w:p w14:paraId="6B15033C" w14:textId="77777777" w:rsidR="006767C4" w:rsidRPr="000973F2" w:rsidRDefault="006767C4" w:rsidP="0068622D">
            <w:pPr>
              <w:tabs>
                <w:tab w:val="decimal" w:pos="331"/>
              </w:tabs>
              <w:spacing w:before="30" w:after="3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18"/>
                <w:szCs w:val="18"/>
              </w:rPr>
            </w:pPr>
            <w:r w:rsidRPr="000973F2">
              <w:rPr>
                <w:rFonts w:ascii="Times New Roman" w:eastAsia="Times New Roman" w:hAnsi="Times New Roman" w:cs="Times New Roman"/>
                <w:b/>
                <w:bCs/>
                <w:sz w:val="18"/>
                <w:szCs w:val="18"/>
              </w:rPr>
              <w:t>0</w:t>
            </w:r>
          </w:p>
        </w:tc>
        <w:tc>
          <w:tcPr>
            <w:tcW w:w="810" w:type="dxa"/>
            <w:noWrap/>
            <w:hideMark/>
          </w:tcPr>
          <w:p w14:paraId="202A0963" w14:textId="77777777" w:rsidR="006767C4" w:rsidRPr="000973F2" w:rsidRDefault="006767C4" w:rsidP="0068622D">
            <w:pPr>
              <w:tabs>
                <w:tab w:val="decimal" w:pos="331"/>
              </w:tabs>
              <w:spacing w:before="30" w:after="3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18"/>
                <w:szCs w:val="18"/>
              </w:rPr>
            </w:pPr>
            <w:r w:rsidRPr="000973F2">
              <w:rPr>
                <w:rFonts w:ascii="Times New Roman" w:eastAsia="Times New Roman" w:hAnsi="Times New Roman" w:cs="Times New Roman"/>
                <w:b/>
                <w:bCs/>
                <w:sz w:val="18"/>
                <w:szCs w:val="18"/>
              </w:rPr>
              <w:t>6.0</w:t>
            </w:r>
          </w:p>
        </w:tc>
        <w:tc>
          <w:tcPr>
            <w:tcW w:w="810" w:type="dxa"/>
            <w:noWrap/>
            <w:hideMark/>
          </w:tcPr>
          <w:p w14:paraId="07B6E6B9" w14:textId="77777777" w:rsidR="006767C4" w:rsidRPr="000973F2" w:rsidRDefault="006767C4" w:rsidP="0068622D">
            <w:pPr>
              <w:tabs>
                <w:tab w:val="decimal" w:pos="331"/>
              </w:tabs>
              <w:spacing w:before="30" w:after="3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18"/>
                <w:szCs w:val="18"/>
              </w:rPr>
            </w:pPr>
            <w:r w:rsidRPr="000973F2">
              <w:rPr>
                <w:rFonts w:ascii="Times New Roman" w:eastAsia="Times New Roman" w:hAnsi="Times New Roman" w:cs="Times New Roman"/>
                <w:b/>
                <w:bCs/>
                <w:sz w:val="18"/>
                <w:szCs w:val="18"/>
              </w:rPr>
              <w:t>0</w:t>
            </w:r>
          </w:p>
        </w:tc>
        <w:tc>
          <w:tcPr>
            <w:tcW w:w="810" w:type="dxa"/>
            <w:noWrap/>
            <w:hideMark/>
          </w:tcPr>
          <w:p w14:paraId="0EBDECD3" w14:textId="77777777" w:rsidR="006767C4" w:rsidRPr="000973F2" w:rsidRDefault="006767C4" w:rsidP="0068622D">
            <w:pPr>
              <w:tabs>
                <w:tab w:val="decimal" w:pos="331"/>
              </w:tabs>
              <w:spacing w:before="30" w:after="3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18"/>
                <w:szCs w:val="18"/>
              </w:rPr>
            </w:pPr>
            <w:r w:rsidRPr="000973F2">
              <w:rPr>
                <w:rFonts w:ascii="Times New Roman" w:eastAsia="Times New Roman" w:hAnsi="Times New Roman" w:cs="Times New Roman"/>
                <w:b/>
                <w:bCs/>
                <w:sz w:val="18"/>
                <w:szCs w:val="18"/>
              </w:rPr>
              <w:t>1.5</w:t>
            </w:r>
          </w:p>
        </w:tc>
        <w:tc>
          <w:tcPr>
            <w:tcW w:w="720" w:type="dxa"/>
            <w:noWrap/>
            <w:hideMark/>
          </w:tcPr>
          <w:p w14:paraId="2733152C" w14:textId="77777777" w:rsidR="006767C4" w:rsidRPr="000973F2" w:rsidRDefault="006767C4" w:rsidP="0068622D">
            <w:pPr>
              <w:tabs>
                <w:tab w:val="decimal" w:pos="331"/>
              </w:tabs>
              <w:spacing w:before="30" w:after="3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18"/>
                <w:szCs w:val="18"/>
              </w:rPr>
            </w:pPr>
            <w:r w:rsidRPr="000973F2">
              <w:rPr>
                <w:rFonts w:ascii="Times New Roman" w:eastAsia="Times New Roman" w:hAnsi="Times New Roman" w:cs="Times New Roman"/>
                <w:b/>
                <w:bCs/>
                <w:sz w:val="18"/>
                <w:szCs w:val="18"/>
              </w:rPr>
              <w:t>$0</w:t>
            </w:r>
          </w:p>
        </w:tc>
        <w:tc>
          <w:tcPr>
            <w:tcW w:w="681" w:type="dxa"/>
            <w:noWrap/>
            <w:hideMark/>
          </w:tcPr>
          <w:p w14:paraId="6DC00D80" w14:textId="77777777" w:rsidR="006767C4" w:rsidRPr="000973F2" w:rsidRDefault="006767C4" w:rsidP="0068622D">
            <w:pPr>
              <w:tabs>
                <w:tab w:val="decimal" w:pos="421"/>
              </w:tabs>
              <w:spacing w:before="30" w:after="3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18"/>
                <w:szCs w:val="18"/>
              </w:rPr>
            </w:pPr>
            <w:r w:rsidRPr="000973F2">
              <w:rPr>
                <w:rFonts w:ascii="Times New Roman" w:eastAsia="Times New Roman" w:hAnsi="Times New Roman" w:cs="Times New Roman"/>
                <w:b/>
                <w:bCs/>
                <w:sz w:val="18"/>
                <w:szCs w:val="18"/>
              </w:rPr>
              <w:t>$727</w:t>
            </w:r>
          </w:p>
        </w:tc>
      </w:tr>
    </w:tbl>
    <w:p w14:paraId="514F4EE4" w14:textId="77777777" w:rsidR="006B7F2C" w:rsidRPr="000973F2" w:rsidRDefault="006B7F2C" w:rsidP="0061585D">
      <w:pPr>
        <w:pStyle w:val="Heading2"/>
      </w:pPr>
      <w:r w:rsidRPr="000973F2">
        <w:t>Capital and O&amp;M Costs for Subpart Z</w:t>
      </w:r>
    </w:p>
    <w:p w14:paraId="6A925FAF" w14:textId="7B3DA659" w:rsidR="006B7F2C" w:rsidRPr="000973F2" w:rsidRDefault="006B7F2C" w:rsidP="006A22E2">
      <w:pPr>
        <w:pStyle w:val="BodyText"/>
      </w:pPr>
      <w:r w:rsidRPr="000973F2">
        <w:t xml:space="preserve">Capital and O&amp;M costs are shown in Table </w:t>
      </w:r>
      <w:r w:rsidR="006A22E2" w:rsidRPr="000973F2">
        <w:t>Z-</w:t>
      </w:r>
      <w:r w:rsidRPr="000973F2">
        <w:t>2. Facilities will only incur O&amp;M costs associated with recordkeeping, as discussed in the Cost Appendix Introduction. No capital costs are expected.</w:t>
      </w:r>
    </w:p>
    <w:p w14:paraId="68B0B2CF" w14:textId="7B5B054F" w:rsidR="006B7F2C" w:rsidRPr="000973F2" w:rsidRDefault="006B7F2C" w:rsidP="006A22E2">
      <w:pPr>
        <w:pStyle w:val="Tabletitle"/>
      </w:pPr>
      <w:r w:rsidRPr="000973F2">
        <w:t xml:space="preserve">Table </w:t>
      </w:r>
      <w:r w:rsidR="006A22E2" w:rsidRPr="000973F2">
        <w:t>Z-</w:t>
      </w:r>
      <w:r w:rsidRPr="000973F2">
        <w:t>2</w:t>
      </w:r>
      <w:r w:rsidR="000B2849" w:rsidRPr="000973F2">
        <w:t xml:space="preserve">. </w:t>
      </w:r>
      <w:r w:rsidRPr="000973F2">
        <w:t>Capital and O&amp;M Costs</w:t>
      </w:r>
      <w:r w:rsidR="000B2849" w:rsidRPr="000973F2">
        <w:t xml:space="preserve"> </w:t>
      </w:r>
      <w:r w:rsidR="00B960CC" w:rsidRPr="000973F2">
        <w:t>–</w:t>
      </w:r>
      <w:r w:rsidR="000B2849" w:rsidRPr="000973F2">
        <w:t xml:space="preserve"> </w:t>
      </w:r>
      <w:r w:rsidRPr="000973F2">
        <w:t>Subpart Z</w:t>
      </w:r>
    </w:p>
    <w:tbl>
      <w:tblPr>
        <w:tblStyle w:val="PlainTable1"/>
        <w:tblW w:w="5000" w:type="pct"/>
        <w:jc w:val="left"/>
        <w:tblLayout w:type="fixed"/>
        <w:tblCellMar>
          <w:left w:w="115" w:type="dxa"/>
          <w:right w:w="115" w:type="dxa"/>
        </w:tblCellMar>
        <w:tblLook w:val="04A0" w:firstRow="1" w:lastRow="0" w:firstColumn="1" w:lastColumn="0" w:noHBand="0" w:noVBand="1"/>
      </w:tblPr>
      <w:tblGrid>
        <w:gridCol w:w="1927"/>
        <w:gridCol w:w="1249"/>
        <w:gridCol w:w="1249"/>
        <w:gridCol w:w="1249"/>
        <w:gridCol w:w="1249"/>
        <w:gridCol w:w="1333"/>
        <w:gridCol w:w="1334"/>
      </w:tblGrid>
      <w:tr w:rsidR="00D17312" w:rsidRPr="000973F2" w14:paraId="1F89843B" w14:textId="77777777" w:rsidTr="00EE2F60">
        <w:trPr>
          <w:cnfStyle w:val="100000000000" w:firstRow="1" w:lastRow="0" w:firstColumn="0" w:lastColumn="0" w:oddVBand="0" w:evenVBand="0" w:oddHBand="0" w:evenHBand="0" w:firstRowFirstColumn="0" w:firstRowLastColumn="0" w:lastRowFirstColumn="0" w:lastRowLastColumn="0"/>
          <w:cantSplit/>
          <w:jc w:val="left"/>
        </w:trPr>
        <w:tc>
          <w:tcPr>
            <w:cnfStyle w:val="001000000000" w:firstRow="0" w:lastRow="0" w:firstColumn="1" w:lastColumn="0" w:oddVBand="0" w:evenVBand="0" w:oddHBand="0" w:evenHBand="0" w:firstRowFirstColumn="0" w:firstRowLastColumn="0" w:lastRowFirstColumn="0" w:lastRowLastColumn="0"/>
            <w:tcW w:w="1875" w:type="dxa"/>
            <w:vMerge w:val="restart"/>
            <w:noWrap/>
            <w:vAlign w:val="top"/>
            <w:hideMark/>
          </w:tcPr>
          <w:p w14:paraId="5DC89686" w14:textId="5940E68A" w:rsidR="00D17312" w:rsidRPr="000973F2" w:rsidRDefault="00D17312" w:rsidP="00EE2F60">
            <w:pPr>
              <w:spacing w:before="40" w:after="40"/>
              <w:rPr>
                <w:rFonts w:ascii="Times New Roman" w:eastAsia="Times New Roman" w:hAnsi="Times New Roman" w:cs="Times New Roman"/>
                <w:b w:val="0"/>
                <w:bCs w:val="0"/>
                <w:sz w:val="18"/>
                <w:szCs w:val="18"/>
              </w:rPr>
            </w:pPr>
            <w:r w:rsidRPr="000973F2">
              <w:rPr>
                <w:rFonts w:ascii="Times New Roman" w:eastAsia="Times New Roman" w:hAnsi="Times New Roman" w:cs="Times New Roman"/>
                <w:sz w:val="18"/>
                <w:szCs w:val="18"/>
              </w:rPr>
              <w:t>Activity</w:t>
            </w:r>
          </w:p>
        </w:tc>
        <w:tc>
          <w:tcPr>
            <w:tcW w:w="4860" w:type="dxa"/>
            <w:gridSpan w:val="4"/>
            <w:noWrap/>
            <w:vAlign w:val="top"/>
            <w:hideMark/>
          </w:tcPr>
          <w:p w14:paraId="73437F06" w14:textId="77777777" w:rsidR="00D17312" w:rsidRPr="000973F2" w:rsidRDefault="00D17312" w:rsidP="00EE2F60">
            <w:pPr>
              <w:spacing w:before="40" w:after="40"/>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bCs w:val="0"/>
                <w:sz w:val="18"/>
                <w:szCs w:val="18"/>
              </w:rPr>
            </w:pPr>
            <w:r w:rsidRPr="000973F2">
              <w:rPr>
                <w:rFonts w:ascii="Times New Roman" w:eastAsia="Times New Roman" w:hAnsi="Times New Roman" w:cs="Times New Roman"/>
                <w:sz w:val="18"/>
                <w:szCs w:val="18"/>
              </w:rPr>
              <w:t>Cost Categories</w:t>
            </w:r>
          </w:p>
        </w:tc>
        <w:tc>
          <w:tcPr>
            <w:tcW w:w="2595" w:type="dxa"/>
            <w:gridSpan w:val="2"/>
            <w:vAlign w:val="top"/>
            <w:hideMark/>
          </w:tcPr>
          <w:p w14:paraId="130E1D5F" w14:textId="3D8168E4" w:rsidR="00D17312" w:rsidRPr="000973F2" w:rsidRDefault="00D17312" w:rsidP="00EE2F60">
            <w:pPr>
              <w:spacing w:before="40" w:after="40"/>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bCs w:val="0"/>
                <w:sz w:val="18"/>
                <w:szCs w:val="18"/>
              </w:rPr>
            </w:pPr>
            <w:r w:rsidRPr="000973F2">
              <w:rPr>
                <w:rFonts w:ascii="Times New Roman" w:eastAsia="Times New Roman" w:hAnsi="Times New Roman" w:cs="Times New Roman"/>
                <w:sz w:val="18"/>
                <w:szCs w:val="18"/>
              </w:rPr>
              <w:t>Total Capital and O&amp;M Costs per Year per Facility</w:t>
            </w:r>
            <w:r w:rsidR="006A22E2" w:rsidRPr="000973F2">
              <w:rPr>
                <w:rFonts w:ascii="Times New Roman" w:eastAsia="Times New Roman" w:hAnsi="Times New Roman" w:cs="Times New Roman"/>
                <w:sz w:val="18"/>
                <w:szCs w:val="18"/>
              </w:rPr>
              <w:t xml:space="preserve"> </w:t>
            </w:r>
            <w:r w:rsidRPr="000973F2">
              <w:rPr>
                <w:rFonts w:ascii="Times New Roman" w:eastAsia="Times New Roman" w:hAnsi="Times New Roman" w:cs="Times New Roman"/>
                <w:sz w:val="18"/>
                <w:szCs w:val="18"/>
              </w:rPr>
              <w:t>(2017$)</w:t>
            </w:r>
          </w:p>
        </w:tc>
      </w:tr>
      <w:tr w:rsidR="00D17312" w:rsidRPr="000973F2" w14:paraId="035F3C1F" w14:textId="77777777" w:rsidTr="00EE2F60">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1875" w:type="dxa"/>
            <w:vMerge/>
            <w:noWrap/>
            <w:hideMark/>
          </w:tcPr>
          <w:p w14:paraId="79A2802E" w14:textId="1E14FE7C" w:rsidR="00D17312" w:rsidRPr="000973F2" w:rsidRDefault="00D17312" w:rsidP="00EE2F60">
            <w:pPr>
              <w:spacing w:before="40" w:after="40"/>
              <w:jc w:val="center"/>
              <w:rPr>
                <w:rFonts w:ascii="Times New Roman" w:eastAsia="Times New Roman" w:hAnsi="Times New Roman" w:cs="Times New Roman"/>
                <w:b/>
                <w:bCs w:val="0"/>
                <w:sz w:val="18"/>
                <w:szCs w:val="18"/>
              </w:rPr>
            </w:pPr>
          </w:p>
        </w:tc>
        <w:tc>
          <w:tcPr>
            <w:tcW w:w="1215" w:type="dxa"/>
            <w:tcMar>
              <w:left w:w="14" w:type="dxa"/>
              <w:right w:w="14" w:type="dxa"/>
            </w:tcMar>
            <w:hideMark/>
          </w:tcPr>
          <w:p w14:paraId="6A1C601E" w14:textId="77777777" w:rsidR="00D17312" w:rsidRPr="000973F2" w:rsidRDefault="00D17312" w:rsidP="00EE2F60">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18"/>
                <w:szCs w:val="18"/>
              </w:rPr>
            </w:pPr>
            <w:r w:rsidRPr="000973F2">
              <w:rPr>
                <w:rFonts w:ascii="Times New Roman" w:eastAsia="Times New Roman" w:hAnsi="Times New Roman" w:cs="Times New Roman"/>
                <w:b/>
                <w:bCs/>
                <w:sz w:val="18"/>
                <w:szCs w:val="18"/>
              </w:rPr>
              <w:t>Capital Cost (2017$)</w:t>
            </w:r>
          </w:p>
        </w:tc>
        <w:tc>
          <w:tcPr>
            <w:tcW w:w="1215" w:type="dxa"/>
            <w:tcMar>
              <w:left w:w="14" w:type="dxa"/>
              <w:right w:w="14" w:type="dxa"/>
            </w:tcMar>
            <w:hideMark/>
          </w:tcPr>
          <w:p w14:paraId="5DA03F08" w14:textId="77777777" w:rsidR="00D17312" w:rsidRPr="000973F2" w:rsidRDefault="00D17312" w:rsidP="00EE2F60">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18"/>
                <w:szCs w:val="18"/>
              </w:rPr>
            </w:pPr>
            <w:r w:rsidRPr="000973F2">
              <w:rPr>
                <w:rFonts w:ascii="Times New Roman" w:eastAsia="Times New Roman" w:hAnsi="Times New Roman" w:cs="Times New Roman"/>
                <w:b/>
                <w:bCs/>
                <w:sz w:val="18"/>
                <w:szCs w:val="18"/>
              </w:rPr>
              <w:t>Equipment Lifetime</w:t>
            </w:r>
          </w:p>
        </w:tc>
        <w:tc>
          <w:tcPr>
            <w:tcW w:w="1215" w:type="dxa"/>
            <w:tcMar>
              <w:left w:w="14" w:type="dxa"/>
              <w:right w:w="14" w:type="dxa"/>
            </w:tcMar>
            <w:hideMark/>
          </w:tcPr>
          <w:p w14:paraId="679EF177" w14:textId="77777777" w:rsidR="00D17312" w:rsidRPr="000973F2" w:rsidRDefault="00D17312" w:rsidP="00EE2F60">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18"/>
                <w:szCs w:val="18"/>
              </w:rPr>
            </w:pPr>
            <w:r w:rsidRPr="000973F2">
              <w:rPr>
                <w:rFonts w:ascii="Times New Roman" w:eastAsia="Times New Roman" w:hAnsi="Times New Roman" w:cs="Times New Roman"/>
                <w:b/>
                <w:bCs/>
                <w:sz w:val="18"/>
                <w:szCs w:val="18"/>
              </w:rPr>
              <w:t>Annualized Capital Cost (2017$/year)</w:t>
            </w:r>
          </w:p>
        </w:tc>
        <w:tc>
          <w:tcPr>
            <w:tcW w:w="1215" w:type="dxa"/>
            <w:tcMar>
              <w:left w:w="14" w:type="dxa"/>
              <w:right w:w="14" w:type="dxa"/>
            </w:tcMar>
            <w:hideMark/>
          </w:tcPr>
          <w:p w14:paraId="57A26115" w14:textId="77777777" w:rsidR="00D17312" w:rsidRPr="000973F2" w:rsidRDefault="00D17312" w:rsidP="00EE2F60">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18"/>
                <w:szCs w:val="18"/>
              </w:rPr>
            </w:pPr>
            <w:r w:rsidRPr="000973F2">
              <w:rPr>
                <w:rFonts w:ascii="Times New Roman" w:eastAsia="Times New Roman" w:hAnsi="Times New Roman" w:cs="Times New Roman"/>
                <w:b/>
                <w:bCs/>
                <w:sz w:val="18"/>
                <w:szCs w:val="18"/>
              </w:rPr>
              <w:t>O&amp;M Costs (2017$/year)</w:t>
            </w:r>
          </w:p>
        </w:tc>
        <w:tc>
          <w:tcPr>
            <w:tcW w:w="1297" w:type="dxa"/>
            <w:tcMar>
              <w:left w:w="14" w:type="dxa"/>
              <w:right w:w="14" w:type="dxa"/>
            </w:tcMar>
            <w:hideMark/>
          </w:tcPr>
          <w:p w14:paraId="0B735054" w14:textId="77777777" w:rsidR="00D17312" w:rsidRPr="000973F2" w:rsidRDefault="00D17312" w:rsidP="00EE2F60">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18"/>
                <w:szCs w:val="18"/>
              </w:rPr>
            </w:pPr>
            <w:r w:rsidRPr="000973F2">
              <w:rPr>
                <w:rFonts w:ascii="Times New Roman" w:eastAsia="Times New Roman" w:hAnsi="Times New Roman" w:cs="Times New Roman"/>
                <w:b/>
                <w:bCs/>
                <w:sz w:val="18"/>
                <w:szCs w:val="18"/>
              </w:rPr>
              <w:t>Initial Year</w:t>
            </w:r>
          </w:p>
        </w:tc>
        <w:tc>
          <w:tcPr>
            <w:tcW w:w="1298" w:type="dxa"/>
            <w:tcMar>
              <w:left w:w="14" w:type="dxa"/>
              <w:right w:w="14" w:type="dxa"/>
            </w:tcMar>
            <w:hideMark/>
          </w:tcPr>
          <w:p w14:paraId="61DD56FE" w14:textId="77777777" w:rsidR="00D17312" w:rsidRPr="000973F2" w:rsidRDefault="00D17312" w:rsidP="00EE2F60">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18"/>
                <w:szCs w:val="18"/>
              </w:rPr>
            </w:pPr>
            <w:r w:rsidRPr="000973F2">
              <w:rPr>
                <w:rFonts w:ascii="Times New Roman" w:eastAsia="Times New Roman" w:hAnsi="Times New Roman" w:cs="Times New Roman"/>
                <w:b/>
                <w:bCs/>
                <w:sz w:val="18"/>
                <w:szCs w:val="18"/>
              </w:rPr>
              <w:t>Subseq. Years</w:t>
            </w:r>
          </w:p>
        </w:tc>
      </w:tr>
      <w:tr w:rsidR="006A22E2" w:rsidRPr="000973F2" w14:paraId="34B42E2F" w14:textId="77777777" w:rsidTr="00EE2F60">
        <w:trPr>
          <w:cantSplit/>
        </w:trPr>
        <w:tc>
          <w:tcPr>
            <w:cnfStyle w:val="001000000000" w:firstRow="0" w:lastRow="0" w:firstColumn="1" w:lastColumn="0" w:oddVBand="0" w:evenVBand="0" w:oddHBand="0" w:evenHBand="0" w:firstRowFirstColumn="0" w:firstRowLastColumn="0" w:lastRowFirstColumn="0" w:lastRowLastColumn="0"/>
            <w:tcW w:w="1875" w:type="dxa"/>
            <w:hideMark/>
          </w:tcPr>
          <w:p w14:paraId="77922FAD" w14:textId="77777777" w:rsidR="006A22E2" w:rsidRPr="000973F2" w:rsidRDefault="006A22E2" w:rsidP="00EE2F60">
            <w:pPr>
              <w:spacing w:before="40" w:after="4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Equipment (selection, purchase, installation)</w:t>
            </w:r>
          </w:p>
        </w:tc>
        <w:tc>
          <w:tcPr>
            <w:tcW w:w="1215" w:type="dxa"/>
            <w:noWrap/>
            <w:hideMark/>
          </w:tcPr>
          <w:p w14:paraId="3E3BE573" w14:textId="2DE6C3CF" w:rsidR="006A22E2" w:rsidRPr="000973F2" w:rsidRDefault="006A22E2" w:rsidP="00EE2F60">
            <w:pPr>
              <w:spacing w:before="40" w:after="4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w:t>
            </w:r>
          </w:p>
        </w:tc>
        <w:tc>
          <w:tcPr>
            <w:tcW w:w="1215" w:type="dxa"/>
            <w:noWrap/>
          </w:tcPr>
          <w:p w14:paraId="1ADE524F" w14:textId="2A2A807D" w:rsidR="006A22E2" w:rsidRPr="000973F2" w:rsidRDefault="006A22E2" w:rsidP="00EE2F60">
            <w:pPr>
              <w:spacing w:before="40" w:after="4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p>
        </w:tc>
        <w:tc>
          <w:tcPr>
            <w:tcW w:w="1215" w:type="dxa"/>
            <w:noWrap/>
            <w:hideMark/>
          </w:tcPr>
          <w:p w14:paraId="5E0858E5" w14:textId="1C359785" w:rsidR="006A22E2" w:rsidRPr="000973F2" w:rsidRDefault="006A22E2" w:rsidP="00EE2F60">
            <w:pPr>
              <w:spacing w:before="40" w:after="4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w:t>
            </w:r>
          </w:p>
        </w:tc>
        <w:tc>
          <w:tcPr>
            <w:tcW w:w="1215" w:type="dxa"/>
            <w:noWrap/>
            <w:hideMark/>
          </w:tcPr>
          <w:p w14:paraId="01472BE0" w14:textId="632B8547" w:rsidR="006A22E2" w:rsidRPr="000973F2" w:rsidRDefault="006A22E2" w:rsidP="00EE2F60">
            <w:pPr>
              <w:spacing w:before="40" w:after="4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w:t>
            </w:r>
          </w:p>
        </w:tc>
        <w:tc>
          <w:tcPr>
            <w:tcW w:w="1297" w:type="dxa"/>
            <w:noWrap/>
            <w:hideMark/>
          </w:tcPr>
          <w:p w14:paraId="226AEC52" w14:textId="2BD44712" w:rsidR="006A22E2" w:rsidRPr="000973F2" w:rsidRDefault="006A22E2" w:rsidP="00EE2F60">
            <w:pPr>
              <w:spacing w:before="40" w:after="4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w:t>
            </w:r>
          </w:p>
        </w:tc>
        <w:tc>
          <w:tcPr>
            <w:tcW w:w="1298" w:type="dxa"/>
            <w:noWrap/>
            <w:hideMark/>
          </w:tcPr>
          <w:p w14:paraId="7AF8C540" w14:textId="4A3F008D" w:rsidR="006A22E2" w:rsidRPr="000973F2" w:rsidRDefault="006A22E2" w:rsidP="00EE2F60">
            <w:pPr>
              <w:spacing w:before="40" w:after="4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w:t>
            </w:r>
          </w:p>
        </w:tc>
      </w:tr>
      <w:tr w:rsidR="006A22E2" w:rsidRPr="000973F2" w14:paraId="5F18975F" w14:textId="77777777" w:rsidTr="00EE2F60">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1875" w:type="dxa"/>
            <w:hideMark/>
          </w:tcPr>
          <w:p w14:paraId="7F5CA1F4" w14:textId="77777777" w:rsidR="006A22E2" w:rsidRPr="000973F2" w:rsidRDefault="006A22E2" w:rsidP="00EE2F60">
            <w:pPr>
              <w:spacing w:before="40" w:after="4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Performance testing</w:t>
            </w:r>
          </w:p>
        </w:tc>
        <w:tc>
          <w:tcPr>
            <w:tcW w:w="1215" w:type="dxa"/>
            <w:noWrap/>
            <w:hideMark/>
          </w:tcPr>
          <w:p w14:paraId="1FBE0886" w14:textId="60C5E03F" w:rsidR="006A22E2" w:rsidRPr="000973F2" w:rsidRDefault="006A22E2" w:rsidP="00EE2F60">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w:t>
            </w:r>
          </w:p>
        </w:tc>
        <w:tc>
          <w:tcPr>
            <w:tcW w:w="1215" w:type="dxa"/>
            <w:noWrap/>
          </w:tcPr>
          <w:p w14:paraId="5859D252" w14:textId="3B9011A7" w:rsidR="006A22E2" w:rsidRPr="000973F2" w:rsidRDefault="006A22E2" w:rsidP="00EE2F60">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p>
        </w:tc>
        <w:tc>
          <w:tcPr>
            <w:tcW w:w="1215" w:type="dxa"/>
            <w:noWrap/>
            <w:hideMark/>
          </w:tcPr>
          <w:p w14:paraId="08E6853C" w14:textId="3200B54D" w:rsidR="006A22E2" w:rsidRPr="000973F2" w:rsidRDefault="006A22E2" w:rsidP="00EE2F60">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w:t>
            </w:r>
          </w:p>
        </w:tc>
        <w:tc>
          <w:tcPr>
            <w:tcW w:w="1215" w:type="dxa"/>
            <w:noWrap/>
          </w:tcPr>
          <w:p w14:paraId="0E92026D" w14:textId="2C43E43C" w:rsidR="006A22E2" w:rsidRPr="000973F2" w:rsidRDefault="006A22E2" w:rsidP="00EE2F60">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w:t>
            </w:r>
          </w:p>
        </w:tc>
        <w:tc>
          <w:tcPr>
            <w:tcW w:w="1297" w:type="dxa"/>
            <w:noWrap/>
            <w:hideMark/>
          </w:tcPr>
          <w:p w14:paraId="1273C8D9" w14:textId="5769AF63" w:rsidR="006A22E2" w:rsidRPr="000973F2" w:rsidRDefault="006A22E2" w:rsidP="00EE2F60">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w:t>
            </w:r>
          </w:p>
        </w:tc>
        <w:tc>
          <w:tcPr>
            <w:tcW w:w="1298" w:type="dxa"/>
            <w:noWrap/>
            <w:hideMark/>
          </w:tcPr>
          <w:p w14:paraId="7EECD79D" w14:textId="4E7F993C" w:rsidR="006A22E2" w:rsidRPr="000973F2" w:rsidRDefault="006A22E2" w:rsidP="00EE2F60">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w:t>
            </w:r>
          </w:p>
        </w:tc>
      </w:tr>
      <w:tr w:rsidR="006B7F2C" w:rsidRPr="000973F2" w14:paraId="5E3449C0" w14:textId="77777777" w:rsidTr="00EE2F60">
        <w:trPr>
          <w:cantSplit/>
        </w:trPr>
        <w:tc>
          <w:tcPr>
            <w:cnfStyle w:val="001000000000" w:firstRow="0" w:lastRow="0" w:firstColumn="1" w:lastColumn="0" w:oddVBand="0" w:evenVBand="0" w:oddHBand="0" w:evenHBand="0" w:firstRowFirstColumn="0" w:firstRowLastColumn="0" w:lastRowFirstColumn="0" w:lastRowLastColumn="0"/>
            <w:tcW w:w="1875" w:type="dxa"/>
            <w:hideMark/>
          </w:tcPr>
          <w:p w14:paraId="4D7402BC" w14:textId="77777777" w:rsidR="006B7F2C" w:rsidRPr="000973F2" w:rsidRDefault="006B7F2C" w:rsidP="00EE2F60">
            <w:pPr>
              <w:spacing w:before="40" w:after="4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Recordkeeping</w:t>
            </w:r>
          </w:p>
        </w:tc>
        <w:tc>
          <w:tcPr>
            <w:tcW w:w="1215" w:type="dxa"/>
            <w:noWrap/>
            <w:hideMark/>
          </w:tcPr>
          <w:p w14:paraId="7699BD5C" w14:textId="77777777" w:rsidR="006B7F2C" w:rsidRPr="000973F2" w:rsidRDefault="006B7F2C" w:rsidP="00EE2F60">
            <w:pPr>
              <w:spacing w:before="40" w:after="4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$0</w:t>
            </w:r>
          </w:p>
        </w:tc>
        <w:tc>
          <w:tcPr>
            <w:tcW w:w="1215" w:type="dxa"/>
            <w:noWrap/>
          </w:tcPr>
          <w:p w14:paraId="0302752D" w14:textId="532B7996" w:rsidR="006B7F2C" w:rsidRPr="000973F2" w:rsidRDefault="006B7F2C" w:rsidP="00EE2F60">
            <w:pPr>
              <w:spacing w:before="40" w:after="4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p>
        </w:tc>
        <w:tc>
          <w:tcPr>
            <w:tcW w:w="1215" w:type="dxa"/>
            <w:noWrap/>
            <w:hideMark/>
          </w:tcPr>
          <w:p w14:paraId="1055F17A" w14:textId="77777777" w:rsidR="006B7F2C" w:rsidRPr="000973F2" w:rsidRDefault="006B7F2C" w:rsidP="00EE2F60">
            <w:pPr>
              <w:spacing w:before="40" w:after="4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$0</w:t>
            </w:r>
          </w:p>
        </w:tc>
        <w:tc>
          <w:tcPr>
            <w:tcW w:w="1215" w:type="dxa"/>
            <w:noWrap/>
            <w:hideMark/>
          </w:tcPr>
          <w:p w14:paraId="4C1D9CA7" w14:textId="77777777" w:rsidR="006B7F2C" w:rsidRPr="000973F2" w:rsidRDefault="006B7F2C" w:rsidP="00EE2F60">
            <w:pPr>
              <w:spacing w:before="40" w:after="4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$50</w:t>
            </w:r>
          </w:p>
        </w:tc>
        <w:tc>
          <w:tcPr>
            <w:tcW w:w="1297" w:type="dxa"/>
            <w:noWrap/>
            <w:hideMark/>
          </w:tcPr>
          <w:p w14:paraId="270FA084" w14:textId="77777777" w:rsidR="006B7F2C" w:rsidRPr="000973F2" w:rsidRDefault="006B7F2C" w:rsidP="00EE2F60">
            <w:pPr>
              <w:spacing w:before="40" w:after="4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$0</w:t>
            </w:r>
          </w:p>
        </w:tc>
        <w:tc>
          <w:tcPr>
            <w:tcW w:w="1298" w:type="dxa"/>
            <w:noWrap/>
            <w:hideMark/>
          </w:tcPr>
          <w:p w14:paraId="1D8DA65F" w14:textId="77777777" w:rsidR="006B7F2C" w:rsidRPr="000973F2" w:rsidRDefault="006B7F2C" w:rsidP="00EE2F60">
            <w:pPr>
              <w:spacing w:before="40" w:after="4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$50</w:t>
            </w:r>
          </w:p>
        </w:tc>
      </w:tr>
      <w:tr w:rsidR="006A22E2" w:rsidRPr="000973F2" w14:paraId="622126CB" w14:textId="77777777" w:rsidTr="00EE2F60">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1875" w:type="dxa"/>
            <w:hideMark/>
          </w:tcPr>
          <w:p w14:paraId="16FE3048" w14:textId="77777777" w:rsidR="006A22E2" w:rsidRPr="000973F2" w:rsidRDefault="006A22E2" w:rsidP="00EE2F60">
            <w:pPr>
              <w:spacing w:before="40" w:after="4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Travel</w:t>
            </w:r>
          </w:p>
        </w:tc>
        <w:tc>
          <w:tcPr>
            <w:tcW w:w="1215" w:type="dxa"/>
            <w:noWrap/>
            <w:hideMark/>
          </w:tcPr>
          <w:p w14:paraId="308EF25B" w14:textId="03586630" w:rsidR="006A22E2" w:rsidRPr="000973F2" w:rsidRDefault="006A22E2" w:rsidP="00EE2F60">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w:t>
            </w:r>
          </w:p>
        </w:tc>
        <w:tc>
          <w:tcPr>
            <w:tcW w:w="1215" w:type="dxa"/>
            <w:noWrap/>
          </w:tcPr>
          <w:p w14:paraId="76F4495F" w14:textId="21021022" w:rsidR="006A22E2" w:rsidRPr="000973F2" w:rsidRDefault="006A22E2" w:rsidP="00EE2F60">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p>
        </w:tc>
        <w:tc>
          <w:tcPr>
            <w:tcW w:w="1215" w:type="dxa"/>
            <w:noWrap/>
            <w:hideMark/>
          </w:tcPr>
          <w:p w14:paraId="14AFCA2F" w14:textId="6E72A537" w:rsidR="006A22E2" w:rsidRPr="000973F2" w:rsidRDefault="006A22E2" w:rsidP="00EE2F60">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w:t>
            </w:r>
          </w:p>
        </w:tc>
        <w:tc>
          <w:tcPr>
            <w:tcW w:w="1215" w:type="dxa"/>
            <w:noWrap/>
            <w:hideMark/>
          </w:tcPr>
          <w:p w14:paraId="36EC2C8A" w14:textId="4C1A5B24" w:rsidR="006A22E2" w:rsidRPr="000973F2" w:rsidRDefault="006A22E2" w:rsidP="00EE2F60">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w:t>
            </w:r>
          </w:p>
        </w:tc>
        <w:tc>
          <w:tcPr>
            <w:tcW w:w="1297" w:type="dxa"/>
            <w:noWrap/>
            <w:hideMark/>
          </w:tcPr>
          <w:p w14:paraId="1D757E34" w14:textId="1B22911A" w:rsidR="006A22E2" w:rsidRPr="000973F2" w:rsidRDefault="006A22E2" w:rsidP="00EE2F60">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w:t>
            </w:r>
          </w:p>
        </w:tc>
        <w:tc>
          <w:tcPr>
            <w:tcW w:w="1298" w:type="dxa"/>
            <w:noWrap/>
            <w:hideMark/>
          </w:tcPr>
          <w:p w14:paraId="3F776316" w14:textId="7B64BEE2" w:rsidR="006A22E2" w:rsidRPr="000973F2" w:rsidRDefault="006A22E2" w:rsidP="00EE2F60">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w:t>
            </w:r>
          </w:p>
        </w:tc>
      </w:tr>
      <w:tr w:rsidR="006A22E2" w:rsidRPr="000973F2" w14:paraId="7CC86B61" w14:textId="77777777" w:rsidTr="00EE2F60">
        <w:trPr>
          <w:cantSplit/>
        </w:trPr>
        <w:tc>
          <w:tcPr>
            <w:cnfStyle w:val="001000000000" w:firstRow="0" w:lastRow="0" w:firstColumn="1" w:lastColumn="0" w:oddVBand="0" w:evenVBand="0" w:oddHBand="0" w:evenHBand="0" w:firstRowFirstColumn="0" w:firstRowLastColumn="0" w:lastRowFirstColumn="0" w:lastRowLastColumn="0"/>
            <w:tcW w:w="1875" w:type="dxa"/>
            <w:hideMark/>
          </w:tcPr>
          <w:p w14:paraId="2CDA37DA" w14:textId="1D904625" w:rsidR="006A22E2" w:rsidRPr="000973F2" w:rsidRDefault="006A22E2" w:rsidP="00EE2F60">
            <w:pPr>
              <w:spacing w:before="40" w:after="4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Sampling and Analysis Costs</w:t>
            </w:r>
          </w:p>
        </w:tc>
        <w:tc>
          <w:tcPr>
            <w:tcW w:w="1215" w:type="dxa"/>
            <w:noWrap/>
            <w:hideMark/>
          </w:tcPr>
          <w:p w14:paraId="4A9D7492" w14:textId="64D7D715" w:rsidR="006A22E2" w:rsidRPr="000973F2" w:rsidRDefault="006A22E2" w:rsidP="00EE2F60">
            <w:pPr>
              <w:spacing w:before="40" w:after="4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w:t>
            </w:r>
          </w:p>
        </w:tc>
        <w:tc>
          <w:tcPr>
            <w:tcW w:w="1215" w:type="dxa"/>
            <w:noWrap/>
          </w:tcPr>
          <w:p w14:paraId="158DDEBB" w14:textId="6731A15F" w:rsidR="006A22E2" w:rsidRPr="000973F2" w:rsidRDefault="006A22E2" w:rsidP="00EE2F60">
            <w:pPr>
              <w:spacing w:before="40" w:after="4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p>
        </w:tc>
        <w:tc>
          <w:tcPr>
            <w:tcW w:w="1215" w:type="dxa"/>
            <w:noWrap/>
            <w:hideMark/>
          </w:tcPr>
          <w:p w14:paraId="7EA66FAA" w14:textId="0B7E61BF" w:rsidR="006A22E2" w:rsidRPr="000973F2" w:rsidRDefault="006A22E2" w:rsidP="00EE2F60">
            <w:pPr>
              <w:spacing w:before="40" w:after="4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w:t>
            </w:r>
          </w:p>
        </w:tc>
        <w:tc>
          <w:tcPr>
            <w:tcW w:w="1215" w:type="dxa"/>
            <w:noWrap/>
            <w:hideMark/>
          </w:tcPr>
          <w:p w14:paraId="5216D4C0" w14:textId="41551D00" w:rsidR="006A22E2" w:rsidRPr="000973F2" w:rsidRDefault="006A22E2" w:rsidP="00EE2F60">
            <w:pPr>
              <w:spacing w:before="40" w:after="4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w:t>
            </w:r>
          </w:p>
        </w:tc>
        <w:tc>
          <w:tcPr>
            <w:tcW w:w="1297" w:type="dxa"/>
            <w:noWrap/>
            <w:hideMark/>
          </w:tcPr>
          <w:p w14:paraId="50ECBDAA" w14:textId="6948BCC8" w:rsidR="006A22E2" w:rsidRPr="000973F2" w:rsidRDefault="006A22E2" w:rsidP="00EE2F60">
            <w:pPr>
              <w:spacing w:before="40" w:after="4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w:t>
            </w:r>
          </w:p>
        </w:tc>
        <w:tc>
          <w:tcPr>
            <w:tcW w:w="1298" w:type="dxa"/>
            <w:noWrap/>
            <w:hideMark/>
          </w:tcPr>
          <w:p w14:paraId="2534FC86" w14:textId="74CE51F1" w:rsidR="006A22E2" w:rsidRPr="000973F2" w:rsidRDefault="006A22E2" w:rsidP="00EE2F60">
            <w:pPr>
              <w:spacing w:before="40" w:after="4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w:t>
            </w:r>
          </w:p>
        </w:tc>
      </w:tr>
      <w:tr w:rsidR="006B7F2C" w:rsidRPr="000973F2" w14:paraId="36271D3C" w14:textId="77777777" w:rsidTr="00EE2F60">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1875" w:type="dxa"/>
            <w:hideMark/>
          </w:tcPr>
          <w:p w14:paraId="2FCC6C1D" w14:textId="77777777" w:rsidR="006B7F2C" w:rsidRPr="000973F2" w:rsidRDefault="006B7F2C" w:rsidP="00EE2F60">
            <w:pPr>
              <w:spacing w:before="40" w:after="40"/>
              <w:rPr>
                <w:rFonts w:ascii="Times New Roman" w:eastAsia="Times New Roman" w:hAnsi="Times New Roman" w:cs="Times New Roman"/>
                <w:b/>
                <w:bCs w:val="0"/>
                <w:sz w:val="18"/>
                <w:szCs w:val="18"/>
              </w:rPr>
            </w:pPr>
            <w:r w:rsidRPr="000973F2">
              <w:rPr>
                <w:rFonts w:ascii="Times New Roman" w:eastAsia="Times New Roman" w:hAnsi="Times New Roman" w:cs="Times New Roman"/>
                <w:b/>
                <w:sz w:val="18"/>
                <w:szCs w:val="18"/>
              </w:rPr>
              <w:t>Total</w:t>
            </w:r>
          </w:p>
        </w:tc>
        <w:tc>
          <w:tcPr>
            <w:tcW w:w="1215" w:type="dxa"/>
            <w:noWrap/>
            <w:hideMark/>
          </w:tcPr>
          <w:p w14:paraId="505C6263" w14:textId="77777777" w:rsidR="006B7F2C" w:rsidRPr="000973F2" w:rsidRDefault="006B7F2C" w:rsidP="00EE2F60">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sz w:val="18"/>
                <w:szCs w:val="18"/>
              </w:rPr>
            </w:pPr>
            <w:r w:rsidRPr="000973F2">
              <w:rPr>
                <w:rFonts w:ascii="Times New Roman" w:eastAsia="Times New Roman" w:hAnsi="Times New Roman" w:cs="Times New Roman"/>
                <w:b/>
                <w:sz w:val="18"/>
                <w:szCs w:val="18"/>
              </w:rPr>
              <w:t>$0</w:t>
            </w:r>
          </w:p>
        </w:tc>
        <w:tc>
          <w:tcPr>
            <w:tcW w:w="1215" w:type="dxa"/>
            <w:noWrap/>
            <w:hideMark/>
          </w:tcPr>
          <w:p w14:paraId="03373F3E" w14:textId="4BC25250" w:rsidR="006B7F2C" w:rsidRPr="000973F2" w:rsidRDefault="006B7F2C" w:rsidP="00EE2F60">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sz w:val="18"/>
                <w:szCs w:val="18"/>
              </w:rPr>
            </w:pPr>
          </w:p>
        </w:tc>
        <w:tc>
          <w:tcPr>
            <w:tcW w:w="1215" w:type="dxa"/>
            <w:noWrap/>
            <w:hideMark/>
          </w:tcPr>
          <w:p w14:paraId="7981E7BD" w14:textId="77777777" w:rsidR="006B7F2C" w:rsidRPr="000973F2" w:rsidRDefault="006B7F2C" w:rsidP="00EE2F60">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sz w:val="18"/>
                <w:szCs w:val="18"/>
              </w:rPr>
            </w:pPr>
            <w:r w:rsidRPr="000973F2">
              <w:rPr>
                <w:rFonts w:ascii="Times New Roman" w:eastAsia="Times New Roman" w:hAnsi="Times New Roman" w:cs="Times New Roman"/>
                <w:b/>
                <w:sz w:val="18"/>
                <w:szCs w:val="18"/>
              </w:rPr>
              <w:t>$0</w:t>
            </w:r>
          </w:p>
        </w:tc>
        <w:tc>
          <w:tcPr>
            <w:tcW w:w="1215" w:type="dxa"/>
            <w:noWrap/>
            <w:hideMark/>
          </w:tcPr>
          <w:p w14:paraId="07A4430A" w14:textId="77777777" w:rsidR="006B7F2C" w:rsidRPr="000973F2" w:rsidRDefault="006B7F2C" w:rsidP="00EE2F60">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sz w:val="18"/>
                <w:szCs w:val="18"/>
              </w:rPr>
            </w:pPr>
            <w:r w:rsidRPr="000973F2">
              <w:rPr>
                <w:rFonts w:ascii="Times New Roman" w:eastAsia="Times New Roman" w:hAnsi="Times New Roman" w:cs="Times New Roman"/>
                <w:b/>
                <w:sz w:val="18"/>
                <w:szCs w:val="18"/>
              </w:rPr>
              <w:t>$50</w:t>
            </w:r>
          </w:p>
        </w:tc>
        <w:tc>
          <w:tcPr>
            <w:tcW w:w="1297" w:type="dxa"/>
            <w:noWrap/>
            <w:hideMark/>
          </w:tcPr>
          <w:p w14:paraId="43AC871D" w14:textId="77777777" w:rsidR="006B7F2C" w:rsidRPr="000973F2" w:rsidRDefault="006B7F2C" w:rsidP="00EE2F60">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sz w:val="18"/>
                <w:szCs w:val="18"/>
              </w:rPr>
            </w:pPr>
            <w:r w:rsidRPr="000973F2">
              <w:rPr>
                <w:rFonts w:ascii="Times New Roman" w:eastAsia="Times New Roman" w:hAnsi="Times New Roman" w:cs="Times New Roman"/>
                <w:b/>
                <w:sz w:val="18"/>
                <w:szCs w:val="18"/>
              </w:rPr>
              <w:t>$0</w:t>
            </w:r>
          </w:p>
        </w:tc>
        <w:tc>
          <w:tcPr>
            <w:tcW w:w="1298" w:type="dxa"/>
            <w:noWrap/>
            <w:hideMark/>
          </w:tcPr>
          <w:p w14:paraId="4CC82B04" w14:textId="77777777" w:rsidR="006B7F2C" w:rsidRPr="000973F2" w:rsidRDefault="006B7F2C" w:rsidP="00EE2F60">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sz w:val="18"/>
                <w:szCs w:val="18"/>
              </w:rPr>
            </w:pPr>
            <w:r w:rsidRPr="000973F2">
              <w:rPr>
                <w:rFonts w:ascii="Times New Roman" w:eastAsia="Times New Roman" w:hAnsi="Times New Roman" w:cs="Times New Roman"/>
                <w:b/>
                <w:sz w:val="18"/>
                <w:szCs w:val="18"/>
              </w:rPr>
              <w:t>$50</w:t>
            </w:r>
          </w:p>
        </w:tc>
      </w:tr>
    </w:tbl>
    <w:p w14:paraId="1599460A" w14:textId="77777777" w:rsidR="006B7F2C" w:rsidRPr="000973F2" w:rsidRDefault="006B7F2C" w:rsidP="00C00E4F">
      <w:pPr>
        <w:spacing w:line="240" w:lineRule="auto"/>
        <w:rPr>
          <w:rFonts w:ascii="Times New Roman" w:hAnsi="Times New Roman" w:cs="Times New Roman"/>
        </w:rPr>
      </w:pPr>
    </w:p>
    <w:p w14:paraId="3420ACCC" w14:textId="77777777" w:rsidR="006B7F2C" w:rsidRPr="000973F2" w:rsidRDefault="006B7F2C" w:rsidP="0061585D">
      <w:pPr>
        <w:pStyle w:val="Heading2"/>
      </w:pPr>
      <w:r w:rsidRPr="000973F2">
        <w:t>Total Costs for Subpart Z</w:t>
      </w:r>
    </w:p>
    <w:p w14:paraId="6491ECAB" w14:textId="00F28AC6" w:rsidR="006B7F2C" w:rsidRPr="000973F2" w:rsidRDefault="006B7F2C" w:rsidP="00EE2F60">
      <w:pPr>
        <w:pStyle w:val="BodyText"/>
      </w:pPr>
      <w:r w:rsidRPr="000973F2">
        <w:t>The total industry costs related to Subpart Z average approximately $8,500 per year for a total of $2</w:t>
      </w:r>
      <w:r w:rsidR="005A72E9" w:rsidRPr="000973F2">
        <w:t>5</w:t>
      </w:r>
      <w:r w:rsidRPr="000973F2">
        <w:t>,</w:t>
      </w:r>
      <w:r w:rsidR="005A72E9" w:rsidRPr="000973F2">
        <w:t>6</w:t>
      </w:r>
      <w:r w:rsidRPr="000973F2">
        <w:t xml:space="preserve">00 over the three-year period </w:t>
      </w:r>
      <w:r w:rsidR="00896D77" w:rsidRPr="000973F2">
        <w:t>covered by</w:t>
      </w:r>
      <w:r w:rsidRPr="000973F2">
        <w:t xml:space="preserve"> th</w:t>
      </w:r>
      <w:r w:rsidR="00896D77" w:rsidRPr="000973F2">
        <w:t>is</w:t>
      </w:r>
      <w:r w:rsidRPr="000973F2">
        <w:t xml:space="preserve"> ICR. Eleven facilities are expected to report in 2019, 2020, and 2021.</w:t>
      </w:r>
    </w:p>
    <w:p w14:paraId="4D313ECD" w14:textId="77777777" w:rsidR="006B7F2C" w:rsidRPr="000973F2" w:rsidRDefault="006B7F2C" w:rsidP="00C00E4F">
      <w:pPr>
        <w:spacing w:line="240" w:lineRule="auto"/>
        <w:rPr>
          <w:rFonts w:ascii="Times New Roman" w:hAnsi="Times New Roman" w:cs="Times New Roman"/>
        </w:rPr>
      </w:pPr>
    </w:p>
    <w:p w14:paraId="6BEAE86C" w14:textId="31CD9E30" w:rsidR="00457C5E" w:rsidRPr="000973F2" w:rsidRDefault="00457C5E" w:rsidP="00C00E4F">
      <w:pPr>
        <w:spacing w:line="240" w:lineRule="auto"/>
        <w:rPr>
          <w:rFonts w:ascii="Times New Roman" w:hAnsi="Times New Roman" w:cs="Times New Roman"/>
        </w:rPr>
      </w:pPr>
      <w:r w:rsidRPr="000973F2">
        <w:rPr>
          <w:rFonts w:ascii="Times New Roman" w:hAnsi="Times New Roman" w:cs="Times New Roman"/>
        </w:rPr>
        <w:br w:type="page"/>
      </w:r>
    </w:p>
    <w:p w14:paraId="5EF2CD0A" w14:textId="77777777" w:rsidR="00FD3198" w:rsidRPr="000973F2" w:rsidRDefault="00FD3198" w:rsidP="00EE2F60">
      <w:pPr>
        <w:pStyle w:val="Heading1"/>
      </w:pPr>
      <w:bookmarkStart w:id="52" w:name="_Toc10715618"/>
      <w:r w:rsidRPr="000973F2">
        <w:t>Cost Appendix for Subpart AA – Pulp and Paper Manufacturing</w:t>
      </w:r>
      <w:bookmarkEnd w:id="52"/>
    </w:p>
    <w:p w14:paraId="23B0D52C" w14:textId="77777777" w:rsidR="00FD3198" w:rsidRPr="000973F2" w:rsidRDefault="00FD3198" w:rsidP="00EE2F60">
      <w:pPr>
        <w:pStyle w:val="Heading2"/>
      </w:pPr>
      <w:r w:rsidRPr="000973F2">
        <w:t>Description of Subpart AA</w:t>
      </w:r>
    </w:p>
    <w:p w14:paraId="51EEB8F9" w14:textId="77777777" w:rsidR="00FD3198" w:rsidRPr="000973F2" w:rsidRDefault="00FD3198" w:rsidP="00EE2F60">
      <w:pPr>
        <w:pStyle w:val="BodyText"/>
      </w:pPr>
      <w:r w:rsidRPr="000973F2">
        <w:t xml:space="preserve">For purposes of the GHGRP, pulp and paper manufacturing refers to facilities that produce market pulp (stand-alone pulp facilities), manufacture pulp and paper (integrated pulp and paper mills), produce paper products from purchased pulp, produce secondary fiber from recycled paper, convert paper into paperboard products (e.g. containers), or operate coating and laminating processes. Facilities reporting to Subpart AA must report GHG emissions from chemical recovery furnaces at kraft and soda mills, chemical recovery combustion units at sulfite mills, chemical recovery combustion units at stand-alone semi-chemical facilities, pulp lime kilns at kraft and soda facilities, and systems for adding makeup chemicals in the chemical recovery areas of chemical pulp mills. </w:t>
      </w:r>
    </w:p>
    <w:p w14:paraId="4E3B06F1" w14:textId="14164238" w:rsidR="00FD3198" w:rsidRPr="000973F2" w:rsidRDefault="00FD3198" w:rsidP="00EE2F60">
      <w:pPr>
        <w:pStyle w:val="BodyText"/>
      </w:pPr>
      <w:r w:rsidRPr="000973F2">
        <w:t xml:space="preserve">In RY2017, 107 facilities reported to Subpart AA. It is estimated that there will be no new facilities </w:t>
      </w:r>
      <w:r w:rsidR="00896D77" w:rsidRPr="000973F2">
        <w:t xml:space="preserve">reporting </w:t>
      </w:r>
      <w:r w:rsidRPr="000973F2">
        <w:t>to Subpart AA, as no new facilities have reported to Subpart AA since 2012. Initial costs apply only to new facilities; therefore, those costs are zero in the tables below.</w:t>
      </w:r>
    </w:p>
    <w:p w14:paraId="49862743" w14:textId="77777777" w:rsidR="00FD3198" w:rsidRPr="000973F2" w:rsidRDefault="00FD3198" w:rsidP="00EE2F60">
      <w:pPr>
        <w:pStyle w:val="Heading2"/>
      </w:pPr>
      <w:r w:rsidRPr="000973F2">
        <w:t>Labor Costs for Subpart AA</w:t>
      </w:r>
    </w:p>
    <w:p w14:paraId="3A9D1BC4" w14:textId="08CDE0B8" w:rsidR="00FD3198" w:rsidRPr="000973F2" w:rsidRDefault="00FD3198" w:rsidP="00EE2F60">
      <w:pPr>
        <w:pStyle w:val="BodyText"/>
      </w:pPr>
      <w:r w:rsidRPr="000973F2">
        <w:t xml:space="preserve">Table </w:t>
      </w:r>
      <w:r w:rsidR="00EE2F60" w:rsidRPr="000973F2">
        <w:t>AA-</w:t>
      </w:r>
      <w:r w:rsidRPr="000973F2">
        <w:t xml:space="preserve">1 below includes the labor hours for Subpart AA. Typical activities for each of the labor activities are discussed in the Cost Appendix Introduction. Recordkeeping and reporting hours </w:t>
      </w:r>
      <w:r w:rsidR="00DD34D2" w:rsidRPr="000973F2">
        <w:t>are based on</w:t>
      </w:r>
      <w:r w:rsidRPr="000973F2">
        <w:t xml:space="preserve"> the “medium bin”</w:t>
      </w:r>
      <w:r w:rsidR="00DD34D2" w:rsidRPr="000973F2">
        <w:t xml:space="preserve"> designation.</w:t>
      </w:r>
      <w:r w:rsidRPr="000973F2">
        <w:t xml:space="preserve"> Sampling and analysis (calculations) hours include completion of the measurements and calculations in (§98.276), including calculation of emissions, steam purchases, unbleached pulp production, make</w:t>
      </w:r>
      <w:r w:rsidR="00051F9B">
        <w:t>up</w:t>
      </w:r>
      <w:r w:rsidRPr="000973F2">
        <w:t xml:space="preserve"> chemical use, and heat input percentages for each fossil fuel type entering a lime kiln, where applicable. </w:t>
      </w:r>
    </w:p>
    <w:p w14:paraId="383F13A8" w14:textId="4716572C" w:rsidR="00FD3198" w:rsidRPr="000973F2" w:rsidRDefault="00840B87" w:rsidP="00EE2F60">
      <w:pPr>
        <w:pStyle w:val="Tabletitle"/>
      </w:pPr>
      <w:r w:rsidRPr="000973F2">
        <w:t xml:space="preserve">Table </w:t>
      </w:r>
      <w:r w:rsidR="00EE2F60" w:rsidRPr="000973F2">
        <w:t>AA-</w:t>
      </w:r>
      <w:r w:rsidRPr="000973F2">
        <w:t xml:space="preserve">1. Labor Costs </w:t>
      </w:r>
      <w:r w:rsidR="00B960CC" w:rsidRPr="000973F2">
        <w:t>–</w:t>
      </w:r>
      <w:r w:rsidRPr="000973F2">
        <w:t xml:space="preserve"> Subpart AA</w:t>
      </w:r>
    </w:p>
    <w:tbl>
      <w:tblPr>
        <w:tblStyle w:val="PlainTable1"/>
        <w:tblW w:w="5000" w:type="pct"/>
        <w:jc w:val="left"/>
        <w:tblLayout w:type="fixed"/>
        <w:tblCellMar>
          <w:left w:w="115" w:type="dxa"/>
          <w:right w:w="115" w:type="dxa"/>
        </w:tblCellMar>
        <w:tblLook w:val="04A0" w:firstRow="1" w:lastRow="0" w:firstColumn="1" w:lastColumn="0" w:noHBand="0" w:noVBand="1"/>
      </w:tblPr>
      <w:tblGrid>
        <w:gridCol w:w="1466"/>
        <w:gridCol w:w="821"/>
        <w:gridCol w:w="821"/>
        <w:gridCol w:w="821"/>
        <w:gridCol w:w="821"/>
        <w:gridCol w:w="820"/>
        <w:gridCol w:w="821"/>
        <w:gridCol w:w="821"/>
        <w:gridCol w:w="821"/>
        <w:gridCol w:w="740"/>
        <w:gridCol w:w="817"/>
      </w:tblGrid>
      <w:tr w:rsidR="00FD3198" w:rsidRPr="000973F2" w14:paraId="57CB1956" w14:textId="77777777" w:rsidTr="00361080">
        <w:trPr>
          <w:cnfStyle w:val="100000000000" w:firstRow="1" w:lastRow="0" w:firstColumn="0" w:lastColumn="0" w:oddVBand="0" w:evenVBand="0" w:oddHBand="0" w:evenHBand="0" w:firstRowFirstColumn="0" w:firstRowLastColumn="0" w:lastRowFirstColumn="0" w:lastRowLastColumn="0"/>
          <w:cantSplit/>
          <w:jc w:val="left"/>
        </w:trPr>
        <w:tc>
          <w:tcPr>
            <w:cnfStyle w:val="001000000000" w:firstRow="0" w:lastRow="0" w:firstColumn="1" w:lastColumn="0" w:oddVBand="0" w:evenVBand="0" w:oddHBand="0" w:evenHBand="0" w:firstRowFirstColumn="0" w:firstRowLastColumn="0" w:lastRowFirstColumn="0" w:lastRowLastColumn="0"/>
            <w:tcW w:w="1425" w:type="dxa"/>
            <w:vMerge w:val="restart"/>
            <w:noWrap/>
            <w:vAlign w:val="top"/>
            <w:hideMark/>
          </w:tcPr>
          <w:p w14:paraId="51F68B3E" w14:textId="77777777" w:rsidR="00FD3198" w:rsidRPr="000973F2" w:rsidRDefault="00FD3198" w:rsidP="00361080">
            <w:pPr>
              <w:spacing w:before="40" w:after="40"/>
              <w:rPr>
                <w:rFonts w:ascii="Times New Roman" w:eastAsia="Times New Roman" w:hAnsi="Times New Roman" w:cs="Times New Roman"/>
                <w:bCs w:val="0"/>
                <w:sz w:val="18"/>
                <w:szCs w:val="18"/>
              </w:rPr>
            </w:pPr>
            <w:r w:rsidRPr="000973F2">
              <w:rPr>
                <w:rFonts w:ascii="Times New Roman" w:eastAsia="Times New Roman" w:hAnsi="Times New Roman" w:cs="Times New Roman"/>
                <w:bCs w:val="0"/>
                <w:sz w:val="18"/>
                <w:szCs w:val="18"/>
              </w:rPr>
              <w:t>Activity</w:t>
            </w:r>
          </w:p>
        </w:tc>
        <w:tc>
          <w:tcPr>
            <w:tcW w:w="6390" w:type="dxa"/>
            <w:gridSpan w:val="8"/>
            <w:noWrap/>
            <w:vAlign w:val="top"/>
            <w:hideMark/>
          </w:tcPr>
          <w:p w14:paraId="7A48B2DF" w14:textId="77777777" w:rsidR="00FD3198" w:rsidRPr="000973F2" w:rsidRDefault="00FD3198" w:rsidP="00361080">
            <w:pPr>
              <w:spacing w:before="40" w:after="40"/>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Cs w:val="0"/>
                <w:sz w:val="18"/>
                <w:szCs w:val="18"/>
              </w:rPr>
            </w:pPr>
            <w:r w:rsidRPr="000973F2">
              <w:rPr>
                <w:rFonts w:ascii="Times New Roman" w:eastAsia="Times New Roman" w:hAnsi="Times New Roman" w:cs="Times New Roman"/>
                <w:bCs w:val="0"/>
                <w:sz w:val="18"/>
                <w:szCs w:val="18"/>
              </w:rPr>
              <w:t>Labor Rates (per hour)</w:t>
            </w:r>
          </w:p>
        </w:tc>
        <w:tc>
          <w:tcPr>
            <w:tcW w:w="1515" w:type="dxa"/>
            <w:gridSpan w:val="2"/>
            <w:vMerge w:val="restart"/>
            <w:vAlign w:val="top"/>
            <w:hideMark/>
          </w:tcPr>
          <w:p w14:paraId="5202FDB0" w14:textId="77777777" w:rsidR="00FD3198" w:rsidRPr="000973F2" w:rsidRDefault="00FD3198" w:rsidP="00361080">
            <w:pPr>
              <w:spacing w:before="40" w:after="40"/>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Cs w:val="0"/>
                <w:sz w:val="18"/>
                <w:szCs w:val="18"/>
              </w:rPr>
            </w:pPr>
            <w:r w:rsidRPr="000973F2">
              <w:rPr>
                <w:rFonts w:ascii="Times New Roman" w:eastAsia="Times New Roman" w:hAnsi="Times New Roman" w:cs="Times New Roman"/>
                <w:bCs w:val="0"/>
                <w:sz w:val="18"/>
                <w:szCs w:val="18"/>
              </w:rPr>
              <w:t>Total Labor Cost per Year per Facility (2017$)</w:t>
            </w:r>
          </w:p>
        </w:tc>
      </w:tr>
      <w:tr w:rsidR="00FD3198" w:rsidRPr="000973F2" w14:paraId="0E1E546C" w14:textId="77777777" w:rsidTr="00361080">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1425" w:type="dxa"/>
            <w:vMerge/>
            <w:hideMark/>
          </w:tcPr>
          <w:p w14:paraId="2597CE43" w14:textId="77777777" w:rsidR="00FD3198" w:rsidRPr="000973F2" w:rsidRDefault="00FD3198" w:rsidP="00361080">
            <w:pPr>
              <w:spacing w:before="40" w:after="40"/>
              <w:rPr>
                <w:rFonts w:ascii="Times New Roman" w:eastAsia="Times New Roman" w:hAnsi="Times New Roman" w:cs="Times New Roman"/>
                <w:b/>
                <w:bCs w:val="0"/>
                <w:sz w:val="18"/>
                <w:szCs w:val="18"/>
              </w:rPr>
            </w:pPr>
          </w:p>
        </w:tc>
        <w:tc>
          <w:tcPr>
            <w:tcW w:w="1597" w:type="dxa"/>
            <w:gridSpan w:val="2"/>
            <w:noWrap/>
            <w:hideMark/>
          </w:tcPr>
          <w:p w14:paraId="4BD0A7E5" w14:textId="77777777" w:rsidR="00FD3198" w:rsidRPr="000973F2" w:rsidRDefault="00FD3198" w:rsidP="00361080">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18"/>
                <w:szCs w:val="18"/>
              </w:rPr>
            </w:pPr>
            <w:r w:rsidRPr="000973F2">
              <w:rPr>
                <w:rFonts w:ascii="Times New Roman" w:eastAsia="Times New Roman" w:hAnsi="Times New Roman" w:cs="Times New Roman"/>
                <w:b/>
                <w:bCs/>
                <w:sz w:val="18"/>
                <w:szCs w:val="18"/>
              </w:rPr>
              <w:t>Lawyer</w:t>
            </w:r>
          </w:p>
        </w:tc>
        <w:tc>
          <w:tcPr>
            <w:tcW w:w="1598" w:type="dxa"/>
            <w:gridSpan w:val="2"/>
            <w:noWrap/>
            <w:hideMark/>
          </w:tcPr>
          <w:p w14:paraId="1EC5E7F1" w14:textId="77777777" w:rsidR="00FD3198" w:rsidRPr="000973F2" w:rsidRDefault="00FD3198" w:rsidP="00361080">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18"/>
                <w:szCs w:val="18"/>
              </w:rPr>
            </w:pPr>
            <w:r w:rsidRPr="000973F2">
              <w:rPr>
                <w:rFonts w:ascii="Times New Roman" w:eastAsia="Times New Roman" w:hAnsi="Times New Roman" w:cs="Times New Roman"/>
                <w:b/>
                <w:bCs/>
                <w:sz w:val="18"/>
                <w:szCs w:val="18"/>
              </w:rPr>
              <w:t>Industrial Manager</w:t>
            </w:r>
          </w:p>
        </w:tc>
        <w:tc>
          <w:tcPr>
            <w:tcW w:w="1597" w:type="dxa"/>
            <w:gridSpan w:val="2"/>
            <w:hideMark/>
          </w:tcPr>
          <w:p w14:paraId="295FC3AC" w14:textId="38748978" w:rsidR="00FD3198" w:rsidRPr="000973F2" w:rsidRDefault="00FD3198" w:rsidP="00361080">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18"/>
                <w:szCs w:val="18"/>
              </w:rPr>
            </w:pPr>
            <w:r w:rsidRPr="000973F2">
              <w:rPr>
                <w:rFonts w:ascii="Times New Roman" w:eastAsia="Times New Roman" w:hAnsi="Times New Roman" w:cs="Times New Roman"/>
                <w:b/>
                <w:bCs/>
                <w:sz w:val="18"/>
                <w:szCs w:val="18"/>
              </w:rPr>
              <w:t>Industrial Engineer/</w:t>
            </w:r>
            <w:r w:rsidR="00361080" w:rsidRPr="000973F2">
              <w:rPr>
                <w:rFonts w:ascii="Times New Roman" w:eastAsia="Times New Roman" w:hAnsi="Times New Roman" w:cs="Times New Roman"/>
                <w:b/>
                <w:bCs/>
                <w:sz w:val="18"/>
                <w:szCs w:val="18"/>
              </w:rPr>
              <w:t xml:space="preserve"> </w:t>
            </w:r>
            <w:r w:rsidRPr="000973F2">
              <w:rPr>
                <w:rFonts w:ascii="Times New Roman" w:eastAsia="Times New Roman" w:hAnsi="Times New Roman" w:cs="Times New Roman"/>
                <w:b/>
                <w:bCs/>
                <w:sz w:val="18"/>
                <w:szCs w:val="18"/>
              </w:rPr>
              <w:t>Technician</w:t>
            </w:r>
          </w:p>
        </w:tc>
        <w:tc>
          <w:tcPr>
            <w:tcW w:w="1598" w:type="dxa"/>
            <w:gridSpan w:val="2"/>
            <w:hideMark/>
          </w:tcPr>
          <w:p w14:paraId="59E25D06" w14:textId="77777777" w:rsidR="00FD3198" w:rsidRPr="000973F2" w:rsidRDefault="00FD3198" w:rsidP="00361080">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18"/>
                <w:szCs w:val="18"/>
              </w:rPr>
            </w:pPr>
            <w:r w:rsidRPr="000973F2">
              <w:rPr>
                <w:rFonts w:ascii="Times New Roman" w:eastAsia="Times New Roman" w:hAnsi="Times New Roman" w:cs="Times New Roman"/>
                <w:b/>
                <w:bCs/>
                <w:sz w:val="18"/>
                <w:szCs w:val="18"/>
              </w:rPr>
              <w:t>Administrative Support</w:t>
            </w:r>
          </w:p>
        </w:tc>
        <w:tc>
          <w:tcPr>
            <w:tcW w:w="1515" w:type="dxa"/>
            <w:gridSpan w:val="2"/>
            <w:vMerge/>
            <w:hideMark/>
          </w:tcPr>
          <w:p w14:paraId="5C178A37" w14:textId="77777777" w:rsidR="00FD3198" w:rsidRPr="000973F2" w:rsidRDefault="00FD3198" w:rsidP="00361080">
            <w:pPr>
              <w:spacing w:before="40" w:after="4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18"/>
                <w:szCs w:val="18"/>
              </w:rPr>
            </w:pPr>
          </w:p>
        </w:tc>
      </w:tr>
      <w:tr w:rsidR="00FD3198" w:rsidRPr="000973F2" w14:paraId="77FF8555" w14:textId="77777777" w:rsidTr="00361080">
        <w:trPr>
          <w:cantSplit/>
        </w:trPr>
        <w:tc>
          <w:tcPr>
            <w:cnfStyle w:val="001000000000" w:firstRow="0" w:lastRow="0" w:firstColumn="1" w:lastColumn="0" w:oddVBand="0" w:evenVBand="0" w:oddHBand="0" w:evenHBand="0" w:firstRowFirstColumn="0" w:firstRowLastColumn="0" w:lastRowFirstColumn="0" w:lastRowLastColumn="0"/>
            <w:tcW w:w="1425" w:type="dxa"/>
            <w:vMerge/>
            <w:hideMark/>
          </w:tcPr>
          <w:p w14:paraId="3C99710D" w14:textId="77777777" w:rsidR="00FD3198" w:rsidRPr="000973F2" w:rsidRDefault="00FD3198" w:rsidP="00361080">
            <w:pPr>
              <w:spacing w:before="40" w:after="40"/>
              <w:rPr>
                <w:rFonts w:ascii="Times New Roman" w:eastAsia="Times New Roman" w:hAnsi="Times New Roman" w:cs="Times New Roman"/>
                <w:b/>
                <w:bCs w:val="0"/>
                <w:sz w:val="18"/>
                <w:szCs w:val="18"/>
              </w:rPr>
            </w:pPr>
          </w:p>
        </w:tc>
        <w:tc>
          <w:tcPr>
            <w:tcW w:w="1597" w:type="dxa"/>
            <w:gridSpan w:val="2"/>
            <w:noWrap/>
            <w:hideMark/>
          </w:tcPr>
          <w:p w14:paraId="6592D3F1" w14:textId="77777777" w:rsidR="00FD3198" w:rsidRPr="000973F2" w:rsidRDefault="00FD3198" w:rsidP="00361080">
            <w:pPr>
              <w:spacing w:before="40" w:after="4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sz w:val="18"/>
                <w:szCs w:val="18"/>
              </w:rPr>
            </w:pPr>
            <w:r w:rsidRPr="000973F2">
              <w:rPr>
                <w:rFonts w:ascii="Times New Roman" w:eastAsia="Times New Roman" w:hAnsi="Times New Roman" w:cs="Times New Roman"/>
                <w:b/>
                <w:bCs/>
                <w:sz w:val="18"/>
                <w:szCs w:val="18"/>
              </w:rPr>
              <w:t xml:space="preserve">$112.23 </w:t>
            </w:r>
          </w:p>
        </w:tc>
        <w:tc>
          <w:tcPr>
            <w:tcW w:w="1598" w:type="dxa"/>
            <w:gridSpan w:val="2"/>
            <w:noWrap/>
            <w:hideMark/>
          </w:tcPr>
          <w:p w14:paraId="4CD9A4AF" w14:textId="77777777" w:rsidR="00FD3198" w:rsidRPr="000973F2" w:rsidRDefault="00FD3198" w:rsidP="00361080">
            <w:pPr>
              <w:spacing w:before="40" w:after="4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sz w:val="18"/>
                <w:szCs w:val="18"/>
              </w:rPr>
            </w:pPr>
            <w:r w:rsidRPr="000973F2">
              <w:rPr>
                <w:rFonts w:ascii="Times New Roman" w:eastAsia="Times New Roman" w:hAnsi="Times New Roman" w:cs="Times New Roman"/>
                <w:b/>
                <w:bCs/>
                <w:sz w:val="18"/>
                <w:szCs w:val="18"/>
              </w:rPr>
              <w:t xml:space="preserve">$87.45 </w:t>
            </w:r>
          </w:p>
        </w:tc>
        <w:tc>
          <w:tcPr>
            <w:tcW w:w="1597" w:type="dxa"/>
            <w:gridSpan w:val="2"/>
            <w:noWrap/>
            <w:hideMark/>
          </w:tcPr>
          <w:p w14:paraId="548FA923" w14:textId="77777777" w:rsidR="00FD3198" w:rsidRPr="000973F2" w:rsidRDefault="00FD3198" w:rsidP="00361080">
            <w:pPr>
              <w:spacing w:before="40" w:after="4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sz w:val="18"/>
                <w:szCs w:val="18"/>
              </w:rPr>
            </w:pPr>
            <w:r w:rsidRPr="000973F2">
              <w:rPr>
                <w:rFonts w:ascii="Times New Roman" w:eastAsia="Times New Roman" w:hAnsi="Times New Roman" w:cs="Times New Roman"/>
                <w:b/>
                <w:bCs/>
                <w:sz w:val="18"/>
                <w:szCs w:val="18"/>
              </w:rPr>
              <w:t xml:space="preserve">$71.45 </w:t>
            </w:r>
          </w:p>
        </w:tc>
        <w:tc>
          <w:tcPr>
            <w:tcW w:w="1598" w:type="dxa"/>
            <w:gridSpan w:val="2"/>
            <w:noWrap/>
            <w:hideMark/>
          </w:tcPr>
          <w:p w14:paraId="26587C35" w14:textId="77777777" w:rsidR="00FD3198" w:rsidRPr="000973F2" w:rsidRDefault="00FD3198" w:rsidP="00361080">
            <w:pPr>
              <w:spacing w:before="40" w:after="4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sz w:val="18"/>
                <w:szCs w:val="18"/>
              </w:rPr>
            </w:pPr>
            <w:r w:rsidRPr="000973F2">
              <w:rPr>
                <w:rFonts w:ascii="Times New Roman" w:eastAsia="Times New Roman" w:hAnsi="Times New Roman" w:cs="Times New Roman"/>
                <w:b/>
                <w:bCs/>
                <w:sz w:val="18"/>
                <w:szCs w:val="18"/>
              </w:rPr>
              <w:t xml:space="preserve">$36.28 </w:t>
            </w:r>
          </w:p>
        </w:tc>
        <w:tc>
          <w:tcPr>
            <w:tcW w:w="1515" w:type="dxa"/>
            <w:gridSpan w:val="2"/>
            <w:vMerge/>
            <w:hideMark/>
          </w:tcPr>
          <w:p w14:paraId="2BA1C496" w14:textId="77777777" w:rsidR="00FD3198" w:rsidRPr="000973F2" w:rsidRDefault="00FD3198" w:rsidP="00361080">
            <w:pPr>
              <w:spacing w:before="40" w:after="4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sz w:val="18"/>
                <w:szCs w:val="18"/>
              </w:rPr>
            </w:pPr>
          </w:p>
        </w:tc>
      </w:tr>
      <w:tr w:rsidR="00361080" w:rsidRPr="000973F2" w14:paraId="5D434998" w14:textId="77777777" w:rsidTr="00361080">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1425" w:type="dxa"/>
            <w:vMerge/>
            <w:hideMark/>
          </w:tcPr>
          <w:p w14:paraId="20AAFBBA" w14:textId="77777777" w:rsidR="00FD3198" w:rsidRPr="000973F2" w:rsidRDefault="00FD3198" w:rsidP="00361080">
            <w:pPr>
              <w:spacing w:before="40" w:after="40"/>
              <w:rPr>
                <w:rFonts w:ascii="Times New Roman" w:eastAsia="Times New Roman" w:hAnsi="Times New Roman" w:cs="Times New Roman"/>
                <w:b/>
                <w:bCs w:val="0"/>
                <w:sz w:val="18"/>
                <w:szCs w:val="18"/>
              </w:rPr>
            </w:pPr>
          </w:p>
        </w:tc>
        <w:tc>
          <w:tcPr>
            <w:tcW w:w="798" w:type="dxa"/>
            <w:tcMar>
              <w:left w:w="14" w:type="dxa"/>
              <w:right w:w="14" w:type="dxa"/>
            </w:tcMar>
            <w:hideMark/>
          </w:tcPr>
          <w:p w14:paraId="26D584E5" w14:textId="03B8EF0D" w:rsidR="00FD3198" w:rsidRPr="000973F2" w:rsidRDefault="00FD3198" w:rsidP="00361080">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18"/>
                <w:szCs w:val="18"/>
              </w:rPr>
            </w:pPr>
            <w:r w:rsidRPr="000973F2">
              <w:rPr>
                <w:rFonts w:ascii="Times New Roman" w:eastAsia="Times New Roman" w:hAnsi="Times New Roman" w:cs="Times New Roman"/>
                <w:b/>
                <w:bCs/>
                <w:sz w:val="18"/>
                <w:szCs w:val="18"/>
              </w:rPr>
              <w:t xml:space="preserve">Initial </w:t>
            </w:r>
            <w:r w:rsidR="00132320" w:rsidRPr="000973F2">
              <w:rPr>
                <w:rFonts w:ascii="Times New Roman" w:eastAsia="Times New Roman" w:hAnsi="Times New Roman" w:cs="Times New Roman"/>
                <w:b/>
                <w:bCs/>
                <w:sz w:val="18"/>
                <w:szCs w:val="18"/>
              </w:rPr>
              <w:t>Year Hours</w:t>
            </w:r>
          </w:p>
        </w:tc>
        <w:tc>
          <w:tcPr>
            <w:tcW w:w="799" w:type="dxa"/>
            <w:tcMar>
              <w:left w:w="14" w:type="dxa"/>
              <w:right w:w="14" w:type="dxa"/>
            </w:tcMar>
            <w:hideMark/>
          </w:tcPr>
          <w:p w14:paraId="126FC3D9" w14:textId="63D392A0" w:rsidR="00FD3198" w:rsidRPr="000973F2" w:rsidRDefault="00FD3198" w:rsidP="00361080">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18"/>
                <w:szCs w:val="18"/>
              </w:rPr>
            </w:pPr>
            <w:r w:rsidRPr="000973F2">
              <w:rPr>
                <w:rFonts w:ascii="Times New Roman" w:eastAsia="Times New Roman" w:hAnsi="Times New Roman" w:cs="Times New Roman"/>
                <w:b/>
                <w:bCs/>
                <w:sz w:val="18"/>
                <w:szCs w:val="18"/>
              </w:rPr>
              <w:t xml:space="preserve">Subseq. </w:t>
            </w:r>
            <w:r w:rsidR="00132320" w:rsidRPr="000973F2">
              <w:rPr>
                <w:rFonts w:ascii="Times New Roman" w:eastAsia="Times New Roman" w:hAnsi="Times New Roman" w:cs="Times New Roman"/>
                <w:b/>
                <w:bCs/>
                <w:sz w:val="18"/>
                <w:szCs w:val="18"/>
              </w:rPr>
              <w:t>Year Hours</w:t>
            </w:r>
          </w:p>
        </w:tc>
        <w:tc>
          <w:tcPr>
            <w:tcW w:w="799" w:type="dxa"/>
            <w:tcMar>
              <w:left w:w="14" w:type="dxa"/>
              <w:right w:w="14" w:type="dxa"/>
            </w:tcMar>
            <w:hideMark/>
          </w:tcPr>
          <w:p w14:paraId="2AD21845" w14:textId="741EF81E" w:rsidR="00FD3198" w:rsidRPr="000973F2" w:rsidRDefault="00FD3198" w:rsidP="00361080">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18"/>
                <w:szCs w:val="18"/>
              </w:rPr>
            </w:pPr>
            <w:r w:rsidRPr="000973F2">
              <w:rPr>
                <w:rFonts w:ascii="Times New Roman" w:eastAsia="Times New Roman" w:hAnsi="Times New Roman" w:cs="Times New Roman"/>
                <w:b/>
                <w:bCs/>
                <w:sz w:val="18"/>
                <w:szCs w:val="18"/>
              </w:rPr>
              <w:t xml:space="preserve">Initial </w:t>
            </w:r>
            <w:r w:rsidR="00132320" w:rsidRPr="000973F2">
              <w:rPr>
                <w:rFonts w:ascii="Times New Roman" w:eastAsia="Times New Roman" w:hAnsi="Times New Roman" w:cs="Times New Roman"/>
                <w:b/>
                <w:bCs/>
                <w:sz w:val="18"/>
                <w:szCs w:val="18"/>
              </w:rPr>
              <w:t>Year Hours</w:t>
            </w:r>
          </w:p>
        </w:tc>
        <w:tc>
          <w:tcPr>
            <w:tcW w:w="799" w:type="dxa"/>
            <w:tcMar>
              <w:left w:w="14" w:type="dxa"/>
              <w:right w:w="14" w:type="dxa"/>
            </w:tcMar>
            <w:hideMark/>
          </w:tcPr>
          <w:p w14:paraId="0304C503" w14:textId="1BC84585" w:rsidR="00FD3198" w:rsidRPr="000973F2" w:rsidRDefault="00FD3198" w:rsidP="00361080">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18"/>
                <w:szCs w:val="18"/>
              </w:rPr>
            </w:pPr>
            <w:r w:rsidRPr="000973F2">
              <w:rPr>
                <w:rFonts w:ascii="Times New Roman" w:eastAsia="Times New Roman" w:hAnsi="Times New Roman" w:cs="Times New Roman"/>
                <w:b/>
                <w:bCs/>
                <w:sz w:val="18"/>
                <w:szCs w:val="18"/>
              </w:rPr>
              <w:t xml:space="preserve">Subseq. </w:t>
            </w:r>
            <w:r w:rsidR="00132320" w:rsidRPr="000973F2">
              <w:rPr>
                <w:rFonts w:ascii="Times New Roman" w:eastAsia="Times New Roman" w:hAnsi="Times New Roman" w:cs="Times New Roman"/>
                <w:b/>
                <w:bCs/>
                <w:sz w:val="18"/>
                <w:szCs w:val="18"/>
              </w:rPr>
              <w:t>Year Hours</w:t>
            </w:r>
          </w:p>
        </w:tc>
        <w:tc>
          <w:tcPr>
            <w:tcW w:w="798" w:type="dxa"/>
            <w:tcMar>
              <w:left w:w="14" w:type="dxa"/>
              <w:right w:w="14" w:type="dxa"/>
            </w:tcMar>
            <w:hideMark/>
          </w:tcPr>
          <w:p w14:paraId="44356AE6" w14:textId="77CC9CDE" w:rsidR="00FD3198" w:rsidRPr="000973F2" w:rsidRDefault="00FD3198" w:rsidP="00361080">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18"/>
                <w:szCs w:val="18"/>
              </w:rPr>
            </w:pPr>
            <w:r w:rsidRPr="000973F2">
              <w:rPr>
                <w:rFonts w:ascii="Times New Roman" w:eastAsia="Times New Roman" w:hAnsi="Times New Roman" w:cs="Times New Roman"/>
                <w:b/>
                <w:bCs/>
                <w:sz w:val="18"/>
                <w:szCs w:val="18"/>
              </w:rPr>
              <w:t xml:space="preserve">Initial </w:t>
            </w:r>
            <w:r w:rsidR="00132320" w:rsidRPr="000973F2">
              <w:rPr>
                <w:rFonts w:ascii="Times New Roman" w:eastAsia="Times New Roman" w:hAnsi="Times New Roman" w:cs="Times New Roman"/>
                <w:b/>
                <w:bCs/>
                <w:sz w:val="18"/>
                <w:szCs w:val="18"/>
              </w:rPr>
              <w:t>Year Hours</w:t>
            </w:r>
          </w:p>
        </w:tc>
        <w:tc>
          <w:tcPr>
            <w:tcW w:w="799" w:type="dxa"/>
            <w:tcMar>
              <w:left w:w="14" w:type="dxa"/>
              <w:right w:w="14" w:type="dxa"/>
            </w:tcMar>
            <w:hideMark/>
          </w:tcPr>
          <w:p w14:paraId="14427E57" w14:textId="59E14438" w:rsidR="00FD3198" w:rsidRPr="000973F2" w:rsidRDefault="00FD3198" w:rsidP="00361080">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18"/>
                <w:szCs w:val="18"/>
              </w:rPr>
            </w:pPr>
            <w:r w:rsidRPr="000973F2">
              <w:rPr>
                <w:rFonts w:ascii="Times New Roman" w:eastAsia="Times New Roman" w:hAnsi="Times New Roman" w:cs="Times New Roman"/>
                <w:b/>
                <w:bCs/>
                <w:sz w:val="18"/>
                <w:szCs w:val="18"/>
              </w:rPr>
              <w:t xml:space="preserve">Subseq. </w:t>
            </w:r>
            <w:r w:rsidR="00132320" w:rsidRPr="000973F2">
              <w:rPr>
                <w:rFonts w:ascii="Times New Roman" w:eastAsia="Times New Roman" w:hAnsi="Times New Roman" w:cs="Times New Roman"/>
                <w:b/>
                <w:bCs/>
                <w:sz w:val="18"/>
                <w:szCs w:val="18"/>
              </w:rPr>
              <w:t>Year Hours</w:t>
            </w:r>
          </w:p>
        </w:tc>
        <w:tc>
          <w:tcPr>
            <w:tcW w:w="799" w:type="dxa"/>
            <w:tcMar>
              <w:left w:w="14" w:type="dxa"/>
              <w:right w:w="14" w:type="dxa"/>
            </w:tcMar>
            <w:hideMark/>
          </w:tcPr>
          <w:p w14:paraId="49560FE9" w14:textId="38FD251F" w:rsidR="00FD3198" w:rsidRPr="000973F2" w:rsidRDefault="00FD3198" w:rsidP="00361080">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18"/>
                <w:szCs w:val="18"/>
              </w:rPr>
            </w:pPr>
            <w:r w:rsidRPr="000973F2">
              <w:rPr>
                <w:rFonts w:ascii="Times New Roman" w:eastAsia="Times New Roman" w:hAnsi="Times New Roman" w:cs="Times New Roman"/>
                <w:b/>
                <w:bCs/>
                <w:sz w:val="18"/>
                <w:szCs w:val="18"/>
              </w:rPr>
              <w:t xml:space="preserve">Initial </w:t>
            </w:r>
            <w:r w:rsidR="00132320" w:rsidRPr="000973F2">
              <w:rPr>
                <w:rFonts w:ascii="Times New Roman" w:eastAsia="Times New Roman" w:hAnsi="Times New Roman" w:cs="Times New Roman"/>
                <w:b/>
                <w:bCs/>
                <w:sz w:val="18"/>
                <w:szCs w:val="18"/>
              </w:rPr>
              <w:t>Year Hours</w:t>
            </w:r>
          </w:p>
        </w:tc>
        <w:tc>
          <w:tcPr>
            <w:tcW w:w="799" w:type="dxa"/>
            <w:tcMar>
              <w:left w:w="14" w:type="dxa"/>
              <w:right w:w="14" w:type="dxa"/>
            </w:tcMar>
            <w:hideMark/>
          </w:tcPr>
          <w:p w14:paraId="5FBDD2A9" w14:textId="47AF233D" w:rsidR="00FD3198" w:rsidRPr="000973F2" w:rsidRDefault="00FD3198" w:rsidP="00361080">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18"/>
                <w:szCs w:val="18"/>
              </w:rPr>
            </w:pPr>
            <w:r w:rsidRPr="000973F2">
              <w:rPr>
                <w:rFonts w:ascii="Times New Roman" w:eastAsia="Times New Roman" w:hAnsi="Times New Roman" w:cs="Times New Roman"/>
                <w:b/>
                <w:bCs/>
                <w:sz w:val="18"/>
                <w:szCs w:val="18"/>
              </w:rPr>
              <w:t xml:space="preserve">Subseq. </w:t>
            </w:r>
            <w:r w:rsidR="00132320" w:rsidRPr="000973F2">
              <w:rPr>
                <w:rFonts w:ascii="Times New Roman" w:eastAsia="Times New Roman" w:hAnsi="Times New Roman" w:cs="Times New Roman"/>
                <w:b/>
                <w:bCs/>
                <w:sz w:val="18"/>
                <w:szCs w:val="18"/>
              </w:rPr>
              <w:t>Year Hours</w:t>
            </w:r>
          </w:p>
        </w:tc>
        <w:tc>
          <w:tcPr>
            <w:tcW w:w="720" w:type="dxa"/>
            <w:tcMar>
              <w:left w:w="14" w:type="dxa"/>
              <w:right w:w="14" w:type="dxa"/>
            </w:tcMar>
            <w:hideMark/>
          </w:tcPr>
          <w:p w14:paraId="1047798F" w14:textId="77777777" w:rsidR="00FD3198" w:rsidRPr="000973F2" w:rsidRDefault="00FD3198" w:rsidP="00361080">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18"/>
                <w:szCs w:val="18"/>
              </w:rPr>
            </w:pPr>
            <w:r w:rsidRPr="000973F2">
              <w:rPr>
                <w:rFonts w:ascii="Times New Roman" w:eastAsia="Times New Roman" w:hAnsi="Times New Roman" w:cs="Times New Roman"/>
                <w:b/>
                <w:bCs/>
                <w:sz w:val="18"/>
                <w:szCs w:val="18"/>
              </w:rPr>
              <w:t>Initial Year</w:t>
            </w:r>
          </w:p>
        </w:tc>
        <w:tc>
          <w:tcPr>
            <w:tcW w:w="795" w:type="dxa"/>
            <w:tcMar>
              <w:left w:w="14" w:type="dxa"/>
              <w:right w:w="14" w:type="dxa"/>
            </w:tcMar>
            <w:hideMark/>
          </w:tcPr>
          <w:p w14:paraId="210F2676" w14:textId="77777777" w:rsidR="00FD3198" w:rsidRPr="000973F2" w:rsidRDefault="00FD3198" w:rsidP="00361080">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18"/>
                <w:szCs w:val="18"/>
              </w:rPr>
            </w:pPr>
            <w:r w:rsidRPr="000973F2">
              <w:rPr>
                <w:rFonts w:ascii="Times New Roman" w:eastAsia="Times New Roman" w:hAnsi="Times New Roman" w:cs="Times New Roman"/>
                <w:b/>
                <w:bCs/>
                <w:sz w:val="18"/>
                <w:szCs w:val="18"/>
              </w:rPr>
              <w:t>Subseq. Year</w:t>
            </w:r>
          </w:p>
        </w:tc>
      </w:tr>
      <w:tr w:rsidR="00361080" w:rsidRPr="000973F2" w14:paraId="5F297660" w14:textId="77777777" w:rsidTr="00361080">
        <w:trPr>
          <w:cantSplit/>
        </w:trPr>
        <w:tc>
          <w:tcPr>
            <w:cnfStyle w:val="001000000000" w:firstRow="0" w:lastRow="0" w:firstColumn="1" w:lastColumn="0" w:oddVBand="0" w:evenVBand="0" w:oddHBand="0" w:evenHBand="0" w:firstRowFirstColumn="0" w:firstRowLastColumn="0" w:lastRowFirstColumn="0" w:lastRowLastColumn="0"/>
            <w:tcW w:w="1425" w:type="dxa"/>
            <w:hideMark/>
          </w:tcPr>
          <w:p w14:paraId="796B260E" w14:textId="77777777" w:rsidR="00FD3198" w:rsidRPr="000973F2" w:rsidRDefault="00FD3198" w:rsidP="00361080">
            <w:pPr>
              <w:spacing w:before="40" w:after="4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Planning</w:t>
            </w:r>
          </w:p>
        </w:tc>
        <w:tc>
          <w:tcPr>
            <w:tcW w:w="798" w:type="dxa"/>
            <w:noWrap/>
            <w:hideMark/>
          </w:tcPr>
          <w:p w14:paraId="1E9FDF20" w14:textId="77777777" w:rsidR="00FD3198" w:rsidRPr="000973F2" w:rsidRDefault="00FD3198" w:rsidP="00361080">
            <w:pPr>
              <w:tabs>
                <w:tab w:val="decimal" w:pos="286"/>
              </w:tabs>
              <w:spacing w:before="40" w:after="4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0</w:t>
            </w:r>
          </w:p>
        </w:tc>
        <w:tc>
          <w:tcPr>
            <w:tcW w:w="799" w:type="dxa"/>
            <w:noWrap/>
            <w:hideMark/>
          </w:tcPr>
          <w:p w14:paraId="763F81CC" w14:textId="77777777" w:rsidR="00FD3198" w:rsidRPr="000973F2" w:rsidRDefault="00FD3198" w:rsidP="00361080">
            <w:pPr>
              <w:tabs>
                <w:tab w:val="decimal" w:pos="286"/>
              </w:tabs>
              <w:spacing w:before="40" w:after="4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0.5</w:t>
            </w:r>
          </w:p>
        </w:tc>
        <w:tc>
          <w:tcPr>
            <w:tcW w:w="799" w:type="dxa"/>
            <w:noWrap/>
            <w:hideMark/>
          </w:tcPr>
          <w:p w14:paraId="7D6371A2" w14:textId="77777777" w:rsidR="00FD3198" w:rsidRPr="000973F2" w:rsidRDefault="00FD3198" w:rsidP="00361080">
            <w:pPr>
              <w:tabs>
                <w:tab w:val="decimal" w:pos="286"/>
              </w:tabs>
              <w:spacing w:before="40" w:after="4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0</w:t>
            </w:r>
          </w:p>
        </w:tc>
        <w:tc>
          <w:tcPr>
            <w:tcW w:w="799" w:type="dxa"/>
            <w:noWrap/>
            <w:hideMark/>
          </w:tcPr>
          <w:p w14:paraId="6B0B3DDF" w14:textId="77777777" w:rsidR="00FD3198" w:rsidRPr="000973F2" w:rsidRDefault="00FD3198" w:rsidP="00361080">
            <w:pPr>
              <w:tabs>
                <w:tab w:val="decimal" w:pos="286"/>
              </w:tabs>
              <w:spacing w:before="40" w:after="4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0.1</w:t>
            </w:r>
          </w:p>
        </w:tc>
        <w:tc>
          <w:tcPr>
            <w:tcW w:w="798" w:type="dxa"/>
            <w:noWrap/>
            <w:hideMark/>
          </w:tcPr>
          <w:p w14:paraId="2951951D" w14:textId="77777777" w:rsidR="00FD3198" w:rsidRPr="000973F2" w:rsidRDefault="00FD3198" w:rsidP="00361080">
            <w:pPr>
              <w:tabs>
                <w:tab w:val="decimal" w:pos="286"/>
              </w:tabs>
              <w:spacing w:before="40" w:after="4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0</w:t>
            </w:r>
          </w:p>
        </w:tc>
        <w:tc>
          <w:tcPr>
            <w:tcW w:w="799" w:type="dxa"/>
            <w:noWrap/>
            <w:hideMark/>
          </w:tcPr>
          <w:p w14:paraId="39D2522D" w14:textId="77777777" w:rsidR="00FD3198" w:rsidRPr="000973F2" w:rsidRDefault="00FD3198" w:rsidP="00361080">
            <w:pPr>
              <w:tabs>
                <w:tab w:val="decimal" w:pos="286"/>
              </w:tabs>
              <w:spacing w:before="40" w:after="4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1.0</w:t>
            </w:r>
          </w:p>
        </w:tc>
        <w:tc>
          <w:tcPr>
            <w:tcW w:w="799" w:type="dxa"/>
            <w:noWrap/>
            <w:hideMark/>
          </w:tcPr>
          <w:p w14:paraId="54A75D9D" w14:textId="77777777" w:rsidR="00FD3198" w:rsidRPr="000973F2" w:rsidRDefault="00FD3198" w:rsidP="00361080">
            <w:pPr>
              <w:tabs>
                <w:tab w:val="decimal" w:pos="286"/>
              </w:tabs>
              <w:spacing w:before="40" w:after="4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0</w:t>
            </w:r>
          </w:p>
        </w:tc>
        <w:tc>
          <w:tcPr>
            <w:tcW w:w="799" w:type="dxa"/>
            <w:noWrap/>
            <w:hideMark/>
          </w:tcPr>
          <w:p w14:paraId="33BF4500" w14:textId="77777777" w:rsidR="00FD3198" w:rsidRPr="000973F2" w:rsidRDefault="00FD3198" w:rsidP="00361080">
            <w:pPr>
              <w:tabs>
                <w:tab w:val="decimal" w:pos="286"/>
              </w:tabs>
              <w:spacing w:before="40" w:after="4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1.0</w:t>
            </w:r>
          </w:p>
        </w:tc>
        <w:tc>
          <w:tcPr>
            <w:tcW w:w="720" w:type="dxa"/>
            <w:noWrap/>
            <w:hideMark/>
          </w:tcPr>
          <w:p w14:paraId="4BC6D93B" w14:textId="77777777" w:rsidR="00FD3198" w:rsidRPr="000973F2" w:rsidRDefault="00FD3198" w:rsidP="00361080">
            <w:pPr>
              <w:tabs>
                <w:tab w:val="decimal" w:pos="286"/>
              </w:tabs>
              <w:spacing w:before="40" w:after="4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$0</w:t>
            </w:r>
          </w:p>
        </w:tc>
        <w:tc>
          <w:tcPr>
            <w:tcW w:w="795" w:type="dxa"/>
            <w:noWrap/>
            <w:hideMark/>
          </w:tcPr>
          <w:p w14:paraId="26888A2C" w14:textId="77777777" w:rsidR="00FD3198" w:rsidRPr="000973F2" w:rsidRDefault="00FD3198" w:rsidP="00361080">
            <w:pPr>
              <w:tabs>
                <w:tab w:val="decimal" w:pos="511"/>
              </w:tabs>
              <w:spacing w:before="40" w:after="4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$140</w:t>
            </w:r>
          </w:p>
        </w:tc>
      </w:tr>
      <w:tr w:rsidR="00361080" w:rsidRPr="000973F2" w14:paraId="0841244F" w14:textId="77777777" w:rsidTr="00361080">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1425" w:type="dxa"/>
            <w:hideMark/>
          </w:tcPr>
          <w:p w14:paraId="54AF2A26" w14:textId="77777777" w:rsidR="00FD3198" w:rsidRPr="000973F2" w:rsidRDefault="00FD3198" w:rsidP="00361080">
            <w:pPr>
              <w:spacing w:before="40" w:after="4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QA/QC</w:t>
            </w:r>
          </w:p>
        </w:tc>
        <w:tc>
          <w:tcPr>
            <w:tcW w:w="798" w:type="dxa"/>
            <w:noWrap/>
            <w:hideMark/>
          </w:tcPr>
          <w:p w14:paraId="5EF0D582" w14:textId="77777777" w:rsidR="00FD3198" w:rsidRPr="000973F2" w:rsidRDefault="00FD3198" w:rsidP="00361080">
            <w:pPr>
              <w:tabs>
                <w:tab w:val="decimal" w:pos="286"/>
              </w:tabs>
              <w:spacing w:before="40" w:after="4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0</w:t>
            </w:r>
          </w:p>
        </w:tc>
        <w:tc>
          <w:tcPr>
            <w:tcW w:w="799" w:type="dxa"/>
            <w:noWrap/>
            <w:hideMark/>
          </w:tcPr>
          <w:p w14:paraId="583BD708" w14:textId="77777777" w:rsidR="00FD3198" w:rsidRPr="000973F2" w:rsidRDefault="00FD3198" w:rsidP="00361080">
            <w:pPr>
              <w:tabs>
                <w:tab w:val="decimal" w:pos="286"/>
              </w:tabs>
              <w:spacing w:before="40" w:after="4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0</w:t>
            </w:r>
          </w:p>
        </w:tc>
        <w:tc>
          <w:tcPr>
            <w:tcW w:w="799" w:type="dxa"/>
            <w:noWrap/>
            <w:hideMark/>
          </w:tcPr>
          <w:p w14:paraId="0AB542F3" w14:textId="77777777" w:rsidR="00FD3198" w:rsidRPr="000973F2" w:rsidRDefault="00FD3198" w:rsidP="00361080">
            <w:pPr>
              <w:tabs>
                <w:tab w:val="decimal" w:pos="286"/>
              </w:tabs>
              <w:spacing w:before="40" w:after="4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0</w:t>
            </w:r>
          </w:p>
        </w:tc>
        <w:tc>
          <w:tcPr>
            <w:tcW w:w="799" w:type="dxa"/>
            <w:noWrap/>
            <w:hideMark/>
          </w:tcPr>
          <w:p w14:paraId="66D60D1C" w14:textId="77777777" w:rsidR="00FD3198" w:rsidRPr="000973F2" w:rsidRDefault="00FD3198" w:rsidP="00361080">
            <w:pPr>
              <w:tabs>
                <w:tab w:val="decimal" w:pos="286"/>
              </w:tabs>
              <w:spacing w:before="40" w:after="4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1.0</w:t>
            </w:r>
          </w:p>
        </w:tc>
        <w:tc>
          <w:tcPr>
            <w:tcW w:w="798" w:type="dxa"/>
            <w:noWrap/>
            <w:hideMark/>
          </w:tcPr>
          <w:p w14:paraId="3CC1EB26" w14:textId="77777777" w:rsidR="00FD3198" w:rsidRPr="000973F2" w:rsidRDefault="00FD3198" w:rsidP="00361080">
            <w:pPr>
              <w:tabs>
                <w:tab w:val="decimal" w:pos="286"/>
              </w:tabs>
              <w:spacing w:before="40" w:after="4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0</w:t>
            </w:r>
          </w:p>
        </w:tc>
        <w:tc>
          <w:tcPr>
            <w:tcW w:w="799" w:type="dxa"/>
            <w:noWrap/>
            <w:hideMark/>
          </w:tcPr>
          <w:p w14:paraId="7666F3EF" w14:textId="77777777" w:rsidR="00FD3198" w:rsidRPr="000973F2" w:rsidRDefault="00FD3198" w:rsidP="00361080">
            <w:pPr>
              <w:tabs>
                <w:tab w:val="decimal" w:pos="286"/>
              </w:tabs>
              <w:spacing w:before="40" w:after="4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2.3</w:t>
            </w:r>
          </w:p>
        </w:tc>
        <w:tc>
          <w:tcPr>
            <w:tcW w:w="799" w:type="dxa"/>
            <w:noWrap/>
            <w:hideMark/>
          </w:tcPr>
          <w:p w14:paraId="66A8FD93" w14:textId="77777777" w:rsidR="00FD3198" w:rsidRPr="000973F2" w:rsidRDefault="00FD3198" w:rsidP="00361080">
            <w:pPr>
              <w:tabs>
                <w:tab w:val="decimal" w:pos="286"/>
              </w:tabs>
              <w:spacing w:before="40" w:after="4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0</w:t>
            </w:r>
          </w:p>
        </w:tc>
        <w:tc>
          <w:tcPr>
            <w:tcW w:w="799" w:type="dxa"/>
            <w:noWrap/>
            <w:hideMark/>
          </w:tcPr>
          <w:p w14:paraId="7C14E403" w14:textId="77777777" w:rsidR="00FD3198" w:rsidRPr="000973F2" w:rsidRDefault="00FD3198" w:rsidP="00361080">
            <w:pPr>
              <w:tabs>
                <w:tab w:val="decimal" w:pos="286"/>
              </w:tabs>
              <w:spacing w:before="40" w:after="4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0</w:t>
            </w:r>
          </w:p>
        </w:tc>
        <w:tc>
          <w:tcPr>
            <w:tcW w:w="720" w:type="dxa"/>
            <w:noWrap/>
            <w:hideMark/>
          </w:tcPr>
          <w:p w14:paraId="487C51B5" w14:textId="77777777" w:rsidR="00FD3198" w:rsidRPr="000973F2" w:rsidRDefault="00FD3198" w:rsidP="00361080">
            <w:pPr>
              <w:tabs>
                <w:tab w:val="decimal" w:pos="286"/>
              </w:tabs>
              <w:spacing w:before="40" w:after="4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$0</w:t>
            </w:r>
          </w:p>
        </w:tc>
        <w:tc>
          <w:tcPr>
            <w:tcW w:w="795" w:type="dxa"/>
            <w:noWrap/>
            <w:hideMark/>
          </w:tcPr>
          <w:p w14:paraId="64576817" w14:textId="77777777" w:rsidR="00FD3198" w:rsidRPr="000973F2" w:rsidRDefault="00FD3198" w:rsidP="00361080">
            <w:pPr>
              <w:tabs>
                <w:tab w:val="decimal" w:pos="511"/>
              </w:tabs>
              <w:spacing w:before="40" w:after="4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 xml:space="preserve">$252 </w:t>
            </w:r>
          </w:p>
        </w:tc>
      </w:tr>
      <w:tr w:rsidR="00361080" w:rsidRPr="000973F2" w14:paraId="73213EC6" w14:textId="77777777" w:rsidTr="00361080">
        <w:trPr>
          <w:cantSplit/>
        </w:trPr>
        <w:tc>
          <w:tcPr>
            <w:cnfStyle w:val="001000000000" w:firstRow="0" w:lastRow="0" w:firstColumn="1" w:lastColumn="0" w:oddVBand="0" w:evenVBand="0" w:oddHBand="0" w:evenHBand="0" w:firstRowFirstColumn="0" w:firstRowLastColumn="0" w:lastRowFirstColumn="0" w:lastRowLastColumn="0"/>
            <w:tcW w:w="1425" w:type="dxa"/>
            <w:hideMark/>
          </w:tcPr>
          <w:p w14:paraId="461A9808" w14:textId="77777777" w:rsidR="00FD3198" w:rsidRPr="000973F2" w:rsidRDefault="00FD3198" w:rsidP="00361080">
            <w:pPr>
              <w:spacing w:before="40" w:after="4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Recordkeeping</w:t>
            </w:r>
          </w:p>
        </w:tc>
        <w:tc>
          <w:tcPr>
            <w:tcW w:w="798" w:type="dxa"/>
            <w:noWrap/>
            <w:hideMark/>
          </w:tcPr>
          <w:p w14:paraId="054740A1" w14:textId="77777777" w:rsidR="00FD3198" w:rsidRPr="000973F2" w:rsidRDefault="00FD3198" w:rsidP="00361080">
            <w:pPr>
              <w:tabs>
                <w:tab w:val="decimal" w:pos="286"/>
              </w:tabs>
              <w:spacing w:before="40" w:after="4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0</w:t>
            </w:r>
          </w:p>
        </w:tc>
        <w:tc>
          <w:tcPr>
            <w:tcW w:w="799" w:type="dxa"/>
            <w:noWrap/>
            <w:hideMark/>
          </w:tcPr>
          <w:p w14:paraId="19870C2D" w14:textId="77777777" w:rsidR="00FD3198" w:rsidRPr="000973F2" w:rsidRDefault="00FD3198" w:rsidP="00361080">
            <w:pPr>
              <w:tabs>
                <w:tab w:val="decimal" w:pos="286"/>
              </w:tabs>
              <w:spacing w:before="40" w:after="4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0</w:t>
            </w:r>
          </w:p>
        </w:tc>
        <w:tc>
          <w:tcPr>
            <w:tcW w:w="799" w:type="dxa"/>
            <w:noWrap/>
            <w:hideMark/>
          </w:tcPr>
          <w:p w14:paraId="6CEAC9DA" w14:textId="77777777" w:rsidR="00FD3198" w:rsidRPr="000973F2" w:rsidRDefault="00FD3198" w:rsidP="00361080">
            <w:pPr>
              <w:tabs>
                <w:tab w:val="decimal" w:pos="286"/>
              </w:tabs>
              <w:spacing w:before="40" w:after="4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0</w:t>
            </w:r>
          </w:p>
        </w:tc>
        <w:tc>
          <w:tcPr>
            <w:tcW w:w="799" w:type="dxa"/>
            <w:noWrap/>
            <w:hideMark/>
          </w:tcPr>
          <w:p w14:paraId="064E902F" w14:textId="77777777" w:rsidR="00FD3198" w:rsidRPr="000973F2" w:rsidRDefault="00FD3198" w:rsidP="00361080">
            <w:pPr>
              <w:tabs>
                <w:tab w:val="decimal" w:pos="286"/>
              </w:tabs>
              <w:spacing w:before="40" w:after="4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0.5</w:t>
            </w:r>
          </w:p>
        </w:tc>
        <w:tc>
          <w:tcPr>
            <w:tcW w:w="798" w:type="dxa"/>
            <w:noWrap/>
            <w:hideMark/>
          </w:tcPr>
          <w:p w14:paraId="0EFE026A" w14:textId="77777777" w:rsidR="00FD3198" w:rsidRPr="000973F2" w:rsidRDefault="00FD3198" w:rsidP="00361080">
            <w:pPr>
              <w:tabs>
                <w:tab w:val="decimal" w:pos="286"/>
              </w:tabs>
              <w:spacing w:before="40" w:after="4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0</w:t>
            </w:r>
          </w:p>
        </w:tc>
        <w:tc>
          <w:tcPr>
            <w:tcW w:w="799" w:type="dxa"/>
            <w:noWrap/>
            <w:hideMark/>
          </w:tcPr>
          <w:p w14:paraId="41AF5DD8" w14:textId="77777777" w:rsidR="00FD3198" w:rsidRPr="000973F2" w:rsidRDefault="00FD3198" w:rsidP="00361080">
            <w:pPr>
              <w:tabs>
                <w:tab w:val="decimal" w:pos="286"/>
              </w:tabs>
              <w:spacing w:before="40" w:after="4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5.0</w:t>
            </w:r>
          </w:p>
        </w:tc>
        <w:tc>
          <w:tcPr>
            <w:tcW w:w="799" w:type="dxa"/>
            <w:noWrap/>
            <w:hideMark/>
          </w:tcPr>
          <w:p w14:paraId="7FB0104A" w14:textId="77777777" w:rsidR="00FD3198" w:rsidRPr="000973F2" w:rsidRDefault="00FD3198" w:rsidP="00361080">
            <w:pPr>
              <w:tabs>
                <w:tab w:val="decimal" w:pos="286"/>
              </w:tabs>
              <w:spacing w:before="40" w:after="4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0</w:t>
            </w:r>
          </w:p>
        </w:tc>
        <w:tc>
          <w:tcPr>
            <w:tcW w:w="799" w:type="dxa"/>
            <w:noWrap/>
            <w:hideMark/>
          </w:tcPr>
          <w:p w14:paraId="206DEB82" w14:textId="77777777" w:rsidR="00FD3198" w:rsidRPr="000973F2" w:rsidRDefault="00FD3198" w:rsidP="00361080">
            <w:pPr>
              <w:tabs>
                <w:tab w:val="decimal" w:pos="286"/>
              </w:tabs>
              <w:spacing w:before="40" w:after="4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0.5</w:t>
            </w:r>
          </w:p>
        </w:tc>
        <w:tc>
          <w:tcPr>
            <w:tcW w:w="720" w:type="dxa"/>
            <w:noWrap/>
            <w:hideMark/>
          </w:tcPr>
          <w:p w14:paraId="33F0A12F" w14:textId="77777777" w:rsidR="00FD3198" w:rsidRPr="000973F2" w:rsidRDefault="00FD3198" w:rsidP="00361080">
            <w:pPr>
              <w:tabs>
                <w:tab w:val="decimal" w:pos="286"/>
              </w:tabs>
              <w:spacing w:before="40" w:after="4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$0</w:t>
            </w:r>
          </w:p>
        </w:tc>
        <w:tc>
          <w:tcPr>
            <w:tcW w:w="795" w:type="dxa"/>
            <w:noWrap/>
            <w:hideMark/>
          </w:tcPr>
          <w:p w14:paraId="31646270" w14:textId="77777777" w:rsidR="00FD3198" w:rsidRPr="000973F2" w:rsidRDefault="00FD3198" w:rsidP="00361080">
            <w:pPr>
              <w:tabs>
                <w:tab w:val="decimal" w:pos="511"/>
              </w:tabs>
              <w:spacing w:before="40" w:after="4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 xml:space="preserve">$419 </w:t>
            </w:r>
          </w:p>
        </w:tc>
      </w:tr>
      <w:tr w:rsidR="00361080" w:rsidRPr="000973F2" w14:paraId="198A30AF" w14:textId="77777777" w:rsidTr="00361080">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1425" w:type="dxa"/>
            <w:hideMark/>
          </w:tcPr>
          <w:p w14:paraId="5D7214D5" w14:textId="77777777" w:rsidR="00FD3198" w:rsidRPr="000973F2" w:rsidRDefault="00FD3198" w:rsidP="00361080">
            <w:pPr>
              <w:spacing w:before="40" w:after="4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Sampling and Analysis (Calculations)</w:t>
            </w:r>
          </w:p>
        </w:tc>
        <w:tc>
          <w:tcPr>
            <w:tcW w:w="798" w:type="dxa"/>
            <w:noWrap/>
            <w:hideMark/>
          </w:tcPr>
          <w:p w14:paraId="7C962696" w14:textId="77777777" w:rsidR="00FD3198" w:rsidRPr="000973F2" w:rsidRDefault="00FD3198" w:rsidP="00361080">
            <w:pPr>
              <w:tabs>
                <w:tab w:val="decimal" w:pos="286"/>
              </w:tabs>
              <w:spacing w:before="40" w:after="4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0</w:t>
            </w:r>
          </w:p>
        </w:tc>
        <w:tc>
          <w:tcPr>
            <w:tcW w:w="799" w:type="dxa"/>
            <w:noWrap/>
            <w:hideMark/>
          </w:tcPr>
          <w:p w14:paraId="27534852" w14:textId="77777777" w:rsidR="00FD3198" w:rsidRPr="000973F2" w:rsidRDefault="00FD3198" w:rsidP="00361080">
            <w:pPr>
              <w:tabs>
                <w:tab w:val="decimal" w:pos="286"/>
              </w:tabs>
              <w:spacing w:before="40" w:after="4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0</w:t>
            </w:r>
          </w:p>
        </w:tc>
        <w:tc>
          <w:tcPr>
            <w:tcW w:w="799" w:type="dxa"/>
            <w:noWrap/>
            <w:hideMark/>
          </w:tcPr>
          <w:p w14:paraId="410A4722" w14:textId="77777777" w:rsidR="00FD3198" w:rsidRPr="000973F2" w:rsidRDefault="00FD3198" w:rsidP="00361080">
            <w:pPr>
              <w:tabs>
                <w:tab w:val="decimal" w:pos="286"/>
              </w:tabs>
              <w:spacing w:before="40" w:after="4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0</w:t>
            </w:r>
          </w:p>
        </w:tc>
        <w:tc>
          <w:tcPr>
            <w:tcW w:w="799" w:type="dxa"/>
            <w:noWrap/>
            <w:hideMark/>
          </w:tcPr>
          <w:p w14:paraId="4257B8EB" w14:textId="77777777" w:rsidR="00FD3198" w:rsidRPr="000973F2" w:rsidRDefault="00FD3198" w:rsidP="00361080">
            <w:pPr>
              <w:tabs>
                <w:tab w:val="decimal" w:pos="286"/>
              </w:tabs>
              <w:spacing w:before="40" w:after="4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1</w:t>
            </w:r>
          </w:p>
        </w:tc>
        <w:tc>
          <w:tcPr>
            <w:tcW w:w="798" w:type="dxa"/>
            <w:noWrap/>
            <w:hideMark/>
          </w:tcPr>
          <w:p w14:paraId="3A5DF9D8" w14:textId="77777777" w:rsidR="00FD3198" w:rsidRPr="000973F2" w:rsidRDefault="00FD3198" w:rsidP="00361080">
            <w:pPr>
              <w:tabs>
                <w:tab w:val="decimal" w:pos="286"/>
              </w:tabs>
              <w:spacing w:before="40" w:after="4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0</w:t>
            </w:r>
          </w:p>
        </w:tc>
        <w:tc>
          <w:tcPr>
            <w:tcW w:w="799" w:type="dxa"/>
            <w:noWrap/>
            <w:hideMark/>
          </w:tcPr>
          <w:p w14:paraId="4246B194" w14:textId="77777777" w:rsidR="00FD3198" w:rsidRPr="000973F2" w:rsidRDefault="00FD3198" w:rsidP="00361080">
            <w:pPr>
              <w:tabs>
                <w:tab w:val="decimal" w:pos="286"/>
              </w:tabs>
              <w:spacing w:before="40" w:after="4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4.4</w:t>
            </w:r>
          </w:p>
        </w:tc>
        <w:tc>
          <w:tcPr>
            <w:tcW w:w="799" w:type="dxa"/>
            <w:noWrap/>
            <w:hideMark/>
          </w:tcPr>
          <w:p w14:paraId="2D175A00" w14:textId="77777777" w:rsidR="00FD3198" w:rsidRPr="000973F2" w:rsidRDefault="00FD3198" w:rsidP="00361080">
            <w:pPr>
              <w:tabs>
                <w:tab w:val="decimal" w:pos="286"/>
              </w:tabs>
              <w:spacing w:before="40" w:after="4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0</w:t>
            </w:r>
          </w:p>
        </w:tc>
        <w:tc>
          <w:tcPr>
            <w:tcW w:w="799" w:type="dxa"/>
            <w:noWrap/>
            <w:hideMark/>
          </w:tcPr>
          <w:p w14:paraId="73E486AB" w14:textId="77777777" w:rsidR="00FD3198" w:rsidRPr="000973F2" w:rsidRDefault="00FD3198" w:rsidP="00361080">
            <w:pPr>
              <w:tabs>
                <w:tab w:val="decimal" w:pos="286"/>
              </w:tabs>
              <w:spacing w:before="40" w:after="4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0</w:t>
            </w:r>
          </w:p>
        </w:tc>
        <w:tc>
          <w:tcPr>
            <w:tcW w:w="720" w:type="dxa"/>
            <w:noWrap/>
            <w:hideMark/>
          </w:tcPr>
          <w:p w14:paraId="210F31B4" w14:textId="77777777" w:rsidR="00FD3198" w:rsidRPr="000973F2" w:rsidRDefault="00FD3198" w:rsidP="00361080">
            <w:pPr>
              <w:tabs>
                <w:tab w:val="decimal" w:pos="286"/>
              </w:tabs>
              <w:spacing w:before="40" w:after="4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$0</w:t>
            </w:r>
          </w:p>
        </w:tc>
        <w:tc>
          <w:tcPr>
            <w:tcW w:w="795" w:type="dxa"/>
            <w:noWrap/>
            <w:hideMark/>
          </w:tcPr>
          <w:p w14:paraId="5EF2894D" w14:textId="77777777" w:rsidR="00FD3198" w:rsidRPr="000973F2" w:rsidRDefault="00FD3198" w:rsidP="00361080">
            <w:pPr>
              <w:tabs>
                <w:tab w:val="decimal" w:pos="511"/>
              </w:tabs>
              <w:spacing w:before="40" w:after="4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 xml:space="preserve">$402 </w:t>
            </w:r>
          </w:p>
        </w:tc>
      </w:tr>
      <w:tr w:rsidR="00361080" w:rsidRPr="000973F2" w14:paraId="4A40F86D" w14:textId="77777777" w:rsidTr="00361080">
        <w:trPr>
          <w:cantSplit/>
        </w:trPr>
        <w:tc>
          <w:tcPr>
            <w:cnfStyle w:val="001000000000" w:firstRow="0" w:lastRow="0" w:firstColumn="1" w:lastColumn="0" w:oddVBand="0" w:evenVBand="0" w:oddHBand="0" w:evenHBand="0" w:firstRowFirstColumn="0" w:firstRowLastColumn="0" w:lastRowFirstColumn="0" w:lastRowLastColumn="0"/>
            <w:tcW w:w="1425" w:type="dxa"/>
            <w:hideMark/>
          </w:tcPr>
          <w:p w14:paraId="657A57A7" w14:textId="77777777" w:rsidR="00FD3198" w:rsidRPr="000973F2" w:rsidRDefault="00FD3198" w:rsidP="00361080">
            <w:pPr>
              <w:spacing w:before="40" w:after="4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Reporting</w:t>
            </w:r>
          </w:p>
        </w:tc>
        <w:tc>
          <w:tcPr>
            <w:tcW w:w="798" w:type="dxa"/>
            <w:noWrap/>
            <w:hideMark/>
          </w:tcPr>
          <w:p w14:paraId="218196B5" w14:textId="77777777" w:rsidR="00FD3198" w:rsidRPr="000973F2" w:rsidRDefault="00FD3198" w:rsidP="00361080">
            <w:pPr>
              <w:tabs>
                <w:tab w:val="decimal" w:pos="286"/>
              </w:tabs>
              <w:spacing w:before="40" w:after="4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0</w:t>
            </w:r>
          </w:p>
        </w:tc>
        <w:tc>
          <w:tcPr>
            <w:tcW w:w="799" w:type="dxa"/>
            <w:noWrap/>
            <w:hideMark/>
          </w:tcPr>
          <w:p w14:paraId="037F6CF5" w14:textId="77777777" w:rsidR="00FD3198" w:rsidRPr="000973F2" w:rsidRDefault="00FD3198" w:rsidP="00361080">
            <w:pPr>
              <w:tabs>
                <w:tab w:val="decimal" w:pos="286"/>
              </w:tabs>
              <w:spacing w:before="40" w:after="4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0</w:t>
            </w:r>
          </w:p>
        </w:tc>
        <w:tc>
          <w:tcPr>
            <w:tcW w:w="799" w:type="dxa"/>
            <w:noWrap/>
            <w:hideMark/>
          </w:tcPr>
          <w:p w14:paraId="4A83A641" w14:textId="77777777" w:rsidR="00FD3198" w:rsidRPr="000973F2" w:rsidRDefault="00FD3198" w:rsidP="00361080">
            <w:pPr>
              <w:tabs>
                <w:tab w:val="decimal" w:pos="286"/>
              </w:tabs>
              <w:spacing w:before="40" w:after="4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0</w:t>
            </w:r>
          </w:p>
        </w:tc>
        <w:tc>
          <w:tcPr>
            <w:tcW w:w="799" w:type="dxa"/>
            <w:noWrap/>
            <w:hideMark/>
          </w:tcPr>
          <w:p w14:paraId="378DEEBF" w14:textId="77777777" w:rsidR="00FD3198" w:rsidRPr="000973F2" w:rsidRDefault="00FD3198" w:rsidP="00361080">
            <w:pPr>
              <w:tabs>
                <w:tab w:val="decimal" w:pos="286"/>
              </w:tabs>
              <w:spacing w:before="40" w:after="4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1</w:t>
            </w:r>
          </w:p>
        </w:tc>
        <w:tc>
          <w:tcPr>
            <w:tcW w:w="798" w:type="dxa"/>
            <w:noWrap/>
            <w:hideMark/>
          </w:tcPr>
          <w:p w14:paraId="5B0CD4C6" w14:textId="77777777" w:rsidR="00FD3198" w:rsidRPr="000973F2" w:rsidRDefault="00FD3198" w:rsidP="00361080">
            <w:pPr>
              <w:tabs>
                <w:tab w:val="decimal" w:pos="286"/>
              </w:tabs>
              <w:spacing w:before="40" w:after="4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0</w:t>
            </w:r>
          </w:p>
        </w:tc>
        <w:tc>
          <w:tcPr>
            <w:tcW w:w="799" w:type="dxa"/>
            <w:noWrap/>
            <w:hideMark/>
          </w:tcPr>
          <w:p w14:paraId="164BA366" w14:textId="77777777" w:rsidR="00FD3198" w:rsidRPr="000973F2" w:rsidRDefault="00FD3198" w:rsidP="00361080">
            <w:pPr>
              <w:tabs>
                <w:tab w:val="decimal" w:pos="286"/>
              </w:tabs>
              <w:spacing w:before="40" w:after="4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10.0</w:t>
            </w:r>
          </w:p>
        </w:tc>
        <w:tc>
          <w:tcPr>
            <w:tcW w:w="799" w:type="dxa"/>
            <w:noWrap/>
            <w:hideMark/>
          </w:tcPr>
          <w:p w14:paraId="6EC83002" w14:textId="77777777" w:rsidR="00FD3198" w:rsidRPr="000973F2" w:rsidRDefault="00FD3198" w:rsidP="00361080">
            <w:pPr>
              <w:tabs>
                <w:tab w:val="decimal" w:pos="286"/>
              </w:tabs>
              <w:spacing w:before="40" w:after="4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0</w:t>
            </w:r>
          </w:p>
        </w:tc>
        <w:tc>
          <w:tcPr>
            <w:tcW w:w="799" w:type="dxa"/>
            <w:noWrap/>
            <w:hideMark/>
          </w:tcPr>
          <w:p w14:paraId="10E6A029" w14:textId="77777777" w:rsidR="00FD3198" w:rsidRPr="000973F2" w:rsidRDefault="00FD3198" w:rsidP="00361080">
            <w:pPr>
              <w:tabs>
                <w:tab w:val="decimal" w:pos="286"/>
              </w:tabs>
              <w:spacing w:before="40" w:after="4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1.0</w:t>
            </w:r>
          </w:p>
        </w:tc>
        <w:tc>
          <w:tcPr>
            <w:tcW w:w="720" w:type="dxa"/>
            <w:noWrap/>
            <w:hideMark/>
          </w:tcPr>
          <w:p w14:paraId="7A9AF9DE" w14:textId="77777777" w:rsidR="00FD3198" w:rsidRPr="000973F2" w:rsidRDefault="00FD3198" w:rsidP="00361080">
            <w:pPr>
              <w:tabs>
                <w:tab w:val="decimal" w:pos="286"/>
              </w:tabs>
              <w:spacing w:before="40" w:after="4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$0</w:t>
            </w:r>
          </w:p>
        </w:tc>
        <w:tc>
          <w:tcPr>
            <w:tcW w:w="795" w:type="dxa"/>
            <w:noWrap/>
            <w:hideMark/>
          </w:tcPr>
          <w:p w14:paraId="2670A399" w14:textId="77777777" w:rsidR="00FD3198" w:rsidRPr="000973F2" w:rsidRDefault="00FD3198" w:rsidP="00361080">
            <w:pPr>
              <w:tabs>
                <w:tab w:val="decimal" w:pos="511"/>
              </w:tabs>
              <w:spacing w:before="40" w:after="4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 xml:space="preserve">$838 </w:t>
            </w:r>
          </w:p>
        </w:tc>
      </w:tr>
      <w:tr w:rsidR="00361080" w:rsidRPr="000973F2" w14:paraId="28098FED" w14:textId="77777777" w:rsidTr="00361080">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1425" w:type="dxa"/>
            <w:noWrap/>
            <w:hideMark/>
          </w:tcPr>
          <w:p w14:paraId="39875141" w14:textId="77777777" w:rsidR="00FD3198" w:rsidRPr="000973F2" w:rsidRDefault="00FD3198" w:rsidP="00361080">
            <w:pPr>
              <w:spacing w:before="40" w:after="40"/>
              <w:rPr>
                <w:rFonts w:ascii="Times New Roman" w:eastAsia="Times New Roman" w:hAnsi="Times New Roman" w:cs="Times New Roman"/>
                <w:b/>
                <w:bCs w:val="0"/>
                <w:sz w:val="18"/>
                <w:szCs w:val="18"/>
              </w:rPr>
            </w:pPr>
            <w:r w:rsidRPr="000973F2">
              <w:rPr>
                <w:rFonts w:ascii="Times New Roman" w:eastAsia="Times New Roman" w:hAnsi="Times New Roman" w:cs="Times New Roman"/>
                <w:b/>
                <w:sz w:val="18"/>
                <w:szCs w:val="18"/>
              </w:rPr>
              <w:t>Total</w:t>
            </w:r>
          </w:p>
        </w:tc>
        <w:tc>
          <w:tcPr>
            <w:tcW w:w="798" w:type="dxa"/>
            <w:noWrap/>
            <w:hideMark/>
          </w:tcPr>
          <w:p w14:paraId="1744F46C" w14:textId="77777777" w:rsidR="00FD3198" w:rsidRPr="000973F2" w:rsidRDefault="00FD3198" w:rsidP="00361080">
            <w:pPr>
              <w:tabs>
                <w:tab w:val="decimal" w:pos="286"/>
              </w:tabs>
              <w:spacing w:before="40" w:after="4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18"/>
                <w:szCs w:val="18"/>
              </w:rPr>
            </w:pPr>
            <w:r w:rsidRPr="000973F2">
              <w:rPr>
                <w:rFonts w:ascii="Times New Roman" w:eastAsia="Times New Roman" w:hAnsi="Times New Roman" w:cs="Times New Roman"/>
                <w:b/>
                <w:bCs/>
                <w:sz w:val="18"/>
                <w:szCs w:val="18"/>
              </w:rPr>
              <w:t>0</w:t>
            </w:r>
          </w:p>
        </w:tc>
        <w:tc>
          <w:tcPr>
            <w:tcW w:w="799" w:type="dxa"/>
            <w:noWrap/>
            <w:hideMark/>
          </w:tcPr>
          <w:p w14:paraId="4B61837D" w14:textId="77777777" w:rsidR="00FD3198" w:rsidRPr="000973F2" w:rsidRDefault="00FD3198" w:rsidP="00361080">
            <w:pPr>
              <w:tabs>
                <w:tab w:val="decimal" w:pos="286"/>
              </w:tabs>
              <w:spacing w:before="40" w:after="4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18"/>
                <w:szCs w:val="18"/>
              </w:rPr>
            </w:pPr>
            <w:r w:rsidRPr="000973F2">
              <w:rPr>
                <w:rFonts w:ascii="Times New Roman" w:eastAsia="Times New Roman" w:hAnsi="Times New Roman" w:cs="Times New Roman"/>
                <w:b/>
                <w:bCs/>
                <w:sz w:val="18"/>
                <w:szCs w:val="18"/>
              </w:rPr>
              <w:t>0.5</w:t>
            </w:r>
          </w:p>
        </w:tc>
        <w:tc>
          <w:tcPr>
            <w:tcW w:w="799" w:type="dxa"/>
            <w:noWrap/>
            <w:hideMark/>
          </w:tcPr>
          <w:p w14:paraId="76FE2B59" w14:textId="77777777" w:rsidR="00FD3198" w:rsidRPr="000973F2" w:rsidRDefault="00FD3198" w:rsidP="00361080">
            <w:pPr>
              <w:tabs>
                <w:tab w:val="decimal" w:pos="286"/>
              </w:tabs>
              <w:spacing w:before="40" w:after="4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18"/>
                <w:szCs w:val="18"/>
              </w:rPr>
            </w:pPr>
            <w:r w:rsidRPr="000973F2">
              <w:rPr>
                <w:rFonts w:ascii="Times New Roman" w:eastAsia="Times New Roman" w:hAnsi="Times New Roman" w:cs="Times New Roman"/>
                <w:b/>
                <w:bCs/>
                <w:sz w:val="18"/>
                <w:szCs w:val="18"/>
              </w:rPr>
              <w:t>0</w:t>
            </w:r>
          </w:p>
        </w:tc>
        <w:tc>
          <w:tcPr>
            <w:tcW w:w="799" w:type="dxa"/>
            <w:noWrap/>
            <w:hideMark/>
          </w:tcPr>
          <w:p w14:paraId="0FD1E67A" w14:textId="77777777" w:rsidR="00FD3198" w:rsidRPr="000973F2" w:rsidRDefault="00FD3198" w:rsidP="00361080">
            <w:pPr>
              <w:tabs>
                <w:tab w:val="decimal" w:pos="286"/>
              </w:tabs>
              <w:spacing w:before="40" w:after="4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18"/>
                <w:szCs w:val="18"/>
              </w:rPr>
            </w:pPr>
            <w:r w:rsidRPr="000973F2">
              <w:rPr>
                <w:rFonts w:ascii="Times New Roman" w:eastAsia="Times New Roman" w:hAnsi="Times New Roman" w:cs="Times New Roman"/>
                <w:b/>
                <w:bCs/>
                <w:sz w:val="18"/>
                <w:szCs w:val="18"/>
              </w:rPr>
              <w:t>3.6</w:t>
            </w:r>
          </w:p>
        </w:tc>
        <w:tc>
          <w:tcPr>
            <w:tcW w:w="798" w:type="dxa"/>
            <w:noWrap/>
            <w:hideMark/>
          </w:tcPr>
          <w:p w14:paraId="02839497" w14:textId="77777777" w:rsidR="00FD3198" w:rsidRPr="000973F2" w:rsidRDefault="00FD3198" w:rsidP="00361080">
            <w:pPr>
              <w:tabs>
                <w:tab w:val="decimal" w:pos="286"/>
              </w:tabs>
              <w:spacing w:before="40" w:after="4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18"/>
                <w:szCs w:val="18"/>
              </w:rPr>
            </w:pPr>
            <w:r w:rsidRPr="000973F2">
              <w:rPr>
                <w:rFonts w:ascii="Times New Roman" w:eastAsia="Times New Roman" w:hAnsi="Times New Roman" w:cs="Times New Roman"/>
                <w:b/>
                <w:bCs/>
                <w:sz w:val="18"/>
                <w:szCs w:val="18"/>
              </w:rPr>
              <w:t>0</w:t>
            </w:r>
          </w:p>
        </w:tc>
        <w:tc>
          <w:tcPr>
            <w:tcW w:w="799" w:type="dxa"/>
            <w:noWrap/>
            <w:hideMark/>
          </w:tcPr>
          <w:p w14:paraId="0CE81629" w14:textId="77777777" w:rsidR="00FD3198" w:rsidRPr="000973F2" w:rsidRDefault="00FD3198" w:rsidP="00361080">
            <w:pPr>
              <w:tabs>
                <w:tab w:val="decimal" w:pos="286"/>
              </w:tabs>
              <w:spacing w:before="40" w:after="4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18"/>
                <w:szCs w:val="18"/>
              </w:rPr>
            </w:pPr>
            <w:r w:rsidRPr="000973F2">
              <w:rPr>
                <w:rFonts w:ascii="Times New Roman" w:eastAsia="Times New Roman" w:hAnsi="Times New Roman" w:cs="Times New Roman"/>
                <w:b/>
                <w:bCs/>
                <w:sz w:val="18"/>
                <w:szCs w:val="18"/>
              </w:rPr>
              <w:t>22.7</w:t>
            </w:r>
          </w:p>
        </w:tc>
        <w:tc>
          <w:tcPr>
            <w:tcW w:w="799" w:type="dxa"/>
            <w:noWrap/>
            <w:hideMark/>
          </w:tcPr>
          <w:p w14:paraId="3EA6EA4E" w14:textId="77777777" w:rsidR="00FD3198" w:rsidRPr="000973F2" w:rsidRDefault="00FD3198" w:rsidP="00361080">
            <w:pPr>
              <w:tabs>
                <w:tab w:val="decimal" w:pos="286"/>
              </w:tabs>
              <w:spacing w:before="40" w:after="4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18"/>
                <w:szCs w:val="18"/>
              </w:rPr>
            </w:pPr>
            <w:r w:rsidRPr="000973F2">
              <w:rPr>
                <w:rFonts w:ascii="Times New Roman" w:eastAsia="Times New Roman" w:hAnsi="Times New Roman" w:cs="Times New Roman"/>
                <w:b/>
                <w:bCs/>
                <w:sz w:val="18"/>
                <w:szCs w:val="18"/>
              </w:rPr>
              <w:t>0</w:t>
            </w:r>
          </w:p>
        </w:tc>
        <w:tc>
          <w:tcPr>
            <w:tcW w:w="799" w:type="dxa"/>
            <w:noWrap/>
            <w:hideMark/>
          </w:tcPr>
          <w:p w14:paraId="247780C7" w14:textId="77777777" w:rsidR="00FD3198" w:rsidRPr="000973F2" w:rsidRDefault="00FD3198" w:rsidP="00361080">
            <w:pPr>
              <w:tabs>
                <w:tab w:val="decimal" w:pos="286"/>
              </w:tabs>
              <w:spacing w:before="40" w:after="4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18"/>
                <w:szCs w:val="18"/>
              </w:rPr>
            </w:pPr>
            <w:r w:rsidRPr="000973F2">
              <w:rPr>
                <w:rFonts w:ascii="Times New Roman" w:eastAsia="Times New Roman" w:hAnsi="Times New Roman" w:cs="Times New Roman"/>
                <w:b/>
                <w:bCs/>
                <w:sz w:val="18"/>
                <w:szCs w:val="18"/>
              </w:rPr>
              <w:t>1.6</w:t>
            </w:r>
          </w:p>
        </w:tc>
        <w:tc>
          <w:tcPr>
            <w:tcW w:w="720" w:type="dxa"/>
            <w:noWrap/>
            <w:hideMark/>
          </w:tcPr>
          <w:p w14:paraId="179423AB" w14:textId="77777777" w:rsidR="00FD3198" w:rsidRPr="000973F2" w:rsidRDefault="00FD3198" w:rsidP="00361080">
            <w:pPr>
              <w:tabs>
                <w:tab w:val="decimal" w:pos="286"/>
              </w:tabs>
              <w:spacing w:before="40" w:after="4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18"/>
                <w:szCs w:val="18"/>
              </w:rPr>
            </w:pPr>
            <w:r w:rsidRPr="000973F2">
              <w:rPr>
                <w:rFonts w:ascii="Times New Roman" w:eastAsia="Times New Roman" w:hAnsi="Times New Roman" w:cs="Times New Roman"/>
                <w:b/>
                <w:bCs/>
                <w:sz w:val="18"/>
                <w:szCs w:val="18"/>
              </w:rPr>
              <w:t xml:space="preserve">$0 </w:t>
            </w:r>
          </w:p>
        </w:tc>
        <w:tc>
          <w:tcPr>
            <w:tcW w:w="795" w:type="dxa"/>
            <w:noWrap/>
            <w:hideMark/>
          </w:tcPr>
          <w:p w14:paraId="292914A4" w14:textId="77777777" w:rsidR="00FD3198" w:rsidRPr="000973F2" w:rsidRDefault="00FD3198" w:rsidP="00361080">
            <w:pPr>
              <w:tabs>
                <w:tab w:val="decimal" w:pos="511"/>
              </w:tabs>
              <w:spacing w:before="40" w:after="4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18"/>
                <w:szCs w:val="18"/>
              </w:rPr>
            </w:pPr>
            <w:r w:rsidRPr="000973F2">
              <w:rPr>
                <w:rFonts w:ascii="Times New Roman" w:eastAsia="Times New Roman" w:hAnsi="Times New Roman" w:cs="Times New Roman"/>
                <w:b/>
                <w:bCs/>
                <w:sz w:val="18"/>
                <w:szCs w:val="18"/>
              </w:rPr>
              <w:t xml:space="preserve">$2,051 </w:t>
            </w:r>
          </w:p>
        </w:tc>
      </w:tr>
    </w:tbl>
    <w:p w14:paraId="11E3415B" w14:textId="77777777" w:rsidR="00FD3198" w:rsidRPr="000973F2" w:rsidRDefault="00FD3198" w:rsidP="00C00E4F">
      <w:pPr>
        <w:spacing w:line="240" w:lineRule="auto"/>
        <w:rPr>
          <w:rFonts w:ascii="Times New Roman" w:hAnsi="Times New Roman" w:cs="Times New Roman"/>
          <w:color w:val="FF0000"/>
        </w:rPr>
      </w:pPr>
    </w:p>
    <w:p w14:paraId="564EF3C2" w14:textId="77777777" w:rsidR="00FD3198" w:rsidRPr="000973F2" w:rsidRDefault="00FD3198" w:rsidP="00C00E4F">
      <w:pPr>
        <w:spacing w:line="240" w:lineRule="auto"/>
        <w:rPr>
          <w:rFonts w:ascii="Times New Roman" w:hAnsi="Times New Roman" w:cs="Times New Roman"/>
          <w:b/>
          <w:i/>
          <w:iCs/>
        </w:rPr>
      </w:pPr>
      <w:r w:rsidRPr="000973F2">
        <w:rPr>
          <w:rFonts w:ascii="Times New Roman" w:hAnsi="Times New Roman" w:cs="Times New Roman"/>
          <w:b/>
          <w:i/>
          <w:iCs/>
        </w:rPr>
        <w:br w:type="page"/>
      </w:r>
    </w:p>
    <w:p w14:paraId="2DEA400E" w14:textId="77777777" w:rsidR="00FD3198" w:rsidRPr="000973F2" w:rsidRDefault="00FD3198" w:rsidP="0061585D">
      <w:pPr>
        <w:pStyle w:val="Heading2"/>
      </w:pPr>
      <w:r w:rsidRPr="000973F2">
        <w:t>Capital and O&amp;M Costs for Subpart AA</w:t>
      </w:r>
    </w:p>
    <w:p w14:paraId="0EA8261E" w14:textId="78D623F8" w:rsidR="00FD3198" w:rsidRPr="000973F2" w:rsidRDefault="00FD3198" w:rsidP="0071032D">
      <w:pPr>
        <w:pStyle w:val="BodyText"/>
      </w:pPr>
      <w:r w:rsidRPr="000973F2">
        <w:t xml:space="preserve">Table </w:t>
      </w:r>
      <w:r w:rsidR="0071032D" w:rsidRPr="000973F2">
        <w:t>AA-</w:t>
      </w:r>
      <w:r w:rsidRPr="000973F2">
        <w:t xml:space="preserve">2 summarizes the capital and </w:t>
      </w:r>
      <w:r w:rsidR="00896D77" w:rsidRPr="000973F2">
        <w:t>O&amp;M</w:t>
      </w:r>
      <w:r w:rsidRPr="000973F2">
        <w:t xml:space="preserve"> costs for Subpart AA. Typical costs related to recordkeeping are discussed in the Cost Appendix Introduction. The largest cost for Subpart AA is for facilities to characterize their spent pulping liquor by sending a sample to an off</w:t>
      </w:r>
      <w:r w:rsidR="00051F9B">
        <w:t>site</w:t>
      </w:r>
      <w:r w:rsidRPr="000973F2">
        <w:t xml:space="preserve"> lab for a carbon analysis. The average cost of this analysis is $192.</w:t>
      </w:r>
      <w:r w:rsidR="00896D77" w:rsidRPr="000973F2">
        <w:t xml:space="preserve"> No capital costs are expected.</w:t>
      </w:r>
    </w:p>
    <w:p w14:paraId="63CAF5E2" w14:textId="7655FC81" w:rsidR="00FD3198" w:rsidRPr="000973F2" w:rsidRDefault="00F427B2" w:rsidP="0071032D">
      <w:pPr>
        <w:pStyle w:val="Tabletitle"/>
        <w:rPr>
          <w:sz w:val="24"/>
        </w:rPr>
      </w:pPr>
      <w:r w:rsidRPr="000973F2">
        <w:t xml:space="preserve">Table </w:t>
      </w:r>
      <w:r w:rsidR="0071032D" w:rsidRPr="000973F2">
        <w:t>AA-</w:t>
      </w:r>
      <w:r w:rsidRPr="000973F2">
        <w:t xml:space="preserve">2. Capital and O&amp;M Costs </w:t>
      </w:r>
      <w:r w:rsidR="00B960CC" w:rsidRPr="000973F2">
        <w:t>–</w:t>
      </w:r>
      <w:r w:rsidRPr="000973F2">
        <w:t xml:space="preserve"> </w:t>
      </w:r>
      <w:r w:rsidR="00840B87" w:rsidRPr="000973F2">
        <w:t>Subpart AA</w:t>
      </w:r>
    </w:p>
    <w:tbl>
      <w:tblPr>
        <w:tblStyle w:val="PlainTable1"/>
        <w:tblW w:w="5000" w:type="pct"/>
        <w:jc w:val="left"/>
        <w:tblLayout w:type="fixed"/>
        <w:tblCellMar>
          <w:left w:w="115" w:type="dxa"/>
          <w:right w:w="115" w:type="dxa"/>
        </w:tblCellMar>
        <w:tblLook w:val="04A0" w:firstRow="1" w:lastRow="0" w:firstColumn="1" w:lastColumn="0" w:noHBand="0" w:noVBand="1"/>
      </w:tblPr>
      <w:tblGrid>
        <w:gridCol w:w="2021"/>
        <w:gridCol w:w="1261"/>
        <w:gridCol w:w="1262"/>
        <w:gridCol w:w="1261"/>
        <w:gridCol w:w="1303"/>
        <w:gridCol w:w="1220"/>
        <w:gridCol w:w="1262"/>
      </w:tblGrid>
      <w:tr w:rsidR="00D17312" w:rsidRPr="000973F2" w14:paraId="40C74C33" w14:textId="77777777" w:rsidTr="0071032D">
        <w:trPr>
          <w:cnfStyle w:val="100000000000" w:firstRow="1" w:lastRow="0" w:firstColumn="0" w:lastColumn="0" w:oddVBand="0" w:evenVBand="0" w:oddHBand="0" w:evenHBand="0" w:firstRowFirstColumn="0" w:firstRowLastColumn="0" w:lastRowFirstColumn="0" w:lastRowLastColumn="0"/>
          <w:cantSplit/>
          <w:jc w:val="left"/>
        </w:trPr>
        <w:tc>
          <w:tcPr>
            <w:cnfStyle w:val="001000000000" w:firstRow="0" w:lastRow="0" w:firstColumn="1" w:lastColumn="0" w:oddVBand="0" w:evenVBand="0" w:oddHBand="0" w:evenHBand="0" w:firstRowFirstColumn="0" w:firstRowLastColumn="0" w:lastRowFirstColumn="0" w:lastRowLastColumn="0"/>
            <w:tcW w:w="1965" w:type="dxa"/>
            <w:vMerge w:val="restart"/>
            <w:noWrap/>
            <w:vAlign w:val="top"/>
            <w:hideMark/>
          </w:tcPr>
          <w:p w14:paraId="62D36129" w14:textId="7034DCB7" w:rsidR="00D17312" w:rsidRPr="000973F2" w:rsidRDefault="00D17312" w:rsidP="0071032D">
            <w:pPr>
              <w:spacing w:before="40" w:after="40"/>
              <w:rPr>
                <w:rFonts w:ascii="Times New Roman" w:eastAsia="Times New Roman" w:hAnsi="Times New Roman" w:cs="Times New Roman"/>
                <w:bCs w:val="0"/>
                <w:sz w:val="18"/>
                <w:szCs w:val="18"/>
              </w:rPr>
            </w:pPr>
            <w:r w:rsidRPr="000973F2">
              <w:rPr>
                <w:rFonts w:ascii="Times New Roman" w:eastAsia="Times New Roman" w:hAnsi="Times New Roman" w:cs="Times New Roman"/>
                <w:bCs w:val="0"/>
                <w:sz w:val="18"/>
                <w:szCs w:val="18"/>
              </w:rPr>
              <w:t>Activity</w:t>
            </w:r>
          </w:p>
        </w:tc>
        <w:tc>
          <w:tcPr>
            <w:tcW w:w="4950" w:type="dxa"/>
            <w:gridSpan w:val="4"/>
            <w:noWrap/>
            <w:vAlign w:val="top"/>
            <w:hideMark/>
          </w:tcPr>
          <w:p w14:paraId="62435548" w14:textId="77777777" w:rsidR="00D17312" w:rsidRPr="000973F2" w:rsidRDefault="00D17312" w:rsidP="0071032D">
            <w:pPr>
              <w:spacing w:before="40" w:after="40"/>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Cs w:val="0"/>
                <w:sz w:val="18"/>
                <w:szCs w:val="18"/>
              </w:rPr>
            </w:pPr>
            <w:r w:rsidRPr="000973F2">
              <w:rPr>
                <w:rFonts w:ascii="Times New Roman" w:eastAsia="Times New Roman" w:hAnsi="Times New Roman" w:cs="Times New Roman"/>
                <w:bCs w:val="0"/>
                <w:sz w:val="18"/>
                <w:szCs w:val="18"/>
              </w:rPr>
              <w:t>Cost Categories</w:t>
            </w:r>
          </w:p>
        </w:tc>
        <w:tc>
          <w:tcPr>
            <w:tcW w:w="2415" w:type="dxa"/>
            <w:gridSpan w:val="2"/>
            <w:vAlign w:val="top"/>
            <w:hideMark/>
          </w:tcPr>
          <w:p w14:paraId="4C2BA0DE" w14:textId="77777777" w:rsidR="00D17312" w:rsidRPr="000973F2" w:rsidRDefault="00D17312" w:rsidP="0071032D">
            <w:pPr>
              <w:spacing w:before="40" w:after="40"/>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Cs w:val="0"/>
                <w:sz w:val="18"/>
                <w:szCs w:val="18"/>
              </w:rPr>
            </w:pPr>
            <w:r w:rsidRPr="000973F2">
              <w:rPr>
                <w:rFonts w:ascii="Times New Roman" w:eastAsia="Times New Roman" w:hAnsi="Times New Roman" w:cs="Times New Roman"/>
                <w:bCs w:val="0"/>
                <w:sz w:val="18"/>
                <w:szCs w:val="18"/>
              </w:rPr>
              <w:t>Total Capital and O&amp;M Cost per Year per Facility (2017$)</w:t>
            </w:r>
          </w:p>
        </w:tc>
      </w:tr>
      <w:tr w:rsidR="00D17312" w:rsidRPr="000973F2" w14:paraId="15886E86" w14:textId="77777777" w:rsidTr="0071032D">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1965" w:type="dxa"/>
            <w:vMerge/>
            <w:noWrap/>
            <w:hideMark/>
          </w:tcPr>
          <w:p w14:paraId="38C31B6B" w14:textId="610CA663" w:rsidR="00D17312" w:rsidRPr="000973F2" w:rsidRDefault="00D17312" w:rsidP="0071032D">
            <w:pPr>
              <w:spacing w:before="40" w:after="40"/>
              <w:jc w:val="center"/>
              <w:rPr>
                <w:rFonts w:ascii="Times New Roman" w:eastAsia="Times New Roman" w:hAnsi="Times New Roman" w:cs="Times New Roman"/>
                <w:b/>
                <w:bCs w:val="0"/>
                <w:sz w:val="18"/>
                <w:szCs w:val="18"/>
              </w:rPr>
            </w:pPr>
          </w:p>
        </w:tc>
        <w:tc>
          <w:tcPr>
            <w:tcW w:w="1227" w:type="dxa"/>
            <w:hideMark/>
          </w:tcPr>
          <w:p w14:paraId="2FFF9803" w14:textId="77777777" w:rsidR="00D17312" w:rsidRPr="000973F2" w:rsidRDefault="00D17312" w:rsidP="0071032D">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18"/>
                <w:szCs w:val="18"/>
              </w:rPr>
            </w:pPr>
            <w:r w:rsidRPr="000973F2">
              <w:rPr>
                <w:rFonts w:ascii="Times New Roman" w:eastAsia="Times New Roman" w:hAnsi="Times New Roman" w:cs="Times New Roman"/>
                <w:b/>
                <w:bCs/>
                <w:sz w:val="18"/>
                <w:szCs w:val="18"/>
              </w:rPr>
              <w:t>Capital Cost (2017$)</w:t>
            </w:r>
          </w:p>
        </w:tc>
        <w:tc>
          <w:tcPr>
            <w:tcW w:w="1228" w:type="dxa"/>
            <w:hideMark/>
          </w:tcPr>
          <w:p w14:paraId="7B777125" w14:textId="77777777" w:rsidR="00D17312" w:rsidRPr="000973F2" w:rsidRDefault="00D17312" w:rsidP="0071032D">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18"/>
                <w:szCs w:val="18"/>
              </w:rPr>
            </w:pPr>
            <w:r w:rsidRPr="000973F2">
              <w:rPr>
                <w:rFonts w:ascii="Times New Roman" w:eastAsia="Times New Roman" w:hAnsi="Times New Roman" w:cs="Times New Roman"/>
                <w:b/>
                <w:bCs/>
                <w:sz w:val="18"/>
                <w:szCs w:val="18"/>
              </w:rPr>
              <w:t>Equipment Lifetime</w:t>
            </w:r>
          </w:p>
        </w:tc>
        <w:tc>
          <w:tcPr>
            <w:tcW w:w="1227" w:type="dxa"/>
            <w:hideMark/>
          </w:tcPr>
          <w:p w14:paraId="303C9247" w14:textId="77777777" w:rsidR="00D17312" w:rsidRPr="000973F2" w:rsidRDefault="00D17312" w:rsidP="0071032D">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18"/>
                <w:szCs w:val="18"/>
              </w:rPr>
            </w:pPr>
            <w:r w:rsidRPr="000973F2">
              <w:rPr>
                <w:rFonts w:ascii="Times New Roman" w:eastAsia="Times New Roman" w:hAnsi="Times New Roman" w:cs="Times New Roman"/>
                <w:b/>
                <w:bCs/>
                <w:sz w:val="18"/>
                <w:szCs w:val="18"/>
              </w:rPr>
              <w:t>Annualized Capital Cost (2017$/year)</w:t>
            </w:r>
          </w:p>
        </w:tc>
        <w:tc>
          <w:tcPr>
            <w:tcW w:w="1268" w:type="dxa"/>
            <w:hideMark/>
          </w:tcPr>
          <w:p w14:paraId="1EC46EC2" w14:textId="77777777" w:rsidR="00D17312" w:rsidRPr="000973F2" w:rsidRDefault="00D17312" w:rsidP="0071032D">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18"/>
                <w:szCs w:val="18"/>
              </w:rPr>
            </w:pPr>
            <w:r w:rsidRPr="000973F2">
              <w:rPr>
                <w:rFonts w:ascii="Times New Roman" w:eastAsia="Times New Roman" w:hAnsi="Times New Roman" w:cs="Times New Roman"/>
                <w:b/>
                <w:bCs/>
                <w:sz w:val="18"/>
                <w:szCs w:val="18"/>
              </w:rPr>
              <w:t>O&amp;M Costs (2017$/year)</w:t>
            </w:r>
          </w:p>
        </w:tc>
        <w:tc>
          <w:tcPr>
            <w:tcW w:w="1187" w:type="dxa"/>
            <w:hideMark/>
          </w:tcPr>
          <w:p w14:paraId="70D9CE75" w14:textId="108FEF6C" w:rsidR="00D17312" w:rsidRPr="000973F2" w:rsidRDefault="00D17312" w:rsidP="0071032D">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18"/>
                <w:szCs w:val="18"/>
              </w:rPr>
            </w:pPr>
            <w:r w:rsidRPr="000973F2">
              <w:rPr>
                <w:rFonts w:ascii="Times New Roman" w:eastAsia="Times New Roman" w:hAnsi="Times New Roman" w:cs="Times New Roman"/>
                <w:b/>
                <w:bCs/>
                <w:sz w:val="18"/>
                <w:szCs w:val="18"/>
              </w:rPr>
              <w:t>Initial</w:t>
            </w:r>
            <w:r w:rsidR="0071032D" w:rsidRPr="000973F2">
              <w:rPr>
                <w:rFonts w:ascii="Times New Roman" w:eastAsia="Times New Roman" w:hAnsi="Times New Roman" w:cs="Times New Roman"/>
                <w:b/>
                <w:bCs/>
                <w:sz w:val="18"/>
                <w:szCs w:val="18"/>
              </w:rPr>
              <w:br/>
            </w:r>
            <w:r w:rsidRPr="000973F2">
              <w:rPr>
                <w:rFonts w:ascii="Times New Roman" w:eastAsia="Times New Roman" w:hAnsi="Times New Roman" w:cs="Times New Roman"/>
                <w:b/>
                <w:bCs/>
                <w:sz w:val="18"/>
                <w:szCs w:val="18"/>
              </w:rPr>
              <w:t>Year</w:t>
            </w:r>
          </w:p>
        </w:tc>
        <w:tc>
          <w:tcPr>
            <w:tcW w:w="1228" w:type="dxa"/>
            <w:hideMark/>
          </w:tcPr>
          <w:p w14:paraId="6ED2515E" w14:textId="77777777" w:rsidR="00D17312" w:rsidRPr="000973F2" w:rsidRDefault="00D17312" w:rsidP="0071032D">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18"/>
                <w:szCs w:val="18"/>
              </w:rPr>
            </w:pPr>
            <w:r w:rsidRPr="000973F2">
              <w:rPr>
                <w:rFonts w:ascii="Times New Roman" w:eastAsia="Times New Roman" w:hAnsi="Times New Roman" w:cs="Times New Roman"/>
                <w:b/>
                <w:bCs/>
                <w:sz w:val="18"/>
                <w:szCs w:val="18"/>
              </w:rPr>
              <w:t>Subseq. Years</w:t>
            </w:r>
          </w:p>
        </w:tc>
      </w:tr>
      <w:tr w:rsidR="0071032D" w:rsidRPr="000973F2" w14:paraId="7C77DB0A" w14:textId="77777777" w:rsidTr="0071032D">
        <w:trPr>
          <w:cantSplit/>
        </w:trPr>
        <w:tc>
          <w:tcPr>
            <w:cnfStyle w:val="001000000000" w:firstRow="0" w:lastRow="0" w:firstColumn="1" w:lastColumn="0" w:oddVBand="0" w:evenVBand="0" w:oddHBand="0" w:evenHBand="0" w:firstRowFirstColumn="0" w:firstRowLastColumn="0" w:lastRowFirstColumn="0" w:lastRowLastColumn="0"/>
            <w:tcW w:w="1965" w:type="dxa"/>
            <w:hideMark/>
          </w:tcPr>
          <w:p w14:paraId="2E04C965" w14:textId="77777777" w:rsidR="0071032D" w:rsidRPr="000973F2" w:rsidRDefault="0071032D" w:rsidP="0071032D">
            <w:pPr>
              <w:spacing w:before="40" w:after="4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Equipment (selection, purchase, installation)</w:t>
            </w:r>
          </w:p>
        </w:tc>
        <w:tc>
          <w:tcPr>
            <w:tcW w:w="1227" w:type="dxa"/>
            <w:noWrap/>
            <w:hideMark/>
          </w:tcPr>
          <w:p w14:paraId="08AF02CF" w14:textId="7A58192E" w:rsidR="0071032D" w:rsidRPr="000973F2" w:rsidRDefault="0071032D" w:rsidP="0071032D">
            <w:pPr>
              <w:spacing w:before="40" w:after="4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w:t>
            </w:r>
          </w:p>
        </w:tc>
        <w:tc>
          <w:tcPr>
            <w:tcW w:w="1228" w:type="dxa"/>
            <w:noWrap/>
          </w:tcPr>
          <w:p w14:paraId="3D0B6DE1" w14:textId="6EC27C7C" w:rsidR="0071032D" w:rsidRPr="000973F2" w:rsidRDefault="0071032D" w:rsidP="0071032D">
            <w:pPr>
              <w:spacing w:before="40" w:after="4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p>
        </w:tc>
        <w:tc>
          <w:tcPr>
            <w:tcW w:w="1227" w:type="dxa"/>
            <w:noWrap/>
            <w:hideMark/>
          </w:tcPr>
          <w:p w14:paraId="7A8330CB" w14:textId="1D15A7E9" w:rsidR="0071032D" w:rsidRPr="000973F2" w:rsidRDefault="0071032D" w:rsidP="0071032D">
            <w:pPr>
              <w:spacing w:before="40" w:after="4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w:t>
            </w:r>
          </w:p>
        </w:tc>
        <w:tc>
          <w:tcPr>
            <w:tcW w:w="1268" w:type="dxa"/>
            <w:noWrap/>
            <w:hideMark/>
          </w:tcPr>
          <w:p w14:paraId="15F3D6B5" w14:textId="1CF1185C" w:rsidR="0071032D" w:rsidRPr="000973F2" w:rsidRDefault="0071032D" w:rsidP="0071032D">
            <w:pPr>
              <w:spacing w:before="40" w:after="4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w:t>
            </w:r>
          </w:p>
        </w:tc>
        <w:tc>
          <w:tcPr>
            <w:tcW w:w="1187" w:type="dxa"/>
            <w:noWrap/>
            <w:hideMark/>
          </w:tcPr>
          <w:p w14:paraId="46809414" w14:textId="0B98DCB4" w:rsidR="0071032D" w:rsidRPr="000973F2" w:rsidRDefault="0071032D" w:rsidP="0071032D">
            <w:pPr>
              <w:spacing w:before="40" w:after="4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w:t>
            </w:r>
          </w:p>
        </w:tc>
        <w:tc>
          <w:tcPr>
            <w:tcW w:w="1228" w:type="dxa"/>
            <w:noWrap/>
            <w:hideMark/>
          </w:tcPr>
          <w:p w14:paraId="4DBD9131" w14:textId="2249C4C0" w:rsidR="0071032D" w:rsidRPr="000973F2" w:rsidRDefault="0071032D" w:rsidP="0071032D">
            <w:pPr>
              <w:spacing w:before="40" w:after="4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w:t>
            </w:r>
          </w:p>
        </w:tc>
      </w:tr>
      <w:tr w:rsidR="0071032D" w:rsidRPr="000973F2" w14:paraId="0456E3C9" w14:textId="77777777" w:rsidTr="0071032D">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1965" w:type="dxa"/>
            <w:hideMark/>
          </w:tcPr>
          <w:p w14:paraId="1D1B1176" w14:textId="77777777" w:rsidR="0071032D" w:rsidRPr="000973F2" w:rsidRDefault="0071032D" w:rsidP="0071032D">
            <w:pPr>
              <w:spacing w:before="40" w:after="4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Performance testing</w:t>
            </w:r>
          </w:p>
        </w:tc>
        <w:tc>
          <w:tcPr>
            <w:tcW w:w="1227" w:type="dxa"/>
            <w:noWrap/>
            <w:hideMark/>
          </w:tcPr>
          <w:p w14:paraId="3279950A" w14:textId="2521C059" w:rsidR="0071032D" w:rsidRPr="000973F2" w:rsidRDefault="0071032D" w:rsidP="0071032D">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w:t>
            </w:r>
          </w:p>
        </w:tc>
        <w:tc>
          <w:tcPr>
            <w:tcW w:w="1228" w:type="dxa"/>
            <w:noWrap/>
          </w:tcPr>
          <w:p w14:paraId="7D576ACF" w14:textId="362E8814" w:rsidR="0071032D" w:rsidRPr="000973F2" w:rsidRDefault="0071032D" w:rsidP="0071032D">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p>
        </w:tc>
        <w:tc>
          <w:tcPr>
            <w:tcW w:w="1227" w:type="dxa"/>
            <w:noWrap/>
            <w:hideMark/>
          </w:tcPr>
          <w:p w14:paraId="1DA980A9" w14:textId="779E819F" w:rsidR="0071032D" w:rsidRPr="000973F2" w:rsidRDefault="0071032D" w:rsidP="0071032D">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w:t>
            </w:r>
          </w:p>
        </w:tc>
        <w:tc>
          <w:tcPr>
            <w:tcW w:w="1268" w:type="dxa"/>
            <w:noWrap/>
            <w:hideMark/>
          </w:tcPr>
          <w:p w14:paraId="0AB997CF" w14:textId="072254B7" w:rsidR="0071032D" w:rsidRPr="000973F2" w:rsidRDefault="0071032D" w:rsidP="0071032D">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w:t>
            </w:r>
          </w:p>
        </w:tc>
        <w:tc>
          <w:tcPr>
            <w:tcW w:w="1187" w:type="dxa"/>
            <w:noWrap/>
            <w:hideMark/>
          </w:tcPr>
          <w:p w14:paraId="0D018D76" w14:textId="788A0C0C" w:rsidR="0071032D" w:rsidRPr="000973F2" w:rsidRDefault="0071032D" w:rsidP="0071032D">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w:t>
            </w:r>
          </w:p>
        </w:tc>
        <w:tc>
          <w:tcPr>
            <w:tcW w:w="1228" w:type="dxa"/>
            <w:noWrap/>
            <w:hideMark/>
          </w:tcPr>
          <w:p w14:paraId="0F9C9042" w14:textId="402E2B0F" w:rsidR="0071032D" w:rsidRPr="000973F2" w:rsidRDefault="0071032D" w:rsidP="0071032D">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w:t>
            </w:r>
          </w:p>
        </w:tc>
      </w:tr>
      <w:tr w:rsidR="00647390" w:rsidRPr="000973F2" w14:paraId="55883848" w14:textId="77777777" w:rsidTr="0071032D">
        <w:trPr>
          <w:cantSplit/>
        </w:trPr>
        <w:tc>
          <w:tcPr>
            <w:cnfStyle w:val="001000000000" w:firstRow="0" w:lastRow="0" w:firstColumn="1" w:lastColumn="0" w:oddVBand="0" w:evenVBand="0" w:oddHBand="0" w:evenHBand="0" w:firstRowFirstColumn="0" w:firstRowLastColumn="0" w:lastRowFirstColumn="0" w:lastRowLastColumn="0"/>
            <w:tcW w:w="1965" w:type="dxa"/>
            <w:hideMark/>
          </w:tcPr>
          <w:p w14:paraId="146D4527" w14:textId="77777777" w:rsidR="00FD3198" w:rsidRPr="000973F2" w:rsidRDefault="00FD3198" w:rsidP="0071032D">
            <w:pPr>
              <w:spacing w:before="40" w:after="4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Recordkeeping</w:t>
            </w:r>
          </w:p>
        </w:tc>
        <w:tc>
          <w:tcPr>
            <w:tcW w:w="1227" w:type="dxa"/>
            <w:noWrap/>
            <w:hideMark/>
          </w:tcPr>
          <w:p w14:paraId="3F02A64F" w14:textId="77777777" w:rsidR="00FD3198" w:rsidRPr="000973F2" w:rsidRDefault="00FD3198" w:rsidP="0071032D">
            <w:pPr>
              <w:spacing w:before="40" w:after="4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$0</w:t>
            </w:r>
          </w:p>
        </w:tc>
        <w:tc>
          <w:tcPr>
            <w:tcW w:w="1228" w:type="dxa"/>
            <w:noWrap/>
          </w:tcPr>
          <w:p w14:paraId="63B306EE" w14:textId="77777777" w:rsidR="00FD3198" w:rsidRPr="000973F2" w:rsidRDefault="00FD3198" w:rsidP="0071032D">
            <w:pPr>
              <w:spacing w:before="40" w:after="4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p>
        </w:tc>
        <w:tc>
          <w:tcPr>
            <w:tcW w:w="1227" w:type="dxa"/>
            <w:noWrap/>
            <w:hideMark/>
          </w:tcPr>
          <w:p w14:paraId="661DB751" w14:textId="77777777" w:rsidR="00FD3198" w:rsidRPr="000973F2" w:rsidRDefault="00FD3198" w:rsidP="0071032D">
            <w:pPr>
              <w:spacing w:before="40" w:after="4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$0</w:t>
            </w:r>
          </w:p>
        </w:tc>
        <w:tc>
          <w:tcPr>
            <w:tcW w:w="1268" w:type="dxa"/>
            <w:noWrap/>
            <w:hideMark/>
          </w:tcPr>
          <w:p w14:paraId="1D0E9CFB" w14:textId="77777777" w:rsidR="00FD3198" w:rsidRPr="000973F2" w:rsidRDefault="00FD3198" w:rsidP="0071032D">
            <w:pPr>
              <w:spacing w:before="40" w:after="4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$50</w:t>
            </w:r>
          </w:p>
        </w:tc>
        <w:tc>
          <w:tcPr>
            <w:tcW w:w="1187" w:type="dxa"/>
            <w:noWrap/>
            <w:hideMark/>
          </w:tcPr>
          <w:p w14:paraId="54A91B01" w14:textId="77777777" w:rsidR="00FD3198" w:rsidRPr="000973F2" w:rsidRDefault="00FD3198" w:rsidP="0071032D">
            <w:pPr>
              <w:spacing w:before="40" w:after="4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$0</w:t>
            </w:r>
          </w:p>
        </w:tc>
        <w:tc>
          <w:tcPr>
            <w:tcW w:w="1228" w:type="dxa"/>
            <w:noWrap/>
            <w:hideMark/>
          </w:tcPr>
          <w:p w14:paraId="767DDCB0" w14:textId="77777777" w:rsidR="00FD3198" w:rsidRPr="000973F2" w:rsidRDefault="00FD3198" w:rsidP="0071032D">
            <w:pPr>
              <w:spacing w:before="40" w:after="4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$50</w:t>
            </w:r>
          </w:p>
        </w:tc>
      </w:tr>
      <w:tr w:rsidR="0071032D" w:rsidRPr="000973F2" w14:paraId="721B57DA" w14:textId="77777777" w:rsidTr="0071032D">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1965" w:type="dxa"/>
            <w:hideMark/>
          </w:tcPr>
          <w:p w14:paraId="65E4152B" w14:textId="77777777" w:rsidR="0071032D" w:rsidRPr="000973F2" w:rsidRDefault="0071032D" w:rsidP="0071032D">
            <w:pPr>
              <w:spacing w:before="40" w:after="4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Travel</w:t>
            </w:r>
          </w:p>
        </w:tc>
        <w:tc>
          <w:tcPr>
            <w:tcW w:w="1227" w:type="dxa"/>
            <w:noWrap/>
            <w:hideMark/>
          </w:tcPr>
          <w:p w14:paraId="7A0D0BDA" w14:textId="76407EA8" w:rsidR="0071032D" w:rsidRPr="000973F2" w:rsidRDefault="0071032D" w:rsidP="0071032D">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w:t>
            </w:r>
          </w:p>
        </w:tc>
        <w:tc>
          <w:tcPr>
            <w:tcW w:w="1228" w:type="dxa"/>
            <w:noWrap/>
          </w:tcPr>
          <w:p w14:paraId="618CA65A" w14:textId="32272861" w:rsidR="0071032D" w:rsidRPr="000973F2" w:rsidRDefault="0071032D" w:rsidP="0071032D">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p>
        </w:tc>
        <w:tc>
          <w:tcPr>
            <w:tcW w:w="1227" w:type="dxa"/>
            <w:noWrap/>
            <w:hideMark/>
          </w:tcPr>
          <w:p w14:paraId="6BD6A3C8" w14:textId="78D7AC90" w:rsidR="0071032D" w:rsidRPr="000973F2" w:rsidRDefault="0071032D" w:rsidP="0071032D">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w:t>
            </w:r>
          </w:p>
        </w:tc>
        <w:tc>
          <w:tcPr>
            <w:tcW w:w="1268" w:type="dxa"/>
            <w:noWrap/>
            <w:hideMark/>
          </w:tcPr>
          <w:p w14:paraId="24562EBD" w14:textId="04CFCE2C" w:rsidR="0071032D" w:rsidRPr="000973F2" w:rsidRDefault="0071032D" w:rsidP="0071032D">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w:t>
            </w:r>
          </w:p>
        </w:tc>
        <w:tc>
          <w:tcPr>
            <w:tcW w:w="1187" w:type="dxa"/>
            <w:noWrap/>
            <w:hideMark/>
          </w:tcPr>
          <w:p w14:paraId="194BBE89" w14:textId="352ABEE4" w:rsidR="0071032D" w:rsidRPr="000973F2" w:rsidRDefault="0071032D" w:rsidP="0071032D">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w:t>
            </w:r>
          </w:p>
        </w:tc>
        <w:tc>
          <w:tcPr>
            <w:tcW w:w="1228" w:type="dxa"/>
            <w:noWrap/>
            <w:hideMark/>
          </w:tcPr>
          <w:p w14:paraId="09D95840" w14:textId="01F352F7" w:rsidR="0071032D" w:rsidRPr="000973F2" w:rsidRDefault="0071032D" w:rsidP="0071032D">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w:t>
            </w:r>
          </w:p>
        </w:tc>
      </w:tr>
      <w:tr w:rsidR="00647390" w:rsidRPr="000973F2" w14:paraId="4DBD7D20" w14:textId="77777777" w:rsidTr="0071032D">
        <w:trPr>
          <w:cantSplit/>
        </w:trPr>
        <w:tc>
          <w:tcPr>
            <w:cnfStyle w:val="001000000000" w:firstRow="0" w:lastRow="0" w:firstColumn="1" w:lastColumn="0" w:oddVBand="0" w:evenVBand="0" w:oddHBand="0" w:evenHBand="0" w:firstRowFirstColumn="0" w:firstRowLastColumn="0" w:lastRowFirstColumn="0" w:lastRowLastColumn="0"/>
            <w:tcW w:w="1965" w:type="dxa"/>
            <w:hideMark/>
          </w:tcPr>
          <w:p w14:paraId="1E0646C6" w14:textId="2A446981" w:rsidR="00FD3198" w:rsidRPr="000973F2" w:rsidRDefault="00FD3198" w:rsidP="0071032D">
            <w:pPr>
              <w:spacing w:before="40" w:after="4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 xml:space="preserve">Sampling </w:t>
            </w:r>
            <w:r w:rsidR="00321129" w:rsidRPr="000973F2">
              <w:rPr>
                <w:rFonts w:ascii="Times New Roman" w:eastAsia="Times New Roman" w:hAnsi="Times New Roman" w:cs="Times New Roman"/>
                <w:sz w:val="18"/>
                <w:szCs w:val="18"/>
              </w:rPr>
              <w:t xml:space="preserve">and Analysis </w:t>
            </w:r>
            <w:r w:rsidRPr="000973F2">
              <w:rPr>
                <w:rFonts w:ascii="Times New Roman" w:eastAsia="Times New Roman" w:hAnsi="Times New Roman" w:cs="Times New Roman"/>
                <w:sz w:val="18"/>
                <w:szCs w:val="18"/>
              </w:rPr>
              <w:t>Costs</w:t>
            </w:r>
          </w:p>
        </w:tc>
        <w:tc>
          <w:tcPr>
            <w:tcW w:w="1227" w:type="dxa"/>
            <w:noWrap/>
            <w:hideMark/>
          </w:tcPr>
          <w:p w14:paraId="71D5E814" w14:textId="77777777" w:rsidR="00FD3198" w:rsidRPr="000973F2" w:rsidRDefault="00FD3198" w:rsidP="0071032D">
            <w:pPr>
              <w:spacing w:before="40" w:after="4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$0</w:t>
            </w:r>
          </w:p>
        </w:tc>
        <w:tc>
          <w:tcPr>
            <w:tcW w:w="1228" w:type="dxa"/>
            <w:noWrap/>
          </w:tcPr>
          <w:p w14:paraId="3635326A" w14:textId="77777777" w:rsidR="00FD3198" w:rsidRPr="000973F2" w:rsidRDefault="00FD3198" w:rsidP="0071032D">
            <w:pPr>
              <w:spacing w:before="40" w:after="4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p>
        </w:tc>
        <w:tc>
          <w:tcPr>
            <w:tcW w:w="1227" w:type="dxa"/>
            <w:noWrap/>
            <w:hideMark/>
          </w:tcPr>
          <w:p w14:paraId="31DBDCC2" w14:textId="77777777" w:rsidR="00FD3198" w:rsidRPr="000973F2" w:rsidRDefault="00FD3198" w:rsidP="0071032D">
            <w:pPr>
              <w:spacing w:before="40" w:after="4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$0</w:t>
            </w:r>
          </w:p>
        </w:tc>
        <w:tc>
          <w:tcPr>
            <w:tcW w:w="1268" w:type="dxa"/>
            <w:noWrap/>
            <w:hideMark/>
          </w:tcPr>
          <w:p w14:paraId="5AB0C68E" w14:textId="77777777" w:rsidR="00FD3198" w:rsidRPr="000973F2" w:rsidRDefault="00FD3198" w:rsidP="0071032D">
            <w:pPr>
              <w:spacing w:before="40" w:after="4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$192</w:t>
            </w:r>
          </w:p>
        </w:tc>
        <w:tc>
          <w:tcPr>
            <w:tcW w:w="1187" w:type="dxa"/>
            <w:noWrap/>
            <w:hideMark/>
          </w:tcPr>
          <w:p w14:paraId="4ABE2BBF" w14:textId="77777777" w:rsidR="00FD3198" w:rsidRPr="000973F2" w:rsidRDefault="00FD3198" w:rsidP="0071032D">
            <w:pPr>
              <w:spacing w:before="40" w:after="4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$0</w:t>
            </w:r>
          </w:p>
        </w:tc>
        <w:tc>
          <w:tcPr>
            <w:tcW w:w="1228" w:type="dxa"/>
            <w:noWrap/>
            <w:hideMark/>
          </w:tcPr>
          <w:p w14:paraId="7CA12962" w14:textId="77777777" w:rsidR="00FD3198" w:rsidRPr="000973F2" w:rsidRDefault="00FD3198" w:rsidP="0071032D">
            <w:pPr>
              <w:spacing w:before="40" w:after="4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$192</w:t>
            </w:r>
          </w:p>
        </w:tc>
      </w:tr>
      <w:tr w:rsidR="00647390" w:rsidRPr="000973F2" w14:paraId="3EA1B49A" w14:textId="77777777" w:rsidTr="0071032D">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1965" w:type="dxa"/>
            <w:hideMark/>
          </w:tcPr>
          <w:p w14:paraId="79761D72" w14:textId="77777777" w:rsidR="00FD3198" w:rsidRPr="000973F2" w:rsidRDefault="00FD3198" w:rsidP="0071032D">
            <w:pPr>
              <w:spacing w:before="40" w:after="40"/>
              <w:rPr>
                <w:rFonts w:ascii="Times New Roman" w:eastAsia="Times New Roman" w:hAnsi="Times New Roman" w:cs="Times New Roman"/>
                <w:b/>
                <w:bCs w:val="0"/>
                <w:sz w:val="18"/>
                <w:szCs w:val="18"/>
              </w:rPr>
            </w:pPr>
            <w:r w:rsidRPr="000973F2">
              <w:rPr>
                <w:rFonts w:ascii="Times New Roman" w:eastAsia="Times New Roman" w:hAnsi="Times New Roman" w:cs="Times New Roman"/>
                <w:b/>
                <w:sz w:val="18"/>
                <w:szCs w:val="18"/>
              </w:rPr>
              <w:t xml:space="preserve">Total </w:t>
            </w:r>
          </w:p>
        </w:tc>
        <w:tc>
          <w:tcPr>
            <w:tcW w:w="1227" w:type="dxa"/>
            <w:noWrap/>
            <w:hideMark/>
          </w:tcPr>
          <w:p w14:paraId="4354A30A" w14:textId="77777777" w:rsidR="00FD3198" w:rsidRPr="000973F2" w:rsidRDefault="00FD3198" w:rsidP="0071032D">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$0</w:t>
            </w:r>
          </w:p>
        </w:tc>
        <w:tc>
          <w:tcPr>
            <w:tcW w:w="1228" w:type="dxa"/>
            <w:noWrap/>
          </w:tcPr>
          <w:p w14:paraId="20FF7D98" w14:textId="60F23D41" w:rsidR="00FD3198" w:rsidRPr="000973F2" w:rsidRDefault="00FD3198" w:rsidP="0071032D">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p>
        </w:tc>
        <w:tc>
          <w:tcPr>
            <w:tcW w:w="1227" w:type="dxa"/>
            <w:noWrap/>
            <w:hideMark/>
          </w:tcPr>
          <w:p w14:paraId="0481E439" w14:textId="77777777" w:rsidR="00FD3198" w:rsidRPr="000973F2" w:rsidRDefault="00FD3198" w:rsidP="0071032D">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$0</w:t>
            </w:r>
          </w:p>
        </w:tc>
        <w:tc>
          <w:tcPr>
            <w:tcW w:w="1268" w:type="dxa"/>
            <w:noWrap/>
            <w:hideMark/>
          </w:tcPr>
          <w:p w14:paraId="061D146F" w14:textId="77777777" w:rsidR="00FD3198" w:rsidRPr="000973F2" w:rsidRDefault="00FD3198" w:rsidP="0071032D">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$242</w:t>
            </w:r>
          </w:p>
        </w:tc>
        <w:tc>
          <w:tcPr>
            <w:tcW w:w="1187" w:type="dxa"/>
            <w:noWrap/>
            <w:hideMark/>
          </w:tcPr>
          <w:p w14:paraId="24A5A2DE" w14:textId="77777777" w:rsidR="00FD3198" w:rsidRPr="000973F2" w:rsidRDefault="00FD3198" w:rsidP="0071032D">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$0</w:t>
            </w:r>
          </w:p>
        </w:tc>
        <w:tc>
          <w:tcPr>
            <w:tcW w:w="1228" w:type="dxa"/>
            <w:noWrap/>
            <w:hideMark/>
          </w:tcPr>
          <w:p w14:paraId="0165EF80" w14:textId="77777777" w:rsidR="00FD3198" w:rsidRPr="000973F2" w:rsidRDefault="00FD3198" w:rsidP="0071032D">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$242</w:t>
            </w:r>
          </w:p>
        </w:tc>
      </w:tr>
    </w:tbl>
    <w:p w14:paraId="1EE90BE7" w14:textId="77777777" w:rsidR="0071032D" w:rsidRPr="000973F2" w:rsidRDefault="0071032D" w:rsidP="00C00E4F">
      <w:pPr>
        <w:spacing w:line="240" w:lineRule="auto"/>
        <w:rPr>
          <w:rFonts w:ascii="Times New Roman" w:hAnsi="Times New Roman" w:cs="Times New Roman"/>
          <w:b/>
          <w:i/>
          <w:iCs/>
        </w:rPr>
      </w:pPr>
      <w:bookmarkStart w:id="53" w:name="_Hlk522800504"/>
    </w:p>
    <w:p w14:paraId="268E312D" w14:textId="154F5127" w:rsidR="00FD3198" w:rsidRPr="000973F2" w:rsidRDefault="00FD3198" w:rsidP="0061585D">
      <w:pPr>
        <w:pStyle w:val="Heading2"/>
      </w:pPr>
      <w:r w:rsidRPr="000973F2">
        <w:t>Total Costs for Subpart AA</w:t>
      </w:r>
      <w:r w:rsidRPr="000973F2" w:rsidDel="00350388">
        <w:t xml:space="preserve"> </w:t>
      </w:r>
      <w:bookmarkEnd w:id="53"/>
    </w:p>
    <w:p w14:paraId="38014FAF" w14:textId="7283509B" w:rsidR="00FD3198" w:rsidRPr="000973F2" w:rsidRDefault="00FD3198" w:rsidP="0071032D">
      <w:pPr>
        <w:pStyle w:val="BodyText"/>
      </w:pPr>
      <w:r w:rsidRPr="000973F2">
        <w:t xml:space="preserve">The total industry costs related to Subpart AA are approximately $245,000 per year for a total of $736,000 over the three-year period </w:t>
      </w:r>
      <w:r w:rsidR="00896D77" w:rsidRPr="000973F2">
        <w:t>covered by this</w:t>
      </w:r>
      <w:r w:rsidRPr="000973F2">
        <w:t xml:space="preserve"> ICR. Approximately 107 facilities are expected to report in 2019, 2020, and 2021.</w:t>
      </w:r>
    </w:p>
    <w:p w14:paraId="383A5BA0" w14:textId="38DCC7FC" w:rsidR="00FD3198" w:rsidRPr="000973F2" w:rsidRDefault="00FD3198" w:rsidP="00C00E4F">
      <w:pPr>
        <w:spacing w:line="240" w:lineRule="auto"/>
        <w:rPr>
          <w:rFonts w:ascii="Times New Roman" w:hAnsi="Times New Roman" w:cs="Times New Roman"/>
        </w:rPr>
      </w:pPr>
      <w:r w:rsidRPr="000973F2">
        <w:rPr>
          <w:rFonts w:ascii="Times New Roman" w:hAnsi="Times New Roman" w:cs="Times New Roman"/>
        </w:rPr>
        <w:br w:type="page"/>
      </w:r>
    </w:p>
    <w:p w14:paraId="47423C0E" w14:textId="77777777" w:rsidR="00A91665" w:rsidRPr="000973F2" w:rsidRDefault="00A91665" w:rsidP="00C00E4F">
      <w:pPr>
        <w:pStyle w:val="Heading1"/>
        <w:spacing w:line="240" w:lineRule="auto"/>
      </w:pPr>
      <w:bookmarkStart w:id="54" w:name="_Toc10715619"/>
      <w:r w:rsidRPr="000973F2">
        <w:t>Cost Appendix for Subpart BB – Silicon Carbide Production</w:t>
      </w:r>
      <w:bookmarkEnd w:id="54"/>
    </w:p>
    <w:p w14:paraId="5306ADD7" w14:textId="77777777" w:rsidR="00A91665" w:rsidRPr="000973F2" w:rsidRDefault="00A91665" w:rsidP="0071032D">
      <w:pPr>
        <w:pStyle w:val="Heading2"/>
      </w:pPr>
      <w:r w:rsidRPr="000973F2">
        <w:t>Description of Subpart BB</w:t>
      </w:r>
    </w:p>
    <w:p w14:paraId="4247F942" w14:textId="6C548FB0" w:rsidR="00A91665" w:rsidRPr="000973F2" w:rsidRDefault="00A91665" w:rsidP="0071032D">
      <w:pPr>
        <w:pStyle w:val="BodyText"/>
      </w:pPr>
      <w:r w:rsidRPr="000973F2">
        <w:t xml:space="preserve">For the purposes of the GHGRP, silicon carbide production involves the production of industrial abrasives from silica sand or quartz and petroleum coke. For RY2017, one silicon carbide production facility reported to Subpart BB. The number of silicon carbide production facilities has not changed since the inception of the program. Based on the available information, no new facilities are expected to begin operation during the </w:t>
      </w:r>
      <w:r w:rsidR="00937577" w:rsidRPr="000973F2">
        <w:t>three-year</w:t>
      </w:r>
      <w:r w:rsidRPr="000973F2">
        <w:t xml:space="preserve"> period</w:t>
      </w:r>
      <w:r w:rsidR="00937577" w:rsidRPr="000973F2">
        <w:t xml:space="preserve"> covered by this ICR</w:t>
      </w:r>
      <w:r w:rsidRPr="000973F2">
        <w:t xml:space="preserve">. Initial year hours and costs apply to new facilities; therefore, these costs are zero in the tables below. </w:t>
      </w:r>
    </w:p>
    <w:p w14:paraId="5E321EE2" w14:textId="77777777" w:rsidR="00A91665" w:rsidRPr="000973F2" w:rsidRDefault="00A91665" w:rsidP="0061585D">
      <w:pPr>
        <w:pStyle w:val="Heading2"/>
      </w:pPr>
      <w:r w:rsidRPr="000973F2">
        <w:t>Labor Costs for Subpart BB</w:t>
      </w:r>
    </w:p>
    <w:p w14:paraId="43D7B000" w14:textId="6E968315" w:rsidR="00A91665" w:rsidRPr="000973F2" w:rsidRDefault="00A91665" w:rsidP="0071032D">
      <w:pPr>
        <w:pStyle w:val="BodyText"/>
      </w:pPr>
      <w:r w:rsidRPr="000973F2">
        <w:t xml:space="preserve">Table </w:t>
      </w:r>
      <w:r w:rsidR="0071032D" w:rsidRPr="000973F2">
        <w:t>BB-</w:t>
      </w:r>
      <w:r w:rsidRPr="000973F2">
        <w:t xml:space="preserve">1 below includes the labor hours for Subpart BB. Typical activities for each of the labor activities are discussed in the Cost Appendix Introduction. Recordkeeping and reporting hours </w:t>
      </w:r>
      <w:r w:rsidR="00DD34D2" w:rsidRPr="000973F2">
        <w:t>are based on</w:t>
      </w:r>
      <w:r w:rsidRPr="000973F2">
        <w:t xml:space="preserve"> the “medium bin”</w:t>
      </w:r>
      <w:r w:rsidR="00DD34D2" w:rsidRPr="000973F2">
        <w:t xml:space="preserve"> designation.</w:t>
      </w:r>
      <w:r w:rsidRPr="000973F2">
        <w:t xml:space="preserve"> Sampling and analysis (calculations) hours include completion of the measurements and calculations in </w:t>
      </w:r>
      <w:r w:rsidR="0012538C" w:rsidRPr="000973F2">
        <w:t>§</w:t>
      </w:r>
      <w:r w:rsidRPr="000973F2">
        <w:t>98.283.</w:t>
      </w:r>
    </w:p>
    <w:p w14:paraId="25D32BC0" w14:textId="3AC5A834" w:rsidR="00A91665" w:rsidRPr="000973F2" w:rsidRDefault="000802FB" w:rsidP="0071032D">
      <w:pPr>
        <w:pStyle w:val="Tabletitle"/>
      </w:pPr>
      <w:r w:rsidRPr="000973F2">
        <w:t xml:space="preserve">Table </w:t>
      </w:r>
      <w:r w:rsidR="0071032D" w:rsidRPr="000973F2">
        <w:t>BB-</w:t>
      </w:r>
      <w:r w:rsidRPr="000973F2">
        <w:t xml:space="preserve">1. Labor Costs </w:t>
      </w:r>
      <w:r w:rsidR="00B960CC" w:rsidRPr="000973F2">
        <w:t>–</w:t>
      </w:r>
      <w:r w:rsidRPr="000973F2">
        <w:t xml:space="preserve"> </w:t>
      </w:r>
      <w:r w:rsidR="00A91665" w:rsidRPr="000973F2">
        <w:t>Subpart BB</w:t>
      </w:r>
    </w:p>
    <w:tbl>
      <w:tblPr>
        <w:tblStyle w:val="PlainTable1"/>
        <w:tblW w:w="5000" w:type="pct"/>
        <w:jc w:val="left"/>
        <w:tblLayout w:type="fixed"/>
        <w:tblCellMar>
          <w:left w:w="115" w:type="dxa"/>
          <w:right w:w="115" w:type="dxa"/>
        </w:tblCellMar>
        <w:tblLook w:val="04A0" w:firstRow="1" w:lastRow="0" w:firstColumn="1" w:lastColumn="0" w:noHBand="0" w:noVBand="1"/>
      </w:tblPr>
      <w:tblGrid>
        <w:gridCol w:w="1373"/>
        <w:gridCol w:w="829"/>
        <w:gridCol w:w="830"/>
        <w:gridCol w:w="828"/>
        <w:gridCol w:w="829"/>
        <w:gridCol w:w="829"/>
        <w:gridCol w:w="828"/>
        <w:gridCol w:w="829"/>
        <w:gridCol w:w="829"/>
        <w:gridCol w:w="693"/>
        <w:gridCol w:w="870"/>
        <w:gridCol w:w="23"/>
      </w:tblGrid>
      <w:tr w:rsidR="00A91665" w:rsidRPr="000973F2" w14:paraId="74F32A01" w14:textId="77777777" w:rsidTr="0071032D">
        <w:trPr>
          <w:cnfStyle w:val="100000000000" w:firstRow="1" w:lastRow="0" w:firstColumn="0" w:lastColumn="0" w:oddVBand="0" w:evenVBand="0" w:oddHBand="0" w:evenHBand="0" w:firstRowFirstColumn="0" w:firstRowLastColumn="0" w:lastRowFirstColumn="0" w:lastRowLastColumn="0"/>
          <w:cantSplit/>
          <w:jc w:val="left"/>
        </w:trPr>
        <w:tc>
          <w:tcPr>
            <w:cnfStyle w:val="001000000000" w:firstRow="0" w:lastRow="0" w:firstColumn="1" w:lastColumn="0" w:oddVBand="0" w:evenVBand="0" w:oddHBand="0" w:evenHBand="0" w:firstRowFirstColumn="0" w:firstRowLastColumn="0" w:lastRowFirstColumn="0" w:lastRowLastColumn="0"/>
            <w:tcW w:w="1335" w:type="dxa"/>
            <w:vMerge w:val="restart"/>
            <w:noWrap/>
            <w:vAlign w:val="top"/>
            <w:hideMark/>
          </w:tcPr>
          <w:p w14:paraId="31421A2D" w14:textId="77777777" w:rsidR="00A91665" w:rsidRPr="000973F2" w:rsidRDefault="00A91665" w:rsidP="0071032D">
            <w:pPr>
              <w:spacing w:before="40" w:after="40"/>
              <w:rPr>
                <w:rFonts w:ascii="Times New Roman" w:hAnsi="Times New Roman" w:cs="Times New Roman"/>
                <w:b w:val="0"/>
                <w:bCs w:val="0"/>
                <w:sz w:val="18"/>
                <w:szCs w:val="18"/>
              </w:rPr>
            </w:pPr>
            <w:r w:rsidRPr="000973F2">
              <w:rPr>
                <w:rFonts w:ascii="Times New Roman" w:hAnsi="Times New Roman" w:cs="Times New Roman"/>
                <w:sz w:val="18"/>
                <w:szCs w:val="18"/>
              </w:rPr>
              <w:t>Activity</w:t>
            </w:r>
          </w:p>
        </w:tc>
        <w:tc>
          <w:tcPr>
            <w:tcW w:w="6453" w:type="dxa"/>
            <w:gridSpan w:val="8"/>
            <w:noWrap/>
            <w:vAlign w:val="top"/>
            <w:hideMark/>
          </w:tcPr>
          <w:p w14:paraId="4FF2F761" w14:textId="77777777" w:rsidR="00A91665" w:rsidRPr="000973F2" w:rsidRDefault="00A91665" w:rsidP="0071032D">
            <w:pPr>
              <w:spacing w:before="40" w:after="40"/>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sz w:val="18"/>
                <w:szCs w:val="18"/>
              </w:rPr>
            </w:pPr>
            <w:r w:rsidRPr="000973F2">
              <w:rPr>
                <w:rFonts w:ascii="Times New Roman" w:hAnsi="Times New Roman" w:cs="Times New Roman"/>
                <w:sz w:val="18"/>
                <w:szCs w:val="18"/>
              </w:rPr>
              <w:t>Labor Rates (per hour)</w:t>
            </w:r>
          </w:p>
        </w:tc>
        <w:tc>
          <w:tcPr>
            <w:tcW w:w="1542" w:type="dxa"/>
            <w:gridSpan w:val="3"/>
            <w:vMerge w:val="restart"/>
            <w:vAlign w:val="top"/>
            <w:hideMark/>
          </w:tcPr>
          <w:p w14:paraId="37092592" w14:textId="77777777" w:rsidR="00A91665" w:rsidRPr="000973F2" w:rsidRDefault="00A91665" w:rsidP="0071032D">
            <w:pPr>
              <w:spacing w:before="40" w:after="40"/>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sz w:val="18"/>
                <w:szCs w:val="18"/>
              </w:rPr>
            </w:pPr>
            <w:r w:rsidRPr="000973F2">
              <w:rPr>
                <w:rFonts w:ascii="Times New Roman" w:hAnsi="Times New Roman" w:cs="Times New Roman"/>
                <w:sz w:val="18"/>
                <w:szCs w:val="18"/>
              </w:rPr>
              <w:t>Total Labor Cost per Year per Facility (2017$)</w:t>
            </w:r>
          </w:p>
        </w:tc>
      </w:tr>
      <w:tr w:rsidR="00A91665" w:rsidRPr="000973F2" w14:paraId="4586D457" w14:textId="77777777" w:rsidTr="0071032D">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1335" w:type="dxa"/>
            <w:vMerge/>
            <w:hideMark/>
          </w:tcPr>
          <w:p w14:paraId="2F9F4BA5" w14:textId="77777777" w:rsidR="00A91665" w:rsidRPr="000973F2" w:rsidRDefault="00A91665" w:rsidP="0071032D">
            <w:pPr>
              <w:spacing w:before="40" w:after="40"/>
              <w:jc w:val="center"/>
              <w:rPr>
                <w:rFonts w:ascii="Times New Roman" w:hAnsi="Times New Roman" w:cs="Times New Roman"/>
                <w:b/>
                <w:bCs w:val="0"/>
                <w:sz w:val="18"/>
                <w:szCs w:val="18"/>
              </w:rPr>
            </w:pPr>
          </w:p>
        </w:tc>
        <w:tc>
          <w:tcPr>
            <w:tcW w:w="1613" w:type="dxa"/>
            <w:gridSpan w:val="2"/>
            <w:noWrap/>
            <w:hideMark/>
          </w:tcPr>
          <w:p w14:paraId="0D25C659" w14:textId="77777777" w:rsidR="00A91665" w:rsidRPr="000973F2" w:rsidRDefault="00A91665" w:rsidP="0071032D">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18"/>
                <w:szCs w:val="18"/>
              </w:rPr>
            </w:pPr>
            <w:r w:rsidRPr="000973F2">
              <w:rPr>
                <w:rFonts w:ascii="Times New Roman" w:hAnsi="Times New Roman" w:cs="Times New Roman"/>
                <w:b/>
                <w:bCs/>
                <w:sz w:val="18"/>
                <w:szCs w:val="18"/>
              </w:rPr>
              <w:t>Lawyer</w:t>
            </w:r>
          </w:p>
        </w:tc>
        <w:tc>
          <w:tcPr>
            <w:tcW w:w="1613" w:type="dxa"/>
            <w:gridSpan w:val="2"/>
            <w:noWrap/>
            <w:hideMark/>
          </w:tcPr>
          <w:p w14:paraId="7D36E9CB" w14:textId="77777777" w:rsidR="00A91665" w:rsidRPr="000973F2" w:rsidRDefault="00A91665" w:rsidP="0071032D">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18"/>
                <w:szCs w:val="18"/>
              </w:rPr>
            </w:pPr>
            <w:r w:rsidRPr="000973F2">
              <w:rPr>
                <w:rFonts w:ascii="Times New Roman" w:hAnsi="Times New Roman" w:cs="Times New Roman"/>
                <w:b/>
                <w:bCs/>
                <w:sz w:val="18"/>
                <w:szCs w:val="18"/>
              </w:rPr>
              <w:t>Industrial Manager</w:t>
            </w:r>
          </w:p>
        </w:tc>
        <w:tc>
          <w:tcPr>
            <w:tcW w:w="1613" w:type="dxa"/>
            <w:gridSpan w:val="2"/>
            <w:hideMark/>
          </w:tcPr>
          <w:p w14:paraId="1BF297ED" w14:textId="695F4B74" w:rsidR="00A91665" w:rsidRPr="000973F2" w:rsidRDefault="00A91665" w:rsidP="0071032D">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18"/>
                <w:szCs w:val="18"/>
              </w:rPr>
            </w:pPr>
            <w:r w:rsidRPr="000973F2">
              <w:rPr>
                <w:rFonts w:ascii="Times New Roman" w:hAnsi="Times New Roman" w:cs="Times New Roman"/>
                <w:b/>
                <w:bCs/>
                <w:sz w:val="18"/>
                <w:szCs w:val="18"/>
              </w:rPr>
              <w:t>Industrial Engineer/</w:t>
            </w:r>
            <w:r w:rsidR="0071032D" w:rsidRPr="000973F2">
              <w:rPr>
                <w:rFonts w:ascii="Times New Roman" w:hAnsi="Times New Roman" w:cs="Times New Roman"/>
                <w:b/>
                <w:bCs/>
                <w:sz w:val="18"/>
                <w:szCs w:val="18"/>
              </w:rPr>
              <w:t xml:space="preserve"> </w:t>
            </w:r>
            <w:r w:rsidRPr="000973F2">
              <w:rPr>
                <w:rFonts w:ascii="Times New Roman" w:hAnsi="Times New Roman" w:cs="Times New Roman"/>
                <w:b/>
                <w:bCs/>
                <w:sz w:val="18"/>
                <w:szCs w:val="18"/>
              </w:rPr>
              <w:t>Technician</w:t>
            </w:r>
          </w:p>
        </w:tc>
        <w:tc>
          <w:tcPr>
            <w:tcW w:w="1614" w:type="dxa"/>
            <w:gridSpan w:val="2"/>
            <w:hideMark/>
          </w:tcPr>
          <w:p w14:paraId="44BB1499" w14:textId="77777777" w:rsidR="00A91665" w:rsidRPr="000973F2" w:rsidRDefault="00A91665" w:rsidP="0071032D">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18"/>
                <w:szCs w:val="18"/>
              </w:rPr>
            </w:pPr>
            <w:r w:rsidRPr="000973F2">
              <w:rPr>
                <w:rFonts w:ascii="Times New Roman" w:hAnsi="Times New Roman" w:cs="Times New Roman"/>
                <w:b/>
                <w:bCs/>
                <w:sz w:val="18"/>
                <w:szCs w:val="18"/>
              </w:rPr>
              <w:t>Administrative Support</w:t>
            </w:r>
          </w:p>
        </w:tc>
        <w:tc>
          <w:tcPr>
            <w:tcW w:w="1542" w:type="dxa"/>
            <w:gridSpan w:val="3"/>
            <w:vMerge/>
            <w:hideMark/>
          </w:tcPr>
          <w:p w14:paraId="5811FF95" w14:textId="77777777" w:rsidR="00A91665" w:rsidRPr="000973F2" w:rsidRDefault="00A91665" w:rsidP="0071032D">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18"/>
                <w:szCs w:val="18"/>
              </w:rPr>
            </w:pPr>
          </w:p>
        </w:tc>
      </w:tr>
      <w:tr w:rsidR="00A91665" w:rsidRPr="000973F2" w14:paraId="0E3D3F71" w14:textId="77777777" w:rsidTr="0071032D">
        <w:trPr>
          <w:cantSplit/>
        </w:trPr>
        <w:tc>
          <w:tcPr>
            <w:cnfStyle w:val="001000000000" w:firstRow="0" w:lastRow="0" w:firstColumn="1" w:lastColumn="0" w:oddVBand="0" w:evenVBand="0" w:oddHBand="0" w:evenHBand="0" w:firstRowFirstColumn="0" w:firstRowLastColumn="0" w:lastRowFirstColumn="0" w:lastRowLastColumn="0"/>
            <w:tcW w:w="1335" w:type="dxa"/>
            <w:vMerge/>
            <w:hideMark/>
          </w:tcPr>
          <w:p w14:paraId="608CE5F2" w14:textId="77777777" w:rsidR="00A91665" w:rsidRPr="000973F2" w:rsidRDefault="00A91665" w:rsidP="0071032D">
            <w:pPr>
              <w:spacing w:before="40" w:after="40"/>
              <w:jc w:val="center"/>
              <w:rPr>
                <w:rFonts w:ascii="Times New Roman" w:hAnsi="Times New Roman" w:cs="Times New Roman"/>
                <w:b/>
                <w:bCs w:val="0"/>
                <w:sz w:val="18"/>
                <w:szCs w:val="18"/>
              </w:rPr>
            </w:pPr>
          </w:p>
        </w:tc>
        <w:tc>
          <w:tcPr>
            <w:tcW w:w="1613" w:type="dxa"/>
            <w:gridSpan w:val="2"/>
            <w:noWrap/>
            <w:hideMark/>
          </w:tcPr>
          <w:p w14:paraId="185E54AD" w14:textId="77777777" w:rsidR="00A91665" w:rsidRPr="000973F2" w:rsidRDefault="00A91665" w:rsidP="0071032D">
            <w:pPr>
              <w:spacing w:before="40" w:after="4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18"/>
                <w:szCs w:val="18"/>
              </w:rPr>
            </w:pPr>
            <w:r w:rsidRPr="000973F2">
              <w:rPr>
                <w:rFonts w:ascii="Times New Roman" w:hAnsi="Times New Roman" w:cs="Times New Roman"/>
                <w:b/>
                <w:bCs/>
                <w:sz w:val="18"/>
                <w:szCs w:val="18"/>
              </w:rPr>
              <w:t>$112.23</w:t>
            </w:r>
          </w:p>
        </w:tc>
        <w:tc>
          <w:tcPr>
            <w:tcW w:w="1613" w:type="dxa"/>
            <w:gridSpan w:val="2"/>
            <w:noWrap/>
            <w:hideMark/>
          </w:tcPr>
          <w:p w14:paraId="75E32991" w14:textId="77777777" w:rsidR="00A91665" w:rsidRPr="000973F2" w:rsidRDefault="00A91665" w:rsidP="0071032D">
            <w:pPr>
              <w:spacing w:before="40" w:after="4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18"/>
                <w:szCs w:val="18"/>
              </w:rPr>
            </w:pPr>
            <w:r w:rsidRPr="000973F2">
              <w:rPr>
                <w:rFonts w:ascii="Times New Roman" w:hAnsi="Times New Roman" w:cs="Times New Roman"/>
                <w:b/>
                <w:bCs/>
                <w:sz w:val="18"/>
                <w:szCs w:val="18"/>
              </w:rPr>
              <w:t>$87.45</w:t>
            </w:r>
          </w:p>
        </w:tc>
        <w:tc>
          <w:tcPr>
            <w:tcW w:w="1613" w:type="dxa"/>
            <w:gridSpan w:val="2"/>
            <w:noWrap/>
            <w:hideMark/>
          </w:tcPr>
          <w:p w14:paraId="26BE8CC6" w14:textId="77777777" w:rsidR="00A91665" w:rsidRPr="000973F2" w:rsidRDefault="00A91665" w:rsidP="0071032D">
            <w:pPr>
              <w:spacing w:before="40" w:after="4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18"/>
                <w:szCs w:val="18"/>
              </w:rPr>
            </w:pPr>
            <w:r w:rsidRPr="000973F2">
              <w:rPr>
                <w:rFonts w:ascii="Times New Roman" w:hAnsi="Times New Roman" w:cs="Times New Roman"/>
                <w:b/>
                <w:bCs/>
                <w:sz w:val="18"/>
                <w:szCs w:val="18"/>
              </w:rPr>
              <w:t>$71.45</w:t>
            </w:r>
          </w:p>
        </w:tc>
        <w:tc>
          <w:tcPr>
            <w:tcW w:w="1614" w:type="dxa"/>
            <w:gridSpan w:val="2"/>
            <w:noWrap/>
            <w:hideMark/>
          </w:tcPr>
          <w:p w14:paraId="772B4D63" w14:textId="77777777" w:rsidR="00A91665" w:rsidRPr="000973F2" w:rsidRDefault="00A91665" w:rsidP="0071032D">
            <w:pPr>
              <w:spacing w:before="40" w:after="4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18"/>
                <w:szCs w:val="18"/>
              </w:rPr>
            </w:pPr>
            <w:r w:rsidRPr="000973F2">
              <w:rPr>
                <w:rFonts w:ascii="Times New Roman" w:hAnsi="Times New Roman" w:cs="Times New Roman"/>
                <w:b/>
                <w:bCs/>
                <w:sz w:val="18"/>
                <w:szCs w:val="18"/>
              </w:rPr>
              <w:t>$36.28</w:t>
            </w:r>
          </w:p>
        </w:tc>
        <w:tc>
          <w:tcPr>
            <w:tcW w:w="1542" w:type="dxa"/>
            <w:gridSpan w:val="3"/>
            <w:vMerge/>
            <w:hideMark/>
          </w:tcPr>
          <w:p w14:paraId="5344B76A" w14:textId="77777777" w:rsidR="00A91665" w:rsidRPr="000973F2" w:rsidRDefault="00A91665" w:rsidP="0071032D">
            <w:pPr>
              <w:spacing w:before="40" w:after="4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18"/>
                <w:szCs w:val="18"/>
              </w:rPr>
            </w:pPr>
          </w:p>
        </w:tc>
      </w:tr>
      <w:tr w:rsidR="003768E3" w:rsidRPr="000973F2" w14:paraId="2366573A" w14:textId="77777777" w:rsidTr="0071032D">
        <w:trPr>
          <w:gridAfter w:val="1"/>
          <w:cnfStyle w:val="000000100000" w:firstRow="0" w:lastRow="0" w:firstColumn="0" w:lastColumn="0" w:oddVBand="0" w:evenVBand="0" w:oddHBand="1" w:evenHBand="0" w:firstRowFirstColumn="0" w:firstRowLastColumn="0" w:lastRowFirstColumn="0" w:lastRowLastColumn="0"/>
          <w:wAfter w:w="22" w:type="dxa"/>
          <w:cantSplit/>
        </w:trPr>
        <w:tc>
          <w:tcPr>
            <w:cnfStyle w:val="001000000000" w:firstRow="0" w:lastRow="0" w:firstColumn="1" w:lastColumn="0" w:oddVBand="0" w:evenVBand="0" w:oddHBand="0" w:evenHBand="0" w:firstRowFirstColumn="0" w:firstRowLastColumn="0" w:lastRowFirstColumn="0" w:lastRowLastColumn="0"/>
            <w:tcW w:w="1335" w:type="dxa"/>
            <w:vMerge/>
            <w:hideMark/>
          </w:tcPr>
          <w:p w14:paraId="5EB79509" w14:textId="77777777" w:rsidR="00A91665" w:rsidRPr="000973F2" w:rsidRDefault="00A91665" w:rsidP="0071032D">
            <w:pPr>
              <w:spacing w:before="40" w:after="40"/>
              <w:jc w:val="center"/>
              <w:rPr>
                <w:rFonts w:ascii="Times New Roman" w:hAnsi="Times New Roman" w:cs="Times New Roman"/>
                <w:b/>
                <w:bCs w:val="0"/>
                <w:sz w:val="18"/>
                <w:szCs w:val="18"/>
              </w:rPr>
            </w:pPr>
          </w:p>
        </w:tc>
        <w:tc>
          <w:tcPr>
            <w:tcW w:w="806" w:type="dxa"/>
            <w:tcMar>
              <w:left w:w="14" w:type="dxa"/>
              <w:right w:w="14" w:type="dxa"/>
            </w:tcMar>
            <w:hideMark/>
          </w:tcPr>
          <w:p w14:paraId="1F29AE3D" w14:textId="66BEA230" w:rsidR="00A91665" w:rsidRPr="000973F2" w:rsidRDefault="00A91665" w:rsidP="0071032D">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18"/>
                <w:szCs w:val="18"/>
              </w:rPr>
            </w:pPr>
            <w:r w:rsidRPr="000973F2">
              <w:rPr>
                <w:rFonts w:ascii="Times New Roman" w:hAnsi="Times New Roman" w:cs="Times New Roman"/>
                <w:b/>
                <w:bCs/>
                <w:sz w:val="18"/>
                <w:szCs w:val="18"/>
              </w:rPr>
              <w:t xml:space="preserve">Initial </w:t>
            </w:r>
            <w:r w:rsidR="00132320" w:rsidRPr="000973F2">
              <w:rPr>
                <w:rFonts w:ascii="Times New Roman" w:hAnsi="Times New Roman" w:cs="Times New Roman"/>
                <w:b/>
                <w:bCs/>
                <w:sz w:val="18"/>
                <w:szCs w:val="18"/>
              </w:rPr>
              <w:t>Year Hours</w:t>
            </w:r>
          </w:p>
        </w:tc>
        <w:tc>
          <w:tcPr>
            <w:tcW w:w="807" w:type="dxa"/>
            <w:tcMar>
              <w:left w:w="14" w:type="dxa"/>
              <w:right w:w="14" w:type="dxa"/>
            </w:tcMar>
            <w:hideMark/>
          </w:tcPr>
          <w:p w14:paraId="434FC84B" w14:textId="37562C45" w:rsidR="00A91665" w:rsidRPr="000973F2" w:rsidRDefault="00A91665" w:rsidP="0071032D">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18"/>
                <w:szCs w:val="18"/>
              </w:rPr>
            </w:pPr>
            <w:r w:rsidRPr="000973F2">
              <w:rPr>
                <w:rFonts w:ascii="Times New Roman" w:hAnsi="Times New Roman" w:cs="Times New Roman"/>
                <w:b/>
                <w:bCs/>
                <w:sz w:val="18"/>
                <w:szCs w:val="18"/>
              </w:rPr>
              <w:t xml:space="preserve">Subseq </w:t>
            </w:r>
            <w:r w:rsidR="00132320" w:rsidRPr="000973F2">
              <w:rPr>
                <w:rFonts w:ascii="Times New Roman" w:hAnsi="Times New Roman" w:cs="Times New Roman"/>
                <w:b/>
                <w:bCs/>
                <w:sz w:val="18"/>
                <w:szCs w:val="18"/>
              </w:rPr>
              <w:t>Year Hours</w:t>
            </w:r>
          </w:p>
        </w:tc>
        <w:tc>
          <w:tcPr>
            <w:tcW w:w="806" w:type="dxa"/>
            <w:tcMar>
              <w:left w:w="14" w:type="dxa"/>
              <w:right w:w="14" w:type="dxa"/>
            </w:tcMar>
            <w:hideMark/>
          </w:tcPr>
          <w:p w14:paraId="01272268" w14:textId="46DB293B" w:rsidR="00A91665" w:rsidRPr="000973F2" w:rsidRDefault="00A91665" w:rsidP="0071032D">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18"/>
                <w:szCs w:val="18"/>
              </w:rPr>
            </w:pPr>
            <w:r w:rsidRPr="000973F2">
              <w:rPr>
                <w:rFonts w:ascii="Times New Roman" w:hAnsi="Times New Roman" w:cs="Times New Roman"/>
                <w:b/>
                <w:bCs/>
                <w:sz w:val="18"/>
                <w:szCs w:val="18"/>
              </w:rPr>
              <w:t xml:space="preserve">Initial </w:t>
            </w:r>
            <w:r w:rsidR="00132320" w:rsidRPr="000973F2">
              <w:rPr>
                <w:rFonts w:ascii="Times New Roman" w:hAnsi="Times New Roman" w:cs="Times New Roman"/>
                <w:b/>
                <w:bCs/>
                <w:sz w:val="18"/>
                <w:szCs w:val="18"/>
              </w:rPr>
              <w:t>Year Hours</w:t>
            </w:r>
          </w:p>
        </w:tc>
        <w:tc>
          <w:tcPr>
            <w:tcW w:w="807" w:type="dxa"/>
            <w:tcMar>
              <w:left w:w="14" w:type="dxa"/>
              <w:right w:w="14" w:type="dxa"/>
            </w:tcMar>
            <w:hideMark/>
          </w:tcPr>
          <w:p w14:paraId="502C767A" w14:textId="3279B760" w:rsidR="00A91665" w:rsidRPr="000973F2" w:rsidRDefault="00A91665" w:rsidP="0071032D">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18"/>
                <w:szCs w:val="18"/>
              </w:rPr>
            </w:pPr>
            <w:r w:rsidRPr="000973F2">
              <w:rPr>
                <w:rFonts w:ascii="Times New Roman" w:hAnsi="Times New Roman" w:cs="Times New Roman"/>
                <w:b/>
                <w:bCs/>
                <w:sz w:val="18"/>
                <w:szCs w:val="18"/>
              </w:rPr>
              <w:t xml:space="preserve">Subseq </w:t>
            </w:r>
            <w:r w:rsidR="00132320" w:rsidRPr="000973F2">
              <w:rPr>
                <w:rFonts w:ascii="Times New Roman" w:hAnsi="Times New Roman" w:cs="Times New Roman"/>
                <w:b/>
                <w:bCs/>
                <w:sz w:val="18"/>
                <w:szCs w:val="18"/>
              </w:rPr>
              <w:t>Year Hours</w:t>
            </w:r>
          </w:p>
        </w:tc>
        <w:tc>
          <w:tcPr>
            <w:tcW w:w="807" w:type="dxa"/>
            <w:tcMar>
              <w:left w:w="14" w:type="dxa"/>
              <w:right w:w="14" w:type="dxa"/>
            </w:tcMar>
            <w:hideMark/>
          </w:tcPr>
          <w:p w14:paraId="670CF8B1" w14:textId="054A7D09" w:rsidR="00A91665" w:rsidRPr="000973F2" w:rsidRDefault="00A91665" w:rsidP="0071032D">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18"/>
                <w:szCs w:val="18"/>
              </w:rPr>
            </w:pPr>
            <w:r w:rsidRPr="000973F2">
              <w:rPr>
                <w:rFonts w:ascii="Times New Roman" w:hAnsi="Times New Roman" w:cs="Times New Roman"/>
                <w:b/>
                <w:bCs/>
                <w:sz w:val="18"/>
                <w:szCs w:val="18"/>
              </w:rPr>
              <w:t xml:space="preserve">Initial </w:t>
            </w:r>
            <w:r w:rsidR="00132320" w:rsidRPr="000973F2">
              <w:rPr>
                <w:rFonts w:ascii="Times New Roman" w:hAnsi="Times New Roman" w:cs="Times New Roman"/>
                <w:b/>
                <w:bCs/>
                <w:sz w:val="18"/>
                <w:szCs w:val="18"/>
              </w:rPr>
              <w:t>Year Hours</w:t>
            </w:r>
          </w:p>
        </w:tc>
        <w:tc>
          <w:tcPr>
            <w:tcW w:w="806" w:type="dxa"/>
            <w:tcMar>
              <w:left w:w="14" w:type="dxa"/>
              <w:right w:w="14" w:type="dxa"/>
            </w:tcMar>
            <w:hideMark/>
          </w:tcPr>
          <w:p w14:paraId="55E6A33D" w14:textId="6F077B15" w:rsidR="00A91665" w:rsidRPr="000973F2" w:rsidRDefault="00A91665" w:rsidP="0071032D">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18"/>
                <w:szCs w:val="18"/>
              </w:rPr>
            </w:pPr>
            <w:r w:rsidRPr="000973F2">
              <w:rPr>
                <w:rFonts w:ascii="Times New Roman" w:hAnsi="Times New Roman" w:cs="Times New Roman"/>
                <w:b/>
                <w:bCs/>
                <w:sz w:val="18"/>
                <w:szCs w:val="18"/>
              </w:rPr>
              <w:t xml:space="preserve">Subseq </w:t>
            </w:r>
            <w:r w:rsidR="00132320" w:rsidRPr="000973F2">
              <w:rPr>
                <w:rFonts w:ascii="Times New Roman" w:hAnsi="Times New Roman" w:cs="Times New Roman"/>
                <w:b/>
                <w:bCs/>
                <w:sz w:val="18"/>
                <w:szCs w:val="18"/>
              </w:rPr>
              <w:t>Year Hours</w:t>
            </w:r>
          </w:p>
        </w:tc>
        <w:tc>
          <w:tcPr>
            <w:tcW w:w="807" w:type="dxa"/>
            <w:tcMar>
              <w:left w:w="14" w:type="dxa"/>
              <w:right w:w="14" w:type="dxa"/>
            </w:tcMar>
            <w:hideMark/>
          </w:tcPr>
          <w:p w14:paraId="0DA37639" w14:textId="4BCB2186" w:rsidR="00A91665" w:rsidRPr="000973F2" w:rsidRDefault="00A91665" w:rsidP="0071032D">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18"/>
                <w:szCs w:val="18"/>
              </w:rPr>
            </w:pPr>
            <w:r w:rsidRPr="000973F2">
              <w:rPr>
                <w:rFonts w:ascii="Times New Roman" w:hAnsi="Times New Roman" w:cs="Times New Roman"/>
                <w:b/>
                <w:bCs/>
                <w:sz w:val="18"/>
                <w:szCs w:val="18"/>
              </w:rPr>
              <w:t xml:space="preserve">Initial </w:t>
            </w:r>
            <w:r w:rsidR="00132320" w:rsidRPr="000973F2">
              <w:rPr>
                <w:rFonts w:ascii="Times New Roman" w:hAnsi="Times New Roman" w:cs="Times New Roman"/>
                <w:b/>
                <w:bCs/>
                <w:sz w:val="18"/>
                <w:szCs w:val="18"/>
              </w:rPr>
              <w:t>Year Hours</w:t>
            </w:r>
          </w:p>
        </w:tc>
        <w:tc>
          <w:tcPr>
            <w:tcW w:w="807" w:type="dxa"/>
            <w:tcMar>
              <w:left w:w="14" w:type="dxa"/>
              <w:right w:w="14" w:type="dxa"/>
            </w:tcMar>
            <w:hideMark/>
          </w:tcPr>
          <w:p w14:paraId="08803136" w14:textId="7167C8F2" w:rsidR="00A91665" w:rsidRPr="000973F2" w:rsidRDefault="00A91665" w:rsidP="0071032D">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18"/>
                <w:szCs w:val="18"/>
              </w:rPr>
            </w:pPr>
            <w:r w:rsidRPr="000973F2">
              <w:rPr>
                <w:rFonts w:ascii="Times New Roman" w:hAnsi="Times New Roman" w:cs="Times New Roman"/>
                <w:b/>
                <w:bCs/>
                <w:sz w:val="18"/>
                <w:szCs w:val="18"/>
              </w:rPr>
              <w:t xml:space="preserve">Subseq </w:t>
            </w:r>
            <w:r w:rsidR="00132320" w:rsidRPr="000973F2">
              <w:rPr>
                <w:rFonts w:ascii="Times New Roman" w:hAnsi="Times New Roman" w:cs="Times New Roman"/>
                <w:b/>
                <w:bCs/>
                <w:sz w:val="18"/>
                <w:szCs w:val="18"/>
              </w:rPr>
              <w:t>Year Hours</w:t>
            </w:r>
          </w:p>
        </w:tc>
        <w:tc>
          <w:tcPr>
            <w:tcW w:w="674" w:type="dxa"/>
            <w:tcMar>
              <w:left w:w="14" w:type="dxa"/>
              <w:right w:w="14" w:type="dxa"/>
            </w:tcMar>
            <w:hideMark/>
          </w:tcPr>
          <w:p w14:paraId="38ECA8E1" w14:textId="77777777" w:rsidR="00A91665" w:rsidRPr="000973F2" w:rsidRDefault="00A91665" w:rsidP="0071032D">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18"/>
                <w:szCs w:val="18"/>
              </w:rPr>
            </w:pPr>
            <w:r w:rsidRPr="000973F2">
              <w:rPr>
                <w:rFonts w:ascii="Times New Roman" w:hAnsi="Times New Roman" w:cs="Times New Roman"/>
                <w:b/>
                <w:bCs/>
                <w:sz w:val="18"/>
                <w:szCs w:val="18"/>
              </w:rPr>
              <w:t>Initial Year</w:t>
            </w:r>
          </w:p>
        </w:tc>
        <w:tc>
          <w:tcPr>
            <w:tcW w:w="846" w:type="dxa"/>
            <w:tcMar>
              <w:left w:w="14" w:type="dxa"/>
              <w:right w:w="14" w:type="dxa"/>
            </w:tcMar>
            <w:hideMark/>
          </w:tcPr>
          <w:p w14:paraId="6A17856B" w14:textId="77777777" w:rsidR="00A91665" w:rsidRPr="000973F2" w:rsidRDefault="00A91665" w:rsidP="0071032D">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18"/>
                <w:szCs w:val="18"/>
              </w:rPr>
            </w:pPr>
            <w:r w:rsidRPr="000973F2">
              <w:rPr>
                <w:rFonts w:ascii="Times New Roman" w:hAnsi="Times New Roman" w:cs="Times New Roman"/>
                <w:b/>
                <w:bCs/>
                <w:sz w:val="18"/>
                <w:szCs w:val="18"/>
              </w:rPr>
              <w:t>Subseq. Year</w:t>
            </w:r>
          </w:p>
        </w:tc>
      </w:tr>
      <w:tr w:rsidR="00A91665" w:rsidRPr="000973F2" w14:paraId="2DA63A0C" w14:textId="77777777" w:rsidTr="0071032D">
        <w:trPr>
          <w:gridAfter w:val="1"/>
          <w:wAfter w:w="22" w:type="dxa"/>
          <w:cantSplit/>
        </w:trPr>
        <w:tc>
          <w:tcPr>
            <w:cnfStyle w:val="001000000000" w:firstRow="0" w:lastRow="0" w:firstColumn="1" w:lastColumn="0" w:oddVBand="0" w:evenVBand="0" w:oddHBand="0" w:evenHBand="0" w:firstRowFirstColumn="0" w:firstRowLastColumn="0" w:lastRowFirstColumn="0" w:lastRowLastColumn="0"/>
            <w:tcW w:w="1335" w:type="dxa"/>
            <w:hideMark/>
          </w:tcPr>
          <w:p w14:paraId="282D217E" w14:textId="77777777" w:rsidR="00A91665" w:rsidRPr="000973F2" w:rsidRDefault="00A91665" w:rsidP="0071032D">
            <w:pPr>
              <w:spacing w:before="40" w:after="40"/>
              <w:rPr>
                <w:rFonts w:ascii="Times New Roman" w:hAnsi="Times New Roman" w:cs="Times New Roman"/>
                <w:sz w:val="18"/>
                <w:szCs w:val="18"/>
              </w:rPr>
            </w:pPr>
            <w:r w:rsidRPr="000973F2">
              <w:rPr>
                <w:rFonts w:ascii="Times New Roman" w:hAnsi="Times New Roman" w:cs="Times New Roman"/>
                <w:sz w:val="18"/>
                <w:szCs w:val="18"/>
              </w:rPr>
              <w:t>Planning</w:t>
            </w:r>
          </w:p>
        </w:tc>
        <w:tc>
          <w:tcPr>
            <w:tcW w:w="806" w:type="dxa"/>
            <w:noWrap/>
            <w:hideMark/>
          </w:tcPr>
          <w:p w14:paraId="666A94F2" w14:textId="77777777" w:rsidR="00A91665" w:rsidRPr="000973F2" w:rsidRDefault="00A91665" w:rsidP="0071032D">
            <w:pPr>
              <w:tabs>
                <w:tab w:val="decimal" w:pos="301"/>
              </w:tabs>
              <w:spacing w:before="40" w:after="4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0973F2">
              <w:rPr>
                <w:rFonts w:ascii="Times New Roman" w:hAnsi="Times New Roman" w:cs="Times New Roman"/>
                <w:sz w:val="18"/>
                <w:szCs w:val="18"/>
              </w:rPr>
              <w:t>0</w:t>
            </w:r>
          </w:p>
        </w:tc>
        <w:tc>
          <w:tcPr>
            <w:tcW w:w="807" w:type="dxa"/>
            <w:noWrap/>
            <w:hideMark/>
          </w:tcPr>
          <w:p w14:paraId="21E0EE45" w14:textId="77777777" w:rsidR="00A91665" w:rsidRPr="000973F2" w:rsidRDefault="00A91665" w:rsidP="0071032D">
            <w:pPr>
              <w:tabs>
                <w:tab w:val="decimal" w:pos="301"/>
              </w:tabs>
              <w:spacing w:before="40" w:after="4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0973F2">
              <w:rPr>
                <w:rFonts w:ascii="Times New Roman" w:hAnsi="Times New Roman" w:cs="Times New Roman"/>
                <w:sz w:val="18"/>
                <w:szCs w:val="18"/>
              </w:rPr>
              <w:t>0.25</w:t>
            </w:r>
          </w:p>
        </w:tc>
        <w:tc>
          <w:tcPr>
            <w:tcW w:w="806" w:type="dxa"/>
            <w:noWrap/>
            <w:hideMark/>
          </w:tcPr>
          <w:p w14:paraId="4D218530" w14:textId="77777777" w:rsidR="00A91665" w:rsidRPr="000973F2" w:rsidRDefault="00A91665" w:rsidP="0071032D">
            <w:pPr>
              <w:tabs>
                <w:tab w:val="decimal" w:pos="301"/>
              </w:tabs>
              <w:spacing w:before="40" w:after="4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0973F2">
              <w:rPr>
                <w:rFonts w:ascii="Times New Roman" w:hAnsi="Times New Roman" w:cs="Times New Roman"/>
                <w:sz w:val="18"/>
                <w:szCs w:val="18"/>
              </w:rPr>
              <w:t>0</w:t>
            </w:r>
          </w:p>
        </w:tc>
        <w:tc>
          <w:tcPr>
            <w:tcW w:w="807" w:type="dxa"/>
            <w:noWrap/>
            <w:hideMark/>
          </w:tcPr>
          <w:p w14:paraId="19FF5E27" w14:textId="77777777" w:rsidR="00A91665" w:rsidRPr="000973F2" w:rsidRDefault="00A91665" w:rsidP="0071032D">
            <w:pPr>
              <w:tabs>
                <w:tab w:val="decimal" w:pos="301"/>
              </w:tabs>
              <w:spacing w:before="40" w:after="4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0973F2">
              <w:rPr>
                <w:rFonts w:ascii="Times New Roman" w:hAnsi="Times New Roman" w:cs="Times New Roman"/>
                <w:sz w:val="18"/>
                <w:szCs w:val="18"/>
              </w:rPr>
              <w:t>0.5</w:t>
            </w:r>
          </w:p>
        </w:tc>
        <w:tc>
          <w:tcPr>
            <w:tcW w:w="807" w:type="dxa"/>
            <w:noWrap/>
            <w:hideMark/>
          </w:tcPr>
          <w:p w14:paraId="74CBBE3B" w14:textId="77777777" w:rsidR="00A91665" w:rsidRPr="000973F2" w:rsidRDefault="00A91665" w:rsidP="0071032D">
            <w:pPr>
              <w:tabs>
                <w:tab w:val="decimal" w:pos="301"/>
              </w:tabs>
              <w:spacing w:before="40" w:after="4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0973F2">
              <w:rPr>
                <w:rFonts w:ascii="Times New Roman" w:hAnsi="Times New Roman" w:cs="Times New Roman"/>
                <w:sz w:val="18"/>
                <w:szCs w:val="18"/>
              </w:rPr>
              <w:t>0</w:t>
            </w:r>
          </w:p>
        </w:tc>
        <w:tc>
          <w:tcPr>
            <w:tcW w:w="806" w:type="dxa"/>
            <w:noWrap/>
            <w:hideMark/>
          </w:tcPr>
          <w:p w14:paraId="474DC2E3" w14:textId="77777777" w:rsidR="00A91665" w:rsidRPr="000973F2" w:rsidRDefault="00A91665" w:rsidP="0071032D">
            <w:pPr>
              <w:tabs>
                <w:tab w:val="decimal" w:pos="301"/>
              </w:tabs>
              <w:spacing w:before="40" w:after="4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0973F2">
              <w:rPr>
                <w:rFonts w:ascii="Times New Roman" w:hAnsi="Times New Roman" w:cs="Times New Roman"/>
                <w:sz w:val="18"/>
                <w:szCs w:val="18"/>
              </w:rPr>
              <w:t>1</w:t>
            </w:r>
          </w:p>
        </w:tc>
        <w:tc>
          <w:tcPr>
            <w:tcW w:w="807" w:type="dxa"/>
            <w:noWrap/>
            <w:hideMark/>
          </w:tcPr>
          <w:p w14:paraId="0D3A5636" w14:textId="77777777" w:rsidR="00A91665" w:rsidRPr="000973F2" w:rsidRDefault="00A91665" w:rsidP="0071032D">
            <w:pPr>
              <w:tabs>
                <w:tab w:val="decimal" w:pos="301"/>
              </w:tabs>
              <w:spacing w:before="40" w:after="4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0973F2">
              <w:rPr>
                <w:rFonts w:ascii="Times New Roman" w:hAnsi="Times New Roman" w:cs="Times New Roman"/>
                <w:sz w:val="18"/>
                <w:szCs w:val="18"/>
              </w:rPr>
              <w:t>0</w:t>
            </w:r>
          </w:p>
        </w:tc>
        <w:tc>
          <w:tcPr>
            <w:tcW w:w="807" w:type="dxa"/>
            <w:noWrap/>
            <w:hideMark/>
          </w:tcPr>
          <w:p w14:paraId="1209FDA2" w14:textId="77777777" w:rsidR="00A91665" w:rsidRPr="000973F2" w:rsidRDefault="00A91665" w:rsidP="0071032D">
            <w:pPr>
              <w:tabs>
                <w:tab w:val="decimal" w:pos="301"/>
              </w:tabs>
              <w:spacing w:before="40" w:after="4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0973F2">
              <w:rPr>
                <w:rFonts w:ascii="Times New Roman" w:hAnsi="Times New Roman" w:cs="Times New Roman"/>
                <w:sz w:val="18"/>
                <w:szCs w:val="18"/>
              </w:rPr>
              <w:t>1.0</w:t>
            </w:r>
          </w:p>
        </w:tc>
        <w:tc>
          <w:tcPr>
            <w:tcW w:w="674" w:type="dxa"/>
            <w:noWrap/>
            <w:hideMark/>
          </w:tcPr>
          <w:p w14:paraId="2453E32E" w14:textId="77777777" w:rsidR="00A91665" w:rsidRPr="000973F2" w:rsidRDefault="00A91665" w:rsidP="0071032D">
            <w:pPr>
              <w:tabs>
                <w:tab w:val="decimal" w:pos="301"/>
              </w:tabs>
              <w:spacing w:before="40" w:after="4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0973F2">
              <w:rPr>
                <w:rFonts w:ascii="Times New Roman" w:hAnsi="Times New Roman" w:cs="Times New Roman"/>
                <w:sz w:val="18"/>
                <w:szCs w:val="18"/>
              </w:rPr>
              <w:t>$0</w:t>
            </w:r>
          </w:p>
        </w:tc>
        <w:tc>
          <w:tcPr>
            <w:tcW w:w="846" w:type="dxa"/>
            <w:noWrap/>
            <w:hideMark/>
          </w:tcPr>
          <w:p w14:paraId="413F1F72" w14:textId="77777777" w:rsidR="00A91665" w:rsidRPr="000973F2" w:rsidRDefault="00A91665" w:rsidP="0071032D">
            <w:pPr>
              <w:tabs>
                <w:tab w:val="decimal" w:pos="496"/>
              </w:tabs>
              <w:spacing w:before="40" w:after="4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0973F2">
              <w:rPr>
                <w:rFonts w:ascii="Times New Roman" w:hAnsi="Times New Roman" w:cs="Times New Roman"/>
                <w:sz w:val="18"/>
                <w:szCs w:val="18"/>
              </w:rPr>
              <w:t>$180</w:t>
            </w:r>
          </w:p>
        </w:tc>
      </w:tr>
      <w:tr w:rsidR="003768E3" w:rsidRPr="000973F2" w14:paraId="1C6FE2AF" w14:textId="77777777" w:rsidTr="0071032D">
        <w:trPr>
          <w:gridAfter w:val="1"/>
          <w:cnfStyle w:val="000000100000" w:firstRow="0" w:lastRow="0" w:firstColumn="0" w:lastColumn="0" w:oddVBand="0" w:evenVBand="0" w:oddHBand="1" w:evenHBand="0" w:firstRowFirstColumn="0" w:firstRowLastColumn="0" w:lastRowFirstColumn="0" w:lastRowLastColumn="0"/>
          <w:wAfter w:w="22" w:type="dxa"/>
          <w:cantSplit/>
        </w:trPr>
        <w:tc>
          <w:tcPr>
            <w:cnfStyle w:val="001000000000" w:firstRow="0" w:lastRow="0" w:firstColumn="1" w:lastColumn="0" w:oddVBand="0" w:evenVBand="0" w:oddHBand="0" w:evenHBand="0" w:firstRowFirstColumn="0" w:firstRowLastColumn="0" w:lastRowFirstColumn="0" w:lastRowLastColumn="0"/>
            <w:tcW w:w="1335" w:type="dxa"/>
            <w:hideMark/>
          </w:tcPr>
          <w:p w14:paraId="5D0DABD5" w14:textId="77777777" w:rsidR="00A91665" w:rsidRPr="000973F2" w:rsidRDefault="00A91665" w:rsidP="0071032D">
            <w:pPr>
              <w:spacing w:before="40" w:after="40"/>
              <w:rPr>
                <w:rFonts w:ascii="Times New Roman" w:hAnsi="Times New Roman" w:cs="Times New Roman"/>
                <w:sz w:val="18"/>
                <w:szCs w:val="18"/>
              </w:rPr>
            </w:pPr>
            <w:r w:rsidRPr="000973F2">
              <w:rPr>
                <w:rFonts w:ascii="Times New Roman" w:hAnsi="Times New Roman" w:cs="Times New Roman"/>
                <w:sz w:val="18"/>
                <w:szCs w:val="18"/>
              </w:rPr>
              <w:t>QA/QC</w:t>
            </w:r>
          </w:p>
        </w:tc>
        <w:tc>
          <w:tcPr>
            <w:tcW w:w="806" w:type="dxa"/>
            <w:noWrap/>
            <w:hideMark/>
          </w:tcPr>
          <w:p w14:paraId="70860389" w14:textId="77777777" w:rsidR="00A91665" w:rsidRPr="000973F2" w:rsidRDefault="00A91665" w:rsidP="0071032D">
            <w:pPr>
              <w:tabs>
                <w:tab w:val="decimal" w:pos="301"/>
              </w:tabs>
              <w:spacing w:before="40" w:after="4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rPr>
            </w:pPr>
            <w:r w:rsidRPr="000973F2">
              <w:rPr>
                <w:rFonts w:ascii="Times New Roman" w:hAnsi="Times New Roman" w:cs="Times New Roman"/>
                <w:sz w:val="18"/>
                <w:szCs w:val="18"/>
              </w:rPr>
              <w:t>0</w:t>
            </w:r>
          </w:p>
        </w:tc>
        <w:tc>
          <w:tcPr>
            <w:tcW w:w="807" w:type="dxa"/>
            <w:noWrap/>
            <w:hideMark/>
          </w:tcPr>
          <w:p w14:paraId="604293F5" w14:textId="77777777" w:rsidR="00A91665" w:rsidRPr="000973F2" w:rsidRDefault="00A91665" w:rsidP="0071032D">
            <w:pPr>
              <w:tabs>
                <w:tab w:val="decimal" w:pos="301"/>
              </w:tabs>
              <w:spacing w:before="40" w:after="4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rPr>
            </w:pPr>
            <w:r w:rsidRPr="000973F2">
              <w:rPr>
                <w:rFonts w:ascii="Times New Roman" w:hAnsi="Times New Roman" w:cs="Times New Roman"/>
                <w:sz w:val="18"/>
                <w:szCs w:val="18"/>
              </w:rPr>
              <w:t>0</w:t>
            </w:r>
          </w:p>
        </w:tc>
        <w:tc>
          <w:tcPr>
            <w:tcW w:w="806" w:type="dxa"/>
            <w:noWrap/>
            <w:hideMark/>
          </w:tcPr>
          <w:p w14:paraId="7532FB23" w14:textId="77777777" w:rsidR="00A91665" w:rsidRPr="000973F2" w:rsidRDefault="00A91665" w:rsidP="0071032D">
            <w:pPr>
              <w:tabs>
                <w:tab w:val="decimal" w:pos="301"/>
              </w:tabs>
              <w:spacing w:before="40" w:after="4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rPr>
            </w:pPr>
            <w:r w:rsidRPr="000973F2">
              <w:rPr>
                <w:rFonts w:ascii="Times New Roman" w:hAnsi="Times New Roman" w:cs="Times New Roman"/>
                <w:sz w:val="18"/>
                <w:szCs w:val="18"/>
              </w:rPr>
              <w:t>0</w:t>
            </w:r>
          </w:p>
        </w:tc>
        <w:tc>
          <w:tcPr>
            <w:tcW w:w="807" w:type="dxa"/>
            <w:noWrap/>
            <w:hideMark/>
          </w:tcPr>
          <w:p w14:paraId="3FD96573" w14:textId="77777777" w:rsidR="00A91665" w:rsidRPr="000973F2" w:rsidRDefault="00A91665" w:rsidP="0071032D">
            <w:pPr>
              <w:tabs>
                <w:tab w:val="decimal" w:pos="301"/>
              </w:tabs>
              <w:spacing w:before="40" w:after="4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rPr>
            </w:pPr>
            <w:r w:rsidRPr="000973F2">
              <w:rPr>
                <w:rFonts w:ascii="Times New Roman" w:hAnsi="Times New Roman" w:cs="Times New Roman"/>
                <w:sz w:val="18"/>
                <w:szCs w:val="18"/>
              </w:rPr>
              <w:t>0.5</w:t>
            </w:r>
          </w:p>
        </w:tc>
        <w:tc>
          <w:tcPr>
            <w:tcW w:w="807" w:type="dxa"/>
            <w:noWrap/>
            <w:hideMark/>
          </w:tcPr>
          <w:p w14:paraId="1215D0CF" w14:textId="77777777" w:rsidR="00A91665" w:rsidRPr="000973F2" w:rsidRDefault="00A91665" w:rsidP="0071032D">
            <w:pPr>
              <w:tabs>
                <w:tab w:val="decimal" w:pos="301"/>
              </w:tabs>
              <w:spacing w:before="40" w:after="4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rPr>
            </w:pPr>
            <w:r w:rsidRPr="000973F2">
              <w:rPr>
                <w:rFonts w:ascii="Times New Roman" w:hAnsi="Times New Roman" w:cs="Times New Roman"/>
                <w:sz w:val="18"/>
                <w:szCs w:val="18"/>
              </w:rPr>
              <w:t>0</w:t>
            </w:r>
          </w:p>
        </w:tc>
        <w:tc>
          <w:tcPr>
            <w:tcW w:w="806" w:type="dxa"/>
            <w:noWrap/>
            <w:hideMark/>
          </w:tcPr>
          <w:p w14:paraId="69F85B7B" w14:textId="77777777" w:rsidR="00A91665" w:rsidRPr="000973F2" w:rsidRDefault="00A91665" w:rsidP="0071032D">
            <w:pPr>
              <w:tabs>
                <w:tab w:val="decimal" w:pos="301"/>
              </w:tabs>
              <w:spacing w:before="40" w:after="4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rPr>
            </w:pPr>
            <w:r w:rsidRPr="000973F2">
              <w:rPr>
                <w:rFonts w:ascii="Times New Roman" w:hAnsi="Times New Roman" w:cs="Times New Roman"/>
                <w:sz w:val="18"/>
                <w:szCs w:val="18"/>
              </w:rPr>
              <w:t>1</w:t>
            </w:r>
          </w:p>
        </w:tc>
        <w:tc>
          <w:tcPr>
            <w:tcW w:w="807" w:type="dxa"/>
            <w:noWrap/>
            <w:hideMark/>
          </w:tcPr>
          <w:p w14:paraId="77DA660E" w14:textId="77777777" w:rsidR="00A91665" w:rsidRPr="000973F2" w:rsidRDefault="00A91665" w:rsidP="0071032D">
            <w:pPr>
              <w:tabs>
                <w:tab w:val="decimal" w:pos="301"/>
              </w:tabs>
              <w:spacing w:before="40" w:after="4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rPr>
            </w:pPr>
            <w:r w:rsidRPr="000973F2">
              <w:rPr>
                <w:rFonts w:ascii="Times New Roman" w:hAnsi="Times New Roman" w:cs="Times New Roman"/>
                <w:sz w:val="18"/>
                <w:szCs w:val="18"/>
              </w:rPr>
              <w:t>0</w:t>
            </w:r>
          </w:p>
        </w:tc>
        <w:tc>
          <w:tcPr>
            <w:tcW w:w="807" w:type="dxa"/>
            <w:noWrap/>
            <w:hideMark/>
          </w:tcPr>
          <w:p w14:paraId="108A2844" w14:textId="77777777" w:rsidR="00A91665" w:rsidRPr="000973F2" w:rsidRDefault="00A91665" w:rsidP="0071032D">
            <w:pPr>
              <w:tabs>
                <w:tab w:val="decimal" w:pos="301"/>
              </w:tabs>
              <w:spacing w:before="40" w:after="4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rPr>
            </w:pPr>
            <w:r w:rsidRPr="000973F2">
              <w:rPr>
                <w:rFonts w:ascii="Times New Roman" w:hAnsi="Times New Roman" w:cs="Times New Roman"/>
                <w:sz w:val="18"/>
                <w:szCs w:val="18"/>
              </w:rPr>
              <w:t>1.0</w:t>
            </w:r>
          </w:p>
        </w:tc>
        <w:tc>
          <w:tcPr>
            <w:tcW w:w="674" w:type="dxa"/>
            <w:noWrap/>
            <w:hideMark/>
          </w:tcPr>
          <w:p w14:paraId="1F3771E0" w14:textId="77777777" w:rsidR="00A91665" w:rsidRPr="000973F2" w:rsidRDefault="00A91665" w:rsidP="0071032D">
            <w:pPr>
              <w:tabs>
                <w:tab w:val="decimal" w:pos="301"/>
              </w:tabs>
              <w:spacing w:before="40" w:after="4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rPr>
            </w:pPr>
            <w:r w:rsidRPr="000973F2">
              <w:rPr>
                <w:rFonts w:ascii="Times New Roman" w:hAnsi="Times New Roman" w:cs="Times New Roman"/>
                <w:sz w:val="18"/>
                <w:szCs w:val="18"/>
              </w:rPr>
              <w:t>$0</w:t>
            </w:r>
          </w:p>
        </w:tc>
        <w:tc>
          <w:tcPr>
            <w:tcW w:w="846" w:type="dxa"/>
            <w:noWrap/>
            <w:hideMark/>
          </w:tcPr>
          <w:p w14:paraId="2D18688E" w14:textId="77777777" w:rsidR="00A91665" w:rsidRPr="000973F2" w:rsidRDefault="00A91665" w:rsidP="0071032D">
            <w:pPr>
              <w:tabs>
                <w:tab w:val="decimal" w:pos="496"/>
              </w:tabs>
              <w:spacing w:before="40" w:after="4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rPr>
            </w:pPr>
            <w:r w:rsidRPr="000973F2">
              <w:rPr>
                <w:rFonts w:ascii="Times New Roman" w:hAnsi="Times New Roman" w:cs="Times New Roman"/>
                <w:sz w:val="18"/>
                <w:szCs w:val="18"/>
              </w:rPr>
              <w:t>$151</w:t>
            </w:r>
          </w:p>
        </w:tc>
      </w:tr>
      <w:tr w:rsidR="00A91665" w:rsidRPr="000973F2" w14:paraId="7F3330C8" w14:textId="77777777" w:rsidTr="0071032D">
        <w:trPr>
          <w:gridAfter w:val="1"/>
          <w:wAfter w:w="22" w:type="dxa"/>
          <w:cantSplit/>
        </w:trPr>
        <w:tc>
          <w:tcPr>
            <w:cnfStyle w:val="001000000000" w:firstRow="0" w:lastRow="0" w:firstColumn="1" w:lastColumn="0" w:oddVBand="0" w:evenVBand="0" w:oddHBand="0" w:evenHBand="0" w:firstRowFirstColumn="0" w:firstRowLastColumn="0" w:lastRowFirstColumn="0" w:lastRowLastColumn="0"/>
            <w:tcW w:w="1335" w:type="dxa"/>
            <w:hideMark/>
          </w:tcPr>
          <w:p w14:paraId="0B5817EA" w14:textId="77777777" w:rsidR="00A91665" w:rsidRPr="000973F2" w:rsidRDefault="00A91665" w:rsidP="0071032D">
            <w:pPr>
              <w:spacing w:before="40" w:after="40"/>
              <w:rPr>
                <w:rFonts w:ascii="Times New Roman" w:hAnsi="Times New Roman" w:cs="Times New Roman"/>
                <w:sz w:val="18"/>
                <w:szCs w:val="18"/>
              </w:rPr>
            </w:pPr>
            <w:r w:rsidRPr="000973F2">
              <w:rPr>
                <w:rFonts w:ascii="Times New Roman" w:hAnsi="Times New Roman" w:cs="Times New Roman"/>
                <w:sz w:val="18"/>
                <w:szCs w:val="18"/>
              </w:rPr>
              <w:t>Recordkeeping</w:t>
            </w:r>
          </w:p>
        </w:tc>
        <w:tc>
          <w:tcPr>
            <w:tcW w:w="806" w:type="dxa"/>
            <w:noWrap/>
            <w:hideMark/>
          </w:tcPr>
          <w:p w14:paraId="4D9A124C" w14:textId="77777777" w:rsidR="00A91665" w:rsidRPr="000973F2" w:rsidRDefault="00A91665" w:rsidP="0071032D">
            <w:pPr>
              <w:tabs>
                <w:tab w:val="decimal" w:pos="301"/>
              </w:tabs>
              <w:spacing w:before="40" w:after="4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0973F2">
              <w:rPr>
                <w:rFonts w:ascii="Times New Roman" w:hAnsi="Times New Roman" w:cs="Times New Roman"/>
                <w:sz w:val="18"/>
                <w:szCs w:val="18"/>
              </w:rPr>
              <w:t>0</w:t>
            </w:r>
          </w:p>
        </w:tc>
        <w:tc>
          <w:tcPr>
            <w:tcW w:w="807" w:type="dxa"/>
            <w:noWrap/>
            <w:hideMark/>
          </w:tcPr>
          <w:p w14:paraId="2ABCC07B" w14:textId="77777777" w:rsidR="00A91665" w:rsidRPr="000973F2" w:rsidRDefault="00A91665" w:rsidP="0071032D">
            <w:pPr>
              <w:tabs>
                <w:tab w:val="decimal" w:pos="301"/>
              </w:tabs>
              <w:spacing w:before="40" w:after="4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0973F2">
              <w:rPr>
                <w:rFonts w:ascii="Times New Roman" w:hAnsi="Times New Roman" w:cs="Times New Roman"/>
                <w:sz w:val="18"/>
                <w:szCs w:val="18"/>
              </w:rPr>
              <w:t>0</w:t>
            </w:r>
          </w:p>
        </w:tc>
        <w:tc>
          <w:tcPr>
            <w:tcW w:w="806" w:type="dxa"/>
            <w:noWrap/>
            <w:hideMark/>
          </w:tcPr>
          <w:p w14:paraId="2631047A" w14:textId="77777777" w:rsidR="00A91665" w:rsidRPr="000973F2" w:rsidRDefault="00A91665" w:rsidP="0071032D">
            <w:pPr>
              <w:tabs>
                <w:tab w:val="decimal" w:pos="301"/>
              </w:tabs>
              <w:spacing w:before="40" w:after="4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0973F2">
              <w:rPr>
                <w:rFonts w:ascii="Times New Roman" w:hAnsi="Times New Roman" w:cs="Times New Roman"/>
                <w:sz w:val="18"/>
                <w:szCs w:val="18"/>
              </w:rPr>
              <w:t>0</w:t>
            </w:r>
          </w:p>
        </w:tc>
        <w:tc>
          <w:tcPr>
            <w:tcW w:w="807" w:type="dxa"/>
            <w:noWrap/>
            <w:hideMark/>
          </w:tcPr>
          <w:p w14:paraId="41859556" w14:textId="77777777" w:rsidR="00A91665" w:rsidRPr="000973F2" w:rsidRDefault="00A91665" w:rsidP="0071032D">
            <w:pPr>
              <w:tabs>
                <w:tab w:val="decimal" w:pos="301"/>
              </w:tabs>
              <w:spacing w:before="40" w:after="4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0973F2">
              <w:rPr>
                <w:rFonts w:ascii="Times New Roman" w:hAnsi="Times New Roman" w:cs="Times New Roman"/>
                <w:sz w:val="18"/>
                <w:szCs w:val="18"/>
              </w:rPr>
              <w:t>0.5</w:t>
            </w:r>
          </w:p>
        </w:tc>
        <w:tc>
          <w:tcPr>
            <w:tcW w:w="807" w:type="dxa"/>
            <w:noWrap/>
            <w:hideMark/>
          </w:tcPr>
          <w:p w14:paraId="3CBED5FD" w14:textId="77777777" w:rsidR="00A91665" w:rsidRPr="000973F2" w:rsidRDefault="00A91665" w:rsidP="0071032D">
            <w:pPr>
              <w:tabs>
                <w:tab w:val="decimal" w:pos="301"/>
              </w:tabs>
              <w:spacing w:before="40" w:after="4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0973F2">
              <w:rPr>
                <w:rFonts w:ascii="Times New Roman" w:hAnsi="Times New Roman" w:cs="Times New Roman"/>
                <w:sz w:val="18"/>
                <w:szCs w:val="18"/>
              </w:rPr>
              <w:t>0</w:t>
            </w:r>
          </w:p>
        </w:tc>
        <w:tc>
          <w:tcPr>
            <w:tcW w:w="806" w:type="dxa"/>
            <w:noWrap/>
            <w:hideMark/>
          </w:tcPr>
          <w:p w14:paraId="00242B46" w14:textId="77777777" w:rsidR="00A91665" w:rsidRPr="000973F2" w:rsidRDefault="00A91665" w:rsidP="0071032D">
            <w:pPr>
              <w:tabs>
                <w:tab w:val="decimal" w:pos="301"/>
              </w:tabs>
              <w:spacing w:before="40" w:after="4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0973F2">
              <w:rPr>
                <w:rFonts w:ascii="Times New Roman" w:hAnsi="Times New Roman" w:cs="Times New Roman"/>
                <w:sz w:val="18"/>
                <w:szCs w:val="18"/>
              </w:rPr>
              <w:t>2</w:t>
            </w:r>
          </w:p>
        </w:tc>
        <w:tc>
          <w:tcPr>
            <w:tcW w:w="807" w:type="dxa"/>
            <w:noWrap/>
            <w:hideMark/>
          </w:tcPr>
          <w:p w14:paraId="069CC02D" w14:textId="77777777" w:rsidR="00A91665" w:rsidRPr="000973F2" w:rsidRDefault="00A91665" w:rsidP="0071032D">
            <w:pPr>
              <w:tabs>
                <w:tab w:val="decimal" w:pos="301"/>
              </w:tabs>
              <w:spacing w:before="40" w:after="4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0973F2">
              <w:rPr>
                <w:rFonts w:ascii="Times New Roman" w:hAnsi="Times New Roman" w:cs="Times New Roman"/>
                <w:sz w:val="18"/>
                <w:szCs w:val="18"/>
              </w:rPr>
              <w:t>0</w:t>
            </w:r>
          </w:p>
        </w:tc>
        <w:tc>
          <w:tcPr>
            <w:tcW w:w="807" w:type="dxa"/>
            <w:noWrap/>
            <w:hideMark/>
          </w:tcPr>
          <w:p w14:paraId="4685241D" w14:textId="77777777" w:rsidR="00A91665" w:rsidRPr="000973F2" w:rsidRDefault="00A91665" w:rsidP="0071032D">
            <w:pPr>
              <w:tabs>
                <w:tab w:val="decimal" w:pos="301"/>
              </w:tabs>
              <w:spacing w:before="40" w:after="4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0973F2">
              <w:rPr>
                <w:rFonts w:ascii="Times New Roman" w:hAnsi="Times New Roman" w:cs="Times New Roman"/>
                <w:sz w:val="18"/>
                <w:szCs w:val="18"/>
              </w:rPr>
              <w:t>0.5</w:t>
            </w:r>
          </w:p>
        </w:tc>
        <w:tc>
          <w:tcPr>
            <w:tcW w:w="674" w:type="dxa"/>
            <w:noWrap/>
            <w:hideMark/>
          </w:tcPr>
          <w:p w14:paraId="7CC7435C" w14:textId="77777777" w:rsidR="00A91665" w:rsidRPr="000973F2" w:rsidRDefault="00A91665" w:rsidP="0071032D">
            <w:pPr>
              <w:tabs>
                <w:tab w:val="decimal" w:pos="301"/>
              </w:tabs>
              <w:spacing w:before="40" w:after="4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0973F2">
              <w:rPr>
                <w:rFonts w:ascii="Times New Roman" w:hAnsi="Times New Roman" w:cs="Times New Roman"/>
                <w:sz w:val="18"/>
                <w:szCs w:val="18"/>
              </w:rPr>
              <w:t>$0</w:t>
            </w:r>
          </w:p>
        </w:tc>
        <w:tc>
          <w:tcPr>
            <w:tcW w:w="846" w:type="dxa"/>
            <w:noWrap/>
            <w:hideMark/>
          </w:tcPr>
          <w:p w14:paraId="03701DC8" w14:textId="77777777" w:rsidR="00A91665" w:rsidRPr="000973F2" w:rsidRDefault="00A91665" w:rsidP="0071032D">
            <w:pPr>
              <w:tabs>
                <w:tab w:val="decimal" w:pos="496"/>
              </w:tabs>
              <w:spacing w:before="40" w:after="4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0973F2">
              <w:rPr>
                <w:rFonts w:ascii="Times New Roman" w:hAnsi="Times New Roman" w:cs="Times New Roman"/>
                <w:sz w:val="18"/>
                <w:szCs w:val="18"/>
              </w:rPr>
              <w:t>$205</w:t>
            </w:r>
          </w:p>
        </w:tc>
      </w:tr>
      <w:tr w:rsidR="003768E3" w:rsidRPr="000973F2" w14:paraId="4C3B17B3" w14:textId="77777777" w:rsidTr="0071032D">
        <w:trPr>
          <w:gridAfter w:val="1"/>
          <w:cnfStyle w:val="000000100000" w:firstRow="0" w:lastRow="0" w:firstColumn="0" w:lastColumn="0" w:oddVBand="0" w:evenVBand="0" w:oddHBand="1" w:evenHBand="0" w:firstRowFirstColumn="0" w:firstRowLastColumn="0" w:lastRowFirstColumn="0" w:lastRowLastColumn="0"/>
          <w:wAfter w:w="22" w:type="dxa"/>
          <w:cantSplit/>
        </w:trPr>
        <w:tc>
          <w:tcPr>
            <w:cnfStyle w:val="001000000000" w:firstRow="0" w:lastRow="0" w:firstColumn="1" w:lastColumn="0" w:oddVBand="0" w:evenVBand="0" w:oddHBand="0" w:evenHBand="0" w:firstRowFirstColumn="0" w:firstRowLastColumn="0" w:lastRowFirstColumn="0" w:lastRowLastColumn="0"/>
            <w:tcW w:w="1335" w:type="dxa"/>
            <w:hideMark/>
          </w:tcPr>
          <w:p w14:paraId="69E37286" w14:textId="77777777" w:rsidR="00A91665" w:rsidRPr="000973F2" w:rsidRDefault="00A91665" w:rsidP="0071032D">
            <w:pPr>
              <w:spacing w:before="40" w:after="40"/>
              <w:rPr>
                <w:rFonts w:ascii="Times New Roman" w:hAnsi="Times New Roman" w:cs="Times New Roman"/>
                <w:sz w:val="18"/>
                <w:szCs w:val="18"/>
              </w:rPr>
            </w:pPr>
            <w:r w:rsidRPr="000973F2">
              <w:rPr>
                <w:rFonts w:ascii="Times New Roman" w:hAnsi="Times New Roman" w:cs="Times New Roman"/>
                <w:sz w:val="18"/>
                <w:szCs w:val="18"/>
              </w:rPr>
              <w:t>Sampling and Analysis (Calculations)</w:t>
            </w:r>
          </w:p>
        </w:tc>
        <w:tc>
          <w:tcPr>
            <w:tcW w:w="806" w:type="dxa"/>
            <w:noWrap/>
            <w:hideMark/>
          </w:tcPr>
          <w:p w14:paraId="55AD60E9" w14:textId="77777777" w:rsidR="00A91665" w:rsidRPr="000973F2" w:rsidRDefault="00A91665" w:rsidP="0071032D">
            <w:pPr>
              <w:tabs>
                <w:tab w:val="decimal" w:pos="301"/>
              </w:tabs>
              <w:spacing w:before="40" w:after="4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rPr>
            </w:pPr>
            <w:r w:rsidRPr="000973F2">
              <w:rPr>
                <w:rFonts w:ascii="Times New Roman" w:hAnsi="Times New Roman" w:cs="Times New Roman"/>
                <w:sz w:val="18"/>
                <w:szCs w:val="18"/>
              </w:rPr>
              <w:t>0</w:t>
            </w:r>
          </w:p>
        </w:tc>
        <w:tc>
          <w:tcPr>
            <w:tcW w:w="807" w:type="dxa"/>
            <w:noWrap/>
            <w:hideMark/>
          </w:tcPr>
          <w:p w14:paraId="776BA980" w14:textId="77777777" w:rsidR="00A91665" w:rsidRPr="000973F2" w:rsidRDefault="00A91665" w:rsidP="0071032D">
            <w:pPr>
              <w:tabs>
                <w:tab w:val="decimal" w:pos="301"/>
              </w:tabs>
              <w:spacing w:before="40" w:after="4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rPr>
            </w:pPr>
            <w:r w:rsidRPr="000973F2">
              <w:rPr>
                <w:rFonts w:ascii="Times New Roman" w:hAnsi="Times New Roman" w:cs="Times New Roman"/>
                <w:sz w:val="18"/>
                <w:szCs w:val="18"/>
              </w:rPr>
              <w:t>0</w:t>
            </w:r>
          </w:p>
        </w:tc>
        <w:tc>
          <w:tcPr>
            <w:tcW w:w="806" w:type="dxa"/>
            <w:noWrap/>
            <w:hideMark/>
          </w:tcPr>
          <w:p w14:paraId="7852920D" w14:textId="77777777" w:rsidR="00A91665" w:rsidRPr="000973F2" w:rsidRDefault="00A91665" w:rsidP="0071032D">
            <w:pPr>
              <w:tabs>
                <w:tab w:val="decimal" w:pos="301"/>
              </w:tabs>
              <w:spacing w:before="40" w:after="4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rPr>
            </w:pPr>
            <w:r w:rsidRPr="000973F2">
              <w:rPr>
                <w:rFonts w:ascii="Times New Roman" w:hAnsi="Times New Roman" w:cs="Times New Roman"/>
                <w:sz w:val="18"/>
                <w:szCs w:val="18"/>
              </w:rPr>
              <w:t>0</w:t>
            </w:r>
          </w:p>
        </w:tc>
        <w:tc>
          <w:tcPr>
            <w:tcW w:w="807" w:type="dxa"/>
            <w:noWrap/>
            <w:hideMark/>
          </w:tcPr>
          <w:p w14:paraId="12B9F4FC" w14:textId="77777777" w:rsidR="00A91665" w:rsidRPr="000973F2" w:rsidRDefault="00A91665" w:rsidP="0071032D">
            <w:pPr>
              <w:tabs>
                <w:tab w:val="decimal" w:pos="301"/>
              </w:tabs>
              <w:spacing w:before="40" w:after="4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rPr>
            </w:pPr>
            <w:r w:rsidRPr="000973F2">
              <w:rPr>
                <w:rFonts w:ascii="Times New Roman" w:hAnsi="Times New Roman" w:cs="Times New Roman"/>
                <w:sz w:val="18"/>
                <w:szCs w:val="18"/>
              </w:rPr>
              <w:t>0</w:t>
            </w:r>
          </w:p>
        </w:tc>
        <w:tc>
          <w:tcPr>
            <w:tcW w:w="807" w:type="dxa"/>
            <w:noWrap/>
            <w:hideMark/>
          </w:tcPr>
          <w:p w14:paraId="02F82F8F" w14:textId="77777777" w:rsidR="00A91665" w:rsidRPr="000973F2" w:rsidRDefault="00A91665" w:rsidP="0071032D">
            <w:pPr>
              <w:tabs>
                <w:tab w:val="decimal" w:pos="301"/>
              </w:tabs>
              <w:spacing w:before="40" w:after="4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rPr>
            </w:pPr>
            <w:r w:rsidRPr="000973F2">
              <w:rPr>
                <w:rFonts w:ascii="Times New Roman" w:hAnsi="Times New Roman" w:cs="Times New Roman"/>
                <w:sz w:val="18"/>
                <w:szCs w:val="18"/>
              </w:rPr>
              <w:t>0</w:t>
            </w:r>
          </w:p>
        </w:tc>
        <w:tc>
          <w:tcPr>
            <w:tcW w:w="806" w:type="dxa"/>
            <w:noWrap/>
            <w:hideMark/>
          </w:tcPr>
          <w:p w14:paraId="0645236C" w14:textId="77777777" w:rsidR="00A91665" w:rsidRPr="000973F2" w:rsidRDefault="00A91665" w:rsidP="0071032D">
            <w:pPr>
              <w:tabs>
                <w:tab w:val="decimal" w:pos="301"/>
              </w:tabs>
              <w:spacing w:before="40" w:after="4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rPr>
            </w:pPr>
            <w:r w:rsidRPr="000973F2">
              <w:rPr>
                <w:rFonts w:ascii="Times New Roman" w:hAnsi="Times New Roman" w:cs="Times New Roman"/>
                <w:sz w:val="18"/>
                <w:szCs w:val="18"/>
              </w:rPr>
              <w:t>1</w:t>
            </w:r>
          </w:p>
        </w:tc>
        <w:tc>
          <w:tcPr>
            <w:tcW w:w="807" w:type="dxa"/>
            <w:noWrap/>
            <w:hideMark/>
          </w:tcPr>
          <w:p w14:paraId="256C88A1" w14:textId="77777777" w:rsidR="00A91665" w:rsidRPr="000973F2" w:rsidRDefault="00A91665" w:rsidP="0071032D">
            <w:pPr>
              <w:tabs>
                <w:tab w:val="decimal" w:pos="301"/>
              </w:tabs>
              <w:spacing w:before="40" w:after="4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rPr>
            </w:pPr>
            <w:r w:rsidRPr="000973F2">
              <w:rPr>
                <w:rFonts w:ascii="Times New Roman" w:hAnsi="Times New Roman" w:cs="Times New Roman"/>
                <w:sz w:val="18"/>
                <w:szCs w:val="18"/>
              </w:rPr>
              <w:t>0</w:t>
            </w:r>
          </w:p>
        </w:tc>
        <w:tc>
          <w:tcPr>
            <w:tcW w:w="807" w:type="dxa"/>
            <w:noWrap/>
            <w:hideMark/>
          </w:tcPr>
          <w:p w14:paraId="4FC26145" w14:textId="77777777" w:rsidR="00A91665" w:rsidRPr="000973F2" w:rsidRDefault="00A91665" w:rsidP="0071032D">
            <w:pPr>
              <w:tabs>
                <w:tab w:val="decimal" w:pos="301"/>
              </w:tabs>
              <w:spacing w:before="40" w:after="4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rPr>
            </w:pPr>
            <w:r w:rsidRPr="000973F2">
              <w:rPr>
                <w:rFonts w:ascii="Times New Roman" w:hAnsi="Times New Roman" w:cs="Times New Roman"/>
                <w:sz w:val="18"/>
                <w:szCs w:val="18"/>
              </w:rPr>
              <w:t>0</w:t>
            </w:r>
          </w:p>
        </w:tc>
        <w:tc>
          <w:tcPr>
            <w:tcW w:w="674" w:type="dxa"/>
            <w:noWrap/>
            <w:hideMark/>
          </w:tcPr>
          <w:p w14:paraId="6F1A6805" w14:textId="77777777" w:rsidR="00A91665" w:rsidRPr="000973F2" w:rsidRDefault="00A91665" w:rsidP="0071032D">
            <w:pPr>
              <w:tabs>
                <w:tab w:val="decimal" w:pos="301"/>
              </w:tabs>
              <w:spacing w:before="40" w:after="4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rPr>
            </w:pPr>
            <w:r w:rsidRPr="000973F2">
              <w:rPr>
                <w:rFonts w:ascii="Times New Roman" w:hAnsi="Times New Roman" w:cs="Times New Roman"/>
                <w:sz w:val="18"/>
                <w:szCs w:val="18"/>
              </w:rPr>
              <w:t>$0</w:t>
            </w:r>
          </w:p>
        </w:tc>
        <w:tc>
          <w:tcPr>
            <w:tcW w:w="846" w:type="dxa"/>
            <w:noWrap/>
            <w:hideMark/>
          </w:tcPr>
          <w:p w14:paraId="63158924" w14:textId="77777777" w:rsidR="00A91665" w:rsidRPr="000973F2" w:rsidRDefault="00A91665" w:rsidP="0071032D">
            <w:pPr>
              <w:tabs>
                <w:tab w:val="decimal" w:pos="496"/>
              </w:tabs>
              <w:spacing w:before="40" w:after="4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rPr>
            </w:pPr>
            <w:r w:rsidRPr="000973F2">
              <w:rPr>
                <w:rFonts w:ascii="Times New Roman" w:hAnsi="Times New Roman" w:cs="Times New Roman"/>
                <w:sz w:val="18"/>
                <w:szCs w:val="18"/>
              </w:rPr>
              <w:t>$71</w:t>
            </w:r>
          </w:p>
        </w:tc>
      </w:tr>
      <w:tr w:rsidR="00A91665" w:rsidRPr="000973F2" w14:paraId="594991B3" w14:textId="77777777" w:rsidTr="0071032D">
        <w:trPr>
          <w:gridAfter w:val="1"/>
          <w:wAfter w:w="22" w:type="dxa"/>
          <w:cantSplit/>
        </w:trPr>
        <w:tc>
          <w:tcPr>
            <w:cnfStyle w:val="001000000000" w:firstRow="0" w:lastRow="0" w:firstColumn="1" w:lastColumn="0" w:oddVBand="0" w:evenVBand="0" w:oddHBand="0" w:evenHBand="0" w:firstRowFirstColumn="0" w:firstRowLastColumn="0" w:lastRowFirstColumn="0" w:lastRowLastColumn="0"/>
            <w:tcW w:w="1335" w:type="dxa"/>
            <w:hideMark/>
          </w:tcPr>
          <w:p w14:paraId="1208FDE7" w14:textId="77777777" w:rsidR="00A91665" w:rsidRPr="000973F2" w:rsidRDefault="00A91665" w:rsidP="0071032D">
            <w:pPr>
              <w:spacing w:before="40" w:after="40"/>
              <w:rPr>
                <w:rFonts w:ascii="Times New Roman" w:hAnsi="Times New Roman" w:cs="Times New Roman"/>
                <w:sz w:val="18"/>
                <w:szCs w:val="18"/>
              </w:rPr>
            </w:pPr>
            <w:r w:rsidRPr="000973F2">
              <w:rPr>
                <w:rFonts w:ascii="Times New Roman" w:hAnsi="Times New Roman" w:cs="Times New Roman"/>
                <w:sz w:val="18"/>
                <w:szCs w:val="18"/>
              </w:rPr>
              <w:t>Reporting</w:t>
            </w:r>
          </w:p>
        </w:tc>
        <w:tc>
          <w:tcPr>
            <w:tcW w:w="806" w:type="dxa"/>
            <w:noWrap/>
            <w:hideMark/>
          </w:tcPr>
          <w:p w14:paraId="7E015284" w14:textId="77777777" w:rsidR="00A91665" w:rsidRPr="000973F2" w:rsidRDefault="00A91665" w:rsidP="0071032D">
            <w:pPr>
              <w:tabs>
                <w:tab w:val="decimal" w:pos="301"/>
              </w:tabs>
              <w:spacing w:before="40" w:after="4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0973F2">
              <w:rPr>
                <w:rFonts w:ascii="Times New Roman" w:hAnsi="Times New Roman" w:cs="Times New Roman"/>
                <w:sz w:val="18"/>
                <w:szCs w:val="18"/>
              </w:rPr>
              <w:t>0</w:t>
            </w:r>
          </w:p>
        </w:tc>
        <w:tc>
          <w:tcPr>
            <w:tcW w:w="807" w:type="dxa"/>
            <w:noWrap/>
            <w:hideMark/>
          </w:tcPr>
          <w:p w14:paraId="13C79CB9" w14:textId="77777777" w:rsidR="00A91665" w:rsidRPr="000973F2" w:rsidRDefault="00A91665" w:rsidP="0071032D">
            <w:pPr>
              <w:tabs>
                <w:tab w:val="decimal" w:pos="301"/>
              </w:tabs>
              <w:spacing w:before="40" w:after="4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0973F2">
              <w:rPr>
                <w:rFonts w:ascii="Times New Roman" w:hAnsi="Times New Roman" w:cs="Times New Roman"/>
                <w:sz w:val="18"/>
                <w:szCs w:val="18"/>
              </w:rPr>
              <w:t>0</w:t>
            </w:r>
          </w:p>
        </w:tc>
        <w:tc>
          <w:tcPr>
            <w:tcW w:w="806" w:type="dxa"/>
            <w:noWrap/>
            <w:hideMark/>
          </w:tcPr>
          <w:p w14:paraId="6BD427F7" w14:textId="77777777" w:rsidR="00A91665" w:rsidRPr="000973F2" w:rsidRDefault="00A91665" w:rsidP="0071032D">
            <w:pPr>
              <w:tabs>
                <w:tab w:val="decimal" w:pos="301"/>
              </w:tabs>
              <w:spacing w:before="40" w:after="4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0973F2">
              <w:rPr>
                <w:rFonts w:ascii="Times New Roman" w:hAnsi="Times New Roman" w:cs="Times New Roman"/>
                <w:sz w:val="18"/>
                <w:szCs w:val="18"/>
              </w:rPr>
              <w:t>0</w:t>
            </w:r>
          </w:p>
        </w:tc>
        <w:tc>
          <w:tcPr>
            <w:tcW w:w="807" w:type="dxa"/>
            <w:noWrap/>
            <w:hideMark/>
          </w:tcPr>
          <w:p w14:paraId="450E28DD" w14:textId="77777777" w:rsidR="00A91665" w:rsidRPr="000973F2" w:rsidRDefault="00A91665" w:rsidP="0071032D">
            <w:pPr>
              <w:tabs>
                <w:tab w:val="decimal" w:pos="301"/>
              </w:tabs>
              <w:spacing w:before="40" w:after="4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0973F2">
              <w:rPr>
                <w:rFonts w:ascii="Times New Roman" w:hAnsi="Times New Roman" w:cs="Times New Roman"/>
                <w:sz w:val="18"/>
                <w:szCs w:val="18"/>
              </w:rPr>
              <w:t>1.0</w:t>
            </w:r>
          </w:p>
        </w:tc>
        <w:tc>
          <w:tcPr>
            <w:tcW w:w="807" w:type="dxa"/>
            <w:noWrap/>
            <w:hideMark/>
          </w:tcPr>
          <w:p w14:paraId="4B42831F" w14:textId="77777777" w:rsidR="00A91665" w:rsidRPr="000973F2" w:rsidRDefault="00A91665" w:rsidP="0071032D">
            <w:pPr>
              <w:tabs>
                <w:tab w:val="decimal" w:pos="301"/>
              </w:tabs>
              <w:spacing w:before="40" w:after="4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0973F2">
              <w:rPr>
                <w:rFonts w:ascii="Times New Roman" w:hAnsi="Times New Roman" w:cs="Times New Roman"/>
                <w:sz w:val="18"/>
                <w:szCs w:val="18"/>
              </w:rPr>
              <w:t>0</w:t>
            </w:r>
          </w:p>
        </w:tc>
        <w:tc>
          <w:tcPr>
            <w:tcW w:w="806" w:type="dxa"/>
            <w:noWrap/>
            <w:hideMark/>
          </w:tcPr>
          <w:p w14:paraId="51AD1820" w14:textId="77777777" w:rsidR="00A91665" w:rsidRPr="000973F2" w:rsidRDefault="00A91665" w:rsidP="0071032D">
            <w:pPr>
              <w:tabs>
                <w:tab w:val="decimal" w:pos="301"/>
              </w:tabs>
              <w:spacing w:before="40" w:after="4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0973F2">
              <w:rPr>
                <w:rFonts w:ascii="Times New Roman" w:hAnsi="Times New Roman" w:cs="Times New Roman"/>
                <w:sz w:val="18"/>
                <w:szCs w:val="18"/>
              </w:rPr>
              <w:t>4</w:t>
            </w:r>
          </w:p>
        </w:tc>
        <w:tc>
          <w:tcPr>
            <w:tcW w:w="807" w:type="dxa"/>
            <w:noWrap/>
            <w:hideMark/>
          </w:tcPr>
          <w:p w14:paraId="7883519F" w14:textId="77777777" w:rsidR="00A91665" w:rsidRPr="000973F2" w:rsidRDefault="00A91665" w:rsidP="0071032D">
            <w:pPr>
              <w:tabs>
                <w:tab w:val="decimal" w:pos="301"/>
              </w:tabs>
              <w:spacing w:before="40" w:after="4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0973F2">
              <w:rPr>
                <w:rFonts w:ascii="Times New Roman" w:hAnsi="Times New Roman" w:cs="Times New Roman"/>
                <w:sz w:val="18"/>
                <w:szCs w:val="18"/>
              </w:rPr>
              <w:t>0</w:t>
            </w:r>
          </w:p>
        </w:tc>
        <w:tc>
          <w:tcPr>
            <w:tcW w:w="807" w:type="dxa"/>
            <w:noWrap/>
            <w:hideMark/>
          </w:tcPr>
          <w:p w14:paraId="60DF4456" w14:textId="77777777" w:rsidR="00A91665" w:rsidRPr="000973F2" w:rsidRDefault="00A91665" w:rsidP="0071032D">
            <w:pPr>
              <w:tabs>
                <w:tab w:val="decimal" w:pos="301"/>
              </w:tabs>
              <w:spacing w:before="40" w:after="4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0973F2">
              <w:rPr>
                <w:rFonts w:ascii="Times New Roman" w:hAnsi="Times New Roman" w:cs="Times New Roman"/>
                <w:sz w:val="18"/>
                <w:szCs w:val="18"/>
              </w:rPr>
              <w:t>1.0</w:t>
            </w:r>
          </w:p>
        </w:tc>
        <w:tc>
          <w:tcPr>
            <w:tcW w:w="674" w:type="dxa"/>
            <w:noWrap/>
            <w:hideMark/>
          </w:tcPr>
          <w:p w14:paraId="704D6F94" w14:textId="77777777" w:rsidR="00A91665" w:rsidRPr="000973F2" w:rsidRDefault="00A91665" w:rsidP="0071032D">
            <w:pPr>
              <w:tabs>
                <w:tab w:val="decimal" w:pos="301"/>
              </w:tabs>
              <w:spacing w:before="40" w:after="4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0973F2">
              <w:rPr>
                <w:rFonts w:ascii="Times New Roman" w:hAnsi="Times New Roman" w:cs="Times New Roman"/>
                <w:sz w:val="18"/>
                <w:szCs w:val="18"/>
              </w:rPr>
              <w:t>$0</w:t>
            </w:r>
          </w:p>
        </w:tc>
        <w:tc>
          <w:tcPr>
            <w:tcW w:w="846" w:type="dxa"/>
            <w:noWrap/>
            <w:hideMark/>
          </w:tcPr>
          <w:p w14:paraId="65BE86E3" w14:textId="77777777" w:rsidR="00A91665" w:rsidRPr="000973F2" w:rsidRDefault="00A91665" w:rsidP="0071032D">
            <w:pPr>
              <w:tabs>
                <w:tab w:val="decimal" w:pos="496"/>
              </w:tabs>
              <w:spacing w:before="40" w:after="4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0973F2">
              <w:rPr>
                <w:rFonts w:ascii="Times New Roman" w:hAnsi="Times New Roman" w:cs="Times New Roman"/>
                <w:sz w:val="18"/>
                <w:szCs w:val="18"/>
              </w:rPr>
              <w:t>$410</w:t>
            </w:r>
          </w:p>
        </w:tc>
      </w:tr>
      <w:tr w:rsidR="003768E3" w:rsidRPr="000973F2" w14:paraId="3FBB34BA" w14:textId="77777777" w:rsidTr="0071032D">
        <w:trPr>
          <w:gridAfter w:val="1"/>
          <w:cnfStyle w:val="000000100000" w:firstRow="0" w:lastRow="0" w:firstColumn="0" w:lastColumn="0" w:oddVBand="0" w:evenVBand="0" w:oddHBand="1" w:evenHBand="0" w:firstRowFirstColumn="0" w:firstRowLastColumn="0" w:lastRowFirstColumn="0" w:lastRowLastColumn="0"/>
          <w:wAfter w:w="22" w:type="dxa"/>
          <w:cantSplit/>
        </w:trPr>
        <w:tc>
          <w:tcPr>
            <w:cnfStyle w:val="001000000000" w:firstRow="0" w:lastRow="0" w:firstColumn="1" w:lastColumn="0" w:oddVBand="0" w:evenVBand="0" w:oddHBand="0" w:evenHBand="0" w:firstRowFirstColumn="0" w:firstRowLastColumn="0" w:lastRowFirstColumn="0" w:lastRowLastColumn="0"/>
            <w:tcW w:w="1335" w:type="dxa"/>
            <w:noWrap/>
            <w:hideMark/>
          </w:tcPr>
          <w:p w14:paraId="766754B1" w14:textId="77777777" w:rsidR="00A91665" w:rsidRPr="000973F2" w:rsidRDefault="00A91665" w:rsidP="0071032D">
            <w:pPr>
              <w:spacing w:before="40" w:after="40"/>
              <w:rPr>
                <w:rFonts w:ascii="Times New Roman" w:hAnsi="Times New Roman" w:cs="Times New Roman"/>
                <w:b/>
                <w:bCs w:val="0"/>
                <w:sz w:val="18"/>
                <w:szCs w:val="18"/>
              </w:rPr>
            </w:pPr>
            <w:r w:rsidRPr="000973F2">
              <w:rPr>
                <w:rFonts w:ascii="Times New Roman" w:hAnsi="Times New Roman" w:cs="Times New Roman"/>
                <w:b/>
                <w:sz w:val="18"/>
                <w:szCs w:val="18"/>
              </w:rPr>
              <w:t>Total</w:t>
            </w:r>
          </w:p>
        </w:tc>
        <w:tc>
          <w:tcPr>
            <w:tcW w:w="806" w:type="dxa"/>
            <w:noWrap/>
            <w:hideMark/>
          </w:tcPr>
          <w:p w14:paraId="7529143E" w14:textId="77777777" w:rsidR="00A91665" w:rsidRPr="000973F2" w:rsidRDefault="00A91665" w:rsidP="0071032D">
            <w:pPr>
              <w:tabs>
                <w:tab w:val="decimal" w:pos="301"/>
              </w:tabs>
              <w:spacing w:before="40" w:after="4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18"/>
                <w:szCs w:val="18"/>
              </w:rPr>
            </w:pPr>
            <w:r w:rsidRPr="000973F2">
              <w:rPr>
                <w:rFonts w:ascii="Times New Roman" w:hAnsi="Times New Roman" w:cs="Times New Roman"/>
                <w:b/>
                <w:bCs/>
                <w:sz w:val="18"/>
                <w:szCs w:val="18"/>
              </w:rPr>
              <w:t>0</w:t>
            </w:r>
          </w:p>
        </w:tc>
        <w:tc>
          <w:tcPr>
            <w:tcW w:w="807" w:type="dxa"/>
            <w:noWrap/>
            <w:hideMark/>
          </w:tcPr>
          <w:p w14:paraId="43FA77CC" w14:textId="77777777" w:rsidR="00A91665" w:rsidRPr="000973F2" w:rsidRDefault="00A91665" w:rsidP="0071032D">
            <w:pPr>
              <w:tabs>
                <w:tab w:val="decimal" w:pos="301"/>
              </w:tabs>
              <w:spacing w:before="40" w:after="4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18"/>
                <w:szCs w:val="18"/>
              </w:rPr>
            </w:pPr>
            <w:r w:rsidRPr="000973F2">
              <w:rPr>
                <w:rFonts w:ascii="Times New Roman" w:hAnsi="Times New Roman" w:cs="Times New Roman"/>
                <w:b/>
                <w:bCs/>
                <w:sz w:val="18"/>
                <w:szCs w:val="18"/>
              </w:rPr>
              <w:t>0.25</w:t>
            </w:r>
          </w:p>
        </w:tc>
        <w:tc>
          <w:tcPr>
            <w:tcW w:w="806" w:type="dxa"/>
            <w:noWrap/>
            <w:hideMark/>
          </w:tcPr>
          <w:p w14:paraId="7AD2AEE3" w14:textId="77777777" w:rsidR="00A91665" w:rsidRPr="000973F2" w:rsidRDefault="00A91665" w:rsidP="0071032D">
            <w:pPr>
              <w:tabs>
                <w:tab w:val="decimal" w:pos="301"/>
              </w:tabs>
              <w:spacing w:before="40" w:after="4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18"/>
                <w:szCs w:val="18"/>
              </w:rPr>
            </w:pPr>
            <w:r w:rsidRPr="000973F2">
              <w:rPr>
                <w:rFonts w:ascii="Times New Roman" w:hAnsi="Times New Roman" w:cs="Times New Roman"/>
                <w:b/>
                <w:bCs/>
                <w:sz w:val="18"/>
                <w:szCs w:val="18"/>
              </w:rPr>
              <w:t>0</w:t>
            </w:r>
          </w:p>
        </w:tc>
        <w:tc>
          <w:tcPr>
            <w:tcW w:w="807" w:type="dxa"/>
            <w:noWrap/>
            <w:hideMark/>
          </w:tcPr>
          <w:p w14:paraId="7F8C3C3D" w14:textId="77777777" w:rsidR="00A91665" w:rsidRPr="000973F2" w:rsidRDefault="00A91665" w:rsidP="0071032D">
            <w:pPr>
              <w:tabs>
                <w:tab w:val="decimal" w:pos="301"/>
              </w:tabs>
              <w:spacing w:before="40" w:after="4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18"/>
                <w:szCs w:val="18"/>
              </w:rPr>
            </w:pPr>
            <w:r w:rsidRPr="000973F2">
              <w:rPr>
                <w:rFonts w:ascii="Times New Roman" w:hAnsi="Times New Roman" w:cs="Times New Roman"/>
                <w:b/>
                <w:bCs/>
                <w:sz w:val="18"/>
                <w:szCs w:val="18"/>
              </w:rPr>
              <w:t>2.5</w:t>
            </w:r>
          </w:p>
        </w:tc>
        <w:tc>
          <w:tcPr>
            <w:tcW w:w="807" w:type="dxa"/>
            <w:noWrap/>
            <w:hideMark/>
          </w:tcPr>
          <w:p w14:paraId="41EFE114" w14:textId="77777777" w:rsidR="00A91665" w:rsidRPr="000973F2" w:rsidRDefault="00A91665" w:rsidP="0071032D">
            <w:pPr>
              <w:tabs>
                <w:tab w:val="decimal" w:pos="301"/>
              </w:tabs>
              <w:spacing w:before="40" w:after="4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18"/>
                <w:szCs w:val="18"/>
              </w:rPr>
            </w:pPr>
            <w:r w:rsidRPr="000973F2">
              <w:rPr>
                <w:rFonts w:ascii="Times New Roman" w:hAnsi="Times New Roman" w:cs="Times New Roman"/>
                <w:b/>
                <w:bCs/>
                <w:sz w:val="18"/>
                <w:szCs w:val="18"/>
              </w:rPr>
              <w:t>0</w:t>
            </w:r>
          </w:p>
        </w:tc>
        <w:tc>
          <w:tcPr>
            <w:tcW w:w="806" w:type="dxa"/>
            <w:noWrap/>
            <w:hideMark/>
          </w:tcPr>
          <w:p w14:paraId="2A9A8BEB" w14:textId="77777777" w:rsidR="00A91665" w:rsidRPr="000973F2" w:rsidRDefault="00A91665" w:rsidP="0071032D">
            <w:pPr>
              <w:tabs>
                <w:tab w:val="decimal" w:pos="301"/>
              </w:tabs>
              <w:spacing w:before="40" w:after="4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18"/>
                <w:szCs w:val="18"/>
              </w:rPr>
            </w:pPr>
            <w:r w:rsidRPr="000973F2">
              <w:rPr>
                <w:rFonts w:ascii="Times New Roman" w:hAnsi="Times New Roman" w:cs="Times New Roman"/>
                <w:b/>
                <w:bCs/>
                <w:sz w:val="18"/>
                <w:szCs w:val="18"/>
              </w:rPr>
              <w:t>9</w:t>
            </w:r>
          </w:p>
        </w:tc>
        <w:tc>
          <w:tcPr>
            <w:tcW w:w="807" w:type="dxa"/>
            <w:noWrap/>
            <w:hideMark/>
          </w:tcPr>
          <w:p w14:paraId="05F66D13" w14:textId="77777777" w:rsidR="00A91665" w:rsidRPr="000973F2" w:rsidRDefault="00A91665" w:rsidP="0071032D">
            <w:pPr>
              <w:tabs>
                <w:tab w:val="decimal" w:pos="301"/>
              </w:tabs>
              <w:spacing w:before="40" w:after="4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18"/>
                <w:szCs w:val="18"/>
              </w:rPr>
            </w:pPr>
            <w:r w:rsidRPr="000973F2">
              <w:rPr>
                <w:rFonts w:ascii="Times New Roman" w:hAnsi="Times New Roman" w:cs="Times New Roman"/>
                <w:b/>
                <w:bCs/>
                <w:sz w:val="18"/>
                <w:szCs w:val="18"/>
              </w:rPr>
              <w:t>0</w:t>
            </w:r>
          </w:p>
        </w:tc>
        <w:tc>
          <w:tcPr>
            <w:tcW w:w="807" w:type="dxa"/>
            <w:noWrap/>
            <w:hideMark/>
          </w:tcPr>
          <w:p w14:paraId="59C315F1" w14:textId="77777777" w:rsidR="00A91665" w:rsidRPr="000973F2" w:rsidRDefault="00A91665" w:rsidP="0071032D">
            <w:pPr>
              <w:tabs>
                <w:tab w:val="decimal" w:pos="301"/>
              </w:tabs>
              <w:spacing w:before="40" w:after="4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18"/>
                <w:szCs w:val="18"/>
              </w:rPr>
            </w:pPr>
            <w:r w:rsidRPr="000973F2">
              <w:rPr>
                <w:rFonts w:ascii="Times New Roman" w:hAnsi="Times New Roman" w:cs="Times New Roman"/>
                <w:b/>
                <w:bCs/>
                <w:sz w:val="18"/>
                <w:szCs w:val="18"/>
              </w:rPr>
              <w:t>3.5</w:t>
            </w:r>
          </w:p>
        </w:tc>
        <w:tc>
          <w:tcPr>
            <w:tcW w:w="674" w:type="dxa"/>
            <w:noWrap/>
            <w:hideMark/>
          </w:tcPr>
          <w:p w14:paraId="2C2DA68E" w14:textId="77777777" w:rsidR="00A91665" w:rsidRPr="000973F2" w:rsidRDefault="00A91665" w:rsidP="0071032D">
            <w:pPr>
              <w:tabs>
                <w:tab w:val="decimal" w:pos="301"/>
              </w:tabs>
              <w:spacing w:before="40" w:after="4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18"/>
                <w:szCs w:val="18"/>
              </w:rPr>
            </w:pPr>
            <w:r w:rsidRPr="000973F2">
              <w:rPr>
                <w:rFonts w:ascii="Times New Roman" w:hAnsi="Times New Roman" w:cs="Times New Roman"/>
                <w:b/>
                <w:bCs/>
                <w:sz w:val="18"/>
                <w:szCs w:val="18"/>
              </w:rPr>
              <w:t>$0</w:t>
            </w:r>
          </w:p>
        </w:tc>
        <w:tc>
          <w:tcPr>
            <w:tcW w:w="846" w:type="dxa"/>
            <w:noWrap/>
            <w:hideMark/>
          </w:tcPr>
          <w:p w14:paraId="6E5B4D8E" w14:textId="77777777" w:rsidR="00A91665" w:rsidRPr="000973F2" w:rsidRDefault="00A91665" w:rsidP="0071032D">
            <w:pPr>
              <w:tabs>
                <w:tab w:val="decimal" w:pos="496"/>
              </w:tabs>
              <w:spacing w:before="40" w:after="4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18"/>
                <w:szCs w:val="18"/>
              </w:rPr>
            </w:pPr>
            <w:r w:rsidRPr="000973F2">
              <w:rPr>
                <w:rFonts w:ascii="Times New Roman" w:hAnsi="Times New Roman" w:cs="Times New Roman"/>
                <w:b/>
                <w:bCs/>
                <w:sz w:val="18"/>
                <w:szCs w:val="18"/>
              </w:rPr>
              <w:t>$1,017</w:t>
            </w:r>
          </w:p>
        </w:tc>
      </w:tr>
    </w:tbl>
    <w:p w14:paraId="0BE28C08" w14:textId="77777777" w:rsidR="00A91665" w:rsidRPr="000973F2" w:rsidRDefault="00A91665" w:rsidP="00C00E4F">
      <w:pPr>
        <w:spacing w:line="240" w:lineRule="auto"/>
        <w:rPr>
          <w:rFonts w:ascii="Times New Roman" w:hAnsi="Times New Roman" w:cs="Times New Roman"/>
          <w:b/>
          <w:szCs w:val="24"/>
        </w:rPr>
      </w:pPr>
    </w:p>
    <w:p w14:paraId="0D22B4D3" w14:textId="77777777" w:rsidR="00A91665" w:rsidRPr="000973F2" w:rsidRDefault="00A91665" w:rsidP="00C00E4F">
      <w:pPr>
        <w:spacing w:line="240" w:lineRule="auto"/>
        <w:rPr>
          <w:rFonts w:ascii="Times New Roman" w:hAnsi="Times New Roman" w:cs="Times New Roman"/>
          <w:b/>
          <w:szCs w:val="24"/>
        </w:rPr>
      </w:pPr>
    </w:p>
    <w:p w14:paraId="077FB2AF" w14:textId="77777777" w:rsidR="00A91665" w:rsidRPr="000973F2" w:rsidRDefault="00A91665" w:rsidP="00C00E4F">
      <w:pPr>
        <w:spacing w:line="240" w:lineRule="auto"/>
        <w:rPr>
          <w:rFonts w:ascii="Times New Roman" w:hAnsi="Times New Roman" w:cs="Times New Roman"/>
          <w:i/>
          <w:sz w:val="24"/>
          <w:szCs w:val="24"/>
        </w:rPr>
      </w:pPr>
      <w:r w:rsidRPr="000973F2">
        <w:rPr>
          <w:rFonts w:ascii="Times New Roman" w:hAnsi="Times New Roman" w:cs="Times New Roman"/>
          <w:i/>
          <w:sz w:val="24"/>
          <w:szCs w:val="24"/>
        </w:rPr>
        <w:br w:type="page"/>
      </w:r>
    </w:p>
    <w:p w14:paraId="48F6A79C" w14:textId="77777777" w:rsidR="00A91665" w:rsidRPr="000973F2" w:rsidRDefault="00A91665" w:rsidP="0048392B">
      <w:pPr>
        <w:pStyle w:val="Heading2"/>
      </w:pPr>
      <w:r w:rsidRPr="000973F2">
        <w:t>Capital and O&amp;M Costs for Subpart BB</w:t>
      </w:r>
    </w:p>
    <w:p w14:paraId="3988E2D0" w14:textId="6E393139" w:rsidR="00A91665" w:rsidRPr="000973F2" w:rsidRDefault="00A91665" w:rsidP="0048392B">
      <w:pPr>
        <w:pStyle w:val="BodyText"/>
      </w:pPr>
      <w:r w:rsidRPr="000973F2">
        <w:t>Because CEMS are not used by the silicon carbide production facility</w:t>
      </w:r>
      <w:r w:rsidR="00937577" w:rsidRPr="000973F2">
        <w:t xml:space="preserve"> reporting to subpart BB</w:t>
      </w:r>
      <w:r w:rsidRPr="000973F2">
        <w:t>, estimates of CO</w:t>
      </w:r>
      <w:r w:rsidRPr="000973F2">
        <w:rPr>
          <w:vertAlign w:val="subscript"/>
        </w:rPr>
        <w:t>2</w:t>
      </w:r>
      <w:r w:rsidRPr="000973F2">
        <w:t xml:space="preserve"> emissions are based on the consumption of petroleum coke and the carbon content of the petroleum coke. Under the GHGRP, Subpart BB requires the reporting of carbon content of the petroleum coke consumed (</w:t>
      </w:r>
      <w:r w:rsidR="0012538C" w:rsidRPr="000973F2">
        <w:t>§</w:t>
      </w:r>
      <w:r w:rsidRPr="000973F2">
        <w:t>98.284), which is provided by the supplier. Petroleum coke consumption is monitored by the facility as part of their routine accounting procedures or purchase records, therefore, costs for this monitoring are not attributed to the GHGRP. The facility must conduct an annual QA of the supplier data for carbon content of petroleum coke using ASTM methods (</w:t>
      </w:r>
      <w:r w:rsidR="0012538C" w:rsidRPr="000973F2">
        <w:t>§</w:t>
      </w:r>
      <w:r w:rsidRPr="000973F2">
        <w:t>98.284). The estimated annual cost of the laboratory analysis of the carbon content for QA purposes is $179 in 2017 dollars.</w:t>
      </w:r>
      <w:r w:rsidR="00A22B19" w:rsidRPr="000973F2">
        <w:rPr>
          <w:rStyle w:val="FootnoteReference"/>
        </w:rPr>
        <w:footnoteReference w:id="10"/>
      </w:r>
      <w:r w:rsidRPr="000973F2">
        <w:t xml:space="preserve"> Annual production of silicon carbide and the annual production capacity must also be reported (</w:t>
      </w:r>
      <w:r w:rsidR="0012538C" w:rsidRPr="000973F2">
        <w:t>§</w:t>
      </w:r>
      <w:r w:rsidRPr="000973F2">
        <w:t xml:space="preserve">98.286). These data are collected by the facility as a normal </w:t>
      </w:r>
      <w:r w:rsidR="00A429B9" w:rsidRPr="000973F2">
        <w:t>business</w:t>
      </w:r>
      <w:r w:rsidRPr="000973F2">
        <w:t xml:space="preserve"> operations and are not attributed to the GHGRP.</w:t>
      </w:r>
    </w:p>
    <w:p w14:paraId="537228EB" w14:textId="532E13E0" w:rsidR="00A91665" w:rsidRPr="000973F2" w:rsidRDefault="00A91665" w:rsidP="00A10E3E">
      <w:pPr>
        <w:pStyle w:val="BodyText"/>
      </w:pPr>
      <w:r w:rsidRPr="000973F2">
        <w:t xml:space="preserve">Capital and O&amp;M costs are shown in Table </w:t>
      </w:r>
      <w:r w:rsidR="00A10E3E" w:rsidRPr="000973F2">
        <w:t>BB-</w:t>
      </w:r>
      <w:r w:rsidRPr="000973F2">
        <w:t>2. Facilities will also incur O&amp;M costs associated with recordkeeping, which are discussed in the Cost Appendix Introduction. No capital costs are expected.</w:t>
      </w:r>
    </w:p>
    <w:p w14:paraId="4165C7DC" w14:textId="5273EDFE" w:rsidR="00A91665" w:rsidRPr="000973F2" w:rsidRDefault="000802FB" w:rsidP="00A10E3E">
      <w:pPr>
        <w:pStyle w:val="Tabletitle"/>
        <w:rPr>
          <w:sz w:val="24"/>
          <w:szCs w:val="24"/>
        </w:rPr>
      </w:pPr>
      <w:r w:rsidRPr="000973F2">
        <w:t xml:space="preserve">Table </w:t>
      </w:r>
      <w:r w:rsidR="00A10E3E" w:rsidRPr="000973F2">
        <w:t>BB-</w:t>
      </w:r>
      <w:r w:rsidRPr="000973F2">
        <w:t xml:space="preserve">2. Capital and O&amp;M Costs </w:t>
      </w:r>
      <w:r w:rsidR="00B960CC" w:rsidRPr="000973F2">
        <w:t>–</w:t>
      </w:r>
      <w:r w:rsidRPr="000973F2">
        <w:t xml:space="preserve"> </w:t>
      </w:r>
      <w:r w:rsidR="00A91665" w:rsidRPr="000973F2">
        <w:t>Subpart BB</w:t>
      </w:r>
    </w:p>
    <w:tbl>
      <w:tblPr>
        <w:tblStyle w:val="PlainTable1"/>
        <w:tblW w:w="5000" w:type="pct"/>
        <w:jc w:val="left"/>
        <w:tblLayout w:type="fixed"/>
        <w:tblCellMar>
          <w:left w:w="115" w:type="dxa"/>
          <w:right w:w="115" w:type="dxa"/>
        </w:tblCellMar>
        <w:tblLook w:val="04A0" w:firstRow="1" w:lastRow="0" w:firstColumn="1" w:lastColumn="0" w:noHBand="0" w:noVBand="1"/>
      </w:tblPr>
      <w:tblGrid>
        <w:gridCol w:w="2021"/>
        <w:gridCol w:w="1261"/>
        <w:gridCol w:w="1262"/>
        <w:gridCol w:w="1261"/>
        <w:gridCol w:w="1303"/>
        <w:gridCol w:w="1220"/>
        <w:gridCol w:w="1262"/>
      </w:tblGrid>
      <w:tr w:rsidR="00A91665" w:rsidRPr="000973F2" w14:paraId="35D126DF" w14:textId="77777777" w:rsidTr="00A10E3E">
        <w:trPr>
          <w:cnfStyle w:val="100000000000" w:firstRow="1" w:lastRow="0" w:firstColumn="0" w:lastColumn="0" w:oddVBand="0" w:evenVBand="0" w:oddHBand="0" w:evenHBand="0" w:firstRowFirstColumn="0" w:firstRowLastColumn="0" w:lastRowFirstColumn="0" w:lastRowLastColumn="0"/>
          <w:cantSplit/>
          <w:jc w:val="left"/>
        </w:trPr>
        <w:tc>
          <w:tcPr>
            <w:cnfStyle w:val="001000000000" w:firstRow="0" w:lastRow="0" w:firstColumn="1" w:lastColumn="0" w:oddVBand="0" w:evenVBand="0" w:oddHBand="0" w:evenHBand="0" w:firstRowFirstColumn="0" w:firstRowLastColumn="0" w:lastRowFirstColumn="0" w:lastRowLastColumn="0"/>
            <w:tcW w:w="1965" w:type="dxa"/>
            <w:vMerge w:val="restart"/>
            <w:noWrap/>
            <w:vAlign w:val="top"/>
            <w:hideMark/>
          </w:tcPr>
          <w:p w14:paraId="3D4D3AA7" w14:textId="77777777" w:rsidR="00A91665" w:rsidRPr="000973F2" w:rsidRDefault="00A91665" w:rsidP="00A10E3E">
            <w:pPr>
              <w:spacing w:before="40" w:after="40"/>
              <w:rPr>
                <w:rFonts w:ascii="Times New Roman" w:hAnsi="Times New Roman" w:cs="Times New Roman"/>
                <w:b w:val="0"/>
                <w:bCs w:val="0"/>
                <w:sz w:val="18"/>
                <w:szCs w:val="18"/>
              </w:rPr>
            </w:pPr>
            <w:r w:rsidRPr="000973F2">
              <w:rPr>
                <w:rFonts w:ascii="Times New Roman" w:hAnsi="Times New Roman" w:cs="Times New Roman"/>
                <w:sz w:val="18"/>
                <w:szCs w:val="18"/>
              </w:rPr>
              <w:t>Activity</w:t>
            </w:r>
          </w:p>
        </w:tc>
        <w:tc>
          <w:tcPr>
            <w:tcW w:w="4950" w:type="dxa"/>
            <w:gridSpan w:val="4"/>
            <w:noWrap/>
            <w:vAlign w:val="top"/>
            <w:hideMark/>
          </w:tcPr>
          <w:p w14:paraId="56CFDCA0" w14:textId="77777777" w:rsidR="00A91665" w:rsidRPr="000973F2" w:rsidRDefault="00A91665" w:rsidP="00A10E3E">
            <w:pPr>
              <w:spacing w:before="40" w:after="40"/>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sz w:val="18"/>
                <w:szCs w:val="18"/>
              </w:rPr>
            </w:pPr>
            <w:r w:rsidRPr="000973F2">
              <w:rPr>
                <w:rFonts w:ascii="Times New Roman" w:hAnsi="Times New Roman" w:cs="Times New Roman"/>
                <w:sz w:val="18"/>
                <w:szCs w:val="18"/>
              </w:rPr>
              <w:t>Cost Categories</w:t>
            </w:r>
          </w:p>
        </w:tc>
        <w:tc>
          <w:tcPr>
            <w:tcW w:w="2415" w:type="dxa"/>
            <w:gridSpan w:val="2"/>
            <w:vAlign w:val="top"/>
            <w:hideMark/>
          </w:tcPr>
          <w:p w14:paraId="7F4FDCA8" w14:textId="77777777" w:rsidR="00A91665" w:rsidRPr="000973F2" w:rsidRDefault="00A91665" w:rsidP="00A10E3E">
            <w:pPr>
              <w:spacing w:before="40" w:after="40"/>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sz w:val="18"/>
                <w:szCs w:val="18"/>
              </w:rPr>
            </w:pPr>
            <w:r w:rsidRPr="000973F2">
              <w:rPr>
                <w:rFonts w:ascii="Times New Roman" w:hAnsi="Times New Roman" w:cs="Times New Roman"/>
                <w:sz w:val="18"/>
                <w:szCs w:val="18"/>
              </w:rPr>
              <w:t>Total Capital and O&amp;M Cost per Year per Facility (2017$)</w:t>
            </w:r>
          </w:p>
        </w:tc>
      </w:tr>
      <w:tr w:rsidR="00A91665" w:rsidRPr="000973F2" w14:paraId="5ACD4F49" w14:textId="77777777" w:rsidTr="00A10E3E">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1965" w:type="dxa"/>
            <w:vMerge/>
            <w:noWrap/>
            <w:hideMark/>
          </w:tcPr>
          <w:p w14:paraId="33CD0D02" w14:textId="77777777" w:rsidR="00A91665" w:rsidRPr="000973F2" w:rsidRDefault="00A91665" w:rsidP="00A10E3E">
            <w:pPr>
              <w:spacing w:before="40" w:after="40"/>
              <w:jc w:val="center"/>
              <w:rPr>
                <w:rFonts w:ascii="Times New Roman" w:hAnsi="Times New Roman" w:cs="Times New Roman"/>
                <w:b/>
                <w:bCs w:val="0"/>
                <w:sz w:val="18"/>
                <w:szCs w:val="18"/>
              </w:rPr>
            </w:pPr>
          </w:p>
        </w:tc>
        <w:tc>
          <w:tcPr>
            <w:tcW w:w="1227" w:type="dxa"/>
            <w:hideMark/>
          </w:tcPr>
          <w:p w14:paraId="5C78D0F4" w14:textId="77777777" w:rsidR="00A91665" w:rsidRPr="000973F2" w:rsidRDefault="00A91665" w:rsidP="00A10E3E">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18"/>
                <w:szCs w:val="18"/>
              </w:rPr>
            </w:pPr>
            <w:r w:rsidRPr="000973F2">
              <w:rPr>
                <w:rFonts w:ascii="Times New Roman" w:hAnsi="Times New Roman" w:cs="Times New Roman"/>
                <w:b/>
                <w:bCs/>
                <w:sz w:val="18"/>
                <w:szCs w:val="18"/>
              </w:rPr>
              <w:t>Capital Cost (2017$)</w:t>
            </w:r>
          </w:p>
        </w:tc>
        <w:tc>
          <w:tcPr>
            <w:tcW w:w="1228" w:type="dxa"/>
            <w:hideMark/>
          </w:tcPr>
          <w:p w14:paraId="21F50891" w14:textId="77777777" w:rsidR="00A91665" w:rsidRPr="000973F2" w:rsidRDefault="00A91665" w:rsidP="00A10E3E">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18"/>
                <w:szCs w:val="18"/>
              </w:rPr>
            </w:pPr>
            <w:r w:rsidRPr="000973F2">
              <w:rPr>
                <w:rFonts w:ascii="Times New Roman" w:hAnsi="Times New Roman" w:cs="Times New Roman"/>
                <w:b/>
                <w:bCs/>
                <w:sz w:val="18"/>
                <w:szCs w:val="18"/>
              </w:rPr>
              <w:t>Equipment Lifetime</w:t>
            </w:r>
          </w:p>
        </w:tc>
        <w:tc>
          <w:tcPr>
            <w:tcW w:w="1227" w:type="dxa"/>
            <w:hideMark/>
          </w:tcPr>
          <w:p w14:paraId="50567A0B" w14:textId="77777777" w:rsidR="00A91665" w:rsidRPr="000973F2" w:rsidRDefault="00A91665" w:rsidP="00A10E3E">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18"/>
                <w:szCs w:val="18"/>
              </w:rPr>
            </w:pPr>
            <w:r w:rsidRPr="000973F2">
              <w:rPr>
                <w:rFonts w:ascii="Times New Roman" w:hAnsi="Times New Roman" w:cs="Times New Roman"/>
                <w:b/>
                <w:bCs/>
                <w:sz w:val="18"/>
                <w:szCs w:val="18"/>
              </w:rPr>
              <w:t>Annualized Capital Cost (2017$/year)</w:t>
            </w:r>
          </w:p>
        </w:tc>
        <w:tc>
          <w:tcPr>
            <w:tcW w:w="1268" w:type="dxa"/>
            <w:hideMark/>
          </w:tcPr>
          <w:p w14:paraId="2094C9E5" w14:textId="77777777" w:rsidR="00A91665" w:rsidRPr="000973F2" w:rsidRDefault="00A91665" w:rsidP="00A10E3E">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18"/>
                <w:szCs w:val="18"/>
              </w:rPr>
            </w:pPr>
            <w:r w:rsidRPr="000973F2">
              <w:rPr>
                <w:rFonts w:ascii="Times New Roman" w:hAnsi="Times New Roman" w:cs="Times New Roman"/>
                <w:b/>
                <w:bCs/>
                <w:sz w:val="18"/>
                <w:szCs w:val="18"/>
              </w:rPr>
              <w:t>O&amp;M Costs (2017$/year)</w:t>
            </w:r>
          </w:p>
        </w:tc>
        <w:tc>
          <w:tcPr>
            <w:tcW w:w="1187" w:type="dxa"/>
            <w:hideMark/>
          </w:tcPr>
          <w:p w14:paraId="07121E20" w14:textId="77777777" w:rsidR="00A91665" w:rsidRPr="000973F2" w:rsidRDefault="00A91665" w:rsidP="00A10E3E">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18"/>
                <w:szCs w:val="18"/>
              </w:rPr>
            </w:pPr>
            <w:r w:rsidRPr="000973F2">
              <w:rPr>
                <w:rFonts w:ascii="Times New Roman" w:hAnsi="Times New Roman" w:cs="Times New Roman"/>
                <w:b/>
                <w:bCs/>
                <w:sz w:val="18"/>
                <w:szCs w:val="18"/>
              </w:rPr>
              <w:t>Initial Year</w:t>
            </w:r>
          </w:p>
        </w:tc>
        <w:tc>
          <w:tcPr>
            <w:tcW w:w="1228" w:type="dxa"/>
            <w:hideMark/>
          </w:tcPr>
          <w:p w14:paraId="5D1A737C" w14:textId="77777777" w:rsidR="00A91665" w:rsidRPr="000973F2" w:rsidRDefault="00A91665" w:rsidP="00A10E3E">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18"/>
                <w:szCs w:val="18"/>
              </w:rPr>
            </w:pPr>
            <w:r w:rsidRPr="000973F2">
              <w:rPr>
                <w:rFonts w:ascii="Times New Roman" w:hAnsi="Times New Roman" w:cs="Times New Roman"/>
                <w:b/>
                <w:bCs/>
                <w:sz w:val="18"/>
                <w:szCs w:val="18"/>
              </w:rPr>
              <w:t>Subseq. Years</w:t>
            </w:r>
          </w:p>
        </w:tc>
      </w:tr>
      <w:tr w:rsidR="00A10E3E" w:rsidRPr="000973F2" w14:paraId="2A807DA7" w14:textId="77777777" w:rsidTr="00A10E3E">
        <w:trPr>
          <w:cantSplit/>
        </w:trPr>
        <w:tc>
          <w:tcPr>
            <w:cnfStyle w:val="001000000000" w:firstRow="0" w:lastRow="0" w:firstColumn="1" w:lastColumn="0" w:oddVBand="0" w:evenVBand="0" w:oddHBand="0" w:evenHBand="0" w:firstRowFirstColumn="0" w:firstRowLastColumn="0" w:lastRowFirstColumn="0" w:lastRowLastColumn="0"/>
            <w:tcW w:w="1965" w:type="dxa"/>
            <w:hideMark/>
          </w:tcPr>
          <w:p w14:paraId="11678B4C" w14:textId="77777777" w:rsidR="00A10E3E" w:rsidRPr="000973F2" w:rsidRDefault="00A10E3E" w:rsidP="00A10E3E">
            <w:pPr>
              <w:spacing w:before="40" w:after="40"/>
              <w:rPr>
                <w:rFonts w:ascii="Times New Roman" w:hAnsi="Times New Roman" w:cs="Times New Roman"/>
                <w:sz w:val="18"/>
                <w:szCs w:val="18"/>
              </w:rPr>
            </w:pPr>
            <w:r w:rsidRPr="000973F2">
              <w:rPr>
                <w:rFonts w:ascii="Times New Roman" w:hAnsi="Times New Roman" w:cs="Times New Roman"/>
                <w:sz w:val="18"/>
                <w:szCs w:val="18"/>
              </w:rPr>
              <w:t>Equipment (selection, purchase, installation)</w:t>
            </w:r>
          </w:p>
        </w:tc>
        <w:tc>
          <w:tcPr>
            <w:tcW w:w="1227" w:type="dxa"/>
            <w:noWrap/>
            <w:hideMark/>
          </w:tcPr>
          <w:p w14:paraId="4C57AC0A" w14:textId="2ADE8CD1" w:rsidR="00A10E3E" w:rsidRPr="000973F2" w:rsidRDefault="00A10E3E" w:rsidP="00A10E3E">
            <w:pPr>
              <w:spacing w:before="40" w:after="4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0973F2">
              <w:rPr>
                <w:rFonts w:ascii="Times New Roman" w:eastAsia="Times New Roman" w:hAnsi="Times New Roman" w:cs="Times New Roman"/>
                <w:sz w:val="18"/>
                <w:szCs w:val="18"/>
              </w:rPr>
              <w:t>–</w:t>
            </w:r>
          </w:p>
        </w:tc>
        <w:tc>
          <w:tcPr>
            <w:tcW w:w="1228" w:type="dxa"/>
            <w:noWrap/>
          </w:tcPr>
          <w:p w14:paraId="5A6FD5C5" w14:textId="39833501" w:rsidR="00A10E3E" w:rsidRPr="000973F2" w:rsidRDefault="00A10E3E" w:rsidP="00A10E3E">
            <w:pPr>
              <w:spacing w:before="40" w:after="4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p>
        </w:tc>
        <w:tc>
          <w:tcPr>
            <w:tcW w:w="1227" w:type="dxa"/>
            <w:noWrap/>
            <w:hideMark/>
          </w:tcPr>
          <w:p w14:paraId="0F68D41D" w14:textId="45680654" w:rsidR="00A10E3E" w:rsidRPr="000973F2" w:rsidRDefault="00A10E3E" w:rsidP="00A10E3E">
            <w:pPr>
              <w:spacing w:before="40" w:after="4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0973F2">
              <w:rPr>
                <w:rFonts w:ascii="Times New Roman" w:eastAsia="Times New Roman" w:hAnsi="Times New Roman" w:cs="Times New Roman"/>
                <w:sz w:val="18"/>
                <w:szCs w:val="18"/>
              </w:rPr>
              <w:t>–</w:t>
            </w:r>
          </w:p>
        </w:tc>
        <w:tc>
          <w:tcPr>
            <w:tcW w:w="1268" w:type="dxa"/>
            <w:noWrap/>
            <w:hideMark/>
          </w:tcPr>
          <w:p w14:paraId="439E2571" w14:textId="1A486775" w:rsidR="00A10E3E" w:rsidRPr="000973F2" w:rsidRDefault="00A10E3E" w:rsidP="00A10E3E">
            <w:pPr>
              <w:tabs>
                <w:tab w:val="decimal" w:pos="631"/>
              </w:tabs>
              <w:spacing w:before="40" w:after="4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0973F2">
              <w:rPr>
                <w:rFonts w:ascii="Times New Roman" w:eastAsia="Times New Roman" w:hAnsi="Times New Roman" w:cs="Times New Roman"/>
                <w:sz w:val="18"/>
                <w:szCs w:val="18"/>
              </w:rPr>
              <w:t>–</w:t>
            </w:r>
          </w:p>
        </w:tc>
        <w:tc>
          <w:tcPr>
            <w:tcW w:w="1187" w:type="dxa"/>
            <w:noWrap/>
            <w:hideMark/>
          </w:tcPr>
          <w:p w14:paraId="250F2FC7" w14:textId="382C5F6D" w:rsidR="00A10E3E" w:rsidRPr="000973F2" w:rsidRDefault="00A10E3E" w:rsidP="00A10E3E">
            <w:pPr>
              <w:spacing w:before="40" w:after="4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0973F2">
              <w:rPr>
                <w:rFonts w:ascii="Times New Roman" w:eastAsia="Times New Roman" w:hAnsi="Times New Roman" w:cs="Times New Roman"/>
                <w:sz w:val="18"/>
                <w:szCs w:val="18"/>
              </w:rPr>
              <w:t>–</w:t>
            </w:r>
          </w:p>
        </w:tc>
        <w:tc>
          <w:tcPr>
            <w:tcW w:w="1228" w:type="dxa"/>
            <w:noWrap/>
            <w:hideMark/>
          </w:tcPr>
          <w:p w14:paraId="52A8A2F5" w14:textId="6C900D9C" w:rsidR="00A10E3E" w:rsidRPr="000973F2" w:rsidRDefault="00A10E3E" w:rsidP="00A10E3E">
            <w:pPr>
              <w:tabs>
                <w:tab w:val="decimal" w:pos="676"/>
              </w:tabs>
              <w:spacing w:before="40" w:after="4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0973F2">
              <w:rPr>
                <w:rFonts w:ascii="Times New Roman" w:eastAsia="Times New Roman" w:hAnsi="Times New Roman" w:cs="Times New Roman"/>
                <w:sz w:val="18"/>
                <w:szCs w:val="18"/>
              </w:rPr>
              <w:t>–</w:t>
            </w:r>
          </w:p>
        </w:tc>
      </w:tr>
      <w:tr w:rsidR="00A10E3E" w:rsidRPr="000973F2" w14:paraId="33218599" w14:textId="77777777" w:rsidTr="00A10E3E">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1965" w:type="dxa"/>
            <w:hideMark/>
          </w:tcPr>
          <w:p w14:paraId="1E6131AF" w14:textId="77777777" w:rsidR="00A10E3E" w:rsidRPr="000973F2" w:rsidRDefault="00A10E3E" w:rsidP="00A10E3E">
            <w:pPr>
              <w:spacing w:before="40" w:after="40"/>
              <w:rPr>
                <w:rFonts w:ascii="Times New Roman" w:hAnsi="Times New Roman" w:cs="Times New Roman"/>
                <w:sz w:val="18"/>
                <w:szCs w:val="18"/>
              </w:rPr>
            </w:pPr>
            <w:r w:rsidRPr="000973F2">
              <w:rPr>
                <w:rFonts w:ascii="Times New Roman" w:hAnsi="Times New Roman" w:cs="Times New Roman"/>
                <w:sz w:val="18"/>
                <w:szCs w:val="18"/>
              </w:rPr>
              <w:t>Performance testing</w:t>
            </w:r>
          </w:p>
        </w:tc>
        <w:tc>
          <w:tcPr>
            <w:tcW w:w="1227" w:type="dxa"/>
            <w:noWrap/>
            <w:hideMark/>
          </w:tcPr>
          <w:p w14:paraId="11BBBB07" w14:textId="6DC4B484" w:rsidR="00A10E3E" w:rsidRPr="000973F2" w:rsidRDefault="00A10E3E" w:rsidP="00A10E3E">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rPr>
            </w:pPr>
            <w:r w:rsidRPr="000973F2">
              <w:rPr>
                <w:rFonts w:ascii="Times New Roman" w:eastAsia="Times New Roman" w:hAnsi="Times New Roman" w:cs="Times New Roman"/>
                <w:sz w:val="18"/>
                <w:szCs w:val="18"/>
              </w:rPr>
              <w:t>–</w:t>
            </w:r>
          </w:p>
        </w:tc>
        <w:tc>
          <w:tcPr>
            <w:tcW w:w="1228" w:type="dxa"/>
            <w:noWrap/>
          </w:tcPr>
          <w:p w14:paraId="6A02B4B6" w14:textId="79952A59" w:rsidR="00A10E3E" w:rsidRPr="000973F2" w:rsidRDefault="00A10E3E" w:rsidP="00A10E3E">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rPr>
            </w:pPr>
          </w:p>
        </w:tc>
        <w:tc>
          <w:tcPr>
            <w:tcW w:w="1227" w:type="dxa"/>
            <w:noWrap/>
            <w:hideMark/>
          </w:tcPr>
          <w:p w14:paraId="04DB9AAA" w14:textId="7DF64788" w:rsidR="00A10E3E" w:rsidRPr="000973F2" w:rsidRDefault="00A10E3E" w:rsidP="00A10E3E">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rPr>
            </w:pPr>
            <w:r w:rsidRPr="000973F2">
              <w:rPr>
                <w:rFonts w:ascii="Times New Roman" w:eastAsia="Times New Roman" w:hAnsi="Times New Roman" w:cs="Times New Roman"/>
                <w:sz w:val="18"/>
                <w:szCs w:val="18"/>
              </w:rPr>
              <w:t>–</w:t>
            </w:r>
          </w:p>
        </w:tc>
        <w:tc>
          <w:tcPr>
            <w:tcW w:w="1268" w:type="dxa"/>
            <w:noWrap/>
            <w:hideMark/>
          </w:tcPr>
          <w:p w14:paraId="77C9187D" w14:textId="6252372A" w:rsidR="00A10E3E" w:rsidRPr="000973F2" w:rsidRDefault="00A10E3E" w:rsidP="00A10E3E">
            <w:pPr>
              <w:tabs>
                <w:tab w:val="decimal" w:pos="631"/>
              </w:tabs>
              <w:spacing w:before="40" w:after="4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rPr>
            </w:pPr>
            <w:r w:rsidRPr="000973F2">
              <w:rPr>
                <w:rFonts w:ascii="Times New Roman" w:eastAsia="Times New Roman" w:hAnsi="Times New Roman" w:cs="Times New Roman"/>
                <w:sz w:val="18"/>
                <w:szCs w:val="18"/>
              </w:rPr>
              <w:t>–</w:t>
            </w:r>
          </w:p>
        </w:tc>
        <w:tc>
          <w:tcPr>
            <w:tcW w:w="1187" w:type="dxa"/>
            <w:noWrap/>
            <w:hideMark/>
          </w:tcPr>
          <w:p w14:paraId="78BD5E1B" w14:textId="05555F43" w:rsidR="00A10E3E" w:rsidRPr="000973F2" w:rsidRDefault="00A10E3E" w:rsidP="00A10E3E">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rPr>
            </w:pPr>
            <w:r w:rsidRPr="000973F2">
              <w:rPr>
                <w:rFonts w:ascii="Times New Roman" w:eastAsia="Times New Roman" w:hAnsi="Times New Roman" w:cs="Times New Roman"/>
                <w:sz w:val="18"/>
                <w:szCs w:val="18"/>
              </w:rPr>
              <w:t>–</w:t>
            </w:r>
          </w:p>
        </w:tc>
        <w:tc>
          <w:tcPr>
            <w:tcW w:w="1228" w:type="dxa"/>
            <w:noWrap/>
            <w:hideMark/>
          </w:tcPr>
          <w:p w14:paraId="13D024D4" w14:textId="25C60A3B" w:rsidR="00A10E3E" w:rsidRPr="000973F2" w:rsidRDefault="00A10E3E" w:rsidP="00A10E3E">
            <w:pPr>
              <w:tabs>
                <w:tab w:val="decimal" w:pos="676"/>
              </w:tabs>
              <w:spacing w:before="40" w:after="4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rPr>
            </w:pPr>
            <w:r w:rsidRPr="000973F2">
              <w:rPr>
                <w:rFonts w:ascii="Times New Roman" w:eastAsia="Times New Roman" w:hAnsi="Times New Roman" w:cs="Times New Roman"/>
                <w:sz w:val="18"/>
                <w:szCs w:val="18"/>
              </w:rPr>
              <w:t>–</w:t>
            </w:r>
          </w:p>
        </w:tc>
      </w:tr>
      <w:tr w:rsidR="00A91665" w:rsidRPr="000973F2" w14:paraId="3D19DA44" w14:textId="77777777" w:rsidTr="00A10E3E">
        <w:trPr>
          <w:cantSplit/>
        </w:trPr>
        <w:tc>
          <w:tcPr>
            <w:cnfStyle w:val="001000000000" w:firstRow="0" w:lastRow="0" w:firstColumn="1" w:lastColumn="0" w:oddVBand="0" w:evenVBand="0" w:oddHBand="0" w:evenHBand="0" w:firstRowFirstColumn="0" w:firstRowLastColumn="0" w:lastRowFirstColumn="0" w:lastRowLastColumn="0"/>
            <w:tcW w:w="1965" w:type="dxa"/>
            <w:hideMark/>
          </w:tcPr>
          <w:p w14:paraId="280F1B58" w14:textId="77777777" w:rsidR="00A91665" w:rsidRPr="000973F2" w:rsidRDefault="00A91665" w:rsidP="00A10E3E">
            <w:pPr>
              <w:spacing w:before="40" w:after="40"/>
              <w:rPr>
                <w:rFonts w:ascii="Times New Roman" w:hAnsi="Times New Roman" w:cs="Times New Roman"/>
                <w:sz w:val="18"/>
                <w:szCs w:val="18"/>
              </w:rPr>
            </w:pPr>
            <w:r w:rsidRPr="000973F2">
              <w:rPr>
                <w:rFonts w:ascii="Times New Roman" w:hAnsi="Times New Roman" w:cs="Times New Roman"/>
                <w:sz w:val="18"/>
                <w:szCs w:val="18"/>
              </w:rPr>
              <w:t>Recordkeeping</w:t>
            </w:r>
          </w:p>
        </w:tc>
        <w:tc>
          <w:tcPr>
            <w:tcW w:w="1227" w:type="dxa"/>
            <w:noWrap/>
            <w:hideMark/>
          </w:tcPr>
          <w:p w14:paraId="6698D3DC" w14:textId="77777777" w:rsidR="00A91665" w:rsidRPr="000973F2" w:rsidRDefault="00A91665" w:rsidP="00A10E3E">
            <w:pPr>
              <w:spacing w:before="40" w:after="4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0973F2">
              <w:rPr>
                <w:rFonts w:ascii="Times New Roman" w:hAnsi="Times New Roman" w:cs="Times New Roman"/>
                <w:sz w:val="18"/>
                <w:szCs w:val="18"/>
              </w:rPr>
              <w:t>$0</w:t>
            </w:r>
          </w:p>
        </w:tc>
        <w:tc>
          <w:tcPr>
            <w:tcW w:w="1228" w:type="dxa"/>
            <w:noWrap/>
          </w:tcPr>
          <w:p w14:paraId="10049769" w14:textId="77777777" w:rsidR="00A91665" w:rsidRPr="000973F2" w:rsidRDefault="00A91665" w:rsidP="00A10E3E">
            <w:pPr>
              <w:spacing w:before="40" w:after="4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p>
        </w:tc>
        <w:tc>
          <w:tcPr>
            <w:tcW w:w="1227" w:type="dxa"/>
            <w:noWrap/>
            <w:hideMark/>
          </w:tcPr>
          <w:p w14:paraId="1B314D9F" w14:textId="77777777" w:rsidR="00A91665" w:rsidRPr="000973F2" w:rsidRDefault="00A91665" w:rsidP="00A10E3E">
            <w:pPr>
              <w:spacing w:before="40" w:after="4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0973F2">
              <w:rPr>
                <w:rFonts w:ascii="Times New Roman" w:hAnsi="Times New Roman" w:cs="Times New Roman"/>
                <w:sz w:val="18"/>
                <w:szCs w:val="18"/>
              </w:rPr>
              <w:t>$0</w:t>
            </w:r>
          </w:p>
        </w:tc>
        <w:tc>
          <w:tcPr>
            <w:tcW w:w="1268" w:type="dxa"/>
            <w:noWrap/>
            <w:hideMark/>
          </w:tcPr>
          <w:p w14:paraId="4D7B8243" w14:textId="77777777" w:rsidR="00A91665" w:rsidRPr="000973F2" w:rsidRDefault="00A91665" w:rsidP="00A10E3E">
            <w:pPr>
              <w:tabs>
                <w:tab w:val="decimal" w:pos="631"/>
              </w:tabs>
              <w:spacing w:before="40" w:after="4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0973F2">
              <w:rPr>
                <w:rFonts w:ascii="Times New Roman" w:hAnsi="Times New Roman" w:cs="Times New Roman"/>
                <w:sz w:val="18"/>
                <w:szCs w:val="18"/>
              </w:rPr>
              <w:t>$50</w:t>
            </w:r>
          </w:p>
        </w:tc>
        <w:tc>
          <w:tcPr>
            <w:tcW w:w="1187" w:type="dxa"/>
            <w:noWrap/>
            <w:hideMark/>
          </w:tcPr>
          <w:p w14:paraId="16411258" w14:textId="77777777" w:rsidR="00A91665" w:rsidRPr="000973F2" w:rsidRDefault="00A91665" w:rsidP="00A10E3E">
            <w:pPr>
              <w:spacing w:before="40" w:after="4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0973F2">
              <w:rPr>
                <w:rFonts w:ascii="Times New Roman" w:hAnsi="Times New Roman" w:cs="Times New Roman"/>
                <w:sz w:val="18"/>
                <w:szCs w:val="18"/>
              </w:rPr>
              <w:t>$0</w:t>
            </w:r>
          </w:p>
        </w:tc>
        <w:tc>
          <w:tcPr>
            <w:tcW w:w="1228" w:type="dxa"/>
            <w:noWrap/>
            <w:hideMark/>
          </w:tcPr>
          <w:p w14:paraId="596970D1" w14:textId="77777777" w:rsidR="00A91665" w:rsidRPr="000973F2" w:rsidRDefault="00A91665" w:rsidP="00A10E3E">
            <w:pPr>
              <w:tabs>
                <w:tab w:val="decimal" w:pos="676"/>
              </w:tabs>
              <w:spacing w:before="40" w:after="4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0973F2">
              <w:rPr>
                <w:rFonts w:ascii="Times New Roman" w:hAnsi="Times New Roman" w:cs="Times New Roman"/>
                <w:sz w:val="18"/>
                <w:szCs w:val="18"/>
              </w:rPr>
              <w:t>$50</w:t>
            </w:r>
          </w:p>
        </w:tc>
      </w:tr>
      <w:tr w:rsidR="00A10E3E" w:rsidRPr="000973F2" w14:paraId="689D66BB" w14:textId="77777777" w:rsidTr="00A10E3E">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1965" w:type="dxa"/>
            <w:hideMark/>
          </w:tcPr>
          <w:p w14:paraId="23D74277" w14:textId="77777777" w:rsidR="00A10E3E" w:rsidRPr="000973F2" w:rsidRDefault="00A10E3E" w:rsidP="00A10E3E">
            <w:pPr>
              <w:spacing w:before="40" w:after="40"/>
              <w:rPr>
                <w:rFonts w:ascii="Times New Roman" w:hAnsi="Times New Roman" w:cs="Times New Roman"/>
                <w:sz w:val="18"/>
                <w:szCs w:val="18"/>
              </w:rPr>
            </w:pPr>
            <w:r w:rsidRPr="000973F2">
              <w:rPr>
                <w:rFonts w:ascii="Times New Roman" w:hAnsi="Times New Roman" w:cs="Times New Roman"/>
                <w:sz w:val="18"/>
                <w:szCs w:val="18"/>
              </w:rPr>
              <w:t>Travel</w:t>
            </w:r>
          </w:p>
        </w:tc>
        <w:tc>
          <w:tcPr>
            <w:tcW w:w="1227" w:type="dxa"/>
            <w:noWrap/>
            <w:hideMark/>
          </w:tcPr>
          <w:p w14:paraId="141D87F4" w14:textId="6F66C6F8" w:rsidR="00A10E3E" w:rsidRPr="000973F2" w:rsidRDefault="00A10E3E" w:rsidP="00A10E3E">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rPr>
            </w:pPr>
            <w:r w:rsidRPr="000973F2">
              <w:rPr>
                <w:rFonts w:ascii="Times New Roman" w:eastAsia="Times New Roman" w:hAnsi="Times New Roman" w:cs="Times New Roman"/>
                <w:sz w:val="18"/>
                <w:szCs w:val="18"/>
              </w:rPr>
              <w:t>–</w:t>
            </w:r>
          </w:p>
        </w:tc>
        <w:tc>
          <w:tcPr>
            <w:tcW w:w="1228" w:type="dxa"/>
            <w:noWrap/>
          </w:tcPr>
          <w:p w14:paraId="4BF5625F" w14:textId="3B073992" w:rsidR="00A10E3E" w:rsidRPr="000973F2" w:rsidRDefault="00A10E3E" w:rsidP="00A10E3E">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rPr>
            </w:pPr>
          </w:p>
        </w:tc>
        <w:tc>
          <w:tcPr>
            <w:tcW w:w="1227" w:type="dxa"/>
            <w:noWrap/>
            <w:hideMark/>
          </w:tcPr>
          <w:p w14:paraId="1FCBC256" w14:textId="5A7B3C54" w:rsidR="00A10E3E" w:rsidRPr="000973F2" w:rsidRDefault="00A10E3E" w:rsidP="00A10E3E">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rPr>
            </w:pPr>
            <w:r w:rsidRPr="000973F2">
              <w:rPr>
                <w:rFonts w:ascii="Times New Roman" w:eastAsia="Times New Roman" w:hAnsi="Times New Roman" w:cs="Times New Roman"/>
                <w:sz w:val="18"/>
                <w:szCs w:val="18"/>
              </w:rPr>
              <w:t>–</w:t>
            </w:r>
          </w:p>
        </w:tc>
        <w:tc>
          <w:tcPr>
            <w:tcW w:w="1268" w:type="dxa"/>
            <w:noWrap/>
            <w:hideMark/>
          </w:tcPr>
          <w:p w14:paraId="66EB1F54" w14:textId="034E4903" w:rsidR="00A10E3E" w:rsidRPr="000973F2" w:rsidRDefault="00A10E3E" w:rsidP="00A10E3E">
            <w:pPr>
              <w:tabs>
                <w:tab w:val="decimal" w:pos="631"/>
              </w:tabs>
              <w:spacing w:before="40" w:after="4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rPr>
            </w:pPr>
            <w:r w:rsidRPr="000973F2">
              <w:rPr>
                <w:rFonts w:ascii="Times New Roman" w:eastAsia="Times New Roman" w:hAnsi="Times New Roman" w:cs="Times New Roman"/>
                <w:sz w:val="18"/>
                <w:szCs w:val="18"/>
              </w:rPr>
              <w:t>–</w:t>
            </w:r>
          </w:p>
        </w:tc>
        <w:tc>
          <w:tcPr>
            <w:tcW w:w="1187" w:type="dxa"/>
            <w:noWrap/>
            <w:hideMark/>
          </w:tcPr>
          <w:p w14:paraId="651DBB4C" w14:textId="3D207467" w:rsidR="00A10E3E" w:rsidRPr="000973F2" w:rsidRDefault="00A10E3E" w:rsidP="00A10E3E">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rPr>
            </w:pPr>
            <w:r w:rsidRPr="000973F2">
              <w:rPr>
                <w:rFonts w:ascii="Times New Roman" w:eastAsia="Times New Roman" w:hAnsi="Times New Roman" w:cs="Times New Roman"/>
                <w:sz w:val="18"/>
                <w:szCs w:val="18"/>
              </w:rPr>
              <w:t>–</w:t>
            </w:r>
          </w:p>
        </w:tc>
        <w:tc>
          <w:tcPr>
            <w:tcW w:w="1228" w:type="dxa"/>
            <w:noWrap/>
            <w:hideMark/>
          </w:tcPr>
          <w:p w14:paraId="40A72E06" w14:textId="27F34768" w:rsidR="00A10E3E" w:rsidRPr="000973F2" w:rsidRDefault="00A10E3E" w:rsidP="00A10E3E">
            <w:pPr>
              <w:tabs>
                <w:tab w:val="decimal" w:pos="676"/>
              </w:tabs>
              <w:spacing w:before="40" w:after="4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rPr>
            </w:pPr>
            <w:r w:rsidRPr="000973F2">
              <w:rPr>
                <w:rFonts w:ascii="Times New Roman" w:eastAsia="Times New Roman" w:hAnsi="Times New Roman" w:cs="Times New Roman"/>
                <w:sz w:val="18"/>
                <w:szCs w:val="18"/>
              </w:rPr>
              <w:t>–</w:t>
            </w:r>
          </w:p>
        </w:tc>
      </w:tr>
      <w:tr w:rsidR="00A91665" w:rsidRPr="000973F2" w14:paraId="0EFE80A7" w14:textId="77777777" w:rsidTr="00A10E3E">
        <w:trPr>
          <w:cantSplit/>
        </w:trPr>
        <w:tc>
          <w:tcPr>
            <w:cnfStyle w:val="001000000000" w:firstRow="0" w:lastRow="0" w:firstColumn="1" w:lastColumn="0" w:oddVBand="0" w:evenVBand="0" w:oddHBand="0" w:evenHBand="0" w:firstRowFirstColumn="0" w:firstRowLastColumn="0" w:lastRowFirstColumn="0" w:lastRowLastColumn="0"/>
            <w:tcW w:w="1965" w:type="dxa"/>
            <w:hideMark/>
          </w:tcPr>
          <w:p w14:paraId="797B09DE" w14:textId="05D07C7D" w:rsidR="00A91665" w:rsidRPr="000973F2" w:rsidRDefault="00A91665" w:rsidP="00A10E3E">
            <w:pPr>
              <w:spacing w:before="40" w:after="40"/>
              <w:rPr>
                <w:rFonts w:ascii="Times New Roman" w:hAnsi="Times New Roman" w:cs="Times New Roman"/>
                <w:sz w:val="18"/>
                <w:szCs w:val="18"/>
              </w:rPr>
            </w:pPr>
            <w:r w:rsidRPr="000973F2">
              <w:rPr>
                <w:rFonts w:ascii="Times New Roman" w:hAnsi="Times New Roman" w:cs="Times New Roman"/>
                <w:sz w:val="18"/>
                <w:szCs w:val="18"/>
              </w:rPr>
              <w:t xml:space="preserve">Sampling </w:t>
            </w:r>
            <w:r w:rsidR="00321129" w:rsidRPr="000973F2">
              <w:rPr>
                <w:rFonts w:ascii="Times New Roman" w:eastAsia="Times New Roman" w:hAnsi="Times New Roman" w:cs="Times New Roman"/>
                <w:sz w:val="18"/>
                <w:szCs w:val="18"/>
              </w:rPr>
              <w:t xml:space="preserve">and Analysis </w:t>
            </w:r>
            <w:r w:rsidRPr="000973F2">
              <w:rPr>
                <w:rFonts w:ascii="Times New Roman" w:hAnsi="Times New Roman" w:cs="Times New Roman"/>
                <w:sz w:val="18"/>
                <w:szCs w:val="18"/>
              </w:rPr>
              <w:t>Costs</w:t>
            </w:r>
          </w:p>
        </w:tc>
        <w:tc>
          <w:tcPr>
            <w:tcW w:w="1227" w:type="dxa"/>
            <w:noWrap/>
            <w:hideMark/>
          </w:tcPr>
          <w:p w14:paraId="0036861C" w14:textId="77777777" w:rsidR="00A91665" w:rsidRPr="000973F2" w:rsidRDefault="00A91665" w:rsidP="00A10E3E">
            <w:pPr>
              <w:spacing w:before="40" w:after="4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0973F2">
              <w:rPr>
                <w:rFonts w:ascii="Times New Roman" w:hAnsi="Times New Roman" w:cs="Times New Roman"/>
                <w:sz w:val="18"/>
                <w:szCs w:val="18"/>
              </w:rPr>
              <w:t>$0</w:t>
            </w:r>
          </w:p>
        </w:tc>
        <w:tc>
          <w:tcPr>
            <w:tcW w:w="1228" w:type="dxa"/>
            <w:noWrap/>
          </w:tcPr>
          <w:p w14:paraId="46C38869" w14:textId="77777777" w:rsidR="00A91665" w:rsidRPr="000973F2" w:rsidRDefault="00A91665" w:rsidP="00A10E3E">
            <w:pPr>
              <w:spacing w:before="40" w:after="4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p>
        </w:tc>
        <w:tc>
          <w:tcPr>
            <w:tcW w:w="1227" w:type="dxa"/>
            <w:noWrap/>
            <w:hideMark/>
          </w:tcPr>
          <w:p w14:paraId="5654EC60" w14:textId="77777777" w:rsidR="00A91665" w:rsidRPr="000973F2" w:rsidRDefault="00A91665" w:rsidP="00A10E3E">
            <w:pPr>
              <w:spacing w:before="40" w:after="4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0973F2">
              <w:rPr>
                <w:rFonts w:ascii="Times New Roman" w:hAnsi="Times New Roman" w:cs="Times New Roman"/>
                <w:sz w:val="18"/>
                <w:szCs w:val="18"/>
              </w:rPr>
              <w:t>$0</w:t>
            </w:r>
          </w:p>
        </w:tc>
        <w:tc>
          <w:tcPr>
            <w:tcW w:w="1268" w:type="dxa"/>
            <w:noWrap/>
            <w:hideMark/>
          </w:tcPr>
          <w:p w14:paraId="12FD0B00" w14:textId="77777777" w:rsidR="00A91665" w:rsidRPr="000973F2" w:rsidRDefault="00A91665" w:rsidP="00A10E3E">
            <w:pPr>
              <w:tabs>
                <w:tab w:val="decimal" w:pos="631"/>
              </w:tabs>
              <w:spacing w:before="40" w:after="4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0973F2">
              <w:rPr>
                <w:rFonts w:ascii="Times New Roman" w:hAnsi="Times New Roman" w:cs="Times New Roman"/>
                <w:sz w:val="18"/>
                <w:szCs w:val="18"/>
              </w:rPr>
              <w:t>$179</w:t>
            </w:r>
          </w:p>
        </w:tc>
        <w:tc>
          <w:tcPr>
            <w:tcW w:w="1187" w:type="dxa"/>
            <w:noWrap/>
            <w:hideMark/>
          </w:tcPr>
          <w:p w14:paraId="109BB69A" w14:textId="77777777" w:rsidR="00A91665" w:rsidRPr="000973F2" w:rsidRDefault="00A91665" w:rsidP="00A10E3E">
            <w:pPr>
              <w:spacing w:before="40" w:after="4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0973F2">
              <w:rPr>
                <w:rFonts w:ascii="Times New Roman" w:hAnsi="Times New Roman" w:cs="Times New Roman"/>
                <w:sz w:val="18"/>
                <w:szCs w:val="18"/>
              </w:rPr>
              <w:t>$0</w:t>
            </w:r>
          </w:p>
        </w:tc>
        <w:tc>
          <w:tcPr>
            <w:tcW w:w="1228" w:type="dxa"/>
            <w:noWrap/>
            <w:hideMark/>
          </w:tcPr>
          <w:p w14:paraId="40B8DCE1" w14:textId="77777777" w:rsidR="00A91665" w:rsidRPr="000973F2" w:rsidRDefault="00A91665" w:rsidP="00A10E3E">
            <w:pPr>
              <w:tabs>
                <w:tab w:val="decimal" w:pos="676"/>
              </w:tabs>
              <w:spacing w:before="40" w:after="4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0973F2">
              <w:rPr>
                <w:rFonts w:ascii="Times New Roman" w:hAnsi="Times New Roman" w:cs="Times New Roman"/>
                <w:sz w:val="18"/>
                <w:szCs w:val="18"/>
              </w:rPr>
              <w:t>$179</w:t>
            </w:r>
          </w:p>
        </w:tc>
      </w:tr>
      <w:tr w:rsidR="00A91665" w:rsidRPr="000973F2" w14:paraId="11616C37" w14:textId="77777777" w:rsidTr="00A10E3E">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1965" w:type="dxa"/>
            <w:hideMark/>
          </w:tcPr>
          <w:p w14:paraId="549A4322" w14:textId="77777777" w:rsidR="00A91665" w:rsidRPr="000973F2" w:rsidRDefault="00A91665" w:rsidP="00A10E3E">
            <w:pPr>
              <w:spacing w:before="40" w:after="40"/>
              <w:rPr>
                <w:rFonts w:ascii="Times New Roman" w:hAnsi="Times New Roman" w:cs="Times New Roman"/>
                <w:b/>
                <w:bCs w:val="0"/>
                <w:sz w:val="18"/>
                <w:szCs w:val="18"/>
              </w:rPr>
            </w:pPr>
            <w:r w:rsidRPr="000973F2">
              <w:rPr>
                <w:rFonts w:ascii="Times New Roman" w:hAnsi="Times New Roman" w:cs="Times New Roman"/>
                <w:b/>
                <w:sz w:val="18"/>
                <w:szCs w:val="18"/>
              </w:rPr>
              <w:t xml:space="preserve">Total </w:t>
            </w:r>
          </w:p>
        </w:tc>
        <w:tc>
          <w:tcPr>
            <w:tcW w:w="1227" w:type="dxa"/>
            <w:noWrap/>
            <w:hideMark/>
          </w:tcPr>
          <w:p w14:paraId="3D0E5F98" w14:textId="77777777" w:rsidR="00A91665" w:rsidRPr="000973F2" w:rsidRDefault="00A91665" w:rsidP="00A10E3E">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18"/>
                <w:szCs w:val="18"/>
              </w:rPr>
            </w:pPr>
            <w:r w:rsidRPr="000973F2">
              <w:rPr>
                <w:rFonts w:ascii="Times New Roman" w:hAnsi="Times New Roman" w:cs="Times New Roman"/>
                <w:b/>
                <w:bCs/>
                <w:sz w:val="18"/>
                <w:szCs w:val="18"/>
              </w:rPr>
              <w:t>$0</w:t>
            </w:r>
          </w:p>
        </w:tc>
        <w:tc>
          <w:tcPr>
            <w:tcW w:w="1228" w:type="dxa"/>
            <w:noWrap/>
            <w:hideMark/>
          </w:tcPr>
          <w:p w14:paraId="6B7627CD" w14:textId="1F38793F" w:rsidR="00A91665" w:rsidRPr="000973F2" w:rsidRDefault="00A91665" w:rsidP="00A10E3E">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18"/>
                <w:szCs w:val="18"/>
              </w:rPr>
            </w:pPr>
          </w:p>
        </w:tc>
        <w:tc>
          <w:tcPr>
            <w:tcW w:w="1227" w:type="dxa"/>
            <w:noWrap/>
            <w:hideMark/>
          </w:tcPr>
          <w:p w14:paraId="2EE1DEA8" w14:textId="77777777" w:rsidR="00A91665" w:rsidRPr="000973F2" w:rsidRDefault="00A91665" w:rsidP="00A10E3E">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18"/>
                <w:szCs w:val="18"/>
              </w:rPr>
            </w:pPr>
            <w:r w:rsidRPr="000973F2">
              <w:rPr>
                <w:rFonts w:ascii="Times New Roman" w:hAnsi="Times New Roman" w:cs="Times New Roman"/>
                <w:b/>
                <w:bCs/>
                <w:sz w:val="18"/>
                <w:szCs w:val="18"/>
              </w:rPr>
              <w:t>$0</w:t>
            </w:r>
          </w:p>
        </w:tc>
        <w:tc>
          <w:tcPr>
            <w:tcW w:w="1268" w:type="dxa"/>
            <w:noWrap/>
            <w:hideMark/>
          </w:tcPr>
          <w:p w14:paraId="2A279E30" w14:textId="77777777" w:rsidR="00A91665" w:rsidRPr="000973F2" w:rsidRDefault="00A91665" w:rsidP="00A10E3E">
            <w:pPr>
              <w:tabs>
                <w:tab w:val="decimal" w:pos="631"/>
              </w:tabs>
              <w:spacing w:before="40" w:after="4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18"/>
                <w:szCs w:val="18"/>
              </w:rPr>
            </w:pPr>
            <w:r w:rsidRPr="000973F2">
              <w:rPr>
                <w:rFonts w:ascii="Times New Roman" w:hAnsi="Times New Roman" w:cs="Times New Roman"/>
                <w:b/>
                <w:bCs/>
                <w:sz w:val="18"/>
                <w:szCs w:val="18"/>
              </w:rPr>
              <w:t>$229</w:t>
            </w:r>
          </w:p>
        </w:tc>
        <w:tc>
          <w:tcPr>
            <w:tcW w:w="1187" w:type="dxa"/>
            <w:noWrap/>
            <w:hideMark/>
          </w:tcPr>
          <w:p w14:paraId="4CEC5208" w14:textId="77777777" w:rsidR="00A91665" w:rsidRPr="000973F2" w:rsidRDefault="00A91665" w:rsidP="00A10E3E">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18"/>
                <w:szCs w:val="18"/>
              </w:rPr>
            </w:pPr>
            <w:r w:rsidRPr="000973F2">
              <w:rPr>
                <w:rFonts w:ascii="Times New Roman" w:hAnsi="Times New Roman" w:cs="Times New Roman"/>
                <w:b/>
                <w:bCs/>
                <w:sz w:val="18"/>
                <w:szCs w:val="18"/>
              </w:rPr>
              <w:t>$0</w:t>
            </w:r>
          </w:p>
        </w:tc>
        <w:tc>
          <w:tcPr>
            <w:tcW w:w="1228" w:type="dxa"/>
            <w:noWrap/>
            <w:hideMark/>
          </w:tcPr>
          <w:p w14:paraId="2113D865" w14:textId="77777777" w:rsidR="00A91665" w:rsidRPr="000973F2" w:rsidRDefault="00A91665" w:rsidP="00A10E3E">
            <w:pPr>
              <w:tabs>
                <w:tab w:val="decimal" w:pos="676"/>
              </w:tabs>
              <w:spacing w:before="40" w:after="4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18"/>
                <w:szCs w:val="18"/>
              </w:rPr>
            </w:pPr>
            <w:r w:rsidRPr="000973F2">
              <w:rPr>
                <w:rFonts w:ascii="Times New Roman" w:hAnsi="Times New Roman" w:cs="Times New Roman"/>
                <w:b/>
                <w:bCs/>
                <w:sz w:val="18"/>
                <w:szCs w:val="18"/>
              </w:rPr>
              <w:t>$229</w:t>
            </w:r>
          </w:p>
        </w:tc>
      </w:tr>
    </w:tbl>
    <w:p w14:paraId="6181456E" w14:textId="77777777" w:rsidR="00A91665" w:rsidRPr="000973F2" w:rsidRDefault="00A91665" w:rsidP="00C00E4F">
      <w:pPr>
        <w:spacing w:line="240" w:lineRule="auto"/>
        <w:rPr>
          <w:rFonts w:ascii="Times New Roman" w:hAnsi="Times New Roman" w:cs="Times New Roman"/>
        </w:rPr>
      </w:pPr>
    </w:p>
    <w:p w14:paraId="4E1FFBC0" w14:textId="77777777" w:rsidR="00A91665" w:rsidRPr="000973F2" w:rsidRDefault="00A91665" w:rsidP="00A10E3E">
      <w:pPr>
        <w:pStyle w:val="Heading2"/>
      </w:pPr>
      <w:r w:rsidRPr="000973F2">
        <w:t>Total Costs for Subpart BB</w:t>
      </w:r>
    </w:p>
    <w:p w14:paraId="3C09C7C5" w14:textId="77777777" w:rsidR="00A91665" w:rsidRPr="000973F2" w:rsidRDefault="00A91665" w:rsidP="00A10E3E">
      <w:pPr>
        <w:pStyle w:val="BodyText"/>
      </w:pPr>
      <w:r w:rsidRPr="000973F2">
        <w:t>The total industry costs related to Subpart BB are approximately $1,200 per year for a total of $3,</w:t>
      </w:r>
      <w:r w:rsidRPr="000973F2">
        <w:rPr>
          <w:szCs w:val="24"/>
        </w:rPr>
        <w:t>7</w:t>
      </w:r>
      <w:r w:rsidRPr="000973F2">
        <w:t>00 over the three-year period of the ICR. One facility is expected to report in 2019, 2020, and 2021.</w:t>
      </w:r>
    </w:p>
    <w:p w14:paraId="08F0E04C" w14:textId="6AB7A5F8" w:rsidR="00A91665" w:rsidRPr="000973F2" w:rsidRDefault="00A91665" w:rsidP="00C00E4F">
      <w:pPr>
        <w:spacing w:line="240" w:lineRule="auto"/>
        <w:rPr>
          <w:rFonts w:ascii="Times New Roman" w:hAnsi="Times New Roman" w:cs="Times New Roman"/>
        </w:rPr>
      </w:pPr>
      <w:r w:rsidRPr="000973F2">
        <w:rPr>
          <w:rFonts w:ascii="Times New Roman" w:hAnsi="Times New Roman" w:cs="Times New Roman"/>
        </w:rPr>
        <w:br w:type="page"/>
      </w:r>
    </w:p>
    <w:p w14:paraId="68C45479" w14:textId="77777777" w:rsidR="007B434D" w:rsidRPr="000973F2" w:rsidRDefault="007B434D" w:rsidP="00A10E3E">
      <w:pPr>
        <w:pStyle w:val="Heading1"/>
      </w:pPr>
      <w:bookmarkStart w:id="55" w:name="_Toc10715620"/>
      <w:r w:rsidRPr="000973F2">
        <w:t>Cost Appendix for Subpart CC – Soda Ash Manufacturing</w:t>
      </w:r>
      <w:bookmarkEnd w:id="55"/>
    </w:p>
    <w:p w14:paraId="4EE9A3B0" w14:textId="77777777" w:rsidR="007B434D" w:rsidRPr="000973F2" w:rsidRDefault="007B434D" w:rsidP="00A10E3E">
      <w:pPr>
        <w:pStyle w:val="Heading2"/>
      </w:pPr>
      <w:r w:rsidRPr="000973F2">
        <w:t>Description of Subpart CC</w:t>
      </w:r>
    </w:p>
    <w:p w14:paraId="743968D5" w14:textId="65585FF2" w:rsidR="007B434D" w:rsidRPr="000973F2" w:rsidRDefault="007B434D" w:rsidP="00A10E3E">
      <w:pPr>
        <w:pStyle w:val="BodyText"/>
      </w:pPr>
      <w:r w:rsidRPr="000973F2">
        <w:t>For purposes of the GHGRP, soda ash manufacturing refers to facilities with a manufacturing line that produces soda ash by one of the following methods: calcining trona, calcining sodium sesquicarbonate, or using a liquid alkaline feedstock process that directly produces CO</w:t>
      </w:r>
      <w:r w:rsidRPr="000973F2">
        <w:rPr>
          <w:vertAlign w:val="subscript"/>
        </w:rPr>
        <w:t>2</w:t>
      </w:r>
      <w:r w:rsidRPr="000973F2">
        <w:t>. In RY2017, four soda ash manufacturing facilities reported to Subpart CC. The number of facilities has decreased since 2010, and no new facilities in Subpart CC are expected over the three</w:t>
      </w:r>
      <w:r w:rsidR="005B76DE" w:rsidRPr="000973F2">
        <w:t>-</w:t>
      </w:r>
      <w:r w:rsidRPr="000973F2">
        <w:t>year</w:t>
      </w:r>
      <w:r w:rsidR="005B76DE" w:rsidRPr="000973F2">
        <w:t xml:space="preserve"> period covered by this ICR</w:t>
      </w:r>
      <w:r w:rsidRPr="000973F2">
        <w:t>. Initial year costs apply only to new facilities; therefore, these costs are zero in the tables below.</w:t>
      </w:r>
    </w:p>
    <w:p w14:paraId="5977A1AC" w14:textId="77777777" w:rsidR="007B434D" w:rsidRPr="000973F2" w:rsidRDefault="007B434D" w:rsidP="00A10E3E">
      <w:pPr>
        <w:pStyle w:val="BodyText"/>
      </w:pPr>
      <w:r w:rsidRPr="000973F2">
        <w:t>Subpart CC facilities determine emissions using one of the following four approaches:</w:t>
      </w:r>
    </w:p>
    <w:p w14:paraId="5D822BB5" w14:textId="7A729FA6" w:rsidR="007B434D" w:rsidRPr="000973F2" w:rsidRDefault="007B434D" w:rsidP="00A10E3E">
      <w:pPr>
        <w:pStyle w:val="Bulletlist1"/>
      </w:pPr>
      <w:r w:rsidRPr="000973F2">
        <w:t>CEMS – CO</w:t>
      </w:r>
      <w:r w:rsidRPr="000973F2">
        <w:rPr>
          <w:vertAlign w:val="subscript"/>
        </w:rPr>
        <w:t>2</w:t>
      </w:r>
      <w:r w:rsidRPr="000973F2">
        <w:t xml:space="preserve"> emissions are measured using a CEMS</w:t>
      </w:r>
    </w:p>
    <w:p w14:paraId="65D3B1FE" w14:textId="77777777" w:rsidR="007B434D" w:rsidRPr="000973F2" w:rsidRDefault="007B434D" w:rsidP="00A10E3E">
      <w:pPr>
        <w:pStyle w:val="Bulletlist1"/>
      </w:pPr>
      <w:r w:rsidRPr="000973F2">
        <w:t>Trona input method – CO</w:t>
      </w:r>
      <w:r w:rsidRPr="000973F2">
        <w:rPr>
          <w:vertAlign w:val="subscript"/>
        </w:rPr>
        <w:t>2</w:t>
      </w:r>
      <w:r w:rsidRPr="000973F2">
        <w:t xml:space="preserve"> emissions are calculated using the following measurements:</w:t>
      </w:r>
    </w:p>
    <w:p w14:paraId="0560450E" w14:textId="77777777" w:rsidR="007B434D" w:rsidRPr="000973F2" w:rsidRDefault="007B434D" w:rsidP="00A10E3E">
      <w:pPr>
        <w:pStyle w:val="Bulletlist2"/>
      </w:pPr>
      <w:r w:rsidRPr="000973F2">
        <w:t>Monthly mass of trona input.</w:t>
      </w:r>
    </w:p>
    <w:p w14:paraId="5945CD27" w14:textId="77777777" w:rsidR="007B434D" w:rsidRPr="000973F2" w:rsidRDefault="007B434D" w:rsidP="00A10E3E">
      <w:pPr>
        <w:pStyle w:val="Bulletlist2"/>
      </w:pPr>
      <w:r w:rsidRPr="000973F2">
        <w:t>The monthly inorganic carbon in the trona based on weekly composite analysis.</w:t>
      </w:r>
    </w:p>
    <w:p w14:paraId="65DC2B4E" w14:textId="77777777" w:rsidR="007B434D" w:rsidRPr="000973F2" w:rsidRDefault="007B434D" w:rsidP="00A10E3E">
      <w:pPr>
        <w:pStyle w:val="Bulletlist1"/>
      </w:pPr>
      <w:r w:rsidRPr="000973F2">
        <w:t>Soda ash output method – CO</w:t>
      </w:r>
      <w:r w:rsidRPr="000973F2">
        <w:rPr>
          <w:vertAlign w:val="subscript"/>
        </w:rPr>
        <w:t>2</w:t>
      </w:r>
      <w:r w:rsidRPr="000973F2">
        <w:t xml:space="preserve"> emissions are calculated using the following measurements:</w:t>
      </w:r>
    </w:p>
    <w:p w14:paraId="4A763CE1" w14:textId="77777777" w:rsidR="007B434D" w:rsidRPr="000973F2" w:rsidRDefault="007B434D" w:rsidP="00A10E3E">
      <w:pPr>
        <w:pStyle w:val="Bulletlist2"/>
      </w:pPr>
      <w:r w:rsidRPr="000973F2">
        <w:t>Monthly mass of soda ash produced.</w:t>
      </w:r>
    </w:p>
    <w:p w14:paraId="350A7302" w14:textId="77777777" w:rsidR="007B434D" w:rsidRPr="000973F2" w:rsidRDefault="007B434D" w:rsidP="00A10E3E">
      <w:pPr>
        <w:pStyle w:val="Bulletlist2"/>
      </w:pPr>
      <w:r w:rsidRPr="000973F2">
        <w:t>The monthly inorganic carbon in the soda ash.</w:t>
      </w:r>
    </w:p>
    <w:p w14:paraId="6CEAE373" w14:textId="77777777" w:rsidR="007B434D" w:rsidRPr="000973F2" w:rsidRDefault="007B434D" w:rsidP="00A10E3E">
      <w:pPr>
        <w:pStyle w:val="Bulletlist1"/>
      </w:pPr>
      <w:r w:rsidRPr="000973F2">
        <w:t>Site-specific emission factor method – Can only be used to calculate CO</w:t>
      </w:r>
      <w:r w:rsidRPr="000973F2">
        <w:rPr>
          <w:vertAlign w:val="subscript"/>
        </w:rPr>
        <w:t>2</w:t>
      </w:r>
      <w:r w:rsidRPr="000973F2">
        <w:t xml:space="preserve"> emissions from the liquid alkaline feedstock process through an annual performance test using:</w:t>
      </w:r>
    </w:p>
    <w:p w14:paraId="0A2496CF" w14:textId="77777777" w:rsidR="007B434D" w:rsidRPr="000973F2" w:rsidRDefault="007B434D" w:rsidP="00A10E3E">
      <w:pPr>
        <w:pStyle w:val="Bulletlist2"/>
      </w:pPr>
      <w:r w:rsidRPr="000973F2">
        <w:t>Direct measurements of hourly CO</w:t>
      </w:r>
      <w:r w:rsidRPr="000973F2">
        <w:rPr>
          <w:vertAlign w:val="subscript"/>
        </w:rPr>
        <w:t>2</w:t>
      </w:r>
      <w:r w:rsidRPr="000973F2">
        <w:t xml:space="preserve"> concentration at process vents.</w:t>
      </w:r>
    </w:p>
    <w:p w14:paraId="38BA498F" w14:textId="77777777" w:rsidR="007B434D" w:rsidRPr="000973F2" w:rsidRDefault="007B434D" w:rsidP="00A10E3E">
      <w:pPr>
        <w:pStyle w:val="Bulletlist2"/>
      </w:pPr>
      <w:r w:rsidRPr="000973F2">
        <w:t>Hourly stack gas volumetric flow rate from mine water stripper/evaporate.</w:t>
      </w:r>
    </w:p>
    <w:p w14:paraId="5DA4BBEE" w14:textId="1A63A1F0" w:rsidR="007B434D" w:rsidRPr="000973F2" w:rsidRDefault="007B434D" w:rsidP="00A10E3E">
      <w:pPr>
        <w:pStyle w:val="BodyTextfirst"/>
      </w:pPr>
      <w:r w:rsidRPr="000973F2">
        <w:t>No Subpart CC facilities use the CEMS option for estimating CO</w:t>
      </w:r>
      <w:r w:rsidRPr="000973F2">
        <w:rPr>
          <w:vertAlign w:val="subscript"/>
        </w:rPr>
        <w:t>2</w:t>
      </w:r>
      <w:r w:rsidRPr="000973F2">
        <w:t xml:space="preserve"> emissions; therefore, a separate cost table for that option has not been included. Of the four facilities currently reporting to Subpart CC in RY2017, a total of eight process lines are reported. Five of the process lines utilize the trona input method, two of the process lines utilize the soda ash output method, and one of the process lines utilizes the site-specific emission factor method. Three facilities use only the trona input method, whereas one facility utilizes both the soda ash output method and the site-specific emission factor method for different process lines. For the facility with multiple methods, it is anticipated that the labor costs associated with both methods would be incurred. </w:t>
      </w:r>
    </w:p>
    <w:p w14:paraId="583D6813" w14:textId="77777777" w:rsidR="007B434D" w:rsidRPr="000973F2" w:rsidRDefault="007B434D" w:rsidP="00A10E3E">
      <w:pPr>
        <w:pStyle w:val="Heading2"/>
      </w:pPr>
      <w:r w:rsidRPr="000973F2">
        <w:t>Labor Costs for Subpart CC—Trona Input Method and Soda Ash Output Method</w:t>
      </w:r>
    </w:p>
    <w:p w14:paraId="46CE8DEC" w14:textId="41D864F7" w:rsidR="007B434D" w:rsidRPr="000973F2" w:rsidRDefault="007B434D" w:rsidP="00C00E4F">
      <w:pPr>
        <w:spacing w:line="240" w:lineRule="auto"/>
        <w:rPr>
          <w:rFonts w:ascii="Times New Roman" w:hAnsi="Times New Roman" w:cs="Times New Roman"/>
        </w:rPr>
      </w:pPr>
      <w:r w:rsidRPr="000973F2">
        <w:rPr>
          <w:rFonts w:ascii="Times New Roman" w:hAnsi="Times New Roman" w:cs="Times New Roman"/>
        </w:rPr>
        <w:t xml:space="preserve">Labor costs for Subpart CC are shown in Table </w:t>
      </w:r>
      <w:r w:rsidR="00A10E3E" w:rsidRPr="000973F2">
        <w:rPr>
          <w:rFonts w:ascii="Times New Roman" w:hAnsi="Times New Roman" w:cs="Times New Roman"/>
        </w:rPr>
        <w:t>CC-</w:t>
      </w:r>
      <w:r w:rsidRPr="000973F2">
        <w:rPr>
          <w:rFonts w:ascii="Times New Roman" w:hAnsi="Times New Roman" w:cs="Times New Roman"/>
        </w:rPr>
        <w:t xml:space="preserve">1a and Table </w:t>
      </w:r>
      <w:r w:rsidR="00A10E3E" w:rsidRPr="000973F2">
        <w:rPr>
          <w:rFonts w:ascii="Times New Roman" w:hAnsi="Times New Roman" w:cs="Times New Roman"/>
        </w:rPr>
        <w:t>CC-</w:t>
      </w:r>
      <w:r w:rsidRPr="000973F2">
        <w:rPr>
          <w:rFonts w:ascii="Times New Roman" w:hAnsi="Times New Roman" w:cs="Times New Roman"/>
        </w:rPr>
        <w:t>1b. Facilities using the trona input method or the soda ash output method will already be obtaining the necessary data and performing the necessary QA/QC on the data required for estimating process-related CO</w:t>
      </w:r>
      <w:r w:rsidRPr="000973F2">
        <w:rPr>
          <w:rFonts w:ascii="Times New Roman" w:hAnsi="Times New Roman" w:cs="Times New Roman"/>
          <w:vertAlign w:val="subscript"/>
        </w:rPr>
        <w:t>2</w:t>
      </w:r>
      <w:r w:rsidRPr="000973F2">
        <w:rPr>
          <w:rFonts w:ascii="Times New Roman" w:hAnsi="Times New Roman" w:cs="Times New Roman"/>
        </w:rPr>
        <w:t xml:space="preserve"> emissions as part of routine operations. Therefore, no planning costs or QA/QC costs are attributed to Subpart CC for facilities that use those</w:t>
      </w:r>
      <w:r w:rsidR="00A10E3E" w:rsidRPr="000973F2">
        <w:rPr>
          <w:rFonts w:ascii="Times New Roman" w:hAnsi="Times New Roman" w:cs="Times New Roman"/>
        </w:rPr>
        <w:t xml:space="preserve"> </w:t>
      </w:r>
      <w:r w:rsidRPr="000973F2">
        <w:rPr>
          <w:rFonts w:ascii="Times New Roman" w:hAnsi="Times New Roman" w:cs="Times New Roman"/>
        </w:rPr>
        <w:t>methods. Also for the trona input method and soda ash output method, the calculation of CO</w:t>
      </w:r>
      <w:r w:rsidRPr="000973F2">
        <w:rPr>
          <w:rFonts w:ascii="Times New Roman" w:hAnsi="Times New Roman" w:cs="Times New Roman"/>
          <w:vertAlign w:val="subscript"/>
        </w:rPr>
        <w:t>2</w:t>
      </w:r>
      <w:r w:rsidRPr="000973F2">
        <w:rPr>
          <w:rFonts w:ascii="Times New Roman" w:hAnsi="Times New Roman" w:cs="Times New Roman"/>
        </w:rPr>
        <w:t xml:space="preserve"> emissions from Subpart CC facilities are automatically generated by e-GGRT, when each facility enters the required data. Therefore, those costs are not attributed to Subpart CC sampling and analysis (calculation) costs but instead are included as part of reporting costs. Recordkeeping and reporting costs </w:t>
      </w:r>
      <w:r w:rsidR="00460A01" w:rsidRPr="000973F2">
        <w:rPr>
          <w:rFonts w:ascii="Times New Roman" w:hAnsi="Times New Roman" w:cs="Times New Roman"/>
        </w:rPr>
        <w:t>are based on</w:t>
      </w:r>
      <w:r w:rsidRPr="000973F2">
        <w:rPr>
          <w:rFonts w:ascii="Times New Roman" w:hAnsi="Times New Roman" w:cs="Times New Roman"/>
        </w:rPr>
        <w:t xml:space="preserve"> the “low bin” </w:t>
      </w:r>
      <w:r w:rsidR="00460A01" w:rsidRPr="000973F2">
        <w:rPr>
          <w:rFonts w:ascii="Times New Roman" w:hAnsi="Times New Roman" w:cs="Times New Roman"/>
        </w:rPr>
        <w:t xml:space="preserve">designation </w:t>
      </w:r>
      <w:r w:rsidRPr="000973F2">
        <w:rPr>
          <w:rFonts w:ascii="Times New Roman" w:hAnsi="Times New Roman" w:cs="Times New Roman"/>
        </w:rPr>
        <w:t xml:space="preserve">as discussed in the Cost Appendix Introduction. </w:t>
      </w:r>
    </w:p>
    <w:p w14:paraId="7D277B96" w14:textId="77777777" w:rsidR="007B434D" w:rsidRPr="000973F2" w:rsidRDefault="007B434D" w:rsidP="00C00E4F">
      <w:pPr>
        <w:spacing w:line="240" w:lineRule="auto"/>
        <w:rPr>
          <w:rFonts w:ascii="Times New Roman" w:hAnsi="Times New Roman" w:cs="Times New Roman"/>
          <w:b/>
          <w:bCs/>
        </w:rPr>
      </w:pPr>
      <w:r w:rsidRPr="000973F2">
        <w:rPr>
          <w:rFonts w:ascii="Times New Roman" w:hAnsi="Times New Roman" w:cs="Times New Roman"/>
          <w:b/>
          <w:bCs/>
        </w:rPr>
        <w:br w:type="page"/>
      </w:r>
    </w:p>
    <w:p w14:paraId="6EBD1610" w14:textId="035FA0BF" w:rsidR="007B434D" w:rsidRPr="000973F2" w:rsidRDefault="00C66F28" w:rsidP="00A10E3E">
      <w:pPr>
        <w:pStyle w:val="Tabletitle"/>
      </w:pPr>
      <w:r w:rsidRPr="000973F2">
        <w:t xml:space="preserve">Table </w:t>
      </w:r>
      <w:r w:rsidR="00A10E3E" w:rsidRPr="000973F2">
        <w:t>CC-</w:t>
      </w:r>
      <w:r w:rsidRPr="000973F2">
        <w:t xml:space="preserve">1a. Labor Costs </w:t>
      </w:r>
      <w:r w:rsidR="00B960CC" w:rsidRPr="000973F2">
        <w:t>–</w:t>
      </w:r>
      <w:r w:rsidRPr="000973F2">
        <w:t xml:space="preserve"> </w:t>
      </w:r>
      <w:r w:rsidR="007B434D" w:rsidRPr="000973F2">
        <w:t>Subpart CC – Trona input method</w:t>
      </w:r>
    </w:p>
    <w:tbl>
      <w:tblPr>
        <w:tblStyle w:val="PlainTable1"/>
        <w:tblW w:w="5000" w:type="pct"/>
        <w:jc w:val="left"/>
        <w:tblLayout w:type="fixed"/>
        <w:tblCellMar>
          <w:left w:w="115" w:type="dxa"/>
          <w:right w:w="115" w:type="dxa"/>
        </w:tblCellMar>
        <w:tblLook w:val="04A0" w:firstRow="1" w:lastRow="0" w:firstColumn="1" w:lastColumn="0" w:noHBand="0" w:noVBand="1"/>
      </w:tblPr>
      <w:tblGrid>
        <w:gridCol w:w="1651"/>
        <w:gridCol w:w="787"/>
        <w:gridCol w:w="788"/>
        <w:gridCol w:w="786"/>
        <w:gridCol w:w="787"/>
        <w:gridCol w:w="787"/>
        <w:gridCol w:w="786"/>
        <w:gridCol w:w="787"/>
        <w:gridCol w:w="787"/>
        <w:gridCol w:w="822"/>
        <w:gridCol w:w="822"/>
      </w:tblGrid>
      <w:tr w:rsidR="007B434D" w:rsidRPr="000973F2" w14:paraId="0CC04670" w14:textId="77777777" w:rsidTr="00A10E3E">
        <w:trPr>
          <w:cnfStyle w:val="100000000000" w:firstRow="1" w:lastRow="0" w:firstColumn="0" w:lastColumn="0" w:oddVBand="0" w:evenVBand="0" w:oddHBand="0" w:evenHBand="0" w:firstRowFirstColumn="0" w:firstRowLastColumn="0" w:lastRowFirstColumn="0" w:lastRowLastColumn="0"/>
          <w:cantSplit/>
          <w:jc w:val="left"/>
        </w:trPr>
        <w:tc>
          <w:tcPr>
            <w:cnfStyle w:val="001000000000" w:firstRow="0" w:lastRow="0" w:firstColumn="1" w:lastColumn="0" w:oddVBand="0" w:evenVBand="0" w:oddHBand="0" w:evenHBand="0" w:firstRowFirstColumn="0" w:firstRowLastColumn="0" w:lastRowFirstColumn="0" w:lastRowLastColumn="0"/>
            <w:tcW w:w="1605" w:type="dxa"/>
            <w:vMerge w:val="restart"/>
            <w:noWrap/>
            <w:vAlign w:val="top"/>
            <w:hideMark/>
          </w:tcPr>
          <w:p w14:paraId="6704454B" w14:textId="77777777" w:rsidR="007B434D" w:rsidRPr="000973F2" w:rsidRDefault="007B434D" w:rsidP="00A10E3E">
            <w:pPr>
              <w:spacing w:before="40" w:after="40"/>
              <w:rPr>
                <w:rFonts w:ascii="Times New Roman" w:eastAsia="Times New Roman" w:hAnsi="Times New Roman" w:cs="Times New Roman"/>
                <w:b w:val="0"/>
                <w:bCs w:val="0"/>
                <w:sz w:val="18"/>
                <w:szCs w:val="18"/>
              </w:rPr>
            </w:pPr>
            <w:r w:rsidRPr="000973F2">
              <w:rPr>
                <w:rFonts w:ascii="Times New Roman" w:eastAsia="Times New Roman" w:hAnsi="Times New Roman" w:cs="Times New Roman"/>
                <w:sz w:val="18"/>
                <w:szCs w:val="18"/>
              </w:rPr>
              <w:t>Activity</w:t>
            </w:r>
          </w:p>
        </w:tc>
        <w:tc>
          <w:tcPr>
            <w:tcW w:w="6125" w:type="dxa"/>
            <w:gridSpan w:val="8"/>
            <w:noWrap/>
            <w:vAlign w:val="top"/>
            <w:hideMark/>
          </w:tcPr>
          <w:p w14:paraId="29E3343A" w14:textId="77777777" w:rsidR="007B434D" w:rsidRPr="000973F2" w:rsidRDefault="007B434D" w:rsidP="00A10E3E">
            <w:pPr>
              <w:spacing w:before="40" w:after="40"/>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bCs w:val="0"/>
                <w:sz w:val="18"/>
                <w:szCs w:val="18"/>
              </w:rPr>
            </w:pPr>
            <w:r w:rsidRPr="000973F2">
              <w:rPr>
                <w:rFonts w:ascii="Times New Roman" w:eastAsia="Times New Roman" w:hAnsi="Times New Roman" w:cs="Times New Roman"/>
                <w:sz w:val="18"/>
                <w:szCs w:val="18"/>
              </w:rPr>
              <w:t>Labor Rates (per hour)</w:t>
            </w:r>
          </w:p>
        </w:tc>
        <w:tc>
          <w:tcPr>
            <w:tcW w:w="1600" w:type="dxa"/>
            <w:gridSpan w:val="2"/>
            <w:vMerge w:val="restart"/>
            <w:vAlign w:val="top"/>
            <w:hideMark/>
          </w:tcPr>
          <w:p w14:paraId="0C5750B7" w14:textId="77777777" w:rsidR="007B434D" w:rsidRPr="000973F2" w:rsidRDefault="007B434D" w:rsidP="00A10E3E">
            <w:pPr>
              <w:spacing w:before="40" w:after="40"/>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bCs w:val="0"/>
                <w:sz w:val="18"/>
                <w:szCs w:val="18"/>
              </w:rPr>
            </w:pPr>
            <w:r w:rsidRPr="000973F2">
              <w:rPr>
                <w:rFonts w:ascii="Times New Roman" w:eastAsia="Times New Roman" w:hAnsi="Times New Roman" w:cs="Times New Roman"/>
                <w:sz w:val="18"/>
                <w:szCs w:val="18"/>
              </w:rPr>
              <w:t>Total Labor Cost per Year per Facility (2017$)</w:t>
            </w:r>
          </w:p>
        </w:tc>
      </w:tr>
      <w:tr w:rsidR="007B434D" w:rsidRPr="000973F2" w14:paraId="7F6CD0CC" w14:textId="77777777" w:rsidTr="00A10E3E">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1605" w:type="dxa"/>
            <w:vMerge/>
            <w:hideMark/>
          </w:tcPr>
          <w:p w14:paraId="475AF4E1" w14:textId="77777777" w:rsidR="007B434D" w:rsidRPr="000973F2" w:rsidRDefault="007B434D" w:rsidP="00A10E3E">
            <w:pPr>
              <w:spacing w:before="40" w:after="40"/>
              <w:rPr>
                <w:rFonts w:ascii="Times New Roman" w:eastAsia="Times New Roman" w:hAnsi="Times New Roman" w:cs="Times New Roman"/>
                <w:b/>
                <w:bCs w:val="0"/>
                <w:sz w:val="18"/>
                <w:szCs w:val="18"/>
              </w:rPr>
            </w:pPr>
          </w:p>
        </w:tc>
        <w:tc>
          <w:tcPr>
            <w:tcW w:w="1531" w:type="dxa"/>
            <w:gridSpan w:val="2"/>
            <w:noWrap/>
            <w:hideMark/>
          </w:tcPr>
          <w:p w14:paraId="07712C71" w14:textId="77777777" w:rsidR="007B434D" w:rsidRPr="000973F2" w:rsidRDefault="007B434D" w:rsidP="00A10E3E">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18"/>
                <w:szCs w:val="18"/>
              </w:rPr>
            </w:pPr>
            <w:r w:rsidRPr="000973F2">
              <w:rPr>
                <w:rFonts w:ascii="Times New Roman" w:eastAsia="Times New Roman" w:hAnsi="Times New Roman" w:cs="Times New Roman"/>
                <w:b/>
                <w:bCs/>
                <w:sz w:val="18"/>
                <w:szCs w:val="18"/>
              </w:rPr>
              <w:t>Lawyer</w:t>
            </w:r>
          </w:p>
        </w:tc>
        <w:tc>
          <w:tcPr>
            <w:tcW w:w="1531" w:type="dxa"/>
            <w:gridSpan w:val="2"/>
            <w:noWrap/>
            <w:hideMark/>
          </w:tcPr>
          <w:p w14:paraId="1BC29038" w14:textId="77777777" w:rsidR="007B434D" w:rsidRPr="000973F2" w:rsidRDefault="007B434D" w:rsidP="00A10E3E">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18"/>
                <w:szCs w:val="18"/>
              </w:rPr>
            </w:pPr>
            <w:r w:rsidRPr="000973F2">
              <w:rPr>
                <w:rFonts w:ascii="Times New Roman" w:eastAsia="Times New Roman" w:hAnsi="Times New Roman" w:cs="Times New Roman"/>
                <w:b/>
                <w:bCs/>
                <w:sz w:val="18"/>
                <w:szCs w:val="18"/>
              </w:rPr>
              <w:t>Industrial Manager</w:t>
            </w:r>
          </w:p>
        </w:tc>
        <w:tc>
          <w:tcPr>
            <w:tcW w:w="1531" w:type="dxa"/>
            <w:gridSpan w:val="2"/>
            <w:hideMark/>
          </w:tcPr>
          <w:p w14:paraId="73DCAEC0" w14:textId="57165249" w:rsidR="007B434D" w:rsidRPr="000973F2" w:rsidRDefault="007B434D" w:rsidP="00A10E3E">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18"/>
                <w:szCs w:val="18"/>
              </w:rPr>
            </w:pPr>
            <w:r w:rsidRPr="000973F2">
              <w:rPr>
                <w:rFonts w:ascii="Times New Roman" w:eastAsia="Times New Roman" w:hAnsi="Times New Roman" w:cs="Times New Roman"/>
                <w:b/>
                <w:bCs/>
                <w:sz w:val="18"/>
                <w:szCs w:val="18"/>
              </w:rPr>
              <w:t>Industrial Engineer/</w:t>
            </w:r>
            <w:r w:rsidR="00A10E3E" w:rsidRPr="000973F2">
              <w:rPr>
                <w:rFonts w:ascii="Times New Roman" w:eastAsia="Times New Roman" w:hAnsi="Times New Roman" w:cs="Times New Roman"/>
                <w:b/>
                <w:bCs/>
                <w:sz w:val="18"/>
                <w:szCs w:val="18"/>
              </w:rPr>
              <w:t xml:space="preserve"> </w:t>
            </w:r>
            <w:r w:rsidRPr="000973F2">
              <w:rPr>
                <w:rFonts w:ascii="Times New Roman" w:eastAsia="Times New Roman" w:hAnsi="Times New Roman" w:cs="Times New Roman"/>
                <w:b/>
                <w:bCs/>
                <w:sz w:val="18"/>
                <w:szCs w:val="18"/>
              </w:rPr>
              <w:t>Technician</w:t>
            </w:r>
          </w:p>
        </w:tc>
        <w:tc>
          <w:tcPr>
            <w:tcW w:w="1532" w:type="dxa"/>
            <w:gridSpan w:val="2"/>
            <w:hideMark/>
          </w:tcPr>
          <w:p w14:paraId="7428F581" w14:textId="77777777" w:rsidR="007B434D" w:rsidRPr="000973F2" w:rsidRDefault="007B434D" w:rsidP="00A10E3E">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18"/>
                <w:szCs w:val="18"/>
              </w:rPr>
            </w:pPr>
            <w:r w:rsidRPr="000973F2">
              <w:rPr>
                <w:rFonts w:ascii="Times New Roman" w:eastAsia="Times New Roman" w:hAnsi="Times New Roman" w:cs="Times New Roman"/>
                <w:b/>
                <w:bCs/>
                <w:sz w:val="18"/>
                <w:szCs w:val="18"/>
              </w:rPr>
              <w:t>Administrative Support</w:t>
            </w:r>
          </w:p>
        </w:tc>
        <w:tc>
          <w:tcPr>
            <w:tcW w:w="1600" w:type="dxa"/>
            <w:gridSpan w:val="2"/>
            <w:vMerge/>
            <w:hideMark/>
          </w:tcPr>
          <w:p w14:paraId="625F5C82" w14:textId="77777777" w:rsidR="007B434D" w:rsidRPr="000973F2" w:rsidRDefault="007B434D" w:rsidP="00A10E3E">
            <w:pPr>
              <w:spacing w:before="40" w:after="4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18"/>
                <w:szCs w:val="18"/>
              </w:rPr>
            </w:pPr>
          </w:p>
        </w:tc>
      </w:tr>
      <w:tr w:rsidR="007B434D" w:rsidRPr="000973F2" w14:paraId="703D1915" w14:textId="77777777" w:rsidTr="00A10E3E">
        <w:trPr>
          <w:cantSplit/>
        </w:trPr>
        <w:tc>
          <w:tcPr>
            <w:cnfStyle w:val="001000000000" w:firstRow="0" w:lastRow="0" w:firstColumn="1" w:lastColumn="0" w:oddVBand="0" w:evenVBand="0" w:oddHBand="0" w:evenHBand="0" w:firstRowFirstColumn="0" w:firstRowLastColumn="0" w:lastRowFirstColumn="0" w:lastRowLastColumn="0"/>
            <w:tcW w:w="1605" w:type="dxa"/>
            <w:vMerge/>
            <w:hideMark/>
          </w:tcPr>
          <w:p w14:paraId="0C931FB1" w14:textId="77777777" w:rsidR="007B434D" w:rsidRPr="000973F2" w:rsidRDefault="007B434D" w:rsidP="00A10E3E">
            <w:pPr>
              <w:spacing w:before="40" w:after="40"/>
              <w:rPr>
                <w:rFonts w:ascii="Times New Roman" w:eastAsia="Times New Roman" w:hAnsi="Times New Roman" w:cs="Times New Roman"/>
                <w:b/>
                <w:bCs w:val="0"/>
                <w:sz w:val="18"/>
                <w:szCs w:val="18"/>
              </w:rPr>
            </w:pPr>
          </w:p>
        </w:tc>
        <w:tc>
          <w:tcPr>
            <w:tcW w:w="1531" w:type="dxa"/>
            <w:gridSpan w:val="2"/>
            <w:noWrap/>
            <w:hideMark/>
          </w:tcPr>
          <w:p w14:paraId="03338D44" w14:textId="77777777" w:rsidR="007B434D" w:rsidRPr="000973F2" w:rsidRDefault="007B434D" w:rsidP="00A10E3E">
            <w:pPr>
              <w:spacing w:before="40" w:after="4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sz w:val="18"/>
                <w:szCs w:val="18"/>
              </w:rPr>
            </w:pPr>
            <w:r w:rsidRPr="000973F2">
              <w:rPr>
                <w:rFonts w:ascii="Times New Roman" w:eastAsia="Times New Roman" w:hAnsi="Times New Roman" w:cs="Times New Roman"/>
                <w:b/>
                <w:bCs/>
                <w:sz w:val="18"/>
                <w:szCs w:val="18"/>
              </w:rPr>
              <w:t xml:space="preserve">$112.23 </w:t>
            </w:r>
          </w:p>
        </w:tc>
        <w:tc>
          <w:tcPr>
            <w:tcW w:w="1531" w:type="dxa"/>
            <w:gridSpan w:val="2"/>
            <w:noWrap/>
            <w:hideMark/>
          </w:tcPr>
          <w:p w14:paraId="6BBF1383" w14:textId="77777777" w:rsidR="007B434D" w:rsidRPr="000973F2" w:rsidRDefault="007B434D" w:rsidP="00A10E3E">
            <w:pPr>
              <w:spacing w:before="40" w:after="4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sz w:val="18"/>
                <w:szCs w:val="18"/>
              </w:rPr>
            </w:pPr>
            <w:r w:rsidRPr="000973F2">
              <w:rPr>
                <w:rFonts w:ascii="Times New Roman" w:eastAsia="Times New Roman" w:hAnsi="Times New Roman" w:cs="Times New Roman"/>
                <w:b/>
                <w:bCs/>
                <w:sz w:val="18"/>
                <w:szCs w:val="18"/>
              </w:rPr>
              <w:t xml:space="preserve">$87.45 </w:t>
            </w:r>
          </w:p>
        </w:tc>
        <w:tc>
          <w:tcPr>
            <w:tcW w:w="1531" w:type="dxa"/>
            <w:gridSpan w:val="2"/>
            <w:noWrap/>
            <w:hideMark/>
          </w:tcPr>
          <w:p w14:paraId="1C5C7012" w14:textId="77777777" w:rsidR="007B434D" w:rsidRPr="000973F2" w:rsidRDefault="007B434D" w:rsidP="00A10E3E">
            <w:pPr>
              <w:spacing w:before="40" w:after="4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sz w:val="18"/>
                <w:szCs w:val="18"/>
              </w:rPr>
            </w:pPr>
            <w:r w:rsidRPr="000973F2">
              <w:rPr>
                <w:rFonts w:ascii="Times New Roman" w:eastAsia="Times New Roman" w:hAnsi="Times New Roman" w:cs="Times New Roman"/>
                <w:b/>
                <w:bCs/>
                <w:sz w:val="18"/>
                <w:szCs w:val="18"/>
              </w:rPr>
              <w:t xml:space="preserve">$71.45 </w:t>
            </w:r>
          </w:p>
        </w:tc>
        <w:tc>
          <w:tcPr>
            <w:tcW w:w="1532" w:type="dxa"/>
            <w:gridSpan w:val="2"/>
            <w:noWrap/>
            <w:hideMark/>
          </w:tcPr>
          <w:p w14:paraId="2144271A" w14:textId="77777777" w:rsidR="007B434D" w:rsidRPr="000973F2" w:rsidRDefault="007B434D" w:rsidP="00A10E3E">
            <w:pPr>
              <w:spacing w:before="40" w:after="4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sz w:val="18"/>
                <w:szCs w:val="18"/>
              </w:rPr>
            </w:pPr>
            <w:r w:rsidRPr="000973F2">
              <w:rPr>
                <w:rFonts w:ascii="Times New Roman" w:eastAsia="Times New Roman" w:hAnsi="Times New Roman" w:cs="Times New Roman"/>
                <w:b/>
                <w:bCs/>
                <w:sz w:val="18"/>
                <w:szCs w:val="18"/>
              </w:rPr>
              <w:t xml:space="preserve">$36.28 </w:t>
            </w:r>
          </w:p>
        </w:tc>
        <w:tc>
          <w:tcPr>
            <w:tcW w:w="1600" w:type="dxa"/>
            <w:gridSpan w:val="2"/>
            <w:vMerge/>
            <w:hideMark/>
          </w:tcPr>
          <w:p w14:paraId="4E9CCBA3" w14:textId="77777777" w:rsidR="007B434D" w:rsidRPr="000973F2" w:rsidRDefault="007B434D" w:rsidP="00A10E3E">
            <w:pPr>
              <w:spacing w:before="40" w:after="4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sz w:val="18"/>
                <w:szCs w:val="18"/>
              </w:rPr>
            </w:pPr>
          </w:p>
        </w:tc>
      </w:tr>
      <w:tr w:rsidR="00444F50" w:rsidRPr="000973F2" w14:paraId="441DF918" w14:textId="77777777" w:rsidTr="00A10E3E">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1605" w:type="dxa"/>
            <w:vMerge/>
            <w:hideMark/>
          </w:tcPr>
          <w:p w14:paraId="72F837E8" w14:textId="77777777" w:rsidR="007B434D" w:rsidRPr="000973F2" w:rsidRDefault="007B434D" w:rsidP="00A10E3E">
            <w:pPr>
              <w:spacing w:before="40" w:after="40"/>
              <w:rPr>
                <w:rFonts w:ascii="Times New Roman" w:eastAsia="Times New Roman" w:hAnsi="Times New Roman" w:cs="Times New Roman"/>
                <w:b/>
                <w:bCs w:val="0"/>
                <w:sz w:val="18"/>
                <w:szCs w:val="18"/>
              </w:rPr>
            </w:pPr>
          </w:p>
        </w:tc>
        <w:tc>
          <w:tcPr>
            <w:tcW w:w="765" w:type="dxa"/>
            <w:tcMar>
              <w:left w:w="14" w:type="dxa"/>
              <w:right w:w="14" w:type="dxa"/>
            </w:tcMar>
            <w:hideMark/>
          </w:tcPr>
          <w:p w14:paraId="1F5ADD74" w14:textId="28F19D96" w:rsidR="007B434D" w:rsidRPr="000973F2" w:rsidRDefault="007B434D" w:rsidP="00A10E3E">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18"/>
                <w:szCs w:val="18"/>
              </w:rPr>
            </w:pPr>
            <w:r w:rsidRPr="000973F2">
              <w:rPr>
                <w:rFonts w:ascii="Times New Roman" w:eastAsia="Times New Roman" w:hAnsi="Times New Roman" w:cs="Times New Roman"/>
                <w:b/>
                <w:bCs/>
                <w:sz w:val="18"/>
                <w:szCs w:val="18"/>
              </w:rPr>
              <w:t xml:space="preserve">Initial </w:t>
            </w:r>
            <w:r w:rsidR="00132320" w:rsidRPr="000973F2">
              <w:rPr>
                <w:rFonts w:ascii="Times New Roman" w:eastAsia="Times New Roman" w:hAnsi="Times New Roman" w:cs="Times New Roman"/>
                <w:b/>
                <w:bCs/>
                <w:sz w:val="18"/>
                <w:szCs w:val="18"/>
              </w:rPr>
              <w:t>Year Hours</w:t>
            </w:r>
          </w:p>
        </w:tc>
        <w:tc>
          <w:tcPr>
            <w:tcW w:w="766" w:type="dxa"/>
            <w:tcMar>
              <w:left w:w="14" w:type="dxa"/>
              <w:right w:w="14" w:type="dxa"/>
            </w:tcMar>
            <w:hideMark/>
          </w:tcPr>
          <w:p w14:paraId="7BEE71B8" w14:textId="77777777" w:rsidR="007B434D" w:rsidRPr="000973F2" w:rsidRDefault="007B434D" w:rsidP="00A10E3E">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18"/>
                <w:szCs w:val="18"/>
              </w:rPr>
            </w:pPr>
            <w:r w:rsidRPr="000973F2">
              <w:rPr>
                <w:rFonts w:ascii="Times New Roman" w:eastAsia="Times New Roman" w:hAnsi="Times New Roman" w:cs="Times New Roman"/>
                <w:b/>
                <w:bCs/>
                <w:sz w:val="18"/>
                <w:szCs w:val="18"/>
              </w:rPr>
              <w:t>Subseq. Year Hours</w:t>
            </w:r>
          </w:p>
        </w:tc>
        <w:tc>
          <w:tcPr>
            <w:tcW w:w="765" w:type="dxa"/>
            <w:tcMar>
              <w:left w:w="14" w:type="dxa"/>
              <w:right w:w="14" w:type="dxa"/>
            </w:tcMar>
            <w:hideMark/>
          </w:tcPr>
          <w:p w14:paraId="25DCF720" w14:textId="5D4C8B56" w:rsidR="007B434D" w:rsidRPr="000973F2" w:rsidRDefault="007B434D" w:rsidP="00A10E3E">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18"/>
                <w:szCs w:val="18"/>
              </w:rPr>
            </w:pPr>
            <w:r w:rsidRPr="000973F2">
              <w:rPr>
                <w:rFonts w:ascii="Times New Roman" w:eastAsia="Times New Roman" w:hAnsi="Times New Roman" w:cs="Times New Roman"/>
                <w:b/>
                <w:bCs/>
                <w:sz w:val="18"/>
                <w:szCs w:val="18"/>
              </w:rPr>
              <w:t xml:space="preserve">Initial </w:t>
            </w:r>
            <w:r w:rsidR="00132320" w:rsidRPr="000973F2">
              <w:rPr>
                <w:rFonts w:ascii="Times New Roman" w:eastAsia="Times New Roman" w:hAnsi="Times New Roman" w:cs="Times New Roman"/>
                <w:b/>
                <w:bCs/>
                <w:sz w:val="18"/>
                <w:szCs w:val="18"/>
              </w:rPr>
              <w:t>Year Hours</w:t>
            </w:r>
          </w:p>
        </w:tc>
        <w:tc>
          <w:tcPr>
            <w:tcW w:w="766" w:type="dxa"/>
            <w:tcMar>
              <w:left w:w="14" w:type="dxa"/>
              <w:right w:w="14" w:type="dxa"/>
            </w:tcMar>
            <w:hideMark/>
          </w:tcPr>
          <w:p w14:paraId="29014844" w14:textId="77777777" w:rsidR="007B434D" w:rsidRPr="000973F2" w:rsidRDefault="007B434D" w:rsidP="00A10E3E">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18"/>
                <w:szCs w:val="18"/>
              </w:rPr>
            </w:pPr>
            <w:r w:rsidRPr="000973F2">
              <w:rPr>
                <w:rFonts w:ascii="Times New Roman" w:eastAsia="Times New Roman" w:hAnsi="Times New Roman" w:cs="Times New Roman"/>
                <w:b/>
                <w:bCs/>
                <w:sz w:val="18"/>
                <w:szCs w:val="18"/>
              </w:rPr>
              <w:t>Subseq. Year Hours</w:t>
            </w:r>
          </w:p>
        </w:tc>
        <w:tc>
          <w:tcPr>
            <w:tcW w:w="766" w:type="dxa"/>
            <w:tcMar>
              <w:left w:w="14" w:type="dxa"/>
              <w:right w:w="14" w:type="dxa"/>
            </w:tcMar>
            <w:hideMark/>
          </w:tcPr>
          <w:p w14:paraId="35128AA0" w14:textId="409F873D" w:rsidR="007B434D" w:rsidRPr="000973F2" w:rsidRDefault="007B434D" w:rsidP="00A10E3E">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18"/>
                <w:szCs w:val="18"/>
              </w:rPr>
            </w:pPr>
            <w:r w:rsidRPr="000973F2">
              <w:rPr>
                <w:rFonts w:ascii="Times New Roman" w:eastAsia="Times New Roman" w:hAnsi="Times New Roman" w:cs="Times New Roman"/>
                <w:b/>
                <w:bCs/>
                <w:sz w:val="18"/>
                <w:szCs w:val="18"/>
              </w:rPr>
              <w:t xml:space="preserve">Initial </w:t>
            </w:r>
            <w:r w:rsidR="00132320" w:rsidRPr="000973F2">
              <w:rPr>
                <w:rFonts w:ascii="Times New Roman" w:eastAsia="Times New Roman" w:hAnsi="Times New Roman" w:cs="Times New Roman"/>
                <w:b/>
                <w:bCs/>
                <w:sz w:val="18"/>
                <w:szCs w:val="18"/>
              </w:rPr>
              <w:t>Year Hours</w:t>
            </w:r>
          </w:p>
        </w:tc>
        <w:tc>
          <w:tcPr>
            <w:tcW w:w="765" w:type="dxa"/>
            <w:tcMar>
              <w:left w:w="14" w:type="dxa"/>
              <w:right w:w="14" w:type="dxa"/>
            </w:tcMar>
            <w:hideMark/>
          </w:tcPr>
          <w:p w14:paraId="235CE46F" w14:textId="77777777" w:rsidR="007B434D" w:rsidRPr="000973F2" w:rsidRDefault="007B434D" w:rsidP="00A10E3E">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18"/>
                <w:szCs w:val="18"/>
              </w:rPr>
            </w:pPr>
            <w:r w:rsidRPr="000973F2">
              <w:rPr>
                <w:rFonts w:ascii="Times New Roman" w:eastAsia="Times New Roman" w:hAnsi="Times New Roman" w:cs="Times New Roman"/>
                <w:b/>
                <w:bCs/>
                <w:sz w:val="18"/>
                <w:szCs w:val="18"/>
              </w:rPr>
              <w:t>Subseq. Year Hours</w:t>
            </w:r>
          </w:p>
        </w:tc>
        <w:tc>
          <w:tcPr>
            <w:tcW w:w="766" w:type="dxa"/>
            <w:tcMar>
              <w:left w:w="14" w:type="dxa"/>
              <w:right w:w="14" w:type="dxa"/>
            </w:tcMar>
            <w:hideMark/>
          </w:tcPr>
          <w:p w14:paraId="45553C64" w14:textId="70CFCC02" w:rsidR="007B434D" w:rsidRPr="000973F2" w:rsidRDefault="007B434D" w:rsidP="00A10E3E">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18"/>
                <w:szCs w:val="18"/>
              </w:rPr>
            </w:pPr>
            <w:r w:rsidRPr="000973F2">
              <w:rPr>
                <w:rFonts w:ascii="Times New Roman" w:eastAsia="Times New Roman" w:hAnsi="Times New Roman" w:cs="Times New Roman"/>
                <w:b/>
                <w:bCs/>
                <w:sz w:val="18"/>
                <w:szCs w:val="18"/>
              </w:rPr>
              <w:t xml:space="preserve">Initial </w:t>
            </w:r>
            <w:r w:rsidR="00132320" w:rsidRPr="000973F2">
              <w:rPr>
                <w:rFonts w:ascii="Times New Roman" w:eastAsia="Times New Roman" w:hAnsi="Times New Roman" w:cs="Times New Roman"/>
                <w:b/>
                <w:bCs/>
                <w:sz w:val="18"/>
                <w:szCs w:val="18"/>
              </w:rPr>
              <w:t>Year Hours</w:t>
            </w:r>
          </w:p>
        </w:tc>
        <w:tc>
          <w:tcPr>
            <w:tcW w:w="766" w:type="dxa"/>
            <w:tcMar>
              <w:left w:w="14" w:type="dxa"/>
              <w:right w:w="14" w:type="dxa"/>
            </w:tcMar>
            <w:hideMark/>
          </w:tcPr>
          <w:p w14:paraId="71FAB1F9" w14:textId="77777777" w:rsidR="007B434D" w:rsidRPr="000973F2" w:rsidRDefault="007B434D" w:rsidP="00A10E3E">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18"/>
                <w:szCs w:val="18"/>
              </w:rPr>
            </w:pPr>
            <w:r w:rsidRPr="000973F2">
              <w:rPr>
                <w:rFonts w:ascii="Times New Roman" w:eastAsia="Times New Roman" w:hAnsi="Times New Roman" w:cs="Times New Roman"/>
                <w:b/>
                <w:bCs/>
                <w:sz w:val="18"/>
                <w:szCs w:val="18"/>
              </w:rPr>
              <w:t>Subseq. Year Hours</w:t>
            </w:r>
          </w:p>
        </w:tc>
        <w:tc>
          <w:tcPr>
            <w:tcW w:w="800" w:type="dxa"/>
            <w:tcMar>
              <w:left w:w="14" w:type="dxa"/>
              <w:right w:w="14" w:type="dxa"/>
            </w:tcMar>
            <w:hideMark/>
          </w:tcPr>
          <w:p w14:paraId="398AA202" w14:textId="77777777" w:rsidR="007B434D" w:rsidRPr="000973F2" w:rsidRDefault="007B434D" w:rsidP="00A10E3E">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18"/>
                <w:szCs w:val="18"/>
              </w:rPr>
            </w:pPr>
            <w:r w:rsidRPr="000973F2">
              <w:rPr>
                <w:rFonts w:ascii="Times New Roman" w:eastAsia="Times New Roman" w:hAnsi="Times New Roman" w:cs="Times New Roman"/>
                <w:b/>
                <w:bCs/>
                <w:sz w:val="18"/>
                <w:szCs w:val="18"/>
              </w:rPr>
              <w:t>Initial Year</w:t>
            </w:r>
          </w:p>
        </w:tc>
        <w:tc>
          <w:tcPr>
            <w:tcW w:w="800" w:type="dxa"/>
            <w:tcMar>
              <w:left w:w="14" w:type="dxa"/>
              <w:right w:w="14" w:type="dxa"/>
            </w:tcMar>
            <w:hideMark/>
          </w:tcPr>
          <w:p w14:paraId="1675E6A5" w14:textId="77777777" w:rsidR="007B434D" w:rsidRPr="000973F2" w:rsidRDefault="007B434D" w:rsidP="00A10E3E">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18"/>
                <w:szCs w:val="18"/>
              </w:rPr>
            </w:pPr>
            <w:r w:rsidRPr="000973F2">
              <w:rPr>
                <w:rFonts w:ascii="Times New Roman" w:eastAsia="Times New Roman" w:hAnsi="Times New Roman" w:cs="Times New Roman"/>
                <w:b/>
                <w:bCs/>
                <w:sz w:val="18"/>
                <w:szCs w:val="18"/>
              </w:rPr>
              <w:t>Subseq. Year</w:t>
            </w:r>
          </w:p>
        </w:tc>
      </w:tr>
      <w:tr w:rsidR="00A10E3E" w:rsidRPr="000973F2" w14:paraId="49F1CB4A" w14:textId="77777777" w:rsidTr="00A10E3E">
        <w:trPr>
          <w:cantSplit/>
        </w:trPr>
        <w:tc>
          <w:tcPr>
            <w:cnfStyle w:val="001000000000" w:firstRow="0" w:lastRow="0" w:firstColumn="1" w:lastColumn="0" w:oddVBand="0" w:evenVBand="0" w:oddHBand="0" w:evenHBand="0" w:firstRowFirstColumn="0" w:firstRowLastColumn="0" w:lastRowFirstColumn="0" w:lastRowLastColumn="0"/>
            <w:tcW w:w="1605" w:type="dxa"/>
            <w:hideMark/>
          </w:tcPr>
          <w:p w14:paraId="4CE9ED8D" w14:textId="77777777" w:rsidR="00A10E3E" w:rsidRPr="000973F2" w:rsidRDefault="00A10E3E" w:rsidP="00A10E3E">
            <w:pPr>
              <w:spacing w:before="40" w:after="4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Planning</w:t>
            </w:r>
          </w:p>
        </w:tc>
        <w:tc>
          <w:tcPr>
            <w:tcW w:w="765" w:type="dxa"/>
            <w:noWrap/>
            <w:hideMark/>
          </w:tcPr>
          <w:p w14:paraId="454B2046" w14:textId="36974A11" w:rsidR="00A10E3E" w:rsidRPr="000973F2" w:rsidRDefault="00A10E3E" w:rsidP="00A10E3E">
            <w:pPr>
              <w:tabs>
                <w:tab w:val="decimal" w:pos="331"/>
              </w:tabs>
              <w:spacing w:before="40" w:after="4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w:t>
            </w:r>
          </w:p>
        </w:tc>
        <w:tc>
          <w:tcPr>
            <w:tcW w:w="766" w:type="dxa"/>
            <w:noWrap/>
            <w:hideMark/>
          </w:tcPr>
          <w:p w14:paraId="6E220667" w14:textId="6CD735D5" w:rsidR="00A10E3E" w:rsidRPr="000973F2" w:rsidRDefault="00A10E3E" w:rsidP="00A10E3E">
            <w:pPr>
              <w:tabs>
                <w:tab w:val="decimal" w:pos="331"/>
              </w:tabs>
              <w:spacing w:before="40" w:after="4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w:t>
            </w:r>
          </w:p>
        </w:tc>
        <w:tc>
          <w:tcPr>
            <w:tcW w:w="765" w:type="dxa"/>
            <w:noWrap/>
            <w:hideMark/>
          </w:tcPr>
          <w:p w14:paraId="2A5C899E" w14:textId="6D4EB282" w:rsidR="00A10E3E" w:rsidRPr="000973F2" w:rsidRDefault="00A10E3E" w:rsidP="00A10E3E">
            <w:pPr>
              <w:tabs>
                <w:tab w:val="decimal" w:pos="331"/>
              </w:tabs>
              <w:spacing w:before="40" w:after="4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w:t>
            </w:r>
          </w:p>
        </w:tc>
        <w:tc>
          <w:tcPr>
            <w:tcW w:w="766" w:type="dxa"/>
            <w:noWrap/>
            <w:hideMark/>
          </w:tcPr>
          <w:p w14:paraId="3B1830F7" w14:textId="14D70964" w:rsidR="00A10E3E" w:rsidRPr="000973F2" w:rsidRDefault="00A10E3E" w:rsidP="00A10E3E">
            <w:pPr>
              <w:tabs>
                <w:tab w:val="decimal" w:pos="331"/>
              </w:tabs>
              <w:spacing w:before="40" w:after="4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w:t>
            </w:r>
          </w:p>
        </w:tc>
        <w:tc>
          <w:tcPr>
            <w:tcW w:w="766" w:type="dxa"/>
            <w:noWrap/>
            <w:hideMark/>
          </w:tcPr>
          <w:p w14:paraId="2A1B40E9" w14:textId="6E840586" w:rsidR="00A10E3E" w:rsidRPr="000973F2" w:rsidRDefault="00A10E3E" w:rsidP="00A10E3E">
            <w:pPr>
              <w:tabs>
                <w:tab w:val="decimal" w:pos="331"/>
              </w:tabs>
              <w:spacing w:before="40" w:after="4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w:t>
            </w:r>
          </w:p>
        </w:tc>
        <w:tc>
          <w:tcPr>
            <w:tcW w:w="765" w:type="dxa"/>
            <w:noWrap/>
            <w:hideMark/>
          </w:tcPr>
          <w:p w14:paraId="7295E190" w14:textId="10CE0587" w:rsidR="00A10E3E" w:rsidRPr="000973F2" w:rsidRDefault="00A10E3E" w:rsidP="00A10E3E">
            <w:pPr>
              <w:tabs>
                <w:tab w:val="decimal" w:pos="331"/>
              </w:tabs>
              <w:spacing w:before="40" w:after="4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w:t>
            </w:r>
          </w:p>
        </w:tc>
        <w:tc>
          <w:tcPr>
            <w:tcW w:w="766" w:type="dxa"/>
            <w:noWrap/>
            <w:hideMark/>
          </w:tcPr>
          <w:p w14:paraId="7AFB56FB" w14:textId="2F61F22D" w:rsidR="00A10E3E" w:rsidRPr="000973F2" w:rsidRDefault="00A10E3E" w:rsidP="00A10E3E">
            <w:pPr>
              <w:tabs>
                <w:tab w:val="decimal" w:pos="331"/>
              </w:tabs>
              <w:spacing w:before="40" w:after="4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w:t>
            </w:r>
          </w:p>
        </w:tc>
        <w:tc>
          <w:tcPr>
            <w:tcW w:w="766" w:type="dxa"/>
            <w:noWrap/>
            <w:hideMark/>
          </w:tcPr>
          <w:p w14:paraId="1744DD30" w14:textId="1675E549" w:rsidR="00A10E3E" w:rsidRPr="000973F2" w:rsidRDefault="00A10E3E" w:rsidP="00A10E3E">
            <w:pPr>
              <w:tabs>
                <w:tab w:val="decimal" w:pos="331"/>
              </w:tabs>
              <w:spacing w:before="40" w:after="4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w:t>
            </w:r>
          </w:p>
        </w:tc>
        <w:tc>
          <w:tcPr>
            <w:tcW w:w="800" w:type="dxa"/>
            <w:noWrap/>
            <w:hideMark/>
          </w:tcPr>
          <w:p w14:paraId="47E6339C" w14:textId="6340E3F4" w:rsidR="00A10E3E" w:rsidRPr="000973F2" w:rsidRDefault="00A10E3E" w:rsidP="00A10E3E">
            <w:pPr>
              <w:tabs>
                <w:tab w:val="decimal" w:pos="331"/>
              </w:tabs>
              <w:spacing w:before="40" w:after="4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w:t>
            </w:r>
          </w:p>
        </w:tc>
        <w:tc>
          <w:tcPr>
            <w:tcW w:w="800" w:type="dxa"/>
            <w:noWrap/>
            <w:hideMark/>
          </w:tcPr>
          <w:p w14:paraId="6556B1D9" w14:textId="19830B48" w:rsidR="00A10E3E" w:rsidRPr="000973F2" w:rsidRDefault="00A10E3E" w:rsidP="00A10E3E">
            <w:pPr>
              <w:tabs>
                <w:tab w:val="decimal" w:pos="436"/>
              </w:tabs>
              <w:spacing w:before="40" w:after="4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w:t>
            </w:r>
          </w:p>
        </w:tc>
      </w:tr>
      <w:tr w:rsidR="00A10E3E" w:rsidRPr="000973F2" w14:paraId="4BB85F61" w14:textId="77777777" w:rsidTr="00A10E3E">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1605" w:type="dxa"/>
            <w:hideMark/>
          </w:tcPr>
          <w:p w14:paraId="5C10C094" w14:textId="77777777" w:rsidR="00A10E3E" w:rsidRPr="000973F2" w:rsidRDefault="00A10E3E" w:rsidP="00A10E3E">
            <w:pPr>
              <w:spacing w:before="40" w:after="4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QA/QC</w:t>
            </w:r>
          </w:p>
        </w:tc>
        <w:tc>
          <w:tcPr>
            <w:tcW w:w="765" w:type="dxa"/>
            <w:noWrap/>
            <w:hideMark/>
          </w:tcPr>
          <w:p w14:paraId="09B8E0C9" w14:textId="79C7DA91" w:rsidR="00A10E3E" w:rsidRPr="000973F2" w:rsidRDefault="00A10E3E" w:rsidP="00A10E3E">
            <w:pPr>
              <w:tabs>
                <w:tab w:val="decimal" w:pos="331"/>
              </w:tabs>
              <w:spacing w:before="40" w:after="4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w:t>
            </w:r>
          </w:p>
        </w:tc>
        <w:tc>
          <w:tcPr>
            <w:tcW w:w="766" w:type="dxa"/>
            <w:noWrap/>
            <w:hideMark/>
          </w:tcPr>
          <w:p w14:paraId="14942B88" w14:textId="0550F153" w:rsidR="00A10E3E" w:rsidRPr="000973F2" w:rsidRDefault="00A10E3E" w:rsidP="00A10E3E">
            <w:pPr>
              <w:tabs>
                <w:tab w:val="decimal" w:pos="331"/>
              </w:tabs>
              <w:spacing w:before="40" w:after="4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w:t>
            </w:r>
          </w:p>
        </w:tc>
        <w:tc>
          <w:tcPr>
            <w:tcW w:w="765" w:type="dxa"/>
            <w:noWrap/>
            <w:hideMark/>
          </w:tcPr>
          <w:p w14:paraId="1356AFD7" w14:textId="02515F6F" w:rsidR="00A10E3E" w:rsidRPr="000973F2" w:rsidRDefault="00A10E3E" w:rsidP="00A10E3E">
            <w:pPr>
              <w:tabs>
                <w:tab w:val="decimal" w:pos="331"/>
              </w:tabs>
              <w:spacing w:before="40" w:after="4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w:t>
            </w:r>
          </w:p>
        </w:tc>
        <w:tc>
          <w:tcPr>
            <w:tcW w:w="766" w:type="dxa"/>
            <w:noWrap/>
            <w:hideMark/>
          </w:tcPr>
          <w:p w14:paraId="7FA47DC1" w14:textId="69273092" w:rsidR="00A10E3E" w:rsidRPr="000973F2" w:rsidRDefault="00A10E3E" w:rsidP="00A10E3E">
            <w:pPr>
              <w:tabs>
                <w:tab w:val="decimal" w:pos="331"/>
              </w:tabs>
              <w:spacing w:before="40" w:after="4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w:t>
            </w:r>
          </w:p>
        </w:tc>
        <w:tc>
          <w:tcPr>
            <w:tcW w:w="766" w:type="dxa"/>
            <w:noWrap/>
            <w:hideMark/>
          </w:tcPr>
          <w:p w14:paraId="64794D39" w14:textId="56C62962" w:rsidR="00A10E3E" w:rsidRPr="000973F2" w:rsidRDefault="00A10E3E" w:rsidP="00A10E3E">
            <w:pPr>
              <w:tabs>
                <w:tab w:val="decimal" w:pos="331"/>
              </w:tabs>
              <w:spacing w:before="40" w:after="4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w:t>
            </w:r>
          </w:p>
        </w:tc>
        <w:tc>
          <w:tcPr>
            <w:tcW w:w="765" w:type="dxa"/>
            <w:noWrap/>
            <w:hideMark/>
          </w:tcPr>
          <w:p w14:paraId="1C946424" w14:textId="5E2656C6" w:rsidR="00A10E3E" w:rsidRPr="000973F2" w:rsidRDefault="00A10E3E" w:rsidP="00A10E3E">
            <w:pPr>
              <w:tabs>
                <w:tab w:val="decimal" w:pos="331"/>
              </w:tabs>
              <w:spacing w:before="40" w:after="4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w:t>
            </w:r>
          </w:p>
        </w:tc>
        <w:tc>
          <w:tcPr>
            <w:tcW w:w="766" w:type="dxa"/>
            <w:noWrap/>
            <w:hideMark/>
          </w:tcPr>
          <w:p w14:paraId="03D28A28" w14:textId="697BD251" w:rsidR="00A10E3E" w:rsidRPr="000973F2" w:rsidRDefault="00A10E3E" w:rsidP="00A10E3E">
            <w:pPr>
              <w:tabs>
                <w:tab w:val="decimal" w:pos="331"/>
              </w:tabs>
              <w:spacing w:before="40" w:after="4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w:t>
            </w:r>
          </w:p>
        </w:tc>
        <w:tc>
          <w:tcPr>
            <w:tcW w:w="766" w:type="dxa"/>
            <w:noWrap/>
            <w:hideMark/>
          </w:tcPr>
          <w:p w14:paraId="3F0AC22D" w14:textId="0090DECA" w:rsidR="00A10E3E" w:rsidRPr="000973F2" w:rsidRDefault="00A10E3E" w:rsidP="00A10E3E">
            <w:pPr>
              <w:tabs>
                <w:tab w:val="decimal" w:pos="331"/>
              </w:tabs>
              <w:spacing w:before="40" w:after="4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w:t>
            </w:r>
          </w:p>
        </w:tc>
        <w:tc>
          <w:tcPr>
            <w:tcW w:w="800" w:type="dxa"/>
            <w:noWrap/>
            <w:hideMark/>
          </w:tcPr>
          <w:p w14:paraId="1AC8012E" w14:textId="07E7345D" w:rsidR="00A10E3E" w:rsidRPr="000973F2" w:rsidRDefault="00A10E3E" w:rsidP="00A10E3E">
            <w:pPr>
              <w:tabs>
                <w:tab w:val="decimal" w:pos="331"/>
              </w:tabs>
              <w:spacing w:before="40" w:after="4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w:t>
            </w:r>
          </w:p>
        </w:tc>
        <w:tc>
          <w:tcPr>
            <w:tcW w:w="800" w:type="dxa"/>
            <w:noWrap/>
            <w:hideMark/>
          </w:tcPr>
          <w:p w14:paraId="05E20A78" w14:textId="6E4EE137" w:rsidR="00A10E3E" w:rsidRPr="000973F2" w:rsidRDefault="00A10E3E" w:rsidP="00A10E3E">
            <w:pPr>
              <w:tabs>
                <w:tab w:val="decimal" w:pos="436"/>
              </w:tabs>
              <w:spacing w:before="40" w:after="4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w:t>
            </w:r>
          </w:p>
        </w:tc>
      </w:tr>
      <w:tr w:rsidR="007B434D" w:rsidRPr="000973F2" w14:paraId="102BF42B" w14:textId="77777777" w:rsidTr="00A10E3E">
        <w:trPr>
          <w:cantSplit/>
        </w:trPr>
        <w:tc>
          <w:tcPr>
            <w:cnfStyle w:val="001000000000" w:firstRow="0" w:lastRow="0" w:firstColumn="1" w:lastColumn="0" w:oddVBand="0" w:evenVBand="0" w:oddHBand="0" w:evenHBand="0" w:firstRowFirstColumn="0" w:firstRowLastColumn="0" w:lastRowFirstColumn="0" w:lastRowLastColumn="0"/>
            <w:tcW w:w="1605" w:type="dxa"/>
            <w:hideMark/>
          </w:tcPr>
          <w:p w14:paraId="7B2FF882" w14:textId="77777777" w:rsidR="007B434D" w:rsidRPr="000973F2" w:rsidRDefault="007B434D" w:rsidP="00A10E3E">
            <w:pPr>
              <w:spacing w:before="40" w:after="4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Recordkeeping</w:t>
            </w:r>
          </w:p>
        </w:tc>
        <w:tc>
          <w:tcPr>
            <w:tcW w:w="765" w:type="dxa"/>
            <w:noWrap/>
            <w:hideMark/>
          </w:tcPr>
          <w:p w14:paraId="7A5D7F1F" w14:textId="77777777" w:rsidR="007B434D" w:rsidRPr="000973F2" w:rsidRDefault="007B434D" w:rsidP="00A10E3E">
            <w:pPr>
              <w:tabs>
                <w:tab w:val="decimal" w:pos="331"/>
              </w:tabs>
              <w:spacing w:before="40" w:after="4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0</w:t>
            </w:r>
          </w:p>
        </w:tc>
        <w:tc>
          <w:tcPr>
            <w:tcW w:w="766" w:type="dxa"/>
            <w:noWrap/>
            <w:hideMark/>
          </w:tcPr>
          <w:p w14:paraId="6FE2B7AD" w14:textId="77777777" w:rsidR="007B434D" w:rsidRPr="000973F2" w:rsidRDefault="007B434D" w:rsidP="00A10E3E">
            <w:pPr>
              <w:tabs>
                <w:tab w:val="decimal" w:pos="331"/>
              </w:tabs>
              <w:spacing w:before="40" w:after="4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0</w:t>
            </w:r>
          </w:p>
        </w:tc>
        <w:tc>
          <w:tcPr>
            <w:tcW w:w="765" w:type="dxa"/>
            <w:noWrap/>
            <w:hideMark/>
          </w:tcPr>
          <w:p w14:paraId="67AD6BF2" w14:textId="77777777" w:rsidR="007B434D" w:rsidRPr="000973F2" w:rsidRDefault="007B434D" w:rsidP="00A10E3E">
            <w:pPr>
              <w:tabs>
                <w:tab w:val="decimal" w:pos="331"/>
              </w:tabs>
              <w:spacing w:before="40" w:after="4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0</w:t>
            </w:r>
          </w:p>
        </w:tc>
        <w:tc>
          <w:tcPr>
            <w:tcW w:w="766" w:type="dxa"/>
            <w:noWrap/>
            <w:hideMark/>
          </w:tcPr>
          <w:p w14:paraId="031305C0" w14:textId="77777777" w:rsidR="007B434D" w:rsidRPr="000973F2" w:rsidRDefault="007B434D" w:rsidP="00A10E3E">
            <w:pPr>
              <w:tabs>
                <w:tab w:val="decimal" w:pos="331"/>
              </w:tabs>
              <w:spacing w:before="40" w:after="4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0.5</w:t>
            </w:r>
          </w:p>
        </w:tc>
        <w:tc>
          <w:tcPr>
            <w:tcW w:w="766" w:type="dxa"/>
            <w:noWrap/>
            <w:hideMark/>
          </w:tcPr>
          <w:p w14:paraId="0BD03A45" w14:textId="77777777" w:rsidR="007B434D" w:rsidRPr="000973F2" w:rsidRDefault="007B434D" w:rsidP="00A10E3E">
            <w:pPr>
              <w:tabs>
                <w:tab w:val="decimal" w:pos="331"/>
              </w:tabs>
              <w:spacing w:before="40" w:after="4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0</w:t>
            </w:r>
          </w:p>
        </w:tc>
        <w:tc>
          <w:tcPr>
            <w:tcW w:w="765" w:type="dxa"/>
            <w:noWrap/>
            <w:hideMark/>
          </w:tcPr>
          <w:p w14:paraId="4E58204A" w14:textId="77777777" w:rsidR="007B434D" w:rsidRPr="000973F2" w:rsidRDefault="007B434D" w:rsidP="00A10E3E">
            <w:pPr>
              <w:tabs>
                <w:tab w:val="decimal" w:pos="331"/>
              </w:tabs>
              <w:spacing w:before="40" w:after="4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2</w:t>
            </w:r>
          </w:p>
        </w:tc>
        <w:tc>
          <w:tcPr>
            <w:tcW w:w="766" w:type="dxa"/>
            <w:noWrap/>
            <w:hideMark/>
          </w:tcPr>
          <w:p w14:paraId="25DBA2B2" w14:textId="77777777" w:rsidR="007B434D" w:rsidRPr="000973F2" w:rsidRDefault="007B434D" w:rsidP="00A10E3E">
            <w:pPr>
              <w:tabs>
                <w:tab w:val="decimal" w:pos="331"/>
              </w:tabs>
              <w:spacing w:before="40" w:after="4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0</w:t>
            </w:r>
          </w:p>
        </w:tc>
        <w:tc>
          <w:tcPr>
            <w:tcW w:w="766" w:type="dxa"/>
            <w:noWrap/>
            <w:hideMark/>
          </w:tcPr>
          <w:p w14:paraId="75FD5FD3" w14:textId="77777777" w:rsidR="007B434D" w:rsidRPr="000973F2" w:rsidRDefault="007B434D" w:rsidP="00A10E3E">
            <w:pPr>
              <w:tabs>
                <w:tab w:val="decimal" w:pos="331"/>
              </w:tabs>
              <w:spacing w:before="40" w:after="4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0.5</w:t>
            </w:r>
          </w:p>
        </w:tc>
        <w:tc>
          <w:tcPr>
            <w:tcW w:w="800" w:type="dxa"/>
            <w:noWrap/>
            <w:hideMark/>
          </w:tcPr>
          <w:p w14:paraId="145227B4" w14:textId="77777777" w:rsidR="007B434D" w:rsidRPr="000973F2" w:rsidRDefault="007B434D" w:rsidP="00A10E3E">
            <w:pPr>
              <w:tabs>
                <w:tab w:val="decimal" w:pos="331"/>
              </w:tabs>
              <w:spacing w:before="40" w:after="4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 xml:space="preserve">$0 </w:t>
            </w:r>
          </w:p>
        </w:tc>
        <w:tc>
          <w:tcPr>
            <w:tcW w:w="800" w:type="dxa"/>
            <w:noWrap/>
            <w:hideMark/>
          </w:tcPr>
          <w:p w14:paraId="2EC9D638" w14:textId="77777777" w:rsidR="007B434D" w:rsidRPr="000973F2" w:rsidRDefault="007B434D" w:rsidP="00A10E3E">
            <w:pPr>
              <w:tabs>
                <w:tab w:val="decimal" w:pos="436"/>
              </w:tabs>
              <w:spacing w:before="40" w:after="4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 xml:space="preserve">$205 </w:t>
            </w:r>
          </w:p>
        </w:tc>
      </w:tr>
      <w:tr w:rsidR="00A10E3E" w:rsidRPr="000973F2" w14:paraId="4F3A8EAE" w14:textId="77777777" w:rsidTr="00A10E3E">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1605" w:type="dxa"/>
            <w:hideMark/>
          </w:tcPr>
          <w:p w14:paraId="0142D697" w14:textId="77777777" w:rsidR="00A10E3E" w:rsidRPr="000973F2" w:rsidRDefault="00A10E3E" w:rsidP="00A10E3E">
            <w:pPr>
              <w:spacing w:before="40" w:after="4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Sampling and Analysis (Calculations)</w:t>
            </w:r>
          </w:p>
        </w:tc>
        <w:tc>
          <w:tcPr>
            <w:tcW w:w="765" w:type="dxa"/>
            <w:noWrap/>
            <w:hideMark/>
          </w:tcPr>
          <w:p w14:paraId="7C2EFE79" w14:textId="60D70C26" w:rsidR="00A10E3E" w:rsidRPr="000973F2" w:rsidRDefault="00A10E3E" w:rsidP="00A10E3E">
            <w:pPr>
              <w:tabs>
                <w:tab w:val="decimal" w:pos="331"/>
              </w:tabs>
              <w:spacing w:before="40" w:after="4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w:t>
            </w:r>
          </w:p>
        </w:tc>
        <w:tc>
          <w:tcPr>
            <w:tcW w:w="766" w:type="dxa"/>
            <w:noWrap/>
            <w:hideMark/>
          </w:tcPr>
          <w:p w14:paraId="31E55AD3" w14:textId="75B38E85" w:rsidR="00A10E3E" w:rsidRPr="000973F2" w:rsidRDefault="00A10E3E" w:rsidP="00A10E3E">
            <w:pPr>
              <w:tabs>
                <w:tab w:val="decimal" w:pos="331"/>
              </w:tabs>
              <w:spacing w:before="40" w:after="4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w:t>
            </w:r>
          </w:p>
        </w:tc>
        <w:tc>
          <w:tcPr>
            <w:tcW w:w="765" w:type="dxa"/>
            <w:noWrap/>
            <w:hideMark/>
          </w:tcPr>
          <w:p w14:paraId="46DA2133" w14:textId="436FC8C1" w:rsidR="00A10E3E" w:rsidRPr="000973F2" w:rsidRDefault="00A10E3E" w:rsidP="00A10E3E">
            <w:pPr>
              <w:tabs>
                <w:tab w:val="decimal" w:pos="331"/>
              </w:tabs>
              <w:spacing w:before="40" w:after="4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w:t>
            </w:r>
          </w:p>
        </w:tc>
        <w:tc>
          <w:tcPr>
            <w:tcW w:w="766" w:type="dxa"/>
            <w:noWrap/>
            <w:hideMark/>
          </w:tcPr>
          <w:p w14:paraId="3938857C" w14:textId="601603A5" w:rsidR="00A10E3E" w:rsidRPr="000973F2" w:rsidRDefault="00A10E3E" w:rsidP="00A10E3E">
            <w:pPr>
              <w:tabs>
                <w:tab w:val="decimal" w:pos="331"/>
              </w:tabs>
              <w:spacing w:before="40" w:after="4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w:t>
            </w:r>
          </w:p>
        </w:tc>
        <w:tc>
          <w:tcPr>
            <w:tcW w:w="766" w:type="dxa"/>
            <w:noWrap/>
            <w:hideMark/>
          </w:tcPr>
          <w:p w14:paraId="4865A55C" w14:textId="7C085678" w:rsidR="00A10E3E" w:rsidRPr="000973F2" w:rsidRDefault="00A10E3E" w:rsidP="00A10E3E">
            <w:pPr>
              <w:tabs>
                <w:tab w:val="decimal" w:pos="331"/>
              </w:tabs>
              <w:spacing w:before="40" w:after="4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w:t>
            </w:r>
          </w:p>
        </w:tc>
        <w:tc>
          <w:tcPr>
            <w:tcW w:w="765" w:type="dxa"/>
            <w:noWrap/>
            <w:hideMark/>
          </w:tcPr>
          <w:p w14:paraId="7E85A6EA" w14:textId="41C3C3ED" w:rsidR="00A10E3E" w:rsidRPr="000973F2" w:rsidRDefault="00A10E3E" w:rsidP="00A10E3E">
            <w:pPr>
              <w:tabs>
                <w:tab w:val="decimal" w:pos="331"/>
              </w:tabs>
              <w:spacing w:before="40" w:after="4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w:t>
            </w:r>
          </w:p>
        </w:tc>
        <w:tc>
          <w:tcPr>
            <w:tcW w:w="766" w:type="dxa"/>
            <w:noWrap/>
            <w:hideMark/>
          </w:tcPr>
          <w:p w14:paraId="68615FCF" w14:textId="4D41EF21" w:rsidR="00A10E3E" w:rsidRPr="000973F2" w:rsidRDefault="00A10E3E" w:rsidP="00A10E3E">
            <w:pPr>
              <w:tabs>
                <w:tab w:val="decimal" w:pos="331"/>
              </w:tabs>
              <w:spacing w:before="40" w:after="4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w:t>
            </w:r>
          </w:p>
        </w:tc>
        <w:tc>
          <w:tcPr>
            <w:tcW w:w="766" w:type="dxa"/>
            <w:noWrap/>
            <w:hideMark/>
          </w:tcPr>
          <w:p w14:paraId="7AA56B53" w14:textId="3E9ABE8E" w:rsidR="00A10E3E" w:rsidRPr="000973F2" w:rsidRDefault="00A10E3E" w:rsidP="00A10E3E">
            <w:pPr>
              <w:tabs>
                <w:tab w:val="decimal" w:pos="331"/>
              </w:tabs>
              <w:spacing w:before="40" w:after="4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w:t>
            </w:r>
          </w:p>
        </w:tc>
        <w:tc>
          <w:tcPr>
            <w:tcW w:w="800" w:type="dxa"/>
            <w:noWrap/>
            <w:hideMark/>
          </w:tcPr>
          <w:p w14:paraId="37135B45" w14:textId="2EF4D4DB" w:rsidR="00A10E3E" w:rsidRPr="000973F2" w:rsidRDefault="00A10E3E" w:rsidP="00A10E3E">
            <w:pPr>
              <w:tabs>
                <w:tab w:val="decimal" w:pos="331"/>
              </w:tabs>
              <w:spacing w:before="40" w:after="4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w:t>
            </w:r>
          </w:p>
        </w:tc>
        <w:tc>
          <w:tcPr>
            <w:tcW w:w="800" w:type="dxa"/>
            <w:noWrap/>
            <w:hideMark/>
          </w:tcPr>
          <w:p w14:paraId="7CA13350" w14:textId="0D9CE4AD" w:rsidR="00A10E3E" w:rsidRPr="000973F2" w:rsidRDefault="00A10E3E" w:rsidP="00A10E3E">
            <w:pPr>
              <w:tabs>
                <w:tab w:val="decimal" w:pos="436"/>
              </w:tabs>
              <w:spacing w:before="40" w:after="4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w:t>
            </w:r>
          </w:p>
        </w:tc>
      </w:tr>
      <w:tr w:rsidR="007B434D" w:rsidRPr="000973F2" w14:paraId="6DA9F96F" w14:textId="77777777" w:rsidTr="00A10E3E">
        <w:trPr>
          <w:cantSplit/>
        </w:trPr>
        <w:tc>
          <w:tcPr>
            <w:cnfStyle w:val="001000000000" w:firstRow="0" w:lastRow="0" w:firstColumn="1" w:lastColumn="0" w:oddVBand="0" w:evenVBand="0" w:oddHBand="0" w:evenHBand="0" w:firstRowFirstColumn="0" w:firstRowLastColumn="0" w:lastRowFirstColumn="0" w:lastRowLastColumn="0"/>
            <w:tcW w:w="1605" w:type="dxa"/>
            <w:hideMark/>
          </w:tcPr>
          <w:p w14:paraId="1480848D" w14:textId="77777777" w:rsidR="007B434D" w:rsidRPr="000973F2" w:rsidRDefault="007B434D" w:rsidP="00A10E3E">
            <w:pPr>
              <w:spacing w:before="40" w:after="4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Reporting</w:t>
            </w:r>
          </w:p>
        </w:tc>
        <w:tc>
          <w:tcPr>
            <w:tcW w:w="765" w:type="dxa"/>
            <w:noWrap/>
            <w:hideMark/>
          </w:tcPr>
          <w:p w14:paraId="2169D8CF" w14:textId="77777777" w:rsidR="007B434D" w:rsidRPr="000973F2" w:rsidRDefault="007B434D" w:rsidP="00A10E3E">
            <w:pPr>
              <w:tabs>
                <w:tab w:val="decimal" w:pos="331"/>
              </w:tabs>
              <w:spacing w:before="40" w:after="4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0</w:t>
            </w:r>
          </w:p>
        </w:tc>
        <w:tc>
          <w:tcPr>
            <w:tcW w:w="766" w:type="dxa"/>
            <w:noWrap/>
            <w:hideMark/>
          </w:tcPr>
          <w:p w14:paraId="74AF50E4" w14:textId="77777777" w:rsidR="007B434D" w:rsidRPr="000973F2" w:rsidRDefault="007B434D" w:rsidP="00A10E3E">
            <w:pPr>
              <w:tabs>
                <w:tab w:val="decimal" w:pos="331"/>
              </w:tabs>
              <w:spacing w:before="40" w:after="4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0</w:t>
            </w:r>
          </w:p>
        </w:tc>
        <w:tc>
          <w:tcPr>
            <w:tcW w:w="765" w:type="dxa"/>
            <w:noWrap/>
            <w:hideMark/>
          </w:tcPr>
          <w:p w14:paraId="04BF36EA" w14:textId="77777777" w:rsidR="007B434D" w:rsidRPr="000973F2" w:rsidRDefault="007B434D" w:rsidP="00A10E3E">
            <w:pPr>
              <w:tabs>
                <w:tab w:val="decimal" w:pos="331"/>
              </w:tabs>
              <w:spacing w:before="40" w:after="4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0</w:t>
            </w:r>
          </w:p>
        </w:tc>
        <w:tc>
          <w:tcPr>
            <w:tcW w:w="766" w:type="dxa"/>
            <w:noWrap/>
            <w:hideMark/>
          </w:tcPr>
          <w:p w14:paraId="40660E2B" w14:textId="75AAABDF" w:rsidR="007B434D" w:rsidRPr="000973F2" w:rsidRDefault="007B434D" w:rsidP="00A10E3E">
            <w:pPr>
              <w:tabs>
                <w:tab w:val="decimal" w:pos="331"/>
              </w:tabs>
              <w:spacing w:before="40" w:after="4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1.0</w:t>
            </w:r>
          </w:p>
        </w:tc>
        <w:tc>
          <w:tcPr>
            <w:tcW w:w="766" w:type="dxa"/>
            <w:noWrap/>
            <w:hideMark/>
          </w:tcPr>
          <w:p w14:paraId="263A679B" w14:textId="77777777" w:rsidR="007B434D" w:rsidRPr="000973F2" w:rsidRDefault="007B434D" w:rsidP="00A10E3E">
            <w:pPr>
              <w:tabs>
                <w:tab w:val="decimal" w:pos="331"/>
              </w:tabs>
              <w:spacing w:before="40" w:after="4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0</w:t>
            </w:r>
          </w:p>
        </w:tc>
        <w:tc>
          <w:tcPr>
            <w:tcW w:w="765" w:type="dxa"/>
            <w:noWrap/>
            <w:hideMark/>
          </w:tcPr>
          <w:p w14:paraId="29A572F0" w14:textId="77777777" w:rsidR="007B434D" w:rsidRPr="000973F2" w:rsidRDefault="007B434D" w:rsidP="00A10E3E">
            <w:pPr>
              <w:tabs>
                <w:tab w:val="decimal" w:pos="331"/>
              </w:tabs>
              <w:spacing w:before="40" w:after="4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4</w:t>
            </w:r>
          </w:p>
        </w:tc>
        <w:tc>
          <w:tcPr>
            <w:tcW w:w="766" w:type="dxa"/>
            <w:noWrap/>
            <w:hideMark/>
          </w:tcPr>
          <w:p w14:paraId="4B371B8E" w14:textId="77777777" w:rsidR="007B434D" w:rsidRPr="000973F2" w:rsidRDefault="007B434D" w:rsidP="00A10E3E">
            <w:pPr>
              <w:tabs>
                <w:tab w:val="decimal" w:pos="331"/>
              </w:tabs>
              <w:spacing w:before="40" w:after="4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0</w:t>
            </w:r>
          </w:p>
        </w:tc>
        <w:tc>
          <w:tcPr>
            <w:tcW w:w="766" w:type="dxa"/>
            <w:noWrap/>
            <w:hideMark/>
          </w:tcPr>
          <w:p w14:paraId="1C290389" w14:textId="77777777" w:rsidR="007B434D" w:rsidRPr="000973F2" w:rsidRDefault="007B434D" w:rsidP="00A10E3E">
            <w:pPr>
              <w:tabs>
                <w:tab w:val="decimal" w:pos="331"/>
              </w:tabs>
              <w:spacing w:before="40" w:after="4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1.0</w:t>
            </w:r>
          </w:p>
        </w:tc>
        <w:tc>
          <w:tcPr>
            <w:tcW w:w="800" w:type="dxa"/>
            <w:noWrap/>
            <w:hideMark/>
          </w:tcPr>
          <w:p w14:paraId="6C79564A" w14:textId="77777777" w:rsidR="007B434D" w:rsidRPr="000973F2" w:rsidRDefault="007B434D" w:rsidP="00A10E3E">
            <w:pPr>
              <w:tabs>
                <w:tab w:val="decimal" w:pos="331"/>
              </w:tabs>
              <w:spacing w:before="40" w:after="4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$0</w:t>
            </w:r>
          </w:p>
        </w:tc>
        <w:tc>
          <w:tcPr>
            <w:tcW w:w="800" w:type="dxa"/>
            <w:noWrap/>
            <w:hideMark/>
          </w:tcPr>
          <w:p w14:paraId="05F04594" w14:textId="77777777" w:rsidR="007B434D" w:rsidRPr="000973F2" w:rsidRDefault="007B434D" w:rsidP="00A10E3E">
            <w:pPr>
              <w:tabs>
                <w:tab w:val="decimal" w:pos="436"/>
              </w:tabs>
              <w:spacing w:before="40" w:after="4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 xml:space="preserve">$410 </w:t>
            </w:r>
          </w:p>
        </w:tc>
      </w:tr>
      <w:tr w:rsidR="00444F50" w:rsidRPr="000973F2" w14:paraId="712FD4A8" w14:textId="77777777" w:rsidTr="00A10E3E">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1605" w:type="dxa"/>
            <w:noWrap/>
            <w:hideMark/>
          </w:tcPr>
          <w:p w14:paraId="2CD2F9C8" w14:textId="77777777" w:rsidR="007B434D" w:rsidRPr="000973F2" w:rsidRDefault="007B434D" w:rsidP="00A10E3E">
            <w:pPr>
              <w:spacing w:before="40" w:after="40"/>
              <w:rPr>
                <w:rFonts w:ascii="Times New Roman" w:eastAsia="Times New Roman" w:hAnsi="Times New Roman" w:cs="Times New Roman"/>
                <w:b/>
                <w:bCs w:val="0"/>
                <w:sz w:val="18"/>
                <w:szCs w:val="18"/>
              </w:rPr>
            </w:pPr>
            <w:r w:rsidRPr="000973F2">
              <w:rPr>
                <w:rFonts w:ascii="Times New Roman" w:eastAsia="Times New Roman" w:hAnsi="Times New Roman" w:cs="Times New Roman"/>
                <w:b/>
                <w:sz w:val="18"/>
                <w:szCs w:val="18"/>
              </w:rPr>
              <w:t>Total</w:t>
            </w:r>
          </w:p>
        </w:tc>
        <w:tc>
          <w:tcPr>
            <w:tcW w:w="765" w:type="dxa"/>
            <w:noWrap/>
            <w:hideMark/>
          </w:tcPr>
          <w:p w14:paraId="34C53B35" w14:textId="77777777" w:rsidR="007B434D" w:rsidRPr="000973F2" w:rsidRDefault="007B434D" w:rsidP="00A10E3E">
            <w:pPr>
              <w:tabs>
                <w:tab w:val="decimal" w:pos="331"/>
              </w:tabs>
              <w:spacing w:before="40" w:after="4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18"/>
                <w:szCs w:val="18"/>
              </w:rPr>
            </w:pPr>
            <w:r w:rsidRPr="000973F2">
              <w:rPr>
                <w:rFonts w:ascii="Times New Roman" w:eastAsia="Times New Roman" w:hAnsi="Times New Roman" w:cs="Times New Roman"/>
                <w:b/>
                <w:bCs/>
                <w:sz w:val="18"/>
                <w:szCs w:val="18"/>
              </w:rPr>
              <w:t>0</w:t>
            </w:r>
          </w:p>
        </w:tc>
        <w:tc>
          <w:tcPr>
            <w:tcW w:w="766" w:type="dxa"/>
            <w:noWrap/>
            <w:hideMark/>
          </w:tcPr>
          <w:p w14:paraId="0D7D3A05" w14:textId="77777777" w:rsidR="007B434D" w:rsidRPr="000973F2" w:rsidRDefault="007B434D" w:rsidP="00A10E3E">
            <w:pPr>
              <w:tabs>
                <w:tab w:val="decimal" w:pos="331"/>
              </w:tabs>
              <w:spacing w:before="40" w:after="4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18"/>
                <w:szCs w:val="18"/>
              </w:rPr>
            </w:pPr>
            <w:r w:rsidRPr="000973F2">
              <w:rPr>
                <w:rFonts w:ascii="Times New Roman" w:eastAsia="Times New Roman" w:hAnsi="Times New Roman" w:cs="Times New Roman"/>
                <w:b/>
                <w:bCs/>
                <w:sz w:val="18"/>
                <w:szCs w:val="18"/>
              </w:rPr>
              <w:t>0</w:t>
            </w:r>
          </w:p>
        </w:tc>
        <w:tc>
          <w:tcPr>
            <w:tcW w:w="765" w:type="dxa"/>
            <w:noWrap/>
            <w:hideMark/>
          </w:tcPr>
          <w:p w14:paraId="18279C86" w14:textId="77777777" w:rsidR="007B434D" w:rsidRPr="000973F2" w:rsidRDefault="007B434D" w:rsidP="00A10E3E">
            <w:pPr>
              <w:tabs>
                <w:tab w:val="decimal" w:pos="331"/>
              </w:tabs>
              <w:spacing w:before="40" w:after="4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18"/>
                <w:szCs w:val="18"/>
              </w:rPr>
            </w:pPr>
            <w:r w:rsidRPr="000973F2">
              <w:rPr>
                <w:rFonts w:ascii="Times New Roman" w:eastAsia="Times New Roman" w:hAnsi="Times New Roman" w:cs="Times New Roman"/>
                <w:b/>
                <w:bCs/>
                <w:sz w:val="18"/>
                <w:szCs w:val="18"/>
              </w:rPr>
              <w:t>0</w:t>
            </w:r>
          </w:p>
        </w:tc>
        <w:tc>
          <w:tcPr>
            <w:tcW w:w="766" w:type="dxa"/>
            <w:noWrap/>
            <w:hideMark/>
          </w:tcPr>
          <w:p w14:paraId="42AC77D4" w14:textId="77777777" w:rsidR="007B434D" w:rsidRPr="000973F2" w:rsidRDefault="007B434D" w:rsidP="00A10E3E">
            <w:pPr>
              <w:tabs>
                <w:tab w:val="decimal" w:pos="331"/>
              </w:tabs>
              <w:spacing w:before="40" w:after="4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18"/>
                <w:szCs w:val="18"/>
              </w:rPr>
            </w:pPr>
            <w:r w:rsidRPr="000973F2">
              <w:rPr>
                <w:rFonts w:ascii="Times New Roman" w:eastAsia="Times New Roman" w:hAnsi="Times New Roman" w:cs="Times New Roman"/>
                <w:b/>
                <w:bCs/>
                <w:sz w:val="18"/>
                <w:szCs w:val="18"/>
              </w:rPr>
              <w:t>1.5</w:t>
            </w:r>
          </w:p>
        </w:tc>
        <w:tc>
          <w:tcPr>
            <w:tcW w:w="766" w:type="dxa"/>
            <w:noWrap/>
            <w:hideMark/>
          </w:tcPr>
          <w:p w14:paraId="6D7DCDDD" w14:textId="77777777" w:rsidR="007B434D" w:rsidRPr="000973F2" w:rsidRDefault="007B434D" w:rsidP="00A10E3E">
            <w:pPr>
              <w:tabs>
                <w:tab w:val="decimal" w:pos="331"/>
              </w:tabs>
              <w:spacing w:before="40" w:after="4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18"/>
                <w:szCs w:val="18"/>
              </w:rPr>
            </w:pPr>
            <w:r w:rsidRPr="000973F2">
              <w:rPr>
                <w:rFonts w:ascii="Times New Roman" w:eastAsia="Times New Roman" w:hAnsi="Times New Roman" w:cs="Times New Roman"/>
                <w:b/>
                <w:bCs/>
                <w:sz w:val="18"/>
                <w:szCs w:val="18"/>
              </w:rPr>
              <w:t>0</w:t>
            </w:r>
          </w:p>
        </w:tc>
        <w:tc>
          <w:tcPr>
            <w:tcW w:w="765" w:type="dxa"/>
            <w:noWrap/>
            <w:hideMark/>
          </w:tcPr>
          <w:p w14:paraId="0E4F8CED" w14:textId="085A9B57" w:rsidR="007B434D" w:rsidRPr="000973F2" w:rsidRDefault="007B434D" w:rsidP="00A10E3E">
            <w:pPr>
              <w:tabs>
                <w:tab w:val="decimal" w:pos="331"/>
              </w:tabs>
              <w:spacing w:before="40" w:after="4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18"/>
                <w:szCs w:val="18"/>
              </w:rPr>
            </w:pPr>
            <w:r w:rsidRPr="000973F2">
              <w:rPr>
                <w:rFonts w:ascii="Times New Roman" w:eastAsia="Times New Roman" w:hAnsi="Times New Roman" w:cs="Times New Roman"/>
                <w:b/>
                <w:bCs/>
                <w:sz w:val="18"/>
                <w:szCs w:val="18"/>
              </w:rPr>
              <w:t>6</w:t>
            </w:r>
          </w:p>
        </w:tc>
        <w:tc>
          <w:tcPr>
            <w:tcW w:w="766" w:type="dxa"/>
            <w:noWrap/>
            <w:hideMark/>
          </w:tcPr>
          <w:p w14:paraId="1CDE1A78" w14:textId="77777777" w:rsidR="007B434D" w:rsidRPr="000973F2" w:rsidRDefault="007B434D" w:rsidP="00A10E3E">
            <w:pPr>
              <w:tabs>
                <w:tab w:val="decimal" w:pos="331"/>
              </w:tabs>
              <w:spacing w:before="40" w:after="4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18"/>
                <w:szCs w:val="18"/>
              </w:rPr>
            </w:pPr>
            <w:r w:rsidRPr="000973F2">
              <w:rPr>
                <w:rFonts w:ascii="Times New Roman" w:eastAsia="Times New Roman" w:hAnsi="Times New Roman" w:cs="Times New Roman"/>
                <w:b/>
                <w:bCs/>
                <w:sz w:val="18"/>
                <w:szCs w:val="18"/>
              </w:rPr>
              <w:t>0</w:t>
            </w:r>
          </w:p>
        </w:tc>
        <w:tc>
          <w:tcPr>
            <w:tcW w:w="766" w:type="dxa"/>
            <w:noWrap/>
            <w:hideMark/>
          </w:tcPr>
          <w:p w14:paraId="0FAA342E" w14:textId="77777777" w:rsidR="007B434D" w:rsidRPr="000973F2" w:rsidRDefault="007B434D" w:rsidP="00A10E3E">
            <w:pPr>
              <w:tabs>
                <w:tab w:val="decimal" w:pos="331"/>
              </w:tabs>
              <w:spacing w:before="40" w:after="4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18"/>
                <w:szCs w:val="18"/>
              </w:rPr>
            </w:pPr>
            <w:r w:rsidRPr="000973F2">
              <w:rPr>
                <w:rFonts w:ascii="Times New Roman" w:eastAsia="Times New Roman" w:hAnsi="Times New Roman" w:cs="Times New Roman"/>
                <w:b/>
                <w:bCs/>
                <w:sz w:val="18"/>
                <w:szCs w:val="18"/>
              </w:rPr>
              <w:t>1.5</w:t>
            </w:r>
          </w:p>
        </w:tc>
        <w:tc>
          <w:tcPr>
            <w:tcW w:w="800" w:type="dxa"/>
            <w:noWrap/>
            <w:hideMark/>
          </w:tcPr>
          <w:p w14:paraId="0FA0803C" w14:textId="77777777" w:rsidR="007B434D" w:rsidRPr="000973F2" w:rsidRDefault="007B434D" w:rsidP="00A10E3E">
            <w:pPr>
              <w:tabs>
                <w:tab w:val="decimal" w:pos="331"/>
              </w:tabs>
              <w:spacing w:before="40" w:after="4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18"/>
                <w:szCs w:val="18"/>
              </w:rPr>
            </w:pPr>
            <w:r w:rsidRPr="000973F2">
              <w:rPr>
                <w:rFonts w:ascii="Times New Roman" w:eastAsia="Times New Roman" w:hAnsi="Times New Roman" w:cs="Times New Roman"/>
                <w:b/>
                <w:bCs/>
                <w:sz w:val="18"/>
                <w:szCs w:val="18"/>
              </w:rPr>
              <w:t>$0</w:t>
            </w:r>
          </w:p>
        </w:tc>
        <w:tc>
          <w:tcPr>
            <w:tcW w:w="800" w:type="dxa"/>
            <w:noWrap/>
            <w:hideMark/>
          </w:tcPr>
          <w:p w14:paraId="1B644821" w14:textId="77777777" w:rsidR="007B434D" w:rsidRPr="000973F2" w:rsidRDefault="007B434D" w:rsidP="00A10E3E">
            <w:pPr>
              <w:tabs>
                <w:tab w:val="decimal" w:pos="436"/>
              </w:tabs>
              <w:spacing w:before="40" w:after="4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18"/>
                <w:szCs w:val="18"/>
              </w:rPr>
            </w:pPr>
            <w:r w:rsidRPr="000973F2">
              <w:rPr>
                <w:rFonts w:ascii="Times New Roman" w:eastAsia="Times New Roman" w:hAnsi="Times New Roman" w:cs="Times New Roman"/>
                <w:b/>
                <w:bCs/>
                <w:sz w:val="18"/>
                <w:szCs w:val="18"/>
              </w:rPr>
              <w:t>$614</w:t>
            </w:r>
          </w:p>
        </w:tc>
      </w:tr>
    </w:tbl>
    <w:p w14:paraId="52FE137C" w14:textId="77777777" w:rsidR="007B434D" w:rsidRPr="000973F2" w:rsidRDefault="007B434D" w:rsidP="002217E9">
      <w:pPr>
        <w:pStyle w:val="AfterTable"/>
      </w:pPr>
    </w:p>
    <w:p w14:paraId="0AA22D1D" w14:textId="1C379F87" w:rsidR="000C0FCE" w:rsidRPr="000973F2" w:rsidRDefault="000C0FCE" w:rsidP="00A10E3E">
      <w:pPr>
        <w:pStyle w:val="Tabletitle"/>
      </w:pPr>
      <w:r w:rsidRPr="000973F2">
        <w:t xml:space="preserve">Table </w:t>
      </w:r>
      <w:r w:rsidR="00A10E3E" w:rsidRPr="000973F2">
        <w:t>CC-</w:t>
      </w:r>
      <w:r w:rsidRPr="000973F2">
        <w:t xml:space="preserve">1b. Labor Costs </w:t>
      </w:r>
      <w:r w:rsidR="00B960CC" w:rsidRPr="000973F2">
        <w:t>–</w:t>
      </w:r>
      <w:r w:rsidRPr="000973F2">
        <w:t xml:space="preserve"> Subpart CC – Soda ash output method</w:t>
      </w:r>
    </w:p>
    <w:tbl>
      <w:tblPr>
        <w:tblStyle w:val="PlainTable1"/>
        <w:tblW w:w="5000" w:type="pct"/>
        <w:jc w:val="left"/>
        <w:tblLayout w:type="fixed"/>
        <w:tblCellMar>
          <w:left w:w="115" w:type="dxa"/>
          <w:right w:w="115" w:type="dxa"/>
        </w:tblCellMar>
        <w:tblLook w:val="04A0" w:firstRow="1" w:lastRow="0" w:firstColumn="1" w:lastColumn="0" w:noHBand="0" w:noVBand="1"/>
      </w:tblPr>
      <w:tblGrid>
        <w:gridCol w:w="1651"/>
        <w:gridCol w:w="787"/>
        <w:gridCol w:w="786"/>
        <w:gridCol w:w="786"/>
        <w:gridCol w:w="786"/>
        <w:gridCol w:w="786"/>
        <w:gridCol w:w="786"/>
        <w:gridCol w:w="786"/>
        <w:gridCol w:w="786"/>
        <w:gridCol w:w="833"/>
        <w:gridCol w:w="817"/>
      </w:tblGrid>
      <w:tr w:rsidR="000C0FCE" w:rsidRPr="000973F2" w14:paraId="04526777" w14:textId="77777777" w:rsidTr="002217E9">
        <w:trPr>
          <w:cnfStyle w:val="100000000000" w:firstRow="1" w:lastRow="0" w:firstColumn="0" w:lastColumn="0" w:oddVBand="0" w:evenVBand="0" w:oddHBand="0" w:evenHBand="0" w:firstRowFirstColumn="0" w:firstRowLastColumn="0" w:lastRowFirstColumn="0" w:lastRowLastColumn="0"/>
          <w:cantSplit/>
          <w:jc w:val="left"/>
        </w:trPr>
        <w:tc>
          <w:tcPr>
            <w:cnfStyle w:val="001000000000" w:firstRow="0" w:lastRow="0" w:firstColumn="1" w:lastColumn="0" w:oddVBand="0" w:evenVBand="0" w:oddHBand="0" w:evenHBand="0" w:firstRowFirstColumn="0" w:firstRowLastColumn="0" w:lastRowFirstColumn="0" w:lastRowLastColumn="0"/>
            <w:tcW w:w="1605" w:type="dxa"/>
            <w:vMerge w:val="restart"/>
            <w:noWrap/>
            <w:vAlign w:val="top"/>
            <w:hideMark/>
          </w:tcPr>
          <w:p w14:paraId="0AA97ABE" w14:textId="77777777" w:rsidR="000C0FCE" w:rsidRPr="000973F2" w:rsidRDefault="000C0FCE" w:rsidP="002217E9">
            <w:pPr>
              <w:spacing w:before="40" w:after="40"/>
              <w:rPr>
                <w:rFonts w:ascii="Times New Roman" w:eastAsia="Times New Roman" w:hAnsi="Times New Roman" w:cs="Times New Roman"/>
                <w:b w:val="0"/>
                <w:bCs w:val="0"/>
                <w:sz w:val="18"/>
                <w:szCs w:val="18"/>
              </w:rPr>
            </w:pPr>
            <w:r w:rsidRPr="000973F2">
              <w:rPr>
                <w:rFonts w:ascii="Times New Roman" w:eastAsia="Times New Roman" w:hAnsi="Times New Roman" w:cs="Times New Roman"/>
                <w:sz w:val="18"/>
                <w:szCs w:val="18"/>
              </w:rPr>
              <w:t>Activity</w:t>
            </w:r>
          </w:p>
        </w:tc>
        <w:tc>
          <w:tcPr>
            <w:tcW w:w="6120" w:type="dxa"/>
            <w:gridSpan w:val="8"/>
            <w:noWrap/>
            <w:vAlign w:val="top"/>
            <w:hideMark/>
          </w:tcPr>
          <w:p w14:paraId="22D69042" w14:textId="77777777" w:rsidR="000C0FCE" w:rsidRPr="000973F2" w:rsidRDefault="000C0FCE" w:rsidP="002217E9">
            <w:pPr>
              <w:spacing w:before="40" w:after="40"/>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bCs w:val="0"/>
                <w:sz w:val="18"/>
                <w:szCs w:val="18"/>
              </w:rPr>
            </w:pPr>
            <w:r w:rsidRPr="000973F2">
              <w:rPr>
                <w:rFonts w:ascii="Times New Roman" w:eastAsia="Times New Roman" w:hAnsi="Times New Roman" w:cs="Times New Roman"/>
                <w:sz w:val="18"/>
                <w:szCs w:val="18"/>
              </w:rPr>
              <w:t>Labor Rates (per hour)</w:t>
            </w:r>
          </w:p>
        </w:tc>
        <w:tc>
          <w:tcPr>
            <w:tcW w:w="1605" w:type="dxa"/>
            <w:gridSpan w:val="2"/>
            <w:vMerge w:val="restart"/>
            <w:vAlign w:val="top"/>
            <w:hideMark/>
          </w:tcPr>
          <w:p w14:paraId="1C690786" w14:textId="77777777" w:rsidR="000C0FCE" w:rsidRPr="000973F2" w:rsidRDefault="000C0FCE" w:rsidP="002217E9">
            <w:pPr>
              <w:spacing w:before="40" w:after="40"/>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bCs w:val="0"/>
                <w:sz w:val="18"/>
                <w:szCs w:val="18"/>
              </w:rPr>
            </w:pPr>
            <w:r w:rsidRPr="000973F2">
              <w:rPr>
                <w:rFonts w:ascii="Times New Roman" w:eastAsia="Times New Roman" w:hAnsi="Times New Roman" w:cs="Times New Roman"/>
                <w:sz w:val="18"/>
                <w:szCs w:val="18"/>
              </w:rPr>
              <w:t>Total Labor Cost per Year per Facility (2017$)</w:t>
            </w:r>
          </w:p>
        </w:tc>
      </w:tr>
      <w:tr w:rsidR="000C0FCE" w:rsidRPr="000973F2" w14:paraId="273A13CB" w14:textId="77777777" w:rsidTr="002217E9">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1605" w:type="dxa"/>
            <w:vMerge/>
            <w:hideMark/>
          </w:tcPr>
          <w:p w14:paraId="6857F427" w14:textId="77777777" w:rsidR="000C0FCE" w:rsidRPr="000973F2" w:rsidRDefault="000C0FCE" w:rsidP="002217E9">
            <w:pPr>
              <w:spacing w:before="40" w:after="40"/>
              <w:rPr>
                <w:rFonts w:ascii="Times New Roman" w:eastAsia="Times New Roman" w:hAnsi="Times New Roman" w:cs="Times New Roman"/>
                <w:b/>
                <w:bCs w:val="0"/>
                <w:sz w:val="18"/>
                <w:szCs w:val="18"/>
              </w:rPr>
            </w:pPr>
          </w:p>
        </w:tc>
        <w:tc>
          <w:tcPr>
            <w:tcW w:w="1530" w:type="dxa"/>
            <w:gridSpan w:val="2"/>
            <w:noWrap/>
            <w:hideMark/>
          </w:tcPr>
          <w:p w14:paraId="113E77A7" w14:textId="77777777" w:rsidR="000C0FCE" w:rsidRPr="000973F2" w:rsidRDefault="000C0FCE" w:rsidP="002217E9">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18"/>
                <w:szCs w:val="18"/>
              </w:rPr>
            </w:pPr>
            <w:r w:rsidRPr="000973F2">
              <w:rPr>
                <w:rFonts w:ascii="Times New Roman" w:eastAsia="Times New Roman" w:hAnsi="Times New Roman" w:cs="Times New Roman"/>
                <w:b/>
                <w:bCs/>
                <w:sz w:val="18"/>
                <w:szCs w:val="18"/>
              </w:rPr>
              <w:t>Lawyer</w:t>
            </w:r>
          </w:p>
        </w:tc>
        <w:tc>
          <w:tcPr>
            <w:tcW w:w="1530" w:type="dxa"/>
            <w:gridSpan w:val="2"/>
            <w:noWrap/>
            <w:hideMark/>
          </w:tcPr>
          <w:p w14:paraId="24810255" w14:textId="77777777" w:rsidR="000C0FCE" w:rsidRPr="000973F2" w:rsidRDefault="000C0FCE" w:rsidP="002217E9">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18"/>
                <w:szCs w:val="18"/>
              </w:rPr>
            </w:pPr>
            <w:r w:rsidRPr="000973F2">
              <w:rPr>
                <w:rFonts w:ascii="Times New Roman" w:eastAsia="Times New Roman" w:hAnsi="Times New Roman" w:cs="Times New Roman"/>
                <w:b/>
                <w:bCs/>
                <w:sz w:val="18"/>
                <w:szCs w:val="18"/>
              </w:rPr>
              <w:t>Industrial Manager</w:t>
            </w:r>
          </w:p>
        </w:tc>
        <w:tc>
          <w:tcPr>
            <w:tcW w:w="1530" w:type="dxa"/>
            <w:gridSpan w:val="2"/>
            <w:hideMark/>
          </w:tcPr>
          <w:p w14:paraId="241524AF" w14:textId="099A6482" w:rsidR="000C0FCE" w:rsidRPr="000973F2" w:rsidRDefault="000C0FCE" w:rsidP="002217E9">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18"/>
                <w:szCs w:val="18"/>
              </w:rPr>
            </w:pPr>
            <w:r w:rsidRPr="000973F2">
              <w:rPr>
                <w:rFonts w:ascii="Times New Roman" w:eastAsia="Times New Roman" w:hAnsi="Times New Roman" w:cs="Times New Roman"/>
                <w:b/>
                <w:bCs/>
                <w:sz w:val="18"/>
                <w:szCs w:val="18"/>
              </w:rPr>
              <w:t>Industrial Engineer/</w:t>
            </w:r>
            <w:r w:rsidR="002217E9" w:rsidRPr="000973F2">
              <w:rPr>
                <w:rFonts w:ascii="Times New Roman" w:eastAsia="Times New Roman" w:hAnsi="Times New Roman" w:cs="Times New Roman"/>
                <w:b/>
                <w:bCs/>
                <w:sz w:val="18"/>
                <w:szCs w:val="18"/>
              </w:rPr>
              <w:t xml:space="preserve"> </w:t>
            </w:r>
            <w:r w:rsidRPr="000973F2">
              <w:rPr>
                <w:rFonts w:ascii="Times New Roman" w:eastAsia="Times New Roman" w:hAnsi="Times New Roman" w:cs="Times New Roman"/>
                <w:b/>
                <w:bCs/>
                <w:sz w:val="18"/>
                <w:szCs w:val="18"/>
              </w:rPr>
              <w:t>Technician</w:t>
            </w:r>
          </w:p>
        </w:tc>
        <w:tc>
          <w:tcPr>
            <w:tcW w:w="1530" w:type="dxa"/>
            <w:gridSpan w:val="2"/>
            <w:hideMark/>
          </w:tcPr>
          <w:p w14:paraId="5A2D1102" w14:textId="77777777" w:rsidR="000C0FCE" w:rsidRPr="000973F2" w:rsidRDefault="000C0FCE" w:rsidP="002217E9">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18"/>
                <w:szCs w:val="18"/>
              </w:rPr>
            </w:pPr>
            <w:r w:rsidRPr="000973F2">
              <w:rPr>
                <w:rFonts w:ascii="Times New Roman" w:eastAsia="Times New Roman" w:hAnsi="Times New Roman" w:cs="Times New Roman"/>
                <w:b/>
                <w:bCs/>
                <w:sz w:val="18"/>
                <w:szCs w:val="18"/>
              </w:rPr>
              <w:t>Administrative Support</w:t>
            </w:r>
          </w:p>
        </w:tc>
        <w:tc>
          <w:tcPr>
            <w:tcW w:w="1605" w:type="dxa"/>
            <w:gridSpan w:val="2"/>
            <w:vMerge/>
            <w:hideMark/>
          </w:tcPr>
          <w:p w14:paraId="0DF265DA" w14:textId="77777777" w:rsidR="000C0FCE" w:rsidRPr="000973F2" w:rsidRDefault="000C0FCE" w:rsidP="002217E9">
            <w:pPr>
              <w:spacing w:before="40" w:after="4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18"/>
                <w:szCs w:val="18"/>
              </w:rPr>
            </w:pPr>
          </w:p>
        </w:tc>
      </w:tr>
      <w:tr w:rsidR="000C0FCE" w:rsidRPr="000973F2" w14:paraId="7EE7B148" w14:textId="77777777" w:rsidTr="002217E9">
        <w:trPr>
          <w:cantSplit/>
        </w:trPr>
        <w:tc>
          <w:tcPr>
            <w:cnfStyle w:val="001000000000" w:firstRow="0" w:lastRow="0" w:firstColumn="1" w:lastColumn="0" w:oddVBand="0" w:evenVBand="0" w:oddHBand="0" w:evenHBand="0" w:firstRowFirstColumn="0" w:firstRowLastColumn="0" w:lastRowFirstColumn="0" w:lastRowLastColumn="0"/>
            <w:tcW w:w="1605" w:type="dxa"/>
            <w:vMerge/>
            <w:hideMark/>
          </w:tcPr>
          <w:p w14:paraId="7A16240A" w14:textId="77777777" w:rsidR="000C0FCE" w:rsidRPr="000973F2" w:rsidRDefault="000C0FCE" w:rsidP="002217E9">
            <w:pPr>
              <w:spacing w:before="40" w:after="40"/>
              <w:rPr>
                <w:rFonts w:ascii="Times New Roman" w:eastAsia="Times New Roman" w:hAnsi="Times New Roman" w:cs="Times New Roman"/>
                <w:b/>
                <w:bCs w:val="0"/>
                <w:sz w:val="18"/>
                <w:szCs w:val="18"/>
              </w:rPr>
            </w:pPr>
          </w:p>
        </w:tc>
        <w:tc>
          <w:tcPr>
            <w:tcW w:w="1530" w:type="dxa"/>
            <w:gridSpan w:val="2"/>
            <w:noWrap/>
            <w:hideMark/>
          </w:tcPr>
          <w:p w14:paraId="3E7196E8" w14:textId="77777777" w:rsidR="000C0FCE" w:rsidRPr="000973F2" w:rsidRDefault="000C0FCE" w:rsidP="002217E9">
            <w:pPr>
              <w:spacing w:before="40" w:after="4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sz w:val="18"/>
                <w:szCs w:val="18"/>
              </w:rPr>
            </w:pPr>
            <w:r w:rsidRPr="000973F2">
              <w:rPr>
                <w:rFonts w:ascii="Times New Roman" w:eastAsia="Times New Roman" w:hAnsi="Times New Roman" w:cs="Times New Roman"/>
                <w:b/>
                <w:bCs/>
                <w:sz w:val="18"/>
                <w:szCs w:val="18"/>
              </w:rPr>
              <w:t xml:space="preserve">$112.23 </w:t>
            </w:r>
          </w:p>
        </w:tc>
        <w:tc>
          <w:tcPr>
            <w:tcW w:w="1530" w:type="dxa"/>
            <w:gridSpan w:val="2"/>
            <w:noWrap/>
            <w:hideMark/>
          </w:tcPr>
          <w:p w14:paraId="26B7251D" w14:textId="77777777" w:rsidR="000C0FCE" w:rsidRPr="000973F2" w:rsidRDefault="000C0FCE" w:rsidP="002217E9">
            <w:pPr>
              <w:spacing w:before="40" w:after="4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sz w:val="18"/>
                <w:szCs w:val="18"/>
              </w:rPr>
            </w:pPr>
            <w:r w:rsidRPr="000973F2">
              <w:rPr>
                <w:rFonts w:ascii="Times New Roman" w:eastAsia="Times New Roman" w:hAnsi="Times New Roman" w:cs="Times New Roman"/>
                <w:b/>
                <w:bCs/>
                <w:sz w:val="18"/>
                <w:szCs w:val="18"/>
              </w:rPr>
              <w:t xml:space="preserve">$87.45 </w:t>
            </w:r>
          </w:p>
        </w:tc>
        <w:tc>
          <w:tcPr>
            <w:tcW w:w="1530" w:type="dxa"/>
            <w:gridSpan w:val="2"/>
            <w:noWrap/>
            <w:hideMark/>
          </w:tcPr>
          <w:p w14:paraId="5B17936A" w14:textId="77777777" w:rsidR="000C0FCE" w:rsidRPr="000973F2" w:rsidRDefault="000C0FCE" w:rsidP="002217E9">
            <w:pPr>
              <w:spacing w:before="40" w:after="4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sz w:val="18"/>
                <w:szCs w:val="18"/>
              </w:rPr>
            </w:pPr>
            <w:r w:rsidRPr="000973F2">
              <w:rPr>
                <w:rFonts w:ascii="Times New Roman" w:eastAsia="Times New Roman" w:hAnsi="Times New Roman" w:cs="Times New Roman"/>
                <w:b/>
                <w:bCs/>
                <w:sz w:val="18"/>
                <w:szCs w:val="18"/>
              </w:rPr>
              <w:t xml:space="preserve">$71.45 </w:t>
            </w:r>
          </w:p>
        </w:tc>
        <w:tc>
          <w:tcPr>
            <w:tcW w:w="1530" w:type="dxa"/>
            <w:gridSpan w:val="2"/>
            <w:noWrap/>
            <w:hideMark/>
          </w:tcPr>
          <w:p w14:paraId="327F2718" w14:textId="77777777" w:rsidR="000C0FCE" w:rsidRPr="000973F2" w:rsidRDefault="000C0FCE" w:rsidP="002217E9">
            <w:pPr>
              <w:spacing w:before="40" w:after="4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sz w:val="18"/>
                <w:szCs w:val="18"/>
              </w:rPr>
            </w:pPr>
            <w:r w:rsidRPr="000973F2">
              <w:rPr>
                <w:rFonts w:ascii="Times New Roman" w:eastAsia="Times New Roman" w:hAnsi="Times New Roman" w:cs="Times New Roman"/>
                <w:b/>
                <w:bCs/>
                <w:sz w:val="18"/>
                <w:szCs w:val="18"/>
              </w:rPr>
              <w:t xml:space="preserve">$36.28 </w:t>
            </w:r>
          </w:p>
        </w:tc>
        <w:tc>
          <w:tcPr>
            <w:tcW w:w="1605" w:type="dxa"/>
            <w:gridSpan w:val="2"/>
            <w:vMerge/>
            <w:hideMark/>
          </w:tcPr>
          <w:p w14:paraId="530B9889" w14:textId="77777777" w:rsidR="000C0FCE" w:rsidRPr="000973F2" w:rsidRDefault="000C0FCE" w:rsidP="002217E9">
            <w:pPr>
              <w:spacing w:before="40" w:after="4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sz w:val="18"/>
                <w:szCs w:val="18"/>
              </w:rPr>
            </w:pPr>
          </w:p>
        </w:tc>
      </w:tr>
      <w:tr w:rsidR="000C0FCE" w:rsidRPr="000973F2" w14:paraId="1B2F9B4C" w14:textId="77777777" w:rsidTr="002217E9">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1605" w:type="dxa"/>
            <w:vMerge/>
            <w:hideMark/>
          </w:tcPr>
          <w:p w14:paraId="19891E7B" w14:textId="77777777" w:rsidR="000C0FCE" w:rsidRPr="000973F2" w:rsidRDefault="000C0FCE" w:rsidP="002217E9">
            <w:pPr>
              <w:spacing w:before="40" w:after="40"/>
              <w:rPr>
                <w:rFonts w:ascii="Times New Roman" w:eastAsia="Times New Roman" w:hAnsi="Times New Roman" w:cs="Times New Roman"/>
                <w:b/>
                <w:bCs w:val="0"/>
                <w:sz w:val="18"/>
                <w:szCs w:val="18"/>
              </w:rPr>
            </w:pPr>
          </w:p>
        </w:tc>
        <w:tc>
          <w:tcPr>
            <w:tcW w:w="765" w:type="dxa"/>
            <w:tcMar>
              <w:left w:w="14" w:type="dxa"/>
              <w:right w:w="14" w:type="dxa"/>
            </w:tcMar>
            <w:hideMark/>
          </w:tcPr>
          <w:p w14:paraId="3E81DB77" w14:textId="1769B726" w:rsidR="000C0FCE" w:rsidRPr="000973F2" w:rsidRDefault="000C0FCE" w:rsidP="002217E9">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18"/>
                <w:szCs w:val="18"/>
              </w:rPr>
            </w:pPr>
            <w:r w:rsidRPr="000973F2">
              <w:rPr>
                <w:rFonts w:ascii="Times New Roman" w:eastAsia="Times New Roman" w:hAnsi="Times New Roman" w:cs="Times New Roman"/>
                <w:b/>
                <w:bCs/>
                <w:sz w:val="18"/>
                <w:szCs w:val="18"/>
              </w:rPr>
              <w:t xml:space="preserve">Initial </w:t>
            </w:r>
            <w:r w:rsidR="00132320" w:rsidRPr="000973F2">
              <w:rPr>
                <w:rFonts w:ascii="Times New Roman" w:eastAsia="Times New Roman" w:hAnsi="Times New Roman" w:cs="Times New Roman"/>
                <w:b/>
                <w:bCs/>
                <w:sz w:val="18"/>
                <w:szCs w:val="18"/>
              </w:rPr>
              <w:t>Year Hours</w:t>
            </w:r>
          </w:p>
        </w:tc>
        <w:tc>
          <w:tcPr>
            <w:tcW w:w="765" w:type="dxa"/>
            <w:tcMar>
              <w:left w:w="14" w:type="dxa"/>
              <w:right w:w="14" w:type="dxa"/>
            </w:tcMar>
            <w:hideMark/>
          </w:tcPr>
          <w:p w14:paraId="16CD2772" w14:textId="77777777" w:rsidR="000C0FCE" w:rsidRPr="000973F2" w:rsidRDefault="000C0FCE" w:rsidP="002217E9">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18"/>
                <w:szCs w:val="18"/>
              </w:rPr>
            </w:pPr>
            <w:r w:rsidRPr="000973F2">
              <w:rPr>
                <w:rFonts w:ascii="Times New Roman" w:eastAsia="Times New Roman" w:hAnsi="Times New Roman" w:cs="Times New Roman"/>
                <w:b/>
                <w:bCs/>
                <w:sz w:val="18"/>
                <w:szCs w:val="18"/>
              </w:rPr>
              <w:t>Subseq. Year Hours</w:t>
            </w:r>
          </w:p>
        </w:tc>
        <w:tc>
          <w:tcPr>
            <w:tcW w:w="765" w:type="dxa"/>
            <w:tcMar>
              <w:left w:w="14" w:type="dxa"/>
              <w:right w:w="14" w:type="dxa"/>
            </w:tcMar>
            <w:hideMark/>
          </w:tcPr>
          <w:p w14:paraId="562AA806" w14:textId="219E0A51" w:rsidR="000C0FCE" w:rsidRPr="000973F2" w:rsidRDefault="000C0FCE" w:rsidP="002217E9">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18"/>
                <w:szCs w:val="18"/>
              </w:rPr>
            </w:pPr>
            <w:r w:rsidRPr="000973F2">
              <w:rPr>
                <w:rFonts w:ascii="Times New Roman" w:eastAsia="Times New Roman" w:hAnsi="Times New Roman" w:cs="Times New Roman"/>
                <w:b/>
                <w:bCs/>
                <w:sz w:val="18"/>
                <w:szCs w:val="18"/>
              </w:rPr>
              <w:t xml:space="preserve">Initial </w:t>
            </w:r>
            <w:r w:rsidR="00132320" w:rsidRPr="000973F2">
              <w:rPr>
                <w:rFonts w:ascii="Times New Roman" w:eastAsia="Times New Roman" w:hAnsi="Times New Roman" w:cs="Times New Roman"/>
                <w:b/>
                <w:bCs/>
                <w:sz w:val="18"/>
                <w:szCs w:val="18"/>
              </w:rPr>
              <w:t>Year Hours</w:t>
            </w:r>
          </w:p>
        </w:tc>
        <w:tc>
          <w:tcPr>
            <w:tcW w:w="765" w:type="dxa"/>
            <w:tcMar>
              <w:left w:w="14" w:type="dxa"/>
              <w:right w:w="14" w:type="dxa"/>
            </w:tcMar>
            <w:hideMark/>
          </w:tcPr>
          <w:p w14:paraId="3D7CE4B7" w14:textId="77777777" w:rsidR="000C0FCE" w:rsidRPr="000973F2" w:rsidRDefault="000C0FCE" w:rsidP="002217E9">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18"/>
                <w:szCs w:val="18"/>
              </w:rPr>
            </w:pPr>
            <w:r w:rsidRPr="000973F2">
              <w:rPr>
                <w:rFonts w:ascii="Times New Roman" w:eastAsia="Times New Roman" w:hAnsi="Times New Roman" w:cs="Times New Roman"/>
                <w:b/>
                <w:bCs/>
                <w:sz w:val="18"/>
                <w:szCs w:val="18"/>
              </w:rPr>
              <w:t>Subseq. Year Hours</w:t>
            </w:r>
          </w:p>
        </w:tc>
        <w:tc>
          <w:tcPr>
            <w:tcW w:w="765" w:type="dxa"/>
            <w:tcMar>
              <w:left w:w="14" w:type="dxa"/>
              <w:right w:w="14" w:type="dxa"/>
            </w:tcMar>
            <w:hideMark/>
          </w:tcPr>
          <w:p w14:paraId="0C8CB5ED" w14:textId="2B8DC64C" w:rsidR="000C0FCE" w:rsidRPr="000973F2" w:rsidRDefault="000C0FCE" w:rsidP="002217E9">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18"/>
                <w:szCs w:val="18"/>
              </w:rPr>
            </w:pPr>
            <w:r w:rsidRPr="000973F2">
              <w:rPr>
                <w:rFonts w:ascii="Times New Roman" w:eastAsia="Times New Roman" w:hAnsi="Times New Roman" w:cs="Times New Roman"/>
                <w:b/>
                <w:bCs/>
                <w:sz w:val="18"/>
                <w:szCs w:val="18"/>
              </w:rPr>
              <w:t xml:space="preserve">Initial </w:t>
            </w:r>
            <w:r w:rsidR="00132320" w:rsidRPr="000973F2">
              <w:rPr>
                <w:rFonts w:ascii="Times New Roman" w:eastAsia="Times New Roman" w:hAnsi="Times New Roman" w:cs="Times New Roman"/>
                <w:b/>
                <w:bCs/>
                <w:sz w:val="18"/>
                <w:szCs w:val="18"/>
              </w:rPr>
              <w:t>Year Hours</w:t>
            </w:r>
          </w:p>
        </w:tc>
        <w:tc>
          <w:tcPr>
            <w:tcW w:w="765" w:type="dxa"/>
            <w:tcMar>
              <w:left w:w="14" w:type="dxa"/>
              <w:right w:w="14" w:type="dxa"/>
            </w:tcMar>
            <w:hideMark/>
          </w:tcPr>
          <w:p w14:paraId="0D2C095C" w14:textId="77777777" w:rsidR="000C0FCE" w:rsidRPr="000973F2" w:rsidRDefault="000C0FCE" w:rsidP="002217E9">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18"/>
                <w:szCs w:val="18"/>
              </w:rPr>
            </w:pPr>
            <w:r w:rsidRPr="000973F2">
              <w:rPr>
                <w:rFonts w:ascii="Times New Roman" w:eastAsia="Times New Roman" w:hAnsi="Times New Roman" w:cs="Times New Roman"/>
                <w:b/>
                <w:bCs/>
                <w:sz w:val="18"/>
                <w:szCs w:val="18"/>
              </w:rPr>
              <w:t>Subseq. Year Hours</w:t>
            </w:r>
          </w:p>
        </w:tc>
        <w:tc>
          <w:tcPr>
            <w:tcW w:w="765" w:type="dxa"/>
            <w:tcMar>
              <w:left w:w="14" w:type="dxa"/>
              <w:right w:w="14" w:type="dxa"/>
            </w:tcMar>
            <w:hideMark/>
          </w:tcPr>
          <w:p w14:paraId="7628E6CC" w14:textId="22FA3224" w:rsidR="000C0FCE" w:rsidRPr="000973F2" w:rsidRDefault="000C0FCE" w:rsidP="002217E9">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18"/>
                <w:szCs w:val="18"/>
              </w:rPr>
            </w:pPr>
            <w:r w:rsidRPr="000973F2">
              <w:rPr>
                <w:rFonts w:ascii="Times New Roman" w:eastAsia="Times New Roman" w:hAnsi="Times New Roman" w:cs="Times New Roman"/>
                <w:b/>
                <w:bCs/>
                <w:sz w:val="18"/>
                <w:szCs w:val="18"/>
              </w:rPr>
              <w:t xml:space="preserve">Initial </w:t>
            </w:r>
            <w:r w:rsidR="00132320" w:rsidRPr="000973F2">
              <w:rPr>
                <w:rFonts w:ascii="Times New Roman" w:eastAsia="Times New Roman" w:hAnsi="Times New Roman" w:cs="Times New Roman"/>
                <w:b/>
                <w:bCs/>
                <w:sz w:val="18"/>
                <w:szCs w:val="18"/>
              </w:rPr>
              <w:t>Year Hours</w:t>
            </w:r>
          </w:p>
        </w:tc>
        <w:tc>
          <w:tcPr>
            <w:tcW w:w="765" w:type="dxa"/>
            <w:tcMar>
              <w:left w:w="14" w:type="dxa"/>
              <w:right w:w="14" w:type="dxa"/>
            </w:tcMar>
            <w:hideMark/>
          </w:tcPr>
          <w:p w14:paraId="1A2B1BF8" w14:textId="77777777" w:rsidR="000C0FCE" w:rsidRPr="000973F2" w:rsidRDefault="000C0FCE" w:rsidP="002217E9">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18"/>
                <w:szCs w:val="18"/>
              </w:rPr>
            </w:pPr>
            <w:r w:rsidRPr="000973F2">
              <w:rPr>
                <w:rFonts w:ascii="Times New Roman" w:eastAsia="Times New Roman" w:hAnsi="Times New Roman" w:cs="Times New Roman"/>
                <w:b/>
                <w:bCs/>
                <w:sz w:val="18"/>
                <w:szCs w:val="18"/>
              </w:rPr>
              <w:t>Subseq. Year Hours</w:t>
            </w:r>
          </w:p>
        </w:tc>
        <w:tc>
          <w:tcPr>
            <w:tcW w:w="810" w:type="dxa"/>
            <w:tcMar>
              <w:left w:w="14" w:type="dxa"/>
              <w:right w:w="14" w:type="dxa"/>
            </w:tcMar>
            <w:hideMark/>
          </w:tcPr>
          <w:p w14:paraId="02DCB650" w14:textId="77777777" w:rsidR="000C0FCE" w:rsidRPr="000973F2" w:rsidRDefault="000C0FCE" w:rsidP="002217E9">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18"/>
                <w:szCs w:val="18"/>
              </w:rPr>
            </w:pPr>
            <w:r w:rsidRPr="000973F2">
              <w:rPr>
                <w:rFonts w:ascii="Times New Roman" w:eastAsia="Times New Roman" w:hAnsi="Times New Roman" w:cs="Times New Roman"/>
                <w:b/>
                <w:bCs/>
                <w:sz w:val="18"/>
                <w:szCs w:val="18"/>
              </w:rPr>
              <w:t>Initial Year</w:t>
            </w:r>
          </w:p>
        </w:tc>
        <w:tc>
          <w:tcPr>
            <w:tcW w:w="795" w:type="dxa"/>
            <w:tcMar>
              <w:left w:w="14" w:type="dxa"/>
              <w:right w:w="14" w:type="dxa"/>
            </w:tcMar>
            <w:hideMark/>
          </w:tcPr>
          <w:p w14:paraId="684ADDE5" w14:textId="77777777" w:rsidR="000C0FCE" w:rsidRPr="000973F2" w:rsidRDefault="000C0FCE" w:rsidP="002217E9">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18"/>
                <w:szCs w:val="18"/>
              </w:rPr>
            </w:pPr>
            <w:r w:rsidRPr="000973F2">
              <w:rPr>
                <w:rFonts w:ascii="Times New Roman" w:eastAsia="Times New Roman" w:hAnsi="Times New Roman" w:cs="Times New Roman"/>
                <w:b/>
                <w:bCs/>
                <w:sz w:val="18"/>
                <w:szCs w:val="18"/>
              </w:rPr>
              <w:t>Subseq. Year</w:t>
            </w:r>
          </w:p>
        </w:tc>
      </w:tr>
      <w:tr w:rsidR="000C0FCE" w:rsidRPr="000973F2" w14:paraId="138B5434" w14:textId="77777777" w:rsidTr="002217E9">
        <w:trPr>
          <w:cantSplit/>
        </w:trPr>
        <w:tc>
          <w:tcPr>
            <w:cnfStyle w:val="001000000000" w:firstRow="0" w:lastRow="0" w:firstColumn="1" w:lastColumn="0" w:oddVBand="0" w:evenVBand="0" w:oddHBand="0" w:evenHBand="0" w:firstRowFirstColumn="0" w:firstRowLastColumn="0" w:lastRowFirstColumn="0" w:lastRowLastColumn="0"/>
            <w:tcW w:w="1605" w:type="dxa"/>
            <w:hideMark/>
          </w:tcPr>
          <w:p w14:paraId="0C657BD1" w14:textId="77777777" w:rsidR="000C0FCE" w:rsidRPr="000973F2" w:rsidRDefault="000C0FCE" w:rsidP="002217E9">
            <w:pPr>
              <w:spacing w:before="40" w:after="4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Planning</w:t>
            </w:r>
          </w:p>
        </w:tc>
        <w:tc>
          <w:tcPr>
            <w:tcW w:w="765" w:type="dxa"/>
            <w:noWrap/>
            <w:hideMark/>
          </w:tcPr>
          <w:p w14:paraId="2C4BC629" w14:textId="77777777" w:rsidR="000C0FCE" w:rsidRPr="000973F2" w:rsidRDefault="000C0FCE" w:rsidP="002217E9">
            <w:pPr>
              <w:tabs>
                <w:tab w:val="decimal" w:pos="256"/>
              </w:tabs>
              <w:spacing w:before="40" w:after="4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0</w:t>
            </w:r>
          </w:p>
        </w:tc>
        <w:tc>
          <w:tcPr>
            <w:tcW w:w="765" w:type="dxa"/>
            <w:noWrap/>
            <w:hideMark/>
          </w:tcPr>
          <w:p w14:paraId="71FDE670" w14:textId="77777777" w:rsidR="000C0FCE" w:rsidRPr="000973F2" w:rsidRDefault="000C0FCE" w:rsidP="002217E9">
            <w:pPr>
              <w:tabs>
                <w:tab w:val="decimal" w:pos="256"/>
              </w:tabs>
              <w:spacing w:before="40" w:after="4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0</w:t>
            </w:r>
          </w:p>
        </w:tc>
        <w:tc>
          <w:tcPr>
            <w:tcW w:w="765" w:type="dxa"/>
            <w:noWrap/>
            <w:hideMark/>
          </w:tcPr>
          <w:p w14:paraId="347E44D5" w14:textId="77777777" w:rsidR="000C0FCE" w:rsidRPr="000973F2" w:rsidRDefault="000C0FCE" w:rsidP="002217E9">
            <w:pPr>
              <w:tabs>
                <w:tab w:val="decimal" w:pos="256"/>
              </w:tabs>
              <w:spacing w:before="40" w:after="4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0</w:t>
            </w:r>
          </w:p>
        </w:tc>
        <w:tc>
          <w:tcPr>
            <w:tcW w:w="765" w:type="dxa"/>
            <w:noWrap/>
            <w:hideMark/>
          </w:tcPr>
          <w:p w14:paraId="6B2379D1" w14:textId="77777777" w:rsidR="000C0FCE" w:rsidRPr="000973F2" w:rsidRDefault="000C0FCE" w:rsidP="002217E9">
            <w:pPr>
              <w:tabs>
                <w:tab w:val="decimal" w:pos="256"/>
              </w:tabs>
              <w:spacing w:before="40" w:after="4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0</w:t>
            </w:r>
          </w:p>
        </w:tc>
        <w:tc>
          <w:tcPr>
            <w:tcW w:w="765" w:type="dxa"/>
            <w:noWrap/>
            <w:hideMark/>
          </w:tcPr>
          <w:p w14:paraId="4B0529FB" w14:textId="77777777" w:rsidR="000C0FCE" w:rsidRPr="000973F2" w:rsidRDefault="000C0FCE" w:rsidP="002217E9">
            <w:pPr>
              <w:tabs>
                <w:tab w:val="decimal" w:pos="256"/>
              </w:tabs>
              <w:spacing w:before="40" w:after="4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0</w:t>
            </w:r>
          </w:p>
        </w:tc>
        <w:tc>
          <w:tcPr>
            <w:tcW w:w="765" w:type="dxa"/>
            <w:noWrap/>
            <w:hideMark/>
          </w:tcPr>
          <w:p w14:paraId="2028611F" w14:textId="77777777" w:rsidR="000C0FCE" w:rsidRPr="000973F2" w:rsidRDefault="000C0FCE" w:rsidP="002217E9">
            <w:pPr>
              <w:tabs>
                <w:tab w:val="decimal" w:pos="256"/>
              </w:tabs>
              <w:spacing w:before="40" w:after="4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0</w:t>
            </w:r>
          </w:p>
        </w:tc>
        <w:tc>
          <w:tcPr>
            <w:tcW w:w="765" w:type="dxa"/>
            <w:noWrap/>
            <w:hideMark/>
          </w:tcPr>
          <w:p w14:paraId="48229B0F" w14:textId="77777777" w:rsidR="000C0FCE" w:rsidRPr="000973F2" w:rsidRDefault="000C0FCE" w:rsidP="002217E9">
            <w:pPr>
              <w:tabs>
                <w:tab w:val="decimal" w:pos="256"/>
              </w:tabs>
              <w:spacing w:before="40" w:after="4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0</w:t>
            </w:r>
          </w:p>
        </w:tc>
        <w:tc>
          <w:tcPr>
            <w:tcW w:w="765" w:type="dxa"/>
            <w:noWrap/>
            <w:hideMark/>
          </w:tcPr>
          <w:p w14:paraId="72A35C26" w14:textId="77777777" w:rsidR="000C0FCE" w:rsidRPr="000973F2" w:rsidRDefault="000C0FCE" w:rsidP="002217E9">
            <w:pPr>
              <w:tabs>
                <w:tab w:val="decimal" w:pos="256"/>
              </w:tabs>
              <w:spacing w:before="40" w:after="4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0</w:t>
            </w:r>
          </w:p>
        </w:tc>
        <w:tc>
          <w:tcPr>
            <w:tcW w:w="810" w:type="dxa"/>
            <w:noWrap/>
            <w:hideMark/>
          </w:tcPr>
          <w:p w14:paraId="00130582" w14:textId="77777777" w:rsidR="000C0FCE" w:rsidRPr="000973F2" w:rsidRDefault="000C0FCE" w:rsidP="002217E9">
            <w:pPr>
              <w:tabs>
                <w:tab w:val="decimal" w:pos="256"/>
              </w:tabs>
              <w:spacing w:before="40" w:after="4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 xml:space="preserve">$0 </w:t>
            </w:r>
          </w:p>
        </w:tc>
        <w:tc>
          <w:tcPr>
            <w:tcW w:w="795" w:type="dxa"/>
            <w:noWrap/>
            <w:hideMark/>
          </w:tcPr>
          <w:p w14:paraId="74C70EAF" w14:textId="77777777" w:rsidR="000C0FCE" w:rsidRPr="000973F2" w:rsidRDefault="000C0FCE" w:rsidP="002217E9">
            <w:pPr>
              <w:tabs>
                <w:tab w:val="decimal" w:pos="421"/>
              </w:tabs>
              <w:spacing w:before="40" w:after="4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$0</w:t>
            </w:r>
          </w:p>
        </w:tc>
      </w:tr>
      <w:tr w:rsidR="000C0FCE" w:rsidRPr="000973F2" w14:paraId="0DF32923" w14:textId="77777777" w:rsidTr="002217E9">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1605" w:type="dxa"/>
            <w:hideMark/>
          </w:tcPr>
          <w:p w14:paraId="6329FD1F" w14:textId="77777777" w:rsidR="000C0FCE" w:rsidRPr="000973F2" w:rsidRDefault="000C0FCE" w:rsidP="002217E9">
            <w:pPr>
              <w:spacing w:before="40" w:after="4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QA/QC</w:t>
            </w:r>
          </w:p>
        </w:tc>
        <w:tc>
          <w:tcPr>
            <w:tcW w:w="765" w:type="dxa"/>
            <w:noWrap/>
            <w:hideMark/>
          </w:tcPr>
          <w:p w14:paraId="5CE06ADF" w14:textId="77777777" w:rsidR="000C0FCE" w:rsidRPr="000973F2" w:rsidRDefault="000C0FCE" w:rsidP="002217E9">
            <w:pPr>
              <w:tabs>
                <w:tab w:val="decimal" w:pos="256"/>
              </w:tabs>
              <w:spacing w:before="40" w:after="4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0</w:t>
            </w:r>
          </w:p>
        </w:tc>
        <w:tc>
          <w:tcPr>
            <w:tcW w:w="765" w:type="dxa"/>
            <w:noWrap/>
            <w:hideMark/>
          </w:tcPr>
          <w:p w14:paraId="2870DA55" w14:textId="77777777" w:rsidR="000C0FCE" w:rsidRPr="000973F2" w:rsidRDefault="000C0FCE" w:rsidP="002217E9">
            <w:pPr>
              <w:tabs>
                <w:tab w:val="decimal" w:pos="256"/>
              </w:tabs>
              <w:spacing w:before="40" w:after="4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0</w:t>
            </w:r>
          </w:p>
        </w:tc>
        <w:tc>
          <w:tcPr>
            <w:tcW w:w="765" w:type="dxa"/>
            <w:noWrap/>
            <w:hideMark/>
          </w:tcPr>
          <w:p w14:paraId="0C74C93F" w14:textId="77777777" w:rsidR="000C0FCE" w:rsidRPr="000973F2" w:rsidRDefault="000C0FCE" w:rsidP="002217E9">
            <w:pPr>
              <w:tabs>
                <w:tab w:val="decimal" w:pos="256"/>
              </w:tabs>
              <w:spacing w:before="40" w:after="4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0</w:t>
            </w:r>
          </w:p>
        </w:tc>
        <w:tc>
          <w:tcPr>
            <w:tcW w:w="765" w:type="dxa"/>
            <w:noWrap/>
            <w:hideMark/>
          </w:tcPr>
          <w:p w14:paraId="77592B9B" w14:textId="77777777" w:rsidR="000C0FCE" w:rsidRPr="000973F2" w:rsidRDefault="000C0FCE" w:rsidP="002217E9">
            <w:pPr>
              <w:tabs>
                <w:tab w:val="decimal" w:pos="256"/>
              </w:tabs>
              <w:spacing w:before="40" w:after="4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0</w:t>
            </w:r>
          </w:p>
        </w:tc>
        <w:tc>
          <w:tcPr>
            <w:tcW w:w="765" w:type="dxa"/>
            <w:noWrap/>
            <w:hideMark/>
          </w:tcPr>
          <w:p w14:paraId="32EAE294" w14:textId="77777777" w:rsidR="000C0FCE" w:rsidRPr="000973F2" w:rsidRDefault="000C0FCE" w:rsidP="002217E9">
            <w:pPr>
              <w:tabs>
                <w:tab w:val="decimal" w:pos="256"/>
              </w:tabs>
              <w:spacing w:before="40" w:after="4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0</w:t>
            </w:r>
          </w:p>
        </w:tc>
        <w:tc>
          <w:tcPr>
            <w:tcW w:w="765" w:type="dxa"/>
            <w:noWrap/>
            <w:hideMark/>
          </w:tcPr>
          <w:p w14:paraId="7803189C" w14:textId="77777777" w:rsidR="000C0FCE" w:rsidRPr="000973F2" w:rsidRDefault="000C0FCE" w:rsidP="002217E9">
            <w:pPr>
              <w:tabs>
                <w:tab w:val="decimal" w:pos="256"/>
              </w:tabs>
              <w:spacing w:before="40" w:after="4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0</w:t>
            </w:r>
          </w:p>
        </w:tc>
        <w:tc>
          <w:tcPr>
            <w:tcW w:w="765" w:type="dxa"/>
            <w:noWrap/>
            <w:hideMark/>
          </w:tcPr>
          <w:p w14:paraId="29D41880" w14:textId="77777777" w:rsidR="000C0FCE" w:rsidRPr="000973F2" w:rsidRDefault="000C0FCE" w:rsidP="002217E9">
            <w:pPr>
              <w:tabs>
                <w:tab w:val="decimal" w:pos="256"/>
              </w:tabs>
              <w:spacing w:before="40" w:after="4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0</w:t>
            </w:r>
          </w:p>
        </w:tc>
        <w:tc>
          <w:tcPr>
            <w:tcW w:w="765" w:type="dxa"/>
            <w:noWrap/>
            <w:hideMark/>
          </w:tcPr>
          <w:p w14:paraId="48BCBBD8" w14:textId="77777777" w:rsidR="000C0FCE" w:rsidRPr="000973F2" w:rsidRDefault="000C0FCE" w:rsidP="002217E9">
            <w:pPr>
              <w:tabs>
                <w:tab w:val="decimal" w:pos="256"/>
              </w:tabs>
              <w:spacing w:before="40" w:after="4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0</w:t>
            </w:r>
          </w:p>
        </w:tc>
        <w:tc>
          <w:tcPr>
            <w:tcW w:w="810" w:type="dxa"/>
            <w:noWrap/>
            <w:hideMark/>
          </w:tcPr>
          <w:p w14:paraId="0B7F230A" w14:textId="77777777" w:rsidR="000C0FCE" w:rsidRPr="000973F2" w:rsidRDefault="000C0FCE" w:rsidP="002217E9">
            <w:pPr>
              <w:tabs>
                <w:tab w:val="decimal" w:pos="256"/>
              </w:tabs>
              <w:spacing w:before="40" w:after="4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 xml:space="preserve">$0 </w:t>
            </w:r>
          </w:p>
        </w:tc>
        <w:tc>
          <w:tcPr>
            <w:tcW w:w="795" w:type="dxa"/>
            <w:noWrap/>
            <w:hideMark/>
          </w:tcPr>
          <w:p w14:paraId="276FFABF" w14:textId="77777777" w:rsidR="000C0FCE" w:rsidRPr="000973F2" w:rsidRDefault="000C0FCE" w:rsidP="002217E9">
            <w:pPr>
              <w:tabs>
                <w:tab w:val="decimal" w:pos="421"/>
              </w:tabs>
              <w:spacing w:before="40" w:after="4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 xml:space="preserve">$0 </w:t>
            </w:r>
          </w:p>
        </w:tc>
      </w:tr>
      <w:tr w:rsidR="000C0FCE" w:rsidRPr="000973F2" w14:paraId="23935F5A" w14:textId="77777777" w:rsidTr="002217E9">
        <w:trPr>
          <w:cantSplit/>
        </w:trPr>
        <w:tc>
          <w:tcPr>
            <w:cnfStyle w:val="001000000000" w:firstRow="0" w:lastRow="0" w:firstColumn="1" w:lastColumn="0" w:oddVBand="0" w:evenVBand="0" w:oddHBand="0" w:evenHBand="0" w:firstRowFirstColumn="0" w:firstRowLastColumn="0" w:lastRowFirstColumn="0" w:lastRowLastColumn="0"/>
            <w:tcW w:w="1605" w:type="dxa"/>
            <w:hideMark/>
          </w:tcPr>
          <w:p w14:paraId="447DDC96" w14:textId="77777777" w:rsidR="000C0FCE" w:rsidRPr="000973F2" w:rsidRDefault="000C0FCE" w:rsidP="002217E9">
            <w:pPr>
              <w:spacing w:before="40" w:after="4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Recordkeeping</w:t>
            </w:r>
          </w:p>
        </w:tc>
        <w:tc>
          <w:tcPr>
            <w:tcW w:w="765" w:type="dxa"/>
            <w:noWrap/>
            <w:hideMark/>
          </w:tcPr>
          <w:p w14:paraId="2B843B2A" w14:textId="77777777" w:rsidR="000C0FCE" w:rsidRPr="000973F2" w:rsidRDefault="000C0FCE" w:rsidP="002217E9">
            <w:pPr>
              <w:tabs>
                <w:tab w:val="decimal" w:pos="256"/>
              </w:tabs>
              <w:spacing w:before="40" w:after="4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0</w:t>
            </w:r>
          </w:p>
        </w:tc>
        <w:tc>
          <w:tcPr>
            <w:tcW w:w="765" w:type="dxa"/>
            <w:noWrap/>
            <w:hideMark/>
          </w:tcPr>
          <w:p w14:paraId="0ADE777A" w14:textId="77777777" w:rsidR="000C0FCE" w:rsidRPr="000973F2" w:rsidRDefault="000C0FCE" w:rsidP="002217E9">
            <w:pPr>
              <w:tabs>
                <w:tab w:val="decimal" w:pos="256"/>
              </w:tabs>
              <w:spacing w:before="40" w:after="4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0</w:t>
            </w:r>
          </w:p>
        </w:tc>
        <w:tc>
          <w:tcPr>
            <w:tcW w:w="765" w:type="dxa"/>
            <w:noWrap/>
            <w:hideMark/>
          </w:tcPr>
          <w:p w14:paraId="139A4629" w14:textId="77777777" w:rsidR="000C0FCE" w:rsidRPr="000973F2" w:rsidRDefault="000C0FCE" w:rsidP="002217E9">
            <w:pPr>
              <w:tabs>
                <w:tab w:val="decimal" w:pos="256"/>
              </w:tabs>
              <w:spacing w:before="40" w:after="4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0</w:t>
            </w:r>
          </w:p>
        </w:tc>
        <w:tc>
          <w:tcPr>
            <w:tcW w:w="765" w:type="dxa"/>
            <w:noWrap/>
            <w:hideMark/>
          </w:tcPr>
          <w:p w14:paraId="20824746" w14:textId="77777777" w:rsidR="000C0FCE" w:rsidRPr="000973F2" w:rsidRDefault="000C0FCE" w:rsidP="002217E9">
            <w:pPr>
              <w:tabs>
                <w:tab w:val="decimal" w:pos="256"/>
              </w:tabs>
              <w:spacing w:before="40" w:after="4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0.5</w:t>
            </w:r>
          </w:p>
        </w:tc>
        <w:tc>
          <w:tcPr>
            <w:tcW w:w="765" w:type="dxa"/>
            <w:noWrap/>
            <w:hideMark/>
          </w:tcPr>
          <w:p w14:paraId="40F4FAA2" w14:textId="77777777" w:rsidR="000C0FCE" w:rsidRPr="000973F2" w:rsidRDefault="000C0FCE" w:rsidP="002217E9">
            <w:pPr>
              <w:tabs>
                <w:tab w:val="decimal" w:pos="256"/>
              </w:tabs>
              <w:spacing w:before="40" w:after="4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0</w:t>
            </w:r>
          </w:p>
        </w:tc>
        <w:tc>
          <w:tcPr>
            <w:tcW w:w="765" w:type="dxa"/>
            <w:noWrap/>
            <w:hideMark/>
          </w:tcPr>
          <w:p w14:paraId="113FE728" w14:textId="77777777" w:rsidR="000C0FCE" w:rsidRPr="000973F2" w:rsidRDefault="000C0FCE" w:rsidP="002217E9">
            <w:pPr>
              <w:tabs>
                <w:tab w:val="decimal" w:pos="256"/>
              </w:tabs>
              <w:spacing w:before="40" w:after="4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2</w:t>
            </w:r>
          </w:p>
        </w:tc>
        <w:tc>
          <w:tcPr>
            <w:tcW w:w="765" w:type="dxa"/>
            <w:noWrap/>
            <w:hideMark/>
          </w:tcPr>
          <w:p w14:paraId="5B9395E3" w14:textId="77777777" w:rsidR="000C0FCE" w:rsidRPr="000973F2" w:rsidRDefault="000C0FCE" w:rsidP="002217E9">
            <w:pPr>
              <w:tabs>
                <w:tab w:val="decimal" w:pos="256"/>
              </w:tabs>
              <w:spacing w:before="40" w:after="4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0</w:t>
            </w:r>
          </w:p>
        </w:tc>
        <w:tc>
          <w:tcPr>
            <w:tcW w:w="765" w:type="dxa"/>
            <w:noWrap/>
            <w:hideMark/>
          </w:tcPr>
          <w:p w14:paraId="47EA13AF" w14:textId="77777777" w:rsidR="000C0FCE" w:rsidRPr="000973F2" w:rsidRDefault="000C0FCE" w:rsidP="002217E9">
            <w:pPr>
              <w:tabs>
                <w:tab w:val="decimal" w:pos="256"/>
              </w:tabs>
              <w:spacing w:before="40" w:after="4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0.5</w:t>
            </w:r>
          </w:p>
        </w:tc>
        <w:tc>
          <w:tcPr>
            <w:tcW w:w="810" w:type="dxa"/>
            <w:noWrap/>
            <w:hideMark/>
          </w:tcPr>
          <w:p w14:paraId="7A0201D4" w14:textId="77777777" w:rsidR="000C0FCE" w:rsidRPr="000973F2" w:rsidRDefault="000C0FCE" w:rsidP="002217E9">
            <w:pPr>
              <w:tabs>
                <w:tab w:val="decimal" w:pos="256"/>
              </w:tabs>
              <w:spacing w:before="40" w:after="4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 xml:space="preserve">$0 </w:t>
            </w:r>
          </w:p>
        </w:tc>
        <w:tc>
          <w:tcPr>
            <w:tcW w:w="795" w:type="dxa"/>
            <w:noWrap/>
            <w:hideMark/>
          </w:tcPr>
          <w:p w14:paraId="3A0D1961" w14:textId="77777777" w:rsidR="000C0FCE" w:rsidRPr="000973F2" w:rsidRDefault="000C0FCE" w:rsidP="002217E9">
            <w:pPr>
              <w:tabs>
                <w:tab w:val="decimal" w:pos="421"/>
              </w:tabs>
              <w:spacing w:before="40" w:after="4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 xml:space="preserve">$205 </w:t>
            </w:r>
          </w:p>
        </w:tc>
      </w:tr>
      <w:tr w:rsidR="000C0FCE" w:rsidRPr="000973F2" w14:paraId="661AECF5" w14:textId="77777777" w:rsidTr="002217E9">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1605" w:type="dxa"/>
            <w:hideMark/>
          </w:tcPr>
          <w:p w14:paraId="67BDD39D" w14:textId="77777777" w:rsidR="000C0FCE" w:rsidRPr="000973F2" w:rsidRDefault="000C0FCE" w:rsidP="002217E9">
            <w:pPr>
              <w:spacing w:before="40" w:after="4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Sampling and Analysis (Calculations)</w:t>
            </w:r>
          </w:p>
        </w:tc>
        <w:tc>
          <w:tcPr>
            <w:tcW w:w="765" w:type="dxa"/>
            <w:noWrap/>
            <w:hideMark/>
          </w:tcPr>
          <w:p w14:paraId="786C18A8" w14:textId="77777777" w:rsidR="000C0FCE" w:rsidRPr="000973F2" w:rsidRDefault="000C0FCE" w:rsidP="002217E9">
            <w:pPr>
              <w:tabs>
                <w:tab w:val="decimal" w:pos="256"/>
              </w:tabs>
              <w:spacing w:before="40" w:after="4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0</w:t>
            </w:r>
          </w:p>
        </w:tc>
        <w:tc>
          <w:tcPr>
            <w:tcW w:w="765" w:type="dxa"/>
            <w:noWrap/>
            <w:hideMark/>
          </w:tcPr>
          <w:p w14:paraId="65FAD113" w14:textId="77777777" w:rsidR="000C0FCE" w:rsidRPr="000973F2" w:rsidRDefault="000C0FCE" w:rsidP="002217E9">
            <w:pPr>
              <w:tabs>
                <w:tab w:val="decimal" w:pos="256"/>
              </w:tabs>
              <w:spacing w:before="40" w:after="4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0</w:t>
            </w:r>
          </w:p>
        </w:tc>
        <w:tc>
          <w:tcPr>
            <w:tcW w:w="765" w:type="dxa"/>
            <w:noWrap/>
            <w:hideMark/>
          </w:tcPr>
          <w:p w14:paraId="6233C368" w14:textId="77777777" w:rsidR="000C0FCE" w:rsidRPr="000973F2" w:rsidRDefault="000C0FCE" w:rsidP="002217E9">
            <w:pPr>
              <w:tabs>
                <w:tab w:val="decimal" w:pos="256"/>
              </w:tabs>
              <w:spacing w:before="40" w:after="4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0</w:t>
            </w:r>
          </w:p>
        </w:tc>
        <w:tc>
          <w:tcPr>
            <w:tcW w:w="765" w:type="dxa"/>
            <w:noWrap/>
            <w:hideMark/>
          </w:tcPr>
          <w:p w14:paraId="76DC5022" w14:textId="77777777" w:rsidR="000C0FCE" w:rsidRPr="000973F2" w:rsidRDefault="000C0FCE" w:rsidP="002217E9">
            <w:pPr>
              <w:tabs>
                <w:tab w:val="decimal" w:pos="256"/>
              </w:tabs>
              <w:spacing w:before="40" w:after="4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0</w:t>
            </w:r>
          </w:p>
        </w:tc>
        <w:tc>
          <w:tcPr>
            <w:tcW w:w="765" w:type="dxa"/>
            <w:noWrap/>
            <w:hideMark/>
          </w:tcPr>
          <w:p w14:paraId="7CFB2301" w14:textId="77777777" w:rsidR="000C0FCE" w:rsidRPr="000973F2" w:rsidRDefault="000C0FCE" w:rsidP="002217E9">
            <w:pPr>
              <w:tabs>
                <w:tab w:val="decimal" w:pos="256"/>
              </w:tabs>
              <w:spacing w:before="40" w:after="4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0</w:t>
            </w:r>
          </w:p>
        </w:tc>
        <w:tc>
          <w:tcPr>
            <w:tcW w:w="765" w:type="dxa"/>
            <w:noWrap/>
            <w:hideMark/>
          </w:tcPr>
          <w:p w14:paraId="497AEAE7" w14:textId="77777777" w:rsidR="000C0FCE" w:rsidRPr="000973F2" w:rsidRDefault="000C0FCE" w:rsidP="002217E9">
            <w:pPr>
              <w:tabs>
                <w:tab w:val="decimal" w:pos="256"/>
              </w:tabs>
              <w:spacing w:before="40" w:after="4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0</w:t>
            </w:r>
          </w:p>
        </w:tc>
        <w:tc>
          <w:tcPr>
            <w:tcW w:w="765" w:type="dxa"/>
            <w:noWrap/>
            <w:hideMark/>
          </w:tcPr>
          <w:p w14:paraId="0B927E68" w14:textId="77777777" w:rsidR="000C0FCE" w:rsidRPr="000973F2" w:rsidRDefault="000C0FCE" w:rsidP="002217E9">
            <w:pPr>
              <w:tabs>
                <w:tab w:val="decimal" w:pos="256"/>
              </w:tabs>
              <w:spacing w:before="40" w:after="4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0</w:t>
            </w:r>
          </w:p>
        </w:tc>
        <w:tc>
          <w:tcPr>
            <w:tcW w:w="765" w:type="dxa"/>
            <w:noWrap/>
            <w:hideMark/>
          </w:tcPr>
          <w:p w14:paraId="0E081122" w14:textId="77777777" w:rsidR="000C0FCE" w:rsidRPr="000973F2" w:rsidRDefault="000C0FCE" w:rsidP="002217E9">
            <w:pPr>
              <w:tabs>
                <w:tab w:val="decimal" w:pos="256"/>
              </w:tabs>
              <w:spacing w:before="40" w:after="4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0</w:t>
            </w:r>
          </w:p>
        </w:tc>
        <w:tc>
          <w:tcPr>
            <w:tcW w:w="810" w:type="dxa"/>
            <w:noWrap/>
            <w:hideMark/>
          </w:tcPr>
          <w:p w14:paraId="6686056A" w14:textId="77777777" w:rsidR="000C0FCE" w:rsidRPr="000973F2" w:rsidRDefault="000C0FCE" w:rsidP="002217E9">
            <w:pPr>
              <w:tabs>
                <w:tab w:val="decimal" w:pos="256"/>
              </w:tabs>
              <w:spacing w:before="40" w:after="4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 xml:space="preserve">$0 </w:t>
            </w:r>
          </w:p>
        </w:tc>
        <w:tc>
          <w:tcPr>
            <w:tcW w:w="795" w:type="dxa"/>
            <w:noWrap/>
            <w:hideMark/>
          </w:tcPr>
          <w:p w14:paraId="3E8A98F6" w14:textId="77777777" w:rsidR="000C0FCE" w:rsidRPr="000973F2" w:rsidRDefault="000C0FCE" w:rsidP="002217E9">
            <w:pPr>
              <w:tabs>
                <w:tab w:val="decimal" w:pos="421"/>
              </w:tabs>
              <w:spacing w:before="40" w:after="4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 xml:space="preserve">$0 </w:t>
            </w:r>
          </w:p>
        </w:tc>
      </w:tr>
      <w:tr w:rsidR="000C0FCE" w:rsidRPr="000973F2" w14:paraId="2E36760E" w14:textId="77777777" w:rsidTr="002217E9">
        <w:trPr>
          <w:cantSplit/>
        </w:trPr>
        <w:tc>
          <w:tcPr>
            <w:cnfStyle w:val="001000000000" w:firstRow="0" w:lastRow="0" w:firstColumn="1" w:lastColumn="0" w:oddVBand="0" w:evenVBand="0" w:oddHBand="0" w:evenHBand="0" w:firstRowFirstColumn="0" w:firstRowLastColumn="0" w:lastRowFirstColumn="0" w:lastRowLastColumn="0"/>
            <w:tcW w:w="1605" w:type="dxa"/>
            <w:hideMark/>
          </w:tcPr>
          <w:p w14:paraId="320159CF" w14:textId="77777777" w:rsidR="000C0FCE" w:rsidRPr="000973F2" w:rsidRDefault="000C0FCE" w:rsidP="002217E9">
            <w:pPr>
              <w:spacing w:before="40" w:after="4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Reporting</w:t>
            </w:r>
          </w:p>
        </w:tc>
        <w:tc>
          <w:tcPr>
            <w:tcW w:w="765" w:type="dxa"/>
            <w:noWrap/>
            <w:hideMark/>
          </w:tcPr>
          <w:p w14:paraId="78DF15C4" w14:textId="77777777" w:rsidR="000C0FCE" w:rsidRPr="000973F2" w:rsidRDefault="000C0FCE" w:rsidP="002217E9">
            <w:pPr>
              <w:tabs>
                <w:tab w:val="decimal" w:pos="256"/>
              </w:tabs>
              <w:spacing w:before="40" w:after="4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0</w:t>
            </w:r>
          </w:p>
        </w:tc>
        <w:tc>
          <w:tcPr>
            <w:tcW w:w="765" w:type="dxa"/>
            <w:noWrap/>
            <w:hideMark/>
          </w:tcPr>
          <w:p w14:paraId="2152E98E" w14:textId="77777777" w:rsidR="000C0FCE" w:rsidRPr="000973F2" w:rsidRDefault="000C0FCE" w:rsidP="002217E9">
            <w:pPr>
              <w:tabs>
                <w:tab w:val="decimal" w:pos="256"/>
              </w:tabs>
              <w:spacing w:before="40" w:after="4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0</w:t>
            </w:r>
          </w:p>
        </w:tc>
        <w:tc>
          <w:tcPr>
            <w:tcW w:w="765" w:type="dxa"/>
            <w:noWrap/>
            <w:hideMark/>
          </w:tcPr>
          <w:p w14:paraId="04D6AF0D" w14:textId="77777777" w:rsidR="000C0FCE" w:rsidRPr="000973F2" w:rsidRDefault="000C0FCE" w:rsidP="002217E9">
            <w:pPr>
              <w:tabs>
                <w:tab w:val="decimal" w:pos="256"/>
              </w:tabs>
              <w:spacing w:before="40" w:after="4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0</w:t>
            </w:r>
          </w:p>
        </w:tc>
        <w:tc>
          <w:tcPr>
            <w:tcW w:w="765" w:type="dxa"/>
            <w:noWrap/>
            <w:hideMark/>
          </w:tcPr>
          <w:p w14:paraId="3B063D9F" w14:textId="77777777" w:rsidR="000C0FCE" w:rsidRPr="000973F2" w:rsidRDefault="000C0FCE" w:rsidP="002217E9">
            <w:pPr>
              <w:tabs>
                <w:tab w:val="decimal" w:pos="256"/>
              </w:tabs>
              <w:spacing w:before="40" w:after="4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1.0</w:t>
            </w:r>
          </w:p>
        </w:tc>
        <w:tc>
          <w:tcPr>
            <w:tcW w:w="765" w:type="dxa"/>
            <w:noWrap/>
            <w:hideMark/>
          </w:tcPr>
          <w:p w14:paraId="7976C391" w14:textId="77777777" w:rsidR="000C0FCE" w:rsidRPr="000973F2" w:rsidRDefault="000C0FCE" w:rsidP="002217E9">
            <w:pPr>
              <w:tabs>
                <w:tab w:val="decimal" w:pos="256"/>
              </w:tabs>
              <w:spacing w:before="40" w:after="4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0</w:t>
            </w:r>
          </w:p>
        </w:tc>
        <w:tc>
          <w:tcPr>
            <w:tcW w:w="765" w:type="dxa"/>
            <w:noWrap/>
            <w:hideMark/>
          </w:tcPr>
          <w:p w14:paraId="5C398477" w14:textId="77777777" w:rsidR="000C0FCE" w:rsidRPr="000973F2" w:rsidRDefault="000C0FCE" w:rsidP="002217E9">
            <w:pPr>
              <w:tabs>
                <w:tab w:val="decimal" w:pos="256"/>
              </w:tabs>
              <w:spacing w:before="40" w:after="4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4</w:t>
            </w:r>
          </w:p>
        </w:tc>
        <w:tc>
          <w:tcPr>
            <w:tcW w:w="765" w:type="dxa"/>
            <w:noWrap/>
            <w:hideMark/>
          </w:tcPr>
          <w:p w14:paraId="259BAD90" w14:textId="77777777" w:rsidR="000C0FCE" w:rsidRPr="000973F2" w:rsidRDefault="000C0FCE" w:rsidP="002217E9">
            <w:pPr>
              <w:tabs>
                <w:tab w:val="decimal" w:pos="256"/>
              </w:tabs>
              <w:spacing w:before="40" w:after="4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0</w:t>
            </w:r>
          </w:p>
        </w:tc>
        <w:tc>
          <w:tcPr>
            <w:tcW w:w="765" w:type="dxa"/>
            <w:noWrap/>
            <w:hideMark/>
          </w:tcPr>
          <w:p w14:paraId="605E291B" w14:textId="77777777" w:rsidR="000C0FCE" w:rsidRPr="000973F2" w:rsidRDefault="000C0FCE" w:rsidP="002217E9">
            <w:pPr>
              <w:tabs>
                <w:tab w:val="decimal" w:pos="256"/>
              </w:tabs>
              <w:spacing w:before="40" w:after="4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1.0</w:t>
            </w:r>
          </w:p>
        </w:tc>
        <w:tc>
          <w:tcPr>
            <w:tcW w:w="810" w:type="dxa"/>
            <w:noWrap/>
            <w:hideMark/>
          </w:tcPr>
          <w:p w14:paraId="175BC8B4" w14:textId="77777777" w:rsidR="000C0FCE" w:rsidRPr="000973F2" w:rsidRDefault="000C0FCE" w:rsidP="002217E9">
            <w:pPr>
              <w:tabs>
                <w:tab w:val="decimal" w:pos="256"/>
              </w:tabs>
              <w:spacing w:before="40" w:after="4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$0</w:t>
            </w:r>
          </w:p>
        </w:tc>
        <w:tc>
          <w:tcPr>
            <w:tcW w:w="795" w:type="dxa"/>
            <w:noWrap/>
            <w:hideMark/>
          </w:tcPr>
          <w:p w14:paraId="372F5757" w14:textId="77777777" w:rsidR="000C0FCE" w:rsidRPr="000973F2" w:rsidRDefault="000C0FCE" w:rsidP="002217E9">
            <w:pPr>
              <w:tabs>
                <w:tab w:val="decimal" w:pos="421"/>
              </w:tabs>
              <w:spacing w:before="40" w:after="4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 xml:space="preserve">$410 </w:t>
            </w:r>
          </w:p>
        </w:tc>
      </w:tr>
      <w:tr w:rsidR="000C0FCE" w:rsidRPr="000973F2" w14:paraId="362DD1A9" w14:textId="77777777" w:rsidTr="002217E9">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1605" w:type="dxa"/>
            <w:noWrap/>
            <w:hideMark/>
          </w:tcPr>
          <w:p w14:paraId="7A5BBB91" w14:textId="77777777" w:rsidR="000C0FCE" w:rsidRPr="000973F2" w:rsidRDefault="000C0FCE" w:rsidP="002217E9">
            <w:pPr>
              <w:spacing w:before="40" w:after="40"/>
              <w:rPr>
                <w:rFonts w:ascii="Times New Roman" w:eastAsia="Times New Roman" w:hAnsi="Times New Roman" w:cs="Times New Roman"/>
                <w:b/>
                <w:bCs w:val="0"/>
                <w:sz w:val="18"/>
                <w:szCs w:val="18"/>
              </w:rPr>
            </w:pPr>
            <w:r w:rsidRPr="000973F2">
              <w:rPr>
                <w:rFonts w:ascii="Times New Roman" w:eastAsia="Times New Roman" w:hAnsi="Times New Roman" w:cs="Times New Roman"/>
                <w:b/>
                <w:sz w:val="18"/>
                <w:szCs w:val="18"/>
              </w:rPr>
              <w:t>Total</w:t>
            </w:r>
          </w:p>
        </w:tc>
        <w:tc>
          <w:tcPr>
            <w:tcW w:w="765" w:type="dxa"/>
            <w:noWrap/>
            <w:hideMark/>
          </w:tcPr>
          <w:p w14:paraId="2C37AAA1" w14:textId="77777777" w:rsidR="000C0FCE" w:rsidRPr="000973F2" w:rsidRDefault="000C0FCE" w:rsidP="002217E9">
            <w:pPr>
              <w:tabs>
                <w:tab w:val="decimal" w:pos="256"/>
              </w:tabs>
              <w:spacing w:before="40" w:after="4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18"/>
                <w:szCs w:val="18"/>
              </w:rPr>
            </w:pPr>
            <w:r w:rsidRPr="000973F2">
              <w:rPr>
                <w:rFonts w:ascii="Times New Roman" w:eastAsia="Times New Roman" w:hAnsi="Times New Roman" w:cs="Times New Roman"/>
                <w:b/>
                <w:bCs/>
                <w:sz w:val="18"/>
                <w:szCs w:val="18"/>
              </w:rPr>
              <w:t>0</w:t>
            </w:r>
          </w:p>
        </w:tc>
        <w:tc>
          <w:tcPr>
            <w:tcW w:w="765" w:type="dxa"/>
            <w:noWrap/>
            <w:hideMark/>
          </w:tcPr>
          <w:p w14:paraId="6E99AD30" w14:textId="77777777" w:rsidR="000C0FCE" w:rsidRPr="000973F2" w:rsidRDefault="000C0FCE" w:rsidP="002217E9">
            <w:pPr>
              <w:tabs>
                <w:tab w:val="decimal" w:pos="256"/>
              </w:tabs>
              <w:spacing w:before="40" w:after="4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18"/>
                <w:szCs w:val="18"/>
              </w:rPr>
            </w:pPr>
            <w:r w:rsidRPr="000973F2">
              <w:rPr>
                <w:rFonts w:ascii="Times New Roman" w:eastAsia="Times New Roman" w:hAnsi="Times New Roman" w:cs="Times New Roman"/>
                <w:b/>
                <w:bCs/>
                <w:sz w:val="18"/>
                <w:szCs w:val="18"/>
              </w:rPr>
              <w:t>0</w:t>
            </w:r>
          </w:p>
        </w:tc>
        <w:tc>
          <w:tcPr>
            <w:tcW w:w="765" w:type="dxa"/>
            <w:noWrap/>
            <w:hideMark/>
          </w:tcPr>
          <w:p w14:paraId="18960E50" w14:textId="77777777" w:rsidR="000C0FCE" w:rsidRPr="000973F2" w:rsidRDefault="000C0FCE" w:rsidP="002217E9">
            <w:pPr>
              <w:tabs>
                <w:tab w:val="decimal" w:pos="256"/>
              </w:tabs>
              <w:spacing w:before="40" w:after="4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18"/>
                <w:szCs w:val="18"/>
              </w:rPr>
            </w:pPr>
            <w:r w:rsidRPr="000973F2">
              <w:rPr>
                <w:rFonts w:ascii="Times New Roman" w:eastAsia="Times New Roman" w:hAnsi="Times New Roman" w:cs="Times New Roman"/>
                <w:b/>
                <w:bCs/>
                <w:sz w:val="18"/>
                <w:szCs w:val="18"/>
              </w:rPr>
              <w:t>0</w:t>
            </w:r>
          </w:p>
        </w:tc>
        <w:tc>
          <w:tcPr>
            <w:tcW w:w="765" w:type="dxa"/>
            <w:noWrap/>
            <w:hideMark/>
          </w:tcPr>
          <w:p w14:paraId="4FAFE0EA" w14:textId="77777777" w:rsidR="000C0FCE" w:rsidRPr="000973F2" w:rsidRDefault="000C0FCE" w:rsidP="002217E9">
            <w:pPr>
              <w:tabs>
                <w:tab w:val="decimal" w:pos="256"/>
              </w:tabs>
              <w:spacing w:before="40" w:after="4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18"/>
                <w:szCs w:val="18"/>
              </w:rPr>
            </w:pPr>
            <w:r w:rsidRPr="000973F2">
              <w:rPr>
                <w:rFonts w:ascii="Times New Roman" w:eastAsia="Times New Roman" w:hAnsi="Times New Roman" w:cs="Times New Roman"/>
                <w:b/>
                <w:bCs/>
                <w:sz w:val="18"/>
                <w:szCs w:val="18"/>
              </w:rPr>
              <w:t>1.5</w:t>
            </w:r>
          </w:p>
        </w:tc>
        <w:tc>
          <w:tcPr>
            <w:tcW w:w="765" w:type="dxa"/>
            <w:noWrap/>
            <w:hideMark/>
          </w:tcPr>
          <w:p w14:paraId="29544049" w14:textId="77777777" w:rsidR="000C0FCE" w:rsidRPr="000973F2" w:rsidRDefault="000C0FCE" w:rsidP="002217E9">
            <w:pPr>
              <w:tabs>
                <w:tab w:val="decimal" w:pos="256"/>
              </w:tabs>
              <w:spacing w:before="40" w:after="4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18"/>
                <w:szCs w:val="18"/>
              </w:rPr>
            </w:pPr>
            <w:r w:rsidRPr="000973F2">
              <w:rPr>
                <w:rFonts w:ascii="Times New Roman" w:eastAsia="Times New Roman" w:hAnsi="Times New Roman" w:cs="Times New Roman"/>
                <w:b/>
                <w:bCs/>
                <w:sz w:val="18"/>
                <w:szCs w:val="18"/>
              </w:rPr>
              <w:t>0</w:t>
            </w:r>
          </w:p>
        </w:tc>
        <w:tc>
          <w:tcPr>
            <w:tcW w:w="765" w:type="dxa"/>
            <w:noWrap/>
            <w:hideMark/>
          </w:tcPr>
          <w:p w14:paraId="2032EABE" w14:textId="77777777" w:rsidR="000C0FCE" w:rsidRPr="000973F2" w:rsidRDefault="000C0FCE" w:rsidP="002217E9">
            <w:pPr>
              <w:tabs>
                <w:tab w:val="decimal" w:pos="256"/>
              </w:tabs>
              <w:spacing w:before="40" w:after="4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18"/>
                <w:szCs w:val="18"/>
              </w:rPr>
            </w:pPr>
            <w:r w:rsidRPr="000973F2">
              <w:rPr>
                <w:rFonts w:ascii="Times New Roman" w:eastAsia="Times New Roman" w:hAnsi="Times New Roman" w:cs="Times New Roman"/>
                <w:b/>
                <w:bCs/>
                <w:sz w:val="18"/>
                <w:szCs w:val="18"/>
              </w:rPr>
              <w:t>6</w:t>
            </w:r>
          </w:p>
        </w:tc>
        <w:tc>
          <w:tcPr>
            <w:tcW w:w="765" w:type="dxa"/>
            <w:noWrap/>
            <w:hideMark/>
          </w:tcPr>
          <w:p w14:paraId="5C6433AB" w14:textId="77777777" w:rsidR="000C0FCE" w:rsidRPr="000973F2" w:rsidRDefault="000C0FCE" w:rsidP="002217E9">
            <w:pPr>
              <w:tabs>
                <w:tab w:val="decimal" w:pos="256"/>
              </w:tabs>
              <w:spacing w:before="40" w:after="4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18"/>
                <w:szCs w:val="18"/>
              </w:rPr>
            </w:pPr>
            <w:r w:rsidRPr="000973F2">
              <w:rPr>
                <w:rFonts w:ascii="Times New Roman" w:eastAsia="Times New Roman" w:hAnsi="Times New Roman" w:cs="Times New Roman"/>
                <w:b/>
                <w:bCs/>
                <w:sz w:val="18"/>
                <w:szCs w:val="18"/>
              </w:rPr>
              <w:t>0</w:t>
            </w:r>
          </w:p>
        </w:tc>
        <w:tc>
          <w:tcPr>
            <w:tcW w:w="765" w:type="dxa"/>
            <w:noWrap/>
            <w:hideMark/>
          </w:tcPr>
          <w:p w14:paraId="0B1F0D40" w14:textId="77777777" w:rsidR="000C0FCE" w:rsidRPr="000973F2" w:rsidRDefault="000C0FCE" w:rsidP="002217E9">
            <w:pPr>
              <w:tabs>
                <w:tab w:val="decimal" w:pos="256"/>
              </w:tabs>
              <w:spacing w:before="40" w:after="4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18"/>
                <w:szCs w:val="18"/>
              </w:rPr>
            </w:pPr>
            <w:r w:rsidRPr="000973F2">
              <w:rPr>
                <w:rFonts w:ascii="Times New Roman" w:eastAsia="Times New Roman" w:hAnsi="Times New Roman" w:cs="Times New Roman"/>
                <w:b/>
                <w:bCs/>
                <w:sz w:val="18"/>
                <w:szCs w:val="18"/>
              </w:rPr>
              <w:t>1.5</w:t>
            </w:r>
          </w:p>
        </w:tc>
        <w:tc>
          <w:tcPr>
            <w:tcW w:w="810" w:type="dxa"/>
            <w:noWrap/>
            <w:hideMark/>
          </w:tcPr>
          <w:p w14:paraId="414C19D4" w14:textId="77777777" w:rsidR="000C0FCE" w:rsidRPr="000973F2" w:rsidRDefault="000C0FCE" w:rsidP="002217E9">
            <w:pPr>
              <w:tabs>
                <w:tab w:val="decimal" w:pos="256"/>
              </w:tabs>
              <w:spacing w:before="40" w:after="4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18"/>
                <w:szCs w:val="18"/>
              </w:rPr>
            </w:pPr>
            <w:r w:rsidRPr="000973F2">
              <w:rPr>
                <w:rFonts w:ascii="Times New Roman" w:eastAsia="Times New Roman" w:hAnsi="Times New Roman" w:cs="Times New Roman"/>
                <w:b/>
                <w:bCs/>
                <w:sz w:val="18"/>
                <w:szCs w:val="18"/>
              </w:rPr>
              <w:t>$0</w:t>
            </w:r>
          </w:p>
        </w:tc>
        <w:tc>
          <w:tcPr>
            <w:tcW w:w="795" w:type="dxa"/>
            <w:noWrap/>
            <w:hideMark/>
          </w:tcPr>
          <w:p w14:paraId="1F87C218" w14:textId="77777777" w:rsidR="000C0FCE" w:rsidRPr="000973F2" w:rsidRDefault="000C0FCE" w:rsidP="002217E9">
            <w:pPr>
              <w:tabs>
                <w:tab w:val="decimal" w:pos="421"/>
              </w:tabs>
              <w:spacing w:before="40" w:after="4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18"/>
                <w:szCs w:val="18"/>
              </w:rPr>
            </w:pPr>
            <w:r w:rsidRPr="000973F2">
              <w:rPr>
                <w:rFonts w:ascii="Times New Roman" w:eastAsia="Times New Roman" w:hAnsi="Times New Roman" w:cs="Times New Roman"/>
                <w:b/>
                <w:bCs/>
                <w:sz w:val="18"/>
                <w:szCs w:val="18"/>
              </w:rPr>
              <w:t>$614</w:t>
            </w:r>
          </w:p>
        </w:tc>
      </w:tr>
    </w:tbl>
    <w:p w14:paraId="0E5A0A22" w14:textId="72849AA4" w:rsidR="007B434D" w:rsidRPr="000973F2" w:rsidRDefault="007B434D" w:rsidP="00C00E4F">
      <w:pPr>
        <w:spacing w:line="240" w:lineRule="auto"/>
        <w:rPr>
          <w:rFonts w:ascii="Times New Roman" w:hAnsi="Times New Roman" w:cs="Times New Roman"/>
          <w:b/>
          <w:bCs/>
        </w:rPr>
      </w:pPr>
    </w:p>
    <w:p w14:paraId="3E126469" w14:textId="77777777" w:rsidR="007B434D" w:rsidRPr="000973F2" w:rsidRDefault="007B434D" w:rsidP="00C00E4F">
      <w:pPr>
        <w:spacing w:line="240" w:lineRule="auto"/>
        <w:rPr>
          <w:rFonts w:ascii="Times New Roman" w:hAnsi="Times New Roman" w:cs="Times New Roman"/>
          <w:i/>
        </w:rPr>
      </w:pPr>
    </w:p>
    <w:p w14:paraId="62A2EC3B" w14:textId="77777777" w:rsidR="007B434D" w:rsidRPr="000973F2" w:rsidRDefault="007B434D" w:rsidP="00C00E4F">
      <w:pPr>
        <w:spacing w:line="240" w:lineRule="auto"/>
        <w:rPr>
          <w:rFonts w:ascii="Times New Roman" w:hAnsi="Times New Roman" w:cs="Times New Roman"/>
          <w:b/>
        </w:rPr>
      </w:pPr>
      <w:r w:rsidRPr="000973F2">
        <w:rPr>
          <w:rFonts w:ascii="Times New Roman" w:hAnsi="Times New Roman" w:cs="Times New Roman"/>
          <w:b/>
        </w:rPr>
        <w:br w:type="page"/>
      </w:r>
    </w:p>
    <w:p w14:paraId="1F4D7657" w14:textId="77777777" w:rsidR="007B434D" w:rsidRPr="000973F2" w:rsidRDefault="007B434D" w:rsidP="0061585D">
      <w:pPr>
        <w:pStyle w:val="Heading2"/>
      </w:pPr>
      <w:r w:rsidRPr="000973F2">
        <w:t>Capital and O&amp;M Costs for Subpart CC—Trona Input Method and Soda Ash Output Method</w:t>
      </w:r>
    </w:p>
    <w:p w14:paraId="79C1B873" w14:textId="33F1D7DA" w:rsidR="007B434D" w:rsidRPr="000973F2" w:rsidRDefault="007B434D" w:rsidP="002217E9">
      <w:pPr>
        <w:pStyle w:val="BodyText"/>
      </w:pPr>
      <w:r w:rsidRPr="000973F2">
        <w:t xml:space="preserve">Capital and O&amp;M costs are shown in Table </w:t>
      </w:r>
      <w:r w:rsidR="002217E9" w:rsidRPr="000973F2">
        <w:t>CC-</w:t>
      </w:r>
      <w:r w:rsidRPr="000973F2">
        <w:t xml:space="preserve">2a and Table </w:t>
      </w:r>
      <w:r w:rsidR="002217E9" w:rsidRPr="000973F2">
        <w:t>CC-</w:t>
      </w:r>
      <w:r w:rsidRPr="000973F2">
        <w:t>2b. There are no variations in capital and O&amp;M costs among these two methods used by facilities. Facilities will incur O&amp;M costs associated with recordkeeping, as discussed in the Cost Appendix Introduction. Three facilities use the trona input method and one facility uses the soda ash output method.</w:t>
      </w:r>
    </w:p>
    <w:p w14:paraId="57D2F6A7" w14:textId="1E1F49CE" w:rsidR="007B434D" w:rsidRPr="000973F2" w:rsidRDefault="00C66F28" w:rsidP="002217E9">
      <w:pPr>
        <w:pStyle w:val="Tabletitle"/>
      </w:pPr>
      <w:r w:rsidRPr="000973F2">
        <w:t xml:space="preserve">Table </w:t>
      </w:r>
      <w:r w:rsidR="002217E9" w:rsidRPr="000973F2">
        <w:t>CC-</w:t>
      </w:r>
      <w:r w:rsidRPr="000973F2">
        <w:t xml:space="preserve">2a. Capital and O&amp;M Costs </w:t>
      </w:r>
      <w:r w:rsidR="00B960CC" w:rsidRPr="000973F2">
        <w:t>–</w:t>
      </w:r>
      <w:r w:rsidRPr="000973F2">
        <w:t xml:space="preserve"> </w:t>
      </w:r>
      <w:r w:rsidR="007B434D" w:rsidRPr="000973F2">
        <w:t xml:space="preserve">Subpart CC </w:t>
      </w:r>
      <w:r w:rsidR="00B960CC" w:rsidRPr="000973F2">
        <w:t>–</w:t>
      </w:r>
      <w:r w:rsidRPr="000973F2">
        <w:t xml:space="preserve"> </w:t>
      </w:r>
      <w:r w:rsidR="007B434D" w:rsidRPr="000973F2">
        <w:t xml:space="preserve">Trona input method </w:t>
      </w:r>
    </w:p>
    <w:tbl>
      <w:tblPr>
        <w:tblStyle w:val="PlainTable1"/>
        <w:tblW w:w="5000" w:type="pct"/>
        <w:jc w:val="left"/>
        <w:tblLayout w:type="fixed"/>
        <w:tblCellMar>
          <w:left w:w="115" w:type="dxa"/>
          <w:right w:w="115" w:type="dxa"/>
        </w:tblCellMar>
        <w:tblLook w:val="04A0" w:firstRow="1" w:lastRow="0" w:firstColumn="1" w:lastColumn="0" w:noHBand="0" w:noVBand="1"/>
      </w:tblPr>
      <w:tblGrid>
        <w:gridCol w:w="1835"/>
        <w:gridCol w:w="1292"/>
        <w:gridCol w:w="1293"/>
        <w:gridCol w:w="1292"/>
        <w:gridCol w:w="1303"/>
        <w:gridCol w:w="1282"/>
        <w:gridCol w:w="1293"/>
      </w:tblGrid>
      <w:tr w:rsidR="00D17312" w:rsidRPr="000973F2" w14:paraId="30AD2895" w14:textId="77777777" w:rsidTr="00F64728">
        <w:trPr>
          <w:cnfStyle w:val="100000000000" w:firstRow="1" w:lastRow="0" w:firstColumn="0" w:lastColumn="0" w:oddVBand="0" w:evenVBand="0" w:oddHBand="0" w:evenHBand="0" w:firstRowFirstColumn="0" w:firstRowLastColumn="0" w:lastRowFirstColumn="0" w:lastRowLastColumn="0"/>
          <w:cantSplit/>
          <w:jc w:val="left"/>
        </w:trPr>
        <w:tc>
          <w:tcPr>
            <w:cnfStyle w:val="001000000000" w:firstRow="0" w:lastRow="0" w:firstColumn="1" w:lastColumn="0" w:oddVBand="0" w:evenVBand="0" w:oddHBand="0" w:evenHBand="0" w:firstRowFirstColumn="0" w:firstRowLastColumn="0" w:lastRowFirstColumn="0" w:lastRowLastColumn="0"/>
            <w:tcW w:w="1785" w:type="dxa"/>
            <w:vMerge w:val="restart"/>
            <w:noWrap/>
            <w:vAlign w:val="top"/>
            <w:hideMark/>
          </w:tcPr>
          <w:p w14:paraId="534D3A3C" w14:textId="0E8C7FB0" w:rsidR="00D17312" w:rsidRPr="000973F2" w:rsidRDefault="00D17312" w:rsidP="00F64728">
            <w:pPr>
              <w:spacing w:before="40" w:after="40"/>
              <w:rPr>
                <w:rFonts w:ascii="Times New Roman" w:eastAsia="Times New Roman" w:hAnsi="Times New Roman" w:cs="Times New Roman"/>
                <w:b w:val="0"/>
                <w:bCs w:val="0"/>
                <w:sz w:val="18"/>
                <w:szCs w:val="18"/>
              </w:rPr>
            </w:pPr>
            <w:r w:rsidRPr="000973F2">
              <w:rPr>
                <w:rFonts w:ascii="Times New Roman" w:eastAsia="Times New Roman" w:hAnsi="Times New Roman" w:cs="Times New Roman"/>
                <w:sz w:val="18"/>
                <w:szCs w:val="18"/>
              </w:rPr>
              <w:t>Activity</w:t>
            </w:r>
          </w:p>
        </w:tc>
        <w:tc>
          <w:tcPr>
            <w:tcW w:w="5040" w:type="dxa"/>
            <w:gridSpan w:val="4"/>
            <w:noWrap/>
            <w:vAlign w:val="top"/>
            <w:hideMark/>
          </w:tcPr>
          <w:p w14:paraId="54BFFA45" w14:textId="77777777" w:rsidR="00D17312" w:rsidRPr="000973F2" w:rsidRDefault="00D17312" w:rsidP="00F64728">
            <w:pPr>
              <w:spacing w:before="40" w:after="40"/>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bCs w:val="0"/>
                <w:sz w:val="18"/>
                <w:szCs w:val="18"/>
              </w:rPr>
            </w:pPr>
            <w:r w:rsidRPr="000973F2">
              <w:rPr>
                <w:rFonts w:ascii="Times New Roman" w:eastAsia="Times New Roman" w:hAnsi="Times New Roman" w:cs="Times New Roman"/>
                <w:sz w:val="18"/>
                <w:szCs w:val="18"/>
              </w:rPr>
              <w:t>Cost Categories</w:t>
            </w:r>
          </w:p>
        </w:tc>
        <w:tc>
          <w:tcPr>
            <w:tcW w:w="2505" w:type="dxa"/>
            <w:gridSpan w:val="2"/>
            <w:vAlign w:val="top"/>
            <w:hideMark/>
          </w:tcPr>
          <w:p w14:paraId="63F1072D" w14:textId="77777777" w:rsidR="00D17312" w:rsidRPr="000973F2" w:rsidRDefault="00D17312" w:rsidP="00F64728">
            <w:pPr>
              <w:spacing w:before="40" w:after="40"/>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bCs w:val="0"/>
                <w:sz w:val="18"/>
                <w:szCs w:val="18"/>
              </w:rPr>
            </w:pPr>
            <w:r w:rsidRPr="000973F2">
              <w:rPr>
                <w:rFonts w:ascii="Times New Roman" w:eastAsia="Times New Roman" w:hAnsi="Times New Roman" w:cs="Times New Roman"/>
                <w:sz w:val="18"/>
                <w:szCs w:val="18"/>
              </w:rPr>
              <w:t>Total Capital and O&amp;M Cost per Year per Facility (2017$)</w:t>
            </w:r>
          </w:p>
        </w:tc>
      </w:tr>
      <w:tr w:rsidR="00D17312" w:rsidRPr="000973F2" w14:paraId="4EDB09B4" w14:textId="77777777" w:rsidTr="00F64728">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1785" w:type="dxa"/>
            <w:vMerge/>
            <w:noWrap/>
            <w:hideMark/>
          </w:tcPr>
          <w:p w14:paraId="7DFAB0CB" w14:textId="5B5189CE" w:rsidR="00D17312" w:rsidRPr="000973F2" w:rsidRDefault="00D17312" w:rsidP="00F64728">
            <w:pPr>
              <w:spacing w:before="40" w:after="40"/>
              <w:jc w:val="center"/>
              <w:rPr>
                <w:rFonts w:ascii="Times New Roman" w:eastAsia="Times New Roman" w:hAnsi="Times New Roman" w:cs="Times New Roman"/>
                <w:b/>
                <w:bCs w:val="0"/>
                <w:sz w:val="18"/>
                <w:szCs w:val="18"/>
              </w:rPr>
            </w:pPr>
          </w:p>
        </w:tc>
        <w:tc>
          <w:tcPr>
            <w:tcW w:w="1257" w:type="dxa"/>
            <w:hideMark/>
          </w:tcPr>
          <w:p w14:paraId="155D65B1" w14:textId="77777777" w:rsidR="00D17312" w:rsidRPr="000973F2" w:rsidRDefault="00D17312" w:rsidP="00F64728">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18"/>
                <w:szCs w:val="18"/>
              </w:rPr>
            </w:pPr>
            <w:r w:rsidRPr="000973F2">
              <w:rPr>
                <w:rFonts w:ascii="Times New Roman" w:eastAsia="Times New Roman" w:hAnsi="Times New Roman" w:cs="Times New Roman"/>
                <w:b/>
                <w:bCs/>
                <w:sz w:val="18"/>
                <w:szCs w:val="18"/>
              </w:rPr>
              <w:t>Capital Cost (2017$)</w:t>
            </w:r>
          </w:p>
        </w:tc>
        <w:tc>
          <w:tcPr>
            <w:tcW w:w="1258" w:type="dxa"/>
            <w:hideMark/>
          </w:tcPr>
          <w:p w14:paraId="3B12FA36" w14:textId="77777777" w:rsidR="00D17312" w:rsidRPr="000973F2" w:rsidRDefault="00D17312" w:rsidP="00F64728">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18"/>
                <w:szCs w:val="18"/>
              </w:rPr>
            </w:pPr>
            <w:r w:rsidRPr="000973F2">
              <w:rPr>
                <w:rFonts w:ascii="Times New Roman" w:eastAsia="Times New Roman" w:hAnsi="Times New Roman" w:cs="Times New Roman"/>
                <w:b/>
                <w:bCs/>
                <w:sz w:val="18"/>
                <w:szCs w:val="18"/>
              </w:rPr>
              <w:t>Equipment Lifetime</w:t>
            </w:r>
          </w:p>
        </w:tc>
        <w:tc>
          <w:tcPr>
            <w:tcW w:w="1257" w:type="dxa"/>
            <w:hideMark/>
          </w:tcPr>
          <w:p w14:paraId="6215CB52" w14:textId="77777777" w:rsidR="00D17312" w:rsidRPr="000973F2" w:rsidRDefault="00D17312" w:rsidP="00F64728">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18"/>
                <w:szCs w:val="18"/>
              </w:rPr>
            </w:pPr>
            <w:r w:rsidRPr="000973F2">
              <w:rPr>
                <w:rFonts w:ascii="Times New Roman" w:eastAsia="Times New Roman" w:hAnsi="Times New Roman" w:cs="Times New Roman"/>
                <w:b/>
                <w:bCs/>
                <w:sz w:val="18"/>
                <w:szCs w:val="18"/>
              </w:rPr>
              <w:t>Annualized Capital Cost (2017$/year)</w:t>
            </w:r>
          </w:p>
        </w:tc>
        <w:tc>
          <w:tcPr>
            <w:tcW w:w="1268" w:type="dxa"/>
            <w:hideMark/>
          </w:tcPr>
          <w:p w14:paraId="79260398" w14:textId="77777777" w:rsidR="00D17312" w:rsidRPr="000973F2" w:rsidRDefault="00D17312" w:rsidP="00F64728">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18"/>
                <w:szCs w:val="18"/>
              </w:rPr>
            </w:pPr>
            <w:r w:rsidRPr="000973F2">
              <w:rPr>
                <w:rFonts w:ascii="Times New Roman" w:eastAsia="Times New Roman" w:hAnsi="Times New Roman" w:cs="Times New Roman"/>
                <w:b/>
                <w:bCs/>
                <w:sz w:val="18"/>
                <w:szCs w:val="18"/>
              </w:rPr>
              <w:t>O&amp;M Costs (2017$/year)</w:t>
            </w:r>
          </w:p>
        </w:tc>
        <w:tc>
          <w:tcPr>
            <w:tcW w:w="1247" w:type="dxa"/>
            <w:hideMark/>
          </w:tcPr>
          <w:p w14:paraId="4264D342" w14:textId="77777777" w:rsidR="00D17312" w:rsidRPr="000973F2" w:rsidRDefault="00D17312" w:rsidP="00F64728">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18"/>
                <w:szCs w:val="18"/>
              </w:rPr>
            </w:pPr>
            <w:r w:rsidRPr="000973F2">
              <w:rPr>
                <w:rFonts w:ascii="Times New Roman" w:eastAsia="Times New Roman" w:hAnsi="Times New Roman" w:cs="Times New Roman"/>
                <w:b/>
                <w:bCs/>
                <w:sz w:val="18"/>
                <w:szCs w:val="18"/>
              </w:rPr>
              <w:t>Initial Year</w:t>
            </w:r>
          </w:p>
        </w:tc>
        <w:tc>
          <w:tcPr>
            <w:tcW w:w="1258" w:type="dxa"/>
            <w:hideMark/>
          </w:tcPr>
          <w:p w14:paraId="31095A54" w14:textId="77777777" w:rsidR="00D17312" w:rsidRPr="000973F2" w:rsidRDefault="00D17312" w:rsidP="00F64728">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18"/>
                <w:szCs w:val="18"/>
              </w:rPr>
            </w:pPr>
            <w:r w:rsidRPr="000973F2">
              <w:rPr>
                <w:rFonts w:ascii="Times New Roman" w:eastAsia="Times New Roman" w:hAnsi="Times New Roman" w:cs="Times New Roman"/>
                <w:b/>
                <w:bCs/>
                <w:sz w:val="18"/>
                <w:szCs w:val="18"/>
              </w:rPr>
              <w:t>Subseq. Years</w:t>
            </w:r>
          </w:p>
        </w:tc>
      </w:tr>
      <w:tr w:rsidR="00F64728" w:rsidRPr="000973F2" w14:paraId="18B07494" w14:textId="77777777" w:rsidTr="00F64728">
        <w:trPr>
          <w:cantSplit/>
        </w:trPr>
        <w:tc>
          <w:tcPr>
            <w:cnfStyle w:val="001000000000" w:firstRow="0" w:lastRow="0" w:firstColumn="1" w:lastColumn="0" w:oddVBand="0" w:evenVBand="0" w:oddHBand="0" w:evenHBand="0" w:firstRowFirstColumn="0" w:firstRowLastColumn="0" w:lastRowFirstColumn="0" w:lastRowLastColumn="0"/>
            <w:tcW w:w="1785" w:type="dxa"/>
            <w:hideMark/>
          </w:tcPr>
          <w:p w14:paraId="44101947" w14:textId="77777777" w:rsidR="00F64728" w:rsidRPr="000973F2" w:rsidRDefault="00F64728" w:rsidP="00F64728">
            <w:pPr>
              <w:spacing w:before="40" w:after="4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Equipment (selection, purchase, installation)</w:t>
            </w:r>
          </w:p>
        </w:tc>
        <w:tc>
          <w:tcPr>
            <w:tcW w:w="1257" w:type="dxa"/>
            <w:noWrap/>
            <w:hideMark/>
          </w:tcPr>
          <w:p w14:paraId="38A69F4C" w14:textId="7A23E73D" w:rsidR="00F64728" w:rsidRPr="000973F2" w:rsidRDefault="00F64728" w:rsidP="00F64728">
            <w:pPr>
              <w:spacing w:before="40" w:after="4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w:t>
            </w:r>
          </w:p>
        </w:tc>
        <w:tc>
          <w:tcPr>
            <w:tcW w:w="1258" w:type="dxa"/>
            <w:noWrap/>
          </w:tcPr>
          <w:p w14:paraId="6B39ECAA" w14:textId="190693DC" w:rsidR="00F64728" w:rsidRPr="000973F2" w:rsidRDefault="00F64728" w:rsidP="00F64728">
            <w:pPr>
              <w:spacing w:before="40" w:after="4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p>
        </w:tc>
        <w:tc>
          <w:tcPr>
            <w:tcW w:w="1257" w:type="dxa"/>
            <w:noWrap/>
            <w:hideMark/>
          </w:tcPr>
          <w:p w14:paraId="28392F98" w14:textId="11EFD7FD" w:rsidR="00F64728" w:rsidRPr="000973F2" w:rsidRDefault="00F64728" w:rsidP="00F64728">
            <w:pPr>
              <w:spacing w:before="40" w:after="4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w:t>
            </w:r>
          </w:p>
        </w:tc>
        <w:tc>
          <w:tcPr>
            <w:tcW w:w="1268" w:type="dxa"/>
            <w:noWrap/>
            <w:hideMark/>
          </w:tcPr>
          <w:p w14:paraId="34E39B2F" w14:textId="52ACAE53" w:rsidR="00F64728" w:rsidRPr="000973F2" w:rsidRDefault="00F64728" w:rsidP="00F64728">
            <w:pPr>
              <w:spacing w:before="40" w:after="4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w:t>
            </w:r>
          </w:p>
        </w:tc>
        <w:tc>
          <w:tcPr>
            <w:tcW w:w="1247" w:type="dxa"/>
            <w:noWrap/>
            <w:hideMark/>
          </w:tcPr>
          <w:p w14:paraId="1AC5200F" w14:textId="26CF3172" w:rsidR="00F64728" w:rsidRPr="000973F2" w:rsidRDefault="00F64728" w:rsidP="00F64728">
            <w:pPr>
              <w:spacing w:before="40" w:after="4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w:t>
            </w:r>
          </w:p>
        </w:tc>
        <w:tc>
          <w:tcPr>
            <w:tcW w:w="1258" w:type="dxa"/>
            <w:noWrap/>
            <w:hideMark/>
          </w:tcPr>
          <w:p w14:paraId="176BABF4" w14:textId="7DC09E78" w:rsidR="00F64728" w:rsidRPr="000973F2" w:rsidRDefault="00F64728" w:rsidP="00F64728">
            <w:pPr>
              <w:spacing w:before="40" w:after="4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w:t>
            </w:r>
          </w:p>
        </w:tc>
      </w:tr>
      <w:tr w:rsidR="00F64728" w:rsidRPr="000973F2" w14:paraId="0C959130" w14:textId="77777777" w:rsidTr="00F64728">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1785" w:type="dxa"/>
            <w:hideMark/>
          </w:tcPr>
          <w:p w14:paraId="44750970" w14:textId="77777777" w:rsidR="00F64728" w:rsidRPr="000973F2" w:rsidRDefault="00F64728" w:rsidP="00F64728">
            <w:pPr>
              <w:spacing w:before="40" w:after="4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Performance testing</w:t>
            </w:r>
          </w:p>
        </w:tc>
        <w:tc>
          <w:tcPr>
            <w:tcW w:w="1257" w:type="dxa"/>
            <w:noWrap/>
            <w:hideMark/>
          </w:tcPr>
          <w:p w14:paraId="58F7E5F4" w14:textId="7948166A" w:rsidR="00F64728" w:rsidRPr="000973F2" w:rsidRDefault="00F64728" w:rsidP="00F64728">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w:t>
            </w:r>
          </w:p>
        </w:tc>
        <w:tc>
          <w:tcPr>
            <w:tcW w:w="1258" w:type="dxa"/>
            <w:noWrap/>
          </w:tcPr>
          <w:p w14:paraId="393D9A6E" w14:textId="2C6319DB" w:rsidR="00F64728" w:rsidRPr="000973F2" w:rsidRDefault="00F64728" w:rsidP="00F64728">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p>
        </w:tc>
        <w:tc>
          <w:tcPr>
            <w:tcW w:w="1257" w:type="dxa"/>
            <w:noWrap/>
            <w:hideMark/>
          </w:tcPr>
          <w:p w14:paraId="0B5A512B" w14:textId="0EFFE957" w:rsidR="00F64728" w:rsidRPr="000973F2" w:rsidRDefault="00F64728" w:rsidP="00F64728">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w:t>
            </w:r>
          </w:p>
        </w:tc>
        <w:tc>
          <w:tcPr>
            <w:tcW w:w="1268" w:type="dxa"/>
            <w:noWrap/>
          </w:tcPr>
          <w:p w14:paraId="22E8A4FB" w14:textId="6F3CC2AC" w:rsidR="00F64728" w:rsidRPr="000973F2" w:rsidRDefault="00F64728" w:rsidP="00F64728">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w:t>
            </w:r>
          </w:p>
        </w:tc>
        <w:tc>
          <w:tcPr>
            <w:tcW w:w="1247" w:type="dxa"/>
            <w:noWrap/>
            <w:hideMark/>
          </w:tcPr>
          <w:p w14:paraId="520DFA2A" w14:textId="63651124" w:rsidR="00F64728" w:rsidRPr="000973F2" w:rsidRDefault="00F64728" w:rsidP="00F64728">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w:t>
            </w:r>
          </w:p>
        </w:tc>
        <w:tc>
          <w:tcPr>
            <w:tcW w:w="1258" w:type="dxa"/>
            <w:noWrap/>
            <w:hideMark/>
          </w:tcPr>
          <w:p w14:paraId="7D42F3F2" w14:textId="61CA1E45" w:rsidR="00F64728" w:rsidRPr="000973F2" w:rsidRDefault="00F64728" w:rsidP="00F64728">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w:t>
            </w:r>
          </w:p>
        </w:tc>
      </w:tr>
      <w:tr w:rsidR="007B434D" w:rsidRPr="000973F2" w14:paraId="2891B1CF" w14:textId="77777777" w:rsidTr="00F64728">
        <w:trPr>
          <w:cantSplit/>
        </w:trPr>
        <w:tc>
          <w:tcPr>
            <w:cnfStyle w:val="001000000000" w:firstRow="0" w:lastRow="0" w:firstColumn="1" w:lastColumn="0" w:oddVBand="0" w:evenVBand="0" w:oddHBand="0" w:evenHBand="0" w:firstRowFirstColumn="0" w:firstRowLastColumn="0" w:lastRowFirstColumn="0" w:lastRowLastColumn="0"/>
            <w:tcW w:w="1785" w:type="dxa"/>
            <w:hideMark/>
          </w:tcPr>
          <w:p w14:paraId="60EFA518" w14:textId="77777777" w:rsidR="007B434D" w:rsidRPr="000973F2" w:rsidRDefault="007B434D" w:rsidP="00F64728">
            <w:pPr>
              <w:spacing w:before="40" w:after="4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Recordkeeping</w:t>
            </w:r>
          </w:p>
        </w:tc>
        <w:tc>
          <w:tcPr>
            <w:tcW w:w="1257" w:type="dxa"/>
            <w:noWrap/>
            <w:hideMark/>
          </w:tcPr>
          <w:p w14:paraId="649D6E92" w14:textId="77777777" w:rsidR="007B434D" w:rsidRPr="000973F2" w:rsidRDefault="007B434D" w:rsidP="00F64728">
            <w:pPr>
              <w:spacing w:before="40" w:after="4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$0</w:t>
            </w:r>
          </w:p>
        </w:tc>
        <w:tc>
          <w:tcPr>
            <w:tcW w:w="1258" w:type="dxa"/>
            <w:noWrap/>
          </w:tcPr>
          <w:p w14:paraId="06A7C39D" w14:textId="6F29D044" w:rsidR="007B434D" w:rsidRPr="000973F2" w:rsidRDefault="007B434D" w:rsidP="00F64728">
            <w:pPr>
              <w:spacing w:before="40" w:after="4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p>
        </w:tc>
        <w:tc>
          <w:tcPr>
            <w:tcW w:w="1257" w:type="dxa"/>
            <w:noWrap/>
            <w:hideMark/>
          </w:tcPr>
          <w:p w14:paraId="6D081914" w14:textId="77777777" w:rsidR="007B434D" w:rsidRPr="000973F2" w:rsidRDefault="007B434D" w:rsidP="00F64728">
            <w:pPr>
              <w:spacing w:before="40" w:after="4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$0</w:t>
            </w:r>
          </w:p>
        </w:tc>
        <w:tc>
          <w:tcPr>
            <w:tcW w:w="1268" w:type="dxa"/>
            <w:noWrap/>
            <w:hideMark/>
          </w:tcPr>
          <w:p w14:paraId="6AB6F333" w14:textId="77777777" w:rsidR="007B434D" w:rsidRPr="000973F2" w:rsidRDefault="007B434D" w:rsidP="00F64728">
            <w:pPr>
              <w:spacing w:before="40" w:after="4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$50</w:t>
            </w:r>
          </w:p>
        </w:tc>
        <w:tc>
          <w:tcPr>
            <w:tcW w:w="1247" w:type="dxa"/>
            <w:noWrap/>
            <w:hideMark/>
          </w:tcPr>
          <w:p w14:paraId="079CCAC4" w14:textId="77777777" w:rsidR="007B434D" w:rsidRPr="000973F2" w:rsidRDefault="007B434D" w:rsidP="00F64728">
            <w:pPr>
              <w:spacing w:before="40" w:after="4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$0</w:t>
            </w:r>
          </w:p>
        </w:tc>
        <w:tc>
          <w:tcPr>
            <w:tcW w:w="1258" w:type="dxa"/>
            <w:noWrap/>
            <w:hideMark/>
          </w:tcPr>
          <w:p w14:paraId="251B6F83" w14:textId="77777777" w:rsidR="007B434D" w:rsidRPr="000973F2" w:rsidRDefault="007B434D" w:rsidP="00F64728">
            <w:pPr>
              <w:spacing w:before="40" w:after="4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$50</w:t>
            </w:r>
          </w:p>
        </w:tc>
      </w:tr>
      <w:tr w:rsidR="00F64728" w:rsidRPr="000973F2" w14:paraId="05DCEB51" w14:textId="77777777" w:rsidTr="00F64728">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1785" w:type="dxa"/>
            <w:hideMark/>
          </w:tcPr>
          <w:p w14:paraId="785F1508" w14:textId="77777777" w:rsidR="00F64728" w:rsidRPr="000973F2" w:rsidRDefault="00F64728" w:rsidP="00F64728">
            <w:pPr>
              <w:spacing w:before="40" w:after="4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Travel</w:t>
            </w:r>
          </w:p>
        </w:tc>
        <w:tc>
          <w:tcPr>
            <w:tcW w:w="1257" w:type="dxa"/>
            <w:noWrap/>
            <w:hideMark/>
          </w:tcPr>
          <w:p w14:paraId="72B6D501" w14:textId="632ABB3A" w:rsidR="00F64728" w:rsidRPr="000973F2" w:rsidRDefault="00F64728" w:rsidP="00F64728">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w:t>
            </w:r>
          </w:p>
        </w:tc>
        <w:tc>
          <w:tcPr>
            <w:tcW w:w="1258" w:type="dxa"/>
            <w:noWrap/>
          </w:tcPr>
          <w:p w14:paraId="6B16865D" w14:textId="70E3A7DB" w:rsidR="00F64728" w:rsidRPr="000973F2" w:rsidRDefault="00F64728" w:rsidP="00F64728">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p>
        </w:tc>
        <w:tc>
          <w:tcPr>
            <w:tcW w:w="1257" w:type="dxa"/>
            <w:noWrap/>
            <w:hideMark/>
          </w:tcPr>
          <w:p w14:paraId="5A2D997E" w14:textId="76FF8D2E" w:rsidR="00F64728" w:rsidRPr="000973F2" w:rsidRDefault="00F64728" w:rsidP="00F64728">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w:t>
            </w:r>
          </w:p>
        </w:tc>
        <w:tc>
          <w:tcPr>
            <w:tcW w:w="1268" w:type="dxa"/>
            <w:noWrap/>
            <w:hideMark/>
          </w:tcPr>
          <w:p w14:paraId="22664C6B" w14:textId="50871E87" w:rsidR="00F64728" w:rsidRPr="000973F2" w:rsidRDefault="00F64728" w:rsidP="00F64728">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w:t>
            </w:r>
          </w:p>
        </w:tc>
        <w:tc>
          <w:tcPr>
            <w:tcW w:w="1247" w:type="dxa"/>
            <w:noWrap/>
            <w:hideMark/>
          </w:tcPr>
          <w:p w14:paraId="498E6FF3" w14:textId="40DB7060" w:rsidR="00F64728" w:rsidRPr="000973F2" w:rsidRDefault="00F64728" w:rsidP="00F64728">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w:t>
            </w:r>
          </w:p>
        </w:tc>
        <w:tc>
          <w:tcPr>
            <w:tcW w:w="1258" w:type="dxa"/>
            <w:noWrap/>
            <w:hideMark/>
          </w:tcPr>
          <w:p w14:paraId="78699743" w14:textId="015B0BEB" w:rsidR="00F64728" w:rsidRPr="000973F2" w:rsidRDefault="00F64728" w:rsidP="00F64728">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w:t>
            </w:r>
          </w:p>
        </w:tc>
      </w:tr>
      <w:tr w:rsidR="00F64728" w:rsidRPr="000973F2" w14:paraId="75E88746" w14:textId="77777777" w:rsidTr="00F64728">
        <w:trPr>
          <w:cantSplit/>
        </w:trPr>
        <w:tc>
          <w:tcPr>
            <w:cnfStyle w:val="001000000000" w:firstRow="0" w:lastRow="0" w:firstColumn="1" w:lastColumn="0" w:oddVBand="0" w:evenVBand="0" w:oddHBand="0" w:evenHBand="0" w:firstRowFirstColumn="0" w:firstRowLastColumn="0" w:lastRowFirstColumn="0" w:lastRowLastColumn="0"/>
            <w:tcW w:w="1785" w:type="dxa"/>
            <w:hideMark/>
          </w:tcPr>
          <w:p w14:paraId="073C2D37" w14:textId="77777777" w:rsidR="00F64728" w:rsidRPr="000973F2" w:rsidRDefault="00F64728" w:rsidP="00F64728">
            <w:pPr>
              <w:spacing w:before="40" w:after="4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Sampling Costs</w:t>
            </w:r>
          </w:p>
        </w:tc>
        <w:tc>
          <w:tcPr>
            <w:tcW w:w="1257" w:type="dxa"/>
            <w:noWrap/>
            <w:hideMark/>
          </w:tcPr>
          <w:p w14:paraId="2A9F3F98" w14:textId="160E83CC" w:rsidR="00F64728" w:rsidRPr="000973F2" w:rsidRDefault="00F64728" w:rsidP="00F64728">
            <w:pPr>
              <w:spacing w:before="40" w:after="4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w:t>
            </w:r>
          </w:p>
        </w:tc>
        <w:tc>
          <w:tcPr>
            <w:tcW w:w="1258" w:type="dxa"/>
            <w:noWrap/>
          </w:tcPr>
          <w:p w14:paraId="3A576EEE" w14:textId="68AB7514" w:rsidR="00F64728" w:rsidRPr="000973F2" w:rsidRDefault="00F64728" w:rsidP="00F64728">
            <w:pPr>
              <w:spacing w:before="40" w:after="4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p>
        </w:tc>
        <w:tc>
          <w:tcPr>
            <w:tcW w:w="1257" w:type="dxa"/>
            <w:noWrap/>
            <w:hideMark/>
          </w:tcPr>
          <w:p w14:paraId="47476997" w14:textId="33145F57" w:rsidR="00F64728" w:rsidRPr="000973F2" w:rsidRDefault="00F64728" w:rsidP="00F64728">
            <w:pPr>
              <w:spacing w:before="40" w:after="4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w:t>
            </w:r>
          </w:p>
        </w:tc>
        <w:tc>
          <w:tcPr>
            <w:tcW w:w="1268" w:type="dxa"/>
            <w:noWrap/>
            <w:hideMark/>
          </w:tcPr>
          <w:p w14:paraId="19AAAA7D" w14:textId="3B6D6D06" w:rsidR="00F64728" w:rsidRPr="000973F2" w:rsidRDefault="00F64728" w:rsidP="00F64728">
            <w:pPr>
              <w:spacing w:before="40" w:after="4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w:t>
            </w:r>
          </w:p>
        </w:tc>
        <w:tc>
          <w:tcPr>
            <w:tcW w:w="1247" w:type="dxa"/>
            <w:noWrap/>
            <w:hideMark/>
          </w:tcPr>
          <w:p w14:paraId="435B2EB7" w14:textId="7AC2533D" w:rsidR="00F64728" w:rsidRPr="000973F2" w:rsidRDefault="00F64728" w:rsidP="00F64728">
            <w:pPr>
              <w:spacing w:before="40" w:after="4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w:t>
            </w:r>
          </w:p>
        </w:tc>
        <w:tc>
          <w:tcPr>
            <w:tcW w:w="1258" w:type="dxa"/>
            <w:noWrap/>
            <w:hideMark/>
          </w:tcPr>
          <w:p w14:paraId="1C1BE9E4" w14:textId="12C13478" w:rsidR="00F64728" w:rsidRPr="000973F2" w:rsidRDefault="00F64728" w:rsidP="00F64728">
            <w:pPr>
              <w:spacing w:before="40" w:after="4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w:t>
            </w:r>
          </w:p>
        </w:tc>
      </w:tr>
      <w:tr w:rsidR="007B434D" w:rsidRPr="000973F2" w14:paraId="2AE3BEE7" w14:textId="77777777" w:rsidTr="00F64728">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1785" w:type="dxa"/>
            <w:hideMark/>
          </w:tcPr>
          <w:p w14:paraId="749A7227" w14:textId="77777777" w:rsidR="007B434D" w:rsidRPr="000973F2" w:rsidRDefault="007B434D" w:rsidP="00F64728">
            <w:pPr>
              <w:spacing w:before="40" w:after="40"/>
              <w:rPr>
                <w:rFonts w:ascii="Times New Roman" w:eastAsia="Times New Roman" w:hAnsi="Times New Roman" w:cs="Times New Roman"/>
                <w:b/>
                <w:bCs w:val="0"/>
                <w:sz w:val="18"/>
                <w:szCs w:val="18"/>
              </w:rPr>
            </w:pPr>
            <w:r w:rsidRPr="000973F2">
              <w:rPr>
                <w:rFonts w:ascii="Times New Roman" w:eastAsia="Times New Roman" w:hAnsi="Times New Roman" w:cs="Times New Roman"/>
                <w:b/>
                <w:sz w:val="18"/>
                <w:szCs w:val="18"/>
              </w:rPr>
              <w:t>Total</w:t>
            </w:r>
          </w:p>
        </w:tc>
        <w:tc>
          <w:tcPr>
            <w:tcW w:w="1257" w:type="dxa"/>
            <w:noWrap/>
            <w:hideMark/>
          </w:tcPr>
          <w:p w14:paraId="641A2765" w14:textId="77777777" w:rsidR="007B434D" w:rsidRPr="000973F2" w:rsidRDefault="007B434D" w:rsidP="00F64728">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$0</w:t>
            </w:r>
          </w:p>
        </w:tc>
        <w:tc>
          <w:tcPr>
            <w:tcW w:w="1258" w:type="dxa"/>
            <w:noWrap/>
            <w:hideMark/>
          </w:tcPr>
          <w:p w14:paraId="5A6636D1" w14:textId="4644E225" w:rsidR="007B434D" w:rsidRPr="000973F2" w:rsidRDefault="007B434D" w:rsidP="00F64728">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p>
        </w:tc>
        <w:tc>
          <w:tcPr>
            <w:tcW w:w="1257" w:type="dxa"/>
            <w:noWrap/>
            <w:hideMark/>
          </w:tcPr>
          <w:p w14:paraId="1E51C3B3" w14:textId="77777777" w:rsidR="007B434D" w:rsidRPr="000973F2" w:rsidRDefault="007B434D" w:rsidP="00F64728">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$0</w:t>
            </w:r>
          </w:p>
        </w:tc>
        <w:tc>
          <w:tcPr>
            <w:tcW w:w="1268" w:type="dxa"/>
            <w:noWrap/>
            <w:hideMark/>
          </w:tcPr>
          <w:p w14:paraId="41CD605A" w14:textId="77777777" w:rsidR="007B434D" w:rsidRPr="000973F2" w:rsidRDefault="007B434D" w:rsidP="00F64728">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$50</w:t>
            </w:r>
          </w:p>
        </w:tc>
        <w:tc>
          <w:tcPr>
            <w:tcW w:w="1247" w:type="dxa"/>
            <w:noWrap/>
            <w:hideMark/>
          </w:tcPr>
          <w:p w14:paraId="7EF62A9E" w14:textId="77777777" w:rsidR="007B434D" w:rsidRPr="000973F2" w:rsidRDefault="007B434D" w:rsidP="00F64728">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$0</w:t>
            </w:r>
          </w:p>
        </w:tc>
        <w:tc>
          <w:tcPr>
            <w:tcW w:w="1258" w:type="dxa"/>
            <w:noWrap/>
            <w:hideMark/>
          </w:tcPr>
          <w:p w14:paraId="44CDEC01" w14:textId="77777777" w:rsidR="007B434D" w:rsidRPr="000973F2" w:rsidRDefault="007B434D" w:rsidP="00F64728">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$50</w:t>
            </w:r>
          </w:p>
        </w:tc>
      </w:tr>
    </w:tbl>
    <w:p w14:paraId="7E1F63E7" w14:textId="77777777" w:rsidR="007B434D" w:rsidRPr="000973F2" w:rsidRDefault="007B434D" w:rsidP="002217E9">
      <w:pPr>
        <w:pStyle w:val="AfterTable"/>
      </w:pPr>
    </w:p>
    <w:p w14:paraId="154899C5" w14:textId="16084063" w:rsidR="007B434D" w:rsidRPr="000973F2" w:rsidRDefault="00C66F28" w:rsidP="002217E9">
      <w:pPr>
        <w:pStyle w:val="Tabletitle"/>
      </w:pPr>
      <w:r w:rsidRPr="000973F2">
        <w:t xml:space="preserve">Table </w:t>
      </w:r>
      <w:r w:rsidR="002217E9" w:rsidRPr="000973F2">
        <w:t>CC-</w:t>
      </w:r>
      <w:r w:rsidRPr="000973F2">
        <w:t xml:space="preserve">2b. Capital and O&amp;M costs </w:t>
      </w:r>
      <w:r w:rsidR="00B960CC" w:rsidRPr="000973F2">
        <w:t>–</w:t>
      </w:r>
      <w:r w:rsidRPr="000973F2">
        <w:t xml:space="preserve"> </w:t>
      </w:r>
      <w:r w:rsidR="007B434D" w:rsidRPr="000973F2">
        <w:t>Subpart CC – Soda ash output method</w:t>
      </w:r>
    </w:p>
    <w:tbl>
      <w:tblPr>
        <w:tblStyle w:val="PlainTable1"/>
        <w:tblW w:w="5000" w:type="pct"/>
        <w:jc w:val="left"/>
        <w:tblLayout w:type="fixed"/>
        <w:tblCellMar>
          <w:left w:w="115" w:type="dxa"/>
          <w:right w:w="115" w:type="dxa"/>
        </w:tblCellMar>
        <w:tblLook w:val="04A0" w:firstRow="1" w:lastRow="0" w:firstColumn="1" w:lastColumn="0" w:noHBand="0" w:noVBand="1"/>
      </w:tblPr>
      <w:tblGrid>
        <w:gridCol w:w="1770"/>
        <w:gridCol w:w="1304"/>
        <w:gridCol w:w="1303"/>
        <w:gridCol w:w="1303"/>
        <w:gridCol w:w="1336"/>
        <w:gridCol w:w="1270"/>
        <w:gridCol w:w="1304"/>
      </w:tblGrid>
      <w:tr w:rsidR="00D17312" w:rsidRPr="000973F2" w14:paraId="6E35FF16" w14:textId="77777777" w:rsidTr="00F64728">
        <w:trPr>
          <w:cnfStyle w:val="100000000000" w:firstRow="1" w:lastRow="0" w:firstColumn="0" w:lastColumn="0" w:oddVBand="0" w:evenVBand="0" w:oddHBand="0" w:evenHBand="0" w:firstRowFirstColumn="0" w:firstRowLastColumn="0" w:lastRowFirstColumn="0" w:lastRowLastColumn="0"/>
          <w:cantSplit/>
          <w:jc w:val="left"/>
        </w:trPr>
        <w:tc>
          <w:tcPr>
            <w:cnfStyle w:val="001000000000" w:firstRow="0" w:lastRow="0" w:firstColumn="1" w:lastColumn="0" w:oddVBand="0" w:evenVBand="0" w:oddHBand="0" w:evenHBand="0" w:firstRowFirstColumn="0" w:firstRowLastColumn="0" w:lastRowFirstColumn="0" w:lastRowLastColumn="0"/>
            <w:tcW w:w="1721" w:type="dxa"/>
            <w:vMerge w:val="restart"/>
            <w:noWrap/>
            <w:vAlign w:val="top"/>
            <w:hideMark/>
          </w:tcPr>
          <w:p w14:paraId="1D3FCFFE" w14:textId="4D59F7FD" w:rsidR="00D17312" w:rsidRPr="000973F2" w:rsidRDefault="00D17312" w:rsidP="00F64728">
            <w:pPr>
              <w:spacing w:before="40" w:after="40"/>
              <w:rPr>
                <w:rFonts w:ascii="Times New Roman" w:eastAsia="Times New Roman" w:hAnsi="Times New Roman" w:cs="Times New Roman"/>
                <w:b w:val="0"/>
                <w:bCs w:val="0"/>
                <w:sz w:val="18"/>
                <w:szCs w:val="18"/>
              </w:rPr>
            </w:pPr>
            <w:r w:rsidRPr="000973F2">
              <w:rPr>
                <w:rFonts w:ascii="Times New Roman" w:eastAsia="Times New Roman" w:hAnsi="Times New Roman" w:cs="Times New Roman"/>
                <w:sz w:val="18"/>
                <w:szCs w:val="18"/>
              </w:rPr>
              <w:t>Activity</w:t>
            </w:r>
          </w:p>
        </w:tc>
        <w:tc>
          <w:tcPr>
            <w:tcW w:w="5104" w:type="dxa"/>
            <w:gridSpan w:val="4"/>
            <w:noWrap/>
            <w:vAlign w:val="top"/>
            <w:hideMark/>
          </w:tcPr>
          <w:p w14:paraId="341B0A4E" w14:textId="77777777" w:rsidR="00D17312" w:rsidRPr="000973F2" w:rsidRDefault="00D17312" w:rsidP="00F64728">
            <w:pPr>
              <w:spacing w:before="40" w:after="40"/>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bCs w:val="0"/>
                <w:sz w:val="18"/>
                <w:szCs w:val="18"/>
              </w:rPr>
            </w:pPr>
            <w:r w:rsidRPr="000973F2">
              <w:rPr>
                <w:rFonts w:ascii="Times New Roman" w:eastAsia="Times New Roman" w:hAnsi="Times New Roman" w:cs="Times New Roman"/>
                <w:sz w:val="18"/>
                <w:szCs w:val="18"/>
              </w:rPr>
              <w:t>Cost Categories</w:t>
            </w:r>
          </w:p>
        </w:tc>
        <w:tc>
          <w:tcPr>
            <w:tcW w:w="2505" w:type="dxa"/>
            <w:gridSpan w:val="2"/>
            <w:vAlign w:val="top"/>
            <w:hideMark/>
          </w:tcPr>
          <w:p w14:paraId="0C6733AC" w14:textId="77777777" w:rsidR="00D17312" w:rsidRPr="000973F2" w:rsidRDefault="00D17312" w:rsidP="00F64728">
            <w:pPr>
              <w:spacing w:before="40" w:after="40"/>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bCs w:val="0"/>
                <w:sz w:val="18"/>
                <w:szCs w:val="18"/>
              </w:rPr>
            </w:pPr>
            <w:r w:rsidRPr="000973F2">
              <w:rPr>
                <w:rFonts w:ascii="Times New Roman" w:eastAsia="Times New Roman" w:hAnsi="Times New Roman" w:cs="Times New Roman"/>
                <w:sz w:val="18"/>
                <w:szCs w:val="18"/>
              </w:rPr>
              <w:t>Total Capital and O&amp;M Cost per Year per Facility (2017$)</w:t>
            </w:r>
          </w:p>
        </w:tc>
      </w:tr>
      <w:tr w:rsidR="00D17312" w:rsidRPr="000973F2" w14:paraId="08593E59" w14:textId="77777777" w:rsidTr="00F64728">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1721" w:type="dxa"/>
            <w:vMerge/>
            <w:noWrap/>
            <w:hideMark/>
          </w:tcPr>
          <w:p w14:paraId="2887D246" w14:textId="35E40C4B" w:rsidR="00D17312" w:rsidRPr="000973F2" w:rsidRDefault="00D17312" w:rsidP="00F64728">
            <w:pPr>
              <w:spacing w:before="40" w:after="40"/>
              <w:jc w:val="center"/>
              <w:rPr>
                <w:rFonts w:ascii="Times New Roman" w:eastAsia="Times New Roman" w:hAnsi="Times New Roman" w:cs="Times New Roman"/>
                <w:b/>
                <w:bCs w:val="0"/>
                <w:sz w:val="18"/>
                <w:szCs w:val="18"/>
              </w:rPr>
            </w:pPr>
          </w:p>
        </w:tc>
        <w:tc>
          <w:tcPr>
            <w:tcW w:w="1268" w:type="dxa"/>
            <w:hideMark/>
          </w:tcPr>
          <w:p w14:paraId="7D9A94D4" w14:textId="77777777" w:rsidR="00D17312" w:rsidRPr="000973F2" w:rsidRDefault="00D17312" w:rsidP="00F64728">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18"/>
                <w:szCs w:val="18"/>
              </w:rPr>
            </w:pPr>
            <w:r w:rsidRPr="000973F2">
              <w:rPr>
                <w:rFonts w:ascii="Times New Roman" w:eastAsia="Times New Roman" w:hAnsi="Times New Roman" w:cs="Times New Roman"/>
                <w:b/>
                <w:bCs/>
                <w:sz w:val="18"/>
                <w:szCs w:val="18"/>
              </w:rPr>
              <w:t>Capital Cost (2017$)</w:t>
            </w:r>
          </w:p>
        </w:tc>
        <w:tc>
          <w:tcPr>
            <w:tcW w:w="1268" w:type="dxa"/>
            <w:hideMark/>
          </w:tcPr>
          <w:p w14:paraId="2E4C7B35" w14:textId="77777777" w:rsidR="00D17312" w:rsidRPr="000973F2" w:rsidRDefault="00D17312" w:rsidP="00F64728">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18"/>
                <w:szCs w:val="18"/>
              </w:rPr>
            </w:pPr>
            <w:r w:rsidRPr="000973F2">
              <w:rPr>
                <w:rFonts w:ascii="Times New Roman" w:eastAsia="Times New Roman" w:hAnsi="Times New Roman" w:cs="Times New Roman"/>
                <w:b/>
                <w:bCs/>
                <w:sz w:val="18"/>
                <w:szCs w:val="18"/>
              </w:rPr>
              <w:t>Equipment Lifetime</w:t>
            </w:r>
          </w:p>
        </w:tc>
        <w:tc>
          <w:tcPr>
            <w:tcW w:w="1268" w:type="dxa"/>
            <w:hideMark/>
          </w:tcPr>
          <w:p w14:paraId="471F7333" w14:textId="77777777" w:rsidR="00D17312" w:rsidRPr="000973F2" w:rsidRDefault="00D17312" w:rsidP="00F64728">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18"/>
                <w:szCs w:val="18"/>
              </w:rPr>
            </w:pPr>
            <w:r w:rsidRPr="000973F2">
              <w:rPr>
                <w:rFonts w:ascii="Times New Roman" w:eastAsia="Times New Roman" w:hAnsi="Times New Roman" w:cs="Times New Roman"/>
                <w:b/>
                <w:bCs/>
                <w:sz w:val="18"/>
                <w:szCs w:val="18"/>
              </w:rPr>
              <w:t>Annualized Capital Cost (2017$/year)</w:t>
            </w:r>
          </w:p>
        </w:tc>
        <w:tc>
          <w:tcPr>
            <w:tcW w:w="1300" w:type="dxa"/>
            <w:hideMark/>
          </w:tcPr>
          <w:p w14:paraId="1C93484B" w14:textId="77777777" w:rsidR="00D17312" w:rsidRPr="000973F2" w:rsidRDefault="00D17312" w:rsidP="00F64728">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18"/>
                <w:szCs w:val="18"/>
              </w:rPr>
            </w:pPr>
            <w:r w:rsidRPr="000973F2">
              <w:rPr>
                <w:rFonts w:ascii="Times New Roman" w:eastAsia="Times New Roman" w:hAnsi="Times New Roman" w:cs="Times New Roman"/>
                <w:b/>
                <w:bCs/>
                <w:sz w:val="18"/>
                <w:szCs w:val="18"/>
              </w:rPr>
              <w:t>O&amp;M Costs (2017$/year)</w:t>
            </w:r>
          </w:p>
        </w:tc>
        <w:tc>
          <w:tcPr>
            <w:tcW w:w="1236" w:type="dxa"/>
            <w:hideMark/>
          </w:tcPr>
          <w:p w14:paraId="594913C6" w14:textId="77777777" w:rsidR="00D17312" w:rsidRPr="000973F2" w:rsidRDefault="00D17312" w:rsidP="00F64728">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18"/>
                <w:szCs w:val="18"/>
              </w:rPr>
            </w:pPr>
            <w:r w:rsidRPr="000973F2">
              <w:rPr>
                <w:rFonts w:ascii="Times New Roman" w:eastAsia="Times New Roman" w:hAnsi="Times New Roman" w:cs="Times New Roman"/>
                <w:b/>
                <w:bCs/>
                <w:sz w:val="18"/>
                <w:szCs w:val="18"/>
              </w:rPr>
              <w:t>Initial Year</w:t>
            </w:r>
          </w:p>
        </w:tc>
        <w:tc>
          <w:tcPr>
            <w:tcW w:w="1269" w:type="dxa"/>
            <w:hideMark/>
          </w:tcPr>
          <w:p w14:paraId="63888B6A" w14:textId="77777777" w:rsidR="00D17312" w:rsidRPr="000973F2" w:rsidRDefault="00D17312" w:rsidP="00F64728">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18"/>
                <w:szCs w:val="18"/>
              </w:rPr>
            </w:pPr>
            <w:r w:rsidRPr="000973F2">
              <w:rPr>
                <w:rFonts w:ascii="Times New Roman" w:eastAsia="Times New Roman" w:hAnsi="Times New Roman" w:cs="Times New Roman"/>
                <w:b/>
                <w:bCs/>
                <w:sz w:val="18"/>
                <w:szCs w:val="18"/>
              </w:rPr>
              <w:t>Subseq. Years</w:t>
            </w:r>
          </w:p>
        </w:tc>
      </w:tr>
      <w:tr w:rsidR="00F64728" w:rsidRPr="000973F2" w14:paraId="2FB11750" w14:textId="77777777" w:rsidTr="00F64728">
        <w:trPr>
          <w:cantSplit/>
        </w:trPr>
        <w:tc>
          <w:tcPr>
            <w:cnfStyle w:val="001000000000" w:firstRow="0" w:lastRow="0" w:firstColumn="1" w:lastColumn="0" w:oddVBand="0" w:evenVBand="0" w:oddHBand="0" w:evenHBand="0" w:firstRowFirstColumn="0" w:firstRowLastColumn="0" w:lastRowFirstColumn="0" w:lastRowLastColumn="0"/>
            <w:tcW w:w="1721" w:type="dxa"/>
            <w:hideMark/>
          </w:tcPr>
          <w:p w14:paraId="62B991D4" w14:textId="77777777" w:rsidR="00F64728" w:rsidRPr="000973F2" w:rsidRDefault="00F64728" w:rsidP="00F64728">
            <w:pPr>
              <w:spacing w:before="40" w:after="4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Equipment (selection, purchase, installation)</w:t>
            </w:r>
          </w:p>
        </w:tc>
        <w:tc>
          <w:tcPr>
            <w:tcW w:w="1268" w:type="dxa"/>
            <w:noWrap/>
            <w:hideMark/>
          </w:tcPr>
          <w:p w14:paraId="041C6662" w14:textId="3DF313A0" w:rsidR="00F64728" w:rsidRPr="000973F2" w:rsidRDefault="00F64728" w:rsidP="00F64728">
            <w:pPr>
              <w:spacing w:before="40" w:after="4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w:t>
            </w:r>
          </w:p>
        </w:tc>
        <w:tc>
          <w:tcPr>
            <w:tcW w:w="1268" w:type="dxa"/>
            <w:noWrap/>
          </w:tcPr>
          <w:p w14:paraId="50907473" w14:textId="1678BA7C" w:rsidR="00F64728" w:rsidRPr="000973F2" w:rsidRDefault="00F64728" w:rsidP="00F64728">
            <w:pPr>
              <w:spacing w:before="40" w:after="4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p>
        </w:tc>
        <w:tc>
          <w:tcPr>
            <w:tcW w:w="1268" w:type="dxa"/>
            <w:noWrap/>
            <w:hideMark/>
          </w:tcPr>
          <w:p w14:paraId="50D0381E" w14:textId="41BC7838" w:rsidR="00F64728" w:rsidRPr="000973F2" w:rsidRDefault="00F64728" w:rsidP="00F64728">
            <w:pPr>
              <w:spacing w:before="40" w:after="4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w:t>
            </w:r>
          </w:p>
        </w:tc>
        <w:tc>
          <w:tcPr>
            <w:tcW w:w="1300" w:type="dxa"/>
            <w:noWrap/>
            <w:hideMark/>
          </w:tcPr>
          <w:p w14:paraId="5F05B6A8" w14:textId="76CE43F4" w:rsidR="00F64728" w:rsidRPr="000973F2" w:rsidRDefault="00F64728" w:rsidP="00F64728">
            <w:pPr>
              <w:spacing w:before="40" w:after="4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w:t>
            </w:r>
          </w:p>
        </w:tc>
        <w:tc>
          <w:tcPr>
            <w:tcW w:w="1236" w:type="dxa"/>
            <w:noWrap/>
            <w:hideMark/>
          </w:tcPr>
          <w:p w14:paraId="793D2A1D" w14:textId="65CD3DAA" w:rsidR="00F64728" w:rsidRPr="000973F2" w:rsidRDefault="00F64728" w:rsidP="00F64728">
            <w:pPr>
              <w:spacing w:before="40" w:after="4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w:t>
            </w:r>
          </w:p>
        </w:tc>
        <w:tc>
          <w:tcPr>
            <w:tcW w:w="1269" w:type="dxa"/>
            <w:noWrap/>
            <w:hideMark/>
          </w:tcPr>
          <w:p w14:paraId="3A8587A2" w14:textId="64D3E41E" w:rsidR="00F64728" w:rsidRPr="000973F2" w:rsidRDefault="00F64728" w:rsidP="00F64728">
            <w:pPr>
              <w:spacing w:before="40" w:after="4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w:t>
            </w:r>
          </w:p>
        </w:tc>
      </w:tr>
      <w:tr w:rsidR="00F64728" w:rsidRPr="000973F2" w14:paraId="2975BDF0" w14:textId="77777777" w:rsidTr="00F64728">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1721" w:type="dxa"/>
            <w:hideMark/>
          </w:tcPr>
          <w:p w14:paraId="37D81A26" w14:textId="77777777" w:rsidR="00F64728" w:rsidRPr="000973F2" w:rsidRDefault="00F64728" w:rsidP="00F64728">
            <w:pPr>
              <w:spacing w:before="40" w:after="4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Performance testing</w:t>
            </w:r>
          </w:p>
        </w:tc>
        <w:tc>
          <w:tcPr>
            <w:tcW w:w="1268" w:type="dxa"/>
            <w:noWrap/>
            <w:hideMark/>
          </w:tcPr>
          <w:p w14:paraId="78700595" w14:textId="358BBE7B" w:rsidR="00F64728" w:rsidRPr="000973F2" w:rsidRDefault="00F64728" w:rsidP="00F64728">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w:t>
            </w:r>
          </w:p>
        </w:tc>
        <w:tc>
          <w:tcPr>
            <w:tcW w:w="1268" w:type="dxa"/>
            <w:noWrap/>
          </w:tcPr>
          <w:p w14:paraId="7C9326E7" w14:textId="3096E936" w:rsidR="00F64728" w:rsidRPr="000973F2" w:rsidRDefault="00F64728" w:rsidP="00F64728">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p>
        </w:tc>
        <w:tc>
          <w:tcPr>
            <w:tcW w:w="1268" w:type="dxa"/>
            <w:noWrap/>
            <w:hideMark/>
          </w:tcPr>
          <w:p w14:paraId="34485CD6" w14:textId="5FFF585C" w:rsidR="00F64728" w:rsidRPr="000973F2" w:rsidRDefault="00F64728" w:rsidP="00F64728">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w:t>
            </w:r>
          </w:p>
        </w:tc>
        <w:tc>
          <w:tcPr>
            <w:tcW w:w="1300" w:type="dxa"/>
            <w:noWrap/>
          </w:tcPr>
          <w:p w14:paraId="571E4D64" w14:textId="615D3938" w:rsidR="00F64728" w:rsidRPr="000973F2" w:rsidRDefault="00F64728" w:rsidP="00F64728">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w:t>
            </w:r>
          </w:p>
        </w:tc>
        <w:tc>
          <w:tcPr>
            <w:tcW w:w="1236" w:type="dxa"/>
            <w:noWrap/>
            <w:hideMark/>
          </w:tcPr>
          <w:p w14:paraId="408BD264" w14:textId="24F66D0D" w:rsidR="00F64728" w:rsidRPr="000973F2" w:rsidRDefault="00F64728" w:rsidP="00F64728">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w:t>
            </w:r>
          </w:p>
        </w:tc>
        <w:tc>
          <w:tcPr>
            <w:tcW w:w="1269" w:type="dxa"/>
            <w:noWrap/>
            <w:hideMark/>
          </w:tcPr>
          <w:p w14:paraId="4F1310BB" w14:textId="3BF860A6" w:rsidR="00F64728" w:rsidRPr="000973F2" w:rsidRDefault="00F64728" w:rsidP="00F64728">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w:t>
            </w:r>
          </w:p>
        </w:tc>
      </w:tr>
      <w:tr w:rsidR="007B434D" w:rsidRPr="000973F2" w14:paraId="5FC907BC" w14:textId="77777777" w:rsidTr="00F64728">
        <w:trPr>
          <w:cantSplit/>
        </w:trPr>
        <w:tc>
          <w:tcPr>
            <w:cnfStyle w:val="001000000000" w:firstRow="0" w:lastRow="0" w:firstColumn="1" w:lastColumn="0" w:oddVBand="0" w:evenVBand="0" w:oddHBand="0" w:evenHBand="0" w:firstRowFirstColumn="0" w:firstRowLastColumn="0" w:lastRowFirstColumn="0" w:lastRowLastColumn="0"/>
            <w:tcW w:w="1721" w:type="dxa"/>
            <w:hideMark/>
          </w:tcPr>
          <w:p w14:paraId="25045829" w14:textId="77777777" w:rsidR="007B434D" w:rsidRPr="000973F2" w:rsidRDefault="007B434D" w:rsidP="00F64728">
            <w:pPr>
              <w:spacing w:before="40" w:after="4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Recordkeeping</w:t>
            </w:r>
          </w:p>
        </w:tc>
        <w:tc>
          <w:tcPr>
            <w:tcW w:w="1268" w:type="dxa"/>
            <w:noWrap/>
            <w:hideMark/>
          </w:tcPr>
          <w:p w14:paraId="32B6EAAC" w14:textId="77777777" w:rsidR="007B434D" w:rsidRPr="000973F2" w:rsidRDefault="007B434D" w:rsidP="00F64728">
            <w:pPr>
              <w:spacing w:before="40" w:after="4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$0</w:t>
            </w:r>
          </w:p>
        </w:tc>
        <w:tc>
          <w:tcPr>
            <w:tcW w:w="1268" w:type="dxa"/>
            <w:noWrap/>
          </w:tcPr>
          <w:p w14:paraId="2E5590CB" w14:textId="01C634FE" w:rsidR="007B434D" w:rsidRPr="000973F2" w:rsidRDefault="007B434D" w:rsidP="00F64728">
            <w:pPr>
              <w:spacing w:before="40" w:after="4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p>
        </w:tc>
        <w:tc>
          <w:tcPr>
            <w:tcW w:w="1268" w:type="dxa"/>
            <w:noWrap/>
            <w:hideMark/>
          </w:tcPr>
          <w:p w14:paraId="23A07A17" w14:textId="77777777" w:rsidR="007B434D" w:rsidRPr="000973F2" w:rsidRDefault="007B434D" w:rsidP="00F64728">
            <w:pPr>
              <w:spacing w:before="40" w:after="4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$0</w:t>
            </w:r>
          </w:p>
        </w:tc>
        <w:tc>
          <w:tcPr>
            <w:tcW w:w="1300" w:type="dxa"/>
            <w:noWrap/>
            <w:hideMark/>
          </w:tcPr>
          <w:p w14:paraId="5E787CA0" w14:textId="77777777" w:rsidR="007B434D" w:rsidRPr="000973F2" w:rsidRDefault="007B434D" w:rsidP="00F64728">
            <w:pPr>
              <w:spacing w:before="40" w:after="4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$50</w:t>
            </w:r>
          </w:p>
        </w:tc>
        <w:tc>
          <w:tcPr>
            <w:tcW w:w="1236" w:type="dxa"/>
            <w:noWrap/>
            <w:hideMark/>
          </w:tcPr>
          <w:p w14:paraId="4F51EFC6" w14:textId="77777777" w:rsidR="007B434D" w:rsidRPr="000973F2" w:rsidRDefault="007B434D" w:rsidP="00F64728">
            <w:pPr>
              <w:spacing w:before="40" w:after="4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$0</w:t>
            </w:r>
          </w:p>
        </w:tc>
        <w:tc>
          <w:tcPr>
            <w:tcW w:w="1269" w:type="dxa"/>
            <w:noWrap/>
            <w:hideMark/>
          </w:tcPr>
          <w:p w14:paraId="15685D1E" w14:textId="77777777" w:rsidR="007B434D" w:rsidRPr="000973F2" w:rsidRDefault="007B434D" w:rsidP="00F64728">
            <w:pPr>
              <w:spacing w:before="40" w:after="4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$50</w:t>
            </w:r>
          </w:p>
        </w:tc>
      </w:tr>
      <w:tr w:rsidR="00F64728" w:rsidRPr="000973F2" w14:paraId="7E6ACFCE" w14:textId="77777777" w:rsidTr="00F64728">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1721" w:type="dxa"/>
            <w:hideMark/>
          </w:tcPr>
          <w:p w14:paraId="3E3AAE35" w14:textId="77777777" w:rsidR="00F64728" w:rsidRPr="000973F2" w:rsidRDefault="00F64728" w:rsidP="00F64728">
            <w:pPr>
              <w:spacing w:before="40" w:after="4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Travel</w:t>
            </w:r>
          </w:p>
        </w:tc>
        <w:tc>
          <w:tcPr>
            <w:tcW w:w="1268" w:type="dxa"/>
            <w:noWrap/>
            <w:hideMark/>
          </w:tcPr>
          <w:p w14:paraId="6C3A0B35" w14:textId="63E44839" w:rsidR="00F64728" w:rsidRPr="000973F2" w:rsidRDefault="00F64728" w:rsidP="00F64728">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w:t>
            </w:r>
          </w:p>
        </w:tc>
        <w:tc>
          <w:tcPr>
            <w:tcW w:w="1268" w:type="dxa"/>
            <w:noWrap/>
          </w:tcPr>
          <w:p w14:paraId="09CCD5EF" w14:textId="287D7F01" w:rsidR="00F64728" w:rsidRPr="000973F2" w:rsidRDefault="00F64728" w:rsidP="00F64728">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p>
        </w:tc>
        <w:tc>
          <w:tcPr>
            <w:tcW w:w="1268" w:type="dxa"/>
            <w:noWrap/>
            <w:hideMark/>
          </w:tcPr>
          <w:p w14:paraId="1237F809" w14:textId="3413F3B4" w:rsidR="00F64728" w:rsidRPr="000973F2" w:rsidRDefault="00F64728" w:rsidP="00F64728">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w:t>
            </w:r>
          </w:p>
        </w:tc>
        <w:tc>
          <w:tcPr>
            <w:tcW w:w="1300" w:type="dxa"/>
            <w:noWrap/>
            <w:hideMark/>
          </w:tcPr>
          <w:p w14:paraId="08332C51" w14:textId="3FC30E62" w:rsidR="00F64728" w:rsidRPr="000973F2" w:rsidRDefault="00F64728" w:rsidP="00F64728">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w:t>
            </w:r>
          </w:p>
        </w:tc>
        <w:tc>
          <w:tcPr>
            <w:tcW w:w="1236" w:type="dxa"/>
            <w:noWrap/>
            <w:hideMark/>
          </w:tcPr>
          <w:p w14:paraId="2E37D800" w14:textId="5C69AA8A" w:rsidR="00F64728" w:rsidRPr="000973F2" w:rsidRDefault="00F64728" w:rsidP="00F64728">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w:t>
            </w:r>
          </w:p>
        </w:tc>
        <w:tc>
          <w:tcPr>
            <w:tcW w:w="1269" w:type="dxa"/>
            <w:noWrap/>
            <w:hideMark/>
          </w:tcPr>
          <w:p w14:paraId="2F6630CC" w14:textId="02888CFD" w:rsidR="00F64728" w:rsidRPr="000973F2" w:rsidRDefault="00F64728" w:rsidP="00F64728">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w:t>
            </w:r>
          </w:p>
        </w:tc>
      </w:tr>
      <w:tr w:rsidR="00F64728" w:rsidRPr="000973F2" w14:paraId="1285B501" w14:textId="77777777" w:rsidTr="00F64728">
        <w:trPr>
          <w:cantSplit/>
        </w:trPr>
        <w:tc>
          <w:tcPr>
            <w:cnfStyle w:val="001000000000" w:firstRow="0" w:lastRow="0" w:firstColumn="1" w:lastColumn="0" w:oddVBand="0" w:evenVBand="0" w:oddHBand="0" w:evenHBand="0" w:firstRowFirstColumn="0" w:firstRowLastColumn="0" w:lastRowFirstColumn="0" w:lastRowLastColumn="0"/>
            <w:tcW w:w="1721" w:type="dxa"/>
            <w:hideMark/>
          </w:tcPr>
          <w:p w14:paraId="62B31FE6" w14:textId="7A576527" w:rsidR="00F64728" w:rsidRPr="000973F2" w:rsidRDefault="00F64728" w:rsidP="00F64728">
            <w:pPr>
              <w:spacing w:before="40" w:after="4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Sampling and Analysis Costs</w:t>
            </w:r>
          </w:p>
        </w:tc>
        <w:tc>
          <w:tcPr>
            <w:tcW w:w="1268" w:type="dxa"/>
            <w:noWrap/>
            <w:hideMark/>
          </w:tcPr>
          <w:p w14:paraId="0CDBA362" w14:textId="4FB056AF" w:rsidR="00F64728" w:rsidRPr="000973F2" w:rsidRDefault="00F64728" w:rsidP="00F64728">
            <w:pPr>
              <w:spacing w:before="40" w:after="4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w:t>
            </w:r>
          </w:p>
        </w:tc>
        <w:tc>
          <w:tcPr>
            <w:tcW w:w="1268" w:type="dxa"/>
            <w:noWrap/>
          </w:tcPr>
          <w:p w14:paraId="61179E7F" w14:textId="717E20A7" w:rsidR="00F64728" w:rsidRPr="000973F2" w:rsidRDefault="00F64728" w:rsidP="00F64728">
            <w:pPr>
              <w:spacing w:before="40" w:after="4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p>
        </w:tc>
        <w:tc>
          <w:tcPr>
            <w:tcW w:w="1268" w:type="dxa"/>
            <w:noWrap/>
            <w:hideMark/>
          </w:tcPr>
          <w:p w14:paraId="62285B4E" w14:textId="4C7D2047" w:rsidR="00F64728" w:rsidRPr="000973F2" w:rsidRDefault="00F64728" w:rsidP="00F64728">
            <w:pPr>
              <w:spacing w:before="40" w:after="4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w:t>
            </w:r>
          </w:p>
        </w:tc>
        <w:tc>
          <w:tcPr>
            <w:tcW w:w="1300" w:type="dxa"/>
            <w:noWrap/>
            <w:hideMark/>
          </w:tcPr>
          <w:p w14:paraId="4143B220" w14:textId="0E7A7D85" w:rsidR="00F64728" w:rsidRPr="000973F2" w:rsidRDefault="00F64728" w:rsidP="00F64728">
            <w:pPr>
              <w:spacing w:before="40" w:after="4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w:t>
            </w:r>
          </w:p>
        </w:tc>
        <w:tc>
          <w:tcPr>
            <w:tcW w:w="1236" w:type="dxa"/>
            <w:noWrap/>
            <w:hideMark/>
          </w:tcPr>
          <w:p w14:paraId="5D1559F4" w14:textId="59301820" w:rsidR="00F64728" w:rsidRPr="000973F2" w:rsidRDefault="00F64728" w:rsidP="00F64728">
            <w:pPr>
              <w:spacing w:before="40" w:after="4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w:t>
            </w:r>
          </w:p>
        </w:tc>
        <w:tc>
          <w:tcPr>
            <w:tcW w:w="1269" w:type="dxa"/>
            <w:noWrap/>
            <w:hideMark/>
          </w:tcPr>
          <w:p w14:paraId="1728C7CD" w14:textId="40479DAD" w:rsidR="00F64728" w:rsidRPr="000973F2" w:rsidRDefault="00F64728" w:rsidP="00F64728">
            <w:pPr>
              <w:spacing w:before="40" w:after="4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w:t>
            </w:r>
          </w:p>
        </w:tc>
      </w:tr>
      <w:tr w:rsidR="007B434D" w:rsidRPr="000973F2" w14:paraId="2142EAD5" w14:textId="77777777" w:rsidTr="00F64728">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1721" w:type="dxa"/>
            <w:hideMark/>
          </w:tcPr>
          <w:p w14:paraId="2E7D9D50" w14:textId="77777777" w:rsidR="007B434D" w:rsidRPr="000973F2" w:rsidRDefault="007B434D" w:rsidP="00F64728">
            <w:pPr>
              <w:spacing w:before="40" w:after="40"/>
              <w:rPr>
                <w:rFonts w:ascii="Times New Roman" w:eastAsia="Times New Roman" w:hAnsi="Times New Roman" w:cs="Times New Roman"/>
                <w:b/>
                <w:bCs w:val="0"/>
                <w:sz w:val="18"/>
                <w:szCs w:val="18"/>
              </w:rPr>
            </w:pPr>
            <w:r w:rsidRPr="000973F2">
              <w:rPr>
                <w:rFonts w:ascii="Times New Roman" w:eastAsia="Times New Roman" w:hAnsi="Times New Roman" w:cs="Times New Roman"/>
                <w:b/>
                <w:sz w:val="18"/>
                <w:szCs w:val="18"/>
              </w:rPr>
              <w:t>Total</w:t>
            </w:r>
          </w:p>
        </w:tc>
        <w:tc>
          <w:tcPr>
            <w:tcW w:w="1268" w:type="dxa"/>
            <w:noWrap/>
            <w:hideMark/>
          </w:tcPr>
          <w:p w14:paraId="2408D783" w14:textId="77777777" w:rsidR="007B434D" w:rsidRPr="000973F2" w:rsidRDefault="007B434D" w:rsidP="00F64728">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$0</w:t>
            </w:r>
          </w:p>
        </w:tc>
        <w:tc>
          <w:tcPr>
            <w:tcW w:w="1268" w:type="dxa"/>
            <w:noWrap/>
            <w:hideMark/>
          </w:tcPr>
          <w:p w14:paraId="02408114" w14:textId="68BDCEFF" w:rsidR="007B434D" w:rsidRPr="000973F2" w:rsidRDefault="007B434D" w:rsidP="00F64728">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p>
        </w:tc>
        <w:tc>
          <w:tcPr>
            <w:tcW w:w="1268" w:type="dxa"/>
            <w:noWrap/>
            <w:hideMark/>
          </w:tcPr>
          <w:p w14:paraId="7FA4907D" w14:textId="77777777" w:rsidR="007B434D" w:rsidRPr="000973F2" w:rsidRDefault="007B434D" w:rsidP="00F64728">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$0</w:t>
            </w:r>
          </w:p>
        </w:tc>
        <w:tc>
          <w:tcPr>
            <w:tcW w:w="1300" w:type="dxa"/>
            <w:noWrap/>
            <w:hideMark/>
          </w:tcPr>
          <w:p w14:paraId="6747FC67" w14:textId="77777777" w:rsidR="007B434D" w:rsidRPr="000973F2" w:rsidRDefault="007B434D" w:rsidP="00F64728">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$50</w:t>
            </w:r>
          </w:p>
        </w:tc>
        <w:tc>
          <w:tcPr>
            <w:tcW w:w="1236" w:type="dxa"/>
            <w:noWrap/>
            <w:hideMark/>
          </w:tcPr>
          <w:p w14:paraId="4FAAE90A" w14:textId="77777777" w:rsidR="007B434D" w:rsidRPr="000973F2" w:rsidRDefault="007B434D" w:rsidP="00F64728">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$0</w:t>
            </w:r>
          </w:p>
        </w:tc>
        <w:tc>
          <w:tcPr>
            <w:tcW w:w="1269" w:type="dxa"/>
            <w:noWrap/>
            <w:hideMark/>
          </w:tcPr>
          <w:p w14:paraId="6ABAF481" w14:textId="77777777" w:rsidR="007B434D" w:rsidRPr="000973F2" w:rsidRDefault="007B434D" w:rsidP="00F64728">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$50</w:t>
            </w:r>
          </w:p>
        </w:tc>
      </w:tr>
    </w:tbl>
    <w:p w14:paraId="1F37AB6C" w14:textId="77777777" w:rsidR="007B434D" w:rsidRPr="000973F2" w:rsidRDefault="007B434D" w:rsidP="00C00E4F">
      <w:pPr>
        <w:spacing w:line="240" w:lineRule="auto"/>
        <w:rPr>
          <w:rFonts w:ascii="Times New Roman" w:hAnsi="Times New Roman" w:cs="Times New Roman"/>
          <w:i/>
          <w:iCs/>
        </w:rPr>
      </w:pPr>
    </w:p>
    <w:p w14:paraId="35B810FF" w14:textId="77777777" w:rsidR="007B434D" w:rsidRPr="000973F2" w:rsidRDefault="007B434D" w:rsidP="00C00E4F">
      <w:pPr>
        <w:spacing w:line="240" w:lineRule="auto"/>
        <w:rPr>
          <w:rFonts w:ascii="Times New Roman" w:hAnsi="Times New Roman" w:cs="Times New Roman"/>
          <w:i/>
          <w:iCs/>
        </w:rPr>
      </w:pPr>
      <w:r w:rsidRPr="000973F2">
        <w:rPr>
          <w:rFonts w:ascii="Times New Roman" w:hAnsi="Times New Roman" w:cs="Times New Roman"/>
          <w:i/>
          <w:iCs/>
        </w:rPr>
        <w:br w:type="page"/>
      </w:r>
    </w:p>
    <w:p w14:paraId="7170DA67" w14:textId="4ADFEC25" w:rsidR="007B434D" w:rsidRPr="000973F2" w:rsidRDefault="007B434D" w:rsidP="0061585D">
      <w:pPr>
        <w:pStyle w:val="Heading2"/>
      </w:pPr>
      <w:r w:rsidRPr="000973F2">
        <w:t>Labor Costs for Subpart CC</w:t>
      </w:r>
      <w:r w:rsidR="00F86A36" w:rsidRPr="000973F2">
        <w:t xml:space="preserve"> – </w:t>
      </w:r>
      <w:r w:rsidRPr="000973F2">
        <w:t>Site</w:t>
      </w:r>
      <w:r w:rsidR="00051F9B">
        <w:t>-</w:t>
      </w:r>
      <w:r w:rsidRPr="000973F2">
        <w:t>Specific Emission Factor Method</w:t>
      </w:r>
    </w:p>
    <w:p w14:paraId="1177A479" w14:textId="7DB2DC4F" w:rsidR="007B434D" w:rsidRPr="000973F2" w:rsidRDefault="007B434D" w:rsidP="00F86A36">
      <w:pPr>
        <w:pStyle w:val="BodyText"/>
      </w:pPr>
      <w:r w:rsidRPr="000973F2">
        <w:t>Facilities using the site-specific emission factor methodology must manually perform the CO</w:t>
      </w:r>
      <w:r w:rsidRPr="000973F2">
        <w:rPr>
          <w:vertAlign w:val="subscript"/>
        </w:rPr>
        <w:t>2</w:t>
      </w:r>
      <w:r w:rsidRPr="000973F2">
        <w:t xml:space="preserve"> calculations specified in §98.293(b)(3); therefore, some labor costs are expected for performing and reviewing the calculation, as shown in Table </w:t>
      </w:r>
      <w:r w:rsidR="00F86A36" w:rsidRPr="000973F2">
        <w:t>CC-</w:t>
      </w:r>
      <w:r w:rsidRPr="000973F2">
        <w:t xml:space="preserve">1c. Because one facility is using both the soda ash output method and the site-specific emission factor method, the recordkeeping and reporting labor costs for this one facility are already included in Table </w:t>
      </w:r>
      <w:r w:rsidR="00F86A36" w:rsidRPr="000973F2">
        <w:t>CC-</w:t>
      </w:r>
      <w:r w:rsidRPr="000973F2">
        <w:t xml:space="preserve">1b. Therefore, the recordkeeping and reporting labor costs are zero in Table </w:t>
      </w:r>
      <w:r w:rsidR="00F86A36" w:rsidRPr="000973F2">
        <w:t>CC-</w:t>
      </w:r>
      <w:r w:rsidRPr="000973F2">
        <w:t>1c to avoid double counting.</w:t>
      </w:r>
    </w:p>
    <w:p w14:paraId="1CB0498E" w14:textId="0AAAF69E" w:rsidR="00B519EC" w:rsidRPr="000973F2" w:rsidRDefault="00B519EC" w:rsidP="00F86A36">
      <w:pPr>
        <w:pStyle w:val="Tabletitle"/>
      </w:pPr>
      <w:r w:rsidRPr="000973F2">
        <w:t xml:space="preserve">Table </w:t>
      </w:r>
      <w:r w:rsidR="00F86A36" w:rsidRPr="000973F2">
        <w:t>CC-</w:t>
      </w:r>
      <w:r w:rsidRPr="000973F2">
        <w:t xml:space="preserve">1c. Labor Costs </w:t>
      </w:r>
      <w:r w:rsidR="00B960CC" w:rsidRPr="000973F2">
        <w:t>–</w:t>
      </w:r>
      <w:r w:rsidRPr="000973F2">
        <w:t xml:space="preserve"> Subpart CC</w:t>
      </w:r>
      <w:r w:rsidR="00E06B5E" w:rsidRPr="000973F2">
        <w:t xml:space="preserve"> </w:t>
      </w:r>
      <w:r w:rsidRPr="000973F2">
        <w:t>– Site-specific emission factor method</w:t>
      </w:r>
    </w:p>
    <w:tbl>
      <w:tblPr>
        <w:tblStyle w:val="PlainTable1"/>
        <w:tblW w:w="5000" w:type="pct"/>
        <w:jc w:val="left"/>
        <w:tblLayout w:type="fixed"/>
        <w:tblCellMar>
          <w:left w:w="115" w:type="dxa"/>
          <w:right w:w="115" w:type="dxa"/>
        </w:tblCellMar>
        <w:tblLook w:val="04A0" w:firstRow="1" w:lastRow="0" w:firstColumn="1" w:lastColumn="0" w:noHBand="0" w:noVBand="1"/>
      </w:tblPr>
      <w:tblGrid>
        <w:gridCol w:w="1367"/>
        <w:gridCol w:w="726"/>
        <w:gridCol w:w="849"/>
        <w:gridCol w:w="730"/>
        <w:gridCol w:w="939"/>
        <w:gridCol w:w="715"/>
        <w:gridCol w:w="952"/>
        <w:gridCol w:w="741"/>
        <w:gridCol w:w="927"/>
        <w:gridCol w:w="741"/>
        <w:gridCol w:w="903"/>
      </w:tblGrid>
      <w:tr w:rsidR="00B519EC" w:rsidRPr="000973F2" w14:paraId="698C0827" w14:textId="77777777" w:rsidTr="00F86A36">
        <w:trPr>
          <w:cnfStyle w:val="100000000000" w:firstRow="1" w:lastRow="0" w:firstColumn="0" w:lastColumn="0" w:oddVBand="0" w:evenVBand="0" w:oddHBand="0" w:evenHBand="0" w:firstRowFirstColumn="0" w:firstRowLastColumn="0" w:lastRowFirstColumn="0" w:lastRowLastColumn="0"/>
          <w:cantSplit/>
          <w:jc w:val="left"/>
        </w:trPr>
        <w:tc>
          <w:tcPr>
            <w:cnfStyle w:val="001000000000" w:firstRow="0" w:lastRow="0" w:firstColumn="1" w:lastColumn="0" w:oddVBand="0" w:evenVBand="0" w:oddHBand="0" w:evenHBand="0" w:firstRowFirstColumn="0" w:firstRowLastColumn="0" w:lastRowFirstColumn="0" w:lastRowLastColumn="0"/>
            <w:tcW w:w="0" w:type="dxa"/>
            <w:vMerge w:val="restart"/>
            <w:noWrap/>
            <w:vAlign w:val="top"/>
            <w:hideMark/>
          </w:tcPr>
          <w:p w14:paraId="32029C3C" w14:textId="77777777" w:rsidR="00B519EC" w:rsidRPr="000973F2" w:rsidRDefault="00B519EC" w:rsidP="00F86A36">
            <w:pPr>
              <w:spacing w:before="40" w:after="40"/>
              <w:rPr>
                <w:rFonts w:ascii="Times New Roman" w:eastAsia="Times New Roman" w:hAnsi="Times New Roman" w:cs="Times New Roman"/>
                <w:b w:val="0"/>
                <w:bCs w:val="0"/>
                <w:sz w:val="18"/>
                <w:szCs w:val="18"/>
              </w:rPr>
            </w:pPr>
            <w:r w:rsidRPr="000973F2">
              <w:rPr>
                <w:rFonts w:ascii="Times New Roman" w:eastAsia="Times New Roman" w:hAnsi="Times New Roman" w:cs="Times New Roman"/>
                <w:sz w:val="18"/>
                <w:szCs w:val="18"/>
              </w:rPr>
              <w:t>Activity</w:t>
            </w:r>
          </w:p>
        </w:tc>
        <w:tc>
          <w:tcPr>
            <w:tcW w:w="0" w:type="dxa"/>
            <w:gridSpan w:val="8"/>
            <w:noWrap/>
            <w:vAlign w:val="top"/>
            <w:hideMark/>
          </w:tcPr>
          <w:p w14:paraId="293086DC" w14:textId="77777777" w:rsidR="00B519EC" w:rsidRPr="000973F2" w:rsidRDefault="00B519EC" w:rsidP="00F86A36">
            <w:pPr>
              <w:spacing w:before="40" w:after="40"/>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bCs w:val="0"/>
                <w:sz w:val="18"/>
                <w:szCs w:val="18"/>
              </w:rPr>
            </w:pPr>
            <w:r w:rsidRPr="000973F2">
              <w:rPr>
                <w:rFonts w:ascii="Times New Roman" w:eastAsia="Times New Roman" w:hAnsi="Times New Roman" w:cs="Times New Roman"/>
                <w:sz w:val="18"/>
                <w:szCs w:val="18"/>
              </w:rPr>
              <w:t>Labor Rates (per hour)</w:t>
            </w:r>
          </w:p>
        </w:tc>
        <w:tc>
          <w:tcPr>
            <w:tcW w:w="0" w:type="dxa"/>
            <w:gridSpan w:val="2"/>
            <w:vMerge w:val="restart"/>
            <w:vAlign w:val="top"/>
            <w:hideMark/>
          </w:tcPr>
          <w:p w14:paraId="45B27053" w14:textId="77777777" w:rsidR="00B519EC" w:rsidRPr="000973F2" w:rsidRDefault="00B519EC" w:rsidP="00F86A36">
            <w:pPr>
              <w:spacing w:before="40" w:after="40"/>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bCs w:val="0"/>
                <w:sz w:val="18"/>
                <w:szCs w:val="18"/>
              </w:rPr>
            </w:pPr>
            <w:r w:rsidRPr="000973F2">
              <w:rPr>
                <w:rFonts w:ascii="Times New Roman" w:eastAsia="Times New Roman" w:hAnsi="Times New Roman" w:cs="Times New Roman"/>
                <w:sz w:val="18"/>
                <w:szCs w:val="18"/>
              </w:rPr>
              <w:t>Total Labor Cost per Year per Facility (2017$)</w:t>
            </w:r>
          </w:p>
        </w:tc>
      </w:tr>
      <w:tr w:rsidR="00B519EC" w:rsidRPr="000973F2" w14:paraId="1885CC54" w14:textId="77777777" w:rsidTr="00F86A36">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0" w:type="dxa"/>
            <w:vMerge/>
            <w:hideMark/>
          </w:tcPr>
          <w:p w14:paraId="3C219E81" w14:textId="77777777" w:rsidR="00B519EC" w:rsidRPr="000973F2" w:rsidRDefault="00B519EC" w:rsidP="00F86A36">
            <w:pPr>
              <w:spacing w:before="40" w:after="40"/>
              <w:rPr>
                <w:rFonts w:ascii="Times New Roman" w:eastAsia="Times New Roman" w:hAnsi="Times New Roman" w:cs="Times New Roman"/>
                <w:b/>
                <w:bCs w:val="0"/>
                <w:sz w:val="18"/>
                <w:szCs w:val="18"/>
              </w:rPr>
            </w:pPr>
          </w:p>
        </w:tc>
        <w:tc>
          <w:tcPr>
            <w:tcW w:w="0" w:type="dxa"/>
            <w:gridSpan w:val="2"/>
            <w:noWrap/>
            <w:hideMark/>
          </w:tcPr>
          <w:p w14:paraId="70CA88A3" w14:textId="77777777" w:rsidR="00B519EC" w:rsidRPr="000973F2" w:rsidRDefault="00B519EC" w:rsidP="00F86A36">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18"/>
                <w:szCs w:val="18"/>
              </w:rPr>
            </w:pPr>
            <w:r w:rsidRPr="000973F2">
              <w:rPr>
                <w:rFonts w:ascii="Times New Roman" w:eastAsia="Times New Roman" w:hAnsi="Times New Roman" w:cs="Times New Roman"/>
                <w:b/>
                <w:bCs/>
                <w:sz w:val="18"/>
                <w:szCs w:val="18"/>
              </w:rPr>
              <w:t>Lawyer</w:t>
            </w:r>
          </w:p>
        </w:tc>
        <w:tc>
          <w:tcPr>
            <w:tcW w:w="0" w:type="dxa"/>
            <w:gridSpan w:val="2"/>
            <w:noWrap/>
            <w:hideMark/>
          </w:tcPr>
          <w:p w14:paraId="24E8C3E3" w14:textId="77777777" w:rsidR="00B519EC" w:rsidRPr="000973F2" w:rsidRDefault="00B519EC" w:rsidP="00F86A36">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18"/>
                <w:szCs w:val="18"/>
              </w:rPr>
            </w:pPr>
            <w:r w:rsidRPr="000973F2">
              <w:rPr>
                <w:rFonts w:ascii="Times New Roman" w:eastAsia="Times New Roman" w:hAnsi="Times New Roman" w:cs="Times New Roman"/>
                <w:b/>
                <w:bCs/>
                <w:sz w:val="18"/>
                <w:szCs w:val="18"/>
              </w:rPr>
              <w:t>Industrial Manager</w:t>
            </w:r>
          </w:p>
        </w:tc>
        <w:tc>
          <w:tcPr>
            <w:tcW w:w="0" w:type="dxa"/>
            <w:gridSpan w:val="2"/>
            <w:hideMark/>
          </w:tcPr>
          <w:p w14:paraId="3BAF3257" w14:textId="412E079E" w:rsidR="00B519EC" w:rsidRPr="000973F2" w:rsidRDefault="00B519EC" w:rsidP="00F86A36">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18"/>
                <w:szCs w:val="18"/>
              </w:rPr>
            </w:pPr>
            <w:r w:rsidRPr="000973F2">
              <w:rPr>
                <w:rFonts w:ascii="Times New Roman" w:eastAsia="Times New Roman" w:hAnsi="Times New Roman" w:cs="Times New Roman"/>
                <w:b/>
                <w:bCs/>
                <w:sz w:val="18"/>
                <w:szCs w:val="18"/>
              </w:rPr>
              <w:t>Industrial Engineer/</w:t>
            </w:r>
            <w:r w:rsidR="00F86A36" w:rsidRPr="000973F2">
              <w:rPr>
                <w:rFonts w:ascii="Times New Roman" w:eastAsia="Times New Roman" w:hAnsi="Times New Roman" w:cs="Times New Roman"/>
                <w:b/>
                <w:bCs/>
                <w:sz w:val="18"/>
                <w:szCs w:val="18"/>
              </w:rPr>
              <w:t xml:space="preserve"> </w:t>
            </w:r>
            <w:r w:rsidRPr="000973F2">
              <w:rPr>
                <w:rFonts w:ascii="Times New Roman" w:eastAsia="Times New Roman" w:hAnsi="Times New Roman" w:cs="Times New Roman"/>
                <w:b/>
                <w:bCs/>
                <w:sz w:val="18"/>
                <w:szCs w:val="18"/>
              </w:rPr>
              <w:t>Technician</w:t>
            </w:r>
          </w:p>
        </w:tc>
        <w:tc>
          <w:tcPr>
            <w:tcW w:w="0" w:type="dxa"/>
            <w:gridSpan w:val="2"/>
            <w:hideMark/>
          </w:tcPr>
          <w:p w14:paraId="4B2B1922" w14:textId="77777777" w:rsidR="00B519EC" w:rsidRPr="000973F2" w:rsidRDefault="00B519EC" w:rsidP="00F86A36">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18"/>
                <w:szCs w:val="18"/>
              </w:rPr>
            </w:pPr>
            <w:r w:rsidRPr="000973F2">
              <w:rPr>
                <w:rFonts w:ascii="Times New Roman" w:eastAsia="Times New Roman" w:hAnsi="Times New Roman" w:cs="Times New Roman"/>
                <w:b/>
                <w:bCs/>
                <w:sz w:val="18"/>
                <w:szCs w:val="18"/>
              </w:rPr>
              <w:t>Administrative Support</w:t>
            </w:r>
          </w:p>
        </w:tc>
        <w:tc>
          <w:tcPr>
            <w:tcW w:w="0" w:type="dxa"/>
            <w:gridSpan w:val="2"/>
            <w:vMerge/>
            <w:hideMark/>
          </w:tcPr>
          <w:p w14:paraId="4F700BE9" w14:textId="77777777" w:rsidR="00B519EC" w:rsidRPr="000973F2" w:rsidRDefault="00B519EC" w:rsidP="00F86A36">
            <w:pPr>
              <w:spacing w:before="40" w:after="4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18"/>
                <w:szCs w:val="18"/>
              </w:rPr>
            </w:pPr>
          </w:p>
        </w:tc>
      </w:tr>
      <w:tr w:rsidR="00B519EC" w:rsidRPr="000973F2" w14:paraId="5E0ECFE8" w14:textId="77777777" w:rsidTr="00F86A36">
        <w:trPr>
          <w:cantSplit/>
        </w:trPr>
        <w:tc>
          <w:tcPr>
            <w:cnfStyle w:val="001000000000" w:firstRow="0" w:lastRow="0" w:firstColumn="1" w:lastColumn="0" w:oddVBand="0" w:evenVBand="0" w:oddHBand="0" w:evenHBand="0" w:firstRowFirstColumn="0" w:firstRowLastColumn="0" w:lastRowFirstColumn="0" w:lastRowLastColumn="0"/>
            <w:tcW w:w="0" w:type="dxa"/>
            <w:vMerge/>
            <w:hideMark/>
          </w:tcPr>
          <w:p w14:paraId="5FFC6E75" w14:textId="77777777" w:rsidR="00B519EC" w:rsidRPr="000973F2" w:rsidRDefault="00B519EC" w:rsidP="00F86A36">
            <w:pPr>
              <w:spacing w:before="40" w:after="40"/>
              <w:rPr>
                <w:rFonts w:ascii="Times New Roman" w:eastAsia="Times New Roman" w:hAnsi="Times New Roman" w:cs="Times New Roman"/>
                <w:b/>
                <w:bCs w:val="0"/>
                <w:sz w:val="18"/>
                <w:szCs w:val="18"/>
              </w:rPr>
            </w:pPr>
          </w:p>
        </w:tc>
        <w:tc>
          <w:tcPr>
            <w:tcW w:w="0" w:type="dxa"/>
            <w:gridSpan w:val="2"/>
            <w:noWrap/>
            <w:hideMark/>
          </w:tcPr>
          <w:p w14:paraId="72266454" w14:textId="77777777" w:rsidR="00B519EC" w:rsidRPr="000973F2" w:rsidRDefault="00B519EC" w:rsidP="00F86A36">
            <w:pPr>
              <w:spacing w:before="40" w:after="4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sz w:val="18"/>
                <w:szCs w:val="18"/>
              </w:rPr>
            </w:pPr>
            <w:r w:rsidRPr="000973F2">
              <w:rPr>
                <w:rFonts w:ascii="Times New Roman" w:eastAsia="Times New Roman" w:hAnsi="Times New Roman" w:cs="Times New Roman"/>
                <w:b/>
                <w:bCs/>
                <w:sz w:val="18"/>
                <w:szCs w:val="18"/>
              </w:rPr>
              <w:t xml:space="preserve">$112.23 </w:t>
            </w:r>
          </w:p>
        </w:tc>
        <w:tc>
          <w:tcPr>
            <w:tcW w:w="0" w:type="dxa"/>
            <w:gridSpan w:val="2"/>
            <w:noWrap/>
            <w:hideMark/>
          </w:tcPr>
          <w:p w14:paraId="45E3E4F3" w14:textId="77777777" w:rsidR="00B519EC" w:rsidRPr="000973F2" w:rsidRDefault="00B519EC" w:rsidP="00F86A36">
            <w:pPr>
              <w:spacing w:before="40" w:after="4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sz w:val="18"/>
                <w:szCs w:val="18"/>
              </w:rPr>
            </w:pPr>
            <w:r w:rsidRPr="000973F2">
              <w:rPr>
                <w:rFonts w:ascii="Times New Roman" w:eastAsia="Times New Roman" w:hAnsi="Times New Roman" w:cs="Times New Roman"/>
                <w:b/>
                <w:bCs/>
                <w:sz w:val="18"/>
                <w:szCs w:val="18"/>
              </w:rPr>
              <w:t xml:space="preserve">$87.45 </w:t>
            </w:r>
          </w:p>
        </w:tc>
        <w:tc>
          <w:tcPr>
            <w:tcW w:w="0" w:type="dxa"/>
            <w:gridSpan w:val="2"/>
            <w:noWrap/>
            <w:hideMark/>
          </w:tcPr>
          <w:p w14:paraId="52D3109F" w14:textId="77777777" w:rsidR="00B519EC" w:rsidRPr="000973F2" w:rsidRDefault="00B519EC" w:rsidP="00F86A36">
            <w:pPr>
              <w:spacing w:before="40" w:after="4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sz w:val="18"/>
                <w:szCs w:val="18"/>
              </w:rPr>
            </w:pPr>
            <w:r w:rsidRPr="000973F2">
              <w:rPr>
                <w:rFonts w:ascii="Times New Roman" w:eastAsia="Times New Roman" w:hAnsi="Times New Roman" w:cs="Times New Roman"/>
                <w:b/>
                <w:bCs/>
                <w:sz w:val="18"/>
                <w:szCs w:val="18"/>
              </w:rPr>
              <w:t xml:space="preserve">$71.45 </w:t>
            </w:r>
          </w:p>
        </w:tc>
        <w:tc>
          <w:tcPr>
            <w:tcW w:w="0" w:type="dxa"/>
            <w:gridSpan w:val="2"/>
            <w:noWrap/>
            <w:hideMark/>
          </w:tcPr>
          <w:p w14:paraId="06319582" w14:textId="77777777" w:rsidR="00B519EC" w:rsidRPr="000973F2" w:rsidRDefault="00B519EC" w:rsidP="00F86A36">
            <w:pPr>
              <w:spacing w:before="40" w:after="4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sz w:val="18"/>
                <w:szCs w:val="18"/>
              </w:rPr>
            </w:pPr>
            <w:r w:rsidRPr="000973F2">
              <w:rPr>
                <w:rFonts w:ascii="Times New Roman" w:eastAsia="Times New Roman" w:hAnsi="Times New Roman" w:cs="Times New Roman"/>
                <w:b/>
                <w:bCs/>
                <w:sz w:val="18"/>
                <w:szCs w:val="18"/>
              </w:rPr>
              <w:t xml:space="preserve">$36.28 </w:t>
            </w:r>
          </w:p>
        </w:tc>
        <w:tc>
          <w:tcPr>
            <w:tcW w:w="0" w:type="dxa"/>
            <w:gridSpan w:val="2"/>
            <w:vMerge/>
            <w:hideMark/>
          </w:tcPr>
          <w:p w14:paraId="3741455D" w14:textId="77777777" w:rsidR="00B519EC" w:rsidRPr="000973F2" w:rsidRDefault="00B519EC" w:rsidP="00F86A36">
            <w:pPr>
              <w:spacing w:before="40" w:after="4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sz w:val="18"/>
                <w:szCs w:val="18"/>
              </w:rPr>
            </w:pPr>
          </w:p>
        </w:tc>
      </w:tr>
      <w:tr w:rsidR="00B519EC" w:rsidRPr="000973F2" w14:paraId="4C971690" w14:textId="77777777" w:rsidTr="00F86A36">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0" w:type="dxa"/>
            <w:vMerge/>
            <w:hideMark/>
          </w:tcPr>
          <w:p w14:paraId="794AF04A" w14:textId="77777777" w:rsidR="00B519EC" w:rsidRPr="000973F2" w:rsidRDefault="00B519EC" w:rsidP="00F86A36">
            <w:pPr>
              <w:spacing w:before="40" w:after="40"/>
              <w:rPr>
                <w:rFonts w:ascii="Times New Roman" w:eastAsia="Times New Roman" w:hAnsi="Times New Roman" w:cs="Times New Roman"/>
                <w:b/>
                <w:bCs w:val="0"/>
                <w:sz w:val="18"/>
                <w:szCs w:val="18"/>
              </w:rPr>
            </w:pPr>
          </w:p>
        </w:tc>
        <w:tc>
          <w:tcPr>
            <w:tcW w:w="0" w:type="dxa"/>
            <w:tcMar>
              <w:left w:w="14" w:type="dxa"/>
              <w:right w:w="14" w:type="dxa"/>
            </w:tcMar>
            <w:hideMark/>
          </w:tcPr>
          <w:p w14:paraId="2183B3E2" w14:textId="1FC1E3AB" w:rsidR="00B519EC" w:rsidRPr="000973F2" w:rsidRDefault="00B519EC" w:rsidP="00F86A36">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18"/>
                <w:szCs w:val="18"/>
              </w:rPr>
            </w:pPr>
            <w:r w:rsidRPr="000973F2">
              <w:rPr>
                <w:rFonts w:ascii="Times New Roman" w:eastAsia="Times New Roman" w:hAnsi="Times New Roman" w:cs="Times New Roman"/>
                <w:b/>
                <w:bCs/>
                <w:sz w:val="18"/>
                <w:szCs w:val="18"/>
              </w:rPr>
              <w:t xml:space="preserve">Initial </w:t>
            </w:r>
            <w:r w:rsidR="00132320" w:rsidRPr="000973F2">
              <w:rPr>
                <w:rFonts w:ascii="Times New Roman" w:eastAsia="Times New Roman" w:hAnsi="Times New Roman" w:cs="Times New Roman"/>
                <w:b/>
                <w:bCs/>
                <w:sz w:val="18"/>
                <w:szCs w:val="18"/>
              </w:rPr>
              <w:t>Year Hours</w:t>
            </w:r>
          </w:p>
        </w:tc>
        <w:tc>
          <w:tcPr>
            <w:tcW w:w="0" w:type="dxa"/>
            <w:tcMar>
              <w:left w:w="14" w:type="dxa"/>
              <w:right w:w="14" w:type="dxa"/>
            </w:tcMar>
            <w:hideMark/>
          </w:tcPr>
          <w:p w14:paraId="54989D4C" w14:textId="77777777" w:rsidR="00B519EC" w:rsidRPr="000973F2" w:rsidRDefault="00B519EC" w:rsidP="00F86A36">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18"/>
                <w:szCs w:val="18"/>
              </w:rPr>
            </w:pPr>
            <w:r w:rsidRPr="000973F2">
              <w:rPr>
                <w:rFonts w:ascii="Times New Roman" w:eastAsia="Times New Roman" w:hAnsi="Times New Roman" w:cs="Times New Roman"/>
                <w:b/>
                <w:bCs/>
                <w:sz w:val="18"/>
                <w:szCs w:val="18"/>
              </w:rPr>
              <w:t>Subseq. Year Hours</w:t>
            </w:r>
          </w:p>
        </w:tc>
        <w:tc>
          <w:tcPr>
            <w:tcW w:w="0" w:type="dxa"/>
            <w:tcMar>
              <w:left w:w="14" w:type="dxa"/>
              <w:right w:w="14" w:type="dxa"/>
            </w:tcMar>
            <w:hideMark/>
          </w:tcPr>
          <w:p w14:paraId="4809AC30" w14:textId="1BDA82BC" w:rsidR="00B519EC" w:rsidRPr="000973F2" w:rsidRDefault="00B519EC" w:rsidP="00F86A36">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18"/>
                <w:szCs w:val="18"/>
              </w:rPr>
            </w:pPr>
            <w:r w:rsidRPr="000973F2">
              <w:rPr>
                <w:rFonts w:ascii="Times New Roman" w:eastAsia="Times New Roman" w:hAnsi="Times New Roman" w:cs="Times New Roman"/>
                <w:b/>
                <w:bCs/>
                <w:sz w:val="18"/>
                <w:szCs w:val="18"/>
              </w:rPr>
              <w:t xml:space="preserve">Initial </w:t>
            </w:r>
            <w:r w:rsidR="00132320" w:rsidRPr="000973F2">
              <w:rPr>
                <w:rFonts w:ascii="Times New Roman" w:eastAsia="Times New Roman" w:hAnsi="Times New Roman" w:cs="Times New Roman"/>
                <w:b/>
                <w:bCs/>
                <w:sz w:val="18"/>
                <w:szCs w:val="18"/>
              </w:rPr>
              <w:t>Year Hours</w:t>
            </w:r>
          </w:p>
        </w:tc>
        <w:tc>
          <w:tcPr>
            <w:tcW w:w="0" w:type="dxa"/>
            <w:tcMar>
              <w:left w:w="14" w:type="dxa"/>
              <w:right w:w="14" w:type="dxa"/>
            </w:tcMar>
            <w:hideMark/>
          </w:tcPr>
          <w:p w14:paraId="361F9344" w14:textId="77777777" w:rsidR="00B519EC" w:rsidRPr="000973F2" w:rsidRDefault="00B519EC" w:rsidP="00F86A36">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18"/>
                <w:szCs w:val="18"/>
              </w:rPr>
            </w:pPr>
            <w:r w:rsidRPr="000973F2">
              <w:rPr>
                <w:rFonts w:ascii="Times New Roman" w:eastAsia="Times New Roman" w:hAnsi="Times New Roman" w:cs="Times New Roman"/>
                <w:b/>
                <w:bCs/>
                <w:sz w:val="18"/>
                <w:szCs w:val="18"/>
              </w:rPr>
              <w:t>Subseq. Year Hours</w:t>
            </w:r>
          </w:p>
        </w:tc>
        <w:tc>
          <w:tcPr>
            <w:tcW w:w="0" w:type="dxa"/>
            <w:tcMar>
              <w:left w:w="14" w:type="dxa"/>
              <w:right w:w="14" w:type="dxa"/>
            </w:tcMar>
            <w:hideMark/>
          </w:tcPr>
          <w:p w14:paraId="58705D20" w14:textId="3C56682F" w:rsidR="00B519EC" w:rsidRPr="000973F2" w:rsidRDefault="00B519EC" w:rsidP="00F86A36">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18"/>
                <w:szCs w:val="18"/>
              </w:rPr>
            </w:pPr>
            <w:r w:rsidRPr="000973F2">
              <w:rPr>
                <w:rFonts w:ascii="Times New Roman" w:eastAsia="Times New Roman" w:hAnsi="Times New Roman" w:cs="Times New Roman"/>
                <w:b/>
                <w:bCs/>
                <w:sz w:val="18"/>
                <w:szCs w:val="18"/>
              </w:rPr>
              <w:t xml:space="preserve">Initial </w:t>
            </w:r>
            <w:r w:rsidR="00132320" w:rsidRPr="000973F2">
              <w:rPr>
                <w:rFonts w:ascii="Times New Roman" w:eastAsia="Times New Roman" w:hAnsi="Times New Roman" w:cs="Times New Roman"/>
                <w:b/>
                <w:bCs/>
                <w:sz w:val="18"/>
                <w:szCs w:val="18"/>
              </w:rPr>
              <w:t>Year Hours</w:t>
            </w:r>
          </w:p>
        </w:tc>
        <w:tc>
          <w:tcPr>
            <w:tcW w:w="0" w:type="dxa"/>
            <w:tcMar>
              <w:left w:w="14" w:type="dxa"/>
              <w:right w:w="14" w:type="dxa"/>
            </w:tcMar>
            <w:hideMark/>
          </w:tcPr>
          <w:p w14:paraId="69B17881" w14:textId="77777777" w:rsidR="00B519EC" w:rsidRPr="000973F2" w:rsidRDefault="00B519EC" w:rsidP="00F86A36">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18"/>
                <w:szCs w:val="18"/>
              </w:rPr>
            </w:pPr>
            <w:r w:rsidRPr="000973F2">
              <w:rPr>
                <w:rFonts w:ascii="Times New Roman" w:eastAsia="Times New Roman" w:hAnsi="Times New Roman" w:cs="Times New Roman"/>
                <w:b/>
                <w:bCs/>
                <w:sz w:val="18"/>
                <w:szCs w:val="18"/>
              </w:rPr>
              <w:t>Subseq. Year Hours</w:t>
            </w:r>
          </w:p>
        </w:tc>
        <w:tc>
          <w:tcPr>
            <w:tcW w:w="0" w:type="dxa"/>
            <w:tcMar>
              <w:left w:w="14" w:type="dxa"/>
              <w:right w:w="14" w:type="dxa"/>
            </w:tcMar>
            <w:hideMark/>
          </w:tcPr>
          <w:p w14:paraId="475690A8" w14:textId="26772EFA" w:rsidR="00B519EC" w:rsidRPr="000973F2" w:rsidRDefault="00B519EC" w:rsidP="00F86A36">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18"/>
                <w:szCs w:val="18"/>
              </w:rPr>
            </w:pPr>
            <w:r w:rsidRPr="000973F2">
              <w:rPr>
                <w:rFonts w:ascii="Times New Roman" w:eastAsia="Times New Roman" w:hAnsi="Times New Roman" w:cs="Times New Roman"/>
                <w:b/>
                <w:bCs/>
                <w:sz w:val="18"/>
                <w:szCs w:val="18"/>
              </w:rPr>
              <w:t xml:space="preserve">Initial </w:t>
            </w:r>
            <w:r w:rsidR="00132320" w:rsidRPr="000973F2">
              <w:rPr>
                <w:rFonts w:ascii="Times New Roman" w:eastAsia="Times New Roman" w:hAnsi="Times New Roman" w:cs="Times New Roman"/>
                <w:b/>
                <w:bCs/>
                <w:sz w:val="18"/>
                <w:szCs w:val="18"/>
              </w:rPr>
              <w:t>Year Hours</w:t>
            </w:r>
          </w:p>
        </w:tc>
        <w:tc>
          <w:tcPr>
            <w:tcW w:w="0" w:type="dxa"/>
            <w:tcMar>
              <w:left w:w="14" w:type="dxa"/>
              <w:right w:w="14" w:type="dxa"/>
            </w:tcMar>
            <w:hideMark/>
          </w:tcPr>
          <w:p w14:paraId="5EF85718" w14:textId="77777777" w:rsidR="00B519EC" w:rsidRPr="000973F2" w:rsidRDefault="00B519EC" w:rsidP="00F86A36">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18"/>
                <w:szCs w:val="18"/>
              </w:rPr>
            </w:pPr>
            <w:r w:rsidRPr="000973F2">
              <w:rPr>
                <w:rFonts w:ascii="Times New Roman" w:eastAsia="Times New Roman" w:hAnsi="Times New Roman" w:cs="Times New Roman"/>
                <w:b/>
                <w:bCs/>
                <w:sz w:val="18"/>
                <w:szCs w:val="18"/>
              </w:rPr>
              <w:t>Subseq. Year Hours</w:t>
            </w:r>
          </w:p>
        </w:tc>
        <w:tc>
          <w:tcPr>
            <w:tcW w:w="0" w:type="dxa"/>
            <w:tcMar>
              <w:left w:w="14" w:type="dxa"/>
              <w:right w:w="14" w:type="dxa"/>
            </w:tcMar>
            <w:hideMark/>
          </w:tcPr>
          <w:p w14:paraId="78321A4B" w14:textId="77777777" w:rsidR="00B519EC" w:rsidRPr="000973F2" w:rsidRDefault="00B519EC" w:rsidP="00F86A36">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18"/>
                <w:szCs w:val="18"/>
              </w:rPr>
            </w:pPr>
            <w:r w:rsidRPr="000973F2">
              <w:rPr>
                <w:rFonts w:ascii="Times New Roman" w:eastAsia="Times New Roman" w:hAnsi="Times New Roman" w:cs="Times New Roman"/>
                <w:b/>
                <w:bCs/>
                <w:sz w:val="18"/>
                <w:szCs w:val="18"/>
              </w:rPr>
              <w:t>Initial Year</w:t>
            </w:r>
          </w:p>
        </w:tc>
        <w:tc>
          <w:tcPr>
            <w:tcW w:w="0" w:type="dxa"/>
            <w:tcMar>
              <w:left w:w="14" w:type="dxa"/>
              <w:right w:w="14" w:type="dxa"/>
            </w:tcMar>
            <w:hideMark/>
          </w:tcPr>
          <w:p w14:paraId="3527A2A3" w14:textId="77777777" w:rsidR="00B519EC" w:rsidRPr="000973F2" w:rsidRDefault="00B519EC" w:rsidP="00F86A36">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18"/>
                <w:szCs w:val="18"/>
              </w:rPr>
            </w:pPr>
            <w:r w:rsidRPr="000973F2">
              <w:rPr>
                <w:rFonts w:ascii="Times New Roman" w:eastAsia="Times New Roman" w:hAnsi="Times New Roman" w:cs="Times New Roman"/>
                <w:b/>
                <w:bCs/>
                <w:sz w:val="18"/>
                <w:szCs w:val="18"/>
              </w:rPr>
              <w:t>Subseq. Year</w:t>
            </w:r>
          </w:p>
        </w:tc>
      </w:tr>
      <w:tr w:rsidR="00B519EC" w:rsidRPr="000973F2" w14:paraId="7020096E" w14:textId="77777777" w:rsidTr="00F86A36">
        <w:trPr>
          <w:cantSplit/>
        </w:trPr>
        <w:tc>
          <w:tcPr>
            <w:cnfStyle w:val="001000000000" w:firstRow="0" w:lastRow="0" w:firstColumn="1" w:lastColumn="0" w:oddVBand="0" w:evenVBand="0" w:oddHBand="0" w:evenHBand="0" w:firstRowFirstColumn="0" w:firstRowLastColumn="0" w:lastRowFirstColumn="0" w:lastRowLastColumn="0"/>
            <w:tcW w:w="0" w:type="dxa"/>
            <w:hideMark/>
          </w:tcPr>
          <w:p w14:paraId="5B4979DD" w14:textId="77777777" w:rsidR="00B519EC" w:rsidRPr="000973F2" w:rsidRDefault="00B519EC" w:rsidP="00F86A36">
            <w:pPr>
              <w:spacing w:before="40" w:after="4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Planning</w:t>
            </w:r>
          </w:p>
        </w:tc>
        <w:tc>
          <w:tcPr>
            <w:tcW w:w="0" w:type="dxa"/>
            <w:noWrap/>
            <w:hideMark/>
          </w:tcPr>
          <w:p w14:paraId="2CD4EE2D" w14:textId="77777777" w:rsidR="00B519EC" w:rsidRPr="000973F2" w:rsidRDefault="00B519EC" w:rsidP="00F86A36">
            <w:pPr>
              <w:spacing w:before="40" w:after="4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0</w:t>
            </w:r>
          </w:p>
        </w:tc>
        <w:tc>
          <w:tcPr>
            <w:tcW w:w="0" w:type="dxa"/>
            <w:noWrap/>
            <w:hideMark/>
          </w:tcPr>
          <w:p w14:paraId="7FC1F47C" w14:textId="77777777" w:rsidR="00B519EC" w:rsidRPr="000973F2" w:rsidRDefault="00B519EC" w:rsidP="00F86A36">
            <w:pPr>
              <w:spacing w:before="40" w:after="4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0</w:t>
            </w:r>
          </w:p>
        </w:tc>
        <w:tc>
          <w:tcPr>
            <w:tcW w:w="0" w:type="dxa"/>
            <w:noWrap/>
            <w:hideMark/>
          </w:tcPr>
          <w:p w14:paraId="4ECD2578" w14:textId="77777777" w:rsidR="00B519EC" w:rsidRPr="000973F2" w:rsidRDefault="00B519EC" w:rsidP="00F86A36">
            <w:pPr>
              <w:spacing w:before="40" w:after="4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0</w:t>
            </w:r>
          </w:p>
        </w:tc>
        <w:tc>
          <w:tcPr>
            <w:tcW w:w="0" w:type="dxa"/>
            <w:noWrap/>
            <w:hideMark/>
          </w:tcPr>
          <w:p w14:paraId="2F234024" w14:textId="77777777" w:rsidR="00B519EC" w:rsidRPr="000973F2" w:rsidRDefault="00B519EC" w:rsidP="00F86A36">
            <w:pPr>
              <w:spacing w:before="40" w:after="4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0</w:t>
            </w:r>
          </w:p>
        </w:tc>
        <w:tc>
          <w:tcPr>
            <w:tcW w:w="0" w:type="dxa"/>
            <w:noWrap/>
            <w:hideMark/>
          </w:tcPr>
          <w:p w14:paraId="76606CDB" w14:textId="77777777" w:rsidR="00B519EC" w:rsidRPr="000973F2" w:rsidRDefault="00B519EC" w:rsidP="00F86A36">
            <w:pPr>
              <w:spacing w:before="40" w:after="4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0</w:t>
            </w:r>
          </w:p>
        </w:tc>
        <w:tc>
          <w:tcPr>
            <w:tcW w:w="0" w:type="dxa"/>
            <w:noWrap/>
            <w:hideMark/>
          </w:tcPr>
          <w:p w14:paraId="6C3D0E35" w14:textId="77777777" w:rsidR="00B519EC" w:rsidRPr="000973F2" w:rsidRDefault="00B519EC" w:rsidP="00F86A36">
            <w:pPr>
              <w:spacing w:before="40" w:after="4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0</w:t>
            </w:r>
          </w:p>
        </w:tc>
        <w:tc>
          <w:tcPr>
            <w:tcW w:w="0" w:type="dxa"/>
            <w:noWrap/>
            <w:hideMark/>
          </w:tcPr>
          <w:p w14:paraId="7D5702CF" w14:textId="77777777" w:rsidR="00B519EC" w:rsidRPr="000973F2" w:rsidRDefault="00B519EC" w:rsidP="00F86A36">
            <w:pPr>
              <w:spacing w:before="40" w:after="4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0</w:t>
            </w:r>
          </w:p>
        </w:tc>
        <w:tc>
          <w:tcPr>
            <w:tcW w:w="0" w:type="dxa"/>
            <w:noWrap/>
            <w:hideMark/>
          </w:tcPr>
          <w:p w14:paraId="0E13AD46" w14:textId="77777777" w:rsidR="00B519EC" w:rsidRPr="000973F2" w:rsidRDefault="00B519EC" w:rsidP="00F86A36">
            <w:pPr>
              <w:spacing w:before="40" w:after="4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0</w:t>
            </w:r>
          </w:p>
        </w:tc>
        <w:tc>
          <w:tcPr>
            <w:tcW w:w="0" w:type="dxa"/>
            <w:noWrap/>
            <w:hideMark/>
          </w:tcPr>
          <w:p w14:paraId="23EB0377" w14:textId="099C9C9A" w:rsidR="00B519EC" w:rsidRPr="000973F2" w:rsidRDefault="00B519EC" w:rsidP="00F86A36">
            <w:pPr>
              <w:spacing w:before="40" w:after="4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$0</w:t>
            </w:r>
          </w:p>
        </w:tc>
        <w:tc>
          <w:tcPr>
            <w:tcW w:w="0" w:type="dxa"/>
            <w:noWrap/>
            <w:hideMark/>
          </w:tcPr>
          <w:p w14:paraId="09F0A614" w14:textId="77777777" w:rsidR="00B519EC" w:rsidRPr="000973F2" w:rsidRDefault="00B519EC" w:rsidP="00F86A36">
            <w:pPr>
              <w:spacing w:before="40" w:after="4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$0</w:t>
            </w:r>
          </w:p>
        </w:tc>
      </w:tr>
      <w:tr w:rsidR="00B519EC" w:rsidRPr="000973F2" w14:paraId="1D747E6D" w14:textId="77777777" w:rsidTr="00F86A36">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0" w:type="dxa"/>
            <w:hideMark/>
          </w:tcPr>
          <w:p w14:paraId="1816BBB2" w14:textId="77777777" w:rsidR="00B519EC" w:rsidRPr="000973F2" w:rsidRDefault="00B519EC" w:rsidP="00F86A36">
            <w:pPr>
              <w:spacing w:before="40" w:after="4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QA/QC</w:t>
            </w:r>
          </w:p>
        </w:tc>
        <w:tc>
          <w:tcPr>
            <w:tcW w:w="0" w:type="dxa"/>
            <w:noWrap/>
            <w:hideMark/>
          </w:tcPr>
          <w:p w14:paraId="3B2B6385" w14:textId="77777777" w:rsidR="00B519EC" w:rsidRPr="000973F2" w:rsidRDefault="00B519EC" w:rsidP="00F86A36">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0</w:t>
            </w:r>
          </w:p>
        </w:tc>
        <w:tc>
          <w:tcPr>
            <w:tcW w:w="0" w:type="dxa"/>
            <w:noWrap/>
            <w:hideMark/>
          </w:tcPr>
          <w:p w14:paraId="0A95C694" w14:textId="77777777" w:rsidR="00B519EC" w:rsidRPr="000973F2" w:rsidRDefault="00B519EC" w:rsidP="00F86A36">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0</w:t>
            </w:r>
          </w:p>
        </w:tc>
        <w:tc>
          <w:tcPr>
            <w:tcW w:w="0" w:type="dxa"/>
            <w:noWrap/>
            <w:hideMark/>
          </w:tcPr>
          <w:p w14:paraId="2EEFC667" w14:textId="77777777" w:rsidR="00B519EC" w:rsidRPr="000973F2" w:rsidRDefault="00B519EC" w:rsidP="00F86A36">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0</w:t>
            </w:r>
          </w:p>
        </w:tc>
        <w:tc>
          <w:tcPr>
            <w:tcW w:w="0" w:type="dxa"/>
            <w:noWrap/>
            <w:hideMark/>
          </w:tcPr>
          <w:p w14:paraId="3F9B1E75" w14:textId="77777777" w:rsidR="00B519EC" w:rsidRPr="000973F2" w:rsidRDefault="00B519EC" w:rsidP="00F86A36">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0</w:t>
            </w:r>
          </w:p>
        </w:tc>
        <w:tc>
          <w:tcPr>
            <w:tcW w:w="0" w:type="dxa"/>
            <w:noWrap/>
            <w:hideMark/>
          </w:tcPr>
          <w:p w14:paraId="3CEC3B75" w14:textId="77777777" w:rsidR="00B519EC" w:rsidRPr="000973F2" w:rsidRDefault="00B519EC" w:rsidP="00F86A36">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0</w:t>
            </w:r>
          </w:p>
        </w:tc>
        <w:tc>
          <w:tcPr>
            <w:tcW w:w="0" w:type="dxa"/>
            <w:noWrap/>
            <w:hideMark/>
          </w:tcPr>
          <w:p w14:paraId="4DB1BFE2" w14:textId="77777777" w:rsidR="00B519EC" w:rsidRPr="000973F2" w:rsidRDefault="00B519EC" w:rsidP="00F86A36">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0</w:t>
            </w:r>
          </w:p>
        </w:tc>
        <w:tc>
          <w:tcPr>
            <w:tcW w:w="0" w:type="dxa"/>
            <w:noWrap/>
            <w:hideMark/>
          </w:tcPr>
          <w:p w14:paraId="371B2CC6" w14:textId="77777777" w:rsidR="00B519EC" w:rsidRPr="000973F2" w:rsidRDefault="00B519EC" w:rsidP="00F86A36">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0</w:t>
            </w:r>
          </w:p>
        </w:tc>
        <w:tc>
          <w:tcPr>
            <w:tcW w:w="0" w:type="dxa"/>
            <w:noWrap/>
            <w:hideMark/>
          </w:tcPr>
          <w:p w14:paraId="28918272" w14:textId="77777777" w:rsidR="00B519EC" w:rsidRPr="000973F2" w:rsidRDefault="00B519EC" w:rsidP="00F86A36">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0</w:t>
            </w:r>
          </w:p>
        </w:tc>
        <w:tc>
          <w:tcPr>
            <w:tcW w:w="0" w:type="dxa"/>
            <w:noWrap/>
            <w:hideMark/>
          </w:tcPr>
          <w:p w14:paraId="71461312" w14:textId="583080D5" w:rsidR="00B519EC" w:rsidRPr="000973F2" w:rsidRDefault="00B519EC" w:rsidP="00F86A36">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$0</w:t>
            </w:r>
          </w:p>
        </w:tc>
        <w:tc>
          <w:tcPr>
            <w:tcW w:w="0" w:type="dxa"/>
            <w:noWrap/>
            <w:hideMark/>
          </w:tcPr>
          <w:p w14:paraId="28569A91" w14:textId="57CB50C1" w:rsidR="00B519EC" w:rsidRPr="000973F2" w:rsidRDefault="00B519EC" w:rsidP="00F86A36">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$0</w:t>
            </w:r>
          </w:p>
        </w:tc>
      </w:tr>
      <w:tr w:rsidR="00B519EC" w:rsidRPr="000973F2" w14:paraId="29BEACE7" w14:textId="77777777" w:rsidTr="00F86A36">
        <w:trPr>
          <w:cantSplit/>
        </w:trPr>
        <w:tc>
          <w:tcPr>
            <w:cnfStyle w:val="001000000000" w:firstRow="0" w:lastRow="0" w:firstColumn="1" w:lastColumn="0" w:oddVBand="0" w:evenVBand="0" w:oddHBand="0" w:evenHBand="0" w:firstRowFirstColumn="0" w:firstRowLastColumn="0" w:lastRowFirstColumn="0" w:lastRowLastColumn="0"/>
            <w:tcW w:w="0" w:type="dxa"/>
            <w:hideMark/>
          </w:tcPr>
          <w:p w14:paraId="1922D598" w14:textId="77777777" w:rsidR="00B519EC" w:rsidRPr="000973F2" w:rsidRDefault="00B519EC" w:rsidP="00F86A36">
            <w:pPr>
              <w:spacing w:before="40" w:after="4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Recordkeeping</w:t>
            </w:r>
          </w:p>
        </w:tc>
        <w:tc>
          <w:tcPr>
            <w:tcW w:w="0" w:type="dxa"/>
            <w:noWrap/>
            <w:hideMark/>
          </w:tcPr>
          <w:p w14:paraId="6868F252" w14:textId="77777777" w:rsidR="00B519EC" w:rsidRPr="000973F2" w:rsidRDefault="00B519EC" w:rsidP="00F86A36">
            <w:pPr>
              <w:spacing w:before="40" w:after="4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0</w:t>
            </w:r>
          </w:p>
        </w:tc>
        <w:tc>
          <w:tcPr>
            <w:tcW w:w="0" w:type="dxa"/>
            <w:noWrap/>
            <w:hideMark/>
          </w:tcPr>
          <w:p w14:paraId="1D252648" w14:textId="77777777" w:rsidR="00B519EC" w:rsidRPr="000973F2" w:rsidRDefault="00B519EC" w:rsidP="00F86A36">
            <w:pPr>
              <w:spacing w:before="40" w:after="4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0</w:t>
            </w:r>
          </w:p>
        </w:tc>
        <w:tc>
          <w:tcPr>
            <w:tcW w:w="0" w:type="dxa"/>
            <w:noWrap/>
            <w:hideMark/>
          </w:tcPr>
          <w:p w14:paraId="353A609D" w14:textId="77777777" w:rsidR="00B519EC" w:rsidRPr="000973F2" w:rsidRDefault="00B519EC" w:rsidP="00F86A36">
            <w:pPr>
              <w:spacing w:before="40" w:after="4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0</w:t>
            </w:r>
          </w:p>
        </w:tc>
        <w:tc>
          <w:tcPr>
            <w:tcW w:w="0" w:type="dxa"/>
            <w:noWrap/>
            <w:hideMark/>
          </w:tcPr>
          <w:p w14:paraId="1B993351" w14:textId="77777777" w:rsidR="00B519EC" w:rsidRPr="000973F2" w:rsidRDefault="00B519EC" w:rsidP="00F86A36">
            <w:pPr>
              <w:spacing w:before="40" w:after="4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0</w:t>
            </w:r>
          </w:p>
        </w:tc>
        <w:tc>
          <w:tcPr>
            <w:tcW w:w="0" w:type="dxa"/>
            <w:noWrap/>
            <w:hideMark/>
          </w:tcPr>
          <w:p w14:paraId="5F525A74" w14:textId="77777777" w:rsidR="00B519EC" w:rsidRPr="000973F2" w:rsidRDefault="00B519EC" w:rsidP="00F86A36">
            <w:pPr>
              <w:spacing w:before="40" w:after="4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0</w:t>
            </w:r>
          </w:p>
        </w:tc>
        <w:tc>
          <w:tcPr>
            <w:tcW w:w="0" w:type="dxa"/>
            <w:noWrap/>
            <w:hideMark/>
          </w:tcPr>
          <w:p w14:paraId="7564FE89" w14:textId="77777777" w:rsidR="00B519EC" w:rsidRPr="000973F2" w:rsidRDefault="00B519EC" w:rsidP="00F86A36">
            <w:pPr>
              <w:spacing w:before="40" w:after="4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0</w:t>
            </w:r>
          </w:p>
        </w:tc>
        <w:tc>
          <w:tcPr>
            <w:tcW w:w="0" w:type="dxa"/>
            <w:noWrap/>
            <w:hideMark/>
          </w:tcPr>
          <w:p w14:paraId="3E85CB46" w14:textId="77777777" w:rsidR="00B519EC" w:rsidRPr="000973F2" w:rsidRDefault="00B519EC" w:rsidP="00F86A36">
            <w:pPr>
              <w:spacing w:before="40" w:after="4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0</w:t>
            </w:r>
          </w:p>
        </w:tc>
        <w:tc>
          <w:tcPr>
            <w:tcW w:w="0" w:type="dxa"/>
            <w:noWrap/>
            <w:hideMark/>
          </w:tcPr>
          <w:p w14:paraId="2DD41FDC" w14:textId="77777777" w:rsidR="00B519EC" w:rsidRPr="000973F2" w:rsidRDefault="00B519EC" w:rsidP="00F86A36">
            <w:pPr>
              <w:spacing w:before="40" w:after="4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0</w:t>
            </w:r>
          </w:p>
        </w:tc>
        <w:tc>
          <w:tcPr>
            <w:tcW w:w="0" w:type="dxa"/>
            <w:noWrap/>
            <w:hideMark/>
          </w:tcPr>
          <w:p w14:paraId="3DD7162F" w14:textId="2DE5F31A" w:rsidR="00B519EC" w:rsidRPr="000973F2" w:rsidRDefault="00B519EC" w:rsidP="00F86A36">
            <w:pPr>
              <w:spacing w:before="40" w:after="4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$0</w:t>
            </w:r>
          </w:p>
        </w:tc>
        <w:tc>
          <w:tcPr>
            <w:tcW w:w="0" w:type="dxa"/>
            <w:noWrap/>
            <w:hideMark/>
          </w:tcPr>
          <w:p w14:paraId="7F7AEC0D" w14:textId="69ABF101" w:rsidR="00B519EC" w:rsidRPr="000973F2" w:rsidRDefault="00B519EC" w:rsidP="00F86A36">
            <w:pPr>
              <w:spacing w:before="40" w:after="4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$0</w:t>
            </w:r>
          </w:p>
        </w:tc>
      </w:tr>
      <w:tr w:rsidR="00B519EC" w:rsidRPr="000973F2" w14:paraId="4E23A289" w14:textId="77777777" w:rsidTr="00F86A36">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0" w:type="dxa"/>
            <w:hideMark/>
          </w:tcPr>
          <w:p w14:paraId="12FBEF44" w14:textId="77777777" w:rsidR="00B519EC" w:rsidRPr="000973F2" w:rsidRDefault="00B519EC" w:rsidP="00F86A36">
            <w:pPr>
              <w:spacing w:before="40" w:after="4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Sampling and Analysis (Calculations)</w:t>
            </w:r>
          </w:p>
        </w:tc>
        <w:tc>
          <w:tcPr>
            <w:tcW w:w="0" w:type="dxa"/>
            <w:noWrap/>
            <w:hideMark/>
          </w:tcPr>
          <w:p w14:paraId="6616B2E8" w14:textId="77777777" w:rsidR="00B519EC" w:rsidRPr="000973F2" w:rsidRDefault="00B519EC" w:rsidP="00F86A36">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0</w:t>
            </w:r>
          </w:p>
        </w:tc>
        <w:tc>
          <w:tcPr>
            <w:tcW w:w="0" w:type="dxa"/>
            <w:noWrap/>
            <w:hideMark/>
          </w:tcPr>
          <w:p w14:paraId="0FDA58C2" w14:textId="77777777" w:rsidR="00B519EC" w:rsidRPr="000973F2" w:rsidRDefault="00B519EC" w:rsidP="00F86A36">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0</w:t>
            </w:r>
          </w:p>
        </w:tc>
        <w:tc>
          <w:tcPr>
            <w:tcW w:w="0" w:type="dxa"/>
            <w:noWrap/>
            <w:hideMark/>
          </w:tcPr>
          <w:p w14:paraId="468BC239" w14:textId="77777777" w:rsidR="00B519EC" w:rsidRPr="000973F2" w:rsidRDefault="00B519EC" w:rsidP="00F86A36">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0</w:t>
            </w:r>
          </w:p>
        </w:tc>
        <w:tc>
          <w:tcPr>
            <w:tcW w:w="0" w:type="dxa"/>
            <w:noWrap/>
            <w:hideMark/>
          </w:tcPr>
          <w:p w14:paraId="7AA6E3F0" w14:textId="77777777" w:rsidR="00B519EC" w:rsidRPr="000973F2" w:rsidRDefault="00B519EC" w:rsidP="00F86A36">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0.5</w:t>
            </w:r>
          </w:p>
        </w:tc>
        <w:tc>
          <w:tcPr>
            <w:tcW w:w="0" w:type="dxa"/>
            <w:noWrap/>
            <w:hideMark/>
          </w:tcPr>
          <w:p w14:paraId="6F836938" w14:textId="77777777" w:rsidR="00B519EC" w:rsidRPr="000973F2" w:rsidRDefault="00B519EC" w:rsidP="00F86A36">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0</w:t>
            </w:r>
          </w:p>
        </w:tc>
        <w:tc>
          <w:tcPr>
            <w:tcW w:w="0" w:type="dxa"/>
            <w:noWrap/>
            <w:hideMark/>
          </w:tcPr>
          <w:p w14:paraId="1F686D13" w14:textId="77777777" w:rsidR="00B519EC" w:rsidRPr="000973F2" w:rsidRDefault="00B519EC" w:rsidP="00F86A36">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0.1</w:t>
            </w:r>
          </w:p>
        </w:tc>
        <w:tc>
          <w:tcPr>
            <w:tcW w:w="0" w:type="dxa"/>
            <w:noWrap/>
            <w:hideMark/>
          </w:tcPr>
          <w:p w14:paraId="042D42C1" w14:textId="77777777" w:rsidR="00B519EC" w:rsidRPr="000973F2" w:rsidRDefault="00B519EC" w:rsidP="00F86A36">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0</w:t>
            </w:r>
          </w:p>
        </w:tc>
        <w:tc>
          <w:tcPr>
            <w:tcW w:w="0" w:type="dxa"/>
            <w:noWrap/>
            <w:hideMark/>
          </w:tcPr>
          <w:p w14:paraId="57669937" w14:textId="77777777" w:rsidR="00B519EC" w:rsidRPr="000973F2" w:rsidRDefault="00B519EC" w:rsidP="00F86A36">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0</w:t>
            </w:r>
          </w:p>
        </w:tc>
        <w:tc>
          <w:tcPr>
            <w:tcW w:w="0" w:type="dxa"/>
            <w:noWrap/>
            <w:hideMark/>
          </w:tcPr>
          <w:p w14:paraId="1610A82D" w14:textId="044994ED" w:rsidR="00B519EC" w:rsidRPr="000973F2" w:rsidRDefault="00B519EC" w:rsidP="00F86A36">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$0</w:t>
            </w:r>
          </w:p>
        </w:tc>
        <w:tc>
          <w:tcPr>
            <w:tcW w:w="0" w:type="dxa"/>
            <w:noWrap/>
            <w:hideMark/>
          </w:tcPr>
          <w:p w14:paraId="18108DFB" w14:textId="15E2E83F" w:rsidR="00B519EC" w:rsidRPr="000973F2" w:rsidRDefault="00B519EC" w:rsidP="00F86A36">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$51</w:t>
            </w:r>
          </w:p>
        </w:tc>
      </w:tr>
      <w:tr w:rsidR="00B519EC" w:rsidRPr="000973F2" w14:paraId="6269ACE7" w14:textId="77777777" w:rsidTr="00F86A36">
        <w:trPr>
          <w:cantSplit/>
        </w:trPr>
        <w:tc>
          <w:tcPr>
            <w:cnfStyle w:val="001000000000" w:firstRow="0" w:lastRow="0" w:firstColumn="1" w:lastColumn="0" w:oddVBand="0" w:evenVBand="0" w:oddHBand="0" w:evenHBand="0" w:firstRowFirstColumn="0" w:firstRowLastColumn="0" w:lastRowFirstColumn="0" w:lastRowLastColumn="0"/>
            <w:tcW w:w="0" w:type="dxa"/>
            <w:hideMark/>
          </w:tcPr>
          <w:p w14:paraId="481F3F21" w14:textId="77777777" w:rsidR="00B519EC" w:rsidRPr="000973F2" w:rsidRDefault="00B519EC" w:rsidP="00F86A36">
            <w:pPr>
              <w:spacing w:before="40" w:after="4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Reporting</w:t>
            </w:r>
          </w:p>
        </w:tc>
        <w:tc>
          <w:tcPr>
            <w:tcW w:w="0" w:type="dxa"/>
            <w:noWrap/>
            <w:hideMark/>
          </w:tcPr>
          <w:p w14:paraId="71C5BB43" w14:textId="77777777" w:rsidR="00B519EC" w:rsidRPr="000973F2" w:rsidRDefault="00B519EC" w:rsidP="00F86A36">
            <w:pPr>
              <w:spacing w:before="40" w:after="4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0</w:t>
            </w:r>
          </w:p>
        </w:tc>
        <w:tc>
          <w:tcPr>
            <w:tcW w:w="0" w:type="dxa"/>
            <w:noWrap/>
            <w:hideMark/>
          </w:tcPr>
          <w:p w14:paraId="49ADF738" w14:textId="77777777" w:rsidR="00B519EC" w:rsidRPr="000973F2" w:rsidRDefault="00B519EC" w:rsidP="00F86A36">
            <w:pPr>
              <w:spacing w:before="40" w:after="4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0</w:t>
            </w:r>
          </w:p>
        </w:tc>
        <w:tc>
          <w:tcPr>
            <w:tcW w:w="0" w:type="dxa"/>
            <w:noWrap/>
            <w:hideMark/>
          </w:tcPr>
          <w:p w14:paraId="31F1FF2E" w14:textId="77777777" w:rsidR="00B519EC" w:rsidRPr="000973F2" w:rsidRDefault="00B519EC" w:rsidP="00F86A36">
            <w:pPr>
              <w:spacing w:before="40" w:after="4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0</w:t>
            </w:r>
          </w:p>
        </w:tc>
        <w:tc>
          <w:tcPr>
            <w:tcW w:w="0" w:type="dxa"/>
            <w:noWrap/>
            <w:hideMark/>
          </w:tcPr>
          <w:p w14:paraId="2BD74767" w14:textId="77777777" w:rsidR="00B519EC" w:rsidRPr="000973F2" w:rsidRDefault="00B519EC" w:rsidP="00F86A36">
            <w:pPr>
              <w:spacing w:before="40" w:after="4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0</w:t>
            </w:r>
          </w:p>
        </w:tc>
        <w:tc>
          <w:tcPr>
            <w:tcW w:w="0" w:type="dxa"/>
            <w:noWrap/>
            <w:hideMark/>
          </w:tcPr>
          <w:p w14:paraId="7CDAFD07" w14:textId="77777777" w:rsidR="00B519EC" w:rsidRPr="000973F2" w:rsidRDefault="00B519EC" w:rsidP="00F86A36">
            <w:pPr>
              <w:spacing w:before="40" w:after="4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0</w:t>
            </w:r>
          </w:p>
        </w:tc>
        <w:tc>
          <w:tcPr>
            <w:tcW w:w="0" w:type="dxa"/>
            <w:noWrap/>
            <w:hideMark/>
          </w:tcPr>
          <w:p w14:paraId="7829E1BC" w14:textId="77777777" w:rsidR="00B519EC" w:rsidRPr="000973F2" w:rsidRDefault="00B519EC" w:rsidP="00F86A36">
            <w:pPr>
              <w:spacing w:before="40" w:after="4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0</w:t>
            </w:r>
          </w:p>
        </w:tc>
        <w:tc>
          <w:tcPr>
            <w:tcW w:w="0" w:type="dxa"/>
            <w:noWrap/>
            <w:hideMark/>
          </w:tcPr>
          <w:p w14:paraId="79C5F496" w14:textId="77777777" w:rsidR="00B519EC" w:rsidRPr="000973F2" w:rsidRDefault="00B519EC" w:rsidP="00F86A36">
            <w:pPr>
              <w:spacing w:before="40" w:after="4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0</w:t>
            </w:r>
          </w:p>
        </w:tc>
        <w:tc>
          <w:tcPr>
            <w:tcW w:w="0" w:type="dxa"/>
            <w:noWrap/>
            <w:hideMark/>
          </w:tcPr>
          <w:p w14:paraId="3A45121B" w14:textId="77777777" w:rsidR="00B519EC" w:rsidRPr="000973F2" w:rsidRDefault="00B519EC" w:rsidP="00F86A36">
            <w:pPr>
              <w:spacing w:before="40" w:after="4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0</w:t>
            </w:r>
          </w:p>
        </w:tc>
        <w:tc>
          <w:tcPr>
            <w:tcW w:w="0" w:type="dxa"/>
            <w:noWrap/>
            <w:hideMark/>
          </w:tcPr>
          <w:p w14:paraId="06D47A24" w14:textId="77777777" w:rsidR="00B519EC" w:rsidRPr="000973F2" w:rsidRDefault="00B519EC" w:rsidP="00F86A36">
            <w:pPr>
              <w:spacing w:before="40" w:after="4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$0</w:t>
            </w:r>
          </w:p>
        </w:tc>
        <w:tc>
          <w:tcPr>
            <w:tcW w:w="0" w:type="dxa"/>
            <w:noWrap/>
            <w:hideMark/>
          </w:tcPr>
          <w:p w14:paraId="205E72E0" w14:textId="3CF46971" w:rsidR="00B519EC" w:rsidRPr="000973F2" w:rsidRDefault="00B519EC" w:rsidP="00F86A36">
            <w:pPr>
              <w:spacing w:before="40" w:after="4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$0</w:t>
            </w:r>
          </w:p>
        </w:tc>
      </w:tr>
      <w:tr w:rsidR="00B519EC" w:rsidRPr="000973F2" w14:paraId="751552C3" w14:textId="77777777" w:rsidTr="00F86A36">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1327" w:type="dxa"/>
            <w:noWrap/>
            <w:hideMark/>
          </w:tcPr>
          <w:p w14:paraId="0B1AF63C" w14:textId="77777777" w:rsidR="00B519EC" w:rsidRPr="000973F2" w:rsidRDefault="00B519EC" w:rsidP="00F86A36">
            <w:pPr>
              <w:spacing w:before="40" w:after="40"/>
              <w:rPr>
                <w:rFonts w:ascii="Times New Roman" w:eastAsia="Times New Roman" w:hAnsi="Times New Roman" w:cs="Times New Roman"/>
                <w:b/>
                <w:bCs w:val="0"/>
                <w:sz w:val="18"/>
                <w:szCs w:val="18"/>
              </w:rPr>
            </w:pPr>
            <w:r w:rsidRPr="000973F2">
              <w:rPr>
                <w:rFonts w:ascii="Times New Roman" w:eastAsia="Times New Roman" w:hAnsi="Times New Roman" w:cs="Times New Roman"/>
                <w:b/>
                <w:sz w:val="18"/>
                <w:szCs w:val="18"/>
              </w:rPr>
              <w:t>Total</w:t>
            </w:r>
          </w:p>
        </w:tc>
        <w:tc>
          <w:tcPr>
            <w:tcW w:w="705" w:type="dxa"/>
            <w:noWrap/>
            <w:hideMark/>
          </w:tcPr>
          <w:p w14:paraId="246506E2" w14:textId="77777777" w:rsidR="00B519EC" w:rsidRPr="000973F2" w:rsidRDefault="00B519EC" w:rsidP="00F86A36">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18"/>
                <w:szCs w:val="18"/>
              </w:rPr>
            </w:pPr>
            <w:r w:rsidRPr="000973F2">
              <w:rPr>
                <w:rFonts w:ascii="Times New Roman" w:eastAsia="Times New Roman" w:hAnsi="Times New Roman" w:cs="Times New Roman"/>
                <w:b/>
                <w:bCs/>
                <w:sz w:val="18"/>
                <w:szCs w:val="18"/>
              </w:rPr>
              <w:t>0</w:t>
            </w:r>
          </w:p>
        </w:tc>
        <w:tc>
          <w:tcPr>
            <w:tcW w:w="825" w:type="dxa"/>
            <w:noWrap/>
            <w:hideMark/>
          </w:tcPr>
          <w:p w14:paraId="52C5D096" w14:textId="77777777" w:rsidR="00B519EC" w:rsidRPr="000973F2" w:rsidRDefault="00B519EC" w:rsidP="00F86A36">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18"/>
                <w:szCs w:val="18"/>
              </w:rPr>
            </w:pPr>
            <w:r w:rsidRPr="000973F2">
              <w:rPr>
                <w:rFonts w:ascii="Times New Roman" w:eastAsia="Times New Roman" w:hAnsi="Times New Roman" w:cs="Times New Roman"/>
                <w:b/>
                <w:bCs/>
                <w:sz w:val="18"/>
                <w:szCs w:val="18"/>
              </w:rPr>
              <w:t>0</w:t>
            </w:r>
          </w:p>
        </w:tc>
        <w:tc>
          <w:tcPr>
            <w:tcW w:w="709" w:type="dxa"/>
            <w:noWrap/>
            <w:hideMark/>
          </w:tcPr>
          <w:p w14:paraId="09DFE516" w14:textId="77777777" w:rsidR="00B519EC" w:rsidRPr="000973F2" w:rsidRDefault="00B519EC" w:rsidP="00F86A36">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18"/>
                <w:szCs w:val="18"/>
              </w:rPr>
            </w:pPr>
            <w:r w:rsidRPr="000973F2">
              <w:rPr>
                <w:rFonts w:ascii="Times New Roman" w:eastAsia="Times New Roman" w:hAnsi="Times New Roman" w:cs="Times New Roman"/>
                <w:b/>
                <w:bCs/>
                <w:sz w:val="18"/>
                <w:szCs w:val="18"/>
              </w:rPr>
              <w:t>0</w:t>
            </w:r>
          </w:p>
        </w:tc>
        <w:tc>
          <w:tcPr>
            <w:tcW w:w="912" w:type="dxa"/>
            <w:noWrap/>
            <w:hideMark/>
          </w:tcPr>
          <w:p w14:paraId="6D642141" w14:textId="77777777" w:rsidR="00B519EC" w:rsidRPr="000973F2" w:rsidRDefault="00B519EC" w:rsidP="00F86A36">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18"/>
                <w:szCs w:val="18"/>
              </w:rPr>
            </w:pPr>
            <w:r w:rsidRPr="000973F2">
              <w:rPr>
                <w:rFonts w:ascii="Times New Roman" w:eastAsia="Times New Roman" w:hAnsi="Times New Roman" w:cs="Times New Roman"/>
                <w:b/>
                <w:bCs/>
                <w:sz w:val="18"/>
                <w:szCs w:val="18"/>
              </w:rPr>
              <w:t>0.5</w:t>
            </w:r>
          </w:p>
        </w:tc>
        <w:tc>
          <w:tcPr>
            <w:tcW w:w="694" w:type="dxa"/>
            <w:noWrap/>
            <w:hideMark/>
          </w:tcPr>
          <w:p w14:paraId="355CB785" w14:textId="77777777" w:rsidR="00B519EC" w:rsidRPr="000973F2" w:rsidRDefault="00B519EC" w:rsidP="00F86A36">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18"/>
                <w:szCs w:val="18"/>
              </w:rPr>
            </w:pPr>
            <w:r w:rsidRPr="000973F2">
              <w:rPr>
                <w:rFonts w:ascii="Times New Roman" w:eastAsia="Times New Roman" w:hAnsi="Times New Roman" w:cs="Times New Roman"/>
                <w:b/>
                <w:bCs/>
                <w:sz w:val="18"/>
                <w:szCs w:val="18"/>
              </w:rPr>
              <w:t>0</w:t>
            </w:r>
          </w:p>
        </w:tc>
        <w:tc>
          <w:tcPr>
            <w:tcW w:w="925" w:type="dxa"/>
            <w:noWrap/>
            <w:hideMark/>
          </w:tcPr>
          <w:p w14:paraId="40F93B5D" w14:textId="77777777" w:rsidR="00B519EC" w:rsidRPr="000973F2" w:rsidRDefault="00B519EC" w:rsidP="00F86A36">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18"/>
                <w:szCs w:val="18"/>
              </w:rPr>
            </w:pPr>
            <w:r w:rsidRPr="000973F2">
              <w:rPr>
                <w:rFonts w:ascii="Times New Roman" w:eastAsia="Times New Roman" w:hAnsi="Times New Roman" w:cs="Times New Roman"/>
                <w:b/>
                <w:bCs/>
                <w:sz w:val="18"/>
                <w:szCs w:val="18"/>
              </w:rPr>
              <w:t>0.1</w:t>
            </w:r>
          </w:p>
        </w:tc>
        <w:tc>
          <w:tcPr>
            <w:tcW w:w="720" w:type="dxa"/>
            <w:noWrap/>
            <w:hideMark/>
          </w:tcPr>
          <w:p w14:paraId="346734A7" w14:textId="77777777" w:rsidR="00B519EC" w:rsidRPr="000973F2" w:rsidRDefault="00B519EC" w:rsidP="00F86A36">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18"/>
                <w:szCs w:val="18"/>
              </w:rPr>
            </w:pPr>
            <w:r w:rsidRPr="000973F2">
              <w:rPr>
                <w:rFonts w:ascii="Times New Roman" w:eastAsia="Times New Roman" w:hAnsi="Times New Roman" w:cs="Times New Roman"/>
                <w:b/>
                <w:bCs/>
                <w:sz w:val="18"/>
                <w:szCs w:val="18"/>
              </w:rPr>
              <w:t>0</w:t>
            </w:r>
          </w:p>
        </w:tc>
        <w:tc>
          <w:tcPr>
            <w:tcW w:w="900" w:type="dxa"/>
            <w:noWrap/>
            <w:hideMark/>
          </w:tcPr>
          <w:p w14:paraId="765BCAA6" w14:textId="77777777" w:rsidR="00B519EC" w:rsidRPr="000973F2" w:rsidRDefault="00B519EC" w:rsidP="00F86A36">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18"/>
                <w:szCs w:val="18"/>
              </w:rPr>
            </w:pPr>
            <w:r w:rsidRPr="000973F2">
              <w:rPr>
                <w:rFonts w:ascii="Times New Roman" w:eastAsia="Times New Roman" w:hAnsi="Times New Roman" w:cs="Times New Roman"/>
                <w:b/>
                <w:bCs/>
                <w:sz w:val="18"/>
                <w:szCs w:val="18"/>
              </w:rPr>
              <w:t>0</w:t>
            </w:r>
          </w:p>
        </w:tc>
        <w:tc>
          <w:tcPr>
            <w:tcW w:w="720" w:type="dxa"/>
            <w:noWrap/>
            <w:hideMark/>
          </w:tcPr>
          <w:p w14:paraId="3A7A364B" w14:textId="77777777" w:rsidR="00B519EC" w:rsidRPr="000973F2" w:rsidRDefault="00B519EC" w:rsidP="00F86A36">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18"/>
                <w:szCs w:val="18"/>
              </w:rPr>
            </w:pPr>
            <w:r w:rsidRPr="000973F2">
              <w:rPr>
                <w:rFonts w:ascii="Times New Roman" w:eastAsia="Times New Roman" w:hAnsi="Times New Roman" w:cs="Times New Roman"/>
                <w:b/>
                <w:bCs/>
                <w:sz w:val="18"/>
                <w:szCs w:val="18"/>
              </w:rPr>
              <w:t>$0</w:t>
            </w:r>
          </w:p>
        </w:tc>
        <w:tc>
          <w:tcPr>
            <w:tcW w:w="877" w:type="dxa"/>
            <w:noWrap/>
            <w:hideMark/>
          </w:tcPr>
          <w:p w14:paraId="7D81BBFA" w14:textId="77777777" w:rsidR="00B519EC" w:rsidRPr="000973F2" w:rsidRDefault="00B519EC" w:rsidP="00F86A36">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18"/>
                <w:szCs w:val="18"/>
              </w:rPr>
            </w:pPr>
            <w:r w:rsidRPr="000973F2">
              <w:rPr>
                <w:rFonts w:ascii="Times New Roman" w:eastAsia="Times New Roman" w:hAnsi="Times New Roman" w:cs="Times New Roman"/>
                <w:b/>
                <w:bCs/>
                <w:sz w:val="18"/>
                <w:szCs w:val="18"/>
              </w:rPr>
              <w:t>$51</w:t>
            </w:r>
          </w:p>
        </w:tc>
      </w:tr>
    </w:tbl>
    <w:p w14:paraId="4E15073D" w14:textId="77777777" w:rsidR="00B519EC" w:rsidRPr="000973F2" w:rsidRDefault="00B519EC" w:rsidP="00B92AFE">
      <w:pPr>
        <w:spacing w:line="240" w:lineRule="auto"/>
        <w:rPr>
          <w:rFonts w:ascii="Times New Roman" w:hAnsi="Times New Roman" w:cs="Times New Roman"/>
          <w:i/>
          <w:iCs/>
        </w:rPr>
      </w:pPr>
    </w:p>
    <w:p w14:paraId="4D033C3A" w14:textId="77777777" w:rsidR="007B434D" w:rsidRPr="000973F2" w:rsidRDefault="007B434D" w:rsidP="00C00E4F">
      <w:pPr>
        <w:spacing w:line="240" w:lineRule="auto"/>
        <w:rPr>
          <w:rFonts w:ascii="Times New Roman" w:hAnsi="Times New Roman" w:cs="Times New Roman"/>
          <w:i/>
          <w:iCs/>
        </w:rPr>
      </w:pPr>
      <w:r w:rsidRPr="000973F2">
        <w:rPr>
          <w:rFonts w:ascii="Times New Roman" w:hAnsi="Times New Roman" w:cs="Times New Roman"/>
          <w:i/>
          <w:iCs/>
        </w:rPr>
        <w:br w:type="page"/>
      </w:r>
    </w:p>
    <w:p w14:paraId="102A59D6" w14:textId="5A15C13C" w:rsidR="007B434D" w:rsidRPr="000973F2" w:rsidRDefault="007B434D" w:rsidP="0061585D">
      <w:pPr>
        <w:pStyle w:val="Heading2"/>
      </w:pPr>
      <w:r w:rsidRPr="000973F2">
        <w:t>Capital and O&amp;M Costs for Subpart CC—Site</w:t>
      </w:r>
      <w:r w:rsidR="00051F9B">
        <w:t>-</w:t>
      </w:r>
      <w:r w:rsidRPr="000973F2">
        <w:t>Specific Emission Factor Method</w:t>
      </w:r>
    </w:p>
    <w:p w14:paraId="43C51546" w14:textId="5DC98FDF" w:rsidR="007B434D" w:rsidRPr="000973F2" w:rsidRDefault="007B434D" w:rsidP="00A22B19">
      <w:pPr>
        <w:pStyle w:val="BodyText"/>
      </w:pPr>
      <w:r w:rsidRPr="000973F2">
        <w:t xml:space="preserve">Capital and O&amp;M costs are shown in Table </w:t>
      </w:r>
      <w:r w:rsidR="00A22B19" w:rsidRPr="000973F2">
        <w:t>CC-</w:t>
      </w:r>
      <w:r w:rsidRPr="000973F2">
        <w:t xml:space="preserve">2c for the site-specific emission factor method. Facilities using this option must perform an annual performance test comprised of three 1-hour tests. Performance test costs of $1,600 (in 2006$) were taken from the </w:t>
      </w:r>
      <w:r w:rsidRPr="000973F2">
        <w:rPr>
          <w:i/>
        </w:rPr>
        <w:t>Regulatory Impact Analysis for the Mandatory Reporting of Greenhouse Gas Emissions Final Rule (GHG Reporting): Final Report</w:t>
      </w:r>
      <w:r w:rsidRPr="000973F2">
        <w:t xml:space="preserve"> (September 2009)</w:t>
      </w:r>
      <w:r w:rsidRPr="000973F2">
        <w:rPr>
          <w:rStyle w:val="FootnoteReference"/>
        </w:rPr>
        <w:footnoteReference w:id="11"/>
      </w:r>
      <w:r w:rsidRPr="000973F2">
        <w:t xml:space="preserve"> and were scaled to $1,817 (in 2017$). Only one of the Subpart CC facilities utilize the site-specific emission factor. Because one facility is using both the soda ash output method and the site-specific emission factor method, the recordkeeping capital cost for this one facility are already included in Table</w:t>
      </w:r>
      <w:r w:rsidR="00A22B19" w:rsidRPr="000973F2">
        <w:t> CC-</w:t>
      </w:r>
      <w:r w:rsidRPr="000973F2">
        <w:t xml:space="preserve">2b. Therefore, the recordkeeping costs are zero in Table </w:t>
      </w:r>
      <w:r w:rsidR="000D7DE6" w:rsidRPr="000973F2">
        <w:t>CC-</w:t>
      </w:r>
      <w:r w:rsidRPr="000973F2">
        <w:t>2c to avoid double counting. No capital costs are expected.</w:t>
      </w:r>
    </w:p>
    <w:p w14:paraId="49922E0F" w14:textId="18A1560D" w:rsidR="007B434D" w:rsidRPr="000973F2" w:rsidRDefault="002765DB" w:rsidP="002E03B4">
      <w:pPr>
        <w:pStyle w:val="Tabletitle"/>
      </w:pPr>
      <w:r w:rsidRPr="000973F2">
        <w:t xml:space="preserve">Table </w:t>
      </w:r>
      <w:r w:rsidR="002E03B4" w:rsidRPr="000973F2">
        <w:t>CC-</w:t>
      </w:r>
      <w:r w:rsidRPr="000973F2">
        <w:t xml:space="preserve">2c. Capital and O&amp;M Costs </w:t>
      </w:r>
      <w:r w:rsidR="00B960CC" w:rsidRPr="000973F2">
        <w:t>–</w:t>
      </w:r>
      <w:r w:rsidRPr="000973F2">
        <w:t xml:space="preserve"> </w:t>
      </w:r>
      <w:r w:rsidR="007B434D" w:rsidRPr="000973F2">
        <w:t>Subpart CC – Site-specific emission factor method</w:t>
      </w:r>
    </w:p>
    <w:tbl>
      <w:tblPr>
        <w:tblStyle w:val="PlainTable1"/>
        <w:tblW w:w="5000" w:type="pct"/>
        <w:jc w:val="left"/>
        <w:tblLayout w:type="fixed"/>
        <w:tblCellMar>
          <w:left w:w="115" w:type="dxa"/>
          <w:right w:w="115" w:type="dxa"/>
        </w:tblCellMar>
        <w:tblLook w:val="04A0" w:firstRow="1" w:lastRow="0" w:firstColumn="1" w:lastColumn="0" w:noHBand="0" w:noVBand="1"/>
      </w:tblPr>
      <w:tblGrid>
        <w:gridCol w:w="1770"/>
        <w:gridCol w:w="1304"/>
        <w:gridCol w:w="1303"/>
        <w:gridCol w:w="1303"/>
        <w:gridCol w:w="1336"/>
        <w:gridCol w:w="1270"/>
        <w:gridCol w:w="1304"/>
      </w:tblGrid>
      <w:tr w:rsidR="00D17312" w:rsidRPr="000973F2" w14:paraId="766ADDB8" w14:textId="77777777" w:rsidTr="00B6531F">
        <w:trPr>
          <w:cnfStyle w:val="100000000000" w:firstRow="1" w:lastRow="0" w:firstColumn="0" w:lastColumn="0" w:oddVBand="0" w:evenVBand="0" w:oddHBand="0" w:evenHBand="0" w:firstRowFirstColumn="0" w:firstRowLastColumn="0" w:lastRowFirstColumn="0" w:lastRowLastColumn="0"/>
          <w:cantSplit/>
          <w:jc w:val="left"/>
        </w:trPr>
        <w:tc>
          <w:tcPr>
            <w:cnfStyle w:val="001000000000" w:firstRow="0" w:lastRow="0" w:firstColumn="1" w:lastColumn="0" w:oddVBand="0" w:evenVBand="0" w:oddHBand="0" w:evenHBand="0" w:firstRowFirstColumn="0" w:firstRowLastColumn="0" w:lastRowFirstColumn="0" w:lastRowLastColumn="0"/>
            <w:tcW w:w="1721" w:type="dxa"/>
            <w:vMerge w:val="restart"/>
            <w:noWrap/>
            <w:vAlign w:val="top"/>
            <w:hideMark/>
          </w:tcPr>
          <w:p w14:paraId="07FDD164" w14:textId="002574F4" w:rsidR="00D17312" w:rsidRPr="000973F2" w:rsidRDefault="00D17312" w:rsidP="002E03B4">
            <w:pPr>
              <w:spacing w:before="40" w:after="40"/>
              <w:rPr>
                <w:rFonts w:ascii="Times New Roman" w:eastAsia="Times New Roman" w:hAnsi="Times New Roman" w:cs="Times New Roman"/>
                <w:b w:val="0"/>
                <w:bCs w:val="0"/>
                <w:sz w:val="18"/>
                <w:szCs w:val="18"/>
              </w:rPr>
            </w:pPr>
            <w:r w:rsidRPr="000973F2">
              <w:rPr>
                <w:rFonts w:ascii="Times New Roman" w:eastAsia="Times New Roman" w:hAnsi="Times New Roman" w:cs="Times New Roman"/>
                <w:sz w:val="18"/>
                <w:szCs w:val="18"/>
              </w:rPr>
              <w:t>Activity</w:t>
            </w:r>
          </w:p>
        </w:tc>
        <w:tc>
          <w:tcPr>
            <w:tcW w:w="5104" w:type="dxa"/>
            <w:gridSpan w:val="4"/>
            <w:noWrap/>
            <w:vAlign w:val="top"/>
            <w:hideMark/>
          </w:tcPr>
          <w:p w14:paraId="2F5697EF" w14:textId="77777777" w:rsidR="00D17312" w:rsidRPr="000973F2" w:rsidRDefault="00D17312" w:rsidP="002E03B4">
            <w:pPr>
              <w:spacing w:before="40" w:after="40"/>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bCs w:val="0"/>
                <w:sz w:val="18"/>
                <w:szCs w:val="18"/>
              </w:rPr>
            </w:pPr>
            <w:r w:rsidRPr="000973F2">
              <w:rPr>
                <w:rFonts w:ascii="Times New Roman" w:eastAsia="Times New Roman" w:hAnsi="Times New Roman" w:cs="Times New Roman"/>
                <w:sz w:val="18"/>
                <w:szCs w:val="18"/>
              </w:rPr>
              <w:t>Cost Categories</w:t>
            </w:r>
          </w:p>
        </w:tc>
        <w:tc>
          <w:tcPr>
            <w:tcW w:w="2505" w:type="dxa"/>
            <w:gridSpan w:val="2"/>
            <w:vAlign w:val="top"/>
            <w:hideMark/>
          </w:tcPr>
          <w:p w14:paraId="280F84EA" w14:textId="77777777" w:rsidR="00D17312" w:rsidRPr="000973F2" w:rsidRDefault="00D17312" w:rsidP="002E03B4">
            <w:pPr>
              <w:spacing w:before="40" w:after="40"/>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bCs w:val="0"/>
                <w:sz w:val="18"/>
                <w:szCs w:val="18"/>
              </w:rPr>
            </w:pPr>
            <w:r w:rsidRPr="000973F2">
              <w:rPr>
                <w:rFonts w:ascii="Times New Roman" w:eastAsia="Times New Roman" w:hAnsi="Times New Roman" w:cs="Times New Roman"/>
                <w:sz w:val="18"/>
                <w:szCs w:val="18"/>
              </w:rPr>
              <w:t>Total Capital and O&amp;M Cost per Year per Facility (2017$)</w:t>
            </w:r>
          </w:p>
        </w:tc>
      </w:tr>
      <w:tr w:rsidR="00D17312" w:rsidRPr="000973F2" w14:paraId="1808F8E2" w14:textId="77777777" w:rsidTr="00B6531F">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1721" w:type="dxa"/>
            <w:vMerge/>
            <w:noWrap/>
            <w:hideMark/>
          </w:tcPr>
          <w:p w14:paraId="7CC8DE71" w14:textId="168EA28C" w:rsidR="00D17312" w:rsidRPr="000973F2" w:rsidRDefault="00D17312" w:rsidP="002E03B4">
            <w:pPr>
              <w:spacing w:before="40" w:after="40"/>
              <w:jc w:val="center"/>
              <w:rPr>
                <w:rFonts w:ascii="Times New Roman" w:eastAsia="Times New Roman" w:hAnsi="Times New Roman" w:cs="Times New Roman"/>
                <w:b/>
                <w:bCs w:val="0"/>
                <w:sz w:val="18"/>
                <w:szCs w:val="18"/>
              </w:rPr>
            </w:pPr>
          </w:p>
        </w:tc>
        <w:tc>
          <w:tcPr>
            <w:tcW w:w="1268" w:type="dxa"/>
            <w:tcMar>
              <w:left w:w="14" w:type="dxa"/>
              <w:right w:w="14" w:type="dxa"/>
            </w:tcMar>
            <w:hideMark/>
          </w:tcPr>
          <w:p w14:paraId="410A85F8" w14:textId="77777777" w:rsidR="00D17312" w:rsidRPr="000973F2" w:rsidRDefault="00D17312" w:rsidP="002E03B4">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18"/>
                <w:szCs w:val="18"/>
              </w:rPr>
            </w:pPr>
            <w:r w:rsidRPr="000973F2">
              <w:rPr>
                <w:rFonts w:ascii="Times New Roman" w:eastAsia="Times New Roman" w:hAnsi="Times New Roman" w:cs="Times New Roman"/>
                <w:b/>
                <w:bCs/>
                <w:sz w:val="18"/>
                <w:szCs w:val="18"/>
              </w:rPr>
              <w:t>Capital Cost (2017$)</w:t>
            </w:r>
          </w:p>
        </w:tc>
        <w:tc>
          <w:tcPr>
            <w:tcW w:w="1268" w:type="dxa"/>
            <w:tcMar>
              <w:left w:w="14" w:type="dxa"/>
              <w:right w:w="14" w:type="dxa"/>
            </w:tcMar>
            <w:hideMark/>
          </w:tcPr>
          <w:p w14:paraId="4BC24ABE" w14:textId="77777777" w:rsidR="00D17312" w:rsidRPr="000973F2" w:rsidRDefault="00D17312" w:rsidP="002E03B4">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18"/>
                <w:szCs w:val="18"/>
              </w:rPr>
            </w:pPr>
            <w:r w:rsidRPr="000973F2">
              <w:rPr>
                <w:rFonts w:ascii="Times New Roman" w:eastAsia="Times New Roman" w:hAnsi="Times New Roman" w:cs="Times New Roman"/>
                <w:b/>
                <w:bCs/>
                <w:sz w:val="18"/>
                <w:szCs w:val="18"/>
              </w:rPr>
              <w:t>Equipment Lifetime</w:t>
            </w:r>
          </w:p>
        </w:tc>
        <w:tc>
          <w:tcPr>
            <w:tcW w:w="1268" w:type="dxa"/>
            <w:tcMar>
              <w:left w:w="14" w:type="dxa"/>
              <w:right w:w="14" w:type="dxa"/>
            </w:tcMar>
            <w:hideMark/>
          </w:tcPr>
          <w:p w14:paraId="77BA3815" w14:textId="77777777" w:rsidR="00D17312" w:rsidRPr="000973F2" w:rsidRDefault="00D17312" w:rsidP="002E03B4">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18"/>
                <w:szCs w:val="18"/>
              </w:rPr>
            </w:pPr>
            <w:r w:rsidRPr="000973F2">
              <w:rPr>
                <w:rFonts w:ascii="Times New Roman" w:eastAsia="Times New Roman" w:hAnsi="Times New Roman" w:cs="Times New Roman"/>
                <w:b/>
                <w:bCs/>
                <w:sz w:val="18"/>
                <w:szCs w:val="18"/>
              </w:rPr>
              <w:t>Annualized Capital Cost (2017$/year)</w:t>
            </w:r>
          </w:p>
        </w:tc>
        <w:tc>
          <w:tcPr>
            <w:tcW w:w="1300" w:type="dxa"/>
            <w:tcMar>
              <w:left w:w="14" w:type="dxa"/>
              <w:right w:w="14" w:type="dxa"/>
            </w:tcMar>
            <w:hideMark/>
          </w:tcPr>
          <w:p w14:paraId="3E066E65" w14:textId="77777777" w:rsidR="00D17312" w:rsidRPr="000973F2" w:rsidRDefault="00D17312" w:rsidP="002E03B4">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18"/>
                <w:szCs w:val="18"/>
              </w:rPr>
            </w:pPr>
            <w:r w:rsidRPr="000973F2">
              <w:rPr>
                <w:rFonts w:ascii="Times New Roman" w:eastAsia="Times New Roman" w:hAnsi="Times New Roman" w:cs="Times New Roman"/>
                <w:b/>
                <w:bCs/>
                <w:sz w:val="18"/>
                <w:szCs w:val="18"/>
              </w:rPr>
              <w:t>O&amp;M Costs (2017$/year)</w:t>
            </w:r>
          </w:p>
        </w:tc>
        <w:tc>
          <w:tcPr>
            <w:tcW w:w="1236" w:type="dxa"/>
            <w:tcMar>
              <w:left w:w="14" w:type="dxa"/>
              <w:right w:w="14" w:type="dxa"/>
            </w:tcMar>
            <w:hideMark/>
          </w:tcPr>
          <w:p w14:paraId="17C600C5" w14:textId="77777777" w:rsidR="00D17312" w:rsidRPr="000973F2" w:rsidRDefault="00D17312" w:rsidP="002E03B4">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18"/>
                <w:szCs w:val="18"/>
              </w:rPr>
            </w:pPr>
            <w:r w:rsidRPr="000973F2">
              <w:rPr>
                <w:rFonts w:ascii="Times New Roman" w:eastAsia="Times New Roman" w:hAnsi="Times New Roman" w:cs="Times New Roman"/>
                <w:b/>
                <w:bCs/>
                <w:sz w:val="18"/>
                <w:szCs w:val="18"/>
              </w:rPr>
              <w:t>Initial Year</w:t>
            </w:r>
          </w:p>
        </w:tc>
        <w:tc>
          <w:tcPr>
            <w:tcW w:w="1269" w:type="dxa"/>
            <w:tcMar>
              <w:left w:w="14" w:type="dxa"/>
              <w:right w:w="14" w:type="dxa"/>
            </w:tcMar>
            <w:hideMark/>
          </w:tcPr>
          <w:p w14:paraId="22184482" w14:textId="77777777" w:rsidR="00D17312" w:rsidRPr="000973F2" w:rsidRDefault="00D17312" w:rsidP="002E03B4">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18"/>
                <w:szCs w:val="18"/>
              </w:rPr>
            </w:pPr>
            <w:r w:rsidRPr="000973F2">
              <w:rPr>
                <w:rFonts w:ascii="Times New Roman" w:eastAsia="Times New Roman" w:hAnsi="Times New Roman" w:cs="Times New Roman"/>
                <w:b/>
                <w:bCs/>
                <w:sz w:val="18"/>
                <w:szCs w:val="18"/>
              </w:rPr>
              <w:t>Subseq. Years</w:t>
            </w:r>
          </w:p>
        </w:tc>
      </w:tr>
      <w:tr w:rsidR="00845109" w:rsidRPr="000973F2" w14:paraId="52E6EBC9" w14:textId="77777777" w:rsidTr="002E03B4">
        <w:trPr>
          <w:cantSplit/>
        </w:trPr>
        <w:tc>
          <w:tcPr>
            <w:cnfStyle w:val="001000000000" w:firstRow="0" w:lastRow="0" w:firstColumn="1" w:lastColumn="0" w:oddVBand="0" w:evenVBand="0" w:oddHBand="0" w:evenHBand="0" w:firstRowFirstColumn="0" w:firstRowLastColumn="0" w:lastRowFirstColumn="0" w:lastRowLastColumn="0"/>
            <w:tcW w:w="1721" w:type="dxa"/>
            <w:shd w:val="clear" w:color="auto" w:fill="auto"/>
            <w:hideMark/>
          </w:tcPr>
          <w:p w14:paraId="2B40BEC9" w14:textId="77777777" w:rsidR="002E03B4" w:rsidRPr="000973F2" w:rsidRDefault="002E03B4" w:rsidP="002E03B4">
            <w:pPr>
              <w:spacing w:before="40" w:after="4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Equipment (selection, purchase, installation)</w:t>
            </w:r>
          </w:p>
        </w:tc>
        <w:tc>
          <w:tcPr>
            <w:tcW w:w="1268" w:type="dxa"/>
            <w:shd w:val="clear" w:color="auto" w:fill="auto"/>
            <w:noWrap/>
            <w:hideMark/>
          </w:tcPr>
          <w:p w14:paraId="6DE3DFD6" w14:textId="36714AC5" w:rsidR="002E03B4" w:rsidRPr="000973F2" w:rsidRDefault="002E03B4" w:rsidP="002E03B4">
            <w:pPr>
              <w:spacing w:before="40" w:after="4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w:t>
            </w:r>
          </w:p>
        </w:tc>
        <w:tc>
          <w:tcPr>
            <w:tcW w:w="1268" w:type="dxa"/>
            <w:shd w:val="clear" w:color="auto" w:fill="auto"/>
            <w:noWrap/>
          </w:tcPr>
          <w:p w14:paraId="5A0F0522" w14:textId="7D4222FF" w:rsidR="002E03B4" w:rsidRPr="000973F2" w:rsidRDefault="002E03B4" w:rsidP="002E03B4">
            <w:pPr>
              <w:spacing w:before="40" w:after="4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p>
        </w:tc>
        <w:tc>
          <w:tcPr>
            <w:tcW w:w="1268" w:type="dxa"/>
            <w:shd w:val="clear" w:color="auto" w:fill="auto"/>
            <w:noWrap/>
            <w:hideMark/>
          </w:tcPr>
          <w:p w14:paraId="0D44D4E1" w14:textId="1C327004" w:rsidR="002E03B4" w:rsidRPr="000973F2" w:rsidRDefault="002E03B4" w:rsidP="002E03B4">
            <w:pPr>
              <w:spacing w:before="40" w:after="4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w:t>
            </w:r>
          </w:p>
        </w:tc>
        <w:tc>
          <w:tcPr>
            <w:tcW w:w="1300" w:type="dxa"/>
            <w:shd w:val="clear" w:color="auto" w:fill="auto"/>
            <w:noWrap/>
            <w:hideMark/>
          </w:tcPr>
          <w:p w14:paraId="24A761F4" w14:textId="5BE4221C" w:rsidR="002E03B4" w:rsidRPr="000973F2" w:rsidRDefault="002E03B4" w:rsidP="002E03B4">
            <w:pPr>
              <w:spacing w:before="40" w:after="4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w:t>
            </w:r>
          </w:p>
        </w:tc>
        <w:tc>
          <w:tcPr>
            <w:tcW w:w="1236" w:type="dxa"/>
            <w:shd w:val="clear" w:color="auto" w:fill="auto"/>
            <w:noWrap/>
            <w:hideMark/>
          </w:tcPr>
          <w:p w14:paraId="4465998B" w14:textId="6B9537DC" w:rsidR="002E03B4" w:rsidRPr="000973F2" w:rsidRDefault="002E03B4" w:rsidP="002E03B4">
            <w:pPr>
              <w:spacing w:before="40" w:after="4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w:t>
            </w:r>
          </w:p>
        </w:tc>
        <w:tc>
          <w:tcPr>
            <w:tcW w:w="1269" w:type="dxa"/>
            <w:shd w:val="clear" w:color="auto" w:fill="auto"/>
            <w:noWrap/>
            <w:hideMark/>
          </w:tcPr>
          <w:p w14:paraId="08C0436A" w14:textId="764CBBE8" w:rsidR="002E03B4" w:rsidRPr="000973F2" w:rsidRDefault="002E03B4" w:rsidP="002E03B4">
            <w:pPr>
              <w:spacing w:before="40" w:after="4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w:t>
            </w:r>
          </w:p>
        </w:tc>
      </w:tr>
      <w:tr w:rsidR="00321E40" w:rsidRPr="000973F2" w14:paraId="136E550E" w14:textId="77777777" w:rsidTr="002E03B4">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1721" w:type="dxa"/>
            <w:hideMark/>
          </w:tcPr>
          <w:p w14:paraId="7FF05349" w14:textId="77777777" w:rsidR="007B434D" w:rsidRPr="000973F2" w:rsidRDefault="007B434D" w:rsidP="002E03B4">
            <w:pPr>
              <w:spacing w:before="40" w:after="4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Performance testing</w:t>
            </w:r>
          </w:p>
        </w:tc>
        <w:tc>
          <w:tcPr>
            <w:tcW w:w="1268" w:type="dxa"/>
            <w:noWrap/>
            <w:hideMark/>
          </w:tcPr>
          <w:p w14:paraId="41B80C7C" w14:textId="77777777" w:rsidR="007B434D" w:rsidRPr="000973F2" w:rsidRDefault="007B434D" w:rsidP="002E03B4">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$0</w:t>
            </w:r>
          </w:p>
        </w:tc>
        <w:tc>
          <w:tcPr>
            <w:tcW w:w="1268" w:type="dxa"/>
            <w:noWrap/>
          </w:tcPr>
          <w:p w14:paraId="4CC3B95A" w14:textId="6D457962" w:rsidR="007B434D" w:rsidRPr="000973F2" w:rsidRDefault="007B434D" w:rsidP="002E03B4">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p>
        </w:tc>
        <w:tc>
          <w:tcPr>
            <w:tcW w:w="1268" w:type="dxa"/>
            <w:noWrap/>
            <w:hideMark/>
          </w:tcPr>
          <w:p w14:paraId="0BAA9667" w14:textId="77777777" w:rsidR="007B434D" w:rsidRPr="000973F2" w:rsidRDefault="007B434D" w:rsidP="002E03B4">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$0</w:t>
            </w:r>
          </w:p>
        </w:tc>
        <w:tc>
          <w:tcPr>
            <w:tcW w:w="1300" w:type="dxa"/>
            <w:noWrap/>
          </w:tcPr>
          <w:p w14:paraId="2A58A5B1" w14:textId="77777777" w:rsidR="007B434D" w:rsidRPr="000973F2" w:rsidRDefault="007B434D" w:rsidP="002E03B4">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$1,817</w:t>
            </w:r>
          </w:p>
        </w:tc>
        <w:tc>
          <w:tcPr>
            <w:tcW w:w="1236" w:type="dxa"/>
            <w:noWrap/>
            <w:hideMark/>
          </w:tcPr>
          <w:p w14:paraId="25D93A97" w14:textId="77777777" w:rsidR="007B434D" w:rsidRPr="000973F2" w:rsidRDefault="007B434D" w:rsidP="002E03B4">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$0</w:t>
            </w:r>
          </w:p>
        </w:tc>
        <w:tc>
          <w:tcPr>
            <w:tcW w:w="1269" w:type="dxa"/>
            <w:noWrap/>
            <w:hideMark/>
          </w:tcPr>
          <w:p w14:paraId="19A96AAE" w14:textId="77777777" w:rsidR="007B434D" w:rsidRPr="000973F2" w:rsidRDefault="007B434D" w:rsidP="002E03B4">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$1,817</w:t>
            </w:r>
          </w:p>
        </w:tc>
      </w:tr>
      <w:tr w:rsidR="002E03B4" w:rsidRPr="000973F2" w14:paraId="7CCB17C0" w14:textId="77777777" w:rsidTr="00B6531F">
        <w:trPr>
          <w:cantSplit/>
        </w:trPr>
        <w:tc>
          <w:tcPr>
            <w:cnfStyle w:val="001000000000" w:firstRow="0" w:lastRow="0" w:firstColumn="1" w:lastColumn="0" w:oddVBand="0" w:evenVBand="0" w:oddHBand="0" w:evenHBand="0" w:firstRowFirstColumn="0" w:firstRowLastColumn="0" w:lastRowFirstColumn="0" w:lastRowLastColumn="0"/>
            <w:tcW w:w="1721" w:type="dxa"/>
            <w:shd w:val="clear" w:color="auto" w:fill="auto"/>
            <w:hideMark/>
          </w:tcPr>
          <w:p w14:paraId="0AC1A446" w14:textId="77777777" w:rsidR="002E03B4" w:rsidRPr="000973F2" w:rsidRDefault="002E03B4" w:rsidP="002E03B4">
            <w:pPr>
              <w:spacing w:before="40" w:after="4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Recordkeeping</w:t>
            </w:r>
          </w:p>
        </w:tc>
        <w:tc>
          <w:tcPr>
            <w:tcW w:w="1268" w:type="dxa"/>
            <w:shd w:val="clear" w:color="auto" w:fill="auto"/>
            <w:noWrap/>
            <w:hideMark/>
          </w:tcPr>
          <w:p w14:paraId="41C7CF05" w14:textId="3F605EC0" w:rsidR="002E03B4" w:rsidRPr="000973F2" w:rsidRDefault="002E03B4" w:rsidP="002E03B4">
            <w:pPr>
              <w:spacing w:before="40" w:after="4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w:t>
            </w:r>
          </w:p>
        </w:tc>
        <w:tc>
          <w:tcPr>
            <w:tcW w:w="1268" w:type="dxa"/>
            <w:shd w:val="clear" w:color="auto" w:fill="auto"/>
            <w:noWrap/>
          </w:tcPr>
          <w:p w14:paraId="295DD87F" w14:textId="1D4EA269" w:rsidR="002E03B4" w:rsidRPr="000973F2" w:rsidRDefault="002E03B4" w:rsidP="002E03B4">
            <w:pPr>
              <w:spacing w:before="40" w:after="4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p>
        </w:tc>
        <w:tc>
          <w:tcPr>
            <w:tcW w:w="1268" w:type="dxa"/>
            <w:shd w:val="clear" w:color="auto" w:fill="auto"/>
            <w:noWrap/>
            <w:hideMark/>
          </w:tcPr>
          <w:p w14:paraId="10474646" w14:textId="4B910A95" w:rsidR="002E03B4" w:rsidRPr="000973F2" w:rsidRDefault="002E03B4" w:rsidP="002E03B4">
            <w:pPr>
              <w:spacing w:before="40" w:after="4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w:t>
            </w:r>
          </w:p>
        </w:tc>
        <w:tc>
          <w:tcPr>
            <w:tcW w:w="1300" w:type="dxa"/>
            <w:shd w:val="clear" w:color="auto" w:fill="auto"/>
            <w:noWrap/>
            <w:hideMark/>
          </w:tcPr>
          <w:p w14:paraId="195F9F82" w14:textId="170AE9C0" w:rsidR="002E03B4" w:rsidRPr="000973F2" w:rsidRDefault="002E03B4" w:rsidP="002E03B4">
            <w:pPr>
              <w:spacing w:before="40" w:after="4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w:t>
            </w:r>
          </w:p>
        </w:tc>
        <w:tc>
          <w:tcPr>
            <w:tcW w:w="1236" w:type="dxa"/>
            <w:shd w:val="clear" w:color="auto" w:fill="auto"/>
            <w:noWrap/>
            <w:hideMark/>
          </w:tcPr>
          <w:p w14:paraId="0476FAEC" w14:textId="32FBAAB8" w:rsidR="002E03B4" w:rsidRPr="000973F2" w:rsidRDefault="002E03B4" w:rsidP="002E03B4">
            <w:pPr>
              <w:spacing w:before="40" w:after="4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w:t>
            </w:r>
          </w:p>
        </w:tc>
        <w:tc>
          <w:tcPr>
            <w:tcW w:w="1269" w:type="dxa"/>
            <w:shd w:val="clear" w:color="auto" w:fill="auto"/>
            <w:noWrap/>
            <w:hideMark/>
          </w:tcPr>
          <w:p w14:paraId="6384E827" w14:textId="5DE78F93" w:rsidR="002E03B4" w:rsidRPr="000973F2" w:rsidRDefault="002E03B4" w:rsidP="002E03B4">
            <w:pPr>
              <w:spacing w:before="40" w:after="4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w:t>
            </w:r>
          </w:p>
        </w:tc>
      </w:tr>
      <w:tr w:rsidR="00845109" w:rsidRPr="000973F2" w14:paraId="187ACD94" w14:textId="77777777" w:rsidTr="002E03B4">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1721" w:type="dxa"/>
            <w:hideMark/>
          </w:tcPr>
          <w:p w14:paraId="165B1D0F" w14:textId="77777777" w:rsidR="002E03B4" w:rsidRPr="000973F2" w:rsidRDefault="002E03B4" w:rsidP="002E03B4">
            <w:pPr>
              <w:spacing w:before="40" w:after="4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Travel</w:t>
            </w:r>
          </w:p>
        </w:tc>
        <w:tc>
          <w:tcPr>
            <w:tcW w:w="1268" w:type="dxa"/>
            <w:noWrap/>
            <w:hideMark/>
          </w:tcPr>
          <w:p w14:paraId="4076891D" w14:textId="3067C97A" w:rsidR="002E03B4" w:rsidRPr="000973F2" w:rsidRDefault="002E03B4" w:rsidP="002E03B4">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w:t>
            </w:r>
          </w:p>
        </w:tc>
        <w:tc>
          <w:tcPr>
            <w:tcW w:w="1268" w:type="dxa"/>
            <w:noWrap/>
          </w:tcPr>
          <w:p w14:paraId="1E76EE03" w14:textId="6CB948B8" w:rsidR="002E03B4" w:rsidRPr="000973F2" w:rsidRDefault="002E03B4" w:rsidP="002E03B4">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p>
        </w:tc>
        <w:tc>
          <w:tcPr>
            <w:tcW w:w="1268" w:type="dxa"/>
            <w:noWrap/>
            <w:hideMark/>
          </w:tcPr>
          <w:p w14:paraId="53959FB6" w14:textId="0CBC87DC" w:rsidR="002E03B4" w:rsidRPr="000973F2" w:rsidRDefault="002E03B4" w:rsidP="002E03B4">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w:t>
            </w:r>
          </w:p>
        </w:tc>
        <w:tc>
          <w:tcPr>
            <w:tcW w:w="1300" w:type="dxa"/>
            <w:noWrap/>
            <w:hideMark/>
          </w:tcPr>
          <w:p w14:paraId="2E1CF2EB" w14:textId="21C8B9AB" w:rsidR="002E03B4" w:rsidRPr="000973F2" w:rsidRDefault="002E03B4" w:rsidP="002E03B4">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w:t>
            </w:r>
          </w:p>
        </w:tc>
        <w:tc>
          <w:tcPr>
            <w:tcW w:w="1236" w:type="dxa"/>
            <w:noWrap/>
            <w:hideMark/>
          </w:tcPr>
          <w:p w14:paraId="279FE722" w14:textId="23C4D811" w:rsidR="002E03B4" w:rsidRPr="000973F2" w:rsidRDefault="002E03B4" w:rsidP="002E03B4">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w:t>
            </w:r>
          </w:p>
        </w:tc>
        <w:tc>
          <w:tcPr>
            <w:tcW w:w="1269" w:type="dxa"/>
            <w:noWrap/>
            <w:hideMark/>
          </w:tcPr>
          <w:p w14:paraId="3C72BAF3" w14:textId="07C03B36" w:rsidR="002E03B4" w:rsidRPr="000973F2" w:rsidRDefault="002E03B4" w:rsidP="002E03B4">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w:t>
            </w:r>
          </w:p>
        </w:tc>
      </w:tr>
      <w:tr w:rsidR="00845109" w:rsidRPr="000973F2" w14:paraId="3E461714" w14:textId="77777777" w:rsidTr="002E03B4">
        <w:trPr>
          <w:cantSplit/>
        </w:trPr>
        <w:tc>
          <w:tcPr>
            <w:cnfStyle w:val="001000000000" w:firstRow="0" w:lastRow="0" w:firstColumn="1" w:lastColumn="0" w:oddVBand="0" w:evenVBand="0" w:oddHBand="0" w:evenHBand="0" w:firstRowFirstColumn="0" w:firstRowLastColumn="0" w:lastRowFirstColumn="0" w:lastRowLastColumn="0"/>
            <w:tcW w:w="1721" w:type="dxa"/>
            <w:shd w:val="clear" w:color="auto" w:fill="auto"/>
            <w:hideMark/>
          </w:tcPr>
          <w:p w14:paraId="3A2D5D50" w14:textId="775105C6" w:rsidR="002E03B4" w:rsidRPr="000973F2" w:rsidRDefault="002E03B4" w:rsidP="002E03B4">
            <w:pPr>
              <w:spacing w:before="40" w:after="4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Sampling and Analysis Costs</w:t>
            </w:r>
          </w:p>
        </w:tc>
        <w:tc>
          <w:tcPr>
            <w:tcW w:w="1268" w:type="dxa"/>
            <w:shd w:val="clear" w:color="auto" w:fill="auto"/>
            <w:noWrap/>
            <w:hideMark/>
          </w:tcPr>
          <w:p w14:paraId="7961A8E4" w14:textId="2BE8A639" w:rsidR="002E03B4" w:rsidRPr="000973F2" w:rsidRDefault="002E03B4" w:rsidP="002E03B4">
            <w:pPr>
              <w:spacing w:before="40" w:after="4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w:t>
            </w:r>
          </w:p>
        </w:tc>
        <w:tc>
          <w:tcPr>
            <w:tcW w:w="1268" w:type="dxa"/>
            <w:shd w:val="clear" w:color="auto" w:fill="auto"/>
            <w:noWrap/>
          </w:tcPr>
          <w:p w14:paraId="32992312" w14:textId="1B27ABFD" w:rsidR="002E03B4" w:rsidRPr="000973F2" w:rsidRDefault="002E03B4" w:rsidP="002E03B4">
            <w:pPr>
              <w:spacing w:before="40" w:after="4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p>
        </w:tc>
        <w:tc>
          <w:tcPr>
            <w:tcW w:w="1268" w:type="dxa"/>
            <w:shd w:val="clear" w:color="auto" w:fill="auto"/>
            <w:noWrap/>
            <w:hideMark/>
          </w:tcPr>
          <w:p w14:paraId="37E34746" w14:textId="29C9441C" w:rsidR="002E03B4" w:rsidRPr="000973F2" w:rsidRDefault="002E03B4" w:rsidP="002E03B4">
            <w:pPr>
              <w:spacing w:before="40" w:after="4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w:t>
            </w:r>
          </w:p>
        </w:tc>
        <w:tc>
          <w:tcPr>
            <w:tcW w:w="1300" w:type="dxa"/>
            <w:shd w:val="clear" w:color="auto" w:fill="auto"/>
            <w:noWrap/>
            <w:hideMark/>
          </w:tcPr>
          <w:p w14:paraId="25322B30" w14:textId="6BA92C8A" w:rsidR="002E03B4" w:rsidRPr="000973F2" w:rsidRDefault="002E03B4" w:rsidP="002E03B4">
            <w:pPr>
              <w:spacing w:before="40" w:after="4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w:t>
            </w:r>
          </w:p>
        </w:tc>
        <w:tc>
          <w:tcPr>
            <w:tcW w:w="1236" w:type="dxa"/>
            <w:shd w:val="clear" w:color="auto" w:fill="auto"/>
            <w:noWrap/>
            <w:hideMark/>
          </w:tcPr>
          <w:p w14:paraId="10AF935A" w14:textId="4625FB49" w:rsidR="002E03B4" w:rsidRPr="000973F2" w:rsidRDefault="002E03B4" w:rsidP="002E03B4">
            <w:pPr>
              <w:spacing w:before="40" w:after="4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w:t>
            </w:r>
          </w:p>
        </w:tc>
        <w:tc>
          <w:tcPr>
            <w:tcW w:w="1269" w:type="dxa"/>
            <w:shd w:val="clear" w:color="auto" w:fill="auto"/>
            <w:noWrap/>
            <w:hideMark/>
          </w:tcPr>
          <w:p w14:paraId="3AB49F0A" w14:textId="0FC46ACE" w:rsidR="002E03B4" w:rsidRPr="000973F2" w:rsidRDefault="002E03B4" w:rsidP="002E03B4">
            <w:pPr>
              <w:spacing w:before="40" w:after="4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w:t>
            </w:r>
          </w:p>
        </w:tc>
      </w:tr>
      <w:tr w:rsidR="007B434D" w:rsidRPr="000973F2" w14:paraId="4FA5F6DC" w14:textId="77777777" w:rsidTr="00B6531F">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1721" w:type="dxa"/>
            <w:hideMark/>
          </w:tcPr>
          <w:p w14:paraId="21F028F1" w14:textId="77777777" w:rsidR="007B434D" w:rsidRPr="000973F2" w:rsidRDefault="007B434D" w:rsidP="002E03B4">
            <w:pPr>
              <w:spacing w:before="40" w:after="40"/>
              <w:rPr>
                <w:rFonts w:ascii="Times New Roman" w:eastAsia="Times New Roman" w:hAnsi="Times New Roman" w:cs="Times New Roman"/>
                <w:b/>
                <w:bCs w:val="0"/>
                <w:sz w:val="18"/>
                <w:szCs w:val="18"/>
              </w:rPr>
            </w:pPr>
            <w:r w:rsidRPr="000973F2">
              <w:rPr>
                <w:rFonts w:ascii="Times New Roman" w:eastAsia="Times New Roman" w:hAnsi="Times New Roman" w:cs="Times New Roman"/>
                <w:b/>
                <w:sz w:val="18"/>
                <w:szCs w:val="18"/>
              </w:rPr>
              <w:t>Total</w:t>
            </w:r>
          </w:p>
        </w:tc>
        <w:tc>
          <w:tcPr>
            <w:tcW w:w="1268" w:type="dxa"/>
            <w:noWrap/>
            <w:hideMark/>
          </w:tcPr>
          <w:p w14:paraId="155F74C1" w14:textId="77777777" w:rsidR="007B434D" w:rsidRPr="000973F2" w:rsidRDefault="007B434D" w:rsidP="002E03B4">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sz w:val="18"/>
                <w:szCs w:val="18"/>
              </w:rPr>
            </w:pPr>
            <w:r w:rsidRPr="000973F2">
              <w:rPr>
                <w:rFonts w:ascii="Times New Roman" w:eastAsia="Times New Roman" w:hAnsi="Times New Roman" w:cs="Times New Roman"/>
                <w:b/>
                <w:sz w:val="18"/>
                <w:szCs w:val="18"/>
              </w:rPr>
              <w:t>$0</w:t>
            </w:r>
          </w:p>
        </w:tc>
        <w:tc>
          <w:tcPr>
            <w:tcW w:w="1268" w:type="dxa"/>
            <w:noWrap/>
            <w:hideMark/>
          </w:tcPr>
          <w:p w14:paraId="0A0EC35E" w14:textId="4385DA4F" w:rsidR="007B434D" w:rsidRPr="000973F2" w:rsidRDefault="007B434D" w:rsidP="002E03B4">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sz w:val="18"/>
                <w:szCs w:val="18"/>
              </w:rPr>
            </w:pPr>
          </w:p>
        </w:tc>
        <w:tc>
          <w:tcPr>
            <w:tcW w:w="1268" w:type="dxa"/>
            <w:noWrap/>
            <w:hideMark/>
          </w:tcPr>
          <w:p w14:paraId="7369A9EA" w14:textId="77777777" w:rsidR="007B434D" w:rsidRPr="000973F2" w:rsidRDefault="007B434D" w:rsidP="002E03B4">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sz w:val="18"/>
                <w:szCs w:val="18"/>
              </w:rPr>
            </w:pPr>
            <w:r w:rsidRPr="000973F2">
              <w:rPr>
                <w:rFonts w:ascii="Times New Roman" w:eastAsia="Times New Roman" w:hAnsi="Times New Roman" w:cs="Times New Roman"/>
                <w:b/>
                <w:sz w:val="18"/>
                <w:szCs w:val="18"/>
              </w:rPr>
              <w:t>$0</w:t>
            </w:r>
          </w:p>
        </w:tc>
        <w:tc>
          <w:tcPr>
            <w:tcW w:w="1300" w:type="dxa"/>
            <w:noWrap/>
            <w:hideMark/>
          </w:tcPr>
          <w:p w14:paraId="37A85BC3" w14:textId="77777777" w:rsidR="007B434D" w:rsidRPr="000973F2" w:rsidRDefault="007B434D" w:rsidP="002E03B4">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sz w:val="18"/>
                <w:szCs w:val="18"/>
              </w:rPr>
            </w:pPr>
            <w:r w:rsidRPr="000973F2">
              <w:rPr>
                <w:rFonts w:ascii="Times New Roman" w:eastAsia="Times New Roman" w:hAnsi="Times New Roman" w:cs="Times New Roman"/>
                <w:b/>
                <w:sz w:val="18"/>
                <w:szCs w:val="18"/>
              </w:rPr>
              <w:t>$1,817</w:t>
            </w:r>
          </w:p>
        </w:tc>
        <w:tc>
          <w:tcPr>
            <w:tcW w:w="1236" w:type="dxa"/>
            <w:noWrap/>
            <w:hideMark/>
          </w:tcPr>
          <w:p w14:paraId="50D51517" w14:textId="77777777" w:rsidR="007B434D" w:rsidRPr="000973F2" w:rsidRDefault="007B434D" w:rsidP="002E03B4">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sz w:val="18"/>
                <w:szCs w:val="18"/>
              </w:rPr>
            </w:pPr>
            <w:r w:rsidRPr="000973F2">
              <w:rPr>
                <w:rFonts w:ascii="Times New Roman" w:eastAsia="Times New Roman" w:hAnsi="Times New Roman" w:cs="Times New Roman"/>
                <w:b/>
                <w:sz w:val="18"/>
                <w:szCs w:val="18"/>
              </w:rPr>
              <w:t>$0</w:t>
            </w:r>
          </w:p>
        </w:tc>
        <w:tc>
          <w:tcPr>
            <w:tcW w:w="1269" w:type="dxa"/>
            <w:noWrap/>
            <w:hideMark/>
          </w:tcPr>
          <w:p w14:paraId="1996F79D" w14:textId="77777777" w:rsidR="007B434D" w:rsidRPr="000973F2" w:rsidRDefault="007B434D" w:rsidP="002E03B4">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sz w:val="18"/>
                <w:szCs w:val="18"/>
              </w:rPr>
            </w:pPr>
            <w:r w:rsidRPr="000973F2">
              <w:rPr>
                <w:rFonts w:ascii="Times New Roman" w:eastAsia="Times New Roman" w:hAnsi="Times New Roman" w:cs="Times New Roman"/>
                <w:b/>
                <w:sz w:val="18"/>
                <w:szCs w:val="18"/>
              </w:rPr>
              <w:t>$1,817</w:t>
            </w:r>
          </w:p>
        </w:tc>
      </w:tr>
    </w:tbl>
    <w:p w14:paraId="621479C2" w14:textId="77777777" w:rsidR="007B434D" w:rsidRPr="000973F2" w:rsidRDefault="007B434D" w:rsidP="002E03B4">
      <w:pPr>
        <w:pStyle w:val="AfterTable"/>
      </w:pPr>
    </w:p>
    <w:p w14:paraId="469002CF" w14:textId="77777777" w:rsidR="007B434D" w:rsidRPr="000973F2" w:rsidRDefault="007B434D" w:rsidP="0061585D">
      <w:pPr>
        <w:pStyle w:val="Heading2"/>
      </w:pPr>
      <w:r w:rsidRPr="000973F2">
        <w:t>Total Costs for Subpart CC</w:t>
      </w:r>
    </w:p>
    <w:p w14:paraId="1DC8984B" w14:textId="77777777" w:rsidR="007B434D" w:rsidRPr="000973F2" w:rsidRDefault="007B434D" w:rsidP="002E03B4">
      <w:pPr>
        <w:pStyle w:val="BodyText"/>
      </w:pPr>
      <w:r w:rsidRPr="000973F2">
        <w:t>The total industry costs related to Subpart CC are approximately $4,500 per year for a total of $13,600 over the three-year period of the ICR. Four facilities are expected to report in 2019, 2020, and 2021.</w:t>
      </w:r>
    </w:p>
    <w:p w14:paraId="22671B4C" w14:textId="5116DB32" w:rsidR="00F8656B" w:rsidRPr="000973F2" w:rsidRDefault="00F8656B" w:rsidP="00C00E4F">
      <w:pPr>
        <w:spacing w:line="240" w:lineRule="auto"/>
        <w:rPr>
          <w:rFonts w:ascii="Times New Roman" w:hAnsi="Times New Roman" w:cs="Times New Roman"/>
        </w:rPr>
      </w:pPr>
      <w:r w:rsidRPr="000973F2">
        <w:rPr>
          <w:rFonts w:ascii="Times New Roman" w:hAnsi="Times New Roman" w:cs="Times New Roman"/>
        </w:rPr>
        <w:br w:type="page"/>
      </w:r>
    </w:p>
    <w:p w14:paraId="7A663EA3" w14:textId="77777777" w:rsidR="00661F03" w:rsidRPr="000973F2" w:rsidRDefault="00661F03" w:rsidP="002E03B4">
      <w:pPr>
        <w:pStyle w:val="Heading1"/>
      </w:pPr>
      <w:bookmarkStart w:id="56" w:name="_Toc10715621"/>
      <w:r w:rsidRPr="000973F2">
        <w:t>Cost Appendix for Subpart DD – Electrical Transmission and Distribution Equipment Use</w:t>
      </w:r>
      <w:bookmarkEnd w:id="56"/>
    </w:p>
    <w:p w14:paraId="3F7DDB24" w14:textId="77777777" w:rsidR="00661F03" w:rsidRPr="000973F2" w:rsidRDefault="00661F03" w:rsidP="002E03B4">
      <w:pPr>
        <w:pStyle w:val="Heading2"/>
      </w:pPr>
      <w:r w:rsidRPr="000973F2">
        <w:t>Description of Subpart DD</w:t>
      </w:r>
    </w:p>
    <w:p w14:paraId="5A4CCB85" w14:textId="30F924CF" w:rsidR="00661F03" w:rsidRPr="000973F2" w:rsidRDefault="00661F03" w:rsidP="002E03B4">
      <w:pPr>
        <w:pStyle w:val="BodyText"/>
      </w:pPr>
      <w:r w:rsidRPr="000973F2">
        <w:t>For purposes of the GHGRP, the Electrical Transmission and Distribution Equipment Use source category consists of all electric transmission and distribution equipment and servicing inventory insulated with or containing sulfur hexafluoride (SF</w:t>
      </w:r>
      <w:r w:rsidRPr="000973F2">
        <w:rPr>
          <w:vertAlign w:val="subscript"/>
        </w:rPr>
        <w:t>6</w:t>
      </w:r>
      <w:r w:rsidRPr="000973F2">
        <w:t>) or perfluorocarbons (PFCs) used within an electric power system. Electric transmission and distribution equipment and servicing inventory includes, but is not limited to, gas-insulated substations, circuit breakers, switchgear, including closed-pressure and hermetically sealed-pressure switchgear and gas-insulated lines containing SF</w:t>
      </w:r>
      <w:r w:rsidRPr="000973F2">
        <w:rPr>
          <w:vertAlign w:val="subscript"/>
        </w:rPr>
        <w:t>6</w:t>
      </w:r>
      <w:r w:rsidRPr="000973F2">
        <w:t xml:space="preserve"> or PFCs, gas containers such as pressurized cylinders, gas carts, electric power transformers and other containers of SF</w:t>
      </w:r>
      <w:r w:rsidRPr="000973F2">
        <w:rPr>
          <w:vertAlign w:val="subscript"/>
        </w:rPr>
        <w:t>6</w:t>
      </w:r>
      <w:r w:rsidRPr="000973F2">
        <w:t xml:space="preserve"> or PFCs. In RY2017, 83 facilities reported to Subpart DD. Based on the number of facilities consistently decreasing for Subpart DD, zero new facilities are expected </w:t>
      </w:r>
      <w:r w:rsidR="005B76DE" w:rsidRPr="000973F2">
        <w:t>during the</w:t>
      </w:r>
      <w:r w:rsidRPr="000973F2">
        <w:t xml:space="preserve"> three</w:t>
      </w:r>
      <w:r w:rsidR="005B76DE" w:rsidRPr="000973F2">
        <w:t>-</w:t>
      </w:r>
      <w:r w:rsidRPr="000973F2">
        <w:t>year</w:t>
      </w:r>
      <w:r w:rsidR="005B76DE" w:rsidRPr="000973F2">
        <w:t xml:space="preserve"> period covered by this ICR</w:t>
      </w:r>
      <w:r w:rsidRPr="000973F2">
        <w:t>. Initial year costs apply to new facilities; therefore, those costs are zero in the tables below.</w:t>
      </w:r>
    </w:p>
    <w:p w14:paraId="4F28862E" w14:textId="6105EB05" w:rsidR="00661F03" w:rsidRPr="000973F2" w:rsidRDefault="00661F03" w:rsidP="002E03B4">
      <w:pPr>
        <w:pStyle w:val="BodyText"/>
      </w:pPr>
      <w:r w:rsidRPr="000973F2">
        <w:t>Facilities reporting under Subpart DD calculate their emissions using the mass balance approach in §98.303(a) and (b).</w:t>
      </w:r>
    </w:p>
    <w:p w14:paraId="60B07CE2" w14:textId="77777777" w:rsidR="00661F03" w:rsidRPr="000973F2" w:rsidRDefault="00661F03" w:rsidP="00C00E4F">
      <w:pPr>
        <w:spacing w:line="240" w:lineRule="auto"/>
        <w:rPr>
          <w:rFonts w:ascii="Times New Roman" w:hAnsi="Times New Roman" w:cs="Times New Roman"/>
          <w:b/>
          <w:i/>
        </w:rPr>
      </w:pPr>
      <w:r w:rsidRPr="000973F2">
        <w:rPr>
          <w:rFonts w:ascii="Times New Roman" w:hAnsi="Times New Roman" w:cs="Times New Roman"/>
          <w:b/>
          <w:i/>
        </w:rPr>
        <w:t>Labor Costs for Subpart DD</w:t>
      </w:r>
    </w:p>
    <w:p w14:paraId="6DB3D2B3" w14:textId="14A7FAA5" w:rsidR="00661F03" w:rsidRPr="000973F2" w:rsidRDefault="00661F03" w:rsidP="002E03B4">
      <w:pPr>
        <w:pStyle w:val="BodyText"/>
      </w:pPr>
      <w:r w:rsidRPr="000973F2">
        <w:t xml:space="preserve">Table </w:t>
      </w:r>
      <w:r w:rsidR="002E03B4" w:rsidRPr="000973F2">
        <w:t>DD-</w:t>
      </w:r>
      <w:r w:rsidRPr="000973F2">
        <w:t xml:space="preserve">1 below includes the labor hours for each of the 83 facilities to determine emissions under Subpart DD. Typical activities related to planning, QA/QC, recordkeeping and reporting, and sampling and analysis are discussed in the Cost Appendix Introduction. Specific labor costs related to sampling and analysis activities for Subpart DD include overseeing a contractor who weighs the gas cylinders and performing emission calculations. Recordkeeping and reporting hours are based on the “medium bin” designation, as discussed in the Cost Appendix Introduction. </w:t>
      </w:r>
    </w:p>
    <w:p w14:paraId="71A0CEA1" w14:textId="76C0AB2B" w:rsidR="00661F03" w:rsidRPr="000973F2" w:rsidRDefault="00661F03" w:rsidP="002E03B4">
      <w:pPr>
        <w:pStyle w:val="Tabletitle"/>
        <w:rPr>
          <w:i/>
        </w:rPr>
      </w:pPr>
      <w:r w:rsidRPr="000973F2">
        <w:t xml:space="preserve">Table </w:t>
      </w:r>
      <w:r w:rsidR="002E03B4" w:rsidRPr="000973F2">
        <w:t>DD-</w:t>
      </w:r>
      <w:r w:rsidRPr="000973F2">
        <w:t xml:space="preserve">1. Labor Costs </w:t>
      </w:r>
      <w:r w:rsidR="00B960CC" w:rsidRPr="000973F2">
        <w:t>–</w:t>
      </w:r>
      <w:r w:rsidRPr="000973F2">
        <w:t xml:space="preserve"> Subpart DD </w:t>
      </w:r>
    </w:p>
    <w:tbl>
      <w:tblPr>
        <w:tblStyle w:val="PlainTable1"/>
        <w:tblW w:w="5000" w:type="pct"/>
        <w:jc w:val="left"/>
        <w:tblLayout w:type="fixed"/>
        <w:tblCellMar>
          <w:left w:w="115" w:type="dxa"/>
          <w:right w:w="115" w:type="dxa"/>
        </w:tblCellMar>
        <w:tblLook w:val="04A0" w:firstRow="1" w:lastRow="0" w:firstColumn="1" w:lastColumn="0" w:noHBand="0" w:noVBand="1"/>
      </w:tblPr>
      <w:tblGrid>
        <w:gridCol w:w="1464"/>
        <w:gridCol w:w="797"/>
        <w:gridCol w:w="797"/>
        <w:gridCol w:w="797"/>
        <w:gridCol w:w="798"/>
        <w:gridCol w:w="798"/>
        <w:gridCol w:w="798"/>
        <w:gridCol w:w="798"/>
        <w:gridCol w:w="799"/>
        <w:gridCol w:w="872"/>
        <w:gridCol w:w="872"/>
      </w:tblGrid>
      <w:tr w:rsidR="00661F03" w:rsidRPr="000973F2" w14:paraId="63EF845B" w14:textId="77777777" w:rsidTr="00B6531F">
        <w:trPr>
          <w:cnfStyle w:val="100000000000" w:firstRow="1" w:lastRow="0" w:firstColumn="0" w:lastColumn="0" w:oddVBand="0" w:evenVBand="0" w:oddHBand="0" w:evenHBand="0" w:firstRowFirstColumn="0" w:firstRowLastColumn="0" w:lastRowFirstColumn="0" w:lastRowLastColumn="0"/>
          <w:cantSplit/>
          <w:jc w:val="left"/>
        </w:trPr>
        <w:tc>
          <w:tcPr>
            <w:cnfStyle w:val="001000000000" w:firstRow="0" w:lastRow="0" w:firstColumn="1" w:lastColumn="0" w:oddVBand="0" w:evenVBand="0" w:oddHBand="0" w:evenHBand="0" w:firstRowFirstColumn="0" w:firstRowLastColumn="0" w:lastRowFirstColumn="0" w:lastRowLastColumn="0"/>
            <w:tcW w:w="1425" w:type="dxa"/>
            <w:vMerge w:val="restart"/>
            <w:noWrap/>
            <w:vAlign w:val="top"/>
            <w:hideMark/>
          </w:tcPr>
          <w:p w14:paraId="4123EF20" w14:textId="77777777" w:rsidR="00661F03" w:rsidRPr="000973F2" w:rsidRDefault="00661F03" w:rsidP="002E03B4">
            <w:pPr>
              <w:spacing w:before="40" w:after="40"/>
              <w:rPr>
                <w:rFonts w:ascii="Times New Roman" w:eastAsia="Times New Roman" w:hAnsi="Times New Roman" w:cs="Times New Roman"/>
                <w:b w:val="0"/>
                <w:bCs w:val="0"/>
                <w:sz w:val="18"/>
                <w:szCs w:val="18"/>
              </w:rPr>
            </w:pPr>
            <w:r w:rsidRPr="000973F2">
              <w:rPr>
                <w:rFonts w:ascii="Times New Roman" w:eastAsia="Times New Roman" w:hAnsi="Times New Roman" w:cs="Times New Roman"/>
                <w:sz w:val="18"/>
                <w:szCs w:val="18"/>
              </w:rPr>
              <w:t>Activity</w:t>
            </w:r>
          </w:p>
        </w:tc>
        <w:tc>
          <w:tcPr>
            <w:tcW w:w="6209" w:type="dxa"/>
            <w:gridSpan w:val="8"/>
            <w:noWrap/>
            <w:vAlign w:val="top"/>
            <w:hideMark/>
          </w:tcPr>
          <w:p w14:paraId="1A996330" w14:textId="77777777" w:rsidR="00661F03" w:rsidRPr="000973F2" w:rsidRDefault="00661F03" w:rsidP="002E03B4">
            <w:pPr>
              <w:spacing w:before="40" w:after="40"/>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bCs w:val="0"/>
                <w:sz w:val="18"/>
                <w:szCs w:val="18"/>
              </w:rPr>
            </w:pPr>
            <w:r w:rsidRPr="000973F2">
              <w:rPr>
                <w:rFonts w:ascii="Times New Roman" w:eastAsia="Times New Roman" w:hAnsi="Times New Roman" w:cs="Times New Roman"/>
                <w:sz w:val="18"/>
                <w:szCs w:val="18"/>
              </w:rPr>
              <w:t>Labor Rates (per hour)</w:t>
            </w:r>
          </w:p>
        </w:tc>
        <w:tc>
          <w:tcPr>
            <w:tcW w:w="1696" w:type="dxa"/>
            <w:gridSpan w:val="2"/>
            <w:vMerge w:val="restart"/>
            <w:vAlign w:val="top"/>
            <w:hideMark/>
          </w:tcPr>
          <w:p w14:paraId="097EE3A2" w14:textId="77777777" w:rsidR="00661F03" w:rsidRPr="000973F2" w:rsidRDefault="00661F03" w:rsidP="002E03B4">
            <w:pPr>
              <w:spacing w:before="40" w:after="40"/>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bCs w:val="0"/>
                <w:sz w:val="18"/>
                <w:szCs w:val="18"/>
              </w:rPr>
            </w:pPr>
            <w:r w:rsidRPr="000973F2">
              <w:rPr>
                <w:rFonts w:ascii="Times New Roman" w:eastAsia="Times New Roman" w:hAnsi="Times New Roman" w:cs="Times New Roman"/>
                <w:sz w:val="18"/>
                <w:szCs w:val="18"/>
              </w:rPr>
              <w:t>Total Labor Cost per Year per Facility (2017$)</w:t>
            </w:r>
          </w:p>
        </w:tc>
      </w:tr>
      <w:tr w:rsidR="00661F03" w:rsidRPr="000973F2" w14:paraId="6B48A2EA" w14:textId="77777777" w:rsidTr="00B6531F">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1425" w:type="dxa"/>
            <w:vMerge/>
            <w:hideMark/>
          </w:tcPr>
          <w:p w14:paraId="76B59456" w14:textId="77777777" w:rsidR="00661F03" w:rsidRPr="000973F2" w:rsidRDefault="00661F03" w:rsidP="002E03B4">
            <w:pPr>
              <w:spacing w:before="40" w:after="40"/>
              <w:rPr>
                <w:rFonts w:ascii="Times New Roman" w:eastAsia="Times New Roman" w:hAnsi="Times New Roman" w:cs="Times New Roman"/>
                <w:b/>
                <w:bCs w:val="0"/>
                <w:sz w:val="18"/>
                <w:szCs w:val="18"/>
              </w:rPr>
            </w:pPr>
          </w:p>
        </w:tc>
        <w:tc>
          <w:tcPr>
            <w:tcW w:w="1552" w:type="dxa"/>
            <w:gridSpan w:val="2"/>
            <w:noWrap/>
            <w:hideMark/>
          </w:tcPr>
          <w:p w14:paraId="2F089C0F" w14:textId="77777777" w:rsidR="00661F03" w:rsidRPr="000973F2" w:rsidRDefault="00661F03" w:rsidP="002E03B4">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18"/>
                <w:szCs w:val="18"/>
              </w:rPr>
            </w:pPr>
            <w:r w:rsidRPr="000973F2">
              <w:rPr>
                <w:rFonts w:ascii="Times New Roman" w:eastAsia="Times New Roman" w:hAnsi="Times New Roman" w:cs="Times New Roman"/>
                <w:b/>
                <w:bCs/>
                <w:sz w:val="18"/>
                <w:szCs w:val="18"/>
              </w:rPr>
              <w:t>Lawyer</w:t>
            </w:r>
          </w:p>
        </w:tc>
        <w:tc>
          <w:tcPr>
            <w:tcW w:w="1552" w:type="dxa"/>
            <w:gridSpan w:val="2"/>
            <w:noWrap/>
            <w:hideMark/>
          </w:tcPr>
          <w:p w14:paraId="7857A5D1" w14:textId="77777777" w:rsidR="00661F03" w:rsidRPr="000973F2" w:rsidRDefault="00661F03" w:rsidP="002E03B4">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18"/>
                <w:szCs w:val="18"/>
              </w:rPr>
            </w:pPr>
            <w:r w:rsidRPr="000973F2">
              <w:rPr>
                <w:rFonts w:ascii="Times New Roman" w:eastAsia="Times New Roman" w:hAnsi="Times New Roman" w:cs="Times New Roman"/>
                <w:b/>
                <w:bCs/>
                <w:sz w:val="18"/>
                <w:szCs w:val="18"/>
              </w:rPr>
              <w:t>Industrial Manager</w:t>
            </w:r>
          </w:p>
        </w:tc>
        <w:tc>
          <w:tcPr>
            <w:tcW w:w="1552" w:type="dxa"/>
            <w:gridSpan w:val="2"/>
            <w:hideMark/>
          </w:tcPr>
          <w:p w14:paraId="55812FDF" w14:textId="6D0E5251" w:rsidR="00661F03" w:rsidRPr="000973F2" w:rsidRDefault="00661F03" w:rsidP="002E03B4">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18"/>
                <w:szCs w:val="18"/>
              </w:rPr>
            </w:pPr>
            <w:r w:rsidRPr="000973F2">
              <w:rPr>
                <w:rFonts w:ascii="Times New Roman" w:eastAsia="Times New Roman" w:hAnsi="Times New Roman" w:cs="Times New Roman"/>
                <w:b/>
                <w:bCs/>
                <w:sz w:val="18"/>
                <w:szCs w:val="18"/>
              </w:rPr>
              <w:t>Industrial Engineer/</w:t>
            </w:r>
            <w:r w:rsidR="002E03B4" w:rsidRPr="000973F2">
              <w:rPr>
                <w:rFonts w:ascii="Times New Roman" w:eastAsia="Times New Roman" w:hAnsi="Times New Roman" w:cs="Times New Roman"/>
                <w:b/>
                <w:bCs/>
                <w:sz w:val="18"/>
                <w:szCs w:val="18"/>
              </w:rPr>
              <w:t xml:space="preserve"> </w:t>
            </w:r>
            <w:r w:rsidRPr="000973F2">
              <w:rPr>
                <w:rFonts w:ascii="Times New Roman" w:eastAsia="Times New Roman" w:hAnsi="Times New Roman" w:cs="Times New Roman"/>
                <w:b/>
                <w:bCs/>
                <w:sz w:val="18"/>
                <w:szCs w:val="18"/>
              </w:rPr>
              <w:t>Technician</w:t>
            </w:r>
          </w:p>
        </w:tc>
        <w:tc>
          <w:tcPr>
            <w:tcW w:w="1553" w:type="dxa"/>
            <w:gridSpan w:val="2"/>
            <w:hideMark/>
          </w:tcPr>
          <w:p w14:paraId="58165C0C" w14:textId="77777777" w:rsidR="00661F03" w:rsidRPr="000973F2" w:rsidRDefault="00661F03" w:rsidP="002E03B4">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18"/>
                <w:szCs w:val="18"/>
              </w:rPr>
            </w:pPr>
            <w:r w:rsidRPr="000973F2">
              <w:rPr>
                <w:rFonts w:ascii="Times New Roman" w:eastAsia="Times New Roman" w:hAnsi="Times New Roman" w:cs="Times New Roman"/>
                <w:b/>
                <w:bCs/>
                <w:sz w:val="18"/>
                <w:szCs w:val="18"/>
              </w:rPr>
              <w:t>Administrative Support</w:t>
            </w:r>
          </w:p>
        </w:tc>
        <w:tc>
          <w:tcPr>
            <w:tcW w:w="1696" w:type="dxa"/>
            <w:gridSpan w:val="2"/>
            <w:vMerge/>
            <w:hideMark/>
          </w:tcPr>
          <w:p w14:paraId="6CD6109F" w14:textId="77777777" w:rsidR="00661F03" w:rsidRPr="000973F2" w:rsidRDefault="00661F03" w:rsidP="002E03B4">
            <w:pPr>
              <w:spacing w:before="40" w:after="4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18"/>
                <w:szCs w:val="18"/>
              </w:rPr>
            </w:pPr>
          </w:p>
        </w:tc>
      </w:tr>
      <w:tr w:rsidR="00661F03" w:rsidRPr="000973F2" w14:paraId="449E67CE" w14:textId="77777777" w:rsidTr="00B6531F">
        <w:trPr>
          <w:cantSplit/>
        </w:trPr>
        <w:tc>
          <w:tcPr>
            <w:cnfStyle w:val="001000000000" w:firstRow="0" w:lastRow="0" w:firstColumn="1" w:lastColumn="0" w:oddVBand="0" w:evenVBand="0" w:oddHBand="0" w:evenHBand="0" w:firstRowFirstColumn="0" w:firstRowLastColumn="0" w:lastRowFirstColumn="0" w:lastRowLastColumn="0"/>
            <w:tcW w:w="1425" w:type="dxa"/>
            <w:vMerge/>
            <w:hideMark/>
          </w:tcPr>
          <w:p w14:paraId="5C9ECE49" w14:textId="77777777" w:rsidR="00661F03" w:rsidRPr="000973F2" w:rsidRDefault="00661F03" w:rsidP="002E03B4">
            <w:pPr>
              <w:spacing w:before="40" w:after="40"/>
              <w:rPr>
                <w:rFonts w:ascii="Times New Roman" w:eastAsia="Times New Roman" w:hAnsi="Times New Roman" w:cs="Times New Roman"/>
                <w:b/>
                <w:bCs w:val="0"/>
                <w:sz w:val="18"/>
                <w:szCs w:val="18"/>
              </w:rPr>
            </w:pPr>
          </w:p>
        </w:tc>
        <w:tc>
          <w:tcPr>
            <w:tcW w:w="1552" w:type="dxa"/>
            <w:gridSpan w:val="2"/>
            <w:noWrap/>
            <w:hideMark/>
          </w:tcPr>
          <w:p w14:paraId="535CBA48" w14:textId="77777777" w:rsidR="00661F03" w:rsidRPr="000973F2" w:rsidRDefault="00661F03" w:rsidP="002E03B4">
            <w:pPr>
              <w:spacing w:before="40" w:after="4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sz w:val="18"/>
                <w:szCs w:val="18"/>
              </w:rPr>
            </w:pPr>
            <w:r w:rsidRPr="000973F2">
              <w:rPr>
                <w:rFonts w:ascii="Times New Roman" w:eastAsia="Times New Roman" w:hAnsi="Times New Roman" w:cs="Times New Roman"/>
                <w:b/>
                <w:bCs/>
                <w:sz w:val="18"/>
                <w:szCs w:val="18"/>
              </w:rPr>
              <w:t xml:space="preserve">$112.23 </w:t>
            </w:r>
          </w:p>
        </w:tc>
        <w:tc>
          <w:tcPr>
            <w:tcW w:w="1552" w:type="dxa"/>
            <w:gridSpan w:val="2"/>
            <w:noWrap/>
            <w:hideMark/>
          </w:tcPr>
          <w:p w14:paraId="27634E59" w14:textId="77777777" w:rsidR="00661F03" w:rsidRPr="000973F2" w:rsidRDefault="00661F03" w:rsidP="002E03B4">
            <w:pPr>
              <w:spacing w:before="40" w:after="4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sz w:val="18"/>
                <w:szCs w:val="18"/>
              </w:rPr>
            </w:pPr>
            <w:r w:rsidRPr="000973F2">
              <w:rPr>
                <w:rFonts w:ascii="Times New Roman" w:eastAsia="Times New Roman" w:hAnsi="Times New Roman" w:cs="Times New Roman"/>
                <w:b/>
                <w:bCs/>
                <w:sz w:val="18"/>
                <w:szCs w:val="18"/>
              </w:rPr>
              <w:t xml:space="preserve">$87.45 </w:t>
            </w:r>
          </w:p>
        </w:tc>
        <w:tc>
          <w:tcPr>
            <w:tcW w:w="1552" w:type="dxa"/>
            <w:gridSpan w:val="2"/>
            <w:noWrap/>
            <w:hideMark/>
          </w:tcPr>
          <w:p w14:paraId="27C17F48" w14:textId="77777777" w:rsidR="00661F03" w:rsidRPr="000973F2" w:rsidRDefault="00661F03" w:rsidP="002E03B4">
            <w:pPr>
              <w:spacing w:before="40" w:after="4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sz w:val="18"/>
                <w:szCs w:val="18"/>
              </w:rPr>
            </w:pPr>
            <w:r w:rsidRPr="000973F2">
              <w:rPr>
                <w:rFonts w:ascii="Times New Roman" w:eastAsia="Times New Roman" w:hAnsi="Times New Roman" w:cs="Times New Roman"/>
                <w:b/>
                <w:bCs/>
                <w:sz w:val="18"/>
                <w:szCs w:val="18"/>
              </w:rPr>
              <w:t xml:space="preserve">$71.45 </w:t>
            </w:r>
          </w:p>
        </w:tc>
        <w:tc>
          <w:tcPr>
            <w:tcW w:w="1553" w:type="dxa"/>
            <w:gridSpan w:val="2"/>
            <w:noWrap/>
            <w:hideMark/>
          </w:tcPr>
          <w:p w14:paraId="453CA38E" w14:textId="77777777" w:rsidR="00661F03" w:rsidRPr="000973F2" w:rsidRDefault="00661F03" w:rsidP="002E03B4">
            <w:pPr>
              <w:spacing w:before="40" w:after="4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sz w:val="18"/>
                <w:szCs w:val="18"/>
              </w:rPr>
            </w:pPr>
            <w:r w:rsidRPr="000973F2">
              <w:rPr>
                <w:rFonts w:ascii="Times New Roman" w:eastAsia="Times New Roman" w:hAnsi="Times New Roman" w:cs="Times New Roman"/>
                <w:b/>
                <w:bCs/>
                <w:sz w:val="18"/>
                <w:szCs w:val="18"/>
              </w:rPr>
              <w:t xml:space="preserve">$36.28 </w:t>
            </w:r>
          </w:p>
        </w:tc>
        <w:tc>
          <w:tcPr>
            <w:tcW w:w="1696" w:type="dxa"/>
            <w:gridSpan w:val="2"/>
            <w:vMerge/>
            <w:hideMark/>
          </w:tcPr>
          <w:p w14:paraId="425B537B" w14:textId="77777777" w:rsidR="00661F03" w:rsidRPr="000973F2" w:rsidRDefault="00661F03" w:rsidP="002E03B4">
            <w:pPr>
              <w:spacing w:before="40" w:after="4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sz w:val="18"/>
                <w:szCs w:val="18"/>
              </w:rPr>
            </w:pPr>
          </w:p>
        </w:tc>
      </w:tr>
      <w:tr w:rsidR="00661F03" w:rsidRPr="000973F2" w14:paraId="27933962" w14:textId="77777777" w:rsidTr="00B6531F">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1425" w:type="dxa"/>
            <w:vMerge/>
            <w:hideMark/>
          </w:tcPr>
          <w:p w14:paraId="0C0126AD" w14:textId="77777777" w:rsidR="00661F03" w:rsidRPr="000973F2" w:rsidRDefault="00661F03" w:rsidP="002E03B4">
            <w:pPr>
              <w:spacing w:before="40" w:after="40"/>
              <w:rPr>
                <w:rFonts w:ascii="Times New Roman" w:eastAsia="Times New Roman" w:hAnsi="Times New Roman" w:cs="Times New Roman"/>
                <w:b/>
                <w:bCs w:val="0"/>
                <w:sz w:val="18"/>
                <w:szCs w:val="18"/>
              </w:rPr>
            </w:pPr>
          </w:p>
        </w:tc>
        <w:tc>
          <w:tcPr>
            <w:tcW w:w="776" w:type="dxa"/>
            <w:tcMar>
              <w:left w:w="14" w:type="dxa"/>
              <w:right w:w="14" w:type="dxa"/>
            </w:tcMar>
            <w:hideMark/>
          </w:tcPr>
          <w:p w14:paraId="5423D455" w14:textId="7418F29E" w:rsidR="00661F03" w:rsidRPr="000973F2" w:rsidRDefault="00661F03" w:rsidP="002E03B4">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18"/>
                <w:szCs w:val="18"/>
              </w:rPr>
            </w:pPr>
            <w:r w:rsidRPr="000973F2">
              <w:rPr>
                <w:rFonts w:ascii="Times New Roman" w:eastAsia="Times New Roman" w:hAnsi="Times New Roman" w:cs="Times New Roman"/>
                <w:b/>
                <w:bCs/>
                <w:sz w:val="18"/>
                <w:szCs w:val="18"/>
              </w:rPr>
              <w:t xml:space="preserve">Initial </w:t>
            </w:r>
            <w:r w:rsidR="00132320" w:rsidRPr="000973F2">
              <w:rPr>
                <w:rFonts w:ascii="Times New Roman" w:eastAsia="Times New Roman" w:hAnsi="Times New Roman" w:cs="Times New Roman"/>
                <w:b/>
                <w:bCs/>
                <w:sz w:val="18"/>
                <w:szCs w:val="18"/>
              </w:rPr>
              <w:t>Year Hours</w:t>
            </w:r>
          </w:p>
        </w:tc>
        <w:tc>
          <w:tcPr>
            <w:tcW w:w="776" w:type="dxa"/>
            <w:tcMar>
              <w:left w:w="14" w:type="dxa"/>
              <w:right w:w="14" w:type="dxa"/>
            </w:tcMar>
            <w:hideMark/>
          </w:tcPr>
          <w:p w14:paraId="7D959E16" w14:textId="77777777" w:rsidR="00661F03" w:rsidRPr="000973F2" w:rsidRDefault="00661F03" w:rsidP="002E03B4">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18"/>
                <w:szCs w:val="18"/>
              </w:rPr>
            </w:pPr>
            <w:r w:rsidRPr="000973F2">
              <w:rPr>
                <w:rFonts w:ascii="Times New Roman" w:eastAsia="Times New Roman" w:hAnsi="Times New Roman" w:cs="Times New Roman"/>
                <w:b/>
                <w:bCs/>
                <w:sz w:val="18"/>
                <w:szCs w:val="18"/>
              </w:rPr>
              <w:t>Subseq. Year Hours</w:t>
            </w:r>
          </w:p>
        </w:tc>
        <w:tc>
          <w:tcPr>
            <w:tcW w:w="776" w:type="dxa"/>
            <w:tcMar>
              <w:left w:w="14" w:type="dxa"/>
              <w:right w:w="14" w:type="dxa"/>
            </w:tcMar>
            <w:hideMark/>
          </w:tcPr>
          <w:p w14:paraId="4D2D7C7F" w14:textId="0A89F381" w:rsidR="00661F03" w:rsidRPr="000973F2" w:rsidRDefault="00661F03" w:rsidP="002E03B4">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18"/>
                <w:szCs w:val="18"/>
              </w:rPr>
            </w:pPr>
            <w:r w:rsidRPr="000973F2">
              <w:rPr>
                <w:rFonts w:ascii="Times New Roman" w:eastAsia="Times New Roman" w:hAnsi="Times New Roman" w:cs="Times New Roman"/>
                <w:b/>
                <w:bCs/>
                <w:sz w:val="18"/>
                <w:szCs w:val="18"/>
              </w:rPr>
              <w:t xml:space="preserve">Initial </w:t>
            </w:r>
            <w:r w:rsidR="00132320" w:rsidRPr="000973F2">
              <w:rPr>
                <w:rFonts w:ascii="Times New Roman" w:eastAsia="Times New Roman" w:hAnsi="Times New Roman" w:cs="Times New Roman"/>
                <w:b/>
                <w:bCs/>
                <w:sz w:val="18"/>
                <w:szCs w:val="18"/>
              </w:rPr>
              <w:t>Year Hours</w:t>
            </w:r>
          </w:p>
        </w:tc>
        <w:tc>
          <w:tcPr>
            <w:tcW w:w="776" w:type="dxa"/>
            <w:tcMar>
              <w:left w:w="14" w:type="dxa"/>
              <w:right w:w="14" w:type="dxa"/>
            </w:tcMar>
            <w:hideMark/>
          </w:tcPr>
          <w:p w14:paraId="650DFA43" w14:textId="77777777" w:rsidR="00661F03" w:rsidRPr="000973F2" w:rsidRDefault="00661F03" w:rsidP="002E03B4">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18"/>
                <w:szCs w:val="18"/>
              </w:rPr>
            </w:pPr>
            <w:r w:rsidRPr="000973F2">
              <w:rPr>
                <w:rFonts w:ascii="Times New Roman" w:eastAsia="Times New Roman" w:hAnsi="Times New Roman" w:cs="Times New Roman"/>
                <w:b/>
                <w:bCs/>
                <w:sz w:val="18"/>
                <w:szCs w:val="18"/>
              </w:rPr>
              <w:t>Subseq. Year Hours</w:t>
            </w:r>
          </w:p>
        </w:tc>
        <w:tc>
          <w:tcPr>
            <w:tcW w:w="776" w:type="dxa"/>
            <w:tcMar>
              <w:left w:w="14" w:type="dxa"/>
              <w:right w:w="14" w:type="dxa"/>
            </w:tcMar>
            <w:hideMark/>
          </w:tcPr>
          <w:p w14:paraId="0B17CE3C" w14:textId="23DFC00E" w:rsidR="00661F03" w:rsidRPr="000973F2" w:rsidRDefault="00661F03" w:rsidP="002E03B4">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18"/>
                <w:szCs w:val="18"/>
              </w:rPr>
            </w:pPr>
            <w:r w:rsidRPr="000973F2">
              <w:rPr>
                <w:rFonts w:ascii="Times New Roman" w:eastAsia="Times New Roman" w:hAnsi="Times New Roman" w:cs="Times New Roman"/>
                <w:b/>
                <w:bCs/>
                <w:sz w:val="18"/>
                <w:szCs w:val="18"/>
              </w:rPr>
              <w:t xml:space="preserve">Initial </w:t>
            </w:r>
            <w:r w:rsidR="00132320" w:rsidRPr="000973F2">
              <w:rPr>
                <w:rFonts w:ascii="Times New Roman" w:eastAsia="Times New Roman" w:hAnsi="Times New Roman" w:cs="Times New Roman"/>
                <w:b/>
                <w:bCs/>
                <w:sz w:val="18"/>
                <w:szCs w:val="18"/>
              </w:rPr>
              <w:t>Year Hours</w:t>
            </w:r>
          </w:p>
        </w:tc>
        <w:tc>
          <w:tcPr>
            <w:tcW w:w="776" w:type="dxa"/>
            <w:tcMar>
              <w:left w:w="14" w:type="dxa"/>
              <w:right w:w="14" w:type="dxa"/>
            </w:tcMar>
            <w:hideMark/>
          </w:tcPr>
          <w:p w14:paraId="26BD2651" w14:textId="5E0D1B1C" w:rsidR="00661F03" w:rsidRPr="000973F2" w:rsidRDefault="00A43381" w:rsidP="002E03B4">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18"/>
                <w:szCs w:val="18"/>
              </w:rPr>
            </w:pPr>
            <w:r w:rsidRPr="000973F2">
              <w:rPr>
                <w:rFonts w:ascii="Times New Roman" w:eastAsia="Times New Roman" w:hAnsi="Times New Roman" w:cs="Times New Roman"/>
                <w:b/>
                <w:bCs/>
                <w:sz w:val="18"/>
                <w:szCs w:val="18"/>
              </w:rPr>
              <w:t>Subseq. Year Hours</w:t>
            </w:r>
          </w:p>
        </w:tc>
        <w:tc>
          <w:tcPr>
            <w:tcW w:w="776" w:type="dxa"/>
            <w:tcMar>
              <w:left w:w="14" w:type="dxa"/>
              <w:right w:w="14" w:type="dxa"/>
            </w:tcMar>
            <w:hideMark/>
          </w:tcPr>
          <w:p w14:paraId="0FB77EFE" w14:textId="3E35369B" w:rsidR="00661F03" w:rsidRPr="000973F2" w:rsidRDefault="00661F03" w:rsidP="002E03B4">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18"/>
                <w:szCs w:val="18"/>
              </w:rPr>
            </w:pPr>
            <w:r w:rsidRPr="000973F2">
              <w:rPr>
                <w:rFonts w:ascii="Times New Roman" w:eastAsia="Times New Roman" w:hAnsi="Times New Roman" w:cs="Times New Roman"/>
                <w:b/>
                <w:bCs/>
                <w:sz w:val="18"/>
                <w:szCs w:val="18"/>
              </w:rPr>
              <w:t xml:space="preserve">Initial </w:t>
            </w:r>
            <w:r w:rsidR="00132320" w:rsidRPr="000973F2">
              <w:rPr>
                <w:rFonts w:ascii="Times New Roman" w:eastAsia="Times New Roman" w:hAnsi="Times New Roman" w:cs="Times New Roman"/>
                <w:b/>
                <w:bCs/>
                <w:sz w:val="18"/>
                <w:szCs w:val="18"/>
              </w:rPr>
              <w:t>Year Hours</w:t>
            </w:r>
          </w:p>
        </w:tc>
        <w:tc>
          <w:tcPr>
            <w:tcW w:w="777" w:type="dxa"/>
            <w:tcMar>
              <w:left w:w="14" w:type="dxa"/>
              <w:right w:w="14" w:type="dxa"/>
            </w:tcMar>
            <w:hideMark/>
          </w:tcPr>
          <w:p w14:paraId="0D8FA04E" w14:textId="77777777" w:rsidR="00661F03" w:rsidRPr="000973F2" w:rsidRDefault="00661F03" w:rsidP="002E03B4">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18"/>
                <w:szCs w:val="18"/>
              </w:rPr>
            </w:pPr>
            <w:r w:rsidRPr="000973F2">
              <w:rPr>
                <w:rFonts w:ascii="Times New Roman" w:eastAsia="Times New Roman" w:hAnsi="Times New Roman" w:cs="Times New Roman"/>
                <w:b/>
                <w:bCs/>
                <w:sz w:val="18"/>
                <w:szCs w:val="18"/>
              </w:rPr>
              <w:t>Subseq. Year Hours</w:t>
            </w:r>
          </w:p>
        </w:tc>
        <w:tc>
          <w:tcPr>
            <w:tcW w:w="848" w:type="dxa"/>
            <w:tcMar>
              <w:left w:w="14" w:type="dxa"/>
              <w:right w:w="14" w:type="dxa"/>
            </w:tcMar>
            <w:hideMark/>
          </w:tcPr>
          <w:p w14:paraId="5A05957E" w14:textId="77777777" w:rsidR="00661F03" w:rsidRPr="000973F2" w:rsidRDefault="00661F03" w:rsidP="002E03B4">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18"/>
                <w:szCs w:val="18"/>
              </w:rPr>
            </w:pPr>
            <w:r w:rsidRPr="000973F2">
              <w:rPr>
                <w:rFonts w:ascii="Times New Roman" w:eastAsia="Times New Roman" w:hAnsi="Times New Roman" w:cs="Times New Roman"/>
                <w:b/>
                <w:bCs/>
                <w:sz w:val="18"/>
                <w:szCs w:val="18"/>
              </w:rPr>
              <w:t>Initial Year</w:t>
            </w:r>
          </w:p>
        </w:tc>
        <w:tc>
          <w:tcPr>
            <w:tcW w:w="848" w:type="dxa"/>
            <w:tcMar>
              <w:left w:w="14" w:type="dxa"/>
              <w:right w:w="14" w:type="dxa"/>
            </w:tcMar>
            <w:hideMark/>
          </w:tcPr>
          <w:p w14:paraId="2344F5B7" w14:textId="77777777" w:rsidR="00661F03" w:rsidRPr="000973F2" w:rsidRDefault="00661F03" w:rsidP="002E03B4">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18"/>
                <w:szCs w:val="18"/>
              </w:rPr>
            </w:pPr>
            <w:r w:rsidRPr="000973F2">
              <w:rPr>
                <w:rFonts w:ascii="Times New Roman" w:eastAsia="Times New Roman" w:hAnsi="Times New Roman" w:cs="Times New Roman"/>
                <w:b/>
                <w:bCs/>
                <w:sz w:val="18"/>
                <w:szCs w:val="18"/>
              </w:rPr>
              <w:t>Subseq. Year</w:t>
            </w:r>
          </w:p>
        </w:tc>
      </w:tr>
      <w:tr w:rsidR="00661F03" w:rsidRPr="000973F2" w14:paraId="648FBE00" w14:textId="77777777" w:rsidTr="00B6531F">
        <w:trPr>
          <w:cantSplit/>
        </w:trPr>
        <w:tc>
          <w:tcPr>
            <w:cnfStyle w:val="001000000000" w:firstRow="0" w:lastRow="0" w:firstColumn="1" w:lastColumn="0" w:oddVBand="0" w:evenVBand="0" w:oddHBand="0" w:evenHBand="0" w:firstRowFirstColumn="0" w:firstRowLastColumn="0" w:lastRowFirstColumn="0" w:lastRowLastColumn="0"/>
            <w:tcW w:w="1425" w:type="dxa"/>
            <w:hideMark/>
          </w:tcPr>
          <w:p w14:paraId="560D3E84" w14:textId="77777777" w:rsidR="00661F03" w:rsidRPr="000973F2" w:rsidRDefault="00661F03" w:rsidP="002E03B4">
            <w:pPr>
              <w:spacing w:before="40" w:after="4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Planning</w:t>
            </w:r>
          </w:p>
        </w:tc>
        <w:tc>
          <w:tcPr>
            <w:tcW w:w="776" w:type="dxa"/>
            <w:noWrap/>
            <w:hideMark/>
          </w:tcPr>
          <w:p w14:paraId="55242698" w14:textId="77777777" w:rsidR="00661F03" w:rsidRPr="000973F2" w:rsidRDefault="00661F03" w:rsidP="002E03B4">
            <w:pPr>
              <w:tabs>
                <w:tab w:val="decimal" w:pos="331"/>
              </w:tabs>
              <w:spacing w:before="40" w:after="4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hAnsi="Times New Roman" w:cs="Times New Roman"/>
                <w:sz w:val="18"/>
                <w:szCs w:val="18"/>
              </w:rPr>
              <w:t>0</w:t>
            </w:r>
          </w:p>
        </w:tc>
        <w:tc>
          <w:tcPr>
            <w:tcW w:w="776" w:type="dxa"/>
            <w:noWrap/>
            <w:hideMark/>
          </w:tcPr>
          <w:p w14:paraId="66E96A7C" w14:textId="77777777" w:rsidR="00661F03" w:rsidRPr="000973F2" w:rsidRDefault="00661F03" w:rsidP="002E03B4">
            <w:pPr>
              <w:tabs>
                <w:tab w:val="decimal" w:pos="331"/>
              </w:tabs>
              <w:spacing w:before="40" w:after="4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hAnsi="Times New Roman" w:cs="Times New Roman"/>
                <w:sz w:val="18"/>
                <w:szCs w:val="18"/>
              </w:rPr>
              <w:t>1</w:t>
            </w:r>
          </w:p>
        </w:tc>
        <w:tc>
          <w:tcPr>
            <w:tcW w:w="776" w:type="dxa"/>
            <w:noWrap/>
            <w:hideMark/>
          </w:tcPr>
          <w:p w14:paraId="23A70C03" w14:textId="77777777" w:rsidR="00661F03" w:rsidRPr="000973F2" w:rsidRDefault="00661F03" w:rsidP="002E03B4">
            <w:pPr>
              <w:tabs>
                <w:tab w:val="decimal" w:pos="331"/>
              </w:tabs>
              <w:spacing w:before="40" w:after="4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hAnsi="Times New Roman" w:cs="Times New Roman"/>
                <w:sz w:val="18"/>
                <w:szCs w:val="18"/>
              </w:rPr>
              <w:t>0</w:t>
            </w:r>
          </w:p>
        </w:tc>
        <w:tc>
          <w:tcPr>
            <w:tcW w:w="776" w:type="dxa"/>
            <w:noWrap/>
            <w:hideMark/>
          </w:tcPr>
          <w:p w14:paraId="5A849752" w14:textId="77777777" w:rsidR="00661F03" w:rsidRPr="000973F2" w:rsidRDefault="00661F03" w:rsidP="002E03B4">
            <w:pPr>
              <w:tabs>
                <w:tab w:val="decimal" w:pos="331"/>
              </w:tabs>
              <w:spacing w:before="40" w:after="4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hAnsi="Times New Roman" w:cs="Times New Roman"/>
                <w:sz w:val="18"/>
                <w:szCs w:val="18"/>
              </w:rPr>
              <w:t>1.0</w:t>
            </w:r>
          </w:p>
        </w:tc>
        <w:tc>
          <w:tcPr>
            <w:tcW w:w="776" w:type="dxa"/>
            <w:noWrap/>
            <w:hideMark/>
          </w:tcPr>
          <w:p w14:paraId="2BAE0287" w14:textId="77777777" w:rsidR="00661F03" w:rsidRPr="000973F2" w:rsidRDefault="00661F03" w:rsidP="002E03B4">
            <w:pPr>
              <w:tabs>
                <w:tab w:val="decimal" w:pos="331"/>
              </w:tabs>
              <w:spacing w:before="40" w:after="4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hAnsi="Times New Roman" w:cs="Times New Roman"/>
                <w:sz w:val="18"/>
                <w:szCs w:val="18"/>
              </w:rPr>
              <w:t>0</w:t>
            </w:r>
          </w:p>
        </w:tc>
        <w:tc>
          <w:tcPr>
            <w:tcW w:w="776" w:type="dxa"/>
            <w:noWrap/>
            <w:hideMark/>
          </w:tcPr>
          <w:p w14:paraId="4DA3B16F" w14:textId="77777777" w:rsidR="00661F03" w:rsidRPr="000973F2" w:rsidRDefault="00661F03" w:rsidP="002E03B4">
            <w:pPr>
              <w:tabs>
                <w:tab w:val="decimal" w:pos="331"/>
              </w:tabs>
              <w:spacing w:before="40" w:after="4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hAnsi="Times New Roman" w:cs="Times New Roman"/>
                <w:sz w:val="18"/>
                <w:szCs w:val="18"/>
              </w:rPr>
              <w:t>2</w:t>
            </w:r>
          </w:p>
        </w:tc>
        <w:tc>
          <w:tcPr>
            <w:tcW w:w="776" w:type="dxa"/>
            <w:noWrap/>
            <w:hideMark/>
          </w:tcPr>
          <w:p w14:paraId="1BDAD89A" w14:textId="77777777" w:rsidR="00661F03" w:rsidRPr="000973F2" w:rsidRDefault="00661F03" w:rsidP="002E03B4">
            <w:pPr>
              <w:tabs>
                <w:tab w:val="decimal" w:pos="331"/>
              </w:tabs>
              <w:spacing w:before="40" w:after="4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hAnsi="Times New Roman" w:cs="Times New Roman"/>
                <w:sz w:val="18"/>
                <w:szCs w:val="18"/>
              </w:rPr>
              <w:t>0</w:t>
            </w:r>
          </w:p>
        </w:tc>
        <w:tc>
          <w:tcPr>
            <w:tcW w:w="777" w:type="dxa"/>
            <w:noWrap/>
            <w:hideMark/>
          </w:tcPr>
          <w:p w14:paraId="35B4474A" w14:textId="77777777" w:rsidR="00661F03" w:rsidRPr="000973F2" w:rsidRDefault="00661F03" w:rsidP="002E03B4">
            <w:pPr>
              <w:tabs>
                <w:tab w:val="decimal" w:pos="331"/>
              </w:tabs>
              <w:spacing w:before="40" w:after="4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hAnsi="Times New Roman" w:cs="Times New Roman"/>
                <w:sz w:val="18"/>
                <w:szCs w:val="18"/>
              </w:rPr>
              <w:t>0.0</w:t>
            </w:r>
          </w:p>
        </w:tc>
        <w:tc>
          <w:tcPr>
            <w:tcW w:w="848" w:type="dxa"/>
            <w:noWrap/>
            <w:hideMark/>
          </w:tcPr>
          <w:p w14:paraId="601FB653" w14:textId="77777777" w:rsidR="00661F03" w:rsidRPr="000973F2" w:rsidRDefault="00661F03" w:rsidP="002E03B4">
            <w:pPr>
              <w:tabs>
                <w:tab w:val="decimal" w:pos="331"/>
              </w:tabs>
              <w:spacing w:before="40" w:after="4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hAnsi="Times New Roman" w:cs="Times New Roman"/>
                <w:sz w:val="18"/>
                <w:szCs w:val="18"/>
              </w:rPr>
              <w:t>$0</w:t>
            </w:r>
          </w:p>
        </w:tc>
        <w:tc>
          <w:tcPr>
            <w:tcW w:w="848" w:type="dxa"/>
            <w:noWrap/>
            <w:hideMark/>
          </w:tcPr>
          <w:p w14:paraId="3BA28331" w14:textId="103D80B3" w:rsidR="00661F03" w:rsidRPr="000973F2" w:rsidRDefault="00661F03" w:rsidP="002E03B4">
            <w:pPr>
              <w:tabs>
                <w:tab w:val="decimal" w:pos="481"/>
              </w:tabs>
              <w:spacing w:before="40" w:after="4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hAnsi="Times New Roman" w:cs="Times New Roman"/>
                <w:sz w:val="18"/>
                <w:szCs w:val="18"/>
              </w:rPr>
              <w:t>$343</w:t>
            </w:r>
          </w:p>
        </w:tc>
      </w:tr>
      <w:tr w:rsidR="00661F03" w:rsidRPr="000973F2" w14:paraId="5D40F298" w14:textId="77777777" w:rsidTr="00B6531F">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1425" w:type="dxa"/>
            <w:hideMark/>
          </w:tcPr>
          <w:p w14:paraId="7978DF9C" w14:textId="77777777" w:rsidR="00661F03" w:rsidRPr="000973F2" w:rsidRDefault="00661F03" w:rsidP="002E03B4">
            <w:pPr>
              <w:spacing w:before="40" w:after="4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QA/QC</w:t>
            </w:r>
          </w:p>
        </w:tc>
        <w:tc>
          <w:tcPr>
            <w:tcW w:w="776" w:type="dxa"/>
            <w:noWrap/>
            <w:hideMark/>
          </w:tcPr>
          <w:p w14:paraId="2D276D2B" w14:textId="77777777" w:rsidR="00661F03" w:rsidRPr="000973F2" w:rsidRDefault="00661F03" w:rsidP="002E03B4">
            <w:pPr>
              <w:tabs>
                <w:tab w:val="decimal" w:pos="331"/>
              </w:tabs>
              <w:spacing w:before="40" w:after="4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hAnsi="Times New Roman" w:cs="Times New Roman"/>
                <w:sz w:val="18"/>
                <w:szCs w:val="18"/>
              </w:rPr>
              <w:t>0</w:t>
            </w:r>
          </w:p>
        </w:tc>
        <w:tc>
          <w:tcPr>
            <w:tcW w:w="776" w:type="dxa"/>
            <w:noWrap/>
            <w:hideMark/>
          </w:tcPr>
          <w:p w14:paraId="5C93CA15" w14:textId="77777777" w:rsidR="00661F03" w:rsidRPr="000973F2" w:rsidRDefault="00661F03" w:rsidP="002E03B4">
            <w:pPr>
              <w:tabs>
                <w:tab w:val="decimal" w:pos="331"/>
              </w:tabs>
              <w:spacing w:before="40" w:after="4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hAnsi="Times New Roman" w:cs="Times New Roman"/>
                <w:sz w:val="18"/>
                <w:szCs w:val="18"/>
              </w:rPr>
              <w:t>0</w:t>
            </w:r>
          </w:p>
        </w:tc>
        <w:tc>
          <w:tcPr>
            <w:tcW w:w="776" w:type="dxa"/>
            <w:noWrap/>
            <w:hideMark/>
          </w:tcPr>
          <w:p w14:paraId="2CBC8210" w14:textId="77777777" w:rsidR="00661F03" w:rsidRPr="000973F2" w:rsidRDefault="00661F03" w:rsidP="002E03B4">
            <w:pPr>
              <w:tabs>
                <w:tab w:val="decimal" w:pos="331"/>
              </w:tabs>
              <w:spacing w:before="40" w:after="4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hAnsi="Times New Roman" w:cs="Times New Roman"/>
                <w:sz w:val="18"/>
                <w:szCs w:val="18"/>
              </w:rPr>
              <w:t>0</w:t>
            </w:r>
          </w:p>
        </w:tc>
        <w:tc>
          <w:tcPr>
            <w:tcW w:w="776" w:type="dxa"/>
            <w:noWrap/>
            <w:hideMark/>
          </w:tcPr>
          <w:p w14:paraId="56D67202" w14:textId="77777777" w:rsidR="00661F03" w:rsidRPr="000973F2" w:rsidRDefault="00661F03" w:rsidP="002E03B4">
            <w:pPr>
              <w:tabs>
                <w:tab w:val="decimal" w:pos="331"/>
              </w:tabs>
              <w:spacing w:before="40" w:after="4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hAnsi="Times New Roman" w:cs="Times New Roman"/>
                <w:sz w:val="18"/>
                <w:szCs w:val="18"/>
              </w:rPr>
              <w:t>0</w:t>
            </w:r>
          </w:p>
        </w:tc>
        <w:tc>
          <w:tcPr>
            <w:tcW w:w="776" w:type="dxa"/>
            <w:noWrap/>
            <w:hideMark/>
          </w:tcPr>
          <w:p w14:paraId="7BE09A87" w14:textId="77777777" w:rsidR="00661F03" w:rsidRPr="000973F2" w:rsidRDefault="00661F03" w:rsidP="002E03B4">
            <w:pPr>
              <w:tabs>
                <w:tab w:val="decimal" w:pos="331"/>
              </w:tabs>
              <w:spacing w:before="40" w:after="4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hAnsi="Times New Roman" w:cs="Times New Roman"/>
                <w:sz w:val="18"/>
                <w:szCs w:val="18"/>
              </w:rPr>
              <w:t>0</w:t>
            </w:r>
          </w:p>
        </w:tc>
        <w:tc>
          <w:tcPr>
            <w:tcW w:w="776" w:type="dxa"/>
            <w:noWrap/>
            <w:hideMark/>
          </w:tcPr>
          <w:p w14:paraId="72952B25" w14:textId="77777777" w:rsidR="00661F03" w:rsidRPr="000973F2" w:rsidRDefault="00661F03" w:rsidP="002E03B4">
            <w:pPr>
              <w:tabs>
                <w:tab w:val="decimal" w:pos="331"/>
              </w:tabs>
              <w:spacing w:before="40" w:after="4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hAnsi="Times New Roman" w:cs="Times New Roman"/>
                <w:sz w:val="18"/>
                <w:szCs w:val="18"/>
              </w:rPr>
              <w:t>2</w:t>
            </w:r>
          </w:p>
        </w:tc>
        <w:tc>
          <w:tcPr>
            <w:tcW w:w="776" w:type="dxa"/>
            <w:noWrap/>
            <w:hideMark/>
          </w:tcPr>
          <w:p w14:paraId="5FA51F41" w14:textId="77777777" w:rsidR="00661F03" w:rsidRPr="000973F2" w:rsidRDefault="00661F03" w:rsidP="002E03B4">
            <w:pPr>
              <w:tabs>
                <w:tab w:val="decimal" w:pos="331"/>
              </w:tabs>
              <w:spacing w:before="40" w:after="4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hAnsi="Times New Roman" w:cs="Times New Roman"/>
                <w:sz w:val="18"/>
                <w:szCs w:val="18"/>
              </w:rPr>
              <w:t>0</w:t>
            </w:r>
          </w:p>
        </w:tc>
        <w:tc>
          <w:tcPr>
            <w:tcW w:w="777" w:type="dxa"/>
            <w:noWrap/>
            <w:hideMark/>
          </w:tcPr>
          <w:p w14:paraId="5CACE158" w14:textId="77777777" w:rsidR="00661F03" w:rsidRPr="000973F2" w:rsidRDefault="00661F03" w:rsidP="002E03B4">
            <w:pPr>
              <w:tabs>
                <w:tab w:val="decimal" w:pos="331"/>
              </w:tabs>
              <w:spacing w:before="40" w:after="4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hAnsi="Times New Roman" w:cs="Times New Roman"/>
                <w:sz w:val="18"/>
                <w:szCs w:val="18"/>
              </w:rPr>
              <w:t>0.0</w:t>
            </w:r>
          </w:p>
        </w:tc>
        <w:tc>
          <w:tcPr>
            <w:tcW w:w="848" w:type="dxa"/>
            <w:noWrap/>
            <w:hideMark/>
          </w:tcPr>
          <w:p w14:paraId="6F4DD9E9" w14:textId="77777777" w:rsidR="00661F03" w:rsidRPr="000973F2" w:rsidRDefault="00661F03" w:rsidP="002E03B4">
            <w:pPr>
              <w:tabs>
                <w:tab w:val="decimal" w:pos="331"/>
              </w:tabs>
              <w:spacing w:before="40" w:after="4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hAnsi="Times New Roman" w:cs="Times New Roman"/>
                <w:sz w:val="18"/>
                <w:szCs w:val="18"/>
              </w:rPr>
              <w:t>$0</w:t>
            </w:r>
          </w:p>
        </w:tc>
        <w:tc>
          <w:tcPr>
            <w:tcW w:w="848" w:type="dxa"/>
            <w:noWrap/>
            <w:hideMark/>
          </w:tcPr>
          <w:p w14:paraId="18ADC3E5" w14:textId="227EFAD1" w:rsidR="00661F03" w:rsidRPr="000973F2" w:rsidRDefault="00661F03" w:rsidP="002E03B4">
            <w:pPr>
              <w:tabs>
                <w:tab w:val="decimal" w:pos="481"/>
              </w:tabs>
              <w:spacing w:before="40" w:after="4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hAnsi="Times New Roman" w:cs="Times New Roman"/>
                <w:sz w:val="18"/>
                <w:szCs w:val="18"/>
              </w:rPr>
              <w:t>$143</w:t>
            </w:r>
          </w:p>
        </w:tc>
      </w:tr>
      <w:tr w:rsidR="00661F03" w:rsidRPr="000973F2" w14:paraId="775B7E47" w14:textId="77777777" w:rsidTr="00B6531F">
        <w:trPr>
          <w:cantSplit/>
        </w:trPr>
        <w:tc>
          <w:tcPr>
            <w:cnfStyle w:val="001000000000" w:firstRow="0" w:lastRow="0" w:firstColumn="1" w:lastColumn="0" w:oddVBand="0" w:evenVBand="0" w:oddHBand="0" w:evenHBand="0" w:firstRowFirstColumn="0" w:firstRowLastColumn="0" w:lastRowFirstColumn="0" w:lastRowLastColumn="0"/>
            <w:tcW w:w="1425" w:type="dxa"/>
            <w:hideMark/>
          </w:tcPr>
          <w:p w14:paraId="1FA79939" w14:textId="77777777" w:rsidR="00661F03" w:rsidRPr="000973F2" w:rsidRDefault="00661F03" w:rsidP="002E03B4">
            <w:pPr>
              <w:spacing w:before="40" w:after="4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Recordkeeping</w:t>
            </w:r>
          </w:p>
        </w:tc>
        <w:tc>
          <w:tcPr>
            <w:tcW w:w="776" w:type="dxa"/>
            <w:noWrap/>
            <w:hideMark/>
          </w:tcPr>
          <w:p w14:paraId="7BADD7AD" w14:textId="77777777" w:rsidR="00661F03" w:rsidRPr="000973F2" w:rsidRDefault="00661F03" w:rsidP="002E03B4">
            <w:pPr>
              <w:tabs>
                <w:tab w:val="decimal" w:pos="331"/>
              </w:tabs>
              <w:spacing w:before="40" w:after="4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hAnsi="Times New Roman" w:cs="Times New Roman"/>
                <w:sz w:val="18"/>
                <w:szCs w:val="18"/>
              </w:rPr>
              <w:t>0</w:t>
            </w:r>
          </w:p>
        </w:tc>
        <w:tc>
          <w:tcPr>
            <w:tcW w:w="776" w:type="dxa"/>
            <w:noWrap/>
            <w:hideMark/>
          </w:tcPr>
          <w:p w14:paraId="5737FBFC" w14:textId="77777777" w:rsidR="00661F03" w:rsidRPr="000973F2" w:rsidRDefault="00661F03" w:rsidP="002E03B4">
            <w:pPr>
              <w:tabs>
                <w:tab w:val="decimal" w:pos="331"/>
              </w:tabs>
              <w:spacing w:before="40" w:after="4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hAnsi="Times New Roman" w:cs="Times New Roman"/>
                <w:sz w:val="18"/>
                <w:szCs w:val="18"/>
              </w:rPr>
              <w:t>0</w:t>
            </w:r>
          </w:p>
        </w:tc>
        <w:tc>
          <w:tcPr>
            <w:tcW w:w="776" w:type="dxa"/>
            <w:noWrap/>
            <w:hideMark/>
          </w:tcPr>
          <w:p w14:paraId="19CAE15E" w14:textId="77777777" w:rsidR="00661F03" w:rsidRPr="000973F2" w:rsidRDefault="00661F03" w:rsidP="002E03B4">
            <w:pPr>
              <w:tabs>
                <w:tab w:val="decimal" w:pos="331"/>
              </w:tabs>
              <w:spacing w:before="40" w:after="4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hAnsi="Times New Roman" w:cs="Times New Roman"/>
                <w:sz w:val="18"/>
                <w:szCs w:val="18"/>
              </w:rPr>
              <w:t>0</w:t>
            </w:r>
          </w:p>
        </w:tc>
        <w:tc>
          <w:tcPr>
            <w:tcW w:w="776" w:type="dxa"/>
            <w:noWrap/>
            <w:hideMark/>
          </w:tcPr>
          <w:p w14:paraId="17349F6E" w14:textId="77777777" w:rsidR="00661F03" w:rsidRPr="000973F2" w:rsidRDefault="00661F03" w:rsidP="002E03B4">
            <w:pPr>
              <w:tabs>
                <w:tab w:val="decimal" w:pos="331"/>
              </w:tabs>
              <w:spacing w:before="40" w:after="4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hAnsi="Times New Roman" w:cs="Times New Roman"/>
                <w:sz w:val="18"/>
                <w:szCs w:val="18"/>
              </w:rPr>
              <w:t>0.5</w:t>
            </w:r>
          </w:p>
        </w:tc>
        <w:tc>
          <w:tcPr>
            <w:tcW w:w="776" w:type="dxa"/>
            <w:noWrap/>
            <w:hideMark/>
          </w:tcPr>
          <w:p w14:paraId="58D4EEFD" w14:textId="77777777" w:rsidR="00661F03" w:rsidRPr="000973F2" w:rsidRDefault="00661F03" w:rsidP="002E03B4">
            <w:pPr>
              <w:tabs>
                <w:tab w:val="decimal" w:pos="331"/>
              </w:tabs>
              <w:spacing w:before="40" w:after="4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hAnsi="Times New Roman" w:cs="Times New Roman"/>
                <w:sz w:val="18"/>
                <w:szCs w:val="18"/>
              </w:rPr>
              <w:t>0</w:t>
            </w:r>
          </w:p>
        </w:tc>
        <w:tc>
          <w:tcPr>
            <w:tcW w:w="776" w:type="dxa"/>
            <w:noWrap/>
            <w:hideMark/>
          </w:tcPr>
          <w:p w14:paraId="7BE14A4E" w14:textId="77777777" w:rsidR="00661F03" w:rsidRPr="000973F2" w:rsidRDefault="00661F03" w:rsidP="002E03B4">
            <w:pPr>
              <w:tabs>
                <w:tab w:val="decimal" w:pos="331"/>
              </w:tabs>
              <w:spacing w:before="40" w:after="4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hAnsi="Times New Roman" w:cs="Times New Roman"/>
                <w:sz w:val="18"/>
                <w:szCs w:val="18"/>
              </w:rPr>
              <w:t>5</w:t>
            </w:r>
          </w:p>
        </w:tc>
        <w:tc>
          <w:tcPr>
            <w:tcW w:w="776" w:type="dxa"/>
            <w:noWrap/>
            <w:hideMark/>
          </w:tcPr>
          <w:p w14:paraId="0CEC8FD8" w14:textId="77777777" w:rsidR="00661F03" w:rsidRPr="000973F2" w:rsidRDefault="00661F03" w:rsidP="002E03B4">
            <w:pPr>
              <w:tabs>
                <w:tab w:val="decimal" w:pos="331"/>
              </w:tabs>
              <w:spacing w:before="40" w:after="4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hAnsi="Times New Roman" w:cs="Times New Roman"/>
                <w:sz w:val="18"/>
                <w:szCs w:val="18"/>
              </w:rPr>
              <w:t>0</w:t>
            </w:r>
          </w:p>
        </w:tc>
        <w:tc>
          <w:tcPr>
            <w:tcW w:w="777" w:type="dxa"/>
            <w:noWrap/>
            <w:hideMark/>
          </w:tcPr>
          <w:p w14:paraId="6A570E88" w14:textId="77777777" w:rsidR="00661F03" w:rsidRPr="000973F2" w:rsidRDefault="00661F03" w:rsidP="002E03B4">
            <w:pPr>
              <w:tabs>
                <w:tab w:val="decimal" w:pos="331"/>
              </w:tabs>
              <w:spacing w:before="40" w:after="4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hAnsi="Times New Roman" w:cs="Times New Roman"/>
                <w:sz w:val="18"/>
                <w:szCs w:val="18"/>
              </w:rPr>
              <w:t>0.5</w:t>
            </w:r>
          </w:p>
        </w:tc>
        <w:tc>
          <w:tcPr>
            <w:tcW w:w="848" w:type="dxa"/>
            <w:noWrap/>
          </w:tcPr>
          <w:p w14:paraId="28D57909" w14:textId="77777777" w:rsidR="00661F03" w:rsidRPr="000973F2" w:rsidRDefault="00661F03" w:rsidP="002E03B4">
            <w:pPr>
              <w:tabs>
                <w:tab w:val="decimal" w:pos="331"/>
              </w:tabs>
              <w:spacing w:before="40" w:after="4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hAnsi="Times New Roman" w:cs="Times New Roman"/>
                <w:sz w:val="18"/>
                <w:szCs w:val="18"/>
              </w:rPr>
              <w:t>$0</w:t>
            </w:r>
          </w:p>
        </w:tc>
        <w:tc>
          <w:tcPr>
            <w:tcW w:w="848" w:type="dxa"/>
            <w:noWrap/>
            <w:hideMark/>
          </w:tcPr>
          <w:p w14:paraId="20910AE4" w14:textId="7C68E8B5" w:rsidR="00661F03" w:rsidRPr="000973F2" w:rsidRDefault="00661F03" w:rsidP="002E03B4">
            <w:pPr>
              <w:tabs>
                <w:tab w:val="decimal" w:pos="481"/>
              </w:tabs>
              <w:spacing w:before="40" w:after="4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hAnsi="Times New Roman" w:cs="Times New Roman"/>
                <w:sz w:val="18"/>
                <w:szCs w:val="18"/>
              </w:rPr>
              <w:t>$419</w:t>
            </w:r>
          </w:p>
        </w:tc>
      </w:tr>
      <w:tr w:rsidR="00661F03" w:rsidRPr="000973F2" w14:paraId="00D0C30B" w14:textId="77777777" w:rsidTr="00B6531F">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1425" w:type="dxa"/>
            <w:hideMark/>
          </w:tcPr>
          <w:p w14:paraId="0C086581" w14:textId="77777777" w:rsidR="00661F03" w:rsidRPr="000973F2" w:rsidRDefault="00661F03" w:rsidP="002E03B4">
            <w:pPr>
              <w:spacing w:before="40" w:after="4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Sampling and Analysis (Calculations)</w:t>
            </w:r>
          </w:p>
        </w:tc>
        <w:tc>
          <w:tcPr>
            <w:tcW w:w="776" w:type="dxa"/>
            <w:noWrap/>
            <w:hideMark/>
          </w:tcPr>
          <w:p w14:paraId="36741785" w14:textId="77777777" w:rsidR="00661F03" w:rsidRPr="000973F2" w:rsidRDefault="00661F03" w:rsidP="002E03B4">
            <w:pPr>
              <w:tabs>
                <w:tab w:val="decimal" w:pos="331"/>
              </w:tabs>
              <w:spacing w:before="40" w:after="4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hAnsi="Times New Roman" w:cs="Times New Roman"/>
                <w:sz w:val="18"/>
                <w:szCs w:val="18"/>
              </w:rPr>
              <w:t>0</w:t>
            </w:r>
          </w:p>
        </w:tc>
        <w:tc>
          <w:tcPr>
            <w:tcW w:w="776" w:type="dxa"/>
            <w:noWrap/>
            <w:hideMark/>
          </w:tcPr>
          <w:p w14:paraId="72D246F1" w14:textId="77777777" w:rsidR="00661F03" w:rsidRPr="000973F2" w:rsidRDefault="00661F03" w:rsidP="002E03B4">
            <w:pPr>
              <w:tabs>
                <w:tab w:val="decimal" w:pos="331"/>
              </w:tabs>
              <w:spacing w:before="40" w:after="4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hAnsi="Times New Roman" w:cs="Times New Roman"/>
                <w:sz w:val="18"/>
                <w:szCs w:val="18"/>
              </w:rPr>
              <w:t>0</w:t>
            </w:r>
          </w:p>
        </w:tc>
        <w:tc>
          <w:tcPr>
            <w:tcW w:w="776" w:type="dxa"/>
            <w:noWrap/>
            <w:hideMark/>
          </w:tcPr>
          <w:p w14:paraId="63C8CBDC" w14:textId="77777777" w:rsidR="00661F03" w:rsidRPr="000973F2" w:rsidRDefault="00661F03" w:rsidP="002E03B4">
            <w:pPr>
              <w:tabs>
                <w:tab w:val="decimal" w:pos="331"/>
              </w:tabs>
              <w:spacing w:before="40" w:after="4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hAnsi="Times New Roman" w:cs="Times New Roman"/>
                <w:sz w:val="18"/>
                <w:szCs w:val="18"/>
              </w:rPr>
              <w:t>0</w:t>
            </w:r>
          </w:p>
        </w:tc>
        <w:tc>
          <w:tcPr>
            <w:tcW w:w="776" w:type="dxa"/>
            <w:noWrap/>
            <w:hideMark/>
          </w:tcPr>
          <w:p w14:paraId="56FBD0BD" w14:textId="77777777" w:rsidR="00661F03" w:rsidRPr="000973F2" w:rsidRDefault="00661F03" w:rsidP="002E03B4">
            <w:pPr>
              <w:tabs>
                <w:tab w:val="decimal" w:pos="331"/>
              </w:tabs>
              <w:spacing w:before="40" w:after="4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hAnsi="Times New Roman" w:cs="Times New Roman"/>
                <w:sz w:val="18"/>
                <w:szCs w:val="18"/>
              </w:rPr>
              <w:t>2.0</w:t>
            </w:r>
          </w:p>
        </w:tc>
        <w:tc>
          <w:tcPr>
            <w:tcW w:w="776" w:type="dxa"/>
            <w:noWrap/>
            <w:hideMark/>
          </w:tcPr>
          <w:p w14:paraId="7B8F98E6" w14:textId="77777777" w:rsidR="00661F03" w:rsidRPr="000973F2" w:rsidRDefault="00661F03" w:rsidP="002E03B4">
            <w:pPr>
              <w:tabs>
                <w:tab w:val="decimal" w:pos="331"/>
              </w:tabs>
              <w:spacing w:before="40" w:after="4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hAnsi="Times New Roman" w:cs="Times New Roman"/>
                <w:sz w:val="18"/>
                <w:szCs w:val="18"/>
              </w:rPr>
              <w:t>0</w:t>
            </w:r>
          </w:p>
        </w:tc>
        <w:tc>
          <w:tcPr>
            <w:tcW w:w="776" w:type="dxa"/>
            <w:noWrap/>
            <w:hideMark/>
          </w:tcPr>
          <w:p w14:paraId="75EE9876" w14:textId="77777777" w:rsidR="00661F03" w:rsidRPr="000973F2" w:rsidRDefault="00661F03" w:rsidP="002E03B4">
            <w:pPr>
              <w:tabs>
                <w:tab w:val="decimal" w:pos="331"/>
              </w:tabs>
              <w:spacing w:before="40" w:after="4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hAnsi="Times New Roman" w:cs="Times New Roman"/>
                <w:sz w:val="18"/>
                <w:szCs w:val="18"/>
              </w:rPr>
              <w:t>12</w:t>
            </w:r>
          </w:p>
        </w:tc>
        <w:tc>
          <w:tcPr>
            <w:tcW w:w="776" w:type="dxa"/>
            <w:noWrap/>
            <w:hideMark/>
          </w:tcPr>
          <w:p w14:paraId="25D13C7F" w14:textId="77777777" w:rsidR="00661F03" w:rsidRPr="000973F2" w:rsidRDefault="00661F03" w:rsidP="002E03B4">
            <w:pPr>
              <w:tabs>
                <w:tab w:val="decimal" w:pos="331"/>
              </w:tabs>
              <w:spacing w:before="40" w:after="4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hAnsi="Times New Roman" w:cs="Times New Roman"/>
                <w:sz w:val="18"/>
                <w:szCs w:val="18"/>
              </w:rPr>
              <w:t>0</w:t>
            </w:r>
          </w:p>
        </w:tc>
        <w:tc>
          <w:tcPr>
            <w:tcW w:w="777" w:type="dxa"/>
            <w:noWrap/>
            <w:hideMark/>
          </w:tcPr>
          <w:p w14:paraId="1ED84BF8" w14:textId="77777777" w:rsidR="00661F03" w:rsidRPr="000973F2" w:rsidRDefault="00661F03" w:rsidP="002E03B4">
            <w:pPr>
              <w:tabs>
                <w:tab w:val="decimal" w:pos="331"/>
              </w:tabs>
              <w:spacing w:before="40" w:after="4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hAnsi="Times New Roman" w:cs="Times New Roman"/>
                <w:sz w:val="18"/>
                <w:szCs w:val="18"/>
              </w:rPr>
              <w:t>4.0</w:t>
            </w:r>
          </w:p>
        </w:tc>
        <w:tc>
          <w:tcPr>
            <w:tcW w:w="848" w:type="dxa"/>
            <w:noWrap/>
          </w:tcPr>
          <w:p w14:paraId="4336910F" w14:textId="77777777" w:rsidR="00661F03" w:rsidRPr="000973F2" w:rsidRDefault="00661F03" w:rsidP="002E03B4">
            <w:pPr>
              <w:tabs>
                <w:tab w:val="decimal" w:pos="331"/>
              </w:tabs>
              <w:spacing w:before="40" w:after="4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$0</w:t>
            </w:r>
          </w:p>
        </w:tc>
        <w:tc>
          <w:tcPr>
            <w:tcW w:w="848" w:type="dxa"/>
            <w:noWrap/>
            <w:hideMark/>
          </w:tcPr>
          <w:p w14:paraId="6B9651E6" w14:textId="5FB45E37" w:rsidR="00661F03" w:rsidRPr="000973F2" w:rsidRDefault="00661F03" w:rsidP="002E03B4">
            <w:pPr>
              <w:tabs>
                <w:tab w:val="decimal" w:pos="481"/>
              </w:tabs>
              <w:spacing w:before="40" w:after="4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hAnsi="Times New Roman" w:cs="Times New Roman"/>
                <w:sz w:val="18"/>
                <w:szCs w:val="18"/>
              </w:rPr>
              <w:t>$1,177</w:t>
            </w:r>
          </w:p>
        </w:tc>
      </w:tr>
      <w:tr w:rsidR="00661F03" w:rsidRPr="000973F2" w14:paraId="70D2E39F" w14:textId="77777777" w:rsidTr="00B6531F">
        <w:trPr>
          <w:cantSplit/>
        </w:trPr>
        <w:tc>
          <w:tcPr>
            <w:cnfStyle w:val="001000000000" w:firstRow="0" w:lastRow="0" w:firstColumn="1" w:lastColumn="0" w:oddVBand="0" w:evenVBand="0" w:oddHBand="0" w:evenHBand="0" w:firstRowFirstColumn="0" w:firstRowLastColumn="0" w:lastRowFirstColumn="0" w:lastRowLastColumn="0"/>
            <w:tcW w:w="1425" w:type="dxa"/>
            <w:hideMark/>
          </w:tcPr>
          <w:p w14:paraId="63D7326B" w14:textId="77777777" w:rsidR="00661F03" w:rsidRPr="000973F2" w:rsidRDefault="00661F03" w:rsidP="002E03B4">
            <w:pPr>
              <w:spacing w:before="40" w:after="4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Reporting</w:t>
            </w:r>
          </w:p>
        </w:tc>
        <w:tc>
          <w:tcPr>
            <w:tcW w:w="776" w:type="dxa"/>
            <w:noWrap/>
            <w:hideMark/>
          </w:tcPr>
          <w:p w14:paraId="51B62044" w14:textId="77777777" w:rsidR="00661F03" w:rsidRPr="000973F2" w:rsidRDefault="00661F03" w:rsidP="002E03B4">
            <w:pPr>
              <w:tabs>
                <w:tab w:val="decimal" w:pos="331"/>
              </w:tabs>
              <w:spacing w:before="40" w:after="4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hAnsi="Times New Roman" w:cs="Times New Roman"/>
                <w:sz w:val="18"/>
                <w:szCs w:val="18"/>
              </w:rPr>
              <w:t>0</w:t>
            </w:r>
          </w:p>
        </w:tc>
        <w:tc>
          <w:tcPr>
            <w:tcW w:w="776" w:type="dxa"/>
            <w:noWrap/>
            <w:hideMark/>
          </w:tcPr>
          <w:p w14:paraId="5300BD80" w14:textId="77777777" w:rsidR="00661F03" w:rsidRPr="000973F2" w:rsidRDefault="00661F03" w:rsidP="002E03B4">
            <w:pPr>
              <w:tabs>
                <w:tab w:val="decimal" w:pos="331"/>
              </w:tabs>
              <w:spacing w:before="40" w:after="4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hAnsi="Times New Roman" w:cs="Times New Roman"/>
                <w:sz w:val="18"/>
                <w:szCs w:val="18"/>
              </w:rPr>
              <w:t>0</w:t>
            </w:r>
          </w:p>
        </w:tc>
        <w:tc>
          <w:tcPr>
            <w:tcW w:w="776" w:type="dxa"/>
            <w:noWrap/>
            <w:hideMark/>
          </w:tcPr>
          <w:p w14:paraId="5E72A772" w14:textId="77777777" w:rsidR="00661F03" w:rsidRPr="000973F2" w:rsidRDefault="00661F03" w:rsidP="002E03B4">
            <w:pPr>
              <w:tabs>
                <w:tab w:val="decimal" w:pos="331"/>
              </w:tabs>
              <w:spacing w:before="40" w:after="4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hAnsi="Times New Roman" w:cs="Times New Roman"/>
                <w:sz w:val="18"/>
                <w:szCs w:val="18"/>
              </w:rPr>
              <w:t>0</w:t>
            </w:r>
          </w:p>
        </w:tc>
        <w:tc>
          <w:tcPr>
            <w:tcW w:w="776" w:type="dxa"/>
            <w:noWrap/>
            <w:hideMark/>
          </w:tcPr>
          <w:p w14:paraId="6F8EB959" w14:textId="77777777" w:rsidR="00661F03" w:rsidRPr="000973F2" w:rsidRDefault="00661F03" w:rsidP="002E03B4">
            <w:pPr>
              <w:tabs>
                <w:tab w:val="decimal" w:pos="331"/>
              </w:tabs>
              <w:spacing w:before="40" w:after="4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hAnsi="Times New Roman" w:cs="Times New Roman"/>
                <w:sz w:val="18"/>
                <w:szCs w:val="18"/>
              </w:rPr>
              <w:t>1.0</w:t>
            </w:r>
          </w:p>
        </w:tc>
        <w:tc>
          <w:tcPr>
            <w:tcW w:w="776" w:type="dxa"/>
            <w:noWrap/>
            <w:hideMark/>
          </w:tcPr>
          <w:p w14:paraId="51696B9D" w14:textId="77777777" w:rsidR="00661F03" w:rsidRPr="000973F2" w:rsidRDefault="00661F03" w:rsidP="002E03B4">
            <w:pPr>
              <w:tabs>
                <w:tab w:val="decimal" w:pos="331"/>
              </w:tabs>
              <w:spacing w:before="40" w:after="4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hAnsi="Times New Roman" w:cs="Times New Roman"/>
                <w:sz w:val="18"/>
                <w:szCs w:val="18"/>
              </w:rPr>
              <w:t>0</w:t>
            </w:r>
          </w:p>
        </w:tc>
        <w:tc>
          <w:tcPr>
            <w:tcW w:w="776" w:type="dxa"/>
            <w:noWrap/>
            <w:hideMark/>
          </w:tcPr>
          <w:p w14:paraId="54524F9C" w14:textId="77777777" w:rsidR="00661F03" w:rsidRPr="000973F2" w:rsidRDefault="00661F03" w:rsidP="002E03B4">
            <w:pPr>
              <w:tabs>
                <w:tab w:val="decimal" w:pos="331"/>
              </w:tabs>
              <w:spacing w:before="40" w:after="4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hAnsi="Times New Roman" w:cs="Times New Roman"/>
                <w:sz w:val="18"/>
                <w:szCs w:val="18"/>
              </w:rPr>
              <w:t>10</w:t>
            </w:r>
          </w:p>
        </w:tc>
        <w:tc>
          <w:tcPr>
            <w:tcW w:w="776" w:type="dxa"/>
            <w:noWrap/>
            <w:hideMark/>
          </w:tcPr>
          <w:p w14:paraId="74C4EAE3" w14:textId="77777777" w:rsidR="00661F03" w:rsidRPr="000973F2" w:rsidRDefault="00661F03" w:rsidP="002E03B4">
            <w:pPr>
              <w:tabs>
                <w:tab w:val="decimal" w:pos="331"/>
              </w:tabs>
              <w:spacing w:before="40" w:after="4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hAnsi="Times New Roman" w:cs="Times New Roman"/>
                <w:sz w:val="18"/>
                <w:szCs w:val="18"/>
              </w:rPr>
              <w:t>0</w:t>
            </w:r>
          </w:p>
        </w:tc>
        <w:tc>
          <w:tcPr>
            <w:tcW w:w="777" w:type="dxa"/>
            <w:noWrap/>
            <w:hideMark/>
          </w:tcPr>
          <w:p w14:paraId="4173F0CA" w14:textId="77777777" w:rsidR="00661F03" w:rsidRPr="000973F2" w:rsidRDefault="00661F03" w:rsidP="002E03B4">
            <w:pPr>
              <w:tabs>
                <w:tab w:val="decimal" w:pos="331"/>
              </w:tabs>
              <w:spacing w:before="40" w:after="4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hAnsi="Times New Roman" w:cs="Times New Roman"/>
                <w:sz w:val="18"/>
                <w:szCs w:val="18"/>
              </w:rPr>
              <w:t>1.0</w:t>
            </w:r>
          </w:p>
        </w:tc>
        <w:tc>
          <w:tcPr>
            <w:tcW w:w="848" w:type="dxa"/>
            <w:noWrap/>
          </w:tcPr>
          <w:p w14:paraId="17E945A2" w14:textId="77777777" w:rsidR="00661F03" w:rsidRPr="000973F2" w:rsidRDefault="00661F03" w:rsidP="002E03B4">
            <w:pPr>
              <w:tabs>
                <w:tab w:val="decimal" w:pos="331"/>
              </w:tabs>
              <w:spacing w:before="40" w:after="4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hAnsi="Times New Roman" w:cs="Times New Roman"/>
                <w:sz w:val="18"/>
                <w:szCs w:val="18"/>
              </w:rPr>
              <w:t>$0</w:t>
            </w:r>
          </w:p>
        </w:tc>
        <w:tc>
          <w:tcPr>
            <w:tcW w:w="848" w:type="dxa"/>
            <w:noWrap/>
            <w:hideMark/>
          </w:tcPr>
          <w:p w14:paraId="6B211FEE" w14:textId="258F4491" w:rsidR="00661F03" w:rsidRPr="000973F2" w:rsidRDefault="00661F03" w:rsidP="002E03B4">
            <w:pPr>
              <w:tabs>
                <w:tab w:val="decimal" w:pos="481"/>
              </w:tabs>
              <w:spacing w:before="40" w:after="4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hAnsi="Times New Roman" w:cs="Times New Roman"/>
                <w:sz w:val="18"/>
                <w:szCs w:val="18"/>
              </w:rPr>
              <w:t>$838</w:t>
            </w:r>
          </w:p>
        </w:tc>
      </w:tr>
      <w:tr w:rsidR="00661F03" w:rsidRPr="000973F2" w14:paraId="67E7B374" w14:textId="77777777" w:rsidTr="00B6531F">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1425" w:type="dxa"/>
            <w:noWrap/>
            <w:hideMark/>
          </w:tcPr>
          <w:p w14:paraId="657335D5" w14:textId="77777777" w:rsidR="00661F03" w:rsidRPr="000973F2" w:rsidRDefault="00661F03" w:rsidP="002E03B4">
            <w:pPr>
              <w:spacing w:before="40" w:after="40"/>
              <w:rPr>
                <w:rFonts w:ascii="Times New Roman" w:eastAsia="Times New Roman" w:hAnsi="Times New Roman" w:cs="Times New Roman"/>
                <w:b/>
                <w:bCs w:val="0"/>
                <w:sz w:val="18"/>
                <w:szCs w:val="18"/>
              </w:rPr>
            </w:pPr>
            <w:r w:rsidRPr="000973F2">
              <w:rPr>
                <w:rFonts w:ascii="Times New Roman" w:eastAsia="Times New Roman" w:hAnsi="Times New Roman" w:cs="Times New Roman"/>
                <w:b/>
                <w:sz w:val="18"/>
                <w:szCs w:val="18"/>
              </w:rPr>
              <w:t>Total</w:t>
            </w:r>
          </w:p>
        </w:tc>
        <w:tc>
          <w:tcPr>
            <w:tcW w:w="776" w:type="dxa"/>
            <w:noWrap/>
            <w:hideMark/>
          </w:tcPr>
          <w:p w14:paraId="0FE51BF3" w14:textId="77777777" w:rsidR="00661F03" w:rsidRPr="000973F2" w:rsidRDefault="00661F03" w:rsidP="002E03B4">
            <w:pPr>
              <w:tabs>
                <w:tab w:val="decimal" w:pos="331"/>
              </w:tabs>
              <w:spacing w:before="40" w:after="4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18"/>
                <w:szCs w:val="18"/>
              </w:rPr>
            </w:pPr>
            <w:r w:rsidRPr="000973F2">
              <w:rPr>
                <w:rFonts w:ascii="Times New Roman" w:hAnsi="Times New Roman" w:cs="Times New Roman"/>
                <w:sz w:val="18"/>
                <w:szCs w:val="18"/>
              </w:rPr>
              <w:t>0</w:t>
            </w:r>
          </w:p>
        </w:tc>
        <w:tc>
          <w:tcPr>
            <w:tcW w:w="776" w:type="dxa"/>
            <w:noWrap/>
            <w:hideMark/>
          </w:tcPr>
          <w:p w14:paraId="636DFE82" w14:textId="77777777" w:rsidR="00661F03" w:rsidRPr="000973F2" w:rsidRDefault="00661F03" w:rsidP="002E03B4">
            <w:pPr>
              <w:tabs>
                <w:tab w:val="decimal" w:pos="331"/>
              </w:tabs>
              <w:spacing w:before="40" w:after="4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18"/>
                <w:szCs w:val="18"/>
              </w:rPr>
            </w:pPr>
            <w:r w:rsidRPr="000973F2">
              <w:rPr>
                <w:rFonts w:ascii="Times New Roman" w:hAnsi="Times New Roman" w:cs="Times New Roman"/>
                <w:sz w:val="18"/>
                <w:szCs w:val="18"/>
              </w:rPr>
              <w:t>1</w:t>
            </w:r>
          </w:p>
        </w:tc>
        <w:tc>
          <w:tcPr>
            <w:tcW w:w="776" w:type="dxa"/>
            <w:noWrap/>
            <w:hideMark/>
          </w:tcPr>
          <w:p w14:paraId="0DC9BB23" w14:textId="77777777" w:rsidR="00661F03" w:rsidRPr="000973F2" w:rsidRDefault="00661F03" w:rsidP="002E03B4">
            <w:pPr>
              <w:tabs>
                <w:tab w:val="decimal" w:pos="331"/>
              </w:tabs>
              <w:spacing w:before="40" w:after="4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18"/>
                <w:szCs w:val="18"/>
              </w:rPr>
            </w:pPr>
            <w:r w:rsidRPr="000973F2">
              <w:rPr>
                <w:rFonts w:ascii="Times New Roman" w:hAnsi="Times New Roman" w:cs="Times New Roman"/>
                <w:sz w:val="18"/>
                <w:szCs w:val="18"/>
              </w:rPr>
              <w:t>0</w:t>
            </w:r>
          </w:p>
        </w:tc>
        <w:tc>
          <w:tcPr>
            <w:tcW w:w="776" w:type="dxa"/>
            <w:noWrap/>
            <w:hideMark/>
          </w:tcPr>
          <w:p w14:paraId="0F1CF580" w14:textId="77777777" w:rsidR="00661F03" w:rsidRPr="000973F2" w:rsidRDefault="00661F03" w:rsidP="002E03B4">
            <w:pPr>
              <w:tabs>
                <w:tab w:val="decimal" w:pos="331"/>
              </w:tabs>
              <w:spacing w:before="40" w:after="4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18"/>
                <w:szCs w:val="18"/>
              </w:rPr>
            </w:pPr>
            <w:r w:rsidRPr="000973F2">
              <w:rPr>
                <w:rFonts w:ascii="Times New Roman" w:hAnsi="Times New Roman" w:cs="Times New Roman"/>
                <w:sz w:val="18"/>
                <w:szCs w:val="18"/>
              </w:rPr>
              <w:t>4.5</w:t>
            </w:r>
          </w:p>
        </w:tc>
        <w:tc>
          <w:tcPr>
            <w:tcW w:w="776" w:type="dxa"/>
            <w:noWrap/>
            <w:hideMark/>
          </w:tcPr>
          <w:p w14:paraId="6502E36C" w14:textId="77777777" w:rsidR="00661F03" w:rsidRPr="000973F2" w:rsidRDefault="00661F03" w:rsidP="002E03B4">
            <w:pPr>
              <w:tabs>
                <w:tab w:val="decimal" w:pos="331"/>
              </w:tabs>
              <w:spacing w:before="40" w:after="4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18"/>
                <w:szCs w:val="18"/>
              </w:rPr>
            </w:pPr>
            <w:r w:rsidRPr="000973F2">
              <w:rPr>
                <w:rFonts w:ascii="Times New Roman" w:hAnsi="Times New Roman" w:cs="Times New Roman"/>
                <w:sz w:val="18"/>
                <w:szCs w:val="18"/>
              </w:rPr>
              <w:t>0</w:t>
            </w:r>
          </w:p>
        </w:tc>
        <w:tc>
          <w:tcPr>
            <w:tcW w:w="776" w:type="dxa"/>
            <w:noWrap/>
            <w:hideMark/>
          </w:tcPr>
          <w:p w14:paraId="3ADBA1B8" w14:textId="77777777" w:rsidR="00661F03" w:rsidRPr="000973F2" w:rsidRDefault="00661F03" w:rsidP="002E03B4">
            <w:pPr>
              <w:tabs>
                <w:tab w:val="decimal" w:pos="331"/>
              </w:tabs>
              <w:spacing w:before="40" w:after="4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18"/>
                <w:szCs w:val="18"/>
              </w:rPr>
            </w:pPr>
            <w:r w:rsidRPr="000973F2">
              <w:rPr>
                <w:rFonts w:ascii="Times New Roman" w:hAnsi="Times New Roman" w:cs="Times New Roman"/>
                <w:sz w:val="18"/>
                <w:szCs w:val="18"/>
              </w:rPr>
              <w:t>31</w:t>
            </w:r>
          </w:p>
        </w:tc>
        <w:tc>
          <w:tcPr>
            <w:tcW w:w="776" w:type="dxa"/>
            <w:noWrap/>
            <w:hideMark/>
          </w:tcPr>
          <w:p w14:paraId="16D7D082" w14:textId="77777777" w:rsidR="00661F03" w:rsidRPr="000973F2" w:rsidRDefault="00661F03" w:rsidP="002E03B4">
            <w:pPr>
              <w:tabs>
                <w:tab w:val="decimal" w:pos="331"/>
              </w:tabs>
              <w:spacing w:before="40" w:after="4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18"/>
                <w:szCs w:val="18"/>
              </w:rPr>
            </w:pPr>
            <w:r w:rsidRPr="000973F2">
              <w:rPr>
                <w:rFonts w:ascii="Times New Roman" w:eastAsia="Times New Roman" w:hAnsi="Times New Roman" w:cs="Times New Roman"/>
                <w:b/>
                <w:bCs/>
                <w:sz w:val="18"/>
                <w:szCs w:val="18"/>
              </w:rPr>
              <w:t>0</w:t>
            </w:r>
          </w:p>
        </w:tc>
        <w:tc>
          <w:tcPr>
            <w:tcW w:w="777" w:type="dxa"/>
            <w:noWrap/>
            <w:hideMark/>
          </w:tcPr>
          <w:p w14:paraId="7066DBB2" w14:textId="77777777" w:rsidR="00661F03" w:rsidRPr="000973F2" w:rsidRDefault="00661F03" w:rsidP="002E03B4">
            <w:pPr>
              <w:tabs>
                <w:tab w:val="decimal" w:pos="331"/>
              </w:tabs>
              <w:spacing w:before="40" w:after="4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18"/>
                <w:szCs w:val="18"/>
              </w:rPr>
            </w:pPr>
            <w:r w:rsidRPr="000973F2">
              <w:rPr>
                <w:rFonts w:ascii="Times New Roman" w:hAnsi="Times New Roman" w:cs="Times New Roman"/>
                <w:sz w:val="18"/>
                <w:szCs w:val="18"/>
              </w:rPr>
              <w:t>5.5</w:t>
            </w:r>
          </w:p>
        </w:tc>
        <w:tc>
          <w:tcPr>
            <w:tcW w:w="848" w:type="dxa"/>
            <w:noWrap/>
            <w:hideMark/>
          </w:tcPr>
          <w:p w14:paraId="35073F04" w14:textId="77777777" w:rsidR="00661F03" w:rsidRPr="000973F2" w:rsidRDefault="00661F03" w:rsidP="002E03B4">
            <w:pPr>
              <w:tabs>
                <w:tab w:val="decimal" w:pos="331"/>
              </w:tabs>
              <w:spacing w:before="40" w:after="4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18"/>
                <w:szCs w:val="18"/>
              </w:rPr>
            </w:pPr>
            <w:r w:rsidRPr="000973F2">
              <w:rPr>
                <w:rFonts w:ascii="Times New Roman" w:hAnsi="Times New Roman" w:cs="Times New Roman"/>
                <w:sz w:val="18"/>
                <w:szCs w:val="18"/>
              </w:rPr>
              <w:t>$0</w:t>
            </w:r>
          </w:p>
        </w:tc>
        <w:tc>
          <w:tcPr>
            <w:tcW w:w="848" w:type="dxa"/>
            <w:noWrap/>
            <w:hideMark/>
          </w:tcPr>
          <w:p w14:paraId="72093FF6" w14:textId="04462753" w:rsidR="00661F03" w:rsidRPr="000973F2" w:rsidRDefault="00661F03" w:rsidP="002E03B4">
            <w:pPr>
              <w:tabs>
                <w:tab w:val="decimal" w:pos="481"/>
              </w:tabs>
              <w:spacing w:before="40" w:after="4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18"/>
                <w:szCs w:val="18"/>
              </w:rPr>
            </w:pPr>
            <w:r w:rsidRPr="000973F2">
              <w:rPr>
                <w:rFonts w:ascii="Times New Roman" w:hAnsi="Times New Roman" w:cs="Times New Roman"/>
                <w:sz w:val="18"/>
                <w:szCs w:val="18"/>
              </w:rPr>
              <w:t>$2,920</w:t>
            </w:r>
          </w:p>
        </w:tc>
      </w:tr>
    </w:tbl>
    <w:p w14:paraId="3EDC6958" w14:textId="77777777" w:rsidR="00661F03" w:rsidRPr="000973F2" w:rsidRDefault="00661F03" w:rsidP="00C00E4F">
      <w:pPr>
        <w:spacing w:line="240" w:lineRule="auto"/>
        <w:rPr>
          <w:rFonts w:ascii="Times New Roman" w:hAnsi="Times New Roman" w:cs="Times New Roman"/>
          <w:b/>
          <w:i/>
        </w:rPr>
      </w:pPr>
      <w:r w:rsidRPr="000973F2">
        <w:rPr>
          <w:rFonts w:ascii="Times New Roman" w:hAnsi="Times New Roman" w:cs="Times New Roman"/>
          <w:b/>
          <w:i/>
        </w:rPr>
        <w:br w:type="page"/>
      </w:r>
    </w:p>
    <w:p w14:paraId="28C226A4" w14:textId="77777777" w:rsidR="00661F03" w:rsidRPr="000973F2" w:rsidRDefault="00661F03" w:rsidP="0061585D">
      <w:pPr>
        <w:pStyle w:val="Heading2"/>
      </w:pPr>
      <w:r w:rsidRPr="000973F2">
        <w:t>Capital and O&amp;M Costs for Subpart DD</w:t>
      </w:r>
    </w:p>
    <w:p w14:paraId="3B513AF8" w14:textId="39240AFA" w:rsidR="00661F03" w:rsidRPr="000973F2" w:rsidRDefault="00661F03" w:rsidP="0061585D">
      <w:pPr>
        <w:pStyle w:val="BodyText"/>
        <w:rPr>
          <w:i/>
          <w:iCs/>
        </w:rPr>
      </w:pPr>
      <w:r w:rsidRPr="000973F2">
        <w:t xml:space="preserve">As shown in Table </w:t>
      </w:r>
      <w:r w:rsidR="0061585D" w:rsidRPr="000973F2">
        <w:t>DD-</w:t>
      </w:r>
      <w:r w:rsidRPr="000973F2">
        <w:t>2, existing facilities will incur an O&amp;M cost of $50 per year for recordkeeping and a $1,200 cost per year for sampling. Typical costs related to recordkeeping are discussed in the Cost Appendix Introduction. Sampling O&amp;M costs for Subpart DD are for an independent contractor to weigh gas cylinders for facilities that have a high quantity of cylinders.</w:t>
      </w:r>
      <w:r w:rsidR="005B76DE" w:rsidRPr="000973F2">
        <w:t xml:space="preserve"> No capital costs are expected.</w:t>
      </w:r>
    </w:p>
    <w:p w14:paraId="37A8B78B" w14:textId="2FF6597C" w:rsidR="00661F03" w:rsidRPr="000973F2" w:rsidRDefault="00661F03" w:rsidP="00C00E4F">
      <w:pPr>
        <w:spacing w:line="240" w:lineRule="auto"/>
        <w:rPr>
          <w:rFonts w:ascii="Times New Roman" w:hAnsi="Times New Roman" w:cs="Times New Roman"/>
        </w:rPr>
      </w:pPr>
      <w:r w:rsidRPr="000973F2">
        <w:rPr>
          <w:rFonts w:ascii="Times New Roman" w:hAnsi="Times New Roman" w:cs="Times New Roman"/>
          <w:b/>
        </w:rPr>
        <w:t xml:space="preserve">Table </w:t>
      </w:r>
      <w:r w:rsidR="0061585D" w:rsidRPr="000973F2">
        <w:rPr>
          <w:rFonts w:ascii="Times New Roman" w:hAnsi="Times New Roman" w:cs="Times New Roman"/>
          <w:b/>
        </w:rPr>
        <w:t>DD-</w:t>
      </w:r>
      <w:r w:rsidRPr="000973F2">
        <w:rPr>
          <w:rFonts w:ascii="Times New Roman" w:hAnsi="Times New Roman" w:cs="Times New Roman"/>
          <w:b/>
        </w:rPr>
        <w:t xml:space="preserve">2. Capital and O&amp;M Costs </w:t>
      </w:r>
      <w:r w:rsidR="00B960CC" w:rsidRPr="000973F2">
        <w:rPr>
          <w:rFonts w:ascii="Times New Roman" w:hAnsi="Times New Roman" w:cs="Times New Roman"/>
          <w:b/>
        </w:rPr>
        <w:t>–</w:t>
      </w:r>
      <w:r w:rsidRPr="000973F2">
        <w:rPr>
          <w:rFonts w:ascii="Times New Roman" w:hAnsi="Times New Roman" w:cs="Times New Roman"/>
          <w:b/>
        </w:rPr>
        <w:t xml:space="preserve"> Subpart DD </w:t>
      </w:r>
    </w:p>
    <w:tbl>
      <w:tblPr>
        <w:tblStyle w:val="PlainTable1"/>
        <w:tblW w:w="5000" w:type="pct"/>
        <w:jc w:val="left"/>
        <w:tblLayout w:type="fixed"/>
        <w:tblCellMar>
          <w:left w:w="115" w:type="dxa"/>
          <w:right w:w="115" w:type="dxa"/>
        </w:tblCellMar>
        <w:tblLook w:val="04A0" w:firstRow="1" w:lastRow="0" w:firstColumn="1" w:lastColumn="0" w:noHBand="0" w:noVBand="1"/>
      </w:tblPr>
      <w:tblGrid>
        <w:gridCol w:w="1770"/>
        <w:gridCol w:w="1304"/>
        <w:gridCol w:w="1303"/>
        <w:gridCol w:w="1303"/>
        <w:gridCol w:w="1336"/>
        <w:gridCol w:w="1270"/>
        <w:gridCol w:w="1304"/>
      </w:tblGrid>
      <w:tr w:rsidR="00D17312" w:rsidRPr="000973F2" w14:paraId="372344C5" w14:textId="77777777" w:rsidTr="00B6531F">
        <w:trPr>
          <w:cnfStyle w:val="100000000000" w:firstRow="1" w:lastRow="0" w:firstColumn="0" w:lastColumn="0" w:oddVBand="0" w:evenVBand="0" w:oddHBand="0" w:evenHBand="0" w:firstRowFirstColumn="0" w:firstRowLastColumn="0" w:lastRowFirstColumn="0" w:lastRowLastColumn="0"/>
          <w:cantSplit/>
          <w:jc w:val="left"/>
        </w:trPr>
        <w:tc>
          <w:tcPr>
            <w:cnfStyle w:val="001000000000" w:firstRow="0" w:lastRow="0" w:firstColumn="1" w:lastColumn="0" w:oddVBand="0" w:evenVBand="0" w:oddHBand="0" w:evenHBand="0" w:firstRowFirstColumn="0" w:firstRowLastColumn="0" w:lastRowFirstColumn="0" w:lastRowLastColumn="0"/>
            <w:tcW w:w="1721" w:type="dxa"/>
            <w:vMerge w:val="restart"/>
            <w:noWrap/>
            <w:vAlign w:val="top"/>
            <w:hideMark/>
          </w:tcPr>
          <w:p w14:paraId="5E961B79" w14:textId="267509B1" w:rsidR="00D17312" w:rsidRPr="000973F2" w:rsidRDefault="00D17312" w:rsidP="0061585D">
            <w:pPr>
              <w:spacing w:before="40" w:after="40"/>
              <w:rPr>
                <w:rFonts w:ascii="Times New Roman" w:eastAsia="Times New Roman" w:hAnsi="Times New Roman" w:cs="Times New Roman"/>
                <w:b w:val="0"/>
                <w:bCs w:val="0"/>
                <w:sz w:val="18"/>
                <w:szCs w:val="18"/>
              </w:rPr>
            </w:pPr>
            <w:r w:rsidRPr="000973F2">
              <w:rPr>
                <w:rFonts w:ascii="Times New Roman" w:eastAsia="Times New Roman" w:hAnsi="Times New Roman" w:cs="Times New Roman"/>
                <w:sz w:val="18"/>
                <w:szCs w:val="18"/>
              </w:rPr>
              <w:t>Activity</w:t>
            </w:r>
          </w:p>
        </w:tc>
        <w:tc>
          <w:tcPr>
            <w:tcW w:w="5104" w:type="dxa"/>
            <w:gridSpan w:val="4"/>
            <w:noWrap/>
            <w:vAlign w:val="top"/>
            <w:hideMark/>
          </w:tcPr>
          <w:p w14:paraId="3FA8D1D7" w14:textId="77777777" w:rsidR="00D17312" w:rsidRPr="000973F2" w:rsidRDefault="00D17312" w:rsidP="0061585D">
            <w:pPr>
              <w:spacing w:before="40" w:after="40"/>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bCs w:val="0"/>
                <w:sz w:val="18"/>
                <w:szCs w:val="18"/>
              </w:rPr>
            </w:pPr>
            <w:r w:rsidRPr="000973F2">
              <w:rPr>
                <w:rFonts w:ascii="Times New Roman" w:eastAsia="Times New Roman" w:hAnsi="Times New Roman" w:cs="Times New Roman"/>
                <w:sz w:val="18"/>
                <w:szCs w:val="18"/>
              </w:rPr>
              <w:t>Cost Categories</w:t>
            </w:r>
          </w:p>
        </w:tc>
        <w:tc>
          <w:tcPr>
            <w:tcW w:w="2505" w:type="dxa"/>
            <w:gridSpan w:val="2"/>
            <w:vAlign w:val="top"/>
            <w:hideMark/>
          </w:tcPr>
          <w:p w14:paraId="4A86F9A0" w14:textId="77777777" w:rsidR="00D17312" w:rsidRPr="000973F2" w:rsidRDefault="00D17312" w:rsidP="0061585D">
            <w:pPr>
              <w:spacing w:before="40" w:after="40"/>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bCs w:val="0"/>
                <w:sz w:val="18"/>
                <w:szCs w:val="18"/>
              </w:rPr>
            </w:pPr>
            <w:r w:rsidRPr="000973F2">
              <w:rPr>
                <w:rFonts w:ascii="Times New Roman" w:eastAsia="Times New Roman" w:hAnsi="Times New Roman" w:cs="Times New Roman"/>
                <w:sz w:val="18"/>
                <w:szCs w:val="18"/>
              </w:rPr>
              <w:t>Total Capital and O&amp;M Cost per Year per Facility (2017$)</w:t>
            </w:r>
          </w:p>
        </w:tc>
      </w:tr>
      <w:tr w:rsidR="00D17312" w:rsidRPr="000973F2" w14:paraId="56A51B4A" w14:textId="77777777" w:rsidTr="00B6531F">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1721" w:type="dxa"/>
            <w:vMerge/>
            <w:noWrap/>
            <w:hideMark/>
          </w:tcPr>
          <w:p w14:paraId="5F1204A5" w14:textId="4FAA003B" w:rsidR="00D17312" w:rsidRPr="000973F2" w:rsidRDefault="00D17312" w:rsidP="0061585D">
            <w:pPr>
              <w:spacing w:before="40" w:after="40"/>
              <w:jc w:val="center"/>
              <w:rPr>
                <w:rFonts w:ascii="Times New Roman" w:eastAsia="Times New Roman" w:hAnsi="Times New Roman" w:cs="Times New Roman"/>
                <w:b/>
                <w:bCs w:val="0"/>
                <w:sz w:val="18"/>
                <w:szCs w:val="18"/>
              </w:rPr>
            </w:pPr>
          </w:p>
        </w:tc>
        <w:tc>
          <w:tcPr>
            <w:tcW w:w="1268" w:type="dxa"/>
            <w:hideMark/>
          </w:tcPr>
          <w:p w14:paraId="514907EE" w14:textId="77777777" w:rsidR="00D17312" w:rsidRPr="000973F2" w:rsidRDefault="00D17312" w:rsidP="0061585D">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18"/>
                <w:szCs w:val="18"/>
              </w:rPr>
            </w:pPr>
            <w:r w:rsidRPr="000973F2">
              <w:rPr>
                <w:rFonts w:ascii="Times New Roman" w:eastAsia="Times New Roman" w:hAnsi="Times New Roman" w:cs="Times New Roman"/>
                <w:b/>
                <w:bCs/>
                <w:sz w:val="18"/>
                <w:szCs w:val="18"/>
              </w:rPr>
              <w:t>Capital Cost (2017$)</w:t>
            </w:r>
          </w:p>
        </w:tc>
        <w:tc>
          <w:tcPr>
            <w:tcW w:w="1268" w:type="dxa"/>
            <w:hideMark/>
          </w:tcPr>
          <w:p w14:paraId="79C21511" w14:textId="77777777" w:rsidR="00D17312" w:rsidRPr="000973F2" w:rsidRDefault="00D17312" w:rsidP="0061585D">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18"/>
                <w:szCs w:val="18"/>
              </w:rPr>
            </w:pPr>
            <w:r w:rsidRPr="000973F2">
              <w:rPr>
                <w:rFonts w:ascii="Times New Roman" w:eastAsia="Times New Roman" w:hAnsi="Times New Roman" w:cs="Times New Roman"/>
                <w:b/>
                <w:bCs/>
                <w:sz w:val="18"/>
                <w:szCs w:val="18"/>
              </w:rPr>
              <w:t>Equipment Lifetime</w:t>
            </w:r>
          </w:p>
        </w:tc>
        <w:tc>
          <w:tcPr>
            <w:tcW w:w="1268" w:type="dxa"/>
            <w:hideMark/>
          </w:tcPr>
          <w:p w14:paraId="25AF24B0" w14:textId="77777777" w:rsidR="00D17312" w:rsidRPr="000973F2" w:rsidRDefault="00D17312" w:rsidP="0061585D">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18"/>
                <w:szCs w:val="18"/>
              </w:rPr>
            </w:pPr>
            <w:r w:rsidRPr="000973F2">
              <w:rPr>
                <w:rFonts w:ascii="Times New Roman" w:eastAsia="Times New Roman" w:hAnsi="Times New Roman" w:cs="Times New Roman"/>
                <w:b/>
                <w:bCs/>
                <w:sz w:val="18"/>
                <w:szCs w:val="18"/>
              </w:rPr>
              <w:t>Annualized Capital Cost (2017$/year)</w:t>
            </w:r>
          </w:p>
        </w:tc>
        <w:tc>
          <w:tcPr>
            <w:tcW w:w="1300" w:type="dxa"/>
            <w:hideMark/>
          </w:tcPr>
          <w:p w14:paraId="4B1F42FD" w14:textId="77777777" w:rsidR="00D17312" w:rsidRPr="000973F2" w:rsidRDefault="00D17312" w:rsidP="0061585D">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18"/>
                <w:szCs w:val="18"/>
              </w:rPr>
            </w:pPr>
            <w:r w:rsidRPr="000973F2">
              <w:rPr>
                <w:rFonts w:ascii="Times New Roman" w:eastAsia="Times New Roman" w:hAnsi="Times New Roman" w:cs="Times New Roman"/>
                <w:b/>
                <w:bCs/>
                <w:sz w:val="18"/>
                <w:szCs w:val="18"/>
              </w:rPr>
              <w:t>O&amp;M Costs (2017$/year)</w:t>
            </w:r>
          </w:p>
        </w:tc>
        <w:tc>
          <w:tcPr>
            <w:tcW w:w="1236" w:type="dxa"/>
            <w:hideMark/>
          </w:tcPr>
          <w:p w14:paraId="0959AF97" w14:textId="77777777" w:rsidR="00D17312" w:rsidRPr="000973F2" w:rsidRDefault="00D17312" w:rsidP="0061585D">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18"/>
                <w:szCs w:val="18"/>
              </w:rPr>
            </w:pPr>
            <w:r w:rsidRPr="000973F2">
              <w:rPr>
                <w:rFonts w:ascii="Times New Roman" w:eastAsia="Times New Roman" w:hAnsi="Times New Roman" w:cs="Times New Roman"/>
                <w:b/>
                <w:bCs/>
                <w:sz w:val="18"/>
                <w:szCs w:val="18"/>
              </w:rPr>
              <w:t>Initial Year</w:t>
            </w:r>
          </w:p>
        </w:tc>
        <w:tc>
          <w:tcPr>
            <w:tcW w:w="1269" w:type="dxa"/>
            <w:hideMark/>
          </w:tcPr>
          <w:p w14:paraId="50B1F8DD" w14:textId="77777777" w:rsidR="00D17312" w:rsidRPr="000973F2" w:rsidRDefault="00D17312" w:rsidP="0061585D">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18"/>
                <w:szCs w:val="18"/>
              </w:rPr>
            </w:pPr>
            <w:r w:rsidRPr="000973F2">
              <w:rPr>
                <w:rFonts w:ascii="Times New Roman" w:eastAsia="Times New Roman" w:hAnsi="Times New Roman" w:cs="Times New Roman"/>
                <w:b/>
                <w:bCs/>
                <w:sz w:val="18"/>
                <w:szCs w:val="18"/>
              </w:rPr>
              <w:t>Subseq. Years</w:t>
            </w:r>
          </w:p>
        </w:tc>
      </w:tr>
      <w:tr w:rsidR="00845109" w:rsidRPr="000973F2" w14:paraId="5AA6A86D" w14:textId="77777777" w:rsidTr="0061585D">
        <w:trPr>
          <w:cantSplit/>
        </w:trPr>
        <w:tc>
          <w:tcPr>
            <w:cnfStyle w:val="001000000000" w:firstRow="0" w:lastRow="0" w:firstColumn="1" w:lastColumn="0" w:oddVBand="0" w:evenVBand="0" w:oddHBand="0" w:evenHBand="0" w:firstRowFirstColumn="0" w:firstRowLastColumn="0" w:lastRowFirstColumn="0" w:lastRowLastColumn="0"/>
            <w:tcW w:w="1721" w:type="dxa"/>
            <w:shd w:val="clear" w:color="auto" w:fill="auto"/>
            <w:hideMark/>
          </w:tcPr>
          <w:p w14:paraId="1714BA08" w14:textId="77777777" w:rsidR="0061585D" w:rsidRPr="000973F2" w:rsidRDefault="0061585D" w:rsidP="0061585D">
            <w:pPr>
              <w:spacing w:before="40" w:after="4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Equipment (selection, purchase, installation)</w:t>
            </w:r>
          </w:p>
        </w:tc>
        <w:tc>
          <w:tcPr>
            <w:tcW w:w="1268" w:type="dxa"/>
            <w:shd w:val="clear" w:color="auto" w:fill="auto"/>
            <w:noWrap/>
            <w:hideMark/>
          </w:tcPr>
          <w:p w14:paraId="113177B6" w14:textId="2BFC3A1F" w:rsidR="0061585D" w:rsidRPr="000973F2" w:rsidRDefault="0061585D" w:rsidP="0061585D">
            <w:pPr>
              <w:spacing w:before="40" w:after="4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w:t>
            </w:r>
          </w:p>
        </w:tc>
        <w:tc>
          <w:tcPr>
            <w:tcW w:w="1268" w:type="dxa"/>
            <w:shd w:val="clear" w:color="auto" w:fill="auto"/>
            <w:noWrap/>
          </w:tcPr>
          <w:p w14:paraId="31CA3A70" w14:textId="00A06ED3" w:rsidR="0061585D" w:rsidRPr="000973F2" w:rsidRDefault="0061585D" w:rsidP="0061585D">
            <w:pPr>
              <w:spacing w:before="40" w:after="4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p>
        </w:tc>
        <w:tc>
          <w:tcPr>
            <w:tcW w:w="1268" w:type="dxa"/>
            <w:shd w:val="clear" w:color="auto" w:fill="auto"/>
            <w:noWrap/>
            <w:hideMark/>
          </w:tcPr>
          <w:p w14:paraId="3630B2CE" w14:textId="59141A45" w:rsidR="0061585D" w:rsidRPr="000973F2" w:rsidRDefault="0061585D" w:rsidP="0061585D">
            <w:pPr>
              <w:spacing w:before="40" w:after="4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w:t>
            </w:r>
          </w:p>
        </w:tc>
        <w:tc>
          <w:tcPr>
            <w:tcW w:w="1300" w:type="dxa"/>
            <w:shd w:val="clear" w:color="auto" w:fill="auto"/>
            <w:noWrap/>
            <w:hideMark/>
          </w:tcPr>
          <w:p w14:paraId="054853B1" w14:textId="776084EE" w:rsidR="0061585D" w:rsidRPr="000973F2" w:rsidRDefault="0061585D" w:rsidP="0061585D">
            <w:pPr>
              <w:tabs>
                <w:tab w:val="decimal" w:pos="766"/>
              </w:tabs>
              <w:spacing w:before="40" w:after="4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w:t>
            </w:r>
          </w:p>
        </w:tc>
        <w:tc>
          <w:tcPr>
            <w:tcW w:w="1236" w:type="dxa"/>
            <w:shd w:val="clear" w:color="auto" w:fill="auto"/>
            <w:noWrap/>
            <w:hideMark/>
          </w:tcPr>
          <w:p w14:paraId="42BF7263" w14:textId="528B7007" w:rsidR="0061585D" w:rsidRPr="000973F2" w:rsidRDefault="0061585D" w:rsidP="0061585D">
            <w:pPr>
              <w:tabs>
                <w:tab w:val="decimal" w:pos="766"/>
              </w:tabs>
              <w:spacing w:before="40" w:after="4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w:t>
            </w:r>
          </w:p>
        </w:tc>
        <w:tc>
          <w:tcPr>
            <w:tcW w:w="1269" w:type="dxa"/>
            <w:shd w:val="clear" w:color="auto" w:fill="auto"/>
            <w:noWrap/>
            <w:hideMark/>
          </w:tcPr>
          <w:p w14:paraId="45940593" w14:textId="4D1E750B" w:rsidR="0061585D" w:rsidRPr="000973F2" w:rsidRDefault="0061585D" w:rsidP="0061585D">
            <w:pPr>
              <w:tabs>
                <w:tab w:val="decimal" w:pos="766"/>
              </w:tabs>
              <w:spacing w:before="40" w:after="4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w:t>
            </w:r>
          </w:p>
        </w:tc>
      </w:tr>
      <w:tr w:rsidR="00845109" w:rsidRPr="000973F2" w14:paraId="194995FB" w14:textId="77777777" w:rsidTr="0061585D">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1721" w:type="dxa"/>
            <w:hideMark/>
          </w:tcPr>
          <w:p w14:paraId="46983723" w14:textId="77777777" w:rsidR="0061585D" w:rsidRPr="000973F2" w:rsidRDefault="0061585D" w:rsidP="0061585D">
            <w:pPr>
              <w:spacing w:before="40" w:after="4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Performance testing</w:t>
            </w:r>
          </w:p>
        </w:tc>
        <w:tc>
          <w:tcPr>
            <w:tcW w:w="1268" w:type="dxa"/>
            <w:noWrap/>
            <w:hideMark/>
          </w:tcPr>
          <w:p w14:paraId="588815E0" w14:textId="0BA08C78" w:rsidR="0061585D" w:rsidRPr="000973F2" w:rsidRDefault="0061585D" w:rsidP="0061585D">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w:t>
            </w:r>
          </w:p>
        </w:tc>
        <w:tc>
          <w:tcPr>
            <w:tcW w:w="1268" w:type="dxa"/>
            <w:noWrap/>
          </w:tcPr>
          <w:p w14:paraId="77BC1C3F" w14:textId="25C856AB" w:rsidR="0061585D" w:rsidRPr="000973F2" w:rsidRDefault="0061585D" w:rsidP="0061585D">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p>
        </w:tc>
        <w:tc>
          <w:tcPr>
            <w:tcW w:w="1268" w:type="dxa"/>
            <w:noWrap/>
            <w:hideMark/>
          </w:tcPr>
          <w:p w14:paraId="06948FFB" w14:textId="14F80A74" w:rsidR="0061585D" w:rsidRPr="000973F2" w:rsidRDefault="0061585D" w:rsidP="0061585D">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w:t>
            </w:r>
          </w:p>
        </w:tc>
        <w:tc>
          <w:tcPr>
            <w:tcW w:w="1300" w:type="dxa"/>
            <w:noWrap/>
            <w:hideMark/>
          </w:tcPr>
          <w:p w14:paraId="0C6443AA" w14:textId="2D5CF0BB" w:rsidR="0061585D" w:rsidRPr="000973F2" w:rsidRDefault="0061585D" w:rsidP="0061585D">
            <w:pPr>
              <w:tabs>
                <w:tab w:val="decimal" w:pos="766"/>
              </w:tabs>
              <w:spacing w:before="40" w:after="4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w:t>
            </w:r>
          </w:p>
        </w:tc>
        <w:tc>
          <w:tcPr>
            <w:tcW w:w="1236" w:type="dxa"/>
            <w:noWrap/>
            <w:hideMark/>
          </w:tcPr>
          <w:p w14:paraId="7D847C10" w14:textId="50FE1932" w:rsidR="0061585D" w:rsidRPr="000973F2" w:rsidRDefault="0061585D" w:rsidP="0061585D">
            <w:pPr>
              <w:tabs>
                <w:tab w:val="decimal" w:pos="766"/>
              </w:tabs>
              <w:spacing w:before="40" w:after="4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w:t>
            </w:r>
          </w:p>
        </w:tc>
        <w:tc>
          <w:tcPr>
            <w:tcW w:w="1269" w:type="dxa"/>
            <w:noWrap/>
            <w:hideMark/>
          </w:tcPr>
          <w:p w14:paraId="5E987190" w14:textId="6C6A6E55" w:rsidR="0061585D" w:rsidRPr="000973F2" w:rsidRDefault="0061585D" w:rsidP="0061585D">
            <w:pPr>
              <w:tabs>
                <w:tab w:val="decimal" w:pos="766"/>
              </w:tabs>
              <w:spacing w:before="40" w:after="4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w:t>
            </w:r>
          </w:p>
        </w:tc>
      </w:tr>
      <w:tr w:rsidR="00661F03" w:rsidRPr="000973F2" w14:paraId="70A27B92" w14:textId="77777777" w:rsidTr="00B6531F">
        <w:trPr>
          <w:cantSplit/>
        </w:trPr>
        <w:tc>
          <w:tcPr>
            <w:cnfStyle w:val="001000000000" w:firstRow="0" w:lastRow="0" w:firstColumn="1" w:lastColumn="0" w:oddVBand="0" w:evenVBand="0" w:oddHBand="0" w:evenHBand="0" w:firstRowFirstColumn="0" w:firstRowLastColumn="0" w:lastRowFirstColumn="0" w:lastRowLastColumn="0"/>
            <w:tcW w:w="1721" w:type="dxa"/>
            <w:shd w:val="clear" w:color="auto" w:fill="auto"/>
            <w:hideMark/>
          </w:tcPr>
          <w:p w14:paraId="370B6A8B" w14:textId="77777777" w:rsidR="00661F03" w:rsidRPr="000973F2" w:rsidRDefault="00661F03" w:rsidP="0061585D">
            <w:pPr>
              <w:spacing w:before="40" w:after="4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Recordkeeping</w:t>
            </w:r>
          </w:p>
        </w:tc>
        <w:tc>
          <w:tcPr>
            <w:tcW w:w="1268" w:type="dxa"/>
            <w:shd w:val="clear" w:color="auto" w:fill="auto"/>
            <w:noWrap/>
            <w:hideMark/>
          </w:tcPr>
          <w:p w14:paraId="4C031E5A" w14:textId="77777777" w:rsidR="00661F03" w:rsidRPr="000973F2" w:rsidRDefault="00661F03" w:rsidP="0061585D">
            <w:pPr>
              <w:spacing w:before="40" w:after="4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$0</w:t>
            </w:r>
          </w:p>
        </w:tc>
        <w:tc>
          <w:tcPr>
            <w:tcW w:w="1268" w:type="dxa"/>
            <w:shd w:val="clear" w:color="auto" w:fill="auto"/>
            <w:noWrap/>
          </w:tcPr>
          <w:p w14:paraId="2EB043F4" w14:textId="11B19293" w:rsidR="00661F03" w:rsidRPr="000973F2" w:rsidRDefault="00661F03" w:rsidP="0061585D">
            <w:pPr>
              <w:spacing w:before="40" w:after="4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p>
        </w:tc>
        <w:tc>
          <w:tcPr>
            <w:tcW w:w="1268" w:type="dxa"/>
            <w:shd w:val="clear" w:color="auto" w:fill="auto"/>
            <w:noWrap/>
            <w:hideMark/>
          </w:tcPr>
          <w:p w14:paraId="3B2BB8A4" w14:textId="77777777" w:rsidR="00661F03" w:rsidRPr="000973F2" w:rsidRDefault="00661F03" w:rsidP="0061585D">
            <w:pPr>
              <w:spacing w:before="40" w:after="4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$0</w:t>
            </w:r>
          </w:p>
        </w:tc>
        <w:tc>
          <w:tcPr>
            <w:tcW w:w="1300" w:type="dxa"/>
            <w:shd w:val="clear" w:color="auto" w:fill="auto"/>
            <w:noWrap/>
            <w:hideMark/>
          </w:tcPr>
          <w:p w14:paraId="17572C9E" w14:textId="77777777" w:rsidR="00661F03" w:rsidRPr="000973F2" w:rsidRDefault="00661F03" w:rsidP="0061585D">
            <w:pPr>
              <w:tabs>
                <w:tab w:val="decimal" w:pos="766"/>
              </w:tabs>
              <w:spacing w:before="40" w:after="4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$50</w:t>
            </w:r>
          </w:p>
        </w:tc>
        <w:tc>
          <w:tcPr>
            <w:tcW w:w="1236" w:type="dxa"/>
            <w:shd w:val="clear" w:color="auto" w:fill="auto"/>
            <w:noWrap/>
            <w:hideMark/>
          </w:tcPr>
          <w:p w14:paraId="0657765B" w14:textId="77777777" w:rsidR="00661F03" w:rsidRPr="000973F2" w:rsidRDefault="00661F03" w:rsidP="0061585D">
            <w:pPr>
              <w:tabs>
                <w:tab w:val="decimal" w:pos="766"/>
              </w:tabs>
              <w:spacing w:before="40" w:after="4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$50</w:t>
            </w:r>
          </w:p>
        </w:tc>
        <w:tc>
          <w:tcPr>
            <w:tcW w:w="1269" w:type="dxa"/>
            <w:shd w:val="clear" w:color="auto" w:fill="auto"/>
            <w:noWrap/>
            <w:hideMark/>
          </w:tcPr>
          <w:p w14:paraId="64642313" w14:textId="77777777" w:rsidR="00661F03" w:rsidRPr="000973F2" w:rsidRDefault="00661F03" w:rsidP="0061585D">
            <w:pPr>
              <w:tabs>
                <w:tab w:val="decimal" w:pos="766"/>
              </w:tabs>
              <w:spacing w:before="40" w:after="4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$50</w:t>
            </w:r>
          </w:p>
        </w:tc>
      </w:tr>
      <w:tr w:rsidR="00845109" w:rsidRPr="000973F2" w14:paraId="38D338CD" w14:textId="77777777" w:rsidTr="0061585D">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1721" w:type="dxa"/>
            <w:hideMark/>
          </w:tcPr>
          <w:p w14:paraId="246B90EB" w14:textId="77777777" w:rsidR="0061585D" w:rsidRPr="000973F2" w:rsidRDefault="0061585D" w:rsidP="0061585D">
            <w:pPr>
              <w:spacing w:before="40" w:after="4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Travel</w:t>
            </w:r>
          </w:p>
        </w:tc>
        <w:tc>
          <w:tcPr>
            <w:tcW w:w="1268" w:type="dxa"/>
            <w:noWrap/>
            <w:hideMark/>
          </w:tcPr>
          <w:p w14:paraId="4DA34B08" w14:textId="4AD71765" w:rsidR="0061585D" w:rsidRPr="000973F2" w:rsidRDefault="0061585D" w:rsidP="0061585D">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w:t>
            </w:r>
          </w:p>
        </w:tc>
        <w:tc>
          <w:tcPr>
            <w:tcW w:w="1268" w:type="dxa"/>
            <w:noWrap/>
          </w:tcPr>
          <w:p w14:paraId="0C824C93" w14:textId="6450D612" w:rsidR="0061585D" w:rsidRPr="000973F2" w:rsidRDefault="0061585D" w:rsidP="0061585D">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p>
        </w:tc>
        <w:tc>
          <w:tcPr>
            <w:tcW w:w="1268" w:type="dxa"/>
            <w:noWrap/>
            <w:hideMark/>
          </w:tcPr>
          <w:p w14:paraId="7DC04EA2" w14:textId="0CF0BE33" w:rsidR="0061585D" w:rsidRPr="000973F2" w:rsidRDefault="0061585D" w:rsidP="0061585D">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w:t>
            </w:r>
          </w:p>
        </w:tc>
        <w:tc>
          <w:tcPr>
            <w:tcW w:w="1300" w:type="dxa"/>
            <w:noWrap/>
            <w:hideMark/>
          </w:tcPr>
          <w:p w14:paraId="559595A3" w14:textId="1F4D4CB5" w:rsidR="0061585D" w:rsidRPr="000973F2" w:rsidRDefault="0061585D" w:rsidP="0061585D">
            <w:pPr>
              <w:tabs>
                <w:tab w:val="decimal" w:pos="766"/>
              </w:tabs>
              <w:spacing w:before="40" w:after="4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w:t>
            </w:r>
          </w:p>
        </w:tc>
        <w:tc>
          <w:tcPr>
            <w:tcW w:w="1236" w:type="dxa"/>
            <w:noWrap/>
            <w:hideMark/>
          </w:tcPr>
          <w:p w14:paraId="669A608F" w14:textId="3E15D4CA" w:rsidR="0061585D" w:rsidRPr="000973F2" w:rsidRDefault="0061585D" w:rsidP="0061585D">
            <w:pPr>
              <w:tabs>
                <w:tab w:val="decimal" w:pos="766"/>
              </w:tabs>
              <w:spacing w:before="40" w:after="4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w:t>
            </w:r>
          </w:p>
        </w:tc>
        <w:tc>
          <w:tcPr>
            <w:tcW w:w="1269" w:type="dxa"/>
            <w:noWrap/>
            <w:hideMark/>
          </w:tcPr>
          <w:p w14:paraId="4B773FB1" w14:textId="6AEF7D22" w:rsidR="0061585D" w:rsidRPr="000973F2" w:rsidRDefault="0061585D" w:rsidP="0061585D">
            <w:pPr>
              <w:tabs>
                <w:tab w:val="decimal" w:pos="766"/>
              </w:tabs>
              <w:spacing w:before="40" w:after="4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w:t>
            </w:r>
          </w:p>
        </w:tc>
      </w:tr>
      <w:tr w:rsidR="00845109" w:rsidRPr="000973F2" w14:paraId="7CFE7DF6" w14:textId="77777777" w:rsidTr="0061585D">
        <w:trPr>
          <w:cantSplit/>
        </w:trPr>
        <w:tc>
          <w:tcPr>
            <w:cnfStyle w:val="001000000000" w:firstRow="0" w:lastRow="0" w:firstColumn="1" w:lastColumn="0" w:oddVBand="0" w:evenVBand="0" w:oddHBand="0" w:evenHBand="0" w:firstRowFirstColumn="0" w:firstRowLastColumn="0" w:lastRowFirstColumn="0" w:lastRowLastColumn="0"/>
            <w:tcW w:w="1721" w:type="dxa"/>
            <w:shd w:val="clear" w:color="auto" w:fill="auto"/>
            <w:hideMark/>
          </w:tcPr>
          <w:p w14:paraId="1A36DF99" w14:textId="77777777" w:rsidR="00661F03" w:rsidRPr="000973F2" w:rsidRDefault="00661F03" w:rsidP="0061585D">
            <w:pPr>
              <w:spacing w:before="40" w:after="4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Sampling and Analysis Costs</w:t>
            </w:r>
          </w:p>
        </w:tc>
        <w:tc>
          <w:tcPr>
            <w:tcW w:w="1268" w:type="dxa"/>
            <w:shd w:val="clear" w:color="auto" w:fill="auto"/>
            <w:noWrap/>
            <w:hideMark/>
          </w:tcPr>
          <w:p w14:paraId="462CC33A" w14:textId="77777777" w:rsidR="00661F03" w:rsidRPr="000973F2" w:rsidRDefault="00661F03" w:rsidP="0061585D">
            <w:pPr>
              <w:spacing w:before="40" w:after="4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$0</w:t>
            </w:r>
          </w:p>
        </w:tc>
        <w:tc>
          <w:tcPr>
            <w:tcW w:w="1268" w:type="dxa"/>
            <w:shd w:val="clear" w:color="auto" w:fill="auto"/>
            <w:noWrap/>
          </w:tcPr>
          <w:p w14:paraId="3E4A6F52" w14:textId="0C316FBC" w:rsidR="00661F03" w:rsidRPr="000973F2" w:rsidRDefault="00661F03" w:rsidP="0061585D">
            <w:pPr>
              <w:spacing w:before="40" w:after="4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p>
        </w:tc>
        <w:tc>
          <w:tcPr>
            <w:tcW w:w="1268" w:type="dxa"/>
            <w:shd w:val="clear" w:color="auto" w:fill="auto"/>
            <w:noWrap/>
            <w:hideMark/>
          </w:tcPr>
          <w:p w14:paraId="489D822B" w14:textId="77777777" w:rsidR="00661F03" w:rsidRPr="000973F2" w:rsidRDefault="00661F03" w:rsidP="0061585D">
            <w:pPr>
              <w:spacing w:before="40" w:after="4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$0</w:t>
            </w:r>
          </w:p>
        </w:tc>
        <w:tc>
          <w:tcPr>
            <w:tcW w:w="1300" w:type="dxa"/>
            <w:shd w:val="clear" w:color="auto" w:fill="auto"/>
            <w:noWrap/>
            <w:hideMark/>
          </w:tcPr>
          <w:p w14:paraId="5D977C3E" w14:textId="77777777" w:rsidR="00661F03" w:rsidRPr="000973F2" w:rsidRDefault="00661F03" w:rsidP="0061585D">
            <w:pPr>
              <w:tabs>
                <w:tab w:val="decimal" w:pos="766"/>
              </w:tabs>
              <w:spacing w:before="40" w:after="4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hAnsi="Times New Roman" w:cs="Times New Roman"/>
                <w:sz w:val="18"/>
                <w:szCs w:val="18"/>
              </w:rPr>
              <w:t>$1,200</w:t>
            </w:r>
          </w:p>
        </w:tc>
        <w:tc>
          <w:tcPr>
            <w:tcW w:w="1236" w:type="dxa"/>
            <w:shd w:val="clear" w:color="auto" w:fill="auto"/>
            <w:noWrap/>
            <w:hideMark/>
          </w:tcPr>
          <w:p w14:paraId="17864173" w14:textId="77777777" w:rsidR="00661F03" w:rsidRPr="000973F2" w:rsidRDefault="00661F03" w:rsidP="0061585D">
            <w:pPr>
              <w:tabs>
                <w:tab w:val="decimal" w:pos="766"/>
              </w:tabs>
              <w:spacing w:before="40" w:after="4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hAnsi="Times New Roman" w:cs="Times New Roman"/>
                <w:sz w:val="18"/>
                <w:szCs w:val="18"/>
              </w:rPr>
              <w:t>0</w:t>
            </w:r>
          </w:p>
        </w:tc>
        <w:tc>
          <w:tcPr>
            <w:tcW w:w="1269" w:type="dxa"/>
            <w:shd w:val="clear" w:color="auto" w:fill="auto"/>
            <w:noWrap/>
            <w:hideMark/>
          </w:tcPr>
          <w:p w14:paraId="148993F9" w14:textId="77777777" w:rsidR="00661F03" w:rsidRPr="000973F2" w:rsidRDefault="00661F03" w:rsidP="0061585D">
            <w:pPr>
              <w:tabs>
                <w:tab w:val="decimal" w:pos="766"/>
              </w:tabs>
              <w:spacing w:before="40" w:after="4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hAnsi="Times New Roman" w:cs="Times New Roman"/>
                <w:sz w:val="18"/>
                <w:szCs w:val="18"/>
              </w:rPr>
              <w:t>$1,200</w:t>
            </w:r>
          </w:p>
        </w:tc>
      </w:tr>
      <w:tr w:rsidR="00B6531F" w:rsidRPr="000973F2" w14:paraId="7E88AD61" w14:textId="77777777" w:rsidTr="00B6531F">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1721" w:type="dxa"/>
            <w:hideMark/>
          </w:tcPr>
          <w:p w14:paraId="4A3343A6" w14:textId="77777777" w:rsidR="00661F03" w:rsidRPr="000973F2" w:rsidRDefault="00661F03" w:rsidP="0061585D">
            <w:pPr>
              <w:spacing w:before="40" w:after="40"/>
              <w:rPr>
                <w:rFonts w:ascii="Times New Roman" w:eastAsia="Times New Roman" w:hAnsi="Times New Roman" w:cs="Times New Roman"/>
                <w:b/>
                <w:bCs w:val="0"/>
                <w:sz w:val="18"/>
                <w:szCs w:val="18"/>
              </w:rPr>
            </w:pPr>
            <w:r w:rsidRPr="000973F2">
              <w:rPr>
                <w:rFonts w:ascii="Times New Roman" w:eastAsia="Times New Roman" w:hAnsi="Times New Roman" w:cs="Times New Roman"/>
                <w:b/>
                <w:sz w:val="18"/>
                <w:szCs w:val="18"/>
              </w:rPr>
              <w:t>Total</w:t>
            </w:r>
          </w:p>
        </w:tc>
        <w:tc>
          <w:tcPr>
            <w:tcW w:w="1268" w:type="dxa"/>
            <w:noWrap/>
            <w:hideMark/>
          </w:tcPr>
          <w:p w14:paraId="2BB705C2" w14:textId="77777777" w:rsidR="00661F03" w:rsidRPr="000973F2" w:rsidRDefault="00661F03" w:rsidP="0061585D">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$0</w:t>
            </w:r>
          </w:p>
        </w:tc>
        <w:tc>
          <w:tcPr>
            <w:tcW w:w="1268" w:type="dxa"/>
            <w:noWrap/>
          </w:tcPr>
          <w:p w14:paraId="27649DC6" w14:textId="5F982C67" w:rsidR="00661F03" w:rsidRPr="000973F2" w:rsidRDefault="00661F03" w:rsidP="0061585D">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p>
        </w:tc>
        <w:tc>
          <w:tcPr>
            <w:tcW w:w="1268" w:type="dxa"/>
            <w:noWrap/>
            <w:hideMark/>
          </w:tcPr>
          <w:p w14:paraId="5A05748B" w14:textId="77777777" w:rsidR="00661F03" w:rsidRPr="000973F2" w:rsidRDefault="00661F03" w:rsidP="0061585D">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$0</w:t>
            </w:r>
          </w:p>
        </w:tc>
        <w:tc>
          <w:tcPr>
            <w:tcW w:w="1300" w:type="dxa"/>
            <w:noWrap/>
            <w:hideMark/>
          </w:tcPr>
          <w:p w14:paraId="1E54DA81" w14:textId="77777777" w:rsidR="00661F03" w:rsidRPr="000973F2" w:rsidRDefault="00661F03" w:rsidP="0061585D">
            <w:pPr>
              <w:tabs>
                <w:tab w:val="decimal" w:pos="766"/>
              </w:tabs>
              <w:spacing w:before="40" w:after="4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hAnsi="Times New Roman" w:cs="Times New Roman"/>
                <w:sz w:val="18"/>
                <w:szCs w:val="18"/>
              </w:rPr>
              <w:t>$1,250</w:t>
            </w:r>
          </w:p>
        </w:tc>
        <w:tc>
          <w:tcPr>
            <w:tcW w:w="1236" w:type="dxa"/>
            <w:noWrap/>
            <w:hideMark/>
          </w:tcPr>
          <w:p w14:paraId="384F50D1" w14:textId="77777777" w:rsidR="00661F03" w:rsidRPr="000973F2" w:rsidRDefault="00661F03" w:rsidP="0061585D">
            <w:pPr>
              <w:tabs>
                <w:tab w:val="decimal" w:pos="766"/>
              </w:tabs>
              <w:spacing w:before="40" w:after="4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hAnsi="Times New Roman" w:cs="Times New Roman"/>
                <w:sz w:val="18"/>
                <w:szCs w:val="18"/>
              </w:rPr>
              <w:t>0</w:t>
            </w:r>
          </w:p>
        </w:tc>
        <w:tc>
          <w:tcPr>
            <w:tcW w:w="1269" w:type="dxa"/>
            <w:noWrap/>
            <w:hideMark/>
          </w:tcPr>
          <w:p w14:paraId="55DC467B" w14:textId="77777777" w:rsidR="00661F03" w:rsidRPr="000973F2" w:rsidRDefault="00661F03" w:rsidP="0061585D">
            <w:pPr>
              <w:tabs>
                <w:tab w:val="decimal" w:pos="766"/>
              </w:tabs>
              <w:spacing w:before="40" w:after="4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hAnsi="Times New Roman" w:cs="Times New Roman"/>
                <w:sz w:val="18"/>
                <w:szCs w:val="18"/>
              </w:rPr>
              <w:t>$1,250</w:t>
            </w:r>
          </w:p>
        </w:tc>
      </w:tr>
    </w:tbl>
    <w:p w14:paraId="5C705421" w14:textId="77777777" w:rsidR="00661F03" w:rsidRPr="000973F2" w:rsidRDefault="00661F03" w:rsidP="00C8766D">
      <w:pPr>
        <w:pStyle w:val="AfterTable"/>
      </w:pPr>
    </w:p>
    <w:p w14:paraId="4385437B" w14:textId="77777777" w:rsidR="00661F03" w:rsidRPr="000973F2" w:rsidRDefault="00661F03" w:rsidP="00C8766D">
      <w:pPr>
        <w:pStyle w:val="Heading2"/>
      </w:pPr>
      <w:bookmarkStart w:id="57" w:name="_Hlk522200799"/>
      <w:r w:rsidRPr="000973F2">
        <w:t>Total Costs for Subpart DD</w:t>
      </w:r>
    </w:p>
    <w:p w14:paraId="6A7A9914" w14:textId="77777777" w:rsidR="00661F03" w:rsidRPr="000973F2" w:rsidRDefault="00661F03" w:rsidP="00C8766D">
      <w:pPr>
        <w:pStyle w:val="BodyText"/>
      </w:pPr>
      <w:r w:rsidRPr="000973F2">
        <w:t>The total industry costs related to Subpart DD are approximately $346,000 per year for a total of $1,038,000 over the three-year period of the ICR. Eighty-three facilities are expected to report in 2019, 2020, and 2021.</w:t>
      </w:r>
    </w:p>
    <w:bookmarkEnd w:id="57"/>
    <w:p w14:paraId="7C4F7478" w14:textId="77777777" w:rsidR="00661F03" w:rsidRPr="000973F2" w:rsidRDefault="00661F03" w:rsidP="00C00E4F">
      <w:pPr>
        <w:spacing w:line="240" w:lineRule="auto"/>
        <w:rPr>
          <w:rFonts w:ascii="Times New Roman" w:hAnsi="Times New Roman" w:cs="Times New Roman"/>
        </w:rPr>
      </w:pPr>
    </w:p>
    <w:p w14:paraId="74E3E7D3" w14:textId="7A163687" w:rsidR="00F8656B" w:rsidRPr="000973F2" w:rsidRDefault="00F8656B" w:rsidP="00C00E4F">
      <w:pPr>
        <w:spacing w:line="240" w:lineRule="auto"/>
        <w:rPr>
          <w:rFonts w:ascii="Times New Roman" w:hAnsi="Times New Roman" w:cs="Times New Roman"/>
        </w:rPr>
      </w:pPr>
      <w:r w:rsidRPr="000973F2">
        <w:rPr>
          <w:rFonts w:ascii="Times New Roman" w:hAnsi="Times New Roman" w:cs="Times New Roman"/>
        </w:rPr>
        <w:br w:type="page"/>
      </w:r>
    </w:p>
    <w:p w14:paraId="37986E3C" w14:textId="77777777" w:rsidR="0075229A" w:rsidRPr="000973F2" w:rsidRDefault="0075229A" w:rsidP="0062417F">
      <w:pPr>
        <w:pStyle w:val="Heading1"/>
      </w:pPr>
      <w:bookmarkStart w:id="58" w:name="_Toc10715622"/>
      <w:r w:rsidRPr="000973F2">
        <w:t>Cost Appendix for Subpart EE – Titanium Dioxide Production</w:t>
      </w:r>
      <w:bookmarkEnd w:id="58"/>
    </w:p>
    <w:p w14:paraId="6DC9B8BA" w14:textId="77777777" w:rsidR="0075229A" w:rsidRPr="000973F2" w:rsidRDefault="0075229A" w:rsidP="00C8766D">
      <w:pPr>
        <w:pStyle w:val="Heading2"/>
      </w:pPr>
      <w:r w:rsidRPr="000973F2">
        <w:t>Description of Subpart EE</w:t>
      </w:r>
    </w:p>
    <w:p w14:paraId="6EC0BBF7" w14:textId="3B160625" w:rsidR="0075229A" w:rsidRPr="000973F2" w:rsidRDefault="0075229A" w:rsidP="00C8766D">
      <w:pPr>
        <w:pStyle w:val="BodyText"/>
      </w:pPr>
      <w:r w:rsidRPr="000973F2">
        <w:t xml:space="preserve">For purposes of the GHGRP, the titanium dioxide production source category consists of facilities that use the chloride process to produce titanium dioxide. Titanium dioxide is a metal oxide commonly used as a white pigment in paint, paper, plastics and other applications. For RY2017, six titanium dioxide production facilities reported to Subpart EE. Based on the available information, no new facilities are expected to begin operation during the </w:t>
      </w:r>
      <w:r w:rsidR="005B76DE" w:rsidRPr="000973F2">
        <w:t>three-year</w:t>
      </w:r>
      <w:r w:rsidRPr="000973F2">
        <w:t xml:space="preserve"> period</w:t>
      </w:r>
      <w:r w:rsidR="005B76DE" w:rsidRPr="000973F2">
        <w:t xml:space="preserve"> covered by this ICR</w:t>
      </w:r>
      <w:r w:rsidRPr="000973F2">
        <w:t xml:space="preserve">. Initial year costs apply to new facilities; therefore, those costs are zero in the tables below. </w:t>
      </w:r>
    </w:p>
    <w:p w14:paraId="72F7F16E" w14:textId="56F67F6C" w:rsidR="0075229A" w:rsidRPr="000973F2" w:rsidRDefault="0075229A" w:rsidP="00C8766D">
      <w:pPr>
        <w:pStyle w:val="BodyText"/>
        <w:rPr>
          <w:i/>
          <w:szCs w:val="24"/>
        </w:rPr>
      </w:pPr>
      <w:r w:rsidRPr="000973F2">
        <w:t xml:space="preserve">There are two options for determining GHG emissions under Subpart EE. The </w:t>
      </w:r>
      <w:r w:rsidR="005B76DE" w:rsidRPr="000973F2">
        <w:t>one</w:t>
      </w:r>
      <w:r w:rsidRPr="000973F2">
        <w:t xml:space="preserve"> option at </w:t>
      </w:r>
      <w:r w:rsidR="0012538C" w:rsidRPr="000973F2">
        <w:t>§</w:t>
      </w:r>
      <w:r w:rsidRPr="000973F2">
        <w:t xml:space="preserve">98.313(a) allows the use of CEMS to comply with Subpart EE. The second option in </w:t>
      </w:r>
      <w:r w:rsidR="0012538C" w:rsidRPr="000973F2">
        <w:t>§</w:t>
      </w:r>
      <w:r w:rsidRPr="000973F2">
        <w:t>98.313(b) allows the use of monitoring and calculations to estimate process</w:t>
      </w:r>
      <w:r w:rsidR="00051F9B">
        <w:t>-</w:t>
      </w:r>
      <w:r w:rsidRPr="000973F2">
        <w:t xml:space="preserve">related emissions under Subpart EE. </w:t>
      </w:r>
      <w:r w:rsidRPr="000973F2">
        <w:rPr>
          <w:szCs w:val="24"/>
        </w:rPr>
        <w:t>None of the titanium dioxide production facilities use CEMS to measure CO</w:t>
      </w:r>
      <w:r w:rsidRPr="000973F2">
        <w:rPr>
          <w:szCs w:val="24"/>
          <w:vertAlign w:val="subscript"/>
        </w:rPr>
        <w:t>2</w:t>
      </w:r>
      <w:r w:rsidRPr="000973F2">
        <w:rPr>
          <w:szCs w:val="24"/>
        </w:rPr>
        <w:t xml:space="preserve"> emissions; therefore, no costs have been estimated related to CEMS use.</w:t>
      </w:r>
    </w:p>
    <w:p w14:paraId="76B057A8" w14:textId="77777777" w:rsidR="0075229A" w:rsidRPr="000973F2" w:rsidRDefault="0075229A" w:rsidP="00C8766D">
      <w:pPr>
        <w:pStyle w:val="Heading2"/>
      </w:pPr>
      <w:r w:rsidRPr="000973F2">
        <w:t>Labor Costs for Subpart EE</w:t>
      </w:r>
    </w:p>
    <w:p w14:paraId="661FB7F9" w14:textId="312D9007" w:rsidR="0075229A" w:rsidRPr="000973F2" w:rsidRDefault="0075229A" w:rsidP="00C8766D">
      <w:pPr>
        <w:pStyle w:val="BodyText"/>
      </w:pPr>
      <w:r w:rsidRPr="000973F2">
        <w:t xml:space="preserve">Table </w:t>
      </w:r>
      <w:r w:rsidR="00C8766D" w:rsidRPr="000973F2">
        <w:t>EE-</w:t>
      </w:r>
      <w:r w:rsidRPr="000973F2">
        <w:t xml:space="preserve">1 below includes the labor hours for determining GHG emissions under Subpart EE. Typical activities for each of the labor activities are discussed in the Cost Appendix Introduction. Recordkeeping and reporting hours </w:t>
      </w:r>
      <w:r w:rsidR="00DD34D2" w:rsidRPr="000973F2">
        <w:t>are based on</w:t>
      </w:r>
      <w:r w:rsidRPr="000973F2">
        <w:t xml:space="preserve"> the “medium bin”</w:t>
      </w:r>
      <w:r w:rsidR="00DD34D2" w:rsidRPr="000973F2">
        <w:t xml:space="preserve"> designation.</w:t>
      </w:r>
      <w:r w:rsidRPr="000973F2">
        <w:t xml:space="preserve"> Sampling and analysis (calculations) hours include completion of the measurements and calculations in </w:t>
      </w:r>
      <w:r w:rsidR="0012538C" w:rsidRPr="000973F2">
        <w:t>§</w:t>
      </w:r>
      <w:r w:rsidRPr="000973F2">
        <w:t>98.313.</w:t>
      </w:r>
    </w:p>
    <w:p w14:paraId="12B70D74" w14:textId="3BFB36C2" w:rsidR="0075229A" w:rsidRPr="000973F2" w:rsidRDefault="00DF1B10" w:rsidP="00C00E4F">
      <w:pPr>
        <w:spacing w:line="240" w:lineRule="auto"/>
        <w:rPr>
          <w:rFonts w:ascii="Times New Roman" w:hAnsi="Times New Roman" w:cs="Times New Roman"/>
          <w:sz w:val="24"/>
          <w:szCs w:val="24"/>
        </w:rPr>
      </w:pPr>
      <w:r w:rsidRPr="000973F2">
        <w:rPr>
          <w:rFonts w:ascii="Times New Roman" w:hAnsi="Times New Roman" w:cs="Times New Roman"/>
          <w:b/>
          <w:bCs/>
        </w:rPr>
        <w:t xml:space="preserve">Table </w:t>
      </w:r>
      <w:r w:rsidR="00C8766D" w:rsidRPr="000973F2">
        <w:rPr>
          <w:rFonts w:ascii="Times New Roman" w:hAnsi="Times New Roman" w:cs="Times New Roman"/>
          <w:b/>
          <w:bCs/>
        </w:rPr>
        <w:t>EE-</w:t>
      </w:r>
      <w:r w:rsidRPr="000973F2">
        <w:rPr>
          <w:rFonts w:ascii="Times New Roman" w:hAnsi="Times New Roman" w:cs="Times New Roman"/>
          <w:b/>
          <w:bCs/>
        </w:rPr>
        <w:t xml:space="preserve">1. Labor Costs </w:t>
      </w:r>
      <w:r w:rsidR="00B960CC" w:rsidRPr="000973F2">
        <w:rPr>
          <w:rFonts w:ascii="Times New Roman" w:hAnsi="Times New Roman" w:cs="Times New Roman"/>
          <w:b/>
          <w:bCs/>
        </w:rPr>
        <w:t>–</w:t>
      </w:r>
      <w:r w:rsidRPr="000973F2">
        <w:rPr>
          <w:rFonts w:ascii="Times New Roman" w:hAnsi="Times New Roman" w:cs="Times New Roman"/>
          <w:b/>
          <w:bCs/>
        </w:rPr>
        <w:t xml:space="preserve"> </w:t>
      </w:r>
      <w:r w:rsidR="0075229A" w:rsidRPr="000973F2">
        <w:rPr>
          <w:rFonts w:ascii="Times New Roman" w:hAnsi="Times New Roman" w:cs="Times New Roman"/>
          <w:b/>
          <w:bCs/>
        </w:rPr>
        <w:t>Subpart EE</w:t>
      </w:r>
    </w:p>
    <w:tbl>
      <w:tblPr>
        <w:tblStyle w:val="PlainTable1"/>
        <w:tblW w:w="5000" w:type="pct"/>
        <w:jc w:val="left"/>
        <w:tblLayout w:type="fixed"/>
        <w:tblCellMar>
          <w:left w:w="115" w:type="dxa"/>
          <w:right w:w="115" w:type="dxa"/>
        </w:tblCellMar>
        <w:tblLook w:val="04A0" w:firstRow="1" w:lastRow="0" w:firstColumn="1" w:lastColumn="0" w:noHBand="0" w:noVBand="1"/>
      </w:tblPr>
      <w:tblGrid>
        <w:gridCol w:w="1465"/>
        <w:gridCol w:w="812"/>
        <w:gridCol w:w="812"/>
        <w:gridCol w:w="812"/>
        <w:gridCol w:w="812"/>
        <w:gridCol w:w="812"/>
        <w:gridCol w:w="812"/>
        <w:gridCol w:w="812"/>
        <w:gridCol w:w="812"/>
        <w:gridCol w:w="748"/>
        <w:gridCol w:w="881"/>
      </w:tblGrid>
      <w:tr w:rsidR="0075229A" w:rsidRPr="000973F2" w14:paraId="0AFFFA7B" w14:textId="77777777" w:rsidTr="00B6531F">
        <w:trPr>
          <w:cnfStyle w:val="100000000000" w:firstRow="1" w:lastRow="0" w:firstColumn="0" w:lastColumn="0" w:oddVBand="0" w:evenVBand="0" w:oddHBand="0" w:evenHBand="0" w:firstRowFirstColumn="0" w:firstRowLastColumn="0" w:lastRowFirstColumn="0" w:lastRowLastColumn="0"/>
          <w:cantSplit/>
          <w:jc w:val="left"/>
        </w:trPr>
        <w:tc>
          <w:tcPr>
            <w:cnfStyle w:val="001000000000" w:firstRow="0" w:lastRow="0" w:firstColumn="1" w:lastColumn="0" w:oddVBand="0" w:evenVBand="0" w:oddHBand="0" w:evenHBand="0" w:firstRowFirstColumn="0" w:firstRowLastColumn="0" w:lastRowFirstColumn="0" w:lastRowLastColumn="0"/>
            <w:tcW w:w="1425" w:type="dxa"/>
            <w:vMerge w:val="restart"/>
            <w:noWrap/>
            <w:vAlign w:val="top"/>
            <w:hideMark/>
          </w:tcPr>
          <w:p w14:paraId="138BDC8E" w14:textId="77777777" w:rsidR="0075229A" w:rsidRPr="000973F2" w:rsidRDefault="0075229A" w:rsidP="00C8766D">
            <w:pPr>
              <w:spacing w:before="40" w:after="40"/>
              <w:rPr>
                <w:rFonts w:ascii="Times New Roman" w:hAnsi="Times New Roman" w:cs="Times New Roman"/>
                <w:b w:val="0"/>
                <w:bCs w:val="0"/>
                <w:sz w:val="18"/>
                <w:szCs w:val="18"/>
              </w:rPr>
            </w:pPr>
            <w:r w:rsidRPr="000973F2">
              <w:rPr>
                <w:rFonts w:ascii="Times New Roman" w:hAnsi="Times New Roman" w:cs="Times New Roman"/>
                <w:sz w:val="18"/>
                <w:szCs w:val="18"/>
              </w:rPr>
              <w:t>Activity</w:t>
            </w:r>
          </w:p>
        </w:tc>
        <w:tc>
          <w:tcPr>
            <w:tcW w:w="6320" w:type="dxa"/>
            <w:gridSpan w:val="8"/>
            <w:noWrap/>
            <w:vAlign w:val="top"/>
            <w:hideMark/>
          </w:tcPr>
          <w:p w14:paraId="7798FD03" w14:textId="77777777" w:rsidR="0075229A" w:rsidRPr="000973F2" w:rsidRDefault="0075229A" w:rsidP="00C8766D">
            <w:pPr>
              <w:spacing w:before="40" w:after="40"/>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sz w:val="18"/>
                <w:szCs w:val="18"/>
              </w:rPr>
            </w:pPr>
            <w:r w:rsidRPr="000973F2">
              <w:rPr>
                <w:rFonts w:ascii="Times New Roman" w:hAnsi="Times New Roman" w:cs="Times New Roman"/>
                <w:sz w:val="18"/>
                <w:szCs w:val="18"/>
              </w:rPr>
              <w:t>Labor Rates (per hour)</w:t>
            </w:r>
          </w:p>
        </w:tc>
        <w:tc>
          <w:tcPr>
            <w:tcW w:w="1585" w:type="dxa"/>
            <w:gridSpan w:val="2"/>
            <w:vMerge w:val="restart"/>
            <w:vAlign w:val="top"/>
            <w:hideMark/>
          </w:tcPr>
          <w:p w14:paraId="432F5C98" w14:textId="77777777" w:rsidR="0075229A" w:rsidRPr="000973F2" w:rsidRDefault="0075229A" w:rsidP="00C8766D">
            <w:pPr>
              <w:spacing w:before="40" w:after="40"/>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sz w:val="18"/>
                <w:szCs w:val="18"/>
              </w:rPr>
            </w:pPr>
            <w:r w:rsidRPr="000973F2">
              <w:rPr>
                <w:rFonts w:ascii="Times New Roman" w:hAnsi="Times New Roman" w:cs="Times New Roman"/>
                <w:sz w:val="18"/>
                <w:szCs w:val="18"/>
              </w:rPr>
              <w:t>Total Labor Cost per Year per Facility (2017$)</w:t>
            </w:r>
          </w:p>
        </w:tc>
      </w:tr>
      <w:tr w:rsidR="0075229A" w:rsidRPr="000973F2" w14:paraId="25500500" w14:textId="77777777" w:rsidTr="00B6531F">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1425" w:type="dxa"/>
            <w:vMerge/>
            <w:hideMark/>
          </w:tcPr>
          <w:p w14:paraId="1938EA32" w14:textId="77777777" w:rsidR="0075229A" w:rsidRPr="000973F2" w:rsidRDefault="0075229A" w:rsidP="00C8766D">
            <w:pPr>
              <w:spacing w:before="40" w:after="40"/>
              <w:jc w:val="center"/>
              <w:rPr>
                <w:rFonts w:ascii="Times New Roman" w:hAnsi="Times New Roman" w:cs="Times New Roman"/>
                <w:b/>
                <w:bCs w:val="0"/>
                <w:sz w:val="18"/>
                <w:szCs w:val="18"/>
              </w:rPr>
            </w:pPr>
          </w:p>
        </w:tc>
        <w:tc>
          <w:tcPr>
            <w:tcW w:w="1580" w:type="dxa"/>
            <w:gridSpan w:val="2"/>
            <w:noWrap/>
            <w:hideMark/>
          </w:tcPr>
          <w:p w14:paraId="377D4BC4" w14:textId="77777777" w:rsidR="0075229A" w:rsidRPr="000973F2" w:rsidRDefault="0075229A" w:rsidP="00C8766D">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18"/>
                <w:szCs w:val="18"/>
              </w:rPr>
            </w:pPr>
            <w:r w:rsidRPr="000973F2">
              <w:rPr>
                <w:rFonts w:ascii="Times New Roman" w:hAnsi="Times New Roman" w:cs="Times New Roman"/>
                <w:b/>
                <w:bCs/>
                <w:sz w:val="18"/>
                <w:szCs w:val="18"/>
              </w:rPr>
              <w:t>Lawyer</w:t>
            </w:r>
          </w:p>
        </w:tc>
        <w:tc>
          <w:tcPr>
            <w:tcW w:w="1580" w:type="dxa"/>
            <w:gridSpan w:val="2"/>
            <w:noWrap/>
            <w:hideMark/>
          </w:tcPr>
          <w:p w14:paraId="5CD0829B" w14:textId="77777777" w:rsidR="0075229A" w:rsidRPr="000973F2" w:rsidRDefault="0075229A" w:rsidP="00C8766D">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18"/>
                <w:szCs w:val="18"/>
              </w:rPr>
            </w:pPr>
            <w:r w:rsidRPr="000973F2">
              <w:rPr>
                <w:rFonts w:ascii="Times New Roman" w:hAnsi="Times New Roman" w:cs="Times New Roman"/>
                <w:b/>
                <w:bCs/>
                <w:sz w:val="18"/>
                <w:szCs w:val="18"/>
              </w:rPr>
              <w:t>Industrial Manager</w:t>
            </w:r>
          </w:p>
        </w:tc>
        <w:tc>
          <w:tcPr>
            <w:tcW w:w="1580" w:type="dxa"/>
            <w:gridSpan w:val="2"/>
            <w:hideMark/>
          </w:tcPr>
          <w:p w14:paraId="22203F19" w14:textId="676F664E" w:rsidR="0075229A" w:rsidRPr="000973F2" w:rsidRDefault="0075229A" w:rsidP="00C8766D">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18"/>
                <w:szCs w:val="18"/>
              </w:rPr>
            </w:pPr>
            <w:r w:rsidRPr="000973F2">
              <w:rPr>
                <w:rFonts w:ascii="Times New Roman" w:hAnsi="Times New Roman" w:cs="Times New Roman"/>
                <w:b/>
                <w:bCs/>
                <w:sz w:val="18"/>
                <w:szCs w:val="18"/>
              </w:rPr>
              <w:t>Industrial Engineer/</w:t>
            </w:r>
            <w:r w:rsidR="00C8766D" w:rsidRPr="000973F2">
              <w:rPr>
                <w:rFonts w:ascii="Times New Roman" w:hAnsi="Times New Roman" w:cs="Times New Roman"/>
                <w:b/>
                <w:bCs/>
                <w:sz w:val="18"/>
                <w:szCs w:val="18"/>
              </w:rPr>
              <w:t xml:space="preserve"> </w:t>
            </w:r>
            <w:r w:rsidRPr="000973F2">
              <w:rPr>
                <w:rFonts w:ascii="Times New Roman" w:hAnsi="Times New Roman" w:cs="Times New Roman"/>
                <w:b/>
                <w:bCs/>
                <w:sz w:val="18"/>
                <w:szCs w:val="18"/>
              </w:rPr>
              <w:t>Technician</w:t>
            </w:r>
          </w:p>
        </w:tc>
        <w:tc>
          <w:tcPr>
            <w:tcW w:w="1580" w:type="dxa"/>
            <w:gridSpan w:val="2"/>
            <w:hideMark/>
          </w:tcPr>
          <w:p w14:paraId="4A215868" w14:textId="77777777" w:rsidR="0075229A" w:rsidRPr="000973F2" w:rsidRDefault="0075229A" w:rsidP="00C8766D">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18"/>
                <w:szCs w:val="18"/>
              </w:rPr>
            </w:pPr>
            <w:r w:rsidRPr="000973F2">
              <w:rPr>
                <w:rFonts w:ascii="Times New Roman" w:hAnsi="Times New Roman" w:cs="Times New Roman"/>
                <w:b/>
                <w:bCs/>
                <w:sz w:val="18"/>
                <w:szCs w:val="18"/>
              </w:rPr>
              <w:t>Administrative Support</w:t>
            </w:r>
          </w:p>
        </w:tc>
        <w:tc>
          <w:tcPr>
            <w:tcW w:w="1585" w:type="dxa"/>
            <w:gridSpan w:val="2"/>
            <w:vMerge/>
            <w:hideMark/>
          </w:tcPr>
          <w:p w14:paraId="7C495BB4" w14:textId="77777777" w:rsidR="0075229A" w:rsidRPr="000973F2" w:rsidRDefault="0075229A" w:rsidP="00C8766D">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18"/>
                <w:szCs w:val="18"/>
              </w:rPr>
            </w:pPr>
          </w:p>
        </w:tc>
      </w:tr>
      <w:tr w:rsidR="0075229A" w:rsidRPr="000973F2" w14:paraId="2B986DED" w14:textId="77777777" w:rsidTr="00B6531F">
        <w:trPr>
          <w:cantSplit/>
        </w:trPr>
        <w:tc>
          <w:tcPr>
            <w:cnfStyle w:val="001000000000" w:firstRow="0" w:lastRow="0" w:firstColumn="1" w:lastColumn="0" w:oddVBand="0" w:evenVBand="0" w:oddHBand="0" w:evenHBand="0" w:firstRowFirstColumn="0" w:firstRowLastColumn="0" w:lastRowFirstColumn="0" w:lastRowLastColumn="0"/>
            <w:tcW w:w="1425" w:type="dxa"/>
            <w:vMerge/>
            <w:hideMark/>
          </w:tcPr>
          <w:p w14:paraId="09DC872D" w14:textId="77777777" w:rsidR="0075229A" w:rsidRPr="000973F2" w:rsidRDefault="0075229A" w:rsidP="00C8766D">
            <w:pPr>
              <w:spacing w:before="40" w:after="40"/>
              <w:jc w:val="center"/>
              <w:rPr>
                <w:rFonts w:ascii="Times New Roman" w:hAnsi="Times New Roman" w:cs="Times New Roman"/>
                <w:b/>
                <w:bCs w:val="0"/>
                <w:sz w:val="18"/>
                <w:szCs w:val="18"/>
              </w:rPr>
            </w:pPr>
          </w:p>
        </w:tc>
        <w:tc>
          <w:tcPr>
            <w:tcW w:w="1580" w:type="dxa"/>
            <w:gridSpan w:val="2"/>
            <w:noWrap/>
            <w:hideMark/>
          </w:tcPr>
          <w:p w14:paraId="6C3A8956" w14:textId="77777777" w:rsidR="0075229A" w:rsidRPr="000973F2" w:rsidRDefault="0075229A" w:rsidP="00C8766D">
            <w:pPr>
              <w:spacing w:before="40" w:after="4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18"/>
                <w:szCs w:val="18"/>
              </w:rPr>
            </w:pPr>
            <w:r w:rsidRPr="000973F2">
              <w:rPr>
                <w:rFonts w:ascii="Times New Roman" w:hAnsi="Times New Roman" w:cs="Times New Roman"/>
                <w:b/>
                <w:bCs/>
                <w:sz w:val="18"/>
                <w:szCs w:val="18"/>
              </w:rPr>
              <w:t>$112.23</w:t>
            </w:r>
          </w:p>
        </w:tc>
        <w:tc>
          <w:tcPr>
            <w:tcW w:w="1580" w:type="dxa"/>
            <w:gridSpan w:val="2"/>
            <w:noWrap/>
            <w:hideMark/>
          </w:tcPr>
          <w:p w14:paraId="1CB386BB" w14:textId="77777777" w:rsidR="0075229A" w:rsidRPr="000973F2" w:rsidRDefault="0075229A" w:rsidP="00C8766D">
            <w:pPr>
              <w:spacing w:before="40" w:after="4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18"/>
                <w:szCs w:val="18"/>
              </w:rPr>
            </w:pPr>
            <w:r w:rsidRPr="000973F2">
              <w:rPr>
                <w:rFonts w:ascii="Times New Roman" w:hAnsi="Times New Roman" w:cs="Times New Roman"/>
                <w:b/>
                <w:bCs/>
                <w:sz w:val="18"/>
                <w:szCs w:val="18"/>
              </w:rPr>
              <w:t>$87.45</w:t>
            </w:r>
          </w:p>
        </w:tc>
        <w:tc>
          <w:tcPr>
            <w:tcW w:w="1580" w:type="dxa"/>
            <w:gridSpan w:val="2"/>
            <w:noWrap/>
            <w:hideMark/>
          </w:tcPr>
          <w:p w14:paraId="2E44695C" w14:textId="77777777" w:rsidR="0075229A" w:rsidRPr="000973F2" w:rsidRDefault="0075229A" w:rsidP="00C8766D">
            <w:pPr>
              <w:spacing w:before="40" w:after="4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18"/>
                <w:szCs w:val="18"/>
              </w:rPr>
            </w:pPr>
            <w:r w:rsidRPr="000973F2">
              <w:rPr>
                <w:rFonts w:ascii="Times New Roman" w:hAnsi="Times New Roman" w:cs="Times New Roman"/>
                <w:b/>
                <w:bCs/>
                <w:sz w:val="18"/>
                <w:szCs w:val="18"/>
              </w:rPr>
              <w:t>$71.45</w:t>
            </w:r>
          </w:p>
        </w:tc>
        <w:tc>
          <w:tcPr>
            <w:tcW w:w="1580" w:type="dxa"/>
            <w:gridSpan w:val="2"/>
            <w:noWrap/>
            <w:hideMark/>
          </w:tcPr>
          <w:p w14:paraId="118AB575" w14:textId="77777777" w:rsidR="0075229A" w:rsidRPr="000973F2" w:rsidRDefault="0075229A" w:rsidP="00C8766D">
            <w:pPr>
              <w:spacing w:before="40" w:after="4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18"/>
                <w:szCs w:val="18"/>
              </w:rPr>
            </w:pPr>
            <w:r w:rsidRPr="000973F2">
              <w:rPr>
                <w:rFonts w:ascii="Times New Roman" w:hAnsi="Times New Roman" w:cs="Times New Roman"/>
                <w:b/>
                <w:bCs/>
                <w:sz w:val="18"/>
                <w:szCs w:val="18"/>
              </w:rPr>
              <w:t>$36.28</w:t>
            </w:r>
          </w:p>
        </w:tc>
        <w:tc>
          <w:tcPr>
            <w:tcW w:w="1585" w:type="dxa"/>
            <w:gridSpan w:val="2"/>
            <w:vMerge/>
            <w:hideMark/>
          </w:tcPr>
          <w:p w14:paraId="1160047A" w14:textId="77777777" w:rsidR="0075229A" w:rsidRPr="000973F2" w:rsidRDefault="0075229A" w:rsidP="00C8766D">
            <w:pPr>
              <w:spacing w:before="40" w:after="4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18"/>
                <w:szCs w:val="18"/>
              </w:rPr>
            </w:pPr>
          </w:p>
        </w:tc>
      </w:tr>
      <w:tr w:rsidR="0075229A" w:rsidRPr="000973F2" w14:paraId="513FED7E" w14:textId="77777777" w:rsidTr="00B6531F">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1425" w:type="dxa"/>
            <w:vMerge/>
            <w:hideMark/>
          </w:tcPr>
          <w:p w14:paraId="11BDDA04" w14:textId="77777777" w:rsidR="0075229A" w:rsidRPr="000973F2" w:rsidRDefault="0075229A" w:rsidP="00C8766D">
            <w:pPr>
              <w:spacing w:before="40" w:after="40"/>
              <w:jc w:val="center"/>
              <w:rPr>
                <w:rFonts w:ascii="Times New Roman" w:hAnsi="Times New Roman" w:cs="Times New Roman"/>
                <w:b/>
                <w:bCs w:val="0"/>
                <w:sz w:val="18"/>
                <w:szCs w:val="18"/>
              </w:rPr>
            </w:pPr>
          </w:p>
        </w:tc>
        <w:tc>
          <w:tcPr>
            <w:tcW w:w="790" w:type="dxa"/>
            <w:tcMar>
              <w:left w:w="14" w:type="dxa"/>
              <w:right w:w="14" w:type="dxa"/>
            </w:tcMar>
            <w:hideMark/>
          </w:tcPr>
          <w:p w14:paraId="2A2EF584" w14:textId="3A1F0C42" w:rsidR="0075229A" w:rsidRPr="000973F2" w:rsidRDefault="0075229A" w:rsidP="00C8766D">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18"/>
                <w:szCs w:val="18"/>
              </w:rPr>
            </w:pPr>
            <w:r w:rsidRPr="000973F2">
              <w:rPr>
                <w:rFonts w:ascii="Times New Roman" w:eastAsia="Times New Roman" w:hAnsi="Times New Roman" w:cs="Times New Roman"/>
                <w:b/>
                <w:bCs/>
                <w:sz w:val="18"/>
                <w:szCs w:val="18"/>
              </w:rPr>
              <w:t xml:space="preserve">Initial </w:t>
            </w:r>
            <w:r w:rsidR="00132320" w:rsidRPr="000973F2">
              <w:rPr>
                <w:rFonts w:ascii="Times New Roman" w:eastAsia="Times New Roman" w:hAnsi="Times New Roman" w:cs="Times New Roman"/>
                <w:b/>
                <w:bCs/>
                <w:sz w:val="18"/>
                <w:szCs w:val="18"/>
              </w:rPr>
              <w:t>Year Hours</w:t>
            </w:r>
          </w:p>
        </w:tc>
        <w:tc>
          <w:tcPr>
            <w:tcW w:w="790" w:type="dxa"/>
            <w:tcMar>
              <w:left w:w="14" w:type="dxa"/>
              <w:right w:w="14" w:type="dxa"/>
            </w:tcMar>
            <w:hideMark/>
          </w:tcPr>
          <w:p w14:paraId="668DA005" w14:textId="77777777" w:rsidR="0075229A" w:rsidRPr="000973F2" w:rsidRDefault="0075229A" w:rsidP="00C8766D">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18"/>
                <w:szCs w:val="18"/>
              </w:rPr>
            </w:pPr>
            <w:r w:rsidRPr="000973F2">
              <w:rPr>
                <w:rFonts w:ascii="Times New Roman" w:eastAsia="Times New Roman" w:hAnsi="Times New Roman" w:cs="Times New Roman"/>
                <w:b/>
                <w:bCs/>
                <w:sz w:val="18"/>
                <w:szCs w:val="18"/>
              </w:rPr>
              <w:t>Subseq. Year Hours</w:t>
            </w:r>
          </w:p>
        </w:tc>
        <w:tc>
          <w:tcPr>
            <w:tcW w:w="790" w:type="dxa"/>
            <w:tcMar>
              <w:left w:w="14" w:type="dxa"/>
              <w:right w:w="14" w:type="dxa"/>
            </w:tcMar>
            <w:hideMark/>
          </w:tcPr>
          <w:p w14:paraId="6880EF4E" w14:textId="5229D615" w:rsidR="0075229A" w:rsidRPr="000973F2" w:rsidRDefault="0075229A" w:rsidP="00C8766D">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18"/>
                <w:szCs w:val="18"/>
              </w:rPr>
            </w:pPr>
            <w:r w:rsidRPr="000973F2">
              <w:rPr>
                <w:rFonts w:ascii="Times New Roman" w:eastAsia="Times New Roman" w:hAnsi="Times New Roman" w:cs="Times New Roman"/>
                <w:b/>
                <w:bCs/>
                <w:sz w:val="18"/>
                <w:szCs w:val="18"/>
              </w:rPr>
              <w:t xml:space="preserve">Initial </w:t>
            </w:r>
            <w:r w:rsidR="00132320" w:rsidRPr="000973F2">
              <w:rPr>
                <w:rFonts w:ascii="Times New Roman" w:eastAsia="Times New Roman" w:hAnsi="Times New Roman" w:cs="Times New Roman"/>
                <w:b/>
                <w:bCs/>
                <w:sz w:val="18"/>
                <w:szCs w:val="18"/>
              </w:rPr>
              <w:t>Year Hours</w:t>
            </w:r>
          </w:p>
        </w:tc>
        <w:tc>
          <w:tcPr>
            <w:tcW w:w="790" w:type="dxa"/>
            <w:tcMar>
              <w:left w:w="14" w:type="dxa"/>
              <w:right w:w="14" w:type="dxa"/>
            </w:tcMar>
            <w:hideMark/>
          </w:tcPr>
          <w:p w14:paraId="35696A10" w14:textId="77777777" w:rsidR="0075229A" w:rsidRPr="000973F2" w:rsidRDefault="0075229A" w:rsidP="00C8766D">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18"/>
                <w:szCs w:val="18"/>
              </w:rPr>
            </w:pPr>
            <w:r w:rsidRPr="000973F2">
              <w:rPr>
                <w:rFonts w:ascii="Times New Roman" w:eastAsia="Times New Roman" w:hAnsi="Times New Roman" w:cs="Times New Roman"/>
                <w:b/>
                <w:bCs/>
                <w:sz w:val="18"/>
                <w:szCs w:val="18"/>
              </w:rPr>
              <w:t>Subseq. Year Hours</w:t>
            </w:r>
          </w:p>
        </w:tc>
        <w:tc>
          <w:tcPr>
            <w:tcW w:w="790" w:type="dxa"/>
            <w:tcMar>
              <w:left w:w="14" w:type="dxa"/>
              <w:right w:w="14" w:type="dxa"/>
            </w:tcMar>
            <w:hideMark/>
          </w:tcPr>
          <w:p w14:paraId="0C3B1367" w14:textId="62629673" w:rsidR="0075229A" w:rsidRPr="000973F2" w:rsidRDefault="0075229A" w:rsidP="00C8766D">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18"/>
                <w:szCs w:val="18"/>
              </w:rPr>
            </w:pPr>
            <w:r w:rsidRPr="000973F2">
              <w:rPr>
                <w:rFonts w:ascii="Times New Roman" w:eastAsia="Times New Roman" w:hAnsi="Times New Roman" w:cs="Times New Roman"/>
                <w:b/>
                <w:bCs/>
                <w:sz w:val="18"/>
                <w:szCs w:val="18"/>
              </w:rPr>
              <w:t xml:space="preserve">Initial </w:t>
            </w:r>
            <w:r w:rsidR="00132320" w:rsidRPr="000973F2">
              <w:rPr>
                <w:rFonts w:ascii="Times New Roman" w:eastAsia="Times New Roman" w:hAnsi="Times New Roman" w:cs="Times New Roman"/>
                <w:b/>
                <w:bCs/>
                <w:sz w:val="18"/>
                <w:szCs w:val="18"/>
              </w:rPr>
              <w:t>Year Hours</w:t>
            </w:r>
          </w:p>
        </w:tc>
        <w:tc>
          <w:tcPr>
            <w:tcW w:w="790" w:type="dxa"/>
            <w:tcMar>
              <w:left w:w="14" w:type="dxa"/>
              <w:right w:w="14" w:type="dxa"/>
            </w:tcMar>
            <w:hideMark/>
          </w:tcPr>
          <w:p w14:paraId="5164185B" w14:textId="77777777" w:rsidR="0075229A" w:rsidRPr="000973F2" w:rsidRDefault="0075229A" w:rsidP="00C8766D">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18"/>
                <w:szCs w:val="18"/>
              </w:rPr>
            </w:pPr>
            <w:r w:rsidRPr="000973F2">
              <w:rPr>
                <w:rFonts w:ascii="Times New Roman" w:eastAsia="Times New Roman" w:hAnsi="Times New Roman" w:cs="Times New Roman"/>
                <w:b/>
                <w:bCs/>
                <w:sz w:val="18"/>
                <w:szCs w:val="18"/>
              </w:rPr>
              <w:t>Subseq. Year Hours</w:t>
            </w:r>
          </w:p>
        </w:tc>
        <w:tc>
          <w:tcPr>
            <w:tcW w:w="790" w:type="dxa"/>
            <w:tcMar>
              <w:left w:w="14" w:type="dxa"/>
              <w:right w:w="14" w:type="dxa"/>
            </w:tcMar>
            <w:hideMark/>
          </w:tcPr>
          <w:p w14:paraId="169F3793" w14:textId="6191C0D3" w:rsidR="0075229A" w:rsidRPr="000973F2" w:rsidRDefault="0075229A" w:rsidP="00C8766D">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18"/>
                <w:szCs w:val="18"/>
              </w:rPr>
            </w:pPr>
            <w:r w:rsidRPr="000973F2">
              <w:rPr>
                <w:rFonts w:ascii="Times New Roman" w:eastAsia="Times New Roman" w:hAnsi="Times New Roman" w:cs="Times New Roman"/>
                <w:b/>
                <w:bCs/>
                <w:sz w:val="18"/>
                <w:szCs w:val="18"/>
              </w:rPr>
              <w:t xml:space="preserve">Initial </w:t>
            </w:r>
            <w:r w:rsidR="00132320" w:rsidRPr="000973F2">
              <w:rPr>
                <w:rFonts w:ascii="Times New Roman" w:eastAsia="Times New Roman" w:hAnsi="Times New Roman" w:cs="Times New Roman"/>
                <w:b/>
                <w:bCs/>
                <w:sz w:val="18"/>
                <w:szCs w:val="18"/>
              </w:rPr>
              <w:t>Year Hours</w:t>
            </w:r>
          </w:p>
        </w:tc>
        <w:tc>
          <w:tcPr>
            <w:tcW w:w="790" w:type="dxa"/>
            <w:tcMar>
              <w:left w:w="14" w:type="dxa"/>
              <w:right w:w="14" w:type="dxa"/>
            </w:tcMar>
            <w:hideMark/>
          </w:tcPr>
          <w:p w14:paraId="7523CC34" w14:textId="77777777" w:rsidR="0075229A" w:rsidRPr="000973F2" w:rsidRDefault="0075229A" w:rsidP="00C8766D">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18"/>
                <w:szCs w:val="18"/>
              </w:rPr>
            </w:pPr>
            <w:r w:rsidRPr="000973F2">
              <w:rPr>
                <w:rFonts w:ascii="Times New Roman" w:eastAsia="Times New Roman" w:hAnsi="Times New Roman" w:cs="Times New Roman"/>
                <w:b/>
                <w:bCs/>
                <w:sz w:val="18"/>
                <w:szCs w:val="18"/>
              </w:rPr>
              <w:t>Subseq. Year Hours</w:t>
            </w:r>
          </w:p>
        </w:tc>
        <w:tc>
          <w:tcPr>
            <w:tcW w:w="728" w:type="dxa"/>
            <w:tcMar>
              <w:left w:w="14" w:type="dxa"/>
              <w:right w:w="14" w:type="dxa"/>
            </w:tcMar>
            <w:hideMark/>
          </w:tcPr>
          <w:p w14:paraId="795DE3DE" w14:textId="77777777" w:rsidR="0075229A" w:rsidRPr="000973F2" w:rsidRDefault="0075229A" w:rsidP="00C8766D">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18"/>
                <w:szCs w:val="18"/>
              </w:rPr>
            </w:pPr>
            <w:r w:rsidRPr="000973F2">
              <w:rPr>
                <w:rFonts w:ascii="Times New Roman" w:eastAsia="Times New Roman" w:hAnsi="Times New Roman" w:cs="Times New Roman"/>
                <w:b/>
                <w:bCs/>
                <w:sz w:val="18"/>
                <w:szCs w:val="18"/>
              </w:rPr>
              <w:t>Initial Year</w:t>
            </w:r>
          </w:p>
        </w:tc>
        <w:tc>
          <w:tcPr>
            <w:tcW w:w="857" w:type="dxa"/>
            <w:tcMar>
              <w:left w:w="14" w:type="dxa"/>
              <w:right w:w="14" w:type="dxa"/>
            </w:tcMar>
            <w:hideMark/>
          </w:tcPr>
          <w:p w14:paraId="21FBBAF4" w14:textId="77777777" w:rsidR="0075229A" w:rsidRPr="000973F2" w:rsidRDefault="0075229A" w:rsidP="00C8766D">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18"/>
                <w:szCs w:val="18"/>
              </w:rPr>
            </w:pPr>
            <w:r w:rsidRPr="000973F2">
              <w:rPr>
                <w:rFonts w:ascii="Times New Roman" w:eastAsia="Times New Roman" w:hAnsi="Times New Roman" w:cs="Times New Roman"/>
                <w:b/>
                <w:bCs/>
                <w:sz w:val="18"/>
                <w:szCs w:val="18"/>
              </w:rPr>
              <w:t>Subseq. Year</w:t>
            </w:r>
          </w:p>
        </w:tc>
      </w:tr>
      <w:tr w:rsidR="0075229A" w:rsidRPr="000973F2" w14:paraId="5606AA78" w14:textId="77777777" w:rsidTr="00B6531F">
        <w:trPr>
          <w:cantSplit/>
        </w:trPr>
        <w:tc>
          <w:tcPr>
            <w:cnfStyle w:val="001000000000" w:firstRow="0" w:lastRow="0" w:firstColumn="1" w:lastColumn="0" w:oddVBand="0" w:evenVBand="0" w:oddHBand="0" w:evenHBand="0" w:firstRowFirstColumn="0" w:firstRowLastColumn="0" w:lastRowFirstColumn="0" w:lastRowLastColumn="0"/>
            <w:tcW w:w="1425" w:type="dxa"/>
            <w:hideMark/>
          </w:tcPr>
          <w:p w14:paraId="1C86E639" w14:textId="77777777" w:rsidR="0075229A" w:rsidRPr="000973F2" w:rsidRDefault="0075229A" w:rsidP="00C8766D">
            <w:pPr>
              <w:spacing w:before="40" w:after="40"/>
              <w:rPr>
                <w:rFonts w:ascii="Times New Roman" w:hAnsi="Times New Roman" w:cs="Times New Roman"/>
                <w:sz w:val="18"/>
                <w:szCs w:val="18"/>
              </w:rPr>
            </w:pPr>
            <w:r w:rsidRPr="000973F2">
              <w:rPr>
                <w:rFonts w:ascii="Times New Roman" w:hAnsi="Times New Roman" w:cs="Times New Roman"/>
                <w:sz w:val="18"/>
                <w:szCs w:val="18"/>
              </w:rPr>
              <w:t>Planning</w:t>
            </w:r>
          </w:p>
        </w:tc>
        <w:tc>
          <w:tcPr>
            <w:tcW w:w="790" w:type="dxa"/>
            <w:noWrap/>
            <w:hideMark/>
          </w:tcPr>
          <w:p w14:paraId="7E3ADE50" w14:textId="77777777" w:rsidR="0075229A" w:rsidRPr="000973F2" w:rsidRDefault="0075229A" w:rsidP="00C8766D">
            <w:pPr>
              <w:tabs>
                <w:tab w:val="decimal" w:pos="331"/>
              </w:tabs>
              <w:spacing w:before="40" w:after="4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0973F2">
              <w:rPr>
                <w:rFonts w:ascii="Times New Roman" w:hAnsi="Times New Roman" w:cs="Times New Roman"/>
                <w:sz w:val="18"/>
                <w:szCs w:val="18"/>
              </w:rPr>
              <w:t>0</w:t>
            </w:r>
          </w:p>
        </w:tc>
        <w:tc>
          <w:tcPr>
            <w:tcW w:w="790" w:type="dxa"/>
            <w:noWrap/>
            <w:hideMark/>
          </w:tcPr>
          <w:p w14:paraId="336F9973" w14:textId="77777777" w:rsidR="0075229A" w:rsidRPr="000973F2" w:rsidRDefault="0075229A" w:rsidP="00C8766D">
            <w:pPr>
              <w:tabs>
                <w:tab w:val="decimal" w:pos="331"/>
              </w:tabs>
              <w:spacing w:before="40" w:after="4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0973F2">
              <w:rPr>
                <w:rFonts w:ascii="Times New Roman" w:hAnsi="Times New Roman" w:cs="Times New Roman"/>
                <w:sz w:val="18"/>
                <w:szCs w:val="18"/>
              </w:rPr>
              <w:t>0.3</w:t>
            </w:r>
          </w:p>
        </w:tc>
        <w:tc>
          <w:tcPr>
            <w:tcW w:w="790" w:type="dxa"/>
            <w:noWrap/>
            <w:hideMark/>
          </w:tcPr>
          <w:p w14:paraId="5B5EAA51" w14:textId="77777777" w:rsidR="0075229A" w:rsidRPr="000973F2" w:rsidRDefault="0075229A" w:rsidP="00C8766D">
            <w:pPr>
              <w:tabs>
                <w:tab w:val="decimal" w:pos="331"/>
              </w:tabs>
              <w:spacing w:before="40" w:after="4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0973F2">
              <w:rPr>
                <w:rFonts w:ascii="Times New Roman" w:hAnsi="Times New Roman" w:cs="Times New Roman"/>
                <w:sz w:val="18"/>
                <w:szCs w:val="18"/>
              </w:rPr>
              <w:t>0</w:t>
            </w:r>
          </w:p>
        </w:tc>
        <w:tc>
          <w:tcPr>
            <w:tcW w:w="790" w:type="dxa"/>
            <w:noWrap/>
            <w:hideMark/>
          </w:tcPr>
          <w:p w14:paraId="59B8C196" w14:textId="77777777" w:rsidR="0075229A" w:rsidRPr="000973F2" w:rsidRDefault="0075229A" w:rsidP="00C8766D">
            <w:pPr>
              <w:tabs>
                <w:tab w:val="decimal" w:pos="331"/>
              </w:tabs>
              <w:spacing w:before="40" w:after="4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0973F2">
              <w:rPr>
                <w:rFonts w:ascii="Times New Roman" w:hAnsi="Times New Roman" w:cs="Times New Roman"/>
                <w:sz w:val="18"/>
                <w:szCs w:val="18"/>
              </w:rPr>
              <w:t>0.5</w:t>
            </w:r>
          </w:p>
        </w:tc>
        <w:tc>
          <w:tcPr>
            <w:tcW w:w="790" w:type="dxa"/>
            <w:noWrap/>
            <w:hideMark/>
          </w:tcPr>
          <w:p w14:paraId="1FE7815E" w14:textId="77777777" w:rsidR="0075229A" w:rsidRPr="000973F2" w:rsidRDefault="0075229A" w:rsidP="00C8766D">
            <w:pPr>
              <w:tabs>
                <w:tab w:val="decimal" w:pos="331"/>
              </w:tabs>
              <w:spacing w:before="40" w:after="4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0973F2">
              <w:rPr>
                <w:rFonts w:ascii="Times New Roman" w:hAnsi="Times New Roman" w:cs="Times New Roman"/>
                <w:sz w:val="18"/>
                <w:szCs w:val="18"/>
              </w:rPr>
              <w:t>0</w:t>
            </w:r>
          </w:p>
        </w:tc>
        <w:tc>
          <w:tcPr>
            <w:tcW w:w="790" w:type="dxa"/>
            <w:noWrap/>
            <w:hideMark/>
          </w:tcPr>
          <w:p w14:paraId="0F5ABFE1" w14:textId="77777777" w:rsidR="0075229A" w:rsidRPr="000973F2" w:rsidRDefault="0075229A" w:rsidP="00C8766D">
            <w:pPr>
              <w:tabs>
                <w:tab w:val="decimal" w:pos="331"/>
              </w:tabs>
              <w:spacing w:before="40" w:after="4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0973F2">
              <w:rPr>
                <w:rFonts w:ascii="Times New Roman" w:hAnsi="Times New Roman" w:cs="Times New Roman"/>
                <w:sz w:val="18"/>
                <w:szCs w:val="18"/>
              </w:rPr>
              <w:t>1</w:t>
            </w:r>
          </w:p>
        </w:tc>
        <w:tc>
          <w:tcPr>
            <w:tcW w:w="790" w:type="dxa"/>
            <w:noWrap/>
            <w:hideMark/>
          </w:tcPr>
          <w:p w14:paraId="277FCE37" w14:textId="77777777" w:rsidR="0075229A" w:rsidRPr="000973F2" w:rsidRDefault="0075229A" w:rsidP="00C8766D">
            <w:pPr>
              <w:tabs>
                <w:tab w:val="decimal" w:pos="331"/>
              </w:tabs>
              <w:spacing w:before="40" w:after="4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0973F2">
              <w:rPr>
                <w:rFonts w:ascii="Times New Roman" w:hAnsi="Times New Roman" w:cs="Times New Roman"/>
                <w:sz w:val="18"/>
                <w:szCs w:val="18"/>
              </w:rPr>
              <w:t>0</w:t>
            </w:r>
          </w:p>
        </w:tc>
        <w:tc>
          <w:tcPr>
            <w:tcW w:w="790" w:type="dxa"/>
            <w:noWrap/>
            <w:hideMark/>
          </w:tcPr>
          <w:p w14:paraId="6D16E5A6" w14:textId="77777777" w:rsidR="0075229A" w:rsidRPr="000973F2" w:rsidRDefault="0075229A" w:rsidP="00C8766D">
            <w:pPr>
              <w:tabs>
                <w:tab w:val="decimal" w:pos="331"/>
              </w:tabs>
              <w:spacing w:before="40" w:after="4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0973F2">
              <w:rPr>
                <w:rFonts w:ascii="Times New Roman" w:hAnsi="Times New Roman" w:cs="Times New Roman"/>
                <w:sz w:val="18"/>
                <w:szCs w:val="18"/>
              </w:rPr>
              <w:t>1.0</w:t>
            </w:r>
          </w:p>
        </w:tc>
        <w:tc>
          <w:tcPr>
            <w:tcW w:w="728" w:type="dxa"/>
            <w:noWrap/>
            <w:hideMark/>
          </w:tcPr>
          <w:p w14:paraId="2275110F" w14:textId="77777777" w:rsidR="0075229A" w:rsidRPr="000973F2" w:rsidRDefault="0075229A" w:rsidP="00C8766D">
            <w:pPr>
              <w:tabs>
                <w:tab w:val="decimal" w:pos="331"/>
              </w:tabs>
              <w:spacing w:before="40" w:after="4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0973F2">
              <w:rPr>
                <w:rFonts w:ascii="Times New Roman" w:hAnsi="Times New Roman" w:cs="Times New Roman"/>
                <w:sz w:val="18"/>
                <w:szCs w:val="18"/>
              </w:rPr>
              <w:t>$0</w:t>
            </w:r>
          </w:p>
        </w:tc>
        <w:tc>
          <w:tcPr>
            <w:tcW w:w="857" w:type="dxa"/>
            <w:noWrap/>
            <w:hideMark/>
          </w:tcPr>
          <w:p w14:paraId="001C3AC1" w14:textId="77777777" w:rsidR="0075229A" w:rsidRPr="000973F2" w:rsidRDefault="0075229A" w:rsidP="00C8766D">
            <w:pPr>
              <w:tabs>
                <w:tab w:val="decimal" w:pos="571"/>
              </w:tabs>
              <w:spacing w:before="40" w:after="4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0973F2">
              <w:rPr>
                <w:rFonts w:ascii="Times New Roman" w:hAnsi="Times New Roman" w:cs="Times New Roman"/>
                <w:sz w:val="18"/>
                <w:szCs w:val="18"/>
              </w:rPr>
              <w:t>$180</w:t>
            </w:r>
          </w:p>
        </w:tc>
      </w:tr>
      <w:tr w:rsidR="0075229A" w:rsidRPr="000973F2" w14:paraId="3A24EB06" w14:textId="77777777" w:rsidTr="00B6531F">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1425" w:type="dxa"/>
            <w:hideMark/>
          </w:tcPr>
          <w:p w14:paraId="58C6ABD0" w14:textId="77777777" w:rsidR="0075229A" w:rsidRPr="000973F2" w:rsidRDefault="0075229A" w:rsidP="00C8766D">
            <w:pPr>
              <w:spacing w:before="40" w:after="40"/>
              <w:rPr>
                <w:rFonts w:ascii="Times New Roman" w:hAnsi="Times New Roman" w:cs="Times New Roman"/>
                <w:sz w:val="18"/>
                <w:szCs w:val="18"/>
              </w:rPr>
            </w:pPr>
            <w:r w:rsidRPr="000973F2">
              <w:rPr>
                <w:rFonts w:ascii="Times New Roman" w:hAnsi="Times New Roman" w:cs="Times New Roman"/>
                <w:sz w:val="18"/>
                <w:szCs w:val="18"/>
              </w:rPr>
              <w:t>QA/QC</w:t>
            </w:r>
          </w:p>
        </w:tc>
        <w:tc>
          <w:tcPr>
            <w:tcW w:w="790" w:type="dxa"/>
            <w:noWrap/>
            <w:hideMark/>
          </w:tcPr>
          <w:p w14:paraId="58BA3A34" w14:textId="77777777" w:rsidR="0075229A" w:rsidRPr="000973F2" w:rsidRDefault="0075229A" w:rsidP="00C8766D">
            <w:pPr>
              <w:tabs>
                <w:tab w:val="decimal" w:pos="331"/>
              </w:tabs>
              <w:spacing w:before="40" w:after="4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rPr>
            </w:pPr>
            <w:r w:rsidRPr="000973F2">
              <w:rPr>
                <w:rFonts w:ascii="Times New Roman" w:hAnsi="Times New Roman" w:cs="Times New Roman"/>
                <w:sz w:val="18"/>
                <w:szCs w:val="18"/>
              </w:rPr>
              <w:t>0</w:t>
            </w:r>
          </w:p>
        </w:tc>
        <w:tc>
          <w:tcPr>
            <w:tcW w:w="790" w:type="dxa"/>
            <w:noWrap/>
            <w:hideMark/>
          </w:tcPr>
          <w:p w14:paraId="7B57CF74" w14:textId="77777777" w:rsidR="0075229A" w:rsidRPr="000973F2" w:rsidRDefault="0075229A" w:rsidP="00C8766D">
            <w:pPr>
              <w:tabs>
                <w:tab w:val="decimal" w:pos="331"/>
              </w:tabs>
              <w:spacing w:before="40" w:after="4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rPr>
            </w:pPr>
            <w:r w:rsidRPr="000973F2">
              <w:rPr>
                <w:rFonts w:ascii="Times New Roman" w:hAnsi="Times New Roman" w:cs="Times New Roman"/>
                <w:sz w:val="18"/>
                <w:szCs w:val="18"/>
              </w:rPr>
              <w:t>0</w:t>
            </w:r>
          </w:p>
        </w:tc>
        <w:tc>
          <w:tcPr>
            <w:tcW w:w="790" w:type="dxa"/>
            <w:noWrap/>
            <w:hideMark/>
          </w:tcPr>
          <w:p w14:paraId="72BE8AED" w14:textId="77777777" w:rsidR="0075229A" w:rsidRPr="000973F2" w:rsidRDefault="0075229A" w:rsidP="00C8766D">
            <w:pPr>
              <w:tabs>
                <w:tab w:val="decimal" w:pos="331"/>
              </w:tabs>
              <w:spacing w:before="40" w:after="4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rPr>
            </w:pPr>
            <w:r w:rsidRPr="000973F2">
              <w:rPr>
                <w:rFonts w:ascii="Times New Roman" w:hAnsi="Times New Roman" w:cs="Times New Roman"/>
                <w:sz w:val="18"/>
                <w:szCs w:val="18"/>
              </w:rPr>
              <w:t>0</w:t>
            </w:r>
          </w:p>
        </w:tc>
        <w:tc>
          <w:tcPr>
            <w:tcW w:w="790" w:type="dxa"/>
            <w:noWrap/>
            <w:hideMark/>
          </w:tcPr>
          <w:p w14:paraId="12E4949F" w14:textId="77777777" w:rsidR="0075229A" w:rsidRPr="000973F2" w:rsidRDefault="0075229A" w:rsidP="00C8766D">
            <w:pPr>
              <w:tabs>
                <w:tab w:val="decimal" w:pos="331"/>
              </w:tabs>
              <w:spacing w:before="40" w:after="4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rPr>
            </w:pPr>
            <w:r w:rsidRPr="000973F2">
              <w:rPr>
                <w:rFonts w:ascii="Times New Roman" w:hAnsi="Times New Roman" w:cs="Times New Roman"/>
                <w:sz w:val="18"/>
                <w:szCs w:val="18"/>
              </w:rPr>
              <w:t>0.5</w:t>
            </w:r>
          </w:p>
        </w:tc>
        <w:tc>
          <w:tcPr>
            <w:tcW w:w="790" w:type="dxa"/>
            <w:noWrap/>
            <w:hideMark/>
          </w:tcPr>
          <w:p w14:paraId="6626483D" w14:textId="77777777" w:rsidR="0075229A" w:rsidRPr="000973F2" w:rsidRDefault="0075229A" w:rsidP="00C8766D">
            <w:pPr>
              <w:tabs>
                <w:tab w:val="decimal" w:pos="331"/>
              </w:tabs>
              <w:spacing w:before="40" w:after="4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rPr>
            </w:pPr>
            <w:r w:rsidRPr="000973F2">
              <w:rPr>
                <w:rFonts w:ascii="Times New Roman" w:hAnsi="Times New Roman" w:cs="Times New Roman"/>
                <w:sz w:val="18"/>
                <w:szCs w:val="18"/>
              </w:rPr>
              <w:t>0</w:t>
            </w:r>
          </w:p>
        </w:tc>
        <w:tc>
          <w:tcPr>
            <w:tcW w:w="790" w:type="dxa"/>
            <w:noWrap/>
            <w:hideMark/>
          </w:tcPr>
          <w:p w14:paraId="65AE3A01" w14:textId="77777777" w:rsidR="0075229A" w:rsidRPr="000973F2" w:rsidRDefault="0075229A" w:rsidP="00C8766D">
            <w:pPr>
              <w:tabs>
                <w:tab w:val="decimal" w:pos="331"/>
              </w:tabs>
              <w:spacing w:before="40" w:after="4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rPr>
            </w:pPr>
            <w:r w:rsidRPr="000973F2">
              <w:rPr>
                <w:rFonts w:ascii="Times New Roman" w:hAnsi="Times New Roman" w:cs="Times New Roman"/>
                <w:sz w:val="18"/>
                <w:szCs w:val="18"/>
              </w:rPr>
              <w:t>1</w:t>
            </w:r>
          </w:p>
        </w:tc>
        <w:tc>
          <w:tcPr>
            <w:tcW w:w="790" w:type="dxa"/>
            <w:noWrap/>
            <w:hideMark/>
          </w:tcPr>
          <w:p w14:paraId="67F41D24" w14:textId="77777777" w:rsidR="0075229A" w:rsidRPr="000973F2" w:rsidRDefault="0075229A" w:rsidP="00C8766D">
            <w:pPr>
              <w:tabs>
                <w:tab w:val="decimal" w:pos="331"/>
              </w:tabs>
              <w:spacing w:before="40" w:after="4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rPr>
            </w:pPr>
            <w:r w:rsidRPr="000973F2">
              <w:rPr>
                <w:rFonts w:ascii="Times New Roman" w:hAnsi="Times New Roman" w:cs="Times New Roman"/>
                <w:sz w:val="18"/>
                <w:szCs w:val="18"/>
              </w:rPr>
              <w:t>0</w:t>
            </w:r>
          </w:p>
        </w:tc>
        <w:tc>
          <w:tcPr>
            <w:tcW w:w="790" w:type="dxa"/>
            <w:noWrap/>
            <w:hideMark/>
          </w:tcPr>
          <w:p w14:paraId="1B0ED3AF" w14:textId="77777777" w:rsidR="0075229A" w:rsidRPr="000973F2" w:rsidRDefault="0075229A" w:rsidP="00C8766D">
            <w:pPr>
              <w:tabs>
                <w:tab w:val="decimal" w:pos="331"/>
              </w:tabs>
              <w:spacing w:before="40" w:after="4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rPr>
            </w:pPr>
            <w:r w:rsidRPr="000973F2">
              <w:rPr>
                <w:rFonts w:ascii="Times New Roman" w:hAnsi="Times New Roman" w:cs="Times New Roman"/>
                <w:sz w:val="18"/>
                <w:szCs w:val="18"/>
              </w:rPr>
              <w:t>1.0</w:t>
            </w:r>
          </w:p>
        </w:tc>
        <w:tc>
          <w:tcPr>
            <w:tcW w:w="728" w:type="dxa"/>
            <w:noWrap/>
            <w:hideMark/>
          </w:tcPr>
          <w:p w14:paraId="22DB9FBE" w14:textId="77777777" w:rsidR="0075229A" w:rsidRPr="000973F2" w:rsidRDefault="0075229A" w:rsidP="00C8766D">
            <w:pPr>
              <w:tabs>
                <w:tab w:val="decimal" w:pos="331"/>
              </w:tabs>
              <w:spacing w:before="40" w:after="4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rPr>
            </w:pPr>
            <w:r w:rsidRPr="000973F2">
              <w:rPr>
                <w:rFonts w:ascii="Times New Roman" w:hAnsi="Times New Roman" w:cs="Times New Roman"/>
                <w:sz w:val="18"/>
                <w:szCs w:val="18"/>
              </w:rPr>
              <w:t>$0</w:t>
            </w:r>
          </w:p>
        </w:tc>
        <w:tc>
          <w:tcPr>
            <w:tcW w:w="857" w:type="dxa"/>
            <w:noWrap/>
            <w:hideMark/>
          </w:tcPr>
          <w:p w14:paraId="5E8BF438" w14:textId="77777777" w:rsidR="0075229A" w:rsidRPr="000973F2" w:rsidRDefault="0075229A" w:rsidP="00C8766D">
            <w:pPr>
              <w:tabs>
                <w:tab w:val="decimal" w:pos="571"/>
              </w:tabs>
              <w:spacing w:before="40" w:after="4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rPr>
            </w:pPr>
            <w:r w:rsidRPr="000973F2">
              <w:rPr>
                <w:rFonts w:ascii="Times New Roman" w:hAnsi="Times New Roman" w:cs="Times New Roman"/>
                <w:sz w:val="18"/>
                <w:szCs w:val="18"/>
              </w:rPr>
              <w:t>$151</w:t>
            </w:r>
          </w:p>
        </w:tc>
      </w:tr>
      <w:tr w:rsidR="0075229A" w:rsidRPr="000973F2" w14:paraId="0D945E40" w14:textId="77777777" w:rsidTr="00B6531F">
        <w:trPr>
          <w:cantSplit/>
        </w:trPr>
        <w:tc>
          <w:tcPr>
            <w:cnfStyle w:val="001000000000" w:firstRow="0" w:lastRow="0" w:firstColumn="1" w:lastColumn="0" w:oddVBand="0" w:evenVBand="0" w:oddHBand="0" w:evenHBand="0" w:firstRowFirstColumn="0" w:firstRowLastColumn="0" w:lastRowFirstColumn="0" w:lastRowLastColumn="0"/>
            <w:tcW w:w="1425" w:type="dxa"/>
            <w:hideMark/>
          </w:tcPr>
          <w:p w14:paraId="3559277D" w14:textId="77777777" w:rsidR="0075229A" w:rsidRPr="000973F2" w:rsidRDefault="0075229A" w:rsidP="00C8766D">
            <w:pPr>
              <w:spacing w:before="40" w:after="40"/>
              <w:rPr>
                <w:rFonts w:ascii="Times New Roman" w:hAnsi="Times New Roman" w:cs="Times New Roman"/>
                <w:sz w:val="18"/>
                <w:szCs w:val="18"/>
              </w:rPr>
            </w:pPr>
            <w:r w:rsidRPr="000973F2">
              <w:rPr>
                <w:rFonts w:ascii="Times New Roman" w:hAnsi="Times New Roman" w:cs="Times New Roman"/>
                <w:sz w:val="18"/>
                <w:szCs w:val="18"/>
              </w:rPr>
              <w:t>Recordkeeping</w:t>
            </w:r>
          </w:p>
        </w:tc>
        <w:tc>
          <w:tcPr>
            <w:tcW w:w="790" w:type="dxa"/>
            <w:noWrap/>
            <w:hideMark/>
          </w:tcPr>
          <w:p w14:paraId="384CA5E0" w14:textId="77777777" w:rsidR="0075229A" w:rsidRPr="000973F2" w:rsidRDefault="0075229A" w:rsidP="00C8766D">
            <w:pPr>
              <w:tabs>
                <w:tab w:val="decimal" w:pos="331"/>
              </w:tabs>
              <w:spacing w:before="40" w:after="4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0973F2">
              <w:rPr>
                <w:rFonts w:ascii="Times New Roman" w:hAnsi="Times New Roman" w:cs="Times New Roman"/>
                <w:sz w:val="18"/>
                <w:szCs w:val="18"/>
              </w:rPr>
              <w:t>0</w:t>
            </w:r>
          </w:p>
        </w:tc>
        <w:tc>
          <w:tcPr>
            <w:tcW w:w="790" w:type="dxa"/>
            <w:noWrap/>
            <w:hideMark/>
          </w:tcPr>
          <w:p w14:paraId="6F845671" w14:textId="77777777" w:rsidR="0075229A" w:rsidRPr="000973F2" w:rsidRDefault="0075229A" w:rsidP="00C8766D">
            <w:pPr>
              <w:tabs>
                <w:tab w:val="decimal" w:pos="331"/>
              </w:tabs>
              <w:spacing w:before="40" w:after="4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0973F2">
              <w:rPr>
                <w:rFonts w:ascii="Times New Roman" w:hAnsi="Times New Roman" w:cs="Times New Roman"/>
                <w:sz w:val="18"/>
                <w:szCs w:val="18"/>
              </w:rPr>
              <w:t>0</w:t>
            </w:r>
          </w:p>
        </w:tc>
        <w:tc>
          <w:tcPr>
            <w:tcW w:w="790" w:type="dxa"/>
            <w:noWrap/>
            <w:hideMark/>
          </w:tcPr>
          <w:p w14:paraId="42F5259C" w14:textId="77777777" w:rsidR="0075229A" w:rsidRPr="000973F2" w:rsidRDefault="0075229A" w:rsidP="00C8766D">
            <w:pPr>
              <w:tabs>
                <w:tab w:val="decimal" w:pos="331"/>
              </w:tabs>
              <w:spacing w:before="40" w:after="4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0973F2">
              <w:rPr>
                <w:rFonts w:ascii="Times New Roman" w:hAnsi="Times New Roman" w:cs="Times New Roman"/>
                <w:sz w:val="18"/>
                <w:szCs w:val="18"/>
              </w:rPr>
              <w:t>0</w:t>
            </w:r>
          </w:p>
        </w:tc>
        <w:tc>
          <w:tcPr>
            <w:tcW w:w="790" w:type="dxa"/>
            <w:noWrap/>
            <w:hideMark/>
          </w:tcPr>
          <w:p w14:paraId="51B0B58D" w14:textId="77777777" w:rsidR="0075229A" w:rsidRPr="000973F2" w:rsidRDefault="0075229A" w:rsidP="00C8766D">
            <w:pPr>
              <w:tabs>
                <w:tab w:val="decimal" w:pos="331"/>
              </w:tabs>
              <w:spacing w:before="40" w:after="4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0973F2">
              <w:rPr>
                <w:rFonts w:ascii="Times New Roman" w:hAnsi="Times New Roman" w:cs="Times New Roman"/>
                <w:sz w:val="18"/>
                <w:szCs w:val="18"/>
              </w:rPr>
              <w:t>0.5</w:t>
            </w:r>
          </w:p>
        </w:tc>
        <w:tc>
          <w:tcPr>
            <w:tcW w:w="790" w:type="dxa"/>
            <w:noWrap/>
            <w:hideMark/>
          </w:tcPr>
          <w:p w14:paraId="0331C0F0" w14:textId="77777777" w:rsidR="0075229A" w:rsidRPr="000973F2" w:rsidRDefault="0075229A" w:rsidP="00C8766D">
            <w:pPr>
              <w:tabs>
                <w:tab w:val="decimal" w:pos="331"/>
              </w:tabs>
              <w:spacing w:before="40" w:after="4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0973F2">
              <w:rPr>
                <w:rFonts w:ascii="Times New Roman" w:hAnsi="Times New Roman" w:cs="Times New Roman"/>
                <w:sz w:val="18"/>
                <w:szCs w:val="18"/>
              </w:rPr>
              <w:t>0</w:t>
            </w:r>
          </w:p>
        </w:tc>
        <w:tc>
          <w:tcPr>
            <w:tcW w:w="790" w:type="dxa"/>
            <w:noWrap/>
            <w:hideMark/>
          </w:tcPr>
          <w:p w14:paraId="26C35B14" w14:textId="77777777" w:rsidR="0075229A" w:rsidRPr="000973F2" w:rsidRDefault="0075229A" w:rsidP="00C8766D">
            <w:pPr>
              <w:tabs>
                <w:tab w:val="decimal" w:pos="331"/>
              </w:tabs>
              <w:spacing w:before="40" w:after="4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0973F2">
              <w:rPr>
                <w:rFonts w:ascii="Times New Roman" w:hAnsi="Times New Roman" w:cs="Times New Roman"/>
                <w:sz w:val="18"/>
                <w:szCs w:val="18"/>
              </w:rPr>
              <w:t>2</w:t>
            </w:r>
          </w:p>
        </w:tc>
        <w:tc>
          <w:tcPr>
            <w:tcW w:w="790" w:type="dxa"/>
            <w:noWrap/>
            <w:hideMark/>
          </w:tcPr>
          <w:p w14:paraId="2F89E855" w14:textId="77777777" w:rsidR="0075229A" w:rsidRPr="000973F2" w:rsidRDefault="0075229A" w:rsidP="00C8766D">
            <w:pPr>
              <w:tabs>
                <w:tab w:val="decimal" w:pos="331"/>
              </w:tabs>
              <w:spacing w:before="40" w:after="4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0973F2">
              <w:rPr>
                <w:rFonts w:ascii="Times New Roman" w:hAnsi="Times New Roman" w:cs="Times New Roman"/>
                <w:sz w:val="18"/>
                <w:szCs w:val="18"/>
              </w:rPr>
              <w:t>0</w:t>
            </w:r>
          </w:p>
        </w:tc>
        <w:tc>
          <w:tcPr>
            <w:tcW w:w="790" w:type="dxa"/>
            <w:noWrap/>
            <w:hideMark/>
          </w:tcPr>
          <w:p w14:paraId="58A2DC18" w14:textId="77777777" w:rsidR="0075229A" w:rsidRPr="000973F2" w:rsidRDefault="0075229A" w:rsidP="00C8766D">
            <w:pPr>
              <w:tabs>
                <w:tab w:val="decimal" w:pos="331"/>
              </w:tabs>
              <w:spacing w:before="40" w:after="4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0973F2">
              <w:rPr>
                <w:rFonts w:ascii="Times New Roman" w:hAnsi="Times New Roman" w:cs="Times New Roman"/>
                <w:sz w:val="18"/>
                <w:szCs w:val="18"/>
              </w:rPr>
              <w:t>0.5</w:t>
            </w:r>
          </w:p>
        </w:tc>
        <w:tc>
          <w:tcPr>
            <w:tcW w:w="728" w:type="dxa"/>
            <w:noWrap/>
            <w:hideMark/>
          </w:tcPr>
          <w:p w14:paraId="7AE26F0A" w14:textId="77777777" w:rsidR="0075229A" w:rsidRPr="000973F2" w:rsidRDefault="0075229A" w:rsidP="00C8766D">
            <w:pPr>
              <w:tabs>
                <w:tab w:val="decimal" w:pos="331"/>
              </w:tabs>
              <w:spacing w:before="40" w:after="4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0973F2">
              <w:rPr>
                <w:rFonts w:ascii="Times New Roman" w:hAnsi="Times New Roman" w:cs="Times New Roman"/>
                <w:sz w:val="18"/>
                <w:szCs w:val="18"/>
              </w:rPr>
              <w:t>$0</w:t>
            </w:r>
          </w:p>
        </w:tc>
        <w:tc>
          <w:tcPr>
            <w:tcW w:w="857" w:type="dxa"/>
            <w:noWrap/>
            <w:hideMark/>
          </w:tcPr>
          <w:p w14:paraId="5BCAC92B" w14:textId="77777777" w:rsidR="0075229A" w:rsidRPr="000973F2" w:rsidRDefault="0075229A" w:rsidP="00C8766D">
            <w:pPr>
              <w:tabs>
                <w:tab w:val="decimal" w:pos="571"/>
              </w:tabs>
              <w:spacing w:before="40" w:after="4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0973F2">
              <w:rPr>
                <w:rFonts w:ascii="Times New Roman" w:hAnsi="Times New Roman" w:cs="Times New Roman"/>
                <w:sz w:val="18"/>
                <w:szCs w:val="18"/>
              </w:rPr>
              <w:t>$205</w:t>
            </w:r>
          </w:p>
        </w:tc>
      </w:tr>
      <w:tr w:rsidR="0075229A" w:rsidRPr="000973F2" w14:paraId="6DA61E17" w14:textId="77777777" w:rsidTr="00B6531F">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1425" w:type="dxa"/>
            <w:hideMark/>
          </w:tcPr>
          <w:p w14:paraId="0FF078BF" w14:textId="77777777" w:rsidR="0075229A" w:rsidRPr="000973F2" w:rsidRDefault="0075229A" w:rsidP="00C8766D">
            <w:pPr>
              <w:spacing w:before="40" w:after="40"/>
              <w:rPr>
                <w:rFonts w:ascii="Times New Roman" w:hAnsi="Times New Roman" w:cs="Times New Roman"/>
                <w:sz w:val="18"/>
                <w:szCs w:val="18"/>
              </w:rPr>
            </w:pPr>
            <w:r w:rsidRPr="000973F2">
              <w:rPr>
                <w:rFonts w:ascii="Times New Roman" w:hAnsi="Times New Roman" w:cs="Times New Roman"/>
                <w:sz w:val="18"/>
                <w:szCs w:val="18"/>
              </w:rPr>
              <w:t>Sampling and Analysis (Calculations)</w:t>
            </w:r>
          </w:p>
        </w:tc>
        <w:tc>
          <w:tcPr>
            <w:tcW w:w="790" w:type="dxa"/>
            <w:noWrap/>
            <w:hideMark/>
          </w:tcPr>
          <w:p w14:paraId="1754F368" w14:textId="77777777" w:rsidR="0075229A" w:rsidRPr="000973F2" w:rsidRDefault="0075229A" w:rsidP="00C8766D">
            <w:pPr>
              <w:tabs>
                <w:tab w:val="decimal" w:pos="331"/>
              </w:tabs>
              <w:spacing w:before="40" w:after="4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rPr>
            </w:pPr>
            <w:r w:rsidRPr="000973F2">
              <w:rPr>
                <w:rFonts w:ascii="Times New Roman" w:hAnsi="Times New Roman" w:cs="Times New Roman"/>
                <w:sz w:val="18"/>
                <w:szCs w:val="18"/>
              </w:rPr>
              <w:t>0</w:t>
            </w:r>
          </w:p>
        </w:tc>
        <w:tc>
          <w:tcPr>
            <w:tcW w:w="790" w:type="dxa"/>
            <w:noWrap/>
            <w:hideMark/>
          </w:tcPr>
          <w:p w14:paraId="310AA337" w14:textId="77777777" w:rsidR="0075229A" w:rsidRPr="000973F2" w:rsidRDefault="0075229A" w:rsidP="00C8766D">
            <w:pPr>
              <w:tabs>
                <w:tab w:val="decimal" w:pos="331"/>
              </w:tabs>
              <w:spacing w:before="40" w:after="4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rPr>
            </w:pPr>
            <w:r w:rsidRPr="000973F2">
              <w:rPr>
                <w:rFonts w:ascii="Times New Roman" w:hAnsi="Times New Roman" w:cs="Times New Roman"/>
                <w:sz w:val="18"/>
                <w:szCs w:val="18"/>
              </w:rPr>
              <w:t>0</w:t>
            </w:r>
          </w:p>
        </w:tc>
        <w:tc>
          <w:tcPr>
            <w:tcW w:w="790" w:type="dxa"/>
            <w:noWrap/>
            <w:hideMark/>
          </w:tcPr>
          <w:p w14:paraId="002444EF" w14:textId="77777777" w:rsidR="0075229A" w:rsidRPr="000973F2" w:rsidRDefault="0075229A" w:rsidP="00C8766D">
            <w:pPr>
              <w:tabs>
                <w:tab w:val="decimal" w:pos="331"/>
              </w:tabs>
              <w:spacing w:before="40" w:after="4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rPr>
            </w:pPr>
            <w:r w:rsidRPr="000973F2">
              <w:rPr>
                <w:rFonts w:ascii="Times New Roman" w:hAnsi="Times New Roman" w:cs="Times New Roman"/>
                <w:sz w:val="18"/>
                <w:szCs w:val="18"/>
              </w:rPr>
              <w:t>0</w:t>
            </w:r>
          </w:p>
        </w:tc>
        <w:tc>
          <w:tcPr>
            <w:tcW w:w="790" w:type="dxa"/>
            <w:noWrap/>
            <w:hideMark/>
          </w:tcPr>
          <w:p w14:paraId="0A753109" w14:textId="77777777" w:rsidR="0075229A" w:rsidRPr="000973F2" w:rsidRDefault="0075229A" w:rsidP="00C8766D">
            <w:pPr>
              <w:tabs>
                <w:tab w:val="decimal" w:pos="331"/>
              </w:tabs>
              <w:spacing w:before="40" w:after="4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rPr>
            </w:pPr>
            <w:r w:rsidRPr="000973F2">
              <w:rPr>
                <w:rFonts w:ascii="Times New Roman" w:hAnsi="Times New Roman" w:cs="Times New Roman"/>
                <w:sz w:val="18"/>
                <w:szCs w:val="18"/>
              </w:rPr>
              <w:t>0</w:t>
            </w:r>
          </w:p>
        </w:tc>
        <w:tc>
          <w:tcPr>
            <w:tcW w:w="790" w:type="dxa"/>
            <w:noWrap/>
            <w:hideMark/>
          </w:tcPr>
          <w:p w14:paraId="4CE6E031" w14:textId="77777777" w:rsidR="0075229A" w:rsidRPr="000973F2" w:rsidRDefault="0075229A" w:rsidP="00C8766D">
            <w:pPr>
              <w:tabs>
                <w:tab w:val="decimal" w:pos="331"/>
              </w:tabs>
              <w:spacing w:before="40" w:after="4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rPr>
            </w:pPr>
            <w:r w:rsidRPr="000973F2">
              <w:rPr>
                <w:rFonts w:ascii="Times New Roman" w:hAnsi="Times New Roman" w:cs="Times New Roman"/>
                <w:sz w:val="18"/>
                <w:szCs w:val="18"/>
              </w:rPr>
              <w:t>0</w:t>
            </w:r>
          </w:p>
        </w:tc>
        <w:tc>
          <w:tcPr>
            <w:tcW w:w="790" w:type="dxa"/>
            <w:noWrap/>
            <w:hideMark/>
          </w:tcPr>
          <w:p w14:paraId="50338950" w14:textId="77777777" w:rsidR="0075229A" w:rsidRPr="000973F2" w:rsidRDefault="0075229A" w:rsidP="00C8766D">
            <w:pPr>
              <w:tabs>
                <w:tab w:val="decimal" w:pos="331"/>
              </w:tabs>
              <w:spacing w:before="40" w:after="4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rPr>
            </w:pPr>
            <w:r w:rsidRPr="000973F2">
              <w:rPr>
                <w:rFonts w:ascii="Times New Roman" w:hAnsi="Times New Roman" w:cs="Times New Roman"/>
                <w:sz w:val="18"/>
                <w:szCs w:val="18"/>
              </w:rPr>
              <w:t>1</w:t>
            </w:r>
          </w:p>
        </w:tc>
        <w:tc>
          <w:tcPr>
            <w:tcW w:w="790" w:type="dxa"/>
            <w:noWrap/>
            <w:hideMark/>
          </w:tcPr>
          <w:p w14:paraId="6427A497" w14:textId="77777777" w:rsidR="0075229A" w:rsidRPr="000973F2" w:rsidRDefault="0075229A" w:rsidP="00C8766D">
            <w:pPr>
              <w:tabs>
                <w:tab w:val="decimal" w:pos="331"/>
              </w:tabs>
              <w:spacing w:before="40" w:after="4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rPr>
            </w:pPr>
            <w:r w:rsidRPr="000973F2">
              <w:rPr>
                <w:rFonts w:ascii="Times New Roman" w:hAnsi="Times New Roman" w:cs="Times New Roman"/>
                <w:sz w:val="18"/>
                <w:szCs w:val="18"/>
              </w:rPr>
              <w:t>0</w:t>
            </w:r>
          </w:p>
        </w:tc>
        <w:tc>
          <w:tcPr>
            <w:tcW w:w="790" w:type="dxa"/>
            <w:noWrap/>
            <w:hideMark/>
          </w:tcPr>
          <w:p w14:paraId="5FE22F96" w14:textId="77777777" w:rsidR="0075229A" w:rsidRPr="000973F2" w:rsidRDefault="0075229A" w:rsidP="00C8766D">
            <w:pPr>
              <w:tabs>
                <w:tab w:val="decimal" w:pos="331"/>
              </w:tabs>
              <w:spacing w:before="40" w:after="4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rPr>
            </w:pPr>
            <w:r w:rsidRPr="000973F2">
              <w:rPr>
                <w:rFonts w:ascii="Times New Roman" w:hAnsi="Times New Roman" w:cs="Times New Roman"/>
                <w:sz w:val="18"/>
                <w:szCs w:val="18"/>
              </w:rPr>
              <w:t>0.0</w:t>
            </w:r>
          </w:p>
        </w:tc>
        <w:tc>
          <w:tcPr>
            <w:tcW w:w="728" w:type="dxa"/>
            <w:noWrap/>
            <w:hideMark/>
          </w:tcPr>
          <w:p w14:paraId="03487B91" w14:textId="77777777" w:rsidR="0075229A" w:rsidRPr="000973F2" w:rsidRDefault="0075229A" w:rsidP="00C8766D">
            <w:pPr>
              <w:tabs>
                <w:tab w:val="decimal" w:pos="331"/>
              </w:tabs>
              <w:spacing w:before="40" w:after="4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rPr>
            </w:pPr>
            <w:r w:rsidRPr="000973F2">
              <w:rPr>
                <w:rFonts w:ascii="Times New Roman" w:hAnsi="Times New Roman" w:cs="Times New Roman"/>
                <w:sz w:val="18"/>
                <w:szCs w:val="18"/>
              </w:rPr>
              <w:t>$0</w:t>
            </w:r>
          </w:p>
        </w:tc>
        <w:tc>
          <w:tcPr>
            <w:tcW w:w="857" w:type="dxa"/>
            <w:noWrap/>
            <w:hideMark/>
          </w:tcPr>
          <w:p w14:paraId="0EB916A3" w14:textId="77777777" w:rsidR="0075229A" w:rsidRPr="000973F2" w:rsidRDefault="0075229A" w:rsidP="00C8766D">
            <w:pPr>
              <w:tabs>
                <w:tab w:val="decimal" w:pos="571"/>
              </w:tabs>
              <w:spacing w:before="40" w:after="4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rPr>
            </w:pPr>
            <w:r w:rsidRPr="000973F2">
              <w:rPr>
                <w:rFonts w:ascii="Times New Roman" w:hAnsi="Times New Roman" w:cs="Times New Roman"/>
                <w:sz w:val="18"/>
                <w:szCs w:val="18"/>
              </w:rPr>
              <w:t>$71</w:t>
            </w:r>
          </w:p>
        </w:tc>
      </w:tr>
      <w:tr w:rsidR="0075229A" w:rsidRPr="000973F2" w14:paraId="54DAC677" w14:textId="77777777" w:rsidTr="00B6531F">
        <w:trPr>
          <w:cantSplit/>
        </w:trPr>
        <w:tc>
          <w:tcPr>
            <w:cnfStyle w:val="001000000000" w:firstRow="0" w:lastRow="0" w:firstColumn="1" w:lastColumn="0" w:oddVBand="0" w:evenVBand="0" w:oddHBand="0" w:evenHBand="0" w:firstRowFirstColumn="0" w:firstRowLastColumn="0" w:lastRowFirstColumn="0" w:lastRowLastColumn="0"/>
            <w:tcW w:w="1425" w:type="dxa"/>
            <w:hideMark/>
          </w:tcPr>
          <w:p w14:paraId="18DD5603" w14:textId="77777777" w:rsidR="0075229A" w:rsidRPr="000973F2" w:rsidRDefault="0075229A" w:rsidP="00C8766D">
            <w:pPr>
              <w:spacing w:before="40" w:after="40"/>
              <w:rPr>
                <w:rFonts w:ascii="Times New Roman" w:hAnsi="Times New Roman" w:cs="Times New Roman"/>
                <w:sz w:val="18"/>
                <w:szCs w:val="18"/>
              </w:rPr>
            </w:pPr>
            <w:r w:rsidRPr="000973F2">
              <w:rPr>
                <w:rFonts w:ascii="Times New Roman" w:hAnsi="Times New Roman" w:cs="Times New Roman"/>
                <w:sz w:val="18"/>
                <w:szCs w:val="18"/>
              </w:rPr>
              <w:t>Reporting</w:t>
            </w:r>
          </w:p>
        </w:tc>
        <w:tc>
          <w:tcPr>
            <w:tcW w:w="790" w:type="dxa"/>
            <w:noWrap/>
            <w:hideMark/>
          </w:tcPr>
          <w:p w14:paraId="7E397C17" w14:textId="77777777" w:rsidR="0075229A" w:rsidRPr="000973F2" w:rsidRDefault="0075229A" w:rsidP="00C8766D">
            <w:pPr>
              <w:tabs>
                <w:tab w:val="decimal" w:pos="331"/>
              </w:tabs>
              <w:spacing w:before="40" w:after="4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0973F2">
              <w:rPr>
                <w:rFonts w:ascii="Times New Roman" w:hAnsi="Times New Roman" w:cs="Times New Roman"/>
                <w:sz w:val="18"/>
                <w:szCs w:val="18"/>
              </w:rPr>
              <w:t>0</w:t>
            </w:r>
          </w:p>
        </w:tc>
        <w:tc>
          <w:tcPr>
            <w:tcW w:w="790" w:type="dxa"/>
            <w:noWrap/>
            <w:hideMark/>
          </w:tcPr>
          <w:p w14:paraId="7E5A77BC" w14:textId="77777777" w:rsidR="0075229A" w:rsidRPr="000973F2" w:rsidRDefault="0075229A" w:rsidP="00C8766D">
            <w:pPr>
              <w:tabs>
                <w:tab w:val="decimal" w:pos="331"/>
              </w:tabs>
              <w:spacing w:before="40" w:after="4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0973F2">
              <w:rPr>
                <w:rFonts w:ascii="Times New Roman" w:hAnsi="Times New Roman" w:cs="Times New Roman"/>
                <w:sz w:val="18"/>
                <w:szCs w:val="18"/>
              </w:rPr>
              <w:t>0</w:t>
            </w:r>
          </w:p>
        </w:tc>
        <w:tc>
          <w:tcPr>
            <w:tcW w:w="790" w:type="dxa"/>
            <w:noWrap/>
            <w:hideMark/>
          </w:tcPr>
          <w:p w14:paraId="6FB07163" w14:textId="77777777" w:rsidR="0075229A" w:rsidRPr="000973F2" w:rsidRDefault="0075229A" w:rsidP="00C8766D">
            <w:pPr>
              <w:tabs>
                <w:tab w:val="decimal" w:pos="331"/>
              </w:tabs>
              <w:spacing w:before="40" w:after="4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0973F2">
              <w:rPr>
                <w:rFonts w:ascii="Times New Roman" w:hAnsi="Times New Roman" w:cs="Times New Roman"/>
                <w:sz w:val="18"/>
                <w:szCs w:val="18"/>
              </w:rPr>
              <w:t>0</w:t>
            </w:r>
          </w:p>
        </w:tc>
        <w:tc>
          <w:tcPr>
            <w:tcW w:w="790" w:type="dxa"/>
            <w:noWrap/>
            <w:hideMark/>
          </w:tcPr>
          <w:p w14:paraId="5EFADA2D" w14:textId="77777777" w:rsidR="0075229A" w:rsidRPr="000973F2" w:rsidRDefault="0075229A" w:rsidP="00C8766D">
            <w:pPr>
              <w:tabs>
                <w:tab w:val="decimal" w:pos="331"/>
              </w:tabs>
              <w:spacing w:before="40" w:after="4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0973F2">
              <w:rPr>
                <w:rFonts w:ascii="Times New Roman" w:hAnsi="Times New Roman" w:cs="Times New Roman"/>
                <w:sz w:val="18"/>
                <w:szCs w:val="18"/>
              </w:rPr>
              <w:t>1.0</w:t>
            </w:r>
          </w:p>
        </w:tc>
        <w:tc>
          <w:tcPr>
            <w:tcW w:w="790" w:type="dxa"/>
            <w:noWrap/>
            <w:hideMark/>
          </w:tcPr>
          <w:p w14:paraId="5890C9E3" w14:textId="77777777" w:rsidR="0075229A" w:rsidRPr="000973F2" w:rsidRDefault="0075229A" w:rsidP="00C8766D">
            <w:pPr>
              <w:tabs>
                <w:tab w:val="decimal" w:pos="331"/>
              </w:tabs>
              <w:spacing w:before="40" w:after="4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0973F2">
              <w:rPr>
                <w:rFonts w:ascii="Times New Roman" w:hAnsi="Times New Roman" w:cs="Times New Roman"/>
                <w:sz w:val="18"/>
                <w:szCs w:val="18"/>
              </w:rPr>
              <w:t>0</w:t>
            </w:r>
          </w:p>
        </w:tc>
        <w:tc>
          <w:tcPr>
            <w:tcW w:w="790" w:type="dxa"/>
            <w:noWrap/>
            <w:hideMark/>
          </w:tcPr>
          <w:p w14:paraId="459DE5A0" w14:textId="77777777" w:rsidR="0075229A" w:rsidRPr="000973F2" w:rsidRDefault="0075229A" w:rsidP="00C8766D">
            <w:pPr>
              <w:tabs>
                <w:tab w:val="decimal" w:pos="331"/>
              </w:tabs>
              <w:spacing w:before="40" w:after="4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0973F2">
              <w:rPr>
                <w:rFonts w:ascii="Times New Roman" w:hAnsi="Times New Roman" w:cs="Times New Roman"/>
                <w:sz w:val="18"/>
                <w:szCs w:val="18"/>
              </w:rPr>
              <w:t>4</w:t>
            </w:r>
          </w:p>
        </w:tc>
        <w:tc>
          <w:tcPr>
            <w:tcW w:w="790" w:type="dxa"/>
            <w:noWrap/>
            <w:hideMark/>
          </w:tcPr>
          <w:p w14:paraId="557F14FF" w14:textId="77777777" w:rsidR="0075229A" w:rsidRPr="000973F2" w:rsidRDefault="0075229A" w:rsidP="00C8766D">
            <w:pPr>
              <w:tabs>
                <w:tab w:val="decimal" w:pos="331"/>
              </w:tabs>
              <w:spacing w:before="40" w:after="4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0973F2">
              <w:rPr>
                <w:rFonts w:ascii="Times New Roman" w:hAnsi="Times New Roman" w:cs="Times New Roman"/>
                <w:sz w:val="18"/>
                <w:szCs w:val="18"/>
              </w:rPr>
              <w:t>0</w:t>
            </w:r>
          </w:p>
        </w:tc>
        <w:tc>
          <w:tcPr>
            <w:tcW w:w="790" w:type="dxa"/>
            <w:noWrap/>
            <w:hideMark/>
          </w:tcPr>
          <w:p w14:paraId="07556DBB" w14:textId="77777777" w:rsidR="0075229A" w:rsidRPr="000973F2" w:rsidRDefault="0075229A" w:rsidP="00C8766D">
            <w:pPr>
              <w:tabs>
                <w:tab w:val="decimal" w:pos="331"/>
              </w:tabs>
              <w:spacing w:before="40" w:after="4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0973F2">
              <w:rPr>
                <w:rFonts w:ascii="Times New Roman" w:hAnsi="Times New Roman" w:cs="Times New Roman"/>
                <w:sz w:val="18"/>
                <w:szCs w:val="18"/>
              </w:rPr>
              <w:t>1.0</w:t>
            </w:r>
          </w:p>
        </w:tc>
        <w:tc>
          <w:tcPr>
            <w:tcW w:w="728" w:type="dxa"/>
            <w:noWrap/>
            <w:hideMark/>
          </w:tcPr>
          <w:p w14:paraId="735F5268" w14:textId="77777777" w:rsidR="0075229A" w:rsidRPr="000973F2" w:rsidRDefault="0075229A" w:rsidP="00C8766D">
            <w:pPr>
              <w:tabs>
                <w:tab w:val="decimal" w:pos="331"/>
              </w:tabs>
              <w:spacing w:before="40" w:after="4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0973F2">
              <w:rPr>
                <w:rFonts w:ascii="Times New Roman" w:hAnsi="Times New Roman" w:cs="Times New Roman"/>
                <w:sz w:val="18"/>
                <w:szCs w:val="18"/>
              </w:rPr>
              <w:t>$0</w:t>
            </w:r>
          </w:p>
        </w:tc>
        <w:tc>
          <w:tcPr>
            <w:tcW w:w="857" w:type="dxa"/>
            <w:noWrap/>
            <w:hideMark/>
          </w:tcPr>
          <w:p w14:paraId="2AE957D1" w14:textId="77777777" w:rsidR="0075229A" w:rsidRPr="000973F2" w:rsidRDefault="0075229A" w:rsidP="00C8766D">
            <w:pPr>
              <w:tabs>
                <w:tab w:val="decimal" w:pos="571"/>
              </w:tabs>
              <w:spacing w:before="40" w:after="4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0973F2">
              <w:rPr>
                <w:rFonts w:ascii="Times New Roman" w:hAnsi="Times New Roman" w:cs="Times New Roman"/>
                <w:sz w:val="18"/>
                <w:szCs w:val="18"/>
              </w:rPr>
              <w:t>$410</w:t>
            </w:r>
          </w:p>
        </w:tc>
      </w:tr>
      <w:tr w:rsidR="0075229A" w:rsidRPr="000973F2" w14:paraId="17A3264D" w14:textId="77777777" w:rsidTr="00B6531F">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1425" w:type="dxa"/>
            <w:noWrap/>
            <w:hideMark/>
          </w:tcPr>
          <w:p w14:paraId="67FC9F64" w14:textId="77777777" w:rsidR="0075229A" w:rsidRPr="000973F2" w:rsidRDefault="0075229A" w:rsidP="00C8766D">
            <w:pPr>
              <w:spacing w:before="40" w:after="40"/>
              <w:rPr>
                <w:rFonts w:ascii="Times New Roman" w:hAnsi="Times New Roman" w:cs="Times New Roman"/>
                <w:b/>
                <w:bCs w:val="0"/>
                <w:sz w:val="18"/>
                <w:szCs w:val="18"/>
              </w:rPr>
            </w:pPr>
            <w:r w:rsidRPr="000973F2">
              <w:rPr>
                <w:rFonts w:ascii="Times New Roman" w:hAnsi="Times New Roman" w:cs="Times New Roman"/>
                <w:b/>
                <w:sz w:val="18"/>
                <w:szCs w:val="18"/>
              </w:rPr>
              <w:t>Total</w:t>
            </w:r>
          </w:p>
        </w:tc>
        <w:tc>
          <w:tcPr>
            <w:tcW w:w="790" w:type="dxa"/>
            <w:noWrap/>
            <w:hideMark/>
          </w:tcPr>
          <w:p w14:paraId="617BA933" w14:textId="77777777" w:rsidR="0075229A" w:rsidRPr="000973F2" w:rsidRDefault="0075229A" w:rsidP="00C8766D">
            <w:pPr>
              <w:tabs>
                <w:tab w:val="decimal" w:pos="331"/>
              </w:tabs>
              <w:spacing w:before="40" w:after="4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18"/>
                <w:szCs w:val="18"/>
              </w:rPr>
            </w:pPr>
            <w:r w:rsidRPr="000973F2">
              <w:rPr>
                <w:rFonts w:ascii="Times New Roman" w:hAnsi="Times New Roman" w:cs="Times New Roman"/>
                <w:b/>
                <w:bCs/>
                <w:sz w:val="18"/>
                <w:szCs w:val="18"/>
              </w:rPr>
              <w:t>0</w:t>
            </w:r>
          </w:p>
        </w:tc>
        <w:tc>
          <w:tcPr>
            <w:tcW w:w="790" w:type="dxa"/>
            <w:noWrap/>
            <w:hideMark/>
          </w:tcPr>
          <w:p w14:paraId="6016FC9E" w14:textId="77777777" w:rsidR="0075229A" w:rsidRPr="000973F2" w:rsidRDefault="0075229A" w:rsidP="00C8766D">
            <w:pPr>
              <w:tabs>
                <w:tab w:val="decimal" w:pos="331"/>
              </w:tabs>
              <w:spacing w:before="40" w:after="4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18"/>
                <w:szCs w:val="18"/>
              </w:rPr>
            </w:pPr>
            <w:r w:rsidRPr="000973F2">
              <w:rPr>
                <w:rFonts w:ascii="Times New Roman" w:hAnsi="Times New Roman" w:cs="Times New Roman"/>
                <w:b/>
                <w:bCs/>
                <w:sz w:val="18"/>
                <w:szCs w:val="18"/>
              </w:rPr>
              <w:t>0.3</w:t>
            </w:r>
          </w:p>
        </w:tc>
        <w:tc>
          <w:tcPr>
            <w:tcW w:w="790" w:type="dxa"/>
            <w:noWrap/>
            <w:hideMark/>
          </w:tcPr>
          <w:p w14:paraId="6CE6133C" w14:textId="77777777" w:rsidR="0075229A" w:rsidRPr="000973F2" w:rsidRDefault="0075229A" w:rsidP="00C8766D">
            <w:pPr>
              <w:tabs>
                <w:tab w:val="decimal" w:pos="331"/>
              </w:tabs>
              <w:spacing w:before="40" w:after="4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18"/>
                <w:szCs w:val="18"/>
              </w:rPr>
            </w:pPr>
            <w:r w:rsidRPr="000973F2">
              <w:rPr>
                <w:rFonts w:ascii="Times New Roman" w:hAnsi="Times New Roman" w:cs="Times New Roman"/>
                <w:b/>
                <w:bCs/>
                <w:sz w:val="18"/>
                <w:szCs w:val="18"/>
              </w:rPr>
              <w:t>0</w:t>
            </w:r>
          </w:p>
        </w:tc>
        <w:tc>
          <w:tcPr>
            <w:tcW w:w="790" w:type="dxa"/>
            <w:noWrap/>
            <w:hideMark/>
          </w:tcPr>
          <w:p w14:paraId="517CDCD5" w14:textId="77777777" w:rsidR="0075229A" w:rsidRPr="000973F2" w:rsidRDefault="0075229A" w:rsidP="00C8766D">
            <w:pPr>
              <w:tabs>
                <w:tab w:val="decimal" w:pos="331"/>
              </w:tabs>
              <w:spacing w:before="40" w:after="4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18"/>
                <w:szCs w:val="18"/>
              </w:rPr>
            </w:pPr>
            <w:r w:rsidRPr="000973F2">
              <w:rPr>
                <w:rFonts w:ascii="Times New Roman" w:hAnsi="Times New Roman" w:cs="Times New Roman"/>
                <w:b/>
                <w:bCs/>
                <w:sz w:val="18"/>
                <w:szCs w:val="18"/>
              </w:rPr>
              <w:t>2.5</w:t>
            </w:r>
          </w:p>
        </w:tc>
        <w:tc>
          <w:tcPr>
            <w:tcW w:w="790" w:type="dxa"/>
            <w:noWrap/>
            <w:hideMark/>
          </w:tcPr>
          <w:p w14:paraId="3E30B0EB" w14:textId="77777777" w:rsidR="0075229A" w:rsidRPr="000973F2" w:rsidRDefault="0075229A" w:rsidP="00C8766D">
            <w:pPr>
              <w:tabs>
                <w:tab w:val="decimal" w:pos="331"/>
              </w:tabs>
              <w:spacing w:before="40" w:after="4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18"/>
                <w:szCs w:val="18"/>
              </w:rPr>
            </w:pPr>
            <w:r w:rsidRPr="000973F2">
              <w:rPr>
                <w:rFonts w:ascii="Times New Roman" w:hAnsi="Times New Roman" w:cs="Times New Roman"/>
                <w:b/>
                <w:bCs/>
                <w:sz w:val="18"/>
                <w:szCs w:val="18"/>
              </w:rPr>
              <w:t>0</w:t>
            </w:r>
          </w:p>
        </w:tc>
        <w:tc>
          <w:tcPr>
            <w:tcW w:w="790" w:type="dxa"/>
            <w:noWrap/>
            <w:hideMark/>
          </w:tcPr>
          <w:p w14:paraId="6D000388" w14:textId="77777777" w:rsidR="0075229A" w:rsidRPr="000973F2" w:rsidRDefault="0075229A" w:rsidP="00C8766D">
            <w:pPr>
              <w:tabs>
                <w:tab w:val="decimal" w:pos="331"/>
              </w:tabs>
              <w:spacing w:before="40" w:after="4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18"/>
                <w:szCs w:val="18"/>
              </w:rPr>
            </w:pPr>
            <w:r w:rsidRPr="000973F2">
              <w:rPr>
                <w:rFonts w:ascii="Times New Roman" w:hAnsi="Times New Roman" w:cs="Times New Roman"/>
                <w:b/>
                <w:bCs/>
                <w:sz w:val="18"/>
                <w:szCs w:val="18"/>
              </w:rPr>
              <w:t>9</w:t>
            </w:r>
          </w:p>
        </w:tc>
        <w:tc>
          <w:tcPr>
            <w:tcW w:w="790" w:type="dxa"/>
            <w:noWrap/>
            <w:hideMark/>
          </w:tcPr>
          <w:p w14:paraId="34946248" w14:textId="77777777" w:rsidR="0075229A" w:rsidRPr="000973F2" w:rsidRDefault="0075229A" w:rsidP="00C8766D">
            <w:pPr>
              <w:tabs>
                <w:tab w:val="decimal" w:pos="331"/>
              </w:tabs>
              <w:spacing w:before="40" w:after="4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18"/>
                <w:szCs w:val="18"/>
              </w:rPr>
            </w:pPr>
            <w:r w:rsidRPr="000973F2">
              <w:rPr>
                <w:rFonts w:ascii="Times New Roman" w:hAnsi="Times New Roman" w:cs="Times New Roman"/>
                <w:b/>
                <w:bCs/>
                <w:sz w:val="18"/>
                <w:szCs w:val="18"/>
              </w:rPr>
              <w:t>0</w:t>
            </w:r>
          </w:p>
        </w:tc>
        <w:tc>
          <w:tcPr>
            <w:tcW w:w="790" w:type="dxa"/>
            <w:noWrap/>
            <w:hideMark/>
          </w:tcPr>
          <w:p w14:paraId="3B8B30F5" w14:textId="77777777" w:rsidR="0075229A" w:rsidRPr="000973F2" w:rsidRDefault="0075229A" w:rsidP="00C8766D">
            <w:pPr>
              <w:tabs>
                <w:tab w:val="decimal" w:pos="331"/>
              </w:tabs>
              <w:spacing w:before="40" w:after="4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18"/>
                <w:szCs w:val="18"/>
              </w:rPr>
            </w:pPr>
            <w:r w:rsidRPr="000973F2">
              <w:rPr>
                <w:rFonts w:ascii="Times New Roman" w:hAnsi="Times New Roman" w:cs="Times New Roman"/>
                <w:b/>
                <w:bCs/>
                <w:sz w:val="18"/>
                <w:szCs w:val="18"/>
              </w:rPr>
              <w:t>3.5</w:t>
            </w:r>
          </w:p>
        </w:tc>
        <w:tc>
          <w:tcPr>
            <w:tcW w:w="728" w:type="dxa"/>
            <w:noWrap/>
            <w:hideMark/>
          </w:tcPr>
          <w:p w14:paraId="65E207CF" w14:textId="77777777" w:rsidR="0075229A" w:rsidRPr="000973F2" w:rsidRDefault="0075229A" w:rsidP="00C8766D">
            <w:pPr>
              <w:tabs>
                <w:tab w:val="decimal" w:pos="331"/>
              </w:tabs>
              <w:spacing w:before="40" w:after="4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18"/>
                <w:szCs w:val="18"/>
              </w:rPr>
            </w:pPr>
            <w:r w:rsidRPr="000973F2">
              <w:rPr>
                <w:rFonts w:ascii="Times New Roman" w:hAnsi="Times New Roman" w:cs="Times New Roman"/>
                <w:b/>
                <w:bCs/>
                <w:sz w:val="18"/>
                <w:szCs w:val="18"/>
              </w:rPr>
              <w:t>$0</w:t>
            </w:r>
          </w:p>
        </w:tc>
        <w:tc>
          <w:tcPr>
            <w:tcW w:w="857" w:type="dxa"/>
            <w:noWrap/>
            <w:hideMark/>
          </w:tcPr>
          <w:p w14:paraId="2B52841D" w14:textId="77777777" w:rsidR="0075229A" w:rsidRPr="000973F2" w:rsidRDefault="0075229A" w:rsidP="00C8766D">
            <w:pPr>
              <w:tabs>
                <w:tab w:val="decimal" w:pos="571"/>
              </w:tabs>
              <w:spacing w:before="40" w:after="4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18"/>
                <w:szCs w:val="18"/>
              </w:rPr>
            </w:pPr>
            <w:r w:rsidRPr="000973F2">
              <w:rPr>
                <w:rFonts w:ascii="Times New Roman" w:hAnsi="Times New Roman" w:cs="Times New Roman"/>
                <w:b/>
                <w:bCs/>
                <w:sz w:val="18"/>
                <w:szCs w:val="18"/>
              </w:rPr>
              <w:t>$1,017</w:t>
            </w:r>
          </w:p>
        </w:tc>
      </w:tr>
    </w:tbl>
    <w:p w14:paraId="690122AD" w14:textId="77777777" w:rsidR="0075229A" w:rsidRPr="000973F2" w:rsidRDefault="0075229A" w:rsidP="00C00E4F">
      <w:pPr>
        <w:spacing w:line="240" w:lineRule="auto"/>
        <w:rPr>
          <w:rFonts w:ascii="Times New Roman" w:hAnsi="Times New Roman" w:cs="Times New Roman"/>
          <w:b/>
          <w:szCs w:val="24"/>
        </w:rPr>
      </w:pPr>
    </w:p>
    <w:p w14:paraId="602BAB45" w14:textId="77777777" w:rsidR="0075229A" w:rsidRPr="000973F2" w:rsidRDefault="0075229A" w:rsidP="00C00E4F">
      <w:pPr>
        <w:spacing w:line="240" w:lineRule="auto"/>
        <w:rPr>
          <w:rFonts w:ascii="Times New Roman" w:hAnsi="Times New Roman" w:cs="Times New Roman"/>
          <w:i/>
          <w:sz w:val="24"/>
          <w:szCs w:val="24"/>
        </w:rPr>
      </w:pPr>
      <w:r w:rsidRPr="000973F2">
        <w:rPr>
          <w:rFonts w:ascii="Times New Roman" w:hAnsi="Times New Roman" w:cs="Times New Roman"/>
          <w:i/>
          <w:sz w:val="24"/>
          <w:szCs w:val="24"/>
        </w:rPr>
        <w:br w:type="page"/>
      </w:r>
    </w:p>
    <w:p w14:paraId="06566BC8" w14:textId="77777777" w:rsidR="0075229A" w:rsidRPr="000973F2" w:rsidRDefault="0075229A" w:rsidP="00486D91">
      <w:pPr>
        <w:pStyle w:val="Heading2"/>
      </w:pPr>
      <w:r w:rsidRPr="000973F2">
        <w:t>Capital and O&amp;M Costs for Subpart EE</w:t>
      </w:r>
    </w:p>
    <w:p w14:paraId="3C7198D8" w14:textId="3FD56C87" w:rsidR="0075229A" w:rsidRPr="000973F2" w:rsidRDefault="0075229A" w:rsidP="00486D91">
      <w:pPr>
        <w:pStyle w:val="BodyText"/>
      </w:pPr>
      <w:r w:rsidRPr="000973F2">
        <w:t>All facilities determine their GHG emissions based on the consumption of calcined petroleum coke and the carbon content of the petroleum coke (</w:t>
      </w:r>
      <w:r w:rsidR="0012538C" w:rsidRPr="000973F2">
        <w:t>§</w:t>
      </w:r>
      <w:r w:rsidRPr="000973F2">
        <w:t>98.313). They must also report the quantity of carbon-containing waste produced monthly and its carbon content (</w:t>
      </w:r>
      <w:r w:rsidR="0012538C" w:rsidRPr="000973F2">
        <w:t>§</w:t>
      </w:r>
      <w:r w:rsidRPr="000973F2">
        <w:t>98.314). Petroleum coke consumption and production of carbon-containing waste is monitored by the facility as part of their routine accounting records or purchase records, therefore no costs for these steps are attributed to Subpart EE. The carbon content of the calcined petroleum coke and carbon-containing waste is typically provided by the supplier. But on an annual basis, the facility must conduct an annual QA of the supplier data of carbon content of petroleum coke and carbon-containing waste using ASTM methods (§98.314). The cost of the two annual tests is $358.</w:t>
      </w:r>
      <w:r w:rsidR="00486D91" w:rsidRPr="000973F2">
        <w:rPr>
          <w:rStyle w:val="FootnoteReference"/>
        </w:rPr>
        <w:footnoteReference w:id="12"/>
      </w:r>
      <w:r w:rsidRPr="000973F2">
        <w:t xml:space="preserve"> Titanium dioxide production and production capacity data must be reported and are collected as part of routine operations (</w:t>
      </w:r>
      <w:r w:rsidR="0012538C" w:rsidRPr="000973F2">
        <w:t>§</w:t>
      </w:r>
      <w:r w:rsidRPr="000973F2">
        <w:t>98.316); therefore, the costs of collecting these data are not attributed to Subpart EE.</w:t>
      </w:r>
    </w:p>
    <w:p w14:paraId="6D01715B" w14:textId="337D0400" w:rsidR="0075229A" w:rsidRPr="000973F2" w:rsidRDefault="0075229A" w:rsidP="00486D91">
      <w:pPr>
        <w:pStyle w:val="BodyText"/>
        <w:rPr>
          <w:sz w:val="24"/>
        </w:rPr>
      </w:pPr>
      <w:r w:rsidRPr="000973F2">
        <w:t xml:space="preserve">Table </w:t>
      </w:r>
      <w:r w:rsidR="00486D91" w:rsidRPr="000973F2">
        <w:t>EE-</w:t>
      </w:r>
      <w:r w:rsidRPr="000973F2">
        <w:t>2 summarizes capital and O&amp;M costs for Subpart EE. The O&amp;M costs associated with recordkeeping are discussed in the Cost Appendix Introduction.</w:t>
      </w:r>
      <w:r w:rsidR="005B76DE" w:rsidRPr="000973F2">
        <w:t xml:space="preserve"> No capital costs are expected.</w:t>
      </w:r>
    </w:p>
    <w:p w14:paraId="59AAD85F" w14:textId="0E2834E4" w:rsidR="0075229A" w:rsidRPr="000973F2" w:rsidRDefault="00DF1B10" w:rsidP="00486D91">
      <w:pPr>
        <w:pStyle w:val="Tabletitle"/>
        <w:rPr>
          <w:sz w:val="24"/>
          <w:szCs w:val="24"/>
        </w:rPr>
      </w:pPr>
      <w:r w:rsidRPr="000973F2">
        <w:t xml:space="preserve">Table </w:t>
      </w:r>
      <w:r w:rsidR="00486D91" w:rsidRPr="000973F2">
        <w:t>EE-</w:t>
      </w:r>
      <w:r w:rsidRPr="000973F2">
        <w:t xml:space="preserve">2. Capital and O&amp;M Costs </w:t>
      </w:r>
      <w:r w:rsidR="00B960CC" w:rsidRPr="000973F2">
        <w:t>–</w:t>
      </w:r>
      <w:r w:rsidRPr="000973F2">
        <w:t xml:space="preserve"> </w:t>
      </w:r>
      <w:r w:rsidR="0075229A" w:rsidRPr="000973F2">
        <w:t>Subpart EE</w:t>
      </w:r>
    </w:p>
    <w:tbl>
      <w:tblPr>
        <w:tblStyle w:val="PlainTable1"/>
        <w:tblW w:w="5000" w:type="pct"/>
        <w:jc w:val="left"/>
        <w:tblLayout w:type="fixed"/>
        <w:tblCellMar>
          <w:left w:w="115" w:type="dxa"/>
          <w:right w:w="115" w:type="dxa"/>
        </w:tblCellMar>
        <w:tblLook w:val="04A0" w:firstRow="1" w:lastRow="0" w:firstColumn="1" w:lastColumn="0" w:noHBand="0" w:noVBand="1"/>
      </w:tblPr>
      <w:tblGrid>
        <w:gridCol w:w="1784"/>
        <w:gridCol w:w="1300"/>
        <w:gridCol w:w="1301"/>
        <w:gridCol w:w="1301"/>
        <w:gridCol w:w="1329"/>
        <w:gridCol w:w="1274"/>
        <w:gridCol w:w="1301"/>
      </w:tblGrid>
      <w:tr w:rsidR="0075229A" w:rsidRPr="000973F2" w14:paraId="07B10254" w14:textId="77777777" w:rsidTr="00C95341">
        <w:trPr>
          <w:cnfStyle w:val="100000000000" w:firstRow="1" w:lastRow="0" w:firstColumn="0" w:lastColumn="0" w:oddVBand="0" w:evenVBand="0" w:oddHBand="0" w:evenHBand="0" w:firstRowFirstColumn="0" w:firstRowLastColumn="0" w:lastRowFirstColumn="0" w:lastRowLastColumn="0"/>
          <w:cantSplit/>
          <w:jc w:val="left"/>
        </w:trPr>
        <w:tc>
          <w:tcPr>
            <w:cnfStyle w:val="001000000000" w:firstRow="0" w:lastRow="0" w:firstColumn="1" w:lastColumn="0" w:oddVBand="0" w:evenVBand="0" w:oddHBand="0" w:evenHBand="0" w:firstRowFirstColumn="0" w:firstRowLastColumn="0" w:lastRowFirstColumn="0" w:lastRowLastColumn="0"/>
            <w:tcW w:w="1735" w:type="dxa"/>
            <w:vMerge w:val="restart"/>
            <w:noWrap/>
            <w:vAlign w:val="top"/>
            <w:hideMark/>
          </w:tcPr>
          <w:p w14:paraId="0A3B880F" w14:textId="77777777" w:rsidR="0075229A" w:rsidRPr="000973F2" w:rsidRDefault="0075229A" w:rsidP="00C95341">
            <w:pPr>
              <w:spacing w:before="40" w:after="40"/>
              <w:rPr>
                <w:rFonts w:ascii="Times New Roman" w:hAnsi="Times New Roman" w:cs="Times New Roman"/>
                <w:b w:val="0"/>
                <w:bCs w:val="0"/>
                <w:sz w:val="18"/>
                <w:szCs w:val="18"/>
              </w:rPr>
            </w:pPr>
            <w:r w:rsidRPr="000973F2">
              <w:rPr>
                <w:rFonts w:ascii="Times New Roman" w:hAnsi="Times New Roman" w:cs="Times New Roman"/>
                <w:sz w:val="18"/>
                <w:szCs w:val="18"/>
              </w:rPr>
              <w:t>Activity</w:t>
            </w:r>
          </w:p>
        </w:tc>
        <w:tc>
          <w:tcPr>
            <w:tcW w:w="5090" w:type="dxa"/>
            <w:gridSpan w:val="4"/>
            <w:noWrap/>
            <w:vAlign w:val="top"/>
            <w:hideMark/>
          </w:tcPr>
          <w:p w14:paraId="28DF6F3B" w14:textId="77777777" w:rsidR="0075229A" w:rsidRPr="000973F2" w:rsidRDefault="0075229A" w:rsidP="00C95341">
            <w:pPr>
              <w:spacing w:before="40" w:after="40"/>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sz w:val="18"/>
                <w:szCs w:val="18"/>
              </w:rPr>
            </w:pPr>
            <w:r w:rsidRPr="000973F2">
              <w:rPr>
                <w:rFonts w:ascii="Times New Roman" w:hAnsi="Times New Roman" w:cs="Times New Roman"/>
                <w:sz w:val="18"/>
                <w:szCs w:val="18"/>
              </w:rPr>
              <w:t>Cost Categories</w:t>
            </w:r>
          </w:p>
        </w:tc>
        <w:tc>
          <w:tcPr>
            <w:tcW w:w="2505" w:type="dxa"/>
            <w:gridSpan w:val="2"/>
            <w:vAlign w:val="top"/>
            <w:hideMark/>
          </w:tcPr>
          <w:p w14:paraId="1EBB04B9" w14:textId="77777777" w:rsidR="0075229A" w:rsidRPr="000973F2" w:rsidRDefault="0075229A" w:rsidP="00C95341">
            <w:pPr>
              <w:spacing w:before="40" w:after="40"/>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sz w:val="18"/>
                <w:szCs w:val="18"/>
              </w:rPr>
            </w:pPr>
            <w:r w:rsidRPr="000973F2">
              <w:rPr>
                <w:rFonts w:ascii="Times New Roman" w:hAnsi="Times New Roman" w:cs="Times New Roman"/>
                <w:sz w:val="18"/>
                <w:szCs w:val="18"/>
              </w:rPr>
              <w:t>Total Capital and O&amp;M Cost per Year per Facility (2017$)</w:t>
            </w:r>
          </w:p>
        </w:tc>
      </w:tr>
      <w:tr w:rsidR="0075229A" w:rsidRPr="000973F2" w14:paraId="1142B415" w14:textId="77777777" w:rsidTr="00C95341">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1735" w:type="dxa"/>
            <w:vMerge/>
            <w:noWrap/>
            <w:hideMark/>
          </w:tcPr>
          <w:p w14:paraId="2CB3112E" w14:textId="77777777" w:rsidR="0075229A" w:rsidRPr="000973F2" w:rsidRDefault="0075229A" w:rsidP="00C95341">
            <w:pPr>
              <w:spacing w:before="40" w:after="40"/>
              <w:jc w:val="center"/>
              <w:rPr>
                <w:rFonts w:ascii="Times New Roman" w:hAnsi="Times New Roman" w:cs="Times New Roman"/>
                <w:b/>
                <w:bCs w:val="0"/>
                <w:sz w:val="18"/>
                <w:szCs w:val="18"/>
              </w:rPr>
            </w:pPr>
          </w:p>
        </w:tc>
        <w:tc>
          <w:tcPr>
            <w:tcW w:w="1265" w:type="dxa"/>
            <w:hideMark/>
          </w:tcPr>
          <w:p w14:paraId="6CA6E22E" w14:textId="77777777" w:rsidR="0075229A" w:rsidRPr="000973F2" w:rsidRDefault="0075229A" w:rsidP="00C95341">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18"/>
                <w:szCs w:val="18"/>
              </w:rPr>
            </w:pPr>
            <w:r w:rsidRPr="000973F2">
              <w:rPr>
                <w:rFonts w:ascii="Times New Roman" w:hAnsi="Times New Roman" w:cs="Times New Roman"/>
                <w:b/>
                <w:bCs/>
                <w:sz w:val="18"/>
                <w:szCs w:val="18"/>
              </w:rPr>
              <w:t>Capital Cost (2017$)</w:t>
            </w:r>
          </w:p>
        </w:tc>
        <w:tc>
          <w:tcPr>
            <w:tcW w:w="1266" w:type="dxa"/>
            <w:hideMark/>
          </w:tcPr>
          <w:p w14:paraId="5940020F" w14:textId="77777777" w:rsidR="0075229A" w:rsidRPr="000973F2" w:rsidRDefault="0075229A" w:rsidP="00C95341">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18"/>
                <w:szCs w:val="18"/>
              </w:rPr>
            </w:pPr>
            <w:r w:rsidRPr="000973F2">
              <w:rPr>
                <w:rFonts w:ascii="Times New Roman" w:hAnsi="Times New Roman" w:cs="Times New Roman"/>
                <w:b/>
                <w:bCs/>
                <w:sz w:val="18"/>
                <w:szCs w:val="18"/>
              </w:rPr>
              <w:t>Equipment Lifetime</w:t>
            </w:r>
          </w:p>
        </w:tc>
        <w:tc>
          <w:tcPr>
            <w:tcW w:w="1266" w:type="dxa"/>
            <w:hideMark/>
          </w:tcPr>
          <w:p w14:paraId="079BE354" w14:textId="77777777" w:rsidR="0075229A" w:rsidRPr="000973F2" w:rsidRDefault="0075229A" w:rsidP="00C95341">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18"/>
                <w:szCs w:val="18"/>
              </w:rPr>
            </w:pPr>
            <w:r w:rsidRPr="000973F2">
              <w:rPr>
                <w:rFonts w:ascii="Times New Roman" w:hAnsi="Times New Roman" w:cs="Times New Roman"/>
                <w:b/>
                <w:bCs/>
                <w:sz w:val="18"/>
                <w:szCs w:val="18"/>
              </w:rPr>
              <w:t>Annualized Capital Cost (2017$/year)</w:t>
            </w:r>
          </w:p>
        </w:tc>
        <w:tc>
          <w:tcPr>
            <w:tcW w:w="1293" w:type="dxa"/>
            <w:hideMark/>
          </w:tcPr>
          <w:p w14:paraId="026CB3E2" w14:textId="77777777" w:rsidR="0075229A" w:rsidRPr="000973F2" w:rsidRDefault="0075229A" w:rsidP="00C95341">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18"/>
                <w:szCs w:val="18"/>
              </w:rPr>
            </w:pPr>
            <w:r w:rsidRPr="000973F2">
              <w:rPr>
                <w:rFonts w:ascii="Times New Roman" w:hAnsi="Times New Roman" w:cs="Times New Roman"/>
                <w:b/>
                <w:bCs/>
                <w:sz w:val="18"/>
                <w:szCs w:val="18"/>
              </w:rPr>
              <w:t>O&amp;M Costs (2017$/year)</w:t>
            </w:r>
          </w:p>
        </w:tc>
        <w:tc>
          <w:tcPr>
            <w:tcW w:w="1239" w:type="dxa"/>
            <w:hideMark/>
          </w:tcPr>
          <w:p w14:paraId="1F3D9894" w14:textId="77777777" w:rsidR="0075229A" w:rsidRPr="000973F2" w:rsidRDefault="0075229A" w:rsidP="00C95341">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18"/>
                <w:szCs w:val="18"/>
              </w:rPr>
            </w:pPr>
            <w:r w:rsidRPr="000973F2">
              <w:rPr>
                <w:rFonts w:ascii="Times New Roman" w:hAnsi="Times New Roman" w:cs="Times New Roman"/>
                <w:b/>
                <w:bCs/>
                <w:sz w:val="18"/>
                <w:szCs w:val="18"/>
              </w:rPr>
              <w:t>Initial Year</w:t>
            </w:r>
          </w:p>
        </w:tc>
        <w:tc>
          <w:tcPr>
            <w:tcW w:w="1266" w:type="dxa"/>
            <w:hideMark/>
          </w:tcPr>
          <w:p w14:paraId="19133771" w14:textId="77777777" w:rsidR="0075229A" w:rsidRPr="000973F2" w:rsidRDefault="0075229A" w:rsidP="00C95341">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18"/>
                <w:szCs w:val="18"/>
              </w:rPr>
            </w:pPr>
            <w:r w:rsidRPr="000973F2">
              <w:rPr>
                <w:rFonts w:ascii="Times New Roman" w:hAnsi="Times New Roman" w:cs="Times New Roman"/>
                <w:b/>
                <w:bCs/>
                <w:sz w:val="18"/>
                <w:szCs w:val="18"/>
              </w:rPr>
              <w:t>Subseq. Years</w:t>
            </w:r>
          </w:p>
        </w:tc>
      </w:tr>
      <w:tr w:rsidR="00C95341" w:rsidRPr="000973F2" w14:paraId="2E49595D" w14:textId="77777777" w:rsidTr="00C95341">
        <w:trPr>
          <w:cantSplit/>
        </w:trPr>
        <w:tc>
          <w:tcPr>
            <w:cnfStyle w:val="001000000000" w:firstRow="0" w:lastRow="0" w:firstColumn="1" w:lastColumn="0" w:oddVBand="0" w:evenVBand="0" w:oddHBand="0" w:evenHBand="0" w:firstRowFirstColumn="0" w:firstRowLastColumn="0" w:lastRowFirstColumn="0" w:lastRowLastColumn="0"/>
            <w:tcW w:w="1735" w:type="dxa"/>
            <w:hideMark/>
          </w:tcPr>
          <w:p w14:paraId="47034ECA" w14:textId="77777777" w:rsidR="00C95341" w:rsidRPr="000973F2" w:rsidRDefault="00C95341" w:rsidP="00C95341">
            <w:pPr>
              <w:spacing w:before="40" w:after="40"/>
              <w:rPr>
                <w:rFonts w:ascii="Times New Roman" w:hAnsi="Times New Roman" w:cs="Times New Roman"/>
                <w:sz w:val="18"/>
                <w:szCs w:val="18"/>
              </w:rPr>
            </w:pPr>
            <w:r w:rsidRPr="000973F2">
              <w:rPr>
                <w:rFonts w:ascii="Times New Roman" w:hAnsi="Times New Roman" w:cs="Times New Roman"/>
                <w:sz w:val="18"/>
                <w:szCs w:val="18"/>
              </w:rPr>
              <w:t>Equipment (selection, purchase, installation)</w:t>
            </w:r>
          </w:p>
        </w:tc>
        <w:tc>
          <w:tcPr>
            <w:tcW w:w="1265" w:type="dxa"/>
            <w:noWrap/>
            <w:hideMark/>
          </w:tcPr>
          <w:p w14:paraId="64F267F5" w14:textId="0541B703" w:rsidR="00C95341" w:rsidRPr="000973F2" w:rsidRDefault="00C95341" w:rsidP="00C95341">
            <w:pPr>
              <w:tabs>
                <w:tab w:val="decimal" w:pos="661"/>
              </w:tabs>
              <w:spacing w:before="40" w:after="4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0973F2">
              <w:rPr>
                <w:rFonts w:ascii="Times New Roman" w:eastAsia="Times New Roman" w:hAnsi="Times New Roman" w:cs="Times New Roman"/>
                <w:sz w:val="18"/>
                <w:szCs w:val="18"/>
              </w:rPr>
              <w:t>–</w:t>
            </w:r>
          </w:p>
        </w:tc>
        <w:tc>
          <w:tcPr>
            <w:tcW w:w="1266" w:type="dxa"/>
            <w:noWrap/>
          </w:tcPr>
          <w:p w14:paraId="428B1445" w14:textId="69A9B0CF" w:rsidR="00C95341" w:rsidRPr="000973F2" w:rsidRDefault="00C95341" w:rsidP="00C95341">
            <w:pPr>
              <w:tabs>
                <w:tab w:val="decimal" w:pos="661"/>
              </w:tabs>
              <w:spacing w:before="40" w:after="4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p>
        </w:tc>
        <w:tc>
          <w:tcPr>
            <w:tcW w:w="1266" w:type="dxa"/>
            <w:noWrap/>
            <w:hideMark/>
          </w:tcPr>
          <w:p w14:paraId="6C9574FA" w14:textId="57E61E57" w:rsidR="00C95341" w:rsidRPr="000973F2" w:rsidRDefault="00C95341" w:rsidP="00C95341">
            <w:pPr>
              <w:tabs>
                <w:tab w:val="decimal" w:pos="661"/>
              </w:tabs>
              <w:spacing w:before="40" w:after="4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0973F2">
              <w:rPr>
                <w:rFonts w:ascii="Times New Roman" w:eastAsia="Times New Roman" w:hAnsi="Times New Roman" w:cs="Times New Roman"/>
                <w:sz w:val="18"/>
                <w:szCs w:val="18"/>
              </w:rPr>
              <w:t>–</w:t>
            </w:r>
          </w:p>
        </w:tc>
        <w:tc>
          <w:tcPr>
            <w:tcW w:w="1293" w:type="dxa"/>
            <w:noWrap/>
            <w:hideMark/>
          </w:tcPr>
          <w:p w14:paraId="3CB599D3" w14:textId="57230FA6" w:rsidR="00C95341" w:rsidRPr="000973F2" w:rsidRDefault="00C95341" w:rsidP="00C95341">
            <w:pPr>
              <w:tabs>
                <w:tab w:val="decimal" w:pos="661"/>
              </w:tabs>
              <w:spacing w:before="40" w:after="4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0973F2">
              <w:rPr>
                <w:rFonts w:ascii="Times New Roman" w:eastAsia="Times New Roman" w:hAnsi="Times New Roman" w:cs="Times New Roman"/>
                <w:sz w:val="18"/>
                <w:szCs w:val="18"/>
              </w:rPr>
              <w:t>–</w:t>
            </w:r>
          </w:p>
        </w:tc>
        <w:tc>
          <w:tcPr>
            <w:tcW w:w="1239" w:type="dxa"/>
            <w:noWrap/>
            <w:hideMark/>
          </w:tcPr>
          <w:p w14:paraId="1DDB0900" w14:textId="310D3677" w:rsidR="00C95341" w:rsidRPr="000973F2" w:rsidRDefault="00C95341" w:rsidP="00C95341">
            <w:pPr>
              <w:tabs>
                <w:tab w:val="decimal" w:pos="661"/>
              </w:tabs>
              <w:spacing w:before="40" w:after="4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0973F2">
              <w:rPr>
                <w:rFonts w:ascii="Times New Roman" w:eastAsia="Times New Roman" w:hAnsi="Times New Roman" w:cs="Times New Roman"/>
                <w:sz w:val="18"/>
                <w:szCs w:val="18"/>
              </w:rPr>
              <w:t>–</w:t>
            </w:r>
          </w:p>
        </w:tc>
        <w:tc>
          <w:tcPr>
            <w:tcW w:w="1266" w:type="dxa"/>
            <w:noWrap/>
            <w:hideMark/>
          </w:tcPr>
          <w:p w14:paraId="76F4F434" w14:textId="45122FCA" w:rsidR="00C95341" w:rsidRPr="000973F2" w:rsidRDefault="00C95341" w:rsidP="00C95341">
            <w:pPr>
              <w:tabs>
                <w:tab w:val="decimal" w:pos="661"/>
              </w:tabs>
              <w:spacing w:before="40" w:after="4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0973F2">
              <w:rPr>
                <w:rFonts w:ascii="Times New Roman" w:eastAsia="Times New Roman" w:hAnsi="Times New Roman" w:cs="Times New Roman"/>
                <w:sz w:val="18"/>
                <w:szCs w:val="18"/>
              </w:rPr>
              <w:t>–</w:t>
            </w:r>
          </w:p>
        </w:tc>
      </w:tr>
      <w:tr w:rsidR="00C95341" w:rsidRPr="000973F2" w14:paraId="3FB9DE7A" w14:textId="77777777" w:rsidTr="00C95341">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1735" w:type="dxa"/>
            <w:hideMark/>
          </w:tcPr>
          <w:p w14:paraId="4EF622F8" w14:textId="77777777" w:rsidR="00C95341" w:rsidRPr="000973F2" w:rsidRDefault="00C95341" w:rsidP="00C95341">
            <w:pPr>
              <w:spacing w:before="40" w:after="40"/>
              <w:rPr>
                <w:rFonts w:ascii="Times New Roman" w:hAnsi="Times New Roman" w:cs="Times New Roman"/>
                <w:sz w:val="18"/>
                <w:szCs w:val="18"/>
              </w:rPr>
            </w:pPr>
            <w:r w:rsidRPr="000973F2">
              <w:rPr>
                <w:rFonts w:ascii="Times New Roman" w:hAnsi="Times New Roman" w:cs="Times New Roman"/>
                <w:sz w:val="18"/>
                <w:szCs w:val="18"/>
              </w:rPr>
              <w:t>Performance testing</w:t>
            </w:r>
          </w:p>
        </w:tc>
        <w:tc>
          <w:tcPr>
            <w:tcW w:w="1265" w:type="dxa"/>
            <w:noWrap/>
            <w:hideMark/>
          </w:tcPr>
          <w:p w14:paraId="53A86A4C" w14:textId="109A2557" w:rsidR="00C95341" w:rsidRPr="000973F2" w:rsidRDefault="00C95341" w:rsidP="00C95341">
            <w:pPr>
              <w:tabs>
                <w:tab w:val="decimal" w:pos="661"/>
              </w:tabs>
              <w:spacing w:before="40" w:after="4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rPr>
            </w:pPr>
            <w:r w:rsidRPr="000973F2">
              <w:rPr>
                <w:rFonts w:ascii="Times New Roman" w:eastAsia="Times New Roman" w:hAnsi="Times New Roman" w:cs="Times New Roman"/>
                <w:sz w:val="18"/>
                <w:szCs w:val="18"/>
              </w:rPr>
              <w:t>–</w:t>
            </w:r>
          </w:p>
        </w:tc>
        <w:tc>
          <w:tcPr>
            <w:tcW w:w="1266" w:type="dxa"/>
            <w:noWrap/>
          </w:tcPr>
          <w:p w14:paraId="7F02B627" w14:textId="2DF0D841" w:rsidR="00C95341" w:rsidRPr="000973F2" w:rsidRDefault="00C95341" w:rsidP="00C95341">
            <w:pPr>
              <w:tabs>
                <w:tab w:val="decimal" w:pos="661"/>
              </w:tabs>
              <w:spacing w:before="40" w:after="4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rPr>
            </w:pPr>
          </w:p>
        </w:tc>
        <w:tc>
          <w:tcPr>
            <w:tcW w:w="1266" w:type="dxa"/>
            <w:noWrap/>
            <w:hideMark/>
          </w:tcPr>
          <w:p w14:paraId="2613007D" w14:textId="190D34EC" w:rsidR="00C95341" w:rsidRPr="000973F2" w:rsidRDefault="00C95341" w:rsidP="00C95341">
            <w:pPr>
              <w:tabs>
                <w:tab w:val="decimal" w:pos="661"/>
              </w:tabs>
              <w:spacing w:before="40" w:after="4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rPr>
            </w:pPr>
            <w:r w:rsidRPr="000973F2">
              <w:rPr>
                <w:rFonts w:ascii="Times New Roman" w:eastAsia="Times New Roman" w:hAnsi="Times New Roman" w:cs="Times New Roman"/>
                <w:sz w:val="18"/>
                <w:szCs w:val="18"/>
              </w:rPr>
              <w:t>–</w:t>
            </w:r>
          </w:p>
        </w:tc>
        <w:tc>
          <w:tcPr>
            <w:tcW w:w="1293" w:type="dxa"/>
            <w:noWrap/>
            <w:hideMark/>
          </w:tcPr>
          <w:p w14:paraId="42067AE0" w14:textId="0E2DBF6E" w:rsidR="00C95341" w:rsidRPr="000973F2" w:rsidRDefault="00C95341" w:rsidP="00C95341">
            <w:pPr>
              <w:tabs>
                <w:tab w:val="decimal" w:pos="661"/>
              </w:tabs>
              <w:spacing w:before="40" w:after="4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rPr>
            </w:pPr>
            <w:r w:rsidRPr="000973F2">
              <w:rPr>
                <w:rFonts w:ascii="Times New Roman" w:eastAsia="Times New Roman" w:hAnsi="Times New Roman" w:cs="Times New Roman"/>
                <w:sz w:val="18"/>
                <w:szCs w:val="18"/>
              </w:rPr>
              <w:t>–</w:t>
            </w:r>
          </w:p>
        </w:tc>
        <w:tc>
          <w:tcPr>
            <w:tcW w:w="1239" w:type="dxa"/>
            <w:noWrap/>
            <w:hideMark/>
          </w:tcPr>
          <w:p w14:paraId="0DA4B773" w14:textId="1194BB67" w:rsidR="00C95341" w:rsidRPr="000973F2" w:rsidRDefault="00C95341" w:rsidP="00C95341">
            <w:pPr>
              <w:tabs>
                <w:tab w:val="decimal" w:pos="661"/>
              </w:tabs>
              <w:spacing w:before="40" w:after="4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rPr>
            </w:pPr>
            <w:r w:rsidRPr="000973F2">
              <w:rPr>
                <w:rFonts w:ascii="Times New Roman" w:eastAsia="Times New Roman" w:hAnsi="Times New Roman" w:cs="Times New Roman"/>
                <w:sz w:val="18"/>
                <w:szCs w:val="18"/>
              </w:rPr>
              <w:t>–</w:t>
            </w:r>
          </w:p>
        </w:tc>
        <w:tc>
          <w:tcPr>
            <w:tcW w:w="1266" w:type="dxa"/>
            <w:noWrap/>
            <w:hideMark/>
          </w:tcPr>
          <w:p w14:paraId="031E629D" w14:textId="1B532F5D" w:rsidR="00C95341" w:rsidRPr="000973F2" w:rsidRDefault="00C95341" w:rsidP="00C95341">
            <w:pPr>
              <w:tabs>
                <w:tab w:val="decimal" w:pos="661"/>
              </w:tabs>
              <w:spacing w:before="40" w:after="4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rPr>
            </w:pPr>
            <w:r w:rsidRPr="000973F2">
              <w:rPr>
                <w:rFonts w:ascii="Times New Roman" w:eastAsia="Times New Roman" w:hAnsi="Times New Roman" w:cs="Times New Roman"/>
                <w:sz w:val="18"/>
                <w:szCs w:val="18"/>
              </w:rPr>
              <w:t>–</w:t>
            </w:r>
          </w:p>
        </w:tc>
      </w:tr>
      <w:tr w:rsidR="0075229A" w:rsidRPr="000973F2" w14:paraId="4DE8C557" w14:textId="77777777" w:rsidTr="00C95341">
        <w:trPr>
          <w:cantSplit/>
        </w:trPr>
        <w:tc>
          <w:tcPr>
            <w:cnfStyle w:val="001000000000" w:firstRow="0" w:lastRow="0" w:firstColumn="1" w:lastColumn="0" w:oddVBand="0" w:evenVBand="0" w:oddHBand="0" w:evenHBand="0" w:firstRowFirstColumn="0" w:firstRowLastColumn="0" w:lastRowFirstColumn="0" w:lastRowLastColumn="0"/>
            <w:tcW w:w="1735" w:type="dxa"/>
            <w:hideMark/>
          </w:tcPr>
          <w:p w14:paraId="5898C610" w14:textId="77777777" w:rsidR="0075229A" w:rsidRPr="000973F2" w:rsidRDefault="0075229A" w:rsidP="00C95341">
            <w:pPr>
              <w:spacing w:before="40" w:after="40"/>
              <w:rPr>
                <w:rFonts w:ascii="Times New Roman" w:hAnsi="Times New Roman" w:cs="Times New Roman"/>
                <w:sz w:val="18"/>
                <w:szCs w:val="18"/>
              </w:rPr>
            </w:pPr>
            <w:r w:rsidRPr="000973F2">
              <w:rPr>
                <w:rFonts w:ascii="Times New Roman" w:hAnsi="Times New Roman" w:cs="Times New Roman"/>
                <w:sz w:val="18"/>
                <w:szCs w:val="18"/>
              </w:rPr>
              <w:t>Recordkeeping</w:t>
            </w:r>
          </w:p>
        </w:tc>
        <w:tc>
          <w:tcPr>
            <w:tcW w:w="1265" w:type="dxa"/>
            <w:noWrap/>
            <w:hideMark/>
          </w:tcPr>
          <w:p w14:paraId="77F33930" w14:textId="77777777" w:rsidR="0075229A" w:rsidRPr="000973F2" w:rsidRDefault="0075229A" w:rsidP="00C95341">
            <w:pPr>
              <w:tabs>
                <w:tab w:val="decimal" w:pos="661"/>
              </w:tabs>
              <w:spacing w:before="40" w:after="4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0973F2">
              <w:rPr>
                <w:rFonts w:ascii="Times New Roman" w:hAnsi="Times New Roman" w:cs="Times New Roman"/>
                <w:sz w:val="18"/>
                <w:szCs w:val="18"/>
              </w:rPr>
              <w:t>$0</w:t>
            </w:r>
          </w:p>
        </w:tc>
        <w:tc>
          <w:tcPr>
            <w:tcW w:w="1266" w:type="dxa"/>
            <w:noWrap/>
          </w:tcPr>
          <w:p w14:paraId="48E5DD6C" w14:textId="77777777" w:rsidR="0075229A" w:rsidRPr="000973F2" w:rsidRDefault="0075229A" w:rsidP="00C95341">
            <w:pPr>
              <w:tabs>
                <w:tab w:val="decimal" w:pos="661"/>
              </w:tabs>
              <w:spacing w:before="40" w:after="4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p>
        </w:tc>
        <w:tc>
          <w:tcPr>
            <w:tcW w:w="1266" w:type="dxa"/>
            <w:noWrap/>
            <w:hideMark/>
          </w:tcPr>
          <w:p w14:paraId="356C6328" w14:textId="77777777" w:rsidR="0075229A" w:rsidRPr="000973F2" w:rsidRDefault="0075229A" w:rsidP="00C95341">
            <w:pPr>
              <w:tabs>
                <w:tab w:val="decimal" w:pos="661"/>
              </w:tabs>
              <w:spacing w:before="40" w:after="4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0973F2">
              <w:rPr>
                <w:rFonts w:ascii="Times New Roman" w:hAnsi="Times New Roman" w:cs="Times New Roman"/>
                <w:sz w:val="18"/>
                <w:szCs w:val="18"/>
              </w:rPr>
              <w:t>$0</w:t>
            </w:r>
          </w:p>
        </w:tc>
        <w:tc>
          <w:tcPr>
            <w:tcW w:w="1293" w:type="dxa"/>
            <w:noWrap/>
            <w:hideMark/>
          </w:tcPr>
          <w:p w14:paraId="1A24D717" w14:textId="77777777" w:rsidR="0075229A" w:rsidRPr="000973F2" w:rsidRDefault="0075229A" w:rsidP="00C95341">
            <w:pPr>
              <w:tabs>
                <w:tab w:val="decimal" w:pos="661"/>
              </w:tabs>
              <w:spacing w:before="40" w:after="4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0973F2">
              <w:rPr>
                <w:rFonts w:ascii="Times New Roman" w:hAnsi="Times New Roman" w:cs="Times New Roman"/>
                <w:sz w:val="18"/>
                <w:szCs w:val="18"/>
              </w:rPr>
              <w:t>$50</w:t>
            </w:r>
          </w:p>
        </w:tc>
        <w:tc>
          <w:tcPr>
            <w:tcW w:w="1239" w:type="dxa"/>
            <w:noWrap/>
            <w:hideMark/>
          </w:tcPr>
          <w:p w14:paraId="125C53DE" w14:textId="77777777" w:rsidR="0075229A" w:rsidRPr="000973F2" w:rsidRDefault="0075229A" w:rsidP="00C95341">
            <w:pPr>
              <w:tabs>
                <w:tab w:val="decimal" w:pos="661"/>
              </w:tabs>
              <w:spacing w:before="40" w:after="4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0973F2">
              <w:rPr>
                <w:rFonts w:ascii="Times New Roman" w:hAnsi="Times New Roman" w:cs="Times New Roman"/>
                <w:sz w:val="18"/>
                <w:szCs w:val="18"/>
              </w:rPr>
              <w:t>$0</w:t>
            </w:r>
          </w:p>
        </w:tc>
        <w:tc>
          <w:tcPr>
            <w:tcW w:w="1266" w:type="dxa"/>
            <w:noWrap/>
            <w:hideMark/>
          </w:tcPr>
          <w:p w14:paraId="7B0A1C33" w14:textId="77777777" w:rsidR="0075229A" w:rsidRPr="000973F2" w:rsidRDefault="0075229A" w:rsidP="00C95341">
            <w:pPr>
              <w:tabs>
                <w:tab w:val="decimal" w:pos="661"/>
              </w:tabs>
              <w:spacing w:before="40" w:after="4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0973F2">
              <w:rPr>
                <w:rFonts w:ascii="Times New Roman" w:hAnsi="Times New Roman" w:cs="Times New Roman"/>
                <w:sz w:val="18"/>
                <w:szCs w:val="18"/>
              </w:rPr>
              <w:t>$50</w:t>
            </w:r>
          </w:p>
        </w:tc>
      </w:tr>
      <w:tr w:rsidR="00C95341" w:rsidRPr="000973F2" w14:paraId="6690FD62" w14:textId="77777777" w:rsidTr="00C95341">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1735" w:type="dxa"/>
            <w:hideMark/>
          </w:tcPr>
          <w:p w14:paraId="75E77B56" w14:textId="77777777" w:rsidR="00C95341" w:rsidRPr="000973F2" w:rsidRDefault="00C95341" w:rsidP="00C95341">
            <w:pPr>
              <w:spacing w:before="40" w:after="40"/>
              <w:rPr>
                <w:rFonts w:ascii="Times New Roman" w:hAnsi="Times New Roman" w:cs="Times New Roman"/>
                <w:sz w:val="18"/>
                <w:szCs w:val="18"/>
              </w:rPr>
            </w:pPr>
            <w:r w:rsidRPr="000973F2">
              <w:rPr>
                <w:rFonts w:ascii="Times New Roman" w:hAnsi="Times New Roman" w:cs="Times New Roman"/>
                <w:sz w:val="18"/>
                <w:szCs w:val="18"/>
              </w:rPr>
              <w:t>Travel</w:t>
            </w:r>
          </w:p>
        </w:tc>
        <w:tc>
          <w:tcPr>
            <w:tcW w:w="1265" w:type="dxa"/>
            <w:noWrap/>
            <w:hideMark/>
          </w:tcPr>
          <w:p w14:paraId="4C737F30" w14:textId="58D28C78" w:rsidR="00C95341" w:rsidRPr="000973F2" w:rsidRDefault="00C95341" w:rsidP="00C95341">
            <w:pPr>
              <w:tabs>
                <w:tab w:val="decimal" w:pos="661"/>
              </w:tabs>
              <w:spacing w:before="40" w:after="4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rPr>
            </w:pPr>
            <w:r w:rsidRPr="000973F2">
              <w:rPr>
                <w:rFonts w:ascii="Times New Roman" w:eastAsia="Times New Roman" w:hAnsi="Times New Roman" w:cs="Times New Roman"/>
                <w:sz w:val="18"/>
                <w:szCs w:val="18"/>
              </w:rPr>
              <w:t>–</w:t>
            </w:r>
          </w:p>
        </w:tc>
        <w:tc>
          <w:tcPr>
            <w:tcW w:w="1266" w:type="dxa"/>
            <w:noWrap/>
          </w:tcPr>
          <w:p w14:paraId="05E3327A" w14:textId="0BA51467" w:rsidR="00C95341" w:rsidRPr="000973F2" w:rsidRDefault="00C95341" w:rsidP="00C95341">
            <w:pPr>
              <w:tabs>
                <w:tab w:val="decimal" w:pos="661"/>
              </w:tabs>
              <w:spacing w:before="40" w:after="4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rPr>
            </w:pPr>
          </w:p>
        </w:tc>
        <w:tc>
          <w:tcPr>
            <w:tcW w:w="1266" w:type="dxa"/>
            <w:noWrap/>
            <w:hideMark/>
          </w:tcPr>
          <w:p w14:paraId="78142438" w14:textId="60CCCA2C" w:rsidR="00C95341" w:rsidRPr="000973F2" w:rsidRDefault="00C95341" w:rsidP="00C95341">
            <w:pPr>
              <w:tabs>
                <w:tab w:val="decimal" w:pos="661"/>
              </w:tabs>
              <w:spacing w:before="40" w:after="4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rPr>
            </w:pPr>
            <w:r w:rsidRPr="000973F2">
              <w:rPr>
                <w:rFonts w:ascii="Times New Roman" w:eastAsia="Times New Roman" w:hAnsi="Times New Roman" w:cs="Times New Roman"/>
                <w:sz w:val="18"/>
                <w:szCs w:val="18"/>
              </w:rPr>
              <w:t>–</w:t>
            </w:r>
          </w:p>
        </w:tc>
        <w:tc>
          <w:tcPr>
            <w:tcW w:w="1293" w:type="dxa"/>
            <w:noWrap/>
            <w:hideMark/>
          </w:tcPr>
          <w:p w14:paraId="37BE777F" w14:textId="3C95CFD3" w:rsidR="00C95341" w:rsidRPr="000973F2" w:rsidRDefault="00C95341" w:rsidP="00C95341">
            <w:pPr>
              <w:tabs>
                <w:tab w:val="decimal" w:pos="661"/>
              </w:tabs>
              <w:spacing w:before="40" w:after="4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rPr>
            </w:pPr>
            <w:r w:rsidRPr="000973F2">
              <w:rPr>
                <w:rFonts w:ascii="Times New Roman" w:eastAsia="Times New Roman" w:hAnsi="Times New Roman" w:cs="Times New Roman"/>
                <w:sz w:val="18"/>
                <w:szCs w:val="18"/>
              </w:rPr>
              <w:t>–</w:t>
            </w:r>
          </w:p>
        </w:tc>
        <w:tc>
          <w:tcPr>
            <w:tcW w:w="1239" w:type="dxa"/>
            <w:noWrap/>
            <w:hideMark/>
          </w:tcPr>
          <w:p w14:paraId="20FB266B" w14:textId="2F25627C" w:rsidR="00C95341" w:rsidRPr="000973F2" w:rsidRDefault="00C95341" w:rsidP="00C95341">
            <w:pPr>
              <w:tabs>
                <w:tab w:val="decimal" w:pos="661"/>
              </w:tabs>
              <w:spacing w:before="40" w:after="4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rPr>
            </w:pPr>
            <w:r w:rsidRPr="000973F2">
              <w:rPr>
                <w:rFonts w:ascii="Times New Roman" w:eastAsia="Times New Roman" w:hAnsi="Times New Roman" w:cs="Times New Roman"/>
                <w:sz w:val="18"/>
                <w:szCs w:val="18"/>
              </w:rPr>
              <w:t>–</w:t>
            </w:r>
          </w:p>
        </w:tc>
        <w:tc>
          <w:tcPr>
            <w:tcW w:w="1266" w:type="dxa"/>
            <w:noWrap/>
            <w:hideMark/>
          </w:tcPr>
          <w:p w14:paraId="5DFDA432" w14:textId="57A82BEB" w:rsidR="00C95341" w:rsidRPr="000973F2" w:rsidRDefault="00C95341" w:rsidP="00C95341">
            <w:pPr>
              <w:tabs>
                <w:tab w:val="decimal" w:pos="661"/>
              </w:tabs>
              <w:spacing w:before="40" w:after="4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rPr>
            </w:pPr>
            <w:r w:rsidRPr="000973F2">
              <w:rPr>
                <w:rFonts w:ascii="Times New Roman" w:eastAsia="Times New Roman" w:hAnsi="Times New Roman" w:cs="Times New Roman"/>
                <w:sz w:val="18"/>
                <w:szCs w:val="18"/>
              </w:rPr>
              <w:t>–</w:t>
            </w:r>
          </w:p>
        </w:tc>
      </w:tr>
      <w:tr w:rsidR="0075229A" w:rsidRPr="000973F2" w14:paraId="75D94A26" w14:textId="77777777" w:rsidTr="00C95341">
        <w:trPr>
          <w:cantSplit/>
        </w:trPr>
        <w:tc>
          <w:tcPr>
            <w:cnfStyle w:val="001000000000" w:firstRow="0" w:lastRow="0" w:firstColumn="1" w:lastColumn="0" w:oddVBand="0" w:evenVBand="0" w:oddHBand="0" w:evenHBand="0" w:firstRowFirstColumn="0" w:firstRowLastColumn="0" w:lastRowFirstColumn="0" w:lastRowLastColumn="0"/>
            <w:tcW w:w="1735" w:type="dxa"/>
            <w:hideMark/>
          </w:tcPr>
          <w:p w14:paraId="63559608" w14:textId="7660B6C8" w:rsidR="0075229A" w:rsidRPr="000973F2" w:rsidRDefault="0075229A" w:rsidP="00C95341">
            <w:pPr>
              <w:spacing w:before="40" w:after="40"/>
              <w:rPr>
                <w:rFonts w:ascii="Times New Roman" w:hAnsi="Times New Roman" w:cs="Times New Roman"/>
                <w:sz w:val="18"/>
                <w:szCs w:val="18"/>
              </w:rPr>
            </w:pPr>
            <w:r w:rsidRPr="000973F2">
              <w:rPr>
                <w:rFonts w:ascii="Times New Roman" w:hAnsi="Times New Roman" w:cs="Times New Roman"/>
                <w:sz w:val="18"/>
                <w:szCs w:val="18"/>
              </w:rPr>
              <w:t xml:space="preserve">Sampling </w:t>
            </w:r>
            <w:r w:rsidR="00321129" w:rsidRPr="000973F2">
              <w:rPr>
                <w:rFonts w:ascii="Times New Roman" w:eastAsia="Times New Roman" w:hAnsi="Times New Roman" w:cs="Times New Roman"/>
                <w:sz w:val="18"/>
                <w:szCs w:val="18"/>
              </w:rPr>
              <w:t xml:space="preserve">and Analysis </w:t>
            </w:r>
            <w:r w:rsidRPr="000973F2">
              <w:rPr>
                <w:rFonts w:ascii="Times New Roman" w:hAnsi="Times New Roman" w:cs="Times New Roman"/>
                <w:sz w:val="18"/>
                <w:szCs w:val="18"/>
              </w:rPr>
              <w:t>Costs</w:t>
            </w:r>
          </w:p>
        </w:tc>
        <w:tc>
          <w:tcPr>
            <w:tcW w:w="1265" w:type="dxa"/>
            <w:noWrap/>
            <w:hideMark/>
          </w:tcPr>
          <w:p w14:paraId="65698D4A" w14:textId="77777777" w:rsidR="0075229A" w:rsidRPr="000973F2" w:rsidRDefault="0075229A" w:rsidP="00C95341">
            <w:pPr>
              <w:tabs>
                <w:tab w:val="decimal" w:pos="661"/>
              </w:tabs>
              <w:spacing w:before="40" w:after="4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0973F2">
              <w:rPr>
                <w:rFonts w:ascii="Times New Roman" w:hAnsi="Times New Roman" w:cs="Times New Roman"/>
                <w:sz w:val="18"/>
                <w:szCs w:val="18"/>
              </w:rPr>
              <w:t>$0</w:t>
            </w:r>
          </w:p>
        </w:tc>
        <w:tc>
          <w:tcPr>
            <w:tcW w:w="1266" w:type="dxa"/>
            <w:noWrap/>
          </w:tcPr>
          <w:p w14:paraId="1D5E4EAA" w14:textId="77777777" w:rsidR="0075229A" w:rsidRPr="000973F2" w:rsidRDefault="0075229A" w:rsidP="00C95341">
            <w:pPr>
              <w:tabs>
                <w:tab w:val="decimal" w:pos="661"/>
              </w:tabs>
              <w:spacing w:before="40" w:after="4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p>
        </w:tc>
        <w:tc>
          <w:tcPr>
            <w:tcW w:w="1266" w:type="dxa"/>
            <w:noWrap/>
            <w:hideMark/>
          </w:tcPr>
          <w:p w14:paraId="45FC901F" w14:textId="77777777" w:rsidR="0075229A" w:rsidRPr="000973F2" w:rsidRDefault="0075229A" w:rsidP="00C95341">
            <w:pPr>
              <w:tabs>
                <w:tab w:val="decimal" w:pos="661"/>
              </w:tabs>
              <w:spacing w:before="40" w:after="4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0973F2">
              <w:rPr>
                <w:rFonts w:ascii="Times New Roman" w:hAnsi="Times New Roman" w:cs="Times New Roman"/>
                <w:sz w:val="18"/>
                <w:szCs w:val="18"/>
              </w:rPr>
              <w:t>$0</w:t>
            </w:r>
          </w:p>
        </w:tc>
        <w:tc>
          <w:tcPr>
            <w:tcW w:w="1293" w:type="dxa"/>
            <w:noWrap/>
            <w:hideMark/>
          </w:tcPr>
          <w:p w14:paraId="0531D03B" w14:textId="77777777" w:rsidR="0075229A" w:rsidRPr="000973F2" w:rsidRDefault="0075229A" w:rsidP="00C95341">
            <w:pPr>
              <w:tabs>
                <w:tab w:val="decimal" w:pos="661"/>
              </w:tabs>
              <w:spacing w:before="40" w:after="4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0973F2">
              <w:rPr>
                <w:rFonts w:ascii="Times New Roman" w:hAnsi="Times New Roman" w:cs="Times New Roman"/>
                <w:sz w:val="18"/>
                <w:szCs w:val="18"/>
              </w:rPr>
              <w:t>$358</w:t>
            </w:r>
          </w:p>
        </w:tc>
        <w:tc>
          <w:tcPr>
            <w:tcW w:w="1239" w:type="dxa"/>
            <w:noWrap/>
            <w:hideMark/>
          </w:tcPr>
          <w:p w14:paraId="630E082D" w14:textId="77777777" w:rsidR="0075229A" w:rsidRPr="000973F2" w:rsidRDefault="0075229A" w:rsidP="00C95341">
            <w:pPr>
              <w:tabs>
                <w:tab w:val="decimal" w:pos="661"/>
              </w:tabs>
              <w:spacing w:before="40" w:after="4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0973F2">
              <w:rPr>
                <w:rFonts w:ascii="Times New Roman" w:hAnsi="Times New Roman" w:cs="Times New Roman"/>
                <w:sz w:val="18"/>
                <w:szCs w:val="18"/>
              </w:rPr>
              <w:t>$0</w:t>
            </w:r>
          </w:p>
        </w:tc>
        <w:tc>
          <w:tcPr>
            <w:tcW w:w="1266" w:type="dxa"/>
            <w:noWrap/>
            <w:hideMark/>
          </w:tcPr>
          <w:p w14:paraId="2C5C8EA6" w14:textId="77777777" w:rsidR="0075229A" w:rsidRPr="000973F2" w:rsidRDefault="0075229A" w:rsidP="00C95341">
            <w:pPr>
              <w:tabs>
                <w:tab w:val="decimal" w:pos="661"/>
              </w:tabs>
              <w:spacing w:before="40" w:after="4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0973F2">
              <w:rPr>
                <w:rFonts w:ascii="Times New Roman" w:hAnsi="Times New Roman" w:cs="Times New Roman"/>
                <w:sz w:val="18"/>
                <w:szCs w:val="18"/>
              </w:rPr>
              <w:t>$358</w:t>
            </w:r>
          </w:p>
        </w:tc>
      </w:tr>
      <w:tr w:rsidR="0075229A" w:rsidRPr="000973F2" w14:paraId="18541454" w14:textId="77777777" w:rsidTr="00C95341">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1735" w:type="dxa"/>
            <w:hideMark/>
          </w:tcPr>
          <w:p w14:paraId="2BFE7776" w14:textId="77777777" w:rsidR="0075229A" w:rsidRPr="000973F2" w:rsidRDefault="0075229A" w:rsidP="00C95341">
            <w:pPr>
              <w:spacing w:before="40" w:after="40"/>
              <w:rPr>
                <w:rFonts w:ascii="Times New Roman" w:hAnsi="Times New Roman" w:cs="Times New Roman"/>
                <w:b/>
                <w:bCs w:val="0"/>
                <w:sz w:val="18"/>
                <w:szCs w:val="18"/>
              </w:rPr>
            </w:pPr>
            <w:r w:rsidRPr="000973F2">
              <w:rPr>
                <w:rFonts w:ascii="Times New Roman" w:hAnsi="Times New Roman" w:cs="Times New Roman"/>
                <w:b/>
                <w:sz w:val="18"/>
                <w:szCs w:val="18"/>
              </w:rPr>
              <w:t xml:space="preserve">Total </w:t>
            </w:r>
          </w:p>
        </w:tc>
        <w:tc>
          <w:tcPr>
            <w:tcW w:w="1265" w:type="dxa"/>
            <w:noWrap/>
            <w:hideMark/>
          </w:tcPr>
          <w:p w14:paraId="5C39B3D2" w14:textId="77777777" w:rsidR="0075229A" w:rsidRPr="000973F2" w:rsidRDefault="0075229A" w:rsidP="00C95341">
            <w:pPr>
              <w:tabs>
                <w:tab w:val="decimal" w:pos="661"/>
              </w:tabs>
              <w:spacing w:before="40" w:after="4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18"/>
                <w:szCs w:val="18"/>
              </w:rPr>
            </w:pPr>
            <w:r w:rsidRPr="000973F2">
              <w:rPr>
                <w:rFonts w:ascii="Times New Roman" w:hAnsi="Times New Roman" w:cs="Times New Roman"/>
                <w:b/>
                <w:sz w:val="18"/>
                <w:szCs w:val="18"/>
              </w:rPr>
              <w:t>$0</w:t>
            </w:r>
          </w:p>
        </w:tc>
        <w:tc>
          <w:tcPr>
            <w:tcW w:w="1266" w:type="dxa"/>
            <w:noWrap/>
          </w:tcPr>
          <w:p w14:paraId="2CB463D8" w14:textId="77777777" w:rsidR="0075229A" w:rsidRPr="000973F2" w:rsidRDefault="0075229A" w:rsidP="00C95341">
            <w:pPr>
              <w:tabs>
                <w:tab w:val="decimal" w:pos="661"/>
              </w:tabs>
              <w:spacing w:before="40" w:after="4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18"/>
                <w:szCs w:val="18"/>
              </w:rPr>
            </w:pPr>
          </w:p>
        </w:tc>
        <w:tc>
          <w:tcPr>
            <w:tcW w:w="1266" w:type="dxa"/>
            <w:noWrap/>
            <w:hideMark/>
          </w:tcPr>
          <w:p w14:paraId="1F67262B" w14:textId="77777777" w:rsidR="0075229A" w:rsidRPr="000973F2" w:rsidRDefault="0075229A" w:rsidP="00C95341">
            <w:pPr>
              <w:tabs>
                <w:tab w:val="decimal" w:pos="661"/>
              </w:tabs>
              <w:spacing w:before="40" w:after="4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18"/>
                <w:szCs w:val="18"/>
              </w:rPr>
            </w:pPr>
            <w:r w:rsidRPr="000973F2">
              <w:rPr>
                <w:rFonts w:ascii="Times New Roman" w:hAnsi="Times New Roman" w:cs="Times New Roman"/>
                <w:b/>
                <w:sz w:val="18"/>
                <w:szCs w:val="18"/>
              </w:rPr>
              <w:t>$0</w:t>
            </w:r>
          </w:p>
        </w:tc>
        <w:tc>
          <w:tcPr>
            <w:tcW w:w="1293" w:type="dxa"/>
            <w:noWrap/>
            <w:hideMark/>
          </w:tcPr>
          <w:p w14:paraId="53300B26" w14:textId="77777777" w:rsidR="0075229A" w:rsidRPr="000973F2" w:rsidRDefault="0075229A" w:rsidP="00C95341">
            <w:pPr>
              <w:tabs>
                <w:tab w:val="decimal" w:pos="661"/>
              </w:tabs>
              <w:spacing w:before="40" w:after="4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18"/>
                <w:szCs w:val="18"/>
              </w:rPr>
            </w:pPr>
            <w:r w:rsidRPr="000973F2">
              <w:rPr>
                <w:rFonts w:ascii="Times New Roman" w:hAnsi="Times New Roman" w:cs="Times New Roman"/>
                <w:b/>
                <w:sz w:val="18"/>
                <w:szCs w:val="18"/>
              </w:rPr>
              <w:t>$408</w:t>
            </w:r>
          </w:p>
        </w:tc>
        <w:tc>
          <w:tcPr>
            <w:tcW w:w="1239" w:type="dxa"/>
            <w:noWrap/>
            <w:hideMark/>
          </w:tcPr>
          <w:p w14:paraId="75288E3D" w14:textId="77777777" w:rsidR="0075229A" w:rsidRPr="000973F2" w:rsidRDefault="0075229A" w:rsidP="00C95341">
            <w:pPr>
              <w:tabs>
                <w:tab w:val="decimal" w:pos="661"/>
              </w:tabs>
              <w:spacing w:before="40" w:after="4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18"/>
                <w:szCs w:val="18"/>
              </w:rPr>
            </w:pPr>
            <w:r w:rsidRPr="000973F2">
              <w:rPr>
                <w:rFonts w:ascii="Times New Roman" w:hAnsi="Times New Roman" w:cs="Times New Roman"/>
                <w:b/>
                <w:sz w:val="18"/>
                <w:szCs w:val="18"/>
              </w:rPr>
              <w:t>$0</w:t>
            </w:r>
          </w:p>
        </w:tc>
        <w:tc>
          <w:tcPr>
            <w:tcW w:w="1266" w:type="dxa"/>
            <w:noWrap/>
            <w:hideMark/>
          </w:tcPr>
          <w:p w14:paraId="2FE5A768" w14:textId="77777777" w:rsidR="0075229A" w:rsidRPr="000973F2" w:rsidRDefault="0075229A" w:rsidP="00C95341">
            <w:pPr>
              <w:tabs>
                <w:tab w:val="decimal" w:pos="661"/>
              </w:tabs>
              <w:spacing w:before="40" w:after="4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18"/>
                <w:szCs w:val="18"/>
              </w:rPr>
            </w:pPr>
            <w:r w:rsidRPr="000973F2">
              <w:rPr>
                <w:rFonts w:ascii="Times New Roman" w:hAnsi="Times New Roman" w:cs="Times New Roman"/>
                <w:b/>
                <w:sz w:val="18"/>
                <w:szCs w:val="18"/>
              </w:rPr>
              <w:t>$408</w:t>
            </w:r>
          </w:p>
        </w:tc>
      </w:tr>
    </w:tbl>
    <w:p w14:paraId="6C9CA24B" w14:textId="77777777" w:rsidR="0075229A" w:rsidRPr="000973F2" w:rsidRDefault="0075229A" w:rsidP="00C95341">
      <w:pPr>
        <w:pStyle w:val="AfterTable"/>
      </w:pPr>
    </w:p>
    <w:p w14:paraId="500B17E6" w14:textId="77777777" w:rsidR="0075229A" w:rsidRPr="000973F2" w:rsidRDefault="0075229A" w:rsidP="00C95341">
      <w:pPr>
        <w:pStyle w:val="Heading2"/>
      </w:pPr>
      <w:r w:rsidRPr="000973F2">
        <w:t>Total Costs for Subpart EE</w:t>
      </w:r>
    </w:p>
    <w:p w14:paraId="54A0A7BF" w14:textId="33CB2E60" w:rsidR="0075229A" w:rsidRPr="000973F2" w:rsidRDefault="0075229A" w:rsidP="00C95341">
      <w:pPr>
        <w:pStyle w:val="BodyText"/>
      </w:pPr>
      <w:r w:rsidRPr="000973F2">
        <w:t>The total industry costs related to Subpart EE are approximately $8,</w:t>
      </w:r>
      <w:r w:rsidR="005443E4" w:rsidRPr="000973F2">
        <w:t>6</w:t>
      </w:r>
      <w:r w:rsidRPr="000973F2">
        <w:t>00 per year for a total of $25,</w:t>
      </w:r>
      <w:r w:rsidR="00592544" w:rsidRPr="000973F2">
        <w:t>7</w:t>
      </w:r>
      <w:r w:rsidRPr="000973F2">
        <w:t>00 over the three-year period of the ICR. Six facilities are expected to report in 2019, 2020, and 2021.</w:t>
      </w:r>
    </w:p>
    <w:p w14:paraId="32503862" w14:textId="77777777" w:rsidR="0075229A" w:rsidRPr="000973F2" w:rsidRDefault="0075229A" w:rsidP="00C00E4F">
      <w:pPr>
        <w:spacing w:line="240" w:lineRule="auto"/>
        <w:rPr>
          <w:rFonts w:ascii="Times New Roman" w:hAnsi="Times New Roman" w:cs="Times New Roman"/>
        </w:rPr>
      </w:pPr>
    </w:p>
    <w:p w14:paraId="4136D8B9" w14:textId="7C2CA059" w:rsidR="0075229A" w:rsidRPr="000973F2" w:rsidRDefault="0075229A" w:rsidP="00C00E4F">
      <w:pPr>
        <w:spacing w:line="240" w:lineRule="auto"/>
        <w:rPr>
          <w:rFonts w:ascii="Times New Roman" w:hAnsi="Times New Roman" w:cs="Times New Roman"/>
        </w:rPr>
      </w:pPr>
      <w:r w:rsidRPr="000973F2">
        <w:rPr>
          <w:rFonts w:ascii="Times New Roman" w:hAnsi="Times New Roman" w:cs="Times New Roman"/>
        </w:rPr>
        <w:br w:type="page"/>
      </w:r>
    </w:p>
    <w:p w14:paraId="075FDEDF" w14:textId="14BEDFFC" w:rsidR="00D2323F" w:rsidRPr="000973F2" w:rsidRDefault="00D2323F" w:rsidP="00C00E4F">
      <w:pPr>
        <w:pStyle w:val="Heading1"/>
        <w:spacing w:line="240" w:lineRule="auto"/>
      </w:pPr>
      <w:bookmarkStart w:id="59" w:name="_Toc10715623"/>
      <w:r w:rsidRPr="000973F2">
        <w:t>Cost Appendix for Subpart FF</w:t>
      </w:r>
      <w:r w:rsidR="00336CCE" w:rsidRPr="000973F2">
        <w:t xml:space="preserve"> – </w:t>
      </w:r>
      <w:r w:rsidRPr="000973F2">
        <w:t>Underground Coal Mines</w:t>
      </w:r>
      <w:bookmarkEnd w:id="59"/>
    </w:p>
    <w:p w14:paraId="03F5D653" w14:textId="77777777" w:rsidR="00D2323F" w:rsidRPr="000973F2" w:rsidRDefault="00D2323F" w:rsidP="0062417F">
      <w:pPr>
        <w:pStyle w:val="Heading2"/>
      </w:pPr>
      <w:r w:rsidRPr="000973F2">
        <w:t>Description of Subpart FF</w:t>
      </w:r>
    </w:p>
    <w:p w14:paraId="092BE24E" w14:textId="77777777" w:rsidR="00D2323F" w:rsidRPr="000973F2" w:rsidRDefault="00D2323F" w:rsidP="0062417F">
      <w:pPr>
        <w:pStyle w:val="BodyText"/>
      </w:pPr>
      <w:r w:rsidRPr="000973F2">
        <w:t>For purposes of the GHGRP, the underground coal mines source category includes active underground coal mines that liberate at least 36,500,000 cubic feet of CH</w:t>
      </w:r>
      <w:r w:rsidRPr="000973F2">
        <w:rPr>
          <w:vertAlign w:val="subscript"/>
        </w:rPr>
        <w:t>4</w:t>
      </w:r>
      <w:r w:rsidRPr="000973F2">
        <w:t xml:space="preserve"> per year. Owners and operators must report methane liberation from ventilation shafts, methane liberation from degasification systems (if applicable), and any methane destroyed or transported offsite.</w:t>
      </w:r>
    </w:p>
    <w:p w14:paraId="73958DFE" w14:textId="15C915B5" w:rsidR="00D2323F" w:rsidRPr="000973F2" w:rsidRDefault="00D2323F" w:rsidP="0062417F">
      <w:pPr>
        <w:pStyle w:val="BodyText"/>
      </w:pPr>
      <w:r w:rsidRPr="000973F2">
        <w:t xml:space="preserve">For RY2017, 78 facilities reported emissions to </w:t>
      </w:r>
      <w:r w:rsidR="00A86942" w:rsidRPr="000973F2">
        <w:t>S</w:t>
      </w:r>
      <w:r w:rsidRPr="000973F2">
        <w:t>ubpart FF. Of those 78 facilities, all reported methane liberation from ventilation shafts, 18 facilities reported methane liberation from degasification systems (6 facilities report methane liberation from degasification systems that do not destroy or transport methane offsite; and 12 facilities report methane liberation from degasification systems that destroy or transport methane offsite). The total number of facilities reporting to Subpart FF is expected to remain constant, including the number of facilities that report emissions from degasification systems and the number of facilities that destroy methane or transport methane offsite. Initial year costs apply only to new facilities; therefore, those costs are zero in the tables below.</w:t>
      </w:r>
    </w:p>
    <w:p w14:paraId="4B754A4D" w14:textId="5C039155" w:rsidR="00D2323F" w:rsidRPr="000973F2" w:rsidRDefault="00D2323F" w:rsidP="0062417F">
      <w:pPr>
        <w:pStyle w:val="BodyText"/>
      </w:pPr>
      <w:r w:rsidRPr="000973F2">
        <w:t>For methane liberation from ventilation shafts, facilities can choose to calculate emissions using Subpart FF equations and data collected from the Mine Safety and Health Administration (MSHA), or use CEMS. No Subpart FF facilities have reported emissions using CEMS; therefore, the costs for using CEMS are not estimated. There is only one methodology for methane liberation from degasification systems, but the costs are different depending on whether or not methane is destroyed or transported offsite.</w:t>
      </w:r>
    </w:p>
    <w:p w14:paraId="39414125" w14:textId="77777777" w:rsidR="00D2323F" w:rsidRPr="000973F2" w:rsidRDefault="00D2323F" w:rsidP="0062417F">
      <w:pPr>
        <w:pStyle w:val="Heading2"/>
      </w:pPr>
      <w:r w:rsidRPr="000973F2">
        <w:t>Labor Costs for Subpart FF – Methane Liberation from Ventilation Shafts</w:t>
      </w:r>
    </w:p>
    <w:p w14:paraId="176D0282" w14:textId="59E1A230" w:rsidR="00D2323F" w:rsidRPr="000973F2" w:rsidRDefault="00D2323F" w:rsidP="0062417F">
      <w:pPr>
        <w:pStyle w:val="BodyText"/>
      </w:pPr>
      <w:r w:rsidRPr="000973F2">
        <w:t xml:space="preserve">Table </w:t>
      </w:r>
      <w:r w:rsidR="0062417F" w:rsidRPr="000973F2">
        <w:t>FF-</w:t>
      </w:r>
      <w:r w:rsidRPr="000973F2">
        <w:t>1a below summarizes the labor hours associated with each of the 78 facilities reporting ventilation emissions using MSHA data. Recordkeeping and reporting hours for Subpart FF are based on the “high bin” designation, as discussed in the Cost Appendix Introduction. Sampling and analysis activities include performing calculations to determine methane liberation using ventilation flow and methane concentration from each monitoring point.</w:t>
      </w:r>
    </w:p>
    <w:p w14:paraId="40A505FA" w14:textId="3FD5FC9F" w:rsidR="00162779" w:rsidRPr="000973F2" w:rsidRDefault="00162779" w:rsidP="0062417F">
      <w:pPr>
        <w:pStyle w:val="Tabletitle"/>
        <w:rPr>
          <w:szCs w:val="24"/>
        </w:rPr>
      </w:pPr>
      <w:r w:rsidRPr="000973F2">
        <w:rPr>
          <w:rFonts w:eastAsia="Times New Roman"/>
        </w:rPr>
        <w:t xml:space="preserve">Table </w:t>
      </w:r>
      <w:r w:rsidR="0062417F" w:rsidRPr="000973F2">
        <w:rPr>
          <w:rFonts w:eastAsia="Times New Roman"/>
        </w:rPr>
        <w:t>FF-</w:t>
      </w:r>
      <w:r w:rsidRPr="000973F2">
        <w:rPr>
          <w:rFonts w:eastAsia="Times New Roman"/>
        </w:rPr>
        <w:t xml:space="preserve">1a. Labor Costs </w:t>
      </w:r>
      <w:r w:rsidR="00B960CC" w:rsidRPr="000973F2">
        <w:rPr>
          <w:rFonts w:eastAsia="Times New Roman"/>
        </w:rPr>
        <w:t>–</w:t>
      </w:r>
      <w:r w:rsidRPr="000973F2">
        <w:rPr>
          <w:rFonts w:eastAsia="Times New Roman"/>
        </w:rPr>
        <w:t xml:space="preserve"> Subpart FF – </w:t>
      </w:r>
      <w:r w:rsidRPr="000973F2">
        <w:t>Methane Liberation from Ventilation Shafts</w:t>
      </w:r>
    </w:p>
    <w:tbl>
      <w:tblPr>
        <w:tblStyle w:val="PlainTable1"/>
        <w:tblW w:w="5000" w:type="pct"/>
        <w:jc w:val="left"/>
        <w:tblLayout w:type="fixed"/>
        <w:tblCellMar>
          <w:left w:w="115" w:type="dxa"/>
          <w:right w:w="115" w:type="dxa"/>
        </w:tblCellMar>
        <w:tblLook w:val="04A0" w:firstRow="1" w:lastRow="0" w:firstColumn="1" w:lastColumn="0" w:noHBand="0" w:noVBand="1"/>
      </w:tblPr>
      <w:tblGrid>
        <w:gridCol w:w="1372"/>
        <w:gridCol w:w="848"/>
        <w:gridCol w:w="848"/>
        <w:gridCol w:w="848"/>
        <w:gridCol w:w="849"/>
        <w:gridCol w:w="848"/>
        <w:gridCol w:w="848"/>
        <w:gridCol w:w="848"/>
        <w:gridCol w:w="849"/>
        <w:gridCol w:w="615"/>
        <w:gridCol w:w="791"/>
        <w:gridCol w:w="26"/>
      </w:tblGrid>
      <w:tr w:rsidR="00D2323F" w:rsidRPr="000973F2" w14:paraId="76C49C14" w14:textId="77777777" w:rsidTr="0062417F">
        <w:trPr>
          <w:cnfStyle w:val="100000000000" w:firstRow="1" w:lastRow="0" w:firstColumn="0" w:lastColumn="0" w:oddVBand="0" w:evenVBand="0" w:oddHBand="0" w:evenHBand="0" w:firstRowFirstColumn="0" w:firstRowLastColumn="0" w:lastRowFirstColumn="0" w:lastRowLastColumn="0"/>
          <w:cantSplit/>
          <w:jc w:val="left"/>
        </w:trPr>
        <w:tc>
          <w:tcPr>
            <w:cnfStyle w:val="001000000000" w:firstRow="0" w:lastRow="0" w:firstColumn="1" w:lastColumn="0" w:oddVBand="0" w:evenVBand="0" w:oddHBand="0" w:evenHBand="0" w:firstRowFirstColumn="0" w:firstRowLastColumn="0" w:lastRowFirstColumn="0" w:lastRowLastColumn="0"/>
            <w:tcW w:w="1335" w:type="dxa"/>
            <w:vMerge w:val="restart"/>
            <w:noWrap/>
            <w:vAlign w:val="top"/>
            <w:hideMark/>
          </w:tcPr>
          <w:p w14:paraId="5D20A996" w14:textId="77777777" w:rsidR="00D2323F" w:rsidRPr="000973F2" w:rsidRDefault="00D2323F" w:rsidP="0062417F">
            <w:pPr>
              <w:widowControl w:val="0"/>
              <w:spacing w:before="40" w:after="40"/>
              <w:rPr>
                <w:rFonts w:ascii="Times New Roman" w:eastAsia="Times New Roman" w:hAnsi="Times New Roman" w:cs="Times New Roman"/>
                <w:bCs w:val="0"/>
                <w:sz w:val="18"/>
                <w:szCs w:val="18"/>
              </w:rPr>
            </w:pPr>
            <w:r w:rsidRPr="000973F2">
              <w:rPr>
                <w:rFonts w:ascii="Times New Roman" w:eastAsia="Times New Roman" w:hAnsi="Times New Roman" w:cs="Times New Roman"/>
                <w:bCs w:val="0"/>
                <w:sz w:val="18"/>
                <w:szCs w:val="18"/>
              </w:rPr>
              <w:t>Activity</w:t>
            </w:r>
          </w:p>
        </w:tc>
        <w:tc>
          <w:tcPr>
            <w:tcW w:w="6602" w:type="dxa"/>
            <w:gridSpan w:val="8"/>
            <w:noWrap/>
            <w:vAlign w:val="top"/>
            <w:hideMark/>
          </w:tcPr>
          <w:p w14:paraId="4916BA61" w14:textId="77777777" w:rsidR="00D2323F" w:rsidRPr="000973F2" w:rsidRDefault="00D2323F" w:rsidP="0062417F">
            <w:pPr>
              <w:widowControl w:val="0"/>
              <w:spacing w:before="40" w:after="40"/>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Cs w:val="0"/>
                <w:sz w:val="18"/>
                <w:szCs w:val="18"/>
              </w:rPr>
            </w:pPr>
            <w:r w:rsidRPr="000973F2">
              <w:rPr>
                <w:rFonts w:ascii="Times New Roman" w:eastAsia="Times New Roman" w:hAnsi="Times New Roman" w:cs="Times New Roman"/>
                <w:bCs w:val="0"/>
                <w:sz w:val="18"/>
                <w:szCs w:val="18"/>
              </w:rPr>
              <w:t>Labor Rates (per hour)</w:t>
            </w:r>
          </w:p>
        </w:tc>
        <w:tc>
          <w:tcPr>
            <w:tcW w:w="1393" w:type="dxa"/>
            <w:gridSpan w:val="3"/>
            <w:vMerge w:val="restart"/>
            <w:vAlign w:val="top"/>
            <w:hideMark/>
          </w:tcPr>
          <w:p w14:paraId="07F901BE" w14:textId="77777777" w:rsidR="00D2323F" w:rsidRPr="000973F2" w:rsidRDefault="00D2323F" w:rsidP="0062417F">
            <w:pPr>
              <w:widowControl w:val="0"/>
              <w:spacing w:before="40" w:after="40"/>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Cs w:val="0"/>
                <w:sz w:val="18"/>
                <w:szCs w:val="18"/>
              </w:rPr>
            </w:pPr>
            <w:r w:rsidRPr="000973F2">
              <w:rPr>
                <w:rFonts w:ascii="Times New Roman" w:eastAsia="Times New Roman" w:hAnsi="Times New Roman" w:cs="Times New Roman"/>
                <w:bCs w:val="0"/>
                <w:sz w:val="18"/>
                <w:szCs w:val="18"/>
              </w:rPr>
              <w:t>Total Labor Cost per Year per Facility (2017$)</w:t>
            </w:r>
          </w:p>
        </w:tc>
      </w:tr>
      <w:tr w:rsidR="00D2323F" w:rsidRPr="000973F2" w14:paraId="4D1AD704" w14:textId="77777777" w:rsidTr="0062417F">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1335" w:type="dxa"/>
            <w:vMerge/>
            <w:hideMark/>
          </w:tcPr>
          <w:p w14:paraId="6FA4A519" w14:textId="77777777" w:rsidR="00D2323F" w:rsidRPr="000973F2" w:rsidRDefault="00D2323F" w:rsidP="0062417F">
            <w:pPr>
              <w:widowControl w:val="0"/>
              <w:spacing w:before="40" w:after="40"/>
              <w:rPr>
                <w:rFonts w:ascii="Times New Roman" w:eastAsia="Times New Roman" w:hAnsi="Times New Roman" w:cs="Times New Roman"/>
                <w:b/>
                <w:bCs w:val="0"/>
                <w:sz w:val="18"/>
                <w:szCs w:val="18"/>
              </w:rPr>
            </w:pPr>
          </w:p>
        </w:tc>
        <w:tc>
          <w:tcPr>
            <w:tcW w:w="1650" w:type="dxa"/>
            <w:gridSpan w:val="2"/>
            <w:noWrap/>
            <w:hideMark/>
          </w:tcPr>
          <w:p w14:paraId="1A5E9769" w14:textId="77777777" w:rsidR="00D2323F" w:rsidRPr="000973F2" w:rsidRDefault="00D2323F" w:rsidP="0062417F">
            <w:pPr>
              <w:widowControl w:val="0"/>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18"/>
                <w:szCs w:val="18"/>
              </w:rPr>
            </w:pPr>
            <w:r w:rsidRPr="000973F2">
              <w:rPr>
                <w:rFonts w:ascii="Times New Roman" w:eastAsia="Times New Roman" w:hAnsi="Times New Roman" w:cs="Times New Roman"/>
                <w:b/>
                <w:bCs/>
                <w:sz w:val="18"/>
                <w:szCs w:val="18"/>
              </w:rPr>
              <w:t>Lawyer</w:t>
            </w:r>
          </w:p>
        </w:tc>
        <w:tc>
          <w:tcPr>
            <w:tcW w:w="1651" w:type="dxa"/>
            <w:gridSpan w:val="2"/>
            <w:noWrap/>
            <w:hideMark/>
          </w:tcPr>
          <w:p w14:paraId="39E35D34" w14:textId="77777777" w:rsidR="00D2323F" w:rsidRPr="000973F2" w:rsidRDefault="00D2323F" w:rsidP="0062417F">
            <w:pPr>
              <w:widowControl w:val="0"/>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18"/>
                <w:szCs w:val="18"/>
              </w:rPr>
            </w:pPr>
            <w:r w:rsidRPr="000973F2">
              <w:rPr>
                <w:rFonts w:ascii="Times New Roman" w:eastAsia="Times New Roman" w:hAnsi="Times New Roman" w:cs="Times New Roman"/>
                <w:b/>
                <w:bCs/>
                <w:sz w:val="18"/>
                <w:szCs w:val="18"/>
              </w:rPr>
              <w:t>Industrial Manager</w:t>
            </w:r>
          </w:p>
        </w:tc>
        <w:tc>
          <w:tcPr>
            <w:tcW w:w="1650" w:type="dxa"/>
            <w:gridSpan w:val="2"/>
            <w:hideMark/>
          </w:tcPr>
          <w:p w14:paraId="627B675C" w14:textId="7AF16847" w:rsidR="00D2323F" w:rsidRPr="000973F2" w:rsidRDefault="00D2323F" w:rsidP="0062417F">
            <w:pPr>
              <w:widowControl w:val="0"/>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18"/>
                <w:szCs w:val="18"/>
              </w:rPr>
            </w:pPr>
            <w:r w:rsidRPr="000973F2">
              <w:rPr>
                <w:rFonts w:ascii="Times New Roman" w:eastAsia="Times New Roman" w:hAnsi="Times New Roman" w:cs="Times New Roman"/>
                <w:b/>
                <w:bCs/>
                <w:sz w:val="18"/>
                <w:szCs w:val="18"/>
              </w:rPr>
              <w:t>Industrial Engineer/</w:t>
            </w:r>
            <w:r w:rsidR="0062417F" w:rsidRPr="000973F2">
              <w:rPr>
                <w:rFonts w:ascii="Times New Roman" w:eastAsia="Times New Roman" w:hAnsi="Times New Roman" w:cs="Times New Roman"/>
                <w:b/>
                <w:bCs/>
                <w:sz w:val="18"/>
                <w:szCs w:val="18"/>
              </w:rPr>
              <w:t xml:space="preserve"> </w:t>
            </w:r>
            <w:r w:rsidRPr="000973F2">
              <w:rPr>
                <w:rFonts w:ascii="Times New Roman" w:eastAsia="Times New Roman" w:hAnsi="Times New Roman" w:cs="Times New Roman"/>
                <w:b/>
                <w:bCs/>
                <w:sz w:val="18"/>
                <w:szCs w:val="18"/>
              </w:rPr>
              <w:t>Technician</w:t>
            </w:r>
          </w:p>
        </w:tc>
        <w:tc>
          <w:tcPr>
            <w:tcW w:w="1651" w:type="dxa"/>
            <w:gridSpan w:val="2"/>
            <w:hideMark/>
          </w:tcPr>
          <w:p w14:paraId="33391B99" w14:textId="77777777" w:rsidR="00D2323F" w:rsidRPr="000973F2" w:rsidRDefault="00D2323F" w:rsidP="0062417F">
            <w:pPr>
              <w:widowControl w:val="0"/>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18"/>
                <w:szCs w:val="18"/>
              </w:rPr>
            </w:pPr>
            <w:r w:rsidRPr="000973F2">
              <w:rPr>
                <w:rFonts w:ascii="Times New Roman" w:eastAsia="Times New Roman" w:hAnsi="Times New Roman" w:cs="Times New Roman"/>
                <w:b/>
                <w:bCs/>
                <w:sz w:val="18"/>
                <w:szCs w:val="18"/>
              </w:rPr>
              <w:t>Administrative Support</w:t>
            </w:r>
          </w:p>
        </w:tc>
        <w:tc>
          <w:tcPr>
            <w:tcW w:w="1393" w:type="dxa"/>
            <w:gridSpan w:val="3"/>
            <w:vMerge/>
            <w:hideMark/>
          </w:tcPr>
          <w:p w14:paraId="30E49AFE" w14:textId="77777777" w:rsidR="00D2323F" w:rsidRPr="000973F2" w:rsidRDefault="00D2323F" w:rsidP="0062417F">
            <w:pPr>
              <w:widowControl w:val="0"/>
              <w:spacing w:before="40" w:after="4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18"/>
                <w:szCs w:val="18"/>
              </w:rPr>
            </w:pPr>
          </w:p>
        </w:tc>
      </w:tr>
      <w:tr w:rsidR="00D2323F" w:rsidRPr="000973F2" w14:paraId="3A674004" w14:textId="77777777" w:rsidTr="0062417F">
        <w:trPr>
          <w:cantSplit/>
        </w:trPr>
        <w:tc>
          <w:tcPr>
            <w:cnfStyle w:val="001000000000" w:firstRow="0" w:lastRow="0" w:firstColumn="1" w:lastColumn="0" w:oddVBand="0" w:evenVBand="0" w:oddHBand="0" w:evenHBand="0" w:firstRowFirstColumn="0" w:firstRowLastColumn="0" w:lastRowFirstColumn="0" w:lastRowLastColumn="0"/>
            <w:tcW w:w="1335" w:type="dxa"/>
            <w:vMerge/>
            <w:hideMark/>
          </w:tcPr>
          <w:p w14:paraId="19B79F01" w14:textId="77777777" w:rsidR="00D2323F" w:rsidRPr="000973F2" w:rsidRDefault="00D2323F" w:rsidP="0062417F">
            <w:pPr>
              <w:widowControl w:val="0"/>
              <w:spacing w:before="40" w:after="40"/>
              <w:rPr>
                <w:rFonts w:ascii="Times New Roman" w:eastAsia="Times New Roman" w:hAnsi="Times New Roman" w:cs="Times New Roman"/>
                <w:b/>
                <w:bCs w:val="0"/>
                <w:sz w:val="18"/>
                <w:szCs w:val="18"/>
              </w:rPr>
            </w:pPr>
          </w:p>
        </w:tc>
        <w:tc>
          <w:tcPr>
            <w:tcW w:w="1650" w:type="dxa"/>
            <w:gridSpan w:val="2"/>
            <w:noWrap/>
            <w:hideMark/>
          </w:tcPr>
          <w:p w14:paraId="345BA814" w14:textId="77777777" w:rsidR="00D2323F" w:rsidRPr="000973F2" w:rsidRDefault="00D2323F" w:rsidP="0062417F">
            <w:pPr>
              <w:widowControl w:val="0"/>
              <w:spacing w:before="40" w:after="4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sz w:val="18"/>
                <w:szCs w:val="18"/>
              </w:rPr>
            </w:pPr>
            <w:r w:rsidRPr="000973F2">
              <w:rPr>
                <w:rFonts w:ascii="Times New Roman" w:eastAsia="Times New Roman" w:hAnsi="Times New Roman" w:cs="Times New Roman"/>
                <w:b/>
                <w:bCs/>
                <w:sz w:val="18"/>
                <w:szCs w:val="18"/>
              </w:rPr>
              <w:t xml:space="preserve">$112.23 </w:t>
            </w:r>
          </w:p>
        </w:tc>
        <w:tc>
          <w:tcPr>
            <w:tcW w:w="1651" w:type="dxa"/>
            <w:gridSpan w:val="2"/>
            <w:noWrap/>
            <w:hideMark/>
          </w:tcPr>
          <w:p w14:paraId="3B4BE261" w14:textId="77777777" w:rsidR="00D2323F" w:rsidRPr="000973F2" w:rsidRDefault="00D2323F" w:rsidP="0062417F">
            <w:pPr>
              <w:widowControl w:val="0"/>
              <w:spacing w:before="40" w:after="4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sz w:val="18"/>
                <w:szCs w:val="18"/>
              </w:rPr>
            </w:pPr>
            <w:r w:rsidRPr="000973F2">
              <w:rPr>
                <w:rFonts w:ascii="Times New Roman" w:eastAsia="Times New Roman" w:hAnsi="Times New Roman" w:cs="Times New Roman"/>
                <w:b/>
                <w:bCs/>
                <w:sz w:val="18"/>
                <w:szCs w:val="18"/>
              </w:rPr>
              <w:t xml:space="preserve">$87.45 </w:t>
            </w:r>
          </w:p>
        </w:tc>
        <w:tc>
          <w:tcPr>
            <w:tcW w:w="1650" w:type="dxa"/>
            <w:gridSpan w:val="2"/>
            <w:noWrap/>
            <w:hideMark/>
          </w:tcPr>
          <w:p w14:paraId="69387848" w14:textId="77777777" w:rsidR="00D2323F" w:rsidRPr="000973F2" w:rsidRDefault="00D2323F" w:rsidP="0062417F">
            <w:pPr>
              <w:widowControl w:val="0"/>
              <w:spacing w:before="40" w:after="4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sz w:val="18"/>
                <w:szCs w:val="18"/>
              </w:rPr>
            </w:pPr>
            <w:r w:rsidRPr="000973F2">
              <w:rPr>
                <w:rFonts w:ascii="Times New Roman" w:eastAsia="Times New Roman" w:hAnsi="Times New Roman" w:cs="Times New Roman"/>
                <w:b/>
                <w:bCs/>
                <w:sz w:val="18"/>
                <w:szCs w:val="18"/>
              </w:rPr>
              <w:t xml:space="preserve">$71.45 </w:t>
            </w:r>
          </w:p>
        </w:tc>
        <w:tc>
          <w:tcPr>
            <w:tcW w:w="1651" w:type="dxa"/>
            <w:gridSpan w:val="2"/>
            <w:noWrap/>
            <w:hideMark/>
          </w:tcPr>
          <w:p w14:paraId="366B4237" w14:textId="77777777" w:rsidR="00D2323F" w:rsidRPr="000973F2" w:rsidRDefault="00D2323F" w:rsidP="0062417F">
            <w:pPr>
              <w:widowControl w:val="0"/>
              <w:spacing w:before="40" w:after="4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sz w:val="18"/>
                <w:szCs w:val="18"/>
              </w:rPr>
            </w:pPr>
            <w:r w:rsidRPr="000973F2">
              <w:rPr>
                <w:rFonts w:ascii="Times New Roman" w:eastAsia="Times New Roman" w:hAnsi="Times New Roman" w:cs="Times New Roman"/>
                <w:b/>
                <w:bCs/>
                <w:sz w:val="18"/>
                <w:szCs w:val="18"/>
              </w:rPr>
              <w:t xml:space="preserve">$36.28 </w:t>
            </w:r>
          </w:p>
        </w:tc>
        <w:tc>
          <w:tcPr>
            <w:tcW w:w="1393" w:type="dxa"/>
            <w:gridSpan w:val="3"/>
            <w:vMerge/>
            <w:hideMark/>
          </w:tcPr>
          <w:p w14:paraId="4BD80C93" w14:textId="77777777" w:rsidR="00D2323F" w:rsidRPr="000973F2" w:rsidRDefault="00D2323F" w:rsidP="0062417F">
            <w:pPr>
              <w:widowControl w:val="0"/>
              <w:spacing w:before="40" w:after="4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sz w:val="18"/>
                <w:szCs w:val="18"/>
              </w:rPr>
            </w:pPr>
          </w:p>
        </w:tc>
      </w:tr>
      <w:tr w:rsidR="0062417F" w:rsidRPr="000973F2" w14:paraId="5EC26511" w14:textId="77777777" w:rsidTr="0062417F">
        <w:trPr>
          <w:gridAfter w:val="1"/>
          <w:cnfStyle w:val="000000100000" w:firstRow="0" w:lastRow="0" w:firstColumn="0" w:lastColumn="0" w:oddVBand="0" w:evenVBand="0" w:oddHBand="1" w:evenHBand="0" w:firstRowFirstColumn="0" w:firstRowLastColumn="0" w:lastRowFirstColumn="0" w:lastRowLastColumn="0"/>
          <w:wAfter w:w="25" w:type="dxa"/>
          <w:cantSplit/>
        </w:trPr>
        <w:tc>
          <w:tcPr>
            <w:cnfStyle w:val="001000000000" w:firstRow="0" w:lastRow="0" w:firstColumn="1" w:lastColumn="0" w:oddVBand="0" w:evenVBand="0" w:oddHBand="0" w:evenHBand="0" w:firstRowFirstColumn="0" w:firstRowLastColumn="0" w:lastRowFirstColumn="0" w:lastRowLastColumn="0"/>
            <w:tcW w:w="1335" w:type="dxa"/>
            <w:vMerge/>
            <w:hideMark/>
          </w:tcPr>
          <w:p w14:paraId="260FA06A" w14:textId="77777777" w:rsidR="00D2323F" w:rsidRPr="000973F2" w:rsidRDefault="00D2323F" w:rsidP="0062417F">
            <w:pPr>
              <w:widowControl w:val="0"/>
              <w:spacing w:before="40" w:after="40"/>
              <w:rPr>
                <w:rFonts w:ascii="Times New Roman" w:eastAsia="Times New Roman" w:hAnsi="Times New Roman" w:cs="Times New Roman"/>
                <w:b/>
                <w:bCs w:val="0"/>
                <w:sz w:val="18"/>
                <w:szCs w:val="18"/>
              </w:rPr>
            </w:pPr>
          </w:p>
        </w:tc>
        <w:tc>
          <w:tcPr>
            <w:tcW w:w="825" w:type="dxa"/>
            <w:tcMar>
              <w:left w:w="14" w:type="dxa"/>
              <w:right w:w="14" w:type="dxa"/>
            </w:tcMar>
            <w:hideMark/>
          </w:tcPr>
          <w:p w14:paraId="7E2B754F" w14:textId="0A9787D4" w:rsidR="00D2323F" w:rsidRPr="000973F2" w:rsidRDefault="00D2323F" w:rsidP="0062417F">
            <w:pPr>
              <w:widowControl w:val="0"/>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18"/>
                <w:szCs w:val="18"/>
              </w:rPr>
            </w:pPr>
            <w:r w:rsidRPr="000973F2">
              <w:rPr>
                <w:rFonts w:ascii="Times New Roman" w:eastAsia="Times New Roman" w:hAnsi="Times New Roman" w:cs="Times New Roman"/>
                <w:b/>
                <w:bCs/>
                <w:sz w:val="18"/>
                <w:szCs w:val="18"/>
              </w:rPr>
              <w:t xml:space="preserve">Initial </w:t>
            </w:r>
            <w:r w:rsidR="00132320" w:rsidRPr="000973F2">
              <w:rPr>
                <w:rFonts w:ascii="Times New Roman" w:eastAsia="Times New Roman" w:hAnsi="Times New Roman" w:cs="Times New Roman"/>
                <w:b/>
                <w:bCs/>
                <w:sz w:val="18"/>
                <w:szCs w:val="18"/>
              </w:rPr>
              <w:t>Year Hours</w:t>
            </w:r>
          </w:p>
        </w:tc>
        <w:tc>
          <w:tcPr>
            <w:tcW w:w="825" w:type="dxa"/>
            <w:tcMar>
              <w:left w:w="14" w:type="dxa"/>
              <w:right w:w="14" w:type="dxa"/>
            </w:tcMar>
            <w:hideMark/>
          </w:tcPr>
          <w:p w14:paraId="14D4DAF2" w14:textId="7C9E8BBC" w:rsidR="00D2323F" w:rsidRPr="000973F2" w:rsidRDefault="00D2323F" w:rsidP="0062417F">
            <w:pPr>
              <w:widowControl w:val="0"/>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18"/>
                <w:szCs w:val="18"/>
              </w:rPr>
            </w:pPr>
            <w:r w:rsidRPr="000973F2">
              <w:rPr>
                <w:rFonts w:ascii="Times New Roman" w:eastAsia="Times New Roman" w:hAnsi="Times New Roman" w:cs="Times New Roman"/>
                <w:b/>
                <w:bCs/>
                <w:sz w:val="18"/>
                <w:szCs w:val="18"/>
              </w:rPr>
              <w:t xml:space="preserve">Subseq. </w:t>
            </w:r>
            <w:r w:rsidR="00132320" w:rsidRPr="000973F2">
              <w:rPr>
                <w:rFonts w:ascii="Times New Roman" w:eastAsia="Times New Roman" w:hAnsi="Times New Roman" w:cs="Times New Roman"/>
                <w:b/>
                <w:bCs/>
                <w:sz w:val="18"/>
                <w:szCs w:val="18"/>
              </w:rPr>
              <w:t>Year Hours</w:t>
            </w:r>
          </w:p>
        </w:tc>
        <w:tc>
          <w:tcPr>
            <w:tcW w:w="825" w:type="dxa"/>
            <w:tcMar>
              <w:left w:w="14" w:type="dxa"/>
              <w:right w:w="14" w:type="dxa"/>
            </w:tcMar>
            <w:hideMark/>
          </w:tcPr>
          <w:p w14:paraId="669253A5" w14:textId="30131B1C" w:rsidR="00D2323F" w:rsidRPr="000973F2" w:rsidRDefault="00D2323F" w:rsidP="0062417F">
            <w:pPr>
              <w:widowControl w:val="0"/>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18"/>
                <w:szCs w:val="18"/>
              </w:rPr>
            </w:pPr>
            <w:r w:rsidRPr="000973F2">
              <w:rPr>
                <w:rFonts w:ascii="Times New Roman" w:eastAsia="Times New Roman" w:hAnsi="Times New Roman" w:cs="Times New Roman"/>
                <w:b/>
                <w:bCs/>
                <w:sz w:val="18"/>
                <w:szCs w:val="18"/>
              </w:rPr>
              <w:t xml:space="preserve">Initial </w:t>
            </w:r>
            <w:r w:rsidR="00132320" w:rsidRPr="000973F2">
              <w:rPr>
                <w:rFonts w:ascii="Times New Roman" w:eastAsia="Times New Roman" w:hAnsi="Times New Roman" w:cs="Times New Roman"/>
                <w:b/>
                <w:bCs/>
                <w:sz w:val="18"/>
                <w:szCs w:val="18"/>
              </w:rPr>
              <w:t>Year Hours</w:t>
            </w:r>
          </w:p>
        </w:tc>
        <w:tc>
          <w:tcPr>
            <w:tcW w:w="826" w:type="dxa"/>
            <w:tcMar>
              <w:left w:w="14" w:type="dxa"/>
              <w:right w:w="14" w:type="dxa"/>
            </w:tcMar>
            <w:hideMark/>
          </w:tcPr>
          <w:p w14:paraId="0BD2998B" w14:textId="756C057A" w:rsidR="00D2323F" w:rsidRPr="000973F2" w:rsidRDefault="00D2323F" w:rsidP="0062417F">
            <w:pPr>
              <w:widowControl w:val="0"/>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18"/>
                <w:szCs w:val="18"/>
              </w:rPr>
            </w:pPr>
            <w:r w:rsidRPr="000973F2">
              <w:rPr>
                <w:rFonts w:ascii="Times New Roman" w:eastAsia="Times New Roman" w:hAnsi="Times New Roman" w:cs="Times New Roman"/>
                <w:b/>
                <w:bCs/>
                <w:sz w:val="18"/>
                <w:szCs w:val="18"/>
              </w:rPr>
              <w:t xml:space="preserve">Subseq. </w:t>
            </w:r>
            <w:r w:rsidR="00132320" w:rsidRPr="000973F2">
              <w:rPr>
                <w:rFonts w:ascii="Times New Roman" w:eastAsia="Times New Roman" w:hAnsi="Times New Roman" w:cs="Times New Roman"/>
                <w:b/>
                <w:bCs/>
                <w:sz w:val="18"/>
                <w:szCs w:val="18"/>
              </w:rPr>
              <w:t>Year Hours</w:t>
            </w:r>
          </w:p>
        </w:tc>
        <w:tc>
          <w:tcPr>
            <w:tcW w:w="825" w:type="dxa"/>
            <w:tcMar>
              <w:left w:w="14" w:type="dxa"/>
              <w:right w:w="14" w:type="dxa"/>
            </w:tcMar>
            <w:hideMark/>
          </w:tcPr>
          <w:p w14:paraId="5B40680D" w14:textId="44FCEEE1" w:rsidR="00D2323F" w:rsidRPr="000973F2" w:rsidRDefault="00D2323F" w:rsidP="0062417F">
            <w:pPr>
              <w:widowControl w:val="0"/>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18"/>
                <w:szCs w:val="18"/>
              </w:rPr>
            </w:pPr>
            <w:r w:rsidRPr="000973F2">
              <w:rPr>
                <w:rFonts w:ascii="Times New Roman" w:eastAsia="Times New Roman" w:hAnsi="Times New Roman" w:cs="Times New Roman"/>
                <w:b/>
                <w:bCs/>
                <w:sz w:val="18"/>
                <w:szCs w:val="18"/>
              </w:rPr>
              <w:t xml:space="preserve">Initial </w:t>
            </w:r>
            <w:r w:rsidR="00132320" w:rsidRPr="000973F2">
              <w:rPr>
                <w:rFonts w:ascii="Times New Roman" w:eastAsia="Times New Roman" w:hAnsi="Times New Roman" w:cs="Times New Roman"/>
                <w:b/>
                <w:bCs/>
                <w:sz w:val="18"/>
                <w:szCs w:val="18"/>
              </w:rPr>
              <w:t>Year Hours</w:t>
            </w:r>
          </w:p>
        </w:tc>
        <w:tc>
          <w:tcPr>
            <w:tcW w:w="825" w:type="dxa"/>
            <w:tcMar>
              <w:left w:w="14" w:type="dxa"/>
              <w:right w:w="14" w:type="dxa"/>
            </w:tcMar>
            <w:hideMark/>
          </w:tcPr>
          <w:p w14:paraId="6BCB0DFE" w14:textId="5E141C99" w:rsidR="00D2323F" w:rsidRPr="000973F2" w:rsidRDefault="00D2323F" w:rsidP="0062417F">
            <w:pPr>
              <w:widowControl w:val="0"/>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18"/>
                <w:szCs w:val="18"/>
              </w:rPr>
            </w:pPr>
            <w:r w:rsidRPr="000973F2">
              <w:rPr>
                <w:rFonts w:ascii="Times New Roman" w:eastAsia="Times New Roman" w:hAnsi="Times New Roman" w:cs="Times New Roman"/>
                <w:b/>
                <w:bCs/>
                <w:sz w:val="18"/>
                <w:szCs w:val="18"/>
              </w:rPr>
              <w:t xml:space="preserve">Subseq. </w:t>
            </w:r>
            <w:r w:rsidR="00132320" w:rsidRPr="000973F2">
              <w:rPr>
                <w:rFonts w:ascii="Times New Roman" w:eastAsia="Times New Roman" w:hAnsi="Times New Roman" w:cs="Times New Roman"/>
                <w:b/>
                <w:bCs/>
                <w:sz w:val="18"/>
                <w:szCs w:val="18"/>
              </w:rPr>
              <w:t>Year Hours</w:t>
            </w:r>
          </w:p>
        </w:tc>
        <w:tc>
          <w:tcPr>
            <w:tcW w:w="825" w:type="dxa"/>
            <w:tcMar>
              <w:left w:w="14" w:type="dxa"/>
              <w:right w:w="14" w:type="dxa"/>
            </w:tcMar>
            <w:hideMark/>
          </w:tcPr>
          <w:p w14:paraId="4B26EC47" w14:textId="63F3872F" w:rsidR="00D2323F" w:rsidRPr="000973F2" w:rsidRDefault="00D2323F" w:rsidP="0062417F">
            <w:pPr>
              <w:widowControl w:val="0"/>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18"/>
                <w:szCs w:val="18"/>
              </w:rPr>
            </w:pPr>
            <w:r w:rsidRPr="000973F2">
              <w:rPr>
                <w:rFonts w:ascii="Times New Roman" w:eastAsia="Times New Roman" w:hAnsi="Times New Roman" w:cs="Times New Roman"/>
                <w:b/>
                <w:bCs/>
                <w:sz w:val="18"/>
                <w:szCs w:val="18"/>
              </w:rPr>
              <w:t xml:space="preserve">Initial </w:t>
            </w:r>
            <w:r w:rsidR="00132320" w:rsidRPr="000973F2">
              <w:rPr>
                <w:rFonts w:ascii="Times New Roman" w:eastAsia="Times New Roman" w:hAnsi="Times New Roman" w:cs="Times New Roman"/>
                <w:b/>
                <w:bCs/>
                <w:sz w:val="18"/>
                <w:szCs w:val="18"/>
              </w:rPr>
              <w:t>Year Hours</w:t>
            </w:r>
          </w:p>
        </w:tc>
        <w:tc>
          <w:tcPr>
            <w:tcW w:w="826" w:type="dxa"/>
            <w:tcMar>
              <w:left w:w="14" w:type="dxa"/>
              <w:right w:w="14" w:type="dxa"/>
            </w:tcMar>
            <w:hideMark/>
          </w:tcPr>
          <w:p w14:paraId="401DF800" w14:textId="67CAA002" w:rsidR="00D2323F" w:rsidRPr="000973F2" w:rsidRDefault="00D2323F" w:rsidP="0062417F">
            <w:pPr>
              <w:widowControl w:val="0"/>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18"/>
                <w:szCs w:val="18"/>
              </w:rPr>
            </w:pPr>
            <w:r w:rsidRPr="000973F2">
              <w:rPr>
                <w:rFonts w:ascii="Times New Roman" w:eastAsia="Times New Roman" w:hAnsi="Times New Roman" w:cs="Times New Roman"/>
                <w:b/>
                <w:bCs/>
                <w:sz w:val="18"/>
                <w:szCs w:val="18"/>
              </w:rPr>
              <w:t xml:space="preserve">Subseq. </w:t>
            </w:r>
            <w:r w:rsidR="00132320" w:rsidRPr="000973F2">
              <w:rPr>
                <w:rFonts w:ascii="Times New Roman" w:eastAsia="Times New Roman" w:hAnsi="Times New Roman" w:cs="Times New Roman"/>
                <w:b/>
                <w:bCs/>
                <w:sz w:val="18"/>
                <w:szCs w:val="18"/>
              </w:rPr>
              <w:t>Year Hours</w:t>
            </w:r>
          </w:p>
        </w:tc>
        <w:tc>
          <w:tcPr>
            <w:tcW w:w="598" w:type="dxa"/>
            <w:tcMar>
              <w:left w:w="14" w:type="dxa"/>
              <w:right w:w="14" w:type="dxa"/>
            </w:tcMar>
            <w:hideMark/>
          </w:tcPr>
          <w:p w14:paraId="58BFE5ED" w14:textId="77777777" w:rsidR="00D2323F" w:rsidRPr="000973F2" w:rsidRDefault="00D2323F" w:rsidP="0062417F">
            <w:pPr>
              <w:widowControl w:val="0"/>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18"/>
                <w:szCs w:val="18"/>
              </w:rPr>
            </w:pPr>
            <w:r w:rsidRPr="000973F2">
              <w:rPr>
                <w:rFonts w:ascii="Times New Roman" w:eastAsia="Times New Roman" w:hAnsi="Times New Roman" w:cs="Times New Roman"/>
                <w:b/>
                <w:bCs/>
                <w:sz w:val="18"/>
                <w:szCs w:val="18"/>
              </w:rPr>
              <w:t>Initial Year</w:t>
            </w:r>
          </w:p>
        </w:tc>
        <w:tc>
          <w:tcPr>
            <w:tcW w:w="770" w:type="dxa"/>
            <w:tcMar>
              <w:left w:w="14" w:type="dxa"/>
              <w:right w:w="14" w:type="dxa"/>
            </w:tcMar>
            <w:hideMark/>
          </w:tcPr>
          <w:p w14:paraId="54E48B57" w14:textId="77777777" w:rsidR="00D2323F" w:rsidRPr="000973F2" w:rsidRDefault="00D2323F" w:rsidP="0062417F">
            <w:pPr>
              <w:widowControl w:val="0"/>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18"/>
                <w:szCs w:val="18"/>
              </w:rPr>
            </w:pPr>
            <w:r w:rsidRPr="000973F2">
              <w:rPr>
                <w:rFonts w:ascii="Times New Roman" w:eastAsia="Times New Roman" w:hAnsi="Times New Roman" w:cs="Times New Roman"/>
                <w:b/>
                <w:bCs/>
                <w:sz w:val="18"/>
                <w:szCs w:val="18"/>
              </w:rPr>
              <w:t>Subseq. Year</w:t>
            </w:r>
          </w:p>
        </w:tc>
      </w:tr>
      <w:tr w:rsidR="0062417F" w:rsidRPr="000973F2" w14:paraId="09263106" w14:textId="77777777" w:rsidTr="0062417F">
        <w:trPr>
          <w:gridAfter w:val="1"/>
          <w:wAfter w:w="25" w:type="dxa"/>
          <w:cantSplit/>
        </w:trPr>
        <w:tc>
          <w:tcPr>
            <w:cnfStyle w:val="001000000000" w:firstRow="0" w:lastRow="0" w:firstColumn="1" w:lastColumn="0" w:oddVBand="0" w:evenVBand="0" w:oddHBand="0" w:evenHBand="0" w:firstRowFirstColumn="0" w:firstRowLastColumn="0" w:lastRowFirstColumn="0" w:lastRowLastColumn="0"/>
            <w:tcW w:w="1335" w:type="dxa"/>
            <w:hideMark/>
          </w:tcPr>
          <w:p w14:paraId="62AC1C8F" w14:textId="77777777" w:rsidR="0062417F" w:rsidRPr="000973F2" w:rsidRDefault="0062417F" w:rsidP="0062417F">
            <w:pPr>
              <w:widowControl w:val="0"/>
              <w:spacing w:before="40" w:after="4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Planning</w:t>
            </w:r>
          </w:p>
        </w:tc>
        <w:tc>
          <w:tcPr>
            <w:tcW w:w="825" w:type="dxa"/>
            <w:noWrap/>
            <w:hideMark/>
          </w:tcPr>
          <w:p w14:paraId="7FD07C8D" w14:textId="64E34CD5" w:rsidR="0062417F" w:rsidRPr="000973F2" w:rsidRDefault="0062417F" w:rsidP="0062417F">
            <w:pPr>
              <w:widowControl w:val="0"/>
              <w:tabs>
                <w:tab w:val="decimal" w:pos="316"/>
              </w:tabs>
              <w:spacing w:before="40" w:after="4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w:t>
            </w:r>
          </w:p>
        </w:tc>
        <w:tc>
          <w:tcPr>
            <w:tcW w:w="825" w:type="dxa"/>
            <w:noWrap/>
            <w:hideMark/>
          </w:tcPr>
          <w:p w14:paraId="7C472EEC" w14:textId="02660B5B" w:rsidR="0062417F" w:rsidRPr="000973F2" w:rsidRDefault="0062417F" w:rsidP="0062417F">
            <w:pPr>
              <w:widowControl w:val="0"/>
              <w:tabs>
                <w:tab w:val="decimal" w:pos="316"/>
              </w:tabs>
              <w:spacing w:before="40" w:after="4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w:t>
            </w:r>
          </w:p>
        </w:tc>
        <w:tc>
          <w:tcPr>
            <w:tcW w:w="825" w:type="dxa"/>
            <w:noWrap/>
            <w:hideMark/>
          </w:tcPr>
          <w:p w14:paraId="51DFFDC2" w14:textId="7CD7AD49" w:rsidR="0062417F" w:rsidRPr="000973F2" w:rsidRDefault="0062417F" w:rsidP="0062417F">
            <w:pPr>
              <w:widowControl w:val="0"/>
              <w:tabs>
                <w:tab w:val="decimal" w:pos="316"/>
              </w:tabs>
              <w:spacing w:before="40" w:after="4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w:t>
            </w:r>
          </w:p>
        </w:tc>
        <w:tc>
          <w:tcPr>
            <w:tcW w:w="826" w:type="dxa"/>
            <w:noWrap/>
            <w:hideMark/>
          </w:tcPr>
          <w:p w14:paraId="1916D638" w14:textId="33CB387E" w:rsidR="0062417F" w:rsidRPr="000973F2" w:rsidRDefault="0062417F" w:rsidP="0062417F">
            <w:pPr>
              <w:widowControl w:val="0"/>
              <w:tabs>
                <w:tab w:val="decimal" w:pos="316"/>
              </w:tabs>
              <w:spacing w:before="40" w:after="4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w:t>
            </w:r>
          </w:p>
        </w:tc>
        <w:tc>
          <w:tcPr>
            <w:tcW w:w="825" w:type="dxa"/>
            <w:noWrap/>
            <w:hideMark/>
          </w:tcPr>
          <w:p w14:paraId="1C24D48C" w14:textId="5487D905" w:rsidR="0062417F" w:rsidRPr="000973F2" w:rsidRDefault="0062417F" w:rsidP="0062417F">
            <w:pPr>
              <w:widowControl w:val="0"/>
              <w:tabs>
                <w:tab w:val="decimal" w:pos="316"/>
              </w:tabs>
              <w:spacing w:before="40" w:after="4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w:t>
            </w:r>
          </w:p>
        </w:tc>
        <w:tc>
          <w:tcPr>
            <w:tcW w:w="825" w:type="dxa"/>
            <w:noWrap/>
            <w:hideMark/>
          </w:tcPr>
          <w:p w14:paraId="4BFACD29" w14:textId="7ED8E759" w:rsidR="0062417F" w:rsidRPr="000973F2" w:rsidRDefault="0062417F" w:rsidP="0062417F">
            <w:pPr>
              <w:widowControl w:val="0"/>
              <w:tabs>
                <w:tab w:val="decimal" w:pos="316"/>
              </w:tabs>
              <w:spacing w:before="40" w:after="4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w:t>
            </w:r>
          </w:p>
        </w:tc>
        <w:tc>
          <w:tcPr>
            <w:tcW w:w="825" w:type="dxa"/>
            <w:noWrap/>
            <w:hideMark/>
          </w:tcPr>
          <w:p w14:paraId="6F9D709D" w14:textId="00AF5802" w:rsidR="0062417F" w:rsidRPr="000973F2" w:rsidRDefault="0062417F" w:rsidP="0062417F">
            <w:pPr>
              <w:widowControl w:val="0"/>
              <w:tabs>
                <w:tab w:val="decimal" w:pos="316"/>
              </w:tabs>
              <w:spacing w:before="40" w:after="4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w:t>
            </w:r>
          </w:p>
        </w:tc>
        <w:tc>
          <w:tcPr>
            <w:tcW w:w="826" w:type="dxa"/>
            <w:noWrap/>
            <w:hideMark/>
          </w:tcPr>
          <w:p w14:paraId="05F62542" w14:textId="1946D5F0" w:rsidR="0062417F" w:rsidRPr="000973F2" w:rsidRDefault="0062417F" w:rsidP="0062417F">
            <w:pPr>
              <w:widowControl w:val="0"/>
              <w:tabs>
                <w:tab w:val="decimal" w:pos="316"/>
              </w:tabs>
              <w:spacing w:before="40" w:after="4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w:t>
            </w:r>
          </w:p>
        </w:tc>
        <w:tc>
          <w:tcPr>
            <w:tcW w:w="598" w:type="dxa"/>
            <w:noWrap/>
            <w:hideMark/>
          </w:tcPr>
          <w:p w14:paraId="4F000FF2" w14:textId="68EA2F48" w:rsidR="0062417F" w:rsidRPr="000973F2" w:rsidRDefault="0062417F" w:rsidP="0062417F">
            <w:pPr>
              <w:widowControl w:val="0"/>
              <w:tabs>
                <w:tab w:val="decimal" w:pos="316"/>
              </w:tabs>
              <w:spacing w:before="40" w:after="4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w:t>
            </w:r>
          </w:p>
        </w:tc>
        <w:tc>
          <w:tcPr>
            <w:tcW w:w="770" w:type="dxa"/>
            <w:noWrap/>
            <w:hideMark/>
          </w:tcPr>
          <w:p w14:paraId="50708EE1" w14:textId="2F602468" w:rsidR="0062417F" w:rsidRPr="000973F2" w:rsidRDefault="0062417F" w:rsidP="0062417F">
            <w:pPr>
              <w:widowControl w:val="0"/>
              <w:tabs>
                <w:tab w:val="decimal" w:pos="511"/>
              </w:tabs>
              <w:spacing w:before="40" w:after="4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w:t>
            </w:r>
          </w:p>
        </w:tc>
      </w:tr>
      <w:tr w:rsidR="0062417F" w:rsidRPr="000973F2" w14:paraId="7810172B" w14:textId="77777777" w:rsidTr="0062417F">
        <w:trPr>
          <w:gridAfter w:val="1"/>
          <w:cnfStyle w:val="000000100000" w:firstRow="0" w:lastRow="0" w:firstColumn="0" w:lastColumn="0" w:oddVBand="0" w:evenVBand="0" w:oddHBand="1" w:evenHBand="0" w:firstRowFirstColumn="0" w:firstRowLastColumn="0" w:lastRowFirstColumn="0" w:lastRowLastColumn="0"/>
          <w:wAfter w:w="25" w:type="dxa"/>
          <w:cantSplit/>
        </w:trPr>
        <w:tc>
          <w:tcPr>
            <w:cnfStyle w:val="001000000000" w:firstRow="0" w:lastRow="0" w:firstColumn="1" w:lastColumn="0" w:oddVBand="0" w:evenVBand="0" w:oddHBand="0" w:evenHBand="0" w:firstRowFirstColumn="0" w:firstRowLastColumn="0" w:lastRowFirstColumn="0" w:lastRowLastColumn="0"/>
            <w:tcW w:w="1335" w:type="dxa"/>
            <w:hideMark/>
          </w:tcPr>
          <w:p w14:paraId="19335A25" w14:textId="77777777" w:rsidR="0062417F" w:rsidRPr="000973F2" w:rsidRDefault="0062417F" w:rsidP="0062417F">
            <w:pPr>
              <w:widowControl w:val="0"/>
              <w:spacing w:before="40" w:after="4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QA/QC</w:t>
            </w:r>
          </w:p>
        </w:tc>
        <w:tc>
          <w:tcPr>
            <w:tcW w:w="825" w:type="dxa"/>
            <w:noWrap/>
            <w:hideMark/>
          </w:tcPr>
          <w:p w14:paraId="6216024C" w14:textId="5C5CAE28" w:rsidR="0062417F" w:rsidRPr="000973F2" w:rsidRDefault="0062417F" w:rsidP="0062417F">
            <w:pPr>
              <w:widowControl w:val="0"/>
              <w:tabs>
                <w:tab w:val="decimal" w:pos="316"/>
              </w:tabs>
              <w:spacing w:before="40" w:after="4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w:t>
            </w:r>
          </w:p>
        </w:tc>
        <w:tc>
          <w:tcPr>
            <w:tcW w:w="825" w:type="dxa"/>
            <w:noWrap/>
            <w:hideMark/>
          </w:tcPr>
          <w:p w14:paraId="01631B0B" w14:textId="4BCAE264" w:rsidR="0062417F" w:rsidRPr="000973F2" w:rsidRDefault="0062417F" w:rsidP="0062417F">
            <w:pPr>
              <w:widowControl w:val="0"/>
              <w:tabs>
                <w:tab w:val="decimal" w:pos="316"/>
              </w:tabs>
              <w:spacing w:before="40" w:after="4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w:t>
            </w:r>
          </w:p>
        </w:tc>
        <w:tc>
          <w:tcPr>
            <w:tcW w:w="825" w:type="dxa"/>
            <w:noWrap/>
            <w:hideMark/>
          </w:tcPr>
          <w:p w14:paraId="52112B05" w14:textId="51208BAF" w:rsidR="0062417F" w:rsidRPr="000973F2" w:rsidRDefault="0062417F" w:rsidP="0062417F">
            <w:pPr>
              <w:widowControl w:val="0"/>
              <w:tabs>
                <w:tab w:val="decimal" w:pos="316"/>
              </w:tabs>
              <w:spacing w:before="40" w:after="4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w:t>
            </w:r>
          </w:p>
        </w:tc>
        <w:tc>
          <w:tcPr>
            <w:tcW w:w="826" w:type="dxa"/>
            <w:noWrap/>
            <w:hideMark/>
          </w:tcPr>
          <w:p w14:paraId="77AC373B" w14:textId="2215B098" w:rsidR="0062417F" w:rsidRPr="000973F2" w:rsidRDefault="0062417F" w:rsidP="0062417F">
            <w:pPr>
              <w:widowControl w:val="0"/>
              <w:tabs>
                <w:tab w:val="decimal" w:pos="316"/>
              </w:tabs>
              <w:spacing w:before="40" w:after="4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w:t>
            </w:r>
          </w:p>
        </w:tc>
        <w:tc>
          <w:tcPr>
            <w:tcW w:w="825" w:type="dxa"/>
            <w:noWrap/>
            <w:hideMark/>
          </w:tcPr>
          <w:p w14:paraId="24CFC4A0" w14:textId="06939EB9" w:rsidR="0062417F" w:rsidRPr="000973F2" w:rsidRDefault="0062417F" w:rsidP="0062417F">
            <w:pPr>
              <w:widowControl w:val="0"/>
              <w:tabs>
                <w:tab w:val="decimal" w:pos="316"/>
              </w:tabs>
              <w:spacing w:before="40" w:after="4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w:t>
            </w:r>
          </w:p>
        </w:tc>
        <w:tc>
          <w:tcPr>
            <w:tcW w:w="825" w:type="dxa"/>
            <w:noWrap/>
            <w:hideMark/>
          </w:tcPr>
          <w:p w14:paraId="51B70112" w14:textId="707734B4" w:rsidR="0062417F" w:rsidRPr="000973F2" w:rsidRDefault="0062417F" w:rsidP="0062417F">
            <w:pPr>
              <w:widowControl w:val="0"/>
              <w:tabs>
                <w:tab w:val="decimal" w:pos="316"/>
              </w:tabs>
              <w:spacing w:before="40" w:after="4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w:t>
            </w:r>
          </w:p>
        </w:tc>
        <w:tc>
          <w:tcPr>
            <w:tcW w:w="825" w:type="dxa"/>
            <w:noWrap/>
            <w:hideMark/>
          </w:tcPr>
          <w:p w14:paraId="74B0EC4C" w14:textId="047FBCE7" w:rsidR="0062417F" w:rsidRPr="000973F2" w:rsidRDefault="0062417F" w:rsidP="0062417F">
            <w:pPr>
              <w:widowControl w:val="0"/>
              <w:tabs>
                <w:tab w:val="decimal" w:pos="316"/>
              </w:tabs>
              <w:spacing w:before="40" w:after="4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w:t>
            </w:r>
          </w:p>
        </w:tc>
        <w:tc>
          <w:tcPr>
            <w:tcW w:w="826" w:type="dxa"/>
            <w:noWrap/>
            <w:hideMark/>
          </w:tcPr>
          <w:p w14:paraId="42661ADE" w14:textId="4638B00C" w:rsidR="0062417F" w:rsidRPr="000973F2" w:rsidRDefault="0062417F" w:rsidP="0062417F">
            <w:pPr>
              <w:widowControl w:val="0"/>
              <w:tabs>
                <w:tab w:val="decimal" w:pos="316"/>
              </w:tabs>
              <w:spacing w:before="40" w:after="4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w:t>
            </w:r>
          </w:p>
        </w:tc>
        <w:tc>
          <w:tcPr>
            <w:tcW w:w="598" w:type="dxa"/>
            <w:noWrap/>
            <w:hideMark/>
          </w:tcPr>
          <w:p w14:paraId="622188D8" w14:textId="4FC2EA4D" w:rsidR="0062417F" w:rsidRPr="000973F2" w:rsidRDefault="0062417F" w:rsidP="0062417F">
            <w:pPr>
              <w:widowControl w:val="0"/>
              <w:tabs>
                <w:tab w:val="decimal" w:pos="316"/>
              </w:tabs>
              <w:spacing w:before="40" w:after="4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w:t>
            </w:r>
          </w:p>
        </w:tc>
        <w:tc>
          <w:tcPr>
            <w:tcW w:w="770" w:type="dxa"/>
            <w:noWrap/>
            <w:hideMark/>
          </w:tcPr>
          <w:p w14:paraId="3B8BAA46" w14:textId="35008813" w:rsidR="0062417F" w:rsidRPr="000973F2" w:rsidRDefault="0062417F" w:rsidP="0062417F">
            <w:pPr>
              <w:widowControl w:val="0"/>
              <w:tabs>
                <w:tab w:val="decimal" w:pos="511"/>
              </w:tabs>
              <w:spacing w:before="40" w:after="4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w:t>
            </w:r>
          </w:p>
        </w:tc>
      </w:tr>
      <w:tr w:rsidR="0062417F" w:rsidRPr="000973F2" w14:paraId="1D51B601" w14:textId="77777777" w:rsidTr="0062417F">
        <w:trPr>
          <w:gridAfter w:val="1"/>
          <w:wAfter w:w="25" w:type="dxa"/>
          <w:cantSplit/>
        </w:trPr>
        <w:tc>
          <w:tcPr>
            <w:cnfStyle w:val="001000000000" w:firstRow="0" w:lastRow="0" w:firstColumn="1" w:lastColumn="0" w:oddVBand="0" w:evenVBand="0" w:oddHBand="0" w:evenHBand="0" w:firstRowFirstColumn="0" w:firstRowLastColumn="0" w:lastRowFirstColumn="0" w:lastRowLastColumn="0"/>
            <w:tcW w:w="1335" w:type="dxa"/>
            <w:hideMark/>
          </w:tcPr>
          <w:p w14:paraId="1C55C15D" w14:textId="77777777" w:rsidR="00D2323F" w:rsidRPr="000973F2" w:rsidRDefault="00D2323F" w:rsidP="0062417F">
            <w:pPr>
              <w:widowControl w:val="0"/>
              <w:spacing w:before="40" w:after="4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Recordkeeping</w:t>
            </w:r>
          </w:p>
        </w:tc>
        <w:tc>
          <w:tcPr>
            <w:tcW w:w="825" w:type="dxa"/>
            <w:noWrap/>
            <w:hideMark/>
          </w:tcPr>
          <w:p w14:paraId="20E7C043" w14:textId="77777777" w:rsidR="00D2323F" w:rsidRPr="000973F2" w:rsidRDefault="00D2323F" w:rsidP="0062417F">
            <w:pPr>
              <w:widowControl w:val="0"/>
              <w:tabs>
                <w:tab w:val="decimal" w:pos="316"/>
              </w:tabs>
              <w:spacing w:before="40" w:after="4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0</w:t>
            </w:r>
          </w:p>
        </w:tc>
        <w:tc>
          <w:tcPr>
            <w:tcW w:w="825" w:type="dxa"/>
            <w:noWrap/>
            <w:hideMark/>
          </w:tcPr>
          <w:p w14:paraId="75C79C02" w14:textId="77777777" w:rsidR="00D2323F" w:rsidRPr="000973F2" w:rsidRDefault="00D2323F" w:rsidP="0062417F">
            <w:pPr>
              <w:widowControl w:val="0"/>
              <w:tabs>
                <w:tab w:val="decimal" w:pos="316"/>
              </w:tabs>
              <w:spacing w:before="40" w:after="4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0</w:t>
            </w:r>
          </w:p>
        </w:tc>
        <w:tc>
          <w:tcPr>
            <w:tcW w:w="825" w:type="dxa"/>
            <w:noWrap/>
            <w:hideMark/>
          </w:tcPr>
          <w:p w14:paraId="05B8F87C" w14:textId="77777777" w:rsidR="00D2323F" w:rsidRPr="000973F2" w:rsidRDefault="00D2323F" w:rsidP="0062417F">
            <w:pPr>
              <w:widowControl w:val="0"/>
              <w:tabs>
                <w:tab w:val="decimal" w:pos="316"/>
              </w:tabs>
              <w:spacing w:before="40" w:after="4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0</w:t>
            </w:r>
          </w:p>
        </w:tc>
        <w:tc>
          <w:tcPr>
            <w:tcW w:w="826" w:type="dxa"/>
            <w:noWrap/>
            <w:hideMark/>
          </w:tcPr>
          <w:p w14:paraId="242154FC" w14:textId="77777777" w:rsidR="00D2323F" w:rsidRPr="000973F2" w:rsidRDefault="00D2323F" w:rsidP="0062417F">
            <w:pPr>
              <w:widowControl w:val="0"/>
              <w:tabs>
                <w:tab w:val="decimal" w:pos="316"/>
              </w:tabs>
              <w:spacing w:before="40" w:after="4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1</w:t>
            </w:r>
          </w:p>
        </w:tc>
        <w:tc>
          <w:tcPr>
            <w:tcW w:w="825" w:type="dxa"/>
            <w:noWrap/>
            <w:hideMark/>
          </w:tcPr>
          <w:p w14:paraId="2DC61A45" w14:textId="77777777" w:rsidR="00D2323F" w:rsidRPr="000973F2" w:rsidRDefault="00D2323F" w:rsidP="0062417F">
            <w:pPr>
              <w:widowControl w:val="0"/>
              <w:tabs>
                <w:tab w:val="decimal" w:pos="316"/>
              </w:tabs>
              <w:spacing w:before="40" w:after="4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0</w:t>
            </w:r>
          </w:p>
        </w:tc>
        <w:tc>
          <w:tcPr>
            <w:tcW w:w="825" w:type="dxa"/>
            <w:noWrap/>
            <w:hideMark/>
          </w:tcPr>
          <w:p w14:paraId="23EA90ED" w14:textId="77777777" w:rsidR="00D2323F" w:rsidRPr="000973F2" w:rsidRDefault="00D2323F" w:rsidP="0062417F">
            <w:pPr>
              <w:widowControl w:val="0"/>
              <w:tabs>
                <w:tab w:val="decimal" w:pos="316"/>
              </w:tabs>
              <w:spacing w:before="40" w:after="4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13</w:t>
            </w:r>
          </w:p>
        </w:tc>
        <w:tc>
          <w:tcPr>
            <w:tcW w:w="825" w:type="dxa"/>
            <w:noWrap/>
            <w:hideMark/>
          </w:tcPr>
          <w:p w14:paraId="78C68EFD" w14:textId="77777777" w:rsidR="00D2323F" w:rsidRPr="000973F2" w:rsidRDefault="00D2323F" w:rsidP="0062417F">
            <w:pPr>
              <w:widowControl w:val="0"/>
              <w:tabs>
                <w:tab w:val="decimal" w:pos="316"/>
              </w:tabs>
              <w:spacing w:before="40" w:after="4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0</w:t>
            </w:r>
          </w:p>
        </w:tc>
        <w:tc>
          <w:tcPr>
            <w:tcW w:w="826" w:type="dxa"/>
            <w:noWrap/>
            <w:hideMark/>
          </w:tcPr>
          <w:p w14:paraId="74687745" w14:textId="77777777" w:rsidR="00D2323F" w:rsidRPr="000973F2" w:rsidRDefault="00D2323F" w:rsidP="0062417F">
            <w:pPr>
              <w:widowControl w:val="0"/>
              <w:tabs>
                <w:tab w:val="decimal" w:pos="316"/>
              </w:tabs>
              <w:spacing w:before="40" w:after="4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1</w:t>
            </w:r>
          </w:p>
        </w:tc>
        <w:tc>
          <w:tcPr>
            <w:tcW w:w="598" w:type="dxa"/>
            <w:noWrap/>
            <w:hideMark/>
          </w:tcPr>
          <w:p w14:paraId="66B4798A" w14:textId="5D345F2A" w:rsidR="00D2323F" w:rsidRPr="000973F2" w:rsidRDefault="00D2323F" w:rsidP="0062417F">
            <w:pPr>
              <w:widowControl w:val="0"/>
              <w:tabs>
                <w:tab w:val="decimal" w:pos="316"/>
              </w:tabs>
              <w:spacing w:before="40" w:after="4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$0</w:t>
            </w:r>
          </w:p>
        </w:tc>
        <w:tc>
          <w:tcPr>
            <w:tcW w:w="770" w:type="dxa"/>
            <w:noWrap/>
            <w:hideMark/>
          </w:tcPr>
          <w:p w14:paraId="34A79D7E" w14:textId="3DCFB797" w:rsidR="00D2323F" w:rsidRPr="000973F2" w:rsidRDefault="00D2323F" w:rsidP="0062417F">
            <w:pPr>
              <w:widowControl w:val="0"/>
              <w:tabs>
                <w:tab w:val="decimal" w:pos="511"/>
              </w:tabs>
              <w:spacing w:before="40" w:after="4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$1,053</w:t>
            </w:r>
          </w:p>
        </w:tc>
      </w:tr>
      <w:tr w:rsidR="0062417F" w:rsidRPr="000973F2" w14:paraId="4DB2C7DE" w14:textId="77777777" w:rsidTr="0062417F">
        <w:trPr>
          <w:gridAfter w:val="1"/>
          <w:cnfStyle w:val="000000100000" w:firstRow="0" w:lastRow="0" w:firstColumn="0" w:lastColumn="0" w:oddVBand="0" w:evenVBand="0" w:oddHBand="1" w:evenHBand="0" w:firstRowFirstColumn="0" w:firstRowLastColumn="0" w:lastRowFirstColumn="0" w:lastRowLastColumn="0"/>
          <w:wAfter w:w="25" w:type="dxa"/>
          <w:cantSplit/>
        </w:trPr>
        <w:tc>
          <w:tcPr>
            <w:cnfStyle w:val="001000000000" w:firstRow="0" w:lastRow="0" w:firstColumn="1" w:lastColumn="0" w:oddVBand="0" w:evenVBand="0" w:oddHBand="0" w:evenHBand="0" w:firstRowFirstColumn="0" w:firstRowLastColumn="0" w:lastRowFirstColumn="0" w:lastRowLastColumn="0"/>
            <w:tcW w:w="1335" w:type="dxa"/>
            <w:hideMark/>
          </w:tcPr>
          <w:p w14:paraId="62C005EC" w14:textId="77777777" w:rsidR="00D2323F" w:rsidRPr="000973F2" w:rsidRDefault="00D2323F" w:rsidP="0062417F">
            <w:pPr>
              <w:widowControl w:val="0"/>
              <w:spacing w:before="40" w:after="4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Sampling and Analysis (Calculations)</w:t>
            </w:r>
          </w:p>
        </w:tc>
        <w:tc>
          <w:tcPr>
            <w:tcW w:w="825" w:type="dxa"/>
            <w:noWrap/>
            <w:hideMark/>
          </w:tcPr>
          <w:p w14:paraId="7BB02C76" w14:textId="77777777" w:rsidR="00D2323F" w:rsidRPr="000973F2" w:rsidRDefault="00D2323F" w:rsidP="0062417F">
            <w:pPr>
              <w:widowControl w:val="0"/>
              <w:tabs>
                <w:tab w:val="decimal" w:pos="316"/>
              </w:tabs>
              <w:spacing w:before="40" w:after="4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0</w:t>
            </w:r>
          </w:p>
        </w:tc>
        <w:tc>
          <w:tcPr>
            <w:tcW w:w="825" w:type="dxa"/>
            <w:noWrap/>
            <w:hideMark/>
          </w:tcPr>
          <w:p w14:paraId="30A6A321" w14:textId="77777777" w:rsidR="00D2323F" w:rsidRPr="000973F2" w:rsidRDefault="00D2323F" w:rsidP="0062417F">
            <w:pPr>
              <w:widowControl w:val="0"/>
              <w:tabs>
                <w:tab w:val="decimal" w:pos="316"/>
              </w:tabs>
              <w:spacing w:before="40" w:after="4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0</w:t>
            </w:r>
          </w:p>
        </w:tc>
        <w:tc>
          <w:tcPr>
            <w:tcW w:w="825" w:type="dxa"/>
            <w:noWrap/>
            <w:hideMark/>
          </w:tcPr>
          <w:p w14:paraId="03CCF100" w14:textId="77777777" w:rsidR="00D2323F" w:rsidRPr="000973F2" w:rsidRDefault="00D2323F" w:rsidP="0062417F">
            <w:pPr>
              <w:widowControl w:val="0"/>
              <w:tabs>
                <w:tab w:val="decimal" w:pos="316"/>
              </w:tabs>
              <w:spacing w:before="40" w:after="4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0</w:t>
            </w:r>
          </w:p>
        </w:tc>
        <w:tc>
          <w:tcPr>
            <w:tcW w:w="826" w:type="dxa"/>
            <w:noWrap/>
            <w:hideMark/>
          </w:tcPr>
          <w:p w14:paraId="68462F77" w14:textId="77777777" w:rsidR="00D2323F" w:rsidRPr="000973F2" w:rsidRDefault="00D2323F" w:rsidP="0062417F">
            <w:pPr>
              <w:widowControl w:val="0"/>
              <w:tabs>
                <w:tab w:val="decimal" w:pos="316"/>
              </w:tabs>
              <w:spacing w:before="40" w:after="4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1</w:t>
            </w:r>
          </w:p>
        </w:tc>
        <w:tc>
          <w:tcPr>
            <w:tcW w:w="825" w:type="dxa"/>
            <w:noWrap/>
            <w:hideMark/>
          </w:tcPr>
          <w:p w14:paraId="6797D759" w14:textId="77777777" w:rsidR="00D2323F" w:rsidRPr="000973F2" w:rsidRDefault="00D2323F" w:rsidP="0062417F">
            <w:pPr>
              <w:widowControl w:val="0"/>
              <w:tabs>
                <w:tab w:val="decimal" w:pos="316"/>
              </w:tabs>
              <w:spacing w:before="40" w:after="4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0</w:t>
            </w:r>
          </w:p>
        </w:tc>
        <w:tc>
          <w:tcPr>
            <w:tcW w:w="825" w:type="dxa"/>
            <w:noWrap/>
            <w:hideMark/>
          </w:tcPr>
          <w:p w14:paraId="472D597B" w14:textId="77777777" w:rsidR="00D2323F" w:rsidRPr="000973F2" w:rsidRDefault="00D2323F" w:rsidP="0062417F">
            <w:pPr>
              <w:widowControl w:val="0"/>
              <w:tabs>
                <w:tab w:val="decimal" w:pos="316"/>
              </w:tabs>
              <w:spacing w:before="40" w:after="4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3</w:t>
            </w:r>
          </w:p>
        </w:tc>
        <w:tc>
          <w:tcPr>
            <w:tcW w:w="825" w:type="dxa"/>
            <w:noWrap/>
            <w:hideMark/>
          </w:tcPr>
          <w:p w14:paraId="31CEAFF5" w14:textId="77777777" w:rsidR="00D2323F" w:rsidRPr="000973F2" w:rsidRDefault="00D2323F" w:rsidP="0062417F">
            <w:pPr>
              <w:widowControl w:val="0"/>
              <w:tabs>
                <w:tab w:val="decimal" w:pos="316"/>
              </w:tabs>
              <w:spacing w:before="40" w:after="4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0</w:t>
            </w:r>
          </w:p>
        </w:tc>
        <w:tc>
          <w:tcPr>
            <w:tcW w:w="826" w:type="dxa"/>
            <w:noWrap/>
            <w:hideMark/>
          </w:tcPr>
          <w:p w14:paraId="61410F89" w14:textId="77777777" w:rsidR="00D2323F" w:rsidRPr="000973F2" w:rsidRDefault="00D2323F" w:rsidP="0062417F">
            <w:pPr>
              <w:widowControl w:val="0"/>
              <w:tabs>
                <w:tab w:val="decimal" w:pos="316"/>
              </w:tabs>
              <w:spacing w:before="40" w:after="4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0</w:t>
            </w:r>
          </w:p>
        </w:tc>
        <w:tc>
          <w:tcPr>
            <w:tcW w:w="598" w:type="dxa"/>
            <w:noWrap/>
            <w:hideMark/>
          </w:tcPr>
          <w:p w14:paraId="17FDEA31" w14:textId="3D33C911" w:rsidR="00D2323F" w:rsidRPr="000973F2" w:rsidRDefault="00D2323F" w:rsidP="0062417F">
            <w:pPr>
              <w:widowControl w:val="0"/>
              <w:tabs>
                <w:tab w:val="decimal" w:pos="316"/>
              </w:tabs>
              <w:spacing w:before="40" w:after="4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$0</w:t>
            </w:r>
          </w:p>
        </w:tc>
        <w:tc>
          <w:tcPr>
            <w:tcW w:w="770" w:type="dxa"/>
            <w:noWrap/>
            <w:hideMark/>
          </w:tcPr>
          <w:p w14:paraId="030E111A" w14:textId="64C2F5C4" w:rsidR="00D2323F" w:rsidRPr="000973F2" w:rsidRDefault="00D2323F" w:rsidP="0062417F">
            <w:pPr>
              <w:widowControl w:val="0"/>
              <w:tabs>
                <w:tab w:val="decimal" w:pos="511"/>
              </w:tabs>
              <w:spacing w:before="40" w:after="4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$302</w:t>
            </w:r>
          </w:p>
        </w:tc>
      </w:tr>
      <w:tr w:rsidR="0062417F" w:rsidRPr="000973F2" w14:paraId="04BB6E1D" w14:textId="77777777" w:rsidTr="0062417F">
        <w:trPr>
          <w:gridAfter w:val="1"/>
          <w:wAfter w:w="25" w:type="dxa"/>
          <w:cantSplit/>
        </w:trPr>
        <w:tc>
          <w:tcPr>
            <w:cnfStyle w:val="001000000000" w:firstRow="0" w:lastRow="0" w:firstColumn="1" w:lastColumn="0" w:oddVBand="0" w:evenVBand="0" w:oddHBand="0" w:evenHBand="0" w:firstRowFirstColumn="0" w:firstRowLastColumn="0" w:lastRowFirstColumn="0" w:lastRowLastColumn="0"/>
            <w:tcW w:w="1335" w:type="dxa"/>
            <w:hideMark/>
          </w:tcPr>
          <w:p w14:paraId="5EAA7D0B" w14:textId="77777777" w:rsidR="00D2323F" w:rsidRPr="000973F2" w:rsidRDefault="00D2323F" w:rsidP="0062417F">
            <w:pPr>
              <w:widowControl w:val="0"/>
              <w:spacing w:before="40" w:after="4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Reporting</w:t>
            </w:r>
          </w:p>
        </w:tc>
        <w:tc>
          <w:tcPr>
            <w:tcW w:w="825" w:type="dxa"/>
            <w:noWrap/>
            <w:hideMark/>
          </w:tcPr>
          <w:p w14:paraId="4D8C0755" w14:textId="77777777" w:rsidR="00D2323F" w:rsidRPr="000973F2" w:rsidRDefault="00D2323F" w:rsidP="0062417F">
            <w:pPr>
              <w:widowControl w:val="0"/>
              <w:tabs>
                <w:tab w:val="decimal" w:pos="316"/>
              </w:tabs>
              <w:spacing w:before="40" w:after="4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0</w:t>
            </w:r>
          </w:p>
        </w:tc>
        <w:tc>
          <w:tcPr>
            <w:tcW w:w="825" w:type="dxa"/>
            <w:noWrap/>
            <w:hideMark/>
          </w:tcPr>
          <w:p w14:paraId="100216C8" w14:textId="77777777" w:rsidR="00D2323F" w:rsidRPr="000973F2" w:rsidRDefault="00D2323F" w:rsidP="0062417F">
            <w:pPr>
              <w:widowControl w:val="0"/>
              <w:tabs>
                <w:tab w:val="decimal" w:pos="316"/>
              </w:tabs>
              <w:spacing w:before="40" w:after="4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0</w:t>
            </w:r>
          </w:p>
        </w:tc>
        <w:tc>
          <w:tcPr>
            <w:tcW w:w="825" w:type="dxa"/>
            <w:noWrap/>
            <w:hideMark/>
          </w:tcPr>
          <w:p w14:paraId="3B30B466" w14:textId="77777777" w:rsidR="00D2323F" w:rsidRPr="000973F2" w:rsidRDefault="00D2323F" w:rsidP="0062417F">
            <w:pPr>
              <w:widowControl w:val="0"/>
              <w:tabs>
                <w:tab w:val="decimal" w:pos="316"/>
              </w:tabs>
              <w:spacing w:before="40" w:after="4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0</w:t>
            </w:r>
          </w:p>
        </w:tc>
        <w:tc>
          <w:tcPr>
            <w:tcW w:w="826" w:type="dxa"/>
            <w:noWrap/>
            <w:hideMark/>
          </w:tcPr>
          <w:p w14:paraId="56857A4E" w14:textId="77777777" w:rsidR="00D2323F" w:rsidRPr="000973F2" w:rsidRDefault="00D2323F" w:rsidP="0062417F">
            <w:pPr>
              <w:widowControl w:val="0"/>
              <w:tabs>
                <w:tab w:val="decimal" w:pos="316"/>
              </w:tabs>
              <w:spacing w:before="40" w:after="4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2</w:t>
            </w:r>
          </w:p>
        </w:tc>
        <w:tc>
          <w:tcPr>
            <w:tcW w:w="825" w:type="dxa"/>
            <w:noWrap/>
            <w:hideMark/>
          </w:tcPr>
          <w:p w14:paraId="59B1E697" w14:textId="77777777" w:rsidR="00D2323F" w:rsidRPr="000973F2" w:rsidRDefault="00D2323F" w:rsidP="0062417F">
            <w:pPr>
              <w:widowControl w:val="0"/>
              <w:tabs>
                <w:tab w:val="decimal" w:pos="316"/>
              </w:tabs>
              <w:spacing w:before="40" w:after="4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0</w:t>
            </w:r>
          </w:p>
        </w:tc>
        <w:tc>
          <w:tcPr>
            <w:tcW w:w="825" w:type="dxa"/>
            <w:noWrap/>
            <w:hideMark/>
          </w:tcPr>
          <w:p w14:paraId="18E80A0C" w14:textId="77777777" w:rsidR="00D2323F" w:rsidRPr="000973F2" w:rsidRDefault="00D2323F" w:rsidP="0062417F">
            <w:pPr>
              <w:widowControl w:val="0"/>
              <w:tabs>
                <w:tab w:val="decimal" w:pos="316"/>
              </w:tabs>
              <w:spacing w:before="40" w:after="4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26</w:t>
            </w:r>
          </w:p>
        </w:tc>
        <w:tc>
          <w:tcPr>
            <w:tcW w:w="825" w:type="dxa"/>
            <w:noWrap/>
            <w:hideMark/>
          </w:tcPr>
          <w:p w14:paraId="18D62403" w14:textId="77777777" w:rsidR="00D2323F" w:rsidRPr="000973F2" w:rsidRDefault="00D2323F" w:rsidP="0062417F">
            <w:pPr>
              <w:widowControl w:val="0"/>
              <w:tabs>
                <w:tab w:val="decimal" w:pos="316"/>
              </w:tabs>
              <w:spacing w:before="40" w:after="4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0</w:t>
            </w:r>
          </w:p>
        </w:tc>
        <w:tc>
          <w:tcPr>
            <w:tcW w:w="826" w:type="dxa"/>
            <w:noWrap/>
            <w:hideMark/>
          </w:tcPr>
          <w:p w14:paraId="6A303CA9" w14:textId="77777777" w:rsidR="00D2323F" w:rsidRPr="000973F2" w:rsidRDefault="00D2323F" w:rsidP="0062417F">
            <w:pPr>
              <w:widowControl w:val="0"/>
              <w:tabs>
                <w:tab w:val="decimal" w:pos="316"/>
              </w:tabs>
              <w:spacing w:before="40" w:after="4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2</w:t>
            </w:r>
          </w:p>
        </w:tc>
        <w:tc>
          <w:tcPr>
            <w:tcW w:w="598" w:type="dxa"/>
            <w:noWrap/>
            <w:hideMark/>
          </w:tcPr>
          <w:p w14:paraId="57941ABA" w14:textId="06B55FDB" w:rsidR="00D2323F" w:rsidRPr="000973F2" w:rsidRDefault="00D2323F" w:rsidP="0062417F">
            <w:pPr>
              <w:widowControl w:val="0"/>
              <w:tabs>
                <w:tab w:val="decimal" w:pos="316"/>
              </w:tabs>
              <w:spacing w:before="40" w:after="4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$0</w:t>
            </w:r>
          </w:p>
        </w:tc>
        <w:tc>
          <w:tcPr>
            <w:tcW w:w="770" w:type="dxa"/>
            <w:noWrap/>
            <w:hideMark/>
          </w:tcPr>
          <w:p w14:paraId="67D22AA8" w14:textId="265B5F35" w:rsidR="00D2323F" w:rsidRPr="000973F2" w:rsidRDefault="00D2323F" w:rsidP="0062417F">
            <w:pPr>
              <w:widowControl w:val="0"/>
              <w:tabs>
                <w:tab w:val="decimal" w:pos="511"/>
              </w:tabs>
              <w:spacing w:before="40" w:after="4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$2,105</w:t>
            </w:r>
          </w:p>
        </w:tc>
      </w:tr>
      <w:tr w:rsidR="0062417F" w:rsidRPr="000973F2" w14:paraId="2301D6C0" w14:textId="77777777" w:rsidTr="0062417F">
        <w:trPr>
          <w:gridAfter w:val="1"/>
          <w:cnfStyle w:val="000000100000" w:firstRow="0" w:lastRow="0" w:firstColumn="0" w:lastColumn="0" w:oddVBand="0" w:evenVBand="0" w:oddHBand="1" w:evenHBand="0" w:firstRowFirstColumn="0" w:firstRowLastColumn="0" w:lastRowFirstColumn="0" w:lastRowLastColumn="0"/>
          <w:wAfter w:w="25" w:type="dxa"/>
          <w:cantSplit/>
        </w:trPr>
        <w:tc>
          <w:tcPr>
            <w:cnfStyle w:val="001000000000" w:firstRow="0" w:lastRow="0" w:firstColumn="1" w:lastColumn="0" w:oddVBand="0" w:evenVBand="0" w:oddHBand="0" w:evenHBand="0" w:firstRowFirstColumn="0" w:firstRowLastColumn="0" w:lastRowFirstColumn="0" w:lastRowLastColumn="0"/>
            <w:tcW w:w="1335" w:type="dxa"/>
            <w:noWrap/>
            <w:hideMark/>
          </w:tcPr>
          <w:p w14:paraId="257C0469" w14:textId="77777777" w:rsidR="00D2323F" w:rsidRPr="000973F2" w:rsidRDefault="00D2323F" w:rsidP="0062417F">
            <w:pPr>
              <w:widowControl w:val="0"/>
              <w:spacing w:before="40" w:after="40"/>
              <w:rPr>
                <w:rFonts w:ascii="Times New Roman" w:eastAsia="Times New Roman" w:hAnsi="Times New Roman" w:cs="Times New Roman"/>
                <w:b/>
                <w:bCs w:val="0"/>
                <w:sz w:val="18"/>
                <w:szCs w:val="18"/>
              </w:rPr>
            </w:pPr>
            <w:r w:rsidRPr="000973F2">
              <w:rPr>
                <w:rFonts w:ascii="Times New Roman" w:eastAsia="Times New Roman" w:hAnsi="Times New Roman" w:cs="Times New Roman"/>
                <w:b/>
                <w:sz w:val="18"/>
                <w:szCs w:val="18"/>
              </w:rPr>
              <w:t>Total</w:t>
            </w:r>
          </w:p>
        </w:tc>
        <w:tc>
          <w:tcPr>
            <w:tcW w:w="825" w:type="dxa"/>
            <w:noWrap/>
            <w:hideMark/>
          </w:tcPr>
          <w:p w14:paraId="21C1FAA0" w14:textId="77777777" w:rsidR="00D2323F" w:rsidRPr="000973F2" w:rsidRDefault="00D2323F" w:rsidP="0062417F">
            <w:pPr>
              <w:widowControl w:val="0"/>
              <w:tabs>
                <w:tab w:val="decimal" w:pos="316"/>
              </w:tabs>
              <w:spacing w:before="40" w:after="4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18"/>
                <w:szCs w:val="18"/>
              </w:rPr>
            </w:pPr>
            <w:r w:rsidRPr="000973F2">
              <w:rPr>
                <w:rFonts w:ascii="Times New Roman" w:eastAsia="Times New Roman" w:hAnsi="Times New Roman" w:cs="Times New Roman"/>
                <w:b/>
                <w:bCs/>
                <w:sz w:val="18"/>
                <w:szCs w:val="18"/>
              </w:rPr>
              <w:t>0</w:t>
            </w:r>
          </w:p>
        </w:tc>
        <w:tc>
          <w:tcPr>
            <w:tcW w:w="825" w:type="dxa"/>
            <w:noWrap/>
            <w:hideMark/>
          </w:tcPr>
          <w:p w14:paraId="29B894BB" w14:textId="77777777" w:rsidR="00D2323F" w:rsidRPr="000973F2" w:rsidRDefault="00D2323F" w:rsidP="0062417F">
            <w:pPr>
              <w:widowControl w:val="0"/>
              <w:tabs>
                <w:tab w:val="decimal" w:pos="316"/>
              </w:tabs>
              <w:spacing w:before="40" w:after="4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18"/>
                <w:szCs w:val="18"/>
              </w:rPr>
            </w:pPr>
            <w:r w:rsidRPr="000973F2">
              <w:rPr>
                <w:rFonts w:ascii="Times New Roman" w:eastAsia="Times New Roman" w:hAnsi="Times New Roman" w:cs="Times New Roman"/>
                <w:b/>
                <w:bCs/>
                <w:sz w:val="18"/>
                <w:szCs w:val="18"/>
              </w:rPr>
              <w:t>0</w:t>
            </w:r>
          </w:p>
        </w:tc>
        <w:tc>
          <w:tcPr>
            <w:tcW w:w="825" w:type="dxa"/>
            <w:noWrap/>
            <w:hideMark/>
          </w:tcPr>
          <w:p w14:paraId="292EA426" w14:textId="77777777" w:rsidR="00D2323F" w:rsidRPr="000973F2" w:rsidRDefault="00D2323F" w:rsidP="0062417F">
            <w:pPr>
              <w:widowControl w:val="0"/>
              <w:tabs>
                <w:tab w:val="decimal" w:pos="316"/>
              </w:tabs>
              <w:spacing w:before="40" w:after="4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18"/>
                <w:szCs w:val="18"/>
              </w:rPr>
            </w:pPr>
            <w:r w:rsidRPr="000973F2">
              <w:rPr>
                <w:rFonts w:ascii="Times New Roman" w:eastAsia="Times New Roman" w:hAnsi="Times New Roman" w:cs="Times New Roman"/>
                <w:b/>
                <w:bCs/>
                <w:sz w:val="18"/>
                <w:szCs w:val="18"/>
              </w:rPr>
              <w:t>0</w:t>
            </w:r>
          </w:p>
        </w:tc>
        <w:tc>
          <w:tcPr>
            <w:tcW w:w="826" w:type="dxa"/>
            <w:noWrap/>
            <w:hideMark/>
          </w:tcPr>
          <w:p w14:paraId="7D5C13F4" w14:textId="77777777" w:rsidR="00D2323F" w:rsidRPr="000973F2" w:rsidRDefault="00D2323F" w:rsidP="0062417F">
            <w:pPr>
              <w:widowControl w:val="0"/>
              <w:tabs>
                <w:tab w:val="decimal" w:pos="316"/>
              </w:tabs>
              <w:spacing w:before="40" w:after="4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18"/>
                <w:szCs w:val="18"/>
              </w:rPr>
            </w:pPr>
            <w:r w:rsidRPr="000973F2">
              <w:rPr>
                <w:rFonts w:ascii="Times New Roman" w:eastAsia="Times New Roman" w:hAnsi="Times New Roman" w:cs="Times New Roman"/>
                <w:b/>
                <w:bCs/>
                <w:sz w:val="18"/>
                <w:szCs w:val="18"/>
              </w:rPr>
              <w:t>4</w:t>
            </w:r>
          </w:p>
        </w:tc>
        <w:tc>
          <w:tcPr>
            <w:tcW w:w="825" w:type="dxa"/>
            <w:noWrap/>
            <w:hideMark/>
          </w:tcPr>
          <w:p w14:paraId="507662CA" w14:textId="77777777" w:rsidR="00D2323F" w:rsidRPr="000973F2" w:rsidRDefault="00D2323F" w:rsidP="0062417F">
            <w:pPr>
              <w:widowControl w:val="0"/>
              <w:tabs>
                <w:tab w:val="decimal" w:pos="316"/>
              </w:tabs>
              <w:spacing w:before="40" w:after="4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18"/>
                <w:szCs w:val="18"/>
              </w:rPr>
            </w:pPr>
            <w:r w:rsidRPr="000973F2">
              <w:rPr>
                <w:rFonts w:ascii="Times New Roman" w:eastAsia="Times New Roman" w:hAnsi="Times New Roman" w:cs="Times New Roman"/>
                <w:b/>
                <w:bCs/>
                <w:sz w:val="18"/>
                <w:szCs w:val="18"/>
              </w:rPr>
              <w:t>0</w:t>
            </w:r>
          </w:p>
        </w:tc>
        <w:tc>
          <w:tcPr>
            <w:tcW w:w="825" w:type="dxa"/>
            <w:noWrap/>
            <w:hideMark/>
          </w:tcPr>
          <w:p w14:paraId="68B8AFA1" w14:textId="77777777" w:rsidR="00D2323F" w:rsidRPr="000973F2" w:rsidRDefault="00D2323F" w:rsidP="0062417F">
            <w:pPr>
              <w:widowControl w:val="0"/>
              <w:tabs>
                <w:tab w:val="decimal" w:pos="316"/>
              </w:tabs>
              <w:spacing w:before="40" w:after="4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18"/>
                <w:szCs w:val="18"/>
              </w:rPr>
            </w:pPr>
            <w:r w:rsidRPr="000973F2">
              <w:rPr>
                <w:rFonts w:ascii="Times New Roman" w:eastAsia="Times New Roman" w:hAnsi="Times New Roman" w:cs="Times New Roman"/>
                <w:b/>
                <w:bCs/>
                <w:sz w:val="18"/>
                <w:szCs w:val="18"/>
              </w:rPr>
              <w:t>42</w:t>
            </w:r>
          </w:p>
        </w:tc>
        <w:tc>
          <w:tcPr>
            <w:tcW w:w="825" w:type="dxa"/>
            <w:noWrap/>
            <w:hideMark/>
          </w:tcPr>
          <w:p w14:paraId="1036A1F0" w14:textId="77777777" w:rsidR="00D2323F" w:rsidRPr="000973F2" w:rsidRDefault="00D2323F" w:rsidP="0062417F">
            <w:pPr>
              <w:widowControl w:val="0"/>
              <w:tabs>
                <w:tab w:val="decimal" w:pos="316"/>
              </w:tabs>
              <w:spacing w:before="40" w:after="4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18"/>
                <w:szCs w:val="18"/>
              </w:rPr>
            </w:pPr>
            <w:r w:rsidRPr="000973F2">
              <w:rPr>
                <w:rFonts w:ascii="Times New Roman" w:eastAsia="Times New Roman" w:hAnsi="Times New Roman" w:cs="Times New Roman"/>
                <w:b/>
                <w:bCs/>
                <w:sz w:val="18"/>
                <w:szCs w:val="18"/>
              </w:rPr>
              <w:t>0</w:t>
            </w:r>
          </w:p>
        </w:tc>
        <w:tc>
          <w:tcPr>
            <w:tcW w:w="826" w:type="dxa"/>
            <w:noWrap/>
            <w:hideMark/>
          </w:tcPr>
          <w:p w14:paraId="1AEF1DA0" w14:textId="77777777" w:rsidR="00D2323F" w:rsidRPr="000973F2" w:rsidRDefault="00D2323F" w:rsidP="0062417F">
            <w:pPr>
              <w:widowControl w:val="0"/>
              <w:tabs>
                <w:tab w:val="decimal" w:pos="316"/>
              </w:tabs>
              <w:spacing w:before="40" w:after="4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18"/>
                <w:szCs w:val="18"/>
              </w:rPr>
            </w:pPr>
            <w:r w:rsidRPr="000973F2">
              <w:rPr>
                <w:rFonts w:ascii="Times New Roman" w:eastAsia="Times New Roman" w:hAnsi="Times New Roman" w:cs="Times New Roman"/>
                <w:b/>
                <w:bCs/>
                <w:sz w:val="18"/>
                <w:szCs w:val="18"/>
              </w:rPr>
              <w:t>3</w:t>
            </w:r>
          </w:p>
        </w:tc>
        <w:tc>
          <w:tcPr>
            <w:tcW w:w="598" w:type="dxa"/>
            <w:noWrap/>
            <w:hideMark/>
          </w:tcPr>
          <w:p w14:paraId="625047C2" w14:textId="772AFD64" w:rsidR="00D2323F" w:rsidRPr="000973F2" w:rsidRDefault="00D2323F" w:rsidP="0062417F">
            <w:pPr>
              <w:widowControl w:val="0"/>
              <w:tabs>
                <w:tab w:val="decimal" w:pos="316"/>
              </w:tabs>
              <w:spacing w:before="40" w:after="4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18"/>
                <w:szCs w:val="18"/>
              </w:rPr>
            </w:pPr>
            <w:r w:rsidRPr="000973F2">
              <w:rPr>
                <w:rFonts w:ascii="Times New Roman" w:eastAsia="Times New Roman" w:hAnsi="Times New Roman" w:cs="Times New Roman"/>
                <w:b/>
                <w:bCs/>
                <w:sz w:val="18"/>
                <w:szCs w:val="18"/>
              </w:rPr>
              <w:t>$0</w:t>
            </w:r>
          </w:p>
        </w:tc>
        <w:tc>
          <w:tcPr>
            <w:tcW w:w="770" w:type="dxa"/>
            <w:noWrap/>
            <w:hideMark/>
          </w:tcPr>
          <w:p w14:paraId="3CDDC601" w14:textId="1A604986" w:rsidR="00D2323F" w:rsidRPr="000973F2" w:rsidRDefault="00D2323F" w:rsidP="0062417F">
            <w:pPr>
              <w:widowControl w:val="0"/>
              <w:tabs>
                <w:tab w:val="decimal" w:pos="511"/>
              </w:tabs>
              <w:spacing w:before="40" w:after="4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18"/>
                <w:szCs w:val="18"/>
              </w:rPr>
            </w:pPr>
            <w:r w:rsidRPr="000973F2">
              <w:rPr>
                <w:rFonts w:ascii="Times New Roman" w:eastAsia="Times New Roman" w:hAnsi="Times New Roman" w:cs="Times New Roman"/>
                <w:b/>
                <w:bCs/>
                <w:sz w:val="18"/>
                <w:szCs w:val="18"/>
              </w:rPr>
              <w:t>$3,460</w:t>
            </w:r>
          </w:p>
        </w:tc>
      </w:tr>
    </w:tbl>
    <w:p w14:paraId="18985B0B" w14:textId="77777777" w:rsidR="00D2323F" w:rsidRPr="000973F2" w:rsidRDefault="00D2323F" w:rsidP="0062417F">
      <w:pPr>
        <w:pStyle w:val="AfterTable"/>
      </w:pPr>
    </w:p>
    <w:p w14:paraId="27E97FED" w14:textId="77777777" w:rsidR="00D2323F" w:rsidRPr="000973F2" w:rsidRDefault="00D2323F" w:rsidP="0062417F">
      <w:pPr>
        <w:pStyle w:val="Heading2"/>
        <w:rPr>
          <w:rFonts w:eastAsia="Times New Roman"/>
          <w:sz w:val="14"/>
          <w:szCs w:val="16"/>
        </w:rPr>
      </w:pPr>
      <w:r w:rsidRPr="000973F2">
        <w:t>Capital and O&amp;M Costs for Subpart FF– Methane Liberation from Ventilation Shafts</w:t>
      </w:r>
    </w:p>
    <w:p w14:paraId="43DD7326" w14:textId="7050CFB7" w:rsidR="00D2323F" w:rsidRPr="000973F2" w:rsidRDefault="00D2323F" w:rsidP="0062417F">
      <w:pPr>
        <w:pStyle w:val="BodyText"/>
      </w:pPr>
      <w:r w:rsidRPr="000973F2">
        <w:t xml:space="preserve">Table </w:t>
      </w:r>
      <w:r w:rsidR="0062417F" w:rsidRPr="000973F2">
        <w:t>FF-</w:t>
      </w:r>
      <w:r w:rsidRPr="000973F2">
        <w:t>2a summarizes the capital and O&amp;M costs associated with reporting ventilation emissions. Typical costs related to recordkeeping are discussed in the Cost Appendix Introduction.</w:t>
      </w:r>
    </w:p>
    <w:p w14:paraId="219760A8" w14:textId="77777777" w:rsidR="00D2323F" w:rsidRPr="000973F2" w:rsidRDefault="00D2323F" w:rsidP="0062417F">
      <w:pPr>
        <w:pStyle w:val="BodyText"/>
      </w:pPr>
      <w:r w:rsidRPr="000973F2">
        <w:t>There are no capital costs expected for Subpart FF. Sampling is being conducted by MSHA; therefore, no equipment must be purchased.</w:t>
      </w:r>
    </w:p>
    <w:p w14:paraId="5D329AFA" w14:textId="1E786B44" w:rsidR="00D2323F" w:rsidRPr="000973F2" w:rsidRDefault="00DF1B10" w:rsidP="0062417F">
      <w:pPr>
        <w:pStyle w:val="Tabletitle"/>
      </w:pPr>
      <w:r w:rsidRPr="000973F2">
        <w:t xml:space="preserve">Table </w:t>
      </w:r>
      <w:r w:rsidR="0062417F" w:rsidRPr="000973F2">
        <w:t>FF-</w:t>
      </w:r>
      <w:r w:rsidRPr="000973F2">
        <w:t xml:space="preserve">2a. Capital and O&amp;M Costs </w:t>
      </w:r>
      <w:r w:rsidR="00B960CC" w:rsidRPr="000973F2">
        <w:t>–</w:t>
      </w:r>
      <w:r w:rsidRPr="000973F2">
        <w:t xml:space="preserve"> </w:t>
      </w:r>
      <w:r w:rsidR="00D2323F" w:rsidRPr="000973F2">
        <w:t>Subpart FF – Methane Liberation from Ventilation Shafts</w:t>
      </w:r>
    </w:p>
    <w:tbl>
      <w:tblPr>
        <w:tblStyle w:val="PlainTable1"/>
        <w:tblW w:w="5047" w:type="pct"/>
        <w:jc w:val="left"/>
        <w:tblLayout w:type="fixed"/>
        <w:tblCellMar>
          <w:left w:w="115" w:type="dxa"/>
          <w:right w:w="115" w:type="dxa"/>
        </w:tblCellMar>
        <w:tblLook w:val="04A0" w:firstRow="1" w:lastRow="0" w:firstColumn="1" w:lastColumn="0" w:noHBand="0" w:noVBand="1"/>
      </w:tblPr>
      <w:tblGrid>
        <w:gridCol w:w="1785"/>
        <w:gridCol w:w="1316"/>
        <w:gridCol w:w="1316"/>
        <w:gridCol w:w="1316"/>
        <w:gridCol w:w="1335"/>
        <w:gridCol w:w="1296"/>
        <w:gridCol w:w="1316"/>
      </w:tblGrid>
      <w:tr w:rsidR="00D17312" w:rsidRPr="000973F2" w14:paraId="3E5B0458" w14:textId="77777777" w:rsidTr="0041094D">
        <w:trPr>
          <w:cnfStyle w:val="100000000000" w:firstRow="1" w:lastRow="0" w:firstColumn="0" w:lastColumn="0" w:oddVBand="0" w:evenVBand="0" w:oddHBand="0" w:evenHBand="0" w:firstRowFirstColumn="0" w:firstRowLastColumn="0" w:lastRowFirstColumn="0" w:lastRowLastColumn="0"/>
          <w:cantSplit/>
          <w:trHeight w:val="519"/>
          <w:jc w:val="left"/>
        </w:trPr>
        <w:tc>
          <w:tcPr>
            <w:cnfStyle w:val="001000000000" w:firstRow="0" w:lastRow="0" w:firstColumn="1" w:lastColumn="0" w:oddVBand="0" w:evenVBand="0" w:oddHBand="0" w:evenHBand="0" w:firstRowFirstColumn="0" w:firstRowLastColumn="0" w:lastRowFirstColumn="0" w:lastRowLastColumn="0"/>
            <w:tcW w:w="1738" w:type="dxa"/>
            <w:vMerge w:val="restart"/>
            <w:noWrap/>
            <w:vAlign w:val="top"/>
            <w:hideMark/>
          </w:tcPr>
          <w:p w14:paraId="797056BD" w14:textId="0661E9FC" w:rsidR="00D17312" w:rsidRPr="000973F2" w:rsidRDefault="00D17312" w:rsidP="00333FEB">
            <w:pPr>
              <w:widowControl w:val="0"/>
              <w:spacing w:before="40" w:after="40"/>
              <w:rPr>
                <w:rFonts w:ascii="Times New Roman" w:eastAsia="Times New Roman" w:hAnsi="Times New Roman" w:cs="Times New Roman"/>
                <w:b w:val="0"/>
                <w:bCs w:val="0"/>
                <w:sz w:val="18"/>
                <w:szCs w:val="18"/>
              </w:rPr>
            </w:pPr>
            <w:r w:rsidRPr="000973F2">
              <w:rPr>
                <w:rFonts w:ascii="Times New Roman" w:eastAsia="Times New Roman" w:hAnsi="Times New Roman" w:cs="Times New Roman"/>
                <w:sz w:val="18"/>
                <w:szCs w:val="18"/>
              </w:rPr>
              <w:t>Activity</w:t>
            </w:r>
          </w:p>
        </w:tc>
        <w:tc>
          <w:tcPr>
            <w:tcW w:w="5139" w:type="dxa"/>
            <w:gridSpan w:val="4"/>
            <w:noWrap/>
            <w:vAlign w:val="top"/>
            <w:hideMark/>
          </w:tcPr>
          <w:p w14:paraId="65BC7C68" w14:textId="77777777" w:rsidR="00D17312" w:rsidRPr="000973F2" w:rsidRDefault="00D17312" w:rsidP="00333FEB">
            <w:pPr>
              <w:widowControl w:val="0"/>
              <w:spacing w:before="40" w:after="40"/>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bCs w:val="0"/>
                <w:sz w:val="18"/>
                <w:szCs w:val="18"/>
              </w:rPr>
            </w:pPr>
            <w:r w:rsidRPr="000973F2">
              <w:rPr>
                <w:rFonts w:ascii="Times New Roman" w:eastAsia="Times New Roman" w:hAnsi="Times New Roman" w:cs="Times New Roman"/>
                <w:sz w:val="18"/>
                <w:szCs w:val="18"/>
              </w:rPr>
              <w:t>Cost Categories</w:t>
            </w:r>
          </w:p>
        </w:tc>
        <w:tc>
          <w:tcPr>
            <w:tcW w:w="2541" w:type="dxa"/>
            <w:gridSpan w:val="2"/>
            <w:vAlign w:val="top"/>
            <w:hideMark/>
          </w:tcPr>
          <w:p w14:paraId="3AA746FC" w14:textId="01BEC244" w:rsidR="00D17312" w:rsidRPr="000973F2" w:rsidRDefault="00D17312" w:rsidP="00333FEB">
            <w:pPr>
              <w:widowControl w:val="0"/>
              <w:spacing w:before="40" w:after="40"/>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bCs w:val="0"/>
                <w:sz w:val="18"/>
                <w:szCs w:val="18"/>
              </w:rPr>
            </w:pPr>
            <w:r w:rsidRPr="000973F2">
              <w:rPr>
                <w:rFonts w:ascii="Times New Roman" w:eastAsia="Times New Roman" w:hAnsi="Times New Roman" w:cs="Times New Roman"/>
                <w:sz w:val="18"/>
                <w:szCs w:val="18"/>
              </w:rPr>
              <w:t>Total Capital and O&amp;M Cost per Year per Facility (2017$)</w:t>
            </w:r>
          </w:p>
        </w:tc>
      </w:tr>
      <w:tr w:rsidR="00D17312" w:rsidRPr="000973F2" w14:paraId="07C513A2" w14:textId="77777777" w:rsidTr="0041094D">
        <w:trPr>
          <w:cnfStyle w:val="000000100000" w:firstRow="0" w:lastRow="0" w:firstColumn="0" w:lastColumn="0" w:oddVBand="0" w:evenVBand="0" w:oddHBand="1" w:evenHBand="0" w:firstRowFirstColumn="0" w:firstRowLastColumn="0" w:lastRowFirstColumn="0" w:lastRowLastColumn="0"/>
          <w:cantSplit/>
          <w:trHeight w:val="739"/>
        </w:trPr>
        <w:tc>
          <w:tcPr>
            <w:cnfStyle w:val="001000000000" w:firstRow="0" w:lastRow="0" w:firstColumn="1" w:lastColumn="0" w:oddVBand="0" w:evenVBand="0" w:oddHBand="0" w:evenHBand="0" w:firstRowFirstColumn="0" w:firstRowLastColumn="0" w:lastRowFirstColumn="0" w:lastRowLastColumn="0"/>
            <w:tcW w:w="1738" w:type="dxa"/>
            <w:vMerge/>
            <w:noWrap/>
            <w:hideMark/>
          </w:tcPr>
          <w:p w14:paraId="44C272CB" w14:textId="73B315C0" w:rsidR="00D17312" w:rsidRPr="000973F2" w:rsidRDefault="00D17312" w:rsidP="00333FEB">
            <w:pPr>
              <w:widowControl w:val="0"/>
              <w:spacing w:before="40" w:after="40"/>
              <w:jc w:val="center"/>
              <w:rPr>
                <w:rFonts w:ascii="Times New Roman" w:eastAsia="Times New Roman" w:hAnsi="Times New Roman" w:cs="Times New Roman"/>
                <w:b/>
                <w:bCs w:val="0"/>
                <w:sz w:val="18"/>
                <w:szCs w:val="18"/>
              </w:rPr>
            </w:pPr>
          </w:p>
        </w:tc>
        <w:tc>
          <w:tcPr>
            <w:tcW w:w="1280" w:type="dxa"/>
            <w:hideMark/>
          </w:tcPr>
          <w:p w14:paraId="72BAB2E1" w14:textId="77777777" w:rsidR="00D17312" w:rsidRPr="000973F2" w:rsidRDefault="00D17312" w:rsidP="00333FEB">
            <w:pPr>
              <w:widowControl w:val="0"/>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18"/>
                <w:szCs w:val="18"/>
              </w:rPr>
            </w:pPr>
            <w:r w:rsidRPr="000973F2">
              <w:rPr>
                <w:rFonts w:ascii="Times New Roman" w:eastAsia="Times New Roman" w:hAnsi="Times New Roman" w:cs="Times New Roman"/>
                <w:b/>
                <w:bCs/>
                <w:sz w:val="18"/>
                <w:szCs w:val="18"/>
              </w:rPr>
              <w:t>Capital Cost (2017$)</w:t>
            </w:r>
          </w:p>
        </w:tc>
        <w:tc>
          <w:tcPr>
            <w:tcW w:w="1280" w:type="dxa"/>
            <w:hideMark/>
          </w:tcPr>
          <w:p w14:paraId="7F6D5978" w14:textId="77777777" w:rsidR="00D17312" w:rsidRPr="000973F2" w:rsidRDefault="00D17312" w:rsidP="00333FEB">
            <w:pPr>
              <w:widowControl w:val="0"/>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18"/>
                <w:szCs w:val="18"/>
              </w:rPr>
            </w:pPr>
            <w:r w:rsidRPr="000973F2">
              <w:rPr>
                <w:rFonts w:ascii="Times New Roman" w:eastAsia="Times New Roman" w:hAnsi="Times New Roman" w:cs="Times New Roman"/>
                <w:b/>
                <w:bCs/>
                <w:sz w:val="18"/>
                <w:szCs w:val="18"/>
              </w:rPr>
              <w:t>Equipment Lifetime</w:t>
            </w:r>
          </w:p>
        </w:tc>
        <w:tc>
          <w:tcPr>
            <w:tcW w:w="1280" w:type="dxa"/>
            <w:hideMark/>
          </w:tcPr>
          <w:p w14:paraId="210E5AFD" w14:textId="77777777" w:rsidR="00D17312" w:rsidRPr="000973F2" w:rsidRDefault="00D17312" w:rsidP="00333FEB">
            <w:pPr>
              <w:widowControl w:val="0"/>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18"/>
                <w:szCs w:val="18"/>
              </w:rPr>
            </w:pPr>
            <w:r w:rsidRPr="000973F2">
              <w:rPr>
                <w:rFonts w:ascii="Times New Roman" w:eastAsia="Times New Roman" w:hAnsi="Times New Roman" w:cs="Times New Roman"/>
                <w:b/>
                <w:bCs/>
                <w:sz w:val="18"/>
                <w:szCs w:val="18"/>
              </w:rPr>
              <w:t>Annualized Capital Cost (2017$/year)</w:t>
            </w:r>
          </w:p>
        </w:tc>
        <w:tc>
          <w:tcPr>
            <w:tcW w:w="1299" w:type="dxa"/>
            <w:hideMark/>
          </w:tcPr>
          <w:p w14:paraId="3EC56245" w14:textId="77777777" w:rsidR="00D17312" w:rsidRPr="000973F2" w:rsidRDefault="00D17312" w:rsidP="00333FEB">
            <w:pPr>
              <w:widowControl w:val="0"/>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18"/>
                <w:szCs w:val="18"/>
              </w:rPr>
            </w:pPr>
            <w:r w:rsidRPr="000973F2">
              <w:rPr>
                <w:rFonts w:ascii="Times New Roman" w:eastAsia="Times New Roman" w:hAnsi="Times New Roman" w:cs="Times New Roman"/>
                <w:b/>
                <w:bCs/>
                <w:sz w:val="18"/>
                <w:szCs w:val="18"/>
              </w:rPr>
              <w:t>O&amp;M Costs (2017$/year)</w:t>
            </w:r>
          </w:p>
        </w:tc>
        <w:tc>
          <w:tcPr>
            <w:tcW w:w="1261" w:type="dxa"/>
            <w:hideMark/>
          </w:tcPr>
          <w:p w14:paraId="3557BA0C" w14:textId="77777777" w:rsidR="00D17312" w:rsidRPr="000973F2" w:rsidRDefault="00D17312" w:rsidP="00333FEB">
            <w:pPr>
              <w:widowControl w:val="0"/>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18"/>
                <w:szCs w:val="18"/>
              </w:rPr>
            </w:pPr>
            <w:r w:rsidRPr="000973F2">
              <w:rPr>
                <w:rFonts w:ascii="Times New Roman" w:eastAsia="Times New Roman" w:hAnsi="Times New Roman" w:cs="Times New Roman"/>
                <w:b/>
                <w:bCs/>
                <w:sz w:val="18"/>
                <w:szCs w:val="18"/>
              </w:rPr>
              <w:t>Initial Year</w:t>
            </w:r>
          </w:p>
        </w:tc>
        <w:tc>
          <w:tcPr>
            <w:tcW w:w="1280" w:type="dxa"/>
            <w:hideMark/>
          </w:tcPr>
          <w:p w14:paraId="0189350E" w14:textId="77777777" w:rsidR="00D17312" w:rsidRPr="000973F2" w:rsidRDefault="00D17312" w:rsidP="00333FEB">
            <w:pPr>
              <w:widowControl w:val="0"/>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18"/>
                <w:szCs w:val="18"/>
              </w:rPr>
            </w:pPr>
            <w:r w:rsidRPr="000973F2">
              <w:rPr>
                <w:rFonts w:ascii="Times New Roman" w:eastAsia="Times New Roman" w:hAnsi="Times New Roman" w:cs="Times New Roman"/>
                <w:b/>
                <w:bCs/>
                <w:sz w:val="18"/>
                <w:szCs w:val="18"/>
              </w:rPr>
              <w:t>Subseq. Years</w:t>
            </w:r>
          </w:p>
        </w:tc>
      </w:tr>
      <w:tr w:rsidR="0062417F" w:rsidRPr="000973F2" w14:paraId="2F668EE6" w14:textId="77777777" w:rsidTr="0041094D">
        <w:trPr>
          <w:cantSplit/>
          <w:trHeight w:val="739"/>
        </w:trPr>
        <w:tc>
          <w:tcPr>
            <w:cnfStyle w:val="001000000000" w:firstRow="0" w:lastRow="0" w:firstColumn="1" w:lastColumn="0" w:oddVBand="0" w:evenVBand="0" w:oddHBand="0" w:evenHBand="0" w:firstRowFirstColumn="0" w:firstRowLastColumn="0" w:lastRowFirstColumn="0" w:lastRowLastColumn="0"/>
            <w:tcW w:w="1738" w:type="dxa"/>
            <w:hideMark/>
          </w:tcPr>
          <w:p w14:paraId="2E8EF483" w14:textId="77777777" w:rsidR="0062417F" w:rsidRPr="000973F2" w:rsidRDefault="0062417F" w:rsidP="00333FEB">
            <w:pPr>
              <w:widowControl w:val="0"/>
              <w:spacing w:before="40" w:after="4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Equipment (selection, purchase, installation)</w:t>
            </w:r>
          </w:p>
        </w:tc>
        <w:tc>
          <w:tcPr>
            <w:tcW w:w="1280" w:type="dxa"/>
            <w:noWrap/>
            <w:hideMark/>
          </w:tcPr>
          <w:p w14:paraId="3D470F95" w14:textId="6AA63217" w:rsidR="0062417F" w:rsidRPr="000973F2" w:rsidRDefault="0062417F" w:rsidP="00333FEB">
            <w:pPr>
              <w:widowControl w:val="0"/>
              <w:spacing w:before="40" w:after="4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w:t>
            </w:r>
          </w:p>
        </w:tc>
        <w:tc>
          <w:tcPr>
            <w:tcW w:w="1280" w:type="dxa"/>
            <w:noWrap/>
          </w:tcPr>
          <w:p w14:paraId="6A2D9BFC" w14:textId="758A301C" w:rsidR="0062417F" w:rsidRPr="000973F2" w:rsidRDefault="0062417F" w:rsidP="00333FEB">
            <w:pPr>
              <w:widowControl w:val="0"/>
              <w:spacing w:before="40" w:after="4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p>
        </w:tc>
        <w:tc>
          <w:tcPr>
            <w:tcW w:w="1280" w:type="dxa"/>
            <w:noWrap/>
            <w:hideMark/>
          </w:tcPr>
          <w:p w14:paraId="72C5F467" w14:textId="63426FAB" w:rsidR="0062417F" w:rsidRPr="000973F2" w:rsidRDefault="0062417F" w:rsidP="00333FEB">
            <w:pPr>
              <w:widowControl w:val="0"/>
              <w:spacing w:before="40" w:after="4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w:t>
            </w:r>
          </w:p>
        </w:tc>
        <w:tc>
          <w:tcPr>
            <w:tcW w:w="1299" w:type="dxa"/>
            <w:noWrap/>
            <w:hideMark/>
          </w:tcPr>
          <w:p w14:paraId="2F3DF5CD" w14:textId="27CBB3DB" w:rsidR="0062417F" w:rsidRPr="000973F2" w:rsidRDefault="0062417F" w:rsidP="00333FEB">
            <w:pPr>
              <w:widowControl w:val="0"/>
              <w:spacing w:before="40" w:after="4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w:t>
            </w:r>
          </w:p>
        </w:tc>
        <w:tc>
          <w:tcPr>
            <w:tcW w:w="1261" w:type="dxa"/>
            <w:noWrap/>
            <w:hideMark/>
          </w:tcPr>
          <w:p w14:paraId="770B7FFA" w14:textId="2259840A" w:rsidR="0062417F" w:rsidRPr="000973F2" w:rsidRDefault="0062417F" w:rsidP="00333FEB">
            <w:pPr>
              <w:widowControl w:val="0"/>
              <w:spacing w:before="40" w:after="4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w:t>
            </w:r>
          </w:p>
        </w:tc>
        <w:tc>
          <w:tcPr>
            <w:tcW w:w="1280" w:type="dxa"/>
            <w:noWrap/>
            <w:hideMark/>
          </w:tcPr>
          <w:p w14:paraId="0F39971B" w14:textId="1F5BB91F" w:rsidR="0062417F" w:rsidRPr="000973F2" w:rsidRDefault="0062417F" w:rsidP="00333FEB">
            <w:pPr>
              <w:widowControl w:val="0"/>
              <w:spacing w:before="40" w:after="4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w:t>
            </w:r>
          </w:p>
        </w:tc>
      </w:tr>
      <w:tr w:rsidR="0062417F" w:rsidRPr="000973F2" w14:paraId="2F84DDDA" w14:textId="77777777" w:rsidTr="0041094D">
        <w:trPr>
          <w:cnfStyle w:val="000000100000" w:firstRow="0" w:lastRow="0" w:firstColumn="0" w:lastColumn="0" w:oddVBand="0" w:evenVBand="0" w:oddHBand="1" w:evenHBand="0" w:firstRowFirstColumn="0" w:firstRowLastColumn="0" w:lastRowFirstColumn="0" w:lastRowLastColumn="0"/>
          <w:cantSplit/>
          <w:trHeight w:val="299"/>
        </w:trPr>
        <w:tc>
          <w:tcPr>
            <w:cnfStyle w:val="001000000000" w:firstRow="0" w:lastRow="0" w:firstColumn="1" w:lastColumn="0" w:oddVBand="0" w:evenVBand="0" w:oddHBand="0" w:evenHBand="0" w:firstRowFirstColumn="0" w:firstRowLastColumn="0" w:lastRowFirstColumn="0" w:lastRowLastColumn="0"/>
            <w:tcW w:w="1738" w:type="dxa"/>
            <w:hideMark/>
          </w:tcPr>
          <w:p w14:paraId="0C84C7DA" w14:textId="77777777" w:rsidR="0062417F" w:rsidRPr="000973F2" w:rsidRDefault="0062417F" w:rsidP="00333FEB">
            <w:pPr>
              <w:widowControl w:val="0"/>
              <w:spacing w:before="40" w:after="4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Performance testing</w:t>
            </w:r>
          </w:p>
        </w:tc>
        <w:tc>
          <w:tcPr>
            <w:tcW w:w="1280" w:type="dxa"/>
            <w:noWrap/>
            <w:hideMark/>
          </w:tcPr>
          <w:p w14:paraId="5CF3B5CF" w14:textId="1C7AC220" w:rsidR="0062417F" w:rsidRPr="000973F2" w:rsidRDefault="0062417F" w:rsidP="00333FEB">
            <w:pPr>
              <w:widowControl w:val="0"/>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w:t>
            </w:r>
          </w:p>
        </w:tc>
        <w:tc>
          <w:tcPr>
            <w:tcW w:w="1280" w:type="dxa"/>
            <w:noWrap/>
          </w:tcPr>
          <w:p w14:paraId="0C92A835" w14:textId="516496D6" w:rsidR="0062417F" w:rsidRPr="000973F2" w:rsidRDefault="0062417F" w:rsidP="00333FEB">
            <w:pPr>
              <w:widowControl w:val="0"/>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p>
        </w:tc>
        <w:tc>
          <w:tcPr>
            <w:tcW w:w="1280" w:type="dxa"/>
            <w:noWrap/>
            <w:hideMark/>
          </w:tcPr>
          <w:p w14:paraId="714BC335" w14:textId="7E319D83" w:rsidR="0062417F" w:rsidRPr="000973F2" w:rsidRDefault="0062417F" w:rsidP="00333FEB">
            <w:pPr>
              <w:widowControl w:val="0"/>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w:t>
            </w:r>
          </w:p>
        </w:tc>
        <w:tc>
          <w:tcPr>
            <w:tcW w:w="1299" w:type="dxa"/>
            <w:noWrap/>
            <w:hideMark/>
          </w:tcPr>
          <w:p w14:paraId="028CACD0" w14:textId="6E4EC5B4" w:rsidR="0062417F" w:rsidRPr="000973F2" w:rsidRDefault="0062417F" w:rsidP="00333FEB">
            <w:pPr>
              <w:widowControl w:val="0"/>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w:t>
            </w:r>
          </w:p>
        </w:tc>
        <w:tc>
          <w:tcPr>
            <w:tcW w:w="1261" w:type="dxa"/>
            <w:noWrap/>
            <w:hideMark/>
          </w:tcPr>
          <w:p w14:paraId="69CE520B" w14:textId="17DB3413" w:rsidR="0062417F" w:rsidRPr="000973F2" w:rsidRDefault="0062417F" w:rsidP="00333FEB">
            <w:pPr>
              <w:widowControl w:val="0"/>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w:t>
            </w:r>
          </w:p>
        </w:tc>
        <w:tc>
          <w:tcPr>
            <w:tcW w:w="1280" w:type="dxa"/>
            <w:noWrap/>
            <w:hideMark/>
          </w:tcPr>
          <w:p w14:paraId="2B2E6FD4" w14:textId="64BFD38F" w:rsidR="0062417F" w:rsidRPr="000973F2" w:rsidRDefault="0062417F" w:rsidP="00333FEB">
            <w:pPr>
              <w:widowControl w:val="0"/>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w:t>
            </w:r>
          </w:p>
        </w:tc>
      </w:tr>
      <w:tr w:rsidR="00D2323F" w:rsidRPr="000973F2" w14:paraId="227E0942" w14:textId="77777777" w:rsidTr="0041094D">
        <w:trPr>
          <w:cantSplit/>
          <w:trHeight w:val="283"/>
        </w:trPr>
        <w:tc>
          <w:tcPr>
            <w:cnfStyle w:val="001000000000" w:firstRow="0" w:lastRow="0" w:firstColumn="1" w:lastColumn="0" w:oddVBand="0" w:evenVBand="0" w:oddHBand="0" w:evenHBand="0" w:firstRowFirstColumn="0" w:firstRowLastColumn="0" w:lastRowFirstColumn="0" w:lastRowLastColumn="0"/>
            <w:tcW w:w="1738" w:type="dxa"/>
            <w:hideMark/>
          </w:tcPr>
          <w:p w14:paraId="173FB2C3" w14:textId="77777777" w:rsidR="00D2323F" w:rsidRPr="000973F2" w:rsidRDefault="00D2323F" w:rsidP="00333FEB">
            <w:pPr>
              <w:widowControl w:val="0"/>
              <w:spacing w:before="40" w:after="4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Recordkeeping</w:t>
            </w:r>
          </w:p>
        </w:tc>
        <w:tc>
          <w:tcPr>
            <w:tcW w:w="1280" w:type="dxa"/>
            <w:noWrap/>
            <w:hideMark/>
          </w:tcPr>
          <w:p w14:paraId="01B9B005" w14:textId="77777777" w:rsidR="00D2323F" w:rsidRPr="000973F2" w:rsidRDefault="00D2323F" w:rsidP="00333FEB">
            <w:pPr>
              <w:widowControl w:val="0"/>
              <w:spacing w:before="40" w:after="4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$0</w:t>
            </w:r>
          </w:p>
        </w:tc>
        <w:tc>
          <w:tcPr>
            <w:tcW w:w="1280" w:type="dxa"/>
            <w:noWrap/>
          </w:tcPr>
          <w:p w14:paraId="4BA266BD" w14:textId="6E8116DF" w:rsidR="00D2323F" w:rsidRPr="000973F2" w:rsidRDefault="00D2323F" w:rsidP="00333FEB">
            <w:pPr>
              <w:widowControl w:val="0"/>
              <w:spacing w:before="40" w:after="4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p>
        </w:tc>
        <w:tc>
          <w:tcPr>
            <w:tcW w:w="1280" w:type="dxa"/>
            <w:noWrap/>
            <w:hideMark/>
          </w:tcPr>
          <w:p w14:paraId="304C3FF9" w14:textId="77777777" w:rsidR="00D2323F" w:rsidRPr="000973F2" w:rsidRDefault="00D2323F" w:rsidP="00333FEB">
            <w:pPr>
              <w:widowControl w:val="0"/>
              <w:spacing w:before="40" w:after="4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$0</w:t>
            </w:r>
          </w:p>
        </w:tc>
        <w:tc>
          <w:tcPr>
            <w:tcW w:w="1299" w:type="dxa"/>
            <w:noWrap/>
            <w:hideMark/>
          </w:tcPr>
          <w:p w14:paraId="783EFFBB" w14:textId="77777777" w:rsidR="00D2323F" w:rsidRPr="000973F2" w:rsidRDefault="00D2323F" w:rsidP="00333FEB">
            <w:pPr>
              <w:widowControl w:val="0"/>
              <w:spacing w:before="40" w:after="4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$50</w:t>
            </w:r>
          </w:p>
        </w:tc>
        <w:tc>
          <w:tcPr>
            <w:tcW w:w="1261" w:type="dxa"/>
            <w:noWrap/>
            <w:hideMark/>
          </w:tcPr>
          <w:p w14:paraId="23E5A5B1" w14:textId="77777777" w:rsidR="00D2323F" w:rsidRPr="000973F2" w:rsidRDefault="00D2323F" w:rsidP="00333FEB">
            <w:pPr>
              <w:widowControl w:val="0"/>
              <w:spacing w:before="40" w:after="4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$0</w:t>
            </w:r>
          </w:p>
        </w:tc>
        <w:tc>
          <w:tcPr>
            <w:tcW w:w="1280" w:type="dxa"/>
            <w:noWrap/>
            <w:hideMark/>
          </w:tcPr>
          <w:p w14:paraId="3C123B69" w14:textId="77777777" w:rsidR="00D2323F" w:rsidRPr="000973F2" w:rsidRDefault="00D2323F" w:rsidP="00333FEB">
            <w:pPr>
              <w:widowControl w:val="0"/>
              <w:spacing w:before="40" w:after="4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$50</w:t>
            </w:r>
          </w:p>
        </w:tc>
      </w:tr>
      <w:tr w:rsidR="0062417F" w:rsidRPr="000973F2" w14:paraId="1FCBB163" w14:textId="77777777" w:rsidTr="0041094D">
        <w:trPr>
          <w:cnfStyle w:val="000000100000" w:firstRow="0" w:lastRow="0" w:firstColumn="0" w:lastColumn="0" w:oddVBand="0" w:evenVBand="0" w:oddHBand="1" w:evenHBand="0" w:firstRowFirstColumn="0" w:firstRowLastColumn="0" w:lastRowFirstColumn="0" w:lastRowLastColumn="0"/>
          <w:cantSplit/>
          <w:trHeight w:val="299"/>
        </w:trPr>
        <w:tc>
          <w:tcPr>
            <w:cnfStyle w:val="001000000000" w:firstRow="0" w:lastRow="0" w:firstColumn="1" w:lastColumn="0" w:oddVBand="0" w:evenVBand="0" w:oddHBand="0" w:evenHBand="0" w:firstRowFirstColumn="0" w:firstRowLastColumn="0" w:lastRowFirstColumn="0" w:lastRowLastColumn="0"/>
            <w:tcW w:w="1738" w:type="dxa"/>
            <w:hideMark/>
          </w:tcPr>
          <w:p w14:paraId="5835E1D9" w14:textId="77777777" w:rsidR="0062417F" w:rsidRPr="000973F2" w:rsidRDefault="0062417F" w:rsidP="00333FEB">
            <w:pPr>
              <w:widowControl w:val="0"/>
              <w:spacing w:before="40" w:after="4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Travel</w:t>
            </w:r>
          </w:p>
        </w:tc>
        <w:tc>
          <w:tcPr>
            <w:tcW w:w="1280" w:type="dxa"/>
            <w:noWrap/>
            <w:hideMark/>
          </w:tcPr>
          <w:p w14:paraId="26261681" w14:textId="359C505D" w:rsidR="0062417F" w:rsidRPr="000973F2" w:rsidRDefault="0062417F" w:rsidP="00333FEB">
            <w:pPr>
              <w:widowControl w:val="0"/>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w:t>
            </w:r>
          </w:p>
        </w:tc>
        <w:tc>
          <w:tcPr>
            <w:tcW w:w="1280" w:type="dxa"/>
            <w:noWrap/>
          </w:tcPr>
          <w:p w14:paraId="1E3A1015" w14:textId="1AFB628A" w:rsidR="0062417F" w:rsidRPr="000973F2" w:rsidRDefault="0062417F" w:rsidP="00333FEB">
            <w:pPr>
              <w:widowControl w:val="0"/>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p>
        </w:tc>
        <w:tc>
          <w:tcPr>
            <w:tcW w:w="1280" w:type="dxa"/>
            <w:noWrap/>
            <w:hideMark/>
          </w:tcPr>
          <w:p w14:paraId="3487B877" w14:textId="1FCE7A93" w:rsidR="0062417F" w:rsidRPr="000973F2" w:rsidRDefault="0062417F" w:rsidP="00333FEB">
            <w:pPr>
              <w:widowControl w:val="0"/>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w:t>
            </w:r>
          </w:p>
        </w:tc>
        <w:tc>
          <w:tcPr>
            <w:tcW w:w="1299" w:type="dxa"/>
            <w:noWrap/>
            <w:hideMark/>
          </w:tcPr>
          <w:p w14:paraId="55BC87F8" w14:textId="226C67AF" w:rsidR="0062417F" w:rsidRPr="000973F2" w:rsidRDefault="0062417F" w:rsidP="00333FEB">
            <w:pPr>
              <w:widowControl w:val="0"/>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w:t>
            </w:r>
          </w:p>
        </w:tc>
        <w:tc>
          <w:tcPr>
            <w:tcW w:w="1261" w:type="dxa"/>
            <w:noWrap/>
            <w:hideMark/>
          </w:tcPr>
          <w:p w14:paraId="3CB90DA9" w14:textId="01868D55" w:rsidR="0062417F" w:rsidRPr="000973F2" w:rsidRDefault="0062417F" w:rsidP="00333FEB">
            <w:pPr>
              <w:widowControl w:val="0"/>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w:t>
            </w:r>
          </w:p>
        </w:tc>
        <w:tc>
          <w:tcPr>
            <w:tcW w:w="1280" w:type="dxa"/>
            <w:noWrap/>
            <w:hideMark/>
          </w:tcPr>
          <w:p w14:paraId="224DDAB2" w14:textId="2B8776F9" w:rsidR="0062417F" w:rsidRPr="000973F2" w:rsidRDefault="0062417F" w:rsidP="00333FEB">
            <w:pPr>
              <w:widowControl w:val="0"/>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w:t>
            </w:r>
          </w:p>
        </w:tc>
      </w:tr>
      <w:tr w:rsidR="0062417F" w:rsidRPr="000973F2" w14:paraId="3D8E9C74" w14:textId="77777777" w:rsidTr="0041094D">
        <w:trPr>
          <w:cantSplit/>
          <w:trHeight w:val="519"/>
        </w:trPr>
        <w:tc>
          <w:tcPr>
            <w:cnfStyle w:val="001000000000" w:firstRow="0" w:lastRow="0" w:firstColumn="1" w:lastColumn="0" w:oddVBand="0" w:evenVBand="0" w:oddHBand="0" w:evenHBand="0" w:firstRowFirstColumn="0" w:firstRowLastColumn="0" w:lastRowFirstColumn="0" w:lastRowLastColumn="0"/>
            <w:tcW w:w="1738" w:type="dxa"/>
            <w:hideMark/>
          </w:tcPr>
          <w:p w14:paraId="6460EAD2" w14:textId="78086D94" w:rsidR="0062417F" w:rsidRPr="000973F2" w:rsidRDefault="0062417F" w:rsidP="00333FEB">
            <w:pPr>
              <w:widowControl w:val="0"/>
              <w:spacing w:before="40" w:after="4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Sampling and Analysis Costs</w:t>
            </w:r>
          </w:p>
        </w:tc>
        <w:tc>
          <w:tcPr>
            <w:tcW w:w="1280" w:type="dxa"/>
            <w:noWrap/>
            <w:hideMark/>
          </w:tcPr>
          <w:p w14:paraId="751D5B8B" w14:textId="1916C81D" w:rsidR="0062417F" w:rsidRPr="000973F2" w:rsidRDefault="0062417F" w:rsidP="00333FEB">
            <w:pPr>
              <w:widowControl w:val="0"/>
              <w:spacing w:before="40" w:after="4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w:t>
            </w:r>
          </w:p>
        </w:tc>
        <w:tc>
          <w:tcPr>
            <w:tcW w:w="1280" w:type="dxa"/>
            <w:noWrap/>
          </w:tcPr>
          <w:p w14:paraId="024DDADC" w14:textId="390016F5" w:rsidR="0062417F" w:rsidRPr="000973F2" w:rsidRDefault="0062417F" w:rsidP="00333FEB">
            <w:pPr>
              <w:widowControl w:val="0"/>
              <w:spacing w:before="40" w:after="4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p>
        </w:tc>
        <w:tc>
          <w:tcPr>
            <w:tcW w:w="1280" w:type="dxa"/>
            <w:noWrap/>
            <w:hideMark/>
          </w:tcPr>
          <w:p w14:paraId="7FD1EB08" w14:textId="0F91CEA7" w:rsidR="0062417F" w:rsidRPr="000973F2" w:rsidRDefault="0062417F" w:rsidP="00333FEB">
            <w:pPr>
              <w:widowControl w:val="0"/>
              <w:spacing w:before="40" w:after="4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w:t>
            </w:r>
          </w:p>
        </w:tc>
        <w:tc>
          <w:tcPr>
            <w:tcW w:w="1299" w:type="dxa"/>
            <w:noWrap/>
            <w:hideMark/>
          </w:tcPr>
          <w:p w14:paraId="33328C31" w14:textId="2A461CD7" w:rsidR="0062417F" w:rsidRPr="000973F2" w:rsidRDefault="0062417F" w:rsidP="00333FEB">
            <w:pPr>
              <w:widowControl w:val="0"/>
              <w:spacing w:before="40" w:after="4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w:t>
            </w:r>
          </w:p>
        </w:tc>
        <w:tc>
          <w:tcPr>
            <w:tcW w:w="1261" w:type="dxa"/>
            <w:noWrap/>
            <w:hideMark/>
          </w:tcPr>
          <w:p w14:paraId="35390F24" w14:textId="770ECA36" w:rsidR="0062417F" w:rsidRPr="000973F2" w:rsidRDefault="0062417F" w:rsidP="00333FEB">
            <w:pPr>
              <w:widowControl w:val="0"/>
              <w:spacing w:before="40" w:after="4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w:t>
            </w:r>
          </w:p>
        </w:tc>
        <w:tc>
          <w:tcPr>
            <w:tcW w:w="1280" w:type="dxa"/>
            <w:noWrap/>
            <w:hideMark/>
          </w:tcPr>
          <w:p w14:paraId="69069BA9" w14:textId="2494A4FC" w:rsidR="0062417F" w:rsidRPr="000973F2" w:rsidRDefault="0062417F" w:rsidP="00333FEB">
            <w:pPr>
              <w:widowControl w:val="0"/>
              <w:spacing w:before="40" w:after="4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w:t>
            </w:r>
          </w:p>
        </w:tc>
      </w:tr>
      <w:tr w:rsidR="00D2323F" w:rsidRPr="000973F2" w14:paraId="4BA131F6" w14:textId="77777777" w:rsidTr="0041094D">
        <w:trPr>
          <w:cnfStyle w:val="000000100000" w:firstRow="0" w:lastRow="0" w:firstColumn="0" w:lastColumn="0" w:oddVBand="0" w:evenVBand="0" w:oddHBand="1" w:evenHBand="0" w:firstRowFirstColumn="0" w:firstRowLastColumn="0" w:lastRowFirstColumn="0" w:lastRowLastColumn="0"/>
          <w:cantSplit/>
          <w:trHeight w:val="299"/>
        </w:trPr>
        <w:tc>
          <w:tcPr>
            <w:cnfStyle w:val="001000000000" w:firstRow="0" w:lastRow="0" w:firstColumn="1" w:lastColumn="0" w:oddVBand="0" w:evenVBand="0" w:oddHBand="0" w:evenHBand="0" w:firstRowFirstColumn="0" w:firstRowLastColumn="0" w:lastRowFirstColumn="0" w:lastRowLastColumn="0"/>
            <w:tcW w:w="1738" w:type="dxa"/>
            <w:hideMark/>
          </w:tcPr>
          <w:p w14:paraId="2314E3DC" w14:textId="77777777" w:rsidR="00D2323F" w:rsidRPr="000973F2" w:rsidRDefault="00D2323F" w:rsidP="00333FEB">
            <w:pPr>
              <w:widowControl w:val="0"/>
              <w:spacing w:before="40" w:after="40"/>
              <w:rPr>
                <w:rFonts w:ascii="Times New Roman" w:eastAsia="Times New Roman" w:hAnsi="Times New Roman" w:cs="Times New Roman"/>
                <w:b/>
                <w:bCs w:val="0"/>
                <w:sz w:val="18"/>
                <w:szCs w:val="18"/>
              </w:rPr>
            </w:pPr>
            <w:r w:rsidRPr="000973F2">
              <w:rPr>
                <w:rFonts w:ascii="Times New Roman" w:eastAsia="Times New Roman" w:hAnsi="Times New Roman" w:cs="Times New Roman"/>
                <w:b/>
                <w:sz w:val="18"/>
                <w:szCs w:val="18"/>
              </w:rPr>
              <w:t>Total</w:t>
            </w:r>
          </w:p>
        </w:tc>
        <w:tc>
          <w:tcPr>
            <w:tcW w:w="1280" w:type="dxa"/>
            <w:noWrap/>
            <w:hideMark/>
          </w:tcPr>
          <w:p w14:paraId="737640F7" w14:textId="77777777" w:rsidR="00D2323F" w:rsidRPr="000973F2" w:rsidRDefault="00D2323F" w:rsidP="00333FEB">
            <w:pPr>
              <w:widowControl w:val="0"/>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sz w:val="18"/>
                <w:szCs w:val="18"/>
              </w:rPr>
            </w:pPr>
            <w:r w:rsidRPr="000973F2">
              <w:rPr>
                <w:rFonts w:ascii="Times New Roman" w:eastAsia="Times New Roman" w:hAnsi="Times New Roman" w:cs="Times New Roman"/>
                <w:b/>
                <w:sz w:val="18"/>
                <w:szCs w:val="18"/>
              </w:rPr>
              <w:t>$0</w:t>
            </w:r>
          </w:p>
        </w:tc>
        <w:tc>
          <w:tcPr>
            <w:tcW w:w="1280" w:type="dxa"/>
            <w:noWrap/>
            <w:hideMark/>
          </w:tcPr>
          <w:p w14:paraId="1AA73FF7" w14:textId="2F1FA38F" w:rsidR="00D2323F" w:rsidRPr="000973F2" w:rsidRDefault="00D2323F" w:rsidP="00333FEB">
            <w:pPr>
              <w:widowControl w:val="0"/>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sz w:val="18"/>
                <w:szCs w:val="18"/>
              </w:rPr>
            </w:pPr>
          </w:p>
        </w:tc>
        <w:tc>
          <w:tcPr>
            <w:tcW w:w="1280" w:type="dxa"/>
            <w:noWrap/>
            <w:hideMark/>
          </w:tcPr>
          <w:p w14:paraId="1D4DA081" w14:textId="77777777" w:rsidR="00D2323F" w:rsidRPr="000973F2" w:rsidRDefault="00D2323F" w:rsidP="00333FEB">
            <w:pPr>
              <w:widowControl w:val="0"/>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sz w:val="18"/>
                <w:szCs w:val="18"/>
              </w:rPr>
            </w:pPr>
            <w:r w:rsidRPr="000973F2">
              <w:rPr>
                <w:rFonts w:ascii="Times New Roman" w:eastAsia="Times New Roman" w:hAnsi="Times New Roman" w:cs="Times New Roman"/>
                <w:b/>
                <w:sz w:val="18"/>
                <w:szCs w:val="18"/>
              </w:rPr>
              <w:t>$0</w:t>
            </w:r>
          </w:p>
        </w:tc>
        <w:tc>
          <w:tcPr>
            <w:tcW w:w="1299" w:type="dxa"/>
            <w:noWrap/>
            <w:hideMark/>
          </w:tcPr>
          <w:p w14:paraId="46132A10" w14:textId="77777777" w:rsidR="00D2323F" w:rsidRPr="000973F2" w:rsidRDefault="00D2323F" w:rsidP="00333FEB">
            <w:pPr>
              <w:widowControl w:val="0"/>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sz w:val="18"/>
                <w:szCs w:val="18"/>
              </w:rPr>
            </w:pPr>
            <w:r w:rsidRPr="000973F2">
              <w:rPr>
                <w:rFonts w:ascii="Times New Roman" w:eastAsia="Times New Roman" w:hAnsi="Times New Roman" w:cs="Times New Roman"/>
                <w:b/>
                <w:sz w:val="18"/>
                <w:szCs w:val="18"/>
              </w:rPr>
              <w:t>$50</w:t>
            </w:r>
          </w:p>
        </w:tc>
        <w:tc>
          <w:tcPr>
            <w:tcW w:w="1261" w:type="dxa"/>
            <w:noWrap/>
            <w:hideMark/>
          </w:tcPr>
          <w:p w14:paraId="6841804D" w14:textId="77777777" w:rsidR="00D2323F" w:rsidRPr="000973F2" w:rsidRDefault="00D2323F" w:rsidP="00333FEB">
            <w:pPr>
              <w:widowControl w:val="0"/>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sz w:val="18"/>
                <w:szCs w:val="18"/>
              </w:rPr>
            </w:pPr>
            <w:r w:rsidRPr="000973F2">
              <w:rPr>
                <w:rFonts w:ascii="Times New Roman" w:eastAsia="Times New Roman" w:hAnsi="Times New Roman" w:cs="Times New Roman"/>
                <w:b/>
                <w:sz w:val="18"/>
                <w:szCs w:val="18"/>
              </w:rPr>
              <w:t>$0</w:t>
            </w:r>
          </w:p>
        </w:tc>
        <w:tc>
          <w:tcPr>
            <w:tcW w:w="1280" w:type="dxa"/>
            <w:noWrap/>
            <w:hideMark/>
          </w:tcPr>
          <w:p w14:paraId="33E3F7AB" w14:textId="77777777" w:rsidR="00D2323F" w:rsidRPr="000973F2" w:rsidRDefault="00D2323F" w:rsidP="00333FEB">
            <w:pPr>
              <w:widowControl w:val="0"/>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sz w:val="18"/>
                <w:szCs w:val="18"/>
              </w:rPr>
            </w:pPr>
            <w:r w:rsidRPr="000973F2">
              <w:rPr>
                <w:rFonts w:ascii="Times New Roman" w:eastAsia="Times New Roman" w:hAnsi="Times New Roman" w:cs="Times New Roman"/>
                <w:b/>
                <w:sz w:val="18"/>
                <w:szCs w:val="18"/>
              </w:rPr>
              <w:t>$50</w:t>
            </w:r>
          </w:p>
        </w:tc>
      </w:tr>
    </w:tbl>
    <w:p w14:paraId="02069837" w14:textId="77777777" w:rsidR="00D2323F" w:rsidRPr="000973F2" w:rsidRDefault="00D2323F" w:rsidP="00C00E4F">
      <w:pPr>
        <w:widowControl w:val="0"/>
        <w:spacing w:line="240" w:lineRule="auto"/>
        <w:rPr>
          <w:rFonts w:ascii="Times New Roman" w:hAnsi="Times New Roman" w:cs="Times New Roman"/>
          <w:b/>
          <w:bCs/>
          <w:i/>
          <w:iCs/>
          <w:sz w:val="24"/>
          <w:szCs w:val="24"/>
        </w:rPr>
      </w:pPr>
    </w:p>
    <w:p w14:paraId="05CEF172" w14:textId="77777777" w:rsidR="003768E3" w:rsidRPr="000973F2" w:rsidRDefault="003768E3" w:rsidP="00C00E4F">
      <w:pPr>
        <w:widowControl w:val="0"/>
        <w:spacing w:line="240" w:lineRule="auto"/>
        <w:rPr>
          <w:rFonts w:ascii="Times New Roman" w:hAnsi="Times New Roman" w:cs="Times New Roman"/>
          <w:b/>
          <w:bCs/>
          <w:i/>
          <w:iCs/>
          <w:szCs w:val="24"/>
        </w:rPr>
      </w:pPr>
      <w:r w:rsidRPr="000973F2">
        <w:rPr>
          <w:rFonts w:ascii="Times New Roman" w:hAnsi="Times New Roman" w:cs="Times New Roman"/>
          <w:b/>
          <w:bCs/>
          <w:i/>
          <w:iCs/>
          <w:szCs w:val="24"/>
        </w:rPr>
        <w:br w:type="page"/>
      </w:r>
    </w:p>
    <w:p w14:paraId="520A3465" w14:textId="4A464B98" w:rsidR="00D2323F" w:rsidRPr="000973F2" w:rsidRDefault="00D2323F" w:rsidP="00AA3568">
      <w:pPr>
        <w:pStyle w:val="Heading2"/>
      </w:pPr>
      <w:r w:rsidRPr="000973F2">
        <w:t>Labor Costs for Subpart FF – Methane Liberation from Degasification Systems that Do Not Destroy Methane or Transport Methane Offsite</w:t>
      </w:r>
    </w:p>
    <w:p w14:paraId="6C88EC4B" w14:textId="02D70A53" w:rsidR="00D2323F" w:rsidRPr="000973F2" w:rsidRDefault="00D2323F" w:rsidP="00AA3568">
      <w:pPr>
        <w:pStyle w:val="BodyText"/>
        <w:rPr>
          <w:rFonts w:eastAsia="Times New Roman"/>
          <w:b/>
          <w:bCs/>
          <w:sz w:val="14"/>
          <w:szCs w:val="16"/>
        </w:rPr>
      </w:pPr>
      <w:r w:rsidRPr="000973F2">
        <w:t xml:space="preserve">Table </w:t>
      </w:r>
      <w:r w:rsidR="00AA3568" w:rsidRPr="000973F2">
        <w:t>FF-</w:t>
      </w:r>
      <w:r w:rsidRPr="000973F2">
        <w:t>1b summarizes labor hours associated with calculating degasification emissions for each of the 6 facilities with degasification systems that do not destroy or send any methane offsite. These six facilities have an average of five monitoring points each and are expected to conduct weekly sampling for volumetric flow and methane concentration, as required in §98.324(c)(2). The analysis for CH</w:t>
      </w:r>
      <w:r w:rsidRPr="000973F2">
        <w:rPr>
          <w:vertAlign w:val="subscript"/>
        </w:rPr>
        <w:t>4</w:t>
      </w:r>
      <w:r w:rsidRPr="000973F2">
        <w:t xml:space="preserve"> concentration requires sampling, and either laboratory analyses or the use of a methanometer. Purchase and use of a methanometer to monitor the methane concentration is more economical than sending samples to a laboratory, therefore, it is assumed that all 6 facilities use a methanometer. Only facilities that report degasification emissions that do not also report emissions from methane destroyed or sent offsite have to conduct sample tests for degasification emissions since that monitoring is not expected to already be performed under the facility’s normal business operations. Table </w:t>
      </w:r>
      <w:r w:rsidR="00AA3568" w:rsidRPr="000973F2">
        <w:t>FF-</w:t>
      </w:r>
      <w:r w:rsidRPr="000973F2">
        <w:t xml:space="preserve">1b does not include reporting or recordkeeping costs, as these are already accounted for in Table </w:t>
      </w:r>
      <w:r w:rsidR="000D7DE6" w:rsidRPr="000973F2">
        <w:t>FF-</w:t>
      </w:r>
      <w:r w:rsidRPr="000973F2">
        <w:t>1a for all Subpart FF facilities.</w:t>
      </w:r>
    </w:p>
    <w:p w14:paraId="48D579FA" w14:textId="5BB6335F" w:rsidR="009E14AF" w:rsidRPr="000973F2" w:rsidRDefault="009E14AF" w:rsidP="00AA3568">
      <w:pPr>
        <w:pStyle w:val="Tabletitle"/>
        <w:rPr>
          <w:i/>
          <w:szCs w:val="24"/>
        </w:rPr>
      </w:pPr>
      <w:r w:rsidRPr="000973F2">
        <w:rPr>
          <w:rFonts w:eastAsia="Times New Roman"/>
        </w:rPr>
        <w:t xml:space="preserve">Table </w:t>
      </w:r>
      <w:r w:rsidR="00AA3568" w:rsidRPr="000973F2">
        <w:rPr>
          <w:rFonts w:eastAsia="Times New Roman"/>
        </w:rPr>
        <w:t>FF-</w:t>
      </w:r>
      <w:r w:rsidRPr="000973F2">
        <w:rPr>
          <w:rFonts w:eastAsia="Times New Roman"/>
        </w:rPr>
        <w:t xml:space="preserve">1b. Labor Costs </w:t>
      </w:r>
      <w:r w:rsidR="00B960CC" w:rsidRPr="000973F2">
        <w:rPr>
          <w:rFonts w:eastAsia="Times New Roman"/>
        </w:rPr>
        <w:t>–</w:t>
      </w:r>
      <w:r w:rsidRPr="000973F2">
        <w:rPr>
          <w:rFonts w:eastAsia="Times New Roman"/>
        </w:rPr>
        <w:t xml:space="preserve"> Subpart FF – </w:t>
      </w:r>
      <w:r w:rsidRPr="000973F2">
        <w:t>Methane Liberation from Degasification Systems that Do Not Destroy Methane or Transport Methane Offsite</w:t>
      </w:r>
    </w:p>
    <w:tbl>
      <w:tblPr>
        <w:tblStyle w:val="PlainTable1"/>
        <w:tblW w:w="5008" w:type="pct"/>
        <w:jc w:val="left"/>
        <w:tblLayout w:type="fixed"/>
        <w:tblCellMar>
          <w:left w:w="115" w:type="dxa"/>
          <w:right w:w="115" w:type="dxa"/>
        </w:tblCellMar>
        <w:tblLook w:val="04A0" w:firstRow="1" w:lastRow="0" w:firstColumn="1" w:lastColumn="0" w:noHBand="0" w:noVBand="1"/>
      </w:tblPr>
      <w:tblGrid>
        <w:gridCol w:w="1464"/>
        <w:gridCol w:w="809"/>
        <w:gridCol w:w="810"/>
        <w:gridCol w:w="809"/>
        <w:gridCol w:w="810"/>
        <w:gridCol w:w="809"/>
        <w:gridCol w:w="810"/>
        <w:gridCol w:w="809"/>
        <w:gridCol w:w="810"/>
        <w:gridCol w:w="752"/>
        <w:gridCol w:w="913"/>
      </w:tblGrid>
      <w:tr w:rsidR="00D2323F" w:rsidRPr="000973F2" w14:paraId="44593320" w14:textId="77777777" w:rsidTr="0041094D">
        <w:trPr>
          <w:cnfStyle w:val="100000000000" w:firstRow="1" w:lastRow="0" w:firstColumn="0" w:lastColumn="0" w:oddVBand="0" w:evenVBand="0" w:oddHBand="0" w:evenHBand="0" w:firstRowFirstColumn="0" w:firstRowLastColumn="0" w:lastRowFirstColumn="0" w:lastRowLastColumn="0"/>
          <w:cantSplit/>
          <w:jc w:val="left"/>
        </w:trPr>
        <w:tc>
          <w:tcPr>
            <w:cnfStyle w:val="001000000000" w:firstRow="0" w:lastRow="0" w:firstColumn="1" w:lastColumn="0" w:oddVBand="0" w:evenVBand="0" w:oddHBand="0" w:evenHBand="0" w:firstRowFirstColumn="0" w:firstRowLastColumn="0" w:lastRowFirstColumn="0" w:lastRowLastColumn="0"/>
            <w:tcW w:w="1425" w:type="dxa"/>
            <w:vMerge w:val="restart"/>
            <w:noWrap/>
            <w:vAlign w:val="top"/>
            <w:hideMark/>
          </w:tcPr>
          <w:p w14:paraId="451F6CD8" w14:textId="77777777" w:rsidR="00D2323F" w:rsidRPr="000973F2" w:rsidRDefault="00D2323F" w:rsidP="005E78BD">
            <w:pPr>
              <w:widowControl w:val="0"/>
              <w:spacing w:before="40" w:after="40"/>
              <w:rPr>
                <w:rFonts w:ascii="Times New Roman" w:eastAsia="Times New Roman" w:hAnsi="Times New Roman" w:cs="Times New Roman"/>
                <w:bCs w:val="0"/>
                <w:sz w:val="18"/>
                <w:szCs w:val="18"/>
              </w:rPr>
            </w:pPr>
            <w:r w:rsidRPr="000973F2">
              <w:rPr>
                <w:rFonts w:ascii="Times New Roman" w:eastAsia="Times New Roman" w:hAnsi="Times New Roman" w:cs="Times New Roman"/>
                <w:bCs w:val="0"/>
                <w:sz w:val="18"/>
                <w:szCs w:val="18"/>
              </w:rPr>
              <w:t>Activity</w:t>
            </w:r>
          </w:p>
        </w:tc>
        <w:tc>
          <w:tcPr>
            <w:tcW w:w="6300" w:type="dxa"/>
            <w:gridSpan w:val="8"/>
            <w:noWrap/>
            <w:vAlign w:val="top"/>
            <w:hideMark/>
          </w:tcPr>
          <w:p w14:paraId="619F61A6" w14:textId="77777777" w:rsidR="00D2323F" w:rsidRPr="000973F2" w:rsidRDefault="00D2323F" w:rsidP="005E78BD">
            <w:pPr>
              <w:widowControl w:val="0"/>
              <w:spacing w:before="40" w:after="40"/>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Cs w:val="0"/>
                <w:sz w:val="18"/>
                <w:szCs w:val="18"/>
              </w:rPr>
            </w:pPr>
            <w:r w:rsidRPr="000973F2">
              <w:rPr>
                <w:rFonts w:ascii="Times New Roman" w:eastAsia="Times New Roman" w:hAnsi="Times New Roman" w:cs="Times New Roman"/>
                <w:bCs w:val="0"/>
                <w:sz w:val="18"/>
                <w:szCs w:val="18"/>
              </w:rPr>
              <w:t>Labor Rates (per hour)</w:t>
            </w:r>
          </w:p>
        </w:tc>
        <w:tc>
          <w:tcPr>
            <w:tcW w:w="1620" w:type="dxa"/>
            <w:gridSpan w:val="2"/>
            <w:vMerge w:val="restart"/>
            <w:vAlign w:val="top"/>
            <w:hideMark/>
          </w:tcPr>
          <w:p w14:paraId="3A720C93" w14:textId="77777777" w:rsidR="00D2323F" w:rsidRPr="000973F2" w:rsidRDefault="00D2323F" w:rsidP="005E78BD">
            <w:pPr>
              <w:widowControl w:val="0"/>
              <w:spacing w:before="40" w:after="40"/>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Cs w:val="0"/>
                <w:sz w:val="18"/>
                <w:szCs w:val="18"/>
              </w:rPr>
            </w:pPr>
            <w:r w:rsidRPr="000973F2">
              <w:rPr>
                <w:rFonts w:ascii="Times New Roman" w:eastAsia="Times New Roman" w:hAnsi="Times New Roman" w:cs="Times New Roman"/>
                <w:bCs w:val="0"/>
                <w:sz w:val="18"/>
                <w:szCs w:val="18"/>
              </w:rPr>
              <w:t>Total Labor Cost per Year per Facility (2017$)</w:t>
            </w:r>
          </w:p>
        </w:tc>
      </w:tr>
      <w:tr w:rsidR="00D2323F" w:rsidRPr="000973F2" w14:paraId="76E704BE" w14:textId="77777777" w:rsidTr="0041094D">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1425" w:type="dxa"/>
            <w:vMerge/>
            <w:hideMark/>
          </w:tcPr>
          <w:p w14:paraId="2D0B36A8" w14:textId="77777777" w:rsidR="00D2323F" w:rsidRPr="000973F2" w:rsidRDefault="00D2323F" w:rsidP="005E78BD">
            <w:pPr>
              <w:widowControl w:val="0"/>
              <w:spacing w:before="40" w:after="40"/>
              <w:rPr>
                <w:rFonts w:ascii="Times New Roman" w:eastAsia="Times New Roman" w:hAnsi="Times New Roman" w:cs="Times New Roman"/>
                <w:b/>
                <w:bCs w:val="0"/>
                <w:sz w:val="18"/>
                <w:szCs w:val="18"/>
              </w:rPr>
            </w:pPr>
          </w:p>
        </w:tc>
        <w:tc>
          <w:tcPr>
            <w:tcW w:w="1575" w:type="dxa"/>
            <w:gridSpan w:val="2"/>
            <w:noWrap/>
            <w:hideMark/>
          </w:tcPr>
          <w:p w14:paraId="223C9151" w14:textId="77777777" w:rsidR="00D2323F" w:rsidRPr="000973F2" w:rsidRDefault="00D2323F" w:rsidP="005E78BD">
            <w:pPr>
              <w:widowControl w:val="0"/>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18"/>
                <w:szCs w:val="18"/>
              </w:rPr>
            </w:pPr>
            <w:r w:rsidRPr="000973F2">
              <w:rPr>
                <w:rFonts w:ascii="Times New Roman" w:eastAsia="Times New Roman" w:hAnsi="Times New Roman" w:cs="Times New Roman"/>
                <w:b/>
                <w:bCs/>
                <w:sz w:val="18"/>
                <w:szCs w:val="18"/>
              </w:rPr>
              <w:t>Lawyer</w:t>
            </w:r>
          </w:p>
        </w:tc>
        <w:tc>
          <w:tcPr>
            <w:tcW w:w="1575" w:type="dxa"/>
            <w:gridSpan w:val="2"/>
            <w:noWrap/>
            <w:hideMark/>
          </w:tcPr>
          <w:p w14:paraId="089F9271" w14:textId="77777777" w:rsidR="00D2323F" w:rsidRPr="000973F2" w:rsidRDefault="00D2323F" w:rsidP="005E78BD">
            <w:pPr>
              <w:widowControl w:val="0"/>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18"/>
                <w:szCs w:val="18"/>
              </w:rPr>
            </w:pPr>
            <w:r w:rsidRPr="000973F2">
              <w:rPr>
                <w:rFonts w:ascii="Times New Roman" w:eastAsia="Times New Roman" w:hAnsi="Times New Roman" w:cs="Times New Roman"/>
                <w:b/>
                <w:bCs/>
                <w:sz w:val="18"/>
                <w:szCs w:val="18"/>
              </w:rPr>
              <w:t>Industrial Manager</w:t>
            </w:r>
          </w:p>
        </w:tc>
        <w:tc>
          <w:tcPr>
            <w:tcW w:w="1575" w:type="dxa"/>
            <w:gridSpan w:val="2"/>
            <w:hideMark/>
          </w:tcPr>
          <w:p w14:paraId="6CC1AD80" w14:textId="477BDB03" w:rsidR="00D2323F" w:rsidRPr="000973F2" w:rsidRDefault="00D2323F" w:rsidP="005E78BD">
            <w:pPr>
              <w:widowControl w:val="0"/>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18"/>
                <w:szCs w:val="18"/>
              </w:rPr>
            </w:pPr>
            <w:r w:rsidRPr="000973F2">
              <w:rPr>
                <w:rFonts w:ascii="Times New Roman" w:eastAsia="Times New Roman" w:hAnsi="Times New Roman" w:cs="Times New Roman"/>
                <w:b/>
                <w:bCs/>
                <w:sz w:val="18"/>
                <w:szCs w:val="18"/>
              </w:rPr>
              <w:t>Industrial Engineer/</w:t>
            </w:r>
            <w:r w:rsidR="005E78BD" w:rsidRPr="000973F2">
              <w:rPr>
                <w:rFonts w:ascii="Times New Roman" w:eastAsia="Times New Roman" w:hAnsi="Times New Roman" w:cs="Times New Roman"/>
                <w:b/>
                <w:bCs/>
                <w:sz w:val="18"/>
                <w:szCs w:val="18"/>
              </w:rPr>
              <w:t xml:space="preserve"> </w:t>
            </w:r>
            <w:r w:rsidRPr="000973F2">
              <w:rPr>
                <w:rFonts w:ascii="Times New Roman" w:eastAsia="Times New Roman" w:hAnsi="Times New Roman" w:cs="Times New Roman"/>
                <w:b/>
                <w:bCs/>
                <w:sz w:val="18"/>
                <w:szCs w:val="18"/>
              </w:rPr>
              <w:t>Technician</w:t>
            </w:r>
          </w:p>
        </w:tc>
        <w:tc>
          <w:tcPr>
            <w:tcW w:w="1575" w:type="dxa"/>
            <w:gridSpan w:val="2"/>
            <w:hideMark/>
          </w:tcPr>
          <w:p w14:paraId="5D29E708" w14:textId="77777777" w:rsidR="00D2323F" w:rsidRPr="000973F2" w:rsidRDefault="00D2323F" w:rsidP="005E78BD">
            <w:pPr>
              <w:widowControl w:val="0"/>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18"/>
                <w:szCs w:val="18"/>
              </w:rPr>
            </w:pPr>
            <w:r w:rsidRPr="000973F2">
              <w:rPr>
                <w:rFonts w:ascii="Times New Roman" w:eastAsia="Times New Roman" w:hAnsi="Times New Roman" w:cs="Times New Roman"/>
                <w:b/>
                <w:bCs/>
                <w:sz w:val="18"/>
                <w:szCs w:val="18"/>
              </w:rPr>
              <w:t>Administrative Support</w:t>
            </w:r>
          </w:p>
        </w:tc>
        <w:tc>
          <w:tcPr>
            <w:tcW w:w="1620" w:type="dxa"/>
            <w:gridSpan w:val="2"/>
            <w:vMerge/>
            <w:hideMark/>
          </w:tcPr>
          <w:p w14:paraId="2B910E86" w14:textId="77777777" w:rsidR="00D2323F" w:rsidRPr="000973F2" w:rsidRDefault="00D2323F" w:rsidP="005E78BD">
            <w:pPr>
              <w:widowControl w:val="0"/>
              <w:spacing w:before="40" w:after="4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18"/>
                <w:szCs w:val="18"/>
              </w:rPr>
            </w:pPr>
          </w:p>
        </w:tc>
      </w:tr>
      <w:tr w:rsidR="00D2323F" w:rsidRPr="000973F2" w14:paraId="5CD1BD4B" w14:textId="77777777" w:rsidTr="0041094D">
        <w:trPr>
          <w:cantSplit/>
        </w:trPr>
        <w:tc>
          <w:tcPr>
            <w:cnfStyle w:val="001000000000" w:firstRow="0" w:lastRow="0" w:firstColumn="1" w:lastColumn="0" w:oddVBand="0" w:evenVBand="0" w:oddHBand="0" w:evenHBand="0" w:firstRowFirstColumn="0" w:firstRowLastColumn="0" w:lastRowFirstColumn="0" w:lastRowLastColumn="0"/>
            <w:tcW w:w="1425" w:type="dxa"/>
            <w:vMerge/>
            <w:hideMark/>
          </w:tcPr>
          <w:p w14:paraId="17ADD39A" w14:textId="77777777" w:rsidR="00D2323F" w:rsidRPr="000973F2" w:rsidRDefault="00D2323F" w:rsidP="005E78BD">
            <w:pPr>
              <w:widowControl w:val="0"/>
              <w:spacing w:before="40" w:after="40"/>
              <w:rPr>
                <w:rFonts w:ascii="Times New Roman" w:eastAsia="Times New Roman" w:hAnsi="Times New Roman" w:cs="Times New Roman"/>
                <w:b/>
                <w:bCs w:val="0"/>
                <w:sz w:val="18"/>
                <w:szCs w:val="18"/>
              </w:rPr>
            </w:pPr>
          </w:p>
        </w:tc>
        <w:tc>
          <w:tcPr>
            <w:tcW w:w="1575" w:type="dxa"/>
            <w:gridSpan w:val="2"/>
            <w:noWrap/>
            <w:hideMark/>
          </w:tcPr>
          <w:p w14:paraId="029B880D" w14:textId="77777777" w:rsidR="00D2323F" w:rsidRPr="000973F2" w:rsidRDefault="00D2323F" w:rsidP="005E78BD">
            <w:pPr>
              <w:widowControl w:val="0"/>
              <w:spacing w:before="40" w:after="4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sz w:val="18"/>
                <w:szCs w:val="18"/>
              </w:rPr>
            </w:pPr>
            <w:r w:rsidRPr="000973F2">
              <w:rPr>
                <w:rFonts w:ascii="Times New Roman" w:eastAsia="Times New Roman" w:hAnsi="Times New Roman" w:cs="Times New Roman"/>
                <w:b/>
                <w:bCs/>
                <w:sz w:val="18"/>
                <w:szCs w:val="18"/>
              </w:rPr>
              <w:t xml:space="preserve">$112.23 </w:t>
            </w:r>
          </w:p>
        </w:tc>
        <w:tc>
          <w:tcPr>
            <w:tcW w:w="1575" w:type="dxa"/>
            <w:gridSpan w:val="2"/>
            <w:noWrap/>
            <w:hideMark/>
          </w:tcPr>
          <w:p w14:paraId="23BF0AAE" w14:textId="77777777" w:rsidR="00D2323F" w:rsidRPr="000973F2" w:rsidRDefault="00D2323F" w:rsidP="005E78BD">
            <w:pPr>
              <w:widowControl w:val="0"/>
              <w:spacing w:before="40" w:after="4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sz w:val="18"/>
                <w:szCs w:val="18"/>
              </w:rPr>
            </w:pPr>
            <w:r w:rsidRPr="000973F2">
              <w:rPr>
                <w:rFonts w:ascii="Times New Roman" w:eastAsia="Times New Roman" w:hAnsi="Times New Roman" w:cs="Times New Roman"/>
                <w:b/>
                <w:bCs/>
                <w:sz w:val="18"/>
                <w:szCs w:val="18"/>
              </w:rPr>
              <w:t xml:space="preserve">$87.45 </w:t>
            </w:r>
          </w:p>
        </w:tc>
        <w:tc>
          <w:tcPr>
            <w:tcW w:w="1575" w:type="dxa"/>
            <w:gridSpan w:val="2"/>
            <w:noWrap/>
            <w:hideMark/>
          </w:tcPr>
          <w:p w14:paraId="73097247" w14:textId="77777777" w:rsidR="00D2323F" w:rsidRPr="000973F2" w:rsidRDefault="00D2323F" w:rsidP="005E78BD">
            <w:pPr>
              <w:widowControl w:val="0"/>
              <w:spacing w:before="40" w:after="4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sz w:val="18"/>
                <w:szCs w:val="18"/>
              </w:rPr>
            </w:pPr>
            <w:r w:rsidRPr="000973F2">
              <w:rPr>
                <w:rFonts w:ascii="Times New Roman" w:eastAsia="Times New Roman" w:hAnsi="Times New Roman" w:cs="Times New Roman"/>
                <w:b/>
                <w:bCs/>
                <w:sz w:val="18"/>
                <w:szCs w:val="18"/>
              </w:rPr>
              <w:t xml:space="preserve">$71.45 </w:t>
            </w:r>
          </w:p>
        </w:tc>
        <w:tc>
          <w:tcPr>
            <w:tcW w:w="1575" w:type="dxa"/>
            <w:gridSpan w:val="2"/>
            <w:noWrap/>
            <w:hideMark/>
          </w:tcPr>
          <w:p w14:paraId="4C72000F" w14:textId="77777777" w:rsidR="00D2323F" w:rsidRPr="000973F2" w:rsidRDefault="00D2323F" w:rsidP="005E78BD">
            <w:pPr>
              <w:widowControl w:val="0"/>
              <w:spacing w:before="40" w:after="4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sz w:val="18"/>
                <w:szCs w:val="18"/>
              </w:rPr>
            </w:pPr>
            <w:r w:rsidRPr="000973F2">
              <w:rPr>
                <w:rFonts w:ascii="Times New Roman" w:eastAsia="Times New Roman" w:hAnsi="Times New Roman" w:cs="Times New Roman"/>
                <w:b/>
                <w:bCs/>
                <w:sz w:val="18"/>
                <w:szCs w:val="18"/>
              </w:rPr>
              <w:t xml:space="preserve">$36.28 </w:t>
            </w:r>
          </w:p>
        </w:tc>
        <w:tc>
          <w:tcPr>
            <w:tcW w:w="1620" w:type="dxa"/>
            <w:gridSpan w:val="2"/>
            <w:vMerge/>
            <w:hideMark/>
          </w:tcPr>
          <w:p w14:paraId="4C791970" w14:textId="77777777" w:rsidR="00D2323F" w:rsidRPr="000973F2" w:rsidRDefault="00D2323F" w:rsidP="005E78BD">
            <w:pPr>
              <w:widowControl w:val="0"/>
              <w:spacing w:before="40" w:after="4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sz w:val="18"/>
                <w:szCs w:val="18"/>
              </w:rPr>
            </w:pPr>
          </w:p>
        </w:tc>
      </w:tr>
      <w:tr w:rsidR="005E78BD" w:rsidRPr="000973F2" w14:paraId="346DCE67" w14:textId="77777777" w:rsidTr="0041094D">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1425" w:type="dxa"/>
            <w:vMerge/>
            <w:hideMark/>
          </w:tcPr>
          <w:p w14:paraId="7557DDC1" w14:textId="77777777" w:rsidR="00D2323F" w:rsidRPr="000973F2" w:rsidRDefault="00D2323F" w:rsidP="005E78BD">
            <w:pPr>
              <w:widowControl w:val="0"/>
              <w:spacing w:before="40" w:after="40"/>
              <w:rPr>
                <w:rFonts w:ascii="Times New Roman" w:eastAsia="Times New Roman" w:hAnsi="Times New Roman" w:cs="Times New Roman"/>
                <w:b/>
                <w:bCs w:val="0"/>
                <w:sz w:val="18"/>
                <w:szCs w:val="18"/>
              </w:rPr>
            </w:pPr>
          </w:p>
        </w:tc>
        <w:tc>
          <w:tcPr>
            <w:tcW w:w="787" w:type="dxa"/>
            <w:tcMar>
              <w:left w:w="14" w:type="dxa"/>
              <w:right w:w="14" w:type="dxa"/>
            </w:tcMar>
            <w:hideMark/>
          </w:tcPr>
          <w:p w14:paraId="13E06901" w14:textId="5B1DBF51" w:rsidR="00D2323F" w:rsidRPr="000973F2" w:rsidRDefault="00D2323F" w:rsidP="005E78BD">
            <w:pPr>
              <w:widowControl w:val="0"/>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18"/>
                <w:szCs w:val="18"/>
              </w:rPr>
            </w:pPr>
            <w:r w:rsidRPr="000973F2">
              <w:rPr>
                <w:rFonts w:ascii="Times New Roman" w:eastAsia="Times New Roman" w:hAnsi="Times New Roman" w:cs="Times New Roman"/>
                <w:b/>
                <w:bCs/>
                <w:sz w:val="18"/>
                <w:szCs w:val="18"/>
              </w:rPr>
              <w:t xml:space="preserve">Initial </w:t>
            </w:r>
            <w:r w:rsidR="00132320" w:rsidRPr="000973F2">
              <w:rPr>
                <w:rFonts w:ascii="Times New Roman" w:eastAsia="Times New Roman" w:hAnsi="Times New Roman" w:cs="Times New Roman"/>
                <w:b/>
                <w:bCs/>
                <w:sz w:val="18"/>
                <w:szCs w:val="18"/>
              </w:rPr>
              <w:t>Year Hours</w:t>
            </w:r>
          </w:p>
        </w:tc>
        <w:tc>
          <w:tcPr>
            <w:tcW w:w="788" w:type="dxa"/>
            <w:tcMar>
              <w:left w:w="14" w:type="dxa"/>
              <w:right w:w="14" w:type="dxa"/>
            </w:tcMar>
            <w:hideMark/>
          </w:tcPr>
          <w:p w14:paraId="765AF48F" w14:textId="2D2D5ED0" w:rsidR="00D2323F" w:rsidRPr="000973F2" w:rsidRDefault="00D2323F" w:rsidP="005E78BD">
            <w:pPr>
              <w:widowControl w:val="0"/>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18"/>
                <w:szCs w:val="18"/>
              </w:rPr>
            </w:pPr>
            <w:r w:rsidRPr="000973F2">
              <w:rPr>
                <w:rFonts w:ascii="Times New Roman" w:eastAsia="Times New Roman" w:hAnsi="Times New Roman" w:cs="Times New Roman"/>
                <w:b/>
                <w:bCs/>
                <w:sz w:val="18"/>
                <w:szCs w:val="18"/>
              </w:rPr>
              <w:t xml:space="preserve">Subseq. </w:t>
            </w:r>
            <w:r w:rsidR="00132320" w:rsidRPr="000973F2">
              <w:rPr>
                <w:rFonts w:ascii="Times New Roman" w:eastAsia="Times New Roman" w:hAnsi="Times New Roman" w:cs="Times New Roman"/>
                <w:b/>
                <w:bCs/>
                <w:sz w:val="18"/>
                <w:szCs w:val="18"/>
              </w:rPr>
              <w:t>Year Hours</w:t>
            </w:r>
          </w:p>
        </w:tc>
        <w:tc>
          <w:tcPr>
            <w:tcW w:w="787" w:type="dxa"/>
            <w:tcMar>
              <w:left w:w="14" w:type="dxa"/>
              <w:right w:w="14" w:type="dxa"/>
            </w:tcMar>
            <w:hideMark/>
          </w:tcPr>
          <w:p w14:paraId="323F964C" w14:textId="18AF64B1" w:rsidR="00D2323F" w:rsidRPr="000973F2" w:rsidRDefault="00D2323F" w:rsidP="005E78BD">
            <w:pPr>
              <w:widowControl w:val="0"/>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18"/>
                <w:szCs w:val="18"/>
              </w:rPr>
            </w:pPr>
            <w:r w:rsidRPr="000973F2">
              <w:rPr>
                <w:rFonts w:ascii="Times New Roman" w:eastAsia="Times New Roman" w:hAnsi="Times New Roman" w:cs="Times New Roman"/>
                <w:b/>
                <w:bCs/>
                <w:sz w:val="18"/>
                <w:szCs w:val="18"/>
              </w:rPr>
              <w:t xml:space="preserve">Initial </w:t>
            </w:r>
            <w:r w:rsidR="00132320" w:rsidRPr="000973F2">
              <w:rPr>
                <w:rFonts w:ascii="Times New Roman" w:eastAsia="Times New Roman" w:hAnsi="Times New Roman" w:cs="Times New Roman"/>
                <w:b/>
                <w:bCs/>
                <w:sz w:val="18"/>
                <w:szCs w:val="18"/>
              </w:rPr>
              <w:t>Year Hours</w:t>
            </w:r>
          </w:p>
        </w:tc>
        <w:tc>
          <w:tcPr>
            <w:tcW w:w="788" w:type="dxa"/>
            <w:tcMar>
              <w:left w:w="14" w:type="dxa"/>
              <w:right w:w="14" w:type="dxa"/>
            </w:tcMar>
            <w:hideMark/>
          </w:tcPr>
          <w:p w14:paraId="5BD01A82" w14:textId="47A5E33B" w:rsidR="00D2323F" w:rsidRPr="000973F2" w:rsidRDefault="00D2323F" w:rsidP="005E78BD">
            <w:pPr>
              <w:widowControl w:val="0"/>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18"/>
                <w:szCs w:val="18"/>
              </w:rPr>
            </w:pPr>
            <w:r w:rsidRPr="000973F2">
              <w:rPr>
                <w:rFonts w:ascii="Times New Roman" w:eastAsia="Times New Roman" w:hAnsi="Times New Roman" w:cs="Times New Roman"/>
                <w:b/>
                <w:bCs/>
                <w:sz w:val="18"/>
                <w:szCs w:val="18"/>
              </w:rPr>
              <w:t xml:space="preserve">Subseq. </w:t>
            </w:r>
            <w:r w:rsidR="00132320" w:rsidRPr="000973F2">
              <w:rPr>
                <w:rFonts w:ascii="Times New Roman" w:eastAsia="Times New Roman" w:hAnsi="Times New Roman" w:cs="Times New Roman"/>
                <w:b/>
                <w:bCs/>
                <w:sz w:val="18"/>
                <w:szCs w:val="18"/>
              </w:rPr>
              <w:t>Year Hours</w:t>
            </w:r>
          </w:p>
        </w:tc>
        <w:tc>
          <w:tcPr>
            <w:tcW w:w="787" w:type="dxa"/>
            <w:tcMar>
              <w:left w:w="14" w:type="dxa"/>
              <w:right w:w="14" w:type="dxa"/>
            </w:tcMar>
            <w:hideMark/>
          </w:tcPr>
          <w:p w14:paraId="642D6FE3" w14:textId="3ED8D0D6" w:rsidR="00D2323F" w:rsidRPr="000973F2" w:rsidRDefault="00D2323F" w:rsidP="005E78BD">
            <w:pPr>
              <w:widowControl w:val="0"/>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18"/>
                <w:szCs w:val="18"/>
              </w:rPr>
            </w:pPr>
            <w:r w:rsidRPr="000973F2">
              <w:rPr>
                <w:rFonts w:ascii="Times New Roman" w:eastAsia="Times New Roman" w:hAnsi="Times New Roman" w:cs="Times New Roman"/>
                <w:b/>
                <w:bCs/>
                <w:sz w:val="18"/>
                <w:szCs w:val="18"/>
              </w:rPr>
              <w:t xml:space="preserve">Initial </w:t>
            </w:r>
            <w:r w:rsidR="00132320" w:rsidRPr="000973F2">
              <w:rPr>
                <w:rFonts w:ascii="Times New Roman" w:eastAsia="Times New Roman" w:hAnsi="Times New Roman" w:cs="Times New Roman"/>
                <w:b/>
                <w:bCs/>
                <w:sz w:val="18"/>
                <w:szCs w:val="18"/>
              </w:rPr>
              <w:t>Year Hours</w:t>
            </w:r>
          </w:p>
        </w:tc>
        <w:tc>
          <w:tcPr>
            <w:tcW w:w="788" w:type="dxa"/>
            <w:tcMar>
              <w:left w:w="14" w:type="dxa"/>
              <w:right w:w="14" w:type="dxa"/>
            </w:tcMar>
            <w:hideMark/>
          </w:tcPr>
          <w:p w14:paraId="752ADE10" w14:textId="413B5C9E" w:rsidR="00D2323F" w:rsidRPr="000973F2" w:rsidRDefault="00D2323F" w:rsidP="005E78BD">
            <w:pPr>
              <w:widowControl w:val="0"/>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18"/>
                <w:szCs w:val="18"/>
              </w:rPr>
            </w:pPr>
            <w:r w:rsidRPr="000973F2">
              <w:rPr>
                <w:rFonts w:ascii="Times New Roman" w:eastAsia="Times New Roman" w:hAnsi="Times New Roman" w:cs="Times New Roman"/>
                <w:b/>
                <w:bCs/>
                <w:sz w:val="18"/>
                <w:szCs w:val="18"/>
              </w:rPr>
              <w:t xml:space="preserve">Subseq. </w:t>
            </w:r>
            <w:r w:rsidR="00132320" w:rsidRPr="000973F2">
              <w:rPr>
                <w:rFonts w:ascii="Times New Roman" w:eastAsia="Times New Roman" w:hAnsi="Times New Roman" w:cs="Times New Roman"/>
                <w:b/>
                <w:bCs/>
                <w:sz w:val="18"/>
                <w:szCs w:val="18"/>
              </w:rPr>
              <w:t>Year Hours</w:t>
            </w:r>
          </w:p>
        </w:tc>
        <w:tc>
          <w:tcPr>
            <w:tcW w:w="787" w:type="dxa"/>
            <w:tcMar>
              <w:left w:w="14" w:type="dxa"/>
              <w:right w:w="14" w:type="dxa"/>
            </w:tcMar>
            <w:hideMark/>
          </w:tcPr>
          <w:p w14:paraId="7EDC2CAF" w14:textId="1159A36E" w:rsidR="00D2323F" w:rsidRPr="000973F2" w:rsidRDefault="00D2323F" w:rsidP="005E78BD">
            <w:pPr>
              <w:widowControl w:val="0"/>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18"/>
                <w:szCs w:val="18"/>
              </w:rPr>
            </w:pPr>
            <w:r w:rsidRPr="000973F2">
              <w:rPr>
                <w:rFonts w:ascii="Times New Roman" w:eastAsia="Times New Roman" w:hAnsi="Times New Roman" w:cs="Times New Roman"/>
                <w:b/>
                <w:bCs/>
                <w:sz w:val="18"/>
                <w:szCs w:val="18"/>
              </w:rPr>
              <w:t xml:space="preserve">Initial </w:t>
            </w:r>
            <w:r w:rsidR="00132320" w:rsidRPr="000973F2">
              <w:rPr>
                <w:rFonts w:ascii="Times New Roman" w:eastAsia="Times New Roman" w:hAnsi="Times New Roman" w:cs="Times New Roman"/>
                <w:b/>
                <w:bCs/>
                <w:sz w:val="18"/>
                <w:szCs w:val="18"/>
              </w:rPr>
              <w:t>Year Hours</w:t>
            </w:r>
          </w:p>
        </w:tc>
        <w:tc>
          <w:tcPr>
            <w:tcW w:w="788" w:type="dxa"/>
            <w:tcMar>
              <w:left w:w="14" w:type="dxa"/>
              <w:right w:w="14" w:type="dxa"/>
            </w:tcMar>
            <w:hideMark/>
          </w:tcPr>
          <w:p w14:paraId="43F91F1C" w14:textId="3618A974" w:rsidR="00D2323F" w:rsidRPr="000973F2" w:rsidRDefault="00D2323F" w:rsidP="005E78BD">
            <w:pPr>
              <w:widowControl w:val="0"/>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18"/>
                <w:szCs w:val="18"/>
              </w:rPr>
            </w:pPr>
            <w:r w:rsidRPr="000973F2">
              <w:rPr>
                <w:rFonts w:ascii="Times New Roman" w:eastAsia="Times New Roman" w:hAnsi="Times New Roman" w:cs="Times New Roman"/>
                <w:b/>
                <w:bCs/>
                <w:sz w:val="18"/>
                <w:szCs w:val="18"/>
              </w:rPr>
              <w:t xml:space="preserve">Subseq. </w:t>
            </w:r>
            <w:r w:rsidR="00132320" w:rsidRPr="000973F2">
              <w:rPr>
                <w:rFonts w:ascii="Times New Roman" w:eastAsia="Times New Roman" w:hAnsi="Times New Roman" w:cs="Times New Roman"/>
                <w:b/>
                <w:bCs/>
                <w:sz w:val="18"/>
                <w:szCs w:val="18"/>
              </w:rPr>
              <w:t>Year Hours</w:t>
            </w:r>
          </w:p>
        </w:tc>
        <w:tc>
          <w:tcPr>
            <w:tcW w:w="732" w:type="dxa"/>
            <w:tcMar>
              <w:left w:w="14" w:type="dxa"/>
              <w:right w:w="14" w:type="dxa"/>
            </w:tcMar>
            <w:hideMark/>
          </w:tcPr>
          <w:p w14:paraId="472B4CD6" w14:textId="77777777" w:rsidR="00D2323F" w:rsidRPr="000973F2" w:rsidRDefault="00D2323F" w:rsidP="005E78BD">
            <w:pPr>
              <w:widowControl w:val="0"/>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18"/>
                <w:szCs w:val="18"/>
              </w:rPr>
            </w:pPr>
            <w:r w:rsidRPr="000973F2">
              <w:rPr>
                <w:rFonts w:ascii="Times New Roman" w:eastAsia="Times New Roman" w:hAnsi="Times New Roman" w:cs="Times New Roman"/>
                <w:b/>
                <w:bCs/>
                <w:sz w:val="18"/>
                <w:szCs w:val="18"/>
              </w:rPr>
              <w:t>Initial Year</w:t>
            </w:r>
          </w:p>
        </w:tc>
        <w:tc>
          <w:tcPr>
            <w:tcW w:w="888" w:type="dxa"/>
            <w:tcMar>
              <w:left w:w="14" w:type="dxa"/>
              <w:right w:w="14" w:type="dxa"/>
            </w:tcMar>
            <w:hideMark/>
          </w:tcPr>
          <w:p w14:paraId="632F9B83" w14:textId="77777777" w:rsidR="00D2323F" w:rsidRPr="000973F2" w:rsidRDefault="00D2323F" w:rsidP="005E78BD">
            <w:pPr>
              <w:widowControl w:val="0"/>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18"/>
                <w:szCs w:val="18"/>
              </w:rPr>
            </w:pPr>
            <w:r w:rsidRPr="000973F2">
              <w:rPr>
                <w:rFonts w:ascii="Times New Roman" w:eastAsia="Times New Roman" w:hAnsi="Times New Roman" w:cs="Times New Roman"/>
                <w:b/>
                <w:bCs/>
                <w:sz w:val="18"/>
                <w:szCs w:val="18"/>
              </w:rPr>
              <w:t>Subseq. Year</w:t>
            </w:r>
          </w:p>
        </w:tc>
      </w:tr>
      <w:tr w:rsidR="005E78BD" w:rsidRPr="000973F2" w14:paraId="72CF0C10" w14:textId="77777777" w:rsidTr="0041094D">
        <w:trPr>
          <w:cantSplit/>
        </w:trPr>
        <w:tc>
          <w:tcPr>
            <w:cnfStyle w:val="001000000000" w:firstRow="0" w:lastRow="0" w:firstColumn="1" w:lastColumn="0" w:oddVBand="0" w:evenVBand="0" w:oddHBand="0" w:evenHBand="0" w:firstRowFirstColumn="0" w:firstRowLastColumn="0" w:lastRowFirstColumn="0" w:lastRowLastColumn="0"/>
            <w:tcW w:w="1425" w:type="dxa"/>
            <w:hideMark/>
          </w:tcPr>
          <w:p w14:paraId="739408C7" w14:textId="77777777" w:rsidR="00AA3568" w:rsidRPr="000973F2" w:rsidRDefault="00AA3568" w:rsidP="005E78BD">
            <w:pPr>
              <w:widowControl w:val="0"/>
              <w:spacing w:before="40" w:after="4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Planning</w:t>
            </w:r>
          </w:p>
        </w:tc>
        <w:tc>
          <w:tcPr>
            <w:tcW w:w="787" w:type="dxa"/>
            <w:noWrap/>
            <w:hideMark/>
          </w:tcPr>
          <w:p w14:paraId="11219F73" w14:textId="2945B47C" w:rsidR="00AA3568" w:rsidRPr="000973F2" w:rsidRDefault="00AA3568" w:rsidP="005E78BD">
            <w:pPr>
              <w:widowControl w:val="0"/>
              <w:spacing w:before="40" w:after="4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w:t>
            </w:r>
          </w:p>
        </w:tc>
        <w:tc>
          <w:tcPr>
            <w:tcW w:w="788" w:type="dxa"/>
            <w:noWrap/>
            <w:hideMark/>
          </w:tcPr>
          <w:p w14:paraId="51EEBAA5" w14:textId="23AC9038" w:rsidR="00AA3568" w:rsidRPr="000973F2" w:rsidRDefault="00AA3568" w:rsidP="005E78BD">
            <w:pPr>
              <w:widowControl w:val="0"/>
              <w:spacing w:before="40" w:after="4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w:t>
            </w:r>
          </w:p>
        </w:tc>
        <w:tc>
          <w:tcPr>
            <w:tcW w:w="787" w:type="dxa"/>
            <w:noWrap/>
            <w:hideMark/>
          </w:tcPr>
          <w:p w14:paraId="4E7B2ACD" w14:textId="22436DA0" w:rsidR="00AA3568" w:rsidRPr="000973F2" w:rsidRDefault="00AA3568" w:rsidP="005E78BD">
            <w:pPr>
              <w:widowControl w:val="0"/>
              <w:spacing w:before="40" w:after="4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w:t>
            </w:r>
          </w:p>
        </w:tc>
        <w:tc>
          <w:tcPr>
            <w:tcW w:w="788" w:type="dxa"/>
            <w:noWrap/>
            <w:hideMark/>
          </w:tcPr>
          <w:p w14:paraId="6625D2A9" w14:textId="420CED4F" w:rsidR="00AA3568" w:rsidRPr="000973F2" w:rsidRDefault="00AA3568" w:rsidP="005E78BD">
            <w:pPr>
              <w:widowControl w:val="0"/>
              <w:spacing w:before="40" w:after="4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w:t>
            </w:r>
          </w:p>
        </w:tc>
        <w:tc>
          <w:tcPr>
            <w:tcW w:w="787" w:type="dxa"/>
            <w:noWrap/>
            <w:hideMark/>
          </w:tcPr>
          <w:p w14:paraId="540F9594" w14:textId="3B9C76C0" w:rsidR="00AA3568" w:rsidRPr="000973F2" w:rsidRDefault="00AA3568" w:rsidP="005E78BD">
            <w:pPr>
              <w:widowControl w:val="0"/>
              <w:spacing w:before="40" w:after="4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w:t>
            </w:r>
          </w:p>
        </w:tc>
        <w:tc>
          <w:tcPr>
            <w:tcW w:w="788" w:type="dxa"/>
            <w:noWrap/>
            <w:hideMark/>
          </w:tcPr>
          <w:p w14:paraId="74EA3617" w14:textId="05D06430" w:rsidR="00AA3568" w:rsidRPr="000973F2" w:rsidRDefault="00AA3568" w:rsidP="005E78BD">
            <w:pPr>
              <w:widowControl w:val="0"/>
              <w:spacing w:before="40" w:after="4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w:t>
            </w:r>
          </w:p>
        </w:tc>
        <w:tc>
          <w:tcPr>
            <w:tcW w:w="787" w:type="dxa"/>
            <w:noWrap/>
            <w:hideMark/>
          </w:tcPr>
          <w:p w14:paraId="5829FCB3" w14:textId="66D468C4" w:rsidR="00AA3568" w:rsidRPr="000973F2" w:rsidRDefault="00AA3568" w:rsidP="005E78BD">
            <w:pPr>
              <w:widowControl w:val="0"/>
              <w:spacing w:before="40" w:after="4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w:t>
            </w:r>
          </w:p>
        </w:tc>
        <w:tc>
          <w:tcPr>
            <w:tcW w:w="788" w:type="dxa"/>
            <w:noWrap/>
            <w:hideMark/>
          </w:tcPr>
          <w:p w14:paraId="5DD0520A" w14:textId="109D86FA" w:rsidR="00AA3568" w:rsidRPr="000973F2" w:rsidRDefault="00AA3568" w:rsidP="005E78BD">
            <w:pPr>
              <w:widowControl w:val="0"/>
              <w:spacing w:before="40" w:after="4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w:t>
            </w:r>
          </w:p>
        </w:tc>
        <w:tc>
          <w:tcPr>
            <w:tcW w:w="732" w:type="dxa"/>
            <w:noWrap/>
            <w:hideMark/>
          </w:tcPr>
          <w:p w14:paraId="1BE842DF" w14:textId="66390F39" w:rsidR="00AA3568" w:rsidRPr="000973F2" w:rsidRDefault="00AA3568" w:rsidP="005E78BD">
            <w:pPr>
              <w:widowControl w:val="0"/>
              <w:spacing w:before="40" w:after="4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w:t>
            </w:r>
          </w:p>
        </w:tc>
        <w:tc>
          <w:tcPr>
            <w:tcW w:w="888" w:type="dxa"/>
            <w:noWrap/>
            <w:hideMark/>
          </w:tcPr>
          <w:p w14:paraId="385A1471" w14:textId="0CB24BB0" w:rsidR="00AA3568" w:rsidRPr="000973F2" w:rsidRDefault="00AA3568" w:rsidP="005E78BD">
            <w:pPr>
              <w:widowControl w:val="0"/>
              <w:spacing w:before="40" w:after="4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w:t>
            </w:r>
          </w:p>
        </w:tc>
      </w:tr>
      <w:tr w:rsidR="005E78BD" w:rsidRPr="000973F2" w14:paraId="7C476429" w14:textId="77777777" w:rsidTr="0041094D">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1425" w:type="dxa"/>
            <w:hideMark/>
          </w:tcPr>
          <w:p w14:paraId="0C0EB9ED" w14:textId="77777777" w:rsidR="00AA3568" w:rsidRPr="000973F2" w:rsidRDefault="00AA3568" w:rsidP="005E78BD">
            <w:pPr>
              <w:widowControl w:val="0"/>
              <w:spacing w:before="40" w:after="4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QA/QC</w:t>
            </w:r>
          </w:p>
        </w:tc>
        <w:tc>
          <w:tcPr>
            <w:tcW w:w="787" w:type="dxa"/>
            <w:noWrap/>
            <w:hideMark/>
          </w:tcPr>
          <w:p w14:paraId="2BFF732B" w14:textId="46AF211D" w:rsidR="00AA3568" w:rsidRPr="000973F2" w:rsidRDefault="00AA3568" w:rsidP="005E78BD">
            <w:pPr>
              <w:widowControl w:val="0"/>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w:t>
            </w:r>
          </w:p>
        </w:tc>
        <w:tc>
          <w:tcPr>
            <w:tcW w:w="788" w:type="dxa"/>
            <w:noWrap/>
            <w:hideMark/>
          </w:tcPr>
          <w:p w14:paraId="01F209B3" w14:textId="6FBB8A8A" w:rsidR="00AA3568" w:rsidRPr="000973F2" w:rsidRDefault="00AA3568" w:rsidP="005E78BD">
            <w:pPr>
              <w:widowControl w:val="0"/>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w:t>
            </w:r>
          </w:p>
        </w:tc>
        <w:tc>
          <w:tcPr>
            <w:tcW w:w="787" w:type="dxa"/>
            <w:noWrap/>
            <w:hideMark/>
          </w:tcPr>
          <w:p w14:paraId="3D6AB9AC" w14:textId="6BC4C5A6" w:rsidR="00AA3568" w:rsidRPr="000973F2" w:rsidRDefault="00AA3568" w:rsidP="005E78BD">
            <w:pPr>
              <w:widowControl w:val="0"/>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w:t>
            </w:r>
          </w:p>
        </w:tc>
        <w:tc>
          <w:tcPr>
            <w:tcW w:w="788" w:type="dxa"/>
            <w:noWrap/>
            <w:hideMark/>
          </w:tcPr>
          <w:p w14:paraId="4261C451" w14:textId="54B50332" w:rsidR="00AA3568" w:rsidRPr="000973F2" w:rsidRDefault="00AA3568" w:rsidP="005E78BD">
            <w:pPr>
              <w:widowControl w:val="0"/>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w:t>
            </w:r>
          </w:p>
        </w:tc>
        <w:tc>
          <w:tcPr>
            <w:tcW w:w="787" w:type="dxa"/>
            <w:noWrap/>
            <w:hideMark/>
          </w:tcPr>
          <w:p w14:paraId="3BB5372F" w14:textId="00268ECD" w:rsidR="00AA3568" w:rsidRPr="000973F2" w:rsidRDefault="00AA3568" w:rsidP="005E78BD">
            <w:pPr>
              <w:widowControl w:val="0"/>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w:t>
            </w:r>
          </w:p>
        </w:tc>
        <w:tc>
          <w:tcPr>
            <w:tcW w:w="788" w:type="dxa"/>
            <w:noWrap/>
            <w:hideMark/>
          </w:tcPr>
          <w:p w14:paraId="3212E529" w14:textId="6DD941FA" w:rsidR="00AA3568" w:rsidRPr="000973F2" w:rsidRDefault="00AA3568" w:rsidP="005E78BD">
            <w:pPr>
              <w:widowControl w:val="0"/>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w:t>
            </w:r>
          </w:p>
        </w:tc>
        <w:tc>
          <w:tcPr>
            <w:tcW w:w="787" w:type="dxa"/>
            <w:noWrap/>
            <w:hideMark/>
          </w:tcPr>
          <w:p w14:paraId="19EE1CA1" w14:textId="665712E9" w:rsidR="00AA3568" w:rsidRPr="000973F2" w:rsidRDefault="00AA3568" w:rsidP="005E78BD">
            <w:pPr>
              <w:widowControl w:val="0"/>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w:t>
            </w:r>
          </w:p>
        </w:tc>
        <w:tc>
          <w:tcPr>
            <w:tcW w:w="788" w:type="dxa"/>
            <w:noWrap/>
            <w:hideMark/>
          </w:tcPr>
          <w:p w14:paraId="5ECD11F2" w14:textId="3F383825" w:rsidR="00AA3568" w:rsidRPr="000973F2" w:rsidRDefault="00AA3568" w:rsidP="005E78BD">
            <w:pPr>
              <w:widowControl w:val="0"/>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w:t>
            </w:r>
          </w:p>
        </w:tc>
        <w:tc>
          <w:tcPr>
            <w:tcW w:w="732" w:type="dxa"/>
            <w:noWrap/>
            <w:hideMark/>
          </w:tcPr>
          <w:p w14:paraId="7C36595C" w14:textId="3317A21A" w:rsidR="00AA3568" w:rsidRPr="000973F2" w:rsidRDefault="00AA3568" w:rsidP="005E78BD">
            <w:pPr>
              <w:widowControl w:val="0"/>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w:t>
            </w:r>
          </w:p>
        </w:tc>
        <w:tc>
          <w:tcPr>
            <w:tcW w:w="888" w:type="dxa"/>
            <w:noWrap/>
            <w:hideMark/>
          </w:tcPr>
          <w:p w14:paraId="4C0F2691" w14:textId="54D56EA9" w:rsidR="00AA3568" w:rsidRPr="000973F2" w:rsidRDefault="00AA3568" w:rsidP="005E78BD">
            <w:pPr>
              <w:widowControl w:val="0"/>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w:t>
            </w:r>
          </w:p>
        </w:tc>
      </w:tr>
      <w:tr w:rsidR="005E78BD" w:rsidRPr="000973F2" w14:paraId="7415ECF2" w14:textId="77777777" w:rsidTr="0041094D">
        <w:trPr>
          <w:cantSplit/>
        </w:trPr>
        <w:tc>
          <w:tcPr>
            <w:cnfStyle w:val="001000000000" w:firstRow="0" w:lastRow="0" w:firstColumn="1" w:lastColumn="0" w:oddVBand="0" w:evenVBand="0" w:oddHBand="0" w:evenHBand="0" w:firstRowFirstColumn="0" w:firstRowLastColumn="0" w:lastRowFirstColumn="0" w:lastRowLastColumn="0"/>
            <w:tcW w:w="1425" w:type="dxa"/>
            <w:hideMark/>
          </w:tcPr>
          <w:p w14:paraId="59DA70C7" w14:textId="77777777" w:rsidR="00AA3568" w:rsidRPr="000973F2" w:rsidRDefault="00AA3568" w:rsidP="005E78BD">
            <w:pPr>
              <w:widowControl w:val="0"/>
              <w:spacing w:before="40" w:after="4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Recordkeeping</w:t>
            </w:r>
          </w:p>
        </w:tc>
        <w:tc>
          <w:tcPr>
            <w:tcW w:w="787" w:type="dxa"/>
            <w:noWrap/>
            <w:hideMark/>
          </w:tcPr>
          <w:p w14:paraId="2C25741C" w14:textId="69D7AE32" w:rsidR="00AA3568" w:rsidRPr="000973F2" w:rsidRDefault="00AA3568" w:rsidP="005E78BD">
            <w:pPr>
              <w:widowControl w:val="0"/>
              <w:spacing w:before="40" w:after="4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w:t>
            </w:r>
          </w:p>
        </w:tc>
        <w:tc>
          <w:tcPr>
            <w:tcW w:w="788" w:type="dxa"/>
            <w:noWrap/>
            <w:hideMark/>
          </w:tcPr>
          <w:p w14:paraId="33E42CA4" w14:textId="19E11549" w:rsidR="00AA3568" w:rsidRPr="000973F2" w:rsidRDefault="00AA3568" w:rsidP="005E78BD">
            <w:pPr>
              <w:widowControl w:val="0"/>
              <w:spacing w:before="40" w:after="4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w:t>
            </w:r>
          </w:p>
        </w:tc>
        <w:tc>
          <w:tcPr>
            <w:tcW w:w="787" w:type="dxa"/>
            <w:noWrap/>
            <w:hideMark/>
          </w:tcPr>
          <w:p w14:paraId="53915A95" w14:textId="718BC294" w:rsidR="00AA3568" w:rsidRPr="000973F2" w:rsidRDefault="00AA3568" w:rsidP="005E78BD">
            <w:pPr>
              <w:widowControl w:val="0"/>
              <w:spacing w:before="40" w:after="4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w:t>
            </w:r>
          </w:p>
        </w:tc>
        <w:tc>
          <w:tcPr>
            <w:tcW w:w="788" w:type="dxa"/>
            <w:noWrap/>
            <w:hideMark/>
          </w:tcPr>
          <w:p w14:paraId="0A4CD927" w14:textId="5A2D5BA5" w:rsidR="00AA3568" w:rsidRPr="000973F2" w:rsidRDefault="00AA3568" w:rsidP="005E78BD">
            <w:pPr>
              <w:widowControl w:val="0"/>
              <w:spacing w:before="40" w:after="4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w:t>
            </w:r>
          </w:p>
        </w:tc>
        <w:tc>
          <w:tcPr>
            <w:tcW w:w="787" w:type="dxa"/>
            <w:noWrap/>
            <w:hideMark/>
          </w:tcPr>
          <w:p w14:paraId="41336A89" w14:textId="72EED935" w:rsidR="00AA3568" w:rsidRPr="000973F2" w:rsidRDefault="00AA3568" w:rsidP="005E78BD">
            <w:pPr>
              <w:widowControl w:val="0"/>
              <w:spacing w:before="40" w:after="4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w:t>
            </w:r>
          </w:p>
        </w:tc>
        <w:tc>
          <w:tcPr>
            <w:tcW w:w="788" w:type="dxa"/>
            <w:noWrap/>
            <w:hideMark/>
          </w:tcPr>
          <w:p w14:paraId="6C8ADA8A" w14:textId="1A92FEE7" w:rsidR="00AA3568" w:rsidRPr="000973F2" w:rsidRDefault="00AA3568" w:rsidP="005E78BD">
            <w:pPr>
              <w:widowControl w:val="0"/>
              <w:spacing w:before="40" w:after="4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w:t>
            </w:r>
          </w:p>
        </w:tc>
        <w:tc>
          <w:tcPr>
            <w:tcW w:w="787" w:type="dxa"/>
            <w:noWrap/>
            <w:hideMark/>
          </w:tcPr>
          <w:p w14:paraId="25EED8FE" w14:textId="28B37D9C" w:rsidR="00AA3568" w:rsidRPr="000973F2" w:rsidRDefault="00AA3568" w:rsidP="005E78BD">
            <w:pPr>
              <w:widowControl w:val="0"/>
              <w:spacing w:before="40" w:after="4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w:t>
            </w:r>
          </w:p>
        </w:tc>
        <w:tc>
          <w:tcPr>
            <w:tcW w:w="788" w:type="dxa"/>
            <w:noWrap/>
            <w:hideMark/>
          </w:tcPr>
          <w:p w14:paraId="570761A9" w14:textId="1851840E" w:rsidR="00AA3568" w:rsidRPr="000973F2" w:rsidRDefault="00AA3568" w:rsidP="005E78BD">
            <w:pPr>
              <w:widowControl w:val="0"/>
              <w:spacing w:before="40" w:after="4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w:t>
            </w:r>
          </w:p>
        </w:tc>
        <w:tc>
          <w:tcPr>
            <w:tcW w:w="732" w:type="dxa"/>
            <w:noWrap/>
            <w:hideMark/>
          </w:tcPr>
          <w:p w14:paraId="513A84FB" w14:textId="57ACF9D9" w:rsidR="00AA3568" w:rsidRPr="000973F2" w:rsidRDefault="00AA3568" w:rsidP="005E78BD">
            <w:pPr>
              <w:widowControl w:val="0"/>
              <w:spacing w:before="40" w:after="4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w:t>
            </w:r>
          </w:p>
        </w:tc>
        <w:tc>
          <w:tcPr>
            <w:tcW w:w="888" w:type="dxa"/>
            <w:noWrap/>
            <w:hideMark/>
          </w:tcPr>
          <w:p w14:paraId="4D0C834D" w14:textId="62FB4000" w:rsidR="00AA3568" w:rsidRPr="000973F2" w:rsidRDefault="00AA3568" w:rsidP="005E78BD">
            <w:pPr>
              <w:widowControl w:val="0"/>
              <w:spacing w:before="40" w:after="4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w:t>
            </w:r>
          </w:p>
        </w:tc>
      </w:tr>
      <w:tr w:rsidR="005E78BD" w:rsidRPr="000973F2" w14:paraId="48DAF851" w14:textId="77777777" w:rsidTr="0041094D">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1425" w:type="dxa"/>
            <w:hideMark/>
          </w:tcPr>
          <w:p w14:paraId="0830072A" w14:textId="77777777" w:rsidR="00D2323F" w:rsidRPr="000973F2" w:rsidRDefault="00D2323F" w:rsidP="005E78BD">
            <w:pPr>
              <w:widowControl w:val="0"/>
              <w:spacing w:before="40" w:after="4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Sampling and Analysis (Calculations)</w:t>
            </w:r>
          </w:p>
        </w:tc>
        <w:tc>
          <w:tcPr>
            <w:tcW w:w="787" w:type="dxa"/>
            <w:noWrap/>
            <w:hideMark/>
          </w:tcPr>
          <w:p w14:paraId="358F847D" w14:textId="77777777" w:rsidR="00D2323F" w:rsidRPr="000973F2" w:rsidRDefault="00D2323F" w:rsidP="005E78BD">
            <w:pPr>
              <w:widowControl w:val="0"/>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0</w:t>
            </w:r>
          </w:p>
        </w:tc>
        <w:tc>
          <w:tcPr>
            <w:tcW w:w="788" w:type="dxa"/>
            <w:noWrap/>
            <w:hideMark/>
          </w:tcPr>
          <w:p w14:paraId="5DDA8C05" w14:textId="77777777" w:rsidR="00D2323F" w:rsidRPr="000973F2" w:rsidRDefault="00D2323F" w:rsidP="005E78BD">
            <w:pPr>
              <w:widowControl w:val="0"/>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0</w:t>
            </w:r>
          </w:p>
        </w:tc>
        <w:tc>
          <w:tcPr>
            <w:tcW w:w="787" w:type="dxa"/>
            <w:noWrap/>
            <w:hideMark/>
          </w:tcPr>
          <w:p w14:paraId="243A8924" w14:textId="77777777" w:rsidR="00D2323F" w:rsidRPr="000973F2" w:rsidRDefault="00D2323F" w:rsidP="005E78BD">
            <w:pPr>
              <w:widowControl w:val="0"/>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0</w:t>
            </w:r>
          </w:p>
        </w:tc>
        <w:tc>
          <w:tcPr>
            <w:tcW w:w="788" w:type="dxa"/>
            <w:noWrap/>
            <w:hideMark/>
          </w:tcPr>
          <w:p w14:paraId="74ABDE13" w14:textId="77777777" w:rsidR="00D2323F" w:rsidRPr="000973F2" w:rsidRDefault="00D2323F" w:rsidP="005E78BD">
            <w:pPr>
              <w:widowControl w:val="0"/>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0</w:t>
            </w:r>
          </w:p>
        </w:tc>
        <w:tc>
          <w:tcPr>
            <w:tcW w:w="787" w:type="dxa"/>
            <w:noWrap/>
            <w:hideMark/>
          </w:tcPr>
          <w:p w14:paraId="0073815B" w14:textId="77777777" w:rsidR="00D2323F" w:rsidRPr="000973F2" w:rsidRDefault="00D2323F" w:rsidP="005E78BD">
            <w:pPr>
              <w:widowControl w:val="0"/>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0</w:t>
            </w:r>
          </w:p>
        </w:tc>
        <w:tc>
          <w:tcPr>
            <w:tcW w:w="788" w:type="dxa"/>
            <w:noWrap/>
            <w:hideMark/>
          </w:tcPr>
          <w:p w14:paraId="6A363CAC" w14:textId="77777777" w:rsidR="00D2323F" w:rsidRPr="000973F2" w:rsidRDefault="00D2323F" w:rsidP="005E78BD">
            <w:pPr>
              <w:widowControl w:val="0"/>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130</w:t>
            </w:r>
          </w:p>
        </w:tc>
        <w:tc>
          <w:tcPr>
            <w:tcW w:w="787" w:type="dxa"/>
            <w:noWrap/>
            <w:hideMark/>
          </w:tcPr>
          <w:p w14:paraId="3DC290AA" w14:textId="77777777" w:rsidR="00D2323F" w:rsidRPr="000973F2" w:rsidRDefault="00D2323F" w:rsidP="005E78BD">
            <w:pPr>
              <w:widowControl w:val="0"/>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0</w:t>
            </w:r>
          </w:p>
        </w:tc>
        <w:tc>
          <w:tcPr>
            <w:tcW w:w="788" w:type="dxa"/>
            <w:noWrap/>
            <w:hideMark/>
          </w:tcPr>
          <w:p w14:paraId="6C34AA90" w14:textId="77777777" w:rsidR="00D2323F" w:rsidRPr="000973F2" w:rsidRDefault="00D2323F" w:rsidP="005E78BD">
            <w:pPr>
              <w:widowControl w:val="0"/>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0</w:t>
            </w:r>
          </w:p>
        </w:tc>
        <w:tc>
          <w:tcPr>
            <w:tcW w:w="732" w:type="dxa"/>
            <w:noWrap/>
            <w:hideMark/>
          </w:tcPr>
          <w:p w14:paraId="3B804A3A" w14:textId="758DD003" w:rsidR="00D2323F" w:rsidRPr="000973F2" w:rsidRDefault="00D2323F" w:rsidP="005E78BD">
            <w:pPr>
              <w:widowControl w:val="0"/>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$0</w:t>
            </w:r>
          </w:p>
        </w:tc>
        <w:tc>
          <w:tcPr>
            <w:tcW w:w="888" w:type="dxa"/>
            <w:noWrap/>
            <w:hideMark/>
          </w:tcPr>
          <w:p w14:paraId="43AC6CE9" w14:textId="5C71FFB2" w:rsidR="00D2323F" w:rsidRPr="000973F2" w:rsidRDefault="00D2323F" w:rsidP="005E78BD">
            <w:pPr>
              <w:widowControl w:val="0"/>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$9,289</w:t>
            </w:r>
          </w:p>
        </w:tc>
      </w:tr>
      <w:tr w:rsidR="005E78BD" w:rsidRPr="000973F2" w14:paraId="62BD6147" w14:textId="77777777" w:rsidTr="0041094D">
        <w:trPr>
          <w:cantSplit/>
        </w:trPr>
        <w:tc>
          <w:tcPr>
            <w:cnfStyle w:val="001000000000" w:firstRow="0" w:lastRow="0" w:firstColumn="1" w:lastColumn="0" w:oddVBand="0" w:evenVBand="0" w:oddHBand="0" w:evenHBand="0" w:firstRowFirstColumn="0" w:firstRowLastColumn="0" w:lastRowFirstColumn="0" w:lastRowLastColumn="0"/>
            <w:tcW w:w="1425" w:type="dxa"/>
            <w:hideMark/>
          </w:tcPr>
          <w:p w14:paraId="137514D1" w14:textId="77777777" w:rsidR="00AA3568" w:rsidRPr="000973F2" w:rsidRDefault="00AA3568" w:rsidP="005E78BD">
            <w:pPr>
              <w:widowControl w:val="0"/>
              <w:spacing w:before="40" w:after="4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Reporting</w:t>
            </w:r>
          </w:p>
        </w:tc>
        <w:tc>
          <w:tcPr>
            <w:tcW w:w="787" w:type="dxa"/>
            <w:noWrap/>
            <w:hideMark/>
          </w:tcPr>
          <w:p w14:paraId="0DAC6428" w14:textId="5CEAB51B" w:rsidR="00AA3568" w:rsidRPr="000973F2" w:rsidRDefault="00AA3568" w:rsidP="005E78BD">
            <w:pPr>
              <w:widowControl w:val="0"/>
              <w:spacing w:before="40" w:after="4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w:t>
            </w:r>
          </w:p>
        </w:tc>
        <w:tc>
          <w:tcPr>
            <w:tcW w:w="788" w:type="dxa"/>
            <w:noWrap/>
            <w:hideMark/>
          </w:tcPr>
          <w:p w14:paraId="298AF7EC" w14:textId="3AF90B6A" w:rsidR="00AA3568" w:rsidRPr="000973F2" w:rsidRDefault="00AA3568" w:rsidP="005E78BD">
            <w:pPr>
              <w:widowControl w:val="0"/>
              <w:spacing w:before="40" w:after="4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w:t>
            </w:r>
          </w:p>
        </w:tc>
        <w:tc>
          <w:tcPr>
            <w:tcW w:w="787" w:type="dxa"/>
            <w:noWrap/>
            <w:hideMark/>
          </w:tcPr>
          <w:p w14:paraId="5355E4B6" w14:textId="1793FD16" w:rsidR="00AA3568" w:rsidRPr="000973F2" w:rsidRDefault="00AA3568" w:rsidP="005E78BD">
            <w:pPr>
              <w:widowControl w:val="0"/>
              <w:spacing w:before="40" w:after="4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w:t>
            </w:r>
          </w:p>
        </w:tc>
        <w:tc>
          <w:tcPr>
            <w:tcW w:w="788" w:type="dxa"/>
            <w:noWrap/>
            <w:hideMark/>
          </w:tcPr>
          <w:p w14:paraId="2133FB00" w14:textId="57FC92AE" w:rsidR="00AA3568" w:rsidRPr="000973F2" w:rsidRDefault="00AA3568" w:rsidP="005E78BD">
            <w:pPr>
              <w:widowControl w:val="0"/>
              <w:spacing w:before="40" w:after="4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w:t>
            </w:r>
          </w:p>
        </w:tc>
        <w:tc>
          <w:tcPr>
            <w:tcW w:w="787" w:type="dxa"/>
            <w:noWrap/>
            <w:hideMark/>
          </w:tcPr>
          <w:p w14:paraId="62310384" w14:textId="398DCA00" w:rsidR="00AA3568" w:rsidRPr="000973F2" w:rsidRDefault="00AA3568" w:rsidP="005E78BD">
            <w:pPr>
              <w:widowControl w:val="0"/>
              <w:spacing w:before="40" w:after="4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w:t>
            </w:r>
          </w:p>
        </w:tc>
        <w:tc>
          <w:tcPr>
            <w:tcW w:w="788" w:type="dxa"/>
            <w:noWrap/>
            <w:hideMark/>
          </w:tcPr>
          <w:p w14:paraId="0D60DAF6" w14:textId="6A58863A" w:rsidR="00AA3568" w:rsidRPr="000973F2" w:rsidRDefault="00AA3568" w:rsidP="005E78BD">
            <w:pPr>
              <w:widowControl w:val="0"/>
              <w:spacing w:before="40" w:after="4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w:t>
            </w:r>
          </w:p>
        </w:tc>
        <w:tc>
          <w:tcPr>
            <w:tcW w:w="787" w:type="dxa"/>
            <w:noWrap/>
            <w:hideMark/>
          </w:tcPr>
          <w:p w14:paraId="57BCDA72" w14:textId="79D9C9B5" w:rsidR="00AA3568" w:rsidRPr="000973F2" w:rsidRDefault="00AA3568" w:rsidP="005E78BD">
            <w:pPr>
              <w:widowControl w:val="0"/>
              <w:spacing w:before="40" w:after="4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w:t>
            </w:r>
          </w:p>
        </w:tc>
        <w:tc>
          <w:tcPr>
            <w:tcW w:w="788" w:type="dxa"/>
            <w:noWrap/>
            <w:hideMark/>
          </w:tcPr>
          <w:p w14:paraId="03152168" w14:textId="5ACB10DA" w:rsidR="00AA3568" w:rsidRPr="000973F2" w:rsidRDefault="00AA3568" w:rsidP="005E78BD">
            <w:pPr>
              <w:widowControl w:val="0"/>
              <w:spacing w:before="40" w:after="4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w:t>
            </w:r>
          </w:p>
        </w:tc>
        <w:tc>
          <w:tcPr>
            <w:tcW w:w="732" w:type="dxa"/>
            <w:noWrap/>
            <w:hideMark/>
          </w:tcPr>
          <w:p w14:paraId="5CAF4C06" w14:textId="623B98EE" w:rsidR="00AA3568" w:rsidRPr="000973F2" w:rsidRDefault="00AA3568" w:rsidP="005E78BD">
            <w:pPr>
              <w:widowControl w:val="0"/>
              <w:spacing w:before="40" w:after="4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w:t>
            </w:r>
          </w:p>
        </w:tc>
        <w:tc>
          <w:tcPr>
            <w:tcW w:w="888" w:type="dxa"/>
            <w:noWrap/>
            <w:hideMark/>
          </w:tcPr>
          <w:p w14:paraId="4C0479B1" w14:textId="3874FA95" w:rsidR="00AA3568" w:rsidRPr="000973F2" w:rsidRDefault="00AA3568" w:rsidP="005E78BD">
            <w:pPr>
              <w:widowControl w:val="0"/>
              <w:spacing w:before="40" w:after="4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w:t>
            </w:r>
          </w:p>
        </w:tc>
      </w:tr>
      <w:tr w:rsidR="005E78BD" w:rsidRPr="000973F2" w14:paraId="7D8F4115" w14:textId="77777777" w:rsidTr="0041094D">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1425" w:type="dxa"/>
            <w:noWrap/>
            <w:hideMark/>
          </w:tcPr>
          <w:p w14:paraId="1649C2CD" w14:textId="77777777" w:rsidR="00D2323F" w:rsidRPr="000973F2" w:rsidRDefault="00D2323F" w:rsidP="005E78BD">
            <w:pPr>
              <w:widowControl w:val="0"/>
              <w:spacing w:before="40" w:after="40"/>
              <w:rPr>
                <w:rFonts w:ascii="Times New Roman" w:eastAsia="Times New Roman" w:hAnsi="Times New Roman" w:cs="Times New Roman"/>
                <w:b/>
                <w:bCs w:val="0"/>
                <w:sz w:val="18"/>
                <w:szCs w:val="18"/>
              </w:rPr>
            </w:pPr>
            <w:r w:rsidRPr="000973F2">
              <w:rPr>
                <w:rFonts w:ascii="Times New Roman" w:eastAsia="Times New Roman" w:hAnsi="Times New Roman" w:cs="Times New Roman"/>
                <w:b/>
                <w:sz w:val="18"/>
                <w:szCs w:val="18"/>
              </w:rPr>
              <w:t>Total</w:t>
            </w:r>
          </w:p>
        </w:tc>
        <w:tc>
          <w:tcPr>
            <w:tcW w:w="787" w:type="dxa"/>
            <w:noWrap/>
            <w:hideMark/>
          </w:tcPr>
          <w:p w14:paraId="26C2FC6E" w14:textId="77777777" w:rsidR="00D2323F" w:rsidRPr="000973F2" w:rsidRDefault="00D2323F" w:rsidP="005E78BD">
            <w:pPr>
              <w:widowControl w:val="0"/>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18"/>
                <w:szCs w:val="18"/>
              </w:rPr>
            </w:pPr>
            <w:r w:rsidRPr="000973F2">
              <w:rPr>
                <w:rFonts w:ascii="Times New Roman" w:eastAsia="Times New Roman" w:hAnsi="Times New Roman" w:cs="Times New Roman"/>
                <w:b/>
                <w:bCs/>
                <w:sz w:val="18"/>
                <w:szCs w:val="18"/>
              </w:rPr>
              <w:t>0</w:t>
            </w:r>
          </w:p>
        </w:tc>
        <w:tc>
          <w:tcPr>
            <w:tcW w:w="788" w:type="dxa"/>
            <w:noWrap/>
            <w:hideMark/>
          </w:tcPr>
          <w:p w14:paraId="215AC627" w14:textId="77777777" w:rsidR="00D2323F" w:rsidRPr="000973F2" w:rsidRDefault="00D2323F" w:rsidP="005E78BD">
            <w:pPr>
              <w:widowControl w:val="0"/>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18"/>
                <w:szCs w:val="18"/>
              </w:rPr>
            </w:pPr>
            <w:r w:rsidRPr="000973F2">
              <w:rPr>
                <w:rFonts w:ascii="Times New Roman" w:eastAsia="Times New Roman" w:hAnsi="Times New Roman" w:cs="Times New Roman"/>
                <w:b/>
                <w:bCs/>
                <w:sz w:val="18"/>
                <w:szCs w:val="18"/>
              </w:rPr>
              <w:t>0</w:t>
            </w:r>
          </w:p>
        </w:tc>
        <w:tc>
          <w:tcPr>
            <w:tcW w:w="787" w:type="dxa"/>
            <w:noWrap/>
            <w:hideMark/>
          </w:tcPr>
          <w:p w14:paraId="327096DE" w14:textId="77777777" w:rsidR="00D2323F" w:rsidRPr="000973F2" w:rsidRDefault="00D2323F" w:rsidP="005E78BD">
            <w:pPr>
              <w:widowControl w:val="0"/>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18"/>
                <w:szCs w:val="18"/>
              </w:rPr>
            </w:pPr>
            <w:r w:rsidRPr="000973F2">
              <w:rPr>
                <w:rFonts w:ascii="Times New Roman" w:eastAsia="Times New Roman" w:hAnsi="Times New Roman" w:cs="Times New Roman"/>
                <w:b/>
                <w:bCs/>
                <w:sz w:val="18"/>
                <w:szCs w:val="18"/>
              </w:rPr>
              <w:t>0</w:t>
            </w:r>
          </w:p>
        </w:tc>
        <w:tc>
          <w:tcPr>
            <w:tcW w:w="788" w:type="dxa"/>
            <w:noWrap/>
            <w:hideMark/>
          </w:tcPr>
          <w:p w14:paraId="24588E2E" w14:textId="77777777" w:rsidR="00D2323F" w:rsidRPr="000973F2" w:rsidRDefault="00D2323F" w:rsidP="005E78BD">
            <w:pPr>
              <w:widowControl w:val="0"/>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18"/>
                <w:szCs w:val="18"/>
              </w:rPr>
            </w:pPr>
            <w:r w:rsidRPr="000973F2">
              <w:rPr>
                <w:rFonts w:ascii="Times New Roman" w:eastAsia="Times New Roman" w:hAnsi="Times New Roman" w:cs="Times New Roman"/>
                <w:b/>
                <w:bCs/>
                <w:sz w:val="18"/>
                <w:szCs w:val="18"/>
              </w:rPr>
              <w:t>0</w:t>
            </w:r>
          </w:p>
        </w:tc>
        <w:tc>
          <w:tcPr>
            <w:tcW w:w="787" w:type="dxa"/>
            <w:noWrap/>
            <w:hideMark/>
          </w:tcPr>
          <w:p w14:paraId="745331C8" w14:textId="77777777" w:rsidR="00D2323F" w:rsidRPr="000973F2" w:rsidRDefault="00D2323F" w:rsidP="005E78BD">
            <w:pPr>
              <w:widowControl w:val="0"/>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18"/>
                <w:szCs w:val="18"/>
              </w:rPr>
            </w:pPr>
            <w:r w:rsidRPr="000973F2">
              <w:rPr>
                <w:rFonts w:ascii="Times New Roman" w:eastAsia="Times New Roman" w:hAnsi="Times New Roman" w:cs="Times New Roman"/>
                <w:b/>
                <w:bCs/>
                <w:sz w:val="18"/>
                <w:szCs w:val="18"/>
              </w:rPr>
              <w:t>0</w:t>
            </w:r>
          </w:p>
        </w:tc>
        <w:tc>
          <w:tcPr>
            <w:tcW w:w="788" w:type="dxa"/>
            <w:noWrap/>
            <w:hideMark/>
          </w:tcPr>
          <w:p w14:paraId="36A9B2E7" w14:textId="77777777" w:rsidR="00D2323F" w:rsidRPr="000973F2" w:rsidRDefault="00D2323F" w:rsidP="005E78BD">
            <w:pPr>
              <w:widowControl w:val="0"/>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18"/>
                <w:szCs w:val="18"/>
              </w:rPr>
            </w:pPr>
            <w:r w:rsidRPr="000973F2">
              <w:rPr>
                <w:rFonts w:ascii="Times New Roman" w:eastAsia="Times New Roman" w:hAnsi="Times New Roman" w:cs="Times New Roman"/>
                <w:b/>
                <w:bCs/>
                <w:sz w:val="18"/>
                <w:szCs w:val="18"/>
              </w:rPr>
              <w:t>130</w:t>
            </w:r>
          </w:p>
        </w:tc>
        <w:tc>
          <w:tcPr>
            <w:tcW w:w="787" w:type="dxa"/>
            <w:noWrap/>
            <w:hideMark/>
          </w:tcPr>
          <w:p w14:paraId="27411B77" w14:textId="77777777" w:rsidR="00D2323F" w:rsidRPr="000973F2" w:rsidRDefault="00D2323F" w:rsidP="005E78BD">
            <w:pPr>
              <w:widowControl w:val="0"/>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18"/>
                <w:szCs w:val="18"/>
              </w:rPr>
            </w:pPr>
            <w:r w:rsidRPr="000973F2">
              <w:rPr>
                <w:rFonts w:ascii="Times New Roman" w:eastAsia="Times New Roman" w:hAnsi="Times New Roman" w:cs="Times New Roman"/>
                <w:b/>
                <w:bCs/>
                <w:sz w:val="18"/>
                <w:szCs w:val="18"/>
              </w:rPr>
              <w:t>0</w:t>
            </w:r>
          </w:p>
        </w:tc>
        <w:tc>
          <w:tcPr>
            <w:tcW w:w="788" w:type="dxa"/>
            <w:noWrap/>
            <w:hideMark/>
          </w:tcPr>
          <w:p w14:paraId="07C76C04" w14:textId="77777777" w:rsidR="00D2323F" w:rsidRPr="000973F2" w:rsidRDefault="00D2323F" w:rsidP="005E78BD">
            <w:pPr>
              <w:widowControl w:val="0"/>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18"/>
                <w:szCs w:val="18"/>
              </w:rPr>
            </w:pPr>
            <w:r w:rsidRPr="000973F2">
              <w:rPr>
                <w:rFonts w:ascii="Times New Roman" w:eastAsia="Times New Roman" w:hAnsi="Times New Roman" w:cs="Times New Roman"/>
                <w:b/>
                <w:bCs/>
                <w:sz w:val="18"/>
                <w:szCs w:val="18"/>
              </w:rPr>
              <w:t>0</w:t>
            </w:r>
          </w:p>
        </w:tc>
        <w:tc>
          <w:tcPr>
            <w:tcW w:w="732" w:type="dxa"/>
            <w:noWrap/>
            <w:hideMark/>
          </w:tcPr>
          <w:p w14:paraId="08878962" w14:textId="1C6B2C34" w:rsidR="00D2323F" w:rsidRPr="000973F2" w:rsidRDefault="00D2323F" w:rsidP="005E78BD">
            <w:pPr>
              <w:widowControl w:val="0"/>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18"/>
                <w:szCs w:val="18"/>
              </w:rPr>
            </w:pPr>
            <w:r w:rsidRPr="000973F2">
              <w:rPr>
                <w:rFonts w:ascii="Times New Roman" w:eastAsia="Times New Roman" w:hAnsi="Times New Roman" w:cs="Times New Roman"/>
                <w:b/>
                <w:bCs/>
                <w:sz w:val="18"/>
                <w:szCs w:val="18"/>
              </w:rPr>
              <w:t>$0</w:t>
            </w:r>
          </w:p>
        </w:tc>
        <w:tc>
          <w:tcPr>
            <w:tcW w:w="888" w:type="dxa"/>
            <w:noWrap/>
            <w:hideMark/>
          </w:tcPr>
          <w:p w14:paraId="52AE235B" w14:textId="568B86E1" w:rsidR="00D2323F" w:rsidRPr="000973F2" w:rsidRDefault="00D2323F" w:rsidP="005E78BD">
            <w:pPr>
              <w:widowControl w:val="0"/>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18"/>
                <w:szCs w:val="18"/>
              </w:rPr>
            </w:pPr>
            <w:r w:rsidRPr="000973F2">
              <w:rPr>
                <w:rFonts w:ascii="Times New Roman" w:eastAsia="Times New Roman" w:hAnsi="Times New Roman" w:cs="Times New Roman"/>
                <w:b/>
                <w:bCs/>
                <w:sz w:val="18"/>
                <w:szCs w:val="18"/>
              </w:rPr>
              <w:t>$9,289</w:t>
            </w:r>
          </w:p>
        </w:tc>
      </w:tr>
    </w:tbl>
    <w:p w14:paraId="7BC0B976" w14:textId="77777777" w:rsidR="00D2323F" w:rsidRPr="000973F2" w:rsidRDefault="00D2323F" w:rsidP="00DA0B85">
      <w:pPr>
        <w:widowControl w:val="0"/>
        <w:spacing w:line="240" w:lineRule="auto"/>
        <w:rPr>
          <w:rFonts w:ascii="Times New Roman" w:hAnsi="Times New Roman" w:cs="Times New Roman"/>
          <w:b/>
          <w:i/>
          <w:sz w:val="24"/>
          <w:szCs w:val="24"/>
        </w:rPr>
      </w:pPr>
    </w:p>
    <w:p w14:paraId="2B97E75E" w14:textId="77777777" w:rsidR="00D2323F" w:rsidRPr="000973F2" w:rsidRDefault="00D2323F">
      <w:pPr>
        <w:widowControl w:val="0"/>
        <w:spacing w:line="240" w:lineRule="auto"/>
        <w:rPr>
          <w:rFonts w:ascii="Times New Roman" w:hAnsi="Times New Roman" w:cs="Times New Roman"/>
          <w:b/>
          <w:bCs/>
          <w:i/>
          <w:iCs/>
          <w:sz w:val="24"/>
          <w:szCs w:val="24"/>
        </w:rPr>
      </w:pPr>
      <w:r w:rsidRPr="000973F2">
        <w:rPr>
          <w:rFonts w:ascii="Times New Roman" w:hAnsi="Times New Roman" w:cs="Times New Roman"/>
          <w:b/>
          <w:bCs/>
          <w:i/>
          <w:iCs/>
          <w:sz w:val="24"/>
          <w:szCs w:val="24"/>
        </w:rPr>
        <w:br w:type="page"/>
      </w:r>
    </w:p>
    <w:p w14:paraId="7D93D298" w14:textId="77777777" w:rsidR="00D2323F" w:rsidRPr="000973F2" w:rsidRDefault="00D2323F" w:rsidP="005E78BD">
      <w:pPr>
        <w:pStyle w:val="Heading2"/>
        <w:rPr>
          <w:rFonts w:eastAsia="Times New Roman"/>
        </w:rPr>
      </w:pPr>
      <w:r w:rsidRPr="000973F2">
        <w:t>Capital and O&amp;M Costs for Subpart FF– Methane Liberation from Degasification Systems that Do Not Destroy Methane or Transport Methane Offsite</w:t>
      </w:r>
    </w:p>
    <w:p w14:paraId="2B02FC11" w14:textId="5C49F1C7" w:rsidR="00D2323F" w:rsidRPr="000973F2" w:rsidRDefault="00D2323F" w:rsidP="005E78BD">
      <w:pPr>
        <w:pStyle w:val="BodyText"/>
      </w:pPr>
      <w:r w:rsidRPr="000973F2">
        <w:t xml:space="preserve">Table </w:t>
      </w:r>
      <w:r w:rsidR="005E78BD" w:rsidRPr="000973F2">
        <w:t>FF-</w:t>
      </w:r>
      <w:r w:rsidRPr="000973F2">
        <w:t>2b summarizes the capital and O&amp;M costs associated with reporting degasification emissions. Calibration of the methanometer</w:t>
      </w:r>
      <w:r w:rsidRPr="000973F2">
        <w:rPr>
          <w:rStyle w:val="FootnoteReference"/>
        </w:rPr>
        <w:footnoteReference w:id="13"/>
      </w:r>
      <w:r w:rsidRPr="000973F2">
        <w:t xml:space="preserve"> and the orifice differential flow meter is included under costs for performance testing. The costs related to recordkeeping are discussed in the Cost Appendix Introduction and are taken into account in Table </w:t>
      </w:r>
      <w:r w:rsidR="005E78BD" w:rsidRPr="000973F2">
        <w:t>FF-</w:t>
      </w:r>
      <w:r w:rsidRPr="000973F2">
        <w:t>2a.</w:t>
      </w:r>
    </w:p>
    <w:p w14:paraId="2F747CB4" w14:textId="41F868EC" w:rsidR="00D2323F" w:rsidRPr="000973F2" w:rsidRDefault="00A46D8E" w:rsidP="005E78BD">
      <w:pPr>
        <w:pStyle w:val="Tabletitle"/>
      </w:pPr>
      <w:r w:rsidRPr="000973F2">
        <w:t xml:space="preserve">Table </w:t>
      </w:r>
      <w:r w:rsidR="005E78BD" w:rsidRPr="000973F2">
        <w:t>FF-</w:t>
      </w:r>
      <w:r w:rsidRPr="000973F2">
        <w:t xml:space="preserve">2b. Capital and O&amp;M Costs </w:t>
      </w:r>
      <w:r w:rsidR="00B960CC" w:rsidRPr="000973F2">
        <w:t>–</w:t>
      </w:r>
      <w:r w:rsidRPr="000973F2">
        <w:t xml:space="preserve"> </w:t>
      </w:r>
      <w:r w:rsidR="00D2323F" w:rsidRPr="000973F2">
        <w:t>Subpart FF– Methane Liberation from Degasification Systems that Do Not Destroy Methane or Transport Methane Offsite</w:t>
      </w:r>
    </w:p>
    <w:tbl>
      <w:tblPr>
        <w:tblStyle w:val="PlainTable1"/>
        <w:tblW w:w="5063" w:type="pct"/>
        <w:jc w:val="left"/>
        <w:tblLayout w:type="fixed"/>
        <w:tblCellMar>
          <w:left w:w="115" w:type="dxa"/>
          <w:right w:w="115" w:type="dxa"/>
        </w:tblCellMar>
        <w:tblLook w:val="04A0" w:firstRow="1" w:lastRow="0" w:firstColumn="1" w:lastColumn="0" w:noHBand="0" w:noVBand="1"/>
      </w:tblPr>
      <w:tblGrid>
        <w:gridCol w:w="1858"/>
        <w:gridCol w:w="1309"/>
        <w:gridCol w:w="1309"/>
        <w:gridCol w:w="1308"/>
        <w:gridCol w:w="1320"/>
        <w:gridCol w:w="1297"/>
        <w:gridCol w:w="1310"/>
      </w:tblGrid>
      <w:tr w:rsidR="00D17312" w:rsidRPr="000973F2" w14:paraId="2AEB5ED0" w14:textId="77777777" w:rsidTr="005C66F4">
        <w:trPr>
          <w:cnfStyle w:val="100000000000" w:firstRow="1" w:lastRow="0" w:firstColumn="0" w:lastColumn="0" w:oddVBand="0" w:evenVBand="0" w:oddHBand="0" w:evenHBand="0" w:firstRowFirstColumn="0" w:firstRowLastColumn="0" w:lastRowFirstColumn="0" w:lastRowLastColumn="0"/>
          <w:cantSplit/>
          <w:trHeight w:val="503"/>
          <w:jc w:val="left"/>
        </w:trPr>
        <w:tc>
          <w:tcPr>
            <w:cnfStyle w:val="001000000000" w:firstRow="0" w:lastRow="0" w:firstColumn="1" w:lastColumn="0" w:oddVBand="0" w:evenVBand="0" w:oddHBand="0" w:evenHBand="0" w:firstRowFirstColumn="0" w:firstRowLastColumn="0" w:lastRowFirstColumn="0" w:lastRowLastColumn="0"/>
            <w:tcW w:w="1807" w:type="dxa"/>
            <w:vMerge w:val="restart"/>
            <w:noWrap/>
            <w:vAlign w:val="top"/>
            <w:hideMark/>
          </w:tcPr>
          <w:p w14:paraId="22E0D81D" w14:textId="26E2392B" w:rsidR="00D17312" w:rsidRPr="000973F2" w:rsidRDefault="00D17312" w:rsidP="005E78BD">
            <w:pPr>
              <w:widowControl w:val="0"/>
              <w:spacing w:before="40" w:after="40"/>
              <w:rPr>
                <w:rFonts w:ascii="Times New Roman" w:eastAsia="Times New Roman" w:hAnsi="Times New Roman" w:cs="Times New Roman"/>
                <w:b w:val="0"/>
                <w:bCs w:val="0"/>
                <w:sz w:val="18"/>
                <w:szCs w:val="18"/>
              </w:rPr>
            </w:pPr>
            <w:r w:rsidRPr="000973F2">
              <w:rPr>
                <w:rFonts w:ascii="Times New Roman" w:eastAsia="Times New Roman" w:hAnsi="Times New Roman" w:cs="Times New Roman"/>
                <w:sz w:val="18"/>
                <w:szCs w:val="18"/>
              </w:rPr>
              <w:t>Activity</w:t>
            </w:r>
          </w:p>
        </w:tc>
        <w:tc>
          <w:tcPr>
            <w:tcW w:w="5104" w:type="dxa"/>
            <w:gridSpan w:val="4"/>
            <w:noWrap/>
            <w:vAlign w:val="top"/>
            <w:hideMark/>
          </w:tcPr>
          <w:p w14:paraId="26CF9865" w14:textId="77777777" w:rsidR="00D17312" w:rsidRPr="000973F2" w:rsidRDefault="00D17312" w:rsidP="005E78BD">
            <w:pPr>
              <w:widowControl w:val="0"/>
              <w:spacing w:before="40" w:after="40"/>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bCs w:val="0"/>
                <w:sz w:val="18"/>
                <w:szCs w:val="18"/>
              </w:rPr>
            </w:pPr>
            <w:r w:rsidRPr="000973F2">
              <w:rPr>
                <w:rFonts w:ascii="Times New Roman" w:eastAsia="Times New Roman" w:hAnsi="Times New Roman" w:cs="Times New Roman"/>
                <w:sz w:val="18"/>
                <w:szCs w:val="18"/>
              </w:rPr>
              <w:t>Cost Categories</w:t>
            </w:r>
          </w:p>
        </w:tc>
        <w:tc>
          <w:tcPr>
            <w:tcW w:w="2537" w:type="dxa"/>
            <w:gridSpan w:val="2"/>
            <w:vAlign w:val="top"/>
            <w:hideMark/>
          </w:tcPr>
          <w:p w14:paraId="3B46EC7E" w14:textId="5436BEEE" w:rsidR="00D17312" w:rsidRPr="000973F2" w:rsidRDefault="00D17312" w:rsidP="005E78BD">
            <w:pPr>
              <w:widowControl w:val="0"/>
              <w:spacing w:before="40" w:after="40"/>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bCs w:val="0"/>
                <w:sz w:val="18"/>
                <w:szCs w:val="18"/>
              </w:rPr>
            </w:pPr>
            <w:r w:rsidRPr="000973F2">
              <w:rPr>
                <w:rFonts w:ascii="Times New Roman" w:eastAsia="Times New Roman" w:hAnsi="Times New Roman" w:cs="Times New Roman"/>
                <w:sz w:val="18"/>
                <w:szCs w:val="18"/>
              </w:rPr>
              <w:t>Total Capital and O&amp;M Cost per Year per Facility (2017$)</w:t>
            </w:r>
          </w:p>
        </w:tc>
      </w:tr>
      <w:tr w:rsidR="00D17312" w:rsidRPr="000973F2" w14:paraId="31855715" w14:textId="77777777" w:rsidTr="005C66F4">
        <w:trPr>
          <w:cnfStyle w:val="000000100000" w:firstRow="0" w:lastRow="0" w:firstColumn="0" w:lastColumn="0" w:oddVBand="0" w:evenVBand="0" w:oddHBand="1" w:evenHBand="0" w:firstRowFirstColumn="0" w:firstRowLastColumn="0" w:lastRowFirstColumn="0" w:lastRowLastColumn="0"/>
          <w:cantSplit/>
          <w:trHeight w:val="716"/>
        </w:trPr>
        <w:tc>
          <w:tcPr>
            <w:cnfStyle w:val="001000000000" w:firstRow="0" w:lastRow="0" w:firstColumn="1" w:lastColumn="0" w:oddVBand="0" w:evenVBand="0" w:oddHBand="0" w:evenHBand="0" w:firstRowFirstColumn="0" w:firstRowLastColumn="0" w:lastRowFirstColumn="0" w:lastRowLastColumn="0"/>
            <w:tcW w:w="1807" w:type="dxa"/>
            <w:vMerge/>
            <w:noWrap/>
            <w:hideMark/>
          </w:tcPr>
          <w:p w14:paraId="22A11E84" w14:textId="245AAA3D" w:rsidR="00D17312" w:rsidRPr="000973F2" w:rsidRDefault="00D17312" w:rsidP="005E78BD">
            <w:pPr>
              <w:widowControl w:val="0"/>
              <w:spacing w:before="40" w:after="40"/>
              <w:jc w:val="center"/>
              <w:rPr>
                <w:rFonts w:ascii="Times New Roman" w:eastAsia="Times New Roman" w:hAnsi="Times New Roman" w:cs="Times New Roman"/>
                <w:b/>
                <w:bCs w:val="0"/>
                <w:sz w:val="18"/>
                <w:szCs w:val="18"/>
              </w:rPr>
            </w:pPr>
          </w:p>
        </w:tc>
        <w:tc>
          <w:tcPr>
            <w:tcW w:w="1273" w:type="dxa"/>
            <w:hideMark/>
          </w:tcPr>
          <w:p w14:paraId="1A1C7656" w14:textId="77777777" w:rsidR="00D17312" w:rsidRPr="000973F2" w:rsidRDefault="00D17312" w:rsidP="005E78BD">
            <w:pPr>
              <w:widowControl w:val="0"/>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18"/>
                <w:szCs w:val="18"/>
              </w:rPr>
            </w:pPr>
            <w:r w:rsidRPr="000973F2">
              <w:rPr>
                <w:rFonts w:ascii="Times New Roman" w:eastAsia="Times New Roman" w:hAnsi="Times New Roman" w:cs="Times New Roman"/>
                <w:b/>
                <w:bCs/>
                <w:sz w:val="18"/>
                <w:szCs w:val="18"/>
              </w:rPr>
              <w:t>Capital Cost (2017$)</w:t>
            </w:r>
          </w:p>
        </w:tc>
        <w:tc>
          <w:tcPr>
            <w:tcW w:w="1274" w:type="dxa"/>
            <w:hideMark/>
          </w:tcPr>
          <w:p w14:paraId="50F4868D" w14:textId="77777777" w:rsidR="00D17312" w:rsidRPr="000973F2" w:rsidRDefault="00D17312" w:rsidP="005E78BD">
            <w:pPr>
              <w:widowControl w:val="0"/>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18"/>
                <w:szCs w:val="18"/>
              </w:rPr>
            </w:pPr>
            <w:r w:rsidRPr="000973F2">
              <w:rPr>
                <w:rFonts w:ascii="Times New Roman" w:eastAsia="Times New Roman" w:hAnsi="Times New Roman" w:cs="Times New Roman"/>
                <w:b/>
                <w:bCs/>
                <w:sz w:val="18"/>
                <w:szCs w:val="18"/>
              </w:rPr>
              <w:t>Equipment Lifetime</w:t>
            </w:r>
          </w:p>
        </w:tc>
        <w:tc>
          <w:tcPr>
            <w:tcW w:w="1273" w:type="dxa"/>
            <w:hideMark/>
          </w:tcPr>
          <w:p w14:paraId="4FDAA9BC" w14:textId="77777777" w:rsidR="00D17312" w:rsidRPr="000973F2" w:rsidRDefault="00D17312" w:rsidP="005E78BD">
            <w:pPr>
              <w:widowControl w:val="0"/>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18"/>
                <w:szCs w:val="18"/>
              </w:rPr>
            </w:pPr>
            <w:r w:rsidRPr="000973F2">
              <w:rPr>
                <w:rFonts w:ascii="Times New Roman" w:eastAsia="Times New Roman" w:hAnsi="Times New Roman" w:cs="Times New Roman"/>
                <w:b/>
                <w:bCs/>
                <w:sz w:val="18"/>
                <w:szCs w:val="18"/>
              </w:rPr>
              <w:t>Annualized Capital Cost (2017$/year)</w:t>
            </w:r>
          </w:p>
        </w:tc>
        <w:tc>
          <w:tcPr>
            <w:tcW w:w="1284" w:type="dxa"/>
            <w:hideMark/>
          </w:tcPr>
          <w:p w14:paraId="12AE7B53" w14:textId="77777777" w:rsidR="00D17312" w:rsidRPr="000973F2" w:rsidRDefault="00D17312" w:rsidP="005E78BD">
            <w:pPr>
              <w:widowControl w:val="0"/>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18"/>
                <w:szCs w:val="18"/>
              </w:rPr>
            </w:pPr>
            <w:r w:rsidRPr="000973F2">
              <w:rPr>
                <w:rFonts w:ascii="Times New Roman" w:eastAsia="Times New Roman" w:hAnsi="Times New Roman" w:cs="Times New Roman"/>
                <w:b/>
                <w:bCs/>
                <w:sz w:val="18"/>
                <w:szCs w:val="18"/>
              </w:rPr>
              <w:t>O&amp;M Costs (2017$/year)</w:t>
            </w:r>
          </w:p>
        </w:tc>
        <w:tc>
          <w:tcPr>
            <w:tcW w:w="1262" w:type="dxa"/>
            <w:hideMark/>
          </w:tcPr>
          <w:p w14:paraId="4ABDD374" w14:textId="77777777" w:rsidR="00D17312" w:rsidRPr="000973F2" w:rsidRDefault="00D17312" w:rsidP="005E78BD">
            <w:pPr>
              <w:widowControl w:val="0"/>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18"/>
                <w:szCs w:val="18"/>
              </w:rPr>
            </w:pPr>
            <w:r w:rsidRPr="000973F2">
              <w:rPr>
                <w:rFonts w:ascii="Times New Roman" w:eastAsia="Times New Roman" w:hAnsi="Times New Roman" w:cs="Times New Roman"/>
                <w:b/>
                <w:bCs/>
                <w:sz w:val="18"/>
                <w:szCs w:val="18"/>
              </w:rPr>
              <w:t>Initial Year</w:t>
            </w:r>
          </w:p>
        </w:tc>
        <w:tc>
          <w:tcPr>
            <w:tcW w:w="1274" w:type="dxa"/>
            <w:hideMark/>
          </w:tcPr>
          <w:p w14:paraId="6F65DABC" w14:textId="77777777" w:rsidR="00D17312" w:rsidRPr="000973F2" w:rsidRDefault="00D17312" w:rsidP="005E78BD">
            <w:pPr>
              <w:widowControl w:val="0"/>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18"/>
                <w:szCs w:val="18"/>
              </w:rPr>
            </w:pPr>
            <w:r w:rsidRPr="000973F2">
              <w:rPr>
                <w:rFonts w:ascii="Times New Roman" w:eastAsia="Times New Roman" w:hAnsi="Times New Roman" w:cs="Times New Roman"/>
                <w:b/>
                <w:bCs/>
                <w:sz w:val="18"/>
                <w:szCs w:val="18"/>
              </w:rPr>
              <w:t>Subseq. Years</w:t>
            </w:r>
          </w:p>
        </w:tc>
      </w:tr>
      <w:tr w:rsidR="005E78BD" w:rsidRPr="000973F2" w14:paraId="093A54F1" w14:textId="77777777" w:rsidTr="005C66F4">
        <w:trPr>
          <w:cantSplit/>
          <w:trHeight w:val="716"/>
        </w:trPr>
        <w:tc>
          <w:tcPr>
            <w:cnfStyle w:val="001000000000" w:firstRow="0" w:lastRow="0" w:firstColumn="1" w:lastColumn="0" w:oddVBand="0" w:evenVBand="0" w:oddHBand="0" w:evenHBand="0" w:firstRowFirstColumn="0" w:firstRowLastColumn="0" w:lastRowFirstColumn="0" w:lastRowLastColumn="0"/>
            <w:tcW w:w="1807" w:type="dxa"/>
            <w:hideMark/>
          </w:tcPr>
          <w:p w14:paraId="636A92F9" w14:textId="77777777" w:rsidR="005E78BD" w:rsidRPr="000973F2" w:rsidRDefault="005E78BD" w:rsidP="005E78BD">
            <w:pPr>
              <w:widowControl w:val="0"/>
              <w:spacing w:before="40" w:after="4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Equipment (selection, purchase, installation)</w:t>
            </w:r>
          </w:p>
        </w:tc>
        <w:tc>
          <w:tcPr>
            <w:tcW w:w="1273" w:type="dxa"/>
            <w:noWrap/>
            <w:hideMark/>
          </w:tcPr>
          <w:p w14:paraId="0A954C34" w14:textId="5A569799" w:rsidR="005E78BD" w:rsidRPr="000973F2" w:rsidRDefault="005E78BD" w:rsidP="005E78BD">
            <w:pPr>
              <w:widowControl w:val="0"/>
              <w:spacing w:before="40" w:after="4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w:t>
            </w:r>
          </w:p>
        </w:tc>
        <w:tc>
          <w:tcPr>
            <w:tcW w:w="1274" w:type="dxa"/>
            <w:noWrap/>
          </w:tcPr>
          <w:p w14:paraId="1C991007" w14:textId="60AE6DB9" w:rsidR="005E78BD" w:rsidRPr="000973F2" w:rsidRDefault="005E78BD" w:rsidP="005E78BD">
            <w:pPr>
              <w:widowControl w:val="0"/>
              <w:spacing w:before="40" w:after="4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p>
        </w:tc>
        <w:tc>
          <w:tcPr>
            <w:tcW w:w="1273" w:type="dxa"/>
            <w:noWrap/>
            <w:hideMark/>
          </w:tcPr>
          <w:p w14:paraId="3708ABAB" w14:textId="3F46E112" w:rsidR="005E78BD" w:rsidRPr="000973F2" w:rsidRDefault="005E78BD" w:rsidP="005E78BD">
            <w:pPr>
              <w:widowControl w:val="0"/>
              <w:spacing w:before="40" w:after="4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w:t>
            </w:r>
          </w:p>
        </w:tc>
        <w:tc>
          <w:tcPr>
            <w:tcW w:w="1284" w:type="dxa"/>
            <w:noWrap/>
            <w:hideMark/>
          </w:tcPr>
          <w:p w14:paraId="62AE91C4" w14:textId="1FB1A6E5" w:rsidR="005E78BD" w:rsidRPr="000973F2" w:rsidRDefault="005E78BD" w:rsidP="005E78BD">
            <w:pPr>
              <w:widowControl w:val="0"/>
              <w:spacing w:before="40" w:after="4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w:t>
            </w:r>
          </w:p>
        </w:tc>
        <w:tc>
          <w:tcPr>
            <w:tcW w:w="1262" w:type="dxa"/>
            <w:noWrap/>
            <w:hideMark/>
          </w:tcPr>
          <w:p w14:paraId="5E1AF374" w14:textId="5E65878B" w:rsidR="005E78BD" w:rsidRPr="000973F2" w:rsidRDefault="005E78BD" w:rsidP="005E78BD">
            <w:pPr>
              <w:widowControl w:val="0"/>
              <w:spacing w:before="40" w:after="4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w:t>
            </w:r>
          </w:p>
        </w:tc>
        <w:tc>
          <w:tcPr>
            <w:tcW w:w="1274" w:type="dxa"/>
            <w:noWrap/>
            <w:hideMark/>
          </w:tcPr>
          <w:p w14:paraId="4AFA8E85" w14:textId="44F5C299" w:rsidR="005E78BD" w:rsidRPr="000973F2" w:rsidRDefault="005E78BD" w:rsidP="005E78BD">
            <w:pPr>
              <w:widowControl w:val="0"/>
              <w:spacing w:before="40" w:after="4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w:t>
            </w:r>
          </w:p>
        </w:tc>
      </w:tr>
      <w:tr w:rsidR="00D021D6" w:rsidRPr="000973F2" w14:paraId="18E84EE2" w14:textId="77777777" w:rsidTr="005C66F4">
        <w:trPr>
          <w:cnfStyle w:val="000000100000" w:firstRow="0" w:lastRow="0" w:firstColumn="0" w:lastColumn="0" w:oddVBand="0" w:evenVBand="0" w:oddHBand="1" w:evenHBand="0" w:firstRowFirstColumn="0" w:firstRowLastColumn="0" w:lastRowFirstColumn="0" w:lastRowLastColumn="0"/>
          <w:cantSplit/>
          <w:trHeight w:val="289"/>
        </w:trPr>
        <w:tc>
          <w:tcPr>
            <w:cnfStyle w:val="001000000000" w:firstRow="0" w:lastRow="0" w:firstColumn="1" w:lastColumn="0" w:oddVBand="0" w:evenVBand="0" w:oddHBand="0" w:evenHBand="0" w:firstRowFirstColumn="0" w:firstRowLastColumn="0" w:lastRowFirstColumn="0" w:lastRowLastColumn="0"/>
            <w:tcW w:w="1807" w:type="dxa"/>
            <w:hideMark/>
          </w:tcPr>
          <w:p w14:paraId="1DD9661D" w14:textId="77777777" w:rsidR="00D2323F" w:rsidRPr="000973F2" w:rsidRDefault="00D2323F" w:rsidP="005E78BD">
            <w:pPr>
              <w:widowControl w:val="0"/>
              <w:spacing w:before="40" w:after="4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Performance testing</w:t>
            </w:r>
          </w:p>
        </w:tc>
        <w:tc>
          <w:tcPr>
            <w:tcW w:w="1273" w:type="dxa"/>
            <w:noWrap/>
            <w:hideMark/>
          </w:tcPr>
          <w:p w14:paraId="382F21BB" w14:textId="77777777" w:rsidR="00D2323F" w:rsidRPr="000973F2" w:rsidRDefault="00D2323F" w:rsidP="005E78BD">
            <w:pPr>
              <w:widowControl w:val="0"/>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$0</w:t>
            </w:r>
          </w:p>
        </w:tc>
        <w:tc>
          <w:tcPr>
            <w:tcW w:w="1274" w:type="dxa"/>
            <w:noWrap/>
          </w:tcPr>
          <w:p w14:paraId="032DC972" w14:textId="265E435F" w:rsidR="00D2323F" w:rsidRPr="000973F2" w:rsidRDefault="00D2323F" w:rsidP="005E78BD">
            <w:pPr>
              <w:widowControl w:val="0"/>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p>
        </w:tc>
        <w:tc>
          <w:tcPr>
            <w:tcW w:w="1273" w:type="dxa"/>
            <w:noWrap/>
            <w:hideMark/>
          </w:tcPr>
          <w:p w14:paraId="0E95CAF9" w14:textId="77777777" w:rsidR="00D2323F" w:rsidRPr="000973F2" w:rsidRDefault="00D2323F" w:rsidP="005E78BD">
            <w:pPr>
              <w:widowControl w:val="0"/>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$0</w:t>
            </w:r>
          </w:p>
        </w:tc>
        <w:tc>
          <w:tcPr>
            <w:tcW w:w="1284" w:type="dxa"/>
            <w:noWrap/>
            <w:hideMark/>
          </w:tcPr>
          <w:p w14:paraId="23985A8C" w14:textId="77777777" w:rsidR="00D2323F" w:rsidRPr="000973F2" w:rsidRDefault="00D2323F" w:rsidP="005E78BD">
            <w:pPr>
              <w:widowControl w:val="0"/>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$3,000</w:t>
            </w:r>
          </w:p>
        </w:tc>
        <w:tc>
          <w:tcPr>
            <w:tcW w:w="1262" w:type="dxa"/>
            <w:noWrap/>
            <w:hideMark/>
          </w:tcPr>
          <w:p w14:paraId="26D67E29" w14:textId="77777777" w:rsidR="00D2323F" w:rsidRPr="000973F2" w:rsidRDefault="00D2323F" w:rsidP="005E78BD">
            <w:pPr>
              <w:widowControl w:val="0"/>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$0</w:t>
            </w:r>
          </w:p>
        </w:tc>
        <w:tc>
          <w:tcPr>
            <w:tcW w:w="1274" w:type="dxa"/>
            <w:noWrap/>
            <w:hideMark/>
          </w:tcPr>
          <w:p w14:paraId="0DB2A172" w14:textId="77777777" w:rsidR="00D2323F" w:rsidRPr="000973F2" w:rsidRDefault="00D2323F" w:rsidP="005E78BD">
            <w:pPr>
              <w:widowControl w:val="0"/>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$3,000</w:t>
            </w:r>
          </w:p>
        </w:tc>
      </w:tr>
      <w:tr w:rsidR="005E78BD" w:rsidRPr="000973F2" w14:paraId="66E6D08D" w14:textId="77777777" w:rsidTr="005C66F4">
        <w:trPr>
          <w:cantSplit/>
          <w:trHeight w:val="274"/>
        </w:trPr>
        <w:tc>
          <w:tcPr>
            <w:cnfStyle w:val="001000000000" w:firstRow="0" w:lastRow="0" w:firstColumn="1" w:lastColumn="0" w:oddVBand="0" w:evenVBand="0" w:oddHBand="0" w:evenHBand="0" w:firstRowFirstColumn="0" w:firstRowLastColumn="0" w:lastRowFirstColumn="0" w:lastRowLastColumn="0"/>
            <w:tcW w:w="1807" w:type="dxa"/>
            <w:hideMark/>
          </w:tcPr>
          <w:p w14:paraId="2326FDFC" w14:textId="77777777" w:rsidR="005E78BD" w:rsidRPr="000973F2" w:rsidRDefault="005E78BD" w:rsidP="005E78BD">
            <w:pPr>
              <w:widowControl w:val="0"/>
              <w:spacing w:before="40" w:after="4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Recordkeeping</w:t>
            </w:r>
          </w:p>
        </w:tc>
        <w:tc>
          <w:tcPr>
            <w:tcW w:w="1273" w:type="dxa"/>
            <w:noWrap/>
            <w:hideMark/>
          </w:tcPr>
          <w:p w14:paraId="29EA63C5" w14:textId="7DE66B48" w:rsidR="005E78BD" w:rsidRPr="000973F2" w:rsidRDefault="005E78BD" w:rsidP="005E78BD">
            <w:pPr>
              <w:widowControl w:val="0"/>
              <w:spacing w:before="40" w:after="4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w:t>
            </w:r>
          </w:p>
        </w:tc>
        <w:tc>
          <w:tcPr>
            <w:tcW w:w="1274" w:type="dxa"/>
            <w:noWrap/>
          </w:tcPr>
          <w:p w14:paraId="20025163" w14:textId="1EB43929" w:rsidR="005E78BD" w:rsidRPr="000973F2" w:rsidRDefault="005E78BD" w:rsidP="005E78BD">
            <w:pPr>
              <w:widowControl w:val="0"/>
              <w:spacing w:before="40" w:after="4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p>
        </w:tc>
        <w:tc>
          <w:tcPr>
            <w:tcW w:w="1273" w:type="dxa"/>
            <w:noWrap/>
            <w:hideMark/>
          </w:tcPr>
          <w:p w14:paraId="13F90E1F" w14:textId="0827D9E2" w:rsidR="005E78BD" w:rsidRPr="000973F2" w:rsidRDefault="005E78BD" w:rsidP="005E78BD">
            <w:pPr>
              <w:widowControl w:val="0"/>
              <w:spacing w:before="40" w:after="4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w:t>
            </w:r>
          </w:p>
        </w:tc>
        <w:tc>
          <w:tcPr>
            <w:tcW w:w="1284" w:type="dxa"/>
            <w:noWrap/>
            <w:hideMark/>
          </w:tcPr>
          <w:p w14:paraId="549F75DB" w14:textId="4ECB3586" w:rsidR="005E78BD" w:rsidRPr="000973F2" w:rsidRDefault="005E78BD" w:rsidP="005E78BD">
            <w:pPr>
              <w:widowControl w:val="0"/>
              <w:spacing w:before="40" w:after="4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w:t>
            </w:r>
          </w:p>
        </w:tc>
        <w:tc>
          <w:tcPr>
            <w:tcW w:w="1262" w:type="dxa"/>
            <w:noWrap/>
            <w:hideMark/>
          </w:tcPr>
          <w:p w14:paraId="04792E0D" w14:textId="38C7015F" w:rsidR="005E78BD" w:rsidRPr="000973F2" w:rsidRDefault="005E78BD" w:rsidP="005E78BD">
            <w:pPr>
              <w:widowControl w:val="0"/>
              <w:spacing w:before="40" w:after="4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w:t>
            </w:r>
          </w:p>
        </w:tc>
        <w:tc>
          <w:tcPr>
            <w:tcW w:w="1274" w:type="dxa"/>
            <w:noWrap/>
            <w:hideMark/>
          </w:tcPr>
          <w:p w14:paraId="37E853E2" w14:textId="31956F3C" w:rsidR="005E78BD" w:rsidRPr="000973F2" w:rsidRDefault="005E78BD" w:rsidP="005E78BD">
            <w:pPr>
              <w:widowControl w:val="0"/>
              <w:spacing w:before="40" w:after="4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w:t>
            </w:r>
          </w:p>
        </w:tc>
      </w:tr>
      <w:tr w:rsidR="005E78BD" w:rsidRPr="000973F2" w14:paraId="3901CC97" w14:textId="77777777" w:rsidTr="005C66F4">
        <w:trPr>
          <w:cnfStyle w:val="000000100000" w:firstRow="0" w:lastRow="0" w:firstColumn="0" w:lastColumn="0" w:oddVBand="0" w:evenVBand="0" w:oddHBand="1" w:evenHBand="0" w:firstRowFirstColumn="0" w:firstRowLastColumn="0" w:lastRowFirstColumn="0" w:lastRowLastColumn="0"/>
          <w:cantSplit/>
          <w:trHeight w:val="289"/>
        </w:trPr>
        <w:tc>
          <w:tcPr>
            <w:cnfStyle w:val="001000000000" w:firstRow="0" w:lastRow="0" w:firstColumn="1" w:lastColumn="0" w:oddVBand="0" w:evenVBand="0" w:oddHBand="0" w:evenHBand="0" w:firstRowFirstColumn="0" w:firstRowLastColumn="0" w:lastRowFirstColumn="0" w:lastRowLastColumn="0"/>
            <w:tcW w:w="1807" w:type="dxa"/>
            <w:hideMark/>
          </w:tcPr>
          <w:p w14:paraId="3FDBAE0E" w14:textId="77777777" w:rsidR="005E78BD" w:rsidRPr="000973F2" w:rsidRDefault="005E78BD" w:rsidP="005E78BD">
            <w:pPr>
              <w:widowControl w:val="0"/>
              <w:spacing w:before="40" w:after="4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Travel</w:t>
            </w:r>
          </w:p>
        </w:tc>
        <w:tc>
          <w:tcPr>
            <w:tcW w:w="1273" w:type="dxa"/>
            <w:noWrap/>
            <w:hideMark/>
          </w:tcPr>
          <w:p w14:paraId="69B11A16" w14:textId="48280EC9" w:rsidR="005E78BD" w:rsidRPr="000973F2" w:rsidRDefault="005E78BD" w:rsidP="005E78BD">
            <w:pPr>
              <w:widowControl w:val="0"/>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w:t>
            </w:r>
          </w:p>
        </w:tc>
        <w:tc>
          <w:tcPr>
            <w:tcW w:w="1274" w:type="dxa"/>
            <w:noWrap/>
          </w:tcPr>
          <w:p w14:paraId="4A42B760" w14:textId="0301A367" w:rsidR="005E78BD" w:rsidRPr="000973F2" w:rsidRDefault="005E78BD" w:rsidP="005E78BD">
            <w:pPr>
              <w:widowControl w:val="0"/>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p>
        </w:tc>
        <w:tc>
          <w:tcPr>
            <w:tcW w:w="1273" w:type="dxa"/>
            <w:noWrap/>
            <w:hideMark/>
          </w:tcPr>
          <w:p w14:paraId="7C81C19A" w14:textId="1BA24981" w:rsidR="005E78BD" w:rsidRPr="000973F2" w:rsidRDefault="005E78BD" w:rsidP="005E78BD">
            <w:pPr>
              <w:widowControl w:val="0"/>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w:t>
            </w:r>
          </w:p>
        </w:tc>
        <w:tc>
          <w:tcPr>
            <w:tcW w:w="1284" w:type="dxa"/>
            <w:noWrap/>
            <w:hideMark/>
          </w:tcPr>
          <w:p w14:paraId="18ED2816" w14:textId="4AF2F224" w:rsidR="005E78BD" w:rsidRPr="000973F2" w:rsidRDefault="005E78BD" w:rsidP="005E78BD">
            <w:pPr>
              <w:widowControl w:val="0"/>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w:t>
            </w:r>
          </w:p>
        </w:tc>
        <w:tc>
          <w:tcPr>
            <w:tcW w:w="1262" w:type="dxa"/>
            <w:noWrap/>
            <w:hideMark/>
          </w:tcPr>
          <w:p w14:paraId="5D278046" w14:textId="35D0B0C9" w:rsidR="005E78BD" w:rsidRPr="000973F2" w:rsidRDefault="005E78BD" w:rsidP="005E78BD">
            <w:pPr>
              <w:widowControl w:val="0"/>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w:t>
            </w:r>
          </w:p>
        </w:tc>
        <w:tc>
          <w:tcPr>
            <w:tcW w:w="1274" w:type="dxa"/>
            <w:noWrap/>
            <w:hideMark/>
          </w:tcPr>
          <w:p w14:paraId="4F70E4AE" w14:textId="425C7FDA" w:rsidR="005E78BD" w:rsidRPr="000973F2" w:rsidRDefault="005E78BD" w:rsidP="005E78BD">
            <w:pPr>
              <w:widowControl w:val="0"/>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w:t>
            </w:r>
          </w:p>
        </w:tc>
      </w:tr>
      <w:tr w:rsidR="005E78BD" w:rsidRPr="000973F2" w14:paraId="1B724257" w14:textId="77777777" w:rsidTr="005C66F4">
        <w:trPr>
          <w:cantSplit/>
          <w:trHeight w:val="503"/>
        </w:trPr>
        <w:tc>
          <w:tcPr>
            <w:cnfStyle w:val="001000000000" w:firstRow="0" w:lastRow="0" w:firstColumn="1" w:lastColumn="0" w:oddVBand="0" w:evenVBand="0" w:oddHBand="0" w:evenHBand="0" w:firstRowFirstColumn="0" w:firstRowLastColumn="0" w:lastRowFirstColumn="0" w:lastRowLastColumn="0"/>
            <w:tcW w:w="1807" w:type="dxa"/>
            <w:hideMark/>
          </w:tcPr>
          <w:p w14:paraId="15128D7B" w14:textId="6CC5B6F3" w:rsidR="005E78BD" w:rsidRPr="000973F2" w:rsidRDefault="005E78BD" w:rsidP="005E78BD">
            <w:pPr>
              <w:widowControl w:val="0"/>
              <w:spacing w:before="40" w:after="4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Sampling and Analysis Costs</w:t>
            </w:r>
          </w:p>
        </w:tc>
        <w:tc>
          <w:tcPr>
            <w:tcW w:w="1273" w:type="dxa"/>
            <w:noWrap/>
            <w:hideMark/>
          </w:tcPr>
          <w:p w14:paraId="03CA6C3F" w14:textId="0585898E" w:rsidR="005E78BD" w:rsidRPr="000973F2" w:rsidRDefault="005E78BD" w:rsidP="005E78BD">
            <w:pPr>
              <w:widowControl w:val="0"/>
              <w:spacing w:before="40" w:after="4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w:t>
            </w:r>
          </w:p>
        </w:tc>
        <w:tc>
          <w:tcPr>
            <w:tcW w:w="1274" w:type="dxa"/>
            <w:noWrap/>
          </w:tcPr>
          <w:p w14:paraId="07A76815" w14:textId="70E66129" w:rsidR="005E78BD" w:rsidRPr="000973F2" w:rsidRDefault="005E78BD" w:rsidP="005E78BD">
            <w:pPr>
              <w:widowControl w:val="0"/>
              <w:spacing w:before="40" w:after="4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p>
        </w:tc>
        <w:tc>
          <w:tcPr>
            <w:tcW w:w="1273" w:type="dxa"/>
            <w:noWrap/>
            <w:hideMark/>
          </w:tcPr>
          <w:p w14:paraId="3C50B423" w14:textId="31F7C05D" w:rsidR="005E78BD" w:rsidRPr="000973F2" w:rsidRDefault="005E78BD" w:rsidP="005E78BD">
            <w:pPr>
              <w:widowControl w:val="0"/>
              <w:spacing w:before="40" w:after="4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w:t>
            </w:r>
          </w:p>
        </w:tc>
        <w:tc>
          <w:tcPr>
            <w:tcW w:w="1284" w:type="dxa"/>
            <w:noWrap/>
            <w:hideMark/>
          </w:tcPr>
          <w:p w14:paraId="7F1B79A1" w14:textId="67B9A4B3" w:rsidR="005E78BD" w:rsidRPr="000973F2" w:rsidRDefault="005E78BD" w:rsidP="005E78BD">
            <w:pPr>
              <w:widowControl w:val="0"/>
              <w:spacing w:before="40" w:after="4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w:t>
            </w:r>
          </w:p>
        </w:tc>
        <w:tc>
          <w:tcPr>
            <w:tcW w:w="1262" w:type="dxa"/>
            <w:noWrap/>
            <w:hideMark/>
          </w:tcPr>
          <w:p w14:paraId="5C160A4D" w14:textId="7C05615E" w:rsidR="005E78BD" w:rsidRPr="000973F2" w:rsidRDefault="005E78BD" w:rsidP="005E78BD">
            <w:pPr>
              <w:widowControl w:val="0"/>
              <w:spacing w:before="40" w:after="4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w:t>
            </w:r>
          </w:p>
        </w:tc>
        <w:tc>
          <w:tcPr>
            <w:tcW w:w="1274" w:type="dxa"/>
            <w:noWrap/>
            <w:hideMark/>
          </w:tcPr>
          <w:p w14:paraId="54960CB4" w14:textId="6275EA67" w:rsidR="005E78BD" w:rsidRPr="000973F2" w:rsidRDefault="005E78BD" w:rsidP="005E78BD">
            <w:pPr>
              <w:widowControl w:val="0"/>
              <w:spacing w:before="40" w:after="4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w:t>
            </w:r>
          </w:p>
        </w:tc>
      </w:tr>
      <w:tr w:rsidR="00D2323F" w:rsidRPr="000973F2" w14:paraId="6460FE58" w14:textId="77777777" w:rsidTr="005C66F4">
        <w:trPr>
          <w:cnfStyle w:val="000000100000" w:firstRow="0" w:lastRow="0" w:firstColumn="0" w:lastColumn="0" w:oddVBand="0" w:evenVBand="0" w:oddHBand="1" w:evenHBand="0" w:firstRowFirstColumn="0" w:firstRowLastColumn="0" w:lastRowFirstColumn="0" w:lastRowLastColumn="0"/>
          <w:cantSplit/>
          <w:trHeight w:val="289"/>
        </w:trPr>
        <w:tc>
          <w:tcPr>
            <w:cnfStyle w:val="001000000000" w:firstRow="0" w:lastRow="0" w:firstColumn="1" w:lastColumn="0" w:oddVBand="0" w:evenVBand="0" w:oddHBand="0" w:evenHBand="0" w:firstRowFirstColumn="0" w:firstRowLastColumn="0" w:lastRowFirstColumn="0" w:lastRowLastColumn="0"/>
            <w:tcW w:w="1807" w:type="dxa"/>
            <w:hideMark/>
          </w:tcPr>
          <w:p w14:paraId="0967BB22" w14:textId="77777777" w:rsidR="00D2323F" w:rsidRPr="000973F2" w:rsidRDefault="00D2323F" w:rsidP="005E78BD">
            <w:pPr>
              <w:widowControl w:val="0"/>
              <w:spacing w:before="40" w:after="40"/>
              <w:rPr>
                <w:rFonts w:ascii="Times New Roman" w:eastAsia="Times New Roman" w:hAnsi="Times New Roman" w:cs="Times New Roman"/>
                <w:b/>
                <w:bCs w:val="0"/>
                <w:sz w:val="18"/>
                <w:szCs w:val="18"/>
              </w:rPr>
            </w:pPr>
            <w:r w:rsidRPr="000973F2">
              <w:rPr>
                <w:rFonts w:ascii="Times New Roman" w:eastAsia="Times New Roman" w:hAnsi="Times New Roman" w:cs="Times New Roman"/>
                <w:b/>
                <w:sz w:val="18"/>
                <w:szCs w:val="18"/>
              </w:rPr>
              <w:t>Total</w:t>
            </w:r>
          </w:p>
        </w:tc>
        <w:tc>
          <w:tcPr>
            <w:tcW w:w="1273" w:type="dxa"/>
            <w:noWrap/>
            <w:hideMark/>
          </w:tcPr>
          <w:p w14:paraId="6B82AB51" w14:textId="77777777" w:rsidR="00D2323F" w:rsidRPr="000973F2" w:rsidRDefault="00D2323F" w:rsidP="005E78BD">
            <w:pPr>
              <w:widowControl w:val="0"/>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sz w:val="18"/>
                <w:szCs w:val="18"/>
              </w:rPr>
            </w:pPr>
            <w:r w:rsidRPr="000973F2">
              <w:rPr>
                <w:rFonts w:ascii="Times New Roman" w:eastAsia="Times New Roman" w:hAnsi="Times New Roman" w:cs="Times New Roman"/>
                <w:b/>
                <w:sz w:val="18"/>
                <w:szCs w:val="18"/>
              </w:rPr>
              <w:t>$0</w:t>
            </w:r>
          </w:p>
        </w:tc>
        <w:tc>
          <w:tcPr>
            <w:tcW w:w="1274" w:type="dxa"/>
            <w:noWrap/>
          </w:tcPr>
          <w:p w14:paraId="0EF32376" w14:textId="7FFB218F" w:rsidR="00D2323F" w:rsidRPr="000973F2" w:rsidRDefault="00D2323F" w:rsidP="005E78BD">
            <w:pPr>
              <w:widowControl w:val="0"/>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sz w:val="18"/>
                <w:szCs w:val="18"/>
              </w:rPr>
            </w:pPr>
          </w:p>
        </w:tc>
        <w:tc>
          <w:tcPr>
            <w:tcW w:w="1273" w:type="dxa"/>
            <w:noWrap/>
            <w:hideMark/>
          </w:tcPr>
          <w:p w14:paraId="20A42209" w14:textId="77777777" w:rsidR="00D2323F" w:rsidRPr="000973F2" w:rsidRDefault="00D2323F" w:rsidP="005E78BD">
            <w:pPr>
              <w:widowControl w:val="0"/>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sz w:val="18"/>
                <w:szCs w:val="18"/>
              </w:rPr>
            </w:pPr>
            <w:r w:rsidRPr="000973F2">
              <w:rPr>
                <w:rFonts w:ascii="Times New Roman" w:eastAsia="Times New Roman" w:hAnsi="Times New Roman" w:cs="Times New Roman"/>
                <w:b/>
                <w:sz w:val="18"/>
                <w:szCs w:val="18"/>
              </w:rPr>
              <w:t>$0</w:t>
            </w:r>
          </w:p>
        </w:tc>
        <w:tc>
          <w:tcPr>
            <w:tcW w:w="1284" w:type="dxa"/>
            <w:noWrap/>
            <w:hideMark/>
          </w:tcPr>
          <w:p w14:paraId="53BA87A3" w14:textId="77777777" w:rsidR="00D2323F" w:rsidRPr="000973F2" w:rsidRDefault="00D2323F" w:rsidP="005E78BD">
            <w:pPr>
              <w:widowControl w:val="0"/>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sz w:val="18"/>
                <w:szCs w:val="18"/>
              </w:rPr>
            </w:pPr>
            <w:r w:rsidRPr="000973F2">
              <w:rPr>
                <w:rFonts w:ascii="Times New Roman" w:eastAsia="Times New Roman" w:hAnsi="Times New Roman" w:cs="Times New Roman"/>
                <w:b/>
                <w:sz w:val="18"/>
                <w:szCs w:val="18"/>
              </w:rPr>
              <w:t>$3,000</w:t>
            </w:r>
          </w:p>
        </w:tc>
        <w:tc>
          <w:tcPr>
            <w:tcW w:w="1262" w:type="dxa"/>
            <w:noWrap/>
            <w:hideMark/>
          </w:tcPr>
          <w:p w14:paraId="35F26649" w14:textId="77777777" w:rsidR="00D2323F" w:rsidRPr="000973F2" w:rsidRDefault="00D2323F" w:rsidP="005E78BD">
            <w:pPr>
              <w:widowControl w:val="0"/>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sz w:val="18"/>
                <w:szCs w:val="18"/>
              </w:rPr>
            </w:pPr>
            <w:r w:rsidRPr="000973F2">
              <w:rPr>
                <w:rFonts w:ascii="Times New Roman" w:eastAsia="Times New Roman" w:hAnsi="Times New Roman" w:cs="Times New Roman"/>
                <w:b/>
                <w:sz w:val="18"/>
                <w:szCs w:val="18"/>
              </w:rPr>
              <w:t>$0</w:t>
            </w:r>
          </w:p>
        </w:tc>
        <w:tc>
          <w:tcPr>
            <w:tcW w:w="1274" w:type="dxa"/>
            <w:noWrap/>
            <w:hideMark/>
          </w:tcPr>
          <w:p w14:paraId="2F4AD1D7" w14:textId="77777777" w:rsidR="00D2323F" w:rsidRPr="000973F2" w:rsidRDefault="00D2323F" w:rsidP="005E78BD">
            <w:pPr>
              <w:widowControl w:val="0"/>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sz w:val="18"/>
                <w:szCs w:val="18"/>
              </w:rPr>
            </w:pPr>
            <w:r w:rsidRPr="000973F2">
              <w:rPr>
                <w:rFonts w:ascii="Times New Roman" w:eastAsia="Times New Roman" w:hAnsi="Times New Roman" w:cs="Times New Roman"/>
                <w:b/>
                <w:sz w:val="18"/>
                <w:szCs w:val="18"/>
              </w:rPr>
              <w:t>$3,000</w:t>
            </w:r>
          </w:p>
        </w:tc>
      </w:tr>
    </w:tbl>
    <w:p w14:paraId="780A5C9E" w14:textId="77777777" w:rsidR="00D2323F" w:rsidRPr="000973F2" w:rsidRDefault="00D2323F" w:rsidP="005E78BD">
      <w:pPr>
        <w:pStyle w:val="AfterTable"/>
      </w:pPr>
    </w:p>
    <w:p w14:paraId="3ED0DCEC" w14:textId="77777777" w:rsidR="00D2323F" w:rsidRPr="000973F2" w:rsidRDefault="00D2323F" w:rsidP="005E78BD">
      <w:pPr>
        <w:pStyle w:val="Heading2"/>
      </w:pPr>
      <w:r w:rsidRPr="000973F2">
        <w:t>Labor Costs for Subpart FF – Methane Liberation from Degasification Systems that Destroy Methane or Transport Methane Offsite</w:t>
      </w:r>
    </w:p>
    <w:p w14:paraId="0867D9F2" w14:textId="14DA46C6" w:rsidR="000564A0" w:rsidRPr="000973F2" w:rsidRDefault="00D2323F" w:rsidP="005E78BD">
      <w:pPr>
        <w:pStyle w:val="BodyText"/>
        <w:rPr>
          <w:rFonts w:ascii="Avenir LT Std 35 Light" w:hAnsi="Avenir LT Std 35 Light"/>
          <w:sz w:val="21"/>
          <w:szCs w:val="21"/>
        </w:rPr>
      </w:pPr>
      <w:r w:rsidRPr="000973F2">
        <w:t>For Subpart FF, the remaining 12 from the 18 total facilities that report degasification emissions are expected to report methane destroyed or sent offsite. All labor costs related to monitoring of methane destroyed or sent offsite are expected to be performed under the facility’s normal business operations</w:t>
      </w:r>
      <w:r w:rsidR="005B76DE" w:rsidRPr="000973F2">
        <w:t xml:space="preserve"> because the mine </w:t>
      </w:r>
      <w:r w:rsidR="006925A7" w:rsidRPr="000973F2">
        <w:t>already has flowmeters in place to complete these measurements</w:t>
      </w:r>
      <w:r w:rsidR="00747702" w:rsidRPr="000973F2">
        <w:t>, and will closely monitor the amount of gas destroyed for commercial reasons</w:t>
      </w:r>
      <w:r w:rsidRPr="000973F2">
        <w:t>; therefore, there are no labor costs attributed to the GHGRP for determining emissions from methane destroyed or sent offsite.</w:t>
      </w:r>
      <w:r w:rsidR="000564A0" w:rsidRPr="000973F2">
        <w:t xml:space="preserve"> </w:t>
      </w:r>
    </w:p>
    <w:p w14:paraId="22899770" w14:textId="77777777" w:rsidR="00D2323F" w:rsidRPr="000973F2" w:rsidRDefault="00D2323F" w:rsidP="005E78BD">
      <w:pPr>
        <w:pStyle w:val="Heading2"/>
      </w:pPr>
      <w:r w:rsidRPr="000973F2">
        <w:t>Capital and O&amp;M Costs for Subpart FF– Methane Liberation from Degasification Systems that Destroy Methane or Transport Methane Offsite</w:t>
      </w:r>
      <w:r w:rsidRPr="000973F2" w:rsidDel="001E18F7">
        <w:t xml:space="preserve"> </w:t>
      </w:r>
    </w:p>
    <w:p w14:paraId="13835E49" w14:textId="77777777" w:rsidR="00D2323F" w:rsidRPr="000973F2" w:rsidRDefault="00D2323F" w:rsidP="005E78BD">
      <w:pPr>
        <w:pStyle w:val="BodyText"/>
      </w:pPr>
      <w:r w:rsidRPr="000973F2">
        <w:t>All capital and O&amp;M costs related to monitoring of methane destroyed or sent offsite are expected to be already covered under the facility’s normal business operations; therefore, there are no costs attributed to the GHGRP for determining emissions from methane destroyed or sent offsite.</w:t>
      </w:r>
    </w:p>
    <w:p w14:paraId="65C54A76" w14:textId="77777777" w:rsidR="00D2323F" w:rsidRPr="000973F2" w:rsidRDefault="00D2323F" w:rsidP="005E78BD">
      <w:pPr>
        <w:pStyle w:val="Heading2"/>
      </w:pPr>
      <w:r w:rsidRPr="000973F2">
        <w:t>Total Costs for Subpart FF</w:t>
      </w:r>
    </w:p>
    <w:p w14:paraId="5CC682AF" w14:textId="77777777" w:rsidR="00D2323F" w:rsidRPr="000973F2" w:rsidRDefault="00D2323F" w:rsidP="005E78BD">
      <w:pPr>
        <w:pStyle w:val="BodyText"/>
      </w:pPr>
      <w:r w:rsidRPr="000973F2">
        <w:t>The total industry costs related to Subpart FF are approximately $347,000 per year, with a total of $1,042,000 over the three-year period of the ICR. Seventy-eight facilities are expected to report in 2019, 2020, and 2021.</w:t>
      </w:r>
    </w:p>
    <w:p w14:paraId="57105E68" w14:textId="73434CA1" w:rsidR="00D2323F" w:rsidRPr="000973F2" w:rsidRDefault="00D2323F" w:rsidP="00C00E4F">
      <w:pPr>
        <w:spacing w:line="240" w:lineRule="auto"/>
        <w:rPr>
          <w:rFonts w:ascii="Times New Roman" w:hAnsi="Times New Roman" w:cs="Times New Roman"/>
        </w:rPr>
      </w:pPr>
      <w:r w:rsidRPr="000973F2">
        <w:rPr>
          <w:rFonts w:ascii="Times New Roman" w:hAnsi="Times New Roman" w:cs="Times New Roman"/>
        </w:rPr>
        <w:br w:type="page"/>
      </w:r>
    </w:p>
    <w:p w14:paraId="36B16B92" w14:textId="77777777" w:rsidR="00D0059E" w:rsidRPr="000973F2" w:rsidRDefault="00D0059E" w:rsidP="00B5025D">
      <w:pPr>
        <w:pStyle w:val="Heading1"/>
      </w:pPr>
      <w:bookmarkStart w:id="60" w:name="_Toc10715624"/>
      <w:r w:rsidRPr="000973F2">
        <w:t>Cost Appendix for Subpart GG – Zinc Production</w:t>
      </w:r>
      <w:bookmarkEnd w:id="60"/>
    </w:p>
    <w:p w14:paraId="4F789E26" w14:textId="77777777" w:rsidR="00D0059E" w:rsidRPr="000973F2" w:rsidRDefault="00D0059E" w:rsidP="00B5025D">
      <w:pPr>
        <w:pStyle w:val="Heading2"/>
      </w:pPr>
      <w:r w:rsidRPr="000973F2">
        <w:t>Description of Subpart GG</w:t>
      </w:r>
    </w:p>
    <w:p w14:paraId="6157F709" w14:textId="180988FC" w:rsidR="00D0059E" w:rsidRPr="000973F2" w:rsidRDefault="00D0059E" w:rsidP="00B5025D">
      <w:pPr>
        <w:pStyle w:val="BodyText"/>
      </w:pPr>
      <w:r w:rsidRPr="000973F2">
        <w:t xml:space="preserve">For purposes of the GHGRP, the zinc production source category includes zinc smelters and secondary zinc recycling facilities. The emissions reported in </w:t>
      </w:r>
      <w:r w:rsidR="00100DF6" w:rsidRPr="000973F2">
        <w:t>S</w:t>
      </w:r>
      <w:r w:rsidRPr="000973F2">
        <w:t>ubpart GG are process emissions from Waelz kilns and electrothermic furnaces used for zinc production, resulting in the release of CO</w:t>
      </w:r>
      <w:r w:rsidRPr="000973F2">
        <w:rPr>
          <w:vertAlign w:val="subscript"/>
        </w:rPr>
        <w:t>2</w:t>
      </w:r>
      <w:r w:rsidRPr="000973F2">
        <w:t xml:space="preserve">. </w:t>
      </w:r>
    </w:p>
    <w:p w14:paraId="06AD0F4E" w14:textId="4480F23A" w:rsidR="00D0059E" w:rsidRPr="000973F2" w:rsidRDefault="00D0059E" w:rsidP="00B5025D">
      <w:pPr>
        <w:pStyle w:val="BodyText"/>
      </w:pPr>
      <w:r w:rsidRPr="000973F2">
        <w:t xml:space="preserve">For </w:t>
      </w:r>
      <w:r w:rsidR="009E63AC" w:rsidRPr="000973F2">
        <w:t>RY</w:t>
      </w:r>
      <w:r w:rsidRPr="000973F2">
        <w:t xml:space="preserve">2017, five facilities reported to </w:t>
      </w:r>
      <w:r w:rsidR="00100DF6" w:rsidRPr="000973F2">
        <w:t>S</w:t>
      </w:r>
      <w:r w:rsidRPr="000973F2">
        <w:t xml:space="preserve">ubpart GG. The number of </w:t>
      </w:r>
      <w:r w:rsidR="00100DF6" w:rsidRPr="000973F2">
        <w:t>S</w:t>
      </w:r>
      <w:r w:rsidRPr="000973F2">
        <w:t xml:space="preserve">ubpart GG facilities has not significantly changed over the past reporting years, with a maximum number of six facilities and a minimum number of five facilities per reporting year. Based on available information, the number of facilities reporting to </w:t>
      </w:r>
      <w:r w:rsidR="00100DF6" w:rsidRPr="000973F2">
        <w:t>S</w:t>
      </w:r>
      <w:r w:rsidRPr="000973F2">
        <w:t xml:space="preserve">ubpart GG is expected to stay consistent for the </w:t>
      </w:r>
      <w:r w:rsidR="005B76DE" w:rsidRPr="000973F2">
        <w:t>three-year</w:t>
      </w:r>
      <w:r w:rsidRPr="000973F2">
        <w:t xml:space="preserve"> period</w:t>
      </w:r>
      <w:r w:rsidR="005B76DE" w:rsidRPr="000973F2">
        <w:t xml:space="preserve"> covered by this ICR</w:t>
      </w:r>
      <w:r w:rsidRPr="000973F2">
        <w:t xml:space="preserve"> with no new facilities reporting. Initial year costs apply to new facilities; therefore, these costs are zero in the tables below. </w:t>
      </w:r>
    </w:p>
    <w:p w14:paraId="3830E08E" w14:textId="1E0272F8" w:rsidR="00D0059E" w:rsidRPr="000973F2" w:rsidRDefault="00D0059E" w:rsidP="00B5025D">
      <w:pPr>
        <w:pStyle w:val="BodyText"/>
      </w:pPr>
      <w:r w:rsidRPr="000973F2">
        <w:t>Facilities have two options for calculating CO</w:t>
      </w:r>
      <w:r w:rsidRPr="000973F2">
        <w:rPr>
          <w:vertAlign w:val="subscript"/>
        </w:rPr>
        <w:t>2</w:t>
      </w:r>
      <w:r w:rsidRPr="000973F2">
        <w:t xml:space="preserve"> emissions under </w:t>
      </w:r>
      <w:r w:rsidR="00100DF6" w:rsidRPr="000973F2">
        <w:t>S</w:t>
      </w:r>
      <w:r w:rsidRPr="000973F2">
        <w:t xml:space="preserve">ubpart GG: use a CEMS following the procedures of Tier IV of </w:t>
      </w:r>
      <w:r w:rsidR="00100DF6" w:rsidRPr="000973F2">
        <w:t>S</w:t>
      </w:r>
      <w:r w:rsidRPr="000973F2">
        <w:t xml:space="preserve">ubpart C, or use the carbon mass balance approach described in §98.333(b). Currently no facilities use CEMS for </w:t>
      </w:r>
      <w:r w:rsidR="00100DF6" w:rsidRPr="000973F2">
        <w:t>S</w:t>
      </w:r>
      <w:r w:rsidRPr="000973F2">
        <w:t>ubpart GG; therefore, costs for use of CEMS is not estimated.</w:t>
      </w:r>
    </w:p>
    <w:p w14:paraId="46236A6C" w14:textId="77777777" w:rsidR="00D0059E" w:rsidRPr="000973F2" w:rsidRDefault="00D0059E" w:rsidP="00B5025D">
      <w:pPr>
        <w:pStyle w:val="Heading2"/>
      </w:pPr>
      <w:r w:rsidRPr="000973F2">
        <w:t>Labor Costs for Subpart GG</w:t>
      </w:r>
    </w:p>
    <w:p w14:paraId="57B68BF9" w14:textId="1EDB6A8B" w:rsidR="00D0059E" w:rsidRPr="000973F2" w:rsidRDefault="00D0059E" w:rsidP="00B5025D">
      <w:pPr>
        <w:pStyle w:val="BodyText"/>
      </w:pPr>
      <w:r w:rsidRPr="000973F2">
        <w:t xml:space="preserve">Table </w:t>
      </w:r>
      <w:r w:rsidR="00B5025D" w:rsidRPr="000973F2">
        <w:t>GG-</w:t>
      </w:r>
      <w:r w:rsidRPr="000973F2">
        <w:t xml:space="preserve">1 below includes the labor hours for Subpart GG. Typical activities for each of the labor activities are discussed in the Cost Appendix Introduction. Recordkeeping and reporting hours </w:t>
      </w:r>
      <w:r w:rsidR="002E2424" w:rsidRPr="000973F2">
        <w:t>are based on</w:t>
      </w:r>
      <w:r w:rsidRPr="000973F2">
        <w:t xml:space="preserve"> the “low bin”</w:t>
      </w:r>
      <w:r w:rsidR="002E2424" w:rsidRPr="000973F2">
        <w:t xml:space="preserve"> designation.</w:t>
      </w:r>
      <w:r w:rsidRPr="000973F2">
        <w:t xml:space="preserve"> Sampling and analysis (calculations) hours include completion of the measurements and calculations in §98.333, including calculating CO</w:t>
      </w:r>
      <w:r w:rsidRPr="000973F2">
        <w:rPr>
          <w:vertAlign w:val="subscript"/>
        </w:rPr>
        <w:t>2</w:t>
      </w:r>
      <w:r w:rsidRPr="000973F2">
        <w:t xml:space="preserve"> emissions using the carbon mass balance approach.</w:t>
      </w:r>
    </w:p>
    <w:p w14:paraId="464EBC7B" w14:textId="51D03078" w:rsidR="00D0059E" w:rsidRPr="000973F2" w:rsidRDefault="00A46D8E" w:rsidP="00B5025D">
      <w:pPr>
        <w:pStyle w:val="Tabletitle"/>
      </w:pPr>
      <w:r w:rsidRPr="000973F2">
        <w:t xml:space="preserve">Table </w:t>
      </w:r>
      <w:r w:rsidR="00B5025D" w:rsidRPr="000973F2">
        <w:t>GG-</w:t>
      </w:r>
      <w:r w:rsidRPr="000973F2">
        <w:t xml:space="preserve">1. Labor Costs </w:t>
      </w:r>
      <w:r w:rsidR="00B960CC" w:rsidRPr="000973F2">
        <w:t>–</w:t>
      </w:r>
      <w:r w:rsidRPr="000973F2">
        <w:t xml:space="preserve"> </w:t>
      </w:r>
      <w:r w:rsidR="00D0059E" w:rsidRPr="000973F2">
        <w:t>Subpart GG</w:t>
      </w:r>
    </w:p>
    <w:tbl>
      <w:tblPr>
        <w:tblStyle w:val="PlainTable1"/>
        <w:tblW w:w="5000" w:type="pct"/>
        <w:jc w:val="left"/>
        <w:tblLayout w:type="fixed"/>
        <w:tblCellMar>
          <w:left w:w="115" w:type="dxa"/>
          <w:right w:w="115" w:type="dxa"/>
        </w:tblCellMar>
        <w:tblLook w:val="04A0" w:firstRow="1" w:lastRow="0" w:firstColumn="1" w:lastColumn="0" w:noHBand="0" w:noVBand="1"/>
      </w:tblPr>
      <w:tblGrid>
        <w:gridCol w:w="1466"/>
        <w:gridCol w:w="817"/>
        <w:gridCol w:w="818"/>
        <w:gridCol w:w="817"/>
        <w:gridCol w:w="818"/>
        <w:gridCol w:w="817"/>
        <w:gridCol w:w="818"/>
        <w:gridCol w:w="817"/>
        <w:gridCol w:w="818"/>
        <w:gridCol w:w="729"/>
        <w:gridCol w:w="855"/>
      </w:tblGrid>
      <w:tr w:rsidR="008F751E" w:rsidRPr="000973F2" w14:paraId="7A108E0A" w14:textId="77777777" w:rsidTr="00B5025D">
        <w:trPr>
          <w:cnfStyle w:val="100000000000" w:firstRow="1" w:lastRow="0" w:firstColumn="0" w:lastColumn="0" w:oddVBand="0" w:evenVBand="0" w:oddHBand="0" w:evenHBand="0" w:firstRowFirstColumn="0" w:firstRowLastColumn="0" w:lastRowFirstColumn="0" w:lastRowLastColumn="0"/>
          <w:cantSplit/>
          <w:jc w:val="left"/>
        </w:trPr>
        <w:tc>
          <w:tcPr>
            <w:cnfStyle w:val="001000000000" w:firstRow="0" w:lastRow="0" w:firstColumn="1" w:lastColumn="0" w:oddVBand="0" w:evenVBand="0" w:oddHBand="0" w:evenHBand="0" w:firstRowFirstColumn="0" w:firstRowLastColumn="0" w:lastRowFirstColumn="0" w:lastRowLastColumn="0"/>
            <w:tcW w:w="1425" w:type="dxa"/>
            <w:vMerge w:val="restart"/>
            <w:noWrap/>
            <w:vAlign w:val="top"/>
            <w:hideMark/>
          </w:tcPr>
          <w:p w14:paraId="31BA96A4" w14:textId="77777777" w:rsidR="00D0059E" w:rsidRPr="000973F2" w:rsidRDefault="00D0059E" w:rsidP="00B5025D">
            <w:pPr>
              <w:spacing w:before="40" w:after="40"/>
              <w:rPr>
                <w:rFonts w:ascii="Times New Roman" w:eastAsia="Times New Roman" w:hAnsi="Times New Roman" w:cs="Times New Roman"/>
                <w:b w:val="0"/>
                <w:bCs w:val="0"/>
                <w:sz w:val="18"/>
                <w:szCs w:val="18"/>
              </w:rPr>
            </w:pPr>
            <w:r w:rsidRPr="000973F2">
              <w:rPr>
                <w:rFonts w:ascii="Times New Roman" w:eastAsia="Times New Roman" w:hAnsi="Times New Roman" w:cs="Times New Roman"/>
                <w:sz w:val="18"/>
                <w:szCs w:val="18"/>
              </w:rPr>
              <w:t>Activity</w:t>
            </w:r>
          </w:p>
        </w:tc>
        <w:tc>
          <w:tcPr>
            <w:tcW w:w="6364" w:type="dxa"/>
            <w:gridSpan w:val="8"/>
            <w:noWrap/>
            <w:vAlign w:val="top"/>
            <w:hideMark/>
          </w:tcPr>
          <w:p w14:paraId="5E31CC78" w14:textId="77777777" w:rsidR="00D0059E" w:rsidRPr="000973F2" w:rsidRDefault="00D0059E" w:rsidP="00B5025D">
            <w:pPr>
              <w:spacing w:before="40" w:after="40"/>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bCs w:val="0"/>
                <w:sz w:val="18"/>
                <w:szCs w:val="18"/>
              </w:rPr>
            </w:pPr>
            <w:r w:rsidRPr="000973F2">
              <w:rPr>
                <w:rFonts w:ascii="Times New Roman" w:eastAsia="Times New Roman" w:hAnsi="Times New Roman" w:cs="Times New Roman"/>
                <w:sz w:val="18"/>
                <w:szCs w:val="18"/>
              </w:rPr>
              <w:t>Labor Rates (per hour)</w:t>
            </w:r>
          </w:p>
        </w:tc>
        <w:tc>
          <w:tcPr>
            <w:tcW w:w="1541" w:type="dxa"/>
            <w:gridSpan w:val="2"/>
            <w:vMerge w:val="restart"/>
            <w:vAlign w:val="top"/>
            <w:hideMark/>
          </w:tcPr>
          <w:p w14:paraId="377E0EF5" w14:textId="77777777" w:rsidR="00D0059E" w:rsidRPr="000973F2" w:rsidRDefault="00D0059E" w:rsidP="00B5025D">
            <w:pPr>
              <w:spacing w:before="40" w:after="40"/>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bCs w:val="0"/>
                <w:sz w:val="18"/>
                <w:szCs w:val="18"/>
              </w:rPr>
            </w:pPr>
            <w:r w:rsidRPr="000973F2">
              <w:rPr>
                <w:rFonts w:ascii="Times New Roman" w:eastAsia="Times New Roman" w:hAnsi="Times New Roman" w:cs="Times New Roman"/>
                <w:sz w:val="18"/>
                <w:szCs w:val="18"/>
              </w:rPr>
              <w:t>Total Labor Cost per Year per Facility (2017$)</w:t>
            </w:r>
          </w:p>
        </w:tc>
      </w:tr>
      <w:tr w:rsidR="008F751E" w:rsidRPr="000973F2" w14:paraId="3FEC327C" w14:textId="77777777" w:rsidTr="00B5025D">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1425" w:type="dxa"/>
            <w:vMerge/>
            <w:hideMark/>
          </w:tcPr>
          <w:p w14:paraId="682608F2" w14:textId="77777777" w:rsidR="00D0059E" w:rsidRPr="000973F2" w:rsidRDefault="00D0059E" w:rsidP="00B5025D">
            <w:pPr>
              <w:spacing w:before="40" w:after="40"/>
              <w:rPr>
                <w:rFonts w:ascii="Times New Roman" w:eastAsia="Times New Roman" w:hAnsi="Times New Roman" w:cs="Times New Roman"/>
                <w:b/>
                <w:bCs w:val="0"/>
                <w:sz w:val="18"/>
                <w:szCs w:val="18"/>
              </w:rPr>
            </w:pPr>
          </w:p>
        </w:tc>
        <w:tc>
          <w:tcPr>
            <w:tcW w:w="1591" w:type="dxa"/>
            <w:gridSpan w:val="2"/>
            <w:noWrap/>
            <w:hideMark/>
          </w:tcPr>
          <w:p w14:paraId="16321ABC" w14:textId="77777777" w:rsidR="00D0059E" w:rsidRPr="000973F2" w:rsidRDefault="00D0059E" w:rsidP="00B5025D">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18"/>
                <w:szCs w:val="18"/>
              </w:rPr>
            </w:pPr>
            <w:r w:rsidRPr="000973F2">
              <w:rPr>
                <w:rFonts w:ascii="Times New Roman" w:eastAsia="Times New Roman" w:hAnsi="Times New Roman" w:cs="Times New Roman"/>
                <w:b/>
                <w:bCs/>
                <w:sz w:val="18"/>
                <w:szCs w:val="18"/>
              </w:rPr>
              <w:t>Lawyer</w:t>
            </w:r>
          </w:p>
        </w:tc>
        <w:tc>
          <w:tcPr>
            <w:tcW w:w="1591" w:type="dxa"/>
            <w:gridSpan w:val="2"/>
            <w:noWrap/>
            <w:hideMark/>
          </w:tcPr>
          <w:p w14:paraId="1B386A94" w14:textId="77777777" w:rsidR="00D0059E" w:rsidRPr="000973F2" w:rsidRDefault="00D0059E" w:rsidP="00B5025D">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18"/>
                <w:szCs w:val="18"/>
              </w:rPr>
            </w:pPr>
            <w:r w:rsidRPr="000973F2">
              <w:rPr>
                <w:rFonts w:ascii="Times New Roman" w:eastAsia="Times New Roman" w:hAnsi="Times New Roman" w:cs="Times New Roman"/>
                <w:b/>
                <w:bCs/>
                <w:sz w:val="18"/>
                <w:szCs w:val="18"/>
              </w:rPr>
              <w:t>Industrial Manager</w:t>
            </w:r>
          </w:p>
        </w:tc>
        <w:tc>
          <w:tcPr>
            <w:tcW w:w="1591" w:type="dxa"/>
            <w:gridSpan w:val="2"/>
            <w:hideMark/>
          </w:tcPr>
          <w:p w14:paraId="5E5D5FCB" w14:textId="04E36025" w:rsidR="00D0059E" w:rsidRPr="000973F2" w:rsidRDefault="00D0059E" w:rsidP="00B5025D">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18"/>
                <w:szCs w:val="18"/>
              </w:rPr>
            </w:pPr>
            <w:r w:rsidRPr="000973F2">
              <w:rPr>
                <w:rFonts w:ascii="Times New Roman" w:eastAsia="Times New Roman" w:hAnsi="Times New Roman" w:cs="Times New Roman"/>
                <w:b/>
                <w:bCs/>
                <w:sz w:val="18"/>
                <w:szCs w:val="18"/>
              </w:rPr>
              <w:t>Industrial Engineer/</w:t>
            </w:r>
            <w:r w:rsidR="00B5025D" w:rsidRPr="000973F2">
              <w:rPr>
                <w:rFonts w:ascii="Times New Roman" w:eastAsia="Times New Roman" w:hAnsi="Times New Roman" w:cs="Times New Roman"/>
                <w:b/>
                <w:bCs/>
                <w:sz w:val="18"/>
                <w:szCs w:val="18"/>
              </w:rPr>
              <w:t xml:space="preserve"> </w:t>
            </w:r>
            <w:r w:rsidRPr="000973F2">
              <w:rPr>
                <w:rFonts w:ascii="Times New Roman" w:eastAsia="Times New Roman" w:hAnsi="Times New Roman" w:cs="Times New Roman"/>
                <w:b/>
                <w:bCs/>
                <w:sz w:val="18"/>
                <w:szCs w:val="18"/>
              </w:rPr>
              <w:t>Technician</w:t>
            </w:r>
          </w:p>
        </w:tc>
        <w:tc>
          <w:tcPr>
            <w:tcW w:w="1591" w:type="dxa"/>
            <w:gridSpan w:val="2"/>
            <w:hideMark/>
          </w:tcPr>
          <w:p w14:paraId="3F30D925" w14:textId="77777777" w:rsidR="00D0059E" w:rsidRPr="000973F2" w:rsidRDefault="00D0059E" w:rsidP="00B5025D">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18"/>
                <w:szCs w:val="18"/>
              </w:rPr>
            </w:pPr>
            <w:r w:rsidRPr="000973F2">
              <w:rPr>
                <w:rFonts w:ascii="Times New Roman" w:eastAsia="Times New Roman" w:hAnsi="Times New Roman" w:cs="Times New Roman"/>
                <w:b/>
                <w:bCs/>
                <w:sz w:val="18"/>
                <w:szCs w:val="18"/>
              </w:rPr>
              <w:t>Administrative Support</w:t>
            </w:r>
          </w:p>
        </w:tc>
        <w:tc>
          <w:tcPr>
            <w:tcW w:w="1541" w:type="dxa"/>
            <w:gridSpan w:val="2"/>
            <w:vMerge/>
            <w:hideMark/>
          </w:tcPr>
          <w:p w14:paraId="50073795" w14:textId="77777777" w:rsidR="00D0059E" w:rsidRPr="000973F2" w:rsidRDefault="00D0059E" w:rsidP="00B5025D">
            <w:pPr>
              <w:spacing w:before="40" w:after="4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18"/>
                <w:szCs w:val="18"/>
              </w:rPr>
            </w:pPr>
          </w:p>
        </w:tc>
      </w:tr>
      <w:tr w:rsidR="008F751E" w:rsidRPr="000973F2" w14:paraId="6D0CEAED" w14:textId="77777777" w:rsidTr="00B5025D">
        <w:trPr>
          <w:cantSplit/>
        </w:trPr>
        <w:tc>
          <w:tcPr>
            <w:cnfStyle w:val="001000000000" w:firstRow="0" w:lastRow="0" w:firstColumn="1" w:lastColumn="0" w:oddVBand="0" w:evenVBand="0" w:oddHBand="0" w:evenHBand="0" w:firstRowFirstColumn="0" w:firstRowLastColumn="0" w:lastRowFirstColumn="0" w:lastRowLastColumn="0"/>
            <w:tcW w:w="1425" w:type="dxa"/>
            <w:vMerge/>
            <w:hideMark/>
          </w:tcPr>
          <w:p w14:paraId="63599357" w14:textId="77777777" w:rsidR="00D0059E" w:rsidRPr="000973F2" w:rsidRDefault="00D0059E" w:rsidP="00B5025D">
            <w:pPr>
              <w:spacing w:before="40" w:after="40"/>
              <w:rPr>
                <w:rFonts w:ascii="Times New Roman" w:eastAsia="Times New Roman" w:hAnsi="Times New Roman" w:cs="Times New Roman"/>
                <w:b/>
                <w:bCs w:val="0"/>
                <w:sz w:val="18"/>
                <w:szCs w:val="18"/>
              </w:rPr>
            </w:pPr>
          </w:p>
        </w:tc>
        <w:tc>
          <w:tcPr>
            <w:tcW w:w="1591" w:type="dxa"/>
            <w:gridSpan w:val="2"/>
            <w:noWrap/>
            <w:hideMark/>
          </w:tcPr>
          <w:p w14:paraId="7E7657B4" w14:textId="77777777" w:rsidR="00D0059E" w:rsidRPr="000973F2" w:rsidRDefault="00D0059E" w:rsidP="00B5025D">
            <w:pPr>
              <w:spacing w:before="40" w:after="4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sz w:val="18"/>
                <w:szCs w:val="18"/>
              </w:rPr>
            </w:pPr>
            <w:r w:rsidRPr="000973F2">
              <w:rPr>
                <w:rFonts w:ascii="Times New Roman" w:eastAsia="Times New Roman" w:hAnsi="Times New Roman" w:cs="Times New Roman"/>
                <w:b/>
                <w:bCs/>
                <w:sz w:val="18"/>
                <w:szCs w:val="18"/>
              </w:rPr>
              <w:t xml:space="preserve">$112.23 </w:t>
            </w:r>
          </w:p>
        </w:tc>
        <w:tc>
          <w:tcPr>
            <w:tcW w:w="1591" w:type="dxa"/>
            <w:gridSpan w:val="2"/>
            <w:noWrap/>
            <w:hideMark/>
          </w:tcPr>
          <w:p w14:paraId="1D0F9233" w14:textId="77777777" w:rsidR="00D0059E" w:rsidRPr="000973F2" w:rsidRDefault="00D0059E" w:rsidP="00B5025D">
            <w:pPr>
              <w:spacing w:before="40" w:after="4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sz w:val="18"/>
                <w:szCs w:val="18"/>
              </w:rPr>
            </w:pPr>
            <w:r w:rsidRPr="000973F2">
              <w:rPr>
                <w:rFonts w:ascii="Times New Roman" w:eastAsia="Times New Roman" w:hAnsi="Times New Roman" w:cs="Times New Roman"/>
                <w:b/>
                <w:bCs/>
                <w:sz w:val="18"/>
                <w:szCs w:val="18"/>
              </w:rPr>
              <w:t xml:space="preserve">$87.45 </w:t>
            </w:r>
          </w:p>
        </w:tc>
        <w:tc>
          <w:tcPr>
            <w:tcW w:w="1591" w:type="dxa"/>
            <w:gridSpan w:val="2"/>
            <w:noWrap/>
            <w:hideMark/>
          </w:tcPr>
          <w:p w14:paraId="7968611A" w14:textId="77777777" w:rsidR="00D0059E" w:rsidRPr="000973F2" w:rsidRDefault="00D0059E" w:rsidP="00B5025D">
            <w:pPr>
              <w:spacing w:before="40" w:after="4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sz w:val="18"/>
                <w:szCs w:val="18"/>
              </w:rPr>
            </w:pPr>
            <w:r w:rsidRPr="000973F2">
              <w:rPr>
                <w:rFonts w:ascii="Times New Roman" w:eastAsia="Times New Roman" w:hAnsi="Times New Roman" w:cs="Times New Roman"/>
                <w:b/>
                <w:bCs/>
                <w:sz w:val="18"/>
                <w:szCs w:val="18"/>
              </w:rPr>
              <w:t xml:space="preserve">$71.45 </w:t>
            </w:r>
          </w:p>
        </w:tc>
        <w:tc>
          <w:tcPr>
            <w:tcW w:w="1591" w:type="dxa"/>
            <w:gridSpan w:val="2"/>
            <w:noWrap/>
            <w:hideMark/>
          </w:tcPr>
          <w:p w14:paraId="34621397" w14:textId="77777777" w:rsidR="00D0059E" w:rsidRPr="000973F2" w:rsidRDefault="00D0059E" w:rsidP="00B5025D">
            <w:pPr>
              <w:spacing w:before="40" w:after="4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sz w:val="18"/>
                <w:szCs w:val="18"/>
              </w:rPr>
            </w:pPr>
            <w:r w:rsidRPr="000973F2">
              <w:rPr>
                <w:rFonts w:ascii="Times New Roman" w:eastAsia="Times New Roman" w:hAnsi="Times New Roman" w:cs="Times New Roman"/>
                <w:b/>
                <w:bCs/>
                <w:sz w:val="18"/>
                <w:szCs w:val="18"/>
              </w:rPr>
              <w:t xml:space="preserve">$36.28 </w:t>
            </w:r>
          </w:p>
        </w:tc>
        <w:tc>
          <w:tcPr>
            <w:tcW w:w="1541" w:type="dxa"/>
            <w:gridSpan w:val="2"/>
            <w:vMerge/>
            <w:hideMark/>
          </w:tcPr>
          <w:p w14:paraId="3196461F" w14:textId="77777777" w:rsidR="00D0059E" w:rsidRPr="000973F2" w:rsidRDefault="00D0059E" w:rsidP="00B5025D">
            <w:pPr>
              <w:spacing w:before="40" w:after="4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sz w:val="18"/>
                <w:szCs w:val="18"/>
              </w:rPr>
            </w:pPr>
          </w:p>
        </w:tc>
      </w:tr>
      <w:tr w:rsidR="008F751E" w:rsidRPr="000973F2" w14:paraId="6BE6817E" w14:textId="77777777" w:rsidTr="00B5025D">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1425" w:type="dxa"/>
            <w:vMerge/>
            <w:hideMark/>
          </w:tcPr>
          <w:p w14:paraId="239D73DF" w14:textId="77777777" w:rsidR="00D0059E" w:rsidRPr="000973F2" w:rsidRDefault="00D0059E" w:rsidP="00B5025D">
            <w:pPr>
              <w:spacing w:before="40" w:after="40"/>
              <w:rPr>
                <w:rFonts w:ascii="Times New Roman" w:eastAsia="Times New Roman" w:hAnsi="Times New Roman" w:cs="Times New Roman"/>
                <w:b/>
                <w:bCs w:val="0"/>
                <w:sz w:val="18"/>
                <w:szCs w:val="18"/>
              </w:rPr>
            </w:pPr>
          </w:p>
        </w:tc>
        <w:tc>
          <w:tcPr>
            <w:tcW w:w="795" w:type="dxa"/>
            <w:tcMar>
              <w:left w:w="14" w:type="dxa"/>
              <w:right w:w="14" w:type="dxa"/>
            </w:tcMar>
            <w:hideMark/>
          </w:tcPr>
          <w:p w14:paraId="5575F719" w14:textId="33209C40" w:rsidR="00D0059E" w:rsidRPr="000973F2" w:rsidRDefault="00D0059E" w:rsidP="00B5025D">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18"/>
                <w:szCs w:val="18"/>
              </w:rPr>
            </w:pPr>
            <w:r w:rsidRPr="000973F2">
              <w:rPr>
                <w:rFonts w:ascii="Times New Roman" w:eastAsia="Times New Roman" w:hAnsi="Times New Roman" w:cs="Times New Roman"/>
                <w:b/>
                <w:bCs/>
                <w:sz w:val="18"/>
                <w:szCs w:val="18"/>
              </w:rPr>
              <w:t xml:space="preserve">Initial </w:t>
            </w:r>
            <w:r w:rsidR="00132320" w:rsidRPr="000973F2">
              <w:rPr>
                <w:rFonts w:ascii="Times New Roman" w:eastAsia="Times New Roman" w:hAnsi="Times New Roman" w:cs="Times New Roman"/>
                <w:b/>
                <w:bCs/>
                <w:sz w:val="18"/>
                <w:szCs w:val="18"/>
              </w:rPr>
              <w:t>Year Hours</w:t>
            </w:r>
          </w:p>
        </w:tc>
        <w:tc>
          <w:tcPr>
            <w:tcW w:w="796" w:type="dxa"/>
            <w:tcMar>
              <w:left w:w="14" w:type="dxa"/>
              <w:right w:w="14" w:type="dxa"/>
            </w:tcMar>
            <w:hideMark/>
          </w:tcPr>
          <w:p w14:paraId="29955B1E" w14:textId="77777777" w:rsidR="00D0059E" w:rsidRPr="000973F2" w:rsidRDefault="00D0059E" w:rsidP="00B5025D">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18"/>
                <w:szCs w:val="18"/>
              </w:rPr>
            </w:pPr>
            <w:r w:rsidRPr="000973F2">
              <w:rPr>
                <w:rFonts w:ascii="Times New Roman" w:eastAsia="Times New Roman" w:hAnsi="Times New Roman" w:cs="Times New Roman"/>
                <w:b/>
                <w:bCs/>
                <w:sz w:val="18"/>
                <w:szCs w:val="18"/>
              </w:rPr>
              <w:t>Subseq. Year Hours</w:t>
            </w:r>
          </w:p>
        </w:tc>
        <w:tc>
          <w:tcPr>
            <w:tcW w:w="795" w:type="dxa"/>
            <w:tcMar>
              <w:left w:w="14" w:type="dxa"/>
              <w:right w:w="14" w:type="dxa"/>
            </w:tcMar>
            <w:hideMark/>
          </w:tcPr>
          <w:p w14:paraId="4E8462AC" w14:textId="61036133" w:rsidR="00D0059E" w:rsidRPr="000973F2" w:rsidRDefault="00D0059E" w:rsidP="00B5025D">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18"/>
                <w:szCs w:val="18"/>
              </w:rPr>
            </w:pPr>
            <w:r w:rsidRPr="000973F2">
              <w:rPr>
                <w:rFonts w:ascii="Times New Roman" w:eastAsia="Times New Roman" w:hAnsi="Times New Roman" w:cs="Times New Roman"/>
                <w:b/>
                <w:bCs/>
                <w:sz w:val="18"/>
                <w:szCs w:val="18"/>
              </w:rPr>
              <w:t xml:space="preserve">Initial </w:t>
            </w:r>
            <w:r w:rsidR="00132320" w:rsidRPr="000973F2">
              <w:rPr>
                <w:rFonts w:ascii="Times New Roman" w:eastAsia="Times New Roman" w:hAnsi="Times New Roman" w:cs="Times New Roman"/>
                <w:b/>
                <w:bCs/>
                <w:sz w:val="18"/>
                <w:szCs w:val="18"/>
              </w:rPr>
              <w:t>Year Hours</w:t>
            </w:r>
          </w:p>
        </w:tc>
        <w:tc>
          <w:tcPr>
            <w:tcW w:w="796" w:type="dxa"/>
            <w:tcMar>
              <w:left w:w="14" w:type="dxa"/>
              <w:right w:w="14" w:type="dxa"/>
            </w:tcMar>
            <w:hideMark/>
          </w:tcPr>
          <w:p w14:paraId="47CA52AD" w14:textId="77777777" w:rsidR="00D0059E" w:rsidRPr="000973F2" w:rsidRDefault="00D0059E" w:rsidP="00B5025D">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18"/>
                <w:szCs w:val="18"/>
              </w:rPr>
            </w:pPr>
            <w:r w:rsidRPr="000973F2">
              <w:rPr>
                <w:rFonts w:ascii="Times New Roman" w:eastAsia="Times New Roman" w:hAnsi="Times New Roman" w:cs="Times New Roman"/>
                <w:b/>
                <w:bCs/>
                <w:sz w:val="18"/>
                <w:szCs w:val="18"/>
              </w:rPr>
              <w:t>Subseq. Year Hours</w:t>
            </w:r>
          </w:p>
        </w:tc>
        <w:tc>
          <w:tcPr>
            <w:tcW w:w="795" w:type="dxa"/>
            <w:tcMar>
              <w:left w:w="14" w:type="dxa"/>
              <w:right w:w="14" w:type="dxa"/>
            </w:tcMar>
            <w:hideMark/>
          </w:tcPr>
          <w:p w14:paraId="22FD0D82" w14:textId="09CEE56C" w:rsidR="00D0059E" w:rsidRPr="000973F2" w:rsidRDefault="00D0059E" w:rsidP="00B5025D">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18"/>
                <w:szCs w:val="18"/>
              </w:rPr>
            </w:pPr>
            <w:r w:rsidRPr="000973F2">
              <w:rPr>
                <w:rFonts w:ascii="Times New Roman" w:eastAsia="Times New Roman" w:hAnsi="Times New Roman" w:cs="Times New Roman"/>
                <w:b/>
                <w:bCs/>
                <w:sz w:val="18"/>
                <w:szCs w:val="18"/>
              </w:rPr>
              <w:t xml:space="preserve">Initial </w:t>
            </w:r>
            <w:r w:rsidR="00132320" w:rsidRPr="000973F2">
              <w:rPr>
                <w:rFonts w:ascii="Times New Roman" w:eastAsia="Times New Roman" w:hAnsi="Times New Roman" w:cs="Times New Roman"/>
                <w:b/>
                <w:bCs/>
                <w:sz w:val="18"/>
                <w:szCs w:val="18"/>
              </w:rPr>
              <w:t>Year Hours</w:t>
            </w:r>
          </w:p>
        </w:tc>
        <w:tc>
          <w:tcPr>
            <w:tcW w:w="796" w:type="dxa"/>
            <w:tcMar>
              <w:left w:w="14" w:type="dxa"/>
              <w:right w:w="14" w:type="dxa"/>
            </w:tcMar>
            <w:hideMark/>
          </w:tcPr>
          <w:p w14:paraId="60FC091E" w14:textId="77777777" w:rsidR="00D0059E" w:rsidRPr="000973F2" w:rsidRDefault="00D0059E" w:rsidP="00B5025D">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18"/>
                <w:szCs w:val="18"/>
              </w:rPr>
            </w:pPr>
            <w:r w:rsidRPr="000973F2">
              <w:rPr>
                <w:rFonts w:ascii="Times New Roman" w:eastAsia="Times New Roman" w:hAnsi="Times New Roman" w:cs="Times New Roman"/>
                <w:b/>
                <w:bCs/>
                <w:sz w:val="18"/>
                <w:szCs w:val="18"/>
              </w:rPr>
              <w:t>Subseq. Year Hours</w:t>
            </w:r>
          </w:p>
        </w:tc>
        <w:tc>
          <w:tcPr>
            <w:tcW w:w="795" w:type="dxa"/>
            <w:tcMar>
              <w:left w:w="14" w:type="dxa"/>
              <w:right w:w="14" w:type="dxa"/>
            </w:tcMar>
            <w:hideMark/>
          </w:tcPr>
          <w:p w14:paraId="77A5D86F" w14:textId="0B7001E5" w:rsidR="00D0059E" w:rsidRPr="000973F2" w:rsidRDefault="00D0059E" w:rsidP="00B5025D">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18"/>
                <w:szCs w:val="18"/>
              </w:rPr>
            </w:pPr>
            <w:r w:rsidRPr="000973F2">
              <w:rPr>
                <w:rFonts w:ascii="Times New Roman" w:eastAsia="Times New Roman" w:hAnsi="Times New Roman" w:cs="Times New Roman"/>
                <w:b/>
                <w:bCs/>
                <w:sz w:val="18"/>
                <w:szCs w:val="18"/>
              </w:rPr>
              <w:t xml:space="preserve">Initial </w:t>
            </w:r>
            <w:r w:rsidR="00132320" w:rsidRPr="000973F2">
              <w:rPr>
                <w:rFonts w:ascii="Times New Roman" w:eastAsia="Times New Roman" w:hAnsi="Times New Roman" w:cs="Times New Roman"/>
                <w:b/>
                <w:bCs/>
                <w:sz w:val="18"/>
                <w:szCs w:val="18"/>
              </w:rPr>
              <w:t>Year Hours</w:t>
            </w:r>
          </w:p>
        </w:tc>
        <w:tc>
          <w:tcPr>
            <w:tcW w:w="796" w:type="dxa"/>
            <w:tcMar>
              <w:left w:w="14" w:type="dxa"/>
              <w:right w:w="14" w:type="dxa"/>
            </w:tcMar>
            <w:hideMark/>
          </w:tcPr>
          <w:p w14:paraId="306D1C8D" w14:textId="77777777" w:rsidR="00D0059E" w:rsidRPr="000973F2" w:rsidRDefault="00D0059E" w:rsidP="00B5025D">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18"/>
                <w:szCs w:val="18"/>
              </w:rPr>
            </w:pPr>
            <w:r w:rsidRPr="000973F2">
              <w:rPr>
                <w:rFonts w:ascii="Times New Roman" w:eastAsia="Times New Roman" w:hAnsi="Times New Roman" w:cs="Times New Roman"/>
                <w:b/>
                <w:bCs/>
                <w:sz w:val="18"/>
                <w:szCs w:val="18"/>
              </w:rPr>
              <w:t>Subseq. Year Hours</w:t>
            </w:r>
          </w:p>
        </w:tc>
        <w:tc>
          <w:tcPr>
            <w:tcW w:w="709" w:type="dxa"/>
            <w:tcMar>
              <w:left w:w="14" w:type="dxa"/>
              <w:right w:w="14" w:type="dxa"/>
            </w:tcMar>
            <w:hideMark/>
          </w:tcPr>
          <w:p w14:paraId="64ED1B5F" w14:textId="77777777" w:rsidR="00D0059E" w:rsidRPr="000973F2" w:rsidRDefault="00D0059E" w:rsidP="00B5025D">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18"/>
                <w:szCs w:val="18"/>
              </w:rPr>
            </w:pPr>
            <w:r w:rsidRPr="000973F2">
              <w:rPr>
                <w:rFonts w:ascii="Times New Roman" w:eastAsia="Times New Roman" w:hAnsi="Times New Roman" w:cs="Times New Roman"/>
                <w:b/>
                <w:bCs/>
                <w:sz w:val="18"/>
                <w:szCs w:val="18"/>
              </w:rPr>
              <w:t>Initial Year</w:t>
            </w:r>
          </w:p>
        </w:tc>
        <w:tc>
          <w:tcPr>
            <w:tcW w:w="832" w:type="dxa"/>
            <w:tcMar>
              <w:left w:w="14" w:type="dxa"/>
              <w:right w:w="14" w:type="dxa"/>
            </w:tcMar>
            <w:hideMark/>
          </w:tcPr>
          <w:p w14:paraId="773FF6A8" w14:textId="77777777" w:rsidR="00D0059E" w:rsidRPr="000973F2" w:rsidRDefault="00D0059E" w:rsidP="00B5025D">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18"/>
                <w:szCs w:val="18"/>
              </w:rPr>
            </w:pPr>
            <w:r w:rsidRPr="000973F2">
              <w:rPr>
                <w:rFonts w:ascii="Times New Roman" w:eastAsia="Times New Roman" w:hAnsi="Times New Roman" w:cs="Times New Roman"/>
                <w:b/>
                <w:bCs/>
                <w:sz w:val="18"/>
                <w:szCs w:val="18"/>
              </w:rPr>
              <w:t>Subseq. Year</w:t>
            </w:r>
          </w:p>
        </w:tc>
      </w:tr>
      <w:tr w:rsidR="00150C73" w:rsidRPr="000973F2" w14:paraId="38E7289A" w14:textId="77777777" w:rsidTr="00B5025D">
        <w:trPr>
          <w:cantSplit/>
        </w:trPr>
        <w:tc>
          <w:tcPr>
            <w:cnfStyle w:val="001000000000" w:firstRow="0" w:lastRow="0" w:firstColumn="1" w:lastColumn="0" w:oddVBand="0" w:evenVBand="0" w:oddHBand="0" w:evenHBand="0" w:firstRowFirstColumn="0" w:firstRowLastColumn="0" w:lastRowFirstColumn="0" w:lastRowLastColumn="0"/>
            <w:tcW w:w="1425" w:type="dxa"/>
            <w:hideMark/>
          </w:tcPr>
          <w:p w14:paraId="05029F5C" w14:textId="77777777" w:rsidR="00D0059E" w:rsidRPr="000973F2" w:rsidRDefault="00D0059E" w:rsidP="00B5025D">
            <w:pPr>
              <w:spacing w:before="40" w:after="4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Planning</w:t>
            </w:r>
          </w:p>
        </w:tc>
        <w:tc>
          <w:tcPr>
            <w:tcW w:w="795" w:type="dxa"/>
            <w:noWrap/>
            <w:hideMark/>
          </w:tcPr>
          <w:p w14:paraId="50A84524" w14:textId="77777777" w:rsidR="00D0059E" w:rsidRPr="000973F2" w:rsidRDefault="00D0059E" w:rsidP="00B5025D">
            <w:pPr>
              <w:tabs>
                <w:tab w:val="decimal" w:pos="286"/>
              </w:tabs>
              <w:spacing w:before="40" w:after="4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0</w:t>
            </w:r>
          </w:p>
        </w:tc>
        <w:tc>
          <w:tcPr>
            <w:tcW w:w="796" w:type="dxa"/>
            <w:noWrap/>
            <w:hideMark/>
          </w:tcPr>
          <w:p w14:paraId="6271632C" w14:textId="77777777" w:rsidR="00D0059E" w:rsidRPr="000973F2" w:rsidRDefault="00D0059E" w:rsidP="00B5025D">
            <w:pPr>
              <w:tabs>
                <w:tab w:val="decimal" w:pos="286"/>
              </w:tabs>
              <w:spacing w:before="40" w:after="4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1</w:t>
            </w:r>
          </w:p>
        </w:tc>
        <w:tc>
          <w:tcPr>
            <w:tcW w:w="795" w:type="dxa"/>
            <w:noWrap/>
            <w:hideMark/>
          </w:tcPr>
          <w:p w14:paraId="32F67ACF" w14:textId="77777777" w:rsidR="00D0059E" w:rsidRPr="000973F2" w:rsidRDefault="00D0059E" w:rsidP="00B5025D">
            <w:pPr>
              <w:tabs>
                <w:tab w:val="decimal" w:pos="286"/>
              </w:tabs>
              <w:spacing w:before="40" w:after="4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0</w:t>
            </w:r>
          </w:p>
        </w:tc>
        <w:tc>
          <w:tcPr>
            <w:tcW w:w="796" w:type="dxa"/>
            <w:noWrap/>
            <w:hideMark/>
          </w:tcPr>
          <w:p w14:paraId="34D21949" w14:textId="77777777" w:rsidR="00D0059E" w:rsidRPr="000973F2" w:rsidRDefault="00D0059E" w:rsidP="00B5025D">
            <w:pPr>
              <w:tabs>
                <w:tab w:val="decimal" w:pos="286"/>
              </w:tabs>
              <w:spacing w:before="40" w:after="4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0.5</w:t>
            </w:r>
          </w:p>
        </w:tc>
        <w:tc>
          <w:tcPr>
            <w:tcW w:w="795" w:type="dxa"/>
            <w:noWrap/>
            <w:hideMark/>
          </w:tcPr>
          <w:p w14:paraId="7B20E74C" w14:textId="77777777" w:rsidR="00D0059E" w:rsidRPr="000973F2" w:rsidRDefault="00D0059E" w:rsidP="00B5025D">
            <w:pPr>
              <w:tabs>
                <w:tab w:val="decimal" w:pos="286"/>
              </w:tabs>
              <w:spacing w:before="40" w:after="4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0</w:t>
            </w:r>
          </w:p>
        </w:tc>
        <w:tc>
          <w:tcPr>
            <w:tcW w:w="796" w:type="dxa"/>
            <w:noWrap/>
            <w:hideMark/>
          </w:tcPr>
          <w:p w14:paraId="38565063" w14:textId="77777777" w:rsidR="00D0059E" w:rsidRPr="000973F2" w:rsidRDefault="00D0059E" w:rsidP="00B5025D">
            <w:pPr>
              <w:tabs>
                <w:tab w:val="decimal" w:pos="286"/>
              </w:tabs>
              <w:spacing w:before="40" w:after="4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5</w:t>
            </w:r>
          </w:p>
        </w:tc>
        <w:tc>
          <w:tcPr>
            <w:tcW w:w="795" w:type="dxa"/>
            <w:noWrap/>
            <w:hideMark/>
          </w:tcPr>
          <w:p w14:paraId="6256B084" w14:textId="77777777" w:rsidR="00D0059E" w:rsidRPr="000973F2" w:rsidRDefault="00D0059E" w:rsidP="00B5025D">
            <w:pPr>
              <w:tabs>
                <w:tab w:val="decimal" w:pos="286"/>
              </w:tabs>
              <w:spacing w:before="40" w:after="4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0</w:t>
            </w:r>
          </w:p>
        </w:tc>
        <w:tc>
          <w:tcPr>
            <w:tcW w:w="796" w:type="dxa"/>
            <w:noWrap/>
            <w:hideMark/>
          </w:tcPr>
          <w:p w14:paraId="32BEADE4" w14:textId="77777777" w:rsidR="00D0059E" w:rsidRPr="000973F2" w:rsidRDefault="00D0059E" w:rsidP="00B5025D">
            <w:pPr>
              <w:tabs>
                <w:tab w:val="decimal" w:pos="286"/>
              </w:tabs>
              <w:spacing w:before="40" w:after="4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0.25</w:t>
            </w:r>
          </w:p>
        </w:tc>
        <w:tc>
          <w:tcPr>
            <w:tcW w:w="709" w:type="dxa"/>
            <w:noWrap/>
            <w:hideMark/>
          </w:tcPr>
          <w:p w14:paraId="5821D9EB" w14:textId="0D9E06A9" w:rsidR="00D0059E" w:rsidRPr="000973F2" w:rsidRDefault="00D0059E" w:rsidP="00B5025D">
            <w:pPr>
              <w:tabs>
                <w:tab w:val="decimal" w:pos="286"/>
              </w:tabs>
              <w:spacing w:before="40" w:after="4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$0</w:t>
            </w:r>
          </w:p>
        </w:tc>
        <w:tc>
          <w:tcPr>
            <w:tcW w:w="832" w:type="dxa"/>
            <w:noWrap/>
            <w:hideMark/>
          </w:tcPr>
          <w:p w14:paraId="25B20143" w14:textId="75D3228A" w:rsidR="00D0059E" w:rsidRPr="000973F2" w:rsidRDefault="00D0059E" w:rsidP="00B5025D">
            <w:pPr>
              <w:tabs>
                <w:tab w:val="decimal" w:pos="556"/>
              </w:tabs>
              <w:spacing w:before="40" w:after="4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$522</w:t>
            </w:r>
          </w:p>
        </w:tc>
      </w:tr>
      <w:tr w:rsidR="00150C73" w:rsidRPr="000973F2" w14:paraId="492BF159" w14:textId="77777777" w:rsidTr="00B5025D">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1425" w:type="dxa"/>
            <w:hideMark/>
          </w:tcPr>
          <w:p w14:paraId="170D7DCE" w14:textId="77777777" w:rsidR="00D0059E" w:rsidRPr="000973F2" w:rsidRDefault="00D0059E" w:rsidP="00B5025D">
            <w:pPr>
              <w:spacing w:before="40" w:after="4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QA/QC</w:t>
            </w:r>
          </w:p>
        </w:tc>
        <w:tc>
          <w:tcPr>
            <w:tcW w:w="795" w:type="dxa"/>
            <w:noWrap/>
            <w:hideMark/>
          </w:tcPr>
          <w:p w14:paraId="7BA003DA" w14:textId="77777777" w:rsidR="00D0059E" w:rsidRPr="000973F2" w:rsidRDefault="00D0059E" w:rsidP="00B5025D">
            <w:pPr>
              <w:tabs>
                <w:tab w:val="decimal" w:pos="286"/>
              </w:tabs>
              <w:spacing w:before="40" w:after="4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0</w:t>
            </w:r>
          </w:p>
        </w:tc>
        <w:tc>
          <w:tcPr>
            <w:tcW w:w="796" w:type="dxa"/>
            <w:noWrap/>
            <w:hideMark/>
          </w:tcPr>
          <w:p w14:paraId="44C0AEFE" w14:textId="77777777" w:rsidR="00D0059E" w:rsidRPr="000973F2" w:rsidRDefault="00D0059E" w:rsidP="00B5025D">
            <w:pPr>
              <w:tabs>
                <w:tab w:val="decimal" w:pos="286"/>
              </w:tabs>
              <w:spacing w:before="40" w:after="4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1</w:t>
            </w:r>
          </w:p>
        </w:tc>
        <w:tc>
          <w:tcPr>
            <w:tcW w:w="795" w:type="dxa"/>
            <w:noWrap/>
            <w:hideMark/>
          </w:tcPr>
          <w:p w14:paraId="2F061639" w14:textId="77777777" w:rsidR="00D0059E" w:rsidRPr="000973F2" w:rsidRDefault="00D0059E" w:rsidP="00B5025D">
            <w:pPr>
              <w:tabs>
                <w:tab w:val="decimal" w:pos="286"/>
              </w:tabs>
              <w:spacing w:before="40" w:after="4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0</w:t>
            </w:r>
          </w:p>
        </w:tc>
        <w:tc>
          <w:tcPr>
            <w:tcW w:w="796" w:type="dxa"/>
            <w:noWrap/>
            <w:hideMark/>
          </w:tcPr>
          <w:p w14:paraId="178F5B48" w14:textId="77777777" w:rsidR="00D0059E" w:rsidRPr="000973F2" w:rsidRDefault="00D0059E" w:rsidP="00B5025D">
            <w:pPr>
              <w:tabs>
                <w:tab w:val="decimal" w:pos="286"/>
              </w:tabs>
              <w:spacing w:before="40" w:after="4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0.3</w:t>
            </w:r>
          </w:p>
        </w:tc>
        <w:tc>
          <w:tcPr>
            <w:tcW w:w="795" w:type="dxa"/>
            <w:noWrap/>
            <w:hideMark/>
          </w:tcPr>
          <w:p w14:paraId="71AD9313" w14:textId="77777777" w:rsidR="00D0059E" w:rsidRPr="000973F2" w:rsidRDefault="00D0059E" w:rsidP="00B5025D">
            <w:pPr>
              <w:tabs>
                <w:tab w:val="decimal" w:pos="286"/>
              </w:tabs>
              <w:spacing w:before="40" w:after="4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0</w:t>
            </w:r>
          </w:p>
        </w:tc>
        <w:tc>
          <w:tcPr>
            <w:tcW w:w="796" w:type="dxa"/>
            <w:noWrap/>
            <w:hideMark/>
          </w:tcPr>
          <w:p w14:paraId="2AF02967" w14:textId="77777777" w:rsidR="00D0059E" w:rsidRPr="000973F2" w:rsidRDefault="00D0059E" w:rsidP="00B5025D">
            <w:pPr>
              <w:tabs>
                <w:tab w:val="decimal" w:pos="286"/>
              </w:tabs>
              <w:spacing w:before="40" w:after="4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3</w:t>
            </w:r>
          </w:p>
        </w:tc>
        <w:tc>
          <w:tcPr>
            <w:tcW w:w="795" w:type="dxa"/>
            <w:noWrap/>
            <w:hideMark/>
          </w:tcPr>
          <w:p w14:paraId="5A7124AA" w14:textId="77777777" w:rsidR="00D0059E" w:rsidRPr="000973F2" w:rsidRDefault="00D0059E" w:rsidP="00B5025D">
            <w:pPr>
              <w:tabs>
                <w:tab w:val="decimal" w:pos="286"/>
              </w:tabs>
              <w:spacing w:before="40" w:after="4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0</w:t>
            </w:r>
          </w:p>
        </w:tc>
        <w:tc>
          <w:tcPr>
            <w:tcW w:w="796" w:type="dxa"/>
            <w:noWrap/>
            <w:hideMark/>
          </w:tcPr>
          <w:p w14:paraId="41987C34" w14:textId="77777777" w:rsidR="00D0059E" w:rsidRPr="000973F2" w:rsidRDefault="00D0059E" w:rsidP="00B5025D">
            <w:pPr>
              <w:tabs>
                <w:tab w:val="decimal" w:pos="286"/>
              </w:tabs>
              <w:spacing w:before="40" w:after="4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0.15</w:t>
            </w:r>
          </w:p>
        </w:tc>
        <w:tc>
          <w:tcPr>
            <w:tcW w:w="709" w:type="dxa"/>
            <w:noWrap/>
            <w:hideMark/>
          </w:tcPr>
          <w:p w14:paraId="11E1A6B1" w14:textId="0272278A" w:rsidR="00D0059E" w:rsidRPr="000973F2" w:rsidRDefault="00D0059E" w:rsidP="00B5025D">
            <w:pPr>
              <w:tabs>
                <w:tab w:val="decimal" w:pos="286"/>
              </w:tabs>
              <w:spacing w:before="40" w:after="4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$0</w:t>
            </w:r>
          </w:p>
        </w:tc>
        <w:tc>
          <w:tcPr>
            <w:tcW w:w="832" w:type="dxa"/>
            <w:noWrap/>
            <w:hideMark/>
          </w:tcPr>
          <w:p w14:paraId="18C498F0" w14:textId="3FE0F4DB" w:rsidR="00D0059E" w:rsidRPr="000973F2" w:rsidRDefault="00D0059E" w:rsidP="00B5025D">
            <w:pPr>
              <w:tabs>
                <w:tab w:val="decimal" w:pos="556"/>
              </w:tabs>
              <w:spacing w:before="40" w:after="4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$358</w:t>
            </w:r>
          </w:p>
        </w:tc>
      </w:tr>
      <w:tr w:rsidR="00150C73" w:rsidRPr="000973F2" w14:paraId="5EE30F53" w14:textId="77777777" w:rsidTr="00B5025D">
        <w:trPr>
          <w:cantSplit/>
        </w:trPr>
        <w:tc>
          <w:tcPr>
            <w:cnfStyle w:val="001000000000" w:firstRow="0" w:lastRow="0" w:firstColumn="1" w:lastColumn="0" w:oddVBand="0" w:evenVBand="0" w:oddHBand="0" w:evenHBand="0" w:firstRowFirstColumn="0" w:firstRowLastColumn="0" w:lastRowFirstColumn="0" w:lastRowLastColumn="0"/>
            <w:tcW w:w="1425" w:type="dxa"/>
            <w:hideMark/>
          </w:tcPr>
          <w:p w14:paraId="35D6CC15" w14:textId="77777777" w:rsidR="00D0059E" w:rsidRPr="000973F2" w:rsidRDefault="00D0059E" w:rsidP="00B5025D">
            <w:pPr>
              <w:spacing w:before="40" w:after="4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Recordkeeping</w:t>
            </w:r>
          </w:p>
        </w:tc>
        <w:tc>
          <w:tcPr>
            <w:tcW w:w="795" w:type="dxa"/>
            <w:noWrap/>
            <w:hideMark/>
          </w:tcPr>
          <w:p w14:paraId="0C6018ED" w14:textId="77777777" w:rsidR="00D0059E" w:rsidRPr="000973F2" w:rsidRDefault="00D0059E" w:rsidP="00B5025D">
            <w:pPr>
              <w:tabs>
                <w:tab w:val="decimal" w:pos="286"/>
              </w:tabs>
              <w:spacing w:before="40" w:after="4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0</w:t>
            </w:r>
          </w:p>
        </w:tc>
        <w:tc>
          <w:tcPr>
            <w:tcW w:w="796" w:type="dxa"/>
            <w:noWrap/>
            <w:hideMark/>
          </w:tcPr>
          <w:p w14:paraId="5DA8E0A9" w14:textId="77777777" w:rsidR="00D0059E" w:rsidRPr="000973F2" w:rsidRDefault="00D0059E" w:rsidP="00B5025D">
            <w:pPr>
              <w:tabs>
                <w:tab w:val="decimal" w:pos="286"/>
              </w:tabs>
              <w:spacing w:before="40" w:after="4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0</w:t>
            </w:r>
          </w:p>
        </w:tc>
        <w:tc>
          <w:tcPr>
            <w:tcW w:w="795" w:type="dxa"/>
            <w:noWrap/>
            <w:hideMark/>
          </w:tcPr>
          <w:p w14:paraId="32BFA5D0" w14:textId="77777777" w:rsidR="00D0059E" w:rsidRPr="000973F2" w:rsidRDefault="00D0059E" w:rsidP="00B5025D">
            <w:pPr>
              <w:tabs>
                <w:tab w:val="decimal" w:pos="286"/>
              </w:tabs>
              <w:spacing w:before="40" w:after="4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0</w:t>
            </w:r>
          </w:p>
        </w:tc>
        <w:tc>
          <w:tcPr>
            <w:tcW w:w="796" w:type="dxa"/>
            <w:noWrap/>
            <w:hideMark/>
          </w:tcPr>
          <w:p w14:paraId="7D48DE0C" w14:textId="77777777" w:rsidR="00D0059E" w:rsidRPr="000973F2" w:rsidRDefault="00D0059E" w:rsidP="00B5025D">
            <w:pPr>
              <w:tabs>
                <w:tab w:val="decimal" w:pos="286"/>
              </w:tabs>
              <w:spacing w:before="40" w:after="4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0.5</w:t>
            </w:r>
          </w:p>
        </w:tc>
        <w:tc>
          <w:tcPr>
            <w:tcW w:w="795" w:type="dxa"/>
            <w:noWrap/>
            <w:hideMark/>
          </w:tcPr>
          <w:p w14:paraId="6F7B691E" w14:textId="77777777" w:rsidR="00D0059E" w:rsidRPr="000973F2" w:rsidRDefault="00D0059E" w:rsidP="00B5025D">
            <w:pPr>
              <w:tabs>
                <w:tab w:val="decimal" w:pos="286"/>
              </w:tabs>
              <w:spacing w:before="40" w:after="4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0</w:t>
            </w:r>
          </w:p>
        </w:tc>
        <w:tc>
          <w:tcPr>
            <w:tcW w:w="796" w:type="dxa"/>
            <w:noWrap/>
            <w:hideMark/>
          </w:tcPr>
          <w:p w14:paraId="6C7CA05A" w14:textId="77777777" w:rsidR="00D0059E" w:rsidRPr="000973F2" w:rsidRDefault="00D0059E" w:rsidP="00B5025D">
            <w:pPr>
              <w:tabs>
                <w:tab w:val="decimal" w:pos="286"/>
              </w:tabs>
              <w:spacing w:before="40" w:after="4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2</w:t>
            </w:r>
          </w:p>
        </w:tc>
        <w:tc>
          <w:tcPr>
            <w:tcW w:w="795" w:type="dxa"/>
            <w:noWrap/>
            <w:hideMark/>
          </w:tcPr>
          <w:p w14:paraId="042091AA" w14:textId="77777777" w:rsidR="00D0059E" w:rsidRPr="000973F2" w:rsidRDefault="00D0059E" w:rsidP="00B5025D">
            <w:pPr>
              <w:tabs>
                <w:tab w:val="decimal" w:pos="286"/>
              </w:tabs>
              <w:spacing w:before="40" w:after="4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0</w:t>
            </w:r>
          </w:p>
        </w:tc>
        <w:tc>
          <w:tcPr>
            <w:tcW w:w="796" w:type="dxa"/>
            <w:noWrap/>
            <w:hideMark/>
          </w:tcPr>
          <w:p w14:paraId="7080C8B3" w14:textId="77777777" w:rsidR="00D0059E" w:rsidRPr="000973F2" w:rsidRDefault="00D0059E" w:rsidP="00B5025D">
            <w:pPr>
              <w:tabs>
                <w:tab w:val="decimal" w:pos="286"/>
              </w:tabs>
              <w:spacing w:before="40" w:after="4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0.5</w:t>
            </w:r>
          </w:p>
        </w:tc>
        <w:tc>
          <w:tcPr>
            <w:tcW w:w="709" w:type="dxa"/>
            <w:noWrap/>
            <w:hideMark/>
          </w:tcPr>
          <w:p w14:paraId="17A05FBC" w14:textId="706377B3" w:rsidR="00D0059E" w:rsidRPr="000973F2" w:rsidRDefault="00D0059E" w:rsidP="00B5025D">
            <w:pPr>
              <w:tabs>
                <w:tab w:val="decimal" w:pos="286"/>
              </w:tabs>
              <w:spacing w:before="40" w:after="4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$0</w:t>
            </w:r>
          </w:p>
        </w:tc>
        <w:tc>
          <w:tcPr>
            <w:tcW w:w="832" w:type="dxa"/>
            <w:noWrap/>
            <w:hideMark/>
          </w:tcPr>
          <w:p w14:paraId="7E856791" w14:textId="341E3E9D" w:rsidR="00D0059E" w:rsidRPr="000973F2" w:rsidRDefault="00D0059E" w:rsidP="00B5025D">
            <w:pPr>
              <w:tabs>
                <w:tab w:val="decimal" w:pos="556"/>
              </w:tabs>
              <w:spacing w:before="40" w:after="4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$205</w:t>
            </w:r>
          </w:p>
        </w:tc>
      </w:tr>
      <w:tr w:rsidR="00150C73" w:rsidRPr="000973F2" w14:paraId="2B56ED67" w14:textId="77777777" w:rsidTr="00B5025D">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1425" w:type="dxa"/>
            <w:hideMark/>
          </w:tcPr>
          <w:p w14:paraId="47CFC17D" w14:textId="77777777" w:rsidR="00D0059E" w:rsidRPr="000973F2" w:rsidRDefault="00D0059E" w:rsidP="00B5025D">
            <w:pPr>
              <w:spacing w:before="40" w:after="4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Sampling and Analysis (Calculations)</w:t>
            </w:r>
          </w:p>
        </w:tc>
        <w:tc>
          <w:tcPr>
            <w:tcW w:w="795" w:type="dxa"/>
            <w:noWrap/>
            <w:hideMark/>
          </w:tcPr>
          <w:p w14:paraId="083EA631" w14:textId="77777777" w:rsidR="00D0059E" w:rsidRPr="000973F2" w:rsidRDefault="00D0059E" w:rsidP="00B5025D">
            <w:pPr>
              <w:tabs>
                <w:tab w:val="decimal" w:pos="286"/>
              </w:tabs>
              <w:spacing w:before="40" w:after="4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0</w:t>
            </w:r>
          </w:p>
        </w:tc>
        <w:tc>
          <w:tcPr>
            <w:tcW w:w="796" w:type="dxa"/>
            <w:noWrap/>
            <w:hideMark/>
          </w:tcPr>
          <w:p w14:paraId="667A47BE" w14:textId="77777777" w:rsidR="00D0059E" w:rsidRPr="000973F2" w:rsidRDefault="00D0059E" w:rsidP="00B5025D">
            <w:pPr>
              <w:tabs>
                <w:tab w:val="decimal" w:pos="286"/>
              </w:tabs>
              <w:spacing w:before="40" w:after="4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0</w:t>
            </w:r>
          </w:p>
        </w:tc>
        <w:tc>
          <w:tcPr>
            <w:tcW w:w="795" w:type="dxa"/>
            <w:noWrap/>
            <w:hideMark/>
          </w:tcPr>
          <w:p w14:paraId="7C1F28B9" w14:textId="77777777" w:rsidR="00D0059E" w:rsidRPr="000973F2" w:rsidRDefault="00D0059E" w:rsidP="00B5025D">
            <w:pPr>
              <w:tabs>
                <w:tab w:val="decimal" w:pos="286"/>
              </w:tabs>
              <w:spacing w:before="40" w:after="4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0</w:t>
            </w:r>
          </w:p>
        </w:tc>
        <w:tc>
          <w:tcPr>
            <w:tcW w:w="796" w:type="dxa"/>
            <w:noWrap/>
            <w:hideMark/>
          </w:tcPr>
          <w:p w14:paraId="526A4634" w14:textId="77777777" w:rsidR="00D0059E" w:rsidRPr="000973F2" w:rsidRDefault="00D0059E" w:rsidP="00B5025D">
            <w:pPr>
              <w:tabs>
                <w:tab w:val="decimal" w:pos="286"/>
              </w:tabs>
              <w:spacing w:before="40" w:after="4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1</w:t>
            </w:r>
          </w:p>
        </w:tc>
        <w:tc>
          <w:tcPr>
            <w:tcW w:w="795" w:type="dxa"/>
            <w:noWrap/>
            <w:hideMark/>
          </w:tcPr>
          <w:p w14:paraId="5214229D" w14:textId="77777777" w:rsidR="00D0059E" w:rsidRPr="000973F2" w:rsidRDefault="00D0059E" w:rsidP="00B5025D">
            <w:pPr>
              <w:tabs>
                <w:tab w:val="decimal" w:pos="286"/>
              </w:tabs>
              <w:spacing w:before="40" w:after="4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0</w:t>
            </w:r>
          </w:p>
        </w:tc>
        <w:tc>
          <w:tcPr>
            <w:tcW w:w="796" w:type="dxa"/>
            <w:noWrap/>
            <w:hideMark/>
          </w:tcPr>
          <w:p w14:paraId="6980C630" w14:textId="77777777" w:rsidR="00D0059E" w:rsidRPr="000973F2" w:rsidRDefault="00D0059E" w:rsidP="00B5025D">
            <w:pPr>
              <w:tabs>
                <w:tab w:val="decimal" w:pos="286"/>
              </w:tabs>
              <w:spacing w:before="40" w:after="4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10</w:t>
            </w:r>
          </w:p>
        </w:tc>
        <w:tc>
          <w:tcPr>
            <w:tcW w:w="795" w:type="dxa"/>
            <w:noWrap/>
            <w:hideMark/>
          </w:tcPr>
          <w:p w14:paraId="0C400186" w14:textId="77777777" w:rsidR="00D0059E" w:rsidRPr="000973F2" w:rsidRDefault="00D0059E" w:rsidP="00B5025D">
            <w:pPr>
              <w:tabs>
                <w:tab w:val="decimal" w:pos="286"/>
              </w:tabs>
              <w:spacing w:before="40" w:after="4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0</w:t>
            </w:r>
          </w:p>
        </w:tc>
        <w:tc>
          <w:tcPr>
            <w:tcW w:w="796" w:type="dxa"/>
            <w:noWrap/>
            <w:hideMark/>
          </w:tcPr>
          <w:p w14:paraId="0E871C3E" w14:textId="77777777" w:rsidR="00D0059E" w:rsidRPr="000973F2" w:rsidRDefault="00D0059E" w:rsidP="00B5025D">
            <w:pPr>
              <w:tabs>
                <w:tab w:val="decimal" w:pos="286"/>
              </w:tabs>
              <w:spacing w:before="40" w:after="4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0.5</w:t>
            </w:r>
          </w:p>
        </w:tc>
        <w:tc>
          <w:tcPr>
            <w:tcW w:w="709" w:type="dxa"/>
            <w:noWrap/>
            <w:hideMark/>
          </w:tcPr>
          <w:p w14:paraId="70533097" w14:textId="32F4126E" w:rsidR="00D0059E" w:rsidRPr="000973F2" w:rsidRDefault="00D0059E" w:rsidP="00B5025D">
            <w:pPr>
              <w:tabs>
                <w:tab w:val="decimal" w:pos="286"/>
              </w:tabs>
              <w:spacing w:before="40" w:after="4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$0</w:t>
            </w:r>
          </w:p>
        </w:tc>
        <w:tc>
          <w:tcPr>
            <w:tcW w:w="832" w:type="dxa"/>
            <w:noWrap/>
            <w:hideMark/>
          </w:tcPr>
          <w:p w14:paraId="427C084B" w14:textId="0754EAB3" w:rsidR="00D0059E" w:rsidRPr="000973F2" w:rsidRDefault="00D0059E" w:rsidP="00B5025D">
            <w:pPr>
              <w:tabs>
                <w:tab w:val="decimal" w:pos="556"/>
              </w:tabs>
              <w:spacing w:before="40" w:after="4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$820</w:t>
            </w:r>
          </w:p>
        </w:tc>
      </w:tr>
      <w:tr w:rsidR="008F751E" w:rsidRPr="000973F2" w14:paraId="15BA5AAA" w14:textId="77777777" w:rsidTr="00B5025D">
        <w:trPr>
          <w:cantSplit/>
        </w:trPr>
        <w:tc>
          <w:tcPr>
            <w:cnfStyle w:val="001000000000" w:firstRow="0" w:lastRow="0" w:firstColumn="1" w:lastColumn="0" w:oddVBand="0" w:evenVBand="0" w:oddHBand="0" w:evenHBand="0" w:firstRowFirstColumn="0" w:firstRowLastColumn="0" w:lastRowFirstColumn="0" w:lastRowLastColumn="0"/>
            <w:tcW w:w="1425" w:type="dxa"/>
            <w:hideMark/>
          </w:tcPr>
          <w:p w14:paraId="40DE5F2F" w14:textId="77777777" w:rsidR="00D0059E" w:rsidRPr="000973F2" w:rsidRDefault="00D0059E" w:rsidP="00B5025D">
            <w:pPr>
              <w:spacing w:before="40" w:after="4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Reporting</w:t>
            </w:r>
          </w:p>
        </w:tc>
        <w:tc>
          <w:tcPr>
            <w:tcW w:w="795" w:type="dxa"/>
            <w:noWrap/>
            <w:hideMark/>
          </w:tcPr>
          <w:p w14:paraId="2DF674F4" w14:textId="77777777" w:rsidR="00D0059E" w:rsidRPr="000973F2" w:rsidRDefault="00D0059E" w:rsidP="00B5025D">
            <w:pPr>
              <w:tabs>
                <w:tab w:val="decimal" w:pos="286"/>
              </w:tabs>
              <w:spacing w:before="40" w:after="4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0</w:t>
            </w:r>
          </w:p>
        </w:tc>
        <w:tc>
          <w:tcPr>
            <w:tcW w:w="796" w:type="dxa"/>
            <w:noWrap/>
            <w:hideMark/>
          </w:tcPr>
          <w:p w14:paraId="62F1772D" w14:textId="77777777" w:rsidR="00D0059E" w:rsidRPr="000973F2" w:rsidRDefault="00D0059E" w:rsidP="00B5025D">
            <w:pPr>
              <w:tabs>
                <w:tab w:val="decimal" w:pos="286"/>
              </w:tabs>
              <w:spacing w:before="40" w:after="4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0</w:t>
            </w:r>
          </w:p>
        </w:tc>
        <w:tc>
          <w:tcPr>
            <w:tcW w:w="795" w:type="dxa"/>
            <w:noWrap/>
            <w:hideMark/>
          </w:tcPr>
          <w:p w14:paraId="6475DE93" w14:textId="77777777" w:rsidR="00D0059E" w:rsidRPr="000973F2" w:rsidRDefault="00D0059E" w:rsidP="00B5025D">
            <w:pPr>
              <w:tabs>
                <w:tab w:val="decimal" w:pos="286"/>
              </w:tabs>
              <w:spacing w:before="40" w:after="4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0</w:t>
            </w:r>
          </w:p>
        </w:tc>
        <w:tc>
          <w:tcPr>
            <w:tcW w:w="796" w:type="dxa"/>
            <w:noWrap/>
            <w:hideMark/>
          </w:tcPr>
          <w:p w14:paraId="18E89674" w14:textId="77777777" w:rsidR="00D0059E" w:rsidRPr="000973F2" w:rsidRDefault="00D0059E" w:rsidP="00B5025D">
            <w:pPr>
              <w:tabs>
                <w:tab w:val="decimal" w:pos="286"/>
              </w:tabs>
              <w:spacing w:before="40" w:after="4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1</w:t>
            </w:r>
          </w:p>
        </w:tc>
        <w:tc>
          <w:tcPr>
            <w:tcW w:w="795" w:type="dxa"/>
            <w:noWrap/>
            <w:hideMark/>
          </w:tcPr>
          <w:p w14:paraId="2DE0ACF2" w14:textId="77777777" w:rsidR="00D0059E" w:rsidRPr="000973F2" w:rsidRDefault="00D0059E" w:rsidP="00B5025D">
            <w:pPr>
              <w:tabs>
                <w:tab w:val="decimal" w:pos="286"/>
              </w:tabs>
              <w:spacing w:before="40" w:after="4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0</w:t>
            </w:r>
          </w:p>
        </w:tc>
        <w:tc>
          <w:tcPr>
            <w:tcW w:w="796" w:type="dxa"/>
            <w:noWrap/>
            <w:hideMark/>
          </w:tcPr>
          <w:p w14:paraId="1F577A5C" w14:textId="77777777" w:rsidR="00D0059E" w:rsidRPr="000973F2" w:rsidRDefault="00D0059E" w:rsidP="00B5025D">
            <w:pPr>
              <w:tabs>
                <w:tab w:val="decimal" w:pos="286"/>
              </w:tabs>
              <w:spacing w:before="40" w:after="4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4</w:t>
            </w:r>
          </w:p>
        </w:tc>
        <w:tc>
          <w:tcPr>
            <w:tcW w:w="795" w:type="dxa"/>
            <w:noWrap/>
            <w:hideMark/>
          </w:tcPr>
          <w:p w14:paraId="79FDE8F8" w14:textId="77777777" w:rsidR="00D0059E" w:rsidRPr="000973F2" w:rsidRDefault="00D0059E" w:rsidP="00B5025D">
            <w:pPr>
              <w:tabs>
                <w:tab w:val="decimal" w:pos="286"/>
              </w:tabs>
              <w:spacing w:before="40" w:after="4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0</w:t>
            </w:r>
          </w:p>
        </w:tc>
        <w:tc>
          <w:tcPr>
            <w:tcW w:w="796" w:type="dxa"/>
            <w:noWrap/>
            <w:hideMark/>
          </w:tcPr>
          <w:p w14:paraId="1CDF7239" w14:textId="77777777" w:rsidR="00D0059E" w:rsidRPr="000973F2" w:rsidRDefault="00D0059E" w:rsidP="00B5025D">
            <w:pPr>
              <w:tabs>
                <w:tab w:val="decimal" w:pos="286"/>
              </w:tabs>
              <w:spacing w:before="40" w:after="4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1</w:t>
            </w:r>
          </w:p>
        </w:tc>
        <w:tc>
          <w:tcPr>
            <w:tcW w:w="709" w:type="dxa"/>
            <w:noWrap/>
            <w:hideMark/>
          </w:tcPr>
          <w:p w14:paraId="432DBF8F" w14:textId="5873CEDD" w:rsidR="00D0059E" w:rsidRPr="000973F2" w:rsidRDefault="00D0059E" w:rsidP="00B5025D">
            <w:pPr>
              <w:tabs>
                <w:tab w:val="decimal" w:pos="286"/>
              </w:tabs>
              <w:spacing w:before="40" w:after="4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$0</w:t>
            </w:r>
          </w:p>
        </w:tc>
        <w:tc>
          <w:tcPr>
            <w:tcW w:w="832" w:type="dxa"/>
            <w:noWrap/>
            <w:hideMark/>
          </w:tcPr>
          <w:p w14:paraId="4D1ABC65" w14:textId="5FBC8A73" w:rsidR="00D0059E" w:rsidRPr="000973F2" w:rsidRDefault="00D0059E" w:rsidP="00B5025D">
            <w:pPr>
              <w:tabs>
                <w:tab w:val="decimal" w:pos="556"/>
              </w:tabs>
              <w:spacing w:before="40" w:after="4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$410</w:t>
            </w:r>
          </w:p>
        </w:tc>
      </w:tr>
      <w:tr w:rsidR="00FA67DC" w:rsidRPr="000973F2" w14:paraId="18EFDC80" w14:textId="77777777" w:rsidTr="00B5025D">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1425" w:type="dxa"/>
            <w:noWrap/>
            <w:hideMark/>
          </w:tcPr>
          <w:p w14:paraId="2934FBC8" w14:textId="77777777" w:rsidR="00D0059E" w:rsidRPr="000973F2" w:rsidRDefault="00D0059E" w:rsidP="00B5025D">
            <w:pPr>
              <w:spacing w:before="40" w:after="40"/>
              <w:rPr>
                <w:rFonts w:ascii="Times New Roman" w:eastAsia="Times New Roman" w:hAnsi="Times New Roman" w:cs="Times New Roman"/>
                <w:b/>
                <w:bCs w:val="0"/>
                <w:sz w:val="18"/>
                <w:szCs w:val="18"/>
              </w:rPr>
            </w:pPr>
            <w:r w:rsidRPr="000973F2">
              <w:rPr>
                <w:rFonts w:ascii="Times New Roman" w:eastAsia="Times New Roman" w:hAnsi="Times New Roman" w:cs="Times New Roman"/>
                <w:b/>
                <w:sz w:val="18"/>
                <w:szCs w:val="18"/>
              </w:rPr>
              <w:t>Total</w:t>
            </w:r>
          </w:p>
        </w:tc>
        <w:tc>
          <w:tcPr>
            <w:tcW w:w="795" w:type="dxa"/>
            <w:noWrap/>
            <w:hideMark/>
          </w:tcPr>
          <w:p w14:paraId="70AC0131" w14:textId="77777777" w:rsidR="00D0059E" w:rsidRPr="000973F2" w:rsidRDefault="00D0059E" w:rsidP="00B5025D">
            <w:pPr>
              <w:tabs>
                <w:tab w:val="decimal" w:pos="286"/>
              </w:tabs>
              <w:spacing w:before="40" w:after="4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18"/>
                <w:szCs w:val="18"/>
              </w:rPr>
            </w:pPr>
            <w:r w:rsidRPr="000973F2">
              <w:rPr>
                <w:rFonts w:ascii="Times New Roman" w:eastAsia="Times New Roman" w:hAnsi="Times New Roman" w:cs="Times New Roman"/>
                <w:b/>
                <w:bCs/>
                <w:sz w:val="18"/>
                <w:szCs w:val="18"/>
              </w:rPr>
              <w:t>0</w:t>
            </w:r>
          </w:p>
        </w:tc>
        <w:tc>
          <w:tcPr>
            <w:tcW w:w="796" w:type="dxa"/>
            <w:noWrap/>
            <w:hideMark/>
          </w:tcPr>
          <w:p w14:paraId="11B6B754" w14:textId="77777777" w:rsidR="00D0059E" w:rsidRPr="000973F2" w:rsidRDefault="00D0059E" w:rsidP="00B5025D">
            <w:pPr>
              <w:tabs>
                <w:tab w:val="decimal" w:pos="286"/>
              </w:tabs>
              <w:spacing w:before="40" w:after="4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18"/>
                <w:szCs w:val="18"/>
              </w:rPr>
            </w:pPr>
            <w:r w:rsidRPr="000973F2">
              <w:rPr>
                <w:rFonts w:ascii="Times New Roman" w:eastAsia="Times New Roman" w:hAnsi="Times New Roman" w:cs="Times New Roman"/>
                <w:b/>
                <w:bCs/>
                <w:sz w:val="18"/>
                <w:szCs w:val="18"/>
              </w:rPr>
              <w:t>2</w:t>
            </w:r>
          </w:p>
        </w:tc>
        <w:tc>
          <w:tcPr>
            <w:tcW w:w="795" w:type="dxa"/>
            <w:noWrap/>
            <w:hideMark/>
          </w:tcPr>
          <w:p w14:paraId="29A3D52D" w14:textId="77777777" w:rsidR="00D0059E" w:rsidRPr="000973F2" w:rsidRDefault="00D0059E" w:rsidP="00B5025D">
            <w:pPr>
              <w:tabs>
                <w:tab w:val="decimal" w:pos="286"/>
              </w:tabs>
              <w:spacing w:before="40" w:after="4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18"/>
                <w:szCs w:val="18"/>
              </w:rPr>
            </w:pPr>
            <w:r w:rsidRPr="000973F2">
              <w:rPr>
                <w:rFonts w:ascii="Times New Roman" w:eastAsia="Times New Roman" w:hAnsi="Times New Roman" w:cs="Times New Roman"/>
                <w:b/>
                <w:bCs/>
                <w:sz w:val="18"/>
                <w:szCs w:val="18"/>
              </w:rPr>
              <w:t>0</w:t>
            </w:r>
          </w:p>
        </w:tc>
        <w:tc>
          <w:tcPr>
            <w:tcW w:w="796" w:type="dxa"/>
            <w:noWrap/>
            <w:hideMark/>
          </w:tcPr>
          <w:p w14:paraId="0D35FA04" w14:textId="77777777" w:rsidR="00D0059E" w:rsidRPr="000973F2" w:rsidRDefault="00D0059E" w:rsidP="00B5025D">
            <w:pPr>
              <w:tabs>
                <w:tab w:val="decimal" w:pos="286"/>
              </w:tabs>
              <w:spacing w:before="40" w:after="4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18"/>
                <w:szCs w:val="18"/>
              </w:rPr>
            </w:pPr>
            <w:r w:rsidRPr="000973F2">
              <w:rPr>
                <w:rFonts w:ascii="Times New Roman" w:eastAsia="Times New Roman" w:hAnsi="Times New Roman" w:cs="Times New Roman"/>
                <w:b/>
                <w:bCs/>
                <w:sz w:val="18"/>
                <w:szCs w:val="18"/>
              </w:rPr>
              <w:t>3.3</w:t>
            </w:r>
          </w:p>
        </w:tc>
        <w:tc>
          <w:tcPr>
            <w:tcW w:w="795" w:type="dxa"/>
            <w:noWrap/>
            <w:hideMark/>
          </w:tcPr>
          <w:p w14:paraId="6AC516AF" w14:textId="77777777" w:rsidR="00D0059E" w:rsidRPr="000973F2" w:rsidRDefault="00D0059E" w:rsidP="00B5025D">
            <w:pPr>
              <w:tabs>
                <w:tab w:val="decimal" w:pos="286"/>
              </w:tabs>
              <w:spacing w:before="40" w:after="4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18"/>
                <w:szCs w:val="18"/>
              </w:rPr>
            </w:pPr>
            <w:r w:rsidRPr="000973F2">
              <w:rPr>
                <w:rFonts w:ascii="Times New Roman" w:eastAsia="Times New Roman" w:hAnsi="Times New Roman" w:cs="Times New Roman"/>
                <w:b/>
                <w:bCs/>
                <w:sz w:val="18"/>
                <w:szCs w:val="18"/>
              </w:rPr>
              <w:t>0</w:t>
            </w:r>
          </w:p>
        </w:tc>
        <w:tc>
          <w:tcPr>
            <w:tcW w:w="796" w:type="dxa"/>
            <w:noWrap/>
            <w:hideMark/>
          </w:tcPr>
          <w:p w14:paraId="2604305C" w14:textId="77777777" w:rsidR="00D0059E" w:rsidRPr="000973F2" w:rsidRDefault="00D0059E" w:rsidP="00B5025D">
            <w:pPr>
              <w:tabs>
                <w:tab w:val="decimal" w:pos="286"/>
              </w:tabs>
              <w:spacing w:before="40" w:after="4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18"/>
                <w:szCs w:val="18"/>
              </w:rPr>
            </w:pPr>
            <w:r w:rsidRPr="000973F2">
              <w:rPr>
                <w:rFonts w:ascii="Times New Roman" w:eastAsia="Times New Roman" w:hAnsi="Times New Roman" w:cs="Times New Roman"/>
                <w:b/>
                <w:bCs/>
                <w:sz w:val="18"/>
                <w:szCs w:val="18"/>
              </w:rPr>
              <w:t>24</w:t>
            </w:r>
          </w:p>
        </w:tc>
        <w:tc>
          <w:tcPr>
            <w:tcW w:w="795" w:type="dxa"/>
            <w:noWrap/>
            <w:hideMark/>
          </w:tcPr>
          <w:p w14:paraId="09C00BC6" w14:textId="77777777" w:rsidR="00D0059E" w:rsidRPr="000973F2" w:rsidRDefault="00D0059E" w:rsidP="00B5025D">
            <w:pPr>
              <w:tabs>
                <w:tab w:val="decimal" w:pos="286"/>
              </w:tabs>
              <w:spacing w:before="40" w:after="4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18"/>
                <w:szCs w:val="18"/>
              </w:rPr>
            </w:pPr>
            <w:r w:rsidRPr="000973F2">
              <w:rPr>
                <w:rFonts w:ascii="Times New Roman" w:eastAsia="Times New Roman" w:hAnsi="Times New Roman" w:cs="Times New Roman"/>
                <w:b/>
                <w:bCs/>
                <w:sz w:val="18"/>
                <w:szCs w:val="18"/>
              </w:rPr>
              <w:t>0</w:t>
            </w:r>
          </w:p>
        </w:tc>
        <w:tc>
          <w:tcPr>
            <w:tcW w:w="796" w:type="dxa"/>
            <w:noWrap/>
            <w:hideMark/>
          </w:tcPr>
          <w:p w14:paraId="27904FF2" w14:textId="77777777" w:rsidR="00D0059E" w:rsidRPr="000973F2" w:rsidRDefault="00D0059E" w:rsidP="00B5025D">
            <w:pPr>
              <w:tabs>
                <w:tab w:val="decimal" w:pos="286"/>
              </w:tabs>
              <w:spacing w:before="40" w:after="4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18"/>
                <w:szCs w:val="18"/>
              </w:rPr>
            </w:pPr>
            <w:r w:rsidRPr="000973F2">
              <w:rPr>
                <w:rFonts w:ascii="Times New Roman" w:eastAsia="Times New Roman" w:hAnsi="Times New Roman" w:cs="Times New Roman"/>
                <w:b/>
                <w:bCs/>
                <w:sz w:val="18"/>
                <w:szCs w:val="18"/>
              </w:rPr>
              <w:t>2.4</w:t>
            </w:r>
          </w:p>
        </w:tc>
        <w:tc>
          <w:tcPr>
            <w:tcW w:w="709" w:type="dxa"/>
            <w:noWrap/>
            <w:hideMark/>
          </w:tcPr>
          <w:p w14:paraId="6657C669" w14:textId="6DD3EA5F" w:rsidR="00D0059E" w:rsidRPr="000973F2" w:rsidRDefault="00D0059E" w:rsidP="00B5025D">
            <w:pPr>
              <w:tabs>
                <w:tab w:val="decimal" w:pos="286"/>
              </w:tabs>
              <w:spacing w:before="40" w:after="4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18"/>
                <w:szCs w:val="18"/>
              </w:rPr>
            </w:pPr>
            <w:r w:rsidRPr="000973F2">
              <w:rPr>
                <w:rFonts w:ascii="Times New Roman" w:eastAsia="Times New Roman" w:hAnsi="Times New Roman" w:cs="Times New Roman"/>
                <w:b/>
                <w:bCs/>
                <w:sz w:val="18"/>
                <w:szCs w:val="18"/>
              </w:rPr>
              <w:t>$0</w:t>
            </w:r>
          </w:p>
        </w:tc>
        <w:tc>
          <w:tcPr>
            <w:tcW w:w="832" w:type="dxa"/>
            <w:noWrap/>
            <w:hideMark/>
          </w:tcPr>
          <w:p w14:paraId="50639FA2" w14:textId="5F184B2C" w:rsidR="00D0059E" w:rsidRPr="000973F2" w:rsidRDefault="00D0059E" w:rsidP="00B5025D">
            <w:pPr>
              <w:tabs>
                <w:tab w:val="decimal" w:pos="556"/>
              </w:tabs>
              <w:spacing w:before="40" w:after="4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18"/>
                <w:szCs w:val="18"/>
              </w:rPr>
            </w:pPr>
            <w:r w:rsidRPr="000973F2">
              <w:rPr>
                <w:rFonts w:ascii="Times New Roman" w:eastAsia="Times New Roman" w:hAnsi="Times New Roman" w:cs="Times New Roman"/>
                <w:b/>
                <w:bCs/>
                <w:sz w:val="18"/>
                <w:szCs w:val="18"/>
              </w:rPr>
              <w:t>$2,315</w:t>
            </w:r>
          </w:p>
        </w:tc>
      </w:tr>
    </w:tbl>
    <w:p w14:paraId="44EADB63" w14:textId="77777777" w:rsidR="00D0059E" w:rsidRPr="000973F2" w:rsidRDefault="00D0059E" w:rsidP="00C00E4F">
      <w:pPr>
        <w:spacing w:line="240" w:lineRule="auto"/>
        <w:rPr>
          <w:rFonts w:ascii="Times New Roman" w:hAnsi="Times New Roman" w:cs="Times New Roman"/>
        </w:rPr>
      </w:pPr>
    </w:p>
    <w:p w14:paraId="00EF4A59" w14:textId="77777777" w:rsidR="00D0059E" w:rsidRPr="000973F2" w:rsidRDefault="00D0059E" w:rsidP="00C00E4F">
      <w:pPr>
        <w:spacing w:line="240" w:lineRule="auto"/>
        <w:rPr>
          <w:rFonts w:ascii="Times New Roman" w:hAnsi="Times New Roman" w:cs="Times New Roman"/>
          <w:b/>
          <w:i/>
          <w:szCs w:val="24"/>
        </w:rPr>
      </w:pPr>
      <w:r w:rsidRPr="000973F2">
        <w:rPr>
          <w:rFonts w:ascii="Times New Roman" w:hAnsi="Times New Roman" w:cs="Times New Roman"/>
          <w:b/>
          <w:i/>
          <w:szCs w:val="24"/>
        </w:rPr>
        <w:br w:type="page"/>
      </w:r>
    </w:p>
    <w:p w14:paraId="7703E297" w14:textId="77777777" w:rsidR="00D0059E" w:rsidRPr="000973F2" w:rsidRDefault="00D0059E" w:rsidP="004671A3">
      <w:pPr>
        <w:pStyle w:val="Heading2"/>
      </w:pPr>
      <w:r w:rsidRPr="000973F2">
        <w:t>Capital and O&amp;M Costs for Subpart GG</w:t>
      </w:r>
    </w:p>
    <w:p w14:paraId="6B18A5C7" w14:textId="441676C9" w:rsidR="00D0059E" w:rsidRPr="000973F2" w:rsidRDefault="005B76DE" w:rsidP="004671A3">
      <w:pPr>
        <w:pStyle w:val="BodyText"/>
      </w:pPr>
      <w:r w:rsidRPr="000973F2">
        <w:t xml:space="preserve">Table </w:t>
      </w:r>
      <w:r w:rsidR="004671A3" w:rsidRPr="000973F2">
        <w:t>GG-</w:t>
      </w:r>
      <w:r w:rsidRPr="000973F2">
        <w:t>2 summarizes the capital and O&amp;M costs expected</w:t>
      </w:r>
      <w:r w:rsidR="00E554AD" w:rsidRPr="000973F2">
        <w:t xml:space="preserve"> </w:t>
      </w:r>
      <w:r w:rsidRPr="000973F2">
        <w:t>for</w:t>
      </w:r>
      <w:r w:rsidR="00D0059E" w:rsidRPr="000973F2">
        <w:t xml:space="preserve"> </w:t>
      </w:r>
      <w:r w:rsidR="00100DF6" w:rsidRPr="000973F2">
        <w:t>S</w:t>
      </w:r>
      <w:r w:rsidR="00D0059E" w:rsidRPr="000973F2">
        <w:t>ubpart GG. The costs related to recordkeeping are discussed in the Cost Appendix Introduction. The only additional costs associated with O&amp;M are the annual cost of sampling for facilities that calculate their CO</w:t>
      </w:r>
      <w:r w:rsidR="00D0059E" w:rsidRPr="000973F2">
        <w:rPr>
          <w:vertAlign w:val="subscript"/>
        </w:rPr>
        <w:t>2</w:t>
      </w:r>
      <w:r w:rsidR="00D0059E" w:rsidRPr="000973F2">
        <w:t xml:space="preserve"> emissions using the carbon mass balance approach. No capital costs are expected. </w:t>
      </w:r>
    </w:p>
    <w:p w14:paraId="352A91BC" w14:textId="6258854E" w:rsidR="00D0059E" w:rsidRPr="000973F2" w:rsidRDefault="00A46D8E" w:rsidP="004671A3">
      <w:pPr>
        <w:pStyle w:val="Tabletitle"/>
      </w:pPr>
      <w:r w:rsidRPr="000973F2">
        <w:t xml:space="preserve">Table </w:t>
      </w:r>
      <w:r w:rsidR="004671A3" w:rsidRPr="000973F2">
        <w:t>GG-</w:t>
      </w:r>
      <w:r w:rsidRPr="000973F2">
        <w:t xml:space="preserve">2. Capital and O&amp;M Costs </w:t>
      </w:r>
      <w:r w:rsidR="00B960CC" w:rsidRPr="000973F2">
        <w:t>–</w:t>
      </w:r>
      <w:r w:rsidRPr="000973F2">
        <w:t xml:space="preserve"> </w:t>
      </w:r>
      <w:r w:rsidR="00D0059E" w:rsidRPr="000973F2">
        <w:t>Subpart GG</w:t>
      </w:r>
    </w:p>
    <w:tbl>
      <w:tblPr>
        <w:tblStyle w:val="PlainTable1"/>
        <w:tblW w:w="5000" w:type="pct"/>
        <w:jc w:val="left"/>
        <w:tblLayout w:type="fixed"/>
        <w:tblCellMar>
          <w:left w:w="115" w:type="dxa"/>
          <w:right w:w="115" w:type="dxa"/>
        </w:tblCellMar>
        <w:tblLook w:val="04A0" w:firstRow="1" w:lastRow="0" w:firstColumn="1" w:lastColumn="0" w:noHBand="0" w:noVBand="1"/>
      </w:tblPr>
      <w:tblGrid>
        <w:gridCol w:w="1926"/>
        <w:gridCol w:w="1277"/>
        <w:gridCol w:w="1278"/>
        <w:gridCol w:w="1277"/>
        <w:gridCol w:w="1257"/>
        <w:gridCol w:w="1297"/>
        <w:gridCol w:w="1278"/>
      </w:tblGrid>
      <w:tr w:rsidR="00D17312" w:rsidRPr="000973F2" w14:paraId="2D8AAAB7" w14:textId="77777777" w:rsidTr="00E554AD">
        <w:trPr>
          <w:cnfStyle w:val="100000000000" w:firstRow="1" w:lastRow="0" w:firstColumn="0" w:lastColumn="0" w:oddVBand="0" w:evenVBand="0" w:oddHBand="0" w:evenHBand="0" w:firstRowFirstColumn="0" w:firstRowLastColumn="0" w:lastRowFirstColumn="0" w:lastRowLastColumn="0"/>
          <w:cantSplit/>
          <w:jc w:val="left"/>
        </w:trPr>
        <w:tc>
          <w:tcPr>
            <w:cnfStyle w:val="001000000000" w:firstRow="0" w:lastRow="0" w:firstColumn="1" w:lastColumn="0" w:oddVBand="0" w:evenVBand="0" w:oddHBand="0" w:evenHBand="0" w:firstRowFirstColumn="0" w:firstRowLastColumn="0" w:lastRowFirstColumn="0" w:lastRowLastColumn="0"/>
            <w:tcW w:w="1875" w:type="dxa"/>
            <w:vMerge w:val="restart"/>
            <w:noWrap/>
            <w:vAlign w:val="top"/>
            <w:hideMark/>
          </w:tcPr>
          <w:p w14:paraId="3D259E3B" w14:textId="482778C3" w:rsidR="00D17312" w:rsidRPr="000973F2" w:rsidRDefault="00D17312" w:rsidP="00E554AD">
            <w:pPr>
              <w:spacing w:before="40" w:after="40"/>
              <w:rPr>
                <w:rFonts w:ascii="Times New Roman" w:eastAsia="Times New Roman" w:hAnsi="Times New Roman" w:cs="Times New Roman"/>
                <w:b w:val="0"/>
                <w:bCs w:val="0"/>
                <w:sz w:val="18"/>
                <w:szCs w:val="18"/>
              </w:rPr>
            </w:pPr>
            <w:r w:rsidRPr="000973F2">
              <w:rPr>
                <w:rFonts w:ascii="Times New Roman" w:eastAsia="Times New Roman" w:hAnsi="Times New Roman" w:cs="Times New Roman"/>
                <w:sz w:val="18"/>
                <w:szCs w:val="18"/>
              </w:rPr>
              <w:t>Activity</w:t>
            </w:r>
          </w:p>
        </w:tc>
        <w:tc>
          <w:tcPr>
            <w:tcW w:w="4950" w:type="dxa"/>
            <w:gridSpan w:val="4"/>
            <w:noWrap/>
            <w:vAlign w:val="top"/>
            <w:hideMark/>
          </w:tcPr>
          <w:p w14:paraId="67341B77" w14:textId="77777777" w:rsidR="00D17312" w:rsidRPr="000973F2" w:rsidRDefault="00D17312" w:rsidP="00E554AD">
            <w:pPr>
              <w:spacing w:before="40" w:after="40"/>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bCs w:val="0"/>
                <w:sz w:val="18"/>
                <w:szCs w:val="18"/>
              </w:rPr>
            </w:pPr>
            <w:r w:rsidRPr="000973F2">
              <w:rPr>
                <w:rFonts w:ascii="Times New Roman" w:eastAsia="Times New Roman" w:hAnsi="Times New Roman" w:cs="Times New Roman"/>
                <w:sz w:val="18"/>
                <w:szCs w:val="18"/>
              </w:rPr>
              <w:t>Cost Categories</w:t>
            </w:r>
          </w:p>
        </w:tc>
        <w:tc>
          <w:tcPr>
            <w:tcW w:w="2505" w:type="dxa"/>
            <w:gridSpan w:val="2"/>
            <w:vAlign w:val="top"/>
            <w:hideMark/>
          </w:tcPr>
          <w:p w14:paraId="550EA2DC" w14:textId="77777777" w:rsidR="00D17312" w:rsidRPr="000973F2" w:rsidRDefault="00D17312" w:rsidP="00E554AD">
            <w:pPr>
              <w:spacing w:before="40" w:after="40"/>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bCs w:val="0"/>
                <w:sz w:val="18"/>
                <w:szCs w:val="18"/>
              </w:rPr>
            </w:pPr>
            <w:r w:rsidRPr="000973F2">
              <w:rPr>
                <w:rFonts w:ascii="Times New Roman" w:eastAsia="Times New Roman" w:hAnsi="Times New Roman" w:cs="Times New Roman"/>
                <w:sz w:val="18"/>
                <w:szCs w:val="18"/>
              </w:rPr>
              <w:t>Total Capital and O&amp;M Cost per Year per Facility (2017$)</w:t>
            </w:r>
          </w:p>
        </w:tc>
      </w:tr>
      <w:tr w:rsidR="00D17312" w:rsidRPr="000973F2" w14:paraId="11E3C0E5" w14:textId="77777777" w:rsidTr="00E554AD">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1875" w:type="dxa"/>
            <w:vMerge/>
            <w:noWrap/>
            <w:hideMark/>
          </w:tcPr>
          <w:p w14:paraId="3BC3EB53" w14:textId="349243B6" w:rsidR="00D17312" w:rsidRPr="000973F2" w:rsidRDefault="00D17312" w:rsidP="00E554AD">
            <w:pPr>
              <w:spacing w:before="40" w:after="40"/>
              <w:jc w:val="center"/>
              <w:rPr>
                <w:rFonts w:ascii="Times New Roman" w:eastAsia="Times New Roman" w:hAnsi="Times New Roman" w:cs="Times New Roman"/>
                <w:b/>
                <w:bCs w:val="0"/>
                <w:sz w:val="18"/>
                <w:szCs w:val="18"/>
              </w:rPr>
            </w:pPr>
          </w:p>
        </w:tc>
        <w:tc>
          <w:tcPr>
            <w:tcW w:w="1242" w:type="dxa"/>
            <w:hideMark/>
          </w:tcPr>
          <w:p w14:paraId="66279582" w14:textId="77777777" w:rsidR="00D17312" w:rsidRPr="000973F2" w:rsidRDefault="00D17312" w:rsidP="00E554AD">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18"/>
                <w:szCs w:val="18"/>
              </w:rPr>
            </w:pPr>
            <w:r w:rsidRPr="000973F2">
              <w:rPr>
                <w:rFonts w:ascii="Times New Roman" w:eastAsia="Times New Roman" w:hAnsi="Times New Roman" w:cs="Times New Roman"/>
                <w:b/>
                <w:bCs/>
                <w:sz w:val="18"/>
                <w:szCs w:val="18"/>
              </w:rPr>
              <w:t>Capital Cost (2017$)</w:t>
            </w:r>
          </w:p>
        </w:tc>
        <w:tc>
          <w:tcPr>
            <w:tcW w:w="1243" w:type="dxa"/>
            <w:hideMark/>
          </w:tcPr>
          <w:p w14:paraId="179F8B93" w14:textId="77777777" w:rsidR="00D17312" w:rsidRPr="000973F2" w:rsidRDefault="00D17312" w:rsidP="00E554AD">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18"/>
                <w:szCs w:val="18"/>
              </w:rPr>
            </w:pPr>
            <w:r w:rsidRPr="000973F2">
              <w:rPr>
                <w:rFonts w:ascii="Times New Roman" w:eastAsia="Times New Roman" w:hAnsi="Times New Roman" w:cs="Times New Roman"/>
                <w:b/>
                <w:bCs/>
                <w:sz w:val="18"/>
                <w:szCs w:val="18"/>
              </w:rPr>
              <w:t>Equipment Lifetime</w:t>
            </w:r>
          </w:p>
        </w:tc>
        <w:tc>
          <w:tcPr>
            <w:tcW w:w="1242" w:type="dxa"/>
            <w:hideMark/>
          </w:tcPr>
          <w:p w14:paraId="5EBA36BB" w14:textId="77777777" w:rsidR="00D17312" w:rsidRPr="000973F2" w:rsidRDefault="00D17312" w:rsidP="00E554AD">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18"/>
                <w:szCs w:val="18"/>
              </w:rPr>
            </w:pPr>
            <w:r w:rsidRPr="000973F2">
              <w:rPr>
                <w:rFonts w:ascii="Times New Roman" w:eastAsia="Times New Roman" w:hAnsi="Times New Roman" w:cs="Times New Roman"/>
                <w:b/>
                <w:bCs/>
                <w:sz w:val="18"/>
                <w:szCs w:val="18"/>
              </w:rPr>
              <w:t>Annualized Capital Cost (2017$/year)</w:t>
            </w:r>
          </w:p>
        </w:tc>
        <w:tc>
          <w:tcPr>
            <w:tcW w:w="1223" w:type="dxa"/>
            <w:hideMark/>
          </w:tcPr>
          <w:p w14:paraId="28D283D8" w14:textId="77777777" w:rsidR="00D17312" w:rsidRPr="000973F2" w:rsidRDefault="00D17312" w:rsidP="00E554AD">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18"/>
                <w:szCs w:val="18"/>
              </w:rPr>
            </w:pPr>
            <w:r w:rsidRPr="000973F2">
              <w:rPr>
                <w:rFonts w:ascii="Times New Roman" w:eastAsia="Times New Roman" w:hAnsi="Times New Roman" w:cs="Times New Roman"/>
                <w:b/>
                <w:bCs/>
                <w:sz w:val="18"/>
                <w:szCs w:val="18"/>
              </w:rPr>
              <w:t>O&amp;M Costs (2017$/year)</w:t>
            </w:r>
          </w:p>
        </w:tc>
        <w:tc>
          <w:tcPr>
            <w:tcW w:w="1262" w:type="dxa"/>
            <w:hideMark/>
          </w:tcPr>
          <w:p w14:paraId="2F18BC21" w14:textId="6712ADFC" w:rsidR="00D17312" w:rsidRPr="000973F2" w:rsidRDefault="00D17312" w:rsidP="00E554AD">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18"/>
                <w:szCs w:val="18"/>
              </w:rPr>
            </w:pPr>
            <w:r w:rsidRPr="000973F2">
              <w:rPr>
                <w:rFonts w:ascii="Times New Roman" w:eastAsia="Times New Roman" w:hAnsi="Times New Roman" w:cs="Times New Roman"/>
                <w:b/>
                <w:bCs/>
                <w:sz w:val="18"/>
                <w:szCs w:val="18"/>
              </w:rPr>
              <w:t>Initial</w:t>
            </w:r>
            <w:r w:rsidR="00E554AD" w:rsidRPr="000973F2">
              <w:rPr>
                <w:rFonts w:ascii="Times New Roman" w:eastAsia="Times New Roman" w:hAnsi="Times New Roman" w:cs="Times New Roman"/>
                <w:b/>
                <w:bCs/>
                <w:sz w:val="18"/>
                <w:szCs w:val="18"/>
              </w:rPr>
              <w:br/>
            </w:r>
            <w:r w:rsidRPr="000973F2">
              <w:rPr>
                <w:rFonts w:ascii="Times New Roman" w:eastAsia="Times New Roman" w:hAnsi="Times New Roman" w:cs="Times New Roman"/>
                <w:b/>
                <w:bCs/>
                <w:sz w:val="18"/>
                <w:szCs w:val="18"/>
              </w:rPr>
              <w:t>Year</w:t>
            </w:r>
          </w:p>
        </w:tc>
        <w:tc>
          <w:tcPr>
            <w:tcW w:w="1243" w:type="dxa"/>
            <w:hideMark/>
          </w:tcPr>
          <w:p w14:paraId="62F5FC7A" w14:textId="77777777" w:rsidR="00D17312" w:rsidRPr="000973F2" w:rsidRDefault="00D17312" w:rsidP="00E554AD">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18"/>
                <w:szCs w:val="18"/>
              </w:rPr>
            </w:pPr>
            <w:r w:rsidRPr="000973F2">
              <w:rPr>
                <w:rFonts w:ascii="Times New Roman" w:eastAsia="Times New Roman" w:hAnsi="Times New Roman" w:cs="Times New Roman"/>
                <w:b/>
                <w:bCs/>
                <w:sz w:val="18"/>
                <w:szCs w:val="18"/>
              </w:rPr>
              <w:t>Subseq. Years</w:t>
            </w:r>
          </w:p>
        </w:tc>
      </w:tr>
      <w:tr w:rsidR="00E554AD" w:rsidRPr="000973F2" w14:paraId="18E089C8" w14:textId="77777777" w:rsidTr="00E554AD">
        <w:trPr>
          <w:cantSplit/>
        </w:trPr>
        <w:tc>
          <w:tcPr>
            <w:cnfStyle w:val="001000000000" w:firstRow="0" w:lastRow="0" w:firstColumn="1" w:lastColumn="0" w:oddVBand="0" w:evenVBand="0" w:oddHBand="0" w:evenHBand="0" w:firstRowFirstColumn="0" w:firstRowLastColumn="0" w:lastRowFirstColumn="0" w:lastRowLastColumn="0"/>
            <w:tcW w:w="1875" w:type="dxa"/>
            <w:hideMark/>
          </w:tcPr>
          <w:p w14:paraId="696BCC3C" w14:textId="77777777" w:rsidR="00E554AD" w:rsidRPr="000973F2" w:rsidRDefault="00E554AD" w:rsidP="00E554AD">
            <w:pPr>
              <w:spacing w:before="40" w:after="4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Equipment (selection, purchase, installation)</w:t>
            </w:r>
          </w:p>
        </w:tc>
        <w:tc>
          <w:tcPr>
            <w:tcW w:w="1242" w:type="dxa"/>
            <w:noWrap/>
            <w:hideMark/>
          </w:tcPr>
          <w:p w14:paraId="6786F8BB" w14:textId="128B587D" w:rsidR="00E554AD" w:rsidRPr="000973F2" w:rsidRDefault="00E554AD" w:rsidP="00E554AD">
            <w:pPr>
              <w:tabs>
                <w:tab w:val="decimal" w:pos="511"/>
              </w:tabs>
              <w:spacing w:before="40" w:after="4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w:t>
            </w:r>
          </w:p>
        </w:tc>
        <w:tc>
          <w:tcPr>
            <w:tcW w:w="1243" w:type="dxa"/>
            <w:noWrap/>
          </w:tcPr>
          <w:p w14:paraId="4000FD18" w14:textId="73F36B8D" w:rsidR="00E554AD" w:rsidRPr="000973F2" w:rsidRDefault="00E554AD" w:rsidP="00E554AD">
            <w:pPr>
              <w:tabs>
                <w:tab w:val="decimal" w:pos="511"/>
              </w:tabs>
              <w:spacing w:before="40" w:after="4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p>
        </w:tc>
        <w:tc>
          <w:tcPr>
            <w:tcW w:w="1242" w:type="dxa"/>
            <w:noWrap/>
            <w:hideMark/>
          </w:tcPr>
          <w:p w14:paraId="00FA4F6C" w14:textId="6C22E963" w:rsidR="00E554AD" w:rsidRPr="000973F2" w:rsidRDefault="00E554AD" w:rsidP="00E554AD">
            <w:pPr>
              <w:tabs>
                <w:tab w:val="decimal" w:pos="511"/>
              </w:tabs>
              <w:spacing w:before="40" w:after="4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w:t>
            </w:r>
          </w:p>
        </w:tc>
        <w:tc>
          <w:tcPr>
            <w:tcW w:w="1223" w:type="dxa"/>
            <w:noWrap/>
            <w:hideMark/>
          </w:tcPr>
          <w:p w14:paraId="1DC5A393" w14:textId="49B67992" w:rsidR="00E554AD" w:rsidRPr="000973F2" w:rsidRDefault="00E554AD" w:rsidP="00E554AD">
            <w:pPr>
              <w:tabs>
                <w:tab w:val="decimal" w:pos="751"/>
              </w:tabs>
              <w:spacing w:before="40" w:after="4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w:t>
            </w:r>
          </w:p>
        </w:tc>
        <w:tc>
          <w:tcPr>
            <w:tcW w:w="1262" w:type="dxa"/>
            <w:noWrap/>
            <w:hideMark/>
          </w:tcPr>
          <w:p w14:paraId="422100DD" w14:textId="13E6FF7F" w:rsidR="00E554AD" w:rsidRPr="000973F2" w:rsidRDefault="00E554AD" w:rsidP="00E554AD">
            <w:pPr>
              <w:tabs>
                <w:tab w:val="decimal" w:pos="511"/>
              </w:tabs>
              <w:spacing w:before="40" w:after="4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w:t>
            </w:r>
          </w:p>
        </w:tc>
        <w:tc>
          <w:tcPr>
            <w:tcW w:w="1243" w:type="dxa"/>
            <w:noWrap/>
            <w:hideMark/>
          </w:tcPr>
          <w:p w14:paraId="072B080D" w14:textId="393CA4E1" w:rsidR="00E554AD" w:rsidRPr="000973F2" w:rsidRDefault="00E554AD" w:rsidP="00E554AD">
            <w:pPr>
              <w:tabs>
                <w:tab w:val="decimal" w:pos="691"/>
              </w:tabs>
              <w:spacing w:before="40" w:after="4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w:t>
            </w:r>
          </w:p>
        </w:tc>
      </w:tr>
      <w:tr w:rsidR="00E554AD" w:rsidRPr="000973F2" w14:paraId="1B5DCA3E" w14:textId="77777777" w:rsidTr="00E554AD">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1875" w:type="dxa"/>
            <w:hideMark/>
          </w:tcPr>
          <w:p w14:paraId="791273D4" w14:textId="77777777" w:rsidR="00E554AD" w:rsidRPr="000973F2" w:rsidRDefault="00E554AD" w:rsidP="00E554AD">
            <w:pPr>
              <w:spacing w:before="40" w:after="4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Performance testing</w:t>
            </w:r>
          </w:p>
        </w:tc>
        <w:tc>
          <w:tcPr>
            <w:tcW w:w="1242" w:type="dxa"/>
            <w:noWrap/>
            <w:hideMark/>
          </w:tcPr>
          <w:p w14:paraId="53F2725E" w14:textId="3650EF85" w:rsidR="00E554AD" w:rsidRPr="000973F2" w:rsidRDefault="00E554AD" w:rsidP="00E554AD">
            <w:pPr>
              <w:tabs>
                <w:tab w:val="decimal" w:pos="511"/>
              </w:tabs>
              <w:spacing w:before="40" w:after="4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w:t>
            </w:r>
          </w:p>
        </w:tc>
        <w:tc>
          <w:tcPr>
            <w:tcW w:w="1243" w:type="dxa"/>
            <w:noWrap/>
          </w:tcPr>
          <w:p w14:paraId="171A5EC9" w14:textId="5C71F376" w:rsidR="00E554AD" w:rsidRPr="000973F2" w:rsidRDefault="00E554AD" w:rsidP="00E554AD">
            <w:pPr>
              <w:tabs>
                <w:tab w:val="decimal" w:pos="511"/>
              </w:tabs>
              <w:spacing w:before="40" w:after="4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p>
        </w:tc>
        <w:tc>
          <w:tcPr>
            <w:tcW w:w="1242" w:type="dxa"/>
            <w:noWrap/>
            <w:hideMark/>
          </w:tcPr>
          <w:p w14:paraId="69B3084E" w14:textId="19BB39DF" w:rsidR="00E554AD" w:rsidRPr="000973F2" w:rsidRDefault="00E554AD" w:rsidP="00E554AD">
            <w:pPr>
              <w:tabs>
                <w:tab w:val="decimal" w:pos="511"/>
              </w:tabs>
              <w:spacing w:before="40" w:after="4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w:t>
            </w:r>
          </w:p>
        </w:tc>
        <w:tc>
          <w:tcPr>
            <w:tcW w:w="1223" w:type="dxa"/>
            <w:noWrap/>
            <w:hideMark/>
          </w:tcPr>
          <w:p w14:paraId="14527686" w14:textId="7CD13E9B" w:rsidR="00E554AD" w:rsidRPr="000973F2" w:rsidRDefault="00E554AD" w:rsidP="00E554AD">
            <w:pPr>
              <w:tabs>
                <w:tab w:val="decimal" w:pos="751"/>
              </w:tabs>
              <w:spacing w:before="40" w:after="4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w:t>
            </w:r>
          </w:p>
        </w:tc>
        <w:tc>
          <w:tcPr>
            <w:tcW w:w="1262" w:type="dxa"/>
            <w:noWrap/>
            <w:hideMark/>
          </w:tcPr>
          <w:p w14:paraId="3A99B285" w14:textId="189863FF" w:rsidR="00E554AD" w:rsidRPr="000973F2" w:rsidRDefault="00E554AD" w:rsidP="00E554AD">
            <w:pPr>
              <w:tabs>
                <w:tab w:val="decimal" w:pos="511"/>
              </w:tabs>
              <w:spacing w:before="40" w:after="4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w:t>
            </w:r>
          </w:p>
        </w:tc>
        <w:tc>
          <w:tcPr>
            <w:tcW w:w="1243" w:type="dxa"/>
            <w:noWrap/>
            <w:hideMark/>
          </w:tcPr>
          <w:p w14:paraId="356268DE" w14:textId="7694ECD0" w:rsidR="00E554AD" w:rsidRPr="000973F2" w:rsidRDefault="00E554AD" w:rsidP="00E554AD">
            <w:pPr>
              <w:tabs>
                <w:tab w:val="decimal" w:pos="691"/>
              </w:tabs>
              <w:spacing w:before="40" w:after="4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w:t>
            </w:r>
          </w:p>
        </w:tc>
      </w:tr>
      <w:tr w:rsidR="00F00C04" w:rsidRPr="000973F2" w14:paraId="4238C742" w14:textId="77777777" w:rsidTr="00E554AD">
        <w:trPr>
          <w:cantSplit/>
        </w:trPr>
        <w:tc>
          <w:tcPr>
            <w:cnfStyle w:val="001000000000" w:firstRow="0" w:lastRow="0" w:firstColumn="1" w:lastColumn="0" w:oddVBand="0" w:evenVBand="0" w:oddHBand="0" w:evenHBand="0" w:firstRowFirstColumn="0" w:firstRowLastColumn="0" w:lastRowFirstColumn="0" w:lastRowLastColumn="0"/>
            <w:tcW w:w="1875" w:type="dxa"/>
            <w:hideMark/>
          </w:tcPr>
          <w:p w14:paraId="78246BD6" w14:textId="77777777" w:rsidR="00D0059E" w:rsidRPr="000973F2" w:rsidRDefault="00D0059E" w:rsidP="00E554AD">
            <w:pPr>
              <w:spacing w:before="40" w:after="4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Recordkeeping</w:t>
            </w:r>
          </w:p>
        </w:tc>
        <w:tc>
          <w:tcPr>
            <w:tcW w:w="1242" w:type="dxa"/>
            <w:noWrap/>
            <w:hideMark/>
          </w:tcPr>
          <w:p w14:paraId="2849DD3D" w14:textId="77777777" w:rsidR="00D0059E" w:rsidRPr="000973F2" w:rsidRDefault="00D0059E" w:rsidP="00E554AD">
            <w:pPr>
              <w:tabs>
                <w:tab w:val="decimal" w:pos="511"/>
              </w:tabs>
              <w:spacing w:before="40" w:after="4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$0</w:t>
            </w:r>
          </w:p>
        </w:tc>
        <w:tc>
          <w:tcPr>
            <w:tcW w:w="1243" w:type="dxa"/>
            <w:noWrap/>
          </w:tcPr>
          <w:p w14:paraId="34B9479A" w14:textId="77777777" w:rsidR="00D0059E" w:rsidRPr="000973F2" w:rsidRDefault="00D0059E" w:rsidP="00E554AD">
            <w:pPr>
              <w:tabs>
                <w:tab w:val="decimal" w:pos="511"/>
              </w:tabs>
              <w:spacing w:before="40" w:after="4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p>
        </w:tc>
        <w:tc>
          <w:tcPr>
            <w:tcW w:w="1242" w:type="dxa"/>
            <w:noWrap/>
            <w:hideMark/>
          </w:tcPr>
          <w:p w14:paraId="42FC9BA3" w14:textId="77777777" w:rsidR="00D0059E" w:rsidRPr="000973F2" w:rsidRDefault="00D0059E" w:rsidP="00E554AD">
            <w:pPr>
              <w:tabs>
                <w:tab w:val="decimal" w:pos="511"/>
              </w:tabs>
              <w:spacing w:before="40" w:after="4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$0</w:t>
            </w:r>
          </w:p>
        </w:tc>
        <w:tc>
          <w:tcPr>
            <w:tcW w:w="1223" w:type="dxa"/>
            <w:noWrap/>
            <w:hideMark/>
          </w:tcPr>
          <w:p w14:paraId="6FEB9AFF" w14:textId="77777777" w:rsidR="00D0059E" w:rsidRPr="000973F2" w:rsidRDefault="00D0059E" w:rsidP="00E554AD">
            <w:pPr>
              <w:tabs>
                <w:tab w:val="decimal" w:pos="751"/>
              </w:tabs>
              <w:spacing w:before="40" w:after="4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$50</w:t>
            </w:r>
          </w:p>
        </w:tc>
        <w:tc>
          <w:tcPr>
            <w:tcW w:w="1262" w:type="dxa"/>
            <w:noWrap/>
            <w:hideMark/>
          </w:tcPr>
          <w:p w14:paraId="3CA62039" w14:textId="77777777" w:rsidR="00D0059E" w:rsidRPr="000973F2" w:rsidRDefault="00D0059E" w:rsidP="00E554AD">
            <w:pPr>
              <w:tabs>
                <w:tab w:val="decimal" w:pos="511"/>
              </w:tabs>
              <w:spacing w:before="40" w:after="4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$0</w:t>
            </w:r>
          </w:p>
        </w:tc>
        <w:tc>
          <w:tcPr>
            <w:tcW w:w="1243" w:type="dxa"/>
            <w:noWrap/>
            <w:hideMark/>
          </w:tcPr>
          <w:p w14:paraId="4C2F00A6" w14:textId="77777777" w:rsidR="00D0059E" w:rsidRPr="000973F2" w:rsidRDefault="00D0059E" w:rsidP="00E554AD">
            <w:pPr>
              <w:tabs>
                <w:tab w:val="decimal" w:pos="691"/>
              </w:tabs>
              <w:spacing w:before="40" w:after="4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$50</w:t>
            </w:r>
          </w:p>
        </w:tc>
      </w:tr>
      <w:tr w:rsidR="00E554AD" w:rsidRPr="000973F2" w14:paraId="4A252450" w14:textId="77777777" w:rsidTr="00E554AD">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1875" w:type="dxa"/>
            <w:hideMark/>
          </w:tcPr>
          <w:p w14:paraId="1740F87C" w14:textId="77777777" w:rsidR="00E554AD" w:rsidRPr="000973F2" w:rsidRDefault="00E554AD" w:rsidP="00E554AD">
            <w:pPr>
              <w:spacing w:before="40" w:after="4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Travel</w:t>
            </w:r>
          </w:p>
        </w:tc>
        <w:tc>
          <w:tcPr>
            <w:tcW w:w="1242" w:type="dxa"/>
            <w:noWrap/>
            <w:hideMark/>
          </w:tcPr>
          <w:p w14:paraId="328967CB" w14:textId="5C7A895C" w:rsidR="00E554AD" w:rsidRPr="000973F2" w:rsidRDefault="00E554AD" w:rsidP="00E554AD">
            <w:pPr>
              <w:tabs>
                <w:tab w:val="decimal" w:pos="511"/>
              </w:tabs>
              <w:spacing w:before="40" w:after="4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w:t>
            </w:r>
          </w:p>
        </w:tc>
        <w:tc>
          <w:tcPr>
            <w:tcW w:w="1243" w:type="dxa"/>
            <w:noWrap/>
          </w:tcPr>
          <w:p w14:paraId="5C5F99CE" w14:textId="1A95DDCC" w:rsidR="00E554AD" w:rsidRPr="000973F2" w:rsidRDefault="00E554AD" w:rsidP="00E554AD">
            <w:pPr>
              <w:tabs>
                <w:tab w:val="decimal" w:pos="511"/>
              </w:tabs>
              <w:spacing w:before="40" w:after="4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p>
        </w:tc>
        <w:tc>
          <w:tcPr>
            <w:tcW w:w="1242" w:type="dxa"/>
            <w:noWrap/>
            <w:hideMark/>
          </w:tcPr>
          <w:p w14:paraId="5A9C637A" w14:textId="6FDAE765" w:rsidR="00E554AD" w:rsidRPr="000973F2" w:rsidRDefault="00E554AD" w:rsidP="00E554AD">
            <w:pPr>
              <w:tabs>
                <w:tab w:val="decimal" w:pos="511"/>
              </w:tabs>
              <w:spacing w:before="40" w:after="4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w:t>
            </w:r>
          </w:p>
        </w:tc>
        <w:tc>
          <w:tcPr>
            <w:tcW w:w="1223" w:type="dxa"/>
            <w:noWrap/>
            <w:hideMark/>
          </w:tcPr>
          <w:p w14:paraId="3CA131E3" w14:textId="65D02AB3" w:rsidR="00E554AD" w:rsidRPr="000973F2" w:rsidRDefault="00E554AD" w:rsidP="00E554AD">
            <w:pPr>
              <w:tabs>
                <w:tab w:val="decimal" w:pos="751"/>
              </w:tabs>
              <w:spacing w:before="40" w:after="4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w:t>
            </w:r>
          </w:p>
        </w:tc>
        <w:tc>
          <w:tcPr>
            <w:tcW w:w="1262" w:type="dxa"/>
            <w:noWrap/>
            <w:hideMark/>
          </w:tcPr>
          <w:p w14:paraId="0F03A0E4" w14:textId="525323A8" w:rsidR="00E554AD" w:rsidRPr="000973F2" w:rsidRDefault="00E554AD" w:rsidP="00E554AD">
            <w:pPr>
              <w:tabs>
                <w:tab w:val="decimal" w:pos="511"/>
              </w:tabs>
              <w:spacing w:before="40" w:after="4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w:t>
            </w:r>
          </w:p>
        </w:tc>
        <w:tc>
          <w:tcPr>
            <w:tcW w:w="1243" w:type="dxa"/>
            <w:noWrap/>
            <w:hideMark/>
          </w:tcPr>
          <w:p w14:paraId="194012FD" w14:textId="3CCF3365" w:rsidR="00E554AD" w:rsidRPr="000973F2" w:rsidRDefault="00E554AD" w:rsidP="00E554AD">
            <w:pPr>
              <w:tabs>
                <w:tab w:val="decimal" w:pos="691"/>
              </w:tabs>
              <w:spacing w:before="40" w:after="4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w:t>
            </w:r>
          </w:p>
        </w:tc>
      </w:tr>
      <w:tr w:rsidR="00150C73" w:rsidRPr="000973F2" w14:paraId="1E74ADDE" w14:textId="77777777" w:rsidTr="00E554AD">
        <w:trPr>
          <w:cantSplit/>
        </w:trPr>
        <w:tc>
          <w:tcPr>
            <w:cnfStyle w:val="001000000000" w:firstRow="0" w:lastRow="0" w:firstColumn="1" w:lastColumn="0" w:oddVBand="0" w:evenVBand="0" w:oddHBand="0" w:evenHBand="0" w:firstRowFirstColumn="0" w:firstRowLastColumn="0" w:lastRowFirstColumn="0" w:lastRowLastColumn="0"/>
            <w:tcW w:w="1875" w:type="dxa"/>
            <w:hideMark/>
          </w:tcPr>
          <w:p w14:paraId="0DEEF7F1" w14:textId="33555C61" w:rsidR="00D0059E" w:rsidRPr="000973F2" w:rsidRDefault="00D0059E" w:rsidP="00E554AD">
            <w:pPr>
              <w:spacing w:before="40" w:after="4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 xml:space="preserve">Sampling </w:t>
            </w:r>
            <w:r w:rsidR="00321129" w:rsidRPr="000973F2">
              <w:rPr>
                <w:rFonts w:ascii="Times New Roman" w:eastAsia="Times New Roman" w:hAnsi="Times New Roman" w:cs="Times New Roman"/>
                <w:sz w:val="18"/>
                <w:szCs w:val="18"/>
              </w:rPr>
              <w:t xml:space="preserve">and Analysis </w:t>
            </w:r>
            <w:r w:rsidRPr="000973F2">
              <w:rPr>
                <w:rFonts w:ascii="Times New Roman" w:eastAsia="Times New Roman" w:hAnsi="Times New Roman" w:cs="Times New Roman"/>
                <w:sz w:val="18"/>
                <w:szCs w:val="18"/>
              </w:rPr>
              <w:t>Costs</w:t>
            </w:r>
          </w:p>
        </w:tc>
        <w:tc>
          <w:tcPr>
            <w:tcW w:w="1242" w:type="dxa"/>
            <w:noWrap/>
            <w:hideMark/>
          </w:tcPr>
          <w:p w14:paraId="23AA9B17" w14:textId="77777777" w:rsidR="00D0059E" w:rsidRPr="000973F2" w:rsidRDefault="00D0059E" w:rsidP="00E554AD">
            <w:pPr>
              <w:tabs>
                <w:tab w:val="decimal" w:pos="511"/>
              </w:tabs>
              <w:spacing w:before="40" w:after="4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$0</w:t>
            </w:r>
          </w:p>
        </w:tc>
        <w:tc>
          <w:tcPr>
            <w:tcW w:w="1243" w:type="dxa"/>
            <w:noWrap/>
          </w:tcPr>
          <w:p w14:paraId="630C8038" w14:textId="77777777" w:rsidR="00D0059E" w:rsidRPr="000973F2" w:rsidRDefault="00D0059E" w:rsidP="00E554AD">
            <w:pPr>
              <w:tabs>
                <w:tab w:val="decimal" w:pos="511"/>
              </w:tabs>
              <w:spacing w:before="40" w:after="4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p>
        </w:tc>
        <w:tc>
          <w:tcPr>
            <w:tcW w:w="1242" w:type="dxa"/>
            <w:noWrap/>
            <w:hideMark/>
          </w:tcPr>
          <w:p w14:paraId="719FCD64" w14:textId="77777777" w:rsidR="00D0059E" w:rsidRPr="000973F2" w:rsidRDefault="00D0059E" w:rsidP="00E554AD">
            <w:pPr>
              <w:tabs>
                <w:tab w:val="decimal" w:pos="511"/>
              </w:tabs>
              <w:spacing w:before="40" w:after="4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$0</w:t>
            </w:r>
          </w:p>
        </w:tc>
        <w:tc>
          <w:tcPr>
            <w:tcW w:w="1223" w:type="dxa"/>
            <w:noWrap/>
            <w:hideMark/>
          </w:tcPr>
          <w:p w14:paraId="1A97687F" w14:textId="77777777" w:rsidR="00D0059E" w:rsidRPr="000973F2" w:rsidRDefault="00D0059E" w:rsidP="00E554AD">
            <w:pPr>
              <w:tabs>
                <w:tab w:val="decimal" w:pos="751"/>
              </w:tabs>
              <w:spacing w:before="40" w:after="4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$1,350</w:t>
            </w:r>
          </w:p>
        </w:tc>
        <w:tc>
          <w:tcPr>
            <w:tcW w:w="1262" w:type="dxa"/>
            <w:noWrap/>
            <w:hideMark/>
          </w:tcPr>
          <w:p w14:paraId="3D908AA8" w14:textId="77777777" w:rsidR="00D0059E" w:rsidRPr="000973F2" w:rsidRDefault="00D0059E" w:rsidP="00E554AD">
            <w:pPr>
              <w:tabs>
                <w:tab w:val="decimal" w:pos="511"/>
              </w:tabs>
              <w:spacing w:before="40" w:after="4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$0</w:t>
            </w:r>
          </w:p>
        </w:tc>
        <w:tc>
          <w:tcPr>
            <w:tcW w:w="1243" w:type="dxa"/>
            <w:noWrap/>
            <w:hideMark/>
          </w:tcPr>
          <w:p w14:paraId="6D24238C" w14:textId="77777777" w:rsidR="00D0059E" w:rsidRPr="000973F2" w:rsidRDefault="00D0059E" w:rsidP="00E554AD">
            <w:pPr>
              <w:tabs>
                <w:tab w:val="decimal" w:pos="691"/>
              </w:tabs>
              <w:spacing w:before="40" w:after="4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$1,350</w:t>
            </w:r>
          </w:p>
        </w:tc>
      </w:tr>
      <w:tr w:rsidR="00F00C04" w:rsidRPr="000973F2" w14:paraId="716705E9" w14:textId="77777777" w:rsidTr="00E554AD">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1875" w:type="dxa"/>
            <w:hideMark/>
          </w:tcPr>
          <w:p w14:paraId="7D3EE8CC" w14:textId="77777777" w:rsidR="00D0059E" w:rsidRPr="000973F2" w:rsidRDefault="00D0059E" w:rsidP="00E554AD">
            <w:pPr>
              <w:spacing w:before="40" w:after="40"/>
              <w:rPr>
                <w:rFonts w:ascii="Times New Roman" w:eastAsia="Times New Roman" w:hAnsi="Times New Roman" w:cs="Times New Roman"/>
                <w:b/>
                <w:bCs w:val="0"/>
                <w:sz w:val="18"/>
                <w:szCs w:val="18"/>
              </w:rPr>
            </w:pPr>
            <w:r w:rsidRPr="000973F2">
              <w:rPr>
                <w:rFonts w:ascii="Times New Roman" w:eastAsia="Times New Roman" w:hAnsi="Times New Roman" w:cs="Times New Roman"/>
                <w:b/>
                <w:sz w:val="18"/>
                <w:szCs w:val="18"/>
              </w:rPr>
              <w:t xml:space="preserve">Total </w:t>
            </w:r>
          </w:p>
        </w:tc>
        <w:tc>
          <w:tcPr>
            <w:tcW w:w="1242" w:type="dxa"/>
            <w:noWrap/>
            <w:hideMark/>
          </w:tcPr>
          <w:p w14:paraId="7175E16D" w14:textId="77777777" w:rsidR="00D0059E" w:rsidRPr="000973F2" w:rsidRDefault="00D0059E" w:rsidP="00E554AD">
            <w:pPr>
              <w:tabs>
                <w:tab w:val="decimal" w:pos="511"/>
              </w:tabs>
              <w:spacing w:before="40" w:after="4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sz w:val="18"/>
                <w:szCs w:val="18"/>
              </w:rPr>
            </w:pPr>
            <w:r w:rsidRPr="000973F2">
              <w:rPr>
                <w:rFonts w:ascii="Times New Roman" w:eastAsia="Times New Roman" w:hAnsi="Times New Roman" w:cs="Times New Roman"/>
                <w:b/>
                <w:sz w:val="18"/>
                <w:szCs w:val="18"/>
              </w:rPr>
              <w:t>$0</w:t>
            </w:r>
          </w:p>
        </w:tc>
        <w:tc>
          <w:tcPr>
            <w:tcW w:w="1243" w:type="dxa"/>
            <w:noWrap/>
            <w:hideMark/>
          </w:tcPr>
          <w:p w14:paraId="52561499" w14:textId="77777777" w:rsidR="00D0059E" w:rsidRPr="000973F2" w:rsidRDefault="00D0059E" w:rsidP="00E554AD">
            <w:pPr>
              <w:tabs>
                <w:tab w:val="decimal" w:pos="511"/>
              </w:tabs>
              <w:spacing w:before="40" w:after="4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sz w:val="18"/>
                <w:szCs w:val="18"/>
              </w:rPr>
            </w:pPr>
            <w:r w:rsidRPr="000973F2">
              <w:rPr>
                <w:rFonts w:ascii="Times New Roman" w:eastAsia="Times New Roman" w:hAnsi="Times New Roman" w:cs="Times New Roman"/>
                <w:b/>
                <w:sz w:val="18"/>
                <w:szCs w:val="18"/>
              </w:rPr>
              <w:t> </w:t>
            </w:r>
          </w:p>
        </w:tc>
        <w:tc>
          <w:tcPr>
            <w:tcW w:w="1242" w:type="dxa"/>
            <w:noWrap/>
            <w:hideMark/>
          </w:tcPr>
          <w:p w14:paraId="4B61111D" w14:textId="77777777" w:rsidR="00D0059E" w:rsidRPr="000973F2" w:rsidRDefault="00D0059E" w:rsidP="00E554AD">
            <w:pPr>
              <w:tabs>
                <w:tab w:val="decimal" w:pos="511"/>
              </w:tabs>
              <w:spacing w:before="40" w:after="4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sz w:val="18"/>
                <w:szCs w:val="18"/>
              </w:rPr>
            </w:pPr>
            <w:r w:rsidRPr="000973F2">
              <w:rPr>
                <w:rFonts w:ascii="Times New Roman" w:eastAsia="Times New Roman" w:hAnsi="Times New Roman" w:cs="Times New Roman"/>
                <w:b/>
                <w:sz w:val="18"/>
                <w:szCs w:val="18"/>
              </w:rPr>
              <w:t>$0</w:t>
            </w:r>
          </w:p>
        </w:tc>
        <w:tc>
          <w:tcPr>
            <w:tcW w:w="1223" w:type="dxa"/>
            <w:noWrap/>
            <w:hideMark/>
          </w:tcPr>
          <w:p w14:paraId="65DA7613" w14:textId="77777777" w:rsidR="00D0059E" w:rsidRPr="000973F2" w:rsidRDefault="00D0059E" w:rsidP="00E554AD">
            <w:pPr>
              <w:tabs>
                <w:tab w:val="decimal" w:pos="751"/>
              </w:tabs>
              <w:spacing w:before="40" w:after="4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sz w:val="18"/>
                <w:szCs w:val="18"/>
              </w:rPr>
            </w:pPr>
            <w:r w:rsidRPr="000973F2">
              <w:rPr>
                <w:rFonts w:ascii="Times New Roman" w:eastAsia="Times New Roman" w:hAnsi="Times New Roman" w:cs="Times New Roman"/>
                <w:b/>
                <w:sz w:val="18"/>
                <w:szCs w:val="18"/>
              </w:rPr>
              <w:t>$1,400</w:t>
            </w:r>
          </w:p>
        </w:tc>
        <w:tc>
          <w:tcPr>
            <w:tcW w:w="1262" w:type="dxa"/>
            <w:noWrap/>
            <w:hideMark/>
          </w:tcPr>
          <w:p w14:paraId="08F0B05D" w14:textId="77777777" w:rsidR="00D0059E" w:rsidRPr="000973F2" w:rsidRDefault="00D0059E" w:rsidP="00E554AD">
            <w:pPr>
              <w:tabs>
                <w:tab w:val="decimal" w:pos="511"/>
              </w:tabs>
              <w:spacing w:before="40" w:after="4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sz w:val="18"/>
                <w:szCs w:val="18"/>
              </w:rPr>
            </w:pPr>
            <w:r w:rsidRPr="000973F2">
              <w:rPr>
                <w:rFonts w:ascii="Times New Roman" w:eastAsia="Times New Roman" w:hAnsi="Times New Roman" w:cs="Times New Roman"/>
                <w:b/>
                <w:sz w:val="18"/>
                <w:szCs w:val="18"/>
              </w:rPr>
              <w:t>$0</w:t>
            </w:r>
          </w:p>
        </w:tc>
        <w:tc>
          <w:tcPr>
            <w:tcW w:w="1243" w:type="dxa"/>
            <w:noWrap/>
            <w:hideMark/>
          </w:tcPr>
          <w:p w14:paraId="14AAA41F" w14:textId="77777777" w:rsidR="00D0059E" w:rsidRPr="000973F2" w:rsidRDefault="00D0059E" w:rsidP="00E554AD">
            <w:pPr>
              <w:tabs>
                <w:tab w:val="decimal" w:pos="691"/>
              </w:tabs>
              <w:spacing w:before="40" w:after="4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sz w:val="18"/>
                <w:szCs w:val="18"/>
              </w:rPr>
            </w:pPr>
            <w:r w:rsidRPr="000973F2">
              <w:rPr>
                <w:rFonts w:ascii="Times New Roman" w:eastAsia="Times New Roman" w:hAnsi="Times New Roman" w:cs="Times New Roman"/>
                <w:b/>
                <w:sz w:val="18"/>
                <w:szCs w:val="18"/>
              </w:rPr>
              <w:t>$1,400</w:t>
            </w:r>
          </w:p>
        </w:tc>
      </w:tr>
    </w:tbl>
    <w:p w14:paraId="6AD9F1AE" w14:textId="77777777" w:rsidR="00D0059E" w:rsidRPr="000973F2" w:rsidRDefault="00D0059E" w:rsidP="004671A3">
      <w:pPr>
        <w:pStyle w:val="AfterTable"/>
      </w:pPr>
    </w:p>
    <w:p w14:paraId="4619872A" w14:textId="77777777" w:rsidR="00D0059E" w:rsidRPr="000973F2" w:rsidRDefault="00D0059E" w:rsidP="00E554AD">
      <w:pPr>
        <w:pStyle w:val="Heading2"/>
      </w:pPr>
      <w:r w:rsidRPr="000973F2">
        <w:t>Total Costs for Subpart GG</w:t>
      </w:r>
    </w:p>
    <w:p w14:paraId="5C631FE9" w14:textId="2257B46D" w:rsidR="00D0059E" w:rsidRPr="000973F2" w:rsidRDefault="00D0059E" w:rsidP="00E554AD">
      <w:pPr>
        <w:pStyle w:val="BodyText"/>
      </w:pPr>
      <w:r w:rsidRPr="000973F2">
        <w:t>The total industry costs related to Subpart GG are approximately $1</w:t>
      </w:r>
      <w:r w:rsidR="00470CE2" w:rsidRPr="000973F2">
        <w:t>8</w:t>
      </w:r>
      <w:r w:rsidRPr="000973F2">
        <w:t>,</w:t>
      </w:r>
      <w:r w:rsidR="00470CE2" w:rsidRPr="000973F2">
        <w:t>6</w:t>
      </w:r>
      <w:r w:rsidRPr="000973F2">
        <w:t>00 per year for a total of $56,000 over the three-year period of the ICR. Five facilities are expected to report in 2019, 2020, and 2021.</w:t>
      </w:r>
      <w:r w:rsidRPr="000973F2" w:rsidDel="00754D07">
        <w:t xml:space="preserve"> </w:t>
      </w:r>
    </w:p>
    <w:p w14:paraId="77DFB558" w14:textId="4592EA68" w:rsidR="00D0059E" w:rsidRPr="000973F2" w:rsidRDefault="00D0059E" w:rsidP="00C00E4F">
      <w:pPr>
        <w:spacing w:line="240" w:lineRule="auto"/>
        <w:rPr>
          <w:rFonts w:ascii="Times New Roman" w:hAnsi="Times New Roman" w:cs="Times New Roman"/>
        </w:rPr>
      </w:pPr>
      <w:r w:rsidRPr="000973F2">
        <w:rPr>
          <w:rFonts w:ascii="Times New Roman" w:hAnsi="Times New Roman" w:cs="Times New Roman"/>
        </w:rPr>
        <w:br w:type="page"/>
      </w:r>
    </w:p>
    <w:p w14:paraId="21E9AC12" w14:textId="77777777" w:rsidR="00D177BB" w:rsidRPr="000973F2" w:rsidRDefault="00D177BB" w:rsidP="00EA6D47">
      <w:pPr>
        <w:pStyle w:val="Heading1"/>
      </w:pPr>
      <w:bookmarkStart w:id="61" w:name="_Toc10715625"/>
      <w:r w:rsidRPr="000973F2">
        <w:t>Cost Appendix for Subpart HH – Municipal Solid Waste Landfills</w:t>
      </w:r>
      <w:bookmarkEnd w:id="61"/>
    </w:p>
    <w:p w14:paraId="1C7AECBB" w14:textId="77777777" w:rsidR="00D177BB" w:rsidRPr="000973F2" w:rsidRDefault="00D177BB" w:rsidP="00EA6D47">
      <w:pPr>
        <w:pStyle w:val="Heading2"/>
      </w:pPr>
      <w:r w:rsidRPr="000973F2">
        <w:t>Description of Subpart HH</w:t>
      </w:r>
    </w:p>
    <w:p w14:paraId="32D892A2" w14:textId="77777777" w:rsidR="00D177BB" w:rsidRPr="000973F2" w:rsidRDefault="00D177BB" w:rsidP="00EA6D47">
      <w:pPr>
        <w:pStyle w:val="BodyText"/>
      </w:pPr>
      <w:r w:rsidRPr="000973F2">
        <w:t>For purposes of the GHGRP, municipal solid waste landfills consist of landfills, landfill gas collection systems, and landfill gas destruction devices at municipal solid waste facilities which generate methane in amounts equivalent to 25,000 metric tons or CO</w:t>
      </w:r>
      <w:r w:rsidRPr="000973F2">
        <w:rPr>
          <w:vertAlign w:val="subscript"/>
        </w:rPr>
        <w:t>2</w:t>
      </w:r>
      <w:r w:rsidRPr="000973F2">
        <w:t>e or more per year. This subpart does not include Resource Conservation and Recovery Act (RCRA) Subtitle C or Toxic Substances Control Act (TSCA) hazardous waste landfills, construction and demolition landfills, or industrial landfills that do not receive household waste.</w:t>
      </w:r>
    </w:p>
    <w:p w14:paraId="397E1C61" w14:textId="5EBD2AC7" w:rsidR="00D177BB" w:rsidRPr="000973F2" w:rsidRDefault="00D177BB" w:rsidP="00EA6D47">
      <w:pPr>
        <w:pStyle w:val="BodyText"/>
      </w:pPr>
      <w:r w:rsidRPr="000973F2">
        <w:t xml:space="preserve">Facilities reporting to Subpart HH fall into one of two major categories: landfills with gas collection and landfills without gas collection. Regardless of gas collection, each landfill reporting to Subpart HH must collect and report data on their yearly waste disposal amounts and waste composition; calculate their methane generation using a model; and then adjust that amount for the </w:t>
      </w:r>
      <w:r w:rsidR="005B76DE" w:rsidRPr="000973F2">
        <w:t xml:space="preserve">estimated amount of </w:t>
      </w:r>
      <w:r w:rsidRPr="000973F2">
        <w:t>methane that is oxidized through the soil cover. Landfills with gas collection must also monitor and report the landfill gas flow and methane concentration, as well as account for the amount of methane sent to destruction devices whether the gas is flared, used beneficially on</w:t>
      </w:r>
      <w:r w:rsidR="00051F9B">
        <w:t xml:space="preserve"> </w:t>
      </w:r>
      <w:r w:rsidRPr="000973F2">
        <w:t>site (e.g., to generate power via an engine or turbine) and/or piped off</w:t>
      </w:r>
      <w:r w:rsidR="00051F9B">
        <w:t xml:space="preserve"> </w:t>
      </w:r>
      <w:r w:rsidRPr="000973F2">
        <w:t xml:space="preserve">site. </w:t>
      </w:r>
    </w:p>
    <w:p w14:paraId="361392AD" w14:textId="0CED5795" w:rsidR="00D177BB" w:rsidRPr="000973F2" w:rsidRDefault="00D177BB" w:rsidP="00EA6D47">
      <w:pPr>
        <w:pStyle w:val="BodyText"/>
      </w:pPr>
      <w:r w:rsidRPr="000973F2">
        <w:t xml:space="preserve">There were 1,134 facilities that reported to Subpart HH in RY2017. Of these, 843 had a gas collection system and 291 did not. From 2011 to 2014, about 15 new facilities reported to Subpart HH each year. In 2015, the number of new facilities declined to only 4 facilities, but then began trending upward again in 2016 and 2017. It is estimated that there will be a total of 6 new facilities reporting to Subpart HH in </w:t>
      </w:r>
      <w:r w:rsidR="0056034B" w:rsidRPr="000973F2">
        <w:t>RY</w:t>
      </w:r>
      <w:r w:rsidRPr="000973F2">
        <w:t xml:space="preserve">2019 (4 with a gas collection system), 4 new facilities reporting in </w:t>
      </w:r>
      <w:r w:rsidR="0056034B" w:rsidRPr="000973F2">
        <w:t>RY</w:t>
      </w:r>
      <w:r w:rsidRPr="000973F2">
        <w:t xml:space="preserve">2020 (3 with a gas collection system), and 3 new facilities reporting in </w:t>
      </w:r>
      <w:r w:rsidR="0056034B" w:rsidRPr="000973F2">
        <w:t>RY</w:t>
      </w:r>
      <w:r w:rsidRPr="000973F2">
        <w:t>2021</w:t>
      </w:r>
      <w:r w:rsidR="00FD5E97" w:rsidRPr="000973F2">
        <w:t xml:space="preserve">, </w:t>
      </w:r>
      <w:r w:rsidRPr="000973F2">
        <w:t>all with gas collection systems</w:t>
      </w:r>
      <w:r w:rsidR="00FD5E97" w:rsidRPr="000973F2">
        <w:t xml:space="preserve"> (Table </w:t>
      </w:r>
      <w:r w:rsidR="00EA6D47" w:rsidRPr="000973F2">
        <w:t>HH-</w:t>
      </w:r>
      <w:r w:rsidR="00FD5E97" w:rsidRPr="000973F2">
        <w:t>1)</w:t>
      </w:r>
      <w:r w:rsidRPr="000973F2">
        <w:t xml:space="preserve">. On average a </w:t>
      </w:r>
      <w:r w:rsidR="005B76DE" w:rsidRPr="000973F2">
        <w:t xml:space="preserve">facility reporting to </w:t>
      </w:r>
      <w:r w:rsidRPr="000973F2">
        <w:t>Subpart HH with a gas collection system has 3 destruction devices associated with its landfill gas collection system operations.</w:t>
      </w:r>
    </w:p>
    <w:p w14:paraId="22AF5DDE" w14:textId="5C05C23C" w:rsidR="007410EC" w:rsidRPr="000973F2" w:rsidRDefault="007410EC" w:rsidP="00EA6D47">
      <w:pPr>
        <w:pStyle w:val="Tabletitle"/>
      </w:pPr>
      <w:r w:rsidRPr="000973F2">
        <w:t xml:space="preserve">Table </w:t>
      </w:r>
      <w:r w:rsidR="00EA6D47" w:rsidRPr="000973F2">
        <w:t>HH-</w:t>
      </w:r>
      <w:r w:rsidRPr="000973F2">
        <w:t xml:space="preserve">1. </w:t>
      </w:r>
      <w:r w:rsidR="00933B55" w:rsidRPr="000973F2">
        <w:t xml:space="preserve">Subpart HH </w:t>
      </w:r>
      <w:r w:rsidRPr="000973F2">
        <w:t xml:space="preserve">Facility Counts Per Year </w:t>
      </w:r>
    </w:p>
    <w:tbl>
      <w:tblPr>
        <w:tblStyle w:val="PlainTable1"/>
        <w:tblW w:w="5000" w:type="pct"/>
        <w:jc w:val="left"/>
        <w:tblLayout w:type="fixed"/>
        <w:tblCellMar>
          <w:left w:w="115" w:type="dxa"/>
          <w:right w:w="115" w:type="dxa"/>
        </w:tblCellMar>
        <w:tblLook w:val="04A0" w:firstRow="1" w:lastRow="0" w:firstColumn="1" w:lastColumn="0" w:noHBand="0" w:noVBand="1"/>
      </w:tblPr>
      <w:tblGrid>
        <w:gridCol w:w="1649"/>
        <w:gridCol w:w="1323"/>
        <w:gridCol w:w="1324"/>
        <w:gridCol w:w="1323"/>
        <w:gridCol w:w="1324"/>
        <w:gridCol w:w="1323"/>
        <w:gridCol w:w="1324"/>
      </w:tblGrid>
      <w:tr w:rsidR="007410EC" w:rsidRPr="000973F2" w14:paraId="276D483E" w14:textId="77777777" w:rsidTr="00EA6D47">
        <w:trPr>
          <w:cnfStyle w:val="100000000000" w:firstRow="1" w:lastRow="0" w:firstColumn="0" w:lastColumn="0" w:oddVBand="0" w:evenVBand="0" w:oddHBand="0" w:evenHBand="0" w:firstRowFirstColumn="0" w:firstRowLastColumn="0" w:lastRowFirstColumn="0" w:lastRowLastColumn="0"/>
          <w:cantSplit/>
          <w:jc w:val="left"/>
        </w:trPr>
        <w:tc>
          <w:tcPr>
            <w:cnfStyle w:val="001000000000" w:firstRow="0" w:lastRow="0" w:firstColumn="1" w:lastColumn="0" w:oddVBand="0" w:evenVBand="0" w:oddHBand="0" w:evenHBand="0" w:firstRowFirstColumn="0" w:firstRowLastColumn="0" w:lastRowFirstColumn="0" w:lastRowLastColumn="0"/>
            <w:tcW w:w="1605" w:type="dxa"/>
            <w:vMerge w:val="restart"/>
            <w:vAlign w:val="top"/>
          </w:tcPr>
          <w:p w14:paraId="3CB0CE9D" w14:textId="61ADB439" w:rsidR="007410EC" w:rsidRPr="000973F2" w:rsidRDefault="00767ACC" w:rsidP="00EA6D47">
            <w:pPr>
              <w:spacing w:before="40" w:after="40"/>
              <w:rPr>
                <w:rFonts w:ascii="Times New Roman" w:hAnsi="Times New Roman" w:cs="Times New Roman"/>
                <w:b w:val="0"/>
                <w:sz w:val="18"/>
                <w:szCs w:val="18"/>
              </w:rPr>
            </w:pPr>
            <w:r w:rsidRPr="000973F2">
              <w:rPr>
                <w:rFonts w:ascii="Times New Roman" w:hAnsi="Times New Roman" w:cs="Times New Roman"/>
                <w:sz w:val="18"/>
                <w:szCs w:val="18"/>
              </w:rPr>
              <w:t>Facility Type</w:t>
            </w:r>
          </w:p>
        </w:tc>
        <w:tc>
          <w:tcPr>
            <w:tcW w:w="2575" w:type="dxa"/>
            <w:gridSpan w:val="2"/>
            <w:vAlign w:val="top"/>
          </w:tcPr>
          <w:p w14:paraId="65F32304" w14:textId="77777777" w:rsidR="007410EC" w:rsidRPr="000973F2" w:rsidRDefault="007410EC" w:rsidP="00EA6D47">
            <w:pPr>
              <w:spacing w:before="40" w:after="40"/>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sz w:val="18"/>
                <w:szCs w:val="18"/>
              </w:rPr>
            </w:pPr>
            <w:r w:rsidRPr="000973F2">
              <w:rPr>
                <w:rFonts w:ascii="Times New Roman" w:hAnsi="Times New Roman" w:cs="Times New Roman"/>
                <w:sz w:val="18"/>
                <w:szCs w:val="18"/>
              </w:rPr>
              <w:t>RY2019</w:t>
            </w:r>
          </w:p>
        </w:tc>
        <w:tc>
          <w:tcPr>
            <w:tcW w:w="2575" w:type="dxa"/>
            <w:gridSpan w:val="2"/>
            <w:vAlign w:val="top"/>
          </w:tcPr>
          <w:p w14:paraId="3B934352" w14:textId="77777777" w:rsidR="007410EC" w:rsidRPr="000973F2" w:rsidRDefault="007410EC" w:rsidP="00EA6D47">
            <w:pPr>
              <w:spacing w:before="40" w:after="40"/>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sz w:val="18"/>
                <w:szCs w:val="18"/>
              </w:rPr>
            </w:pPr>
            <w:r w:rsidRPr="000973F2">
              <w:rPr>
                <w:rFonts w:ascii="Times New Roman" w:hAnsi="Times New Roman" w:cs="Times New Roman"/>
                <w:sz w:val="18"/>
                <w:szCs w:val="18"/>
              </w:rPr>
              <w:t>RY2020</w:t>
            </w:r>
          </w:p>
        </w:tc>
        <w:tc>
          <w:tcPr>
            <w:tcW w:w="2575" w:type="dxa"/>
            <w:gridSpan w:val="2"/>
            <w:vAlign w:val="top"/>
          </w:tcPr>
          <w:p w14:paraId="1B8A65BA" w14:textId="77777777" w:rsidR="007410EC" w:rsidRPr="000973F2" w:rsidRDefault="007410EC" w:rsidP="00EA6D47">
            <w:pPr>
              <w:spacing w:before="40" w:after="40"/>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sz w:val="18"/>
                <w:szCs w:val="18"/>
              </w:rPr>
            </w:pPr>
            <w:r w:rsidRPr="000973F2">
              <w:rPr>
                <w:rFonts w:ascii="Times New Roman" w:hAnsi="Times New Roman" w:cs="Times New Roman"/>
                <w:sz w:val="18"/>
                <w:szCs w:val="18"/>
              </w:rPr>
              <w:t>RY2021</w:t>
            </w:r>
          </w:p>
        </w:tc>
      </w:tr>
      <w:tr w:rsidR="007410EC" w:rsidRPr="000973F2" w14:paraId="5BAAF4A6" w14:textId="77777777" w:rsidTr="00EA6D47">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1605" w:type="dxa"/>
            <w:vMerge/>
          </w:tcPr>
          <w:p w14:paraId="26794ACA" w14:textId="77777777" w:rsidR="007410EC" w:rsidRPr="000973F2" w:rsidRDefault="007410EC" w:rsidP="00EA6D47">
            <w:pPr>
              <w:spacing w:before="40" w:after="40"/>
              <w:rPr>
                <w:rFonts w:ascii="Times New Roman" w:hAnsi="Times New Roman" w:cs="Times New Roman"/>
                <w:b/>
                <w:sz w:val="18"/>
                <w:szCs w:val="18"/>
              </w:rPr>
            </w:pPr>
          </w:p>
        </w:tc>
        <w:tc>
          <w:tcPr>
            <w:tcW w:w="1287" w:type="dxa"/>
          </w:tcPr>
          <w:p w14:paraId="1637002D" w14:textId="77777777" w:rsidR="007410EC" w:rsidRPr="000973F2" w:rsidRDefault="007410EC" w:rsidP="00EA6D47">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18"/>
                <w:szCs w:val="18"/>
              </w:rPr>
            </w:pPr>
            <w:r w:rsidRPr="000973F2">
              <w:rPr>
                <w:rFonts w:ascii="Times New Roman" w:hAnsi="Times New Roman" w:cs="Times New Roman"/>
                <w:b/>
                <w:sz w:val="18"/>
                <w:szCs w:val="18"/>
              </w:rPr>
              <w:t>New Facilities</w:t>
            </w:r>
          </w:p>
        </w:tc>
        <w:tc>
          <w:tcPr>
            <w:tcW w:w="1288" w:type="dxa"/>
          </w:tcPr>
          <w:p w14:paraId="570E7B30" w14:textId="77777777" w:rsidR="007410EC" w:rsidRPr="000973F2" w:rsidRDefault="007410EC" w:rsidP="00EA6D47">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18"/>
                <w:szCs w:val="18"/>
              </w:rPr>
            </w:pPr>
            <w:r w:rsidRPr="000973F2">
              <w:rPr>
                <w:rFonts w:ascii="Times New Roman" w:hAnsi="Times New Roman" w:cs="Times New Roman"/>
                <w:b/>
                <w:sz w:val="18"/>
                <w:szCs w:val="18"/>
              </w:rPr>
              <w:t>Existing Facilities</w:t>
            </w:r>
          </w:p>
        </w:tc>
        <w:tc>
          <w:tcPr>
            <w:tcW w:w="1287" w:type="dxa"/>
          </w:tcPr>
          <w:p w14:paraId="6198CD28" w14:textId="77777777" w:rsidR="007410EC" w:rsidRPr="000973F2" w:rsidRDefault="007410EC" w:rsidP="00EA6D47">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18"/>
                <w:szCs w:val="18"/>
              </w:rPr>
            </w:pPr>
            <w:r w:rsidRPr="000973F2">
              <w:rPr>
                <w:rFonts w:ascii="Times New Roman" w:hAnsi="Times New Roman" w:cs="Times New Roman"/>
                <w:b/>
                <w:sz w:val="18"/>
                <w:szCs w:val="18"/>
              </w:rPr>
              <w:t>New Facilities</w:t>
            </w:r>
          </w:p>
        </w:tc>
        <w:tc>
          <w:tcPr>
            <w:tcW w:w="1288" w:type="dxa"/>
          </w:tcPr>
          <w:p w14:paraId="3E0366E0" w14:textId="77777777" w:rsidR="007410EC" w:rsidRPr="000973F2" w:rsidRDefault="007410EC" w:rsidP="00EA6D47">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18"/>
                <w:szCs w:val="18"/>
              </w:rPr>
            </w:pPr>
            <w:r w:rsidRPr="000973F2">
              <w:rPr>
                <w:rFonts w:ascii="Times New Roman" w:hAnsi="Times New Roman" w:cs="Times New Roman"/>
                <w:b/>
                <w:sz w:val="18"/>
                <w:szCs w:val="18"/>
              </w:rPr>
              <w:t>Existing Facilities</w:t>
            </w:r>
          </w:p>
        </w:tc>
        <w:tc>
          <w:tcPr>
            <w:tcW w:w="1287" w:type="dxa"/>
          </w:tcPr>
          <w:p w14:paraId="238E7612" w14:textId="77777777" w:rsidR="007410EC" w:rsidRPr="000973F2" w:rsidRDefault="007410EC" w:rsidP="00EA6D47">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18"/>
                <w:szCs w:val="18"/>
              </w:rPr>
            </w:pPr>
            <w:r w:rsidRPr="000973F2">
              <w:rPr>
                <w:rFonts w:ascii="Times New Roman" w:hAnsi="Times New Roman" w:cs="Times New Roman"/>
                <w:b/>
                <w:sz w:val="18"/>
                <w:szCs w:val="18"/>
              </w:rPr>
              <w:t>New Facilities</w:t>
            </w:r>
          </w:p>
        </w:tc>
        <w:tc>
          <w:tcPr>
            <w:tcW w:w="1288" w:type="dxa"/>
          </w:tcPr>
          <w:p w14:paraId="2B544A16" w14:textId="77777777" w:rsidR="007410EC" w:rsidRPr="000973F2" w:rsidRDefault="007410EC" w:rsidP="00EA6D47">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18"/>
                <w:szCs w:val="18"/>
              </w:rPr>
            </w:pPr>
            <w:r w:rsidRPr="000973F2">
              <w:rPr>
                <w:rFonts w:ascii="Times New Roman" w:hAnsi="Times New Roman" w:cs="Times New Roman"/>
                <w:b/>
                <w:sz w:val="18"/>
                <w:szCs w:val="18"/>
              </w:rPr>
              <w:t>Existing Facilities</w:t>
            </w:r>
          </w:p>
        </w:tc>
      </w:tr>
      <w:tr w:rsidR="007410EC" w:rsidRPr="000973F2" w14:paraId="0A5D9D24" w14:textId="77777777" w:rsidTr="00EA6D47">
        <w:trPr>
          <w:cantSplit/>
        </w:trPr>
        <w:tc>
          <w:tcPr>
            <w:cnfStyle w:val="001000000000" w:firstRow="0" w:lastRow="0" w:firstColumn="1" w:lastColumn="0" w:oddVBand="0" w:evenVBand="0" w:oddHBand="0" w:evenHBand="0" w:firstRowFirstColumn="0" w:firstRowLastColumn="0" w:lastRowFirstColumn="0" w:lastRowLastColumn="0"/>
            <w:tcW w:w="1605" w:type="dxa"/>
          </w:tcPr>
          <w:p w14:paraId="48786928" w14:textId="404AD12E" w:rsidR="007410EC" w:rsidRPr="000973F2" w:rsidRDefault="00767ACC" w:rsidP="00EA6D47">
            <w:pPr>
              <w:spacing w:before="40" w:after="40"/>
              <w:rPr>
                <w:rFonts w:ascii="Times New Roman" w:hAnsi="Times New Roman" w:cs="Times New Roman"/>
                <w:sz w:val="18"/>
                <w:szCs w:val="18"/>
              </w:rPr>
            </w:pPr>
            <w:r w:rsidRPr="000973F2">
              <w:rPr>
                <w:rFonts w:ascii="Times New Roman" w:hAnsi="Times New Roman" w:cs="Times New Roman"/>
                <w:sz w:val="18"/>
                <w:szCs w:val="18"/>
              </w:rPr>
              <w:t>Gas Collection System</w:t>
            </w:r>
          </w:p>
        </w:tc>
        <w:tc>
          <w:tcPr>
            <w:tcW w:w="1287" w:type="dxa"/>
          </w:tcPr>
          <w:p w14:paraId="4E67101A" w14:textId="5EBBCBA7" w:rsidR="007410EC" w:rsidRPr="000973F2" w:rsidRDefault="001F703B" w:rsidP="00EA6D47">
            <w:pPr>
              <w:tabs>
                <w:tab w:val="decimal" w:pos="601"/>
              </w:tabs>
              <w:spacing w:before="40" w:after="4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0973F2">
              <w:rPr>
                <w:rFonts w:ascii="Times New Roman" w:hAnsi="Times New Roman" w:cs="Times New Roman"/>
                <w:sz w:val="18"/>
                <w:szCs w:val="18"/>
              </w:rPr>
              <w:t>4</w:t>
            </w:r>
          </w:p>
        </w:tc>
        <w:tc>
          <w:tcPr>
            <w:tcW w:w="1288" w:type="dxa"/>
          </w:tcPr>
          <w:p w14:paraId="62E196DA" w14:textId="4334D491" w:rsidR="007410EC" w:rsidRPr="000973F2" w:rsidRDefault="001F703B" w:rsidP="00EA6D47">
            <w:pPr>
              <w:tabs>
                <w:tab w:val="decimal" w:pos="676"/>
              </w:tabs>
              <w:spacing w:before="40" w:after="4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0973F2">
              <w:rPr>
                <w:rFonts w:ascii="Times New Roman" w:hAnsi="Times New Roman" w:cs="Times New Roman"/>
                <w:sz w:val="18"/>
                <w:szCs w:val="18"/>
              </w:rPr>
              <w:t>850</w:t>
            </w:r>
          </w:p>
        </w:tc>
        <w:tc>
          <w:tcPr>
            <w:tcW w:w="1287" w:type="dxa"/>
          </w:tcPr>
          <w:p w14:paraId="03650822" w14:textId="614E4D42" w:rsidR="007410EC" w:rsidRPr="000973F2" w:rsidRDefault="001F703B" w:rsidP="00EA6D47">
            <w:pPr>
              <w:tabs>
                <w:tab w:val="decimal" w:pos="601"/>
              </w:tabs>
              <w:spacing w:before="40" w:after="4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0973F2">
              <w:rPr>
                <w:rFonts w:ascii="Times New Roman" w:hAnsi="Times New Roman" w:cs="Times New Roman"/>
                <w:sz w:val="18"/>
                <w:szCs w:val="18"/>
              </w:rPr>
              <w:t>3</w:t>
            </w:r>
          </w:p>
        </w:tc>
        <w:tc>
          <w:tcPr>
            <w:tcW w:w="1288" w:type="dxa"/>
          </w:tcPr>
          <w:p w14:paraId="55F5B925" w14:textId="72171762" w:rsidR="007410EC" w:rsidRPr="000973F2" w:rsidRDefault="001F703B" w:rsidP="00EA6D47">
            <w:pPr>
              <w:tabs>
                <w:tab w:val="decimal" w:pos="706"/>
              </w:tabs>
              <w:spacing w:before="40" w:after="4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0973F2">
              <w:rPr>
                <w:rFonts w:ascii="Times New Roman" w:hAnsi="Times New Roman" w:cs="Times New Roman"/>
                <w:sz w:val="18"/>
                <w:szCs w:val="18"/>
              </w:rPr>
              <w:t>854</w:t>
            </w:r>
          </w:p>
        </w:tc>
        <w:tc>
          <w:tcPr>
            <w:tcW w:w="1287" w:type="dxa"/>
          </w:tcPr>
          <w:p w14:paraId="4ECCB481" w14:textId="3715900E" w:rsidR="007410EC" w:rsidRPr="000973F2" w:rsidRDefault="001F703B" w:rsidP="00EA6D47">
            <w:pPr>
              <w:tabs>
                <w:tab w:val="decimal" w:pos="601"/>
              </w:tabs>
              <w:spacing w:before="40" w:after="4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0973F2">
              <w:rPr>
                <w:rFonts w:ascii="Times New Roman" w:hAnsi="Times New Roman" w:cs="Times New Roman"/>
                <w:sz w:val="18"/>
                <w:szCs w:val="18"/>
              </w:rPr>
              <w:t>3</w:t>
            </w:r>
          </w:p>
        </w:tc>
        <w:tc>
          <w:tcPr>
            <w:tcW w:w="1288" w:type="dxa"/>
          </w:tcPr>
          <w:p w14:paraId="1E35A091" w14:textId="7F0F0DD9" w:rsidR="007410EC" w:rsidRPr="000973F2" w:rsidRDefault="001F703B" w:rsidP="00EA6D47">
            <w:pPr>
              <w:tabs>
                <w:tab w:val="decimal" w:pos="736"/>
              </w:tabs>
              <w:spacing w:before="40" w:after="4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0973F2">
              <w:rPr>
                <w:rFonts w:ascii="Times New Roman" w:hAnsi="Times New Roman" w:cs="Times New Roman"/>
                <w:sz w:val="18"/>
                <w:szCs w:val="18"/>
              </w:rPr>
              <w:t>857</w:t>
            </w:r>
          </w:p>
        </w:tc>
      </w:tr>
      <w:tr w:rsidR="007410EC" w:rsidRPr="000973F2" w14:paraId="0FF49A85" w14:textId="77777777" w:rsidTr="00EA6D47">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1605" w:type="dxa"/>
          </w:tcPr>
          <w:p w14:paraId="446225FA" w14:textId="4B0FE8D3" w:rsidR="007410EC" w:rsidRPr="000973F2" w:rsidRDefault="00767ACC" w:rsidP="00EA6D47">
            <w:pPr>
              <w:spacing w:before="40" w:after="40"/>
              <w:rPr>
                <w:rFonts w:ascii="Times New Roman" w:hAnsi="Times New Roman" w:cs="Times New Roman"/>
                <w:sz w:val="18"/>
                <w:szCs w:val="18"/>
              </w:rPr>
            </w:pPr>
            <w:r w:rsidRPr="000973F2">
              <w:rPr>
                <w:rFonts w:ascii="Times New Roman" w:hAnsi="Times New Roman" w:cs="Times New Roman"/>
                <w:sz w:val="18"/>
                <w:szCs w:val="18"/>
              </w:rPr>
              <w:t>No Gas Collection System</w:t>
            </w:r>
          </w:p>
        </w:tc>
        <w:tc>
          <w:tcPr>
            <w:tcW w:w="1287" w:type="dxa"/>
          </w:tcPr>
          <w:p w14:paraId="0457AEA2" w14:textId="08D8154E" w:rsidR="007410EC" w:rsidRPr="000973F2" w:rsidRDefault="001F703B" w:rsidP="00EA6D47">
            <w:pPr>
              <w:tabs>
                <w:tab w:val="decimal" w:pos="601"/>
              </w:tabs>
              <w:spacing w:before="40" w:after="4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rPr>
            </w:pPr>
            <w:r w:rsidRPr="000973F2">
              <w:rPr>
                <w:rFonts w:ascii="Times New Roman" w:hAnsi="Times New Roman" w:cs="Times New Roman"/>
                <w:sz w:val="18"/>
                <w:szCs w:val="18"/>
              </w:rPr>
              <w:t>2</w:t>
            </w:r>
          </w:p>
        </w:tc>
        <w:tc>
          <w:tcPr>
            <w:tcW w:w="1288" w:type="dxa"/>
          </w:tcPr>
          <w:p w14:paraId="32D322EB" w14:textId="1A3CF157" w:rsidR="007410EC" w:rsidRPr="000973F2" w:rsidRDefault="001F703B" w:rsidP="00EA6D47">
            <w:pPr>
              <w:tabs>
                <w:tab w:val="decimal" w:pos="676"/>
              </w:tabs>
              <w:spacing w:before="40" w:after="4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rPr>
            </w:pPr>
            <w:r w:rsidRPr="000973F2">
              <w:rPr>
                <w:rFonts w:ascii="Times New Roman" w:hAnsi="Times New Roman" w:cs="Times New Roman"/>
                <w:sz w:val="18"/>
                <w:szCs w:val="18"/>
              </w:rPr>
              <w:t>297</w:t>
            </w:r>
          </w:p>
        </w:tc>
        <w:tc>
          <w:tcPr>
            <w:tcW w:w="1287" w:type="dxa"/>
          </w:tcPr>
          <w:p w14:paraId="68EF4F56" w14:textId="13F6B505" w:rsidR="007410EC" w:rsidRPr="000973F2" w:rsidRDefault="007410EC" w:rsidP="00EA6D47">
            <w:pPr>
              <w:tabs>
                <w:tab w:val="decimal" w:pos="601"/>
              </w:tabs>
              <w:spacing w:before="40" w:after="4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rPr>
            </w:pPr>
            <w:r w:rsidRPr="000973F2">
              <w:rPr>
                <w:rFonts w:ascii="Times New Roman" w:hAnsi="Times New Roman" w:cs="Times New Roman"/>
                <w:sz w:val="18"/>
                <w:szCs w:val="18"/>
              </w:rPr>
              <w:t>1</w:t>
            </w:r>
          </w:p>
        </w:tc>
        <w:tc>
          <w:tcPr>
            <w:tcW w:w="1288" w:type="dxa"/>
          </w:tcPr>
          <w:p w14:paraId="3FC37866" w14:textId="1FDCB723" w:rsidR="007410EC" w:rsidRPr="000973F2" w:rsidRDefault="001F703B" w:rsidP="00EA6D47">
            <w:pPr>
              <w:tabs>
                <w:tab w:val="decimal" w:pos="706"/>
              </w:tabs>
              <w:spacing w:before="40" w:after="4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rPr>
            </w:pPr>
            <w:r w:rsidRPr="000973F2">
              <w:rPr>
                <w:rFonts w:ascii="Times New Roman" w:hAnsi="Times New Roman" w:cs="Times New Roman"/>
                <w:sz w:val="18"/>
                <w:szCs w:val="18"/>
              </w:rPr>
              <w:t>299</w:t>
            </w:r>
          </w:p>
        </w:tc>
        <w:tc>
          <w:tcPr>
            <w:tcW w:w="1287" w:type="dxa"/>
          </w:tcPr>
          <w:p w14:paraId="48EEB8F2" w14:textId="3FC5F321" w:rsidR="007410EC" w:rsidRPr="000973F2" w:rsidRDefault="001F703B" w:rsidP="00EA6D47">
            <w:pPr>
              <w:tabs>
                <w:tab w:val="decimal" w:pos="601"/>
              </w:tabs>
              <w:spacing w:before="40" w:after="4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rPr>
            </w:pPr>
            <w:r w:rsidRPr="000973F2">
              <w:rPr>
                <w:rFonts w:ascii="Times New Roman" w:hAnsi="Times New Roman" w:cs="Times New Roman"/>
                <w:sz w:val="18"/>
                <w:szCs w:val="18"/>
              </w:rPr>
              <w:t>0</w:t>
            </w:r>
          </w:p>
        </w:tc>
        <w:tc>
          <w:tcPr>
            <w:tcW w:w="1288" w:type="dxa"/>
          </w:tcPr>
          <w:p w14:paraId="0939F83B" w14:textId="442FCA5E" w:rsidR="007410EC" w:rsidRPr="000973F2" w:rsidRDefault="001F703B" w:rsidP="00EA6D47">
            <w:pPr>
              <w:tabs>
                <w:tab w:val="decimal" w:pos="736"/>
              </w:tabs>
              <w:spacing w:before="40" w:after="4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rPr>
            </w:pPr>
            <w:r w:rsidRPr="000973F2">
              <w:rPr>
                <w:rFonts w:ascii="Times New Roman" w:hAnsi="Times New Roman" w:cs="Times New Roman"/>
                <w:sz w:val="18"/>
                <w:szCs w:val="18"/>
              </w:rPr>
              <w:t>300</w:t>
            </w:r>
          </w:p>
        </w:tc>
      </w:tr>
      <w:tr w:rsidR="007410EC" w:rsidRPr="000973F2" w14:paraId="0B051466" w14:textId="77777777" w:rsidTr="00EA6D47">
        <w:trPr>
          <w:cantSplit/>
        </w:trPr>
        <w:tc>
          <w:tcPr>
            <w:cnfStyle w:val="001000000000" w:firstRow="0" w:lastRow="0" w:firstColumn="1" w:lastColumn="0" w:oddVBand="0" w:evenVBand="0" w:oddHBand="0" w:evenHBand="0" w:firstRowFirstColumn="0" w:firstRowLastColumn="0" w:lastRowFirstColumn="0" w:lastRowLastColumn="0"/>
            <w:tcW w:w="1605" w:type="dxa"/>
          </w:tcPr>
          <w:p w14:paraId="3A181503" w14:textId="77777777" w:rsidR="007410EC" w:rsidRPr="000973F2" w:rsidRDefault="007410EC" w:rsidP="00EA6D47">
            <w:pPr>
              <w:spacing w:before="40" w:after="40"/>
              <w:rPr>
                <w:rFonts w:ascii="Times New Roman" w:hAnsi="Times New Roman" w:cs="Times New Roman"/>
                <w:b/>
                <w:sz w:val="18"/>
                <w:szCs w:val="18"/>
              </w:rPr>
            </w:pPr>
            <w:r w:rsidRPr="000973F2">
              <w:rPr>
                <w:rFonts w:ascii="Times New Roman" w:hAnsi="Times New Roman" w:cs="Times New Roman"/>
                <w:b/>
                <w:sz w:val="18"/>
                <w:szCs w:val="18"/>
              </w:rPr>
              <w:t>Total</w:t>
            </w:r>
          </w:p>
        </w:tc>
        <w:tc>
          <w:tcPr>
            <w:tcW w:w="1287" w:type="dxa"/>
          </w:tcPr>
          <w:p w14:paraId="48EADD8F" w14:textId="08C7175E" w:rsidR="007410EC" w:rsidRPr="000973F2" w:rsidRDefault="001F703B" w:rsidP="00EA6D47">
            <w:pPr>
              <w:tabs>
                <w:tab w:val="decimal" w:pos="601"/>
              </w:tabs>
              <w:spacing w:before="40" w:after="4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18"/>
                <w:szCs w:val="18"/>
              </w:rPr>
            </w:pPr>
            <w:r w:rsidRPr="000973F2">
              <w:rPr>
                <w:rFonts w:ascii="Times New Roman" w:hAnsi="Times New Roman" w:cs="Times New Roman"/>
                <w:b/>
                <w:sz w:val="18"/>
                <w:szCs w:val="18"/>
              </w:rPr>
              <w:t>6</w:t>
            </w:r>
          </w:p>
        </w:tc>
        <w:tc>
          <w:tcPr>
            <w:tcW w:w="1288" w:type="dxa"/>
          </w:tcPr>
          <w:p w14:paraId="7542816D" w14:textId="60412961" w:rsidR="007410EC" w:rsidRPr="000973F2" w:rsidRDefault="00FD5E97" w:rsidP="00EA6D47">
            <w:pPr>
              <w:tabs>
                <w:tab w:val="decimal" w:pos="676"/>
              </w:tabs>
              <w:spacing w:before="40" w:after="4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18"/>
                <w:szCs w:val="18"/>
              </w:rPr>
            </w:pPr>
            <w:r w:rsidRPr="000973F2">
              <w:rPr>
                <w:rFonts w:ascii="Times New Roman" w:hAnsi="Times New Roman" w:cs="Times New Roman"/>
                <w:b/>
                <w:sz w:val="18"/>
                <w:szCs w:val="18"/>
              </w:rPr>
              <w:t>1,147</w:t>
            </w:r>
          </w:p>
        </w:tc>
        <w:tc>
          <w:tcPr>
            <w:tcW w:w="1287" w:type="dxa"/>
          </w:tcPr>
          <w:p w14:paraId="136C2192" w14:textId="2DA70370" w:rsidR="007410EC" w:rsidRPr="000973F2" w:rsidRDefault="001F703B" w:rsidP="00EA6D47">
            <w:pPr>
              <w:tabs>
                <w:tab w:val="decimal" w:pos="601"/>
              </w:tabs>
              <w:spacing w:before="40" w:after="4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18"/>
                <w:szCs w:val="18"/>
              </w:rPr>
            </w:pPr>
            <w:r w:rsidRPr="000973F2">
              <w:rPr>
                <w:rFonts w:ascii="Times New Roman" w:hAnsi="Times New Roman" w:cs="Times New Roman"/>
                <w:b/>
                <w:sz w:val="18"/>
                <w:szCs w:val="18"/>
              </w:rPr>
              <w:t>4</w:t>
            </w:r>
          </w:p>
        </w:tc>
        <w:tc>
          <w:tcPr>
            <w:tcW w:w="1288" w:type="dxa"/>
          </w:tcPr>
          <w:p w14:paraId="365091F7" w14:textId="4A8F3BB6" w:rsidR="007410EC" w:rsidRPr="000973F2" w:rsidRDefault="007410EC" w:rsidP="00EA6D47">
            <w:pPr>
              <w:tabs>
                <w:tab w:val="decimal" w:pos="706"/>
              </w:tabs>
              <w:spacing w:before="40" w:after="4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18"/>
                <w:szCs w:val="18"/>
              </w:rPr>
            </w:pPr>
            <w:r w:rsidRPr="000973F2">
              <w:rPr>
                <w:rFonts w:ascii="Times New Roman" w:hAnsi="Times New Roman" w:cs="Times New Roman"/>
                <w:b/>
                <w:sz w:val="18"/>
                <w:szCs w:val="18"/>
              </w:rPr>
              <w:t>1,</w:t>
            </w:r>
            <w:r w:rsidR="00FD5E97" w:rsidRPr="000973F2">
              <w:rPr>
                <w:rFonts w:ascii="Times New Roman" w:hAnsi="Times New Roman" w:cs="Times New Roman"/>
                <w:b/>
                <w:sz w:val="18"/>
                <w:szCs w:val="18"/>
              </w:rPr>
              <w:t>153</w:t>
            </w:r>
          </w:p>
        </w:tc>
        <w:tc>
          <w:tcPr>
            <w:tcW w:w="1287" w:type="dxa"/>
          </w:tcPr>
          <w:p w14:paraId="4BFC85D9" w14:textId="503E5A47" w:rsidR="007410EC" w:rsidRPr="000973F2" w:rsidRDefault="00FD5E97" w:rsidP="00EA6D47">
            <w:pPr>
              <w:tabs>
                <w:tab w:val="decimal" w:pos="601"/>
              </w:tabs>
              <w:spacing w:before="40" w:after="4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18"/>
                <w:szCs w:val="18"/>
              </w:rPr>
            </w:pPr>
            <w:r w:rsidRPr="000973F2">
              <w:rPr>
                <w:rFonts w:ascii="Times New Roman" w:hAnsi="Times New Roman" w:cs="Times New Roman"/>
                <w:b/>
                <w:sz w:val="18"/>
                <w:szCs w:val="18"/>
              </w:rPr>
              <w:t>3</w:t>
            </w:r>
          </w:p>
        </w:tc>
        <w:tc>
          <w:tcPr>
            <w:tcW w:w="1288" w:type="dxa"/>
          </w:tcPr>
          <w:p w14:paraId="31A7BCDC" w14:textId="4427044B" w:rsidR="007410EC" w:rsidRPr="000973F2" w:rsidRDefault="00FD5E97" w:rsidP="00EA6D47">
            <w:pPr>
              <w:tabs>
                <w:tab w:val="decimal" w:pos="736"/>
              </w:tabs>
              <w:spacing w:before="40" w:after="4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18"/>
                <w:szCs w:val="18"/>
              </w:rPr>
            </w:pPr>
            <w:r w:rsidRPr="000973F2">
              <w:rPr>
                <w:rFonts w:ascii="Times New Roman" w:hAnsi="Times New Roman" w:cs="Times New Roman"/>
                <w:b/>
                <w:sz w:val="18"/>
                <w:szCs w:val="18"/>
              </w:rPr>
              <w:t>1,157</w:t>
            </w:r>
          </w:p>
        </w:tc>
      </w:tr>
    </w:tbl>
    <w:p w14:paraId="48208587" w14:textId="77777777" w:rsidR="007410EC" w:rsidRPr="000973F2" w:rsidRDefault="007410EC" w:rsidP="00EA6D47">
      <w:pPr>
        <w:pStyle w:val="AfterTable"/>
      </w:pPr>
    </w:p>
    <w:p w14:paraId="0CF18255" w14:textId="13A03FA6" w:rsidR="00D177BB" w:rsidRPr="000973F2" w:rsidRDefault="00D177BB" w:rsidP="00EA6D47">
      <w:pPr>
        <w:pStyle w:val="Heading2"/>
      </w:pPr>
      <w:r w:rsidRPr="000973F2">
        <w:t xml:space="preserve">Labor Costs for Subpart HH </w:t>
      </w:r>
      <w:r w:rsidR="00B960CC" w:rsidRPr="000973F2">
        <w:t>–</w:t>
      </w:r>
      <w:r w:rsidRPr="000973F2">
        <w:t xml:space="preserve"> Landfills with Gas Collection Systems</w:t>
      </w:r>
    </w:p>
    <w:p w14:paraId="2821B0BA" w14:textId="10F94519" w:rsidR="00D177BB" w:rsidRPr="000973F2" w:rsidRDefault="00D177BB" w:rsidP="00EA6D47">
      <w:pPr>
        <w:pStyle w:val="BodyText"/>
      </w:pPr>
      <w:r w:rsidRPr="000973F2">
        <w:t xml:space="preserve">Table </w:t>
      </w:r>
      <w:r w:rsidR="00EA6D47" w:rsidRPr="000973F2">
        <w:t>HH-</w:t>
      </w:r>
      <w:r w:rsidR="00FD5E97" w:rsidRPr="000973F2">
        <w:t>2</w:t>
      </w:r>
      <w:r w:rsidRPr="000973F2">
        <w:t xml:space="preserve">a below includes the labor hours related to Subpart HH landfills with gas collection systems. Typical activities for each of the labor activities are discussed in the Cost Appendix Introduction. Recordkeeping and reporting hours </w:t>
      </w:r>
      <w:r w:rsidR="00A74D20" w:rsidRPr="000973F2">
        <w:t>are based on</w:t>
      </w:r>
      <w:r w:rsidRPr="000973F2">
        <w:t xml:space="preserve"> the “high bin”</w:t>
      </w:r>
      <w:r w:rsidR="00A74D20" w:rsidRPr="000973F2">
        <w:t xml:space="preserve"> designation.</w:t>
      </w:r>
      <w:r w:rsidRPr="000973F2">
        <w:t xml:space="preserve"> Sampling and analysis (calculations) hours include completion of the measurements and calculations in (§98.346), including calculation of methane generation and emissions, estimating historical waste quantities, and determining annual waste compositions, and the composition, flow, and destruction of landfill gas through the gas collection system. Initial year costs apply to new facilities expected to begin reporting to Subpart HH during the </w:t>
      </w:r>
      <w:r w:rsidR="005B76DE" w:rsidRPr="000973F2">
        <w:t xml:space="preserve">three-year </w:t>
      </w:r>
      <w:r w:rsidRPr="000973F2">
        <w:t xml:space="preserve">period </w:t>
      </w:r>
      <w:r w:rsidR="005B76DE" w:rsidRPr="000973F2">
        <w:t>covered by this ICR</w:t>
      </w:r>
      <w:r w:rsidRPr="000973F2">
        <w:t xml:space="preserve">. New facilities in their initial year of reporting will incur additional planning </w:t>
      </w:r>
      <w:r w:rsidR="004608E5" w:rsidRPr="000973F2">
        <w:t xml:space="preserve">hours </w:t>
      </w:r>
      <w:r w:rsidRPr="000973F2">
        <w:t>to familiarize themselves with the rule</w:t>
      </w:r>
      <w:r w:rsidR="00910B1F" w:rsidRPr="000973F2">
        <w:t xml:space="preserve"> </w:t>
      </w:r>
      <w:r w:rsidR="004608E5" w:rsidRPr="000973F2">
        <w:t>and hours for</w:t>
      </w:r>
      <w:r w:rsidRPr="000973F2">
        <w:t xml:space="preserve"> setup of compliance activities</w:t>
      </w:r>
      <w:r w:rsidR="004608E5" w:rsidRPr="000973F2">
        <w:t xml:space="preserve"> including sampling and QA/QC</w:t>
      </w:r>
      <w:r w:rsidRPr="000973F2">
        <w:t xml:space="preserve">. </w:t>
      </w:r>
    </w:p>
    <w:p w14:paraId="4AF3AFD0" w14:textId="228C7EA2" w:rsidR="00050373" w:rsidRPr="000973F2" w:rsidRDefault="00050373" w:rsidP="00C00E4F">
      <w:pPr>
        <w:spacing w:line="240" w:lineRule="auto"/>
        <w:rPr>
          <w:rFonts w:ascii="Times New Roman" w:hAnsi="Times New Roman" w:cs="Times New Roman"/>
          <w:b/>
        </w:rPr>
      </w:pPr>
      <w:r w:rsidRPr="000973F2">
        <w:rPr>
          <w:rFonts w:ascii="Times New Roman" w:hAnsi="Times New Roman" w:cs="Times New Roman"/>
          <w:b/>
        </w:rPr>
        <w:t xml:space="preserve">Table </w:t>
      </w:r>
      <w:r w:rsidR="00EA6D47" w:rsidRPr="000973F2">
        <w:rPr>
          <w:rFonts w:ascii="Times New Roman" w:hAnsi="Times New Roman" w:cs="Times New Roman"/>
          <w:b/>
        </w:rPr>
        <w:t>HH-</w:t>
      </w:r>
      <w:r w:rsidR="00FD5E97" w:rsidRPr="000973F2">
        <w:rPr>
          <w:rFonts w:ascii="Times New Roman" w:hAnsi="Times New Roman" w:cs="Times New Roman"/>
          <w:b/>
        </w:rPr>
        <w:t>2</w:t>
      </w:r>
      <w:r w:rsidRPr="000973F2">
        <w:rPr>
          <w:rFonts w:ascii="Times New Roman" w:hAnsi="Times New Roman" w:cs="Times New Roman"/>
          <w:b/>
        </w:rPr>
        <w:t xml:space="preserve">a. Labor Costs </w:t>
      </w:r>
      <w:r w:rsidR="00B960CC" w:rsidRPr="000973F2">
        <w:rPr>
          <w:rFonts w:ascii="Times New Roman" w:hAnsi="Times New Roman" w:cs="Times New Roman"/>
          <w:b/>
        </w:rPr>
        <w:t>–</w:t>
      </w:r>
      <w:r w:rsidRPr="000973F2">
        <w:rPr>
          <w:rFonts w:ascii="Times New Roman" w:hAnsi="Times New Roman" w:cs="Times New Roman"/>
          <w:b/>
        </w:rPr>
        <w:t xml:space="preserve"> Subpart HH </w:t>
      </w:r>
      <w:r w:rsidR="00B960CC" w:rsidRPr="000973F2">
        <w:rPr>
          <w:rFonts w:ascii="Times New Roman" w:hAnsi="Times New Roman" w:cs="Times New Roman"/>
          <w:b/>
        </w:rPr>
        <w:t>–</w:t>
      </w:r>
      <w:r w:rsidRPr="000973F2">
        <w:rPr>
          <w:rFonts w:ascii="Times New Roman" w:hAnsi="Times New Roman" w:cs="Times New Roman"/>
          <w:b/>
        </w:rPr>
        <w:t xml:space="preserve"> Facilities with Gas Collection Systems</w:t>
      </w:r>
    </w:p>
    <w:tbl>
      <w:tblPr>
        <w:tblStyle w:val="PlainTable1"/>
        <w:tblW w:w="5000" w:type="pct"/>
        <w:jc w:val="left"/>
        <w:tblLayout w:type="fixed"/>
        <w:tblCellMar>
          <w:left w:w="115" w:type="dxa"/>
          <w:right w:w="115" w:type="dxa"/>
        </w:tblCellMar>
        <w:tblLook w:val="04A0" w:firstRow="1" w:lastRow="0" w:firstColumn="1" w:lastColumn="0" w:noHBand="0" w:noVBand="1"/>
      </w:tblPr>
      <w:tblGrid>
        <w:gridCol w:w="1651"/>
        <w:gridCol w:w="787"/>
        <w:gridCol w:w="787"/>
        <w:gridCol w:w="786"/>
        <w:gridCol w:w="786"/>
        <w:gridCol w:w="786"/>
        <w:gridCol w:w="786"/>
        <w:gridCol w:w="786"/>
        <w:gridCol w:w="786"/>
        <w:gridCol w:w="824"/>
        <w:gridCol w:w="825"/>
      </w:tblGrid>
      <w:tr w:rsidR="00D177BB" w:rsidRPr="000973F2" w14:paraId="686EFC78" w14:textId="77777777" w:rsidTr="00EA6D47">
        <w:trPr>
          <w:cnfStyle w:val="100000000000" w:firstRow="1" w:lastRow="0" w:firstColumn="0" w:lastColumn="0" w:oddVBand="0" w:evenVBand="0" w:oddHBand="0" w:evenHBand="0" w:firstRowFirstColumn="0" w:firstRowLastColumn="0" w:lastRowFirstColumn="0" w:lastRowLastColumn="0"/>
          <w:cantSplit/>
          <w:jc w:val="left"/>
        </w:trPr>
        <w:tc>
          <w:tcPr>
            <w:cnfStyle w:val="001000000000" w:firstRow="0" w:lastRow="0" w:firstColumn="1" w:lastColumn="0" w:oddVBand="0" w:evenVBand="0" w:oddHBand="0" w:evenHBand="0" w:firstRowFirstColumn="0" w:firstRowLastColumn="0" w:lastRowFirstColumn="0" w:lastRowLastColumn="0"/>
            <w:tcW w:w="1605" w:type="dxa"/>
            <w:vMerge w:val="restart"/>
            <w:noWrap/>
            <w:vAlign w:val="top"/>
            <w:hideMark/>
          </w:tcPr>
          <w:p w14:paraId="2C6FB64D" w14:textId="77777777" w:rsidR="00D177BB" w:rsidRPr="000973F2" w:rsidRDefault="00D177BB" w:rsidP="00EA6D47">
            <w:pPr>
              <w:spacing w:before="40" w:after="40"/>
              <w:rPr>
                <w:rFonts w:ascii="Times New Roman" w:eastAsia="Times New Roman" w:hAnsi="Times New Roman" w:cs="Times New Roman"/>
                <w:bCs w:val="0"/>
                <w:sz w:val="18"/>
                <w:szCs w:val="18"/>
              </w:rPr>
            </w:pPr>
            <w:r w:rsidRPr="000973F2">
              <w:rPr>
                <w:rFonts w:ascii="Times New Roman" w:eastAsia="Times New Roman" w:hAnsi="Times New Roman" w:cs="Times New Roman"/>
                <w:bCs w:val="0"/>
                <w:sz w:val="18"/>
                <w:szCs w:val="18"/>
              </w:rPr>
              <w:t>Activity</w:t>
            </w:r>
          </w:p>
        </w:tc>
        <w:tc>
          <w:tcPr>
            <w:tcW w:w="6120" w:type="dxa"/>
            <w:gridSpan w:val="8"/>
            <w:noWrap/>
            <w:vAlign w:val="top"/>
            <w:hideMark/>
          </w:tcPr>
          <w:p w14:paraId="54B16843" w14:textId="77777777" w:rsidR="00D177BB" w:rsidRPr="000973F2" w:rsidRDefault="00D177BB" w:rsidP="00EA6D47">
            <w:pPr>
              <w:spacing w:before="40" w:after="40"/>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Cs w:val="0"/>
                <w:sz w:val="18"/>
                <w:szCs w:val="18"/>
              </w:rPr>
            </w:pPr>
            <w:r w:rsidRPr="000973F2">
              <w:rPr>
                <w:rFonts w:ascii="Times New Roman" w:eastAsia="Times New Roman" w:hAnsi="Times New Roman" w:cs="Times New Roman"/>
                <w:bCs w:val="0"/>
                <w:sz w:val="18"/>
                <w:szCs w:val="18"/>
              </w:rPr>
              <w:t>Labor Rates (per hour)</w:t>
            </w:r>
          </w:p>
        </w:tc>
        <w:tc>
          <w:tcPr>
            <w:tcW w:w="1605" w:type="dxa"/>
            <w:gridSpan w:val="2"/>
            <w:vMerge w:val="restart"/>
            <w:vAlign w:val="top"/>
            <w:hideMark/>
          </w:tcPr>
          <w:p w14:paraId="34F9A656" w14:textId="77777777" w:rsidR="00D177BB" w:rsidRPr="000973F2" w:rsidRDefault="00D177BB" w:rsidP="00EA6D47">
            <w:pPr>
              <w:spacing w:before="40" w:after="40"/>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Cs w:val="0"/>
                <w:sz w:val="18"/>
                <w:szCs w:val="18"/>
              </w:rPr>
            </w:pPr>
            <w:r w:rsidRPr="000973F2">
              <w:rPr>
                <w:rFonts w:ascii="Times New Roman" w:eastAsia="Times New Roman" w:hAnsi="Times New Roman" w:cs="Times New Roman"/>
                <w:bCs w:val="0"/>
                <w:sz w:val="18"/>
                <w:szCs w:val="18"/>
              </w:rPr>
              <w:t>Total Labor Cost per Year per Facility (2017$)</w:t>
            </w:r>
          </w:p>
        </w:tc>
      </w:tr>
      <w:tr w:rsidR="00D177BB" w:rsidRPr="000973F2" w14:paraId="6D532953" w14:textId="77777777" w:rsidTr="00EA6D47">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1605" w:type="dxa"/>
            <w:vMerge/>
            <w:hideMark/>
          </w:tcPr>
          <w:p w14:paraId="04D86F86" w14:textId="77777777" w:rsidR="00D177BB" w:rsidRPr="000973F2" w:rsidRDefault="00D177BB" w:rsidP="00EA6D47">
            <w:pPr>
              <w:spacing w:before="40" w:after="40"/>
              <w:rPr>
                <w:rFonts w:ascii="Times New Roman" w:eastAsia="Times New Roman" w:hAnsi="Times New Roman" w:cs="Times New Roman"/>
                <w:b/>
                <w:bCs w:val="0"/>
                <w:sz w:val="18"/>
                <w:szCs w:val="18"/>
              </w:rPr>
            </w:pPr>
          </w:p>
        </w:tc>
        <w:tc>
          <w:tcPr>
            <w:tcW w:w="1530" w:type="dxa"/>
            <w:gridSpan w:val="2"/>
            <w:noWrap/>
            <w:hideMark/>
          </w:tcPr>
          <w:p w14:paraId="7E3B18AE" w14:textId="77777777" w:rsidR="00D177BB" w:rsidRPr="000973F2" w:rsidRDefault="00D177BB" w:rsidP="00EA6D47">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18"/>
                <w:szCs w:val="18"/>
              </w:rPr>
            </w:pPr>
            <w:r w:rsidRPr="000973F2">
              <w:rPr>
                <w:rFonts w:ascii="Times New Roman" w:eastAsia="Times New Roman" w:hAnsi="Times New Roman" w:cs="Times New Roman"/>
                <w:b/>
                <w:bCs/>
                <w:sz w:val="18"/>
                <w:szCs w:val="18"/>
              </w:rPr>
              <w:t>Lawyer</w:t>
            </w:r>
          </w:p>
        </w:tc>
        <w:tc>
          <w:tcPr>
            <w:tcW w:w="1530" w:type="dxa"/>
            <w:gridSpan w:val="2"/>
            <w:noWrap/>
            <w:hideMark/>
          </w:tcPr>
          <w:p w14:paraId="3C2EC379" w14:textId="77777777" w:rsidR="00D177BB" w:rsidRPr="000973F2" w:rsidRDefault="00D177BB" w:rsidP="00EA6D47">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18"/>
                <w:szCs w:val="18"/>
              </w:rPr>
            </w:pPr>
            <w:r w:rsidRPr="000973F2">
              <w:rPr>
                <w:rFonts w:ascii="Times New Roman" w:eastAsia="Times New Roman" w:hAnsi="Times New Roman" w:cs="Times New Roman"/>
                <w:b/>
                <w:bCs/>
                <w:sz w:val="18"/>
                <w:szCs w:val="18"/>
              </w:rPr>
              <w:t>Industrial Manager</w:t>
            </w:r>
          </w:p>
        </w:tc>
        <w:tc>
          <w:tcPr>
            <w:tcW w:w="1530" w:type="dxa"/>
            <w:gridSpan w:val="2"/>
            <w:hideMark/>
          </w:tcPr>
          <w:p w14:paraId="690DC0F6" w14:textId="33DDBC23" w:rsidR="00D177BB" w:rsidRPr="000973F2" w:rsidRDefault="00D177BB" w:rsidP="00EA6D47">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18"/>
                <w:szCs w:val="18"/>
              </w:rPr>
            </w:pPr>
            <w:r w:rsidRPr="000973F2">
              <w:rPr>
                <w:rFonts w:ascii="Times New Roman" w:eastAsia="Times New Roman" w:hAnsi="Times New Roman" w:cs="Times New Roman"/>
                <w:b/>
                <w:bCs/>
                <w:sz w:val="18"/>
                <w:szCs w:val="18"/>
              </w:rPr>
              <w:t>Industrial Engineer/</w:t>
            </w:r>
            <w:r w:rsidR="00EA6D47" w:rsidRPr="000973F2">
              <w:rPr>
                <w:rFonts w:ascii="Times New Roman" w:eastAsia="Times New Roman" w:hAnsi="Times New Roman" w:cs="Times New Roman"/>
                <w:b/>
                <w:bCs/>
                <w:sz w:val="18"/>
                <w:szCs w:val="18"/>
              </w:rPr>
              <w:t xml:space="preserve"> </w:t>
            </w:r>
            <w:r w:rsidRPr="000973F2">
              <w:rPr>
                <w:rFonts w:ascii="Times New Roman" w:eastAsia="Times New Roman" w:hAnsi="Times New Roman" w:cs="Times New Roman"/>
                <w:b/>
                <w:bCs/>
                <w:sz w:val="18"/>
                <w:szCs w:val="18"/>
              </w:rPr>
              <w:t>Technician</w:t>
            </w:r>
          </w:p>
        </w:tc>
        <w:tc>
          <w:tcPr>
            <w:tcW w:w="1530" w:type="dxa"/>
            <w:gridSpan w:val="2"/>
            <w:hideMark/>
          </w:tcPr>
          <w:p w14:paraId="4FB08C8F" w14:textId="77777777" w:rsidR="00D177BB" w:rsidRPr="000973F2" w:rsidRDefault="00D177BB" w:rsidP="00EA6D47">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18"/>
                <w:szCs w:val="18"/>
              </w:rPr>
            </w:pPr>
            <w:r w:rsidRPr="000973F2">
              <w:rPr>
                <w:rFonts w:ascii="Times New Roman" w:eastAsia="Times New Roman" w:hAnsi="Times New Roman" w:cs="Times New Roman"/>
                <w:b/>
                <w:bCs/>
                <w:sz w:val="18"/>
                <w:szCs w:val="18"/>
              </w:rPr>
              <w:t>Administrative Support</w:t>
            </w:r>
          </w:p>
        </w:tc>
        <w:tc>
          <w:tcPr>
            <w:tcW w:w="1605" w:type="dxa"/>
            <w:gridSpan w:val="2"/>
            <w:vMerge/>
            <w:hideMark/>
          </w:tcPr>
          <w:p w14:paraId="430D3911" w14:textId="77777777" w:rsidR="00D177BB" w:rsidRPr="000973F2" w:rsidRDefault="00D177BB" w:rsidP="00EA6D47">
            <w:pPr>
              <w:spacing w:before="40" w:after="4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18"/>
                <w:szCs w:val="18"/>
              </w:rPr>
            </w:pPr>
          </w:p>
        </w:tc>
      </w:tr>
      <w:tr w:rsidR="008C2EF5" w:rsidRPr="000973F2" w14:paraId="6635A7B1" w14:textId="77777777" w:rsidTr="00EA6D47">
        <w:trPr>
          <w:cantSplit/>
        </w:trPr>
        <w:tc>
          <w:tcPr>
            <w:cnfStyle w:val="001000000000" w:firstRow="0" w:lastRow="0" w:firstColumn="1" w:lastColumn="0" w:oddVBand="0" w:evenVBand="0" w:oddHBand="0" w:evenHBand="0" w:firstRowFirstColumn="0" w:firstRowLastColumn="0" w:lastRowFirstColumn="0" w:lastRowLastColumn="0"/>
            <w:tcW w:w="1605" w:type="dxa"/>
            <w:vMerge/>
            <w:hideMark/>
          </w:tcPr>
          <w:p w14:paraId="2A65416D" w14:textId="77777777" w:rsidR="00D177BB" w:rsidRPr="000973F2" w:rsidRDefault="00D177BB" w:rsidP="00EA6D47">
            <w:pPr>
              <w:spacing w:before="40" w:after="40"/>
              <w:rPr>
                <w:rFonts w:ascii="Times New Roman" w:eastAsia="Times New Roman" w:hAnsi="Times New Roman" w:cs="Times New Roman"/>
                <w:b/>
                <w:bCs w:val="0"/>
                <w:sz w:val="18"/>
                <w:szCs w:val="18"/>
              </w:rPr>
            </w:pPr>
          </w:p>
        </w:tc>
        <w:tc>
          <w:tcPr>
            <w:tcW w:w="1530" w:type="dxa"/>
            <w:gridSpan w:val="2"/>
            <w:noWrap/>
            <w:hideMark/>
          </w:tcPr>
          <w:p w14:paraId="098BB836" w14:textId="77777777" w:rsidR="00D177BB" w:rsidRPr="000973F2" w:rsidRDefault="00D177BB" w:rsidP="00EA6D47">
            <w:pPr>
              <w:spacing w:before="40" w:after="4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sz w:val="18"/>
                <w:szCs w:val="18"/>
              </w:rPr>
            </w:pPr>
            <w:r w:rsidRPr="000973F2">
              <w:rPr>
                <w:rFonts w:ascii="Times New Roman" w:eastAsia="Times New Roman" w:hAnsi="Times New Roman" w:cs="Times New Roman"/>
                <w:b/>
                <w:bCs/>
                <w:sz w:val="18"/>
                <w:szCs w:val="18"/>
              </w:rPr>
              <w:t xml:space="preserve">$112.23 </w:t>
            </w:r>
          </w:p>
        </w:tc>
        <w:tc>
          <w:tcPr>
            <w:tcW w:w="1530" w:type="dxa"/>
            <w:gridSpan w:val="2"/>
            <w:noWrap/>
            <w:hideMark/>
          </w:tcPr>
          <w:p w14:paraId="50269947" w14:textId="77777777" w:rsidR="00D177BB" w:rsidRPr="000973F2" w:rsidRDefault="00D177BB" w:rsidP="00EA6D47">
            <w:pPr>
              <w:spacing w:before="40" w:after="4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sz w:val="18"/>
                <w:szCs w:val="18"/>
              </w:rPr>
            </w:pPr>
            <w:r w:rsidRPr="000973F2">
              <w:rPr>
                <w:rFonts w:ascii="Times New Roman" w:eastAsia="Times New Roman" w:hAnsi="Times New Roman" w:cs="Times New Roman"/>
                <w:b/>
                <w:bCs/>
                <w:sz w:val="18"/>
                <w:szCs w:val="18"/>
              </w:rPr>
              <w:t xml:space="preserve">$87.45 </w:t>
            </w:r>
          </w:p>
        </w:tc>
        <w:tc>
          <w:tcPr>
            <w:tcW w:w="1530" w:type="dxa"/>
            <w:gridSpan w:val="2"/>
            <w:noWrap/>
            <w:hideMark/>
          </w:tcPr>
          <w:p w14:paraId="73D31254" w14:textId="77777777" w:rsidR="00D177BB" w:rsidRPr="000973F2" w:rsidRDefault="00D177BB" w:rsidP="00EA6D47">
            <w:pPr>
              <w:spacing w:before="40" w:after="4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sz w:val="18"/>
                <w:szCs w:val="18"/>
              </w:rPr>
            </w:pPr>
            <w:r w:rsidRPr="000973F2">
              <w:rPr>
                <w:rFonts w:ascii="Times New Roman" w:eastAsia="Times New Roman" w:hAnsi="Times New Roman" w:cs="Times New Roman"/>
                <w:b/>
                <w:bCs/>
                <w:sz w:val="18"/>
                <w:szCs w:val="18"/>
              </w:rPr>
              <w:t xml:space="preserve">$71.45 </w:t>
            </w:r>
          </w:p>
        </w:tc>
        <w:tc>
          <w:tcPr>
            <w:tcW w:w="1530" w:type="dxa"/>
            <w:gridSpan w:val="2"/>
            <w:noWrap/>
            <w:hideMark/>
          </w:tcPr>
          <w:p w14:paraId="0373230B" w14:textId="77777777" w:rsidR="00D177BB" w:rsidRPr="000973F2" w:rsidRDefault="00D177BB" w:rsidP="00EA6D47">
            <w:pPr>
              <w:spacing w:before="40" w:after="4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sz w:val="18"/>
                <w:szCs w:val="18"/>
              </w:rPr>
            </w:pPr>
            <w:r w:rsidRPr="000973F2">
              <w:rPr>
                <w:rFonts w:ascii="Times New Roman" w:eastAsia="Times New Roman" w:hAnsi="Times New Roman" w:cs="Times New Roman"/>
                <w:b/>
                <w:bCs/>
                <w:sz w:val="18"/>
                <w:szCs w:val="18"/>
              </w:rPr>
              <w:t xml:space="preserve">$36.28 </w:t>
            </w:r>
          </w:p>
        </w:tc>
        <w:tc>
          <w:tcPr>
            <w:tcW w:w="1605" w:type="dxa"/>
            <w:gridSpan w:val="2"/>
            <w:vMerge/>
            <w:hideMark/>
          </w:tcPr>
          <w:p w14:paraId="731420A7" w14:textId="77777777" w:rsidR="00D177BB" w:rsidRPr="000973F2" w:rsidRDefault="00D177BB" w:rsidP="00EA6D47">
            <w:pPr>
              <w:spacing w:before="40" w:after="4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sz w:val="18"/>
                <w:szCs w:val="18"/>
              </w:rPr>
            </w:pPr>
          </w:p>
        </w:tc>
      </w:tr>
      <w:tr w:rsidR="00D021D6" w:rsidRPr="000973F2" w14:paraId="0FD26D01" w14:textId="77777777" w:rsidTr="00EA6D47">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1605" w:type="dxa"/>
            <w:vMerge/>
            <w:hideMark/>
          </w:tcPr>
          <w:p w14:paraId="336F2969" w14:textId="77777777" w:rsidR="00D177BB" w:rsidRPr="000973F2" w:rsidRDefault="00D177BB" w:rsidP="00EA6D47">
            <w:pPr>
              <w:spacing w:before="40" w:after="40"/>
              <w:rPr>
                <w:rFonts w:ascii="Times New Roman" w:eastAsia="Times New Roman" w:hAnsi="Times New Roman" w:cs="Times New Roman"/>
                <w:b/>
                <w:bCs w:val="0"/>
                <w:sz w:val="18"/>
                <w:szCs w:val="18"/>
              </w:rPr>
            </w:pPr>
          </w:p>
        </w:tc>
        <w:tc>
          <w:tcPr>
            <w:tcW w:w="765" w:type="dxa"/>
            <w:tcMar>
              <w:left w:w="14" w:type="dxa"/>
              <w:right w:w="14" w:type="dxa"/>
            </w:tcMar>
            <w:hideMark/>
          </w:tcPr>
          <w:p w14:paraId="3E38FBF8" w14:textId="63C24949" w:rsidR="00D177BB" w:rsidRPr="000973F2" w:rsidRDefault="00D177BB" w:rsidP="00EA6D47">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18"/>
                <w:szCs w:val="18"/>
              </w:rPr>
            </w:pPr>
            <w:r w:rsidRPr="000973F2">
              <w:rPr>
                <w:rFonts w:ascii="Times New Roman" w:eastAsia="Times New Roman" w:hAnsi="Times New Roman" w:cs="Times New Roman"/>
                <w:b/>
                <w:bCs/>
                <w:sz w:val="18"/>
                <w:szCs w:val="18"/>
              </w:rPr>
              <w:t xml:space="preserve">Initial </w:t>
            </w:r>
            <w:r w:rsidR="00132320" w:rsidRPr="000973F2">
              <w:rPr>
                <w:rFonts w:ascii="Times New Roman" w:eastAsia="Times New Roman" w:hAnsi="Times New Roman" w:cs="Times New Roman"/>
                <w:b/>
                <w:bCs/>
                <w:sz w:val="18"/>
                <w:szCs w:val="18"/>
              </w:rPr>
              <w:t>Year Hours</w:t>
            </w:r>
          </w:p>
        </w:tc>
        <w:tc>
          <w:tcPr>
            <w:tcW w:w="765" w:type="dxa"/>
            <w:tcMar>
              <w:left w:w="14" w:type="dxa"/>
              <w:right w:w="14" w:type="dxa"/>
            </w:tcMar>
            <w:hideMark/>
          </w:tcPr>
          <w:p w14:paraId="17CBC42A" w14:textId="39F996BE" w:rsidR="00D177BB" w:rsidRPr="000973F2" w:rsidRDefault="00D177BB" w:rsidP="00EA6D47">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18"/>
                <w:szCs w:val="18"/>
              </w:rPr>
            </w:pPr>
            <w:r w:rsidRPr="000973F2">
              <w:rPr>
                <w:rFonts w:ascii="Times New Roman" w:eastAsia="Times New Roman" w:hAnsi="Times New Roman" w:cs="Times New Roman"/>
                <w:b/>
                <w:bCs/>
                <w:sz w:val="18"/>
                <w:szCs w:val="18"/>
              </w:rPr>
              <w:t xml:space="preserve">Subseq. </w:t>
            </w:r>
            <w:r w:rsidR="00132320" w:rsidRPr="000973F2">
              <w:rPr>
                <w:rFonts w:ascii="Times New Roman" w:eastAsia="Times New Roman" w:hAnsi="Times New Roman" w:cs="Times New Roman"/>
                <w:b/>
                <w:bCs/>
                <w:sz w:val="18"/>
                <w:szCs w:val="18"/>
              </w:rPr>
              <w:t>Year Hours</w:t>
            </w:r>
          </w:p>
        </w:tc>
        <w:tc>
          <w:tcPr>
            <w:tcW w:w="765" w:type="dxa"/>
            <w:tcMar>
              <w:left w:w="14" w:type="dxa"/>
              <w:right w:w="14" w:type="dxa"/>
            </w:tcMar>
            <w:hideMark/>
          </w:tcPr>
          <w:p w14:paraId="212B9D2A" w14:textId="4E22BF2E" w:rsidR="00D177BB" w:rsidRPr="000973F2" w:rsidRDefault="00D177BB" w:rsidP="00EA6D47">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18"/>
                <w:szCs w:val="18"/>
              </w:rPr>
            </w:pPr>
            <w:r w:rsidRPr="000973F2">
              <w:rPr>
                <w:rFonts w:ascii="Times New Roman" w:eastAsia="Times New Roman" w:hAnsi="Times New Roman" w:cs="Times New Roman"/>
                <w:b/>
                <w:bCs/>
                <w:sz w:val="18"/>
                <w:szCs w:val="18"/>
              </w:rPr>
              <w:t xml:space="preserve">Initial </w:t>
            </w:r>
            <w:r w:rsidR="00132320" w:rsidRPr="000973F2">
              <w:rPr>
                <w:rFonts w:ascii="Times New Roman" w:eastAsia="Times New Roman" w:hAnsi="Times New Roman" w:cs="Times New Roman"/>
                <w:b/>
                <w:bCs/>
                <w:sz w:val="18"/>
                <w:szCs w:val="18"/>
              </w:rPr>
              <w:t>Year Hours</w:t>
            </w:r>
          </w:p>
        </w:tc>
        <w:tc>
          <w:tcPr>
            <w:tcW w:w="765" w:type="dxa"/>
            <w:tcMar>
              <w:left w:w="14" w:type="dxa"/>
              <w:right w:w="14" w:type="dxa"/>
            </w:tcMar>
            <w:hideMark/>
          </w:tcPr>
          <w:p w14:paraId="2668AC43" w14:textId="62C6D922" w:rsidR="00D177BB" w:rsidRPr="000973F2" w:rsidRDefault="00D177BB" w:rsidP="00EA6D47">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18"/>
                <w:szCs w:val="18"/>
              </w:rPr>
            </w:pPr>
            <w:r w:rsidRPr="000973F2">
              <w:rPr>
                <w:rFonts w:ascii="Times New Roman" w:eastAsia="Times New Roman" w:hAnsi="Times New Roman" w:cs="Times New Roman"/>
                <w:b/>
                <w:bCs/>
                <w:sz w:val="18"/>
                <w:szCs w:val="18"/>
              </w:rPr>
              <w:t xml:space="preserve">Subseq. </w:t>
            </w:r>
            <w:r w:rsidR="00132320" w:rsidRPr="000973F2">
              <w:rPr>
                <w:rFonts w:ascii="Times New Roman" w:eastAsia="Times New Roman" w:hAnsi="Times New Roman" w:cs="Times New Roman"/>
                <w:b/>
                <w:bCs/>
                <w:sz w:val="18"/>
                <w:szCs w:val="18"/>
              </w:rPr>
              <w:t>Year Hours</w:t>
            </w:r>
          </w:p>
        </w:tc>
        <w:tc>
          <w:tcPr>
            <w:tcW w:w="765" w:type="dxa"/>
            <w:tcMar>
              <w:left w:w="14" w:type="dxa"/>
              <w:right w:w="14" w:type="dxa"/>
            </w:tcMar>
            <w:hideMark/>
          </w:tcPr>
          <w:p w14:paraId="1676CF4A" w14:textId="5E532F0A" w:rsidR="00D177BB" w:rsidRPr="000973F2" w:rsidRDefault="00D177BB" w:rsidP="00EA6D47">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18"/>
                <w:szCs w:val="18"/>
              </w:rPr>
            </w:pPr>
            <w:r w:rsidRPr="000973F2">
              <w:rPr>
                <w:rFonts w:ascii="Times New Roman" w:eastAsia="Times New Roman" w:hAnsi="Times New Roman" w:cs="Times New Roman"/>
                <w:b/>
                <w:bCs/>
                <w:sz w:val="18"/>
                <w:szCs w:val="18"/>
              </w:rPr>
              <w:t xml:space="preserve">Initial </w:t>
            </w:r>
            <w:r w:rsidR="00132320" w:rsidRPr="000973F2">
              <w:rPr>
                <w:rFonts w:ascii="Times New Roman" w:eastAsia="Times New Roman" w:hAnsi="Times New Roman" w:cs="Times New Roman"/>
                <w:b/>
                <w:bCs/>
                <w:sz w:val="18"/>
                <w:szCs w:val="18"/>
              </w:rPr>
              <w:t>Year Hours</w:t>
            </w:r>
          </w:p>
        </w:tc>
        <w:tc>
          <w:tcPr>
            <w:tcW w:w="765" w:type="dxa"/>
            <w:tcMar>
              <w:left w:w="14" w:type="dxa"/>
              <w:right w:w="14" w:type="dxa"/>
            </w:tcMar>
            <w:hideMark/>
          </w:tcPr>
          <w:p w14:paraId="474C3348" w14:textId="1D4B9B8A" w:rsidR="00D177BB" w:rsidRPr="000973F2" w:rsidRDefault="00D177BB" w:rsidP="00EA6D47">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18"/>
                <w:szCs w:val="18"/>
              </w:rPr>
            </w:pPr>
            <w:r w:rsidRPr="000973F2">
              <w:rPr>
                <w:rFonts w:ascii="Times New Roman" w:eastAsia="Times New Roman" w:hAnsi="Times New Roman" w:cs="Times New Roman"/>
                <w:b/>
                <w:bCs/>
                <w:sz w:val="18"/>
                <w:szCs w:val="18"/>
              </w:rPr>
              <w:t xml:space="preserve">Subseq. </w:t>
            </w:r>
            <w:r w:rsidR="00132320" w:rsidRPr="000973F2">
              <w:rPr>
                <w:rFonts w:ascii="Times New Roman" w:eastAsia="Times New Roman" w:hAnsi="Times New Roman" w:cs="Times New Roman"/>
                <w:b/>
                <w:bCs/>
                <w:sz w:val="18"/>
                <w:szCs w:val="18"/>
              </w:rPr>
              <w:t>Year Hours</w:t>
            </w:r>
          </w:p>
        </w:tc>
        <w:tc>
          <w:tcPr>
            <w:tcW w:w="765" w:type="dxa"/>
            <w:tcMar>
              <w:left w:w="14" w:type="dxa"/>
              <w:right w:w="14" w:type="dxa"/>
            </w:tcMar>
            <w:hideMark/>
          </w:tcPr>
          <w:p w14:paraId="3E98C8C2" w14:textId="64BA9CB5" w:rsidR="00D177BB" w:rsidRPr="000973F2" w:rsidRDefault="00D177BB" w:rsidP="00EA6D47">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18"/>
                <w:szCs w:val="18"/>
              </w:rPr>
            </w:pPr>
            <w:r w:rsidRPr="000973F2">
              <w:rPr>
                <w:rFonts w:ascii="Times New Roman" w:eastAsia="Times New Roman" w:hAnsi="Times New Roman" w:cs="Times New Roman"/>
                <w:b/>
                <w:bCs/>
                <w:sz w:val="18"/>
                <w:szCs w:val="18"/>
              </w:rPr>
              <w:t xml:space="preserve">Initial </w:t>
            </w:r>
            <w:r w:rsidR="00132320" w:rsidRPr="000973F2">
              <w:rPr>
                <w:rFonts w:ascii="Times New Roman" w:eastAsia="Times New Roman" w:hAnsi="Times New Roman" w:cs="Times New Roman"/>
                <w:b/>
                <w:bCs/>
                <w:sz w:val="18"/>
                <w:szCs w:val="18"/>
              </w:rPr>
              <w:t>Year Hours</w:t>
            </w:r>
          </w:p>
        </w:tc>
        <w:tc>
          <w:tcPr>
            <w:tcW w:w="765" w:type="dxa"/>
            <w:tcMar>
              <w:left w:w="14" w:type="dxa"/>
              <w:right w:w="14" w:type="dxa"/>
            </w:tcMar>
            <w:hideMark/>
          </w:tcPr>
          <w:p w14:paraId="5A3E0D03" w14:textId="2B829986" w:rsidR="00D177BB" w:rsidRPr="000973F2" w:rsidRDefault="00D177BB" w:rsidP="00EA6D47">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18"/>
                <w:szCs w:val="18"/>
              </w:rPr>
            </w:pPr>
            <w:r w:rsidRPr="000973F2">
              <w:rPr>
                <w:rFonts w:ascii="Times New Roman" w:eastAsia="Times New Roman" w:hAnsi="Times New Roman" w:cs="Times New Roman"/>
                <w:b/>
                <w:bCs/>
                <w:sz w:val="18"/>
                <w:szCs w:val="18"/>
              </w:rPr>
              <w:t xml:space="preserve">Subseq. </w:t>
            </w:r>
            <w:r w:rsidR="00132320" w:rsidRPr="000973F2">
              <w:rPr>
                <w:rFonts w:ascii="Times New Roman" w:eastAsia="Times New Roman" w:hAnsi="Times New Roman" w:cs="Times New Roman"/>
                <w:b/>
                <w:bCs/>
                <w:sz w:val="18"/>
                <w:szCs w:val="18"/>
              </w:rPr>
              <w:t>Year Hours</w:t>
            </w:r>
          </w:p>
        </w:tc>
        <w:tc>
          <w:tcPr>
            <w:tcW w:w="802" w:type="dxa"/>
            <w:tcMar>
              <w:left w:w="14" w:type="dxa"/>
              <w:right w:w="14" w:type="dxa"/>
            </w:tcMar>
            <w:hideMark/>
          </w:tcPr>
          <w:p w14:paraId="19861A50" w14:textId="77777777" w:rsidR="00D177BB" w:rsidRPr="000973F2" w:rsidRDefault="00D177BB" w:rsidP="00EA6D47">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18"/>
                <w:szCs w:val="18"/>
              </w:rPr>
            </w:pPr>
            <w:r w:rsidRPr="000973F2">
              <w:rPr>
                <w:rFonts w:ascii="Times New Roman" w:eastAsia="Times New Roman" w:hAnsi="Times New Roman" w:cs="Times New Roman"/>
                <w:b/>
                <w:bCs/>
                <w:sz w:val="18"/>
                <w:szCs w:val="18"/>
              </w:rPr>
              <w:t>Initial Year</w:t>
            </w:r>
          </w:p>
        </w:tc>
        <w:tc>
          <w:tcPr>
            <w:tcW w:w="803" w:type="dxa"/>
            <w:tcMar>
              <w:left w:w="14" w:type="dxa"/>
              <w:right w:w="14" w:type="dxa"/>
            </w:tcMar>
            <w:hideMark/>
          </w:tcPr>
          <w:p w14:paraId="48AC29F5" w14:textId="77777777" w:rsidR="00D177BB" w:rsidRPr="000973F2" w:rsidRDefault="00D177BB" w:rsidP="00EA6D47">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18"/>
                <w:szCs w:val="18"/>
              </w:rPr>
            </w:pPr>
            <w:r w:rsidRPr="000973F2">
              <w:rPr>
                <w:rFonts w:ascii="Times New Roman" w:eastAsia="Times New Roman" w:hAnsi="Times New Roman" w:cs="Times New Roman"/>
                <w:b/>
                <w:bCs/>
                <w:sz w:val="18"/>
                <w:szCs w:val="18"/>
              </w:rPr>
              <w:t>Subseq. Year</w:t>
            </w:r>
          </w:p>
        </w:tc>
      </w:tr>
      <w:tr w:rsidR="008C2EF5" w:rsidRPr="000973F2" w14:paraId="28A25B52" w14:textId="77777777" w:rsidTr="00EA6D47">
        <w:trPr>
          <w:cantSplit/>
        </w:trPr>
        <w:tc>
          <w:tcPr>
            <w:cnfStyle w:val="001000000000" w:firstRow="0" w:lastRow="0" w:firstColumn="1" w:lastColumn="0" w:oddVBand="0" w:evenVBand="0" w:oddHBand="0" w:evenHBand="0" w:firstRowFirstColumn="0" w:firstRowLastColumn="0" w:lastRowFirstColumn="0" w:lastRowLastColumn="0"/>
            <w:tcW w:w="1605" w:type="dxa"/>
            <w:hideMark/>
          </w:tcPr>
          <w:p w14:paraId="16AC8067" w14:textId="77777777" w:rsidR="00D177BB" w:rsidRPr="000973F2" w:rsidRDefault="00D177BB" w:rsidP="00EA6D47">
            <w:pPr>
              <w:spacing w:before="40" w:after="4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Planning</w:t>
            </w:r>
          </w:p>
        </w:tc>
        <w:tc>
          <w:tcPr>
            <w:tcW w:w="765" w:type="dxa"/>
            <w:noWrap/>
            <w:hideMark/>
          </w:tcPr>
          <w:p w14:paraId="72C6BC5E" w14:textId="77777777" w:rsidR="00D177BB" w:rsidRPr="000973F2" w:rsidRDefault="00D177BB" w:rsidP="000B25DD">
            <w:pPr>
              <w:tabs>
                <w:tab w:val="decimal" w:pos="331"/>
              </w:tabs>
              <w:spacing w:before="40" w:after="4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2</w:t>
            </w:r>
          </w:p>
        </w:tc>
        <w:tc>
          <w:tcPr>
            <w:tcW w:w="765" w:type="dxa"/>
            <w:noWrap/>
            <w:hideMark/>
          </w:tcPr>
          <w:p w14:paraId="4D3550E4" w14:textId="77777777" w:rsidR="00D177BB" w:rsidRPr="000973F2" w:rsidRDefault="00D177BB" w:rsidP="000B25DD">
            <w:pPr>
              <w:tabs>
                <w:tab w:val="decimal" w:pos="331"/>
              </w:tabs>
              <w:spacing w:before="40" w:after="4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1</w:t>
            </w:r>
          </w:p>
        </w:tc>
        <w:tc>
          <w:tcPr>
            <w:tcW w:w="765" w:type="dxa"/>
            <w:noWrap/>
            <w:hideMark/>
          </w:tcPr>
          <w:p w14:paraId="116D26A7" w14:textId="77777777" w:rsidR="00D177BB" w:rsidRPr="000973F2" w:rsidRDefault="00D177BB" w:rsidP="000B25DD">
            <w:pPr>
              <w:tabs>
                <w:tab w:val="decimal" w:pos="331"/>
              </w:tabs>
              <w:spacing w:before="40" w:after="4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1</w:t>
            </w:r>
          </w:p>
        </w:tc>
        <w:tc>
          <w:tcPr>
            <w:tcW w:w="765" w:type="dxa"/>
            <w:noWrap/>
            <w:hideMark/>
          </w:tcPr>
          <w:p w14:paraId="237096C2" w14:textId="77777777" w:rsidR="00D177BB" w:rsidRPr="000973F2" w:rsidRDefault="00D177BB" w:rsidP="000B25DD">
            <w:pPr>
              <w:tabs>
                <w:tab w:val="decimal" w:pos="331"/>
              </w:tabs>
              <w:spacing w:before="40" w:after="4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1</w:t>
            </w:r>
          </w:p>
        </w:tc>
        <w:tc>
          <w:tcPr>
            <w:tcW w:w="765" w:type="dxa"/>
            <w:noWrap/>
            <w:hideMark/>
          </w:tcPr>
          <w:p w14:paraId="31544BE5" w14:textId="77777777" w:rsidR="00D177BB" w:rsidRPr="000973F2" w:rsidRDefault="00D177BB" w:rsidP="000B25DD">
            <w:pPr>
              <w:tabs>
                <w:tab w:val="decimal" w:pos="331"/>
              </w:tabs>
              <w:spacing w:before="40" w:after="4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21</w:t>
            </w:r>
          </w:p>
        </w:tc>
        <w:tc>
          <w:tcPr>
            <w:tcW w:w="765" w:type="dxa"/>
            <w:noWrap/>
            <w:hideMark/>
          </w:tcPr>
          <w:p w14:paraId="09F06B9C" w14:textId="77777777" w:rsidR="00D177BB" w:rsidRPr="000973F2" w:rsidRDefault="00D177BB" w:rsidP="000B25DD">
            <w:pPr>
              <w:tabs>
                <w:tab w:val="decimal" w:pos="331"/>
              </w:tabs>
              <w:spacing w:before="40" w:after="4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1</w:t>
            </w:r>
          </w:p>
        </w:tc>
        <w:tc>
          <w:tcPr>
            <w:tcW w:w="765" w:type="dxa"/>
            <w:noWrap/>
            <w:hideMark/>
          </w:tcPr>
          <w:p w14:paraId="675CE3DC" w14:textId="77777777" w:rsidR="00D177BB" w:rsidRPr="000973F2" w:rsidRDefault="00D177BB" w:rsidP="000B25DD">
            <w:pPr>
              <w:tabs>
                <w:tab w:val="decimal" w:pos="331"/>
              </w:tabs>
              <w:spacing w:before="40" w:after="4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2</w:t>
            </w:r>
          </w:p>
        </w:tc>
        <w:tc>
          <w:tcPr>
            <w:tcW w:w="765" w:type="dxa"/>
            <w:noWrap/>
            <w:hideMark/>
          </w:tcPr>
          <w:p w14:paraId="719E64DB" w14:textId="77777777" w:rsidR="00D177BB" w:rsidRPr="000973F2" w:rsidRDefault="00D177BB" w:rsidP="000B25DD">
            <w:pPr>
              <w:tabs>
                <w:tab w:val="decimal" w:pos="331"/>
              </w:tabs>
              <w:spacing w:before="40" w:after="4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1</w:t>
            </w:r>
          </w:p>
        </w:tc>
        <w:tc>
          <w:tcPr>
            <w:tcW w:w="802" w:type="dxa"/>
            <w:noWrap/>
            <w:hideMark/>
          </w:tcPr>
          <w:p w14:paraId="64902203" w14:textId="5C875C76" w:rsidR="00D177BB" w:rsidRPr="000973F2" w:rsidRDefault="00D177BB" w:rsidP="000B25DD">
            <w:pPr>
              <w:tabs>
                <w:tab w:val="decimal" w:pos="511"/>
              </w:tabs>
              <w:spacing w:before="40" w:after="4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$1,885</w:t>
            </w:r>
          </w:p>
        </w:tc>
        <w:tc>
          <w:tcPr>
            <w:tcW w:w="803" w:type="dxa"/>
            <w:noWrap/>
            <w:hideMark/>
          </w:tcPr>
          <w:p w14:paraId="0875C20E" w14:textId="77777777" w:rsidR="00D177BB" w:rsidRPr="000973F2" w:rsidRDefault="00D177BB" w:rsidP="000B25DD">
            <w:pPr>
              <w:tabs>
                <w:tab w:val="decimal" w:pos="511"/>
              </w:tabs>
              <w:spacing w:before="40" w:after="4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$307</w:t>
            </w:r>
          </w:p>
        </w:tc>
      </w:tr>
      <w:tr w:rsidR="00D021D6" w:rsidRPr="000973F2" w14:paraId="4E5082A1" w14:textId="77777777" w:rsidTr="00EA6D47">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1605" w:type="dxa"/>
            <w:hideMark/>
          </w:tcPr>
          <w:p w14:paraId="77961028" w14:textId="77777777" w:rsidR="00D177BB" w:rsidRPr="000973F2" w:rsidRDefault="00D177BB" w:rsidP="00EA6D47">
            <w:pPr>
              <w:spacing w:before="40" w:after="4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QA/QC</w:t>
            </w:r>
          </w:p>
        </w:tc>
        <w:tc>
          <w:tcPr>
            <w:tcW w:w="765" w:type="dxa"/>
            <w:noWrap/>
            <w:hideMark/>
          </w:tcPr>
          <w:p w14:paraId="52F6D7A6" w14:textId="77777777" w:rsidR="00D177BB" w:rsidRPr="000973F2" w:rsidRDefault="00D177BB" w:rsidP="000B25DD">
            <w:pPr>
              <w:tabs>
                <w:tab w:val="decimal" w:pos="331"/>
              </w:tabs>
              <w:spacing w:before="40" w:after="4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0</w:t>
            </w:r>
          </w:p>
        </w:tc>
        <w:tc>
          <w:tcPr>
            <w:tcW w:w="765" w:type="dxa"/>
            <w:noWrap/>
            <w:hideMark/>
          </w:tcPr>
          <w:p w14:paraId="62BBE4BA" w14:textId="77777777" w:rsidR="00D177BB" w:rsidRPr="000973F2" w:rsidRDefault="00D177BB" w:rsidP="000B25DD">
            <w:pPr>
              <w:tabs>
                <w:tab w:val="decimal" w:pos="331"/>
              </w:tabs>
              <w:spacing w:before="40" w:after="4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0</w:t>
            </w:r>
          </w:p>
        </w:tc>
        <w:tc>
          <w:tcPr>
            <w:tcW w:w="765" w:type="dxa"/>
            <w:noWrap/>
            <w:hideMark/>
          </w:tcPr>
          <w:p w14:paraId="5D42A336" w14:textId="77777777" w:rsidR="00D177BB" w:rsidRPr="000973F2" w:rsidRDefault="00D177BB" w:rsidP="000B25DD">
            <w:pPr>
              <w:tabs>
                <w:tab w:val="decimal" w:pos="331"/>
              </w:tabs>
              <w:spacing w:before="40" w:after="4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1</w:t>
            </w:r>
          </w:p>
        </w:tc>
        <w:tc>
          <w:tcPr>
            <w:tcW w:w="765" w:type="dxa"/>
            <w:noWrap/>
            <w:hideMark/>
          </w:tcPr>
          <w:p w14:paraId="607C412E" w14:textId="77777777" w:rsidR="00D177BB" w:rsidRPr="000973F2" w:rsidRDefault="00D177BB" w:rsidP="000B25DD">
            <w:pPr>
              <w:tabs>
                <w:tab w:val="decimal" w:pos="331"/>
              </w:tabs>
              <w:spacing w:before="40" w:after="4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1</w:t>
            </w:r>
          </w:p>
        </w:tc>
        <w:tc>
          <w:tcPr>
            <w:tcW w:w="765" w:type="dxa"/>
            <w:noWrap/>
            <w:hideMark/>
          </w:tcPr>
          <w:p w14:paraId="19DD7780" w14:textId="77777777" w:rsidR="00D177BB" w:rsidRPr="000973F2" w:rsidRDefault="00D177BB" w:rsidP="000B25DD">
            <w:pPr>
              <w:tabs>
                <w:tab w:val="decimal" w:pos="331"/>
              </w:tabs>
              <w:spacing w:before="40" w:after="4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13</w:t>
            </w:r>
          </w:p>
        </w:tc>
        <w:tc>
          <w:tcPr>
            <w:tcW w:w="765" w:type="dxa"/>
            <w:noWrap/>
            <w:hideMark/>
          </w:tcPr>
          <w:p w14:paraId="603E31A8" w14:textId="77777777" w:rsidR="00D177BB" w:rsidRPr="000973F2" w:rsidRDefault="00D177BB" w:rsidP="000B25DD">
            <w:pPr>
              <w:tabs>
                <w:tab w:val="decimal" w:pos="331"/>
              </w:tabs>
              <w:spacing w:before="40" w:after="4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6</w:t>
            </w:r>
          </w:p>
        </w:tc>
        <w:tc>
          <w:tcPr>
            <w:tcW w:w="765" w:type="dxa"/>
            <w:noWrap/>
            <w:hideMark/>
          </w:tcPr>
          <w:p w14:paraId="4D03D0CC" w14:textId="77777777" w:rsidR="00D177BB" w:rsidRPr="000973F2" w:rsidRDefault="00D177BB" w:rsidP="000B25DD">
            <w:pPr>
              <w:tabs>
                <w:tab w:val="decimal" w:pos="331"/>
              </w:tabs>
              <w:spacing w:before="40" w:after="4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1</w:t>
            </w:r>
          </w:p>
        </w:tc>
        <w:tc>
          <w:tcPr>
            <w:tcW w:w="765" w:type="dxa"/>
            <w:noWrap/>
            <w:hideMark/>
          </w:tcPr>
          <w:p w14:paraId="266E08FD" w14:textId="77777777" w:rsidR="00D177BB" w:rsidRPr="000973F2" w:rsidRDefault="00D177BB" w:rsidP="000B25DD">
            <w:pPr>
              <w:tabs>
                <w:tab w:val="decimal" w:pos="331"/>
              </w:tabs>
              <w:spacing w:before="40" w:after="4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1</w:t>
            </w:r>
          </w:p>
        </w:tc>
        <w:tc>
          <w:tcPr>
            <w:tcW w:w="802" w:type="dxa"/>
            <w:noWrap/>
            <w:hideMark/>
          </w:tcPr>
          <w:p w14:paraId="665B9472" w14:textId="4FF2FB39" w:rsidR="00D177BB" w:rsidRPr="000973F2" w:rsidRDefault="00D177BB" w:rsidP="000B25DD">
            <w:pPr>
              <w:tabs>
                <w:tab w:val="decimal" w:pos="511"/>
              </w:tabs>
              <w:spacing w:before="40" w:after="4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$1,053</w:t>
            </w:r>
          </w:p>
        </w:tc>
        <w:tc>
          <w:tcPr>
            <w:tcW w:w="803" w:type="dxa"/>
            <w:noWrap/>
            <w:hideMark/>
          </w:tcPr>
          <w:p w14:paraId="625ABEA4" w14:textId="2FC4296F" w:rsidR="00D177BB" w:rsidRPr="000973F2" w:rsidRDefault="00D177BB" w:rsidP="000B25DD">
            <w:pPr>
              <w:tabs>
                <w:tab w:val="decimal" w:pos="511"/>
              </w:tabs>
              <w:spacing w:before="40" w:after="4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$552</w:t>
            </w:r>
          </w:p>
        </w:tc>
      </w:tr>
      <w:tr w:rsidR="008C2EF5" w:rsidRPr="000973F2" w14:paraId="7B1C4508" w14:textId="77777777" w:rsidTr="00EA6D47">
        <w:trPr>
          <w:cantSplit/>
        </w:trPr>
        <w:tc>
          <w:tcPr>
            <w:cnfStyle w:val="001000000000" w:firstRow="0" w:lastRow="0" w:firstColumn="1" w:lastColumn="0" w:oddVBand="0" w:evenVBand="0" w:oddHBand="0" w:evenHBand="0" w:firstRowFirstColumn="0" w:firstRowLastColumn="0" w:lastRowFirstColumn="0" w:lastRowLastColumn="0"/>
            <w:tcW w:w="1605" w:type="dxa"/>
            <w:hideMark/>
          </w:tcPr>
          <w:p w14:paraId="01B0274B" w14:textId="77777777" w:rsidR="00D177BB" w:rsidRPr="000973F2" w:rsidRDefault="00D177BB" w:rsidP="00EA6D47">
            <w:pPr>
              <w:spacing w:before="40" w:after="4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Recordkeeping</w:t>
            </w:r>
          </w:p>
        </w:tc>
        <w:tc>
          <w:tcPr>
            <w:tcW w:w="765" w:type="dxa"/>
            <w:noWrap/>
            <w:hideMark/>
          </w:tcPr>
          <w:p w14:paraId="5DE022B0" w14:textId="77777777" w:rsidR="00D177BB" w:rsidRPr="000973F2" w:rsidRDefault="00D177BB" w:rsidP="000B25DD">
            <w:pPr>
              <w:tabs>
                <w:tab w:val="decimal" w:pos="331"/>
              </w:tabs>
              <w:spacing w:before="40" w:after="4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0</w:t>
            </w:r>
          </w:p>
        </w:tc>
        <w:tc>
          <w:tcPr>
            <w:tcW w:w="765" w:type="dxa"/>
            <w:noWrap/>
            <w:hideMark/>
          </w:tcPr>
          <w:p w14:paraId="7A9FADDA" w14:textId="77777777" w:rsidR="00D177BB" w:rsidRPr="000973F2" w:rsidRDefault="00D177BB" w:rsidP="000B25DD">
            <w:pPr>
              <w:tabs>
                <w:tab w:val="decimal" w:pos="331"/>
              </w:tabs>
              <w:spacing w:before="40" w:after="4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0</w:t>
            </w:r>
          </w:p>
        </w:tc>
        <w:tc>
          <w:tcPr>
            <w:tcW w:w="765" w:type="dxa"/>
            <w:noWrap/>
            <w:hideMark/>
          </w:tcPr>
          <w:p w14:paraId="5ADD74F6" w14:textId="77777777" w:rsidR="00D177BB" w:rsidRPr="000973F2" w:rsidRDefault="00D177BB" w:rsidP="000B25DD">
            <w:pPr>
              <w:tabs>
                <w:tab w:val="decimal" w:pos="331"/>
              </w:tabs>
              <w:spacing w:before="40" w:after="4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1</w:t>
            </w:r>
          </w:p>
        </w:tc>
        <w:tc>
          <w:tcPr>
            <w:tcW w:w="765" w:type="dxa"/>
            <w:noWrap/>
            <w:hideMark/>
          </w:tcPr>
          <w:p w14:paraId="7CDCE970" w14:textId="77777777" w:rsidR="00D177BB" w:rsidRPr="000973F2" w:rsidRDefault="00D177BB" w:rsidP="000B25DD">
            <w:pPr>
              <w:tabs>
                <w:tab w:val="decimal" w:pos="331"/>
              </w:tabs>
              <w:spacing w:before="40" w:after="4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1</w:t>
            </w:r>
          </w:p>
        </w:tc>
        <w:tc>
          <w:tcPr>
            <w:tcW w:w="765" w:type="dxa"/>
            <w:noWrap/>
            <w:hideMark/>
          </w:tcPr>
          <w:p w14:paraId="41F4795B" w14:textId="77777777" w:rsidR="00D177BB" w:rsidRPr="000973F2" w:rsidRDefault="00D177BB" w:rsidP="000B25DD">
            <w:pPr>
              <w:tabs>
                <w:tab w:val="decimal" w:pos="331"/>
              </w:tabs>
              <w:spacing w:before="40" w:after="4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13</w:t>
            </w:r>
          </w:p>
        </w:tc>
        <w:tc>
          <w:tcPr>
            <w:tcW w:w="765" w:type="dxa"/>
            <w:noWrap/>
            <w:hideMark/>
          </w:tcPr>
          <w:p w14:paraId="5AE061B6" w14:textId="77777777" w:rsidR="00D177BB" w:rsidRPr="000973F2" w:rsidRDefault="00D177BB" w:rsidP="000B25DD">
            <w:pPr>
              <w:tabs>
                <w:tab w:val="decimal" w:pos="331"/>
              </w:tabs>
              <w:spacing w:before="40" w:after="4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13</w:t>
            </w:r>
          </w:p>
        </w:tc>
        <w:tc>
          <w:tcPr>
            <w:tcW w:w="765" w:type="dxa"/>
            <w:noWrap/>
            <w:hideMark/>
          </w:tcPr>
          <w:p w14:paraId="6D117229" w14:textId="77777777" w:rsidR="00D177BB" w:rsidRPr="000973F2" w:rsidRDefault="00D177BB" w:rsidP="000B25DD">
            <w:pPr>
              <w:tabs>
                <w:tab w:val="decimal" w:pos="331"/>
              </w:tabs>
              <w:spacing w:before="40" w:after="4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1</w:t>
            </w:r>
          </w:p>
        </w:tc>
        <w:tc>
          <w:tcPr>
            <w:tcW w:w="765" w:type="dxa"/>
            <w:noWrap/>
            <w:hideMark/>
          </w:tcPr>
          <w:p w14:paraId="51557013" w14:textId="77777777" w:rsidR="00D177BB" w:rsidRPr="000973F2" w:rsidRDefault="00D177BB" w:rsidP="000B25DD">
            <w:pPr>
              <w:tabs>
                <w:tab w:val="decimal" w:pos="331"/>
              </w:tabs>
              <w:spacing w:before="40" w:after="4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1</w:t>
            </w:r>
          </w:p>
        </w:tc>
        <w:tc>
          <w:tcPr>
            <w:tcW w:w="802" w:type="dxa"/>
            <w:noWrap/>
            <w:hideMark/>
          </w:tcPr>
          <w:p w14:paraId="55B9795E" w14:textId="379CAA2D" w:rsidR="00D177BB" w:rsidRPr="000973F2" w:rsidRDefault="00D177BB" w:rsidP="000B25DD">
            <w:pPr>
              <w:tabs>
                <w:tab w:val="decimal" w:pos="511"/>
              </w:tabs>
              <w:spacing w:before="40" w:after="4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$1,053</w:t>
            </w:r>
          </w:p>
        </w:tc>
        <w:tc>
          <w:tcPr>
            <w:tcW w:w="803" w:type="dxa"/>
            <w:noWrap/>
            <w:hideMark/>
          </w:tcPr>
          <w:p w14:paraId="4771FDA4" w14:textId="137656D4" w:rsidR="00D177BB" w:rsidRPr="000973F2" w:rsidRDefault="00D177BB" w:rsidP="000B25DD">
            <w:pPr>
              <w:tabs>
                <w:tab w:val="decimal" w:pos="511"/>
              </w:tabs>
              <w:spacing w:before="40" w:after="4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$1,053</w:t>
            </w:r>
          </w:p>
        </w:tc>
      </w:tr>
      <w:tr w:rsidR="00D021D6" w:rsidRPr="000973F2" w14:paraId="17E335E5" w14:textId="77777777" w:rsidTr="00EA6D47">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1605" w:type="dxa"/>
            <w:hideMark/>
          </w:tcPr>
          <w:p w14:paraId="0691368D" w14:textId="77777777" w:rsidR="00D177BB" w:rsidRPr="000973F2" w:rsidRDefault="00D177BB" w:rsidP="00EA6D47">
            <w:pPr>
              <w:spacing w:before="40" w:after="4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Sampling and Analysis (Calculations)</w:t>
            </w:r>
          </w:p>
        </w:tc>
        <w:tc>
          <w:tcPr>
            <w:tcW w:w="765" w:type="dxa"/>
            <w:noWrap/>
            <w:hideMark/>
          </w:tcPr>
          <w:p w14:paraId="0BE66F68" w14:textId="77777777" w:rsidR="00D177BB" w:rsidRPr="000973F2" w:rsidRDefault="00D177BB" w:rsidP="000B25DD">
            <w:pPr>
              <w:tabs>
                <w:tab w:val="decimal" w:pos="331"/>
              </w:tabs>
              <w:spacing w:before="40" w:after="4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0</w:t>
            </w:r>
          </w:p>
        </w:tc>
        <w:tc>
          <w:tcPr>
            <w:tcW w:w="765" w:type="dxa"/>
            <w:noWrap/>
            <w:hideMark/>
          </w:tcPr>
          <w:p w14:paraId="224C9464" w14:textId="77777777" w:rsidR="00D177BB" w:rsidRPr="000973F2" w:rsidRDefault="00D177BB" w:rsidP="000B25DD">
            <w:pPr>
              <w:tabs>
                <w:tab w:val="decimal" w:pos="331"/>
              </w:tabs>
              <w:spacing w:before="40" w:after="4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0</w:t>
            </w:r>
          </w:p>
        </w:tc>
        <w:tc>
          <w:tcPr>
            <w:tcW w:w="765" w:type="dxa"/>
            <w:noWrap/>
            <w:hideMark/>
          </w:tcPr>
          <w:p w14:paraId="6EE58F3A" w14:textId="77777777" w:rsidR="00D177BB" w:rsidRPr="000973F2" w:rsidRDefault="00D177BB" w:rsidP="000B25DD">
            <w:pPr>
              <w:tabs>
                <w:tab w:val="decimal" w:pos="331"/>
              </w:tabs>
              <w:spacing w:before="40" w:after="4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1</w:t>
            </w:r>
          </w:p>
        </w:tc>
        <w:tc>
          <w:tcPr>
            <w:tcW w:w="765" w:type="dxa"/>
            <w:noWrap/>
            <w:hideMark/>
          </w:tcPr>
          <w:p w14:paraId="77B4882C" w14:textId="77777777" w:rsidR="00D177BB" w:rsidRPr="000973F2" w:rsidRDefault="00D177BB" w:rsidP="000B25DD">
            <w:pPr>
              <w:tabs>
                <w:tab w:val="decimal" w:pos="331"/>
              </w:tabs>
              <w:spacing w:before="40" w:after="4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0</w:t>
            </w:r>
          </w:p>
        </w:tc>
        <w:tc>
          <w:tcPr>
            <w:tcW w:w="765" w:type="dxa"/>
            <w:noWrap/>
            <w:hideMark/>
          </w:tcPr>
          <w:p w14:paraId="63D8F399" w14:textId="77777777" w:rsidR="00D177BB" w:rsidRPr="000973F2" w:rsidRDefault="00D177BB" w:rsidP="000B25DD">
            <w:pPr>
              <w:tabs>
                <w:tab w:val="decimal" w:pos="331"/>
              </w:tabs>
              <w:spacing w:before="40" w:after="4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16</w:t>
            </w:r>
          </w:p>
        </w:tc>
        <w:tc>
          <w:tcPr>
            <w:tcW w:w="765" w:type="dxa"/>
            <w:noWrap/>
            <w:hideMark/>
          </w:tcPr>
          <w:p w14:paraId="150618EA" w14:textId="77777777" w:rsidR="00D177BB" w:rsidRPr="000973F2" w:rsidRDefault="00D177BB" w:rsidP="000B25DD">
            <w:pPr>
              <w:tabs>
                <w:tab w:val="decimal" w:pos="331"/>
              </w:tabs>
              <w:spacing w:before="40" w:after="4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8</w:t>
            </w:r>
          </w:p>
        </w:tc>
        <w:tc>
          <w:tcPr>
            <w:tcW w:w="765" w:type="dxa"/>
            <w:noWrap/>
            <w:hideMark/>
          </w:tcPr>
          <w:p w14:paraId="25F684CD" w14:textId="77777777" w:rsidR="00D177BB" w:rsidRPr="000973F2" w:rsidRDefault="00D177BB" w:rsidP="000B25DD">
            <w:pPr>
              <w:tabs>
                <w:tab w:val="decimal" w:pos="331"/>
              </w:tabs>
              <w:spacing w:before="40" w:after="4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2</w:t>
            </w:r>
          </w:p>
        </w:tc>
        <w:tc>
          <w:tcPr>
            <w:tcW w:w="765" w:type="dxa"/>
            <w:noWrap/>
            <w:hideMark/>
          </w:tcPr>
          <w:p w14:paraId="7D51845C" w14:textId="77777777" w:rsidR="00D177BB" w:rsidRPr="000973F2" w:rsidRDefault="00D177BB" w:rsidP="000B25DD">
            <w:pPr>
              <w:tabs>
                <w:tab w:val="decimal" w:pos="331"/>
              </w:tabs>
              <w:spacing w:before="40" w:after="4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1</w:t>
            </w:r>
          </w:p>
        </w:tc>
        <w:tc>
          <w:tcPr>
            <w:tcW w:w="802" w:type="dxa"/>
            <w:noWrap/>
            <w:hideMark/>
          </w:tcPr>
          <w:p w14:paraId="3B4FC019" w14:textId="10394C7A" w:rsidR="00D177BB" w:rsidRPr="000973F2" w:rsidRDefault="00D177BB" w:rsidP="000B25DD">
            <w:pPr>
              <w:tabs>
                <w:tab w:val="decimal" w:pos="511"/>
              </w:tabs>
              <w:spacing w:before="40" w:after="4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$1,303</w:t>
            </w:r>
          </w:p>
        </w:tc>
        <w:tc>
          <w:tcPr>
            <w:tcW w:w="803" w:type="dxa"/>
            <w:noWrap/>
            <w:hideMark/>
          </w:tcPr>
          <w:p w14:paraId="7D895087" w14:textId="3DEDABC7" w:rsidR="00D177BB" w:rsidRPr="000973F2" w:rsidRDefault="00D177BB" w:rsidP="000B25DD">
            <w:pPr>
              <w:tabs>
                <w:tab w:val="decimal" w:pos="511"/>
              </w:tabs>
              <w:spacing w:before="40" w:after="4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$608</w:t>
            </w:r>
          </w:p>
        </w:tc>
      </w:tr>
      <w:tr w:rsidR="008C2EF5" w:rsidRPr="000973F2" w14:paraId="08042E0E" w14:textId="77777777" w:rsidTr="00EA6D47">
        <w:trPr>
          <w:cantSplit/>
        </w:trPr>
        <w:tc>
          <w:tcPr>
            <w:cnfStyle w:val="001000000000" w:firstRow="0" w:lastRow="0" w:firstColumn="1" w:lastColumn="0" w:oddVBand="0" w:evenVBand="0" w:oddHBand="0" w:evenHBand="0" w:firstRowFirstColumn="0" w:firstRowLastColumn="0" w:lastRowFirstColumn="0" w:lastRowLastColumn="0"/>
            <w:tcW w:w="1605" w:type="dxa"/>
            <w:hideMark/>
          </w:tcPr>
          <w:p w14:paraId="02974692" w14:textId="77777777" w:rsidR="00D177BB" w:rsidRPr="000973F2" w:rsidRDefault="00D177BB" w:rsidP="00EA6D47">
            <w:pPr>
              <w:spacing w:before="40" w:after="4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Reporting</w:t>
            </w:r>
          </w:p>
        </w:tc>
        <w:tc>
          <w:tcPr>
            <w:tcW w:w="765" w:type="dxa"/>
            <w:noWrap/>
            <w:hideMark/>
          </w:tcPr>
          <w:p w14:paraId="007B013F" w14:textId="77777777" w:rsidR="00D177BB" w:rsidRPr="000973F2" w:rsidRDefault="00D177BB" w:rsidP="000B25DD">
            <w:pPr>
              <w:tabs>
                <w:tab w:val="decimal" w:pos="331"/>
              </w:tabs>
              <w:spacing w:before="40" w:after="4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0</w:t>
            </w:r>
          </w:p>
        </w:tc>
        <w:tc>
          <w:tcPr>
            <w:tcW w:w="765" w:type="dxa"/>
            <w:noWrap/>
            <w:hideMark/>
          </w:tcPr>
          <w:p w14:paraId="09EB75D4" w14:textId="77777777" w:rsidR="00D177BB" w:rsidRPr="000973F2" w:rsidRDefault="00D177BB" w:rsidP="000B25DD">
            <w:pPr>
              <w:tabs>
                <w:tab w:val="decimal" w:pos="331"/>
              </w:tabs>
              <w:spacing w:before="40" w:after="4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0</w:t>
            </w:r>
          </w:p>
        </w:tc>
        <w:tc>
          <w:tcPr>
            <w:tcW w:w="765" w:type="dxa"/>
            <w:noWrap/>
            <w:hideMark/>
          </w:tcPr>
          <w:p w14:paraId="2914095F" w14:textId="77777777" w:rsidR="00D177BB" w:rsidRPr="000973F2" w:rsidRDefault="00D177BB" w:rsidP="000B25DD">
            <w:pPr>
              <w:tabs>
                <w:tab w:val="decimal" w:pos="331"/>
              </w:tabs>
              <w:spacing w:before="40" w:after="4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2</w:t>
            </w:r>
          </w:p>
        </w:tc>
        <w:tc>
          <w:tcPr>
            <w:tcW w:w="765" w:type="dxa"/>
            <w:noWrap/>
            <w:hideMark/>
          </w:tcPr>
          <w:p w14:paraId="00B8538B" w14:textId="77777777" w:rsidR="00D177BB" w:rsidRPr="000973F2" w:rsidRDefault="00D177BB" w:rsidP="000B25DD">
            <w:pPr>
              <w:tabs>
                <w:tab w:val="decimal" w:pos="331"/>
              </w:tabs>
              <w:spacing w:before="40" w:after="4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2</w:t>
            </w:r>
          </w:p>
        </w:tc>
        <w:tc>
          <w:tcPr>
            <w:tcW w:w="765" w:type="dxa"/>
            <w:noWrap/>
            <w:hideMark/>
          </w:tcPr>
          <w:p w14:paraId="3A69B2DE" w14:textId="77777777" w:rsidR="00D177BB" w:rsidRPr="000973F2" w:rsidRDefault="00D177BB" w:rsidP="000B25DD">
            <w:pPr>
              <w:tabs>
                <w:tab w:val="decimal" w:pos="331"/>
              </w:tabs>
              <w:spacing w:before="40" w:after="4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26</w:t>
            </w:r>
          </w:p>
        </w:tc>
        <w:tc>
          <w:tcPr>
            <w:tcW w:w="765" w:type="dxa"/>
            <w:noWrap/>
            <w:hideMark/>
          </w:tcPr>
          <w:p w14:paraId="03FFD169" w14:textId="77777777" w:rsidR="00D177BB" w:rsidRPr="000973F2" w:rsidRDefault="00D177BB" w:rsidP="000B25DD">
            <w:pPr>
              <w:tabs>
                <w:tab w:val="decimal" w:pos="331"/>
              </w:tabs>
              <w:spacing w:before="40" w:after="4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26</w:t>
            </w:r>
          </w:p>
        </w:tc>
        <w:tc>
          <w:tcPr>
            <w:tcW w:w="765" w:type="dxa"/>
            <w:noWrap/>
            <w:hideMark/>
          </w:tcPr>
          <w:p w14:paraId="08115129" w14:textId="77777777" w:rsidR="00D177BB" w:rsidRPr="000973F2" w:rsidRDefault="00D177BB" w:rsidP="000B25DD">
            <w:pPr>
              <w:tabs>
                <w:tab w:val="decimal" w:pos="331"/>
              </w:tabs>
              <w:spacing w:before="40" w:after="4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2</w:t>
            </w:r>
          </w:p>
        </w:tc>
        <w:tc>
          <w:tcPr>
            <w:tcW w:w="765" w:type="dxa"/>
            <w:noWrap/>
            <w:hideMark/>
          </w:tcPr>
          <w:p w14:paraId="1B634539" w14:textId="77777777" w:rsidR="00D177BB" w:rsidRPr="000973F2" w:rsidRDefault="00D177BB" w:rsidP="000B25DD">
            <w:pPr>
              <w:tabs>
                <w:tab w:val="decimal" w:pos="331"/>
              </w:tabs>
              <w:spacing w:before="40" w:after="4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2</w:t>
            </w:r>
          </w:p>
        </w:tc>
        <w:tc>
          <w:tcPr>
            <w:tcW w:w="802" w:type="dxa"/>
            <w:noWrap/>
            <w:hideMark/>
          </w:tcPr>
          <w:p w14:paraId="4A635F71" w14:textId="0137ACC8" w:rsidR="00D177BB" w:rsidRPr="000973F2" w:rsidRDefault="00D177BB" w:rsidP="000B25DD">
            <w:pPr>
              <w:tabs>
                <w:tab w:val="decimal" w:pos="511"/>
              </w:tabs>
              <w:spacing w:before="40" w:after="4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$2,105</w:t>
            </w:r>
          </w:p>
        </w:tc>
        <w:tc>
          <w:tcPr>
            <w:tcW w:w="803" w:type="dxa"/>
            <w:noWrap/>
            <w:hideMark/>
          </w:tcPr>
          <w:p w14:paraId="615153AE" w14:textId="61E3C3F0" w:rsidR="00D177BB" w:rsidRPr="000973F2" w:rsidRDefault="00D177BB" w:rsidP="000B25DD">
            <w:pPr>
              <w:tabs>
                <w:tab w:val="decimal" w:pos="511"/>
              </w:tabs>
              <w:spacing w:before="40" w:after="4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$2,105</w:t>
            </w:r>
          </w:p>
        </w:tc>
      </w:tr>
      <w:tr w:rsidR="00D021D6" w:rsidRPr="000973F2" w14:paraId="5103703B" w14:textId="77777777" w:rsidTr="00EA6D47">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1605" w:type="dxa"/>
            <w:noWrap/>
            <w:hideMark/>
          </w:tcPr>
          <w:p w14:paraId="23677B85" w14:textId="77777777" w:rsidR="00D177BB" w:rsidRPr="000973F2" w:rsidRDefault="00D177BB" w:rsidP="00EA6D47">
            <w:pPr>
              <w:spacing w:before="40" w:after="40"/>
              <w:rPr>
                <w:rFonts w:ascii="Times New Roman" w:eastAsia="Times New Roman" w:hAnsi="Times New Roman" w:cs="Times New Roman"/>
                <w:b/>
                <w:bCs w:val="0"/>
                <w:sz w:val="18"/>
                <w:szCs w:val="18"/>
              </w:rPr>
            </w:pPr>
            <w:r w:rsidRPr="000973F2">
              <w:rPr>
                <w:rFonts w:ascii="Times New Roman" w:eastAsia="Times New Roman" w:hAnsi="Times New Roman" w:cs="Times New Roman"/>
                <w:b/>
                <w:sz w:val="18"/>
                <w:szCs w:val="18"/>
              </w:rPr>
              <w:t>Total</w:t>
            </w:r>
          </w:p>
        </w:tc>
        <w:tc>
          <w:tcPr>
            <w:tcW w:w="765" w:type="dxa"/>
            <w:noWrap/>
            <w:hideMark/>
          </w:tcPr>
          <w:p w14:paraId="53FA6C24" w14:textId="77777777" w:rsidR="00D177BB" w:rsidRPr="000973F2" w:rsidRDefault="00D177BB" w:rsidP="000B25DD">
            <w:pPr>
              <w:tabs>
                <w:tab w:val="decimal" w:pos="331"/>
              </w:tabs>
              <w:spacing w:before="40" w:after="4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18"/>
                <w:szCs w:val="18"/>
              </w:rPr>
            </w:pPr>
            <w:r w:rsidRPr="000973F2">
              <w:rPr>
                <w:rFonts w:ascii="Times New Roman" w:eastAsia="Times New Roman" w:hAnsi="Times New Roman" w:cs="Times New Roman"/>
                <w:b/>
                <w:bCs/>
                <w:sz w:val="18"/>
                <w:szCs w:val="18"/>
              </w:rPr>
              <w:t>2</w:t>
            </w:r>
          </w:p>
        </w:tc>
        <w:tc>
          <w:tcPr>
            <w:tcW w:w="765" w:type="dxa"/>
            <w:noWrap/>
            <w:hideMark/>
          </w:tcPr>
          <w:p w14:paraId="49137E37" w14:textId="77777777" w:rsidR="00D177BB" w:rsidRPr="000973F2" w:rsidRDefault="00D177BB" w:rsidP="000B25DD">
            <w:pPr>
              <w:tabs>
                <w:tab w:val="decimal" w:pos="331"/>
              </w:tabs>
              <w:spacing w:before="40" w:after="4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18"/>
                <w:szCs w:val="18"/>
              </w:rPr>
            </w:pPr>
            <w:r w:rsidRPr="000973F2">
              <w:rPr>
                <w:rFonts w:ascii="Times New Roman" w:eastAsia="Times New Roman" w:hAnsi="Times New Roman" w:cs="Times New Roman"/>
                <w:b/>
                <w:bCs/>
                <w:sz w:val="18"/>
                <w:szCs w:val="18"/>
              </w:rPr>
              <w:t>1</w:t>
            </w:r>
          </w:p>
        </w:tc>
        <w:tc>
          <w:tcPr>
            <w:tcW w:w="765" w:type="dxa"/>
            <w:noWrap/>
            <w:hideMark/>
          </w:tcPr>
          <w:p w14:paraId="0BDDD55B" w14:textId="77777777" w:rsidR="00D177BB" w:rsidRPr="000973F2" w:rsidRDefault="00D177BB" w:rsidP="000B25DD">
            <w:pPr>
              <w:tabs>
                <w:tab w:val="decimal" w:pos="331"/>
              </w:tabs>
              <w:spacing w:before="40" w:after="4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18"/>
                <w:szCs w:val="18"/>
              </w:rPr>
            </w:pPr>
            <w:r w:rsidRPr="000973F2">
              <w:rPr>
                <w:rFonts w:ascii="Times New Roman" w:eastAsia="Times New Roman" w:hAnsi="Times New Roman" w:cs="Times New Roman"/>
                <w:b/>
                <w:bCs/>
                <w:sz w:val="18"/>
                <w:szCs w:val="18"/>
              </w:rPr>
              <w:t>6</w:t>
            </w:r>
          </w:p>
        </w:tc>
        <w:tc>
          <w:tcPr>
            <w:tcW w:w="765" w:type="dxa"/>
            <w:noWrap/>
            <w:hideMark/>
          </w:tcPr>
          <w:p w14:paraId="584EC193" w14:textId="77777777" w:rsidR="00D177BB" w:rsidRPr="000973F2" w:rsidRDefault="00D177BB" w:rsidP="000B25DD">
            <w:pPr>
              <w:tabs>
                <w:tab w:val="decimal" w:pos="331"/>
              </w:tabs>
              <w:spacing w:before="40" w:after="4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18"/>
                <w:szCs w:val="18"/>
              </w:rPr>
            </w:pPr>
            <w:r w:rsidRPr="000973F2">
              <w:rPr>
                <w:rFonts w:ascii="Times New Roman" w:eastAsia="Times New Roman" w:hAnsi="Times New Roman" w:cs="Times New Roman"/>
                <w:b/>
                <w:bCs/>
                <w:sz w:val="18"/>
                <w:szCs w:val="18"/>
              </w:rPr>
              <w:t>5</w:t>
            </w:r>
          </w:p>
        </w:tc>
        <w:tc>
          <w:tcPr>
            <w:tcW w:w="765" w:type="dxa"/>
            <w:noWrap/>
            <w:hideMark/>
          </w:tcPr>
          <w:p w14:paraId="6065031C" w14:textId="77777777" w:rsidR="00D177BB" w:rsidRPr="000973F2" w:rsidRDefault="00D177BB" w:rsidP="000B25DD">
            <w:pPr>
              <w:tabs>
                <w:tab w:val="decimal" w:pos="331"/>
              </w:tabs>
              <w:spacing w:before="40" w:after="4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18"/>
                <w:szCs w:val="18"/>
              </w:rPr>
            </w:pPr>
            <w:r w:rsidRPr="000973F2">
              <w:rPr>
                <w:rFonts w:ascii="Times New Roman" w:eastAsia="Times New Roman" w:hAnsi="Times New Roman" w:cs="Times New Roman"/>
                <w:b/>
                <w:bCs/>
                <w:sz w:val="18"/>
                <w:szCs w:val="18"/>
              </w:rPr>
              <w:t>89</w:t>
            </w:r>
          </w:p>
        </w:tc>
        <w:tc>
          <w:tcPr>
            <w:tcW w:w="765" w:type="dxa"/>
            <w:noWrap/>
            <w:hideMark/>
          </w:tcPr>
          <w:p w14:paraId="1E3539CB" w14:textId="77777777" w:rsidR="00D177BB" w:rsidRPr="000973F2" w:rsidRDefault="00D177BB" w:rsidP="000B25DD">
            <w:pPr>
              <w:tabs>
                <w:tab w:val="decimal" w:pos="331"/>
              </w:tabs>
              <w:spacing w:before="40" w:after="4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18"/>
                <w:szCs w:val="18"/>
              </w:rPr>
            </w:pPr>
            <w:r w:rsidRPr="000973F2">
              <w:rPr>
                <w:rFonts w:ascii="Times New Roman" w:eastAsia="Times New Roman" w:hAnsi="Times New Roman" w:cs="Times New Roman"/>
                <w:b/>
                <w:bCs/>
                <w:sz w:val="18"/>
                <w:szCs w:val="18"/>
              </w:rPr>
              <w:t>54</w:t>
            </w:r>
          </w:p>
        </w:tc>
        <w:tc>
          <w:tcPr>
            <w:tcW w:w="765" w:type="dxa"/>
            <w:noWrap/>
            <w:hideMark/>
          </w:tcPr>
          <w:p w14:paraId="7AF6D471" w14:textId="77777777" w:rsidR="00D177BB" w:rsidRPr="000973F2" w:rsidRDefault="00D177BB" w:rsidP="000B25DD">
            <w:pPr>
              <w:tabs>
                <w:tab w:val="decimal" w:pos="331"/>
              </w:tabs>
              <w:spacing w:before="40" w:after="4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18"/>
                <w:szCs w:val="18"/>
              </w:rPr>
            </w:pPr>
            <w:r w:rsidRPr="000973F2">
              <w:rPr>
                <w:rFonts w:ascii="Times New Roman" w:eastAsia="Times New Roman" w:hAnsi="Times New Roman" w:cs="Times New Roman"/>
                <w:b/>
                <w:bCs/>
                <w:sz w:val="18"/>
                <w:szCs w:val="18"/>
              </w:rPr>
              <w:t>8</w:t>
            </w:r>
          </w:p>
        </w:tc>
        <w:tc>
          <w:tcPr>
            <w:tcW w:w="765" w:type="dxa"/>
            <w:noWrap/>
            <w:hideMark/>
          </w:tcPr>
          <w:p w14:paraId="6A40FFFD" w14:textId="77777777" w:rsidR="00D177BB" w:rsidRPr="000973F2" w:rsidRDefault="00D177BB" w:rsidP="000B25DD">
            <w:pPr>
              <w:tabs>
                <w:tab w:val="decimal" w:pos="331"/>
              </w:tabs>
              <w:spacing w:before="40" w:after="4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18"/>
                <w:szCs w:val="18"/>
              </w:rPr>
            </w:pPr>
            <w:r w:rsidRPr="000973F2">
              <w:rPr>
                <w:rFonts w:ascii="Times New Roman" w:eastAsia="Times New Roman" w:hAnsi="Times New Roman" w:cs="Times New Roman"/>
                <w:b/>
                <w:bCs/>
                <w:sz w:val="18"/>
                <w:szCs w:val="18"/>
              </w:rPr>
              <w:t>6</w:t>
            </w:r>
          </w:p>
        </w:tc>
        <w:tc>
          <w:tcPr>
            <w:tcW w:w="802" w:type="dxa"/>
            <w:noWrap/>
            <w:hideMark/>
          </w:tcPr>
          <w:p w14:paraId="5AA98060" w14:textId="4FEC1A92" w:rsidR="00D177BB" w:rsidRPr="000973F2" w:rsidRDefault="00D177BB" w:rsidP="000B25DD">
            <w:pPr>
              <w:tabs>
                <w:tab w:val="decimal" w:pos="511"/>
              </w:tabs>
              <w:spacing w:before="40" w:after="4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18"/>
                <w:szCs w:val="18"/>
              </w:rPr>
            </w:pPr>
            <w:r w:rsidRPr="000973F2">
              <w:rPr>
                <w:rFonts w:ascii="Times New Roman" w:eastAsia="Times New Roman" w:hAnsi="Times New Roman" w:cs="Times New Roman"/>
                <w:b/>
                <w:bCs/>
                <w:sz w:val="18"/>
                <w:szCs w:val="18"/>
              </w:rPr>
              <w:t>$7,398</w:t>
            </w:r>
          </w:p>
        </w:tc>
        <w:tc>
          <w:tcPr>
            <w:tcW w:w="803" w:type="dxa"/>
            <w:noWrap/>
            <w:hideMark/>
          </w:tcPr>
          <w:p w14:paraId="33AEB932" w14:textId="79E0B56F" w:rsidR="00D177BB" w:rsidRPr="000973F2" w:rsidRDefault="00D177BB" w:rsidP="000B25DD">
            <w:pPr>
              <w:tabs>
                <w:tab w:val="decimal" w:pos="511"/>
              </w:tabs>
              <w:spacing w:before="40" w:after="4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18"/>
                <w:szCs w:val="18"/>
              </w:rPr>
            </w:pPr>
            <w:r w:rsidRPr="000973F2">
              <w:rPr>
                <w:rFonts w:ascii="Times New Roman" w:eastAsia="Times New Roman" w:hAnsi="Times New Roman" w:cs="Times New Roman"/>
                <w:b/>
                <w:bCs/>
                <w:sz w:val="18"/>
                <w:szCs w:val="18"/>
              </w:rPr>
              <w:t>$4,625</w:t>
            </w:r>
          </w:p>
        </w:tc>
      </w:tr>
    </w:tbl>
    <w:p w14:paraId="0BF562B3" w14:textId="77777777" w:rsidR="00D177BB" w:rsidRPr="000973F2" w:rsidRDefault="00D177BB" w:rsidP="00EA6D47">
      <w:pPr>
        <w:pStyle w:val="AfterTable"/>
      </w:pPr>
    </w:p>
    <w:p w14:paraId="5FD829A5" w14:textId="620C8941" w:rsidR="00D177BB" w:rsidRPr="000973F2" w:rsidRDefault="00D177BB" w:rsidP="000B25DD">
      <w:pPr>
        <w:pStyle w:val="Heading2"/>
      </w:pPr>
      <w:r w:rsidRPr="000973F2">
        <w:t xml:space="preserve">Labor Costs for Subpart HH </w:t>
      </w:r>
      <w:r w:rsidR="00B960CC" w:rsidRPr="000973F2">
        <w:t>–</w:t>
      </w:r>
      <w:r w:rsidRPr="000973F2">
        <w:t xml:space="preserve"> Landfills without Gas Collection</w:t>
      </w:r>
    </w:p>
    <w:p w14:paraId="02C276C3" w14:textId="31914D54" w:rsidR="00D177BB" w:rsidRPr="000973F2" w:rsidRDefault="00D177BB" w:rsidP="000B25DD">
      <w:pPr>
        <w:pStyle w:val="BodyText"/>
      </w:pPr>
      <w:r w:rsidRPr="000973F2">
        <w:t xml:space="preserve">Table </w:t>
      </w:r>
      <w:r w:rsidR="000B25DD" w:rsidRPr="000973F2">
        <w:t>HH-</w:t>
      </w:r>
      <w:r w:rsidR="00FD5E97" w:rsidRPr="000973F2">
        <w:t>2</w:t>
      </w:r>
      <w:r w:rsidRPr="000973F2">
        <w:t xml:space="preserve">b below includes the labor hours related to Subpart HH landfills without gas collection systems. Typical activities for each of the labor activities are discussed in the Cost Appendix Introduction. Recordkeeping and reporting hours </w:t>
      </w:r>
      <w:r w:rsidR="00A74D20" w:rsidRPr="000973F2">
        <w:t>are based on</w:t>
      </w:r>
      <w:r w:rsidRPr="000973F2">
        <w:t xml:space="preserve"> the “high bin”</w:t>
      </w:r>
      <w:r w:rsidR="00A74D20" w:rsidRPr="000973F2">
        <w:t xml:space="preserve"> designation.</w:t>
      </w:r>
      <w:r w:rsidRPr="000973F2">
        <w:t xml:space="preserve"> Sampling and analysis (calculations) hours include completion of the measurements and calculations in (§98.346), including calculation of methane generation and emissions, estimating historical waste quantities, and determining annual waste compositions. Initial year costs apply to new facilities expected to begin reporting to Subpart HH during the </w:t>
      </w:r>
      <w:r w:rsidR="004608E5" w:rsidRPr="000973F2">
        <w:t xml:space="preserve">three-year </w:t>
      </w:r>
      <w:r w:rsidRPr="000973F2">
        <w:t xml:space="preserve">period </w:t>
      </w:r>
      <w:r w:rsidR="004608E5" w:rsidRPr="000973F2">
        <w:t>covered by this ICR</w:t>
      </w:r>
      <w:r w:rsidRPr="000973F2">
        <w:t xml:space="preserve">. New facilities in their initial year of reporting will incur additional planning </w:t>
      </w:r>
      <w:r w:rsidR="004608E5" w:rsidRPr="000973F2">
        <w:t xml:space="preserve">hours </w:t>
      </w:r>
      <w:r w:rsidRPr="000973F2">
        <w:t>to familiarize themselves with the rule</w:t>
      </w:r>
      <w:r w:rsidR="004608E5" w:rsidRPr="000973F2">
        <w:t xml:space="preserve"> and hours for</w:t>
      </w:r>
      <w:r w:rsidRPr="000973F2">
        <w:t xml:space="preserve"> setup of compliance activities</w:t>
      </w:r>
      <w:r w:rsidR="004608E5" w:rsidRPr="000973F2">
        <w:t xml:space="preserve"> inc</w:t>
      </w:r>
      <w:r w:rsidR="003A5981" w:rsidRPr="000973F2">
        <w:t>l</w:t>
      </w:r>
      <w:r w:rsidR="004608E5" w:rsidRPr="000973F2">
        <w:t>uding sampling and QA/QC</w:t>
      </w:r>
      <w:r w:rsidRPr="000973F2">
        <w:t>.</w:t>
      </w:r>
    </w:p>
    <w:p w14:paraId="7D074CE8" w14:textId="3A133C27" w:rsidR="00B1422B" w:rsidRPr="000973F2" w:rsidRDefault="00B1422B" w:rsidP="000B25DD">
      <w:pPr>
        <w:pStyle w:val="Tabletitle"/>
      </w:pPr>
      <w:r w:rsidRPr="000973F2">
        <w:t xml:space="preserve">Table </w:t>
      </w:r>
      <w:r w:rsidR="000B25DD" w:rsidRPr="000973F2">
        <w:t>HH-</w:t>
      </w:r>
      <w:r w:rsidRPr="000973F2">
        <w:t xml:space="preserve">2a. Labor Costs </w:t>
      </w:r>
      <w:r w:rsidR="00B960CC" w:rsidRPr="000973F2">
        <w:t>–</w:t>
      </w:r>
      <w:r w:rsidRPr="000973F2">
        <w:t xml:space="preserve"> Subpart HH </w:t>
      </w:r>
      <w:r w:rsidR="00B960CC" w:rsidRPr="000973F2">
        <w:t>–</w:t>
      </w:r>
      <w:r w:rsidRPr="000973F2">
        <w:t xml:space="preserve"> Facilities with Gas Collection Systems</w:t>
      </w:r>
    </w:p>
    <w:tbl>
      <w:tblPr>
        <w:tblStyle w:val="PlainTable1"/>
        <w:tblW w:w="5000" w:type="pct"/>
        <w:jc w:val="left"/>
        <w:tblLayout w:type="fixed"/>
        <w:tblCellMar>
          <w:left w:w="115" w:type="dxa"/>
          <w:right w:w="115" w:type="dxa"/>
        </w:tblCellMar>
        <w:tblLook w:val="04A0" w:firstRow="1" w:lastRow="0" w:firstColumn="1" w:lastColumn="0" w:noHBand="0" w:noVBand="1"/>
      </w:tblPr>
      <w:tblGrid>
        <w:gridCol w:w="1371"/>
        <w:gridCol w:w="832"/>
        <w:gridCol w:w="832"/>
        <w:gridCol w:w="833"/>
        <w:gridCol w:w="833"/>
        <w:gridCol w:w="833"/>
        <w:gridCol w:w="833"/>
        <w:gridCol w:w="833"/>
        <w:gridCol w:w="833"/>
        <w:gridCol w:w="778"/>
        <w:gridCol w:w="779"/>
      </w:tblGrid>
      <w:tr w:rsidR="00B1422B" w:rsidRPr="000973F2" w14:paraId="1A385166" w14:textId="77777777" w:rsidTr="000B25DD">
        <w:trPr>
          <w:cnfStyle w:val="100000000000" w:firstRow="1" w:lastRow="0" w:firstColumn="0" w:lastColumn="0" w:oddVBand="0" w:evenVBand="0" w:oddHBand="0" w:evenHBand="0" w:firstRowFirstColumn="0" w:firstRowLastColumn="0" w:lastRowFirstColumn="0" w:lastRowLastColumn="0"/>
          <w:cantSplit/>
          <w:jc w:val="left"/>
        </w:trPr>
        <w:tc>
          <w:tcPr>
            <w:cnfStyle w:val="001000000000" w:firstRow="0" w:lastRow="0" w:firstColumn="1" w:lastColumn="0" w:oddVBand="0" w:evenVBand="0" w:oddHBand="0" w:evenHBand="0" w:firstRowFirstColumn="0" w:firstRowLastColumn="0" w:lastRowFirstColumn="0" w:lastRowLastColumn="0"/>
            <w:tcW w:w="1335" w:type="dxa"/>
            <w:vMerge w:val="restart"/>
            <w:noWrap/>
            <w:vAlign w:val="top"/>
            <w:hideMark/>
          </w:tcPr>
          <w:p w14:paraId="1C1E4A15" w14:textId="77777777" w:rsidR="00B1422B" w:rsidRPr="000973F2" w:rsidRDefault="00B1422B" w:rsidP="000B25DD">
            <w:pPr>
              <w:spacing w:before="40" w:after="40"/>
              <w:rPr>
                <w:rFonts w:ascii="Times New Roman" w:eastAsia="Times New Roman" w:hAnsi="Times New Roman" w:cs="Times New Roman"/>
                <w:b w:val="0"/>
                <w:bCs w:val="0"/>
                <w:sz w:val="18"/>
                <w:szCs w:val="18"/>
              </w:rPr>
            </w:pPr>
            <w:r w:rsidRPr="000973F2">
              <w:rPr>
                <w:rFonts w:ascii="Times New Roman" w:eastAsia="Times New Roman" w:hAnsi="Times New Roman" w:cs="Times New Roman"/>
                <w:sz w:val="18"/>
                <w:szCs w:val="18"/>
              </w:rPr>
              <w:t>Activity</w:t>
            </w:r>
          </w:p>
        </w:tc>
        <w:tc>
          <w:tcPr>
            <w:tcW w:w="6480" w:type="dxa"/>
            <w:gridSpan w:val="8"/>
            <w:noWrap/>
            <w:vAlign w:val="top"/>
            <w:hideMark/>
          </w:tcPr>
          <w:p w14:paraId="510CCD63" w14:textId="77777777" w:rsidR="00B1422B" w:rsidRPr="000973F2" w:rsidRDefault="00B1422B" w:rsidP="000B25DD">
            <w:pPr>
              <w:spacing w:before="40" w:after="40"/>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bCs w:val="0"/>
                <w:sz w:val="18"/>
                <w:szCs w:val="18"/>
              </w:rPr>
            </w:pPr>
            <w:r w:rsidRPr="000973F2">
              <w:rPr>
                <w:rFonts w:ascii="Times New Roman" w:eastAsia="Times New Roman" w:hAnsi="Times New Roman" w:cs="Times New Roman"/>
                <w:sz w:val="18"/>
                <w:szCs w:val="18"/>
              </w:rPr>
              <w:t>Labor Rates (per hour)</w:t>
            </w:r>
          </w:p>
        </w:tc>
        <w:tc>
          <w:tcPr>
            <w:tcW w:w="1515" w:type="dxa"/>
            <w:gridSpan w:val="2"/>
            <w:vMerge w:val="restart"/>
            <w:vAlign w:val="top"/>
            <w:hideMark/>
          </w:tcPr>
          <w:p w14:paraId="73302CEC" w14:textId="77777777" w:rsidR="00B1422B" w:rsidRPr="000973F2" w:rsidRDefault="00B1422B" w:rsidP="000B25DD">
            <w:pPr>
              <w:spacing w:before="40" w:after="40"/>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bCs w:val="0"/>
                <w:sz w:val="18"/>
                <w:szCs w:val="18"/>
              </w:rPr>
            </w:pPr>
            <w:r w:rsidRPr="000973F2">
              <w:rPr>
                <w:rFonts w:ascii="Times New Roman" w:eastAsia="Times New Roman" w:hAnsi="Times New Roman" w:cs="Times New Roman"/>
                <w:sz w:val="18"/>
                <w:szCs w:val="18"/>
              </w:rPr>
              <w:t>Total Labor Cost per Year per Facility (2017$)</w:t>
            </w:r>
          </w:p>
        </w:tc>
      </w:tr>
      <w:tr w:rsidR="00321E40" w:rsidRPr="000973F2" w14:paraId="5A6D3CE2" w14:textId="77777777" w:rsidTr="000B25DD">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1335" w:type="dxa"/>
            <w:vMerge/>
            <w:hideMark/>
          </w:tcPr>
          <w:p w14:paraId="7D976CAD" w14:textId="77777777" w:rsidR="00B1422B" w:rsidRPr="000973F2" w:rsidRDefault="00B1422B" w:rsidP="000B25DD">
            <w:pPr>
              <w:spacing w:before="40" w:after="40"/>
              <w:rPr>
                <w:rFonts w:ascii="Times New Roman" w:eastAsia="Times New Roman" w:hAnsi="Times New Roman" w:cs="Times New Roman"/>
                <w:b/>
                <w:bCs w:val="0"/>
                <w:sz w:val="18"/>
                <w:szCs w:val="18"/>
              </w:rPr>
            </w:pPr>
          </w:p>
        </w:tc>
        <w:tc>
          <w:tcPr>
            <w:tcW w:w="1620" w:type="dxa"/>
            <w:gridSpan w:val="2"/>
            <w:noWrap/>
            <w:hideMark/>
          </w:tcPr>
          <w:p w14:paraId="353112A6" w14:textId="77777777" w:rsidR="00B1422B" w:rsidRPr="000973F2" w:rsidRDefault="00B1422B" w:rsidP="000B25DD">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18"/>
                <w:szCs w:val="18"/>
              </w:rPr>
            </w:pPr>
            <w:r w:rsidRPr="000973F2">
              <w:rPr>
                <w:rFonts w:ascii="Times New Roman" w:eastAsia="Times New Roman" w:hAnsi="Times New Roman" w:cs="Times New Roman"/>
                <w:b/>
                <w:bCs/>
                <w:sz w:val="18"/>
                <w:szCs w:val="18"/>
              </w:rPr>
              <w:t>Lawyer</w:t>
            </w:r>
          </w:p>
        </w:tc>
        <w:tc>
          <w:tcPr>
            <w:tcW w:w="1620" w:type="dxa"/>
            <w:gridSpan w:val="2"/>
            <w:noWrap/>
            <w:hideMark/>
          </w:tcPr>
          <w:p w14:paraId="36A53010" w14:textId="77777777" w:rsidR="00B1422B" w:rsidRPr="000973F2" w:rsidRDefault="00B1422B" w:rsidP="000B25DD">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18"/>
                <w:szCs w:val="18"/>
              </w:rPr>
            </w:pPr>
            <w:r w:rsidRPr="000973F2">
              <w:rPr>
                <w:rFonts w:ascii="Times New Roman" w:eastAsia="Times New Roman" w:hAnsi="Times New Roman" w:cs="Times New Roman"/>
                <w:b/>
                <w:bCs/>
                <w:sz w:val="18"/>
                <w:szCs w:val="18"/>
              </w:rPr>
              <w:t>Industrial Manager</w:t>
            </w:r>
          </w:p>
        </w:tc>
        <w:tc>
          <w:tcPr>
            <w:tcW w:w="1620" w:type="dxa"/>
            <w:gridSpan w:val="2"/>
            <w:hideMark/>
          </w:tcPr>
          <w:p w14:paraId="7A31B3C5" w14:textId="2FD8E5F5" w:rsidR="00B1422B" w:rsidRPr="000973F2" w:rsidRDefault="00B1422B" w:rsidP="000B25DD">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18"/>
                <w:szCs w:val="18"/>
              </w:rPr>
            </w:pPr>
            <w:r w:rsidRPr="000973F2">
              <w:rPr>
                <w:rFonts w:ascii="Times New Roman" w:eastAsia="Times New Roman" w:hAnsi="Times New Roman" w:cs="Times New Roman"/>
                <w:b/>
                <w:bCs/>
                <w:sz w:val="18"/>
                <w:szCs w:val="18"/>
              </w:rPr>
              <w:t>Industrial Engineer/</w:t>
            </w:r>
            <w:r w:rsidR="000B25DD" w:rsidRPr="000973F2">
              <w:rPr>
                <w:rFonts w:ascii="Times New Roman" w:eastAsia="Times New Roman" w:hAnsi="Times New Roman" w:cs="Times New Roman"/>
                <w:b/>
                <w:bCs/>
                <w:sz w:val="18"/>
                <w:szCs w:val="18"/>
              </w:rPr>
              <w:t xml:space="preserve"> </w:t>
            </w:r>
            <w:r w:rsidRPr="000973F2">
              <w:rPr>
                <w:rFonts w:ascii="Times New Roman" w:eastAsia="Times New Roman" w:hAnsi="Times New Roman" w:cs="Times New Roman"/>
                <w:b/>
                <w:bCs/>
                <w:sz w:val="18"/>
                <w:szCs w:val="18"/>
              </w:rPr>
              <w:t>Technician</w:t>
            </w:r>
          </w:p>
        </w:tc>
        <w:tc>
          <w:tcPr>
            <w:tcW w:w="1620" w:type="dxa"/>
            <w:gridSpan w:val="2"/>
            <w:hideMark/>
          </w:tcPr>
          <w:p w14:paraId="5FCA843A" w14:textId="77777777" w:rsidR="00B1422B" w:rsidRPr="000973F2" w:rsidRDefault="00B1422B" w:rsidP="000B25DD">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18"/>
                <w:szCs w:val="18"/>
              </w:rPr>
            </w:pPr>
            <w:r w:rsidRPr="000973F2">
              <w:rPr>
                <w:rFonts w:ascii="Times New Roman" w:eastAsia="Times New Roman" w:hAnsi="Times New Roman" w:cs="Times New Roman"/>
                <w:b/>
                <w:bCs/>
                <w:sz w:val="18"/>
                <w:szCs w:val="18"/>
              </w:rPr>
              <w:t>Administrative Support</w:t>
            </w:r>
          </w:p>
        </w:tc>
        <w:tc>
          <w:tcPr>
            <w:tcW w:w="1515" w:type="dxa"/>
            <w:gridSpan w:val="2"/>
            <w:vMerge/>
            <w:hideMark/>
          </w:tcPr>
          <w:p w14:paraId="773F820E" w14:textId="77777777" w:rsidR="00B1422B" w:rsidRPr="000973F2" w:rsidRDefault="00B1422B" w:rsidP="000B25DD">
            <w:pPr>
              <w:spacing w:before="40" w:after="4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18"/>
                <w:szCs w:val="18"/>
              </w:rPr>
            </w:pPr>
          </w:p>
        </w:tc>
      </w:tr>
      <w:tr w:rsidR="00B1422B" w:rsidRPr="000973F2" w14:paraId="554CE078" w14:textId="77777777" w:rsidTr="000B25DD">
        <w:trPr>
          <w:cantSplit/>
        </w:trPr>
        <w:tc>
          <w:tcPr>
            <w:cnfStyle w:val="001000000000" w:firstRow="0" w:lastRow="0" w:firstColumn="1" w:lastColumn="0" w:oddVBand="0" w:evenVBand="0" w:oddHBand="0" w:evenHBand="0" w:firstRowFirstColumn="0" w:firstRowLastColumn="0" w:lastRowFirstColumn="0" w:lastRowLastColumn="0"/>
            <w:tcW w:w="1335" w:type="dxa"/>
            <w:vMerge/>
            <w:hideMark/>
          </w:tcPr>
          <w:p w14:paraId="2BC5963A" w14:textId="77777777" w:rsidR="00B1422B" w:rsidRPr="000973F2" w:rsidRDefault="00B1422B" w:rsidP="000B25DD">
            <w:pPr>
              <w:spacing w:before="40" w:after="40"/>
              <w:rPr>
                <w:rFonts w:ascii="Times New Roman" w:eastAsia="Times New Roman" w:hAnsi="Times New Roman" w:cs="Times New Roman"/>
                <w:b/>
                <w:bCs w:val="0"/>
                <w:sz w:val="18"/>
                <w:szCs w:val="18"/>
              </w:rPr>
            </w:pPr>
          </w:p>
        </w:tc>
        <w:tc>
          <w:tcPr>
            <w:tcW w:w="1620" w:type="dxa"/>
            <w:gridSpan w:val="2"/>
            <w:noWrap/>
            <w:hideMark/>
          </w:tcPr>
          <w:p w14:paraId="5620E6AB" w14:textId="77777777" w:rsidR="00B1422B" w:rsidRPr="000973F2" w:rsidRDefault="00B1422B" w:rsidP="000B25DD">
            <w:pPr>
              <w:spacing w:before="40" w:after="4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sz w:val="18"/>
                <w:szCs w:val="18"/>
              </w:rPr>
            </w:pPr>
            <w:r w:rsidRPr="000973F2">
              <w:rPr>
                <w:rFonts w:ascii="Times New Roman" w:eastAsia="Times New Roman" w:hAnsi="Times New Roman" w:cs="Times New Roman"/>
                <w:b/>
                <w:bCs/>
                <w:sz w:val="18"/>
                <w:szCs w:val="18"/>
              </w:rPr>
              <w:t xml:space="preserve">$112.23 </w:t>
            </w:r>
          </w:p>
        </w:tc>
        <w:tc>
          <w:tcPr>
            <w:tcW w:w="1620" w:type="dxa"/>
            <w:gridSpan w:val="2"/>
            <w:noWrap/>
            <w:hideMark/>
          </w:tcPr>
          <w:p w14:paraId="473DFF6B" w14:textId="77777777" w:rsidR="00B1422B" w:rsidRPr="000973F2" w:rsidRDefault="00B1422B" w:rsidP="000B25DD">
            <w:pPr>
              <w:spacing w:before="40" w:after="4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sz w:val="18"/>
                <w:szCs w:val="18"/>
              </w:rPr>
            </w:pPr>
            <w:r w:rsidRPr="000973F2">
              <w:rPr>
                <w:rFonts w:ascii="Times New Roman" w:eastAsia="Times New Roman" w:hAnsi="Times New Roman" w:cs="Times New Roman"/>
                <w:b/>
                <w:bCs/>
                <w:sz w:val="18"/>
                <w:szCs w:val="18"/>
              </w:rPr>
              <w:t xml:space="preserve">$87.45 </w:t>
            </w:r>
          </w:p>
        </w:tc>
        <w:tc>
          <w:tcPr>
            <w:tcW w:w="1620" w:type="dxa"/>
            <w:gridSpan w:val="2"/>
            <w:noWrap/>
            <w:hideMark/>
          </w:tcPr>
          <w:p w14:paraId="307C88C9" w14:textId="77777777" w:rsidR="00B1422B" w:rsidRPr="000973F2" w:rsidRDefault="00B1422B" w:rsidP="000B25DD">
            <w:pPr>
              <w:spacing w:before="40" w:after="4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sz w:val="18"/>
                <w:szCs w:val="18"/>
              </w:rPr>
            </w:pPr>
            <w:r w:rsidRPr="000973F2">
              <w:rPr>
                <w:rFonts w:ascii="Times New Roman" w:eastAsia="Times New Roman" w:hAnsi="Times New Roman" w:cs="Times New Roman"/>
                <w:b/>
                <w:bCs/>
                <w:sz w:val="18"/>
                <w:szCs w:val="18"/>
              </w:rPr>
              <w:t xml:space="preserve">$71.45 </w:t>
            </w:r>
          </w:p>
        </w:tc>
        <w:tc>
          <w:tcPr>
            <w:tcW w:w="1620" w:type="dxa"/>
            <w:gridSpan w:val="2"/>
            <w:noWrap/>
            <w:hideMark/>
          </w:tcPr>
          <w:p w14:paraId="3498437D" w14:textId="77777777" w:rsidR="00B1422B" w:rsidRPr="000973F2" w:rsidRDefault="00B1422B" w:rsidP="000B25DD">
            <w:pPr>
              <w:spacing w:before="40" w:after="4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sz w:val="18"/>
                <w:szCs w:val="18"/>
              </w:rPr>
            </w:pPr>
            <w:r w:rsidRPr="000973F2">
              <w:rPr>
                <w:rFonts w:ascii="Times New Roman" w:eastAsia="Times New Roman" w:hAnsi="Times New Roman" w:cs="Times New Roman"/>
                <w:b/>
                <w:bCs/>
                <w:sz w:val="18"/>
                <w:szCs w:val="18"/>
              </w:rPr>
              <w:t xml:space="preserve">$36.28 </w:t>
            </w:r>
          </w:p>
        </w:tc>
        <w:tc>
          <w:tcPr>
            <w:tcW w:w="1515" w:type="dxa"/>
            <w:gridSpan w:val="2"/>
            <w:vMerge/>
            <w:hideMark/>
          </w:tcPr>
          <w:p w14:paraId="5061DC4A" w14:textId="77777777" w:rsidR="00B1422B" w:rsidRPr="000973F2" w:rsidRDefault="00B1422B" w:rsidP="000B25DD">
            <w:pPr>
              <w:spacing w:before="40" w:after="4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sz w:val="18"/>
                <w:szCs w:val="18"/>
              </w:rPr>
            </w:pPr>
          </w:p>
        </w:tc>
      </w:tr>
      <w:tr w:rsidR="000B25DD" w:rsidRPr="000973F2" w14:paraId="4858BBBC" w14:textId="77777777" w:rsidTr="000B25DD">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1335" w:type="dxa"/>
            <w:vMerge/>
            <w:hideMark/>
          </w:tcPr>
          <w:p w14:paraId="014C306B" w14:textId="77777777" w:rsidR="00B1422B" w:rsidRPr="000973F2" w:rsidRDefault="00B1422B" w:rsidP="000B25DD">
            <w:pPr>
              <w:spacing w:before="40" w:after="40"/>
              <w:rPr>
                <w:rFonts w:ascii="Times New Roman" w:eastAsia="Times New Roman" w:hAnsi="Times New Roman" w:cs="Times New Roman"/>
                <w:b/>
                <w:bCs w:val="0"/>
                <w:sz w:val="18"/>
                <w:szCs w:val="18"/>
              </w:rPr>
            </w:pPr>
          </w:p>
        </w:tc>
        <w:tc>
          <w:tcPr>
            <w:tcW w:w="810" w:type="dxa"/>
            <w:tcMar>
              <w:left w:w="14" w:type="dxa"/>
              <w:right w:w="14" w:type="dxa"/>
            </w:tcMar>
            <w:hideMark/>
          </w:tcPr>
          <w:p w14:paraId="4A80BD5A" w14:textId="13D66368" w:rsidR="00B1422B" w:rsidRPr="000973F2" w:rsidRDefault="00B1422B" w:rsidP="000B25DD">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18"/>
                <w:szCs w:val="18"/>
              </w:rPr>
            </w:pPr>
            <w:r w:rsidRPr="000973F2">
              <w:rPr>
                <w:rFonts w:ascii="Times New Roman" w:eastAsia="Times New Roman" w:hAnsi="Times New Roman" w:cs="Times New Roman"/>
                <w:b/>
                <w:bCs/>
                <w:sz w:val="18"/>
                <w:szCs w:val="18"/>
              </w:rPr>
              <w:t xml:space="preserve">Initial </w:t>
            </w:r>
            <w:r w:rsidR="00132320" w:rsidRPr="000973F2">
              <w:rPr>
                <w:rFonts w:ascii="Times New Roman" w:eastAsia="Times New Roman" w:hAnsi="Times New Roman" w:cs="Times New Roman"/>
                <w:b/>
                <w:bCs/>
                <w:sz w:val="18"/>
                <w:szCs w:val="18"/>
              </w:rPr>
              <w:t>Year Hours</w:t>
            </w:r>
          </w:p>
        </w:tc>
        <w:tc>
          <w:tcPr>
            <w:tcW w:w="810" w:type="dxa"/>
            <w:tcMar>
              <w:left w:w="14" w:type="dxa"/>
              <w:right w:w="14" w:type="dxa"/>
            </w:tcMar>
            <w:hideMark/>
          </w:tcPr>
          <w:p w14:paraId="6C0B05CF" w14:textId="6058A1BB" w:rsidR="00B1422B" w:rsidRPr="000973F2" w:rsidRDefault="00B1422B" w:rsidP="000B25DD">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18"/>
                <w:szCs w:val="18"/>
              </w:rPr>
            </w:pPr>
            <w:r w:rsidRPr="000973F2">
              <w:rPr>
                <w:rFonts w:ascii="Times New Roman" w:eastAsia="Times New Roman" w:hAnsi="Times New Roman" w:cs="Times New Roman"/>
                <w:b/>
                <w:bCs/>
                <w:sz w:val="18"/>
                <w:szCs w:val="18"/>
              </w:rPr>
              <w:t xml:space="preserve">Subseq. </w:t>
            </w:r>
            <w:r w:rsidR="00132320" w:rsidRPr="000973F2">
              <w:rPr>
                <w:rFonts w:ascii="Times New Roman" w:eastAsia="Times New Roman" w:hAnsi="Times New Roman" w:cs="Times New Roman"/>
                <w:b/>
                <w:bCs/>
                <w:sz w:val="18"/>
                <w:szCs w:val="18"/>
              </w:rPr>
              <w:t>Year Hours</w:t>
            </w:r>
          </w:p>
        </w:tc>
        <w:tc>
          <w:tcPr>
            <w:tcW w:w="810" w:type="dxa"/>
            <w:tcMar>
              <w:left w:w="14" w:type="dxa"/>
              <w:right w:w="14" w:type="dxa"/>
            </w:tcMar>
            <w:hideMark/>
          </w:tcPr>
          <w:p w14:paraId="308714C3" w14:textId="40204C1E" w:rsidR="00B1422B" w:rsidRPr="000973F2" w:rsidRDefault="00B1422B" w:rsidP="000B25DD">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18"/>
                <w:szCs w:val="18"/>
              </w:rPr>
            </w:pPr>
            <w:r w:rsidRPr="000973F2">
              <w:rPr>
                <w:rFonts w:ascii="Times New Roman" w:eastAsia="Times New Roman" w:hAnsi="Times New Roman" w:cs="Times New Roman"/>
                <w:b/>
                <w:bCs/>
                <w:sz w:val="18"/>
                <w:szCs w:val="18"/>
              </w:rPr>
              <w:t xml:space="preserve">Initial </w:t>
            </w:r>
            <w:r w:rsidR="00132320" w:rsidRPr="000973F2">
              <w:rPr>
                <w:rFonts w:ascii="Times New Roman" w:eastAsia="Times New Roman" w:hAnsi="Times New Roman" w:cs="Times New Roman"/>
                <w:b/>
                <w:bCs/>
                <w:sz w:val="18"/>
                <w:szCs w:val="18"/>
              </w:rPr>
              <w:t>Year Hours</w:t>
            </w:r>
          </w:p>
        </w:tc>
        <w:tc>
          <w:tcPr>
            <w:tcW w:w="810" w:type="dxa"/>
            <w:tcMar>
              <w:left w:w="14" w:type="dxa"/>
              <w:right w:w="14" w:type="dxa"/>
            </w:tcMar>
            <w:hideMark/>
          </w:tcPr>
          <w:p w14:paraId="7575BF55" w14:textId="661829B2" w:rsidR="00B1422B" w:rsidRPr="000973F2" w:rsidRDefault="00B1422B" w:rsidP="000B25DD">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18"/>
                <w:szCs w:val="18"/>
              </w:rPr>
            </w:pPr>
            <w:r w:rsidRPr="000973F2">
              <w:rPr>
                <w:rFonts w:ascii="Times New Roman" w:eastAsia="Times New Roman" w:hAnsi="Times New Roman" w:cs="Times New Roman"/>
                <w:b/>
                <w:bCs/>
                <w:sz w:val="18"/>
                <w:szCs w:val="18"/>
              </w:rPr>
              <w:t xml:space="preserve">Subseq. </w:t>
            </w:r>
            <w:r w:rsidR="00132320" w:rsidRPr="000973F2">
              <w:rPr>
                <w:rFonts w:ascii="Times New Roman" w:eastAsia="Times New Roman" w:hAnsi="Times New Roman" w:cs="Times New Roman"/>
                <w:b/>
                <w:bCs/>
                <w:sz w:val="18"/>
                <w:szCs w:val="18"/>
              </w:rPr>
              <w:t>Year Hours</w:t>
            </w:r>
          </w:p>
        </w:tc>
        <w:tc>
          <w:tcPr>
            <w:tcW w:w="810" w:type="dxa"/>
            <w:tcMar>
              <w:left w:w="14" w:type="dxa"/>
              <w:right w:w="14" w:type="dxa"/>
            </w:tcMar>
            <w:hideMark/>
          </w:tcPr>
          <w:p w14:paraId="6BBFF076" w14:textId="70A7D6FA" w:rsidR="00B1422B" w:rsidRPr="000973F2" w:rsidRDefault="00B1422B" w:rsidP="000B25DD">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18"/>
                <w:szCs w:val="18"/>
              </w:rPr>
            </w:pPr>
            <w:r w:rsidRPr="000973F2">
              <w:rPr>
                <w:rFonts w:ascii="Times New Roman" w:eastAsia="Times New Roman" w:hAnsi="Times New Roman" w:cs="Times New Roman"/>
                <w:b/>
                <w:bCs/>
                <w:sz w:val="18"/>
                <w:szCs w:val="18"/>
              </w:rPr>
              <w:t xml:space="preserve">Initial </w:t>
            </w:r>
            <w:r w:rsidR="00132320" w:rsidRPr="000973F2">
              <w:rPr>
                <w:rFonts w:ascii="Times New Roman" w:eastAsia="Times New Roman" w:hAnsi="Times New Roman" w:cs="Times New Roman"/>
                <w:b/>
                <w:bCs/>
                <w:sz w:val="18"/>
                <w:szCs w:val="18"/>
              </w:rPr>
              <w:t>Year Hours</w:t>
            </w:r>
          </w:p>
        </w:tc>
        <w:tc>
          <w:tcPr>
            <w:tcW w:w="810" w:type="dxa"/>
            <w:tcMar>
              <w:left w:w="14" w:type="dxa"/>
              <w:right w:w="14" w:type="dxa"/>
            </w:tcMar>
            <w:hideMark/>
          </w:tcPr>
          <w:p w14:paraId="6120E690" w14:textId="7CE3E630" w:rsidR="00B1422B" w:rsidRPr="000973F2" w:rsidRDefault="00B1422B" w:rsidP="000B25DD">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18"/>
                <w:szCs w:val="18"/>
              </w:rPr>
            </w:pPr>
            <w:r w:rsidRPr="000973F2">
              <w:rPr>
                <w:rFonts w:ascii="Times New Roman" w:eastAsia="Times New Roman" w:hAnsi="Times New Roman" w:cs="Times New Roman"/>
                <w:b/>
                <w:bCs/>
                <w:sz w:val="18"/>
                <w:szCs w:val="18"/>
              </w:rPr>
              <w:t xml:space="preserve">Subseq. </w:t>
            </w:r>
            <w:r w:rsidR="00132320" w:rsidRPr="000973F2">
              <w:rPr>
                <w:rFonts w:ascii="Times New Roman" w:eastAsia="Times New Roman" w:hAnsi="Times New Roman" w:cs="Times New Roman"/>
                <w:b/>
                <w:bCs/>
                <w:sz w:val="18"/>
                <w:szCs w:val="18"/>
              </w:rPr>
              <w:t>Year Hours</w:t>
            </w:r>
          </w:p>
        </w:tc>
        <w:tc>
          <w:tcPr>
            <w:tcW w:w="810" w:type="dxa"/>
            <w:tcMar>
              <w:left w:w="14" w:type="dxa"/>
              <w:right w:w="14" w:type="dxa"/>
            </w:tcMar>
            <w:hideMark/>
          </w:tcPr>
          <w:p w14:paraId="3C2337F7" w14:textId="592B9796" w:rsidR="00B1422B" w:rsidRPr="000973F2" w:rsidRDefault="00B1422B" w:rsidP="000B25DD">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18"/>
                <w:szCs w:val="18"/>
              </w:rPr>
            </w:pPr>
            <w:r w:rsidRPr="000973F2">
              <w:rPr>
                <w:rFonts w:ascii="Times New Roman" w:eastAsia="Times New Roman" w:hAnsi="Times New Roman" w:cs="Times New Roman"/>
                <w:b/>
                <w:bCs/>
                <w:sz w:val="18"/>
                <w:szCs w:val="18"/>
              </w:rPr>
              <w:t xml:space="preserve">Initial </w:t>
            </w:r>
            <w:r w:rsidR="00132320" w:rsidRPr="000973F2">
              <w:rPr>
                <w:rFonts w:ascii="Times New Roman" w:eastAsia="Times New Roman" w:hAnsi="Times New Roman" w:cs="Times New Roman"/>
                <w:b/>
                <w:bCs/>
                <w:sz w:val="18"/>
                <w:szCs w:val="18"/>
              </w:rPr>
              <w:t>Year Hours</w:t>
            </w:r>
          </w:p>
        </w:tc>
        <w:tc>
          <w:tcPr>
            <w:tcW w:w="810" w:type="dxa"/>
            <w:tcMar>
              <w:left w:w="14" w:type="dxa"/>
              <w:right w:w="14" w:type="dxa"/>
            </w:tcMar>
            <w:hideMark/>
          </w:tcPr>
          <w:p w14:paraId="244EFF34" w14:textId="0F388BC5" w:rsidR="00B1422B" w:rsidRPr="000973F2" w:rsidRDefault="00B1422B" w:rsidP="000B25DD">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18"/>
                <w:szCs w:val="18"/>
              </w:rPr>
            </w:pPr>
            <w:r w:rsidRPr="000973F2">
              <w:rPr>
                <w:rFonts w:ascii="Times New Roman" w:eastAsia="Times New Roman" w:hAnsi="Times New Roman" w:cs="Times New Roman"/>
                <w:b/>
                <w:bCs/>
                <w:sz w:val="18"/>
                <w:szCs w:val="18"/>
              </w:rPr>
              <w:t xml:space="preserve">Subseq. </w:t>
            </w:r>
            <w:r w:rsidR="00132320" w:rsidRPr="000973F2">
              <w:rPr>
                <w:rFonts w:ascii="Times New Roman" w:eastAsia="Times New Roman" w:hAnsi="Times New Roman" w:cs="Times New Roman"/>
                <w:b/>
                <w:bCs/>
                <w:sz w:val="18"/>
                <w:szCs w:val="18"/>
              </w:rPr>
              <w:t>Year Hours</w:t>
            </w:r>
          </w:p>
        </w:tc>
        <w:tc>
          <w:tcPr>
            <w:tcW w:w="757" w:type="dxa"/>
            <w:tcMar>
              <w:left w:w="14" w:type="dxa"/>
              <w:right w:w="14" w:type="dxa"/>
            </w:tcMar>
            <w:hideMark/>
          </w:tcPr>
          <w:p w14:paraId="05A131C8" w14:textId="77777777" w:rsidR="00B1422B" w:rsidRPr="000973F2" w:rsidRDefault="00B1422B" w:rsidP="000B25DD">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18"/>
                <w:szCs w:val="18"/>
              </w:rPr>
            </w:pPr>
            <w:r w:rsidRPr="000973F2">
              <w:rPr>
                <w:rFonts w:ascii="Times New Roman" w:eastAsia="Times New Roman" w:hAnsi="Times New Roman" w:cs="Times New Roman"/>
                <w:b/>
                <w:bCs/>
                <w:sz w:val="18"/>
                <w:szCs w:val="18"/>
              </w:rPr>
              <w:t>Initial Year</w:t>
            </w:r>
          </w:p>
        </w:tc>
        <w:tc>
          <w:tcPr>
            <w:tcW w:w="758" w:type="dxa"/>
            <w:tcMar>
              <w:left w:w="14" w:type="dxa"/>
              <w:right w:w="14" w:type="dxa"/>
            </w:tcMar>
            <w:hideMark/>
          </w:tcPr>
          <w:p w14:paraId="13FF6880" w14:textId="77777777" w:rsidR="00B1422B" w:rsidRPr="000973F2" w:rsidRDefault="00B1422B" w:rsidP="000B25DD">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18"/>
                <w:szCs w:val="18"/>
              </w:rPr>
            </w:pPr>
            <w:r w:rsidRPr="000973F2">
              <w:rPr>
                <w:rFonts w:ascii="Times New Roman" w:eastAsia="Times New Roman" w:hAnsi="Times New Roman" w:cs="Times New Roman"/>
                <w:b/>
                <w:bCs/>
                <w:sz w:val="18"/>
                <w:szCs w:val="18"/>
              </w:rPr>
              <w:t>Subseq. Year</w:t>
            </w:r>
          </w:p>
        </w:tc>
      </w:tr>
      <w:tr w:rsidR="000B25DD" w:rsidRPr="000973F2" w14:paraId="216A8193" w14:textId="77777777" w:rsidTr="000B25DD">
        <w:trPr>
          <w:cantSplit/>
        </w:trPr>
        <w:tc>
          <w:tcPr>
            <w:cnfStyle w:val="001000000000" w:firstRow="0" w:lastRow="0" w:firstColumn="1" w:lastColumn="0" w:oddVBand="0" w:evenVBand="0" w:oddHBand="0" w:evenHBand="0" w:firstRowFirstColumn="0" w:firstRowLastColumn="0" w:lastRowFirstColumn="0" w:lastRowLastColumn="0"/>
            <w:tcW w:w="1335" w:type="dxa"/>
            <w:hideMark/>
          </w:tcPr>
          <w:p w14:paraId="0F26EED8" w14:textId="77777777" w:rsidR="00B1422B" w:rsidRPr="000973F2" w:rsidRDefault="00B1422B" w:rsidP="000B25DD">
            <w:pPr>
              <w:spacing w:before="40" w:after="4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Planning</w:t>
            </w:r>
          </w:p>
        </w:tc>
        <w:tc>
          <w:tcPr>
            <w:tcW w:w="810" w:type="dxa"/>
            <w:noWrap/>
            <w:hideMark/>
          </w:tcPr>
          <w:p w14:paraId="63A59C40" w14:textId="77777777" w:rsidR="00B1422B" w:rsidRPr="000973F2" w:rsidRDefault="00B1422B" w:rsidP="000B25DD">
            <w:pPr>
              <w:tabs>
                <w:tab w:val="decimal" w:pos="286"/>
              </w:tabs>
              <w:spacing w:before="40" w:after="4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2</w:t>
            </w:r>
          </w:p>
        </w:tc>
        <w:tc>
          <w:tcPr>
            <w:tcW w:w="810" w:type="dxa"/>
            <w:noWrap/>
            <w:hideMark/>
          </w:tcPr>
          <w:p w14:paraId="63681D89" w14:textId="77777777" w:rsidR="00B1422B" w:rsidRPr="000973F2" w:rsidRDefault="00B1422B" w:rsidP="000B25DD">
            <w:pPr>
              <w:tabs>
                <w:tab w:val="decimal" w:pos="286"/>
              </w:tabs>
              <w:spacing w:before="40" w:after="4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1</w:t>
            </w:r>
          </w:p>
        </w:tc>
        <w:tc>
          <w:tcPr>
            <w:tcW w:w="810" w:type="dxa"/>
            <w:noWrap/>
            <w:hideMark/>
          </w:tcPr>
          <w:p w14:paraId="2C420C41" w14:textId="77777777" w:rsidR="00B1422B" w:rsidRPr="000973F2" w:rsidRDefault="00B1422B" w:rsidP="000B25DD">
            <w:pPr>
              <w:tabs>
                <w:tab w:val="decimal" w:pos="286"/>
              </w:tabs>
              <w:spacing w:before="40" w:after="4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1</w:t>
            </w:r>
          </w:p>
        </w:tc>
        <w:tc>
          <w:tcPr>
            <w:tcW w:w="810" w:type="dxa"/>
            <w:noWrap/>
            <w:hideMark/>
          </w:tcPr>
          <w:p w14:paraId="7CDCDA46" w14:textId="77777777" w:rsidR="00B1422B" w:rsidRPr="000973F2" w:rsidRDefault="00B1422B" w:rsidP="000B25DD">
            <w:pPr>
              <w:tabs>
                <w:tab w:val="decimal" w:pos="286"/>
              </w:tabs>
              <w:spacing w:before="40" w:after="4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1</w:t>
            </w:r>
          </w:p>
        </w:tc>
        <w:tc>
          <w:tcPr>
            <w:tcW w:w="810" w:type="dxa"/>
            <w:noWrap/>
            <w:hideMark/>
          </w:tcPr>
          <w:p w14:paraId="3FAEA644" w14:textId="77777777" w:rsidR="00B1422B" w:rsidRPr="000973F2" w:rsidRDefault="00B1422B" w:rsidP="000B25DD">
            <w:pPr>
              <w:tabs>
                <w:tab w:val="decimal" w:pos="286"/>
              </w:tabs>
              <w:spacing w:before="40" w:after="4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21</w:t>
            </w:r>
          </w:p>
        </w:tc>
        <w:tc>
          <w:tcPr>
            <w:tcW w:w="810" w:type="dxa"/>
            <w:noWrap/>
            <w:hideMark/>
          </w:tcPr>
          <w:p w14:paraId="2A2D5BD7" w14:textId="77777777" w:rsidR="00B1422B" w:rsidRPr="000973F2" w:rsidRDefault="00B1422B" w:rsidP="000B25DD">
            <w:pPr>
              <w:tabs>
                <w:tab w:val="decimal" w:pos="286"/>
              </w:tabs>
              <w:spacing w:before="40" w:after="4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1</w:t>
            </w:r>
          </w:p>
        </w:tc>
        <w:tc>
          <w:tcPr>
            <w:tcW w:w="810" w:type="dxa"/>
            <w:noWrap/>
            <w:hideMark/>
          </w:tcPr>
          <w:p w14:paraId="2929187B" w14:textId="77777777" w:rsidR="00B1422B" w:rsidRPr="000973F2" w:rsidRDefault="00B1422B" w:rsidP="000B25DD">
            <w:pPr>
              <w:tabs>
                <w:tab w:val="decimal" w:pos="286"/>
              </w:tabs>
              <w:spacing w:before="40" w:after="4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2</w:t>
            </w:r>
          </w:p>
        </w:tc>
        <w:tc>
          <w:tcPr>
            <w:tcW w:w="810" w:type="dxa"/>
            <w:noWrap/>
            <w:hideMark/>
          </w:tcPr>
          <w:p w14:paraId="289CE434" w14:textId="77777777" w:rsidR="00B1422B" w:rsidRPr="000973F2" w:rsidRDefault="00B1422B" w:rsidP="000B25DD">
            <w:pPr>
              <w:tabs>
                <w:tab w:val="decimal" w:pos="286"/>
              </w:tabs>
              <w:spacing w:before="40" w:after="4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1</w:t>
            </w:r>
          </w:p>
        </w:tc>
        <w:tc>
          <w:tcPr>
            <w:tcW w:w="757" w:type="dxa"/>
            <w:noWrap/>
            <w:hideMark/>
          </w:tcPr>
          <w:p w14:paraId="25EB573D" w14:textId="6EA4F1D8" w:rsidR="00B1422B" w:rsidRPr="000973F2" w:rsidRDefault="00B1422B" w:rsidP="000B25DD">
            <w:pPr>
              <w:tabs>
                <w:tab w:val="decimal" w:pos="421"/>
              </w:tabs>
              <w:spacing w:before="40" w:after="4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$1,885</w:t>
            </w:r>
          </w:p>
        </w:tc>
        <w:tc>
          <w:tcPr>
            <w:tcW w:w="758" w:type="dxa"/>
            <w:noWrap/>
            <w:hideMark/>
          </w:tcPr>
          <w:p w14:paraId="507E896A" w14:textId="77777777" w:rsidR="00B1422B" w:rsidRPr="000973F2" w:rsidRDefault="00B1422B" w:rsidP="000B25DD">
            <w:pPr>
              <w:tabs>
                <w:tab w:val="decimal" w:pos="421"/>
              </w:tabs>
              <w:spacing w:before="40" w:after="4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$307</w:t>
            </w:r>
          </w:p>
        </w:tc>
      </w:tr>
      <w:tr w:rsidR="000B25DD" w:rsidRPr="000973F2" w14:paraId="5CE9E9CE" w14:textId="77777777" w:rsidTr="000B25DD">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1335" w:type="dxa"/>
            <w:hideMark/>
          </w:tcPr>
          <w:p w14:paraId="0DF9A49F" w14:textId="77777777" w:rsidR="00B1422B" w:rsidRPr="000973F2" w:rsidRDefault="00B1422B" w:rsidP="000B25DD">
            <w:pPr>
              <w:spacing w:before="40" w:after="4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QA/QC</w:t>
            </w:r>
          </w:p>
        </w:tc>
        <w:tc>
          <w:tcPr>
            <w:tcW w:w="810" w:type="dxa"/>
            <w:noWrap/>
            <w:hideMark/>
          </w:tcPr>
          <w:p w14:paraId="3D2D0E6D" w14:textId="77777777" w:rsidR="00B1422B" w:rsidRPr="000973F2" w:rsidRDefault="00B1422B" w:rsidP="000B25DD">
            <w:pPr>
              <w:tabs>
                <w:tab w:val="decimal" w:pos="286"/>
              </w:tabs>
              <w:spacing w:before="40" w:after="4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0</w:t>
            </w:r>
          </w:p>
        </w:tc>
        <w:tc>
          <w:tcPr>
            <w:tcW w:w="810" w:type="dxa"/>
            <w:noWrap/>
            <w:hideMark/>
          </w:tcPr>
          <w:p w14:paraId="048F3AF3" w14:textId="77777777" w:rsidR="00B1422B" w:rsidRPr="000973F2" w:rsidRDefault="00B1422B" w:rsidP="000B25DD">
            <w:pPr>
              <w:tabs>
                <w:tab w:val="decimal" w:pos="286"/>
              </w:tabs>
              <w:spacing w:before="40" w:after="4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0</w:t>
            </w:r>
          </w:p>
        </w:tc>
        <w:tc>
          <w:tcPr>
            <w:tcW w:w="810" w:type="dxa"/>
            <w:noWrap/>
            <w:hideMark/>
          </w:tcPr>
          <w:p w14:paraId="05D53D78" w14:textId="77777777" w:rsidR="00B1422B" w:rsidRPr="000973F2" w:rsidRDefault="00B1422B" w:rsidP="000B25DD">
            <w:pPr>
              <w:tabs>
                <w:tab w:val="decimal" w:pos="286"/>
              </w:tabs>
              <w:spacing w:before="40" w:after="4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1</w:t>
            </w:r>
          </w:p>
        </w:tc>
        <w:tc>
          <w:tcPr>
            <w:tcW w:w="810" w:type="dxa"/>
            <w:noWrap/>
            <w:hideMark/>
          </w:tcPr>
          <w:p w14:paraId="60A3D91E" w14:textId="77777777" w:rsidR="00B1422B" w:rsidRPr="000973F2" w:rsidRDefault="00B1422B" w:rsidP="000B25DD">
            <w:pPr>
              <w:tabs>
                <w:tab w:val="decimal" w:pos="286"/>
              </w:tabs>
              <w:spacing w:before="40" w:after="4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1</w:t>
            </w:r>
          </w:p>
        </w:tc>
        <w:tc>
          <w:tcPr>
            <w:tcW w:w="810" w:type="dxa"/>
            <w:noWrap/>
            <w:hideMark/>
          </w:tcPr>
          <w:p w14:paraId="08CD3A67" w14:textId="77777777" w:rsidR="00B1422B" w:rsidRPr="000973F2" w:rsidRDefault="00B1422B" w:rsidP="000B25DD">
            <w:pPr>
              <w:tabs>
                <w:tab w:val="decimal" w:pos="286"/>
              </w:tabs>
              <w:spacing w:before="40" w:after="4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13</w:t>
            </w:r>
          </w:p>
        </w:tc>
        <w:tc>
          <w:tcPr>
            <w:tcW w:w="810" w:type="dxa"/>
            <w:noWrap/>
            <w:hideMark/>
          </w:tcPr>
          <w:p w14:paraId="4446477A" w14:textId="77777777" w:rsidR="00B1422B" w:rsidRPr="000973F2" w:rsidRDefault="00B1422B" w:rsidP="000B25DD">
            <w:pPr>
              <w:tabs>
                <w:tab w:val="decimal" w:pos="286"/>
              </w:tabs>
              <w:spacing w:before="40" w:after="4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6</w:t>
            </w:r>
          </w:p>
        </w:tc>
        <w:tc>
          <w:tcPr>
            <w:tcW w:w="810" w:type="dxa"/>
            <w:noWrap/>
            <w:hideMark/>
          </w:tcPr>
          <w:p w14:paraId="5730E6CA" w14:textId="77777777" w:rsidR="00B1422B" w:rsidRPr="000973F2" w:rsidRDefault="00B1422B" w:rsidP="000B25DD">
            <w:pPr>
              <w:tabs>
                <w:tab w:val="decimal" w:pos="286"/>
              </w:tabs>
              <w:spacing w:before="40" w:after="4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1</w:t>
            </w:r>
          </w:p>
        </w:tc>
        <w:tc>
          <w:tcPr>
            <w:tcW w:w="810" w:type="dxa"/>
            <w:noWrap/>
            <w:hideMark/>
          </w:tcPr>
          <w:p w14:paraId="0A12BA90" w14:textId="77777777" w:rsidR="00B1422B" w:rsidRPr="000973F2" w:rsidRDefault="00B1422B" w:rsidP="000B25DD">
            <w:pPr>
              <w:tabs>
                <w:tab w:val="decimal" w:pos="286"/>
              </w:tabs>
              <w:spacing w:before="40" w:after="4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1</w:t>
            </w:r>
          </w:p>
        </w:tc>
        <w:tc>
          <w:tcPr>
            <w:tcW w:w="757" w:type="dxa"/>
            <w:noWrap/>
            <w:hideMark/>
          </w:tcPr>
          <w:p w14:paraId="0B8BDE5D" w14:textId="48DEEE85" w:rsidR="00B1422B" w:rsidRPr="000973F2" w:rsidRDefault="00B1422B" w:rsidP="000B25DD">
            <w:pPr>
              <w:tabs>
                <w:tab w:val="decimal" w:pos="421"/>
              </w:tabs>
              <w:spacing w:before="40" w:after="4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$1,053</w:t>
            </w:r>
          </w:p>
        </w:tc>
        <w:tc>
          <w:tcPr>
            <w:tcW w:w="758" w:type="dxa"/>
            <w:noWrap/>
            <w:hideMark/>
          </w:tcPr>
          <w:p w14:paraId="0FDE442B" w14:textId="744B1A6F" w:rsidR="00B1422B" w:rsidRPr="000973F2" w:rsidRDefault="00B1422B" w:rsidP="000B25DD">
            <w:pPr>
              <w:tabs>
                <w:tab w:val="decimal" w:pos="421"/>
              </w:tabs>
              <w:spacing w:before="40" w:after="4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$552</w:t>
            </w:r>
          </w:p>
        </w:tc>
      </w:tr>
      <w:tr w:rsidR="000B25DD" w:rsidRPr="000973F2" w14:paraId="1FAF4387" w14:textId="77777777" w:rsidTr="000B25DD">
        <w:trPr>
          <w:cantSplit/>
        </w:trPr>
        <w:tc>
          <w:tcPr>
            <w:cnfStyle w:val="001000000000" w:firstRow="0" w:lastRow="0" w:firstColumn="1" w:lastColumn="0" w:oddVBand="0" w:evenVBand="0" w:oddHBand="0" w:evenHBand="0" w:firstRowFirstColumn="0" w:firstRowLastColumn="0" w:lastRowFirstColumn="0" w:lastRowLastColumn="0"/>
            <w:tcW w:w="1335" w:type="dxa"/>
            <w:hideMark/>
          </w:tcPr>
          <w:p w14:paraId="14BB68EB" w14:textId="77777777" w:rsidR="00B1422B" w:rsidRPr="000973F2" w:rsidRDefault="00B1422B" w:rsidP="000B25DD">
            <w:pPr>
              <w:spacing w:before="40" w:after="4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Recordkeeping</w:t>
            </w:r>
          </w:p>
        </w:tc>
        <w:tc>
          <w:tcPr>
            <w:tcW w:w="810" w:type="dxa"/>
            <w:noWrap/>
            <w:hideMark/>
          </w:tcPr>
          <w:p w14:paraId="74B4B41E" w14:textId="77777777" w:rsidR="00B1422B" w:rsidRPr="000973F2" w:rsidRDefault="00B1422B" w:rsidP="000B25DD">
            <w:pPr>
              <w:tabs>
                <w:tab w:val="decimal" w:pos="286"/>
              </w:tabs>
              <w:spacing w:before="40" w:after="4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0</w:t>
            </w:r>
          </w:p>
        </w:tc>
        <w:tc>
          <w:tcPr>
            <w:tcW w:w="810" w:type="dxa"/>
            <w:noWrap/>
            <w:hideMark/>
          </w:tcPr>
          <w:p w14:paraId="536EDE4E" w14:textId="77777777" w:rsidR="00B1422B" w:rsidRPr="000973F2" w:rsidRDefault="00B1422B" w:rsidP="000B25DD">
            <w:pPr>
              <w:tabs>
                <w:tab w:val="decimal" w:pos="286"/>
              </w:tabs>
              <w:spacing w:before="40" w:after="4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0</w:t>
            </w:r>
          </w:p>
        </w:tc>
        <w:tc>
          <w:tcPr>
            <w:tcW w:w="810" w:type="dxa"/>
            <w:noWrap/>
            <w:hideMark/>
          </w:tcPr>
          <w:p w14:paraId="5F533678" w14:textId="77777777" w:rsidR="00B1422B" w:rsidRPr="000973F2" w:rsidRDefault="00B1422B" w:rsidP="000B25DD">
            <w:pPr>
              <w:tabs>
                <w:tab w:val="decimal" w:pos="286"/>
              </w:tabs>
              <w:spacing w:before="40" w:after="4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1</w:t>
            </w:r>
          </w:p>
        </w:tc>
        <w:tc>
          <w:tcPr>
            <w:tcW w:w="810" w:type="dxa"/>
            <w:noWrap/>
            <w:hideMark/>
          </w:tcPr>
          <w:p w14:paraId="165D7529" w14:textId="77777777" w:rsidR="00B1422B" w:rsidRPr="000973F2" w:rsidRDefault="00B1422B" w:rsidP="000B25DD">
            <w:pPr>
              <w:tabs>
                <w:tab w:val="decimal" w:pos="286"/>
              </w:tabs>
              <w:spacing w:before="40" w:after="4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1</w:t>
            </w:r>
          </w:p>
        </w:tc>
        <w:tc>
          <w:tcPr>
            <w:tcW w:w="810" w:type="dxa"/>
            <w:noWrap/>
            <w:hideMark/>
          </w:tcPr>
          <w:p w14:paraId="1A645806" w14:textId="77777777" w:rsidR="00B1422B" w:rsidRPr="000973F2" w:rsidRDefault="00B1422B" w:rsidP="000B25DD">
            <w:pPr>
              <w:tabs>
                <w:tab w:val="decimal" w:pos="286"/>
              </w:tabs>
              <w:spacing w:before="40" w:after="4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13</w:t>
            </w:r>
          </w:p>
        </w:tc>
        <w:tc>
          <w:tcPr>
            <w:tcW w:w="810" w:type="dxa"/>
            <w:noWrap/>
            <w:hideMark/>
          </w:tcPr>
          <w:p w14:paraId="1691A584" w14:textId="77777777" w:rsidR="00B1422B" w:rsidRPr="000973F2" w:rsidRDefault="00B1422B" w:rsidP="000B25DD">
            <w:pPr>
              <w:tabs>
                <w:tab w:val="decimal" w:pos="286"/>
              </w:tabs>
              <w:spacing w:before="40" w:after="4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13</w:t>
            </w:r>
          </w:p>
        </w:tc>
        <w:tc>
          <w:tcPr>
            <w:tcW w:w="810" w:type="dxa"/>
            <w:noWrap/>
            <w:hideMark/>
          </w:tcPr>
          <w:p w14:paraId="6C87696E" w14:textId="77777777" w:rsidR="00B1422B" w:rsidRPr="000973F2" w:rsidRDefault="00B1422B" w:rsidP="000B25DD">
            <w:pPr>
              <w:tabs>
                <w:tab w:val="decimal" w:pos="286"/>
              </w:tabs>
              <w:spacing w:before="40" w:after="4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1</w:t>
            </w:r>
          </w:p>
        </w:tc>
        <w:tc>
          <w:tcPr>
            <w:tcW w:w="810" w:type="dxa"/>
            <w:noWrap/>
            <w:hideMark/>
          </w:tcPr>
          <w:p w14:paraId="21E48ECF" w14:textId="77777777" w:rsidR="00B1422B" w:rsidRPr="000973F2" w:rsidRDefault="00B1422B" w:rsidP="000B25DD">
            <w:pPr>
              <w:tabs>
                <w:tab w:val="decimal" w:pos="286"/>
              </w:tabs>
              <w:spacing w:before="40" w:after="4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1</w:t>
            </w:r>
          </w:p>
        </w:tc>
        <w:tc>
          <w:tcPr>
            <w:tcW w:w="757" w:type="dxa"/>
            <w:noWrap/>
            <w:hideMark/>
          </w:tcPr>
          <w:p w14:paraId="584759C3" w14:textId="2B713251" w:rsidR="00B1422B" w:rsidRPr="000973F2" w:rsidRDefault="00B1422B" w:rsidP="000B25DD">
            <w:pPr>
              <w:tabs>
                <w:tab w:val="decimal" w:pos="421"/>
              </w:tabs>
              <w:spacing w:before="40" w:after="4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$1,053</w:t>
            </w:r>
          </w:p>
        </w:tc>
        <w:tc>
          <w:tcPr>
            <w:tcW w:w="758" w:type="dxa"/>
            <w:noWrap/>
            <w:hideMark/>
          </w:tcPr>
          <w:p w14:paraId="444B8161" w14:textId="00421222" w:rsidR="00B1422B" w:rsidRPr="000973F2" w:rsidRDefault="00B1422B" w:rsidP="000B25DD">
            <w:pPr>
              <w:tabs>
                <w:tab w:val="decimal" w:pos="421"/>
              </w:tabs>
              <w:spacing w:before="40" w:after="4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$1,053</w:t>
            </w:r>
          </w:p>
        </w:tc>
      </w:tr>
      <w:tr w:rsidR="000B25DD" w:rsidRPr="000973F2" w14:paraId="63B005AA" w14:textId="77777777" w:rsidTr="000B25DD">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1335" w:type="dxa"/>
            <w:hideMark/>
          </w:tcPr>
          <w:p w14:paraId="21BE4AFE" w14:textId="77777777" w:rsidR="00B1422B" w:rsidRPr="000973F2" w:rsidRDefault="00B1422B" w:rsidP="000B25DD">
            <w:pPr>
              <w:spacing w:before="40" w:after="4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Sampling and Analysis (Calculations)</w:t>
            </w:r>
          </w:p>
        </w:tc>
        <w:tc>
          <w:tcPr>
            <w:tcW w:w="810" w:type="dxa"/>
            <w:noWrap/>
            <w:hideMark/>
          </w:tcPr>
          <w:p w14:paraId="1C4FA78D" w14:textId="77777777" w:rsidR="00B1422B" w:rsidRPr="000973F2" w:rsidRDefault="00B1422B" w:rsidP="000B25DD">
            <w:pPr>
              <w:tabs>
                <w:tab w:val="decimal" w:pos="286"/>
              </w:tabs>
              <w:spacing w:before="40" w:after="4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0</w:t>
            </w:r>
          </w:p>
        </w:tc>
        <w:tc>
          <w:tcPr>
            <w:tcW w:w="810" w:type="dxa"/>
            <w:noWrap/>
            <w:hideMark/>
          </w:tcPr>
          <w:p w14:paraId="36DB8552" w14:textId="77777777" w:rsidR="00B1422B" w:rsidRPr="000973F2" w:rsidRDefault="00B1422B" w:rsidP="000B25DD">
            <w:pPr>
              <w:tabs>
                <w:tab w:val="decimal" w:pos="286"/>
              </w:tabs>
              <w:spacing w:before="40" w:after="4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0</w:t>
            </w:r>
          </w:p>
        </w:tc>
        <w:tc>
          <w:tcPr>
            <w:tcW w:w="810" w:type="dxa"/>
            <w:noWrap/>
            <w:hideMark/>
          </w:tcPr>
          <w:p w14:paraId="1E965E01" w14:textId="77777777" w:rsidR="00B1422B" w:rsidRPr="000973F2" w:rsidRDefault="00B1422B" w:rsidP="000B25DD">
            <w:pPr>
              <w:tabs>
                <w:tab w:val="decimal" w:pos="286"/>
              </w:tabs>
              <w:spacing w:before="40" w:after="4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1</w:t>
            </w:r>
          </w:p>
        </w:tc>
        <w:tc>
          <w:tcPr>
            <w:tcW w:w="810" w:type="dxa"/>
            <w:noWrap/>
            <w:hideMark/>
          </w:tcPr>
          <w:p w14:paraId="09A0FD38" w14:textId="77777777" w:rsidR="00B1422B" w:rsidRPr="000973F2" w:rsidRDefault="00B1422B" w:rsidP="000B25DD">
            <w:pPr>
              <w:tabs>
                <w:tab w:val="decimal" w:pos="286"/>
              </w:tabs>
              <w:spacing w:before="40" w:after="4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0</w:t>
            </w:r>
          </w:p>
        </w:tc>
        <w:tc>
          <w:tcPr>
            <w:tcW w:w="810" w:type="dxa"/>
            <w:noWrap/>
            <w:hideMark/>
          </w:tcPr>
          <w:p w14:paraId="001F114F" w14:textId="77777777" w:rsidR="00B1422B" w:rsidRPr="000973F2" w:rsidRDefault="00B1422B" w:rsidP="000B25DD">
            <w:pPr>
              <w:tabs>
                <w:tab w:val="decimal" w:pos="286"/>
              </w:tabs>
              <w:spacing w:before="40" w:after="4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16</w:t>
            </w:r>
          </w:p>
        </w:tc>
        <w:tc>
          <w:tcPr>
            <w:tcW w:w="810" w:type="dxa"/>
            <w:noWrap/>
            <w:hideMark/>
          </w:tcPr>
          <w:p w14:paraId="42E7AD82" w14:textId="77777777" w:rsidR="00B1422B" w:rsidRPr="000973F2" w:rsidRDefault="00B1422B" w:rsidP="000B25DD">
            <w:pPr>
              <w:tabs>
                <w:tab w:val="decimal" w:pos="286"/>
              </w:tabs>
              <w:spacing w:before="40" w:after="4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8</w:t>
            </w:r>
          </w:p>
        </w:tc>
        <w:tc>
          <w:tcPr>
            <w:tcW w:w="810" w:type="dxa"/>
            <w:noWrap/>
            <w:hideMark/>
          </w:tcPr>
          <w:p w14:paraId="4CF83BB4" w14:textId="77777777" w:rsidR="00B1422B" w:rsidRPr="000973F2" w:rsidRDefault="00B1422B" w:rsidP="000B25DD">
            <w:pPr>
              <w:tabs>
                <w:tab w:val="decimal" w:pos="286"/>
              </w:tabs>
              <w:spacing w:before="40" w:after="4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2</w:t>
            </w:r>
          </w:p>
        </w:tc>
        <w:tc>
          <w:tcPr>
            <w:tcW w:w="810" w:type="dxa"/>
            <w:noWrap/>
            <w:hideMark/>
          </w:tcPr>
          <w:p w14:paraId="6A174AB2" w14:textId="77777777" w:rsidR="00B1422B" w:rsidRPr="000973F2" w:rsidRDefault="00B1422B" w:rsidP="000B25DD">
            <w:pPr>
              <w:tabs>
                <w:tab w:val="decimal" w:pos="286"/>
              </w:tabs>
              <w:spacing w:before="40" w:after="4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1</w:t>
            </w:r>
          </w:p>
        </w:tc>
        <w:tc>
          <w:tcPr>
            <w:tcW w:w="757" w:type="dxa"/>
            <w:noWrap/>
            <w:hideMark/>
          </w:tcPr>
          <w:p w14:paraId="1A99747F" w14:textId="1FA7A4FC" w:rsidR="00B1422B" w:rsidRPr="000973F2" w:rsidRDefault="00B1422B" w:rsidP="000B25DD">
            <w:pPr>
              <w:tabs>
                <w:tab w:val="decimal" w:pos="421"/>
              </w:tabs>
              <w:spacing w:before="40" w:after="4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$1,303</w:t>
            </w:r>
          </w:p>
        </w:tc>
        <w:tc>
          <w:tcPr>
            <w:tcW w:w="758" w:type="dxa"/>
            <w:noWrap/>
            <w:hideMark/>
          </w:tcPr>
          <w:p w14:paraId="0C16D9D9" w14:textId="01BE54EF" w:rsidR="00B1422B" w:rsidRPr="000973F2" w:rsidRDefault="00B1422B" w:rsidP="000B25DD">
            <w:pPr>
              <w:tabs>
                <w:tab w:val="decimal" w:pos="421"/>
              </w:tabs>
              <w:spacing w:before="40" w:after="4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$608</w:t>
            </w:r>
          </w:p>
        </w:tc>
      </w:tr>
      <w:tr w:rsidR="000B25DD" w:rsidRPr="000973F2" w14:paraId="614AF44A" w14:textId="77777777" w:rsidTr="000B25DD">
        <w:trPr>
          <w:cantSplit/>
        </w:trPr>
        <w:tc>
          <w:tcPr>
            <w:cnfStyle w:val="001000000000" w:firstRow="0" w:lastRow="0" w:firstColumn="1" w:lastColumn="0" w:oddVBand="0" w:evenVBand="0" w:oddHBand="0" w:evenHBand="0" w:firstRowFirstColumn="0" w:firstRowLastColumn="0" w:lastRowFirstColumn="0" w:lastRowLastColumn="0"/>
            <w:tcW w:w="1335" w:type="dxa"/>
            <w:hideMark/>
          </w:tcPr>
          <w:p w14:paraId="72D62E8F" w14:textId="77777777" w:rsidR="00B1422B" w:rsidRPr="000973F2" w:rsidRDefault="00B1422B" w:rsidP="000B25DD">
            <w:pPr>
              <w:spacing w:before="40" w:after="4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Reporting</w:t>
            </w:r>
          </w:p>
        </w:tc>
        <w:tc>
          <w:tcPr>
            <w:tcW w:w="810" w:type="dxa"/>
            <w:noWrap/>
            <w:hideMark/>
          </w:tcPr>
          <w:p w14:paraId="1DC5220E" w14:textId="77777777" w:rsidR="00B1422B" w:rsidRPr="000973F2" w:rsidRDefault="00B1422B" w:rsidP="000B25DD">
            <w:pPr>
              <w:tabs>
                <w:tab w:val="decimal" w:pos="286"/>
              </w:tabs>
              <w:spacing w:before="40" w:after="4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0</w:t>
            </w:r>
          </w:p>
        </w:tc>
        <w:tc>
          <w:tcPr>
            <w:tcW w:w="810" w:type="dxa"/>
            <w:noWrap/>
            <w:hideMark/>
          </w:tcPr>
          <w:p w14:paraId="2EB8418A" w14:textId="77777777" w:rsidR="00B1422B" w:rsidRPr="000973F2" w:rsidRDefault="00B1422B" w:rsidP="000B25DD">
            <w:pPr>
              <w:tabs>
                <w:tab w:val="decimal" w:pos="286"/>
              </w:tabs>
              <w:spacing w:before="40" w:after="4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0</w:t>
            </w:r>
          </w:p>
        </w:tc>
        <w:tc>
          <w:tcPr>
            <w:tcW w:w="810" w:type="dxa"/>
            <w:noWrap/>
            <w:hideMark/>
          </w:tcPr>
          <w:p w14:paraId="6DB7056D" w14:textId="77777777" w:rsidR="00B1422B" w:rsidRPr="000973F2" w:rsidRDefault="00B1422B" w:rsidP="000B25DD">
            <w:pPr>
              <w:tabs>
                <w:tab w:val="decimal" w:pos="286"/>
              </w:tabs>
              <w:spacing w:before="40" w:after="4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2</w:t>
            </w:r>
          </w:p>
        </w:tc>
        <w:tc>
          <w:tcPr>
            <w:tcW w:w="810" w:type="dxa"/>
            <w:noWrap/>
            <w:hideMark/>
          </w:tcPr>
          <w:p w14:paraId="21580C94" w14:textId="77777777" w:rsidR="00B1422B" w:rsidRPr="000973F2" w:rsidRDefault="00B1422B" w:rsidP="000B25DD">
            <w:pPr>
              <w:tabs>
                <w:tab w:val="decimal" w:pos="286"/>
              </w:tabs>
              <w:spacing w:before="40" w:after="4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2</w:t>
            </w:r>
          </w:p>
        </w:tc>
        <w:tc>
          <w:tcPr>
            <w:tcW w:w="810" w:type="dxa"/>
            <w:noWrap/>
            <w:hideMark/>
          </w:tcPr>
          <w:p w14:paraId="49E7457C" w14:textId="77777777" w:rsidR="00B1422B" w:rsidRPr="000973F2" w:rsidRDefault="00B1422B" w:rsidP="000B25DD">
            <w:pPr>
              <w:tabs>
                <w:tab w:val="decimal" w:pos="286"/>
              </w:tabs>
              <w:spacing w:before="40" w:after="4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26</w:t>
            </w:r>
          </w:p>
        </w:tc>
        <w:tc>
          <w:tcPr>
            <w:tcW w:w="810" w:type="dxa"/>
            <w:noWrap/>
            <w:hideMark/>
          </w:tcPr>
          <w:p w14:paraId="486176F8" w14:textId="77777777" w:rsidR="00B1422B" w:rsidRPr="000973F2" w:rsidRDefault="00B1422B" w:rsidP="000B25DD">
            <w:pPr>
              <w:tabs>
                <w:tab w:val="decimal" w:pos="286"/>
              </w:tabs>
              <w:spacing w:before="40" w:after="4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26</w:t>
            </w:r>
          </w:p>
        </w:tc>
        <w:tc>
          <w:tcPr>
            <w:tcW w:w="810" w:type="dxa"/>
            <w:noWrap/>
            <w:hideMark/>
          </w:tcPr>
          <w:p w14:paraId="5E1DE886" w14:textId="77777777" w:rsidR="00B1422B" w:rsidRPr="000973F2" w:rsidRDefault="00B1422B" w:rsidP="000B25DD">
            <w:pPr>
              <w:tabs>
                <w:tab w:val="decimal" w:pos="286"/>
              </w:tabs>
              <w:spacing w:before="40" w:after="4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2</w:t>
            </w:r>
          </w:p>
        </w:tc>
        <w:tc>
          <w:tcPr>
            <w:tcW w:w="810" w:type="dxa"/>
            <w:noWrap/>
            <w:hideMark/>
          </w:tcPr>
          <w:p w14:paraId="3C6E541E" w14:textId="77777777" w:rsidR="00B1422B" w:rsidRPr="000973F2" w:rsidRDefault="00B1422B" w:rsidP="000B25DD">
            <w:pPr>
              <w:tabs>
                <w:tab w:val="decimal" w:pos="286"/>
              </w:tabs>
              <w:spacing w:before="40" w:after="4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2</w:t>
            </w:r>
          </w:p>
        </w:tc>
        <w:tc>
          <w:tcPr>
            <w:tcW w:w="757" w:type="dxa"/>
            <w:noWrap/>
            <w:hideMark/>
          </w:tcPr>
          <w:p w14:paraId="6F9DCAE7" w14:textId="7D712279" w:rsidR="00B1422B" w:rsidRPr="000973F2" w:rsidRDefault="00B1422B" w:rsidP="000B25DD">
            <w:pPr>
              <w:tabs>
                <w:tab w:val="decimal" w:pos="421"/>
              </w:tabs>
              <w:spacing w:before="40" w:after="4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$2,105</w:t>
            </w:r>
          </w:p>
        </w:tc>
        <w:tc>
          <w:tcPr>
            <w:tcW w:w="758" w:type="dxa"/>
            <w:noWrap/>
            <w:hideMark/>
          </w:tcPr>
          <w:p w14:paraId="137DEF1D" w14:textId="7DCCF93D" w:rsidR="00B1422B" w:rsidRPr="000973F2" w:rsidRDefault="00B1422B" w:rsidP="000B25DD">
            <w:pPr>
              <w:tabs>
                <w:tab w:val="decimal" w:pos="421"/>
              </w:tabs>
              <w:spacing w:before="40" w:after="4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$2,105</w:t>
            </w:r>
          </w:p>
        </w:tc>
      </w:tr>
      <w:tr w:rsidR="000B25DD" w:rsidRPr="000973F2" w14:paraId="5A34C88E" w14:textId="77777777" w:rsidTr="000B25DD">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1335" w:type="dxa"/>
            <w:noWrap/>
            <w:hideMark/>
          </w:tcPr>
          <w:p w14:paraId="138AA309" w14:textId="77777777" w:rsidR="00B1422B" w:rsidRPr="000973F2" w:rsidRDefault="00B1422B" w:rsidP="000B25DD">
            <w:pPr>
              <w:spacing w:before="40" w:after="40"/>
              <w:rPr>
                <w:rFonts w:ascii="Times New Roman" w:eastAsia="Times New Roman" w:hAnsi="Times New Roman" w:cs="Times New Roman"/>
                <w:b/>
                <w:bCs w:val="0"/>
                <w:sz w:val="18"/>
                <w:szCs w:val="18"/>
              </w:rPr>
            </w:pPr>
            <w:r w:rsidRPr="000973F2">
              <w:rPr>
                <w:rFonts w:ascii="Times New Roman" w:eastAsia="Times New Roman" w:hAnsi="Times New Roman" w:cs="Times New Roman"/>
                <w:b/>
                <w:sz w:val="18"/>
                <w:szCs w:val="18"/>
              </w:rPr>
              <w:t>Total</w:t>
            </w:r>
          </w:p>
        </w:tc>
        <w:tc>
          <w:tcPr>
            <w:tcW w:w="810" w:type="dxa"/>
            <w:noWrap/>
            <w:hideMark/>
          </w:tcPr>
          <w:p w14:paraId="489D562D" w14:textId="77777777" w:rsidR="00B1422B" w:rsidRPr="000973F2" w:rsidRDefault="00B1422B" w:rsidP="000B25DD">
            <w:pPr>
              <w:tabs>
                <w:tab w:val="decimal" w:pos="286"/>
              </w:tabs>
              <w:spacing w:before="40" w:after="4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18"/>
                <w:szCs w:val="18"/>
              </w:rPr>
            </w:pPr>
            <w:r w:rsidRPr="000973F2">
              <w:rPr>
                <w:rFonts w:ascii="Times New Roman" w:eastAsia="Times New Roman" w:hAnsi="Times New Roman" w:cs="Times New Roman"/>
                <w:b/>
                <w:bCs/>
                <w:sz w:val="18"/>
                <w:szCs w:val="18"/>
              </w:rPr>
              <w:t>2</w:t>
            </w:r>
          </w:p>
        </w:tc>
        <w:tc>
          <w:tcPr>
            <w:tcW w:w="810" w:type="dxa"/>
            <w:noWrap/>
            <w:hideMark/>
          </w:tcPr>
          <w:p w14:paraId="56FFE83E" w14:textId="77777777" w:rsidR="00B1422B" w:rsidRPr="000973F2" w:rsidRDefault="00B1422B" w:rsidP="000B25DD">
            <w:pPr>
              <w:tabs>
                <w:tab w:val="decimal" w:pos="286"/>
              </w:tabs>
              <w:spacing w:before="40" w:after="4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18"/>
                <w:szCs w:val="18"/>
              </w:rPr>
            </w:pPr>
            <w:r w:rsidRPr="000973F2">
              <w:rPr>
                <w:rFonts w:ascii="Times New Roman" w:eastAsia="Times New Roman" w:hAnsi="Times New Roman" w:cs="Times New Roman"/>
                <w:b/>
                <w:bCs/>
                <w:sz w:val="18"/>
                <w:szCs w:val="18"/>
              </w:rPr>
              <w:t>1</w:t>
            </w:r>
          </w:p>
        </w:tc>
        <w:tc>
          <w:tcPr>
            <w:tcW w:w="810" w:type="dxa"/>
            <w:noWrap/>
            <w:hideMark/>
          </w:tcPr>
          <w:p w14:paraId="327D81F1" w14:textId="77777777" w:rsidR="00B1422B" w:rsidRPr="000973F2" w:rsidRDefault="00B1422B" w:rsidP="000B25DD">
            <w:pPr>
              <w:tabs>
                <w:tab w:val="decimal" w:pos="286"/>
              </w:tabs>
              <w:spacing w:before="40" w:after="4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18"/>
                <w:szCs w:val="18"/>
              </w:rPr>
            </w:pPr>
            <w:r w:rsidRPr="000973F2">
              <w:rPr>
                <w:rFonts w:ascii="Times New Roman" w:eastAsia="Times New Roman" w:hAnsi="Times New Roman" w:cs="Times New Roman"/>
                <w:b/>
                <w:bCs/>
                <w:sz w:val="18"/>
                <w:szCs w:val="18"/>
              </w:rPr>
              <w:t>6</w:t>
            </w:r>
          </w:p>
        </w:tc>
        <w:tc>
          <w:tcPr>
            <w:tcW w:w="810" w:type="dxa"/>
            <w:noWrap/>
            <w:hideMark/>
          </w:tcPr>
          <w:p w14:paraId="13EED837" w14:textId="77777777" w:rsidR="00B1422B" w:rsidRPr="000973F2" w:rsidRDefault="00B1422B" w:rsidP="000B25DD">
            <w:pPr>
              <w:tabs>
                <w:tab w:val="decimal" w:pos="286"/>
              </w:tabs>
              <w:spacing w:before="40" w:after="4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18"/>
                <w:szCs w:val="18"/>
              </w:rPr>
            </w:pPr>
            <w:r w:rsidRPr="000973F2">
              <w:rPr>
                <w:rFonts w:ascii="Times New Roman" w:eastAsia="Times New Roman" w:hAnsi="Times New Roman" w:cs="Times New Roman"/>
                <w:b/>
                <w:bCs/>
                <w:sz w:val="18"/>
                <w:szCs w:val="18"/>
              </w:rPr>
              <w:t>5</w:t>
            </w:r>
          </w:p>
        </w:tc>
        <w:tc>
          <w:tcPr>
            <w:tcW w:w="810" w:type="dxa"/>
            <w:noWrap/>
            <w:hideMark/>
          </w:tcPr>
          <w:p w14:paraId="4CE96B67" w14:textId="77777777" w:rsidR="00B1422B" w:rsidRPr="000973F2" w:rsidRDefault="00B1422B" w:rsidP="000B25DD">
            <w:pPr>
              <w:tabs>
                <w:tab w:val="decimal" w:pos="286"/>
              </w:tabs>
              <w:spacing w:before="40" w:after="4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18"/>
                <w:szCs w:val="18"/>
              </w:rPr>
            </w:pPr>
            <w:r w:rsidRPr="000973F2">
              <w:rPr>
                <w:rFonts w:ascii="Times New Roman" w:eastAsia="Times New Roman" w:hAnsi="Times New Roman" w:cs="Times New Roman"/>
                <w:b/>
                <w:bCs/>
                <w:sz w:val="18"/>
                <w:szCs w:val="18"/>
              </w:rPr>
              <w:t>89</w:t>
            </w:r>
          </w:p>
        </w:tc>
        <w:tc>
          <w:tcPr>
            <w:tcW w:w="810" w:type="dxa"/>
            <w:noWrap/>
            <w:hideMark/>
          </w:tcPr>
          <w:p w14:paraId="31CA3BD1" w14:textId="77777777" w:rsidR="00B1422B" w:rsidRPr="000973F2" w:rsidRDefault="00B1422B" w:rsidP="000B25DD">
            <w:pPr>
              <w:tabs>
                <w:tab w:val="decimal" w:pos="286"/>
              </w:tabs>
              <w:spacing w:before="40" w:after="4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18"/>
                <w:szCs w:val="18"/>
              </w:rPr>
            </w:pPr>
            <w:r w:rsidRPr="000973F2">
              <w:rPr>
                <w:rFonts w:ascii="Times New Roman" w:eastAsia="Times New Roman" w:hAnsi="Times New Roman" w:cs="Times New Roman"/>
                <w:b/>
                <w:bCs/>
                <w:sz w:val="18"/>
                <w:szCs w:val="18"/>
              </w:rPr>
              <w:t>54</w:t>
            </w:r>
          </w:p>
        </w:tc>
        <w:tc>
          <w:tcPr>
            <w:tcW w:w="810" w:type="dxa"/>
            <w:noWrap/>
            <w:hideMark/>
          </w:tcPr>
          <w:p w14:paraId="36657BE5" w14:textId="77777777" w:rsidR="00B1422B" w:rsidRPr="000973F2" w:rsidRDefault="00B1422B" w:rsidP="000B25DD">
            <w:pPr>
              <w:tabs>
                <w:tab w:val="decimal" w:pos="286"/>
              </w:tabs>
              <w:spacing w:before="40" w:after="4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18"/>
                <w:szCs w:val="18"/>
              </w:rPr>
            </w:pPr>
            <w:r w:rsidRPr="000973F2">
              <w:rPr>
                <w:rFonts w:ascii="Times New Roman" w:eastAsia="Times New Roman" w:hAnsi="Times New Roman" w:cs="Times New Roman"/>
                <w:b/>
                <w:bCs/>
                <w:sz w:val="18"/>
                <w:szCs w:val="18"/>
              </w:rPr>
              <w:t>8</w:t>
            </w:r>
          </w:p>
        </w:tc>
        <w:tc>
          <w:tcPr>
            <w:tcW w:w="810" w:type="dxa"/>
            <w:noWrap/>
            <w:hideMark/>
          </w:tcPr>
          <w:p w14:paraId="6E4ED828" w14:textId="77777777" w:rsidR="00B1422B" w:rsidRPr="000973F2" w:rsidRDefault="00B1422B" w:rsidP="000B25DD">
            <w:pPr>
              <w:tabs>
                <w:tab w:val="decimal" w:pos="286"/>
              </w:tabs>
              <w:spacing w:before="40" w:after="4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18"/>
                <w:szCs w:val="18"/>
              </w:rPr>
            </w:pPr>
            <w:r w:rsidRPr="000973F2">
              <w:rPr>
                <w:rFonts w:ascii="Times New Roman" w:eastAsia="Times New Roman" w:hAnsi="Times New Roman" w:cs="Times New Roman"/>
                <w:b/>
                <w:bCs/>
                <w:sz w:val="18"/>
                <w:szCs w:val="18"/>
              </w:rPr>
              <w:t>6</w:t>
            </w:r>
          </w:p>
        </w:tc>
        <w:tc>
          <w:tcPr>
            <w:tcW w:w="757" w:type="dxa"/>
            <w:noWrap/>
            <w:hideMark/>
          </w:tcPr>
          <w:p w14:paraId="61C759CF" w14:textId="78446E5F" w:rsidR="00B1422B" w:rsidRPr="000973F2" w:rsidRDefault="00B1422B" w:rsidP="000B25DD">
            <w:pPr>
              <w:tabs>
                <w:tab w:val="decimal" w:pos="421"/>
              </w:tabs>
              <w:spacing w:before="40" w:after="4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18"/>
                <w:szCs w:val="18"/>
              </w:rPr>
            </w:pPr>
            <w:r w:rsidRPr="000973F2">
              <w:rPr>
                <w:rFonts w:ascii="Times New Roman" w:eastAsia="Times New Roman" w:hAnsi="Times New Roman" w:cs="Times New Roman"/>
                <w:b/>
                <w:bCs/>
                <w:sz w:val="18"/>
                <w:szCs w:val="18"/>
              </w:rPr>
              <w:t>$7,398</w:t>
            </w:r>
          </w:p>
        </w:tc>
        <w:tc>
          <w:tcPr>
            <w:tcW w:w="758" w:type="dxa"/>
            <w:noWrap/>
            <w:hideMark/>
          </w:tcPr>
          <w:p w14:paraId="37CD4DF7" w14:textId="3B828C04" w:rsidR="00B1422B" w:rsidRPr="000973F2" w:rsidRDefault="00B1422B" w:rsidP="000B25DD">
            <w:pPr>
              <w:tabs>
                <w:tab w:val="decimal" w:pos="421"/>
              </w:tabs>
              <w:spacing w:before="40" w:after="4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18"/>
                <w:szCs w:val="18"/>
              </w:rPr>
            </w:pPr>
            <w:r w:rsidRPr="000973F2">
              <w:rPr>
                <w:rFonts w:ascii="Times New Roman" w:eastAsia="Times New Roman" w:hAnsi="Times New Roman" w:cs="Times New Roman"/>
                <w:b/>
                <w:bCs/>
                <w:sz w:val="18"/>
                <w:szCs w:val="18"/>
              </w:rPr>
              <w:t>$4,625</w:t>
            </w:r>
          </w:p>
        </w:tc>
      </w:tr>
    </w:tbl>
    <w:p w14:paraId="3E200D24" w14:textId="77777777" w:rsidR="000B25DD" w:rsidRPr="000973F2" w:rsidRDefault="000B25DD" w:rsidP="000B25DD">
      <w:pPr>
        <w:pStyle w:val="AfterTable"/>
      </w:pPr>
    </w:p>
    <w:p w14:paraId="56687FB2" w14:textId="0AECEBD5" w:rsidR="00D177BB" w:rsidRPr="000973F2" w:rsidRDefault="00D177BB" w:rsidP="000B25DD">
      <w:pPr>
        <w:pStyle w:val="Heading2"/>
      </w:pPr>
      <w:r w:rsidRPr="000973F2">
        <w:t>Capital and O&amp;M Costs for Subpart HH</w:t>
      </w:r>
    </w:p>
    <w:p w14:paraId="01F7C3B2" w14:textId="6F659067" w:rsidR="00D177BB" w:rsidRPr="000973F2" w:rsidRDefault="00D177BB" w:rsidP="000B25DD">
      <w:pPr>
        <w:pStyle w:val="BodyText"/>
      </w:pPr>
      <w:r w:rsidRPr="000973F2">
        <w:t xml:space="preserve">Tables </w:t>
      </w:r>
      <w:r w:rsidR="000B25DD" w:rsidRPr="000973F2">
        <w:t>HH-</w:t>
      </w:r>
      <w:r w:rsidR="00FD5E97" w:rsidRPr="000973F2">
        <w:t>3</w:t>
      </w:r>
      <w:r w:rsidRPr="000973F2">
        <w:t xml:space="preserve">a and </w:t>
      </w:r>
      <w:r w:rsidR="000B25DD" w:rsidRPr="000973F2">
        <w:t>HH-</w:t>
      </w:r>
      <w:r w:rsidR="00FD5E97" w:rsidRPr="000973F2">
        <w:t>3</w:t>
      </w:r>
      <w:r w:rsidRPr="000973F2">
        <w:t xml:space="preserve">b summarize the capital and </w:t>
      </w:r>
      <w:r w:rsidR="004608E5" w:rsidRPr="000973F2">
        <w:t>O&amp;M</w:t>
      </w:r>
      <w:r w:rsidRPr="000973F2">
        <w:t xml:space="preserve"> costs for Subpart HH. Costs outlined in Table</w:t>
      </w:r>
      <w:r w:rsidR="000B25DD" w:rsidRPr="000973F2">
        <w:t> HH-</w:t>
      </w:r>
      <w:r w:rsidR="00FD5E97" w:rsidRPr="000973F2">
        <w:t>3</w:t>
      </w:r>
      <w:r w:rsidRPr="000973F2">
        <w:t xml:space="preserve">a are for facilities with gas collection systems. Costs in Table </w:t>
      </w:r>
      <w:r w:rsidR="000D7DE6" w:rsidRPr="000973F2">
        <w:t>HH-</w:t>
      </w:r>
      <w:r w:rsidR="00FD5E97" w:rsidRPr="000973F2">
        <w:t>3</w:t>
      </w:r>
      <w:r w:rsidRPr="000973F2">
        <w:t>b are for facilities without gas collection systems. Facilities without gas collection systems are only expected to incur O&amp;M costs related to recordkeeping</w:t>
      </w:r>
      <w:r w:rsidR="004608E5" w:rsidRPr="000973F2">
        <w:t>, as discussed in the Cost Appendix Introduction,</w:t>
      </w:r>
      <w:r w:rsidRPr="000973F2">
        <w:t xml:space="preserve"> and are not expected to incur any capital costs</w:t>
      </w:r>
      <w:r w:rsidR="00763D12" w:rsidRPr="000973F2">
        <w:t>.</w:t>
      </w:r>
      <w:r w:rsidRPr="000973F2">
        <w:t xml:space="preserve"> </w:t>
      </w:r>
    </w:p>
    <w:p w14:paraId="191B2E60" w14:textId="3D273C86" w:rsidR="00D177BB" w:rsidRPr="000973F2" w:rsidRDefault="00D177BB" w:rsidP="000B25DD">
      <w:pPr>
        <w:pStyle w:val="BodyText"/>
      </w:pPr>
      <w:r w:rsidRPr="000973F2">
        <w:t>The largest O&amp;M cost component for facilities with gas collection systems is the need to sample the landfill gas for its methane content, and to monitor the flow of the landfill gas from the landfill to the destruction devices reported by the facility. O&amp;M costs will also be incurred for recordkeeping and for calibration of the sampling equipment and flow meters. No costs are associated with the purchasing of equipment, as any facility, new or existing, reporting to Subpart HH that has a gas collection system is expected to have already installed a flow meter and equipment to measure methane concentration in the landfill gas. This equipment is inherently necessary to quantify the amount and quality of gas being collected to gauge if the gas is adequate for use on</w:t>
      </w:r>
      <w:r w:rsidR="00051F9B">
        <w:t xml:space="preserve"> </w:t>
      </w:r>
      <w:r w:rsidRPr="000973F2">
        <w:t>site and/or off</w:t>
      </w:r>
      <w:r w:rsidR="00051F9B">
        <w:t xml:space="preserve"> </w:t>
      </w:r>
      <w:r w:rsidRPr="000973F2">
        <w:t>site and if there is too much being collected such that some needs to be flared. In addition, any new facility reporting to Subpart HH is expected to have scales already on</w:t>
      </w:r>
      <w:r w:rsidR="00051F9B">
        <w:t xml:space="preserve"> </w:t>
      </w:r>
      <w:r w:rsidRPr="000973F2">
        <w:t xml:space="preserve">site to measure waste quantities entering the landfill. </w:t>
      </w:r>
    </w:p>
    <w:p w14:paraId="2B215C2E" w14:textId="21B1E45E" w:rsidR="009003B6" w:rsidRPr="000973F2" w:rsidRDefault="0056665F" w:rsidP="000B25DD">
      <w:pPr>
        <w:pStyle w:val="Tabletitle"/>
      </w:pPr>
      <w:r w:rsidRPr="000973F2">
        <w:t xml:space="preserve">Table </w:t>
      </w:r>
      <w:r w:rsidR="000B25DD" w:rsidRPr="000973F2">
        <w:t>HH-</w:t>
      </w:r>
      <w:r w:rsidR="00FD5E97" w:rsidRPr="000973F2">
        <w:t>3</w:t>
      </w:r>
      <w:r w:rsidRPr="000973F2">
        <w:t xml:space="preserve">a. Capital and O&amp;M Costs </w:t>
      </w:r>
      <w:r w:rsidR="00B960CC" w:rsidRPr="000973F2">
        <w:t>–</w:t>
      </w:r>
      <w:r w:rsidRPr="000973F2">
        <w:t xml:space="preserve"> </w:t>
      </w:r>
      <w:r w:rsidR="009003B6" w:rsidRPr="000973F2">
        <w:t>Subpart HH</w:t>
      </w:r>
      <w:r w:rsidRPr="000973F2">
        <w:t xml:space="preserve"> </w:t>
      </w:r>
      <w:r w:rsidR="00B960CC" w:rsidRPr="000973F2">
        <w:t>–</w:t>
      </w:r>
      <w:r w:rsidRPr="000973F2">
        <w:t xml:space="preserve"> </w:t>
      </w:r>
      <w:r w:rsidR="009003B6" w:rsidRPr="000973F2">
        <w:t>Facilities with Gas Collection Systems</w:t>
      </w:r>
    </w:p>
    <w:tbl>
      <w:tblPr>
        <w:tblStyle w:val="PlainTable1"/>
        <w:tblW w:w="5000" w:type="pct"/>
        <w:jc w:val="left"/>
        <w:tblLayout w:type="fixed"/>
        <w:tblCellMar>
          <w:left w:w="115" w:type="dxa"/>
          <w:right w:w="115" w:type="dxa"/>
        </w:tblCellMar>
        <w:tblLook w:val="04A0" w:firstRow="1" w:lastRow="0" w:firstColumn="1" w:lastColumn="0" w:noHBand="0" w:noVBand="1"/>
      </w:tblPr>
      <w:tblGrid>
        <w:gridCol w:w="2088"/>
        <w:gridCol w:w="1250"/>
        <w:gridCol w:w="1251"/>
        <w:gridCol w:w="1250"/>
        <w:gridCol w:w="1269"/>
        <w:gridCol w:w="1231"/>
        <w:gridCol w:w="1251"/>
      </w:tblGrid>
      <w:tr w:rsidR="00D17312" w:rsidRPr="000973F2" w14:paraId="2DA03B24" w14:textId="77777777" w:rsidTr="00B53CB9">
        <w:trPr>
          <w:cnfStyle w:val="100000000000" w:firstRow="1" w:lastRow="0" w:firstColumn="0" w:lastColumn="0" w:oddVBand="0" w:evenVBand="0" w:oddHBand="0" w:evenHBand="0" w:firstRowFirstColumn="0" w:firstRowLastColumn="0" w:lastRowFirstColumn="0" w:lastRowLastColumn="0"/>
          <w:cantSplit/>
          <w:jc w:val="left"/>
        </w:trPr>
        <w:tc>
          <w:tcPr>
            <w:cnfStyle w:val="001000000000" w:firstRow="0" w:lastRow="0" w:firstColumn="1" w:lastColumn="0" w:oddVBand="0" w:evenVBand="0" w:oddHBand="0" w:evenHBand="0" w:firstRowFirstColumn="0" w:firstRowLastColumn="0" w:lastRowFirstColumn="0" w:lastRowLastColumn="0"/>
            <w:tcW w:w="2031" w:type="dxa"/>
            <w:vMerge w:val="restart"/>
            <w:noWrap/>
            <w:vAlign w:val="top"/>
            <w:hideMark/>
          </w:tcPr>
          <w:p w14:paraId="144C0B88" w14:textId="3E59B568" w:rsidR="00D17312" w:rsidRPr="000973F2" w:rsidRDefault="00D17312" w:rsidP="00B53CB9">
            <w:pPr>
              <w:spacing w:before="30" w:after="30"/>
              <w:rPr>
                <w:rFonts w:ascii="Times New Roman" w:eastAsia="Times New Roman" w:hAnsi="Times New Roman" w:cs="Times New Roman"/>
                <w:bCs w:val="0"/>
                <w:sz w:val="18"/>
                <w:szCs w:val="18"/>
              </w:rPr>
            </w:pPr>
            <w:r w:rsidRPr="000973F2">
              <w:rPr>
                <w:rFonts w:ascii="Times New Roman" w:eastAsia="Times New Roman" w:hAnsi="Times New Roman" w:cs="Times New Roman"/>
                <w:bCs w:val="0"/>
                <w:sz w:val="18"/>
                <w:szCs w:val="18"/>
              </w:rPr>
              <w:t>Activity</w:t>
            </w:r>
          </w:p>
        </w:tc>
        <w:tc>
          <w:tcPr>
            <w:tcW w:w="4884" w:type="dxa"/>
            <w:gridSpan w:val="4"/>
            <w:noWrap/>
            <w:vAlign w:val="top"/>
            <w:hideMark/>
          </w:tcPr>
          <w:p w14:paraId="44631EF9" w14:textId="77777777" w:rsidR="00D17312" w:rsidRPr="000973F2" w:rsidRDefault="00D17312" w:rsidP="00B53CB9">
            <w:pPr>
              <w:spacing w:before="30" w:after="30"/>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Cs w:val="0"/>
                <w:sz w:val="18"/>
                <w:szCs w:val="18"/>
              </w:rPr>
            </w:pPr>
            <w:r w:rsidRPr="000973F2">
              <w:rPr>
                <w:rFonts w:ascii="Times New Roman" w:eastAsia="Times New Roman" w:hAnsi="Times New Roman" w:cs="Times New Roman"/>
                <w:bCs w:val="0"/>
                <w:sz w:val="18"/>
                <w:szCs w:val="18"/>
              </w:rPr>
              <w:t>Cost Categories</w:t>
            </w:r>
          </w:p>
        </w:tc>
        <w:tc>
          <w:tcPr>
            <w:tcW w:w="2415" w:type="dxa"/>
            <w:gridSpan w:val="2"/>
            <w:vAlign w:val="top"/>
            <w:hideMark/>
          </w:tcPr>
          <w:p w14:paraId="29A803A3" w14:textId="77777777" w:rsidR="00D17312" w:rsidRPr="000973F2" w:rsidRDefault="00D17312" w:rsidP="00B53CB9">
            <w:pPr>
              <w:spacing w:before="30" w:after="30"/>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Cs w:val="0"/>
                <w:sz w:val="18"/>
                <w:szCs w:val="18"/>
              </w:rPr>
            </w:pPr>
            <w:r w:rsidRPr="000973F2">
              <w:rPr>
                <w:rFonts w:ascii="Times New Roman" w:eastAsia="Times New Roman" w:hAnsi="Times New Roman" w:cs="Times New Roman"/>
                <w:bCs w:val="0"/>
                <w:sz w:val="18"/>
                <w:szCs w:val="18"/>
              </w:rPr>
              <w:t>Total Capital and O&amp;M Cost per Year per Facility (2017$)</w:t>
            </w:r>
          </w:p>
        </w:tc>
      </w:tr>
      <w:tr w:rsidR="00D17312" w:rsidRPr="000973F2" w14:paraId="31B4FA1C" w14:textId="77777777" w:rsidTr="00B53CB9">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2031" w:type="dxa"/>
            <w:vMerge/>
            <w:noWrap/>
            <w:hideMark/>
          </w:tcPr>
          <w:p w14:paraId="77098D05" w14:textId="43111FA8" w:rsidR="00D17312" w:rsidRPr="000973F2" w:rsidRDefault="00D17312" w:rsidP="00B53CB9">
            <w:pPr>
              <w:spacing w:before="30" w:after="30"/>
              <w:jc w:val="center"/>
              <w:rPr>
                <w:rFonts w:ascii="Times New Roman" w:eastAsia="Times New Roman" w:hAnsi="Times New Roman" w:cs="Times New Roman"/>
                <w:b/>
                <w:bCs w:val="0"/>
                <w:sz w:val="18"/>
                <w:szCs w:val="18"/>
              </w:rPr>
            </w:pPr>
          </w:p>
        </w:tc>
        <w:tc>
          <w:tcPr>
            <w:tcW w:w="1216" w:type="dxa"/>
            <w:hideMark/>
          </w:tcPr>
          <w:p w14:paraId="4473FAD1" w14:textId="77777777" w:rsidR="00D17312" w:rsidRPr="000973F2" w:rsidRDefault="00D17312" w:rsidP="00B53CB9">
            <w:pPr>
              <w:spacing w:before="30" w:after="3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18"/>
                <w:szCs w:val="18"/>
              </w:rPr>
            </w:pPr>
            <w:r w:rsidRPr="000973F2">
              <w:rPr>
                <w:rFonts w:ascii="Times New Roman" w:eastAsia="Times New Roman" w:hAnsi="Times New Roman" w:cs="Times New Roman"/>
                <w:b/>
                <w:bCs/>
                <w:sz w:val="18"/>
                <w:szCs w:val="18"/>
              </w:rPr>
              <w:t>Capital Cost (2017$)</w:t>
            </w:r>
          </w:p>
        </w:tc>
        <w:tc>
          <w:tcPr>
            <w:tcW w:w="1217" w:type="dxa"/>
            <w:hideMark/>
          </w:tcPr>
          <w:p w14:paraId="306A0376" w14:textId="77777777" w:rsidR="00D17312" w:rsidRPr="000973F2" w:rsidRDefault="00D17312" w:rsidP="00B53CB9">
            <w:pPr>
              <w:spacing w:before="30" w:after="3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18"/>
                <w:szCs w:val="18"/>
              </w:rPr>
            </w:pPr>
            <w:r w:rsidRPr="000973F2">
              <w:rPr>
                <w:rFonts w:ascii="Times New Roman" w:eastAsia="Times New Roman" w:hAnsi="Times New Roman" w:cs="Times New Roman"/>
                <w:b/>
                <w:bCs/>
                <w:sz w:val="18"/>
                <w:szCs w:val="18"/>
              </w:rPr>
              <w:t>Equipment Lifetime</w:t>
            </w:r>
          </w:p>
        </w:tc>
        <w:tc>
          <w:tcPr>
            <w:tcW w:w="1216" w:type="dxa"/>
            <w:hideMark/>
          </w:tcPr>
          <w:p w14:paraId="6E13900B" w14:textId="77777777" w:rsidR="00D17312" w:rsidRPr="000973F2" w:rsidRDefault="00D17312" w:rsidP="00B53CB9">
            <w:pPr>
              <w:spacing w:before="30" w:after="3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18"/>
                <w:szCs w:val="18"/>
              </w:rPr>
            </w:pPr>
            <w:r w:rsidRPr="000973F2">
              <w:rPr>
                <w:rFonts w:ascii="Times New Roman" w:eastAsia="Times New Roman" w:hAnsi="Times New Roman" w:cs="Times New Roman"/>
                <w:b/>
                <w:bCs/>
                <w:sz w:val="18"/>
                <w:szCs w:val="18"/>
              </w:rPr>
              <w:t>Annualized Capital Cost (2017$/year)</w:t>
            </w:r>
          </w:p>
        </w:tc>
        <w:tc>
          <w:tcPr>
            <w:tcW w:w="1235" w:type="dxa"/>
            <w:hideMark/>
          </w:tcPr>
          <w:p w14:paraId="7F89EF74" w14:textId="77777777" w:rsidR="00D17312" w:rsidRPr="000973F2" w:rsidRDefault="00D17312" w:rsidP="00B53CB9">
            <w:pPr>
              <w:spacing w:before="30" w:after="3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18"/>
                <w:szCs w:val="18"/>
              </w:rPr>
            </w:pPr>
            <w:r w:rsidRPr="000973F2">
              <w:rPr>
                <w:rFonts w:ascii="Times New Roman" w:eastAsia="Times New Roman" w:hAnsi="Times New Roman" w:cs="Times New Roman"/>
                <w:b/>
                <w:bCs/>
                <w:sz w:val="18"/>
                <w:szCs w:val="18"/>
              </w:rPr>
              <w:t>O&amp;M Costs (2017$/year)</w:t>
            </w:r>
          </w:p>
        </w:tc>
        <w:tc>
          <w:tcPr>
            <w:tcW w:w="1198" w:type="dxa"/>
            <w:hideMark/>
          </w:tcPr>
          <w:p w14:paraId="69B41FE9" w14:textId="77777777" w:rsidR="00D17312" w:rsidRPr="000973F2" w:rsidRDefault="00D17312" w:rsidP="00B53CB9">
            <w:pPr>
              <w:spacing w:before="30" w:after="3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18"/>
                <w:szCs w:val="18"/>
              </w:rPr>
            </w:pPr>
            <w:r w:rsidRPr="000973F2">
              <w:rPr>
                <w:rFonts w:ascii="Times New Roman" w:eastAsia="Times New Roman" w:hAnsi="Times New Roman" w:cs="Times New Roman"/>
                <w:b/>
                <w:bCs/>
                <w:sz w:val="18"/>
                <w:szCs w:val="18"/>
              </w:rPr>
              <w:t>Initial Year</w:t>
            </w:r>
          </w:p>
        </w:tc>
        <w:tc>
          <w:tcPr>
            <w:tcW w:w="1217" w:type="dxa"/>
            <w:hideMark/>
          </w:tcPr>
          <w:p w14:paraId="3E3927B4" w14:textId="77777777" w:rsidR="00D17312" w:rsidRPr="000973F2" w:rsidRDefault="00D17312" w:rsidP="00B53CB9">
            <w:pPr>
              <w:spacing w:before="30" w:after="3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18"/>
                <w:szCs w:val="18"/>
              </w:rPr>
            </w:pPr>
            <w:r w:rsidRPr="000973F2">
              <w:rPr>
                <w:rFonts w:ascii="Times New Roman" w:eastAsia="Times New Roman" w:hAnsi="Times New Roman" w:cs="Times New Roman"/>
                <w:b/>
                <w:bCs/>
                <w:sz w:val="18"/>
                <w:szCs w:val="18"/>
              </w:rPr>
              <w:t>Subseq. Years</w:t>
            </w:r>
          </w:p>
        </w:tc>
      </w:tr>
      <w:tr w:rsidR="00B53CB9" w:rsidRPr="000973F2" w14:paraId="32EE10A6" w14:textId="77777777" w:rsidTr="00B53CB9">
        <w:trPr>
          <w:cantSplit/>
        </w:trPr>
        <w:tc>
          <w:tcPr>
            <w:cnfStyle w:val="001000000000" w:firstRow="0" w:lastRow="0" w:firstColumn="1" w:lastColumn="0" w:oddVBand="0" w:evenVBand="0" w:oddHBand="0" w:evenHBand="0" w:firstRowFirstColumn="0" w:firstRowLastColumn="0" w:lastRowFirstColumn="0" w:lastRowLastColumn="0"/>
            <w:tcW w:w="2031" w:type="dxa"/>
            <w:hideMark/>
          </w:tcPr>
          <w:p w14:paraId="06EBD639" w14:textId="77777777" w:rsidR="00B53CB9" w:rsidRPr="000973F2" w:rsidRDefault="00B53CB9" w:rsidP="00B53CB9">
            <w:pPr>
              <w:spacing w:before="30" w:after="3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Equipment (selection, purchase, installation)</w:t>
            </w:r>
          </w:p>
        </w:tc>
        <w:tc>
          <w:tcPr>
            <w:tcW w:w="1216" w:type="dxa"/>
            <w:noWrap/>
            <w:hideMark/>
          </w:tcPr>
          <w:p w14:paraId="2085F837" w14:textId="1DA336F7" w:rsidR="00B53CB9" w:rsidRPr="000973F2" w:rsidRDefault="00B53CB9" w:rsidP="00B53CB9">
            <w:pPr>
              <w:spacing w:before="30" w:after="3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w:t>
            </w:r>
          </w:p>
        </w:tc>
        <w:tc>
          <w:tcPr>
            <w:tcW w:w="1217" w:type="dxa"/>
            <w:noWrap/>
          </w:tcPr>
          <w:p w14:paraId="4E900F9A" w14:textId="683C94E8" w:rsidR="00B53CB9" w:rsidRPr="000973F2" w:rsidRDefault="00B53CB9" w:rsidP="00B53CB9">
            <w:pPr>
              <w:spacing w:before="30" w:after="3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p>
        </w:tc>
        <w:tc>
          <w:tcPr>
            <w:tcW w:w="1216" w:type="dxa"/>
            <w:noWrap/>
            <w:hideMark/>
          </w:tcPr>
          <w:p w14:paraId="07B35493" w14:textId="3CEE8C40" w:rsidR="00B53CB9" w:rsidRPr="000973F2" w:rsidRDefault="00B53CB9" w:rsidP="00B53CB9">
            <w:pPr>
              <w:spacing w:before="30" w:after="3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w:t>
            </w:r>
          </w:p>
        </w:tc>
        <w:tc>
          <w:tcPr>
            <w:tcW w:w="1235" w:type="dxa"/>
            <w:noWrap/>
            <w:hideMark/>
          </w:tcPr>
          <w:p w14:paraId="05C045C6" w14:textId="46C52335" w:rsidR="00B53CB9" w:rsidRPr="000973F2" w:rsidRDefault="00B53CB9" w:rsidP="00B53CB9">
            <w:pPr>
              <w:tabs>
                <w:tab w:val="decimal" w:pos="766"/>
              </w:tabs>
              <w:spacing w:before="30" w:after="3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w:t>
            </w:r>
          </w:p>
        </w:tc>
        <w:tc>
          <w:tcPr>
            <w:tcW w:w="1198" w:type="dxa"/>
            <w:noWrap/>
            <w:hideMark/>
          </w:tcPr>
          <w:p w14:paraId="3C418383" w14:textId="30F02810" w:rsidR="00B53CB9" w:rsidRPr="000973F2" w:rsidRDefault="00B53CB9" w:rsidP="00B53CB9">
            <w:pPr>
              <w:tabs>
                <w:tab w:val="decimal" w:pos="766"/>
              </w:tabs>
              <w:spacing w:before="30" w:after="3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w:t>
            </w:r>
          </w:p>
        </w:tc>
        <w:tc>
          <w:tcPr>
            <w:tcW w:w="1217" w:type="dxa"/>
            <w:noWrap/>
            <w:hideMark/>
          </w:tcPr>
          <w:p w14:paraId="385F167A" w14:textId="7EC448C0" w:rsidR="00B53CB9" w:rsidRPr="000973F2" w:rsidRDefault="00B53CB9" w:rsidP="00B53CB9">
            <w:pPr>
              <w:tabs>
                <w:tab w:val="decimal" w:pos="766"/>
              </w:tabs>
              <w:spacing w:before="30" w:after="3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w:t>
            </w:r>
          </w:p>
        </w:tc>
      </w:tr>
      <w:tr w:rsidR="00B53CB9" w:rsidRPr="000973F2" w14:paraId="63DF4BDF" w14:textId="77777777" w:rsidTr="00B53CB9">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2031" w:type="dxa"/>
            <w:hideMark/>
          </w:tcPr>
          <w:p w14:paraId="72019156" w14:textId="77777777" w:rsidR="00B53CB9" w:rsidRPr="000973F2" w:rsidRDefault="00B53CB9" w:rsidP="00B53CB9">
            <w:pPr>
              <w:spacing w:before="30" w:after="3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Performance testing</w:t>
            </w:r>
          </w:p>
        </w:tc>
        <w:tc>
          <w:tcPr>
            <w:tcW w:w="1216" w:type="dxa"/>
            <w:noWrap/>
            <w:hideMark/>
          </w:tcPr>
          <w:p w14:paraId="413172B3" w14:textId="6DCA0779" w:rsidR="00B53CB9" w:rsidRPr="000973F2" w:rsidRDefault="00B53CB9" w:rsidP="00B53CB9">
            <w:pPr>
              <w:spacing w:before="30" w:after="3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w:t>
            </w:r>
          </w:p>
        </w:tc>
        <w:tc>
          <w:tcPr>
            <w:tcW w:w="1217" w:type="dxa"/>
            <w:noWrap/>
          </w:tcPr>
          <w:p w14:paraId="210A0A95" w14:textId="77298003" w:rsidR="00B53CB9" w:rsidRPr="000973F2" w:rsidRDefault="00B53CB9" w:rsidP="00B53CB9">
            <w:pPr>
              <w:spacing w:before="30" w:after="3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p>
        </w:tc>
        <w:tc>
          <w:tcPr>
            <w:tcW w:w="1216" w:type="dxa"/>
            <w:noWrap/>
            <w:hideMark/>
          </w:tcPr>
          <w:p w14:paraId="1944A988" w14:textId="2EA84869" w:rsidR="00B53CB9" w:rsidRPr="000973F2" w:rsidRDefault="00B53CB9" w:rsidP="00B53CB9">
            <w:pPr>
              <w:spacing w:before="30" w:after="3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w:t>
            </w:r>
          </w:p>
        </w:tc>
        <w:tc>
          <w:tcPr>
            <w:tcW w:w="1235" w:type="dxa"/>
            <w:noWrap/>
            <w:hideMark/>
          </w:tcPr>
          <w:p w14:paraId="7A28911B" w14:textId="3EB63788" w:rsidR="00B53CB9" w:rsidRPr="000973F2" w:rsidRDefault="00B53CB9" w:rsidP="00B53CB9">
            <w:pPr>
              <w:tabs>
                <w:tab w:val="decimal" w:pos="766"/>
              </w:tabs>
              <w:spacing w:before="30" w:after="3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w:t>
            </w:r>
          </w:p>
        </w:tc>
        <w:tc>
          <w:tcPr>
            <w:tcW w:w="1198" w:type="dxa"/>
            <w:noWrap/>
            <w:hideMark/>
          </w:tcPr>
          <w:p w14:paraId="0153BCB0" w14:textId="40A35712" w:rsidR="00B53CB9" w:rsidRPr="000973F2" w:rsidRDefault="00B53CB9" w:rsidP="00B53CB9">
            <w:pPr>
              <w:tabs>
                <w:tab w:val="decimal" w:pos="766"/>
              </w:tabs>
              <w:spacing w:before="30" w:after="3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w:t>
            </w:r>
          </w:p>
        </w:tc>
        <w:tc>
          <w:tcPr>
            <w:tcW w:w="1217" w:type="dxa"/>
            <w:noWrap/>
            <w:hideMark/>
          </w:tcPr>
          <w:p w14:paraId="047A536E" w14:textId="57E5E41C" w:rsidR="00B53CB9" w:rsidRPr="000973F2" w:rsidRDefault="00B53CB9" w:rsidP="00B53CB9">
            <w:pPr>
              <w:tabs>
                <w:tab w:val="decimal" w:pos="766"/>
              </w:tabs>
              <w:spacing w:before="30" w:after="3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w:t>
            </w:r>
          </w:p>
        </w:tc>
      </w:tr>
      <w:tr w:rsidR="00D177BB" w:rsidRPr="000973F2" w14:paraId="2BE5800C" w14:textId="77777777" w:rsidTr="00B53CB9">
        <w:trPr>
          <w:cantSplit/>
        </w:trPr>
        <w:tc>
          <w:tcPr>
            <w:cnfStyle w:val="001000000000" w:firstRow="0" w:lastRow="0" w:firstColumn="1" w:lastColumn="0" w:oddVBand="0" w:evenVBand="0" w:oddHBand="0" w:evenHBand="0" w:firstRowFirstColumn="0" w:firstRowLastColumn="0" w:lastRowFirstColumn="0" w:lastRowLastColumn="0"/>
            <w:tcW w:w="2031" w:type="dxa"/>
            <w:hideMark/>
          </w:tcPr>
          <w:p w14:paraId="086E9618" w14:textId="77777777" w:rsidR="00D177BB" w:rsidRPr="000973F2" w:rsidRDefault="00D177BB" w:rsidP="00B53CB9">
            <w:pPr>
              <w:spacing w:before="30" w:after="3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Recordkeeping</w:t>
            </w:r>
          </w:p>
        </w:tc>
        <w:tc>
          <w:tcPr>
            <w:tcW w:w="1216" w:type="dxa"/>
            <w:noWrap/>
            <w:hideMark/>
          </w:tcPr>
          <w:p w14:paraId="1580D669" w14:textId="77777777" w:rsidR="00D177BB" w:rsidRPr="000973F2" w:rsidRDefault="00D177BB" w:rsidP="00B53CB9">
            <w:pPr>
              <w:spacing w:before="30" w:after="3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$0</w:t>
            </w:r>
          </w:p>
        </w:tc>
        <w:tc>
          <w:tcPr>
            <w:tcW w:w="1217" w:type="dxa"/>
            <w:noWrap/>
          </w:tcPr>
          <w:p w14:paraId="0AAE3CC2" w14:textId="3336F229" w:rsidR="00D177BB" w:rsidRPr="000973F2" w:rsidRDefault="00D177BB" w:rsidP="00B53CB9">
            <w:pPr>
              <w:spacing w:before="30" w:after="3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p>
        </w:tc>
        <w:tc>
          <w:tcPr>
            <w:tcW w:w="1216" w:type="dxa"/>
            <w:noWrap/>
            <w:hideMark/>
          </w:tcPr>
          <w:p w14:paraId="595DA44F" w14:textId="77777777" w:rsidR="00D177BB" w:rsidRPr="000973F2" w:rsidRDefault="00D177BB" w:rsidP="00B53CB9">
            <w:pPr>
              <w:spacing w:before="30" w:after="3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$0</w:t>
            </w:r>
          </w:p>
        </w:tc>
        <w:tc>
          <w:tcPr>
            <w:tcW w:w="1235" w:type="dxa"/>
            <w:noWrap/>
            <w:hideMark/>
          </w:tcPr>
          <w:p w14:paraId="78754FA0" w14:textId="77777777" w:rsidR="00D177BB" w:rsidRPr="000973F2" w:rsidRDefault="00D177BB" w:rsidP="00B53CB9">
            <w:pPr>
              <w:tabs>
                <w:tab w:val="decimal" w:pos="766"/>
              </w:tabs>
              <w:spacing w:before="30" w:after="3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$50</w:t>
            </w:r>
          </w:p>
        </w:tc>
        <w:tc>
          <w:tcPr>
            <w:tcW w:w="1198" w:type="dxa"/>
            <w:noWrap/>
            <w:hideMark/>
          </w:tcPr>
          <w:p w14:paraId="477CA0AA" w14:textId="77777777" w:rsidR="00D177BB" w:rsidRPr="000973F2" w:rsidRDefault="00D177BB" w:rsidP="00B53CB9">
            <w:pPr>
              <w:tabs>
                <w:tab w:val="decimal" w:pos="766"/>
              </w:tabs>
              <w:spacing w:before="30" w:after="3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$50</w:t>
            </w:r>
          </w:p>
        </w:tc>
        <w:tc>
          <w:tcPr>
            <w:tcW w:w="1217" w:type="dxa"/>
            <w:noWrap/>
            <w:hideMark/>
          </w:tcPr>
          <w:p w14:paraId="132C7732" w14:textId="77777777" w:rsidR="00D177BB" w:rsidRPr="000973F2" w:rsidRDefault="00D177BB" w:rsidP="00B53CB9">
            <w:pPr>
              <w:tabs>
                <w:tab w:val="decimal" w:pos="766"/>
              </w:tabs>
              <w:spacing w:before="30" w:after="3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$50</w:t>
            </w:r>
          </w:p>
        </w:tc>
      </w:tr>
      <w:tr w:rsidR="00B53CB9" w:rsidRPr="000973F2" w14:paraId="5BCF73A7" w14:textId="77777777" w:rsidTr="00B53CB9">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2031" w:type="dxa"/>
            <w:hideMark/>
          </w:tcPr>
          <w:p w14:paraId="1E6E1FC2" w14:textId="77777777" w:rsidR="00B53CB9" w:rsidRPr="000973F2" w:rsidRDefault="00B53CB9" w:rsidP="00B53CB9">
            <w:pPr>
              <w:spacing w:before="30" w:after="3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Travel</w:t>
            </w:r>
          </w:p>
        </w:tc>
        <w:tc>
          <w:tcPr>
            <w:tcW w:w="1216" w:type="dxa"/>
            <w:noWrap/>
            <w:hideMark/>
          </w:tcPr>
          <w:p w14:paraId="01C50F53" w14:textId="0126686D" w:rsidR="00B53CB9" w:rsidRPr="000973F2" w:rsidRDefault="00B53CB9" w:rsidP="00B53CB9">
            <w:pPr>
              <w:spacing w:before="30" w:after="3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w:t>
            </w:r>
          </w:p>
        </w:tc>
        <w:tc>
          <w:tcPr>
            <w:tcW w:w="1217" w:type="dxa"/>
            <w:noWrap/>
          </w:tcPr>
          <w:p w14:paraId="7FE99F51" w14:textId="0E20FD56" w:rsidR="00B53CB9" w:rsidRPr="000973F2" w:rsidRDefault="00B53CB9" w:rsidP="00B53CB9">
            <w:pPr>
              <w:spacing w:before="30" w:after="3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p>
        </w:tc>
        <w:tc>
          <w:tcPr>
            <w:tcW w:w="1216" w:type="dxa"/>
            <w:noWrap/>
            <w:hideMark/>
          </w:tcPr>
          <w:p w14:paraId="4091E129" w14:textId="58CE4992" w:rsidR="00B53CB9" w:rsidRPr="000973F2" w:rsidRDefault="00B53CB9" w:rsidP="00B53CB9">
            <w:pPr>
              <w:spacing w:before="30" w:after="3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w:t>
            </w:r>
          </w:p>
        </w:tc>
        <w:tc>
          <w:tcPr>
            <w:tcW w:w="1235" w:type="dxa"/>
            <w:noWrap/>
            <w:hideMark/>
          </w:tcPr>
          <w:p w14:paraId="3777C0AE" w14:textId="1B3EACAC" w:rsidR="00B53CB9" w:rsidRPr="000973F2" w:rsidRDefault="00B53CB9" w:rsidP="00B53CB9">
            <w:pPr>
              <w:tabs>
                <w:tab w:val="decimal" w:pos="766"/>
              </w:tabs>
              <w:spacing w:before="30" w:after="3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w:t>
            </w:r>
          </w:p>
        </w:tc>
        <w:tc>
          <w:tcPr>
            <w:tcW w:w="1198" w:type="dxa"/>
            <w:noWrap/>
            <w:hideMark/>
          </w:tcPr>
          <w:p w14:paraId="0827A470" w14:textId="2C7DA297" w:rsidR="00B53CB9" w:rsidRPr="000973F2" w:rsidRDefault="00B53CB9" w:rsidP="00B53CB9">
            <w:pPr>
              <w:tabs>
                <w:tab w:val="decimal" w:pos="766"/>
              </w:tabs>
              <w:spacing w:before="30" w:after="3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w:t>
            </w:r>
          </w:p>
        </w:tc>
        <w:tc>
          <w:tcPr>
            <w:tcW w:w="1217" w:type="dxa"/>
            <w:noWrap/>
            <w:hideMark/>
          </w:tcPr>
          <w:p w14:paraId="73DC0C44" w14:textId="4756CE7E" w:rsidR="00B53CB9" w:rsidRPr="000973F2" w:rsidRDefault="00B53CB9" w:rsidP="00B53CB9">
            <w:pPr>
              <w:tabs>
                <w:tab w:val="decimal" w:pos="766"/>
              </w:tabs>
              <w:spacing w:before="30" w:after="3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w:t>
            </w:r>
          </w:p>
        </w:tc>
      </w:tr>
      <w:tr w:rsidR="00D177BB" w:rsidRPr="000973F2" w14:paraId="62F2FA4F" w14:textId="77777777" w:rsidTr="00B53CB9">
        <w:trPr>
          <w:cantSplit/>
        </w:trPr>
        <w:tc>
          <w:tcPr>
            <w:cnfStyle w:val="001000000000" w:firstRow="0" w:lastRow="0" w:firstColumn="1" w:lastColumn="0" w:oddVBand="0" w:evenVBand="0" w:oddHBand="0" w:evenHBand="0" w:firstRowFirstColumn="0" w:firstRowLastColumn="0" w:lastRowFirstColumn="0" w:lastRowLastColumn="0"/>
            <w:tcW w:w="2031" w:type="dxa"/>
            <w:hideMark/>
          </w:tcPr>
          <w:p w14:paraId="4094BDB0" w14:textId="0D7A993C" w:rsidR="00D177BB" w:rsidRPr="000973F2" w:rsidRDefault="00D177BB" w:rsidP="00B53CB9">
            <w:pPr>
              <w:spacing w:before="30" w:after="3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 xml:space="preserve">Sampling </w:t>
            </w:r>
            <w:r w:rsidR="00321129" w:rsidRPr="000973F2">
              <w:rPr>
                <w:rFonts w:ascii="Times New Roman" w:eastAsia="Times New Roman" w:hAnsi="Times New Roman" w:cs="Times New Roman"/>
                <w:sz w:val="18"/>
                <w:szCs w:val="18"/>
              </w:rPr>
              <w:t xml:space="preserve">and Analysis </w:t>
            </w:r>
            <w:r w:rsidRPr="000973F2">
              <w:rPr>
                <w:rFonts w:ascii="Times New Roman" w:eastAsia="Times New Roman" w:hAnsi="Times New Roman" w:cs="Times New Roman"/>
                <w:sz w:val="18"/>
                <w:szCs w:val="18"/>
              </w:rPr>
              <w:t>Costs</w:t>
            </w:r>
          </w:p>
        </w:tc>
        <w:tc>
          <w:tcPr>
            <w:tcW w:w="1216" w:type="dxa"/>
            <w:noWrap/>
            <w:hideMark/>
          </w:tcPr>
          <w:p w14:paraId="253DD19F" w14:textId="77777777" w:rsidR="00D177BB" w:rsidRPr="000973F2" w:rsidRDefault="00D177BB" w:rsidP="00B53CB9">
            <w:pPr>
              <w:spacing w:before="30" w:after="3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$0</w:t>
            </w:r>
          </w:p>
        </w:tc>
        <w:tc>
          <w:tcPr>
            <w:tcW w:w="1217" w:type="dxa"/>
            <w:noWrap/>
          </w:tcPr>
          <w:p w14:paraId="4F9F7B94" w14:textId="0577DAC2" w:rsidR="00D177BB" w:rsidRPr="000973F2" w:rsidRDefault="00D177BB" w:rsidP="00B53CB9">
            <w:pPr>
              <w:spacing w:before="30" w:after="3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p>
        </w:tc>
        <w:tc>
          <w:tcPr>
            <w:tcW w:w="1216" w:type="dxa"/>
            <w:noWrap/>
            <w:hideMark/>
          </w:tcPr>
          <w:p w14:paraId="3454CD29" w14:textId="77777777" w:rsidR="00D177BB" w:rsidRPr="000973F2" w:rsidRDefault="00D177BB" w:rsidP="00B53CB9">
            <w:pPr>
              <w:spacing w:before="30" w:after="3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$0</w:t>
            </w:r>
          </w:p>
        </w:tc>
        <w:tc>
          <w:tcPr>
            <w:tcW w:w="1235" w:type="dxa"/>
            <w:noWrap/>
            <w:hideMark/>
          </w:tcPr>
          <w:p w14:paraId="344F630E" w14:textId="77777777" w:rsidR="00D177BB" w:rsidRPr="000973F2" w:rsidRDefault="00D177BB" w:rsidP="00B53CB9">
            <w:pPr>
              <w:tabs>
                <w:tab w:val="decimal" w:pos="766"/>
              </w:tabs>
              <w:spacing w:before="30" w:after="3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$2,099</w:t>
            </w:r>
          </w:p>
        </w:tc>
        <w:tc>
          <w:tcPr>
            <w:tcW w:w="1198" w:type="dxa"/>
            <w:noWrap/>
            <w:hideMark/>
          </w:tcPr>
          <w:p w14:paraId="6497DCA9" w14:textId="77777777" w:rsidR="00D177BB" w:rsidRPr="000973F2" w:rsidRDefault="00D177BB" w:rsidP="00B53CB9">
            <w:pPr>
              <w:tabs>
                <w:tab w:val="decimal" w:pos="766"/>
              </w:tabs>
              <w:spacing w:before="30" w:after="3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$2,099</w:t>
            </w:r>
          </w:p>
        </w:tc>
        <w:tc>
          <w:tcPr>
            <w:tcW w:w="1217" w:type="dxa"/>
            <w:noWrap/>
            <w:hideMark/>
          </w:tcPr>
          <w:p w14:paraId="30F931A9" w14:textId="77777777" w:rsidR="00D177BB" w:rsidRPr="000973F2" w:rsidRDefault="00D177BB" w:rsidP="00B53CB9">
            <w:pPr>
              <w:tabs>
                <w:tab w:val="decimal" w:pos="766"/>
              </w:tabs>
              <w:spacing w:before="30" w:after="3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$2,099</w:t>
            </w:r>
          </w:p>
        </w:tc>
      </w:tr>
      <w:tr w:rsidR="00D177BB" w:rsidRPr="000973F2" w14:paraId="0735B576" w14:textId="77777777" w:rsidTr="00B53CB9">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2031" w:type="dxa"/>
            <w:hideMark/>
          </w:tcPr>
          <w:p w14:paraId="1E798157" w14:textId="77777777" w:rsidR="00D177BB" w:rsidRPr="000973F2" w:rsidRDefault="00D177BB" w:rsidP="00B53CB9">
            <w:pPr>
              <w:spacing w:before="30" w:after="30"/>
              <w:rPr>
                <w:rFonts w:ascii="Times New Roman" w:eastAsia="Times New Roman" w:hAnsi="Times New Roman" w:cs="Times New Roman"/>
                <w:b/>
                <w:bCs w:val="0"/>
                <w:sz w:val="18"/>
                <w:szCs w:val="18"/>
              </w:rPr>
            </w:pPr>
            <w:r w:rsidRPr="000973F2">
              <w:rPr>
                <w:rFonts w:ascii="Times New Roman" w:eastAsia="Times New Roman" w:hAnsi="Times New Roman" w:cs="Times New Roman"/>
                <w:b/>
                <w:sz w:val="18"/>
                <w:szCs w:val="18"/>
              </w:rPr>
              <w:t xml:space="preserve">Total </w:t>
            </w:r>
          </w:p>
        </w:tc>
        <w:tc>
          <w:tcPr>
            <w:tcW w:w="1216" w:type="dxa"/>
            <w:noWrap/>
            <w:hideMark/>
          </w:tcPr>
          <w:p w14:paraId="3663BBE0" w14:textId="77777777" w:rsidR="00D177BB" w:rsidRPr="000973F2" w:rsidRDefault="00D177BB" w:rsidP="00B53CB9">
            <w:pPr>
              <w:spacing w:before="30" w:after="3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$0</w:t>
            </w:r>
          </w:p>
        </w:tc>
        <w:tc>
          <w:tcPr>
            <w:tcW w:w="1217" w:type="dxa"/>
            <w:noWrap/>
          </w:tcPr>
          <w:p w14:paraId="2B2B4EFA" w14:textId="620FEC90" w:rsidR="00D177BB" w:rsidRPr="000973F2" w:rsidRDefault="00D177BB" w:rsidP="00B53CB9">
            <w:pPr>
              <w:spacing w:before="30" w:after="3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p>
        </w:tc>
        <w:tc>
          <w:tcPr>
            <w:tcW w:w="1216" w:type="dxa"/>
            <w:noWrap/>
            <w:hideMark/>
          </w:tcPr>
          <w:p w14:paraId="3781950D" w14:textId="77777777" w:rsidR="00D177BB" w:rsidRPr="000973F2" w:rsidRDefault="00D177BB" w:rsidP="00B53CB9">
            <w:pPr>
              <w:spacing w:before="30" w:after="3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$0</w:t>
            </w:r>
          </w:p>
        </w:tc>
        <w:tc>
          <w:tcPr>
            <w:tcW w:w="1235" w:type="dxa"/>
            <w:noWrap/>
            <w:hideMark/>
          </w:tcPr>
          <w:p w14:paraId="013FF176" w14:textId="77777777" w:rsidR="00D177BB" w:rsidRPr="000973F2" w:rsidRDefault="00D177BB" w:rsidP="00B53CB9">
            <w:pPr>
              <w:tabs>
                <w:tab w:val="decimal" w:pos="766"/>
              </w:tabs>
              <w:spacing w:before="30" w:after="3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$2,149</w:t>
            </w:r>
          </w:p>
        </w:tc>
        <w:tc>
          <w:tcPr>
            <w:tcW w:w="1198" w:type="dxa"/>
            <w:noWrap/>
            <w:hideMark/>
          </w:tcPr>
          <w:p w14:paraId="0D1EF843" w14:textId="77777777" w:rsidR="00D177BB" w:rsidRPr="000973F2" w:rsidRDefault="00D177BB" w:rsidP="00B53CB9">
            <w:pPr>
              <w:tabs>
                <w:tab w:val="decimal" w:pos="766"/>
              </w:tabs>
              <w:spacing w:before="30" w:after="3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$2,149</w:t>
            </w:r>
          </w:p>
        </w:tc>
        <w:tc>
          <w:tcPr>
            <w:tcW w:w="1217" w:type="dxa"/>
            <w:noWrap/>
            <w:hideMark/>
          </w:tcPr>
          <w:p w14:paraId="7826E540" w14:textId="77777777" w:rsidR="00D177BB" w:rsidRPr="000973F2" w:rsidRDefault="00D177BB" w:rsidP="00B53CB9">
            <w:pPr>
              <w:tabs>
                <w:tab w:val="decimal" w:pos="766"/>
              </w:tabs>
              <w:spacing w:before="30" w:after="3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$2,149</w:t>
            </w:r>
          </w:p>
        </w:tc>
      </w:tr>
    </w:tbl>
    <w:p w14:paraId="327F2CA3" w14:textId="0CB04E3A" w:rsidR="00D177BB" w:rsidRPr="000973F2" w:rsidRDefault="00D177BB" w:rsidP="000B25DD">
      <w:pPr>
        <w:pStyle w:val="AfterTable"/>
      </w:pPr>
    </w:p>
    <w:p w14:paraId="62619F82" w14:textId="79D9C607" w:rsidR="0056665F" w:rsidRPr="000973F2" w:rsidRDefault="0056665F" w:rsidP="000B25DD">
      <w:pPr>
        <w:pStyle w:val="Tabletitle"/>
      </w:pPr>
      <w:r w:rsidRPr="000973F2">
        <w:t xml:space="preserve">Table </w:t>
      </w:r>
      <w:r w:rsidR="000B25DD" w:rsidRPr="000973F2">
        <w:t>HH-</w:t>
      </w:r>
      <w:r w:rsidR="00FD5E97" w:rsidRPr="000973F2">
        <w:t>3</w:t>
      </w:r>
      <w:r w:rsidRPr="000973F2">
        <w:t xml:space="preserve">b. Capital and O&amp;M Costs </w:t>
      </w:r>
      <w:r w:rsidR="00B960CC" w:rsidRPr="000973F2">
        <w:t>–</w:t>
      </w:r>
      <w:r w:rsidRPr="000973F2">
        <w:t xml:space="preserve"> Subpart HH </w:t>
      </w:r>
      <w:r w:rsidR="00B960CC" w:rsidRPr="000973F2">
        <w:t>–</w:t>
      </w:r>
      <w:r w:rsidRPr="000973F2">
        <w:t xml:space="preserve"> Facilities without Gas Collection Systems</w:t>
      </w:r>
    </w:p>
    <w:tbl>
      <w:tblPr>
        <w:tblStyle w:val="PlainTable1"/>
        <w:tblW w:w="5047" w:type="pct"/>
        <w:jc w:val="left"/>
        <w:tblLayout w:type="fixed"/>
        <w:tblCellMar>
          <w:left w:w="115" w:type="dxa"/>
          <w:right w:w="115" w:type="dxa"/>
        </w:tblCellMar>
        <w:tblLook w:val="04A0" w:firstRow="1" w:lastRow="0" w:firstColumn="1" w:lastColumn="0" w:noHBand="0" w:noVBand="1"/>
      </w:tblPr>
      <w:tblGrid>
        <w:gridCol w:w="2119"/>
        <w:gridCol w:w="1259"/>
        <w:gridCol w:w="1260"/>
        <w:gridCol w:w="1259"/>
        <w:gridCol w:w="1277"/>
        <w:gridCol w:w="1245"/>
        <w:gridCol w:w="1261"/>
      </w:tblGrid>
      <w:tr w:rsidR="00D17312" w:rsidRPr="000973F2" w14:paraId="53A37BDA" w14:textId="77777777" w:rsidTr="005C66F4">
        <w:trPr>
          <w:cnfStyle w:val="100000000000" w:firstRow="1" w:lastRow="0" w:firstColumn="0" w:lastColumn="0" w:oddVBand="0" w:evenVBand="0" w:oddHBand="0" w:evenHBand="0" w:firstRowFirstColumn="0" w:firstRowLastColumn="0" w:lastRowFirstColumn="0" w:lastRowLastColumn="0"/>
          <w:cantSplit/>
          <w:trHeight w:val="689"/>
          <w:jc w:val="left"/>
        </w:trPr>
        <w:tc>
          <w:tcPr>
            <w:cnfStyle w:val="001000000000" w:firstRow="0" w:lastRow="0" w:firstColumn="1" w:lastColumn="0" w:oddVBand="0" w:evenVBand="0" w:oddHBand="0" w:evenHBand="0" w:firstRowFirstColumn="0" w:firstRowLastColumn="0" w:lastRowFirstColumn="0" w:lastRowLastColumn="0"/>
            <w:tcW w:w="2062" w:type="dxa"/>
            <w:vMerge w:val="restart"/>
            <w:noWrap/>
            <w:vAlign w:val="top"/>
            <w:hideMark/>
          </w:tcPr>
          <w:p w14:paraId="6A5CB5DF" w14:textId="71EAF81D" w:rsidR="00D17312" w:rsidRPr="000973F2" w:rsidRDefault="00D17312" w:rsidP="00B53CB9">
            <w:pPr>
              <w:spacing w:before="30" w:after="30"/>
              <w:rPr>
                <w:rFonts w:ascii="Times New Roman" w:eastAsia="Times New Roman" w:hAnsi="Times New Roman" w:cs="Times New Roman"/>
                <w:bCs w:val="0"/>
                <w:sz w:val="18"/>
                <w:szCs w:val="18"/>
              </w:rPr>
            </w:pPr>
            <w:r w:rsidRPr="000973F2">
              <w:rPr>
                <w:rFonts w:ascii="Times New Roman" w:eastAsia="Times New Roman" w:hAnsi="Times New Roman" w:cs="Times New Roman"/>
                <w:bCs w:val="0"/>
                <w:sz w:val="18"/>
                <w:szCs w:val="18"/>
              </w:rPr>
              <w:t>Activity</w:t>
            </w:r>
          </w:p>
        </w:tc>
        <w:tc>
          <w:tcPr>
            <w:tcW w:w="4918" w:type="dxa"/>
            <w:gridSpan w:val="4"/>
            <w:noWrap/>
            <w:vAlign w:val="top"/>
            <w:hideMark/>
          </w:tcPr>
          <w:p w14:paraId="01BA1A7F" w14:textId="77777777" w:rsidR="00D17312" w:rsidRPr="000973F2" w:rsidRDefault="00D17312" w:rsidP="00B53CB9">
            <w:pPr>
              <w:spacing w:before="30" w:after="30"/>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Cs w:val="0"/>
                <w:sz w:val="18"/>
                <w:szCs w:val="18"/>
              </w:rPr>
            </w:pPr>
            <w:r w:rsidRPr="000973F2">
              <w:rPr>
                <w:rFonts w:ascii="Times New Roman" w:eastAsia="Times New Roman" w:hAnsi="Times New Roman" w:cs="Times New Roman"/>
                <w:bCs w:val="0"/>
                <w:sz w:val="18"/>
                <w:szCs w:val="18"/>
              </w:rPr>
              <w:t>Cost Categories</w:t>
            </w:r>
          </w:p>
        </w:tc>
        <w:tc>
          <w:tcPr>
            <w:tcW w:w="2438" w:type="dxa"/>
            <w:gridSpan w:val="2"/>
            <w:vAlign w:val="top"/>
            <w:hideMark/>
          </w:tcPr>
          <w:p w14:paraId="5B973A46" w14:textId="77777777" w:rsidR="00D17312" w:rsidRPr="000973F2" w:rsidRDefault="00D17312" w:rsidP="00B53CB9">
            <w:pPr>
              <w:spacing w:before="30" w:after="30"/>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Cs w:val="0"/>
                <w:sz w:val="18"/>
                <w:szCs w:val="18"/>
              </w:rPr>
            </w:pPr>
            <w:r w:rsidRPr="000973F2">
              <w:rPr>
                <w:rFonts w:ascii="Times New Roman" w:eastAsia="Times New Roman" w:hAnsi="Times New Roman" w:cs="Times New Roman"/>
                <w:bCs w:val="0"/>
                <w:sz w:val="18"/>
                <w:szCs w:val="18"/>
              </w:rPr>
              <w:t>Total Capital and O&amp;M Cost per Year per Facility (2017$)</w:t>
            </w:r>
          </w:p>
        </w:tc>
      </w:tr>
      <w:tr w:rsidR="00D17312" w:rsidRPr="000973F2" w14:paraId="7A6A2E12" w14:textId="77777777" w:rsidTr="005C66F4">
        <w:trPr>
          <w:cnfStyle w:val="000000100000" w:firstRow="0" w:lastRow="0" w:firstColumn="0" w:lastColumn="0" w:oddVBand="0" w:evenVBand="0" w:oddHBand="1" w:evenHBand="0" w:firstRowFirstColumn="0" w:firstRowLastColumn="0" w:lastRowFirstColumn="0" w:lastRowLastColumn="0"/>
          <w:cantSplit/>
          <w:trHeight w:val="704"/>
        </w:trPr>
        <w:tc>
          <w:tcPr>
            <w:cnfStyle w:val="001000000000" w:firstRow="0" w:lastRow="0" w:firstColumn="1" w:lastColumn="0" w:oddVBand="0" w:evenVBand="0" w:oddHBand="0" w:evenHBand="0" w:firstRowFirstColumn="0" w:firstRowLastColumn="0" w:lastRowFirstColumn="0" w:lastRowLastColumn="0"/>
            <w:tcW w:w="2062" w:type="dxa"/>
            <w:vMerge/>
            <w:noWrap/>
            <w:hideMark/>
          </w:tcPr>
          <w:p w14:paraId="41D344AB" w14:textId="17BE93E9" w:rsidR="00D17312" w:rsidRPr="000973F2" w:rsidRDefault="00D17312" w:rsidP="00B53CB9">
            <w:pPr>
              <w:spacing w:before="30" w:after="30"/>
              <w:jc w:val="center"/>
              <w:rPr>
                <w:rFonts w:ascii="Times New Roman" w:eastAsia="Times New Roman" w:hAnsi="Times New Roman" w:cs="Times New Roman"/>
                <w:b/>
                <w:bCs w:val="0"/>
                <w:sz w:val="18"/>
                <w:szCs w:val="18"/>
              </w:rPr>
            </w:pPr>
          </w:p>
        </w:tc>
        <w:tc>
          <w:tcPr>
            <w:tcW w:w="1225" w:type="dxa"/>
            <w:tcMar>
              <w:left w:w="14" w:type="dxa"/>
              <w:right w:w="14" w:type="dxa"/>
            </w:tcMar>
            <w:hideMark/>
          </w:tcPr>
          <w:p w14:paraId="60FE323B" w14:textId="77777777" w:rsidR="00D17312" w:rsidRPr="000973F2" w:rsidRDefault="00D17312" w:rsidP="00B53CB9">
            <w:pPr>
              <w:spacing w:before="30" w:after="3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18"/>
                <w:szCs w:val="18"/>
              </w:rPr>
            </w:pPr>
            <w:r w:rsidRPr="000973F2">
              <w:rPr>
                <w:rFonts w:ascii="Times New Roman" w:eastAsia="Times New Roman" w:hAnsi="Times New Roman" w:cs="Times New Roman"/>
                <w:b/>
                <w:bCs/>
                <w:sz w:val="18"/>
                <w:szCs w:val="18"/>
              </w:rPr>
              <w:t>Capital Cost (2017$)</w:t>
            </w:r>
          </w:p>
        </w:tc>
        <w:tc>
          <w:tcPr>
            <w:tcW w:w="1226" w:type="dxa"/>
            <w:tcMar>
              <w:left w:w="14" w:type="dxa"/>
              <w:right w:w="14" w:type="dxa"/>
            </w:tcMar>
            <w:hideMark/>
          </w:tcPr>
          <w:p w14:paraId="12D9E0AC" w14:textId="77777777" w:rsidR="00D17312" w:rsidRPr="000973F2" w:rsidRDefault="00D17312" w:rsidP="00B53CB9">
            <w:pPr>
              <w:spacing w:before="30" w:after="3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18"/>
                <w:szCs w:val="18"/>
              </w:rPr>
            </w:pPr>
            <w:r w:rsidRPr="000973F2">
              <w:rPr>
                <w:rFonts w:ascii="Times New Roman" w:eastAsia="Times New Roman" w:hAnsi="Times New Roman" w:cs="Times New Roman"/>
                <w:b/>
                <w:bCs/>
                <w:sz w:val="18"/>
                <w:szCs w:val="18"/>
              </w:rPr>
              <w:t>Equipment Lifetime</w:t>
            </w:r>
          </w:p>
        </w:tc>
        <w:tc>
          <w:tcPr>
            <w:tcW w:w="1225" w:type="dxa"/>
            <w:tcMar>
              <w:left w:w="14" w:type="dxa"/>
              <w:right w:w="14" w:type="dxa"/>
            </w:tcMar>
            <w:hideMark/>
          </w:tcPr>
          <w:p w14:paraId="4B8CD4CA" w14:textId="77777777" w:rsidR="00D17312" w:rsidRPr="000973F2" w:rsidRDefault="00D17312" w:rsidP="00B53CB9">
            <w:pPr>
              <w:spacing w:before="30" w:after="3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18"/>
                <w:szCs w:val="18"/>
              </w:rPr>
            </w:pPr>
            <w:r w:rsidRPr="000973F2">
              <w:rPr>
                <w:rFonts w:ascii="Times New Roman" w:eastAsia="Times New Roman" w:hAnsi="Times New Roman" w:cs="Times New Roman"/>
                <w:b/>
                <w:bCs/>
                <w:sz w:val="18"/>
                <w:szCs w:val="18"/>
              </w:rPr>
              <w:t>Annualized Capital Cost (2017$/year)</w:t>
            </w:r>
          </w:p>
        </w:tc>
        <w:tc>
          <w:tcPr>
            <w:tcW w:w="1240" w:type="dxa"/>
            <w:tcMar>
              <w:left w:w="14" w:type="dxa"/>
              <w:right w:w="14" w:type="dxa"/>
            </w:tcMar>
            <w:hideMark/>
          </w:tcPr>
          <w:p w14:paraId="74CC2CF6" w14:textId="77777777" w:rsidR="00D17312" w:rsidRPr="000973F2" w:rsidRDefault="00D17312" w:rsidP="00B53CB9">
            <w:pPr>
              <w:spacing w:before="30" w:after="3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18"/>
                <w:szCs w:val="18"/>
              </w:rPr>
            </w:pPr>
            <w:r w:rsidRPr="000973F2">
              <w:rPr>
                <w:rFonts w:ascii="Times New Roman" w:eastAsia="Times New Roman" w:hAnsi="Times New Roman" w:cs="Times New Roman"/>
                <w:b/>
                <w:bCs/>
                <w:sz w:val="18"/>
                <w:szCs w:val="18"/>
              </w:rPr>
              <w:t>O&amp;M Costs (2017$/year)</w:t>
            </w:r>
          </w:p>
        </w:tc>
        <w:tc>
          <w:tcPr>
            <w:tcW w:w="1211" w:type="dxa"/>
            <w:tcMar>
              <w:left w:w="14" w:type="dxa"/>
              <w:right w:w="14" w:type="dxa"/>
            </w:tcMar>
            <w:hideMark/>
          </w:tcPr>
          <w:p w14:paraId="57E5C291" w14:textId="77777777" w:rsidR="00D17312" w:rsidRPr="000973F2" w:rsidRDefault="00D17312" w:rsidP="00B53CB9">
            <w:pPr>
              <w:spacing w:before="30" w:after="3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18"/>
                <w:szCs w:val="18"/>
              </w:rPr>
            </w:pPr>
            <w:r w:rsidRPr="000973F2">
              <w:rPr>
                <w:rFonts w:ascii="Times New Roman" w:eastAsia="Times New Roman" w:hAnsi="Times New Roman" w:cs="Times New Roman"/>
                <w:b/>
                <w:bCs/>
                <w:sz w:val="18"/>
                <w:szCs w:val="18"/>
              </w:rPr>
              <w:t>Initial Year</w:t>
            </w:r>
          </w:p>
        </w:tc>
        <w:tc>
          <w:tcPr>
            <w:tcW w:w="1226" w:type="dxa"/>
            <w:tcMar>
              <w:left w:w="14" w:type="dxa"/>
              <w:right w:w="14" w:type="dxa"/>
            </w:tcMar>
            <w:hideMark/>
          </w:tcPr>
          <w:p w14:paraId="24660F6A" w14:textId="77777777" w:rsidR="00D17312" w:rsidRPr="000973F2" w:rsidRDefault="00D17312" w:rsidP="00B53CB9">
            <w:pPr>
              <w:spacing w:before="30" w:after="3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18"/>
                <w:szCs w:val="18"/>
              </w:rPr>
            </w:pPr>
            <w:r w:rsidRPr="000973F2">
              <w:rPr>
                <w:rFonts w:ascii="Times New Roman" w:eastAsia="Times New Roman" w:hAnsi="Times New Roman" w:cs="Times New Roman"/>
                <w:b/>
                <w:bCs/>
                <w:sz w:val="18"/>
                <w:szCs w:val="18"/>
              </w:rPr>
              <w:t>Subseq. Years</w:t>
            </w:r>
          </w:p>
        </w:tc>
      </w:tr>
      <w:tr w:rsidR="00B53CB9" w:rsidRPr="000973F2" w14:paraId="1CA020FE" w14:textId="77777777" w:rsidTr="005C66F4">
        <w:trPr>
          <w:cantSplit/>
          <w:trHeight w:val="490"/>
        </w:trPr>
        <w:tc>
          <w:tcPr>
            <w:cnfStyle w:val="001000000000" w:firstRow="0" w:lastRow="0" w:firstColumn="1" w:lastColumn="0" w:oddVBand="0" w:evenVBand="0" w:oddHBand="0" w:evenHBand="0" w:firstRowFirstColumn="0" w:firstRowLastColumn="0" w:lastRowFirstColumn="0" w:lastRowLastColumn="0"/>
            <w:tcW w:w="2062" w:type="dxa"/>
            <w:hideMark/>
          </w:tcPr>
          <w:p w14:paraId="56765D34" w14:textId="77777777" w:rsidR="00B53CB9" w:rsidRPr="000973F2" w:rsidRDefault="00B53CB9" w:rsidP="00B53CB9">
            <w:pPr>
              <w:spacing w:before="30" w:after="3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Equipment (selection, purchase, installation)</w:t>
            </w:r>
          </w:p>
        </w:tc>
        <w:tc>
          <w:tcPr>
            <w:tcW w:w="1225" w:type="dxa"/>
            <w:noWrap/>
            <w:hideMark/>
          </w:tcPr>
          <w:p w14:paraId="15E266B0" w14:textId="03CE34CF" w:rsidR="00B53CB9" w:rsidRPr="000973F2" w:rsidRDefault="00B53CB9" w:rsidP="00B53CB9">
            <w:pPr>
              <w:spacing w:before="30" w:after="3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w:t>
            </w:r>
          </w:p>
        </w:tc>
        <w:tc>
          <w:tcPr>
            <w:tcW w:w="1226" w:type="dxa"/>
            <w:noWrap/>
          </w:tcPr>
          <w:p w14:paraId="298A3CC4" w14:textId="1175C7F8" w:rsidR="00B53CB9" w:rsidRPr="000973F2" w:rsidRDefault="00B53CB9" w:rsidP="00B53CB9">
            <w:pPr>
              <w:spacing w:before="30" w:after="3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p>
        </w:tc>
        <w:tc>
          <w:tcPr>
            <w:tcW w:w="1225" w:type="dxa"/>
            <w:noWrap/>
            <w:hideMark/>
          </w:tcPr>
          <w:p w14:paraId="3749E1FA" w14:textId="6186F9E0" w:rsidR="00B53CB9" w:rsidRPr="000973F2" w:rsidRDefault="00B53CB9" w:rsidP="00B53CB9">
            <w:pPr>
              <w:spacing w:before="30" w:after="3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w:t>
            </w:r>
          </w:p>
        </w:tc>
        <w:tc>
          <w:tcPr>
            <w:tcW w:w="1240" w:type="dxa"/>
            <w:noWrap/>
            <w:hideMark/>
          </w:tcPr>
          <w:p w14:paraId="286F0532" w14:textId="3460CCA8" w:rsidR="00B53CB9" w:rsidRPr="000973F2" w:rsidRDefault="00B53CB9" w:rsidP="00B53CB9">
            <w:pPr>
              <w:spacing w:before="30" w:after="3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w:t>
            </w:r>
          </w:p>
        </w:tc>
        <w:tc>
          <w:tcPr>
            <w:tcW w:w="1211" w:type="dxa"/>
            <w:noWrap/>
            <w:hideMark/>
          </w:tcPr>
          <w:p w14:paraId="46270CAE" w14:textId="320C6216" w:rsidR="00B53CB9" w:rsidRPr="000973F2" w:rsidRDefault="00B53CB9" w:rsidP="00B53CB9">
            <w:pPr>
              <w:spacing w:before="30" w:after="3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w:t>
            </w:r>
          </w:p>
        </w:tc>
        <w:tc>
          <w:tcPr>
            <w:tcW w:w="1226" w:type="dxa"/>
            <w:noWrap/>
            <w:hideMark/>
          </w:tcPr>
          <w:p w14:paraId="631E4DEB" w14:textId="34371B63" w:rsidR="00B53CB9" w:rsidRPr="000973F2" w:rsidRDefault="00B53CB9" w:rsidP="00B53CB9">
            <w:pPr>
              <w:spacing w:before="30" w:after="3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w:t>
            </w:r>
          </w:p>
        </w:tc>
      </w:tr>
      <w:tr w:rsidR="00B53CB9" w:rsidRPr="000973F2" w14:paraId="7C65A2EC" w14:textId="77777777" w:rsidTr="005C66F4">
        <w:trPr>
          <w:cnfStyle w:val="000000100000" w:firstRow="0" w:lastRow="0" w:firstColumn="0" w:lastColumn="0" w:oddVBand="0" w:evenVBand="0" w:oddHBand="1" w:evenHBand="0" w:firstRowFirstColumn="0" w:firstRowLastColumn="0" w:lastRowFirstColumn="0" w:lastRowLastColumn="0"/>
          <w:cantSplit/>
          <w:trHeight w:val="260"/>
        </w:trPr>
        <w:tc>
          <w:tcPr>
            <w:cnfStyle w:val="001000000000" w:firstRow="0" w:lastRow="0" w:firstColumn="1" w:lastColumn="0" w:oddVBand="0" w:evenVBand="0" w:oddHBand="0" w:evenHBand="0" w:firstRowFirstColumn="0" w:firstRowLastColumn="0" w:lastRowFirstColumn="0" w:lastRowLastColumn="0"/>
            <w:tcW w:w="2062" w:type="dxa"/>
            <w:hideMark/>
          </w:tcPr>
          <w:p w14:paraId="461E63F9" w14:textId="77777777" w:rsidR="00B53CB9" w:rsidRPr="000973F2" w:rsidRDefault="00B53CB9" w:rsidP="00B53CB9">
            <w:pPr>
              <w:spacing w:before="30" w:after="3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Performance testing</w:t>
            </w:r>
          </w:p>
        </w:tc>
        <w:tc>
          <w:tcPr>
            <w:tcW w:w="1225" w:type="dxa"/>
            <w:noWrap/>
            <w:hideMark/>
          </w:tcPr>
          <w:p w14:paraId="16EE2E09" w14:textId="7EDF87C6" w:rsidR="00B53CB9" w:rsidRPr="000973F2" w:rsidRDefault="00B53CB9" w:rsidP="00B53CB9">
            <w:pPr>
              <w:spacing w:before="30" w:after="3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w:t>
            </w:r>
          </w:p>
        </w:tc>
        <w:tc>
          <w:tcPr>
            <w:tcW w:w="1226" w:type="dxa"/>
            <w:noWrap/>
          </w:tcPr>
          <w:p w14:paraId="4A68DC4C" w14:textId="6E8528DE" w:rsidR="00B53CB9" w:rsidRPr="000973F2" w:rsidRDefault="00B53CB9" w:rsidP="00B53CB9">
            <w:pPr>
              <w:spacing w:before="30" w:after="3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p>
        </w:tc>
        <w:tc>
          <w:tcPr>
            <w:tcW w:w="1225" w:type="dxa"/>
            <w:noWrap/>
            <w:hideMark/>
          </w:tcPr>
          <w:p w14:paraId="33D81EF6" w14:textId="629EE1BD" w:rsidR="00B53CB9" w:rsidRPr="000973F2" w:rsidRDefault="00B53CB9" w:rsidP="00B53CB9">
            <w:pPr>
              <w:spacing w:before="30" w:after="3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w:t>
            </w:r>
          </w:p>
        </w:tc>
        <w:tc>
          <w:tcPr>
            <w:tcW w:w="1240" w:type="dxa"/>
            <w:noWrap/>
            <w:hideMark/>
          </w:tcPr>
          <w:p w14:paraId="0528848F" w14:textId="67C0B3B5" w:rsidR="00B53CB9" w:rsidRPr="000973F2" w:rsidRDefault="00B53CB9" w:rsidP="00B53CB9">
            <w:pPr>
              <w:spacing w:before="30" w:after="3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w:t>
            </w:r>
          </w:p>
        </w:tc>
        <w:tc>
          <w:tcPr>
            <w:tcW w:w="1211" w:type="dxa"/>
            <w:noWrap/>
            <w:hideMark/>
          </w:tcPr>
          <w:p w14:paraId="7E721678" w14:textId="5FA74D92" w:rsidR="00B53CB9" w:rsidRPr="000973F2" w:rsidRDefault="00B53CB9" w:rsidP="00B53CB9">
            <w:pPr>
              <w:spacing w:before="30" w:after="3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w:t>
            </w:r>
          </w:p>
        </w:tc>
        <w:tc>
          <w:tcPr>
            <w:tcW w:w="1226" w:type="dxa"/>
            <w:noWrap/>
            <w:hideMark/>
          </w:tcPr>
          <w:p w14:paraId="79D50675" w14:textId="6316FA21" w:rsidR="00B53CB9" w:rsidRPr="000973F2" w:rsidRDefault="00B53CB9" w:rsidP="00B53CB9">
            <w:pPr>
              <w:spacing w:before="30" w:after="3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w:t>
            </w:r>
          </w:p>
        </w:tc>
      </w:tr>
      <w:tr w:rsidR="003768E3" w:rsidRPr="000973F2" w14:paraId="126FD6DC" w14:textId="77777777" w:rsidTr="005C66F4">
        <w:trPr>
          <w:cantSplit/>
          <w:trHeight w:val="275"/>
        </w:trPr>
        <w:tc>
          <w:tcPr>
            <w:cnfStyle w:val="001000000000" w:firstRow="0" w:lastRow="0" w:firstColumn="1" w:lastColumn="0" w:oddVBand="0" w:evenVBand="0" w:oddHBand="0" w:evenHBand="0" w:firstRowFirstColumn="0" w:firstRowLastColumn="0" w:lastRowFirstColumn="0" w:lastRowLastColumn="0"/>
            <w:tcW w:w="2062" w:type="dxa"/>
            <w:hideMark/>
          </w:tcPr>
          <w:p w14:paraId="622831A4" w14:textId="77777777" w:rsidR="00D177BB" w:rsidRPr="000973F2" w:rsidRDefault="00D177BB" w:rsidP="00B53CB9">
            <w:pPr>
              <w:spacing w:before="30" w:after="3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Recordkeeping</w:t>
            </w:r>
          </w:p>
        </w:tc>
        <w:tc>
          <w:tcPr>
            <w:tcW w:w="1225" w:type="dxa"/>
            <w:noWrap/>
            <w:hideMark/>
          </w:tcPr>
          <w:p w14:paraId="3B054ECC" w14:textId="77777777" w:rsidR="00D177BB" w:rsidRPr="000973F2" w:rsidRDefault="00D177BB" w:rsidP="00B53CB9">
            <w:pPr>
              <w:spacing w:before="30" w:after="3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$0</w:t>
            </w:r>
          </w:p>
        </w:tc>
        <w:tc>
          <w:tcPr>
            <w:tcW w:w="1226" w:type="dxa"/>
            <w:noWrap/>
          </w:tcPr>
          <w:p w14:paraId="55ACC95E" w14:textId="3DD41BD2" w:rsidR="00D177BB" w:rsidRPr="000973F2" w:rsidRDefault="00D177BB" w:rsidP="00B53CB9">
            <w:pPr>
              <w:spacing w:before="30" w:after="3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p>
        </w:tc>
        <w:tc>
          <w:tcPr>
            <w:tcW w:w="1225" w:type="dxa"/>
            <w:noWrap/>
            <w:hideMark/>
          </w:tcPr>
          <w:p w14:paraId="60B5EC25" w14:textId="77777777" w:rsidR="00D177BB" w:rsidRPr="000973F2" w:rsidRDefault="00D177BB" w:rsidP="00B53CB9">
            <w:pPr>
              <w:spacing w:before="30" w:after="3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$0</w:t>
            </w:r>
          </w:p>
        </w:tc>
        <w:tc>
          <w:tcPr>
            <w:tcW w:w="1240" w:type="dxa"/>
            <w:noWrap/>
            <w:hideMark/>
          </w:tcPr>
          <w:p w14:paraId="3E312ED8" w14:textId="77777777" w:rsidR="00D177BB" w:rsidRPr="000973F2" w:rsidRDefault="00D177BB" w:rsidP="00B53CB9">
            <w:pPr>
              <w:spacing w:before="30" w:after="3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$50</w:t>
            </w:r>
          </w:p>
        </w:tc>
        <w:tc>
          <w:tcPr>
            <w:tcW w:w="1211" w:type="dxa"/>
            <w:noWrap/>
            <w:hideMark/>
          </w:tcPr>
          <w:p w14:paraId="7FDEE16B" w14:textId="77777777" w:rsidR="00D177BB" w:rsidRPr="000973F2" w:rsidRDefault="00D177BB" w:rsidP="00B53CB9">
            <w:pPr>
              <w:spacing w:before="30" w:after="3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$50</w:t>
            </w:r>
          </w:p>
        </w:tc>
        <w:tc>
          <w:tcPr>
            <w:tcW w:w="1226" w:type="dxa"/>
            <w:noWrap/>
            <w:hideMark/>
          </w:tcPr>
          <w:p w14:paraId="247AB49E" w14:textId="77777777" w:rsidR="00D177BB" w:rsidRPr="000973F2" w:rsidRDefault="00D177BB" w:rsidP="00B53CB9">
            <w:pPr>
              <w:spacing w:before="30" w:after="3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$50</w:t>
            </w:r>
          </w:p>
        </w:tc>
      </w:tr>
      <w:tr w:rsidR="00B53CB9" w:rsidRPr="000973F2" w14:paraId="3D6A04C7" w14:textId="77777777" w:rsidTr="005C66F4">
        <w:trPr>
          <w:cnfStyle w:val="000000100000" w:firstRow="0" w:lastRow="0" w:firstColumn="0" w:lastColumn="0" w:oddVBand="0" w:evenVBand="0" w:oddHBand="1" w:evenHBand="0" w:firstRowFirstColumn="0" w:firstRowLastColumn="0" w:lastRowFirstColumn="0" w:lastRowLastColumn="0"/>
          <w:cantSplit/>
          <w:trHeight w:val="260"/>
        </w:trPr>
        <w:tc>
          <w:tcPr>
            <w:cnfStyle w:val="001000000000" w:firstRow="0" w:lastRow="0" w:firstColumn="1" w:lastColumn="0" w:oddVBand="0" w:evenVBand="0" w:oddHBand="0" w:evenHBand="0" w:firstRowFirstColumn="0" w:firstRowLastColumn="0" w:lastRowFirstColumn="0" w:lastRowLastColumn="0"/>
            <w:tcW w:w="2062" w:type="dxa"/>
            <w:hideMark/>
          </w:tcPr>
          <w:p w14:paraId="67927802" w14:textId="77777777" w:rsidR="00B53CB9" w:rsidRPr="000973F2" w:rsidRDefault="00B53CB9" w:rsidP="00B53CB9">
            <w:pPr>
              <w:spacing w:before="30" w:after="3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Travel</w:t>
            </w:r>
          </w:p>
        </w:tc>
        <w:tc>
          <w:tcPr>
            <w:tcW w:w="1225" w:type="dxa"/>
            <w:noWrap/>
            <w:hideMark/>
          </w:tcPr>
          <w:p w14:paraId="7912C681" w14:textId="32037651" w:rsidR="00B53CB9" w:rsidRPr="000973F2" w:rsidRDefault="00B53CB9" w:rsidP="00B53CB9">
            <w:pPr>
              <w:spacing w:before="30" w:after="3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w:t>
            </w:r>
          </w:p>
        </w:tc>
        <w:tc>
          <w:tcPr>
            <w:tcW w:w="1226" w:type="dxa"/>
            <w:noWrap/>
          </w:tcPr>
          <w:p w14:paraId="605644A3" w14:textId="057DBA33" w:rsidR="00B53CB9" w:rsidRPr="000973F2" w:rsidRDefault="00B53CB9" w:rsidP="00B53CB9">
            <w:pPr>
              <w:spacing w:before="30" w:after="3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p>
        </w:tc>
        <w:tc>
          <w:tcPr>
            <w:tcW w:w="1225" w:type="dxa"/>
            <w:noWrap/>
            <w:hideMark/>
          </w:tcPr>
          <w:p w14:paraId="68941221" w14:textId="5CBAFA1C" w:rsidR="00B53CB9" w:rsidRPr="000973F2" w:rsidRDefault="00B53CB9" w:rsidP="00B53CB9">
            <w:pPr>
              <w:spacing w:before="30" w:after="3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w:t>
            </w:r>
          </w:p>
        </w:tc>
        <w:tc>
          <w:tcPr>
            <w:tcW w:w="1240" w:type="dxa"/>
            <w:noWrap/>
            <w:hideMark/>
          </w:tcPr>
          <w:p w14:paraId="138871EE" w14:textId="71DEA25B" w:rsidR="00B53CB9" w:rsidRPr="000973F2" w:rsidRDefault="00B53CB9" w:rsidP="00B53CB9">
            <w:pPr>
              <w:spacing w:before="30" w:after="3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w:t>
            </w:r>
          </w:p>
        </w:tc>
        <w:tc>
          <w:tcPr>
            <w:tcW w:w="1211" w:type="dxa"/>
            <w:noWrap/>
            <w:hideMark/>
          </w:tcPr>
          <w:p w14:paraId="74876730" w14:textId="30246950" w:rsidR="00B53CB9" w:rsidRPr="000973F2" w:rsidRDefault="00B53CB9" w:rsidP="00B53CB9">
            <w:pPr>
              <w:spacing w:before="30" w:after="3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w:t>
            </w:r>
          </w:p>
        </w:tc>
        <w:tc>
          <w:tcPr>
            <w:tcW w:w="1226" w:type="dxa"/>
            <w:noWrap/>
            <w:hideMark/>
          </w:tcPr>
          <w:p w14:paraId="098E9154" w14:textId="08D72364" w:rsidR="00B53CB9" w:rsidRPr="000973F2" w:rsidRDefault="00B53CB9" w:rsidP="00B53CB9">
            <w:pPr>
              <w:spacing w:before="30" w:after="3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w:t>
            </w:r>
          </w:p>
        </w:tc>
      </w:tr>
      <w:tr w:rsidR="00B53CB9" w:rsidRPr="000973F2" w14:paraId="192B74EA" w14:textId="77777777" w:rsidTr="005C66F4">
        <w:trPr>
          <w:cantSplit/>
          <w:trHeight w:val="474"/>
        </w:trPr>
        <w:tc>
          <w:tcPr>
            <w:cnfStyle w:val="001000000000" w:firstRow="0" w:lastRow="0" w:firstColumn="1" w:lastColumn="0" w:oddVBand="0" w:evenVBand="0" w:oddHBand="0" w:evenHBand="0" w:firstRowFirstColumn="0" w:firstRowLastColumn="0" w:lastRowFirstColumn="0" w:lastRowLastColumn="0"/>
            <w:tcW w:w="2062" w:type="dxa"/>
            <w:hideMark/>
          </w:tcPr>
          <w:p w14:paraId="27462827" w14:textId="6255B7D7" w:rsidR="00B53CB9" w:rsidRPr="000973F2" w:rsidRDefault="00B53CB9" w:rsidP="00B53CB9">
            <w:pPr>
              <w:spacing w:before="30" w:after="3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Sampling and Analysis Costs</w:t>
            </w:r>
          </w:p>
        </w:tc>
        <w:tc>
          <w:tcPr>
            <w:tcW w:w="1225" w:type="dxa"/>
            <w:noWrap/>
            <w:hideMark/>
          </w:tcPr>
          <w:p w14:paraId="497F1C2F" w14:textId="0585F1C4" w:rsidR="00B53CB9" w:rsidRPr="000973F2" w:rsidRDefault="00B53CB9" w:rsidP="00B53CB9">
            <w:pPr>
              <w:spacing w:before="30" w:after="3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w:t>
            </w:r>
          </w:p>
        </w:tc>
        <w:tc>
          <w:tcPr>
            <w:tcW w:w="1226" w:type="dxa"/>
            <w:noWrap/>
          </w:tcPr>
          <w:p w14:paraId="2C6923DF" w14:textId="435CD938" w:rsidR="00B53CB9" w:rsidRPr="000973F2" w:rsidRDefault="00B53CB9" w:rsidP="00B53CB9">
            <w:pPr>
              <w:spacing w:before="30" w:after="3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p>
        </w:tc>
        <w:tc>
          <w:tcPr>
            <w:tcW w:w="1225" w:type="dxa"/>
            <w:noWrap/>
            <w:hideMark/>
          </w:tcPr>
          <w:p w14:paraId="5891F1F6" w14:textId="56FF6F6B" w:rsidR="00B53CB9" w:rsidRPr="000973F2" w:rsidRDefault="00B53CB9" w:rsidP="00B53CB9">
            <w:pPr>
              <w:spacing w:before="30" w:after="3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w:t>
            </w:r>
          </w:p>
        </w:tc>
        <w:tc>
          <w:tcPr>
            <w:tcW w:w="1240" w:type="dxa"/>
            <w:noWrap/>
            <w:hideMark/>
          </w:tcPr>
          <w:p w14:paraId="71FC3CEF" w14:textId="0B01493B" w:rsidR="00B53CB9" w:rsidRPr="000973F2" w:rsidRDefault="00B53CB9" w:rsidP="00B53CB9">
            <w:pPr>
              <w:spacing w:before="30" w:after="3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w:t>
            </w:r>
          </w:p>
        </w:tc>
        <w:tc>
          <w:tcPr>
            <w:tcW w:w="1211" w:type="dxa"/>
            <w:noWrap/>
            <w:hideMark/>
          </w:tcPr>
          <w:p w14:paraId="74BAA378" w14:textId="25AA9A66" w:rsidR="00B53CB9" w:rsidRPr="000973F2" w:rsidRDefault="00B53CB9" w:rsidP="00B53CB9">
            <w:pPr>
              <w:spacing w:before="30" w:after="3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w:t>
            </w:r>
          </w:p>
        </w:tc>
        <w:tc>
          <w:tcPr>
            <w:tcW w:w="1226" w:type="dxa"/>
            <w:noWrap/>
            <w:hideMark/>
          </w:tcPr>
          <w:p w14:paraId="371E1C2B" w14:textId="7476ED2D" w:rsidR="00B53CB9" w:rsidRPr="000973F2" w:rsidRDefault="00B53CB9" w:rsidP="00B53CB9">
            <w:pPr>
              <w:spacing w:before="30" w:after="3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w:t>
            </w:r>
          </w:p>
        </w:tc>
      </w:tr>
      <w:tr w:rsidR="00D177BB" w:rsidRPr="000973F2" w14:paraId="1590178C" w14:textId="77777777" w:rsidTr="005C66F4">
        <w:trPr>
          <w:cnfStyle w:val="000000100000" w:firstRow="0" w:lastRow="0" w:firstColumn="0" w:lastColumn="0" w:oddVBand="0" w:evenVBand="0" w:oddHBand="1" w:evenHBand="0" w:firstRowFirstColumn="0" w:firstRowLastColumn="0" w:lastRowFirstColumn="0" w:lastRowLastColumn="0"/>
          <w:cantSplit/>
          <w:trHeight w:val="275"/>
        </w:trPr>
        <w:tc>
          <w:tcPr>
            <w:cnfStyle w:val="001000000000" w:firstRow="0" w:lastRow="0" w:firstColumn="1" w:lastColumn="0" w:oddVBand="0" w:evenVBand="0" w:oddHBand="0" w:evenHBand="0" w:firstRowFirstColumn="0" w:firstRowLastColumn="0" w:lastRowFirstColumn="0" w:lastRowLastColumn="0"/>
            <w:tcW w:w="2062" w:type="dxa"/>
            <w:hideMark/>
          </w:tcPr>
          <w:p w14:paraId="3330FFF0" w14:textId="77777777" w:rsidR="00D177BB" w:rsidRPr="000973F2" w:rsidRDefault="00D177BB" w:rsidP="00B53CB9">
            <w:pPr>
              <w:spacing w:before="30" w:after="30"/>
              <w:rPr>
                <w:rFonts w:ascii="Times New Roman" w:eastAsia="Times New Roman" w:hAnsi="Times New Roman" w:cs="Times New Roman"/>
                <w:b/>
                <w:bCs w:val="0"/>
                <w:sz w:val="18"/>
                <w:szCs w:val="18"/>
              </w:rPr>
            </w:pPr>
            <w:r w:rsidRPr="000973F2">
              <w:rPr>
                <w:rFonts w:ascii="Times New Roman" w:eastAsia="Times New Roman" w:hAnsi="Times New Roman" w:cs="Times New Roman"/>
                <w:b/>
                <w:sz w:val="18"/>
                <w:szCs w:val="18"/>
              </w:rPr>
              <w:t xml:space="preserve">Total </w:t>
            </w:r>
          </w:p>
        </w:tc>
        <w:tc>
          <w:tcPr>
            <w:tcW w:w="1225" w:type="dxa"/>
            <w:noWrap/>
            <w:hideMark/>
          </w:tcPr>
          <w:p w14:paraId="79D7663D" w14:textId="77777777" w:rsidR="00D177BB" w:rsidRPr="000973F2" w:rsidRDefault="00D177BB" w:rsidP="00B53CB9">
            <w:pPr>
              <w:spacing w:before="30" w:after="3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$0</w:t>
            </w:r>
          </w:p>
        </w:tc>
        <w:tc>
          <w:tcPr>
            <w:tcW w:w="1226" w:type="dxa"/>
            <w:noWrap/>
          </w:tcPr>
          <w:p w14:paraId="577A1A02" w14:textId="455EA7C9" w:rsidR="00D177BB" w:rsidRPr="000973F2" w:rsidRDefault="00D177BB" w:rsidP="00B53CB9">
            <w:pPr>
              <w:spacing w:before="30" w:after="3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p>
        </w:tc>
        <w:tc>
          <w:tcPr>
            <w:tcW w:w="1225" w:type="dxa"/>
            <w:noWrap/>
            <w:hideMark/>
          </w:tcPr>
          <w:p w14:paraId="0244B5A4" w14:textId="77777777" w:rsidR="00D177BB" w:rsidRPr="000973F2" w:rsidRDefault="00D177BB" w:rsidP="00B53CB9">
            <w:pPr>
              <w:spacing w:before="30" w:after="3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$0</w:t>
            </w:r>
          </w:p>
        </w:tc>
        <w:tc>
          <w:tcPr>
            <w:tcW w:w="1240" w:type="dxa"/>
            <w:noWrap/>
            <w:hideMark/>
          </w:tcPr>
          <w:p w14:paraId="20F9122C" w14:textId="77777777" w:rsidR="00D177BB" w:rsidRPr="000973F2" w:rsidRDefault="00D177BB" w:rsidP="00B53CB9">
            <w:pPr>
              <w:spacing w:before="30" w:after="3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$50</w:t>
            </w:r>
          </w:p>
        </w:tc>
        <w:tc>
          <w:tcPr>
            <w:tcW w:w="1211" w:type="dxa"/>
            <w:noWrap/>
            <w:hideMark/>
          </w:tcPr>
          <w:p w14:paraId="0E3AE14E" w14:textId="77777777" w:rsidR="00D177BB" w:rsidRPr="000973F2" w:rsidRDefault="00D177BB" w:rsidP="00B53CB9">
            <w:pPr>
              <w:spacing w:before="30" w:after="3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$50</w:t>
            </w:r>
          </w:p>
        </w:tc>
        <w:tc>
          <w:tcPr>
            <w:tcW w:w="1226" w:type="dxa"/>
            <w:noWrap/>
            <w:hideMark/>
          </w:tcPr>
          <w:p w14:paraId="03E2241D" w14:textId="77777777" w:rsidR="00D177BB" w:rsidRPr="000973F2" w:rsidRDefault="00D177BB" w:rsidP="00B53CB9">
            <w:pPr>
              <w:spacing w:before="30" w:after="3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$50</w:t>
            </w:r>
          </w:p>
        </w:tc>
      </w:tr>
    </w:tbl>
    <w:p w14:paraId="6FC82895" w14:textId="77777777" w:rsidR="00D177BB" w:rsidRPr="000973F2" w:rsidRDefault="00D177BB" w:rsidP="00B53CB9">
      <w:pPr>
        <w:pStyle w:val="Heading2"/>
      </w:pPr>
      <w:r w:rsidRPr="000973F2">
        <w:t>Total Costs for Subpart HH</w:t>
      </w:r>
    </w:p>
    <w:p w14:paraId="6CC9CCBE" w14:textId="37632D0E" w:rsidR="00D177BB" w:rsidRPr="000973F2" w:rsidRDefault="00D177BB" w:rsidP="00B53CB9">
      <w:pPr>
        <w:pStyle w:val="BodyText"/>
      </w:pPr>
      <w:r w:rsidRPr="000973F2">
        <w:t>The total industry costs related to Subpart HH average approximately $7,0</w:t>
      </w:r>
      <w:r w:rsidR="00E62612" w:rsidRPr="000973F2">
        <w:t>30</w:t>
      </w:r>
      <w:r w:rsidRPr="000973F2">
        <w:t xml:space="preserve">,000 per year for existing sources and approximately $38,000 per year for new sources, for a total of </w:t>
      </w:r>
      <w:r w:rsidR="00226A69" w:rsidRPr="000973F2">
        <w:t>approximately $7,0</w:t>
      </w:r>
      <w:r w:rsidR="001E275F" w:rsidRPr="000973F2">
        <w:t>6</w:t>
      </w:r>
      <w:r w:rsidR="006255F8" w:rsidRPr="000973F2">
        <w:t>8</w:t>
      </w:r>
      <w:r w:rsidR="00226A69" w:rsidRPr="000973F2">
        <w:t xml:space="preserve">,000 per year and </w:t>
      </w:r>
      <w:r w:rsidRPr="000973F2">
        <w:t>$21,</w:t>
      </w:r>
      <w:r w:rsidR="001E275F" w:rsidRPr="000973F2">
        <w:t>20</w:t>
      </w:r>
      <w:r w:rsidR="006255F8" w:rsidRPr="000973F2">
        <w:t>4</w:t>
      </w:r>
      <w:r w:rsidRPr="000973F2">
        <w:t>,000 over the three-year period of the ICR. Total costs are based on 1,15</w:t>
      </w:r>
      <w:r w:rsidR="001E275F" w:rsidRPr="000973F2">
        <w:t>3</w:t>
      </w:r>
      <w:r w:rsidRPr="000973F2">
        <w:t xml:space="preserve"> facilities in 2019, 1,15</w:t>
      </w:r>
      <w:r w:rsidR="001E275F" w:rsidRPr="000973F2">
        <w:t>7</w:t>
      </w:r>
      <w:r w:rsidRPr="000973F2">
        <w:t xml:space="preserve"> in 2020, and 1,1</w:t>
      </w:r>
      <w:r w:rsidR="001E275F" w:rsidRPr="000973F2">
        <w:t>60</w:t>
      </w:r>
      <w:r w:rsidRPr="000973F2">
        <w:t xml:space="preserve"> in 2021, which accounts for </w:t>
      </w:r>
      <w:r w:rsidR="00647CB9" w:rsidRPr="000973F2">
        <w:t>6 new reporters in 2019, 4 new reporters in 2020, and 3 new reporters in 2021</w:t>
      </w:r>
      <w:r w:rsidRPr="000973F2">
        <w:t>.</w:t>
      </w:r>
    </w:p>
    <w:p w14:paraId="5FA826BA" w14:textId="77777777" w:rsidR="00D177BB" w:rsidRPr="000973F2" w:rsidRDefault="00D177BB" w:rsidP="00C00E4F">
      <w:pPr>
        <w:spacing w:line="240" w:lineRule="auto"/>
        <w:rPr>
          <w:rFonts w:ascii="Times New Roman" w:hAnsi="Times New Roman" w:cs="Times New Roman"/>
        </w:rPr>
      </w:pPr>
      <w:r w:rsidRPr="000973F2">
        <w:rPr>
          <w:rFonts w:ascii="Times New Roman" w:hAnsi="Times New Roman" w:cs="Times New Roman"/>
        </w:rPr>
        <w:br w:type="page"/>
      </w:r>
    </w:p>
    <w:p w14:paraId="554A3656" w14:textId="77777777" w:rsidR="005724E3" w:rsidRPr="000973F2" w:rsidRDefault="005724E3" w:rsidP="00B53CB9">
      <w:pPr>
        <w:pStyle w:val="Heading1"/>
      </w:pPr>
      <w:bookmarkStart w:id="62" w:name="_Toc10715626"/>
      <w:r w:rsidRPr="000973F2">
        <w:t>Cost Appendix for Subpart II – Industrial Wastewater Treatment</w:t>
      </w:r>
      <w:bookmarkEnd w:id="62"/>
    </w:p>
    <w:p w14:paraId="1B135FF4" w14:textId="77777777" w:rsidR="005724E3" w:rsidRPr="000973F2" w:rsidRDefault="005724E3" w:rsidP="00B53CB9">
      <w:pPr>
        <w:pStyle w:val="Heading2"/>
      </w:pPr>
      <w:r w:rsidRPr="000973F2">
        <w:t>Description of Subpart II</w:t>
      </w:r>
    </w:p>
    <w:p w14:paraId="5154DDE5" w14:textId="59BADB51" w:rsidR="005724E3" w:rsidRPr="000973F2" w:rsidRDefault="005724E3" w:rsidP="00B53CB9">
      <w:pPr>
        <w:pStyle w:val="BodyText"/>
      </w:pPr>
      <w:r w:rsidRPr="000973F2">
        <w:t>For purposes of the GHGRP, industrial wastewater treatment consists of anaerobic processes used to treat industrial wastewater and industrial wastewater treatment sludge at facilities that perform one of the following operations: pulp and paper manufacturing, food processing, ethanol production, or petroleum refining. In 2017, 137 facilities reported to Subpart II. It is estimated that there will be one new facility to Subpart II in each of the next three years</w:t>
      </w:r>
      <w:r w:rsidR="004F4CB1" w:rsidRPr="000973F2">
        <w:t xml:space="preserve"> covered by this ICR</w:t>
      </w:r>
      <w:r w:rsidRPr="000973F2">
        <w:t>. Costs incurred by new facilities are reflected in the Initial Year costs in the tables below.</w:t>
      </w:r>
    </w:p>
    <w:p w14:paraId="3FD17441" w14:textId="0E9AE17C" w:rsidR="005724E3" w:rsidRPr="000973F2" w:rsidRDefault="005724E3" w:rsidP="00B53CB9">
      <w:pPr>
        <w:pStyle w:val="BodyText"/>
      </w:pPr>
      <w:r w:rsidRPr="000973F2">
        <w:t xml:space="preserve">Subpart II requires the reporting of methane generated, emitted, and recovered from anaerobic lagoons and reactors as well as methane emitted and recovered from anaerobic sludge digesters. If biogas is collected and/or destroyed at the facility, methane emissions and destruction from these devices must also be reported. In 2017, 93 facilities reporting to Subpart II collected and destroyed biogas. </w:t>
      </w:r>
    </w:p>
    <w:p w14:paraId="6165C830" w14:textId="77777777" w:rsidR="005724E3" w:rsidRPr="000973F2" w:rsidRDefault="005724E3" w:rsidP="00B53CB9">
      <w:pPr>
        <w:pStyle w:val="Heading2"/>
      </w:pPr>
      <w:r w:rsidRPr="000973F2">
        <w:t>Labor Costs for Subpart II</w:t>
      </w:r>
    </w:p>
    <w:p w14:paraId="18BDCCD4" w14:textId="1E611E65" w:rsidR="005724E3" w:rsidRPr="000973F2" w:rsidRDefault="005724E3" w:rsidP="00B53CB9">
      <w:pPr>
        <w:pStyle w:val="BodyText"/>
      </w:pPr>
      <w:r w:rsidRPr="000973F2">
        <w:t xml:space="preserve">Table </w:t>
      </w:r>
      <w:r w:rsidR="00B53CB9" w:rsidRPr="000973F2">
        <w:t>II-</w:t>
      </w:r>
      <w:r w:rsidRPr="000973F2">
        <w:t xml:space="preserve">1 below includes the labor hours for Subpart II. Typical activities for each of the labor activities are discussed in the Cost Appendix Introduction. Recordkeeping and reporting hours </w:t>
      </w:r>
      <w:r w:rsidR="00DD34D2" w:rsidRPr="000973F2">
        <w:t>are based on</w:t>
      </w:r>
      <w:r w:rsidRPr="000973F2">
        <w:t xml:space="preserve"> the “medium bin”</w:t>
      </w:r>
      <w:r w:rsidR="00DD34D2" w:rsidRPr="000973F2">
        <w:t xml:space="preserve"> designation.</w:t>
      </w:r>
      <w:r w:rsidRPr="000973F2">
        <w:t xml:space="preserve"> Sampling and analysis (calculations) hours include completion of the measurements and calculations in §98.356, including calculation of any methane generation, emissions, and biogas collection and recovery amounts and gas characterization if applicable. </w:t>
      </w:r>
      <w:r w:rsidR="0024673A" w:rsidRPr="000973F2">
        <w:t xml:space="preserve">The per facility labor hours in Table </w:t>
      </w:r>
      <w:r w:rsidR="000D7DE6" w:rsidRPr="000973F2">
        <w:t>II-</w:t>
      </w:r>
      <w:r w:rsidR="0024673A" w:rsidRPr="000973F2">
        <w:t xml:space="preserve">1 account for what is expected for both facilities with and without biogas collection and destruction. </w:t>
      </w:r>
      <w:r w:rsidRPr="000973F2">
        <w:t xml:space="preserve">In their initial year of reporting, new facilities will incur planning costs to familiarize themselves with the rule requirement, and </w:t>
      </w:r>
      <w:r w:rsidR="00741D34" w:rsidRPr="000973F2">
        <w:t xml:space="preserve">will incur </w:t>
      </w:r>
      <w:r w:rsidRPr="000973F2">
        <w:t>QA/QC costs.</w:t>
      </w:r>
    </w:p>
    <w:p w14:paraId="29B84F6A" w14:textId="23A8B907" w:rsidR="002A3992" w:rsidRPr="000973F2" w:rsidRDefault="002A3992" w:rsidP="00B53CB9">
      <w:pPr>
        <w:pStyle w:val="Tabletitle"/>
        <w:rPr>
          <w:sz w:val="32"/>
        </w:rPr>
      </w:pPr>
      <w:r w:rsidRPr="000973F2">
        <w:t xml:space="preserve">Table </w:t>
      </w:r>
      <w:r w:rsidR="00B53CB9" w:rsidRPr="000973F2">
        <w:t>II-</w:t>
      </w:r>
      <w:r w:rsidRPr="000973F2">
        <w:t xml:space="preserve">1. Labor Costs </w:t>
      </w:r>
      <w:r w:rsidR="00B960CC" w:rsidRPr="000973F2">
        <w:t>–</w:t>
      </w:r>
      <w:r w:rsidRPr="000973F2">
        <w:t xml:space="preserve"> Subpart II</w:t>
      </w:r>
    </w:p>
    <w:tbl>
      <w:tblPr>
        <w:tblStyle w:val="PlainTable1"/>
        <w:tblW w:w="5000" w:type="pct"/>
        <w:jc w:val="left"/>
        <w:tblLayout w:type="fixed"/>
        <w:tblCellMar>
          <w:left w:w="115" w:type="dxa"/>
          <w:right w:w="115" w:type="dxa"/>
        </w:tblCellMar>
        <w:tblLook w:val="04A0" w:firstRow="1" w:lastRow="0" w:firstColumn="1" w:lastColumn="0" w:noHBand="0" w:noVBand="1"/>
      </w:tblPr>
      <w:tblGrid>
        <w:gridCol w:w="1464"/>
        <w:gridCol w:w="797"/>
        <w:gridCol w:w="797"/>
        <w:gridCol w:w="797"/>
        <w:gridCol w:w="798"/>
        <w:gridCol w:w="798"/>
        <w:gridCol w:w="798"/>
        <w:gridCol w:w="798"/>
        <w:gridCol w:w="799"/>
        <w:gridCol w:w="872"/>
        <w:gridCol w:w="872"/>
      </w:tblGrid>
      <w:tr w:rsidR="005724E3" w:rsidRPr="000973F2" w14:paraId="6DA69A4E" w14:textId="77777777" w:rsidTr="00B53CB9">
        <w:trPr>
          <w:cnfStyle w:val="100000000000" w:firstRow="1" w:lastRow="0" w:firstColumn="0" w:lastColumn="0" w:oddVBand="0" w:evenVBand="0" w:oddHBand="0" w:evenHBand="0" w:firstRowFirstColumn="0" w:firstRowLastColumn="0" w:lastRowFirstColumn="0" w:lastRowLastColumn="0"/>
          <w:cantSplit/>
          <w:jc w:val="left"/>
        </w:trPr>
        <w:tc>
          <w:tcPr>
            <w:cnfStyle w:val="001000000000" w:firstRow="0" w:lastRow="0" w:firstColumn="1" w:lastColumn="0" w:oddVBand="0" w:evenVBand="0" w:oddHBand="0" w:evenHBand="0" w:firstRowFirstColumn="0" w:firstRowLastColumn="0" w:lastRowFirstColumn="0" w:lastRowLastColumn="0"/>
            <w:tcW w:w="1425" w:type="dxa"/>
            <w:vMerge w:val="restart"/>
            <w:noWrap/>
            <w:vAlign w:val="top"/>
            <w:hideMark/>
          </w:tcPr>
          <w:p w14:paraId="2EF41D7E" w14:textId="77777777" w:rsidR="005724E3" w:rsidRPr="000973F2" w:rsidRDefault="005724E3" w:rsidP="00B53CB9">
            <w:pPr>
              <w:spacing w:before="40" w:after="40"/>
              <w:rPr>
                <w:rFonts w:ascii="Times New Roman" w:eastAsia="Times New Roman" w:hAnsi="Times New Roman" w:cs="Times New Roman"/>
                <w:bCs w:val="0"/>
                <w:sz w:val="18"/>
                <w:szCs w:val="18"/>
              </w:rPr>
            </w:pPr>
            <w:r w:rsidRPr="000973F2">
              <w:rPr>
                <w:rFonts w:ascii="Times New Roman" w:eastAsia="Times New Roman" w:hAnsi="Times New Roman" w:cs="Times New Roman"/>
                <w:bCs w:val="0"/>
                <w:sz w:val="18"/>
                <w:szCs w:val="18"/>
              </w:rPr>
              <w:t>Activity</w:t>
            </w:r>
          </w:p>
        </w:tc>
        <w:tc>
          <w:tcPr>
            <w:tcW w:w="6209" w:type="dxa"/>
            <w:gridSpan w:val="8"/>
            <w:noWrap/>
            <w:vAlign w:val="top"/>
            <w:hideMark/>
          </w:tcPr>
          <w:p w14:paraId="661C30D5" w14:textId="77777777" w:rsidR="005724E3" w:rsidRPr="000973F2" w:rsidRDefault="005724E3" w:rsidP="00B53CB9">
            <w:pPr>
              <w:spacing w:before="40" w:after="40"/>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Cs w:val="0"/>
                <w:sz w:val="18"/>
                <w:szCs w:val="18"/>
              </w:rPr>
            </w:pPr>
            <w:r w:rsidRPr="000973F2">
              <w:rPr>
                <w:rFonts w:ascii="Times New Roman" w:eastAsia="Times New Roman" w:hAnsi="Times New Roman" w:cs="Times New Roman"/>
                <w:bCs w:val="0"/>
                <w:sz w:val="18"/>
                <w:szCs w:val="18"/>
              </w:rPr>
              <w:t>Labor Rates (per hour)</w:t>
            </w:r>
          </w:p>
        </w:tc>
        <w:tc>
          <w:tcPr>
            <w:tcW w:w="1696" w:type="dxa"/>
            <w:gridSpan w:val="2"/>
            <w:vMerge w:val="restart"/>
            <w:vAlign w:val="top"/>
            <w:hideMark/>
          </w:tcPr>
          <w:p w14:paraId="628A45DA" w14:textId="77777777" w:rsidR="005724E3" w:rsidRPr="000973F2" w:rsidRDefault="005724E3" w:rsidP="00B53CB9">
            <w:pPr>
              <w:spacing w:before="40" w:after="40"/>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Cs w:val="0"/>
                <w:sz w:val="18"/>
                <w:szCs w:val="18"/>
              </w:rPr>
            </w:pPr>
            <w:r w:rsidRPr="000973F2">
              <w:rPr>
                <w:rFonts w:ascii="Times New Roman" w:eastAsia="Times New Roman" w:hAnsi="Times New Roman" w:cs="Times New Roman"/>
                <w:bCs w:val="0"/>
                <w:sz w:val="18"/>
                <w:szCs w:val="18"/>
              </w:rPr>
              <w:t>Total Labor Cost per Year per Facility (2017$)</w:t>
            </w:r>
          </w:p>
        </w:tc>
      </w:tr>
      <w:tr w:rsidR="005724E3" w:rsidRPr="000973F2" w14:paraId="2391708F" w14:textId="77777777" w:rsidTr="00B53CB9">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1425" w:type="dxa"/>
            <w:vMerge/>
            <w:hideMark/>
          </w:tcPr>
          <w:p w14:paraId="2B7A8192" w14:textId="77777777" w:rsidR="005724E3" w:rsidRPr="000973F2" w:rsidRDefault="005724E3" w:rsidP="00B53CB9">
            <w:pPr>
              <w:spacing w:before="40" w:after="40"/>
              <w:rPr>
                <w:rFonts w:ascii="Times New Roman" w:eastAsia="Times New Roman" w:hAnsi="Times New Roman" w:cs="Times New Roman"/>
                <w:b/>
                <w:bCs w:val="0"/>
                <w:sz w:val="18"/>
                <w:szCs w:val="18"/>
              </w:rPr>
            </w:pPr>
          </w:p>
        </w:tc>
        <w:tc>
          <w:tcPr>
            <w:tcW w:w="1552" w:type="dxa"/>
            <w:gridSpan w:val="2"/>
            <w:noWrap/>
            <w:hideMark/>
          </w:tcPr>
          <w:p w14:paraId="15C992C9" w14:textId="77777777" w:rsidR="005724E3" w:rsidRPr="000973F2" w:rsidRDefault="005724E3" w:rsidP="00B53CB9">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18"/>
                <w:szCs w:val="18"/>
              </w:rPr>
            </w:pPr>
            <w:r w:rsidRPr="000973F2">
              <w:rPr>
                <w:rFonts w:ascii="Times New Roman" w:eastAsia="Times New Roman" w:hAnsi="Times New Roman" w:cs="Times New Roman"/>
                <w:b/>
                <w:bCs/>
                <w:sz w:val="18"/>
                <w:szCs w:val="18"/>
              </w:rPr>
              <w:t>Lawyer</w:t>
            </w:r>
          </w:p>
        </w:tc>
        <w:tc>
          <w:tcPr>
            <w:tcW w:w="1552" w:type="dxa"/>
            <w:gridSpan w:val="2"/>
            <w:noWrap/>
            <w:hideMark/>
          </w:tcPr>
          <w:p w14:paraId="7110ED34" w14:textId="77777777" w:rsidR="005724E3" w:rsidRPr="000973F2" w:rsidRDefault="005724E3" w:rsidP="00B53CB9">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18"/>
                <w:szCs w:val="18"/>
              </w:rPr>
            </w:pPr>
            <w:r w:rsidRPr="000973F2">
              <w:rPr>
                <w:rFonts w:ascii="Times New Roman" w:eastAsia="Times New Roman" w:hAnsi="Times New Roman" w:cs="Times New Roman"/>
                <w:b/>
                <w:bCs/>
                <w:sz w:val="18"/>
                <w:szCs w:val="18"/>
              </w:rPr>
              <w:t>Industrial Manager</w:t>
            </w:r>
          </w:p>
        </w:tc>
        <w:tc>
          <w:tcPr>
            <w:tcW w:w="1552" w:type="dxa"/>
            <w:gridSpan w:val="2"/>
            <w:hideMark/>
          </w:tcPr>
          <w:p w14:paraId="3168C8F8" w14:textId="44F8C4FD" w:rsidR="005724E3" w:rsidRPr="000973F2" w:rsidRDefault="005724E3" w:rsidP="00B53CB9">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18"/>
                <w:szCs w:val="18"/>
              </w:rPr>
            </w:pPr>
            <w:r w:rsidRPr="000973F2">
              <w:rPr>
                <w:rFonts w:ascii="Times New Roman" w:eastAsia="Times New Roman" w:hAnsi="Times New Roman" w:cs="Times New Roman"/>
                <w:b/>
                <w:bCs/>
                <w:sz w:val="18"/>
                <w:szCs w:val="18"/>
              </w:rPr>
              <w:t>Industrial Engineer/</w:t>
            </w:r>
            <w:r w:rsidR="00B53CB9" w:rsidRPr="000973F2">
              <w:rPr>
                <w:rFonts w:ascii="Times New Roman" w:eastAsia="Times New Roman" w:hAnsi="Times New Roman" w:cs="Times New Roman"/>
                <w:b/>
                <w:bCs/>
                <w:sz w:val="18"/>
                <w:szCs w:val="18"/>
              </w:rPr>
              <w:t xml:space="preserve"> </w:t>
            </w:r>
            <w:r w:rsidRPr="000973F2">
              <w:rPr>
                <w:rFonts w:ascii="Times New Roman" w:eastAsia="Times New Roman" w:hAnsi="Times New Roman" w:cs="Times New Roman"/>
                <w:b/>
                <w:bCs/>
                <w:sz w:val="18"/>
                <w:szCs w:val="18"/>
              </w:rPr>
              <w:t>Technician</w:t>
            </w:r>
          </w:p>
        </w:tc>
        <w:tc>
          <w:tcPr>
            <w:tcW w:w="1553" w:type="dxa"/>
            <w:gridSpan w:val="2"/>
            <w:hideMark/>
          </w:tcPr>
          <w:p w14:paraId="1BF2AD49" w14:textId="77777777" w:rsidR="005724E3" w:rsidRPr="000973F2" w:rsidRDefault="005724E3" w:rsidP="00B53CB9">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18"/>
                <w:szCs w:val="18"/>
              </w:rPr>
            </w:pPr>
            <w:r w:rsidRPr="000973F2">
              <w:rPr>
                <w:rFonts w:ascii="Times New Roman" w:eastAsia="Times New Roman" w:hAnsi="Times New Roman" w:cs="Times New Roman"/>
                <w:b/>
                <w:bCs/>
                <w:sz w:val="18"/>
                <w:szCs w:val="18"/>
              </w:rPr>
              <w:t>Administrative Support</w:t>
            </w:r>
          </w:p>
        </w:tc>
        <w:tc>
          <w:tcPr>
            <w:tcW w:w="1696" w:type="dxa"/>
            <w:gridSpan w:val="2"/>
            <w:vMerge/>
            <w:hideMark/>
          </w:tcPr>
          <w:p w14:paraId="47EE7F2B" w14:textId="77777777" w:rsidR="005724E3" w:rsidRPr="000973F2" w:rsidRDefault="005724E3" w:rsidP="00B53CB9">
            <w:pPr>
              <w:spacing w:before="40" w:after="4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18"/>
                <w:szCs w:val="18"/>
              </w:rPr>
            </w:pPr>
          </w:p>
        </w:tc>
      </w:tr>
      <w:tr w:rsidR="005724E3" w:rsidRPr="000973F2" w14:paraId="7CAB9C6E" w14:textId="77777777" w:rsidTr="00B53CB9">
        <w:trPr>
          <w:cantSplit/>
        </w:trPr>
        <w:tc>
          <w:tcPr>
            <w:cnfStyle w:val="001000000000" w:firstRow="0" w:lastRow="0" w:firstColumn="1" w:lastColumn="0" w:oddVBand="0" w:evenVBand="0" w:oddHBand="0" w:evenHBand="0" w:firstRowFirstColumn="0" w:firstRowLastColumn="0" w:lastRowFirstColumn="0" w:lastRowLastColumn="0"/>
            <w:tcW w:w="1425" w:type="dxa"/>
            <w:vMerge/>
            <w:hideMark/>
          </w:tcPr>
          <w:p w14:paraId="1D97F2EC" w14:textId="77777777" w:rsidR="005724E3" w:rsidRPr="000973F2" w:rsidRDefault="005724E3" w:rsidP="00B53CB9">
            <w:pPr>
              <w:spacing w:before="40" w:after="40"/>
              <w:rPr>
                <w:rFonts w:ascii="Times New Roman" w:eastAsia="Times New Roman" w:hAnsi="Times New Roman" w:cs="Times New Roman"/>
                <w:b/>
                <w:bCs w:val="0"/>
                <w:sz w:val="18"/>
                <w:szCs w:val="18"/>
              </w:rPr>
            </w:pPr>
          </w:p>
        </w:tc>
        <w:tc>
          <w:tcPr>
            <w:tcW w:w="1552" w:type="dxa"/>
            <w:gridSpan w:val="2"/>
            <w:noWrap/>
            <w:hideMark/>
          </w:tcPr>
          <w:p w14:paraId="694EFA75" w14:textId="77777777" w:rsidR="005724E3" w:rsidRPr="000973F2" w:rsidRDefault="005724E3" w:rsidP="00B53CB9">
            <w:pPr>
              <w:spacing w:before="40" w:after="4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sz w:val="18"/>
                <w:szCs w:val="18"/>
              </w:rPr>
            </w:pPr>
            <w:r w:rsidRPr="000973F2">
              <w:rPr>
                <w:rFonts w:ascii="Times New Roman" w:eastAsia="Times New Roman" w:hAnsi="Times New Roman" w:cs="Times New Roman"/>
                <w:b/>
                <w:bCs/>
                <w:sz w:val="18"/>
                <w:szCs w:val="18"/>
              </w:rPr>
              <w:t xml:space="preserve">$112.23 </w:t>
            </w:r>
          </w:p>
        </w:tc>
        <w:tc>
          <w:tcPr>
            <w:tcW w:w="1552" w:type="dxa"/>
            <w:gridSpan w:val="2"/>
            <w:noWrap/>
            <w:hideMark/>
          </w:tcPr>
          <w:p w14:paraId="15EB5996" w14:textId="77777777" w:rsidR="005724E3" w:rsidRPr="000973F2" w:rsidRDefault="005724E3" w:rsidP="00B53CB9">
            <w:pPr>
              <w:spacing w:before="40" w:after="4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sz w:val="18"/>
                <w:szCs w:val="18"/>
              </w:rPr>
            </w:pPr>
            <w:r w:rsidRPr="000973F2">
              <w:rPr>
                <w:rFonts w:ascii="Times New Roman" w:eastAsia="Times New Roman" w:hAnsi="Times New Roman" w:cs="Times New Roman"/>
                <w:b/>
                <w:bCs/>
                <w:sz w:val="18"/>
                <w:szCs w:val="18"/>
              </w:rPr>
              <w:t xml:space="preserve">$87.45 </w:t>
            </w:r>
          </w:p>
        </w:tc>
        <w:tc>
          <w:tcPr>
            <w:tcW w:w="1552" w:type="dxa"/>
            <w:gridSpan w:val="2"/>
            <w:noWrap/>
            <w:hideMark/>
          </w:tcPr>
          <w:p w14:paraId="00D8855F" w14:textId="77777777" w:rsidR="005724E3" w:rsidRPr="000973F2" w:rsidRDefault="005724E3" w:rsidP="00B53CB9">
            <w:pPr>
              <w:spacing w:before="40" w:after="4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sz w:val="18"/>
                <w:szCs w:val="18"/>
              </w:rPr>
            </w:pPr>
            <w:r w:rsidRPr="000973F2">
              <w:rPr>
                <w:rFonts w:ascii="Times New Roman" w:eastAsia="Times New Roman" w:hAnsi="Times New Roman" w:cs="Times New Roman"/>
                <w:b/>
                <w:bCs/>
                <w:sz w:val="18"/>
                <w:szCs w:val="18"/>
              </w:rPr>
              <w:t xml:space="preserve">$71.45 </w:t>
            </w:r>
          </w:p>
        </w:tc>
        <w:tc>
          <w:tcPr>
            <w:tcW w:w="1553" w:type="dxa"/>
            <w:gridSpan w:val="2"/>
            <w:noWrap/>
            <w:hideMark/>
          </w:tcPr>
          <w:p w14:paraId="0D8131A1" w14:textId="77777777" w:rsidR="005724E3" w:rsidRPr="000973F2" w:rsidRDefault="005724E3" w:rsidP="00B53CB9">
            <w:pPr>
              <w:spacing w:before="40" w:after="4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sz w:val="18"/>
                <w:szCs w:val="18"/>
              </w:rPr>
            </w:pPr>
            <w:r w:rsidRPr="000973F2">
              <w:rPr>
                <w:rFonts w:ascii="Times New Roman" w:eastAsia="Times New Roman" w:hAnsi="Times New Roman" w:cs="Times New Roman"/>
                <w:b/>
                <w:bCs/>
                <w:sz w:val="18"/>
                <w:szCs w:val="18"/>
              </w:rPr>
              <w:t xml:space="preserve">$36.28 </w:t>
            </w:r>
          </w:p>
        </w:tc>
        <w:tc>
          <w:tcPr>
            <w:tcW w:w="1696" w:type="dxa"/>
            <w:gridSpan w:val="2"/>
            <w:vMerge/>
            <w:hideMark/>
          </w:tcPr>
          <w:p w14:paraId="3059B619" w14:textId="77777777" w:rsidR="005724E3" w:rsidRPr="000973F2" w:rsidRDefault="005724E3" w:rsidP="00B53CB9">
            <w:pPr>
              <w:spacing w:before="40" w:after="4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sz w:val="18"/>
                <w:szCs w:val="18"/>
              </w:rPr>
            </w:pPr>
          </w:p>
        </w:tc>
      </w:tr>
      <w:tr w:rsidR="00816BF1" w:rsidRPr="000973F2" w14:paraId="0F218009" w14:textId="77777777" w:rsidTr="00B53CB9">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1425" w:type="dxa"/>
            <w:vMerge/>
            <w:hideMark/>
          </w:tcPr>
          <w:p w14:paraId="5E9D2B1F" w14:textId="77777777" w:rsidR="005724E3" w:rsidRPr="000973F2" w:rsidRDefault="005724E3" w:rsidP="00B53CB9">
            <w:pPr>
              <w:spacing w:before="40" w:after="40"/>
              <w:rPr>
                <w:rFonts w:ascii="Times New Roman" w:eastAsia="Times New Roman" w:hAnsi="Times New Roman" w:cs="Times New Roman"/>
                <w:b/>
                <w:bCs w:val="0"/>
                <w:sz w:val="18"/>
                <w:szCs w:val="18"/>
              </w:rPr>
            </w:pPr>
          </w:p>
        </w:tc>
        <w:tc>
          <w:tcPr>
            <w:tcW w:w="776" w:type="dxa"/>
            <w:tcMar>
              <w:left w:w="14" w:type="dxa"/>
              <w:right w:w="14" w:type="dxa"/>
            </w:tcMar>
            <w:hideMark/>
          </w:tcPr>
          <w:p w14:paraId="7317BE56" w14:textId="279CB01D" w:rsidR="005724E3" w:rsidRPr="000973F2" w:rsidRDefault="005724E3" w:rsidP="00B53CB9">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18"/>
                <w:szCs w:val="18"/>
              </w:rPr>
            </w:pPr>
            <w:r w:rsidRPr="000973F2">
              <w:rPr>
                <w:rFonts w:ascii="Times New Roman" w:eastAsia="Times New Roman" w:hAnsi="Times New Roman" w:cs="Times New Roman"/>
                <w:b/>
                <w:bCs/>
                <w:sz w:val="18"/>
                <w:szCs w:val="18"/>
              </w:rPr>
              <w:t xml:space="preserve">Initial </w:t>
            </w:r>
            <w:r w:rsidR="00132320" w:rsidRPr="000973F2">
              <w:rPr>
                <w:rFonts w:ascii="Times New Roman" w:eastAsia="Times New Roman" w:hAnsi="Times New Roman" w:cs="Times New Roman"/>
                <w:b/>
                <w:bCs/>
                <w:sz w:val="18"/>
                <w:szCs w:val="18"/>
              </w:rPr>
              <w:t>Year Hours</w:t>
            </w:r>
          </w:p>
        </w:tc>
        <w:tc>
          <w:tcPr>
            <w:tcW w:w="776" w:type="dxa"/>
            <w:tcMar>
              <w:left w:w="14" w:type="dxa"/>
              <w:right w:w="14" w:type="dxa"/>
            </w:tcMar>
            <w:hideMark/>
          </w:tcPr>
          <w:p w14:paraId="6ECEB270" w14:textId="1474DD4B" w:rsidR="005724E3" w:rsidRPr="000973F2" w:rsidRDefault="005724E3" w:rsidP="00B53CB9">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18"/>
                <w:szCs w:val="18"/>
              </w:rPr>
            </w:pPr>
            <w:r w:rsidRPr="000973F2">
              <w:rPr>
                <w:rFonts w:ascii="Times New Roman" w:eastAsia="Times New Roman" w:hAnsi="Times New Roman" w:cs="Times New Roman"/>
                <w:b/>
                <w:bCs/>
                <w:sz w:val="18"/>
                <w:szCs w:val="18"/>
              </w:rPr>
              <w:t xml:space="preserve">Subseq. </w:t>
            </w:r>
            <w:r w:rsidR="00132320" w:rsidRPr="000973F2">
              <w:rPr>
                <w:rFonts w:ascii="Times New Roman" w:eastAsia="Times New Roman" w:hAnsi="Times New Roman" w:cs="Times New Roman"/>
                <w:b/>
                <w:bCs/>
                <w:sz w:val="18"/>
                <w:szCs w:val="18"/>
              </w:rPr>
              <w:t>Year Hours</w:t>
            </w:r>
          </w:p>
        </w:tc>
        <w:tc>
          <w:tcPr>
            <w:tcW w:w="776" w:type="dxa"/>
            <w:tcMar>
              <w:left w:w="14" w:type="dxa"/>
              <w:right w:w="14" w:type="dxa"/>
            </w:tcMar>
            <w:hideMark/>
          </w:tcPr>
          <w:p w14:paraId="483668A5" w14:textId="3BBE305C" w:rsidR="005724E3" w:rsidRPr="000973F2" w:rsidRDefault="005724E3" w:rsidP="00B53CB9">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18"/>
                <w:szCs w:val="18"/>
              </w:rPr>
            </w:pPr>
            <w:r w:rsidRPr="000973F2">
              <w:rPr>
                <w:rFonts w:ascii="Times New Roman" w:eastAsia="Times New Roman" w:hAnsi="Times New Roman" w:cs="Times New Roman"/>
                <w:b/>
                <w:bCs/>
                <w:sz w:val="18"/>
                <w:szCs w:val="18"/>
              </w:rPr>
              <w:t xml:space="preserve">Initial </w:t>
            </w:r>
            <w:r w:rsidR="00132320" w:rsidRPr="000973F2">
              <w:rPr>
                <w:rFonts w:ascii="Times New Roman" w:eastAsia="Times New Roman" w:hAnsi="Times New Roman" w:cs="Times New Roman"/>
                <w:b/>
                <w:bCs/>
                <w:sz w:val="18"/>
                <w:szCs w:val="18"/>
              </w:rPr>
              <w:t>Year Hours</w:t>
            </w:r>
          </w:p>
        </w:tc>
        <w:tc>
          <w:tcPr>
            <w:tcW w:w="776" w:type="dxa"/>
            <w:tcMar>
              <w:left w:w="14" w:type="dxa"/>
              <w:right w:w="14" w:type="dxa"/>
            </w:tcMar>
            <w:hideMark/>
          </w:tcPr>
          <w:p w14:paraId="007F00B4" w14:textId="0A497C8D" w:rsidR="005724E3" w:rsidRPr="000973F2" w:rsidRDefault="005724E3" w:rsidP="00B53CB9">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18"/>
                <w:szCs w:val="18"/>
              </w:rPr>
            </w:pPr>
            <w:r w:rsidRPr="000973F2">
              <w:rPr>
                <w:rFonts w:ascii="Times New Roman" w:eastAsia="Times New Roman" w:hAnsi="Times New Roman" w:cs="Times New Roman"/>
                <w:b/>
                <w:bCs/>
                <w:sz w:val="18"/>
                <w:szCs w:val="18"/>
              </w:rPr>
              <w:t xml:space="preserve">Subseq. </w:t>
            </w:r>
            <w:r w:rsidR="00132320" w:rsidRPr="000973F2">
              <w:rPr>
                <w:rFonts w:ascii="Times New Roman" w:eastAsia="Times New Roman" w:hAnsi="Times New Roman" w:cs="Times New Roman"/>
                <w:b/>
                <w:bCs/>
                <w:sz w:val="18"/>
                <w:szCs w:val="18"/>
              </w:rPr>
              <w:t>Year Hours</w:t>
            </w:r>
          </w:p>
        </w:tc>
        <w:tc>
          <w:tcPr>
            <w:tcW w:w="776" w:type="dxa"/>
            <w:tcMar>
              <w:left w:w="14" w:type="dxa"/>
              <w:right w:w="14" w:type="dxa"/>
            </w:tcMar>
            <w:hideMark/>
          </w:tcPr>
          <w:p w14:paraId="037A6AF4" w14:textId="51F49E0C" w:rsidR="005724E3" w:rsidRPr="000973F2" w:rsidRDefault="005724E3" w:rsidP="00B53CB9">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18"/>
                <w:szCs w:val="18"/>
              </w:rPr>
            </w:pPr>
            <w:r w:rsidRPr="000973F2">
              <w:rPr>
                <w:rFonts w:ascii="Times New Roman" w:eastAsia="Times New Roman" w:hAnsi="Times New Roman" w:cs="Times New Roman"/>
                <w:b/>
                <w:bCs/>
                <w:sz w:val="18"/>
                <w:szCs w:val="18"/>
              </w:rPr>
              <w:t xml:space="preserve">Initial </w:t>
            </w:r>
            <w:r w:rsidR="00132320" w:rsidRPr="000973F2">
              <w:rPr>
                <w:rFonts w:ascii="Times New Roman" w:eastAsia="Times New Roman" w:hAnsi="Times New Roman" w:cs="Times New Roman"/>
                <w:b/>
                <w:bCs/>
                <w:sz w:val="18"/>
                <w:szCs w:val="18"/>
              </w:rPr>
              <w:t>Year Hours</w:t>
            </w:r>
          </w:p>
        </w:tc>
        <w:tc>
          <w:tcPr>
            <w:tcW w:w="776" w:type="dxa"/>
            <w:tcMar>
              <w:left w:w="14" w:type="dxa"/>
              <w:right w:w="14" w:type="dxa"/>
            </w:tcMar>
            <w:hideMark/>
          </w:tcPr>
          <w:p w14:paraId="7E6123A4" w14:textId="70000F5A" w:rsidR="005724E3" w:rsidRPr="000973F2" w:rsidRDefault="005724E3" w:rsidP="00B53CB9">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18"/>
                <w:szCs w:val="18"/>
              </w:rPr>
            </w:pPr>
            <w:r w:rsidRPr="000973F2">
              <w:rPr>
                <w:rFonts w:ascii="Times New Roman" w:eastAsia="Times New Roman" w:hAnsi="Times New Roman" w:cs="Times New Roman"/>
                <w:b/>
                <w:bCs/>
                <w:sz w:val="18"/>
                <w:szCs w:val="18"/>
              </w:rPr>
              <w:t xml:space="preserve">Subseq. </w:t>
            </w:r>
            <w:r w:rsidR="00132320" w:rsidRPr="000973F2">
              <w:rPr>
                <w:rFonts w:ascii="Times New Roman" w:eastAsia="Times New Roman" w:hAnsi="Times New Roman" w:cs="Times New Roman"/>
                <w:b/>
                <w:bCs/>
                <w:sz w:val="18"/>
                <w:szCs w:val="18"/>
              </w:rPr>
              <w:t>Year Hours</w:t>
            </w:r>
          </w:p>
        </w:tc>
        <w:tc>
          <w:tcPr>
            <w:tcW w:w="776" w:type="dxa"/>
            <w:tcMar>
              <w:left w:w="14" w:type="dxa"/>
              <w:right w:w="14" w:type="dxa"/>
            </w:tcMar>
            <w:hideMark/>
          </w:tcPr>
          <w:p w14:paraId="165C035C" w14:textId="0C2D3523" w:rsidR="005724E3" w:rsidRPr="000973F2" w:rsidRDefault="005724E3" w:rsidP="00B53CB9">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18"/>
                <w:szCs w:val="18"/>
              </w:rPr>
            </w:pPr>
            <w:r w:rsidRPr="000973F2">
              <w:rPr>
                <w:rFonts w:ascii="Times New Roman" w:eastAsia="Times New Roman" w:hAnsi="Times New Roman" w:cs="Times New Roman"/>
                <w:b/>
                <w:bCs/>
                <w:sz w:val="18"/>
                <w:szCs w:val="18"/>
              </w:rPr>
              <w:t xml:space="preserve">Initial </w:t>
            </w:r>
            <w:r w:rsidR="00132320" w:rsidRPr="000973F2">
              <w:rPr>
                <w:rFonts w:ascii="Times New Roman" w:eastAsia="Times New Roman" w:hAnsi="Times New Roman" w:cs="Times New Roman"/>
                <w:b/>
                <w:bCs/>
                <w:sz w:val="18"/>
                <w:szCs w:val="18"/>
              </w:rPr>
              <w:t>Year Hours</w:t>
            </w:r>
          </w:p>
        </w:tc>
        <w:tc>
          <w:tcPr>
            <w:tcW w:w="777" w:type="dxa"/>
            <w:tcMar>
              <w:left w:w="14" w:type="dxa"/>
              <w:right w:w="14" w:type="dxa"/>
            </w:tcMar>
            <w:hideMark/>
          </w:tcPr>
          <w:p w14:paraId="1E5D9131" w14:textId="13F6DE0E" w:rsidR="005724E3" w:rsidRPr="000973F2" w:rsidRDefault="005724E3" w:rsidP="00B53CB9">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18"/>
                <w:szCs w:val="18"/>
              </w:rPr>
            </w:pPr>
            <w:r w:rsidRPr="000973F2">
              <w:rPr>
                <w:rFonts w:ascii="Times New Roman" w:eastAsia="Times New Roman" w:hAnsi="Times New Roman" w:cs="Times New Roman"/>
                <w:b/>
                <w:bCs/>
                <w:sz w:val="18"/>
                <w:szCs w:val="18"/>
              </w:rPr>
              <w:t xml:space="preserve">Subseq. </w:t>
            </w:r>
            <w:r w:rsidR="00132320" w:rsidRPr="000973F2">
              <w:rPr>
                <w:rFonts w:ascii="Times New Roman" w:eastAsia="Times New Roman" w:hAnsi="Times New Roman" w:cs="Times New Roman"/>
                <w:b/>
                <w:bCs/>
                <w:sz w:val="18"/>
                <w:szCs w:val="18"/>
              </w:rPr>
              <w:t>Year Hours</w:t>
            </w:r>
          </w:p>
        </w:tc>
        <w:tc>
          <w:tcPr>
            <w:tcW w:w="848" w:type="dxa"/>
            <w:tcMar>
              <w:left w:w="14" w:type="dxa"/>
              <w:right w:w="14" w:type="dxa"/>
            </w:tcMar>
            <w:hideMark/>
          </w:tcPr>
          <w:p w14:paraId="0697C039" w14:textId="77777777" w:rsidR="005724E3" w:rsidRPr="000973F2" w:rsidRDefault="005724E3" w:rsidP="00B53CB9">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18"/>
                <w:szCs w:val="18"/>
              </w:rPr>
            </w:pPr>
            <w:r w:rsidRPr="000973F2">
              <w:rPr>
                <w:rFonts w:ascii="Times New Roman" w:eastAsia="Times New Roman" w:hAnsi="Times New Roman" w:cs="Times New Roman"/>
                <w:b/>
                <w:bCs/>
                <w:sz w:val="18"/>
                <w:szCs w:val="18"/>
              </w:rPr>
              <w:t>Initial Year</w:t>
            </w:r>
          </w:p>
        </w:tc>
        <w:tc>
          <w:tcPr>
            <w:tcW w:w="848" w:type="dxa"/>
            <w:tcMar>
              <w:left w:w="14" w:type="dxa"/>
              <w:right w:w="14" w:type="dxa"/>
            </w:tcMar>
            <w:hideMark/>
          </w:tcPr>
          <w:p w14:paraId="06B5FFC3" w14:textId="77777777" w:rsidR="005724E3" w:rsidRPr="000973F2" w:rsidRDefault="005724E3" w:rsidP="00B53CB9">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18"/>
                <w:szCs w:val="18"/>
              </w:rPr>
            </w:pPr>
            <w:r w:rsidRPr="000973F2">
              <w:rPr>
                <w:rFonts w:ascii="Times New Roman" w:eastAsia="Times New Roman" w:hAnsi="Times New Roman" w:cs="Times New Roman"/>
                <w:b/>
                <w:bCs/>
                <w:sz w:val="18"/>
                <w:szCs w:val="18"/>
              </w:rPr>
              <w:t>Subseq. Year</w:t>
            </w:r>
          </w:p>
        </w:tc>
      </w:tr>
      <w:tr w:rsidR="005724E3" w:rsidRPr="000973F2" w14:paraId="143A7746" w14:textId="77777777" w:rsidTr="00B53CB9">
        <w:trPr>
          <w:cantSplit/>
        </w:trPr>
        <w:tc>
          <w:tcPr>
            <w:cnfStyle w:val="001000000000" w:firstRow="0" w:lastRow="0" w:firstColumn="1" w:lastColumn="0" w:oddVBand="0" w:evenVBand="0" w:oddHBand="0" w:evenHBand="0" w:firstRowFirstColumn="0" w:firstRowLastColumn="0" w:lastRowFirstColumn="0" w:lastRowLastColumn="0"/>
            <w:tcW w:w="1425" w:type="dxa"/>
            <w:hideMark/>
          </w:tcPr>
          <w:p w14:paraId="1339827C" w14:textId="77777777" w:rsidR="005724E3" w:rsidRPr="000973F2" w:rsidRDefault="005724E3" w:rsidP="00B53CB9">
            <w:pPr>
              <w:spacing w:before="40" w:after="4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Planning</w:t>
            </w:r>
          </w:p>
        </w:tc>
        <w:tc>
          <w:tcPr>
            <w:tcW w:w="776" w:type="dxa"/>
            <w:noWrap/>
            <w:hideMark/>
          </w:tcPr>
          <w:p w14:paraId="204F7EC7" w14:textId="77777777" w:rsidR="005724E3" w:rsidRPr="000973F2" w:rsidRDefault="005724E3" w:rsidP="00B53CB9">
            <w:pPr>
              <w:tabs>
                <w:tab w:val="decimal" w:pos="271"/>
              </w:tabs>
              <w:spacing w:before="40" w:after="4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2</w:t>
            </w:r>
          </w:p>
        </w:tc>
        <w:tc>
          <w:tcPr>
            <w:tcW w:w="776" w:type="dxa"/>
            <w:noWrap/>
            <w:hideMark/>
          </w:tcPr>
          <w:p w14:paraId="24BF66D2" w14:textId="77777777" w:rsidR="005724E3" w:rsidRPr="000973F2" w:rsidRDefault="005724E3" w:rsidP="00B53CB9">
            <w:pPr>
              <w:tabs>
                <w:tab w:val="decimal" w:pos="271"/>
              </w:tabs>
              <w:spacing w:before="40" w:after="4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1</w:t>
            </w:r>
          </w:p>
        </w:tc>
        <w:tc>
          <w:tcPr>
            <w:tcW w:w="776" w:type="dxa"/>
            <w:noWrap/>
            <w:hideMark/>
          </w:tcPr>
          <w:p w14:paraId="5DD8478D" w14:textId="77777777" w:rsidR="005724E3" w:rsidRPr="000973F2" w:rsidRDefault="005724E3" w:rsidP="00B53CB9">
            <w:pPr>
              <w:tabs>
                <w:tab w:val="decimal" w:pos="271"/>
              </w:tabs>
              <w:spacing w:before="40" w:after="4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0.2</w:t>
            </w:r>
          </w:p>
        </w:tc>
        <w:tc>
          <w:tcPr>
            <w:tcW w:w="776" w:type="dxa"/>
            <w:noWrap/>
            <w:hideMark/>
          </w:tcPr>
          <w:p w14:paraId="4D3DCE14" w14:textId="77777777" w:rsidR="005724E3" w:rsidRPr="000973F2" w:rsidRDefault="005724E3" w:rsidP="00B53CB9">
            <w:pPr>
              <w:tabs>
                <w:tab w:val="decimal" w:pos="271"/>
              </w:tabs>
              <w:spacing w:before="40" w:after="4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0.1</w:t>
            </w:r>
          </w:p>
        </w:tc>
        <w:tc>
          <w:tcPr>
            <w:tcW w:w="776" w:type="dxa"/>
            <w:noWrap/>
            <w:hideMark/>
          </w:tcPr>
          <w:p w14:paraId="5717B7A5" w14:textId="77777777" w:rsidR="005724E3" w:rsidRPr="000973F2" w:rsidRDefault="005724E3" w:rsidP="00B53CB9">
            <w:pPr>
              <w:tabs>
                <w:tab w:val="decimal" w:pos="376"/>
              </w:tabs>
              <w:spacing w:before="40" w:after="4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2</w:t>
            </w:r>
          </w:p>
        </w:tc>
        <w:tc>
          <w:tcPr>
            <w:tcW w:w="776" w:type="dxa"/>
            <w:noWrap/>
            <w:hideMark/>
          </w:tcPr>
          <w:p w14:paraId="43ED21BD" w14:textId="77777777" w:rsidR="005724E3" w:rsidRPr="000973F2" w:rsidRDefault="005724E3" w:rsidP="00B53CB9">
            <w:pPr>
              <w:tabs>
                <w:tab w:val="decimal" w:pos="376"/>
              </w:tabs>
              <w:spacing w:before="40" w:after="4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1</w:t>
            </w:r>
          </w:p>
        </w:tc>
        <w:tc>
          <w:tcPr>
            <w:tcW w:w="776" w:type="dxa"/>
            <w:noWrap/>
            <w:hideMark/>
          </w:tcPr>
          <w:p w14:paraId="7B341F9B" w14:textId="77777777" w:rsidR="005724E3" w:rsidRPr="000973F2" w:rsidRDefault="005724E3" w:rsidP="00B53CB9">
            <w:pPr>
              <w:tabs>
                <w:tab w:val="decimal" w:pos="271"/>
              </w:tabs>
              <w:spacing w:before="40" w:after="4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0.2</w:t>
            </w:r>
          </w:p>
        </w:tc>
        <w:tc>
          <w:tcPr>
            <w:tcW w:w="777" w:type="dxa"/>
            <w:noWrap/>
            <w:hideMark/>
          </w:tcPr>
          <w:p w14:paraId="19AD763F" w14:textId="77777777" w:rsidR="005724E3" w:rsidRPr="000973F2" w:rsidRDefault="005724E3" w:rsidP="00B53CB9">
            <w:pPr>
              <w:tabs>
                <w:tab w:val="decimal" w:pos="271"/>
              </w:tabs>
              <w:spacing w:before="40" w:after="4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0.1</w:t>
            </w:r>
          </w:p>
        </w:tc>
        <w:tc>
          <w:tcPr>
            <w:tcW w:w="848" w:type="dxa"/>
            <w:noWrap/>
            <w:hideMark/>
          </w:tcPr>
          <w:p w14:paraId="2E9E08F5" w14:textId="44EBFE1D" w:rsidR="005724E3" w:rsidRPr="000973F2" w:rsidRDefault="005724E3" w:rsidP="00B53CB9">
            <w:pPr>
              <w:tabs>
                <w:tab w:val="decimal" w:pos="511"/>
              </w:tabs>
              <w:spacing w:before="40" w:after="4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$392</w:t>
            </w:r>
          </w:p>
        </w:tc>
        <w:tc>
          <w:tcPr>
            <w:tcW w:w="848" w:type="dxa"/>
            <w:noWrap/>
            <w:hideMark/>
          </w:tcPr>
          <w:p w14:paraId="7FCA7013" w14:textId="77777777" w:rsidR="005724E3" w:rsidRPr="000973F2" w:rsidRDefault="005724E3" w:rsidP="00B53CB9">
            <w:pPr>
              <w:tabs>
                <w:tab w:val="decimal" w:pos="511"/>
              </w:tabs>
              <w:spacing w:before="40" w:after="4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$196</w:t>
            </w:r>
          </w:p>
        </w:tc>
      </w:tr>
      <w:tr w:rsidR="005724E3" w:rsidRPr="000973F2" w14:paraId="1B5C7CA0" w14:textId="77777777" w:rsidTr="00B53CB9">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1425" w:type="dxa"/>
            <w:hideMark/>
          </w:tcPr>
          <w:p w14:paraId="21FE8156" w14:textId="77777777" w:rsidR="005724E3" w:rsidRPr="000973F2" w:rsidRDefault="005724E3" w:rsidP="00B53CB9">
            <w:pPr>
              <w:spacing w:before="40" w:after="4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QA/QC</w:t>
            </w:r>
          </w:p>
        </w:tc>
        <w:tc>
          <w:tcPr>
            <w:tcW w:w="776" w:type="dxa"/>
            <w:noWrap/>
            <w:hideMark/>
          </w:tcPr>
          <w:p w14:paraId="3BB48FF7" w14:textId="77777777" w:rsidR="005724E3" w:rsidRPr="000973F2" w:rsidRDefault="005724E3" w:rsidP="00B53CB9">
            <w:pPr>
              <w:tabs>
                <w:tab w:val="decimal" w:pos="271"/>
              </w:tabs>
              <w:spacing w:before="40" w:after="4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0</w:t>
            </w:r>
          </w:p>
        </w:tc>
        <w:tc>
          <w:tcPr>
            <w:tcW w:w="776" w:type="dxa"/>
            <w:noWrap/>
            <w:hideMark/>
          </w:tcPr>
          <w:p w14:paraId="1903DAC3" w14:textId="77777777" w:rsidR="005724E3" w:rsidRPr="000973F2" w:rsidRDefault="005724E3" w:rsidP="00B53CB9">
            <w:pPr>
              <w:tabs>
                <w:tab w:val="decimal" w:pos="271"/>
              </w:tabs>
              <w:spacing w:before="40" w:after="4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0</w:t>
            </w:r>
          </w:p>
        </w:tc>
        <w:tc>
          <w:tcPr>
            <w:tcW w:w="776" w:type="dxa"/>
            <w:noWrap/>
            <w:hideMark/>
          </w:tcPr>
          <w:p w14:paraId="43EC311F" w14:textId="77777777" w:rsidR="005724E3" w:rsidRPr="000973F2" w:rsidRDefault="005724E3" w:rsidP="00B53CB9">
            <w:pPr>
              <w:tabs>
                <w:tab w:val="decimal" w:pos="271"/>
              </w:tabs>
              <w:spacing w:before="40" w:after="4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0.2</w:t>
            </w:r>
          </w:p>
        </w:tc>
        <w:tc>
          <w:tcPr>
            <w:tcW w:w="776" w:type="dxa"/>
            <w:noWrap/>
            <w:hideMark/>
          </w:tcPr>
          <w:p w14:paraId="57255AA3" w14:textId="77777777" w:rsidR="005724E3" w:rsidRPr="000973F2" w:rsidRDefault="005724E3" w:rsidP="00B53CB9">
            <w:pPr>
              <w:tabs>
                <w:tab w:val="decimal" w:pos="271"/>
              </w:tabs>
              <w:spacing w:before="40" w:after="4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0.1</w:t>
            </w:r>
          </w:p>
        </w:tc>
        <w:tc>
          <w:tcPr>
            <w:tcW w:w="776" w:type="dxa"/>
            <w:noWrap/>
            <w:hideMark/>
          </w:tcPr>
          <w:p w14:paraId="4F12FA07" w14:textId="77777777" w:rsidR="005724E3" w:rsidRPr="000973F2" w:rsidRDefault="005724E3" w:rsidP="00B53CB9">
            <w:pPr>
              <w:tabs>
                <w:tab w:val="decimal" w:pos="376"/>
              </w:tabs>
              <w:spacing w:before="40" w:after="4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2</w:t>
            </w:r>
          </w:p>
        </w:tc>
        <w:tc>
          <w:tcPr>
            <w:tcW w:w="776" w:type="dxa"/>
            <w:noWrap/>
            <w:hideMark/>
          </w:tcPr>
          <w:p w14:paraId="260EBE14" w14:textId="77777777" w:rsidR="005724E3" w:rsidRPr="000973F2" w:rsidRDefault="005724E3" w:rsidP="00B53CB9">
            <w:pPr>
              <w:tabs>
                <w:tab w:val="decimal" w:pos="376"/>
              </w:tabs>
              <w:spacing w:before="40" w:after="4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1</w:t>
            </w:r>
          </w:p>
        </w:tc>
        <w:tc>
          <w:tcPr>
            <w:tcW w:w="776" w:type="dxa"/>
            <w:noWrap/>
            <w:hideMark/>
          </w:tcPr>
          <w:p w14:paraId="1E9ECF72" w14:textId="77777777" w:rsidR="005724E3" w:rsidRPr="000973F2" w:rsidRDefault="005724E3" w:rsidP="00B53CB9">
            <w:pPr>
              <w:tabs>
                <w:tab w:val="decimal" w:pos="271"/>
              </w:tabs>
              <w:spacing w:before="40" w:after="4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0.2</w:t>
            </w:r>
          </w:p>
        </w:tc>
        <w:tc>
          <w:tcPr>
            <w:tcW w:w="777" w:type="dxa"/>
            <w:noWrap/>
            <w:hideMark/>
          </w:tcPr>
          <w:p w14:paraId="4D891B82" w14:textId="77777777" w:rsidR="005724E3" w:rsidRPr="000973F2" w:rsidRDefault="005724E3" w:rsidP="00B53CB9">
            <w:pPr>
              <w:tabs>
                <w:tab w:val="decimal" w:pos="271"/>
              </w:tabs>
              <w:spacing w:before="40" w:after="4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0.1</w:t>
            </w:r>
          </w:p>
        </w:tc>
        <w:tc>
          <w:tcPr>
            <w:tcW w:w="848" w:type="dxa"/>
            <w:noWrap/>
            <w:hideMark/>
          </w:tcPr>
          <w:p w14:paraId="1FF134ED" w14:textId="2C8066EB" w:rsidR="005724E3" w:rsidRPr="000973F2" w:rsidRDefault="005724E3" w:rsidP="00B53CB9">
            <w:pPr>
              <w:tabs>
                <w:tab w:val="decimal" w:pos="511"/>
              </w:tabs>
              <w:spacing w:before="40" w:after="4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$168</w:t>
            </w:r>
          </w:p>
        </w:tc>
        <w:tc>
          <w:tcPr>
            <w:tcW w:w="848" w:type="dxa"/>
            <w:noWrap/>
            <w:hideMark/>
          </w:tcPr>
          <w:p w14:paraId="038834C1" w14:textId="34E1E08D" w:rsidR="005724E3" w:rsidRPr="000973F2" w:rsidRDefault="005724E3" w:rsidP="00B53CB9">
            <w:pPr>
              <w:tabs>
                <w:tab w:val="decimal" w:pos="511"/>
              </w:tabs>
              <w:spacing w:before="40" w:after="4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$84</w:t>
            </w:r>
          </w:p>
        </w:tc>
      </w:tr>
      <w:tr w:rsidR="005724E3" w:rsidRPr="000973F2" w14:paraId="0335DE91" w14:textId="77777777" w:rsidTr="00B53CB9">
        <w:trPr>
          <w:cantSplit/>
        </w:trPr>
        <w:tc>
          <w:tcPr>
            <w:cnfStyle w:val="001000000000" w:firstRow="0" w:lastRow="0" w:firstColumn="1" w:lastColumn="0" w:oddVBand="0" w:evenVBand="0" w:oddHBand="0" w:evenHBand="0" w:firstRowFirstColumn="0" w:firstRowLastColumn="0" w:lastRowFirstColumn="0" w:lastRowLastColumn="0"/>
            <w:tcW w:w="1425" w:type="dxa"/>
            <w:hideMark/>
          </w:tcPr>
          <w:p w14:paraId="4625B58E" w14:textId="77777777" w:rsidR="005724E3" w:rsidRPr="000973F2" w:rsidRDefault="005724E3" w:rsidP="00B53CB9">
            <w:pPr>
              <w:spacing w:before="40" w:after="4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Recordkeeping</w:t>
            </w:r>
          </w:p>
        </w:tc>
        <w:tc>
          <w:tcPr>
            <w:tcW w:w="776" w:type="dxa"/>
            <w:noWrap/>
            <w:hideMark/>
          </w:tcPr>
          <w:p w14:paraId="2FB2E19A" w14:textId="77777777" w:rsidR="005724E3" w:rsidRPr="000973F2" w:rsidRDefault="005724E3" w:rsidP="00B53CB9">
            <w:pPr>
              <w:tabs>
                <w:tab w:val="decimal" w:pos="271"/>
              </w:tabs>
              <w:spacing w:before="40" w:after="4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0</w:t>
            </w:r>
          </w:p>
        </w:tc>
        <w:tc>
          <w:tcPr>
            <w:tcW w:w="776" w:type="dxa"/>
            <w:noWrap/>
            <w:hideMark/>
          </w:tcPr>
          <w:p w14:paraId="7C85A2B0" w14:textId="77777777" w:rsidR="005724E3" w:rsidRPr="000973F2" w:rsidRDefault="005724E3" w:rsidP="00B53CB9">
            <w:pPr>
              <w:tabs>
                <w:tab w:val="decimal" w:pos="271"/>
              </w:tabs>
              <w:spacing w:before="40" w:after="4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0</w:t>
            </w:r>
          </w:p>
        </w:tc>
        <w:tc>
          <w:tcPr>
            <w:tcW w:w="776" w:type="dxa"/>
            <w:noWrap/>
            <w:hideMark/>
          </w:tcPr>
          <w:p w14:paraId="2DBF40A9" w14:textId="77777777" w:rsidR="005724E3" w:rsidRPr="000973F2" w:rsidRDefault="005724E3" w:rsidP="00B53CB9">
            <w:pPr>
              <w:tabs>
                <w:tab w:val="decimal" w:pos="271"/>
              </w:tabs>
              <w:spacing w:before="40" w:after="4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0.5</w:t>
            </w:r>
          </w:p>
        </w:tc>
        <w:tc>
          <w:tcPr>
            <w:tcW w:w="776" w:type="dxa"/>
            <w:noWrap/>
            <w:hideMark/>
          </w:tcPr>
          <w:p w14:paraId="1D205DA7" w14:textId="77777777" w:rsidR="005724E3" w:rsidRPr="000973F2" w:rsidRDefault="005724E3" w:rsidP="00B53CB9">
            <w:pPr>
              <w:tabs>
                <w:tab w:val="decimal" w:pos="271"/>
              </w:tabs>
              <w:spacing w:before="40" w:after="4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0.5</w:t>
            </w:r>
          </w:p>
        </w:tc>
        <w:tc>
          <w:tcPr>
            <w:tcW w:w="776" w:type="dxa"/>
            <w:noWrap/>
            <w:hideMark/>
          </w:tcPr>
          <w:p w14:paraId="7DB5835D" w14:textId="77777777" w:rsidR="005724E3" w:rsidRPr="000973F2" w:rsidRDefault="005724E3" w:rsidP="00B53CB9">
            <w:pPr>
              <w:tabs>
                <w:tab w:val="decimal" w:pos="376"/>
              </w:tabs>
              <w:spacing w:before="40" w:after="4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5</w:t>
            </w:r>
          </w:p>
        </w:tc>
        <w:tc>
          <w:tcPr>
            <w:tcW w:w="776" w:type="dxa"/>
            <w:noWrap/>
            <w:hideMark/>
          </w:tcPr>
          <w:p w14:paraId="377D93BA" w14:textId="77777777" w:rsidR="005724E3" w:rsidRPr="000973F2" w:rsidRDefault="005724E3" w:rsidP="00B53CB9">
            <w:pPr>
              <w:tabs>
                <w:tab w:val="decimal" w:pos="376"/>
              </w:tabs>
              <w:spacing w:before="40" w:after="4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5</w:t>
            </w:r>
          </w:p>
        </w:tc>
        <w:tc>
          <w:tcPr>
            <w:tcW w:w="776" w:type="dxa"/>
            <w:noWrap/>
            <w:hideMark/>
          </w:tcPr>
          <w:p w14:paraId="679913AB" w14:textId="77777777" w:rsidR="005724E3" w:rsidRPr="000973F2" w:rsidRDefault="005724E3" w:rsidP="00B53CB9">
            <w:pPr>
              <w:tabs>
                <w:tab w:val="decimal" w:pos="271"/>
              </w:tabs>
              <w:spacing w:before="40" w:after="4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0.5</w:t>
            </w:r>
          </w:p>
        </w:tc>
        <w:tc>
          <w:tcPr>
            <w:tcW w:w="777" w:type="dxa"/>
            <w:noWrap/>
            <w:hideMark/>
          </w:tcPr>
          <w:p w14:paraId="769483CC" w14:textId="77777777" w:rsidR="005724E3" w:rsidRPr="000973F2" w:rsidRDefault="005724E3" w:rsidP="00B53CB9">
            <w:pPr>
              <w:tabs>
                <w:tab w:val="decimal" w:pos="271"/>
              </w:tabs>
              <w:spacing w:before="40" w:after="4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0.5</w:t>
            </w:r>
          </w:p>
        </w:tc>
        <w:tc>
          <w:tcPr>
            <w:tcW w:w="848" w:type="dxa"/>
            <w:noWrap/>
            <w:hideMark/>
          </w:tcPr>
          <w:p w14:paraId="3A9132E7" w14:textId="54F90AAE" w:rsidR="005724E3" w:rsidRPr="000973F2" w:rsidRDefault="005724E3" w:rsidP="00B53CB9">
            <w:pPr>
              <w:tabs>
                <w:tab w:val="decimal" w:pos="511"/>
              </w:tabs>
              <w:spacing w:before="40" w:after="4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$419</w:t>
            </w:r>
          </w:p>
        </w:tc>
        <w:tc>
          <w:tcPr>
            <w:tcW w:w="848" w:type="dxa"/>
            <w:noWrap/>
            <w:hideMark/>
          </w:tcPr>
          <w:p w14:paraId="6F5AA341" w14:textId="58704F86" w:rsidR="005724E3" w:rsidRPr="000973F2" w:rsidRDefault="005724E3" w:rsidP="00B53CB9">
            <w:pPr>
              <w:tabs>
                <w:tab w:val="decimal" w:pos="511"/>
              </w:tabs>
              <w:spacing w:before="40" w:after="4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$419</w:t>
            </w:r>
          </w:p>
        </w:tc>
      </w:tr>
      <w:tr w:rsidR="005724E3" w:rsidRPr="000973F2" w14:paraId="6FC54ED5" w14:textId="77777777" w:rsidTr="00B53CB9">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1425" w:type="dxa"/>
            <w:hideMark/>
          </w:tcPr>
          <w:p w14:paraId="44A80E28" w14:textId="77777777" w:rsidR="005724E3" w:rsidRPr="000973F2" w:rsidRDefault="005724E3" w:rsidP="00B53CB9">
            <w:pPr>
              <w:spacing w:before="40" w:after="4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Sampling and Analysis (Calculations)</w:t>
            </w:r>
          </w:p>
        </w:tc>
        <w:tc>
          <w:tcPr>
            <w:tcW w:w="776" w:type="dxa"/>
            <w:noWrap/>
            <w:hideMark/>
          </w:tcPr>
          <w:p w14:paraId="7E33F82F" w14:textId="77777777" w:rsidR="005724E3" w:rsidRPr="000973F2" w:rsidRDefault="005724E3" w:rsidP="00B53CB9">
            <w:pPr>
              <w:tabs>
                <w:tab w:val="decimal" w:pos="271"/>
              </w:tabs>
              <w:spacing w:before="40" w:after="4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0</w:t>
            </w:r>
          </w:p>
        </w:tc>
        <w:tc>
          <w:tcPr>
            <w:tcW w:w="776" w:type="dxa"/>
            <w:noWrap/>
            <w:hideMark/>
          </w:tcPr>
          <w:p w14:paraId="2AC52A3F" w14:textId="77777777" w:rsidR="005724E3" w:rsidRPr="000973F2" w:rsidRDefault="005724E3" w:rsidP="00B53CB9">
            <w:pPr>
              <w:tabs>
                <w:tab w:val="decimal" w:pos="271"/>
              </w:tabs>
              <w:spacing w:before="40" w:after="4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0</w:t>
            </w:r>
          </w:p>
        </w:tc>
        <w:tc>
          <w:tcPr>
            <w:tcW w:w="776" w:type="dxa"/>
            <w:noWrap/>
            <w:hideMark/>
          </w:tcPr>
          <w:p w14:paraId="68F2806F" w14:textId="77777777" w:rsidR="005724E3" w:rsidRPr="000973F2" w:rsidRDefault="005724E3" w:rsidP="00B53CB9">
            <w:pPr>
              <w:tabs>
                <w:tab w:val="decimal" w:pos="271"/>
              </w:tabs>
              <w:spacing w:before="40" w:after="4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2.0</w:t>
            </w:r>
          </w:p>
        </w:tc>
        <w:tc>
          <w:tcPr>
            <w:tcW w:w="776" w:type="dxa"/>
            <w:noWrap/>
            <w:hideMark/>
          </w:tcPr>
          <w:p w14:paraId="3A362274" w14:textId="77777777" w:rsidR="005724E3" w:rsidRPr="000973F2" w:rsidRDefault="005724E3" w:rsidP="00B53CB9">
            <w:pPr>
              <w:tabs>
                <w:tab w:val="decimal" w:pos="271"/>
              </w:tabs>
              <w:spacing w:before="40" w:after="4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2.0</w:t>
            </w:r>
          </w:p>
        </w:tc>
        <w:tc>
          <w:tcPr>
            <w:tcW w:w="776" w:type="dxa"/>
            <w:noWrap/>
            <w:hideMark/>
          </w:tcPr>
          <w:p w14:paraId="49D486D8" w14:textId="77777777" w:rsidR="005724E3" w:rsidRPr="000973F2" w:rsidRDefault="005724E3" w:rsidP="00B53CB9">
            <w:pPr>
              <w:tabs>
                <w:tab w:val="decimal" w:pos="376"/>
              </w:tabs>
              <w:spacing w:before="40" w:after="4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8</w:t>
            </w:r>
          </w:p>
        </w:tc>
        <w:tc>
          <w:tcPr>
            <w:tcW w:w="776" w:type="dxa"/>
            <w:noWrap/>
            <w:hideMark/>
          </w:tcPr>
          <w:p w14:paraId="7945E9FA" w14:textId="77777777" w:rsidR="005724E3" w:rsidRPr="000973F2" w:rsidRDefault="005724E3" w:rsidP="00B53CB9">
            <w:pPr>
              <w:tabs>
                <w:tab w:val="decimal" w:pos="376"/>
              </w:tabs>
              <w:spacing w:before="40" w:after="4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8</w:t>
            </w:r>
          </w:p>
        </w:tc>
        <w:tc>
          <w:tcPr>
            <w:tcW w:w="776" w:type="dxa"/>
            <w:noWrap/>
            <w:hideMark/>
          </w:tcPr>
          <w:p w14:paraId="0A2E100A" w14:textId="77777777" w:rsidR="005724E3" w:rsidRPr="000973F2" w:rsidRDefault="005724E3" w:rsidP="00B53CB9">
            <w:pPr>
              <w:tabs>
                <w:tab w:val="decimal" w:pos="271"/>
              </w:tabs>
              <w:spacing w:before="40" w:after="4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0</w:t>
            </w:r>
          </w:p>
        </w:tc>
        <w:tc>
          <w:tcPr>
            <w:tcW w:w="777" w:type="dxa"/>
            <w:noWrap/>
            <w:hideMark/>
          </w:tcPr>
          <w:p w14:paraId="2429F89F" w14:textId="77777777" w:rsidR="005724E3" w:rsidRPr="000973F2" w:rsidRDefault="005724E3" w:rsidP="00B53CB9">
            <w:pPr>
              <w:tabs>
                <w:tab w:val="decimal" w:pos="271"/>
              </w:tabs>
              <w:spacing w:before="40" w:after="4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0</w:t>
            </w:r>
          </w:p>
        </w:tc>
        <w:tc>
          <w:tcPr>
            <w:tcW w:w="848" w:type="dxa"/>
            <w:noWrap/>
            <w:hideMark/>
          </w:tcPr>
          <w:p w14:paraId="7933ACF2" w14:textId="711B8FB9" w:rsidR="005724E3" w:rsidRPr="000973F2" w:rsidRDefault="005724E3" w:rsidP="00B53CB9">
            <w:pPr>
              <w:tabs>
                <w:tab w:val="decimal" w:pos="511"/>
              </w:tabs>
              <w:spacing w:before="40" w:after="4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$747</w:t>
            </w:r>
          </w:p>
        </w:tc>
        <w:tc>
          <w:tcPr>
            <w:tcW w:w="848" w:type="dxa"/>
            <w:noWrap/>
            <w:hideMark/>
          </w:tcPr>
          <w:p w14:paraId="4E7EC12A" w14:textId="67A79A66" w:rsidR="005724E3" w:rsidRPr="000973F2" w:rsidRDefault="005724E3" w:rsidP="00B53CB9">
            <w:pPr>
              <w:tabs>
                <w:tab w:val="decimal" w:pos="511"/>
              </w:tabs>
              <w:spacing w:before="40" w:after="4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$747</w:t>
            </w:r>
          </w:p>
        </w:tc>
      </w:tr>
      <w:tr w:rsidR="005724E3" w:rsidRPr="000973F2" w14:paraId="6F90A7D7" w14:textId="77777777" w:rsidTr="00B53CB9">
        <w:trPr>
          <w:cantSplit/>
        </w:trPr>
        <w:tc>
          <w:tcPr>
            <w:cnfStyle w:val="001000000000" w:firstRow="0" w:lastRow="0" w:firstColumn="1" w:lastColumn="0" w:oddVBand="0" w:evenVBand="0" w:oddHBand="0" w:evenHBand="0" w:firstRowFirstColumn="0" w:firstRowLastColumn="0" w:lastRowFirstColumn="0" w:lastRowLastColumn="0"/>
            <w:tcW w:w="1425" w:type="dxa"/>
            <w:hideMark/>
          </w:tcPr>
          <w:p w14:paraId="7F6E34C4" w14:textId="77777777" w:rsidR="005724E3" w:rsidRPr="000973F2" w:rsidRDefault="005724E3" w:rsidP="00B53CB9">
            <w:pPr>
              <w:spacing w:before="40" w:after="4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Reporting</w:t>
            </w:r>
          </w:p>
        </w:tc>
        <w:tc>
          <w:tcPr>
            <w:tcW w:w="776" w:type="dxa"/>
            <w:noWrap/>
            <w:hideMark/>
          </w:tcPr>
          <w:p w14:paraId="41EB38EA" w14:textId="77777777" w:rsidR="005724E3" w:rsidRPr="000973F2" w:rsidRDefault="005724E3" w:rsidP="00B53CB9">
            <w:pPr>
              <w:tabs>
                <w:tab w:val="decimal" w:pos="271"/>
              </w:tabs>
              <w:spacing w:before="40" w:after="4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0</w:t>
            </w:r>
          </w:p>
        </w:tc>
        <w:tc>
          <w:tcPr>
            <w:tcW w:w="776" w:type="dxa"/>
            <w:noWrap/>
            <w:hideMark/>
          </w:tcPr>
          <w:p w14:paraId="77F350A1" w14:textId="77777777" w:rsidR="005724E3" w:rsidRPr="000973F2" w:rsidRDefault="005724E3" w:rsidP="00B53CB9">
            <w:pPr>
              <w:tabs>
                <w:tab w:val="decimal" w:pos="271"/>
              </w:tabs>
              <w:spacing w:before="40" w:after="4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0</w:t>
            </w:r>
          </w:p>
        </w:tc>
        <w:tc>
          <w:tcPr>
            <w:tcW w:w="776" w:type="dxa"/>
            <w:noWrap/>
            <w:hideMark/>
          </w:tcPr>
          <w:p w14:paraId="4C6938B5" w14:textId="77777777" w:rsidR="005724E3" w:rsidRPr="000973F2" w:rsidRDefault="005724E3" w:rsidP="00B53CB9">
            <w:pPr>
              <w:tabs>
                <w:tab w:val="decimal" w:pos="271"/>
              </w:tabs>
              <w:spacing w:before="40" w:after="4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1.0</w:t>
            </w:r>
          </w:p>
        </w:tc>
        <w:tc>
          <w:tcPr>
            <w:tcW w:w="776" w:type="dxa"/>
            <w:noWrap/>
            <w:hideMark/>
          </w:tcPr>
          <w:p w14:paraId="7BB15A48" w14:textId="77777777" w:rsidR="005724E3" w:rsidRPr="000973F2" w:rsidRDefault="005724E3" w:rsidP="00B53CB9">
            <w:pPr>
              <w:tabs>
                <w:tab w:val="decimal" w:pos="271"/>
              </w:tabs>
              <w:spacing w:before="40" w:after="4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1.0</w:t>
            </w:r>
          </w:p>
        </w:tc>
        <w:tc>
          <w:tcPr>
            <w:tcW w:w="776" w:type="dxa"/>
            <w:noWrap/>
            <w:hideMark/>
          </w:tcPr>
          <w:p w14:paraId="5DE176E3" w14:textId="77777777" w:rsidR="005724E3" w:rsidRPr="000973F2" w:rsidRDefault="005724E3" w:rsidP="00B53CB9">
            <w:pPr>
              <w:tabs>
                <w:tab w:val="decimal" w:pos="376"/>
              </w:tabs>
              <w:spacing w:before="40" w:after="4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10</w:t>
            </w:r>
          </w:p>
        </w:tc>
        <w:tc>
          <w:tcPr>
            <w:tcW w:w="776" w:type="dxa"/>
            <w:noWrap/>
            <w:hideMark/>
          </w:tcPr>
          <w:p w14:paraId="2D9AD0B0" w14:textId="77777777" w:rsidR="005724E3" w:rsidRPr="000973F2" w:rsidRDefault="005724E3" w:rsidP="00B53CB9">
            <w:pPr>
              <w:tabs>
                <w:tab w:val="decimal" w:pos="376"/>
              </w:tabs>
              <w:spacing w:before="40" w:after="4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10</w:t>
            </w:r>
          </w:p>
        </w:tc>
        <w:tc>
          <w:tcPr>
            <w:tcW w:w="776" w:type="dxa"/>
            <w:noWrap/>
            <w:hideMark/>
          </w:tcPr>
          <w:p w14:paraId="2744AAD5" w14:textId="77777777" w:rsidR="005724E3" w:rsidRPr="000973F2" w:rsidRDefault="005724E3" w:rsidP="00B53CB9">
            <w:pPr>
              <w:tabs>
                <w:tab w:val="decimal" w:pos="271"/>
              </w:tabs>
              <w:spacing w:before="40" w:after="4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1.0</w:t>
            </w:r>
          </w:p>
        </w:tc>
        <w:tc>
          <w:tcPr>
            <w:tcW w:w="777" w:type="dxa"/>
            <w:noWrap/>
            <w:hideMark/>
          </w:tcPr>
          <w:p w14:paraId="105A7E61" w14:textId="77777777" w:rsidR="005724E3" w:rsidRPr="000973F2" w:rsidRDefault="005724E3" w:rsidP="00B53CB9">
            <w:pPr>
              <w:tabs>
                <w:tab w:val="decimal" w:pos="271"/>
              </w:tabs>
              <w:spacing w:before="40" w:after="4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1.0</w:t>
            </w:r>
          </w:p>
        </w:tc>
        <w:tc>
          <w:tcPr>
            <w:tcW w:w="848" w:type="dxa"/>
            <w:noWrap/>
            <w:hideMark/>
          </w:tcPr>
          <w:p w14:paraId="7AAF1046" w14:textId="4965963B" w:rsidR="005724E3" w:rsidRPr="000973F2" w:rsidRDefault="005724E3" w:rsidP="00B53CB9">
            <w:pPr>
              <w:tabs>
                <w:tab w:val="decimal" w:pos="511"/>
              </w:tabs>
              <w:spacing w:before="40" w:after="4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$838</w:t>
            </w:r>
          </w:p>
        </w:tc>
        <w:tc>
          <w:tcPr>
            <w:tcW w:w="848" w:type="dxa"/>
            <w:noWrap/>
            <w:hideMark/>
          </w:tcPr>
          <w:p w14:paraId="291040BF" w14:textId="23DB2947" w:rsidR="005724E3" w:rsidRPr="000973F2" w:rsidRDefault="005724E3" w:rsidP="00B53CB9">
            <w:pPr>
              <w:tabs>
                <w:tab w:val="decimal" w:pos="511"/>
              </w:tabs>
              <w:spacing w:before="40" w:after="4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$838</w:t>
            </w:r>
          </w:p>
        </w:tc>
      </w:tr>
      <w:tr w:rsidR="00816BF1" w:rsidRPr="000973F2" w14:paraId="2EB5882D" w14:textId="77777777" w:rsidTr="00B53CB9">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1425" w:type="dxa"/>
            <w:noWrap/>
            <w:hideMark/>
          </w:tcPr>
          <w:p w14:paraId="1B83D5C0" w14:textId="77777777" w:rsidR="005724E3" w:rsidRPr="000973F2" w:rsidRDefault="005724E3" w:rsidP="00B53CB9">
            <w:pPr>
              <w:spacing w:before="40" w:after="40"/>
              <w:rPr>
                <w:rFonts w:ascii="Times New Roman" w:eastAsia="Times New Roman" w:hAnsi="Times New Roman" w:cs="Times New Roman"/>
                <w:b/>
                <w:bCs w:val="0"/>
                <w:sz w:val="18"/>
                <w:szCs w:val="18"/>
              </w:rPr>
            </w:pPr>
            <w:r w:rsidRPr="000973F2">
              <w:rPr>
                <w:rFonts w:ascii="Times New Roman" w:eastAsia="Times New Roman" w:hAnsi="Times New Roman" w:cs="Times New Roman"/>
                <w:b/>
                <w:sz w:val="18"/>
                <w:szCs w:val="18"/>
              </w:rPr>
              <w:t>Total</w:t>
            </w:r>
          </w:p>
        </w:tc>
        <w:tc>
          <w:tcPr>
            <w:tcW w:w="776" w:type="dxa"/>
            <w:noWrap/>
            <w:hideMark/>
          </w:tcPr>
          <w:p w14:paraId="2BABD6EE" w14:textId="77777777" w:rsidR="005724E3" w:rsidRPr="000973F2" w:rsidRDefault="005724E3" w:rsidP="00B53CB9">
            <w:pPr>
              <w:tabs>
                <w:tab w:val="decimal" w:pos="271"/>
              </w:tabs>
              <w:spacing w:before="40" w:after="4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18"/>
                <w:szCs w:val="18"/>
              </w:rPr>
            </w:pPr>
            <w:r w:rsidRPr="000973F2">
              <w:rPr>
                <w:rFonts w:ascii="Times New Roman" w:eastAsia="Times New Roman" w:hAnsi="Times New Roman" w:cs="Times New Roman"/>
                <w:b/>
                <w:bCs/>
                <w:sz w:val="18"/>
                <w:szCs w:val="18"/>
              </w:rPr>
              <w:t>2</w:t>
            </w:r>
          </w:p>
        </w:tc>
        <w:tc>
          <w:tcPr>
            <w:tcW w:w="776" w:type="dxa"/>
            <w:noWrap/>
            <w:hideMark/>
          </w:tcPr>
          <w:p w14:paraId="7A613A6E" w14:textId="77777777" w:rsidR="005724E3" w:rsidRPr="000973F2" w:rsidRDefault="005724E3" w:rsidP="00B53CB9">
            <w:pPr>
              <w:tabs>
                <w:tab w:val="decimal" w:pos="271"/>
              </w:tabs>
              <w:spacing w:before="40" w:after="4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18"/>
                <w:szCs w:val="18"/>
              </w:rPr>
            </w:pPr>
            <w:r w:rsidRPr="000973F2">
              <w:rPr>
                <w:rFonts w:ascii="Times New Roman" w:eastAsia="Times New Roman" w:hAnsi="Times New Roman" w:cs="Times New Roman"/>
                <w:b/>
                <w:bCs/>
                <w:sz w:val="18"/>
                <w:szCs w:val="18"/>
              </w:rPr>
              <w:t>1</w:t>
            </w:r>
          </w:p>
        </w:tc>
        <w:tc>
          <w:tcPr>
            <w:tcW w:w="776" w:type="dxa"/>
            <w:noWrap/>
            <w:hideMark/>
          </w:tcPr>
          <w:p w14:paraId="7F0B8338" w14:textId="77777777" w:rsidR="005724E3" w:rsidRPr="000973F2" w:rsidRDefault="005724E3" w:rsidP="00B53CB9">
            <w:pPr>
              <w:tabs>
                <w:tab w:val="decimal" w:pos="271"/>
              </w:tabs>
              <w:spacing w:before="40" w:after="4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18"/>
                <w:szCs w:val="18"/>
              </w:rPr>
            </w:pPr>
            <w:r w:rsidRPr="000973F2">
              <w:rPr>
                <w:rFonts w:ascii="Times New Roman" w:eastAsia="Times New Roman" w:hAnsi="Times New Roman" w:cs="Times New Roman"/>
                <w:b/>
                <w:bCs/>
                <w:sz w:val="18"/>
                <w:szCs w:val="18"/>
              </w:rPr>
              <w:t>3.9</w:t>
            </w:r>
          </w:p>
        </w:tc>
        <w:tc>
          <w:tcPr>
            <w:tcW w:w="776" w:type="dxa"/>
            <w:noWrap/>
            <w:hideMark/>
          </w:tcPr>
          <w:p w14:paraId="77B605E2" w14:textId="77777777" w:rsidR="005724E3" w:rsidRPr="000973F2" w:rsidRDefault="005724E3" w:rsidP="00B53CB9">
            <w:pPr>
              <w:tabs>
                <w:tab w:val="decimal" w:pos="271"/>
              </w:tabs>
              <w:spacing w:before="40" w:after="4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18"/>
                <w:szCs w:val="18"/>
              </w:rPr>
            </w:pPr>
            <w:r w:rsidRPr="000973F2">
              <w:rPr>
                <w:rFonts w:ascii="Times New Roman" w:eastAsia="Times New Roman" w:hAnsi="Times New Roman" w:cs="Times New Roman"/>
                <w:b/>
                <w:bCs/>
                <w:sz w:val="18"/>
                <w:szCs w:val="18"/>
              </w:rPr>
              <w:t>3.7</w:t>
            </w:r>
          </w:p>
        </w:tc>
        <w:tc>
          <w:tcPr>
            <w:tcW w:w="776" w:type="dxa"/>
            <w:noWrap/>
            <w:hideMark/>
          </w:tcPr>
          <w:p w14:paraId="1D0CA9C3" w14:textId="77777777" w:rsidR="005724E3" w:rsidRPr="000973F2" w:rsidRDefault="005724E3" w:rsidP="00B53CB9">
            <w:pPr>
              <w:tabs>
                <w:tab w:val="decimal" w:pos="376"/>
              </w:tabs>
              <w:spacing w:before="40" w:after="4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18"/>
                <w:szCs w:val="18"/>
              </w:rPr>
            </w:pPr>
            <w:r w:rsidRPr="000973F2">
              <w:rPr>
                <w:rFonts w:ascii="Times New Roman" w:eastAsia="Times New Roman" w:hAnsi="Times New Roman" w:cs="Times New Roman"/>
                <w:b/>
                <w:bCs/>
                <w:sz w:val="18"/>
                <w:szCs w:val="18"/>
              </w:rPr>
              <w:t>27</w:t>
            </w:r>
          </w:p>
        </w:tc>
        <w:tc>
          <w:tcPr>
            <w:tcW w:w="776" w:type="dxa"/>
            <w:noWrap/>
            <w:hideMark/>
          </w:tcPr>
          <w:p w14:paraId="09D95EA8" w14:textId="77777777" w:rsidR="005724E3" w:rsidRPr="000973F2" w:rsidRDefault="005724E3" w:rsidP="00B53CB9">
            <w:pPr>
              <w:tabs>
                <w:tab w:val="decimal" w:pos="376"/>
              </w:tabs>
              <w:spacing w:before="40" w:after="4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18"/>
                <w:szCs w:val="18"/>
              </w:rPr>
            </w:pPr>
            <w:r w:rsidRPr="000973F2">
              <w:rPr>
                <w:rFonts w:ascii="Times New Roman" w:eastAsia="Times New Roman" w:hAnsi="Times New Roman" w:cs="Times New Roman"/>
                <w:b/>
                <w:bCs/>
                <w:sz w:val="18"/>
                <w:szCs w:val="18"/>
              </w:rPr>
              <w:t>25</w:t>
            </w:r>
          </w:p>
        </w:tc>
        <w:tc>
          <w:tcPr>
            <w:tcW w:w="776" w:type="dxa"/>
            <w:noWrap/>
            <w:hideMark/>
          </w:tcPr>
          <w:p w14:paraId="73110B13" w14:textId="77777777" w:rsidR="005724E3" w:rsidRPr="000973F2" w:rsidRDefault="005724E3" w:rsidP="00B53CB9">
            <w:pPr>
              <w:tabs>
                <w:tab w:val="decimal" w:pos="271"/>
              </w:tabs>
              <w:spacing w:before="40" w:after="4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18"/>
                <w:szCs w:val="18"/>
              </w:rPr>
            </w:pPr>
            <w:r w:rsidRPr="000973F2">
              <w:rPr>
                <w:rFonts w:ascii="Times New Roman" w:eastAsia="Times New Roman" w:hAnsi="Times New Roman" w:cs="Times New Roman"/>
                <w:b/>
                <w:bCs/>
                <w:sz w:val="18"/>
                <w:szCs w:val="18"/>
              </w:rPr>
              <w:t>1.9</w:t>
            </w:r>
          </w:p>
        </w:tc>
        <w:tc>
          <w:tcPr>
            <w:tcW w:w="777" w:type="dxa"/>
            <w:noWrap/>
            <w:hideMark/>
          </w:tcPr>
          <w:p w14:paraId="6FE2D302" w14:textId="77777777" w:rsidR="005724E3" w:rsidRPr="000973F2" w:rsidRDefault="005724E3" w:rsidP="00B53CB9">
            <w:pPr>
              <w:tabs>
                <w:tab w:val="decimal" w:pos="271"/>
              </w:tabs>
              <w:spacing w:before="40" w:after="4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18"/>
                <w:szCs w:val="18"/>
              </w:rPr>
            </w:pPr>
            <w:r w:rsidRPr="000973F2">
              <w:rPr>
                <w:rFonts w:ascii="Times New Roman" w:eastAsia="Times New Roman" w:hAnsi="Times New Roman" w:cs="Times New Roman"/>
                <w:b/>
                <w:bCs/>
                <w:sz w:val="18"/>
                <w:szCs w:val="18"/>
              </w:rPr>
              <w:t>1.7</w:t>
            </w:r>
          </w:p>
        </w:tc>
        <w:tc>
          <w:tcPr>
            <w:tcW w:w="848" w:type="dxa"/>
            <w:noWrap/>
            <w:hideMark/>
          </w:tcPr>
          <w:p w14:paraId="6BC5DE59" w14:textId="5941302C" w:rsidR="005724E3" w:rsidRPr="000973F2" w:rsidRDefault="005724E3" w:rsidP="00B53CB9">
            <w:pPr>
              <w:tabs>
                <w:tab w:val="decimal" w:pos="511"/>
              </w:tabs>
              <w:spacing w:before="40" w:after="4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18"/>
                <w:szCs w:val="18"/>
              </w:rPr>
            </w:pPr>
            <w:r w:rsidRPr="000973F2">
              <w:rPr>
                <w:rFonts w:ascii="Times New Roman" w:eastAsia="Times New Roman" w:hAnsi="Times New Roman" w:cs="Times New Roman"/>
                <w:b/>
                <w:bCs/>
                <w:sz w:val="18"/>
                <w:szCs w:val="18"/>
              </w:rPr>
              <w:t>$2,564</w:t>
            </w:r>
          </w:p>
        </w:tc>
        <w:tc>
          <w:tcPr>
            <w:tcW w:w="848" w:type="dxa"/>
            <w:noWrap/>
            <w:hideMark/>
          </w:tcPr>
          <w:p w14:paraId="20EFE875" w14:textId="29CB43B0" w:rsidR="005724E3" w:rsidRPr="000973F2" w:rsidRDefault="005724E3" w:rsidP="00B53CB9">
            <w:pPr>
              <w:tabs>
                <w:tab w:val="decimal" w:pos="511"/>
              </w:tabs>
              <w:spacing w:before="40" w:after="4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18"/>
                <w:szCs w:val="18"/>
              </w:rPr>
            </w:pPr>
            <w:r w:rsidRPr="000973F2">
              <w:rPr>
                <w:rFonts w:ascii="Times New Roman" w:eastAsia="Times New Roman" w:hAnsi="Times New Roman" w:cs="Times New Roman"/>
                <w:b/>
                <w:bCs/>
                <w:sz w:val="18"/>
                <w:szCs w:val="18"/>
              </w:rPr>
              <w:t>$2,284</w:t>
            </w:r>
          </w:p>
        </w:tc>
      </w:tr>
    </w:tbl>
    <w:p w14:paraId="0535FE9E" w14:textId="77777777" w:rsidR="005724E3" w:rsidRPr="000973F2" w:rsidRDefault="005724E3" w:rsidP="00C00E4F">
      <w:pPr>
        <w:spacing w:line="240" w:lineRule="auto"/>
        <w:rPr>
          <w:rFonts w:ascii="Times New Roman" w:hAnsi="Times New Roman" w:cs="Times New Roman"/>
          <w:i/>
        </w:rPr>
      </w:pPr>
    </w:p>
    <w:p w14:paraId="0375A5D4" w14:textId="77777777" w:rsidR="005724E3" w:rsidRPr="000973F2" w:rsidRDefault="005724E3" w:rsidP="00C00E4F">
      <w:pPr>
        <w:spacing w:line="240" w:lineRule="auto"/>
        <w:rPr>
          <w:rFonts w:ascii="Times New Roman" w:hAnsi="Times New Roman" w:cs="Times New Roman"/>
          <w:b/>
          <w:i/>
        </w:rPr>
      </w:pPr>
      <w:r w:rsidRPr="000973F2">
        <w:rPr>
          <w:rFonts w:ascii="Times New Roman" w:hAnsi="Times New Roman" w:cs="Times New Roman"/>
          <w:b/>
          <w:i/>
        </w:rPr>
        <w:br w:type="page"/>
      </w:r>
    </w:p>
    <w:p w14:paraId="536772DB" w14:textId="77777777" w:rsidR="005724E3" w:rsidRPr="000973F2" w:rsidRDefault="005724E3" w:rsidP="00442B24">
      <w:pPr>
        <w:pStyle w:val="Heading2"/>
      </w:pPr>
      <w:r w:rsidRPr="000973F2">
        <w:t>Capital and O&amp;M Costs for Subpart II</w:t>
      </w:r>
    </w:p>
    <w:p w14:paraId="42AE2848" w14:textId="58D7ADCB" w:rsidR="005724E3" w:rsidRPr="000973F2" w:rsidRDefault="005724E3" w:rsidP="00442B24">
      <w:pPr>
        <w:pStyle w:val="BodyText"/>
      </w:pPr>
      <w:r w:rsidRPr="000973F2">
        <w:t xml:space="preserve">Table </w:t>
      </w:r>
      <w:r w:rsidR="00442B24" w:rsidRPr="000973F2">
        <w:t>II-</w:t>
      </w:r>
      <w:r w:rsidRPr="000973F2">
        <w:t xml:space="preserve">2 summarizes the capital and operational and maintenance costs for Subpart II. The largest cost component for Subpart II is for O&amp;M to complete the requirement for facilities to calibrate their wastewater flow meters every 3 years. Costs for the calibration of the flow meter at a Subpart II facility were determined by using an average flow meter diameter between 6 and 16 inches and using a flow meter with 2 taps. The O&amp;M cost of $3,550 only occurs once every three years under Subpart II. Therefore, each facility (both new facilities and existing facilities) will be expected to incur a cost of $1,183 each year over the three-year period </w:t>
      </w:r>
      <w:r w:rsidR="00C1575E" w:rsidRPr="000973F2">
        <w:t>covered by this</w:t>
      </w:r>
      <w:r w:rsidRPr="000973F2">
        <w:t xml:space="preserve"> ICR. </w:t>
      </w:r>
    </w:p>
    <w:p w14:paraId="2E4C1B23" w14:textId="4485532A" w:rsidR="005724E3" w:rsidRPr="000973F2" w:rsidRDefault="005724E3" w:rsidP="00C00E4F">
      <w:pPr>
        <w:spacing w:line="240" w:lineRule="auto"/>
        <w:rPr>
          <w:rFonts w:ascii="Times New Roman" w:hAnsi="Times New Roman" w:cs="Times New Roman"/>
        </w:rPr>
      </w:pPr>
      <w:r w:rsidRPr="000973F2">
        <w:rPr>
          <w:rFonts w:ascii="Times New Roman" w:hAnsi="Times New Roman" w:cs="Times New Roman"/>
        </w:rPr>
        <w:t>It is expected that new facilities will not need to purchase any additional equipment (</w:t>
      </w:r>
      <w:r w:rsidRPr="000973F2">
        <w:rPr>
          <w:rFonts w:ascii="Times New Roman" w:hAnsi="Times New Roman" w:cs="Times New Roman"/>
          <w:i/>
        </w:rPr>
        <w:t>i.e.</w:t>
      </w:r>
      <w:r w:rsidRPr="000973F2">
        <w:rPr>
          <w:rFonts w:ascii="Times New Roman" w:hAnsi="Times New Roman" w:cs="Times New Roman"/>
        </w:rPr>
        <w:t xml:space="preserve">, gas flow meters, gas concentration monitoring equipment, etc.) to comply with the rule because the equipment is </w:t>
      </w:r>
      <w:r w:rsidR="00C1575E" w:rsidRPr="000973F2">
        <w:rPr>
          <w:rFonts w:ascii="Times New Roman" w:hAnsi="Times New Roman" w:cs="Times New Roman"/>
        </w:rPr>
        <w:t xml:space="preserve">expected to </w:t>
      </w:r>
      <w:r w:rsidRPr="000973F2">
        <w:rPr>
          <w:rFonts w:ascii="Times New Roman" w:hAnsi="Times New Roman" w:cs="Times New Roman"/>
        </w:rPr>
        <w:t xml:space="preserve">already </w:t>
      </w:r>
      <w:r w:rsidR="00C1575E" w:rsidRPr="000973F2">
        <w:rPr>
          <w:rFonts w:ascii="Times New Roman" w:hAnsi="Times New Roman" w:cs="Times New Roman"/>
        </w:rPr>
        <w:t xml:space="preserve">be </w:t>
      </w:r>
      <w:r w:rsidRPr="000973F2">
        <w:rPr>
          <w:rFonts w:ascii="Times New Roman" w:hAnsi="Times New Roman" w:cs="Times New Roman"/>
        </w:rPr>
        <w:t>in place at their facility; therefore</w:t>
      </w:r>
      <w:r w:rsidR="009E14AF" w:rsidRPr="000973F2">
        <w:rPr>
          <w:rFonts w:ascii="Times New Roman" w:hAnsi="Times New Roman" w:cs="Times New Roman"/>
        </w:rPr>
        <w:t>,</w:t>
      </w:r>
      <w:r w:rsidRPr="000973F2">
        <w:rPr>
          <w:rFonts w:ascii="Times New Roman" w:hAnsi="Times New Roman" w:cs="Times New Roman"/>
        </w:rPr>
        <w:t xml:space="preserve"> there are no capital costs associated with new facilities. O&amp;M costs for recordkeeping are discussed in the Cost Appendix Introduction. </w:t>
      </w:r>
    </w:p>
    <w:p w14:paraId="70CDDADD" w14:textId="290F24C6" w:rsidR="002A3992" w:rsidRPr="000973F2" w:rsidRDefault="00C501E7" w:rsidP="00442B24">
      <w:pPr>
        <w:pStyle w:val="Tabletitle"/>
      </w:pPr>
      <w:r w:rsidRPr="000973F2">
        <w:t xml:space="preserve">Table </w:t>
      </w:r>
      <w:r w:rsidR="00442B24" w:rsidRPr="000973F2">
        <w:t>II-</w:t>
      </w:r>
      <w:r w:rsidRPr="000973F2">
        <w:t xml:space="preserve">2. Capital and O&amp;M Costs </w:t>
      </w:r>
      <w:r w:rsidR="00B960CC" w:rsidRPr="000973F2">
        <w:t>–</w:t>
      </w:r>
      <w:r w:rsidRPr="000973F2">
        <w:t xml:space="preserve"> </w:t>
      </w:r>
      <w:r w:rsidR="002A3992" w:rsidRPr="000973F2">
        <w:t>Subpart II</w:t>
      </w:r>
    </w:p>
    <w:tbl>
      <w:tblPr>
        <w:tblStyle w:val="PlainTable1"/>
        <w:tblW w:w="5016" w:type="pct"/>
        <w:jc w:val="left"/>
        <w:tblLayout w:type="fixed"/>
        <w:tblCellMar>
          <w:left w:w="115" w:type="dxa"/>
          <w:right w:w="115" w:type="dxa"/>
        </w:tblCellMar>
        <w:tblLook w:val="04A0" w:firstRow="1" w:lastRow="0" w:firstColumn="1" w:lastColumn="0" w:noHBand="0" w:noVBand="1"/>
      </w:tblPr>
      <w:tblGrid>
        <w:gridCol w:w="2027"/>
        <w:gridCol w:w="1265"/>
        <w:gridCol w:w="1265"/>
        <w:gridCol w:w="1264"/>
        <w:gridCol w:w="1217"/>
        <w:gridCol w:w="1317"/>
        <w:gridCol w:w="1266"/>
      </w:tblGrid>
      <w:tr w:rsidR="00D17312" w:rsidRPr="000973F2" w14:paraId="7740A164" w14:textId="77777777" w:rsidTr="005C66F4">
        <w:trPr>
          <w:cnfStyle w:val="100000000000" w:firstRow="1" w:lastRow="0" w:firstColumn="0" w:lastColumn="0" w:oddVBand="0" w:evenVBand="0" w:oddHBand="0" w:evenHBand="0" w:firstRowFirstColumn="0" w:firstRowLastColumn="0" w:lastRowFirstColumn="0" w:lastRowLastColumn="0"/>
          <w:cantSplit/>
          <w:trHeight w:val="503"/>
          <w:jc w:val="left"/>
        </w:trPr>
        <w:tc>
          <w:tcPr>
            <w:cnfStyle w:val="001000000000" w:firstRow="0" w:lastRow="0" w:firstColumn="1" w:lastColumn="0" w:oddVBand="0" w:evenVBand="0" w:oddHBand="0" w:evenHBand="0" w:firstRowFirstColumn="0" w:firstRowLastColumn="0" w:lastRowFirstColumn="0" w:lastRowLastColumn="0"/>
            <w:tcW w:w="1971" w:type="dxa"/>
            <w:vMerge w:val="restart"/>
            <w:noWrap/>
            <w:vAlign w:val="top"/>
            <w:hideMark/>
          </w:tcPr>
          <w:p w14:paraId="1123D1F6" w14:textId="295F16A2" w:rsidR="00D17312" w:rsidRPr="000973F2" w:rsidRDefault="00D17312" w:rsidP="00F8574F">
            <w:pPr>
              <w:spacing w:before="40" w:after="40"/>
              <w:rPr>
                <w:rFonts w:ascii="Times New Roman" w:eastAsia="Times New Roman" w:hAnsi="Times New Roman" w:cs="Times New Roman"/>
                <w:bCs w:val="0"/>
                <w:sz w:val="18"/>
                <w:szCs w:val="18"/>
              </w:rPr>
            </w:pPr>
            <w:r w:rsidRPr="000973F2">
              <w:rPr>
                <w:rFonts w:ascii="Times New Roman" w:eastAsia="Times New Roman" w:hAnsi="Times New Roman" w:cs="Times New Roman"/>
                <w:bCs w:val="0"/>
                <w:sz w:val="18"/>
                <w:szCs w:val="18"/>
              </w:rPr>
              <w:t>Activity</w:t>
            </w:r>
          </w:p>
        </w:tc>
        <w:tc>
          <w:tcPr>
            <w:tcW w:w="4875" w:type="dxa"/>
            <w:gridSpan w:val="4"/>
            <w:noWrap/>
            <w:vAlign w:val="top"/>
            <w:hideMark/>
          </w:tcPr>
          <w:p w14:paraId="263A88DC" w14:textId="77777777" w:rsidR="00D17312" w:rsidRPr="000973F2" w:rsidRDefault="00D17312" w:rsidP="00F8574F">
            <w:pPr>
              <w:spacing w:before="40" w:after="40"/>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Cs w:val="0"/>
                <w:sz w:val="18"/>
                <w:szCs w:val="18"/>
              </w:rPr>
            </w:pPr>
            <w:r w:rsidRPr="000973F2">
              <w:rPr>
                <w:rFonts w:ascii="Times New Roman" w:eastAsia="Times New Roman" w:hAnsi="Times New Roman" w:cs="Times New Roman"/>
                <w:bCs w:val="0"/>
                <w:sz w:val="18"/>
                <w:szCs w:val="18"/>
              </w:rPr>
              <w:t>Cost Categories</w:t>
            </w:r>
          </w:p>
        </w:tc>
        <w:tc>
          <w:tcPr>
            <w:tcW w:w="2513" w:type="dxa"/>
            <w:gridSpan w:val="2"/>
            <w:vAlign w:val="top"/>
            <w:hideMark/>
          </w:tcPr>
          <w:p w14:paraId="2EA12622" w14:textId="77777777" w:rsidR="00D17312" w:rsidRPr="000973F2" w:rsidRDefault="00D17312" w:rsidP="00F8574F">
            <w:pPr>
              <w:spacing w:before="40" w:after="40"/>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Cs w:val="0"/>
                <w:sz w:val="18"/>
                <w:szCs w:val="18"/>
              </w:rPr>
            </w:pPr>
            <w:r w:rsidRPr="000973F2">
              <w:rPr>
                <w:rFonts w:ascii="Times New Roman" w:eastAsia="Times New Roman" w:hAnsi="Times New Roman" w:cs="Times New Roman"/>
                <w:bCs w:val="0"/>
                <w:sz w:val="18"/>
                <w:szCs w:val="18"/>
              </w:rPr>
              <w:t>Total Capital and O&amp;M Cost per Year per Facility (2017$)</w:t>
            </w:r>
          </w:p>
        </w:tc>
      </w:tr>
      <w:tr w:rsidR="00D17312" w:rsidRPr="000973F2" w14:paraId="2DE5CC7D" w14:textId="77777777" w:rsidTr="005C66F4">
        <w:trPr>
          <w:cnfStyle w:val="000000100000" w:firstRow="0" w:lastRow="0" w:firstColumn="0" w:lastColumn="0" w:oddVBand="0" w:evenVBand="0" w:oddHBand="1" w:evenHBand="0" w:firstRowFirstColumn="0" w:firstRowLastColumn="0" w:lastRowFirstColumn="0" w:lastRowLastColumn="0"/>
          <w:cantSplit/>
          <w:trHeight w:val="717"/>
        </w:trPr>
        <w:tc>
          <w:tcPr>
            <w:cnfStyle w:val="001000000000" w:firstRow="0" w:lastRow="0" w:firstColumn="1" w:lastColumn="0" w:oddVBand="0" w:evenVBand="0" w:oddHBand="0" w:evenHBand="0" w:firstRowFirstColumn="0" w:firstRowLastColumn="0" w:lastRowFirstColumn="0" w:lastRowLastColumn="0"/>
            <w:tcW w:w="1971" w:type="dxa"/>
            <w:vMerge/>
            <w:noWrap/>
            <w:hideMark/>
          </w:tcPr>
          <w:p w14:paraId="057C7EA1" w14:textId="0F640C21" w:rsidR="00D17312" w:rsidRPr="000973F2" w:rsidRDefault="00D17312" w:rsidP="00F8574F">
            <w:pPr>
              <w:spacing w:before="40" w:after="40"/>
              <w:jc w:val="center"/>
              <w:rPr>
                <w:rFonts w:ascii="Times New Roman" w:eastAsia="Times New Roman" w:hAnsi="Times New Roman" w:cs="Times New Roman"/>
                <w:b/>
                <w:bCs w:val="0"/>
                <w:sz w:val="18"/>
                <w:szCs w:val="18"/>
              </w:rPr>
            </w:pPr>
          </w:p>
        </w:tc>
        <w:tc>
          <w:tcPr>
            <w:tcW w:w="1230" w:type="dxa"/>
            <w:tcMar>
              <w:left w:w="14" w:type="dxa"/>
              <w:right w:w="14" w:type="dxa"/>
            </w:tcMar>
            <w:hideMark/>
          </w:tcPr>
          <w:p w14:paraId="14129F5D" w14:textId="77777777" w:rsidR="00D17312" w:rsidRPr="000973F2" w:rsidRDefault="00D17312" w:rsidP="00F8574F">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18"/>
                <w:szCs w:val="18"/>
              </w:rPr>
            </w:pPr>
            <w:r w:rsidRPr="000973F2">
              <w:rPr>
                <w:rFonts w:ascii="Times New Roman" w:eastAsia="Times New Roman" w:hAnsi="Times New Roman" w:cs="Times New Roman"/>
                <w:b/>
                <w:bCs/>
                <w:sz w:val="18"/>
                <w:szCs w:val="18"/>
              </w:rPr>
              <w:t>Capital Cost (2017$)</w:t>
            </w:r>
          </w:p>
        </w:tc>
        <w:tc>
          <w:tcPr>
            <w:tcW w:w="1231" w:type="dxa"/>
            <w:tcMar>
              <w:left w:w="14" w:type="dxa"/>
              <w:right w:w="14" w:type="dxa"/>
            </w:tcMar>
            <w:hideMark/>
          </w:tcPr>
          <w:p w14:paraId="29786118" w14:textId="77777777" w:rsidR="00D17312" w:rsidRPr="000973F2" w:rsidRDefault="00D17312" w:rsidP="00F8574F">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18"/>
                <w:szCs w:val="18"/>
              </w:rPr>
            </w:pPr>
            <w:r w:rsidRPr="000973F2">
              <w:rPr>
                <w:rFonts w:ascii="Times New Roman" w:eastAsia="Times New Roman" w:hAnsi="Times New Roman" w:cs="Times New Roman"/>
                <w:b/>
                <w:bCs/>
                <w:sz w:val="18"/>
                <w:szCs w:val="18"/>
              </w:rPr>
              <w:t>Equipment Lifetime</w:t>
            </w:r>
          </w:p>
        </w:tc>
        <w:tc>
          <w:tcPr>
            <w:tcW w:w="1230" w:type="dxa"/>
            <w:tcMar>
              <w:left w:w="14" w:type="dxa"/>
              <w:right w:w="14" w:type="dxa"/>
            </w:tcMar>
            <w:hideMark/>
          </w:tcPr>
          <w:p w14:paraId="0A3192F0" w14:textId="77777777" w:rsidR="00D17312" w:rsidRPr="000973F2" w:rsidRDefault="00D17312" w:rsidP="00F8574F">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18"/>
                <w:szCs w:val="18"/>
              </w:rPr>
            </w:pPr>
            <w:r w:rsidRPr="000973F2">
              <w:rPr>
                <w:rFonts w:ascii="Times New Roman" w:eastAsia="Times New Roman" w:hAnsi="Times New Roman" w:cs="Times New Roman"/>
                <w:b/>
                <w:bCs/>
                <w:sz w:val="18"/>
                <w:szCs w:val="18"/>
              </w:rPr>
              <w:t>Annualized Capital Cost (2017$/year)</w:t>
            </w:r>
          </w:p>
        </w:tc>
        <w:tc>
          <w:tcPr>
            <w:tcW w:w="1181" w:type="dxa"/>
            <w:tcMar>
              <w:left w:w="14" w:type="dxa"/>
              <w:right w:w="14" w:type="dxa"/>
            </w:tcMar>
            <w:hideMark/>
          </w:tcPr>
          <w:p w14:paraId="2ADEC406" w14:textId="77777777" w:rsidR="00D17312" w:rsidRPr="000973F2" w:rsidRDefault="00D17312" w:rsidP="00F8574F">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18"/>
                <w:szCs w:val="18"/>
              </w:rPr>
            </w:pPr>
            <w:r w:rsidRPr="000973F2">
              <w:rPr>
                <w:rFonts w:ascii="Times New Roman" w:eastAsia="Times New Roman" w:hAnsi="Times New Roman" w:cs="Times New Roman"/>
                <w:b/>
                <w:bCs/>
                <w:sz w:val="18"/>
                <w:szCs w:val="18"/>
              </w:rPr>
              <w:t>O&amp;M Costs (2017$/year)</w:t>
            </w:r>
          </w:p>
        </w:tc>
        <w:tc>
          <w:tcPr>
            <w:tcW w:w="1281" w:type="dxa"/>
            <w:tcMar>
              <w:left w:w="14" w:type="dxa"/>
              <w:right w:w="14" w:type="dxa"/>
            </w:tcMar>
            <w:hideMark/>
          </w:tcPr>
          <w:p w14:paraId="3F12F4EB" w14:textId="755BA075" w:rsidR="00D17312" w:rsidRPr="000973F2" w:rsidRDefault="00D17312" w:rsidP="00F8574F">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18"/>
                <w:szCs w:val="18"/>
              </w:rPr>
            </w:pPr>
            <w:r w:rsidRPr="000973F2">
              <w:rPr>
                <w:rFonts w:ascii="Times New Roman" w:eastAsia="Times New Roman" w:hAnsi="Times New Roman" w:cs="Times New Roman"/>
                <w:b/>
                <w:bCs/>
                <w:sz w:val="18"/>
                <w:szCs w:val="18"/>
              </w:rPr>
              <w:t>Initial</w:t>
            </w:r>
            <w:r w:rsidR="00F8574F" w:rsidRPr="000973F2">
              <w:rPr>
                <w:rFonts w:ascii="Times New Roman" w:eastAsia="Times New Roman" w:hAnsi="Times New Roman" w:cs="Times New Roman"/>
                <w:b/>
                <w:bCs/>
                <w:sz w:val="18"/>
                <w:szCs w:val="18"/>
              </w:rPr>
              <w:br/>
            </w:r>
            <w:r w:rsidRPr="000973F2">
              <w:rPr>
                <w:rFonts w:ascii="Times New Roman" w:eastAsia="Times New Roman" w:hAnsi="Times New Roman" w:cs="Times New Roman"/>
                <w:b/>
                <w:bCs/>
                <w:sz w:val="18"/>
                <w:szCs w:val="18"/>
              </w:rPr>
              <w:t>Year</w:t>
            </w:r>
          </w:p>
        </w:tc>
        <w:tc>
          <w:tcPr>
            <w:tcW w:w="1231" w:type="dxa"/>
            <w:tcMar>
              <w:left w:w="14" w:type="dxa"/>
              <w:right w:w="14" w:type="dxa"/>
            </w:tcMar>
            <w:hideMark/>
          </w:tcPr>
          <w:p w14:paraId="554AB3EF" w14:textId="27DED529" w:rsidR="00D17312" w:rsidRPr="000973F2" w:rsidRDefault="00D17312" w:rsidP="00F8574F">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18"/>
                <w:szCs w:val="18"/>
              </w:rPr>
            </w:pPr>
            <w:r w:rsidRPr="000973F2">
              <w:rPr>
                <w:rFonts w:ascii="Times New Roman" w:eastAsia="Times New Roman" w:hAnsi="Times New Roman" w:cs="Times New Roman"/>
                <w:b/>
                <w:bCs/>
                <w:sz w:val="18"/>
                <w:szCs w:val="18"/>
              </w:rPr>
              <w:t>Subseq.</w:t>
            </w:r>
            <w:r w:rsidR="00F8574F" w:rsidRPr="000973F2">
              <w:rPr>
                <w:rFonts w:ascii="Times New Roman" w:eastAsia="Times New Roman" w:hAnsi="Times New Roman" w:cs="Times New Roman"/>
                <w:b/>
                <w:bCs/>
                <w:sz w:val="18"/>
                <w:szCs w:val="18"/>
              </w:rPr>
              <w:br/>
            </w:r>
            <w:r w:rsidRPr="000973F2">
              <w:rPr>
                <w:rFonts w:ascii="Times New Roman" w:eastAsia="Times New Roman" w:hAnsi="Times New Roman" w:cs="Times New Roman"/>
                <w:b/>
                <w:bCs/>
                <w:sz w:val="18"/>
                <w:szCs w:val="18"/>
              </w:rPr>
              <w:t>Years</w:t>
            </w:r>
          </w:p>
        </w:tc>
      </w:tr>
      <w:tr w:rsidR="00442B24" w:rsidRPr="000973F2" w14:paraId="056A4BF7" w14:textId="77777777" w:rsidTr="005C66F4">
        <w:trPr>
          <w:cantSplit/>
          <w:trHeight w:val="503"/>
        </w:trPr>
        <w:tc>
          <w:tcPr>
            <w:cnfStyle w:val="001000000000" w:firstRow="0" w:lastRow="0" w:firstColumn="1" w:lastColumn="0" w:oddVBand="0" w:evenVBand="0" w:oddHBand="0" w:evenHBand="0" w:firstRowFirstColumn="0" w:firstRowLastColumn="0" w:lastRowFirstColumn="0" w:lastRowLastColumn="0"/>
            <w:tcW w:w="1971" w:type="dxa"/>
            <w:hideMark/>
          </w:tcPr>
          <w:p w14:paraId="63E2AA21" w14:textId="77777777" w:rsidR="00442B24" w:rsidRPr="000973F2" w:rsidRDefault="00442B24" w:rsidP="00F8574F">
            <w:pPr>
              <w:spacing w:before="40" w:after="4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Equipment (selection, purchase, installation)</w:t>
            </w:r>
          </w:p>
        </w:tc>
        <w:tc>
          <w:tcPr>
            <w:tcW w:w="1230" w:type="dxa"/>
            <w:noWrap/>
            <w:hideMark/>
          </w:tcPr>
          <w:p w14:paraId="09A5A236" w14:textId="55F08733" w:rsidR="00442B24" w:rsidRPr="000973F2" w:rsidRDefault="00442B24" w:rsidP="00F8574F">
            <w:pPr>
              <w:spacing w:before="40" w:after="4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w:t>
            </w:r>
          </w:p>
        </w:tc>
        <w:tc>
          <w:tcPr>
            <w:tcW w:w="1231" w:type="dxa"/>
            <w:noWrap/>
          </w:tcPr>
          <w:p w14:paraId="324CAC83" w14:textId="3D8BB80E" w:rsidR="00442B24" w:rsidRPr="000973F2" w:rsidRDefault="00442B24" w:rsidP="00F8574F">
            <w:pPr>
              <w:spacing w:before="40" w:after="4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p>
        </w:tc>
        <w:tc>
          <w:tcPr>
            <w:tcW w:w="1230" w:type="dxa"/>
            <w:noWrap/>
            <w:hideMark/>
          </w:tcPr>
          <w:p w14:paraId="4282EE96" w14:textId="7DFC517F" w:rsidR="00442B24" w:rsidRPr="000973F2" w:rsidRDefault="00442B24" w:rsidP="00F8574F">
            <w:pPr>
              <w:spacing w:before="40" w:after="4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w:t>
            </w:r>
          </w:p>
        </w:tc>
        <w:tc>
          <w:tcPr>
            <w:tcW w:w="1181" w:type="dxa"/>
            <w:noWrap/>
            <w:hideMark/>
          </w:tcPr>
          <w:p w14:paraId="3407D7E5" w14:textId="3F1E0F1F" w:rsidR="00442B24" w:rsidRPr="000973F2" w:rsidRDefault="00442B24" w:rsidP="00F8574F">
            <w:pPr>
              <w:tabs>
                <w:tab w:val="decimal" w:pos="721"/>
              </w:tabs>
              <w:spacing w:before="40" w:after="4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w:t>
            </w:r>
          </w:p>
        </w:tc>
        <w:tc>
          <w:tcPr>
            <w:tcW w:w="1281" w:type="dxa"/>
            <w:noWrap/>
            <w:hideMark/>
          </w:tcPr>
          <w:p w14:paraId="2BF23925" w14:textId="2083F7E1" w:rsidR="00442B24" w:rsidRPr="000973F2" w:rsidRDefault="00442B24" w:rsidP="00F8574F">
            <w:pPr>
              <w:tabs>
                <w:tab w:val="decimal" w:pos="721"/>
              </w:tabs>
              <w:spacing w:before="40" w:after="4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w:t>
            </w:r>
          </w:p>
        </w:tc>
        <w:tc>
          <w:tcPr>
            <w:tcW w:w="1231" w:type="dxa"/>
            <w:noWrap/>
            <w:hideMark/>
          </w:tcPr>
          <w:p w14:paraId="068708D3" w14:textId="67BC551F" w:rsidR="00442B24" w:rsidRPr="000973F2" w:rsidRDefault="00442B24" w:rsidP="00F8574F">
            <w:pPr>
              <w:tabs>
                <w:tab w:val="decimal" w:pos="721"/>
              </w:tabs>
              <w:spacing w:before="40" w:after="4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w:t>
            </w:r>
          </w:p>
        </w:tc>
      </w:tr>
      <w:tr w:rsidR="00442B24" w:rsidRPr="000973F2" w14:paraId="55081F57" w14:textId="77777777" w:rsidTr="005C66F4">
        <w:trPr>
          <w:cnfStyle w:val="000000100000" w:firstRow="0" w:lastRow="0" w:firstColumn="0" w:lastColumn="0" w:oddVBand="0" w:evenVBand="0" w:oddHBand="1" w:evenHBand="0" w:firstRowFirstColumn="0" w:firstRowLastColumn="0" w:lastRowFirstColumn="0" w:lastRowLastColumn="0"/>
          <w:cantSplit/>
          <w:trHeight w:val="289"/>
        </w:trPr>
        <w:tc>
          <w:tcPr>
            <w:cnfStyle w:val="001000000000" w:firstRow="0" w:lastRow="0" w:firstColumn="1" w:lastColumn="0" w:oddVBand="0" w:evenVBand="0" w:oddHBand="0" w:evenHBand="0" w:firstRowFirstColumn="0" w:firstRowLastColumn="0" w:lastRowFirstColumn="0" w:lastRowLastColumn="0"/>
            <w:tcW w:w="1971" w:type="dxa"/>
            <w:hideMark/>
          </w:tcPr>
          <w:p w14:paraId="59F0F6E1" w14:textId="77777777" w:rsidR="00442B24" w:rsidRPr="000973F2" w:rsidRDefault="00442B24" w:rsidP="00F8574F">
            <w:pPr>
              <w:spacing w:before="40" w:after="4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Performance testing</w:t>
            </w:r>
          </w:p>
        </w:tc>
        <w:tc>
          <w:tcPr>
            <w:tcW w:w="1230" w:type="dxa"/>
            <w:noWrap/>
            <w:hideMark/>
          </w:tcPr>
          <w:p w14:paraId="0C3BFFC4" w14:textId="434CC6BE" w:rsidR="00442B24" w:rsidRPr="000973F2" w:rsidRDefault="00442B24" w:rsidP="00F8574F">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w:t>
            </w:r>
          </w:p>
        </w:tc>
        <w:tc>
          <w:tcPr>
            <w:tcW w:w="1231" w:type="dxa"/>
            <w:noWrap/>
          </w:tcPr>
          <w:p w14:paraId="74CFB680" w14:textId="3420BF03" w:rsidR="00442B24" w:rsidRPr="000973F2" w:rsidRDefault="00442B24" w:rsidP="00F8574F">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p>
        </w:tc>
        <w:tc>
          <w:tcPr>
            <w:tcW w:w="1230" w:type="dxa"/>
            <w:noWrap/>
            <w:hideMark/>
          </w:tcPr>
          <w:p w14:paraId="5F994475" w14:textId="5AFD4385" w:rsidR="00442B24" w:rsidRPr="000973F2" w:rsidRDefault="00442B24" w:rsidP="00F8574F">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w:t>
            </w:r>
          </w:p>
        </w:tc>
        <w:tc>
          <w:tcPr>
            <w:tcW w:w="1181" w:type="dxa"/>
            <w:noWrap/>
            <w:hideMark/>
          </w:tcPr>
          <w:p w14:paraId="15E4355E" w14:textId="7A0C7FF3" w:rsidR="00442B24" w:rsidRPr="000973F2" w:rsidRDefault="00442B24" w:rsidP="00F8574F">
            <w:pPr>
              <w:tabs>
                <w:tab w:val="decimal" w:pos="721"/>
              </w:tabs>
              <w:spacing w:before="40" w:after="4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w:t>
            </w:r>
          </w:p>
        </w:tc>
        <w:tc>
          <w:tcPr>
            <w:tcW w:w="1281" w:type="dxa"/>
            <w:noWrap/>
            <w:hideMark/>
          </w:tcPr>
          <w:p w14:paraId="6EE00A19" w14:textId="21DC4354" w:rsidR="00442B24" w:rsidRPr="000973F2" w:rsidRDefault="00442B24" w:rsidP="00F8574F">
            <w:pPr>
              <w:tabs>
                <w:tab w:val="decimal" w:pos="721"/>
              </w:tabs>
              <w:spacing w:before="40" w:after="4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w:t>
            </w:r>
          </w:p>
        </w:tc>
        <w:tc>
          <w:tcPr>
            <w:tcW w:w="1231" w:type="dxa"/>
            <w:noWrap/>
            <w:hideMark/>
          </w:tcPr>
          <w:p w14:paraId="23F04EB4" w14:textId="779F9528" w:rsidR="00442B24" w:rsidRPr="000973F2" w:rsidRDefault="00442B24" w:rsidP="00F8574F">
            <w:pPr>
              <w:tabs>
                <w:tab w:val="decimal" w:pos="721"/>
              </w:tabs>
              <w:spacing w:before="40" w:after="4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w:t>
            </w:r>
          </w:p>
        </w:tc>
      </w:tr>
      <w:tr w:rsidR="005724E3" w:rsidRPr="000973F2" w14:paraId="38DF4D6B" w14:textId="77777777" w:rsidTr="005C66F4">
        <w:trPr>
          <w:cantSplit/>
          <w:trHeight w:val="289"/>
        </w:trPr>
        <w:tc>
          <w:tcPr>
            <w:cnfStyle w:val="001000000000" w:firstRow="0" w:lastRow="0" w:firstColumn="1" w:lastColumn="0" w:oddVBand="0" w:evenVBand="0" w:oddHBand="0" w:evenHBand="0" w:firstRowFirstColumn="0" w:firstRowLastColumn="0" w:lastRowFirstColumn="0" w:lastRowLastColumn="0"/>
            <w:tcW w:w="1971" w:type="dxa"/>
            <w:hideMark/>
          </w:tcPr>
          <w:p w14:paraId="33A71F2D" w14:textId="77777777" w:rsidR="005724E3" w:rsidRPr="000973F2" w:rsidRDefault="005724E3" w:rsidP="00F8574F">
            <w:pPr>
              <w:spacing w:before="40" w:after="4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Recordkeeping</w:t>
            </w:r>
          </w:p>
        </w:tc>
        <w:tc>
          <w:tcPr>
            <w:tcW w:w="1230" w:type="dxa"/>
            <w:noWrap/>
            <w:hideMark/>
          </w:tcPr>
          <w:p w14:paraId="2D63E1A2" w14:textId="77777777" w:rsidR="005724E3" w:rsidRPr="000973F2" w:rsidRDefault="005724E3" w:rsidP="00F8574F">
            <w:pPr>
              <w:spacing w:before="40" w:after="4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$0</w:t>
            </w:r>
          </w:p>
        </w:tc>
        <w:tc>
          <w:tcPr>
            <w:tcW w:w="1231" w:type="dxa"/>
            <w:noWrap/>
          </w:tcPr>
          <w:p w14:paraId="6BD3C6FC" w14:textId="77777777" w:rsidR="005724E3" w:rsidRPr="000973F2" w:rsidRDefault="005724E3" w:rsidP="00F8574F">
            <w:pPr>
              <w:spacing w:before="40" w:after="4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p>
        </w:tc>
        <w:tc>
          <w:tcPr>
            <w:tcW w:w="1230" w:type="dxa"/>
            <w:noWrap/>
            <w:hideMark/>
          </w:tcPr>
          <w:p w14:paraId="3685A829" w14:textId="77777777" w:rsidR="005724E3" w:rsidRPr="000973F2" w:rsidRDefault="005724E3" w:rsidP="00F8574F">
            <w:pPr>
              <w:spacing w:before="40" w:after="4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$0</w:t>
            </w:r>
          </w:p>
        </w:tc>
        <w:tc>
          <w:tcPr>
            <w:tcW w:w="1181" w:type="dxa"/>
            <w:noWrap/>
            <w:hideMark/>
          </w:tcPr>
          <w:p w14:paraId="4090F50D" w14:textId="77777777" w:rsidR="005724E3" w:rsidRPr="000973F2" w:rsidRDefault="005724E3" w:rsidP="00F8574F">
            <w:pPr>
              <w:tabs>
                <w:tab w:val="decimal" w:pos="721"/>
              </w:tabs>
              <w:spacing w:before="40" w:after="4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$50</w:t>
            </w:r>
          </w:p>
        </w:tc>
        <w:tc>
          <w:tcPr>
            <w:tcW w:w="1281" w:type="dxa"/>
            <w:noWrap/>
            <w:hideMark/>
          </w:tcPr>
          <w:p w14:paraId="1415CA7E" w14:textId="77777777" w:rsidR="005724E3" w:rsidRPr="000973F2" w:rsidRDefault="005724E3" w:rsidP="00F8574F">
            <w:pPr>
              <w:tabs>
                <w:tab w:val="decimal" w:pos="721"/>
              </w:tabs>
              <w:spacing w:before="40" w:after="4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$50</w:t>
            </w:r>
          </w:p>
        </w:tc>
        <w:tc>
          <w:tcPr>
            <w:tcW w:w="1231" w:type="dxa"/>
            <w:noWrap/>
            <w:hideMark/>
          </w:tcPr>
          <w:p w14:paraId="2306044A" w14:textId="77777777" w:rsidR="005724E3" w:rsidRPr="000973F2" w:rsidRDefault="005724E3" w:rsidP="00F8574F">
            <w:pPr>
              <w:tabs>
                <w:tab w:val="decimal" w:pos="721"/>
              </w:tabs>
              <w:spacing w:before="40" w:after="4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$50</w:t>
            </w:r>
          </w:p>
        </w:tc>
      </w:tr>
      <w:tr w:rsidR="00442B24" w:rsidRPr="000973F2" w14:paraId="01FB09BA" w14:textId="77777777" w:rsidTr="005C66F4">
        <w:trPr>
          <w:cnfStyle w:val="000000100000" w:firstRow="0" w:lastRow="0" w:firstColumn="0" w:lastColumn="0" w:oddVBand="0" w:evenVBand="0" w:oddHBand="1" w:evenHBand="0" w:firstRowFirstColumn="0" w:firstRowLastColumn="0" w:lastRowFirstColumn="0" w:lastRowLastColumn="0"/>
          <w:cantSplit/>
          <w:trHeight w:val="274"/>
        </w:trPr>
        <w:tc>
          <w:tcPr>
            <w:cnfStyle w:val="001000000000" w:firstRow="0" w:lastRow="0" w:firstColumn="1" w:lastColumn="0" w:oddVBand="0" w:evenVBand="0" w:oddHBand="0" w:evenHBand="0" w:firstRowFirstColumn="0" w:firstRowLastColumn="0" w:lastRowFirstColumn="0" w:lastRowLastColumn="0"/>
            <w:tcW w:w="1971" w:type="dxa"/>
            <w:hideMark/>
          </w:tcPr>
          <w:p w14:paraId="69A9E719" w14:textId="77777777" w:rsidR="00442B24" w:rsidRPr="000973F2" w:rsidRDefault="00442B24" w:rsidP="00F8574F">
            <w:pPr>
              <w:spacing w:before="40" w:after="4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Travel</w:t>
            </w:r>
          </w:p>
        </w:tc>
        <w:tc>
          <w:tcPr>
            <w:tcW w:w="1230" w:type="dxa"/>
            <w:noWrap/>
            <w:hideMark/>
          </w:tcPr>
          <w:p w14:paraId="36139322" w14:textId="31722282" w:rsidR="00442B24" w:rsidRPr="000973F2" w:rsidRDefault="00442B24" w:rsidP="00F8574F">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w:t>
            </w:r>
          </w:p>
        </w:tc>
        <w:tc>
          <w:tcPr>
            <w:tcW w:w="1231" w:type="dxa"/>
            <w:noWrap/>
          </w:tcPr>
          <w:p w14:paraId="28004C28" w14:textId="674CAC55" w:rsidR="00442B24" w:rsidRPr="000973F2" w:rsidRDefault="00442B24" w:rsidP="00F8574F">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p>
        </w:tc>
        <w:tc>
          <w:tcPr>
            <w:tcW w:w="1230" w:type="dxa"/>
            <w:noWrap/>
            <w:hideMark/>
          </w:tcPr>
          <w:p w14:paraId="2E7654FA" w14:textId="01C1B25C" w:rsidR="00442B24" w:rsidRPr="000973F2" w:rsidRDefault="00442B24" w:rsidP="00F8574F">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w:t>
            </w:r>
          </w:p>
        </w:tc>
        <w:tc>
          <w:tcPr>
            <w:tcW w:w="1181" w:type="dxa"/>
            <w:noWrap/>
            <w:hideMark/>
          </w:tcPr>
          <w:p w14:paraId="0CA6C860" w14:textId="117E79B0" w:rsidR="00442B24" w:rsidRPr="000973F2" w:rsidRDefault="00442B24" w:rsidP="00F8574F">
            <w:pPr>
              <w:tabs>
                <w:tab w:val="decimal" w:pos="721"/>
              </w:tabs>
              <w:spacing w:before="40" w:after="4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w:t>
            </w:r>
          </w:p>
        </w:tc>
        <w:tc>
          <w:tcPr>
            <w:tcW w:w="1281" w:type="dxa"/>
            <w:noWrap/>
            <w:hideMark/>
          </w:tcPr>
          <w:p w14:paraId="7561BE46" w14:textId="2B60328A" w:rsidR="00442B24" w:rsidRPr="000973F2" w:rsidRDefault="00442B24" w:rsidP="00F8574F">
            <w:pPr>
              <w:tabs>
                <w:tab w:val="decimal" w:pos="721"/>
              </w:tabs>
              <w:spacing w:before="40" w:after="4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w:t>
            </w:r>
          </w:p>
        </w:tc>
        <w:tc>
          <w:tcPr>
            <w:tcW w:w="1231" w:type="dxa"/>
            <w:noWrap/>
            <w:hideMark/>
          </w:tcPr>
          <w:p w14:paraId="41CD747F" w14:textId="4E6616F6" w:rsidR="00442B24" w:rsidRPr="000973F2" w:rsidRDefault="00442B24" w:rsidP="00F8574F">
            <w:pPr>
              <w:tabs>
                <w:tab w:val="decimal" w:pos="721"/>
              </w:tabs>
              <w:spacing w:before="40" w:after="4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w:t>
            </w:r>
          </w:p>
        </w:tc>
      </w:tr>
      <w:tr w:rsidR="005724E3" w:rsidRPr="000973F2" w14:paraId="68AB548F" w14:textId="77777777" w:rsidTr="005C66F4">
        <w:trPr>
          <w:cantSplit/>
          <w:trHeight w:val="503"/>
        </w:trPr>
        <w:tc>
          <w:tcPr>
            <w:cnfStyle w:val="001000000000" w:firstRow="0" w:lastRow="0" w:firstColumn="1" w:lastColumn="0" w:oddVBand="0" w:evenVBand="0" w:oddHBand="0" w:evenHBand="0" w:firstRowFirstColumn="0" w:firstRowLastColumn="0" w:lastRowFirstColumn="0" w:lastRowLastColumn="0"/>
            <w:tcW w:w="1971" w:type="dxa"/>
            <w:hideMark/>
          </w:tcPr>
          <w:p w14:paraId="16B0D307" w14:textId="3E1C64D9" w:rsidR="005724E3" w:rsidRPr="000973F2" w:rsidRDefault="005724E3" w:rsidP="00F8574F">
            <w:pPr>
              <w:spacing w:before="40" w:after="4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 xml:space="preserve">Sampling </w:t>
            </w:r>
            <w:r w:rsidR="00321129" w:rsidRPr="000973F2">
              <w:rPr>
                <w:rFonts w:ascii="Times New Roman" w:eastAsia="Times New Roman" w:hAnsi="Times New Roman" w:cs="Times New Roman"/>
                <w:sz w:val="18"/>
                <w:szCs w:val="18"/>
              </w:rPr>
              <w:t xml:space="preserve">and Analysis </w:t>
            </w:r>
            <w:r w:rsidRPr="000973F2">
              <w:rPr>
                <w:rFonts w:ascii="Times New Roman" w:eastAsia="Times New Roman" w:hAnsi="Times New Roman" w:cs="Times New Roman"/>
                <w:sz w:val="18"/>
                <w:szCs w:val="18"/>
              </w:rPr>
              <w:t>Costs</w:t>
            </w:r>
          </w:p>
        </w:tc>
        <w:tc>
          <w:tcPr>
            <w:tcW w:w="1230" w:type="dxa"/>
            <w:noWrap/>
            <w:hideMark/>
          </w:tcPr>
          <w:p w14:paraId="189C7EB3" w14:textId="77777777" w:rsidR="005724E3" w:rsidRPr="000973F2" w:rsidRDefault="005724E3" w:rsidP="00F8574F">
            <w:pPr>
              <w:spacing w:before="40" w:after="4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$0</w:t>
            </w:r>
          </w:p>
        </w:tc>
        <w:tc>
          <w:tcPr>
            <w:tcW w:w="1231" w:type="dxa"/>
            <w:noWrap/>
          </w:tcPr>
          <w:p w14:paraId="46B56AA0" w14:textId="2847762D" w:rsidR="005724E3" w:rsidRPr="000973F2" w:rsidRDefault="005724E3" w:rsidP="00F8574F">
            <w:pPr>
              <w:spacing w:before="40" w:after="4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p>
        </w:tc>
        <w:tc>
          <w:tcPr>
            <w:tcW w:w="1230" w:type="dxa"/>
            <w:noWrap/>
            <w:hideMark/>
          </w:tcPr>
          <w:p w14:paraId="38C84E8C" w14:textId="77777777" w:rsidR="005724E3" w:rsidRPr="000973F2" w:rsidRDefault="005724E3" w:rsidP="00F8574F">
            <w:pPr>
              <w:spacing w:before="40" w:after="4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$0</w:t>
            </w:r>
          </w:p>
        </w:tc>
        <w:tc>
          <w:tcPr>
            <w:tcW w:w="1181" w:type="dxa"/>
            <w:noWrap/>
            <w:hideMark/>
          </w:tcPr>
          <w:p w14:paraId="777A2334" w14:textId="77777777" w:rsidR="005724E3" w:rsidRPr="000973F2" w:rsidRDefault="005724E3" w:rsidP="00F8574F">
            <w:pPr>
              <w:tabs>
                <w:tab w:val="decimal" w:pos="721"/>
              </w:tabs>
              <w:spacing w:before="40" w:after="4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$1,183</w:t>
            </w:r>
          </w:p>
        </w:tc>
        <w:tc>
          <w:tcPr>
            <w:tcW w:w="1281" w:type="dxa"/>
            <w:noWrap/>
            <w:hideMark/>
          </w:tcPr>
          <w:p w14:paraId="23A573A2" w14:textId="77777777" w:rsidR="005724E3" w:rsidRPr="000973F2" w:rsidRDefault="005724E3" w:rsidP="00F8574F">
            <w:pPr>
              <w:tabs>
                <w:tab w:val="decimal" w:pos="721"/>
              </w:tabs>
              <w:spacing w:before="40" w:after="4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$1,183</w:t>
            </w:r>
          </w:p>
        </w:tc>
        <w:tc>
          <w:tcPr>
            <w:tcW w:w="1231" w:type="dxa"/>
            <w:noWrap/>
            <w:hideMark/>
          </w:tcPr>
          <w:p w14:paraId="1D51DD81" w14:textId="77777777" w:rsidR="005724E3" w:rsidRPr="000973F2" w:rsidRDefault="005724E3" w:rsidP="00F8574F">
            <w:pPr>
              <w:tabs>
                <w:tab w:val="decimal" w:pos="721"/>
              </w:tabs>
              <w:spacing w:before="40" w:after="4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$1,183</w:t>
            </w:r>
          </w:p>
        </w:tc>
      </w:tr>
      <w:tr w:rsidR="005724E3" w:rsidRPr="000973F2" w14:paraId="3643ED72" w14:textId="77777777" w:rsidTr="005C66F4">
        <w:trPr>
          <w:cnfStyle w:val="000000100000" w:firstRow="0" w:lastRow="0" w:firstColumn="0" w:lastColumn="0" w:oddVBand="0" w:evenVBand="0" w:oddHBand="1" w:evenHBand="0" w:firstRowFirstColumn="0" w:firstRowLastColumn="0" w:lastRowFirstColumn="0" w:lastRowLastColumn="0"/>
          <w:cantSplit/>
          <w:trHeight w:val="289"/>
        </w:trPr>
        <w:tc>
          <w:tcPr>
            <w:cnfStyle w:val="001000000000" w:firstRow="0" w:lastRow="0" w:firstColumn="1" w:lastColumn="0" w:oddVBand="0" w:evenVBand="0" w:oddHBand="0" w:evenHBand="0" w:firstRowFirstColumn="0" w:firstRowLastColumn="0" w:lastRowFirstColumn="0" w:lastRowLastColumn="0"/>
            <w:tcW w:w="1971" w:type="dxa"/>
            <w:hideMark/>
          </w:tcPr>
          <w:p w14:paraId="0FD7E2B8" w14:textId="77777777" w:rsidR="005724E3" w:rsidRPr="000973F2" w:rsidRDefault="005724E3" w:rsidP="00F8574F">
            <w:pPr>
              <w:spacing w:before="40" w:after="40"/>
              <w:rPr>
                <w:rFonts w:ascii="Times New Roman" w:eastAsia="Times New Roman" w:hAnsi="Times New Roman" w:cs="Times New Roman"/>
                <w:b/>
                <w:bCs w:val="0"/>
                <w:sz w:val="18"/>
                <w:szCs w:val="18"/>
              </w:rPr>
            </w:pPr>
            <w:r w:rsidRPr="000973F2">
              <w:rPr>
                <w:rFonts w:ascii="Times New Roman" w:eastAsia="Times New Roman" w:hAnsi="Times New Roman" w:cs="Times New Roman"/>
                <w:b/>
                <w:sz w:val="18"/>
                <w:szCs w:val="18"/>
              </w:rPr>
              <w:t xml:space="preserve">Total </w:t>
            </w:r>
          </w:p>
        </w:tc>
        <w:tc>
          <w:tcPr>
            <w:tcW w:w="1230" w:type="dxa"/>
            <w:noWrap/>
            <w:hideMark/>
          </w:tcPr>
          <w:p w14:paraId="68216E7B" w14:textId="77777777" w:rsidR="005724E3" w:rsidRPr="000973F2" w:rsidRDefault="005724E3" w:rsidP="00F8574F">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$0</w:t>
            </w:r>
          </w:p>
        </w:tc>
        <w:tc>
          <w:tcPr>
            <w:tcW w:w="1231" w:type="dxa"/>
            <w:noWrap/>
            <w:hideMark/>
          </w:tcPr>
          <w:p w14:paraId="65984304" w14:textId="277B5705" w:rsidR="005724E3" w:rsidRPr="000973F2" w:rsidRDefault="005724E3" w:rsidP="00F8574F">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p>
        </w:tc>
        <w:tc>
          <w:tcPr>
            <w:tcW w:w="1230" w:type="dxa"/>
            <w:noWrap/>
            <w:hideMark/>
          </w:tcPr>
          <w:p w14:paraId="1D4FE498" w14:textId="77777777" w:rsidR="005724E3" w:rsidRPr="000973F2" w:rsidRDefault="005724E3" w:rsidP="00F8574F">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$0</w:t>
            </w:r>
          </w:p>
        </w:tc>
        <w:tc>
          <w:tcPr>
            <w:tcW w:w="1181" w:type="dxa"/>
            <w:noWrap/>
            <w:hideMark/>
          </w:tcPr>
          <w:p w14:paraId="1D016387" w14:textId="77777777" w:rsidR="005724E3" w:rsidRPr="000973F2" w:rsidRDefault="005724E3" w:rsidP="00F8574F">
            <w:pPr>
              <w:tabs>
                <w:tab w:val="decimal" w:pos="721"/>
              </w:tabs>
              <w:spacing w:before="40" w:after="4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 xml:space="preserve">$1,233 </w:t>
            </w:r>
          </w:p>
        </w:tc>
        <w:tc>
          <w:tcPr>
            <w:tcW w:w="1281" w:type="dxa"/>
            <w:noWrap/>
            <w:hideMark/>
          </w:tcPr>
          <w:p w14:paraId="5953F062" w14:textId="77777777" w:rsidR="005724E3" w:rsidRPr="000973F2" w:rsidRDefault="005724E3" w:rsidP="00F8574F">
            <w:pPr>
              <w:tabs>
                <w:tab w:val="decimal" w:pos="721"/>
              </w:tabs>
              <w:spacing w:before="40" w:after="4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$1,233</w:t>
            </w:r>
          </w:p>
        </w:tc>
        <w:tc>
          <w:tcPr>
            <w:tcW w:w="1231" w:type="dxa"/>
            <w:noWrap/>
            <w:hideMark/>
          </w:tcPr>
          <w:p w14:paraId="0439BE3D" w14:textId="77777777" w:rsidR="005724E3" w:rsidRPr="000973F2" w:rsidRDefault="005724E3" w:rsidP="00F8574F">
            <w:pPr>
              <w:tabs>
                <w:tab w:val="decimal" w:pos="721"/>
              </w:tabs>
              <w:spacing w:before="40" w:after="4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$1,233</w:t>
            </w:r>
          </w:p>
        </w:tc>
      </w:tr>
    </w:tbl>
    <w:p w14:paraId="2849DCBC" w14:textId="77777777" w:rsidR="00A6693E" w:rsidRPr="000973F2" w:rsidRDefault="00A6693E" w:rsidP="00F8574F">
      <w:pPr>
        <w:pStyle w:val="AfterTable"/>
      </w:pPr>
    </w:p>
    <w:p w14:paraId="66F90C99" w14:textId="43261D96" w:rsidR="005724E3" w:rsidRPr="000973F2" w:rsidRDefault="005724E3" w:rsidP="00F8574F">
      <w:pPr>
        <w:pStyle w:val="Heading2"/>
      </w:pPr>
      <w:r w:rsidRPr="000973F2">
        <w:t>Total Costs for Subpart II</w:t>
      </w:r>
    </w:p>
    <w:p w14:paraId="7B652FC8" w14:textId="51A2A232" w:rsidR="005724E3" w:rsidRPr="000973F2" w:rsidRDefault="005724E3" w:rsidP="00F8574F">
      <w:pPr>
        <w:pStyle w:val="BodyText"/>
        <w:rPr>
          <w:i/>
        </w:rPr>
      </w:pPr>
      <w:r w:rsidRPr="000973F2">
        <w:t xml:space="preserve">The total industry costs related to Subpart II average approximately $489,000 per year for existing sources and approximately $3,800 per year for new sources, for a total of </w:t>
      </w:r>
      <w:r w:rsidR="00E32CAC" w:rsidRPr="000973F2">
        <w:t xml:space="preserve">approximately </w:t>
      </w:r>
      <w:r w:rsidR="0062677D" w:rsidRPr="000973F2">
        <w:t>$493</w:t>
      </w:r>
      <w:r w:rsidR="00E32CAC" w:rsidRPr="000973F2">
        <w:t xml:space="preserve">,000 per year and </w:t>
      </w:r>
      <w:r w:rsidRPr="000973F2">
        <w:t>$1,</w:t>
      </w:r>
      <w:r w:rsidR="00512E2E" w:rsidRPr="000973F2">
        <w:t>478</w:t>
      </w:r>
      <w:r w:rsidRPr="000973F2">
        <w:t xml:space="preserve">,000 over the three-year period </w:t>
      </w:r>
      <w:r w:rsidR="00C1575E" w:rsidRPr="000973F2">
        <w:t xml:space="preserve">covered by </w:t>
      </w:r>
      <w:r w:rsidRPr="000973F2">
        <w:t>th</w:t>
      </w:r>
      <w:r w:rsidR="00C1575E" w:rsidRPr="000973F2">
        <w:t>is</w:t>
      </w:r>
      <w:r w:rsidRPr="000973F2">
        <w:t xml:space="preserve"> ICR. Total costs are based on 139 facilities in 2019, 140 in 2020, and 141 in 2021, which accounts for the 1 new facility per year.</w:t>
      </w:r>
    </w:p>
    <w:p w14:paraId="73E70291" w14:textId="77777777" w:rsidR="005724E3" w:rsidRPr="000973F2" w:rsidRDefault="005724E3" w:rsidP="00C00E4F">
      <w:pPr>
        <w:spacing w:line="240" w:lineRule="auto"/>
        <w:rPr>
          <w:rFonts w:ascii="Times New Roman" w:hAnsi="Times New Roman" w:cs="Times New Roman"/>
        </w:rPr>
      </w:pPr>
    </w:p>
    <w:p w14:paraId="3263CA4F" w14:textId="77777777" w:rsidR="007C3275" w:rsidRPr="000973F2" w:rsidRDefault="007C3275" w:rsidP="00C00E4F">
      <w:pPr>
        <w:spacing w:line="240" w:lineRule="auto"/>
        <w:rPr>
          <w:rFonts w:ascii="Times New Roman" w:hAnsi="Times New Roman" w:cs="Times New Roman"/>
        </w:rPr>
      </w:pPr>
      <w:r w:rsidRPr="000973F2">
        <w:rPr>
          <w:rFonts w:ascii="Times New Roman" w:hAnsi="Times New Roman" w:cs="Times New Roman"/>
        </w:rPr>
        <w:br w:type="page"/>
      </w:r>
    </w:p>
    <w:p w14:paraId="10EE5F74" w14:textId="5CF0616F" w:rsidR="00A6693E" w:rsidRPr="000973F2" w:rsidRDefault="00A6693E" w:rsidP="00F8574F">
      <w:pPr>
        <w:pStyle w:val="Heading1"/>
      </w:pPr>
      <w:bookmarkStart w:id="63" w:name="_Toc10715627"/>
      <w:r w:rsidRPr="000973F2">
        <w:t>Cost Appendix for Subpart LL – Suppliers of Coal-based Liquid Fuels</w:t>
      </w:r>
      <w:bookmarkEnd w:id="63"/>
    </w:p>
    <w:p w14:paraId="23D0AF2C" w14:textId="77777777" w:rsidR="00A6693E" w:rsidRPr="000973F2" w:rsidRDefault="00A6693E" w:rsidP="00F8574F">
      <w:pPr>
        <w:pStyle w:val="Heading2"/>
      </w:pPr>
      <w:r w:rsidRPr="000973F2">
        <w:t>Description of Subpart LL</w:t>
      </w:r>
    </w:p>
    <w:p w14:paraId="17DCF025" w14:textId="77777777" w:rsidR="00A6693E" w:rsidRPr="000973F2" w:rsidRDefault="00A6693E" w:rsidP="00F8574F">
      <w:pPr>
        <w:pStyle w:val="BodyText"/>
      </w:pPr>
      <w:r w:rsidRPr="000973F2">
        <w:t>For purposes of the GHGRP, suppliers of coal-based liquid fuels include producers, importers and exporters. A producer is the owner or operator of a facility engaged in converting coal into liquid products using a process involving conversion of coal into gas and then into liquids (e.g., Fischer-Tropsch) or conversion of coal directly into liquids (e.g., direct liquefaction). Importers are facilities that bring coal-based petroleum products or natural gas liquids (NGLs) listed in the subpart into the United States from a foreign country in a quantity equivalent to 25,000 metric tons CO</w:t>
      </w:r>
      <w:r w:rsidRPr="000973F2">
        <w:rPr>
          <w:vertAlign w:val="subscript"/>
        </w:rPr>
        <w:t>2</w:t>
      </w:r>
      <w:r w:rsidRPr="000973F2">
        <w:t>e or more. Exporters are facilities that transfer coal-based petroleum products or NGLs listed in the subpart from the United States to a foreign country in a quantity equivalent to 25,000 metric tons CO</w:t>
      </w:r>
      <w:r w:rsidRPr="000973F2">
        <w:rPr>
          <w:vertAlign w:val="subscript"/>
        </w:rPr>
        <w:t>2</w:t>
      </w:r>
      <w:r w:rsidRPr="000973F2">
        <w:t>e or more.</w:t>
      </w:r>
    </w:p>
    <w:p w14:paraId="11F58805" w14:textId="31BB9B67" w:rsidR="00A6693E" w:rsidRPr="000973F2" w:rsidRDefault="00A6693E" w:rsidP="00F8574F">
      <w:pPr>
        <w:pStyle w:val="BodyText"/>
      </w:pPr>
      <w:r w:rsidRPr="000973F2">
        <w:t xml:space="preserve">In RY2017, two facilities reported to Subpart LL. No new sources are expected </w:t>
      </w:r>
      <w:r w:rsidR="00C1575E" w:rsidRPr="000973F2">
        <w:t>during</w:t>
      </w:r>
      <w:r w:rsidRPr="000973F2">
        <w:t xml:space="preserve"> the three</w:t>
      </w:r>
      <w:r w:rsidR="00C1575E" w:rsidRPr="000973F2">
        <w:t>-</w:t>
      </w:r>
      <w:r w:rsidRPr="000973F2">
        <w:t xml:space="preserve"> year</w:t>
      </w:r>
      <w:r w:rsidR="00C1575E" w:rsidRPr="000973F2">
        <w:t xml:space="preserve"> period covered by this ICR</w:t>
      </w:r>
      <w:r w:rsidRPr="000973F2">
        <w:t xml:space="preserve">. Initial costs </w:t>
      </w:r>
      <w:r w:rsidR="00C1575E" w:rsidRPr="000973F2">
        <w:t>apply to</w:t>
      </w:r>
      <w:r w:rsidRPr="000973F2">
        <w:t xml:space="preserve"> new facilities; therefore, those costs are zero in the tables below.</w:t>
      </w:r>
    </w:p>
    <w:p w14:paraId="136FF3B9" w14:textId="07A5E671" w:rsidR="00A6693E" w:rsidRPr="000973F2" w:rsidRDefault="00A6693E" w:rsidP="00F8574F">
      <w:pPr>
        <w:pStyle w:val="BodyText"/>
      </w:pPr>
      <w:r w:rsidRPr="000973F2">
        <w:t>Suppliers must calculate the annual CO</w:t>
      </w:r>
      <w:r w:rsidRPr="000973F2">
        <w:rPr>
          <w:vertAlign w:val="subscript"/>
        </w:rPr>
        <w:t>2</w:t>
      </w:r>
      <w:r w:rsidRPr="000973F2">
        <w:t xml:space="preserve"> emissions (metric tons) that would result from the complete combustion or oxidation of all coal-to-liquid products leaving the facility, minus emissions that would result from the complete combustion or oxidation of 1) coal-to-liquid products entering the facility to be further processed or otherwise used on site, and 2) any biomass co-processed with fossil fuel-based feedstock. To calculate these emissions, facilities multiply the measured annual quantity of each coal-to-liquid product (metric tons or barrels) by a product-specific CO</w:t>
      </w:r>
      <w:r w:rsidRPr="000973F2">
        <w:rPr>
          <w:vertAlign w:val="subscript"/>
        </w:rPr>
        <w:t>2</w:t>
      </w:r>
      <w:r w:rsidRPr="000973F2">
        <w:t xml:space="preserve"> emission factor (metric tons CO</w:t>
      </w:r>
      <w:r w:rsidRPr="000973F2">
        <w:rPr>
          <w:vertAlign w:val="subscript"/>
        </w:rPr>
        <w:t>2</w:t>
      </w:r>
      <w:r w:rsidRPr="000973F2">
        <w:t xml:space="preserve"> emitted per barrel or per metric ton of product). The product-specific CO</w:t>
      </w:r>
      <w:r w:rsidRPr="000973F2">
        <w:rPr>
          <w:vertAlign w:val="subscript"/>
        </w:rPr>
        <w:t>2</w:t>
      </w:r>
      <w:r w:rsidRPr="000973F2">
        <w:t xml:space="preserve"> emission factor is calculated using one of two methods. The first method allows facilities to use a published default factor</w:t>
      </w:r>
      <w:r w:rsidR="006A69E8" w:rsidRPr="000973F2">
        <w:t xml:space="preserve"> from table MM-1</w:t>
      </w:r>
      <w:r w:rsidRPr="000973F2">
        <w:t>. The second method allows facilities to develop an emission factor using direct measurement of density and carbon share. Because the rule does not require facilities to use direct measurement (a more expensive alternative</w:t>
      </w:r>
      <w:r w:rsidR="003650D0" w:rsidRPr="000973F2">
        <w:t xml:space="preserve"> which no facilities currently employ</w:t>
      </w:r>
      <w:r w:rsidRPr="000973F2">
        <w:t xml:space="preserve">), we have estimated costs based on the use of published default factors. </w:t>
      </w:r>
    </w:p>
    <w:p w14:paraId="48E5B3C2" w14:textId="77777777" w:rsidR="00A6693E" w:rsidRPr="000973F2" w:rsidRDefault="00A6693E" w:rsidP="00F8574F">
      <w:pPr>
        <w:pStyle w:val="Heading2"/>
      </w:pPr>
      <w:r w:rsidRPr="000973F2">
        <w:t>Labor Costs for Subpart LL</w:t>
      </w:r>
    </w:p>
    <w:p w14:paraId="2F2DF21E" w14:textId="1BBC06ED" w:rsidR="00A6693E" w:rsidRPr="000973F2" w:rsidRDefault="00A6693E" w:rsidP="00F8574F">
      <w:pPr>
        <w:pStyle w:val="BodyText"/>
      </w:pPr>
      <w:r w:rsidRPr="000973F2">
        <w:t xml:space="preserve">Table </w:t>
      </w:r>
      <w:r w:rsidR="00F8574F" w:rsidRPr="000973F2">
        <w:t>LL-</w:t>
      </w:r>
      <w:r w:rsidRPr="000973F2">
        <w:t>1 includes the labor hours for Subpart LL</w:t>
      </w:r>
      <w:r w:rsidR="00184992" w:rsidRPr="000973F2">
        <w:t>, for producers, importers and exporters</w:t>
      </w:r>
      <w:r w:rsidRPr="000973F2">
        <w:t xml:space="preserve"> Typical activities for each of the labor categories are discussed in the Cost Appendix Introduction. Recordkeeping and reporting hours </w:t>
      </w:r>
      <w:r w:rsidR="002E2424" w:rsidRPr="000973F2">
        <w:t>are based on</w:t>
      </w:r>
      <w:r w:rsidRPr="000973F2">
        <w:t xml:space="preserve"> the “low bin”</w:t>
      </w:r>
      <w:r w:rsidR="002E2424" w:rsidRPr="000973F2">
        <w:t xml:space="preserve"> designation. </w:t>
      </w:r>
      <w:r w:rsidRPr="000973F2">
        <w:t xml:space="preserve">Calculations include time required to collect throughput </w:t>
      </w:r>
      <w:r w:rsidR="00C1575E" w:rsidRPr="000973F2">
        <w:t xml:space="preserve">data </w:t>
      </w:r>
      <w:r w:rsidRPr="000973F2">
        <w:t xml:space="preserve">and perform the emission calculation per coal-to-liquid product </w:t>
      </w:r>
      <w:r w:rsidR="00184992" w:rsidRPr="000973F2">
        <w:t>.</w:t>
      </w:r>
      <w:r w:rsidRPr="000973F2">
        <w:t xml:space="preserve"> The average number of </w:t>
      </w:r>
      <w:r w:rsidR="00F004F5" w:rsidRPr="000973F2">
        <w:t xml:space="preserve">coal-to-liquid </w:t>
      </w:r>
      <w:r w:rsidRPr="000973F2">
        <w:t>product</w:t>
      </w:r>
      <w:r w:rsidR="00A56F3A" w:rsidRPr="000973F2">
        <w:t>s</w:t>
      </w:r>
      <w:r w:rsidRPr="000973F2">
        <w:t xml:space="preserve"> reported by Subpart LL facilities is 1.5. </w:t>
      </w:r>
    </w:p>
    <w:p w14:paraId="10AE3E2C" w14:textId="402DF9D4" w:rsidR="00A6693E" w:rsidRPr="000973F2" w:rsidRDefault="00A6693E" w:rsidP="00C00E4F">
      <w:pPr>
        <w:spacing w:line="240" w:lineRule="auto"/>
        <w:rPr>
          <w:rFonts w:ascii="Times New Roman" w:hAnsi="Times New Roman" w:cs="Times New Roman"/>
        </w:rPr>
      </w:pPr>
      <w:r w:rsidRPr="000973F2">
        <w:rPr>
          <w:rFonts w:ascii="Times New Roman" w:hAnsi="Times New Roman" w:cs="Times New Roman"/>
        </w:rPr>
        <w:br w:type="page"/>
      </w:r>
    </w:p>
    <w:p w14:paraId="3ED61C3F" w14:textId="200EE23C" w:rsidR="009D2E16" w:rsidRPr="000973F2" w:rsidRDefault="009D2E16" w:rsidP="00F8574F">
      <w:pPr>
        <w:pStyle w:val="Tabletitle"/>
      </w:pPr>
      <w:r w:rsidRPr="000973F2">
        <w:t xml:space="preserve">Table </w:t>
      </w:r>
      <w:r w:rsidR="00F8574F" w:rsidRPr="000973F2">
        <w:t>LL-</w:t>
      </w:r>
      <w:r w:rsidRPr="000973F2">
        <w:t xml:space="preserve">1. Labor Costs </w:t>
      </w:r>
      <w:r w:rsidR="00B960CC" w:rsidRPr="000973F2">
        <w:t>–</w:t>
      </w:r>
      <w:r w:rsidRPr="000973F2">
        <w:t xml:space="preserve"> Subpart LL</w:t>
      </w:r>
    </w:p>
    <w:tbl>
      <w:tblPr>
        <w:tblStyle w:val="PlainTable1"/>
        <w:tblW w:w="5000" w:type="pct"/>
        <w:jc w:val="left"/>
        <w:tblLayout w:type="fixed"/>
        <w:tblCellMar>
          <w:left w:w="115" w:type="dxa"/>
          <w:right w:w="115" w:type="dxa"/>
        </w:tblCellMar>
        <w:tblLook w:val="04A0" w:firstRow="1" w:lastRow="0" w:firstColumn="1" w:lastColumn="0" w:noHBand="0" w:noVBand="1"/>
      </w:tblPr>
      <w:tblGrid>
        <w:gridCol w:w="1371"/>
        <w:gridCol w:w="809"/>
        <w:gridCol w:w="809"/>
        <w:gridCol w:w="810"/>
        <w:gridCol w:w="809"/>
        <w:gridCol w:w="809"/>
        <w:gridCol w:w="810"/>
        <w:gridCol w:w="809"/>
        <w:gridCol w:w="810"/>
        <w:gridCol w:w="872"/>
        <w:gridCol w:w="872"/>
      </w:tblGrid>
      <w:tr w:rsidR="00A6693E" w:rsidRPr="000973F2" w14:paraId="57505348" w14:textId="77777777" w:rsidTr="00B926DD">
        <w:trPr>
          <w:cnfStyle w:val="100000000000" w:firstRow="1" w:lastRow="0" w:firstColumn="0" w:lastColumn="0" w:oddVBand="0" w:evenVBand="0" w:oddHBand="0" w:evenHBand="0" w:firstRowFirstColumn="0" w:firstRowLastColumn="0" w:lastRowFirstColumn="0" w:lastRowLastColumn="0"/>
          <w:cantSplit/>
          <w:jc w:val="left"/>
        </w:trPr>
        <w:tc>
          <w:tcPr>
            <w:cnfStyle w:val="001000000000" w:firstRow="0" w:lastRow="0" w:firstColumn="1" w:lastColumn="0" w:oddVBand="0" w:evenVBand="0" w:oddHBand="0" w:evenHBand="0" w:firstRowFirstColumn="0" w:firstRowLastColumn="0" w:lastRowFirstColumn="0" w:lastRowLastColumn="0"/>
            <w:tcW w:w="1335" w:type="dxa"/>
            <w:vMerge w:val="restart"/>
            <w:noWrap/>
            <w:vAlign w:val="top"/>
            <w:hideMark/>
          </w:tcPr>
          <w:p w14:paraId="625014EC" w14:textId="77777777" w:rsidR="00A6693E" w:rsidRPr="000973F2" w:rsidRDefault="00A6693E" w:rsidP="00F8574F">
            <w:pPr>
              <w:spacing w:before="40" w:after="40"/>
              <w:rPr>
                <w:rFonts w:ascii="Times New Roman" w:eastAsia="Times New Roman" w:hAnsi="Times New Roman" w:cs="Times New Roman"/>
                <w:bCs w:val="0"/>
                <w:sz w:val="18"/>
                <w:szCs w:val="18"/>
              </w:rPr>
            </w:pPr>
            <w:r w:rsidRPr="000973F2">
              <w:rPr>
                <w:rFonts w:ascii="Times New Roman" w:eastAsia="Times New Roman" w:hAnsi="Times New Roman" w:cs="Times New Roman"/>
                <w:bCs w:val="0"/>
                <w:sz w:val="18"/>
                <w:szCs w:val="18"/>
              </w:rPr>
              <w:t>Activity</w:t>
            </w:r>
          </w:p>
        </w:tc>
        <w:tc>
          <w:tcPr>
            <w:tcW w:w="6299" w:type="dxa"/>
            <w:gridSpan w:val="8"/>
            <w:noWrap/>
            <w:vAlign w:val="top"/>
            <w:hideMark/>
          </w:tcPr>
          <w:p w14:paraId="353F847E" w14:textId="77777777" w:rsidR="00A6693E" w:rsidRPr="000973F2" w:rsidRDefault="00A6693E" w:rsidP="00F8574F">
            <w:pPr>
              <w:spacing w:before="40" w:after="40"/>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Cs w:val="0"/>
                <w:sz w:val="18"/>
                <w:szCs w:val="18"/>
              </w:rPr>
            </w:pPr>
            <w:r w:rsidRPr="000973F2">
              <w:rPr>
                <w:rFonts w:ascii="Times New Roman" w:eastAsia="Times New Roman" w:hAnsi="Times New Roman" w:cs="Times New Roman"/>
                <w:bCs w:val="0"/>
                <w:sz w:val="18"/>
                <w:szCs w:val="18"/>
              </w:rPr>
              <w:t>Labor Rates (per hour)</w:t>
            </w:r>
          </w:p>
        </w:tc>
        <w:tc>
          <w:tcPr>
            <w:tcW w:w="1696" w:type="dxa"/>
            <w:gridSpan w:val="2"/>
            <w:vMerge w:val="restart"/>
            <w:vAlign w:val="top"/>
            <w:hideMark/>
          </w:tcPr>
          <w:p w14:paraId="60CA98AF" w14:textId="77777777" w:rsidR="00A6693E" w:rsidRPr="000973F2" w:rsidRDefault="00A6693E" w:rsidP="00F8574F">
            <w:pPr>
              <w:spacing w:before="40" w:after="40"/>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Cs w:val="0"/>
                <w:sz w:val="18"/>
                <w:szCs w:val="18"/>
              </w:rPr>
            </w:pPr>
            <w:r w:rsidRPr="000973F2">
              <w:rPr>
                <w:rFonts w:ascii="Times New Roman" w:eastAsia="Times New Roman" w:hAnsi="Times New Roman" w:cs="Times New Roman"/>
                <w:bCs w:val="0"/>
                <w:sz w:val="18"/>
                <w:szCs w:val="18"/>
              </w:rPr>
              <w:t>Total Labor Cost per Year per Facility (2017$)</w:t>
            </w:r>
          </w:p>
        </w:tc>
      </w:tr>
      <w:tr w:rsidR="00A6693E" w:rsidRPr="000973F2" w14:paraId="433A0B87" w14:textId="77777777" w:rsidTr="00B926DD">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1335" w:type="dxa"/>
            <w:vMerge/>
            <w:hideMark/>
          </w:tcPr>
          <w:p w14:paraId="3F97C59A" w14:textId="77777777" w:rsidR="00A6693E" w:rsidRPr="000973F2" w:rsidRDefault="00A6693E" w:rsidP="00F8574F">
            <w:pPr>
              <w:spacing w:before="40" w:after="40"/>
              <w:rPr>
                <w:rFonts w:ascii="Times New Roman" w:eastAsia="Times New Roman" w:hAnsi="Times New Roman" w:cs="Times New Roman"/>
                <w:b/>
                <w:bCs w:val="0"/>
                <w:sz w:val="18"/>
                <w:szCs w:val="18"/>
              </w:rPr>
            </w:pPr>
          </w:p>
        </w:tc>
        <w:tc>
          <w:tcPr>
            <w:tcW w:w="1574" w:type="dxa"/>
            <w:gridSpan w:val="2"/>
            <w:noWrap/>
            <w:hideMark/>
          </w:tcPr>
          <w:p w14:paraId="3C84739F" w14:textId="77777777" w:rsidR="00A6693E" w:rsidRPr="000973F2" w:rsidRDefault="00A6693E" w:rsidP="00F8574F">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18"/>
                <w:szCs w:val="18"/>
              </w:rPr>
            </w:pPr>
            <w:r w:rsidRPr="000973F2">
              <w:rPr>
                <w:rFonts w:ascii="Times New Roman" w:eastAsia="Times New Roman" w:hAnsi="Times New Roman" w:cs="Times New Roman"/>
                <w:b/>
                <w:bCs/>
                <w:sz w:val="18"/>
                <w:szCs w:val="18"/>
              </w:rPr>
              <w:t>Lawyer</w:t>
            </w:r>
          </w:p>
        </w:tc>
        <w:tc>
          <w:tcPr>
            <w:tcW w:w="1575" w:type="dxa"/>
            <w:gridSpan w:val="2"/>
            <w:noWrap/>
            <w:hideMark/>
          </w:tcPr>
          <w:p w14:paraId="405469F6" w14:textId="77777777" w:rsidR="00A6693E" w:rsidRPr="000973F2" w:rsidRDefault="00A6693E" w:rsidP="00F8574F">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18"/>
                <w:szCs w:val="18"/>
              </w:rPr>
            </w:pPr>
            <w:r w:rsidRPr="000973F2">
              <w:rPr>
                <w:rFonts w:ascii="Times New Roman" w:eastAsia="Times New Roman" w:hAnsi="Times New Roman" w:cs="Times New Roman"/>
                <w:b/>
                <w:bCs/>
                <w:sz w:val="18"/>
                <w:szCs w:val="18"/>
              </w:rPr>
              <w:t>Industrial Manager</w:t>
            </w:r>
          </w:p>
        </w:tc>
        <w:tc>
          <w:tcPr>
            <w:tcW w:w="1575" w:type="dxa"/>
            <w:gridSpan w:val="2"/>
            <w:hideMark/>
          </w:tcPr>
          <w:p w14:paraId="0171DBFC" w14:textId="65C4BA24" w:rsidR="00A6693E" w:rsidRPr="000973F2" w:rsidRDefault="00A6693E" w:rsidP="00F8574F">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18"/>
                <w:szCs w:val="18"/>
              </w:rPr>
            </w:pPr>
            <w:r w:rsidRPr="000973F2">
              <w:rPr>
                <w:rFonts w:ascii="Times New Roman" w:eastAsia="Times New Roman" w:hAnsi="Times New Roman" w:cs="Times New Roman"/>
                <w:b/>
                <w:bCs/>
                <w:sz w:val="18"/>
                <w:szCs w:val="18"/>
              </w:rPr>
              <w:t>Industrial Engineer/</w:t>
            </w:r>
            <w:r w:rsidR="00F8574F" w:rsidRPr="000973F2">
              <w:rPr>
                <w:rFonts w:ascii="Times New Roman" w:eastAsia="Times New Roman" w:hAnsi="Times New Roman" w:cs="Times New Roman"/>
                <w:b/>
                <w:bCs/>
                <w:sz w:val="18"/>
                <w:szCs w:val="18"/>
              </w:rPr>
              <w:t xml:space="preserve"> </w:t>
            </w:r>
            <w:r w:rsidRPr="000973F2">
              <w:rPr>
                <w:rFonts w:ascii="Times New Roman" w:eastAsia="Times New Roman" w:hAnsi="Times New Roman" w:cs="Times New Roman"/>
                <w:b/>
                <w:bCs/>
                <w:sz w:val="18"/>
                <w:szCs w:val="18"/>
              </w:rPr>
              <w:t>Technician</w:t>
            </w:r>
          </w:p>
        </w:tc>
        <w:tc>
          <w:tcPr>
            <w:tcW w:w="1575" w:type="dxa"/>
            <w:gridSpan w:val="2"/>
            <w:hideMark/>
          </w:tcPr>
          <w:p w14:paraId="08110F51" w14:textId="77777777" w:rsidR="00A6693E" w:rsidRPr="000973F2" w:rsidRDefault="00A6693E" w:rsidP="00F8574F">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18"/>
                <w:szCs w:val="18"/>
              </w:rPr>
            </w:pPr>
            <w:r w:rsidRPr="000973F2">
              <w:rPr>
                <w:rFonts w:ascii="Times New Roman" w:eastAsia="Times New Roman" w:hAnsi="Times New Roman" w:cs="Times New Roman"/>
                <w:b/>
                <w:bCs/>
                <w:sz w:val="18"/>
                <w:szCs w:val="18"/>
              </w:rPr>
              <w:t>Administrative Support</w:t>
            </w:r>
          </w:p>
        </w:tc>
        <w:tc>
          <w:tcPr>
            <w:tcW w:w="1696" w:type="dxa"/>
            <w:gridSpan w:val="2"/>
            <w:vMerge/>
            <w:hideMark/>
          </w:tcPr>
          <w:p w14:paraId="118555D2" w14:textId="77777777" w:rsidR="00A6693E" w:rsidRPr="000973F2" w:rsidRDefault="00A6693E" w:rsidP="00F8574F">
            <w:pPr>
              <w:spacing w:before="40" w:after="4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18"/>
                <w:szCs w:val="18"/>
              </w:rPr>
            </w:pPr>
          </w:p>
        </w:tc>
      </w:tr>
      <w:tr w:rsidR="003768E3" w:rsidRPr="000973F2" w14:paraId="52EDEECC" w14:textId="77777777" w:rsidTr="00B926DD">
        <w:trPr>
          <w:cantSplit/>
        </w:trPr>
        <w:tc>
          <w:tcPr>
            <w:cnfStyle w:val="001000000000" w:firstRow="0" w:lastRow="0" w:firstColumn="1" w:lastColumn="0" w:oddVBand="0" w:evenVBand="0" w:oddHBand="0" w:evenHBand="0" w:firstRowFirstColumn="0" w:firstRowLastColumn="0" w:lastRowFirstColumn="0" w:lastRowLastColumn="0"/>
            <w:tcW w:w="1335" w:type="dxa"/>
            <w:vMerge/>
            <w:hideMark/>
          </w:tcPr>
          <w:p w14:paraId="24D91F03" w14:textId="77777777" w:rsidR="00A6693E" w:rsidRPr="000973F2" w:rsidRDefault="00A6693E" w:rsidP="00F8574F">
            <w:pPr>
              <w:spacing w:before="40" w:after="40"/>
              <w:rPr>
                <w:rFonts w:ascii="Times New Roman" w:eastAsia="Times New Roman" w:hAnsi="Times New Roman" w:cs="Times New Roman"/>
                <w:b/>
                <w:bCs w:val="0"/>
                <w:sz w:val="18"/>
                <w:szCs w:val="18"/>
              </w:rPr>
            </w:pPr>
          </w:p>
        </w:tc>
        <w:tc>
          <w:tcPr>
            <w:tcW w:w="1574" w:type="dxa"/>
            <w:gridSpan w:val="2"/>
            <w:noWrap/>
            <w:hideMark/>
          </w:tcPr>
          <w:p w14:paraId="38877388" w14:textId="77777777" w:rsidR="00A6693E" w:rsidRPr="000973F2" w:rsidRDefault="00A6693E" w:rsidP="00F8574F">
            <w:pPr>
              <w:spacing w:before="40" w:after="4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sz w:val="18"/>
                <w:szCs w:val="18"/>
              </w:rPr>
            </w:pPr>
            <w:r w:rsidRPr="000973F2">
              <w:rPr>
                <w:rFonts w:ascii="Times New Roman" w:eastAsia="Times New Roman" w:hAnsi="Times New Roman" w:cs="Times New Roman"/>
                <w:b/>
                <w:bCs/>
                <w:sz w:val="18"/>
                <w:szCs w:val="18"/>
              </w:rPr>
              <w:t xml:space="preserve">$112.23 </w:t>
            </w:r>
          </w:p>
        </w:tc>
        <w:tc>
          <w:tcPr>
            <w:tcW w:w="1575" w:type="dxa"/>
            <w:gridSpan w:val="2"/>
            <w:noWrap/>
            <w:hideMark/>
          </w:tcPr>
          <w:p w14:paraId="3F680026" w14:textId="77777777" w:rsidR="00A6693E" w:rsidRPr="000973F2" w:rsidRDefault="00A6693E" w:rsidP="00F8574F">
            <w:pPr>
              <w:spacing w:before="40" w:after="4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sz w:val="18"/>
                <w:szCs w:val="18"/>
              </w:rPr>
            </w:pPr>
            <w:r w:rsidRPr="000973F2">
              <w:rPr>
                <w:rFonts w:ascii="Times New Roman" w:eastAsia="Times New Roman" w:hAnsi="Times New Roman" w:cs="Times New Roman"/>
                <w:b/>
                <w:bCs/>
                <w:sz w:val="18"/>
                <w:szCs w:val="18"/>
              </w:rPr>
              <w:t xml:space="preserve">$87.45 </w:t>
            </w:r>
          </w:p>
        </w:tc>
        <w:tc>
          <w:tcPr>
            <w:tcW w:w="1575" w:type="dxa"/>
            <w:gridSpan w:val="2"/>
            <w:noWrap/>
            <w:hideMark/>
          </w:tcPr>
          <w:p w14:paraId="13DA802F" w14:textId="77777777" w:rsidR="00A6693E" w:rsidRPr="000973F2" w:rsidRDefault="00A6693E" w:rsidP="00F8574F">
            <w:pPr>
              <w:spacing w:before="40" w:after="4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sz w:val="18"/>
                <w:szCs w:val="18"/>
              </w:rPr>
            </w:pPr>
            <w:r w:rsidRPr="000973F2">
              <w:rPr>
                <w:rFonts w:ascii="Times New Roman" w:eastAsia="Times New Roman" w:hAnsi="Times New Roman" w:cs="Times New Roman"/>
                <w:b/>
                <w:bCs/>
                <w:sz w:val="18"/>
                <w:szCs w:val="18"/>
              </w:rPr>
              <w:t xml:space="preserve">$71.45 </w:t>
            </w:r>
          </w:p>
        </w:tc>
        <w:tc>
          <w:tcPr>
            <w:tcW w:w="1575" w:type="dxa"/>
            <w:gridSpan w:val="2"/>
            <w:noWrap/>
            <w:hideMark/>
          </w:tcPr>
          <w:p w14:paraId="40743E67" w14:textId="77777777" w:rsidR="00A6693E" w:rsidRPr="000973F2" w:rsidRDefault="00A6693E" w:rsidP="00F8574F">
            <w:pPr>
              <w:spacing w:before="40" w:after="4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sz w:val="18"/>
                <w:szCs w:val="18"/>
              </w:rPr>
            </w:pPr>
            <w:r w:rsidRPr="000973F2">
              <w:rPr>
                <w:rFonts w:ascii="Times New Roman" w:eastAsia="Times New Roman" w:hAnsi="Times New Roman" w:cs="Times New Roman"/>
                <w:b/>
                <w:bCs/>
                <w:sz w:val="18"/>
                <w:szCs w:val="18"/>
              </w:rPr>
              <w:t xml:space="preserve">$36.28 </w:t>
            </w:r>
          </w:p>
        </w:tc>
        <w:tc>
          <w:tcPr>
            <w:tcW w:w="1696" w:type="dxa"/>
            <w:gridSpan w:val="2"/>
            <w:vMerge/>
            <w:hideMark/>
          </w:tcPr>
          <w:p w14:paraId="468AB927" w14:textId="77777777" w:rsidR="00A6693E" w:rsidRPr="000973F2" w:rsidRDefault="00A6693E" w:rsidP="00F8574F">
            <w:pPr>
              <w:spacing w:before="40" w:after="4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sz w:val="18"/>
                <w:szCs w:val="18"/>
              </w:rPr>
            </w:pPr>
          </w:p>
        </w:tc>
      </w:tr>
      <w:tr w:rsidR="00D021D6" w:rsidRPr="000973F2" w14:paraId="512AA66E" w14:textId="77777777" w:rsidTr="00B926DD">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1335" w:type="dxa"/>
            <w:vMerge/>
            <w:hideMark/>
          </w:tcPr>
          <w:p w14:paraId="0CEEFBF4" w14:textId="77777777" w:rsidR="00A6693E" w:rsidRPr="000973F2" w:rsidRDefault="00A6693E" w:rsidP="00F8574F">
            <w:pPr>
              <w:spacing w:before="40" w:after="40"/>
              <w:rPr>
                <w:rFonts w:ascii="Times New Roman" w:eastAsia="Times New Roman" w:hAnsi="Times New Roman" w:cs="Times New Roman"/>
                <w:b/>
                <w:bCs w:val="0"/>
                <w:sz w:val="18"/>
                <w:szCs w:val="18"/>
              </w:rPr>
            </w:pPr>
          </w:p>
        </w:tc>
        <w:tc>
          <w:tcPr>
            <w:tcW w:w="787" w:type="dxa"/>
            <w:tcMar>
              <w:left w:w="14" w:type="dxa"/>
              <w:right w:w="14" w:type="dxa"/>
            </w:tcMar>
            <w:hideMark/>
          </w:tcPr>
          <w:p w14:paraId="26F2E3BB" w14:textId="340E9E45" w:rsidR="00A6693E" w:rsidRPr="000973F2" w:rsidRDefault="00A6693E" w:rsidP="00F8574F">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18"/>
                <w:szCs w:val="18"/>
              </w:rPr>
            </w:pPr>
            <w:r w:rsidRPr="000973F2">
              <w:rPr>
                <w:rFonts w:ascii="Times New Roman" w:eastAsia="Times New Roman" w:hAnsi="Times New Roman" w:cs="Times New Roman"/>
                <w:b/>
                <w:bCs/>
                <w:sz w:val="18"/>
                <w:szCs w:val="18"/>
              </w:rPr>
              <w:t xml:space="preserve">Initial </w:t>
            </w:r>
            <w:r w:rsidR="00132320" w:rsidRPr="000973F2">
              <w:rPr>
                <w:rFonts w:ascii="Times New Roman" w:eastAsia="Times New Roman" w:hAnsi="Times New Roman" w:cs="Times New Roman"/>
                <w:b/>
                <w:bCs/>
                <w:sz w:val="18"/>
                <w:szCs w:val="18"/>
              </w:rPr>
              <w:t>Year Hours</w:t>
            </w:r>
          </w:p>
        </w:tc>
        <w:tc>
          <w:tcPr>
            <w:tcW w:w="787" w:type="dxa"/>
            <w:tcMar>
              <w:left w:w="14" w:type="dxa"/>
              <w:right w:w="14" w:type="dxa"/>
            </w:tcMar>
            <w:hideMark/>
          </w:tcPr>
          <w:p w14:paraId="4F1733B5" w14:textId="77777777" w:rsidR="00A6693E" w:rsidRPr="000973F2" w:rsidRDefault="00A6693E" w:rsidP="00F8574F">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18"/>
                <w:szCs w:val="18"/>
              </w:rPr>
            </w:pPr>
            <w:r w:rsidRPr="000973F2">
              <w:rPr>
                <w:rFonts w:ascii="Times New Roman" w:eastAsia="Times New Roman" w:hAnsi="Times New Roman" w:cs="Times New Roman"/>
                <w:b/>
                <w:bCs/>
                <w:sz w:val="18"/>
                <w:szCs w:val="18"/>
              </w:rPr>
              <w:t>Subseq. Year Hours</w:t>
            </w:r>
          </w:p>
        </w:tc>
        <w:tc>
          <w:tcPr>
            <w:tcW w:w="788" w:type="dxa"/>
            <w:tcMar>
              <w:left w:w="14" w:type="dxa"/>
              <w:right w:w="14" w:type="dxa"/>
            </w:tcMar>
            <w:hideMark/>
          </w:tcPr>
          <w:p w14:paraId="2D384782" w14:textId="6BABEFB1" w:rsidR="00A6693E" w:rsidRPr="000973F2" w:rsidRDefault="00A6693E" w:rsidP="00F8574F">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18"/>
                <w:szCs w:val="18"/>
              </w:rPr>
            </w:pPr>
            <w:r w:rsidRPr="000973F2">
              <w:rPr>
                <w:rFonts w:ascii="Times New Roman" w:eastAsia="Times New Roman" w:hAnsi="Times New Roman" w:cs="Times New Roman"/>
                <w:b/>
                <w:bCs/>
                <w:sz w:val="18"/>
                <w:szCs w:val="18"/>
              </w:rPr>
              <w:t xml:space="preserve">Initial </w:t>
            </w:r>
            <w:r w:rsidR="00132320" w:rsidRPr="000973F2">
              <w:rPr>
                <w:rFonts w:ascii="Times New Roman" w:eastAsia="Times New Roman" w:hAnsi="Times New Roman" w:cs="Times New Roman"/>
                <w:b/>
                <w:bCs/>
                <w:sz w:val="18"/>
                <w:szCs w:val="18"/>
              </w:rPr>
              <w:t>Year Hours</w:t>
            </w:r>
          </w:p>
        </w:tc>
        <w:tc>
          <w:tcPr>
            <w:tcW w:w="787" w:type="dxa"/>
            <w:tcMar>
              <w:left w:w="14" w:type="dxa"/>
              <w:right w:w="14" w:type="dxa"/>
            </w:tcMar>
            <w:hideMark/>
          </w:tcPr>
          <w:p w14:paraId="631BFE92" w14:textId="77777777" w:rsidR="00A6693E" w:rsidRPr="000973F2" w:rsidRDefault="00A6693E" w:rsidP="00F8574F">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18"/>
                <w:szCs w:val="18"/>
              </w:rPr>
            </w:pPr>
            <w:r w:rsidRPr="000973F2">
              <w:rPr>
                <w:rFonts w:ascii="Times New Roman" w:eastAsia="Times New Roman" w:hAnsi="Times New Roman" w:cs="Times New Roman"/>
                <w:b/>
                <w:bCs/>
                <w:sz w:val="18"/>
                <w:szCs w:val="18"/>
              </w:rPr>
              <w:t>Subseq. Year Hours</w:t>
            </w:r>
          </w:p>
        </w:tc>
        <w:tc>
          <w:tcPr>
            <w:tcW w:w="787" w:type="dxa"/>
            <w:tcMar>
              <w:left w:w="14" w:type="dxa"/>
              <w:right w:w="14" w:type="dxa"/>
            </w:tcMar>
            <w:hideMark/>
          </w:tcPr>
          <w:p w14:paraId="1F526219" w14:textId="1D9710C2" w:rsidR="00A6693E" w:rsidRPr="000973F2" w:rsidRDefault="00A6693E" w:rsidP="00F8574F">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18"/>
                <w:szCs w:val="18"/>
              </w:rPr>
            </w:pPr>
            <w:r w:rsidRPr="000973F2">
              <w:rPr>
                <w:rFonts w:ascii="Times New Roman" w:eastAsia="Times New Roman" w:hAnsi="Times New Roman" w:cs="Times New Roman"/>
                <w:b/>
                <w:bCs/>
                <w:sz w:val="18"/>
                <w:szCs w:val="18"/>
              </w:rPr>
              <w:t xml:space="preserve">Initial </w:t>
            </w:r>
            <w:r w:rsidR="00132320" w:rsidRPr="000973F2">
              <w:rPr>
                <w:rFonts w:ascii="Times New Roman" w:eastAsia="Times New Roman" w:hAnsi="Times New Roman" w:cs="Times New Roman"/>
                <w:b/>
                <w:bCs/>
                <w:sz w:val="18"/>
                <w:szCs w:val="18"/>
              </w:rPr>
              <w:t>Year Hours</w:t>
            </w:r>
          </w:p>
        </w:tc>
        <w:tc>
          <w:tcPr>
            <w:tcW w:w="788" w:type="dxa"/>
            <w:tcMar>
              <w:left w:w="14" w:type="dxa"/>
              <w:right w:w="14" w:type="dxa"/>
            </w:tcMar>
            <w:hideMark/>
          </w:tcPr>
          <w:p w14:paraId="368A194C" w14:textId="77777777" w:rsidR="00A6693E" w:rsidRPr="000973F2" w:rsidRDefault="00A6693E" w:rsidP="00F8574F">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18"/>
                <w:szCs w:val="18"/>
              </w:rPr>
            </w:pPr>
            <w:r w:rsidRPr="000973F2">
              <w:rPr>
                <w:rFonts w:ascii="Times New Roman" w:eastAsia="Times New Roman" w:hAnsi="Times New Roman" w:cs="Times New Roman"/>
                <w:b/>
                <w:bCs/>
                <w:sz w:val="18"/>
                <w:szCs w:val="18"/>
              </w:rPr>
              <w:t>Subseq. Year Hours</w:t>
            </w:r>
          </w:p>
        </w:tc>
        <w:tc>
          <w:tcPr>
            <w:tcW w:w="787" w:type="dxa"/>
            <w:tcMar>
              <w:left w:w="14" w:type="dxa"/>
              <w:right w:w="14" w:type="dxa"/>
            </w:tcMar>
            <w:hideMark/>
          </w:tcPr>
          <w:p w14:paraId="77F14D90" w14:textId="5ED0E5C5" w:rsidR="00A6693E" w:rsidRPr="000973F2" w:rsidRDefault="00A6693E" w:rsidP="00F8574F">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18"/>
                <w:szCs w:val="18"/>
              </w:rPr>
            </w:pPr>
            <w:r w:rsidRPr="000973F2">
              <w:rPr>
                <w:rFonts w:ascii="Times New Roman" w:eastAsia="Times New Roman" w:hAnsi="Times New Roman" w:cs="Times New Roman"/>
                <w:b/>
                <w:bCs/>
                <w:sz w:val="18"/>
                <w:szCs w:val="18"/>
              </w:rPr>
              <w:t xml:space="preserve">Initial </w:t>
            </w:r>
            <w:r w:rsidR="00132320" w:rsidRPr="000973F2">
              <w:rPr>
                <w:rFonts w:ascii="Times New Roman" w:eastAsia="Times New Roman" w:hAnsi="Times New Roman" w:cs="Times New Roman"/>
                <w:b/>
                <w:bCs/>
                <w:sz w:val="18"/>
                <w:szCs w:val="18"/>
              </w:rPr>
              <w:t>Year Hours</w:t>
            </w:r>
          </w:p>
        </w:tc>
        <w:tc>
          <w:tcPr>
            <w:tcW w:w="788" w:type="dxa"/>
            <w:tcMar>
              <w:left w:w="14" w:type="dxa"/>
              <w:right w:w="14" w:type="dxa"/>
            </w:tcMar>
            <w:hideMark/>
          </w:tcPr>
          <w:p w14:paraId="7F3974EF" w14:textId="77777777" w:rsidR="00A6693E" w:rsidRPr="000973F2" w:rsidRDefault="00A6693E" w:rsidP="00F8574F">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18"/>
                <w:szCs w:val="18"/>
              </w:rPr>
            </w:pPr>
            <w:r w:rsidRPr="000973F2">
              <w:rPr>
                <w:rFonts w:ascii="Times New Roman" w:eastAsia="Times New Roman" w:hAnsi="Times New Roman" w:cs="Times New Roman"/>
                <w:b/>
                <w:bCs/>
                <w:sz w:val="18"/>
                <w:szCs w:val="18"/>
              </w:rPr>
              <w:t>Subseq. Year Hours</w:t>
            </w:r>
          </w:p>
        </w:tc>
        <w:tc>
          <w:tcPr>
            <w:tcW w:w="848" w:type="dxa"/>
            <w:tcMar>
              <w:left w:w="14" w:type="dxa"/>
              <w:right w:w="14" w:type="dxa"/>
            </w:tcMar>
            <w:hideMark/>
          </w:tcPr>
          <w:p w14:paraId="5A47FD1E" w14:textId="77777777" w:rsidR="00A6693E" w:rsidRPr="000973F2" w:rsidRDefault="00A6693E" w:rsidP="00F8574F">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18"/>
                <w:szCs w:val="18"/>
              </w:rPr>
            </w:pPr>
            <w:r w:rsidRPr="000973F2">
              <w:rPr>
                <w:rFonts w:ascii="Times New Roman" w:eastAsia="Times New Roman" w:hAnsi="Times New Roman" w:cs="Times New Roman"/>
                <w:b/>
                <w:bCs/>
                <w:sz w:val="18"/>
                <w:szCs w:val="18"/>
              </w:rPr>
              <w:t>Initial Year</w:t>
            </w:r>
          </w:p>
        </w:tc>
        <w:tc>
          <w:tcPr>
            <w:tcW w:w="848" w:type="dxa"/>
            <w:tcMar>
              <w:left w:w="14" w:type="dxa"/>
              <w:right w:w="14" w:type="dxa"/>
            </w:tcMar>
            <w:hideMark/>
          </w:tcPr>
          <w:p w14:paraId="16C65153" w14:textId="77777777" w:rsidR="00A6693E" w:rsidRPr="000973F2" w:rsidRDefault="00A6693E" w:rsidP="00F8574F">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18"/>
                <w:szCs w:val="18"/>
              </w:rPr>
            </w:pPr>
            <w:r w:rsidRPr="000973F2">
              <w:rPr>
                <w:rFonts w:ascii="Times New Roman" w:eastAsia="Times New Roman" w:hAnsi="Times New Roman" w:cs="Times New Roman"/>
                <w:b/>
                <w:bCs/>
                <w:sz w:val="18"/>
                <w:szCs w:val="18"/>
              </w:rPr>
              <w:t>Subseq. Year</w:t>
            </w:r>
          </w:p>
        </w:tc>
      </w:tr>
      <w:tr w:rsidR="003768E3" w:rsidRPr="000973F2" w14:paraId="2BC039AE" w14:textId="77777777" w:rsidTr="00B926DD">
        <w:trPr>
          <w:cantSplit/>
        </w:trPr>
        <w:tc>
          <w:tcPr>
            <w:cnfStyle w:val="001000000000" w:firstRow="0" w:lastRow="0" w:firstColumn="1" w:lastColumn="0" w:oddVBand="0" w:evenVBand="0" w:oddHBand="0" w:evenHBand="0" w:firstRowFirstColumn="0" w:firstRowLastColumn="0" w:lastRowFirstColumn="0" w:lastRowLastColumn="0"/>
            <w:tcW w:w="1335" w:type="dxa"/>
            <w:hideMark/>
          </w:tcPr>
          <w:p w14:paraId="6C3FBC86" w14:textId="77777777" w:rsidR="00A6693E" w:rsidRPr="000973F2" w:rsidRDefault="00A6693E" w:rsidP="00F8574F">
            <w:pPr>
              <w:spacing w:before="40" w:after="4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Planning</w:t>
            </w:r>
          </w:p>
        </w:tc>
        <w:tc>
          <w:tcPr>
            <w:tcW w:w="787" w:type="dxa"/>
            <w:noWrap/>
            <w:hideMark/>
          </w:tcPr>
          <w:p w14:paraId="64305677" w14:textId="77777777" w:rsidR="00A6693E" w:rsidRPr="000973F2" w:rsidRDefault="00A6693E" w:rsidP="00F8574F">
            <w:pPr>
              <w:tabs>
                <w:tab w:val="decimal" w:pos="316"/>
              </w:tabs>
              <w:spacing w:before="40" w:after="4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0</w:t>
            </w:r>
          </w:p>
        </w:tc>
        <w:tc>
          <w:tcPr>
            <w:tcW w:w="787" w:type="dxa"/>
            <w:noWrap/>
            <w:hideMark/>
          </w:tcPr>
          <w:p w14:paraId="2D7201C0" w14:textId="77777777" w:rsidR="00A6693E" w:rsidRPr="000973F2" w:rsidRDefault="00A6693E" w:rsidP="00F8574F">
            <w:pPr>
              <w:tabs>
                <w:tab w:val="decimal" w:pos="316"/>
              </w:tabs>
              <w:spacing w:before="40" w:after="4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2.0</w:t>
            </w:r>
          </w:p>
        </w:tc>
        <w:tc>
          <w:tcPr>
            <w:tcW w:w="788" w:type="dxa"/>
            <w:noWrap/>
            <w:hideMark/>
          </w:tcPr>
          <w:p w14:paraId="09B9F985" w14:textId="77777777" w:rsidR="00A6693E" w:rsidRPr="000973F2" w:rsidRDefault="00A6693E" w:rsidP="00F8574F">
            <w:pPr>
              <w:tabs>
                <w:tab w:val="decimal" w:pos="316"/>
              </w:tabs>
              <w:spacing w:before="40" w:after="4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0</w:t>
            </w:r>
          </w:p>
        </w:tc>
        <w:tc>
          <w:tcPr>
            <w:tcW w:w="787" w:type="dxa"/>
            <w:noWrap/>
            <w:hideMark/>
          </w:tcPr>
          <w:p w14:paraId="3EA623D4" w14:textId="77777777" w:rsidR="00A6693E" w:rsidRPr="000973F2" w:rsidRDefault="00A6693E" w:rsidP="00F8574F">
            <w:pPr>
              <w:tabs>
                <w:tab w:val="decimal" w:pos="316"/>
              </w:tabs>
              <w:spacing w:before="40" w:after="4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0.2</w:t>
            </w:r>
          </w:p>
        </w:tc>
        <w:tc>
          <w:tcPr>
            <w:tcW w:w="787" w:type="dxa"/>
            <w:noWrap/>
            <w:hideMark/>
          </w:tcPr>
          <w:p w14:paraId="06B964EB" w14:textId="77777777" w:rsidR="00A6693E" w:rsidRPr="000973F2" w:rsidRDefault="00A6693E" w:rsidP="00F8574F">
            <w:pPr>
              <w:tabs>
                <w:tab w:val="decimal" w:pos="316"/>
              </w:tabs>
              <w:spacing w:before="40" w:after="4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0</w:t>
            </w:r>
          </w:p>
        </w:tc>
        <w:tc>
          <w:tcPr>
            <w:tcW w:w="788" w:type="dxa"/>
            <w:noWrap/>
            <w:hideMark/>
          </w:tcPr>
          <w:p w14:paraId="11614A3D" w14:textId="77777777" w:rsidR="00A6693E" w:rsidRPr="000973F2" w:rsidRDefault="00A6693E" w:rsidP="00F8574F">
            <w:pPr>
              <w:tabs>
                <w:tab w:val="decimal" w:pos="316"/>
              </w:tabs>
              <w:spacing w:before="40" w:after="4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4.0</w:t>
            </w:r>
          </w:p>
        </w:tc>
        <w:tc>
          <w:tcPr>
            <w:tcW w:w="787" w:type="dxa"/>
            <w:noWrap/>
            <w:hideMark/>
          </w:tcPr>
          <w:p w14:paraId="5C69C8D8" w14:textId="77777777" w:rsidR="00A6693E" w:rsidRPr="000973F2" w:rsidRDefault="00A6693E" w:rsidP="00F8574F">
            <w:pPr>
              <w:tabs>
                <w:tab w:val="decimal" w:pos="316"/>
              </w:tabs>
              <w:spacing w:before="40" w:after="4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0</w:t>
            </w:r>
          </w:p>
        </w:tc>
        <w:tc>
          <w:tcPr>
            <w:tcW w:w="788" w:type="dxa"/>
            <w:noWrap/>
            <w:hideMark/>
          </w:tcPr>
          <w:p w14:paraId="614AF9A2" w14:textId="77777777" w:rsidR="00A6693E" w:rsidRPr="000973F2" w:rsidRDefault="00A6693E" w:rsidP="00F8574F">
            <w:pPr>
              <w:tabs>
                <w:tab w:val="decimal" w:pos="316"/>
              </w:tabs>
              <w:spacing w:before="40" w:after="4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0.4</w:t>
            </w:r>
          </w:p>
        </w:tc>
        <w:tc>
          <w:tcPr>
            <w:tcW w:w="848" w:type="dxa"/>
            <w:noWrap/>
            <w:hideMark/>
          </w:tcPr>
          <w:p w14:paraId="14579CA9" w14:textId="21C194E1" w:rsidR="00A6693E" w:rsidRPr="000973F2" w:rsidRDefault="00A6693E" w:rsidP="00F8574F">
            <w:pPr>
              <w:tabs>
                <w:tab w:val="decimal" w:pos="421"/>
              </w:tabs>
              <w:spacing w:before="40" w:after="4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$0</w:t>
            </w:r>
          </w:p>
        </w:tc>
        <w:tc>
          <w:tcPr>
            <w:tcW w:w="848" w:type="dxa"/>
            <w:noWrap/>
            <w:hideMark/>
          </w:tcPr>
          <w:p w14:paraId="0021CCF3" w14:textId="77777777" w:rsidR="00A6693E" w:rsidRPr="000973F2" w:rsidRDefault="00A6693E" w:rsidP="00F8574F">
            <w:pPr>
              <w:tabs>
                <w:tab w:val="decimal" w:pos="481"/>
              </w:tabs>
              <w:spacing w:before="40" w:after="4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$542</w:t>
            </w:r>
          </w:p>
        </w:tc>
      </w:tr>
      <w:tr w:rsidR="00D021D6" w:rsidRPr="000973F2" w14:paraId="7071E6E2" w14:textId="77777777" w:rsidTr="00B926DD">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1335" w:type="dxa"/>
            <w:hideMark/>
          </w:tcPr>
          <w:p w14:paraId="087192EB" w14:textId="77777777" w:rsidR="00A6693E" w:rsidRPr="000973F2" w:rsidRDefault="00A6693E" w:rsidP="00F8574F">
            <w:pPr>
              <w:spacing w:before="40" w:after="4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QA/QC</w:t>
            </w:r>
          </w:p>
        </w:tc>
        <w:tc>
          <w:tcPr>
            <w:tcW w:w="787" w:type="dxa"/>
            <w:noWrap/>
            <w:hideMark/>
          </w:tcPr>
          <w:p w14:paraId="081E06E9" w14:textId="77777777" w:rsidR="00A6693E" w:rsidRPr="000973F2" w:rsidRDefault="00A6693E" w:rsidP="00F8574F">
            <w:pPr>
              <w:tabs>
                <w:tab w:val="decimal" w:pos="316"/>
              </w:tabs>
              <w:spacing w:before="40" w:after="4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0</w:t>
            </w:r>
          </w:p>
        </w:tc>
        <w:tc>
          <w:tcPr>
            <w:tcW w:w="787" w:type="dxa"/>
            <w:noWrap/>
            <w:hideMark/>
          </w:tcPr>
          <w:p w14:paraId="02FBBB57" w14:textId="77777777" w:rsidR="00A6693E" w:rsidRPr="000973F2" w:rsidRDefault="00A6693E" w:rsidP="00F8574F">
            <w:pPr>
              <w:tabs>
                <w:tab w:val="decimal" w:pos="316"/>
              </w:tabs>
              <w:spacing w:before="40" w:after="4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0</w:t>
            </w:r>
          </w:p>
        </w:tc>
        <w:tc>
          <w:tcPr>
            <w:tcW w:w="788" w:type="dxa"/>
            <w:noWrap/>
            <w:hideMark/>
          </w:tcPr>
          <w:p w14:paraId="0E4EAFE8" w14:textId="77777777" w:rsidR="00A6693E" w:rsidRPr="000973F2" w:rsidRDefault="00A6693E" w:rsidP="00F8574F">
            <w:pPr>
              <w:tabs>
                <w:tab w:val="decimal" w:pos="316"/>
              </w:tabs>
              <w:spacing w:before="40" w:after="4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0</w:t>
            </w:r>
          </w:p>
        </w:tc>
        <w:tc>
          <w:tcPr>
            <w:tcW w:w="787" w:type="dxa"/>
            <w:noWrap/>
            <w:hideMark/>
          </w:tcPr>
          <w:p w14:paraId="7BBF0CB4" w14:textId="77777777" w:rsidR="00A6693E" w:rsidRPr="000973F2" w:rsidRDefault="00A6693E" w:rsidP="00F8574F">
            <w:pPr>
              <w:tabs>
                <w:tab w:val="decimal" w:pos="316"/>
              </w:tabs>
              <w:spacing w:before="40" w:after="4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0.2</w:t>
            </w:r>
          </w:p>
        </w:tc>
        <w:tc>
          <w:tcPr>
            <w:tcW w:w="787" w:type="dxa"/>
            <w:noWrap/>
            <w:hideMark/>
          </w:tcPr>
          <w:p w14:paraId="6B5759C9" w14:textId="77777777" w:rsidR="00A6693E" w:rsidRPr="000973F2" w:rsidRDefault="00A6693E" w:rsidP="00F8574F">
            <w:pPr>
              <w:tabs>
                <w:tab w:val="decimal" w:pos="316"/>
              </w:tabs>
              <w:spacing w:before="40" w:after="4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0</w:t>
            </w:r>
          </w:p>
        </w:tc>
        <w:tc>
          <w:tcPr>
            <w:tcW w:w="788" w:type="dxa"/>
            <w:noWrap/>
            <w:hideMark/>
          </w:tcPr>
          <w:p w14:paraId="111C72BA" w14:textId="77777777" w:rsidR="00A6693E" w:rsidRPr="000973F2" w:rsidRDefault="00A6693E" w:rsidP="00F8574F">
            <w:pPr>
              <w:tabs>
                <w:tab w:val="decimal" w:pos="316"/>
              </w:tabs>
              <w:spacing w:before="40" w:after="4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4.0</w:t>
            </w:r>
          </w:p>
        </w:tc>
        <w:tc>
          <w:tcPr>
            <w:tcW w:w="787" w:type="dxa"/>
            <w:noWrap/>
            <w:hideMark/>
          </w:tcPr>
          <w:p w14:paraId="0B6A030B" w14:textId="77777777" w:rsidR="00A6693E" w:rsidRPr="000973F2" w:rsidRDefault="00A6693E" w:rsidP="00F8574F">
            <w:pPr>
              <w:tabs>
                <w:tab w:val="decimal" w:pos="316"/>
              </w:tabs>
              <w:spacing w:before="40" w:after="4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0</w:t>
            </w:r>
          </w:p>
        </w:tc>
        <w:tc>
          <w:tcPr>
            <w:tcW w:w="788" w:type="dxa"/>
            <w:noWrap/>
            <w:hideMark/>
          </w:tcPr>
          <w:p w14:paraId="7D037CAF" w14:textId="77777777" w:rsidR="00A6693E" w:rsidRPr="000973F2" w:rsidRDefault="00A6693E" w:rsidP="00F8574F">
            <w:pPr>
              <w:tabs>
                <w:tab w:val="decimal" w:pos="316"/>
              </w:tabs>
              <w:spacing w:before="40" w:after="4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0.4</w:t>
            </w:r>
          </w:p>
        </w:tc>
        <w:tc>
          <w:tcPr>
            <w:tcW w:w="848" w:type="dxa"/>
            <w:noWrap/>
            <w:hideMark/>
          </w:tcPr>
          <w:p w14:paraId="09D32E8D" w14:textId="1A794313" w:rsidR="00A6693E" w:rsidRPr="000973F2" w:rsidRDefault="00A6693E" w:rsidP="00F8574F">
            <w:pPr>
              <w:tabs>
                <w:tab w:val="decimal" w:pos="421"/>
              </w:tabs>
              <w:spacing w:before="40" w:after="4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$0</w:t>
            </w:r>
          </w:p>
        </w:tc>
        <w:tc>
          <w:tcPr>
            <w:tcW w:w="848" w:type="dxa"/>
            <w:noWrap/>
            <w:hideMark/>
          </w:tcPr>
          <w:p w14:paraId="05AD9D22" w14:textId="5E765121" w:rsidR="00A6693E" w:rsidRPr="000973F2" w:rsidRDefault="00A6693E" w:rsidP="00F8574F">
            <w:pPr>
              <w:tabs>
                <w:tab w:val="decimal" w:pos="481"/>
              </w:tabs>
              <w:spacing w:before="40" w:after="4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$318</w:t>
            </w:r>
          </w:p>
        </w:tc>
      </w:tr>
      <w:tr w:rsidR="003768E3" w:rsidRPr="000973F2" w14:paraId="18E6E3E5" w14:textId="77777777" w:rsidTr="00B926DD">
        <w:trPr>
          <w:cantSplit/>
        </w:trPr>
        <w:tc>
          <w:tcPr>
            <w:cnfStyle w:val="001000000000" w:firstRow="0" w:lastRow="0" w:firstColumn="1" w:lastColumn="0" w:oddVBand="0" w:evenVBand="0" w:oddHBand="0" w:evenHBand="0" w:firstRowFirstColumn="0" w:firstRowLastColumn="0" w:lastRowFirstColumn="0" w:lastRowLastColumn="0"/>
            <w:tcW w:w="1335" w:type="dxa"/>
            <w:hideMark/>
          </w:tcPr>
          <w:p w14:paraId="5CB35B85" w14:textId="77777777" w:rsidR="00A6693E" w:rsidRPr="000973F2" w:rsidRDefault="00A6693E" w:rsidP="00F8574F">
            <w:pPr>
              <w:spacing w:before="40" w:after="4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Recordkeeping</w:t>
            </w:r>
          </w:p>
        </w:tc>
        <w:tc>
          <w:tcPr>
            <w:tcW w:w="787" w:type="dxa"/>
            <w:noWrap/>
            <w:hideMark/>
          </w:tcPr>
          <w:p w14:paraId="67CADB0D" w14:textId="77777777" w:rsidR="00A6693E" w:rsidRPr="000973F2" w:rsidRDefault="00A6693E" w:rsidP="00F8574F">
            <w:pPr>
              <w:tabs>
                <w:tab w:val="decimal" w:pos="316"/>
              </w:tabs>
              <w:spacing w:before="40" w:after="4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0</w:t>
            </w:r>
          </w:p>
        </w:tc>
        <w:tc>
          <w:tcPr>
            <w:tcW w:w="787" w:type="dxa"/>
            <w:noWrap/>
            <w:hideMark/>
          </w:tcPr>
          <w:p w14:paraId="6C42647A" w14:textId="77777777" w:rsidR="00A6693E" w:rsidRPr="000973F2" w:rsidRDefault="00A6693E" w:rsidP="00F8574F">
            <w:pPr>
              <w:tabs>
                <w:tab w:val="decimal" w:pos="316"/>
              </w:tabs>
              <w:spacing w:before="40" w:after="4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0</w:t>
            </w:r>
          </w:p>
        </w:tc>
        <w:tc>
          <w:tcPr>
            <w:tcW w:w="788" w:type="dxa"/>
            <w:noWrap/>
            <w:hideMark/>
          </w:tcPr>
          <w:p w14:paraId="4A158598" w14:textId="77777777" w:rsidR="00A6693E" w:rsidRPr="000973F2" w:rsidRDefault="00A6693E" w:rsidP="00F8574F">
            <w:pPr>
              <w:tabs>
                <w:tab w:val="decimal" w:pos="316"/>
              </w:tabs>
              <w:spacing w:before="40" w:after="4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0</w:t>
            </w:r>
          </w:p>
        </w:tc>
        <w:tc>
          <w:tcPr>
            <w:tcW w:w="787" w:type="dxa"/>
            <w:noWrap/>
            <w:hideMark/>
          </w:tcPr>
          <w:p w14:paraId="36B2FA00" w14:textId="77777777" w:rsidR="00A6693E" w:rsidRPr="000973F2" w:rsidRDefault="00A6693E" w:rsidP="00F8574F">
            <w:pPr>
              <w:tabs>
                <w:tab w:val="decimal" w:pos="316"/>
              </w:tabs>
              <w:spacing w:before="40" w:after="4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0.5</w:t>
            </w:r>
          </w:p>
        </w:tc>
        <w:tc>
          <w:tcPr>
            <w:tcW w:w="787" w:type="dxa"/>
            <w:noWrap/>
            <w:hideMark/>
          </w:tcPr>
          <w:p w14:paraId="0B2DAD6B" w14:textId="77777777" w:rsidR="00A6693E" w:rsidRPr="000973F2" w:rsidRDefault="00A6693E" w:rsidP="00F8574F">
            <w:pPr>
              <w:tabs>
                <w:tab w:val="decimal" w:pos="316"/>
              </w:tabs>
              <w:spacing w:before="40" w:after="4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0</w:t>
            </w:r>
          </w:p>
        </w:tc>
        <w:tc>
          <w:tcPr>
            <w:tcW w:w="788" w:type="dxa"/>
            <w:noWrap/>
            <w:hideMark/>
          </w:tcPr>
          <w:p w14:paraId="7262860F" w14:textId="77777777" w:rsidR="00A6693E" w:rsidRPr="000973F2" w:rsidRDefault="00A6693E" w:rsidP="00F8574F">
            <w:pPr>
              <w:tabs>
                <w:tab w:val="decimal" w:pos="316"/>
              </w:tabs>
              <w:spacing w:before="40" w:after="4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2.0</w:t>
            </w:r>
          </w:p>
        </w:tc>
        <w:tc>
          <w:tcPr>
            <w:tcW w:w="787" w:type="dxa"/>
            <w:noWrap/>
            <w:hideMark/>
          </w:tcPr>
          <w:p w14:paraId="48BDE363" w14:textId="77777777" w:rsidR="00A6693E" w:rsidRPr="000973F2" w:rsidRDefault="00A6693E" w:rsidP="00F8574F">
            <w:pPr>
              <w:tabs>
                <w:tab w:val="decimal" w:pos="316"/>
              </w:tabs>
              <w:spacing w:before="40" w:after="4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0</w:t>
            </w:r>
          </w:p>
        </w:tc>
        <w:tc>
          <w:tcPr>
            <w:tcW w:w="788" w:type="dxa"/>
            <w:noWrap/>
            <w:hideMark/>
          </w:tcPr>
          <w:p w14:paraId="37C92335" w14:textId="77777777" w:rsidR="00A6693E" w:rsidRPr="000973F2" w:rsidRDefault="00A6693E" w:rsidP="00F8574F">
            <w:pPr>
              <w:tabs>
                <w:tab w:val="decimal" w:pos="316"/>
              </w:tabs>
              <w:spacing w:before="40" w:after="4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0.5</w:t>
            </w:r>
          </w:p>
        </w:tc>
        <w:tc>
          <w:tcPr>
            <w:tcW w:w="848" w:type="dxa"/>
            <w:noWrap/>
            <w:hideMark/>
          </w:tcPr>
          <w:p w14:paraId="3A5884B7" w14:textId="390EE062" w:rsidR="00A6693E" w:rsidRPr="000973F2" w:rsidRDefault="00A6693E" w:rsidP="00F8574F">
            <w:pPr>
              <w:tabs>
                <w:tab w:val="decimal" w:pos="421"/>
              </w:tabs>
              <w:spacing w:before="40" w:after="4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$0</w:t>
            </w:r>
          </w:p>
        </w:tc>
        <w:tc>
          <w:tcPr>
            <w:tcW w:w="848" w:type="dxa"/>
            <w:noWrap/>
            <w:hideMark/>
          </w:tcPr>
          <w:p w14:paraId="70E83FDD" w14:textId="7C133D8B" w:rsidR="00A6693E" w:rsidRPr="000973F2" w:rsidRDefault="00A6693E" w:rsidP="00F8574F">
            <w:pPr>
              <w:tabs>
                <w:tab w:val="decimal" w:pos="481"/>
              </w:tabs>
              <w:spacing w:before="40" w:after="4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$205</w:t>
            </w:r>
          </w:p>
        </w:tc>
      </w:tr>
      <w:tr w:rsidR="00D021D6" w:rsidRPr="000973F2" w14:paraId="23D1A75D" w14:textId="77777777" w:rsidTr="00B926DD">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1335" w:type="dxa"/>
            <w:hideMark/>
          </w:tcPr>
          <w:p w14:paraId="6CC17D2A" w14:textId="77777777" w:rsidR="00A6693E" w:rsidRPr="000973F2" w:rsidRDefault="00A6693E" w:rsidP="00F8574F">
            <w:pPr>
              <w:spacing w:before="40" w:after="4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Sampling and Analysis (Calculations)</w:t>
            </w:r>
          </w:p>
        </w:tc>
        <w:tc>
          <w:tcPr>
            <w:tcW w:w="787" w:type="dxa"/>
            <w:noWrap/>
            <w:hideMark/>
          </w:tcPr>
          <w:p w14:paraId="55EB9E35" w14:textId="77777777" w:rsidR="00A6693E" w:rsidRPr="000973F2" w:rsidRDefault="00A6693E" w:rsidP="00F8574F">
            <w:pPr>
              <w:tabs>
                <w:tab w:val="decimal" w:pos="316"/>
              </w:tabs>
              <w:spacing w:before="40" w:after="4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0</w:t>
            </w:r>
          </w:p>
        </w:tc>
        <w:tc>
          <w:tcPr>
            <w:tcW w:w="787" w:type="dxa"/>
            <w:noWrap/>
            <w:hideMark/>
          </w:tcPr>
          <w:p w14:paraId="4B212B19" w14:textId="77777777" w:rsidR="00A6693E" w:rsidRPr="000973F2" w:rsidRDefault="00A6693E" w:rsidP="00F8574F">
            <w:pPr>
              <w:tabs>
                <w:tab w:val="decimal" w:pos="316"/>
              </w:tabs>
              <w:spacing w:before="40" w:after="4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0</w:t>
            </w:r>
          </w:p>
        </w:tc>
        <w:tc>
          <w:tcPr>
            <w:tcW w:w="788" w:type="dxa"/>
            <w:noWrap/>
            <w:hideMark/>
          </w:tcPr>
          <w:p w14:paraId="527F41BC" w14:textId="77777777" w:rsidR="00A6693E" w:rsidRPr="000973F2" w:rsidRDefault="00A6693E" w:rsidP="00F8574F">
            <w:pPr>
              <w:tabs>
                <w:tab w:val="decimal" w:pos="316"/>
              </w:tabs>
              <w:spacing w:before="40" w:after="4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0</w:t>
            </w:r>
          </w:p>
        </w:tc>
        <w:tc>
          <w:tcPr>
            <w:tcW w:w="787" w:type="dxa"/>
            <w:noWrap/>
            <w:hideMark/>
          </w:tcPr>
          <w:p w14:paraId="7709B976" w14:textId="77777777" w:rsidR="00A6693E" w:rsidRPr="000973F2" w:rsidRDefault="00A6693E" w:rsidP="00F8574F">
            <w:pPr>
              <w:tabs>
                <w:tab w:val="decimal" w:pos="316"/>
              </w:tabs>
              <w:spacing w:before="40" w:after="4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0.1</w:t>
            </w:r>
          </w:p>
        </w:tc>
        <w:tc>
          <w:tcPr>
            <w:tcW w:w="787" w:type="dxa"/>
            <w:noWrap/>
            <w:hideMark/>
          </w:tcPr>
          <w:p w14:paraId="4B1CE0D9" w14:textId="77777777" w:rsidR="00A6693E" w:rsidRPr="000973F2" w:rsidRDefault="00A6693E" w:rsidP="00F8574F">
            <w:pPr>
              <w:tabs>
                <w:tab w:val="decimal" w:pos="316"/>
              </w:tabs>
              <w:spacing w:before="40" w:after="4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0</w:t>
            </w:r>
          </w:p>
        </w:tc>
        <w:tc>
          <w:tcPr>
            <w:tcW w:w="788" w:type="dxa"/>
            <w:noWrap/>
            <w:hideMark/>
          </w:tcPr>
          <w:p w14:paraId="2DEABDC6" w14:textId="77777777" w:rsidR="00A6693E" w:rsidRPr="000973F2" w:rsidRDefault="00A6693E" w:rsidP="00F8574F">
            <w:pPr>
              <w:tabs>
                <w:tab w:val="decimal" w:pos="316"/>
              </w:tabs>
              <w:spacing w:before="40" w:after="4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1.3</w:t>
            </w:r>
          </w:p>
        </w:tc>
        <w:tc>
          <w:tcPr>
            <w:tcW w:w="787" w:type="dxa"/>
            <w:noWrap/>
            <w:hideMark/>
          </w:tcPr>
          <w:p w14:paraId="217F1FB6" w14:textId="77777777" w:rsidR="00A6693E" w:rsidRPr="000973F2" w:rsidRDefault="00A6693E" w:rsidP="00F8574F">
            <w:pPr>
              <w:tabs>
                <w:tab w:val="decimal" w:pos="316"/>
              </w:tabs>
              <w:spacing w:before="40" w:after="4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0</w:t>
            </w:r>
          </w:p>
        </w:tc>
        <w:tc>
          <w:tcPr>
            <w:tcW w:w="788" w:type="dxa"/>
            <w:noWrap/>
            <w:hideMark/>
          </w:tcPr>
          <w:p w14:paraId="24F0473C" w14:textId="77777777" w:rsidR="00A6693E" w:rsidRPr="000973F2" w:rsidRDefault="00A6693E" w:rsidP="00F8574F">
            <w:pPr>
              <w:tabs>
                <w:tab w:val="decimal" w:pos="316"/>
              </w:tabs>
              <w:spacing w:before="40" w:after="4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0.1</w:t>
            </w:r>
          </w:p>
        </w:tc>
        <w:tc>
          <w:tcPr>
            <w:tcW w:w="848" w:type="dxa"/>
            <w:noWrap/>
            <w:hideMark/>
          </w:tcPr>
          <w:p w14:paraId="30E99287" w14:textId="0AC2D716" w:rsidR="00A6693E" w:rsidRPr="000973F2" w:rsidRDefault="00A6693E" w:rsidP="00F8574F">
            <w:pPr>
              <w:tabs>
                <w:tab w:val="decimal" w:pos="421"/>
              </w:tabs>
              <w:spacing w:before="40" w:after="4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$0</w:t>
            </w:r>
          </w:p>
        </w:tc>
        <w:tc>
          <w:tcPr>
            <w:tcW w:w="848" w:type="dxa"/>
            <w:noWrap/>
            <w:hideMark/>
          </w:tcPr>
          <w:p w14:paraId="0BA714B2" w14:textId="77777777" w:rsidR="00A6693E" w:rsidRPr="000973F2" w:rsidRDefault="00A6693E" w:rsidP="00F8574F">
            <w:pPr>
              <w:tabs>
                <w:tab w:val="decimal" w:pos="481"/>
              </w:tabs>
              <w:spacing w:before="40" w:after="4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$100</w:t>
            </w:r>
          </w:p>
        </w:tc>
      </w:tr>
      <w:tr w:rsidR="003768E3" w:rsidRPr="000973F2" w14:paraId="368DD51F" w14:textId="77777777" w:rsidTr="00B926DD">
        <w:trPr>
          <w:cantSplit/>
        </w:trPr>
        <w:tc>
          <w:tcPr>
            <w:cnfStyle w:val="001000000000" w:firstRow="0" w:lastRow="0" w:firstColumn="1" w:lastColumn="0" w:oddVBand="0" w:evenVBand="0" w:oddHBand="0" w:evenHBand="0" w:firstRowFirstColumn="0" w:firstRowLastColumn="0" w:lastRowFirstColumn="0" w:lastRowLastColumn="0"/>
            <w:tcW w:w="1335" w:type="dxa"/>
            <w:hideMark/>
          </w:tcPr>
          <w:p w14:paraId="3D0E6531" w14:textId="77777777" w:rsidR="00A6693E" w:rsidRPr="000973F2" w:rsidRDefault="00A6693E" w:rsidP="00F8574F">
            <w:pPr>
              <w:spacing w:before="40" w:after="4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Reporting</w:t>
            </w:r>
          </w:p>
        </w:tc>
        <w:tc>
          <w:tcPr>
            <w:tcW w:w="787" w:type="dxa"/>
            <w:noWrap/>
            <w:hideMark/>
          </w:tcPr>
          <w:p w14:paraId="6C4CCA70" w14:textId="77777777" w:rsidR="00A6693E" w:rsidRPr="000973F2" w:rsidRDefault="00A6693E" w:rsidP="00F8574F">
            <w:pPr>
              <w:tabs>
                <w:tab w:val="decimal" w:pos="316"/>
              </w:tabs>
              <w:spacing w:before="40" w:after="4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0</w:t>
            </w:r>
          </w:p>
        </w:tc>
        <w:tc>
          <w:tcPr>
            <w:tcW w:w="787" w:type="dxa"/>
            <w:noWrap/>
            <w:hideMark/>
          </w:tcPr>
          <w:p w14:paraId="58FF0905" w14:textId="77777777" w:rsidR="00A6693E" w:rsidRPr="000973F2" w:rsidRDefault="00A6693E" w:rsidP="00F8574F">
            <w:pPr>
              <w:tabs>
                <w:tab w:val="decimal" w:pos="316"/>
              </w:tabs>
              <w:spacing w:before="40" w:after="4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0</w:t>
            </w:r>
          </w:p>
        </w:tc>
        <w:tc>
          <w:tcPr>
            <w:tcW w:w="788" w:type="dxa"/>
            <w:noWrap/>
            <w:hideMark/>
          </w:tcPr>
          <w:p w14:paraId="4B09F908" w14:textId="77777777" w:rsidR="00A6693E" w:rsidRPr="000973F2" w:rsidRDefault="00A6693E" w:rsidP="00F8574F">
            <w:pPr>
              <w:tabs>
                <w:tab w:val="decimal" w:pos="316"/>
              </w:tabs>
              <w:spacing w:before="40" w:after="4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0</w:t>
            </w:r>
          </w:p>
        </w:tc>
        <w:tc>
          <w:tcPr>
            <w:tcW w:w="787" w:type="dxa"/>
            <w:noWrap/>
            <w:hideMark/>
          </w:tcPr>
          <w:p w14:paraId="58A3772E" w14:textId="77777777" w:rsidR="00A6693E" w:rsidRPr="000973F2" w:rsidRDefault="00A6693E" w:rsidP="00F8574F">
            <w:pPr>
              <w:tabs>
                <w:tab w:val="decimal" w:pos="316"/>
              </w:tabs>
              <w:spacing w:before="40" w:after="4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1.0</w:t>
            </w:r>
          </w:p>
        </w:tc>
        <w:tc>
          <w:tcPr>
            <w:tcW w:w="787" w:type="dxa"/>
            <w:noWrap/>
            <w:hideMark/>
          </w:tcPr>
          <w:p w14:paraId="1220004C" w14:textId="77777777" w:rsidR="00A6693E" w:rsidRPr="000973F2" w:rsidRDefault="00A6693E" w:rsidP="00F8574F">
            <w:pPr>
              <w:tabs>
                <w:tab w:val="decimal" w:pos="316"/>
              </w:tabs>
              <w:spacing w:before="40" w:after="4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0</w:t>
            </w:r>
          </w:p>
        </w:tc>
        <w:tc>
          <w:tcPr>
            <w:tcW w:w="788" w:type="dxa"/>
            <w:noWrap/>
            <w:hideMark/>
          </w:tcPr>
          <w:p w14:paraId="70B81C41" w14:textId="77777777" w:rsidR="00A6693E" w:rsidRPr="000973F2" w:rsidRDefault="00A6693E" w:rsidP="00F8574F">
            <w:pPr>
              <w:tabs>
                <w:tab w:val="decimal" w:pos="316"/>
              </w:tabs>
              <w:spacing w:before="40" w:after="4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4.0</w:t>
            </w:r>
          </w:p>
        </w:tc>
        <w:tc>
          <w:tcPr>
            <w:tcW w:w="787" w:type="dxa"/>
            <w:noWrap/>
            <w:hideMark/>
          </w:tcPr>
          <w:p w14:paraId="6220CFBD" w14:textId="77777777" w:rsidR="00A6693E" w:rsidRPr="000973F2" w:rsidRDefault="00A6693E" w:rsidP="00F8574F">
            <w:pPr>
              <w:tabs>
                <w:tab w:val="decimal" w:pos="316"/>
              </w:tabs>
              <w:spacing w:before="40" w:after="4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0</w:t>
            </w:r>
          </w:p>
        </w:tc>
        <w:tc>
          <w:tcPr>
            <w:tcW w:w="788" w:type="dxa"/>
            <w:noWrap/>
            <w:hideMark/>
          </w:tcPr>
          <w:p w14:paraId="1FCE75AE" w14:textId="77777777" w:rsidR="00A6693E" w:rsidRPr="000973F2" w:rsidRDefault="00A6693E" w:rsidP="00F8574F">
            <w:pPr>
              <w:tabs>
                <w:tab w:val="decimal" w:pos="316"/>
              </w:tabs>
              <w:spacing w:before="40" w:after="4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1.0</w:t>
            </w:r>
          </w:p>
        </w:tc>
        <w:tc>
          <w:tcPr>
            <w:tcW w:w="848" w:type="dxa"/>
            <w:noWrap/>
            <w:hideMark/>
          </w:tcPr>
          <w:p w14:paraId="4E855CE4" w14:textId="6FC22568" w:rsidR="00A6693E" w:rsidRPr="000973F2" w:rsidRDefault="00A6693E" w:rsidP="00F8574F">
            <w:pPr>
              <w:tabs>
                <w:tab w:val="decimal" w:pos="421"/>
              </w:tabs>
              <w:spacing w:before="40" w:after="4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$0</w:t>
            </w:r>
          </w:p>
        </w:tc>
        <w:tc>
          <w:tcPr>
            <w:tcW w:w="848" w:type="dxa"/>
            <w:noWrap/>
            <w:hideMark/>
          </w:tcPr>
          <w:p w14:paraId="6D497802" w14:textId="092D068B" w:rsidR="00A6693E" w:rsidRPr="000973F2" w:rsidRDefault="00A6693E" w:rsidP="00F8574F">
            <w:pPr>
              <w:tabs>
                <w:tab w:val="decimal" w:pos="481"/>
              </w:tabs>
              <w:spacing w:before="40" w:after="4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$410</w:t>
            </w:r>
          </w:p>
        </w:tc>
      </w:tr>
      <w:tr w:rsidR="00D021D6" w:rsidRPr="000973F2" w14:paraId="3A2C584B" w14:textId="77777777" w:rsidTr="00B926DD">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1335" w:type="dxa"/>
            <w:noWrap/>
            <w:hideMark/>
          </w:tcPr>
          <w:p w14:paraId="7A35CB6B" w14:textId="77777777" w:rsidR="00A6693E" w:rsidRPr="000973F2" w:rsidRDefault="00A6693E" w:rsidP="00F8574F">
            <w:pPr>
              <w:spacing w:before="40" w:after="40"/>
              <w:rPr>
                <w:rFonts w:ascii="Times New Roman" w:eastAsia="Times New Roman" w:hAnsi="Times New Roman" w:cs="Times New Roman"/>
                <w:b/>
                <w:bCs w:val="0"/>
                <w:sz w:val="18"/>
                <w:szCs w:val="18"/>
              </w:rPr>
            </w:pPr>
            <w:r w:rsidRPr="000973F2">
              <w:rPr>
                <w:rFonts w:ascii="Times New Roman" w:eastAsia="Times New Roman" w:hAnsi="Times New Roman" w:cs="Times New Roman"/>
                <w:b/>
                <w:sz w:val="18"/>
                <w:szCs w:val="18"/>
              </w:rPr>
              <w:t>Total</w:t>
            </w:r>
          </w:p>
        </w:tc>
        <w:tc>
          <w:tcPr>
            <w:tcW w:w="787" w:type="dxa"/>
            <w:noWrap/>
            <w:hideMark/>
          </w:tcPr>
          <w:p w14:paraId="7CC9BACF" w14:textId="77777777" w:rsidR="00A6693E" w:rsidRPr="000973F2" w:rsidRDefault="00A6693E" w:rsidP="00F8574F">
            <w:pPr>
              <w:tabs>
                <w:tab w:val="decimal" w:pos="316"/>
              </w:tabs>
              <w:spacing w:before="40" w:after="4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18"/>
                <w:szCs w:val="18"/>
              </w:rPr>
            </w:pPr>
            <w:r w:rsidRPr="000973F2">
              <w:rPr>
                <w:rFonts w:ascii="Times New Roman" w:eastAsia="Times New Roman" w:hAnsi="Times New Roman" w:cs="Times New Roman"/>
                <w:b/>
                <w:bCs/>
                <w:sz w:val="18"/>
                <w:szCs w:val="18"/>
              </w:rPr>
              <w:t>0</w:t>
            </w:r>
          </w:p>
        </w:tc>
        <w:tc>
          <w:tcPr>
            <w:tcW w:w="787" w:type="dxa"/>
            <w:noWrap/>
            <w:hideMark/>
          </w:tcPr>
          <w:p w14:paraId="6210899D" w14:textId="77777777" w:rsidR="00A6693E" w:rsidRPr="000973F2" w:rsidRDefault="00A6693E" w:rsidP="00F8574F">
            <w:pPr>
              <w:tabs>
                <w:tab w:val="decimal" w:pos="316"/>
              </w:tabs>
              <w:spacing w:before="40" w:after="4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18"/>
                <w:szCs w:val="18"/>
              </w:rPr>
            </w:pPr>
            <w:r w:rsidRPr="000973F2">
              <w:rPr>
                <w:rFonts w:ascii="Times New Roman" w:eastAsia="Times New Roman" w:hAnsi="Times New Roman" w:cs="Times New Roman"/>
                <w:b/>
                <w:bCs/>
                <w:sz w:val="18"/>
                <w:szCs w:val="18"/>
              </w:rPr>
              <w:t>2.0</w:t>
            </w:r>
          </w:p>
        </w:tc>
        <w:tc>
          <w:tcPr>
            <w:tcW w:w="788" w:type="dxa"/>
            <w:noWrap/>
            <w:hideMark/>
          </w:tcPr>
          <w:p w14:paraId="2F7C33F6" w14:textId="77777777" w:rsidR="00A6693E" w:rsidRPr="000973F2" w:rsidRDefault="00A6693E" w:rsidP="00F8574F">
            <w:pPr>
              <w:tabs>
                <w:tab w:val="decimal" w:pos="316"/>
              </w:tabs>
              <w:spacing w:before="40" w:after="4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18"/>
                <w:szCs w:val="18"/>
              </w:rPr>
            </w:pPr>
            <w:r w:rsidRPr="000973F2">
              <w:rPr>
                <w:rFonts w:ascii="Times New Roman" w:eastAsia="Times New Roman" w:hAnsi="Times New Roman" w:cs="Times New Roman"/>
                <w:b/>
                <w:bCs/>
                <w:sz w:val="18"/>
                <w:szCs w:val="18"/>
              </w:rPr>
              <w:t>0</w:t>
            </w:r>
          </w:p>
        </w:tc>
        <w:tc>
          <w:tcPr>
            <w:tcW w:w="787" w:type="dxa"/>
            <w:noWrap/>
            <w:hideMark/>
          </w:tcPr>
          <w:p w14:paraId="4AE23BBC" w14:textId="77777777" w:rsidR="00A6693E" w:rsidRPr="000973F2" w:rsidRDefault="00A6693E" w:rsidP="00F8574F">
            <w:pPr>
              <w:tabs>
                <w:tab w:val="decimal" w:pos="316"/>
              </w:tabs>
              <w:spacing w:before="40" w:after="4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18"/>
                <w:szCs w:val="18"/>
              </w:rPr>
            </w:pPr>
            <w:r w:rsidRPr="000973F2">
              <w:rPr>
                <w:rFonts w:ascii="Times New Roman" w:eastAsia="Times New Roman" w:hAnsi="Times New Roman" w:cs="Times New Roman"/>
                <w:b/>
                <w:bCs/>
                <w:sz w:val="18"/>
                <w:szCs w:val="18"/>
              </w:rPr>
              <w:t>2.0</w:t>
            </w:r>
          </w:p>
        </w:tc>
        <w:tc>
          <w:tcPr>
            <w:tcW w:w="787" w:type="dxa"/>
            <w:noWrap/>
            <w:hideMark/>
          </w:tcPr>
          <w:p w14:paraId="641A6D31" w14:textId="77777777" w:rsidR="00A6693E" w:rsidRPr="000973F2" w:rsidRDefault="00A6693E" w:rsidP="00F8574F">
            <w:pPr>
              <w:tabs>
                <w:tab w:val="decimal" w:pos="316"/>
              </w:tabs>
              <w:spacing w:before="40" w:after="4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18"/>
                <w:szCs w:val="18"/>
              </w:rPr>
            </w:pPr>
            <w:r w:rsidRPr="000973F2">
              <w:rPr>
                <w:rFonts w:ascii="Times New Roman" w:eastAsia="Times New Roman" w:hAnsi="Times New Roman" w:cs="Times New Roman"/>
                <w:b/>
                <w:bCs/>
                <w:sz w:val="18"/>
                <w:szCs w:val="18"/>
              </w:rPr>
              <w:t>0</w:t>
            </w:r>
          </w:p>
        </w:tc>
        <w:tc>
          <w:tcPr>
            <w:tcW w:w="788" w:type="dxa"/>
            <w:noWrap/>
            <w:hideMark/>
          </w:tcPr>
          <w:p w14:paraId="64DBDF18" w14:textId="77777777" w:rsidR="00A6693E" w:rsidRPr="000973F2" w:rsidRDefault="00A6693E" w:rsidP="00F8574F">
            <w:pPr>
              <w:tabs>
                <w:tab w:val="decimal" w:pos="316"/>
              </w:tabs>
              <w:spacing w:before="40" w:after="4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18"/>
                <w:szCs w:val="18"/>
              </w:rPr>
            </w:pPr>
            <w:r w:rsidRPr="000973F2">
              <w:rPr>
                <w:rFonts w:ascii="Times New Roman" w:eastAsia="Times New Roman" w:hAnsi="Times New Roman" w:cs="Times New Roman"/>
                <w:b/>
                <w:bCs/>
                <w:sz w:val="18"/>
                <w:szCs w:val="18"/>
              </w:rPr>
              <w:t>15.3</w:t>
            </w:r>
          </w:p>
        </w:tc>
        <w:tc>
          <w:tcPr>
            <w:tcW w:w="787" w:type="dxa"/>
            <w:noWrap/>
            <w:hideMark/>
          </w:tcPr>
          <w:p w14:paraId="620A83F1" w14:textId="77777777" w:rsidR="00A6693E" w:rsidRPr="000973F2" w:rsidRDefault="00A6693E" w:rsidP="00F8574F">
            <w:pPr>
              <w:tabs>
                <w:tab w:val="decimal" w:pos="316"/>
              </w:tabs>
              <w:spacing w:before="40" w:after="4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18"/>
                <w:szCs w:val="18"/>
              </w:rPr>
            </w:pPr>
            <w:r w:rsidRPr="000973F2">
              <w:rPr>
                <w:rFonts w:ascii="Times New Roman" w:eastAsia="Times New Roman" w:hAnsi="Times New Roman" w:cs="Times New Roman"/>
                <w:b/>
                <w:bCs/>
                <w:sz w:val="18"/>
                <w:szCs w:val="18"/>
              </w:rPr>
              <w:t>0</w:t>
            </w:r>
          </w:p>
        </w:tc>
        <w:tc>
          <w:tcPr>
            <w:tcW w:w="788" w:type="dxa"/>
            <w:noWrap/>
            <w:hideMark/>
          </w:tcPr>
          <w:p w14:paraId="4874A7CA" w14:textId="77777777" w:rsidR="00A6693E" w:rsidRPr="000973F2" w:rsidRDefault="00A6693E" w:rsidP="00F8574F">
            <w:pPr>
              <w:tabs>
                <w:tab w:val="decimal" w:pos="316"/>
              </w:tabs>
              <w:spacing w:before="40" w:after="4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18"/>
                <w:szCs w:val="18"/>
              </w:rPr>
            </w:pPr>
            <w:r w:rsidRPr="000973F2">
              <w:rPr>
                <w:rFonts w:ascii="Times New Roman" w:eastAsia="Times New Roman" w:hAnsi="Times New Roman" w:cs="Times New Roman"/>
                <w:b/>
                <w:bCs/>
                <w:sz w:val="18"/>
                <w:szCs w:val="18"/>
              </w:rPr>
              <w:t>2.4</w:t>
            </w:r>
          </w:p>
        </w:tc>
        <w:tc>
          <w:tcPr>
            <w:tcW w:w="848" w:type="dxa"/>
            <w:noWrap/>
            <w:hideMark/>
          </w:tcPr>
          <w:p w14:paraId="3E55D829" w14:textId="0621EC63" w:rsidR="00A6693E" w:rsidRPr="000973F2" w:rsidRDefault="00A6693E" w:rsidP="00F8574F">
            <w:pPr>
              <w:tabs>
                <w:tab w:val="decimal" w:pos="421"/>
              </w:tabs>
              <w:spacing w:before="40" w:after="4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18"/>
                <w:szCs w:val="18"/>
              </w:rPr>
            </w:pPr>
            <w:r w:rsidRPr="000973F2">
              <w:rPr>
                <w:rFonts w:ascii="Times New Roman" w:eastAsia="Times New Roman" w:hAnsi="Times New Roman" w:cs="Times New Roman"/>
                <w:b/>
                <w:bCs/>
                <w:sz w:val="18"/>
                <w:szCs w:val="18"/>
              </w:rPr>
              <w:t>$0</w:t>
            </w:r>
          </w:p>
        </w:tc>
        <w:tc>
          <w:tcPr>
            <w:tcW w:w="848" w:type="dxa"/>
            <w:noWrap/>
            <w:hideMark/>
          </w:tcPr>
          <w:p w14:paraId="7E526652" w14:textId="1F60BE84" w:rsidR="00A6693E" w:rsidRPr="000973F2" w:rsidRDefault="00A6693E" w:rsidP="00F8574F">
            <w:pPr>
              <w:tabs>
                <w:tab w:val="decimal" w:pos="481"/>
              </w:tabs>
              <w:spacing w:before="40" w:after="4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18"/>
                <w:szCs w:val="18"/>
              </w:rPr>
            </w:pPr>
            <w:r w:rsidRPr="000973F2">
              <w:rPr>
                <w:rFonts w:ascii="Times New Roman" w:eastAsia="Times New Roman" w:hAnsi="Times New Roman" w:cs="Times New Roman"/>
                <w:b/>
                <w:bCs/>
                <w:sz w:val="18"/>
                <w:szCs w:val="18"/>
              </w:rPr>
              <w:t>$1,575</w:t>
            </w:r>
          </w:p>
        </w:tc>
      </w:tr>
    </w:tbl>
    <w:p w14:paraId="5243FC81" w14:textId="77777777" w:rsidR="00A6693E" w:rsidRPr="000973F2" w:rsidRDefault="00A6693E" w:rsidP="00F8574F">
      <w:pPr>
        <w:pStyle w:val="AfterTable"/>
      </w:pPr>
    </w:p>
    <w:p w14:paraId="153AB0BD" w14:textId="77777777" w:rsidR="00A6693E" w:rsidRPr="000973F2" w:rsidRDefault="00A6693E" w:rsidP="00F8574F">
      <w:pPr>
        <w:pStyle w:val="Heading2"/>
      </w:pPr>
      <w:r w:rsidRPr="000973F2">
        <w:t>Capital and O&amp;M Costs for Subpart LL</w:t>
      </w:r>
    </w:p>
    <w:p w14:paraId="079B0E44" w14:textId="244CA565" w:rsidR="00A6693E" w:rsidRPr="000973F2" w:rsidRDefault="00A6693E" w:rsidP="00C00E4F">
      <w:pPr>
        <w:spacing w:line="240" w:lineRule="auto"/>
        <w:rPr>
          <w:rFonts w:ascii="Times New Roman" w:hAnsi="Times New Roman" w:cs="Times New Roman"/>
        </w:rPr>
      </w:pPr>
      <w:r w:rsidRPr="000973F2">
        <w:rPr>
          <w:rFonts w:ascii="Times New Roman" w:hAnsi="Times New Roman" w:cs="Times New Roman"/>
        </w:rPr>
        <w:t>Facilities will only incur O&amp;M costs associated with recordkeeping, as discussed in the Cost Appendix Introduction. No capital costs are expected for Subpart LL.</w:t>
      </w:r>
    </w:p>
    <w:p w14:paraId="2B71C778" w14:textId="2F20171D" w:rsidR="009D2E16" w:rsidRPr="000973F2" w:rsidRDefault="009D2E16" w:rsidP="00F8574F">
      <w:pPr>
        <w:pStyle w:val="Tabletitle"/>
      </w:pPr>
      <w:r w:rsidRPr="000973F2">
        <w:t xml:space="preserve">Table </w:t>
      </w:r>
      <w:r w:rsidR="000D7DE6" w:rsidRPr="000973F2">
        <w:t>LL</w:t>
      </w:r>
      <w:r w:rsidR="00F8574F" w:rsidRPr="000973F2">
        <w:t>-</w:t>
      </w:r>
      <w:r w:rsidRPr="000973F2">
        <w:t xml:space="preserve">2. Capital and O&amp;M Costs </w:t>
      </w:r>
      <w:r w:rsidR="00B960CC" w:rsidRPr="000973F2">
        <w:t>–</w:t>
      </w:r>
      <w:r w:rsidRPr="000973F2">
        <w:t xml:space="preserve"> Subpart LL</w:t>
      </w:r>
    </w:p>
    <w:tbl>
      <w:tblPr>
        <w:tblStyle w:val="PlainTable1"/>
        <w:tblW w:w="5000" w:type="pct"/>
        <w:jc w:val="left"/>
        <w:tblLayout w:type="fixed"/>
        <w:tblCellMar>
          <w:left w:w="115" w:type="dxa"/>
          <w:right w:w="115" w:type="dxa"/>
        </w:tblCellMar>
        <w:tblLook w:val="04A0" w:firstRow="1" w:lastRow="0" w:firstColumn="1" w:lastColumn="0" w:noHBand="0" w:noVBand="1"/>
      </w:tblPr>
      <w:tblGrid>
        <w:gridCol w:w="1743"/>
        <w:gridCol w:w="1308"/>
        <w:gridCol w:w="1308"/>
        <w:gridCol w:w="1307"/>
        <w:gridCol w:w="1350"/>
        <w:gridCol w:w="1266"/>
        <w:gridCol w:w="1308"/>
      </w:tblGrid>
      <w:tr w:rsidR="00D17312" w:rsidRPr="000973F2" w14:paraId="61D2AC97" w14:textId="77777777" w:rsidTr="00F8574F">
        <w:trPr>
          <w:cnfStyle w:val="100000000000" w:firstRow="1" w:lastRow="0" w:firstColumn="0" w:lastColumn="0" w:oddVBand="0" w:evenVBand="0" w:oddHBand="0" w:evenHBand="0" w:firstRowFirstColumn="0" w:firstRowLastColumn="0" w:lastRowFirstColumn="0" w:lastRowLastColumn="0"/>
          <w:cantSplit/>
          <w:jc w:val="left"/>
        </w:trPr>
        <w:tc>
          <w:tcPr>
            <w:cnfStyle w:val="001000000000" w:firstRow="0" w:lastRow="0" w:firstColumn="1" w:lastColumn="0" w:oddVBand="0" w:evenVBand="0" w:oddHBand="0" w:evenHBand="0" w:firstRowFirstColumn="0" w:firstRowLastColumn="0" w:lastRowFirstColumn="0" w:lastRowLastColumn="0"/>
            <w:tcW w:w="1695" w:type="dxa"/>
            <w:vMerge w:val="restart"/>
            <w:noWrap/>
            <w:vAlign w:val="top"/>
            <w:hideMark/>
          </w:tcPr>
          <w:p w14:paraId="230E3B17" w14:textId="35DF06C9" w:rsidR="00D17312" w:rsidRPr="000973F2" w:rsidRDefault="00D17312" w:rsidP="00F8574F">
            <w:pPr>
              <w:spacing w:before="40" w:after="40"/>
              <w:rPr>
                <w:rFonts w:ascii="Times New Roman" w:eastAsia="Times New Roman" w:hAnsi="Times New Roman" w:cs="Times New Roman"/>
                <w:bCs w:val="0"/>
                <w:sz w:val="18"/>
                <w:szCs w:val="18"/>
              </w:rPr>
            </w:pPr>
            <w:r w:rsidRPr="000973F2">
              <w:rPr>
                <w:rFonts w:ascii="Times New Roman" w:eastAsia="Times New Roman" w:hAnsi="Times New Roman" w:cs="Times New Roman"/>
                <w:bCs w:val="0"/>
                <w:sz w:val="18"/>
                <w:szCs w:val="18"/>
              </w:rPr>
              <w:t>Activity</w:t>
            </w:r>
          </w:p>
        </w:tc>
        <w:tc>
          <w:tcPr>
            <w:tcW w:w="5130" w:type="dxa"/>
            <w:gridSpan w:val="4"/>
            <w:noWrap/>
            <w:vAlign w:val="top"/>
            <w:hideMark/>
          </w:tcPr>
          <w:p w14:paraId="73FDAF47" w14:textId="77777777" w:rsidR="00D17312" w:rsidRPr="000973F2" w:rsidRDefault="00D17312" w:rsidP="00F8574F">
            <w:pPr>
              <w:spacing w:before="40" w:after="40"/>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Cs w:val="0"/>
                <w:sz w:val="18"/>
                <w:szCs w:val="18"/>
              </w:rPr>
            </w:pPr>
            <w:r w:rsidRPr="000973F2">
              <w:rPr>
                <w:rFonts w:ascii="Times New Roman" w:eastAsia="Times New Roman" w:hAnsi="Times New Roman" w:cs="Times New Roman"/>
                <w:bCs w:val="0"/>
                <w:sz w:val="18"/>
                <w:szCs w:val="18"/>
              </w:rPr>
              <w:t>Cost Categories</w:t>
            </w:r>
          </w:p>
        </w:tc>
        <w:tc>
          <w:tcPr>
            <w:tcW w:w="2505" w:type="dxa"/>
            <w:gridSpan w:val="2"/>
            <w:vAlign w:val="top"/>
            <w:hideMark/>
          </w:tcPr>
          <w:p w14:paraId="663A3366" w14:textId="77777777" w:rsidR="00D17312" w:rsidRPr="000973F2" w:rsidRDefault="00D17312" w:rsidP="00F8574F">
            <w:pPr>
              <w:spacing w:before="40" w:after="40"/>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Cs w:val="0"/>
                <w:sz w:val="18"/>
                <w:szCs w:val="18"/>
              </w:rPr>
            </w:pPr>
            <w:r w:rsidRPr="000973F2">
              <w:rPr>
                <w:rFonts w:ascii="Times New Roman" w:eastAsia="Times New Roman" w:hAnsi="Times New Roman" w:cs="Times New Roman"/>
                <w:bCs w:val="0"/>
                <w:sz w:val="18"/>
                <w:szCs w:val="18"/>
              </w:rPr>
              <w:t>Total Capital and O&amp;M Cost per Year per Facility (2017$)</w:t>
            </w:r>
          </w:p>
        </w:tc>
      </w:tr>
      <w:tr w:rsidR="003768E3" w:rsidRPr="000973F2" w14:paraId="6B91061C" w14:textId="77777777" w:rsidTr="00F8574F">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1695" w:type="dxa"/>
            <w:vMerge/>
            <w:noWrap/>
            <w:hideMark/>
          </w:tcPr>
          <w:p w14:paraId="6A340335" w14:textId="1F673281" w:rsidR="00D17312" w:rsidRPr="000973F2" w:rsidRDefault="00D17312" w:rsidP="00F8574F">
            <w:pPr>
              <w:spacing w:before="40" w:after="40"/>
              <w:jc w:val="center"/>
              <w:rPr>
                <w:rFonts w:ascii="Times New Roman" w:eastAsia="Times New Roman" w:hAnsi="Times New Roman" w:cs="Times New Roman"/>
                <w:b/>
                <w:bCs w:val="0"/>
                <w:sz w:val="18"/>
                <w:szCs w:val="18"/>
              </w:rPr>
            </w:pPr>
          </w:p>
        </w:tc>
        <w:tc>
          <w:tcPr>
            <w:tcW w:w="1272" w:type="dxa"/>
            <w:hideMark/>
          </w:tcPr>
          <w:p w14:paraId="686BE6BD" w14:textId="77777777" w:rsidR="00D17312" w:rsidRPr="000973F2" w:rsidRDefault="00D17312" w:rsidP="00F8574F">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18"/>
                <w:szCs w:val="18"/>
              </w:rPr>
            </w:pPr>
            <w:r w:rsidRPr="000973F2">
              <w:rPr>
                <w:rFonts w:ascii="Times New Roman" w:eastAsia="Times New Roman" w:hAnsi="Times New Roman" w:cs="Times New Roman"/>
                <w:b/>
                <w:bCs/>
                <w:sz w:val="18"/>
                <w:szCs w:val="18"/>
              </w:rPr>
              <w:t>Capital Cost (2017$)</w:t>
            </w:r>
          </w:p>
        </w:tc>
        <w:tc>
          <w:tcPr>
            <w:tcW w:w="1273" w:type="dxa"/>
            <w:hideMark/>
          </w:tcPr>
          <w:p w14:paraId="0E7FBC60" w14:textId="77777777" w:rsidR="00D17312" w:rsidRPr="000973F2" w:rsidRDefault="00D17312" w:rsidP="00F8574F">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18"/>
                <w:szCs w:val="18"/>
              </w:rPr>
            </w:pPr>
            <w:r w:rsidRPr="000973F2">
              <w:rPr>
                <w:rFonts w:ascii="Times New Roman" w:eastAsia="Times New Roman" w:hAnsi="Times New Roman" w:cs="Times New Roman"/>
                <w:b/>
                <w:bCs/>
                <w:sz w:val="18"/>
                <w:szCs w:val="18"/>
              </w:rPr>
              <w:t>Equipment Lifetime</w:t>
            </w:r>
          </w:p>
        </w:tc>
        <w:tc>
          <w:tcPr>
            <w:tcW w:w="1272" w:type="dxa"/>
            <w:hideMark/>
          </w:tcPr>
          <w:p w14:paraId="556A6EF0" w14:textId="77777777" w:rsidR="00D17312" w:rsidRPr="000973F2" w:rsidRDefault="00D17312" w:rsidP="00F8574F">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18"/>
                <w:szCs w:val="18"/>
              </w:rPr>
            </w:pPr>
            <w:r w:rsidRPr="000973F2">
              <w:rPr>
                <w:rFonts w:ascii="Times New Roman" w:eastAsia="Times New Roman" w:hAnsi="Times New Roman" w:cs="Times New Roman"/>
                <w:b/>
                <w:bCs/>
                <w:sz w:val="18"/>
                <w:szCs w:val="18"/>
              </w:rPr>
              <w:t>Annualized Capital Cost (2017$/year)</w:t>
            </w:r>
          </w:p>
        </w:tc>
        <w:tc>
          <w:tcPr>
            <w:tcW w:w="1313" w:type="dxa"/>
            <w:hideMark/>
          </w:tcPr>
          <w:p w14:paraId="6F2ED2A3" w14:textId="77777777" w:rsidR="00D17312" w:rsidRPr="000973F2" w:rsidRDefault="00D17312" w:rsidP="00F8574F">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18"/>
                <w:szCs w:val="18"/>
              </w:rPr>
            </w:pPr>
            <w:r w:rsidRPr="000973F2">
              <w:rPr>
                <w:rFonts w:ascii="Times New Roman" w:eastAsia="Times New Roman" w:hAnsi="Times New Roman" w:cs="Times New Roman"/>
                <w:b/>
                <w:bCs/>
                <w:sz w:val="18"/>
                <w:szCs w:val="18"/>
              </w:rPr>
              <w:t>O&amp;M Costs (2017$/year)</w:t>
            </w:r>
          </w:p>
        </w:tc>
        <w:tc>
          <w:tcPr>
            <w:tcW w:w="1232" w:type="dxa"/>
            <w:hideMark/>
          </w:tcPr>
          <w:p w14:paraId="7253B52B" w14:textId="77777777" w:rsidR="00D17312" w:rsidRPr="000973F2" w:rsidRDefault="00D17312" w:rsidP="00F8574F">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18"/>
                <w:szCs w:val="18"/>
              </w:rPr>
            </w:pPr>
            <w:r w:rsidRPr="000973F2">
              <w:rPr>
                <w:rFonts w:ascii="Times New Roman" w:eastAsia="Times New Roman" w:hAnsi="Times New Roman" w:cs="Times New Roman"/>
                <w:b/>
                <w:bCs/>
                <w:sz w:val="18"/>
                <w:szCs w:val="18"/>
              </w:rPr>
              <w:t>Initial Year</w:t>
            </w:r>
          </w:p>
        </w:tc>
        <w:tc>
          <w:tcPr>
            <w:tcW w:w="1273" w:type="dxa"/>
            <w:hideMark/>
          </w:tcPr>
          <w:p w14:paraId="105A1980" w14:textId="77777777" w:rsidR="00D17312" w:rsidRPr="000973F2" w:rsidRDefault="00D17312" w:rsidP="00F8574F">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18"/>
                <w:szCs w:val="18"/>
              </w:rPr>
            </w:pPr>
            <w:r w:rsidRPr="000973F2">
              <w:rPr>
                <w:rFonts w:ascii="Times New Roman" w:eastAsia="Times New Roman" w:hAnsi="Times New Roman" w:cs="Times New Roman"/>
                <w:b/>
                <w:bCs/>
                <w:sz w:val="18"/>
                <w:szCs w:val="18"/>
              </w:rPr>
              <w:t>Subseq. Years</w:t>
            </w:r>
          </w:p>
        </w:tc>
      </w:tr>
      <w:tr w:rsidR="00F8574F" w:rsidRPr="000973F2" w14:paraId="4E12098D" w14:textId="77777777" w:rsidTr="00F8574F">
        <w:trPr>
          <w:cantSplit/>
        </w:trPr>
        <w:tc>
          <w:tcPr>
            <w:cnfStyle w:val="001000000000" w:firstRow="0" w:lastRow="0" w:firstColumn="1" w:lastColumn="0" w:oddVBand="0" w:evenVBand="0" w:oddHBand="0" w:evenHBand="0" w:firstRowFirstColumn="0" w:firstRowLastColumn="0" w:lastRowFirstColumn="0" w:lastRowLastColumn="0"/>
            <w:tcW w:w="1695" w:type="dxa"/>
            <w:hideMark/>
          </w:tcPr>
          <w:p w14:paraId="35A44C5F" w14:textId="77777777" w:rsidR="00F8574F" w:rsidRPr="000973F2" w:rsidRDefault="00F8574F" w:rsidP="00F8574F">
            <w:pPr>
              <w:spacing w:before="40" w:after="4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Equipment (selection, purchase, installation)</w:t>
            </w:r>
          </w:p>
        </w:tc>
        <w:tc>
          <w:tcPr>
            <w:tcW w:w="1272" w:type="dxa"/>
            <w:noWrap/>
            <w:hideMark/>
          </w:tcPr>
          <w:p w14:paraId="7B129713" w14:textId="123EBC2E" w:rsidR="00F8574F" w:rsidRPr="000973F2" w:rsidRDefault="00F8574F" w:rsidP="00F8574F">
            <w:pPr>
              <w:spacing w:before="40" w:after="4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w:t>
            </w:r>
          </w:p>
        </w:tc>
        <w:tc>
          <w:tcPr>
            <w:tcW w:w="1273" w:type="dxa"/>
            <w:noWrap/>
          </w:tcPr>
          <w:p w14:paraId="133AA772" w14:textId="2F6E0D34" w:rsidR="00F8574F" w:rsidRPr="000973F2" w:rsidRDefault="00F8574F" w:rsidP="00F8574F">
            <w:pPr>
              <w:spacing w:before="40" w:after="4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p>
        </w:tc>
        <w:tc>
          <w:tcPr>
            <w:tcW w:w="1272" w:type="dxa"/>
            <w:noWrap/>
            <w:hideMark/>
          </w:tcPr>
          <w:p w14:paraId="4C36777C" w14:textId="7B6C72D3" w:rsidR="00F8574F" w:rsidRPr="000973F2" w:rsidRDefault="00F8574F" w:rsidP="00F8574F">
            <w:pPr>
              <w:spacing w:before="40" w:after="4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w:t>
            </w:r>
          </w:p>
        </w:tc>
        <w:tc>
          <w:tcPr>
            <w:tcW w:w="1313" w:type="dxa"/>
            <w:noWrap/>
            <w:hideMark/>
          </w:tcPr>
          <w:p w14:paraId="6092BD4A" w14:textId="5F8A6B1F" w:rsidR="00F8574F" w:rsidRPr="000973F2" w:rsidRDefault="00F8574F" w:rsidP="00F8574F">
            <w:pPr>
              <w:spacing w:before="40" w:after="4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w:t>
            </w:r>
          </w:p>
        </w:tc>
        <w:tc>
          <w:tcPr>
            <w:tcW w:w="1232" w:type="dxa"/>
            <w:noWrap/>
            <w:hideMark/>
          </w:tcPr>
          <w:p w14:paraId="7874B9A3" w14:textId="174340FD" w:rsidR="00F8574F" w:rsidRPr="000973F2" w:rsidRDefault="00F8574F" w:rsidP="00F8574F">
            <w:pPr>
              <w:spacing w:before="40" w:after="4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w:t>
            </w:r>
          </w:p>
        </w:tc>
        <w:tc>
          <w:tcPr>
            <w:tcW w:w="1273" w:type="dxa"/>
            <w:noWrap/>
            <w:hideMark/>
          </w:tcPr>
          <w:p w14:paraId="3102A8CA" w14:textId="51BFAEA0" w:rsidR="00F8574F" w:rsidRPr="000973F2" w:rsidRDefault="00F8574F" w:rsidP="00F8574F">
            <w:pPr>
              <w:spacing w:before="40" w:after="4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w:t>
            </w:r>
          </w:p>
        </w:tc>
      </w:tr>
      <w:tr w:rsidR="00F8574F" w:rsidRPr="000973F2" w14:paraId="35F75F9C" w14:textId="77777777" w:rsidTr="00F8574F">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1695" w:type="dxa"/>
            <w:hideMark/>
          </w:tcPr>
          <w:p w14:paraId="25053A98" w14:textId="77777777" w:rsidR="00F8574F" w:rsidRPr="000973F2" w:rsidRDefault="00F8574F" w:rsidP="00F8574F">
            <w:pPr>
              <w:spacing w:before="40" w:after="4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Performance testing</w:t>
            </w:r>
          </w:p>
        </w:tc>
        <w:tc>
          <w:tcPr>
            <w:tcW w:w="1272" w:type="dxa"/>
            <w:noWrap/>
            <w:hideMark/>
          </w:tcPr>
          <w:p w14:paraId="54A5A0ED" w14:textId="4090C577" w:rsidR="00F8574F" w:rsidRPr="000973F2" w:rsidRDefault="00F8574F" w:rsidP="00F8574F">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w:t>
            </w:r>
          </w:p>
        </w:tc>
        <w:tc>
          <w:tcPr>
            <w:tcW w:w="1273" w:type="dxa"/>
            <w:noWrap/>
          </w:tcPr>
          <w:p w14:paraId="711B776A" w14:textId="2BFD4A06" w:rsidR="00F8574F" w:rsidRPr="000973F2" w:rsidRDefault="00F8574F" w:rsidP="00F8574F">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p>
        </w:tc>
        <w:tc>
          <w:tcPr>
            <w:tcW w:w="1272" w:type="dxa"/>
            <w:noWrap/>
            <w:hideMark/>
          </w:tcPr>
          <w:p w14:paraId="45C11D1C" w14:textId="1ECABB08" w:rsidR="00F8574F" w:rsidRPr="000973F2" w:rsidRDefault="00F8574F" w:rsidP="00F8574F">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w:t>
            </w:r>
          </w:p>
        </w:tc>
        <w:tc>
          <w:tcPr>
            <w:tcW w:w="1313" w:type="dxa"/>
            <w:noWrap/>
            <w:hideMark/>
          </w:tcPr>
          <w:p w14:paraId="1C86A1E7" w14:textId="17510AD0" w:rsidR="00F8574F" w:rsidRPr="000973F2" w:rsidRDefault="00F8574F" w:rsidP="00F8574F">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w:t>
            </w:r>
          </w:p>
        </w:tc>
        <w:tc>
          <w:tcPr>
            <w:tcW w:w="1232" w:type="dxa"/>
            <w:noWrap/>
            <w:hideMark/>
          </w:tcPr>
          <w:p w14:paraId="73FDCF84" w14:textId="2969D5AF" w:rsidR="00F8574F" w:rsidRPr="000973F2" w:rsidRDefault="00F8574F" w:rsidP="00F8574F">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w:t>
            </w:r>
          </w:p>
        </w:tc>
        <w:tc>
          <w:tcPr>
            <w:tcW w:w="1273" w:type="dxa"/>
            <w:noWrap/>
            <w:hideMark/>
          </w:tcPr>
          <w:p w14:paraId="6B0EE86C" w14:textId="75136C4E" w:rsidR="00F8574F" w:rsidRPr="000973F2" w:rsidRDefault="00F8574F" w:rsidP="00F8574F">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w:t>
            </w:r>
          </w:p>
        </w:tc>
      </w:tr>
      <w:tr w:rsidR="003768E3" w:rsidRPr="000973F2" w14:paraId="490D9B13" w14:textId="77777777" w:rsidTr="00F8574F">
        <w:trPr>
          <w:cantSplit/>
        </w:trPr>
        <w:tc>
          <w:tcPr>
            <w:cnfStyle w:val="001000000000" w:firstRow="0" w:lastRow="0" w:firstColumn="1" w:lastColumn="0" w:oddVBand="0" w:evenVBand="0" w:oddHBand="0" w:evenHBand="0" w:firstRowFirstColumn="0" w:firstRowLastColumn="0" w:lastRowFirstColumn="0" w:lastRowLastColumn="0"/>
            <w:tcW w:w="1695" w:type="dxa"/>
            <w:hideMark/>
          </w:tcPr>
          <w:p w14:paraId="6E1BBE8F" w14:textId="77777777" w:rsidR="00A6693E" w:rsidRPr="000973F2" w:rsidRDefault="00A6693E" w:rsidP="00F8574F">
            <w:pPr>
              <w:spacing w:before="40" w:after="4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Recordkeeping</w:t>
            </w:r>
          </w:p>
        </w:tc>
        <w:tc>
          <w:tcPr>
            <w:tcW w:w="1272" w:type="dxa"/>
            <w:noWrap/>
            <w:hideMark/>
          </w:tcPr>
          <w:p w14:paraId="396A5A74" w14:textId="77777777" w:rsidR="00A6693E" w:rsidRPr="000973F2" w:rsidRDefault="00A6693E" w:rsidP="00F8574F">
            <w:pPr>
              <w:spacing w:before="40" w:after="4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$0</w:t>
            </w:r>
          </w:p>
        </w:tc>
        <w:tc>
          <w:tcPr>
            <w:tcW w:w="1273" w:type="dxa"/>
            <w:noWrap/>
          </w:tcPr>
          <w:p w14:paraId="401CDA33" w14:textId="77777777" w:rsidR="00A6693E" w:rsidRPr="000973F2" w:rsidRDefault="00A6693E" w:rsidP="00F8574F">
            <w:pPr>
              <w:spacing w:before="40" w:after="4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p>
        </w:tc>
        <w:tc>
          <w:tcPr>
            <w:tcW w:w="1272" w:type="dxa"/>
            <w:noWrap/>
            <w:hideMark/>
          </w:tcPr>
          <w:p w14:paraId="2DEBAA00" w14:textId="77777777" w:rsidR="00A6693E" w:rsidRPr="000973F2" w:rsidRDefault="00A6693E" w:rsidP="00F8574F">
            <w:pPr>
              <w:spacing w:before="40" w:after="4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$0</w:t>
            </w:r>
          </w:p>
        </w:tc>
        <w:tc>
          <w:tcPr>
            <w:tcW w:w="1313" w:type="dxa"/>
            <w:noWrap/>
            <w:hideMark/>
          </w:tcPr>
          <w:p w14:paraId="44E582D0" w14:textId="77777777" w:rsidR="00A6693E" w:rsidRPr="000973F2" w:rsidRDefault="00A6693E" w:rsidP="00F8574F">
            <w:pPr>
              <w:spacing w:before="40" w:after="4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$50</w:t>
            </w:r>
          </w:p>
        </w:tc>
        <w:tc>
          <w:tcPr>
            <w:tcW w:w="1232" w:type="dxa"/>
            <w:noWrap/>
            <w:hideMark/>
          </w:tcPr>
          <w:p w14:paraId="33D843F9" w14:textId="77777777" w:rsidR="00A6693E" w:rsidRPr="000973F2" w:rsidRDefault="00A6693E" w:rsidP="00F8574F">
            <w:pPr>
              <w:spacing w:before="40" w:after="4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$0</w:t>
            </w:r>
          </w:p>
        </w:tc>
        <w:tc>
          <w:tcPr>
            <w:tcW w:w="1273" w:type="dxa"/>
            <w:noWrap/>
            <w:hideMark/>
          </w:tcPr>
          <w:p w14:paraId="0AB47C34" w14:textId="77777777" w:rsidR="00A6693E" w:rsidRPr="000973F2" w:rsidRDefault="00A6693E" w:rsidP="00F8574F">
            <w:pPr>
              <w:spacing w:before="40" w:after="4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$50</w:t>
            </w:r>
          </w:p>
        </w:tc>
      </w:tr>
      <w:tr w:rsidR="00F8574F" w:rsidRPr="000973F2" w14:paraId="01E84676" w14:textId="77777777" w:rsidTr="00F8574F">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1695" w:type="dxa"/>
            <w:hideMark/>
          </w:tcPr>
          <w:p w14:paraId="2A030CFB" w14:textId="77777777" w:rsidR="00F8574F" w:rsidRPr="000973F2" w:rsidRDefault="00F8574F" w:rsidP="00F8574F">
            <w:pPr>
              <w:spacing w:before="40" w:after="4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Travel</w:t>
            </w:r>
          </w:p>
        </w:tc>
        <w:tc>
          <w:tcPr>
            <w:tcW w:w="1272" w:type="dxa"/>
            <w:noWrap/>
            <w:hideMark/>
          </w:tcPr>
          <w:p w14:paraId="5215D44C" w14:textId="0E9DDAEA" w:rsidR="00F8574F" w:rsidRPr="000973F2" w:rsidRDefault="00F8574F" w:rsidP="00F8574F">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w:t>
            </w:r>
          </w:p>
        </w:tc>
        <w:tc>
          <w:tcPr>
            <w:tcW w:w="1273" w:type="dxa"/>
            <w:noWrap/>
          </w:tcPr>
          <w:p w14:paraId="2A7E3CA8" w14:textId="2F0DA29F" w:rsidR="00F8574F" w:rsidRPr="000973F2" w:rsidRDefault="00F8574F" w:rsidP="00F8574F">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p>
        </w:tc>
        <w:tc>
          <w:tcPr>
            <w:tcW w:w="1272" w:type="dxa"/>
            <w:noWrap/>
            <w:hideMark/>
          </w:tcPr>
          <w:p w14:paraId="47E9B2BA" w14:textId="4EC697F0" w:rsidR="00F8574F" w:rsidRPr="000973F2" w:rsidRDefault="00F8574F" w:rsidP="00F8574F">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w:t>
            </w:r>
          </w:p>
        </w:tc>
        <w:tc>
          <w:tcPr>
            <w:tcW w:w="1313" w:type="dxa"/>
            <w:noWrap/>
            <w:hideMark/>
          </w:tcPr>
          <w:p w14:paraId="6B7A5E29" w14:textId="5224A9A7" w:rsidR="00F8574F" w:rsidRPr="000973F2" w:rsidRDefault="00F8574F" w:rsidP="00F8574F">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w:t>
            </w:r>
          </w:p>
        </w:tc>
        <w:tc>
          <w:tcPr>
            <w:tcW w:w="1232" w:type="dxa"/>
            <w:noWrap/>
            <w:hideMark/>
          </w:tcPr>
          <w:p w14:paraId="507B4DDE" w14:textId="15692F4A" w:rsidR="00F8574F" w:rsidRPr="000973F2" w:rsidRDefault="00F8574F" w:rsidP="00F8574F">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w:t>
            </w:r>
          </w:p>
        </w:tc>
        <w:tc>
          <w:tcPr>
            <w:tcW w:w="1273" w:type="dxa"/>
            <w:noWrap/>
            <w:hideMark/>
          </w:tcPr>
          <w:p w14:paraId="25672AF9" w14:textId="44B81DFE" w:rsidR="00F8574F" w:rsidRPr="000973F2" w:rsidRDefault="00F8574F" w:rsidP="00F8574F">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w:t>
            </w:r>
          </w:p>
        </w:tc>
      </w:tr>
      <w:tr w:rsidR="00F8574F" w:rsidRPr="000973F2" w14:paraId="5A63EC98" w14:textId="77777777" w:rsidTr="00F8574F">
        <w:trPr>
          <w:cantSplit/>
        </w:trPr>
        <w:tc>
          <w:tcPr>
            <w:cnfStyle w:val="001000000000" w:firstRow="0" w:lastRow="0" w:firstColumn="1" w:lastColumn="0" w:oddVBand="0" w:evenVBand="0" w:oddHBand="0" w:evenHBand="0" w:firstRowFirstColumn="0" w:firstRowLastColumn="0" w:lastRowFirstColumn="0" w:lastRowLastColumn="0"/>
            <w:tcW w:w="1695" w:type="dxa"/>
            <w:hideMark/>
          </w:tcPr>
          <w:p w14:paraId="46E3D297" w14:textId="3ECC4914" w:rsidR="00F8574F" w:rsidRPr="000973F2" w:rsidRDefault="00F8574F" w:rsidP="00F8574F">
            <w:pPr>
              <w:spacing w:before="40" w:after="4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Sampling and Analysis Costs</w:t>
            </w:r>
          </w:p>
        </w:tc>
        <w:tc>
          <w:tcPr>
            <w:tcW w:w="1272" w:type="dxa"/>
            <w:noWrap/>
            <w:hideMark/>
          </w:tcPr>
          <w:p w14:paraId="2D12CDC4" w14:textId="3F2E454B" w:rsidR="00F8574F" w:rsidRPr="000973F2" w:rsidRDefault="00F8574F" w:rsidP="00F8574F">
            <w:pPr>
              <w:spacing w:before="40" w:after="4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w:t>
            </w:r>
          </w:p>
        </w:tc>
        <w:tc>
          <w:tcPr>
            <w:tcW w:w="1273" w:type="dxa"/>
            <w:noWrap/>
          </w:tcPr>
          <w:p w14:paraId="456C99B1" w14:textId="39246A74" w:rsidR="00F8574F" w:rsidRPr="000973F2" w:rsidRDefault="00F8574F" w:rsidP="00F8574F">
            <w:pPr>
              <w:spacing w:before="40" w:after="4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p>
        </w:tc>
        <w:tc>
          <w:tcPr>
            <w:tcW w:w="1272" w:type="dxa"/>
            <w:noWrap/>
            <w:hideMark/>
          </w:tcPr>
          <w:p w14:paraId="7250EBB2" w14:textId="5AE11E18" w:rsidR="00F8574F" w:rsidRPr="000973F2" w:rsidRDefault="00F8574F" w:rsidP="00F8574F">
            <w:pPr>
              <w:spacing w:before="40" w:after="4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w:t>
            </w:r>
          </w:p>
        </w:tc>
        <w:tc>
          <w:tcPr>
            <w:tcW w:w="1313" w:type="dxa"/>
            <w:noWrap/>
            <w:hideMark/>
          </w:tcPr>
          <w:p w14:paraId="256F080C" w14:textId="3FE9844B" w:rsidR="00F8574F" w:rsidRPr="000973F2" w:rsidRDefault="00F8574F" w:rsidP="00F8574F">
            <w:pPr>
              <w:spacing w:before="40" w:after="4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w:t>
            </w:r>
          </w:p>
        </w:tc>
        <w:tc>
          <w:tcPr>
            <w:tcW w:w="1232" w:type="dxa"/>
            <w:noWrap/>
            <w:hideMark/>
          </w:tcPr>
          <w:p w14:paraId="2F947BEB" w14:textId="05AA4594" w:rsidR="00F8574F" w:rsidRPr="000973F2" w:rsidRDefault="00F8574F" w:rsidP="00F8574F">
            <w:pPr>
              <w:spacing w:before="40" w:after="4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w:t>
            </w:r>
          </w:p>
        </w:tc>
        <w:tc>
          <w:tcPr>
            <w:tcW w:w="1273" w:type="dxa"/>
            <w:noWrap/>
            <w:hideMark/>
          </w:tcPr>
          <w:p w14:paraId="6E62ABC1" w14:textId="0EDF813F" w:rsidR="00F8574F" w:rsidRPr="000973F2" w:rsidRDefault="00F8574F" w:rsidP="00F8574F">
            <w:pPr>
              <w:spacing w:before="40" w:after="4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w:t>
            </w:r>
          </w:p>
        </w:tc>
      </w:tr>
      <w:tr w:rsidR="003768E3" w:rsidRPr="000973F2" w14:paraId="34F2DE2E" w14:textId="77777777" w:rsidTr="00F8574F">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1695" w:type="dxa"/>
            <w:hideMark/>
          </w:tcPr>
          <w:p w14:paraId="46786932" w14:textId="77777777" w:rsidR="00A6693E" w:rsidRPr="000973F2" w:rsidRDefault="00A6693E" w:rsidP="00F8574F">
            <w:pPr>
              <w:spacing w:before="40" w:after="40"/>
              <w:rPr>
                <w:rFonts w:ascii="Times New Roman" w:eastAsia="Times New Roman" w:hAnsi="Times New Roman" w:cs="Times New Roman"/>
                <w:b/>
                <w:bCs w:val="0"/>
                <w:sz w:val="18"/>
                <w:szCs w:val="18"/>
              </w:rPr>
            </w:pPr>
            <w:r w:rsidRPr="000973F2">
              <w:rPr>
                <w:rFonts w:ascii="Times New Roman" w:eastAsia="Times New Roman" w:hAnsi="Times New Roman" w:cs="Times New Roman"/>
                <w:b/>
                <w:sz w:val="18"/>
                <w:szCs w:val="18"/>
              </w:rPr>
              <w:t xml:space="preserve">Total </w:t>
            </w:r>
          </w:p>
        </w:tc>
        <w:tc>
          <w:tcPr>
            <w:tcW w:w="1272" w:type="dxa"/>
            <w:noWrap/>
            <w:hideMark/>
          </w:tcPr>
          <w:p w14:paraId="1468852C" w14:textId="77777777" w:rsidR="00A6693E" w:rsidRPr="000973F2" w:rsidRDefault="00A6693E" w:rsidP="00F8574F">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sz w:val="18"/>
                <w:szCs w:val="18"/>
              </w:rPr>
            </w:pPr>
            <w:r w:rsidRPr="000973F2">
              <w:rPr>
                <w:rFonts w:ascii="Times New Roman" w:eastAsia="Times New Roman" w:hAnsi="Times New Roman" w:cs="Times New Roman"/>
                <w:b/>
                <w:sz w:val="18"/>
                <w:szCs w:val="18"/>
              </w:rPr>
              <w:t>$0</w:t>
            </w:r>
          </w:p>
        </w:tc>
        <w:tc>
          <w:tcPr>
            <w:tcW w:w="1273" w:type="dxa"/>
            <w:noWrap/>
            <w:hideMark/>
          </w:tcPr>
          <w:p w14:paraId="08C9B2F1" w14:textId="4068FEE3" w:rsidR="00A6693E" w:rsidRPr="000973F2" w:rsidRDefault="00A6693E" w:rsidP="00F8574F">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sz w:val="18"/>
                <w:szCs w:val="18"/>
              </w:rPr>
            </w:pPr>
          </w:p>
        </w:tc>
        <w:tc>
          <w:tcPr>
            <w:tcW w:w="1272" w:type="dxa"/>
            <w:noWrap/>
            <w:hideMark/>
          </w:tcPr>
          <w:p w14:paraId="3CE285BE" w14:textId="77777777" w:rsidR="00A6693E" w:rsidRPr="000973F2" w:rsidRDefault="00A6693E" w:rsidP="00F8574F">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sz w:val="18"/>
                <w:szCs w:val="18"/>
              </w:rPr>
            </w:pPr>
            <w:r w:rsidRPr="000973F2">
              <w:rPr>
                <w:rFonts w:ascii="Times New Roman" w:eastAsia="Times New Roman" w:hAnsi="Times New Roman" w:cs="Times New Roman"/>
                <w:b/>
                <w:sz w:val="18"/>
                <w:szCs w:val="18"/>
              </w:rPr>
              <w:t>$0</w:t>
            </w:r>
          </w:p>
        </w:tc>
        <w:tc>
          <w:tcPr>
            <w:tcW w:w="1313" w:type="dxa"/>
            <w:noWrap/>
            <w:hideMark/>
          </w:tcPr>
          <w:p w14:paraId="59319AB8" w14:textId="77777777" w:rsidR="00A6693E" w:rsidRPr="000973F2" w:rsidRDefault="00A6693E" w:rsidP="00F8574F">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sz w:val="18"/>
                <w:szCs w:val="18"/>
              </w:rPr>
            </w:pPr>
            <w:r w:rsidRPr="000973F2">
              <w:rPr>
                <w:rFonts w:ascii="Times New Roman" w:eastAsia="Times New Roman" w:hAnsi="Times New Roman" w:cs="Times New Roman"/>
                <w:b/>
                <w:sz w:val="18"/>
                <w:szCs w:val="18"/>
              </w:rPr>
              <w:t>$50</w:t>
            </w:r>
          </w:p>
        </w:tc>
        <w:tc>
          <w:tcPr>
            <w:tcW w:w="1232" w:type="dxa"/>
            <w:noWrap/>
            <w:hideMark/>
          </w:tcPr>
          <w:p w14:paraId="5F0976BC" w14:textId="77777777" w:rsidR="00A6693E" w:rsidRPr="000973F2" w:rsidRDefault="00A6693E" w:rsidP="00F8574F">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sz w:val="18"/>
                <w:szCs w:val="18"/>
              </w:rPr>
            </w:pPr>
            <w:r w:rsidRPr="000973F2">
              <w:rPr>
                <w:rFonts w:ascii="Times New Roman" w:eastAsia="Times New Roman" w:hAnsi="Times New Roman" w:cs="Times New Roman"/>
                <w:b/>
                <w:sz w:val="18"/>
                <w:szCs w:val="18"/>
              </w:rPr>
              <w:t>$0</w:t>
            </w:r>
          </w:p>
        </w:tc>
        <w:tc>
          <w:tcPr>
            <w:tcW w:w="1273" w:type="dxa"/>
            <w:noWrap/>
            <w:hideMark/>
          </w:tcPr>
          <w:p w14:paraId="091CE7BC" w14:textId="77777777" w:rsidR="00A6693E" w:rsidRPr="000973F2" w:rsidRDefault="00A6693E" w:rsidP="00F8574F">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sz w:val="18"/>
                <w:szCs w:val="18"/>
              </w:rPr>
            </w:pPr>
            <w:r w:rsidRPr="000973F2">
              <w:rPr>
                <w:rFonts w:ascii="Times New Roman" w:eastAsia="Times New Roman" w:hAnsi="Times New Roman" w:cs="Times New Roman"/>
                <w:b/>
                <w:sz w:val="18"/>
                <w:szCs w:val="18"/>
              </w:rPr>
              <w:t>$50</w:t>
            </w:r>
          </w:p>
        </w:tc>
      </w:tr>
    </w:tbl>
    <w:p w14:paraId="64425E1B" w14:textId="77777777" w:rsidR="00A6693E" w:rsidRPr="000973F2" w:rsidRDefault="00A6693E" w:rsidP="00F8574F">
      <w:pPr>
        <w:pStyle w:val="AfterTable"/>
      </w:pPr>
    </w:p>
    <w:p w14:paraId="4CBD05FC" w14:textId="77777777" w:rsidR="00A6693E" w:rsidRPr="000973F2" w:rsidRDefault="00A6693E" w:rsidP="00F8574F">
      <w:pPr>
        <w:pStyle w:val="Heading2"/>
      </w:pPr>
      <w:r w:rsidRPr="000973F2">
        <w:t>Total Costs for Subpart LL</w:t>
      </w:r>
    </w:p>
    <w:p w14:paraId="0A9B68EB" w14:textId="46DAFA02" w:rsidR="00A6693E" w:rsidRPr="000973F2" w:rsidRDefault="00A6693E" w:rsidP="00F8574F">
      <w:pPr>
        <w:pStyle w:val="BodyText"/>
      </w:pPr>
      <w:r w:rsidRPr="000973F2">
        <w:t>The total industry costs related to Subpart LL are approximately $3,</w:t>
      </w:r>
      <w:r w:rsidR="00470CE2" w:rsidRPr="000973F2">
        <w:t>30</w:t>
      </w:r>
      <w:r w:rsidRPr="000973F2">
        <w:t xml:space="preserve">0 per year for a total of $9,800 over the three-year period </w:t>
      </w:r>
      <w:r w:rsidR="00F24D60" w:rsidRPr="000973F2">
        <w:t>covered by this</w:t>
      </w:r>
      <w:r w:rsidRPr="000973F2">
        <w:t xml:space="preserve"> ICR. Two facilities are expected to report in 2019, 2020, and 2021.</w:t>
      </w:r>
    </w:p>
    <w:p w14:paraId="0714C715" w14:textId="77777777" w:rsidR="00A6693E" w:rsidRPr="000973F2" w:rsidRDefault="00A6693E" w:rsidP="00C00E4F">
      <w:pPr>
        <w:spacing w:line="240" w:lineRule="auto"/>
        <w:rPr>
          <w:rFonts w:ascii="Times New Roman" w:hAnsi="Times New Roman" w:cs="Times New Roman"/>
        </w:rPr>
      </w:pPr>
    </w:p>
    <w:p w14:paraId="3037645C" w14:textId="04E7242F" w:rsidR="00D177BB" w:rsidRPr="000973F2" w:rsidRDefault="00D177BB" w:rsidP="00C00E4F">
      <w:pPr>
        <w:spacing w:line="240" w:lineRule="auto"/>
        <w:rPr>
          <w:rFonts w:ascii="Times New Roman" w:hAnsi="Times New Roman" w:cs="Times New Roman"/>
        </w:rPr>
      </w:pPr>
      <w:r w:rsidRPr="000973F2">
        <w:rPr>
          <w:rFonts w:ascii="Times New Roman" w:hAnsi="Times New Roman" w:cs="Times New Roman"/>
        </w:rPr>
        <w:br w:type="page"/>
      </w:r>
    </w:p>
    <w:p w14:paraId="29C3131D" w14:textId="77777777" w:rsidR="007F08F7" w:rsidRPr="000973F2" w:rsidRDefault="007F08F7" w:rsidP="00F8574F">
      <w:pPr>
        <w:pStyle w:val="Heading1"/>
      </w:pPr>
      <w:bookmarkStart w:id="64" w:name="_Toc10715628"/>
      <w:r w:rsidRPr="000973F2">
        <w:t>Cost Appendix for Subpart MM – Suppliers of Petroleum Products</w:t>
      </w:r>
      <w:bookmarkEnd w:id="64"/>
    </w:p>
    <w:p w14:paraId="3BC1122F" w14:textId="77777777" w:rsidR="007F08F7" w:rsidRPr="000973F2" w:rsidRDefault="007F08F7" w:rsidP="00F8574F">
      <w:pPr>
        <w:pStyle w:val="Heading2"/>
      </w:pPr>
      <w:r w:rsidRPr="000973F2">
        <w:t>Description of Subpart MM</w:t>
      </w:r>
    </w:p>
    <w:p w14:paraId="78E355F5" w14:textId="77777777" w:rsidR="007F08F7" w:rsidRPr="000973F2" w:rsidRDefault="007F08F7" w:rsidP="00F8574F">
      <w:pPr>
        <w:pStyle w:val="BodyText"/>
      </w:pPr>
      <w:r w:rsidRPr="000973F2">
        <w:t>For purposes of the GHGRP, suppliers of petroleum products include refiners, importers and exporters. Refiners are considered owners and operators of petroleum refineries (i.e., facilities engaged in producing petroleum products listed in the subpart through the distillation of crude oil). Importers are considered facilities who bring petroleum products or natural gas liquids (NGLs) listed in the subpart into the United States from a foreign country, including any blender or refiner of refined or semi-refined petroleum products if the quantity of petroleum products imported is equivalent to 25,000 metric tons CO</w:t>
      </w:r>
      <w:r w:rsidRPr="000973F2">
        <w:rPr>
          <w:vertAlign w:val="subscript"/>
        </w:rPr>
        <w:t>2</w:t>
      </w:r>
      <w:r w:rsidRPr="000973F2">
        <w:t>e or more. Exporters are considered facilities who transfer petroleum products or NGLs listed in the subpart from the United States to a foreign country, including any blender or refiner of refined or semi-refined petroleum products if the quantity of petroleum products exported is equivalent to 25,000 metric tons CO</w:t>
      </w:r>
      <w:r w:rsidRPr="000973F2">
        <w:rPr>
          <w:vertAlign w:val="subscript"/>
        </w:rPr>
        <w:t>2</w:t>
      </w:r>
      <w:r w:rsidRPr="000973F2">
        <w:t>e or more.</w:t>
      </w:r>
    </w:p>
    <w:p w14:paraId="4465A3BF" w14:textId="02953E2D" w:rsidR="007F08F7" w:rsidRPr="000973F2" w:rsidRDefault="007F08F7" w:rsidP="00F8574F">
      <w:pPr>
        <w:pStyle w:val="BodyText"/>
      </w:pPr>
      <w:r w:rsidRPr="000973F2">
        <w:t xml:space="preserve">For RY2017, 241 facilities reported to Subpart MM, 137 were petroleum refineries and 104 were import/export facilities. The number of reporting facilities has been consistent over the past 5 years, with slight variations from one year to the next with no specific trend. Therefore, no new </w:t>
      </w:r>
      <w:r w:rsidR="00F24D60" w:rsidRPr="000973F2">
        <w:t>facilities</w:t>
      </w:r>
      <w:r w:rsidRPr="000973F2">
        <w:t xml:space="preserve"> are expected </w:t>
      </w:r>
      <w:r w:rsidR="00F24D60" w:rsidRPr="000973F2">
        <w:t>over the</w:t>
      </w:r>
      <w:r w:rsidRPr="000973F2">
        <w:t xml:space="preserve"> three year</w:t>
      </w:r>
      <w:r w:rsidR="00F24D60" w:rsidRPr="000973F2">
        <w:t xml:space="preserve"> period covered by this ICR</w:t>
      </w:r>
      <w:r w:rsidRPr="000973F2">
        <w:t>. Initial costs apply to new facilities; therefore, those costs are zero in the tables below.</w:t>
      </w:r>
    </w:p>
    <w:p w14:paraId="0A47A717" w14:textId="7870C156" w:rsidR="007F08F7" w:rsidRPr="000973F2" w:rsidRDefault="007F08F7" w:rsidP="00F8574F">
      <w:pPr>
        <w:pStyle w:val="BodyText"/>
      </w:pPr>
      <w:r w:rsidRPr="000973F2">
        <w:t>Suppliers of petroleum products must calculate the annual CO</w:t>
      </w:r>
      <w:r w:rsidRPr="000973F2">
        <w:rPr>
          <w:vertAlign w:val="subscript"/>
        </w:rPr>
        <w:t>2</w:t>
      </w:r>
      <w:r w:rsidRPr="000973F2">
        <w:t xml:space="preserve"> emissions that would result from the complete combustion or oxidation of all petroleum products and NGLs listed in the subpart that leave the facility, minus emissions that would result from the complete combustion or oxidation of: 1) petroleum products and NGLs that enter the refinery to be further refined or otherwise used on site and 2) any biomass co-processed with a</w:t>
      </w:r>
      <w:r w:rsidRPr="000973F2">
        <w:rPr>
          <w:rFonts w:eastAsia="Times New Roman"/>
          <w:spacing w:val="-1"/>
        </w:rPr>
        <w:t xml:space="preserve"> </w:t>
      </w:r>
      <w:r w:rsidRPr="000973F2">
        <w:t>petroleum feedstock. To calculate these emissions, facilities multiply the measured annual quantity of each product (metric tons or barrels) by a product-specific CO</w:t>
      </w:r>
      <w:r w:rsidRPr="000973F2">
        <w:rPr>
          <w:vertAlign w:val="subscript"/>
        </w:rPr>
        <w:t>2</w:t>
      </w:r>
      <w:r w:rsidRPr="000973F2">
        <w:t xml:space="preserve"> emission factor (metric tons CO</w:t>
      </w:r>
      <w:r w:rsidRPr="000973F2">
        <w:rPr>
          <w:vertAlign w:val="subscript"/>
        </w:rPr>
        <w:t>2</w:t>
      </w:r>
      <w:r w:rsidRPr="000973F2">
        <w:t xml:space="preserve"> emitted per barrel or per metric ton of product). The product-specific CO</w:t>
      </w:r>
      <w:r w:rsidRPr="000973F2">
        <w:rPr>
          <w:vertAlign w:val="subscript"/>
        </w:rPr>
        <w:t>2</w:t>
      </w:r>
      <w:r w:rsidRPr="000973F2">
        <w:t xml:space="preserve"> emission factor may be determined by one of two methods. The first method allows facilities to use a published default provided in the rule</w:t>
      </w:r>
      <w:r w:rsidR="00C128AA" w:rsidRPr="000973F2">
        <w:t>, table MM-1</w:t>
      </w:r>
      <w:r w:rsidRPr="000973F2">
        <w:t>. The second method allows facilities to develop an emission factor using direct measurement of density and carbon share. Because the rule does not require facilities to use direct measurement (a more expensive alternative), we have estimated costs based on the use of published default factors.</w:t>
      </w:r>
    </w:p>
    <w:p w14:paraId="79E1C284" w14:textId="77777777" w:rsidR="007F08F7" w:rsidRPr="000973F2" w:rsidRDefault="007F08F7" w:rsidP="00F8574F">
      <w:pPr>
        <w:pStyle w:val="BodyText"/>
      </w:pPr>
      <w:r w:rsidRPr="000973F2">
        <w:t>It should be noted that for facilities reporting emissions from a mixture of importing and exporting, if the export emissions exceed the import emissions then subpart level reported emissions are negative. The emissions from Subpart MM are quite variable year-to-year as the emissions are directly affected by supply and demand of petroleum products from all sectors of the economy.</w:t>
      </w:r>
    </w:p>
    <w:p w14:paraId="64F045C0" w14:textId="2B6BE7D5" w:rsidR="007F08F7" w:rsidRPr="000973F2" w:rsidRDefault="007F08F7" w:rsidP="00F8574F">
      <w:pPr>
        <w:pStyle w:val="Heading2"/>
      </w:pPr>
      <w:r w:rsidRPr="000973F2">
        <w:t>Labor Costs for Subpart MM</w:t>
      </w:r>
    </w:p>
    <w:p w14:paraId="70B0C411" w14:textId="03A2679E" w:rsidR="007F08F7" w:rsidRPr="000973F2" w:rsidRDefault="007F08F7" w:rsidP="00F8574F">
      <w:pPr>
        <w:pStyle w:val="BodyText"/>
      </w:pPr>
      <w:r w:rsidRPr="000973F2">
        <w:t xml:space="preserve">Table </w:t>
      </w:r>
      <w:r w:rsidR="00F8574F" w:rsidRPr="000973F2">
        <w:t>MM-</w:t>
      </w:r>
      <w:r w:rsidRPr="000973F2">
        <w:t>1 includes the labor hours for Subpart MM</w:t>
      </w:r>
      <w:r w:rsidR="00C128AA" w:rsidRPr="000973F2">
        <w:t xml:space="preserve"> for producers, importers and exporters</w:t>
      </w:r>
      <w:r w:rsidRPr="000973F2">
        <w:t xml:space="preserve">. </w:t>
      </w:r>
      <w:r w:rsidRPr="000973F2">
        <w:rPr>
          <w:iCs/>
        </w:rPr>
        <w:t>Typical activities for each of the labor activities are discussed in the Cost Appendix Introduction</w:t>
      </w:r>
      <w:r w:rsidRPr="000973F2">
        <w:t xml:space="preserve">. Recordkeeping and reporting hours </w:t>
      </w:r>
      <w:r w:rsidR="00DD34D2" w:rsidRPr="000973F2">
        <w:t>are based on</w:t>
      </w:r>
      <w:r w:rsidRPr="000973F2">
        <w:t xml:space="preserve"> the “medium bin” designation, as discussed in the Cost Appendix Introduction. Calculations include time required to collect throughput data and perform the emission calculation for each petroleum product (regardless of the product-specific CO</w:t>
      </w:r>
      <w:r w:rsidRPr="000973F2">
        <w:rPr>
          <w:vertAlign w:val="subscript"/>
        </w:rPr>
        <w:t>2</w:t>
      </w:r>
      <w:r w:rsidRPr="000973F2">
        <w:t xml:space="preserve"> emission factor calculation method selected from §98.393). There were more than 3,600 petroleum products reported in RY2017, with </w:t>
      </w:r>
      <w:r w:rsidR="00F24D60" w:rsidRPr="000973F2">
        <w:t>an</w:t>
      </w:r>
      <w:r w:rsidRPr="000973F2">
        <w:t xml:space="preserve"> average of 15 petroleum products per facility. </w:t>
      </w:r>
    </w:p>
    <w:p w14:paraId="5A62BE7E" w14:textId="77777777" w:rsidR="00B50ADB" w:rsidRPr="000973F2" w:rsidRDefault="00B50ADB" w:rsidP="00C00E4F">
      <w:pPr>
        <w:spacing w:line="240" w:lineRule="auto"/>
        <w:rPr>
          <w:rFonts w:ascii="Times New Roman" w:eastAsia="Times New Roman" w:hAnsi="Times New Roman" w:cs="Times New Roman"/>
          <w:b/>
          <w:bCs/>
          <w:szCs w:val="16"/>
        </w:rPr>
      </w:pPr>
      <w:r w:rsidRPr="000973F2">
        <w:rPr>
          <w:rFonts w:ascii="Times New Roman" w:eastAsia="Times New Roman" w:hAnsi="Times New Roman" w:cs="Times New Roman"/>
          <w:b/>
          <w:bCs/>
          <w:szCs w:val="16"/>
        </w:rPr>
        <w:br w:type="page"/>
      </w:r>
    </w:p>
    <w:p w14:paraId="766839CA" w14:textId="5BDD7C35" w:rsidR="00584204" w:rsidRPr="000973F2" w:rsidRDefault="00584204" w:rsidP="00F8574F">
      <w:pPr>
        <w:pStyle w:val="Tabletitle"/>
      </w:pPr>
      <w:r w:rsidRPr="000973F2">
        <w:t xml:space="preserve">Table </w:t>
      </w:r>
      <w:r w:rsidR="00F8574F" w:rsidRPr="000973F2">
        <w:t>MM-</w:t>
      </w:r>
      <w:r w:rsidRPr="000973F2">
        <w:t xml:space="preserve">1. Labor Costs </w:t>
      </w:r>
      <w:r w:rsidR="00B960CC" w:rsidRPr="000973F2">
        <w:t>–</w:t>
      </w:r>
      <w:r w:rsidRPr="000973F2">
        <w:t xml:space="preserve"> Subpart MM</w:t>
      </w:r>
    </w:p>
    <w:tbl>
      <w:tblPr>
        <w:tblStyle w:val="PlainTable1"/>
        <w:tblW w:w="5000" w:type="pct"/>
        <w:jc w:val="left"/>
        <w:tblLayout w:type="fixed"/>
        <w:tblCellMar>
          <w:left w:w="115" w:type="dxa"/>
          <w:right w:w="115" w:type="dxa"/>
        </w:tblCellMar>
        <w:tblLook w:val="04A0" w:firstRow="1" w:lastRow="0" w:firstColumn="1" w:lastColumn="0" w:noHBand="0" w:noVBand="1"/>
      </w:tblPr>
      <w:tblGrid>
        <w:gridCol w:w="1464"/>
        <w:gridCol w:w="797"/>
        <w:gridCol w:w="797"/>
        <w:gridCol w:w="797"/>
        <w:gridCol w:w="798"/>
        <w:gridCol w:w="798"/>
        <w:gridCol w:w="798"/>
        <w:gridCol w:w="798"/>
        <w:gridCol w:w="799"/>
        <w:gridCol w:w="872"/>
        <w:gridCol w:w="872"/>
      </w:tblGrid>
      <w:tr w:rsidR="007F08F7" w:rsidRPr="000973F2" w14:paraId="6CBE0904" w14:textId="77777777" w:rsidTr="00B926DD">
        <w:trPr>
          <w:cnfStyle w:val="100000000000" w:firstRow="1" w:lastRow="0" w:firstColumn="0" w:lastColumn="0" w:oddVBand="0" w:evenVBand="0" w:oddHBand="0" w:evenHBand="0" w:firstRowFirstColumn="0" w:firstRowLastColumn="0" w:lastRowFirstColumn="0" w:lastRowLastColumn="0"/>
          <w:cantSplit/>
          <w:jc w:val="left"/>
        </w:trPr>
        <w:tc>
          <w:tcPr>
            <w:cnfStyle w:val="001000000000" w:firstRow="0" w:lastRow="0" w:firstColumn="1" w:lastColumn="0" w:oddVBand="0" w:evenVBand="0" w:oddHBand="0" w:evenHBand="0" w:firstRowFirstColumn="0" w:firstRowLastColumn="0" w:lastRowFirstColumn="0" w:lastRowLastColumn="0"/>
            <w:tcW w:w="1425" w:type="dxa"/>
            <w:vMerge w:val="restart"/>
            <w:noWrap/>
            <w:vAlign w:val="top"/>
            <w:hideMark/>
          </w:tcPr>
          <w:p w14:paraId="55E8CAD8" w14:textId="77777777" w:rsidR="007F08F7" w:rsidRPr="000973F2" w:rsidRDefault="007F08F7" w:rsidP="00426F77">
            <w:pPr>
              <w:spacing w:before="40" w:after="40"/>
              <w:rPr>
                <w:rFonts w:ascii="Times New Roman" w:eastAsia="Times New Roman" w:hAnsi="Times New Roman" w:cs="Times New Roman"/>
                <w:bCs w:val="0"/>
                <w:sz w:val="18"/>
                <w:szCs w:val="18"/>
              </w:rPr>
            </w:pPr>
            <w:r w:rsidRPr="000973F2">
              <w:rPr>
                <w:rFonts w:ascii="Times New Roman" w:eastAsia="Times New Roman" w:hAnsi="Times New Roman" w:cs="Times New Roman"/>
                <w:bCs w:val="0"/>
                <w:sz w:val="18"/>
                <w:szCs w:val="18"/>
              </w:rPr>
              <w:t>Activity</w:t>
            </w:r>
          </w:p>
        </w:tc>
        <w:tc>
          <w:tcPr>
            <w:tcW w:w="6209" w:type="dxa"/>
            <w:gridSpan w:val="8"/>
            <w:noWrap/>
            <w:vAlign w:val="top"/>
            <w:hideMark/>
          </w:tcPr>
          <w:p w14:paraId="5EBAA89E" w14:textId="77777777" w:rsidR="007F08F7" w:rsidRPr="000973F2" w:rsidRDefault="007F08F7" w:rsidP="00426F77">
            <w:pPr>
              <w:spacing w:before="40" w:after="40"/>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Cs w:val="0"/>
                <w:sz w:val="18"/>
                <w:szCs w:val="18"/>
              </w:rPr>
            </w:pPr>
            <w:r w:rsidRPr="000973F2">
              <w:rPr>
                <w:rFonts w:ascii="Times New Roman" w:eastAsia="Times New Roman" w:hAnsi="Times New Roman" w:cs="Times New Roman"/>
                <w:bCs w:val="0"/>
                <w:sz w:val="18"/>
                <w:szCs w:val="18"/>
              </w:rPr>
              <w:t>Labor Rates (per hour)</w:t>
            </w:r>
          </w:p>
        </w:tc>
        <w:tc>
          <w:tcPr>
            <w:tcW w:w="1696" w:type="dxa"/>
            <w:gridSpan w:val="2"/>
            <w:vMerge w:val="restart"/>
            <w:vAlign w:val="top"/>
            <w:hideMark/>
          </w:tcPr>
          <w:p w14:paraId="39E3A1AC" w14:textId="77777777" w:rsidR="007F08F7" w:rsidRPr="000973F2" w:rsidRDefault="007F08F7" w:rsidP="00426F77">
            <w:pPr>
              <w:spacing w:before="40" w:after="40"/>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Cs w:val="0"/>
                <w:sz w:val="18"/>
                <w:szCs w:val="18"/>
              </w:rPr>
            </w:pPr>
            <w:r w:rsidRPr="000973F2">
              <w:rPr>
                <w:rFonts w:ascii="Times New Roman" w:eastAsia="Times New Roman" w:hAnsi="Times New Roman" w:cs="Times New Roman"/>
                <w:bCs w:val="0"/>
                <w:sz w:val="18"/>
                <w:szCs w:val="18"/>
              </w:rPr>
              <w:t>Total Labor Cost per Year per Facility (2017$)</w:t>
            </w:r>
          </w:p>
        </w:tc>
      </w:tr>
      <w:tr w:rsidR="007F08F7" w:rsidRPr="000973F2" w14:paraId="37E366F6" w14:textId="77777777" w:rsidTr="00B926DD">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1425" w:type="dxa"/>
            <w:vMerge/>
            <w:hideMark/>
          </w:tcPr>
          <w:p w14:paraId="516CCDDF" w14:textId="77777777" w:rsidR="007F08F7" w:rsidRPr="000973F2" w:rsidRDefault="007F08F7" w:rsidP="00426F77">
            <w:pPr>
              <w:spacing w:before="40" w:after="40"/>
              <w:rPr>
                <w:rFonts w:ascii="Times New Roman" w:eastAsia="Times New Roman" w:hAnsi="Times New Roman" w:cs="Times New Roman"/>
                <w:b/>
                <w:bCs w:val="0"/>
                <w:sz w:val="18"/>
                <w:szCs w:val="18"/>
              </w:rPr>
            </w:pPr>
          </w:p>
        </w:tc>
        <w:tc>
          <w:tcPr>
            <w:tcW w:w="1552" w:type="dxa"/>
            <w:gridSpan w:val="2"/>
            <w:noWrap/>
            <w:hideMark/>
          </w:tcPr>
          <w:p w14:paraId="5622C1BF" w14:textId="77777777" w:rsidR="007F08F7" w:rsidRPr="000973F2" w:rsidRDefault="007F08F7" w:rsidP="00426F77">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18"/>
                <w:szCs w:val="18"/>
              </w:rPr>
            </w:pPr>
            <w:r w:rsidRPr="000973F2">
              <w:rPr>
                <w:rFonts w:ascii="Times New Roman" w:eastAsia="Times New Roman" w:hAnsi="Times New Roman" w:cs="Times New Roman"/>
                <w:b/>
                <w:bCs/>
                <w:sz w:val="18"/>
                <w:szCs w:val="18"/>
              </w:rPr>
              <w:t>Lawyer</w:t>
            </w:r>
          </w:p>
        </w:tc>
        <w:tc>
          <w:tcPr>
            <w:tcW w:w="1552" w:type="dxa"/>
            <w:gridSpan w:val="2"/>
            <w:noWrap/>
            <w:hideMark/>
          </w:tcPr>
          <w:p w14:paraId="0E6F9F25" w14:textId="77777777" w:rsidR="007F08F7" w:rsidRPr="000973F2" w:rsidRDefault="007F08F7" w:rsidP="00426F77">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18"/>
                <w:szCs w:val="18"/>
              </w:rPr>
            </w:pPr>
            <w:r w:rsidRPr="000973F2">
              <w:rPr>
                <w:rFonts w:ascii="Times New Roman" w:eastAsia="Times New Roman" w:hAnsi="Times New Roman" w:cs="Times New Roman"/>
                <w:b/>
                <w:bCs/>
                <w:sz w:val="18"/>
                <w:szCs w:val="18"/>
              </w:rPr>
              <w:t>Industrial Manager</w:t>
            </w:r>
          </w:p>
        </w:tc>
        <w:tc>
          <w:tcPr>
            <w:tcW w:w="1552" w:type="dxa"/>
            <w:gridSpan w:val="2"/>
            <w:hideMark/>
          </w:tcPr>
          <w:p w14:paraId="6B39115A" w14:textId="64D3FAF9" w:rsidR="007F08F7" w:rsidRPr="000973F2" w:rsidRDefault="007F08F7" w:rsidP="00426F77">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18"/>
                <w:szCs w:val="18"/>
              </w:rPr>
            </w:pPr>
            <w:r w:rsidRPr="000973F2">
              <w:rPr>
                <w:rFonts w:ascii="Times New Roman" w:eastAsia="Times New Roman" w:hAnsi="Times New Roman" w:cs="Times New Roman"/>
                <w:b/>
                <w:bCs/>
                <w:sz w:val="18"/>
                <w:szCs w:val="18"/>
              </w:rPr>
              <w:t>Industrial Engineer/</w:t>
            </w:r>
            <w:r w:rsidR="00426F77" w:rsidRPr="000973F2">
              <w:rPr>
                <w:rFonts w:ascii="Times New Roman" w:eastAsia="Times New Roman" w:hAnsi="Times New Roman" w:cs="Times New Roman"/>
                <w:b/>
                <w:bCs/>
                <w:sz w:val="18"/>
                <w:szCs w:val="18"/>
              </w:rPr>
              <w:t xml:space="preserve"> </w:t>
            </w:r>
            <w:r w:rsidRPr="000973F2">
              <w:rPr>
                <w:rFonts w:ascii="Times New Roman" w:eastAsia="Times New Roman" w:hAnsi="Times New Roman" w:cs="Times New Roman"/>
                <w:b/>
                <w:bCs/>
                <w:sz w:val="18"/>
                <w:szCs w:val="18"/>
              </w:rPr>
              <w:t>Technician</w:t>
            </w:r>
          </w:p>
        </w:tc>
        <w:tc>
          <w:tcPr>
            <w:tcW w:w="1553" w:type="dxa"/>
            <w:gridSpan w:val="2"/>
            <w:hideMark/>
          </w:tcPr>
          <w:p w14:paraId="075B8B68" w14:textId="77777777" w:rsidR="007F08F7" w:rsidRPr="000973F2" w:rsidRDefault="007F08F7" w:rsidP="00426F77">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18"/>
                <w:szCs w:val="18"/>
              </w:rPr>
            </w:pPr>
            <w:r w:rsidRPr="000973F2">
              <w:rPr>
                <w:rFonts w:ascii="Times New Roman" w:eastAsia="Times New Roman" w:hAnsi="Times New Roman" w:cs="Times New Roman"/>
                <w:b/>
                <w:bCs/>
                <w:sz w:val="18"/>
                <w:szCs w:val="18"/>
              </w:rPr>
              <w:t>Administrative Support</w:t>
            </w:r>
          </w:p>
        </w:tc>
        <w:tc>
          <w:tcPr>
            <w:tcW w:w="1696" w:type="dxa"/>
            <w:gridSpan w:val="2"/>
            <w:vMerge/>
            <w:hideMark/>
          </w:tcPr>
          <w:p w14:paraId="5DFFC2DC" w14:textId="77777777" w:rsidR="007F08F7" w:rsidRPr="000973F2" w:rsidRDefault="007F08F7" w:rsidP="00426F77">
            <w:pPr>
              <w:spacing w:before="40" w:after="4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18"/>
                <w:szCs w:val="18"/>
              </w:rPr>
            </w:pPr>
          </w:p>
        </w:tc>
      </w:tr>
      <w:tr w:rsidR="007F08F7" w:rsidRPr="000973F2" w14:paraId="1FB0C47E" w14:textId="77777777" w:rsidTr="00B926DD">
        <w:trPr>
          <w:cantSplit/>
        </w:trPr>
        <w:tc>
          <w:tcPr>
            <w:cnfStyle w:val="001000000000" w:firstRow="0" w:lastRow="0" w:firstColumn="1" w:lastColumn="0" w:oddVBand="0" w:evenVBand="0" w:oddHBand="0" w:evenHBand="0" w:firstRowFirstColumn="0" w:firstRowLastColumn="0" w:lastRowFirstColumn="0" w:lastRowLastColumn="0"/>
            <w:tcW w:w="1425" w:type="dxa"/>
            <w:vMerge/>
            <w:hideMark/>
          </w:tcPr>
          <w:p w14:paraId="29F1BA91" w14:textId="77777777" w:rsidR="007F08F7" w:rsidRPr="000973F2" w:rsidRDefault="007F08F7" w:rsidP="00426F77">
            <w:pPr>
              <w:spacing w:before="40" w:after="40"/>
              <w:rPr>
                <w:rFonts w:ascii="Times New Roman" w:eastAsia="Times New Roman" w:hAnsi="Times New Roman" w:cs="Times New Roman"/>
                <w:b/>
                <w:bCs w:val="0"/>
                <w:sz w:val="18"/>
                <w:szCs w:val="18"/>
              </w:rPr>
            </w:pPr>
          </w:p>
        </w:tc>
        <w:tc>
          <w:tcPr>
            <w:tcW w:w="1552" w:type="dxa"/>
            <w:gridSpan w:val="2"/>
            <w:noWrap/>
            <w:hideMark/>
          </w:tcPr>
          <w:p w14:paraId="398F264A" w14:textId="77777777" w:rsidR="007F08F7" w:rsidRPr="000973F2" w:rsidRDefault="007F08F7" w:rsidP="00426F77">
            <w:pPr>
              <w:spacing w:before="40" w:after="4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sz w:val="18"/>
                <w:szCs w:val="18"/>
              </w:rPr>
            </w:pPr>
            <w:r w:rsidRPr="000973F2">
              <w:rPr>
                <w:rFonts w:ascii="Times New Roman" w:eastAsia="Times New Roman" w:hAnsi="Times New Roman" w:cs="Times New Roman"/>
                <w:b/>
                <w:bCs/>
                <w:sz w:val="18"/>
                <w:szCs w:val="18"/>
              </w:rPr>
              <w:t xml:space="preserve">$112.23 </w:t>
            </w:r>
          </w:p>
        </w:tc>
        <w:tc>
          <w:tcPr>
            <w:tcW w:w="1552" w:type="dxa"/>
            <w:gridSpan w:val="2"/>
            <w:noWrap/>
            <w:hideMark/>
          </w:tcPr>
          <w:p w14:paraId="43BCC803" w14:textId="77777777" w:rsidR="007F08F7" w:rsidRPr="000973F2" w:rsidRDefault="007F08F7" w:rsidP="00426F77">
            <w:pPr>
              <w:spacing w:before="40" w:after="4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sz w:val="18"/>
                <w:szCs w:val="18"/>
              </w:rPr>
            </w:pPr>
            <w:r w:rsidRPr="000973F2">
              <w:rPr>
                <w:rFonts w:ascii="Times New Roman" w:eastAsia="Times New Roman" w:hAnsi="Times New Roman" w:cs="Times New Roman"/>
                <w:b/>
                <w:bCs/>
                <w:sz w:val="18"/>
                <w:szCs w:val="18"/>
              </w:rPr>
              <w:t xml:space="preserve">$87.45 </w:t>
            </w:r>
          </w:p>
        </w:tc>
        <w:tc>
          <w:tcPr>
            <w:tcW w:w="1552" w:type="dxa"/>
            <w:gridSpan w:val="2"/>
            <w:noWrap/>
            <w:hideMark/>
          </w:tcPr>
          <w:p w14:paraId="3C5200D8" w14:textId="77777777" w:rsidR="007F08F7" w:rsidRPr="000973F2" w:rsidRDefault="007F08F7" w:rsidP="00426F77">
            <w:pPr>
              <w:spacing w:before="40" w:after="4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sz w:val="18"/>
                <w:szCs w:val="18"/>
              </w:rPr>
            </w:pPr>
            <w:r w:rsidRPr="000973F2">
              <w:rPr>
                <w:rFonts w:ascii="Times New Roman" w:eastAsia="Times New Roman" w:hAnsi="Times New Roman" w:cs="Times New Roman"/>
                <w:b/>
                <w:bCs/>
                <w:sz w:val="18"/>
                <w:szCs w:val="18"/>
              </w:rPr>
              <w:t xml:space="preserve">$71.45 </w:t>
            </w:r>
          </w:p>
        </w:tc>
        <w:tc>
          <w:tcPr>
            <w:tcW w:w="1553" w:type="dxa"/>
            <w:gridSpan w:val="2"/>
            <w:noWrap/>
            <w:hideMark/>
          </w:tcPr>
          <w:p w14:paraId="30F72B92" w14:textId="77777777" w:rsidR="007F08F7" w:rsidRPr="000973F2" w:rsidRDefault="007F08F7" w:rsidP="00426F77">
            <w:pPr>
              <w:spacing w:before="40" w:after="4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sz w:val="18"/>
                <w:szCs w:val="18"/>
              </w:rPr>
            </w:pPr>
            <w:r w:rsidRPr="000973F2">
              <w:rPr>
                <w:rFonts w:ascii="Times New Roman" w:eastAsia="Times New Roman" w:hAnsi="Times New Roman" w:cs="Times New Roman"/>
                <w:b/>
                <w:bCs/>
                <w:sz w:val="18"/>
                <w:szCs w:val="18"/>
              </w:rPr>
              <w:t xml:space="preserve">$36.28 </w:t>
            </w:r>
          </w:p>
        </w:tc>
        <w:tc>
          <w:tcPr>
            <w:tcW w:w="1696" w:type="dxa"/>
            <w:gridSpan w:val="2"/>
            <w:vMerge/>
            <w:hideMark/>
          </w:tcPr>
          <w:p w14:paraId="154F565C" w14:textId="77777777" w:rsidR="007F08F7" w:rsidRPr="000973F2" w:rsidRDefault="007F08F7" w:rsidP="00426F77">
            <w:pPr>
              <w:spacing w:before="40" w:after="4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sz w:val="18"/>
                <w:szCs w:val="18"/>
              </w:rPr>
            </w:pPr>
          </w:p>
        </w:tc>
      </w:tr>
      <w:tr w:rsidR="007F08F7" w:rsidRPr="000973F2" w14:paraId="44BB145D" w14:textId="77777777" w:rsidTr="00B926DD">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1425" w:type="dxa"/>
            <w:vMerge/>
            <w:hideMark/>
          </w:tcPr>
          <w:p w14:paraId="5B6ECAAC" w14:textId="77777777" w:rsidR="007F08F7" w:rsidRPr="000973F2" w:rsidRDefault="007F08F7" w:rsidP="00426F77">
            <w:pPr>
              <w:spacing w:before="40" w:after="40"/>
              <w:rPr>
                <w:rFonts w:ascii="Times New Roman" w:eastAsia="Times New Roman" w:hAnsi="Times New Roman" w:cs="Times New Roman"/>
                <w:b/>
                <w:bCs w:val="0"/>
                <w:sz w:val="18"/>
                <w:szCs w:val="18"/>
              </w:rPr>
            </w:pPr>
          </w:p>
        </w:tc>
        <w:tc>
          <w:tcPr>
            <w:tcW w:w="776" w:type="dxa"/>
            <w:tcMar>
              <w:left w:w="14" w:type="dxa"/>
              <w:right w:w="14" w:type="dxa"/>
            </w:tcMar>
            <w:hideMark/>
          </w:tcPr>
          <w:p w14:paraId="005EAC0D" w14:textId="49DAD583" w:rsidR="007F08F7" w:rsidRPr="000973F2" w:rsidRDefault="007F08F7" w:rsidP="00426F77">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18"/>
                <w:szCs w:val="18"/>
              </w:rPr>
            </w:pPr>
            <w:r w:rsidRPr="000973F2">
              <w:rPr>
                <w:rFonts w:ascii="Times New Roman" w:eastAsia="Times New Roman" w:hAnsi="Times New Roman" w:cs="Times New Roman"/>
                <w:b/>
                <w:bCs/>
                <w:sz w:val="18"/>
                <w:szCs w:val="18"/>
              </w:rPr>
              <w:t xml:space="preserve">Initial </w:t>
            </w:r>
            <w:r w:rsidR="00132320" w:rsidRPr="000973F2">
              <w:rPr>
                <w:rFonts w:ascii="Times New Roman" w:eastAsia="Times New Roman" w:hAnsi="Times New Roman" w:cs="Times New Roman"/>
                <w:b/>
                <w:bCs/>
                <w:sz w:val="18"/>
                <w:szCs w:val="18"/>
              </w:rPr>
              <w:t>Year Hours</w:t>
            </w:r>
          </w:p>
        </w:tc>
        <w:tc>
          <w:tcPr>
            <w:tcW w:w="776" w:type="dxa"/>
            <w:tcMar>
              <w:left w:w="14" w:type="dxa"/>
              <w:right w:w="14" w:type="dxa"/>
            </w:tcMar>
            <w:hideMark/>
          </w:tcPr>
          <w:p w14:paraId="4AFB1DB4" w14:textId="10B6C07A" w:rsidR="007F08F7" w:rsidRPr="000973F2" w:rsidRDefault="007F08F7" w:rsidP="00426F77">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18"/>
                <w:szCs w:val="18"/>
              </w:rPr>
            </w:pPr>
            <w:r w:rsidRPr="000973F2">
              <w:rPr>
                <w:rFonts w:ascii="Times New Roman" w:eastAsia="Times New Roman" w:hAnsi="Times New Roman" w:cs="Times New Roman"/>
                <w:b/>
                <w:bCs/>
                <w:sz w:val="18"/>
                <w:szCs w:val="18"/>
              </w:rPr>
              <w:t>Subseq. Year Hours</w:t>
            </w:r>
          </w:p>
        </w:tc>
        <w:tc>
          <w:tcPr>
            <w:tcW w:w="776" w:type="dxa"/>
            <w:tcMar>
              <w:left w:w="14" w:type="dxa"/>
              <w:right w:w="14" w:type="dxa"/>
            </w:tcMar>
            <w:hideMark/>
          </w:tcPr>
          <w:p w14:paraId="1EAF57F6" w14:textId="77777777" w:rsidR="007F08F7" w:rsidRPr="000973F2" w:rsidRDefault="007F08F7" w:rsidP="00426F77">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18"/>
                <w:szCs w:val="18"/>
              </w:rPr>
            </w:pPr>
            <w:r w:rsidRPr="000973F2">
              <w:rPr>
                <w:rFonts w:ascii="Times New Roman" w:eastAsia="Times New Roman" w:hAnsi="Times New Roman" w:cs="Times New Roman"/>
                <w:b/>
                <w:bCs/>
                <w:sz w:val="18"/>
                <w:szCs w:val="18"/>
              </w:rPr>
              <w:t>Initial Year Hours</w:t>
            </w:r>
          </w:p>
        </w:tc>
        <w:tc>
          <w:tcPr>
            <w:tcW w:w="776" w:type="dxa"/>
            <w:tcMar>
              <w:left w:w="14" w:type="dxa"/>
              <w:right w:w="14" w:type="dxa"/>
            </w:tcMar>
            <w:hideMark/>
          </w:tcPr>
          <w:p w14:paraId="47CE4ADD" w14:textId="77777777" w:rsidR="007F08F7" w:rsidRPr="000973F2" w:rsidRDefault="007F08F7" w:rsidP="00426F77">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18"/>
                <w:szCs w:val="18"/>
              </w:rPr>
            </w:pPr>
            <w:r w:rsidRPr="000973F2">
              <w:rPr>
                <w:rFonts w:ascii="Times New Roman" w:eastAsia="Times New Roman" w:hAnsi="Times New Roman" w:cs="Times New Roman"/>
                <w:b/>
                <w:bCs/>
                <w:sz w:val="18"/>
                <w:szCs w:val="18"/>
              </w:rPr>
              <w:t>Subseq. Year Hours</w:t>
            </w:r>
          </w:p>
        </w:tc>
        <w:tc>
          <w:tcPr>
            <w:tcW w:w="776" w:type="dxa"/>
            <w:tcMar>
              <w:left w:w="14" w:type="dxa"/>
              <w:right w:w="14" w:type="dxa"/>
            </w:tcMar>
            <w:hideMark/>
          </w:tcPr>
          <w:p w14:paraId="501AD999" w14:textId="77777777" w:rsidR="007F08F7" w:rsidRPr="000973F2" w:rsidRDefault="007F08F7" w:rsidP="00426F77">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18"/>
                <w:szCs w:val="18"/>
              </w:rPr>
            </w:pPr>
            <w:r w:rsidRPr="000973F2">
              <w:rPr>
                <w:rFonts w:ascii="Times New Roman" w:eastAsia="Times New Roman" w:hAnsi="Times New Roman" w:cs="Times New Roman"/>
                <w:b/>
                <w:bCs/>
                <w:sz w:val="18"/>
                <w:szCs w:val="18"/>
              </w:rPr>
              <w:t>Initial Year Hours</w:t>
            </w:r>
          </w:p>
        </w:tc>
        <w:tc>
          <w:tcPr>
            <w:tcW w:w="776" w:type="dxa"/>
            <w:tcMar>
              <w:left w:w="14" w:type="dxa"/>
              <w:right w:w="14" w:type="dxa"/>
            </w:tcMar>
            <w:hideMark/>
          </w:tcPr>
          <w:p w14:paraId="311AB034" w14:textId="77777777" w:rsidR="007F08F7" w:rsidRPr="000973F2" w:rsidRDefault="007F08F7" w:rsidP="00426F77">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18"/>
                <w:szCs w:val="18"/>
              </w:rPr>
            </w:pPr>
            <w:r w:rsidRPr="000973F2">
              <w:rPr>
                <w:rFonts w:ascii="Times New Roman" w:eastAsia="Times New Roman" w:hAnsi="Times New Roman" w:cs="Times New Roman"/>
                <w:b/>
                <w:bCs/>
                <w:sz w:val="18"/>
                <w:szCs w:val="18"/>
              </w:rPr>
              <w:t>Subseq. Year Hours</w:t>
            </w:r>
          </w:p>
        </w:tc>
        <w:tc>
          <w:tcPr>
            <w:tcW w:w="776" w:type="dxa"/>
            <w:tcMar>
              <w:left w:w="14" w:type="dxa"/>
              <w:right w:w="14" w:type="dxa"/>
            </w:tcMar>
            <w:hideMark/>
          </w:tcPr>
          <w:p w14:paraId="67E68AC3" w14:textId="77777777" w:rsidR="007F08F7" w:rsidRPr="000973F2" w:rsidRDefault="007F08F7" w:rsidP="00426F77">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18"/>
                <w:szCs w:val="18"/>
              </w:rPr>
            </w:pPr>
            <w:r w:rsidRPr="000973F2">
              <w:rPr>
                <w:rFonts w:ascii="Times New Roman" w:eastAsia="Times New Roman" w:hAnsi="Times New Roman" w:cs="Times New Roman"/>
                <w:b/>
                <w:bCs/>
                <w:sz w:val="18"/>
                <w:szCs w:val="18"/>
              </w:rPr>
              <w:t>Initial Year Hours</w:t>
            </w:r>
          </w:p>
        </w:tc>
        <w:tc>
          <w:tcPr>
            <w:tcW w:w="777" w:type="dxa"/>
            <w:tcMar>
              <w:left w:w="14" w:type="dxa"/>
              <w:right w:w="14" w:type="dxa"/>
            </w:tcMar>
            <w:hideMark/>
          </w:tcPr>
          <w:p w14:paraId="12664CCF" w14:textId="77777777" w:rsidR="007F08F7" w:rsidRPr="000973F2" w:rsidRDefault="007F08F7" w:rsidP="00426F77">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18"/>
                <w:szCs w:val="18"/>
              </w:rPr>
            </w:pPr>
            <w:r w:rsidRPr="000973F2">
              <w:rPr>
                <w:rFonts w:ascii="Times New Roman" w:eastAsia="Times New Roman" w:hAnsi="Times New Roman" w:cs="Times New Roman"/>
                <w:b/>
                <w:bCs/>
                <w:sz w:val="18"/>
                <w:szCs w:val="18"/>
              </w:rPr>
              <w:t>Subseq. Year Hours</w:t>
            </w:r>
          </w:p>
        </w:tc>
        <w:tc>
          <w:tcPr>
            <w:tcW w:w="848" w:type="dxa"/>
            <w:tcMar>
              <w:left w:w="14" w:type="dxa"/>
              <w:right w:w="14" w:type="dxa"/>
            </w:tcMar>
            <w:hideMark/>
          </w:tcPr>
          <w:p w14:paraId="799D5F3D" w14:textId="77777777" w:rsidR="007F08F7" w:rsidRPr="000973F2" w:rsidRDefault="007F08F7" w:rsidP="00426F77">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18"/>
                <w:szCs w:val="18"/>
              </w:rPr>
            </w:pPr>
            <w:r w:rsidRPr="000973F2">
              <w:rPr>
                <w:rFonts w:ascii="Times New Roman" w:eastAsia="Times New Roman" w:hAnsi="Times New Roman" w:cs="Times New Roman"/>
                <w:b/>
                <w:bCs/>
                <w:sz w:val="18"/>
                <w:szCs w:val="18"/>
              </w:rPr>
              <w:t>Initial Year</w:t>
            </w:r>
          </w:p>
        </w:tc>
        <w:tc>
          <w:tcPr>
            <w:tcW w:w="848" w:type="dxa"/>
            <w:tcMar>
              <w:left w:w="14" w:type="dxa"/>
              <w:right w:w="14" w:type="dxa"/>
            </w:tcMar>
            <w:hideMark/>
          </w:tcPr>
          <w:p w14:paraId="255B9049" w14:textId="77777777" w:rsidR="007F08F7" w:rsidRPr="000973F2" w:rsidRDefault="007F08F7" w:rsidP="00426F77">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18"/>
                <w:szCs w:val="18"/>
              </w:rPr>
            </w:pPr>
            <w:r w:rsidRPr="000973F2">
              <w:rPr>
                <w:rFonts w:ascii="Times New Roman" w:eastAsia="Times New Roman" w:hAnsi="Times New Roman" w:cs="Times New Roman"/>
                <w:b/>
                <w:bCs/>
                <w:sz w:val="18"/>
                <w:szCs w:val="18"/>
              </w:rPr>
              <w:t>Subseq. Year</w:t>
            </w:r>
          </w:p>
        </w:tc>
      </w:tr>
      <w:tr w:rsidR="007F08F7" w:rsidRPr="000973F2" w14:paraId="1294080A" w14:textId="77777777" w:rsidTr="00B926DD">
        <w:trPr>
          <w:cantSplit/>
        </w:trPr>
        <w:tc>
          <w:tcPr>
            <w:cnfStyle w:val="001000000000" w:firstRow="0" w:lastRow="0" w:firstColumn="1" w:lastColumn="0" w:oddVBand="0" w:evenVBand="0" w:oddHBand="0" w:evenHBand="0" w:firstRowFirstColumn="0" w:firstRowLastColumn="0" w:lastRowFirstColumn="0" w:lastRowLastColumn="0"/>
            <w:tcW w:w="1425" w:type="dxa"/>
            <w:hideMark/>
          </w:tcPr>
          <w:p w14:paraId="58091770" w14:textId="77777777" w:rsidR="007F08F7" w:rsidRPr="000973F2" w:rsidRDefault="007F08F7" w:rsidP="00426F77">
            <w:pPr>
              <w:spacing w:before="40" w:after="4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Planning</w:t>
            </w:r>
          </w:p>
        </w:tc>
        <w:tc>
          <w:tcPr>
            <w:tcW w:w="776" w:type="dxa"/>
            <w:noWrap/>
            <w:hideMark/>
          </w:tcPr>
          <w:p w14:paraId="6FD513DA" w14:textId="77777777" w:rsidR="007F08F7" w:rsidRPr="000973F2" w:rsidRDefault="007F08F7" w:rsidP="00426F77">
            <w:pPr>
              <w:tabs>
                <w:tab w:val="decimal" w:pos="301"/>
              </w:tabs>
              <w:spacing w:before="40" w:after="4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0</w:t>
            </w:r>
          </w:p>
        </w:tc>
        <w:tc>
          <w:tcPr>
            <w:tcW w:w="776" w:type="dxa"/>
            <w:noWrap/>
            <w:hideMark/>
          </w:tcPr>
          <w:p w14:paraId="5C678F2D" w14:textId="77777777" w:rsidR="007F08F7" w:rsidRPr="000973F2" w:rsidRDefault="007F08F7" w:rsidP="00426F77">
            <w:pPr>
              <w:tabs>
                <w:tab w:val="decimal" w:pos="301"/>
              </w:tabs>
              <w:spacing w:before="40" w:after="4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2</w:t>
            </w:r>
          </w:p>
        </w:tc>
        <w:tc>
          <w:tcPr>
            <w:tcW w:w="776" w:type="dxa"/>
            <w:noWrap/>
            <w:hideMark/>
          </w:tcPr>
          <w:p w14:paraId="0BEC8A4B" w14:textId="77777777" w:rsidR="007F08F7" w:rsidRPr="000973F2" w:rsidRDefault="007F08F7" w:rsidP="00426F77">
            <w:pPr>
              <w:tabs>
                <w:tab w:val="decimal" w:pos="301"/>
              </w:tabs>
              <w:spacing w:before="40" w:after="4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0</w:t>
            </w:r>
          </w:p>
        </w:tc>
        <w:tc>
          <w:tcPr>
            <w:tcW w:w="776" w:type="dxa"/>
            <w:noWrap/>
            <w:hideMark/>
          </w:tcPr>
          <w:p w14:paraId="0C8203AA" w14:textId="77777777" w:rsidR="007F08F7" w:rsidRPr="000973F2" w:rsidRDefault="007F08F7" w:rsidP="00426F77">
            <w:pPr>
              <w:tabs>
                <w:tab w:val="decimal" w:pos="301"/>
              </w:tabs>
              <w:spacing w:before="40" w:after="4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0.2</w:t>
            </w:r>
          </w:p>
        </w:tc>
        <w:tc>
          <w:tcPr>
            <w:tcW w:w="776" w:type="dxa"/>
            <w:noWrap/>
            <w:hideMark/>
          </w:tcPr>
          <w:p w14:paraId="72D34EDF" w14:textId="77777777" w:rsidR="007F08F7" w:rsidRPr="000973F2" w:rsidRDefault="007F08F7" w:rsidP="00426F77">
            <w:pPr>
              <w:tabs>
                <w:tab w:val="decimal" w:pos="301"/>
              </w:tabs>
              <w:spacing w:before="40" w:after="4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0</w:t>
            </w:r>
          </w:p>
        </w:tc>
        <w:tc>
          <w:tcPr>
            <w:tcW w:w="776" w:type="dxa"/>
            <w:noWrap/>
            <w:hideMark/>
          </w:tcPr>
          <w:p w14:paraId="2F85B11B" w14:textId="77777777" w:rsidR="007F08F7" w:rsidRPr="000973F2" w:rsidRDefault="007F08F7" w:rsidP="00426F77">
            <w:pPr>
              <w:tabs>
                <w:tab w:val="decimal" w:pos="301"/>
              </w:tabs>
              <w:spacing w:before="40" w:after="4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4.0</w:t>
            </w:r>
          </w:p>
        </w:tc>
        <w:tc>
          <w:tcPr>
            <w:tcW w:w="776" w:type="dxa"/>
            <w:noWrap/>
            <w:hideMark/>
          </w:tcPr>
          <w:p w14:paraId="36E82875" w14:textId="77777777" w:rsidR="007F08F7" w:rsidRPr="000973F2" w:rsidRDefault="007F08F7" w:rsidP="00426F77">
            <w:pPr>
              <w:tabs>
                <w:tab w:val="decimal" w:pos="301"/>
              </w:tabs>
              <w:spacing w:before="40" w:after="4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0</w:t>
            </w:r>
          </w:p>
        </w:tc>
        <w:tc>
          <w:tcPr>
            <w:tcW w:w="777" w:type="dxa"/>
            <w:noWrap/>
            <w:hideMark/>
          </w:tcPr>
          <w:p w14:paraId="0364ED92" w14:textId="77777777" w:rsidR="007F08F7" w:rsidRPr="000973F2" w:rsidRDefault="007F08F7" w:rsidP="00426F77">
            <w:pPr>
              <w:tabs>
                <w:tab w:val="decimal" w:pos="301"/>
              </w:tabs>
              <w:spacing w:before="40" w:after="4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0.4</w:t>
            </w:r>
          </w:p>
        </w:tc>
        <w:tc>
          <w:tcPr>
            <w:tcW w:w="848" w:type="dxa"/>
            <w:noWrap/>
            <w:hideMark/>
          </w:tcPr>
          <w:p w14:paraId="51FA9E14" w14:textId="40E46D32" w:rsidR="007F08F7" w:rsidRPr="000973F2" w:rsidRDefault="007F08F7" w:rsidP="00426F77">
            <w:pPr>
              <w:tabs>
                <w:tab w:val="decimal" w:pos="331"/>
              </w:tabs>
              <w:spacing w:before="40" w:after="4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$0</w:t>
            </w:r>
          </w:p>
        </w:tc>
        <w:tc>
          <w:tcPr>
            <w:tcW w:w="848" w:type="dxa"/>
            <w:noWrap/>
            <w:hideMark/>
          </w:tcPr>
          <w:p w14:paraId="168F4D45" w14:textId="32203D42" w:rsidR="007F08F7" w:rsidRPr="000973F2" w:rsidRDefault="007F08F7" w:rsidP="00426F77">
            <w:pPr>
              <w:tabs>
                <w:tab w:val="decimal" w:pos="481"/>
              </w:tabs>
              <w:spacing w:before="40" w:after="4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$542</w:t>
            </w:r>
          </w:p>
        </w:tc>
      </w:tr>
      <w:tr w:rsidR="007F08F7" w:rsidRPr="000973F2" w14:paraId="513193AA" w14:textId="77777777" w:rsidTr="00B926DD">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1425" w:type="dxa"/>
            <w:hideMark/>
          </w:tcPr>
          <w:p w14:paraId="54053568" w14:textId="77777777" w:rsidR="007F08F7" w:rsidRPr="000973F2" w:rsidRDefault="007F08F7" w:rsidP="00426F77">
            <w:pPr>
              <w:spacing w:before="40" w:after="4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QA/QC</w:t>
            </w:r>
          </w:p>
        </w:tc>
        <w:tc>
          <w:tcPr>
            <w:tcW w:w="776" w:type="dxa"/>
            <w:noWrap/>
            <w:hideMark/>
          </w:tcPr>
          <w:p w14:paraId="66DEC573" w14:textId="77777777" w:rsidR="007F08F7" w:rsidRPr="000973F2" w:rsidRDefault="007F08F7" w:rsidP="00426F77">
            <w:pPr>
              <w:tabs>
                <w:tab w:val="decimal" w:pos="301"/>
              </w:tabs>
              <w:spacing w:before="40" w:after="4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0</w:t>
            </w:r>
          </w:p>
        </w:tc>
        <w:tc>
          <w:tcPr>
            <w:tcW w:w="776" w:type="dxa"/>
            <w:noWrap/>
            <w:hideMark/>
          </w:tcPr>
          <w:p w14:paraId="0B49B17C" w14:textId="77777777" w:rsidR="007F08F7" w:rsidRPr="000973F2" w:rsidRDefault="007F08F7" w:rsidP="00426F77">
            <w:pPr>
              <w:tabs>
                <w:tab w:val="decimal" w:pos="301"/>
              </w:tabs>
              <w:spacing w:before="40" w:after="4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0</w:t>
            </w:r>
          </w:p>
        </w:tc>
        <w:tc>
          <w:tcPr>
            <w:tcW w:w="776" w:type="dxa"/>
            <w:noWrap/>
            <w:hideMark/>
          </w:tcPr>
          <w:p w14:paraId="252A9A52" w14:textId="77777777" w:rsidR="007F08F7" w:rsidRPr="000973F2" w:rsidRDefault="007F08F7" w:rsidP="00426F77">
            <w:pPr>
              <w:tabs>
                <w:tab w:val="decimal" w:pos="301"/>
              </w:tabs>
              <w:spacing w:before="40" w:after="4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0</w:t>
            </w:r>
          </w:p>
        </w:tc>
        <w:tc>
          <w:tcPr>
            <w:tcW w:w="776" w:type="dxa"/>
            <w:noWrap/>
            <w:hideMark/>
          </w:tcPr>
          <w:p w14:paraId="6E6EFF12" w14:textId="77777777" w:rsidR="007F08F7" w:rsidRPr="000973F2" w:rsidRDefault="007F08F7" w:rsidP="00426F77">
            <w:pPr>
              <w:tabs>
                <w:tab w:val="decimal" w:pos="301"/>
              </w:tabs>
              <w:spacing w:before="40" w:after="4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0.2</w:t>
            </w:r>
          </w:p>
        </w:tc>
        <w:tc>
          <w:tcPr>
            <w:tcW w:w="776" w:type="dxa"/>
            <w:noWrap/>
            <w:hideMark/>
          </w:tcPr>
          <w:p w14:paraId="333C5A17" w14:textId="77777777" w:rsidR="007F08F7" w:rsidRPr="000973F2" w:rsidRDefault="007F08F7" w:rsidP="00426F77">
            <w:pPr>
              <w:tabs>
                <w:tab w:val="decimal" w:pos="301"/>
              </w:tabs>
              <w:spacing w:before="40" w:after="4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0</w:t>
            </w:r>
          </w:p>
        </w:tc>
        <w:tc>
          <w:tcPr>
            <w:tcW w:w="776" w:type="dxa"/>
            <w:noWrap/>
            <w:hideMark/>
          </w:tcPr>
          <w:p w14:paraId="2D58E445" w14:textId="77777777" w:rsidR="007F08F7" w:rsidRPr="000973F2" w:rsidRDefault="007F08F7" w:rsidP="00426F77">
            <w:pPr>
              <w:tabs>
                <w:tab w:val="decimal" w:pos="301"/>
              </w:tabs>
              <w:spacing w:before="40" w:after="4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4.0</w:t>
            </w:r>
          </w:p>
        </w:tc>
        <w:tc>
          <w:tcPr>
            <w:tcW w:w="776" w:type="dxa"/>
            <w:noWrap/>
            <w:hideMark/>
          </w:tcPr>
          <w:p w14:paraId="463A0295" w14:textId="77777777" w:rsidR="007F08F7" w:rsidRPr="000973F2" w:rsidRDefault="007F08F7" w:rsidP="00426F77">
            <w:pPr>
              <w:tabs>
                <w:tab w:val="decimal" w:pos="301"/>
              </w:tabs>
              <w:spacing w:before="40" w:after="4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0</w:t>
            </w:r>
          </w:p>
        </w:tc>
        <w:tc>
          <w:tcPr>
            <w:tcW w:w="777" w:type="dxa"/>
            <w:noWrap/>
            <w:hideMark/>
          </w:tcPr>
          <w:p w14:paraId="3A81EDF6" w14:textId="77777777" w:rsidR="007F08F7" w:rsidRPr="000973F2" w:rsidRDefault="007F08F7" w:rsidP="00426F77">
            <w:pPr>
              <w:tabs>
                <w:tab w:val="decimal" w:pos="301"/>
              </w:tabs>
              <w:spacing w:before="40" w:after="4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0.4</w:t>
            </w:r>
          </w:p>
        </w:tc>
        <w:tc>
          <w:tcPr>
            <w:tcW w:w="848" w:type="dxa"/>
            <w:noWrap/>
            <w:hideMark/>
          </w:tcPr>
          <w:p w14:paraId="2592DC6C" w14:textId="163DF726" w:rsidR="007F08F7" w:rsidRPr="000973F2" w:rsidRDefault="007F08F7" w:rsidP="00426F77">
            <w:pPr>
              <w:tabs>
                <w:tab w:val="decimal" w:pos="331"/>
              </w:tabs>
              <w:spacing w:before="40" w:after="4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$0</w:t>
            </w:r>
          </w:p>
        </w:tc>
        <w:tc>
          <w:tcPr>
            <w:tcW w:w="848" w:type="dxa"/>
            <w:noWrap/>
            <w:hideMark/>
          </w:tcPr>
          <w:p w14:paraId="0E1EDDD9" w14:textId="19DAEE03" w:rsidR="007F08F7" w:rsidRPr="000973F2" w:rsidRDefault="007F08F7" w:rsidP="00426F77">
            <w:pPr>
              <w:tabs>
                <w:tab w:val="decimal" w:pos="481"/>
              </w:tabs>
              <w:spacing w:before="40" w:after="4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$318</w:t>
            </w:r>
          </w:p>
        </w:tc>
      </w:tr>
      <w:tr w:rsidR="007F08F7" w:rsidRPr="000973F2" w14:paraId="2FB1D2C8" w14:textId="77777777" w:rsidTr="00B926DD">
        <w:trPr>
          <w:cantSplit/>
        </w:trPr>
        <w:tc>
          <w:tcPr>
            <w:cnfStyle w:val="001000000000" w:firstRow="0" w:lastRow="0" w:firstColumn="1" w:lastColumn="0" w:oddVBand="0" w:evenVBand="0" w:oddHBand="0" w:evenHBand="0" w:firstRowFirstColumn="0" w:firstRowLastColumn="0" w:lastRowFirstColumn="0" w:lastRowLastColumn="0"/>
            <w:tcW w:w="1425" w:type="dxa"/>
            <w:hideMark/>
          </w:tcPr>
          <w:p w14:paraId="75FAC5AF" w14:textId="77777777" w:rsidR="007F08F7" w:rsidRPr="000973F2" w:rsidRDefault="007F08F7" w:rsidP="00426F77">
            <w:pPr>
              <w:spacing w:before="40" w:after="4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Recordkeeping</w:t>
            </w:r>
          </w:p>
        </w:tc>
        <w:tc>
          <w:tcPr>
            <w:tcW w:w="776" w:type="dxa"/>
            <w:noWrap/>
            <w:hideMark/>
          </w:tcPr>
          <w:p w14:paraId="307EBE1D" w14:textId="77777777" w:rsidR="007F08F7" w:rsidRPr="000973F2" w:rsidRDefault="007F08F7" w:rsidP="00426F77">
            <w:pPr>
              <w:tabs>
                <w:tab w:val="decimal" w:pos="301"/>
              </w:tabs>
              <w:spacing w:before="40" w:after="4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0</w:t>
            </w:r>
          </w:p>
        </w:tc>
        <w:tc>
          <w:tcPr>
            <w:tcW w:w="776" w:type="dxa"/>
            <w:noWrap/>
            <w:hideMark/>
          </w:tcPr>
          <w:p w14:paraId="09503BF9" w14:textId="77777777" w:rsidR="007F08F7" w:rsidRPr="000973F2" w:rsidRDefault="007F08F7" w:rsidP="00426F77">
            <w:pPr>
              <w:tabs>
                <w:tab w:val="decimal" w:pos="301"/>
              </w:tabs>
              <w:spacing w:before="40" w:after="4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0</w:t>
            </w:r>
          </w:p>
        </w:tc>
        <w:tc>
          <w:tcPr>
            <w:tcW w:w="776" w:type="dxa"/>
            <w:noWrap/>
            <w:hideMark/>
          </w:tcPr>
          <w:p w14:paraId="66198656" w14:textId="77777777" w:rsidR="007F08F7" w:rsidRPr="000973F2" w:rsidRDefault="007F08F7" w:rsidP="00426F77">
            <w:pPr>
              <w:tabs>
                <w:tab w:val="decimal" w:pos="301"/>
              </w:tabs>
              <w:spacing w:before="40" w:after="4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0</w:t>
            </w:r>
          </w:p>
        </w:tc>
        <w:tc>
          <w:tcPr>
            <w:tcW w:w="776" w:type="dxa"/>
            <w:noWrap/>
            <w:hideMark/>
          </w:tcPr>
          <w:p w14:paraId="7C438AFF" w14:textId="77777777" w:rsidR="007F08F7" w:rsidRPr="000973F2" w:rsidRDefault="007F08F7" w:rsidP="00426F77">
            <w:pPr>
              <w:tabs>
                <w:tab w:val="decimal" w:pos="301"/>
              </w:tabs>
              <w:spacing w:before="40" w:after="4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0.5</w:t>
            </w:r>
          </w:p>
        </w:tc>
        <w:tc>
          <w:tcPr>
            <w:tcW w:w="776" w:type="dxa"/>
            <w:noWrap/>
            <w:hideMark/>
          </w:tcPr>
          <w:p w14:paraId="46385F35" w14:textId="77777777" w:rsidR="007F08F7" w:rsidRPr="000973F2" w:rsidRDefault="007F08F7" w:rsidP="00426F77">
            <w:pPr>
              <w:tabs>
                <w:tab w:val="decimal" w:pos="301"/>
              </w:tabs>
              <w:spacing w:before="40" w:after="4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0</w:t>
            </w:r>
          </w:p>
        </w:tc>
        <w:tc>
          <w:tcPr>
            <w:tcW w:w="776" w:type="dxa"/>
            <w:noWrap/>
            <w:hideMark/>
          </w:tcPr>
          <w:p w14:paraId="7BA956C8" w14:textId="77777777" w:rsidR="007F08F7" w:rsidRPr="000973F2" w:rsidRDefault="007F08F7" w:rsidP="00426F77">
            <w:pPr>
              <w:tabs>
                <w:tab w:val="decimal" w:pos="301"/>
              </w:tabs>
              <w:spacing w:before="40" w:after="4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5.0</w:t>
            </w:r>
          </w:p>
        </w:tc>
        <w:tc>
          <w:tcPr>
            <w:tcW w:w="776" w:type="dxa"/>
            <w:noWrap/>
            <w:hideMark/>
          </w:tcPr>
          <w:p w14:paraId="2A733164" w14:textId="77777777" w:rsidR="007F08F7" w:rsidRPr="000973F2" w:rsidRDefault="007F08F7" w:rsidP="00426F77">
            <w:pPr>
              <w:tabs>
                <w:tab w:val="decimal" w:pos="301"/>
              </w:tabs>
              <w:spacing w:before="40" w:after="4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0</w:t>
            </w:r>
          </w:p>
        </w:tc>
        <w:tc>
          <w:tcPr>
            <w:tcW w:w="777" w:type="dxa"/>
            <w:noWrap/>
            <w:hideMark/>
          </w:tcPr>
          <w:p w14:paraId="203A9130" w14:textId="77777777" w:rsidR="007F08F7" w:rsidRPr="000973F2" w:rsidRDefault="007F08F7" w:rsidP="00426F77">
            <w:pPr>
              <w:tabs>
                <w:tab w:val="decimal" w:pos="301"/>
              </w:tabs>
              <w:spacing w:before="40" w:after="4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0.5</w:t>
            </w:r>
          </w:p>
        </w:tc>
        <w:tc>
          <w:tcPr>
            <w:tcW w:w="848" w:type="dxa"/>
            <w:noWrap/>
            <w:hideMark/>
          </w:tcPr>
          <w:p w14:paraId="01E09956" w14:textId="623F3A6E" w:rsidR="007F08F7" w:rsidRPr="000973F2" w:rsidRDefault="007F08F7" w:rsidP="00426F77">
            <w:pPr>
              <w:tabs>
                <w:tab w:val="decimal" w:pos="331"/>
              </w:tabs>
              <w:spacing w:before="40" w:after="4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$0</w:t>
            </w:r>
          </w:p>
        </w:tc>
        <w:tc>
          <w:tcPr>
            <w:tcW w:w="848" w:type="dxa"/>
            <w:noWrap/>
            <w:hideMark/>
          </w:tcPr>
          <w:p w14:paraId="206722E1" w14:textId="7EE9A52E" w:rsidR="007F08F7" w:rsidRPr="000973F2" w:rsidRDefault="007F08F7" w:rsidP="00426F77">
            <w:pPr>
              <w:tabs>
                <w:tab w:val="decimal" w:pos="481"/>
              </w:tabs>
              <w:spacing w:before="40" w:after="4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$419</w:t>
            </w:r>
          </w:p>
        </w:tc>
      </w:tr>
      <w:tr w:rsidR="007F08F7" w:rsidRPr="000973F2" w14:paraId="19876E19" w14:textId="77777777" w:rsidTr="00B926DD">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1425" w:type="dxa"/>
            <w:hideMark/>
          </w:tcPr>
          <w:p w14:paraId="53F0003F" w14:textId="77777777" w:rsidR="007F08F7" w:rsidRPr="000973F2" w:rsidRDefault="007F08F7" w:rsidP="00426F77">
            <w:pPr>
              <w:spacing w:before="40" w:after="4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Sampling and Analysis (Calculations)</w:t>
            </w:r>
          </w:p>
        </w:tc>
        <w:tc>
          <w:tcPr>
            <w:tcW w:w="776" w:type="dxa"/>
            <w:noWrap/>
            <w:hideMark/>
          </w:tcPr>
          <w:p w14:paraId="39465691" w14:textId="77777777" w:rsidR="007F08F7" w:rsidRPr="000973F2" w:rsidRDefault="007F08F7" w:rsidP="00426F77">
            <w:pPr>
              <w:tabs>
                <w:tab w:val="decimal" w:pos="301"/>
              </w:tabs>
              <w:spacing w:before="40" w:after="4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0</w:t>
            </w:r>
          </w:p>
        </w:tc>
        <w:tc>
          <w:tcPr>
            <w:tcW w:w="776" w:type="dxa"/>
            <w:noWrap/>
            <w:hideMark/>
          </w:tcPr>
          <w:p w14:paraId="5A73BECF" w14:textId="77777777" w:rsidR="007F08F7" w:rsidRPr="000973F2" w:rsidRDefault="007F08F7" w:rsidP="00426F77">
            <w:pPr>
              <w:tabs>
                <w:tab w:val="decimal" w:pos="301"/>
              </w:tabs>
              <w:spacing w:before="40" w:after="4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0</w:t>
            </w:r>
          </w:p>
        </w:tc>
        <w:tc>
          <w:tcPr>
            <w:tcW w:w="776" w:type="dxa"/>
            <w:noWrap/>
            <w:hideMark/>
          </w:tcPr>
          <w:p w14:paraId="256BE5A4" w14:textId="77777777" w:rsidR="007F08F7" w:rsidRPr="000973F2" w:rsidRDefault="007F08F7" w:rsidP="00426F77">
            <w:pPr>
              <w:tabs>
                <w:tab w:val="decimal" w:pos="301"/>
              </w:tabs>
              <w:spacing w:before="40" w:after="4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0</w:t>
            </w:r>
          </w:p>
        </w:tc>
        <w:tc>
          <w:tcPr>
            <w:tcW w:w="776" w:type="dxa"/>
            <w:noWrap/>
            <w:hideMark/>
          </w:tcPr>
          <w:p w14:paraId="37558145" w14:textId="77777777" w:rsidR="007F08F7" w:rsidRPr="000973F2" w:rsidRDefault="007F08F7" w:rsidP="00426F77">
            <w:pPr>
              <w:tabs>
                <w:tab w:val="decimal" w:pos="301"/>
              </w:tabs>
              <w:spacing w:before="40" w:after="4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0.4</w:t>
            </w:r>
          </w:p>
        </w:tc>
        <w:tc>
          <w:tcPr>
            <w:tcW w:w="776" w:type="dxa"/>
            <w:noWrap/>
            <w:hideMark/>
          </w:tcPr>
          <w:p w14:paraId="664D12D9" w14:textId="77777777" w:rsidR="007F08F7" w:rsidRPr="000973F2" w:rsidRDefault="007F08F7" w:rsidP="00426F77">
            <w:pPr>
              <w:tabs>
                <w:tab w:val="decimal" w:pos="301"/>
              </w:tabs>
              <w:spacing w:before="40" w:after="4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0</w:t>
            </w:r>
          </w:p>
        </w:tc>
        <w:tc>
          <w:tcPr>
            <w:tcW w:w="776" w:type="dxa"/>
            <w:noWrap/>
            <w:hideMark/>
          </w:tcPr>
          <w:p w14:paraId="35D9066B" w14:textId="77777777" w:rsidR="007F08F7" w:rsidRPr="000973F2" w:rsidRDefault="007F08F7" w:rsidP="00426F77">
            <w:pPr>
              <w:tabs>
                <w:tab w:val="decimal" w:pos="301"/>
              </w:tabs>
              <w:spacing w:before="40" w:after="4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8.2</w:t>
            </w:r>
          </w:p>
        </w:tc>
        <w:tc>
          <w:tcPr>
            <w:tcW w:w="776" w:type="dxa"/>
            <w:noWrap/>
            <w:hideMark/>
          </w:tcPr>
          <w:p w14:paraId="61D80CD0" w14:textId="77777777" w:rsidR="007F08F7" w:rsidRPr="000973F2" w:rsidRDefault="007F08F7" w:rsidP="00426F77">
            <w:pPr>
              <w:tabs>
                <w:tab w:val="decimal" w:pos="301"/>
              </w:tabs>
              <w:spacing w:before="40" w:after="4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0</w:t>
            </w:r>
          </w:p>
        </w:tc>
        <w:tc>
          <w:tcPr>
            <w:tcW w:w="777" w:type="dxa"/>
            <w:noWrap/>
            <w:hideMark/>
          </w:tcPr>
          <w:p w14:paraId="38706E84" w14:textId="77777777" w:rsidR="007F08F7" w:rsidRPr="000973F2" w:rsidRDefault="007F08F7" w:rsidP="00426F77">
            <w:pPr>
              <w:tabs>
                <w:tab w:val="decimal" w:pos="301"/>
              </w:tabs>
              <w:spacing w:before="40" w:after="4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0.8</w:t>
            </w:r>
          </w:p>
        </w:tc>
        <w:tc>
          <w:tcPr>
            <w:tcW w:w="848" w:type="dxa"/>
            <w:noWrap/>
            <w:hideMark/>
          </w:tcPr>
          <w:p w14:paraId="4C4C8775" w14:textId="2EB16EB2" w:rsidR="007F08F7" w:rsidRPr="000973F2" w:rsidRDefault="007F08F7" w:rsidP="00426F77">
            <w:pPr>
              <w:tabs>
                <w:tab w:val="decimal" w:pos="331"/>
              </w:tabs>
              <w:spacing w:before="40" w:after="4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$0</w:t>
            </w:r>
          </w:p>
        </w:tc>
        <w:tc>
          <w:tcPr>
            <w:tcW w:w="848" w:type="dxa"/>
            <w:noWrap/>
            <w:hideMark/>
          </w:tcPr>
          <w:p w14:paraId="2EF5749D" w14:textId="6472C979" w:rsidR="007F08F7" w:rsidRPr="000973F2" w:rsidRDefault="007F08F7" w:rsidP="00426F77">
            <w:pPr>
              <w:tabs>
                <w:tab w:val="decimal" w:pos="481"/>
              </w:tabs>
              <w:spacing w:before="40" w:after="4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$649</w:t>
            </w:r>
          </w:p>
        </w:tc>
      </w:tr>
      <w:tr w:rsidR="00FE5692" w:rsidRPr="000973F2" w14:paraId="1F65CED2" w14:textId="77777777" w:rsidTr="00B926DD">
        <w:trPr>
          <w:cantSplit/>
        </w:trPr>
        <w:tc>
          <w:tcPr>
            <w:cnfStyle w:val="001000000000" w:firstRow="0" w:lastRow="0" w:firstColumn="1" w:lastColumn="0" w:oddVBand="0" w:evenVBand="0" w:oddHBand="0" w:evenHBand="0" w:firstRowFirstColumn="0" w:firstRowLastColumn="0" w:lastRowFirstColumn="0" w:lastRowLastColumn="0"/>
            <w:tcW w:w="1425" w:type="dxa"/>
            <w:hideMark/>
          </w:tcPr>
          <w:p w14:paraId="7B977E5C" w14:textId="77777777" w:rsidR="007F08F7" w:rsidRPr="000973F2" w:rsidRDefault="007F08F7" w:rsidP="00426F77">
            <w:pPr>
              <w:spacing w:before="40" w:after="4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Reporting</w:t>
            </w:r>
          </w:p>
        </w:tc>
        <w:tc>
          <w:tcPr>
            <w:tcW w:w="776" w:type="dxa"/>
            <w:noWrap/>
            <w:hideMark/>
          </w:tcPr>
          <w:p w14:paraId="7DD781FC" w14:textId="77777777" w:rsidR="007F08F7" w:rsidRPr="000973F2" w:rsidRDefault="007F08F7" w:rsidP="00426F77">
            <w:pPr>
              <w:tabs>
                <w:tab w:val="decimal" w:pos="301"/>
              </w:tabs>
              <w:spacing w:before="40" w:after="4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0</w:t>
            </w:r>
          </w:p>
        </w:tc>
        <w:tc>
          <w:tcPr>
            <w:tcW w:w="776" w:type="dxa"/>
            <w:noWrap/>
            <w:hideMark/>
          </w:tcPr>
          <w:p w14:paraId="4FA29669" w14:textId="77777777" w:rsidR="007F08F7" w:rsidRPr="000973F2" w:rsidRDefault="007F08F7" w:rsidP="00426F77">
            <w:pPr>
              <w:tabs>
                <w:tab w:val="decimal" w:pos="301"/>
              </w:tabs>
              <w:spacing w:before="40" w:after="4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0</w:t>
            </w:r>
          </w:p>
        </w:tc>
        <w:tc>
          <w:tcPr>
            <w:tcW w:w="776" w:type="dxa"/>
            <w:noWrap/>
            <w:hideMark/>
          </w:tcPr>
          <w:p w14:paraId="2B710958" w14:textId="77777777" w:rsidR="007F08F7" w:rsidRPr="000973F2" w:rsidRDefault="007F08F7" w:rsidP="00426F77">
            <w:pPr>
              <w:tabs>
                <w:tab w:val="decimal" w:pos="301"/>
              </w:tabs>
              <w:spacing w:before="40" w:after="4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0</w:t>
            </w:r>
          </w:p>
        </w:tc>
        <w:tc>
          <w:tcPr>
            <w:tcW w:w="776" w:type="dxa"/>
            <w:noWrap/>
            <w:hideMark/>
          </w:tcPr>
          <w:p w14:paraId="2A804E96" w14:textId="77777777" w:rsidR="007F08F7" w:rsidRPr="000973F2" w:rsidRDefault="007F08F7" w:rsidP="00426F77">
            <w:pPr>
              <w:tabs>
                <w:tab w:val="decimal" w:pos="301"/>
              </w:tabs>
              <w:spacing w:before="40" w:after="4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1.0</w:t>
            </w:r>
          </w:p>
        </w:tc>
        <w:tc>
          <w:tcPr>
            <w:tcW w:w="776" w:type="dxa"/>
            <w:noWrap/>
            <w:hideMark/>
          </w:tcPr>
          <w:p w14:paraId="17538D43" w14:textId="77777777" w:rsidR="007F08F7" w:rsidRPr="000973F2" w:rsidRDefault="007F08F7" w:rsidP="00426F77">
            <w:pPr>
              <w:tabs>
                <w:tab w:val="decimal" w:pos="301"/>
              </w:tabs>
              <w:spacing w:before="40" w:after="4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0</w:t>
            </w:r>
          </w:p>
        </w:tc>
        <w:tc>
          <w:tcPr>
            <w:tcW w:w="776" w:type="dxa"/>
            <w:noWrap/>
            <w:hideMark/>
          </w:tcPr>
          <w:p w14:paraId="7B5F02BA" w14:textId="77777777" w:rsidR="007F08F7" w:rsidRPr="000973F2" w:rsidRDefault="007F08F7" w:rsidP="00426F77">
            <w:pPr>
              <w:tabs>
                <w:tab w:val="decimal" w:pos="301"/>
              </w:tabs>
              <w:spacing w:before="40" w:after="4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10.0</w:t>
            </w:r>
          </w:p>
        </w:tc>
        <w:tc>
          <w:tcPr>
            <w:tcW w:w="776" w:type="dxa"/>
            <w:noWrap/>
            <w:hideMark/>
          </w:tcPr>
          <w:p w14:paraId="06F88D0A" w14:textId="77777777" w:rsidR="007F08F7" w:rsidRPr="000973F2" w:rsidRDefault="007F08F7" w:rsidP="00426F77">
            <w:pPr>
              <w:tabs>
                <w:tab w:val="decimal" w:pos="301"/>
              </w:tabs>
              <w:spacing w:before="40" w:after="4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0</w:t>
            </w:r>
          </w:p>
        </w:tc>
        <w:tc>
          <w:tcPr>
            <w:tcW w:w="777" w:type="dxa"/>
            <w:noWrap/>
            <w:hideMark/>
          </w:tcPr>
          <w:p w14:paraId="084768AA" w14:textId="77777777" w:rsidR="007F08F7" w:rsidRPr="000973F2" w:rsidRDefault="007F08F7" w:rsidP="00426F77">
            <w:pPr>
              <w:tabs>
                <w:tab w:val="decimal" w:pos="301"/>
              </w:tabs>
              <w:spacing w:before="40" w:after="4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1.0</w:t>
            </w:r>
          </w:p>
        </w:tc>
        <w:tc>
          <w:tcPr>
            <w:tcW w:w="848" w:type="dxa"/>
            <w:noWrap/>
            <w:hideMark/>
          </w:tcPr>
          <w:p w14:paraId="368705CB" w14:textId="67F0693F" w:rsidR="007F08F7" w:rsidRPr="000973F2" w:rsidRDefault="007F08F7" w:rsidP="00426F77">
            <w:pPr>
              <w:tabs>
                <w:tab w:val="decimal" w:pos="331"/>
              </w:tabs>
              <w:spacing w:before="40" w:after="4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$0</w:t>
            </w:r>
          </w:p>
        </w:tc>
        <w:tc>
          <w:tcPr>
            <w:tcW w:w="848" w:type="dxa"/>
            <w:noWrap/>
            <w:hideMark/>
          </w:tcPr>
          <w:p w14:paraId="74F613E3" w14:textId="22A8193A" w:rsidR="007F08F7" w:rsidRPr="000973F2" w:rsidRDefault="007F08F7" w:rsidP="00426F77">
            <w:pPr>
              <w:tabs>
                <w:tab w:val="decimal" w:pos="481"/>
              </w:tabs>
              <w:spacing w:before="40" w:after="4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$839</w:t>
            </w:r>
          </w:p>
        </w:tc>
      </w:tr>
      <w:tr w:rsidR="007F08F7" w:rsidRPr="000973F2" w14:paraId="38C6245A" w14:textId="77777777" w:rsidTr="00B926DD">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1425" w:type="dxa"/>
            <w:noWrap/>
            <w:hideMark/>
          </w:tcPr>
          <w:p w14:paraId="1FBC22BC" w14:textId="77777777" w:rsidR="007F08F7" w:rsidRPr="000973F2" w:rsidRDefault="007F08F7" w:rsidP="00426F77">
            <w:pPr>
              <w:spacing w:before="40" w:after="40"/>
              <w:rPr>
                <w:rFonts w:ascii="Times New Roman" w:eastAsia="Times New Roman" w:hAnsi="Times New Roman" w:cs="Times New Roman"/>
                <w:b/>
                <w:bCs w:val="0"/>
                <w:sz w:val="18"/>
                <w:szCs w:val="18"/>
              </w:rPr>
            </w:pPr>
            <w:r w:rsidRPr="000973F2">
              <w:rPr>
                <w:rFonts w:ascii="Times New Roman" w:eastAsia="Times New Roman" w:hAnsi="Times New Roman" w:cs="Times New Roman"/>
                <w:b/>
                <w:sz w:val="18"/>
                <w:szCs w:val="18"/>
              </w:rPr>
              <w:t>Total</w:t>
            </w:r>
          </w:p>
        </w:tc>
        <w:tc>
          <w:tcPr>
            <w:tcW w:w="776" w:type="dxa"/>
            <w:noWrap/>
            <w:hideMark/>
          </w:tcPr>
          <w:p w14:paraId="0F8D54FA" w14:textId="77777777" w:rsidR="007F08F7" w:rsidRPr="000973F2" w:rsidRDefault="007F08F7" w:rsidP="00426F77">
            <w:pPr>
              <w:tabs>
                <w:tab w:val="decimal" w:pos="301"/>
              </w:tabs>
              <w:spacing w:before="40" w:after="4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18"/>
                <w:szCs w:val="18"/>
              </w:rPr>
            </w:pPr>
            <w:r w:rsidRPr="000973F2">
              <w:rPr>
                <w:rFonts w:ascii="Times New Roman" w:eastAsia="Times New Roman" w:hAnsi="Times New Roman" w:cs="Times New Roman"/>
                <w:b/>
                <w:bCs/>
                <w:sz w:val="18"/>
                <w:szCs w:val="18"/>
              </w:rPr>
              <w:t>0</w:t>
            </w:r>
          </w:p>
        </w:tc>
        <w:tc>
          <w:tcPr>
            <w:tcW w:w="776" w:type="dxa"/>
            <w:noWrap/>
            <w:hideMark/>
          </w:tcPr>
          <w:p w14:paraId="3C01A3A8" w14:textId="77777777" w:rsidR="007F08F7" w:rsidRPr="000973F2" w:rsidRDefault="007F08F7" w:rsidP="00426F77">
            <w:pPr>
              <w:tabs>
                <w:tab w:val="decimal" w:pos="301"/>
              </w:tabs>
              <w:spacing w:before="40" w:after="4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18"/>
                <w:szCs w:val="18"/>
              </w:rPr>
            </w:pPr>
            <w:r w:rsidRPr="000973F2">
              <w:rPr>
                <w:rFonts w:ascii="Times New Roman" w:eastAsia="Times New Roman" w:hAnsi="Times New Roman" w:cs="Times New Roman"/>
                <w:b/>
                <w:bCs/>
                <w:sz w:val="18"/>
                <w:szCs w:val="18"/>
              </w:rPr>
              <w:t>2</w:t>
            </w:r>
          </w:p>
        </w:tc>
        <w:tc>
          <w:tcPr>
            <w:tcW w:w="776" w:type="dxa"/>
            <w:noWrap/>
            <w:hideMark/>
          </w:tcPr>
          <w:p w14:paraId="25F03DA6" w14:textId="77777777" w:rsidR="007F08F7" w:rsidRPr="000973F2" w:rsidRDefault="007F08F7" w:rsidP="00426F77">
            <w:pPr>
              <w:tabs>
                <w:tab w:val="decimal" w:pos="301"/>
              </w:tabs>
              <w:spacing w:before="40" w:after="4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18"/>
                <w:szCs w:val="18"/>
              </w:rPr>
            </w:pPr>
            <w:r w:rsidRPr="000973F2">
              <w:rPr>
                <w:rFonts w:ascii="Times New Roman" w:eastAsia="Times New Roman" w:hAnsi="Times New Roman" w:cs="Times New Roman"/>
                <w:b/>
                <w:bCs/>
                <w:sz w:val="18"/>
                <w:szCs w:val="18"/>
              </w:rPr>
              <w:t>0</w:t>
            </w:r>
          </w:p>
        </w:tc>
        <w:tc>
          <w:tcPr>
            <w:tcW w:w="776" w:type="dxa"/>
            <w:noWrap/>
            <w:hideMark/>
          </w:tcPr>
          <w:p w14:paraId="0C79C613" w14:textId="77777777" w:rsidR="007F08F7" w:rsidRPr="000973F2" w:rsidRDefault="007F08F7" w:rsidP="00426F77">
            <w:pPr>
              <w:tabs>
                <w:tab w:val="decimal" w:pos="301"/>
              </w:tabs>
              <w:spacing w:before="40" w:after="4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18"/>
                <w:szCs w:val="18"/>
              </w:rPr>
            </w:pPr>
            <w:r w:rsidRPr="000973F2">
              <w:rPr>
                <w:rFonts w:ascii="Times New Roman" w:eastAsia="Times New Roman" w:hAnsi="Times New Roman" w:cs="Times New Roman"/>
                <w:b/>
                <w:bCs/>
                <w:sz w:val="18"/>
                <w:szCs w:val="18"/>
              </w:rPr>
              <w:t>2.3</w:t>
            </w:r>
          </w:p>
        </w:tc>
        <w:tc>
          <w:tcPr>
            <w:tcW w:w="776" w:type="dxa"/>
            <w:noWrap/>
            <w:hideMark/>
          </w:tcPr>
          <w:p w14:paraId="36B0864B" w14:textId="77777777" w:rsidR="007F08F7" w:rsidRPr="000973F2" w:rsidRDefault="007F08F7" w:rsidP="00426F77">
            <w:pPr>
              <w:tabs>
                <w:tab w:val="decimal" w:pos="301"/>
              </w:tabs>
              <w:spacing w:before="40" w:after="4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18"/>
                <w:szCs w:val="18"/>
              </w:rPr>
            </w:pPr>
            <w:r w:rsidRPr="000973F2">
              <w:rPr>
                <w:rFonts w:ascii="Times New Roman" w:eastAsia="Times New Roman" w:hAnsi="Times New Roman" w:cs="Times New Roman"/>
                <w:b/>
                <w:bCs/>
                <w:sz w:val="18"/>
                <w:szCs w:val="18"/>
              </w:rPr>
              <w:t>0</w:t>
            </w:r>
          </w:p>
        </w:tc>
        <w:tc>
          <w:tcPr>
            <w:tcW w:w="776" w:type="dxa"/>
            <w:noWrap/>
            <w:hideMark/>
          </w:tcPr>
          <w:p w14:paraId="2D1CB859" w14:textId="77777777" w:rsidR="007F08F7" w:rsidRPr="000973F2" w:rsidRDefault="007F08F7" w:rsidP="00426F77">
            <w:pPr>
              <w:tabs>
                <w:tab w:val="decimal" w:pos="301"/>
              </w:tabs>
              <w:spacing w:before="40" w:after="4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18"/>
                <w:szCs w:val="18"/>
              </w:rPr>
            </w:pPr>
            <w:r w:rsidRPr="000973F2">
              <w:rPr>
                <w:rFonts w:ascii="Times New Roman" w:eastAsia="Times New Roman" w:hAnsi="Times New Roman" w:cs="Times New Roman"/>
                <w:b/>
                <w:bCs/>
                <w:sz w:val="18"/>
                <w:szCs w:val="18"/>
              </w:rPr>
              <w:t>31.2</w:t>
            </w:r>
          </w:p>
        </w:tc>
        <w:tc>
          <w:tcPr>
            <w:tcW w:w="776" w:type="dxa"/>
            <w:noWrap/>
            <w:hideMark/>
          </w:tcPr>
          <w:p w14:paraId="41D904A6" w14:textId="77777777" w:rsidR="007F08F7" w:rsidRPr="000973F2" w:rsidRDefault="007F08F7" w:rsidP="00426F77">
            <w:pPr>
              <w:tabs>
                <w:tab w:val="decimal" w:pos="301"/>
              </w:tabs>
              <w:spacing w:before="40" w:after="4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18"/>
                <w:szCs w:val="18"/>
              </w:rPr>
            </w:pPr>
            <w:r w:rsidRPr="000973F2">
              <w:rPr>
                <w:rFonts w:ascii="Times New Roman" w:eastAsia="Times New Roman" w:hAnsi="Times New Roman" w:cs="Times New Roman"/>
                <w:b/>
                <w:bCs/>
                <w:sz w:val="18"/>
                <w:szCs w:val="18"/>
              </w:rPr>
              <w:t>0</w:t>
            </w:r>
          </w:p>
        </w:tc>
        <w:tc>
          <w:tcPr>
            <w:tcW w:w="777" w:type="dxa"/>
            <w:noWrap/>
            <w:hideMark/>
          </w:tcPr>
          <w:p w14:paraId="3D9437BC" w14:textId="77777777" w:rsidR="007F08F7" w:rsidRPr="000973F2" w:rsidRDefault="007F08F7" w:rsidP="00426F77">
            <w:pPr>
              <w:tabs>
                <w:tab w:val="decimal" w:pos="301"/>
              </w:tabs>
              <w:spacing w:before="40" w:after="4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18"/>
                <w:szCs w:val="18"/>
              </w:rPr>
            </w:pPr>
            <w:r w:rsidRPr="000973F2">
              <w:rPr>
                <w:rFonts w:ascii="Times New Roman" w:eastAsia="Times New Roman" w:hAnsi="Times New Roman" w:cs="Times New Roman"/>
                <w:b/>
                <w:bCs/>
                <w:sz w:val="18"/>
                <w:szCs w:val="18"/>
              </w:rPr>
              <w:t>3.1</w:t>
            </w:r>
          </w:p>
        </w:tc>
        <w:tc>
          <w:tcPr>
            <w:tcW w:w="848" w:type="dxa"/>
            <w:noWrap/>
            <w:hideMark/>
          </w:tcPr>
          <w:p w14:paraId="7A2B028E" w14:textId="0D0273C6" w:rsidR="007F08F7" w:rsidRPr="000973F2" w:rsidRDefault="007F08F7" w:rsidP="00426F77">
            <w:pPr>
              <w:tabs>
                <w:tab w:val="decimal" w:pos="331"/>
              </w:tabs>
              <w:spacing w:before="40" w:after="4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18"/>
                <w:szCs w:val="18"/>
              </w:rPr>
            </w:pPr>
            <w:r w:rsidRPr="000973F2">
              <w:rPr>
                <w:rFonts w:ascii="Times New Roman" w:eastAsia="Times New Roman" w:hAnsi="Times New Roman" w:cs="Times New Roman"/>
                <w:b/>
                <w:bCs/>
                <w:sz w:val="18"/>
                <w:szCs w:val="18"/>
              </w:rPr>
              <w:t>$0</w:t>
            </w:r>
          </w:p>
        </w:tc>
        <w:tc>
          <w:tcPr>
            <w:tcW w:w="848" w:type="dxa"/>
            <w:noWrap/>
            <w:hideMark/>
          </w:tcPr>
          <w:p w14:paraId="5F0E0AEE" w14:textId="25DC799F" w:rsidR="007F08F7" w:rsidRPr="000973F2" w:rsidRDefault="007F08F7" w:rsidP="00426F77">
            <w:pPr>
              <w:tabs>
                <w:tab w:val="decimal" w:pos="481"/>
              </w:tabs>
              <w:spacing w:before="40" w:after="4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18"/>
                <w:szCs w:val="18"/>
              </w:rPr>
            </w:pPr>
            <w:r w:rsidRPr="000973F2">
              <w:rPr>
                <w:rFonts w:ascii="Times New Roman" w:eastAsia="Times New Roman" w:hAnsi="Times New Roman" w:cs="Times New Roman"/>
                <w:b/>
                <w:bCs/>
                <w:sz w:val="18"/>
                <w:szCs w:val="18"/>
              </w:rPr>
              <w:t>$2,767</w:t>
            </w:r>
          </w:p>
        </w:tc>
      </w:tr>
    </w:tbl>
    <w:p w14:paraId="246D6D02" w14:textId="77777777" w:rsidR="007F08F7" w:rsidRPr="000973F2" w:rsidRDefault="007F08F7" w:rsidP="00426F77">
      <w:pPr>
        <w:pStyle w:val="AfterTable"/>
      </w:pPr>
    </w:p>
    <w:p w14:paraId="17AEFDD6" w14:textId="77777777" w:rsidR="007F08F7" w:rsidRPr="000973F2" w:rsidRDefault="007F08F7" w:rsidP="00426F77">
      <w:pPr>
        <w:pStyle w:val="Heading2"/>
      </w:pPr>
      <w:r w:rsidRPr="000973F2">
        <w:t>Capital and O&amp;M Costs for Subpart MM</w:t>
      </w:r>
    </w:p>
    <w:p w14:paraId="2F4CAEF8" w14:textId="77777777" w:rsidR="007F08F7" w:rsidRPr="000973F2" w:rsidRDefault="007F08F7" w:rsidP="00426F77">
      <w:pPr>
        <w:pStyle w:val="BodyText"/>
      </w:pPr>
      <w:r w:rsidRPr="000973F2">
        <w:t>Facilities will only incur O&amp;M costs associated with recordkeeping, as discussed in the Cost Appendix Introduction. No capital costs are expected for facilities reporting to Subpart MM.</w:t>
      </w:r>
    </w:p>
    <w:p w14:paraId="6ECDDBF7" w14:textId="4A5BACDB" w:rsidR="003D5B24" w:rsidRPr="000973F2" w:rsidRDefault="003D5B24" w:rsidP="00426F77">
      <w:pPr>
        <w:pStyle w:val="Tabletitle"/>
      </w:pPr>
      <w:r w:rsidRPr="000973F2">
        <w:t xml:space="preserve">Table </w:t>
      </w:r>
      <w:r w:rsidR="00426F77" w:rsidRPr="000973F2">
        <w:t>MM-</w:t>
      </w:r>
      <w:r w:rsidRPr="000973F2">
        <w:t xml:space="preserve">2. Capital and O&amp;M Costs </w:t>
      </w:r>
      <w:r w:rsidR="00B960CC" w:rsidRPr="000973F2">
        <w:t>–</w:t>
      </w:r>
      <w:r w:rsidRPr="000973F2">
        <w:t xml:space="preserve"> Subpart MM</w:t>
      </w:r>
    </w:p>
    <w:tbl>
      <w:tblPr>
        <w:tblStyle w:val="PlainTable1"/>
        <w:tblW w:w="5048" w:type="pct"/>
        <w:jc w:val="left"/>
        <w:tblLayout w:type="fixed"/>
        <w:tblCellMar>
          <w:left w:w="115" w:type="dxa"/>
          <w:right w:w="115" w:type="dxa"/>
        </w:tblCellMar>
        <w:tblLook w:val="04A0" w:firstRow="1" w:lastRow="0" w:firstColumn="1" w:lastColumn="0" w:noHBand="0" w:noVBand="1"/>
      </w:tblPr>
      <w:tblGrid>
        <w:gridCol w:w="1853"/>
        <w:gridCol w:w="1305"/>
        <w:gridCol w:w="1305"/>
        <w:gridCol w:w="1304"/>
        <w:gridCol w:w="1316"/>
        <w:gridCol w:w="1293"/>
        <w:gridCol w:w="1306"/>
      </w:tblGrid>
      <w:tr w:rsidR="00D17312" w:rsidRPr="000973F2" w14:paraId="6E38E173" w14:textId="77777777" w:rsidTr="005C66F4">
        <w:trPr>
          <w:cnfStyle w:val="100000000000" w:firstRow="1" w:lastRow="0" w:firstColumn="0" w:lastColumn="0" w:oddVBand="0" w:evenVBand="0" w:oddHBand="0" w:evenHBand="0" w:firstRowFirstColumn="0" w:firstRowLastColumn="0" w:lastRowFirstColumn="0" w:lastRowLastColumn="0"/>
          <w:cantSplit/>
          <w:trHeight w:val="511"/>
          <w:jc w:val="left"/>
        </w:trPr>
        <w:tc>
          <w:tcPr>
            <w:cnfStyle w:val="001000000000" w:firstRow="0" w:lastRow="0" w:firstColumn="1" w:lastColumn="0" w:oddVBand="0" w:evenVBand="0" w:oddHBand="0" w:evenHBand="0" w:firstRowFirstColumn="0" w:firstRowLastColumn="0" w:lastRowFirstColumn="0" w:lastRowLastColumn="0"/>
            <w:tcW w:w="1802" w:type="dxa"/>
            <w:vMerge w:val="restart"/>
            <w:noWrap/>
            <w:vAlign w:val="top"/>
            <w:hideMark/>
          </w:tcPr>
          <w:p w14:paraId="7D4F7C41" w14:textId="749B668B" w:rsidR="00D17312" w:rsidRPr="000973F2" w:rsidRDefault="00D17312" w:rsidP="00426F77">
            <w:pPr>
              <w:spacing w:before="40" w:after="40"/>
              <w:rPr>
                <w:rFonts w:ascii="Times New Roman" w:eastAsia="Times New Roman" w:hAnsi="Times New Roman" w:cs="Times New Roman"/>
                <w:bCs w:val="0"/>
                <w:sz w:val="18"/>
                <w:szCs w:val="18"/>
              </w:rPr>
            </w:pPr>
            <w:r w:rsidRPr="000973F2">
              <w:rPr>
                <w:rFonts w:ascii="Times New Roman" w:eastAsia="Times New Roman" w:hAnsi="Times New Roman" w:cs="Times New Roman"/>
                <w:bCs w:val="0"/>
                <w:sz w:val="18"/>
                <w:szCs w:val="18"/>
              </w:rPr>
              <w:t>Activity</w:t>
            </w:r>
          </w:p>
        </w:tc>
        <w:tc>
          <w:tcPr>
            <w:tcW w:w="5088" w:type="dxa"/>
            <w:gridSpan w:val="4"/>
            <w:noWrap/>
            <w:vAlign w:val="top"/>
            <w:hideMark/>
          </w:tcPr>
          <w:p w14:paraId="6D5EBBA7" w14:textId="77777777" w:rsidR="00D17312" w:rsidRPr="000973F2" w:rsidRDefault="00D17312" w:rsidP="00426F77">
            <w:pPr>
              <w:spacing w:before="40" w:after="40"/>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Cs w:val="0"/>
                <w:sz w:val="18"/>
                <w:szCs w:val="18"/>
              </w:rPr>
            </w:pPr>
            <w:r w:rsidRPr="000973F2">
              <w:rPr>
                <w:rFonts w:ascii="Times New Roman" w:eastAsia="Times New Roman" w:hAnsi="Times New Roman" w:cs="Times New Roman"/>
                <w:bCs w:val="0"/>
                <w:sz w:val="18"/>
                <w:szCs w:val="18"/>
              </w:rPr>
              <w:t>Cost Categories</w:t>
            </w:r>
          </w:p>
        </w:tc>
        <w:tc>
          <w:tcPr>
            <w:tcW w:w="2529" w:type="dxa"/>
            <w:gridSpan w:val="2"/>
            <w:vAlign w:val="top"/>
            <w:hideMark/>
          </w:tcPr>
          <w:p w14:paraId="6651E130" w14:textId="77777777" w:rsidR="00D17312" w:rsidRPr="000973F2" w:rsidRDefault="00D17312" w:rsidP="00426F77">
            <w:pPr>
              <w:spacing w:before="40" w:after="40"/>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Cs w:val="0"/>
                <w:sz w:val="18"/>
                <w:szCs w:val="18"/>
              </w:rPr>
            </w:pPr>
            <w:r w:rsidRPr="000973F2">
              <w:rPr>
                <w:rFonts w:ascii="Times New Roman" w:eastAsia="Times New Roman" w:hAnsi="Times New Roman" w:cs="Times New Roman"/>
                <w:bCs w:val="0"/>
                <w:sz w:val="18"/>
                <w:szCs w:val="18"/>
              </w:rPr>
              <w:t>Total Capital and O&amp;M Cost per Year per Facility (2017$)</w:t>
            </w:r>
          </w:p>
        </w:tc>
      </w:tr>
      <w:tr w:rsidR="00D17312" w:rsidRPr="000973F2" w14:paraId="5282BD75" w14:textId="77777777" w:rsidTr="005C66F4">
        <w:trPr>
          <w:cnfStyle w:val="000000100000" w:firstRow="0" w:lastRow="0" w:firstColumn="0" w:lastColumn="0" w:oddVBand="0" w:evenVBand="0" w:oddHBand="1" w:evenHBand="0" w:firstRowFirstColumn="0" w:firstRowLastColumn="0" w:lastRowFirstColumn="0" w:lastRowLastColumn="0"/>
          <w:cantSplit/>
          <w:trHeight w:val="728"/>
        </w:trPr>
        <w:tc>
          <w:tcPr>
            <w:cnfStyle w:val="001000000000" w:firstRow="0" w:lastRow="0" w:firstColumn="1" w:lastColumn="0" w:oddVBand="0" w:evenVBand="0" w:oddHBand="0" w:evenHBand="0" w:firstRowFirstColumn="0" w:firstRowLastColumn="0" w:lastRowFirstColumn="0" w:lastRowLastColumn="0"/>
            <w:tcW w:w="1802" w:type="dxa"/>
            <w:vMerge/>
            <w:noWrap/>
            <w:hideMark/>
          </w:tcPr>
          <w:p w14:paraId="172DF204" w14:textId="180AF172" w:rsidR="00D17312" w:rsidRPr="000973F2" w:rsidRDefault="00D17312" w:rsidP="00426F77">
            <w:pPr>
              <w:spacing w:before="40" w:after="40"/>
              <w:jc w:val="center"/>
              <w:rPr>
                <w:rFonts w:ascii="Times New Roman" w:eastAsia="Times New Roman" w:hAnsi="Times New Roman" w:cs="Times New Roman"/>
                <w:b/>
                <w:bCs w:val="0"/>
                <w:sz w:val="18"/>
                <w:szCs w:val="18"/>
              </w:rPr>
            </w:pPr>
          </w:p>
        </w:tc>
        <w:tc>
          <w:tcPr>
            <w:tcW w:w="1269" w:type="dxa"/>
            <w:hideMark/>
          </w:tcPr>
          <w:p w14:paraId="58AA3308" w14:textId="77777777" w:rsidR="00D17312" w:rsidRPr="000973F2" w:rsidRDefault="00D17312" w:rsidP="00426F77">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18"/>
                <w:szCs w:val="18"/>
              </w:rPr>
            </w:pPr>
            <w:r w:rsidRPr="000973F2">
              <w:rPr>
                <w:rFonts w:ascii="Times New Roman" w:eastAsia="Times New Roman" w:hAnsi="Times New Roman" w:cs="Times New Roman"/>
                <w:b/>
                <w:bCs/>
                <w:sz w:val="18"/>
                <w:szCs w:val="18"/>
              </w:rPr>
              <w:t>Capital Cost (2017$)</w:t>
            </w:r>
          </w:p>
        </w:tc>
        <w:tc>
          <w:tcPr>
            <w:tcW w:w="1270" w:type="dxa"/>
            <w:hideMark/>
          </w:tcPr>
          <w:p w14:paraId="1474A0DC" w14:textId="77777777" w:rsidR="00D17312" w:rsidRPr="000973F2" w:rsidRDefault="00D17312" w:rsidP="00426F77">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18"/>
                <w:szCs w:val="18"/>
              </w:rPr>
            </w:pPr>
            <w:r w:rsidRPr="000973F2">
              <w:rPr>
                <w:rFonts w:ascii="Times New Roman" w:eastAsia="Times New Roman" w:hAnsi="Times New Roman" w:cs="Times New Roman"/>
                <w:b/>
                <w:bCs/>
                <w:sz w:val="18"/>
                <w:szCs w:val="18"/>
              </w:rPr>
              <w:t>Equipment Lifetime</w:t>
            </w:r>
          </w:p>
        </w:tc>
        <w:tc>
          <w:tcPr>
            <w:tcW w:w="1269" w:type="dxa"/>
            <w:hideMark/>
          </w:tcPr>
          <w:p w14:paraId="594BE16D" w14:textId="77777777" w:rsidR="00D17312" w:rsidRPr="000973F2" w:rsidRDefault="00D17312" w:rsidP="00426F77">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18"/>
                <w:szCs w:val="18"/>
              </w:rPr>
            </w:pPr>
            <w:r w:rsidRPr="000973F2">
              <w:rPr>
                <w:rFonts w:ascii="Times New Roman" w:eastAsia="Times New Roman" w:hAnsi="Times New Roman" w:cs="Times New Roman"/>
                <w:b/>
                <w:bCs/>
                <w:sz w:val="18"/>
                <w:szCs w:val="18"/>
              </w:rPr>
              <w:t>Annualized Capital Cost (2017$/year)</w:t>
            </w:r>
          </w:p>
        </w:tc>
        <w:tc>
          <w:tcPr>
            <w:tcW w:w="1280" w:type="dxa"/>
            <w:hideMark/>
          </w:tcPr>
          <w:p w14:paraId="4F13F3B4" w14:textId="77777777" w:rsidR="00D17312" w:rsidRPr="000973F2" w:rsidRDefault="00D17312" w:rsidP="00426F77">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18"/>
                <w:szCs w:val="18"/>
              </w:rPr>
            </w:pPr>
            <w:r w:rsidRPr="000973F2">
              <w:rPr>
                <w:rFonts w:ascii="Times New Roman" w:eastAsia="Times New Roman" w:hAnsi="Times New Roman" w:cs="Times New Roman"/>
                <w:b/>
                <w:bCs/>
                <w:sz w:val="18"/>
                <w:szCs w:val="18"/>
              </w:rPr>
              <w:t>O&amp;M Costs (2017$/year)</w:t>
            </w:r>
          </w:p>
        </w:tc>
        <w:tc>
          <w:tcPr>
            <w:tcW w:w="1258" w:type="dxa"/>
            <w:hideMark/>
          </w:tcPr>
          <w:p w14:paraId="4B7929D0" w14:textId="394D8153" w:rsidR="00D17312" w:rsidRPr="000973F2" w:rsidRDefault="00D17312" w:rsidP="00426F77">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18"/>
                <w:szCs w:val="18"/>
              </w:rPr>
            </w:pPr>
            <w:r w:rsidRPr="000973F2">
              <w:rPr>
                <w:rFonts w:ascii="Times New Roman" w:eastAsia="Times New Roman" w:hAnsi="Times New Roman" w:cs="Times New Roman"/>
                <w:b/>
                <w:bCs/>
                <w:sz w:val="18"/>
                <w:szCs w:val="18"/>
              </w:rPr>
              <w:t>Initial</w:t>
            </w:r>
            <w:r w:rsidR="00426F77" w:rsidRPr="000973F2">
              <w:rPr>
                <w:rFonts w:ascii="Times New Roman" w:eastAsia="Times New Roman" w:hAnsi="Times New Roman" w:cs="Times New Roman"/>
                <w:b/>
                <w:bCs/>
                <w:sz w:val="18"/>
                <w:szCs w:val="18"/>
              </w:rPr>
              <w:br/>
            </w:r>
            <w:r w:rsidRPr="000973F2">
              <w:rPr>
                <w:rFonts w:ascii="Times New Roman" w:eastAsia="Times New Roman" w:hAnsi="Times New Roman" w:cs="Times New Roman"/>
                <w:b/>
                <w:bCs/>
                <w:sz w:val="18"/>
                <w:szCs w:val="18"/>
              </w:rPr>
              <w:t>Year</w:t>
            </w:r>
          </w:p>
        </w:tc>
        <w:tc>
          <w:tcPr>
            <w:tcW w:w="1270" w:type="dxa"/>
            <w:hideMark/>
          </w:tcPr>
          <w:p w14:paraId="02460036" w14:textId="77777777" w:rsidR="00D17312" w:rsidRPr="000973F2" w:rsidRDefault="00D17312" w:rsidP="00426F77">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18"/>
                <w:szCs w:val="18"/>
              </w:rPr>
            </w:pPr>
            <w:r w:rsidRPr="000973F2">
              <w:rPr>
                <w:rFonts w:ascii="Times New Roman" w:eastAsia="Times New Roman" w:hAnsi="Times New Roman" w:cs="Times New Roman"/>
                <w:b/>
                <w:bCs/>
                <w:sz w:val="18"/>
                <w:szCs w:val="18"/>
              </w:rPr>
              <w:t>Subseq. Years</w:t>
            </w:r>
          </w:p>
        </w:tc>
      </w:tr>
      <w:tr w:rsidR="00426F77" w:rsidRPr="000973F2" w14:paraId="09A4548C" w14:textId="77777777" w:rsidTr="005C66F4">
        <w:trPr>
          <w:cantSplit/>
          <w:trHeight w:val="728"/>
        </w:trPr>
        <w:tc>
          <w:tcPr>
            <w:cnfStyle w:val="001000000000" w:firstRow="0" w:lastRow="0" w:firstColumn="1" w:lastColumn="0" w:oddVBand="0" w:evenVBand="0" w:oddHBand="0" w:evenHBand="0" w:firstRowFirstColumn="0" w:firstRowLastColumn="0" w:lastRowFirstColumn="0" w:lastRowLastColumn="0"/>
            <w:tcW w:w="1802" w:type="dxa"/>
            <w:hideMark/>
          </w:tcPr>
          <w:p w14:paraId="7CAB00ED" w14:textId="77777777" w:rsidR="00426F77" w:rsidRPr="000973F2" w:rsidRDefault="00426F77" w:rsidP="00426F77">
            <w:pPr>
              <w:spacing w:before="40" w:after="4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Equipment (selection, purchase, installation)</w:t>
            </w:r>
          </w:p>
        </w:tc>
        <w:tc>
          <w:tcPr>
            <w:tcW w:w="1269" w:type="dxa"/>
            <w:noWrap/>
            <w:hideMark/>
          </w:tcPr>
          <w:p w14:paraId="474F899F" w14:textId="1D877C41" w:rsidR="00426F77" w:rsidRPr="000973F2" w:rsidRDefault="00426F77" w:rsidP="00426F77">
            <w:pPr>
              <w:spacing w:before="40" w:after="4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w:t>
            </w:r>
          </w:p>
        </w:tc>
        <w:tc>
          <w:tcPr>
            <w:tcW w:w="1270" w:type="dxa"/>
            <w:noWrap/>
          </w:tcPr>
          <w:p w14:paraId="515F669D" w14:textId="6DE36D69" w:rsidR="00426F77" w:rsidRPr="000973F2" w:rsidRDefault="00426F77" w:rsidP="00426F77">
            <w:pPr>
              <w:spacing w:before="40" w:after="4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w:t>
            </w:r>
          </w:p>
        </w:tc>
        <w:tc>
          <w:tcPr>
            <w:tcW w:w="1269" w:type="dxa"/>
            <w:noWrap/>
            <w:hideMark/>
          </w:tcPr>
          <w:p w14:paraId="53F0644F" w14:textId="5FACF7C7" w:rsidR="00426F77" w:rsidRPr="000973F2" w:rsidRDefault="00426F77" w:rsidP="00426F77">
            <w:pPr>
              <w:spacing w:before="40" w:after="4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w:t>
            </w:r>
          </w:p>
        </w:tc>
        <w:tc>
          <w:tcPr>
            <w:tcW w:w="1280" w:type="dxa"/>
            <w:noWrap/>
            <w:hideMark/>
          </w:tcPr>
          <w:p w14:paraId="48450B48" w14:textId="415A3F15" w:rsidR="00426F77" w:rsidRPr="000973F2" w:rsidRDefault="00426F77" w:rsidP="00426F77">
            <w:pPr>
              <w:spacing w:before="40" w:after="4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w:t>
            </w:r>
          </w:p>
        </w:tc>
        <w:tc>
          <w:tcPr>
            <w:tcW w:w="1258" w:type="dxa"/>
            <w:noWrap/>
            <w:hideMark/>
          </w:tcPr>
          <w:p w14:paraId="1BCEA82B" w14:textId="231D719B" w:rsidR="00426F77" w:rsidRPr="000973F2" w:rsidRDefault="00426F77" w:rsidP="00426F77">
            <w:pPr>
              <w:spacing w:before="40" w:after="4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w:t>
            </w:r>
          </w:p>
        </w:tc>
        <w:tc>
          <w:tcPr>
            <w:tcW w:w="1270" w:type="dxa"/>
            <w:noWrap/>
            <w:hideMark/>
          </w:tcPr>
          <w:p w14:paraId="62163962" w14:textId="0796C1F0" w:rsidR="00426F77" w:rsidRPr="000973F2" w:rsidRDefault="00426F77" w:rsidP="00426F77">
            <w:pPr>
              <w:spacing w:before="40" w:after="4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w:t>
            </w:r>
          </w:p>
        </w:tc>
      </w:tr>
      <w:tr w:rsidR="00426F77" w:rsidRPr="000973F2" w14:paraId="30EBFDB4" w14:textId="77777777" w:rsidTr="005C66F4">
        <w:trPr>
          <w:cnfStyle w:val="000000100000" w:firstRow="0" w:lastRow="0" w:firstColumn="0" w:lastColumn="0" w:oddVBand="0" w:evenVBand="0" w:oddHBand="1" w:evenHBand="0" w:firstRowFirstColumn="0" w:firstRowLastColumn="0" w:lastRowFirstColumn="0" w:lastRowLastColumn="0"/>
          <w:cantSplit/>
          <w:trHeight w:val="294"/>
        </w:trPr>
        <w:tc>
          <w:tcPr>
            <w:cnfStyle w:val="001000000000" w:firstRow="0" w:lastRow="0" w:firstColumn="1" w:lastColumn="0" w:oddVBand="0" w:evenVBand="0" w:oddHBand="0" w:evenHBand="0" w:firstRowFirstColumn="0" w:firstRowLastColumn="0" w:lastRowFirstColumn="0" w:lastRowLastColumn="0"/>
            <w:tcW w:w="1802" w:type="dxa"/>
            <w:hideMark/>
          </w:tcPr>
          <w:p w14:paraId="004C4093" w14:textId="77777777" w:rsidR="00426F77" w:rsidRPr="000973F2" w:rsidRDefault="00426F77" w:rsidP="00426F77">
            <w:pPr>
              <w:spacing w:before="40" w:after="4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Performance testing</w:t>
            </w:r>
          </w:p>
        </w:tc>
        <w:tc>
          <w:tcPr>
            <w:tcW w:w="1269" w:type="dxa"/>
            <w:noWrap/>
            <w:hideMark/>
          </w:tcPr>
          <w:p w14:paraId="08560659" w14:textId="03F1CA1D" w:rsidR="00426F77" w:rsidRPr="000973F2" w:rsidRDefault="00426F77" w:rsidP="00426F77">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w:t>
            </w:r>
          </w:p>
        </w:tc>
        <w:tc>
          <w:tcPr>
            <w:tcW w:w="1270" w:type="dxa"/>
            <w:noWrap/>
          </w:tcPr>
          <w:p w14:paraId="673E279F" w14:textId="48E93BCC" w:rsidR="00426F77" w:rsidRPr="000973F2" w:rsidRDefault="00426F77" w:rsidP="00426F77">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w:t>
            </w:r>
          </w:p>
        </w:tc>
        <w:tc>
          <w:tcPr>
            <w:tcW w:w="1269" w:type="dxa"/>
            <w:noWrap/>
            <w:hideMark/>
          </w:tcPr>
          <w:p w14:paraId="5682FC2E" w14:textId="6A238AEF" w:rsidR="00426F77" w:rsidRPr="000973F2" w:rsidRDefault="00426F77" w:rsidP="00426F77">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w:t>
            </w:r>
          </w:p>
        </w:tc>
        <w:tc>
          <w:tcPr>
            <w:tcW w:w="1280" w:type="dxa"/>
            <w:noWrap/>
            <w:hideMark/>
          </w:tcPr>
          <w:p w14:paraId="7A11642C" w14:textId="3E2489ED" w:rsidR="00426F77" w:rsidRPr="000973F2" w:rsidRDefault="00426F77" w:rsidP="00426F77">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w:t>
            </w:r>
          </w:p>
        </w:tc>
        <w:tc>
          <w:tcPr>
            <w:tcW w:w="1258" w:type="dxa"/>
            <w:noWrap/>
            <w:hideMark/>
          </w:tcPr>
          <w:p w14:paraId="083CE8AB" w14:textId="6B49B32C" w:rsidR="00426F77" w:rsidRPr="000973F2" w:rsidRDefault="00426F77" w:rsidP="00426F77">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w:t>
            </w:r>
          </w:p>
        </w:tc>
        <w:tc>
          <w:tcPr>
            <w:tcW w:w="1270" w:type="dxa"/>
            <w:noWrap/>
            <w:hideMark/>
          </w:tcPr>
          <w:p w14:paraId="23B6A531" w14:textId="74C283BF" w:rsidR="00426F77" w:rsidRPr="000973F2" w:rsidRDefault="00426F77" w:rsidP="00426F77">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w:t>
            </w:r>
          </w:p>
        </w:tc>
      </w:tr>
      <w:tr w:rsidR="007F08F7" w:rsidRPr="000973F2" w14:paraId="6BE4634F" w14:textId="77777777" w:rsidTr="005C66F4">
        <w:trPr>
          <w:cantSplit/>
          <w:trHeight w:val="278"/>
        </w:trPr>
        <w:tc>
          <w:tcPr>
            <w:cnfStyle w:val="001000000000" w:firstRow="0" w:lastRow="0" w:firstColumn="1" w:lastColumn="0" w:oddVBand="0" w:evenVBand="0" w:oddHBand="0" w:evenHBand="0" w:firstRowFirstColumn="0" w:firstRowLastColumn="0" w:lastRowFirstColumn="0" w:lastRowLastColumn="0"/>
            <w:tcW w:w="1802" w:type="dxa"/>
            <w:hideMark/>
          </w:tcPr>
          <w:p w14:paraId="68709F01" w14:textId="77777777" w:rsidR="007F08F7" w:rsidRPr="000973F2" w:rsidRDefault="007F08F7" w:rsidP="00426F77">
            <w:pPr>
              <w:spacing w:before="40" w:after="4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Recordkeeping</w:t>
            </w:r>
          </w:p>
        </w:tc>
        <w:tc>
          <w:tcPr>
            <w:tcW w:w="1269" w:type="dxa"/>
            <w:noWrap/>
            <w:hideMark/>
          </w:tcPr>
          <w:p w14:paraId="4390E78B" w14:textId="77777777" w:rsidR="007F08F7" w:rsidRPr="000973F2" w:rsidRDefault="007F08F7" w:rsidP="00426F77">
            <w:pPr>
              <w:spacing w:before="40" w:after="4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$0</w:t>
            </w:r>
          </w:p>
        </w:tc>
        <w:tc>
          <w:tcPr>
            <w:tcW w:w="1270" w:type="dxa"/>
            <w:noWrap/>
          </w:tcPr>
          <w:p w14:paraId="290F94D7" w14:textId="77777777" w:rsidR="007F08F7" w:rsidRPr="000973F2" w:rsidRDefault="007F08F7" w:rsidP="00426F77">
            <w:pPr>
              <w:spacing w:before="40" w:after="4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p>
        </w:tc>
        <w:tc>
          <w:tcPr>
            <w:tcW w:w="1269" w:type="dxa"/>
            <w:noWrap/>
            <w:hideMark/>
          </w:tcPr>
          <w:p w14:paraId="55CDD1AC" w14:textId="77777777" w:rsidR="007F08F7" w:rsidRPr="000973F2" w:rsidRDefault="007F08F7" w:rsidP="00426F77">
            <w:pPr>
              <w:spacing w:before="40" w:after="4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$0</w:t>
            </w:r>
          </w:p>
        </w:tc>
        <w:tc>
          <w:tcPr>
            <w:tcW w:w="1280" w:type="dxa"/>
            <w:noWrap/>
            <w:hideMark/>
          </w:tcPr>
          <w:p w14:paraId="53F19DF5" w14:textId="77777777" w:rsidR="007F08F7" w:rsidRPr="000973F2" w:rsidRDefault="007F08F7" w:rsidP="00426F77">
            <w:pPr>
              <w:spacing w:before="40" w:after="4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$50</w:t>
            </w:r>
          </w:p>
        </w:tc>
        <w:tc>
          <w:tcPr>
            <w:tcW w:w="1258" w:type="dxa"/>
            <w:noWrap/>
            <w:hideMark/>
          </w:tcPr>
          <w:p w14:paraId="77459E1C" w14:textId="77777777" w:rsidR="007F08F7" w:rsidRPr="000973F2" w:rsidRDefault="007F08F7" w:rsidP="00426F77">
            <w:pPr>
              <w:spacing w:before="40" w:after="4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$0</w:t>
            </w:r>
          </w:p>
        </w:tc>
        <w:tc>
          <w:tcPr>
            <w:tcW w:w="1270" w:type="dxa"/>
            <w:noWrap/>
            <w:hideMark/>
          </w:tcPr>
          <w:p w14:paraId="44CF9DC5" w14:textId="77777777" w:rsidR="007F08F7" w:rsidRPr="000973F2" w:rsidRDefault="007F08F7" w:rsidP="00426F77">
            <w:pPr>
              <w:spacing w:before="40" w:after="4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$50</w:t>
            </w:r>
          </w:p>
        </w:tc>
      </w:tr>
      <w:tr w:rsidR="00426F77" w:rsidRPr="000973F2" w14:paraId="65B8F417" w14:textId="77777777" w:rsidTr="005C66F4">
        <w:trPr>
          <w:cnfStyle w:val="000000100000" w:firstRow="0" w:lastRow="0" w:firstColumn="0" w:lastColumn="0" w:oddVBand="0" w:evenVBand="0" w:oddHBand="1" w:evenHBand="0" w:firstRowFirstColumn="0" w:firstRowLastColumn="0" w:lastRowFirstColumn="0" w:lastRowLastColumn="0"/>
          <w:cantSplit/>
          <w:trHeight w:val="294"/>
        </w:trPr>
        <w:tc>
          <w:tcPr>
            <w:cnfStyle w:val="001000000000" w:firstRow="0" w:lastRow="0" w:firstColumn="1" w:lastColumn="0" w:oddVBand="0" w:evenVBand="0" w:oddHBand="0" w:evenHBand="0" w:firstRowFirstColumn="0" w:firstRowLastColumn="0" w:lastRowFirstColumn="0" w:lastRowLastColumn="0"/>
            <w:tcW w:w="1802" w:type="dxa"/>
            <w:hideMark/>
          </w:tcPr>
          <w:p w14:paraId="33C2B840" w14:textId="77777777" w:rsidR="00426F77" w:rsidRPr="000973F2" w:rsidRDefault="00426F77" w:rsidP="00426F77">
            <w:pPr>
              <w:spacing w:before="40" w:after="4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Travel</w:t>
            </w:r>
          </w:p>
        </w:tc>
        <w:tc>
          <w:tcPr>
            <w:tcW w:w="1269" w:type="dxa"/>
            <w:noWrap/>
            <w:hideMark/>
          </w:tcPr>
          <w:p w14:paraId="50232E1D" w14:textId="3A2DDDD8" w:rsidR="00426F77" w:rsidRPr="000973F2" w:rsidRDefault="00426F77" w:rsidP="00426F77">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w:t>
            </w:r>
          </w:p>
        </w:tc>
        <w:tc>
          <w:tcPr>
            <w:tcW w:w="1270" w:type="dxa"/>
            <w:noWrap/>
          </w:tcPr>
          <w:p w14:paraId="70ACF795" w14:textId="56C18E70" w:rsidR="00426F77" w:rsidRPr="000973F2" w:rsidRDefault="00426F77" w:rsidP="00426F77">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w:t>
            </w:r>
          </w:p>
        </w:tc>
        <w:tc>
          <w:tcPr>
            <w:tcW w:w="1269" w:type="dxa"/>
            <w:noWrap/>
            <w:hideMark/>
          </w:tcPr>
          <w:p w14:paraId="36A3024B" w14:textId="10D97A7B" w:rsidR="00426F77" w:rsidRPr="000973F2" w:rsidRDefault="00426F77" w:rsidP="00426F77">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w:t>
            </w:r>
          </w:p>
        </w:tc>
        <w:tc>
          <w:tcPr>
            <w:tcW w:w="1280" w:type="dxa"/>
            <w:noWrap/>
            <w:hideMark/>
          </w:tcPr>
          <w:p w14:paraId="269BD821" w14:textId="1FBE8574" w:rsidR="00426F77" w:rsidRPr="000973F2" w:rsidRDefault="00426F77" w:rsidP="00426F77">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w:t>
            </w:r>
          </w:p>
        </w:tc>
        <w:tc>
          <w:tcPr>
            <w:tcW w:w="1258" w:type="dxa"/>
            <w:noWrap/>
            <w:hideMark/>
          </w:tcPr>
          <w:p w14:paraId="43BF3E82" w14:textId="414D0BC4" w:rsidR="00426F77" w:rsidRPr="000973F2" w:rsidRDefault="00426F77" w:rsidP="00426F77">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w:t>
            </w:r>
          </w:p>
        </w:tc>
        <w:tc>
          <w:tcPr>
            <w:tcW w:w="1270" w:type="dxa"/>
            <w:noWrap/>
            <w:hideMark/>
          </w:tcPr>
          <w:p w14:paraId="1ACDD6DF" w14:textId="331B4682" w:rsidR="00426F77" w:rsidRPr="000973F2" w:rsidRDefault="00426F77" w:rsidP="00426F77">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w:t>
            </w:r>
          </w:p>
        </w:tc>
      </w:tr>
      <w:tr w:rsidR="00426F77" w:rsidRPr="000973F2" w14:paraId="261AA95B" w14:textId="77777777" w:rsidTr="005C66F4">
        <w:trPr>
          <w:cantSplit/>
          <w:trHeight w:val="511"/>
        </w:trPr>
        <w:tc>
          <w:tcPr>
            <w:cnfStyle w:val="001000000000" w:firstRow="0" w:lastRow="0" w:firstColumn="1" w:lastColumn="0" w:oddVBand="0" w:evenVBand="0" w:oddHBand="0" w:evenHBand="0" w:firstRowFirstColumn="0" w:firstRowLastColumn="0" w:lastRowFirstColumn="0" w:lastRowLastColumn="0"/>
            <w:tcW w:w="1802" w:type="dxa"/>
            <w:hideMark/>
          </w:tcPr>
          <w:p w14:paraId="0378F059" w14:textId="5A746825" w:rsidR="00426F77" w:rsidRPr="000973F2" w:rsidRDefault="00426F77" w:rsidP="00426F77">
            <w:pPr>
              <w:spacing w:before="40" w:after="4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Sampling and Analysis Costs</w:t>
            </w:r>
          </w:p>
        </w:tc>
        <w:tc>
          <w:tcPr>
            <w:tcW w:w="1269" w:type="dxa"/>
            <w:noWrap/>
            <w:hideMark/>
          </w:tcPr>
          <w:p w14:paraId="51A93F94" w14:textId="1F4936A1" w:rsidR="00426F77" w:rsidRPr="000973F2" w:rsidRDefault="00426F77" w:rsidP="00426F77">
            <w:pPr>
              <w:spacing w:before="40" w:after="4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w:t>
            </w:r>
          </w:p>
        </w:tc>
        <w:tc>
          <w:tcPr>
            <w:tcW w:w="1270" w:type="dxa"/>
            <w:noWrap/>
          </w:tcPr>
          <w:p w14:paraId="64F8E1E9" w14:textId="5A823142" w:rsidR="00426F77" w:rsidRPr="000973F2" w:rsidRDefault="00426F77" w:rsidP="00426F77">
            <w:pPr>
              <w:spacing w:before="40" w:after="4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w:t>
            </w:r>
          </w:p>
        </w:tc>
        <w:tc>
          <w:tcPr>
            <w:tcW w:w="1269" w:type="dxa"/>
            <w:noWrap/>
            <w:hideMark/>
          </w:tcPr>
          <w:p w14:paraId="3AFF9CFC" w14:textId="62D12B1E" w:rsidR="00426F77" w:rsidRPr="000973F2" w:rsidRDefault="00426F77" w:rsidP="00426F77">
            <w:pPr>
              <w:spacing w:before="40" w:after="4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w:t>
            </w:r>
          </w:p>
        </w:tc>
        <w:tc>
          <w:tcPr>
            <w:tcW w:w="1280" w:type="dxa"/>
            <w:noWrap/>
            <w:hideMark/>
          </w:tcPr>
          <w:p w14:paraId="7B363441" w14:textId="3CCF235F" w:rsidR="00426F77" w:rsidRPr="000973F2" w:rsidRDefault="00426F77" w:rsidP="00426F77">
            <w:pPr>
              <w:spacing w:before="40" w:after="4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w:t>
            </w:r>
          </w:p>
        </w:tc>
        <w:tc>
          <w:tcPr>
            <w:tcW w:w="1258" w:type="dxa"/>
            <w:noWrap/>
            <w:hideMark/>
          </w:tcPr>
          <w:p w14:paraId="697F911B" w14:textId="1766E777" w:rsidR="00426F77" w:rsidRPr="000973F2" w:rsidRDefault="00426F77" w:rsidP="00426F77">
            <w:pPr>
              <w:spacing w:before="40" w:after="4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w:t>
            </w:r>
          </w:p>
        </w:tc>
        <w:tc>
          <w:tcPr>
            <w:tcW w:w="1270" w:type="dxa"/>
            <w:noWrap/>
            <w:hideMark/>
          </w:tcPr>
          <w:p w14:paraId="5DEE9D70" w14:textId="3CC6D467" w:rsidR="00426F77" w:rsidRPr="000973F2" w:rsidRDefault="00426F77" w:rsidP="00426F77">
            <w:pPr>
              <w:spacing w:before="40" w:after="4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w:t>
            </w:r>
          </w:p>
        </w:tc>
      </w:tr>
      <w:tr w:rsidR="007F08F7" w:rsidRPr="000973F2" w14:paraId="1DF38431" w14:textId="77777777" w:rsidTr="005C66F4">
        <w:trPr>
          <w:cnfStyle w:val="000000100000" w:firstRow="0" w:lastRow="0" w:firstColumn="0" w:lastColumn="0" w:oddVBand="0" w:evenVBand="0" w:oddHBand="1" w:evenHBand="0" w:firstRowFirstColumn="0" w:firstRowLastColumn="0" w:lastRowFirstColumn="0" w:lastRowLastColumn="0"/>
          <w:cantSplit/>
          <w:trHeight w:val="294"/>
        </w:trPr>
        <w:tc>
          <w:tcPr>
            <w:cnfStyle w:val="001000000000" w:firstRow="0" w:lastRow="0" w:firstColumn="1" w:lastColumn="0" w:oddVBand="0" w:evenVBand="0" w:oddHBand="0" w:evenHBand="0" w:firstRowFirstColumn="0" w:firstRowLastColumn="0" w:lastRowFirstColumn="0" w:lastRowLastColumn="0"/>
            <w:tcW w:w="1802" w:type="dxa"/>
            <w:hideMark/>
          </w:tcPr>
          <w:p w14:paraId="67DFCF77" w14:textId="77777777" w:rsidR="007F08F7" w:rsidRPr="000973F2" w:rsidRDefault="007F08F7" w:rsidP="00426F77">
            <w:pPr>
              <w:spacing w:before="40" w:after="40"/>
              <w:rPr>
                <w:rFonts w:ascii="Times New Roman" w:eastAsia="Times New Roman" w:hAnsi="Times New Roman" w:cs="Times New Roman"/>
                <w:b/>
                <w:bCs w:val="0"/>
                <w:sz w:val="18"/>
                <w:szCs w:val="18"/>
              </w:rPr>
            </w:pPr>
            <w:r w:rsidRPr="000973F2">
              <w:rPr>
                <w:rFonts w:ascii="Times New Roman" w:eastAsia="Times New Roman" w:hAnsi="Times New Roman" w:cs="Times New Roman"/>
                <w:b/>
                <w:sz w:val="18"/>
                <w:szCs w:val="18"/>
              </w:rPr>
              <w:t xml:space="preserve">Total </w:t>
            </w:r>
          </w:p>
        </w:tc>
        <w:tc>
          <w:tcPr>
            <w:tcW w:w="1269" w:type="dxa"/>
            <w:noWrap/>
            <w:hideMark/>
          </w:tcPr>
          <w:p w14:paraId="1026E60B" w14:textId="77777777" w:rsidR="007F08F7" w:rsidRPr="000973F2" w:rsidRDefault="007F08F7" w:rsidP="00426F77">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sz w:val="18"/>
                <w:szCs w:val="18"/>
              </w:rPr>
            </w:pPr>
            <w:r w:rsidRPr="000973F2">
              <w:rPr>
                <w:rFonts w:ascii="Times New Roman" w:eastAsia="Times New Roman" w:hAnsi="Times New Roman" w:cs="Times New Roman"/>
                <w:b/>
                <w:sz w:val="18"/>
                <w:szCs w:val="18"/>
              </w:rPr>
              <w:t>$0</w:t>
            </w:r>
          </w:p>
        </w:tc>
        <w:tc>
          <w:tcPr>
            <w:tcW w:w="1270" w:type="dxa"/>
            <w:noWrap/>
          </w:tcPr>
          <w:p w14:paraId="3F53F75B" w14:textId="77777777" w:rsidR="007F08F7" w:rsidRPr="000973F2" w:rsidRDefault="007F08F7" w:rsidP="00426F77">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sz w:val="18"/>
                <w:szCs w:val="18"/>
              </w:rPr>
            </w:pPr>
          </w:p>
        </w:tc>
        <w:tc>
          <w:tcPr>
            <w:tcW w:w="1269" w:type="dxa"/>
            <w:noWrap/>
            <w:hideMark/>
          </w:tcPr>
          <w:p w14:paraId="13454337" w14:textId="77777777" w:rsidR="007F08F7" w:rsidRPr="000973F2" w:rsidRDefault="007F08F7" w:rsidP="00426F77">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sz w:val="18"/>
                <w:szCs w:val="18"/>
              </w:rPr>
            </w:pPr>
            <w:r w:rsidRPr="000973F2">
              <w:rPr>
                <w:rFonts w:ascii="Times New Roman" w:eastAsia="Times New Roman" w:hAnsi="Times New Roman" w:cs="Times New Roman"/>
                <w:b/>
                <w:sz w:val="18"/>
                <w:szCs w:val="18"/>
              </w:rPr>
              <w:t>$0</w:t>
            </w:r>
          </w:p>
        </w:tc>
        <w:tc>
          <w:tcPr>
            <w:tcW w:w="1280" w:type="dxa"/>
            <w:noWrap/>
            <w:hideMark/>
          </w:tcPr>
          <w:p w14:paraId="633050B2" w14:textId="77777777" w:rsidR="007F08F7" w:rsidRPr="000973F2" w:rsidRDefault="007F08F7" w:rsidP="00426F77">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sz w:val="18"/>
                <w:szCs w:val="18"/>
              </w:rPr>
            </w:pPr>
            <w:r w:rsidRPr="000973F2">
              <w:rPr>
                <w:rFonts w:ascii="Times New Roman" w:eastAsia="Times New Roman" w:hAnsi="Times New Roman" w:cs="Times New Roman"/>
                <w:b/>
                <w:sz w:val="18"/>
                <w:szCs w:val="18"/>
              </w:rPr>
              <w:t>$50</w:t>
            </w:r>
          </w:p>
        </w:tc>
        <w:tc>
          <w:tcPr>
            <w:tcW w:w="1258" w:type="dxa"/>
            <w:noWrap/>
            <w:hideMark/>
          </w:tcPr>
          <w:p w14:paraId="4F94B3F3" w14:textId="77777777" w:rsidR="007F08F7" w:rsidRPr="000973F2" w:rsidRDefault="007F08F7" w:rsidP="00426F77">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sz w:val="18"/>
                <w:szCs w:val="18"/>
              </w:rPr>
            </w:pPr>
            <w:r w:rsidRPr="000973F2">
              <w:rPr>
                <w:rFonts w:ascii="Times New Roman" w:eastAsia="Times New Roman" w:hAnsi="Times New Roman" w:cs="Times New Roman"/>
                <w:b/>
                <w:sz w:val="18"/>
                <w:szCs w:val="18"/>
              </w:rPr>
              <w:t>$0</w:t>
            </w:r>
          </w:p>
        </w:tc>
        <w:tc>
          <w:tcPr>
            <w:tcW w:w="1270" w:type="dxa"/>
            <w:noWrap/>
            <w:hideMark/>
          </w:tcPr>
          <w:p w14:paraId="16C851B7" w14:textId="77777777" w:rsidR="007F08F7" w:rsidRPr="000973F2" w:rsidRDefault="007F08F7" w:rsidP="00426F77">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sz w:val="18"/>
                <w:szCs w:val="18"/>
              </w:rPr>
            </w:pPr>
            <w:r w:rsidRPr="000973F2">
              <w:rPr>
                <w:rFonts w:ascii="Times New Roman" w:eastAsia="Times New Roman" w:hAnsi="Times New Roman" w:cs="Times New Roman"/>
                <w:b/>
                <w:sz w:val="18"/>
                <w:szCs w:val="18"/>
              </w:rPr>
              <w:t>$50</w:t>
            </w:r>
          </w:p>
        </w:tc>
      </w:tr>
    </w:tbl>
    <w:p w14:paraId="222313CF" w14:textId="77777777" w:rsidR="007F08F7" w:rsidRPr="000973F2" w:rsidRDefault="007F08F7" w:rsidP="00426F77">
      <w:pPr>
        <w:pStyle w:val="AfterTable"/>
      </w:pPr>
    </w:p>
    <w:p w14:paraId="5A1CBCA9" w14:textId="77777777" w:rsidR="007F08F7" w:rsidRPr="000973F2" w:rsidRDefault="007F08F7" w:rsidP="00426F77">
      <w:pPr>
        <w:pStyle w:val="Heading2"/>
      </w:pPr>
      <w:r w:rsidRPr="000973F2">
        <w:t>Total Costs for Subpart MM</w:t>
      </w:r>
    </w:p>
    <w:p w14:paraId="1B7E878C" w14:textId="1938B9AC" w:rsidR="00AE014A" w:rsidRPr="000973F2" w:rsidRDefault="007F08F7" w:rsidP="00426F77">
      <w:pPr>
        <w:pStyle w:val="BodyText"/>
      </w:pPr>
      <w:r w:rsidRPr="000973F2">
        <w:t xml:space="preserve">The total industry costs related to Subpart MM are approximately $679,000 per year for a total of </w:t>
      </w:r>
      <w:r w:rsidR="000E41BB" w:rsidRPr="000973F2">
        <w:t xml:space="preserve">approximately </w:t>
      </w:r>
      <w:r w:rsidRPr="000973F2">
        <w:t>$2,0</w:t>
      </w:r>
      <w:r w:rsidR="00B8690B" w:rsidRPr="000973F2">
        <w:t>37</w:t>
      </w:r>
      <w:r w:rsidRPr="000973F2">
        <w:t xml:space="preserve">,000 over the three-year period </w:t>
      </w:r>
      <w:r w:rsidR="00F24D60" w:rsidRPr="000973F2">
        <w:t>covered by this</w:t>
      </w:r>
      <w:r w:rsidRPr="000973F2">
        <w:t xml:space="preserve"> ICR. 241 facilities are expected to report in 2019, 2020, and 2021.</w:t>
      </w:r>
      <w:r w:rsidR="00AE014A" w:rsidRPr="000973F2">
        <w:br w:type="page"/>
      </w:r>
    </w:p>
    <w:p w14:paraId="0A86BBD8" w14:textId="77777777" w:rsidR="00AE014A" w:rsidRPr="000973F2" w:rsidRDefault="00AE014A" w:rsidP="00426F77">
      <w:pPr>
        <w:pStyle w:val="Heading1"/>
      </w:pPr>
      <w:bookmarkStart w:id="65" w:name="_Toc10715629"/>
      <w:r w:rsidRPr="000973F2">
        <w:t>Cost Appendix for Subpart NN – Suppliers of Natural Gas and Natural Gas Liquids</w:t>
      </w:r>
      <w:bookmarkEnd w:id="65"/>
    </w:p>
    <w:p w14:paraId="6DE11699" w14:textId="77777777" w:rsidR="00AE014A" w:rsidRPr="000973F2" w:rsidRDefault="00AE014A" w:rsidP="00426F77">
      <w:pPr>
        <w:pStyle w:val="Heading2"/>
      </w:pPr>
      <w:r w:rsidRPr="000973F2">
        <w:t>Description of Subpart NN</w:t>
      </w:r>
    </w:p>
    <w:p w14:paraId="6F2CD035" w14:textId="77777777" w:rsidR="00AE014A" w:rsidRPr="000973F2" w:rsidRDefault="00AE014A" w:rsidP="00426F77">
      <w:pPr>
        <w:pStyle w:val="BodyText"/>
      </w:pPr>
      <w:r w:rsidRPr="000973F2">
        <w:t xml:space="preserve">For purposes of the GHGRP, suppliers of natural gas and natural gas liquids includes reporting requirements for two types of suppliers: </w:t>
      </w:r>
    </w:p>
    <w:p w14:paraId="253C7F5C" w14:textId="77777777" w:rsidR="00AE014A" w:rsidRPr="000973F2" w:rsidRDefault="00AE014A" w:rsidP="00426F77">
      <w:pPr>
        <w:pStyle w:val="Bulletlist1"/>
        <w:numPr>
          <w:ilvl w:val="0"/>
          <w:numId w:val="25"/>
        </w:numPr>
      </w:pPr>
      <w:r w:rsidRPr="000973F2">
        <w:rPr>
          <w:b/>
        </w:rPr>
        <w:t xml:space="preserve">LDCs </w:t>
      </w:r>
      <w:r w:rsidRPr="000973F2">
        <w:t>– installations that receive natural gas from a transmission pipeline company and deliver the gas to end users.</w:t>
      </w:r>
    </w:p>
    <w:p w14:paraId="1CEEBAE0" w14:textId="77777777" w:rsidR="00AE014A" w:rsidRPr="000973F2" w:rsidRDefault="00AE014A" w:rsidP="00426F77">
      <w:pPr>
        <w:pStyle w:val="Bulletlist1"/>
        <w:numPr>
          <w:ilvl w:val="0"/>
          <w:numId w:val="25"/>
        </w:numPr>
      </w:pPr>
      <w:r w:rsidRPr="000973F2">
        <w:rPr>
          <w:b/>
        </w:rPr>
        <w:t>NGL fractionators</w:t>
      </w:r>
      <w:r w:rsidRPr="000973F2">
        <w:t xml:space="preserve"> – plants that receive natural gas or natural gas liquids from producers and fractionate these raw inputs into individual products (ethane, propane, normal butane, isobutane, and pentanes plus) and supply those products into the economy.</w:t>
      </w:r>
    </w:p>
    <w:p w14:paraId="3F2262F8" w14:textId="77752DD8" w:rsidR="00732D5D" w:rsidRPr="000973F2" w:rsidRDefault="007F309D" w:rsidP="00426F77">
      <w:pPr>
        <w:pStyle w:val="BodyTextfirst"/>
      </w:pPr>
      <w:r w:rsidRPr="000973F2">
        <w:t>Suppliers of natural gas and natural gas liquids must calculate the annual CO2 emissions that would result from the complete combustion or oxidation of the natural gas or natural gas liquid by the customers who receive the products</w:t>
      </w:r>
    </w:p>
    <w:p w14:paraId="09A4D418" w14:textId="77777777" w:rsidR="00AE014A" w:rsidRPr="000973F2" w:rsidRDefault="00AE014A" w:rsidP="00426F77">
      <w:pPr>
        <w:pStyle w:val="Heading3"/>
      </w:pPr>
      <w:bookmarkStart w:id="66" w:name="_Toc10636300"/>
      <w:r w:rsidRPr="000973F2">
        <w:t>Natural Gas Local Distribution Companies (LDCs)</w:t>
      </w:r>
      <w:bookmarkEnd w:id="66"/>
    </w:p>
    <w:p w14:paraId="13694050" w14:textId="146160E7" w:rsidR="00AE014A" w:rsidRPr="000973F2" w:rsidRDefault="00AE014A" w:rsidP="00426F77">
      <w:pPr>
        <w:pStyle w:val="BodyText"/>
      </w:pPr>
      <w:r w:rsidRPr="000973F2">
        <w:t>Subpart NN applies to LDCs that own or operate distribution pipelines that physically deliver 460,000</w:t>
      </w:r>
      <w:r w:rsidR="00426F77" w:rsidRPr="000973F2">
        <w:t> </w:t>
      </w:r>
      <w:r w:rsidRPr="000973F2">
        <w:t xml:space="preserve">Mscf natural gas to end users within a single state. They may be regulated as separate operating companies by State public utility commissions or operate as independent municipally-owned distribution systems. For </w:t>
      </w:r>
      <w:r w:rsidR="00B63BAF" w:rsidRPr="000973F2">
        <w:t>RY</w:t>
      </w:r>
      <w:r w:rsidRPr="000973F2">
        <w:t xml:space="preserve">2016 and </w:t>
      </w:r>
      <w:r w:rsidR="00B63BAF" w:rsidRPr="000973F2">
        <w:t>RY</w:t>
      </w:r>
      <w:r w:rsidRPr="000973F2">
        <w:t xml:space="preserve">2017, the total number of LDCs reporting </w:t>
      </w:r>
      <w:r w:rsidR="00410CC5" w:rsidRPr="000973F2">
        <w:t>S</w:t>
      </w:r>
      <w:r w:rsidRPr="000973F2">
        <w:t xml:space="preserve">ubpart NN data has remained steady at 378. Although there were no new facilities in 2017, there were three new facilities in 2015 and one new facility in 2016. It is expected that two new LDCs will begin reporting to </w:t>
      </w:r>
      <w:r w:rsidR="00410CC5" w:rsidRPr="000973F2">
        <w:t>S</w:t>
      </w:r>
      <w:r w:rsidRPr="000973F2">
        <w:t>ubpart NN in each of the next three years</w:t>
      </w:r>
      <w:r w:rsidR="00BB183C" w:rsidRPr="000973F2">
        <w:t xml:space="preserve"> covered by this ICR</w:t>
      </w:r>
      <w:r w:rsidRPr="000973F2">
        <w:t>.</w:t>
      </w:r>
    </w:p>
    <w:p w14:paraId="47D4FB41" w14:textId="2145A8C0" w:rsidR="00AE014A" w:rsidRPr="000973F2" w:rsidRDefault="00AE014A" w:rsidP="00426F77">
      <w:pPr>
        <w:pStyle w:val="Heading3"/>
      </w:pPr>
      <w:bookmarkStart w:id="67" w:name="_Toc10636301"/>
      <w:r w:rsidRPr="000973F2">
        <w:t>Natural gas liquids (NGL) fractionators</w:t>
      </w:r>
      <w:bookmarkEnd w:id="67"/>
    </w:p>
    <w:p w14:paraId="50B7BD4F" w14:textId="231B7229" w:rsidR="00AE014A" w:rsidRPr="000973F2" w:rsidRDefault="00AE014A" w:rsidP="00426F77">
      <w:pPr>
        <w:pStyle w:val="BodyText"/>
      </w:pPr>
      <w:r w:rsidRPr="000973F2">
        <w:t>Fractionators report quantities of each of the five NGL products supplied and the quantity of CO</w:t>
      </w:r>
      <w:r w:rsidRPr="000973F2">
        <w:rPr>
          <w:vertAlign w:val="subscript"/>
        </w:rPr>
        <w:t>2</w:t>
      </w:r>
      <w:r w:rsidRPr="000973F2">
        <w:t xml:space="preserve"> that would result from the combustion of each product by downstream customers. The five NGL products reported are: ethane, propane, butane, isobutane and pentanes plus. Although most fractionators supply all five NGL products, some fractionators separate only one or two products and then supply the remaining unfractionated bulk downstream. In 2017, 123 fractionators reported </w:t>
      </w:r>
      <w:r w:rsidR="00410CC5" w:rsidRPr="000973F2">
        <w:t>S</w:t>
      </w:r>
      <w:r w:rsidRPr="000973F2">
        <w:t>ubpart NN data. Three of these facilities were new facilities. There were also two new facilities in 2015 and five new facilities in 2016. It is expected that three new NGL fractionators will begin reporting in each of the three years</w:t>
      </w:r>
      <w:r w:rsidR="00BB183C" w:rsidRPr="000973F2">
        <w:t xml:space="preserve"> covered by this ICR</w:t>
      </w:r>
      <w:r w:rsidRPr="000973F2">
        <w:t>.</w:t>
      </w:r>
    </w:p>
    <w:p w14:paraId="2AA08B4B" w14:textId="77777777" w:rsidR="00AE014A" w:rsidRPr="000973F2" w:rsidRDefault="00AE014A" w:rsidP="00426F77">
      <w:pPr>
        <w:pStyle w:val="Heading2"/>
      </w:pPr>
      <w:r w:rsidRPr="000973F2">
        <w:t>Labor Costs for Subpart NN – Local Distribution Companies (LDCs)</w:t>
      </w:r>
    </w:p>
    <w:p w14:paraId="6C0C8320" w14:textId="4B3A8024" w:rsidR="00AE014A" w:rsidRPr="000973F2" w:rsidRDefault="00AE014A" w:rsidP="00C00E4F">
      <w:pPr>
        <w:spacing w:line="240" w:lineRule="auto"/>
        <w:rPr>
          <w:rFonts w:ascii="Times New Roman" w:hAnsi="Times New Roman" w:cs="Times New Roman"/>
        </w:rPr>
      </w:pPr>
      <w:r w:rsidRPr="000973F2">
        <w:rPr>
          <w:rFonts w:ascii="Times New Roman" w:hAnsi="Times New Roman" w:cs="Times New Roman"/>
        </w:rPr>
        <w:t xml:space="preserve">Tables </w:t>
      </w:r>
      <w:r w:rsidR="00426F77" w:rsidRPr="000973F2">
        <w:rPr>
          <w:rFonts w:ascii="Times New Roman" w:hAnsi="Times New Roman" w:cs="Times New Roman"/>
        </w:rPr>
        <w:t>NN-</w:t>
      </w:r>
      <w:r w:rsidRPr="000973F2">
        <w:rPr>
          <w:rFonts w:ascii="Times New Roman" w:hAnsi="Times New Roman" w:cs="Times New Roman"/>
        </w:rPr>
        <w:t xml:space="preserve">1a provides the annual labor </w:t>
      </w:r>
      <w:r w:rsidR="00BB183C" w:rsidRPr="000973F2">
        <w:rPr>
          <w:rFonts w:ascii="Times New Roman" w:hAnsi="Times New Roman" w:cs="Times New Roman"/>
        </w:rPr>
        <w:t xml:space="preserve">hours </w:t>
      </w:r>
      <w:r w:rsidR="009801BA" w:rsidRPr="000973F2">
        <w:rPr>
          <w:rFonts w:ascii="Times New Roman" w:hAnsi="Times New Roman" w:cs="Times New Roman"/>
        </w:rPr>
        <w:t>for each of the 378 LDC</w:t>
      </w:r>
      <w:r w:rsidRPr="000973F2">
        <w:rPr>
          <w:rFonts w:ascii="Times New Roman" w:hAnsi="Times New Roman" w:cs="Times New Roman"/>
        </w:rPr>
        <w:t xml:space="preserve"> facilit</w:t>
      </w:r>
      <w:r w:rsidR="009801BA" w:rsidRPr="000973F2">
        <w:rPr>
          <w:rFonts w:ascii="Times New Roman" w:hAnsi="Times New Roman" w:cs="Times New Roman"/>
        </w:rPr>
        <w:t>ies</w:t>
      </w:r>
      <w:r w:rsidRPr="000973F2">
        <w:rPr>
          <w:rFonts w:ascii="Times New Roman" w:hAnsi="Times New Roman" w:cs="Times New Roman"/>
        </w:rPr>
        <w:t xml:space="preserve">. Typical activities for each of the labor categories are discussed in the Cost Appendix Introduction. Recordkeeping and reporting hours </w:t>
      </w:r>
      <w:r w:rsidR="002E2424" w:rsidRPr="000973F2">
        <w:rPr>
          <w:rFonts w:ascii="Times New Roman" w:hAnsi="Times New Roman" w:cs="Times New Roman"/>
        </w:rPr>
        <w:t>are based on</w:t>
      </w:r>
      <w:r w:rsidRPr="000973F2">
        <w:rPr>
          <w:rFonts w:ascii="Times New Roman" w:hAnsi="Times New Roman" w:cs="Times New Roman"/>
        </w:rPr>
        <w:t xml:space="preserve"> the “low bin”</w:t>
      </w:r>
      <w:r w:rsidR="002E2424" w:rsidRPr="000973F2">
        <w:rPr>
          <w:rFonts w:ascii="Times New Roman" w:hAnsi="Times New Roman" w:cs="Times New Roman"/>
        </w:rPr>
        <w:t xml:space="preserve"> designation.</w:t>
      </w:r>
      <w:r w:rsidRPr="000973F2">
        <w:rPr>
          <w:rFonts w:ascii="Times New Roman" w:hAnsi="Times New Roman" w:cs="Times New Roman"/>
        </w:rPr>
        <w:t xml:space="preserve"> Calculations include time required to retrieve the necessary records, complete calculations and QA/QC the results. LDCs may use the default HHV and/or emission factors provided in the rule or use their own facility-specific factors. Subpart NN requires facilities to use facility-specific HHV and emission factors in their calculations only if the facility already has these factors available (for example, to report to EIA or a state or local government). Hence, the same level of effort is required to complete the measurements, calculations, QA/QC, recordkeeping and reporting for facilities using facility-specific HHV and/or emission factors as for those facilities using the default factors.</w:t>
      </w:r>
    </w:p>
    <w:p w14:paraId="370F5C62" w14:textId="7961E47A" w:rsidR="00AE014A" w:rsidRPr="000973F2" w:rsidRDefault="00AE014A" w:rsidP="00C00E4F">
      <w:pPr>
        <w:spacing w:line="240" w:lineRule="auto"/>
        <w:rPr>
          <w:rFonts w:ascii="Times New Roman" w:hAnsi="Times New Roman" w:cs="Times New Roman"/>
        </w:rPr>
      </w:pPr>
      <w:r w:rsidRPr="000973F2">
        <w:rPr>
          <w:rFonts w:ascii="Times New Roman" w:hAnsi="Times New Roman" w:cs="Times New Roman"/>
          <w:color w:val="000000"/>
          <w:shd w:val="clear" w:color="auto" w:fill="FFFFFF"/>
        </w:rPr>
        <w:t xml:space="preserve">The costs for legal support and QA/QC, recordkeeping and calculations are expected to be the same for new facilities as for existing facilities since there are no additional requirements for these tasks that apply to new facilities. </w:t>
      </w:r>
      <w:r w:rsidRPr="000973F2">
        <w:rPr>
          <w:rFonts w:ascii="Times New Roman" w:hAnsi="Times New Roman" w:cs="Times New Roman"/>
        </w:rPr>
        <w:t>However, a new facility in their initial year of reporting will require additional planning time to familiarize themselves with the rule. As stated above, it is expected that two new LDCs will begin reporting in each of the next three reporting years.</w:t>
      </w:r>
    </w:p>
    <w:p w14:paraId="6357FBE2" w14:textId="34040621" w:rsidR="00AE014A" w:rsidRPr="000973F2" w:rsidRDefault="0049353D" w:rsidP="00426F77">
      <w:pPr>
        <w:pStyle w:val="Tabletitle"/>
      </w:pPr>
      <w:r w:rsidRPr="000973F2">
        <w:t xml:space="preserve">Table </w:t>
      </w:r>
      <w:r w:rsidR="00426F77" w:rsidRPr="000973F2">
        <w:t>NN-</w:t>
      </w:r>
      <w:r w:rsidRPr="000973F2">
        <w:t xml:space="preserve">1a. Labor Costs </w:t>
      </w:r>
      <w:r w:rsidR="00B960CC" w:rsidRPr="000973F2">
        <w:t>–</w:t>
      </w:r>
      <w:r w:rsidRPr="000973F2">
        <w:t xml:space="preserve"> Subpart NN – Local Distribution Companies (LDCs)</w:t>
      </w:r>
    </w:p>
    <w:tbl>
      <w:tblPr>
        <w:tblStyle w:val="PlainTable1"/>
        <w:tblW w:w="5000" w:type="pct"/>
        <w:jc w:val="left"/>
        <w:tblLayout w:type="fixed"/>
        <w:tblCellMar>
          <w:left w:w="115" w:type="dxa"/>
          <w:right w:w="115" w:type="dxa"/>
        </w:tblCellMar>
        <w:tblLook w:val="04A0" w:firstRow="1" w:lastRow="0" w:firstColumn="1" w:lastColumn="0" w:noHBand="0" w:noVBand="1"/>
      </w:tblPr>
      <w:tblGrid>
        <w:gridCol w:w="1466"/>
        <w:gridCol w:w="825"/>
        <w:gridCol w:w="825"/>
        <w:gridCol w:w="824"/>
        <w:gridCol w:w="825"/>
        <w:gridCol w:w="825"/>
        <w:gridCol w:w="824"/>
        <w:gridCol w:w="825"/>
        <w:gridCol w:w="825"/>
        <w:gridCol w:w="763"/>
        <w:gridCol w:w="763"/>
      </w:tblGrid>
      <w:tr w:rsidR="00AE014A" w:rsidRPr="000973F2" w14:paraId="3F835D90" w14:textId="77777777" w:rsidTr="00F91B05">
        <w:trPr>
          <w:cnfStyle w:val="100000000000" w:firstRow="1" w:lastRow="0" w:firstColumn="0" w:lastColumn="0" w:oddVBand="0" w:evenVBand="0" w:oddHBand="0" w:evenHBand="0" w:firstRowFirstColumn="0" w:firstRowLastColumn="0" w:lastRowFirstColumn="0" w:lastRowLastColumn="0"/>
          <w:cantSplit/>
          <w:jc w:val="left"/>
        </w:trPr>
        <w:tc>
          <w:tcPr>
            <w:cnfStyle w:val="001000000000" w:firstRow="0" w:lastRow="0" w:firstColumn="1" w:lastColumn="0" w:oddVBand="0" w:evenVBand="0" w:oddHBand="0" w:evenHBand="0" w:firstRowFirstColumn="0" w:firstRowLastColumn="0" w:lastRowFirstColumn="0" w:lastRowLastColumn="0"/>
            <w:tcW w:w="1425" w:type="dxa"/>
            <w:vMerge w:val="restart"/>
            <w:noWrap/>
            <w:vAlign w:val="top"/>
            <w:hideMark/>
          </w:tcPr>
          <w:p w14:paraId="326B403F" w14:textId="77777777" w:rsidR="00AE014A" w:rsidRPr="000973F2" w:rsidRDefault="00AE014A" w:rsidP="00F91B05">
            <w:pPr>
              <w:spacing w:before="40" w:after="40"/>
              <w:rPr>
                <w:rFonts w:ascii="Times New Roman" w:eastAsia="Times New Roman" w:hAnsi="Times New Roman" w:cs="Times New Roman"/>
                <w:bCs w:val="0"/>
                <w:sz w:val="18"/>
                <w:szCs w:val="18"/>
              </w:rPr>
            </w:pPr>
            <w:r w:rsidRPr="000973F2">
              <w:rPr>
                <w:rFonts w:ascii="Times New Roman" w:eastAsia="Times New Roman" w:hAnsi="Times New Roman" w:cs="Times New Roman"/>
                <w:bCs w:val="0"/>
                <w:sz w:val="18"/>
                <w:szCs w:val="18"/>
              </w:rPr>
              <w:t>Activity</w:t>
            </w:r>
          </w:p>
        </w:tc>
        <w:tc>
          <w:tcPr>
            <w:tcW w:w="6421" w:type="dxa"/>
            <w:gridSpan w:val="8"/>
            <w:noWrap/>
            <w:vAlign w:val="top"/>
            <w:hideMark/>
          </w:tcPr>
          <w:p w14:paraId="578C80AF" w14:textId="77777777" w:rsidR="00AE014A" w:rsidRPr="000973F2" w:rsidRDefault="00AE014A" w:rsidP="00F91B05">
            <w:pPr>
              <w:spacing w:before="40" w:after="40"/>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Cs w:val="0"/>
                <w:sz w:val="18"/>
                <w:szCs w:val="18"/>
              </w:rPr>
            </w:pPr>
            <w:r w:rsidRPr="000973F2">
              <w:rPr>
                <w:rFonts w:ascii="Times New Roman" w:eastAsia="Times New Roman" w:hAnsi="Times New Roman" w:cs="Times New Roman"/>
                <w:bCs w:val="0"/>
                <w:sz w:val="18"/>
                <w:szCs w:val="18"/>
              </w:rPr>
              <w:t>Labor Rates (per hour)</w:t>
            </w:r>
          </w:p>
        </w:tc>
        <w:tc>
          <w:tcPr>
            <w:tcW w:w="1484" w:type="dxa"/>
            <w:gridSpan w:val="2"/>
            <w:vMerge w:val="restart"/>
            <w:vAlign w:val="top"/>
            <w:hideMark/>
          </w:tcPr>
          <w:p w14:paraId="4431A492" w14:textId="77777777" w:rsidR="00AE014A" w:rsidRPr="000973F2" w:rsidRDefault="00AE014A" w:rsidP="00F91B05">
            <w:pPr>
              <w:spacing w:before="40" w:after="40"/>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Cs w:val="0"/>
                <w:sz w:val="18"/>
                <w:szCs w:val="18"/>
              </w:rPr>
            </w:pPr>
            <w:r w:rsidRPr="000973F2">
              <w:rPr>
                <w:rFonts w:ascii="Times New Roman" w:eastAsia="Times New Roman" w:hAnsi="Times New Roman" w:cs="Times New Roman"/>
                <w:bCs w:val="0"/>
                <w:sz w:val="18"/>
                <w:szCs w:val="18"/>
              </w:rPr>
              <w:t>Total Labor Cost per Year per Facility (2017$)</w:t>
            </w:r>
          </w:p>
        </w:tc>
      </w:tr>
      <w:tr w:rsidR="003768E3" w:rsidRPr="000973F2" w14:paraId="068D79CC" w14:textId="77777777" w:rsidTr="00F91B05">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1425" w:type="dxa"/>
            <w:vMerge/>
            <w:hideMark/>
          </w:tcPr>
          <w:p w14:paraId="2DA94610" w14:textId="77777777" w:rsidR="00AE014A" w:rsidRPr="000973F2" w:rsidRDefault="00AE014A" w:rsidP="00F91B05">
            <w:pPr>
              <w:spacing w:before="40" w:after="40"/>
              <w:rPr>
                <w:rFonts w:ascii="Times New Roman" w:eastAsia="Times New Roman" w:hAnsi="Times New Roman" w:cs="Times New Roman"/>
                <w:b/>
                <w:bCs w:val="0"/>
                <w:sz w:val="18"/>
                <w:szCs w:val="18"/>
              </w:rPr>
            </w:pPr>
          </w:p>
        </w:tc>
        <w:tc>
          <w:tcPr>
            <w:tcW w:w="1605" w:type="dxa"/>
            <w:gridSpan w:val="2"/>
            <w:noWrap/>
            <w:hideMark/>
          </w:tcPr>
          <w:p w14:paraId="51F1AB1A" w14:textId="77777777" w:rsidR="00AE014A" w:rsidRPr="000973F2" w:rsidRDefault="00AE014A" w:rsidP="00F91B05">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sz w:val="18"/>
                <w:szCs w:val="18"/>
              </w:rPr>
            </w:pPr>
            <w:r w:rsidRPr="000973F2">
              <w:rPr>
                <w:rFonts w:ascii="Times New Roman" w:eastAsia="Times New Roman" w:hAnsi="Times New Roman" w:cs="Times New Roman"/>
                <w:b/>
                <w:sz w:val="18"/>
                <w:szCs w:val="18"/>
              </w:rPr>
              <w:t>Lawyer</w:t>
            </w:r>
          </w:p>
        </w:tc>
        <w:tc>
          <w:tcPr>
            <w:tcW w:w="1605" w:type="dxa"/>
            <w:gridSpan w:val="2"/>
            <w:noWrap/>
            <w:hideMark/>
          </w:tcPr>
          <w:p w14:paraId="3F3DF5BD" w14:textId="77777777" w:rsidR="00AE014A" w:rsidRPr="000973F2" w:rsidRDefault="00AE014A" w:rsidP="00F91B05">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sz w:val="18"/>
                <w:szCs w:val="18"/>
              </w:rPr>
            </w:pPr>
            <w:r w:rsidRPr="000973F2">
              <w:rPr>
                <w:rFonts w:ascii="Times New Roman" w:eastAsia="Times New Roman" w:hAnsi="Times New Roman" w:cs="Times New Roman"/>
                <w:b/>
                <w:sz w:val="18"/>
                <w:szCs w:val="18"/>
              </w:rPr>
              <w:t>Industrial Manager</w:t>
            </w:r>
          </w:p>
        </w:tc>
        <w:tc>
          <w:tcPr>
            <w:tcW w:w="1605" w:type="dxa"/>
            <w:gridSpan w:val="2"/>
            <w:hideMark/>
          </w:tcPr>
          <w:p w14:paraId="47091FB6" w14:textId="399C78F7" w:rsidR="00AE014A" w:rsidRPr="000973F2" w:rsidRDefault="00AE014A" w:rsidP="00F91B05">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sz w:val="18"/>
                <w:szCs w:val="18"/>
              </w:rPr>
            </w:pPr>
            <w:r w:rsidRPr="000973F2">
              <w:rPr>
                <w:rFonts w:ascii="Times New Roman" w:eastAsia="Times New Roman" w:hAnsi="Times New Roman" w:cs="Times New Roman"/>
                <w:b/>
                <w:sz w:val="18"/>
                <w:szCs w:val="18"/>
              </w:rPr>
              <w:t>Industrial Engineer/</w:t>
            </w:r>
            <w:r w:rsidR="00426F77" w:rsidRPr="000973F2">
              <w:rPr>
                <w:rFonts w:ascii="Times New Roman" w:eastAsia="Times New Roman" w:hAnsi="Times New Roman" w:cs="Times New Roman"/>
                <w:b/>
                <w:sz w:val="18"/>
                <w:szCs w:val="18"/>
              </w:rPr>
              <w:t xml:space="preserve"> </w:t>
            </w:r>
            <w:r w:rsidRPr="000973F2">
              <w:rPr>
                <w:rFonts w:ascii="Times New Roman" w:eastAsia="Times New Roman" w:hAnsi="Times New Roman" w:cs="Times New Roman"/>
                <w:b/>
                <w:sz w:val="18"/>
                <w:szCs w:val="18"/>
              </w:rPr>
              <w:t>Technician</w:t>
            </w:r>
          </w:p>
        </w:tc>
        <w:tc>
          <w:tcPr>
            <w:tcW w:w="1606" w:type="dxa"/>
            <w:gridSpan w:val="2"/>
            <w:hideMark/>
          </w:tcPr>
          <w:p w14:paraId="441270F8" w14:textId="77777777" w:rsidR="00AE014A" w:rsidRPr="000973F2" w:rsidRDefault="00AE014A" w:rsidP="00F91B05">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sz w:val="18"/>
                <w:szCs w:val="18"/>
              </w:rPr>
            </w:pPr>
            <w:r w:rsidRPr="000973F2">
              <w:rPr>
                <w:rFonts w:ascii="Times New Roman" w:eastAsia="Times New Roman" w:hAnsi="Times New Roman" w:cs="Times New Roman"/>
                <w:b/>
                <w:sz w:val="18"/>
                <w:szCs w:val="18"/>
              </w:rPr>
              <w:t>Administrative Support</w:t>
            </w:r>
          </w:p>
        </w:tc>
        <w:tc>
          <w:tcPr>
            <w:tcW w:w="1484" w:type="dxa"/>
            <w:gridSpan w:val="2"/>
            <w:vMerge/>
            <w:hideMark/>
          </w:tcPr>
          <w:p w14:paraId="1284AA7F" w14:textId="77777777" w:rsidR="00AE014A" w:rsidRPr="000973F2" w:rsidRDefault="00AE014A" w:rsidP="00F91B05">
            <w:pPr>
              <w:spacing w:before="40" w:after="4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sz w:val="18"/>
                <w:szCs w:val="18"/>
              </w:rPr>
            </w:pPr>
          </w:p>
        </w:tc>
      </w:tr>
      <w:tr w:rsidR="008C2EF5" w:rsidRPr="000973F2" w14:paraId="19F129F2" w14:textId="77777777" w:rsidTr="00F91B05">
        <w:trPr>
          <w:cantSplit/>
        </w:trPr>
        <w:tc>
          <w:tcPr>
            <w:cnfStyle w:val="001000000000" w:firstRow="0" w:lastRow="0" w:firstColumn="1" w:lastColumn="0" w:oddVBand="0" w:evenVBand="0" w:oddHBand="0" w:evenHBand="0" w:firstRowFirstColumn="0" w:firstRowLastColumn="0" w:lastRowFirstColumn="0" w:lastRowLastColumn="0"/>
            <w:tcW w:w="1425" w:type="dxa"/>
            <w:vMerge/>
            <w:hideMark/>
          </w:tcPr>
          <w:p w14:paraId="7C86284D" w14:textId="77777777" w:rsidR="00AE014A" w:rsidRPr="000973F2" w:rsidRDefault="00AE014A" w:rsidP="00F91B05">
            <w:pPr>
              <w:spacing w:before="40" w:after="40"/>
              <w:rPr>
                <w:rFonts w:ascii="Times New Roman" w:eastAsia="Times New Roman" w:hAnsi="Times New Roman" w:cs="Times New Roman"/>
                <w:b/>
                <w:bCs w:val="0"/>
                <w:sz w:val="18"/>
                <w:szCs w:val="18"/>
              </w:rPr>
            </w:pPr>
          </w:p>
        </w:tc>
        <w:tc>
          <w:tcPr>
            <w:tcW w:w="1605" w:type="dxa"/>
            <w:gridSpan w:val="2"/>
            <w:noWrap/>
            <w:hideMark/>
          </w:tcPr>
          <w:p w14:paraId="41C4FDB8" w14:textId="77777777" w:rsidR="00AE014A" w:rsidRPr="000973F2" w:rsidRDefault="00AE014A" w:rsidP="00F91B05">
            <w:pPr>
              <w:spacing w:before="40" w:after="4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sz w:val="18"/>
                <w:szCs w:val="18"/>
              </w:rPr>
            </w:pPr>
            <w:r w:rsidRPr="000973F2">
              <w:rPr>
                <w:rFonts w:ascii="Times New Roman" w:eastAsia="Times New Roman" w:hAnsi="Times New Roman" w:cs="Times New Roman"/>
                <w:b/>
                <w:bCs/>
                <w:sz w:val="18"/>
                <w:szCs w:val="18"/>
              </w:rPr>
              <w:t xml:space="preserve">$112.23 </w:t>
            </w:r>
          </w:p>
        </w:tc>
        <w:tc>
          <w:tcPr>
            <w:tcW w:w="1605" w:type="dxa"/>
            <w:gridSpan w:val="2"/>
            <w:noWrap/>
            <w:hideMark/>
          </w:tcPr>
          <w:p w14:paraId="3D465D7A" w14:textId="77777777" w:rsidR="00AE014A" w:rsidRPr="000973F2" w:rsidRDefault="00AE014A" w:rsidP="00F91B05">
            <w:pPr>
              <w:spacing w:before="40" w:after="4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sz w:val="18"/>
                <w:szCs w:val="18"/>
              </w:rPr>
            </w:pPr>
            <w:r w:rsidRPr="000973F2">
              <w:rPr>
                <w:rFonts w:ascii="Times New Roman" w:eastAsia="Times New Roman" w:hAnsi="Times New Roman" w:cs="Times New Roman"/>
                <w:b/>
                <w:bCs/>
                <w:sz w:val="18"/>
                <w:szCs w:val="18"/>
              </w:rPr>
              <w:t xml:space="preserve">$87.45 </w:t>
            </w:r>
          </w:p>
        </w:tc>
        <w:tc>
          <w:tcPr>
            <w:tcW w:w="1605" w:type="dxa"/>
            <w:gridSpan w:val="2"/>
            <w:noWrap/>
            <w:hideMark/>
          </w:tcPr>
          <w:p w14:paraId="4F7CDECC" w14:textId="77777777" w:rsidR="00AE014A" w:rsidRPr="000973F2" w:rsidRDefault="00AE014A" w:rsidP="00F91B05">
            <w:pPr>
              <w:spacing w:before="40" w:after="4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sz w:val="18"/>
                <w:szCs w:val="18"/>
              </w:rPr>
            </w:pPr>
            <w:r w:rsidRPr="000973F2">
              <w:rPr>
                <w:rFonts w:ascii="Times New Roman" w:eastAsia="Times New Roman" w:hAnsi="Times New Roman" w:cs="Times New Roman"/>
                <w:b/>
                <w:bCs/>
                <w:sz w:val="18"/>
                <w:szCs w:val="18"/>
              </w:rPr>
              <w:t xml:space="preserve">$71.45 </w:t>
            </w:r>
          </w:p>
        </w:tc>
        <w:tc>
          <w:tcPr>
            <w:tcW w:w="1606" w:type="dxa"/>
            <w:gridSpan w:val="2"/>
            <w:noWrap/>
            <w:hideMark/>
          </w:tcPr>
          <w:p w14:paraId="047C0AE9" w14:textId="77777777" w:rsidR="00AE014A" w:rsidRPr="000973F2" w:rsidRDefault="00AE014A" w:rsidP="00F91B05">
            <w:pPr>
              <w:spacing w:before="40" w:after="4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sz w:val="18"/>
                <w:szCs w:val="18"/>
              </w:rPr>
            </w:pPr>
            <w:r w:rsidRPr="000973F2">
              <w:rPr>
                <w:rFonts w:ascii="Times New Roman" w:eastAsia="Times New Roman" w:hAnsi="Times New Roman" w:cs="Times New Roman"/>
                <w:b/>
                <w:bCs/>
                <w:sz w:val="18"/>
                <w:szCs w:val="18"/>
              </w:rPr>
              <w:t xml:space="preserve">$36.28 </w:t>
            </w:r>
          </w:p>
        </w:tc>
        <w:tc>
          <w:tcPr>
            <w:tcW w:w="1484" w:type="dxa"/>
            <w:gridSpan w:val="2"/>
            <w:vMerge/>
            <w:hideMark/>
          </w:tcPr>
          <w:p w14:paraId="25BB351C" w14:textId="77777777" w:rsidR="00AE014A" w:rsidRPr="000973F2" w:rsidRDefault="00AE014A" w:rsidP="00F91B05">
            <w:pPr>
              <w:spacing w:before="40" w:after="4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sz w:val="18"/>
                <w:szCs w:val="18"/>
              </w:rPr>
            </w:pPr>
          </w:p>
        </w:tc>
      </w:tr>
      <w:tr w:rsidR="008C2EF5" w:rsidRPr="000973F2" w14:paraId="10892326" w14:textId="77777777" w:rsidTr="00F91B05">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1425" w:type="dxa"/>
            <w:vMerge/>
            <w:hideMark/>
          </w:tcPr>
          <w:p w14:paraId="53E2FA49" w14:textId="77777777" w:rsidR="00AE014A" w:rsidRPr="000973F2" w:rsidRDefault="00AE014A" w:rsidP="00F91B05">
            <w:pPr>
              <w:spacing w:before="40" w:after="40"/>
              <w:rPr>
                <w:rFonts w:ascii="Times New Roman" w:eastAsia="Times New Roman" w:hAnsi="Times New Roman" w:cs="Times New Roman"/>
                <w:b/>
                <w:bCs w:val="0"/>
                <w:sz w:val="18"/>
                <w:szCs w:val="18"/>
              </w:rPr>
            </w:pPr>
          </w:p>
        </w:tc>
        <w:tc>
          <w:tcPr>
            <w:tcW w:w="802" w:type="dxa"/>
            <w:tcMar>
              <w:left w:w="14" w:type="dxa"/>
              <w:right w:w="14" w:type="dxa"/>
            </w:tcMar>
            <w:hideMark/>
          </w:tcPr>
          <w:p w14:paraId="720475C3" w14:textId="416900AC" w:rsidR="00AE014A" w:rsidRPr="000973F2" w:rsidRDefault="00AE014A" w:rsidP="00F91B05">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18"/>
                <w:szCs w:val="18"/>
              </w:rPr>
            </w:pPr>
            <w:r w:rsidRPr="000973F2">
              <w:rPr>
                <w:rFonts w:ascii="Times New Roman" w:eastAsia="Times New Roman" w:hAnsi="Times New Roman" w:cs="Times New Roman"/>
                <w:b/>
                <w:bCs/>
                <w:sz w:val="18"/>
                <w:szCs w:val="18"/>
              </w:rPr>
              <w:t xml:space="preserve">Initial </w:t>
            </w:r>
            <w:r w:rsidR="00132320" w:rsidRPr="000973F2">
              <w:rPr>
                <w:rFonts w:ascii="Times New Roman" w:eastAsia="Times New Roman" w:hAnsi="Times New Roman" w:cs="Times New Roman"/>
                <w:b/>
                <w:bCs/>
                <w:sz w:val="18"/>
                <w:szCs w:val="18"/>
              </w:rPr>
              <w:t>Year Hours</w:t>
            </w:r>
          </w:p>
        </w:tc>
        <w:tc>
          <w:tcPr>
            <w:tcW w:w="803" w:type="dxa"/>
            <w:tcMar>
              <w:left w:w="14" w:type="dxa"/>
              <w:right w:w="14" w:type="dxa"/>
            </w:tcMar>
            <w:hideMark/>
          </w:tcPr>
          <w:p w14:paraId="566624A4" w14:textId="15CDD0C2" w:rsidR="00AE014A" w:rsidRPr="000973F2" w:rsidRDefault="00AE014A" w:rsidP="00F91B05">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18"/>
                <w:szCs w:val="18"/>
              </w:rPr>
            </w:pPr>
            <w:r w:rsidRPr="000973F2">
              <w:rPr>
                <w:rFonts w:ascii="Times New Roman" w:eastAsia="Times New Roman" w:hAnsi="Times New Roman" w:cs="Times New Roman"/>
                <w:b/>
                <w:bCs/>
                <w:sz w:val="18"/>
                <w:szCs w:val="18"/>
              </w:rPr>
              <w:t xml:space="preserve">Subseq. </w:t>
            </w:r>
            <w:r w:rsidR="00132320" w:rsidRPr="000973F2">
              <w:rPr>
                <w:rFonts w:ascii="Times New Roman" w:eastAsia="Times New Roman" w:hAnsi="Times New Roman" w:cs="Times New Roman"/>
                <w:b/>
                <w:bCs/>
                <w:sz w:val="18"/>
                <w:szCs w:val="18"/>
              </w:rPr>
              <w:t>Year Hours</w:t>
            </w:r>
          </w:p>
        </w:tc>
        <w:tc>
          <w:tcPr>
            <w:tcW w:w="802" w:type="dxa"/>
            <w:tcMar>
              <w:left w:w="14" w:type="dxa"/>
              <w:right w:w="14" w:type="dxa"/>
            </w:tcMar>
            <w:hideMark/>
          </w:tcPr>
          <w:p w14:paraId="239DB588" w14:textId="6CB04FBA" w:rsidR="00AE014A" w:rsidRPr="000973F2" w:rsidRDefault="00AE014A" w:rsidP="00F91B05">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18"/>
                <w:szCs w:val="18"/>
              </w:rPr>
            </w:pPr>
            <w:r w:rsidRPr="000973F2">
              <w:rPr>
                <w:rFonts w:ascii="Times New Roman" w:eastAsia="Times New Roman" w:hAnsi="Times New Roman" w:cs="Times New Roman"/>
                <w:b/>
                <w:bCs/>
                <w:sz w:val="18"/>
                <w:szCs w:val="18"/>
              </w:rPr>
              <w:t xml:space="preserve">Initial </w:t>
            </w:r>
            <w:r w:rsidR="00132320" w:rsidRPr="000973F2">
              <w:rPr>
                <w:rFonts w:ascii="Times New Roman" w:eastAsia="Times New Roman" w:hAnsi="Times New Roman" w:cs="Times New Roman"/>
                <w:b/>
                <w:bCs/>
                <w:sz w:val="18"/>
                <w:szCs w:val="18"/>
              </w:rPr>
              <w:t>Year Hours</w:t>
            </w:r>
          </w:p>
        </w:tc>
        <w:tc>
          <w:tcPr>
            <w:tcW w:w="803" w:type="dxa"/>
            <w:tcMar>
              <w:left w:w="14" w:type="dxa"/>
              <w:right w:w="14" w:type="dxa"/>
            </w:tcMar>
            <w:hideMark/>
          </w:tcPr>
          <w:p w14:paraId="53DAC004" w14:textId="77D975F9" w:rsidR="00AE014A" w:rsidRPr="000973F2" w:rsidRDefault="00AE014A" w:rsidP="00F91B05">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18"/>
                <w:szCs w:val="18"/>
              </w:rPr>
            </w:pPr>
            <w:r w:rsidRPr="000973F2">
              <w:rPr>
                <w:rFonts w:ascii="Times New Roman" w:eastAsia="Times New Roman" w:hAnsi="Times New Roman" w:cs="Times New Roman"/>
                <w:b/>
                <w:bCs/>
                <w:sz w:val="18"/>
                <w:szCs w:val="18"/>
              </w:rPr>
              <w:t xml:space="preserve">Subseq. </w:t>
            </w:r>
            <w:r w:rsidR="00132320" w:rsidRPr="000973F2">
              <w:rPr>
                <w:rFonts w:ascii="Times New Roman" w:eastAsia="Times New Roman" w:hAnsi="Times New Roman" w:cs="Times New Roman"/>
                <w:b/>
                <w:bCs/>
                <w:sz w:val="18"/>
                <w:szCs w:val="18"/>
              </w:rPr>
              <w:t>Year Hours</w:t>
            </w:r>
          </w:p>
        </w:tc>
        <w:tc>
          <w:tcPr>
            <w:tcW w:w="803" w:type="dxa"/>
            <w:tcMar>
              <w:left w:w="14" w:type="dxa"/>
              <w:right w:w="14" w:type="dxa"/>
            </w:tcMar>
            <w:hideMark/>
          </w:tcPr>
          <w:p w14:paraId="0761F555" w14:textId="62460AC4" w:rsidR="00AE014A" w:rsidRPr="000973F2" w:rsidRDefault="00AE014A" w:rsidP="00F91B05">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18"/>
                <w:szCs w:val="18"/>
              </w:rPr>
            </w:pPr>
            <w:r w:rsidRPr="000973F2">
              <w:rPr>
                <w:rFonts w:ascii="Times New Roman" w:eastAsia="Times New Roman" w:hAnsi="Times New Roman" w:cs="Times New Roman"/>
                <w:b/>
                <w:bCs/>
                <w:sz w:val="18"/>
                <w:szCs w:val="18"/>
              </w:rPr>
              <w:t xml:space="preserve">Initial </w:t>
            </w:r>
            <w:r w:rsidR="00132320" w:rsidRPr="000973F2">
              <w:rPr>
                <w:rFonts w:ascii="Times New Roman" w:eastAsia="Times New Roman" w:hAnsi="Times New Roman" w:cs="Times New Roman"/>
                <w:b/>
                <w:bCs/>
                <w:sz w:val="18"/>
                <w:szCs w:val="18"/>
              </w:rPr>
              <w:t>Year Hours</w:t>
            </w:r>
          </w:p>
        </w:tc>
        <w:tc>
          <w:tcPr>
            <w:tcW w:w="802" w:type="dxa"/>
            <w:tcMar>
              <w:left w:w="14" w:type="dxa"/>
              <w:right w:w="14" w:type="dxa"/>
            </w:tcMar>
            <w:hideMark/>
          </w:tcPr>
          <w:p w14:paraId="2249C72A" w14:textId="1526650C" w:rsidR="00AE014A" w:rsidRPr="000973F2" w:rsidRDefault="00AE014A" w:rsidP="00F91B05">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18"/>
                <w:szCs w:val="18"/>
              </w:rPr>
            </w:pPr>
            <w:r w:rsidRPr="000973F2">
              <w:rPr>
                <w:rFonts w:ascii="Times New Roman" w:eastAsia="Times New Roman" w:hAnsi="Times New Roman" w:cs="Times New Roman"/>
                <w:b/>
                <w:bCs/>
                <w:sz w:val="18"/>
                <w:szCs w:val="18"/>
              </w:rPr>
              <w:t xml:space="preserve">Subseq. </w:t>
            </w:r>
            <w:r w:rsidR="00132320" w:rsidRPr="000973F2">
              <w:rPr>
                <w:rFonts w:ascii="Times New Roman" w:eastAsia="Times New Roman" w:hAnsi="Times New Roman" w:cs="Times New Roman"/>
                <w:b/>
                <w:bCs/>
                <w:sz w:val="18"/>
                <w:szCs w:val="18"/>
              </w:rPr>
              <w:t>Year Hours</w:t>
            </w:r>
          </w:p>
        </w:tc>
        <w:tc>
          <w:tcPr>
            <w:tcW w:w="803" w:type="dxa"/>
            <w:tcMar>
              <w:left w:w="14" w:type="dxa"/>
              <w:right w:w="14" w:type="dxa"/>
            </w:tcMar>
            <w:hideMark/>
          </w:tcPr>
          <w:p w14:paraId="227B61DD" w14:textId="65578F88" w:rsidR="00AE014A" w:rsidRPr="000973F2" w:rsidRDefault="00AE014A" w:rsidP="00F91B05">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18"/>
                <w:szCs w:val="18"/>
              </w:rPr>
            </w:pPr>
            <w:r w:rsidRPr="000973F2">
              <w:rPr>
                <w:rFonts w:ascii="Times New Roman" w:eastAsia="Times New Roman" w:hAnsi="Times New Roman" w:cs="Times New Roman"/>
                <w:b/>
                <w:bCs/>
                <w:sz w:val="18"/>
                <w:szCs w:val="18"/>
              </w:rPr>
              <w:t xml:space="preserve">Initial </w:t>
            </w:r>
            <w:r w:rsidR="00132320" w:rsidRPr="000973F2">
              <w:rPr>
                <w:rFonts w:ascii="Times New Roman" w:eastAsia="Times New Roman" w:hAnsi="Times New Roman" w:cs="Times New Roman"/>
                <w:b/>
                <w:bCs/>
                <w:sz w:val="18"/>
                <w:szCs w:val="18"/>
              </w:rPr>
              <w:t>Year Hours</w:t>
            </w:r>
          </w:p>
        </w:tc>
        <w:tc>
          <w:tcPr>
            <w:tcW w:w="803" w:type="dxa"/>
            <w:tcMar>
              <w:left w:w="14" w:type="dxa"/>
              <w:right w:w="14" w:type="dxa"/>
            </w:tcMar>
            <w:hideMark/>
          </w:tcPr>
          <w:p w14:paraId="531FC02E" w14:textId="50A3C5DD" w:rsidR="00AE014A" w:rsidRPr="000973F2" w:rsidRDefault="00AE014A" w:rsidP="00F91B05">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18"/>
                <w:szCs w:val="18"/>
              </w:rPr>
            </w:pPr>
            <w:r w:rsidRPr="000973F2">
              <w:rPr>
                <w:rFonts w:ascii="Times New Roman" w:eastAsia="Times New Roman" w:hAnsi="Times New Roman" w:cs="Times New Roman"/>
                <w:b/>
                <w:bCs/>
                <w:sz w:val="18"/>
                <w:szCs w:val="18"/>
              </w:rPr>
              <w:t xml:space="preserve">Subseq. </w:t>
            </w:r>
            <w:r w:rsidR="00132320" w:rsidRPr="000973F2">
              <w:rPr>
                <w:rFonts w:ascii="Times New Roman" w:eastAsia="Times New Roman" w:hAnsi="Times New Roman" w:cs="Times New Roman"/>
                <w:b/>
                <w:bCs/>
                <w:sz w:val="18"/>
                <w:szCs w:val="18"/>
              </w:rPr>
              <w:t>Year Hours</w:t>
            </w:r>
          </w:p>
        </w:tc>
        <w:tc>
          <w:tcPr>
            <w:tcW w:w="742" w:type="dxa"/>
            <w:tcMar>
              <w:left w:w="14" w:type="dxa"/>
              <w:right w:w="14" w:type="dxa"/>
            </w:tcMar>
            <w:hideMark/>
          </w:tcPr>
          <w:p w14:paraId="041C83A6" w14:textId="77777777" w:rsidR="00AE014A" w:rsidRPr="000973F2" w:rsidRDefault="00AE014A" w:rsidP="00F91B05">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18"/>
                <w:szCs w:val="18"/>
              </w:rPr>
            </w:pPr>
            <w:r w:rsidRPr="000973F2">
              <w:rPr>
                <w:rFonts w:ascii="Times New Roman" w:eastAsia="Times New Roman" w:hAnsi="Times New Roman" w:cs="Times New Roman"/>
                <w:b/>
                <w:bCs/>
                <w:sz w:val="18"/>
                <w:szCs w:val="18"/>
              </w:rPr>
              <w:t>Initial Year</w:t>
            </w:r>
          </w:p>
        </w:tc>
        <w:tc>
          <w:tcPr>
            <w:tcW w:w="742" w:type="dxa"/>
            <w:tcMar>
              <w:left w:w="14" w:type="dxa"/>
              <w:right w:w="14" w:type="dxa"/>
            </w:tcMar>
            <w:hideMark/>
          </w:tcPr>
          <w:p w14:paraId="54F33019" w14:textId="77777777" w:rsidR="00AE014A" w:rsidRPr="000973F2" w:rsidRDefault="00AE014A" w:rsidP="00F91B05">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18"/>
                <w:szCs w:val="18"/>
              </w:rPr>
            </w:pPr>
            <w:r w:rsidRPr="000973F2">
              <w:rPr>
                <w:rFonts w:ascii="Times New Roman" w:eastAsia="Times New Roman" w:hAnsi="Times New Roman" w:cs="Times New Roman"/>
                <w:b/>
                <w:bCs/>
                <w:sz w:val="18"/>
                <w:szCs w:val="18"/>
              </w:rPr>
              <w:t>Subseq. Year</w:t>
            </w:r>
          </w:p>
        </w:tc>
      </w:tr>
      <w:tr w:rsidR="008C2EF5" w:rsidRPr="000973F2" w14:paraId="370B91EE" w14:textId="77777777" w:rsidTr="00F91B05">
        <w:trPr>
          <w:cantSplit/>
        </w:trPr>
        <w:tc>
          <w:tcPr>
            <w:cnfStyle w:val="001000000000" w:firstRow="0" w:lastRow="0" w:firstColumn="1" w:lastColumn="0" w:oddVBand="0" w:evenVBand="0" w:oddHBand="0" w:evenHBand="0" w:firstRowFirstColumn="0" w:firstRowLastColumn="0" w:lastRowFirstColumn="0" w:lastRowLastColumn="0"/>
            <w:tcW w:w="1425" w:type="dxa"/>
            <w:hideMark/>
          </w:tcPr>
          <w:p w14:paraId="78162A24" w14:textId="77777777" w:rsidR="00AE014A" w:rsidRPr="000973F2" w:rsidRDefault="00AE014A" w:rsidP="00F91B05">
            <w:pPr>
              <w:spacing w:before="40" w:after="4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Planning</w:t>
            </w:r>
          </w:p>
        </w:tc>
        <w:tc>
          <w:tcPr>
            <w:tcW w:w="802" w:type="dxa"/>
            <w:noWrap/>
            <w:hideMark/>
          </w:tcPr>
          <w:p w14:paraId="055B8FE8" w14:textId="77777777" w:rsidR="00AE014A" w:rsidRPr="000973F2" w:rsidRDefault="00AE014A" w:rsidP="00F91B05">
            <w:pPr>
              <w:tabs>
                <w:tab w:val="decimal" w:pos="286"/>
              </w:tabs>
              <w:spacing w:before="40" w:after="4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1</w:t>
            </w:r>
          </w:p>
        </w:tc>
        <w:tc>
          <w:tcPr>
            <w:tcW w:w="803" w:type="dxa"/>
            <w:noWrap/>
            <w:hideMark/>
          </w:tcPr>
          <w:p w14:paraId="24AC6F41" w14:textId="77777777" w:rsidR="00AE014A" w:rsidRPr="000973F2" w:rsidRDefault="00AE014A" w:rsidP="00F91B05">
            <w:pPr>
              <w:tabs>
                <w:tab w:val="decimal" w:pos="286"/>
              </w:tabs>
              <w:spacing w:before="40" w:after="4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1</w:t>
            </w:r>
          </w:p>
        </w:tc>
        <w:tc>
          <w:tcPr>
            <w:tcW w:w="802" w:type="dxa"/>
            <w:noWrap/>
            <w:hideMark/>
          </w:tcPr>
          <w:p w14:paraId="0634DE65" w14:textId="77777777" w:rsidR="00AE014A" w:rsidRPr="000973F2" w:rsidRDefault="00AE014A" w:rsidP="00F91B05">
            <w:pPr>
              <w:tabs>
                <w:tab w:val="decimal" w:pos="286"/>
              </w:tabs>
              <w:spacing w:before="40" w:after="4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0.6</w:t>
            </w:r>
          </w:p>
        </w:tc>
        <w:tc>
          <w:tcPr>
            <w:tcW w:w="803" w:type="dxa"/>
            <w:noWrap/>
            <w:hideMark/>
          </w:tcPr>
          <w:p w14:paraId="35446AA3" w14:textId="77777777" w:rsidR="00AE014A" w:rsidRPr="000973F2" w:rsidRDefault="00AE014A" w:rsidP="00F91B05">
            <w:pPr>
              <w:tabs>
                <w:tab w:val="decimal" w:pos="286"/>
              </w:tabs>
              <w:spacing w:before="40" w:after="4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0.1</w:t>
            </w:r>
          </w:p>
        </w:tc>
        <w:tc>
          <w:tcPr>
            <w:tcW w:w="803" w:type="dxa"/>
            <w:noWrap/>
            <w:hideMark/>
          </w:tcPr>
          <w:p w14:paraId="1CBBAD8F" w14:textId="77777777" w:rsidR="00AE014A" w:rsidRPr="000973F2" w:rsidRDefault="00AE014A" w:rsidP="00F91B05">
            <w:pPr>
              <w:tabs>
                <w:tab w:val="decimal" w:pos="286"/>
              </w:tabs>
              <w:spacing w:before="40" w:after="4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6</w:t>
            </w:r>
          </w:p>
        </w:tc>
        <w:tc>
          <w:tcPr>
            <w:tcW w:w="802" w:type="dxa"/>
            <w:noWrap/>
            <w:hideMark/>
          </w:tcPr>
          <w:p w14:paraId="66FDFF38" w14:textId="77777777" w:rsidR="00AE014A" w:rsidRPr="000973F2" w:rsidRDefault="00AE014A" w:rsidP="00F91B05">
            <w:pPr>
              <w:tabs>
                <w:tab w:val="decimal" w:pos="286"/>
              </w:tabs>
              <w:spacing w:before="40" w:after="4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1</w:t>
            </w:r>
          </w:p>
        </w:tc>
        <w:tc>
          <w:tcPr>
            <w:tcW w:w="803" w:type="dxa"/>
            <w:noWrap/>
            <w:hideMark/>
          </w:tcPr>
          <w:p w14:paraId="3934F0FE" w14:textId="77777777" w:rsidR="00AE014A" w:rsidRPr="000973F2" w:rsidRDefault="00AE014A" w:rsidP="00F91B05">
            <w:pPr>
              <w:tabs>
                <w:tab w:val="decimal" w:pos="286"/>
              </w:tabs>
              <w:spacing w:before="40" w:after="4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0.3</w:t>
            </w:r>
          </w:p>
        </w:tc>
        <w:tc>
          <w:tcPr>
            <w:tcW w:w="803" w:type="dxa"/>
            <w:noWrap/>
            <w:hideMark/>
          </w:tcPr>
          <w:p w14:paraId="3F0E1E75" w14:textId="77777777" w:rsidR="00AE014A" w:rsidRPr="000973F2" w:rsidRDefault="00AE014A" w:rsidP="00F91B05">
            <w:pPr>
              <w:tabs>
                <w:tab w:val="decimal" w:pos="286"/>
              </w:tabs>
              <w:spacing w:before="40" w:after="4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0.1</w:t>
            </w:r>
          </w:p>
        </w:tc>
        <w:tc>
          <w:tcPr>
            <w:tcW w:w="742" w:type="dxa"/>
            <w:noWrap/>
            <w:hideMark/>
          </w:tcPr>
          <w:p w14:paraId="1BB354B5" w14:textId="4E59BD1F" w:rsidR="00AE014A" w:rsidRPr="000973F2" w:rsidRDefault="00AE014A" w:rsidP="00F91B05">
            <w:pPr>
              <w:tabs>
                <w:tab w:val="decimal" w:pos="511"/>
              </w:tabs>
              <w:spacing w:before="40" w:after="4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$604</w:t>
            </w:r>
          </w:p>
        </w:tc>
        <w:tc>
          <w:tcPr>
            <w:tcW w:w="742" w:type="dxa"/>
            <w:noWrap/>
            <w:hideMark/>
          </w:tcPr>
          <w:p w14:paraId="49C5744D" w14:textId="4AEB6A49" w:rsidR="00AE014A" w:rsidRPr="000973F2" w:rsidRDefault="00AE014A" w:rsidP="00F91B05">
            <w:pPr>
              <w:tabs>
                <w:tab w:val="decimal" w:pos="511"/>
              </w:tabs>
              <w:spacing w:before="40" w:after="4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$194</w:t>
            </w:r>
          </w:p>
        </w:tc>
      </w:tr>
      <w:tr w:rsidR="008C2EF5" w:rsidRPr="000973F2" w14:paraId="200EE82B" w14:textId="77777777" w:rsidTr="00F91B05">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1425" w:type="dxa"/>
            <w:hideMark/>
          </w:tcPr>
          <w:p w14:paraId="51EA16C6" w14:textId="77777777" w:rsidR="00AE014A" w:rsidRPr="000973F2" w:rsidRDefault="00AE014A" w:rsidP="00F91B05">
            <w:pPr>
              <w:spacing w:before="40" w:after="4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QA/QC</w:t>
            </w:r>
          </w:p>
        </w:tc>
        <w:tc>
          <w:tcPr>
            <w:tcW w:w="802" w:type="dxa"/>
            <w:noWrap/>
            <w:hideMark/>
          </w:tcPr>
          <w:p w14:paraId="1C78966E" w14:textId="77777777" w:rsidR="00AE014A" w:rsidRPr="000973F2" w:rsidRDefault="00AE014A" w:rsidP="00F91B05">
            <w:pPr>
              <w:tabs>
                <w:tab w:val="decimal" w:pos="286"/>
              </w:tabs>
              <w:spacing w:before="40" w:after="4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0</w:t>
            </w:r>
          </w:p>
        </w:tc>
        <w:tc>
          <w:tcPr>
            <w:tcW w:w="803" w:type="dxa"/>
            <w:noWrap/>
            <w:hideMark/>
          </w:tcPr>
          <w:p w14:paraId="592FAE09" w14:textId="77777777" w:rsidR="00AE014A" w:rsidRPr="000973F2" w:rsidRDefault="00AE014A" w:rsidP="00F91B05">
            <w:pPr>
              <w:tabs>
                <w:tab w:val="decimal" w:pos="286"/>
              </w:tabs>
              <w:spacing w:before="40" w:after="4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0</w:t>
            </w:r>
          </w:p>
        </w:tc>
        <w:tc>
          <w:tcPr>
            <w:tcW w:w="802" w:type="dxa"/>
            <w:noWrap/>
            <w:hideMark/>
          </w:tcPr>
          <w:p w14:paraId="15347254" w14:textId="77777777" w:rsidR="00AE014A" w:rsidRPr="000973F2" w:rsidRDefault="00AE014A" w:rsidP="00F91B05">
            <w:pPr>
              <w:tabs>
                <w:tab w:val="decimal" w:pos="286"/>
              </w:tabs>
              <w:spacing w:before="40" w:after="4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0.2</w:t>
            </w:r>
          </w:p>
        </w:tc>
        <w:tc>
          <w:tcPr>
            <w:tcW w:w="803" w:type="dxa"/>
            <w:noWrap/>
            <w:hideMark/>
          </w:tcPr>
          <w:p w14:paraId="1812B8F0" w14:textId="77777777" w:rsidR="00AE014A" w:rsidRPr="000973F2" w:rsidRDefault="00AE014A" w:rsidP="00F91B05">
            <w:pPr>
              <w:tabs>
                <w:tab w:val="decimal" w:pos="286"/>
              </w:tabs>
              <w:spacing w:before="40" w:after="4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0.2</w:t>
            </w:r>
          </w:p>
        </w:tc>
        <w:tc>
          <w:tcPr>
            <w:tcW w:w="803" w:type="dxa"/>
            <w:noWrap/>
            <w:hideMark/>
          </w:tcPr>
          <w:p w14:paraId="214DA069" w14:textId="77777777" w:rsidR="00AE014A" w:rsidRPr="000973F2" w:rsidRDefault="00AE014A" w:rsidP="00F91B05">
            <w:pPr>
              <w:tabs>
                <w:tab w:val="decimal" w:pos="286"/>
              </w:tabs>
              <w:spacing w:before="40" w:after="4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2</w:t>
            </w:r>
          </w:p>
        </w:tc>
        <w:tc>
          <w:tcPr>
            <w:tcW w:w="802" w:type="dxa"/>
            <w:noWrap/>
            <w:hideMark/>
          </w:tcPr>
          <w:p w14:paraId="3A0FB217" w14:textId="77777777" w:rsidR="00AE014A" w:rsidRPr="000973F2" w:rsidRDefault="00AE014A" w:rsidP="00F91B05">
            <w:pPr>
              <w:tabs>
                <w:tab w:val="decimal" w:pos="286"/>
              </w:tabs>
              <w:spacing w:before="40" w:after="4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2</w:t>
            </w:r>
          </w:p>
        </w:tc>
        <w:tc>
          <w:tcPr>
            <w:tcW w:w="803" w:type="dxa"/>
            <w:noWrap/>
            <w:hideMark/>
          </w:tcPr>
          <w:p w14:paraId="072FDCF3" w14:textId="77777777" w:rsidR="00AE014A" w:rsidRPr="000973F2" w:rsidRDefault="00AE014A" w:rsidP="00F91B05">
            <w:pPr>
              <w:tabs>
                <w:tab w:val="decimal" w:pos="286"/>
              </w:tabs>
              <w:spacing w:before="40" w:after="4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0.2</w:t>
            </w:r>
          </w:p>
        </w:tc>
        <w:tc>
          <w:tcPr>
            <w:tcW w:w="803" w:type="dxa"/>
            <w:noWrap/>
            <w:hideMark/>
          </w:tcPr>
          <w:p w14:paraId="523BF96B" w14:textId="77777777" w:rsidR="00AE014A" w:rsidRPr="000973F2" w:rsidRDefault="00AE014A" w:rsidP="00F91B05">
            <w:pPr>
              <w:tabs>
                <w:tab w:val="decimal" w:pos="286"/>
              </w:tabs>
              <w:spacing w:before="40" w:after="4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0.2</w:t>
            </w:r>
          </w:p>
        </w:tc>
        <w:tc>
          <w:tcPr>
            <w:tcW w:w="742" w:type="dxa"/>
            <w:noWrap/>
            <w:hideMark/>
          </w:tcPr>
          <w:p w14:paraId="61DC5EFA" w14:textId="63B924BA" w:rsidR="00AE014A" w:rsidRPr="000973F2" w:rsidRDefault="00AE014A" w:rsidP="00F91B05">
            <w:pPr>
              <w:tabs>
                <w:tab w:val="decimal" w:pos="511"/>
              </w:tabs>
              <w:spacing w:before="40" w:after="4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$168</w:t>
            </w:r>
          </w:p>
        </w:tc>
        <w:tc>
          <w:tcPr>
            <w:tcW w:w="742" w:type="dxa"/>
            <w:noWrap/>
            <w:hideMark/>
          </w:tcPr>
          <w:p w14:paraId="5E34863E" w14:textId="44594BD6" w:rsidR="00AE014A" w:rsidRPr="000973F2" w:rsidRDefault="00AE014A" w:rsidP="00F91B05">
            <w:pPr>
              <w:tabs>
                <w:tab w:val="decimal" w:pos="511"/>
              </w:tabs>
              <w:spacing w:before="40" w:after="4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$168</w:t>
            </w:r>
          </w:p>
        </w:tc>
      </w:tr>
      <w:tr w:rsidR="008C2EF5" w:rsidRPr="000973F2" w14:paraId="7D7905C2" w14:textId="77777777" w:rsidTr="00F91B05">
        <w:trPr>
          <w:cantSplit/>
        </w:trPr>
        <w:tc>
          <w:tcPr>
            <w:cnfStyle w:val="001000000000" w:firstRow="0" w:lastRow="0" w:firstColumn="1" w:lastColumn="0" w:oddVBand="0" w:evenVBand="0" w:oddHBand="0" w:evenHBand="0" w:firstRowFirstColumn="0" w:firstRowLastColumn="0" w:lastRowFirstColumn="0" w:lastRowLastColumn="0"/>
            <w:tcW w:w="1425" w:type="dxa"/>
            <w:hideMark/>
          </w:tcPr>
          <w:p w14:paraId="76ED85D2" w14:textId="77777777" w:rsidR="00AE014A" w:rsidRPr="000973F2" w:rsidRDefault="00AE014A" w:rsidP="00F91B05">
            <w:pPr>
              <w:spacing w:before="40" w:after="4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Recordkeeping</w:t>
            </w:r>
          </w:p>
        </w:tc>
        <w:tc>
          <w:tcPr>
            <w:tcW w:w="802" w:type="dxa"/>
            <w:noWrap/>
            <w:hideMark/>
          </w:tcPr>
          <w:p w14:paraId="1133BF14" w14:textId="77777777" w:rsidR="00AE014A" w:rsidRPr="000973F2" w:rsidRDefault="00AE014A" w:rsidP="00F91B05">
            <w:pPr>
              <w:tabs>
                <w:tab w:val="decimal" w:pos="286"/>
              </w:tabs>
              <w:spacing w:before="40" w:after="4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0</w:t>
            </w:r>
          </w:p>
        </w:tc>
        <w:tc>
          <w:tcPr>
            <w:tcW w:w="803" w:type="dxa"/>
            <w:noWrap/>
            <w:hideMark/>
          </w:tcPr>
          <w:p w14:paraId="09362A6D" w14:textId="77777777" w:rsidR="00AE014A" w:rsidRPr="000973F2" w:rsidRDefault="00AE014A" w:rsidP="00F91B05">
            <w:pPr>
              <w:tabs>
                <w:tab w:val="decimal" w:pos="286"/>
              </w:tabs>
              <w:spacing w:before="40" w:after="4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0</w:t>
            </w:r>
          </w:p>
        </w:tc>
        <w:tc>
          <w:tcPr>
            <w:tcW w:w="802" w:type="dxa"/>
            <w:noWrap/>
            <w:hideMark/>
          </w:tcPr>
          <w:p w14:paraId="7E0647FF" w14:textId="77777777" w:rsidR="00AE014A" w:rsidRPr="000973F2" w:rsidRDefault="00AE014A" w:rsidP="00F91B05">
            <w:pPr>
              <w:tabs>
                <w:tab w:val="decimal" w:pos="286"/>
              </w:tabs>
              <w:spacing w:before="40" w:after="4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0.5</w:t>
            </w:r>
          </w:p>
        </w:tc>
        <w:tc>
          <w:tcPr>
            <w:tcW w:w="803" w:type="dxa"/>
            <w:noWrap/>
            <w:hideMark/>
          </w:tcPr>
          <w:p w14:paraId="52050EE0" w14:textId="77777777" w:rsidR="00AE014A" w:rsidRPr="000973F2" w:rsidRDefault="00AE014A" w:rsidP="00F91B05">
            <w:pPr>
              <w:tabs>
                <w:tab w:val="decimal" w:pos="286"/>
              </w:tabs>
              <w:spacing w:before="40" w:after="4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0.5</w:t>
            </w:r>
          </w:p>
        </w:tc>
        <w:tc>
          <w:tcPr>
            <w:tcW w:w="803" w:type="dxa"/>
            <w:noWrap/>
            <w:hideMark/>
          </w:tcPr>
          <w:p w14:paraId="2718905A" w14:textId="77777777" w:rsidR="00AE014A" w:rsidRPr="000973F2" w:rsidRDefault="00AE014A" w:rsidP="00F91B05">
            <w:pPr>
              <w:tabs>
                <w:tab w:val="decimal" w:pos="286"/>
              </w:tabs>
              <w:spacing w:before="40" w:after="4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2</w:t>
            </w:r>
          </w:p>
        </w:tc>
        <w:tc>
          <w:tcPr>
            <w:tcW w:w="802" w:type="dxa"/>
            <w:noWrap/>
            <w:hideMark/>
          </w:tcPr>
          <w:p w14:paraId="74669287" w14:textId="77777777" w:rsidR="00AE014A" w:rsidRPr="000973F2" w:rsidRDefault="00AE014A" w:rsidP="00F91B05">
            <w:pPr>
              <w:tabs>
                <w:tab w:val="decimal" w:pos="286"/>
              </w:tabs>
              <w:spacing w:before="40" w:after="4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2</w:t>
            </w:r>
          </w:p>
        </w:tc>
        <w:tc>
          <w:tcPr>
            <w:tcW w:w="803" w:type="dxa"/>
            <w:noWrap/>
            <w:hideMark/>
          </w:tcPr>
          <w:p w14:paraId="1E1029F9" w14:textId="77777777" w:rsidR="00AE014A" w:rsidRPr="000973F2" w:rsidRDefault="00AE014A" w:rsidP="00F91B05">
            <w:pPr>
              <w:tabs>
                <w:tab w:val="decimal" w:pos="286"/>
              </w:tabs>
              <w:spacing w:before="40" w:after="4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0.5</w:t>
            </w:r>
          </w:p>
        </w:tc>
        <w:tc>
          <w:tcPr>
            <w:tcW w:w="803" w:type="dxa"/>
            <w:noWrap/>
            <w:hideMark/>
          </w:tcPr>
          <w:p w14:paraId="6D2702B5" w14:textId="77777777" w:rsidR="00AE014A" w:rsidRPr="000973F2" w:rsidRDefault="00AE014A" w:rsidP="00F91B05">
            <w:pPr>
              <w:tabs>
                <w:tab w:val="decimal" w:pos="286"/>
              </w:tabs>
              <w:spacing w:before="40" w:after="4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0.5</w:t>
            </w:r>
          </w:p>
        </w:tc>
        <w:tc>
          <w:tcPr>
            <w:tcW w:w="742" w:type="dxa"/>
            <w:noWrap/>
            <w:hideMark/>
          </w:tcPr>
          <w:p w14:paraId="0C9FBE03" w14:textId="50C2E4F0" w:rsidR="00AE014A" w:rsidRPr="000973F2" w:rsidRDefault="00AE014A" w:rsidP="00F91B05">
            <w:pPr>
              <w:tabs>
                <w:tab w:val="decimal" w:pos="511"/>
              </w:tabs>
              <w:spacing w:before="40" w:after="4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$205</w:t>
            </w:r>
          </w:p>
        </w:tc>
        <w:tc>
          <w:tcPr>
            <w:tcW w:w="742" w:type="dxa"/>
            <w:noWrap/>
            <w:hideMark/>
          </w:tcPr>
          <w:p w14:paraId="67492E10" w14:textId="30BF1800" w:rsidR="00AE014A" w:rsidRPr="000973F2" w:rsidRDefault="00AE014A" w:rsidP="00F91B05">
            <w:pPr>
              <w:tabs>
                <w:tab w:val="decimal" w:pos="511"/>
              </w:tabs>
              <w:spacing w:before="40" w:after="4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$205</w:t>
            </w:r>
          </w:p>
        </w:tc>
      </w:tr>
      <w:tr w:rsidR="008C2EF5" w:rsidRPr="000973F2" w14:paraId="22206646" w14:textId="77777777" w:rsidTr="00F91B05">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1425" w:type="dxa"/>
            <w:hideMark/>
          </w:tcPr>
          <w:p w14:paraId="26DEDD89" w14:textId="2076B616" w:rsidR="00AE014A" w:rsidRPr="000973F2" w:rsidRDefault="00B25046" w:rsidP="00F91B05">
            <w:pPr>
              <w:spacing w:before="40" w:after="4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Sampling and Analysis (Calculations)</w:t>
            </w:r>
          </w:p>
        </w:tc>
        <w:tc>
          <w:tcPr>
            <w:tcW w:w="802" w:type="dxa"/>
            <w:noWrap/>
            <w:hideMark/>
          </w:tcPr>
          <w:p w14:paraId="4EE5A690" w14:textId="77777777" w:rsidR="00AE014A" w:rsidRPr="000973F2" w:rsidRDefault="00AE014A" w:rsidP="00F91B05">
            <w:pPr>
              <w:tabs>
                <w:tab w:val="decimal" w:pos="286"/>
              </w:tabs>
              <w:spacing w:before="40" w:after="4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0</w:t>
            </w:r>
          </w:p>
        </w:tc>
        <w:tc>
          <w:tcPr>
            <w:tcW w:w="803" w:type="dxa"/>
            <w:noWrap/>
            <w:hideMark/>
          </w:tcPr>
          <w:p w14:paraId="5B33BB53" w14:textId="77777777" w:rsidR="00AE014A" w:rsidRPr="000973F2" w:rsidRDefault="00AE014A" w:rsidP="00F91B05">
            <w:pPr>
              <w:tabs>
                <w:tab w:val="decimal" w:pos="286"/>
              </w:tabs>
              <w:spacing w:before="40" w:after="4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0</w:t>
            </w:r>
          </w:p>
        </w:tc>
        <w:tc>
          <w:tcPr>
            <w:tcW w:w="802" w:type="dxa"/>
            <w:noWrap/>
            <w:hideMark/>
          </w:tcPr>
          <w:p w14:paraId="6AA65743" w14:textId="77777777" w:rsidR="00AE014A" w:rsidRPr="000973F2" w:rsidRDefault="00AE014A" w:rsidP="00F91B05">
            <w:pPr>
              <w:tabs>
                <w:tab w:val="decimal" w:pos="286"/>
              </w:tabs>
              <w:spacing w:before="40" w:after="4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1</w:t>
            </w:r>
          </w:p>
        </w:tc>
        <w:tc>
          <w:tcPr>
            <w:tcW w:w="803" w:type="dxa"/>
            <w:noWrap/>
            <w:hideMark/>
          </w:tcPr>
          <w:p w14:paraId="0A6E85B4" w14:textId="77777777" w:rsidR="00AE014A" w:rsidRPr="000973F2" w:rsidRDefault="00AE014A" w:rsidP="00F91B05">
            <w:pPr>
              <w:tabs>
                <w:tab w:val="decimal" w:pos="286"/>
              </w:tabs>
              <w:spacing w:before="40" w:after="4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1</w:t>
            </w:r>
          </w:p>
        </w:tc>
        <w:tc>
          <w:tcPr>
            <w:tcW w:w="803" w:type="dxa"/>
            <w:noWrap/>
            <w:hideMark/>
          </w:tcPr>
          <w:p w14:paraId="4D0BEE22" w14:textId="77777777" w:rsidR="00AE014A" w:rsidRPr="000973F2" w:rsidRDefault="00AE014A" w:rsidP="00F91B05">
            <w:pPr>
              <w:tabs>
                <w:tab w:val="decimal" w:pos="286"/>
              </w:tabs>
              <w:spacing w:before="40" w:after="4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2</w:t>
            </w:r>
          </w:p>
        </w:tc>
        <w:tc>
          <w:tcPr>
            <w:tcW w:w="802" w:type="dxa"/>
            <w:noWrap/>
            <w:hideMark/>
          </w:tcPr>
          <w:p w14:paraId="5DBB5A7A" w14:textId="77777777" w:rsidR="00AE014A" w:rsidRPr="000973F2" w:rsidRDefault="00AE014A" w:rsidP="00F91B05">
            <w:pPr>
              <w:tabs>
                <w:tab w:val="decimal" w:pos="286"/>
              </w:tabs>
              <w:spacing w:before="40" w:after="4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2</w:t>
            </w:r>
          </w:p>
        </w:tc>
        <w:tc>
          <w:tcPr>
            <w:tcW w:w="803" w:type="dxa"/>
            <w:noWrap/>
            <w:hideMark/>
          </w:tcPr>
          <w:p w14:paraId="778AE923" w14:textId="77777777" w:rsidR="00AE014A" w:rsidRPr="000973F2" w:rsidRDefault="00AE014A" w:rsidP="00F91B05">
            <w:pPr>
              <w:tabs>
                <w:tab w:val="decimal" w:pos="286"/>
              </w:tabs>
              <w:spacing w:before="40" w:after="4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0.1</w:t>
            </w:r>
          </w:p>
        </w:tc>
        <w:tc>
          <w:tcPr>
            <w:tcW w:w="803" w:type="dxa"/>
            <w:noWrap/>
            <w:hideMark/>
          </w:tcPr>
          <w:p w14:paraId="271ED65B" w14:textId="77777777" w:rsidR="00AE014A" w:rsidRPr="000973F2" w:rsidRDefault="00AE014A" w:rsidP="00F91B05">
            <w:pPr>
              <w:tabs>
                <w:tab w:val="decimal" w:pos="286"/>
              </w:tabs>
              <w:spacing w:before="40" w:after="4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0.1</w:t>
            </w:r>
          </w:p>
        </w:tc>
        <w:tc>
          <w:tcPr>
            <w:tcW w:w="742" w:type="dxa"/>
            <w:noWrap/>
            <w:hideMark/>
          </w:tcPr>
          <w:p w14:paraId="65123799" w14:textId="5FD59E35" w:rsidR="00AE014A" w:rsidRPr="000973F2" w:rsidRDefault="00AE014A" w:rsidP="00F91B05">
            <w:pPr>
              <w:tabs>
                <w:tab w:val="decimal" w:pos="511"/>
              </w:tabs>
              <w:spacing w:before="40" w:after="4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$234</w:t>
            </w:r>
          </w:p>
        </w:tc>
        <w:tc>
          <w:tcPr>
            <w:tcW w:w="742" w:type="dxa"/>
            <w:noWrap/>
            <w:hideMark/>
          </w:tcPr>
          <w:p w14:paraId="06EBE0EC" w14:textId="2E0887E0" w:rsidR="00AE014A" w:rsidRPr="000973F2" w:rsidRDefault="00AE014A" w:rsidP="00F91B05">
            <w:pPr>
              <w:tabs>
                <w:tab w:val="decimal" w:pos="511"/>
              </w:tabs>
              <w:spacing w:before="40" w:after="4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$234</w:t>
            </w:r>
          </w:p>
        </w:tc>
      </w:tr>
      <w:tr w:rsidR="008C2EF5" w:rsidRPr="000973F2" w14:paraId="70264737" w14:textId="77777777" w:rsidTr="00F91B05">
        <w:trPr>
          <w:cantSplit/>
        </w:trPr>
        <w:tc>
          <w:tcPr>
            <w:cnfStyle w:val="001000000000" w:firstRow="0" w:lastRow="0" w:firstColumn="1" w:lastColumn="0" w:oddVBand="0" w:evenVBand="0" w:oddHBand="0" w:evenHBand="0" w:firstRowFirstColumn="0" w:firstRowLastColumn="0" w:lastRowFirstColumn="0" w:lastRowLastColumn="0"/>
            <w:tcW w:w="1425" w:type="dxa"/>
            <w:hideMark/>
          </w:tcPr>
          <w:p w14:paraId="5000492C" w14:textId="77777777" w:rsidR="00AE014A" w:rsidRPr="000973F2" w:rsidRDefault="00AE014A" w:rsidP="00F91B05">
            <w:pPr>
              <w:spacing w:before="40" w:after="4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Reporting</w:t>
            </w:r>
          </w:p>
        </w:tc>
        <w:tc>
          <w:tcPr>
            <w:tcW w:w="802" w:type="dxa"/>
            <w:noWrap/>
            <w:hideMark/>
          </w:tcPr>
          <w:p w14:paraId="3603EA3D" w14:textId="77777777" w:rsidR="00AE014A" w:rsidRPr="000973F2" w:rsidRDefault="00AE014A" w:rsidP="00F91B05">
            <w:pPr>
              <w:tabs>
                <w:tab w:val="decimal" w:pos="286"/>
              </w:tabs>
              <w:spacing w:before="40" w:after="4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0</w:t>
            </w:r>
          </w:p>
        </w:tc>
        <w:tc>
          <w:tcPr>
            <w:tcW w:w="803" w:type="dxa"/>
            <w:noWrap/>
            <w:hideMark/>
          </w:tcPr>
          <w:p w14:paraId="4F3DE40D" w14:textId="77777777" w:rsidR="00AE014A" w:rsidRPr="000973F2" w:rsidRDefault="00AE014A" w:rsidP="00F91B05">
            <w:pPr>
              <w:tabs>
                <w:tab w:val="decimal" w:pos="286"/>
              </w:tabs>
              <w:spacing w:before="40" w:after="4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0</w:t>
            </w:r>
          </w:p>
        </w:tc>
        <w:tc>
          <w:tcPr>
            <w:tcW w:w="802" w:type="dxa"/>
            <w:noWrap/>
            <w:hideMark/>
          </w:tcPr>
          <w:p w14:paraId="1462A1EA" w14:textId="77777777" w:rsidR="00AE014A" w:rsidRPr="000973F2" w:rsidRDefault="00AE014A" w:rsidP="00F91B05">
            <w:pPr>
              <w:tabs>
                <w:tab w:val="decimal" w:pos="286"/>
              </w:tabs>
              <w:spacing w:before="40" w:after="4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1</w:t>
            </w:r>
          </w:p>
        </w:tc>
        <w:tc>
          <w:tcPr>
            <w:tcW w:w="803" w:type="dxa"/>
            <w:noWrap/>
            <w:hideMark/>
          </w:tcPr>
          <w:p w14:paraId="26EA43A9" w14:textId="77777777" w:rsidR="00AE014A" w:rsidRPr="000973F2" w:rsidRDefault="00AE014A" w:rsidP="00F91B05">
            <w:pPr>
              <w:tabs>
                <w:tab w:val="decimal" w:pos="286"/>
              </w:tabs>
              <w:spacing w:before="40" w:after="4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1</w:t>
            </w:r>
          </w:p>
        </w:tc>
        <w:tc>
          <w:tcPr>
            <w:tcW w:w="803" w:type="dxa"/>
            <w:noWrap/>
            <w:hideMark/>
          </w:tcPr>
          <w:p w14:paraId="04325FF9" w14:textId="77777777" w:rsidR="00AE014A" w:rsidRPr="000973F2" w:rsidRDefault="00AE014A" w:rsidP="00F91B05">
            <w:pPr>
              <w:tabs>
                <w:tab w:val="decimal" w:pos="286"/>
              </w:tabs>
              <w:spacing w:before="40" w:after="4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4</w:t>
            </w:r>
          </w:p>
        </w:tc>
        <w:tc>
          <w:tcPr>
            <w:tcW w:w="802" w:type="dxa"/>
            <w:noWrap/>
            <w:hideMark/>
          </w:tcPr>
          <w:p w14:paraId="1B988211" w14:textId="77777777" w:rsidR="00AE014A" w:rsidRPr="000973F2" w:rsidRDefault="00AE014A" w:rsidP="00F91B05">
            <w:pPr>
              <w:tabs>
                <w:tab w:val="decimal" w:pos="286"/>
              </w:tabs>
              <w:spacing w:before="40" w:after="4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4</w:t>
            </w:r>
          </w:p>
        </w:tc>
        <w:tc>
          <w:tcPr>
            <w:tcW w:w="803" w:type="dxa"/>
            <w:noWrap/>
            <w:hideMark/>
          </w:tcPr>
          <w:p w14:paraId="44C278E7" w14:textId="77777777" w:rsidR="00AE014A" w:rsidRPr="000973F2" w:rsidRDefault="00AE014A" w:rsidP="00F91B05">
            <w:pPr>
              <w:tabs>
                <w:tab w:val="decimal" w:pos="286"/>
              </w:tabs>
              <w:spacing w:before="40" w:after="4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1</w:t>
            </w:r>
          </w:p>
        </w:tc>
        <w:tc>
          <w:tcPr>
            <w:tcW w:w="803" w:type="dxa"/>
            <w:noWrap/>
            <w:hideMark/>
          </w:tcPr>
          <w:p w14:paraId="73A50EA1" w14:textId="77777777" w:rsidR="00AE014A" w:rsidRPr="000973F2" w:rsidRDefault="00AE014A" w:rsidP="00F91B05">
            <w:pPr>
              <w:tabs>
                <w:tab w:val="decimal" w:pos="286"/>
              </w:tabs>
              <w:spacing w:before="40" w:after="4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1</w:t>
            </w:r>
          </w:p>
        </w:tc>
        <w:tc>
          <w:tcPr>
            <w:tcW w:w="742" w:type="dxa"/>
            <w:noWrap/>
            <w:hideMark/>
          </w:tcPr>
          <w:p w14:paraId="1E2F3917" w14:textId="21233AFC" w:rsidR="00AE014A" w:rsidRPr="000973F2" w:rsidRDefault="00AE014A" w:rsidP="00F91B05">
            <w:pPr>
              <w:tabs>
                <w:tab w:val="decimal" w:pos="511"/>
              </w:tabs>
              <w:spacing w:before="40" w:after="4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$410</w:t>
            </w:r>
          </w:p>
        </w:tc>
        <w:tc>
          <w:tcPr>
            <w:tcW w:w="742" w:type="dxa"/>
            <w:noWrap/>
            <w:hideMark/>
          </w:tcPr>
          <w:p w14:paraId="14ADF1E9" w14:textId="185167FB" w:rsidR="00AE014A" w:rsidRPr="000973F2" w:rsidRDefault="00AE014A" w:rsidP="00F91B05">
            <w:pPr>
              <w:tabs>
                <w:tab w:val="decimal" w:pos="511"/>
              </w:tabs>
              <w:spacing w:before="40" w:after="4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$410</w:t>
            </w:r>
          </w:p>
        </w:tc>
      </w:tr>
      <w:tr w:rsidR="008C2EF5" w:rsidRPr="000973F2" w14:paraId="1421ADF0" w14:textId="77777777" w:rsidTr="00F91B05">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1425" w:type="dxa"/>
            <w:noWrap/>
            <w:hideMark/>
          </w:tcPr>
          <w:p w14:paraId="07870571" w14:textId="77777777" w:rsidR="00AE014A" w:rsidRPr="000973F2" w:rsidRDefault="00AE014A" w:rsidP="00F91B05">
            <w:pPr>
              <w:spacing w:before="40" w:after="40"/>
              <w:rPr>
                <w:rFonts w:ascii="Times New Roman" w:eastAsia="Times New Roman" w:hAnsi="Times New Roman" w:cs="Times New Roman"/>
                <w:b/>
                <w:bCs w:val="0"/>
                <w:sz w:val="18"/>
                <w:szCs w:val="18"/>
              </w:rPr>
            </w:pPr>
            <w:r w:rsidRPr="000973F2">
              <w:rPr>
                <w:rFonts w:ascii="Times New Roman" w:eastAsia="Times New Roman" w:hAnsi="Times New Roman" w:cs="Times New Roman"/>
                <w:b/>
                <w:sz w:val="18"/>
                <w:szCs w:val="18"/>
              </w:rPr>
              <w:t>Total</w:t>
            </w:r>
          </w:p>
        </w:tc>
        <w:tc>
          <w:tcPr>
            <w:tcW w:w="802" w:type="dxa"/>
            <w:noWrap/>
            <w:hideMark/>
          </w:tcPr>
          <w:p w14:paraId="61E86849" w14:textId="77777777" w:rsidR="00AE014A" w:rsidRPr="000973F2" w:rsidRDefault="00AE014A" w:rsidP="00F91B05">
            <w:pPr>
              <w:tabs>
                <w:tab w:val="decimal" w:pos="286"/>
              </w:tabs>
              <w:spacing w:before="40" w:after="4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18"/>
                <w:szCs w:val="18"/>
              </w:rPr>
            </w:pPr>
            <w:r w:rsidRPr="000973F2">
              <w:rPr>
                <w:rFonts w:ascii="Times New Roman" w:eastAsia="Times New Roman" w:hAnsi="Times New Roman" w:cs="Times New Roman"/>
                <w:b/>
                <w:bCs/>
                <w:sz w:val="18"/>
                <w:szCs w:val="18"/>
              </w:rPr>
              <w:t>1</w:t>
            </w:r>
          </w:p>
        </w:tc>
        <w:tc>
          <w:tcPr>
            <w:tcW w:w="803" w:type="dxa"/>
            <w:noWrap/>
            <w:hideMark/>
          </w:tcPr>
          <w:p w14:paraId="2BF5A71E" w14:textId="77777777" w:rsidR="00AE014A" w:rsidRPr="000973F2" w:rsidRDefault="00AE014A" w:rsidP="00F91B05">
            <w:pPr>
              <w:tabs>
                <w:tab w:val="decimal" w:pos="286"/>
              </w:tabs>
              <w:spacing w:before="40" w:after="4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18"/>
                <w:szCs w:val="18"/>
              </w:rPr>
            </w:pPr>
            <w:r w:rsidRPr="000973F2">
              <w:rPr>
                <w:rFonts w:ascii="Times New Roman" w:eastAsia="Times New Roman" w:hAnsi="Times New Roman" w:cs="Times New Roman"/>
                <w:b/>
                <w:bCs/>
                <w:sz w:val="18"/>
                <w:szCs w:val="18"/>
              </w:rPr>
              <w:t>1</w:t>
            </w:r>
          </w:p>
        </w:tc>
        <w:tc>
          <w:tcPr>
            <w:tcW w:w="802" w:type="dxa"/>
            <w:noWrap/>
            <w:hideMark/>
          </w:tcPr>
          <w:p w14:paraId="0A18E146" w14:textId="77777777" w:rsidR="00AE014A" w:rsidRPr="000973F2" w:rsidRDefault="00AE014A" w:rsidP="00F91B05">
            <w:pPr>
              <w:tabs>
                <w:tab w:val="decimal" w:pos="286"/>
              </w:tabs>
              <w:spacing w:before="40" w:after="4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18"/>
                <w:szCs w:val="18"/>
              </w:rPr>
            </w:pPr>
            <w:r w:rsidRPr="000973F2">
              <w:rPr>
                <w:rFonts w:ascii="Times New Roman" w:eastAsia="Times New Roman" w:hAnsi="Times New Roman" w:cs="Times New Roman"/>
                <w:b/>
                <w:bCs/>
                <w:sz w:val="18"/>
                <w:szCs w:val="18"/>
              </w:rPr>
              <w:t>3.3</w:t>
            </w:r>
          </w:p>
        </w:tc>
        <w:tc>
          <w:tcPr>
            <w:tcW w:w="803" w:type="dxa"/>
            <w:noWrap/>
            <w:hideMark/>
          </w:tcPr>
          <w:p w14:paraId="7786F6D2" w14:textId="77777777" w:rsidR="00AE014A" w:rsidRPr="000973F2" w:rsidRDefault="00AE014A" w:rsidP="00F91B05">
            <w:pPr>
              <w:tabs>
                <w:tab w:val="decimal" w:pos="286"/>
              </w:tabs>
              <w:spacing w:before="40" w:after="4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18"/>
                <w:szCs w:val="18"/>
              </w:rPr>
            </w:pPr>
            <w:r w:rsidRPr="000973F2">
              <w:rPr>
                <w:rFonts w:ascii="Times New Roman" w:eastAsia="Times New Roman" w:hAnsi="Times New Roman" w:cs="Times New Roman"/>
                <w:b/>
                <w:bCs/>
                <w:sz w:val="18"/>
                <w:szCs w:val="18"/>
              </w:rPr>
              <w:t>2.8</w:t>
            </w:r>
          </w:p>
        </w:tc>
        <w:tc>
          <w:tcPr>
            <w:tcW w:w="803" w:type="dxa"/>
            <w:noWrap/>
            <w:hideMark/>
          </w:tcPr>
          <w:p w14:paraId="0FB7BF91" w14:textId="77777777" w:rsidR="00AE014A" w:rsidRPr="000973F2" w:rsidRDefault="00AE014A" w:rsidP="00F91B05">
            <w:pPr>
              <w:tabs>
                <w:tab w:val="decimal" w:pos="286"/>
              </w:tabs>
              <w:spacing w:before="40" w:after="4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18"/>
                <w:szCs w:val="18"/>
              </w:rPr>
            </w:pPr>
            <w:r w:rsidRPr="000973F2">
              <w:rPr>
                <w:rFonts w:ascii="Times New Roman" w:eastAsia="Times New Roman" w:hAnsi="Times New Roman" w:cs="Times New Roman"/>
                <w:b/>
                <w:bCs/>
                <w:sz w:val="18"/>
                <w:szCs w:val="18"/>
              </w:rPr>
              <w:t>16</w:t>
            </w:r>
          </w:p>
        </w:tc>
        <w:tc>
          <w:tcPr>
            <w:tcW w:w="802" w:type="dxa"/>
            <w:noWrap/>
            <w:hideMark/>
          </w:tcPr>
          <w:p w14:paraId="173CD919" w14:textId="77777777" w:rsidR="00AE014A" w:rsidRPr="000973F2" w:rsidRDefault="00AE014A" w:rsidP="00F91B05">
            <w:pPr>
              <w:tabs>
                <w:tab w:val="decimal" w:pos="286"/>
              </w:tabs>
              <w:spacing w:before="40" w:after="4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18"/>
                <w:szCs w:val="18"/>
              </w:rPr>
            </w:pPr>
            <w:r w:rsidRPr="000973F2">
              <w:rPr>
                <w:rFonts w:ascii="Times New Roman" w:eastAsia="Times New Roman" w:hAnsi="Times New Roman" w:cs="Times New Roman"/>
                <w:b/>
                <w:bCs/>
                <w:sz w:val="18"/>
                <w:szCs w:val="18"/>
              </w:rPr>
              <w:t>11</w:t>
            </w:r>
          </w:p>
        </w:tc>
        <w:tc>
          <w:tcPr>
            <w:tcW w:w="803" w:type="dxa"/>
            <w:noWrap/>
            <w:hideMark/>
          </w:tcPr>
          <w:p w14:paraId="14614922" w14:textId="77777777" w:rsidR="00AE014A" w:rsidRPr="000973F2" w:rsidRDefault="00AE014A" w:rsidP="00F91B05">
            <w:pPr>
              <w:tabs>
                <w:tab w:val="decimal" w:pos="286"/>
              </w:tabs>
              <w:spacing w:before="40" w:after="4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18"/>
                <w:szCs w:val="18"/>
              </w:rPr>
            </w:pPr>
            <w:r w:rsidRPr="000973F2">
              <w:rPr>
                <w:rFonts w:ascii="Times New Roman" w:eastAsia="Times New Roman" w:hAnsi="Times New Roman" w:cs="Times New Roman"/>
                <w:b/>
                <w:bCs/>
                <w:sz w:val="18"/>
                <w:szCs w:val="18"/>
              </w:rPr>
              <w:t>2.1</w:t>
            </w:r>
          </w:p>
        </w:tc>
        <w:tc>
          <w:tcPr>
            <w:tcW w:w="803" w:type="dxa"/>
            <w:noWrap/>
            <w:hideMark/>
          </w:tcPr>
          <w:p w14:paraId="733F67E7" w14:textId="77777777" w:rsidR="00AE014A" w:rsidRPr="000973F2" w:rsidRDefault="00AE014A" w:rsidP="00F91B05">
            <w:pPr>
              <w:tabs>
                <w:tab w:val="decimal" w:pos="286"/>
              </w:tabs>
              <w:spacing w:before="40" w:after="4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18"/>
                <w:szCs w:val="18"/>
              </w:rPr>
            </w:pPr>
            <w:r w:rsidRPr="000973F2">
              <w:rPr>
                <w:rFonts w:ascii="Times New Roman" w:eastAsia="Times New Roman" w:hAnsi="Times New Roman" w:cs="Times New Roman"/>
                <w:b/>
                <w:bCs/>
                <w:sz w:val="18"/>
                <w:szCs w:val="18"/>
              </w:rPr>
              <w:t>1.9</w:t>
            </w:r>
          </w:p>
        </w:tc>
        <w:tc>
          <w:tcPr>
            <w:tcW w:w="742" w:type="dxa"/>
            <w:noWrap/>
            <w:hideMark/>
          </w:tcPr>
          <w:p w14:paraId="6281FEDA" w14:textId="5F9AA651" w:rsidR="00AE014A" w:rsidRPr="000973F2" w:rsidRDefault="00AE014A" w:rsidP="00F91B05">
            <w:pPr>
              <w:tabs>
                <w:tab w:val="decimal" w:pos="511"/>
              </w:tabs>
              <w:spacing w:before="40" w:after="4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18"/>
                <w:szCs w:val="18"/>
              </w:rPr>
            </w:pPr>
            <w:r w:rsidRPr="000973F2">
              <w:rPr>
                <w:rFonts w:ascii="Times New Roman" w:eastAsia="Times New Roman" w:hAnsi="Times New Roman" w:cs="Times New Roman"/>
                <w:b/>
                <w:bCs/>
                <w:sz w:val="18"/>
                <w:szCs w:val="18"/>
              </w:rPr>
              <w:t>$1,621</w:t>
            </w:r>
          </w:p>
        </w:tc>
        <w:tc>
          <w:tcPr>
            <w:tcW w:w="742" w:type="dxa"/>
            <w:noWrap/>
            <w:hideMark/>
          </w:tcPr>
          <w:p w14:paraId="301AEDCD" w14:textId="060EC63A" w:rsidR="00AE014A" w:rsidRPr="000973F2" w:rsidRDefault="00AE014A" w:rsidP="00F91B05">
            <w:pPr>
              <w:tabs>
                <w:tab w:val="decimal" w:pos="511"/>
              </w:tabs>
              <w:spacing w:before="40" w:after="4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18"/>
                <w:szCs w:val="18"/>
              </w:rPr>
            </w:pPr>
            <w:r w:rsidRPr="000973F2">
              <w:rPr>
                <w:rFonts w:ascii="Times New Roman" w:eastAsia="Times New Roman" w:hAnsi="Times New Roman" w:cs="Times New Roman"/>
                <w:b/>
                <w:bCs/>
                <w:sz w:val="18"/>
                <w:szCs w:val="18"/>
              </w:rPr>
              <w:t>$1,211</w:t>
            </w:r>
          </w:p>
        </w:tc>
      </w:tr>
    </w:tbl>
    <w:p w14:paraId="6B1A8935" w14:textId="77777777" w:rsidR="00AE014A" w:rsidRPr="000973F2" w:rsidRDefault="00AE014A" w:rsidP="00426F77">
      <w:pPr>
        <w:pStyle w:val="AfterTable"/>
      </w:pPr>
    </w:p>
    <w:p w14:paraId="740E98DB" w14:textId="77777777" w:rsidR="00AE014A" w:rsidRPr="000973F2" w:rsidRDefault="00AE014A" w:rsidP="00F91B05">
      <w:pPr>
        <w:pStyle w:val="Heading2"/>
      </w:pPr>
      <w:r w:rsidRPr="000973F2">
        <w:t>Labor Costs for Subpart NN – NGL Fractionators</w:t>
      </w:r>
    </w:p>
    <w:p w14:paraId="6F0B0B42" w14:textId="51DBE1F7" w:rsidR="00AE014A" w:rsidRPr="000973F2" w:rsidRDefault="00AE014A" w:rsidP="00F91B05">
      <w:pPr>
        <w:pStyle w:val="BodyText"/>
      </w:pPr>
      <w:r w:rsidRPr="000973F2">
        <w:t xml:space="preserve">Table </w:t>
      </w:r>
      <w:r w:rsidR="00F91B05" w:rsidRPr="000973F2">
        <w:t>NN-</w:t>
      </w:r>
      <w:r w:rsidRPr="000973F2">
        <w:t xml:space="preserve">1b provides the annual </w:t>
      </w:r>
      <w:r w:rsidR="00BB183C" w:rsidRPr="000973F2">
        <w:t>labor hours</w:t>
      </w:r>
      <w:r w:rsidRPr="000973F2">
        <w:t xml:space="preserve"> </w:t>
      </w:r>
      <w:r w:rsidR="00C00673" w:rsidRPr="000973F2">
        <w:t xml:space="preserve">for each of the NGL fractionator </w:t>
      </w:r>
      <w:r w:rsidRPr="000973F2">
        <w:t>facilit</w:t>
      </w:r>
      <w:r w:rsidR="00C00673" w:rsidRPr="000973F2">
        <w:t>ies</w:t>
      </w:r>
      <w:r w:rsidRPr="000973F2">
        <w:t xml:space="preserve">. Typical activities for each of the labor categories are discussed in the Cost Appendix Introduction. Recordkeeping and reporting hours </w:t>
      </w:r>
      <w:r w:rsidR="002E2424" w:rsidRPr="000973F2">
        <w:t>are based on</w:t>
      </w:r>
      <w:r w:rsidRPr="000973F2">
        <w:t xml:space="preserve"> the “low bin”</w:t>
      </w:r>
      <w:r w:rsidR="002E2424" w:rsidRPr="000973F2">
        <w:t xml:space="preserve"> designation. </w:t>
      </w:r>
      <w:r w:rsidRPr="000973F2">
        <w:t>Calculations include time required to retrieve the necessary records, complete calculations and QA/QC the results. NGL fractionators may use the default HHV and/or emission factors provided in the rule or use their own facility-specific factors. Subpart NN requires facilities to use facility-specific HHV and emission factors in their calculations only if the facility already has these factors available (for example, to report to EIA or a state or local government). Hence, the same level of effort is required to complete the measurements, calculations, QA/QC, recordkeeping and reporting for facilities using facility-specific HHV and/or emission factors as for those facilities using the default factors.</w:t>
      </w:r>
    </w:p>
    <w:p w14:paraId="15BBCD01" w14:textId="77777777" w:rsidR="00AE014A" w:rsidRPr="000973F2" w:rsidRDefault="00AE014A" w:rsidP="00F91B05">
      <w:pPr>
        <w:pStyle w:val="BodyText"/>
      </w:pPr>
      <w:r w:rsidRPr="000973F2">
        <w:rPr>
          <w:shd w:val="clear" w:color="auto" w:fill="FFFFFF"/>
        </w:rPr>
        <w:t xml:space="preserve">The costs for legal support and QA/QC, recordkeeping and calculations are expected to be the same for new facilities as for existing facilities since there are no additional requirements for these tasks that apply to new facilities. </w:t>
      </w:r>
      <w:r w:rsidRPr="000973F2">
        <w:t>However, a new facility in their initial year of reporting will require additional planning time to familiarize themselves with the rule. As stated above, it is expected that three new NGL fractionators will begin reporting in each of the next three reporting years.</w:t>
      </w:r>
    </w:p>
    <w:p w14:paraId="00FD523B" w14:textId="6884BFCE" w:rsidR="00AE014A" w:rsidRPr="000973F2" w:rsidRDefault="00AE014A" w:rsidP="00C00E4F">
      <w:pPr>
        <w:spacing w:line="240" w:lineRule="auto"/>
        <w:rPr>
          <w:rFonts w:ascii="Times New Roman" w:hAnsi="Times New Roman" w:cs="Times New Roman"/>
        </w:rPr>
      </w:pPr>
      <w:r w:rsidRPr="000973F2">
        <w:rPr>
          <w:rFonts w:ascii="Times New Roman" w:hAnsi="Times New Roman" w:cs="Times New Roman"/>
        </w:rPr>
        <w:br w:type="page"/>
      </w:r>
    </w:p>
    <w:p w14:paraId="47BF2F9B" w14:textId="6BF284C1" w:rsidR="0049353D" w:rsidRPr="000973F2" w:rsidRDefault="0049353D" w:rsidP="00F91B05">
      <w:pPr>
        <w:pStyle w:val="Tabletitle"/>
      </w:pPr>
      <w:r w:rsidRPr="000973F2">
        <w:t xml:space="preserve">Table </w:t>
      </w:r>
      <w:r w:rsidR="00F91B05" w:rsidRPr="000973F2">
        <w:t>NN-</w:t>
      </w:r>
      <w:r w:rsidRPr="000973F2">
        <w:t xml:space="preserve">1b. Labor Costs </w:t>
      </w:r>
      <w:r w:rsidR="00B960CC" w:rsidRPr="000973F2">
        <w:t>–</w:t>
      </w:r>
      <w:r w:rsidRPr="000973F2">
        <w:t xml:space="preserve"> Subpart NN </w:t>
      </w:r>
      <w:r w:rsidR="00B960CC" w:rsidRPr="000973F2">
        <w:t>–</w:t>
      </w:r>
      <w:r w:rsidRPr="000973F2">
        <w:t xml:space="preserve"> NGL Fractionators</w:t>
      </w:r>
    </w:p>
    <w:tbl>
      <w:tblPr>
        <w:tblStyle w:val="PlainTable1"/>
        <w:tblW w:w="5008" w:type="pct"/>
        <w:jc w:val="left"/>
        <w:tblLayout w:type="fixed"/>
        <w:tblCellMar>
          <w:left w:w="115" w:type="dxa"/>
          <w:right w:w="115" w:type="dxa"/>
        </w:tblCellMar>
        <w:tblLook w:val="04A0" w:firstRow="1" w:lastRow="0" w:firstColumn="1" w:lastColumn="0" w:noHBand="0" w:noVBand="1"/>
      </w:tblPr>
      <w:tblGrid>
        <w:gridCol w:w="1466"/>
        <w:gridCol w:w="820"/>
        <w:gridCol w:w="821"/>
        <w:gridCol w:w="821"/>
        <w:gridCol w:w="821"/>
        <w:gridCol w:w="820"/>
        <w:gridCol w:w="821"/>
        <w:gridCol w:w="821"/>
        <w:gridCol w:w="821"/>
        <w:gridCol w:w="770"/>
        <w:gridCol w:w="803"/>
      </w:tblGrid>
      <w:tr w:rsidR="00B25046" w:rsidRPr="000973F2" w14:paraId="07C81450" w14:textId="77777777" w:rsidTr="005C66F4">
        <w:trPr>
          <w:cnfStyle w:val="100000000000" w:firstRow="1" w:lastRow="0" w:firstColumn="0" w:lastColumn="0" w:oddVBand="0" w:evenVBand="0" w:oddHBand="0" w:evenHBand="0" w:firstRowFirstColumn="0" w:firstRowLastColumn="0" w:lastRowFirstColumn="0" w:lastRowLastColumn="0"/>
          <w:cantSplit/>
          <w:jc w:val="left"/>
        </w:trPr>
        <w:tc>
          <w:tcPr>
            <w:cnfStyle w:val="001000000000" w:firstRow="0" w:lastRow="0" w:firstColumn="1" w:lastColumn="0" w:oddVBand="0" w:evenVBand="0" w:oddHBand="0" w:evenHBand="0" w:firstRowFirstColumn="0" w:firstRowLastColumn="0" w:lastRowFirstColumn="0" w:lastRowLastColumn="0"/>
            <w:tcW w:w="1425" w:type="dxa"/>
            <w:vMerge w:val="restart"/>
            <w:noWrap/>
            <w:vAlign w:val="top"/>
            <w:hideMark/>
          </w:tcPr>
          <w:p w14:paraId="5ECA9527" w14:textId="77777777" w:rsidR="00AE014A" w:rsidRPr="000973F2" w:rsidRDefault="00AE014A" w:rsidP="00F91B05">
            <w:pPr>
              <w:spacing w:before="40" w:after="40"/>
              <w:rPr>
                <w:rFonts w:ascii="Times New Roman" w:eastAsia="Times New Roman" w:hAnsi="Times New Roman" w:cs="Times New Roman"/>
                <w:bCs w:val="0"/>
                <w:sz w:val="18"/>
                <w:szCs w:val="18"/>
              </w:rPr>
            </w:pPr>
            <w:r w:rsidRPr="000973F2">
              <w:rPr>
                <w:rFonts w:ascii="Times New Roman" w:eastAsia="Times New Roman" w:hAnsi="Times New Roman" w:cs="Times New Roman"/>
                <w:bCs w:val="0"/>
                <w:sz w:val="18"/>
                <w:szCs w:val="18"/>
              </w:rPr>
              <w:t>Activity</w:t>
            </w:r>
          </w:p>
        </w:tc>
        <w:tc>
          <w:tcPr>
            <w:tcW w:w="6390" w:type="dxa"/>
            <w:gridSpan w:val="8"/>
            <w:noWrap/>
            <w:vAlign w:val="top"/>
            <w:hideMark/>
          </w:tcPr>
          <w:p w14:paraId="1CC8E913" w14:textId="77777777" w:rsidR="00AE014A" w:rsidRPr="000973F2" w:rsidRDefault="00AE014A" w:rsidP="00F91B05">
            <w:pPr>
              <w:spacing w:before="40" w:after="40"/>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Cs w:val="0"/>
                <w:sz w:val="18"/>
                <w:szCs w:val="18"/>
              </w:rPr>
            </w:pPr>
            <w:r w:rsidRPr="000973F2">
              <w:rPr>
                <w:rFonts w:ascii="Times New Roman" w:eastAsia="Times New Roman" w:hAnsi="Times New Roman" w:cs="Times New Roman"/>
                <w:bCs w:val="0"/>
                <w:sz w:val="18"/>
                <w:szCs w:val="18"/>
              </w:rPr>
              <w:t>Labor Rates (per hour)</w:t>
            </w:r>
          </w:p>
        </w:tc>
        <w:tc>
          <w:tcPr>
            <w:tcW w:w="1530" w:type="dxa"/>
            <w:gridSpan w:val="2"/>
            <w:vMerge w:val="restart"/>
            <w:vAlign w:val="top"/>
            <w:hideMark/>
          </w:tcPr>
          <w:p w14:paraId="62A24F46" w14:textId="77777777" w:rsidR="00AE014A" w:rsidRPr="000973F2" w:rsidRDefault="00AE014A" w:rsidP="00F91B05">
            <w:pPr>
              <w:spacing w:before="40" w:after="40"/>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Cs w:val="0"/>
                <w:sz w:val="18"/>
                <w:szCs w:val="18"/>
              </w:rPr>
            </w:pPr>
            <w:r w:rsidRPr="000973F2">
              <w:rPr>
                <w:rFonts w:ascii="Times New Roman" w:eastAsia="Times New Roman" w:hAnsi="Times New Roman" w:cs="Times New Roman"/>
                <w:bCs w:val="0"/>
                <w:sz w:val="18"/>
                <w:szCs w:val="18"/>
              </w:rPr>
              <w:t>Total Labor Cost per Year per Facility (2017$)</w:t>
            </w:r>
          </w:p>
        </w:tc>
      </w:tr>
      <w:tr w:rsidR="00B25046" w:rsidRPr="000973F2" w14:paraId="3238D3C3" w14:textId="77777777" w:rsidTr="005C66F4">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1425" w:type="dxa"/>
            <w:vMerge/>
            <w:hideMark/>
          </w:tcPr>
          <w:p w14:paraId="21BFF969" w14:textId="77777777" w:rsidR="00AE014A" w:rsidRPr="000973F2" w:rsidRDefault="00AE014A" w:rsidP="00F91B05">
            <w:pPr>
              <w:spacing w:before="40" w:after="40"/>
              <w:rPr>
                <w:rFonts w:ascii="Times New Roman" w:eastAsia="Times New Roman" w:hAnsi="Times New Roman" w:cs="Times New Roman"/>
                <w:b/>
                <w:bCs w:val="0"/>
                <w:sz w:val="18"/>
                <w:szCs w:val="18"/>
              </w:rPr>
            </w:pPr>
          </w:p>
        </w:tc>
        <w:tc>
          <w:tcPr>
            <w:tcW w:w="1597" w:type="dxa"/>
            <w:gridSpan w:val="2"/>
            <w:noWrap/>
            <w:hideMark/>
          </w:tcPr>
          <w:p w14:paraId="5CCFFB66" w14:textId="77777777" w:rsidR="00AE014A" w:rsidRPr="000973F2" w:rsidRDefault="00AE014A" w:rsidP="00F91B05">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18"/>
                <w:szCs w:val="18"/>
              </w:rPr>
            </w:pPr>
            <w:r w:rsidRPr="000973F2">
              <w:rPr>
                <w:rFonts w:ascii="Times New Roman" w:eastAsia="Times New Roman" w:hAnsi="Times New Roman" w:cs="Times New Roman"/>
                <w:b/>
                <w:bCs/>
                <w:sz w:val="18"/>
                <w:szCs w:val="18"/>
              </w:rPr>
              <w:t>Lawyer</w:t>
            </w:r>
          </w:p>
        </w:tc>
        <w:tc>
          <w:tcPr>
            <w:tcW w:w="1598" w:type="dxa"/>
            <w:gridSpan w:val="2"/>
            <w:noWrap/>
            <w:hideMark/>
          </w:tcPr>
          <w:p w14:paraId="31EC521F" w14:textId="77777777" w:rsidR="00AE014A" w:rsidRPr="000973F2" w:rsidRDefault="00AE014A" w:rsidP="00F91B05">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18"/>
                <w:szCs w:val="18"/>
              </w:rPr>
            </w:pPr>
            <w:r w:rsidRPr="000973F2">
              <w:rPr>
                <w:rFonts w:ascii="Times New Roman" w:eastAsia="Times New Roman" w:hAnsi="Times New Roman" w:cs="Times New Roman"/>
                <w:b/>
                <w:bCs/>
                <w:sz w:val="18"/>
                <w:szCs w:val="18"/>
              </w:rPr>
              <w:t>Industrial Manager</w:t>
            </w:r>
          </w:p>
        </w:tc>
        <w:tc>
          <w:tcPr>
            <w:tcW w:w="1597" w:type="dxa"/>
            <w:gridSpan w:val="2"/>
            <w:hideMark/>
          </w:tcPr>
          <w:p w14:paraId="52172F79" w14:textId="3C03EA5D" w:rsidR="00AE014A" w:rsidRPr="000973F2" w:rsidRDefault="00AE014A" w:rsidP="00F91B05">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18"/>
                <w:szCs w:val="18"/>
              </w:rPr>
            </w:pPr>
            <w:r w:rsidRPr="000973F2">
              <w:rPr>
                <w:rFonts w:ascii="Times New Roman" w:eastAsia="Times New Roman" w:hAnsi="Times New Roman" w:cs="Times New Roman"/>
                <w:b/>
                <w:bCs/>
                <w:sz w:val="18"/>
                <w:szCs w:val="18"/>
              </w:rPr>
              <w:t>Industrial Engineer/</w:t>
            </w:r>
            <w:r w:rsidR="00F91B05" w:rsidRPr="000973F2">
              <w:rPr>
                <w:rFonts w:ascii="Times New Roman" w:eastAsia="Times New Roman" w:hAnsi="Times New Roman" w:cs="Times New Roman"/>
                <w:b/>
                <w:bCs/>
                <w:sz w:val="18"/>
                <w:szCs w:val="18"/>
              </w:rPr>
              <w:t xml:space="preserve"> </w:t>
            </w:r>
            <w:r w:rsidRPr="000973F2">
              <w:rPr>
                <w:rFonts w:ascii="Times New Roman" w:eastAsia="Times New Roman" w:hAnsi="Times New Roman" w:cs="Times New Roman"/>
                <w:b/>
                <w:bCs/>
                <w:sz w:val="18"/>
                <w:szCs w:val="18"/>
              </w:rPr>
              <w:t>Technician</w:t>
            </w:r>
          </w:p>
        </w:tc>
        <w:tc>
          <w:tcPr>
            <w:tcW w:w="1598" w:type="dxa"/>
            <w:gridSpan w:val="2"/>
            <w:hideMark/>
          </w:tcPr>
          <w:p w14:paraId="5E852858" w14:textId="77777777" w:rsidR="00AE014A" w:rsidRPr="000973F2" w:rsidRDefault="00AE014A" w:rsidP="00F91B05">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18"/>
                <w:szCs w:val="18"/>
              </w:rPr>
            </w:pPr>
            <w:r w:rsidRPr="000973F2">
              <w:rPr>
                <w:rFonts w:ascii="Times New Roman" w:eastAsia="Times New Roman" w:hAnsi="Times New Roman" w:cs="Times New Roman"/>
                <w:b/>
                <w:bCs/>
                <w:sz w:val="18"/>
                <w:szCs w:val="18"/>
              </w:rPr>
              <w:t>Administrative Support</w:t>
            </w:r>
          </w:p>
        </w:tc>
        <w:tc>
          <w:tcPr>
            <w:tcW w:w="1530" w:type="dxa"/>
            <w:gridSpan w:val="2"/>
            <w:vMerge/>
            <w:hideMark/>
          </w:tcPr>
          <w:p w14:paraId="3569ADAF" w14:textId="77777777" w:rsidR="00AE014A" w:rsidRPr="000973F2" w:rsidRDefault="00AE014A" w:rsidP="00F91B05">
            <w:pPr>
              <w:spacing w:before="40" w:after="4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18"/>
                <w:szCs w:val="18"/>
              </w:rPr>
            </w:pPr>
          </w:p>
        </w:tc>
      </w:tr>
      <w:tr w:rsidR="00B25046" w:rsidRPr="000973F2" w14:paraId="416B0C67" w14:textId="77777777" w:rsidTr="005C66F4">
        <w:trPr>
          <w:cantSplit/>
        </w:trPr>
        <w:tc>
          <w:tcPr>
            <w:cnfStyle w:val="001000000000" w:firstRow="0" w:lastRow="0" w:firstColumn="1" w:lastColumn="0" w:oddVBand="0" w:evenVBand="0" w:oddHBand="0" w:evenHBand="0" w:firstRowFirstColumn="0" w:firstRowLastColumn="0" w:lastRowFirstColumn="0" w:lastRowLastColumn="0"/>
            <w:tcW w:w="1425" w:type="dxa"/>
            <w:vMerge/>
            <w:hideMark/>
          </w:tcPr>
          <w:p w14:paraId="4920BABA" w14:textId="77777777" w:rsidR="00AE014A" w:rsidRPr="000973F2" w:rsidRDefault="00AE014A" w:rsidP="00F91B05">
            <w:pPr>
              <w:spacing w:before="40" w:after="40"/>
              <w:rPr>
                <w:rFonts w:ascii="Times New Roman" w:eastAsia="Times New Roman" w:hAnsi="Times New Roman" w:cs="Times New Roman"/>
                <w:b/>
                <w:bCs w:val="0"/>
                <w:sz w:val="18"/>
                <w:szCs w:val="18"/>
              </w:rPr>
            </w:pPr>
          </w:p>
        </w:tc>
        <w:tc>
          <w:tcPr>
            <w:tcW w:w="1597" w:type="dxa"/>
            <w:gridSpan w:val="2"/>
            <w:noWrap/>
            <w:hideMark/>
          </w:tcPr>
          <w:p w14:paraId="07A85813" w14:textId="77777777" w:rsidR="00AE014A" w:rsidRPr="000973F2" w:rsidRDefault="00AE014A" w:rsidP="00F91B05">
            <w:pPr>
              <w:spacing w:before="40" w:after="4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sz w:val="18"/>
                <w:szCs w:val="18"/>
              </w:rPr>
            </w:pPr>
            <w:r w:rsidRPr="000973F2">
              <w:rPr>
                <w:rFonts w:ascii="Times New Roman" w:eastAsia="Times New Roman" w:hAnsi="Times New Roman" w:cs="Times New Roman"/>
                <w:b/>
                <w:bCs/>
                <w:sz w:val="18"/>
                <w:szCs w:val="18"/>
              </w:rPr>
              <w:t xml:space="preserve">$112.23 </w:t>
            </w:r>
          </w:p>
        </w:tc>
        <w:tc>
          <w:tcPr>
            <w:tcW w:w="1598" w:type="dxa"/>
            <w:gridSpan w:val="2"/>
            <w:noWrap/>
            <w:hideMark/>
          </w:tcPr>
          <w:p w14:paraId="604796F5" w14:textId="77777777" w:rsidR="00AE014A" w:rsidRPr="000973F2" w:rsidRDefault="00AE014A" w:rsidP="00F91B05">
            <w:pPr>
              <w:spacing w:before="40" w:after="4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sz w:val="18"/>
                <w:szCs w:val="18"/>
              </w:rPr>
            </w:pPr>
            <w:r w:rsidRPr="000973F2">
              <w:rPr>
                <w:rFonts w:ascii="Times New Roman" w:eastAsia="Times New Roman" w:hAnsi="Times New Roman" w:cs="Times New Roman"/>
                <w:b/>
                <w:bCs/>
                <w:sz w:val="18"/>
                <w:szCs w:val="18"/>
              </w:rPr>
              <w:t xml:space="preserve">$87.45 </w:t>
            </w:r>
          </w:p>
        </w:tc>
        <w:tc>
          <w:tcPr>
            <w:tcW w:w="1597" w:type="dxa"/>
            <w:gridSpan w:val="2"/>
            <w:noWrap/>
            <w:hideMark/>
          </w:tcPr>
          <w:p w14:paraId="35772ED7" w14:textId="77777777" w:rsidR="00AE014A" w:rsidRPr="000973F2" w:rsidRDefault="00AE014A" w:rsidP="00F91B05">
            <w:pPr>
              <w:spacing w:before="40" w:after="4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sz w:val="18"/>
                <w:szCs w:val="18"/>
              </w:rPr>
            </w:pPr>
            <w:r w:rsidRPr="000973F2">
              <w:rPr>
                <w:rFonts w:ascii="Times New Roman" w:eastAsia="Times New Roman" w:hAnsi="Times New Roman" w:cs="Times New Roman"/>
                <w:b/>
                <w:bCs/>
                <w:sz w:val="18"/>
                <w:szCs w:val="18"/>
              </w:rPr>
              <w:t xml:space="preserve">$71.45 </w:t>
            </w:r>
          </w:p>
        </w:tc>
        <w:tc>
          <w:tcPr>
            <w:tcW w:w="1598" w:type="dxa"/>
            <w:gridSpan w:val="2"/>
            <w:noWrap/>
            <w:hideMark/>
          </w:tcPr>
          <w:p w14:paraId="384CAEEB" w14:textId="77777777" w:rsidR="00AE014A" w:rsidRPr="000973F2" w:rsidRDefault="00AE014A" w:rsidP="00F91B05">
            <w:pPr>
              <w:spacing w:before="40" w:after="4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sz w:val="18"/>
                <w:szCs w:val="18"/>
              </w:rPr>
            </w:pPr>
            <w:r w:rsidRPr="000973F2">
              <w:rPr>
                <w:rFonts w:ascii="Times New Roman" w:eastAsia="Times New Roman" w:hAnsi="Times New Roman" w:cs="Times New Roman"/>
                <w:b/>
                <w:bCs/>
                <w:sz w:val="18"/>
                <w:szCs w:val="18"/>
              </w:rPr>
              <w:t xml:space="preserve">$36.28 </w:t>
            </w:r>
          </w:p>
        </w:tc>
        <w:tc>
          <w:tcPr>
            <w:tcW w:w="1530" w:type="dxa"/>
            <w:gridSpan w:val="2"/>
            <w:vMerge/>
            <w:hideMark/>
          </w:tcPr>
          <w:p w14:paraId="70DF4BC7" w14:textId="77777777" w:rsidR="00AE014A" w:rsidRPr="000973F2" w:rsidRDefault="00AE014A" w:rsidP="00F91B05">
            <w:pPr>
              <w:spacing w:before="40" w:after="4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sz w:val="18"/>
                <w:szCs w:val="18"/>
              </w:rPr>
            </w:pPr>
          </w:p>
        </w:tc>
      </w:tr>
      <w:tr w:rsidR="00F91B05" w:rsidRPr="000973F2" w14:paraId="69C6AECA" w14:textId="77777777" w:rsidTr="005C66F4">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1425" w:type="dxa"/>
            <w:vMerge/>
            <w:hideMark/>
          </w:tcPr>
          <w:p w14:paraId="42C78FAE" w14:textId="77777777" w:rsidR="00AE014A" w:rsidRPr="000973F2" w:rsidRDefault="00AE014A" w:rsidP="00F91B05">
            <w:pPr>
              <w:spacing w:before="40" w:after="40"/>
              <w:rPr>
                <w:rFonts w:ascii="Times New Roman" w:eastAsia="Times New Roman" w:hAnsi="Times New Roman" w:cs="Times New Roman"/>
                <w:b/>
                <w:bCs w:val="0"/>
                <w:sz w:val="18"/>
                <w:szCs w:val="18"/>
              </w:rPr>
            </w:pPr>
          </w:p>
        </w:tc>
        <w:tc>
          <w:tcPr>
            <w:tcW w:w="798" w:type="dxa"/>
            <w:tcMar>
              <w:left w:w="14" w:type="dxa"/>
              <w:right w:w="14" w:type="dxa"/>
            </w:tcMar>
            <w:hideMark/>
          </w:tcPr>
          <w:p w14:paraId="309DE72F" w14:textId="00EEEA10" w:rsidR="00AE014A" w:rsidRPr="000973F2" w:rsidRDefault="00AE014A" w:rsidP="00F91B05">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18"/>
                <w:szCs w:val="18"/>
              </w:rPr>
            </w:pPr>
            <w:r w:rsidRPr="000973F2">
              <w:rPr>
                <w:rFonts w:ascii="Times New Roman" w:eastAsia="Times New Roman" w:hAnsi="Times New Roman" w:cs="Times New Roman"/>
                <w:b/>
                <w:bCs/>
                <w:sz w:val="18"/>
                <w:szCs w:val="18"/>
              </w:rPr>
              <w:t xml:space="preserve">Initial </w:t>
            </w:r>
            <w:r w:rsidR="00132320" w:rsidRPr="000973F2">
              <w:rPr>
                <w:rFonts w:ascii="Times New Roman" w:eastAsia="Times New Roman" w:hAnsi="Times New Roman" w:cs="Times New Roman"/>
                <w:b/>
                <w:bCs/>
                <w:sz w:val="18"/>
                <w:szCs w:val="18"/>
              </w:rPr>
              <w:t>Year Hours</w:t>
            </w:r>
          </w:p>
        </w:tc>
        <w:tc>
          <w:tcPr>
            <w:tcW w:w="799" w:type="dxa"/>
            <w:tcMar>
              <w:left w:w="14" w:type="dxa"/>
              <w:right w:w="14" w:type="dxa"/>
            </w:tcMar>
            <w:hideMark/>
          </w:tcPr>
          <w:p w14:paraId="7D205D2D" w14:textId="5E601D0F" w:rsidR="00AE014A" w:rsidRPr="000973F2" w:rsidRDefault="00AE014A" w:rsidP="00F91B05">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18"/>
                <w:szCs w:val="18"/>
              </w:rPr>
            </w:pPr>
            <w:r w:rsidRPr="000973F2">
              <w:rPr>
                <w:rFonts w:ascii="Times New Roman" w:eastAsia="Times New Roman" w:hAnsi="Times New Roman" w:cs="Times New Roman"/>
                <w:b/>
                <w:bCs/>
                <w:sz w:val="18"/>
                <w:szCs w:val="18"/>
              </w:rPr>
              <w:t xml:space="preserve">Subseq. </w:t>
            </w:r>
            <w:r w:rsidR="00132320" w:rsidRPr="000973F2">
              <w:rPr>
                <w:rFonts w:ascii="Times New Roman" w:eastAsia="Times New Roman" w:hAnsi="Times New Roman" w:cs="Times New Roman"/>
                <w:b/>
                <w:bCs/>
                <w:sz w:val="18"/>
                <w:szCs w:val="18"/>
              </w:rPr>
              <w:t>Year Hours</w:t>
            </w:r>
          </w:p>
        </w:tc>
        <w:tc>
          <w:tcPr>
            <w:tcW w:w="799" w:type="dxa"/>
            <w:tcMar>
              <w:left w:w="14" w:type="dxa"/>
              <w:right w:w="14" w:type="dxa"/>
            </w:tcMar>
            <w:hideMark/>
          </w:tcPr>
          <w:p w14:paraId="66D5EF7C" w14:textId="61B08574" w:rsidR="00AE014A" w:rsidRPr="000973F2" w:rsidRDefault="00AE014A" w:rsidP="00F91B05">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18"/>
                <w:szCs w:val="18"/>
              </w:rPr>
            </w:pPr>
            <w:r w:rsidRPr="000973F2">
              <w:rPr>
                <w:rFonts w:ascii="Times New Roman" w:eastAsia="Times New Roman" w:hAnsi="Times New Roman" w:cs="Times New Roman"/>
                <w:b/>
                <w:bCs/>
                <w:sz w:val="18"/>
                <w:szCs w:val="18"/>
              </w:rPr>
              <w:t xml:space="preserve">Initial </w:t>
            </w:r>
            <w:r w:rsidR="00132320" w:rsidRPr="000973F2">
              <w:rPr>
                <w:rFonts w:ascii="Times New Roman" w:eastAsia="Times New Roman" w:hAnsi="Times New Roman" w:cs="Times New Roman"/>
                <w:b/>
                <w:bCs/>
                <w:sz w:val="18"/>
                <w:szCs w:val="18"/>
              </w:rPr>
              <w:t>Year Hours</w:t>
            </w:r>
          </w:p>
        </w:tc>
        <w:tc>
          <w:tcPr>
            <w:tcW w:w="799" w:type="dxa"/>
            <w:tcMar>
              <w:left w:w="14" w:type="dxa"/>
              <w:right w:w="14" w:type="dxa"/>
            </w:tcMar>
            <w:hideMark/>
          </w:tcPr>
          <w:p w14:paraId="212589F5" w14:textId="376DB4AB" w:rsidR="00AE014A" w:rsidRPr="000973F2" w:rsidRDefault="00AE014A" w:rsidP="00F91B05">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18"/>
                <w:szCs w:val="18"/>
              </w:rPr>
            </w:pPr>
            <w:r w:rsidRPr="000973F2">
              <w:rPr>
                <w:rFonts w:ascii="Times New Roman" w:eastAsia="Times New Roman" w:hAnsi="Times New Roman" w:cs="Times New Roman"/>
                <w:b/>
                <w:bCs/>
                <w:sz w:val="18"/>
                <w:szCs w:val="18"/>
              </w:rPr>
              <w:t xml:space="preserve">Subseq. </w:t>
            </w:r>
            <w:r w:rsidR="00132320" w:rsidRPr="000973F2">
              <w:rPr>
                <w:rFonts w:ascii="Times New Roman" w:eastAsia="Times New Roman" w:hAnsi="Times New Roman" w:cs="Times New Roman"/>
                <w:b/>
                <w:bCs/>
                <w:sz w:val="18"/>
                <w:szCs w:val="18"/>
              </w:rPr>
              <w:t>Year Hours</w:t>
            </w:r>
          </w:p>
        </w:tc>
        <w:tc>
          <w:tcPr>
            <w:tcW w:w="798" w:type="dxa"/>
            <w:tcMar>
              <w:left w:w="14" w:type="dxa"/>
              <w:right w:w="14" w:type="dxa"/>
            </w:tcMar>
            <w:hideMark/>
          </w:tcPr>
          <w:p w14:paraId="47801B6E" w14:textId="7D085975" w:rsidR="00AE014A" w:rsidRPr="000973F2" w:rsidRDefault="00AE014A" w:rsidP="00F91B05">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18"/>
                <w:szCs w:val="18"/>
              </w:rPr>
            </w:pPr>
            <w:r w:rsidRPr="000973F2">
              <w:rPr>
                <w:rFonts w:ascii="Times New Roman" w:eastAsia="Times New Roman" w:hAnsi="Times New Roman" w:cs="Times New Roman"/>
                <w:b/>
                <w:bCs/>
                <w:sz w:val="18"/>
                <w:szCs w:val="18"/>
              </w:rPr>
              <w:t xml:space="preserve">Initial </w:t>
            </w:r>
            <w:r w:rsidR="00132320" w:rsidRPr="000973F2">
              <w:rPr>
                <w:rFonts w:ascii="Times New Roman" w:eastAsia="Times New Roman" w:hAnsi="Times New Roman" w:cs="Times New Roman"/>
                <w:b/>
                <w:bCs/>
                <w:sz w:val="18"/>
                <w:szCs w:val="18"/>
              </w:rPr>
              <w:t>Year Hours</w:t>
            </w:r>
          </w:p>
        </w:tc>
        <w:tc>
          <w:tcPr>
            <w:tcW w:w="799" w:type="dxa"/>
            <w:tcMar>
              <w:left w:w="14" w:type="dxa"/>
              <w:right w:w="14" w:type="dxa"/>
            </w:tcMar>
            <w:hideMark/>
          </w:tcPr>
          <w:p w14:paraId="2C9F3684" w14:textId="3AAC4F53" w:rsidR="00AE014A" w:rsidRPr="000973F2" w:rsidRDefault="00AE014A" w:rsidP="00F91B05">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18"/>
                <w:szCs w:val="18"/>
              </w:rPr>
            </w:pPr>
            <w:r w:rsidRPr="000973F2">
              <w:rPr>
                <w:rFonts w:ascii="Times New Roman" w:eastAsia="Times New Roman" w:hAnsi="Times New Roman" w:cs="Times New Roman"/>
                <w:b/>
                <w:bCs/>
                <w:sz w:val="18"/>
                <w:szCs w:val="18"/>
              </w:rPr>
              <w:t xml:space="preserve">Subseq. </w:t>
            </w:r>
            <w:r w:rsidR="00132320" w:rsidRPr="000973F2">
              <w:rPr>
                <w:rFonts w:ascii="Times New Roman" w:eastAsia="Times New Roman" w:hAnsi="Times New Roman" w:cs="Times New Roman"/>
                <w:b/>
                <w:bCs/>
                <w:sz w:val="18"/>
                <w:szCs w:val="18"/>
              </w:rPr>
              <w:t>Year Hours</w:t>
            </w:r>
          </w:p>
        </w:tc>
        <w:tc>
          <w:tcPr>
            <w:tcW w:w="799" w:type="dxa"/>
            <w:tcMar>
              <w:left w:w="14" w:type="dxa"/>
              <w:right w:w="14" w:type="dxa"/>
            </w:tcMar>
            <w:hideMark/>
          </w:tcPr>
          <w:p w14:paraId="29C89792" w14:textId="6CDE0D8E" w:rsidR="00AE014A" w:rsidRPr="000973F2" w:rsidRDefault="00AE014A" w:rsidP="00F91B05">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18"/>
                <w:szCs w:val="18"/>
              </w:rPr>
            </w:pPr>
            <w:r w:rsidRPr="000973F2">
              <w:rPr>
                <w:rFonts w:ascii="Times New Roman" w:eastAsia="Times New Roman" w:hAnsi="Times New Roman" w:cs="Times New Roman"/>
                <w:b/>
                <w:bCs/>
                <w:sz w:val="18"/>
                <w:szCs w:val="18"/>
              </w:rPr>
              <w:t xml:space="preserve">Initial </w:t>
            </w:r>
            <w:r w:rsidR="00132320" w:rsidRPr="000973F2">
              <w:rPr>
                <w:rFonts w:ascii="Times New Roman" w:eastAsia="Times New Roman" w:hAnsi="Times New Roman" w:cs="Times New Roman"/>
                <w:b/>
                <w:bCs/>
                <w:sz w:val="18"/>
                <w:szCs w:val="18"/>
              </w:rPr>
              <w:t>Year Hours</w:t>
            </w:r>
          </w:p>
        </w:tc>
        <w:tc>
          <w:tcPr>
            <w:tcW w:w="799" w:type="dxa"/>
            <w:tcMar>
              <w:left w:w="14" w:type="dxa"/>
              <w:right w:w="14" w:type="dxa"/>
            </w:tcMar>
            <w:hideMark/>
          </w:tcPr>
          <w:p w14:paraId="28E3DE24" w14:textId="069EA9E5" w:rsidR="00AE014A" w:rsidRPr="000973F2" w:rsidRDefault="00AE014A" w:rsidP="00F91B05">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18"/>
                <w:szCs w:val="18"/>
              </w:rPr>
            </w:pPr>
            <w:r w:rsidRPr="000973F2">
              <w:rPr>
                <w:rFonts w:ascii="Times New Roman" w:eastAsia="Times New Roman" w:hAnsi="Times New Roman" w:cs="Times New Roman"/>
                <w:b/>
                <w:bCs/>
                <w:sz w:val="18"/>
                <w:szCs w:val="18"/>
              </w:rPr>
              <w:t>Subseq</w:t>
            </w:r>
            <w:r w:rsidR="00F91B05" w:rsidRPr="000973F2">
              <w:rPr>
                <w:rFonts w:ascii="Times New Roman" w:eastAsia="Times New Roman" w:hAnsi="Times New Roman" w:cs="Times New Roman"/>
                <w:b/>
                <w:bCs/>
                <w:sz w:val="18"/>
                <w:szCs w:val="18"/>
              </w:rPr>
              <w:t xml:space="preserve">. </w:t>
            </w:r>
            <w:r w:rsidR="00132320" w:rsidRPr="000973F2">
              <w:rPr>
                <w:rFonts w:ascii="Times New Roman" w:eastAsia="Times New Roman" w:hAnsi="Times New Roman" w:cs="Times New Roman"/>
                <w:b/>
                <w:bCs/>
                <w:sz w:val="18"/>
                <w:szCs w:val="18"/>
              </w:rPr>
              <w:t>Year Hours</w:t>
            </w:r>
          </w:p>
        </w:tc>
        <w:tc>
          <w:tcPr>
            <w:tcW w:w="749" w:type="dxa"/>
            <w:tcMar>
              <w:left w:w="14" w:type="dxa"/>
              <w:right w:w="14" w:type="dxa"/>
            </w:tcMar>
            <w:hideMark/>
          </w:tcPr>
          <w:p w14:paraId="48CDE345" w14:textId="77777777" w:rsidR="00AE014A" w:rsidRPr="000973F2" w:rsidRDefault="00AE014A" w:rsidP="00F91B05">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18"/>
                <w:szCs w:val="18"/>
              </w:rPr>
            </w:pPr>
            <w:r w:rsidRPr="000973F2">
              <w:rPr>
                <w:rFonts w:ascii="Times New Roman" w:eastAsia="Times New Roman" w:hAnsi="Times New Roman" w:cs="Times New Roman"/>
                <w:b/>
                <w:bCs/>
                <w:sz w:val="18"/>
                <w:szCs w:val="18"/>
              </w:rPr>
              <w:t>Initial Year</w:t>
            </w:r>
          </w:p>
        </w:tc>
        <w:tc>
          <w:tcPr>
            <w:tcW w:w="781" w:type="dxa"/>
            <w:tcMar>
              <w:left w:w="14" w:type="dxa"/>
              <w:right w:w="14" w:type="dxa"/>
            </w:tcMar>
            <w:hideMark/>
          </w:tcPr>
          <w:p w14:paraId="1D949FE4" w14:textId="77777777" w:rsidR="00AE014A" w:rsidRPr="000973F2" w:rsidRDefault="00AE014A" w:rsidP="00F91B05">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18"/>
                <w:szCs w:val="18"/>
              </w:rPr>
            </w:pPr>
            <w:r w:rsidRPr="000973F2">
              <w:rPr>
                <w:rFonts w:ascii="Times New Roman" w:eastAsia="Times New Roman" w:hAnsi="Times New Roman" w:cs="Times New Roman"/>
                <w:b/>
                <w:bCs/>
                <w:sz w:val="18"/>
                <w:szCs w:val="18"/>
              </w:rPr>
              <w:t>Subseq. Year</w:t>
            </w:r>
          </w:p>
        </w:tc>
      </w:tr>
      <w:tr w:rsidR="00F91B05" w:rsidRPr="000973F2" w14:paraId="66DBFF9C" w14:textId="77777777" w:rsidTr="005C66F4">
        <w:trPr>
          <w:cantSplit/>
        </w:trPr>
        <w:tc>
          <w:tcPr>
            <w:cnfStyle w:val="001000000000" w:firstRow="0" w:lastRow="0" w:firstColumn="1" w:lastColumn="0" w:oddVBand="0" w:evenVBand="0" w:oddHBand="0" w:evenHBand="0" w:firstRowFirstColumn="0" w:firstRowLastColumn="0" w:lastRowFirstColumn="0" w:lastRowLastColumn="0"/>
            <w:tcW w:w="1425" w:type="dxa"/>
            <w:hideMark/>
          </w:tcPr>
          <w:p w14:paraId="062C67BC" w14:textId="77777777" w:rsidR="00AE014A" w:rsidRPr="000973F2" w:rsidRDefault="00AE014A" w:rsidP="00F91B05">
            <w:pPr>
              <w:spacing w:before="40" w:after="4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Planning</w:t>
            </w:r>
          </w:p>
        </w:tc>
        <w:tc>
          <w:tcPr>
            <w:tcW w:w="798" w:type="dxa"/>
            <w:noWrap/>
            <w:hideMark/>
          </w:tcPr>
          <w:p w14:paraId="70943D6F" w14:textId="77777777" w:rsidR="00AE014A" w:rsidRPr="000973F2" w:rsidRDefault="00AE014A" w:rsidP="00F91B05">
            <w:pPr>
              <w:tabs>
                <w:tab w:val="decimal" w:pos="301"/>
              </w:tabs>
              <w:spacing w:before="40" w:after="4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1</w:t>
            </w:r>
          </w:p>
        </w:tc>
        <w:tc>
          <w:tcPr>
            <w:tcW w:w="799" w:type="dxa"/>
            <w:noWrap/>
            <w:hideMark/>
          </w:tcPr>
          <w:p w14:paraId="0205B6A0" w14:textId="77777777" w:rsidR="00AE014A" w:rsidRPr="000973F2" w:rsidRDefault="00AE014A" w:rsidP="00F91B05">
            <w:pPr>
              <w:tabs>
                <w:tab w:val="decimal" w:pos="301"/>
              </w:tabs>
              <w:spacing w:before="40" w:after="4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1</w:t>
            </w:r>
          </w:p>
        </w:tc>
        <w:tc>
          <w:tcPr>
            <w:tcW w:w="799" w:type="dxa"/>
            <w:noWrap/>
            <w:hideMark/>
          </w:tcPr>
          <w:p w14:paraId="303BCFCC" w14:textId="77777777" w:rsidR="00AE014A" w:rsidRPr="000973F2" w:rsidRDefault="00AE014A" w:rsidP="00F91B05">
            <w:pPr>
              <w:tabs>
                <w:tab w:val="decimal" w:pos="301"/>
              </w:tabs>
              <w:spacing w:before="40" w:after="4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0.6</w:t>
            </w:r>
          </w:p>
        </w:tc>
        <w:tc>
          <w:tcPr>
            <w:tcW w:w="799" w:type="dxa"/>
            <w:noWrap/>
            <w:hideMark/>
          </w:tcPr>
          <w:p w14:paraId="019F9D62" w14:textId="77777777" w:rsidR="00AE014A" w:rsidRPr="000973F2" w:rsidRDefault="00AE014A" w:rsidP="00F91B05">
            <w:pPr>
              <w:tabs>
                <w:tab w:val="decimal" w:pos="301"/>
              </w:tabs>
              <w:spacing w:before="40" w:after="4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0.1</w:t>
            </w:r>
          </w:p>
        </w:tc>
        <w:tc>
          <w:tcPr>
            <w:tcW w:w="798" w:type="dxa"/>
            <w:noWrap/>
            <w:hideMark/>
          </w:tcPr>
          <w:p w14:paraId="63655BAB" w14:textId="77777777" w:rsidR="00AE014A" w:rsidRPr="000973F2" w:rsidRDefault="00AE014A" w:rsidP="00F91B05">
            <w:pPr>
              <w:tabs>
                <w:tab w:val="decimal" w:pos="301"/>
              </w:tabs>
              <w:spacing w:before="40" w:after="4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6</w:t>
            </w:r>
          </w:p>
        </w:tc>
        <w:tc>
          <w:tcPr>
            <w:tcW w:w="799" w:type="dxa"/>
            <w:noWrap/>
            <w:hideMark/>
          </w:tcPr>
          <w:p w14:paraId="427A8943" w14:textId="77777777" w:rsidR="00AE014A" w:rsidRPr="000973F2" w:rsidRDefault="00AE014A" w:rsidP="00F91B05">
            <w:pPr>
              <w:tabs>
                <w:tab w:val="decimal" w:pos="301"/>
              </w:tabs>
              <w:spacing w:before="40" w:after="4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1</w:t>
            </w:r>
          </w:p>
        </w:tc>
        <w:tc>
          <w:tcPr>
            <w:tcW w:w="799" w:type="dxa"/>
            <w:noWrap/>
            <w:hideMark/>
          </w:tcPr>
          <w:p w14:paraId="71F0A1FC" w14:textId="77777777" w:rsidR="00AE014A" w:rsidRPr="000973F2" w:rsidRDefault="00AE014A" w:rsidP="00F91B05">
            <w:pPr>
              <w:tabs>
                <w:tab w:val="decimal" w:pos="301"/>
              </w:tabs>
              <w:spacing w:before="40" w:after="4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0.3</w:t>
            </w:r>
          </w:p>
        </w:tc>
        <w:tc>
          <w:tcPr>
            <w:tcW w:w="799" w:type="dxa"/>
            <w:noWrap/>
            <w:hideMark/>
          </w:tcPr>
          <w:p w14:paraId="378327CD" w14:textId="77777777" w:rsidR="00AE014A" w:rsidRPr="000973F2" w:rsidRDefault="00AE014A" w:rsidP="00F91B05">
            <w:pPr>
              <w:tabs>
                <w:tab w:val="decimal" w:pos="301"/>
              </w:tabs>
              <w:spacing w:before="40" w:after="4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0.1</w:t>
            </w:r>
          </w:p>
        </w:tc>
        <w:tc>
          <w:tcPr>
            <w:tcW w:w="749" w:type="dxa"/>
            <w:noWrap/>
            <w:hideMark/>
          </w:tcPr>
          <w:p w14:paraId="3D9AA2A3" w14:textId="0FE872D0" w:rsidR="00AE014A" w:rsidRPr="000973F2" w:rsidRDefault="00AE014A" w:rsidP="00F91B05">
            <w:pPr>
              <w:tabs>
                <w:tab w:val="decimal" w:pos="511"/>
              </w:tabs>
              <w:spacing w:before="40" w:after="4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$604</w:t>
            </w:r>
          </w:p>
        </w:tc>
        <w:tc>
          <w:tcPr>
            <w:tcW w:w="781" w:type="dxa"/>
            <w:noWrap/>
            <w:hideMark/>
          </w:tcPr>
          <w:p w14:paraId="705E25C6" w14:textId="03153EE7" w:rsidR="00AE014A" w:rsidRPr="000973F2" w:rsidRDefault="00AE014A" w:rsidP="00F91B05">
            <w:pPr>
              <w:tabs>
                <w:tab w:val="decimal" w:pos="511"/>
              </w:tabs>
              <w:spacing w:before="40" w:after="4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$194</w:t>
            </w:r>
          </w:p>
        </w:tc>
      </w:tr>
      <w:tr w:rsidR="00F91B05" w:rsidRPr="000973F2" w14:paraId="10A11675" w14:textId="77777777" w:rsidTr="005C66F4">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1425" w:type="dxa"/>
            <w:hideMark/>
          </w:tcPr>
          <w:p w14:paraId="20E9E60E" w14:textId="77777777" w:rsidR="00AE014A" w:rsidRPr="000973F2" w:rsidRDefault="00AE014A" w:rsidP="00F91B05">
            <w:pPr>
              <w:spacing w:before="40" w:after="4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QA/QC</w:t>
            </w:r>
          </w:p>
        </w:tc>
        <w:tc>
          <w:tcPr>
            <w:tcW w:w="798" w:type="dxa"/>
            <w:noWrap/>
            <w:hideMark/>
          </w:tcPr>
          <w:p w14:paraId="482B6D85" w14:textId="77777777" w:rsidR="00AE014A" w:rsidRPr="000973F2" w:rsidRDefault="00AE014A" w:rsidP="00F91B05">
            <w:pPr>
              <w:tabs>
                <w:tab w:val="decimal" w:pos="301"/>
              </w:tabs>
              <w:spacing w:before="40" w:after="4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0</w:t>
            </w:r>
          </w:p>
        </w:tc>
        <w:tc>
          <w:tcPr>
            <w:tcW w:w="799" w:type="dxa"/>
            <w:noWrap/>
            <w:hideMark/>
          </w:tcPr>
          <w:p w14:paraId="45155744" w14:textId="77777777" w:rsidR="00AE014A" w:rsidRPr="000973F2" w:rsidRDefault="00AE014A" w:rsidP="00F91B05">
            <w:pPr>
              <w:tabs>
                <w:tab w:val="decimal" w:pos="301"/>
              </w:tabs>
              <w:spacing w:before="40" w:after="4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0</w:t>
            </w:r>
          </w:p>
        </w:tc>
        <w:tc>
          <w:tcPr>
            <w:tcW w:w="799" w:type="dxa"/>
            <w:noWrap/>
            <w:hideMark/>
          </w:tcPr>
          <w:p w14:paraId="5EC19E46" w14:textId="77777777" w:rsidR="00AE014A" w:rsidRPr="000973F2" w:rsidRDefault="00AE014A" w:rsidP="00F91B05">
            <w:pPr>
              <w:tabs>
                <w:tab w:val="decimal" w:pos="301"/>
              </w:tabs>
              <w:spacing w:before="40" w:after="4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0.2</w:t>
            </w:r>
          </w:p>
        </w:tc>
        <w:tc>
          <w:tcPr>
            <w:tcW w:w="799" w:type="dxa"/>
            <w:noWrap/>
            <w:hideMark/>
          </w:tcPr>
          <w:p w14:paraId="44E1C3B6" w14:textId="77777777" w:rsidR="00AE014A" w:rsidRPr="000973F2" w:rsidRDefault="00AE014A" w:rsidP="00F91B05">
            <w:pPr>
              <w:tabs>
                <w:tab w:val="decimal" w:pos="301"/>
              </w:tabs>
              <w:spacing w:before="40" w:after="4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0.2</w:t>
            </w:r>
          </w:p>
        </w:tc>
        <w:tc>
          <w:tcPr>
            <w:tcW w:w="798" w:type="dxa"/>
            <w:noWrap/>
            <w:hideMark/>
          </w:tcPr>
          <w:p w14:paraId="241E069E" w14:textId="77777777" w:rsidR="00AE014A" w:rsidRPr="000973F2" w:rsidRDefault="00AE014A" w:rsidP="00F91B05">
            <w:pPr>
              <w:tabs>
                <w:tab w:val="decimal" w:pos="301"/>
              </w:tabs>
              <w:spacing w:before="40" w:after="4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2</w:t>
            </w:r>
          </w:p>
        </w:tc>
        <w:tc>
          <w:tcPr>
            <w:tcW w:w="799" w:type="dxa"/>
            <w:noWrap/>
            <w:hideMark/>
          </w:tcPr>
          <w:p w14:paraId="2EF0ABA6" w14:textId="77777777" w:rsidR="00AE014A" w:rsidRPr="000973F2" w:rsidRDefault="00AE014A" w:rsidP="00F91B05">
            <w:pPr>
              <w:tabs>
                <w:tab w:val="decimal" w:pos="301"/>
              </w:tabs>
              <w:spacing w:before="40" w:after="4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2</w:t>
            </w:r>
          </w:p>
        </w:tc>
        <w:tc>
          <w:tcPr>
            <w:tcW w:w="799" w:type="dxa"/>
            <w:noWrap/>
            <w:hideMark/>
          </w:tcPr>
          <w:p w14:paraId="61F5C762" w14:textId="77777777" w:rsidR="00AE014A" w:rsidRPr="000973F2" w:rsidRDefault="00AE014A" w:rsidP="00F91B05">
            <w:pPr>
              <w:tabs>
                <w:tab w:val="decimal" w:pos="301"/>
              </w:tabs>
              <w:spacing w:before="40" w:after="4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0.2</w:t>
            </w:r>
          </w:p>
        </w:tc>
        <w:tc>
          <w:tcPr>
            <w:tcW w:w="799" w:type="dxa"/>
            <w:noWrap/>
            <w:hideMark/>
          </w:tcPr>
          <w:p w14:paraId="2CEEF0C4" w14:textId="77777777" w:rsidR="00AE014A" w:rsidRPr="000973F2" w:rsidRDefault="00AE014A" w:rsidP="00F91B05">
            <w:pPr>
              <w:tabs>
                <w:tab w:val="decimal" w:pos="301"/>
              </w:tabs>
              <w:spacing w:before="40" w:after="4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0.2</w:t>
            </w:r>
          </w:p>
        </w:tc>
        <w:tc>
          <w:tcPr>
            <w:tcW w:w="749" w:type="dxa"/>
            <w:noWrap/>
            <w:hideMark/>
          </w:tcPr>
          <w:p w14:paraId="659753D6" w14:textId="63894703" w:rsidR="00AE014A" w:rsidRPr="000973F2" w:rsidRDefault="00AE014A" w:rsidP="00F91B05">
            <w:pPr>
              <w:tabs>
                <w:tab w:val="decimal" w:pos="511"/>
              </w:tabs>
              <w:spacing w:before="40" w:after="4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$168</w:t>
            </w:r>
          </w:p>
        </w:tc>
        <w:tc>
          <w:tcPr>
            <w:tcW w:w="781" w:type="dxa"/>
            <w:noWrap/>
            <w:hideMark/>
          </w:tcPr>
          <w:p w14:paraId="79782144" w14:textId="611ADCC9" w:rsidR="00AE014A" w:rsidRPr="000973F2" w:rsidRDefault="00AE014A" w:rsidP="00F91B05">
            <w:pPr>
              <w:tabs>
                <w:tab w:val="decimal" w:pos="511"/>
              </w:tabs>
              <w:spacing w:before="40" w:after="4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$168</w:t>
            </w:r>
          </w:p>
        </w:tc>
      </w:tr>
      <w:tr w:rsidR="00F91B05" w:rsidRPr="000973F2" w14:paraId="1367FB7A" w14:textId="77777777" w:rsidTr="005C66F4">
        <w:trPr>
          <w:cantSplit/>
        </w:trPr>
        <w:tc>
          <w:tcPr>
            <w:cnfStyle w:val="001000000000" w:firstRow="0" w:lastRow="0" w:firstColumn="1" w:lastColumn="0" w:oddVBand="0" w:evenVBand="0" w:oddHBand="0" w:evenHBand="0" w:firstRowFirstColumn="0" w:firstRowLastColumn="0" w:lastRowFirstColumn="0" w:lastRowLastColumn="0"/>
            <w:tcW w:w="1425" w:type="dxa"/>
            <w:hideMark/>
          </w:tcPr>
          <w:p w14:paraId="0EE73796" w14:textId="77777777" w:rsidR="00AE014A" w:rsidRPr="000973F2" w:rsidRDefault="00AE014A" w:rsidP="00F91B05">
            <w:pPr>
              <w:spacing w:before="40" w:after="4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Recordkeeping</w:t>
            </w:r>
          </w:p>
        </w:tc>
        <w:tc>
          <w:tcPr>
            <w:tcW w:w="798" w:type="dxa"/>
            <w:noWrap/>
            <w:hideMark/>
          </w:tcPr>
          <w:p w14:paraId="574C27FE" w14:textId="77777777" w:rsidR="00AE014A" w:rsidRPr="000973F2" w:rsidRDefault="00AE014A" w:rsidP="00F91B05">
            <w:pPr>
              <w:tabs>
                <w:tab w:val="decimal" w:pos="301"/>
              </w:tabs>
              <w:spacing w:before="40" w:after="4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0</w:t>
            </w:r>
          </w:p>
        </w:tc>
        <w:tc>
          <w:tcPr>
            <w:tcW w:w="799" w:type="dxa"/>
            <w:noWrap/>
            <w:hideMark/>
          </w:tcPr>
          <w:p w14:paraId="1FA72573" w14:textId="77777777" w:rsidR="00AE014A" w:rsidRPr="000973F2" w:rsidRDefault="00AE014A" w:rsidP="00F91B05">
            <w:pPr>
              <w:tabs>
                <w:tab w:val="decimal" w:pos="301"/>
              </w:tabs>
              <w:spacing w:before="40" w:after="4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0</w:t>
            </w:r>
          </w:p>
        </w:tc>
        <w:tc>
          <w:tcPr>
            <w:tcW w:w="799" w:type="dxa"/>
            <w:noWrap/>
            <w:hideMark/>
          </w:tcPr>
          <w:p w14:paraId="6A546F03" w14:textId="77777777" w:rsidR="00AE014A" w:rsidRPr="000973F2" w:rsidRDefault="00AE014A" w:rsidP="00F91B05">
            <w:pPr>
              <w:tabs>
                <w:tab w:val="decimal" w:pos="301"/>
              </w:tabs>
              <w:spacing w:before="40" w:after="4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0.5</w:t>
            </w:r>
          </w:p>
        </w:tc>
        <w:tc>
          <w:tcPr>
            <w:tcW w:w="799" w:type="dxa"/>
            <w:noWrap/>
            <w:hideMark/>
          </w:tcPr>
          <w:p w14:paraId="4433B5CF" w14:textId="77777777" w:rsidR="00AE014A" w:rsidRPr="000973F2" w:rsidRDefault="00AE014A" w:rsidP="00F91B05">
            <w:pPr>
              <w:tabs>
                <w:tab w:val="decimal" w:pos="301"/>
              </w:tabs>
              <w:spacing w:before="40" w:after="4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0.5</w:t>
            </w:r>
          </w:p>
        </w:tc>
        <w:tc>
          <w:tcPr>
            <w:tcW w:w="798" w:type="dxa"/>
            <w:noWrap/>
            <w:hideMark/>
          </w:tcPr>
          <w:p w14:paraId="0ED2995F" w14:textId="77777777" w:rsidR="00AE014A" w:rsidRPr="000973F2" w:rsidRDefault="00AE014A" w:rsidP="00F91B05">
            <w:pPr>
              <w:tabs>
                <w:tab w:val="decimal" w:pos="301"/>
              </w:tabs>
              <w:spacing w:before="40" w:after="4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2</w:t>
            </w:r>
          </w:p>
        </w:tc>
        <w:tc>
          <w:tcPr>
            <w:tcW w:w="799" w:type="dxa"/>
            <w:noWrap/>
            <w:hideMark/>
          </w:tcPr>
          <w:p w14:paraId="40529CD1" w14:textId="77777777" w:rsidR="00AE014A" w:rsidRPr="000973F2" w:rsidRDefault="00AE014A" w:rsidP="00F91B05">
            <w:pPr>
              <w:tabs>
                <w:tab w:val="decimal" w:pos="301"/>
              </w:tabs>
              <w:spacing w:before="40" w:after="4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2</w:t>
            </w:r>
          </w:p>
        </w:tc>
        <w:tc>
          <w:tcPr>
            <w:tcW w:w="799" w:type="dxa"/>
            <w:noWrap/>
            <w:hideMark/>
          </w:tcPr>
          <w:p w14:paraId="3C56C675" w14:textId="77777777" w:rsidR="00AE014A" w:rsidRPr="000973F2" w:rsidRDefault="00AE014A" w:rsidP="00F91B05">
            <w:pPr>
              <w:tabs>
                <w:tab w:val="decimal" w:pos="301"/>
              </w:tabs>
              <w:spacing w:before="40" w:after="4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0.5</w:t>
            </w:r>
          </w:p>
        </w:tc>
        <w:tc>
          <w:tcPr>
            <w:tcW w:w="799" w:type="dxa"/>
            <w:noWrap/>
            <w:hideMark/>
          </w:tcPr>
          <w:p w14:paraId="680849BF" w14:textId="77777777" w:rsidR="00AE014A" w:rsidRPr="000973F2" w:rsidRDefault="00AE014A" w:rsidP="00F91B05">
            <w:pPr>
              <w:tabs>
                <w:tab w:val="decimal" w:pos="301"/>
              </w:tabs>
              <w:spacing w:before="40" w:after="4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0.5</w:t>
            </w:r>
          </w:p>
        </w:tc>
        <w:tc>
          <w:tcPr>
            <w:tcW w:w="749" w:type="dxa"/>
            <w:noWrap/>
            <w:hideMark/>
          </w:tcPr>
          <w:p w14:paraId="21021D06" w14:textId="247639CC" w:rsidR="00AE014A" w:rsidRPr="000973F2" w:rsidRDefault="00AE014A" w:rsidP="00F91B05">
            <w:pPr>
              <w:tabs>
                <w:tab w:val="decimal" w:pos="511"/>
              </w:tabs>
              <w:spacing w:before="40" w:after="4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$205</w:t>
            </w:r>
          </w:p>
        </w:tc>
        <w:tc>
          <w:tcPr>
            <w:tcW w:w="781" w:type="dxa"/>
            <w:noWrap/>
            <w:hideMark/>
          </w:tcPr>
          <w:p w14:paraId="69203396" w14:textId="5E95060D" w:rsidR="00AE014A" w:rsidRPr="000973F2" w:rsidRDefault="00AE014A" w:rsidP="00F91B05">
            <w:pPr>
              <w:tabs>
                <w:tab w:val="decimal" w:pos="511"/>
              </w:tabs>
              <w:spacing w:before="40" w:after="4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$205</w:t>
            </w:r>
          </w:p>
        </w:tc>
      </w:tr>
      <w:tr w:rsidR="00F91B05" w:rsidRPr="000973F2" w14:paraId="62870652" w14:textId="77777777" w:rsidTr="005C66F4">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1425" w:type="dxa"/>
            <w:hideMark/>
          </w:tcPr>
          <w:p w14:paraId="17274613" w14:textId="5A4E5515" w:rsidR="00AE014A" w:rsidRPr="000973F2" w:rsidRDefault="00B25046" w:rsidP="00F91B05">
            <w:pPr>
              <w:spacing w:before="40" w:after="4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Sampling and Analysis (Calculations)</w:t>
            </w:r>
          </w:p>
        </w:tc>
        <w:tc>
          <w:tcPr>
            <w:tcW w:w="798" w:type="dxa"/>
            <w:noWrap/>
            <w:hideMark/>
          </w:tcPr>
          <w:p w14:paraId="58B7F6B5" w14:textId="77777777" w:rsidR="00AE014A" w:rsidRPr="000973F2" w:rsidRDefault="00AE014A" w:rsidP="00F91B05">
            <w:pPr>
              <w:tabs>
                <w:tab w:val="decimal" w:pos="301"/>
              </w:tabs>
              <w:spacing w:before="40" w:after="4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0</w:t>
            </w:r>
          </w:p>
        </w:tc>
        <w:tc>
          <w:tcPr>
            <w:tcW w:w="799" w:type="dxa"/>
            <w:noWrap/>
            <w:hideMark/>
          </w:tcPr>
          <w:p w14:paraId="24805340" w14:textId="77777777" w:rsidR="00AE014A" w:rsidRPr="000973F2" w:rsidRDefault="00AE014A" w:rsidP="00F91B05">
            <w:pPr>
              <w:tabs>
                <w:tab w:val="decimal" w:pos="301"/>
              </w:tabs>
              <w:spacing w:before="40" w:after="4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0</w:t>
            </w:r>
          </w:p>
        </w:tc>
        <w:tc>
          <w:tcPr>
            <w:tcW w:w="799" w:type="dxa"/>
            <w:noWrap/>
            <w:hideMark/>
          </w:tcPr>
          <w:p w14:paraId="6A067B64" w14:textId="77777777" w:rsidR="00AE014A" w:rsidRPr="000973F2" w:rsidRDefault="00AE014A" w:rsidP="00F91B05">
            <w:pPr>
              <w:tabs>
                <w:tab w:val="decimal" w:pos="301"/>
              </w:tabs>
              <w:spacing w:before="40" w:after="4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1</w:t>
            </w:r>
          </w:p>
        </w:tc>
        <w:tc>
          <w:tcPr>
            <w:tcW w:w="799" w:type="dxa"/>
            <w:noWrap/>
            <w:hideMark/>
          </w:tcPr>
          <w:p w14:paraId="15B88D90" w14:textId="77777777" w:rsidR="00AE014A" w:rsidRPr="000973F2" w:rsidRDefault="00AE014A" w:rsidP="00F91B05">
            <w:pPr>
              <w:tabs>
                <w:tab w:val="decimal" w:pos="301"/>
              </w:tabs>
              <w:spacing w:before="40" w:after="4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1</w:t>
            </w:r>
          </w:p>
        </w:tc>
        <w:tc>
          <w:tcPr>
            <w:tcW w:w="798" w:type="dxa"/>
            <w:noWrap/>
            <w:hideMark/>
          </w:tcPr>
          <w:p w14:paraId="641B85CE" w14:textId="77777777" w:rsidR="00AE014A" w:rsidRPr="000973F2" w:rsidRDefault="00AE014A" w:rsidP="00F91B05">
            <w:pPr>
              <w:tabs>
                <w:tab w:val="decimal" w:pos="301"/>
              </w:tabs>
              <w:spacing w:before="40" w:after="4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2.7</w:t>
            </w:r>
          </w:p>
        </w:tc>
        <w:tc>
          <w:tcPr>
            <w:tcW w:w="799" w:type="dxa"/>
            <w:noWrap/>
            <w:hideMark/>
          </w:tcPr>
          <w:p w14:paraId="0EE92E65" w14:textId="77777777" w:rsidR="00AE014A" w:rsidRPr="000973F2" w:rsidRDefault="00AE014A" w:rsidP="00F91B05">
            <w:pPr>
              <w:tabs>
                <w:tab w:val="decimal" w:pos="301"/>
              </w:tabs>
              <w:spacing w:before="40" w:after="4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2.7</w:t>
            </w:r>
          </w:p>
        </w:tc>
        <w:tc>
          <w:tcPr>
            <w:tcW w:w="799" w:type="dxa"/>
            <w:noWrap/>
            <w:hideMark/>
          </w:tcPr>
          <w:p w14:paraId="22A58427" w14:textId="77777777" w:rsidR="00AE014A" w:rsidRPr="000973F2" w:rsidRDefault="00AE014A" w:rsidP="00F91B05">
            <w:pPr>
              <w:tabs>
                <w:tab w:val="decimal" w:pos="301"/>
              </w:tabs>
              <w:spacing w:before="40" w:after="4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0.1</w:t>
            </w:r>
          </w:p>
        </w:tc>
        <w:tc>
          <w:tcPr>
            <w:tcW w:w="799" w:type="dxa"/>
            <w:noWrap/>
            <w:hideMark/>
          </w:tcPr>
          <w:p w14:paraId="42CB8D22" w14:textId="77777777" w:rsidR="00AE014A" w:rsidRPr="000973F2" w:rsidRDefault="00AE014A" w:rsidP="00F91B05">
            <w:pPr>
              <w:tabs>
                <w:tab w:val="decimal" w:pos="301"/>
              </w:tabs>
              <w:spacing w:before="40" w:after="4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0.1</w:t>
            </w:r>
          </w:p>
        </w:tc>
        <w:tc>
          <w:tcPr>
            <w:tcW w:w="749" w:type="dxa"/>
            <w:noWrap/>
            <w:hideMark/>
          </w:tcPr>
          <w:p w14:paraId="15F21756" w14:textId="66941CAD" w:rsidR="00AE014A" w:rsidRPr="000973F2" w:rsidRDefault="00AE014A" w:rsidP="00F91B05">
            <w:pPr>
              <w:tabs>
                <w:tab w:val="decimal" w:pos="511"/>
              </w:tabs>
              <w:spacing w:before="40" w:after="4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$285</w:t>
            </w:r>
          </w:p>
        </w:tc>
        <w:tc>
          <w:tcPr>
            <w:tcW w:w="781" w:type="dxa"/>
            <w:noWrap/>
            <w:hideMark/>
          </w:tcPr>
          <w:p w14:paraId="03760ABF" w14:textId="16161B4F" w:rsidR="00AE014A" w:rsidRPr="000973F2" w:rsidRDefault="00AE014A" w:rsidP="00F91B05">
            <w:pPr>
              <w:tabs>
                <w:tab w:val="decimal" w:pos="511"/>
              </w:tabs>
              <w:spacing w:before="40" w:after="4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$285</w:t>
            </w:r>
          </w:p>
        </w:tc>
      </w:tr>
      <w:tr w:rsidR="00F91B05" w:rsidRPr="000973F2" w14:paraId="750EE556" w14:textId="77777777" w:rsidTr="005C66F4">
        <w:trPr>
          <w:cantSplit/>
        </w:trPr>
        <w:tc>
          <w:tcPr>
            <w:cnfStyle w:val="001000000000" w:firstRow="0" w:lastRow="0" w:firstColumn="1" w:lastColumn="0" w:oddVBand="0" w:evenVBand="0" w:oddHBand="0" w:evenHBand="0" w:firstRowFirstColumn="0" w:firstRowLastColumn="0" w:lastRowFirstColumn="0" w:lastRowLastColumn="0"/>
            <w:tcW w:w="1425" w:type="dxa"/>
            <w:hideMark/>
          </w:tcPr>
          <w:p w14:paraId="710A55D2" w14:textId="77777777" w:rsidR="00AE014A" w:rsidRPr="000973F2" w:rsidRDefault="00AE014A" w:rsidP="00F91B05">
            <w:pPr>
              <w:spacing w:before="40" w:after="4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Reporting</w:t>
            </w:r>
          </w:p>
        </w:tc>
        <w:tc>
          <w:tcPr>
            <w:tcW w:w="798" w:type="dxa"/>
            <w:noWrap/>
            <w:hideMark/>
          </w:tcPr>
          <w:p w14:paraId="348B57EB" w14:textId="77777777" w:rsidR="00AE014A" w:rsidRPr="000973F2" w:rsidRDefault="00AE014A" w:rsidP="00F91B05">
            <w:pPr>
              <w:tabs>
                <w:tab w:val="decimal" w:pos="301"/>
              </w:tabs>
              <w:spacing w:before="40" w:after="4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0</w:t>
            </w:r>
          </w:p>
        </w:tc>
        <w:tc>
          <w:tcPr>
            <w:tcW w:w="799" w:type="dxa"/>
            <w:noWrap/>
            <w:hideMark/>
          </w:tcPr>
          <w:p w14:paraId="60B8AB4F" w14:textId="77777777" w:rsidR="00AE014A" w:rsidRPr="000973F2" w:rsidRDefault="00AE014A" w:rsidP="00F91B05">
            <w:pPr>
              <w:tabs>
                <w:tab w:val="decimal" w:pos="301"/>
              </w:tabs>
              <w:spacing w:before="40" w:after="4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0</w:t>
            </w:r>
          </w:p>
        </w:tc>
        <w:tc>
          <w:tcPr>
            <w:tcW w:w="799" w:type="dxa"/>
            <w:noWrap/>
            <w:hideMark/>
          </w:tcPr>
          <w:p w14:paraId="2790E6D8" w14:textId="77777777" w:rsidR="00AE014A" w:rsidRPr="000973F2" w:rsidRDefault="00AE014A" w:rsidP="00F91B05">
            <w:pPr>
              <w:tabs>
                <w:tab w:val="decimal" w:pos="301"/>
              </w:tabs>
              <w:spacing w:before="40" w:after="4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1</w:t>
            </w:r>
          </w:p>
        </w:tc>
        <w:tc>
          <w:tcPr>
            <w:tcW w:w="799" w:type="dxa"/>
            <w:noWrap/>
            <w:hideMark/>
          </w:tcPr>
          <w:p w14:paraId="7CF4AA95" w14:textId="77777777" w:rsidR="00AE014A" w:rsidRPr="000973F2" w:rsidRDefault="00AE014A" w:rsidP="00F91B05">
            <w:pPr>
              <w:tabs>
                <w:tab w:val="decimal" w:pos="301"/>
              </w:tabs>
              <w:spacing w:before="40" w:after="4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1</w:t>
            </w:r>
          </w:p>
        </w:tc>
        <w:tc>
          <w:tcPr>
            <w:tcW w:w="798" w:type="dxa"/>
            <w:noWrap/>
            <w:hideMark/>
          </w:tcPr>
          <w:p w14:paraId="51410639" w14:textId="77777777" w:rsidR="00AE014A" w:rsidRPr="000973F2" w:rsidRDefault="00AE014A" w:rsidP="00F91B05">
            <w:pPr>
              <w:tabs>
                <w:tab w:val="decimal" w:pos="301"/>
              </w:tabs>
              <w:spacing w:before="40" w:after="4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4</w:t>
            </w:r>
          </w:p>
        </w:tc>
        <w:tc>
          <w:tcPr>
            <w:tcW w:w="799" w:type="dxa"/>
            <w:noWrap/>
            <w:hideMark/>
          </w:tcPr>
          <w:p w14:paraId="4698885B" w14:textId="77777777" w:rsidR="00AE014A" w:rsidRPr="000973F2" w:rsidRDefault="00AE014A" w:rsidP="00F91B05">
            <w:pPr>
              <w:tabs>
                <w:tab w:val="decimal" w:pos="301"/>
              </w:tabs>
              <w:spacing w:before="40" w:after="4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4</w:t>
            </w:r>
          </w:p>
        </w:tc>
        <w:tc>
          <w:tcPr>
            <w:tcW w:w="799" w:type="dxa"/>
            <w:noWrap/>
            <w:hideMark/>
          </w:tcPr>
          <w:p w14:paraId="64B3E81E" w14:textId="77777777" w:rsidR="00AE014A" w:rsidRPr="000973F2" w:rsidRDefault="00AE014A" w:rsidP="00F91B05">
            <w:pPr>
              <w:tabs>
                <w:tab w:val="decimal" w:pos="301"/>
              </w:tabs>
              <w:spacing w:before="40" w:after="4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1</w:t>
            </w:r>
          </w:p>
        </w:tc>
        <w:tc>
          <w:tcPr>
            <w:tcW w:w="799" w:type="dxa"/>
            <w:noWrap/>
            <w:hideMark/>
          </w:tcPr>
          <w:p w14:paraId="64DCB7AA" w14:textId="77777777" w:rsidR="00AE014A" w:rsidRPr="000973F2" w:rsidRDefault="00AE014A" w:rsidP="00F91B05">
            <w:pPr>
              <w:tabs>
                <w:tab w:val="decimal" w:pos="301"/>
              </w:tabs>
              <w:spacing w:before="40" w:after="4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1</w:t>
            </w:r>
          </w:p>
        </w:tc>
        <w:tc>
          <w:tcPr>
            <w:tcW w:w="749" w:type="dxa"/>
            <w:noWrap/>
            <w:hideMark/>
          </w:tcPr>
          <w:p w14:paraId="027EDCC3" w14:textId="5B1D0352" w:rsidR="00AE014A" w:rsidRPr="000973F2" w:rsidRDefault="00AE014A" w:rsidP="00F91B05">
            <w:pPr>
              <w:tabs>
                <w:tab w:val="decimal" w:pos="511"/>
              </w:tabs>
              <w:spacing w:before="40" w:after="4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$410</w:t>
            </w:r>
          </w:p>
        </w:tc>
        <w:tc>
          <w:tcPr>
            <w:tcW w:w="781" w:type="dxa"/>
            <w:noWrap/>
            <w:hideMark/>
          </w:tcPr>
          <w:p w14:paraId="57E7DCCF" w14:textId="69225F77" w:rsidR="00AE014A" w:rsidRPr="000973F2" w:rsidRDefault="00AE014A" w:rsidP="00F91B05">
            <w:pPr>
              <w:tabs>
                <w:tab w:val="decimal" w:pos="511"/>
              </w:tabs>
              <w:spacing w:before="40" w:after="4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$410</w:t>
            </w:r>
          </w:p>
        </w:tc>
      </w:tr>
      <w:tr w:rsidR="00F91B05" w:rsidRPr="000973F2" w14:paraId="46D28DFD" w14:textId="77777777" w:rsidTr="005C66F4">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1425" w:type="dxa"/>
            <w:noWrap/>
            <w:hideMark/>
          </w:tcPr>
          <w:p w14:paraId="578119EA" w14:textId="77777777" w:rsidR="00AE014A" w:rsidRPr="000973F2" w:rsidRDefault="00AE014A" w:rsidP="00F91B05">
            <w:pPr>
              <w:spacing w:before="40" w:after="40"/>
              <w:rPr>
                <w:rFonts w:ascii="Times New Roman" w:eastAsia="Times New Roman" w:hAnsi="Times New Roman" w:cs="Times New Roman"/>
                <w:b/>
                <w:bCs w:val="0"/>
                <w:sz w:val="18"/>
                <w:szCs w:val="18"/>
              </w:rPr>
            </w:pPr>
            <w:r w:rsidRPr="000973F2">
              <w:rPr>
                <w:rFonts w:ascii="Times New Roman" w:eastAsia="Times New Roman" w:hAnsi="Times New Roman" w:cs="Times New Roman"/>
                <w:b/>
                <w:sz w:val="18"/>
                <w:szCs w:val="18"/>
              </w:rPr>
              <w:t>Total</w:t>
            </w:r>
          </w:p>
        </w:tc>
        <w:tc>
          <w:tcPr>
            <w:tcW w:w="798" w:type="dxa"/>
            <w:noWrap/>
            <w:hideMark/>
          </w:tcPr>
          <w:p w14:paraId="0ECC01A6" w14:textId="77777777" w:rsidR="00AE014A" w:rsidRPr="000973F2" w:rsidRDefault="00AE014A" w:rsidP="00F91B05">
            <w:pPr>
              <w:tabs>
                <w:tab w:val="decimal" w:pos="301"/>
              </w:tabs>
              <w:spacing w:before="40" w:after="4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18"/>
                <w:szCs w:val="18"/>
              </w:rPr>
            </w:pPr>
            <w:r w:rsidRPr="000973F2">
              <w:rPr>
                <w:rFonts w:ascii="Times New Roman" w:eastAsia="Times New Roman" w:hAnsi="Times New Roman" w:cs="Times New Roman"/>
                <w:b/>
                <w:bCs/>
                <w:sz w:val="18"/>
                <w:szCs w:val="18"/>
              </w:rPr>
              <w:t>1</w:t>
            </w:r>
          </w:p>
        </w:tc>
        <w:tc>
          <w:tcPr>
            <w:tcW w:w="799" w:type="dxa"/>
            <w:noWrap/>
            <w:hideMark/>
          </w:tcPr>
          <w:p w14:paraId="4367F666" w14:textId="77777777" w:rsidR="00AE014A" w:rsidRPr="000973F2" w:rsidRDefault="00AE014A" w:rsidP="00F91B05">
            <w:pPr>
              <w:tabs>
                <w:tab w:val="decimal" w:pos="301"/>
              </w:tabs>
              <w:spacing w:before="40" w:after="4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18"/>
                <w:szCs w:val="18"/>
              </w:rPr>
            </w:pPr>
            <w:r w:rsidRPr="000973F2">
              <w:rPr>
                <w:rFonts w:ascii="Times New Roman" w:eastAsia="Times New Roman" w:hAnsi="Times New Roman" w:cs="Times New Roman"/>
                <w:b/>
                <w:bCs/>
                <w:sz w:val="18"/>
                <w:szCs w:val="18"/>
              </w:rPr>
              <w:t>1</w:t>
            </w:r>
          </w:p>
        </w:tc>
        <w:tc>
          <w:tcPr>
            <w:tcW w:w="799" w:type="dxa"/>
            <w:noWrap/>
            <w:hideMark/>
          </w:tcPr>
          <w:p w14:paraId="066490A2" w14:textId="77777777" w:rsidR="00AE014A" w:rsidRPr="000973F2" w:rsidRDefault="00AE014A" w:rsidP="00F91B05">
            <w:pPr>
              <w:tabs>
                <w:tab w:val="decimal" w:pos="301"/>
              </w:tabs>
              <w:spacing w:before="40" w:after="4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18"/>
                <w:szCs w:val="18"/>
              </w:rPr>
            </w:pPr>
            <w:r w:rsidRPr="000973F2">
              <w:rPr>
                <w:rFonts w:ascii="Times New Roman" w:eastAsia="Times New Roman" w:hAnsi="Times New Roman" w:cs="Times New Roman"/>
                <w:b/>
                <w:bCs/>
                <w:sz w:val="18"/>
                <w:szCs w:val="18"/>
              </w:rPr>
              <w:t>3.3</w:t>
            </w:r>
          </w:p>
        </w:tc>
        <w:tc>
          <w:tcPr>
            <w:tcW w:w="799" w:type="dxa"/>
            <w:noWrap/>
            <w:hideMark/>
          </w:tcPr>
          <w:p w14:paraId="5B0D47B4" w14:textId="77777777" w:rsidR="00AE014A" w:rsidRPr="000973F2" w:rsidRDefault="00AE014A" w:rsidP="00F91B05">
            <w:pPr>
              <w:tabs>
                <w:tab w:val="decimal" w:pos="301"/>
              </w:tabs>
              <w:spacing w:before="40" w:after="4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18"/>
                <w:szCs w:val="18"/>
              </w:rPr>
            </w:pPr>
            <w:r w:rsidRPr="000973F2">
              <w:rPr>
                <w:rFonts w:ascii="Times New Roman" w:eastAsia="Times New Roman" w:hAnsi="Times New Roman" w:cs="Times New Roman"/>
                <w:b/>
                <w:bCs/>
                <w:sz w:val="18"/>
                <w:szCs w:val="18"/>
              </w:rPr>
              <w:t>2.8</w:t>
            </w:r>
          </w:p>
        </w:tc>
        <w:tc>
          <w:tcPr>
            <w:tcW w:w="798" w:type="dxa"/>
            <w:noWrap/>
            <w:hideMark/>
          </w:tcPr>
          <w:p w14:paraId="2784AEB7" w14:textId="77777777" w:rsidR="00AE014A" w:rsidRPr="000973F2" w:rsidRDefault="00AE014A" w:rsidP="00F91B05">
            <w:pPr>
              <w:tabs>
                <w:tab w:val="decimal" w:pos="301"/>
              </w:tabs>
              <w:spacing w:before="40" w:after="4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18"/>
                <w:szCs w:val="18"/>
              </w:rPr>
            </w:pPr>
            <w:r w:rsidRPr="000973F2">
              <w:rPr>
                <w:rFonts w:ascii="Times New Roman" w:eastAsia="Times New Roman" w:hAnsi="Times New Roman" w:cs="Times New Roman"/>
                <w:b/>
                <w:bCs/>
                <w:sz w:val="18"/>
                <w:szCs w:val="18"/>
              </w:rPr>
              <w:t>16.7</w:t>
            </w:r>
          </w:p>
        </w:tc>
        <w:tc>
          <w:tcPr>
            <w:tcW w:w="799" w:type="dxa"/>
            <w:noWrap/>
            <w:hideMark/>
          </w:tcPr>
          <w:p w14:paraId="282F72A8" w14:textId="77777777" w:rsidR="00AE014A" w:rsidRPr="000973F2" w:rsidRDefault="00AE014A" w:rsidP="00F91B05">
            <w:pPr>
              <w:tabs>
                <w:tab w:val="decimal" w:pos="301"/>
              </w:tabs>
              <w:spacing w:before="40" w:after="4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18"/>
                <w:szCs w:val="18"/>
              </w:rPr>
            </w:pPr>
            <w:r w:rsidRPr="000973F2">
              <w:rPr>
                <w:rFonts w:ascii="Times New Roman" w:eastAsia="Times New Roman" w:hAnsi="Times New Roman" w:cs="Times New Roman"/>
                <w:b/>
                <w:bCs/>
                <w:sz w:val="18"/>
                <w:szCs w:val="18"/>
              </w:rPr>
              <w:t>11.7</w:t>
            </w:r>
          </w:p>
        </w:tc>
        <w:tc>
          <w:tcPr>
            <w:tcW w:w="799" w:type="dxa"/>
            <w:noWrap/>
            <w:hideMark/>
          </w:tcPr>
          <w:p w14:paraId="3F4E5825" w14:textId="77777777" w:rsidR="00AE014A" w:rsidRPr="000973F2" w:rsidRDefault="00AE014A" w:rsidP="00F91B05">
            <w:pPr>
              <w:tabs>
                <w:tab w:val="decimal" w:pos="301"/>
              </w:tabs>
              <w:spacing w:before="40" w:after="4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18"/>
                <w:szCs w:val="18"/>
              </w:rPr>
            </w:pPr>
            <w:r w:rsidRPr="000973F2">
              <w:rPr>
                <w:rFonts w:ascii="Times New Roman" w:eastAsia="Times New Roman" w:hAnsi="Times New Roman" w:cs="Times New Roman"/>
                <w:b/>
                <w:bCs/>
                <w:sz w:val="18"/>
                <w:szCs w:val="18"/>
              </w:rPr>
              <w:t>2.1</w:t>
            </w:r>
          </w:p>
        </w:tc>
        <w:tc>
          <w:tcPr>
            <w:tcW w:w="799" w:type="dxa"/>
            <w:noWrap/>
            <w:hideMark/>
          </w:tcPr>
          <w:p w14:paraId="3B98575D" w14:textId="77777777" w:rsidR="00AE014A" w:rsidRPr="000973F2" w:rsidRDefault="00AE014A" w:rsidP="00F91B05">
            <w:pPr>
              <w:tabs>
                <w:tab w:val="decimal" w:pos="301"/>
              </w:tabs>
              <w:spacing w:before="40" w:after="4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18"/>
                <w:szCs w:val="18"/>
              </w:rPr>
            </w:pPr>
            <w:r w:rsidRPr="000973F2">
              <w:rPr>
                <w:rFonts w:ascii="Times New Roman" w:eastAsia="Times New Roman" w:hAnsi="Times New Roman" w:cs="Times New Roman"/>
                <w:b/>
                <w:bCs/>
                <w:sz w:val="18"/>
                <w:szCs w:val="18"/>
              </w:rPr>
              <w:t>1.9</w:t>
            </w:r>
          </w:p>
        </w:tc>
        <w:tc>
          <w:tcPr>
            <w:tcW w:w="749" w:type="dxa"/>
            <w:noWrap/>
            <w:hideMark/>
          </w:tcPr>
          <w:p w14:paraId="5E5C4F0B" w14:textId="77777777" w:rsidR="00AE014A" w:rsidRPr="000973F2" w:rsidRDefault="00AE014A" w:rsidP="00F91B05">
            <w:pPr>
              <w:tabs>
                <w:tab w:val="decimal" w:pos="511"/>
              </w:tabs>
              <w:spacing w:before="40" w:after="4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18"/>
                <w:szCs w:val="18"/>
              </w:rPr>
            </w:pPr>
            <w:r w:rsidRPr="000973F2">
              <w:rPr>
                <w:rFonts w:ascii="Times New Roman" w:eastAsia="Times New Roman" w:hAnsi="Times New Roman" w:cs="Times New Roman"/>
                <w:b/>
                <w:bCs/>
                <w:sz w:val="18"/>
                <w:szCs w:val="18"/>
              </w:rPr>
              <w:t>$1,671</w:t>
            </w:r>
          </w:p>
        </w:tc>
        <w:tc>
          <w:tcPr>
            <w:tcW w:w="781" w:type="dxa"/>
            <w:noWrap/>
            <w:hideMark/>
          </w:tcPr>
          <w:p w14:paraId="1651450C" w14:textId="77777777" w:rsidR="00AE014A" w:rsidRPr="000973F2" w:rsidRDefault="00AE014A" w:rsidP="00F91B05">
            <w:pPr>
              <w:tabs>
                <w:tab w:val="decimal" w:pos="511"/>
              </w:tabs>
              <w:spacing w:before="40" w:after="4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18"/>
                <w:szCs w:val="18"/>
              </w:rPr>
            </w:pPr>
            <w:r w:rsidRPr="000973F2">
              <w:rPr>
                <w:rFonts w:ascii="Times New Roman" w:eastAsia="Times New Roman" w:hAnsi="Times New Roman" w:cs="Times New Roman"/>
                <w:b/>
                <w:bCs/>
                <w:sz w:val="18"/>
                <w:szCs w:val="18"/>
              </w:rPr>
              <w:t>$1,261</w:t>
            </w:r>
          </w:p>
        </w:tc>
      </w:tr>
    </w:tbl>
    <w:p w14:paraId="169DF855" w14:textId="77777777" w:rsidR="00AE014A" w:rsidRPr="000973F2" w:rsidRDefault="00AE014A" w:rsidP="00F91B05">
      <w:pPr>
        <w:pStyle w:val="AfterTable"/>
      </w:pPr>
    </w:p>
    <w:p w14:paraId="454C8B0D" w14:textId="77777777" w:rsidR="00AE014A" w:rsidRPr="000973F2" w:rsidRDefault="00AE014A" w:rsidP="00F91B05">
      <w:pPr>
        <w:pStyle w:val="Heading2"/>
      </w:pPr>
      <w:r w:rsidRPr="000973F2">
        <w:t>Capital and O&amp;M Costs for Subpart NN</w:t>
      </w:r>
    </w:p>
    <w:p w14:paraId="247F5814" w14:textId="6AA57282" w:rsidR="00AE014A" w:rsidRPr="000973F2" w:rsidRDefault="00AE014A" w:rsidP="00F91B05">
      <w:pPr>
        <w:pStyle w:val="BodyText"/>
      </w:pPr>
      <w:r w:rsidRPr="000973F2">
        <w:t xml:space="preserve">Table </w:t>
      </w:r>
      <w:r w:rsidR="00F91B05" w:rsidRPr="000973F2">
        <w:t>NN-</w:t>
      </w:r>
      <w:r w:rsidRPr="000973F2">
        <w:t xml:space="preserve">2 shows the capital and O&amp;M costs for each Subpart NN facility. The only O&amp;M costs facilities are expected to incur are those associated with recordkeeping, as discussed in the Cost Appendix introduction. </w:t>
      </w:r>
    </w:p>
    <w:p w14:paraId="4462AF63" w14:textId="52873387" w:rsidR="00AE014A" w:rsidRPr="000973F2" w:rsidRDefault="00AE014A" w:rsidP="00F91B05">
      <w:pPr>
        <w:pStyle w:val="BodyText"/>
      </w:pPr>
      <w:r w:rsidRPr="000973F2">
        <w:t>No additional capital costs are attributed to the GHGRP because no new monitoring equipment is required for LDCs and NGL fractionators to comply. Facilities use their existing meters to complete the reporting requirements. LDCs routinely measure and record the volumes of gas received, stored, removed from storage and delivered to customers and third parties. The data are essential for LDC operation and for billing purposes. LDCs that own storage facilities monitor natural gas entering and leaving their storage facility to ensure enough natural gas is available during peaks in demand and disruptions in gas received from inter- and intra</w:t>
      </w:r>
      <w:r w:rsidR="00051F9B">
        <w:t>state</w:t>
      </w:r>
      <w:r w:rsidRPr="000973F2">
        <w:t xml:space="preserve"> transmission pipelines or local production plants. LDCs also compile and report much of the data reported under Subpart NN to the Department of Energy's Energy Information Administration (EIA) and state and local governments. The data LDCs collect by reading meters on a set schedule for different areas of the system is compiled for the calendar year and used to reconcile transmission pipeline receipts with customer sales and deliveries. Hence, for reporting under Subpart NN, LDCs use the records they already collect from existing meters to compile the data necessary for Subpart NN reporting. If the LDC does not have meters located at the city gate, then they may use invoices provided by the companies that supply natural gas to the LDC. </w:t>
      </w:r>
    </w:p>
    <w:p w14:paraId="18EF44AE" w14:textId="77777777" w:rsidR="00AE014A" w:rsidRPr="000973F2" w:rsidRDefault="00AE014A" w:rsidP="00F91B05">
      <w:pPr>
        <w:pStyle w:val="BodyText"/>
      </w:pPr>
      <w:r w:rsidRPr="000973F2">
        <w:t xml:space="preserve">Similarly, NGL fractionators routinely measure and record the volumes of natural gas and NGL (bulk and fractionated) received, volumes of NGL products supplied, volume of bulk NGL delivered downstream and the volume of odorized propane supplied. This information is essential for supplier and customer billing purposes. NGL fractionators compile this information for reporting to EIA and some state governments. For example, fractionators are required to submit EIA form 816 with information on production and shipment of products and receipts of natural gas and other products used to produce NGLs. NGL fractionators in some states (e.g., Texas) are also required to submit detailed reports to their state government. Under Subpart NN, NGL fractionators are required to measure NGL and natural gas volumes using "methods in common use in the industry for billing purposes as audited under existing Sarbanes Oxley regulation" (see §98.404(a)). Hence, NGL fractionators use data collected from existing meters for internal purposes (plant operation and customer/supplier billing) and for reporting to EIA and state governments to compile the data reported under Subpart NN. </w:t>
      </w:r>
    </w:p>
    <w:p w14:paraId="2E2A8747" w14:textId="5731CB49" w:rsidR="00AE014A" w:rsidRPr="000973F2" w:rsidRDefault="00AE014A" w:rsidP="00F91B05">
      <w:pPr>
        <w:pStyle w:val="BodyText"/>
      </w:pPr>
      <w:r w:rsidRPr="000973F2">
        <w:t>There are also no additional costs for testing, sampling or calibration included in the cost estimate because there are no mandatory requirements for these activities in Subpart NN. Although LDCs and fractionators may use their own HHV and CO</w:t>
      </w:r>
      <w:r w:rsidRPr="000973F2">
        <w:rPr>
          <w:vertAlign w:val="subscript"/>
        </w:rPr>
        <w:t>2</w:t>
      </w:r>
      <w:r w:rsidRPr="000973F2">
        <w:t xml:space="preserve"> emission factors to calculate CO</w:t>
      </w:r>
      <w:r w:rsidRPr="000973F2">
        <w:rPr>
          <w:vertAlign w:val="subscript"/>
        </w:rPr>
        <w:t>2</w:t>
      </w:r>
      <w:r w:rsidRPr="000973F2">
        <w:t xml:space="preserve"> for the products they supply, they are </w:t>
      </w:r>
      <w:r w:rsidR="00BB183C" w:rsidRPr="000973F2">
        <w:t>only</w:t>
      </w:r>
      <w:r w:rsidRPr="000973F2">
        <w:t xml:space="preserve"> required to do so</w:t>
      </w:r>
      <w:r w:rsidR="00BB183C" w:rsidRPr="000973F2">
        <w:t xml:space="preserve"> if they</w:t>
      </w:r>
      <w:r w:rsidRPr="000973F2">
        <w:t xml:space="preserve"> already routinely collect </w:t>
      </w:r>
      <w:r w:rsidR="00BB183C" w:rsidRPr="000973F2">
        <w:t>that</w:t>
      </w:r>
      <w:r w:rsidRPr="000973F2">
        <w:t xml:space="preserve"> data . LDCs may use data provided by the company that supplies natural gas to their LDC. The rule does not require that any specific methods be used to measure HHV or carbon composition. For HHV values, the only requirement is that measurements be made in accordance with established business practices (see §98.404(b)). For the CO</w:t>
      </w:r>
      <w:r w:rsidRPr="000973F2">
        <w:rPr>
          <w:vertAlign w:val="subscript"/>
        </w:rPr>
        <w:t>2</w:t>
      </w:r>
      <w:r w:rsidRPr="000973F2">
        <w:t xml:space="preserve"> emission factors, carbon composition must be determined using an appropriate standard method published by a consensus-based standards organization. If the methods used to measure HHV or gas composition do not meet these requirements, then facilities use the default values provided in the rule. </w:t>
      </w:r>
    </w:p>
    <w:p w14:paraId="30946DE2" w14:textId="6BD25A9D" w:rsidR="00AE014A" w:rsidRPr="000973F2" w:rsidRDefault="001C2ADD" w:rsidP="00F91B05">
      <w:pPr>
        <w:pStyle w:val="Tabletitle"/>
        <w:rPr>
          <w:sz w:val="32"/>
        </w:rPr>
      </w:pPr>
      <w:r w:rsidRPr="000973F2">
        <w:t xml:space="preserve">Table </w:t>
      </w:r>
      <w:r w:rsidR="00F91B05" w:rsidRPr="000973F2">
        <w:t>NN-</w:t>
      </w:r>
      <w:r w:rsidRPr="000973F2">
        <w:t xml:space="preserve">2. Capital and O&amp;M Costs </w:t>
      </w:r>
      <w:r w:rsidR="00B960CC" w:rsidRPr="000973F2">
        <w:t>–</w:t>
      </w:r>
      <w:r w:rsidRPr="000973F2">
        <w:t xml:space="preserve"> Subpart NN - Local Distribution Companies (LDCs) and NGL Fractionators</w:t>
      </w:r>
    </w:p>
    <w:tbl>
      <w:tblPr>
        <w:tblStyle w:val="PlainTable1"/>
        <w:tblW w:w="5000" w:type="pct"/>
        <w:jc w:val="left"/>
        <w:tblLayout w:type="fixed"/>
        <w:tblCellMar>
          <w:left w:w="115" w:type="dxa"/>
          <w:right w:w="115" w:type="dxa"/>
        </w:tblCellMar>
        <w:tblLook w:val="04A0" w:firstRow="1" w:lastRow="0" w:firstColumn="1" w:lastColumn="0" w:noHBand="0" w:noVBand="1"/>
      </w:tblPr>
      <w:tblGrid>
        <w:gridCol w:w="1650"/>
        <w:gridCol w:w="1323"/>
        <w:gridCol w:w="1324"/>
        <w:gridCol w:w="1323"/>
        <w:gridCol w:w="1303"/>
        <w:gridCol w:w="1343"/>
        <w:gridCol w:w="1324"/>
      </w:tblGrid>
      <w:tr w:rsidR="00D17312" w:rsidRPr="000973F2" w14:paraId="77DB52AF" w14:textId="77777777" w:rsidTr="00B926DD">
        <w:trPr>
          <w:cnfStyle w:val="100000000000" w:firstRow="1" w:lastRow="0" w:firstColumn="0" w:lastColumn="0" w:oddVBand="0" w:evenVBand="0" w:oddHBand="0" w:evenHBand="0" w:firstRowFirstColumn="0" w:firstRowLastColumn="0" w:lastRowFirstColumn="0" w:lastRowLastColumn="0"/>
          <w:cantSplit/>
          <w:jc w:val="left"/>
        </w:trPr>
        <w:tc>
          <w:tcPr>
            <w:cnfStyle w:val="001000000000" w:firstRow="0" w:lastRow="0" w:firstColumn="1" w:lastColumn="0" w:oddVBand="0" w:evenVBand="0" w:oddHBand="0" w:evenHBand="0" w:firstRowFirstColumn="0" w:firstRowLastColumn="0" w:lastRowFirstColumn="0" w:lastRowLastColumn="0"/>
            <w:tcW w:w="1605" w:type="dxa"/>
            <w:vMerge w:val="restart"/>
            <w:noWrap/>
            <w:vAlign w:val="top"/>
            <w:hideMark/>
          </w:tcPr>
          <w:p w14:paraId="6FEC9E60" w14:textId="4228D4A8" w:rsidR="00D17312" w:rsidRPr="000973F2" w:rsidRDefault="00D17312" w:rsidP="00F91B05">
            <w:pPr>
              <w:spacing w:before="40" w:after="40"/>
              <w:rPr>
                <w:rFonts w:ascii="Times New Roman" w:eastAsia="Times New Roman" w:hAnsi="Times New Roman" w:cs="Times New Roman"/>
                <w:bCs w:val="0"/>
                <w:sz w:val="18"/>
                <w:szCs w:val="18"/>
              </w:rPr>
            </w:pPr>
            <w:r w:rsidRPr="000973F2">
              <w:rPr>
                <w:rFonts w:ascii="Times New Roman" w:eastAsia="Times New Roman" w:hAnsi="Times New Roman" w:cs="Times New Roman"/>
                <w:bCs w:val="0"/>
                <w:sz w:val="18"/>
                <w:szCs w:val="18"/>
              </w:rPr>
              <w:t>Activity</w:t>
            </w:r>
          </w:p>
        </w:tc>
        <w:tc>
          <w:tcPr>
            <w:tcW w:w="5130" w:type="dxa"/>
            <w:gridSpan w:val="4"/>
            <w:noWrap/>
            <w:vAlign w:val="top"/>
            <w:hideMark/>
          </w:tcPr>
          <w:p w14:paraId="6384B24C" w14:textId="77777777" w:rsidR="00D17312" w:rsidRPr="000973F2" w:rsidRDefault="00D17312" w:rsidP="00F91B05">
            <w:pPr>
              <w:spacing w:before="40" w:after="40"/>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Cs w:val="0"/>
                <w:sz w:val="18"/>
                <w:szCs w:val="18"/>
              </w:rPr>
            </w:pPr>
            <w:r w:rsidRPr="000973F2">
              <w:rPr>
                <w:rFonts w:ascii="Times New Roman" w:eastAsia="Times New Roman" w:hAnsi="Times New Roman" w:cs="Times New Roman"/>
                <w:bCs w:val="0"/>
                <w:sz w:val="18"/>
                <w:szCs w:val="18"/>
              </w:rPr>
              <w:t>Cost Categories</w:t>
            </w:r>
          </w:p>
        </w:tc>
        <w:tc>
          <w:tcPr>
            <w:tcW w:w="2595" w:type="dxa"/>
            <w:gridSpan w:val="2"/>
            <w:vAlign w:val="top"/>
            <w:hideMark/>
          </w:tcPr>
          <w:p w14:paraId="74B8FD53" w14:textId="77777777" w:rsidR="00D17312" w:rsidRPr="000973F2" w:rsidRDefault="00D17312" w:rsidP="00F91B05">
            <w:pPr>
              <w:spacing w:before="40" w:after="40"/>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Cs w:val="0"/>
                <w:sz w:val="18"/>
                <w:szCs w:val="18"/>
              </w:rPr>
            </w:pPr>
            <w:r w:rsidRPr="000973F2">
              <w:rPr>
                <w:rFonts w:ascii="Times New Roman" w:eastAsia="Times New Roman" w:hAnsi="Times New Roman" w:cs="Times New Roman"/>
                <w:bCs w:val="0"/>
                <w:sz w:val="18"/>
                <w:szCs w:val="18"/>
              </w:rPr>
              <w:t>Total Capital and O&amp;M Cost per Year per Facility (2017$)</w:t>
            </w:r>
          </w:p>
        </w:tc>
      </w:tr>
      <w:tr w:rsidR="003768E3" w:rsidRPr="000973F2" w14:paraId="1E2FA364" w14:textId="77777777" w:rsidTr="00B926DD">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1605" w:type="dxa"/>
            <w:vMerge/>
            <w:noWrap/>
            <w:hideMark/>
          </w:tcPr>
          <w:p w14:paraId="33FFF564" w14:textId="43C8CE76" w:rsidR="00D17312" w:rsidRPr="000973F2" w:rsidRDefault="00D17312" w:rsidP="00F91B05">
            <w:pPr>
              <w:spacing w:before="40" w:after="40"/>
              <w:jc w:val="center"/>
              <w:rPr>
                <w:rFonts w:ascii="Times New Roman" w:eastAsia="Times New Roman" w:hAnsi="Times New Roman" w:cs="Times New Roman"/>
                <w:b/>
                <w:bCs w:val="0"/>
                <w:sz w:val="18"/>
                <w:szCs w:val="18"/>
              </w:rPr>
            </w:pPr>
          </w:p>
        </w:tc>
        <w:tc>
          <w:tcPr>
            <w:tcW w:w="1287" w:type="dxa"/>
            <w:hideMark/>
          </w:tcPr>
          <w:p w14:paraId="7D75D3DE" w14:textId="77777777" w:rsidR="00D17312" w:rsidRPr="000973F2" w:rsidRDefault="00D17312" w:rsidP="00F91B05">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18"/>
                <w:szCs w:val="18"/>
              </w:rPr>
            </w:pPr>
            <w:r w:rsidRPr="000973F2">
              <w:rPr>
                <w:rFonts w:ascii="Times New Roman" w:eastAsia="Times New Roman" w:hAnsi="Times New Roman" w:cs="Times New Roman"/>
                <w:b/>
                <w:bCs/>
                <w:sz w:val="18"/>
                <w:szCs w:val="18"/>
              </w:rPr>
              <w:t>Capital Cost (2017$)</w:t>
            </w:r>
          </w:p>
        </w:tc>
        <w:tc>
          <w:tcPr>
            <w:tcW w:w="1288" w:type="dxa"/>
            <w:hideMark/>
          </w:tcPr>
          <w:p w14:paraId="2C4DE3FC" w14:textId="77777777" w:rsidR="00D17312" w:rsidRPr="000973F2" w:rsidRDefault="00D17312" w:rsidP="00F91B05">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18"/>
                <w:szCs w:val="18"/>
              </w:rPr>
            </w:pPr>
            <w:r w:rsidRPr="000973F2">
              <w:rPr>
                <w:rFonts w:ascii="Times New Roman" w:eastAsia="Times New Roman" w:hAnsi="Times New Roman" w:cs="Times New Roman"/>
                <w:b/>
                <w:bCs/>
                <w:sz w:val="18"/>
                <w:szCs w:val="18"/>
              </w:rPr>
              <w:t>Equipment Lifetime</w:t>
            </w:r>
          </w:p>
        </w:tc>
        <w:tc>
          <w:tcPr>
            <w:tcW w:w="1287" w:type="dxa"/>
            <w:hideMark/>
          </w:tcPr>
          <w:p w14:paraId="43300999" w14:textId="77777777" w:rsidR="00D17312" w:rsidRPr="000973F2" w:rsidRDefault="00D17312" w:rsidP="00F91B05">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18"/>
                <w:szCs w:val="18"/>
              </w:rPr>
            </w:pPr>
            <w:r w:rsidRPr="000973F2">
              <w:rPr>
                <w:rFonts w:ascii="Times New Roman" w:eastAsia="Times New Roman" w:hAnsi="Times New Roman" w:cs="Times New Roman"/>
                <w:b/>
                <w:bCs/>
                <w:sz w:val="18"/>
                <w:szCs w:val="18"/>
              </w:rPr>
              <w:t>Annualized Capital Cost (2017$/year)</w:t>
            </w:r>
          </w:p>
        </w:tc>
        <w:tc>
          <w:tcPr>
            <w:tcW w:w="1268" w:type="dxa"/>
            <w:hideMark/>
          </w:tcPr>
          <w:p w14:paraId="24ECFE43" w14:textId="77777777" w:rsidR="00D17312" w:rsidRPr="000973F2" w:rsidRDefault="00D17312" w:rsidP="00F91B05">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18"/>
                <w:szCs w:val="18"/>
              </w:rPr>
            </w:pPr>
            <w:r w:rsidRPr="000973F2">
              <w:rPr>
                <w:rFonts w:ascii="Times New Roman" w:eastAsia="Times New Roman" w:hAnsi="Times New Roman" w:cs="Times New Roman"/>
                <w:b/>
                <w:bCs/>
                <w:sz w:val="18"/>
                <w:szCs w:val="18"/>
              </w:rPr>
              <w:t>O&amp;M Costs (2017$/year)</w:t>
            </w:r>
          </w:p>
        </w:tc>
        <w:tc>
          <w:tcPr>
            <w:tcW w:w="1307" w:type="dxa"/>
            <w:hideMark/>
          </w:tcPr>
          <w:p w14:paraId="32E3155A" w14:textId="77777777" w:rsidR="00D17312" w:rsidRPr="000973F2" w:rsidRDefault="00D17312" w:rsidP="00F91B05">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18"/>
                <w:szCs w:val="18"/>
              </w:rPr>
            </w:pPr>
            <w:r w:rsidRPr="000973F2">
              <w:rPr>
                <w:rFonts w:ascii="Times New Roman" w:eastAsia="Times New Roman" w:hAnsi="Times New Roman" w:cs="Times New Roman"/>
                <w:b/>
                <w:bCs/>
                <w:sz w:val="18"/>
                <w:szCs w:val="18"/>
              </w:rPr>
              <w:t>Initial Year</w:t>
            </w:r>
          </w:p>
        </w:tc>
        <w:tc>
          <w:tcPr>
            <w:tcW w:w="1288" w:type="dxa"/>
            <w:hideMark/>
          </w:tcPr>
          <w:p w14:paraId="4CB6DC56" w14:textId="77777777" w:rsidR="00D17312" w:rsidRPr="000973F2" w:rsidRDefault="00D17312" w:rsidP="00F91B05">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18"/>
                <w:szCs w:val="18"/>
              </w:rPr>
            </w:pPr>
            <w:r w:rsidRPr="000973F2">
              <w:rPr>
                <w:rFonts w:ascii="Times New Roman" w:eastAsia="Times New Roman" w:hAnsi="Times New Roman" w:cs="Times New Roman"/>
                <w:b/>
                <w:bCs/>
                <w:sz w:val="18"/>
                <w:szCs w:val="18"/>
              </w:rPr>
              <w:t>Subseq. Years</w:t>
            </w:r>
          </w:p>
        </w:tc>
      </w:tr>
      <w:tr w:rsidR="00F91B05" w:rsidRPr="000973F2" w14:paraId="386699FF" w14:textId="77777777" w:rsidTr="00B926DD">
        <w:trPr>
          <w:cantSplit/>
        </w:trPr>
        <w:tc>
          <w:tcPr>
            <w:cnfStyle w:val="001000000000" w:firstRow="0" w:lastRow="0" w:firstColumn="1" w:lastColumn="0" w:oddVBand="0" w:evenVBand="0" w:oddHBand="0" w:evenHBand="0" w:firstRowFirstColumn="0" w:firstRowLastColumn="0" w:lastRowFirstColumn="0" w:lastRowLastColumn="0"/>
            <w:tcW w:w="1605" w:type="dxa"/>
            <w:hideMark/>
          </w:tcPr>
          <w:p w14:paraId="249BE622" w14:textId="77777777" w:rsidR="00F91B05" w:rsidRPr="000973F2" w:rsidRDefault="00F91B05" w:rsidP="00F91B05">
            <w:pPr>
              <w:spacing w:before="40" w:after="4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Equipment (selection, purchase, installation)</w:t>
            </w:r>
          </w:p>
        </w:tc>
        <w:tc>
          <w:tcPr>
            <w:tcW w:w="1287" w:type="dxa"/>
            <w:noWrap/>
            <w:hideMark/>
          </w:tcPr>
          <w:p w14:paraId="0BD85FAD" w14:textId="082681E2" w:rsidR="00F91B05" w:rsidRPr="000973F2" w:rsidRDefault="00F91B05" w:rsidP="00F91B05">
            <w:pPr>
              <w:spacing w:before="40" w:after="4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w:t>
            </w:r>
          </w:p>
        </w:tc>
        <w:tc>
          <w:tcPr>
            <w:tcW w:w="1288" w:type="dxa"/>
            <w:noWrap/>
          </w:tcPr>
          <w:p w14:paraId="06DB219B" w14:textId="328104D5" w:rsidR="00F91B05" w:rsidRPr="000973F2" w:rsidRDefault="00F91B05" w:rsidP="00F91B05">
            <w:pPr>
              <w:spacing w:before="40" w:after="4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p>
        </w:tc>
        <w:tc>
          <w:tcPr>
            <w:tcW w:w="1287" w:type="dxa"/>
            <w:noWrap/>
            <w:hideMark/>
          </w:tcPr>
          <w:p w14:paraId="1FA4DBCD" w14:textId="32A08EBC" w:rsidR="00F91B05" w:rsidRPr="000973F2" w:rsidRDefault="00F91B05" w:rsidP="00F91B05">
            <w:pPr>
              <w:spacing w:before="40" w:after="4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w:t>
            </w:r>
          </w:p>
        </w:tc>
        <w:tc>
          <w:tcPr>
            <w:tcW w:w="1268" w:type="dxa"/>
            <w:noWrap/>
            <w:hideMark/>
          </w:tcPr>
          <w:p w14:paraId="12910C8F" w14:textId="02D0BC95" w:rsidR="00F91B05" w:rsidRPr="000973F2" w:rsidRDefault="00F91B05" w:rsidP="00F91B05">
            <w:pPr>
              <w:spacing w:before="40" w:after="4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w:t>
            </w:r>
          </w:p>
        </w:tc>
        <w:tc>
          <w:tcPr>
            <w:tcW w:w="1307" w:type="dxa"/>
            <w:noWrap/>
            <w:hideMark/>
          </w:tcPr>
          <w:p w14:paraId="619B8F8E" w14:textId="5551022E" w:rsidR="00F91B05" w:rsidRPr="000973F2" w:rsidRDefault="00F91B05" w:rsidP="00F91B05">
            <w:pPr>
              <w:spacing w:before="40" w:after="4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w:t>
            </w:r>
          </w:p>
        </w:tc>
        <w:tc>
          <w:tcPr>
            <w:tcW w:w="1288" w:type="dxa"/>
            <w:noWrap/>
            <w:hideMark/>
          </w:tcPr>
          <w:p w14:paraId="27DF30F9" w14:textId="3E7A49C9" w:rsidR="00F91B05" w:rsidRPr="000973F2" w:rsidRDefault="00F91B05" w:rsidP="00F91B05">
            <w:pPr>
              <w:spacing w:before="40" w:after="4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w:t>
            </w:r>
          </w:p>
        </w:tc>
      </w:tr>
      <w:tr w:rsidR="00F91B05" w:rsidRPr="000973F2" w14:paraId="6FBD36E6" w14:textId="77777777" w:rsidTr="00B926DD">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1605" w:type="dxa"/>
            <w:hideMark/>
          </w:tcPr>
          <w:p w14:paraId="532EA7CC" w14:textId="77777777" w:rsidR="00F91B05" w:rsidRPr="000973F2" w:rsidRDefault="00F91B05" w:rsidP="00F91B05">
            <w:pPr>
              <w:spacing w:before="40" w:after="4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Performance testing</w:t>
            </w:r>
          </w:p>
        </w:tc>
        <w:tc>
          <w:tcPr>
            <w:tcW w:w="1287" w:type="dxa"/>
            <w:noWrap/>
            <w:hideMark/>
          </w:tcPr>
          <w:p w14:paraId="3FE826FC" w14:textId="787EC4C0" w:rsidR="00F91B05" w:rsidRPr="000973F2" w:rsidRDefault="00F91B05" w:rsidP="00F91B05">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w:t>
            </w:r>
          </w:p>
        </w:tc>
        <w:tc>
          <w:tcPr>
            <w:tcW w:w="1288" w:type="dxa"/>
            <w:noWrap/>
          </w:tcPr>
          <w:p w14:paraId="482C5E46" w14:textId="1AA340DD" w:rsidR="00F91B05" w:rsidRPr="000973F2" w:rsidRDefault="00F91B05" w:rsidP="00F91B05">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p>
        </w:tc>
        <w:tc>
          <w:tcPr>
            <w:tcW w:w="1287" w:type="dxa"/>
            <w:noWrap/>
            <w:hideMark/>
          </w:tcPr>
          <w:p w14:paraId="69297D44" w14:textId="47E5BD5D" w:rsidR="00F91B05" w:rsidRPr="000973F2" w:rsidRDefault="00F91B05" w:rsidP="00F91B05">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w:t>
            </w:r>
          </w:p>
        </w:tc>
        <w:tc>
          <w:tcPr>
            <w:tcW w:w="1268" w:type="dxa"/>
            <w:noWrap/>
            <w:hideMark/>
          </w:tcPr>
          <w:p w14:paraId="77B791BC" w14:textId="3ED39044" w:rsidR="00F91B05" w:rsidRPr="000973F2" w:rsidRDefault="00F91B05" w:rsidP="00F91B05">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w:t>
            </w:r>
          </w:p>
        </w:tc>
        <w:tc>
          <w:tcPr>
            <w:tcW w:w="1307" w:type="dxa"/>
            <w:noWrap/>
            <w:hideMark/>
          </w:tcPr>
          <w:p w14:paraId="585ED90C" w14:textId="2CC3DAC9" w:rsidR="00F91B05" w:rsidRPr="000973F2" w:rsidRDefault="00F91B05" w:rsidP="00F91B05">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w:t>
            </w:r>
          </w:p>
        </w:tc>
        <w:tc>
          <w:tcPr>
            <w:tcW w:w="1288" w:type="dxa"/>
            <w:noWrap/>
            <w:hideMark/>
          </w:tcPr>
          <w:p w14:paraId="49B99606" w14:textId="248B54BD" w:rsidR="00F91B05" w:rsidRPr="000973F2" w:rsidRDefault="00F91B05" w:rsidP="00F91B05">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w:t>
            </w:r>
          </w:p>
        </w:tc>
      </w:tr>
      <w:tr w:rsidR="003768E3" w:rsidRPr="000973F2" w14:paraId="7F07C721" w14:textId="77777777" w:rsidTr="00B926DD">
        <w:trPr>
          <w:cantSplit/>
        </w:trPr>
        <w:tc>
          <w:tcPr>
            <w:cnfStyle w:val="001000000000" w:firstRow="0" w:lastRow="0" w:firstColumn="1" w:lastColumn="0" w:oddVBand="0" w:evenVBand="0" w:oddHBand="0" w:evenHBand="0" w:firstRowFirstColumn="0" w:firstRowLastColumn="0" w:lastRowFirstColumn="0" w:lastRowLastColumn="0"/>
            <w:tcW w:w="1605" w:type="dxa"/>
            <w:hideMark/>
          </w:tcPr>
          <w:p w14:paraId="48F003C6" w14:textId="77777777" w:rsidR="00AE014A" w:rsidRPr="000973F2" w:rsidRDefault="00AE014A" w:rsidP="00F91B05">
            <w:pPr>
              <w:spacing w:before="40" w:after="4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Recordkeeping</w:t>
            </w:r>
          </w:p>
        </w:tc>
        <w:tc>
          <w:tcPr>
            <w:tcW w:w="1287" w:type="dxa"/>
            <w:noWrap/>
            <w:hideMark/>
          </w:tcPr>
          <w:p w14:paraId="3ACDA443" w14:textId="77777777" w:rsidR="00AE014A" w:rsidRPr="000973F2" w:rsidRDefault="00AE014A" w:rsidP="00F91B05">
            <w:pPr>
              <w:spacing w:before="40" w:after="4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$0</w:t>
            </w:r>
          </w:p>
        </w:tc>
        <w:tc>
          <w:tcPr>
            <w:tcW w:w="1288" w:type="dxa"/>
            <w:noWrap/>
          </w:tcPr>
          <w:p w14:paraId="7E23764D" w14:textId="77777777" w:rsidR="00AE014A" w:rsidRPr="000973F2" w:rsidRDefault="00AE014A" w:rsidP="00F91B05">
            <w:pPr>
              <w:spacing w:before="40" w:after="4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p>
        </w:tc>
        <w:tc>
          <w:tcPr>
            <w:tcW w:w="1287" w:type="dxa"/>
            <w:noWrap/>
            <w:hideMark/>
          </w:tcPr>
          <w:p w14:paraId="317E719E" w14:textId="77777777" w:rsidR="00AE014A" w:rsidRPr="000973F2" w:rsidRDefault="00AE014A" w:rsidP="00F91B05">
            <w:pPr>
              <w:spacing w:before="40" w:after="4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$0</w:t>
            </w:r>
          </w:p>
        </w:tc>
        <w:tc>
          <w:tcPr>
            <w:tcW w:w="1268" w:type="dxa"/>
            <w:noWrap/>
            <w:hideMark/>
          </w:tcPr>
          <w:p w14:paraId="5AD987CC" w14:textId="77777777" w:rsidR="00AE014A" w:rsidRPr="000973F2" w:rsidRDefault="00AE014A" w:rsidP="00F91B05">
            <w:pPr>
              <w:spacing w:before="40" w:after="4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$50</w:t>
            </w:r>
          </w:p>
        </w:tc>
        <w:tc>
          <w:tcPr>
            <w:tcW w:w="1307" w:type="dxa"/>
            <w:noWrap/>
            <w:hideMark/>
          </w:tcPr>
          <w:p w14:paraId="663B8F4C" w14:textId="77777777" w:rsidR="00AE014A" w:rsidRPr="000973F2" w:rsidRDefault="00AE014A" w:rsidP="00F91B05">
            <w:pPr>
              <w:spacing w:before="40" w:after="4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$50</w:t>
            </w:r>
          </w:p>
        </w:tc>
        <w:tc>
          <w:tcPr>
            <w:tcW w:w="1288" w:type="dxa"/>
            <w:noWrap/>
            <w:hideMark/>
          </w:tcPr>
          <w:p w14:paraId="15F54FEC" w14:textId="77777777" w:rsidR="00AE014A" w:rsidRPr="000973F2" w:rsidRDefault="00AE014A" w:rsidP="00F91B05">
            <w:pPr>
              <w:spacing w:before="40" w:after="4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$50</w:t>
            </w:r>
          </w:p>
        </w:tc>
      </w:tr>
      <w:tr w:rsidR="00F91B05" w:rsidRPr="000973F2" w14:paraId="517C7CA7" w14:textId="77777777" w:rsidTr="00B926DD">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1605" w:type="dxa"/>
            <w:hideMark/>
          </w:tcPr>
          <w:p w14:paraId="686F383E" w14:textId="77777777" w:rsidR="00F91B05" w:rsidRPr="000973F2" w:rsidRDefault="00F91B05" w:rsidP="00F91B05">
            <w:pPr>
              <w:spacing w:before="40" w:after="4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Travel</w:t>
            </w:r>
          </w:p>
        </w:tc>
        <w:tc>
          <w:tcPr>
            <w:tcW w:w="1287" w:type="dxa"/>
            <w:noWrap/>
            <w:hideMark/>
          </w:tcPr>
          <w:p w14:paraId="0DCD9B16" w14:textId="44218614" w:rsidR="00F91B05" w:rsidRPr="000973F2" w:rsidRDefault="00F91B05" w:rsidP="00F91B05">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w:t>
            </w:r>
          </w:p>
        </w:tc>
        <w:tc>
          <w:tcPr>
            <w:tcW w:w="1288" w:type="dxa"/>
            <w:noWrap/>
          </w:tcPr>
          <w:p w14:paraId="23C3586F" w14:textId="03FC1DD4" w:rsidR="00F91B05" w:rsidRPr="000973F2" w:rsidRDefault="00F91B05" w:rsidP="00F91B05">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p>
        </w:tc>
        <w:tc>
          <w:tcPr>
            <w:tcW w:w="1287" w:type="dxa"/>
            <w:noWrap/>
            <w:hideMark/>
          </w:tcPr>
          <w:p w14:paraId="18247211" w14:textId="1F5F3DD1" w:rsidR="00F91B05" w:rsidRPr="000973F2" w:rsidRDefault="00F91B05" w:rsidP="00F91B05">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w:t>
            </w:r>
          </w:p>
        </w:tc>
        <w:tc>
          <w:tcPr>
            <w:tcW w:w="1268" w:type="dxa"/>
            <w:noWrap/>
            <w:hideMark/>
          </w:tcPr>
          <w:p w14:paraId="4938C48D" w14:textId="54707752" w:rsidR="00F91B05" w:rsidRPr="000973F2" w:rsidRDefault="00F91B05" w:rsidP="00F91B05">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w:t>
            </w:r>
          </w:p>
        </w:tc>
        <w:tc>
          <w:tcPr>
            <w:tcW w:w="1307" w:type="dxa"/>
            <w:noWrap/>
            <w:hideMark/>
          </w:tcPr>
          <w:p w14:paraId="21D92EEA" w14:textId="6BD6D414" w:rsidR="00F91B05" w:rsidRPr="000973F2" w:rsidRDefault="00F91B05" w:rsidP="00F91B05">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w:t>
            </w:r>
          </w:p>
        </w:tc>
        <w:tc>
          <w:tcPr>
            <w:tcW w:w="1288" w:type="dxa"/>
            <w:noWrap/>
            <w:hideMark/>
          </w:tcPr>
          <w:p w14:paraId="23E98ABF" w14:textId="08E590B8" w:rsidR="00F91B05" w:rsidRPr="000973F2" w:rsidRDefault="00F91B05" w:rsidP="00F91B05">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w:t>
            </w:r>
          </w:p>
        </w:tc>
      </w:tr>
      <w:tr w:rsidR="00F91B05" w:rsidRPr="000973F2" w14:paraId="33BF2D83" w14:textId="77777777" w:rsidTr="00B926DD">
        <w:trPr>
          <w:cantSplit/>
        </w:trPr>
        <w:tc>
          <w:tcPr>
            <w:cnfStyle w:val="001000000000" w:firstRow="0" w:lastRow="0" w:firstColumn="1" w:lastColumn="0" w:oddVBand="0" w:evenVBand="0" w:oddHBand="0" w:evenHBand="0" w:firstRowFirstColumn="0" w:firstRowLastColumn="0" w:lastRowFirstColumn="0" w:lastRowLastColumn="0"/>
            <w:tcW w:w="1605" w:type="dxa"/>
            <w:hideMark/>
          </w:tcPr>
          <w:p w14:paraId="2FC70682" w14:textId="2D6A6F0B" w:rsidR="00F91B05" w:rsidRPr="000973F2" w:rsidRDefault="00F91B05" w:rsidP="00F91B05">
            <w:pPr>
              <w:spacing w:before="40" w:after="4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Sampling and Analysis Costs</w:t>
            </w:r>
          </w:p>
        </w:tc>
        <w:tc>
          <w:tcPr>
            <w:tcW w:w="1287" w:type="dxa"/>
            <w:noWrap/>
            <w:hideMark/>
          </w:tcPr>
          <w:p w14:paraId="01517C07" w14:textId="032EDE23" w:rsidR="00F91B05" w:rsidRPr="000973F2" w:rsidRDefault="00F91B05" w:rsidP="00F91B05">
            <w:pPr>
              <w:spacing w:before="40" w:after="4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w:t>
            </w:r>
          </w:p>
        </w:tc>
        <w:tc>
          <w:tcPr>
            <w:tcW w:w="1288" w:type="dxa"/>
            <w:noWrap/>
          </w:tcPr>
          <w:p w14:paraId="2E0FC101" w14:textId="7A1102B0" w:rsidR="00F91B05" w:rsidRPr="000973F2" w:rsidRDefault="00F91B05" w:rsidP="00F91B05">
            <w:pPr>
              <w:spacing w:before="40" w:after="4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p>
        </w:tc>
        <w:tc>
          <w:tcPr>
            <w:tcW w:w="1287" w:type="dxa"/>
            <w:noWrap/>
            <w:hideMark/>
          </w:tcPr>
          <w:p w14:paraId="2D6C2080" w14:textId="784BCFB7" w:rsidR="00F91B05" w:rsidRPr="000973F2" w:rsidRDefault="00F91B05" w:rsidP="00F91B05">
            <w:pPr>
              <w:spacing w:before="40" w:after="4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w:t>
            </w:r>
          </w:p>
        </w:tc>
        <w:tc>
          <w:tcPr>
            <w:tcW w:w="1268" w:type="dxa"/>
            <w:noWrap/>
            <w:hideMark/>
          </w:tcPr>
          <w:p w14:paraId="2827AB60" w14:textId="4A4547CF" w:rsidR="00F91B05" w:rsidRPr="000973F2" w:rsidRDefault="00F91B05" w:rsidP="00F91B05">
            <w:pPr>
              <w:spacing w:before="40" w:after="4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w:t>
            </w:r>
          </w:p>
        </w:tc>
        <w:tc>
          <w:tcPr>
            <w:tcW w:w="1307" w:type="dxa"/>
            <w:noWrap/>
            <w:hideMark/>
          </w:tcPr>
          <w:p w14:paraId="14E64E0B" w14:textId="3FDC7CA7" w:rsidR="00F91B05" w:rsidRPr="000973F2" w:rsidRDefault="00F91B05" w:rsidP="00F91B05">
            <w:pPr>
              <w:spacing w:before="40" w:after="4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w:t>
            </w:r>
          </w:p>
        </w:tc>
        <w:tc>
          <w:tcPr>
            <w:tcW w:w="1288" w:type="dxa"/>
            <w:noWrap/>
            <w:hideMark/>
          </w:tcPr>
          <w:p w14:paraId="624CB4C1" w14:textId="5A1A000E" w:rsidR="00F91B05" w:rsidRPr="000973F2" w:rsidRDefault="00F91B05" w:rsidP="00F91B05">
            <w:pPr>
              <w:spacing w:before="40" w:after="4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w:t>
            </w:r>
          </w:p>
        </w:tc>
      </w:tr>
      <w:tr w:rsidR="003768E3" w:rsidRPr="000973F2" w14:paraId="514280BC" w14:textId="77777777" w:rsidTr="00B926DD">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1605" w:type="dxa"/>
            <w:hideMark/>
          </w:tcPr>
          <w:p w14:paraId="4841D135" w14:textId="77777777" w:rsidR="00AE014A" w:rsidRPr="000973F2" w:rsidRDefault="00AE014A" w:rsidP="00F91B05">
            <w:pPr>
              <w:spacing w:before="40" w:after="40"/>
              <w:rPr>
                <w:rFonts w:ascii="Times New Roman" w:eastAsia="Times New Roman" w:hAnsi="Times New Roman" w:cs="Times New Roman"/>
                <w:b/>
                <w:bCs w:val="0"/>
                <w:sz w:val="18"/>
                <w:szCs w:val="18"/>
              </w:rPr>
            </w:pPr>
            <w:r w:rsidRPr="000973F2">
              <w:rPr>
                <w:rFonts w:ascii="Times New Roman" w:eastAsia="Times New Roman" w:hAnsi="Times New Roman" w:cs="Times New Roman"/>
                <w:b/>
                <w:sz w:val="18"/>
                <w:szCs w:val="18"/>
              </w:rPr>
              <w:t>Total</w:t>
            </w:r>
          </w:p>
        </w:tc>
        <w:tc>
          <w:tcPr>
            <w:tcW w:w="1287" w:type="dxa"/>
            <w:noWrap/>
            <w:hideMark/>
          </w:tcPr>
          <w:p w14:paraId="2003B732" w14:textId="77777777" w:rsidR="00AE014A" w:rsidRPr="000973F2" w:rsidRDefault="00AE014A" w:rsidP="00F91B05">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$0</w:t>
            </w:r>
          </w:p>
        </w:tc>
        <w:tc>
          <w:tcPr>
            <w:tcW w:w="1288" w:type="dxa"/>
            <w:noWrap/>
          </w:tcPr>
          <w:p w14:paraId="4997C3F1" w14:textId="77777777" w:rsidR="00AE014A" w:rsidRPr="000973F2" w:rsidRDefault="00AE014A" w:rsidP="00F91B05">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p>
        </w:tc>
        <w:tc>
          <w:tcPr>
            <w:tcW w:w="1287" w:type="dxa"/>
            <w:noWrap/>
            <w:hideMark/>
          </w:tcPr>
          <w:p w14:paraId="5E44D907" w14:textId="77777777" w:rsidR="00AE014A" w:rsidRPr="000973F2" w:rsidRDefault="00AE014A" w:rsidP="00F91B05">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$0</w:t>
            </w:r>
          </w:p>
        </w:tc>
        <w:tc>
          <w:tcPr>
            <w:tcW w:w="1268" w:type="dxa"/>
            <w:noWrap/>
            <w:hideMark/>
          </w:tcPr>
          <w:p w14:paraId="1246D1A4" w14:textId="77777777" w:rsidR="00AE014A" w:rsidRPr="000973F2" w:rsidRDefault="00AE014A" w:rsidP="00F91B05">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$50</w:t>
            </w:r>
          </w:p>
        </w:tc>
        <w:tc>
          <w:tcPr>
            <w:tcW w:w="1307" w:type="dxa"/>
            <w:noWrap/>
            <w:hideMark/>
          </w:tcPr>
          <w:p w14:paraId="41E529DD" w14:textId="77777777" w:rsidR="00AE014A" w:rsidRPr="000973F2" w:rsidRDefault="00AE014A" w:rsidP="00F91B05">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$50</w:t>
            </w:r>
          </w:p>
        </w:tc>
        <w:tc>
          <w:tcPr>
            <w:tcW w:w="1288" w:type="dxa"/>
            <w:noWrap/>
            <w:hideMark/>
          </w:tcPr>
          <w:p w14:paraId="0F83E059" w14:textId="77777777" w:rsidR="00AE014A" w:rsidRPr="000973F2" w:rsidRDefault="00AE014A" w:rsidP="00F91B05">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$50</w:t>
            </w:r>
          </w:p>
        </w:tc>
      </w:tr>
    </w:tbl>
    <w:p w14:paraId="7F51944B" w14:textId="77777777" w:rsidR="00AE014A" w:rsidRPr="000973F2" w:rsidRDefault="00AE014A" w:rsidP="00F91B05">
      <w:pPr>
        <w:pStyle w:val="AfterTable"/>
      </w:pPr>
    </w:p>
    <w:p w14:paraId="77B305F1" w14:textId="77777777" w:rsidR="00AE014A" w:rsidRPr="000973F2" w:rsidRDefault="00AE014A" w:rsidP="00F91B05">
      <w:pPr>
        <w:pStyle w:val="Heading2"/>
      </w:pPr>
      <w:r w:rsidRPr="000973F2">
        <w:t>Total Costs for Subpart NN</w:t>
      </w:r>
    </w:p>
    <w:p w14:paraId="29F7E2C4" w14:textId="096BEDBD" w:rsidR="00AE014A" w:rsidRPr="000973F2" w:rsidRDefault="00AE014A" w:rsidP="00F91B05">
      <w:pPr>
        <w:pStyle w:val="BodyText"/>
      </w:pPr>
      <w:r w:rsidRPr="000973F2">
        <w:t xml:space="preserve">The total industry costs related to Subpart NN average approximately $644,100 per year for existing sources and approximately $8,500 per year for new sources, for a total of </w:t>
      </w:r>
      <w:r w:rsidR="002A7875" w:rsidRPr="000973F2">
        <w:t xml:space="preserve">approximately $653,000 per year and </w:t>
      </w:r>
      <w:r w:rsidRPr="000973F2">
        <w:t xml:space="preserve">$1,958,000 over the three-year period </w:t>
      </w:r>
      <w:r w:rsidR="00BB183C" w:rsidRPr="000973F2">
        <w:t>covered by this</w:t>
      </w:r>
      <w:r w:rsidRPr="000973F2">
        <w:t xml:space="preserve"> ICR. Total costs are based on 506 facilities in 2019, 511 in 2020, and 516 in 2021, which accounts for the five new facilities per year (i.e., two LDCs and three NGL fractionators).</w:t>
      </w:r>
    </w:p>
    <w:p w14:paraId="34F3DD8A" w14:textId="77777777" w:rsidR="007F08F7" w:rsidRPr="000973F2" w:rsidRDefault="007F08F7" w:rsidP="00C00E4F">
      <w:pPr>
        <w:spacing w:line="240" w:lineRule="auto"/>
        <w:rPr>
          <w:rFonts w:ascii="Times New Roman" w:hAnsi="Times New Roman" w:cs="Times New Roman"/>
        </w:rPr>
      </w:pPr>
    </w:p>
    <w:p w14:paraId="233574A4" w14:textId="1E8A5D9F" w:rsidR="00675E5A" w:rsidRPr="000973F2" w:rsidRDefault="00675E5A" w:rsidP="00C00E4F">
      <w:pPr>
        <w:spacing w:line="240" w:lineRule="auto"/>
        <w:rPr>
          <w:rFonts w:ascii="Times New Roman" w:hAnsi="Times New Roman" w:cs="Times New Roman"/>
        </w:rPr>
      </w:pPr>
      <w:r w:rsidRPr="000973F2">
        <w:rPr>
          <w:rFonts w:ascii="Times New Roman" w:hAnsi="Times New Roman" w:cs="Times New Roman"/>
        </w:rPr>
        <w:br w:type="page"/>
      </w:r>
    </w:p>
    <w:p w14:paraId="5BACAAFA" w14:textId="77777777" w:rsidR="00B367FB" w:rsidRPr="000973F2" w:rsidRDefault="00B367FB" w:rsidP="00F91B05">
      <w:pPr>
        <w:pStyle w:val="Heading1"/>
      </w:pPr>
      <w:bookmarkStart w:id="68" w:name="_Toc10715630"/>
      <w:r w:rsidRPr="000973F2">
        <w:t>Cost Appendix for Subpart OO – Suppliers of Industrial Greenhouse Gases</w:t>
      </w:r>
      <w:bookmarkEnd w:id="68"/>
    </w:p>
    <w:p w14:paraId="0A2827A5" w14:textId="77777777" w:rsidR="00B367FB" w:rsidRPr="000973F2" w:rsidRDefault="00B367FB" w:rsidP="00F91B05">
      <w:pPr>
        <w:pStyle w:val="Heading2"/>
      </w:pPr>
      <w:r w:rsidRPr="000973F2">
        <w:t>Description of Subpart OO</w:t>
      </w:r>
    </w:p>
    <w:p w14:paraId="41858ADB" w14:textId="397AD559" w:rsidR="00B367FB" w:rsidRPr="000973F2" w:rsidRDefault="00B367FB" w:rsidP="00F91B05">
      <w:pPr>
        <w:pStyle w:val="BodyText"/>
        <w:rPr>
          <w:shd w:val="clear" w:color="auto" w:fill="FFFFFF"/>
        </w:rPr>
      </w:pPr>
      <w:r w:rsidRPr="000973F2">
        <w:t xml:space="preserve">For purposes of the GHGRP, the suppliers of industrial greenhouse gases source category applies to </w:t>
      </w:r>
      <w:r w:rsidRPr="000973F2">
        <w:rPr>
          <w:shd w:val="clear" w:color="auto" w:fill="FFFFFF"/>
        </w:rPr>
        <w:t xml:space="preserve">any facility that produces a fluorinated GHG, fluorinated heat transfer fluid (HTF), or nitrous oxide; any bulk importer or exporter of fluorinated GHGs, fluorinated HTFs, or nitrous oxide; and any destroyer of fluorinated GHGs or fluorinated HTFs. The number of facilities that report to Subpart OO has ranged between 47 and 78 over recent years. In RY2017 there were 78 facilities that reported under Subpart OO; 22 of these facilities were producers, 54 were importers, and 24 were exporters of fluorinated GHGs or nitrous oxide. Some facilities fall under more than one of these categories. Facilities that fall under multiple categories will incur the costs of each of those categories. Revisions to </w:t>
      </w:r>
      <w:r w:rsidR="0012538C" w:rsidRPr="000973F2">
        <w:rPr>
          <w:shd w:val="clear" w:color="auto" w:fill="FFFFFF"/>
        </w:rPr>
        <w:t>Subpart OO</w:t>
      </w:r>
      <w:r w:rsidRPr="000973F2">
        <w:rPr>
          <w:shd w:val="clear" w:color="auto" w:fill="FFFFFF"/>
        </w:rPr>
        <w:t xml:space="preserve"> became effective in 2018 to include fluorinated HTFs and those facilities that only destroy fluorinated GHG or fluorinated HTFs in reporting for Subpart OO. No additional reporting facilities are expected to result from the addition </w:t>
      </w:r>
      <w:r w:rsidR="00BB183C" w:rsidRPr="000973F2">
        <w:rPr>
          <w:shd w:val="clear" w:color="auto" w:fill="FFFFFF"/>
        </w:rPr>
        <w:t>of</w:t>
      </w:r>
      <w:r w:rsidRPr="000973F2">
        <w:rPr>
          <w:shd w:val="clear" w:color="auto" w:fill="FFFFFF"/>
        </w:rPr>
        <w:t xml:space="preserve"> fluorinated HTFs. It is expected that 8 facilities that only destroy fluorinated GHGs or fluorinated HTFs (but do not also produce, import, or export) will begin reporting to Subpart OO beginning in RY2018 as discussed below. </w:t>
      </w:r>
    </w:p>
    <w:p w14:paraId="3B2CC9F4" w14:textId="77777777" w:rsidR="00B367FB" w:rsidRPr="000973F2" w:rsidRDefault="00B367FB" w:rsidP="00F53C74">
      <w:pPr>
        <w:pStyle w:val="BodyText"/>
        <w:rPr>
          <w:i/>
          <w:sz w:val="24"/>
          <w:szCs w:val="24"/>
        </w:rPr>
      </w:pPr>
      <w:r w:rsidRPr="000973F2">
        <w:t xml:space="preserve">Producers that report to Subpart OO must use Equation OO-1 and Equation OO-2 (§98.413(a) and (b)) to calculate the total mass of fluorinated GHGs, fluorinated HTFs, and nitrous oxide produced. Producers may also transform these gases and use Equation OO-3 (§98.413(c)) to calculate the total mass transformed. Facilities that destroy these gases must use Equation OO-4 (§98.413(d)) to calculate the total mass destroyed. </w:t>
      </w:r>
    </w:p>
    <w:p w14:paraId="404C59AD" w14:textId="3EFCE549" w:rsidR="00B367FB" w:rsidRPr="000973F2" w:rsidRDefault="00B367FB" w:rsidP="00F53C74">
      <w:pPr>
        <w:pStyle w:val="Heading2"/>
      </w:pPr>
      <w:r w:rsidRPr="000973F2">
        <w:t xml:space="preserve">Labor Costs for Subpart OO </w:t>
      </w:r>
      <w:r w:rsidR="00F53C74" w:rsidRPr="000973F2">
        <w:t>–</w:t>
      </w:r>
      <w:r w:rsidRPr="000973F2">
        <w:t xml:space="preserve"> Producers</w:t>
      </w:r>
    </w:p>
    <w:p w14:paraId="4C1918FD" w14:textId="4E63313A" w:rsidR="00B367FB" w:rsidRPr="000973F2" w:rsidRDefault="00B367FB" w:rsidP="00F53C74">
      <w:pPr>
        <w:pStyle w:val="BodyText"/>
      </w:pPr>
      <w:r w:rsidRPr="000973F2">
        <w:t xml:space="preserve">The labor costs for each of the 22 producers to report under Subpart OO are provided in Table </w:t>
      </w:r>
      <w:r w:rsidR="00F53C74" w:rsidRPr="000973F2">
        <w:t>OO-</w:t>
      </w:r>
      <w:r w:rsidRPr="000973F2">
        <w:t xml:space="preserve">1a. Typical activities for each of the labor activities are discussed in the Cost Appendix Introduction. Additional activities expected to require sampling and analysis labor hours include updating the one-time report required under §98.416(e) if any destruction process changes are made. No new producers are expected to report under Subpart OO </w:t>
      </w:r>
      <w:r w:rsidR="00BB183C" w:rsidRPr="000973F2">
        <w:t>during the</w:t>
      </w:r>
      <w:r w:rsidRPr="000973F2">
        <w:t xml:space="preserve"> three year</w:t>
      </w:r>
      <w:r w:rsidR="00BB183C" w:rsidRPr="000973F2">
        <w:t xml:space="preserve"> period covered by this ICR</w:t>
      </w:r>
      <w:r w:rsidRPr="000973F2">
        <w:t>. Initial year costs apply to new facilities; therefore, those costs are zero in the tables below. Recordkeeping and reporting labor costs are based on the “high bin” designation.</w:t>
      </w:r>
    </w:p>
    <w:p w14:paraId="67091177" w14:textId="699F464B" w:rsidR="00BF74AE" w:rsidRPr="000973F2" w:rsidRDefault="00BF74AE" w:rsidP="00F53C74">
      <w:pPr>
        <w:pStyle w:val="Tabletitle"/>
      </w:pPr>
      <w:r w:rsidRPr="000973F2">
        <w:t xml:space="preserve">Table </w:t>
      </w:r>
      <w:r w:rsidR="00F53C74" w:rsidRPr="000973F2">
        <w:t>OO-</w:t>
      </w:r>
      <w:r w:rsidRPr="000973F2">
        <w:t xml:space="preserve">1a. Labor Costs </w:t>
      </w:r>
      <w:r w:rsidR="00B960CC" w:rsidRPr="000973F2">
        <w:t>–</w:t>
      </w:r>
      <w:r w:rsidRPr="000973F2">
        <w:t xml:space="preserve"> Subpart OO </w:t>
      </w:r>
      <w:r w:rsidR="00B960CC" w:rsidRPr="000973F2">
        <w:t>–</w:t>
      </w:r>
      <w:r w:rsidRPr="000973F2">
        <w:t xml:space="preserve"> Producers</w:t>
      </w:r>
    </w:p>
    <w:tbl>
      <w:tblPr>
        <w:tblStyle w:val="PlainTable1"/>
        <w:tblW w:w="5000" w:type="pct"/>
        <w:jc w:val="left"/>
        <w:tblLayout w:type="fixed"/>
        <w:tblCellMar>
          <w:left w:w="115" w:type="dxa"/>
          <w:right w:w="115" w:type="dxa"/>
        </w:tblCellMar>
        <w:tblLook w:val="04A0" w:firstRow="1" w:lastRow="0" w:firstColumn="1" w:lastColumn="0" w:noHBand="0" w:noVBand="1"/>
      </w:tblPr>
      <w:tblGrid>
        <w:gridCol w:w="1464"/>
        <w:gridCol w:w="795"/>
        <w:gridCol w:w="795"/>
        <w:gridCol w:w="796"/>
        <w:gridCol w:w="797"/>
        <w:gridCol w:w="796"/>
        <w:gridCol w:w="796"/>
        <w:gridCol w:w="796"/>
        <w:gridCol w:w="797"/>
        <w:gridCol w:w="858"/>
        <w:gridCol w:w="900"/>
      </w:tblGrid>
      <w:tr w:rsidR="00B367FB" w:rsidRPr="000973F2" w14:paraId="57970713" w14:textId="77777777" w:rsidTr="00F53C74">
        <w:trPr>
          <w:cnfStyle w:val="100000000000" w:firstRow="1" w:lastRow="0" w:firstColumn="0" w:lastColumn="0" w:oddVBand="0" w:evenVBand="0" w:oddHBand="0" w:evenHBand="0" w:firstRowFirstColumn="0" w:firstRowLastColumn="0" w:lastRowFirstColumn="0" w:lastRowLastColumn="0"/>
          <w:cantSplit/>
          <w:jc w:val="left"/>
        </w:trPr>
        <w:tc>
          <w:tcPr>
            <w:cnfStyle w:val="001000000000" w:firstRow="0" w:lastRow="0" w:firstColumn="1" w:lastColumn="0" w:oddVBand="0" w:evenVBand="0" w:oddHBand="0" w:evenHBand="0" w:firstRowFirstColumn="0" w:firstRowLastColumn="0" w:lastRowFirstColumn="0" w:lastRowLastColumn="0"/>
            <w:tcW w:w="1425" w:type="dxa"/>
            <w:vMerge w:val="restart"/>
            <w:noWrap/>
            <w:vAlign w:val="top"/>
            <w:hideMark/>
          </w:tcPr>
          <w:p w14:paraId="0BA0FED1" w14:textId="77777777" w:rsidR="00B367FB" w:rsidRPr="000973F2" w:rsidRDefault="00B367FB" w:rsidP="00F53C74">
            <w:pPr>
              <w:spacing w:before="40" w:after="40"/>
              <w:rPr>
                <w:rFonts w:ascii="Times New Roman" w:eastAsia="Times New Roman" w:hAnsi="Times New Roman" w:cs="Times New Roman"/>
                <w:bCs w:val="0"/>
                <w:sz w:val="18"/>
                <w:szCs w:val="18"/>
              </w:rPr>
            </w:pPr>
            <w:r w:rsidRPr="000973F2">
              <w:rPr>
                <w:rFonts w:ascii="Times New Roman" w:eastAsia="Times New Roman" w:hAnsi="Times New Roman" w:cs="Times New Roman"/>
                <w:bCs w:val="0"/>
                <w:sz w:val="18"/>
                <w:szCs w:val="18"/>
              </w:rPr>
              <w:t>Activity</w:t>
            </w:r>
          </w:p>
        </w:tc>
        <w:tc>
          <w:tcPr>
            <w:tcW w:w="6194" w:type="dxa"/>
            <w:gridSpan w:val="8"/>
            <w:noWrap/>
            <w:vAlign w:val="top"/>
            <w:hideMark/>
          </w:tcPr>
          <w:p w14:paraId="3A5C4FF9" w14:textId="77777777" w:rsidR="00B367FB" w:rsidRPr="000973F2" w:rsidRDefault="00B367FB" w:rsidP="00F53C74">
            <w:pPr>
              <w:spacing w:before="40" w:after="40"/>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Cs w:val="0"/>
                <w:sz w:val="18"/>
                <w:szCs w:val="18"/>
              </w:rPr>
            </w:pPr>
            <w:r w:rsidRPr="000973F2">
              <w:rPr>
                <w:rFonts w:ascii="Times New Roman" w:eastAsia="Times New Roman" w:hAnsi="Times New Roman" w:cs="Times New Roman"/>
                <w:bCs w:val="0"/>
                <w:sz w:val="18"/>
                <w:szCs w:val="18"/>
              </w:rPr>
              <w:t>Labor Rates (per hour)</w:t>
            </w:r>
          </w:p>
        </w:tc>
        <w:tc>
          <w:tcPr>
            <w:tcW w:w="1711" w:type="dxa"/>
            <w:gridSpan w:val="2"/>
            <w:vMerge w:val="restart"/>
            <w:vAlign w:val="top"/>
            <w:hideMark/>
          </w:tcPr>
          <w:p w14:paraId="0274D834" w14:textId="77777777" w:rsidR="00B367FB" w:rsidRPr="000973F2" w:rsidRDefault="00B367FB" w:rsidP="00F53C74">
            <w:pPr>
              <w:spacing w:before="40" w:after="40"/>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Cs w:val="0"/>
                <w:sz w:val="18"/>
                <w:szCs w:val="18"/>
              </w:rPr>
            </w:pPr>
            <w:r w:rsidRPr="000973F2">
              <w:rPr>
                <w:rFonts w:ascii="Times New Roman" w:eastAsia="Times New Roman" w:hAnsi="Times New Roman" w:cs="Times New Roman"/>
                <w:bCs w:val="0"/>
                <w:sz w:val="18"/>
                <w:szCs w:val="18"/>
              </w:rPr>
              <w:t>Total Labor Cost</w:t>
            </w:r>
            <w:r w:rsidRPr="000973F2">
              <w:rPr>
                <w:rFonts w:ascii="Times New Roman" w:eastAsia="Times New Roman" w:hAnsi="Times New Roman" w:cs="Times New Roman"/>
                <w:bCs w:val="0"/>
                <w:sz w:val="18"/>
                <w:szCs w:val="18"/>
              </w:rPr>
              <w:br/>
              <w:t xml:space="preserve">per Year </w:t>
            </w:r>
            <w:r w:rsidRPr="000973F2">
              <w:rPr>
                <w:rFonts w:ascii="Times New Roman" w:eastAsia="Times New Roman" w:hAnsi="Times New Roman" w:cs="Times New Roman"/>
                <w:bCs w:val="0"/>
                <w:sz w:val="18"/>
                <w:szCs w:val="18"/>
              </w:rPr>
              <w:br/>
              <w:t>per Facility (2017$)</w:t>
            </w:r>
          </w:p>
        </w:tc>
      </w:tr>
      <w:tr w:rsidR="00B367FB" w:rsidRPr="000973F2" w14:paraId="11A34340" w14:textId="77777777" w:rsidTr="00F53C74">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1425" w:type="dxa"/>
            <w:vMerge/>
            <w:hideMark/>
          </w:tcPr>
          <w:p w14:paraId="57F748FB" w14:textId="77777777" w:rsidR="00B367FB" w:rsidRPr="000973F2" w:rsidRDefault="00B367FB" w:rsidP="00F53C74">
            <w:pPr>
              <w:spacing w:before="40" w:after="40"/>
              <w:rPr>
                <w:rFonts w:ascii="Times New Roman" w:eastAsia="Times New Roman" w:hAnsi="Times New Roman" w:cs="Times New Roman"/>
                <w:b/>
                <w:bCs w:val="0"/>
                <w:sz w:val="18"/>
                <w:szCs w:val="18"/>
              </w:rPr>
            </w:pPr>
          </w:p>
        </w:tc>
        <w:tc>
          <w:tcPr>
            <w:tcW w:w="1548" w:type="dxa"/>
            <w:gridSpan w:val="2"/>
            <w:noWrap/>
            <w:hideMark/>
          </w:tcPr>
          <w:p w14:paraId="44B7B74D" w14:textId="77777777" w:rsidR="00B367FB" w:rsidRPr="000973F2" w:rsidRDefault="00B367FB" w:rsidP="00F53C74">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18"/>
                <w:szCs w:val="18"/>
              </w:rPr>
            </w:pPr>
            <w:r w:rsidRPr="000973F2">
              <w:rPr>
                <w:rFonts w:ascii="Times New Roman" w:eastAsia="Times New Roman" w:hAnsi="Times New Roman" w:cs="Times New Roman"/>
                <w:b/>
                <w:bCs/>
                <w:sz w:val="18"/>
                <w:szCs w:val="18"/>
              </w:rPr>
              <w:t>Lawyer</w:t>
            </w:r>
          </w:p>
        </w:tc>
        <w:tc>
          <w:tcPr>
            <w:tcW w:w="1549" w:type="dxa"/>
            <w:gridSpan w:val="2"/>
            <w:hideMark/>
          </w:tcPr>
          <w:p w14:paraId="56FFD0F3" w14:textId="77777777" w:rsidR="00B367FB" w:rsidRPr="000973F2" w:rsidRDefault="00B367FB" w:rsidP="00F53C74">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18"/>
                <w:szCs w:val="18"/>
              </w:rPr>
            </w:pPr>
            <w:r w:rsidRPr="000973F2">
              <w:rPr>
                <w:rFonts w:ascii="Times New Roman" w:eastAsia="Times New Roman" w:hAnsi="Times New Roman" w:cs="Times New Roman"/>
                <w:b/>
                <w:bCs/>
                <w:sz w:val="18"/>
                <w:szCs w:val="18"/>
              </w:rPr>
              <w:t>Industrial</w:t>
            </w:r>
            <w:r w:rsidRPr="000973F2">
              <w:rPr>
                <w:rFonts w:ascii="Times New Roman" w:eastAsia="Times New Roman" w:hAnsi="Times New Roman" w:cs="Times New Roman"/>
                <w:b/>
                <w:bCs/>
                <w:sz w:val="18"/>
                <w:szCs w:val="18"/>
              </w:rPr>
              <w:br/>
              <w:t>Manager</w:t>
            </w:r>
          </w:p>
        </w:tc>
        <w:tc>
          <w:tcPr>
            <w:tcW w:w="1548" w:type="dxa"/>
            <w:gridSpan w:val="2"/>
            <w:hideMark/>
          </w:tcPr>
          <w:p w14:paraId="2EFFDB29" w14:textId="01116C7E" w:rsidR="00B367FB" w:rsidRPr="000973F2" w:rsidRDefault="00B367FB" w:rsidP="00F53C74">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18"/>
                <w:szCs w:val="18"/>
              </w:rPr>
            </w:pPr>
            <w:r w:rsidRPr="000973F2">
              <w:rPr>
                <w:rFonts w:ascii="Times New Roman" w:eastAsia="Times New Roman" w:hAnsi="Times New Roman" w:cs="Times New Roman"/>
                <w:b/>
                <w:bCs/>
                <w:sz w:val="18"/>
                <w:szCs w:val="18"/>
              </w:rPr>
              <w:t>Industrial Engineer/</w:t>
            </w:r>
            <w:r w:rsidR="00F53C74" w:rsidRPr="000973F2">
              <w:rPr>
                <w:rFonts w:ascii="Times New Roman" w:eastAsia="Times New Roman" w:hAnsi="Times New Roman" w:cs="Times New Roman"/>
                <w:b/>
                <w:bCs/>
                <w:sz w:val="18"/>
                <w:szCs w:val="18"/>
              </w:rPr>
              <w:t xml:space="preserve"> </w:t>
            </w:r>
            <w:r w:rsidRPr="000973F2">
              <w:rPr>
                <w:rFonts w:ascii="Times New Roman" w:eastAsia="Times New Roman" w:hAnsi="Times New Roman" w:cs="Times New Roman"/>
                <w:b/>
                <w:bCs/>
                <w:sz w:val="18"/>
                <w:szCs w:val="18"/>
              </w:rPr>
              <w:t>Technician</w:t>
            </w:r>
          </w:p>
        </w:tc>
        <w:tc>
          <w:tcPr>
            <w:tcW w:w="1549" w:type="dxa"/>
            <w:gridSpan w:val="2"/>
            <w:hideMark/>
          </w:tcPr>
          <w:p w14:paraId="2887886A" w14:textId="77777777" w:rsidR="00B367FB" w:rsidRPr="000973F2" w:rsidRDefault="00B367FB" w:rsidP="00F53C74">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18"/>
                <w:szCs w:val="18"/>
              </w:rPr>
            </w:pPr>
            <w:r w:rsidRPr="000973F2">
              <w:rPr>
                <w:rFonts w:ascii="Times New Roman" w:eastAsia="Times New Roman" w:hAnsi="Times New Roman" w:cs="Times New Roman"/>
                <w:b/>
                <w:bCs/>
                <w:sz w:val="18"/>
                <w:szCs w:val="18"/>
              </w:rPr>
              <w:t>Administrative Support</w:t>
            </w:r>
          </w:p>
        </w:tc>
        <w:tc>
          <w:tcPr>
            <w:tcW w:w="1711" w:type="dxa"/>
            <w:gridSpan w:val="2"/>
            <w:vMerge/>
            <w:hideMark/>
          </w:tcPr>
          <w:p w14:paraId="72892026" w14:textId="77777777" w:rsidR="00B367FB" w:rsidRPr="000973F2" w:rsidRDefault="00B367FB" w:rsidP="00F53C74">
            <w:pPr>
              <w:spacing w:before="40" w:after="4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18"/>
                <w:szCs w:val="18"/>
              </w:rPr>
            </w:pPr>
          </w:p>
        </w:tc>
      </w:tr>
      <w:tr w:rsidR="0050360F" w:rsidRPr="000973F2" w14:paraId="38BDF407" w14:textId="77777777" w:rsidTr="00F53C74">
        <w:trPr>
          <w:cantSplit/>
        </w:trPr>
        <w:tc>
          <w:tcPr>
            <w:cnfStyle w:val="001000000000" w:firstRow="0" w:lastRow="0" w:firstColumn="1" w:lastColumn="0" w:oddVBand="0" w:evenVBand="0" w:oddHBand="0" w:evenHBand="0" w:firstRowFirstColumn="0" w:firstRowLastColumn="0" w:lastRowFirstColumn="0" w:lastRowLastColumn="0"/>
            <w:tcW w:w="1425" w:type="dxa"/>
            <w:vMerge/>
            <w:hideMark/>
          </w:tcPr>
          <w:p w14:paraId="3F57A207" w14:textId="77777777" w:rsidR="00B367FB" w:rsidRPr="000973F2" w:rsidRDefault="00B367FB" w:rsidP="00F53C74">
            <w:pPr>
              <w:spacing w:before="40" w:after="40"/>
              <w:rPr>
                <w:rFonts w:ascii="Times New Roman" w:eastAsia="Times New Roman" w:hAnsi="Times New Roman" w:cs="Times New Roman"/>
                <w:b/>
                <w:bCs w:val="0"/>
                <w:sz w:val="18"/>
                <w:szCs w:val="18"/>
              </w:rPr>
            </w:pPr>
          </w:p>
        </w:tc>
        <w:tc>
          <w:tcPr>
            <w:tcW w:w="1548" w:type="dxa"/>
            <w:gridSpan w:val="2"/>
            <w:noWrap/>
            <w:hideMark/>
          </w:tcPr>
          <w:p w14:paraId="1FEFADBA" w14:textId="77777777" w:rsidR="00B367FB" w:rsidRPr="000973F2" w:rsidRDefault="00B367FB" w:rsidP="00F53C74">
            <w:pPr>
              <w:spacing w:before="40" w:after="4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sz w:val="18"/>
                <w:szCs w:val="18"/>
              </w:rPr>
            </w:pPr>
            <w:r w:rsidRPr="000973F2">
              <w:rPr>
                <w:rFonts w:ascii="Times New Roman" w:eastAsia="Times New Roman" w:hAnsi="Times New Roman" w:cs="Times New Roman"/>
                <w:b/>
                <w:bCs/>
                <w:sz w:val="18"/>
                <w:szCs w:val="18"/>
              </w:rPr>
              <w:t xml:space="preserve">$112.23 </w:t>
            </w:r>
          </w:p>
        </w:tc>
        <w:tc>
          <w:tcPr>
            <w:tcW w:w="1549" w:type="dxa"/>
            <w:gridSpan w:val="2"/>
            <w:noWrap/>
            <w:hideMark/>
          </w:tcPr>
          <w:p w14:paraId="48E8817A" w14:textId="77777777" w:rsidR="00B367FB" w:rsidRPr="000973F2" w:rsidRDefault="00B367FB" w:rsidP="00F53C74">
            <w:pPr>
              <w:spacing w:before="40" w:after="4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sz w:val="18"/>
                <w:szCs w:val="18"/>
              </w:rPr>
            </w:pPr>
            <w:r w:rsidRPr="000973F2">
              <w:rPr>
                <w:rFonts w:ascii="Times New Roman" w:eastAsia="Times New Roman" w:hAnsi="Times New Roman" w:cs="Times New Roman"/>
                <w:b/>
                <w:bCs/>
                <w:sz w:val="18"/>
                <w:szCs w:val="18"/>
              </w:rPr>
              <w:t xml:space="preserve">$87.45 </w:t>
            </w:r>
          </w:p>
        </w:tc>
        <w:tc>
          <w:tcPr>
            <w:tcW w:w="1548" w:type="dxa"/>
            <w:gridSpan w:val="2"/>
            <w:noWrap/>
            <w:hideMark/>
          </w:tcPr>
          <w:p w14:paraId="1ABBF50C" w14:textId="77777777" w:rsidR="00B367FB" w:rsidRPr="000973F2" w:rsidRDefault="00B367FB" w:rsidP="00F53C74">
            <w:pPr>
              <w:spacing w:before="40" w:after="4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sz w:val="18"/>
                <w:szCs w:val="18"/>
              </w:rPr>
            </w:pPr>
            <w:r w:rsidRPr="000973F2">
              <w:rPr>
                <w:rFonts w:ascii="Times New Roman" w:eastAsia="Times New Roman" w:hAnsi="Times New Roman" w:cs="Times New Roman"/>
                <w:b/>
                <w:bCs/>
                <w:sz w:val="18"/>
                <w:szCs w:val="18"/>
              </w:rPr>
              <w:t xml:space="preserve">$71.45 </w:t>
            </w:r>
          </w:p>
        </w:tc>
        <w:tc>
          <w:tcPr>
            <w:tcW w:w="1549" w:type="dxa"/>
            <w:gridSpan w:val="2"/>
            <w:noWrap/>
            <w:hideMark/>
          </w:tcPr>
          <w:p w14:paraId="37B48B07" w14:textId="77777777" w:rsidR="00B367FB" w:rsidRPr="000973F2" w:rsidRDefault="00B367FB" w:rsidP="00F53C74">
            <w:pPr>
              <w:spacing w:before="40" w:after="4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sz w:val="18"/>
                <w:szCs w:val="18"/>
              </w:rPr>
            </w:pPr>
            <w:r w:rsidRPr="000973F2">
              <w:rPr>
                <w:rFonts w:ascii="Times New Roman" w:eastAsia="Times New Roman" w:hAnsi="Times New Roman" w:cs="Times New Roman"/>
                <w:b/>
                <w:bCs/>
                <w:sz w:val="18"/>
                <w:szCs w:val="18"/>
              </w:rPr>
              <w:t xml:space="preserve">$36.28 </w:t>
            </w:r>
          </w:p>
        </w:tc>
        <w:tc>
          <w:tcPr>
            <w:tcW w:w="1711" w:type="dxa"/>
            <w:gridSpan w:val="2"/>
            <w:vMerge/>
            <w:hideMark/>
          </w:tcPr>
          <w:p w14:paraId="244651D4" w14:textId="77777777" w:rsidR="00B367FB" w:rsidRPr="000973F2" w:rsidRDefault="00B367FB" w:rsidP="00F53C74">
            <w:pPr>
              <w:spacing w:before="40" w:after="4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sz w:val="18"/>
                <w:szCs w:val="18"/>
              </w:rPr>
            </w:pPr>
          </w:p>
        </w:tc>
      </w:tr>
      <w:tr w:rsidR="00D021D6" w:rsidRPr="000973F2" w14:paraId="2DD55ACA" w14:textId="77777777" w:rsidTr="00F53C74">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1425" w:type="dxa"/>
            <w:vMerge/>
            <w:hideMark/>
          </w:tcPr>
          <w:p w14:paraId="6A478B5B" w14:textId="77777777" w:rsidR="00B367FB" w:rsidRPr="000973F2" w:rsidRDefault="00B367FB" w:rsidP="00F53C74">
            <w:pPr>
              <w:spacing w:before="40" w:after="40"/>
              <w:rPr>
                <w:rFonts w:ascii="Times New Roman" w:eastAsia="Times New Roman" w:hAnsi="Times New Roman" w:cs="Times New Roman"/>
                <w:b/>
                <w:bCs w:val="0"/>
                <w:sz w:val="18"/>
                <w:szCs w:val="18"/>
              </w:rPr>
            </w:pPr>
          </w:p>
        </w:tc>
        <w:tc>
          <w:tcPr>
            <w:tcW w:w="774" w:type="dxa"/>
            <w:tcMar>
              <w:left w:w="14" w:type="dxa"/>
              <w:right w:w="14" w:type="dxa"/>
            </w:tcMar>
            <w:hideMark/>
          </w:tcPr>
          <w:p w14:paraId="55BA0197" w14:textId="77777777" w:rsidR="00B367FB" w:rsidRPr="000973F2" w:rsidRDefault="00B367FB" w:rsidP="00F53C74">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18"/>
                <w:szCs w:val="18"/>
              </w:rPr>
            </w:pPr>
            <w:r w:rsidRPr="000973F2">
              <w:rPr>
                <w:rFonts w:ascii="Times New Roman" w:eastAsia="Times New Roman" w:hAnsi="Times New Roman" w:cs="Times New Roman"/>
                <w:b/>
                <w:bCs/>
                <w:sz w:val="18"/>
                <w:szCs w:val="18"/>
              </w:rPr>
              <w:t>Initial Year Hours</w:t>
            </w:r>
          </w:p>
        </w:tc>
        <w:tc>
          <w:tcPr>
            <w:tcW w:w="774" w:type="dxa"/>
            <w:tcMar>
              <w:left w:w="14" w:type="dxa"/>
              <w:right w:w="14" w:type="dxa"/>
            </w:tcMar>
            <w:hideMark/>
          </w:tcPr>
          <w:p w14:paraId="5BDBEE65" w14:textId="77777777" w:rsidR="00B367FB" w:rsidRPr="000973F2" w:rsidRDefault="00B367FB" w:rsidP="00F53C74">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18"/>
                <w:szCs w:val="18"/>
              </w:rPr>
            </w:pPr>
            <w:r w:rsidRPr="000973F2">
              <w:rPr>
                <w:rFonts w:ascii="Times New Roman" w:eastAsia="Times New Roman" w:hAnsi="Times New Roman" w:cs="Times New Roman"/>
                <w:b/>
                <w:bCs/>
                <w:sz w:val="18"/>
                <w:szCs w:val="18"/>
              </w:rPr>
              <w:t>Subseq. Year Hours</w:t>
            </w:r>
          </w:p>
        </w:tc>
        <w:tc>
          <w:tcPr>
            <w:tcW w:w="774" w:type="dxa"/>
            <w:tcMar>
              <w:left w:w="14" w:type="dxa"/>
              <w:right w:w="14" w:type="dxa"/>
            </w:tcMar>
            <w:hideMark/>
          </w:tcPr>
          <w:p w14:paraId="1F559227" w14:textId="77777777" w:rsidR="00B367FB" w:rsidRPr="000973F2" w:rsidRDefault="00B367FB" w:rsidP="00F53C74">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18"/>
                <w:szCs w:val="18"/>
              </w:rPr>
            </w:pPr>
            <w:r w:rsidRPr="000973F2">
              <w:rPr>
                <w:rFonts w:ascii="Times New Roman" w:eastAsia="Times New Roman" w:hAnsi="Times New Roman" w:cs="Times New Roman"/>
                <w:b/>
                <w:bCs/>
                <w:sz w:val="18"/>
                <w:szCs w:val="18"/>
              </w:rPr>
              <w:t>Initial Year Hours</w:t>
            </w:r>
          </w:p>
        </w:tc>
        <w:tc>
          <w:tcPr>
            <w:tcW w:w="775" w:type="dxa"/>
            <w:tcMar>
              <w:left w:w="14" w:type="dxa"/>
              <w:right w:w="14" w:type="dxa"/>
            </w:tcMar>
            <w:hideMark/>
          </w:tcPr>
          <w:p w14:paraId="30D4A681" w14:textId="77777777" w:rsidR="00B367FB" w:rsidRPr="000973F2" w:rsidRDefault="00B367FB" w:rsidP="00F53C74">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18"/>
                <w:szCs w:val="18"/>
              </w:rPr>
            </w:pPr>
            <w:r w:rsidRPr="000973F2">
              <w:rPr>
                <w:rFonts w:ascii="Times New Roman" w:eastAsia="Times New Roman" w:hAnsi="Times New Roman" w:cs="Times New Roman"/>
                <w:b/>
                <w:bCs/>
                <w:sz w:val="18"/>
                <w:szCs w:val="18"/>
              </w:rPr>
              <w:t>Subseq. Year Hours</w:t>
            </w:r>
          </w:p>
        </w:tc>
        <w:tc>
          <w:tcPr>
            <w:tcW w:w="774" w:type="dxa"/>
            <w:tcMar>
              <w:left w:w="14" w:type="dxa"/>
              <w:right w:w="14" w:type="dxa"/>
            </w:tcMar>
            <w:hideMark/>
          </w:tcPr>
          <w:p w14:paraId="69046F83" w14:textId="77777777" w:rsidR="00B367FB" w:rsidRPr="000973F2" w:rsidRDefault="00B367FB" w:rsidP="00F53C74">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18"/>
                <w:szCs w:val="18"/>
              </w:rPr>
            </w:pPr>
            <w:r w:rsidRPr="000973F2">
              <w:rPr>
                <w:rFonts w:ascii="Times New Roman" w:eastAsia="Times New Roman" w:hAnsi="Times New Roman" w:cs="Times New Roman"/>
                <w:b/>
                <w:bCs/>
                <w:sz w:val="18"/>
                <w:szCs w:val="18"/>
              </w:rPr>
              <w:t>Initial</w:t>
            </w:r>
            <w:r w:rsidRPr="000973F2">
              <w:rPr>
                <w:rFonts w:ascii="Times New Roman" w:eastAsia="Times New Roman" w:hAnsi="Times New Roman" w:cs="Times New Roman"/>
                <w:b/>
                <w:bCs/>
                <w:sz w:val="18"/>
                <w:szCs w:val="18"/>
              </w:rPr>
              <w:br/>
              <w:t>Year</w:t>
            </w:r>
            <w:r w:rsidRPr="000973F2">
              <w:rPr>
                <w:rFonts w:ascii="Times New Roman" w:eastAsia="Times New Roman" w:hAnsi="Times New Roman" w:cs="Times New Roman"/>
                <w:b/>
                <w:bCs/>
                <w:sz w:val="18"/>
                <w:szCs w:val="18"/>
              </w:rPr>
              <w:br/>
              <w:t>Hours</w:t>
            </w:r>
          </w:p>
        </w:tc>
        <w:tc>
          <w:tcPr>
            <w:tcW w:w="774" w:type="dxa"/>
            <w:tcMar>
              <w:left w:w="14" w:type="dxa"/>
              <w:right w:w="14" w:type="dxa"/>
            </w:tcMar>
            <w:hideMark/>
          </w:tcPr>
          <w:p w14:paraId="6A36EDD2" w14:textId="77777777" w:rsidR="00B367FB" w:rsidRPr="000973F2" w:rsidRDefault="00B367FB" w:rsidP="00F53C74">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18"/>
                <w:szCs w:val="18"/>
              </w:rPr>
            </w:pPr>
            <w:r w:rsidRPr="000973F2">
              <w:rPr>
                <w:rFonts w:ascii="Times New Roman" w:eastAsia="Times New Roman" w:hAnsi="Times New Roman" w:cs="Times New Roman"/>
                <w:b/>
                <w:bCs/>
                <w:sz w:val="18"/>
                <w:szCs w:val="18"/>
              </w:rPr>
              <w:t>Subseq. Year Hours</w:t>
            </w:r>
          </w:p>
        </w:tc>
        <w:tc>
          <w:tcPr>
            <w:tcW w:w="774" w:type="dxa"/>
            <w:tcMar>
              <w:left w:w="14" w:type="dxa"/>
              <w:right w:w="14" w:type="dxa"/>
            </w:tcMar>
            <w:hideMark/>
          </w:tcPr>
          <w:p w14:paraId="584E8D72" w14:textId="77777777" w:rsidR="00B367FB" w:rsidRPr="000973F2" w:rsidRDefault="00B367FB" w:rsidP="00F53C74">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18"/>
                <w:szCs w:val="18"/>
              </w:rPr>
            </w:pPr>
            <w:r w:rsidRPr="000973F2">
              <w:rPr>
                <w:rFonts w:ascii="Times New Roman" w:eastAsia="Times New Roman" w:hAnsi="Times New Roman" w:cs="Times New Roman"/>
                <w:b/>
                <w:bCs/>
                <w:sz w:val="18"/>
                <w:szCs w:val="18"/>
              </w:rPr>
              <w:t>Initial Year Hours</w:t>
            </w:r>
          </w:p>
        </w:tc>
        <w:tc>
          <w:tcPr>
            <w:tcW w:w="775" w:type="dxa"/>
            <w:tcMar>
              <w:left w:w="14" w:type="dxa"/>
              <w:right w:w="14" w:type="dxa"/>
            </w:tcMar>
            <w:hideMark/>
          </w:tcPr>
          <w:p w14:paraId="5895276D" w14:textId="77777777" w:rsidR="00B367FB" w:rsidRPr="000973F2" w:rsidRDefault="00B367FB" w:rsidP="00F53C74">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18"/>
                <w:szCs w:val="18"/>
              </w:rPr>
            </w:pPr>
            <w:r w:rsidRPr="000973F2">
              <w:rPr>
                <w:rFonts w:ascii="Times New Roman" w:eastAsia="Times New Roman" w:hAnsi="Times New Roman" w:cs="Times New Roman"/>
                <w:b/>
                <w:bCs/>
                <w:sz w:val="18"/>
                <w:szCs w:val="18"/>
              </w:rPr>
              <w:t>Subseq. Year Hours</w:t>
            </w:r>
          </w:p>
        </w:tc>
        <w:tc>
          <w:tcPr>
            <w:tcW w:w="835" w:type="dxa"/>
            <w:tcMar>
              <w:left w:w="14" w:type="dxa"/>
              <w:right w:w="14" w:type="dxa"/>
            </w:tcMar>
            <w:hideMark/>
          </w:tcPr>
          <w:p w14:paraId="6D1678B5" w14:textId="77777777" w:rsidR="00B367FB" w:rsidRPr="000973F2" w:rsidRDefault="00B367FB" w:rsidP="00F53C74">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18"/>
                <w:szCs w:val="18"/>
              </w:rPr>
            </w:pPr>
            <w:r w:rsidRPr="000973F2">
              <w:rPr>
                <w:rFonts w:ascii="Times New Roman" w:eastAsia="Times New Roman" w:hAnsi="Times New Roman" w:cs="Times New Roman"/>
                <w:b/>
                <w:bCs/>
                <w:sz w:val="18"/>
                <w:szCs w:val="18"/>
              </w:rPr>
              <w:t>Initial Year</w:t>
            </w:r>
          </w:p>
        </w:tc>
        <w:tc>
          <w:tcPr>
            <w:tcW w:w="876" w:type="dxa"/>
            <w:tcMar>
              <w:left w:w="14" w:type="dxa"/>
              <w:right w:w="14" w:type="dxa"/>
            </w:tcMar>
            <w:hideMark/>
          </w:tcPr>
          <w:p w14:paraId="1221981D" w14:textId="77777777" w:rsidR="00B367FB" w:rsidRPr="000973F2" w:rsidRDefault="00B367FB" w:rsidP="00F53C74">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18"/>
                <w:szCs w:val="18"/>
              </w:rPr>
            </w:pPr>
            <w:r w:rsidRPr="000973F2">
              <w:rPr>
                <w:rFonts w:ascii="Times New Roman" w:eastAsia="Times New Roman" w:hAnsi="Times New Roman" w:cs="Times New Roman"/>
                <w:b/>
                <w:bCs/>
                <w:sz w:val="18"/>
                <w:szCs w:val="18"/>
              </w:rPr>
              <w:t>Subseq. Year</w:t>
            </w:r>
          </w:p>
        </w:tc>
      </w:tr>
      <w:tr w:rsidR="0050360F" w:rsidRPr="000973F2" w14:paraId="757A4C39" w14:textId="77777777" w:rsidTr="00F53C74">
        <w:trPr>
          <w:cantSplit/>
        </w:trPr>
        <w:tc>
          <w:tcPr>
            <w:cnfStyle w:val="001000000000" w:firstRow="0" w:lastRow="0" w:firstColumn="1" w:lastColumn="0" w:oddVBand="0" w:evenVBand="0" w:oddHBand="0" w:evenHBand="0" w:firstRowFirstColumn="0" w:firstRowLastColumn="0" w:lastRowFirstColumn="0" w:lastRowLastColumn="0"/>
            <w:tcW w:w="1425" w:type="dxa"/>
            <w:hideMark/>
          </w:tcPr>
          <w:p w14:paraId="6D08D172" w14:textId="77777777" w:rsidR="00B367FB" w:rsidRPr="000973F2" w:rsidRDefault="00B367FB" w:rsidP="00F53C74">
            <w:pPr>
              <w:spacing w:before="40" w:after="4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Planning</w:t>
            </w:r>
          </w:p>
        </w:tc>
        <w:tc>
          <w:tcPr>
            <w:tcW w:w="774" w:type="dxa"/>
            <w:noWrap/>
            <w:hideMark/>
          </w:tcPr>
          <w:p w14:paraId="0657E8FF" w14:textId="77777777" w:rsidR="00B367FB" w:rsidRPr="000973F2" w:rsidRDefault="00B367FB" w:rsidP="00F53C74">
            <w:pPr>
              <w:tabs>
                <w:tab w:val="decimal" w:pos="331"/>
              </w:tabs>
              <w:spacing w:before="40" w:after="4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0</w:t>
            </w:r>
          </w:p>
        </w:tc>
        <w:tc>
          <w:tcPr>
            <w:tcW w:w="774" w:type="dxa"/>
            <w:noWrap/>
            <w:hideMark/>
          </w:tcPr>
          <w:p w14:paraId="7592255F" w14:textId="77777777" w:rsidR="00B367FB" w:rsidRPr="000973F2" w:rsidRDefault="00B367FB" w:rsidP="00F53C74">
            <w:pPr>
              <w:tabs>
                <w:tab w:val="decimal" w:pos="331"/>
              </w:tabs>
              <w:spacing w:before="40" w:after="4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2</w:t>
            </w:r>
          </w:p>
        </w:tc>
        <w:tc>
          <w:tcPr>
            <w:tcW w:w="774" w:type="dxa"/>
            <w:noWrap/>
            <w:hideMark/>
          </w:tcPr>
          <w:p w14:paraId="02B0AA32" w14:textId="77777777" w:rsidR="00B367FB" w:rsidRPr="000973F2" w:rsidRDefault="00B367FB" w:rsidP="00F53C74">
            <w:pPr>
              <w:tabs>
                <w:tab w:val="decimal" w:pos="331"/>
              </w:tabs>
              <w:spacing w:before="40" w:after="4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0</w:t>
            </w:r>
          </w:p>
        </w:tc>
        <w:tc>
          <w:tcPr>
            <w:tcW w:w="775" w:type="dxa"/>
            <w:noWrap/>
            <w:hideMark/>
          </w:tcPr>
          <w:p w14:paraId="4E7DFD3B" w14:textId="77777777" w:rsidR="00B367FB" w:rsidRPr="000973F2" w:rsidRDefault="00B367FB" w:rsidP="00F53C74">
            <w:pPr>
              <w:tabs>
                <w:tab w:val="decimal" w:pos="331"/>
              </w:tabs>
              <w:spacing w:before="40" w:after="4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1</w:t>
            </w:r>
          </w:p>
        </w:tc>
        <w:tc>
          <w:tcPr>
            <w:tcW w:w="774" w:type="dxa"/>
            <w:noWrap/>
            <w:hideMark/>
          </w:tcPr>
          <w:p w14:paraId="52689BB3" w14:textId="77777777" w:rsidR="00B367FB" w:rsidRPr="000973F2" w:rsidRDefault="00B367FB" w:rsidP="00F53C74">
            <w:pPr>
              <w:tabs>
                <w:tab w:val="decimal" w:pos="331"/>
              </w:tabs>
              <w:spacing w:before="40" w:after="4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0</w:t>
            </w:r>
          </w:p>
        </w:tc>
        <w:tc>
          <w:tcPr>
            <w:tcW w:w="774" w:type="dxa"/>
            <w:noWrap/>
            <w:hideMark/>
          </w:tcPr>
          <w:p w14:paraId="1229F5A7" w14:textId="77777777" w:rsidR="00B367FB" w:rsidRPr="000973F2" w:rsidRDefault="00B367FB" w:rsidP="00F53C74">
            <w:pPr>
              <w:tabs>
                <w:tab w:val="decimal" w:pos="331"/>
              </w:tabs>
              <w:spacing w:before="40" w:after="4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1</w:t>
            </w:r>
          </w:p>
        </w:tc>
        <w:tc>
          <w:tcPr>
            <w:tcW w:w="774" w:type="dxa"/>
            <w:noWrap/>
            <w:hideMark/>
          </w:tcPr>
          <w:p w14:paraId="6EC1B00D" w14:textId="77777777" w:rsidR="00B367FB" w:rsidRPr="000973F2" w:rsidRDefault="00B367FB" w:rsidP="00F53C74">
            <w:pPr>
              <w:tabs>
                <w:tab w:val="decimal" w:pos="331"/>
              </w:tabs>
              <w:spacing w:before="40" w:after="4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0</w:t>
            </w:r>
          </w:p>
        </w:tc>
        <w:tc>
          <w:tcPr>
            <w:tcW w:w="775" w:type="dxa"/>
            <w:noWrap/>
            <w:hideMark/>
          </w:tcPr>
          <w:p w14:paraId="178BDF42" w14:textId="77777777" w:rsidR="00B367FB" w:rsidRPr="000973F2" w:rsidRDefault="00B367FB" w:rsidP="00F53C74">
            <w:pPr>
              <w:tabs>
                <w:tab w:val="decimal" w:pos="331"/>
              </w:tabs>
              <w:spacing w:before="40" w:after="4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0</w:t>
            </w:r>
          </w:p>
        </w:tc>
        <w:tc>
          <w:tcPr>
            <w:tcW w:w="835" w:type="dxa"/>
            <w:noWrap/>
            <w:hideMark/>
          </w:tcPr>
          <w:p w14:paraId="6C009641" w14:textId="77777777" w:rsidR="00B367FB" w:rsidRPr="000973F2" w:rsidRDefault="00B367FB" w:rsidP="00F53C74">
            <w:pPr>
              <w:tabs>
                <w:tab w:val="decimal" w:pos="331"/>
              </w:tabs>
              <w:spacing w:before="40" w:after="4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$0</w:t>
            </w:r>
          </w:p>
        </w:tc>
        <w:tc>
          <w:tcPr>
            <w:tcW w:w="876" w:type="dxa"/>
            <w:noWrap/>
            <w:hideMark/>
          </w:tcPr>
          <w:p w14:paraId="6D912D0D" w14:textId="77777777" w:rsidR="00B367FB" w:rsidRPr="000973F2" w:rsidRDefault="00B367FB" w:rsidP="00F53C74">
            <w:pPr>
              <w:tabs>
                <w:tab w:val="decimal" w:pos="601"/>
              </w:tabs>
              <w:spacing w:before="40" w:after="4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$383</w:t>
            </w:r>
          </w:p>
        </w:tc>
      </w:tr>
      <w:tr w:rsidR="00D021D6" w:rsidRPr="000973F2" w14:paraId="195A20C4" w14:textId="77777777" w:rsidTr="00F53C74">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1425" w:type="dxa"/>
            <w:hideMark/>
          </w:tcPr>
          <w:p w14:paraId="6FCB1453" w14:textId="77777777" w:rsidR="00B367FB" w:rsidRPr="000973F2" w:rsidRDefault="00B367FB" w:rsidP="00F53C74">
            <w:pPr>
              <w:spacing w:before="40" w:after="4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QA/QC</w:t>
            </w:r>
          </w:p>
        </w:tc>
        <w:tc>
          <w:tcPr>
            <w:tcW w:w="774" w:type="dxa"/>
            <w:noWrap/>
            <w:hideMark/>
          </w:tcPr>
          <w:p w14:paraId="5CD7AA76" w14:textId="77777777" w:rsidR="00B367FB" w:rsidRPr="000973F2" w:rsidRDefault="00B367FB" w:rsidP="00F53C74">
            <w:pPr>
              <w:tabs>
                <w:tab w:val="decimal" w:pos="331"/>
              </w:tabs>
              <w:spacing w:before="40" w:after="4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0</w:t>
            </w:r>
          </w:p>
        </w:tc>
        <w:tc>
          <w:tcPr>
            <w:tcW w:w="774" w:type="dxa"/>
            <w:noWrap/>
            <w:hideMark/>
          </w:tcPr>
          <w:p w14:paraId="58B369E0" w14:textId="77777777" w:rsidR="00B367FB" w:rsidRPr="000973F2" w:rsidRDefault="00B367FB" w:rsidP="00F53C74">
            <w:pPr>
              <w:tabs>
                <w:tab w:val="decimal" w:pos="331"/>
              </w:tabs>
              <w:spacing w:before="40" w:after="4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0</w:t>
            </w:r>
          </w:p>
        </w:tc>
        <w:tc>
          <w:tcPr>
            <w:tcW w:w="774" w:type="dxa"/>
            <w:noWrap/>
            <w:hideMark/>
          </w:tcPr>
          <w:p w14:paraId="75F19DA0" w14:textId="77777777" w:rsidR="00B367FB" w:rsidRPr="000973F2" w:rsidRDefault="00B367FB" w:rsidP="00F53C74">
            <w:pPr>
              <w:tabs>
                <w:tab w:val="decimal" w:pos="331"/>
              </w:tabs>
              <w:spacing w:before="40" w:after="4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0</w:t>
            </w:r>
          </w:p>
        </w:tc>
        <w:tc>
          <w:tcPr>
            <w:tcW w:w="775" w:type="dxa"/>
            <w:noWrap/>
            <w:hideMark/>
          </w:tcPr>
          <w:p w14:paraId="5138E881" w14:textId="77777777" w:rsidR="00B367FB" w:rsidRPr="000973F2" w:rsidRDefault="00B367FB" w:rsidP="00F53C74">
            <w:pPr>
              <w:tabs>
                <w:tab w:val="decimal" w:pos="331"/>
              </w:tabs>
              <w:spacing w:before="40" w:after="4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5</w:t>
            </w:r>
          </w:p>
        </w:tc>
        <w:tc>
          <w:tcPr>
            <w:tcW w:w="774" w:type="dxa"/>
            <w:noWrap/>
            <w:hideMark/>
          </w:tcPr>
          <w:p w14:paraId="0F3C6D90" w14:textId="77777777" w:rsidR="00B367FB" w:rsidRPr="000973F2" w:rsidRDefault="00B367FB" w:rsidP="00F53C74">
            <w:pPr>
              <w:tabs>
                <w:tab w:val="decimal" w:pos="331"/>
              </w:tabs>
              <w:spacing w:before="40" w:after="4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0</w:t>
            </w:r>
          </w:p>
        </w:tc>
        <w:tc>
          <w:tcPr>
            <w:tcW w:w="774" w:type="dxa"/>
            <w:noWrap/>
            <w:hideMark/>
          </w:tcPr>
          <w:p w14:paraId="1C43F8D8" w14:textId="77777777" w:rsidR="00B367FB" w:rsidRPr="000973F2" w:rsidRDefault="00B367FB" w:rsidP="00F53C74">
            <w:pPr>
              <w:tabs>
                <w:tab w:val="decimal" w:pos="331"/>
              </w:tabs>
              <w:spacing w:before="40" w:after="4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0</w:t>
            </w:r>
          </w:p>
        </w:tc>
        <w:tc>
          <w:tcPr>
            <w:tcW w:w="774" w:type="dxa"/>
            <w:noWrap/>
            <w:hideMark/>
          </w:tcPr>
          <w:p w14:paraId="76AE2D8A" w14:textId="77777777" w:rsidR="00B367FB" w:rsidRPr="000973F2" w:rsidRDefault="00B367FB" w:rsidP="00F53C74">
            <w:pPr>
              <w:tabs>
                <w:tab w:val="decimal" w:pos="331"/>
              </w:tabs>
              <w:spacing w:before="40" w:after="4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0</w:t>
            </w:r>
          </w:p>
        </w:tc>
        <w:tc>
          <w:tcPr>
            <w:tcW w:w="775" w:type="dxa"/>
            <w:noWrap/>
            <w:hideMark/>
          </w:tcPr>
          <w:p w14:paraId="1315F462" w14:textId="77777777" w:rsidR="00B367FB" w:rsidRPr="000973F2" w:rsidRDefault="00B367FB" w:rsidP="00F53C74">
            <w:pPr>
              <w:tabs>
                <w:tab w:val="decimal" w:pos="331"/>
              </w:tabs>
              <w:spacing w:before="40" w:after="4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0</w:t>
            </w:r>
          </w:p>
        </w:tc>
        <w:tc>
          <w:tcPr>
            <w:tcW w:w="835" w:type="dxa"/>
            <w:noWrap/>
            <w:hideMark/>
          </w:tcPr>
          <w:p w14:paraId="4C4D00C8" w14:textId="77777777" w:rsidR="00B367FB" w:rsidRPr="000973F2" w:rsidRDefault="00B367FB" w:rsidP="00F53C74">
            <w:pPr>
              <w:tabs>
                <w:tab w:val="decimal" w:pos="331"/>
              </w:tabs>
              <w:spacing w:before="40" w:after="4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$0</w:t>
            </w:r>
          </w:p>
        </w:tc>
        <w:tc>
          <w:tcPr>
            <w:tcW w:w="876" w:type="dxa"/>
            <w:noWrap/>
            <w:hideMark/>
          </w:tcPr>
          <w:p w14:paraId="4123E6CD" w14:textId="77777777" w:rsidR="00B367FB" w:rsidRPr="000973F2" w:rsidRDefault="00B367FB" w:rsidP="00F53C74">
            <w:pPr>
              <w:tabs>
                <w:tab w:val="decimal" w:pos="601"/>
              </w:tabs>
              <w:spacing w:before="40" w:after="4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$437</w:t>
            </w:r>
          </w:p>
        </w:tc>
      </w:tr>
      <w:tr w:rsidR="0050360F" w:rsidRPr="000973F2" w14:paraId="2943D0D3" w14:textId="77777777" w:rsidTr="00F53C74">
        <w:trPr>
          <w:cantSplit/>
        </w:trPr>
        <w:tc>
          <w:tcPr>
            <w:cnfStyle w:val="001000000000" w:firstRow="0" w:lastRow="0" w:firstColumn="1" w:lastColumn="0" w:oddVBand="0" w:evenVBand="0" w:oddHBand="0" w:evenHBand="0" w:firstRowFirstColumn="0" w:firstRowLastColumn="0" w:lastRowFirstColumn="0" w:lastRowLastColumn="0"/>
            <w:tcW w:w="1425" w:type="dxa"/>
            <w:hideMark/>
          </w:tcPr>
          <w:p w14:paraId="31A7ADF6" w14:textId="77777777" w:rsidR="00B367FB" w:rsidRPr="000973F2" w:rsidRDefault="00B367FB" w:rsidP="00F53C74">
            <w:pPr>
              <w:spacing w:before="40" w:after="4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Recordkeeping</w:t>
            </w:r>
          </w:p>
        </w:tc>
        <w:tc>
          <w:tcPr>
            <w:tcW w:w="774" w:type="dxa"/>
            <w:noWrap/>
            <w:hideMark/>
          </w:tcPr>
          <w:p w14:paraId="08C97709" w14:textId="77777777" w:rsidR="00B367FB" w:rsidRPr="000973F2" w:rsidRDefault="00B367FB" w:rsidP="00F53C74">
            <w:pPr>
              <w:tabs>
                <w:tab w:val="decimal" w:pos="331"/>
              </w:tabs>
              <w:spacing w:before="40" w:after="4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0</w:t>
            </w:r>
          </w:p>
        </w:tc>
        <w:tc>
          <w:tcPr>
            <w:tcW w:w="774" w:type="dxa"/>
            <w:noWrap/>
            <w:hideMark/>
          </w:tcPr>
          <w:p w14:paraId="33E83E61" w14:textId="77777777" w:rsidR="00B367FB" w:rsidRPr="000973F2" w:rsidRDefault="00B367FB" w:rsidP="00F53C74">
            <w:pPr>
              <w:tabs>
                <w:tab w:val="decimal" w:pos="331"/>
              </w:tabs>
              <w:spacing w:before="40" w:after="4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0</w:t>
            </w:r>
          </w:p>
        </w:tc>
        <w:tc>
          <w:tcPr>
            <w:tcW w:w="774" w:type="dxa"/>
            <w:noWrap/>
            <w:hideMark/>
          </w:tcPr>
          <w:p w14:paraId="6FADEC39" w14:textId="77777777" w:rsidR="00B367FB" w:rsidRPr="000973F2" w:rsidRDefault="00B367FB" w:rsidP="00F53C74">
            <w:pPr>
              <w:tabs>
                <w:tab w:val="decimal" w:pos="331"/>
              </w:tabs>
              <w:spacing w:before="40" w:after="4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0</w:t>
            </w:r>
          </w:p>
        </w:tc>
        <w:tc>
          <w:tcPr>
            <w:tcW w:w="775" w:type="dxa"/>
            <w:noWrap/>
            <w:hideMark/>
          </w:tcPr>
          <w:p w14:paraId="7E4C3081" w14:textId="77777777" w:rsidR="00B367FB" w:rsidRPr="000973F2" w:rsidRDefault="00B367FB" w:rsidP="00F53C74">
            <w:pPr>
              <w:tabs>
                <w:tab w:val="decimal" w:pos="331"/>
              </w:tabs>
              <w:spacing w:before="40" w:after="4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1</w:t>
            </w:r>
          </w:p>
        </w:tc>
        <w:tc>
          <w:tcPr>
            <w:tcW w:w="774" w:type="dxa"/>
            <w:noWrap/>
            <w:hideMark/>
          </w:tcPr>
          <w:p w14:paraId="4BEDB0FC" w14:textId="77777777" w:rsidR="00B367FB" w:rsidRPr="000973F2" w:rsidRDefault="00B367FB" w:rsidP="00F53C74">
            <w:pPr>
              <w:tabs>
                <w:tab w:val="decimal" w:pos="331"/>
              </w:tabs>
              <w:spacing w:before="40" w:after="4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0</w:t>
            </w:r>
          </w:p>
        </w:tc>
        <w:tc>
          <w:tcPr>
            <w:tcW w:w="774" w:type="dxa"/>
            <w:noWrap/>
            <w:hideMark/>
          </w:tcPr>
          <w:p w14:paraId="78AB9194" w14:textId="77777777" w:rsidR="00B367FB" w:rsidRPr="000973F2" w:rsidRDefault="00B367FB" w:rsidP="00F53C74">
            <w:pPr>
              <w:tabs>
                <w:tab w:val="decimal" w:pos="331"/>
              </w:tabs>
              <w:spacing w:before="40" w:after="4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13</w:t>
            </w:r>
          </w:p>
        </w:tc>
        <w:tc>
          <w:tcPr>
            <w:tcW w:w="774" w:type="dxa"/>
            <w:noWrap/>
            <w:hideMark/>
          </w:tcPr>
          <w:p w14:paraId="68FCD964" w14:textId="77777777" w:rsidR="00B367FB" w:rsidRPr="000973F2" w:rsidRDefault="00B367FB" w:rsidP="00F53C74">
            <w:pPr>
              <w:tabs>
                <w:tab w:val="decimal" w:pos="331"/>
              </w:tabs>
              <w:spacing w:before="40" w:after="4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0</w:t>
            </w:r>
          </w:p>
        </w:tc>
        <w:tc>
          <w:tcPr>
            <w:tcW w:w="775" w:type="dxa"/>
            <w:noWrap/>
            <w:hideMark/>
          </w:tcPr>
          <w:p w14:paraId="472CD0A2" w14:textId="77777777" w:rsidR="00B367FB" w:rsidRPr="000973F2" w:rsidRDefault="00B367FB" w:rsidP="00F53C74">
            <w:pPr>
              <w:tabs>
                <w:tab w:val="decimal" w:pos="331"/>
              </w:tabs>
              <w:spacing w:before="40" w:after="4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1</w:t>
            </w:r>
          </w:p>
        </w:tc>
        <w:tc>
          <w:tcPr>
            <w:tcW w:w="835" w:type="dxa"/>
            <w:noWrap/>
            <w:hideMark/>
          </w:tcPr>
          <w:p w14:paraId="1D4CA1A2" w14:textId="77777777" w:rsidR="00B367FB" w:rsidRPr="000973F2" w:rsidRDefault="00B367FB" w:rsidP="00F53C74">
            <w:pPr>
              <w:tabs>
                <w:tab w:val="decimal" w:pos="331"/>
              </w:tabs>
              <w:spacing w:before="40" w:after="4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$0</w:t>
            </w:r>
          </w:p>
        </w:tc>
        <w:tc>
          <w:tcPr>
            <w:tcW w:w="876" w:type="dxa"/>
            <w:noWrap/>
            <w:hideMark/>
          </w:tcPr>
          <w:p w14:paraId="1FE181F8" w14:textId="77777777" w:rsidR="00B367FB" w:rsidRPr="000973F2" w:rsidRDefault="00B367FB" w:rsidP="00F53C74">
            <w:pPr>
              <w:tabs>
                <w:tab w:val="decimal" w:pos="601"/>
              </w:tabs>
              <w:spacing w:before="40" w:after="4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$1,053</w:t>
            </w:r>
          </w:p>
        </w:tc>
      </w:tr>
      <w:tr w:rsidR="00D021D6" w:rsidRPr="000973F2" w14:paraId="6CF7A09E" w14:textId="77777777" w:rsidTr="00F53C74">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1425" w:type="dxa"/>
            <w:hideMark/>
          </w:tcPr>
          <w:p w14:paraId="29AEFE4E" w14:textId="77777777" w:rsidR="00B367FB" w:rsidRPr="000973F2" w:rsidRDefault="00B367FB" w:rsidP="00F53C74">
            <w:pPr>
              <w:spacing w:before="40" w:after="4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Sampling and Analysis (Calculations)</w:t>
            </w:r>
          </w:p>
        </w:tc>
        <w:tc>
          <w:tcPr>
            <w:tcW w:w="774" w:type="dxa"/>
            <w:noWrap/>
            <w:hideMark/>
          </w:tcPr>
          <w:p w14:paraId="395EAD09" w14:textId="77777777" w:rsidR="00B367FB" w:rsidRPr="000973F2" w:rsidRDefault="00B367FB" w:rsidP="00F53C74">
            <w:pPr>
              <w:tabs>
                <w:tab w:val="decimal" w:pos="331"/>
              </w:tabs>
              <w:spacing w:before="40" w:after="4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0</w:t>
            </w:r>
          </w:p>
        </w:tc>
        <w:tc>
          <w:tcPr>
            <w:tcW w:w="774" w:type="dxa"/>
            <w:noWrap/>
            <w:hideMark/>
          </w:tcPr>
          <w:p w14:paraId="0020FCAD" w14:textId="77777777" w:rsidR="00B367FB" w:rsidRPr="000973F2" w:rsidRDefault="00B367FB" w:rsidP="00F53C74">
            <w:pPr>
              <w:tabs>
                <w:tab w:val="decimal" w:pos="331"/>
              </w:tabs>
              <w:spacing w:before="40" w:after="4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0</w:t>
            </w:r>
          </w:p>
        </w:tc>
        <w:tc>
          <w:tcPr>
            <w:tcW w:w="774" w:type="dxa"/>
            <w:noWrap/>
            <w:hideMark/>
          </w:tcPr>
          <w:p w14:paraId="0C8A3A7D" w14:textId="77777777" w:rsidR="00B367FB" w:rsidRPr="000973F2" w:rsidRDefault="00B367FB" w:rsidP="00F53C74">
            <w:pPr>
              <w:tabs>
                <w:tab w:val="decimal" w:pos="331"/>
              </w:tabs>
              <w:spacing w:before="40" w:after="4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0</w:t>
            </w:r>
          </w:p>
        </w:tc>
        <w:tc>
          <w:tcPr>
            <w:tcW w:w="775" w:type="dxa"/>
            <w:noWrap/>
            <w:hideMark/>
          </w:tcPr>
          <w:p w14:paraId="2DF28562" w14:textId="77777777" w:rsidR="00B367FB" w:rsidRPr="000973F2" w:rsidRDefault="00B367FB" w:rsidP="00F53C74">
            <w:pPr>
              <w:tabs>
                <w:tab w:val="decimal" w:pos="331"/>
              </w:tabs>
              <w:spacing w:before="40" w:after="4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2.4</w:t>
            </w:r>
          </w:p>
        </w:tc>
        <w:tc>
          <w:tcPr>
            <w:tcW w:w="774" w:type="dxa"/>
            <w:noWrap/>
            <w:hideMark/>
          </w:tcPr>
          <w:p w14:paraId="4BF3DCC1" w14:textId="77777777" w:rsidR="00B367FB" w:rsidRPr="000973F2" w:rsidRDefault="00B367FB" w:rsidP="00F53C74">
            <w:pPr>
              <w:tabs>
                <w:tab w:val="decimal" w:pos="331"/>
              </w:tabs>
              <w:spacing w:before="40" w:after="4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0</w:t>
            </w:r>
          </w:p>
        </w:tc>
        <w:tc>
          <w:tcPr>
            <w:tcW w:w="774" w:type="dxa"/>
            <w:noWrap/>
            <w:hideMark/>
          </w:tcPr>
          <w:p w14:paraId="6568B2BD" w14:textId="77777777" w:rsidR="00B367FB" w:rsidRPr="000973F2" w:rsidRDefault="00B367FB" w:rsidP="00F53C74">
            <w:pPr>
              <w:tabs>
                <w:tab w:val="decimal" w:pos="331"/>
              </w:tabs>
              <w:spacing w:before="40" w:after="4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48</w:t>
            </w:r>
          </w:p>
        </w:tc>
        <w:tc>
          <w:tcPr>
            <w:tcW w:w="774" w:type="dxa"/>
            <w:noWrap/>
            <w:hideMark/>
          </w:tcPr>
          <w:p w14:paraId="7C9DDDEA" w14:textId="77777777" w:rsidR="00B367FB" w:rsidRPr="000973F2" w:rsidRDefault="00B367FB" w:rsidP="00F53C74">
            <w:pPr>
              <w:tabs>
                <w:tab w:val="decimal" w:pos="331"/>
              </w:tabs>
              <w:spacing w:before="40" w:after="4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0</w:t>
            </w:r>
          </w:p>
        </w:tc>
        <w:tc>
          <w:tcPr>
            <w:tcW w:w="775" w:type="dxa"/>
            <w:noWrap/>
            <w:hideMark/>
          </w:tcPr>
          <w:p w14:paraId="4F57515E" w14:textId="77777777" w:rsidR="00B367FB" w:rsidRPr="000973F2" w:rsidRDefault="00B367FB" w:rsidP="00F53C74">
            <w:pPr>
              <w:tabs>
                <w:tab w:val="decimal" w:pos="331"/>
              </w:tabs>
              <w:spacing w:before="40" w:after="4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4.8</w:t>
            </w:r>
          </w:p>
        </w:tc>
        <w:tc>
          <w:tcPr>
            <w:tcW w:w="835" w:type="dxa"/>
            <w:noWrap/>
            <w:hideMark/>
          </w:tcPr>
          <w:p w14:paraId="63D96A9F" w14:textId="77777777" w:rsidR="00B367FB" w:rsidRPr="000973F2" w:rsidRDefault="00B367FB" w:rsidP="00F53C74">
            <w:pPr>
              <w:tabs>
                <w:tab w:val="decimal" w:pos="331"/>
              </w:tabs>
              <w:spacing w:before="40" w:after="4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$0</w:t>
            </w:r>
          </w:p>
        </w:tc>
        <w:tc>
          <w:tcPr>
            <w:tcW w:w="876" w:type="dxa"/>
            <w:noWrap/>
            <w:hideMark/>
          </w:tcPr>
          <w:p w14:paraId="26DC500C" w14:textId="77777777" w:rsidR="00B367FB" w:rsidRPr="000973F2" w:rsidRDefault="00B367FB" w:rsidP="00F53C74">
            <w:pPr>
              <w:tabs>
                <w:tab w:val="decimal" w:pos="601"/>
              </w:tabs>
              <w:spacing w:before="40" w:after="4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$3,814</w:t>
            </w:r>
          </w:p>
        </w:tc>
      </w:tr>
      <w:tr w:rsidR="0050360F" w:rsidRPr="000973F2" w14:paraId="5B83FC1E" w14:textId="77777777" w:rsidTr="00F53C74">
        <w:trPr>
          <w:cantSplit/>
        </w:trPr>
        <w:tc>
          <w:tcPr>
            <w:cnfStyle w:val="001000000000" w:firstRow="0" w:lastRow="0" w:firstColumn="1" w:lastColumn="0" w:oddVBand="0" w:evenVBand="0" w:oddHBand="0" w:evenHBand="0" w:firstRowFirstColumn="0" w:firstRowLastColumn="0" w:lastRowFirstColumn="0" w:lastRowLastColumn="0"/>
            <w:tcW w:w="1425" w:type="dxa"/>
            <w:hideMark/>
          </w:tcPr>
          <w:p w14:paraId="72D9B971" w14:textId="77777777" w:rsidR="00B367FB" w:rsidRPr="000973F2" w:rsidRDefault="00B367FB" w:rsidP="00F53C74">
            <w:pPr>
              <w:spacing w:before="40" w:after="4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Reporting</w:t>
            </w:r>
          </w:p>
        </w:tc>
        <w:tc>
          <w:tcPr>
            <w:tcW w:w="774" w:type="dxa"/>
            <w:noWrap/>
            <w:hideMark/>
          </w:tcPr>
          <w:p w14:paraId="25AC218F" w14:textId="77777777" w:rsidR="00B367FB" w:rsidRPr="000973F2" w:rsidRDefault="00B367FB" w:rsidP="00F53C74">
            <w:pPr>
              <w:tabs>
                <w:tab w:val="decimal" w:pos="331"/>
              </w:tabs>
              <w:spacing w:before="40" w:after="4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0</w:t>
            </w:r>
          </w:p>
        </w:tc>
        <w:tc>
          <w:tcPr>
            <w:tcW w:w="774" w:type="dxa"/>
            <w:noWrap/>
            <w:hideMark/>
          </w:tcPr>
          <w:p w14:paraId="57902804" w14:textId="77777777" w:rsidR="00B367FB" w:rsidRPr="000973F2" w:rsidRDefault="00B367FB" w:rsidP="00F53C74">
            <w:pPr>
              <w:tabs>
                <w:tab w:val="decimal" w:pos="331"/>
              </w:tabs>
              <w:spacing w:before="40" w:after="4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0</w:t>
            </w:r>
          </w:p>
        </w:tc>
        <w:tc>
          <w:tcPr>
            <w:tcW w:w="774" w:type="dxa"/>
            <w:noWrap/>
            <w:hideMark/>
          </w:tcPr>
          <w:p w14:paraId="505BFCB7" w14:textId="77777777" w:rsidR="00B367FB" w:rsidRPr="000973F2" w:rsidRDefault="00B367FB" w:rsidP="00F53C74">
            <w:pPr>
              <w:tabs>
                <w:tab w:val="decimal" w:pos="331"/>
              </w:tabs>
              <w:spacing w:before="40" w:after="4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0</w:t>
            </w:r>
          </w:p>
        </w:tc>
        <w:tc>
          <w:tcPr>
            <w:tcW w:w="775" w:type="dxa"/>
            <w:noWrap/>
            <w:hideMark/>
          </w:tcPr>
          <w:p w14:paraId="73FADB75" w14:textId="77777777" w:rsidR="00B367FB" w:rsidRPr="000973F2" w:rsidRDefault="00B367FB" w:rsidP="00F53C74">
            <w:pPr>
              <w:tabs>
                <w:tab w:val="decimal" w:pos="331"/>
              </w:tabs>
              <w:spacing w:before="40" w:after="4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2</w:t>
            </w:r>
          </w:p>
        </w:tc>
        <w:tc>
          <w:tcPr>
            <w:tcW w:w="774" w:type="dxa"/>
            <w:noWrap/>
            <w:hideMark/>
          </w:tcPr>
          <w:p w14:paraId="79C215AE" w14:textId="77777777" w:rsidR="00B367FB" w:rsidRPr="000973F2" w:rsidRDefault="00B367FB" w:rsidP="00F53C74">
            <w:pPr>
              <w:tabs>
                <w:tab w:val="decimal" w:pos="331"/>
              </w:tabs>
              <w:spacing w:before="40" w:after="4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0</w:t>
            </w:r>
          </w:p>
        </w:tc>
        <w:tc>
          <w:tcPr>
            <w:tcW w:w="774" w:type="dxa"/>
            <w:noWrap/>
            <w:hideMark/>
          </w:tcPr>
          <w:p w14:paraId="25C6AFEB" w14:textId="77777777" w:rsidR="00B367FB" w:rsidRPr="000973F2" w:rsidRDefault="00B367FB" w:rsidP="00F53C74">
            <w:pPr>
              <w:tabs>
                <w:tab w:val="decimal" w:pos="331"/>
              </w:tabs>
              <w:spacing w:before="40" w:after="4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26</w:t>
            </w:r>
          </w:p>
        </w:tc>
        <w:tc>
          <w:tcPr>
            <w:tcW w:w="774" w:type="dxa"/>
            <w:noWrap/>
            <w:hideMark/>
          </w:tcPr>
          <w:p w14:paraId="5257A003" w14:textId="77777777" w:rsidR="00B367FB" w:rsidRPr="000973F2" w:rsidRDefault="00B367FB" w:rsidP="00F53C74">
            <w:pPr>
              <w:tabs>
                <w:tab w:val="decimal" w:pos="331"/>
              </w:tabs>
              <w:spacing w:before="40" w:after="4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0</w:t>
            </w:r>
          </w:p>
        </w:tc>
        <w:tc>
          <w:tcPr>
            <w:tcW w:w="775" w:type="dxa"/>
            <w:noWrap/>
            <w:hideMark/>
          </w:tcPr>
          <w:p w14:paraId="06A28489" w14:textId="77777777" w:rsidR="00B367FB" w:rsidRPr="000973F2" w:rsidRDefault="00B367FB" w:rsidP="00F53C74">
            <w:pPr>
              <w:tabs>
                <w:tab w:val="decimal" w:pos="331"/>
              </w:tabs>
              <w:spacing w:before="40" w:after="4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2</w:t>
            </w:r>
          </w:p>
        </w:tc>
        <w:tc>
          <w:tcPr>
            <w:tcW w:w="835" w:type="dxa"/>
            <w:noWrap/>
            <w:hideMark/>
          </w:tcPr>
          <w:p w14:paraId="23C32F66" w14:textId="77777777" w:rsidR="00B367FB" w:rsidRPr="000973F2" w:rsidRDefault="00B367FB" w:rsidP="00F53C74">
            <w:pPr>
              <w:tabs>
                <w:tab w:val="decimal" w:pos="331"/>
              </w:tabs>
              <w:spacing w:before="40" w:after="4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$0</w:t>
            </w:r>
          </w:p>
        </w:tc>
        <w:tc>
          <w:tcPr>
            <w:tcW w:w="876" w:type="dxa"/>
            <w:noWrap/>
            <w:hideMark/>
          </w:tcPr>
          <w:p w14:paraId="11FE154E" w14:textId="77777777" w:rsidR="00B367FB" w:rsidRPr="000973F2" w:rsidRDefault="00B367FB" w:rsidP="00F53C74">
            <w:pPr>
              <w:tabs>
                <w:tab w:val="decimal" w:pos="601"/>
              </w:tabs>
              <w:spacing w:before="40" w:after="4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$2,105</w:t>
            </w:r>
          </w:p>
        </w:tc>
      </w:tr>
      <w:tr w:rsidR="00D021D6" w:rsidRPr="000973F2" w14:paraId="41BEF9BC" w14:textId="77777777" w:rsidTr="00F53C74">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1425" w:type="dxa"/>
            <w:noWrap/>
            <w:hideMark/>
          </w:tcPr>
          <w:p w14:paraId="716C003C" w14:textId="77777777" w:rsidR="00B367FB" w:rsidRPr="000973F2" w:rsidRDefault="00B367FB" w:rsidP="00F53C74">
            <w:pPr>
              <w:spacing w:before="40" w:after="40"/>
              <w:rPr>
                <w:rFonts w:ascii="Times New Roman" w:eastAsia="Times New Roman" w:hAnsi="Times New Roman" w:cs="Times New Roman"/>
                <w:b/>
                <w:bCs w:val="0"/>
                <w:sz w:val="18"/>
                <w:szCs w:val="18"/>
              </w:rPr>
            </w:pPr>
            <w:r w:rsidRPr="000973F2">
              <w:rPr>
                <w:rFonts w:ascii="Times New Roman" w:eastAsia="Times New Roman" w:hAnsi="Times New Roman" w:cs="Times New Roman"/>
                <w:b/>
                <w:sz w:val="18"/>
                <w:szCs w:val="18"/>
              </w:rPr>
              <w:t>Total</w:t>
            </w:r>
          </w:p>
        </w:tc>
        <w:tc>
          <w:tcPr>
            <w:tcW w:w="774" w:type="dxa"/>
            <w:noWrap/>
            <w:hideMark/>
          </w:tcPr>
          <w:p w14:paraId="5751E8DE" w14:textId="77777777" w:rsidR="00B367FB" w:rsidRPr="000973F2" w:rsidRDefault="00B367FB" w:rsidP="00F53C74">
            <w:pPr>
              <w:tabs>
                <w:tab w:val="decimal" w:pos="331"/>
              </w:tabs>
              <w:spacing w:before="40" w:after="4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18"/>
                <w:szCs w:val="18"/>
              </w:rPr>
            </w:pPr>
            <w:r w:rsidRPr="000973F2">
              <w:rPr>
                <w:rFonts w:ascii="Times New Roman" w:eastAsia="Times New Roman" w:hAnsi="Times New Roman" w:cs="Times New Roman"/>
                <w:b/>
                <w:bCs/>
                <w:sz w:val="18"/>
                <w:szCs w:val="18"/>
              </w:rPr>
              <w:t>0</w:t>
            </w:r>
          </w:p>
        </w:tc>
        <w:tc>
          <w:tcPr>
            <w:tcW w:w="774" w:type="dxa"/>
            <w:noWrap/>
            <w:hideMark/>
          </w:tcPr>
          <w:p w14:paraId="7C5F7C37" w14:textId="77777777" w:rsidR="00B367FB" w:rsidRPr="000973F2" w:rsidRDefault="00B367FB" w:rsidP="00F53C74">
            <w:pPr>
              <w:tabs>
                <w:tab w:val="decimal" w:pos="331"/>
              </w:tabs>
              <w:spacing w:before="40" w:after="4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18"/>
                <w:szCs w:val="18"/>
              </w:rPr>
            </w:pPr>
            <w:r w:rsidRPr="000973F2">
              <w:rPr>
                <w:rFonts w:ascii="Times New Roman" w:eastAsia="Times New Roman" w:hAnsi="Times New Roman" w:cs="Times New Roman"/>
                <w:b/>
                <w:bCs/>
                <w:sz w:val="18"/>
                <w:szCs w:val="18"/>
              </w:rPr>
              <w:t>2</w:t>
            </w:r>
          </w:p>
        </w:tc>
        <w:tc>
          <w:tcPr>
            <w:tcW w:w="774" w:type="dxa"/>
            <w:noWrap/>
            <w:hideMark/>
          </w:tcPr>
          <w:p w14:paraId="762D3593" w14:textId="77777777" w:rsidR="00B367FB" w:rsidRPr="000973F2" w:rsidRDefault="00B367FB" w:rsidP="00F53C74">
            <w:pPr>
              <w:tabs>
                <w:tab w:val="decimal" w:pos="331"/>
              </w:tabs>
              <w:spacing w:before="40" w:after="4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18"/>
                <w:szCs w:val="18"/>
              </w:rPr>
            </w:pPr>
            <w:r w:rsidRPr="000973F2">
              <w:rPr>
                <w:rFonts w:ascii="Times New Roman" w:eastAsia="Times New Roman" w:hAnsi="Times New Roman" w:cs="Times New Roman"/>
                <w:b/>
                <w:bCs/>
                <w:sz w:val="18"/>
                <w:szCs w:val="18"/>
              </w:rPr>
              <w:t>0</w:t>
            </w:r>
          </w:p>
        </w:tc>
        <w:tc>
          <w:tcPr>
            <w:tcW w:w="775" w:type="dxa"/>
            <w:noWrap/>
            <w:hideMark/>
          </w:tcPr>
          <w:p w14:paraId="3F6D4250" w14:textId="77777777" w:rsidR="00B367FB" w:rsidRPr="000973F2" w:rsidRDefault="00B367FB" w:rsidP="00F53C74">
            <w:pPr>
              <w:tabs>
                <w:tab w:val="decimal" w:pos="331"/>
              </w:tabs>
              <w:spacing w:before="40" w:after="4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18"/>
                <w:szCs w:val="18"/>
              </w:rPr>
            </w:pPr>
            <w:r w:rsidRPr="000973F2">
              <w:rPr>
                <w:rFonts w:ascii="Times New Roman" w:eastAsia="Times New Roman" w:hAnsi="Times New Roman" w:cs="Times New Roman"/>
                <w:b/>
                <w:bCs/>
                <w:sz w:val="18"/>
                <w:szCs w:val="18"/>
              </w:rPr>
              <w:t>11.4</w:t>
            </w:r>
          </w:p>
        </w:tc>
        <w:tc>
          <w:tcPr>
            <w:tcW w:w="774" w:type="dxa"/>
            <w:noWrap/>
            <w:hideMark/>
          </w:tcPr>
          <w:p w14:paraId="5D95BEEB" w14:textId="77777777" w:rsidR="00B367FB" w:rsidRPr="000973F2" w:rsidRDefault="00B367FB" w:rsidP="00F53C74">
            <w:pPr>
              <w:tabs>
                <w:tab w:val="decimal" w:pos="331"/>
              </w:tabs>
              <w:spacing w:before="40" w:after="4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18"/>
                <w:szCs w:val="18"/>
              </w:rPr>
            </w:pPr>
            <w:r w:rsidRPr="000973F2">
              <w:rPr>
                <w:rFonts w:ascii="Times New Roman" w:eastAsia="Times New Roman" w:hAnsi="Times New Roman" w:cs="Times New Roman"/>
                <w:b/>
                <w:bCs/>
                <w:sz w:val="18"/>
                <w:szCs w:val="18"/>
              </w:rPr>
              <w:t>0</w:t>
            </w:r>
          </w:p>
        </w:tc>
        <w:tc>
          <w:tcPr>
            <w:tcW w:w="774" w:type="dxa"/>
            <w:noWrap/>
            <w:hideMark/>
          </w:tcPr>
          <w:p w14:paraId="54CA1EA1" w14:textId="77777777" w:rsidR="00B367FB" w:rsidRPr="000973F2" w:rsidRDefault="00B367FB" w:rsidP="00F53C74">
            <w:pPr>
              <w:tabs>
                <w:tab w:val="decimal" w:pos="331"/>
              </w:tabs>
              <w:spacing w:before="40" w:after="4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18"/>
                <w:szCs w:val="18"/>
              </w:rPr>
            </w:pPr>
            <w:r w:rsidRPr="000973F2">
              <w:rPr>
                <w:rFonts w:ascii="Times New Roman" w:eastAsia="Times New Roman" w:hAnsi="Times New Roman" w:cs="Times New Roman"/>
                <w:b/>
                <w:bCs/>
                <w:sz w:val="18"/>
                <w:szCs w:val="18"/>
              </w:rPr>
              <w:t>88</w:t>
            </w:r>
          </w:p>
        </w:tc>
        <w:tc>
          <w:tcPr>
            <w:tcW w:w="774" w:type="dxa"/>
            <w:noWrap/>
            <w:hideMark/>
          </w:tcPr>
          <w:p w14:paraId="6905D77C" w14:textId="77777777" w:rsidR="00B367FB" w:rsidRPr="000973F2" w:rsidRDefault="00B367FB" w:rsidP="00F53C74">
            <w:pPr>
              <w:tabs>
                <w:tab w:val="decimal" w:pos="331"/>
              </w:tabs>
              <w:spacing w:before="40" w:after="4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18"/>
                <w:szCs w:val="18"/>
              </w:rPr>
            </w:pPr>
            <w:r w:rsidRPr="000973F2">
              <w:rPr>
                <w:rFonts w:ascii="Times New Roman" w:eastAsia="Times New Roman" w:hAnsi="Times New Roman" w:cs="Times New Roman"/>
                <w:b/>
                <w:bCs/>
                <w:sz w:val="18"/>
                <w:szCs w:val="18"/>
              </w:rPr>
              <w:t>0</w:t>
            </w:r>
          </w:p>
        </w:tc>
        <w:tc>
          <w:tcPr>
            <w:tcW w:w="775" w:type="dxa"/>
            <w:noWrap/>
            <w:hideMark/>
          </w:tcPr>
          <w:p w14:paraId="20289773" w14:textId="77777777" w:rsidR="00B367FB" w:rsidRPr="000973F2" w:rsidRDefault="00B367FB" w:rsidP="00F53C74">
            <w:pPr>
              <w:tabs>
                <w:tab w:val="decimal" w:pos="331"/>
              </w:tabs>
              <w:spacing w:before="40" w:after="4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18"/>
                <w:szCs w:val="18"/>
              </w:rPr>
            </w:pPr>
            <w:r w:rsidRPr="000973F2">
              <w:rPr>
                <w:rFonts w:ascii="Times New Roman" w:eastAsia="Times New Roman" w:hAnsi="Times New Roman" w:cs="Times New Roman"/>
                <w:b/>
                <w:bCs/>
                <w:sz w:val="18"/>
                <w:szCs w:val="18"/>
              </w:rPr>
              <w:t>7.8</w:t>
            </w:r>
          </w:p>
        </w:tc>
        <w:tc>
          <w:tcPr>
            <w:tcW w:w="835" w:type="dxa"/>
            <w:noWrap/>
            <w:hideMark/>
          </w:tcPr>
          <w:p w14:paraId="5046E3BA" w14:textId="77777777" w:rsidR="00B367FB" w:rsidRPr="000973F2" w:rsidRDefault="00B367FB" w:rsidP="00F53C74">
            <w:pPr>
              <w:tabs>
                <w:tab w:val="decimal" w:pos="331"/>
              </w:tabs>
              <w:spacing w:before="40" w:after="4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18"/>
                <w:szCs w:val="18"/>
              </w:rPr>
            </w:pPr>
            <w:r w:rsidRPr="000973F2">
              <w:rPr>
                <w:rFonts w:ascii="Times New Roman" w:eastAsia="Times New Roman" w:hAnsi="Times New Roman" w:cs="Times New Roman"/>
                <w:b/>
                <w:bCs/>
                <w:sz w:val="18"/>
                <w:szCs w:val="18"/>
              </w:rPr>
              <w:t>$0</w:t>
            </w:r>
          </w:p>
        </w:tc>
        <w:tc>
          <w:tcPr>
            <w:tcW w:w="876" w:type="dxa"/>
            <w:noWrap/>
            <w:hideMark/>
          </w:tcPr>
          <w:p w14:paraId="4A9B4550" w14:textId="77777777" w:rsidR="00B367FB" w:rsidRPr="000973F2" w:rsidRDefault="00B367FB" w:rsidP="00F53C74">
            <w:pPr>
              <w:tabs>
                <w:tab w:val="decimal" w:pos="601"/>
              </w:tabs>
              <w:spacing w:before="40" w:after="4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18"/>
                <w:szCs w:val="18"/>
              </w:rPr>
            </w:pPr>
            <w:r w:rsidRPr="000973F2">
              <w:rPr>
                <w:rFonts w:ascii="Times New Roman" w:eastAsia="Times New Roman" w:hAnsi="Times New Roman" w:cs="Times New Roman"/>
                <w:b/>
                <w:bCs/>
                <w:sz w:val="18"/>
                <w:szCs w:val="18"/>
              </w:rPr>
              <w:t>$7,792</w:t>
            </w:r>
          </w:p>
        </w:tc>
      </w:tr>
    </w:tbl>
    <w:p w14:paraId="73BD9E38" w14:textId="28F8F1A7" w:rsidR="00B367FB" w:rsidRPr="000973F2" w:rsidRDefault="00B367FB" w:rsidP="00F53C74">
      <w:pPr>
        <w:pStyle w:val="Heading2"/>
      </w:pPr>
      <w:r w:rsidRPr="000973F2">
        <w:t xml:space="preserve">Labor Costs for Subpart OO </w:t>
      </w:r>
      <w:r w:rsidR="00F53C74" w:rsidRPr="000973F2">
        <w:t>–</w:t>
      </w:r>
      <w:r w:rsidRPr="000973F2">
        <w:t xml:space="preserve"> Importers</w:t>
      </w:r>
    </w:p>
    <w:p w14:paraId="4C6BCB5F" w14:textId="49DF7E90" w:rsidR="00B367FB" w:rsidRPr="000973F2" w:rsidRDefault="00B367FB" w:rsidP="00F53C74">
      <w:pPr>
        <w:pStyle w:val="BodyText"/>
      </w:pPr>
      <w:r w:rsidRPr="000973F2">
        <w:t xml:space="preserve">The labor costs for each of the 54 importers to report under Subpart OO are provided in Table </w:t>
      </w:r>
      <w:r w:rsidR="00F53C74" w:rsidRPr="000973F2">
        <w:t>OO-</w:t>
      </w:r>
      <w:r w:rsidRPr="000973F2">
        <w:t xml:space="preserve">1b. </w:t>
      </w:r>
      <w:r w:rsidRPr="000973F2">
        <w:rPr>
          <w:iCs/>
        </w:rPr>
        <w:t>Typical activities for each of the labor activities are discussed in the Cost Appendix Introduction</w:t>
      </w:r>
      <w:r w:rsidRPr="000973F2">
        <w:t>.</w:t>
      </w:r>
      <w:r w:rsidRPr="000973F2">
        <w:rPr>
          <w:sz w:val="20"/>
        </w:rPr>
        <w:t xml:space="preserve"> </w:t>
      </w:r>
      <w:r w:rsidRPr="000973F2">
        <w:t>Importers also provide an annual report that summarizes imports at the corporate level (see §98.416(c)).</w:t>
      </w:r>
      <w:r w:rsidRPr="000973F2">
        <w:rPr>
          <w:sz w:val="20"/>
        </w:rPr>
        <w:t xml:space="preserve"> </w:t>
      </w:r>
      <w:r w:rsidRPr="000973F2">
        <w:t xml:space="preserve">No new importers are expected to report under Subpart OO </w:t>
      </w:r>
      <w:r w:rsidR="00BB183C" w:rsidRPr="000973F2">
        <w:t xml:space="preserve">during the </w:t>
      </w:r>
      <w:r w:rsidRPr="000973F2">
        <w:t>three year</w:t>
      </w:r>
      <w:r w:rsidR="00BB183C" w:rsidRPr="000973F2">
        <w:t xml:space="preserve"> period covered by this ICR</w:t>
      </w:r>
      <w:r w:rsidRPr="000973F2">
        <w:t>. Initial year costs apply to new facilities; therefore, those costs are zero in the tables below. Recordkeeping and reporting labor costs are based on the “high bin” designation.</w:t>
      </w:r>
    </w:p>
    <w:p w14:paraId="2D66B618" w14:textId="49F35C01" w:rsidR="00BF74AE" w:rsidRPr="000973F2" w:rsidRDefault="00BF74AE" w:rsidP="00F53C74">
      <w:pPr>
        <w:pStyle w:val="Tabletitle"/>
      </w:pPr>
      <w:r w:rsidRPr="000973F2">
        <w:t xml:space="preserve">Table </w:t>
      </w:r>
      <w:r w:rsidR="00F53C74" w:rsidRPr="000973F2">
        <w:t>OO-</w:t>
      </w:r>
      <w:r w:rsidRPr="000973F2">
        <w:t xml:space="preserve">1b. Labor Costs </w:t>
      </w:r>
      <w:r w:rsidR="00B960CC" w:rsidRPr="000973F2">
        <w:t>–</w:t>
      </w:r>
      <w:r w:rsidRPr="000973F2">
        <w:t xml:space="preserve"> Subpart OO</w:t>
      </w:r>
      <w:r w:rsidR="00FD42AE" w:rsidRPr="000973F2">
        <w:t xml:space="preserve"> </w:t>
      </w:r>
      <w:r w:rsidR="005A3F08" w:rsidRPr="000973F2">
        <w:t xml:space="preserve">– </w:t>
      </w:r>
      <w:r w:rsidRPr="000973F2">
        <w:t>Importers</w:t>
      </w:r>
    </w:p>
    <w:tbl>
      <w:tblPr>
        <w:tblStyle w:val="PlainTable1"/>
        <w:tblW w:w="5000" w:type="pct"/>
        <w:jc w:val="left"/>
        <w:tblLayout w:type="fixed"/>
        <w:tblCellMar>
          <w:left w:w="115" w:type="dxa"/>
          <w:right w:w="115" w:type="dxa"/>
        </w:tblCellMar>
        <w:tblLook w:val="04A0" w:firstRow="1" w:lastRow="0" w:firstColumn="1" w:lastColumn="0" w:noHBand="0" w:noVBand="1"/>
      </w:tblPr>
      <w:tblGrid>
        <w:gridCol w:w="1466"/>
        <w:gridCol w:w="787"/>
        <w:gridCol w:w="786"/>
        <w:gridCol w:w="786"/>
        <w:gridCol w:w="786"/>
        <w:gridCol w:w="786"/>
        <w:gridCol w:w="786"/>
        <w:gridCol w:w="786"/>
        <w:gridCol w:w="786"/>
        <w:gridCol w:w="917"/>
        <w:gridCol w:w="918"/>
      </w:tblGrid>
      <w:tr w:rsidR="00B367FB" w:rsidRPr="000973F2" w14:paraId="5FCA73B6" w14:textId="77777777" w:rsidTr="00F53C74">
        <w:trPr>
          <w:cnfStyle w:val="100000000000" w:firstRow="1" w:lastRow="0" w:firstColumn="0" w:lastColumn="0" w:oddVBand="0" w:evenVBand="0" w:oddHBand="0" w:evenHBand="0" w:firstRowFirstColumn="0" w:firstRowLastColumn="0" w:lastRowFirstColumn="0" w:lastRowLastColumn="0"/>
          <w:cantSplit/>
          <w:jc w:val="left"/>
        </w:trPr>
        <w:tc>
          <w:tcPr>
            <w:cnfStyle w:val="001000000000" w:firstRow="0" w:lastRow="0" w:firstColumn="1" w:lastColumn="0" w:oddVBand="0" w:evenVBand="0" w:oddHBand="0" w:evenHBand="0" w:firstRowFirstColumn="0" w:firstRowLastColumn="0" w:lastRowFirstColumn="0" w:lastRowLastColumn="0"/>
            <w:tcW w:w="1425" w:type="dxa"/>
            <w:vMerge w:val="restart"/>
            <w:noWrap/>
            <w:vAlign w:val="top"/>
            <w:hideMark/>
          </w:tcPr>
          <w:p w14:paraId="0CBDD65A" w14:textId="77777777" w:rsidR="00B367FB" w:rsidRPr="000973F2" w:rsidRDefault="00B367FB" w:rsidP="00F53C74">
            <w:pPr>
              <w:spacing w:before="40" w:after="40"/>
              <w:rPr>
                <w:rFonts w:ascii="Times New Roman" w:eastAsia="Times New Roman" w:hAnsi="Times New Roman" w:cs="Times New Roman"/>
                <w:bCs w:val="0"/>
                <w:sz w:val="18"/>
                <w:szCs w:val="18"/>
              </w:rPr>
            </w:pPr>
            <w:r w:rsidRPr="000973F2">
              <w:rPr>
                <w:rFonts w:ascii="Times New Roman" w:eastAsia="Times New Roman" w:hAnsi="Times New Roman" w:cs="Times New Roman"/>
                <w:bCs w:val="0"/>
                <w:sz w:val="18"/>
                <w:szCs w:val="18"/>
              </w:rPr>
              <w:t>Activity</w:t>
            </w:r>
          </w:p>
        </w:tc>
        <w:tc>
          <w:tcPr>
            <w:tcW w:w="6120" w:type="dxa"/>
            <w:gridSpan w:val="8"/>
            <w:noWrap/>
            <w:vAlign w:val="top"/>
            <w:hideMark/>
          </w:tcPr>
          <w:p w14:paraId="69D4E076" w14:textId="77777777" w:rsidR="00B367FB" w:rsidRPr="000973F2" w:rsidRDefault="00B367FB" w:rsidP="00F53C74">
            <w:pPr>
              <w:spacing w:before="40" w:after="40"/>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Cs w:val="0"/>
                <w:sz w:val="18"/>
                <w:szCs w:val="18"/>
              </w:rPr>
            </w:pPr>
            <w:r w:rsidRPr="000973F2">
              <w:rPr>
                <w:rFonts w:ascii="Times New Roman" w:eastAsia="Times New Roman" w:hAnsi="Times New Roman" w:cs="Times New Roman"/>
                <w:bCs w:val="0"/>
                <w:sz w:val="18"/>
                <w:szCs w:val="18"/>
              </w:rPr>
              <w:t>Labor Rates (per hour)</w:t>
            </w:r>
          </w:p>
        </w:tc>
        <w:tc>
          <w:tcPr>
            <w:tcW w:w="1785" w:type="dxa"/>
            <w:gridSpan w:val="2"/>
            <w:vMerge w:val="restart"/>
            <w:vAlign w:val="top"/>
            <w:hideMark/>
          </w:tcPr>
          <w:p w14:paraId="26B3EE51" w14:textId="77777777" w:rsidR="00B367FB" w:rsidRPr="000973F2" w:rsidRDefault="00B367FB" w:rsidP="00F53C74">
            <w:pPr>
              <w:spacing w:before="40" w:after="40"/>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Cs w:val="0"/>
                <w:sz w:val="18"/>
                <w:szCs w:val="18"/>
              </w:rPr>
            </w:pPr>
            <w:r w:rsidRPr="000973F2">
              <w:rPr>
                <w:rFonts w:ascii="Times New Roman" w:eastAsia="Times New Roman" w:hAnsi="Times New Roman" w:cs="Times New Roman"/>
                <w:bCs w:val="0"/>
                <w:sz w:val="18"/>
                <w:szCs w:val="18"/>
              </w:rPr>
              <w:t>Total Labor Cost</w:t>
            </w:r>
            <w:r w:rsidRPr="000973F2">
              <w:rPr>
                <w:rFonts w:ascii="Times New Roman" w:eastAsia="Times New Roman" w:hAnsi="Times New Roman" w:cs="Times New Roman"/>
                <w:bCs w:val="0"/>
                <w:sz w:val="18"/>
                <w:szCs w:val="18"/>
              </w:rPr>
              <w:br/>
              <w:t xml:space="preserve">per Year </w:t>
            </w:r>
            <w:r w:rsidRPr="000973F2">
              <w:rPr>
                <w:rFonts w:ascii="Times New Roman" w:eastAsia="Times New Roman" w:hAnsi="Times New Roman" w:cs="Times New Roman"/>
                <w:bCs w:val="0"/>
                <w:sz w:val="18"/>
                <w:szCs w:val="18"/>
              </w:rPr>
              <w:br/>
              <w:t>per Facility (2017$)</w:t>
            </w:r>
          </w:p>
        </w:tc>
      </w:tr>
      <w:tr w:rsidR="00B367FB" w:rsidRPr="000973F2" w14:paraId="0168D32C" w14:textId="77777777" w:rsidTr="00F53C74">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1425" w:type="dxa"/>
            <w:vMerge/>
            <w:hideMark/>
          </w:tcPr>
          <w:p w14:paraId="74C60899" w14:textId="77777777" w:rsidR="00B367FB" w:rsidRPr="000973F2" w:rsidRDefault="00B367FB" w:rsidP="00F53C74">
            <w:pPr>
              <w:spacing w:before="40" w:after="40"/>
              <w:rPr>
                <w:rFonts w:ascii="Times New Roman" w:eastAsia="Times New Roman" w:hAnsi="Times New Roman" w:cs="Times New Roman"/>
                <w:b/>
                <w:bCs w:val="0"/>
                <w:sz w:val="18"/>
                <w:szCs w:val="18"/>
              </w:rPr>
            </w:pPr>
          </w:p>
        </w:tc>
        <w:tc>
          <w:tcPr>
            <w:tcW w:w="1530" w:type="dxa"/>
            <w:gridSpan w:val="2"/>
            <w:noWrap/>
            <w:hideMark/>
          </w:tcPr>
          <w:p w14:paraId="6C44BC9B" w14:textId="77777777" w:rsidR="00B367FB" w:rsidRPr="000973F2" w:rsidRDefault="00B367FB" w:rsidP="00F53C74">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18"/>
                <w:szCs w:val="18"/>
              </w:rPr>
            </w:pPr>
            <w:r w:rsidRPr="000973F2">
              <w:rPr>
                <w:rFonts w:ascii="Times New Roman" w:eastAsia="Times New Roman" w:hAnsi="Times New Roman" w:cs="Times New Roman"/>
                <w:b/>
                <w:bCs/>
                <w:sz w:val="18"/>
                <w:szCs w:val="18"/>
              </w:rPr>
              <w:t>Lawyer</w:t>
            </w:r>
          </w:p>
        </w:tc>
        <w:tc>
          <w:tcPr>
            <w:tcW w:w="1530" w:type="dxa"/>
            <w:gridSpan w:val="2"/>
            <w:hideMark/>
          </w:tcPr>
          <w:p w14:paraId="24047D39" w14:textId="77777777" w:rsidR="00B367FB" w:rsidRPr="000973F2" w:rsidRDefault="00B367FB" w:rsidP="00F53C74">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18"/>
                <w:szCs w:val="18"/>
              </w:rPr>
            </w:pPr>
            <w:r w:rsidRPr="000973F2">
              <w:rPr>
                <w:rFonts w:ascii="Times New Roman" w:eastAsia="Times New Roman" w:hAnsi="Times New Roman" w:cs="Times New Roman"/>
                <w:b/>
                <w:bCs/>
                <w:sz w:val="18"/>
                <w:szCs w:val="18"/>
              </w:rPr>
              <w:t>Industrial</w:t>
            </w:r>
            <w:r w:rsidRPr="000973F2">
              <w:rPr>
                <w:rFonts w:ascii="Times New Roman" w:eastAsia="Times New Roman" w:hAnsi="Times New Roman" w:cs="Times New Roman"/>
                <w:b/>
                <w:bCs/>
                <w:sz w:val="18"/>
                <w:szCs w:val="18"/>
              </w:rPr>
              <w:br/>
              <w:t>Manager</w:t>
            </w:r>
          </w:p>
        </w:tc>
        <w:tc>
          <w:tcPr>
            <w:tcW w:w="1530" w:type="dxa"/>
            <w:gridSpan w:val="2"/>
            <w:hideMark/>
          </w:tcPr>
          <w:p w14:paraId="5B44B15F" w14:textId="181D5CC5" w:rsidR="00B367FB" w:rsidRPr="000973F2" w:rsidRDefault="00B367FB" w:rsidP="00F53C74">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18"/>
                <w:szCs w:val="18"/>
              </w:rPr>
            </w:pPr>
            <w:r w:rsidRPr="000973F2">
              <w:rPr>
                <w:rFonts w:ascii="Times New Roman" w:eastAsia="Times New Roman" w:hAnsi="Times New Roman" w:cs="Times New Roman"/>
                <w:b/>
                <w:bCs/>
                <w:sz w:val="18"/>
                <w:szCs w:val="18"/>
              </w:rPr>
              <w:t>Industrial Engineer/</w:t>
            </w:r>
            <w:r w:rsidR="00F53C74" w:rsidRPr="000973F2">
              <w:rPr>
                <w:rFonts w:ascii="Times New Roman" w:eastAsia="Times New Roman" w:hAnsi="Times New Roman" w:cs="Times New Roman"/>
                <w:b/>
                <w:bCs/>
                <w:sz w:val="18"/>
                <w:szCs w:val="18"/>
              </w:rPr>
              <w:t xml:space="preserve"> </w:t>
            </w:r>
            <w:r w:rsidRPr="000973F2">
              <w:rPr>
                <w:rFonts w:ascii="Times New Roman" w:eastAsia="Times New Roman" w:hAnsi="Times New Roman" w:cs="Times New Roman"/>
                <w:b/>
                <w:bCs/>
                <w:sz w:val="18"/>
                <w:szCs w:val="18"/>
              </w:rPr>
              <w:t>Technician</w:t>
            </w:r>
          </w:p>
        </w:tc>
        <w:tc>
          <w:tcPr>
            <w:tcW w:w="1530" w:type="dxa"/>
            <w:gridSpan w:val="2"/>
            <w:hideMark/>
          </w:tcPr>
          <w:p w14:paraId="75557628" w14:textId="77777777" w:rsidR="00B367FB" w:rsidRPr="000973F2" w:rsidRDefault="00B367FB" w:rsidP="00F53C74">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18"/>
                <w:szCs w:val="18"/>
              </w:rPr>
            </w:pPr>
            <w:r w:rsidRPr="000973F2">
              <w:rPr>
                <w:rFonts w:ascii="Times New Roman" w:eastAsia="Times New Roman" w:hAnsi="Times New Roman" w:cs="Times New Roman"/>
                <w:b/>
                <w:bCs/>
                <w:sz w:val="18"/>
                <w:szCs w:val="18"/>
              </w:rPr>
              <w:t>Administrative Support</w:t>
            </w:r>
          </w:p>
        </w:tc>
        <w:tc>
          <w:tcPr>
            <w:tcW w:w="1785" w:type="dxa"/>
            <w:gridSpan w:val="2"/>
            <w:vMerge/>
            <w:hideMark/>
          </w:tcPr>
          <w:p w14:paraId="6AA2C4E7" w14:textId="77777777" w:rsidR="00B367FB" w:rsidRPr="000973F2" w:rsidRDefault="00B367FB" w:rsidP="00F53C74">
            <w:pPr>
              <w:spacing w:before="40" w:after="4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18"/>
                <w:szCs w:val="18"/>
              </w:rPr>
            </w:pPr>
          </w:p>
        </w:tc>
      </w:tr>
      <w:tr w:rsidR="00F40901" w:rsidRPr="000973F2" w14:paraId="29876AEA" w14:textId="77777777" w:rsidTr="00F53C74">
        <w:trPr>
          <w:cantSplit/>
        </w:trPr>
        <w:tc>
          <w:tcPr>
            <w:cnfStyle w:val="001000000000" w:firstRow="0" w:lastRow="0" w:firstColumn="1" w:lastColumn="0" w:oddVBand="0" w:evenVBand="0" w:oddHBand="0" w:evenHBand="0" w:firstRowFirstColumn="0" w:firstRowLastColumn="0" w:lastRowFirstColumn="0" w:lastRowLastColumn="0"/>
            <w:tcW w:w="1425" w:type="dxa"/>
            <w:vMerge/>
            <w:hideMark/>
          </w:tcPr>
          <w:p w14:paraId="2D79FF20" w14:textId="77777777" w:rsidR="00B367FB" w:rsidRPr="000973F2" w:rsidRDefault="00B367FB" w:rsidP="00F53C74">
            <w:pPr>
              <w:spacing w:before="40" w:after="40"/>
              <w:rPr>
                <w:rFonts w:ascii="Times New Roman" w:eastAsia="Times New Roman" w:hAnsi="Times New Roman" w:cs="Times New Roman"/>
                <w:b/>
                <w:bCs w:val="0"/>
                <w:sz w:val="18"/>
                <w:szCs w:val="18"/>
              </w:rPr>
            </w:pPr>
          </w:p>
        </w:tc>
        <w:tc>
          <w:tcPr>
            <w:tcW w:w="1530" w:type="dxa"/>
            <w:gridSpan w:val="2"/>
            <w:noWrap/>
            <w:hideMark/>
          </w:tcPr>
          <w:p w14:paraId="3C3D34AF" w14:textId="77777777" w:rsidR="00B367FB" w:rsidRPr="000973F2" w:rsidRDefault="00B367FB" w:rsidP="00F53C74">
            <w:pPr>
              <w:spacing w:before="40" w:after="4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sz w:val="18"/>
                <w:szCs w:val="18"/>
              </w:rPr>
            </w:pPr>
            <w:r w:rsidRPr="000973F2">
              <w:rPr>
                <w:rFonts w:ascii="Times New Roman" w:eastAsia="Times New Roman" w:hAnsi="Times New Roman" w:cs="Times New Roman"/>
                <w:b/>
                <w:bCs/>
                <w:sz w:val="18"/>
                <w:szCs w:val="18"/>
              </w:rPr>
              <w:t xml:space="preserve">$112.23 </w:t>
            </w:r>
          </w:p>
        </w:tc>
        <w:tc>
          <w:tcPr>
            <w:tcW w:w="1530" w:type="dxa"/>
            <w:gridSpan w:val="2"/>
            <w:noWrap/>
            <w:hideMark/>
          </w:tcPr>
          <w:p w14:paraId="131AFC8D" w14:textId="77777777" w:rsidR="00B367FB" w:rsidRPr="000973F2" w:rsidRDefault="00B367FB" w:rsidP="00F53C74">
            <w:pPr>
              <w:spacing w:before="40" w:after="4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sz w:val="18"/>
                <w:szCs w:val="18"/>
              </w:rPr>
            </w:pPr>
            <w:r w:rsidRPr="000973F2">
              <w:rPr>
                <w:rFonts w:ascii="Times New Roman" w:eastAsia="Times New Roman" w:hAnsi="Times New Roman" w:cs="Times New Roman"/>
                <w:b/>
                <w:bCs/>
                <w:sz w:val="18"/>
                <w:szCs w:val="18"/>
              </w:rPr>
              <w:t xml:space="preserve">$87.45 </w:t>
            </w:r>
          </w:p>
        </w:tc>
        <w:tc>
          <w:tcPr>
            <w:tcW w:w="1530" w:type="dxa"/>
            <w:gridSpan w:val="2"/>
            <w:noWrap/>
            <w:hideMark/>
          </w:tcPr>
          <w:p w14:paraId="0D575649" w14:textId="77777777" w:rsidR="00B367FB" w:rsidRPr="000973F2" w:rsidRDefault="00B367FB" w:rsidP="00F53C74">
            <w:pPr>
              <w:spacing w:before="40" w:after="4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sz w:val="18"/>
                <w:szCs w:val="18"/>
              </w:rPr>
            </w:pPr>
            <w:r w:rsidRPr="000973F2">
              <w:rPr>
                <w:rFonts w:ascii="Times New Roman" w:eastAsia="Times New Roman" w:hAnsi="Times New Roman" w:cs="Times New Roman"/>
                <w:b/>
                <w:bCs/>
                <w:sz w:val="18"/>
                <w:szCs w:val="18"/>
              </w:rPr>
              <w:t xml:space="preserve">$71.45 </w:t>
            </w:r>
          </w:p>
        </w:tc>
        <w:tc>
          <w:tcPr>
            <w:tcW w:w="1530" w:type="dxa"/>
            <w:gridSpan w:val="2"/>
            <w:noWrap/>
            <w:hideMark/>
          </w:tcPr>
          <w:p w14:paraId="6A95F6AC" w14:textId="77777777" w:rsidR="00B367FB" w:rsidRPr="000973F2" w:rsidRDefault="00B367FB" w:rsidP="00F53C74">
            <w:pPr>
              <w:spacing w:before="40" w:after="4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sz w:val="18"/>
                <w:szCs w:val="18"/>
              </w:rPr>
            </w:pPr>
            <w:r w:rsidRPr="000973F2">
              <w:rPr>
                <w:rFonts w:ascii="Times New Roman" w:eastAsia="Times New Roman" w:hAnsi="Times New Roman" w:cs="Times New Roman"/>
                <w:b/>
                <w:bCs/>
                <w:sz w:val="18"/>
                <w:szCs w:val="18"/>
              </w:rPr>
              <w:t xml:space="preserve">$36.28 </w:t>
            </w:r>
          </w:p>
        </w:tc>
        <w:tc>
          <w:tcPr>
            <w:tcW w:w="1785" w:type="dxa"/>
            <w:gridSpan w:val="2"/>
            <w:vMerge/>
            <w:hideMark/>
          </w:tcPr>
          <w:p w14:paraId="1625219E" w14:textId="77777777" w:rsidR="00B367FB" w:rsidRPr="000973F2" w:rsidRDefault="00B367FB" w:rsidP="00F53C74">
            <w:pPr>
              <w:spacing w:before="40" w:after="4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sz w:val="18"/>
                <w:szCs w:val="18"/>
              </w:rPr>
            </w:pPr>
          </w:p>
        </w:tc>
      </w:tr>
      <w:tr w:rsidR="00F53C74" w:rsidRPr="000973F2" w14:paraId="06B8900C" w14:textId="77777777" w:rsidTr="00F53C74">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1425" w:type="dxa"/>
            <w:vMerge/>
            <w:hideMark/>
          </w:tcPr>
          <w:p w14:paraId="4B1D558B" w14:textId="77777777" w:rsidR="00B367FB" w:rsidRPr="000973F2" w:rsidRDefault="00B367FB" w:rsidP="00F53C74">
            <w:pPr>
              <w:spacing w:before="40" w:after="40"/>
              <w:rPr>
                <w:rFonts w:ascii="Times New Roman" w:eastAsia="Times New Roman" w:hAnsi="Times New Roman" w:cs="Times New Roman"/>
                <w:b/>
                <w:bCs w:val="0"/>
                <w:sz w:val="18"/>
                <w:szCs w:val="18"/>
              </w:rPr>
            </w:pPr>
          </w:p>
        </w:tc>
        <w:tc>
          <w:tcPr>
            <w:tcW w:w="765" w:type="dxa"/>
            <w:tcMar>
              <w:left w:w="14" w:type="dxa"/>
              <w:right w:w="14" w:type="dxa"/>
            </w:tcMar>
            <w:hideMark/>
          </w:tcPr>
          <w:p w14:paraId="3F679AB9" w14:textId="77777777" w:rsidR="00B367FB" w:rsidRPr="000973F2" w:rsidRDefault="00B367FB" w:rsidP="00F53C74">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18"/>
                <w:szCs w:val="18"/>
              </w:rPr>
            </w:pPr>
            <w:r w:rsidRPr="000973F2">
              <w:rPr>
                <w:rFonts w:ascii="Times New Roman" w:eastAsia="Times New Roman" w:hAnsi="Times New Roman" w:cs="Times New Roman"/>
                <w:b/>
                <w:bCs/>
                <w:sz w:val="18"/>
                <w:szCs w:val="18"/>
              </w:rPr>
              <w:t>Initial Year Hours</w:t>
            </w:r>
          </w:p>
        </w:tc>
        <w:tc>
          <w:tcPr>
            <w:tcW w:w="765" w:type="dxa"/>
            <w:tcMar>
              <w:left w:w="14" w:type="dxa"/>
              <w:right w:w="14" w:type="dxa"/>
            </w:tcMar>
            <w:hideMark/>
          </w:tcPr>
          <w:p w14:paraId="04A79443" w14:textId="77777777" w:rsidR="00B367FB" w:rsidRPr="000973F2" w:rsidRDefault="00B367FB" w:rsidP="00F53C74">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18"/>
                <w:szCs w:val="18"/>
              </w:rPr>
            </w:pPr>
            <w:r w:rsidRPr="000973F2">
              <w:rPr>
                <w:rFonts w:ascii="Times New Roman" w:eastAsia="Times New Roman" w:hAnsi="Times New Roman" w:cs="Times New Roman"/>
                <w:b/>
                <w:bCs/>
                <w:sz w:val="18"/>
                <w:szCs w:val="18"/>
              </w:rPr>
              <w:t>Subseq. Year Hours</w:t>
            </w:r>
          </w:p>
        </w:tc>
        <w:tc>
          <w:tcPr>
            <w:tcW w:w="765" w:type="dxa"/>
            <w:tcMar>
              <w:left w:w="14" w:type="dxa"/>
              <w:right w:w="14" w:type="dxa"/>
            </w:tcMar>
            <w:hideMark/>
          </w:tcPr>
          <w:p w14:paraId="2BEF74C8" w14:textId="77777777" w:rsidR="00B367FB" w:rsidRPr="000973F2" w:rsidRDefault="00B367FB" w:rsidP="00F53C74">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18"/>
                <w:szCs w:val="18"/>
              </w:rPr>
            </w:pPr>
            <w:r w:rsidRPr="000973F2">
              <w:rPr>
                <w:rFonts w:ascii="Times New Roman" w:eastAsia="Times New Roman" w:hAnsi="Times New Roman" w:cs="Times New Roman"/>
                <w:b/>
                <w:bCs/>
                <w:sz w:val="18"/>
                <w:szCs w:val="18"/>
              </w:rPr>
              <w:t>Initial Year Hours</w:t>
            </w:r>
          </w:p>
        </w:tc>
        <w:tc>
          <w:tcPr>
            <w:tcW w:w="765" w:type="dxa"/>
            <w:tcMar>
              <w:left w:w="14" w:type="dxa"/>
              <w:right w:w="14" w:type="dxa"/>
            </w:tcMar>
            <w:hideMark/>
          </w:tcPr>
          <w:p w14:paraId="1C5FD71A" w14:textId="77777777" w:rsidR="00B367FB" w:rsidRPr="000973F2" w:rsidRDefault="00B367FB" w:rsidP="00F53C74">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18"/>
                <w:szCs w:val="18"/>
              </w:rPr>
            </w:pPr>
            <w:r w:rsidRPr="000973F2">
              <w:rPr>
                <w:rFonts w:ascii="Times New Roman" w:eastAsia="Times New Roman" w:hAnsi="Times New Roman" w:cs="Times New Roman"/>
                <w:b/>
                <w:bCs/>
                <w:sz w:val="18"/>
                <w:szCs w:val="18"/>
              </w:rPr>
              <w:t>Subseq. Year Hours</w:t>
            </w:r>
          </w:p>
        </w:tc>
        <w:tc>
          <w:tcPr>
            <w:tcW w:w="765" w:type="dxa"/>
            <w:tcMar>
              <w:left w:w="14" w:type="dxa"/>
              <w:right w:w="14" w:type="dxa"/>
            </w:tcMar>
            <w:hideMark/>
          </w:tcPr>
          <w:p w14:paraId="23CBCE00" w14:textId="77777777" w:rsidR="00B367FB" w:rsidRPr="000973F2" w:rsidRDefault="00B367FB" w:rsidP="00F53C74">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18"/>
                <w:szCs w:val="18"/>
              </w:rPr>
            </w:pPr>
            <w:r w:rsidRPr="000973F2">
              <w:rPr>
                <w:rFonts w:ascii="Times New Roman" w:eastAsia="Times New Roman" w:hAnsi="Times New Roman" w:cs="Times New Roman"/>
                <w:b/>
                <w:bCs/>
                <w:sz w:val="18"/>
                <w:szCs w:val="18"/>
              </w:rPr>
              <w:t>Initial</w:t>
            </w:r>
            <w:r w:rsidRPr="000973F2">
              <w:rPr>
                <w:rFonts w:ascii="Times New Roman" w:eastAsia="Times New Roman" w:hAnsi="Times New Roman" w:cs="Times New Roman"/>
                <w:b/>
                <w:bCs/>
                <w:sz w:val="18"/>
                <w:szCs w:val="18"/>
              </w:rPr>
              <w:br/>
              <w:t>Year</w:t>
            </w:r>
            <w:r w:rsidRPr="000973F2">
              <w:rPr>
                <w:rFonts w:ascii="Times New Roman" w:eastAsia="Times New Roman" w:hAnsi="Times New Roman" w:cs="Times New Roman"/>
                <w:b/>
                <w:bCs/>
                <w:sz w:val="18"/>
                <w:szCs w:val="18"/>
              </w:rPr>
              <w:br/>
              <w:t>Hours</w:t>
            </w:r>
          </w:p>
        </w:tc>
        <w:tc>
          <w:tcPr>
            <w:tcW w:w="765" w:type="dxa"/>
            <w:tcMar>
              <w:left w:w="14" w:type="dxa"/>
              <w:right w:w="14" w:type="dxa"/>
            </w:tcMar>
            <w:hideMark/>
          </w:tcPr>
          <w:p w14:paraId="5CAA8966" w14:textId="77777777" w:rsidR="00B367FB" w:rsidRPr="000973F2" w:rsidRDefault="00B367FB" w:rsidP="00F53C74">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18"/>
                <w:szCs w:val="18"/>
              </w:rPr>
            </w:pPr>
            <w:r w:rsidRPr="000973F2">
              <w:rPr>
                <w:rFonts w:ascii="Times New Roman" w:eastAsia="Times New Roman" w:hAnsi="Times New Roman" w:cs="Times New Roman"/>
                <w:b/>
                <w:bCs/>
                <w:sz w:val="18"/>
                <w:szCs w:val="18"/>
              </w:rPr>
              <w:t>Subseq. Year Hours</w:t>
            </w:r>
          </w:p>
        </w:tc>
        <w:tc>
          <w:tcPr>
            <w:tcW w:w="765" w:type="dxa"/>
            <w:tcMar>
              <w:left w:w="14" w:type="dxa"/>
              <w:right w:w="14" w:type="dxa"/>
            </w:tcMar>
            <w:hideMark/>
          </w:tcPr>
          <w:p w14:paraId="1565FF20" w14:textId="77777777" w:rsidR="00B367FB" w:rsidRPr="000973F2" w:rsidRDefault="00B367FB" w:rsidP="00F53C74">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18"/>
                <w:szCs w:val="18"/>
              </w:rPr>
            </w:pPr>
            <w:r w:rsidRPr="000973F2">
              <w:rPr>
                <w:rFonts w:ascii="Times New Roman" w:eastAsia="Times New Roman" w:hAnsi="Times New Roman" w:cs="Times New Roman"/>
                <w:b/>
                <w:bCs/>
                <w:sz w:val="18"/>
                <w:szCs w:val="18"/>
              </w:rPr>
              <w:t>Initial Year Hours</w:t>
            </w:r>
          </w:p>
        </w:tc>
        <w:tc>
          <w:tcPr>
            <w:tcW w:w="765" w:type="dxa"/>
            <w:tcMar>
              <w:left w:w="14" w:type="dxa"/>
              <w:right w:w="14" w:type="dxa"/>
            </w:tcMar>
            <w:hideMark/>
          </w:tcPr>
          <w:p w14:paraId="04F925C7" w14:textId="77777777" w:rsidR="00B367FB" w:rsidRPr="000973F2" w:rsidRDefault="00B367FB" w:rsidP="00F53C74">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18"/>
                <w:szCs w:val="18"/>
              </w:rPr>
            </w:pPr>
            <w:r w:rsidRPr="000973F2">
              <w:rPr>
                <w:rFonts w:ascii="Times New Roman" w:eastAsia="Times New Roman" w:hAnsi="Times New Roman" w:cs="Times New Roman"/>
                <w:b/>
                <w:bCs/>
                <w:sz w:val="18"/>
                <w:szCs w:val="18"/>
              </w:rPr>
              <w:t>Subseq. Year Hours</w:t>
            </w:r>
          </w:p>
        </w:tc>
        <w:tc>
          <w:tcPr>
            <w:tcW w:w="892" w:type="dxa"/>
            <w:tcMar>
              <w:left w:w="14" w:type="dxa"/>
              <w:right w:w="14" w:type="dxa"/>
            </w:tcMar>
            <w:hideMark/>
          </w:tcPr>
          <w:p w14:paraId="652AEAC7" w14:textId="77777777" w:rsidR="00B367FB" w:rsidRPr="000973F2" w:rsidRDefault="00B367FB" w:rsidP="00F53C74">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18"/>
                <w:szCs w:val="18"/>
              </w:rPr>
            </w:pPr>
            <w:r w:rsidRPr="000973F2">
              <w:rPr>
                <w:rFonts w:ascii="Times New Roman" w:eastAsia="Times New Roman" w:hAnsi="Times New Roman" w:cs="Times New Roman"/>
                <w:b/>
                <w:bCs/>
                <w:sz w:val="18"/>
                <w:szCs w:val="18"/>
              </w:rPr>
              <w:t>Initial Year</w:t>
            </w:r>
          </w:p>
        </w:tc>
        <w:tc>
          <w:tcPr>
            <w:tcW w:w="893" w:type="dxa"/>
            <w:tcMar>
              <w:left w:w="14" w:type="dxa"/>
              <w:right w:w="14" w:type="dxa"/>
            </w:tcMar>
            <w:hideMark/>
          </w:tcPr>
          <w:p w14:paraId="3A7DC9EE" w14:textId="77777777" w:rsidR="00B367FB" w:rsidRPr="000973F2" w:rsidRDefault="00B367FB" w:rsidP="00F53C74">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18"/>
                <w:szCs w:val="18"/>
              </w:rPr>
            </w:pPr>
            <w:r w:rsidRPr="000973F2">
              <w:rPr>
                <w:rFonts w:ascii="Times New Roman" w:eastAsia="Times New Roman" w:hAnsi="Times New Roman" w:cs="Times New Roman"/>
                <w:b/>
                <w:bCs/>
                <w:sz w:val="18"/>
                <w:szCs w:val="18"/>
              </w:rPr>
              <w:t>Subseq. Year</w:t>
            </w:r>
          </w:p>
        </w:tc>
      </w:tr>
      <w:tr w:rsidR="00F53C74" w:rsidRPr="000973F2" w14:paraId="490A56B9" w14:textId="77777777" w:rsidTr="00F53C74">
        <w:trPr>
          <w:cantSplit/>
        </w:trPr>
        <w:tc>
          <w:tcPr>
            <w:cnfStyle w:val="001000000000" w:firstRow="0" w:lastRow="0" w:firstColumn="1" w:lastColumn="0" w:oddVBand="0" w:evenVBand="0" w:oddHBand="0" w:evenHBand="0" w:firstRowFirstColumn="0" w:firstRowLastColumn="0" w:lastRowFirstColumn="0" w:lastRowLastColumn="0"/>
            <w:tcW w:w="1425" w:type="dxa"/>
            <w:hideMark/>
          </w:tcPr>
          <w:p w14:paraId="717AD501" w14:textId="77777777" w:rsidR="00B367FB" w:rsidRPr="000973F2" w:rsidRDefault="00B367FB" w:rsidP="00F53C74">
            <w:pPr>
              <w:spacing w:before="40" w:after="4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Planning</w:t>
            </w:r>
          </w:p>
        </w:tc>
        <w:tc>
          <w:tcPr>
            <w:tcW w:w="765" w:type="dxa"/>
            <w:noWrap/>
            <w:hideMark/>
          </w:tcPr>
          <w:p w14:paraId="104A6D7E" w14:textId="77777777" w:rsidR="00B367FB" w:rsidRPr="000973F2" w:rsidRDefault="00B367FB" w:rsidP="00F53C74">
            <w:pPr>
              <w:tabs>
                <w:tab w:val="decimal" w:pos="331"/>
              </w:tabs>
              <w:spacing w:before="40" w:after="4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0</w:t>
            </w:r>
          </w:p>
        </w:tc>
        <w:tc>
          <w:tcPr>
            <w:tcW w:w="765" w:type="dxa"/>
            <w:noWrap/>
            <w:hideMark/>
          </w:tcPr>
          <w:p w14:paraId="1257446E" w14:textId="77777777" w:rsidR="00B367FB" w:rsidRPr="000973F2" w:rsidRDefault="00B367FB" w:rsidP="00F53C74">
            <w:pPr>
              <w:tabs>
                <w:tab w:val="decimal" w:pos="331"/>
              </w:tabs>
              <w:spacing w:before="40" w:after="4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2</w:t>
            </w:r>
          </w:p>
        </w:tc>
        <w:tc>
          <w:tcPr>
            <w:tcW w:w="765" w:type="dxa"/>
            <w:noWrap/>
            <w:hideMark/>
          </w:tcPr>
          <w:p w14:paraId="38E8F8A4" w14:textId="77777777" w:rsidR="00B367FB" w:rsidRPr="000973F2" w:rsidRDefault="00B367FB" w:rsidP="00F53C74">
            <w:pPr>
              <w:tabs>
                <w:tab w:val="decimal" w:pos="331"/>
              </w:tabs>
              <w:spacing w:before="40" w:after="4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0</w:t>
            </w:r>
          </w:p>
        </w:tc>
        <w:tc>
          <w:tcPr>
            <w:tcW w:w="765" w:type="dxa"/>
            <w:noWrap/>
            <w:hideMark/>
          </w:tcPr>
          <w:p w14:paraId="5C978CC2" w14:textId="77777777" w:rsidR="00B367FB" w:rsidRPr="000973F2" w:rsidRDefault="00B367FB" w:rsidP="00F53C74">
            <w:pPr>
              <w:tabs>
                <w:tab w:val="decimal" w:pos="331"/>
              </w:tabs>
              <w:spacing w:before="40" w:after="4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1</w:t>
            </w:r>
          </w:p>
        </w:tc>
        <w:tc>
          <w:tcPr>
            <w:tcW w:w="765" w:type="dxa"/>
            <w:noWrap/>
            <w:hideMark/>
          </w:tcPr>
          <w:p w14:paraId="3CFFDEDF" w14:textId="77777777" w:rsidR="00B367FB" w:rsidRPr="000973F2" w:rsidRDefault="00B367FB" w:rsidP="00F53C74">
            <w:pPr>
              <w:tabs>
                <w:tab w:val="decimal" w:pos="331"/>
              </w:tabs>
              <w:spacing w:before="40" w:after="4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0</w:t>
            </w:r>
          </w:p>
        </w:tc>
        <w:tc>
          <w:tcPr>
            <w:tcW w:w="765" w:type="dxa"/>
            <w:noWrap/>
            <w:hideMark/>
          </w:tcPr>
          <w:p w14:paraId="3F15D62C" w14:textId="77777777" w:rsidR="00B367FB" w:rsidRPr="000973F2" w:rsidRDefault="00B367FB" w:rsidP="00F53C74">
            <w:pPr>
              <w:tabs>
                <w:tab w:val="decimal" w:pos="331"/>
              </w:tabs>
              <w:spacing w:before="40" w:after="4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1</w:t>
            </w:r>
          </w:p>
        </w:tc>
        <w:tc>
          <w:tcPr>
            <w:tcW w:w="765" w:type="dxa"/>
            <w:noWrap/>
            <w:hideMark/>
          </w:tcPr>
          <w:p w14:paraId="43C62290" w14:textId="77777777" w:rsidR="00B367FB" w:rsidRPr="000973F2" w:rsidRDefault="00B367FB" w:rsidP="00F53C74">
            <w:pPr>
              <w:tabs>
                <w:tab w:val="decimal" w:pos="331"/>
              </w:tabs>
              <w:spacing w:before="40" w:after="4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0</w:t>
            </w:r>
          </w:p>
        </w:tc>
        <w:tc>
          <w:tcPr>
            <w:tcW w:w="765" w:type="dxa"/>
            <w:noWrap/>
            <w:hideMark/>
          </w:tcPr>
          <w:p w14:paraId="2328BA38" w14:textId="77777777" w:rsidR="00B367FB" w:rsidRPr="000973F2" w:rsidRDefault="00B367FB" w:rsidP="00F53C74">
            <w:pPr>
              <w:tabs>
                <w:tab w:val="decimal" w:pos="331"/>
              </w:tabs>
              <w:spacing w:before="40" w:after="4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0</w:t>
            </w:r>
          </w:p>
        </w:tc>
        <w:tc>
          <w:tcPr>
            <w:tcW w:w="892" w:type="dxa"/>
            <w:noWrap/>
            <w:hideMark/>
          </w:tcPr>
          <w:p w14:paraId="6C7CA9E4" w14:textId="0210353A" w:rsidR="00B367FB" w:rsidRPr="000973F2" w:rsidRDefault="00B367FB" w:rsidP="00C330E2">
            <w:pPr>
              <w:tabs>
                <w:tab w:val="decimal" w:pos="421"/>
              </w:tabs>
              <w:spacing w:before="40" w:after="4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$0</w:t>
            </w:r>
          </w:p>
        </w:tc>
        <w:tc>
          <w:tcPr>
            <w:tcW w:w="893" w:type="dxa"/>
            <w:noWrap/>
            <w:hideMark/>
          </w:tcPr>
          <w:p w14:paraId="058E8ED6" w14:textId="77777777" w:rsidR="00B367FB" w:rsidRPr="000973F2" w:rsidRDefault="00B367FB" w:rsidP="00F53C74">
            <w:pPr>
              <w:tabs>
                <w:tab w:val="decimal" w:pos="526"/>
              </w:tabs>
              <w:spacing w:before="40" w:after="4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$383</w:t>
            </w:r>
          </w:p>
        </w:tc>
      </w:tr>
      <w:tr w:rsidR="00F53C74" w:rsidRPr="000973F2" w14:paraId="730FD2FF" w14:textId="77777777" w:rsidTr="00F53C74">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1425" w:type="dxa"/>
            <w:hideMark/>
          </w:tcPr>
          <w:p w14:paraId="2CADCCC7" w14:textId="77777777" w:rsidR="00B367FB" w:rsidRPr="000973F2" w:rsidRDefault="00B367FB" w:rsidP="00F53C74">
            <w:pPr>
              <w:spacing w:before="40" w:after="4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QA/QC</w:t>
            </w:r>
          </w:p>
        </w:tc>
        <w:tc>
          <w:tcPr>
            <w:tcW w:w="765" w:type="dxa"/>
            <w:noWrap/>
            <w:hideMark/>
          </w:tcPr>
          <w:p w14:paraId="2295B268" w14:textId="77777777" w:rsidR="00B367FB" w:rsidRPr="000973F2" w:rsidRDefault="00B367FB" w:rsidP="00F53C74">
            <w:pPr>
              <w:tabs>
                <w:tab w:val="decimal" w:pos="331"/>
              </w:tabs>
              <w:spacing w:before="40" w:after="4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0</w:t>
            </w:r>
          </w:p>
        </w:tc>
        <w:tc>
          <w:tcPr>
            <w:tcW w:w="765" w:type="dxa"/>
            <w:noWrap/>
            <w:hideMark/>
          </w:tcPr>
          <w:p w14:paraId="63E9F787" w14:textId="77777777" w:rsidR="00B367FB" w:rsidRPr="000973F2" w:rsidRDefault="00B367FB" w:rsidP="00F53C74">
            <w:pPr>
              <w:tabs>
                <w:tab w:val="decimal" w:pos="331"/>
              </w:tabs>
              <w:spacing w:before="40" w:after="4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0</w:t>
            </w:r>
          </w:p>
        </w:tc>
        <w:tc>
          <w:tcPr>
            <w:tcW w:w="765" w:type="dxa"/>
            <w:noWrap/>
            <w:hideMark/>
          </w:tcPr>
          <w:p w14:paraId="21C9D547" w14:textId="77777777" w:rsidR="00B367FB" w:rsidRPr="000973F2" w:rsidRDefault="00B367FB" w:rsidP="00F53C74">
            <w:pPr>
              <w:tabs>
                <w:tab w:val="decimal" w:pos="331"/>
              </w:tabs>
              <w:spacing w:before="40" w:after="4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0</w:t>
            </w:r>
          </w:p>
        </w:tc>
        <w:tc>
          <w:tcPr>
            <w:tcW w:w="765" w:type="dxa"/>
            <w:noWrap/>
            <w:hideMark/>
          </w:tcPr>
          <w:p w14:paraId="5707D976" w14:textId="77777777" w:rsidR="00B367FB" w:rsidRPr="000973F2" w:rsidRDefault="00B367FB" w:rsidP="00F53C74">
            <w:pPr>
              <w:tabs>
                <w:tab w:val="decimal" w:pos="331"/>
              </w:tabs>
              <w:spacing w:before="40" w:after="4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5</w:t>
            </w:r>
          </w:p>
        </w:tc>
        <w:tc>
          <w:tcPr>
            <w:tcW w:w="765" w:type="dxa"/>
            <w:noWrap/>
            <w:hideMark/>
          </w:tcPr>
          <w:p w14:paraId="632E6772" w14:textId="77777777" w:rsidR="00B367FB" w:rsidRPr="000973F2" w:rsidRDefault="00B367FB" w:rsidP="00F53C74">
            <w:pPr>
              <w:tabs>
                <w:tab w:val="decimal" w:pos="331"/>
              </w:tabs>
              <w:spacing w:before="40" w:after="4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0</w:t>
            </w:r>
          </w:p>
        </w:tc>
        <w:tc>
          <w:tcPr>
            <w:tcW w:w="765" w:type="dxa"/>
            <w:noWrap/>
            <w:hideMark/>
          </w:tcPr>
          <w:p w14:paraId="0643699E" w14:textId="77777777" w:rsidR="00B367FB" w:rsidRPr="000973F2" w:rsidRDefault="00B367FB" w:rsidP="00F53C74">
            <w:pPr>
              <w:tabs>
                <w:tab w:val="decimal" w:pos="331"/>
              </w:tabs>
              <w:spacing w:before="40" w:after="4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0</w:t>
            </w:r>
          </w:p>
        </w:tc>
        <w:tc>
          <w:tcPr>
            <w:tcW w:w="765" w:type="dxa"/>
            <w:noWrap/>
            <w:hideMark/>
          </w:tcPr>
          <w:p w14:paraId="633786C6" w14:textId="77777777" w:rsidR="00B367FB" w:rsidRPr="000973F2" w:rsidRDefault="00B367FB" w:rsidP="00F53C74">
            <w:pPr>
              <w:tabs>
                <w:tab w:val="decimal" w:pos="331"/>
              </w:tabs>
              <w:spacing w:before="40" w:after="4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0</w:t>
            </w:r>
          </w:p>
        </w:tc>
        <w:tc>
          <w:tcPr>
            <w:tcW w:w="765" w:type="dxa"/>
            <w:noWrap/>
            <w:hideMark/>
          </w:tcPr>
          <w:p w14:paraId="643A327E" w14:textId="77777777" w:rsidR="00B367FB" w:rsidRPr="000973F2" w:rsidRDefault="00B367FB" w:rsidP="00F53C74">
            <w:pPr>
              <w:tabs>
                <w:tab w:val="decimal" w:pos="331"/>
              </w:tabs>
              <w:spacing w:before="40" w:after="4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0</w:t>
            </w:r>
          </w:p>
        </w:tc>
        <w:tc>
          <w:tcPr>
            <w:tcW w:w="892" w:type="dxa"/>
            <w:noWrap/>
            <w:hideMark/>
          </w:tcPr>
          <w:p w14:paraId="27B00070" w14:textId="42D694FD" w:rsidR="00B367FB" w:rsidRPr="000973F2" w:rsidRDefault="00B367FB" w:rsidP="00C330E2">
            <w:pPr>
              <w:tabs>
                <w:tab w:val="decimal" w:pos="421"/>
              </w:tabs>
              <w:spacing w:before="40" w:after="4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$0</w:t>
            </w:r>
          </w:p>
        </w:tc>
        <w:tc>
          <w:tcPr>
            <w:tcW w:w="893" w:type="dxa"/>
            <w:noWrap/>
            <w:hideMark/>
          </w:tcPr>
          <w:p w14:paraId="260D9B69" w14:textId="77777777" w:rsidR="00B367FB" w:rsidRPr="000973F2" w:rsidRDefault="00B367FB" w:rsidP="00F53C74">
            <w:pPr>
              <w:tabs>
                <w:tab w:val="decimal" w:pos="526"/>
              </w:tabs>
              <w:spacing w:before="40" w:after="4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$437</w:t>
            </w:r>
          </w:p>
        </w:tc>
      </w:tr>
      <w:tr w:rsidR="00F53C74" w:rsidRPr="000973F2" w14:paraId="7552D29A" w14:textId="77777777" w:rsidTr="00F53C74">
        <w:trPr>
          <w:cantSplit/>
        </w:trPr>
        <w:tc>
          <w:tcPr>
            <w:cnfStyle w:val="001000000000" w:firstRow="0" w:lastRow="0" w:firstColumn="1" w:lastColumn="0" w:oddVBand="0" w:evenVBand="0" w:oddHBand="0" w:evenHBand="0" w:firstRowFirstColumn="0" w:firstRowLastColumn="0" w:lastRowFirstColumn="0" w:lastRowLastColumn="0"/>
            <w:tcW w:w="1425" w:type="dxa"/>
            <w:hideMark/>
          </w:tcPr>
          <w:p w14:paraId="411E8842" w14:textId="77777777" w:rsidR="00B367FB" w:rsidRPr="000973F2" w:rsidRDefault="00B367FB" w:rsidP="00F53C74">
            <w:pPr>
              <w:spacing w:before="40" w:after="4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Recordkeeping</w:t>
            </w:r>
          </w:p>
        </w:tc>
        <w:tc>
          <w:tcPr>
            <w:tcW w:w="765" w:type="dxa"/>
            <w:noWrap/>
            <w:hideMark/>
          </w:tcPr>
          <w:p w14:paraId="4B5E1D20" w14:textId="77777777" w:rsidR="00B367FB" w:rsidRPr="000973F2" w:rsidRDefault="00B367FB" w:rsidP="00F53C74">
            <w:pPr>
              <w:tabs>
                <w:tab w:val="decimal" w:pos="331"/>
              </w:tabs>
              <w:spacing w:before="40" w:after="4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0</w:t>
            </w:r>
          </w:p>
        </w:tc>
        <w:tc>
          <w:tcPr>
            <w:tcW w:w="765" w:type="dxa"/>
            <w:noWrap/>
            <w:hideMark/>
          </w:tcPr>
          <w:p w14:paraId="74902399" w14:textId="77777777" w:rsidR="00B367FB" w:rsidRPr="000973F2" w:rsidRDefault="00B367FB" w:rsidP="00F53C74">
            <w:pPr>
              <w:tabs>
                <w:tab w:val="decimal" w:pos="331"/>
              </w:tabs>
              <w:spacing w:before="40" w:after="4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0</w:t>
            </w:r>
          </w:p>
        </w:tc>
        <w:tc>
          <w:tcPr>
            <w:tcW w:w="765" w:type="dxa"/>
            <w:noWrap/>
            <w:hideMark/>
          </w:tcPr>
          <w:p w14:paraId="58B28FA7" w14:textId="77777777" w:rsidR="00B367FB" w:rsidRPr="000973F2" w:rsidRDefault="00B367FB" w:rsidP="00F53C74">
            <w:pPr>
              <w:tabs>
                <w:tab w:val="decimal" w:pos="331"/>
              </w:tabs>
              <w:spacing w:before="40" w:after="4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0</w:t>
            </w:r>
          </w:p>
        </w:tc>
        <w:tc>
          <w:tcPr>
            <w:tcW w:w="765" w:type="dxa"/>
            <w:noWrap/>
            <w:hideMark/>
          </w:tcPr>
          <w:p w14:paraId="553DE93C" w14:textId="77777777" w:rsidR="00B367FB" w:rsidRPr="000973F2" w:rsidRDefault="00B367FB" w:rsidP="00F53C74">
            <w:pPr>
              <w:tabs>
                <w:tab w:val="decimal" w:pos="331"/>
              </w:tabs>
              <w:spacing w:before="40" w:after="4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1</w:t>
            </w:r>
          </w:p>
        </w:tc>
        <w:tc>
          <w:tcPr>
            <w:tcW w:w="765" w:type="dxa"/>
            <w:noWrap/>
            <w:hideMark/>
          </w:tcPr>
          <w:p w14:paraId="43298E65" w14:textId="77777777" w:rsidR="00B367FB" w:rsidRPr="000973F2" w:rsidRDefault="00B367FB" w:rsidP="00F53C74">
            <w:pPr>
              <w:tabs>
                <w:tab w:val="decimal" w:pos="331"/>
              </w:tabs>
              <w:spacing w:before="40" w:after="4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0</w:t>
            </w:r>
          </w:p>
        </w:tc>
        <w:tc>
          <w:tcPr>
            <w:tcW w:w="765" w:type="dxa"/>
            <w:noWrap/>
            <w:hideMark/>
          </w:tcPr>
          <w:p w14:paraId="2C488C3D" w14:textId="77777777" w:rsidR="00B367FB" w:rsidRPr="000973F2" w:rsidRDefault="00B367FB" w:rsidP="00F53C74">
            <w:pPr>
              <w:tabs>
                <w:tab w:val="decimal" w:pos="331"/>
              </w:tabs>
              <w:spacing w:before="40" w:after="4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13</w:t>
            </w:r>
          </w:p>
        </w:tc>
        <w:tc>
          <w:tcPr>
            <w:tcW w:w="765" w:type="dxa"/>
            <w:noWrap/>
            <w:hideMark/>
          </w:tcPr>
          <w:p w14:paraId="7638C7F0" w14:textId="77777777" w:rsidR="00B367FB" w:rsidRPr="000973F2" w:rsidRDefault="00B367FB" w:rsidP="00F53C74">
            <w:pPr>
              <w:tabs>
                <w:tab w:val="decimal" w:pos="331"/>
              </w:tabs>
              <w:spacing w:before="40" w:after="4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0</w:t>
            </w:r>
          </w:p>
        </w:tc>
        <w:tc>
          <w:tcPr>
            <w:tcW w:w="765" w:type="dxa"/>
            <w:noWrap/>
            <w:hideMark/>
          </w:tcPr>
          <w:p w14:paraId="7B5B42D6" w14:textId="77777777" w:rsidR="00B367FB" w:rsidRPr="000973F2" w:rsidRDefault="00B367FB" w:rsidP="00F53C74">
            <w:pPr>
              <w:tabs>
                <w:tab w:val="decimal" w:pos="331"/>
              </w:tabs>
              <w:spacing w:before="40" w:after="4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1</w:t>
            </w:r>
          </w:p>
        </w:tc>
        <w:tc>
          <w:tcPr>
            <w:tcW w:w="892" w:type="dxa"/>
            <w:noWrap/>
            <w:hideMark/>
          </w:tcPr>
          <w:p w14:paraId="7720074C" w14:textId="3D1E7A1D" w:rsidR="00B367FB" w:rsidRPr="000973F2" w:rsidRDefault="00B367FB" w:rsidP="00C330E2">
            <w:pPr>
              <w:tabs>
                <w:tab w:val="decimal" w:pos="421"/>
              </w:tabs>
              <w:spacing w:before="40" w:after="4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$0</w:t>
            </w:r>
          </w:p>
        </w:tc>
        <w:tc>
          <w:tcPr>
            <w:tcW w:w="893" w:type="dxa"/>
            <w:noWrap/>
            <w:hideMark/>
          </w:tcPr>
          <w:p w14:paraId="22C4DCAE" w14:textId="77777777" w:rsidR="00B367FB" w:rsidRPr="000973F2" w:rsidRDefault="00B367FB" w:rsidP="00F53C74">
            <w:pPr>
              <w:tabs>
                <w:tab w:val="decimal" w:pos="526"/>
              </w:tabs>
              <w:spacing w:before="40" w:after="4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$1,053</w:t>
            </w:r>
          </w:p>
        </w:tc>
      </w:tr>
      <w:tr w:rsidR="00F53C74" w:rsidRPr="000973F2" w14:paraId="5BF0DAE7" w14:textId="77777777" w:rsidTr="00F53C74">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1425" w:type="dxa"/>
            <w:hideMark/>
          </w:tcPr>
          <w:p w14:paraId="05666485" w14:textId="77777777" w:rsidR="00B367FB" w:rsidRPr="000973F2" w:rsidRDefault="00B367FB" w:rsidP="00F53C74">
            <w:pPr>
              <w:spacing w:before="40" w:after="4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Sampling and Analysis (Calculations)</w:t>
            </w:r>
          </w:p>
        </w:tc>
        <w:tc>
          <w:tcPr>
            <w:tcW w:w="765" w:type="dxa"/>
            <w:noWrap/>
            <w:hideMark/>
          </w:tcPr>
          <w:p w14:paraId="442AFE7C" w14:textId="77777777" w:rsidR="00B367FB" w:rsidRPr="000973F2" w:rsidRDefault="00B367FB" w:rsidP="00F53C74">
            <w:pPr>
              <w:tabs>
                <w:tab w:val="decimal" w:pos="331"/>
              </w:tabs>
              <w:spacing w:before="40" w:after="4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0</w:t>
            </w:r>
          </w:p>
        </w:tc>
        <w:tc>
          <w:tcPr>
            <w:tcW w:w="765" w:type="dxa"/>
            <w:noWrap/>
            <w:hideMark/>
          </w:tcPr>
          <w:p w14:paraId="4071AF6B" w14:textId="77777777" w:rsidR="00B367FB" w:rsidRPr="000973F2" w:rsidRDefault="00B367FB" w:rsidP="00F53C74">
            <w:pPr>
              <w:tabs>
                <w:tab w:val="decimal" w:pos="331"/>
              </w:tabs>
              <w:spacing w:before="40" w:after="4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0</w:t>
            </w:r>
          </w:p>
        </w:tc>
        <w:tc>
          <w:tcPr>
            <w:tcW w:w="765" w:type="dxa"/>
            <w:noWrap/>
            <w:hideMark/>
          </w:tcPr>
          <w:p w14:paraId="64636393" w14:textId="77777777" w:rsidR="00B367FB" w:rsidRPr="000973F2" w:rsidRDefault="00B367FB" w:rsidP="00F53C74">
            <w:pPr>
              <w:tabs>
                <w:tab w:val="decimal" w:pos="331"/>
              </w:tabs>
              <w:spacing w:before="40" w:after="4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0</w:t>
            </w:r>
          </w:p>
        </w:tc>
        <w:tc>
          <w:tcPr>
            <w:tcW w:w="765" w:type="dxa"/>
            <w:noWrap/>
            <w:hideMark/>
          </w:tcPr>
          <w:p w14:paraId="53EFF816" w14:textId="77777777" w:rsidR="00B367FB" w:rsidRPr="000973F2" w:rsidRDefault="00B367FB" w:rsidP="00F53C74">
            <w:pPr>
              <w:tabs>
                <w:tab w:val="decimal" w:pos="331"/>
              </w:tabs>
              <w:spacing w:before="40" w:after="4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0.9</w:t>
            </w:r>
          </w:p>
        </w:tc>
        <w:tc>
          <w:tcPr>
            <w:tcW w:w="765" w:type="dxa"/>
            <w:noWrap/>
            <w:hideMark/>
          </w:tcPr>
          <w:p w14:paraId="380D3D3C" w14:textId="77777777" w:rsidR="00B367FB" w:rsidRPr="000973F2" w:rsidRDefault="00B367FB" w:rsidP="00F53C74">
            <w:pPr>
              <w:tabs>
                <w:tab w:val="decimal" w:pos="331"/>
              </w:tabs>
              <w:spacing w:before="40" w:after="4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0</w:t>
            </w:r>
          </w:p>
        </w:tc>
        <w:tc>
          <w:tcPr>
            <w:tcW w:w="765" w:type="dxa"/>
            <w:noWrap/>
            <w:hideMark/>
          </w:tcPr>
          <w:p w14:paraId="6EF2E715" w14:textId="77777777" w:rsidR="00B367FB" w:rsidRPr="000973F2" w:rsidRDefault="00B367FB" w:rsidP="00F53C74">
            <w:pPr>
              <w:tabs>
                <w:tab w:val="decimal" w:pos="331"/>
              </w:tabs>
              <w:spacing w:before="40" w:after="4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18</w:t>
            </w:r>
          </w:p>
        </w:tc>
        <w:tc>
          <w:tcPr>
            <w:tcW w:w="765" w:type="dxa"/>
            <w:noWrap/>
            <w:hideMark/>
          </w:tcPr>
          <w:p w14:paraId="77980AFC" w14:textId="77777777" w:rsidR="00B367FB" w:rsidRPr="000973F2" w:rsidRDefault="00B367FB" w:rsidP="00F53C74">
            <w:pPr>
              <w:tabs>
                <w:tab w:val="decimal" w:pos="331"/>
              </w:tabs>
              <w:spacing w:before="40" w:after="4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0</w:t>
            </w:r>
          </w:p>
        </w:tc>
        <w:tc>
          <w:tcPr>
            <w:tcW w:w="765" w:type="dxa"/>
            <w:noWrap/>
            <w:hideMark/>
          </w:tcPr>
          <w:p w14:paraId="1EEA5737" w14:textId="77777777" w:rsidR="00B367FB" w:rsidRPr="000973F2" w:rsidRDefault="00B367FB" w:rsidP="00F53C74">
            <w:pPr>
              <w:tabs>
                <w:tab w:val="decimal" w:pos="331"/>
              </w:tabs>
              <w:spacing w:before="40" w:after="4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1.8</w:t>
            </w:r>
          </w:p>
        </w:tc>
        <w:tc>
          <w:tcPr>
            <w:tcW w:w="892" w:type="dxa"/>
            <w:noWrap/>
            <w:hideMark/>
          </w:tcPr>
          <w:p w14:paraId="1F20A197" w14:textId="553F90F6" w:rsidR="00B367FB" w:rsidRPr="000973F2" w:rsidRDefault="00B367FB" w:rsidP="00C330E2">
            <w:pPr>
              <w:tabs>
                <w:tab w:val="decimal" w:pos="421"/>
              </w:tabs>
              <w:spacing w:before="40" w:after="4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$0</w:t>
            </w:r>
          </w:p>
        </w:tc>
        <w:tc>
          <w:tcPr>
            <w:tcW w:w="893" w:type="dxa"/>
            <w:noWrap/>
            <w:hideMark/>
          </w:tcPr>
          <w:p w14:paraId="41E3D1B5" w14:textId="77777777" w:rsidR="00B367FB" w:rsidRPr="000973F2" w:rsidRDefault="00B367FB" w:rsidP="00F53C74">
            <w:pPr>
              <w:tabs>
                <w:tab w:val="decimal" w:pos="526"/>
              </w:tabs>
              <w:spacing w:before="40" w:after="4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$1,430</w:t>
            </w:r>
          </w:p>
        </w:tc>
      </w:tr>
      <w:tr w:rsidR="00F53C74" w:rsidRPr="000973F2" w14:paraId="60CED21F" w14:textId="77777777" w:rsidTr="00F53C74">
        <w:trPr>
          <w:cantSplit/>
        </w:trPr>
        <w:tc>
          <w:tcPr>
            <w:cnfStyle w:val="001000000000" w:firstRow="0" w:lastRow="0" w:firstColumn="1" w:lastColumn="0" w:oddVBand="0" w:evenVBand="0" w:oddHBand="0" w:evenHBand="0" w:firstRowFirstColumn="0" w:firstRowLastColumn="0" w:lastRowFirstColumn="0" w:lastRowLastColumn="0"/>
            <w:tcW w:w="1425" w:type="dxa"/>
            <w:hideMark/>
          </w:tcPr>
          <w:p w14:paraId="420ABB11" w14:textId="77777777" w:rsidR="00B367FB" w:rsidRPr="000973F2" w:rsidRDefault="00B367FB" w:rsidP="00F53C74">
            <w:pPr>
              <w:spacing w:before="40" w:after="4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Reporting</w:t>
            </w:r>
          </w:p>
        </w:tc>
        <w:tc>
          <w:tcPr>
            <w:tcW w:w="765" w:type="dxa"/>
            <w:noWrap/>
            <w:hideMark/>
          </w:tcPr>
          <w:p w14:paraId="30B74B46" w14:textId="77777777" w:rsidR="00B367FB" w:rsidRPr="000973F2" w:rsidRDefault="00B367FB" w:rsidP="00F53C74">
            <w:pPr>
              <w:tabs>
                <w:tab w:val="decimal" w:pos="331"/>
              </w:tabs>
              <w:spacing w:before="40" w:after="4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0</w:t>
            </w:r>
          </w:p>
        </w:tc>
        <w:tc>
          <w:tcPr>
            <w:tcW w:w="765" w:type="dxa"/>
            <w:noWrap/>
            <w:hideMark/>
          </w:tcPr>
          <w:p w14:paraId="02CF9CF1" w14:textId="77777777" w:rsidR="00B367FB" w:rsidRPr="000973F2" w:rsidRDefault="00B367FB" w:rsidP="00F53C74">
            <w:pPr>
              <w:tabs>
                <w:tab w:val="decimal" w:pos="331"/>
              </w:tabs>
              <w:spacing w:before="40" w:after="4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0</w:t>
            </w:r>
          </w:p>
        </w:tc>
        <w:tc>
          <w:tcPr>
            <w:tcW w:w="765" w:type="dxa"/>
            <w:noWrap/>
            <w:hideMark/>
          </w:tcPr>
          <w:p w14:paraId="71C47B3A" w14:textId="77777777" w:rsidR="00B367FB" w:rsidRPr="000973F2" w:rsidRDefault="00B367FB" w:rsidP="00F53C74">
            <w:pPr>
              <w:tabs>
                <w:tab w:val="decimal" w:pos="331"/>
              </w:tabs>
              <w:spacing w:before="40" w:after="4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0</w:t>
            </w:r>
          </w:p>
        </w:tc>
        <w:tc>
          <w:tcPr>
            <w:tcW w:w="765" w:type="dxa"/>
            <w:noWrap/>
            <w:hideMark/>
          </w:tcPr>
          <w:p w14:paraId="19B84A53" w14:textId="77777777" w:rsidR="00B367FB" w:rsidRPr="000973F2" w:rsidRDefault="00B367FB" w:rsidP="00F53C74">
            <w:pPr>
              <w:tabs>
                <w:tab w:val="decimal" w:pos="331"/>
              </w:tabs>
              <w:spacing w:before="40" w:after="4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2</w:t>
            </w:r>
          </w:p>
        </w:tc>
        <w:tc>
          <w:tcPr>
            <w:tcW w:w="765" w:type="dxa"/>
            <w:noWrap/>
            <w:hideMark/>
          </w:tcPr>
          <w:p w14:paraId="4E080C12" w14:textId="77777777" w:rsidR="00B367FB" w:rsidRPr="000973F2" w:rsidRDefault="00B367FB" w:rsidP="00F53C74">
            <w:pPr>
              <w:tabs>
                <w:tab w:val="decimal" w:pos="331"/>
              </w:tabs>
              <w:spacing w:before="40" w:after="4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0</w:t>
            </w:r>
          </w:p>
        </w:tc>
        <w:tc>
          <w:tcPr>
            <w:tcW w:w="765" w:type="dxa"/>
            <w:noWrap/>
            <w:hideMark/>
          </w:tcPr>
          <w:p w14:paraId="25C3F80A" w14:textId="77777777" w:rsidR="00B367FB" w:rsidRPr="000973F2" w:rsidRDefault="00B367FB" w:rsidP="00F53C74">
            <w:pPr>
              <w:tabs>
                <w:tab w:val="decimal" w:pos="331"/>
              </w:tabs>
              <w:spacing w:before="40" w:after="4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26</w:t>
            </w:r>
          </w:p>
        </w:tc>
        <w:tc>
          <w:tcPr>
            <w:tcW w:w="765" w:type="dxa"/>
            <w:noWrap/>
            <w:hideMark/>
          </w:tcPr>
          <w:p w14:paraId="6A0F67E1" w14:textId="77777777" w:rsidR="00B367FB" w:rsidRPr="000973F2" w:rsidRDefault="00B367FB" w:rsidP="00F53C74">
            <w:pPr>
              <w:tabs>
                <w:tab w:val="decimal" w:pos="331"/>
              </w:tabs>
              <w:spacing w:before="40" w:after="4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0</w:t>
            </w:r>
          </w:p>
        </w:tc>
        <w:tc>
          <w:tcPr>
            <w:tcW w:w="765" w:type="dxa"/>
            <w:noWrap/>
            <w:hideMark/>
          </w:tcPr>
          <w:p w14:paraId="6C11112E" w14:textId="77777777" w:rsidR="00B367FB" w:rsidRPr="000973F2" w:rsidRDefault="00B367FB" w:rsidP="00F53C74">
            <w:pPr>
              <w:tabs>
                <w:tab w:val="decimal" w:pos="331"/>
              </w:tabs>
              <w:spacing w:before="40" w:after="4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2</w:t>
            </w:r>
          </w:p>
        </w:tc>
        <w:tc>
          <w:tcPr>
            <w:tcW w:w="892" w:type="dxa"/>
            <w:noWrap/>
            <w:hideMark/>
          </w:tcPr>
          <w:p w14:paraId="65CD07DF" w14:textId="02A912D3" w:rsidR="00B367FB" w:rsidRPr="000973F2" w:rsidRDefault="00B367FB" w:rsidP="00C330E2">
            <w:pPr>
              <w:tabs>
                <w:tab w:val="decimal" w:pos="421"/>
              </w:tabs>
              <w:spacing w:before="40" w:after="4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$0</w:t>
            </w:r>
          </w:p>
        </w:tc>
        <w:tc>
          <w:tcPr>
            <w:tcW w:w="893" w:type="dxa"/>
            <w:noWrap/>
            <w:hideMark/>
          </w:tcPr>
          <w:p w14:paraId="05B3E117" w14:textId="77777777" w:rsidR="00B367FB" w:rsidRPr="000973F2" w:rsidRDefault="00B367FB" w:rsidP="00F53C74">
            <w:pPr>
              <w:tabs>
                <w:tab w:val="decimal" w:pos="526"/>
              </w:tabs>
              <w:spacing w:before="40" w:after="4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$2,105</w:t>
            </w:r>
          </w:p>
        </w:tc>
      </w:tr>
      <w:tr w:rsidR="00F53C74" w:rsidRPr="000973F2" w14:paraId="5254A147" w14:textId="77777777" w:rsidTr="00F53C74">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1425" w:type="dxa"/>
            <w:noWrap/>
            <w:hideMark/>
          </w:tcPr>
          <w:p w14:paraId="795FD3E3" w14:textId="77777777" w:rsidR="00B367FB" w:rsidRPr="000973F2" w:rsidRDefault="00B367FB" w:rsidP="00F53C74">
            <w:pPr>
              <w:spacing w:before="40" w:after="40"/>
              <w:rPr>
                <w:rFonts w:ascii="Times New Roman" w:eastAsia="Times New Roman" w:hAnsi="Times New Roman" w:cs="Times New Roman"/>
                <w:b/>
                <w:bCs w:val="0"/>
                <w:sz w:val="18"/>
                <w:szCs w:val="18"/>
              </w:rPr>
            </w:pPr>
            <w:r w:rsidRPr="000973F2">
              <w:rPr>
                <w:rFonts w:ascii="Times New Roman" w:eastAsia="Times New Roman" w:hAnsi="Times New Roman" w:cs="Times New Roman"/>
                <w:b/>
                <w:sz w:val="18"/>
                <w:szCs w:val="18"/>
              </w:rPr>
              <w:t>Total</w:t>
            </w:r>
          </w:p>
        </w:tc>
        <w:tc>
          <w:tcPr>
            <w:tcW w:w="765" w:type="dxa"/>
            <w:noWrap/>
            <w:hideMark/>
          </w:tcPr>
          <w:p w14:paraId="6C50A97E" w14:textId="77777777" w:rsidR="00B367FB" w:rsidRPr="000973F2" w:rsidRDefault="00B367FB" w:rsidP="00F53C74">
            <w:pPr>
              <w:tabs>
                <w:tab w:val="decimal" w:pos="331"/>
              </w:tabs>
              <w:spacing w:before="40" w:after="4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18"/>
                <w:szCs w:val="18"/>
              </w:rPr>
            </w:pPr>
            <w:r w:rsidRPr="000973F2">
              <w:rPr>
                <w:rFonts w:ascii="Times New Roman" w:eastAsia="Times New Roman" w:hAnsi="Times New Roman" w:cs="Times New Roman"/>
                <w:b/>
                <w:bCs/>
                <w:sz w:val="18"/>
                <w:szCs w:val="18"/>
              </w:rPr>
              <w:t>0</w:t>
            </w:r>
          </w:p>
        </w:tc>
        <w:tc>
          <w:tcPr>
            <w:tcW w:w="765" w:type="dxa"/>
            <w:noWrap/>
            <w:hideMark/>
          </w:tcPr>
          <w:p w14:paraId="6D8334B1" w14:textId="77777777" w:rsidR="00B367FB" w:rsidRPr="000973F2" w:rsidRDefault="00B367FB" w:rsidP="00F53C74">
            <w:pPr>
              <w:tabs>
                <w:tab w:val="decimal" w:pos="331"/>
              </w:tabs>
              <w:spacing w:before="40" w:after="4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18"/>
                <w:szCs w:val="18"/>
              </w:rPr>
            </w:pPr>
            <w:r w:rsidRPr="000973F2">
              <w:rPr>
                <w:rFonts w:ascii="Times New Roman" w:eastAsia="Times New Roman" w:hAnsi="Times New Roman" w:cs="Times New Roman"/>
                <w:b/>
                <w:bCs/>
                <w:sz w:val="18"/>
                <w:szCs w:val="18"/>
              </w:rPr>
              <w:t>2</w:t>
            </w:r>
          </w:p>
        </w:tc>
        <w:tc>
          <w:tcPr>
            <w:tcW w:w="765" w:type="dxa"/>
            <w:noWrap/>
            <w:hideMark/>
          </w:tcPr>
          <w:p w14:paraId="5D89561F" w14:textId="77777777" w:rsidR="00B367FB" w:rsidRPr="000973F2" w:rsidRDefault="00B367FB" w:rsidP="00F53C74">
            <w:pPr>
              <w:tabs>
                <w:tab w:val="decimal" w:pos="331"/>
              </w:tabs>
              <w:spacing w:before="40" w:after="4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18"/>
                <w:szCs w:val="18"/>
              </w:rPr>
            </w:pPr>
            <w:r w:rsidRPr="000973F2">
              <w:rPr>
                <w:rFonts w:ascii="Times New Roman" w:eastAsia="Times New Roman" w:hAnsi="Times New Roman" w:cs="Times New Roman"/>
                <w:b/>
                <w:bCs/>
                <w:sz w:val="18"/>
                <w:szCs w:val="18"/>
              </w:rPr>
              <w:t>0</w:t>
            </w:r>
          </w:p>
        </w:tc>
        <w:tc>
          <w:tcPr>
            <w:tcW w:w="765" w:type="dxa"/>
            <w:noWrap/>
            <w:hideMark/>
          </w:tcPr>
          <w:p w14:paraId="78B9CBC9" w14:textId="77777777" w:rsidR="00B367FB" w:rsidRPr="000973F2" w:rsidRDefault="00B367FB" w:rsidP="00F53C74">
            <w:pPr>
              <w:tabs>
                <w:tab w:val="decimal" w:pos="331"/>
              </w:tabs>
              <w:spacing w:before="40" w:after="4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18"/>
                <w:szCs w:val="18"/>
              </w:rPr>
            </w:pPr>
            <w:r w:rsidRPr="000973F2">
              <w:rPr>
                <w:rFonts w:ascii="Times New Roman" w:eastAsia="Times New Roman" w:hAnsi="Times New Roman" w:cs="Times New Roman"/>
                <w:b/>
                <w:bCs/>
                <w:sz w:val="18"/>
                <w:szCs w:val="18"/>
              </w:rPr>
              <w:t>9.9</w:t>
            </w:r>
          </w:p>
        </w:tc>
        <w:tc>
          <w:tcPr>
            <w:tcW w:w="765" w:type="dxa"/>
            <w:noWrap/>
            <w:hideMark/>
          </w:tcPr>
          <w:p w14:paraId="0ACBC6C6" w14:textId="77777777" w:rsidR="00B367FB" w:rsidRPr="000973F2" w:rsidRDefault="00B367FB" w:rsidP="00F53C74">
            <w:pPr>
              <w:tabs>
                <w:tab w:val="decimal" w:pos="331"/>
              </w:tabs>
              <w:spacing w:before="40" w:after="4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18"/>
                <w:szCs w:val="18"/>
              </w:rPr>
            </w:pPr>
            <w:r w:rsidRPr="000973F2">
              <w:rPr>
                <w:rFonts w:ascii="Times New Roman" w:eastAsia="Times New Roman" w:hAnsi="Times New Roman" w:cs="Times New Roman"/>
                <w:b/>
                <w:bCs/>
                <w:sz w:val="18"/>
                <w:szCs w:val="18"/>
              </w:rPr>
              <w:t>0</w:t>
            </w:r>
          </w:p>
        </w:tc>
        <w:tc>
          <w:tcPr>
            <w:tcW w:w="765" w:type="dxa"/>
            <w:noWrap/>
            <w:hideMark/>
          </w:tcPr>
          <w:p w14:paraId="46954B02" w14:textId="77777777" w:rsidR="00B367FB" w:rsidRPr="000973F2" w:rsidRDefault="00B367FB" w:rsidP="00F53C74">
            <w:pPr>
              <w:tabs>
                <w:tab w:val="decimal" w:pos="331"/>
              </w:tabs>
              <w:spacing w:before="40" w:after="4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18"/>
                <w:szCs w:val="18"/>
              </w:rPr>
            </w:pPr>
            <w:r w:rsidRPr="000973F2">
              <w:rPr>
                <w:rFonts w:ascii="Times New Roman" w:eastAsia="Times New Roman" w:hAnsi="Times New Roman" w:cs="Times New Roman"/>
                <w:b/>
                <w:bCs/>
                <w:sz w:val="18"/>
                <w:szCs w:val="18"/>
              </w:rPr>
              <w:t>58</w:t>
            </w:r>
          </w:p>
        </w:tc>
        <w:tc>
          <w:tcPr>
            <w:tcW w:w="765" w:type="dxa"/>
            <w:noWrap/>
            <w:hideMark/>
          </w:tcPr>
          <w:p w14:paraId="686B6497" w14:textId="77777777" w:rsidR="00B367FB" w:rsidRPr="000973F2" w:rsidRDefault="00B367FB" w:rsidP="00F53C74">
            <w:pPr>
              <w:tabs>
                <w:tab w:val="decimal" w:pos="331"/>
              </w:tabs>
              <w:spacing w:before="40" w:after="4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18"/>
                <w:szCs w:val="18"/>
              </w:rPr>
            </w:pPr>
            <w:r w:rsidRPr="000973F2">
              <w:rPr>
                <w:rFonts w:ascii="Times New Roman" w:eastAsia="Times New Roman" w:hAnsi="Times New Roman" w:cs="Times New Roman"/>
                <w:b/>
                <w:bCs/>
                <w:sz w:val="18"/>
                <w:szCs w:val="18"/>
              </w:rPr>
              <w:t>0</w:t>
            </w:r>
          </w:p>
        </w:tc>
        <w:tc>
          <w:tcPr>
            <w:tcW w:w="765" w:type="dxa"/>
            <w:noWrap/>
            <w:hideMark/>
          </w:tcPr>
          <w:p w14:paraId="7AFEDF07" w14:textId="77777777" w:rsidR="00B367FB" w:rsidRPr="000973F2" w:rsidRDefault="00B367FB" w:rsidP="00F53C74">
            <w:pPr>
              <w:tabs>
                <w:tab w:val="decimal" w:pos="331"/>
              </w:tabs>
              <w:spacing w:before="40" w:after="4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18"/>
                <w:szCs w:val="18"/>
              </w:rPr>
            </w:pPr>
            <w:r w:rsidRPr="000973F2">
              <w:rPr>
                <w:rFonts w:ascii="Times New Roman" w:eastAsia="Times New Roman" w:hAnsi="Times New Roman" w:cs="Times New Roman"/>
                <w:b/>
                <w:bCs/>
                <w:sz w:val="18"/>
                <w:szCs w:val="18"/>
              </w:rPr>
              <w:t>4.8</w:t>
            </w:r>
          </w:p>
        </w:tc>
        <w:tc>
          <w:tcPr>
            <w:tcW w:w="892" w:type="dxa"/>
            <w:noWrap/>
            <w:hideMark/>
          </w:tcPr>
          <w:p w14:paraId="1EBEF825" w14:textId="77777777" w:rsidR="00B367FB" w:rsidRPr="000973F2" w:rsidRDefault="00B367FB" w:rsidP="00C330E2">
            <w:pPr>
              <w:tabs>
                <w:tab w:val="decimal" w:pos="421"/>
              </w:tabs>
              <w:spacing w:before="40" w:after="4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18"/>
                <w:szCs w:val="18"/>
              </w:rPr>
            </w:pPr>
            <w:r w:rsidRPr="000973F2">
              <w:rPr>
                <w:rFonts w:ascii="Times New Roman" w:eastAsia="Times New Roman" w:hAnsi="Times New Roman" w:cs="Times New Roman"/>
                <w:b/>
                <w:bCs/>
                <w:sz w:val="18"/>
                <w:szCs w:val="18"/>
              </w:rPr>
              <w:t xml:space="preserve">$0 </w:t>
            </w:r>
          </w:p>
        </w:tc>
        <w:tc>
          <w:tcPr>
            <w:tcW w:w="893" w:type="dxa"/>
            <w:noWrap/>
            <w:hideMark/>
          </w:tcPr>
          <w:p w14:paraId="1F426CCC" w14:textId="77777777" w:rsidR="00B367FB" w:rsidRPr="000973F2" w:rsidRDefault="00B367FB" w:rsidP="00F53C74">
            <w:pPr>
              <w:tabs>
                <w:tab w:val="decimal" w:pos="526"/>
              </w:tabs>
              <w:spacing w:before="40" w:after="4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18"/>
                <w:szCs w:val="18"/>
              </w:rPr>
            </w:pPr>
            <w:r w:rsidRPr="000973F2">
              <w:rPr>
                <w:rFonts w:ascii="Times New Roman" w:eastAsia="Times New Roman" w:hAnsi="Times New Roman" w:cs="Times New Roman"/>
                <w:b/>
                <w:bCs/>
                <w:sz w:val="18"/>
                <w:szCs w:val="18"/>
              </w:rPr>
              <w:t>$5,408</w:t>
            </w:r>
          </w:p>
        </w:tc>
      </w:tr>
    </w:tbl>
    <w:p w14:paraId="13BC1276" w14:textId="77777777" w:rsidR="00B367FB" w:rsidRPr="000973F2" w:rsidRDefault="00B367FB" w:rsidP="00C00E4F">
      <w:pPr>
        <w:spacing w:line="240" w:lineRule="auto"/>
        <w:jc w:val="right"/>
        <w:rPr>
          <w:rFonts w:ascii="Times New Roman" w:hAnsi="Times New Roman" w:cs="Times New Roman"/>
          <w:sz w:val="24"/>
          <w:szCs w:val="24"/>
        </w:rPr>
      </w:pPr>
    </w:p>
    <w:p w14:paraId="72E6838B" w14:textId="77777777" w:rsidR="00455015" w:rsidRPr="000973F2" w:rsidRDefault="00455015" w:rsidP="00C00E4F">
      <w:pPr>
        <w:spacing w:line="240" w:lineRule="auto"/>
        <w:rPr>
          <w:rFonts w:ascii="Times New Roman" w:hAnsi="Times New Roman" w:cs="Times New Roman"/>
          <w:b/>
          <w:i/>
          <w:szCs w:val="24"/>
        </w:rPr>
      </w:pPr>
      <w:r w:rsidRPr="000973F2">
        <w:rPr>
          <w:rFonts w:ascii="Times New Roman" w:hAnsi="Times New Roman" w:cs="Times New Roman"/>
          <w:b/>
          <w:i/>
          <w:szCs w:val="24"/>
        </w:rPr>
        <w:br w:type="page"/>
      </w:r>
    </w:p>
    <w:p w14:paraId="311D0166" w14:textId="37E7191E" w:rsidR="00B367FB" w:rsidRPr="000973F2" w:rsidRDefault="00B367FB" w:rsidP="00C330E2">
      <w:pPr>
        <w:pStyle w:val="Heading2"/>
      </w:pPr>
      <w:r w:rsidRPr="000973F2">
        <w:t xml:space="preserve">Labor Costs for Subpart OO </w:t>
      </w:r>
      <w:r w:rsidR="00C330E2" w:rsidRPr="000973F2">
        <w:t>–</w:t>
      </w:r>
      <w:r w:rsidRPr="000973F2">
        <w:t xml:space="preserve"> Exporters</w:t>
      </w:r>
    </w:p>
    <w:p w14:paraId="40CB794D" w14:textId="5029D1EB" w:rsidR="00B367FB" w:rsidRPr="000973F2" w:rsidRDefault="00B367FB" w:rsidP="00C330E2">
      <w:pPr>
        <w:pStyle w:val="BodyText"/>
      </w:pPr>
      <w:r w:rsidRPr="000973F2">
        <w:t xml:space="preserve">The labor costs for each of the 24 exporters to report under Subpart OO are provided in Table </w:t>
      </w:r>
      <w:r w:rsidR="00C330E2" w:rsidRPr="000973F2">
        <w:t>OO-</w:t>
      </w:r>
      <w:r w:rsidRPr="000973F2">
        <w:t xml:space="preserve">1c. </w:t>
      </w:r>
      <w:r w:rsidRPr="000973F2">
        <w:rPr>
          <w:iCs/>
        </w:rPr>
        <w:t>Typical activities for each of the labor activities are discussed in the Cost Appendix Introduction</w:t>
      </w:r>
      <w:r w:rsidRPr="000973F2">
        <w:t>.</w:t>
      </w:r>
      <w:r w:rsidRPr="000973F2">
        <w:rPr>
          <w:sz w:val="20"/>
        </w:rPr>
        <w:t xml:space="preserve"> Ex</w:t>
      </w:r>
      <w:r w:rsidRPr="000973F2">
        <w:t>porters also provide an annual report that summarizes exports at the corporate level (see § 98.416(d)).</w:t>
      </w:r>
      <w:r w:rsidRPr="000973F2">
        <w:rPr>
          <w:sz w:val="20"/>
        </w:rPr>
        <w:t xml:space="preserve"> </w:t>
      </w:r>
      <w:r w:rsidRPr="000973F2">
        <w:t xml:space="preserve">No new exporters are expected to report under Subpart OO </w:t>
      </w:r>
      <w:r w:rsidR="00BB183C" w:rsidRPr="000973F2">
        <w:t xml:space="preserve">during </w:t>
      </w:r>
      <w:r w:rsidRPr="000973F2">
        <w:t>the three year</w:t>
      </w:r>
      <w:r w:rsidR="00BB183C" w:rsidRPr="000973F2">
        <w:t xml:space="preserve"> period covered by this ICR</w:t>
      </w:r>
      <w:r w:rsidRPr="000973F2">
        <w:t>. Initial year costs apply to new facilities; therefore, those costs are zero in the tables below. Recordkeeping and reporting labor costs are based on the “high bin” designation.</w:t>
      </w:r>
    </w:p>
    <w:p w14:paraId="55CF426F" w14:textId="48665397" w:rsidR="00FD42AE" w:rsidRPr="000973F2" w:rsidRDefault="00FD42AE" w:rsidP="00C330E2">
      <w:pPr>
        <w:pStyle w:val="Tabletitle"/>
      </w:pPr>
      <w:r w:rsidRPr="000973F2">
        <w:t xml:space="preserve">Table </w:t>
      </w:r>
      <w:r w:rsidR="00C330E2" w:rsidRPr="000973F2">
        <w:t>OO-</w:t>
      </w:r>
      <w:r w:rsidRPr="000973F2">
        <w:t xml:space="preserve">1c. Labor Costs </w:t>
      </w:r>
      <w:r w:rsidR="00B960CC" w:rsidRPr="000973F2">
        <w:t>–</w:t>
      </w:r>
      <w:r w:rsidRPr="000973F2">
        <w:t xml:space="preserve"> Subpart OO</w:t>
      </w:r>
      <w:r w:rsidR="00455015" w:rsidRPr="000973F2">
        <w:t xml:space="preserve"> </w:t>
      </w:r>
      <w:r w:rsidR="005A3F08" w:rsidRPr="000973F2">
        <w:t xml:space="preserve">– </w:t>
      </w:r>
      <w:r w:rsidRPr="000973F2">
        <w:t>Exporters</w:t>
      </w:r>
    </w:p>
    <w:tbl>
      <w:tblPr>
        <w:tblStyle w:val="PlainTable1"/>
        <w:tblW w:w="5000" w:type="pct"/>
        <w:jc w:val="left"/>
        <w:tblLayout w:type="fixed"/>
        <w:tblCellMar>
          <w:left w:w="115" w:type="dxa"/>
          <w:right w:w="115" w:type="dxa"/>
        </w:tblCellMar>
        <w:tblLook w:val="04A0" w:firstRow="1" w:lastRow="0" w:firstColumn="1" w:lastColumn="0" w:noHBand="0" w:noVBand="1"/>
      </w:tblPr>
      <w:tblGrid>
        <w:gridCol w:w="1556"/>
        <w:gridCol w:w="762"/>
        <w:gridCol w:w="763"/>
        <w:gridCol w:w="763"/>
        <w:gridCol w:w="764"/>
        <w:gridCol w:w="764"/>
        <w:gridCol w:w="763"/>
        <w:gridCol w:w="764"/>
        <w:gridCol w:w="948"/>
        <w:gridCol w:w="871"/>
        <w:gridCol w:w="872"/>
      </w:tblGrid>
      <w:tr w:rsidR="00B367FB" w:rsidRPr="000973F2" w14:paraId="33A04D2E" w14:textId="77777777" w:rsidTr="00C330E2">
        <w:trPr>
          <w:cnfStyle w:val="100000000000" w:firstRow="1" w:lastRow="0" w:firstColumn="0" w:lastColumn="0" w:oddVBand="0" w:evenVBand="0" w:oddHBand="0" w:evenHBand="0" w:firstRowFirstColumn="0" w:firstRowLastColumn="0" w:lastRowFirstColumn="0" w:lastRowLastColumn="0"/>
          <w:cantSplit/>
          <w:jc w:val="left"/>
        </w:trPr>
        <w:tc>
          <w:tcPr>
            <w:cnfStyle w:val="001000000000" w:firstRow="0" w:lastRow="0" w:firstColumn="1" w:lastColumn="0" w:oddVBand="0" w:evenVBand="0" w:oddHBand="0" w:evenHBand="0" w:firstRowFirstColumn="0" w:firstRowLastColumn="0" w:lastRowFirstColumn="0" w:lastRowLastColumn="0"/>
            <w:tcW w:w="1515" w:type="dxa"/>
            <w:vMerge w:val="restart"/>
            <w:noWrap/>
            <w:vAlign w:val="top"/>
            <w:hideMark/>
          </w:tcPr>
          <w:p w14:paraId="1995113B" w14:textId="77777777" w:rsidR="00B367FB" w:rsidRPr="000973F2" w:rsidRDefault="00B367FB" w:rsidP="00C330E2">
            <w:pPr>
              <w:spacing w:before="40" w:after="40"/>
              <w:rPr>
                <w:rFonts w:ascii="Times New Roman" w:eastAsia="Times New Roman" w:hAnsi="Times New Roman" w:cs="Times New Roman"/>
                <w:bCs w:val="0"/>
                <w:sz w:val="18"/>
                <w:szCs w:val="18"/>
              </w:rPr>
            </w:pPr>
            <w:r w:rsidRPr="000973F2">
              <w:rPr>
                <w:rFonts w:ascii="Times New Roman" w:eastAsia="Times New Roman" w:hAnsi="Times New Roman" w:cs="Times New Roman"/>
                <w:bCs w:val="0"/>
                <w:sz w:val="18"/>
                <w:szCs w:val="18"/>
              </w:rPr>
              <w:t>Activity</w:t>
            </w:r>
          </w:p>
        </w:tc>
        <w:tc>
          <w:tcPr>
            <w:tcW w:w="6120" w:type="dxa"/>
            <w:gridSpan w:val="8"/>
            <w:noWrap/>
            <w:vAlign w:val="top"/>
            <w:hideMark/>
          </w:tcPr>
          <w:p w14:paraId="06C2D330" w14:textId="77777777" w:rsidR="00B367FB" w:rsidRPr="000973F2" w:rsidRDefault="00B367FB" w:rsidP="00C330E2">
            <w:pPr>
              <w:spacing w:before="40" w:after="40"/>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Cs w:val="0"/>
                <w:sz w:val="18"/>
                <w:szCs w:val="18"/>
              </w:rPr>
            </w:pPr>
            <w:r w:rsidRPr="000973F2">
              <w:rPr>
                <w:rFonts w:ascii="Times New Roman" w:eastAsia="Times New Roman" w:hAnsi="Times New Roman" w:cs="Times New Roman"/>
                <w:bCs w:val="0"/>
                <w:sz w:val="18"/>
                <w:szCs w:val="18"/>
              </w:rPr>
              <w:t>Labor Rates (per hour)</w:t>
            </w:r>
          </w:p>
        </w:tc>
        <w:tc>
          <w:tcPr>
            <w:tcW w:w="1695" w:type="dxa"/>
            <w:gridSpan w:val="2"/>
            <w:vMerge w:val="restart"/>
            <w:vAlign w:val="top"/>
            <w:hideMark/>
          </w:tcPr>
          <w:p w14:paraId="4935E508" w14:textId="092A8EC2" w:rsidR="00B367FB" w:rsidRPr="000973F2" w:rsidRDefault="00B367FB" w:rsidP="00C330E2">
            <w:pPr>
              <w:spacing w:before="40" w:after="40"/>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Cs w:val="0"/>
                <w:sz w:val="18"/>
                <w:szCs w:val="18"/>
              </w:rPr>
            </w:pPr>
            <w:r w:rsidRPr="000973F2">
              <w:rPr>
                <w:rFonts w:ascii="Times New Roman" w:eastAsia="Times New Roman" w:hAnsi="Times New Roman" w:cs="Times New Roman"/>
                <w:bCs w:val="0"/>
                <w:sz w:val="18"/>
                <w:szCs w:val="18"/>
              </w:rPr>
              <w:t>Total Labor Cost</w:t>
            </w:r>
            <w:r w:rsidR="00C330E2" w:rsidRPr="000973F2">
              <w:rPr>
                <w:rFonts w:ascii="Times New Roman" w:eastAsia="Times New Roman" w:hAnsi="Times New Roman" w:cs="Times New Roman"/>
                <w:bCs w:val="0"/>
                <w:sz w:val="18"/>
                <w:szCs w:val="18"/>
              </w:rPr>
              <w:t xml:space="preserve"> </w:t>
            </w:r>
            <w:r w:rsidRPr="000973F2">
              <w:rPr>
                <w:rFonts w:ascii="Times New Roman" w:eastAsia="Times New Roman" w:hAnsi="Times New Roman" w:cs="Times New Roman"/>
                <w:bCs w:val="0"/>
                <w:sz w:val="18"/>
                <w:szCs w:val="18"/>
              </w:rPr>
              <w:t xml:space="preserve">per </w:t>
            </w:r>
            <w:r w:rsidR="00C330E2" w:rsidRPr="000973F2">
              <w:rPr>
                <w:rFonts w:ascii="Times New Roman" w:eastAsia="Times New Roman" w:hAnsi="Times New Roman" w:cs="Times New Roman"/>
                <w:bCs w:val="0"/>
                <w:sz w:val="18"/>
                <w:szCs w:val="18"/>
              </w:rPr>
              <w:t>Year per</w:t>
            </w:r>
            <w:r w:rsidRPr="000973F2">
              <w:rPr>
                <w:rFonts w:ascii="Times New Roman" w:eastAsia="Times New Roman" w:hAnsi="Times New Roman" w:cs="Times New Roman"/>
                <w:bCs w:val="0"/>
                <w:sz w:val="18"/>
                <w:szCs w:val="18"/>
              </w:rPr>
              <w:t xml:space="preserve"> Facility (2017$)</w:t>
            </w:r>
          </w:p>
        </w:tc>
      </w:tr>
      <w:tr w:rsidR="00B367FB" w:rsidRPr="000973F2" w14:paraId="6640553B" w14:textId="77777777" w:rsidTr="00C330E2">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1515" w:type="dxa"/>
            <w:vMerge/>
            <w:hideMark/>
          </w:tcPr>
          <w:p w14:paraId="27BDBF6B" w14:textId="77777777" w:rsidR="00B367FB" w:rsidRPr="000973F2" w:rsidRDefault="00B367FB" w:rsidP="00C330E2">
            <w:pPr>
              <w:spacing w:before="40" w:after="40"/>
              <w:rPr>
                <w:rFonts w:ascii="Times New Roman" w:eastAsia="Times New Roman" w:hAnsi="Times New Roman" w:cs="Times New Roman"/>
                <w:b/>
                <w:bCs w:val="0"/>
                <w:sz w:val="18"/>
                <w:szCs w:val="18"/>
              </w:rPr>
            </w:pPr>
          </w:p>
        </w:tc>
        <w:tc>
          <w:tcPr>
            <w:tcW w:w="1485" w:type="dxa"/>
            <w:gridSpan w:val="2"/>
            <w:noWrap/>
            <w:hideMark/>
          </w:tcPr>
          <w:p w14:paraId="35654051" w14:textId="77777777" w:rsidR="00B367FB" w:rsidRPr="000973F2" w:rsidRDefault="00B367FB" w:rsidP="00C330E2">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18"/>
                <w:szCs w:val="18"/>
              </w:rPr>
            </w:pPr>
            <w:r w:rsidRPr="000973F2">
              <w:rPr>
                <w:rFonts w:ascii="Times New Roman" w:eastAsia="Times New Roman" w:hAnsi="Times New Roman" w:cs="Times New Roman"/>
                <w:b/>
                <w:bCs/>
                <w:sz w:val="18"/>
                <w:szCs w:val="18"/>
              </w:rPr>
              <w:t>Lawyer</w:t>
            </w:r>
          </w:p>
        </w:tc>
        <w:tc>
          <w:tcPr>
            <w:tcW w:w="1485" w:type="dxa"/>
            <w:gridSpan w:val="2"/>
            <w:hideMark/>
          </w:tcPr>
          <w:p w14:paraId="0861321B" w14:textId="77777777" w:rsidR="00B367FB" w:rsidRPr="000973F2" w:rsidRDefault="00B367FB" w:rsidP="00C330E2">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18"/>
                <w:szCs w:val="18"/>
              </w:rPr>
            </w:pPr>
            <w:r w:rsidRPr="000973F2">
              <w:rPr>
                <w:rFonts w:ascii="Times New Roman" w:eastAsia="Times New Roman" w:hAnsi="Times New Roman" w:cs="Times New Roman"/>
                <w:b/>
                <w:bCs/>
                <w:sz w:val="18"/>
                <w:szCs w:val="18"/>
              </w:rPr>
              <w:t>Industrial</w:t>
            </w:r>
            <w:r w:rsidRPr="000973F2">
              <w:rPr>
                <w:rFonts w:ascii="Times New Roman" w:eastAsia="Times New Roman" w:hAnsi="Times New Roman" w:cs="Times New Roman"/>
                <w:b/>
                <w:bCs/>
                <w:sz w:val="18"/>
                <w:szCs w:val="18"/>
              </w:rPr>
              <w:br/>
              <w:t>Manager</w:t>
            </w:r>
          </w:p>
        </w:tc>
        <w:tc>
          <w:tcPr>
            <w:tcW w:w="1485" w:type="dxa"/>
            <w:gridSpan w:val="2"/>
            <w:hideMark/>
          </w:tcPr>
          <w:p w14:paraId="13CBDEA6" w14:textId="3A62762E" w:rsidR="00B367FB" w:rsidRPr="000973F2" w:rsidRDefault="00B367FB" w:rsidP="00C330E2">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18"/>
                <w:szCs w:val="18"/>
              </w:rPr>
            </w:pPr>
            <w:r w:rsidRPr="000973F2">
              <w:rPr>
                <w:rFonts w:ascii="Times New Roman" w:eastAsia="Times New Roman" w:hAnsi="Times New Roman" w:cs="Times New Roman"/>
                <w:b/>
                <w:bCs/>
                <w:sz w:val="18"/>
                <w:szCs w:val="18"/>
              </w:rPr>
              <w:t>Industrial Engineer/</w:t>
            </w:r>
            <w:r w:rsidR="00C330E2" w:rsidRPr="000973F2">
              <w:rPr>
                <w:rFonts w:ascii="Times New Roman" w:eastAsia="Times New Roman" w:hAnsi="Times New Roman" w:cs="Times New Roman"/>
                <w:b/>
                <w:bCs/>
                <w:sz w:val="18"/>
                <w:szCs w:val="18"/>
              </w:rPr>
              <w:t xml:space="preserve"> </w:t>
            </w:r>
            <w:r w:rsidRPr="000973F2">
              <w:rPr>
                <w:rFonts w:ascii="Times New Roman" w:eastAsia="Times New Roman" w:hAnsi="Times New Roman" w:cs="Times New Roman"/>
                <w:b/>
                <w:bCs/>
                <w:sz w:val="18"/>
                <w:szCs w:val="18"/>
              </w:rPr>
              <w:t>Technician</w:t>
            </w:r>
          </w:p>
        </w:tc>
        <w:tc>
          <w:tcPr>
            <w:tcW w:w="1665" w:type="dxa"/>
            <w:gridSpan w:val="2"/>
            <w:hideMark/>
          </w:tcPr>
          <w:p w14:paraId="0F29398F" w14:textId="77777777" w:rsidR="00B367FB" w:rsidRPr="000973F2" w:rsidRDefault="00B367FB" w:rsidP="00C330E2">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18"/>
                <w:szCs w:val="18"/>
              </w:rPr>
            </w:pPr>
            <w:r w:rsidRPr="000973F2">
              <w:rPr>
                <w:rFonts w:ascii="Times New Roman" w:eastAsia="Times New Roman" w:hAnsi="Times New Roman" w:cs="Times New Roman"/>
                <w:b/>
                <w:bCs/>
                <w:sz w:val="18"/>
                <w:szCs w:val="18"/>
              </w:rPr>
              <w:t>Administrative Support</w:t>
            </w:r>
          </w:p>
        </w:tc>
        <w:tc>
          <w:tcPr>
            <w:tcW w:w="1695" w:type="dxa"/>
            <w:gridSpan w:val="2"/>
            <w:vMerge/>
            <w:hideMark/>
          </w:tcPr>
          <w:p w14:paraId="3B91DFB7" w14:textId="77777777" w:rsidR="00B367FB" w:rsidRPr="000973F2" w:rsidRDefault="00B367FB" w:rsidP="00C330E2">
            <w:pPr>
              <w:spacing w:before="40" w:after="4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18"/>
                <w:szCs w:val="18"/>
              </w:rPr>
            </w:pPr>
          </w:p>
        </w:tc>
      </w:tr>
      <w:tr w:rsidR="00B367FB" w:rsidRPr="000973F2" w14:paraId="7D92E5E7" w14:textId="77777777" w:rsidTr="00C330E2">
        <w:trPr>
          <w:cantSplit/>
        </w:trPr>
        <w:tc>
          <w:tcPr>
            <w:cnfStyle w:val="001000000000" w:firstRow="0" w:lastRow="0" w:firstColumn="1" w:lastColumn="0" w:oddVBand="0" w:evenVBand="0" w:oddHBand="0" w:evenHBand="0" w:firstRowFirstColumn="0" w:firstRowLastColumn="0" w:lastRowFirstColumn="0" w:lastRowLastColumn="0"/>
            <w:tcW w:w="1515" w:type="dxa"/>
            <w:vMerge/>
            <w:hideMark/>
          </w:tcPr>
          <w:p w14:paraId="4D12ABE6" w14:textId="77777777" w:rsidR="00B367FB" w:rsidRPr="000973F2" w:rsidRDefault="00B367FB" w:rsidP="00C330E2">
            <w:pPr>
              <w:spacing w:before="40" w:after="40"/>
              <w:rPr>
                <w:rFonts w:ascii="Times New Roman" w:eastAsia="Times New Roman" w:hAnsi="Times New Roman" w:cs="Times New Roman"/>
                <w:b/>
                <w:bCs w:val="0"/>
                <w:sz w:val="18"/>
                <w:szCs w:val="18"/>
              </w:rPr>
            </w:pPr>
          </w:p>
        </w:tc>
        <w:tc>
          <w:tcPr>
            <w:tcW w:w="1485" w:type="dxa"/>
            <w:gridSpan w:val="2"/>
            <w:noWrap/>
            <w:hideMark/>
          </w:tcPr>
          <w:p w14:paraId="60596CDF" w14:textId="77777777" w:rsidR="00B367FB" w:rsidRPr="000973F2" w:rsidRDefault="00B367FB" w:rsidP="00C330E2">
            <w:pPr>
              <w:spacing w:before="40" w:after="4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sz w:val="18"/>
                <w:szCs w:val="18"/>
              </w:rPr>
            </w:pPr>
            <w:r w:rsidRPr="000973F2">
              <w:rPr>
                <w:rFonts w:ascii="Times New Roman" w:eastAsia="Times New Roman" w:hAnsi="Times New Roman" w:cs="Times New Roman"/>
                <w:b/>
                <w:bCs/>
                <w:sz w:val="18"/>
                <w:szCs w:val="18"/>
              </w:rPr>
              <w:t xml:space="preserve">$112.23 </w:t>
            </w:r>
          </w:p>
        </w:tc>
        <w:tc>
          <w:tcPr>
            <w:tcW w:w="1485" w:type="dxa"/>
            <w:gridSpan w:val="2"/>
            <w:noWrap/>
            <w:hideMark/>
          </w:tcPr>
          <w:p w14:paraId="61B28A71" w14:textId="77777777" w:rsidR="00B367FB" w:rsidRPr="000973F2" w:rsidRDefault="00B367FB" w:rsidP="00C330E2">
            <w:pPr>
              <w:spacing w:before="40" w:after="4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sz w:val="18"/>
                <w:szCs w:val="18"/>
              </w:rPr>
            </w:pPr>
            <w:r w:rsidRPr="000973F2">
              <w:rPr>
                <w:rFonts w:ascii="Times New Roman" w:eastAsia="Times New Roman" w:hAnsi="Times New Roman" w:cs="Times New Roman"/>
                <w:b/>
                <w:bCs/>
                <w:sz w:val="18"/>
                <w:szCs w:val="18"/>
              </w:rPr>
              <w:t xml:space="preserve">$87.45 </w:t>
            </w:r>
          </w:p>
        </w:tc>
        <w:tc>
          <w:tcPr>
            <w:tcW w:w="1485" w:type="dxa"/>
            <w:gridSpan w:val="2"/>
            <w:noWrap/>
            <w:hideMark/>
          </w:tcPr>
          <w:p w14:paraId="1975EC51" w14:textId="77777777" w:rsidR="00B367FB" w:rsidRPr="000973F2" w:rsidRDefault="00B367FB" w:rsidP="00C330E2">
            <w:pPr>
              <w:spacing w:before="40" w:after="4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sz w:val="18"/>
                <w:szCs w:val="18"/>
              </w:rPr>
            </w:pPr>
            <w:r w:rsidRPr="000973F2">
              <w:rPr>
                <w:rFonts w:ascii="Times New Roman" w:eastAsia="Times New Roman" w:hAnsi="Times New Roman" w:cs="Times New Roman"/>
                <w:b/>
                <w:bCs/>
                <w:sz w:val="18"/>
                <w:szCs w:val="18"/>
              </w:rPr>
              <w:t xml:space="preserve">$71.45 </w:t>
            </w:r>
          </w:p>
        </w:tc>
        <w:tc>
          <w:tcPr>
            <w:tcW w:w="1665" w:type="dxa"/>
            <w:gridSpan w:val="2"/>
            <w:noWrap/>
            <w:hideMark/>
          </w:tcPr>
          <w:p w14:paraId="5BF79C0B" w14:textId="77777777" w:rsidR="00B367FB" w:rsidRPr="000973F2" w:rsidRDefault="00B367FB" w:rsidP="00C330E2">
            <w:pPr>
              <w:spacing w:before="40" w:after="4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sz w:val="18"/>
                <w:szCs w:val="18"/>
              </w:rPr>
            </w:pPr>
            <w:r w:rsidRPr="000973F2">
              <w:rPr>
                <w:rFonts w:ascii="Times New Roman" w:eastAsia="Times New Roman" w:hAnsi="Times New Roman" w:cs="Times New Roman"/>
                <w:b/>
                <w:bCs/>
                <w:sz w:val="18"/>
                <w:szCs w:val="18"/>
              </w:rPr>
              <w:t xml:space="preserve">$36.28 </w:t>
            </w:r>
          </w:p>
        </w:tc>
        <w:tc>
          <w:tcPr>
            <w:tcW w:w="1695" w:type="dxa"/>
            <w:gridSpan w:val="2"/>
            <w:vMerge/>
            <w:hideMark/>
          </w:tcPr>
          <w:p w14:paraId="452A29D0" w14:textId="77777777" w:rsidR="00B367FB" w:rsidRPr="000973F2" w:rsidRDefault="00B367FB" w:rsidP="00C330E2">
            <w:pPr>
              <w:spacing w:before="40" w:after="4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sz w:val="18"/>
                <w:szCs w:val="18"/>
              </w:rPr>
            </w:pPr>
          </w:p>
        </w:tc>
      </w:tr>
      <w:tr w:rsidR="00C330E2" w:rsidRPr="000973F2" w14:paraId="6651425A" w14:textId="77777777" w:rsidTr="00C330E2">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1515" w:type="dxa"/>
            <w:vMerge/>
            <w:hideMark/>
          </w:tcPr>
          <w:p w14:paraId="078ACADA" w14:textId="77777777" w:rsidR="00B367FB" w:rsidRPr="000973F2" w:rsidRDefault="00B367FB" w:rsidP="00C330E2">
            <w:pPr>
              <w:spacing w:before="40" w:after="40"/>
              <w:rPr>
                <w:rFonts w:ascii="Times New Roman" w:eastAsia="Times New Roman" w:hAnsi="Times New Roman" w:cs="Times New Roman"/>
                <w:b/>
                <w:bCs w:val="0"/>
                <w:sz w:val="18"/>
                <w:szCs w:val="18"/>
              </w:rPr>
            </w:pPr>
          </w:p>
        </w:tc>
        <w:tc>
          <w:tcPr>
            <w:tcW w:w="742" w:type="dxa"/>
            <w:tcMar>
              <w:left w:w="14" w:type="dxa"/>
              <w:right w:w="14" w:type="dxa"/>
            </w:tcMar>
            <w:hideMark/>
          </w:tcPr>
          <w:p w14:paraId="7294D174" w14:textId="77777777" w:rsidR="00B367FB" w:rsidRPr="000973F2" w:rsidRDefault="00B367FB" w:rsidP="00C330E2">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18"/>
                <w:szCs w:val="18"/>
              </w:rPr>
            </w:pPr>
            <w:r w:rsidRPr="000973F2">
              <w:rPr>
                <w:rFonts w:ascii="Times New Roman" w:eastAsia="Times New Roman" w:hAnsi="Times New Roman" w:cs="Times New Roman"/>
                <w:b/>
                <w:bCs/>
                <w:sz w:val="18"/>
                <w:szCs w:val="18"/>
              </w:rPr>
              <w:t>Initial Year Hours</w:t>
            </w:r>
          </w:p>
        </w:tc>
        <w:tc>
          <w:tcPr>
            <w:tcW w:w="743" w:type="dxa"/>
            <w:tcMar>
              <w:left w:w="14" w:type="dxa"/>
              <w:right w:w="14" w:type="dxa"/>
            </w:tcMar>
            <w:hideMark/>
          </w:tcPr>
          <w:p w14:paraId="52343B30" w14:textId="77777777" w:rsidR="00B367FB" w:rsidRPr="000973F2" w:rsidRDefault="00B367FB" w:rsidP="00C330E2">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18"/>
                <w:szCs w:val="18"/>
              </w:rPr>
            </w:pPr>
            <w:r w:rsidRPr="000973F2">
              <w:rPr>
                <w:rFonts w:ascii="Times New Roman" w:eastAsia="Times New Roman" w:hAnsi="Times New Roman" w:cs="Times New Roman"/>
                <w:b/>
                <w:bCs/>
                <w:sz w:val="18"/>
                <w:szCs w:val="18"/>
              </w:rPr>
              <w:t>Subseq. Year Hours</w:t>
            </w:r>
          </w:p>
        </w:tc>
        <w:tc>
          <w:tcPr>
            <w:tcW w:w="742" w:type="dxa"/>
            <w:tcMar>
              <w:left w:w="14" w:type="dxa"/>
              <w:right w:w="14" w:type="dxa"/>
            </w:tcMar>
            <w:hideMark/>
          </w:tcPr>
          <w:p w14:paraId="38CF7794" w14:textId="77777777" w:rsidR="00B367FB" w:rsidRPr="000973F2" w:rsidRDefault="00B367FB" w:rsidP="00C330E2">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18"/>
                <w:szCs w:val="18"/>
              </w:rPr>
            </w:pPr>
            <w:r w:rsidRPr="000973F2">
              <w:rPr>
                <w:rFonts w:ascii="Times New Roman" w:eastAsia="Times New Roman" w:hAnsi="Times New Roman" w:cs="Times New Roman"/>
                <w:b/>
                <w:bCs/>
                <w:sz w:val="18"/>
                <w:szCs w:val="18"/>
              </w:rPr>
              <w:t>Initial Year Hours</w:t>
            </w:r>
          </w:p>
        </w:tc>
        <w:tc>
          <w:tcPr>
            <w:tcW w:w="743" w:type="dxa"/>
            <w:tcMar>
              <w:left w:w="14" w:type="dxa"/>
              <w:right w:w="14" w:type="dxa"/>
            </w:tcMar>
            <w:hideMark/>
          </w:tcPr>
          <w:p w14:paraId="0A2B4C20" w14:textId="77777777" w:rsidR="00B367FB" w:rsidRPr="000973F2" w:rsidRDefault="00B367FB" w:rsidP="00C330E2">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18"/>
                <w:szCs w:val="18"/>
              </w:rPr>
            </w:pPr>
            <w:r w:rsidRPr="000973F2">
              <w:rPr>
                <w:rFonts w:ascii="Times New Roman" w:eastAsia="Times New Roman" w:hAnsi="Times New Roman" w:cs="Times New Roman"/>
                <w:b/>
                <w:bCs/>
                <w:sz w:val="18"/>
                <w:szCs w:val="18"/>
              </w:rPr>
              <w:t>Subseq. Year Hours</w:t>
            </w:r>
          </w:p>
        </w:tc>
        <w:tc>
          <w:tcPr>
            <w:tcW w:w="743" w:type="dxa"/>
            <w:tcMar>
              <w:left w:w="14" w:type="dxa"/>
              <w:right w:w="14" w:type="dxa"/>
            </w:tcMar>
            <w:hideMark/>
          </w:tcPr>
          <w:p w14:paraId="3A14158F" w14:textId="77777777" w:rsidR="00B367FB" w:rsidRPr="000973F2" w:rsidRDefault="00B367FB" w:rsidP="00C330E2">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18"/>
                <w:szCs w:val="18"/>
              </w:rPr>
            </w:pPr>
            <w:r w:rsidRPr="000973F2">
              <w:rPr>
                <w:rFonts w:ascii="Times New Roman" w:eastAsia="Times New Roman" w:hAnsi="Times New Roman" w:cs="Times New Roman"/>
                <w:b/>
                <w:bCs/>
                <w:sz w:val="18"/>
                <w:szCs w:val="18"/>
              </w:rPr>
              <w:t>Initial</w:t>
            </w:r>
            <w:r w:rsidRPr="000973F2">
              <w:rPr>
                <w:rFonts w:ascii="Times New Roman" w:eastAsia="Times New Roman" w:hAnsi="Times New Roman" w:cs="Times New Roman"/>
                <w:b/>
                <w:bCs/>
                <w:sz w:val="18"/>
                <w:szCs w:val="18"/>
              </w:rPr>
              <w:br/>
              <w:t>Year</w:t>
            </w:r>
            <w:r w:rsidRPr="000973F2">
              <w:rPr>
                <w:rFonts w:ascii="Times New Roman" w:eastAsia="Times New Roman" w:hAnsi="Times New Roman" w:cs="Times New Roman"/>
                <w:b/>
                <w:bCs/>
                <w:sz w:val="18"/>
                <w:szCs w:val="18"/>
              </w:rPr>
              <w:br/>
              <w:t>Hours</w:t>
            </w:r>
          </w:p>
        </w:tc>
        <w:tc>
          <w:tcPr>
            <w:tcW w:w="742" w:type="dxa"/>
            <w:tcMar>
              <w:left w:w="14" w:type="dxa"/>
              <w:right w:w="14" w:type="dxa"/>
            </w:tcMar>
            <w:hideMark/>
          </w:tcPr>
          <w:p w14:paraId="2F8BCFB0" w14:textId="77777777" w:rsidR="00B367FB" w:rsidRPr="000973F2" w:rsidRDefault="00B367FB" w:rsidP="00C330E2">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18"/>
                <w:szCs w:val="18"/>
              </w:rPr>
            </w:pPr>
            <w:r w:rsidRPr="000973F2">
              <w:rPr>
                <w:rFonts w:ascii="Times New Roman" w:eastAsia="Times New Roman" w:hAnsi="Times New Roman" w:cs="Times New Roman"/>
                <w:b/>
                <w:bCs/>
                <w:sz w:val="18"/>
                <w:szCs w:val="18"/>
              </w:rPr>
              <w:t>Subseq. Year Hours</w:t>
            </w:r>
          </w:p>
        </w:tc>
        <w:tc>
          <w:tcPr>
            <w:tcW w:w="743" w:type="dxa"/>
            <w:tcMar>
              <w:left w:w="14" w:type="dxa"/>
              <w:right w:w="14" w:type="dxa"/>
            </w:tcMar>
            <w:hideMark/>
          </w:tcPr>
          <w:p w14:paraId="21AB6A62" w14:textId="77777777" w:rsidR="00B367FB" w:rsidRPr="000973F2" w:rsidRDefault="00B367FB" w:rsidP="00C330E2">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18"/>
                <w:szCs w:val="18"/>
              </w:rPr>
            </w:pPr>
            <w:r w:rsidRPr="000973F2">
              <w:rPr>
                <w:rFonts w:ascii="Times New Roman" w:eastAsia="Times New Roman" w:hAnsi="Times New Roman" w:cs="Times New Roman"/>
                <w:b/>
                <w:bCs/>
                <w:sz w:val="18"/>
                <w:szCs w:val="18"/>
              </w:rPr>
              <w:t>Initial Year Hours</w:t>
            </w:r>
          </w:p>
        </w:tc>
        <w:tc>
          <w:tcPr>
            <w:tcW w:w="922" w:type="dxa"/>
            <w:tcMar>
              <w:left w:w="14" w:type="dxa"/>
              <w:right w:w="14" w:type="dxa"/>
            </w:tcMar>
            <w:hideMark/>
          </w:tcPr>
          <w:p w14:paraId="481CE41A" w14:textId="77777777" w:rsidR="00B367FB" w:rsidRPr="000973F2" w:rsidRDefault="00B367FB" w:rsidP="00C330E2">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18"/>
                <w:szCs w:val="18"/>
              </w:rPr>
            </w:pPr>
            <w:r w:rsidRPr="000973F2">
              <w:rPr>
                <w:rFonts w:ascii="Times New Roman" w:eastAsia="Times New Roman" w:hAnsi="Times New Roman" w:cs="Times New Roman"/>
                <w:b/>
                <w:bCs/>
                <w:sz w:val="18"/>
                <w:szCs w:val="18"/>
              </w:rPr>
              <w:t>Subseq. Year Hours</w:t>
            </w:r>
          </w:p>
        </w:tc>
        <w:tc>
          <w:tcPr>
            <w:tcW w:w="847" w:type="dxa"/>
            <w:tcMar>
              <w:left w:w="14" w:type="dxa"/>
              <w:right w:w="14" w:type="dxa"/>
            </w:tcMar>
            <w:hideMark/>
          </w:tcPr>
          <w:p w14:paraId="1767A39F" w14:textId="77777777" w:rsidR="00B367FB" w:rsidRPr="000973F2" w:rsidRDefault="00B367FB" w:rsidP="00C330E2">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18"/>
                <w:szCs w:val="18"/>
              </w:rPr>
            </w:pPr>
            <w:r w:rsidRPr="000973F2">
              <w:rPr>
                <w:rFonts w:ascii="Times New Roman" w:eastAsia="Times New Roman" w:hAnsi="Times New Roman" w:cs="Times New Roman"/>
                <w:b/>
                <w:bCs/>
                <w:sz w:val="18"/>
                <w:szCs w:val="18"/>
              </w:rPr>
              <w:t>Initial Year</w:t>
            </w:r>
          </w:p>
        </w:tc>
        <w:tc>
          <w:tcPr>
            <w:tcW w:w="848" w:type="dxa"/>
            <w:tcMar>
              <w:left w:w="14" w:type="dxa"/>
              <w:right w:w="14" w:type="dxa"/>
            </w:tcMar>
            <w:hideMark/>
          </w:tcPr>
          <w:p w14:paraId="7DFCCCFF" w14:textId="77777777" w:rsidR="00B367FB" w:rsidRPr="000973F2" w:rsidRDefault="00B367FB" w:rsidP="00C330E2">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18"/>
                <w:szCs w:val="18"/>
              </w:rPr>
            </w:pPr>
            <w:r w:rsidRPr="000973F2">
              <w:rPr>
                <w:rFonts w:ascii="Times New Roman" w:eastAsia="Times New Roman" w:hAnsi="Times New Roman" w:cs="Times New Roman"/>
                <w:b/>
                <w:bCs/>
                <w:sz w:val="18"/>
                <w:szCs w:val="18"/>
              </w:rPr>
              <w:t>Subseq. Year</w:t>
            </w:r>
          </w:p>
        </w:tc>
      </w:tr>
      <w:tr w:rsidR="00C330E2" w:rsidRPr="000973F2" w14:paraId="3B86A679" w14:textId="77777777" w:rsidTr="00C330E2">
        <w:trPr>
          <w:cantSplit/>
        </w:trPr>
        <w:tc>
          <w:tcPr>
            <w:cnfStyle w:val="001000000000" w:firstRow="0" w:lastRow="0" w:firstColumn="1" w:lastColumn="0" w:oddVBand="0" w:evenVBand="0" w:oddHBand="0" w:evenHBand="0" w:firstRowFirstColumn="0" w:firstRowLastColumn="0" w:lastRowFirstColumn="0" w:lastRowLastColumn="0"/>
            <w:tcW w:w="1515" w:type="dxa"/>
            <w:hideMark/>
          </w:tcPr>
          <w:p w14:paraId="566B704E" w14:textId="77777777" w:rsidR="00B367FB" w:rsidRPr="000973F2" w:rsidRDefault="00B367FB" w:rsidP="00C330E2">
            <w:pPr>
              <w:spacing w:before="40" w:after="4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Planning</w:t>
            </w:r>
          </w:p>
        </w:tc>
        <w:tc>
          <w:tcPr>
            <w:tcW w:w="742" w:type="dxa"/>
            <w:noWrap/>
            <w:hideMark/>
          </w:tcPr>
          <w:p w14:paraId="72C0329B" w14:textId="77777777" w:rsidR="00B367FB" w:rsidRPr="000973F2" w:rsidRDefault="00B367FB" w:rsidP="00C330E2">
            <w:pPr>
              <w:tabs>
                <w:tab w:val="decimal" w:pos="331"/>
              </w:tabs>
              <w:spacing w:before="40" w:after="4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0</w:t>
            </w:r>
          </w:p>
        </w:tc>
        <w:tc>
          <w:tcPr>
            <w:tcW w:w="743" w:type="dxa"/>
            <w:noWrap/>
            <w:hideMark/>
          </w:tcPr>
          <w:p w14:paraId="52624F15" w14:textId="77777777" w:rsidR="00B367FB" w:rsidRPr="000973F2" w:rsidRDefault="00B367FB" w:rsidP="00C330E2">
            <w:pPr>
              <w:tabs>
                <w:tab w:val="decimal" w:pos="331"/>
              </w:tabs>
              <w:spacing w:before="40" w:after="4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2</w:t>
            </w:r>
          </w:p>
        </w:tc>
        <w:tc>
          <w:tcPr>
            <w:tcW w:w="742" w:type="dxa"/>
            <w:noWrap/>
            <w:hideMark/>
          </w:tcPr>
          <w:p w14:paraId="2080AC53" w14:textId="77777777" w:rsidR="00B367FB" w:rsidRPr="000973F2" w:rsidRDefault="00B367FB" w:rsidP="00C330E2">
            <w:pPr>
              <w:tabs>
                <w:tab w:val="decimal" w:pos="331"/>
              </w:tabs>
              <w:spacing w:before="40" w:after="4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0</w:t>
            </w:r>
          </w:p>
        </w:tc>
        <w:tc>
          <w:tcPr>
            <w:tcW w:w="743" w:type="dxa"/>
            <w:noWrap/>
            <w:hideMark/>
          </w:tcPr>
          <w:p w14:paraId="035FC1E0" w14:textId="77777777" w:rsidR="00B367FB" w:rsidRPr="000973F2" w:rsidRDefault="00B367FB" w:rsidP="00C330E2">
            <w:pPr>
              <w:tabs>
                <w:tab w:val="decimal" w:pos="331"/>
              </w:tabs>
              <w:spacing w:before="40" w:after="4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1</w:t>
            </w:r>
          </w:p>
        </w:tc>
        <w:tc>
          <w:tcPr>
            <w:tcW w:w="743" w:type="dxa"/>
            <w:noWrap/>
            <w:hideMark/>
          </w:tcPr>
          <w:p w14:paraId="0B9D5A10" w14:textId="77777777" w:rsidR="00B367FB" w:rsidRPr="000973F2" w:rsidRDefault="00B367FB" w:rsidP="00C330E2">
            <w:pPr>
              <w:tabs>
                <w:tab w:val="decimal" w:pos="331"/>
              </w:tabs>
              <w:spacing w:before="40" w:after="4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0</w:t>
            </w:r>
          </w:p>
        </w:tc>
        <w:tc>
          <w:tcPr>
            <w:tcW w:w="742" w:type="dxa"/>
            <w:noWrap/>
            <w:hideMark/>
          </w:tcPr>
          <w:p w14:paraId="2E94C752" w14:textId="77777777" w:rsidR="00B367FB" w:rsidRPr="000973F2" w:rsidRDefault="00B367FB" w:rsidP="00C330E2">
            <w:pPr>
              <w:tabs>
                <w:tab w:val="decimal" w:pos="331"/>
              </w:tabs>
              <w:spacing w:before="40" w:after="4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1</w:t>
            </w:r>
          </w:p>
        </w:tc>
        <w:tc>
          <w:tcPr>
            <w:tcW w:w="743" w:type="dxa"/>
            <w:noWrap/>
            <w:hideMark/>
          </w:tcPr>
          <w:p w14:paraId="1CAF4E69" w14:textId="77777777" w:rsidR="00B367FB" w:rsidRPr="000973F2" w:rsidRDefault="00B367FB" w:rsidP="00C330E2">
            <w:pPr>
              <w:tabs>
                <w:tab w:val="decimal" w:pos="331"/>
              </w:tabs>
              <w:spacing w:before="40" w:after="4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0</w:t>
            </w:r>
          </w:p>
        </w:tc>
        <w:tc>
          <w:tcPr>
            <w:tcW w:w="922" w:type="dxa"/>
            <w:noWrap/>
            <w:hideMark/>
          </w:tcPr>
          <w:p w14:paraId="0C5FDFC6" w14:textId="77777777" w:rsidR="00B367FB" w:rsidRPr="000973F2" w:rsidRDefault="00B367FB" w:rsidP="00C330E2">
            <w:pPr>
              <w:tabs>
                <w:tab w:val="decimal" w:pos="331"/>
              </w:tabs>
              <w:spacing w:before="40" w:after="4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0</w:t>
            </w:r>
          </w:p>
        </w:tc>
        <w:tc>
          <w:tcPr>
            <w:tcW w:w="847" w:type="dxa"/>
            <w:noWrap/>
            <w:hideMark/>
          </w:tcPr>
          <w:p w14:paraId="5518694C" w14:textId="4032E1DA" w:rsidR="00B367FB" w:rsidRPr="000973F2" w:rsidRDefault="00B367FB" w:rsidP="00C330E2">
            <w:pPr>
              <w:tabs>
                <w:tab w:val="decimal" w:pos="331"/>
              </w:tabs>
              <w:spacing w:before="40" w:after="4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$0</w:t>
            </w:r>
          </w:p>
        </w:tc>
        <w:tc>
          <w:tcPr>
            <w:tcW w:w="848" w:type="dxa"/>
            <w:noWrap/>
            <w:hideMark/>
          </w:tcPr>
          <w:p w14:paraId="248C758F" w14:textId="66A2E3BE" w:rsidR="00B367FB" w:rsidRPr="000973F2" w:rsidRDefault="00B367FB" w:rsidP="00C330E2">
            <w:pPr>
              <w:tabs>
                <w:tab w:val="decimal" w:pos="571"/>
              </w:tabs>
              <w:spacing w:before="40" w:after="4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$383</w:t>
            </w:r>
          </w:p>
        </w:tc>
      </w:tr>
      <w:tr w:rsidR="00C330E2" w:rsidRPr="000973F2" w14:paraId="1413612A" w14:textId="77777777" w:rsidTr="00C330E2">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1515" w:type="dxa"/>
            <w:hideMark/>
          </w:tcPr>
          <w:p w14:paraId="37AD3A49" w14:textId="77777777" w:rsidR="00B367FB" w:rsidRPr="000973F2" w:rsidRDefault="00B367FB" w:rsidP="00C330E2">
            <w:pPr>
              <w:spacing w:before="40" w:after="4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QA/QC</w:t>
            </w:r>
          </w:p>
        </w:tc>
        <w:tc>
          <w:tcPr>
            <w:tcW w:w="742" w:type="dxa"/>
            <w:noWrap/>
            <w:hideMark/>
          </w:tcPr>
          <w:p w14:paraId="0BA1E38E" w14:textId="77777777" w:rsidR="00B367FB" w:rsidRPr="000973F2" w:rsidRDefault="00B367FB" w:rsidP="00C330E2">
            <w:pPr>
              <w:tabs>
                <w:tab w:val="decimal" w:pos="331"/>
              </w:tabs>
              <w:spacing w:before="40" w:after="4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0</w:t>
            </w:r>
          </w:p>
        </w:tc>
        <w:tc>
          <w:tcPr>
            <w:tcW w:w="743" w:type="dxa"/>
            <w:noWrap/>
            <w:hideMark/>
          </w:tcPr>
          <w:p w14:paraId="5CA37AAD" w14:textId="77777777" w:rsidR="00B367FB" w:rsidRPr="000973F2" w:rsidRDefault="00B367FB" w:rsidP="00C330E2">
            <w:pPr>
              <w:tabs>
                <w:tab w:val="decimal" w:pos="331"/>
              </w:tabs>
              <w:spacing w:before="40" w:after="4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0</w:t>
            </w:r>
          </w:p>
        </w:tc>
        <w:tc>
          <w:tcPr>
            <w:tcW w:w="742" w:type="dxa"/>
            <w:noWrap/>
            <w:hideMark/>
          </w:tcPr>
          <w:p w14:paraId="06A6329E" w14:textId="77777777" w:rsidR="00B367FB" w:rsidRPr="000973F2" w:rsidRDefault="00B367FB" w:rsidP="00C330E2">
            <w:pPr>
              <w:tabs>
                <w:tab w:val="decimal" w:pos="331"/>
              </w:tabs>
              <w:spacing w:before="40" w:after="4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0</w:t>
            </w:r>
          </w:p>
        </w:tc>
        <w:tc>
          <w:tcPr>
            <w:tcW w:w="743" w:type="dxa"/>
            <w:noWrap/>
            <w:hideMark/>
          </w:tcPr>
          <w:p w14:paraId="30F07CDD" w14:textId="77777777" w:rsidR="00B367FB" w:rsidRPr="000973F2" w:rsidRDefault="00B367FB" w:rsidP="00C330E2">
            <w:pPr>
              <w:tabs>
                <w:tab w:val="decimal" w:pos="331"/>
              </w:tabs>
              <w:spacing w:before="40" w:after="4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5</w:t>
            </w:r>
          </w:p>
        </w:tc>
        <w:tc>
          <w:tcPr>
            <w:tcW w:w="743" w:type="dxa"/>
            <w:noWrap/>
            <w:hideMark/>
          </w:tcPr>
          <w:p w14:paraId="14F2FD3C" w14:textId="77777777" w:rsidR="00B367FB" w:rsidRPr="000973F2" w:rsidRDefault="00B367FB" w:rsidP="00C330E2">
            <w:pPr>
              <w:tabs>
                <w:tab w:val="decimal" w:pos="331"/>
              </w:tabs>
              <w:spacing w:before="40" w:after="4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0</w:t>
            </w:r>
          </w:p>
        </w:tc>
        <w:tc>
          <w:tcPr>
            <w:tcW w:w="742" w:type="dxa"/>
            <w:noWrap/>
            <w:hideMark/>
          </w:tcPr>
          <w:p w14:paraId="48E99D32" w14:textId="77777777" w:rsidR="00B367FB" w:rsidRPr="000973F2" w:rsidRDefault="00B367FB" w:rsidP="00C330E2">
            <w:pPr>
              <w:tabs>
                <w:tab w:val="decimal" w:pos="331"/>
              </w:tabs>
              <w:spacing w:before="40" w:after="4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0</w:t>
            </w:r>
          </w:p>
        </w:tc>
        <w:tc>
          <w:tcPr>
            <w:tcW w:w="743" w:type="dxa"/>
            <w:noWrap/>
            <w:hideMark/>
          </w:tcPr>
          <w:p w14:paraId="45405C0F" w14:textId="77777777" w:rsidR="00B367FB" w:rsidRPr="000973F2" w:rsidRDefault="00B367FB" w:rsidP="00C330E2">
            <w:pPr>
              <w:tabs>
                <w:tab w:val="decimal" w:pos="331"/>
              </w:tabs>
              <w:spacing w:before="40" w:after="4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0</w:t>
            </w:r>
          </w:p>
        </w:tc>
        <w:tc>
          <w:tcPr>
            <w:tcW w:w="922" w:type="dxa"/>
            <w:noWrap/>
            <w:hideMark/>
          </w:tcPr>
          <w:p w14:paraId="51187D92" w14:textId="77777777" w:rsidR="00B367FB" w:rsidRPr="000973F2" w:rsidRDefault="00B367FB" w:rsidP="00C330E2">
            <w:pPr>
              <w:tabs>
                <w:tab w:val="decimal" w:pos="331"/>
              </w:tabs>
              <w:spacing w:before="40" w:after="4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0</w:t>
            </w:r>
          </w:p>
        </w:tc>
        <w:tc>
          <w:tcPr>
            <w:tcW w:w="847" w:type="dxa"/>
            <w:noWrap/>
            <w:hideMark/>
          </w:tcPr>
          <w:p w14:paraId="339626E0" w14:textId="7B0F3C43" w:rsidR="00B367FB" w:rsidRPr="000973F2" w:rsidRDefault="00B367FB" w:rsidP="00C330E2">
            <w:pPr>
              <w:tabs>
                <w:tab w:val="decimal" w:pos="331"/>
              </w:tabs>
              <w:spacing w:before="40" w:after="4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$0</w:t>
            </w:r>
          </w:p>
        </w:tc>
        <w:tc>
          <w:tcPr>
            <w:tcW w:w="848" w:type="dxa"/>
            <w:noWrap/>
            <w:hideMark/>
          </w:tcPr>
          <w:p w14:paraId="225E3B3D" w14:textId="1207D69A" w:rsidR="00B367FB" w:rsidRPr="000973F2" w:rsidRDefault="00B367FB" w:rsidP="00C330E2">
            <w:pPr>
              <w:tabs>
                <w:tab w:val="decimal" w:pos="571"/>
              </w:tabs>
              <w:spacing w:before="40" w:after="4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$437</w:t>
            </w:r>
          </w:p>
        </w:tc>
      </w:tr>
      <w:tr w:rsidR="00C330E2" w:rsidRPr="000973F2" w14:paraId="7DD034CC" w14:textId="77777777" w:rsidTr="00C330E2">
        <w:trPr>
          <w:cantSplit/>
        </w:trPr>
        <w:tc>
          <w:tcPr>
            <w:cnfStyle w:val="001000000000" w:firstRow="0" w:lastRow="0" w:firstColumn="1" w:lastColumn="0" w:oddVBand="0" w:evenVBand="0" w:oddHBand="0" w:evenHBand="0" w:firstRowFirstColumn="0" w:firstRowLastColumn="0" w:lastRowFirstColumn="0" w:lastRowLastColumn="0"/>
            <w:tcW w:w="1515" w:type="dxa"/>
            <w:hideMark/>
          </w:tcPr>
          <w:p w14:paraId="46833F1B" w14:textId="77777777" w:rsidR="00B367FB" w:rsidRPr="000973F2" w:rsidRDefault="00B367FB" w:rsidP="00C330E2">
            <w:pPr>
              <w:spacing w:before="40" w:after="4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Recordkeeping</w:t>
            </w:r>
          </w:p>
        </w:tc>
        <w:tc>
          <w:tcPr>
            <w:tcW w:w="742" w:type="dxa"/>
            <w:noWrap/>
            <w:hideMark/>
          </w:tcPr>
          <w:p w14:paraId="3418C726" w14:textId="77777777" w:rsidR="00B367FB" w:rsidRPr="000973F2" w:rsidRDefault="00B367FB" w:rsidP="00C330E2">
            <w:pPr>
              <w:tabs>
                <w:tab w:val="decimal" w:pos="331"/>
              </w:tabs>
              <w:spacing w:before="40" w:after="4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0</w:t>
            </w:r>
          </w:p>
        </w:tc>
        <w:tc>
          <w:tcPr>
            <w:tcW w:w="743" w:type="dxa"/>
            <w:noWrap/>
            <w:hideMark/>
          </w:tcPr>
          <w:p w14:paraId="359CDC90" w14:textId="77777777" w:rsidR="00B367FB" w:rsidRPr="000973F2" w:rsidRDefault="00B367FB" w:rsidP="00C330E2">
            <w:pPr>
              <w:tabs>
                <w:tab w:val="decimal" w:pos="331"/>
              </w:tabs>
              <w:spacing w:before="40" w:after="4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0</w:t>
            </w:r>
          </w:p>
        </w:tc>
        <w:tc>
          <w:tcPr>
            <w:tcW w:w="742" w:type="dxa"/>
            <w:noWrap/>
            <w:hideMark/>
          </w:tcPr>
          <w:p w14:paraId="5DC65F65" w14:textId="77777777" w:rsidR="00B367FB" w:rsidRPr="000973F2" w:rsidRDefault="00B367FB" w:rsidP="00C330E2">
            <w:pPr>
              <w:tabs>
                <w:tab w:val="decimal" w:pos="331"/>
              </w:tabs>
              <w:spacing w:before="40" w:after="4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0</w:t>
            </w:r>
          </w:p>
        </w:tc>
        <w:tc>
          <w:tcPr>
            <w:tcW w:w="743" w:type="dxa"/>
            <w:noWrap/>
            <w:hideMark/>
          </w:tcPr>
          <w:p w14:paraId="1E4692CA" w14:textId="77777777" w:rsidR="00B367FB" w:rsidRPr="000973F2" w:rsidRDefault="00B367FB" w:rsidP="00C330E2">
            <w:pPr>
              <w:tabs>
                <w:tab w:val="decimal" w:pos="331"/>
              </w:tabs>
              <w:spacing w:before="40" w:after="4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1</w:t>
            </w:r>
          </w:p>
        </w:tc>
        <w:tc>
          <w:tcPr>
            <w:tcW w:w="743" w:type="dxa"/>
            <w:noWrap/>
            <w:hideMark/>
          </w:tcPr>
          <w:p w14:paraId="147A14D8" w14:textId="77777777" w:rsidR="00B367FB" w:rsidRPr="000973F2" w:rsidRDefault="00B367FB" w:rsidP="00C330E2">
            <w:pPr>
              <w:tabs>
                <w:tab w:val="decimal" w:pos="331"/>
              </w:tabs>
              <w:spacing w:before="40" w:after="4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0</w:t>
            </w:r>
          </w:p>
        </w:tc>
        <w:tc>
          <w:tcPr>
            <w:tcW w:w="742" w:type="dxa"/>
            <w:noWrap/>
            <w:hideMark/>
          </w:tcPr>
          <w:p w14:paraId="2A7E648F" w14:textId="77777777" w:rsidR="00B367FB" w:rsidRPr="000973F2" w:rsidRDefault="00B367FB" w:rsidP="00C330E2">
            <w:pPr>
              <w:tabs>
                <w:tab w:val="decimal" w:pos="331"/>
              </w:tabs>
              <w:spacing w:before="40" w:after="4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13</w:t>
            </w:r>
          </w:p>
        </w:tc>
        <w:tc>
          <w:tcPr>
            <w:tcW w:w="743" w:type="dxa"/>
            <w:noWrap/>
            <w:hideMark/>
          </w:tcPr>
          <w:p w14:paraId="4DE47D5E" w14:textId="77777777" w:rsidR="00B367FB" w:rsidRPr="000973F2" w:rsidRDefault="00B367FB" w:rsidP="00C330E2">
            <w:pPr>
              <w:tabs>
                <w:tab w:val="decimal" w:pos="331"/>
              </w:tabs>
              <w:spacing w:before="40" w:after="4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0</w:t>
            </w:r>
          </w:p>
        </w:tc>
        <w:tc>
          <w:tcPr>
            <w:tcW w:w="922" w:type="dxa"/>
            <w:noWrap/>
            <w:hideMark/>
          </w:tcPr>
          <w:p w14:paraId="51AA5A8F" w14:textId="77777777" w:rsidR="00B367FB" w:rsidRPr="000973F2" w:rsidRDefault="00B367FB" w:rsidP="00C330E2">
            <w:pPr>
              <w:tabs>
                <w:tab w:val="decimal" w:pos="331"/>
              </w:tabs>
              <w:spacing w:before="40" w:after="4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1</w:t>
            </w:r>
          </w:p>
        </w:tc>
        <w:tc>
          <w:tcPr>
            <w:tcW w:w="847" w:type="dxa"/>
            <w:noWrap/>
            <w:hideMark/>
          </w:tcPr>
          <w:p w14:paraId="0F6110DF" w14:textId="1287CEE7" w:rsidR="00B367FB" w:rsidRPr="000973F2" w:rsidRDefault="00B367FB" w:rsidP="00C330E2">
            <w:pPr>
              <w:tabs>
                <w:tab w:val="decimal" w:pos="331"/>
              </w:tabs>
              <w:spacing w:before="40" w:after="4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$0</w:t>
            </w:r>
          </w:p>
        </w:tc>
        <w:tc>
          <w:tcPr>
            <w:tcW w:w="848" w:type="dxa"/>
            <w:noWrap/>
            <w:hideMark/>
          </w:tcPr>
          <w:p w14:paraId="19D0E43A" w14:textId="51C09EF9" w:rsidR="00B367FB" w:rsidRPr="000973F2" w:rsidRDefault="00B367FB" w:rsidP="00C330E2">
            <w:pPr>
              <w:tabs>
                <w:tab w:val="decimal" w:pos="571"/>
              </w:tabs>
              <w:spacing w:before="40" w:after="4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$1,053</w:t>
            </w:r>
          </w:p>
        </w:tc>
      </w:tr>
      <w:tr w:rsidR="00C330E2" w:rsidRPr="000973F2" w14:paraId="414BD2EE" w14:textId="77777777" w:rsidTr="00C330E2">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1515" w:type="dxa"/>
            <w:hideMark/>
          </w:tcPr>
          <w:p w14:paraId="37866B00" w14:textId="77777777" w:rsidR="00B367FB" w:rsidRPr="000973F2" w:rsidRDefault="00B367FB" w:rsidP="00C330E2">
            <w:pPr>
              <w:spacing w:before="40" w:after="4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Sampling and Analysis (Calculations)</w:t>
            </w:r>
          </w:p>
        </w:tc>
        <w:tc>
          <w:tcPr>
            <w:tcW w:w="742" w:type="dxa"/>
            <w:noWrap/>
            <w:hideMark/>
          </w:tcPr>
          <w:p w14:paraId="3AC3A043" w14:textId="77777777" w:rsidR="00B367FB" w:rsidRPr="000973F2" w:rsidRDefault="00B367FB" w:rsidP="00C330E2">
            <w:pPr>
              <w:tabs>
                <w:tab w:val="decimal" w:pos="331"/>
              </w:tabs>
              <w:spacing w:before="40" w:after="4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0</w:t>
            </w:r>
          </w:p>
        </w:tc>
        <w:tc>
          <w:tcPr>
            <w:tcW w:w="743" w:type="dxa"/>
            <w:noWrap/>
            <w:hideMark/>
          </w:tcPr>
          <w:p w14:paraId="7DE80C31" w14:textId="77777777" w:rsidR="00B367FB" w:rsidRPr="000973F2" w:rsidRDefault="00B367FB" w:rsidP="00C330E2">
            <w:pPr>
              <w:tabs>
                <w:tab w:val="decimal" w:pos="331"/>
              </w:tabs>
              <w:spacing w:before="40" w:after="4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0</w:t>
            </w:r>
          </w:p>
        </w:tc>
        <w:tc>
          <w:tcPr>
            <w:tcW w:w="742" w:type="dxa"/>
            <w:noWrap/>
            <w:hideMark/>
          </w:tcPr>
          <w:p w14:paraId="4A28BC8B" w14:textId="77777777" w:rsidR="00B367FB" w:rsidRPr="000973F2" w:rsidRDefault="00B367FB" w:rsidP="00C330E2">
            <w:pPr>
              <w:tabs>
                <w:tab w:val="decimal" w:pos="331"/>
              </w:tabs>
              <w:spacing w:before="40" w:after="4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0</w:t>
            </w:r>
          </w:p>
        </w:tc>
        <w:tc>
          <w:tcPr>
            <w:tcW w:w="743" w:type="dxa"/>
            <w:noWrap/>
            <w:hideMark/>
          </w:tcPr>
          <w:p w14:paraId="17D60D5F" w14:textId="77777777" w:rsidR="00B367FB" w:rsidRPr="000973F2" w:rsidRDefault="00B367FB" w:rsidP="00C330E2">
            <w:pPr>
              <w:tabs>
                <w:tab w:val="decimal" w:pos="331"/>
              </w:tabs>
              <w:spacing w:before="40" w:after="4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0.9</w:t>
            </w:r>
          </w:p>
        </w:tc>
        <w:tc>
          <w:tcPr>
            <w:tcW w:w="743" w:type="dxa"/>
            <w:noWrap/>
            <w:hideMark/>
          </w:tcPr>
          <w:p w14:paraId="09CBA612" w14:textId="77777777" w:rsidR="00B367FB" w:rsidRPr="000973F2" w:rsidRDefault="00B367FB" w:rsidP="00C330E2">
            <w:pPr>
              <w:tabs>
                <w:tab w:val="decimal" w:pos="331"/>
              </w:tabs>
              <w:spacing w:before="40" w:after="4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0</w:t>
            </w:r>
          </w:p>
        </w:tc>
        <w:tc>
          <w:tcPr>
            <w:tcW w:w="742" w:type="dxa"/>
            <w:noWrap/>
            <w:hideMark/>
          </w:tcPr>
          <w:p w14:paraId="64AEA8A0" w14:textId="77777777" w:rsidR="00B367FB" w:rsidRPr="000973F2" w:rsidRDefault="00B367FB" w:rsidP="00C330E2">
            <w:pPr>
              <w:tabs>
                <w:tab w:val="decimal" w:pos="331"/>
              </w:tabs>
              <w:spacing w:before="40" w:after="4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18</w:t>
            </w:r>
          </w:p>
        </w:tc>
        <w:tc>
          <w:tcPr>
            <w:tcW w:w="743" w:type="dxa"/>
            <w:noWrap/>
            <w:hideMark/>
          </w:tcPr>
          <w:p w14:paraId="1B87E2C9" w14:textId="77777777" w:rsidR="00B367FB" w:rsidRPr="000973F2" w:rsidRDefault="00B367FB" w:rsidP="00C330E2">
            <w:pPr>
              <w:tabs>
                <w:tab w:val="decimal" w:pos="331"/>
              </w:tabs>
              <w:spacing w:before="40" w:after="4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0</w:t>
            </w:r>
          </w:p>
        </w:tc>
        <w:tc>
          <w:tcPr>
            <w:tcW w:w="922" w:type="dxa"/>
            <w:noWrap/>
            <w:hideMark/>
          </w:tcPr>
          <w:p w14:paraId="4713F8A2" w14:textId="77777777" w:rsidR="00B367FB" w:rsidRPr="000973F2" w:rsidRDefault="00B367FB" w:rsidP="00C330E2">
            <w:pPr>
              <w:tabs>
                <w:tab w:val="decimal" w:pos="331"/>
              </w:tabs>
              <w:spacing w:before="40" w:after="4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1.8</w:t>
            </w:r>
          </w:p>
        </w:tc>
        <w:tc>
          <w:tcPr>
            <w:tcW w:w="847" w:type="dxa"/>
            <w:noWrap/>
            <w:hideMark/>
          </w:tcPr>
          <w:p w14:paraId="643640DB" w14:textId="7F19316E" w:rsidR="00B367FB" w:rsidRPr="000973F2" w:rsidRDefault="00B367FB" w:rsidP="00C330E2">
            <w:pPr>
              <w:tabs>
                <w:tab w:val="decimal" w:pos="331"/>
              </w:tabs>
              <w:spacing w:before="40" w:after="4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$0</w:t>
            </w:r>
          </w:p>
        </w:tc>
        <w:tc>
          <w:tcPr>
            <w:tcW w:w="848" w:type="dxa"/>
            <w:noWrap/>
            <w:hideMark/>
          </w:tcPr>
          <w:p w14:paraId="106301E1" w14:textId="77777777" w:rsidR="00B367FB" w:rsidRPr="000973F2" w:rsidRDefault="00B367FB" w:rsidP="00C330E2">
            <w:pPr>
              <w:tabs>
                <w:tab w:val="decimal" w:pos="571"/>
              </w:tabs>
              <w:spacing w:before="40" w:after="4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$1,430</w:t>
            </w:r>
          </w:p>
        </w:tc>
      </w:tr>
      <w:tr w:rsidR="00C330E2" w:rsidRPr="000973F2" w14:paraId="5DD44DD5" w14:textId="77777777" w:rsidTr="00C330E2">
        <w:trPr>
          <w:cantSplit/>
        </w:trPr>
        <w:tc>
          <w:tcPr>
            <w:cnfStyle w:val="001000000000" w:firstRow="0" w:lastRow="0" w:firstColumn="1" w:lastColumn="0" w:oddVBand="0" w:evenVBand="0" w:oddHBand="0" w:evenHBand="0" w:firstRowFirstColumn="0" w:firstRowLastColumn="0" w:lastRowFirstColumn="0" w:lastRowLastColumn="0"/>
            <w:tcW w:w="1515" w:type="dxa"/>
            <w:hideMark/>
          </w:tcPr>
          <w:p w14:paraId="14E7C529" w14:textId="77777777" w:rsidR="00B367FB" w:rsidRPr="000973F2" w:rsidRDefault="00B367FB" w:rsidP="00C330E2">
            <w:pPr>
              <w:spacing w:before="40" w:after="4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Reporting</w:t>
            </w:r>
          </w:p>
        </w:tc>
        <w:tc>
          <w:tcPr>
            <w:tcW w:w="742" w:type="dxa"/>
            <w:noWrap/>
            <w:hideMark/>
          </w:tcPr>
          <w:p w14:paraId="1A83816D" w14:textId="77777777" w:rsidR="00B367FB" w:rsidRPr="000973F2" w:rsidRDefault="00B367FB" w:rsidP="00C330E2">
            <w:pPr>
              <w:tabs>
                <w:tab w:val="decimal" w:pos="331"/>
              </w:tabs>
              <w:spacing w:before="40" w:after="4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0</w:t>
            </w:r>
          </w:p>
        </w:tc>
        <w:tc>
          <w:tcPr>
            <w:tcW w:w="743" w:type="dxa"/>
            <w:noWrap/>
            <w:hideMark/>
          </w:tcPr>
          <w:p w14:paraId="4208E9AC" w14:textId="77777777" w:rsidR="00B367FB" w:rsidRPr="000973F2" w:rsidRDefault="00B367FB" w:rsidP="00C330E2">
            <w:pPr>
              <w:tabs>
                <w:tab w:val="decimal" w:pos="331"/>
              </w:tabs>
              <w:spacing w:before="40" w:after="4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0</w:t>
            </w:r>
          </w:p>
        </w:tc>
        <w:tc>
          <w:tcPr>
            <w:tcW w:w="742" w:type="dxa"/>
            <w:noWrap/>
            <w:hideMark/>
          </w:tcPr>
          <w:p w14:paraId="6AF9325D" w14:textId="77777777" w:rsidR="00B367FB" w:rsidRPr="000973F2" w:rsidRDefault="00B367FB" w:rsidP="00C330E2">
            <w:pPr>
              <w:tabs>
                <w:tab w:val="decimal" w:pos="331"/>
              </w:tabs>
              <w:spacing w:before="40" w:after="4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0</w:t>
            </w:r>
          </w:p>
        </w:tc>
        <w:tc>
          <w:tcPr>
            <w:tcW w:w="743" w:type="dxa"/>
            <w:noWrap/>
            <w:hideMark/>
          </w:tcPr>
          <w:p w14:paraId="750E138A" w14:textId="77777777" w:rsidR="00B367FB" w:rsidRPr="000973F2" w:rsidRDefault="00B367FB" w:rsidP="00C330E2">
            <w:pPr>
              <w:tabs>
                <w:tab w:val="decimal" w:pos="331"/>
              </w:tabs>
              <w:spacing w:before="40" w:after="4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2</w:t>
            </w:r>
          </w:p>
        </w:tc>
        <w:tc>
          <w:tcPr>
            <w:tcW w:w="743" w:type="dxa"/>
            <w:noWrap/>
            <w:hideMark/>
          </w:tcPr>
          <w:p w14:paraId="38109BC8" w14:textId="77777777" w:rsidR="00B367FB" w:rsidRPr="000973F2" w:rsidRDefault="00B367FB" w:rsidP="00C330E2">
            <w:pPr>
              <w:tabs>
                <w:tab w:val="decimal" w:pos="331"/>
              </w:tabs>
              <w:spacing w:before="40" w:after="4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0</w:t>
            </w:r>
          </w:p>
        </w:tc>
        <w:tc>
          <w:tcPr>
            <w:tcW w:w="742" w:type="dxa"/>
            <w:noWrap/>
            <w:hideMark/>
          </w:tcPr>
          <w:p w14:paraId="70350ADD" w14:textId="77777777" w:rsidR="00B367FB" w:rsidRPr="000973F2" w:rsidRDefault="00B367FB" w:rsidP="00C330E2">
            <w:pPr>
              <w:tabs>
                <w:tab w:val="decimal" w:pos="331"/>
              </w:tabs>
              <w:spacing w:before="40" w:after="4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26</w:t>
            </w:r>
          </w:p>
        </w:tc>
        <w:tc>
          <w:tcPr>
            <w:tcW w:w="743" w:type="dxa"/>
            <w:noWrap/>
            <w:hideMark/>
          </w:tcPr>
          <w:p w14:paraId="3DEEBDDE" w14:textId="77777777" w:rsidR="00B367FB" w:rsidRPr="000973F2" w:rsidRDefault="00B367FB" w:rsidP="00C330E2">
            <w:pPr>
              <w:tabs>
                <w:tab w:val="decimal" w:pos="331"/>
              </w:tabs>
              <w:spacing w:before="40" w:after="4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0</w:t>
            </w:r>
          </w:p>
        </w:tc>
        <w:tc>
          <w:tcPr>
            <w:tcW w:w="922" w:type="dxa"/>
            <w:noWrap/>
            <w:hideMark/>
          </w:tcPr>
          <w:p w14:paraId="0AF6B19D" w14:textId="77777777" w:rsidR="00B367FB" w:rsidRPr="000973F2" w:rsidRDefault="00B367FB" w:rsidP="00C330E2">
            <w:pPr>
              <w:tabs>
                <w:tab w:val="decimal" w:pos="331"/>
              </w:tabs>
              <w:spacing w:before="40" w:after="4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2</w:t>
            </w:r>
          </w:p>
        </w:tc>
        <w:tc>
          <w:tcPr>
            <w:tcW w:w="847" w:type="dxa"/>
            <w:noWrap/>
            <w:hideMark/>
          </w:tcPr>
          <w:p w14:paraId="35087DD9" w14:textId="048A4E0A" w:rsidR="00B367FB" w:rsidRPr="000973F2" w:rsidRDefault="00B367FB" w:rsidP="00C330E2">
            <w:pPr>
              <w:tabs>
                <w:tab w:val="decimal" w:pos="331"/>
              </w:tabs>
              <w:spacing w:before="40" w:after="4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$0</w:t>
            </w:r>
          </w:p>
        </w:tc>
        <w:tc>
          <w:tcPr>
            <w:tcW w:w="848" w:type="dxa"/>
            <w:noWrap/>
            <w:hideMark/>
          </w:tcPr>
          <w:p w14:paraId="21D0AEF2" w14:textId="659F85CE" w:rsidR="00B367FB" w:rsidRPr="000973F2" w:rsidRDefault="00B367FB" w:rsidP="00C330E2">
            <w:pPr>
              <w:tabs>
                <w:tab w:val="decimal" w:pos="571"/>
              </w:tabs>
              <w:spacing w:before="40" w:after="4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$2,105</w:t>
            </w:r>
          </w:p>
        </w:tc>
      </w:tr>
      <w:tr w:rsidR="00C330E2" w:rsidRPr="000973F2" w14:paraId="3BDF0676" w14:textId="77777777" w:rsidTr="00C330E2">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1515" w:type="dxa"/>
            <w:noWrap/>
            <w:hideMark/>
          </w:tcPr>
          <w:p w14:paraId="34BACF01" w14:textId="77777777" w:rsidR="00B367FB" w:rsidRPr="000973F2" w:rsidRDefault="00B367FB" w:rsidP="00C330E2">
            <w:pPr>
              <w:spacing w:before="40" w:after="40"/>
              <w:rPr>
                <w:rFonts w:ascii="Times New Roman" w:eastAsia="Times New Roman" w:hAnsi="Times New Roman" w:cs="Times New Roman"/>
                <w:b/>
                <w:bCs w:val="0"/>
                <w:sz w:val="18"/>
                <w:szCs w:val="18"/>
              </w:rPr>
            </w:pPr>
            <w:r w:rsidRPr="000973F2">
              <w:rPr>
                <w:rFonts w:ascii="Times New Roman" w:eastAsia="Times New Roman" w:hAnsi="Times New Roman" w:cs="Times New Roman"/>
                <w:b/>
                <w:sz w:val="18"/>
                <w:szCs w:val="18"/>
              </w:rPr>
              <w:t>Total</w:t>
            </w:r>
          </w:p>
        </w:tc>
        <w:tc>
          <w:tcPr>
            <w:tcW w:w="742" w:type="dxa"/>
            <w:noWrap/>
            <w:hideMark/>
          </w:tcPr>
          <w:p w14:paraId="7DA41F0B" w14:textId="77777777" w:rsidR="00B367FB" w:rsidRPr="000973F2" w:rsidRDefault="00B367FB" w:rsidP="00C330E2">
            <w:pPr>
              <w:tabs>
                <w:tab w:val="decimal" w:pos="331"/>
              </w:tabs>
              <w:spacing w:before="40" w:after="4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18"/>
                <w:szCs w:val="18"/>
              </w:rPr>
            </w:pPr>
            <w:r w:rsidRPr="000973F2">
              <w:rPr>
                <w:rFonts w:ascii="Times New Roman" w:eastAsia="Times New Roman" w:hAnsi="Times New Roman" w:cs="Times New Roman"/>
                <w:b/>
                <w:bCs/>
                <w:sz w:val="18"/>
                <w:szCs w:val="18"/>
              </w:rPr>
              <w:t>0</w:t>
            </w:r>
          </w:p>
        </w:tc>
        <w:tc>
          <w:tcPr>
            <w:tcW w:w="743" w:type="dxa"/>
            <w:noWrap/>
            <w:hideMark/>
          </w:tcPr>
          <w:p w14:paraId="1C47E65B" w14:textId="77777777" w:rsidR="00B367FB" w:rsidRPr="000973F2" w:rsidRDefault="00B367FB" w:rsidP="00C330E2">
            <w:pPr>
              <w:tabs>
                <w:tab w:val="decimal" w:pos="331"/>
              </w:tabs>
              <w:spacing w:before="40" w:after="4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18"/>
                <w:szCs w:val="18"/>
              </w:rPr>
            </w:pPr>
            <w:r w:rsidRPr="000973F2">
              <w:rPr>
                <w:rFonts w:ascii="Times New Roman" w:eastAsia="Times New Roman" w:hAnsi="Times New Roman" w:cs="Times New Roman"/>
                <w:b/>
                <w:bCs/>
                <w:sz w:val="18"/>
                <w:szCs w:val="18"/>
              </w:rPr>
              <w:t>2</w:t>
            </w:r>
          </w:p>
        </w:tc>
        <w:tc>
          <w:tcPr>
            <w:tcW w:w="742" w:type="dxa"/>
            <w:noWrap/>
            <w:hideMark/>
          </w:tcPr>
          <w:p w14:paraId="0D5CE031" w14:textId="77777777" w:rsidR="00B367FB" w:rsidRPr="000973F2" w:rsidRDefault="00B367FB" w:rsidP="00C330E2">
            <w:pPr>
              <w:tabs>
                <w:tab w:val="decimal" w:pos="331"/>
              </w:tabs>
              <w:spacing w:before="40" w:after="4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18"/>
                <w:szCs w:val="18"/>
              </w:rPr>
            </w:pPr>
            <w:r w:rsidRPr="000973F2">
              <w:rPr>
                <w:rFonts w:ascii="Times New Roman" w:eastAsia="Times New Roman" w:hAnsi="Times New Roman" w:cs="Times New Roman"/>
                <w:b/>
                <w:bCs/>
                <w:sz w:val="18"/>
                <w:szCs w:val="18"/>
              </w:rPr>
              <w:t>0</w:t>
            </w:r>
          </w:p>
        </w:tc>
        <w:tc>
          <w:tcPr>
            <w:tcW w:w="743" w:type="dxa"/>
            <w:noWrap/>
            <w:hideMark/>
          </w:tcPr>
          <w:p w14:paraId="3F1174F1" w14:textId="77777777" w:rsidR="00B367FB" w:rsidRPr="000973F2" w:rsidRDefault="00B367FB" w:rsidP="00C330E2">
            <w:pPr>
              <w:tabs>
                <w:tab w:val="decimal" w:pos="331"/>
              </w:tabs>
              <w:spacing w:before="40" w:after="4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18"/>
                <w:szCs w:val="18"/>
              </w:rPr>
            </w:pPr>
            <w:r w:rsidRPr="000973F2">
              <w:rPr>
                <w:rFonts w:ascii="Times New Roman" w:eastAsia="Times New Roman" w:hAnsi="Times New Roman" w:cs="Times New Roman"/>
                <w:b/>
                <w:bCs/>
                <w:sz w:val="18"/>
                <w:szCs w:val="18"/>
              </w:rPr>
              <w:t>9.9</w:t>
            </w:r>
          </w:p>
        </w:tc>
        <w:tc>
          <w:tcPr>
            <w:tcW w:w="743" w:type="dxa"/>
            <w:noWrap/>
            <w:hideMark/>
          </w:tcPr>
          <w:p w14:paraId="1BC023C9" w14:textId="77777777" w:rsidR="00B367FB" w:rsidRPr="000973F2" w:rsidRDefault="00B367FB" w:rsidP="00C330E2">
            <w:pPr>
              <w:tabs>
                <w:tab w:val="decimal" w:pos="331"/>
              </w:tabs>
              <w:spacing w:before="40" w:after="4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18"/>
                <w:szCs w:val="18"/>
              </w:rPr>
            </w:pPr>
            <w:r w:rsidRPr="000973F2">
              <w:rPr>
                <w:rFonts w:ascii="Times New Roman" w:eastAsia="Times New Roman" w:hAnsi="Times New Roman" w:cs="Times New Roman"/>
                <w:b/>
                <w:bCs/>
                <w:sz w:val="18"/>
                <w:szCs w:val="18"/>
              </w:rPr>
              <w:t>0</w:t>
            </w:r>
          </w:p>
        </w:tc>
        <w:tc>
          <w:tcPr>
            <w:tcW w:w="742" w:type="dxa"/>
            <w:noWrap/>
            <w:hideMark/>
          </w:tcPr>
          <w:p w14:paraId="35298E84" w14:textId="77777777" w:rsidR="00B367FB" w:rsidRPr="000973F2" w:rsidRDefault="00B367FB" w:rsidP="00C330E2">
            <w:pPr>
              <w:tabs>
                <w:tab w:val="decimal" w:pos="331"/>
              </w:tabs>
              <w:spacing w:before="40" w:after="4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18"/>
                <w:szCs w:val="18"/>
              </w:rPr>
            </w:pPr>
            <w:r w:rsidRPr="000973F2">
              <w:rPr>
                <w:rFonts w:ascii="Times New Roman" w:eastAsia="Times New Roman" w:hAnsi="Times New Roman" w:cs="Times New Roman"/>
                <w:b/>
                <w:bCs/>
                <w:sz w:val="18"/>
                <w:szCs w:val="18"/>
              </w:rPr>
              <w:t>58</w:t>
            </w:r>
          </w:p>
        </w:tc>
        <w:tc>
          <w:tcPr>
            <w:tcW w:w="743" w:type="dxa"/>
            <w:noWrap/>
            <w:hideMark/>
          </w:tcPr>
          <w:p w14:paraId="164D3626" w14:textId="77777777" w:rsidR="00B367FB" w:rsidRPr="000973F2" w:rsidRDefault="00B367FB" w:rsidP="00C330E2">
            <w:pPr>
              <w:tabs>
                <w:tab w:val="decimal" w:pos="331"/>
              </w:tabs>
              <w:spacing w:before="40" w:after="4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18"/>
                <w:szCs w:val="18"/>
              </w:rPr>
            </w:pPr>
            <w:r w:rsidRPr="000973F2">
              <w:rPr>
                <w:rFonts w:ascii="Times New Roman" w:eastAsia="Times New Roman" w:hAnsi="Times New Roman" w:cs="Times New Roman"/>
                <w:b/>
                <w:bCs/>
                <w:sz w:val="18"/>
                <w:szCs w:val="18"/>
              </w:rPr>
              <w:t>0</w:t>
            </w:r>
          </w:p>
        </w:tc>
        <w:tc>
          <w:tcPr>
            <w:tcW w:w="922" w:type="dxa"/>
            <w:noWrap/>
            <w:hideMark/>
          </w:tcPr>
          <w:p w14:paraId="2B22FB44" w14:textId="77777777" w:rsidR="00B367FB" w:rsidRPr="000973F2" w:rsidRDefault="00B367FB" w:rsidP="00C330E2">
            <w:pPr>
              <w:tabs>
                <w:tab w:val="decimal" w:pos="331"/>
              </w:tabs>
              <w:spacing w:before="40" w:after="4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18"/>
                <w:szCs w:val="18"/>
              </w:rPr>
            </w:pPr>
            <w:r w:rsidRPr="000973F2">
              <w:rPr>
                <w:rFonts w:ascii="Times New Roman" w:eastAsia="Times New Roman" w:hAnsi="Times New Roman" w:cs="Times New Roman"/>
                <w:b/>
                <w:bCs/>
                <w:sz w:val="18"/>
                <w:szCs w:val="18"/>
              </w:rPr>
              <w:t>4.8</w:t>
            </w:r>
          </w:p>
        </w:tc>
        <w:tc>
          <w:tcPr>
            <w:tcW w:w="847" w:type="dxa"/>
            <w:noWrap/>
            <w:hideMark/>
          </w:tcPr>
          <w:p w14:paraId="780E20AA" w14:textId="48E07986" w:rsidR="00B367FB" w:rsidRPr="000973F2" w:rsidRDefault="00B367FB" w:rsidP="00C330E2">
            <w:pPr>
              <w:tabs>
                <w:tab w:val="decimal" w:pos="331"/>
              </w:tabs>
              <w:spacing w:before="40" w:after="4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18"/>
                <w:szCs w:val="18"/>
              </w:rPr>
            </w:pPr>
            <w:r w:rsidRPr="000973F2">
              <w:rPr>
                <w:rFonts w:ascii="Times New Roman" w:eastAsia="Times New Roman" w:hAnsi="Times New Roman" w:cs="Times New Roman"/>
                <w:b/>
                <w:bCs/>
                <w:sz w:val="18"/>
                <w:szCs w:val="18"/>
              </w:rPr>
              <w:t>$0</w:t>
            </w:r>
          </w:p>
        </w:tc>
        <w:tc>
          <w:tcPr>
            <w:tcW w:w="848" w:type="dxa"/>
            <w:noWrap/>
            <w:hideMark/>
          </w:tcPr>
          <w:p w14:paraId="5108061A" w14:textId="77777777" w:rsidR="00B367FB" w:rsidRPr="000973F2" w:rsidRDefault="00B367FB" w:rsidP="00C330E2">
            <w:pPr>
              <w:tabs>
                <w:tab w:val="decimal" w:pos="571"/>
              </w:tabs>
              <w:spacing w:before="40" w:after="4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18"/>
                <w:szCs w:val="18"/>
              </w:rPr>
            </w:pPr>
            <w:r w:rsidRPr="000973F2">
              <w:rPr>
                <w:rFonts w:ascii="Times New Roman" w:eastAsia="Times New Roman" w:hAnsi="Times New Roman" w:cs="Times New Roman"/>
                <w:b/>
                <w:bCs/>
                <w:sz w:val="18"/>
                <w:szCs w:val="18"/>
              </w:rPr>
              <w:t>$5,408</w:t>
            </w:r>
          </w:p>
        </w:tc>
      </w:tr>
    </w:tbl>
    <w:p w14:paraId="28A4C25F" w14:textId="77777777" w:rsidR="00455015" w:rsidRPr="000973F2" w:rsidRDefault="00455015" w:rsidP="00C00E4F">
      <w:pPr>
        <w:spacing w:line="240" w:lineRule="auto"/>
        <w:rPr>
          <w:rFonts w:ascii="Times New Roman" w:hAnsi="Times New Roman" w:cs="Times New Roman"/>
          <w:b/>
          <w:i/>
          <w:iCs/>
        </w:rPr>
      </w:pPr>
    </w:p>
    <w:p w14:paraId="6910184E" w14:textId="77777777" w:rsidR="00455015" w:rsidRPr="000973F2" w:rsidRDefault="00455015" w:rsidP="00C00E4F">
      <w:pPr>
        <w:spacing w:line="240" w:lineRule="auto"/>
        <w:rPr>
          <w:rFonts w:ascii="Times New Roman" w:hAnsi="Times New Roman" w:cs="Times New Roman"/>
          <w:b/>
          <w:i/>
          <w:iCs/>
        </w:rPr>
      </w:pPr>
      <w:r w:rsidRPr="000973F2">
        <w:rPr>
          <w:rFonts w:ascii="Times New Roman" w:hAnsi="Times New Roman" w:cs="Times New Roman"/>
          <w:b/>
          <w:i/>
          <w:iCs/>
        </w:rPr>
        <w:br w:type="page"/>
      </w:r>
    </w:p>
    <w:p w14:paraId="7607AFBC" w14:textId="5C8EB058" w:rsidR="00B367FB" w:rsidRPr="000973F2" w:rsidRDefault="00B367FB" w:rsidP="00C330E2">
      <w:pPr>
        <w:pStyle w:val="Heading2"/>
      </w:pPr>
      <w:r w:rsidRPr="000973F2">
        <w:t>Labor Costs for Subpart OO – Destroyers, that do not also produce, import, or export</w:t>
      </w:r>
    </w:p>
    <w:p w14:paraId="1FEDBB75" w14:textId="38595FB8" w:rsidR="00B367FB" w:rsidRPr="000973F2" w:rsidRDefault="00B367FB" w:rsidP="00C330E2">
      <w:pPr>
        <w:pStyle w:val="BodyText"/>
      </w:pPr>
      <w:r w:rsidRPr="000973F2">
        <w:t xml:space="preserve">Beginning in RY2018, facilities destroying fluorinated GHGs or fluorinated HTFs (and that also do not produce, import, or export these gases) must begin reporting under Subpart OO. Eight new destruction facilities are expected to begin reporting for RY2018, and no additional destruction facilities are expected after that year. The labor costs for each of the estimated 8 facilities that destroy fluorinated GHG or fluorinated HTFs (and that also do not produce, import, or export these gases) to report under Subpart OO are provided in Table </w:t>
      </w:r>
      <w:r w:rsidR="00C330E2" w:rsidRPr="000973F2">
        <w:t>OO-</w:t>
      </w:r>
      <w:r w:rsidRPr="000973F2">
        <w:t>1d. Typical activities for each of the labor activities are discussed in the Cost Appendix Introduction. Additional activities expected to require sampling and analysis labor hours include updating the one-time report, as required under §98.416(b), if any destruction process changes are made. Recordkeeping and reporting labor costs are based on the “high bin” designation.</w:t>
      </w:r>
    </w:p>
    <w:p w14:paraId="343948C3" w14:textId="4351DF58" w:rsidR="00455015" w:rsidRPr="000973F2" w:rsidRDefault="00455015" w:rsidP="00C330E2">
      <w:pPr>
        <w:pStyle w:val="Tabletitle"/>
      </w:pPr>
      <w:r w:rsidRPr="000973F2">
        <w:t xml:space="preserve">Table </w:t>
      </w:r>
      <w:r w:rsidR="00C330E2" w:rsidRPr="000973F2">
        <w:t>OO-</w:t>
      </w:r>
      <w:r w:rsidRPr="000973F2">
        <w:t xml:space="preserve">1d. Labor Costs </w:t>
      </w:r>
      <w:r w:rsidR="00B960CC" w:rsidRPr="000973F2">
        <w:t>–</w:t>
      </w:r>
      <w:r w:rsidRPr="000973F2">
        <w:t xml:space="preserve"> Subpart OO </w:t>
      </w:r>
      <w:r w:rsidR="005A3F08" w:rsidRPr="000973F2">
        <w:t xml:space="preserve">– </w:t>
      </w:r>
      <w:r w:rsidRPr="000973F2">
        <w:t>Destroyers, that do not also produce, import, or export</w:t>
      </w:r>
    </w:p>
    <w:tbl>
      <w:tblPr>
        <w:tblStyle w:val="PlainTable1"/>
        <w:tblW w:w="5000" w:type="pct"/>
        <w:jc w:val="left"/>
        <w:tblLayout w:type="fixed"/>
        <w:tblCellMar>
          <w:left w:w="115" w:type="dxa"/>
          <w:right w:w="115" w:type="dxa"/>
        </w:tblCellMar>
        <w:tblLook w:val="04A0" w:firstRow="1" w:lastRow="0" w:firstColumn="1" w:lastColumn="0" w:noHBand="0" w:noVBand="1"/>
      </w:tblPr>
      <w:tblGrid>
        <w:gridCol w:w="1373"/>
        <w:gridCol w:w="821"/>
        <w:gridCol w:w="822"/>
        <w:gridCol w:w="821"/>
        <w:gridCol w:w="821"/>
        <w:gridCol w:w="820"/>
        <w:gridCol w:w="821"/>
        <w:gridCol w:w="821"/>
        <w:gridCol w:w="821"/>
        <w:gridCol w:w="824"/>
        <w:gridCol w:w="825"/>
      </w:tblGrid>
      <w:tr w:rsidR="00B367FB" w:rsidRPr="000973F2" w14:paraId="3C4FA937" w14:textId="77777777" w:rsidTr="005029DF">
        <w:trPr>
          <w:cnfStyle w:val="100000000000" w:firstRow="1" w:lastRow="0" w:firstColumn="0" w:lastColumn="0" w:oddVBand="0" w:evenVBand="0" w:oddHBand="0" w:evenHBand="0" w:firstRowFirstColumn="0" w:firstRowLastColumn="0" w:lastRowFirstColumn="0" w:lastRowLastColumn="0"/>
          <w:cantSplit/>
          <w:jc w:val="left"/>
        </w:trPr>
        <w:tc>
          <w:tcPr>
            <w:cnfStyle w:val="001000000000" w:firstRow="0" w:lastRow="0" w:firstColumn="1" w:lastColumn="0" w:oddVBand="0" w:evenVBand="0" w:oddHBand="0" w:evenHBand="0" w:firstRowFirstColumn="0" w:firstRowLastColumn="0" w:lastRowFirstColumn="0" w:lastRowLastColumn="0"/>
            <w:tcW w:w="1335" w:type="dxa"/>
            <w:vMerge w:val="restart"/>
            <w:noWrap/>
            <w:vAlign w:val="top"/>
            <w:hideMark/>
          </w:tcPr>
          <w:p w14:paraId="26D9087A" w14:textId="77777777" w:rsidR="00B367FB" w:rsidRPr="000973F2" w:rsidRDefault="00B367FB" w:rsidP="005029DF">
            <w:pPr>
              <w:spacing w:before="40" w:after="40"/>
              <w:rPr>
                <w:rFonts w:ascii="Times New Roman" w:eastAsia="Times New Roman" w:hAnsi="Times New Roman" w:cs="Times New Roman"/>
                <w:bCs w:val="0"/>
                <w:sz w:val="18"/>
                <w:szCs w:val="18"/>
              </w:rPr>
            </w:pPr>
            <w:r w:rsidRPr="000973F2">
              <w:rPr>
                <w:rFonts w:ascii="Times New Roman" w:eastAsia="Times New Roman" w:hAnsi="Times New Roman" w:cs="Times New Roman"/>
                <w:bCs w:val="0"/>
                <w:sz w:val="18"/>
                <w:szCs w:val="18"/>
              </w:rPr>
              <w:t>Activity</w:t>
            </w:r>
          </w:p>
        </w:tc>
        <w:tc>
          <w:tcPr>
            <w:tcW w:w="6390" w:type="dxa"/>
            <w:gridSpan w:val="8"/>
            <w:noWrap/>
            <w:vAlign w:val="top"/>
            <w:hideMark/>
          </w:tcPr>
          <w:p w14:paraId="6F26F8EC" w14:textId="77777777" w:rsidR="00B367FB" w:rsidRPr="000973F2" w:rsidRDefault="00B367FB" w:rsidP="005029DF">
            <w:pPr>
              <w:spacing w:before="40" w:after="40"/>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Cs w:val="0"/>
                <w:sz w:val="18"/>
                <w:szCs w:val="18"/>
              </w:rPr>
            </w:pPr>
            <w:r w:rsidRPr="000973F2">
              <w:rPr>
                <w:rFonts w:ascii="Times New Roman" w:eastAsia="Times New Roman" w:hAnsi="Times New Roman" w:cs="Times New Roman"/>
                <w:bCs w:val="0"/>
                <w:sz w:val="18"/>
                <w:szCs w:val="18"/>
              </w:rPr>
              <w:t>Labor Rates (per hour)</w:t>
            </w:r>
          </w:p>
        </w:tc>
        <w:tc>
          <w:tcPr>
            <w:tcW w:w="1605" w:type="dxa"/>
            <w:gridSpan w:val="2"/>
            <w:vMerge w:val="restart"/>
            <w:vAlign w:val="top"/>
            <w:hideMark/>
          </w:tcPr>
          <w:p w14:paraId="45287650" w14:textId="77777777" w:rsidR="00B367FB" w:rsidRPr="000973F2" w:rsidRDefault="00B367FB" w:rsidP="005029DF">
            <w:pPr>
              <w:spacing w:before="40" w:after="40"/>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Cs w:val="0"/>
                <w:sz w:val="18"/>
                <w:szCs w:val="18"/>
              </w:rPr>
            </w:pPr>
            <w:r w:rsidRPr="000973F2">
              <w:rPr>
                <w:rFonts w:ascii="Times New Roman" w:eastAsia="Times New Roman" w:hAnsi="Times New Roman" w:cs="Times New Roman"/>
                <w:bCs w:val="0"/>
                <w:sz w:val="18"/>
                <w:szCs w:val="18"/>
              </w:rPr>
              <w:t>Total Labor Cost per Year per Facility (2017$)</w:t>
            </w:r>
          </w:p>
        </w:tc>
      </w:tr>
      <w:tr w:rsidR="00B367FB" w:rsidRPr="000973F2" w14:paraId="1A3FED5B" w14:textId="77777777" w:rsidTr="005029DF">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1335" w:type="dxa"/>
            <w:vMerge/>
            <w:hideMark/>
          </w:tcPr>
          <w:p w14:paraId="571B67C3" w14:textId="77777777" w:rsidR="00B367FB" w:rsidRPr="000973F2" w:rsidRDefault="00B367FB" w:rsidP="005029DF">
            <w:pPr>
              <w:spacing w:before="40" w:after="40"/>
              <w:rPr>
                <w:rFonts w:ascii="Times New Roman" w:eastAsia="Times New Roman" w:hAnsi="Times New Roman" w:cs="Times New Roman"/>
                <w:b/>
                <w:bCs w:val="0"/>
                <w:sz w:val="18"/>
                <w:szCs w:val="18"/>
              </w:rPr>
            </w:pPr>
          </w:p>
        </w:tc>
        <w:tc>
          <w:tcPr>
            <w:tcW w:w="1597" w:type="dxa"/>
            <w:gridSpan w:val="2"/>
            <w:noWrap/>
            <w:hideMark/>
          </w:tcPr>
          <w:p w14:paraId="51689A4D" w14:textId="77777777" w:rsidR="00B367FB" w:rsidRPr="000973F2" w:rsidRDefault="00B367FB" w:rsidP="005029DF">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18"/>
                <w:szCs w:val="18"/>
              </w:rPr>
            </w:pPr>
            <w:r w:rsidRPr="000973F2">
              <w:rPr>
                <w:rFonts w:ascii="Times New Roman" w:eastAsia="Times New Roman" w:hAnsi="Times New Roman" w:cs="Times New Roman"/>
                <w:b/>
                <w:bCs/>
                <w:sz w:val="18"/>
                <w:szCs w:val="18"/>
              </w:rPr>
              <w:t>Lawyer</w:t>
            </w:r>
          </w:p>
        </w:tc>
        <w:tc>
          <w:tcPr>
            <w:tcW w:w="1598" w:type="dxa"/>
            <w:gridSpan w:val="2"/>
            <w:hideMark/>
          </w:tcPr>
          <w:p w14:paraId="34F45C7B" w14:textId="77777777" w:rsidR="00B367FB" w:rsidRPr="000973F2" w:rsidRDefault="00B367FB" w:rsidP="005029DF">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18"/>
                <w:szCs w:val="18"/>
              </w:rPr>
            </w:pPr>
            <w:r w:rsidRPr="000973F2">
              <w:rPr>
                <w:rFonts w:ascii="Times New Roman" w:eastAsia="Times New Roman" w:hAnsi="Times New Roman" w:cs="Times New Roman"/>
                <w:b/>
                <w:bCs/>
                <w:sz w:val="18"/>
                <w:szCs w:val="18"/>
              </w:rPr>
              <w:t>Industrial</w:t>
            </w:r>
            <w:r w:rsidRPr="000973F2">
              <w:rPr>
                <w:rFonts w:ascii="Times New Roman" w:eastAsia="Times New Roman" w:hAnsi="Times New Roman" w:cs="Times New Roman"/>
                <w:b/>
                <w:bCs/>
                <w:sz w:val="18"/>
                <w:szCs w:val="18"/>
              </w:rPr>
              <w:br/>
              <w:t>Manager</w:t>
            </w:r>
          </w:p>
        </w:tc>
        <w:tc>
          <w:tcPr>
            <w:tcW w:w="1597" w:type="dxa"/>
            <w:gridSpan w:val="2"/>
            <w:hideMark/>
          </w:tcPr>
          <w:p w14:paraId="1D8CB2BA" w14:textId="1A2DBE9D" w:rsidR="00B367FB" w:rsidRPr="000973F2" w:rsidRDefault="00B367FB" w:rsidP="005029DF">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18"/>
                <w:szCs w:val="18"/>
              </w:rPr>
            </w:pPr>
            <w:r w:rsidRPr="000973F2">
              <w:rPr>
                <w:rFonts w:ascii="Times New Roman" w:eastAsia="Times New Roman" w:hAnsi="Times New Roman" w:cs="Times New Roman"/>
                <w:b/>
                <w:bCs/>
                <w:sz w:val="18"/>
                <w:szCs w:val="18"/>
              </w:rPr>
              <w:t>Industrial Engineer/</w:t>
            </w:r>
            <w:r w:rsidR="005029DF" w:rsidRPr="000973F2">
              <w:rPr>
                <w:rFonts w:ascii="Times New Roman" w:eastAsia="Times New Roman" w:hAnsi="Times New Roman" w:cs="Times New Roman"/>
                <w:b/>
                <w:bCs/>
                <w:sz w:val="18"/>
                <w:szCs w:val="18"/>
              </w:rPr>
              <w:t xml:space="preserve"> </w:t>
            </w:r>
            <w:r w:rsidRPr="000973F2">
              <w:rPr>
                <w:rFonts w:ascii="Times New Roman" w:eastAsia="Times New Roman" w:hAnsi="Times New Roman" w:cs="Times New Roman"/>
                <w:b/>
                <w:bCs/>
                <w:sz w:val="18"/>
                <w:szCs w:val="18"/>
              </w:rPr>
              <w:t>Technician</w:t>
            </w:r>
          </w:p>
        </w:tc>
        <w:tc>
          <w:tcPr>
            <w:tcW w:w="1598" w:type="dxa"/>
            <w:gridSpan w:val="2"/>
            <w:hideMark/>
          </w:tcPr>
          <w:p w14:paraId="39B14D75" w14:textId="77777777" w:rsidR="00B367FB" w:rsidRPr="000973F2" w:rsidRDefault="00B367FB" w:rsidP="005029DF">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18"/>
                <w:szCs w:val="18"/>
              </w:rPr>
            </w:pPr>
            <w:r w:rsidRPr="000973F2">
              <w:rPr>
                <w:rFonts w:ascii="Times New Roman" w:eastAsia="Times New Roman" w:hAnsi="Times New Roman" w:cs="Times New Roman"/>
                <w:b/>
                <w:bCs/>
                <w:sz w:val="18"/>
                <w:szCs w:val="18"/>
              </w:rPr>
              <w:t>Administrative Support</w:t>
            </w:r>
          </w:p>
        </w:tc>
        <w:tc>
          <w:tcPr>
            <w:tcW w:w="1605" w:type="dxa"/>
            <w:gridSpan w:val="2"/>
            <w:vMerge/>
            <w:hideMark/>
          </w:tcPr>
          <w:p w14:paraId="61F54AB5" w14:textId="77777777" w:rsidR="00B367FB" w:rsidRPr="000973F2" w:rsidRDefault="00B367FB" w:rsidP="005029DF">
            <w:pPr>
              <w:spacing w:before="40" w:after="4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18"/>
                <w:szCs w:val="18"/>
              </w:rPr>
            </w:pPr>
          </w:p>
        </w:tc>
      </w:tr>
      <w:tr w:rsidR="00B367FB" w:rsidRPr="000973F2" w14:paraId="5AC07FED" w14:textId="77777777" w:rsidTr="005029DF">
        <w:trPr>
          <w:cantSplit/>
        </w:trPr>
        <w:tc>
          <w:tcPr>
            <w:cnfStyle w:val="001000000000" w:firstRow="0" w:lastRow="0" w:firstColumn="1" w:lastColumn="0" w:oddVBand="0" w:evenVBand="0" w:oddHBand="0" w:evenHBand="0" w:firstRowFirstColumn="0" w:firstRowLastColumn="0" w:lastRowFirstColumn="0" w:lastRowLastColumn="0"/>
            <w:tcW w:w="1335" w:type="dxa"/>
            <w:vMerge/>
            <w:hideMark/>
          </w:tcPr>
          <w:p w14:paraId="2181693E" w14:textId="77777777" w:rsidR="00B367FB" w:rsidRPr="000973F2" w:rsidRDefault="00B367FB" w:rsidP="005029DF">
            <w:pPr>
              <w:spacing w:before="40" w:after="40"/>
              <w:rPr>
                <w:rFonts w:ascii="Times New Roman" w:eastAsia="Times New Roman" w:hAnsi="Times New Roman" w:cs="Times New Roman"/>
                <w:b/>
                <w:bCs w:val="0"/>
                <w:sz w:val="18"/>
                <w:szCs w:val="18"/>
              </w:rPr>
            </w:pPr>
          </w:p>
        </w:tc>
        <w:tc>
          <w:tcPr>
            <w:tcW w:w="1597" w:type="dxa"/>
            <w:gridSpan w:val="2"/>
            <w:noWrap/>
            <w:hideMark/>
          </w:tcPr>
          <w:p w14:paraId="7CAF374D" w14:textId="77777777" w:rsidR="00B367FB" w:rsidRPr="000973F2" w:rsidRDefault="00B367FB" w:rsidP="005029DF">
            <w:pPr>
              <w:spacing w:before="40" w:after="4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sz w:val="18"/>
                <w:szCs w:val="18"/>
              </w:rPr>
            </w:pPr>
            <w:r w:rsidRPr="000973F2">
              <w:rPr>
                <w:rFonts w:ascii="Times New Roman" w:eastAsia="Times New Roman" w:hAnsi="Times New Roman" w:cs="Times New Roman"/>
                <w:b/>
                <w:bCs/>
                <w:sz w:val="18"/>
                <w:szCs w:val="18"/>
              </w:rPr>
              <w:t xml:space="preserve">$112.23 </w:t>
            </w:r>
          </w:p>
        </w:tc>
        <w:tc>
          <w:tcPr>
            <w:tcW w:w="1598" w:type="dxa"/>
            <w:gridSpan w:val="2"/>
            <w:noWrap/>
            <w:hideMark/>
          </w:tcPr>
          <w:p w14:paraId="68E9859F" w14:textId="77777777" w:rsidR="00B367FB" w:rsidRPr="000973F2" w:rsidRDefault="00B367FB" w:rsidP="005029DF">
            <w:pPr>
              <w:spacing w:before="40" w:after="4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sz w:val="18"/>
                <w:szCs w:val="18"/>
              </w:rPr>
            </w:pPr>
            <w:r w:rsidRPr="000973F2">
              <w:rPr>
                <w:rFonts w:ascii="Times New Roman" w:eastAsia="Times New Roman" w:hAnsi="Times New Roman" w:cs="Times New Roman"/>
                <w:b/>
                <w:bCs/>
                <w:sz w:val="18"/>
                <w:szCs w:val="18"/>
              </w:rPr>
              <w:t xml:space="preserve">$87.45 </w:t>
            </w:r>
          </w:p>
        </w:tc>
        <w:tc>
          <w:tcPr>
            <w:tcW w:w="1597" w:type="dxa"/>
            <w:gridSpan w:val="2"/>
            <w:noWrap/>
            <w:hideMark/>
          </w:tcPr>
          <w:p w14:paraId="61B82051" w14:textId="77777777" w:rsidR="00B367FB" w:rsidRPr="000973F2" w:rsidRDefault="00B367FB" w:rsidP="005029DF">
            <w:pPr>
              <w:spacing w:before="40" w:after="4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sz w:val="18"/>
                <w:szCs w:val="18"/>
              </w:rPr>
            </w:pPr>
            <w:r w:rsidRPr="000973F2">
              <w:rPr>
                <w:rFonts w:ascii="Times New Roman" w:eastAsia="Times New Roman" w:hAnsi="Times New Roman" w:cs="Times New Roman"/>
                <w:b/>
                <w:bCs/>
                <w:sz w:val="18"/>
                <w:szCs w:val="18"/>
              </w:rPr>
              <w:t xml:space="preserve">$71.45 </w:t>
            </w:r>
          </w:p>
        </w:tc>
        <w:tc>
          <w:tcPr>
            <w:tcW w:w="1598" w:type="dxa"/>
            <w:gridSpan w:val="2"/>
            <w:noWrap/>
            <w:hideMark/>
          </w:tcPr>
          <w:p w14:paraId="6FBCB16B" w14:textId="77777777" w:rsidR="00B367FB" w:rsidRPr="000973F2" w:rsidRDefault="00B367FB" w:rsidP="005029DF">
            <w:pPr>
              <w:spacing w:before="40" w:after="4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sz w:val="18"/>
                <w:szCs w:val="18"/>
              </w:rPr>
            </w:pPr>
            <w:r w:rsidRPr="000973F2">
              <w:rPr>
                <w:rFonts w:ascii="Times New Roman" w:eastAsia="Times New Roman" w:hAnsi="Times New Roman" w:cs="Times New Roman"/>
                <w:b/>
                <w:bCs/>
                <w:sz w:val="18"/>
                <w:szCs w:val="18"/>
              </w:rPr>
              <w:t xml:space="preserve">$36.28 </w:t>
            </w:r>
          </w:p>
        </w:tc>
        <w:tc>
          <w:tcPr>
            <w:tcW w:w="1605" w:type="dxa"/>
            <w:gridSpan w:val="2"/>
            <w:vMerge/>
            <w:hideMark/>
          </w:tcPr>
          <w:p w14:paraId="34EF4896" w14:textId="77777777" w:rsidR="00B367FB" w:rsidRPr="000973F2" w:rsidRDefault="00B367FB" w:rsidP="005029DF">
            <w:pPr>
              <w:spacing w:before="40" w:after="4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sz w:val="18"/>
                <w:szCs w:val="18"/>
              </w:rPr>
            </w:pPr>
          </w:p>
        </w:tc>
      </w:tr>
      <w:tr w:rsidR="00B367FB" w:rsidRPr="000973F2" w14:paraId="7D7F1EFD" w14:textId="77777777" w:rsidTr="005029DF">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1335" w:type="dxa"/>
            <w:vMerge/>
            <w:hideMark/>
          </w:tcPr>
          <w:p w14:paraId="25F89458" w14:textId="77777777" w:rsidR="00B367FB" w:rsidRPr="000973F2" w:rsidRDefault="00B367FB" w:rsidP="005029DF">
            <w:pPr>
              <w:spacing w:before="40" w:after="40"/>
              <w:rPr>
                <w:rFonts w:ascii="Times New Roman" w:eastAsia="Times New Roman" w:hAnsi="Times New Roman" w:cs="Times New Roman"/>
                <w:b/>
                <w:bCs w:val="0"/>
                <w:sz w:val="18"/>
                <w:szCs w:val="18"/>
              </w:rPr>
            </w:pPr>
          </w:p>
        </w:tc>
        <w:tc>
          <w:tcPr>
            <w:tcW w:w="798" w:type="dxa"/>
            <w:tcMar>
              <w:left w:w="14" w:type="dxa"/>
              <w:right w:w="14" w:type="dxa"/>
            </w:tcMar>
            <w:hideMark/>
          </w:tcPr>
          <w:p w14:paraId="4C5FC75D" w14:textId="77777777" w:rsidR="00B367FB" w:rsidRPr="000973F2" w:rsidRDefault="00B367FB" w:rsidP="005029DF">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18"/>
                <w:szCs w:val="18"/>
              </w:rPr>
            </w:pPr>
            <w:r w:rsidRPr="000973F2">
              <w:rPr>
                <w:rFonts w:ascii="Times New Roman" w:eastAsia="Times New Roman" w:hAnsi="Times New Roman" w:cs="Times New Roman"/>
                <w:b/>
                <w:bCs/>
                <w:sz w:val="18"/>
                <w:szCs w:val="18"/>
              </w:rPr>
              <w:t>Initial Year Hours</w:t>
            </w:r>
          </w:p>
        </w:tc>
        <w:tc>
          <w:tcPr>
            <w:tcW w:w="799" w:type="dxa"/>
            <w:tcMar>
              <w:left w:w="14" w:type="dxa"/>
              <w:right w:w="14" w:type="dxa"/>
            </w:tcMar>
            <w:hideMark/>
          </w:tcPr>
          <w:p w14:paraId="11701AFF" w14:textId="77777777" w:rsidR="00B367FB" w:rsidRPr="000973F2" w:rsidRDefault="00B367FB" w:rsidP="005029DF">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18"/>
                <w:szCs w:val="18"/>
              </w:rPr>
            </w:pPr>
            <w:r w:rsidRPr="000973F2">
              <w:rPr>
                <w:rFonts w:ascii="Times New Roman" w:eastAsia="Times New Roman" w:hAnsi="Times New Roman" w:cs="Times New Roman"/>
                <w:b/>
                <w:bCs/>
                <w:sz w:val="18"/>
                <w:szCs w:val="18"/>
              </w:rPr>
              <w:t>Subseq. Year Hours</w:t>
            </w:r>
          </w:p>
        </w:tc>
        <w:tc>
          <w:tcPr>
            <w:tcW w:w="799" w:type="dxa"/>
            <w:tcMar>
              <w:left w:w="14" w:type="dxa"/>
              <w:right w:w="14" w:type="dxa"/>
            </w:tcMar>
            <w:hideMark/>
          </w:tcPr>
          <w:p w14:paraId="14C864CF" w14:textId="77777777" w:rsidR="00B367FB" w:rsidRPr="000973F2" w:rsidRDefault="00B367FB" w:rsidP="005029DF">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18"/>
                <w:szCs w:val="18"/>
              </w:rPr>
            </w:pPr>
            <w:r w:rsidRPr="000973F2">
              <w:rPr>
                <w:rFonts w:ascii="Times New Roman" w:eastAsia="Times New Roman" w:hAnsi="Times New Roman" w:cs="Times New Roman"/>
                <w:b/>
                <w:bCs/>
                <w:sz w:val="18"/>
                <w:szCs w:val="18"/>
              </w:rPr>
              <w:t>Initial Year Hours</w:t>
            </w:r>
          </w:p>
        </w:tc>
        <w:tc>
          <w:tcPr>
            <w:tcW w:w="799" w:type="dxa"/>
            <w:tcMar>
              <w:left w:w="14" w:type="dxa"/>
              <w:right w:w="14" w:type="dxa"/>
            </w:tcMar>
            <w:hideMark/>
          </w:tcPr>
          <w:p w14:paraId="66D00734" w14:textId="77777777" w:rsidR="00B367FB" w:rsidRPr="000973F2" w:rsidRDefault="00B367FB" w:rsidP="005029DF">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18"/>
                <w:szCs w:val="18"/>
              </w:rPr>
            </w:pPr>
            <w:r w:rsidRPr="000973F2">
              <w:rPr>
                <w:rFonts w:ascii="Times New Roman" w:eastAsia="Times New Roman" w:hAnsi="Times New Roman" w:cs="Times New Roman"/>
                <w:b/>
                <w:bCs/>
                <w:sz w:val="18"/>
                <w:szCs w:val="18"/>
              </w:rPr>
              <w:t>Subseq. Year Hours</w:t>
            </w:r>
          </w:p>
        </w:tc>
        <w:tc>
          <w:tcPr>
            <w:tcW w:w="798" w:type="dxa"/>
            <w:tcMar>
              <w:left w:w="14" w:type="dxa"/>
              <w:right w:w="14" w:type="dxa"/>
            </w:tcMar>
            <w:hideMark/>
          </w:tcPr>
          <w:p w14:paraId="55B143F6" w14:textId="77777777" w:rsidR="00B367FB" w:rsidRPr="000973F2" w:rsidRDefault="00B367FB" w:rsidP="005029DF">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18"/>
                <w:szCs w:val="18"/>
              </w:rPr>
            </w:pPr>
            <w:r w:rsidRPr="000973F2">
              <w:rPr>
                <w:rFonts w:ascii="Times New Roman" w:eastAsia="Times New Roman" w:hAnsi="Times New Roman" w:cs="Times New Roman"/>
                <w:b/>
                <w:bCs/>
                <w:sz w:val="18"/>
                <w:szCs w:val="18"/>
              </w:rPr>
              <w:t>Initial</w:t>
            </w:r>
            <w:r w:rsidRPr="000973F2">
              <w:rPr>
                <w:rFonts w:ascii="Times New Roman" w:eastAsia="Times New Roman" w:hAnsi="Times New Roman" w:cs="Times New Roman"/>
                <w:b/>
                <w:bCs/>
                <w:sz w:val="18"/>
                <w:szCs w:val="18"/>
              </w:rPr>
              <w:br/>
              <w:t>Year</w:t>
            </w:r>
            <w:r w:rsidRPr="000973F2">
              <w:rPr>
                <w:rFonts w:ascii="Times New Roman" w:eastAsia="Times New Roman" w:hAnsi="Times New Roman" w:cs="Times New Roman"/>
                <w:b/>
                <w:bCs/>
                <w:sz w:val="18"/>
                <w:szCs w:val="18"/>
              </w:rPr>
              <w:br/>
              <w:t>Hours</w:t>
            </w:r>
          </w:p>
        </w:tc>
        <w:tc>
          <w:tcPr>
            <w:tcW w:w="799" w:type="dxa"/>
            <w:tcMar>
              <w:left w:w="14" w:type="dxa"/>
              <w:right w:w="14" w:type="dxa"/>
            </w:tcMar>
            <w:hideMark/>
          </w:tcPr>
          <w:p w14:paraId="0C8907B1" w14:textId="77777777" w:rsidR="00B367FB" w:rsidRPr="000973F2" w:rsidRDefault="00B367FB" w:rsidP="005029DF">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18"/>
                <w:szCs w:val="18"/>
              </w:rPr>
            </w:pPr>
            <w:r w:rsidRPr="000973F2">
              <w:rPr>
                <w:rFonts w:ascii="Times New Roman" w:eastAsia="Times New Roman" w:hAnsi="Times New Roman" w:cs="Times New Roman"/>
                <w:b/>
                <w:bCs/>
                <w:sz w:val="18"/>
                <w:szCs w:val="18"/>
              </w:rPr>
              <w:t>Subseq. Year Hours</w:t>
            </w:r>
          </w:p>
        </w:tc>
        <w:tc>
          <w:tcPr>
            <w:tcW w:w="799" w:type="dxa"/>
            <w:tcMar>
              <w:left w:w="14" w:type="dxa"/>
              <w:right w:w="14" w:type="dxa"/>
            </w:tcMar>
            <w:hideMark/>
          </w:tcPr>
          <w:p w14:paraId="7FF8C42C" w14:textId="77777777" w:rsidR="00B367FB" w:rsidRPr="000973F2" w:rsidRDefault="00B367FB" w:rsidP="005029DF">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18"/>
                <w:szCs w:val="18"/>
              </w:rPr>
            </w:pPr>
            <w:r w:rsidRPr="000973F2">
              <w:rPr>
                <w:rFonts w:ascii="Times New Roman" w:eastAsia="Times New Roman" w:hAnsi="Times New Roman" w:cs="Times New Roman"/>
                <w:b/>
                <w:bCs/>
                <w:sz w:val="18"/>
                <w:szCs w:val="18"/>
              </w:rPr>
              <w:t>Initial Year Hours</w:t>
            </w:r>
          </w:p>
        </w:tc>
        <w:tc>
          <w:tcPr>
            <w:tcW w:w="799" w:type="dxa"/>
            <w:tcMar>
              <w:left w:w="14" w:type="dxa"/>
              <w:right w:w="14" w:type="dxa"/>
            </w:tcMar>
            <w:hideMark/>
          </w:tcPr>
          <w:p w14:paraId="058AD901" w14:textId="77777777" w:rsidR="00B367FB" w:rsidRPr="000973F2" w:rsidRDefault="00B367FB" w:rsidP="005029DF">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18"/>
                <w:szCs w:val="18"/>
              </w:rPr>
            </w:pPr>
            <w:r w:rsidRPr="000973F2">
              <w:rPr>
                <w:rFonts w:ascii="Times New Roman" w:eastAsia="Times New Roman" w:hAnsi="Times New Roman" w:cs="Times New Roman"/>
                <w:b/>
                <w:bCs/>
                <w:sz w:val="18"/>
                <w:szCs w:val="18"/>
              </w:rPr>
              <w:t>Subseq. Year Hours</w:t>
            </w:r>
          </w:p>
        </w:tc>
        <w:tc>
          <w:tcPr>
            <w:tcW w:w="802" w:type="dxa"/>
            <w:tcMar>
              <w:left w:w="14" w:type="dxa"/>
              <w:right w:w="14" w:type="dxa"/>
            </w:tcMar>
            <w:hideMark/>
          </w:tcPr>
          <w:p w14:paraId="3AB3A925" w14:textId="77777777" w:rsidR="00B367FB" w:rsidRPr="000973F2" w:rsidRDefault="00B367FB" w:rsidP="005029DF">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18"/>
                <w:szCs w:val="18"/>
              </w:rPr>
            </w:pPr>
            <w:r w:rsidRPr="000973F2">
              <w:rPr>
                <w:rFonts w:ascii="Times New Roman" w:eastAsia="Times New Roman" w:hAnsi="Times New Roman" w:cs="Times New Roman"/>
                <w:b/>
                <w:bCs/>
                <w:sz w:val="18"/>
                <w:szCs w:val="18"/>
              </w:rPr>
              <w:t>Initial Year</w:t>
            </w:r>
          </w:p>
        </w:tc>
        <w:tc>
          <w:tcPr>
            <w:tcW w:w="803" w:type="dxa"/>
            <w:tcMar>
              <w:left w:w="14" w:type="dxa"/>
              <w:right w:w="14" w:type="dxa"/>
            </w:tcMar>
            <w:hideMark/>
          </w:tcPr>
          <w:p w14:paraId="196CC99C" w14:textId="77777777" w:rsidR="00B367FB" w:rsidRPr="000973F2" w:rsidRDefault="00B367FB" w:rsidP="005029DF">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18"/>
                <w:szCs w:val="18"/>
              </w:rPr>
            </w:pPr>
            <w:r w:rsidRPr="000973F2">
              <w:rPr>
                <w:rFonts w:ascii="Times New Roman" w:eastAsia="Times New Roman" w:hAnsi="Times New Roman" w:cs="Times New Roman"/>
                <w:b/>
                <w:bCs/>
                <w:sz w:val="18"/>
                <w:szCs w:val="18"/>
              </w:rPr>
              <w:t>Subseq. Year</w:t>
            </w:r>
          </w:p>
        </w:tc>
      </w:tr>
      <w:tr w:rsidR="00F40901" w:rsidRPr="000973F2" w14:paraId="56EF303E" w14:textId="77777777" w:rsidTr="005029DF">
        <w:trPr>
          <w:cantSplit/>
        </w:trPr>
        <w:tc>
          <w:tcPr>
            <w:cnfStyle w:val="001000000000" w:firstRow="0" w:lastRow="0" w:firstColumn="1" w:lastColumn="0" w:oddVBand="0" w:evenVBand="0" w:oddHBand="0" w:evenHBand="0" w:firstRowFirstColumn="0" w:firstRowLastColumn="0" w:lastRowFirstColumn="0" w:lastRowLastColumn="0"/>
            <w:tcW w:w="1335" w:type="dxa"/>
            <w:hideMark/>
          </w:tcPr>
          <w:p w14:paraId="10D4CE64" w14:textId="77777777" w:rsidR="00B367FB" w:rsidRPr="000973F2" w:rsidRDefault="00B367FB" w:rsidP="005029DF">
            <w:pPr>
              <w:spacing w:before="40" w:after="4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Planning</w:t>
            </w:r>
          </w:p>
        </w:tc>
        <w:tc>
          <w:tcPr>
            <w:tcW w:w="798" w:type="dxa"/>
            <w:noWrap/>
            <w:hideMark/>
          </w:tcPr>
          <w:p w14:paraId="4EFE9D2E" w14:textId="77777777" w:rsidR="00B367FB" w:rsidRPr="000973F2" w:rsidRDefault="00B367FB" w:rsidP="005029DF">
            <w:pPr>
              <w:tabs>
                <w:tab w:val="decimal" w:pos="331"/>
              </w:tabs>
              <w:spacing w:before="40" w:after="4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0</w:t>
            </w:r>
          </w:p>
        </w:tc>
        <w:tc>
          <w:tcPr>
            <w:tcW w:w="799" w:type="dxa"/>
            <w:noWrap/>
            <w:hideMark/>
          </w:tcPr>
          <w:p w14:paraId="18E0D929" w14:textId="77777777" w:rsidR="00B367FB" w:rsidRPr="000973F2" w:rsidRDefault="00B367FB" w:rsidP="005029DF">
            <w:pPr>
              <w:tabs>
                <w:tab w:val="decimal" w:pos="331"/>
              </w:tabs>
              <w:spacing w:before="40" w:after="4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2</w:t>
            </w:r>
          </w:p>
        </w:tc>
        <w:tc>
          <w:tcPr>
            <w:tcW w:w="799" w:type="dxa"/>
            <w:noWrap/>
            <w:hideMark/>
          </w:tcPr>
          <w:p w14:paraId="04F7BF82" w14:textId="77777777" w:rsidR="00B367FB" w:rsidRPr="000973F2" w:rsidRDefault="00B367FB" w:rsidP="005029DF">
            <w:pPr>
              <w:tabs>
                <w:tab w:val="decimal" w:pos="331"/>
              </w:tabs>
              <w:spacing w:before="40" w:after="4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0</w:t>
            </w:r>
          </w:p>
        </w:tc>
        <w:tc>
          <w:tcPr>
            <w:tcW w:w="799" w:type="dxa"/>
            <w:noWrap/>
            <w:hideMark/>
          </w:tcPr>
          <w:p w14:paraId="2F7A87E3" w14:textId="77777777" w:rsidR="00B367FB" w:rsidRPr="000973F2" w:rsidRDefault="00B367FB" w:rsidP="005029DF">
            <w:pPr>
              <w:tabs>
                <w:tab w:val="decimal" w:pos="331"/>
              </w:tabs>
              <w:spacing w:before="40" w:after="4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1.0</w:t>
            </w:r>
          </w:p>
        </w:tc>
        <w:tc>
          <w:tcPr>
            <w:tcW w:w="798" w:type="dxa"/>
            <w:noWrap/>
            <w:hideMark/>
          </w:tcPr>
          <w:p w14:paraId="0ABBE902" w14:textId="77777777" w:rsidR="00B367FB" w:rsidRPr="000973F2" w:rsidRDefault="00B367FB" w:rsidP="005029DF">
            <w:pPr>
              <w:tabs>
                <w:tab w:val="decimal" w:pos="331"/>
              </w:tabs>
              <w:spacing w:before="40" w:after="4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0</w:t>
            </w:r>
          </w:p>
        </w:tc>
        <w:tc>
          <w:tcPr>
            <w:tcW w:w="799" w:type="dxa"/>
            <w:noWrap/>
            <w:hideMark/>
          </w:tcPr>
          <w:p w14:paraId="65E6A786" w14:textId="77777777" w:rsidR="00B367FB" w:rsidRPr="000973F2" w:rsidRDefault="00B367FB" w:rsidP="005029DF">
            <w:pPr>
              <w:tabs>
                <w:tab w:val="decimal" w:pos="331"/>
              </w:tabs>
              <w:spacing w:before="40" w:after="4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1.0</w:t>
            </w:r>
          </w:p>
        </w:tc>
        <w:tc>
          <w:tcPr>
            <w:tcW w:w="799" w:type="dxa"/>
            <w:noWrap/>
            <w:hideMark/>
          </w:tcPr>
          <w:p w14:paraId="5CB5A98D" w14:textId="77777777" w:rsidR="00B367FB" w:rsidRPr="000973F2" w:rsidRDefault="00B367FB" w:rsidP="005029DF">
            <w:pPr>
              <w:tabs>
                <w:tab w:val="decimal" w:pos="331"/>
              </w:tabs>
              <w:spacing w:before="40" w:after="4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0</w:t>
            </w:r>
          </w:p>
        </w:tc>
        <w:tc>
          <w:tcPr>
            <w:tcW w:w="799" w:type="dxa"/>
            <w:noWrap/>
            <w:hideMark/>
          </w:tcPr>
          <w:p w14:paraId="40367950" w14:textId="77777777" w:rsidR="00B367FB" w:rsidRPr="000973F2" w:rsidRDefault="00B367FB" w:rsidP="005029DF">
            <w:pPr>
              <w:tabs>
                <w:tab w:val="decimal" w:pos="331"/>
              </w:tabs>
              <w:spacing w:before="40" w:after="4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0</w:t>
            </w:r>
          </w:p>
        </w:tc>
        <w:tc>
          <w:tcPr>
            <w:tcW w:w="802" w:type="dxa"/>
            <w:noWrap/>
            <w:hideMark/>
          </w:tcPr>
          <w:p w14:paraId="04D8CBE8" w14:textId="77777777" w:rsidR="00B367FB" w:rsidRPr="000973F2" w:rsidRDefault="00B367FB" w:rsidP="005029DF">
            <w:pPr>
              <w:tabs>
                <w:tab w:val="decimal" w:pos="421"/>
              </w:tabs>
              <w:spacing w:before="40" w:after="4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 xml:space="preserve">$0 </w:t>
            </w:r>
          </w:p>
        </w:tc>
        <w:tc>
          <w:tcPr>
            <w:tcW w:w="803" w:type="dxa"/>
            <w:noWrap/>
            <w:hideMark/>
          </w:tcPr>
          <w:p w14:paraId="0C132E98" w14:textId="062DE55D" w:rsidR="00B367FB" w:rsidRPr="000973F2" w:rsidRDefault="00B367FB" w:rsidP="005029DF">
            <w:pPr>
              <w:tabs>
                <w:tab w:val="decimal" w:pos="526"/>
              </w:tabs>
              <w:spacing w:before="40" w:after="4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$383</w:t>
            </w:r>
          </w:p>
        </w:tc>
      </w:tr>
      <w:tr w:rsidR="00B367FB" w:rsidRPr="000973F2" w14:paraId="1FB5020F" w14:textId="77777777" w:rsidTr="005029DF">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1335" w:type="dxa"/>
            <w:hideMark/>
          </w:tcPr>
          <w:p w14:paraId="311AAF1D" w14:textId="77777777" w:rsidR="00B367FB" w:rsidRPr="000973F2" w:rsidRDefault="00B367FB" w:rsidP="005029DF">
            <w:pPr>
              <w:spacing w:before="40" w:after="4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QA/QC</w:t>
            </w:r>
          </w:p>
        </w:tc>
        <w:tc>
          <w:tcPr>
            <w:tcW w:w="798" w:type="dxa"/>
            <w:noWrap/>
            <w:hideMark/>
          </w:tcPr>
          <w:p w14:paraId="67BCB749" w14:textId="77777777" w:rsidR="00B367FB" w:rsidRPr="000973F2" w:rsidRDefault="00B367FB" w:rsidP="005029DF">
            <w:pPr>
              <w:tabs>
                <w:tab w:val="decimal" w:pos="331"/>
              </w:tabs>
              <w:spacing w:before="40" w:after="4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0</w:t>
            </w:r>
          </w:p>
        </w:tc>
        <w:tc>
          <w:tcPr>
            <w:tcW w:w="799" w:type="dxa"/>
            <w:noWrap/>
            <w:hideMark/>
          </w:tcPr>
          <w:p w14:paraId="4DD05DDC" w14:textId="77777777" w:rsidR="00B367FB" w:rsidRPr="000973F2" w:rsidRDefault="00B367FB" w:rsidP="005029DF">
            <w:pPr>
              <w:tabs>
                <w:tab w:val="decimal" w:pos="331"/>
              </w:tabs>
              <w:spacing w:before="40" w:after="4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0</w:t>
            </w:r>
          </w:p>
        </w:tc>
        <w:tc>
          <w:tcPr>
            <w:tcW w:w="799" w:type="dxa"/>
            <w:noWrap/>
            <w:hideMark/>
          </w:tcPr>
          <w:p w14:paraId="4DADA1CE" w14:textId="77777777" w:rsidR="00B367FB" w:rsidRPr="000973F2" w:rsidRDefault="00B367FB" w:rsidP="005029DF">
            <w:pPr>
              <w:tabs>
                <w:tab w:val="decimal" w:pos="331"/>
              </w:tabs>
              <w:spacing w:before="40" w:after="4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0</w:t>
            </w:r>
          </w:p>
        </w:tc>
        <w:tc>
          <w:tcPr>
            <w:tcW w:w="799" w:type="dxa"/>
            <w:noWrap/>
            <w:hideMark/>
          </w:tcPr>
          <w:p w14:paraId="1925305C" w14:textId="77777777" w:rsidR="00B367FB" w:rsidRPr="000973F2" w:rsidRDefault="00B367FB" w:rsidP="005029DF">
            <w:pPr>
              <w:tabs>
                <w:tab w:val="decimal" w:pos="331"/>
              </w:tabs>
              <w:spacing w:before="40" w:after="4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5.0</w:t>
            </w:r>
          </w:p>
        </w:tc>
        <w:tc>
          <w:tcPr>
            <w:tcW w:w="798" w:type="dxa"/>
            <w:noWrap/>
            <w:hideMark/>
          </w:tcPr>
          <w:p w14:paraId="42BCE8B4" w14:textId="77777777" w:rsidR="00B367FB" w:rsidRPr="000973F2" w:rsidRDefault="00B367FB" w:rsidP="005029DF">
            <w:pPr>
              <w:tabs>
                <w:tab w:val="decimal" w:pos="331"/>
              </w:tabs>
              <w:spacing w:before="40" w:after="4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0</w:t>
            </w:r>
          </w:p>
        </w:tc>
        <w:tc>
          <w:tcPr>
            <w:tcW w:w="799" w:type="dxa"/>
            <w:noWrap/>
            <w:hideMark/>
          </w:tcPr>
          <w:p w14:paraId="64380C78" w14:textId="77777777" w:rsidR="00B367FB" w:rsidRPr="000973F2" w:rsidRDefault="00B367FB" w:rsidP="005029DF">
            <w:pPr>
              <w:tabs>
                <w:tab w:val="decimal" w:pos="331"/>
              </w:tabs>
              <w:spacing w:before="40" w:after="4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0</w:t>
            </w:r>
          </w:p>
        </w:tc>
        <w:tc>
          <w:tcPr>
            <w:tcW w:w="799" w:type="dxa"/>
            <w:noWrap/>
            <w:hideMark/>
          </w:tcPr>
          <w:p w14:paraId="55433195" w14:textId="77777777" w:rsidR="00B367FB" w:rsidRPr="000973F2" w:rsidRDefault="00B367FB" w:rsidP="005029DF">
            <w:pPr>
              <w:tabs>
                <w:tab w:val="decimal" w:pos="331"/>
              </w:tabs>
              <w:spacing w:before="40" w:after="4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0</w:t>
            </w:r>
          </w:p>
        </w:tc>
        <w:tc>
          <w:tcPr>
            <w:tcW w:w="799" w:type="dxa"/>
            <w:noWrap/>
            <w:hideMark/>
          </w:tcPr>
          <w:p w14:paraId="0DD200BE" w14:textId="77777777" w:rsidR="00B367FB" w:rsidRPr="000973F2" w:rsidRDefault="00B367FB" w:rsidP="005029DF">
            <w:pPr>
              <w:tabs>
                <w:tab w:val="decimal" w:pos="331"/>
              </w:tabs>
              <w:spacing w:before="40" w:after="4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0</w:t>
            </w:r>
          </w:p>
        </w:tc>
        <w:tc>
          <w:tcPr>
            <w:tcW w:w="802" w:type="dxa"/>
            <w:noWrap/>
            <w:hideMark/>
          </w:tcPr>
          <w:p w14:paraId="4C7323CF" w14:textId="77777777" w:rsidR="00B367FB" w:rsidRPr="000973F2" w:rsidRDefault="00B367FB" w:rsidP="005029DF">
            <w:pPr>
              <w:tabs>
                <w:tab w:val="decimal" w:pos="421"/>
              </w:tabs>
              <w:spacing w:before="40" w:after="4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 xml:space="preserve">$0 </w:t>
            </w:r>
          </w:p>
        </w:tc>
        <w:tc>
          <w:tcPr>
            <w:tcW w:w="803" w:type="dxa"/>
            <w:noWrap/>
            <w:hideMark/>
          </w:tcPr>
          <w:p w14:paraId="78318B2C" w14:textId="29C4D66F" w:rsidR="00B367FB" w:rsidRPr="000973F2" w:rsidRDefault="00B367FB" w:rsidP="005029DF">
            <w:pPr>
              <w:tabs>
                <w:tab w:val="decimal" w:pos="526"/>
              </w:tabs>
              <w:spacing w:before="40" w:after="4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$437</w:t>
            </w:r>
          </w:p>
        </w:tc>
      </w:tr>
      <w:tr w:rsidR="00F40901" w:rsidRPr="000973F2" w14:paraId="5BB5A080" w14:textId="77777777" w:rsidTr="005029DF">
        <w:trPr>
          <w:cantSplit/>
        </w:trPr>
        <w:tc>
          <w:tcPr>
            <w:cnfStyle w:val="001000000000" w:firstRow="0" w:lastRow="0" w:firstColumn="1" w:lastColumn="0" w:oddVBand="0" w:evenVBand="0" w:oddHBand="0" w:evenHBand="0" w:firstRowFirstColumn="0" w:firstRowLastColumn="0" w:lastRowFirstColumn="0" w:lastRowLastColumn="0"/>
            <w:tcW w:w="1335" w:type="dxa"/>
            <w:hideMark/>
          </w:tcPr>
          <w:p w14:paraId="7E1CC2A7" w14:textId="77777777" w:rsidR="00B367FB" w:rsidRPr="000973F2" w:rsidRDefault="00B367FB" w:rsidP="005029DF">
            <w:pPr>
              <w:spacing w:before="40" w:after="4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Recordkeeping</w:t>
            </w:r>
          </w:p>
        </w:tc>
        <w:tc>
          <w:tcPr>
            <w:tcW w:w="798" w:type="dxa"/>
            <w:noWrap/>
            <w:hideMark/>
          </w:tcPr>
          <w:p w14:paraId="30646C44" w14:textId="77777777" w:rsidR="00B367FB" w:rsidRPr="000973F2" w:rsidRDefault="00B367FB" w:rsidP="005029DF">
            <w:pPr>
              <w:tabs>
                <w:tab w:val="decimal" w:pos="331"/>
              </w:tabs>
              <w:spacing w:before="40" w:after="4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0</w:t>
            </w:r>
          </w:p>
        </w:tc>
        <w:tc>
          <w:tcPr>
            <w:tcW w:w="799" w:type="dxa"/>
            <w:noWrap/>
            <w:hideMark/>
          </w:tcPr>
          <w:p w14:paraId="179A4040" w14:textId="77777777" w:rsidR="00B367FB" w:rsidRPr="000973F2" w:rsidRDefault="00B367FB" w:rsidP="005029DF">
            <w:pPr>
              <w:tabs>
                <w:tab w:val="decimal" w:pos="331"/>
              </w:tabs>
              <w:spacing w:before="40" w:after="4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0</w:t>
            </w:r>
          </w:p>
        </w:tc>
        <w:tc>
          <w:tcPr>
            <w:tcW w:w="799" w:type="dxa"/>
            <w:noWrap/>
            <w:hideMark/>
          </w:tcPr>
          <w:p w14:paraId="139F9F09" w14:textId="77777777" w:rsidR="00B367FB" w:rsidRPr="000973F2" w:rsidRDefault="00B367FB" w:rsidP="005029DF">
            <w:pPr>
              <w:tabs>
                <w:tab w:val="decimal" w:pos="331"/>
              </w:tabs>
              <w:spacing w:before="40" w:after="4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0</w:t>
            </w:r>
          </w:p>
        </w:tc>
        <w:tc>
          <w:tcPr>
            <w:tcW w:w="799" w:type="dxa"/>
            <w:noWrap/>
            <w:hideMark/>
          </w:tcPr>
          <w:p w14:paraId="6DA4D031" w14:textId="77777777" w:rsidR="00B367FB" w:rsidRPr="000973F2" w:rsidRDefault="00B367FB" w:rsidP="005029DF">
            <w:pPr>
              <w:tabs>
                <w:tab w:val="decimal" w:pos="331"/>
              </w:tabs>
              <w:spacing w:before="40" w:after="4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1.0</w:t>
            </w:r>
          </w:p>
        </w:tc>
        <w:tc>
          <w:tcPr>
            <w:tcW w:w="798" w:type="dxa"/>
            <w:noWrap/>
            <w:hideMark/>
          </w:tcPr>
          <w:p w14:paraId="66D3E348" w14:textId="77777777" w:rsidR="00B367FB" w:rsidRPr="000973F2" w:rsidRDefault="00B367FB" w:rsidP="005029DF">
            <w:pPr>
              <w:tabs>
                <w:tab w:val="decimal" w:pos="331"/>
              </w:tabs>
              <w:spacing w:before="40" w:after="4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0</w:t>
            </w:r>
          </w:p>
        </w:tc>
        <w:tc>
          <w:tcPr>
            <w:tcW w:w="799" w:type="dxa"/>
            <w:noWrap/>
            <w:hideMark/>
          </w:tcPr>
          <w:p w14:paraId="69C3282E" w14:textId="77777777" w:rsidR="00B367FB" w:rsidRPr="000973F2" w:rsidRDefault="00B367FB" w:rsidP="005029DF">
            <w:pPr>
              <w:tabs>
                <w:tab w:val="decimal" w:pos="331"/>
              </w:tabs>
              <w:spacing w:before="40" w:after="4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13.0</w:t>
            </w:r>
          </w:p>
        </w:tc>
        <w:tc>
          <w:tcPr>
            <w:tcW w:w="799" w:type="dxa"/>
            <w:noWrap/>
            <w:hideMark/>
          </w:tcPr>
          <w:p w14:paraId="7EE9638B" w14:textId="77777777" w:rsidR="00B367FB" w:rsidRPr="000973F2" w:rsidRDefault="00B367FB" w:rsidP="005029DF">
            <w:pPr>
              <w:tabs>
                <w:tab w:val="decimal" w:pos="331"/>
              </w:tabs>
              <w:spacing w:before="40" w:after="4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0</w:t>
            </w:r>
          </w:p>
        </w:tc>
        <w:tc>
          <w:tcPr>
            <w:tcW w:w="799" w:type="dxa"/>
            <w:noWrap/>
            <w:hideMark/>
          </w:tcPr>
          <w:p w14:paraId="5A9CCED8" w14:textId="77777777" w:rsidR="00B367FB" w:rsidRPr="000973F2" w:rsidRDefault="00B367FB" w:rsidP="005029DF">
            <w:pPr>
              <w:tabs>
                <w:tab w:val="decimal" w:pos="331"/>
              </w:tabs>
              <w:spacing w:before="40" w:after="4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1.0</w:t>
            </w:r>
          </w:p>
        </w:tc>
        <w:tc>
          <w:tcPr>
            <w:tcW w:w="802" w:type="dxa"/>
            <w:noWrap/>
            <w:hideMark/>
          </w:tcPr>
          <w:p w14:paraId="4CB81E58" w14:textId="77777777" w:rsidR="00B367FB" w:rsidRPr="000973F2" w:rsidRDefault="00B367FB" w:rsidP="005029DF">
            <w:pPr>
              <w:tabs>
                <w:tab w:val="decimal" w:pos="421"/>
              </w:tabs>
              <w:spacing w:before="40" w:after="4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 xml:space="preserve">$0 </w:t>
            </w:r>
          </w:p>
        </w:tc>
        <w:tc>
          <w:tcPr>
            <w:tcW w:w="803" w:type="dxa"/>
            <w:noWrap/>
            <w:hideMark/>
          </w:tcPr>
          <w:p w14:paraId="4E70E2B2" w14:textId="7F633C42" w:rsidR="00B367FB" w:rsidRPr="000973F2" w:rsidRDefault="00B367FB" w:rsidP="005029DF">
            <w:pPr>
              <w:tabs>
                <w:tab w:val="decimal" w:pos="526"/>
              </w:tabs>
              <w:spacing w:before="40" w:after="4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$1,053</w:t>
            </w:r>
          </w:p>
        </w:tc>
      </w:tr>
      <w:tr w:rsidR="00B367FB" w:rsidRPr="000973F2" w14:paraId="5B7A3313" w14:textId="77777777" w:rsidTr="005029DF">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1335" w:type="dxa"/>
            <w:hideMark/>
          </w:tcPr>
          <w:p w14:paraId="61DB4689" w14:textId="77777777" w:rsidR="00B367FB" w:rsidRPr="000973F2" w:rsidRDefault="00B367FB" w:rsidP="005029DF">
            <w:pPr>
              <w:spacing w:before="40" w:after="4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Sampling and Analysis (Calculations)</w:t>
            </w:r>
          </w:p>
        </w:tc>
        <w:tc>
          <w:tcPr>
            <w:tcW w:w="798" w:type="dxa"/>
            <w:noWrap/>
            <w:hideMark/>
          </w:tcPr>
          <w:p w14:paraId="342DCF29" w14:textId="77777777" w:rsidR="00B367FB" w:rsidRPr="000973F2" w:rsidRDefault="00B367FB" w:rsidP="005029DF">
            <w:pPr>
              <w:tabs>
                <w:tab w:val="decimal" w:pos="331"/>
              </w:tabs>
              <w:spacing w:before="40" w:after="4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0</w:t>
            </w:r>
          </w:p>
        </w:tc>
        <w:tc>
          <w:tcPr>
            <w:tcW w:w="799" w:type="dxa"/>
            <w:noWrap/>
            <w:hideMark/>
          </w:tcPr>
          <w:p w14:paraId="5C71261E" w14:textId="77777777" w:rsidR="00B367FB" w:rsidRPr="000973F2" w:rsidRDefault="00B367FB" w:rsidP="005029DF">
            <w:pPr>
              <w:tabs>
                <w:tab w:val="decimal" w:pos="331"/>
              </w:tabs>
              <w:spacing w:before="40" w:after="4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0</w:t>
            </w:r>
          </w:p>
        </w:tc>
        <w:tc>
          <w:tcPr>
            <w:tcW w:w="799" w:type="dxa"/>
            <w:noWrap/>
            <w:hideMark/>
          </w:tcPr>
          <w:p w14:paraId="7BD03F03" w14:textId="77777777" w:rsidR="00B367FB" w:rsidRPr="000973F2" w:rsidRDefault="00B367FB" w:rsidP="005029DF">
            <w:pPr>
              <w:tabs>
                <w:tab w:val="decimal" w:pos="331"/>
              </w:tabs>
              <w:spacing w:before="40" w:after="4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0</w:t>
            </w:r>
          </w:p>
        </w:tc>
        <w:tc>
          <w:tcPr>
            <w:tcW w:w="799" w:type="dxa"/>
            <w:noWrap/>
            <w:hideMark/>
          </w:tcPr>
          <w:p w14:paraId="7F0E486D" w14:textId="77777777" w:rsidR="00B367FB" w:rsidRPr="000973F2" w:rsidRDefault="00B367FB" w:rsidP="005029DF">
            <w:pPr>
              <w:tabs>
                <w:tab w:val="decimal" w:pos="331"/>
              </w:tabs>
              <w:spacing w:before="40" w:after="4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0.6</w:t>
            </w:r>
          </w:p>
        </w:tc>
        <w:tc>
          <w:tcPr>
            <w:tcW w:w="798" w:type="dxa"/>
            <w:noWrap/>
            <w:hideMark/>
          </w:tcPr>
          <w:p w14:paraId="61FD84FE" w14:textId="77777777" w:rsidR="00B367FB" w:rsidRPr="000973F2" w:rsidRDefault="00B367FB" w:rsidP="005029DF">
            <w:pPr>
              <w:tabs>
                <w:tab w:val="decimal" w:pos="331"/>
              </w:tabs>
              <w:spacing w:before="40" w:after="4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0</w:t>
            </w:r>
          </w:p>
        </w:tc>
        <w:tc>
          <w:tcPr>
            <w:tcW w:w="799" w:type="dxa"/>
            <w:noWrap/>
            <w:hideMark/>
          </w:tcPr>
          <w:p w14:paraId="55E3E6CE" w14:textId="77777777" w:rsidR="00B367FB" w:rsidRPr="000973F2" w:rsidRDefault="00B367FB" w:rsidP="005029DF">
            <w:pPr>
              <w:tabs>
                <w:tab w:val="decimal" w:pos="331"/>
              </w:tabs>
              <w:spacing w:before="40" w:after="4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12.8</w:t>
            </w:r>
          </w:p>
        </w:tc>
        <w:tc>
          <w:tcPr>
            <w:tcW w:w="799" w:type="dxa"/>
            <w:noWrap/>
            <w:hideMark/>
          </w:tcPr>
          <w:p w14:paraId="231A4135" w14:textId="77777777" w:rsidR="00B367FB" w:rsidRPr="000973F2" w:rsidRDefault="00B367FB" w:rsidP="005029DF">
            <w:pPr>
              <w:tabs>
                <w:tab w:val="decimal" w:pos="331"/>
              </w:tabs>
              <w:spacing w:before="40" w:after="4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0</w:t>
            </w:r>
          </w:p>
        </w:tc>
        <w:tc>
          <w:tcPr>
            <w:tcW w:w="799" w:type="dxa"/>
            <w:noWrap/>
            <w:hideMark/>
          </w:tcPr>
          <w:p w14:paraId="414455F6" w14:textId="77777777" w:rsidR="00B367FB" w:rsidRPr="000973F2" w:rsidRDefault="00B367FB" w:rsidP="005029DF">
            <w:pPr>
              <w:tabs>
                <w:tab w:val="decimal" w:pos="331"/>
              </w:tabs>
              <w:spacing w:before="40" w:after="4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1.3</w:t>
            </w:r>
          </w:p>
        </w:tc>
        <w:tc>
          <w:tcPr>
            <w:tcW w:w="802" w:type="dxa"/>
            <w:noWrap/>
            <w:hideMark/>
          </w:tcPr>
          <w:p w14:paraId="75A291AF" w14:textId="77777777" w:rsidR="00B367FB" w:rsidRPr="000973F2" w:rsidRDefault="00B367FB" w:rsidP="005029DF">
            <w:pPr>
              <w:tabs>
                <w:tab w:val="decimal" w:pos="421"/>
              </w:tabs>
              <w:spacing w:before="40" w:after="4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 xml:space="preserve">$0 </w:t>
            </w:r>
          </w:p>
        </w:tc>
        <w:tc>
          <w:tcPr>
            <w:tcW w:w="803" w:type="dxa"/>
            <w:noWrap/>
            <w:hideMark/>
          </w:tcPr>
          <w:p w14:paraId="78BBE62D" w14:textId="1D0BAB50" w:rsidR="00B367FB" w:rsidRPr="000973F2" w:rsidRDefault="00B367FB" w:rsidP="005029DF">
            <w:pPr>
              <w:tabs>
                <w:tab w:val="decimal" w:pos="526"/>
              </w:tabs>
              <w:spacing w:before="40" w:after="4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$1,017</w:t>
            </w:r>
          </w:p>
        </w:tc>
      </w:tr>
      <w:tr w:rsidR="00F40901" w:rsidRPr="000973F2" w14:paraId="5247CADE" w14:textId="77777777" w:rsidTr="005029DF">
        <w:trPr>
          <w:cantSplit/>
        </w:trPr>
        <w:tc>
          <w:tcPr>
            <w:cnfStyle w:val="001000000000" w:firstRow="0" w:lastRow="0" w:firstColumn="1" w:lastColumn="0" w:oddVBand="0" w:evenVBand="0" w:oddHBand="0" w:evenHBand="0" w:firstRowFirstColumn="0" w:firstRowLastColumn="0" w:lastRowFirstColumn="0" w:lastRowLastColumn="0"/>
            <w:tcW w:w="1335" w:type="dxa"/>
            <w:hideMark/>
          </w:tcPr>
          <w:p w14:paraId="7A063AF0" w14:textId="77777777" w:rsidR="00B367FB" w:rsidRPr="000973F2" w:rsidRDefault="00B367FB" w:rsidP="005029DF">
            <w:pPr>
              <w:spacing w:before="40" w:after="4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Reporting</w:t>
            </w:r>
          </w:p>
        </w:tc>
        <w:tc>
          <w:tcPr>
            <w:tcW w:w="798" w:type="dxa"/>
            <w:noWrap/>
            <w:hideMark/>
          </w:tcPr>
          <w:p w14:paraId="5C0FFDA0" w14:textId="77777777" w:rsidR="00B367FB" w:rsidRPr="000973F2" w:rsidRDefault="00B367FB" w:rsidP="005029DF">
            <w:pPr>
              <w:tabs>
                <w:tab w:val="decimal" w:pos="331"/>
              </w:tabs>
              <w:spacing w:before="40" w:after="4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0</w:t>
            </w:r>
          </w:p>
        </w:tc>
        <w:tc>
          <w:tcPr>
            <w:tcW w:w="799" w:type="dxa"/>
            <w:noWrap/>
            <w:hideMark/>
          </w:tcPr>
          <w:p w14:paraId="6C81C774" w14:textId="77777777" w:rsidR="00B367FB" w:rsidRPr="000973F2" w:rsidRDefault="00B367FB" w:rsidP="005029DF">
            <w:pPr>
              <w:tabs>
                <w:tab w:val="decimal" w:pos="331"/>
              </w:tabs>
              <w:spacing w:before="40" w:after="4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0</w:t>
            </w:r>
          </w:p>
        </w:tc>
        <w:tc>
          <w:tcPr>
            <w:tcW w:w="799" w:type="dxa"/>
            <w:noWrap/>
            <w:hideMark/>
          </w:tcPr>
          <w:p w14:paraId="49CD8F4C" w14:textId="77777777" w:rsidR="00B367FB" w:rsidRPr="000973F2" w:rsidRDefault="00B367FB" w:rsidP="005029DF">
            <w:pPr>
              <w:tabs>
                <w:tab w:val="decimal" w:pos="331"/>
              </w:tabs>
              <w:spacing w:before="40" w:after="4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0</w:t>
            </w:r>
          </w:p>
        </w:tc>
        <w:tc>
          <w:tcPr>
            <w:tcW w:w="799" w:type="dxa"/>
            <w:noWrap/>
            <w:hideMark/>
          </w:tcPr>
          <w:p w14:paraId="6DFF2EA6" w14:textId="77777777" w:rsidR="00B367FB" w:rsidRPr="000973F2" w:rsidRDefault="00B367FB" w:rsidP="005029DF">
            <w:pPr>
              <w:tabs>
                <w:tab w:val="decimal" w:pos="331"/>
              </w:tabs>
              <w:spacing w:before="40" w:after="4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2.0</w:t>
            </w:r>
          </w:p>
        </w:tc>
        <w:tc>
          <w:tcPr>
            <w:tcW w:w="798" w:type="dxa"/>
            <w:noWrap/>
            <w:hideMark/>
          </w:tcPr>
          <w:p w14:paraId="71AD808D" w14:textId="77777777" w:rsidR="00B367FB" w:rsidRPr="000973F2" w:rsidRDefault="00B367FB" w:rsidP="005029DF">
            <w:pPr>
              <w:tabs>
                <w:tab w:val="decimal" w:pos="331"/>
              </w:tabs>
              <w:spacing w:before="40" w:after="4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0</w:t>
            </w:r>
          </w:p>
        </w:tc>
        <w:tc>
          <w:tcPr>
            <w:tcW w:w="799" w:type="dxa"/>
            <w:noWrap/>
            <w:hideMark/>
          </w:tcPr>
          <w:p w14:paraId="282990F1" w14:textId="77777777" w:rsidR="00B367FB" w:rsidRPr="000973F2" w:rsidRDefault="00B367FB" w:rsidP="005029DF">
            <w:pPr>
              <w:tabs>
                <w:tab w:val="decimal" w:pos="331"/>
              </w:tabs>
              <w:spacing w:before="40" w:after="4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26.0</w:t>
            </w:r>
          </w:p>
        </w:tc>
        <w:tc>
          <w:tcPr>
            <w:tcW w:w="799" w:type="dxa"/>
            <w:noWrap/>
            <w:hideMark/>
          </w:tcPr>
          <w:p w14:paraId="5DAA40CB" w14:textId="77777777" w:rsidR="00B367FB" w:rsidRPr="000973F2" w:rsidRDefault="00B367FB" w:rsidP="005029DF">
            <w:pPr>
              <w:tabs>
                <w:tab w:val="decimal" w:pos="331"/>
              </w:tabs>
              <w:spacing w:before="40" w:after="4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0</w:t>
            </w:r>
          </w:p>
        </w:tc>
        <w:tc>
          <w:tcPr>
            <w:tcW w:w="799" w:type="dxa"/>
            <w:noWrap/>
            <w:hideMark/>
          </w:tcPr>
          <w:p w14:paraId="6784A461" w14:textId="77777777" w:rsidR="00B367FB" w:rsidRPr="000973F2" w:rsidRDefault="00B367FB" w:rsidP="005029DF">
            <w:pPr>
              <w:tabs>
                <w:tab w:val="decimal" w:pos="331"/>
              </w:tabs>
              <w:spacing w:before="40" w:after="4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2.0</w:t>
            </w:r>
          </w:p>
        </w:tc>
        <w:tc>
          <w:tcPr>
            <w:tcW w:w="802" w:type="dxa"/>
            <w:noWrap/>
            <w:hideMark/>
          </w:tcPr>
          <w:p w14:paraId="66A30802" w14:textId="77777777" w:rsidR="00B367FB" w:rsidRPr="000973F2" w:rsidRDefault="00B367FB" w:rsidP="005029DF">
            <w:pPr>
              <w:tabs>
                <w:tab w:val="decimal" w:pos="421"/>
              </w:tabs>
              <w:spacing w:before="40" w:after="4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 xml:space="preserve">$0 </w:t>
            </w:r>
          </w:p>
        </w:tc>
        <w:tc>
          <w:tcPr>
            <w:tcW w:w="803" w:type="dxa"/>
            <w:noWrap/>
            <w:hideMark/>
          </w:tcPr>
          <w:p w14:paraId="17772EB6" w14:textId="63B7CEF0" w:rsidR="00B367FB" w:rsidRPr="000973F2" w:rsidRDefault="00B367FB" w:rsidP="005029DF">
            <w:pPr>
              <w:tabs>
                <w:tab w:val="decimal" w:pos="526"/>
              </w:tabs>
              <w:spacing w:before="40" w:after="4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$2,105</w:t>
            </w:r>
          </w:p>
        </w:tc>
      </w:tr>
      <w:tr w:rsidR="00B367FB" w:rsidRPr="000973F2" w14:paraId="1095B8CC" w14:textId="77777777" w:rsidTr="005029DF">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1335" w:type="dxa"/>
            <w:noWrap/>
            <w:hideMark/>
          </w:tcPr>
          <w:p w14:paraId="273E7CD1" w14:textId="77777777" w:rsidR="00B367FB" w:rsidRPr="000973F2" w:rsidRDefault="00B367FB" w:rsidP="005029DF">
            <w:pPr>
              <w:spacing w:before="40" w:after="40"/>
              <w:rPr>
                <w:rFonts w:ascii="Times New Roman" w:eastAsia="Times New Roman" w:hAnsi="Times New Roman" w:cs="Times New Roman"/>
                <w:b/>
                <w:bCs w:val="0"/>
                <w:sz w:val="18"/>
                <w:szCs w:val="18"/>
              </w:rPr>
            </w:pPr>
            <w:r w:rsidRPr="000973F2">
              <w:rPr>
                <w:rFonts w:ascii="Times New Roman" w:eastAsia="Times New Roman" w:hAnsi="Times New Roman" w:cs="Times New Roman"/>
                <w:b/>
                <w:sz w:val="18"/>
                <w:szCs w:val="18"/>
              </w:rPr>
              <w:t>Total</w:t>
            </w:r>
          </w:p>
        </w:tc>
        <w:tc>
          <w:tcPr>
            <w:tcW w:w="798" w:type="dxa"/>
            <w:noWrap/>
            <w:hideMark/>
          </w:tcPr>
          <w:p w14:paraId="2347336C" w14:textId="77777777" w:rsidR="00B367FB" w:rsidRPr="000973F2" w:rsidRDefault="00B367FB" w:rsidP="005029DF">
            <w:pPr>
              <w:tabs>
                <w:tab w:val="decimal" w:pos="331"/>
              </w:tabs>
              <w:spacing w:before="40" w:after="4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18"/>
                <w:szCs w:val="18"/>
              </w:rPr>
            </w:pPr>
            <w:r w:rsidRPr="000973F2">
              <w:rPr>
                <w:rFonts w:ascii="Times New Roman" w:eastAsia="Times New Roman" w:hAnsi="Times New Roman" w:cs="Times New Roman"/>
                <w:b/>
                <w:bCs/>
                <w:sz w:val="18"/>
                <w:szCs w:val="18"/>
              </w:rPr>
              <w:t>0</w:t>
            </w:r>
          </w:p>
        </w:tc>
        <w:tc>
          <w:tcPr>
            <w:tcW w:w="799" w:type="dxa"/>
            <w:noWrap/>
            <w:hideMark/>
          </w:tcPr>
          <w:p w14:paraId="7D8C735F" w14:textId="77777777" w:rsidR="00B367FB" w:rsidRPr="000973F2" w:rsidRDefault="00B367FB" w:rsidP="005029DF">
            <w:pPr>
              <w:tabs>
                <w:tab w:val="decimal" w:pos="331"/>
              </w:tabs>
              <w:spacing w:before="40" w:after="4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18"/>
                <w:szCs w:val="18"/>
              </w:rPr>
            </w:pPr>
            <w:r w:rsidRPr="000973F2">
              <w:rPr>
                <w:rFonts w:ascii="Times New Roman" w:eastAsia="Times New Roman" w:hAnsi="Times New Roman" w:cs="Times New Roman"/>
                <w:b/>
                <w:bCs/>
                <w:sz w:val="18"/>
                <w:szCs w:val="18"/>
              </w:rPr>
              <w:t>2</w:t>
            </w:r>
          </w:p>
        </w:tc>
        <w:tc>
          <w:tcPr>
            <w:tcW w:w="799" w:type="dxa"/>
            <w:noWrap/>
            <w:hideMark/>
          </w:tcPr>
          <w:p w14:paraId="10330C1C" w14:textId="77777777" w:rsidR="00B367FB" w:rsidRPr="000973F2" w:rsidRDefault="00B367FB" w:rsidP="005029DF">
            <w:pPr>
              <w:tabs>
                <w:tab w:val="decimal" w:pos="331"/>
              </w:tabs>
              <w:spacing w:before="40" w:after="4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18"/>
                <w:szCs w:val="18"/>
              </w:rPr>
            </w:pPr>
            <w:r w:rsidRPr="000973F2">
              <w:rPr>
                <w:rFonts w:ascii="Times New Roman" w:eastAsia="Times New Roman" w:hAnsi="Times New Roman" w:cs="Times New Roman"/>
                <w:b/>
                <w:bCs/>
                <w:sz w:val="18"/>
                <w:szCs w:val="18"/>
              </w:rPr>
              <w:t>0</w:t>
            </w:r>
          </w:p>
        </w:tc>
        <w:tc>
          <w:tcPr>
            <w:tcW w:w="799" w:type="dxa"/>
            <w:noWrap/>
            <w:hideMark/>
          </w:tcPr>
          <w:p w14:paraId="116446BF" w14:textId="77777777" w:rsidR="00B367FB" w:rsidRPr="000973F2" w:rsidRDefault="00B367FB" w:rsidP="005029DF">
            <w:pPr>
              <w:tabs>
                <w:tab w:val="decimal" w:pos="331"/>
              </w:tabs>
              <w:spacing w:before="40" w:after="4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18"/>
                <w:szCs w:val="18"/>
              </w:rPr>
            </w:pPr>
            <w:r w:rsidRPr="000973F2">
              <w:rPr>
                <w:rFonts w:ascii="Times New Roman" w:eastAsia="Times New Roman" w:hAnsi="Times New Roman" w:cs="Times New Roman"/>
                <w:b/>
                <w:bCs/>
                <w:sz w:val="18"/>
                <w:szCs w:val="18"/>
              </w:rPr>
              <w:t>9.6</w:t>
            </w:r>
          </w:p>
        </w:tc>
        <w:tc>
          <w:tcPr>
            <w:tcW w:w="798" w:type="dxa"/>
            <w:noWrap/>
            <w:hideMark/>
          </w:tcPr>
          <w:p w14:paraId="4EFAC62F" w14:textId="77777777" w:rsidR="00B367FB" w:rsidRPr="000973F2" w:rsidRDefault="00B367FB" w:rsidP="005029DF">
            <w:pPr>
              <w:tabs>
                <w:tab w:val="decimal" w:pos="331"/>
              </w:tabs>
              <w:spacing w:before="40" w:after="4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18"/>
                <w:szCs w:val="18"/>
              </w:rPr>
            </w:pPr>
            <w:r w:rsidRPr="000973F2">
              <w:rPr>
                <w:rFonts w:ascii="Times New Roman" w:eastAsia="Times New Roman" w:hAnsi="Times New Roman" w:cs="Times New Roman"/>
                <w:b/>
                <w:bCs/>
                <w:sz w:val="18"/>
                <w:szCs w:val="18"/>
              </w:rPr>
              <w:t>0</w:t>
            </w:r>
          </w:p>
        </w:tc>
        <w:tc>
          <w:tcPr>
            <w:tcW w:w="799" w:type="dxa"/>
            <w:noWrap/>
            <w:hideMark/>
          </w:tcPr>
          <w:p w14:paraId="0591C6C7" w14:textId="77777777" w:rsidR="00B367FB" w:rsidRPr="000973F2" w:rsidRDefault="00B367FB" w:rsidP="005029DF">
            <w:pPr>
              <w:tabs>
                <w:tab w:val="decimal" w:pos="331"/>
              </w:tabs>
              <w:spacing w:before="40" w:after="4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18"/>
                <w:szCs w:val="18"/>
              </w:rPr>
            </w:pPr>
            <w:r w:rsidRPr="000973F2">
              <w:rPr>
                <w:rFonts w:ascii="Times New Roman" w:eastAsia="Times New Roman" w:hAnsi="Times New Roman" w:cs="Times New Roman"/>
                <w:b/>
                <w:bCs/>
                <w:sz w:val="18"/>
                <w:szCs w:val="18"/>
              </w:rPr>
              <w:t>52.8</w:t>
            </w:r>
          </w:p>
        </w:tc>
        <w:tc>
          <w:tcPr>
            <w:tcW w:w="799" w:type="dxa"/>
            <w:noWrap/>
            <w:hideMark/>
          </w:tcPr>
          <w:p w14:paraId="448381A1" w14:textId="77777777" w:rsidR="00B367FB" w:rsidRPr="000973F2" w:rsidRDefault="00B367FB" w:rsidP="005029DF">
            <w:pPr>
              <w:tabs>
                <w:tab w:val="decimal" w:pos="331"/>
              </w:tabs>
              <w:spacing w:before="40" w:after="4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18"/>
                <w:szCs w:val="18"/>
              </w:rPr>
            </w:pPr>
            <w:r w:rsidRPr="000973F2">
              <w:rPr>
                <w:rFonts w:ascii="Times New Roman" w:eastAsia="Times New Roman" w:hAnsi="Times New Roman" w:cs="Times New Roman"/>
                <w:b/>
                <w:bCs/>
                <w:sz w:val="18"/>
                <w:szCs w:val="18"/>
              </w:rPr>
              <w:t>0</w:t>
            </w:r>
          </w:p>
        </w:tc>
        <w:tc>
          <w:tcPr>
            <w:tcW w:w="799" w:type="dxa"/>
            <w:noWrap/>
            <w:hideMark/>
          </w:tcPr>
          <w:p w14:paraId="0410E651" w14:textId="77777777" w:rsidR="00B367FB" w:rsidRPr="000973F2" w:rsidRDefault="00B367FB" w:rsidP="005029DF">
            <w:pPr>
              <w:tabs>
                <w:tab w:val="decimal" w:pos="331"/>
              </w:tabs>
              <w:spacing w:before="40" w:after="4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18"/>
                <w:szCs w:val="18"/>
              </w:rPr>
            </w:pPr>
            <w:r w:rsidRPr="000973F2">
              <w:rPr>
                <w:rFonts w:ascii="Times New Roman" w:eastAsia="Times New Roman" w:hAnsi="Times New Roman" w:cs="Times New Roman"/>
                <w:b/>
                <w:bCs/>
                <w:sz w:val="18"/>
                <w:szCs w:val="18"/>
              </w:rPr>
              <w:t>4.3</w:t>
            </w:r>
          </w:p>
        </w:tc>
        <w:tc>
          <w:tcPr>
            <w:tcW w:w="802" w:type="dxa"/>
            <w:noWrap/>
            <w:hideMark/>
          </w:tcPr>
          <w:p w14:paraId="17606953" w14:textId="77777777" w:rsidR="00B367FB" w:rsidRPr="000973F2" w:rsidRDefault="00B367FB" w:rsidP="005029DF">
            <w:pPr>
              <w:tabs>
                <w:tab w:val="decimal" w:pos="421"/>
              </w:tabs>
              <w:spacing w:before="40" w:after="4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18"/>
                <w:szCs w:val="18"/>
              </w:rPr>
            </w:pPr>
            <w:r w:rsidRPr="000973F2">
              <w:rPr>
                <w:rFonts w:ascii="Times New Roman" w:eastAsia="Times New Roman" w:hAnsi="Times New Roman" w:cs="Times New Roman"/>
                <w:b/>
                <w:bCs/>
                <w:sz w:val="18"/>
                <w:szCs w:val="18"/>
              </w:rPr>
              <w:t xml:space="preserve">$0 </w:t>
            </w:r>
          </w:p>
        </w:tc>
        <w:tc>
          <w:tcPr>
            <w:tcW w:w="803" w:type="dxa"/>
            <w:noWrap/>
            <w:hideMark/>
          </w:tcPr>
          <w:p w14:paraId="68B55BF5" w14:textId="1D8AB3D7" w:rsidR="00B367FB" w:rsidRPr="000973F2" w:rsidRDefault="00B367FB" w:rsidP="005029DF">
            <w:pPr>
              <w:tabs>
                <w:tab w:val="decimal" w:pos="526"/>
              </w:tabs>
              <w:spacing w:before="40" w:after="4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18"/>
                <w:szCs w:val="18"/>
              </w:rPr>
            </w:pPr>
            <w:r w:rsidRPr="000973F2">
              <w:rPr>
                <w:rFonts w:ascii="Times New Roman" w:eastAsia="Times New Roman" w:hAnsi="Times New Roman" w:cs="Times New Roman"/>
                <w:b/>
                <w:bCs/>
                <w:sz w:val="18"/>
                <w:szCs w:val="18"/>
              </w:rPr>
              <w:t>$4,995</w:t>
            </w:r>
          </w:p>
        </w:tc>
      </w:tr>
    </w:tbl>
    <w:p w14:paraId="5ADF2813" w14:textId="77777777" w:rsidR="00B367FB" w:rsidRPr="000973F2" w:rsidRDefault="00B367FB" w:rsidP="00C330E2">
      <w:pPr>
        <w:pStyle w:val="AfterTable"/>
      </w:pPr>
    </w:p>
    <w:p w14:paraId="60DF3C9D" w14:textId="77777777" w:rsidR="0018658C" w:rsidRPr="000973F2" w:rsidRDefault="0018658C">
      <w:pPr>
        <w:rPr>
          <w:rFonts w:ascii="Times New Roman" w:hAnsi="Times New Roman" w:cs="Times New Roman"/>
          <w:b/>
          <w:i/>
        </w:rPr>
      </w:pPr>
      <w:r w:rsidRPr="000973F2">
        <w:br w:type="page"/>
      </w:r>
    </w:p>
    <w:p w14:paraId="3E11430F" w14:textId="059FDC9E" w:rsidR="00B367FB" w:rsidRPr="000973F2" w:rsidRDefault="00B367FB" w:rsidP="005029DF">
      <w:pPr>
        <w:pStyle w:val="Heading2"/>
      </w:pPr>
      <w:r w:rsidRPr="000973F2">
        <w:t>Capital and O&amp;M Costs for Subpart OO</w:t>
      </w:r>
    </w:p>
    <w:p w14:paraId="37466E57" w14:textId="025D7644" w:rsidR="00B367FB" w:rsidRPr="000973F2" w:rsidRDefault="00B367FB" w:rsidP="005029DF">
      <w:pPr>
        <w:pStyle w:val="BodyText"/>
      </w:pPr>
      <w:r w:rsidRPr="000973F2">
        <w:t xml:space="preserve">As shown in Table </w:t>
      </w:r>
      <w:r w:rsidR="005029DF" w:rsidRPr="000973F2">
        <w:t>OO-</w:t>
      </w:r>
      <w:r w:rsidRPr="000973F2">
        <w:t>2, each of the 86 facilities will incur an O&amp;M cost of $50 per year for recordkeeping, as discussed in the Cost Appendix Introduction. No capital costs are expected.</w:t>
      </w:r>
    </w:p>
    <w:p w14:paraId="2403DBEB" w14:textId="6C2FB79C" w:rsidR="00B367FB" w:rsidRPr="000973F2" w:rsidRDefault="00455015" w:rsidP="005029DF">
      <w:pPr>
        <w:pStyle w:val="Tabletitle"/>
      </w:pPr>
      <w:r w:rsidRPr="000973F2">
        <w:t xml:space="preserve">Table </w:t>
      </w:r>
      <w:r w:rsidR="005029DF" w:rsidRPr="000973F2">
        <w:t>OO-</w:t>
      </w:r>
      <w:r w:rsidRPr="000973F2">
        <w:t xml:space="preserve">2. Capital and O&amp;M Costs </w:t>
      </w:r>
      <w:r w:rsidR="00B960CC" w:rsidRPr="000973F2">
        <w:t>–</w:t>
      </w:r>
      <w:r w:rsidRPr="000973F2">
        <w:t xml:space="preserve"> Subpart OO</w:t>
      </w:r>
    </w:p>
    <w:tbl>
      <w:tblPr>
        <w:tblStyle w:val="PlainTable1"/>
        <w:tblW w:w="5000" w:type="pct"/>
        <w:jc w:val="left"/>
        <w:tblLayout w:type="fixed"/>
        <w:tblCellMar>
          <w:left w:w="115" w:type="dxa"/>
          <w:right w:w="115" w:type="dxa"/>
        </w:tblCellMar>
        <w:tblLook w:val="04A0" w:firstRow="1" w:lastRow="0" w:firstColumn="1" w:lastColumn="0" w:noHBand="0" w:noVBand="1"/>
      </w:tblPr>
      <w:tblGrid>
        <w:gridCol w:w="1558"/>
        <w:gridCol w:w="1338"/>
        <w:gridCol w:w="1339"/>
        <w:gridCol w:w="1338"/>
        <w:gridCol w:w="1350"/>
        <w:gridCol w:w="1328"/>
        <w:gridCol w:w="1339"/>
      </w:tblGrid>
      <w:tr w:rsidR="00D17312" w:rsidRPr="000973F2" w14:paraId="7EC6A979" w14:textId="77777777" w:rsidTr="0018658C">
        <w:trPr>
          <w:cnfStyle w:val="100000000000" w:firstRow="1" w:lastRow="0" w:firstColumn="0" w:lastColumn="0" w:oddVBand="0" w:evenVBand="0" w:oddHBand="0" w:evenHBand="0" w:firstRowFirstColumn="0" w:firstRowLastColumn="0" w:lastRowFirstColumn="0" w:lastRowLastColumn="0"/>
          <w:cantSplit/>
          <w:jc w:val="left"/>
        </w:trPr>
        <w:tc>
          <w:tcPr>
            <w:cnfStyle w:val="001000000000" w:firstRow="0" w:lastRow="0" w:firstColumn="1" w:lastColumn="0" w:oddVBand="0" w:evenVBand="0" w:oddHBand="0" w:evenHBand="0" w:firstRowFirstColumn="0" w:firstRowLastColumn="0" w:lastRowFirstColumn="0" w:lastRowLastColumn="0"/>
            <w:tcW w:w="1515" w:type="dxa"/>
            <w:vMerge w:val="restart"/>
            <w:noWrap/>
            <w:vAlign w:val="top"/>
            <w:hideMark/>
          </w:tcPr>
          <w:p w14:paraId="09EDE186" w14:textId="19E0F370" w:rsidR="00D17312" w:rsidRPr="000973F2" w:rsidRDefault="00D17312" w:rsidP="0018658C">
            <w:pPr>
              <w:spacing w:before="40" w:after="40"/>
              <w:rPr>
                <w:rFonts w:ascii="Times New Roman" w:eastAsia="Times New Roman" w:hAnsi="Times New Roman" w:cs="Times New Roman"/>
                <w:bCs w:val="0"/>
                <w:sz w:val="18"/>
                <w:szCs w:val="18"/>
              </w:rPr>
            </w:pPr>
            <w:r w:rsidRPr="000973F2">
              <w:rPr>
                <w:rFonts w:ascii="Times New Roman" w:eastAsia="Times New Roman" w:hAnsi="Times New Roman" w:cs="Times New Roman"/>
                <w:bCs w:val="0"/>
                <w:sz w:val="18"/>
                <w:szCs w:val="18"/>
              </w:rPr>
              <w:t>Activity</w:t>
            </w:r>
          </w:p>
        </w:tc>
        <w:tc>
          <w:tcPr>
            <w:tcW w:w="5220" w:type="dxa"/>
            <w:gridSpan w:val="4"/>
            <w:noWrap/>
            <w:vAlign w:val="top"/>
            <w:hideMark/>
          </w:tcPr>
          <w:p w14:paraId="05F175F3" w14:textId="77777777" w:rsidR="00D17312" w:rsidRPr="000973F2" w:rsidRDefault="00D17312" w:rsidP="0018658C">
            <w:pPr>
              <w:spacing w:before="40" w:after="40"/>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Cs w:val="0"/>
                <w:sz w:val="18"/>
                <w:szCs w:val="18"/>
              </w:rPr>
            </w:pPr>
            <w:r w:rsidRPr="000973F2">
              <w:rPr>
                <w:rFonts w:ascii="Times New Roman" w:eastAsia="Times New Roman" w:hAnsi="Times New Roman" w:cs="Times New Roman"/>
                <w:bCs w:val="0"/>
                <w:sz w:val="18"/>
                <w:szCs w:val="18"/>
              </w:rPr>
              <w:t>Cost Categories</w:t>
            </w:r>
          </w:p>
        </w:tc>
        <w:tc>
          <w:tcPr>
            <w:tcW w:w="2595" w:type="dxa"/>
            <w:gridSpan w:val="2"/>
            <w:vAlign w:val="top"/>
            <w:hideMark/>
          </w:tcPr>
          <w:p w14:paraId="1B469B75" w14:textId="77777777" w:rsidR="00D17312" w:rsidRPr="000973F2" w:rsidRDefault="00D17312" w:rsidP="0018658C">
            <w:pPr>
              <w:spacing w:before="40" w:after="40"/>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Cs w:val="0"/>
                <w:sz w:val="18"/>
                <w:szCs w:val="18"/>
              </w:rPr>
            </w:pPr>
            <w:r w:rsidRPr="000973F2">
              <w:rPr>
                <w:rFonts w:ascii="Times New Roman" w:eastAsia="Times New Roman" w:hAnsi="Times New Roman" w:cs="Times New Roman"/>
                <w:bCs w:val="0"/>
                <w:sz w:val="18"/>
                <w:szCs w:val="18"/>
              </w:rPr>
              <w:t>Total Capital and O&amp;M Cost per Year per Facility (2017$)</w:t>
            </w:r>
          </w:p>
        </w:tc>
      </w:tr>
      <w:tr w:rsidR="00D17312" w:rsidRPr="000973F2" w14:paraId="1E815C5B" w14:textId="77777777" w:rsidTr="0018658C">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1515" w:type="dxa"/>
            <w:vMerge/>
            <w:noWrap/>
            <w:hideMark/>
          </w:tcPr>
          <w:p w14:paraId="26607C39" w14:textId="4623CE0A" w:rsidR="00D17312" w:rsidRPr="000973F2" w:rsidRDefault="00D17312" w:rsidP="0018658C">
            <w:pPr>
              <w:spacing w:before="40" w:after="40"/>
              <w:jc w:val="center"/>
              <w:rPr>
                <w:rFonts w:ascii="Times New Roman" w:eastAsia="Times New Roman" w:hAnsi="Times New Roman" w:cs="Times New Roman"/>
                <w:b/>
                <w:bCs w:val="0"/>
                <w:sz w:val="18"/>
                <w:szCs w:val="18"/>
              </w:rPr>
            </w:pPr>
          </w:p>
        </w:tc>
        <w:tc>
          <w:tcPr>
            <w:tcW w:w="1302" w:type="dxa"/>
            <w:hideMark/>
          </w:tcPr>
          <w:p w14:paraId="5E8A5485" w14:textId="77777777" w:rsidR="00D17312" w:rsidRPr="000973F2" w:rsidRDefault="00D17312" w:rsidP="0018658C">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18"/>
                <w:szCs w:val="18"/>
              </w:rPr>
            </w:pPr>
            <w:r w:rsidRPr="000973F2">
              <w:rPr>
                <w:rFonts w:ascii="Times New Roman" w:eastAsia="Times New Roman" w:hAnsi="Times New Roman" w:cs="Times New Roman"/>
                <w:b/>
                <w:bCs/>
                <w:sz w:val="18"/>
                <w:szCs w:val="18"/>
              </w:rPr>
              <w:t>Capital Cost (2017$)</w:t>
            </w:r>
          </w:p>
        </w:tc>
        <w:tc>
          <w:tcPr>
            <w:tcW w:w="1303" w:type="dxa"/>
            <w:hideMark/>
          </w:tcPr>
          <w:p w14:paraId="7BD96CE5" w14:textId="77777777" w:rsidR="00D17312" w:rsidRPr="000973F2" w:rsidRDefault="00D17312" w:rsidP="0018658C">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18"/>
                <w:szCs w:val="18"/>
              </w:rPr>
            </w:pPr>
            <w:r w:rsidRPr="000973F2">
              <w:rPr>
                <w:rFonts w:ascii="Times New Roman" w:eastAsia="Times New Roman" w:hAnsi="Times New Roman" w:cs="Times New Roman"/>
                <w:b/>
                <w:bCs/>
                <w:sz w:val="18"/>
                <w:szCs w:val="18"/>
              </w:rPr>
              <w:t>Equipment Lifetime</w:t>
            </w:r>
          </w:p>
        </w:tc>
        <w:tc>
          <w:tcPr>
            <w:tcW w:w="1302" w:type="dxa"/>
            <w:hideMark/>
          </w:tcPr>
          <w:p w14:paraId="5F3393B0" w14:textId="77777777" w:rsidR="00D17312" w:rsidRPr="000973F2" w:rsidRDefault="00D17312" w:rsidP="0018658C">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18"/>
                <w:szCs w:val="18"/>
              </w:rPr>
            </w:pPr>
            <w:r w:rsidRPr="000973F2">
              <w:rPr>
                <w:rFonts w:ascii="Times New Roman" w:eastAsia="Times New Roman" w:hAnsi="Times New Roman" w:cs="Times New Roman"/>
                <w:b/>
                <w:bCs/>
                <w:sz w:val="18"/>
                <w:szCs w:val="18"/>
              </w:rPr>
              <w:t>Annualized Capital Cost (2017$/year)</w:t>
            </w:r>
          </w:p>
        </w:tc>
        <w:tc>
          <w:tcPr>
            <w:tcW w:w="1313" w:type="dxa"/>
            <w:hideMark/>
          </w:tcPr>
          <w:p w14:paraId="58B5A293" w14:textId="77777777" w:rsidR="00D17312" w:rsidRPr="000973F2" w:rsidRDefault="00D17312" w:rsidP="0018658C">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18"/>
                <w:szCs w:val="18"/>
              </w:rPr>
            </w:pPr>
            <w:r w:rsidRPr="000973F2">
              <w:rPr>
                <w:rFonts w:ascii="Times New Roman" w:eastAsia="Times New Roman" w:hAnsi="Times New Roman" w:cs="Times New Roman"/>
                <w:b/>
                <w:bCs/>
                <w:sz w:val="18"/>
                <w:szCs w:val="18"/>
              </w:rPr>
              <w:t>O&amp;M Costs (2017$/year)</w:t>
            </w:r>
          </w:p>
        </w:tc>
        <w:tc>
          <w:tcPr>
            <w:tcW w:w="1292" w:type="dxa"/>
            <w:hideMark/>
          </w:tcPr>
          <w:p w14:paraId="4B2AC0DC" w14:textId="77777777" w:rsidR="00D17312" w:rsidRPr="000973F2" w:rsidRDefault="00D17312" w:rsidP="0018658C">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18"/>
                <w:szCs w:val="18"/>
              </w:rPr>
            </w:pPr>
            <w:r w:rsidRPr="000973F2">
              <w:rPr>
                <w:rFonts w:ascii="Times New Roman" w:eastAsia="Times New Roman" w:hAnsi="Times New Roman" w:cs="Times New Roman"/>
                <w:b/>
                <w:bCs/>
                <w:sz w:val="18"/>
                <w:szCs w:val="18"/>
              </w:rPr>
              <w:t>Initial Year</w:t>
            </w:r>
          </w:p>
        </w:tc>
        <w:tc>
          <w:tcPr>
            <w:tcW w:w="1303" w:type="dxa"/>
            <w:hideMark/>
          </w:tcPr>
          <w:p w14:paraId="4235A17F" w14:textId="77777777" w:rsidR="00D17312" w:rsidRPr="000973F2" w:rsidRDefault="00D17312" w:rsidP="0018658C">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18"/>
                <w:szCs w:val="18"/>
              </w:rPr>
            </w:pPr>
            <w:r w:rsidRPr="000973F2">
              <w:rPr>
                <w:rFonts w:ascii="Times New Roman" w:eastAsia="Times New Roman" w:hAnsi="Times New Roman" w:cs="Times New Roman"/>
                <w:b/>
                <w:bCs/>
                <w:sz w:val="18"/>
                <w:szCs w:val="18"/>
              </w:rPr>
              <w:t>Subseq. Years</w:t>
            </w:r>
          </w:p>
        </w:tc>
      </w:tr>
      <w:tr w:rsidR="0018658C" w:rsidRPr="000973F2" w14:paraId="4261DC3F" w14:textId="77777777" w:rsidTr="0018658C">
        <w:trPr>
          <w:cantSplit/>
        </w:trPr>
        <w:tc>
          <w:tcPr>
            <w:cnfStyle w:val="001000000000" w:firstRow="0" w:lastRow="0" w:firstColumn="1" w:lastColumn="0" w:oddVBand="0" w:evenVBand="0" w:oddHBand="0" w:evenHBand="0" w:firstRowFirstColumn="0" w:firstRowLastColumn="0" w:lastRowFirstColumn="0" w:lastRowLastColumn="0"/>
            <w:tcW w:w="1515" w:type="dxa"/>
            <w:hideMark/>
          </w:tcPr>
          <w:p w14:paraId="63C0D304" w14:textId="77777777" w:rsidR="0018658C" w:rsidRPr="000973F2" w:rsidRDefault="0018658C" w:rsidP="0018658C">
            <w:pPr>
              <w:spacing w:before="40" w:after="4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Equipment (selection, purchase, installation)</w:t>
            </w:r>
          </w:p>
        </w:tc>
        <w:tc>
          <w:tcPr>
            <w:tcW w:w="1302" w:type="dxa"/>
            <w:noWrap/>
            <w:hideMark/>
          </w:tcPr>
          <w:p w14:paraId="776C36FD" w14:textId="0A37E2F3" w:rsidR="0018658C" w:rsidRPr="000973F2" w:rsidRDefault="0018658C" w:rsidP="0018658C">
            <w:pPr>
              <w:spacing w:before="40" w:after="4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w:t>
            </w:r>
          </w:p>
        </w:tc>
        <w:tc>
          <w:tcPr>
            <w:tcW w:w="1303" w:type="dxa"/>
            <w:noWrap/>
          </w:tcPr>
          <w:p w14:paraId="0D866F64" w14:textId="3B3CAC55" w:rsidR="0018658C" w:rsidRPr="000973F2" w:rsidRDefault="0018658C" w:rsidP="0018658C">
            <w:pPr>
              <w:spacing w:before="40" w:after="4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w:t>
            </w:r>
          </w:p>
        </w:tc>
        <w:tc>
          <w:tcPr>
            <w:tcW w:w="1302" w:type="dxa"/>
            <w:noWrap/>
            <w:hideMark/>
          </w:tcPr>
          <w:p w14:paraId="796BFCF5" w14:textId="068845E8" w:rsidR="0018658C" w:rsidRPr="000973F2" w:rsidRDefault="0018658C" w:rsidP="0018658C">
            <w:pPr>
              <w:spacing w:before="40" w:after="4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w:t>
            </w:r>
          </w:p>
        </w:tc>
        <w:tc>
          <w:tcPr>
            <w:tcW w:w="1313" w:type="dxa"/>
            <w:noWrap/>
            <w:hideMark/>
          </w:tcPr>
          <w:p w14:paraId="3ED43498" w14:textId="459152F2" w:rsidR="0018658C" w:rsidRPr="000973F2" w:rsidRDefault="0018658C" w:rsidP="0018658C">
            <w:pPr>
              <w:spacing w:before="40" w:after="4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w:t>
            </w:r>
          </w:p>
        </w:tc>
        <w:tc>
          <w:tcPr>
            <w:tcW w:w="1292" w:type="dxa"/>
            <w:noWrap/>
            <w:hideMark/>
          </w:tcPr>
          <w:p w14:paraId="6DF29324" w14:textId="7735A3CE" w:rsidR="0018658C" w:rsidRPr="000973F2" w:rsidRDefault="0018658C" w:rsidP="0018658C">
            <w:pPr>
              <w:spacing w:before="40" w:after="4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w:t>
            </w:r>
          </w:p>
        </w:tc>
        <w:tc>
          <w:tcPr>
            <w:tcW w:w="1303" w:type="dxa"/>
            <w:noWrap/>
            <w:hideMark/>
          </w:tcPr>
          <w:p w14:paraId="0E03C9D0" w14:textId="3874E546" w:rsidR="0018658C" w:rsidRPr="000973F2" w:rsidRDefault="0018658C" w:rsidP="0018658C">
            <w:pPr>
              <w:spacing w:before="40" w:after="4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w:t>
            </w:r>
          </w:p>
        </w:tc>
      </w:tr>
      <w:tr w:rsidR="0018658C" w:rsidRPr="000973F2" w14:paraId="3A4D1785" w14:textId="77777777" w:rsidTr="0018658C">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1515" w:type="dxa"/>
            <w:hideMark/>
          </w:tcPr>
          <w:p w14:paraId="3F4B32C1" w14:textId="77777777" w:rsidR="0018658C" w:rsidRPr="000973F2" w:rsidRDefault="0018658C" w:rsidP="0018658C">
            <w:pPr>
              <w:spacing w:before="40" w:after="4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Performance testing</w:t>
            </w:r>
          </w:p>
        </w:tc>
        <w:tc>
          <w:tcPr>
            <w:tcW w:w="1302" w:type="dxa"/>
            <w:noWrap/>
            <w:hideMark/>
          </w:tcPr>
          <w:p w14:paraId="42E6F619" w14:textId="2C405654" w:rsidR="0018658C" w:rsidRPr="000973F2" w:rsidRDefault="0018658C" w:rsidP="0018658C">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w:t>
            </w:r>
          </w:p>
        </w:tc>
        <w:tc>
          <w:tcPr>
            <w:tcW w:w="1303" w:type="dxa"/>
            <w:noWrap/>
          </w:tcPr>
          <w:p w14:paraId="317BEAB5" w14:textId="21AC0E39" w:rsidR="0018658C" w:rsidRPr="000973F2" w:rsidRDefault="0018658C" w:rsidP="0018658C">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w:t>
            </w:r>
          </w:p>
        </w:tc>
        <w:tc>
          <w:tcPr>
            <w:tcW w:w="1302" w:type="dxa"/>
            <w:noWrap/>
            <w:hideMark/>
          </w:tcPr>
          <w:p w14:paraId="79E8027C" w14:textId="3EA524C7" w:rsidR="0018658C" w:rsidRPr="000973F2" w:rsidRDefault="0018658C" w:rsidP="0018658C">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w:t>
            </w:r>
          </w:p>
        </w:tc>
        <w:tc>
          <w:tcPr>
            <w:tcW w:w="1313" w:type="dxa"/>
            <w:noWrap/>
            <w:hideMark/>
          </w:tcPr>
          <w:p w14:paraId="54B43BFE" w14:textId="5F3FEE46" w:rsidR="0018658C" w:rsidRPr="000973F2" w:rsidRDefault="0018658C" w:rsidP="0018658C">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w:t>
            </w:r>
          </w:p>
        </w:tc>
        <w:tc>
          <w:tcPr>
            <w:tcW w:w="1292" w:type="dxa"/>
            <w:noWrap/>
            <w:hideMark/>
          </w:tcPr>
          <w:p w14:paraId="216E5D50" w14:textId="4ADD22C7" w:rsidR="0018658C" w:rsidRPr="000973F2" w:rsidRDefault="0018658C" w:rsidP="0018658C">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w:t>
            </w:r>
          </w:p>
        </w:tc>
        <w:tc>
          <w:tcPr>
            <w:tcW w:w="1303" w:type="dxa"/>
            <w:noWrap/>
            <w:hideMark/>
          </w:tcPr>
          <w:p w14:paraId="21FE77F8" w14:textId="61F357AA" w:rsidR="0018658C" w:rsidRPr="000973F2" w:rsidRDefault="0018658C" w:rsidP="0018658C">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w:t>
            </w:r>
          </w:p>
        </w:tc>
      </w:tr>
      <w:tr w:rsidR="00B367FB" w:rsidRPr="000973F2" w14:paraId="08EFD714" w14:textId="77777777" w:rsidTr="0018658C">
        <w:trPr>
          <w:cantSplit/>
        </w:trPr>
        <w:tc>
          <w:tcPr>
            <w:cnfStyle w:val="001000000000" w:firstRow="0" w:lastRow="0" w:firstColumn="1" w:lastColumn="0" w:oddVBand="0" w:evenVBand="0" w:oddHBand="0" w:evenHBand="0" w:firstRowFirstColumn="0" w:firstRowLastColumn="0" w:lastRowFirstColumn="0" w:lastRowLastColumn="0"/>
            <w:tcW w:w="1515" w:type="dxa"/>
            <w:hideMark/>
          </w:tcPr>
          <w:p w14:paraId="3A8C2C86" w14:textId="77777777" w:rsidR="00B367FB" w:rsidRPr="000973F2" w:rsidRDefault="00B367FB" w:rsidP="0018658C">
            <w:pPr>
              <w:spacing w:before="40" w:after="4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Recordkeeping</w:t>
            </w:r>
          </w:p>
        </w:tc>
        <w:tc>
          <w:tcPr>
            <w:tcW w:w="1302" w:type="dxa"/>
            <w:noWrap/>
            <w:hideMark/>
          </w:tcPr>
          <w:p w14:paraId="2E94D70A" w14:textId="77777777" w:rsidR="00B367FB" w:rsidRPr="000973F2" w:rsidRDefault="00B367FB" w:rsidP="0018658C">
            <w:pPr>
              <w:spacing w:before="40" w:after="4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$0</w:t>
            </w:r>
          </w:p>
        </w:tc>
        <w:tc>
          <w:tcPr>
            <w:tcW w:w="1303" w:type="dxa"/>
            <w:noWrap/>
          </w:tcPr>
          <w:p w14:paraId="1F0A639E" w14:textId="77777777" w:rsidR="00B367FB" w:rsidRPr="000973F2" w:rsidRDefault="00B367FB" w:rsidP="0018658C">
            <w:pPr>
              <w:spacing w:before="40" w:after="4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p>
        </w:tc>
        <w:tc>
          <w:tcPr>
            <w:tcW w:w="1302" w:type="dxa"/>
            <w:noWrap/>
            <w:hideMark/>
          </w:tcPr>
          <w:p w14:paraId="6C9C54BA" w14:textId="77777777" w:rsidR="00B367FB" w:rsidRPr="000973F2" w:rsidRDefault="00B367FB" w:rsidP="0018658C">
            <w:pPr>
              <w:spacing w:before="40" w:after="4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$0</w:t>
            </w:r>
          </w:p>
        </w:tc>
        <w:tc>
          <w:tcPr>
            <w:tcW w:w="1313" w:type="dxa"/>
            <w:noWrap/>
            <w:hideMark/>
          </w:tcPr>
          <w:p w14:paraId="446B437B" w14:textId="77777777" w:rsidR="00B367FB" w:rsidRPr="000973F2" w:rsidRDefault="00B367FB" w:rsidP="0018658C">
            <w:pPr>
              <w:spacing w:before="40" w:after="4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$50</w:t>
            </w:r>
          </w:p>
        </w:tc>
        <w:tc>
          <w:tcPr>
            <w:tcW w:w="1292" w:type="dxa"/>
            <w:noWrap/>
            <w:hideMark/>
          </w:tcPr>
          <w:p w14:paraId="62088C57" w14:textId="77777777" w:rsidR="00B367FB" w:rsidRPr="000973F2" w:rsidRDefault="00B367FB" w:rsidP="0018658C">
            <w:pPr>
              <w:spacing w:before="40" w:after="4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$0</w:t>
            </w:r>
          </w:p>
        </w:tc>
        <w:tc>
          <w:tcPr>
            <w:tcW w:w="1303" w:type="dxa"/>
            <w:noWrap/>
            <w:hideMark/>
          </w:tcPr>
          <w:p w14:paraId="7CFCCA75" w14:textId="77777777" w:rsidR="00B367FB" w:rsidRPr="000973F2" w:rsidRDefault="00B367FB" w:rsidP="0018658C">
            <w:pPr>
              <w:spacing w:before="40" w:after="4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$50</w:t>
            </w:r>
          </w:p>
        </w:tc>
      </w:tr>
      <w:tr w:rsidR="0018658C" w:rsidRPr="000973F2" w14:paraId="617836A1" w14:textId="77777777" w:rsidTr="0018658C">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1515" w:type="dxa"/>
            <w:hideMark/>
          </w:tcPr>
          <w:p w14:paraId="741AD562" w14:textId="77777777" w:rsidR="0018658C" w:rsidRPr="000973F2" w:rsidRDefault="0018658C" w:rsidP="0018658C">
            <w:pPr>
              <w:spacing w:before="40" w:after="4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Travel</w:t>
            </w:r>
          </w:p>
        </w:tc>
        <w:tc>
          <w:tcPr>
            <w:tcW w:w="1302" w:type="dxa"/>
            <w:noWrap/>
            <w:hideMark/>
          </w:tcPr>
          <w:p w14:paraId="4478F681" w14:textId="203DFFB5" w:rsidR="0018658C" w:rsidRPr="000973F2" w:rsidRDefault="0018658C" w:rsidP="0018658C">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w:t>
            </w:r>
          </w:p>
        </w:tc>
        <w:tc>
          <w:tcPr>
            <w:tcW w:w="1303" w:type="dxa"/>
            <w:noWrap/>
          </w:tcPr>
          <w:p w14:paraId="6F958DE6" w14:textId="4AB1B26B" w:rsidR="0018658C" w:rsidRPr="000973F2" w:rsidRDefault="0018658C" w:rsidP="0018658C">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w:t>
            </w:r>
          </w:p>
        </w:tc>
        <w:tc>
          <w:tcPr>
            <w:tcW w:w="1302" w:type="dxa"/>
            <w:noWrap/>
            <w:hideMark/>
          </w:tcPr>
          <w:p w14:paraId="5771A4FE" w14:textId="6441F3BD" w:rsidR="0018658C" w:rsidRPr="000973F2" w:rsidRDefault="0018658C" w:rsidP="0018658C">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w:t>
            </w:r>
          </w:p>
        </w:tc>
        <w:tc>
          <w:tcPr>
            <w:tcW w:w="1313" w:type="dxa"/>
            <w:noWrap/>
            <w:hideMark/>
          </w:tcPr>
          <w:p w14:paraId="3DD3889A" w14:textId="6973233D" w:rsidR="0018658C" w:rsidRPr="000973F2" w:rsidRDefault="0018658C" w:rsidP="0018658C">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w:t>
            </w:r>
          </w:p>
        </w:tc>
        <w:tc>
          <w:tcPr>
            <w:tcW w:w="1292" w:type="dxa"/>
            <w:noWrap/>
            <w:hideMark/>
          </w:tcPr>
          <w:p w14:paraId="772C5E19" w14:textId="7FE78CDF" w:rsidR="0018658C" w:rsidRPr="000973F2" w:rsidRDefault="0018658C" w:rsidP="0018658C">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w:t>
            </w:r>
          </w:p>
        </w:tc>
        <w:tc>
          <w:tcPr>
            <w:tcW w:w="1303" w:type="dxa"/>
            <w:noWrap/>
            <w:hideMark/>
          </w:tcPr>
          <w:p w14:paraId="7C22E355" w14:textId="0E939375" w:rsidR="0018658C" w:rsidRPr="000973F2" w:rsidRDefault="0018658C" w:rsidP="0018658C">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w:t>
            </w:r>
          </w:p>
        </w:tc>
      </w:tr>
      <w:tr w:rsidR="0018658C" w:rsidRPr="000973F2" w14:paraId="492779FA" w14:textId="77777777" w:rsidTr="0018658C">
        <w:trPr>
          <w:cantSplit/>
        </w:trPr>
        <w:tc>
          <w:tcPr>
            <w:cnfStyle w:val="001000000000" w:firstRow="0" w:lastRow="0" w:firstColumn="1" w:lastColumn="0" w:oddVBand="0" w:evenVBand="0" w:oddHBand="0" w:evenHBand="0" w:firstRowFirstColumn="0" w:firstRowLastColumn="0" w:lastRowFirstColumn="0" w:lastRowLastColumn="0"/>
            <w:tcW w:w="1515" w:type="dxa"/>
            <w:hideMark/>
          </w:tcPr>
          <w:p w14:paraId="5BD496FA" w14:textId="031EB539" w:rsidR="0018658C" w:rsidRPr="000973F2" w:rsidRDefault="0018658C" w:rsidP="0018658C">
            <w:pPr>
              <w:spacing w:before="40" w:after="4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Sampling and Analysis Costs</w:t>
            </w:r>
          </w:p>
        </w:tc>
        <w:tc>
          <w:tcPr>
            <w:tcW w:w="1302" w:type="dxa"/>
            <w:noWrap/>
            <w:hideMark/>
          </w:tcPr>
          <w:p w14:paraId="05B0E285" w14:textId="3DB7AE97" w:rsidR="0018658C" w:rsidRPr="000973F2" w:rsidRDefault="0018658C" w:rsidP="0018658C">
            <w:pPr>
              <w:spacing w:before="40" w:after="4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w:t>
            </w:r>
          </w:p>
        </w:tc>
        <w:tc>
          <w:tcPr>
            <w:tcW w:w="1303" w:type="dxa"/>
            <w:noWrap/>
          </w:tcPr>
          <w:p w14:paraId="6DEEB8CB" w14:textId="1E168B5D" w:rsidR="0018658C" w:rsidRPr="000973F2" w:rsidRDefault="0018658C" w:rsidP="0018658C">
            <w:pPr>
              <w:spacing w:before="40" w:after="4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w:t>
            </w:r>
          </w:p>
        </w:tc>
        <w:tc>
          <w:tcPr>
            <w:tcW w:w="1302" w:type="dxa"/>
            <w:noWrap/>
            <w:hideMark/>
          </w:tcPr>
          <w:p w14:paraId="7A343196" w14:textId="4DCB44A4" w:rsidR="0018658C" w:rsidRPr="000973F2" w:rsidRDefault="0018658C" w:rsidP="0018658C">
            <w:pPr>
              <w:spacing w:before="40" w:after="4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w:t>
            </w:r>
          </w:p>
        </w:tc>
        <w:tc>
          <w:tcPr>
            <w:tcW w:w="1313" w:type="dxa"/>
            <w:noWrap/>
            <w:hideMark/>
          </w:tcPr>
          <w:p w14:paraId="3F5F52C9" w14:textId="1FB0AA87" w:rsidR="0018658C" w:rsidRPr="000973F2" w:rsidRDefault="0018658C" w:rsidP="0018658C">
            <w:pPr>
              <w:spacing w:before="40" w:after="4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w:t>
            </w:r>
          </w:p>
        </w:tc>
        <w:tc>
          <w:tcPr>
            <w:tcW w:w="1292" w:type="dxa"/>
            <w:noWrap/>
            <w:hideMark/>
          </w:tcPr>
          <w:p w14:paraId="46F7B645" w14:textId="3352EB6A" w:rsidR="0018658C" w:rsidRPr="000973F2" w:rsidRDefault="0018658C" w:rsidP="0018658C">
            <w:pPr>
              <w:spacing w:before="40" w:after="4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w:t>
            </w:r>
          </w:p>
        </w:tc>
        <w:tc>
          <w:tcPr>
            <w:tcW w:w="1303" w:type="dxa"/>
            <w:noWrap/>
            <w:hideMark/>
          </w:tcPr>
          <w:p w14:paraId="28185952" w14:textId="07E75FBC" w:rsidR="0018658C" w:rsidRPr="000973F2" w:rsidRDefault="0018658C" w:rsidP="0018658C">
            <w:pPr>
              <w:spacing w:before="40" w:after="4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w:t>
            </w:r>
          </w:p>
        </w:tc>
      </w:tr>
      <w:tr w:rsidR="00B367FB" w:rsidRPr="000973F2" w14:paraId="6326A20A" w14:textId="77777777" w:rsidTr="0018658C">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1515" w:type="dxa"/>
            <w:hideMark/>
          </w:tcPr>
          <w:p w14:paraId="0A7F47D6" w14:textId="77777777" w:rsidR="00B367FB" w:rsidRPr="000973F2" w:rsidRDefault="00B367FB" w:rsidP="0018658C">
            <w:pPr>
              <w:spacing w:before="40" w:after="40"/>
              <w:rPr>
                <w:rFonts w:ascii="Times New Roman" w:eastAsia="Times New Roman" w:hAnsi="Times New Roman" w:cs="Times New Roman"/>
                <w:b/>
                <w:bCs w:val="0"/>
                <w:sz w:val="18"/>
                <w:szCs w:val="18"/>
              </w:rPr>
            </w:pPr>
            <w:r w:rsidRPr="000973F2">
              <w:rPr>
                <w:rFonts w:ascii="Times New Roman" w:eastAsia="Times New Roman" w:hAnsi="Times New Roman" w:cs="Times New Roman"/>
                <w:b/>
                <w:sz w:val="18"/>
                <w:szCs w:val="18"/>
              </w:rPr>
              <w:t xml:space="preserve">Total </w:t>
            </w:r>
          </w:p>
        </w:tc>
        <w:tc>
          <w:tcPr>
            <w:tcW w:w="1302" w:type="dxa"/>
            <w:noWrap/>
            <w:hideMark/>
          </w:tcPr>
          <w:p w14:paraId="4FF39251" w14:textId="77777777" w:rsidR="00B367FB" w:rsidRPr="000973F2" w:rsidRDefault="00B367FB" w:rsidP="0018658C">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$0</w:t>
            </w:r>
          </w:p>
        </w:tc>
        <w:tc>
          <w:tcPr>
            <w:tcW w:w="1303" w:type="dxa"/>
            <w:noWrap/>
            <w:hideMark/>
          </w:tcPr>
          <w:p w14:paraId="4E410265" w14:textId="6F253B1C" w:rsidR="00B367FB" w:rsidRPr="000973F2" w:rsidRDefault="00B367FB" w:rsidP="0018658C">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p>
        </w:tc>
        <w:tc>
          <w:tcPr>
            <w:tcW w:w="1302" w:type="dxa"/>
            <w:noWrap/>
            <w:hideMark/>
          </w:tcPr>
          <w:p w14:paraId="2F05B5C8" w14:textId="77777777" w:rsidR="00B367FB" w:rsidRPr="000973F2" w:rsidRDefault="00B367FB" w:rsidP="0018658C">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$0</w:t>
            </w:r>
          </w:p>
        </w:tc>
        <w:tc>
          <w:tcPr>
            <w:tcW w:w="1313" w:type="dxa"/>
            <w:noWrap/>
            <w:hideMark/>
          </w:tcPr>
          <w:p w14:paraId="091B9260" w14:textId="77777777" w:rsidR="00B367FB" w:rsidRPr="000973F2" w:rsidRDefault="00B367FB" w:rsidP="0018658C">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$50</w:t>
            </w:r>
          </w:p>
        </w:tc>
        <w:tc>
          <w:tcPr>
            <w:tcW w:w="1292" w:type="dxa"/>
            <w:noWrap/>
            <w:hideMark/>
          </w:tcPr>
          <w:p w14:paraId="01CB22C1" w14:textId="77777777" w:rsidR="00B367FB" w:rsidRPr="000973F2" w:rsidRDefault="00B367FB" w:rsidP="0018658C">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$0</w:t>
            </w:r>
          </w:p>
        </w:tc>
        <w:tc>
          <w:tcPr>
            <w:tcW w:w="1303" w:type="dxa"/>
            <w:noWrap/>
            <w:hideMark/>
          </w:tcPr>
          <w:p w14:paraId="6900EA3A" w14:textId="77777777" w:rsidR="00B367FB" w:rsidRPr="000973F2" w:rsidRDefault="00B367FB" w:rsidP="0018658C">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$50</w:t>
            </w:r>
          </w:p>
        </w:tc>
      </w:tr>
    </w:tbl>
    <w:p w14:paraId="7C39A280" w14:textId="77777777" w:rsidR="0018658C" w:rsidRPr="000973F2" w:rsidRDefault="0018658C" w:rsidP="0018658C">
      <w:pPr>
        <w:pStyle w:val="AfterTable"/>
      </w:pPr>
    </w:p>
    <w:p w14:paraId="5C234AD9" w14:textId="3F88BFFA" w:rsidR="00B367FB" w:rsidRPr="000973F2" w:rsidRDefault="00B367FB" w:rsidP="0018658C">
      <w:pPr>
        <w:pStyle w:val="Heading2"/>
      </w:pPr>
      <w:r w:rsidRPr="000973F2">
        <w:t>Total Costs for Subpart OO</w:t>
      </w:r>
    </w:p>
    <w:p w14:paraId="50FB5247" w14:textId="1EB1CA14" w:rsidR="00672DFD" w:rsidRPr="000973F2" w:rsidRDefault="00B367FB" w:rsidP="0018658C">
      <w:pPr>
        <w:pStyle w:val="BodyText"/>
      </w:pPr>
      <w:r w:rsidRPr="000973F2">
        <w:t xml:space="preserve">The total industry costs related to Subpart OO are approximately $638,000 per year, for a total of $1,913,000 over the three-year period </w:t>
      </w:r>
      <w:r w:rsidR="008423C5" w:rsidRPr="000973F2">
        <w:t>covered by this</w:t>
      </w:r>
      <w:r w:rsidRPr="000973F2">
        <w:t xml:space="preserve"> ICR. 86 facilities are expected to report in 2019, 2020, and 2021.</w:t>
      </w:r>
      <w:r w:rsidR="00672DFD" w:rsidRPr="000973F2">
        <w:br w:type="page"/>
      </w:r>
    </w:p>
    <w:p w14:paraId="73B74876" w14:textId="25A22AEC" w:rsidR="00672DFD" w:rsidRPr="000973F2" w:rsidRDefault="00672DFD" w:rsidP="0018658C">
      <w:pPr>
        <w:pStyle w:val="Heading1"/>
      </w:pPr>
      <w:bookmarkStart w:id="69" w:name="_Toc10715631"/>
      <w:r w:rsidRPr="000973F2">
        <w:t>Cost Appendix</w:t>
      </w:r>
      <w:r w:rsidR="00C779C1" w:rsidRPr="000973F2">
        <w:t xml:space="preserve"> for</w:t>
      </w:r>
      <w:r w:rsidRPr="000973F2">
        <w:t xml:space="preserve"> Subpart PP – Suppliers of Carbon Dioxide</w:t>
      </w:r>
      <w:bookmarkEnd w:id="69"/>
    </w:p>
    <w:p w14:paraId="62592C16" w14:textId="77777777" w:rsidR="00672DFD" w:rsidRPr="000973F2" w:rsidRDefault="00672DFD" w:rsidP="0018658C">
      <w:pPr>
        <w:pStyle w:val="Heading2"/>
      </w:pPr>
      <w:r w:rsidRPr="000973F2">
        <w:t>Description of Subpart PP</w:t>
      </w:r>
    </w:p>
    <w:p w14:paraId="11FD2BF3" w14:textId="4C728604" w:rsidR="00672DFD" w:rsidRPr="000973F2" w:rsidRDefault="00672DFD" w:rsidP="0018658C">
      <w:pPr>
        <w:pStyle w:val="BodyText"/>
      </w:pPr>
      <w:r w:rsidRPr="000973F2">
        <w:t>For purposes of the GHGRP, Subpart PP requires reporting of GHG from facilities that capture CO</w:t>
      </w:r>
      <w:r w:rsidRPr="000973F2">
        <w:rPr>
          <w:vertAlign w:val="subscript"/>
        </w:rPr>
        <w:t>2</w:t>
      </w:r>
      <w:r w:rsidRPr="000973F2">
        <w:t xml:space="preserve"> from industrial sources or extract it from natural CO</w:t>
      </w:r>
      <w:r w:rsidRPr="000973F2">
        <w:rPr>
          <w:vertAlign w:val="subscript"/>
        </w:rPr>
        <w:t>2</w:t>
      </w:r>
      <w:r w:rsidRPr="000973F2">
        <w:t xml:space="preserve">-bearing formations for supply into the economy. In </w:t>
      </w:r>
      <w:r w:rsidR="008423C5" w:rsidRPr="000973F2">
        <w:t>RY</w:t>
      </w:r>
      <w:r w:rsidRPr="000973F2">
        <w:t>2017, most of the CO</w:t>
      </w:r>
      <w:r w:rsidRPr="000973F2">
        <w:rPr>
          <w:vertAlign w:val="subscript"/>
        </w:rPr>
        <w:t>2</w:t>
      </w:r>
      <w:r w:rsidRPr="000973F2">
        <w:t xml:space="preserve"> captured from industrial processes, and nearly all CO</w:t>
      </w:r>
      <w:r w:rsidRPr="000973F2">
        <w:rPr>
          <w:vertAlign w:val="subscript"/>
        </w:rPr>
        <w:t>2</w:t>
      </w:r>
      <w:r w:rsidRPr="000973F2">
        <w:t xml:space="preserve"> produced from natural sources, was used for enhanced oil and gas recovery. Food and beverage manufacturing was the second most common end use, followed by other end uses such as pulp and paper manufacturing, fire-fighting equipment, and metal fabrication.</w:t>
      </w:r>
    </w:p>
    <w:p w14:paraId="388BC898" w14:textId="608C37FE" w:rsidR="00672DFD" w:rsidRPr="000973F2" w:rsidRDefault="00672DFD" w:rsidP="0018658C">
      <w:pPr>
        <w:pStyle w:val="BodyText"/>
        <w:rPr>
          <w:i/>
          <w:iCs/>
        </w:rPr>
      </w:pPr>
      <w:bookmarkStart w:id="70" w:name="_Hlk520723800"/>
      <w:r w:rsidRPr="000973F2">
        <w:t xml:space="preserve">In </w:t>
      </w:r>
      <w:r w:rsidR="008423C5" w:rsidRPr="000973F2">
        <w:t>RY</w:t>
      </w:r>
      <w:r w:rsidRPr="000973F2">
        <w:t xml:space="preserve">2017, 131 facilities reported under Subpart PP, four fewer facilities than reported in 2016. No new facilities are expected to report during the </w:t>
      </w:r>
      <w:r w:rsidR="008423C5" w:rsidRPr="000973F2">
        <w:t>three-</w:t>
      </w:r>
      <w:r w:rsidRPr="000973F2">
        <w:t>year</w:t>
      </w:r>
      <w:r w:rsidR="000973F2">
        <w:t xml:space="preserve"> </w:t>
      </w:r>
      <w:r w:rsidR="008423C5" w:rsidRPr="000973F2">
        <w:t>period covered by this ICR</w:t>
      </w:r>
      <w:r w:rsidRPr="000973F2">
        <w:t>. No new facilities are expected because no new suppliers of CO</w:t>
      </w:r>
      <w:r w:rsidRPr="000973F2">
        <w:rPr>
          <w:vertAlign w:val="subscript"/>
        </w:rPr>
        <w:t xml:space="preserve">2 </w:t>
      </w:r>
      <w:r w:rsidRPr="000973F2">
        <w:t>are anticipated, and the number of facilities has minimally declined. Initial costs apply to new facilities; therefore, these costs are zero in the tables below.</w:t>
      </w:r>
      <w:bookmarkEnd w:id="70"/>
    </w:p>
    <w:p w14:paraId="659B355A" w14:textId="77777777" w:rsidR="00672DFD" w:rsidRPr="000973F2" w:rsidRDefault="00672DFD" w:rsidP="0018658C">
      <w:pPr>
        <w:pStyle w:val="Heading2"/>
      </w:pPr>
      <w:r w:rsidRPr="000973F2">
        <w:t>Labor Costs for Subpart PP</w:t>
      </w:r>
    </w:p>
    <w:p w14:paraId="0E5A9823" w14:textId="232203E7" w:rsidR="00672DFD" w:rsidRPr="000973F2" w:rsidRDefault="00672DFD" w:rsidP="0018658C">
      <w:pPr>
        <w:pStyle w:val="BodyText"/>
      </w:pPr>
      <w:bookmarkStart w:id="71" w:name="_Hlk520724812"/>
      <w:r w:rsidRPr="000973F2">
        <w:t xml:space="preserve">Table </w:t>
      </w:r>
      <w:r w:rsidR="0018658C" w:rsidRPr="000973F2">
        <w:t>PP-</w:t>
      </w:r>
      <w:r w:rsidRPr="000973F2">
        <w:t xml:space="preserve">1 below includes the labor hours for Subpart PP. Typical activities for each of the labor activities are discussed in the Cost Appendix Introduction. No labor hours for planning or QA/QC are expected. Recordkeeping and Reporting hours </w:t>
      </w:r>
      <w:r w:rsidR="002E2424" w:rsidRPr="000973F2">
        <w:t>are based on</w:t>
      </w:r>
      <w:r w:rsidRPr="000973F2">
        <w:t xml:space="preserve"> the “low bin</w:t>
      </w:r>
      <w:r w:rsidR="002E2424" w:rsidRPr="000973F2">
        <w:t>” designation</w:t>
      </w:r>
      <w:r w:rsidRPr="000973F2">
        <w:t xml:space="preserve">, as discussed in the Cost Appendix Introduction. Sampling and Analysis (Calculations) hours include completion of the measurements and calculations in Subpart PP, including calculation of </w:t>
      </w:r>
      <w:r w:rsidR="00953736" w:rsidRPr="000973F2">
        <w:t>CO</w:t>
      </w:r>
      <w:r w:rsidR="00953736" w:rsidRPr="000973F2">
        <w:rPr>
          <w:vertAlign w:val="subscript"/>
        </w:rPr>
        <w:t>2</w:t>
      </w:r>
      <w:r w:rsidRPr="000973F2">
        <w:t xml:space="preserve"> supply volumes.</w:t>
      </w:r>
    </w:p>
    <w:bookmarkEnd w:id="71"/>
    <w:p w14:paraId="2B3FFB91" w14:textId="6B4E3CA7" w:rsidR="00672DFD" w:rsidRPr="000973F2" w:rsidRDefault="006A2BE8" w:rsidP="0018658C">
      <w:pPr>
        <w:pStyle w:val="Tabletitle"/>
      </w:pPr>
      <w:r w:rsidRPr="000973F2">
        <w:t xml:space="preserve">Table </w:t>
      </w:r>
      <w:r w:rsidR="0018658C" w:rsidRPr="000973F2">
        <w:t>PP-</w:t>
      </w:r>
      <w:r w:rsidRPr="000973F2">
        <w:t xml:space="preserve">1. Labor Costs </w:t>
      </w:r>
      <w:r w:rsidR="00B960CC" w:rsidRPr="000973F2">
        <w:t>–</w:t>
      </w:r>
      <w:r w:rsidRPr="000973F2">
        <w:t xml:space="preserve"> </w:t>
      </w:r>
      <w:r w:rsidR="00672DFD" w:rsidRPr="000973F2">
        <w:t>Subpart PP</w:t>
      </w:r>
    </w:p>
    <w:tbl>
      <w:tblPr>
        <w:tblStyle w:val="PlainTable1"/>
        <w:tblW w:w="5000" w:type="pct"/>
        <w:jc w:val="left"/>
        <w:tblLayout w:type="fixed"/>
        <w:tblCellMar>
          <w:left w:w="115" w:type="dxa"/>
          <w:right w:w="115" w:type="dxa"/>
        </w:tblCellMar>
        <w:tblLook w:val="04A0" w:firstRow="1" w:lastRow="0" w:firstColumn="1" w:lastColumn="0" w:noHBand="0" w:noVBand="1"/>
      </w:tblPr>
      <w:tblGrid>
        <w:gridCol w:w="1371"/>
        <w:gridCol w:w="832"/>
        <w:gridCol w:w="832"/>
        <w:gridCol w:w="833"/>
        <w:gridCol w:w="833"/>
        <w:gridCol w:w="833"/>
        <w:gridCol w:w="833"/>
        <w:gridCol w:w="833"/>
        <w:gridCol w:w="833"/>
        <w:gridCol w:w="778"/>
        <w:gridCol w:w="779"/>
      </w:tblGrid>
      <w:tr w:rsidR="008F751E" w:rsidRPr="000973F2" w14:paraId="6C9E25DC" w14:textId="77777777" w:rsidTr="0018658C">
        <w:trPr>
          <w:cnfStyle w:val="100000000000" w:firstRow="1" w:lastRow="0" w:firstColumn="0" w:lastColumn="0" w:oddVBand="0" w:evenVBand="0" w:oddHBand="0" w:evenHBand="0" w:firstRowFirstColumn="0" w:firstRowLastColumn="0" w:lastRowFirstColumn="0" w:lastRowLastColumn="0"/>
          <w:cantSplit/>
          <w:jc w:val="left"/>
        </w:trPr>
        <w:tc>
          <w:tcPr>
            <w:cnfStyle w:val="001000000000" w:firstRow="0" w:lastRow="0" w:firstColumn="1" w:lastColumn="0" w:oddVBand="0" w:evenVBand="0" w:oddHBand="0" w:evenHBand="0" w:firstRowFirstColumn="0" w:firstRowLastColumn="0" w:lastRowFirstColumn="0" w:lastRowLastColumn="0"/>
            <w:tcW w:w="1335" w:type="dxa"/>
            <w:vMerge w:val="restart"/>
            <w:noWrap/>
            <w:vAlign w:val="top"/>
            <w:hideMark/>
          </w:tcPr>
          <w:p w14:paraId="50A2BAE6" w14:textId="77777777" w:rsidR="00672DFD" w:rsidRPr="000973F2" w:rsidRDefault="00672DFD" w:rsidP="0018658C">
            <w:pPr>
              <w:spacing w:before="40" w:after="40"/>
              <w:rPr>
                <w:rFonts w:ascii="Times New Roman" w:eastAsia="Times New Roman" w:hAnsi="Times New Roman" w:cs="Times New Roman"/>
                <w:b w:val="0"/>
                <w:bCs w:val="0"/>
                <w:sz w:val="18"/>
                <w:szCs w:val="18"/>
              </w:rPr>
            </w:pPr>
            <w:r w:rsidRPr="000973F2">
              <w:rPr>
                <w:rFonts w:ascii="Times New Roman" w:eastAsia="Times New Roman" w:hAnsi="Times New Roman" w:cs="Times New Roman"/>
                <w:sz w:val="18"/>
                <w:szCs w:val="18"/>
              </w:rPr>
              <w:t>Activity</w:t>
            </w:r>
          </w:p>
        </w:tc>
        <w:tc>
          <w:tcPr>
            <w:tcW w:w="6480" w:type="dxa"/>
            <w:gridSpan w:val="8"/>
            <w:noWrap/>
            <w:vAlign w:val="top"/>
            <w:hideMark/>
          </w:tcPr>
          <w:p w14:paraId="0DE8DF80" w14:textId="77777777" w:rsidR="00672DFD" w:rsidRPr="000973F2" w:rsidRDefault="00672DFD" w:rsidP="0018658C">
            <w:pPr>
              <w:spacing w:before="40" w:after="40"/>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bCs w:val="0"/>
                <w:sz w:val="18"/>
                <w:szCs w:val="18"/>
              </w:rPr>
            </w:pPr>
            <w:r w:rsidRPr="000973F2">
              <w:rPr>
                <w:rFonts w:ascii="Times New Roman" w:eastAsia="Times New Roman" w:hAnsi="Times New Roman" w:cs="Times New Roman"/>
                <w:sz w:val="18"/>
                <w:szCs w:val="18"/>
              </w:rPr>
              <w:t>Labor Rates (per hour)</w:t>
            </w:r>
          </w:p>
        </w:tc>
        <w:tc>
          <w:tcPr>
            <w:tcW w:w="1515" w:type="dxa"/>
            <w:gridSpan w:val="2"/>
            <w:vMerge w:val="restart"/>
            <w:vAlign w:val="top"/>
            <w:hideMark/>
          </w:tcPr>
          <w:p w14:paraId="39D2F217" w14:textId="77777777" w:rsidR="00672DFD" w:rsidRPr="000973F2" w:rsidRDefault="00672DFD" w:rsidP="0018658C">
            <w:pPr>
              <w:spacing w:before="40" w:after="40"/>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bCs w:val="0"/>
                <w:sz w:val="18"/>
                <w:szCs w:val="18"/>
              </w:rPr>
            </w:pPr>
            <w:r w:rsidRPr="000973F2">
              <w:rPr>
                <w:rFonts w:ascii="Times New Roman" w:eastAsia="Times New Roman" w:hAnsi="Times New Roman" w:cs="Times New Roman"/>
                <w:sz w:val="18"/>
                <w:szCs w:val="18"/>
              </w:rPr>
              <w:t>Total Labor Cost per Year per Facility (2017$)</w:t>
            </w:r>
          </w:p>
        </w:tc>
      </w:tr>
      <w:tr w:rsidR="008F751E" w:rsidRPr="000973F2" w14:paraId="4BE36CC0" w14:textId="77777777" w:rsidTr="0018658C">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1335" w:type="dxa"/>
            <w:vMerge/>
            <w:hideMark/>
          </w:tcPr>
          <w:p w14:paraId="0A1F4A08" w14:textId="77777777" w:rsidR="00672DFD" w:rsidRPr="000973F2" w:rsidRDefault="00672DFD" w:rsidP="0018658C">
            <w:pPr>
              <w:spacing w:before="40" w:after="40"/>
              <w:rPr>
                <w:rFonts w:ascii="Times New Roman" w:eastAsia="Times New Roman" w:hAnsi="Times New Roman" w:cs="Times New Roman"/>
                <w:b/>
                <w:bCs w:val="0"/>
                <w:sz w:val="18"/>
                <w:szCs w:val="18"/>
              </w:rPr>
            </w:pPr>
          </w:p>
        </w:tc>
        <w:tc>
          <w:tcPr>
            <w:tcW w:w="1620" w:type="dxa"/>
            <w:gridSpan w:val="2"/>
            <w:noWrap/>
            <w:hideMark/>
          </w:tcPr>
          <w:p w14:paraId="6D67D7F7" w14:textId="77777777" w:rsidR="00672DFD" w:rsidRPr="000973F2" w:rsidRDefault="00672DFD" w:rsidP="0018658C">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18"/>
                <w:szCs w:val="18"/>
              </w:rPr>
            </w:pPr>
            <w:r w:rsidRPr="000973F2">
              <w:rPr>
                <w:rFonts w:ascii="Times New Roman" w:eastAsia="Times New Roman" w:hAnsi="Times New Roman" w:cs="Times New Roman"/>
                <w:b/>
                <w:bCs/>
                <w:sz w:val="18"/>
                <w:szCs w:val="18"/>
              </w:rPr>
              <w:t>Lawyer</w:t>
            </w:r>
          </w:p>
        </w:tc>
        <w:tc>
          <w:tcPr>
            <w:tcW w:w="1620" w:type="dxa"/>
            <w:gridSpan w:val="2"/>
            <w:noWrap/>
            <w:hideMark/>
          </w:tcPr>
          <w:p w14:paraId="43D50E60" w14:textId="77777777" w:rsidR="00672DFD" w:rsidRPr="000973F2" w:rsidRDefault="00672DFD" w:rsidP="0018658C">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18"/>
                <w:szCs w:val="18"/>
              </w:rPr>
            </w:pPr>
            <w:r w:rsidRPr="000973F2">
              <w:rPr>
                <w:rFonts w:ascii="Times New Roman" w:eastAsia="Times New Roman" w:hAnsi="Times New Roman" w:cs="Times New Roman"/>
                <w:b/>
                <w:bCs/>
                <w:sz w:val="18"/>
                <w:szCs w:val="18"/>
              </w:rPr>
              <w:t>Industrial Manager</w:t>
            </w:r>
          </w:p>
        </w:tc>
        <w:tc>
          <w:tcPr>
            <w:tcW w:w="1620" w:type="dxa"/>
            <w:gridSpan w:val="2"/>
            <w:hideMark/>
          </w:tcPr>
          <w:p w14:paraId="5F95453A" w14:textId="5623FEB2" w:rsidR="00672DFD" w:rsidRPr="000973F2" w:rsidRDefault="00672DFD" w:rsidP="0018658C">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18"/>
                <w:szCs w:val="18"/>
              </w:rPr>
            </w:pPr>
            <w:r w:rsidRPr="000973F2">
              <w:rPr>
                <w:rFonts w:ascii="Times New Roman" w:eastAsia="Times New Roman" w:hAnsi="Times New Roman" w:cs="Times New Roman"/>
                <w:b/>
                <w:bCs/>
                <w:sz w:val="18"/>
                <w:szCs w:val="18"/>
              </w:rPr>
              <w:t>Industrial Engineer/</w:t>
            </w:r>
            <w:r w:rsidR="0018658C" w:rsidRPr="000973F2">
              <w:rPr>
                <w:rFonts w:ascii="Times New Roman" w:eastAsia="Times New Roman" w:hAnsi="Times New Roman" w:cs="Times New Roman"/>
                <w:b/>
                <w:bCs/>
                <w:sz w:val="18"/>
                <w:szCs w:val="18"/>
              </w:rPr>
              <w:t xml:space="preserve"> </w:t>
            </w:r>
            <w:r w:rsidRPr="000973F2">
              <w:rPr>
                <w:rFonts w:ascii="Times New Roman" w:eastAsia="Times New Roman" w:hAnsi="Times New Roman" w:cs="Times New Roman"/>
                <w:b/>
                <w:bCs/>
                <w:sz w:val="18"/>
                <w:szCs w:val="18"/>
              </w:rPr>
              <w:t>Technician</w:t>
            </w:r>
          </w:p>
        </w:tc>
        <w:tc>
          <w:tcPr>
            <w:tcW w:w="1620" w:type="dxa"/>
            <w:gridSpan w:val="2"/>
            <w:hideMark/>
          </w:tcPr>
          <w:p w14:paraId="7C8D9F6D" w14:textId="77777777" w:rsidR="00672DFD" w:rsidRPr="000973F2" w:rsidRDefault="00672DFD" w:rsidP="0018658C">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18"/>
                <w:szCs w:val="18"/>
              </w:rPr>
            </w:pPr>
            <w:r w:rsidRPr="000973F2">
              <w:rPr>
                <w:rFonts w:ascii="Times New Roman" w:eastAsia="Times New Roman" w:hAnsi="Times New Roman" w:cs="Times New Roman"/>
                <w:b/>
                <w:bCs/>
                <w:sz w:val="18"/>
                <w:szCs w:val="18"/>
              </w:rPr>
              <w:t>Administrative Support</w:t>
            </w:r>
          </w:p>
        </w:tc>
        <w:tc>
          <w:tcPr>
            <w:tcW w:w="1515" w:type="dxa"/>
            <w:gridSpan w:val="2"/>
            <w:vMerge/>
            <w:hideMark/>
          </w:tcPr>
          <w:p w14:paraId="602A253D" w14:textId="77777777" w:rsidR="00672DFD" w:rsidRPr="000973F2" w:rsidRDefault="00672DFD" w:rsidP="0018658C">
            <w:pPr>
              <w:spacing w:before="40" w:after="4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18"/>
                <w:szCs w:val="18"/>
              </w:rPr>
            </w:pPr>
          </w:p>
        </w:tc>
      </w:tr>
      <w:tr w:rsidR="008F751E" w:rsidRPr="000973F2" w14:paraId="7DA3DC14" w14:textId="77777777" w:rsidTr="0018658C">
        <w:trPr>
          <w:cantSplit/>
        </w:trPr>
        <w:tc>
          <w:tcPr>
            <w:cnfStyle w:val="001000000000" w:firstRow="0" w:lastRow="0" w:firstColumn="1" w:lastColumn="0" w:oddVBand="0" w:evenVBand="0" w:oddHBand="0" w:evenHBand="0" w:firstRowFirstColumn="0" w:firstRowLastColumn="0" w:lastRowFirstColumn="0" w:lastRowLastColumn="0"/>
            <w:tcW w:w="1335" w:type="dxa"/>
            <w:vMerge/>
            <w:hideMark/>
          </w:tcPr>
          <w:p w14:paraId="6ECFE88D" w14:textId="77777777" w:rsidR="00672DFD" w:rsidRPr="000973F2" w:rsidRDefault="00672DFD" w:rsidP="0018658C">
            <w:pPr>
              <w:spacing w:before="40" w:after="40"/>
              <w:rPr>
                <w:rFonts w:ascii="Times New Roman" w:eastAsia="Times New Roman" w:hAnsi="Times New Roman" w:cs="Times New Roman"/>
                <w:b/>
                <w:bCs w:val="0"/>
                <w:sz w:val="18"/>
                <w:szCs w:val="18"/>
              </w:rPr>
            </w:pPr>
          </w:p>
        </w:tc>
        <w:tc>
          <w:tcPr>
            <w:tcW w:w="1620" w:type="dxa"/>
            <w:gridSpan w:val="2"/>
            <w:noWrap/>
            <w:hideMark/>
          </w:tcPr>
          <w:p w14:paraId="39194B28" w14:textId="77777777" w:rsidR="00672DFD" w:rsidRPr="000973F2" w:rsidRDefault="00672DFD" w:rsidP="0018658C">
            <w:pPr>
              <w:spacing w:before="40" w:after="4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sz w:val="18"/>
                <w:szCs w:val="18"/>
              </w:rPr>
            </w:pPr>
            <w:r w:rsidRPr="000973F2">
              <w:rPr>
                <w:rFonts w:ascii="Times New Roman" w:eastAsia="Times New Roman" w:hAnsi="Times New Roman" w:cs="Times New Roman"/>
                <w:b/>
                <w:bCs/>
                <w:sz w:val="18"/>
                <w:szCs w:val="18"/>
              </w:rPr>
              <w:t xml:space="preserve">$112.23 </w:t>
            </w:r>
          </w:p>
        </w:tc>
        <w:tc>
          <w:tcPr>
            <w:tcW w:w="1620" w:type="dxa"/>
            <w:gridSpan w:val="2"/>
            <w:noWrap/>
            <w:hideMark/>
          </w:tcPr>
          <w:p w14:paraId="1A650098" w14:textId="77777777" w:rsidR="00672DFD" w:rsidRPr="000973F2" w:rsidRDefault="00672DFD" w:rsidP="0018658C">
            <w:pPr>
              <w:spacing w:before="40" w:after="4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sz w:val="18"/>
                <w:szCs w:val="18"/>
              </w:rPr>
            </w:pPr>
            <w:r w:rsidRPr="000973F2">
              <w:rPr>
                <w:rFonts w:ascii="Times New Roman" w:eastAsia="Times New Roman" w:hAnsi="Times New Roman" w:cs="Times New Roman"/>
                <w:b/>
                <w:bCs/>
                <w:sz w:val="18"/>
                <w:szCs w:val="18"/>
              </w:rPr>
              <w:t xml:space="preserve">$87.45 </w:t>
            </w:r>
          </w:p>
        </w:tc>
        <w:tc>
          <w:tcPr>
            <w:tcW w:w="1620" w:type="dxa"/>
            <w:gridSpan w:val="2"/>
            <w:noWrap/>
            <w:hideMark/>
          </w:tcPr>
          <w:p w14:paraId="2FD49080" w14:textId="77777777" w:rsidR="00672DFD" w:rsidRPr="000973F2" w:rsidRDefault="00672DFD" w:rsidP="0018658C">
            <w:pPr>
              <w:spacing w:before="40" w:after="4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sz w:val="18"/>
                <w:szCs w:val="18"/>
              </w:rPr>
            </w:pPr>
            <w:r w:rsidRPr="000973F2">
              <w:rPr>
                <w:rFonts w:ascii="Times New Roman" w:eastAsia="Times New Roman" w:hAnsi="Times New Roman" w:cs="Times New Roman"/>
                <w:b/>
                <w:bCs/>
                <w:sz w:val="18"/>
                <w:szCs w:val="18"/>
              </w:rPr>
              <w:t xml:space="preserve">$71.45 </w:t>
            </w:r>
          </w:p>
        </w:tc>
        <w:tc>
          <w:tcPr>
            <w:tcW w:w="1620" w:type="dxa"/>
            <w:gridSpan w:val="2"/>
            <w:noWrap/>
            <w:hideMark/>
          </w:tcPr>
          <w:p w14:paraId="08B84AB5" w14:textId="77777777" w:rsidR="00672DFD" w:rsidRPr="000973F2" w:rsidRDefault="00672DFD" w:rsidP="0018658C">
            <w:pPr>
              <w:spacing w:before="40" w:after="4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sz w:val="18"/>
                <w:szCs w:val="18"/>
              </w:rPr>
            </w:pPr>
            <w:r w:rsidRPr="000973F2">
              <w:rPr>
                <w:rFonts w:ascii="Times New Roman" w:eastAsia="Times New Roman" w:hAnsi="Times New Roman" w:cs="Times New Roman"/>
                <w:b/>
                <w:bCs/>
                <w:sz w:val="18"/>
                <w:szCs w:val="18"/>
              </w:rPr>
              <w:t xml:space="preserve">$36.28 </w:t>
            </w:r>
          </w:p>
        </w:tc>
        <w:tc>
          <w:tcPr>
            <w:tcW w:w="1515" w:type="dxa"/>
            <w:gridSpan w:val="2"/>
            <w:vMerge/>
            <w:hideMark/>
          </w:tcPr>
          <w:p w14:paraId="2116AAD1" w14:textId="77777777" w:rsidR="00672DFD" w:rsidRPr="000973F2" w:rsidRDefault="00672DFD" w:rsidP="0018658C">
            <w:pPr>
              <w:spacing w:before="40" w:after="4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sz w:val="18"/>
                <w:szCs w:val="18"/>
              </w:rPr>
            </w:pPr>
          </w:p>
        </w:tc>
      </w:tr>
      <w:tr w:rsidR="008F751E" w:rsidRPr="000973F2" w14:paraId="34DBF8A3" w14:textId="77777777" w:rsidTr="0018658C">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1335" w:type="dxa"/>
            <w:vMerge/>
            <w:hideMark/>
          </w:tcPr>
          <w:p w14:paraId="123EE866" w14:textId="77777777" w:rsidR="00672DFD" w:rsidRPr="000973F2" w:rsidRDefault="00672DFD" w:rsidP="0018658C">
            <w:pPr>
              <w:spacing w:before="40" w:after="40"/>
              <w:rPr>
                <w:rFonts w:ascii="Times New Roman" w:eastAsia="Times New Roman" w:hAnsi="Times New Roman" w:cs="Times New Roman"/>
                <w:b/>
                <w:bCs w:val="0"/>
                <w:sz w:val="18"/>
                <w:szCs w:val="18"/>
              </w:rPr>
            </w:pPr>
          </w:p>
        </w:tc>
        <w:tc>
          <w:tcPr>
            <w:tcW w:w="810" w:type="dxa"/>
            <w:tcMar>
              <w:left w:w="14" w:type="dxa"/>
              <w:right w:w="14" w:type="dxa"/>
            </w:tcMar>
            <w:hideMark/>
          </w:tcPr>
          <w:p w14:paraId="7A59D050" w14:textId="5F8936F7" w:rsidR="00672DFD" w:rsidRPr="000973F2" w:rsidRDefault="00672DFD" w:rsidP="0018658C">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18"/>
                <w:szCs w:val="18"/>
              </w:rPr>
            </w:pPr>
            <w:r w:rsidRPr="000973F2">
              <w:rPr>
                <w:rFonts w:ascii="Times New Roman" w:eastAsia="Times New Roman" w:hAnsi="Times New Roman" w:cs="Times New Roman"/>
                <w:b/>
                <w:bCs/>
                <w:sz w:val="18"/>
                <w:szCs w:val="18"/>
              </w:rPr>
              <w:t xml:space="preserve">Initial </w:t>
            </w:r>
            <w:r w:rsidR="00132320" w:rsidRPr="000973F2">
              <w:rPr>
                <w:rFonts w:ascii="Times New Roman" w:eastAsia="Times New Roman" w:hAnsi="Times New Roman" w:cs="Times New Roman"/>
                <w:b/>
                <w:bCs/>
                <w:sz w:val="18"/>
                <w:szCs w:val="18"/>
              </w:rPr>
              <w:t>Year Hours</w:t>
            </w:r>
          </w:p>
        </w:tc>
        <w:tc>
          <w:tcPr>
            <w:tcW w:w="810" w:type="dxa"/>
            <w:tcMar>
              <w:left w:w="14" w:type="dxa"/>
              <w:right w:w="14" w:type="dxa"/>
            </w:tcMar>
            <w:hideMark/>
          </w:tcPr>
          <w:p w14:paraId="3845F605" w14:textId="7E147148" w:rsidR="00672DFD" w:rsidRPr="000973F2" w:rsidRDefault="00672DFD" w:rsidP="0018658C">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18"/>
                <w:szCs w:val="18"/>
              </w:rPr>
            </w:pPr>
            <w:r w:rsidRPr="000973F2">
              <w:rPr>
                <w:rFonts w:ascii="Times New Roman" w:eastAsia="Times New Roman" w:hAnsi="Times New Roman" w:cs="Times New Roman"/>
                <w:b/>
                <w:bCs/>
                <w:sz w:val="18"/>
                <w:szCs w:val="18"/>
              </w:rPr>
              <w:t xml:space="preserve">Subseq. </w:t>
            </w:r>
            <w:r w:rsidR="00132320" w:rsidRPr="000973F2">
              <w:rPr>
                <w:rFonts w:ascii="Times New Roman" w:eastAsia="Times New Roman" w:hAnsi="Times New Roman" w:cs="Times New Roman"/>
                <w:b/>
                <w:bCs/>
                <w:sz w:val="18"/>
                <w:szCs w:val="18"/>
              </w:rPr>
              <w:t>Year Hours</w:t>
            </w:r>
          </w:p>
        </w:tc>
        <w:tc>
          <w:tcPr>
            <w:tcW w:w="810" w:type="dxa"/>
            <w:tcMar>
              <w:left w:w="14" w:type="dxa"/>
              <w:right w:w="14" w:type="dxa"/>
            </w:tcMar>
            <w:hideMark/>
          </w:tcPr>
          <w:p w14:paraId="5161B056" w14:textId="61317F34" w:rsidR="00672DFD" w:rsidRPr="000973F2" w:rsidRDefault="00672DFD" w:rsidP="0018658C">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18"/>
                <w:szCs w:val="18"/>
              </w:rPr>
            </w:pPr>
            <w:r w:rsidRPr="000973F2">
              <w:rPr>
                <w:rFonts w:ascii="Times New Roman" w:eastAsia="Times New Roman" w:hAnsi="Times New Roman" w:cs="Times New Roman"/>
                <w:b/>
                <w:bCs/>
                <w:sz w:val="18"/>
                <w:szCs w:val="18"/>
              </w:rPr>
              <w:t xml:space="preserve">Initial </w:t>
            </w:r>
            <w:r w:rsidR="00132320" w:rsidRPr="000973F2">
              <w:rPr>
                <w:rFonts w:ascii="Times New Roman" w:eastAsia="Times New Roman" w:hAnsi="Times New Roman" w:cs="Times New Roman"/>
                <w:b/>
                <w:bCs/>
                <w:sz w:val="18"/>
                <w:szCs w:val="18"/>
              </w:rPr>
              <w:t>Year Hours</w:t>
            </w:r>
          </w:p>
        </w:tc>
        <w:tc>
          <w:tcPr>
            <w:tcW w:w="810" w:type="dxa"/>
            <w:tcMar>
              <w:left w:w="14" w:type="dxa"/>
              <w:right w:w="14" w:type="dxa"/>
            </w:tcMar>
            <w:hideMark/>
          </w:tcPr>
          <w:p w14:paraId="18E45E45" w14:textId="1D7DA429" w:rsidR="00672DFD" w:rsidRPr="000973F2" w:rsidRDefault="00672DFD" w:rsidP="0018658C">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18"/>
                <w:szCs w:val="18"/>
              </w:rPr>
            </w:pPr>
            <w:r w:rsidRPr="000973F2">
              <w:rPr>
                <w:rFonts w:ascii="Times New Roman" w:eastAsia="Times New Roman" w:hAnsi="Times New Roman" w:cs="Times New Roman"/>
                <w:b/>
                <w:bCs/>
                <w:sz w:val="18"/>
                <w:szCs w:val="18"/>
              </w:rPr>
              <w:t xml:space="preserve">Subseq. </w:t>
            </w:r>
            <w:r w:rsidR="00132320" w:rsidRPr="000973F2">
              <w:rPr>
                <w:rFonts w:ascii="Times New Roman" w:eastAsia="Times New Roman" w:hAnsi="Times New Roman" w:cs="Times New Roman"/>
                <w:b/>
                <w:bCs/>
                <w:sz w:val="18"/>
                <w:szCs w:val="18"/>
              </w:rPr>
              <w:t>Year Hours</w:t>
            </w:r>
          </w:p>
        </w:tc>
        <w:tc>
          <w:tcPr>
            <w:tcW w:w="810" w:type="dxa"/>
            <w:tcMar>
              <w:left w:w="14" w:type="dxa"/>
              <w:right w:w="14" w:type="dxa"/>
            </w:tcMar>
            <w:hideMark/>
          </w:tcPr>
          <w:p w14:paraId="28142F1D" w14:textId="045577D3" w:rsidR="00672DFD" w:rsidRPr="000973F2" w:rsidRDefault="00672DFD" w:rsidP="0018658C">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18"/>
                <w:szCs w:val="18"/>
              </w:rPr>
            </w:pPr>
            <w:r w:rsidRPr="000973F2">
              <w:rPr>
                <w:rFonts w:ascii="Times New Roman" w:eastAsia="Times New Roman" w:hAnsi="Times New Roman" w:cs="Times New Roman"/>
                <w:b/>
                <w:bCs/>
                <w:sz w:val="18"/>
                <w:szCs w:val="18"/>
              </w:rPr>
              <w:t xml:space="preserve">Initial </w:t>
            </w:r>
            <w:r w:rsidR="00132320" w:rsidRPr="000973F2">
              <w:rPr>
                <w:rFonts w:ascii="Times New Roman" w:eastAsia="Times New Roman" w:hAnsi="Times New Roman" w:cs="Times New Roman"/>
                <w:b/>
                <w:bCs/>
                <w:sz w:val="18"/>
                <w:szCs w:val="18"/>
              </w:rPr>
              <w:t>Year Hours</w:t>
            </w:r>
          </w:p>
        </w:tc>
        <w:tc>
          <w:tcPr>
            <w:tcW w:w="810" w:type="dxa"/>
            <w:tcMar>
              <w:left w:w="14" w:type="dxa"/>
              <w:right w:w="14" w:type="dxa"/>
            </w:tcMar>
            <w:hideMark/>
          </w:tcPr>
          <w:p w14:paraId="6AB7638C" w14:textId="55C60E3F" w:rsidR="00672DFD" w:rsidRPr="000973F2" w:rsidRDefault="00672DFD" w:rsidP="0018658C">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18"/>
                <w:szCs w:val="18"/>
              </w:rPr>
            </w:pPr>
            <w:r w:rsidRPr="000973F2">
              <w:rPr>
                <w:rFonts w:ascii="Times New Roman" w:eastAsia="Times New Roman" w:hAnsi="Times New Roman" w:cs="Times New Roman"/>
                <w:b/>
                <w:bCs/>
                <w:sz w:val="18"/>
                <w:szCs w:val="18"/>
              </w:rPr>
              <w:t xml:space="preserve">Subseq. </w:t>
            </w:r>
            <w:r w:rsidR="00132320" w:rsidRPr="000973F2">
              <w:rPr>
                <w:rFonts w:ascii="Times New Roman" w:eastAsia="Times New Roman" w:hAnsi="Times New Roman" w:cs="Times New Roman"/>
                <w:b/>
                <w:bCs/>
                <w:sz w:val="18"/>
                <w:szCs w:val="18"/>
              </w:rPr>
              <w:t>Year Hours</w:t>
            </w:r>
          </w:p>
        </w:tc>
        <w:tc>
          <w:tcPr>
            <w:tcW w:w="810" w:type="dxa"/>
            <w:tcMar>
              <w:left w:w="14" w:type="dxa"/>
              <w:right w:w="14" w:type="dxa"/>
            </w:tcMar>
            <w:hideMark/>
          </w:tcPr>
          <w:p w14:paraId="0C38E770" w14:textId="478429AB" w:rsidR="00672DFD" w:rsidRPr="000973F2" w:rsidRDefault="00672DFD" w:rsidP="0018658C">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18"/>
                <w:szCs w:val="18"/>
              </w:rPr>
            </w:pPr>
            <w:r w:rsidRPr="000973F2">
              <w:rPr>
                <w:rFonts w:ascii="Times New Roman" w:eastAsia="Times New Roman" w:hAnsi="Times New Roman" w:cs="Times New Roman"/>
                <w:b/>
                <w:bCs/>
                <w:sz w:val="18"/>
                <w:szCs w:val="18"/>
              </w:rPr>
              <w:t xml:space="preserve">Initial </w:t>
            </w:r>
            <w:r w:rsidR="00132320" w:rsidRPr="000973F2">
              <w:rPr>
                <w:rFonts w:ascii="Times New Roman" w:eastAsia="Times New Roman" w:hAnsi="Times New Roman" w:cs="Times New Roman"/>
                <w:b/>
                <w:bCs/>
                <w:sz w:val="18"/>
                <w:szCs w:val="18"/>
              </w:rPr>
              <w:t>Year Hours</w:t>
            </w:r>
          </w:p>
        </w:tc>
        <w:tc>
          <w:tcPr>
            <w:tcW w:w="810" w:type="dxa"/>
            <w:tcMar>
              <w:left w:w="14" w:type="dxa"/>
              <w:right w:w="14" w:type="dxa"/>
            </w:tcMar>
            <w:hideMark/>
          </w:tcPr>
          <w:p w14:paraId="49020C96" w14:textId="7ED74D47" w:rsidR="00672DFD" w:rsidRPr="000973F2" w:rsidRDefault="00672DFD" w:rsidP="0018658C">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18"/>
                <w:szCs w:val="18"/>
              </w:rPr>
            </w:pPr>
            <w:r w:rsidRPr="000973F2">
              <w:rPr>
                <w:rFonts w:ascii="Times New Roman" w:eastAsia="Times New Roman" w:hAnsi="Times New Roman" w:cs="Times New Roman"/>
                <w:b/>
                <w:bCs/>
                <w:sz w:val="18"/>
                <w:szCs w:val="18"/>
              </w:rPr>
              <w:t xml:space="preserve">Subseq. </w:t>
            </w:r>
            <w:r w:rsidR="00132320" w:rsidRPr="000973F2">
              <w:rPr>
                <w:rFonts w:ascii="Times New Roman" w:eastAsia="Times New Roman" w:hAnsi="Times New Roman" w:cs="Times New Roman"/>
                <w:b/>
                <w:bCs/>
                <w:sz w:val="18"/>
                <w:szCs w:val="18"/>
              </w:rPr>
              <w:t>Year Hours</w:t>
            </w:r>
          </w:p>
        </w:tc>
        <w:tc>
          <w:tcPr>
            <w:tcW w:w="757" w:type="dxa"/>
            <w:tcMar>
              <w:left w:w="14" w:type="dxa"/>
              <w:right w:w="14" w:type="dxa"/>
            </w:tcMar>
            <w:hideMark/>
          </w:tcPr>
          <w:p w14:paraId="6EA9AAEF" w14:textId="77777777" w:rsidR="00672DFD" w:rsidRPr="000973F2" w:rsidRDefault="00672DFD" w:rsidP="0018658C">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18"/>
                <w:szCs w:val="18"/>
              </w:rPr>
            </w:pPr>
            <w:r w:rsidRPr="000973F2">
              <w:rPr>
                <w:rFonts w:ascii="Times New Roman" w:eastAsia="Times New Roman" w:hAnsi="Times New Roman" w:cs="Times New Roman"/>
                <w:b/>
                <w:bCs/>
                <w:sz w:val="18"/>
                <w:szCs w:val="18"/>
              </w:rPr>
              <w:t>Initial Year</w:t>
            </w:r>
          </w:p>
        </w:tc>
        <w:tc>
          <w:tcPr>
            <w:tcW w:w="758" w:type="dxa"/>
            <w:tcMar>
              <w:left w:w="14" w:type="dxa"/>
              <w:right w:w="14" w:type="dxa"/>
            </w:tcMar>
            <w:hideMark/>
          </w:tcPr>
          <w:p w14:paraId="7E0F87DC" w14:textId="77777777" w:rsidR="00672DFD" w:rsidRPr="000973F2" w:rsidRDefault="00672DFD" w:rsidP="0018658C">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18"/>
                <w:szCs w:val="18"/>
              </w:rPr>
            </w:pPr>
            <w:r w:rsidRPr="000973F2">
              <w:rPr>
                <w:rFonts w:ascii="Times New Roman" w:eastAsia="Times New Roman" w:hAnsi="Times New Roman" w:cs="Times New Roman"/>
                <w:b/>
                <w:bCs/>
                <w:sz w:val="18"/>
                <w:szCs w:val="18"/>
              </w:rPr>
              <w:t>Subseq. Year</w:t>
            </w:r>
          </w:p>
        </w:tc>
      </w:tr>
      <w:tr w:rsidR="0018658C" w:rsidRPr="000973F2" w14:paraId="7EBF75B8" w14:textId="77777777" w:rsidTr="0018658C">
        <w:trPr>
          <w:cantSplit/>
        </w:trPr>
        <w:tc>
          <w:tcPr>
            <w:cnfStyle w:val="001000000000" w:firstRow="0" w:lastRow="0" w:firstColumn="1" w:lastColumn="0" w:oddVBand="0" w:evenVBand="0" w:oddHBand="0" w:evenHBand="0" w:firstRowFirstColumn="0" w:firstRowLastColumn="0" w:lastRowFirstColumn="0" w:lastRowLastColumn="0"/>
            <w:tcW w:w="1335" w:type="dxa"/>
            <w:hideMark/>
          </w:tcPr>
          <w:p w14:paraId="75DE4679" w14:textId="77777777" w:rsidR="0018658C" w:rsidRPr="000973F2" w:rsidRDefault="0018658C" w:rsidP="0018658C">
            <w:pPr>
              <w:spacing w:before="40" w:after="4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Planning</w:t>
            </w:r>
          </w:p>
        </w:tc>
        <w:tc>
          <w:tcPr>
            <w:tcW w:w="810" w:type="dxa"/>
            <w:noWrap/>
            <w:hideMark/>
          </w:tcPr>
          <w:p w14:paraId="6B42982D" w14:textId="6334792F" w:rsidR="0018658C" w:rsidRPr="000973F2" w:rsidRDefault="0018658C" w:rsidP="0018658C">
            <w:pPr>
              <w:tabs>
                <w:tab w:val="decimal" w:pos="331"/>
              </w:tabs>
              <w:spacing w:before="40" w:after="4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w:t>
            </w:r>
          </w:p>
        </w:tc>
        <w:tc>
          <w:tcPr>
            <w:tcW w:w="810" w:type="dxa"/>
            <w:noWrap/>
            <w:hideMark/>
          </w:tcPr>
          <w:p w14:paraId="74D4D8E0" w14:textId="34A483BC" w:rsidR="0018658C" w:rsidRPr="000973F2" w:rsidRDefault="0018658C" w:rsidP="0018658C">
            <w:pPr>
              <w:tabs>
                <w:tab w:val="decimal" w:pos="331"/>
              </w:tabs>
              <w:spacing w:before="40" w:after="4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w:t>
            </w:r>
          </w:p>
        </w:tc>
        <w:tc>
          <w:tcPr>
            <w:tcW w:w="810" w:type="dxa"/>
            <w:noWrap/>
            <w:hideMark/>
          </w:tcPr>
          <w:p w14:paraId="2491042F" w14:textId="55B9D0F8" w:rsidR="0018658C" w:rsidRPr="000973F2" w:rsidRDefault="0018658C" w:rsidP="0018658C">
            <w:pPr>
              <w:tabs>
                <w:tab w:val="decimal" w:pos="331"/>
              </w:tabs>
              <w:spacing w:before="40" w:after="4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w:t>
            </w:r>
          </w:p>
        </w:tc>
        <w:tc>
          <w:tcPr>
            <w:tcW w:w="810" w:type="dxa"/>
            <w:noWrap/>
            <w:hideMark/>
          </w:tcPr>
          <w:p w14:paraId="6A5A4DD2" w14:textId="38E4981E" w:rsidR="0018658C" w:rsidRPr="000973F2" w:rsidRDefault="0018658C" w:rsidP="0018658C">
            <w:pPr>
              <w:tabs>
                <w:tab w:val="decimal" w:pos="331"/>
              </w:tabs>
              <w:spacing w:before="40" w:after="4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w:t>
            </w:r>
          </w:p>
        </w:tc>
        <w:tc>
          <w:tcPr>
            <w:tcW w:w="810" w:type="dxa"/>
            <w:noWrap/>
            <w:hideMark/>
          </w:tcPr>
          <w:p w14:paraId="25686DD2" w14:textId="44087E8E" w:rsidR="0018658C" w:rsidRPr="000973F2" w:rsidRDefault="0018658C" w:rsidP="0018658C">
            <w:pPr>
              <w:tabs>
                <w:tab w:val="decimal" w:pos="331"/>
              </w:tabs>
              <w:spacing w:before="40" w:after="4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w:t>
            </w:r>
          </w:p>
        </w:tc>
        <w:tc>
          <w:tcPr>
            <w:tcW w:w="810" w:type="dxa"/>
            <w:noWrap/>
            <w:hideMark/>
          </w:tcPr>
          <w:p w14:paraId="3249E6C9" w14:textId="4AC9F74A" w:rsidR="0018658C" w:rsidRPr="000973F2" w:rsidRDefault="0018658C" w:rsidP="0018658C">
            <w:pPr>
              <w:tabs>
                <w:tab w:val="decimal" w:pos="331"/>
              </w:tabs>
              <w:spacing w:before="40" w:after="4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w:t>
            </w:r>
          </w:p>
        </w:tc>
        <w:tc>
          <w:tcPr>
            <w:tcW w:w="810" w:type="dxa"/>
            <w:noWrap/>
            <w:hideMark/>
          </w:tcPr>
          <w:p w14:paraId="58276A29" w14:textId="51F0B4F6" w:rsidR="0018658C" w:rsidRPr="000973F2" w:rsidRDefault="0018658C" w:rsidP="0018658C">
            <w:pPr>
              <w:tabs>
                <w:tab w:val="decimal" w:pos="331"/>
              </w:tabs>
              <w:spacing w:before="40" w:after="4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w:t>
            </w:r>
          </w:p>
        </w:tc>
        <w:tc>
          <w:tcPr>
            <w:tcW w:w="810" w:type="dxa"/>
            <w:noWrap/>
            <w:hideMark/>
          </w:tcPr>
          <w:p w14:paraId="7B20891F" w14:textId="6EA4BBD1" w:rsidR="0018658C" w:rsidRPr="000973F2" w:rsidRDefault="0018658C" w:rsidP="0018658C">
            <w:pPr>
              <w:tabs>
                <w:tab w:val="decimal" w:pos="331"/>
              </w:tabs>
              <w:spacing w:before="40" w:after="4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w:t>
            </w:r>
          </w:p>
        </w:tc>
        <w:tc>
          <w:tcPr>
            <w:tcW w:w="757" w:type="dxa"/>
            <w:noWrap/>
            <w:hideMark/>
          </w:tcPr>
          <w:p w14:paraId="2A396F7C" w14:textId="47CE7DA4" w:rsidR="0018658C" w:rsidRPr="000973F2" w:rsidRDefault="0018658C" w:rsidP="0018658C">
            <w:pPr>
              <w:tabs>
                <w:tab w:val="decimal" w:pos="331"/>
              </w:tabs>
              <w:spacing w:before="40" w:after="4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w:t>
            </w:r>
          </w:p>
        </w:tc>
        <w:tc>
          <w:tcPr>
            <w:tcW w:w="758" w:type="dxa"/>
            <w:noWrap/>
            <w:hideMark/>
          </w:tcPr>
          <w:p w14:paraId="7876C062" w14:textId="1863DA6C" w:rsidR="0018658C" w:rsidRPr="000973F2" w:rsidRDefault="0018658C" w:rsidP="0018658C">
            <w:pPr>
              <w:tabs>
                <w:tab w:val="decimal" w:pos="481"/>
              </w:tabs>
              <w:spacing w:before="40" w:after="4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w:t>
            </w:r>
          </w:p>
        </w:tc>
      </w:tr>
      <w:tr w:rsidR="0018658C" w:rsidRPr="000973F2" w14:paraId="1EE057D8" w14:textId="77777777" w:rsidTr="0018658C">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1335" w:type="dxa"/>
            <w:hideMark/>
          </w:tcPr>
          <w:p w14:paraId="12141972" w14:textId="77777777" w:rsidR="0018658C" w:rsidRPr="000973F2" w:rsidRDefault="0018658C" w:rsidP="0018658C">
            <w:pPr>
              <w:spacing w:before="40" w:after="4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QA/QC</w:t>
            </w:r>
          </w:p>
        </w:tc>
        <w:tc>
          <w:tcPr>
            <w:tcW w:w="810" w:type="dxa"/>
            <w:noWrap/>
            <w:hideMark/>
          </w:tcPr>
          <w:p w14:paraId="2820D8CC" w14:textId="4E289369" w:rsidR="0018658C" w:rsidRPr="000973F2" w:rsidRDefault="0018658C" w:rsidP="0018658C">
            <w:pPr>
              <w:tabs>
                <w:tab w:val="decimal" w:pos="331"/>
              </w:tabs>
              <w:spacing w:before="40" w:after="4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w:t>
            </w:r>
          </w:p>
        </w:tc>
        <w:tc>
          <w:tcPr>
            <w:tcW w:w="810" w:type="dxa"/>
            <w:noWrap/>
            <w:hideMark/>
          </w:tcPr>
          <w:p w14:paraId="0F29CE4C" w14:textId="13D97AC1" w:rsidR="0018658C" w:rsidRPr="000973F2" w:rsidRDefault="0018658C" w:rsidP="0018658C">
            <w:pPr>
              <w:tabs>
                <w:tab w:val="decimal" w:pos="331"/>
              </w:tabs>
              <w:spacing w:before="40" w:after="4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w:t>
            </w:r>
          </w:p>
        </w:tc>
        <w:tc>
          <w:tcPr>
            <w:tcW w:w="810" w:type="dxa"/>
            <w:noWrap/>
            <w:hideMark/>
          </w:tcPr>
          <w:p w14:paraId="51DBF853" w14:textId="1813B48C" w:rsidR="0018658C" w:rsidRPr="000973F2" w:rsidRDefault="0018658C" w:rsidP="0018658C">
            <w:pPr>
              <w:tabs>
                <w:tab w:val="decimal" w:pos="331"/>
              </w:tabs>
              <w:spacing w:before="40" w:after="4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w:t>
            </w:r>
          </w:p>
        </w:tc>
        <w:tc>
          <w:tcPr>
            <w:tcW w:w="810" w:type="dxa"/>
            <w:noWrap/>
            <w:hideMark/>
          </w:tcPr>
          <w:p w14:paraId="7ED26343" w14:textId="59DAC41C" w:rsidR="0018658C" w:rsidRPr="000973F2" w:rsidRDefault="0018658C" w:rsidP="0018658C">
            <w:pPr>
              <w:tabs>
                <w:tab w:val="decimal" w:pos="331"/>
              </w:tabs>
              <w:spacing w:before="40" w:after="4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w:t>
            </w:r>
          </w:p>
        </w:tc>
        <w:tc>
          <w:tcPr>
            <w:tcW w:w="810" w:type="dxa"/>
            <w:noWrap/>
            <w:hideMark/>
          </w:tcPr>
          <w:p w14:paraId="6836FCBF" w14:textId="3822DD64" w:rsidR="0018658C" w:rsidRPr="000973F2" w:rsidRDefault="0018658C" w:rsidP="0018658C">
            <w:pPr>
              <w:tabs>
                <w:tab w:val="decimal" w:pos="331"/>
              </w:tabs>
              <w:spacing w:before="40" w:after="4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w:t>
            </w:r>
          </w:p>
        </w:tc>
        <w:tc>
          <w:tcPr>
            <w:tcW w:w="810" w:type="dxa"/>
            <w:noWrap/>
            <w:hideMark/>
          </w:tcPr>
          <w:p w14:paraId="208B0B86" w14:textId="2070C6F7" w:rsidR="0018658C" w:rsidRPr="000973F2" w:rsidRDefault="0018658C" w:rsidP="0018658C">
            <w:pPr>
              <w:tabs>
                <w:tab w:val="decimal" w:pos="331"/>
              </w:tabs>
              <w:spacing w:before="40" w:after="4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w:t>
            </w:r>
          </w:p>
        </w:tc>
        <w:tc>
          <w:tcPr>
            <w:tcW w:w="810" w:type="dxa"/>
            <w:noWrap/>
            <w:hideMark/>
          </w:tcPr>
          <w:p w14:paraId="1145C8E2" w14:textId="334F5C04" w:rsidR="0018658C" w:rsidRPr="000973F2" w:rsidRDefault="0018658C" w:rsidP="0018658C">
            <w:pPr>
              <w:tabs>
                <w:tab w:val="decimal" w:pos="331"/>
              </w:tabs>
              <w:spacing w:before="40" w:after="4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w:t>
            </w:r>
          </w:p>
        </w:tc>
        <w:tc>
          <w:tcPr>
            <w:tcW w:w="810" w:type="dxa"/>
            <w:noWrap/>
            <w:hideMark/>
          </w:tcPr>
          <w:p w14:paraId="3D38383B" w14:textId="0F8CAE72" w:rsidR="0018658C" w:rsidRPr="000973F2" w:rsidRDefault="0018658C" w:rsidP="0018658C">
            <w:pPr>
              <w:tabs>
                <w:tab w:val="decimal" w:pos="331"/>
              </w:tabs>
              <w:spacing w:before="40" w:after="4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w:t>
            </w:r>
          </w:p>
        </w:tc>
        <w:tc>
          <w:tcPr>
            <w:tcW w:w="757" w:type="dxa"/>
            <w:noWrap/>
            <w:hideMark/>
          </w:tcPr>
          <w:p w14:paraId="30D1F6C4" w14:textId="1E719FD8" w:rsidR="0018658C" w:rsidRPr="000973F2" w:rsidRDefault="0018658C" w:rsidP="0018658C">
            <w:pPr>
              <w:tabs>
                <w:tab w:val="decimal" w:pos="331"/>
              </w:tabs>
              <w:spacing w:before="40" w:after="4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w:t>
            </w:r>
          </w:p>
        </w:tc>
        <w:tc>
          <w:tcPr>
            <w:tcW w:w="758" w:type="dxa"/>
            <w:noWrap/>
            <w:hideMark/>
          </w:tcPr>
          <w:p w14:paraId="01F4940D" w14:textId="431CF532" w:rsidR="0018658C" w:rsidRPr="000973F2" w:rsidRDefault="0018658C" w:rsidP="0018658C">
            <w:pPr>
              <w:tabs>
                <w:tab w:val="decimal" w:pos="481"/>
              </w:tabs>
              <w:spacing w:before="40" w:after="4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w:t>
            </w:r>
          </w:p>
        </w:tc>
      </w:tr>
      <w:tr w:rsidR="00150C73" w:rsidRPr="000973F2" w14:paraId="2D836155" w14:textId="77777777" w:rsidTr="0018658C">
        <w:trPr>
          <w:cantSplit/>
        </w:trPr>
        <w:tc>
          <w:tcPr>
            <w:cnfStyle w:val="001000000000" w:firstRow="0" w:lastRow="0" w:firstColumn="1" w:lastColumn="0" w:oddVBand="0" w:evenVBand="0" w:oddHBand="0" w:evenHBand="0" w:firstRowFirstColumn="0" w:firstRowLastColumn="0" w:lastRowFirstColumn="0" w:lastRowLastColumn="0"/>
            <w:tcW w:w="1335" w:type="dxa"/>
            <w:hideMark/>
          </w:tcPr>
          <w:p w14:paraId="1F96B7E3" w14:textId="77777777" w:rsidR="00672DFD" w:rsidRPr="000973F2" w:rsidRDefault="00672DFD" w:rsidP="0018658C">
            <w:pPr>
              <w:spacing w:before="40" w:after="4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Recordkeeping</w:t>
            </w:r>
          </w:p>
        </w:tc>
        <w:tc>
          <w:tcPr>
            <w:tcW w:w="810" w:type="dxa"/>
            <w:noWrap/>
            <w:hideMark/>
          </w:tcPr>
          <w:p w14:paraId="741955B4" w14:textId="77777777" w:rsidR="00672DFD" w:rsidRPr="000973F2" w:rsidRDefault="00672DFD" w:rsidP="0018658C">
            <w:pPr>
              <w:tabs>
                <w:tab w:val="decimal" w:pos="331"/>
              </w:tabs>
              <w:spacing w:before="40" w:after="4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hAnsi="Times New Roman" w:cs="Times New Roman"/>
                <w:sz w:val="18"/>
                <w:szCs w:val="18"/>
              </w:rPr>
              <w:t>0</w:t>
            </w:r>
          </w:p>
        </w:tc>
        <w:tc>
          <w:tcPr>
            <w:tcW w:w="810" w:type="dxa"/>
            <w:noWrap/>
            <w:hideMark/>
          </w:tcPr>
          <w:p w14:paraId="0AF9DD38" w14:textId="77777777" w:rsidR="00672DFD" w:rsidRPr="000973F2" w:rsidRDefault="00672DFD" w:rsidP="0018658C">
            <w:pPr>
              <w:tabs>
                <w:tab w:val="decimal" w:pos="331"/>
              </w:tabs>
              <w:spacing w:before="40" w:after="4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hAnsi="Times New Roman" w:cs="Times New Roman"/>
                <w:sz w:val="18"/>
                <w:szCs w:val="18"/>
              </w:rPr>
              <w:t>0</w:t>
            </w:r>
          </w:p>
        </w:tc>
        <w:tc>
          <w:tcPr>
            <w:tcW w:w="810" w:type="dxa"/>
            <w:noWrap/>
            <w:hideMark/>
          </w:tcPr>
          <w:p w14:paraId="2EA86684" w14:textId="77777777" w:rsidR="00672DFD" w:rsidRPr="000973F2" w:rsidRDefault="00672DFD" w:rsidP="0018658C">
            <w:pPr>
              <w:tabs>
                <w:tab w:val="decimal" w:pos="331"/>
              </w:tabs>
              <w:spacing w:before="40" w:after="4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hAnsi="Times New Roman" w:cs="Times New Roman"/>
                <w:sz w:val="18"/>
                <w:szCs w:val="18"/>
              </w:rPr>
              <w:t>0</w:t>
            </w:r>
          </w:p>
        </w:tc>
        <w:tc>
          <w:tcPr>
            <w:tcW w:w="810" w:type="dxa"/>
            <w:noWrap/>
            <w:hideMark/>
          </w:tcPr>
          <w:p w14:paraId="0D71A023" w14:textId="77777777" w:rsidR="00672DFD" w:rsidRPr="000973F2" w:rsidRDefault="00672DFD" w:rsidP="0018658C">
            <w:pPr>
              <w:tabs>
                <w:tab w:val="decimal" w:pos="331"/>
              </w:tabs>
              <w:spacing w:before="40" w:after="4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hAnsi="Times New Roman" w:cs="Times New Roman"/>
                <w:sz w:val="18"/>
                <w:szCs w:val="18"/>
              </w:rPr>
              <w:t>0.5</w:t>
            </w:r>
          </w:p>
        </w:tc>
        <w:tc>
          <w:tcPr>
            <w:tcW w:w="810" w:type="dxa"/>
            <w:noWrap/>
            <w:hideMark/>
          </w:tcPr>
          <w:p w14:paraId="5B190B72" w14:textId="77777777" w:rsidR="00672DFD" w:rsidRPr="000973F2" w:rsidRDefault="00672DFD" w:rsidP="0018658C">
            <w:pPr>
              <w:tabs>
                <w:tab w:val="decimal" w:pos="331"/>
              </w:tabs>
              <w:spacing w:before="40" w:after="4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hAnsi="Times New Roman" w:cs="Times New Roman"/>
                <w:sz w:val="18"/>
                <w:szCs w:val="18"/>
              </w:rPr>
              <w:t>0</w:t>
            </w:r>
          </w:p>
        </w:tc>
        <w:tc>
          <w:tcPr>
            <w:tcW w:w="810" w:type="dxa"/>
            <w:noWrap/>
            <w:hideMark/>
          </w:tcPr>
          <w:p w14:paraId="6AD8FF1C" w14:textId="77777777" w:rsidR="00672DFD" w:rsidRPr="000973F2" w:rsidRDefault="00672DFD" w:rsidP="0018658C">
            <w:pPr>
              <w:tabs>
                <w:tab w:val="decimal" w:pos="331"/>
              </w:tabs>
              <w:spacing w:before="40" w:after="4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hAnsi="Times New Roman" w:cs="Times New Roman"/>
                <w:sz w:val="18"/>
                <w:szCs w:val="18"/>
              </w:rPr>
              <w:t>2</w:t>
            </w:r>
          </w:p>
        </w:tc>
        <w:tc>
          <w:tcPr>
            <w:tcW w:w="810" w:type="dxa"/>
            <w:noWrap/>
            <w:hideMark/>
          </w:tcPr>
          <w:p w14:paraId="21BFC830" w14:textId="77777777" w:rsidR="00672DFD" w:rsidRPr="000973F2" w:rsidRDefault="00672DFD" w:rsidP="0018658C">
            <w:pPr>
              <w:tabs>
                <w:tab w:val="decimal" w:pos="331"/>
              </w:tabs>
              <w:spacing w:before="40" w:after="4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hAnsi="Times New Roman" w:cs="Times New Roman"/>
                <w:sz w:val="18"/>
                <w:szCs w:val="18"/>
              </w:rPr>
              <w:t>0</w:t>
            </w:r>
          </w:p>
        </w:tc>
        <w:tc>
          <w:tcPr>
            <w:tcW w:w="810" w:type="dxa"/>
            <w:noWrap/>
            <w:hideMark/>
          </w:tcPr>
          <w:p w14:paraId="556FAC62" w14:textId="77777777" w:rsidR="00672DFD" w:rsidRPr="000973F2" w:rsidRDefault="00672DFD" w:rsidP="0018658C">
            <w:pPr>
              <w:tabs>
                <w:tab w:val="decimal" w:pos="331"/>
              </w:tabs>
              <w:spacing w:before="40" w:after="4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0.5</w:t>
            </w:r>
          </w:p>
        </w:tc>
        <w:tc>
          <w:tcPr>
            <w:tcW w:w="757" w:type="dxa"/>
            <w:noWrap/>
            <w:hideMark/>
          </w:tcPr>
          <w:p w14:paraId="3835085D" w14:textId="700035E5" w:rsidR="00672DFD" w:rsidRPr="000973F2" w:rsidRDefault="00672DFD" w:rsidP="0018658C">
            <w:pPr>
              <w:tabs>
                <w:tab w:val="decimal" w:pos="331"/>
              </w:tabs>
              <w:spacing w:before="40" w:after="4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hAnsi="Times New Roman" w:cs="Times New Roman"/>
                <w:sz w:val="18"/>
                <w:szCs w:val="18"/>
              </w:rPr>
              <w:t>$0</w:t>
            </w:r>
          </w:p>
        </w:tc>
        <w:tc>
          <w:tcPr>
            <w:tcW w:w="758" w:type="dxa"/>
            <w:noWrap/>
            <w:hideMark/>
          </w:tcPr>
          <w:p w14:paraId="658EACAD" w14:textId="77777777" w:rsidR="00672DFD" w:rsidRPr="000973F2" w:rsidRDefault="00672DFD" w:rsidP="0018658C">
            <w:pPr>
              <w:tabs>
                <w:tab w:val="decimal" w:pos="481"/>
              </w:tabs>
              <w:spacing w:before="40" w:after="4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hAnsi="Times New Roman" w:cs="Times New Roman"/>
                <w:sz w:val="18"/>
                <w:szCs w:val="18"/>
              </w:rPr>
              <w:t xml:space="preserve">$205 </w:t>
            </w:r>
          </w:p>
        </w:tc>
      </w:tr>
      <w:tr w:rsidR="00150C73" w:rsidRPr="000973F2" w14:paraId="71E049A2" w14:textId="77777777" w:rsidTr="0018658C">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1335" w:type="dxa"/>
            <w:hideMark/>
          </w:tcPr>
          <w:p w14:paraId="2439D6B8" w14:textId="77777777" w:rsidR="00672DFD" w:rsidRPr="000973F2" w:rsidRDefault="00672DFD" w:rsidP="0018658C">
            <w:pPr>
              <w:spacing w:before="40" w:after="4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Sampling and Analysis (Calculations)</w:t>
            </w:r>
          </w:p>
        </w:tc>
        <w:tc>
          <w:tcPr>
            <w:tcW w:w="810" w:type="dxa"/>
            <w:noWrap/>
            <w:hideMark/>
          </w:tcPr>
          <w:p w14:paraId="59EF0657" w14:textId="77777777" w:rsidR="00672DFD" w:rsidRPr="000973F2" w:rsidRDefault="00672DFD" w:rsidP="0018658C">
            <w:pPr>
              <w:tabs>
                <w:tab w:val="decimal" w:pos="331"/>
              </w:tabs>
              <w:spacing w:before="40" w:after="4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hAnsi="Times New Roman" w:cs="Times New Roman"/>
                <w:sz w:val="18"/>
                <w:szCs w:val="18"/>
              </w:rPr>
              <w:t>0</w:t>
            </w:r>
          </w:p>
        </w:tc>
        <w:tc>
          <w:tcPr>
            <w:tcW w:w="810" w:type="dxa"/>
            <w:noWrap/>
            <w:hideMark/>
          </w:tcPr>
          <w:p w14:paraId="41D32BF8" w14:textId="77777777" w:rsidR="00672DFD" w:rsidRPr="000973F2" w:rsidRDefault="00672DFD" w:rsidP="0018658C">
            <w:pPr>
              <w:tabs>
                <w:tab w:val="decimal" w:pos="331"/>
              </w:tabs>
              <w:spacing w:before="40" w:after="4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hAnsi="Times New Roman" w:cs="Times New Roman"/>
                <w:sz w:val="18"/>
                <w:szCs w:val="18"/>
              </w:rPr>
              <w:t>0</w:t>
            </w:r>
          </w:p>
        </w:tc>
        <w:tc>
          <w:tcPr>
            <w:tcW w:w="810" w:type="dxa"/>
            <w:noWrap/>
            <w:hideMark/>
          </w:tcPr>
          <w:p w14:paraId="5D4AA64E" w14:textId="77777777" w:rsidR="00672DFD" w:rsidRPr="000973F2" w:rsidRDefault="00672DFD" w:rsidP="0018658C">
            <w:pPr>
              <w:tabs>
                <w:tab w:val="decimal" w:pos="331"/>
              </w:tabs>
              <w:spacing w:before="40" w:after="4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hAnsi="Times New Roman" w:cs="Times New Roman"/>
                <w:sz w:val="18"/>
                <w:szCs w:val="18"/>
              </w:rPr>
              <w:t>0</w:t>
            </w:r>
          </w:p>
        </w:tc>
        <w:tc>
          <w:tcPr>
            <w:tcW w:w="810" w:type="dxa"/>
            <w:noWrap/>
            <w:hideMark/>
          </w:tcPr>
          <w:p w14:paraId="13DAD6AE" w14:textId="77777777" w:rsidR="00672DFD" w:rsidRPr="000973F2" w:rsidRDefault="00672DFD" w:rsidP="0018658C">
            <w:pPr>
              <w:tabs>
                <w:tab w:val="decimal" w:pos="331"/>
              </w:tabs>
              <w:spacing w:before="40" w:after="4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hAnsi="Times New Roman" w:cs="Times New Roman"/>
                <w:sz w:val="18"/>
                <w:szCs w:val="18"/>
              </w:rPr>
              <w:t>1.0</w:t>
            </w:r>
          </w:p>
        </w:tc>
        <w:tc>
          <w:tcPr>
            <w:tcW w:w="810" w:type="dxa"/>
            <w:noWrap/>
            <w:hideMark/>
          </w:tcPr>
          <w:p w14:paraId="4D6A8A9B" w14:textId="77777777" w:rsidR="00672DFD" w:rsidRPr="000973F2" w:rsidRDefault="00672DFD" w:rsidP="0018658C">
            <w:pPr>
              <w:tabs>
                <w:tab w:val="decimal" w:pos="331"/>
              </w:tabs>
              <w:spacing w:before="40" w:after="4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hAnsi="Times New Roman" w:cs="Times New Roman"/>
                <w:sz w:val="18"/>
                <w:szCs w:val="18"/>
              </w:rPr>
              <w:t>0</w:t>
            </w:r>
          </w:p>
        </w:tc>
        <w:tc>
          <w:tcPr>
            <w:tcW w:w="810" w:type="dxa"/>
            <w:noWrap/>
            <w:hideMark/>
          </w:tcPr>
          <w:p w14:paraId="0B543B65" w14:textId="77777777" w:rsidR="00672DFD" w:rsidRPr="000973F2" w:rsidRDefault="00672DFD" w:rsidP="0018658C">
            <w:pPr>
              <w:tabs>
                <w:tab w:val="decimal" w:pos="331"/>
              </w:tabs>
              <w:spacing w:before="40" w:after="4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hAnsi="Times New Roman" w:cs="Times New Roman"/>
                <w:sz w:val="18"/>
                <w:szCs w:val="18"/>
              </w:rPr>
              <w:t>3</w:t>
            </w:r>
          </w:p>
        </w:tc>
        <w:tc>
          <w:tcPr>
            <w:tcW w:w="810" w:type="dxa"/>
            <w:noWrap/>
            <w:hideMark/>
          </w:tcPr>
          <w:p w14:paraId="3977586D" w14:textId="77777777" w:rsidR="00672DFD" w:rsidRPr="000973F2" w:rsidRDefault="00672DFD" w:rsidP="0018658C">
            <w:pPr>
              <w:tabs>
                <w:tab w:val="decimal" w:pos="331"/>
              </w:tabs>
              <w:spacing w:before="40" w:after="4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hAnsi="Times New Roman" w:cs="Times New Roman"/>
                <w:sz w:val="18"/>
                <w:szCs w:val="18"/>
              </w:rPr>
              <w:t>0</w:t>
            </w:r>
          </w:p>
        </w:tc>
        <w:tc>
          <w:tcPr>
            <w:tcW w:w="810" w:type="dxa"/>
            <w:noWrap/>
            <w:hideMark/>
          </w:tcPr>
          <w:p w14:paraId="3288130F" w14:textId="77777777" w:rsidR="00672DFD" w:rsidRPr="000973F2" w:rsidRDefault="00672DFD" w:rsidP="0018658C">
            <w:pPr>
              <w:tabs>
                <w:tab w:val="decimal" w:pos="331"/>
              </w:tabs>
              <w:spacing w:before="40" w:after="4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hAnsi="Times New Roman" w:cs="Times New Roman"/>
                <w:sz w:val="18"/>
                <w:szCs w:val="18"/>
              </w:rPr>
              <w:t>0</w:t>
            </w:r>
          </w:p>
        </w:tc>
        <w:tc>
          <w:tcPr>
            <w:tcW w:w="757" w:type="dxa"/>
            <w:noWrap/>
            <w:hideMark/>
          </w:tcPr>
          <w:p w14:paraId="294FE88A" w14:textId="53207D6A" w:rsidR="00672DFD" w:rsidRPr="000973F2" w:rsidRDefault="00672DFD" w:rsidP="0018658C">
            <w:pPr>
              <w:tabs>
                <w:tab w:val="decimal" w:pos="331"/>
              </w:tabs>
              <w:spacing w:before="40" w:after="4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hAnsi="Times New Roman" w:cs="Times New Roman"/>
                <w:sz w:val="18"/>
                <w:szCs w:val="18"/>
              </w:rPr>
              <w:t>$0</w:t>
            </w:r>
          </w:p>
        </w:tc>
        <w:tc>
          <w:tcPr>
            <w:tcW w:w="758" w:type="dxa"/>
            <w:noWrap/>
            <w:hideMark/>
          </w:tcPr>
          <w:p w14:paraId="7998B18C" w14:textId="77777777" w:rsidR="00672DFD" w:rsidRPr="000973F2" w:rsidRDefault="00672DFD" w:rsidP="0018658C">
            <w:pPr>
              <w:tabs>
                <w:tab w:val="decimal" w:pos="481"/>
              </w:tabs>
              <w:spacing w:before="40" w:after="4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hAnsi="Times New Roman" w:cs="Times New Roman"/>
                <w:sz w:val="18"/>
                <w:szCs w:val="18"/>
              </w:rPr>
              <w:t xml:space="preserve">$302 </w:t>
            </w:r>
          </w:p>
        </w:tc>
      </w:tr>
      <w:tr w:rsidR="008F751E" w:rsidRPr="000973F2" w14:paraId="5B65163C" w14:textId="77777777" w:rsidTr="0018658C">
        <w:trPr>
          <w:cantSplit/>
        </w:trPr>
        <w:tc>
          <w:tcPr>
            <w:cnfStyle w:val="001000000000" w:firstRow="0" w:lastRow="0" w:firstColumn="1" w:lastColumn="0" w:oddVBand="0" w:evenVBand="0" w:oddHBand="0" w:evenHBand="0" w:firstRowFirstColumn="0" w:firstRowLastColumn="0" w:lastRowFirstColumn="0" w:lastRowLastColumn="0"/>
            <w:tcW w:w="1335" w:type="dxa"/>
            <w:hideMark/>
          </w:tcPr>
          <w:p w14:paraId="4475BCC5" w14:textId="77777777" w:rsidR="00672DFD" w:rsidRPr="000973F2" w:rsidRDefault="00672DFD" w:rsidP="0018658C">
            <w:pPr>
              <w:spacing w:before="40" w:after="4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Reporting</w:t>
            </w:r>
          </w:p>
        </w:tc>
        <w:tc>
          <w:tcPr>
            <w:tcW w:w="810" w:type="dxa"/>
            <w:noWrap/>
            <w:hideMark/>
          </w:tcPr>
          <w:p w14:paraId="73D7A136" w14:textId="77777777" w:rsidR="00672DFD" w:rsidRPr="000973F2" w:rsidRDefault="00672DFD" w:rsidP="0018658C">
            <w:pPr>
              <w:tabs>
                <w:tab w:val="decimal" w:pos="331"/>
              </w:tabs>
              <w:spacing w:before="40" w:after="4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hAnsi="Times New Roman" w:cs="Times New Roman"/>
                <w:sz w:val="18"/>
                <w:szCs w:val="18"/>
              </w:rPr>
              <w:t>0</w:t>
            </w:r>
          </w:p>
        </w:tc>
        <w:tc>
          <w:tcPr>
            <w:tcW w:w="810" w:type="dxa"/>
            <w:noWrap/>
            <w:hideMark/>
          </w:tcPr>
          <w:p w14:paraId="3250980B" w14:textId="77777777" w:rsidR="00672DFD" w:rsidRPr="000973F2" w:rsidRDefault="00672DFD" w:rsidP="0018658C">
            <w:pPr>
              <w:tabs>
                <w:tab w:val="decimal" w:pos="331"/>
              </w:tabs>
              <w:spacing w:before="40" w:after="4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hAnsi="Times New Roman" w:cs="Times New Roman"/>
                <w:sz w:val="18"/>
                <w:szCs w:val="18"/>
              </w:rPr>
              <w:t>0</w:t>
            </w:r>
          </w:p>
        </w:tc>
        <w:tc>
          <w:tcPr>
            <w:tcW w:w="810" w:type="dxa"/>
            <w:noWrap/>
            <w:hideMark/>
          </w:tcPr>
          <w:p w14:paraId="58E5A88C" w14:textId="77777777" w:rsidR="00672DFD" w:rsidRPr="000973F2" w:rsidRDefault="00672DFD" w:rsidP="0018658C">
            <w:pPr>
              <w:tabs>
                <w:tab w:val="decimal" w:pos="331"/>
              </w:tabs>
              <w:spacing w:before="40" w:after="4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hAnsi="Times New Roman" w:cs="Times New Roman"/>
                <w:sz w:val="18"/>
                <w:szCs w:val="18"/>
              </w:rPr>
              <w:t>0</w:t>
            </w:r>
          </w:p>
        </w:tc>
        <w:tc>
          <w:tcPr>
            <w:tcW w:w="810" w:type="dxa"/>
            <w:noWrap/>
            <w:hideMark/>
          </w:tcPr>
          <w:p w14:paraId="7D7FF8CB" w14:textId="77777777" w:rsidR="00672DFD" w:rsidRPr="000973F2" w:rsidRDefault="00672DFD" w:rsidP="0018658C">
            <w:pPr>
              <w:tabs>
                <w:tab w:val="decimal" w:pos="331"/>
              </w:tabs>
              <w:spacing w:before="40" w:after="4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hAnsi="Times New Roman" w:cs="Times New Roman"/>
                <w:sz w:val="18"/>
                <w:szCs w:val="18"/>
              </w:rPr>
              <w:t>1.0</w:t>
            </w:r>
          </w:p>
        </w:tc>
        <w:tc>
          <w:tcPr>
            <w:tcW w:w="810" w:type="dxa"/>
            <w:noWrap/>
            <w:hideMark/>
          </w:tcPr>
          <w:p w14:paraId="31788034" w14:textId="77777777" w:rsidR="00672DFD" w:rsidRPr="000973F2" w:rsidRDefault="00672DFD" w:rsidP="0018658C">
            <w:pPr>
              <w:tabs>
                <w:tab w:val="decimal" w:pos="331"/>
              </w:tabs>
              <w:spacing w:before="40" w:after="4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hAnsi="Times New Roman" w:cs="Times New Roman"/>
                <w:sz w:val="18"/>
                <w:szCs w:val="18"/>
              </w:rPr>
              <w:t>0</w:t>
            </w:r>
          </w:p>
        </w:tc>
        <w:tc>
          <w:tcPr>
            <w:tcW w:w="810" w:type="dxa"/>
            <w:noWrap/>
            <w:hideMark/>
          </w:tcPr>
          <w:p w14:paraId="76DB197D" w14:textId="77777777" w:rsidR="00672DFD" w:rsidRPr="000973F2" w:rsidRDefault="00672DFD" w:rsidP="0018658C">
            <w:pPr>
              <w:tabs>
                <w:tab w:val="decimal" w:pos="331"/>
              </w:tabs>
              <w:spacing w:before="40" w:after="4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hAnsi="Times New Roman" w:cs="Times New Roman"/>
                <w:sz w:val="18"/>
                <w:szCs w:val="18"/>
              </w:rPr>
              <w:t>4</w:t>
            </w:r>
          </w:p>
        </w:tc>
        <w:tc>
          <w:tcPr>
            <w:tcW w:w="810" w:type="dxa"/>
            <w:noWrap/>
            <w:hideMark/>
          </w:tcPr>
          <w:p w14:paraId="4E6DBF01" w14:textId="77777777" w:rsidR="00672DFD" w:rsidRPr="000973F2" w:rsidRDefault="00672DFD" w:rsidP="0018658C">
            <w:pPr>
              <w:tabs>
                <w:tab w:val="decimal" w:pos="331"/>
              </w:tabs>
              <w:spacing w:before="40" w:after="4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hAnsi="Times New Roman" w:cs="Times New Roman"/>
                <w:sz w:val="18"/>
                <w:szCs w:val="18"/>
              </w:rPr>
              <w:t>0</w:t>
            </w:r>
          </w:p>
        </w:tc>
        <w:tc>
          <w:tcPr>
            <w:tcW w:w="810" w:type="dxa"/>
            <w:noWrap/>
            <w:hideMark/>
          </w:tcPr>
          <w:p w14:paraId="63456719" w14:textId="77777777" w:rsidR="00672DFD" w:rsidRPr="000973F2" w:rsidRDefault="00672DFD" w:rsidP="0018658C">
            <w:pPr>
              <w:tabs>
                <w:tab w:val="decimal" w:pos="331"/>
              </w:tabs>
              <w:spacing w:before="40" w:after="4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hAnsi="Times New Roman" w:cs="Times New Roman"/>
                <w:sz w:val="18"/>
                <w:szCs w:val="18"/>
              </w:rPr>
              <w:t>1.0</w:t>
            </w:r>
          </w:p>
        </w:tc>
        <w:tc>
          <w:tcPr>
            <w:tcW w:w="757" w:type="dxa"/>
            <w:noWrap/>
            <w:hideMark/>
          </w:tcPr>
          <w:p w14:paraId="78910CD6" w14:textId="207822A7" w:rsidR="00672DFD" w:rsidRPr="000973F2" w:rsidRDefault="00672DFD" w:rsidP="0018658C">
            <w:pPr>
              <w:tabs>
                <w:tab w:val="decimal" w:pos="331"/>
              </w:tabs>
              <w:spacing w:before="40" w:after="4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hAnsi="Times New Roman" w:cs="Times New Roman"/>
                <w:sz w:val="18"/>
                <w:szCs w:val="18"/>
              </w:rPr>
              <w:t>$0</w:t>
            </w:r>
          </w:p>
        </w:tc>
        <w:tc>
          <w:tcPr>
            <w:tcW w:w="758" w:type="dxa"/>
            <w:noWrap/>
            <w:hideMark/>
          </w:tcPr>
          <w:p w14:paraId="6FA65704" w14:textId="77777777" w:rsidR="00672DFD" w:rsidRPr="000973F2" w:rsidRDefault="00672DFD" w:rsidP="0018658C">
            <w:pPr>
              <w:tabs>
                <w:tab w:val="decimal" w:pos="481"/>
              </w:tabs>
              <w:spacing w:before="40" w:after="4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hAnsi="Times New Roman" w:cs="Times New Roman"/>
                <w:sz w:val="18"/>
                <w:szCs w:val="18"/>
              </w:rPr>
              <w:t xml:space="preserve">$410 </w:t>
            </w:r>
          </w:p>
        </w:tc>
      </w:tr>
      <w:tr w:rsidR="00FA67DC" w:rsidRPr="000973F2" w14:paraId="23DE0256" w14:textId="77777777" w:rsidTr="0018658C">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1335" w:type="dxa"/>
            <w:noWrap/>
            <w:hideMark/>
          </w:tcPr>
          <w:p w14:paraId="5012D749" w14:textId="77777777" w:rsidR="00672DFD" w:rsidRPr="000973F2" w:rsidRDefault="00672DFD" w:rsidP="0018658C">
            <w:pPr>
              <w:spacing w:before="40" w:after="40"/>
              <w:rPr>
                <w:rFonts w:ascii="Times New Roman" w:eastAsia="Times New Roman" w:hAnsi="Times New Roman" w:cs="Times New Roman"/>
                <w:b/>
                <w:bCs w:val="0"/>
                <w:sz w:val="18"/>
                <w:szCs w:val="18"/>
              </w:rPr>
            </w:pPr>
            <w:r w:rsidRPr="000973F2">
              <w:rPr>
                <w:rFonts w:ascii="Times New Roman" w:eastAsia="Times New Roman" w:hAnsi="Times New Roman" w:cs="Times New Roman"/>
                <w:b/>
                <w:sz w:val="18"/>
                <w:szCs w:val="18"/>
              </w:rPr>
              <w:t>Total</w:t>
            </w:r>
          </w:p>
        </w:tc>
        <w:tc>
          <w:tcPr>
            <w:tcW w:w="810" w:type="dxa"/>
            <w:noWrap/>
            <w:hideMark/>
          </w:tcPr>
          <w:p w14:paraId="7DD9DD0A" w14:textId="77777777" w:rsidR="00672DFD" w:rsidRPr="000973F2" w:rsidRDefault="00672DFD" w:rsidP="0018658C">
            <w:pPr>
              <w:tabs>
                <w:tab w:val="decimal" w:pos="331"/>
              </w:tabs>
              <w:spacing w:before="40" w:after="4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18"/>
                <w:szCs w:val="18"/>
              </w:rPr>
            </w:pPr>
            <w:r w:rsidRPr="000973F2">
              <w:rPr>
                <w:rFonts w:ascii="Times New Roman" w:hAnsi="Times New Roman" w:cs="Times New Roman"/>
                <w:b/>
                <w:bCs/>
                <w:sz w:val="18"/>
                <w:szCs w:val="18"/>
              </w:rPr>
              <w:t>0</w:t>
            </w:r>
          </w:p>
        </w:tc>
        <w:tc>
          <w:tcPr>
            <w:tcW w:w="810" w:type="dxa"/>
            <w:noWrap/>
            <w:hideMark/>
          </w:tcPr>
          <w:p w14:paraId="2A01BA73" w14:textId="77777777" w:rsidR="00672DFD" w:rsidRPr="000973F2" w:rsidRDefault="00672DFD" w:rsidP="0018658C">
            <w:pPr>
              <w:tabs>
                <w:tab w:val="decimal" w:pos="331"/>
              </w:tabs>
              <w:spacing w:before="40" w:after="4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18"/>
                <w:szCs w:val="18"/>
              </w:rPr>
            </w:pPr>
            <w:r w:rsidRPr="000973F2">
              <w:rPr>
                <w:rFonts w:ascii="Times New Roman" w:hAnsi="Times New Roman" w:cs="Times New Roman"/>
                <w:b/>
                <w:bCs/>
                <w:sz w:val="18"/>
                <w:szCs w:val="18"/>
              </w:rPr>
              <w:t>0</w:t>
            </w:r>
          </w:p>
        </w:tc>
        <w:tc>
          <w:tcPr>
            <w:tcW w:w="810" w:type="dxa"/>
            <w:noWrap/>
            <w:hideMark/>
          </w:tcPr>
          <w:p w14:paraId="1F5AA452" w14:textId="77777777" w:rsidR="00672DFD" w:rsidRPr="000973F2" w:rsidRDefault="00672DFD" w:rsidP="0018658C">
            <w:pPr>
              <w:tabs>
                <w:tab w:val="decimal" w:pos="331"/>
              </w:tabs>
              <w:spacing w:before="40" w:after="4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18"/>
                <w:szCs w:val="18"/>
              </w:rPr>
            </w:pPr>
            <w:r w:rsidRPr="000973F2">
              <w:rPr>
                <w:rFonts w:ascii="Times New Roman" w:hAnsi="Times New Roman" w:cs="Times New Roman"/>
                <w:b/>
                <w:bCs/>
                <w:sz w:val="18"/>
                <w:szCs w:val="18"/>
              </w:rPr>
              <w:t>0</w:t>
            </w:r>
          </w:p>
        </w:tc>
        <w:tc>
          <w:tcPr>
            <w:tcW w:w="810" w:type="dxa"/>
            <w:noWrap/>
            <w:hideMark/>
          </w:tcPr>
          <w:p w14:paraId="735EAFC2" w14:textId="77777777" w:rsidR="00672DFD" w:rsidRPr="000973F2" w:rsidRDefault="00672DFD" w:rsidP="0018658C">
            <w:pPr>
              <w:tabs>
                <w:tab w:val="decimal" w:pos="331"/>
              </w:tabs>
              <w:spacing w:before="40" w:after="4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18"/>
                <w:szCs w:val="18"/>
              </w:rPr>
            </w:pPr>
            <w:r w:rsidRPr="000973F2">
              <w:rPr>
                <w:rFonts w:ascii="Times New Roman" w:hAnsi="Times New Roman" w:cs="Times New Roman"/>
                <w:b/>
                <w:bCs/>
                <w:sz w:val="18"/>
                <w:szCs w:val="18"/>
              </w:rPr>
              <w:t>2.5</w:t>
            </w:r>
          </w:p>
        </w:tc>
        <w:tc>
          <w:tcPr>
            <w:tcW w:w="810" w:type="dxa"/>
            <w:noWrap/>
            <w:hideMark/>
          </w:tcPr>
          <w:p w14:paraId="12899ABE" w14:textId="77777777" w:rsidR="00672DFD" w:rsidRPr="000973F2" w:rsidRDefault="00672DFD" w:rsidP="0018658C">
            <w:pPr>
              <w:tabs>
                <w:tab w:val="decimal" w:pos="331"/>
              </w:tabs>
              <w:spacing w:before="40" w:after="4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18"/>
                <w:szCs w:val="18"/>
              </w:rPr>
            </w:pPr>
            <w:r w:rsidRPr="000973F2">
              <w:rPr>
                <w:rFonts w:ascii="Times New Roman" w:hAnsi="Times New Roman" w:cs="Times New Roman"/>
                <w:b/>
                <w:bCs/>
                <w:sz w:val="18"/>
                <w:szCs w:val="18"/>
              </w:rPr>
              <w:t>0</w:t>
            </w:r>
          </w:p>
        </w:tc>
        <w:tc>
          <w:tcPr>
            <w:tcW w:w="810" w:type="dxa"/>
            <w:noWrap/>
            <w:hideMark/>
          </w:tcPr>
          <w:p w14:paraId="440228D7" w14:textId="77777777" w:rsidR="00672DFD" w:rsidRPr="000973F2" w:rsidRDefault="00672DFD" w:rsidP="0018658C">
            <w:pPr>
              <w:tabs>
                <w:tab w:val="decimal" w:pos="331"/>
              </w:tabs>
              <w:spacing w:before="40" w:after="4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18"/>
                <w:szCs w:val="18"/>
              </w:rPr>
            </w:pPr>
            <w:r w:rsidRPr="000973F2">
              <w:rPr>
                <w:rFonts w:ascii="Times New Roman" w:hAnsi="Times New Roman" w:cs="Times New Roman"/>
                <w:b/>
                <w:bCs/>
                <w:sz w:val="18"/>
                <w:szCs w:val="18"/>
              </w:rPr>
              <w:t>9</w:t>
            </w:r>
          </w:p>
        </w:tc>
        <w:tc>
          <w:tcPr>
            <w:tcW w:w="810" w:type="dxa"/>
            <w:noWrap/>
            <w:hideMark/>
          </w:tcPr>
          <w:p w14:paraId="21E59454" w14:textId="77777777" w:rsidR="00672DFD" w:rsidRPr="000973F2" w:rsidRDefault="00672DFD" w:rsidP="0018658C">
            <w:pPr>
              <w:tabs>
                <w:tab w:val="decimal" w:pos="331"/>
              </w:tabs>
              <w:spacing w:before="40" w:after="4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18"/>
                <w:szCs w:val="18"/>
              </w:rPr>
            </w:pPr>
            <w:r w:rsidRPr="000973F2">
              <w:rPr>
                <w:rFonts w:ascii="Times New Roman" w:hAnsi="Times New Roman" w:cs="Times New Roman"/>
                <w:b/>
                <w:bCs/>
                <w:sz w:val="18"/>
                <w:szCs w:val="18"/>
              </w:rPr>
              <w:t>0</w:t>
            </w:r>
          </w:p>
        </w:tc>
        <w:tc>
          <w:tcPr>
            <w:tcW w:w="810" w:type="dxa"/>
            <w:noWrap/>
            <w:hideMark/>
          </w:tcPr>
          <w:p w14:paraId="7F781448" w14:textId="77777777" w:rsidR="00672DFD" w:rsidRPr="000973F2" w:rsidRDefault="00672DFD" w:rsidP="0018658C">
            <w:pPr>
              <w:tabs>
                <w:tab w:val="decimal" w:pos="331"/>
              </w:tabs>
              <w:spacing w:before="40" w:after="4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18"/>
                <w:szCs w:val="18"/>
              </w:rPr>
            </w:pPr>
            <w:r w:rsidRPr="000973F2">
              <w:rPr>
                <w:rFonts w:ascii="Times New Roman" w:hAnsi="Times New Roman" w:cs="Times New Roman"/>
                <w:b/>
                <w:bCs/>
                <w:sz w:val="18"/>
                <w:szCs w:val="18"/>
              </w:rPr>
              <w:t>1.5</w:t>
            </w:r>
          </w:p>
        </w:tc>
        <w:tc>
          <w:tcPr>
            <w:tcW w:w="757" w:type="dxa"/>
            <w:noWrap/>
            <w:hideMark/>
          </w:tcPr>
          <w:p w14:paraId="3CAF1015" w14:textId="3BD61DA9" w:rsidR="00672DFD" w:rsidRPr="000973F2" w:rsidRDefault="00672DFD" w:rsidP="0018658C">
            <w:pPr>
              <w:tabs>
                <w:tab w:val="decimal" w:pos="331"/>
              </w:tabs>
              <w:spacing w:before="40" w:after="4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18"/>
                <w:szCs w:val="18"/>
              </w:rPr>
            </w:pPr>
            <w:r w:rsidRPr="000973F2">
              <w:rPr>
                <w:rFonts w:ascii="Times New Roman" w:hAnsi="Times New Roman" w:cs="Times New Roman"/>
                <w:b/>
                <w:bCs/>
                <w:sz w:val="18"/>
                <w:szCs w:val="18"/>
              </w:rPr>
              <w:t>$0</w:t>
            </w:r>
          </w:p>
        </w:tc>
        <w:tc>
          <w:tcPr>
            <w:tcW w:w="758" w:type="dxa"/>
            <w:noWrap/>
            <w:hideMark/>
          </w:tcPr>
          <w:p w14:paraId="2308CE45" w14:textId="77777777" w:rsidR="00672DFD" w:rsidRPr="000973F2" w:rsidRDefault="00672DFD" w:rsidP="0018658C">
            <w:pPr>
              <w:tabs>
                <w:tab w:val="decimal" w:pos="481"/>
              </w:tabs>
              <w:spacing w:before="40" w:after="4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18"/>
                <w:szCs w:val="18"/>
              </w:rPr>
            </w:pPr>
            <w:r w:rsidRPr="000973F2">
              <w:rPr>
                <w:rFonts w:ascii="Times New Roman" w:hAnsi="Times New Roman" w:cs="Times New Roman"/>
                <w:b/>
                <w:bCs/>
                <w:sz w:val="18"/>
                <w:szCs w:val="18"/>
              </w:rPr>
              <w:t xml:space="preserve">$917 </w:t>
            </w:r>
          </w:p>
        </w:tc>
      </w:tr>
    </w:tbl>
    <w:p w14:paraId="170C6BD8" w14:textId="77777777" w:rsidR="00672DFD" w:rsidRPr="000973F2" w:rsidRDefault="00672DFD" w:rsidP="00C00E4F">
      <w:pPr>
        <w:spacing w:after="0" w:line="240" w:lineRule="auto"/>
        <w:jc w:val="center"/>
        <w:rPr>
          <w:rFonts w:ascii="Times New Roman" w:eastAsia="Times New Roman" w:hAnsi="Times New Roman" w:cs="Times New Roman"/>
          <w:b/>
          <w:bCs/>
          <w:sz w:val="24"/>
          <w:szCs w:val="24"/>
        </w:rPr>
      </w:pPr>
    </w:p>
    <w:p w14:paraId="46F181C3" w14:textId="77777777" w:rsidR="00672DFD" w:rsidRPr="000973F2" w:rsidRDefault="00672DFD" w:rsidP="00C00E4F">
      <w:pPr>
        <w:spacing w:line="240" w:lineRule="auto"/>
        <w:rPr>
          <w:rFonts w:ascii="Times New Roman" w:hAnsi="Times New Roman" w:cs="Times New Roman"/>
          <w:i/>
          <w:sz w:val="24"/>
          <w:szCs w:val="24"/>
        </w:rPr>
      </w:pPr>
      <w:r w:rsidRPr="000973F2">
        <w:rPr>
          <w:rFonts w:ascii="Times New Roman" w:hAnsi="Times New Roman" w:cs="Times New Roman"/>
          <w:i/>
          <w:sz w:val="24"/>
          <w:szCs w:val="24"/>
        </w:rPr>
        <w:br w:type="page"/>
      </w:r>
    </w:p>
    <w:p w14:paraId="3A0BF899" w14:textId="77777777" w:rsidR="00672DFD" w:rsidRPr="000973F2" w:rsidRDefault="00672DFD" w:rsidP="0018658C">
      <w:pPr>
        <w:pStyle w:val="Heading2"/>
      </w:pPr>
      <w:r w:rsidRPr="000973F2">
        <w:t>Capital and O&amp;M Costs for Subpart PP</w:t>
      </w:r>
    </w:p>
    <w:p w14:paraId="784CC87D" w14:textId="35FB244F" w:rsidR="00672DFD" w:rsidRPr="000973F2" w:rsidRDefault="00672DFD" w:rsidP="0018658C">
      <w:pPr>
        <w:pStyle w:val="BodyText"/>
      </w:pPr>
      <w:r w:rsidRPr="000973F2">
        <w:t xml:space="preserve">Table </w:t>
      </w:r>
      <w:r w:rsidR="0018658C" w:rsidRPr="000973F2">
        <w:t>PP-</w:t>
      </w:r>
      <w:r w:rsidRPr="000973F2">
        <w:t xml:space="preserve">2 below summarizes the capital and O&amp;M costs for </w:t>
      </w:r>
      <w:r w:rsidR="00410CC5" w:rsidRPr="000973F2">
        <w:t>S</w:t>
      </w:r>
      <w:r w:rsidRPr="000973F2">
        <w:t>ubpart PP. Facilities will only incur O&amp;M costs associated with recordkeeping, as discussed in the Cost Appendix Introduction. No capital costs are expected.</w:t>
      </w:r>
    </w:p>
    <w:p w14:paraId="03061AAB" w14:textId="414A5681" w:rsidR="00672DFD" w:rsidRPr="000973F2" w:rsidRDefault="006A2BE8" w:rsidP="0018658C">
      <w:pPr>
        <w:pStyle w:val="Tabletitle"/>
      </w:pPr>
      <w:r w:rsidRPr="000973F2">
        <w:t xml:space="preserve">Table </w:t>
      </w:r>
      <w:r w:rsidR="0018658C" w:rsidRPr="000973F2">
        <w:t>PP-</w:t>
      </w:r>
      <w:r w:rsidRPr="000973F2">
        <w:t xml:space="preserve">2. Capital and O&amp;M Costs </w:t>
      </w:r>
      <w:r w:rsidR="00B960CC" w:rsidRPr="000973F2">
        <w:t>–</w:t>
      </w:r>
      <w:r w:rsidRPr="000973F2">
        <w:t xml:space="preserve"> </w:t>
      </w:r>
      <w:r w:rsidR="00672DFD" w:rsidRPr="000973F2">
        <w:t>Subpart PP</w:t>
      </w:r>
    </w:p>
    <w:tbl>
      <w:tblPr>
        <w:tblStyle w:val="PlainTable1"/>
        <w:tblW w:w="5000" w:type="pct"/>
        <w:jc w:val="left"/>
        <w:tblLayout w:type="fixed"/>
        <w:tblCellMar>
          <w:left w:w="115" w:type="dxa"/>
          <w:right w:w="115" w:type="dxa"/>
        </w:tblCellMar>
        <w:tblLook w:val="04A0" w:firstRow="1" w:lastRow="0" w:firstColumn="1" w:lastColumn="0" w:noHBand="0" w:noVBand="1"/>
      </w:tblPr>
      <w:tblGrid>
        <w:gridCol w:w="1370"/>
        <w:gridCol w:w="1370"/>
        <w:gridCol w:w="1370"/>
        <w:gridCol w:w="1370"/>
        <w:gridCol w:w="1370"/>
        <w:gridCol w:w="1370"/>
        <w:gridCol w:w="1370"/>
      </w:tblGrid>
      <w:tr w:rsidR="00D17312" w:rsidRPr="000973F2" w14:paraId="3DE69B3E" w14:textId="77777777" w:rsidTr="0018658C">
        <w:trPr>
          <w:cnfStyle w:val="100000000000" w:firstRow="1" w:lastRow="0" w:firstColumn="0" w:lastColumn="0" w:oddVBand="0" w:evenVBand="0" w:oddHBand="0" w:evenHBand="0" w:firstRowFirstColumn="0" w:firstRowLastColumn="0" w:lastRowFirstColumn="0" w:lastRowLastColumn="0"/>
          <w:cantSplit/>
          <w:jc w:val="left"/>
        </w:trPr>
        <w:tc>
          <w:tcPr>
            <w:cnfStyle w:val="001000000000" w:firstRow="0" w:lastRow="0" w:firstColumn="1" w:lastColumn="0" w:oddVBand="0" w:evenVBand="0" w:oddHBand="0" w:evenHBand="0" w:firstRowFirstColumn="0" w:firstRowLastColumn="0" w:lastRowFirstColumn="0" w:lastRowLastColumn="0"/>
            <w:tcW w:w="1332" w:type="dxa"/>
            <w:vMerge w:val="restart"/>
            <w:noWrap/>
            <w:vAlign w:val="top"/>
            <w:hideMark/>
          </w:tcPr>
          <w:p w14:paraId="1C39BAF6" w14:textId="37AEA04A" w:rsidR="00D17312" w:rsidRPr="000973F2" w:rsidRDefault="00D17312" w:rsidP="0018658C">
            <w:pPr>
              <w:spacing w:before="40" w:after="40"/>
              <w:rPr>
                <w:rFonts w:ascii="Times New Roman" w:eastAsia="Times New Roman" w:hAnsi="Times New Roman" w:cs="Times New Roman"/>
                <w:b w:val="0"/>
                <w:bCs w:val="0"/>
                <w:sz w:val="18"/>
                <w:szCs w:val="18"/>
              </w:rPr>
            </w:pPr>
            <w:r w:rsidRPr="000973F2">
              <w:rPr>
                <w:rFonts w:ascii="Times New Roman" w:eastAsia="Times New Roman" w:hAnsi="Times New Roman" w:cs="Times New Roman"/>
                <w:sz w:val="18"/>
                <w:szCs w:val="18"/>
              </w:rPr>
              <w:t>Activity</w:t>
            </w:r>
          </w:p>
        </w:tc>
        <w:tc>
          <w:tcPr>
            <w:tcW w:w="5332" w:type="dxa"/>
            <w:gridSpan w:val="4"/>
            <w:noWrap/>
            <w:vAlign w:val="top"/>
            <w:hideMark/>
          </w:tcPr>
          <w:p w14:paraId="6DC6229E" w14:textId="77777777" w:rsidR="00D17312" w:rsidRPr="000973F2" w:rsidRDefault="00D17312" w:rsidP="0018658C">
            <w:pPr>
              <w:spacing w:before="40" w:after="40"/>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bCs w:val="0"/>
                <w:sz w:val="18"/>
                <w:szCs w:val="18"/>
              </w:rPr>
            </w:pPr>
            <w:r w:rsidRPr="000973F2">
              <w:rPr>
                <w:rFonts w:ascii="Times New Roman" w:eastAsia="Times New Roman" w:hAnsi="Times New Roman" w:cs="Times New Roman"/>
                <w:sz w:val="18"/>
                <w:szCs w:val="18"/>
              </w:rPr>
              <w:t>Cost Categories</w:t>
            </w:r>
          </w:p>
        </w:tc>
        <w:tc>
          <w:tcPr>
            <w:tcW w:w="2666" w:type="dxa"/>
            <w:gridSpan w:val="2"/>
            <w:vAlign w:val="top"/>
            <w:hideMark/>
          </w:tcPr>
          <w:p w14:paraId="652B0188" w14:textId="77777777" w:rsidR="00D17312" w:rsidRPr="000973F2" w:rsidRDefault="00D17312" w:rsidP="0018658C">
            <w:pPr>
              <w:spacing w:before="40" w:after="40"/>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bCs w:val="0"/>
                <w:sz w:val="18"/>
                <w:szCs w:val="18"/>
              </w:rPr>
            </w:pPr>
            <w:r w:rsidRPr="000973F2">
              <w:rPr>
                <w:rFonts w:ascii="Times New Roman" w:eastAsia="Times New Roman" w:hAnsi="Times New Roman" w:cs="Times New Roman"/>
                <w:sz w:val="18"/>
                <w:szCs w:val="18"/>
              </w:rPr>
              <w:t>Total Capital and O&amp;M Cost per Year per Facility (2017$)</w:t>
            </w:r>
          </w:p>
        </w:tc>
      </w:tr>
      <w:tr w:rsidR="00D17312" w:rsidRPr="000973F2" w14:paraId="49F093F5" w14:textId="77777777" w:rsidTr="0018658C">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1332" w:type="dxa"/>
            <w:vMerge/>
            <w:noWrap/>
            <w:hideMark/>
          </w:tcPr>
          <w:p w14:paraId="52DE7562" w14:textId="349085C9" w:rsidR="00D17312" w:rsidRPr="000973F2" w:rsidRDefault="00D17312" w:rsidP="0018658C">
            <w:pPr>
              <w:spacing w:before="40" w:after="40"/>
              <w:jc w:val="center"/>
              <w:rPr>
                <w:rFonts w:ascii="Times New Roman" w:eastAsia="Times New Roman" w:hAnsi="Times New Roman" w:cs="Times New Roman"/>
                <w:b/>
                <w:bCs w:val="0"/>
                <w:sz w:val="18"/>
                <w:szCs w:val="18"/>
              </w:rPr>
            </w:pPr>
          </w:p>
        </w:tc>
        <w:tc>
          <w:tcPr>
            <w:tcW w:w="1333" w:type="dxa"/>
            <w:hideMark/>
          </w:tcPr>
          <w:p w14:paraId="3B4A24F7" w14:textId="77777777" w:rsidR="00D17312" w:rsidRPr="000973F2" w:rsidRDefault="00D17312" w:rsidP="0018658C">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18"/>
                <w:szCs w:val="18"/>
              </w:rPr>
            </w:pPr>
            <w:r w:rsidRPr="000973F2">
              <w:rPr>
                <w:rFonts w:ascii="Times New Roman" w:eastAsia="Times New Roman" w:hAnsi="Times New Roman" w:cs="Times New Roman"/>
                <w:b/>
                <w:bCs/>
                <w:sz w:val="18"/>
                <w:szCs w:val="18"/>
              </w:rPr>
              <w:t>Capital Cost (2017$)</w:t>
            </w:r>
          </w:p>
        </w:tc>
        <w:tc>
          <w:tcPr>
            <w:tcW w:w="1333" w:type="dxa"/>
            <w:hideMark/>
          </w:tcPr>
          <w:p w14:paraId="2678F4F1" w14:textId="77777777" w:rsidR="00D17312" w:rsidRPr="000973F2" w:rsidRDefault="00D17312" w:rsidP="0018658C">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18"/>
                <w:szCs w:val="18"/>
              </w:rPr>
            </w:pPr>
            <w:r w:rsidRPr="000973F2">
              <w:rPr>
                <w:rFonts w:ascii="Times New Roman" w:eastAsia="Times New Roman" w:hAnsi="Times New Roman" w:cs="Times New Roman"/>
                <w:b/>
                <w:bCs/>
                <w:sz w:val="18"/>
                <w:szCs w:val="18"/>
              </w:rPr>
              <w:t>Equipment Lifetime</w:t>
            </w:r>
          </w:p>
        </w:tc>
        <w:tc>
          <w:tcPr>
            <w:tcW w:w="1333" w:type="dxa"/>
            <w:hideMark/>
          </w:tcPr>
          <w:p w14:paraId="095999E5" w14:textId="77777777" w:rsidR="00D17312" w:rsidRPr="000973F2" w:rsidRDefault="00D17312" w:rsidP="0018658C">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18"/>
                <w:szCs w:val="18"/>
              </w:rPr>
            </w:pPr>
            <w:r w:rsidRPr="000973F2">
              <w:rPr>
                <w:rFonts w:ascii="Times New Roman" w:eastAsia="Times New Roman" w:hAnsi="Times New Roman" w:cs="Times New Roman"/>
                <w:b/>
                <w:bCs/>
                <w:sz w:val="18"/>
                <w:szCs w:val="18"/>
              </w:rPr>
              <w:t>Annualized Capital Cost (2017$/year)</w:t>
            </w:r>
          </w:p>
        </w:tc>
        <w:tc>
          <w:tcPr>
            <w:tcW w:w="1333" w:type="dxa"/>
            <w:hideMark/>
          </w:tcPr>
          <w:p w14:paraId="4D719F96" w14:textId="77777777" w:rsidR="00D17312" w:rsidRPr="000973F2" w:rsidRDefault="00D17312" w:rsidP="0018658C">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18"/>
                <w:szCs w:val="18"/>
              </w:rPr>
            </w:pPr>
            <w:r w:rsidRPr="000973F2">
              <w:rPr>
                <w:rFonts w:ascii="Times New Roman" w:eastAsia="Times New Roman" w:hAnsi="Times New Roman" w:cs="Times New Roman"/>
                <w:b/>
                <w:bCs/>
                <w:sz w:val="18"/>
                <w:szCs w:val="18"/>
              </w:rPr>
              <w:t>O&amp;M Costs (2017$/year)</w:t>
            </w:r>
          </w:p>
        </w:tc>
        <w:tc>
          <w:tcPr>
            <w:tcW w:w="1333" w:type="dxa"/>
            <w:hideMark/>
          </w:tcPr>
          <w:p w14:paraId="1B041C94" w14:textId="7DAA0C10" w:rsidR="00D17312" w:rsidRPr="000973F2" w:rsidRDefault="00D17312" w:rsidP="0018658C">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18"/>
                <w:szCs w:val="18"/>
              </w:rPr>
            </w:pPr>
            <w:r w:rsidRPr="000973F2">
              <w:rPr>
                <w:rFonts w:ascii="Times New Roman" w:eastAsia="Times New Roman" w:hAnsi="Times New Roman" w:cs="Times New Roman"/>
                <w:b/>
                <w:bCs/>
                <w:sz w:val="18"/>
                <w:szCs w:val="18"/>
              </w:rPr>
              <w:t>Initial</w:t>
            </w:r>
            <w:r w:rsidR="0018658C" w:rsidRPr="000973F2">
              <w:rPr>
                <w:rFonts w:ascii="Times New Roman" w:eastAsia="Times New Roman" w:hAnsi="Times New Roman" w:cs="Times New Roman"/>
                <w:b/>
                <w:bCs/>
                <w:sz w:val="18"/>
                <w:szCs w:val="18"/>
              </w:rPr>
              <w:br/>
            </w:r>
            <w:r w:rsidRPr="000973F2">
              <w:rPr>
                <w:rFonts w:ascii="Times New Roman" w:eastAsia="Times New Roman" w:hAnsi="Times New Roman" w:cs="Times New Roman"/>
                <w:b/>
                <w:bCs/>
                <w:sz w:val="18"/>
                <w:szCs w:val="18"/>
              </w:rPr>
              <w:t>Year</w:t>
            </w:r>
          </w:p>
        </w:tc>
        <w:tc>
          <w:tcPr>
            <w:tcW w:w="1333" w:type="dxa"/>
            <w:hideMark/>
          </w:tcPr>
          <w:p w14:paraId="07C92080" w14:textId="63091B1C" w:rsidR="00D17312" w:rsidRPr="000973F2" w:rsidRDefault="00D17312" w:rsidP="0018658C">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18"/>
                <w:szCs w:val="18"/>
              </w:rPr>
            </w:pPr>
            <w:r w:rsidRPr="000973F2">
              <w:rPr>
                <w:rFonts w:ascii="Times New Roman" w:eastAsia="Times New Roman" w:hAnsi="Times New Roman" w:cs="Times New Roman"/>
                <w:b/>
                <w:bCs/>
                <w:sz w:val="18"/>
                <w:szCs w:val="18"/>
              </w:rPr>
              <w:t>Subseq.</w:t>
            </w:r>
            <w:r w:rsidR="0018658C" w:rsidRPr="000973F2">
              <w:rPr>
                <w:rFonts w:ascii="Times New Roman" w:eastAsia="Times New Roman" w:hAnsi="Times New Roman" w:cs="Times New Roman"/>
                <w:b/>
                <w:bCs/>
                <w:sz w:val="18"/>
                <w:szCs w:val="18"/>
              </w:rPr>
              <w:br/>
            </w:r>
            <w:r w:rsidRPr="000973F2">
              <w:rPr>
                <w:rFonts w:ascii="Times New Roman" w:eastAsia="Times New Roman" w:hAnsi="Times New Roman" w:cs="Times New Roman"/>
                <w:b/>
                <w:bCs/>
                <w:sz w:val="18"/>
                <w:szCs w:val="18"/>
              </w:rPr>
              <w:t>Years</w:t>
            </w:r>
          </w:p>
        </w:tc>
      </w:tr>
      <w:tr w:rsidR="0018658C" w:rsidRPr="000973F2" w14:paraId="28F8E222" w14:textId="77777777" w:rsidTr="0018658C">
        <w:trPr>
          <w:cantSplit/>
        </w:trPr>
        <w:tc>
          <w:tcPr>
            <w:cnfStyle w:val="001000000000" w:firstRow="0" w:lastRow="0" w:firstColumn="1" w:lastColumn="0" w:oddVBand="0" w:evenVBand="0" w:oddHBand="0" w:evenHBand="0" w:firstRowFirstColumn="0" w:firstRowLastColumn="0" w:lastRowFirstColumn="0" w:lastRowLastColumn="0"/>
            <w:tcW w:w="1332" w:type="dxa"/>
            <w:hideMark/>
          </w:tcPr>
          <w:p w14:paraId="2D690675" w14:textId="77777777" w:rsidR="0018658C" w:rsidRPr="000973F2" w:rsidRDefault="0018658C" w:rsidP="0018658C">
            <w:pPr>
              <w:spacing w:before="40" w:after="4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Equipment (selection, purchase, installation)</w:t>
            </w:r>
          </w:p>
        </w:tc>
        <w:tc>
          <w:tcPr>
            <w:tcW w:w="1333" w:type="dxa"/>
            <w:noWrap/>
            <w:hideMark/>
          </w:tcPr>
          <w:p w14:paraId="312971EC" w14:textId="4C7D9123" w:rsidR="0018658C" w:rsidRPr="000973F2" w:rsidRDefault="0018658C" w:rsidP="0018658C">
            <w:pPr>
              <w:spacing w:before="40" w:after="4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w:t>
            </w:r>
          </w:p>
        </w:tc>
        <w:tc>
          <w:tcPr>
            <w:tcW w:w="1333" w:type="dxa"/>
            <w:noWrap/>
          </w:tcPr>
          <w:p w14:paraId="1E044626" w14:textId="301C35DF" w:rsidR="0018658C" w:rsidRPr="000973F2" w:rsidRDefault="0018658C" w:rsidP="0018658C">
            <w:pPr>
              <w:spacing w:before="40" w:after="4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p>
        </w:tc>
        <w:tc>
          <w:tcPr>
            <w:tcW w:w="1333" w:type="dxa"/>
            <w:noWrap/>
            <w:hideMark/>
          </w:tcPr>
          <w:p w14:paraId="2503EA5C" w14:textId="67810721" w:rsidR="0018658C" w:rsidRPr="000973F2" w:rsidRDefault="0018658C" w:rsidP="0018658C">
            <w:pPr>
              <w:spacing w:before="40" w:after="4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w:t>
            </w:r>
          </w:p>
        </w:tc>
        <w:tc>
          <w:tcPr>
            <w:tcW w:w="1333" w:type="dxa"/>
            <w:noWrap/>
            <w:hideMark/>
          </w:tcPr>
          <w:p w14:paraId="22429AFF" w14:textId="5F36A21C" w:rsidR="0018658C" w:rsidRPr="000973F2" w:rsidRDefault="0018658C" w:rsidP="0018658C">
            <w:pPr>
              <w:spacing w:before="40" w:after="4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w:t>
            </w:r>
          </w:p>
        </w:tc>
        <w:tc>
          <w:tcPr>
            <w:tcW w:w="1333" w:type="dxa"/>
            <w:noWrap/>
            <w:hideMark/>
          </w:tcPr>
          <w:p w14:paraId="7040FEBA" w14:textId="76A915BB" w:rsidR="0018658C" w:rsidRPr="000973F2" w:rsidRDefault="0018658C" w:rsidP="0018658C">
            <w:pPr>
              <w:spacing w:before="40" w:after="4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w:t>
            </w:r>
          </w:p>
        </w:tc>
        <w:tc>
          <w:tcPr>
            <w:tcW w:w="1333" w:type="dxa"/>
            <w:noWrap/>
            <w:hideMark/>
          </w:tcPr>
          <w:p w14:paraId="08791A76" w14:textId="0133ABD3" w:rsidR="0018658C" w:rsidRPr="000973F2" w:rsidRDefault="0018658C" w:rsidP="0018658C">
            <w:pPr>
              <w:spacing w:before="40" w:after="4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w:t>
            </w:r>
          </w:p>
        </w:tc>
      </w:tr>
      <w:tr w:rsidR="0018658C" w:rsidRPr="000973F2" w14:paraId="59BC675D" w14:textId="77777777" w:rsidTr="0018658C">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1332" w:type="dxa"/>
            <w:hideMark/>
          </w:tcPr>
          <w:p w14:paraId="6F07EDD8" w14:textId="77777777" w:rsidR="0018658C" w:rsidRPr="000973F2" w:rsidRDefault="0018658C" w:rsidP="0018658C">
            <w:pPr>
              <w:spacing w:before="40" w:after="4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Performance testing</w:t>
            </w:r>
          </w:p>
        </w:tc>
        <w:tc>
          <w:tcPr>
            <w:tcW w:w="1333" w:type="dxa"/>
            <w:noWrap/>
            <w:hideMark/>
          </w:tcPr>
          <w:p w14:paraId="1E3C59DA" w14:textId="128C82E4" w:rsidR="0018658C" w:rsidRPr="000973F2" w:rsidRDefault="0018658C" w:rsidP="0018658C">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w:t>
            </w:r>
          </w:p>
        </w:tc>
        <w:tc>
          <w:tcPr>
            <w:tcW w:w="1333" w:type="dxa"/>
            <w:noWrap/>
          </w:tcPr>
          <w:p w14:paraId="0C4FC6B5" w14:textId="454B67BB" w:rsidR="0018658C" w:rsidRPr="000973F2" w:rsidRDefault="0018658C" w:rsidP="0018658C">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p>
        </w:tc>
        <w:tc>
          <w:tcPr>
            <w:tcW w:w="1333" w:type="dxa"/>
            <w:noWrap/>
            <w:hideMark/>
          </w:tcPr>
          <w:p w14:paraId="6B86BE4E" w14:textId="59CDB4AB" w:rsidR="0018658C" w:rsidRPr="000973F2" w:rsidRDefault="0018658C" w:rsidP="0018658C">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w:t>
            </w:r>
          </w:p>
        </w:tc>
        <w:tc>
          <w:tcPr>
            <w:tcW w:w="1333" w:type="dxa"/>
            <w:noWrap/>
            <w:hideMark/>
          </w:tcPr>
          <w:p w14:paraId="2B3FAB27" w14:textId="6EA265F5" w:rsidR="0018658C" w:rsidRPr="000973F2" w:rsidRDefault="0018658C" w:rsidP="0018658C">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w:t>
            </w:r>
          </w:p>
        </w:tc>
        <w:tc>
          <w:tcPr>
            <w:tcW w:w="1333" w:type="dxa"/>
            <w:noWrap/>
            <w:hideMark/>
          </w:tcPr>
          <w:p w14:paraId="4495B18A" w14:textId="3781F9AC" w:rsidR="0018658C" w:rsidRPr="000973F2" w:rsidRDefault="0018658C" w:rsidP="0018658C">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w:t>
            </w:r>
          </w:p>
        </w:tc>
        <w:tc>
          <w:tcPr>
            <w:tcW w:w="1333" w:type="dxa"/>
            <w:noWrap/>
            <w:hideMark/>
          </w:tcPr>
          <w:p w14:paraId="3DC8C1B7" w14:textId="3A642DF2" w:rsidR="0018658C" w:rsidRPr="000973F2" w:rsidRDefault="0018658C" w:rsidP="0018658C">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w:t>
            </w:r>
          </w:p>
        </w:tc>
      </w:tr>
      <w:tr w:rsidR="00672DFD" w:rsidRPr="000973F2" w14:paraId="6A6CE413" w14:textId="77777777" w:rsidTr="0018658C">
        <w:trPr>
          <w:cantSplit/>
        </w:trPr>
        <w:tc>
          <w:tcPr>
            <w:cnfStyle w:val="001000000000" w:firstRow="0" w:lastRow="0" w:firstColumn="1" w:lastColumn="0" w:oddVBand="0" w:evenVBand="0" w:oddHBand="0" w:evenHBand="0" w:firstRowFirstColumn="0" w:firstRowLastColumn="0" w:lastRowFirstColumn="0" w:lastRowLastColumn="0"/>
            <w:tcW w:w="1332" w:type="dxa"/>
            <w:hideMark/>
          </w:tcPr>
          <w:p w14:paraId="2BD64B7B" w14:textId="77777777" w:rsidR="00672DFD" w:rsidRPr="000973F2" w:rsidRDefault="00672DFD" w:rsidP="0018658C">
            <w:pPr>
              <w:spacing w:before="40" w:after="4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Recordkeeping</w:t>
            </w:r>
          </w:p>
        </w:tc>
        <w:tc>
          <w:tcPr>
            <w:tcW w:w="1333" w:type="dxa"/>
            <w:noWrap/>
            <w:hideMark/>
          </w:tcPr>
          <w:p w14:paraId="571A685A" w14:textId="77777777" w:rsidR="00672DFD" w:rsidRPr="000973F2" w:rsidRDefault="00672DFD" w:rsidP="0018658C">
            <w:pPr>
              <w:spacing w:before="40" w:after="4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$0</w:t>
            </w:r>
          </w:p>
        </w:tc>
        <w:tc>
          <w:tcPr>
            <w:tcW w:w="1333" w:type="dxa"/>
            <w:noWrap/>
          </w:tcPr>
          <w:p w14:paraId="2B222727" w14:textId="1B0E92EB" w:rsidR="00672DFD" w:rsidRPr="000973F2" w:rsidRDefault="00672DFD" w:rsidP="0018658C">
            <w:pPr>
              <w:spacing w:before="40" w:after="4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p>
        </w:tc>
        <w:tc>
          <w:tcPr>
            <w:tcW w:w="1333" w:type="dxa"/>
            <w:noWrap/>
            <w:hideMark/>
          </w:tcPr>
          <w:p w14:paraId="5844D091" w14:textId="77777777" w:rsidR="00672DFD" w:rsidRPr="000973F2" w:rsidRDefault="00672DFD" w:rsidP="0018658C">
            <w:pPr>
              <w:spacing w:before="40" w:after="4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$0</w:t>
            </w:r>
          </w:p>
        </w:tc>
        <w:tc>
          <w:tcPr>
            <w:tcW w:w="1333" w:type="dxa"/>
            <w:noWrap/>
            <w:hideMark/>
          </w:tcPr>
          <w:p w14:paraId="63023CDD" w14:textId="77777777" w:rsidR="00672DFD" w:rsidRPr="000973F2" w:rsidRDefault="00672DFD" w:rsidP="0018658C">
            <w:pPr>
              <w:spacing w:before="40" w:after="4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$50</w:t>
            </w:r>
          </w:p>
        </w:tc>
        <w:tc>
          <w:tcPr>
            <w:tcW w:w="1333" w:type="dxa"/>
            <w:noWrap/>
            <w:hideMark/>
          </w:tcPr>
          <w:p w14:paraId="67E5E398" w14:textId="77777777" w:rsidR="00672DFD" w:rsidRPr="000973F2" w:rsidRDefault="00672DFD" w:rsidP="0018658C">
            <w:pPr>
              <w:spacing w:before="40" w:after="4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$0</w:t>
            </w:r>
          </w:p>
        </w:tc>
        <w:tc>
          <w:tcPr>
            <w:tcW w:w="1333" w:type="dxa"/>
            <w:noWrap/>
            <w:hideMark/>
          </w:tcPr>
          <w:p w14:paraId="79591AFA" w14:textId="77777777" w:rsidR="00672DFD" w:rsidRPr="000973F2" w:rsidRDefault="00672DFD" w:rsidP="0018658C">
            <w:pPr>
              <w:spacing w:before="40" w:after="4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$50</w:t>
            </w:r>
          </w:p>
        </w:tc>
      </w:tr>
      <w:tr w:rsidR="0018658C" w:rsidRPr="000973F2" w14:paraId="07F16FF3" w14:textId="77777777" w:rsidTr="0018658C">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1332" w:type="dxa"/>
            <w:hideMark/>
          </w:tcPr>
          <w:p w14:paraId="6E76A576" w14:textId="77777777" w:rsidR="0018658C" w:rsidRPr="000973F2" w:rsidRDefault="0018658C" w:rsidP="0018658C">
            <w:pPr>
              <w:spacing w:before="40" w:after="4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Travel</w:t>
            </w:r>
          </w:p>
        </w:tc>
        <w:tc>
          <w:tcPr>
            <w:tcW w:w="1333" w:type="dxa"/>
            <w:noWrap/>
            <w:hideMark/>
          </w:tcPr>
          <w:p w14:paraId="58B683AC" w14:textId="39289403" w:rsidR="0018658C" w:rsidRPr="000973F2" w:rsidRDefault="0018658C" w:rsidP="0018658C">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w:t>
            </w:r>
          </w:p>
        </w:tc>
        <w:tc>
          <w:tcPr>
            <w:tcW w:w="1333" w:type="dxa"/>
            <w:noWrap/>
          </w:tcPr>
          <w:p w14:paraId="6CE63539" w14:textId="78D741DA" w:rsidR="0018658C" w:rsidRPr="000973F2" w:rsidRDefault="0018658C" w:rsidP="0018658C">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p>
        </w:tc>
        <w:tc>
          <w:tcPr>
            <w:tcW w:w="1333" w:type="dxa"/>
            <w:noWrap/>
            <w:hideMark/>
          </w:tcPr>
          <w:p w14:paraId="5694C072" w14:textId="631A2449" w:rsidR="0018658C" w:rsidRPr="000973F2" w:rsidRDefault="0018658C" w:rsidP="0018658C">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w:t>
            </w:r>
          </w:p>
        </w:tc>
        <w:tc>
          <w:tcPr>
            <w:tcW w:w="1333" w:type="dxa"/>
            <w:noWrap/>
            <w:hideMark/>
          </w:tcPr>
          <w:p w14:paraId="23A7AF41" w14:textId="46DEE00B" w:rsidR="0018658C" w:rsidRPr="000973F2" w:rsidRDefault="0018658C" w:rsidP="0018658C">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w:t>
            </w:r>
          </w:p>
        </w:tc>
        <w:tc>
          <w:tcPr>
            <w:tcW w:w="1333" w:type="dxa"/>
            <w:noWrap/>
            <w:hideMark/>
          </w:tcPr>
          <w:p w14:paraId="72FB2248" w14:textId="6E96676C" w:rsidR="0018658C" w:rsidRPr="000973F2" w:rsidRDefault="0018658C" w:rsidP="0018658C">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w:t>
            </w:r>
          </w:p>
        </w:tc>
        <w:tc>
          <w:tcPr>
            <w:tcW w:w="1333" w:type="dxa"/>
            <w:noWrap/>
            <w:hideMark/>
          </w:tcPr>
          <w:p w14:paraId="275F23E9" w14:textId="6B46CF10" w:rsidR="0018658C" w:rsidRPr="000973F2" w:rsidRDefault="0018658C" w:rsidP="0018658C">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w:t>
            </w:r>
          </w:p>
        </w:tc>
      </w:tr>
      <w:tr w:rsidR="0018658C" w:rsidRPr="000973F2" w14:paraId="7756B069" w14:textId="77777777" w:rsidTr="0018658C">
        <w:trPr>
          <w:cantSplit/>
        </w:trPr>
        <w:tc>
          <w:tcPr>
            <w:cnfStyle w:val="001000000000" w:firstRow="0" w:lastRow="0" w:firstColumn="1" w:lastColumn="0" w:oddVBand="0" w:evenVBand="0" w:oddHBand="0" w:evenHBand="0" w:firstRowFirstColumn="0" w:firstRowLastColumn="0" w:lastRowFirstColumn="0" w:lastRowLastColumn="0"/>
            <w:tcW w:w="1332" w:type="dxa"/>
            <w:hideMark/>
          </w:tcPr>
          <w:p w14:paraId="546069A2" w14:textId="0FAD36DF" w:rsidR="0018658C" w:rsidRPr="000973F2" w:rsidRDefault="0018658C" w:rsidP="0018658C">
            <w:pPr>
              <w:spacing w:before="40" w:after="4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Sampling and Analysis Costs</w:t>
            </w:r>
          </w:p>
        </w:tc>
        <w:tc>
          <w:tcPr>
            <w:tcW w:w="1333" w:type="dxa"/>
            <w:noWrap/>
            <w:hideMark/>
          </w:tcPr>
          <w:p w14:paraId="11C15A13" w14:textId="27317161" w:rsidR="0018658C" w:rsidRPr="000973F2" w:rsidRDefault="0018658C" w:rsidP="0018658C">
            <w:pPr>
              <w:spacing w:before="40" w:after="4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w:t>
            </w:r>
          </w:p>
        </w:tc>
        <w:tc>
          <w:tcPr>
            <w:tcW w:w="1333" w:type="dxa"/>
            <w:noWrap/>
          </w:tcPr>
          <w:p w14:paraId="41A945CC" w14:textId="75064EFD" w:rsidR="0018658C" w:rsidRPr="000973F2" w:rsidRDefault="0018658C" w:rsidP="0018658C">
            <w:pPr>
              <w:spacing w:before="40" w:after="4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p>
        </w:tc>
        <w:tc>
          <w:tcPr>
            <w:tcW w:w="1333" w:type="dxa"/>
            <w:noWrap/>
            <w:hideMark/>
          </w:tcPr>
          <w:p w14:paraId="15E7741C" w14:textId="73877913" w:rsidR="0018658C" w:rsidRPr="000973F2" w:rsidRDefault="0018658C" w:rsidP="0018658C">
            <w:pPr>
              <w:spacing w:before="40" w:after="4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w:t>
            </w:r>
          </w:p>
        </w:tc>
        <w:tc>
          <w:tcPr>
            <w:tcW w:w="1333" w:type="dxa"/>
            <w:noWrap/>
            <w:hideMark/>
          </w:tcPr>
          <w:p w14:paraId="6B5E1735" w14:textId="675DFE44" w:rsidR="0018658C" w:rsidRPr="000973F2" w:rsidRDefault="0018658C" w:rsidP="0018658C">
            <w:pPr>
              <w:spacing w:before="40" w:after="4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w:t>
            </w:r>
          </w:p>
        </w:tc>
        <w:tc>
          <w:tcPr>
            <w:tcW w:w="1333" w:type="dxa"/>
            <w:noWrap/>
            <w:hideMark/>
          </w:tcPr>
          <w:p w14:paraId="13AD3F92" w14:textId="7F581D80" w:rsidR="0018658C" w:rsidRPr="000973F2" w:rsidRDefault="0018658C" w:rsidP="0018658C">
            <w:pPr>
              <w:spacing w:before="40" w:after="4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w:t>
            </w:r>
          </w:p>
        </w:tc>
        <w:tc>
          <w:tcPr>
            <w:tcW w:w="1333" w:type="dxa"/>
            <w:noWrap/>
            <w:hideMark/>
          </w:tcPr>
          <w:p w14:paraId="786C8C7E" w14:textId="262D3A24" w:rsidR="0018658C" w:rsidRPr="000973F2" w:rsidRDefault="0018658C" w:rsidP="0018658C">
            <w:pPr>
              <w:spacing w:before="40" w:after="4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w:t>
            </w:r>
          </w:p>
        </w:tc>
      </w:tr>
      <w:tr w:rsidR="00672DFD" w:rsidRPr="000973F2" w14:paraId="5552CF3E" w14:textId="77777777" w:rsidTr="0018658C">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1332" w:type="dxa"/>
            <w:hideMark/>
          </w:tcPr>
          <w:p w14:paraId="53BAA90D" w14:textId="77777777" w:rsidR="00672DFD" w:rsidRPr="000973F2" w:rsidRDefault="00672DFD" w:rsidP="0018658C">
            <w:pPr>
              <w:spacing w:before="40" w:after="40"/>
              <w:rPr>
                <w:rFonts w:ascii="Times New Roman" w:eastAsia="Times New Roman" w:hAnsi="Times New Roman" w:cs="Times New Roman"/>
                <w:b/>
                <w:bCs w:val="0"/>
                <w:sz w:val="18"/>
                <w:szCs w:val="18"/>
              </w:rPr>
            </w:pPr>
            <w:r w:rsidRPr="000973F2">
              <w:rPr>
                <w:rFonts w:ascii="Times New Roman" w:eastAsia="Times New Roman" w:hAnsi="Times New Roman" w:cs="Times New Roman"/>
                <w:b/>
                <w:sz w:val="18"/>
                <w:szCs w:val="18"/>
              </w:rPr>
              <w:t>Total</w:t>
            </w:r>
          </w:p>
        </w:tc>
        <w:tc>
          <w:tcPr>
            <w:tcW w:w="1333" w:type="dxa"/>
            <w:noWrap/>
            <w:hideMark/>
          </w:tcPr>
          <w:p w14:paraId="3AF429C5" w14:textId="77777777" w:rsidR="00672DFD" w:rsidRPr="000973F2" w:rsidRDefault="00672DFD" w:rsidP="0018658C">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sz w:val="18"/>
                <w:szCs w:val="18"/>
              </w:rPr>
            </w:pPr>
            <w:r w:rsidRPr="000973F2">
              <w:rPr>
                <w:rFonts w:ascii="Times New Roman" w:eastAsia="Times New Roman" w:hAnsi="Times New Roman" w:cs="Times New Roman"/>
                <w:b/>
                <w:sz w:val="18"/>
                <w:szCs w:val="18"/>
              </w:rPr>
              <w:t>$0</w:t>
            </w:r>
          </w:p>
        </w:tc>
        <w:tc>
          <w:tcPr>
            <w:tcW w:w="1333" w:type="dxa"/>
            <w:noWrap/>
            <w:hideMark/>
          </w:tcPr>
          <w:p w14:paraId="43F3406F" w14:textId="59C00AC6" w:rsidR="00672DFD" w:rsidRPr="000973F2" w:rsidRDefault="00672DFD" w:rsidP="0018658C">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sz w:val="18"/>
                <w:szCs w:val="18"/>
              </w:rPr>
            </w:pPr>
          </w:p>
        </w:tc>
        <w:tc>
          <w:tcPr>
            <w:tcW w:w="1333" w:type="dxa"/>
            <w:noWrap/>
            <w:hideMark/>
          </w:tcPr>
          <w:p w14:paraId="65FBC24E" w14:textId="77777777" w:rsidR="00672DFD" w:rsidRPr="000973F2" w:rsidRDefault="00672DFD" w:rsidP="0018658C">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sz w:val="18"/>
                <w:szCs w:val="18"/>
              </w:rPr>
            </w:pPr>
            <w:r w:rsidRPr="000973F2">
              <w:rPr>
                <w:rFonts w:ascii="Times New Roman" w:eastAsia="Times New Roman" w:hAnsi="Times New Roman" w:cs="Times New Roman"/>
                <w:b/>
                <w:sz w:val="18"/>
                <w:szCs w:val="18"/>
              </w:rPr>
              <w:t>$0</w:t>
            </w:r>
          </w:p>
        </w:tc>
        <w:tc>
          <w:tcPr>
            <w:tcW w:w="1333" w:type="dxa"/>
            <w:noWrap/>
            <w:hideMark/>
          </w:tcPr>
          <w:p w14:paraId="065A1E54" w14:textId="77777777" w:rsidR="00672DFD" w:rsidRPr="000973F2" w:rsidRDefault="00672DFD" w:rsidP="0018658C">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sz w:val="18"/>
                <w:szCs w:val="18"/>
              </w:rPr>
            </w:pPr>
            <w:r w:rsidRPr="000973F2">
              <w:rPr>
                <w:rFonts w:ascii="Times New Roman" w:eastAsia="Times New Roman" w:hAnsi="Times New Roman" w:cs="Times New Roman"/>
                <w:b/>
                <w:sz w:val="18"/>
                <w:szCs w:val="18"/>
              </w:rPr>
              <w:t>$50</w:t>
            </w:r>
          </w:p>
        </w:tc>
        <w:tc>
          <w:tcPr>
            <w:tcW w:w="1333" w:type="dxa"/>
            <w:noWrap/>
            <w:hideMark/>
          </w:tcPr>
          <w:p w14:paraId="4A4A36E2" w14:textId="77777777" w:rsidR="00672DFD" w:rsidRPr="000973F2" w:rsidRDefault="00672DFD" w:rsidP="0018658C">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sz w:val="18"/>
                <w:szCs w:val="18"/>
              </w:rPr>
            </w:pPr>
            <w:r w:rsidRPr="000973F2">
              <w:rPr>
                <w:rFonts w:ascii="Times New Roman" w:eastAsia="Times New Roman" w:hAnsi="Times New Roman" w:cs="Times New Roman"/>
                <w:b/>
                <w:sz w:val="18"/>
                <w:szCs w:val="18"/>
              </w:rPr>
              <w:t>$0</w:t>
            </w:r>
          </w:p>
        </w:tc>
        <w:tc>
          <w:tcPr>
            <w:tcW w:w="1333" w:type="dxa"/>
            <w:noWrap/>
            <w:hideMark/>
          </w:tcPr>
          <w:p w14:paraId="1C28690D" w14:textId="77777777" w:rsidR="00672DFD" w:rsidRPr="000973F2" w:rsidRDefault="00672DFD" w:rsidP="0018658C">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sz w:val="18"/>
                <w:szCs w:val="18"/>
              </w:rPr>
            </w:pPr>
            <w:r w:rsidRPr="000973F2">
              <w:rPr>
                <w:rFonts w:ascii="Times New Roman" w:eastAsia="Times New Roman" w:hAnsi="Times New Roman" w:cs="Times New Roman"/>
                <w:b/>
                <w:sz w:val="18"/>
                <w:szCs w:val="18"/>
              </w:rPr>
              <w:t>$50</w:t>
            </w:r>
          </w:p>
        </w:tc>
      </w:tr>
    </w:tbl>
    <w:p w14:paraId="64E56E37" w14:textId="77777777" w:rsidR="00672DFD" w:rsidRPr="000973F2" w:rsidRDefault="00672DFD" w:rsidP="0018658C">
      <w:pPr>
        <w:pStyle w:val="AfterTable"/>
      </w:pPr>
    </w:p>
    <w:p w14:paraId="467B2643" w14:textId="77777777" w:rsidR="00672DFD" w:rsidRPr="000973F2" w:rsidRDefault="00672DFD" w:rsidP="0018658C">
      <w:pPr>
        <w:pStyle w:val="Heading2"/>
      </w:pPr>
      <w:r w:rsidRPr="000973F2">
        <w:t>Total Costs for Subpart PP</w:t>
      </w:r>
    </w:p>
    <w:p w14:paraId="7D77A42A" w14:textId="271A2AE0" w:rsidR="00033B65" w:rsidRPr="000973F2" w:rsidRDefault="00672DFD" w:rsidP="0018658C">
      <w:pPr>
        <w:pStyle w:val="BodyText"/>
      </w:pPr>
      <w:r w:rsidRPr="000973F2">
        <w:t>The total industry costs related to Subpart PP average approximately $127,000 per year for a total of $380,000 over the three-year period of the ICR. 131 facilities are expected to report in 2019, 2020, and 2021.</w:t>
      </w:r>
      <w:r w:rsidR="00033B65" w:rsidRPr="000973F2">
        <w:br w:type="page"/>
      </w:r>
    </w:p>
    <w:p w14:paraId="0FA51AFF" w14:textId="5BE361EB" w:rsidR="00E86E23" w:rsidRPr="000973F2" w:rsidRDefault="00E86E23" w:rsidP="0018658C">
      <w:pPr>
        <w:pStyle w:val="Heading1"/>
      </w:pPr>
      <w:bookmarkStart w:id="72" w:name="_Toc10715632"/>
      <w:r w:rsidRPr="000973F2">
        <w:t>Cost Appendix for Subpart QQ – Importers and Exporters of Fluorinated Greenhouse Gases Contained in Pre-Charged Equipment or Closed-Cell Foams</w:t>
      </w:r>
      <w:bookmarkEnd w:id="72"/>
      <w:r w:rsidRPr="000973F2">
        <w:t xml:space="preserve"> </w:t>
      </w:r>
    </w:p>
    <w:p w14:paraId="4C095AEA" w14:textId="77777777" w:rsidR="00E86E23" w:rsidRPr="000973F2" w:rsidRDefault="00E86E23" w:rsidP="0018658C">
      <w:pPr>
        <w:pStyle w:val="Heading2"/>
      </w:pPr>
      <w:r w:rsidRPr="000973F2">
        <w:t>Description of Subpart QQ</w:t>
      </w:r>
    </w:p>
    <w:p w14:paraId="1DF19847" w14:textId="49A8BA54" w:rsidR="00E86E23" w:rsidRPr="000973F2" w:rsidRDefault="00E86E23" w:rsidP="0018658C">
      <w:pPr>
        <w:pStyle w:val="BodyText"/>
      </w:pPr>
      <w:r w:rsidRPr="000973F2">
        <w:t xml:space="preserve">For purposes of the GHGRP, </w:t>
      </w:r>
      <w:r w:rsidR="003C3444" w:rsidRPr="000973F2">
        <w:t>this subpart</w:t>
      </w:r>
      <w:r w:rsidRPr="000973F2">
        <w:t xml:space="preserve"> refers to any entity that imports or exports pre-charged equipment that contains a fluorinated GHG, and any entity that imports or exports closed-cell foams that contain a fluorinated GHG. In RY2017, 41 facilities reported to Subpart QQ, all of which use the calculation procedures in §98.43</w:t>
      </w:r>
      <w:r w:rsidR="008423C5" w:rsidRPr="000973F2">
        <w:t>3</w:t>
      </w:r>
      <w:r w:rsidRPr="000973F2">
        <w:t xml:space="preserve"> to comply with the rule requirements. The total number of facilities reporting to Subpart QQ is expected to remain constant </w:t>
      </w:r>
      <w:r w:rsidR="008423C5" w:rsidRPr="000973F2">
        <w:t>during</w:t>
      </w:r>
      <w:r w:rsidRPr="000973F2">
        <w:t xml:space="preserve"> the three</w:t>
      </w:r>
      <w:r w:rsidR="008423C5" w:rsidRPr="000973F2">
        <w:t>-</w:t>
      </w:r>
      <w:r w:rsidRPr="000973F2">
        <w:t>year</w:t>
      </w:r>
      <w:r w:rsidR="008423C5" w:rsidRPr="000973F2">
        <w:t xml:space="preserve"> period covered by this ICR</w:t>
      </w:r>
      <w:r w:rsidRPr="000973F2">
        <w:t xml:space="preserve">. Initial year costs apply only to new facilities; therefore, those costs are zero in the tables below. </w:t>
      </w:r>
    </w:p>
    <w:p w14:paraId="586BAA64" w14:textId="77777777" w:rsidR="00E86E23" w:rsidRPr="000973F2" w:rsidRDefault="00E86E23" w:rsidP="0018658C">
      <w:pPr>
        <w:pStyle w:val="Heading2"/>
      </w:pPr>
      <w:r w:rsidRPr="000973F2">
        <w:t>Labor Costs for Subpart QQ</w:t>
      </w:r>
    </w:p>
    <w:p w14:paraId="3574ACEC" w14:textId="6243A8D6" w:rsidR="00E86E23" w:rsidRPr="000973F2" w:rsidRDefault="00E86E23" w:rsidP="0018658C">
      <w:pPr>
        <w:pStyle w:val="BodyText"/>
      </w:pPr>
      <w:r w:rsidRPr="000973F2">
        <w:t xml:space="preserve">Table </w:t>
      </w:r>
      <w:r w:rsidR="0018658C" w:rsidRPr="000973F2">
        <w:t>QQ-</w:t>
      </w:r>
      <w:r w:rsidRPr="000973F2">
        <w:t xml:space="preserve">1 below includes the labor hours for each Subpart QQ facility. Typical activities for each of the labor activities are discussed in the Cost Appendix Introduction. Recordkeeping and reporting hours </w:t>
      </w:r>
      <w:r w:rsidR="002561F6" w:rsidRPr="000973F2">
        <w:t>are based on</w:t>
      </w:r>
      <w:r w:rsidRPr="000973F2">
        <w:t xml:space="preserve"> the “high bin”</w:t>
      </w:r>
      <w:r w:rsidR="002561F6" w:rsidRPr="000973F2">
        <w:t xml:space="preserve"> designation.</w:t>
      </w:r>
      <w:r w:rsidRPr="000973F2">
        <w:t xml:space="preserve"> Sampling and analysis (calculations) hours include completion of the calculations in §§98.433(a) and (b).</w:t>
      </w:r>
    </w:p>
    <w:p w14:paraId="4AF71BAA" w14:textId="490206CC" w:rsidR="00E3385B" w:rsidRPr="000973F2" w:rsidRDefault="00E3385B" w:rsidP="0018658C">
      <w:pPr>
        <w:pStyle w:val="Tabletitle"/>
      </w:pPr>
      <w:r w:rsidRPr="000973F2">
        <w:t xml:space="preserve">Table </w:t>
      </w:r>
      <w:r w:rsidR="0018658C" w:rsidRPr="000973F2">
        <w:t>QQ-</w:t>
      </w:r>
      <w:r w:rsidRPr="000973F2">
        <w:t xml:space="preserve">1. Labor Costs </w:t>
      </w:r>
      <w:r w:rsidR="00B960CC" w:rsidRPr="000973F2">
        <w:t>–</w:t>
      </w:r>
      <w:r w:rsidRPr="000973F2">
        <w:t xml:space="preserve"> Subpart QQ</w:t>
      </w:r>
    </w:p>
    <w:tbl>
      <w:tblPr>
        <w:tblStyle w:val="PlainTable1"/>
        <w:tblW w:w="5000" w:type="pct"/>
        <w:jc w:val="left"/>
        <w:tblLayout w:type="fixed"/>
        <w:tblCellMar>
          <w:left w:w="115" w:type="dxa"/>
          <w:right w:w="115" w:type="dxa"/>
        </w:tblCellMar>
        <w:tblLook w:val="04A0" w:firstRow="1" w:lastRow="0" w:firstColumn="1" w:lastColumn="0" w:noHBand="0" w:noVBand="1"/>
      </w:tblPr>
      <w:tblGrid>
        <w:gridCol w:w="1464"/>
        <w:gridCol w:w="797"/>
        <w:gridCol w:w="797"/>
        <w:gridCol w:w="797"/>
        <w:gridCol w:w="798"/>
        <w:gridCol w:w="798"/>
        <w:gridCol w:w="798"/>
        <w:gridCol w:w="798"/>
        <w:gridCol w:w="799"/>
        <w:gridCol w:w="872"/>
        <w:gridCol w:w="872"/>
      </w:tblGrid>
      <w:tr w:rsidR="00E86E23" w:rsidRPr="000973F2" w14:paraId="67EEE980" w14:textId="77777777" w:rsidTr="006B5E19">
        <w:trPr>
          <w:cnfStyle w:val="100000000000" w:firstRow="1" w:lastRow="0" w:firstColumn="0" w:lastColumn="0" w:oddVBand="0" w:evenVBand="0" w:oddHBand="0" w:evenHBand="0" w:firstRowFirstColumn="0" w:firstRowLastColumn="0" w:lastRowFirstColumn="0" w:lastRowLastColumn="0"/>
          <w:cantSplit/>
          <w:jc w:val="left"/>
        </w:trPr>
        <w:tc>
          <w:tcPr>
            <w:cnfStyle w:val="001000000000" w:firstRow="0" w:lastRow="0" w:firstColumn="1" w:lastColumn="0" w:oddVBand="0" w:evenVBand="0" w:oddHBand="0" w:evenHBand="0" w:firstRowFirstColumn="0" w:firstRowLastColumn="0" w:lastRowFirstColumn="0" w:lastRowLastColumn="0"/>
            <w:tcW w:w="1425" w:type="dxa"/>
            <w:vMerge w:val="restart"/>
            <w:noWrap/>
            <w:vAlign w:val="top"/>
            <w:hideMark/>
          </w:tcPr>
          <w:p w14:paraId="7959949A" w14:textId="77777777" w:rsidR="00E86E23" w:rsidRPr="000973F2" w:rsidRDefault="00E86E23" w:rsidP="006B5E19">
            <w:pPr>
              <w:spacing w:before="40" w:after="40"/>
              <w:rPr>
                <w:rFonts w:ascii="Times New Roman" w:eastAsia="Times New Roman" w:hAnsi="Times New Roman" w:cs="Times New Roman"/>
                <w:bCs w:val="0"/>
                <w:sz w:val="18"/>
                <w:szCs w:val="18"/>
              </w:rPr>
            </w:pPr>
            <w:r w:rsidRPr="000973F2">
              <w:rPr>
                <w:rFonts w:ascii="Times New Roman" w:eastAsia="Times New Roman" w:hAnsi="Times New Roman" w:cs="Times New Roman"/>
                <w:bCs w:val="0"/>
                <w:sz w:val="18"/>
                <w:szCs w:val="18"/>
              </w:rPr>
              <w:t>Activity</w:t>
            </w:r>
          </w:p>
        </w:tc>
        <w:tc>
          <w:tcPr>
            <w:tcW w:w="6209" w:type="dxa"/>
            <w:gridSpan w:val="8"/>
            <w:noWrap/>
            <w:vAlign w:val="top"/>
            <w:hideMark/>
          </w:tcPr>
          <w:p w14:paraId="7CA6E003" w14:textId="77777777" w:rsidR="00E86E23" w:rsidRPr="000973F2" w:rsidRDefault="00E86E23" w:rsidP="006B5E19">
            <w:pPr>
              <w:spacing w:before="40" w:after="40"/>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Cs w:val="0"/>
                <w:sz w:val="18"/>
                <w:szCs w:val="18"/>
              </w:rPr>
            </w:pPr>
            <w:r w:rsidRPr="000973F2">
              <w:rPr>
                <w:rFonts w:ascii="Times New Roman" w:eastAsia="Times New Roman" w:hAnsi="Times New Roman" w:cs="Times New Roman"/>
                <w:bCs w:val="0"/>
                <w:sz w:val="18"/>
                <w:szCs w:val="18"/>
              </w:rPr>
              <w:t>Labor Rates (per hour)</w:t>
            </w:r>
          </w:p>
        </w:tc>
        <w:tc>
          <w:tcPr>
            <w:tcW w:w="1696" w:type="dxa"/>
            <w:gridSpan w:val="2"/>
            <w:vMerge w:val="restart"/>
            <w:vAlign w:val="top"/>
            <w:hideMark/>
          </w:tcPr>
          <w:p w14:paraId="28ECCDE6" w14:textId="77777777" w:rsidR="00E86E23" w:rsidRPr="000973F2" w:rsidRDefault="00E86E23" w:rsidP="006B5E19">
            <w:pPr>
              <w:spacing w:before="40" w:after="40"/>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Cs w:val="0"/>
                <w:sz w:val="18"/>
                <w:szCs w:val="18"/>
              </w:rPr>
            </w:pPr>
            <w:r w:rsidRPr="000973F2">
              <w:rPr>
                <w:rFonts w:ascii="Times New Roman" w:eastAsia="Times New Roman" w:hAnsi="Times New Roman" w:cs="Times New Roman"/>
                <w:bCs w:val="0"/>
                <w:sz w:val="18"/>
                <w:szCs w:val="18"/>
              </w:rPr>
              <w:t>Total Labor Cost per Year per Facility</w:t>
            </w:r>
          </w:p>
          <w:p w14:paraId="1FA3BF4E" w14:textId="77777777" w:rsidR="00E86E23" w:rsidRPr="000973F2" w:rsidRDefault="00E86E23" w:rsidP="006B5E19">
            <w:pPr>
              <w:spacing w:before="40" w:after="40"/>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Cs w:val="0"/>
                <w:sz w:val="18"/>
                <w:szCs w:val="18"/>
              </w:rPr>
            </w:pPr>
            <w:r w:rsidRPr="000973F2">
              <w:rPr>
                <w:rFonts w:ascii="Times New Roman" w:eastAsia="Times New Roman" w:hAnsi="Times New Roman" w:cs="Times New Roman"/>
                <w:bCs w:val="0"/>
                <w:sz w:val="18"/>
                <w:szCs w:val="18"/>
              </w:rPr>
              <w:t>(2017$)</w:t>
            </w:r>
          </w:p>
        </w:tc>
      </w:tr>
      <w:tr w:rsidR="00E86E23" w:rsidRPr="000973F2" w14:paraId="65C73FA5" w14:textId="77777777" w:rsidTr="006B5E19">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1425" w:type="dxa"/>
            <w:vMerge/>
            <w:hideMark/>
          </w:tcPr>
          <w:p w14:paraId="5380CF5B" w14:textId="77777777" w:rsidR="00E86E23" w:rsidRPr="000973F2" w:rsidRDefault="00E86E23" w:rsidP="006B5E19">
            <w:pPr>
              <w:spacing w:before="40" w:after="40"/>
              <w:rPr>
                <w:rFonts w:ascii="Times New Roman" w:eastAsia="Times New Roman" w:hAnsi="Times New Roman" w:cs="Times New Roman"/>
                <w:b/>
                <w:bCs w:val="0"/>
                <w:sz w:val="18"/>
                <w:szCs w:val="18"/>
              </w:rPr>
            </w:pPr>
          </w:p>
        </w:tc>
        <w:tc>
          <w:tcPr>
            <w:tcW w:w="1552" w:type="dxa"/>
            <w:gridSpan w:val="2"/>
            <w:noWrap/>
            <w:hideMark/>
          </w:tcPr>
          <w:p w14:paraId="0F9FB991" w14:textId="77777777" w:rsidR="00E86E23" w:rsidRPr="000973F2" w:rsidRDefault="00E86E23" w:rsidP="006B5E19">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18"/>
                <w:szCs w:val="18"/>
              </w:rPr>
            </w:pPr>
            <w:r w:rsidRPr="000973F2">
              <w:rPr>
                <w:rFonts w:ascii="Times New Roman" w:eastAsia="Times New Roman" w:hAnsi="Times New Roman" w:cs="Times New Roman"/>
                <w:b/>
                <w:bCs/>
                <w:sz w:val="18"/>
                <w:szCs w:val="18"/>
              </w:rPr>
              <w:t>Lawyer</w:t>
            </w:r>
          </w:p>
        </w:tc>
        <w:tc>
          <w:tcPr>
            <w:tcW w:w="1552" w:type="dxa"/>
            <w:gridSpan w:val="2"/>
            <w:noWrap/>
            <w:hideMark/>
          </w:tcPr>
          <w:p w14:paraId="7D9EAB8A" w14:textId="77777777" w:rsidR="00E86E23" w:rsidRPr="000973F2" w:rsidRDefault="00E86E23" w:rsidP="006B5E19">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18"/>
                <w:szCs w:val="18"/>
              </w:rPr>
            </w:pPr>
            <w:r w:rsidRPr="000973F2">
              <w:rPr>
                <w:rFonts w:ascii="Times New Roman" w:eastAsia="Times New Roman" w:hAnsi="Times New Roman" w:cs="Times New Roman"/>
                <w:b/>
                <w:bCs/>
                <w:sz w:val="18"/>
                <w:szCs w:val="18"/>
              </w:rPr>
              <w:t>Industrial Manager</w:t>
            </w:r>
          </w:p>
        </w:tc>
        <w:tc>
          <w:tcPr>
            <w:tcW w:w="1552" w:type="dxa"/>
            <w:gridSpan w:val="2"/>
            <w:hideMark/>
          </w:tcPr>
          <w:p w14:paraId="4B27D25B" w14:textId="77777777" w:rsidR="00E86E23" w:rsidRPr="000973F2" w:rsidRDefault="00E86E23" w:rsidP="006B5E19">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18"/>
                <w:szCs w:val="18"/>
              </w:rPr>
            </w:pPr>
            <w:r w:rsidRPr="000973F2">
              <w:rPr>
                <w:rFonts w:ascii="Times New Roman" w:eastAsia="Times New Roman" w:hAnsi="Times New Roman" w:cs="Times New Roman"/>
                <w:b/>
                <w:bCs/>
                <w:sz w:val="18"/>
                <w:szCs w:val="18"/>
              </w:rPr>
              <w:t>Industrial Engineer/Technician</w:t>
            </w:r>
          </w:p>
        </w:tc>
        <w:tc>
          <w:tcPr>
            <w:tcW w:w="1553" w:type="dxa"/>
            <w:gridSpan w:val="2"/>
            <w:hideMark/>
          </w:tcPr>
          <w:p w14:paraId="51BDC566" w14:textId="77777777" w:rsidR="00E86E23" w:rsidRPr="000973F2" w:rsidRDefault="00E86E23" w:rsidP="006B5E19">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18"/>
                <w:szCs w:val="18"/>
              </w:rPr>
            </w:pPr>
            <w:r w:rsidRPr="000973F2">
              <w:rPr>
                <w:rFonts w:ascii="Times New Roman" w:eastAsia="Times New Roman" w:hAnsi="Times New Roman" w:cs="Times New Roman"/>
                <w:b/>
                <w:bCs/>
                <w:sz w:val="18"/>
                <w:szCs w:val="18"/>
              </w:rPr>
              <w:t>Administrative Support</w:t>
            </w:r>
          </w:p>
        </w:tc>
        <w:tc>
          <w:tcPr>
            <w:tcW w:w="1696" w:type="dxa"/>
            <w:gridSpan w:val="2"/>
            <w:vMerge/>
            <w:hideMark/>
          </w:tcPr>
          <w:p w14:paraId="784AB9CF" w14:textId="77777777" w:rsidR="00E86E23" w:rsidRPr="000973F2" w:rsidRDefault="00E86E23" w:rsidP="006B5E19">
            <w:pPr>
              <w:spacing w:before="40" w:after="4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18"/>
                <w:szCs w:val="18"/>
              </w:rPr>
            </w:pPr>
          </w:p>
        </w:tc>
      </w:tr>
      <w:tr w:rsidR="00E86E23" w:rsidRPr="000973F2" w14:paraId="622BC9A0" w14:textId="77777777" w:rsidTr="006B5E19">
        <w:trPr>
          <w:cantSplit/>
        </w:trPr>
        <w:tc>
          <w:tcPr>
            <w:cnfStyle w:val="001000000000" w:firstRow="0" w:lastRow="0" w:firstColumn="1" w:lastColumn="0" w:oddVBand="0" w:evenVBand="0" w:oddHBand="0" w:evenHBand="0" w:firstRowFirstColumn="0" w:firstRowLastColumn="0" w:lastRowFirstColumn="0" w:lastRowLastColumn="0"/>
            <w:tcW w:w="1425" w:type="dxa"/>
            <w:vMerge/>
            <w:hideMark/>
          </w:tcPr>
          <w:p w14:paraId="27E18A1D" w14:textId="77777777" w:rsidR="00E86E23" w:rsidRPr="000973F2" w:rsidRDefault="00E86E23" w:rsidP="006B5E19">
            <w:pPr>
              <w:spacing w:before="40" w:after="40"/>
              <w:rPr>
                <w:rFonts w:ascii="Times New Roman" w:eastAsia="Times New Roman" w:hAnsi="Times New Roman" w:cs="Times New Roman"/>
                <w:b/>
                <w:bCs w:val="0"/>
                <w:sz w:val="18"/>
                <w:szCs w:val="18"/>
              </w:rPr>
            </w:pPr>
          </w:p>
        </w:tc>
        <w:tc>
          <w:tcPr>
            <w:tcW w:w="1552" w:type="dxa"/>
            <w:gridSpan w:val="2"/>
            <w:noWrap/>
            <w:hideMark/>
          </w:tcPr>
          <w:p w14:paraId="127C46F7" w14:textId="77777777" w:rsidR="00E86E23" w:rsidRPr="000973F2" w:rsidRDefault="00E86E23" w:rsidP="006B5E19">
            <w:pPr>
              <w:spacing w:before="40" w:after="4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sz w:val="18"/>
                <w:szCs w:val="18"/>
              </w:rPr>
            </w:pPr>
            <w:r w:rsidRPr="000973F2">
              <w:rPr>
                <w:rFonts w:ascii="Times New Roman" w:eastAsia="Times New Roman" w:hAnsi="Times New Roman" w:cs="Times New Roman"/>
                <w:b/>
                <w:bCs/>
                <w:sz w:val="18"/>
                <w:szCs w:val="18"/>
              </w:rPr>
              <w:t xml:space="preserve">$112.23 </w:t>
            </w:r>
          </w:p>
        </w:tc>
        <w:tc>
          <w:tcPr>
            <w:tcW w:w="1552" w:type="dxa"/>
            <w:gridSpan w:val="2"/>
            <w:noWrap/>
            <w:hideMark/>
          </w:tcPr>
          <w:p w14:paraId="44BB2FB2" w14:textId="77777777" w:rsidR="00E86E23" w:rsidRPr="000973F2" w:rsidRDefault="00E86E23" w:rsidP="006B5E19">
            <w:pPr>
              <w:spacing w:before="40" w:after="4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sz w:val="18"/>
                <w:szCs w:val="18"/>
              </w:rPr>
            </w:pPr>
            <w:r w:rsidRPr="000973F2">
              <w:rPr>
                <w:rFonts w:ascii="Times New Roman" w:eastAsia="Times New Roman" w:hAnsi="Times New Roman" w:cs="Times New Roman"/>
                <w:b/>
                <w:bCs/>
                <w:sz w:val="18"/>
                <w:szCs w:val="18"/>
              </w:rPr>
              <w:t xml:space="preserve">$87.45 </w:t>
            </w:r>
          </w:p>
        </w:tc>
        <w:tc>
          <w:tcPr>
            <w:tcW w:w="1552" w:type="dxa"/>
            <w:gridSpan w:val="2"/>
            <w:noWrap/>
            <w:hideMark/>
          </w:tcPr>
          <w:p w14:paraId="5C21A1D2" w14:textId="77777777" w:rsidR="00E86E23" w:rsidRPr="000973F2" w:rsidRDefault="00E86E23" w:rsidP="006B5E19">
            <w:pPr>
              <w:spacing w:before="40" w:after="4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sz w:val="18"/>
                <w:szCs w:val="18"/>
              </w:rPr>
            </w:pPr>
            <w:r w:rsidRPr="000973F2">
              <w:rPr>
                <w:rFonts w:ascii="Times New Roman" w:eastAsia="Times New Roman" w:hAnsi="Times New Roman" w:cs="Times New Roman"/>
                <w:b/>
                <w:bCs/>
                <w:sz w:val="18"/>
                <w:szCs w:val="18"/>
              </w:rPr>
              <w:t xml:space="preserve">$71.45 </w:t>
            </w:r>
          </w:p>
        </w:tc>
        <w:tc>
          <w:tcPr>
            <w:tcW w:w="1553" w:type="dxa"/>
            <w:gridSpan w:val="2"/>
            <w:noWrap/>
            <w:hideMark/>
          </w:tcPr>
          <w:p w14:paraId="1149CD2F" w14:textId="77777777" w:rsidR="00E86E23" w:rsidRPr="000973F2" w:rsidRDefault="00E86E23" w:rsidP="006B5E19">
            <w:pPr>
              <w:spacing w:before="40" w:after="4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sz w:val="18"/>
                <w:szCs w:val="18"/>
              </w:rPr>
            </w:pPr>
            <w:r w:rsidRPr="000973F2">
              <w:rPr>
                <w:rFonts w:ascii="Times New Roman" w:eastAsia="Times New Roman" w:hAnsi="Times New Roman" w:cs="Times New Roman"/>
                <w:b/>
                <w:bCs/>
                <w:sz w:val="18"/>
                <w:szCs w:val="18"/>
              </w:rPr>
              <w:t xml:space="preserve">$36.28 </w:t>
            </w:r>
          </w:p>
        </w:tc>
        <w:tc>
          <w:tcPr>
            <w:tcW w:w="1696" w:type="dxa"/>
            <w:gridSpan w:val="2"/>
            <w:vMerge/>
            <w:hideMark/>
          </w:tcPr>
          <w:p w14:paraId="57513A06" w14:textId="77777777" w:rsidR="00E86E23" w:rsidRPr="000973F2" w:rsidRDefault="00E86E23" w:rsidP="006B5E19">
            <w:pPr>
              <w:spacing w:before="40" w:after="4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sz w:val="18"/>
                <w:szCs w:val="18"/>
              </w:rPr>
            </w:pPr>
          </w:p>
        </w:tc>
      </w:tr>
      <w:tr w:rsidR="00816BF1" w:rsidRPr="000973F2" w14:paraId="77E98350" w14:textId="77777777" w:rsidTr="006B5E19">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1425" w:type="dxa"/>
            <w:vMerge/>
            <w:hideMark/>
          </w:tcPr>
          <w:p w14:paraId="44E2E9F9" w14:textId="77777777" w:rsidR="00E86E23" w:rsidRPr="000973F2" w:rsidRDefault="00E86E23" w:rsidP="006B5E19">
            <w:pPr>
              <w:spacing w:before="40" w:after="40"/>
              <w:rPr>
                <w:rFonts w:ascii="Times New Roman" w:eastAsia="Times New Roman" w:hAnsi="Times New Roman" w:cs="Times New Roman"/>
                <w:b/>
                <w:bCs w:val="0"/>
                <w:sz w:val="18"/>
                <w:szCs w:val="18"/>
              </w:rPr>
            </w:pPr>
          </w:p>
        </w:tc>
        <w:tc>
          <w:tcPr>
            <w:tcW w:w="776" w:type="dxa"/>
            <w:tcMar>
              <w:left w:w="14" w:type="dxa"/>
              <w:right w:w="14" w:type="dxa"/>
            </w:tcMar>
            <w:hideMark/>
          </w:tcPr>
          <w:p w14:paraId="61D826FC" w14:textId="703F12A5" w:rsidR="00E86E23" w:rsidRPr="000973F2" w:rsidRDefault="00E86E23" w:rsidP="006B5E19">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18"/>
                <w:szCs w:val="18"/>
              </w:rPr>
            </w:pPr>
            <w:r w:rsidRPr="000973F2">
              <w:rPr>
                <w:rFonts w:ascii="Times New Roman" w:eastAsia="Times New Roman" w:hAnsi="Times New Roman" w:cs="Times New Roman"/>
                <w:b/>
                <w:bCs/>
                <w:sz w:val="18"/>
                <w:szCs w:val="18"/>
              </w:rPr>
              <w:t xml:space="preserve">Initial </w:t>
            </w:r>
            <w:r w:rsidR="00132320" w:rsidRPr="000973F2">
              <w:rPr>
                <w:rFonts w:ascii="Times New Roman" w:eastAsia="Times New Roman" w:hAnsi="Times New Roman" w:cs="Times New Roman"/>
                <w:b/>
                <w:bCs/>
                <w:sz w:val="18"/>
                <w:szCs w:val="18"/>
              </w:rPr>
              <w:t>Year Hours</w:t>
            </w:r>
          </w:p>
        </w:tc>
        <w:tc>
          <w:tcPr>
            <w:tcW w:w="776" w:type="dxa"/>
            <w:tcMar>
              <w:left w:w="14" w:type="dxa"/>
              <w:right w:w="14" w:type="dxa"/>
            </w:tcMar>
            <w:hideMark/>
          </w:tcPr>
          <w:p w14:paraId="3C5C8E74" w14:textId="77777777" w:rsidR="00E86E23" w:rsidRPr="000973F2" w:rsidRDefault="00E86E23" w:rsidP="006B5E19">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18"/>
                <w:szCs w:val="18"/>
              </w:rPr>
            </w:pPr>
            <w:r w:rsidRPr="000973F2">
              <w:rPr>
                <w:rFonts w:ascii="Times New Roman" w:eastAsia="Times New Roman" w:hAnsi="Times New Roman" w:cs="Times New Roman"/>
                <w:b/>
                <w:bCs/>
                <w:sz w:val="18"/>
                <w:szCs w:val="18"/>
              </w:rPr>
              <w:t>Subseq. Year Hours</w:t>
            </w:r>
          </w:p>
        </w:tc>
        <w:tc>
          <w:tcPr>
            <w:tcW w:w="776" w:type="dxa"/>
            <w:tcMar>
              <w:left w:w="14" w:type="dxa"/>
              <w:right w:w="14" w:type="dxa"/>
            </w:tcMar>
            <w:hideMark/>
          </w:tcPr>
          <w:p w14:paraId="1C438970" w14:textId="2D359F07" w:rsidR="00E86E23" w:rsidRPr="000973F2" w:rsidRDefault="00E86E23" w:rsidP="006B5E19">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18"/>
                <w:szCs w:val="18"/>
              </w:rPr>
            </w:pPr>
            <w:r w:rsidRPr="000973F2">
              <w:rPr>
                <w:rFonts w:ascii="Times New Roman" w:eastAsia="Times New Roman" w:hAnsi="Times New Roman" w:cs="Times New Roman"/>
                <w:b/>
                <w:bCs/>
                <w:sz w:val="18"/>
                <w:szCs w:val="18"/>
              </w:rPr>
              <w:t xml:space="preserve">Initial </w:t>
            </w:r>
            <w:r w:rsidR="00132320" w:rsidRPr="000973F2">
              <w:rPr>
                <w:rFonts w:ascii="Times New Roman" w:eastAsia="Times New Roman" w:hAnsi="Times New Roman" w:cs="Times New Roman"/>
                <w:b/>
                <w:bCs/>
                <w:sz w:val="18"/>
                <w:szCs w:val="18"/>
              </w:rPr>
              <w:t>Year Hours</w:t>
            </w:r>
          </w:p>
        </w:tc>
        <w:tc>
          <w:tcPr>
            <w:tcW w:w="776" w:type="dxa"/>
            <w:tcMar>
              <w:left w:w="14" w:type="dxa"/>
              <w:right w:w="14" w:type="dxa"/>
            </w:tcMar>
            <w:hideMark/>
          </w:tcPr>
          <w:p w14:paraId="65FC4B6D" w14:textId="77777777" w:rsidR="00E86E23" w:rsidRPr="000973F2" w:rsidRDefault="00E86E23" w:rsidP="006B5E19">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18"/>
                <w:szCs w:val="18"/>
              </w:rPr>
            </w:pPr>
            <w:r w:rsidRPr="000973F2">
              <w:rPr>
                <w:rFonts w:ascii="Times New Roman" w:eastAsia="Times New Roman" w:hAnsi="Times New Roman" w:cs="Times New Roman"/>
                <w:b/>
                <w:bCs/>
                <w:sz w:val="18"/>
                <w:szCs w:val="18"/>
              </w:rPr>
              <w:t>Subseq. Year Hours</w:t>
            </w:r>
          </w:p>
        </w:tc>
        <w:tc>
          <w:tcPr>
            <w:tcW w:w="776" w:type="dxa"/>
            <w:tcMar>
              <w:left w:w="14" w:type="dxa"/>
              <w:right w:w="14" w:type="dxa"/>
            </w:tcMar>
            <w:hideMark/>
          </w:tcPr>
          <w:p w14:paraId="190463E0" w14:textId="30BE4058" w:rsidR="00E86E23" w:rsidRPr="000973F2" w:rsidRDefault="00E86E23" w:rsidP="006B5E19">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18"/>
                <w:szCs w:val="18"/>
              </w:rPr>
            </w:pPr>
            <w:r w:rsidRPr="000973F2">
              <w:rPr>
                <w:rFonts w:ascii="Times New Roman" w:eastAsia="Times New Roman" w:hAnsi="Times New Roman" w:cs="Times New Roman"/>
                <w:b/>
                <w:bCs/>
                <w:sz w:val="18"/>
                <w:szCs w:val="18"/>
              </w:rPr>
              <w:t xml:space="preserve">Initial </w:t>
            </w:r>
            <w:r w:rsidR="00132320" w:rsidRPr="000973F2">
              <w:rPr>
                <w:rFonts w:ascii="Times New Roman" w:eastAsia="Times New Roman" w:hAnsi="Times New Roman" w:cs="Times New Roman"/>
                <w:b/>
                <w:bCs/>
                <w:sz w:val="18"/>
                <w:szCs w:val="18"/>
              </w:rPr>
              <w:t>Year Hours</w:t>
            </w:r>
          </w:p>
        </w:tc>
        <w:tc>
          <w:tcPr>
            <w:tcW w:w="776" w:type="dxa"/>
            <w:tcMar>
              <w:left w:w="14" w:type="dxa"/>
              <w:right w:w="14" w:type="dxa"/>
            </w:tcMar>
            <w:hideMark/>
          </w:tcPr>
          <w:p w14:paraId="58783D33" w14:textId="77777777" w:rsidR="00E86E23" w:rsidRPr="000973F2" w:rsidRDefault="00E86E23" w:rsidP="006B5E19">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18"/>
                <w:szCs w:val="18"/>
              </w:rPr>
            </w:pPr>
            <w:r w:rsidRPr="000973F2">
              <w:rPr>
                <w:rFonts w:ascii="Times New Roman" w:eastAsia="Times New Roman" w:hAnsi="Times New Roman" w:cs="Times New Roman"/>
                <w:b/>
                <w:bCs/>
                <w:sz w:val="18"/>
                <w:szCs w:val="18"/>
              </w:rPr>
              <w:t>Subseq. Year Hours</w:t>
            </w:r>
          </w:p>
        </w:tc>
        <w:tc>
          <w:tcPr>
            <w:tcW w:w="776" w:type="dxa"/>
            <w:tcMar>
              <w:left w:w="14" w:type="dxa"/>
              <w:right w:w="14" w:type="dxa"/>
            </w:tcMar>
            <w:hideMark/>
          </w:tcPr>
          <w:p w14:paraId="3B04EF12" w14:textId="471F4F58" w:rsidR="00E86E23" w:rsidRPr="000973F2" w:rsidRDefault="00E86E23" w:rsidP="006B5E19">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18"/>
                <w:szCs w:val="18"/>
              </w:rPr>
            </w:pPr>
            <w:r w:rsidRPr="000973F2">
              <w:rPr>
                <w:rFonts w:ascii="Times New Roman" w:eastAsia="Times New Roman" w:hAnsi="Times New Roman" w:cs="Times New Roman"/>
                <w:b/>
                <w:bCs/>
                <w:sz w:val="18"/>
                <w:szCs w:val="18"/>
              </w:rPr>
              <w:t xml:space="preserve">Initial </w:t>
            </w:r>
            <w:r w:rsidR="00132320" w:rsidRPr="000973F2">
              <w:rPr>
                <w:rFonts w:ascii="Times New Roman" w:eastAsia="Times New Roman" w:hAnsi="Times New Roman" w:cs="Times New Roman"/>
                <w:b/>
                <w:bCs/>
                <w:sz w:val="18"/>
                <w:szCs w:val="18"/>
              </w:rPr>
              <w:t>Year Hours</w:t>
            </w:r>
          </w:p>
        </w:tc>
        <w:tc>
          <w:tcPr>
            <w:tcW w:w="777" w:type="dxa"/>
            <w:tcMar>
              <w:left w:w="14" w:type="dxa"/>
              <w:right w:w="14" w:type="dxa"/>
            </w:tcMar>
            <w:hideMark/>
          </w:tcPr>
          <w:p w14:paraId="47545A82" w14:textId="77777777" w:rsidR="00E86E23" w:rsidRPr="000973F2" w:rsidRDefault="00E86E23" w:rsidP="006B5E19">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18"/>
                <w:szCs w:val="18"/>
              </w:rPr>
            </w:pPr>
            <w:r w:rsidRPr="000973F2">
              <w:rPr>
                <w:rFonts w:ascii="Times New Roman" w:eastAsia="Times New Roman" w:hAnsi="Times New Roman" w:cs="Times New Roman"/>
                <w:b/>
                <w:bCs/>
                <w:sz w:val="18"/>
                <w:szCs w:val="18"/>
              </w:rPr>
              <w:t>Subseq. Year Hours</w:t>
            </w:r>
          </w:p>
        </w:tc>
        <w:tc>
          <w:tcPr>
            <w:tcW w:w="848" w:type="dxa"/>
            <w:tcMar>
              <w:left w:w="14" w:type="dxa"/>
              <w:right w:w="14" w:type="dxa"/>
            </w:tcMar>
            <w:hideMark/>
          </w:tcPr>
          <w:p w14:paraId="0A210652" w14:textId="77777777" w:rsidR="00E86E23" w:rsidRPr="000973F2" w:rsidRDefault="00E86E23" w:rsidP="006B5E19">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18"/>
                <w:szCs w:val="18"/>
              </w:rPr>
            </w:pPr>
            <w:r w:rsidRPr="000973F2">
              <w:rPr>
                <w:rFonts w:ascii="Times New Roman" w:eastAsia="Times New Roman" w:hAnsi="Times New Roman" w:cs="Times New Roman"/>
                <w:b/>
                <w:bCs/>
                <w:sz w:val="18"/>
                <w:szCs w:val="18"/>
              </w:rPr>
              <w:t>Initial Year</w:t>
            </w:r>
          </w:p>
        </w:tc>
        <w:tc>
          <w:tcPr>
            <w:tcW w:w="848" w:type="dxa"/>
            <w:tcMar>
              <w:left w:w="14" w:type="dxa"/>
              <w:right w:w="14" w:type="dxa"/>
            </w:tcMar>
            <w:hideMark/>
          </w:tcPr>
          <w:p w14:paraId="2FFC2A24" w14:textId="77777777" w:rsidR="00E86E23" w:rsidRPr="000973F2" w:rsidRDefault="00E86E23" w:rsidP="006B5E19">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18"/>
                <w:szCs w:val="18"/>
              </w:rPr>
            </w:pPr>
            <w:r w:rsidRPr="000973F2">
              <w:rPr>
                <w:rFonts w:ascii="Times New Roman" w:eastAsia="Times New Roman" w:hAnsi="Times New Roman" w:cs="Times New Roman"/>
                <w:b/>
                <w:bCs/>
                <w:sz w:val="18"/>
                <w:szCs w:val="18"/>
              </w:rPr>
              <w:t>Subseq. Year</w:t>
            </w:r>
          </w:p>
        </w:tc>
      </w:tr>
      <w:tr w:rsidR="00E86E23" w:rsidRPr="000973F2" w14:paraId="21032CC0" w14:textId="77777777" w:rsidTr="006B5E19">
        <w:trPr>
          <w:cantSplit/>
        </w:trPr>
        <w:tc>
          <w:tcPr>
            <w:cnfStyle w:val="001000000000" w:firstRow="0" w:lastRow="0" w:firstColumn="1" w:lastColumn="0" w:oddVBand="0" w:evenVBand="0" w:oddHBand="0" w:evenHBand="0" w:firstRowFirstColumn="0" w:firstRowLastColumn="0" w:lastRowFirstColumn="0" w:lastRowLastColumn="0"/>
            <w:tcW w:w="1425" w:type="dxa"/>
            <w:hideMark/>
          </w:tcPr>
          <w:p w14:paraId="545F84E7" w14:textId="77777777" w:rsidR="00E86E23" w:rsidRPr="000973F2" w:rsidRDefault="00E86E23" w:rsidP="006B5E19">
            <w:pPr>
              <w:spacing w:before="40" w:after="4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Planning</w:t>
            </w:r>
          </w:p>
        </w:tc>
        <w:tc>
          <w:tcPr>
            <w:tcW w:w="776" w:type="dxa"/>
            <w:noWrap/>
            <w:hideMark/>
          </w:tcPr>
          <w:p w14:paraId="6F7A8109" w14:textId="77777777" w:rsidR="00E86E23" w:rsidRPr="000973F2" w:rsidRDefault="00E86E23" w:rsidP="006B5E19">
            <w:pPr>
              <w:tabs>
                <w:tab w:val="decimal" w:pos="256"/>
              </w:tabs>
              <w:spacing w:before="40" w:after="4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hAnsi="Times New Roman" w:cs="Times New Roman"/>
                <w:sz w:val="18"/>
                <w:szCs w:val="18"/>
              </w:rPr>
              <w:t>0</w:t>
            </w:r>
          </w:p>
        </w:tc>
        <w:tc>
          <w:tcPr>
            <w:tcW w:w="776" w:type="dxa"/>
            <w:noWrap/>
            <w:hideMark/>
          </w:tcPr>
          <w:p w14:paraId="49B51E6B" w14:textId="77777777" w:rsidR="00E86E23" w:rsidRPr="000973F2" w:rsidRDefault="00E86E23" w:rsidP="006B5E19">
            <w:pPr>
              <w:tabs>
                <w:tab w:val="decimal" w:pos="256"/>
              </w:tabs>
              <w:spacing w:before="40" w:after="4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hAnsi="Times New Roman" w:cs="Times New Roman"/>
                <w:sz w:val="18"/>
                <w:szCs w:val="18"/>
              </w:rPr>
              <w:t>1</w:t>
            </w:r>
          </w:p>
        </w:tc>
        <w:tc>
          <w:tcPr>
            <w:tcW w:w="776" w:type="dxa"/>
            <w:noWrap/>
            <w:hideMark/>
          </w:tcPr>
          <w:p w14:paraId="445CDB4B" w14:textId="77777777" w:rsidR="00E86E23" w:rsidRPr="000973F2" w:rsidRDefault="00E86E23" w:rsidP="006B5E19">
            <w:pPr>
              <w:tabs>
                <w:tab w:val="decimal" w:pos="256"/>
              </w:tabs>
              <w:spacing w:before="40" w:after="4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hAnsi="Times New Roman" w:cs="Times New Roman"/>
                <w:sz w:val="18"/>
                <w:szCs w:val="18"/>
              </w:rPr>
              <w:t>0</w:t>
            </w:r>
          </w:p>
        </w:tc>
        <w:tc>
          <w:tcPr>
            <w:tcW w:w="776" w:type="dxa"/>
            <w:noWrap/>
            <w:hideMark/>
          </w:tcPr>
          <w:p w14:paraId="39559FB8" w14:textId="77777777" w:rsidR="00E86E23" w:rsidRPr="000973F2" w:rsidRDefault="00E86E23" w:rsidP="006B5E19">
            <w:pPr>
              <w:tabs>
                <w:tab w:val="decimal" w:pos="256"/>
              </w:tabs>
              <w:spacing w:before="40" w:after="4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hAnsi="Times New Roman" w:cs="Times New Roman"/>
                <w:sz w:val="18"/>
                <w:szCs w:val="18"/>
              </w:rPr>
              <w:t>1.0</w:t>
            </w:r>
          </w:p>
        </w:tc>
        <w:tc>
          <w:tcPr>
            <w:tcW w:w="776" w:type="dxa"/>
            <w:noWrap/>
            <w:hideMark/>
          </w:tcPr>
          <w:p w14:paraId="24DD16A9" w14:textId="77777777" w:rsidR="00E86E23" w:rsidRPr="000973F2" w:rsidRDefault="00E86E23" w:rsidP="006B5E19">
            <w:pPr>
              <w:tabs>
                <w:tab w:val="decimal" w:pos="256"/>
              </w:tabs>
              <w:spacing w:before="40" w:after="4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hAnsi="Times New Roman" w:cs="Times New Roman"/>
                <w:sz w:val="18"/>
                <w:szCs w:val="18"/>
              </w:rPr>
              <w:t>0</w:t>
            </w:r>
          </w:p>
        </w:tc>
        <w:tc>
          <w:tcPr>
            <w:tcW w:w="776" w:type="dxa"/>
            <w:noWrap/>
            <w:hideMark/>
          </w:tcPr>
          <w:p w14:paraId="50BB0971" w14:textId="77777777" w:rsidR="00E86E23" w:rsidRPr="000973F2" w:rsidRDefault="00E86E23" w:rsidP="006B5E19">
            <w:pPr>
              <w:tabs>
                <w:tab w:val="decimal" w:pos="256"/>
              </w:tabs>
              <w:spacing w:before="40" w:after="4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hAnsi="Times New Roman" w:cs="Times New Roman"/>
                <w:sz w:val="18"/>
                <w:szCs w:val="18"/>
              </w:rPr>
              <w:t>2</w:t>
            </w:r>
          </w:p>
        </w:tc>
        <w:tc>
          <w:tcPr>
            <w:tcW w:w="776" w:type="dxa"/>
            <w:noWrap/>
            <w:hideMark/>
          </w:tcPr>
          <w:p w14:paraId="326608CC" w14:textId="77777777" w:rsidR="00E86E23" w:rsidRPr="000973F2" w:rsidRDefault="00E86E23" w:rsidP="006B5E19">
            <w:pPr>
              <w:tabs>
                <w:tab w:val="decimal" w:pos="256"/>
              </w:tabs>
              <w:spacing w:before="40" w:after="4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hAnsi="Times New Roman" w:cs="Times New Roman"/>
                <w:sz w:val="18"/>
                <w:szCs w:val="18"/>
              </w:rPr>
              <w:t>0</w:t>
            </w:r>
          </w:p>
        </w:tc>
        <w:tc>
          <w:tcPr>
            <w:tcW w:w="777" w:type="dxa"/>
            <w:noWrap/>
            <w:hideMark/>
          </w:tcPr>
          <w:p w14:paraId="0F6C3E4C" w14:textId="77777777" w:rsidR="00E86E23" w:rsidRPr="000973F2" w:rsidRDefault="00E86E23" w:rsidP="006B5E19">
            <w:pPr>
              <w:tabs>
                <w:tab w:val="decimal" w:pos="256"/>
              </w:tabs>
              <w:spacing w:before="40" w:after="4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hAnsi="Times New Roman" w:cs="Times New Roman"/>
                <w:sz w:val="18"/>
                <w:szCs w:val="18"/>
              </w:rPr>
              <w:t>1.0</w:t>
            </w:r>
          </w:p>
        </w:tc>
        <w:tc>
          <w:tcPr>
            <w:tcW w:w="848" w:type="dxa"/>
            <w:noWrap/>
            <w:hideMark/>
          </w:tcPr>
          <w:p w14:paraId="469EA853" w14:textId="77777777" w:rsidR="00E86E23" w:rsidRPr="000973F2" w:rsidRDefault="00E86E23" w:rsidP="000F404A">
            <w:pPr>
              <w:tabs>
                <w:tab w:val="decimal" w:pos="421"/>
              </w:tabs>
              <w:spacing w:before="40" w:after="4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hAnsi="Times New Roman" w:cs="Times New Roman"/>
                <w:sz w:val="18"/>
                <w:szCs w:val="18"/>
              </w:rPr>
              <w:t xml:space="preserve">$0 </w:t>
            </w:r>
          </w:p>
        </w:tc>
        <w:tc>
          <w:tcPr>
            <w:tcW w:w="848" w:type="dxa"/>
            <w:noWrap/>
            <w:hideMark/>
          </w:tcPr>
          <w:p w14:paraId="4FAC5344" w14:textId="77777777" w:rsidR="00E86E23" w:rsidRPr="000973F2" w:rsidRDefault="00E86E23" w:rsidP="006B5E19">
            <w:pPr>
              <w:tabs>
                <w:tab w:val="decimal" w:pos="571"/>
              </w:tabs>
              <w:spacing w:before="40" w:after="4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hAnsi="Times New Roman" w:cs="Times New Roman"/>
                <w:sz w:val="18"/>
                <w:szCs w:val="18"/>
              </w:rPr>
              <w:t xml:space="preserve">$379 </w:t>
            </w:r>
          </w:p>
        </w:tc>
      </w:tr>
      <w:tr w:rsidR="00E86E23" w:rsidRPr="000973F2" w14:paraId="0F34C5FC" w14:textId="77777777" w:rsidTr="006B5E19">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1425" w:type="dxa"/>
            <w:hideMark/>
          </w:tcPr>
          <w:p w14:paraId="11D87B73" w14:textId="77777777" w:rsidR="00E86E23" w:rsidRPr="000973F2" w:rsidRDefault="00E86E23" w:rsidP="006B5E19">
            <w:pPr>
              <w:spacing w:before="40" w:after="4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QA/QC</w:t>
            </w:r>
          </w:p>
        </w:tc>
        <w:tc>
          <w:tcPr>
            <w:tcW w:w="776" w:type="dxa"/>
            <w:noWrap/>
            <w:hideMark/>
          </w:tcPr>
          <w:p w14:paraId="39049902" w14:textId="77777777" w:rsidR="00E86E23" w:rsidRPr="000973F2" w:rsidRDefault="00E86E23" w:rsidP="006B5E19">
            <w:pPr>
              <w:tabs>
                <w:tab w:val="decimal" w:pos="256"/>
              </w:tabs>
              <w:spacing w:before="40" w:after="4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hAnsi="Times New Roman" w:cs="Times New Roman"/>
                <w:sz w:val="18"/>
                <w:szCs w:val="18"/>
              </w:rPr>
              <w:t>0</w:t>
            </w:r>
          </w:p>
        </w:tc>
        <w:tc>
          <w:tcPr>
            <w:tcW w:w="776" w:type="dxa"/>
            <w:noWrap/>
            <w:hideMark/>
          </w:tcPr>
          <w:p w14:paraId="006EBE58" w14:textId="77777777" w:rsidR="00E86E23" w:rsidRPr="000973F2" w:rsidRDefault="00E86E23" w:rsidP="006B5E19">
            <w:pPr>
              <w:tabs>
                <w:tab w:val="decimal" w:pos="256"/>
              </w:tabs>
              <w:spacing w:before="40" w:after="4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hAnsi="Times New Roman" w:cs="Times New Roman"/>
                <w:sz w:val="18"/>
                <w:szCs w:val="18"/>
              </w:rPr>
              <w:t>0</w:t>
            </w:r>
          </w:p>
        </w:tc>
        <w:tc>
          <w:tcPr>
            <w:tcW w:w="776" w:type="dxa"/>
            <w:noWrap/>
            <w:hideMark/>
          </w:tcPr>
          <w:p w14:paraId="3388D690" w14:textId="77777777" w:rsidR="00E86E23" w:rsidRPr="000973F2" w:rsidRDefault="00E86E23" w:rsidP="006B5E19">
            <w:pPr>
              <w:tabs>
                <w:tab w:val="decimal" w:pos="256"/>
              </w:tabs>
              <w:spacing w:before="40" w:after="4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hAnsi="Times New Roman" w:cs="Times New Roman"/>
                <w:sz w:val="18"/>
                <w:szCs w:val="18"/>
              </w:rPr>
              <w:t>0</w:t>
            </w:r>
          </w:p>
        </w:tc>
        <w:tc>
          <w:tcPr>
            <w:tcW w:w="776" w:type="dxa"/>
            <w:noWrap/>
            <w:hideMark/>
          </w:tcPr>
          <w:p w14:paraId="239C2CAE" w14:textId="77777777" w:rsidR="00E86E23" w:rsidRPr="000973F2" w:rsidRDefault="00E86E23" w:rsidP="006B5E19">
            <w:pPr>
              <w:tabs>
                <w:tab w:val="decimal" w:pos="256"/>
              </w:tabs>
              <w:spacing w:before="40" w:after="4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hAnsi="Times New Roman" w:cs="Times New Roman"/>
                <w:sz w:val="18"/>
                <w:szCs w:val="18"/>
              </w:rPr>
              <w:t>1.0</w:t>
            </w:r>
          </w:p>
        </w:tc>
        <w:tc>
          <w:tcPr>
            <w:tcW w:w="776" w:type="dxa"/>
            <w:noWrap/>
            <w:hideMark/>
          </w:tcPr>
          <w:p w14:paraId="396AD070" w14:textId="77777777" w:rsidR="00E86E23" w:rsidRPr="000973F2" w:rsidRDefault="00E86E23" w:rsidP="006B5E19">
            <w:pPr>
              <w:tabs>
                <w:tab w:val="decimal" w:pos="256"/>
              </w:tabs>
              <w:spacing w:before="40" w:after="4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hAnsi="Times New Roman" w:cs="Times New Roman"/>
                <w:sz w:val="18"/>
                <w:szCs w:val="18"/>
              </w:rPr>
              <w:t>0</w:t>
            </w:r>
          </w:p>
        </w:tc>
        <w:tc>
          <w:tcPr>
            <w:tcW w:w="776" w:type="dxa"/>
            <w:noWrap/>
            <w:hideMark/>
          </w:tcPr>
          <w:p w14:paraId="51CB23E1" w14:textId="77777777" w:rsidR="00E86E23" w:rsidRPr="000973F2" w:rsidRDefault="00E86E23" w:rsidP="006B5E19">
            <w:pPr>
              <w:tabs>
                <w:tab w:val="decimal" w:pos="256"/>
              </w:tabs>
              <w:spacing w:before="40" w:after="4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hAnsi="Times New Roman" w:cs="Times New Roman"/>
                <w:sz w:val="18"/>
                <w:szCs w:val="18"/>
              </w:rPr>
              <w:t>2</w:t>
            </w:r>
          </w:p>
        </w:tc>
        <w:tc>
          <w:tcPr>
            <w:tcW w:w="776" w:type="dxa"/>
            <w:noWrap/>
            <w:hideMark/>
          </w:tcPr>
          <w:p w14:paraId="792C3FF5" w14:textId="77777777" w:rsidR="00E86E23" w:rsidRPr="000973F2" w:rsidRDefault="00E86E23" w:rsidP="006B5E19">
            <w:pPr>
              <w:tabs>
                <w:tab w:val="decimal" w:pos="256"/>
              </w:tabs>
              <w:spacing w:before="40" w:after="4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hAnsi="Times New Roman" w:cs="Times New Roman"/>
                <w:sz w:val="18"/>
                <w:szCs w:val="18"/>
              </w:rPr>
              <w:t>0</w:t>
            </w:r>
          </w:p>
        </w:tc>
        <w:tc>
          <w:tcPr>
            <w:tcW w:w="777" w:type="dxa"/>
            <w:noWrap/>
            <w:hideMark/>
          </w:tcPr>
          <w:p w14:paraId="319E9650" w14:textId="77777777" w:rsidR="00E86E23" w:rsidRPr="000973F2" w:rsidRDefault="00E86E23" w:rsidP="006B5E19">
            <w:pPr>
              <w:tabs>
                <w:tab w:val="decimal" w:pos="256"/>
              </w:tabs>
              <w:spacing w:before="40" w:after="4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hAnsi="Times New Roman" w:cs="Times New Roman"/>
                <w:sz w:val="18"/>
                <w:szCs w:val="18"/>
              </w:rPr>
              <w:t>0</w:t>
            </w:r>
          </w:p>
        </w:tc>
        <w:tc>
          <w:tcPr>
            <w:tcW w:w="848" w:type="dxa"/>
            <w:noWrap/>
            <w:hideMark/>
          </w:tcPr>
          <w:p w14:paraId="2BF93BBA" w14:textId="77777777" w:rsidR="00E86E23" w:rsidRPr="000973F2" w:rsidRDefault="00E86E23" w:rsidP="000F404A">
            <w:pPr>
              <w:tabs>
                <w:tab w:val="decimal" w:pos="421"/>
              </w:tabs>
              <w:spacing w:before="40" w:after="4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hAnsi="Times New Roman" w:cs="Times New Roman"/>
                <w:sz w:val="18"/>
                <w:szCs w:val="18"/>
              </w:rPr>
              <w:t xml:space="preserve">$0 </w:t>
            </w:r>
          </w:p>
        </w:tc>
        <w:tc>
          <w:tcPr>
            <w:tcW w:w="848" w:type="dxa"/>
            <w:noWrap/>
            <w:hideMark/>
          </w:tcPr>
          <w:p w14:paraId="13751F0C" w14:textId="77777777" w:rsidR="00E86E23" w:rsidRPr="000973F2" w:rsidRDefault="00E86E23" w:rsidP="006B5E19">
            <w:pPr>
              <w:tabs>
                <w:tab w:val="decimal" w:pos="571"/>
              </w:tabs>
              <w:spacing w:before="40" w:after="4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hAnsi="Times New Roman" w:cs="Times New Roman"/>
                <w:sz w:val="18"/>
                <w:szCs w:val="18"/>
              </w:rPr>
              <w:t xml:space="preserve">$230 </w:t>
            </w:r>
          </w:p>
        </w:tc>
      </w:tr>
      <w:tr w:rsidR="00E86E23" w:rsidRPr="000973F2" w14:paraId="02F231A2" w14:textId="77777777" w:rsidTr="006B5E19">
        <w:trPr>
          <w:cantSplit/>
        </w:trPr>
        <w:tc>
          <w:tcPr>
            <w:cnfStyle w:val="001000000000" w:firstRow="0" w:lastRow="0" w:firstColumn="1" w:lastColumn="0" w:oddVBand="0" w:evenVBand="0" w:oddHBand="0" w:evenHBand="0" w:firstRowFirstColumn="0" w:firstRowLastColumn="0" w:lastRowFirstColumn="0" w:lastRowLastColumn="0"/>
            <w:tcW w:w="1425" w:type="dxa"/>
            <w:hideMark/>
          </w:tcPr>
          <w:p w14:paraId="769C17FB" w14:textId="77777777" w:rsidR="00E86E23" w:rsidRPr="000973F2" w:rsidRDefault="00E86E23" w:rsidP="006B5E19">
            <w:pPr>
              <w:spacing w:before="40" w:after="4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Recordkeeping</w:t>
            </w:r>
          </w:p>
        </w:tc>
        <w:tc>
          <w:tcPr>
            <w:tcW w:w="776" w:type="dxa"/>
            <w:noWrap/>
            <w:hideMark/>
          </w:tcPr>
          <w:p w14:paraId="5D50E44E" w14:textId="77777777" w:rsidR="00E86E23" w:rsidRPr="000973F2" w:rsidRDefault="00E86E23" w:rsidP="006B5E19">
            <w:pPr>
              <w:tabs>
                <w:tab w:val="decimal" w:pos="256"/>
              </w:tabs>
              <w:spacing w:before="40" w:after="4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hAnsi="Times New Roman" w:cs="Times New Roman"/>
                <w:sz w:val="18"/>
                <w:szCs w:val="18"/>
              </w:rPr>
              <w:t>0</w:t>
            </w:r>
          </w:p>
        </w:tc>
        <w:tc>
          <w:tcPr>
            <w:tcW w:w="776" w:type="dxa"/>
            <w:noWrap/>
            <w:hideMark/>
          </w:tcPr>
          <w:p w14:paraId="03536260" w14:textId="77777777" w:rsidR="00E86E23" w:rsidRPr="000973F2" w:rsidRDefault="00E86E23" w:rsidP="006B5E19">
            <w:pPr>
              <w:tabs>
                <w:tab w:val="decimal" w:pos="256"/>
              </w:tabs>
              <w:spacing w:before="40" w:after="4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hAnsi="Times New Roman" w:cs="Times New Roman"/>
                <w:sz w:val="18"/>
                <w:szCs w:val="18"/>
              </w:rPr>
              <w:t>0</w:t>
            </w:r>
          </w:p>
        </w:tc>
        <w:tc>
          <w:tcPr>
            <w:tcW w:w="776" w:type="dxa"/>
            <w:noWrap/>
            <w:hideMark/>
          </w:tcPr>
          <w:p w14:paraId="30F1AEC7" w14:textId="77777777" w:rsidR="00E86E23" w:rsidRPr="000973F2" w:rsidRDefault="00E86E23" w:rsidP="006B5E19">
            <w:pPr>
              <w:tabs>
                <w:tab w:val="decimal" w:pos="256"/>
              </w:tabs>
              <w:spacing w:before="40" w:after="4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hAnsi="Times New Roman" w:cs="Times New Roman"/>
                <w:sz w:val="18"/>
                <w:szCs w:val="18"/>
              </w:rPr>
              <w:t>0</w:t>
            </w:r>
          </w:p>
        </w:tc>
        <w:tc>
          <w:tcPr>
            <w:tcW w:w="776" w:type="dxa"/>
            <w:noWrap/>
            <w:hideMark/>
          </w:tcPr>
          <w:p w14:paraId="42CAE116" w14:textId="77777777" w:rsidR="00E86E23" w:rsidRPr="000973F2" w:rsidRDefault="00E86E23" w:rsidP="006B5E19">
            <w:pPr>
              <w:tabs>
                <w:tab w:val="decimal" w:pos="256"/>
              </w:tabs>
              <w:spacing w:before="40" w:after="4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hAnsi="Times New Roman" w:cs="Times New Roman"/>
                <w:sz w:val="18"/>
                <w:szCs w:val="18"/>
              </w:rPr>
              <w:t>1.0</w:t>
            </w:r>
          </w:p>
        </w:tc>
        <w:tc>
          <w:tcPr>
            <w:tcW w:w="776" w:type="dxa"/>
            <w:noWrap/>
            <w:hideMark/>
          </w:tcPr>
          <w:p w14:paraId="7C29DCD5" w14:textId="77777777" w:rsidR="00E86E23" w:rsidRPr="000973F2" w:rsidRDefault="00E86E23" w:rsidP="006B5E19">
            <w:pPr>
              <w:tabs>
                <w:tab w:val="decimal" w:pos="256"/>
              </w:tabs>
              <w:spacing w:before="40" w:after="4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hAnsi="Times New Roman" w:cs="Times New Roman"/>
                <w:sz w:val="18"/>
                <w:szCs w:val="18"/>
              </w:rPr>
              <w:t>0</w:t>
            </w:r>
          </w:p>
        </w:tc>
        <w:tc>
          <w:tcPr>
            <w:tcW w:w="776" w:type="dxa"/>
            <w:noWrap/>
            <w:hideMark/>
          </w:tcPr>
          <w:p w14:paraId="6D09E165" w14:textId="77777777" w:rsidR="00E86E23" w:rsidRPr="000973F2" w:rsidRDefault="00E86E23" w:rsidP="006B5E19">
            <w:pPr>
              <w:tabs>
                <w:tab w:val="decimal" w:pos="256"/>
              </w:tabs>
              <w:spacing w:before="40" w:after="4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hAnsi="Times New Roman" w:cs="Times New Roman"/>
                <w:sz w:val="18"/>
                <w:szCs w:val="18"/>
              </w:rPr>
              <w:t>13</w:t>
            </w:r>
          </w:p>
        </w:tc>
        <w:tc>
          <w:tcPr>
            <w:tcW w:w="776" w:type="dxa"/>
            <w:noWrap/>
            <w:hideMark/>
          </w:tcPr>
          <w:p w14:paraId="2F18D003" w14:textId="77777777" w:rsidR="00E86E23" w:rsidRPr="000973F2" w:rsidRDefault="00E86E23" w:rsidP="006B5E19">
            <w:pPr>
              <w:tabs>
                <w:tab w:val="decimal" w:pos="256"/>
              </w:tabs>
              <w:spacing w:before="40" w:after="4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hAnsi="Times New Roman" w:cs="Times New Roman"/>
                <w:sz w:val="18"/>
                <w:szCs w:val="18"/>
              </w:rPr>
              <w:t>0</w:t>
            </w:r>
          </w:p>
        </w:tc>
        <w:tc>
          <w:tcPr>
            <w:tcW w:w="777" w:type="dxa"/>
            <w:noWrap/>
            <w:hideMark/>
          </w:tcPr>
          <w:p w14:paraId="65F0C15A" w14:textId="77777777" w:rsidR="00E86E23" w:rsidRPr="000973F2" w:rsidRDefault="00E86E23" w:rsidP="006B5E19">
            <w:pPr>
              <w:tabs>
                <w:tab w:val="decimal" w:pos="256"/>
              </w:tabs>
              <w:spacing w:before="40" w:after="4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hAnsi="Times New Roman" w:cs="Times New Roman"/>
                <w:sz w:val="18"/>
                <w:szCs w:val="18"/>
              </w:rPr>
              <w:t>1.0</w:t>
            </w:r>
          </w:p>
        </w:tc>
        <w:tc>
          <w:tcPr>
            <w:tcW w:w="848" w:type="dxa"/>
            <w:noWrap/>
            <w:hideMark/>
          </w:tcPr>
          <w:p w14:paraId="603697B9" w14:textId="77777777" w:rsidR="00E86E23" w:rsidRPr="000973F2" w:rsidRDefault="00E86E23" w:rsidP="000F404A">
            <w:pPr>
              <w:tabs>
                <w:tab w:val="decimal" w:pos="421"/>
              </w:tabs>
              <w:spacing w:before="40" w:after="4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hAnsi="Times New Roman" w:cs="Times New Roman"/>
                <w:sz w:val="18"/>
                <w:szCs w:val="18"/>
              </w:rPr>
              <w:t xml:space="preserve">$0 </w:t>
            </w:r>
          </w:p>
        </w:tc>
        <w:tc>
          <w:tcPr>
            <w:tcW w:w="848" w:type="dxa"/>
            <w:noWrap/>
            <w:hideMark/>
          </w:tcPr>
          <w:p w14:paraId="296781FB" w14:textId="77777777" w:rsidR="00E86E23" w:rsidRPr="000973F2" w:rsidRDefault="00E86E23" w:rsidP="006B5E19">
            <w:pPr>
              <w:tabs>
                <w:tab w:val="decimal" w:pos="571"/>
              </w:tabs>
              <w:spacing w:before="40" w:after="4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hAnsi="Times New Roman" w:cs="Times New Roman"/>
                <w:sz w:val="18"/>
                <w:szCs w:val="18"/>
              </w:rPr>
              <w:t xml:space="preserve">$1,053 </w:t>
            </w:r>
          </w:p>
        </w:tc>
      </w:tr>
      <w:tr w:rsidR="00E86E23" w:rsidRPr="000973F2" w14:paraId="5B262BB4" w14:textId="77777777" w:rsidTr="006B5E19">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1425" w:type="dxa"/>
            <w:hideMark/>
          </w:tcPr>
          <w:p w14:paraId="2066D737" w14:textId="77777777" w:rsidR="00E86E23" w:rsidRPr="000973F2" w:rsidRDefault="00E86E23" w:rsidP="006B5E19">
            <w:pPr>
              <w:spacing w:before="40" w:after="4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Sampling and Analysis (Calculations)</w:t>
            </w:r>
          </w:p>
        </w:tc>
        <w:tc>
          <w:tcPr>
            <w:tcW w:w="776" w:type="dxa"/>
            <w:noWrap/>
            <w:hideMark/>
          </w:tcPr>
          <w:p w14:paraId="245B17C6" w14:textId="77777777" w:rsidR="00E86E23" w:rsidRPr="000973F2" w:rsidRDefault="00E86E23" w:rsidP="006B5E19">
            <w:pPr>
              <w:tabs>
                <w:tab w:val="decimal" w:pos="256"/>
              </w:tabs>
              <w:spacing w:before="40" w:after="4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hAnsi="Times New Roman" w:cs="Times New Roman"/>
                <w:sz w:val="18"/>
                <w:szCs w:val="18"/>
              </w:rPr>
              <w:t>0</w:t>
            </w:r>
          </w:p>
        </w:tc>
        <w:tc>
          <w:tcPr>
            <w:tcW w:w="776" w:type="dxa"/>
            <w:noWrap/>
            <w:hideMark/>
          </w:tcPr>
          <w:p w14:paraId="55ABD9A6" w14:textId="77777777" w:rsidR="00E86E23" w:rsidRPr="000973F2" w:rsidRDefault="00E86E23" w:rsidP="006B5E19">
            <w:pPr>
              <w:tabs>
                <w:tab w:val="decimal" w:pos="256"/>
              </w:tabs>
              <w:spacing w:before="40" w:after="4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hAnsi="Times New Roman" w:cs="Times New Roman"/>
                <w:sz w:val="18"/>
                <w:szCs w:val="18"/>
              </w:rPr>
              <w:t>0</w:t>
            </w:r>
          </w:p>
        </w:tc>
        <w:tc>
          <w:tcPr>
            <w:tcW w:w="776" w:type="dxa"/>
            <w:noWrap/>
            <w:hideMark/>
          </w:tcPr>
          <w:p w14:paraId="3CC9A386" w14:textId="77777777" w:rsidR="00E86E23" w:rsidRPr="000973F2" w:rsidRDefault="00E86E23" w:rsidP="006B5E19">
            <w:pPr>
              <w:tabs>
                <w:tab w:val="decimal" w:pos="256"/>
              </w:tabs>
              <w:spacing w:before="40" w:after="4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hAnsi="Times New Roman" w:cs="Times New Roman"/>
                <w:sz w:val="18"/>
                <w:szCs w:val="18"/>
              </w:rPr>
              <w:t>0</w:t>
            </w:r>
          </w:p>
        </w:tc>
        <w:tc>
          <w:tcPr>
            <w:tcW w:w="776" w:type="dxa"/>
            <w:noWrap/>
            <w:hideMark/>
          </w:tcPr>
          <w:p w14:paraId="1E932CF0" w14:textId="77777777" w:rsidR="00E86E23" w:rsidRPr="000973F2" w:rsidRDefault="00E86E23" w:rsidP="006B5E19">
            <w:pPr>
              <w:tabs>
                <w:tab w:val="decimal" w:pos="256"/>
              </w:tabs>
              <w:spacing w:before="40" w:after="4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hAnsi="Times New Roman" w:cs="Times New Roman"/>
                <w:sz w:val="18"/>
                <w:szCs w:val="18"/>
              </w:rPr>
              <w:t>1.5</w:t>
            </w:r>
          </w:p>
        </w:tc>
        <w:tc>
          <w:tcPr>
            <w:tcW w:w="776" w:type="dxa"/>
            <w:noWrap/>
            <w:hideMark/>
          </w:tcPr>
          <w:p w14:paraId="0F2FC430" w14:textId="77777777" w:rsidR="00E86E23" w:rsidRPr="000973F2" w:rsidRDefault="00E86E23" w:rsidP="006B5E19">
            <w:pPr>
              <w:tabs>
                <w:tab w:val="decimal" w:pos="256"/>
              </w:tabs>
              <w:spacing w:before="40" w:after="4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hAnsi="Times New Roman" w:cs="Times New Roman"/>
                <w:sz w:val="18"/>
                <w:szCs w:val="18"/>
              </w:rPr>
              <w:t>0</w:t>
            </w:r>
          </w:p>
        </w:tc>
        <w:tc>
          <w:tcPr>
            <w:tcW w:w="776" w:type="dxa"/>
            <w:noWrap/>
            <w:hideMark/>
          </w:tcPr>
          <w:p w14:paraId="3686267A" w14:textId="77777777" w:rsidR="00E86E23" w:rsidRPr="000973F2" w:rsidRDefault="00E86E23" w:rsidP="006B5E19">
            <w:pPr>
              <w:tabs>
                <w:tab w:val="decimal" w:pos="256"/>
              </w:tabs>
              <w:spacing w:before="40" w:after="4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hAnsi="Times New Roman" w:cs="Times New Roman"/>
                <w:sz w:val="18"/>
                <w:szCs w:val="18"/>
              </w:rPr>
              <w:t>8</w:t>
            </w:r>
          </w:p>
        </w:tc>
        <w:tc>
          <w:tcPr>
            <w:tcW w:w="776" w:type="dxa"/>
            <w:noWrap/>
            <w:hideMark/>
          </w:tcPr>
          <w:p w14:paraId="537EE345" w14:textId="77777777" w:rsidR="00E86E23" w:rsidRPr="000973F2" w:rsidRDefault="00E86E23" w:rsidP="006B5E19">
            <w:pPr>
              <w:tabs>
                <w:tab w:val="decimal" w:pos="256"/>
              </w:tabs>
              <w:spacing w:before="40" w:after="4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hAnsi="Times New Roman" w:cs="Times New Roman"/>
                <w:sz w:val="18"/>
                <w:szCs w:val="18"/>
              </w:rPr>
              <w:t>0</w:t>
            </w:r>
          </w:p>
        </w:tc>
        <w:tc>
          <w:tcPr>
            <w:tcW w:w="777" w:type="dxa"/>
            <w:noWrap/>
            <w:hideMark/>
          </w:tcPr>
          <w:p w14:paraId="45E1BCCF" w14:textId="77777777" w:rsidR="00E86E23" w:rsidRPr="000973F2" w:rsidRDefault="00E86E23" w:rsidP="006B5E19">
            <w:pPr>
              <w:tabs>
                <w:tab w:val="decimal" w:pos="256"/>
              </w:tabs>
              <w:spacing w:before="40" w:after="4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hAnsi="Times New Roman" w:cs="Times New Roman"/>
                <w:sz w:val="18"/>
                <w:szCs w:val="18"/>
              </w:rPr>
              <w:t>1.5</w:t>
            </w:r>
          </w:p>
        </w:tc>
        <w:tc>
          <w:tcPr>
            <w:tcW w:w="848" w:type="dxa"/>
            <w:noWrap/>
            <w:hideMark/>
          </w:tcPr>
          <w:p w14:paraId="00153CE0" w14:textId="77777777" w:rsidR="00E86E23" w:rsidRPr="000973F2" w:rsidRDefault="00E86E23" w:rsidP="000F404A">
            <w:pPr>
              <w:tabs>
                <w:tab w:val="decimal" w:pos="421"/>
              </w:tabs>
              <w:spacing w:before="40" w:after="4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hAnsi="Times New Roman" w:cs="Times New Roman"/>
                <w:sz w:val="18"/>
                <w:szCs w:val="18"/>
              </w:rPr>
              <w:t xml:space="preserve">$0 </w:t>
            </w:r>
          </w:p>
        </w:tc>
        <w:tc>
          <w:tcPr>
            <w:tcW w:w="848" w:type="dxa"/>
            <w:noWrap/>
            <w:hideMark/>
          </w:tcPr>
          <w:p w14:paraId="49CD1186" w14:textId="77777777" w:rsidR="00E86E23" w:rsidRPr="000973F2" w:rsidRDefault="00E86E23" w:rsidP="006B5E19">
            <w:pPr>
              <w:tabs>
                <w:tab w:val="decimal" w:pos="571"/>
              </w:tabs>
              <w:spacing w:before="40" w:after="4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hAnsi="Times New Roman" w:cs="Times New Roman"/>
                <w:sz w:val="18"/>
                <w:szCs w:val="18"/>
              </w:rPr>
              <w:t xml:space="preserve">$757 </w:t>
            </w:r>
          </w:p>
        </w:tc>
      </w:tr>
      <w:tr w:rsidR="00E86E23" w:rsidRPr="000973F2" w14:paraId="0822B25D" w14:textId="77777777" w:rsidTr="006B5E19">
        <w:trPr>
          <w:cantSplit/>
        </w:trPr>
        <w:tc>
          <w:tcPr>
            <w:cnfStyle w:val="001000000000" w:firstRow="0" w:lastRow="0" w:firstColumn="1" w:lastColumn="0" w:oddVBand="0" w:evenVBand="0" w:oddHBand="0" w:evenHBand="0" w:firstRowFirstColumn="0" w:firstRowLastColumn="0" w:lastRowFirstColumn="0" w:lastRowLastColumn="0"/>
            <w:tcW w:w="1425" w:type="dxa"/>
            <w:hideMark/>
          </w:tcPr>
          <w:p w14:paraId="626780B0" w14:textId="77777777" w:rsidR="00E86E23" w:rsidRPr="000973F2" w:rsidRDefault="00E86E23" w:rsidP="006B5E19">
            <w:pPr>
              <w:spacing w:before="40" w:after="4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Reporting</w:t>
            </w:r>
          </w:p>
        </w:tc>
        <w:tc>
          <w:tcPr>
            <w:tcW w:w="776" w:type="dxa"/>
            <w:noWrap/>
            <w:hideMark/>
          </w:tcPr>
          <w:p w14:paraId="37C0DA25" w14:textId="77777777" w:rsidR="00E86E23" w:rsidRPr="000973F2" w:rsidRDefault="00E86E23" w:rsidP="006B5E19">
            <w:pPr>
              <w:tabs>
                <w:tab w:val="decimal" w:pos="256"/>
              </w:tabs>
              <w:spacing w:before="40" w:after="4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hAnsi="Times New Roman" w:cs="Times New Roman"/>
                <w:sz w:val="18"/>
                <w:szCs w:val="18"/>
              </w:rPr>
              <w:t>0</w:t>
            </w:r>
          </w:p>
        </w:tc>
        <w:tc>
          <w:tcPr>
            <w:tcW w:w="776" w:type="dxa"/>
            <w:noWrap/>
            <w:hideMark/>
          </w:tcPr>
          <w:p w14:paraId="7C7DA118" w14:textId="77777777" w:rsidR="00E86E23" w:rsidRPr="000973F2" w:rsidRDefault="00E86E23" w:rsidP="006B5E19">
            <w:pPr>
              <w:tabs>
                <w:tab w:val="decimal" w:pos="256"/>
              </w:tabs>
              <w:spacing w:before="40" w:after="4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hAnsi="Times New Roman" w:cs="Times New Roman"/>
                <w:sz w:val="18"/>
                <w:szCs w:val="18"/>
              </w:rPr>
              <w:t>0</w:t>
            </w:r>
          </w:p>
        </w:tc>
        <w:tc>
          <w:tcPr>
            <w:tcW w:w="776" w:type="dxa"/>
            <w:noWrap/>
            <w:hideMark/>
          </w:tcPr>
          <w:p w14:paraId="7A9A05E2" w14:textId="77777777" w:rsidR="00E86E23" w:rsidRPr="000973F2" w:rsidRDefault="00E86E23" w:rsidP="006B5E19">
            <w:pPr>
              <w:tabs>
                <w:tab w:val="decimal" w:pos="256"/>
              </w:tabs>
              <w:spacing w:before="40" w:after="4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hAnsi="Times New Roman" w:cs="Times New Roman"/>
                <w:sz w:val="18"/>
                <w:szCs w:val="18"/>
              </w:rPr>
              <w:t>0</w:t>
            </w:r>
          </w:p>
        </w:tc>
        <w:tc>
          <w:tcPr>
            <w:tcW w:w="776" w:type="dxa"/>
            <w:noWrap/>
            <w:hideMark/>
          </w:tcPr>
          <w:p w14:paraId="01E0AC29" w14:textId="77777777" w:rsidR="00E86E23" w:rsidRPr="000973F2" w:rsidRDefault="00E86E23" w:rsidP="006B5E19">
            <w:pPr>
              <w:tabs>
                <w:tab w:val="decimal" w:pos="256"/>
              </w:tabs>
              <w:spacing w:before="40" w:after="4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hAnsi="Times New Roman" w:cs="Times New Roman"/>
                <w:sz w:val="18"/>
                <w:szCs w:val="18"/>
              </w:rPr>
              <w:t>2.0</w:t>
            </w:r>
          </w:p>
        </w:tc>
        <w:tc>
          <w:tcPr>
            <w:tcW w:w="776" w:type="dxa"/>
            <w:noWrap/>
            <w:hideMark/>
          </w:tcPr>
          <w:p w14:paraId="23395A84" w14:textId="77777777" w:rsidR="00E86E23" w:rsidRPr="000973F2" w:rsidRDefault="00E86E23" w:rsidP="006B5E19">
            <w:pPr>
              <w:tabs>
                <w:tab w:val="decimal" w:pos="256"/>
              </w:tabs>
              <w:spacing w:before="40" w:after="4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hAnsi="Times New Roman" w:cs="Times New Roman"/>
                <w:sz w:val="18"/>
                <w:szCs w:val="18"/>
              </w:rPr>
              <w:t>0</w:t>
            </w:r>
          </w:p>
        </w:tc>
        <w:tc>
          <w:tcPr>
            <w:tcW w:w="776" w:type="dxa"/>
            <w:noWrap/>
            <w:hideMark/>
          </w:tcPr>
          <w:p w14:paraId="6A524794" w14:textId="77777777" w:rsidR="00E86E23" w:rsidRPr="000973F2" w:rsidRDefault="00E86E23" w:rsidP="006B5E19">
            <w:pPr>
              <w:tabs>
                <w:tab w:val="decimal" w:pos="256"/>
              </w:tabs>
              <w:spacing w:before="40" w:after="4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hAnsi="Times New Roman" w:cs="Times New Roman"/>
                <w:sz w:val="18"/>
                <w:szCs w:val="18"/>
              </w:rPr>
              <w:t>26</w:t>
            </w:r>
          </w:p>
        </w:tc>
        <w:tc>
          <w:tcPr>
            <w:tcW w:w="776" w:type="dxa"/>
            <w:noWrap/>
            <w:hideMark/>
          </w:tcPr>
          <w:p w14:paraId="7190F080" w14:textId="77777777" w:rsidR="00E86E23" w:rsidRPr="000973F2" w:rsidRDefault="00E86E23" w:rsidP="006B5E19">
            <w:pPr>
              <w:tabs>
                <w:tab w:val="decimal" w:pos="256"/>
              </w:tabs>
              <w:spacing w:before="40" w:after="4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hAnsi="Times New Roman" w:cs="Times New Roman"/>
                <w:sz w:val="18"/>
                <w:szCs w:val="18"/>
              </w:rPr>
              <w:t>0</w:t>
            </w:r>
          </w:p>
        </w:tc>
        <w:tc>
          <w:tcPr>
            <w:tcW w:w="777" w:type="dxa"/>
            <w:noWrap/>
            <w:hideMark/>
          </w:tcPr>
          <w:p w14:paraId="60674261" w14:textId="77777777" w:rsidR="00E86E23" w:rsidRPr="000973F2" w:rsidRDefault="00E86E23" w:rsidP="006B5E19">
            <w:pPr>
              <w:tabs>
                <w:tab w:val="decimal" w:pos="256"/>
              </w:tabs>
              <w:spacing w:before="40" w:after="4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hAnsi="Times New Roman" w:cs="Times New Roman"/>
                <w:sz w:val="18"/>
                <w:szCs w:val="18"/>
              </w:rPr>
              <w:t>2.0</w:t>
            </w:r>
          </w:p>
        </w:tc>
        <w:tc>
          <w:tcPr>
            <w:tcW w:w="848" w:type="dxa"/>
            <w:noWrap/>
            <w:hideMark/>
          </w:tcPr>
          <w:p w14:paraId="746A6205" w14:textId="77777777" w:rsidR="00E86E23" w:rsidRPr="000973F2" w:rsidRDefault="00E86E23" w:rsidP="000F404A">
            <w:pPr>
              <w:tabs>
                <w:tab w:val="decimal" w:pos="421"/>
              </w:tabs>
              <w:spacing w:before="40" w:after="4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hAnsi="Times New Roman" w:cs="Times New Roman"/>
                <w:sz w:val="18"/>
                <w:szCs w:val="18"/>
              </w:rPr>
              <w:t xml:space="preserve">$0 </w:t>
            </w:r>
          </w:p>
        </w:tc>
        <w:tc>
          <w:tcPr>
            <w:tcW w:w="848" w:type="dxa"/>
            <w:noWrap/>
            <w:hideMark/>
          </w:tcPr>
          <w:p w14:paraId="303F5167" w14:textId="77777777" w:rsidR="00E86E23" w:rsidRPr="000973F2" w:rsidRDefault="00E86E23" w:rsidP="006B5E19">
            <w:pPr>
              <w:tabs>
                <w:tab w:val="decimal" w:pos="571"/>
              </w:tabs>
              <w:spacing w:before="40" w:after="4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hAnsi="Times New Roman" w:cs="Times New Roman"/>
                <w:sz w:val="18"/>
                <w:szCs w:val="18"/>
              </w:rPr>
              <w:t xml:space="preserve">$2,105 </w:t>
            </w:r>
          </w:p>
        </w:tc>
      </w:tr>
      <w:tr w:rsidR="00E86E23" w:rsidRPr="000973F2" w14:paraId="1FAA4C9B" w14:textId="77777777" w:rsidTr="006B5E19">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1425" w:type="dxa"/>
            <w:noWrap/>
            <w:hideMark/>
          </w:tcPr>
          <w:p w14:paraId="36215A60" w14:textId="77777777" w:rsidR="00E86E23" w:rsidRPr="000973F2" w:rsidRDefault="00E86E23" w:rsidP="006B5E19">
            <w:pPr>
              <w:spacing w:before="40" w:after="40"/>
              <w:rPr>
                <w:rFonts w:ascii="Times New Roman" w:eastAsia="Times New Roman" w:hAnsi="Times New Roman" w:cs="Times New Roman"/>
                <w:b/>
                <w:bCs w:val="0"/>
                <w:sz w:val="18"/>
                <w:szCs w:val="18"/>
              </w:rPr>
            </w:pPr>
            <w:r w:rsidRPr="000973F2">
              <w:rPr>
                <w:rFonts w:ascii="Times New Roman" w:eastAsia="Times New Roman" w:hAnsi="Times New Roman" w:cs="Times New Roman"/>
                <w:b/>
                <w:sz w:val="18"/>
                <w:szCs w:val="18"/>
              </w:rPr>
              <w:t>Total</w:t>
            </w:r>
          </w:p>
        </w:tc>
        <w:tc>
          <w:tcPr>
            <w:tcW w:w="776" w:type="dxa"/>
            <w:noWrap/>
            <w:hideMark/>
          </w:tcPr>
          <w:p w14:paraId="3894DE61" w14:textId="77777777" w:rsidR="00E86E23" w:rsidRPr="000973F2" w:rsidRDefault="00E86E23" w:rsidP="006B5E19">
            <w:pPr>
              <w:tabs>
                <w:tab w:val="decimal" w:pos="256"/>
              </w:tabs>
              <w:spacing w:before="40" w:after="4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18"/>
                <w:szCs w:val="18"/>
              </w:rPr>
            </w:pPr>
            <w:r w:rsidRPr="000973F2">
              <w:rPr>
                <w:rFonts w:ascii="Times New Roman" w:hAnsi="Times New Roman" w:cs="Times New Roman"/>
                <w:b/>
                <w:bCs/>
                <w:sz w:val="18"/>
                <w:szCs w:val="18"/>
              </w:rPr>
              <w:t>0</w:t>
            </w:r>
          </w:p>
        </w:tc>
        <w:tc>
          <w:tcPr>
            <w:tcW w:w="776" w:type="dxa"/>
            <w:noWrap/>
            <w:hideMark/>
          </w:tcPr>
          <w:p w14:paraId="42241058" w14:textId="77777777" w:rsidR="00E86E23" w:rsidRPr="000973F2" w:rsidRDefault="00E86E23" w:rsidP="006B5E19">
            <w:pPr>
              <w:tabs>
                <w:tab w:val="decimal" w:pos="256"/>
              </w:tabs>
              <w:spacing w:before="40" w:after="4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18"/>
                <w:szCs w:val="18"/>
              </w:rPr>
            </w:pPr>
            <w:r w:rsidRPr="000973F2">
              <w:rPr>
                <w:rFonts w:ascii="Times New Roman" w:hAnsi="Times New Roman" w:cs="Times New Roman"/>
                <w:b/>
                <w:bCs/>
                <w:sz w:val="18"/>
                <w:szCs w:val="18"/>
              </w:rPr>
              <w:t>1</w:t>
            </w:r>
          </w:p>
        </w:tc>
        <w:tc>
          <w:tcPr>
            <w:tcW w:w="776" w:type="dxa"/>
            <w:noWrap/>
            <w:hideMark/>
          </w:tcPr>
          <w:p w14:paraId="7C93E964" w14:textId="77777777" w:rsidR="00E86E23" w:rsidRPr="000973F2" w:rsidRDefault="00E86E23" w:rsidP="006B5E19">
            <w:pPr>
              <w:tabs>
                <w:tab w:val="decimal" w:pos="256"/>
              </w:tabs>
              <w:spacing w:before="40" w:after="4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18"/>
                <w:szCs w:val="18"/>
              </w:rPr>
            </w:pPr>
            <w:r w:rsidRPr="000973F2">
              <w:rPr>
                <w:rFonts w:ascii="Times New Roman" w:hAnsi="Times New Roman" w:cs="Times New Roman"/>
                <w:b/>
                <w:bCs/>
                <w:sz w:val="18"/>
                <w:szCs w:val="18"/>
              </w:rPr>
              <w:t>0</w:t>
            </w:r>
          </w:p>
        </w:tc>
        <w:tc>
          <w:tcPr>
            <w:tcW w:w="776" w:type="dxa"/>
            <w:noWrap/>
            <w:hideMark/>
          </w:tcPr>
          <w:p w14:paraId="516D90F8" w14:textId="77777777" w:rsidR="00E86E23" w:rsidRPr="000973F2" w:rsidRDefault="00E86E23" w:rsidP="006B5E19">
            <w:pPr>
              <w:tabs>
                <w:tab w:val="decimal" w:pos="256"/>
              </w:tabs>
              <w:spacing w:before="40" w:after="4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18"/>
                <w:szCs w:val="18"/>
              </w:rPr>
            </w:pPr>
            <w:r w:rsidRPr="000973F2">
              <w:rPr>
                <w:rFonts w:ascii="Times New Roman" w:hAnsi="Times New Roman" w:cs="Times New Roman"/>
                <w:b/>
                <w:bCs/>
                <w:sz w:val="18"/>
                <w:szCs w:val="18"/>
              </w:rPr>
              <w:t>6.5</w:t>
            </w:r>
          </w:p>
        </w:tc>
        <w:tc>
          <w:tcPr>
            <w:tcW w:w="776" w:type="dxa"/>
            <w:noWrap/>
            <w:hideMark/>
          </w:tcPr>
          <w:p w14:paraId="735F6CCE" w14:textId="77777777" w:rsidR="00E86E23" w:rsidRPr="000973F2" w:rsidRDefault="00E86E23" w:rsidP="006B5E19">
            <w:pPr>
              <w:tabs>
                <w:tab w:val="decimal" w:pos="256"/>
              </w:tabs>
              <w:spacing w:before="40" w:after="4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18"/>
                <w:szCs w:val="18"/>
              </w:rPr>
            </w:pPr>
            <w:r w:rsidRPr="000973F2">
              <w:rPr>
                <w:rFonts w:ascii="Times New Roman" w:hAnsi="Times New Roman" w:cs="Times New Roman"/>
                <w:b/>
                <w:bCs/>
                <w:sz w:val="18"/>
                <w:szCs w:val="18"/>
              </w:rPr>
              <w:t>0</w:t>
            </w:r>
          </w:p>
        </w:tc>
        <w:tc>
          <w:tcPr>
            <w:tcW w:w="776" w:type="dxa"/>
            <w:noWrap/>
            <w:hideMark/>
          </w:tcPr>
          <w:p w14:paraId="2EDE1E90" w14:textId="77777777" w:rsidR="00E86E23" w:rsidRPr="000973F2" w:rsidRDefault="00E86E23" w:rsidP="006B5E19">
            <w:pPr>
              <w:tabs>
                <w:tab w:val="decimal" w:pos="256"/>
              </w:tabs>
              <w:spacing w:before="40" w:after="4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18"/>
                <w:szCs w:val="18"/>
              </w:rPr>
            </w:pPr>
            <w:r w:rsidRPr="000973F2">
              <w:rPr>
                <w:rFonts w:ascii="Times New Roman" w:hAnsi="Times New Roman" w:cs="Times New Roman"/>
                <w:b/>
                <w:bCs/>
                <w:sz w:val="18"/>
                <w:szCs w:val="18"/>
              </w:rPr>
              <w:t>51</w:t>
            </w:r>
          </w:p>
        </w:tc>
        <w:tc>
          <w:tcPr>
            <w:tcW w:w="776" w:type="dxa"/>
            <w:noWrap/>
            <w:hideMark/>
          </w:tcPr>
          <w:p w14:paraId="1A473A61" w14:textId="77777777" w:rsidR="00E86E23" w:rsidRPr="000973F2" w:rsidRDefault="00E86E23" w:rsidP="006B5E19">
            <w:pPr>
              <w:tabs>
                <w:tab w:val="decimal" w:pos="256"/>
              </w:tabs>
              <w:spacing w:before="40" w:after="4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18"/>
                <w:szCs w:val="18"/>
              </w:rPr>
            </w:pPr>
            <w:r w:rsidRPr="000973F2">
              <w:rPr>
                <w:rFonts w:ascii="Times New Roman" w:hAnsi="Times New Roman" w:cs="Times New Roman"/>
                <w:b/>
                <w:bCs/>
                <w:sz w:val="18"/>
                <w:szCs w:val="18"/>
              </w:rPr>
              <w:t>0</w:t>
            </w:r>
          </w:p>
        </w:tc>
        <w:tc>
          <w:tcPr>
            <w:tcW w:w="777" w:type="dxa"/>
            <w:noWrap/>
            <w:hideMark/>
          </w:tcPr>
          <w:p w14:paraId="39975A54" w14:textId="77777777" w:rsidR="00E86E23" w:rsidRPr="000973F2" w:rsidRDefault="00E86E23" w:rsidP="006B5E19">
            <w:pPr>
              <w:tabs>
                <w:tab w:val="decimal" w:pos="256"/>
              </w:tabs>
              <w:spacing w:before="40" w:after="4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18"/>
                <w:szCs w:val="18"/>
              </w:rPr>
            </w:pPr>
            <w:r w:rsidRPr="000973F2">
              <w:rPr>
                <w:rFonts w:ascii="Times New Roman" w:hAnsi="Times New Roman" w:cs="Times New Roman"/>
                <w:b/>
                <w:bCs/>
                <w:sz w:val="18"/>
                <w:szCs w:val="18"/>
              </w:rPr>
              <w:t>5.5</w:t>
            </w:r>
          </w:p>
        </w:tc>
        <w:tc>
          <w:tcPr>
            <w:tcW w:w="848" w:type="dxa"/>
            <w:noWrap/>
            <w:hideMark/>
          </w:tcPr>
          <w:p w14:paraId="7E71201A" w14:textId="77777777" w:rsidR="00E86E23" w:rsidRPr="000973F2" w:rsidRDefault="00E86E23" w:rsidP="000F404A">
            <w:pPr>
              <w:tabs>
                <w:tab w:val="decimal" w:pos="421"/>
              </w:tabs>
              <w:spacing w:before="40" w:after="4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18"/>
                <w:szCs w:val="18"/>
              </w:rPr>
            </w:pPr>
            <w:r w:rsidRPr="000973F2">
              <w:rPr>
                <w:rFonts w:ascii="Times New Roman" w:hAnsi="Times New Roman" w:cs="Times New Roman"/>
                <w:b/>
                <w:bCs/>
                <w:sz w:val="18"/>
                <w:szCs w:val="18"/>
              </w:rPr>
              <w:t xml:space="preserve">$0 </w:t>
            </w:r>
          </w:p>
        </w:tc>
        <w:tc>
          <w:tcPr>
            <w:tcW w:w="848" w:type="dxa"/>
            <w:noWrap/>
            <w:hideMark/>
          </w:tcPr>
          <w:p w14:paraId="54E9929C" w14:textId="77777777" w:rsidR="00E86E23" w:rsidRPr="000973F2" w:rsidRDefault="00E86E23" w:rsidP="006B5E19">
            <w:pPr>
              <w:tabs>
                <w:tab w:val="decimal" w:pos="571"/>
              </w:tabs>
              <w:spacing w:before="40" w:after="4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18"/>
                <w:szCs w:val="18"/>
              </w:rPr>
            </w:pPr>
            <w:r w:rsidRPr="000973F2">
              <w:rPr>
                <w:rFonts w:ascii="Times New Roman" w:hAnsi="Times New Roman" w:cs="Times New Roman"/>
                <w:b/>
                <w:bCs/>
                <w:sz w:val="18"/>
                <w:szCs w:val="18"/>
              </w:rPr>
              <w:t xml:space="preserve">$4,524 </w:t>
            </w:r>
          </w:p>
        </w:tc>
      </w:tr>
    </w:tbl>
    <w:p w14:paraId="1FD9C225" w14:textId="77777777" w:rsidR="00A64DDD" w:rsidRPr="000973F2" w:rsidRDefault="00A64DDD" w:rsidP="00C00E4F">
      <w:pPr>
        <w:spacing w:line="240" w:lineRule="auto"/>
        <w:rPr>
          <w:rFonts w:ascii="Times New Roman" w:hAnsi="Times New Roman" w:cs="Times New Roman"/>
          <w:b/>
          <w:i/>
          <w:iCs/>
        </w:rPr>
      </w:pPr>
      <w:r w:rsidRPr="000973F2">
        <w:rPr>
          <w:rFonts w:ascii="Times New Roman" w:hAnsi="Times New Roman" w:cs="Times New Roman"/>
          <w:b/>
          <w:i/>
          <w:iCs/>
        </w:rPr>
        <w:br w:type="page"/>
      </w:r>
    </w:p>
    <w:p w14:paraId="0F8B3194" w14:textId="78E5B83C" w:rsidR="00E86E23" w:rsidRPr="000973F2" w:rsidRDefault="00E86E23" w:rsidP="000F404A">
      <w:pPr>
        <w:pStyle w:val="Heading2"/>
      </w:pPr>
      <w:r w:rsidRPr="000973F2">
        <w:t>Capital and O&amp;M Costs for Subpart QQ</w:t>
      </w:r>
    </w:p>
    <w:p w14:paraId="69F9AFE3" w14:textId="4BFB83C3" w:rsidR="00E86E23" w:rsidRPr="000973F2" w:rsidRDefault="00E86E23" w:rsidP="000F404A">
      <w:pPr>
        <w:pStyle w:val="BodyText"/>
      </w:pPr>
      <w:r w:rsidRPr="000973F2">
        <w:t xml:space="preserve">As shown in Table </w:t>
      </w:r>
      <w:r w:rsidR="000F404A" w:rsidRPr="000973F2">
        <w:t>QQ-</w:t>
      </w:r>
      <w:r w:rsidRPr="000973F2">
        <w:t>2, Subpart QQ facilities will only incur an O&amp;M cost of $50 per year for recordkeeping as discussed in the Cost Appendix Introduction. No capital costs are expected.</w:t>
      </w:r>
    </w:p>
    <w:p w14:paraId="2ADD8F5A" w14:textId="0CBA253E" w:rsidR="00E86E23" w:rsidRPr="000973F2" w:rsidRDefault="00CE02EE" w:rsidP="000F404A">
      <w:pPr>
        <w:pStyle w:val="Tabletitle"/>
      </w:pPr>
      <w:r w:rsidRPr="000973F2">
        <w:t xml:space="preserve">Table </w:t>
      </w:r>
      <w:r w:rsidR="000F404A" w:rsidRPr="000973F2">
        <w:t>QQ-</w:t>
      </w:r>
      <w:r w:rsidRPr="000973F2">
        <w:t xml:space="preserve">2. Capital and O&amp;M Costs </w:t>
      </w:r>
      <w:r w:rsidR="00B960CC" w:rsidRPr="000973F2">
        <w:t>–</w:t>
      </w:r>
      <w:r w:rsidRPr="000973F2">
        <w:t xml:space="preserve"> </w:t>
      </w:r>
      <w:r w:rsidR="00E86E23" w:rsidRPr="000973F2">
        <w:t xml:space="preserve">Subpart QQ </w:t>
      </w:r>
    </w:p>
    <w:tbl>
      <w:tblPr>
        <w:tblStyle w:val="PlainTable1"/>
        <w:tblW w:w="5000" w:type="pct"/>
        <w:jc w:val="left"/>
        <w:tblLayout w:type="fixed"/>
        <w:tblCellMar>
          <w:left w:w="115" w:type="dxa"/>
          <w:right w:w="115" w:type="dxa"/>
        </w:tblCellMar>
        <w:tblLook w:val="04A0" w:firstRow="1" w:lastRow="0" w:firstColumn="1" w:lastColumn="0" w:noHBand="0" w:noVBand="1"/>
      </w:tblPr>
      <w:tblGrid>
        <w:gridCol w:w="1649"/>
        <w:gridCol w:w="1323"/>
        <w:gridCol w:w="1324"/>
        <w:gridCol w:w="1323"/>
        <w:gridCol w:w="1396"/>
        <w:gridCol w:w="1251"/>
        <w:gridCol w:w="1324"/>
      </w:tblGrid>
      <w:tr w:rsidR="00D17312" w:rsidRPr="000973F2" w14:paraId="3A658C58" w14:textId="77777777" w:rsidTr="000F404A">
        <w:trPr>
          <w:cnfStyle w:val="100000000000" w:firstRow="1" w:lastRow="0" w:firstColumn="0" w:lastColumn="0" w:oddVBand="0" w:evenVBand="0" w:oddHBand="0" w:evenHBand="0" w:firstRowFirstColumn="0" w:firstRowLastColumn="0" w:lastRowFirstColumn="0" w:lastRowLastColumn="0"/>
          <w:cantSplit/>
          <w:jc w:val="left"/>
        </w:trPr>
        <w:tc>
          <w:tcPr>
            <w:cnfStyle w:val="001000000000" w:firstRow="0" w:lastRow="0" w:firstColumn="1" w:lastColumn="0" w:oddVBand="0" w:evenVBand="0" w:oddHBand="0" w:evenHBand="0" w:firstRowFirstColumn="0" w:firstRowLastColumn="0" w:lastRowFirstColumn="0" w:lastRowLastColumn="0"/>
            <w:tcW w:w="1605" w:type="dxa"/>
            <w:vMerge w:val="restart"/>
            <w:noWrap/>
            <w:vAlign w:val="top"/>
            <w:hideMark/>
          </w:tcPr>
          <w:p w14:paraId="10D13B27" w14:textId="4F468DC8" w:rsidR="00D17312" w:rsidRPr="000973F2" w:rsidRDefault="00D17312" w:rsidP="000F404A">
            <w:pPr>
              <w:spacing w:before="40" w:after="40"/>
              <w:rPr>
                <w:rFonts w:ascii="Times New Roman" w:eastAsia="Times New Roman" w:hAnsi="Times New Roman" w:cs="Times New Roman"/>
                <w:b w:val="0"/>
                <w:bCs w:val="0"/>
                <w:sz w:val="18"/>
                <w:szCs w:val="18"/>
              </w:rPr>
            </w:pPr>
            <w:r w:rsidRPr="000973F2">
              <w:rPr>
                <w:rFonts w:ascii="Times New Roman" w:eastAsia="Times New Roman" w:hAnsi="Times New Roman" w:cs="Times New Roman"/>
                <w:sz w:val="18"/>
                <w:szCs w:val="18"/>
              </w:rPr>
              <w:t>Activity</w:t>
            </w:r>
          </w:p>
        </w:tc>
        <w:tc>
          <w:tcPr>
            <w:tcW w:w="5220" w:type="dxa"/>
            <w:gridSpan w:val="4"/>
            <w:noWrap/>
            <w:vAlign w:val="top"/>
            <w:hideMark/>
          </w:tcPr>
          <w:p w14:paraId="45D6F746" w14:textId="77777777" w:rsidR="00D17312" w:rsidRPr="000973F2" w:rsidRDefault="00D17312" w:rsidP="000F404A">
            <w:pPr>
              <w:spacing w:before="40" w:after="40"/>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bCs w:val="0"/>
                <w:sz w:val="18"/>
                <w:szCs w:val="18"/>
              </w:rPr>
            </w:pPr>
            <w:r w:rsidRPr="000973F2">
              <w:rPr>
                <w:rFonts w:ascii="Times New Roman" w:eastAsia="Times New Roman" w:hAnsi="Times New Roman" w:cs="Times New Roman"/>
                <w:sz w:val="18"/>
                <w:szCs w:val="18"/>
              </w:rPr>
              <w:t>Cost Categories</w:t>
            </w:r>
          </w:p>
        </w:tc>
        <w:tc>
          <w:tcPr>
            <w:tcW w:w="2505" w:type="dxa"/>
            <w:gridSpan w:val="2"/>
            <w:vAlign w:val="top"/>
            <w:hideMark/>
          </w:tcPr>
          <w:p w14:paraId="62D9036E" w14:textId="66162C4E" w:rsidR="00D17312" w:rsidRPr="000973F2" w:rsidRDefault="00D17312" w:rsidP="000F404A">
            <w:pPr>
              <w:spacing w:before="40" w:after="40"/>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bCs w:val="0"/>
                <w:sz w:val="18"/>
                <w:szCs w:val="18"/>
              </w:rPr>
            </w:pPr>
            <w:r w:rsidRPr="000973F2">
              <w:rPr>
                <w:rFonts w:ascii="Times New Roman" w:eastAsia="Times New Roman" w:hAnsi="Times New Roman" w:cs="Times New Roman"/>
                <w:sz w:val="18"/>
                <w:szCs w:val="18"/>
              </w:rPr>
              <w:t>Total Capital and O&amp;M Cost per Year per Facility</w:t>
            </w:r>
            <w:r w:rsidR="000F404A" w:rsidRPr="000973F2">
              <w:rPr>
                <w:rFonts w:ascii="Times New Roman" w:eastAsia="Times New Roman" w:hAnsi="Times New Roman" w:cs="Times New Roman"/>
                <w:sz w:val="18"/>
                <w:szCs w:val="18"/>
              </w:rPr>
              <w:t xml:space="preserve"> </w:t>
            </w:r>
            <w:r w:rsidRPr="000973F2">
              <w:rPr>
                <w:rFonts w:ascii="Times New Roman" w:eastAsia="Times New Roman" w:hAnsi="Times New Roman" w:cs="Times New Roman"/>
                <w:sz w:val="18"/>
                <w:szCs w:val="18"/>
              </w:rPr>
              <w:t>(2017$)</w:t>
            </w:r>
          </w:p>
        </w:tc>
      </w:tr>
      <w:tr w:rsidR="00D17312" w:rsidRPr="000973F2" w14:paraId="72B1D1F9" w14:textId="77777777" w:rsidTr="000F404A">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1605" w:type="dxa"/>
            <w:vMerge/>
            <w:noWrap/>
            <w:hideMark/>
          </w:tcPr>
          <w:p w14:paraId="64C5EFB2" w14:textId="6DC012BF" w:rsidR="00D17312" w:rsidRPr="000973F2" w:rsidRDefault="00D17312" w:rsidP="000F404A">
            <w:pPr>
              <w:spacing w:before="40" w:after="40"/>
              <w:jc w:val="center"/>
              <w:rPr>
                <w:rFonts w:ascii="Times New Roman" w:eastAsia="Times New Roman" w:hAnsi="Times New Roman" w:cs="Times New Roman"/>
                <w:b/>
                <w:bCs w:val="0"/>
                <w:sz w:val="18"/>
                <w:szCs w:val="18"/>
              </w:rPr>
            </w:pPr>
          </w:p>
        </w:tc>
        <w:tc>
          <w:tcPr>
            <w:tcW w:w="1287" w:type="dxa"/>
            <w:hideMark/>
          </w:tcPr>
          <w:p w14:paraId="188976CE" w14:textId="77777777" w:rsidR="00D17312" w:rsidRPr="000973F2" w:rsidRDefault="00D17312" w:rsidP="000F404A">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18"/>
                <w:szCs w:val="18"/>
              </w:rPr>
            </w:pPr>
            <w:r w:rsidRPr="000973F2">
              <w:rPr>
                <w:rFonts w:ascii="Times New Roman" w:eastAsia="Times New Roman" w:hAnsi="Times New Roman" w:cs="Times New Roman"/>
                <w:b/>
                <w:bCs/>
                <w:sz w:val="18"/>
                <w:szCs w:val="18"/>
              </w:rPr>
              <w:t>Capital Cost (2017$)</w:t>
            </w:r>
          </w:p>
        </w:tc>
        <w:tc>
          <w:tcPr>
            <w:tcW w:w="1288" w:type="dxa"/>
            <w:hideMark/>
          </w:tcPr>
          <w:p w14:paraId="6C9F68F7" w14:textId="77777777" w:rsidR="00D17312" w:rsidRPr="000973F2" w:rsidRDefault="00D17312" w:rsidP="000F404A">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18"/>
                <w:szCs w:val="18"/>
              </w:rPr>
            </w:pPr>
            <w:r w:rsidRPr="000973F2">
              <w:rPr>
                <w:rFonts w:ascii="Times New Roman" w:eastAsia="Times New Roman" w:hAnsi="Times New Roman" w:cs="Times New Roman"/>
                <w:b/>
                <w:bCs/>
                <w:sz w:val="18"/>
                <w:szCs w:val="18"/>
              </w:rPr>
              <w:t>Equipment Lifetime</w:t>
            </w:r>
          </w:p>
        </w:tc>
        <w:tc>
          <w:tcPr>
            <w:tcW w:w="1287" w:type="dxa"/>
            <w:hideMark/>
          </w:tcPr>
          <w:p w14:paraId="3A8ACB69" w14:textId="77777777" w:rsidR="00D17312" w:rsidRPr="000973F2" w:rsidRDefault="00D17312" w:rsidP="000F404A">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18"/>
                <w:szCs w:val="18"/>
              </w:rPr>
            </w:pPr>
            <w:r w:rsidRPr="000973F2">
              <w:rPr>
                <w:rFonts w:ascii="Times New Roman" w:eastAsia="Times New Roman" w:hAnsi="Times New Roman" w:cs="Times New Roman"/>
                <w:b/>
                <w:bCs/>
                <w:sz w:val="18"/>
                <w:szCs w:val="18"/>
              </w:rPr>
              <w:t>Annualized Capital Cost (2017$/year)</w:t>
            </w:r>
          </w:p>
        </w:tc>
        <w:tc>
          <w:tcPr>
            <w:tcW w:w="1358" w:type="dxa"/>
            <w:hideMark/>
          </w:tcPr>
          <w:p w14:paraId="79AA4266" w14:textId="77777777" w:rsidR="00D17312" w:rsidRPr="000973F2" w:rsidRDefault="00D17312" w:rsidP="000F404A">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18"/>
                <w:szCs w:val="18"/>
              </w:rPr>
            </w:pPr>
            <w:r w:rsidRPr="000973F2">
              <w:rPr>
                <w:rFonts w:ascii="Times New Roman" w:eastAsia="Times New Roman" w:hAnsi="Times New Roman" w:cs="Times New Roman"/>
                <w:b/>
                <w:bCs/>
                <w:sz w:val="18"/>
                <w:szCs w:val="18"/>
              </w:rPr>
              <w:t>O&amp;M Costs (2017$/year)</w:t>
            </w:r>
          </w:p>
        </w:tc>
        <w:tc>
          <w:tcPr>
            <w:tcW w:w="1217" w:type="dxa"/>
            <w:hideMark/>
          </w:tcPr>
          <w:p w14:paraId="13C2394B" w14:textId="77777777" w:rsidR="00D17312" w:rsidRPr="000973F2" w:rsidRDefault="00D17312" w:rsidP="000F404A">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18"/>
                <w:szCs w:val="18"/>
              </w:rPr>
            </w:pPr>
            <w:r w:rsidRPr="000973F2">
              <w:rPr>
                <w:rFonts w:ascii="Times New Roman" w:eastAsia="Times New Roman" w:hAnsi="Times New Roman" w:cs="Times New Roman"/>
                <w:b/>
                <w:bCs/>
                <w:sz w:val="18"/>
                <w:szCs w:val="18"/>
              </w:rPr>
              <w:t>Initial Year</w:t>
            </w:r>
          </w:p>
        </w:tc>
        <w:tc>
          <w:tcPr>
            <w:tcW w:w="1288" w:type="dxa"/>
            <w:hideMark/>
          </w:tcPr>
          <w:p w14:paraId="1D1CBE00" w14:textId="77777777" w:rsidR="00D17312" w:rsidRPr="000973F2" w:rsidRDefault="00D17312" w:rsidP="000F404A">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18"/>
                <w:szCs w:val="18"/>
              </w:rPr>
            </w:pPr>
            <w:r w:rsidRPr="000973F2">
              <w:rPr>
                <w:rFonts w:ascii="Times New Roman" w:eastAsia="Times New Roman" w:hAnsi="Times New Roman" w:cs="Times New Roman"/>
                <w:b/>
                <w:bCs/>
                <w:sz w:val="18"/>
                <w:szCs w:val="18"/>
              </w:rPr>
              <w:t>Subseq. Years</w:t>
            </w:r>
          </w:p>
        </w:tc>
      </w:tr>
      <w:tr w:rsidR="000F404A" w:rsidRPr="000973F2" w14:paraId="5F77A232" w14:textId="77777777" w:rsidTr="000F404A">
        <w:trPr>
          <w:cantSplit/>
        </w:trPr>
        <w:tc>
          <w:tcPr>
            <w:cnfStyle w:val="001000000000" w:firstRow="0" w:lastRow="0" w:firstColumn="1" w:lastColumn="0" w:oddVBand="0" w:evenVBand="0" w:oddHBand="0" w:evenHBand="0" w:firstRowFirstColumn="0" w:firstRowLastColumn="0" w:lastRowFirstColumn="0" w:lastRowLastColumn="0"/>
            <w:tcW w:w="1605" w:type="dxa"/>
            <w:hideMark/>
          </w:tcPr>
          <w:p w14:paraId="2AD144B4" w14:textId="77777777" w:rsidR="000F404A" w:rsidRPr="000973F2" w:rsidRDefault="000F404A" w:rsidP="000F404A">
            <w:pPr>
              <w:spacing w:before="40" w:after="4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Equipment (selection, purchase, installation)</w:t>
            </w:r>
          </w:p>
        </w:tc>
        <w:tc>
          <w:tcPr>
            <w:tcW w:w="1287" w:type="dxa"/>
            <w:noWrap/>
            <w:hideMark/>
          </w:tcPr>
          <w:p w14:paraId="394581FC" w14:textId="3FA475E0" w:rsidR="000F404A" w:rsidRPr="000973F2" w:rsidRDefault="000F404A" w:rsidP="000F404A">
            <w:pPr>
              <w:spacing w:before="40" w:after="4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w:t>
            </w:r>
          </w:p>
        </w:tc>
        <w:tc>
          <w:tcPr>
            <w:tcW w:w="1288" w:type="dxa"/>
            <w:noWrap/>
          </w:tcPr>
          <w:p w14:paraId="3A987D29" w14:textId="154D4A43" w:rsidR="000F404A" w:rsidRPr="000973F2" w:rsidRDefault="000F404A" w:rsidP="000F404A">
            <w:pPr>
              <w:spacing w:before="40" w:after="4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p>
        </w:tc>
        <w:tc>
          <w:tcPr>
            <w:tcW w:w="1287" w:type="dxa"/>
            <w:noWrap/>
            <w:hideMark/>
          </w:tcPr>
          <w:p w14:paraId="070654DB" w14:textId="41F4708E" w:rsidR="000F404A" w:rsidRPr="000973F2" w:rsidRDefault="000F404A" w:rsidP="000F404A">
            <w:pPr>
              <w:spacing w:before="40" w:after="4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w:t>
            </w:r>
          </w:p>
        </w:tc>
        <w:tc>
          <w:tcPr>
            <w:tcW w:w="1358" w:type="dxa"/>
            <w:noWrap/>
            <w:hideMark/>
          </w:tcPr>
          <w:p w14:paraId="18F20990" w14:textId="7F7A14A4" w:rsidR="000F404A" w:rsidRPr="000973F2" w:rsidRDefault="000F404A" w:rsidP="000F404A">
            <w:pPr>
              <w:spacing w:before="40" w:after="4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w:t>
            </w:r>
          </w:p>
        </w:tc>
        <w:tc>
          <w:tcPr>
            <w:tcW w:w="1217" w:type="dxa"/>
            <w:noWrap/>
            <w:hideMark/>
          </w:tcPr>
          <w:p w14:paraId="18658F0A" w14:textId="1338248C" w:rsidR="000F404A" w:rsidRPr="000973F2" w:rsidRDefault="000F404A" w:rsidP="000F404A">
            <w:pPr>
              <w:spacing w:before="40" w:after="4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w:t>
            </w:r>
          </w:p>
        </w:tc>
        <w:tc>
          <w:tcPr>
            <w:tcW w:w="1288" w:type="dxa"/>
            <w:noWrap/>
            <w:hideMark/>
          </w:tcPr>
          <w:p w14:paraId="0B2D2F2E" w14:textId="427DF79D" w:rsidR="000F404A" w:rsidRPr="000973F2" w:rsidRDefault="000F404A" w:rsidP="000F404A">
            <w:pPr>
              <w:spacing w:before="40" w:after="4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w:t>
            </w:r>
          </w:p>
        </w:tc>
      </w:tr>
      <w:tr w:rsidR="000F404A" w:rsidRPr="000973F2" w14:paraId="5C2E8613" w14:textId="77777777" w:rsidTr="000F404A">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1605" w:type="dxa"/>
            <w:hideMark/>
          </w:tcPr>
          <w:p w14:paraId="0B9631A2" w14:textId="77777777" w:rsidR="000F404A" w:rsidRPr="000973F2" w:rsidRDefault="000F404A" w:rsidP="000F404A">
            <w:pPr>
              <w:spacing w:before="40" w:after="4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Performance testing</w:t>
            </w:r>
          </w:p>
        </w:tc>
        <w:tc>
          <w:tcPr>
            <w:tcW w:w="1287" w:type="dxa"/>
            <w:noWrap/>
            <w:hideMark/>
          </w:tcPr>
          <w:p w14:paraId="1BFAC2AF" w14:textId="0CBC4700" w:rsidR="000F404A" w:rsidRPr="000973F2" w:rsidRDefault="000F404A" w:rsidP="000F404A">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w:t>
            </w:r>
          </w:p>
        </w:tc>
        <w:tc>
          <w:tcPr>
            <w:tcW w:w="1288" w:type="dxa"/>
            <w:noWrap/>
          </w:tcPr>
          <w:p w14:paraId="7E0B7B34" w14:textId="5126B864" w:rsidR="000F404A" w:rsidRPr="000973F2" w:rsidRDefault="000F404A" w:rsidP="000F404A">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p>
        </w:tc>
        <w:tc>
          <w:tcPr>
            <w:tcW w:w="1287" w:type="dxa"/>
            <w:noWrap/>
            <w:hideMark/>
          </w:tcPr>
          <w:p w14:paraId="19826C9C" w14:textId="56AED826" w:rsidR="000F404A" w:rsidRPr="000973F2" w:rsidRDefault="000F404A" w:rsidP="000F404A">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w:t>
            </w:r>
          </w:p>
        </w:tc>
        <w:tc>
          <w:tcPr>
            <w:tcW w:w="1358" w:type="dxa"/>
            <w:noWrap/>
            <w:hideMark/>
          </w:tcPr>
          <w:p w14:paraId="3B8D53BF" w14:textId="317A0BCC" w:rsidR="000F404A" w:rsidRPr="000973F2" w:rsidRDefault="000F404A" w:rsidP="000F404A">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w:t>
            </w:r>
          </w:p>
        </w:tc>
        <w:tc>
          <w:tcPr>
            <w:tcW w:w="1217" w:type="dxa"/>
            <w:noWrap/>
            <w:hideMark/>
          </w:tcPr>
          <w:p w14:paraId="37D28D45" w14:textId="5E813001" w:rsidR="000F404A" w:rsidRPr="000973F2" w:rsidRDefault="000F404A" w:rsidP="000F404A">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w:t>
            </w:r>
          </w:p>
        </w:tc>
        <w:tc>
          <w:tcPr>
            <w:tcW w:w="1288" w:type="dxa"/>
            <w:noWrap/>
            <w:hideMark/>
          </w:tcPr>
          <w:p w14:paraId="23826377" w14:textId="5885CD76" w:rsidR="000F404A" w:rsidRPr="000973F2" w:rsidRDefault="000F404A" w:rsidP="000F404A">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w:t>
            </w:r>
          </w:p>
        </w:tc>
      </w:tr>
      <w:tr w:rsidR="00E86E23" w:rsidRPr="000973F2" w14:paraId="223C8E42" w14:textId="77777777" w:rsidTr="000F404A">
        <w:trPr>
          <w:cantSplit/>
        </w:trPr>
        <w:tc>
          <w:tcPr>
            <w:cnfStyle w:val="001000000000" w:firstRow="0" w:lastRow="0" w:firstColumn="1" w:lastColumn="0" w:oddVBand="0" w:evenVBand="0" w:oddHBand="0" w:evenHBand="0" w:firstRowFirstColumn="0" w:firstRowLastColumn="0" w:lastRowFirstColumn="0" w:lastRowLastColumn="0"/>
            <w:tcW w:w="1605" w:type="dxa"/>
            <w:hideMark/>
          </w:tcPr>
          <w:p w14:paraId="7FDA696E" w14:textId="77777777" w:rsidR="00E86E23" w:rsidRPr="000973F2" w:rsidRDefault="00E86E23" w:rsidP="000F404A">
            <w:pPr>
              <w:spacing w:before="40" w:after="4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Recordkeeping</w:t>
            </w:r>
          </w:p>
        </w:tc>
        <w:tc>
          <w:tcPr>
            <w:tcW w:w="1287" w:type="dxa"/>
            <w:noWrap/>
            <w:hideMark/>
          </w:tcPr>
          <w:p w14:paraId="790B9BB1" w14:textId="77777777" w:rsidR="00E86E23" w:rsidRPr="000973F2" w:rsidRDefault="00E86E23" w:rsidP="000F404A">
            <w:pPr>
              <w:spacing w:before="40" w:after="4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$0</w:t>
            </w:r>
          </w:p>
        </w:tc>
        <w:tc>
          <w:tcPr>
            <w:tcW w:w="1288" w:type="dxa"/>
            <w:noWrap/>
          </w:tcPr>
          <w:p w14:paraId="4D60C385" w14:textId="625ED111" w:rsidR="00E86E23" w:rsidRPr="000973F2" w:rsidRDefault="00E86E23" w:rsidP="000F404A">
            <w:pPr>
              <w:spacing w:before="40" w:after="4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p>
        </w:tc>
        <w:tc>
          <w:tcPr>
            <w:tcW w:w="1287" w:type="dxa"/>
            <w:noWrap/>
            <w:hideMark/>
          </w:tcPr>
          <w:p w14:paraId="1439A6A7" w14:textId="77777777" w:rsidR="00E86E23" w:rsidRPr="000973F2" w:rsidRDefault="00E86E23" w:rsidP="000F404A">
            <w:pPr>
              <w:spacing w:before="40" w:after="4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$0</w:t>
            </w:r>
          </w:p>
        </w:tc>
        <w:tc>
          <w:tcPr>
            <w:tcW w:w="1358" w:type="dxa"/>
            <w:noWrap/>
            <w:hideMark/>
          </w:tcPr>
          <w:p w14:paraId="02BB0646" w14:textId="77777777" w:rsidR="00E86E23" w:rsidRPr="000973F2" w:rsidRDefault="00E86E23" w:rsidP="000F404A">
            <w:pPr>
              <w:spacing w:before="40" w:after="4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$50</w:t>
            </w:r>
          </w:p>
        </w:tc>
        <w:tc>
          <w:tcPr>
            <w:tcW w:w="1217" w:type="dxa"/>
            <w:noWrap/>
            <w:hideMark/>
          </w:tcPr>
          <w:p w14:paraId="5BEC6858" w14:textId="77777777" w:rsidR="00E86E23" w:rsidRPr="000973F2" w:rsidRDefault="00E86E23" w:rsidP="000F404A">
            <w:pPr>
              <w:spacing w:before="40" w:after="4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$0</w:t>
            </w:r>
          </w:p>
        </w:tc>
        <w:tc>
          <w:tcPr>
            <w:tcW w:w="1288" w:type="dxa"/>
            <w:noWrap/>
            <w:hideMark/>
          </w:tcPr>
          <w:p w14:paraId="176BEBAA" w14:textId="77777777" w:rsidR="00E86E23" w:rsidRPr="000973F2" w:rsidRDefault="00E86E23" w:rsidP="000F404A">
            <w:pPr>
              <w:spacing w:before="40" w:after="4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$50</w:t>
            </w:r>
          </w:p>
        </w:tc>
      </w:tr>
      <w:tr w:rsidR="000F404A" w:rsidRPr="000973F2" w14:paraId="2319D2B4" w14:textId="77777777" w:rsidTr="000F404A">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1605" w:type="dxa"/>
            <w:hideMark/>
          </w:tcPr>
          <w:p w14:paraId="082A47FB" w14:textId="77777777" w:rsidR="000F404A" w:rsidRPr="000973F2" w:rsidRDefault="000F404A" w:rsidP="000F404A">
            <w:pPr>
              <w:spacing w:before="40" w:after="4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Travel</w:t>
            </w:r>
          </w:p>
        </w:tc>
        <w:tc>
          <w:tcPr>
            <w:tcW w:w="1287" w:type="dxa"/>
            <w:noWrap/>
            <w:hideMark/>
          </w:tcPr>
          <w:p w14:paraId="59181F08" w14:textId="103373A7" w:rsidR="000F404A" w:rsidRPr="000973F2" w:rsidRDefault="000F404A" w:rsidP="000F404A">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w:t>
            </w:r>
          </w:p>
        </w:tc>
        <w:tc>
          <w:tcPr>
            <w:tcW w:w="1288" w:type="dxa"/>
            <w:noWrap/>
          </w:tcPr>
          <w:p w14:paraId="0D6B4E40" w14:textId="557CBC2E" w:rsidR="000F404A" w:rsidRPr="000973F2" w:rsidRDefault="000F404A" w:rsidP="000F404A">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p>
        </w:tc>
        <w:tc>
          <w:tcPr>
            <w:tcW w:w="1287" w:type="dxa"/>
            <w:noWrap/>
            <w:hideMark/>
          </w:tcPr>
          <w:p w14:paraId="68A5A6A5" w14:textId="6F9E3C00" w:rsidR="000F404A" w:rsidRPr="000973F2" w:rsidRDefault="000F404A" w:rsidP="000F404A">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w:t>
            </w:r>
          </w:p>
        </w:tc>
        <w:tc>
          <w:tcPr>
            <w:tcW w:w="1358" w:type="dxa"/>
            <w:noWrap/>
            <w:hideMark/>
          </w:tcPr>
          <w:p w14:paraId="35F6E707" w14:textId="4598D29E" w:rsidR="000F404A" w:rsidRPr="000973F2" w:rsidRDefault="000F404A" w:rsidP="000F404A">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w:t>
            </w:r>
          </w:p>
        </w:tc>
        <w:tc>
          <w:tcPr>
            <w:tcW w:w="1217" w:type="dxa"/>
            <w:noWrap/>
            <w:hideMark/>
          </w:tcPr>
          <w:p w14:paraId="5C09BE46" w14:textId="09299620" w:rsidR="000F404A" w:rsidRPr="000973F2" w:rsidRDefault="000F404A" w:rsidP="000F404A">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w:t>
            </w:r>
          </w:p>
        </w:tc>
        <w:tc>
          <w:tcPr>
            <w:tcW w:w="1288" w:type="dxa"/>
            <w:noWrap/>
            <w:hideMark/>
          </w:tcPr>
          <w:p w14:paraId="7CD56F40" w14:textId="0486A4DF" w:rsidR="000F404A" w:rsidRPr="000973F2" w:rsidRDefault="000F404A" w:rsidP="000F404A">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w:t>
            </w:r>
          </w:p>
        </w:tc>
      </w:tr>
      <w:tr w:rsidR="000F404A" w:rsidRPr="000973F2" w14:paraId="46DA4D34" w14:textId="77777777" w:rsidTr="000F404A">
        <w:trPr>
          <w:cantSplit/>
        </w:trPr>
        <w:tc>
          <w:tcPr>
            <w:cnfStyle w:val="001000000000" w:firstRow="0" w:lastRow="0" w:firstColumn="1" w:lastColumn="0" w:oddVBand="0" w:evenVBand="0" w:oddHBand="0" w:evenHBand="0" w:firstRowFirstColumn="0" w:firstRowLastColumn="0" w:lastRowFirstColumn="0" w:lastRowLastColumn="0"/>
            <w:tcW w:w="1605" w:type="dxa"/>
            <w:hideMark/>
          </w:tcPr>
          <w:p w14:paraId="30B4FEF6" w14:textId="3BE65DE7" w:rsidR="000F404A" w:rsidRPr="000973F2" w:rsidRDefault="000F404A" w:rsidP="000F404A">
            <w:pPr>
              <w:spacing w:before="40" w:after="4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Sampling and Analysis Costs</w:t>
            </w:r>
          </w:p>
        </w:tc>
        <w:tc>
          <w:tcPr>
            <w:tcW w:w="1287" w:type="dxa"/>
            <w:noWrap/>
            <w:hideMark/>
          </w:tcPr>
          <w:p w14:paraId="2AA5E65B" w14:textId="123C3F4A" w:rsidR="000F404A" w:rsidRPr="000973F2" w:rsidRDefault="000F404A" w:rsidP="000F404A">
            <w:pPr>
              <w:spacing w:before="40" w:after="4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w:t>
            </w:r>
          </w:p>
        </w:tc>
        <w:tc>
          <w:tcPr>
            <w:tcW w:w="1288" w:type="dxa"/>
            <w:noWrap/>
          </w:tcPr>
          <w:p w14:paraId="3982F35F" w14:textId="2D4C011C" w:rsidR="000F404A" w:rsidRPr="000973F2" w:rsidRDefault="000F404A" w:rsidP="000F404A">
            <w:pPr>
              <w:spacing w:before="40" w:after="4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p>
        </w:tc>
        <w:tc>
          <w:tcPr>
            <w:tcW w:w="1287" w:type="dxa"/>
            <w:noWrap/>
            <w:hideMark/>
          </w:tcPr>
          <w:p w14:paraId="6FBF53D5" w14:textId="11EA2B98" w:rsidR="000F404A" w:rsidRPr="000973F2" w:rsidRDefault="000F404A" w:rsidP="000F404A">
            <w:pPr>
              <w:spacing w:before="40" w:after="4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w:t>
            </w:r>
          </w:p>
        </w:tc>
        <w:tc>
          <w:tcPr>
            <w:tcW w:w="1358" w:type="dxa"/>
            <w:noWrap/>
            <w:hideMark/>
          </w:tcPr>
          <w:p w14:paraId="1A0007CB" w14:textId="08550F61" w:rsidR="000F404A" w:rsidRPr="000973F2" w:rsidRDefault="000F404A" w:rsidP="000F404A">
            <w:pPr>
              <w:spacing w:before="40" w:after="4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w:t>
            </w:r>
          </w:p>
        </w:tc>
        <w:tc>
          <w:tcPr>
            <w:tcW w:w="1217" w:type="dxa"/>
            <w:noWrap/>
            <w:hideMark/>
          </w:tcPr>
          <w:p w14:paraId="0E37C281" w14:textId="5BC11C8D" w:rsidR="000F404A" w:rsidRPr="000973F2" w:rsidRDefault="000F404A" w:rsidP="000F404A">
            <w:pPr>
              <w:spacing w:before="40" w:after="4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w:t>
            </w:r>
          </w:p>
        </w:tc>
        <w:tc>
          <w:tcPr>
            <w:tcW w:w="1288" w:type="dxa"/>
            <w:noWrap/>
            <w:hideMark/>
          </w:tcPr>
          <w:p w14:paraId="0C2D747B" w14:textId="265B3D59" w:rsidR="000F404A" w:rsidRPr="000973F2" w:rsidRDefault="000F404A" w:rsidP="000F404A">
            <w:pPr>
              <w:spacing w:before="40" w:after="4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w:t>
            </w:r>
          </w:p>
        </w:tc>
      </w:tr>
      <w:tr w:rsidR="00E86E23" w:rsidRPr="000973F2" w14:paraId="75E3BD13" w14:textId="77777777" w:rsidTr="000F404A">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1605" w:type="dxa"/>
            <w:hideMark/>
          </w:tcPr>
          <w:p w14:paraId="3FD09869" w14:textId="77777777" w:rsidR="00E86E23" w:rsidRPr="000973F2" w:rsidRDefault="00E86E23" w:rsidP="000F404A">
            <w:pPr>
              <w:spacing w:before="40" w:after="40"/>
              <w:rPr>
                <w:rFonts w:ascii="Times New Roman" w:eastAsia="Times New Roman" w:hAnsi="Times New Roman" w:cs="Times New Roman"/>
                <w:b/>
                <w:bCs w:val="0"/>
                <w:sz w:val="18"/>
                <w:szCs w:val="18"/>
              </w:rPr>
            </w:pPr>
            <w:r w:rsidRPr="000973F2">
              <w:rPr>
                <w:rFonts w:ascii="Times New Roman" w:eastAsia="Times New Roman" w:hAnsi="Times New Roman" w:cs="Times New Roman"/>
                <w:b/>
                <w:sz w:val="18"/>
                <w:szCs w:val="18"/>
              </w:rPr>
              <w:t>Total</w:t>
            </w:r>
          </w:p>
        </w:tc>
        <w:tc>
          <w:tcPr>
            <w:tcW w:w="1287" w:type="dxa"/>
            <w:noWrap/>
            <w:hideMark/>
          </w:tcPr>
          <w:p w14:paraId="4073C9CA" w14:textId="77777777" w:rsidR="00E86E23" w:rsidRPr="000973F2" w:rsidRDefault="00E86E23" w:rsidP="000F404A">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$0</w:t>
            </w:r>
          </w:p>
        </w:tc>
        <w:tc>
          <w:tcPr>
            <w:tcW w:w="1288" w:type="dxa"/>
            <w:noWrap/>
          </w:tcPr>
          <w:p w14:paraId="35111576" w14:textId="1B38EDC3" w:rsidR="00E86E23" w:rsidRPr="000973F2" w:rsidRDefault="00E86E23" w:rsidP="000F404A">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p>
        </w:tc>
        <w:tc>
          <w:tcPr>
            <w:tcW w:w="1287" w:type="dxa"/>
            <w:noWrap/>
            <w:hideMark/>
          </w:tcPr>
          <w:p w14:paraId="6B7129DB" w14:textId="77777777" w:rsidR="00E86E23" w:rsidRPr="000973F2" w:rsidRDefault="00E86E23" w:rsidP="000F404A">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$0</w:t>
            </w:r>
          </w:p>
        </w:tc>
        <w:tc>
          <w:tcPr>
            <w:tcW w:w="1358" w:type="dxa"/>
            <w:noWrap/>
            <w:hideMark/>
          </w:tcPr>
          <w:p w14:paraId="6F5F962A" w14:textId="77777777" w:rsidR="00E86E23" w:rsidRPr="000973F2" w:rsidRDefault="00E86E23" w:rsidP="000F404A">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$50</w:t>
            </w:r>
          </w:p>
        </w:tc>
        <w:tc>
          <w:tcPr>
            <w:tcW w:w="1217" w:type="dxa"/>
            <w:noWrap/>
            <w:hideMark/>
          </w:tcPr>
          <w:p w14:paraId="4110C0C5" w14:textId="77777777" w:rsidR="00E86E23" w:rsidRPr="000973F2" w:rsidRDefault="00E86E23" w:rsidP="000F404A">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$0</w:t>
            </w:r>
          </w:p>
        </w:tc>
        <w:tc>
          <w:tcPr>
            <w:tcW w:w="1288" w:type="dxa"/>
            <w:noWrap/>
            <w:hideMark/>
          </w:tcPr>
          <w:p w14:paraId="3AC0149E" w14:textId="77777777" w:rsidR="00E86E23" w:rsidRPr="000973F2" w:rsidRDefault="00E86E23" w:rsidP="000F404A">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$50</w:t>
            </w:r>
          </w:p>
        </w:tc>
      </w:tr>
    </w:tbl>
    <w:p w14:paraId="3CD96D46" w14:textId="77777777" w:rsidR="00E86E23" w:rsidRPr="000973F2" w:rsidRDefault="00E86E23" w:rsidP="000F404A">
      <w:pPr>
        <w:pStyle w:val="AfterTable"/>
      </w:pPr>
    </w:p>
    <w:p w14:paraId="0A5A8558" w14:textId="77777777" w:rsidR="00E86E23" w:rsidRPr="000973F2" w:rsidRDefault="00E86E23" w:rsidP="000F404A">
      <w:pPr>
        <w:pStyle w:val="Heading2"/>
      </w:pPr>
      <w:r w:rsidRPr="000973F2">
        <w:t>Total Costs for Subpart QQ</w:t>
      </w:r>
    </w:p>
    <w:p w14:paraId="4DBA2FA6" w14:textId="42E0B2A3" w:rsidR="008B3A4C" w:rsidRPr="000973F2" w:rsidRDefault="00E86E23" w:rsidP="000F404A">
      <w:pPr>
        <w:pStyle w:val="BodyText"/>
      </w:pPr>
      <w:r w:rsidRPr="000973F2">
        <w:t>The total industry costs related to Subpart QQ average approximately $18</w:t>
      </w:r>
      <w:r w:rsidR="005B22C5" w:rsidRPr="000973F2">
        <w:t>8</w:t>
      </w:r>
      <w:r w:rsidRPr="000973F2">
        <w:t>,</w:t>
      </w:r>
      <w:r w:rsidR="005B22C5" w:rsidRPr="000973F2">
        <w:t>0</w:t>
      </w:r>
      <w:r w:rsidRPr="000973F2">
        <w:t xml:space="preserve">00 per year with a total of $562,600 over the three-year period </w:t>
      </w:r>
      <w:r w:rsidR="008423C5" w:rsidRPr="000973F2">
        <w:t>covered by this</w:t>
      </w:r>
      <w:r w:rsidRPr="000973F2">
        <w:t xml:space="preserve"> ICR. 41 facilities are expected to report in 2019, 2020, and 2021.</w:t>
      </w:r>
      <w:r w:rsidR="008B3A4C" w:rsidRPr="000973F2">
        <w:br w:type="page"/>
      </w:r>
    </w:p>
    <w:p w14:paraId="043CD114" w14:textId="4131EA76" w:rsidR="008B3A4C" w:rsidRPr="000973F2" w:rsidRDefault="008B3A4C" w:rsidP="000F404A">
      <w:pPr>
        <w:pStyle w:val="Heading1"/>
      </w:pPr>
      <w:bookmarkStart w:id="73" w:name="_Toc10715633"/>
      <w:r w:rsidRPr="000973F2">
        <w:t>Cost Appendix</w:t>
      </w:r>
      <w:r w:rsidR="00C779C1" w:rsidRPr="000973F2">
        <w:t xml:space="preserve"> for</w:t>
      </w:r>
      <w:r w:rsidRPr="000973F2">
        <w:t xml:space="preserve"> Subpart RR – Geologic Sequestration of Carbon Dioxide</w:t>
      </w:r>
      <w:bookmarkEnd w:id="73"/>
    </w:p>
    <w:p w14:paraId="2C2DAF54" w14:textId="77777777" w:rsidR="008B3A4C" w:rsidRPr="000973F2" w:rsidRDefault="008B3A4C" w:rsidP="000F404A">
      <w:pPr>
        <w:pStyle w:val="Heading2"/>
      </w:pPr>
      <w:r w:rsidRPr="000973F2">
        <w:t>Description of Subpart RR</w:t>
      </w:r>
    </w:p>
    <w:p w14:paraId="6FABF2CB" w14:textId="201EFB3D" w:rsidR="008B3A4C" w:rsidRPr="000973F2" w:rsidRDefault="008B3A4C" w:rsidP="000F404A">
      <w:pPr>
        <w:pStyle w:val="BodyText"/>
      </w:pPr>
      <w:r w:rsidRPr="000973F2">
        <w:t>For purposes of the GHGRP, geologic sequestration of carbon dioxide (CO</w:t>
      </w:r>
      <w:r w:rsidRPr="000973F2">
        <w:rPr>
          <w:vertAlign w:val="subscript"/>
        </w:rPr>
        <w:t>2</w:t>
      </w:r>
      <w:r w:rsidRPr="000973F2">
        <w:t>) refers to any well or group of wells that inject a CO</w:t>
      </w:r>
      <w:r w:rsidRPr="000973F2">
        <w:rPr>
          <w:vertAlign w:val="subscript"/>
        </w:rPr>
        <w:t xml:space="preserve">2 </w:t>
      </w:r>
      <w:r w:rsidRPr="000973F2">
        <w:t>stream for long-term containment in subsurface geologic formations. Subpart RR provides a mechanism for facilities to monitor and report to EPA the amounts of CO</w:t>
      </w:r>
      <w:r w:rsidRPr="000973F2">
        <w:rPr>
          <w:vertAlign w:val="subscript"/>
        </w:rPr>
        <w:t>2</w:t>
      </w:r>
      <w:r w:rsidRPr="000973F2">
        <w:t xml:space="preserve"> sequestered on an annual basis. Subpart RR monitoring and reporting costs are estimated based on two types of facilities: </w:t>
      </w:r>
    </w:p>
    <w:p w14:paraId="328E4850" w14:textId="1F22BC24" w:rsidR="008B3A4C" w:rsidRPr="000973F2" w:rsidRDefault="008B3A4C" w:rsidP="000F404A">
      <w:pPr>
        <w:pStyle w:val="Bulletlist1"/>
      </w:pPr>
      <w:r w:rsidRPr="000973F2">
        <w:t>Projects permitted under Class II of EPA’s Underground Injection Control (UIC) program (primarily for CO</w:t>
      </w:r>
      <w:r w:rsidRPr="000973F2">
        <w:rPr>
          <w:vertAlign w:val="subscript"/>
        </w:rPr>
        <w:t>2</w:t>
      </w:r>
      <w:r w:rsidRPr="000973F2">
        <w:t xml:space="preserve"> enhanced oil recovery (“</w:t>
      </w:r>
      <w:bookmarkStart w:id="74" w:name="_Hlk520725330"/>
      <w:r w:rsidRPr="000973F2">
        <w:t>CO</w:t>
      </w:r>
      <w:r w:rsidRPr="000973F2">
        <w:rPr>
          <w:vertAlign w:val="subscript"/>
        </w:rPr>
        <w:t>2</w:t>
      </w:r>
      <w:r w:rsidRPr="000973F2">
        <w:t>-EOR</w:t>
      </w:r>
      <w:bookmarkEnd w:id="74"/>
      <w:r w:rsidRPr="000973F2">
        <w:t>”) wells).</w:t>
      </w:r>
    </w:p>
    <w:p w14:paraId="1778F490" w14:textId="77777777" w:rsidR="008B3A4C" w:rsidRPr="000973F2" w:rsidRDefault="008B3A4C" w:rsidP="000F404A">
      <w:pPr>
        <w:pStyle w:val="Bulletlist1"/>
      </w:pPr>
      <w:r w:rsidRPr="000973F2">
        <w:t>Projects permitted under Class VI of EPA’s UIC Program (expected to be injecting CO</w:t>
      </w:r>
      <w:r w:rsidRPr="000973F2">
        <w:rPr>
          <w:vertAlign w:val="subscript"/>
        </w:rPr>
        <w:t>2</w:t>
      </w:r>
      <w:r w:rsidRPr="000973F2">
        <w:t xml:space="preserve"> into deep saline formations).</w:t>
      </w:r>
    </w:p>
    <w:p w14:paraId="164B0771" w14:textId="77777777" w:rsidR="008B3A4C" w:rsidRPr="000973F2" w:rsidRDefault="008B3A4C" w:rsidP="000F404A">
      <w:pPr>
        <w:pStyle w:val="BodyTextfirst"/>
      </w:pPr>
      <w:r w:rsidRPr="000973F2">
        <w:t>The geologic and project characteristics of the “representative” facility for both the CO</w:t>
      </w:r>
      <w:r w:rsidRPr="000973F2">
        <w:rPr>
          <w:vertAlign w:val="subscript"/>
        </w:rPr>
        <w:t>2</w:t>
      </w:r>
      <w:r w:rsidRPr="000973F2">
        <w:t>-EOR and the deep saline formation case are based on a typical CO</w:t>
      </w:r>
      <w:r w:rsidRPr="000973F2">
        <w:rPr>
          <w:vertAlign w:val="subscript"/>
        </w:rPr>
        <w:t>2</w:t>
      </w:r>
      <w:r w:rsidRPr="000973F2">
        <w:t>-EOR project in the Permian Basin of West Texas, where the majority of ongoing CO</w:t>
      </w:r>
      <w:r w:rsidRPr="000973F2">
        <w:rPr>
          <w:vertAlign w:val="subscript"/>
        </w:rPr>
        <w:t>2</w:t>
      </w:r>
      <w:r w:rsidRPr="000973F2">
        <w:t>-EOR operations in the U.S. exist. This “representative” facility is comparable to that used in previous EPA Subpart RR analyses.</w:t>
      </w:r>
    </w:p>
    <w:p w14:paraId="57692655" w14:textId="77777777" w:rsidR="008B3A4C" w:rsidRPr="000973F2" w:rsidRDefault="008B3A4C" w:rsidP="000F404A">
      <w:pPr>
        <w:pStyle w:val="BodyText"/>
      </w:pPr>
      <w:r w:rsidRPr="000973F2">
        <w:t>This update takes into consideration activities and events occurring since the last estimate in 2016. Specifically, monitoring, reporting, and verification (MRV) plans for CO</w:t>
      </w:r>
      <w:r w:rsidRPr="000973F2">
        <w:rPr>
          <w:vertAlign w:val="subscript"/>
        </w:rPr>
        <w:t>2</w:t>
      </w:r>
      <w:r w:rsidRPr="000973F2">
        <w:t xml:space="preserve">-EOR and deep saline </w:t>
      </w:r>
      <w:bookmarkStart w:id="75" w:name="_Hlk520725481"/>
      <w:r w:rsidRPr="000973F2">
        <w:t>CO</w:t>
      </w:r>
      <w:r w:rsidRPr="000973F2">
        <w:rPr>
          <w:vertAlign w:val="subscript"/>
        </w:rPr>
        <w:t>2</w:t>
      </w:r>
      <w:r w:rsidRPr="000973F2">
        <w:t xml:space="preserve"> </w:t>
      </w:r>
      <w:bookmarkEnd w:id="75"/>
      <w:r w:rsidRPr="000973F2">
        <w:t xml:space="preserve">storage projects that have been approved by EPA. </w:t>
      </w:r>
    </w:p>
    <w:p w14:paraId="77F07221" w14:textId="5F990775" w:rsidR="008B3A4C" w:rsidRPr="000973F2" w:rsidRDefault="008B3A4C" w:rsidP="000F404A">
      <w:pPr>
        <w:pStyle w:val="BodyText"/>
      </w:pPr>
      <w:r w:rsidRPr="000973F2">
        <w:t>In RY2017, two facilities with CO</w:t>
      </w:r>
      <w:r w:rsidRPr="000973F2">
        <w:rPr>
          <w:vertAlign w:val="subscript"/>
        </w:rPr>
        <w:t>2</w:t>
      </w:r>
      <w:r w:rsidRPr="000973F2">
        <w:t>-EOR projects and one facility injecting CO</w:t>
      </w:r>
      <w:r w:rsidRPr="000973F2">
        <w:rPr>
          <w:vertAlign w:val="subscript"/>
        </w:rPr>
        <w:t>2</w:t>
      </w:r>
      <w:r w:rsidRPr="000973F2">
        <w:t xml:space="preserve"> into a deep saline formation reported to Subpart RR. For purposes of this analysis, it is expected that one deep saline formation CO</w:t>
      </w:r>
      <w:r w:rsidRPr="000973F2">
        <w:rPr>
          <w:vertAlign w:val="subscript"/>
        </w:rPr>
        <w:t>2</w:t>
      </w:r>
      <w:r w:rsidRPr="000973F2">
        <w:t xml:space="preserve"> storage project would report under Subpart RR in year 1 (2019), year 2 (2020), and year 3 (2021). It is also expected that four CO</w:t>
      </w:r>
      <w:r w:rsidRPr="000973F2">
        <w:rPr>
          <w:vertAlign w:val="subscript"/>
        </w:rPr>
        <w:t>2</w:t>
      </w:r>
      <w:r w:rsidRPr="000973F2">
        <w:t xml:space="preserve">-EOR projects would report under Subpart RR in year 1, seven in year 2, and ten in year 3. </w:t>
      </w:r>
      <w:r w:rsidRPr="000973F2">
        <w:rPr>
          <w:iCs/>
          <w:szCs w:val="20"/>
        </w:rPr>
        <w:t>Subpart RR has higher labor rates than other subparts because oil and gas companies typically pay higher than average salaries. Those labor categories are represented in all tables in this chapter as Lawyer, Senior Manager, Middle Manager, and Technician</w:t>
      </w:r>
      <w:r w:rsidRPr="000973F2">
        <w:t xml:space="preserve">. </w:t>
      </w:r>
    </w:p>
    <w:p w14:paraId="5E57415D" w14:textId="77777777" w:rsidR="008B3A4C" w:rsidRPr="000973F2" w:rsidRDefault="008B3A4C" w:rsidP="000F404A">
      <w:pPr>
        <w:pStyle w:val="Heading2"/>
      </w:pPr>
      <w:r w:rsidRPr="000973F2">
        <w:t>Labor Costs for Subpart RR</w:t>
      </w:r>
    </w:p>
    <w:p w14:paraId="547383D8" w14:textId="33E9CD76" w:rsidR="008B3A4C" w:rsidRPr="000973F2" w:rsidRDefault="008B3A4C" w:rsidP="000F404A">
      <w:pPr>
        <w:pStyle w:val="BodyText"/>
      </w:pPr>
      <w:r w:rsidRPr="000973F2">
        <w:t xml:space="preserve">Table </w:t>
      </w:r>
      <w:r w:rsidR="000F404A" w:rsidRPr="000973F2">
        <w:t>RR-</w:t>
      </w:r>
      <w:r w:rsidRPr="000973F2">
        <w:t xml:space="preserve">1a summarizes the labor costs associated with Subpart RR for those activities associated with developing and implementing an MRV plan for a Class VI/deep saline formation project, and with annual reporting </w:t>
      </w:r>
      <w:bookmarkStart w:id="76" w:name="_Hlk531866932"/>
      <w:r w:rsidRPr="000973F2">
        <w:t xml:space="preserve">pursuant </w:t>
      </w:r>
      <w:bookmarkEnd w:id="76"/>
      <w:r w:rsidRPr="000973F2">
        <w:t>to that MRV plan. These activities are incremental to those that may be associated with a Class VI permit. These activities include those associated with developing and, as necessary, updating MRV Plans and models upon which plans are based; installing, operating, and maintaining surface and near-subsurface monitoring equipment; and purchasing, operating, and maintaining equipment associated with continuous monitoring of sub</w:t>
      </w:r>
      <w:r w:rsidR="00051F9B">
        <w:t>surface</w:t>
      </w:r>
      <w:r w:rsidRPr="000973F2">
        <w:t xml:space="preserve"> pressures, temperatures, production and injection rates, along with periodic monitoring of injection gas composition and potential corrosion.</w:t>
      </w:r>
    </w:p>
    <w:p w14:paraId="6E95E75B" w14:textId="23DD0C8E" w:rsidR="008B3A4C" w:rsidRPr="000973F2" w:rsidRDefault="008B3A4C" w:rsidP="000F404A">
      <w:pPr>
        <w:pStyle w:val="BodyText"/>
      </w:pPr>
      <w:r w:rsidRPr="000973F2">
        <w:t xml:space="preserve">Table </w:t>
      </w:r>
      <w:r w:rsidR="000F404A" w:rsidRPr="000973F2">
        <w:t>RR-</w:t>
      </w:r>
      <w:r w:rsidRPr="000973F2">
        <w:t>1b summarizes the labor costs associated with Subpart RR for those activities associated with developing and implementing an MRV plan for a Class II/CO</w:t>
      </w:r>
      <w:r w:rsidRPr="000973F2">
        <w:rPr>
          <w:vertAlign w:val="subscript"/>
        </w:rPr>
        <w:t>2</w:t>
      </w:r>
      <w:r w:rsidRPr="000973F2">
        <w:t>-EOR project, and with annual reporting pursuant to that plan. These activities are incremental to those that may be associated with traditional Class II/CO</w:t>
      </w:r>
      <w:r w:rsidRPr="000973F2">
        <w:rPr>
          <w:vertAlign w:val="subscript"/>
        </w:rPr>
        <w:t>2</w:t>
      </w:r>
      <w:r w:rsidRPr="000973F2">
        <w:t>-EOR activities. CO</w:t>
      </w:r>
      <w:r w:rsidRPr="000973F2">
        <w:rPr>
          <w:vertAlign w:val="subscript"/>
        </w:rPr>
        <w:t>2</w:t>
      </w:r>
      <w:r w:rsidRPr="000973F2">
        <w:t>-EOR projects that have submitted MRV plans to EPA operate with rigorous monitoring already in place, to ensure efficient and economically viable operations. Incremental costs are associated with the development of an MRV plan and reporting and recordkeeping costs to meet Subpart RR requirements (e.g., submission of annual reports). It is expected that reservoir simulators used to predict the movement of the injected CO</w:t>
      </w:r>
      <w:r w:rsidRPr="000973F2">
        <w:rPr>
          <w:vertAlign w:val="subscript"/>
        </w:rPr>
        <w:t>2</w:t>
      </w:r>
      <w:r w:rsidRPr="000973F2">
        <w:t xml:space="preserve"> plume are updated every other year during the injection phase, based on new data collected as part of monitoring operations, to determine if changes to the Active Monitoring Area (AMA) may be warranted. No facilities are expected to be in the post-injection phase </w:t>
      </w:r>
      <w:r w:rsidR="008423C5" w:rsidRPr="000973F2">
        <w:t xml:space="preserve">during </w:t>
      </w:r>
      <w:r w:rsidRPr="000973F2">
        <w:t xml:space="preserve">the three-year </w:t>
      </w:r>
      <w:r w:rsidR="008423C5" w:rsidRPr="000973F2">
        <w:t>period covered by this ICR</w:t>
      </w:r>
      <w:r w:rsidRPr="000973F2">
        <w:t>.</w:t>
      </w:r>
    </w:p>
    <w:p w14:paraId="40BD6BE1" w14:textId="7D69F9A9" w:rsidR="008B3A4C" w:rsidRPr="000973F2" w:rsidRDefault="00CE02EE" w:rsidP="000F404A">
      <w:pPr>
        <w:pStyle w:val="Tabletitle"/>
      </w:pPr>
      <w:r w:rsidRPr="000973F2">
        <w:t xml:space="preserve">Table </w:t>
      </w:r>
      <w:r w:rsidR="000F404A" w:rsidRPr="000973F2">
        <w:t>RR-</w:t>
      </w:r>
      <w:r w:rsidRPr="000973F2">
        <w:t xml:space="preserve">1a. Labor Costs </w:t>
      </w:r>
      <w:r w:rsidR="00B960CC" w:rsidRPr="000973F2">
        <w:t>–</w:t>
      </w:r>
      <w:r w:rsidRPr="000973F2">
        <w:t xml:space="preserve"> </w:t>
      </w:r>
      <w:r w:rsidR="008B3A4C" w:rsidRPr="000973F2">
        <w:t>Subpart RR – Class VI/Deep Saline Formation Storage</w:t>
      </w:r>
    </w:p>
    <w:tbl>
      <w:tblPr>
        <w:tblStyle w:val="PlainTable1"/>
        <w:tblW w:w="5031" w:type="pct"/>
        <w:jc w:val="left"/>
        <w:tblLayout w:type="fixed"/>
        <w:tblLook w:val="04A0" w:firstRow="1" w:lastRow="0" w:firstColumn="1" w:lastColumn="0" w:noHBand="0" w:noVBand="1"/>
      </w:tblPr>
      <w:tblGrid>
        <w:gridCol w:w="1514"/>
        <w:gridCol w:w="791"/>
        <w:gridCol w:w="793"/>
        <w:gridCol w:w="793"/>
        <w:gridCol w:w="794"/>
        <w:gridCol w:w="794"/>
        <w:gridCol w:w="794"/>
        <w:gridCol w:w="794"/>
        <w:gridCol w:w="794"/>
        <w:gridCol w:w="7"/>
        <w:gridCol w:w="757"/>
        <w:gridCol w:w="1010"/>
      </w:tblGrid>
      <w:tr w:rsidR="008B3A4C" w:rsidRPr="000973F2" w14:paraId="34953FE9" w14:textId="77777777" w:rsidTr="00383FFF">
        <w:trPr>
          <w:cnfStyle w:val="100000000000" w:firstRow="1" w:lastRow="0" w:firstColumn="0" w:lastColumn="0" w:oddVBand="0" w:evenVBand="0" w:oddHBand="0" w:evenHBand="0" w:firstRowFirstColumn="0" w:firstRowLastColumn="0" w:lastRowFirstColumn="0" w:lastRowLastColumn="0"/>
          <w:cantSplit/>
          <w:trHeight w:val="297"/>
          <w:jc w:val="left"/>
        </w:trPr>
        <w:tc>
          <w:tcPr>
            <w:cnfStyle w:val="001000000000" w:firstRow="0" w:lastRow="0" w:firstColumn="1" w:lastColumn="0" w:oddVBand="0" w:evenVBand="0" w:oddHBand="0" w:evenHBand="0" w:firstRowFirstColumn="0" w:firstRowLastColumn="0" w:lastRowFirstColumn="0" w:lastRowLastColumn="0"/>
            <w:tcW w:w="786" w:type="pct"/>
            <w:vMerge w:val="restart"/>
            <w:noWrap/>
            <w:vAlign w:val="top"/>
            <w:hideMark/>
          </w:tcPr>
          <w:p w14:paraId="3DE0711A" w14:textId="77777777" w:rsidR="008B3A4C" w:rsidRPr="000973F2" w:rsidRDefault="008B3A4C" w:rsidP="000F404A">
            <w:pPr>
              <w:spacing w:before="40" w:after="40"/>
              <w:rPr>
                <w:rFonts w:ascii="Times New Roman" w:eastAsia="Times New Roman" w:hAnsi="Times New Roman" w:cs="Times New Roman"/>
                <w:b w:val="0"/>
                <w:bCs w:val="0"/>
                <w:sz w:val="18"/>
                <w:szCs w:val="18"/>
              </w:rPr>
            </w:pPr>
            <w:r w:rsidRPr="000973F2">
              <w:rPr>
                <w:rFonts w:ascii="Times New Roman" w:eastAsia="Times New Roman" w:hAnsi="Times New Roman" w:cs="Times New Roman"/>
                <w:sz w:val="18"/>
                <w:szCs w:val="18"/>
              </w:rPr>
              <w:t>Activity</w:t>
            </w:r>
          </w:p>
        </w:tc>
        <w:tc>
          <w:tcPr>
            <w:tcW w:w="3297" w:type="pct"/>
            <w:gridSpan w:val="9"/>
            <w:noWrap/>
            <w:vAlign w:val="top"/>
            <w:hideMark/>
          </w:tcPr>
          <w:p w14:paraId="665FCE88" w14:textId="77777777" w:rsidR="008B3A4C" w:rsidRPr="000973F2" w:rsidRDefault="008B3A4C" w:rsidP="000F404A">
            <w:pPr>
              <w:spacing w:before="40" w:after="40"/>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bCs w:val="0"/>
                <w:sz w:val="18"/>
                <w:szCs w:val="18"/>
              </w:rPr>
            </w:pPr>
            <w:r w:rsidRPr="000973F2">
              <w:rPr>
                <w:rFonts w:ascii="Times New Roman" w:eastAsia="Times New Roman" w:hAnsi="Times New Roman" w:cs="Times New Roman"/>
                <w:sz w:val="18"/>
                <w:szCs w:val="18"/>
              </w:rPr>
              <w:t>Labor Rates (per hour)</w:t>
            </w:r>
          </w:p>
        </w:tc>
        <w:tc>
          <w:tcPr>
            <w:tcW w:w="918" w:type="pct"/>
            <w:gridSpan w:val="2"/>
            <w:vMerge w:val="restart"/>
            <w:vAlign w:val="top"/>
            <w:hideMark/>
          </w:tcPr>
          <w:p w14:paraId="04831A51" w14:textId="77777777" w:rsidR="008B3A4C" w:rsidRPr="000973F2" w:rsidRDefault="008B3A4C" w:rsidP="000F404A">
            <w:pPr>
              <w:spacing w:before="40" w:after="40"/>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bCs w:val="0"/>
                <w:sz w:val="18"/>
                <w:szCs w:val="18"/>
              </w:rPr>
            </w:pPr>
            <w:r w:rsidRPr="000973F2">
              <w:rPr>
                <w:rFonts w:ascii="Times New Roman" w:eastAsia="Times New Roman" w:hAnsi="Times New Roman" w:cs="Times New Roman"/>
                <w:sz w:val="18"/>
                <w:szCs w:val="18"/>
              </w:rPr>
              <w:t xml:space="preserve">Total Labor Cost per Year per Facility (2017$) </w:t>
            </w:r>
          </w:p>
        </w:tc>
      </w:tr>
      <w:tr w:rsidR="008B3A4C" w:rsidRPr="000973F2" w14:paraId="7ED562A7" w14:textId="77777777" w:rsidTr="00383FFF">
        <w:trPr>
          <w:cnfStyle w:val="000000100000" w:firstRow="0" w:lastRow="0" w:firstColumn="0" w:lastColumn="0" w:oddVBand="0" w:evenVBand="0" w:oddHBand="1" w:evenHBand="0" w:firstRowFirstColumn="0" w:firstRowLastColumn="0" w:lastRowFirstColumn="0" w:lastRowLastColumn="0"/>
          <w:cantSplit/>
          <w:trHeight w:val="312"/>
        </w:trPr>
        <w:tc>
          <w:tcPr>
            <w:cnfStyle w:val="001000000000" w:firstRow="0" w:lastRow="0" w:firstColumn="1" w:lastColumn="0" w:oddVBand="0" w:evenVBand="0" w:oddHBand="0" w:evenHBand="0" w:firstRowFirstColumn="0" w:firstRowLastColumn="0" w:lastRowFirstColumn="0" w:lastRowLastColumn="0"/>
            <w:tcW w:w="786" w:type="pct"/>
            <w:vMerge/>
            <w:hideMark/>
          </w:tcPr>
          <w:p w14:paraId="5CC1A71C" w14:textId="77777777" w:rsidR="008B3A4C" w:rsidRPr="000973F2" w:rsidRDefault="008B3A4C" w:rsidP="000F404A">
            <w:pPr>
              <w:spacing w:before="40" w:after="40"/>
              <w:rPr>
                <w:rFonts w:ascii="Times New Roman" w:eastAsia="Times New Roman" w:hAnsi="Times New Roman" w:cs="Times New Roman"/>
                <w:b/>
                <w:bCs w:val="0"/>
                <w:sz w:val="18"/>
                <w:szCs w:val="18"/>
              </w:rPr>
            </w:pPr>
          </w:p>
        </w:tc>
        <w:tc>
          <w:tcPr>
            <w:tcW w:w="823" w:type="pct"/>
            <w:gridSpan w:val="2"/>
            <w:noWrap/>
            <w:hideMark/>
          </w:tcPr>
          <w:p w14:paraId="0C34B25E" w14:textId="77777777" w:rsidR="008B3A4C" w:rsidRPr="000973F2" w:rsidRDefault="008B3A4C" w:rsidP="000F404A">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18"/>
                <w:szCs w:val="18"/>
              </w:rPr>
            </w:pPr>
            <w:r w:rsidRPr="000973F2">
              <w:rPr>
                <w:rFonts w:ascii="Times New Roman" w:eastAsia="Times New Roman" w:hAnsi="Times New Roman" w:cs="Times New Roman"/>
                <w:b/>
                <w:bCs/>
                <w:sz w:val="18"/>
                <w:szCs w:val="18"/>
              </w:rPr>
              <w:t>Lawyer</w:t>
            </w:r>
          </w:p>
        </w:tc>
        <w:tc>
          <w:tcPr>
            <w:tcW w:w="824" w:type="pct"/>
            <w:gridSpan w:val="2"/>
            <w:noWrap/>
            <w:hideMark/>
          </w:tcPr>
          <w:p w14:paraId="5CAB87C7" w14:textId="77777777" w:rsidR="008B3A4C" w:rsidRPr="000973F2" w:rsidRDefault="008B3A4C" w:rsidP="000F404A">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18"/>
                <w:szCs w:val="18"/>
              </w:rPr>
            </w:pPr>
            <w:r w:rsidRPr="000973F2">
              <w:rPr>
                <w:rFonts w:ascii="Times New Roman" w:eastAsia="Times New Roman" w:hAnsi="Times New Roman" w:cs="Times New Roman"/>
                <w:b/>
                <w:bCs/>
                <w:sz w:val="18"/>
                <w:szCs w:val="18"/>
              </w:rPr>
              <w:t>Senior Manager</w:t>
            </w:r>
          </w:p>
        </w:tc>
        <w:tc>
          <w:tcPr>
            <w:tcW w:w="824" w:type="pct"/>
            <w:gridSpan w:val="2"/>
            <w:hideMark/>
          </w:tcPr>
          <w:p w14:paraId="3B84D002" w14:textId="77777777" w:rsidR="008B3A4C" w:rsidRPr="000973F2" w:rsidRDefault="008B3A4C" w:rsidP="000F404A">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18"/>
                <w:szCs w:val="18"/>
              </w:rPr>
            </w:pPr>
            <w:r w:rsidRPr="000973F2">
              <w:rPr>
                <w:rFonts w:ascii="Times New Roman" w:eastAsia="Times New Roman" w:hAnsi="Times New Roman" w:cs="Times New Roman"/>
                <w:b/>
                <w:bCs/>
                <w:sz w:val="18"/>
                <w:szCs w:val="18"/>
              </w:rPr>
              <w:t>Middle Manager</w:t>
            </w:r>
          </w:p>
        </w:tc>
        <w:tc>
          <w:tcPr>
            <w:tcW w:w="824" w:type="pct"/>
            <w:gridSpan w:val="3"/>
            <w:hideMark/>
          </w:tcPr>
          <w:p w14:paraId="712CBA16" w14:textId="77777777" w:rsidR="008B3A4C" w:rsidRPr="000973F2" w:rsidRDefault="008B3A4C" w:rsidP="000F404A">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18"/>
                <w:szCs w:val="18"/>
              </w:rPr>
            </w:pPr>
            <w:r w:rsidRPr="000973F2">
              <w:rPr>
                <w:rFonts w:ascii="Times New Roman" w:eastAsia="Times New Roman" w:hAnsi="Times New Roman" w:cs="Times New Roman"/>
                <w:b/>
                <w:bCs/>
                <w:sz w:val="18"/>
                <w:szCs w:val="18"/>
              </w:rPr>
              <w:t>Technician</w:t>
            </w:r>
          </w:p>
        </w:tc>
        <w:tc>
          <w:tcPr>
            <w:tcW w:w="918" w:type="pct"/>
            <w:gridSpan w:val="2"/>
            <w:vMerge/>
            <w:hideMark/>
          </w:tcPr>
          <w:p w14:paraId="5BEBC445" w14:textId="77777777" w:rsidR="008B3A4C" w:rsidRPr="000973F2" w:rsidRDefault="008B3A4C" w:rsidP="000F404A">
            <w:pPr>
              <w:spacing w:before="40" w:after="4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18"/>
                <w:szCs w:val="18"/>
              </w:rPr>
            </w:pPr>
          </w:p>
        </w:tc>
      </w:tr>
      <w:tr w:rsidR="008B3A4C" w:rsidRPr="000973F2" w14:paraId="6BBEC8BE" w14:textId="77777777" w:rsidTr="00383FFF">
        <w:trPr>
          <w:cantSplit/>
          <w:trHeight w:val="312"/>
        </w:trPr>
        <w:tc>
          <w:tcPr>
            <w:cnfStyle w:val="001000000000" w:firstRow="0" w:lastRow="0" w:firstColumn="1" w:lastColumn="0" w:oddVBand="0" w:evenVBand="0" w:oddHBand="0" w:evenHBand="0" w:firstRowFirstColumn="0" w:firstRowLastColumn="0" w:lastRowFirstColumn="0" w:lastRowLastColumn="0"/>
            <w:tcW w:w="786" w:type="pct"/>
            <w:vMerge/>
            <w:hideMark/>
          </w:tcPr>
          <w:p w14:paraId="5B36ADD5" w14:textId="77777777" w:rsidR="008B3A4C" w:rsidRPr="000973F2" w:rsidRDefault="008B3A4C" w:rsidP="000F404A">
            <w:pPr>
              <w:spacing w:before="40" w:after="40"/>
              <w:rPr>
                <w:rFonts w:ascii="Times New Roman" w:eastAsia="Times New Roman" w:hAnsi="Times New Roman" w:cs="Times New Roman"/>
                <w:b/>
                <w:bCs w:val="0"/>
                <w:sz w:val="18"/>
                <w:szCs w:val="18"/>
              </w:rPr>
            </w:pPr>
          </w:p>
        </w:tc>
        <w:tc>
          <w:tcPr>
            <w:tcW w:w="823" w:type="pct"/>
            <w:gridSpan w:val="2"/>
            <w:noWrap/>
            <w:hideMark/>
          </w:tcPr>
          <w:p w14:paraId="5BB7A64F" w14:textId="77777777" w:rsidR="008B3A4C" w:rsidRPr="000973F2" w:rsidRDefault="008B3A4C" w:rsidP="000F404A">
            <w:pPr>
              <w:spacing w:before="40" w:after="4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sz w:val="18"/>
                <w:szCs w:val="18"/>
              </w:rPr>
            </w:pPr>
            <w:r w:rsidRPr="000973F2">
              <w:rPr>
                <w:rFonts w:ascii="Times New Roman" w:eastAsia="Times New Roman" w:hAnsi="Times New Roman" w:cs="Times New Roman"/>
                <w:b/>
                <w:bCs/>
                <w:sz w:val="18"/>
                <w:szCs w:val="18"/>
              </w:rPr>
              <w:t xml:space="preserve">$112.23 </w:t>
            </w:r>
          </w:p>
        </w:tc>
        <w:tc>
          <w:tcPr>
            <w:tcW w:w="824" w:type="pct"/>
            <w:gridSpan w:val="2"/>
            <w:noWrap/>
            <w:hideMark/>
          </w:tcPr>
          <w:p w14:paraId="2F740E0D" w14:textId="77777777" w:rsidR="008B3A4C" w:rsidRPr="000973F2" w:rsidRDefault="008B3A4C" w:rsidP="000F404A">
            <w:pPr>
              <w:spacing w:before="40" w:after="4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sz w:val="18"/>
                <w:szCs w:val="18"/>
              </w:rPr>
            </w:pPr>
            <w:r w:rsidRPr="000973F2">
              <w:rPr>
                <w:rFonts w:ascii="Times New Roman" w:eastAsia="Times New Roman" w:hAnsi="Times New Roman" w:cs="Times New Roman"/>
                <w:b/>
                <w:bCs/>
                <w:sz w:val="18"/>
                <w:szCs w:val="18"/>
              </w:rPr>
              <w:t xml:space="preserve">$141.54 </w:t>
            </w:r>
          </w:p>
        </w:tc>
        <w:tc>
          <w:tcPr>
            <w:tcW w:w="824" w:type="pct"/>
            <w:gridSpan w:val="2"/>
            <w:noWrap/>
            <w:hideMark/>
          </w:tcPr>
          <w:p w14:paraId="124BCB0A" w14:textId="77777777" w:rsidR="008B3A4C" w:rsidRPr="000973F2" w:rsidRDefault="008B3A4C" w:rsidP="000F404A">
            <w:pPr>
              <w:spacing w:before="40" w:after="4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sz w:val="18"/>
                <w:szCs w:val="18"/>
              </w:rPr>
            </w:pPr>
            <w:r w:rsidRPr="000973F2">
              <w:rPr>
                <w:rFonts w:ascii="Times New Roman" w:eastAsia="Times New Roman" w:hAnsi="Times New Roman" w:cs="Times New Roman"/>
                <w:b/>
                <w:bCs/>
                <w:sz w:val="18"/>
                <w:szCs w:val="18"/>
              </w:rPr>
              <w:t xml:space="preserve">$105.68 </w:t>
            </w:r>
          </w:p>
        </w:tc>
        <w:tc>
          <w:tcPr>
            <w:tcW w:w="824" w:type="pct"/>
            <w:gridSpan w:val="3"/>
            <w:noWrap/>
            <w:hideMark/>
          </w:tcPr>
          <w:p w14:paraId="00B8E899" w14:textId="77777777" w:rsidR="008B3A4C" w:rsidRPr="000973F2" w:rsidRDefault="008B3A4C" w:rsidP="000F404A">
            <w:pPr>
              <w:spacing w:before="40" w:after="4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sz w:val="18"/>
                <w:szCs w:val="18"/>
              </w:rPr>
            </w:pPr>
            <w:r w:rsidRPr="000973F2">
              <w:rPr>
                <w:rFonts w:ascii="Times New Roman" w:eastAsia="Times New Roman" w:hAnsi="Times New Roman" w:cs="Times New Roman"/>
                <w:b/>
                <w:bCs/>
                <w:sz w:val="18"/>
                <w:szCs w:val="18"/>
              </w:rPr>
              <w:t xml:space="preserve">$60.72 </w:t>
            </w:r>
          </w:p>
        </w:tc>
        <w:tc>
          <w:tcPr>
            <w:tcW w:w="918" w:type="pct"/>
            <w:gridSpan w:val="2"/>
            <w:vMerge/>
            <w:hideMark/>
          </w:tcPr>
          <w:p w14:paraId="50BFDE44" w14:textId="77777777" w:rsidR="008B3A4C" w:rsidRPr="000973F2" w:rsidRDefault="008B3A4C" w:rsidP="000F404A">
            <w:pPr>
              <w:spacing w:before="40" w:after="4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sz w:val="18"/>
                <w:szCs w:val="18"/>
              </w:rPr>
            </w:pPr>
          </w:p>
        </w:tc>
      </w:tr>
      <w:tr w:rsidR="000F404A" w:rsidRPr="000973F2" w14:paraId="73D57169" w14:textId="77777777" w:rsidTr="00383FFF">
        <w:trPr>
          <w:cnfStyle w:val="000000100000" w:firstRow="0" w:lastRow="0" w:firstColumn="0" w:lastColumn="0" w:oddVBand="0" w:evenVBand="0" w:oddHBand="1" w:evenHBand="0" w:firstRowFirstColumn="0" w:firstRowLastColumn="0" w:lastRowFirstColumn="0" w:lastRowLastColumn="0"/>
          <w:cantSplit/>
          <w:trHeight w:val="735"/>
        </w:trPr>
        <w:tc>
          <w:tcPr>
            <w:cnfStyle w:val="001000000000" w:firstRow="0" w:lastRow="0" w:firstColumn="1" w:lastColumn="0" w:oddVBand="0" w:evenVBand="0" w:oddHBand="0" w:evenHBand="0" w:firstRowFirstColumn="0" w:firstRowLastColumn="0" w:lastRowFirstColumn="0" w:lastRowLastColumn="0"/>
            <w:tcW w:w="786" w:type="pct"/>
            <w:vMerge/>
            <w:hideMark/>
          </w:tcPr>
          <w:p w14:paraId="112817DD" w14:textId="77777777" w:rsidR="008B3A4C" w:rsidRPr="000973F2" w:rsidRDefault="008B3A4C" w:rsidP="000F404A">
            <w:pPr>
              <w:spacing w:before="40" w:after="40"/>
              <w:rPr>
                <w:rFonts w:ascii="Times New Roman" w:eastAsia="Times New Roman" w:hAnsi="Times New Roman" w:cs="Times New Roman"/>
                <w:b/>
                <w:bCs w:val="0"/>
                <w:sz w:val="18"/>
                <w:szCs w:val="18"/>
              </w:rPr>
            </w:pPr>
          </w:p>
        </w:tc>
        <w:tc>
          <w:tcPr>
            <w:tcW w:w="411" w:type="pct"/>
            <w:tcMar>
              <w:left w:w="14" w:type="dxa"/>
              <w:right w:w="14" w:type="dxa"/>
            </w:tcMar>
            <w:hideMark/>
          </w:tcPr>
          <w:p w14:paraId="02C880D3" w14:textId="3563B3F1" w:rsidR="008B3A4C" w:rsidRPr="000973F2" w:rsidRDefault="008B3A4C" w:rsidP="000F404A">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18"/>
                <w:szCs w:val="18"/>
              </w:rPr>
            </w:pPr>
            <w:r w:rsidRPr="000973F2">
              <w:rPr>
                <w:rFonts w:ascii="Times New Roman" w:eastAsia="Times New Roman" w:hAnsi="Times New Roman" w:cs="Times New Roman"/>
                <w:b/>
                <w:bCs/>
                <w:sz w:val="18"/>
                <w:szCs w:val="18"/>
              </w:rPr>
              <w:t xml:space="preserve">Initial </w:t>
            </w:r>
            <w:r w:rsidR="00132320" w:rsidRPr="000973F2">
              <w:rPr>
                <w:rFonts w:ascii="Times New Roman" w:eastAsia="Times New Roman" w:hAnsi="Times New Roman" w:cs="Times New Roman"/>
                <w:b/>
                <w:bCs/>
                <w:sz w:val="18"/>
                <w:szCs w:val="18"/>
              </w:rPr>
              <w:t>Year Hours</w:t>
            </w:r>
          </w:p>
        </w:tc>
        <w:tc>
          <w:tcPr>
            <w:tcW w:w="412" w:type="pct"/>
            <w:tcMar>
              <w:left w:w="14" w:type="dxa"/>
              <w:right w:w="14" w:type="dxa"/>
            </w:tcMar>
            <w:hideMark/>
          </w:tcPr>
          <w:p w14:paraId="45C53C55" w14:textId="54F548E1" w:rsidR="008B3A4C" w:rsidRPr="000973F2" w:rsidRDefault="008B3A4C" w:rsidP="000F404A">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18"/>
                <w:szCs w:val="18"/>
              </w:rPr>
            </w:pPr>
            <w:r w:rsidRPr="000973F2">
              <w:rPr>
                <w:rFonts w:ascii="Times New Roman" w:eastAsia="Times New Roman" w:hAnsi="Times New Roman" w:cs="Times New Roman"/>
                <w:b/>
                <w:bCs/>
                <w:sz w:val="18"/>
                <w:szCs w:val="18"/>
              </w:rPr>
              <w:t xml:space="preserve">Subseq. </w:t>
            </w:r>
            <w:r w:rsidR="00132320" w:rsidRPr="000973F2">
              <w:rPr>
                <w:rFonts w:ascii="Times New Roman" w:eastAsia="Times New Roman" w:hAnsi="Times New Roman" w:cs="Times New Roman"/>
                <w:b/>
                <w:bCs/>
                <w:sz w:val="18"/>
                <w:szCs w:val="18"/>
              </w:rPr>
              <w:t>Year Hours</w:t>
            </w:r>
          </w:p>
        </w:tc>
        <w:tc>
          <w:tcPr>
            <w:tcW w:w="412" w:type="pct"/>
            <w:tcMar>
              <w:left w:w="14" w:type="dxa"/>
              <w:right w:w="14" w:type="dxa"/>
            </w:tcMar>
            <w:hideMark/>
          </w:tcPr>
          <w:p w14:paraId="69FC91B6" w14:textId="65E144FD" w:rsidR="008B3A4C" w:rsidRPr="000973F2" w:rsidRDefault="008B3A4C" w:rsidP="000F404A">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18"/>
                <w:szCs w:val="18"/>
              </w:rPr>
            </w:pPr>
            <w:r w:rsidRPr="000973F2">
              <w:rPr>
                <w:rFonts w:ascii="Times New Roman" w:eastAsia="Times New Roman" w:hAnsi="Times New Roman" w:cs="Times New Roman"/>
                <w:b/>
                <w:bCs/>
                <w:sz w:val="18"/>
                <w:szCs w:val="18"/>
              </w:rPr>
              <w:t xml:space="preserve">Initial </w:t>
            </w:r>
            <w:r w:rsidR="00132320" w:rsidRPr="000973F2">
              <w:rPr>
                <w:rFonts w:ascii="Times New Roman" w:eastAsia="Times New Roman" w:hAnsi="Times New Roman" w:cs="Times New Roman"/>
                <w:b/>
                <w:bCs/>
                <w:sz w:val="18"/>
                <w:szCs w:val="18"/>
              </w:rPr>
              <w:t>Year Hours</w:t>
            </w:r>
          </w:p>
        </w:tc>
        <w:tc>
          <w:tcPr>
            <w:tcW w:w="412" w:type="pct"/>
            <w:tcMar>
              <w:left w:w="14" w:type="dxa"/>
              <w:right w:w="14" w:type="dxa"/>
            </w:tcMar>
            <w:hideMark/>
          </w:tcPr>
          <w:p w14:paraId="4CC1ED44" w14:textId="12DD618A" w:rsidR="008B3A4C" w:rsidRPr="000973F2" w:rsidRDefault="008B3A4C" w:rsidP="000F404A">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18"/>
                <w:szCs w:val="18"/>
              </w:rPr>
            </w:pPr>
            <w:r w:rsidRPr="000973F2">
              <w:rPr>
                <w:rFonts w:ascii="Times New Roman" w:eastAsia="Times New Roman" w:hAnsi="Times New Roman" w:cs="Times New Roman"/>
                <w:b/>
                <w:bCs/>
                <w:sz w:val="18"/>
                <w:szCs w:val="18"/>
              </w:rPr>
              <w:t xml:space="preserve">Subseq. </w:t>
            </w:r>
            <w:r w:rsidR="00132320" w:rsidRPr="000973F2">
              <w:rPr>
                <w:rFonts w:ascii="Times New Roman" w:eastAsia="Times New Roman" w:hAnsi="Times New Roman" w:cs="Times New Roman"/>
                <w:b/>
                <w:bCs/>
                <w:sz w:val="18"/>
                <w:szCs w:val="18"/>
              </w:rPr>
              <w:t>Year Hours</w:t>
            </w:r>
          </w:p>
        </w:tc>
        <w:tc>
          <w:tcPr>
            <w:tcW w:w="412" w:type="pct"/>
            <w:tcMar>
              <w:left w:w="14" w:type="dxa"/>
              <w:right w:w="14" w:type="dxa"/>
            </w:tcMar>
            <w:hideMark/>
          </w:tcPr>
          <w:p w14:paraId="245A5917" w14:textId="0C4BFF00" w:rsidR="008B3A4C" w:rsidRPr="000973F2" w:rsidRDefault="008B3A4C" w:rsidP="000F404A">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18"/>
                <w:szCs w:val="18"/>
              </w:rPr>
            </w:pPr>
            <w:r w:rsidRPr="000973F2">
              <w:rPr>
                <w:rFonts w:ascii="Times New Roman" w:eastAsia="Times New Roman" w:hAnsi="Times New Roman" w:cs="Times New Roman"/>
                <w:b/>
                <w:bCs/>
                <w:sz w:val="18"/>
                <w:szCs w:val="18"/>
              </w:rPr>
              <w:t xml:space="preserve">Initial </w:t>
            </w:r>
            <w:r w:rsidR="00132320" w:rsidRPr="000973F2">
              <w:rPr>
                <w:rFonts w:ascii="Times New Roman" w:eastAsia="Times New Roman" w:hAnsi="Times New Roman" w:cs="Times New Roman"/>
                <w:b/>
                <w:bCs/>
                <w:sz w:val="18"/>
                <w:szCs w:val="18"/>
              </w:rPr>
              <w:t>Year Hours</w:t>
            </w:r>
          </w:p>
        </w:tc>
        <w:tc>
          <w:tcPr>
            <w:tcW w:w="412" w:type="pct"/>
            <w:tcMar>
              <w:left w:w="14" w:type="dxa"/>
              <w:right w:w="14" w:type="dxa"/>
            </w:tcMar>
            <w:hideMark/>
          </w:tcPr>
          <w:p w14:paraId="7B46EDE2" w14:textId="54DA9C63" w:rsidR="008B3A4C" w:rsidRPr="000973F2" w:rsidRDefault="008B3A4C" w:rsidP="000F404A">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18"/>
                <w:szCs w:val="18"/>
              </w:rPr>
            </w:pPr>
            <w:r w:rsidRPr="000973F2">
              <w:rPr>
                <w:rFonts w:ascii="Times New Roman" w:eastAsia="Times New Roman" w:hAnsi="Times New Roman" w:cs="Times New Roman"/>
                <w:b/>
                <w:bCs/>
                <w:sz w:val="18"/>
                <w:szCs w:val="18"/>
              </w:rPr>
              <w:t xml:space="preserve">Subseq. </w:t>
            </w:r>
            <w:r w:rsidR="00132320" w:rsidRPr="000973F2">
              <w:rPr>
                <w:rFonts w:ascii="Times New Roman" w:eastAsia="Times New Roman" w:hAnsi="Times New Roman" w:cs="Times New Roman"/>
                <w:b/>
                <w:bCs/>
                <w:sz w:val="18"/>
                <w:szCs w:val="18"/>
              </w:rPr>
              <w:t>Year Hours</w:t>
            </w:r>
          </w:p>
        </w:tc>
        <w:tc>
          <w:tcPr>
            <w:tcW w:w="412" w:type="pct"/>
            <w:tcMar>
              <w:left w:w="14" w:type="dxa"/>
              <w:right w:w="14" w:type="dxa"/>
            </w:tcMar>
            <w:hideMark/>
          </w:tcPr>
          <w:p w14:paraId="6ADBDBBC" w14:textId="7CB39516" w:rsidR="008B3A4C" w:rsidRPr="000973F2" w:rsidRDefault="008B3A4C" w:rsidP="000F404A">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18"/>
                <w:szCs w:val="18"/>
              </w:rPr>
            </w:pPr>
            <w:r w:rsidRPr="000973F2">
              <w:rPr>
                <w:rFonts w:ascii="Times New Roman" w:eastAsia="Times New Roman" w:hAnsi="Times New Roman" w:cs="Times New Roman"/>
                <w:b/>
                <w:bCs/>
                <w:sz w:val="18"/>
                <w:szCs w:val="18"/>
              </w:rPr>
              <w:t xml:space="preserve">Initial </w:t>
            </w:r>
            <w:r w:rsidR="00132320" w:rsidRPr="000973F2">
              <w:rPr>
                <w:rFonts w:ascii="Times New Roman" w:eastAsia="Times New Roman" w:hAnsi="Times New Roman" w:cs="Times New Roman"/>
                <w:b/>
                <w:bCs/>
                <w:sz w:val="18"/>
                <w:szCs w:val="18"/>
              </w:rPr>
              <w:t>Year Hours</w:t>
            </w:r>
          </w:p>
        </w:tc>
        <w:tc>
          <w:tcPr>
            <w:tcW w:w="412" w:type="pct"/>
            <w:tcMar>
              <w:left w:w="14" w:type="dxa"/>
              <w:right w:w="14" w:type="dxa"/>
            </w:tcMar>
            <w:hideMark/>
          </w:tcPr>
          <w:p w14:paraId="2D282615" w14:textId="02DEB936" w:rsidR="008B3A4C" w:rsidRPr="000973F2" w:rsidRDefault="008B3A4C" w:rsidP="000F404A">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18"/>
                <w:szCs w:val="18"/>
              </w:rPr>
            </w:pPr>
            <w:r w:rsidRPr="000973F2">
              <w:rPr>
                <w:rFonts w:ascii="Times New Roman" w:eastAsia="Times New Roman" w:hAnsi="Times New Roman" w:cs="Times New Roman"/>
                <w:b/>
                <w:bCs/>
                <w:sz w:val="18"/>
                <w:szCs w:val="18"/>
              </w:rPr>
              <w:t xml:space="preserve">Subseq. </w:t>
            </w:r>
            <w:r w:rsidR="00132320" w:rsidRPr="000973F2">
              <w:rPr>
                <w:rFonts w:ascii="Times New Roman" w:eastAsia="Times New Roman" w:hAnsi="Times New Roman" w:cs="Times New Roman"/>
                <w:b/>
                <w:bCs/>
                <w:sz w:val="18"/>
                <w:szCs w:val="18"/>
              </w:rPr>
              <w:t>Year Hours</w:t>
            </w:r>
          </w:p>
        </w:tc>
        <w:tc>
          <w:tcPr>
            <w:tcW w:w="395" w:type="pct"/>
            <w:gridSpan w:val="2"/>
            <w:tcMar>
              <w:left w:w="14" w:type="dxa"/>
              <w:right w:w="14" w:type="dxa"/>
            </w:tcMar>
            <w:hideMark/>
          </w:tcPr>
          <w:p w14:paraId="40BB7905" w14:textId="0004BC6E" w:rsidR="008B3A4C" w:rsidRPr="000973F2" w:rsidRDefault="008B3A4C" w:rsidP="000F404A">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18"/>
                <w:szCs w:val="18"/>
              </w:rPr>
            </w:pPr>
            <w:r w:rsidRPr="000973F2">
              <w:rPr>
                <w:rFonts w:ascii="Times New Roman" w:eastAsia="Times New Roman" w:hAnsi="Times New Roman" w:cs="Times New Roman"/>
                <w:b/>
                <w:bCs/>
                <w:sz w:val="18"/>
                <w:szCs w:val="18"/>
              </w:rPr>
              <w:t>Initial Year</w:t>
            </w:r>
          </w:p>
        </w:tc>
        <w:tc>
          <w:tcPr>
            <w:tcW w:w="523" w:type="pct"/>
            <w:tcMar>
              <w:left w:w="14" w:type="dxa"/>
              <w:right w:w="14" w:type="dxa"/>
            </w:tcMar>
            <w:hideMark/>
          </w:tcPr>
          <w:p w14:paraId="731E7E05" w14:textId="77777777" w:rsidR="008B3A4C" w:rsidRPr="000973F2" w:rsidRDefault="008B3A4C" w:rsidP="000F404A">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18"/>
                <w:szCs w:val="18"/>
              </w:rPr>
            </w:pPr>
            <w:r w:rsidRPr="000973F2">
              <w:rPr>
                <w:rFonts w:ascii="Times New Roman" w:eastAsia="Times New Roman" w:hAnsi="Times New Roman" w:cs="Times New Roman"/>
                <w:b/>
                <w:bCs/>
                <w:sz w:val="18"/>
                <w:szCs w:val="18"/>
              </w:rPr>
              <w:t>Subseq. Year</w:t>
            </w:r>
          </w:p>
        </w:tc>
      </w:tr>
      <w:tr w:rsidR="000F404A" w:rsidRPr="000973F2" w14:paraId="711A52E4" w14:textId="77777777" w:rsidTr="00383FFF">
        <w:trPr>
          <w:cantSplit/>
          <w:trHeight w:val="297"/>
        </w:trPr>
        <w:tc>
          <w:tcPr>
            <w:cnfStyle w:val="001000000000" w:firstRow="0" w:lastRow="0" w:firstColumn="1" w:lastColumn="0" w:oddVBand="0" w:evenVBand="0" w:oddHBand="0" w:evenHBand="0" w:firstRowFirstColumn="0" w:firstRowLastColumn="0" w:lastRowFirstColumn="0" w:lastRowLastColumn="0"/>
            <w:tcW w:w="786" w:type="pct"/>
            <w:hideMark/>
          </w:tcPr>
          <w:p w14:paraId="5E6CC30D" w14:textId="77777777" w:rsidR="008B3A4C" w:rsidRPr="000973F2" w:rsidRDefault="008B3A4C" w:rsidP="000F404A">
            <w:pPr>
              <w:spacing w:before="40" w:after="4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Planning</w:t>
            </w:r>
          </w:p>
        </w:tc>
        <w:tc>
          <w:tcPr>
            <w:tcW w:w="411" w:type="pct"/>
            <w:noWrap/>
            <w:hideMark/>
          </w:tcPr>
          <w:p w14:paraId="0D83B7F2" w14:textId="77777777" w:rsidR="008B3A4C" w:rsidRPr="000973F2" w:rsidRDefault="008B3A4C" w:rsidP="000F404A">
            <w:pPr>
              <w:tabs>
                <w:tab w:val="decimal" w:pos="301"/>
              </w:tabs>
              <w:spacing w:before="40" w:after="4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0</w:t>
            </w:r>
          </w:p>
        </w:tc>
        <w:tc>
          <w:tcPr>
            <w:tcW w:w="412" w:type="pct"/>
            <w:noWrap/>
            <w:hideMark/>
          </w:tcPr>
          <w:p w14:paraId="113479D0" w14:textId="77777777" w:rsidR="008B3A4C" w:rsidRPr="000973F2" w:rsidRDefault="008B3A4C" w:rsidP="000F404A">
            <w:pPr>
              <w:tabs>
                <w:tab w:val="decimal" w:pos="301"/>
              </w:tabs>
              <w:spacing w:before="40" w:after="4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25</w:t>
            </w:r>
          </w:p>
        </w:tc>
        <w:tc>
          <w:tcPr>
            <w:tcW w:w="412" w:type="pct"/>
            <w:noWrap/>
            <w:hideMark/>
          </w:tcPr>
          <w:p w14:paraId="2531CB33" w14:textId="77777777" w:rsidR="008B3A4C" w:rsidRPr="000973F2" w:rsidRDefault="008B3A4C" w:rsidP="000F404A">
            <w:pPr>
              <w:tabs>
                <w:tab w:val="decimal" w:pos="301"/>
              </w:tabs>
              <w:spacing w:before="40" w:after="4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0</w:t>
            </w:r>
          </w:p>
        </w:tc>
        <w:tc>
          <w:tcPr>
            <w:tcW w:w="412" w:type="pct"/>
            <w:noWrap/>
            <w:hideMark/>
          </w:tcPr>
          <w:p w14:paraId="024D2492" w14:textId="77777777" w:rsidR="008B3A4C" w:rsidRPr="000973F2" w:rsidRDefault="008B3A4C" w:rsidP="000F404A">
            <w:pPr>
              <w:tabs>
                <w:tab w:val="decimal" w:pos="301"/>
              </w:tabs>
              <w:spacing w:before="40" w:after="4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67.3</w:t>
            </w:r>
          </w:p>
        </w:tc>
        <w:tc>
          <w:tcPr>
            <w:tcW w:w="412" w:type="pct"/>
            <w:noWrap/>
            <w:hideMark/>
          </w:tcPr>
          <w:p w14:paraId="64809BA0" w14:textId="77777777" w:rsidR="008B3A4C" w:rsidRPr="000973F2" w:rsidRDefault="008B3A4C" w:rsidP="000F404A">
            <w:pPr>
              <w:tabs>
                <w:tab w:val="decimal" w:pos="301"/>
              </w:tabs>
              <w:spacing w:before="40" w:after="4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0</w:t>
            </w:r>
          </w:p>
        </w:tc>
        <w:tc>
          <w:tcPr>
            <w:tcW w:w="412" w:type="pct"/>
            <w:noWrap/>
            <w:hideMark/>
          </w:tcPr>
          <w:p w14:paraId="34DF37DF" w14:textId="77777777" w:rsidR="008B3A4C" w:rsidRPr="000973F2" w:rsidRDefault="008B3A4C" w:rsidP="000F404A">
            <w:pPr>
              <w:tabs>
                <w:tab w:val="decimal" w:pos="301"/>
              </w:tabs>
              <w:spacing w:before="40" w:after="4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171.3</w:t>
            </w:r>
          </w:p>
        </w:tc>
        <w:tc>
          <w:tcPr>
            <w:tcW w:w="412" w:type="pct"/>
            <w:noWrap/>
            <w:hideMark/>
          </w:tcPr>
          <w:p w14:paraId="726F4252" w14:textId="77777777" w:rsidR="008B3A4C" w:rsidRPr="000973F2" w:rsidRDefault="008B3A4C" w:rsidP="000F404A">
            <w:pPr>
              <w:tabs>
                <w:tab w:val="decimal" w:pos="301"/>
              </w:tabs>
              <w:spacing w:before="40" w:after="4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0</w:t>
            </w:r>
          </w:p>
        </w:tc>
        <w:tc>
          <w:tcPr>
            <w:tcW w:w="412" w:type="pct"/>
            <w:noWrap/>
            <w:hideMark/>
          </w:tcPr>
          <w:p w14:paraId="31503B9A" w14:textId="77777777" w:rsidR="008B3A4C" w:rsidRPr="000973F2" w:rsidRDefault="008B3A4C" w:rsidP="000F404A">
            <w:pPr>
              <w:tabs>
                <w:tab w:val="decimal" w:pos="301"/>
              </w:tabs>
              <w:spacing w:before="40" w:after="4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68.0</w:t>
            </w:r>
          </w:p>
        </w:tc>
        <w:tc>
          <w:tcPr>
            <w:tcW w:w="395" w:type="pct"/>
            <w:gridSpan w:val="2"/>
            <w:noWrap/>
            <w:hideMark/>
          </w:tcPr>
          <w:p w14:paraId="6E0B4781" w14:textId="03F2CE29" w:rsidR="008B3A4C" w:rsidRPr="000973F2" w:rsidRDefault="008B3A4C" w:rsidP="000F404A">
            <w:pPr>
              <w:tabs>
                <w:tab w:val="decimal" w:pos="361"/>
              </w:tabs>
              <w:spacing w:before="40" w:after="4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$0</w:t>
            </w:r>
          </w:p>
        </w:tc>
        <w:tc>
          <w:tcPr>
            <w:tcW w:w="523" w:type="pct"/>
            <w:noWrap/>
            <w:hideMark/>
          </w:tcPr>
          <w:p w14:paraId="41C3016C" w14:textId="77777777" w:rsidR="008B3A4C" w:rsidRPr="000973F2" w:rsidRDefault="008B3A4C" w:rsidP="000F404A">
            <w:pPr>
              <w:tabs>
                <w:tab w:val="decimal" w:pos="706"/>
              </w:tabs>
              <w:spacing w:before="40" w:after="4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 xml:space="preserve">$34,563 </w:t>
            </w:r>
          </w:p>
        </w:tc>
      </w:tr>
      <w:tr w:rsidR="000F404A" w:rsidRPr="000973F2" w14:paraId="7560B6A9" w14:textId="77777777" w:rsidTr="00383FFF">
        <w:trPr>
          <w:cnfStyle w:val="000000100000" w:firstRow="0" w:lastRow="0" w:firstColumn="0" w:lastColumn="0" w:oddVBand="0" w:evenVBand="0" w:oddHBand="1" w:evenHBand="0" w:firstRowFirstColumn="0" w:firstRowLastColumn="0" w:lastRowFirstColumn="0" w:lastRowLastColumn="0"/>
          <w:cantSplit/>
          <w:trHeight w:val="297"/>
        </w:trPr>
        <w:tc>
          <w:tcPr>
            <w:cnfStyle w:val="001000000000" w:firstRow="0" w:lastRow="0" w:firstColumn="1" w:lastColumn="0" w:oddVBand="0" w:evenVBand="0" w:oddHBand="0" w:evenHBand="0" w:firstRowFirstColumn="0" w:firstRowLastColumn="0" w:lastRowFirstColumn="0" w:lastRowLastColumn="0"/>
            <w:tcW w:w="786" w:type="pct"/>
            <w:hideMark/>
          </w:tcPr>
          <w:p w14:paraId="19EAD9AF" w14:textId="77777777" w:rsidR="008B3A4C" w:rsidRPr="000973F2" w:rsidRDefault="008B3A4C" w:rsidP="000F404A">
            <w:pPr>
              <w:spacing w:before="40" w:after="4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QA/QC</w:t>
            </w:r>
          </w:p>
        </w:tc>
        <w:tc>
          <w:tcPr>
            <w:tcW w:w="411" w:type="pct"/>
            <w:noWrap/>
            <w:hideMark/>
          </w:tcPr>
          <w:p w14:paraId="61ADD4EE" w14:textId="77777777" w:rsidR="008B3A4C" w:rsidRPr="000973F2" w:rsidRDefault="008B3A4C" w:rsidP="000F404A">
            <w:pPr>
              <w:tabs>
                <w:tab w:val="decimal" w:pos="301"/>
              </w:tabs>
              <w:spacing w:before="40" w:after="4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0</w:t>
            </w:r>
          </w:p>
        </w:tc>
        <w:tc>
          <w:tcPr>
            <w:tcW w:w="412" w:type="pct"/>
            <w:noWrap/>
            <w:hideMark/>
          </w:tcPr>
          <w:p w14:paraId="64CE9DCD" w14:textId="77777777" w:rsidR="008B3A4C" w:rsidRPr="000973F2" w:rsidRDefault="008B3A4C" w:rsidP="000F404A">
            <w:pPr>
              <w:tabs>
                <w:tab w:val="decimal" w:pos="301"/>
              </w:tabs>
              <w:spacing w:before="40" w:after="4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25</w:t>
            </w:r>
          </w:p>
        </w:tc>
        <w:tc>
          <w:tcPr>
            <w:tcW w:w="412" w:type="pct"/>
            <w:noWrap/>
            <w:hideMark/>
          </w:tcPr>
          <w:p w14:paraId="6588BE87" w14:textId="77777777" w:rsidR="008B3A4C" w:rsidRPr="000973F2" w:rsidRDefault="008B3A4C" w:rsidP="000F404A">
            <w:pPr>
              <w:tabs>
                <w:tab w:val="decimal" w:pos="301"/>
              </w:tabs>
              <w:spacing w:before="40" w:after="4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0</w:t>
            </w:r>
          </w:p>
        </w:tc>
        <w:tc>
          <w:tcPr>
            <w:tcW w:w="412" w:type="pct"/>
            <w:noWrap/>
            <w:hideMark/>
          </w:tcPr>
          <w:p w14:paraId="4A0220F3" w14:textId="77777777" w:rsidR="008B3A4C" w:rsidRPr="000973F2" w:rsidRDefault="008B3A4C" w:rsidP="000F404A">
            <w:pPr>
              <w:tabs>
                <w:tab w:val="decimal" w:pos="301"/>
              </w:tabs>
              <w:spacing w:before="40" w:after="4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64.3</w:t>
            </w:r>
          </w:p>
        </w:tc>
        <w:tc>
          <w:tcPr>
            <w:tcW w:w="412" w:type="pct"/>
            <w:noWrap/>
            <w:hideMark/>
          </w:tcPr>
          <w:p w14:paraId="4EB6F74C" w14:textId="77777777" w:rsidR="008B3A4C" w:rsidRPr="000973F2" w:rsidRDefault="008B3A4C" w:rsidP="000F404A">
            <w:pPr>
              <w:tabs>
                <w:tab w:val="decimal" w:pos="301"/>
              </w:tabs>
              <w:spacing w:before="40" w:after="4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0</w:t>
            </w:r>
          </w:p>
        </w:tc>
        <w:tc>
          <w:tcPr>
            <w:tcW w:w="412" w:type="pct"/>
            <w:noWrap/>
            <w:hideMark/>
          </w:tcPr>
          <w:p w14:paraId="5C3A0376" w14:textId="77777777" w:rsidR="008B3A4C" w:rsidRPr="000973F2" w:rsidRDefault="008B3A4C" w:rsidP="000F404A">
            <w:pPr>
              <w:tabs>
                <w:tab w:val="decimal" w:pos="301"/>
              </w:tabs>
              <w:spacing w:before="40" w:after="4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132.3</w:t>
            </w:r>
          </w:p>
        </w:tc>
        <w:tc>
          <w:tcPr>
            <w:tcW w:w="412" w:type="pct"/>
            <w:noWrap/>
            <w:hideMark/>
          </w:tcPr>
          <w:p w14:paraId="38A3B270" w14:textId="77777777" w:rsidR="008B3A4C" w:rsidRPr="000973F2" w:rsidRDefault="008B3A4C" w:rsidP="000F404A">
            <w:pPr>
              <w:tabs>
                <w:tab w:val="decimal" w:pos="301"/>
              </w:tabs>
              <w:spacing w:before="40" w:after="4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0</w:t>
            </w:r>
          </w:p>
        </w:tc>
        <w:tc>
          <w:tcPr>
            <w:tcW w:w="412" w:type="pct"/>
            <w:noWrap/>
            <w:hideMark/>
          </w:tcPr>
          <w:p w14:paraId="7B015417" w14:textId="77777777" w:rsidR="008B3A4C" w:rsidRPr="000973F2" w:rsidRDefault="008B3A4C" w:rsidP="000F404A">
            <w:pPr>
              <w:tabs>
                <w:tab w:val="decimal" w:pos="301"/>
              </w:tabs>
              <w:spacing w:before="40" w:after="4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0.0</w:t>
            </w:r>
          </w:p>
        </w:tc>
        <w:tc>
          <w:tcPr>
            <w:tcW w:w="395" w:type="pct"/>
            <w:gridSpan w:val="2"/>
            <w:noWrap/>
            <w:hideMark/>
          </w:tcPr>
          <w:p w14:paraId="7D03FBA6" w14:textId="14DBB2B8" w:rsidR="008B3A4C" w:rsidRPr="000973F2" w:rsidRDefault="008B3A4C" w:rsidP="000F404A">
            <w:pPr>
              <w:tabs>
                <w:tab w:val="decimal" w:pos="361"/>
              </w:tabs>
              <w:spacing w:before="40" w:after="4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$0</w:t>
            </w:r>
          </w:p>
        </w:tc>
        <w:tc>
          <w:tcPr>
            <w:tcW w:w="523" w:type="pct"/>
            <w:noWrap/>
            <w:hideMark/>
          </w:tcPr>
          <w:p w14:paraId="1CDA14E8" w14:textId="77777777" w:rsidR="008B3A4C" w:rsidRPr="000973F2" w:rsidRDefault="008B3A4C" w:rsidP="000F404A">
            <w:pPr>
              <w:tabs>
                <w:tab w:val="decimal" w:pos="706"/>
              </w:tabs>
              <w:spacing w:before="40" w:after="4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 xml:space="preserve">$25,888 </w:t>
            </w:r>
          </w:p>
        </w:tc>
      </w:tr>
      <w:tr w:rsidR="000F404A" w:rsidRPr="000973F2" w14:paraId="26785711" w14:textId="77777777" w:rsidTr="00383FFF">
        <w:trPr>
          <w:cantSplit/>
          <w:trHeight w:val="297"/>
        </w:trPr>
        <w:tc>
          <w:tcPr>
            <w:cnfStyle w:val="001000000000" w:firstRow="0" w:lastRow="0" w:firstColumn="1" w:lastColumn="0" w:oddVBand="0" w:evenVBand="0" w:oddHBand="0" w:evenHBand="0" w:firstRowFirstColumn="0" w:firstRowLastColumn="0" w:lastRowFirstColumn="0" w:lastRowLastColumn="0"/>
            <w:tcW w:w="786" w:type="pct"/>
            <w:hideMark/>
          </w:tcPr>
          <w:p w14:paraId="1A4C5BF2" w14:textId="77777777" w:rsidR="008B3A4C" w:rsidRPr="000973F2" w:rsidRDefault="008B3A4C" w:rsidP="000F404A">
            <w:pPr>
              <w:spacing w:before="40" w:after="4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Recordkeeping</w:t>
            </w:r>
          </w:p>
        </w:tc>
        <w:tc>
          <w:tcPr>
            <w:tcW w:w="411" w:type="pct"/>
            <w:noWrap/>
            <w:hideMark/>
          </w:tcPr>
          <w:p w14:paraId="7E7011C7" w14:textId="77777777" w:rsidR="008B3A4C" w:rsidRPr="000973F2" w:rsidRDefault="008B3A4C" w:rsidP="000F404A">
            <w:pPr>
              <w:tabs>
                <w:tab w:val="decimal" w:pos="301"/>
              </w:tabs>
              <w:spacing w:before="40" w:after="4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0</w:t>
            </w:r>
          </w:p>
        </w:tc>
        <w:tc>
          <w:tcPr>
            <w:tcW w:w="412" w:type="pct"/>
            <w:noWrap/>
            <w:hideMark/>
          </w:tcPr>
          <w:p w14:paraId="2C66E858" w14:textId="77777777" w:rsidR="008B3A4C" w:rsidRPr="000973F2" w:rsidRDefault="008B3A4C" w:rsidP="000F404A">
            <w:pPr>
              <w:tabs>
                <w:tab w:val="decimal" w:pos="301"/>
              </w:tabs>
              <w:spacing w:before="40" w:after="4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0</w:t>
            </w:r>
          </w:p>
        </w:tc>
        <w:tc>
          <w:tcPr>
            <w:tcW w:w="412" w:type="pct"/>
            <w:noWrap/>
            <w:hideMark/>
          </w:tcPr>
          <w:p w14:paraId="02EC44ED" w14:textId="77777777" w:rsidR="008B3A4C" w:rsidRPr="000973F2" w:rsidRDefault="008B3A4C" w:rsidP="000F404A">
            <w:pPr>
              <w:tabs>
                <w:tab w:val="decimal" w:pos="301"/>
              </w:tabs>
              <w:spacing w:before="40" w:after="4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0</w:t>
            </w:r>
          </w:p>
        </w:tc>
        <w:tc>
          <w:tcPr>
            <w:tcW w:w="412" w:type="pct"/>
            <w:noWrap/>
            <w:hideMark/>
          </w:tcPr>
          <w:p w14:paraId="3D1CDA1E" w14:textId="77777777" w:rsidR="008B3A4C" w:rsidRPr="000973F2" w:rsidRDefault="008B3A4C" w:rsidP="000F404A">
            <w:pPr>
              <w:tabs>
                <w:tab w:val="decimal" w:pos="301"/>
              </w:tabs>
              <w:spacing w:before="40" w:after="4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1.0</w:t>
            </w:r>
          </w:p>
        </w:tc>
        <w:tc>
          <w:tcPr>
            <w:tcW w:w="412" w:type="pct"/>
            <w:noWrap/>
            <w:hideMark/>
          </w:tcPr>
          <w:p w14:paraId="16E87636" w14:textId="77777777" w:rsidR="008B3A4C" w:rsidRPr="000973F2" w:rsidRDefault="008B3A4C" w:rsidP="000F404A">
            <w:pPr>
              <w:tabs>
                <w:tab w:val="decimal" w:pos="301"/>
              </w:tabs>
              <w:spacing w:before="40" w:after="4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0</w:t>
            </w:r>
          </w:p>
        </w:tc>
        <w:tc>
          <w:tcPr>
            <w:tcW w:w="412" w:type="pct"/>
            <w:noWrap/>
            <w:hideMark/>
          </w:tcPr>
          <w:p w14:paraId="6F0BC0C5" w14:textId="77777777" w:rsidR="008B3A4C" w:rsidRPr="000973F2" w:rsidRDefault="008B3A4C" w:rsidP="000F404A">
            <w:pPr>
              <w:tabs>
                <w:tab w:val="decimal" w:pos="301"/>
              </w:tabs>
              <w:spacing w:before="40" w:after="4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13</w:t>
            </w:r>
          </w:p>
        </w:tc>
        <w:tc>
          <w:tcPr>
            <w:tcW w:w="412" w:type="pct"/>
            <w:noWrap/>
            <w:hideMark/>
          </w:tcPr>
          <w:p w14:paraId="30EF2686" w14:textId="77777777" w:rsidR="008B3A4C" w:rsidRPr="000973F2" w:rsidRDefault="008B3A4C" w:rsidP="000F404A">
            <w:pPr>
              <w:tabs>
                <w:tab w:val="decimal" w:pos="301"/>
              </w:tabs>
              <w:spacing w:before="40" w:after="4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0</w:t>
            </w:r>
          </w:p>
        </w:tc>
        <w:tc>
          <w:tcPr>
            <w:tcW w:w="412" w:type="pct"/>
            <w:noWrap/>
            <w:hideMark/>
          </w:tcPr>
          <w:p w14:paraId="61A5BE51" w14:textId="77777777" w:rsidR="008B3A4C" w:rsidRPr="000973F2" w:rsidRDefault="008B3A4C" w:rsidP="000F404A">
            <w:pPr>
              <w:tabs>
                <w:tab w:val="decimal" w:pos="301"/>
              </w:tabs>
              <w:spacing w:before="40" w:after="4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1.0</w:t>
            </w:r>
          </w:p>
        </w:tc>
        <w:tc>
          <w:tcPr>
            <w:tcW w:w="395" w:type="pct"/>
            <w:gridSpan w:val="2"/>
            <w:noWrap/>
            <w:hideMark/>
          </w:tcPr>
          <w:p w14:paraId="2E8308E3" w14:textId="4B63FCAF" w:rsidR="008B3A4C" w:rsidRPr="000973F2" w:rsidRDefault="008B3A4C" w:rsidP="000F404A">
            <w:pPr>
              <w:tabs>
                <w:tab w:val="decimal" w:pos="361"/>
              </w:tabs>
              <w:spacing w:before="40" w:after="4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$0</w:t>
            </w:r>
          </w:p>
        </w:tc>
        <w:tc>
          <w:tcPr>
            <w:tcW w:w="523" w:type="pct"/>
            <w:noWrap/>
            <w:hideMark/>
          </w:tcPr>
          <w:p w14:paraId="73F8AFAC" w14:textId="77777777" w:rsidR="008B3A4C" w:rsidRPr="000973F2" w:rsidRDefault="008B3A4C" w:rsidP="000F404A">
            <w:pPr>
              <w:tabs>
                <w:tab w:val="decimal" w:pos="706"/>
              </w:tabs>
              <w:spacing w:before="40" w:after="4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 xml:space="preserve">$1,576 </w:t>
            </w:r>
          </w:p>
        </w:tc>
      </w:tr>
      <w:tr w:rsidR="000F404A" w:rsidRPr="000973F2" w14:paraId="2F717DA5" w14:textId="77777777" w:rsidTr="00383FFF">
        <w:trPr>
          <w:cnfStyle w:val="000000100000" w:firstRow="0" w:lastRow="0" w:firstColumn="0" w:lastColumn="0" w:oddVBand="0" w:evenVBand="0" w:oddHBand="1" w:evenHBand="0" w:firstRowFirstColumn="0" w:firstRowLastColumn="0" w:lastRowFirstColumn="0" w:lastRowLastColumn="0"/>
          <w:cantSplit/>
          <w:trHeight w:val="719"/>
        </w:trPr>
        <w:tc>
          <w:tcPr>
            <w:cnfStyle w:val="001000000000" w:firstRow="0" w:lastRow="0" w:firstColumn="1" w:lastColumn="0" w:oddVBand="0" w:evenVBand="0" w:oddHBand="0" w:evenHBand="0" w:firstRowFirstColumn="0" w:firstRowLastColumn="0" w:lastRowFirstColumn="0" w:lastRowLastColumn="0"/>
            <w:tcW w:w="786" w:type="pct"/>
            <w:hideMark/>
          </w:tcPr>
          <w:p w14:paraId="71B0EB22" w14:textId="77777777" w:rsidR="008B3A4C" w:rsidRPr="000973F2" w:rsidRDefault="008B3A4C" w:rsidP="000F404A">
            <w:pPr>
              <w:spacing w:before="40" w:after="4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Sampling and Analysis (Calculations)</w:t>
            </w:r>
          </w:p>
        </w:tc>
        <w:tc>
          <w:tcPr>
            <w:tcW w:w="411" w:type="pct"/>
            <w:noWrap/>
            <w:hideMark/>
          </w:tcPr>
          <w:p w14:paraId="2B396DE4" w14:textId="77777777" w:rsidR="008B3A4C" w:rsidRPr="000973F2" w:rsidRDefault="008B3A4C" w:rsidP="000F404A">
            <w:pPr>
              <w:tabs>
                <w:tab w:val="decimal" w:pos="301"/>
              </w:tabs>
              <w:spacing w:before="40" w:after="4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0</w:t>
            </w:r>
          </w:p>
        </w:tc>
        <w:tc>
          <w:tcPr>
            <w:tcW w:w="412" w:type="pct"/>
            <w:noWrap/>
            <w:hideMark/>
          </w:tcPr>
          <w:p w14:paraId="55398517" w14:textId="77777777" w:rsidR="008B3A4C" w:rsidRPr="000973F2" w:rsidRDefault="008B3A4C" w:rsidP="000F404A">
            <w:pPr>
              <w:tabs>
                <w:tab w:val="decimal" w:pos="301"/>
              </w:tabs>
              <w:spacing w:before="40" w:after="4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0</w:t>
            </w:r>
          </w:p>
        </w:tc>
        <w:tc>
          <w:tcPr>
            <w:tcW w:w="412" w:type="pct"/>
            <w:noWrap/>
            <w:hideMark/>
          </w:tcPr>
          <w:p w14:paraId="1AB3A537" w14:textId="77777777" w:rsidR="008B3A4C" w:rsidRPr="000973F2" w:rsidRDefault="008B3A4C" w:rsidP="000F404A">
            <w:pPr>
              <w:tabs>
                <w:tab w:val="decimal" w:pos="301"/>
              </w:tabs>
              <w:spacing w:before="40" w:after="4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0</w:t>
            </w:r>
          </w:p>
        </w:tc>
        <w:tc>
          <w:tcPr>
            <w:tcW w:w="412" w:type="pct"/>
            <w:noWrap/>
            <w:hideMark/>
          </w:tcPr>
          <w:p w14:paraId="78D5EAFF" w14:textId="77777777" w:rsidR="008B3A4C" w:rsidRPr="000973F2" w:rsidRDefault="008B3A4C" w:rsidP="000F404A">
            <w:pPr>
              <w:tabs>
                <w:tab w:val="decimal" w:pos="301"/>
              </w:tabs>
              <w:spacing w:before="40" w:after="4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67.3</w:t>
            </w:r>
          </w:p>
        </w:tc>
        <w:tc>
          <w:tcPr>
            <w:tcW w:w="412" w:type="pct"/>
            <w:noWrap/>
            <w:hideMark/>
          </w:tcPr>
          <w:p w14:paraId="41A5256F" w14:textId="77777777" w:rsidR="008B3A4C" w:rsidRPr="000973F2" w:rsidRDefault="008B3A4C" w:rsidP="000F404A">
            <w:pPr>
              <w:tabs>
                <w:tab w:val="decimal" w:pos="301"/>
              </w:tabs>
              <w:spacing w:before="40" w:after="4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0</w:t>
            </w:r>
          </w:p>
        </w:tc>
        <w:tc>
          <w:tcPr>
            <w:tcW w:w="412" w:type="pct"/>
            <w:noWrap/>
            <w:hideMark/>
          </w:tcPr>
          <w:p w14:paraId="7799E345" w14:textId="77777777" w:rsidR="008B3A4C" w:rsidRPr="000973F2" w:rsidRDefault="008B3A4C" w:rsidP="000F404A">
            <w:pPr>
              <w:tabs>
                <w:tab w:val="decimal" w:pos="301"/>
              </w:tabs>
              <w:spacing w:before="40" w:after="4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342.5</w:t>
            </w:r>
          </w:p>
        </w:tc>
        <w:tc>
          <w:tcPr>
            <w:tcW w:w="412" w:type="pct"/>
            <w:noWrap/>
            <w:hideMark/>
          </w:tcPr>
          <w:p w14:paraId="65B0C700" w14:textId="77777777" w:rsidR="008B3A4C" w:rsidRPr="000973F2" w:rsidRDefault="008B3A4C" w:rsidP="000F404A">
            <w:pPr>
              <w:tabs>
                <w:tab w:val="decimal" w:pos="301"/>
              </w:tabs>
              <w:spacing w:before="40" w:after="4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0</w:t>
            </w:r>
          </w:p>
        </w:tc>
        <w:tc>
          <w:tcPr>
            <w:tcW w:w="412" w:type="pct"/>
            <w:noWrap/>
            <w:hideMark/>
          </w:tcPr>
          <w:p w14:paraId="49CF2B6F" w14:textId="77777777" w:rsidR="008B3A4C" w:rsidRPr="000973F2" w:rsidRDefault="008B3A4C" w:rsidP="000F404A">
            <w:pPr>
              <w:tabs>
                <w:tab w:val="decimal" w:pos="301"/>
              </w:tabs>
              <w:spacing w:before="40" w:after="4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0.0</w:t>
            </w:r>
          </w:p>
        </w:tc>
        <w:tc>
          <w:tcPr>
            <w:tcW w:w="395" w:type="pct"/>
            <w:gridSpan w:val="2"/>
            <w:noWrap/>
            <w:hideMark/>
          </w:tcPr>
          <w:p w14:paraId="2BC21266" w14:textId="55E1961F" w:rsidR="008B3A4C" w:rsidRPr="000973F2" w:rsidRDefault="008B3A4C" w:rsidP="000F404A">
            <w:pPr>
              <w:tabs>
                <w:tab w:val="decimal" w:pos="361"/>
              </w:tabs>
              <w:spacing w:before="40" w:after="4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$0</w:t>
            </w:r>
          </w:p>
        </w:tc>
        <w:tc>
          <w:tcPr>
            <w:tcW w:w="523" w:type="pct"/>
            <w:noWrap/>
            <w:hideMark/>
          </w:tcPr>
          <w:p w14:paraId="4F489B0F" w14:textId="77777777" w:rsidR="008B3A4C" w:rsidRPr="000973F2" w:rsidRDefault="008B3A4C" w:rsidP="000F404A">
            <w:pPr>
              <w:tabs>
                <w:tab w:val="decimal" w:pos="706"/>
              </w:tabs>
              <w:spacing w:before="40" w:after="4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 xml:space="preserve">$45,726 </w:t>
            </w:r>
          </w:p>
        </w:tc>
      </w:tr>
      <w:tr w:rsidR="000F404A" w:rsidRPr="000973F2" w14:paraId="6FA60839" w14:textId="77777777" w:rsidTr="00383FFF">
        <w:trPr>
          <w:cantSplit/>
          <w:trHeight w:val="297"/>
        </w:trPr>
        <w:tc>
          <w:tcPr>
            <w:cnfStyle w:val="001000000000" w:firstRow="0" w:lastRow="0" w:firstColumn="1" w:lastColumn="0" w:oddVBand="0" w:evenVBand="0" w:oddHBand="0" w:evenHBand="0" w:firstRowFirstColumn="0" w:firstRowLastColumn="0" w:lastRowFirstColumn="0" w:lastRowLastColumn="0"/>
            <w:tcW w:w="786" w:type="pct"/>
            <w:hideMark/>
          </w:tcPr>
          <w:p w14:paraId="2FEDEBB3" w14:textId="77777777" w:rsidR="008B3A4C" w:rsidRPr="000973F2" w:rsidRDefault="008B3A4C" w:rsidP="000F404A">
            <w:pPr>
              <w:spacing w:before="40" w:after="4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Reporting</w:t>
            </w:r>
          </w:p>
        </w:tc>
        <w:tc>
          <w:tcPr>
            <w:tcW w:w="411" w:type="pct"/>
            <w:noWrap/>
            <w:hideMark/>
          </w:tcPr>
          <w:p w14:paraId="5577F3D0" w14:textId="77777777" w:rsidR="008B3A4C" w:rsidRPr="000973F2" w:rsidRDefault="008B3A4C" w:rsidP="000F404A">
            <w:pPr>
              <w:tabs>
                <w:tab w:val="decimal" w:pos="301"/>
              </w:tabs>
              <w:spacing w:before="40" w:after="4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0</w:t>
            </w:r>
          </w:p>
        </w:tc>
        <w:tc>
          <w:tcPr>
            <w:tcW w:w="412" w:type="pct"/>
            <w:noWrap/>
            <w:hideMark/>
          </w:tcPr>
          <w:p w14:paraId="75D15ED5" w14:textId="77777777" w:rsidR="008B3A4C" w:rsidRPr="000973F2" w:rsidRDefault="008B3A4C" w:rsidP="000F404A">
            <w:pPr>
              <w:tabs>
                <w:tab w:val="decimal" w:pos="301"/>
              </w:tabs>
              <w:spacing w:before="40" w:after="4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0</w:t>
            </w:r>
          </w:p>
        </w:tc>
        <w:tc>
          <w:tcPr>
            <w:tcW w:w="412" w:type="pct"/>
            <w:noWrap/>
            <w:hideMark/>
          </w:tcPr>
          <w:p w14:paraId="7C2FFD46" w14:textId="77777777" w:rsidR="008B3A4C" w:rsidRPr="000973F2" w:rsidRDefault="008B3A4C" w:rsidP="000F404A">
            <w:pPr>
              <w:tabs>
                <w:tab w:val="decimal" w:pos="301"/>
              </w:tabs>
              <w:spacing w:before="40" w:after="4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0</w:t>
            </w:r>
          </w:p>
        </w:tc>
        <w:tc>
          <w:tcPr>
            <w:tcW w:w="412" w:type="pct"/>
            <w:noWrap/>
            <w:hideMark/>
          </w:tcPr>
          <w:p w14:paraId="581455D9" w14:textId="77777777" w:rsidR="008B3A4C" w:rsidRPr="000973F2" w:rsidRDefault="008B3A4C" w:rsidP="000F404A">
            <w:pPr>
              <w:tabs>
                <w:tab w:val="decimal" w:pos="301"/>
              </w:tabs>
              <w:spacing w:before="40" w:after="4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2.0</w:t>
            </w:r>
          </w:p>
        </w:tc>
        <w:tc>
          <w:tcPr>
            <w:tcW w:w="412" w:type="pct"/>
            <w:noWrap/>
            <w:hideMark/>
          </w:tcPr>
          <w:p w14:paraId="1F2E4392" w14:textId="77777777" w:rsidR="008B3A4C" w:rsidRPr="000973F2" w:rsidRDefault="008B3A4C" w:rsidP="000F404A">
            <w:pPr>
              <w:tabs>
                <w:tab w:val="decimal" w:pos="301"/>
              </w:tabs>
              <w:spacing w:before="40" w:after="4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0</w:t>
            </w:r>
          </w:p>
        </w:tc>
        <w:tc>
          <w:tcPr>
            <w:tcW w:w="412" w:type="pct"/>
            <w:noWrap/>
            <w:hideMark/>
          </w:tcPr>
          <w:p w14:paraId="4CE2F46E" w14:textId="77777777" w:rsidR="008B3A4C" w:rsidRPr="000973F2" w:rsidRDefault="008B3A4C" w:rsidP="000F404A">
            <w:pPr>
              <w:tabs>
                <w:tab w:val="decimal" w:pos="301"/>
              </w:tabs>
              <w:spacing w:before="40" w:after="4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26</w:t>
            </w:r>
          </w:p>
        </w:tc>
        <w:tc>
          <w:tcPr>
            <w:tcW w:w="412" w:type="pct"/>
            <w:noWrap/>
            <w:hideMark/>
          </w:tcPr>
          <w:p w14:paraId="39C8093C" w14:textId="77777777" w:rsidR="008B3A4C" w:rsidRPr="000973F2" w:rsidRDefault="008B3A4C" w:rsidP="000F404A">
            <w:pPr>
              <w:tabs>
                <w:tab w:val="decimal" w:pos="301"/>
              </w:tabs>
              <w:spacing w:before="40" w:after="4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0</w:t>
            </w:r>
          </w:p>
        </w:tc>
        <w:tc>
          <w:tcPr>
            <w:tcW w:w="412" w:type="pct"/>
            <w:noWrap/>
            <w:hideMark/>
          </w:tcPr>
          <w:p w14:paraId="4A172481" w14:textId="77777777" w:rsidR="008B3A4C" w:rsidRPr="000973F2" w:rsidRDefault="008B3A4C" w:rsidP="000F404A">
            <w:pPr>
              <w:tabs>
                <w:tab w:val="decimal" w:pos="301"/>
              </w:tabs>
              <w:spacing w:before="40" w:after="4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2.0</w:t>
            </w:r>
          </w:p>
        </w:tc>
        <w:tc>
          <w:tcPr>
            <w:tcW w:w="395" w:type="pct"/>
            <w:gridSpan w:val="2"/>
            <w:noWrap/>
            <w:hideMark/>
          </w:tcPr>
          <w:p w14:paraId="74E03D4E" w14:textId="4A490737" w:rsidR="008B3A4C" w:rsidRPr="000973F2" w:rsidRDefault="008B3A4C" w:rsidP="000F404A">
            <w:pPr>
              <w:tabs>
                <w:tab w:val="decimal" w:pos="361"/>
              </w:tabs>
              <w:spacing w:before="40" w:after="4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$0</w:t>
            </w:r>
          </w:p>
        </w:tc>
        <w:tc>
          <w:tcPr>
            <w:tcW w:w="523" w:type="pct"/>
            <w:noWrap/>
            <w:hideMark/>
          </w:tcPr>
          <w:p w14:paraId="599CCE5F" w14:textId="77777777" w:rsidR="008B3A4C" w:rsidRPr="000973F2" w:rsidRDefault="008B3A4C" w:rsidP="000F404A">
            <w:pPr>
              <w:tabs>
                <w:tab w:val="decimal" w:pos="706"/>
              </w:tabs>
              <w:spacing w:before="40" w:after="4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 xml:space="preserve">$3,152 </w:t>
            </w:r>
          </w:p>
        </w:tc>
      </w:tr>
      <w:tr w:rsidR="000F404A" w:rsidRPr="000973F2" w14:paraId="404AC795" w14:textId="77777777" w:rsidTr="00383FFF">
        <w:trPr>
          <w:cnfStyle w:val="000000100000" w:firstRow="0" w:lastRow="0" w:firstColumn="0" w:lastColumn="0" w:oddVBand="0" w:evenVBand="0" w:oddHBand="1" w:evenHBand="0" w:firstRowFirstColumn="0" w:firstRowLastColumn="0" w:lastRowFirstColumn="0" w:lastRowLastColumn="0"/>
          <w:cantSplit/>
          <w:trHeight w:val="297"/>
        </w:trPr>
        <w:tc>
          <w:tcPr>
            <w:cnfStyle w:val="001000000000" w:firstRow="0" w:lastRow="0" w:firstColumn="1" w:lastColumn="0" w:oddVBand="0" w:evenVBand="0" w:oddHBand="0" w:evenHBand="0" w:firstRowFirstColumn="0" w:firstRowLastColumn="0" w:lastRowFirstColumn="0" w:lastRowLastColumn="0"/>
            <w:tcW w:w="786" w:type="pct"/>
            <w:noWrap/>
            <w:hideMark/>
          </w:tcPr>
          <w:p w14:paraId="4F965A42" w14:textId="77777777" w:rsidR="008B3A4C" w:rsidRPr="000973F2" w:rsidRDefault="008B3A4C" w:rsidP="000F404A">
            <w:pPr>
              <w:spacing w:before="40" w:after="40"/>
              <w:rPr>
                <w:rFonts w:ascii="Times New Roman" w:eastAsia="Times New Roman" w:hAnsi="Times New Roman" w:cs="Times New Roman"/>
                <w:b/>
                <w:bCs w:val="0"/>
                <w:sz w:val="18"/>
                <w:szCs w:val="18"/>
              </w:rPr>
            </w:pPr>
            <w:r w:rsidRPr="000973F2">
              <w:rPr>
                <w:rFonts w:ascii="Times New Roman" w:eastAsia="Times New Roman" w:hAnsi="Times New Roman" w:cs="Times New Roman"/>
                <w:b/>
                <w:sz w:val="18"/>
                <w:szCs w:val="18"/>
              </w:rPr>
              <w:t>Total</w:t>
            </w:r>
          </w:p>
        </w:tc>
        <w:tc>
          <w:tcPr>
            <w:tcW w:w="411" w:type="pct"/>
            <w:noWrap/>
            <w:hideMark/>
          </w:tcPr>
          <w:p w14:paraId="56117103" w14:textId="77777777" w:rsidR="008B3A4C" w:rsidRPr="000973F2" w:rsidRDefault="008B3A4C" w:rsidP="000F404A">
            <w:pPr>
              <w:tabs>
                <w:tab w:val="decimal" w:pos="301"/>
              </w:tabs>
              <w:spacing w:before="40" w:after="4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18"/>
                <w:szCs w:val="18"/>
              </w:rPr>
            </w:pPr>
            <w:r w:rsidRPr="000973F2">
              <w:rPr>
                <w:rFonts w:ascii="Times New Roman" w:eastAsia="Times New Roman" w:hAnsi="Times New Roman" w:cs="Times New Roman"/>
                <w:b/>
                <w:bCs/>
                <w:sz w:val="18"/>
                <w:szCs w:val="18"/>
              </w:rPr>
              <w:t>0</w:t>
            </w:r>
          </w:p>
        </w:tc>
        <w:tc>
          <w:tcPr>
            <w:tcW w:w="412" w:type="pct"/>
            <w:noWrap/>
            <w:hideMark/>
          </w:tcPr>
          <w:p w14:paraId="76297487" w14:textId="77777777" w:rsidR="008B3A4C" w:rsidRPr="000973F2" w:rsidRDefault="008B3A4C" w:rsidP="000F404A">
            <w:pPr>
              <w:tabs>
                <w:tab w:val="decimal" w:pos="301"/>
              </w:tabs>
              <w:spacing w:before="40" w:after="4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18"/>
                <w:szCs w:val="18"/>
              </w:rPr>
            </w:pPr>
            <w:r w:rsidRPr="000973F2">
              <w:rPr>
                <w:rFonts w:ascii="Times New Roman" w:eastAsia="Times New Roman" w:hAnsi="Times New Roman" w:cs="Times New Roman"/>
                <w:b/>
                <w:bCs/>
                <w:sz w:val="18"/>
                <w:szCs w:val="18"/>
              </w:rPr>
              <w:t>50</w:t>
            </w:r>
          </w:p>
        </w:tc>
        <w:tc>
          <w:tcPr>
            <w:tcW w:w="412" w:type="pct"/>
            <w:noWrap/>
            <w:hideMark/>
          </w:tcPr>
          <w:p w14:paraId="2F684339" w14:textId="77777777" w:rsidR="008B3A4C" w:rsidRPr="000973F2" w:rsidRDefault="008B3A4C" w:rsidP="000F404A">
            <w:pPr>
              <w:tabs>
                <w:tab w:val="decimal" w:pos="301"/>
              </w:tabs>
              <w:spacing w:before="40" w:after="4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18"/>
                <w:szCs w:val="18"/>
              </w:rPr>
            </w:pPr>
            <w:r w:rsidRPr="000973F2">
              <w:rPr>
                <w:rFonts w:ascii="Times New Roman" w:eastAsia="Times New Roman" w:hAnsi="Times New Roman" w:cs="Times New Roman"/>
                <w:b/>
                <w:bCs/>
                <w:sz w:val="18"/>
                <w:szCs w:val="18"/>
              </w:rPr>
              <w:t>0</w:t>
            </w:r>
          </w:p>
        </w:tc>
        <w:tc>
          <w:tcPr>
            <w:tcW w:w="412" w:type="pct"/>
            <w:noWrap/>
            <w:hideMark/>
          </w:tcPr>
          <w:p w14:paraId="4DE7B600" w14:textId="77777777" w:rsidR="008B3A4C" w:rsidRPr="000973F2" w:rsidRDefault="008B3A4C" w:rsidP="000F404A">
            <w:pPr>
              <w:tabs>
                <w:tab w:val="decimal" w:pos="301"/>
              </w:tabs>
              <w:spacing w:before="40" w:after="4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18"/>
                <w:szCs w:val="18"/>
              </w:rPr>
            </w:pPr>
            <w:r w:rsidRPr="000973F2">
              <w:rPr>
                <w:rFonts w:ascii="Times New Roman" w:eastAsia="Times New Roman" w:hAnsi="Times New Roman" w:cs="Times New Roman"/>
                <w:b/>
                <w:bCs/>
                <w:sz w:val="18"/>
                <w:szCs w:val="18"/>
              </w:rPr>
              <w:t>202.0</w:t>
            </w:r>
          </w:p>
        </w:tc>
        <w:tc>
          <w:tcPr>
            <w:tcW w:w="412" w:type="pct"/>
            <w:noWrap/>
            <w:hideMark/>
          </w:tcPr>
          <w:p w14:paraId="4D3E051A" w14:textId="77777777" w:rsidR="008B3A4C" w:rsidRPr="000973F2" w:rsidRDefault="008B3A4C" w:rsidP="000F404A">
            <w:pPr>
              <w:tabs>
                <w:tab w:val="decimal" w:pos="301"/>
              </w:tabs>
              <w:spacing w:before="40" w:after="4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18"/>
                <w:szCs w:val="18"/>
              </w:rPr>
            </w:pPr>
            <w:r w:rsidRPr="000973F2">
              <w:rPr>
                <w:rFonts w:ascii="Times New Roman" w:eastAsia="Times New Roman" w:hAnsi="Times New Roman" w:cs="Times New Roman"/>
                <w:b/>
                <w:bCs/>
                <w:sz w:val="18"/>
                <w:szCs w:val="18"/>
              </w:rPr>
              <w:t>0</w:t>
            </w:r>
          </w:p>
        </w:tc>
        <w:tc>
          <w:tcPr>
            <w:tcW w:w="412" w:type="pct"/>
            <w:noWrap/>
            <w:hideMark/>
          </w:tcPr>
          <w:p w14:paraId="5F568DE3" w14:textId="77777777" w:rsidR="008B3A4C" w:rsidRPr="000973F2" w:rsidRDefault="008B3A4C" w:rsidP="000F404A">
            <w:pPr>
              <w:tabs>
                <w:tab w:val="decimal" w:pos="301"/>
              </w:tabs>
              <w:spacing w:before="40" w:after="4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18"/>
                <w:szCs w:val="18"/>
              </w:rPr>
            </w:pPr>
            <w:r w:rsidRPr="000973F2">
              <w:rPr>
                <w:rFonts w:ascii="Times New Roman" w:eastAsia="Times New Roman" w:hAnsi="Times New Roman" w:cs="Times New Roman"/>
                <w:b/>
                <w:bCs/>
                <w:sz w:val="18"/>
                <w:szCs w:val="18"/>
              </w:rPr>
              <w:t>685.1</w:t>
            </w:r>
          </w:p>
        </w:tc>
        <w:tc>
          <w:tcPr>
            <w:tcW w:w="412" w:type="pct"/>
            <w:noWrap/>
            <w:hideMark/>
          </w:tcPr>
          <w:p w14:paraId="168E1655" w14:textId="77777777" w:rsidR="008B3A4C" w:rsidRPr="000973F2" w:rsidRDefault="008B3A4C" w:rsidP="000F404A">
            <w:pPr>
              <w:tabs>
                <w:tab w:val="decimal" w:pos="301"/>
              </w:tabs>
              <w:spacing w:before="40" w:after="4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18"/>
                <w:szCs w:val="18"/>
              </w:rPr>
            </w:pPr>
            <w:r w:rsidRPr="000973F2">
              <w:rPr>
                <w:rFonts w:ascii="Times New Roman" w:eastAsia="Times New Roman" w:hAnsi="Times New Roman" w:cs="Times New Roman"/>
                <w:b/>
                <w:bCs/>
                <w:sz w:val="18"/>
                <w:szCs w:val="18"/>
              </w:rPr>
              <w:t>0</w:t>
            </w:r>
          </w:p>
        </w:tc>
        <w:tc>
          <w:tcPr>
            <w:tcW w:w="412" w:type="pct"/>
            <w:noWrap/>
            <w:hideMark/>
          </w:tcPr>
          <w:p w14:paraId="63FB7EB0" w14:textId="77777777" w:rsidR="008B3A4C" w:rsidRPr="000973F2" w:rsidRDefault="008B3A4C" w:rsidP="000F404A">
            <w:pPr>
              <w:tabs>
                <w:tab w:val="decimal" w:pos="301"/>
              </w:tabs>
              <w:spacing w:before="40" w:after="4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18"/>
                <w:szCs w:val="18"/>
              </w:rPr>
            </w:pPr>
            <w:r w:rsidRPr="000973F2">
              <w:rPr>
                <w:rFonts w:ascii="Times New Roman" w:eastAsia="Times New Roman" w:hAnsi="Times New Roman" w:cs="Times New Roman"/>
                <w:b/>
                <w:bCs/>
                <w:sz w:val="18"/>
                <w:szCs w:val="18"/>
              </w:rPr>
              <w:t>71.0</w:t>
            </w:r>
          </w:p>
        </w:tc>
        <w:tc>
          <w:tcPr>
            <w:tcW w:w="395" w:type="pct"/>
            <w:gridSpan w:val="2"/>
            <w:noWrap/>
            <w:hideMark/>
          </w:tcPr>
          <w:p w14:paraId="42380E8A" w14:textId="6EA6AEA8" w:rsidR="008B3A4C" w:rsidRPr="000973F2" w:rsidRDefault="008B3A4C" w:rsidP="000F404A">
            <w:pPr>
              <w:tabs>
                <w:tab w:val="decimal" w:pos="361"/>
              </w:tabs>
              <w:spacing w:before="40" w:after="4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18"/>
                <w:szCs w:val="18"/>
              </w:rPr>
            </w:pPr>
            <w:r w:rsidRPr="000973F2">
              <w:rPr>
                <w:rFonts w:ascii="Times New Roman" w:eastAsia="Times New Roman" w:hAnsi="Times New Roman" w:cs="Times New Roman"/>
                <w:b/>
                <w:bCs/>
                <w:sz w:val="18"/>
                <w:szCs w:val="18"/>
              </w:rPr>
              <w:t>$0</w:t>
            </w:r>
          </w:p>
        </w:tc>
        <w:tc>
          <w:tcPr>
            <w:tcW w:w="523" w:type="pct"/>
            <w:noWrap/>
            <w:hideMark/>
          </w:tcPr>
          <w:p w14:paraId="7B928D7C" w14:textId="77777777" w:rsidR="008B3A4C" w:rsidRPr="000973F2" w:rsidRDefault="008B3A4C" w:rsidP="000F404A">
            <w:pPr>
              <w:tabs>
                <w:tab w:val="decimal" w:pos="706"/>
              </w:tabs>
              <w:spacing w:before="40" w:after="4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18"/>
                <w:szCs w:val="18"/>
              </w:rPr>
            </w:pPr>
            <w:r w:rsidRPr="000973F2">
              <w:rPr>
                <w:rFonts w:ascii="Times New Roman" w:eastAsia="Times New Roman" w:hAnsi="Times New Roman" w:cs="Times New Roman"/>
                <w:b/>
                <w:bCs/>
                <w:sz w:val="18"/>
                <w:szCs w:val="18"/>
              </w:rPr>
              <w:t xml:space="preserve">$110,905 </w:t>
            </w:r>
          </w:p>
        </w:tc>
      </w:tr>
    </w:tbl>
    <w:p w14:paraId="0FD76A96" w14:textId="77777777" w:rsidR="008B3A4C" w:rsidRPr="000973F2" w:rsidRDefault="008B3A4C" w:rsidP="000F404A">
      <w:pPr>
        <w:pStyle w:val="AfterTable"/>
      </w:pPr>
    </w:p>
    <w:p w14:paraId="3E8A3496" w14:textId="303AB9A9" w:rsidR="008B3A4C" w:rsidRPr="000973F2" w:rsidRDefault="00BD06B2" w:rsidP="000F404A">
      <w:pPr>
        <w:pStyle w:val="Tabletitle"/>
      </w:pPr>
      <w:r w:rsidRPr="000973F2">
        <w:t xml:space="preserve">Table </w:t>
      </w:r>
      <w:r w:rsidR="000F404A" w:rsidRPr="000973F2">
        <w:t>RR-</w:t>
      </w:r>
      <w:r w:rsidRPr="000973F2">
        <w:t xml:space="preserve">1b. Labor Costs </w:t>
      </w:r>
      <w:r w:rsidR="00B960CC" w:rsidRPr="000973F2">
        <w:t>–</w:t>
      </w:r>
      <w:r w:rsidR="008B3A4C" w:rsidRPr="000973F2">
        <w:t>Subpart RR – Class II/CO</w:t>
      </w:r>
      <w:r w:rsidR="008B3A4C" w:rsidRPr="000973F2">
        <w:rPr>
          <w:vertAlign w:val="subscript"/>
        </w:rPr>
        <w:t>2</w:t>
      </w:r>
      <w:r w:rsidR="008B3A4C" w:rsidRPr="000973F2">
        <w:t>-EOR Project Storage</w:t>
      </w:r>
    </w:p>
    <w:tbl>
      <w:tblPr>
        <w:tblStyle w:val="PlainTable1"/>
        <w:tblW w:w="5000" w:type="pct"/>
        <w:jc w:val="left"/>
        <w:tblLayout w:type="fixed"/>
        <w:tblCellMar>
          <w:left w:w="115" w:type="dxa"/>
          <w:right w:w="115" w:type="dxa"/>
        </w:tblCellMar>
        <w:tblLook w:val="04A0" w:firstRow="1" w:lastRow="0" w:firstColumn="1" w:lastColumn="0" w:noHBand="0" w:noVBand="1"/>
      </w:tblPr>
      <w:tblGrid>
        <w:gridCol w:w="1558"/>
        <w:gridCol w:w="789"/>
        <w:gridCol w:w="789"/>
        <w:gridCol w:w="788"/>
        <w:gridCol w:w="788"/>
        <w:gridCol w:w="788"/>
        <w:gridCol w:w="788"/>
        <w:gridCol w:w="788"/>
        <w:gridCol w:w="788"/>
        <w:gridCol w:w="861"/>
        <w:gridCol w:w="865"/>
      </w:tblGrid>
      <w:tr w:rsidR="008B3A4C" w:rsidRPr="000973F2" w14:paraId="0D2FF084" w14:textId="77777777" w:rsidTr="000F404A">
        <w:trPr>
          <w:cnfStyle w:val="100000000000" w:firstRow="1" w:lastRow="0" w:firstColumn="0" w:lastColumn="0" w:oddVBand="0" w:evenVBand="0" w:oddHBand="0" w:evenHBand="0" w:firstRowFirstColumn="0" w:firstRowLastColumn="0" w:lastRowFirstColumn="0" w:lastRowLastColumn="0"/>
          <w:cantSplit/>
          <w:jc w:val="left"/>
        </w:trPr>
        <w:tc>
          <w:tcPr>
            <w:cnfStyle w:val="001000000000" w:firstRow="0" w:lastRow="0" w:firstColumn="1" w:lastColumn="0" w:oddVBand="0" w:evenVBand="0" w:oddHBand="0" w:evenHBand="0" w:firstRowFirstColumn="0" w:firstRowLastColumn="0" w:lastRowFirstColumn="0" w:lastRowLastColumn="0"/>
            <w:tcW w:w="812" w:type="pct"/>
            <w:vMerge w:val="restart"/>
            <w:noWrap/>
            <w:vAlign w:val="top"/>
            <w:hideMark/>
          </w:tcPr>
          <w:p w14:paraId="23485252" w14:textId="77777777" w:rsidR="008B3A4C" w:rsidRPr="000973F2" w:rsidRDefault="008B3A4C" w:rsidP="00A5681D">
            <w:pPr>
              <w:spacing w:before="40" w:after="40"/>
              <w:rPr>
                <w:rFonts w:ascii="Times New Roman" w:eastAsia="Times New Roman" w:hAnsi="Times New Roman" w:cs="Times New Roman"/>
                <w:b w:val="0"/>
                <w:bCs w:val="0"/>
                <w:sz w:val="18"/>
                <w:szCs w:val="18"/>
              </w:rPr>
            </w:pPr>
            <w:r w:rsidRPr="000973F2">
              <w:rPr>
                <w:rFonts w:ascii="Times New Roman" w:eastAsia="Times New Roman" w:hAnsi="Times New Roman" w:cs="Times New Roman"/>
                <w:sz w:val="18"/>
                <w:szCs w:val="18"/>
              </w:rPr>
              <w:t>Activity</w:t>
            </w:r>
          </w:p>
        </w:tc>
        <w:tc>
          <w:tcPr>
            <w:tcW w:w="3287" w:type="pct"/>
            <w:gridSpan w:val="8"/>
            <w:noWrap/>
            <w:vAlign w:val="top"/>
            <w:hideMark/>
          </w:tcPr>
          <w:p w14:paraId="288AE490" w14:textId="77777777" w:rsidR="008B3A4C" w:rsidRPr="000973F2" w:rsidRDefault="008B3A4C" w:rsidP="00A5681D">
            <w:pPr>
              <w:spacing w:before="40" w:after="40"/>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bCs w:val="0"/>
                <w:sz w:val="18"/>
                <w:szCs w:val="18"/>
              </w:rPr>
            </w:pPr>
            <w:r w:rsidRPr="000973F2">
              <w:rPr>
                <w:rFonts w:ascii="Times New Roman" w:eastAsia="Times New Roman" w:hAnsi="Times New Roman" w:cs="Times New Roman"/>
                <w:sz w:val="18"/>
                <w:szCs w:val="18"/>
              </w:rPr>
              <w:t>Labor Rates (per hour)</w:t>
            </w:r>
          </w:p>
        </w:tc>
        <w:tc>
          <w:tcPr>
            <w:tcW w:w="900" w:type="pct"/>
            <w:gridSpan w:val="2"/>
            <w:vMerge w:val="restart"/>
            <w:vAlign w:val="top"/>
            <w:hideMark/>
          </w:tcPr>
          <w:p w14:paraId="736F3ACE" w14:textId="77777777" w:rsidR="008B3A4C" w:rsidRPr="000973F2" w:rsidRDefault="008B3A4C" w:rsidP="00A5681D">
            <w:pPr>
              <w:spacing w:before="40" w:after="40"/>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bCs w:val="0"/>
                <w:sz w:val="18"/>
                <w:szCs w:val="18"/>
              </w:rPr>
            </w:pPr>
            <w:r w:rsidRPr="000973F2">
              <w:rPr>
                <w:rFonts w:ascii="Times New Roman" w:eastAsia="Times New Roman" w:hAnsi="Times New Roman" w:cs="Times New Roman"/>
                <w:sz w:val="18"/>
                <w:szCs w:val="18"/>
              </w:rPr>
              <w:t xml:space="preserve">Total Labor Cost per Year per Facility (2017$) </w:t>
            </w:r>
          </w:p>
        </w:tc>
      </w:tr>
      <w:tr w:rsidR="008B3A4C" w:rsidRPr="000973F2" w14:paraId="40577D04" w14:textId="77777777" w:rsidTr="000F404A">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812" w:type="pct"/>
            <w:vMerge/>
            <w:hideMark/>
          </w:tcPr>
          <w:p w14:paraId="032ABF37" w14:textId="77777777" w:rsidR="008B3A4C" w:rsidRPr="000973F2" w:rsidRDefault="008B3A4C" w:rsidP="00A5681D">
            <w:pPr>
              <w:spacing w:before="40" w:after="40"/>
              <w:rPr>
                <w:rFonts w:ascii="Times New Roman" w:eastAsia="Times New Roman" w:hAnsi="Times New Roman" w:cs="Times New Roman"/>
                <w:b/>
                <w:bCs w:val="0"/>
                <w:sz w:val="18"/>
                <w:szCs w:val="18"/>
              </w:rPr>
            </w:pPr>
          </w:p>
        </w:tc>
        <w:tc>
          <w:tcPr>
            <w:tcW w:w="822" w:type="pct"/>
            <w:gridSpan w:val="2"/>
            <w:noWrap/>
            <w:hideMark/>
          </w:tcPr>
          <w:p w14:paraId="19F64A7E" w14:textId="77777777" w:rsidR="008B3A4C" w:rsidRPr="000973F2" w:rsidRDefault="008B3A4C" w:rsidP="00A5681D">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18"/>
                <w:szCs w:val="18"/>
              </w:rPr>
            </w:pPr>
            <w:r w:rsidRPr="000973F2">
              <w:rPr>
                <w:rFonts w:ascii="Times New Roman" w:eastAsia="Times New Roman" w:hAnsi="Times New Roman" w:cs="Times New Roman"/>
                <w:b/>
                <w:bCs/>
                <w:sz w:val="18"/>
                <w:szCs w:val="18"/>
              </w:rPr>
              <w:t>Lawyer</w:t>
            </w:r>
          </w:p>
        </w:tc>
        <w:tc>
          <w:tcPr>
            <w:tcW w:w="822" w:type="pct"/>
            <w:gridSpan w:val="2"/>
            <w:noWrap/>
            <w:hideMark/>
          </w:tcPr>
          <w:p w14:paraId="18948F62" w14:textId="77777777" w:rsidR="008B3A4C" w:rsidRPr="000973F2" w:rsidRDefault="008B3A4C" w:rsidP="00A5681D">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18"/>
                <w:szCs w:val="18"/>
              </w:rPr>
            </w:pPr>
            <w:r w:rsidRPr="000973F2">
              <w:rPr>
                <w:rFonts w:ascii="Times New Roman" w:eastAsia="Times New Roman" w:hAnsi="Times New Roman" w:cs="Times New Roman"/>
                <w:b/>
                <w:bCs/>
                <w:sz w:val="18"/>
                <w:szCs w:val="18"/>
              </w:rPr>
              <w:t>Senior Manager</w:t>
            </w:r>
          </w:p>
        </w:tc>
        <w:tc>
          <w:tcPr>
            <w:tcW w:w="822" w:type="pct"/>
            <w:gridSpan w:val="2"/>
            <w:hideMark/>
          </w:tcPr>
          <w:p w14:paraId="164D5149" w14:textId="77777777" w:rsidR="008B3A4C" w:rsidRPr="000973F2" w:rsidRDefault="008B3A4C" w:rsidP="00A5681D">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18"/>
                <w:szCs w:val="18"/>
              </w:rPr>
            </w:pPr>
            <w:r w:rsidRPr="000973F2">
              <w:rPr>
                <w:rFonts w:ascii="Times New Roman" w:eastAsia="Times New Roman" w:hAnsi="Times New Roman" w:cs="Times New Roman"/>
                <w:b/>
                <w:bCs/>
                <w:sz w:val="18"/>
                <w:szCs w:val="18"/>
              </w:rPr>
              <w:t>Middle Manager</w:t>
            </w:r>
          </w:p>
        </w:tc>
        <w:tc>
          <w:tcPr>
            <w:tcW w:w="822" w:type="pct"/>
            <w:gridSpan w:val="2"/>
            <w:hideMark/>
          </w:tcPr>
          <w:p w14:paraId="2F341737" w14:textId="77777777" w:rsidR="008B3A4C" w:rsidRPr="000973F2" w:rsidRDefault="008B3A4C" w:rsidP="00A5681D">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18"/>
                <w:szCs w:val="18"/>
              </w:rPr>
            </w:pPr>
            <w:r w:rsidRPr="000973F2">
              <w:rPr>
                <w:rFonts w:ascii="Times New Roman" w:eastAsia="Times New Roman" w:hAnsi="Times New Roman" w:cs="Times New Roman"/>
                <w:b/>
                <w:bCs/>
                <w:sz w:val="18"/>
                <w:szCs w:val="18"/>
              </w:rPr>
              <w:t>Technician</w:t>
            </w:r>
          </w:p>
        </w:tc>
        <w:tc>
          <w:tcPr>
            <w:tcW w:w="900" w:type="pct"/>
            <w:gridSpan w:val="2"/>
            <w:vMerge/>
            <w:hideMark/>
          </w:tcPr>
          <w:p w14:paraId="7C6B6D92" w14:textId="77777777" w:rsidR="008B3A4C" w:rsidRPr="000973F2" w:rsidRDefault="008B3A4C" w:rsidP="00A5681D">
            <w:pPr>
              <w:spacing w:before="40" w:after="4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18"/>
                <w:szCs w:val="18"/>
              </w:rPr>
            </w:pPr>
          </w:p>
        </w:tc>
      </w:tr>
      <w:tr w:rsidR="008B3A4C" w:rsidRPr="000973F2" w14:paraId="135C0363" w14:textId="77777777" w:rsidTr="000F404A">
        <w:trPr>
          <w:cantSplit/>
        </w:trPr>
        <w:tc>
          <w:tcPr>
            <w:cnfStyle w:val="001000000000" w:firstRow="0" w:lastRow="0" w:firstColumn="1" w:lastColumn="0" w:oddVBand="0" w:evenVBand="0" w:oddHBand="0" w:evenHBand="0" w:firstRowFirstColumn="0" w:firstRowLastColumn="0" w:lastRowFirstColumn="0" w:lastRowLastColumn="0"/>
            <w:tcW w:w="812" w:type="pct"/>
            <w:vMerge/>
            <w:hideMark/>
          </w:tcPr>
          <w:p w14:paraId="7763C968" w14:textId="77777777" w:rsidR="008B3A4C" w:rsidRPr="000973F2" w:rsidRDefault="008B3A4C" w:rsidP="00A5681D">
            <w:pPr>
              <w:spacing w:before="40" w:after="40"/>
              <w:rPr>
                <w:rFonts w:ascii="Times New Roman" w:eastAsia="Times New Roman" w:hAnsi="Times New Roman" w:cs="Times New Roman"/>
                <w:b/>
                <w:bCs w:val="0"/>
                <w:sz w:val="18"/>
                <w:szCs w:val="18"/>
              </w:rPr>
            </w:pPr>
          </w:p>
        </w:tc>
        <w:tc>
          <w:tcPr>
            <w:tcW w:w="822" w:type="pct"/>
            <w:gridSpan w:val="2"/>
            <w:noWrap/>
            <w:hideMark/>
          </w:tcPr>
          <w:p w14:paraId="4A329B82" w14:textId="77777777" w:rsidR="008B3A4C" w:rsidRPr="000973F2" w:rsidRDefault="008B3A4C" w:rsidP="00A5681D">
            <w:pPr>
              <w:spacing w:before="40" w:after="4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sz w:val="18"/>
                <w:szCs w:val="18"/>
              </w:rPr>
            </w:pPr>
            <w:r w:rsidRPr="000973F2">
              <w:rPr>
                <w:rFonts w:ascii="Times New Roman" w:eastAsia="Times New Roman" w:hAnsi="Times New Roman" w:cs="Times New Roman"/>
                <w:b/>
                <w:bCs/>
                <w:sz w:val="18"/>
                <w:szCs w:val="18"/>
              </w:rPr>
              <w:t xml:space="preserve">$112.23 </w:t>
            </w:r>
          </w:p>
        </w:tc>
        <w:tc>
          <w:tcPr>
            <w:tcW w:w="822" w:type="pct"/>
            <w:gridSpan w:val="2"/>
            <w:noWrap/>
            <w:hideMark/>
          </w:tcPr>
          <w:p w14:paraId="1284A677" w14:textId="77777777" w:rsidR="008B3A4C" w:rsidRPr="000973F2" w:rsidRDefault="008B3A4C" w:rsidP="00A5681D">
            <w:pPr>
              <w:spacing w:before="40" w:after="4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sz w:val="18"/>
                <w:szCs w:val="18"/>
              </w:rPr>
            </w:pPr>
            <w:r w:rsidRPr="000973F2">
              <w:rPr>
                <w:rFonts w:ascii="Times New Roman" w:eastAsia="Times New Roman" w:hAnsi="Times New Roman" w:cs="Times New Roman"/>
                <w:b/>
                <w:bCs/>
                <w:sz w:val="18"/>
                <w:szCs w:val="18"/>
              </w:rPr>
              <w:t xml:space="preserve">$141.54 </w:t>
            </w:r>
          </w:p>
        </w:tc>
        <w:tc>
          <w:tcPr>
            <w:tcW w:w="822" w:type="pct"/>
            <w:gridSpan w:val="2"/>
            <w:noWrap/>
            <w:hideMark/>
          </w:tcPr>
          <w:p w14:paraId="05F2EDB7" w14:textId="77777777" w:rsidR="008B3A4C" w:rsidRPr="000973F2" w:rsidRDefault="008B3A4C" w:rsidP="00A5681D">
            <w:pPr>
              <w:spacing w:before="40" w:after="4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sz w:val="18"/>
                <w:szCs w:val="18"/>
              </w:rPr>
            </w:pPr>
            <w:r w:rsidRPr="000973F2">
              <w:rPr>
                <w:rFonts w:ascii="Times New Roman" w:eastAsia="Times New Roman" w:hAnsi="Times New Roman" w:cs="Times New Roman"/>
                <w:b/>
                <w:bCs/>
                <w:sz w:val="18"/>
                <w:szCs w:val="18"/>
              </w:rPr>
              <w:t xml:space="preserve">$105.68 </w:t>
            </w:r>
          </w:p>
        </w:tc>
        <w:tc>
          <w:tcPr>
            <w:tcW w:w="822" w:type="pct"/>
            <w:gridSpan w:val="2"/>
            <w:noWrap/>
            <w:hideMark/>
          </w:tcPr>
          <w:p w14:paraId="539627B9" w14:textId="77777777" w:rsidR="008B3A4C" w:rsidRPr="000973F2" w:rsidRDefault="008B3A4C" w:rsidP="00A5681D">
            <w:pPr>
              <w:spacing w:before="40" w:after="4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sz w:val="18"/>
                <w:szCs w:val="18"/>
              </w:rPr>
            </w:pPr>
            <w:r w:rsidRPr="000973F2">
              <w:rPr>
                <w:rFonts w:ascii="Times New Roman" w:eastAsia="Times New Roman" w:hAnsi="Times New Roman" w:cs="Times New Roman"/>
                <w:b/>
                <w:bCs/>
                <w:sz w:val="18"/>
                <w:szCs w:val="18"/>
              </w:rPr>
              <w:t xml:space="preserve">$60.72 </w:t>
            </w:r>
          </w:p>
        </w:tc>
        <w:tc>
          <w:tcPr>
            <w:tcW w:w="900" w:type="pct"/>
            <w:gridSpan w:val="2"/>
            <w:vMerge/>
            <w:hideMark/>
          </w:tcPr>
          <w:p w14:paraId="427EBE6C" w14:textId="77777777" w:rsidR="008B3A4C" w:rsidRPr="000973F2" w:rsidRDefault="008B3A4C" w:rsidP="00A5681D">
            <w:pPr>
              <w:spacing w:before="40" w:after="4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sz w:val="18"/>
                <w:szCs w:val="18"/>
              </w:rPr>
            </w:pPr>
          </w:p>
        </w:tc>
      </w:tr>
      <w:tr w:rsidR="008B3A4C" w:rsidRPr="000973F2" w14:paraId="1BA18CE7" w14:textId="77777777" w:rsidTr="000F404A">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812" w:type="pct"/>
            <w:vMerge/>
            <w:hideMark/>
          </w:tcPr>
          <w:p w14:paraId="4BFAB1C0" w14:textId="77777777" w:rsidR="008B3A4C" w:rsidRPr="000973F2" w:rsidRDefault="008B3A4C" w:rsidP="00A5681D">
            <w:pPr>
              <w:spacing w:before="40" w:after="40"/>
              <w:rPr>
                <w:rFonts w:ascii="Times New Roman" w:eastAsia="Times New Roman" w:hAnsi="Times New Roman" w:cs="Times New Roman"/>
                <w:b/>
                <w:bCs w:val="0"/>
                <w:sz w:val="18"/>
                <w:szCs w:val="18"/>
              </w:rPr>
            </w:pPr>
          </w:p>
        </w:tc>
        <w:tc>
          <w:tcPr>
            <w:tcW w:w="411" w:type="pct"/>
            <w:tcMar>
              <w:left w:w="14" w:type="dxa"/>
              <w:right w:w="14" w:type="dxa"/>
            </w:tcMar>
            <w:hideMark/>
          </w:tcPr>
          <w:p w14:paraId="70E87F56" w14:textId="3C825DEC" w:rsidR="008B3A4C" w:rsidRPr="000973F2" w:rsidRDefault="008B3A4C" w:rsidP="00A5681D">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18"/>
                <w:szCs w:val="18"/>
              </w:rPr>
            </w:pPr>
            <w:r w:rsidRPr="000973F2">
              <w:rPr>
                <w:rFonts w:ascii="Times New Roman" w:eastAsia="Times New Roman" w:hAnsi="Times New Roman" w:cs="Times New Roman"/>
                <w:b/>
                <w:bCs/>
                <w:sz w:val="18"/>
                <w:szCs w:val="18"/>
              </w:rPr>
              <w:t xml:space="preserve">Initial </w:t>
            </w:r>
            <w:r w:rsidR="00132320" w:rsidRPr="000973F2">
              <w:rPr>
                <w:rFonts w:ascii="Times New Roman" w:eastAsia="Times New Roman" w:hAnsi="Times New Roman" w:cs="Times New Roman"/>
                <w:b/>
                <w:bCs/>
                <w:sz w:val="18"/>
                <w:szCs w:val="18"/>
              </w:rPr>
              <w:t>Year Hours</w:t>
            </w:r>
          </w:p>
        </w:tc>
        <w:tc>
          <w:tcPr>
            <w:tcW w:w="411" w:type="pct"/>
            <w:tcMar>
              <w:left w:w="14" w:type="dxa"/>
              <w:right w:w="14" w:type="dxa"/>
            </w:tcMar>
            <w:hideMark/>
          </w:tcPr>
          <w:p w14:paraId="58411843" w14:textId="46BB25BF" w:rsidR="008B3A4C" w:rsidRPr="000973F2" w:rsidRDefault="008B3A4C" w:rsidP="00A5681D">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18"/>
                <w:szCs w:val="18"/>
              </w:rPr>
            </w:pPr>
            <w:r w:rsidRPr="000973F2">
              <w:rPr>
                <w:rFonts w:ascii="Times New Roman" w:eastAsia="Times New Roman" w:hAnsi="Times New Roman" w:cs="Times New Roman"/>
                <w:b/>
                <w:bCs/>
                <w:sz w:val="18"/>
                <w:szCs w:val="18"/>
              </w:rPr>
              <w:t xml:space="preserve">Subseq. </w:t>
            </w:r>
            <w:r w:rsidR="00132320" w:rsidRPr="000973F2">
              <w:rPr>
                <w:rFonts w:ascii="Times New Roman" w:eastAsia="Times New Roman" w:hAnsi="Times New Roman" w:cs="Times New Roman"/>
                <w:b/>
                <w:bCs/>
                <w:sz w:val="18"/>
                <w:szCs w:val="18"/>
              </w:rPr>
              <w:t>Year Hours</w:t>
            </w:r>
          </w:p>
        </w:tc>
        <w:tc>
          <w:tcPr>
            <w:tcW w:w="411" w:type="pct"/>
            <w:tcMar>
              <w:left w:w="14" w:type="dxa"/>
              <w:right w:w="14" w:type="dxa"/>
            </w:tcMar>
            <w:hideMark/>
          </w:tcPr>
          <w:p w14:paraId="1E5D50DA" w14:textId="72546299" w:rsidR="008B3A4C" w:rsidRPr="000973F2" w:rsidRDefault="008B3A4C" w:rsidP="00A5681D">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18"/>
                <w:szCs w:val="18"/>
              </w:rPr>
            </w:pPr>
            <w:r w:rsidRPr="000973F2">
              <w:rPr>
                <w:rFonts w:ascii="Times New Roman" w:eastAsia="Times New Roman" w:hAnsi="Times New Roman" w:cs="Times New Roman"/>
                <w:b/>
                <w:bCs/>
                <w:sz w:val="18"/>
                <w:szCs w:val="18"/>
              </w:rPr>
              <w:t xml:space="preserve">Initial </w:t>
            </w:r>
            <w:r w:rsidR="00132320" w:rsidRPr="000973F2">
              <w:rPr>
                <w:rFonts w:ascii="Times New Roman" w:eastAsia="Times New Roman" w:hAnsi="Times New Roman" w:cs="Times New Roman"/>
                <w:b/>
                <w:bCs/>
                <w:sz w:val="18"/>
                <w:szCs w:val="18"/>
              </w:rPr>
              <w:t>Year Hours</w:t>
            </w:r>
          </w:p>
        </w:tc>
        <w:tc>
          <w:tcPr>
            <w:tcW w:w="411" w:type="pct"/>
            <w:tcMar>
              <w:left w:w="14" w:type="dxa"/>
              <w:right w:w="14" w:type="dxa"/>
            </w:tcMar>
            <w:hideMark/>
          </w:tcPr>
          <w:p w14:paraId="26C63629" w14:textId="78DED456" w:rsidR="008B3A4C" w:rsidRPr="000973F2" w:rsidRDefault="008B3A4C" w:rsidP="00A5681D">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18"/>
                <w:szCs w:val="18"/>
              </w:rPr>
            </w:pPr>
            <w:r w:rsidRPr="000973F2">
              <w:rPr>
                <w:rFonts w:ascii="Times New Roman" w:eastAsia="Times New Roman" w:hAnsi="Times New Roman" w:cs="Times New Roman"/>
                <w:b/>
                <w:bCs/>
                <w:sz w:val="18"/>
                <w:szCs w:val="18"/>
              </w:rPr>
              <w:t xml:space="preserve">Subseq. </w:t>
            </w:r>
            <w:r w:rsidR="00132320" w:rsidRPr="000973F2">
              <w:rPr>
                <w:rFonts w:ascii="Times New Roman" w:eastAsia="Times New Roman" w:hAnsi="Times New Roman" w:cs="Times New Roman"/>
                <w:b/>
                <w:bCs/>
                <w:sz w:val="18"/>
                <w:szCs w:val="18"/>
              </w:rPr>
              <w:t>Year Hours</w:t>
            </w:r>
          </w:p>
        </w:tc>
        <w:tc>
          <w:tcPr>
            <w:tcW w:w="411" w:type="pct"/>
            <w:tcMar>
              <w:left w:w="14" w:type="dxa"/>
              <w:right w:w="14" w:type="dxa"/>
            </w:tcMar>
            <w:hideMark/>
          </w:tcPr>
          <w:p w14:paraId="513F4CA1" w14:textId="5E45CDE4" w:rsidR="008B3A4C" w:rsidRPr="000973F2" w:rsidRDefault="008B3A4C" w:rsidP="00A5681D">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18"/>
                <w:szCs w:val="18"/>
              </w:rPr>
            </w:pPr>
            <w:r w:rsidRPr="000973F2">
              <w:rPr>
                <w:rFonts w:ascii="Times New Roman" w:eastAsia="Times New Roman" w:hAnsi="Times New Roman" w:cs="Times New Roman"/>
                <w:b/>
                <w:bCs/>
                <w:sz w:val="18"/>
                <w:szCs w:val="18"/>
              </w:rPr>
              <w:t xml:space="preserve">Initial </w:t>
            </w:r>
            <w:r w:rsidR="00132320" w:rsidRPr="000973F2">
              <w:rPr>
                <w:rFonts w:ascii="Times New Roman" w:eastAsia="Times New Roman" w:hAnsi="Times New Roman" w:cs="Times New Roman"/>
                <w:b/>
                <w:bCs/>
                <w:sz w:val="18"/>
                <w:szCs w:val="18"/>
              </w:rPr>
              <w:t>Year Hours</w:t>
            </w:r>
          </w:p>
        </w:tc>
        <w:tc>
          <w:tcPr>
            <w:tcW w:w="411" w:type="pct"/>
            <w:tcMar>
              <w:left w:w="14" w:type="dxa"/>
              <w:right w:w="14" w:type="dxa"/>
            </w:tcMar>
            <w:hideMark/>
          </w:tcPr>
          <w:p w14:paraId="2D2B34EF" w14:textId="7675753B" w:rsidR="008B3A4C" w:rsidRPr="000973F2" w:rsidRDefault="008B3A4C" w:rsidP="00A5681D">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18"/>
                <w:szCs w:val="18"/>
              </w:rPr>
            </w:pPr>
            <w:r w:rsidRPr="000973F2">
              <w:rPr>
                <w:rFonts w:ascii="Times New Roman" w:eastAsia="Times New Roman" w:hAnsi="Times New Roman" w:cs="Times New Roman"/>
                <w:b/>
                <w:bCs/>
                <w:sz w:val="18"/>
                <w:szCs w:val="18"/>
              </w:rPr>
              <w:t xml:space="preserve">Subseq. </w:t>
            </w:r>
            <w:r w:rsidR="00132320" w:rsidRPr="000973F2">
              <w:rPr>
                <w:rFonts w:ascii="Times New Roman" w:eastAsia="Times New Roman" w:hAnsi="Times New Roman" w:cs="Times New Roman"/>
                <w:b/>
                <w:bCs/>
                <w:sz w:val="18"/>
                <w:szCs w:val="18"/>
              </w:rPr>
              <w:t>Year Hours</w:t>
            </w:r>
          </w:p>
        </w:tc>
        <w:tc>
          <w:tcPr>
            <w:tcW w:w="411" w:type="pct"/>
            <w:tcMar>
              <w:left w:w="14" w:type="dxa"/>
              <w:right w:w="14" w:type="dxa"/>
            </w:tcMar>
            <w:hideMark/>
          </w:tcPr>
          <w:p w14:paraId="58F91420" w14:textId="30F7C0A9" w:rsidR="008B3A4C" w:rsidRPr="000973F2" w:rsidRDefault="008B3A4C" w:rsidP="00A5681D">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18"/>
                <w:szCs w:val="18"/>
              </w:rPr>
            </w:pPr>
            <w:r w:rsidRPr="000973F2">
              <w:rPr>
                <w:rFonts w:ascii="Times New Roman" w:eastAsia="Times New Roman" w:hAnsi="Times New Roman" w:cs="Times New Roman"/>
                <w:b/>
                <w:bCs/>
                <w:sz w:val="18"/>
                <w:szCs w:val="18"/>
              </w:rPr>
              <w:t xml:space="preserve">Initial </w:t>
            </w:r>
            <w:r w:rsidR="00132320" w:rsidRPr="000973F2">
              <w:rPr>
                <w:rFonts w:ascii="Times New Roman" w:eastAsia="Times New Roman" w:hAnsi="Times New Roman" w:cs="Times New Roman"/>
                <w:b/>
                <w:bCs/>
                <w:sz w:val="18"/>
                <w:szCs w:val="18"/>
              </w:rPr>
              <w:t>Year Hours</w:t>
            </w:r>
          </w:p>
        </w:tc>
        <w:tc>
          <w:tcPr>
            <w:tcW w:w="411" w:type="pct"/>
            <w:tcMar>
              <w:left w:w="14" w:type="dxa"/>
              <w:right w:w="14" w:type="dxa"/>
            </w:tcMar>
            <w:hideMark/>
          </w:tcPr>
          <w:p w14:paraId="3AEFC52E" w14:textId="3C191D4A" w:rsidR="008B3A4C" w:rsidRPr="000973F2" w:rsidRDefault="008B3A4C" w:rsidP="00A5681D">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18"/>
                <w:szCs w:val="18"/>
              </w:rPr>
            </w:pPr>
            <w:r w:rsidRPr="000973F2">
              <w:rPr>
                <w:rFonts w:ascii="Times New Roman" w:eastAsia="Times New Roman" w:hAnsi="Times New Roman" w:cs="Times New Roman"/>
                <w:b/>
                <w:bCs/>
                <w:sz w:val="18"/>
                <w:szCs w:val="18"/>
              </w:rPr>
              <w:t xml:space="preserve">Subseq. </w:t>
            </w:r>
            <w:r w:rsidR="00132320" w:rsidRPr="000973F2">
              <w:rPr>
                <w:rFonts w:ascii="Times New Roman" w:eastAsia="Times New Roman" w:hAnsi="Times New Roman" w:cs="Times New Roman"/>
                <w:b/>
                <w:bCs/>
                <w:sz w:val="18"/>
                <w:szCs w:val="18"/>
              </w:rPr>
              <w:t>Year Hours</w:t>
            </w:r>
          </w:p>
        </w:tc>
        <w:tc>
          <w:tcPr>
            <w:tcW w:w="449" w:type="pct"/>
            <w:tcMar>
              <w:left w:w="14" w:type="dxa"/>
              <w:right w:w="14" w:type="dxa"/>
            </w:tcMar>
            <w:hideMark/>
          </w:tcPr>
          <w:p w14:paraId="21C50D78" w14:textId="56A7C741" w:rsidR="008B3A4C" w:rsidRPr="000973F2" w:rsidRDefault="008B3A4C" w:rsidP="00A5681D">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18"/>
                <w:szCs w:val="18"/>
              </w:rPr>
            </w:pPr>
            <w:r w:rsidRPr="000973F2">
              <w:rPr>
                <w:rFonts w:ascii="Times New Roman" w:eastAsia="Times New Roman" w:hAnsi="Times New Roman" w:cs="Times New Roman"/>
                <w:b/>
                <w:bCs/>
                <w:sz w:val="18"/>
                <w:szCs w:val="18"/>
              </w:rPr>
              <w:t>Initial Year</w:t>
            </w:r>
          </w:p>
        </w:tc>
        <w:tc>
          <w:tcPr>
            <w:tcW w:w="451" w:type="pct"/>
            <w:tcMar>
              <w:left w:w="14" w:type="dxa"/>
              <w:right w:w="14" w:type="dxa"/>
            </w:tcMar>
            <w:hideMark/>
          </w:tcPr>
          <w:p w14:paraId="3970134F" w14:textId="7D93F123" w:rsidR="008B3A4C" w:rsidRPr="000973F2" w:rsidRDefault="008B3A4C" w:rsidP="00A5681D">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18"/>
                <w:szCs w:val="18"/>
              </w:rPr>
            </w:pPr>
            <w:r w:rsidRPr="000973F2">
              <w:rPr>
                <w:rFonts w:ascii="Times New Roman" w:eastAsia="Times New Roman" w:hAnsi="Times New Roman" w:cs="Times New Roman"/>
                <w:b/>
                <w:bCs/>
                <w:sz w:val="18"/>
                <w:szCs w:val="18"/>
              </w:rPr>
              <w:t>Subseq. Year</w:t>
            </w:r>
          </w:p>
        </w:tc>
      </w:tr>
      <w:tr w:rsidR="008B3A4C" w:rsidRPr="000973F2" w14:paraId="3F8EC3DE" w14:textId="77777777" w:rsidTr="000F404A">
        <w:trPr>
          <w:cantSplit/>
        </w:trPr>
        <w:tc>
          <w:tcPr>
            <w:cnfStyle w:val="001000000000" w:firstRow="0" w:lastRow="0" w:firstColumn="1" w:lastColumn="0" w:oddVBand="0" w:evenVBand="0" w:oddHBand="0" w:evenHBand="0" w:firstRowFirstColumn="0" w:firstRowLastColumn="0" w:lastRowFirstColumn="0" w:lastRowLastColumn="0"/>
            <w:tcW w:w="812" w:type="pct"/>
            <w:hideMark/>
          </w:tcPr>
          <w:p w14:paraId="1FA72D2C" w14:textId="77777777" w:rsidR="008B3A4C" w:rsidRPr="000973F2" w:rsidRDefault="008B3A4C" w:rsidP="00A5681D">
            <w:pPr>
              <w:spacing w:before="40" w:after="4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Planning</w:t>
            </w:r>
          </w:p>
        </w:tc>
        <w:tc>
          <w:tcPr>
            <w:tcW w:w="411" w:type="pct"/>
            <w:noWrap/>
            <w:hideMark/>
          </w:tcPr>
          <w:p w14:paraId="6B7CADC0" w14:textId="77777777" w:rsidR="008B3A4C" w:rsidRPr="000973F2" w:rsidRDefault="008B3A4C" w:rsidP="00A5681D">
            <w:pPr>
              <w:tabs>
                <w:tab w:val="decimal" w:pos="301"/>
              </w:tabs>
              <w:spacing w:before="40" w:after="4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8.5</w:t>
            </w:r>
          </w:p>
        </w:tc>
        <w:tc>
          <w:tcPr>
            <w:tcW w:w="411" w:type="pct"/>
            <w:noWrap/>
            <w:hideMark/>
          </w:tcPr>
          <w:p w14:paraId="29228481" w14:textId="77777777" w:rsidR="008B3A4C" w:rsidRPr="000973F2" w:rsidRDefault="008B3A4C" w:rsidP="00A5681D">
            <w:pPr>
              <w:tabs>
                <w:tab w:val="decimal" w:pos="301"/>
              </w:tabs>
              <w:spacing w:before="40" w:after="4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8.5</w:t>
            </w:r>
          </w:p>
        </w:tc>
        <w:tc>
          <w:tcPr>
            <w:tcW w:w="411" w:type="pct"/>
            <w:noWrap/>
            <w:hideMark/>
          </w:tcPr>
          <w:p w14:paraId="2C42161E" w14:textId="77777777" w:rsidR="008B3A4C" w:rsidRPr="000973F2" w:rsidRDefault="008B3A4C" w:rsidP="00A5681D">
            <w:pPr>
              <w:tabs>
                <w:tab w:val="decimal" w:pos="301"/>
              </w:tabs>
              <w:spacing w:before="40" w:after="4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22.3</w:t>
            </w:r>
          </w:p>
        </w:tc>
        <w:tc>
          <w:tcPr>
            <w:tcW w:w="411" w:type="pct"/>
            <w:noWrap/>
            <w:hideMark/>
          </w:tcPr>
          <w:p w14:paraId="7E573AC9" w14:textId="77777777" w:rsidR="008B3A4C" w:rsidRPr="000973F2" w:rsidRDefault="008B3A4C" w:rsidP="00A5681D">
            <w:pPr>
              <w:tabs>
                <w:tab w:val="decimal" w:pos="301"/>
              </w:tabs>
              <w:spacing w:before="40" w:after="4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22.3</w:t>
            </w:r>
          </w:p>
        </w:tc>
        <w:tc>
          <w:tcPr>
            <w:tcW w:w="411" w:type="pct"/>
            <w:noWrap/>
            <w:hideMark/>
          </w:tcPr>
          <w:p w14:paraId="73773291" w14:textId="77777777" w:rsidR="008B3A4C" w:rsidRPr="000973F2" w:rsidRDefault="008B3A4C" w:rsidP="00A5681D">
            <w:pPr>
              <w:tabs>
                <w:tab w:val="decimal" w:pos="301"/>
              </w:tabs>
              <w:spacing w:before="40" w:after="4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57.3</w:t>
            </w:r>
          </w:p>
        </w:tc>
        <w:tc>
          <w:tcPr>
            <w:tcW w:w="411" w:type="pct"/>
            <w:noWrap/>
            <w:hideMark/>
          </w:tcPr>
          <w:p w14:paraId="3EDBE720" w14:textId="77777777" w:rsidR="008B3A4C" w:rsidRPr="000973F2" w:rsidRDefault="008B3A4C" w:rsidP="00A5681D">
            <w:pPr>
              <w:tabs>
                <w:tab w:val="decimal" w:pos="301"/>
              </w:tabs>
              <w:spacing w:before="40" w:after="4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57.3</w:t>
            </w:r>
          </w:p>
        </w:tc>
        <w:tc>
          <w:tcPr>
            <w:tcW w:w="411" w:type="pct"/>
            <w:noWrap/>
            <w:hideMark/>
          </w:tcPr>
          <w:p w14:paraId="153E999C" w14:textId="77777777" w:rsidR="008B3A4C" w:rsidRPr="000973F2" w:rsidRDefault="008B3A4C" w:rsidP="00A5681D">
            <w:pPr>
              <w:tabs>
                <w:tab w:val="decimal" w:pos="301"/>
              </w:tabs>
              <w:spacing w:before="40" w:after="4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21</w:t>
            </w:r>
          </w:p>
        </w:tc>
        <w:tc>
          <w:tcPr>
            <w:tcW w:w="411" w:type="pct"/>
            <w:noWrap/>
            <w:hideMark/>
          </w:tcPr>
          <w:p w14:paraId="1D97A721" w14:textId="77777777" w:rsidR="008B3A4C" w:rsidRPr="000973F2" w:rsidRDefault="008B3A4C" w:rsidP="00A5681D">
            <w:pPr>
              <w:tabs>
                <w:tab w:val="decimal" w:pos="301"/>
              </w:tabs>
              <w:spacing w:before="40" w:after="4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21</w:t>
            </w:r>
          </w:p>
        </w:tc>
        <w:tc>
          <w:tcPr>
            <w:tcW w:w="449" w:type="pct"/>
            <w:noWrap/>
            <w:hideMark/>
          </w:tcPr>
          <w:p w14:paraId="5DF34BF8" w14:textId="0F09C16D" w:rsidR="008B3A4C" w:rsidRPr="000973F2" w:rsidRDefault="008B3A4C" w:rsidP="00A5681D">
            <w:pPr>
              <w:tabs>
                <w:tab w:val="decimal" w:pos="601"/>
              </w:tabs>
              <w:spacing w:before="40" w:after="4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$11,440</w:t>
            </w:r>
          </w:p>
        </w:tc>
        <w:tc>
          <w:tcPr>
            <w:tcW w:w="451" w:type="pct"/>
            <w:noWrap/>
            <w:hideMark/>
          </w:tcPr>
          <w:p w14:paraId="59B63EA9" w14:textId="77777777" w:rsidR="008B3A4C" w:rsidRPr="000973F2" w:rsidRDefault="008B3A4C" w:rsidP="00A5681D">
            <w:pPr>
              <w:tabs>
                <w:tab w:val="decimal" w:pos="601"/>
              </w:tabs>
              <w:spacing w:before="40" w:after="4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 xml:space="preserve">$11,440 </w:t>
            </w:r>
          </w:p>
        </w:tc>
      </w:tr>
      <w:tr w:rsidR="008B3A4C" w:rsidRPr="000973F2" w14:paraId="42DAA4CB" w14:textId="77777777" w:rsidTr="000F404A">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812" w:type="pct"/>
            <w:hideMark/>
          </w:tcPr>
          <w:p w14:paraId="62FCF9C2" w14:textId="77777777" w:rsidR="008B3A4C" w:rsidRPr="000973F2" w:rsidRDefault="008B3A4C" w:rsidP="00A5681D">
            <w:pPr>
              <w:spacing w:before="40" w:after="4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QA/QC</w:t>
            </w:r>
          </w:p>
        </w:tc>
        <w:tc>
          <w:tcPr>
            <w:tcW w:w="411" w:type="pct"/>
            <w:noWrap/>
            <w:hideMark/>
          </w:tcPr>
          <w:p w14:paraId="1E0666B6" w14:textId="77777777" w:rsidR="008B3A4C" w:rsidRPr="000973F2" w:rsidRDefault="008B3A4C" w:rsidP="00A5681D">
            <w:pPr>
              <w:tabs>
                <w:tab w:val="decimal" w:pos="301"/>
              </w:tabs>
              <w:spacing w:before="40" w:after="4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8.5</w:t>
            </w:r>
          </w:p>
        </w:tc>
        <w:tc>
          <w:tcPr>
            <w:tcW w:w="411" w:type="pct"/>
            <w:noWrap/>
            <w:hideMark/>
          </w:tcPr>
          <w:p w14:paraId="769F28C8" w14:textId="77777777" w:rsidR="008B3A4C" w:rsidRPr="000973F2" w:rsidRDefault="008B3A4C" w:rsidP="00A5681D">
            <w:pPr>
              <w:tabs>
                <w:tab w:val="decimal" w:pos="301"/>
              </w:tabs>
              <w:spacing w:before="40" w:after="4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8.5</w:t>
            </w:r>
          </w:p>
        </w:tc>
        <w:tc>
          <w:tcPr>
            <w:tcW w:w="411" w:type="pct"/>
            <w:noWrap/>
            <w:hideMark/>
          </w:tcPr>
          <w:p w14:paraId="52EC8A99" w14:textId="77777777" w:rsidR="008B3A4C" w:rsidRPr="000973F2" w:rsidRDefault="008B3A4C" w:rsidP="00A5681D">
            <w:pPr>
              <w:tabs>
                <w:tab w:val="decimal" w:pos="301"/>
              </w:tabs>
              <w:spacing w:before="40" w:after="4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19.3</w:t>
            </w:r>
          </w:p>
        </w:tc>
        <w:tc>
          <w:tcPr>
            <w:tcW w:w="411" w:type="pct"/>
            <w:noWrap/>
            <w:hideMark/>
          </w:tcPr>
          <w:p w14:paraId="578DF8DB" w14:textId="77777777" w:rsidR="008B3A4C" w:rsidRPr="000973F2" w:rsidRDefault="008B3A4C" w:rsidP="00A5681D">
            <w:pPr>
              <w:tabs>
                <w:tab w:val="decimal" w:pos="301"/>
              </w:tabs>
              <w:spacing w:before="40" w:after="4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19.3</w:t>
            </w:r>
          </w:p>
        </w:tc>
        <w:tc>
          <w:tcPr>
            <w:tcW w:w="411" w:type="pct"/>
            <w:noWrap/>
            <w:hideMark/>
          </w:tcPr>
          <w:p w14:paraId="7C90CB43" w14:textId="77777777" w:rsidR="008B3A4C" w:rsidRPr="000973F2" w:rsidRDefault="008B3A4C" w:rsidP="00A5681D">
            <w:pPr>
              <w:tabs>
                <w:tab w:val="decimal" w:pos="301"/>
              </w:tabs>
              <w:spacing w:before="40" w:after="4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18.3</w:t>
            </w:r>
          </w:p>
        </w:tc>
        <w:tc>
          <w:tcPr>
            <w:tcW w:w="411" w:type="pct"/>
            <w:noWrap/>
            <w:hideMark/>
          </w:tcPr>
          <w:p w14:paraId="59D2C425" w14:textId="77777777" w:rsidR="008B3A4C" w:rsidRPr="000973F2" w:rsidRDefault="008B3A4C" w:rsidP="00A5681D">
            <w:pPr>
              <w:tabs>
                <w:tab w:val="decimal" w:pos="301"/>
              </w:tabs>
              <w:spacing w:before="40" w:after="4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18.3</w:t>
            </w:r>
          </w:p>
        </w:tc>
        <w:tc>
          <w:tcPr>
            <w:tcW w:w="411" w:type="pct"/>
            <w:noWrap/>
            <w:hideMark/>
          </w:tcPr>
          <w:p w14:paraId="05BBB48F" w14:textId="77777777" w:rsidR="008B3A4C" w:rsidRPr="000973F2" w:rsidRDefault="008B3A4C" w:rsidP="00A5681D">
            <w:pPr>
              <w:tabs>
                <w:tab w:val="decimal" w:pos="301"/>
              </w:tabs>
              <w:spacing w:before="40" w:after="4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0</w:t>
            </w:r>
          </w:p>
        </w:tc>
        <w:tc>
          <w:tcPr>
            <w:tcW w:w="411" w:type="pct"/>
            <w:noWrap/>
            <w:hideMark/>
          </w:tcPr>
          <w:p w14:paraId="0D0A81C2" w14:textId="77777777" w:rsidR="008B3A4C" w:rsidRPr="000973F2" w:rsidRDefault="008B3A4C" w:rsidP="00A5681D">
            <w:pPr>
              <w:tabs>
                <w:tab w:val="decimal" w:pos="301"/>
              </w:tabs>
              <w:spacing w:before="40" w:after="4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0</w:t>
            </w:r>
          </w:p>
        </w:tc>
        <w:tc>
          <w:tcPr>
            <w:tcW w:w="449" w:type="pct"/>
            <w:noWrap/>
            <w:hideMark/>
          </w:tcPr>
          <w:p w14:paraId="67209E9B" w14:textId="044E3A28" w:rsidR="008B3A4C" w:rsidRPr="000973F2" w:rsidRDefault="008B3A4C" w:rsidP="00A5681D">
            <w:pPr>
              <w:tabs>
                <w:tab w:val="decimal" w:pos="601"/>
              </w:tabs>
              <w:spacing w:before="40" w:after="4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$5,619</w:t>
            </w:r>
          </w:p>
        </w:tc>
        <w:tc>
          <w:tcPr>
            <w:tcW w:w="451" w:type="pct"/>
            <w:noWrap/>
            <w:hideMark/>
          </w:tcPr>
          <w:p w14:paraId="697183D0" w14:textId="77777777" w:rsidR="008B3A4C" w:rsidRPr="000973F2" w:rsidRDefault="008B3A4C" w:rsidP="00A5681D">
            <w:pPr>
              <w:tabs>
                <w:tab w:val="decimal" w:pos="601"/>
              </w:tabs>
              <w:spacing w:before="40" w:after="4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 xml:space="preserve">$5,619 </w:t>
            </w:r>
          </w:p>
        </w:tc>
      </w:tr>
      <w:tr w:rsidR="008B3A4C" w:rsidRPr="000973F2" w14:paraId="404BC287" w14:textId="77777777" w:rsidTr="000F404A">
        <w:trPr>
          <w:cantSplit/>
        </w:trPr>
        <w:tc>
          <w:tcPr>
            <w:cnfStyle w:val="001000000000" w:firstRow="0" w:lastRow="0" w:firstColumn="1" w:lastColumn="0" w:oddVBand="0" w:evenVBand="0" w:oddHBand="0" w:evenHBand="0" w:firstRowFirstColumn="0" w:firstRowLastColumn="0" w:lastRowFirstColumn="0" w:lastRowLastColumn="0"/>
            <w:tcW w:w="812" w:type="pct"/>
            <w:hideMark/>
          </w:tcPr>
          <w:p w14:paraId="58F0DE9B" w14:textId="77777777" w:rsidR="008B3A4C" w:rsidRPr="000973F2" w:rsidRDefault="008B3A4C" w:rsidP="00A5681D">
            <w:pPr>
              <w:spacing w:before="40" w:after="4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Recordkeeping</w:t>
            </w:r>
          </w:p>
        </w:tc>
        <w:tc>
          <w:tcPr>
            <w:tcW w:w="411" w:type="pct"/>
            <w:noWrap/>
            <w:hideMark/>
          </w:tcPr>
          <w:p w14:paraId="2B98B880" w14:textId="77777777" w:rsidR="008B3A4C" w:rsidRPr="000973F2" w:rsidRDefault="008B3A4C" w:rsidP="00A5681D">
            <w:pPr>
              <w:tabs>
                <w:tab w:val="decimal" w:pos="301"/>
              </w:tabs>
              <w:spacing w:before="40" w:after="4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0.0</w:t>
            </w:r>
          </w:p>
        </w:tc>
        <w:tc>
          <w:tcPr>
            <w:tcW w:w="411" w:type="pct"/>
            <w:noWrap/>
            <w:hideMark/>
          </w:tcPr>
          <w:p w14:paraId="1CEAD853" w14:textId="77777777" w:rsidR="008B3A4C" w:rsidRPr="000973F2" w:rsidRDefault="008B3A4C" w:rsidP="00A5681D">
            <w:pPr>
              <w:tabs>
                <w:tab w:val="decimal" w:pos="301"/>
              </w:tabs>
              <w:spacing w:before="40" w:after="4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0.0</w:t>
            </w:r>
          </w:p>
        </w:tc>
        <w:tc>
          <w:tcPr>
            <w:tcW w:w="411" w:type="pct"/>
            <w:noWrap/>
            <w:hideMark/>
          </w:tcPr>
          <w:p w14:paraId="7879A91D" w14:textId="77777777" w:rsidR="008B3A4C" w:rsidRPr="000973F2" w:rsidRDefault="008B3A4C" w:rsidP="00A5681D">
            <w:pPr>
              <w:tabs>
                <w:tab w:val="decimal" w:pos="301"/>
              </w:tabs>
              <w:spacing w:before="40" w:after="4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1.0</w:t>
            </w:r>
          </w:p>
        </w:tc>
        <w:tc>
          <w:tcPr>
            <w:tcW w:w="411" w:type="pct"/>
            <w:noWrap/>
            <w:hideMark/>
          </w:tcPr>
          <w:p w14:paraId="6E59A9E1" w14:textId="77777777" w:rsidR="008B3A4C" w:rsidRPr="000973F2" w:rsidRDefault="008B3A4C" w:rsidP="00A5681D">
            <w:pPr>
              <w:tabs>
                <w:tab w:val="decimal" w:pos="301"/>
              </w:tabs>
              <w:spacing w:before="40" w:after="4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1.0</w:t>
            </w:r>
          </w:p>
        </w:tc>
        <w:tc>
          <w:tcPr>
            <w:tcW w:w="411" w:type="pct"/>
            <w:noWrap/>
            <w:hideMark/>
          </w:tcPr>
          <w:p w14:paraId="00D70FC2" w14:textId="77777777" w:rsidR="008B3A4C" w:rsidRPr="000973F2" w:rsidRDefault="008B3A4C" w:rsidP="00A5681D">
            <w:pPr>
              <w:tabs>
                <w:tab w:val="decimal" w:pos="301"/>
              </w:tabs>
              <w:spacing w:before="40" w:after="4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13.0</w:t>
            </w:r>
          </w:p>
        </w:tc>
        <w:tc>
          <w:tcPr>
            <w:tcW w:w="411" w:type="pct"/>
            <w:noWrap/>
            <w:hideMark/>
          </w:tcPr>
          <w:p w14:paraId="5584320F" w14:textId="77777777" w:rsidR="008B3A4C" w:rsidRPr="000973F2" w:rsidRDefault="008B3A4C" w:rsidP="00A5681D">
            <w:pPr>
              <w:tabs>
                <w:tab w:val="decimal" w:pos="301"/>
              </w:tabs>
              <w:spacing w:before="40" w:after="4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13.0</w:t>
            </w:r>
          </w:p>
        </w:tc>
        <w:tc>
          <w:tcPr>
            <w:tcW w:w="411" w:type="pct"/>
            <w:noWrap/>
            <w:hideMark/>
          </w:tcPr>
          <w:p w14:paraId="4B814636" w14:textId="77777777" w:rsidR="008B3A4C" w:rsidRPr="000973F2" w:rsidRDefault="008B3A4C" w:rsidP="00A5681D">
            <w:pPr>
              <w:tabs>
                <w:tab w:val="decimal" w:pos="301"/>
              </w:tabs>
              <w:spacing w:before="40" w:after="4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1</w:t>
            </w:r>
          </w:p>
        </w:tc>
        <w:tc>
          <w:tcPr>
            <w:tcW w:w="411" w:type="pct"/>
            <w:noWrap/>
            <w:hideMark/>
          </w:tcPr>
          <w:p w14:paraId="396F65FA" w14:textId="77777777" w:rsidR="008B3A4C" w:rsidRPr="000973F2" w:rsidRDefault="008B3A4C" w:rsidP="00A5681D">
            <w:pPr>
              <w:tabs>
                <w:tab w:val="decimal" w:pos="301"/>
              </w:tabs>
              <w:spacing w:before="40" w:after="4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1</w:t>
            </w:r>
          </w:p>
        </w:tc>
        <w:tc>
          <w:tcPr>
            <w:tcW w:w="449" w:type="pct"/>
            <w:noWrap/>
            <w:hideMark/>
          </w:tcPr>
          <w:p w14:paraId="01A7F1EE" w14:textId="4819D5EA" w:rsidR="008B3A4C" w:rsidRPr="000973F2" w:rsidRDefault="008B3A4C" w:rsidP="00A5681D">
            <w:pPr>
              <w:tabs>
                <w:tab w:val="decimal" w:pos="601"/>
              </w:tabs>
              <w:spacing w:before="40" w:after="4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$1,576</w:t>
            </w:r>
          </w:p>
        </w:tc>
        <w:tc>
          <w:tcPr>
            <w:tcW w:w="451" w:type="pct"/>
            <w:noWrap/>
            <w:hideMark/>
          </w:tcPr>
          <w:p w14:paraId="22F8DD3A" w14:textId="77777777" w:rsidR="008B3A4C" w:rsidRPr="000973F2" w:rsidRDefault="008B3A4C" w:rsidP="00A5681D">
            <w:pPr>
              <w:tabs>
                <w:tab w:val="decimal" w:pos="601"/>
              </w:tabs>
              <w:spacing w:before="40" w:after="4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 xml:space="preserve">$1,576 </w:t>
            </w:r>
          </w:p>
        </w:tc>
      </w:tr>
      <w:tr w:rsidR="008B3A4C" w:rsidRPr="000973F2" w14:paraId="26D467A5" w14:textId="77777777" w:rsidTr="000F404A">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812" w:type="pct"/>
            <w:hideMark/>
          </w:tcPr>
          <w:p w14:paraId="35728CD3" w14:textId="77777777" w:rsidR="008B3A4C" w:rsidRPr="000973F2" w:rsidRDefault="008B3A4C" w:rsidP="00A5681D">
            <w:pPr>
              <w:spacing w:before="40" w:after="4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Sampling and Analysis (Calculations)</w:t>
            </w:r>
          </w:p>
        </w:tc>
        <w:tc>
          <w:tcPr>
            <w:tcW w:w="411" w:type="pct"/>
            <w:noWrap/>
            <w:hideMark/>
          </w:tcPr>
          <w:p w14:paraId="0691394C" w14:textId="77777777" w:rsidR="008B3A4C" w:rsidRPr="000973F2" w:rsidRDefault="008B3A4C" w:rsidP="00A5681D">
            <w:pPr>
              <w:tabs>
                <w:tab w:val="decimal" w:pos="301"/>
              </w:tabs>
              <w:spacing w:before="40" w:after="4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0.0</w:t>
            </w:r>
          </w:p>
        </w:tc>
        <w:tc>
          <w:tcPr>
            <w:tcW w:w="411" w:type="pct"/>
            <w:noWrap/>
            <w:hideMark/>
          </w:tcPr>
          <w:p w14:paraId="0C4FC665" w14:textId="77777777" w:rsidR="008B3A4C" w:rsidRPr="000973F2" w:rsidRDefault="008B3A4C" w:rsidP="00A5681D">
            <w:pPr>
              <w:tabs>
                <w:tab w:val="decimal" w:pos="301"/>
              </w:tabs>
              <w:spacing w:before="40" w:after="4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0.0</w:t>
            </w:r>
          </w:p>
        </w:tc>
        <w:tc>
          <w:tcPr>
            <w:tcW w:w="411" w:type="pct"/>
            <w:noWrap/>
            <w:hideMark/>
          </w:tcPr>
          <w:p w14:paraId="6B7AC37E" w14:textId="77777777" w:rsidR="008B3A4C" w:rsidRPr="000973F2" w:rsidRDefault="008B3A4C" w:rsidP="00A5681D">
            <w:pPr>
              <w:tabs>
                <w:tab w:val="decimal" w:pos="301"/>
              </w:tabs>
              <w:spacing w:before="40" w:after="4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67.3</w:t>
            </w:r>
          </w:p>
        </w:tc>
        <w:tc>
          <w:tcPr>
            <w:tcW w:w="411" w:type="pct"/>
            <w:noWrap/>
            <w:hideMark/>
          </w:tcPr>
          <w:p w14:paraId="5FAA9875" w14:textId="77777777" w:rsidR="008B3A4C" w:rsidRPr="000973F2" w:rsidRDefault="008B3A4C" w:rsidP="00A5681D">
            <w:pPr>
              <w:tabs>
                <w:tab w:val="decimal" w:pos="301"/>
              </w:tabs>
              <w:spacing w:before="40" w:after="4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67.3</w:t>
            </w:r>
          </w:p>
        </w:tc>
        <w:tc>
          <w:tcPr>
            <w:tcW w:w="411" w:type="pct"/>
            <w:noWrap/>
            <w:hideMark/>
          </w:tcPr>
          <w:p w14:paraId="2EA798B2" w14:textId="77777777" w:rsidR="008B3A4C" w:rsidRPr="000973F2" w:rsidRDefault="008B3A4C" w:rsidP="00A5681D">
            <w:pPr>
              <w:tabs>
                <w:tab w:val="decimal" w:pos="301"/>
              </w:tabs>
              <w:spacing w:before="40" w:after="4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114.5</w:t>
            </w:r>
          </w:p>
        </w:tc>
        <w:tc>
          <w:tcPr>
            <w:tcW w:w="411" w:type="pct"/>
            <w:noWrap/>
            <w:hideMark/>
          </w:tcPr>
          <w:p w14:paraId="6E99B67C" w14:textId="77777777" w:rsidR="008B3A4C" w:rsidRPr="000973F2" w:rsidRDefault="008B3A4C" w:rsidP="00A5681D">
            <w:pPr>
              <w:tabs>
                <w:tab w:val="decimal" w:pos="301"/>
              </w:tabs>
              <w:spacing w:before="40" w:after="4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114.5</w:t>
            </w:r>
          </w:p>
        </w:tc>
        <w:tc>
          <w:tcPr>
            <w:tcW w:w="411" w:type="pct"/>
            <w:noWrap/>
            <w:hideMark/>
          </w:tcPr>
          <w:p w14:paraId="19FA9A60" w14:textId="77777777" w:rsidR="008B3A4C" w:rsidRPr="000973F2" w:rsidRDefault="008B3A4C" w:rsidP="00A5681D">
            <w:pPr>
              <w:tabs>
                <w:tab w:val="decimal" w:pos="301"/>
              </w:tabs>
              <w:spacing w:before="40" w:after="4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0</w:t>
            </w:r>
          </w:p>
        </w:tc>
        <w:tc>
          <w:tcPr>
            <w:tcW w:w="411" w:type="pct"/>
            <w:noWrap/>
            <w:hideMark/>
          </w:tcPr>
          <w:p w14:paraId="3E011AEF" w14:textId="77777777" w:rsidR="008B3A4C" w:rsidRPr="000973F2" w:rsidRDefault="008B3A4C" w:rsidP="00A5681D">
            <w:pPr>
              <w:tabs>
                <w:tab w:val="decimal" w:pos="301"/>
              </w:tabs>
              <w:spacing w:before="40" w:after="4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0</w:t>
            </w:r>
          </w:p>
        </w:tc>
        <w:tc>
          <w:tcPr>
            <w:tcW w:w="449" w:type="pct"/>
            <w:noWrap/>
            <w:hideMark/>
          </w:tcPr>
          <w:p w14:paraId="4B73164B" w14:textId="2230537E" w:rsidR="008B3A4C" w:rsidRPr="000973F2" w:rsidRDefault="008B3A4C" w:rsidP="00A5681D">
            <w:pPr>
              <w:tabs>
                <w:tab w:val="decimal" w:pos="601"/>
              </w:tabs>
              <w:spacing w:before="40" w:after="4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$15,261</w:t>
            </w:r>
          </w:p>
        </w:tc>
        <w:tc>
          <w:tcPr>
            <w:tcW w:w="451" w:type="pct"/>
            <w:noWrap/>
            <w:hideMark/>
          </w:tcPr>
          <w:p w14:paraId="192B226D" w14:textId="77777777" w:rsidR="008B3A4C" w:rsidRPr="000973F2" w:rsidRDefault="008B3A4C" w:rsidP="00A5681D">
            <w:pPr>
              <w:tabs>
                <w:tab w:val="decimal" w:pos="601"/>
              </w:tabs>
              <w:spacing w:before="40" w:after="4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 xml:space="preserve">$15,261 </w:t>
            </w:r>
          </w:p>
        </w:tc>
      </w:tr>
      <w:tr w:rsidR="008B3A4C" w:rsidRPr="000973F2" w14:paraId="646A3C0D" w14:textId="77777777" w:rsidTr="000F404A">
        <w:trPr>
          <w:cantSplit/>
        </w:trPr>
        <w:tc>
          <w:tcPr>
            <w:cnfStyle w:val="001000000000" w:firstRow="0" w:lastRow="0" w:firstColumn="1" w:lastColumn="0" w:oddVBand="0" w:evenVBand="0" w:oddHBand="0" w:evenHBand="0" w:firstRowFirstColumn="0" w:firstRowLastColumn="0" w:lastRowFirstColumn="0" w:lastRowLastColumn="0"/>
            <w:tcW w:w="812" w:type="pct"/>
            <w:hideMark/>
          </w:tcPr>
          <w:p w14:paraId="3D98F9B0" w14:textId="77777777" w:rsidR="008B3A4C" w:rsidRPr="000973F2" w:rsidRDefault="008B3A4C" w:rsidP="00A5681D">
            <w:pPr>
              <w:spacing w:before="40" w:after="4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Reporting</w:t>
            </w:r>
          </w:p>
        </w:tc>
        <w:tc>
          <w:tcPr>
            <w:tcW w:w="411" w:type="pct"/>
            <w:noWrap/>
            <w:hideMark/>
          </w:tcPr>
          <w:p w14:paraId="30AF9920" w14:textId="77777777" w:rsidR="008B3A4C" w:rsidRPr="000973F2" w:rsidRDefault="008B3A4C" w:rsidP="00A5681D">
            <w:pPr>
              <w:tabs>
                <w:tab w:val="decimal" w:pos="301"/>
              </w:tabs>
              <w:spacing w:before="40" w:after="4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0.0</w:t>
            </w:r>
          </w:p>
        </w:tc>
        <w:tc>
          <w:tcPr>
            <w:tcW w:w="411" w:type="pct"/>
            <w:noWrap/>
            <w:hideMark/>
          </w:tcPr>
          <w:p w14:paraId="5B921F57" w14:textId="77777777" w:rsidR="008B3A4C" w:rsidRPr="000973F2" w:rsidRDefault="008B3A4C" w:rsidP="00A5681D">
            <w:pPr>
              <w:tabs>
                <w:tab w:val="decimal" w:pos="301"/>
              </w:tabs>
              <w:spacing w:before="40" w:after="4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0.0</w:t>
            </w:r>
          </w:p>
        </w:tc>
        <w:tc>
          <w:tcPr>
            <w:tcW w:w="411" w:type="pct"/>
            <w:noWrap/>
            <w:hideMark/>
          </w:tcPr>
          <w:p w14:paraId="0FC927B9" w14:textId="77777777" w:rsidR="008B3A4C" w:rsidRPr="000973F2" w:rsidRDefault="008B3A4C" w:rsidP="00A5681D">
            <w:pPr>
              <w:tabs>
                <w:tab w:val="decimal" w:pos="301"/>
              </w:tabs>
              <w:spacing w:before="40" w:after="4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2.0</w:t>
            </w:r>
          </w:p>
        </w:tc>
        <w:tc>
          <w:tcPr>
            <w:tcW w:w="411" w:type="pct"/>
            <w:noWrap/>
            <w:hideMark/>
          </w:tcPr>
          <w:p w14:paraId="330592E3" w14:textId="77777777" w:rsidR="008B3A4C" w:rsidRPr="000973F2" w:rsidRDefault="008B3A4C" w:rsidP="00A5681D">
            <w:pPr>
              <w:tabs>
                <w:tab w:val="decimal" w:pos="301"/>
              </w:tabs>
              <w:spacing w:before="40" w:after="4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2.0</w:t>
            </w:r>
          </w:p>
        </w:tc>
        <w:tc>
          <w:tcPr>
            <w:tcW w:w="411" w:type="pct"/>
            <w:noWrap/>
            <w:hideMark/>
          </w:tcPr>
          <w:p w14:paraId="77E0EE85" w14:textId="77777777" w:rsidR="008B3A4C" w:rsidRPr="000973F2" w:rsidRDefault="008B3A4C" w:rsidP="00A5681D">
            <w:pPr>
              <w:tabs>
                <w:tab w:val="decimal" w:pos="301"/>
              </w:tabs>
              <w:spacing w:before="40" w:after="4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26.0</w:t>
            </w:r>
          </w:p>
        </w:tc>
        <w:tc>
          <w:tcPr>
            <w:tcW w:w="411" w:type="pct"/>
            <w:noWrap/>
            <w:hideMark/>
          </w:tcPr>
          <w:p w14:paraId="0B2B5F47" w14:textId="77777777" w:rsidR="008B3A4C" w:rsidRPr="000973F2" w:rsidRDefault="008B3A4C" w:rsidP="00A5681D">
            <w:pPr>
              <w:tabs>
                <w:tab w:val="decimal" w:pos="301"/>
              </w:tabs>
              <w:spacing w:before="40" w:after="4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26.0</w:t>
            </w:r>
          </w:p>
        </w:tc>
        <w:tc>
          <w:tcPr>
            <w:tcW w:w="411" w:type="pct"/>
            <w:noWrap/>
            <w:hideMark/>
          </w:tcPr>
          <w:p w14:paraId="19F2DD1E" w14:textId="77777777" w:rsidR="008B3A4C" w:rsidRPr="000973F2" w:rsidRDefault="008B3A4C" w:rsidP="00A5681D">
            <w:pPr>
              <w:tabs>
                <w:tab w:val="decimal" w:pos="301"/>
              </w:tabs>
              <w:spacing w:before="40" w:after="4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2</w:t>
            </w:r>
          </w:p>
        </w:tc>
        <w:tc>
          <w:tcPr>
            <w:tcW w:w="411" w:type="pct"/>
            <w:noWrap/>
            <w:hideMark/>
          </w:tcPr>
          <w:p w14:paraId="151995D4" w14:textId="77777777" w:rsidR="008B3A4C" w:rsidRPr="000973F2" w:rsidRDefault="008B3A4C" w:rsidP="00A5681D">
            <w:pPr>
              <w:tabs>
                <w:tab w:val="decimal" w:pos="301"/>
              </w:tabs>
              <w:spacing w:before="40" w:after="4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2</w:t>
            </w:r>
          </w:p>
        </w:tc>
        <w:tc>
          <w:tcPr>
            <w:tcW w:w="449" w:type="pct"/>
            <w:noWrap/>
            <w:hideMark/>
          </w:tcPr>
          <w:p w14:paraId="119595E6" w14:textId="32FFC850" w:rsidR="008B3A4C" w:rsidRPr="000973F2" w:rsidRDefault="008B3A4C" w:rsidP="00A5681D">
            <w:pPr>
              <w:tabs>
                <w:tab w:val="decimal" w:pos="601"/>
              </w:tabs>
              <w:spacing w:before="40" w:after="4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$3,152</w:t>
            </w:r>
          </w:p>
        </w:tc>
        <w:tc>
          <w:tcPr>
            <w:tcW w:w="451" w:type="pct"/>
            <w:noWrap/>
            <w:hideMark/>
          </w:tcPr>
          <w:p w14:paraId="32A44EA7" w14:textId="77777777" w:rsidR="008B3A4C" w:rsidRPr="000973F2" w:rsidRDefault="008B3A4C" w:rsidP="00A5681D">
            <w:pPr>
              <w:tabs>
                <w:tab w:val="decimal" w:pos="601"/>
              </w:tabs>
              <w:spacing w:before="40" w:after="4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 xml:space="preserve">$3,152 </w:t>
            </w:r>
          </w:p>
        </w:tc>
      </w:tr>
      <w:tr w:rsidR="008B3A4C" w:rsidRPr="000973F2" w14:paraId="682CA099" w14:textId="77777777" w:rsidTr="000F404A">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812" w:type="pct"/>
            <w:noWrap/>
            <w:hideMark/>
          </w:tcPr>
          <w:p w14:paraId="5A8EA154" w14:textId="77777777" w:rsidR="008B3A4C" w:rsidRPr="000973F2" w:rsidRDefault="008B3A4C" w:rsidP="00A5681D">
            <w:pPr>
              <w:spacing w:before="40" w:after="40"/>
              <w:rPr>
                <w:rFonts w:ascii="Times New Roman" w:eastAsia="Times New Roman" w:hAnsi="Times New Roman" w:cs="Times New Roman"/>
                <w:b/>
                <w:bCs w:val="0"/>
                <w:sz w:val="18"/>
                <w:szCs w:val="18"/>
              </w:rPr>
            </w:pPr>
            <w:r w:rsidRPr="000973F2">
              <w:rPr>
                <w:rFonts w:ascii="Times New Roman" w:eastAsia="Times New Roman" w:hAnsi="Times New Roman" w:cs="Times New Roman"/>
                <w:b/>
                <w:sz w:val="18"/>
                <w:szCs w:val="18"/>
              </w:rPr>
              <w:t>Total</w:t>
            </w:r>
          </w:p>
        </w:tc>
        <w:tc>
          <w:tcPr>
            <w:tcW w:w="411" w:type="pct"/>
            <w:noWrap/>
            <w:hideMark/>
          </w:tcPr>
          <w:p w14:paraId="2CCFEEDB" w14:textId="77777777" w:rsidR="008B3A4C" w:rsidRPr="000973F2" w:rsidRDefault="008B3A4C" w:rsidP="00A5681D">
            <w:pPr>
              <w:tabs>
                <w:tab w:val="decimal" w:pos="301"/>
              </w:tabs>
              <w:spacing w:before="40" w:after="4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18"/>
                <w:szCs w:val="18"/>
              </w:rPr>
            </w:pPr>
            <w:r w:rsidRPr="000973F2">
              <w:rPr>
                <w:rFonts w:ascii="Times New Roman" w:eastAsia="Times New Roman" w:hAnsi="Times New Roman" w:cs="Times New Roman"/>
                <w:b/>
                <w:bCs/>
                <w:sz w:val="18"/>
                <w:szCs w:val="18"/>
              </w:rPr>
              <w:t>17</w:t>
            </w:r>
          </w:p>
        </w:tc>
        <w:tc>
          <w:tcPr>
            <w:tcW w:w="411" w:type="pct"/>
            <w:noWrap/>
            <w:hideMark/>
          </w:tcPr>
          <w:p w14:paraId="400B0B25" w14:textId="77777777" w:rsidR="008B3A4C" w:rsidRPr="000973F2" w:rsidRDefault="008B3A4C" w:rsidP="00A5681D">
            <w:pPr>
              <w:tabs>
                <w:tab w:val="decimal" w:pos="301"/>
              </w:tabs>
              <w:spacing w:before="40" w:after="4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18"/>
                <w:szCs w:val="18"/>
              </w:rPr>
            </w:pPr>
            <w:r w:rsidRPr="000973F2">
              <w:rPr>
                <w:rFonts w:ascii="Times New Roman" w:eastAsia="Times New Roman" w:hAnsi="Times New Roman" w:cs="Times New Roman"/>
                <w:b/>
                <w:bCs/>
                <w:sz w:val="18"/>
                <w:szCs w:val="18"/>
              </w:rPr>
              <w:t>17</w:t>
            </w:r>
          </w:p>
        </w:tc>
        <w:tc>
          <w:tcPr>
            <w:tcW w:w="411" w:type="pct"/>
            <w:noWrap/>
            <w:hideMark/>
          </w:tcPr>
          <w:p w14:paraId="02B75E24" w14:textId="77777777" w:rsidR="008B3A4C" w:rsidRPr="000973F2" w:rsidRDefault="008B3A4C" w:rsidP="00A5681D">
            <w:pPr>
              <w:tabs>
                <w:tab w:val="decimal" w:pos="301"/>
              </w:tabs>
              <w:spacing w:before="40" w:after="4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18"/>
                <w:szCs w:val="18"/>
              </w:rPr>
            </w:pPr>
            <w:r w:rsidRPr="000973F2">
              <w:rPr>
                <w:rFonts w:ascii="Times New Roman" w:eastAsia="Times New Roman" w:hAnsi="Times New Roman" w:cs="Times New Roman"/>
                <w:b/>
                <w:bCs/>
                <w:sz w:val="18"/>
                <w:szCs w:val="18"/>
              </w:rPr>
              <w:t>67.0</w:t>
            </w:r>
          </w:p>
        </w:tc>
        <w:tc>
          <w:tcPr>
            <w:tcW w:w="411" w:type="pct"/>
            <w:noWrap/>
            <w:hideMark/>
          </w:tcPr>
          <w:p w14:paraId="4FA33A6F" w14:textId="77777777" w:rsidR="008B3A4C" w:rsidRPr="000973F2" w:rsidRDefault="008B3A4C" w:rsidP="00A5681D">
            <w:pPr>
              <w:tabs>
                <w:tab w:val="decimal" w:pos="301"/>
              </w:tabs>
              <w:spacing w:before="40" w:after="4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18"/>
                <w:szCs w:val="18"/>
              </w:rPr>
            </w:pPr>
            <w:r w:rsidRPr="000973F2">
              <w:rPr>
                <w:rFonts w:ascii="Times New Roman" w:eastAsia="Times New Roman" w:hAnsi="Times New Roman" w:cs="Times New Roman"/>
                <w:b/>
                <w:bCs/>
                <w:sz w:val="18"/>
                <w:szCs w:val="18"/>
              </w:rPr>
              <w:t>67.0</w:t>
            </w:r>
          </w:p>
        </w:tc>
        <w:tc>
          <w:tcPr>
            <w:tcW w:w="411" w:type="pct"/>
            <w:noWrap/>
            <w:hideMark/>
          </w:tcPr>
          <w:p w14:paraId="44058660" w14:textId="77777777" w:rsidR="008B3A4C" w:rsidRPr="000973F2" w:rsidRDefault="008B3A4C" w:rsidP="00A5681D">
            <w:pPr>
              <w:tabs>
                <w:tab w:val="decimal" w:pos="301"/>
              </w:tabs>
              <w:spacing w:before="40" w:after="4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18"/>
                <w:szCs w:val="18"/>
              </w:rPr>
            </w:pPr>
            <w:r w:rsidRPr="000973F2">
              <w:rPr>
                <w:rFonts w:ascii="Times New Roman" w:eastAsia="Times New Roman" w:hAnsi="Times New Roman" w:cs="Times New Roman"/>
                <w:b/>
                <w:bCs/>
                <w:sz w:val="18"/>
                <w:szCs w:val="18"/>
              </w:rPr>
              <w:t>229.0</w:t>
            </w:r>
          </w:p>
        </w:tc>
        <w:tc>
          <w:tcPr>
            <w:tcW w:w="411" w:type="pct"/>
            <w:noWrap/>
            <w:hideMark/>
          </w:tcPr>
          <w:p w14:paraId="2300D762" w14:textId="77777777" w:rsidR="008B3A4C" w:rsidRPr="000973F2" w:rsidRDefault="008B3A4C" w:rsidP="00A5681D">
            <w:pPr>
              <w:tabs>
                <w:tab w:val="decimal" w:pos="301"/>
              </w:tabs>
              <w:spacing w:before="40" w:after="4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18"/>
                <w:szCs w:val="18"/>
              </w:rPr>
            </w:pPr>
            <w:r w:rsidRPr="000973F2">
              <w:rPr>
                <w:rFonts w:ascii="Times New Roman" w:eastAsia="Times New Roman" w:hAnsi="Times New Roman" w:cs="Times New Roman"/>
                <w:b/>
                <w:bCs/>
                <w:sz w:val="18"/>
                <w:szCs w:val="18"/>
              </w:rPr>
              <w:t>229.0</w:t>
            </w:r>
          </w:p>
        </w:tc>
        <w:tc>
          <w:tcPr>
            <w:tcW w:w="411" w:type="pct"/>
            <w:noWrap/>
            <w:hideMark/>
          </w:tcPr>
          <w:p w14:paraId="7253A184" w14:textId="77777777" w:rsidR="008B3A4C" w:rsidRPr="000973F2" w:rsidRDefault="008B3A4C" w:rsidP="00A5681D">
            <w:pPr>
              <w:tabs>
                <w:tab w:val="decimal" w:pos="301"/>
              </w:tabs>
              <w:spacing w:before="40" w:after="4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18"/>
                <w:szCs w:val="18"/>
              </w:rPr>
            </w:pPr>
            <w:r w:rsidRPr="000973F2">
              <w:rPr>
                <w:rFonts w:ascii="Times New Roman" w:eastAsia="Times New Roman" w:hAnsi="Times New Roman" w:cs="Times New Roman"/>
                <w:b/>
                <w:bCs/>
                <w:sz w:val="18"/>
                <w:szCs w:val="18"/>
              </w:rPr>
              <w:t>24</w:t>
            </w:r>
          </w:p>
        </w:tc>
        <w:tc>
          <w:tcPr>
            <w:tcW w:w="411" w:type="pct"/>
            <w:noWrap/>
            <w:hideMark/>
          </w:tcPr>
          <w:p w14:paraId="0D6839C5" w14:textId="77777777" w:rsidR="008B3A4C" w:rsidRPr="000973F2" w:rsidRDefault="008B3A4C" w:rsidP="00A5681D">
            <w:pPr>
              <w:tabs>
                <w:tab w:val="decimal" w:pos="301"/>
              </w:tabs>
              <w:spacing w:before="40" w:after="4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18"/>
                <w:szCs w:val="18"/>
              </w:rPr>
            </w:pPr>
            <w:r w:rsidRPr="000973F2">
              <w:rPr>
                <w:rFonts w:ascii="Times New Roman" w:eastAsia="Times New Roman" w:hAnsi="Times New Roman" w:cs="Times New Roman"/>
                <w:b/>
                <w:bCs/>
                <w:sz w:val="18"/>
                <w:szCs w:val="18"/>
              </w:rPr>
              <w:t>24</w:t>
            </w:r>
          </w:p>
        </w:tc>
        <w:tc>
          <w:tcPr>
            <w:tcW w:w="449" w:type="pct"/>
            <w:noWrap/>
            <w:hideMark/>
          </w:tcPr>
          <w:p w14:paraId="727CF4EF" w14:textId="19B4801A" w:rsidR="008B3A4C" w:rsidRPr="000973F2" w:rsidRDefault="008B3A4C" w:rsidP="00A5681D">
            <w:pPr>
              <w:tabs>
                <w:tab w:val="decimal" w:pos="601"/>
              </w:tabs>
              <w:spacing w:before="40" w:after="4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18"/>
                <w:szCs w:val="18"/>
              </w:rPr>
            </w:pPr>
            <w:r w:rsidRPr="000973F2">
              <w:rPr>
                <w:rFonts w:ascii="Times New Roman" w:eastAsia="Times New Roman" w:hAnsi="Times New Roman" w:cs="Times New Roman"/>
                <w:b/>
                <w:bCs/>
                <w:sz w:val="18"/>
                <w:szCs w:val="18"/>
              </w:rPr>
              <w:t>$37,049</w:t>
            </w:r>
          </w:p>
        </w:tc>
        <w:tc>
          <w:tcPr>
            <w:tcW w:w="451" w:type="pct"/>
            <w:noWrap/>
            <w:hideMark/>
          </w:tcPr>
          <w:p w14:paraId="3ECD61C5" w14:textId="77777777" w:rsidR="008B3A4C" w:rsidRPr="000973F2" w:rsidRDefault="008B3A4C" w:rsidP="00A5681D">
            <w:pPr>
              <w:tabs>
                <w:tab w:val="decimal" w:pos="601"/>
              </w:tabs>
              <w:spacing w:before="40" w:after="4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18"/>
                <w:szCs w:val="18"/>
              </w:rPr>
            </w:pPr>
            <w:r w:rsidRPr="000973F2">
              <w:rPr>
                <w:rFonts w:ascii="Times New Roman" w:eastAsia="Times New Roman" w:hAnsi="Times New Roman" w:cs="Times New Roman"/>
                <w:b/>
                <w:bCs/>
                <w:sz w:val="18"/>
                <w:szCs w:val="18"/>
              </w:rPr>
              <w:t xml:space="preserve">$37,049 </w:t>
            </w:r>
          </w:p>
        </w:tc>
      </w:tr>
    </w:tbl>
    <w:p w14:paraId="1E93C40D" w14:textId="77777777" w:rsidR="008B3A4C" w:rsidRPr="000973F2" w:rsidRDefault="008B3A4C" w:rsidP="00C00E4F">
      <w:pPr>
        <w:spacing w:line="240" w:lineRule="auto"/>
        <w:rPr>
          <w:rFonts w:ascii="Times New Roman" w:hAnsi="Times New Roman" w:cs="Times New Roman"/>
          <w:b/>
          <w:i/>
        </w:rPr>
      </w:pPr>
      <w:r w:rsidRPr="000973F2">
        <w:rPr>
          <w:rFonts w:ascii="Times New Roman" w:hAnsi="Times New Roman" w:cs="Times New Roman"/>
          <w:b/>
          <w:i/>
        </w:rPr>
        <w:br w:type="page"/>
      </w:r>
    </w:p>
    <w:p w14:paraId="25D4D70E" w14:textId="77777777" w:rsidR="008B3A4C" w:rsidRPr="000973F2" w:rsidRDefault="008B3A4C" w:rsidP="00FB50E0">
      <w:pPr>
        <w:pStyle w:val="Heading2"/>
      </w:pPr>
      <w:r w:rsidRPr="000973F2">
        <w:t>Capital and O&amp;M Costs for Subpart RR</w:t>
      </w:r>
    </w:p>
    <w:p w14:paraId="714AEDA1" w14:textId="5400E8C4" w:rsidR="008B3A4C" w:rsidRPr="000973F2" w:rsidRDefault="008B3A4C" w:rsidP="00FB50E0">
      <w:pPr>
        <w:pStyle w:val="BodyText"/>
      </w:pPr>
      <w:r w:rsidRPr="000973F2">
        <w:t xml:space="preserve">Table </w:t>
      </w:r>
      <w:r w:rsidR="00FB50E0" w:rsidRPr="000973F2">
        <w:t>RR-</w:t>
      </w:r>
      <w:r w:rsidRPr="000973F2">
        <w:t>2 summarizes the capital and O&amp;M costs associated with developing and implementing an MRV plan for a Class VI/deep saline formation project, and with annual reporting according to that plan. These activities are incremental to those that may be associated with a Class VI permit. These costs are associated with purchasing and periodically replacing equipment associated with continuous monitoring of surface pressures, temperatures, and production and injection rates, along with periodic monitoring of injection gas composition and potential corrosion. Continuous monitoring equipment is not expected to be in place as part of baseline Class VI reporting requirements. In addition, recordkeeping costs are incurred as part of Class VI requirements; therefore, no incremental costs for recordkeeping are expected to be incurred as a result of the Subpart RR requirements.</w:t>
      </w:r>
    </w:p>
    <w:p w14:paraId="628B2682" w14:textId="77777777" w:rsidR="008B3A4C" w:rsidRPr="000973F2" w:rsidRDefault="008B3A4C" w:rsidP="00FB50E0">
      <w:pPr>
        <w:pStyle w:val="BodyText"/>
      </w:pPr>
      <w:r w:rsidRPr="000973F2">
        <w:t>No incremental capital or O&amp;M costs are expected for a Class II/CO</w:t>
      </w:r>
      <w:r w:rsidRPr="000973F2">
        <w:rPr>
          <w:vertAlign w:val="subscript"/>
        </w:rPr>
        <w:t>2</w:t>
      </w:r>
      <w:r w:rsidRPr="000973F2">
        <w:t>-EOR project because these facilities are expected to have vigorous monitoring and recordkeeping systems already in place.</w:t>
      </w:r>
    </w:p>
    <w:p w14:paraId="386481B5" w14:textId="78461E13" w:rsidR="008B3A4C" w:rsidRPr="000973F2" w:rsidRDefault="00BD06B2" w:rsidP="00FB50E0">
      <w:pPr>
        <w:pStyle w:val="Tabletitle"/>
      </w:pPr>
      <w:r w:rsidRPr="000973F2">
        <w:t xml:space="preserve">Table </w:t>
      </w:r>
      <w:r w:rsidR="00FB50E0" w:rsidRPr="000973F2">
        <w:t>RR-</w:t>
      </w:r>
      <w:r w:rsidRPr="000973F2">
        <w:t xml:space="preserve">2. Capital and O&amp;M Costs </w:t>
      </w:r>
      <w:r w:rsidR="00B960CC" w:rsidRPr="000973F2">
        <w:t>–</w:t>
      </w:r>
      <w:r w:rsidRPr="000973F2">
        <w:t xml:space="preserve"> </w:t>
      </w:r>
      <w:r w:rsidR="008B3A4C" w:rsidRPr="000973F2">
        <w:t>Subpart RR – Class VI/Deep Saline Formation Storage</w:t>
      </w:r>
    </w:p>
    <w:tbl>
      <w:tblPr>
        <w:tblStyle w:val="PlainTable1"/>
        <w:tblW w:w="5000" w:type="pct"/>
        <w:jc w:val="left"/>
        <w:tblLook w:val="04A0" w:firstRow="1" w:lastRow="0" w:firstColumn="1" w:lastColumn="0" w:noHBand="0" w:noVBand="1"/>
      </w:tblPr>
      <w:tblGrid>
        <w:gridCol w:w="1465"/>
        <w:gridCol w:w="1352"/>
        <w:gridCol w:w="1352"/>
        <w:gridCol w:w="1352"/>
        <w:gridCol w:w="1362"/>
        <w:gridCol w:w="1343"/>
        <w:gridCol w:w="1350"/>
      </w:tblGrid>
      <w:tr w:rsidR="00D17312" w:rsidRPr="000973F2" w14:paraId="0683D411" w14:textId="77777777" w:rsidTr="00FB50E0">
        <w:trPr>
          <w:cnfStyle w:val="100000000000" w:firstRow="1" w:lastRow="0" w:firstColumn="0" w:lastColumn="0" w:oddVBand="0" w:evenVBand="0" w:oddHBand="0" w:evenHBand="0" w:firstRowFirstColumn="0" w:firstRowLastColumn="0" w:lastRowFirstColumn="0" w:lastRowLastColumn="0"/>
          <w:cantSplit/>
          <w:jc w:val="left"/>
        </w:trPr>
        <w:tc>
          <w:tcPr>
            <w:cnfStyle w:val="001000000000" w:firstRow="0" w:lastRow="0" w:firstColumn="1" w:lastColumn="0" w:oddVBand="0" w:evenVBand="0" w:oddHBand="0" w:evenHBand="0" w:firstRowFirstColumn="0" w:firstRowLastColumn="0" w:lastRowFirstColumn="0" w:lastRowLastColumn="0"/>
            <w:tcW w:w="765" w:type="pct"/>
            <w:vMerge w:val="restart"/>
            <w:noWrap/>
            <w:vAlign w:val="top"/>
            <w:hideMark/>
          </w:tcPr>
          <w:p w14:paraId="214990F2" w14:textId="4C77A646" w:rsidR="00D17312" w:rsidRPr="000973F2" w:rsidRDefault="00D17312" w:rsidP="00FB50E0">
            <w:pPr>
              <w:spacing w:before="40" w:after="40"/>
              <w:rPr>
                <w:rFonts w:ascii="Times New Roman" w:eastAsia="Times New Roman" w:hAnsi="Times New Roman" w:cs="Times New Roman"/>
                <w:b w:val="0"/>
                <w:bCs w:val="0"/>
                <w:sz w:val="18"/>
                <w:szCs w:val="18"/>
              </w:rPr>
            </w:pPr>
            <w:r w:rsidRPr="000973F2">
              <w:rPr>
                <w:rFonts w:ascii="Times New Roman" w:eastAsia="Times New Roman" w:hAnsi="Times New Roman" w:cs="Times New Roman"/>
                <w:sz w:val="18"/>
                <w:szCs w:val="18"/>
              </w:rPr>
              <w:t>Activity</w:t>
            </w:r>
          </w:p>
        </w:tc>
        <w:tc>
          <w:tcPr>
            <w:tcW w:w="2829" w:type="pct"/>
            <w:gridSpan w:val="4"/>
            <w:noWrap/>
            <w:vAlign w:val="top"/>
            <w:hideMark/>
          </w:tcPr>
          <w:p w14:paraId="1E4A4931" w14:textId="77777777" w:rsidR="00D17312" w:rsidRPr="000973F2" w:rsidRDefault="00D17312" w:rsidP="00FB50E0">
            <w:pPr>
              <w:spacing w:before="40" w:after="40"/>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bCs w:val="0"/>
                <w:sz w:val="18"/>
                <w:szCs w:val="18"/>
              </w:rPr>
            </w:pPr>
            <w:r w:rsidRPr="000973F2">
              <w:rPr>
                <w:rFonts w:ascii="Times New Roman" w:eastAsia="Times New Roman" w:hAnsi="Times New Roman" w:cs="Times New Roman"/>
                <w:sz w:val="18"/>
                <w:szCs w:val="18"/>
              </w:rPr>
              <w:t>Cost Categories</w:t>
            </w:r>
          </w:p>
        </w:tc>
        <w:tc>
          <w:tcPr>
            <w:tcW w:w="1406" w:type="pct"/>
            <w:gridSpan w:val="2"/>
            <w:vAlign w:val="top"/>
            <w:hideMark/>
          </w:tcPr>
          <w:p w14:paraId="22E6ACE7" w14:textId="77777777" w:rsidR="00D17312" w:rsidRPr="000973F2" w:rsidRDefault="00D17312" w:rsidP="00FB50E0">
            <w:pPr>
              <w:spacing w:before="40" w:after="40"/>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bCs w:val="0"/>
                <w:sz w:val="18"/>
                <w:szCs w:val="18"/>
              </w:rPr>
            </w:pPr>
            <w:r w:rsidRPr="000973F2">
              <w:rPr>
                <w:rFonts w:ascii="Times New Roman" w:eastAsia="Times New Roman" w:hAnsi="Times New Roman" w:cs="Times New Roman"/>
                <w:sz w:val="18"/>
                <w:szCs w:val="18"/>
              </w:rPr>
              <w:t>Total Capital and O&amp;M Cost per Year per Facility (2017$)</w:t>
            </w:r>
          </w:p>
        </w:tc>
      </w:tr>
      <w:tr w:rsidR="00FB50E0" w:rsidRPr="000973F2" w14:paraId="71EEAD4D" w14:textId="77777777" w:rsidTr="00FB50E0">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765" w:type="pct"/>
            <w:vMerge/>
            <w:noWrap/>
            <w:hideMark/>
          </w:tcPr>
          <w:p w14:paraId="0A6B41DB" w14:textId="3960DEBA" w:rsidR="00D17312" w:rsidRPr="000973F2" w:rsidRDefault="00D17312" w:rsidP="00FB50E0">
            <w:pPr>
              <w:spacing w:before="40" w:after="40"/>
              <w:jc w:val="center"/>
              <w:rPr>
                <w:rFonts w:ascii="Times New Roman" w:eastAsia="Times New Roman" w:hAnsi="Times New Roman" w:cs="Times New Roman"/>
                <w:b/>
                <w:bCs w:val="0"/>
                <w:sz w:val="18"/>
                <w:szCs w:val="18"/>
              </w:rPr>
            </w:pPr>
          </w:p>
        </w:tc>
        <w:tc>
          <w:tcPr>
            <w:tcW w:w="706" w:type="pct"/>
            <w:tcMar>
              <w:left w:w="14" w:type="dxa"/>
              <w:right w:w="14" w:type="dxa"/>
            </w:tcMar>
            <w:hideMark/>
          </w:tcPr>
          <w:p w14:paraId="4FCA3271" w14:textId="77777777" w:rsidR="00D17312" w:rsidRPr="000973F2" w:rsidRDefault="00D17312" w:rsidP="00FB50E0">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18"/>
                <w:szCs w:val="18"/>
              </w:rPr>
            </w:pPr>
            <w:r w:rsidRPr="000973F2">
              <w:rPr>
                <w:rFonts w:ascii="Times New Roman" w:eastAsia="Times New Roman" w:hAnsi="Times New Roman" w:cs="Times New Roman"/>
                <w:b/>
                <w:bCs/>
                <w:sz w:val="18"/>
                <w:szCs w:val="18"/>
              </w:rPr>
              <w:t>Capital Cost (2017$)</w:t>
            </w:r>
          </w:p>
        </w:tc>
        <w:tc>
          <w:tcPr>
            <w:tcW w:w="706" w:type="pct"/>
            <w:tcMar>
              <w:left w:w="14" w:type="dxa"/>
              <w:right w:w="14" w:type="dxa"/>
            </w:tcMar>
            <w:hideMark/>
          </w:tcPr>
          <w:p w14:paraId="1AFE089F" w14:textId="77777777" w:rsidR="00D17312" w:rsidRPr="000973F2" w:rsidRDefault="00D17312" w:rsidP="00FB50E0">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18"/>
                <w:szCs w:val="18"/>
              </w:rPr>
            </w:pPr>
            <w:r w:rsidRPr="000973F2">
              <w:rPr>
                <w:rFonts w:ascii="Times New Roman" w:eastAsia="Times New Roman" w:hAnsi="Times New Roman" w:cs="Times New Roman"/>
                <w:b/>
                <w:bCs/>
                <w:sz w:val="18"/>
                <w:szCs w:val="18"/>
              </w:rPr>
              <w:t>Equipment Lifetime</w:t>
            </w:r>
          </w:p>
        </w:tc>
        <w:tc>
          <w:tcPr>
            <w:tcW w:w="706" w:type="pct"/>
            <w:tcMar>
              <w:left w:w="14" w:type="dxa"/>
              <w:right w:w="14" w:type="dxa"/>
            </w:tcMar>
            <w:hideMark/>
          </w:tcPr>
          <w:p w14:paraId="1E9D80FF" w14:textId="77777777" w:rsidR="00D17312" w:rsidRPr="000973F2" w:rsidRDefault="00D17312" w:rsidP="00FB50E0">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18"/>
                <w:szCs w:val="18"/>
              </w:rPr>
            </w:pPr>
            <w:r w:rsidRPr="000973F2">
              <w:rPr>
                <w:rFonts w:ascii="Times New Roman" w:eastAsia="Times New Roman" w:hAnsi="Times New Roman" w:cs="Times New Roman"/>
                <w:b/>
                <w:bCs/>
                <w:sz w:val="18"/>
                <w:szCs w:val="18"/>
              </w:rPr>
              <w:t>Annualized Capital Cost (2017$/year)</w:t>
            </w:r>
          </w:p>
        </w:tc>
        <w:tc>
          <w:tcPr>
            <w:tcW w:w="711" w:type="pct"/>
            <w:tcMar>
              <w:left w:w="14" w:type="dxa"/>
              <w:right w:w="14" w:type="dxa"/>
            </w:tcMar>
            <w:hideMark/>
          </w:tcPr>
          <w:p w14:paraId="1B6A8A2F" w14:textId="77777777" w:rsidR="00D17312" w:rsidRPr="000973F2" w:rsidRDefault="00D17312" w:rsidP="00FB50E0">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18"/>
                <w:szCs w:val="18"/>
              </w:rPr>
            </w:pPr>
            <w:r w:rsidRPr="000973F2">
              <w:rPr>
                <w:rFonts w:ascii="Times New Roman" w:eastAsia="Times New Roman" w:hAnsi="Times New Roman" w:cs="Times New Roman"/>
                <w:b/>
                <w:bCs/>
                <w:sz w:val="18"/>
                <w:szCs w:val="18"/>
              </w:rPr>
              <w:t>O&amp;M Costs (2017$/year)</w:t>
            </w:r>
          </w:p>
        </w:tc>
        <w:tc>
          <w:tcPr>
            <w:tcW w:w="701" w:type="pct"/>
            <w:tcMar>
              <w:left w:w="14" w:type="dxa"/>
              <w:right w:w="14" w:type="dxa"/>
            </w:tcMar>
            <w:hideMark/>
          </w:tcPr>
          <w:p w14:paraId="6143F4DB" w14:textId="6C2B0B88" w:rsidR="00D17312" w:rsidRPr="000973F2" w:rsidRDefault="00D17312" w:rsidP="00FB50E0">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18"/>
                <w:szCs w:val="18"/>
              </w:rPr>
            </w:pPr>
            <w:r w:rsidRPr="000973F2">
              <w:rPr>
                <w:rFonts w:ascii="Times New Roman" w:eastAsia="Times New Roman" w:hAnsi="Times New Roman" w:cs="Times New Roman"/>
                <w:b/>
                <w:bCs/>
                <w:sz w:val="18"/>
                <w:szCs w:val="18"/>
              </w:rPr>
              <w:t xml:space="preserve">Initial </w:t>
            </w:r>
            <w:r w:rsidR="00FB50E0" w:rsidRPr="000973F2">
              <w:rPr>
                <w:rFonts w:ascii="Times New Roman" w:eastAsia="Times New Roman" w:hAnsi="Times New Roman" w:cs="Times New Roman"/>
                <w:b/>
                <w:bCs/>
                <w:sz w:val="18"/>
                <w:szCs w:val="18"/>
              </w:rPr>
              <w:br/>
            </w:r>
            <w:r w:rsidRPr="000973F2">
              <w:rPr>
                <w:rFonts w:ascii="Times New Roman" w:eastAsia="Times New Roman" w:hAnsi="Times New Roman" w:cs="Times New Roman"/>
                <w:b/>
                <w:bCs/>
                <w:sz w:val="18"/>
                <w:szCs w:val="18"/>
              </w:rPr>
              <w:t>Year</w:t>
            </w:r>
          </w:p>
        </w:tc>
        <w:tc>
          <w:tcPr>
            <w:tcW w:w="705" w:type="pct"/>
            <w:tcMar>
              <w:left w:w="14" w:type="dxa"/>
              <w:right w:w="14" w:type="dxa"/>
            </w:tcMar>
            <w:hideMark/>
          </w:tcPr>
          <w:p w14:paraId="57A50CF3" w14:textId="628A3BF5" w:rsidR="00D17312" w:rsidRPr="000973F2" w:rsidRDefault="00D17312" w:rsidP="00FB50E0">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18"/>
                <w:szCs w:val="18"/>
              </w:rPr>
            </w:pPr>
            <w:r w:rsidRPr="000973F2">
              <w:rPr>
                <w:rFonts w:ascii="Times New Roman" w:eastAsia="Times New Roman" w:hAnsi="Times New Roman" w:cs="Times New Roman"/>
                <w:b/>
                <w:bCs/>
                <w:sz w:val="18"/>
                <w:szCs w:val="18"/>
              </w:rPr>
              <w:t>Subseq.</w:t>
            </w:r>
            <w:r w:rsidR="00FB50E0" w:rsidRPr="000973F2">
              <w:rPr>
                <w:rFonts w:ascii="Times New Roman" w:eastAsia="Times New Roman" w:hAnsi="Times New Roman" w:cs="Times New Roman"/>
                <w:b/>
                <w:bCs/>
                <w:sz w:val="18"/>
                <w:szCs w:val="18"/>
              </w:rPr>
              <w:t xml:space="preserve"> </w:t>
            </w:r>
            <w:r w:rsidR="00FB50E0" w:rsidRPr="000973F2">
              <w:rPr>
                <w:rFonts w:ascii="Times New Roman" w:eastAsia="Times New Roman" w:hAnsi="Times New Roman" w:cs="Times New Roman"/>
                <w:b/>
                <w:bCs/>
                <w:sz w:val="18"/>
                <w:szCs w:val="18"/>
              </w:rPr>
              <w:br/>
            </w:r>
            <w:r w:rsidRPr="000973F2">
              <w:rPr>
                <w:rFonts w:ascii="Times New Roman" w:eastAsia="Times New Roman" w:hAnsi="Times New Roman" w:cs="Times New Roman"/>
                <w:b/>
                <w:bCs/>
                <w:sz w:val="18"/>
                <w:szCs w:val="18"/>
              </w:rPr>
              <w:t>Years</w:t>
            </w:r>
          </w:p>
        </w:tc>
      </w:tr>
      <w:tr w:rsidR="00FB50E0" w:rsidRPr="000973F2" w14:paraId="2558F0D1" w14:textId="77777777" w:rsidTr="00FB50E0">
        <w:trPr>
          <w:cantSplit/>
        </w:trPr>
        <w:tc>
          <w:tcPr>
            <w:cnfStyle w:val="001000000000" w:firstRow="0" w:lastRow="0" w:firstColumn="1" w:lastColumn="0" w:oddVBand="0" w:evenVBand="0" w:oddHBand="0" w:evenHBand="0" w:firstRowFirstColumn="0" w:firstRowLastColumn="0" w:lastRowFirstColumn="0" w:lastRowLastColumn="0"/>
            <w:tcW w:w="765" w:type="pct"/>
            <w:hideMark/>
          </w:tcPr>
          <w:p w14:paraId="6C7B59CE" w14:textId="77777777" w:rsidR="008B3A4C" w:rsidRPr="000973F2" w:rsidRDefault="008B3A4C" w:rsidP="00FB50E0">
            <w:pPr>
              <w:spacing w:before="40" w:after="4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Equipment (selection, purchase, installation)</w:t>
            </w:r>
          </w:p>
        </w:tc>
        <w:tc>
          <w:tcPr>
            <w:tcW w:w="706" w:type="pct"/>
            <w:noWrap/>
            <w:hideMark/>
          </w:tcPr>
          <w:p w14:paraId="53313756" w14:textId="76C6D5C8" w:rsidR="008B3A4C" w:rsidRPr="000973F2" w:rsidRDefault="00B25046" w:rsidP="00FB50E0">
            <w:pPr>
              <w:spacing w:before="40" w:after="4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$0</w:t>
            </w:r>
          </w:p>
        </w:tc>
        <w:tc>
          <w:tcPr>
            <w:tcW w:w="706" w:type="pct"/>
            <w:noWrap/>
          </w:tcPr>
          <w:p w14:paraId="2224AFB1" w14:textId="0443C683" w:rsidR="008B3A4C" w:rsidRPr="000973F2" w:rsidRDefault="008B3A4C" w:rsidP="00FB50E0">
            <w:pPr>
              <w:spacing w:before="40" w:after="4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p>
        </w:tc>
        <w:tc>
          <w:tcPr>
            <w:tcW w:w="706" w:type="pct"/>
            <w:noWrap/>
            <w:hideMark/>
          </w:tcPr>
          <w:p w14:paraId="7474DDC8" w14:textId="3B0F5DAF" w:rsidR="008B3A4C" w:rsidRPr="000973F2" w:rsidRDefault="00B25046" w:rsidP="00FB50E0">
            <w:pPr>
              <w:spacing w:before="40" w:after="4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$0</w:t>
            </w:r>
          </w:p>
        </w:tc>
        <w:tc>
          <w:tcPr>
            <w:tcW w:w="711" w:type="pct"/>
            <w:noWrap/>
            <w:hideMark/>
          </w:tcPr>
          <w:p w14:paraId="426D429C" w14:textId="77777777" w:rsidR="008B3A4C" w:rsidRPr="000973F2" w:rsidRDefault="008B3A4C" w:rsidP="00FB50E0">
            <w:pPr>
              <w:spacing w:before="40" w:after="4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$16,000</w:t>
            </w:r>
          </w:p>
        </w:tc>
        <w:tc>
          <w:tcPr>
            <w:tcW w:w="701" w:type="pct"/>
            <w:noWrap/>
            <w:hideMark/>
          </w:tcPr>
          <w:p w14:paraId="74A1255F" w14:textId="77777777" w:rsidR="008B3A4C" w:rsidRPr="000973F2" w:rsidRDefault="008B3A4C" w:rsidP="00FB50E0">
            <w:pPr>
              <w:spacing w:before="40" w:after="4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$0</w:t>
            </w:r>
          </w:p>
        </w:tc>
        <w:tc>
          <w:tcPr>
            <w:tcW w:w="705" w:type="pct"/>
            <w:noWrap/>
            <w:hideMark/>
          </w:tcPr>
          <w:p w14:paraId="6523B162" w14:textId="77777777" w:rsidR="008B3A4C" w:rsidRPr="000973F2" w:rsidRDefault="008B3A4C" w:rsidP="00FB50E0">
            <w:pPr>
              <w:spacing w:before="40" w:after="4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$16,000</w:t>
            </w:r>
          </w:p>
        </w:tc>
      </w:tr>
      <w:tr w:rsidR="00FB50E0" w:rsidRPr="000973F2" w14:paraId="1BDDF254" w14:textId="77777777" w:rsidTr="00FB50E0">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765" w:type="pct"/>
            <w:hideMark/>
          </w:tcPr>
          <w:p w14:paraId="601B5133" w14:textId="77777777" w:rsidR="00FB50E0" w:rsidRPr="000973F2" w:rsidRDefault="00FB50E0" w:rsidP="00FB50E0">
            <w:pPr>
              <w:spacing w:before="40" w:after="4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Performance testing</w:t>
            </w:r>
          </w:p>
        </w:tc>
        <w:tc>
          <w:tcPr>
            <w:tcW w:w="706" w:type="pct"/>
            <w:noWrap/>
            <w:hideMark/>
          </w:tcPr>
          <w:p w14:paraId="1306F21D" w14:textId="3E3AF0C8" w:rsidR="00FB50E0" w:rsidRPr="000973F2" w:rsidRDefault="00FB50E0" w:rsidP="00FB50E0">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w:t>
            </w:r>
          </w:p>
        </w:tc>
        <w:tc>
          <w:tcPr>
            <w:tcW w:w="706" w:type="pct"/>
            <w:noWrap/>
          </w:tcPr>
          <w:p w14:paraId="0C82FB2F" w14:textId="30FE1542" w:rsidR="00FB50E0" w:rsidRPr="000973F2" w:rsidRDefault="00FB50E0" w:rsidP="00FB50E0">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p>
        </w:tc>
        <w:tc>
          <w:tcPr>
            <w:tcW w:w="706" w:type="pct"/>
            <w:noWrap/>
            <w:hideMark/>
          </w:tcPr>
          <w:p w14:paraId="17EAF9D7" w14:textId="21D205A3" w:rsidR="00FB50E0" w:rsidRPr="000973F2" w:rsidRDefault="00FB50E0" w:rsidP="00FB50E0">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w:t>
            </w:r>
          </w:p>
        </w:tc>
        <w:tc>
          <w:tcPr>
            <w:tcW w:w="711" w:type="pct"/>
            <w:noWrap/>
            <w:hideMark/>
          </w:tcPr>
          <w:p w14:paraId="2C7F76B0" w14:textId="6042F7ED" w:rsidR="00FB50E0" w:rsidRPr="000973F2" w:rsidRDefault="00FB50E0" w:rsidP="00FB50E0">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w:t>
            </w:r>
          </w:p>
        </w:tc>
        <w:tc>
          <w:tcPr>
            <w:tcW w:w="701" w:type="pct"/>
            <w:noWrap/>
            <w:hideMark/>
          </w:tcPr>
          <w:p w14:paraId="30F8FFA7" w14:textId="008CF63A" w:rsidR="00FB50E0" w:rsidRPr="000973F2" w:rsidRDefault="00FB50E0" w:rsidP="00FB50E0">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w:t>
            </w:r>
          </w:p>
        </w:tc>
        <w:tc>
          <w:tcPr>
            <w:tcW w:w="705" w:type="pct"/>
            <w:noWrap/>
            <w:hideMark/>
          </w:tcPr>
          <w:p w14:paraId="5B74689B" w14:textId="7EC909B9" w:rsidR="00FB50E0" w:rsidRPr="000973F2" w:rsidRDefault="00FB50E0" w:rsidP="00FB50E0">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w:t>
            </w:r>
          </w:p>
        </w:tc>
      </w:tr>
      <w:tr w:rsidR="00FB50E0" w:rsidRPr="000973F2" w14:paraId="57BC949E" w14:textId="77777777" w:rsidTr="00FB50E0">
        <w:trPr>
          <w:cantSplit/>
        </w:trPr>
        <w:tc>
          <w:tcPr>
            <w:cnfStyle w:val="001000000000" w:firstRow="0" w:lastRow="0" w:firstColumn="1" w:lastColumn="0" w:oddVBand="0" w:evenVBand="0" w:oddHBand="0" w:evenHBand="0" w:firstRowFirstColumn="0" w:firstRowLastColumn="0" w:lastRowFirstColumn="0" w:lastRowLastColumn="0"/>
            <w:tcW w:w="765" w:type="pct"/>
            <w:hideMark/>
          </w:tcPr>
          <w:p w14:paraId="2CA64933" w14:textId="77777777" w:rsidR="00FB50E0" w:rsidRPr="000973F2" w:rsidRDefault="00FB50E0" w:rsidP="00FB50E0">
            <w:pPr>
              <w:spacing w:before="40" w:after="4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Recordkeeping</w:t>
            </w:r>
          </w:p>
        </w:tc>
        <w:tc>
          <w:tcPr>
            <w:tcW w:w="706" w:type="pct"/>
            <w:noWrap/>
            <w:hideMark/>
          </w:tcPr>
          <w:p w14:paraId="0252E45A" w14:textId="41EF2F3A" w:rsidR="00FB50E0" w:rsidRPr="000973F2" w:rsidRDefault="00FB50E0" w:rsidP="00FB50E0">
            <w:pPr>
              <w:spacing w:before="40" w:after="4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w:t>
            </w:r>
          </w:p>
        </w:tc>
        <w:tc>
          <w:tcPr>
            <w:tcW w:w="706" w:type="pct"/>
            <w:noWrap/>
          </w:tcPr>
          <w:p w14:paraId="410EF45D" w14:textId="1E825ED1" w:rsidR="00FB50E0" w:rsidRPr="000973F2" w:rsidRDefault="00FB50E0" w:rsidP="00FB50E0">
            <w:pPr>
              <w:spacing w:before="40" w:after="4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p>
        </w:tc>
        <w:tc>
          <w:tcPr>
            <w:tcW w:w="706" w:type="pct"/>
            <w:noWrap/>
            <w:hideMark/>
          </w:tcPr>
          <w:p w14:paraId="75C158F1" w14:textId="516AFFEE" w:rsidR="00FB50E0" w:rsidRPr="000973F2" w:rsidRDefault="00FB50E0" w:rsidP="00FB50E0">
            <w:pPr>
              <w:spacing w:before="40" w:after="4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w:t>
            </w:r>
          </w:p>
        </w:tc>
        <w:tc>
          <w:tcPr>
            <w:tcW w:w="711" w:type="pct"/>
            <w:noWrap/>
            <w:hideMark/>
          </w:tcPr>
          <w:p w14:paraId="157E1F7F" w14:textId="786296A4" w:rsidR="00FB50E0" w:rsidRPr="000973F2" w:rsidRDefault="00FB50E0" w:rsidP="00FB50E0">
            <w:pPr>
              <w:spacing w:before="40" w:after="4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w:t>
            </w:r>
          </w:p>
        </w:tc>
        <w:tc>
          <w:tcPr>
            <w:tcW w:w="701" w:type="pct"/>
            <w:noWrap/>
            <w:hideMark/>
          </w:tcPr>
          <w:p w14:paraId="228B0E0D" w14:textId="26F95E55" w:rsidR="00FB50E0" w:rsidRPr="000973F2" w:rsidRDefault="00FB50E0" w:rsidP="00FB50E0">
            <w:pPr>
              <w:spacing w:before="40" w:after="4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w:t>
            </w:r>
          </w:p>
        </w:tc>
        <w:tc>
          <w:tcPr>
            <w:tcW w:w="705" w:type="pct"/>
            <w:noWrap/>
            <w:hideMark/>
          </w:tcPr>
          <w:p w14:paraId="4BA6C411" w14:textId="2FFDD4CC" w:rsidR="00FB50E0" w:rsidRPr="000973F2" w:rsidRDefault="00FB50E0" w:rsidP="00FB50E0">
            <w:pPr>
              <w:spacing w:before="40" w:after="4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w:t>
            </w:r>
          </w:p>
        </w:tc>
      </w:tr>
      <w:tr w:rsidR="00FB50E0" w:rsidRPr="000973F2" w14:paraId="39E579C6" w14:textId="77777777" w:rsidTr="00FB50E0">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765" w:type="pct"/>
            <w:hideMark/>
          </w:tcPr>
          <w:p w14:paraId="789E666F" w14:textId="77777777" w:rsidR="00FB50E0" w:rsidRPr="000973F2" w:rsidRDefault="00FB50E0" w:rsidP="00FB50E0">
            <w:pPr>
              <w:spacing w:before="40" w:after="4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Travel</w:t>
            </w:r>
          </w:p>
        </w:tc>
        <w:tc>
          <w:tcPr>
            <w:tcW w:w="706" w:type="pct"/>
            <w:noWrap/>
            <w:hideMark/>
          </w:tcPr>
          <w:p w14:paraId="6FCCA5E2" w14:textId="0EA4D4D7" w:rsidR="00FB50E0" w:rsidRPr="000973F2" w:rsidRDefault="00FB50E0" w:rsidP="00FB50E0">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w:t>
            </w:r>
          </w:p>
        </w:tc>
        <w:tc>
          <w:tcPr>
            <w:tcW w:w="706" w:type="pct"/>
            <w:noWrap/>
          </w:tcPr>
          <w:p w14:paraId="1904CF28" w14:textId="0A7C499A" w:rsidR="00FB50E0" w:rsidRPr="000973F2" w:rsidRDefault="00FB50E0" w:rsidP="00FB50E0">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p>
        </w:tc>
        <w:tc>
          <w:tcPr>
            <w:tcW w:w="706" w:type="pct"/>
            <w:noWrap/>
            <w:hideMark/>
          </w:tcPr>
          <w:p w14:paraId="688BF557" w14:textId="5A6D73F7" w:rsidR="00FB50E0" w:rsidRPr="000973F2" w:rsidRDefault="00FB50E0" w:rsidP="00FB50E0">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w:t>
            </w:r>
          </w:p>
        </w:tc>
        <w:tc>
          <w:tcPr>
            <w:tcW w:w="711" w:type="pct"/>
            <w:noWrap/>
            <w:hideMark/>
          </w:tcPr>
          <w:p w14:paraId="5C4FF334" w14:textId="40EBF84E" w:rsidR="00FB50E0" w:rsidRPr="000973F2" w:rsidRDefault="00FB50E0" w:rsidP="00FB50E0">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w:t>
            </w:r>
          </w:p>
        </w:tc>
        <w:tc>
          <w:tcPr>
            <w:tcW w:w="701" w:type="pct"/>
            <w:noWrap/>
            <w:hideMark/>
          </w:tcPr>
          <w:p w14:paraId="0232019D" w14:textId="10768F3E" w:rsidR="00FB50E0" w:rsidRPr="000973F2" w:rsidRDefault="00FB50E0" w:rsidP="00FB50E0">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w:t>
            </w:r>
          </w:p>
        </w:tc>
        <w:tc>
          <w:tcPr>
            <w:tcW w:w="705" w:type="pct"/>
            <w:noWrap/>
            <w:hideMark/>
          </w:tcPr>
          <w:p w14:paraId="537490D7" w14:textId="28196373" w:rsidR="00FB50E0" w:rsidRPr="000973F2" w:rsidRDefault="00FB50E0" w:rsidP="00FB50E0">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w:t>
            </w:r>
          </w:p>
        </w:tc>
      </w:tr>
      <w:tr w:rsidR="00FB50E0" w:rsidRPr="000973F2" w14:paraId="0AE63818" w14:textId="77777777" w:rsidTr="00FB50E0">
        <w:trPr>
          <w:cantSplit/>
        </w:trPr>
        <w:tc>
          <w:tcPr>
            <w:cnfStyle w:val="001000000000" w:firstRow="0" w:lastRow="0" w:firstColumn="1" w:lastColumn="0" w:oddVBand="0" w:evenVBand="0" w:oddHBand="0" w:evenHBand="0" w:firstRowFirstColumn="0" w:firstRowLastColumn="0" w:lastRowFirstColumn="0" w:lastRowLastColumn="0"/>
            <w:tcW w:w="765" w:type="pct"/>
            <w:hideMark/>
          </w:tcPr>
          <w:p w14:paraId="337D8077" w14:textId="50788DD7" w:rsidR="00FB50E0" w:rsidRPr="000973F2" w:rsidRDefault="00FB50E0" w:rsidP="00FB50E0">
            <w:pPr>
              <w:spacing w:before="40" w:after="4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Sampling and Analysis Costs</w:t>
            </w:r>
          </w:p>
        </w:tc>
        <w:tc>
          <w:tcPr>
            <w:tcW w:w="706" w:type="pct"/>
            <w:noWrap/>
            <w:hideMark/>
          </w:tcPr>
          <w:p w14:paraId="70B61F68" w14:textId="0092C0D3" w:rsidR="00FB50E0" w:rsidRPr="000973F2" w:rsidRDefault="00FB50E0" w:rsidP="00FB50E0">
            <w:pPr>
              <w:spacing w:before="40" w:after="4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w:t>
            </w:r>
          </w:p>
        </w:tc>
        <w:tc>
          <w:tcPr>
            <w:tcW w:w="706" w:type="pct"/>
            <w:noWrap/>
          </w:tcPr>
          <w:p w14:paraId="15DFD23E" w14:textId="5D204BF8" w:rsidR="00FB50E0" w:rsidRPr="000973F2" w:rsidRDefault="00FB50E0" w:rsidP="00FB50E0">
            <w:pPr>
              <w:spacing w:before="40" w:after="4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p>
        </w:tc>
        <w:tc>
          <w:tcPr>
            <w:tcW w:w="706" w:type="pct"/>
            <w:noWrap/>
            <w:hideMark/>
          </w:tcPr>
          <w:p w14:paraId="469158EF" w14:textId="7E31E337" w:rsidR="00FB50E0" w:rsidRPr="000973F2" w:rsidRDefault="00FB50E0" w:rsidP="00FB50E0">
            <w:pPr>
              <w:spacing w:before="40" w:after="4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w:t>
            </w:r>
          </w:p>
        </w:tc>
        <w:tc>
          <w:tcPr>
            <w:tcW w:w="711" w:type="pct"/>
            <w:noWrap/>
            <w:hideMark/>
          </w:tcPr>
          <w:p w14:paraId="510D9C72" w14:textId="510AD0AC" w:rsidR="00FB50E0" w:rsidRPr="000973F2" w:rsidRDefault="00FB50E0" w:rsidP="00FB50E0">
            <w:pPr>
              <w:spacing w:before="40" w:after="4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w:t>
            </w:r>
          </w:p>
        </w:tc>
        <w:tc>
          <w:tcPr>
            <w:tcW w:w="701" w:type="pct"/>
            <w:noWrap/>
            <w:hideMark/>
          </w:tcPr>
          <w:p w14:paraId="1237902B" w14:textId="5BE8B8DA" w:rsidR="00FB50E0" w:rsidRPr="000973F2" w:rsidRDefault="00FB50E0" w:rsidP="00FB50E0">
            <w:pPr>
              <w:spacing w:before="40" w:after="4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w:t>
            </w:r>
          </w:p>
        </w:tc>
        <w:tc>
          <w:tcPr>
            <w:tcW w:w="705" w:type="pct"/>
            <w:noWrap/>
            <w:hideMark/>
          </w:tcPr>
          <w:p w14:paraId="78A2716C" w14:textId="7FE5E138" w:rsidR="00FB50E0" w:rsidRPr="000973F2" w:rsidRDefault="00FB50E0" w:rsidP="00FB50E0">
            <w:pPr>
              <w:spacing w:before="40" w:after="4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w:t>
            </w:r>
          </w:p>
        </w:tc>
      </w:tr>
      <w:tr w:rsidR="00FB50E0" w:rsidRPr="000973F2" w14:paraId="530F4D67" w14:textId="77777777" w:rsidTr="00FB50E0">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765" w:type="pct"/>
            <w:hideMark/>
          </w:tcPr>
          <w:p w14:paraId="3D02ADF0" w14:textId="77777777" w:rsidR="008B3A4C" w:rsidRPr="000973F2" w:rsidRDefault="008B3A4C" w:rsidP="00FB50E0">
            <w:pPr>
              <w:spacing w:before="40" w:after="40"/>
              <w:rPr>
                <w:rFonts w:ascii="Times New Roman" w:eastAsia="Times New Roman" w:hAnsi="Times New Roman" w:cs="Times New Roman"/>
                <w:b/>
                <w:bCs w:val="0"/>
                <w:sz w:val="18"/>
                <w:szCs w:val="18"/>
              </w:rPr>
            </w:pPr>
            <w:r w:rsidRPr="000973F2">
              <w:rPr>
                <w:rFonts w:ascii="Times New Roman" w:eastAsia="Times New Roman" w:hAnsi="Times New Roman" w:cs="Times New Roman"/>
                <w:b/>
                <w:sz w:val="18"/>
                <w:szCs w:val="18"/>
              </w:rPr>
              <w:t xml:space="preserve">Total </w:t>
            </w:r>
          </w:p>
        </w:tc>
        <w:tc>
          <w:tcPr>
            <w:tcW w:w="706" w:type="pct"/>
            <w:noWrap/>
            <w:hideMark/>
          </w:tcPr>
          <w:p w14:paraId="2AD79306" w14:textId="77777777" w:rsidR="008B3A4C" w:rsidRPr="000973F2" w:rsidRDefault="008B3A4C" w:rsidP="00FB50E0">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$0</w:t>
            </w:r>
          </w:p>
        </w:tc>
        <w:tc>
          <w:tcPr>
            <w:tcW w:w="706" w:type="pct"/>
            <w:noWrap/>
          </w:tcPr>
          <w:p w14:paraId="2B3027EB" w14:textId="402DF93A" w:rsidR="008B3A4C" w:rsidRPr="000973F2" w:rsidRDefault="008B3A4C" w:rsidP="00FB50E0">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p>
        </w:tc>
        <w:tc>
          <w:tcPr>
            <w:tcW w:w="706" w:type="pct"/>
            <w:noWrap/>
            <w:hideMark/>
          </w:tcPr>
          <w:p w14:paraId="71783AEF" w14:textId="77777777" w:rsidR="008B3A4C" w:rsidRPr="000973F2" w:rsidRDefault="008B3A4C" w:rsidP="00FB50E0">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$0</w:t>
            </w:r>
          </w:p>
        </w:tc>
        <w:tc>
          <w:tcPr>
            <w:tcW w:w="711" w:type="pct"/>
            <w:noWrap/>
            <w:hideMark/>
          </w:tcPr>
          <w:p w14:paraId="2C79D77D" w14:textId="77777777" w:rsidR="008B3A4C" w:rsidRPr="000973F2" w:rsidRDefault="008B3A4C" w:rsidP="00FB50E0">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$16,000</w:t>
            </w:r>
          </w:p>
        </w:tc>
        <w:tc>
          <w:tcPr>
            <w:tcW w:w="701" w:type="pct"/>
            <w:noWrap/>
            <w:hideMark/>
          </w:tcPr>
          <w:p w14:paraId="594CA934" w14:textId="77777777" w:rsidR="008B3A4C" w:rsidRPr="000973F2" w:rsidRDefault="008B3A4C" w:rsidP="00FB50E0">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$0</w:t>
            </w:r>
          </w:p>
        </w:tc>
        <w:tc>
          <w:tcPr>
            <w:tcW w:w="705" w:type="pct"/>
            <w:noWrap/>
            <w:hideMark/>
          </w:tcPr>
          <w:p w14:paraId="6D042513" w14:textId="77777777" w:rsidR="008B3A4C" w:rsidRPr="000973F2" w:rsidRDefault="008B3A4C" w:rsidP="00FB50E0">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$16,000</w:t>
            </w:r>
          </w:p>
        </w:tc>
      </w:tr>
    </w:tbl>
    <w:p w14:paraId="0D1939DE" w14:textId="77777777" w:rsidR="008B3A4C" w:rsidRPr="000973F2" w:rsidRDefault="008B3A4C" w:rsidP="00FB50E0">
      <w:pPr>
        <w:pStyle w:val="AfterTable"/>
      </w:pPr>
    </w:p>
    <w:p w14:paraId="3F03F8F1" w14:textId="77777777" w:rsidR="008B3A4C" w:rsidRPr="000973F2" w:rsidRDefault="008B3A4C" w:rsidP="00FB50E0">
      <w:pPr>
        <w:pStyle w:val="Heading2"/>
      </w:pPr>
      <w:r w:rsidRPr="000973F2">
        <w:t>Total Costs for Subpart RR</w:t>
      </w:r>
    </w:p>
    <w:p w14:paraId="1672002F" w14:textId="33CD8A3F" w:rsidR="008B3A4C" w:rsidRPr="000973F2" w:rsidRDefault="008B3A4C" w:rsidP="00FB50E0">
      <w:pPr>
        <w:pStyle w:val="BodyText"/>
      </w:pPr>
      <w:r w:rsidRPr="000973F2">
        <w:t>The total industry costs related to Subpart RR average approximately $3</w:t>
      </w:r>
      <w:r w:rsidR="00721466" w:rsidRPr="000973F2">
        <w:t>86</w:t>
      </w:r>
      <w:r w:rsidRPr="000973F2">
        <w:t>,000 per year for existing sources and approximately $11</w:t>
      </w:r>
      <w:r w:rsidR="00AD0158" w:rsidRPr="000973F2">
        <w:t>1</w:t>
      </w:r>
      <w:r w:rsidRPr="000973F2">
        <w:t xml:space="preserve">,000 per year for new sources, for a total of approximately </w:t>
      </w:r>
      <w:r w:rsidR="00517824" w:rsidRPr="000973F2">
        <w:t>$</w:t>
      </w:r>
      <w:r w:rsidR="00892661" w:rsidRPr="000973F2">
        <w:t xml:space="preserve">497,000 per year and </w:t>
      </w:r>
      <w:r w:rsidRPr="000973F2">
        <w:t>$1,</w:t>
      </w:r>
      <w:r w:rsidR="00AD0158" w:rsidRPr="000973F2">
        <w:t>492</w:t>
      </w:r>
      <w:r w:rsidRPr="000973F2">
        <w:t>,000 over the three-year period of the ICR. Total costs are based on 5 facilities in 2019, 8 in 2020, and 11 in 2021, which accounts for the 3 new facilities per year.</w:t>
      </w:r>
    </w:p>
    <w:p w14:paraId="2E7DBB41" w14:textId="77777777" w:rsidR="008B3A4C" w:rsidRPr="000973F2" w:rsidRDefault="008B3A4C" w:rsidP="00C00E4F">
      <w:pPr>
        <w:spacing w:line="240" w:lineRule="auto"/>
        <w:rPr>
          <w:rFonts w:ascii="Times New Roman" w:hAnsi="Times New Roman" w:cs="Times New Roman"/>
        </w:rPr>
      </w:pPr>
    </w:p>
    <w:p w14:paraId="28857E96" w14:textId="77777777" w:rsidR="008B3A4C" w:rsidRPr="000973F2" w:rsidRDefault="008B3A4C" w:rsidP="00C00E4F">
      <w:pPr>
        <w:spacing w:line="240" w:lineRule="auto"/>
        <w:jc w:val="center"/>
        <w:rPr>
          <w:rFonts w:ascii="Times New Roman" w:eastAsia="Times New Roman" w:hAnsi="Times New Roman" w:cs="Times New Roman"/>
          <w:b/>
          <w:bCs/>
          <w:sz w:val="20"/>
          <w:szCs w:val="20"/>
        </w:rPr>
      </w:pPr>
    </w:p>
    <w:p w14:paraId="5E01C058" w14:textId="1EF769A9" w:rsidR="008B3A4C" w:rsidRPr="000973F2" w:rsidRDefault="008B3A4C" w:rsidP="00C00E4F">
      <w:pPr>
        <w:spacing w:line="240" w:lineRule="auto"/>
        <w:rPr>
          <w:rFonts w:ascii="Times New Roman" w:hAnsi="Times New Roman" w:cs="Times New Roman"/>
          <w:color w:val="000000"/>
        </w:rPr>
      </w:pPr>
      <w:r w:rsidRPr="000973F2">
        <w:rPr>
          <w:rFonts w:ascii="Times New Roman" w:hAnsi="Times New Roman" w:cs="Times New Roman"/>
          <w:color w:val="000000"/>
        </w:rPr>
        <w:br w:type="page"/>
      </w:r>
    </w:p>
    <w:p w14:paraId="3B679D56" w14:textId="77777777" w:rsidR="004C5B58" w:rsidRPr="000973F2" w:rsidRDefault="004C5B58" w:rsidP="00FB50E0">
      <w:pPr>
        <w:pStyle w:val="Heading1"/>
      </w:pPr>
      <w:bookmarkStart w:id="77" w:name="_Toc10715634"/>
      <w:r w:rsidRPr="000973F2">
        <w:t>Cost Appendix for Subpart SS – Electrical Equipment Manufacture or Refurbishment</w:t>
      </w:r>
      <w:bookmarkEnd w:id="77"/>
    </w:p>
    <w:p w14:paraId="110BB6CD" w14:textId="77777777" w:rsidR="004C5B58" w:rsidRPr="000973F2" w:rsidRDefault="004C5B58" w:rsidP="00FB50E0">
      <w:pPr>
        <w:pStyle w:val="Heading2"/>
      </w:pPr>
      <w:r w:rsidRPr="000973F2">
        <w:t>Description of Subpart SS</w:t>
      </w:r>
    </w:p>
    <w:p w14:paraId="09707FB0" w14:textId="7964C4D3" w:rsidR="004C5B58" w:rsidRPr="000973F2" w:rsidRDefault="004C5B58" w:rsidP="00FB50E0">
      <w:pPr>
        <w:pStyle w:val="BodyText"/>
      </w:pPr>
      <w:r w:rsidRPr="000973F2">
        <w:t>For purposes of the GHGRP, electrical equipment manufacturing or refurbishment consists of processes that manufacture or refurbish gas-insulated substations, circuit breakers, other switchgear, gas-insulated lines, or power transformers (including gas-containing components of such equipment) containing sulfur</w:t>
      </w:r>
      <w:r w:rsidR="00051F9B">
        <w:t xml:space="preserve"> </w:t>
      </w:r>
      <w:r w:rsidRPr="000973F2">
        <w:t>hexafluoride (SF</w:t>
      </w:r>
      <w:r w:rsidRPr="000973F2">
        <w:rPr>
          <w:vertAlign w:val="subscript"/>
        </w:rPr>
        <w:t>6</w:t>
      </w:r>
      <w:r w:rsidRPr="000973F2">
        <w:t xml:space="preserve">) or perfluorocarbons (PFCs). The processes include equipment testing, installation, manufacturing, decommissioning and disposal, refurbishing, and storage in gas cylinders and other containers. Facilities reporting to Subpart SS calculate their emissions using the equations in §98.453(a) - (i). In RY2017, 8 facilities reported to Subpart SS. </w:t>
      </w:r>
      <w:r w:rsidR="002223B0" w:rsidRPr="000973F2">
        <w:t>N</w:t>
      </w:r>
      <w:r w:rsidRPr="000973F2">
        <w:t xml:space="preserve">o new facilities </w:t>
      </w:r>
      <w:r w:rsidR="002223B0" w:rsidRPr="000973F2">
        <w:t>are expected to</w:t>
      </w:r>
      <w:r w:rsidRPr="000973F2">
        <w:t xml:space="preserve"> report </w:t>
      </w:r>
      <w:r w:rsidR="002223B0" w:rsidRPr="000973F2">
        <w:t>during</w:t>
      </w:r>
      <w:r w:rsidRPr="000973F2">
        <w:t xml:space="preserve"> the three</w:t>
      </w:r>
      <w:r w:rsidR="002223B0" w:rsidRPr="000973F2">
        <w:t>-</w:t>
      </w:r>
      <w:r w:rsidRPr="000973F2">
        <w:t>year</w:t>
      </w:r>
      <w:r w:rsidR="002223B0" w:rsidRPr="000973F2">
        <w:t xml:space="preserve"> period covered by this ICR</w:t>
      </w:r>
      <w:r w:rsidRPr="000973F2">
        <w:t xml:space="preserve">. Initial costs apply only to new facilities therefore those costs are zero in the tables below. </w:t>
      </w:r>
    </w:p>
    <w:p w14:paraId="3BDF32AB" w14:textId="77777777" w:rsidR="004C5B58" w:rsidRPr="000973F2" w:rsidRDefault="004C5B58" w:rsidP="00FB50E0">
      <w:pPr>
        <w:pStyle w:val="Heading2"/>
      </w:pPr>
      <w:r w:rsidRPr="000973F2">
        <w:t>Labor Costs for Subpart SS</w:t>
      </w:r>
    </w:p>
    <w:p w14:paraId="7CA798A4" w14:textId="622D1AA7" w:rsidR="004C5B58" w:rsidRPr="000973F2" w:rsidRDefault="004C5B58" w:rsidP="00FB50E0">
      <w:pPr>
        <w:pStyle w:val="BodyText"/>
      </w:pPr>
      <w:r w:rsidRPr="000973F2">
        <w:t xml:space="preserve">Table </w:t>
      </w:r>
      <w:r w:rsidR="00FB50E0" w:rsidRPr="000973F2">
        <w:t>SS-</w:t>
      </w:r>
      <w:r w:rsidRPr="000973F2">
        <w:t>1 below includes the labor hours for Subpart SS. Typical activities related to planning, QA/QC, recordkeeping and reporting, and sampling and analysis (which includes emissions calculations) are discussed in the Cost Appendix Introduction. Recordkeeping and Reporting hours correspond to the “medium bin</w:t>
      </w:r>
      <w:r w:rsidR="00DD34D2" w:rsidRPr="000973F2">
        <w:t>” designation</w:t>
      </w:r>
      <w:r w:rsidRPr="000973F2">
        <w:t xml:space="preserve">, as discussed in the Cost Appendix Introduction. </w:t>
      </w:r>
    </w:p>
    <w:p w14:paraId="4497D991" w14:textId="0A0EF52F" w:rsidR="004C5B58" w:rsidRPr="000973F2" w:rsidRDefault="00EA6BA2" w:rsidP="00FB50E0">
      <w:pPr>
        <w:pStyle w:val="Tabletitle"/>
      </w:pPr>
      <w:r w:rsidRPr="000973F2">
        <w:t xml:space="preserve">Table </w:t>
      </w:r>
      <w:r w:rsidR="00FB50E0" w:rsidRPr="000973F2">
        <w:t>SS-</w:t>
      </w:r>
      <w:r w:rsidRPr="000973F2">
        <w:t xml:space="preserve">1. Labor Costs </w:t>
      </w:r>
      <w:r w:rsidR="00B960CC" w:rsidRPr="000973F2">
        <w:t>–</w:t>
      </w:r>
      <w:r w:rsidRPr="000973F2">
        <w:t xml:space="preserve"> Subpart SS</w:t>
      </w:r>
    </w:p>
    <w:tbl>
      <w:tblPr>
        <w:tblStyle w:val="PlainTable1"/>
        <w:tblW w:w="5000" w:type="pct"/>
        <w:jc w:val="left"/>
        <w:tblLayout w:type="fixed"/>
        <w:tblCellMar>
          <w:left w:w="115" w:type="dxa"/>
          <w:right w:w="115" w:type="dxa"/>
        </w:tblCellMar>
        <w:tblLook w:val="04A0" w:firstRow="1" w:lastRow="0" w:firstColumn="1" w:lastColumn="0" w:noHBand="0" w:noVBand="1"/>
      </w:tblPr>
      <w:tblGrid>
        <w:gridCol w:w="1371"/>
        <w:gridCol w:w="809"/>
        <w:gridCol w:w="809"/>
        <w:gridCol w:w="810"/>
        <w:gridCol w:w="809"/>
        <w:gridCol w:w="809"/>
        <w:gridCol w:w="810"/>
        <w:gridCol w:w="809"/>
        <w:gridCol w:w="810"/>
        <w:gridCol w:w="872"/>
        <w:gridCol w:w="872"/>
      </w:tblGrid>
      <w:tr w:rsidR="004C5B58" w:rsidRPr="000973F2" w14:paraId="20B737FF" w14:textId="77777777" w:rsidTr="00FB50E0">
        <w:trPr>
          <w:cnfStyle w:val="100000000000" w:firstRow="1" w:lastRow="0" w:firstColumn="0" w:lastColumn="0" w:oddVBand="0" w:evenVBand="0" w:oddHBand="0" w:evenHBand="0" w:firstRowFirstColumn="0" w:firstRowLastColumn="0" w:lastRowFirstColumn="0" w:lastRowLastColumn="0"/>
          <w:cantSplit/>
          <w:jc w:val="left"/>
        </w:trPr>
        <w:tc>
          <w:tcPr>
            <w:cnfStyle w:val="001000000000" w:firstRow="0" w:lastRow="0" w:firstColumn="1" w:lastColumn="0" w:oddVBand="0" w:evenVBand="0" w:oddHBand="0" w:evenHBand="0" w:firstRowFirstColumn="0" w:firstRowLastColumn="0" w:lastRowFirstColumn="0" w:lastRowLastColumn="0"/>
            <w:tcW w:w="1335" w:type="dxa"/>
            <w:vMerge w:val="restart"/>
            <w:noWrap/>
            <w:vAlign w:val="top"/>
            <w:hideMark/>
          </w:tcPr>
          <w:p w14:paraId="675085B4" w14:textId="77777777" w:rsidR="004C5B58" w:rsidRPr="000973F2" w:rsidRDefault="004C5B58" w:rsidP="00FB50E0">
            <w:pPr>
              <w:spacing w:before="40" w:after="40"/>
              <w:rPr>
                <w:rFonts w:ascii="Times New Roman" w:eastAsia="Times New Roman" w:hAnsi="Times New Roman" w:cs="Times New Roman"/>
                <w:bCs w:val="0"/>
                <w:sz w:val="18"/>
                <w:szCs w:val="18"/>
              </w:rPr>
            </w:pPr>
            <w:r w:rsidRPr="000973F2">
              <w:rPr>
                <w:rFonts w:ascii="Times New Roman" w:eastAsia="Times New Roman" w:hAnsi="Times New Roman" w:cs="Times New Roman"/>
                <w:bCs w:val="0"/>
                <w:sz w:val="18"/>
                <w:szCs w:val="18"/>
              </w:rPr>
              <w:t>Activity</w:t>
            </w:r>
          </w:p>
        </w:tc>
        <w:tc>
          <w:tcPr>
            <w:tcW w:w="6299" w:type="dxa"/>
            <w:gridSpan w:val="8"/>
            <w:noWrap/>
            <w:vAlign w:val="top"/>
            <w:hideMark/>
          </w:tcPr>
          <w:p w14:paraId="17264128" w14:textId="77777777" w:rsidR="004C5B58" w:rsidRPr="000973F2" w:rsidRDefault="004C5B58" w:rsidP="00FB50E0">
            <w:pPr>
              <w:spacing w:before="40" w:after="40"/>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Cs w:val="0"/>
                <w:sz w:val="18"/>
                <w:szCs w:val="18"/>
              </w:rPr>
            </w:pPr>
            <w:r w:rsidRPr="000973F2">
              <w:rPr>
                <w:rFonts w:ascii="Times New Roman" w:eastAsia="Times New Roman" w:hAnsi="Times New Roman" w:cs="Times New Roman"/>
                <w:bCs w:val="0"/>
                <w:sz w:val="18"/>
                <w:szCs w:val="18"/>
              </w:rPr>
              <w:t>Labor Rates (per hour)</w:t>
            </w:r>
          </w:p>
        </w:tc>
        <w:tc>
          <w:tcPr>
            <w:tcW w:w="1696" w:type="dxa"/>
            <w:gridSpan w:val="2"/>
            <w:vMerge w:val="restart"/>
            <w:vAlign w:val="top"/>
            <w:hideMark/>
          </w:tcPr>
          <w:p w14:paraId="319E4B30" w14:textId="77777777" w:rsidR="004C5B58" w:rsidRPr="000973F2" w:rsidRDefault="004C5B58" w:rsidP="00FB50E0">
            <w:pPr>
              <w:spacing w:before="40" w:after="40"/>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Cs w:val="0"/>
                <w:sz w:val="18"/>
                <w:szCs w:val="18"/>
              </w:rPr>
            </w:pPr>
            <w:r w:rsidRPr="000973F2">
              <w:rPr>
                <w:rFonts w:ascii="Times New Roman" w:eastAsia="Times New Roman" w:hAnsi="Times New Roman" w:cs="Times New Roman"/>
                <w:bCs w:val="0"/>
                <w:sz w:val="18"/>
                <w:szCs w:val="18"/>
              </w:rPr>
              <w:t>Total Labor Cost per Year per Facility (2017$)</w:t>
            </w:r>
          </w:p>
        </w:tc>
      </w:tr>
      <w:tr w:rsidR="004C5B58" w:rsidRPr="000973F2" w14:paraId="10745CFF" w14:textId="77777777" w:rsidTr="00FB50E0">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1335" w:type="dxa"/>
            <w:vMerge/>
            <w:hideMark/>
          </w:tcPr>
          <w:p w14:paraId="2FEBF706" w14:textId="77777777" w:rsidR="004C5B58" w:rsidRPr="000973F2" w:rsidRDefault="004C5B58" w:rsidP="00FB50E0">
            <w:pPr>
              <w:spacing w:before="40" w:after="40"/>
              <w:rPr>
                <w:rFonts w:ascii="Times New Roman" w:eastAsia="Times New Roman" w:hAnsi="Times New Roman" w:cs="Times New Roman"/>
                <w:b/>
                <w:bCs w:val="0"/>
                <w:sz w:val="18"/>
                <w:szCs w:val="18"/>
              </w:rPr>
            </w:pPr>
          </w:p>
        </w:tc>
        <w:tc>
          <w:tcPr>
            <w:tcW w:w="1574" w:type="dxa"/>
            <w:gridSpan w:val="2"/>
            <w:noWrap/>
            <w:hideMark/>
          </w:tcPr>
          <w:p w14:paraId="0A705C4D" w14:textId="77777777" w:rsidR="004C5B58" w:rsidRPr="000973F2" w:rsidRDefault="004C5B58" w:rsidP="00FB50E0">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18"/>
                <w:szCs w:val="18"/>
              </w:rPr>
            </w:pPr>
            <w:r w:rsidRPr="000973F2">
              <w:rPr>
                <w:rFonts w:ascii="Times New Roman" w:eastAsia="Times New Roman" w:hAnsi="Times New Roman" w:cs="Times New Roman"/>
                <w:b/>
                <w:bCs/>
                <w:sz w:val="18"/>
                <w:szCs w:val="18"/>
              </w:rPr>
              <w:t>Lawyer</w:t>
            </w:r>
          </w:p>
        </w:tc>
        <w:tc>
          <w:tcPr>
            <w:tcW w:w="1575" w:type="dxa"/>
            <w:gridSpan w:val="2"/>
            <w:noWrap/>
            <w:hideMark/>
          </w:tcPr>
          <w:p w14:paraId="1391B584" w14:textId="77777777" w:rsidR="004C5B58" w:rsidRPr="000973F2" w:rsidRDefault="004C5B58" w:rsidP="00FB50E0">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18"/>
                <w:szCs w:val="18"/>
              </w:rPr>
            </w:pPr>
            <w:r w:rsidRPr="000973F2">
              <w:rPr>
                <w:rFonts w:ascii="Times New Roman" w:eastAsia="Times New Roman" w:hAnsi="Times New Roman" w:cs="Times New Roman"/>
                <w:b/>
                <w:bCs/>
                <w:sz w:val="18"/>
                <w:szCs w:val="18"/>
              </w:rPr>
              <w:t>Industrial Manager</w:t>
            </w:r>
          </w:p>
        </w:tc>
        <w:tc>
          <w:tcPr>
            <w:tcW w:w="1575" w:type="dxa"/>
            <w:gridSpan w:val="2"/>
            <w:hideMark/>
          </w:tcPr>
          <w:p w14:paraId="57ED3DA0" w14:textId="54192499" w:rsidR="004C5B58" w:rsidRPr="000973F2" w:rsidRDefault="004C5B58" w:rsidP="00FB50E0">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18"/>
                <w:szCs w:val="18"/>
              </w:rPr>
            </w:pPr>
            <w:r w:rsidRPr="000973F2">
              <w:rPr>
                <w:rFonts w:ascii="Times New Roman" w:eastAsia="Times New Roman" w:hAnsi="Times New Roman" w:cs="Times New Roman"/>
                <w:b/>
                <w:bCs/>
                <w:sz w:val="18"/>
                <w:szCs w:val="18"/>
              </w:rPr>
              <w:t>Industrial Engineer/</w:t>
            </w:r>
            <w:r w:rsidR="00FB50E0" w:rsidRPr="000973F2">
              <w:rPr>
                <w:rFonts w:ascii="Times New Roman" w:eastAsia="Times New Roman" w:hAnsi="Times New Roman" w:cs="Times New Roman"/>
                <w:b/>
                <w:bCs/>
                <w:sz w:val="18"/>
                <w:szCs w:val="18"/>
              </w:rPr>
              <w:t xml:space="preserve"> </w:t>
            </w:r>
            <w:r w:rsidRPr="000973F2">
              <w:rPr>
                <w:rFonts w:ascii="Times New Roman" w:eastAsia="Times New Roman" w:hAnsi="Times New Roman" w:cs="Times New Roman"/>
                <w:b/>
                <w:bCs/>
                <w:sz w:val="18"/>
                <w:szCs w:val="18"/>
              </w:rPr>
              <w:t>Technician</w:t>
            </w:r>
          </w:p>
        </w:tc>
        <w:tc>
          <w:tcPr>
            <w:tcW w:w="1575" w:type="dxa"/>
            <w:gridSpan w:val="2"/>
            <w:hideMark/>
          </w:tcPr>
          <w:p w14:paraId="43621790" w14:textId="77777777" w:rsidR="004C5B58" w:rsidRPr="000973F2" w:rsidRDefault="004C5B58" w:rsidP="00FB50E0">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18"/>
                <w:szCs w:val="18"/>
              </w:rPr>
            </w:pPr>
            <w:r w:rsidRPr="000973F2">
              <w:rPr>
                <w:rFonts w:ascii="Times New Roman" w:eastAsia="Times New Roman" w:hAnsi="Times New Roman" w:cs="Times New Roman"/>
                <w:b/>
                <w:bCs/>
                <w:sz w:val="18"/>
                <w:szCs w:val="18"/>
              </w:rPr>
              <w:t>Administrative Support</w:t>
            </w:r>
          </w:p>
        </w:tc>
        <w:tc>
          <w:tcPr>
            <w:tcW w:w="1696" w:type="dxa"/>
            <w:gridSpan w:val="2"/>
            <w:vMerge/>
            <w:hideMark/>
          </w:tcPr>
          <w:p w14:paraId="252ED37E" w14:textId="77777777" w:rsidR="004C5B58" w:rsidRPr="000973F2" w:rsidRDefault="004C5B58" w:rsidP="00FB50E0">
            <w:pPr>
              <w:spacing w:before="40" w:after="4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18"/>
                <w:szCs w:val="18"/>
              </w:rPr>
            </w:pPr>
          </w:p>
        </w:tc>
      </w:tr>
      <w:tr w:rsidR="004C5B58" w:rsidRPr="000973F2" w14:paraId="13D30E0E" w14:textId="77777777" w:rsidTr="00FB50E0">
        <w:trPr>
          <w:cantSplit/>
        </w:trPr>
        <w:tc>
          <w:tcPr>
            <w:cnfStyle w:val="001000000000" w:firstRow="0" w:lastRow="0" w:firstColumn="1" w:lastColumn="0" w:oddVBand="0" w:evenVBand="0" w:oddHBand="0" w:evenHBand="0" w:firstRowFirstColumn="0" w:firstRowLastColumn="0" w:lastRowFirstColumn="0" w:lastRowLastColumn="0"/>
            <w:tcW w:w="1335" w:type="dxa"/>
            <w:vMerge/>
            <w:hideMark/>
          </w:tcPr>
          <w:p w14:paraId="5B205C68" w14:textId="77777777" w:rsidR="004C5B58" w:rsidRPr="000973F2" w:rsidRDefault="004C5B58" w:rsidP="00FB50E0">
            <w:pPr>
              <w:spacing w:before="40" w:after="40"/>
              <w:rPr>
                <w:rFonts w:ascii="Times New Roman" w:eastAsia="Times New Roman" w:hAnsi="Times New Roman" w:cs="Times New Roman"/>
                <w:b/>
                <w:bCs w:val="0"/>
                <w:sz w:val="18"/>
                <w:szCs w:val="18"/>
              </w:rPr>
            </w:pPr>
          </w:p>
        </w:tc>
        <w:tc>
          <w:tcPr>
            <w:tcW w:w="1574" w:type="dxa"/>
            <w:gridSpan w:val="2"/>
            <w:noWrap/>
            <w:hideMark/>
          </w:tcPr>
          <w:p w14:paraId="0385DD59" w14:textId="77777777" w:rsidR="004C5B58" w:rsidRPr="000973F2" w:rsidRDefault="004C5B58" w:rsidP="00FB50E0">
            <w:pPr>
              <w:spacing w:before="40" w:after="4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sz w:val="18"/>
                <w:szCs w:val="18"/>
              </w:rPr>
            </w:pPr>
            <w:r w:rsidRPr="000973F2">
              <w:rPr>
                <w:rFonts w:ascii="Times New Roman" w:eastAsia="Times New Roman" w:hAnsi="Times New Roman" w:cs="Times New Roman"/>
                <w:b/>
                <w:bCs/>
                <w:sz w:val="18"/>
                <w:szCs w:val="18"/>
              </w:rPr>
              <w:t xml:space="preserve">$112.23 </w:t>
            </w:r>
          </w:p>
        </w:tc>
        <w:tc>
          <w:tcPr>
            <w:tcW w:w="1575" w:type="dxa"/>
            <w:gridSpan w:val="2"/>
            <w:noWrap/>
            <w:hideMark/>
          </w:tcPr>
          <w:p w14:paraId="41895176" w14:textId="77777777" w:rsidR="004C5B58" w:rsidRPr="000973F2" w:rsidRDefault="004C5B58" w:rsidP="00FB50E0">
            <w:pPr>
              <w:spacing w:before="40" w:after="4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sz w:val="18"/>
                <w:szCs w:val="18"/>
              </w:rPr>
            </w:pPr>
            <w:r w:rsidRPr="000973F2">
              <w:rPr>
                <w:rFonts w:ascii="Times New Roman" w:eastAsia="Times New Roman" w:hAnsi="Times New Roman" w:cs="Times New Roman"/>
                <w:b/>
                <w:bCs/>
                <w:sz w:val="18"/>
                <w:szCs w:val="18"/>
              </w:rPr>
              <w:t xml:space="preserve">$87.45 </w:t>
            </w:r>
          </w:p>
        </w:tc>
        <w:tc>
          <w:tcPr>
            <w:tcW w:w="1575" w:type="dxa"/>
            <w:gridSpan w:val="2"/>
            <w:noWrap/>
            <w:hideMark/>
          </w:tcPr>
          <w:p w14:paraId="4C06E333" w14:textId="77777777" w:rsidR="004C5B58" w:rsidRPr="000973F2" w:rsidRDefault="004C5B58" w:rsidP="00FB50E0">
            <w:pPr>
              <w:spacing w:before="40" w:after="4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sz w:val="18"/>
                <w:szCs w:val="18"/>
              </w:rPr>
            </w:pPr>
            <w:r w:rsidRPr="000973F2">
              <w:rPr>
                <w:rFonts w:ascii="Times New Roman" w:eastAsia="Times New Roman" w:hAnsi="Times New Roman" w:cs="Times New Roman"/>
                <w:b/>
                <w:bCs/>
                <w:sz w:val="18"/>
                <w:szCs w:val="18"/>
              </w:rPr>
              <w:t xml:space="preserve">$71.45 </w:t>
            </w:r>
          </w:p>
        </w:tc>
        <w:tc>
          <w:tcPr>
            <w:tcW w:w="1575" w:type="dxa"/>
            <w:gridSpan w:val="2"/>
            <w:noWrap/>
            <w:hideMark/>
          </w:tcPr>
          <w:p w14:paraId="3F46F25F" w14:textId="77777777" w:rsidR="004C5B58" w:rsidRPr="000973F2" w:rsidRDefault="004C5B58" w:rsidP="00FB50E0">
            <w:pPr>
              <w:spacing w:before="40" w:after="4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sz w:val="18"/>
                <w:szCs w:val="18"/>
              </w:rPr>
            </w:pPr>
            <w:r w:rsidRPr="000973F2">
              <w:rPr>
                <w:rFonts w:ascii="Times New Roman" w:eastAsia="Times New Roman" w:hAnsi="Times New Roman" w:cs="Times New Roman"/>
                <w:b/>
                <w:bCs/>
                <w:sz w:val="18"/>
                <w:szCs w:val="18"/>
              </w:rPr>
              <w:t xml:space="preserve">$36.28 </w:t>
            </w:r>
          </w:p>
        </w:tc>
        <w:tc>
          <w:tcPr>
            <w:tcW w:w="1696" w:type="dxa"/>
            <w:gridSpan w:val="2"/>
            <w:vMerge/>
            <w:hideMark/>
          </w:tcPr>
          <w:p w14:paraId="1FCCEDFF" w14:textId="77777777" w:rsidR="004C5B58" w:rsidRPr="000973F2" w:rsidRDefault="004C5B58" w:rsidP="00FB50E0">
            <w:pPr>
              <w:spacing w:before="40" w:after="4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sz w:val="18"/>
                <w:szCs w:val="18"/>
              </w:rPr>
            </w:pPr>
          </w:p>
        </w:tc>
      </w:tr>
      <w:tr w:rsidR="00816BF1" w:rsidRPr="000973F2" w14:paraId="70094640" w14:textId="77777777" w:rsidTr="00FB50E0">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1335" w:type="dxa"/>
            <w:vMerge/>
            <w:hideMark/>
          </w:tcPr>
          <w:p w14:paraId="22CEEE54" w14:textId="77777777" w:rsidR="004C5B58" w:rsidRPr="000973F2" w:rsidRDefault="004C5B58" w:rsidP="00FB50E0">
            <w:pPr>
              <w:spacing w:before="40" w:after="40"/>
              <w:rPr>
                <w:rFonts w:ascii="Times New Roman" w:eastAsia="Times New Roman" w:hAnsi="Times New Roman" w:cs="Times New Roman"/>
                <w:b/>
                <w:bCs w:val="0"/>
                <w:sz w:val="18"/>
                <w:szCs w:val="18"/>
              </w:rPr>
            </w:pPr>
          </w:p>
        </w:tc>
        <w:tc>
          <w:tcPr>
            <w:tcW w:w="787" w:type="dxa"/>
            <w:tcMar>
              <w:left w:w="14" w:type="dxa"/>
              <w:right w:w="14" w:type="dxa"/>
            </w:tcMar>
            <w:hideMark/>
          </w:tcPr>
          <w:p w14:paraId="6227B0C5" w14:textId="5F3C4D20" w:rsidR="004C5B58" w:rsidRPr="000973F2" w:rsidRDefault="004C5B58" w:rsidP="00FB50E0">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18"/>
                <w:szCs w:val="18"/>
              </w:rPr>
            </w:pPr>
            <w:r w:rsidRPr="000973F2">
              <w:rPr>
                <w:rFonts w:ascii="Times New Roman" w:eastAsia="Times New Roman" w:hAnsi="Times New Roman" w:cs="Times New Roman"/>
                <w:b/>
                <w:bCs/>
                <w:sz w:val="18"/>
                <w:szCs w:val="18"/>
              </w:rPr>
              <w:t xml:space="preserve">Initial </w:t>
            </w:r>
            <w:r w:rsidR="00132320" w:rsidRPr="000973F2">
              <w:rPr>
                <w:rFonts w:ascii="Times New Roman" w:eastAsia="Times New Roman" w:hAnsi="Times New Roman" w:cs="Times New Roman"/>
                <w:b/>
                <w:bCs/>
                <w:sz w:val="18"/>
                <w:szCs w:val="18"/>
              </w:rPr>
              <w:t>Year Hours</w:t>
            </w:r>
          </w:p>
        </w:tc>
        <w:tc>
          <w:tcPr>
            <w:tcW w:w="787" w:type="dxa"/>
            <w:tcMar>
              <w:left w:w="14" w:type="dxa"/>
              <w:right w:w="14" w:type="dxa"/>
            </w:tcMar>
            <w:hideMark/>
          </w:tcPr>
          <w:p w14:paraId="730D0AEE" w14:textId="4F95919D" w:rsidR="004C5B58" w:rsidRPr="000973F2" w:rsidRDefault="004C5B58" w:rsidP="00FB50E0">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18"/>
                <w:szCs w:val="18"/>
              </w:rPr>
            </w:pPr>
            <w:r w:rsidRPr="000973F2">
              <w:rPr>
                <w:rFonts w:ascii="Times New Roman" w:eastAsia="Times New Roman" w:hAnsi="Times New Roman" w:cs="Times New Roman"/>
                <w:b/>
                <w:bCs/>
                <w:sz w:val="18"/>
                <w:szCs w:val="18"/>
              </w:rPr>
              <w:t xml:space="preserve">Subseq. </w:t>
            </w:r>
            <w:r w:rsidR="00132320" w:rsidRPr="000973F2">
              <w:rPr>
                <w:rFonts w:ascii="Times New Roman" w:eastAsia="Times New Roman" w:hAnsi="Times New Roman" w:cs="Times New Roman"/>
                <w:b/>
                <w:bCs/>
                <w:sz w:val="18"/>
                <w:szCs w:val="18"/>
              </w:rPr>
              <w:t>Year Hours</w:t>
            </w:r>
          </w:p>
        </w:tc>
        <w:tc>
          <w:tcPr>
            <w:tcW w:w="788" w:type="dxa"/>
            <w:tcMar>
              <w:left w:w="14" w:type="dxa"/>
              <w:right w:w="14" w:type="dxa"/>
            </w:tcMar>
            <w:hideMark/>
          </w:tcPr>
          <w:p w14:paraId="213EA10A" w14:textId="76FB66B4" w:rsidR="004C5B58" w:rsidRPr="000973F2" w:rsidRDefault="004C5B58" w:rsidP="00FB50E0">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18"/>
                <w:szCs w:val="18"/>
              </w:rPr>
            </w:pPr>
            <w:r w:rsidRPr="000973F2">
              <w:rPr>
                <w:rFonts w:ascii="Times New Roman" w:eastAsia="Times New Roman" w:hAnsi="Times New Roman" w:cs="Times New Roman"/>
                <w:b/>
                <w:bCs/>
                <w:sz w:val="18"/>
                <w:szCs w:val="18"/>
              </w:rPr>
              <w:t xml:space="preserve">Initial </w:t>
            </w:r>
            <w:r w:rsidR="00132320" w:rsidRPr="000973F2">
              <w:rPr>
                <w:rFonts w:ascii="Times New Roman" w:eastAsia="Times New Roman" w:hAnsi="Times New Roman" w:cs="Times New Roman"/>
                <w:b/>
                <w:bCs/>
                <w:sz w:val="18"/>
                <w:szCs w:val="18"/>
              </w:rPr>
              <w:t>Year Hours</w:t>
            </w:r>
          </w:p>
        </w:tc>
        <w:tc>
          <w:tcPr>
            <w:tcW w:w="787" w:type="dxa"/>
            <w:tcMar>
              <w:left w:w="14" w:type="dxa"/>
              <w:right w:w="14" w:type="dxa"/>
            </w:tcMar>
            <w:hideMark/>
          </w:tcPr>
          <w:p w14:paraId="056C9EF4" w14:textId="08D43296" w:rsidR="004C5B58" w:rsidRPr="000973F2" w:rsidRDefault="004C5B58" w:rsidP="00FB50E0">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18"/>
                <w:szCs w:val="18"/>
              </w:rPr>
            </w:pPr>
            <w:r w:rsidRPr="000973F2">
              <w:rPr>
                <w:rFonts w:ascii="Times New Roman" w:eastAsia="Times New Roman" w:hAnsi="Times New Roman" w:cs="Times New Roman"/>
                <w:b/>
                <w:bCs/>
                <w:sz w:val="18"/>
                <w:szCs w:val="18"/>
              </w:rPr>
              <w:t xml:space="preserve">Subseq. </w:t>
            </w:r>
            <w:r w:rsidR="00132320" w:rsidRPr="000973F2">
              <w:rPr>
                <w:rFonts w:ascii="Times New Roman" w:eastAsia="Times New Roman" w:hAnsi="Times New Roman" w:cs="Times New Roman"/>
                <w:b/>
                <w:bCs/>
                <w:sz w:val="18"/>
                <w:szCs w:val="18"/>
              </w:rPr>
              <w:t>Year Hours</w:t>
            </w:r>
          </w:p>
        </w:tc>
        <w:tc>
          <w:tcPr>
            <w:tcW w:w="787" w:type="dxa"/>
            <w:tcMar>
              <w:left w:w="14" w:type="dxa"/>
              <w:right w:w="14" w:type="dxa"/>
            </w:tcMar>
            <w:hideMark/>
          </w:tcPr>
          <w:p w14:paraId="214D8EF4" w14:textId="144F40BA" w:rsidR="004C5B58" w:rsidRPr="000973F2" w:rsidRDefault="004C5B58" w:rsidP="00FB50E0">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18"/>
                <w:szCs w:val="18"/>
              </w:rPr>
            </w:pPr>
            <w:r w:rsidRPr="000973F2">
              <w:rPr>
                <w:rFonts w:ascii="Times New Roman" w:eastAsia="Times New Roman" w:hAnsi="Times New Roman" w:cs="Times New Roman"/>
                <w:b/>
                <w:bCs/>
                <w:sz w:val="18"/>
                <w:szCs w:val="18"/>
              </w:rPr>
              <w:t xml:space="preserve">Initial </w:t>
            </w:r>
            <w:r w:rsidR="00132320" w:rsidRPr="000973F2">
              <w:rPr>
                <w:rFonts w:ascii="Times New Roman" w:eastAsia="Times New Roman" w:hAnsi="Times New Roman" w:cs="Times New Roman"/>
                <w:b/>
                <w:bCs/>
                <w:sz w:val="18"/>
                <w:szCs w:val="18"/>
              </w:rPr>
              <w:t>Year Hours</w:t>
            </w:r>
          </w:p>
        </w:tc>
        <w:tc>
          <w:tcPr>
            <w:tcW w:w="788" w:type="dxa"/>
            <w:tcMar>
              <w:left w:w="14" w:type="dxa"/>
              <w:right w:w="14" w:type="dxa"/>
            </w:tcMar>
            <w:hideMark/>
          </w:tcPr>
          <w:p w14:paraId="25ACC3DE" w14:textId="349593D5" w:rsidR="004C5B58" w:rsidRPr="000973F2" w:rsidRDefault="004C5B58" w:rsidP="00FB50E0">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18"/>
                <w:szCs w:val="18"/>
              </w:rPr>
            </w:pPr>
            <w:r w:rsidRPr="000973F2">
              <w:rPr>
                <w:rFonts w:ascii="Times New Roman" w:eastAsia="Times New Roman" w:hAnsi="Times New Roman" w:cs="Times New Roman"/>
                <w:b/>
                <w:bCs/>
                <w:sz w:val="18"/>
                <w:szCs w:val="18"/>
              </w:rPr>
              <w:t xml:space="preserve">Subseq. </w:t>
            </w:r>
            <w:r w:rsidR="00132320" w:rsidRPr="000973F2">
              <w:rPr>
                <w:rFonts w:ascii="Times New Roman" w:eastAsia="Times New Roman" w:hAnsi="Times New Roman" w:cs="Times New Roman"/>
                <w:b/>
                <w:bCs/>
                <w:sz w:val="18"/>
                <w:szCs w:val="18"/>
              </w:rPr>
              <w:t>Year Hours</w:t>
            </w:r>
          </w:p>
        </w:tc>
        <w:tc>
          <w:tcPr>
            <w:tcW w:w="787" w:type="dxa"/>
            <w:tcMar>
              <w:left w:w="14" w:type="dxa"/>
              <w:right w:w="14" w:type="dxa"/>
            </w:tcMar>
            <w:hideMark/>
          </w:tcPr>
          <w:p w14:paraId="6B8CCC28" w14:textId="01D665CE" w:rsidR="004C5B58" w:rsidRPr="000973F2" w:rsidRDefault="004C5B58" w:rsidP="00FB50E0">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18"/>
                <w:szCs w:val="18"/>
              </w:rPr>
            </w:pPr>
            <w:r w:rsidRPr="000973F2">
              <w:rPr>
                <w:rFonts w:ascii="Times New Roman" w:eastAsia="Times New Roman" w:hAnsi="Times New Roman" w:cs="Times New Roman"/>
                <w:b/>
                <w:bCs/>
                <w:sz w:val="18"/>
                <w:szCs w:val="18"/>
              </w:rPr>
              <w:t xml:space="preserve">Initial </w:t>
            </w:r>
            <w:r w:rsidR="00132320" w:rsidRPr="000973F2">
              <w:rPr>
                <w:rFonts w:ascii="Times New Roman" w:eastAsia="Times New Roman" w:hAnsi="Times New Roman" w:cs="Times New Roman"/>
                <w:b/>
                <w:bCs/>
                <w:sz w:val="18"/>
                <w:szCs w:val="18"/>
              </w:rPr>
              <w:t>Year Hours</w:t>
            </w:r>
          </w:p>
        </w:tc>
        <w:tc>
          <w:tcPr>
            <w:tcW w:w="788" w:type="dxa"/>
            <w:tcMar>
              <w:left w:w="14" w:type="dxa"/>
              <w:right w:w="14" w:type="dxa"/>
            </w:tcMar>
            <w:hideMark/>
          </w:tcPr>
          <w:p w14:paraId="585C0D87" w14:textId="08EEE9AD" w:rsidR="004C5B58" w:rsidRPr="000973F2" w:rsidRDefault="004C5B58" w:rsidP="00FB50E0">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18"/>
                <w:szCs w:val="18"/>
              </w:rPr>
            </w:pPr>
            <w:r w:rsidRPr="000973F2">
              <w:rPr>
                <w:rFonts w:ascii="Times New Roman" w:eastAsia="Times New Roman" w:hAnsi="Times New Roman" w:cs="Times New Roman"/>
                <w:b/>
                <w:bCs/>
                <w:sz w:val="18"/>
                <w:szCs w:val="18"/>
              </w:rPr>
              <w:t xml:space="preserve">Subseq. </w:t>
            </w:r>
            <w:r w:rsidR="00132320" w:rsidRPr="000973F2">
              <w:rPr>
                <w:rFonts w:ascii="Times New Roman" w:eastAsia="Times New Roman" w:hAnsi="Times New Roman" w:cs="Times New Roman"/>
                <w:b/>
                <w:bCs/>
                <w:sz w:val="18"/>
                <w:szCs w:val="18"/>
              </w:rPr>
              <w:t>Year Hours</w:t>
            </w:r>
          </w:p>
        </w:tc>
        <w:tc>
          <w:tcPr>
            <w:tcW w:w="848" w:type="dxa"/>
            <w:tcMar>
              <w:left w:w="14" w:type="dxa"/>
              <w:right w:w="14" w:type="dxa"/>
            </w:tcMar>
            <w:hideMark/>
          </w:tcPr>
          <w:p w14:paraId="5E7FE748" w14:textId="77777777" w:rsidR="004C5B58" w:rsidRPr="000973F2" w:rsidRDefault="004C5B58" w:rsidP="00FB50E0">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18"/>
                <w:szCs w:val="18"/>
              </w:rPr>
            </w:pPr>
            <w:r w:rsidRPr="000973F2">
              <w:rPr>
                <w:rFonts w:ascii="Times New Roman" w:eastAsia="Times New Roman" w:hAnsi="Times New Roman" w:cs="Times New Roman"/>
                <w:b/>
                <w:bCs/>
                <w:sz w:val="18"/>
                <w:szCs w:val="18"/>
              </w:rPr>
              <w:t>Initial Year</w:t>
            </w:r>
          </w:p>
        </w:tc>
        <w:tc>
          <w:tcPr>
            <w:tcW w:w="848" w:type="dxa"/>
            <w:tcMar>
              <w:left w:w="14" w:type="dxa"/>
              <w:right w:w="14" w:type="dxa"/>
            </w:tcMar>
            <w:hideMark/>
          </w:tcPr>
          <w:p w14:paraId="6BD89CEE" w14:textId="77777777" w:rsidR="004C5B58" w:rsidRPr="000973F2" w:rsidRDefault="004C5B58" w:rsidP="00FB50E0">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18"/>
                <w:szCs w:val="18"/>
              </w:rPr>
            </w:pPr>
            <w:r w:rsidRPr="000973F2">
              <w:rPr>
                <w:rFonts w:ascii="Times New Roman" w:eastAsia="Times New Roman" w:hAnsi="Times New Roman" w:cs="Times New Roman"/>
                <w:b/>
                <w:bCs/>
                <w:sz w:val="18"/>
                <w:szCs w:val="18"/>
              </w:rPr>
              <w:t>Subseq. Year</w:t>
            </w:r>
          </w:p>
        </w:tc>
      </w:tr>
      <w:tr w:rsidR="004C5B58" w:rsidRPr="000973F2" w14:paraId="7A7C4620" w14:textId="77777777" w:rsidTr="00FB50E0">
        <w:trPr>
          <w:cantSplit/>
        </w:trPr>
        <w:tc>
          <w:tcPr>
            <w:cnfStyle w:val="001000000000" w:firstRow="0" w:lastRow="0" w:firstColumn="1" w:lastColumn="0" w:oddVBand="0" w:evenVBand="0" w:oddHBand="0" w:evenHBand="0" w:firstRowFirstColumn="0" w:firstRowLastColumn="0" w:lastRowFirstColumn="0" w:lastRowLastColumn="0"/>
            <w:tcW w:w="1335" w:type="dxa"/>
            <w:hideMark/>
          </w:tcPr>
          <w:p w14:paraId="2ED905C1" w14:textId="77777777" w:rsidR="004C5B58" w:rsidRPr="000973F2" w:rsidRDefault="004C5B58" w:rsidP="00FB50E0">
            <w:pPr>
              <w:spacing w:before="40" w:after="4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Planning</w:t>
            </w:r>
          </w:p>
        </w:tc>
        <w:tc>
          <w:tcPr>
            <w:tcW w:w="787" w:type="dxa"/>
            <w:noWrap/>
            <w:hideMark/>
          </w:tcPr>
          <w:p w14:paraId="56BE845E" w14:textId="77777777" w:rsidR="004C5B58" w:rsidRPr="000973F2" w:rsidRDefault="004C5B58" w:rsidP="00FB50E0">
            <w:pPr>
              <w:tabs>
                <w:tab w:val="decimal" w:pos="271"/>
              </w:tabs>
              <w:spacing w:before="40" w:after="4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hAnsi="Times New Roman" w:cs="Times New Roman"/>
                <w:sz w:val="18"/>
                <w:szCs w:val="18"/>
              </w:rPr>
              <w:t>0</w:t>
            </w:r>
          </w:p>
        </w:tc>
        <w:tc>
          <w:tcPr>
            <w:tcW w:w="787" w:type="dxa"/>
            <w:noWrap/>
            <w:hideMark/>
          </w:tcPr>
          <w:p w14:paraId="65E90062" w14:textId="77777777" w:rsidR="004C5B58" w:rsidRPr="000973F2" w:rsidRDefault="004C5B58" w:rsidP="00FB50E0">
            <w:pPr>
              <w:tabs>
                <w:tab w:val="decimal" w:pos="271"/>
              </w:tabs>
              <w:spacing w:before="40" w:after="4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hAnsi="Times New Roman" w:cs="Times New Roman"/>
                <w:sz w:val="18"/>
                <w:szCs w:val="18"/>
              </w:rPr>
              <w:t>1</w:t>
            </w:r>
          </w:p>
        </w:tc>
        <w:tc>
          <w:tcPr>
            <w:tcW w:w="788" w:type="dxa"/>
            <w:noWrap/>
            <w:hideMark/>
          </w:tcPr>
          <w:p w14:paraId="36C0A192" w14:textId="77777777" w:rsidR="004C5B58" w:rsidRPr="000973F2" w:rsidRDefault="004C5B58" w:rsidP="00FB50E0">
            <w:pPr>
              <w:tabs>
                <w:tab w:val="decimal" w:pos="271"/>
              </w:tabs>
              <w:spacing w:before="40" w:after="4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hAnsi="Times New Roman" w:cs="Times New Roman"/>
                <w:sz w:val="18"/>
                <w:szCs w:val="18"/>
              </w:rPr>
              <w:t>0</w:t>
            </w:r>
          </w:p>
        </w:tc>
        <w:tc>
          <w:tcPr>
            <w:tcW w:w="787" w:type="dxa"/>
            <w:noWrap/>
            <w:hideMark/>
          </w:tcPr>
          <w:p w14:paraId="17031C15" w14:textId="77777777" w:rsidR="004C5B58" w:rsidRPr="000973F2" w:rsidRDefault="004C5B58" w:rsidP="00FB50E0">
            <w:pPr>
              <w:tabs>
                <w:tab w:val="decimal" w:pos="271"/>
              </w:tabs>
              <w:spacing w:before="40" w:after="4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hAnsi="Times New Roman" w:cs="Times New Roman"/>
                <w:sz w:val="18"/>
                <w:szCs w:val="18"/>
              </w:rPr>
              <w:t>1.0</w:t>
            </w:r>
          </w:p>
        </w:tc>
        <w:tc>
          <w:tcPr>
            <w:tcW w:w="787" w:type="dxa"/>
            <w:noWrap/>
            <w:hideMark/>
          </w:tcPr>
          <w:p w14:paraId="6D591463" w14:textId="77777777" w:rsidR="004C5B58" w:rsidRPr="000973F2" w:rsidRDefault="004C5B58" w:rsidP="00FB50E0">
            <w:pPr>
              <w:tabs>
                <w:tab w:val="decimal" w:pos="271"/>
              </w:tabs>
              <w:spacing w:before="40" w:after="4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hAnsi="Times New Roman" w:cs="Times New Roman"/>
                <w:sz w:val="18"/>
                <w:szCs w:val="18"/>
              </w:rPr>
              <w:t>0</w:t>
            </w:r>
          </w:p>
        </w:tc>
        <w:tc>
          <w:tcPr>
            <w:tcW w:w="788" w:type="dxa"/>
            <w:noWrap/>
            <w:hideMark/>
          </w:tcPr>
          <w:p w14:paraId="0D70141A" w14:textId="77777777" w:rsidR="004C5B58" w:rsidRPr="000973F2" w:rsidRDefault="004C5B58" w:rsidP="00FB50E0">
            <w:pPr>
              <w:tabs>
                <w:tab w:val="decimal" w:pos="271"/>
              </w:tabs>
              <w:spacing w:before="40" w:after="4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hAnsi="Times New Roman" w:cs="Times New Roman"/>
                <w:sz w:val="18"/>
                <w:szCs w:val="18"/>
              </w:rPr>
              <w:t>2</w:t>
            </w:r>
          </w:p>
        </w:tc>
        <w:tc>
          <w:tcPr>
            <w:tcW w:w="787" w:type="dxa"/>
            <w:noWrap/>
            <w:hideMark/>
          </w:tcPr>
          <w:p w14:paraId="1FBFDFEC" w14:textId="77777777" w:rsidR="004C5B58" w:rsidRPr="000973F2" w:rsidRDefault="004C5B58" w:rsidP="00FB50E0">
            <w:pPr>
              <w:tabs>
                <w:tab w:val="decimal" w:pos="271"/>
              </w:tabs>
              <w:spacing w:before="40" w:after="4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hAnsi="Times New Roman" w:cs="Times New Roman"/>
                <w:sz w:val="18"/>
                <w:szCs w:val="18"/>
              </w:rPr>
              <w:t>0</w:t>
            </w:r>
          </w:p>
        </w:tc>
        <w:tc>
          <w:tcPr>
            <w:tcW w:w="788" w:type="dxa"/>
            <w:noWrap/>
            <w:hideMark/>
          </w:tcPr>
          <w:p w14:paraId="1EFE163C" w14:textId="77777777" w:rsidR="004C5B58" w:rsidRPr="000973F2" w:rsidRDefault="004C5B58" w:rsidP="00FB50E0">
            <w:pPr>
              <w:tabs>
                <w:tab w:val="decimal" w:pos="271"/>
              </w:tabs>
              <w:spacing w:before="40" w:after="4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hAnsi="Times New Roman" w:cs="Times New Roman"/>
                <w:sz w:val="18"/>
                <w:szCs w:val="18"/>
              </w:rPr>
              <w:t>0.5</w:t>
            </w:r>
          </w:p>
        </w:tc>
        <w:tc>
          <w:tcPr>
            <w:tcW w:w="848" w:type="dxa"/>
            <w:noWrap/>
            <w:hideMark/>
          </w:tcPr>
          <w:p w14:paraId="14A7C9CD" w14:textId="313B8796" w:rsidR="004C5B58" w:rsidRPr="000973F2" w:rsidRDefault="004C5B58" w:rsidP="00FB50E0">
            <w:pPr>
              <w:tabs>
                <w:tab w:val="decimal" w:pos="421"/>
              </w:tabs>
              <w:spacing w:before="40" w:after="4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hAnsi="Times New Roman" w:cs="Times New Roman"/>
                <w:sz w:val="18"/>
                <w:szCs w:val="18"/>
              </w:rPr>
              <w:t>$0</w:t>
            </w:r>
          </w:p>
        </w:tc>
        <w:tc>
          <w:tcPr>
            <w:tcW w:w="848" w:type="dxa"/>
            <w:noWrap/>
            <w:hideMark/>
          </w:tcPr>
          <w:p w14:paraId="03F57453" w14:textId="1ED06319" w:rsidR="004C5B58" w:rsidRPr="000973F2" w:rsidRDefault="004C5B58" w:rsidP="00FB50E0">
            <w:pPr>
              <w:tabs>
                <w:tab w:val="decimal" w:pos="571"/>
              </w:tabs>
              <w:spacing w:before="40" w:after="4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hAnsi="Times New Roman" w:cs="Times New Roman"/>
                <w:sz w:val="18"/>
                <w:szCs w:val="18"/>
              </w:rPr>
              <w:t>$361</w:t>
            </w:r>
          </w:p>
        </w:tc>
      </w:tr>
      <w:tr w:rsidR="004C5B58" w:rsidRPr="000973F2" w14:paraId="102C77FA" w14:textId="77777777" w:rsidTr="00FB50E0">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1335" w:type="dxa"/>
            <w:hideMark/>
          </w:tcPr>
          <w:p w14:paraId="0C9B3FC0" w14:textId="77777777" w:rsidR="004C5B58" w:rsidRPr="000973F2" w:rsidRDefault="004C5B58" w:rsidP="00FB50E0">
            <w:pPr>
              <w:spacing w:before="40" w:after="4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QA/QC</w:t>
            </w:r>
          </w:p>
        </w:tc>
        <w:tc>
          <w:tcPr>
            <w:tcW w:w="787" w:type="dxa"/>
            <w:noWrap/>
            <w:hideMark/>
          </w:tcPr>
          <w:p w14:paraId="3AE9619F" w14:textId="77777777" w:rsidR="004C5B58" w:rsidRPr="000973F2" w:rsidRDefault="004C5B58" w:rsidP="00FB50E0">
            <w:pPr>
              <w:tabs>
                <w:tab w:val="decimal" w:pos="271"/>
              </w:tabs>
              <w:spacing w:before="40" w:after="4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hAnsi="Times New Roman" w:cs="Times New Roman"/>
                <w:sz w:val="18"/>
                <w:szCs w:val="18"/>
              </w:rPr>
              <w:t>0</w:t>
            </w:r>
          </w:p>
        </w:tc>
        <w:tc>
          <w:tcPr>
            <w:tcW w:w="787" w:type="dxa"/>
            <w:noWrap/>
            <w:hideMark/>
          </w:tcPr>
          <w:p w14:paraId="2652E56F" w14:textId="77777777" w:rsidR="004C5B58" w:rsidRPr="000973F2" w:rsidRDefault="004C5B58" w:rsidP="00FB50E0">
            <w:pPr>
              <w:tabs>
                <w:tab w:val="decimal" w:pos="271"/>
              </w:tabs>
              <w:spacing w:before="40" w:after="4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hAnsi="Times New Roman" w:cs="Times New Roman"/>
                <w:sz w:val="18"/>
                <w:szCs w:val="18"/>
              </w:rPr>
              <w:t>0</w:t>
            </w:r>
          </w:p>
        </w:tc>
        <w:tc>
          <w:tcPr>
            <w:tcW w:w="788" w:type="dxa"/>
            <w:noWrap/>
            <w:hideMark/>
          </w:tcPr>
          <w:p w14:paraId="5538908A" w14:textId="77777777" w:rsidR="004C5B58" w:rsidRPr="000973F2" w:rsidRDefault="004C5B58" w:rsidP="00FB50E0">
            <w:pPr>
              <w:tabs>
                <w:tab w:val="decimal" w:pos="271"/>
              </w:tabs>
              <w:spacing w:before="40" w:after="4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hAnsi="Times New Roman" w:cs="Times New Roman"/>
                <w:sz w:val="18"/>
                <w:szCs w:val="18"/>
              </w:rPr>
              <w:t>0</w:t>
            </w:r>
          </w:p>
        </w:tc>
        <w:tc>
          <w:tcPr>
            <w:tcW w:w="787" w:type="dxa"/>
            <w:noWrap/>
            <w:hideMark/>
          </w:tcPr>
          <w:p w14:paraId="760DE754" w14:textId="77777777" w:rsidR="004C5B58" w:rsidRPr="000973F2" w:rsidRDefault="004C5B58" w:rsidP="00FB50E0">
            <w:pPr>
              <w:tabs>
                <w:tab w:val="decimal" w:pos="271"/>
              </w:tabs>
              <w:spacing w:before="40" w:after="4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hAnsi="Times New Roman" w:cs="Times New Roman"/>
                <w:sz w:val="18"/>
                <w:szCs w:val="18"/>
              </w:rPr>
              <w:t>1.0</w:t>
            </w:r>
          </w:p>
        </w:tc>
        <w:tc>
          <w:tcPr>
            <w:tcW w:w="787" w:type="dxa"/>
            <w:noWrap/>
            <w:hideMark/>
          </w:tcPr>
          <w:p w14:paraId="0E70829F" w14:textId="77777777" w:rsidR="004C5B58" w:rsidRPr="000973F2" w:rsidRDefault="004C5B58" w:rsidP="00FB50E0">
            <w:pPr>
              <w:tabs>
                <w:tab w:val="decimal" w:pos="271"/>
              </w:tabs>
              <w:spacing w:before="40" w:after="4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hAnsi="Times New Roman" w:cs="Times New Roman"/>
                <w:sz w:val="18"/>
                <w:szCs w:val="18"/>
              </w:rPr>
              <w:t>0</w:t>
            </w:r>
          </w:p>
        </w:tc>
        <w:tc>
          <w:tcPr>
            <w:tcW w:w="788" w:type="dxa"/>
            <w:noWrap/>
            <w:hideMark/>
          </w:tcPr>
          <w:p w14:paraId="0D4FC00B" w14:textId="77777777" w:rsidR="004C5B58" w:rsidRPr="000973F2" w:rsidRDefault="004C5B58" w:rsidP="00FB50E0">
            <w:pPr>
              <w:tabs>
                <w:tab w:val="decimal" w:pos="271"/>
              </w:tabs>
              <w:spacing w:before="40" w:after="4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hAnsi="Times New Roman" w:cs="Times New Roman"/>
                <w:sz w:val="18"/>
                <w:szCs w:val="18"/>
              </w:rPr>
              <w:t>12</w:t>
            </w:r>
          </w:p>
        </w:tc>
        <w:tc>
          <w:tcPr>
            <w:tcW w:w="787" w:type="dxa"/>
            <w:noWrap/>
            <w:hideMark/>
          </w:tcPr>
          <w:p w14:paraId="478714E7" w14:textId="77777777" w:rsidR="004C5B58" w:rsidRPr="000973F2" w:rsidRDefault="004C5B58" w:rsidP="00FB50E0">
            <w:pPr>
              <w:tabs>
                <w:tab w:val="decimal" w:pos="271"/>
              </w:tabs>
              <w:spacing w:before="40" w:after="4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hAnsi="Times New Roman" w:cs="Times New Roman"/>
                <w:sz w:val="18"/>
                <w:szCs w:val="18"/>
              </w:rPr>
              <w:t>0</w:t>
            </w:r>
          </w:p>
        </w:tc>
        <w:tc>
          <w:tcPr>
            <w:tcW w:w="788" w:type="dxa"/>
            <w:noWrap/>
            <w:hideMark/>
          </w:tcPr>
          <w:p w14:paraId="2439B085" w14:textId="77777777" w:rsidR="004C5B58" w:rsidRPr="000973F2" w:rsidRDefault="004C5B58" w:rsidP="00FB50E0">
            <w:pPr>
              <w:tabs>
                <w:tab w:val="decimal" w:pos="271"/>
              </w:tabs>
              <w:spacing w:before="40" w:after="4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hAnsi="Times New Roman" w:cs="Times New Roman"/>
                <w:sz w:val="18"/>
                <w:szCs w:val="18"/>
              </w:rPr>
              <w:t>0.5</w:t>
            </w:r>
          </w:p>
        </w:tc>
        <w:tc>
          <w:tcPr>
            <w:tcW w:w="848" w:type="dxa"/>
            <w:noWrap/>
            <w:hideMark/>
          </w:tcPr>
          <w:p w14:paraId="5435A68C" w14:textId="53CD5092" w:rsidR="004C5B58" w:rsidRPr="000973F2" w:rsidRDefault="004C5B58" w:rsidP="00FB50E0">
            <w:pPr>
              <w:tabs>
                <w:tab w:val="decimal" w:pos="421"/>
              </w:tabs>
              <w:spacing w:before="40" w:after="4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hAnsi="Times New Roman" w:cs="Times New Roman"/>
                <w:sz w:val="18"/>
                <w:szCs w:val="18"/>
              </w:rPr>
              <w:t>$0</w:t>
            </w:r>
          </w:p>
        </w:tc>
        <w:tc>
          <w:tcPr>
            <w:tcW w:w="848" w:type="dxa"/>
            <w:noWrap/>
            <w:hideMark/>
          </w:tcPr>
          <w:p w14:paraId="29432699" w14:textId="3B767732" w:rsidR="004C5B58" w:rsidRPr="000973F2" w:rsidRDefault="004C5B58" w:rsidP="00FB50E0">
            <w:pPr>
              <w:tabs>
                <w:tab w:val="decimal" w:pos="571"/>
              </w:tabs>
              <w:spacing w:before="40" w:after="4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hAnsi="Times New Roman" w:cs="Times New Roman"/>
                <w:sz w:val="18"/>
                <w:szCs w:val="18"/>
              </w:rPr>
              <w:t>$963</w:t>
            </w:r>
          </w:p>
        </w:tc>
      </w:tr>
      <w:tr w:rsidR="004C5B58" w:rsidRPr="000973F2" w14:paraId="044B4AB2" w14:textId="77777777" w:rsidTr="00FB50E0">
        <w:trPr>
          <w:cantSplit/>
        </w:trPr>
        <w:tc>
          <w:tcPr>
            <w:cnfStyle w:val="001000000000" w:firstRow="0" w:lastRow="0" w:firstColumn="1" w:lastColumn="0" w:oddVBand="0" w:evenVBand="0" w:oddHBand="0" w:evenHBand="0" w:firstRowFirstColumn="0" w:firstRowLastColumn="0" w:lastRowFirstColumn="0" w:lastRowLastColumn="0"/>
            <w:tcW w:w="1335" w:type="dxa"/>
            <w:hideMark/>
          </w:tcPr>
          <w:p w14:paraId="150374BC" w14:textId="77777777" w:rsidR="004C5B58" w:rsidRPr="000973F2" w:rsidRDefault="004C5B58" w:rsidP="00FB50E0">
            <w:pPr>
              <w:spacing w:before="40" w:after="4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Recordkeeping</w:t>
            </w:r>
          </w:p>
        </w:tc>
        <w:tc>
          <w:tcPr>
            <w:tcW w:w="787" w:type="dxa"/>
            <w:noWrap/>
            <w:hideMark/>
          </w:tcPr>
          <w:p w14:paraId="40A20BA4" w14:textId="77777777" w:rsidR="004C5B58" w:rsidRPr="000973F2" w:rsidRDefault="004C5B58" w:rsidP="00FB50E0">
            <w:pPr>
              <w:tabs>
                <w:tab w:val="decimal" w:pos="271"/>
              </w:tabs>
              <w:spacing w:before="40" w:after="4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hAnsi="Times New Roman" w:cs="Times New Roman"/>
                <w:sz w:val="18"/>
                <w:szCs w:val="18"/>
              </w:rPr>
              <w:t>0</w:t>
            </w:r>
          </w:p>
        </w:tc>
        <w:tc>
          <w:tcPr>
            <w:tcW w:w="787" w:type="dxa"/>
            <w:noWrap/>
            <w:hideMark/>
          </w:tcPr>
          <w:p w14:paraId="23A56706" w14:textId="77777777" w:rsidR="004C5B58" w:rsidRPr="000973F2" w:rsidRDefault="004C5B58" w:rsidP="00FB50E0">
            <w:pPr>
              <w:tabs>
                <w:tab w:val="decimal" w:pos="271"/>
              </w:tabs>
              <w:spacing w:before="40" w:after="4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hAnsi="Times New Roman" w:cs="Times New Roman"/>
                <w:sz w:val="18"/>
                <w:szCs w:val="18"/>
              </w:rPr>
              <w:t>0</w:t>
            </w:r>
          </w:p>
        </w:tc>
        <w:tc>
          <w:tcPr>
            <w:tcW w:w="788" w:type="dxa"/>
            <w:noWrap/>
            <w:hideMark/>
          </w:tcPr>
          <w:p w14:paraId="1B6E1FDB" w14:textId="77777777" w:rsidR="004C5B58" w:rsidRPr="000973F2" w:rsidRDefault="004C5B58" w:rsidP="00FB50E0">
            <w:pPr>
              <w:tabs>
                <w:tab w:val="decimal" w:pos="271"/>
              </w:tabs>
              <w:spacing w:before="40" w:after="4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hAnsi="Times New Roman" w:cs="Times New Roman"/>
                <w:sz w:val="18"/>
                <w:szCs w:val="18"/>
              </w:rPr>
              <w:t>0</w:t>
            </w:r>
          </w:p>
        </w:tc>
        <w:tc>
          <w:tcPr>
            <w:tcW w:w="787" w:type="dxa"/>
            <w:noWrap/>
            <w:hideMark/>
          </w:tcPr>
          <w:p w14:paraId="6AC8E3C1" w14:textId="77777777" w:rsidR="004C5B58" w:rsidRPr="000973F2" w:rsidRDefault="004C5B58" w:rsidP="00FB50E0">
            <w:pPr>
              <w:tabs>
                <w:tab w:val="decimal" w:pos="271"/>
              </w:tabs>
              <w:spacing w:before="40" w:after="4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hAnsi="Times New Roman" w:cs="Times New Roman"/>
                <w:sz w:val="18"/>
                <w:szCs w:val="18"/>
              </w:rPr>
              <w:t>0.5</w:t>
            </w:r>
          </w:p>
        </w:tc>
        <w:tc>
          <w:tcPr>
            <w:tcW w:w="787" w:type="dxa"/>
            <w:noWrap/>
            <w:hideMark/>
          </w:tcPr>
          <w:p w14:paraId="37D66317" w14:textId="77777777" w:rsidR="004C5B58" w:rsidRPr="000973F2" w:rsidRDefault="004C5B58" w:rsidP="00FB50E0">
            <w:pPr>
              <w:tabs>
                <w:tab w:val="decimal" w:pos="271"/>
              </w:tabs>
              <w:spacing w:before="40" w:after="4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hAnsi="Times New Roman" w:cs="Times New Roman"/>
                <w:sz w:val="18"/>
                <w:szCs w:val="18"/>
              </w:rPr>
              <w:t>0</w:t>
            </w:r>
          </w:p>
        </w:tc>
        <w:tc>
          <w:tcPr>
            <w:tcW w:w="788" w:type="dxa"/>
            <w:noWrap/>
            <w:hideMark/>
          </w:tcPr>
          <w:p w14:paraId="36A44C7D" w14:textId="77777777" w:rsidR="004C5B58" w:rsidRPr="000973F2" w:rsidRDefault="004C5B58" w:rsidP="00FB50E0">
            <w:pPr>
              <w:tabs>
                <w:tab w:val="decimal" w:pos="271"/>
              </w:tabs>
              <w:spacing w:before="40" w:after="4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hAnsi="Times New Roman" w:cs="Times New Roman"/>
                <w:sz w:val="18"/>
                <w:szCs w:val="18"/>
              </w:rPr>
              <w:t>5</w:t>
            </w:r>
          </w:p>
        </w:tc>
        <w:tc>
          <w:tcPr>
            <w:tcW w:w="787" w:type="dxa"/>
            <w:noWrap/>
            <w:hideMark/>
          </w:tcPr>
          <w:p w14:paraId="581716CC" w14:textId="77777777" w:rsidR="004C5B58" w:rsidRPr="000973F2" w:rsidRDefault="004C5B58" w:rsidP="00FB50E0">
            <w:pPr>
              <w:tabs>
                <w:tab w:val="decimal" w:pos="271"/>
              </w:tabs>
              <w:spacing w:before="40" w:after="4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hAnsi="Times New Roman" w:cs="Times New Roman"/>
                <w:sz w:val="18"/>
                <w:szCs w:val="18"/>
              </w:rPr>
              <w:t>0</w:t>
            </w:r>
          </w:p>
        </w:tc>
        <w:tc>
          <w:tcPr>
            <w:tcW w:w="788" w:type="dxa"/>
            <w:noWrap/>
            <w:hideMark/>
          </w:tcPr>
          <w:p w14:paraId="08D28394" w14:textId="77777777" w:rsidR="004C5B58" w:rsidRPr="000973F2" w:rsidRDefault="004C5B58" w:rsidP="00FB50E0">
            <w:pPr>
              <w:tabs>
                <w:tab w:val="decimal" w:pos="271"/>
              </w:tabs>
              <w:spacing w:before="40" w:after="4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hAnsi="Times New Roman" w:cs="Times New Roman"/>
                <w:sz w:val="18"/>
                <w:szCs w:val="18"/>
              </w:rPr>
              <w:t>0.5</w:t>
            </w:r>
          </w:p>
        </w:tc>
        <w:tc>
          <w:tcPr>
            <w:tcW w:w="848" w:type="dxa"/>
            <w:noWrap/>
            <w:hideMark/>
          </w:tcPr>
          <w:p w14:paraId="0F0E74B9" w14:textId="0698CB08" w:rsidR="004C5B58" w:rsidRPr="000973F2" w:rsidRDefault="004C5B58" w:rsidP="00FB50E0">
            <w:pPr>
              <w:tabs>
                <w:tab w:val="decimal" w:pos="421"/>
              </w:tabs>
              <w:spacing w:before="40" w:after="4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hAnsi="Times New Roman" w:cs="Times New Roman"/>
                <w:sz w:val="18"/>
                <w:szCs w:val="18"/>
              </w:rPr>
              <w:t>$0</w:t>
            </w:r>
          </w:p>
        </w:tc>
        <w:tc>
          <w:tcPr>
            <w:tcW w:w="848" w:type="dxa"/>
            <w:noWrap/>
            <w:hideMark/>
          </w:tcPr>
          <w:p w14:paraId="38A09A46" w14:textId="4AC78D15" w:rsidR="004C5B58" w:rsidRPr="000973F2" w:rsidRDefault="004C5B58" w:rsidP="00FB50E0">
            <w:pPr>
              <w:tabs>
                <w:tab w:val="decimal" w:pos="571"/>
              </w:tabs>
              <w:spacing w:before="40" w:after="4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hAnsi="Times New Roman" w:cs="Times New Roman"/>
                <w:sz w:val="18"/>
                <w:szCs w:val="18"/>
              </w:rPr>
              <w:t>$419</w:t>
            </w:r>
          </w:p>
        </w:tc>
      </w:tr>
      <w:tr w:rsidR="004C5B58" w:rsidRPr="000973F2" w14:paraId="4B57F50F" w14:textId="77777777" w:rsidTr="00FB50E0">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1335" w:type="dxa"/>
            <w:hideMark/>
          </w:tcPr>
          <w:p w14:paraId="577D4B48" w14:textId="77777777" w:rsidR="004C5B58" w:rsidRPr="000973F2" w:rsidRDefault="004C5B58" w:rsidP="00FB50E0">
            <w:pPr>
              <w:spacing w:before="40" w:after="4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Sampling and Analysis (Calculations)</w:t>
            </w:r>
          </w:p>
        </w:tc>
        <w:tc>
          <w:tcPr>
            <w:tcW w:w="787" w:type="dxa"/>
            <w:noWrap/>
            <w:hideMark/>
          </w:tcPr>
          <w:p w14:paraId="7CBDE0F8" w14:textId="77777777" w:rsidR="004C5B58" w:rsidRPr="000973F2" w:rsidRDefault="004C5B58" w:rsidP="00FB50E0">
            <w:pPr>
              <w:tabs>
                <w:tab w:val="decimal" w:pos="271"/>
              </w:tabs>
              <w:spacing w:before="40" w:after="4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hAnsi="Times New Roman" w:cs="Times New Roman"/>
                <w:sz w:val="18"/>
                <w:szCs w:val="18"/>
              </w:rPr>
              <w:t>0</w:t>
            </w:r>
          </w:p>
        </w:tc>
        <w:tc>
          <w:tcPr>
            <w:tcW w:w="787" w:type="dxa"/>
            <w:noWrap/>
            <w:hideMark/>
          </w:tcPr>
          <w:p w14:paraId="1B6C85CE" w14:textId="77777777" w:rsidR="004C5B58" w:rsidRPr="000973F2" w:rsidRDefault="004C5B58" w:rsidP="00FB50E0">
            <w:pPr>
              <w:tabs>
                <w:tab w:val="decimal" w:pos="271"/>
              </w:tabs>
              <w:spacing w:before="40" w:after="4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hAnsi="Times New Roman" w:cs="Times New Roman"/>
                <w:sz w:val="18"/>
                <w:szCs w:val="18"/>
              </w:rPr>
              <w:t>0</w:t>
            </w:r>
          </w:p>
        </w:tc>
        <w:tc>
          <w:tcPr>
            <w:tcW w:w="788" w:type="dxa"/>
            <w:noWrap/>
            <w:hideMark/>
          </w:tcPr>
          <w:p w14:paraId="2D55DF1E" w14:textId="77777777" w:rsidR="004C5B58" w:rsidRPr="000973F2" w:rsidRDefault="004C5B58" w:rsidP="00FB50E0">
            <w:pPr>
              <w:tabs>
                <w:tab w:val="decimal" w:pos="271"/>
              </w:tabs>
              <w:spacing w:before="40" w:after="4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hAnsi="Times New Roman" w:cs="Times New Roman"/>
                <w:sz w:val="18"/>
                <w:szCs w:val="18"/>
              </w:rPr>
              <w:t>0</w:t>
            </w:r>
          </w:p>
        </w:tc>
        <w:tc>
          <w:tcPr>
            <w:tcW w:w="787" w:type="dxa"/>
            <w:noWrap/>
            <w:hideMark/>
          </w:tcPr>
          <w:p w14:paraId="525D4CFA" w14:textId="77777777" w:rsidR="004C5B58" w:rsidRPr="000973F2" w:rsidRDefault="004C5B58" w:rsidP="00FB50E0">
            <w:pPr>
              <w:tabs>
                <w:tab w:val="decimal" w:pos="271"/>
              </w:tabs>
              <w:spacing w:before="40" w:after="4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hAnsi="Times New Roman" w:cs="Times New Roman"/>
                <w:sz w:val="18"/>
                <w:szCs w:val="18"/>
              </w:rPr>
              <w:t>1.5</w:t>
            </w:r>
          </w:p>
        </w:tc>
        <w:tc>
          <w:tcPr>
            <w:tcW w:w="787" w:type="dxa"/>
            <w:noWrap/>
            <w:hideMark/>
          </w:tcPr>
          <w:p w14:paraId="605EECCF" w14:textId="77777777" w:rsidR="004C5B58" w:rsidRPr="000973F2" w:rsidRDefault="004C5B58" w:rsidP="00FB50E0">
            <w:pPr>
              <w:tabs>
                <w:tab w:val="decimal" w:pos="271"/>
              </w:tabs>
              <w:spacing w:before="40" w:after="4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hAnsi="Times New Roman" w:cs="Times New Roman"/>
                <w:sz w:val="18"/>
                <w:szCs w:val="18"/>
              </w:rPr>
              <w:t>0</w:t>
            </w:r>
          </w:p>
        </w:tc>
        <w:tc>
          <w:tcPr>
            <w:tcW w:w="788" w:type="dxa"/>
            <w:noWrap/>
            <w:hideMark/>
          </w:tcPr>
          <w:p w14:paraId="34AFA0CF" w14:textId="77777777" w:rsidR="004C5B58" w:rsidRPr="000973F2" w:rsidRDefault="004C5B58" w:rsidP="00FB50E0">
            <w:pPr>
              <w:tabs>
                <w:tab w:val="decimal" w:pos="271"/>
              </w:tabs>
              <w:spacing w:before="40" w:after="4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hAnsi="Times New Roman" w:cs="Times New Roman"/>
                <w:sz w:val="18"/>
                <w:szCs w:val="18"/>
              </w:rPr>
              <w:t>8</w:t>
            </w:r>
          </w:p>
        </w:tc>
        <w:tc>
          <w:tcPr>
            <w:tcW w:w="787" w:type="dxa"/>
            <w:noWrap/>
            <w:hideMark/>
          </w:tcPr>
          <w:p w14:paraId="50B8F659" w14:textId="77777777" w:rsidR="004C5B58" w:rsidRPr="000973F2" w:rsidRDefault="004C5B58" w:rsidP="00FB50E0">
            <w:pPr>
              <w:tabs>
                <w:tab w:val="decimal" w:pos="271"/>
              </w:tabs>
              <w:spacing w:before="40" w:after="4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hAnsi="Times New Roman" w:cs="Times New Roman"/>
                <w:sz w:val="18"/>
                <w:szCs w:val="18"/>
              </w:rPr>
              <w:t>0</w:t>
            </w:r>
          </w:p>
        </w:tc>
        <w:tc>
          <w:tcPr>
            <w:tcW w:w="788" w:type="dxa"/>
            <w:noWrap/>
            <w:hideMark/>
          </w:tcPr>
          <w:p w14:paraId="62CF834E" w14:textId="77777777" w:rsidR="004C5B58" w:rsidRPr="000973F2" w:rsidRDefault="004C5B58" w:rsidP="00FB50E0">
            <w:pPr>
              <w:tabs>
                <w:tab w:val="decimal" w:pos="271"/>
              </w:tabs>
              <w:spacing w:before="40" w:after="4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hAnsi="Times New Roman" w:cs="Times New Roman"/>
                <w:sz w:val="18"/>
                <w:szCs w:val="18"/>
              </w:rPr>
              <w:t>1.5</w:t>
            </w:r>
          </w:p>
        </w:tc>
        <w:tc>
          <w:tcPr>
            <w:tcW w:w="848" w:type="dxa"/>
            <w:noWrap/>
            <w:hideMark/>
          </w:tcPr>
          <w:p w14:paraId="4DED3268" w14:textId="2EB1AB27" w:rsidR="004C5B58" w:rsidRPr="000973F2" w:rsidRDefault="004C5B58" w:rsidP="00FB50E0">
            <w:pPr>
              <w:tabs>
                <w:tab w:val="decimal" w:pos="421"/>
              </w:tabs>
              <w:spacing w:before="40" w:after="4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hAnsi="Times New Roman" w:cs="Times New Roman"/>
                <w:sz w:val="18"/>
                <w:szCs w:val="18"/>
              </w:rPr>
              <w:t>$0</w:t>
            </w:r>
          </w:p>
        </w:tc>
        <w:tc>
          <w:tcPr>
            <w:tcW w:w="848" w:type="dxa"/>
            <w:noWrap/>
            <w:hideMark/>
          </w:tcPr>
          <w:p w14:paraId="1FB3AF47" w14:textId="647C4940" w:rsidR="004C5B58" w:rsidRPr="000973F2" w:rsidRDefault="004C5B58" w:rsidP="00FB50E0">
            <w:pPr>
              <w:tabs>
                <w:tab w:val="decimal" w:pos="571"/>
              </w:tabs>
              <w:spacing w:before="40" w:after="4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hAnsi="Times New Roman" w:cs="Times New Roman"/>
                <w:sz w:val="18"/>
                <w:szCs w:val="18"/>
              </w:rPr>
              <w:t>$757</w:t>
            </w:r>
          </w:p>
        </w:tc>
      </w:tr>
      <w:tr w:rsidR="004C5B58" w:rsidRPr="000973F2" w14:paraId="73BCBB7F" w14:textId="77777777" w:rsidTr="00FB50E0">
        <w:trPr>
          <w:cantSplit/>
        </w:trPr>
        <w:tc>
          <w:tcPr>
            <w:cnfStyle w:val="001000000000" w:firstRow="0" w:lastRow="0" w:firstColumn="1" w:lastColumn="0" w:oddVBand="0" w:evenVBand="0" w:oddHBand="0" w:evenHBand="0" w:firstRowFirstColumn="0" w:firstRowLastColumn="0" w:lastRowFirstColumn="0" w:lastRowLastColumn="0"/>
            <w:tcW w:w="1335" w:type="dxa"/>
            <w:hideMark/>
          </w:tcPr>
          <w:p w14:paraId="0861181E" w14:textId="77777777" w:rsidR="004C5B58" w:rsidRPr="000973F2" w:rsidRDefault="004C5B58" w:rsidP="00FB50E0">
            <w:pPr>
              <w:spacing w:before="40" w:after="4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Reporting</w:t>
            </w:r>
          </w:p>
        </w:tc>
        <w:tc>
          <w:tcPr>
            <w:tcW w:w="787" w:type="dxa"/>
            <w:noWrap/>
            <w:hideMark/>
          </w:tcPr>
          <w:p w14:paraId="0FE6FE4F" w14:textId="77777777" w:rsidR="004C5B58" w:rsidRPr="000973F2" w:rsidRDefault="004C5B58" w:rsidP="00FB50E0">
            <w:pPr>
              <w:tabs>
                <w:tab w:val="decimal" w:pos="271"/>
              </w:tabs>
              <w:spacing w:before="40" w:after="4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hAnsi="Times New Roman" w:cs="Times New Roman"/>
                <w:sz w:val="18"/>
                <w:szCs w:val="18"/>
              </w:rPr>
              <w:t>0</w:t>
            </w:r>
          </w:p>
        </w:tc>
        <w:tc>
          <w:tcPr>
            <w:tcW w:w="787" w:type="dxa"/>
            <w:noWrap/>
            <w:hideMark/>
          </w:tcPr>
          <w:p w14:paraId="2BB6D426" w14:textId="77777777" w:rsidR="004C5B58" w:rsidRPr="000973F2" w:rsidRDefault="004C5B58" w:rsidP="00FB50E0">
            <w:pPr>
              <w:tabs>
                <w:tab w:val="decimal" w:pos="271"/>
              </w:tabs>
              <w:spacing w:before="40" w:after="4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hAnsi="Times New Roman" w:cs="Times New Roman"/>
                <w:sz w:val="18"/>
                <w:szCs w:val="18"/>
              </w:rPr>
              <w:t>0</w:t>
            </w:r>
          </w:p>
        </w:tc>
        <w:tc>
          <w:tcPr>
            <w:tcW w:w="788" w:type="dxa"/>
            <w:noWrap/>
            <w:hideMark/>
          </w:tcPr>
          <w:p w14:paraId="1FF5792B" w14:textId="77777777" w:rsidR="004C5B58" w:rsidRPr="000973F2" w:rsidRDefault="004C5B58" w:rsidP="00FB50E0">
            <w:pPr>
              <w:tabs>
                <w:tab w:val="decimal" w:pos="271"/>
              </w:tabs>
              <w:spacing w:before="40" w:after="4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hAnsi="Times New Roman" w:cs="Times New Roman"/>
                <w:sz w:val="18"/>
                <w:szCs w:val="18"/>
              </w:rPr>
              <w:t>0</w:t>
            </w:r>
          </w:p>
        </w:tc>
        <w:tc>
          <w:tcPr>
            <w:tcW w:w="787" w:type="dxa"/>
            <w:noWrap/>
            <w:hideMark/>
          </w:tcPr>
          <w:p w14:paraId="2736256A" w14:textId="77777777" w:rsidR="004C5B58" w:rsidRPr="000973F2" w:rsidRDefault="004C5B58" w:rsidP="00FB50E0">
            <w:pPr>
              <w:tabs>
                <w:tab w:val="decimal" w:pos="271"/>
              </w:tabs>
              <w:spacing w:before="40" w:after="4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hAnsi="Times New Roman" w:cs="Times New Roman"/>
                <w:sz w:val="18"/>
                <w:szCs w:val="18"/>
              </w:rPr>
              <w:t>1.0</w:t>
            </w:r>
          </w:p>
        </w:tc>
        <w:tc>
          <w:tcPr>
            <w:tcW w:w="787" w:type="dxa"/>
            <w:noWrap/>
            <w:hideMark/>
          </w:tcPr>
          <w:p w14:paraId="63460F39" w14:textId="77777777" w:rsidR="004C5B58" w:rsidRPr="000973F2" w:rsidRDefault="004C5B58" w:rsidP="00FB50E0">
            <w:pPr>
              <w:tabs>
                <w:tab w:val="decimal" w:pos="271"/>
              </w:tabs>
              <w:spacing w:before="40" w:after="4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hAnsi="Times New Roman" w:cs="Times New Roman"/>
                <w:sz w:val="18"/>
                <w:szCs w:val="18"/>
              </w:rPr>
              <w:t>0</w:t>
            </w:r>
          </w:p>
        </w:tc>
        <w:tc>
          <w:tcPr>
            <w:tcW w:w="788" w:type="dxa"/>
            <w:noWrap/>
            <w:hideMark/>
          </w:tcPr>
          <w:p w14:paraId="11C2F4FF" w14:textId="77777777" w:rsidR="004C5B58" w:rsidRPr="000973F2" w:rsidRDefault="004C5B58" w:rsidP="00FB50E0">
            <w:pPr>
              <w:tabs>
                <w:tab w:val="decimal" w:pos="271"/>
              </w:tabs>
              <w:spacing w:before="40" w:after="4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hAnsi="Times New Roman" w:cs="Times New Roman"/>
                <w:sz w:val="18"/>
                <w:szCs w:val="18"/>
              </w:rPr>
              <w:t>10</w:t>
            </w:r>
          </w:p>
        </w:tc>
        <w:tc>
          <w:tcPr>
            <w:tcW w:w="787" w:type="dxa"/>
            <w:noWrap/>
            <w:hideMark/>
          </w:tcPr>
          <w:p w14:paraId="7F3D94B4" w14:textId="77777777" w:rsidR="004C5B58" w:rsidRPr="000973F2" w:rsidRDefault="004C5B58" w:rsidP="00FB50E0">
            <w:pPr>
              <w:tabs>
                <w:tab w:val="decimal" w:pos="271"/>
              </w:tabs>
              <w:spacing w:before="40" w:after="4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hAnsi="Times New Roman" w:cs="Times New Roman"/>
                <w:sz w:val="18"/>
                <w:szCs w:val="18"/>
              </w:rPr>
              <w:t>0</w:t>
            </w:r>
          </w:p>
        </w:tc>
        <w:tc>
          <w:tcPr>
            <w:tcW w:w="788" w:type="dxa"/>
            <w:noWrap/>
            <w:hideMark/>
          </w:tcPr>
          <w:p w14:paraId="787EB4D3" w14:textId="77777777" w:rsidR="004C5B58" w:rsidRPr="000973F2" w:rsidRDefault="004C5B58" w:rsidP="00FB50E0">
            <w:pPr>
              <w:tabs>
                <w:tab w:val="decimal" w:pos="271"/>
              </w:tabs>
              <w:spacing w:before="40" w:after="4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hAnsi="Times New Roman" w:cs="Times New Roman"/>
                <w:sz w:val="18"/>
                <w:szCs w:val="18"/>
              </w:rPr>
              <w:t>1.0</w:t>
            </w:r>
          </w:p>
        </w:tc>
        <w:tc>
          <w:tcPr>
            <w:tcW w:w="848" w:type="dxa"/>
            <w:noWrap/>
            <w:hideMark/>
          </w:tcPr>
          <w:p w14:paraId="2FEBF12C" w14:textId="70FFC850" w:rsidR="004C5B58" w:rsidRPr="000973F2" w:rsidRDefault="004C5B58" w:rsidP="00FB50E0">
            <w:pPr>
              <w:tabs>
                <w:tab w:val="decimal" w:pos="421"/>
              </w:tabs>
              <w:spacing w:before="40" w:after="4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hAnsi="Times New Roman" w:cs="Times New Roman"/>
                <w:sz w:val="18"/>
                <w:szCs w:val="18"/>
              </w:rPr>
              <w:t>$0</w:t>
            </w:r>
          </w:p>
        </w:tc>
        <w:tc>
          <w:tcPr>
            <w:tcW w:w="848" w:type="dxa"/>
            <w:noWrap/>
            <w:hideMark/>
          </w:tcPr>
          <w:p w14:paraId="098FFBD4" w14:textId="0F13084D" w:rsidR="004C5B58" w:rsidRPr="000973F2" w:rsidRDefault="004C5B58" w:rsidP="00FB50E0">
            <w:pPr>
              <w:tabs>
                <w:tab w:val="decimal" w:pos="571"/>
              </w:tabs>
              <w:spacing w:before="40" w:after="4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hAnsi="Times New Roman" w:cs="Times New Roman"/>
                <w:sz w:val="18"/>
                <w:szCs w:val="18"/>
              </w:rPr>
              <w:t>$838</w:t>
            </w:r>
          </w:p>
        </w:tc>
      </w:tr>
      <w:tr w:rsidR="004C5B58" w:rsidRPr="000973F2" w14:paraId="7EC52ECF" w14:textId="77777777" w:rsidTr="00FB50E0">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1335" w:type="dxa"/>
            <w:noWrap/>
            <w:hideMark/>
          </w:tcPr>
          <w:p w14:paraId="2A71DBEB" w14:textId="77777777" w:rsidR="004C5B58" w:rsidRPr="000973F2" w:rsidRDefault="004C5B58" w:rsidP="00FB50E0">
            <w:pPr>
              <w:spacing w:before="40" w:after="40"/>
              <w:rPr>
                <w:rFonts w:ascii="Times New Roman" w:eastAsia="Times New Roman" w:hAnsi="Times New Roman" w:cs="Times New Roman"/>
                <w:b/>
                <w:bCs w:val="0"/>
                <w:sz w:val="18"/>
                <w:szCs w:val="18"/>
              </w:rPr>
            </w:pPr>
            <w:r w:rsidRPr="000973F2">
              <w:rPr>
                <w:rFonts w:ascii="Times New Roman" w:eastAsia="Times New Roman" w:hAnsi="Times New Roman" w:cs="Times New Roman"/>
                <w:b/>
                <w:sz w:val="18"/>
                <w:szCs w:val="18"/>
              </w:rPr>
              <w:t>Total</w:t>
            </w:r>
          </w:p>
        </w:tc>
        <w:tc>
          <w:tcPr>
            <w:tcW w:w="787" w:type="dxa"/>
            <w:noWrap/>
            <w:hideMark/>
          </w:tcPr>
          <w:p w14:paraId="6D0E85AF" w14:textId="77777777" w:rsidR="004C5B58" w:rsidRPr="000973F2" w:rsidRDefault="004C5B58" w:rsidP="00FB50E0">
            <w:pPr>
              <w:tabs>
                <w:tab w:val="decimal" w:pos="271"/>
              </w:tabs>
              <w:spacing w:before="40" w:after="4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18"/>
                <w:szCs w:val="18"/>
              </w:rPr>
            </w:pPr>
            <w:r w:rsidRPr="000973F2">
              <w:rPr>
                <w:rFonts w:ascii="Times New Roman" w:hAnsi="Times New Roman" w:cs="Times New Roman"/>
                <w:b/>
                <w:bCs/>
                <w:sz w:val="18"/>
                <w:szCs w:val="18"/>
              </w:rPr>
              <w:t>0</w:t>
            </w:r>
          </w:p>
        </w:tc>
        <w:tc>
          <w:tcPr>
            <w:tcW w:w="787" w:type="dxa"/>
            <w:noWrap/>
            <w:hideMark/>
          </w:tcPr>
          <w:p w14:paraId="612B7712" w14:textId="77777777" w:rsidR="004C5B58" w:rsidRPr="000973F2" w:rsidRDefault="004C5B58" w:rsidP="00FB50E0">
            <w:pPr>
              <w:tabs>
                <w:tab w:val="decimal" w:pos="271"/>
              </w:tabs>
              <w:spacing w:before="40" w:after="4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18"/>
                <w:szCs w:val="18"/>
              </w:rPr>
            </w:pPr>
            <w:r w:rsidRPr="000973F2">
              <w:rPr>
                <w:rFonts w:ascii="Times New Roman" w:hAnsi="Times New Roman" w:cs="Times New Roman"/>
                <w:b/>
                <w:bCs/>
                <w:sz w:val="18"/>
                <w:szCs w:val="18"/>
              </w:rPr>
              <w:t>1</w:t>
            </w:r>
          </w:p>
        </w:tc>
        <w:tc>
          <w:tcPr>
            <w:tcW w:w="788" w:type="dxa"/>
            <w:noWrap/>
            <w:hideMark/>
          </w:tcPr>
          <w:p w14:paraId="5B83C7FA" w14:textId="77777777" w:rsidR="004C5B58" w:rsidRPr="000973F2" w:rsidRDefault="004C5B58" w:rsidP="00FB50E0">
            <w:pPr>
              <w:tabs>
                <w:tab w:val="decimal" w:pos="271"/>
              </w:tabs>
              <w:spacing w:before="40" w:after="4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18"/>
                <w:szCs w:val="18"/>
              </w:rPr>
            </w:pPr>
            <w:r w:rsidRPr="000973F2">
              <w:rPr>
                <w:rFonts w:ascii="Times New Roman" w:hAnsi="Times New Roman" w:cs="Times New Roman"/>
                <w:b/>
                <w:bCs/>
                <w:sz w:val="18"/>
                <w:szCs w:val="18"/>
              </w:rPr>
              <w:t>0</w:t>
            </w:r>
          </w:p>
        </w:tc>
        <w:tc>
          <w:tcPr>
            <w:tcW w:w="787" w:type="dxa"/>
            <w:noWrap/>
            <w:hideMark/>
          </w:tcPr>
          <w:p w14:paraId="699BA4E0" w14:textId="77777777" w:rsidR="004C5B58" w:rsidRPr="000973F2" w:rsidRDefault="004C5B58" w:rsidP="00FB50E0">
            <w:pPr>
              <w:tabs>
                <w:tab w:val="decimal" w:pos="271"/>
              </w:tabs>
              <w:spacing w:before="40" w:after="4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18"/>
                <w:szCs w:val="18"/>
              </w:rPr>
            </w:pPr>
            <w:r w:rsidRPr="000973F2">
              <w:rPr>
                <w:rFonts w:ascii="Times New Roman" w:hAnsi="Times New Roman" w:cs="Times New Roman"/>
                <w:b/>
                <w:bCs/>
                <w:sz w:val="18"/>
                <w:szCs w:val="18"/>
              </w:rPr>
              <w:t>5.0</w:t>
            </w:r>
          </w:p>
        </w:tc>
        <w:tc>
          <w:tcPr>
            <w:tcW w:w="787" w:type="dxa"/>
            <w:noWrap/>
            <w:hideMark/>
          </w:tcPr>
          <w:p w14:paraId="1311042A" w14:textId="77777777" w:rsidR="004C5B58" w:rsidRPr="000973F2" w:rsidRDefault="004C5B58" w:rsidP="00FB50E0">
            <w:pPr>
              <w:tabs>
                <w:tab w:val="decimal" w:pos="271"/>
              </w:tabs>
              <w:spacing w:before="40" w:after="4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18"/>
                <w:szCs w:val="18"/>
              </w:rPr>
            </w:pPr>
            <w:r w:rsidRPr="000973F2">
              <w:rPr>
                <w:rFonts w:ascii="Times New Roman" w:hAnsi="Times New Roman" w:cs="Times New Roman"/>
                <w:b/>
                <w:bCs/>
                <w:sz w:val="18"/>
                <w:szCs w:val="18"/>
              </w:rPr>
              <w:t>0</w:t>
            </w:r>
          </w:p>
        </w:tc>
        <w:tc>
          <w:tcPr>
            <w:tcW w:w="788" w:type="dxa"/>
            <w:noWrap/>
            <w:hideMark/>
          </w:tcPr>
          <w:p w14:paraId="0ED96A1F" w14:textId="77777777" w:rsidR="004C5B58" w:rsidRPr="000973F2" w:rsidRDefault="004C5B58" w:rsidP="00FB50E0">
            <w:pPr>
              <w:tabs>
                <w:tab w:val="decimal" w:pos="271"/>
              </w:tabs>
              <w:spacing w:before="40" w:after="4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18"/>
                <w:szCs w:val="18"/>
              </w:rPr>
            </w:pPr>
            <w:r w:rsidRPr="000973F2">
              <w:rPr>
                <w:rFonts w:ascii="Times New Roman" w:hAnsi="Times New Roman" w:cs="Times New Roman"/>
                <w:b/>
                <w:bCs/>
                <w:sz w:val="18"/>
                <w:szCs w:val="18"/>
              </w:rPr>
              <w:t>37</w:t>
            </w:r>
          </w:p>
        </w:tc>
        <w:tc>
          <w:tcPr>
            <w:tcW w:w="787" w:type="dxa"/>
            <w:noWrap/>
            <w:hideMark/>
          </w:tcPr>
          <w:p w14:paraId="45C8D6D7" w14:textId="77777777" w:rsidR="004C5B58" w:rsidRPr="000973F2" w:rsidRDefault="004C5B58" w:rsidP="00FB50E0">
            <w:pPr>
              <w:tabs>
                <w:tab w:val="decimal" w:pos="271"/>
              </w:tabs>
              <w:spacing w:before="40" w:after="4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18"/>
                <w:szCs w:val="18"/>
              </w:rPr>
            </w:pPr>
            <w:r w:rsidRPr="000973F2">
              <w:rPr>
                <w:rFonts w:ascii="Times New Roman" w:hAnsi="Times New Roman" w:cs="Times New Roman"/>
                <w:b/>
                <w:bCs/>
                <w:sz w:val="18"/>
                <w:szCs w:val="18"/>
              </w:rPr>
              <w:t>0</w:t>
            </w:r>
          </w:p>
        </w:tc>
        <w:tc>
          <w:tcPr>
            <w:tcW w:w="788" w:type="dxa"/>
            <w:noWrap/>
            <w:hideMark/>
          </w:tcPr>
          <w:p w14:paraId="44E6DD0F" w14:textId="77777777" w:rsidR="004C5B58" w:rsidRPr="000973F2" w:rsidRDefault="004C5B58" w:rsidP="00FB50E0">
            <w:pPr>
              <w:tabs>
                <w:tab w:val="decimal" w:pos="271"/>
              </w:tabs>
              <w:spacing w:before="40" w:after="4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18"/>
                <w:szCs w:val="18"/>
              </w:rPr>
            </w:pPr>
            <w:r w:rsidRPr="000973F2">
              <w:rPr>
                <w:rFonts w:ascii="Times New Roman" w:hAnsi="Times New Roman" w:cs="Times New Roman"/>
                <w:b/>
                <w:bCs/>
                <w:sz w:val="18"/>
                <w:szCs w:val="18"/>
              </w:rPr>
              <w:t>4.0</w:t>
            </w:r>
          </w:p>
        </w:tc>
        <w:tc>
          <w:tcPr>
            <w:tcW w:w="848" w:type="dxa"/>
            <w:noWrap/>
            <w:hideMark/>
          </w:tcPr>
          <w:p w14:paraId="67BB51F4" w14:textId="1FB49A67" w:rsidR="004C5B58" w:rsidRPr="000973F2" w:rsidRDefault="004C5B58" w:rsidP="00FB50E0">
            <w:pPr>
              <w:tabs>
                <w:tab w:val="decimal" w:pos="421"/>
              </w:tabs>
              <w:spacing w:before="40" w:after="4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18"/>
                <w:szCs w:val="18"/>
              </w:rPr>
            </w:pPr>
            <w:r w:rsidRPr="000973F2">
              <w:rPr>
                <w:rFonts w:ascii="Times New Roman" w:hAnsi="Times New Roman" w:cs="Times New Roman"/>
                <w:b/>
                <w:bCs/>
                <w:sz w:val="18"/>
                <w:szCs w:val="18"/>
              </w:rPr>
              <w:t>$0</w:t>
            </w:r>
          </w:p>
        </w:tc>
        <w:tc>
          <w:tcPr>
            <w:tcW w:w="848" w:type="dxa"/>
            <w:noWrap/>
            <w:hideMark/>
          </w:tcPr>
          <w:p w14:paraId="1843DEC0" w14:textId="68322299" w:rsidR="004C5B58" w:rsidRPr="000973F2" w:rsidRDefault="004C5B58" w:rsidP="00FB50E0">
            <w:pPr>
              <w:tabs>
                <w:tab w:val="decimal" w:pos="571"/>
              </w:tabs>
              <w:spacing w:before="40" w:after="4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18"/>
                <w:szCs w:val="18"/>
              </w:rPr>
            </w:pPr>
            <w:r w:rsidRPr="000973F2">
              <w:rPr>
                <w:rFonts w:ascii="Times New Roman" w:hAnsi="Times New Roman" w:cs="Times New Roman"/>
                <w:b/>
                <w:bCs/>
                <w:sz w:val="18"/>
                <w:szCs w:val="18"/>
              </w:rPr>
              <w:t>$3,338</w:t>
            </w:r>
          </w:p>
        </w:tc>
      </w:tr>
    </w:tbl>
    <w:p w14:paraId="6DA1AAD7" w14:textId="77777777" w:rsidR="004C5B58" w:rsidRPr="000973F2" w:rsidRDefault="004C5B58" w:rsidP="00FB50E0">
      <w:pPr>
        <w:pStyle w:val="AfterTable"/>
      </w:pPr>
    </w:p>
    <w:p w14:paraId="734111B9" w14:textId="77777777" w:rsidR="004C5B58" w:rsidRPr="000973F2" w:rsidRDefault="004C5B58" w:rsidP="00C00E4F">
      <w:pPr>
        <w:spacing w:line="240" w:lineRule="auto"/>
        <w:rPr>
          <w:rFonts w:ascii="Times New Roman" w:hAnsi="Times New Roman" w:cs="Times New Roman"/>
          <w:b/>
          <w:i/>
        </w:rPr>
      </w:pPr>
      <w:r w:rsidRPr="000973F2">
        <w:rPr>
          <w:rFonts w:ascii="Times New Roman" w:hAnsi="Times New Roman" w:cs="Times New Roman"/>
          <w:b/>
          <w:i/>
        </w:rPr>
        <w:br w:type="page"/>
      </w:r>
    </w:p>
    <w:p w14:paraId="2251D388" w14:textId="77777777" w:rsidR="004C5B58" w:rsidRPr="000973F2" w:rsidRDefault="004C5B58" w:rsidP="00307861">
      <w:pPr>
        <w:pStyle w:val="Heading2"/>
      </w:pPr>
      <w:r w:rsidRPr="000973F2">
        <w:t>Capital and O&amp;M Costs for Subpart SS</w:t>
      </w:r>
    </w:p>
    <w:p w14:paraId="382CBC7B" w14:textId="076B82B3" w:rsidR="004C5B58" w:rsidRPr="000973F2" w:rsidRDefault="004C5B58" w:rsidP="00307861">
      <w:pPr>
        <w:pStyle w:val="BodyText"/>
        <w:rPr>
          <w:b/>
        </w:rPr>
      </w:pPr>
      <w:r w:rsidRPr="000973F2">
        <w:t xml:space="preserve">As shown in Table </w:t>
      </w:r>
      <w:r w:rsidR="00307861" w:rsidRPr="000973F2">
        <w:t>SS-</w:t>
      </w:r>
      <w:r w:rsidRPr="000973F2">
        <w:t>2, facilities will only incur an O&amp;M cost associated with recordkeeping as discussed in the Cost Appendix Introduction. No additional capital costs are expected.</w:t>
      </w:r>
    </w:p>
    <w:p w14:paraId="017B3A73" w14:textId="50A0DA31" w:rsidR="004C5B58" w:rsidRPr="000973F2" w:rsidRDefault="00015FAC" w:rsidP="00307861">
      <w:pPr>
        <w:pStyle w:val="Tabletitle"/>
      </w:pPr>
      <w:r w:rsidRPr="000973F2">
        <w:t xml:space="preserve">Table </w:t>
      </w:r>
      <w:r w:rsidR="00307861" w:rsidRPr="000973F2">
        <w:t>SS-</w:t>
      </w:r>
      <w:r w:rsidRPr="000973F2">
        <w:t xml:space="preserve">2. Capital and O&amp;M Costs </w:t>
      </w:r>
      <w:r w:rsidR="00B960CC" w:rsidRPr="000973F2">
        <w:t>–</w:t>
      </w:r>
      <w:r w:rsidRPr="000973F2">
        <w:t xml:space="preserve"> </w:t>
      </w:r>
      <w:r w:rsidR="004C5B58" w:rsidRPr="000973F2">
        <w:t xml:space="preserve">Subpart SS </w:t>
      </w:r>
    </w:p>
    <w:tbl>
      <w:tblPr>
        <w:tblStyle w:val="PlainTable1"/>
        <w:tblW w:w="5000" w:type="pct"/>
        <w:jc w:val="left"/>
        <w:tblLayout w:type="fixed"/>
        <w:tblLook w:val="04A0" w:firstRow="1" w:lastRow="0" w:firstColumn="1" w:lastColumn="0" w:noHBand="0" w:noVBand="1"/>
      </w:tblPr>
      <w:tblGrid>
        <w:gridCol w:w="1779"/>
        <w:gridCol w:w="1299"/>
        <w:gridCol w:w="1299"/>
        <w:gridCol w:w="1300"/>
        <w:gridCol w:w="1328"/>
        <w:gridCol w:w="1271"/>
        <w:gridCol w:w="1300"/>
      </w:tblGrid>
      <w:tr w:rsidR="00D17312" w:rsidRPr="000973F2" w14:paraId="0FA68E82" w14:textId="77777777" w:rsidTr="00307861">
        <w:trPr>
          <w:cnfStyle w:val="100000000000" w:firstRow="1" w:lastRow="0" w:firstColumn="0" w:lastColumn="0" w:oddVBand="0" w:evenVBand="0" w:oddHBand="0" w:evenHBand="0" w:firstRowFirstColumn="0" w:firstRowLastColumn="0" w:lastRowFirstColumn="0" w:lastRowLastColumn="0"/>
          <w:cantSplit/>
          <w:jc w:val="left"/>
        </w:trPr>
        <w:tc>
          <w:tcPr>
            <w:cnfStyle w:val="001000000000" w:firstRow="0" w:lastRow="0" w:firstColumn="1" w:lastColumn="0" w:oddVBand="0" w:evenVBand="0" w:oddHBand="0" w:evenHBand="0" w:firstRowFirstColumn="0" w:firstRowLastColumn="0" w:lastRowFirstColumn="0" w:lastRowLastColumn="0"/>
            <w:tcW w:w="1732" w:type="dxa"/>
            <w:vMerge w:val="restart"/>
            <w:noWrap/>
            <w:vAlign w:val="top"/>
            <w:hideMark/>
          </w:tcPr>
          <w:p w14:paraId="6F7DF8A2" w14:textId="6108DDC5" w:rsidR="00D17312" w:rsidRPr="000973F2" w:rsidRDefault="00D17312" w:rsidP="00307861">
            <w:pPr>
              <w:spacing w:before="40" w:after="40"/>
              <w:rPr>
                <w:rFonts w:ascii="Times New Roman" w:eastAsia="Times New Roman" w:hAnsi="Times New Roman" w:cs="Times New Roman"/>
                <w:b w:val="0"/>
                <w:bCs w:val="0"/>
                <w:sz w:val="18"/>
                <w:szCs w:val="18"/>
              </w:rPr>
            </w:pPr>
            <w:r w:rsidRPr="000973F2">
              <w:rPr>
                <w:rFonts w:ascii="Times New Roman" w:eastAsia="Times New Roman" w:hAnsi="Times New Roman" w:cs="Times New Roman"/>
                <w:sz w:val="18"/>
                <w:szCs w:val="18"/>
              </w:rPr>
              <w:t>Activity</w:t>
            </w:r>
          </w:p>
        </w:tc>
        <w:tc>
          <w:tcPr>
            <w:tcW w:w="5093" w:type="dxa"/>
            <w:gridSpan w:val="4"/>
            <w:noWrap/>
            <w:vAlign w:val="top"/>
            <w:hideMark/>
          </w:tcPr>
          <w:p w14:paraId="4EB85B29" w14:textId="77777777" w:rsidR="00D17312" w:rsidRPr="000973F2" w:rsidRDefault="00D17312" w:rsidP="00307861">
            <w:pPr>
              <w:spacing w:before="40" w:after="40"/>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bCs w:val="0"/>
                <w:sz w:val="18"/>
                <w:szCs w:val="18"/>
              </w:rPr>
            </w:pPr>
            <w:r w:rsidRPr="000973F2">
              <w:rPr>
                <w:rFonts w:ascii="Times New Roman" w:eastAsia="Times New Roman" w:hAnsi="Times New Roman" w:cs="Times New Roman"/>
                <w:sz w:val="18"/>
                <w:szCs w:val="18"/>
              </w:rPr>
              <w:t>Cost Categories</w:t>
            </w:r>
          </w:p>
        </w:tc>
        <w:tc>
          <w:tcPr>
            <w:tcW w:w="2505" w:type="dxa"/>
            <w:gridSpan w:val="2"/>
            <w:vAlign w:val="top"/>
            <w:hideMark/>
          </w:tcPr>
          <w:p w14:paraId="118E001A" w14:textId="77777777" w:rsidR="00D17312" w:rsidRPr="000973F2" w:rsidRDefault="00D17312" w:rsidP="00307861">
            <w:pPr>
              <w:spacing w:before="40" w:after="40"/>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bCs w:val="0"/>
                <w:sz w:val="18"/>
                <w:szCs w:val="18"/>
              </w:rPr>
            </w:pPr>
            <w:r w:rsidRPr="000973F2">
              <w:rPr>
                <w:rFonts w:ascii="Times New Roman" w:eastAsia="Times New Roman" w:hAnsi="Times New Roman" w:cs="Times New Roman"/>
                <w:sz w:val="18"/>
                <w:szCs w:val="18"/>
              </w:rPr>
              <w:t>Total Capital and O&amp;M Cost per Year per Facility (2017$)</w:t>
            </w:r>
          </w:p>
        </w:tc>
      </w:tr>
      <w:tr w:rsidR="00D17312" w:rsidRPr="000973F2" w14:paraId="61142251" w14:textId="77777777" w:rsidTr="00307861">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1732" w:type="dxa"/>
            <w:vMerge/>
            <w:noWrap/>
            <w:hideMark/>
          </w:tcPr>
          <w:p w14:paraId="03B5D963" w14:textId="49819BDE" w:rsidR="00D17312" w:rsidRPr="000973F2" w:rsidRDefault="00D17312" w:rsidP="00307861">
            <w:pPr>
              <w:spacing w:before="40" w:after="40"/>
              <w:jc w:val="center"/>
              <w:rPr>
                <w:rFonts w:ascii="Times New Roman" w:eastAsia="Times New Roman" w:hAnsi="Times New Roman" w:cs="Times New Roman"/>
                <w:b/>
                <w:bCs w:val="0"/>
                <w:sz w:val="18"/>
                <w:szCs w:val="18"/>
              </w:rPr>
            </w:pPr>
          </w:p>
        </w:tc>
        <w:tc>
          <w:tcPr>
            <w:tcW w:w="1266" w:type="dxa"/>
            <w:hideMark/>
          </w:tcPr>
          <w:p w14:paraId="72615B5E" w14:textId="77777777" w:rsidR="00D17312" w:rsidRPr="000973F2" w:rsidRDefault="00D17312" w:rsidP="00307861">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18"/>
                <w:szCs w:val="18"/>
              </w:rPr>
            </w:pPr>
            <w:r w:rsidRPr="000973F2">
              <w:rPr>
                <w:rFonts w:ascii="Times New Roman" w:eastAsia="Times New Roman" w:hAnsi="Times New Roman" w:cs="Times New Roman"/>
                <w:b/>
                <w:bCs/>
                <w:sz w:val="18"/>
                <w:szCs w:val="18"/>
              </w:rPr>
              <w:t>Capital Cost (2017$)</w:t>
            </w:r>
          </w:p>
        </w:tc>
        <w:tc>
          <w:tcPr>
            <w:tcW w:w="1266" w:type="dxa"/>
            <w:hideMark/>
          </w:tcPr>
          <w:p w14:paraId="1BFB0C07" w14:textId="77777777" w:rsidR="00D17312" w:rsidRPr="000973F2" w:rsidRDefault="00D17312" w:rsidP="00307861">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18"/>
                <w:szCs w:val="18"/>
              </w:rPr>
            </w:pPr>
            <w:r w:rsidRPr="000973F2">
              <w:rPr>
                <w:rFonts w:ascii="Times New Roman" w:eastAsia="Times New Roman" w:hAnsi="Times New Roman" w:cs="Times New Roman"/>
                <w:b/>
                <w:bCs/>
                <w:sz w:val="18"/>
                <w:szCs w:val="18"/>
              </w:rPr>
              <w:t>Equipment Lifetime</w:t>
            </w:r>
          </w:p>
        </w:tc>
        <w:tc>
          <w:tcPr>
            <w:tcW w:w="1267" w:type="dxa"/>
            <w:hideMark/>
          </w:tcPr>
          <w:p w14:paraId="09092B28" w14:textId="77777777" w:rsidR="00D17312" w:rsidRPr="000973F2" w:rsidRDefault="00D17312" w:rsidP="00307861">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18"/>
                <w:szCs w:val="18"/>
              </w:rPr>
            </w:pPr>
            <w:r w:rsidRPr="000973F2">
              <w:rPr>
                <w:rFonts w:ascii="Times New Roman" w:eastAsia="Times New Roman" w:hAnsi="Times New Roman" w:cs="Times New Roman"/>
                <w:b/>
                <w:bCs/>
                <w:sz w:val="18"/>
                <w:szCs w:val="18"/>
              </w:rPr>
              <w:t>Annualized Capital Cost (2017$/year)</w:t>
            </w:r>
          </w:p>
        </w:tc>
        <w:tc>
          <w:tcPr>
            <w:tcW w:w="1294" w:type="dxa"/>
            <w:hideMark/>
          </w:tcPr>
          <w:p w14:paraId="3FC9635D" w14:textId="77777777" w:rsidR="00D17312" w:rsidRPr="000973F2" w:rsidRDefault="00D17312" w:rsidP="00307861">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18"/>
                <w:szCs w:val="18"/>
              </w:rPr>
            </w:pPr>
            <w:r w:rsidRPr="000973F2">
              <w:rPr>
                <w:rFonts w:ascii="Times New Roman" w:eastAsia="Times New Roman" w:hAnsi="Times New Roman" w:cs="Times New Roman"/>
                <w:b/>
                <w:bCs/>
                <w:sz w:val="18"/>
                <w:szCs w:val="18"/>
              </w:rPr>
              <w:t>O&amp;M Costs (2017$/year)</w:t>
            </w:r>
          </w:p>
        </w:tc>
        <w:tc>
          <w:tcPr>
            <w:tcW w:w="1238" w:type="dxa"/>
            <w:hideMark/>
          </w:tcPr>
          <w:p w14:paraId="2BF5CBB7" w14:textId="2592672C" w:rsidR="00D17312" w:rsidRPr="000973F2" w:rsidRDefault="00D17312" w:rsidP="00307861">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18"/>
                <w:szCs w:val="18"/>
              </w:rPr>
            </w:pPr>
            <w:r w:rsidRPr="000973F2">
              <w:rPr>
                <w:rFonts w:ascii="Times New Roman" w:eastAsia="Times New Roman" w:hAnsi="Times New Roman" w:cs="Times New Roman"/>
                <w:b/>
                <w:bCs/>
                <w:sz w:val="18"/>
                <w:szCs w:val="18"/>
              </w:rPr>
              <w:t>Initial</w:t>
            </w:r>
            <w:r w:rsidR="00307861" w:rsidRPr="000973F2">
              <w:rPr>
                <w:rFonts w:ascii="Times New Roman" w:eastAsia="Times New Roman" w:hAnsi="Times New Roman" w:cs="Times New Roman"/>
                <w:b/>
                <w:bCs/>
                <w:sz w:val="18"/>
                <w:szCs w:val="18"/>
              </w:rPr>
              <w:br/>
            </w:r>
            <w:r w:rsidRPr="000973F2">
              <w:rPr>
                <w:rFonts w:ascii="Times New Roman" w:eastAsia="Times New Roman" w:hAnsi="Times New Roman" w:cs="Times New Roman"/>
                <w:b/>
                <w:bCs/>
                <w:sz w:val="18"/>
                <w:szCs w:val="18"/>
              </w:rPr>
              <w:t>Year</w:t>
            </w:r>
          </w:p>
        </w:tc>
        <w:tc>
          <w:tcPr>
            <w:tcW w:w="1267" w:type="dxa"/>
            <w:hideMark/>
          </w:tcPr>
          <w:p w14:paraId="0F94F8A9" w14:textId="77777777" w:rsidR="00D17312" w:rsidRPr="000973F2" w:rsidRDefault="00D17312" w:rsidP="00307861">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18"/>
                <w:szCs w:val="18"/>
              </w:rPr>
            </w:pPr>
            <w:r w:rsidRPr="000973F2">
              <w:rPr>
                <w:rFonts w:ascii="Times New Roman" w:eastAsia="Times New Roman" w:hAnsi="Times New Roman" w:cs="Times New Roman"/>
                <w:b/>
                <w:bCs/>
                <w:sz w:val="18"/>
                <w:szCs w:val="18"/>
              </w:rPr>
              <w:t>Subseq. Years</w:t>
            </w:r>
          </w:p>
        </w:tc>
      </w:tr>
      <w:tr w:rsidR="00307861" w:rsidRPr="000973F2" w14:paraId="1642F193" w14:textId="77777777" w:rsidTr="00307861">
        <w:trPr>
          <w:cantSplit/>
        </w:trPr>
        <w:tc>
          <w:tcPr>
            <w:cnfStyle w:val="001000000000" w:firstRow="0" w:lastRow="0" w:firstColumn="1" w:lastColumn="0" w:oddVBand="0" w:evenVBand="0" w:oddHBand="0" w:evenHBand="0" w:firstRowFirstColumn="0" w:firstRowLastColumn="0" w:lastRowFirstColumn="0" w:lastRowLastColumn="0"/>
            <w:tcW w:w="1732" w:type="dxa"/>
            <w:hideMark/>
          </w:tcPr>
          <w:p w14:paraId="5C755CBC" w14:textId="77777777" w:rsidR="00307861" w:rsidRPr="000973F2" w:rsidRDefault="00307861" w:rsidP="00307861">
            <w:pPr>
              <w:spacing w:before="40" w:after="4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Equipment (selection, purchase, installation)</w:t>
            </w:r>
          </w:p>
        </w:tc>
        <w:tc>
          <w:tcPr>
            <w:tcW w:w="1266" w:type="dxa"/>
            <w:noWrap/>
            <w:hideMark/>
          </w:tcPr>
          <w:p w14:paraId="1D7373F0" w14:textId="64045190" w:rsidR="00307861" w:rsidRPr="000973F2" w:rsidRDefault="00307861" w:rsidP="00307861">
            <w:pPr>
              <w:spacing w:before="40" w:after="4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w:t>
            </w:r>
          </w:p>
        </w:tc>
        <w:tc>
          <w:tcPr>
            <w:tcW w:w="1266" w:type="dxa"/>
            <w:noWrap/>
          </w:tcPr>
          <w:p w14:paraId="71337748" w14:textId="522290F9" w:rsidR="00307861" w:rsidRPr="000973F2" w:rsidRDefault="00307861" w:rsidP="00307861">
            <w:pPr>
              <w:spacing w:before="40" w:after="4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p>
        </w:tc>
        <w:tc>
          <w:tcPr>
            <w:tcW w:w="1267" w:type="dxa"/>
            <w:noWrap/>
            <w:hideMark/>
          </w:tcPr>
          <w:p w14:paraId="5E73EEBB" w14:textId="10F79E86" w:rsidR="00307861" w:rsidRPr="000973F2" w:rsidRDefault="00307861" w:rsidP="00307861">
            <w:pPr>
              <w:spacing w:before="40" w:after="4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w:t>
            </w:r>
          </w:p>
        </w:tc>
        <w:tc>
          <w:tcPr>
            <w:tcW w:w="1294" w:type="dxa"/>
            <w:noWrap/>
            <w:hideMark/>
          </w:tcPr>
          <w:p w14:paraId="209A533A" w14:textId="7354A818" w:rsidR="00307861" w:rsidRPr="000973F2" w:rsidRDefault="00307861" w:rsidP="00307861">
            <w:pPr>
              <w:spacing w:before="40" w:after="4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w:t>
            </w:r>
          </w:p>
        </w:tc>
        <w:tc>
          <w:tcPr>
            <w:tcW w:w="1238" w:type="dxa"/>
            <w:noWrap/>
            <w:hideMark/>
          </w:tcPr>
          <w:p w14:paraId="5B77A2FF" w14:textId="2C195C47" w:rsidR="00307861" w:rsidRPr="000973F2" w:rsidRDefault="00307861" w:rsidP="00307861">
            <w:pPr>
              <w:spacing w:before="40" w:after="4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w:t>
            </w:r>
          </w:p>
        </w:tc>
        <w:tc>
          <w:tcPr>
            <w:tcW w:w="1267" w:type="dxa"/>
            <w:noWrap/>
            <w:hideMark/>
          </w:tcPr>
          <w:p w14:paraId="17B5030E" w14:textId="08B94C4D" w:rsidR="00307861" w:rsidRPr="000973F2" w:rsidRDefault="00307861" w:rsidP="00307861">
            <w:pPr>
              <w:spacing w:before="40" w:after="4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w:t>
            </w:r>
          </w:p>
        </w:tc>
      </w:tr>
      <w:tr w:rsidR="00307861" w:rsidRPr="000973F2" w14:paraId="37093E2E" w14:textId="77777777" w:rsidTr="00307861">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1732" w:type="dxa"/>
            <w:hideMark/>
          </w:tcPr>
          <w:p w14:paraId="213A64CD" w14:textId="77777777" w:rsidR="00307861" w:rsidRPr="000973F2" w:rsidRDefault="00307861" w:rsidP="00307861">
            <w:pPr>
              <w:spacing w:before="40" w:after="4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Performance testing</w:t>
            </w:r>
          </w:p>
        </w:tc>
        <w:tc>
          <w:tcPr>
            <w:tcW w:w="1266" w:type="dxa"/>
            <w:noWrap/>
            <w:hideMark/>
          </w:tcPr>
          <w:p w14:paraId="5839E27D" w14:textId="3B35A087" w:rsidR="00307861" w:rsidRPr="000973F2" w:rsidRDefault="00307861" w:rsidP="00307861">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w:t>
            </w:r>
          </w:p>
        </w:tc>
        <w:tc>
          <w:tcPr>
            <w:tcW w:w="1266" w:type="dxa"/>
            <w:noWrap/>
          </w:tcPr>
          <w:p w14:paraId="3FB2C355" w14:textId="13207235" w:rsidR="00307861" w:rsidRPr="000973F2" w:rsidRDefault="00307861" w:rsidP="00307861">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p>
        </w:tc>
        <w:tc>
          <w:tcPr>
            <w:tcW w:w="1267" w:type="dxa"/>
            <w:noWrap/>
            <w:hideMark/>
          </w:tcPr>
          <w:p w14:paraId="47FC5943" w14:textId="59D32E26" w:rsidR="00307861" w:rsidRPr="000973F2" w:rsidRDefault="00307861" w:rsidP="00307861">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w:t>
            </w:r>
          </w:p>
        </w:tc>
        <w:tc>
          <w:tcPr>
            <w:tcW w:w="1294" w:type="dxa"/>
            <w:noWrap/>
            <w:hideMark/>
          </w:tcPr>
          <w:p w14:paraId="36F940D3" w14:textId="49BDACB5" w:rsidR="00307861" w:rsidRPr="000973F2" w:rsidRDefault="00307861" w:rsidP="00307861">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w:t>
            </w:r>
          </w:p>
        </w:tc>
        <w:tc>
          <w:tcPr>
            <w:tcW w:w="1238" w:type="dxa"/>
            <w:noWrap/>
            <w:hideMark/>
          </w:tcPr>
          <w:p w14:paraId="13389E32" w14:textId="688D0600" w:rsidR="00307861" w:rsidRPr="000973F2" w:rsidRDefault="00307861" w:rsidP="00307861">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w:t>
            </w:r>
          </w:p>
        </w:tc>
        <w:tc>
          <w:tcPr>
            <w:tcW w:w="1267" w:type="dxa"/>
            <w:noWrap/>
            <w:hideMark/>
          </w:tcPr>
          <w:p w14:paraId="7E1998D6" w14:textId="68AC6A43" w:rsidR="00307861" w:rsidRPr="000973F2" w:rsidRDefault="00307861" w:rsidP="00307861">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w:t>
            </w:r>
          </w:p>
        </w:tc>
      </w:tr>
      <w:tr w:rsidR="004C5B58" w:rsidRPr="000973F2" w14:paraId="1A5B6719" w14:textId="77777777" w:rsidTr="00307861">
        <w:trPr>
          <w:cantSplit/>
        </w:trPr>
        <w:tc>
          <w:tcPr>
            <w:cnfStyle w:val="001000000000" w:firstRow="0" w:lastRow="0" w:firstColumn="1" w:lastColumn="0" w:oddVBand="0" w:evenVBand="0" w:oddHBand="0" w:evenHBand="0" w:firstRowFirstColumn="0" w:firstRowLastColumn="0" w:lastRowFirstColumn="0" w:lastRowLastColumn="0"/>
            <w:tcW w:w="1732" w:type="dxa"/>
            <w:hideMark/>
          </w:tcPr>
          <w:p w14:paraId="78A34F09" w14:textId="77777777" w:rsidR="004C5B58" w:rsidRPr="000973F2" w:rsidRDefault="004C5B58" w:rsidP="00307861">
            <w:pPr>
              <w:spacing w:before="40" w:after="4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Recordkeeping</w:t>
            </w:r>
          </w:p>
        </w:tc>
        <w:tc>
          <w:tcPr>
            <w:tcW w:w="1266" w:type="dxa"/>
            <w:noWrap/>
            <w:hideMark/>
          </w:tcPr>
          <w:p w14:paraId="2C1C14CA" w14:textId="77777777" w:rsidR="004C5B58" w:rsidRPr="000973F2" w:rsidRDefault="004C5B58" w:rsidP="00307861">
            <w:pPr>
              <w:spacing w:before="40" w:after="4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$0</w:t>
            </w:r>
          </w:p>
        </w:tc>
        <w:tc>
          <w:tcPr>
            <w:tcW w:w="1266" w:type="dxa"/>
            <w:noWrap/>
          </w:tcPr>
          <w:p w14:paraId="4C56616C" w14:textId="3D6D4CC1" w:rsidR="004C5B58" w:rsidRPr="000973F2" w:rsidRDefault="004C5B58" w:rsidP="00307861">
            <w:pPr>
              <w:spacing w:before="40" w:after="4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p>
        </w:tc>
        <w:tc>
          <w:tcPr>
            <w:tcW w:w="1267" w:type="dxa"/>
            <w:noWrap/>
            <w:hideMark/>
          </w:tcPr>
          <w:p w14:paraId="28E4567C" w14:textId="77777777" w:rsidR="004C5B58" w:rsidRPr="000973F2" w:rsidRDefault="004C5B58" w:rsidP="00307861">
            <w:pPr>
              <w:spacing w:before="40" w:after="4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$0</w:t>
            </w:r>
          </w:p>
        </w:tc>
        <w:tc>
          <w:tcPr>
            <w:tcW w:w="1294" w:type="dxa"/>
            <w:noWrap/>
            <w:hideMark/>
          </w:tcPr>
          <w:p w14:paraId="5AD69C40" w14:textId="77777777" w:rsidR="004C5B58" w:rsidRPr="000973F2" w:rsidRDefault="004C5B58" w:rsidP="00307861">
            <w:pPr>
              <w:spacing w:before="40" w:after="4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$50</w:t>
            </w:r>
          </w:p>
        </w:tc>
        <w:tc>
          <w:tcPr>
            <w:tcW w:w="1238" w:type="dxa"/>
            <w:noWrap/>
            <w:hideMark/>
          </w:tcPr>
          <w:p w14:paraId="76352ED8" w14:textId="77777777" w:rsidR="004C5B58" w:rsidRPr="000973F2" w:rsidRDefault="004C5B58" w:rsidP="00307861">
            <w:pPr>
              <w:spacing w:before="40" w:after="4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$0</w:t>
            </w:r>
          </w:p>
        </w:tc>
        <w:tc>
          <w:tcPr>
            <w:tcW w:w="1267" w:type="dxa"/>
            <w:noWrap/>
            <w:hideMark/>
          </w:tcPr>
          <w:p w14:paraId="71530E60" w14:textId="77777777" w:rsidR="004C5B58" w:rsidRPr="000973F2" w:rsidRDefault="004C5B58" w:rsidP="00307861">
            <w:pPr>
              <w:spacing w:before="40" w:after="4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$50</w:t>
            </w:r>
          </w:p>
        </w:tc>
      </w:tr>
      <w:tr w:rsidR="00307861" w:rsidRPr="000973F2" w14:paraId="27ACC731" w14:textId="77777777" w:rsidTr="00307861">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1732" w:type="dxa"/>
            <w:hideMark/>
          </w:tcPr>
          <w:p w14:paraId="3F8EE50D" w14:textId="77777777" w:rsidR="00307861" w:rsidRPr="000973F2" w:rsidRDefault="00307861" w:rsidP="00307861">
            <w:pPr>
              <w:spacing w:before="40" w:after="4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Travel</w:t>
            </w:r>
          </w:p>
        </w:tc>
        <w:tc>
          <w:tcPr>
            <w:tcW w:w="1266" w:type="dxa"/>
            <w:noWrap/>
            <w:hideMark/>
          </w:tcPr>
          <w:p w14:paraId="67F5FBB0" w14:textId="6CE147C4" w:rsidR="00307861" w:rsidRPr="000973F2" w:rsidRDefault="00307861" w:rsidP="00307861">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w:t>
            </w:r>
          </w:p>
        </w:tc>
        <w:tc>
          <w:tcPr>
            <w:tcW w:w="1266" w:type="dxa"/>
            <w:noWrap/>
          </w:tcPr>
          <w:p w14:paraId="62C57237" w14:textId="5ECA153F" w:rsidR="00307861" w:rsidRPr="000973F2" w:rsidRDefault="00307861" w:rsidP="00307861">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p>
        </w:tc>
        <w:tc>
          <w:tcPr>
            <w:tcW w:w="1267" w:type="dxa"/>
            <w:noWrap/>
            <w:hideMark/>
          </w:tcPr>
          <w:p w14:paraId="4BBB9BAB" w14:textId="3B3D5B3E" w:rsidR="00307861" w:rsidRPr="000973F2" w:rsidRDefault="00307861" w:rsidP="00307861">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w:t>
            </w:r>
          </w:p>
        </w:tc>
        <w:tc>
          <w:tcPr>
            <w:tcW w:w="1294" w:type="dxa"/>
            <w:noWrap/>
            <w:hideMark/>
          </w:tcPr>
          <w:p w14:paraId="774FDA57" w14:textId="3FDF99F3" w:rsidR="00307861" w:rsidRPr="000973F2" w:rsidRDefault="00307861" w:rsidP="00307861">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w:t>
            </w:r>
          </w:p>
        </w:tc>
        <w:tc>
          <w:tcPr>
            <w:tcW w:w="1238" w:type="dxa"/>
            <w:noWrap/>
            <w:hideMark/>
          </w:tcPr>
          <w:p w14:paraId="4D783909" w14:textId="6C49DCC9" w:rsidR="00307861" w:rsidRPr="000973F2" w:rsidRDefault="00307861" w:rsidP="00307861">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w:t>
            </w:r>
          </w:p>
        </w:tc>
        <w:tc>
          <w:tcPr>
            <w:tcW w:w="1267" w:type="dxa"/>
            <w:noWrap/>
            <w:hideMark/>
          </w:tcPr>
          <w:p w14:paraId="1830EACF" w14:textId="466D3EF0" w:rsidR="00307861" w:rsidRPr="000973F2" w:rsidRDefault="00307861" w:rsidP="00307861">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w:t>
            </w:r>
          </w:p>
        </w:tc>
      </w:tr>
      <w:tr w:rsidR="00307861" w:rsidRPr="000973F2" w14:paraId="5CED0B76" w14:textId="77777777" w:rsidTr="00307861">
        <w:trPr>
          <w:cantSplit/>
        </w:trPr>
        <w:tc>
          <w:tcPr>
            <w:cnfStyle w:val="001000000000" w:firstRow="0" w:lastRow="0" w:firstColumn="1" w:lastColumn="0" w:oddVBand="0" w:evenVBand="0" w:oddHBand="0" w:evenHBand="0" w:firstRowFirstColumn="0" w:firstRowLastColumn="0" w:lastRowFirstColumn="0" w:lastRowLastColumn="0"/>
            <w:tcW w:w="1732" w:type="dxa"/>
            <w:hideMark/>
          </w:tcPr>
          <w:p w14:paraId="2A625AEC" w14:textId="07C5F5EF" w:rsidR="00307861" w:rsidRPr="000973F2" w:rsidRDefault="00307861" w:rsidP="00307861">
            <w:pPr>
              <w:spacing w:before="40" w:after="4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Sampling and Analysis Costs</w:t>
            </w:r>
          </w:p>
        </w:tc>
        <w:tc>
          <w:tcPr>
            <w:tcW w:w="1266" w:type="dxa"/>
            <w:noWrap/>
            <w:hideMark/>
          </w:tcPr>
          <w:p w14:paraId="1A46EB73" w14:textId="06773C8A" w:rsidR="00307861" w:rsidRPr="000973F2" w:rsidRDefault="00307861" w:rsidP="00307861">
            <w:pPr>
              <w:spacing w:before="40" w:after="4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w:t>
            </w:r>
          </w:p>
        </w:tc>
        <w:tc>
          <w:tcPr>
            <w:tcW w:w="1266" w:type="dxa"/>
            <w:noWrap/>
          </w:tcPr>
          <w:p w14:paraId="2DC35AD8" w14:textId="099E025C" w:rsidR="00307861" w:rsidRPr="000973F2" w:rsidRDefault="00307861" w:rsidP="00307861">
            <w:pPr>
              <w:spacing w:before="40" w:after="4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p>
        </w:tc>
        <w:tc>
          <w:tcPr>
            <w:tcW w:w="1267" w:type="dxa"/>
            <w:noWrap/>
            <w:hideMark/>
          </w:tcPr>
          <w:p w14:paraId="3A80CF8F" w14:textId="6F43CF2E" w:rsidR="00307861" w:rsidRPr="000973F2" w:rsidRDefault="00307861" w:rsidP="00307861">
            <w:pPr>
              <w:spacing w:before="40" w:after="4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w:t>
            </w:r>
          </w:p>
        </w:tc>
        <w:tc>
          <w:tcPr>
            <w:tcW w:w="1294" w:type="dxa"/>
            <w:noWrap/>
            <w:hideMark/>
          </w:tcPr>
          <w:p w14:paraId="7AA7788A" w14:textId="2B34A0DC" w:rsidR="00307861" w:rsidRPr="000973F2" w:rsidRDefault="00307861" w:rsidP="00307861">
            <w:pPr>
              <w:spacing w:before="40" w:after="4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w:t>
            </w:r>
          </w:p>
        </w:tc>
        <w:tc>
          <w:tcPr>
            <w:tcW w:w="1238" w:type="dxa"/>
            <w:noWrap/>
            <w:hideMark/>
          </w:tcPr>
          <w:p w14:paraId="05C82CF0" w14:textId="110E4388" w:rsidR="00307861" w:rsidRPr="000973F2" w:rsidRDefault="00307861" w:rsidP="00307861">
            <w:pPr>
              <w:spacing w:before="40" w:after="4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w:t>
            </w:r>
          </w:p>
        </w:tc>
        <w:tc>
          <w:tcPr>
            <w:tcW w:w="1267" w:type="dxa"/>
            <w:noWrap/>
            <w:hideMark/>
          </w:tcPr>
          <w:p w14:paraId="6B70AEC1" w14:textId="71C29D89" w:rsidR="00307861" w:rsidRPr="000973F2" w:rsidRDefault="00307861" w:rsidP="00307861">
            <w:pPr>
              <w:spacing w:before="40" w:after="4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w:t>
            </w:r>
          </w:p>
        </w:tc>
      </w:tr>
      <w:tr w:rsidR="004C5B58" w:rsidRPr="000973F2" w14:paraId="40BC42E0" w14:textId="77777777" w:rsidTr="00307861">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1732" w:type="dxa"/>
            <w:hideMark/>
          </w:tcPr>
          <w:p w14:paraId="0CDD96B2" w14:textId="77777777" w:rsidR="004C5B58" w:rsidRPr="000973F2" w:rsidRDefault="004C5B58" w:rsidP="00307861">
            <w:pPr>
              <w:spacing w:before="40" w:after="40"/>
              <w:rPr>
                <w:rFonts w:ascii="Times New Roman" w:eastAsia="Times New Roman" w:hAnsi="Times New Roman" w:cs="Times New Roman"/>
                <w:b/>
                <w:bCs w:val="0"/>
                <w:sz w:val="18"/>
                <w:szCs w:val="18"/>
              </w:rPr>
            </w:pPr>
            <w:r w:rsidRPr="000973F2">
              <w:rPr>
                <w:rFonts w:ascii="Times New Roman" w:eastAsia="Times New Roman" w:hAnsi="Times New Roman" w:cs="Times New Roman"/>
                <w:b/>
                <w:sz w:val="18"/>
                <w:szCs w:val="18"/>
              </w:rPr>
              <w:t>Total</w:t>
            </w:r>
          </w:p>
        </w:tc>
        <w:tc>
          <w:tcPr>
            <w:tcW w:w="1266" w:type="dxa"/>
            <w:noWrap/>
            <w:hideMark/>
          </w:tcPr>
          <w:p w14:paraId="2BEAE290" w14:textId="77777777" w:rsidR="004C5B58" w:rsidRPr="000973F2" w:rsidRDefault="004C5B58" w:rsidP="00307861">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$0</w:t>
            </w:r>
          </w:p>
        </w:tc>
        <w:tc>
          <w:tcPr>
            <w:tcW w:w="1266" w:type="dxa"/>
            <w:noWrap/>
          </w:tcPr>
          <w:p w14:paraId="6D02751E" w14:textId="0C742749" w:rsidR="004C5B58" w:rsidRPr="000973F2" w:rsidRDefault="004C5B58" w:rsidP="00307861">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p>
        </w:tc>
        <w:tc>
          <w:tcPr>
            <w:tcW w:w="1267" w:type="dxa"/>
            <w:noWrap/>
            <w:hideMark/>
          </w:tcPr>
          <w:p w14:paraId="1253F2B1" w14:textId="77777777" w:rsidR="004C5B58" w:rsidRPr="000973F2" w:rsidRDefault="004C5B58" w:rsidP="00307861">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$0</w:t>
            </w:r>
          </w:p>
        </w:tc>
        <w:tc>
          <w:tcPr>
            <w:tcW w:w="1294" w:type="dxa"/>
            <w:noWrap/>
            <w:hideMark/>
          </w:tcPr>
          <w:p w14:paraId="39922E44" w14:textId="77777777" w:rsidR="004C5B58" w:rsidRPr="000973F2" w:rsidRDefault="004C5B58" w:rsidP="00307861">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hAnsi="Times New Roman" w:cs="Times New Roman"/>
                <w:sz w:val="18"/>
                <w:szCs w:val="18"/>
              </w:rPr>
              <w:t>$50</w:t>
            </w:r>
          </w:p>
        </w:tc>
        <w:tc>
          <w:tcPr>
            <w:tcW w:w="1238" w:type="dxa"/>
            <w:noWrap/>
            <w:hideMark/>
          </w:tcPr>
          <w:p w14:paraId="3805C8DC" w14:textId="77777777" w:rsidR="004C5B58" w:rsidRPr="000973F2" w:rsidRDefault="004C5B58" w:rsidP="00307861">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hAnsi="Times New Roman" w:cs="Times New Roman"/>
                <w:sz w:val="18"/>
                <w:szCs w:val="18"/>
              </w:rPr>
              <w:t>$0</w:t>
            </w:r>
          </w:p>
        </w:tc>
        <w:tc>
          <w:tcPr>
            <w:tcW w:w="1267" w:type="dxa"/>
            <w:noWrap/>
            <w:hideMark/>
          </w:tcPr>
          <w:p w14:paraId="50F777D0" w14:textId="77777777" w:rsidR="004C5B58" w:rsidRPr="000973F2" w:rsidRDefault="004C5B58" w:rsidP="00307861">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hAnsi="Times New Roman" w:cs="Times New Roman"/>
                <w:sz w:val="18"/>
                <w:szCs w:val="18"/>
              </w:rPr>
              <w:t>$50</w:t>
            </w:r>
          </w:p>
        </w:tc>
      </w:tr>
    </w:tbl>
    <w:p w14:paraId="115E5CD3" w14:textId="77777777" w:rsidR="004C5B58" w:rsidRPr="000973F2" w:rsidRDefault="004C5B58" w:rsidP="00307861">
      <w:pPr>
        <w:pStyle w:val="AfterTable"/>
      </w:pPr>
    </w:p>
    <w:p w14:paraId="01E64C4F" w14:textId="77777777" w:rsidR="004C5B58" w:rsidRPr="000973F2" w:rsidRDefault="004C5B58" w:rsidP="00307861">
      <w:pPr>
        <w:pStyle w:val="Heading2"/>
      </w:pPr>
      <w:r w:rsidRPr="000973F2">
        <w:t>Total Costs for Subpart SS</w:t>
      </w:r>
    </w:p>
    <w:p w14:paraId="7B0A1709" w14:textId="18A7DF67" w:rsidR="004C5B58" w:rsidRPr="000973F2" w:rsidRDefault="004C5B58" w:rsidP="00307861">
      <w:pPr>
        <w:pStyle w:val="BodyText"/>
      </w:pPr>
      <w:r w:rsidRPr="000973F2">
        <w:t>The total industry costs related to Subpart SS are approximately $27,100 per year for a total of $81,</w:t>
      </w:r>
      <w:r w:rsidR="00892661" w:rsidRPr="000973F2">
        <w:t>0</w:t>
      </w:r>
      <w:r w:rsidRPr="000973F2">
        <w:t xml:space="preserve">00 over the three-year period of the ICR. Eight facilities are expected to report in 2019, 2020 and 2021. </w:t>
      </w:r>
    </w:p>
    <w:p w14:paraId="4D22B825" w14:textId="77777777" w:rsidR="004C5B58" w:rsidRPr="000973F2" w:rsidRDefault="004C5B58" w:rsidP="00C00E4F">
      <w:pPr>
        <w:spacing w:line="240" w:lineRule="auto"/>
        <w:rPr>
          <w:rFonts w:ascii="Times New Roman" w:hAnsi="Times New Roman" w:cs="Times New Roman"/>
        </w:rPr>
      </w:pPr>
    </w:p>
    <w:p w14:paraId="149D2D39" w14:textId="70800C03" w:rsidR="004C5B58" w:rsidRPr="000973F2" w:rsidRDefault="004C5B58" w:rsidP="00C00E4F">
      <w:pPr>
        <w:spacing w:line="240" w:lineRule="auto"/>
        <w:rPr>
          <w:rFonts w:ascii="Times New Roman" w:hAnsi="Times New Roman" w:cs="Times New Roman"/>
          <w:color w:val="000000"/>
        </w:rPr>
      </w:pPr>
      <w:r w:rsidRPr="000973F2">
        <w:rPr>
          <w:rFonts w:ascii="Times New Roman" w:hAnsi="Times New Roman" w:cs="Times New Roman"/>
          <w:color w:val="000000"/>
        </w:rPr>
        <w:br w:type="page"/>
      </w:r>
    </w:p>
    <w:p w14:paraId="5B8D7207" w14:textId="77777777" w:rsidR="00C600D9" w:rsidRPr="000973F2" w:rsidRDefault="00C600D9" w:rsidP="002A46EC">
      <w:pPr>
        <w:pStyle w:val="Heading1"/>
      </w:pPr>
      <w:bookmarkStart w:id="78" w:name="_Toc10715635"/>
      <w:r w:rsidRPr="000973F2">
        <w:t>Cost Appendix for Subpart TT – Industrial Waste Landfills</w:t>
      </w:r>
      <w:bookmarkEnd w:id="78"/>
    </w:p>
    <w:p w14:paraId="5C5C6390" w14:textId="77777777" w:rsidR="00C600D9" w:rsidRPr="000973F2" w:rsidRDefault="00C600D9" w:rsidP="002A46EC">
      <w:pPr>
        <w:pStyle w:val="Heading2"/>
      </w:pPr>
      <w:r w:rsidRPr="000973F2">
        <w:t>Description of Subpart TT</w:t>
      </w:r>
    </w:p>
    <w:p w14:paraId="5F64702A" w14:textId="7B3231F4" w:rsidR="00C600D9" w:rsidRPr="000973F2" w:rsidRDefault="00C600D9" w:rsidP="002A46EC">
      <w:pPr>
        <w:pStyle w:val="BodyText"/>
      </w:pPr>
      <w:r w:rsidRPr="000973F2">
        <w:t xml:space="preserve">For purposes of the GHGRP, the industrial waste landfills source category applies to industrial waste landfills that accepted waste on or after January 1, 1980 and that are located at a facility whose total landfill design capacity is greater than or equal to 300,000 metric tons. Subpart TT defines an industrial waste landfill as a landfill other than a municipal solid waste landfill, a RCRA Subtitle C hazardous waste landfill, or a TSCA hazardous waste landfill, in which industrial solid waste (RCRA Subtitle D wastes, non-hazardous as defined in §257.2), commercial solid wastes, or conditionally exempt small quantity generate wastes, is placed. In 2017, 171 facilities reported to Subpart TT, with little deviation from this number in previous reporting years. Subpart TT facilities represent more than 12 different industries; however, the most common industries are paper manufacturing, metal manufacturing, and chemical manufacturing. Because of the large variety of industries represented by the subpart, facilities reporting to Subpart TT differ widely in the amount of waste streams coming in to their facility. On average, a Subpart TT facility has 4 unique waste streams. Approximately three new facilities are expected to begin reporting to Subpart TT during </w:t>
      </w:r>
      <w:r w:rsidR="002223B0" w:rsidRPr="000973F2">
        <w:t>the three-year period covered by this ICR,</w:t>
      </w:r>
      <w:r w:rsidRPr="000973F2">
        <w:t xml:space="preserve"> at a rate of 1 facility per year. </w:t>
      </w:r>
    </w:p>
    <w:p w14:paraId="2B2FE7D5" w14:textId="4FB35F0B" w:rsidR="00C600D9" w:rsidRPr="000973F2" w:rsidRDefault="00C600D9" w:rsidP="002A46EC">
      <w:pPr>
        <w:pStyle w:val="BodyText"/>
      </w:pPr>
      <w:r w:rsidRPr="000973F2">
        <w:t>Facilities reporting to Subpart TT are required to report methane generation and emissions from the industrial landfill. They are also required to report methane emissions from landfill gas collection and destruction devices, if applicable. Historically, only two Subpart TT facilities have reported a gas collection system at their facility, and in 2016 this total was reduced to a single facility. Industrial landfills reporting to Subpart TT are generally not expected to have gas collection systems, as the waste disposed of in these landfills is, on average, not very high in degradable organic carbon. Therefore, costs associated with data collection and reporting from gas collection systems at industrial landfills are not accounted for in this ICR.</w:t>
      </w:r>
    </w:p>
    <w:p w14:paraId="67DD916C" w14:textId="77777777" w:rsidR="00C600D9" w:rsidRPr="000973F2" w:rsidRDefault="00C600D9" w:rsidP="002A46EC">
      <w:pPr>
        <w:pStyle w:val="Heading2"/>
      </w:pPr>
      <w:r w:rsidRPr="000973F2">
        <w:t>Labor Costs for Subpart TT</w:t>
      </w:r>
    </w:p>
    <w:p w14:paraId="1086A71F" w14:textId="25A521EF" w:rsidR="002A46EC" w:rsidRPr="000973F2" w:rsidRDefault="00C600D9" w:rsidP="002A46EC">
      <w:pPr>
        <w:pStyle w:val="BodyText"/>
      </w:pPr>
      <w:r w:rsidRPr="000973F2">
        <w:t xml:space="preserve">Table </w:t>
      </w:r>
      <w:r w:rsidR="002A46EC" w:rsidRPr="000973F2">
        <w:t>TT-</w:t>
      </w:r>
      <w:r w:rsidRPr="000973F2">
        <w:t xml:space="preserve">1 below includes the labor hours for Subpart TT. Typical activities for each of the labor activities are discussed in the Cost Appendix Introduction. Recordkeeping and reporting hours </w:t>
      </w:r>
      <w:r w:rsidR="00DD34D2" w:rsidRPr="000973F2">
        <w:t>are based on</w:t>
      </w:r>
      <w:r w:rsidRPr="000973F2">
        <w:t xml:space="preserve"> the “medium bin”</w:t>
      </w:r>
      <w:r w:rsidR="00DD34D2" w:rsidRPr="000973F2">
        <w:t xml:space="preserve"> designation. </w:t>
      </w:r>
      <w:r w:rsidRPr="000973F2">
        <w:t>Sampling and analysis (calculations) hours include completion of the measurements and calculations in (§98.276), including calculation of emissions, and volatile solids testing for the initial year of reporting, where applicable. New facilities in their initial year of reporting will incur additional planning time to familiarize themselves with the rule. Initial year labor costs also include time for setup of compliance activities.</w:t>
      </w:r>
    </w:p>
    <w:p w14:paraId="00D19CA8" w14:textId="57410834" w:rsidR="009429AD" w:rsidRPr="000973F2" w:rsidRDefault="009429AD" w:rsidP="00107F52">
      <w:pPr>
        <w:pStyle w:val="Tabletitle"/>
      </w:pPr>
      <w:r w:rsidRPr="000973F2">
        <w:t xml:space="preserve">Table </w:t>
      </w:r>
      <w:r w:rsidR="00107F52" w:rsidRPr="000973F2">
        <w:t>TT-</w:t>
      </w:r>
      <w:r w:rsidRPr="000973F2">
        <w:t xml:space="preserve">1. Labor Costs </w:t>
      </w:r>
      <w:r w:rsidR="00B960CC" w:rsidRPr="000973F2">
        <w:t>–</w:t>
      </w:r>
      <w:r w:rsidRPr="000973F2">
        <w:t xml:space="preserve"> Subpart TT</w:t>
      </w:r>
    </w:p>
    <w:tbl>
      <w:tblPr>
        <w:tblStyle w:val="PlainTable1"/>
        <w:tblW w:w="5000" w:type="pct"/>
        <w:jc w:val="left"/>
        <w:tblLayout w:type="fixed"/>
        <w:tblCellMar>
          <w:left w:w="115" w:type="dxa"/>
          <w:right w:w="115" w:type="dxa"/>
        </w:tblCellMar>
        <w:tblLook w:val="04A0" w:firstRow="1" w:lastRow="0" w:firstColumn="1" w:lastColumn="0" w:noHBand="0" w:noVBand="1"/>
      </w:tblPr>
      <w:tblGrid>
        <w:gridCol w:w="1556"/>
        <w:gridCol w:w="804"/>
        <w:gridCol w:w="804"/>
        <w:gridCol w:w="804"/>
        <w:gridCol w:w="804"/>
        <w:gridCol w:w="804"/>
        <w:gridCol w:w="804"/>
        <w:gridCol w:w="804"/>
        <w:gridCol w:w="804"/>
        <w:gridCol w:w="749"/>
        <w:gridCol w:w="853"/>
      </w:tblGrid>
      <w:tr w:rsidR="00C600D9" w:rsidRPr="000973F2" w14:paraId="5A564A9A" w14:textId="77777777" w:rsidTr="00107F52">
        <w:trPr>
          <w:cnfStyle w:val="100000000000" w:firstRow="1" w:lastRow="0" w:firstColumn="0" w:lastColumn="0" w:oddVBand="0" w:evenVBand="0" w:oddHBand="0" w:evenHBand="0" w:firstRowFirstColumn="0" w:firstRowLastColumn="0" w:lastRowFirstColumn="0" w:lastRowLastColumn="0"/>
          <w:cantSplit/>
          <w:jc w:val="left"/>
        </w:trPr>
        <w:tc>
          <w:tcPr>
            <w:cnfStyle w:val="001000000000" w:firstRow="0" w:lastRow="0" w:firstColumn="1" w:lastColumn="0" w:oddVBand="0" w:evenVBand="0" w:oddHBand="0" w:evenHBand="0" w:firstRowFirstColumn="0" w:firstRowLastColumn="0" w:lastRowFirstColumn="0" w:lastRowLastColumn="0"/>
            <w:tcW w:w="1515" w:type="dxa"/>
            <w:vMerge w:val="restart"/>
            <w:noWrap/>
            <w:hideMark/>
          </w:tcPr>
          <w:p w14:paraId="5CFDEFC2" w14:textId="77777777" w:rsidR="00C600D9" w:rsidRPr="000973F2" w:rsidRDefault="00C600D9" w:rsidP="00107F52">
            <w:pPr>
              <w:keepNext/>
              <w:spacing w:before="40" w:after="40"/>
              <w:rPr>
                <w:rFonts w:ascii="Times New Roman" w:eastAsia="Times New Roman" w:hAnsi="Times New Roman" w:cs="Times New Roman"/>
                <w:b w:val="0"/>
                <w:bCs w:val="0"/>
                <w:sz w:val="18"/>
                <w:szCs w:val="18"/>
              </w:rPr>
            </w:pPr>
            <w:r w:rsidRPr="000973F2">
              <w:rPr>
                <w:rFonts w:ascii="Times New Roman" w:eastAsia="Times New Roman" w:hAnsi="Times New Roman" w:cs="Times New Roman"/>
                <w:sz w:val="18"/>
                <w:szCs w:val="18"/>
              </w:rPr>
              <w:t>Activity</w:t>
            </w:r>
          </w:p>
        </w:tc>
        <w:tc>
          <w:tcPr>
            <w:tcW w:w="6256" w:type="dxa"/>
            <w:gridSpan w:val="8"/>
            <w:noWrap/>
            <w:hideMark/>
          </w:tcPr>
          <w:p w14:paraId="14E3CE4E" w14:textId="77777777" w:rsidR="00C600D9" w:rsidRPr="000973F2" w:rsidRDefault="00C600D9" w:rsidP="00107F52">
            <w:pPr>
              <w:keepNext/>
              <w:spacing w:before="40" w:after="40"/>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bCs w:val="0"/>
                <w:sz w:val="18"/>
                <w:szCs w:val="18"/>
              </w:rPr>
            </w:pPr>
            <w:r w:rsidRPr="000973F2">
              <w:rPr>
                <w:rFonts w:ascii="Times New Roman" w:eastAsia="Times New Roman" w:hAnsi="Times New Roman" w:cs="Times New Roman"/>
                <w:sz w:val="18"/>
                <w:szCs w:val="18"/>
              </w:rPr>
              <w:t>Labor Rates (per hour)</w:t>
            </w:r>
          </w:p>
        </w:tc>
        <w:tc>
          <w:tcPr>
            <w:tcW w:w="1559" w:type="dxa"/>
            <w:gridSpan w:val="2"/>
            <w:vMerge w:val="restart"/>
            <w:hideMark/>
          </w:tcPr>
          <w:p w14:paraId="026E3E3D" w14:textId="77777777" w:rsidR="00C600D9" w:rsidRPr="000973F2" w:rsidRDefault="00C600D9" w:rsidP="00107F52">
            <w:pPr>
              <w:keepNext/>
              <w:spacing w:before="40" w:after="40"/>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bCs w:val="0"/>
                <w:sz w:val="18"/>
                <w:szCs w:val="18"/>
              </w:rPr>
            </w:pPr>
            <w:r w:rsidRPr="000973F2">
              <w:rPr>
                <w:rFonts w:ascii="Times New Roman" w:eastAsia="Times New Roman" w:hAnsi="Times New Roman" w:cs="Times New Roman"/>
                <w:sz w:val="18"/>
                <w:szCs w:val="18"/>
              </w:rPr>
              <w:t>Total Labor Cost per Year per Facility (2017$)</w:t>
            </w:r>
          </w:p>
        </w:tc>
      </w:tr>
      <w:tr w:rsidR="00C600D9" w:rsidRPr="000973F2" w14:paraId="2F7FD296" w14:textId="77777777" w:rsidTr="00107F52">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1515" w:type="dxa"/>
            <w:vMerge/>
            <w:hideMark/>
          </w:tcPr>
          <w:p w14:paraId="3B78E8BD" w14:textId="77777777" w:rsidR="00C600D9" w:rsidRPr="000973F2" w:rsidRDefault="00C600D9" w:rsidP="00107F52">
            <w:pPr>
              <w:keepNext/>
              <w:spacing w:before="40" w:after="40"/>
              <w:rPr>
                <w:rFonts w:ascii="Times New Roman" w:eastAsia="Times New Roman" w:hAnsi="Times New Roman" w:cs="Times New Roman"/>
                <w:b/>
                <w:bCs w:val="0"/>
                <w:sz w:val="18"/>
                <w:szCs w:val="18"/>
              </w:rPr>
            </w:pPr>
          </w:p>
        </w:tc>
        <w:tc>
          <w:tcPr>
            <w:tcW w:w="1564" w:type="dxa"/>
            <w:gridSpan w:val="2"/>
            <w:noWrap/>
            <w:hideMark/>
          </w:tcPr>
          <w:p w14:paraId="28856FA1" w14:textId="77777777" w:rsidR="00C600D9" w:rsidRPr="000973F2" w:rsidRDefault="00C600D9" w:rsidP="00107F52">
            <w:pPr>
              <w:keepNext/>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18"/>
                <w:szCs w:val="18"/>
              </w:rPr>
            </w:pPr>
            <w:r w:rsidRPr="000973F2">
              <w:rPr>
                <w:rFonts w:ascii="Times New Roman" w:eastAsia="Times New Roman" w:hAnsi="Times New Roman" w:cs="Times New Roman"/>
                <w:b/>
                <w:bCs/>
                <w:sz w:val="18"/>
                <w:szCs w:val="18"/>
              </w:rPr>
              <w:t>Lawyer</w:t>
            </w:r>
          </w:p>
        </w:tc>
        <w:tc>
          <w:tcPr>
            <w:tcW w:w="1564" w:type="dxa"/>
            <w:gridSpan w:val="2"/>
            <w:noWrap/>
            <w:hideMark/>
          </w:tcPr>
          <w:p w14:paraId="22184C95" w14:textId="77777777" w:rsidR="00C600D9" w:rsidRPr="000973F2" w:rsidRDefault="00C600D9" w:rsidP="00107F52">
            <w:pPr>
              <w:keepNext/>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18"/>
                <w:szCs w:val="18"/>
              </w:rPr>
            </w:pPr>
            <w:r w:rsidRPr="000973F2">
              <w:rPr>
                <w:rFonts w:ascii="Times New Roman" w:eastAsia="Times New Roman" w:hAnsi="Times New Roman" w:cs="Times New Roman"/>
                <w:b/>
                <w:bCs/>
                <w:sz w:val="18"/>
                <w:szCs w:val="18"/>
              </w:rPr>
              <w:t>Industrial Manager</w:t>
            </w:r>
          </w:p>
        </w:tc>
        <w:tc>
          <w:tcPr>
            <w:tcW w:w="1564" w:type="dxa"/>
            <w:gridSpan w:val="2"/>
            <w:hideMark/>
          </w:tcPr>
          <w:p w14:paraId="193EA27C" w14:textId="74568744" w:rsidR="00C600D9" w:rsidRPr="000973F2" w:rsidRDefault="00C600D9" w:rsidP="00107F52">
            <w:pPr>
              <w:keepNext/>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18"/>
                <w:szCs w:val="18"/>
              </w:rPr>
            </w:pPr>
            <w:r w:rsidRPr="000973F2">
              <w:rPr>
                <w:rFonts w:ascii="Times New Roman" w:eastAsia="Times New Roman" w:hAnsi="Times New Roman" w:cs="Times New Roman"/>
                <w:b/>
                <w:bCs/>
                <w:sz w:val="18"/>
                <w:szCs w:val="18"/>
              </w:rPr>
              <w:t>Industrial Engineer/</w:t>
            </w:r>
            <w:r w:rsidR="00107F52" w:rsidRPr="000973F2">
              <w:rPr>
                <w:rFonts w:ascii="Times New Roman" w:eastAsia="Times New Roman" w:hAnsi="Times New Roman" w:cs="Times New Roman"/>
                <w:b/>
                <w:bCs/>
                <w:sz w:val="18"/>
                <w:szCs w:val="18"/>
              </w:rPr>
              <w:t xml:space="preserve"> </w:t>
            </w:r>
            <w:r w:rsidRPr="000973F2">
              <w:rPr>
                <w:rFonts w:ascii="Times New Roman" w:eastAsia="Times New Roman" w:hAnsi="Times New Roman" w:cs="Times New Roman"/>
                <w:b/>
                <w:bCs/>
                <w:sz w:val="18"/>
                <w:szCs w:val="18"/>
              </w:rPr>
              <w:t>Technician</w:t>
            </w:r>
          </w:p>
        </w:tc>
        <w:tc>
          <w:tcPr>
            <w:tcW w:w="1564" w:type="dxa"/>
            <w:gridSpan w:val="2"/>
            <w:hideMark/>
          </w:tcPr>
          <w:p w14:paraId="12EC24EC" w14:textId="77777777" w:rsidR="00C600D9" w:rsidRPr="000973F2" w:rsidRDefault="00C600D9" w:rsidP="00107F52">
            <w:pPr>
              <w:keepNext/>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18"/>
                <w:szCs w:val="18"/>
              </w:rPr>
            </w:pPr>
            <w:r w:rsidRPr="000973F2">
              <w:rPr>
                <w:rFonts w:ascii="Times New Roman" w:eastAsia="Times New Roman" w:hAnsi="Times New Roman" w:cs="Times New Roman"/>
                <w:b/>
                <w:bCs/>
                <w:sz w:val="18"/>
                <w:szCs w:val="18"/>
              </w:rPr>
              <w:t>Administrative Support</w:t>
            </w:r>
          </w:p>
        </w:tc>
        <w:tc>
          <w:tcPr>
            <w:tcW w:w="1559" w:type="dxa"/>
            <w:gridSpan w:val="2"/>
            <w:vMerge/>
            <w:hideMark/>
          </w:tcPr>
          <w:p w14:paraId="08513C38" w14:textId="77777777" w:rsidR="00C600D9" w:rsidRPr="000973F2" w:rsidRDefault="00C600D9" w:rsidP="00107F52">
            <w:pPr>
              <w:keepNext/>
              <w:spacing w:before="40" w:after="4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18"/>
                <w:szCs w:val="18"/>
              </w:rPr>
            </w:pPr>
          </w:p>
        </w:tc>
      </w:tr>
      <w:tr w:rsidR="00C600D9" w:rsidRPr="000973F2" w14:paraId="51A64F51" w14:textId="77777777" w:rsidTr="00107F52">
        <w:trPr>
          <w:cantSplit/>
        </w:trPr>
        <w:tc>
          <w:tcPr>
            <w:cnfStyle w:val="001000000000" w:firstRow="0" w:lastRow="0" w:firstColumn="1" w:lastColumn="0" w:oddVBand="0" w:evenVBand="0" w:oddHBand="0" w:evenHBand="0" w:firstRowFirstColumn="0" w:firstRowLastColumn="0" w:lastRowFirstColumn="0" w:lastRowLastColumn="0"/>
            <w:tcW w:w="1515" w:type="dxa"/>
            <w:vMerge/>
            <w:hideMark/>
          </w:tcPr>
          <w:p w14:paraId="55BE9EB4" w14:textId="77777777" w:rsidR="00C600D9" w:rsidRPr="000973F2" w:rsidRDefault="00C600D9" w:rsidP="00107F52">
            <w:pPr>
              <w:keepNext/>
              <w:spacing w:before="40" w:after="40"/>
              <w:rPr>
                <w:rFonts w:ascii="Times New Roman" w:eastAsia="Times New Roman" w:hAnsi="Times New Roman" w:cs="Times New Roman"/>
                <w:b/>
                <w:bCs w:val="0"/>
                <w:sz w:val="18"/>
                <w:szCs w:val="18"/>
              </w:rPr>
            </w:pPr>
          </w:p>
        </w:tc>
        <w:tc>
          <w:tcPr>
            <w:tcW w:w="1564" w:type="dxa"/>
            <w:gridSpan w:val="2"/>
            <w:noWrap/>
            <w:hideMark/>
          </w:tcPr>
          <w:p w14:paraId="0CDB53E8" w14:textId="77777777" w:rsidR="00C600D9" w:rsidRPr="000973F2" w:rsidRDefault="00C600D9" w:rsidP="00107F52">
            <w:pPr>
              <w:keepNext/>
              <w:spacing w:before="40" w:after="4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sz w:val="18"/>
                <w:szCs w:val="18"/>
              </w:rPr>
            </w:pPr>
            <w:r w:rsidRPr="000973F2">
              <w:rPr>
                <w:rFonts w:ascii="Times New Roman" w:eastAsia="Times New Roman" w:hAnsi="Times New Roman" w:cs="Times New Roman"/>
                <w:b/>
                <w:bCs/>
                <w:sz w:val="18"/>
                <w:szCs w:val="18"/>
              </w:rPr>
              <w:t xml:space="preserve">$112.23 </w:t>
            </w:r>
          </w:p>
        </w:tc>
        <w:tc>
          <w:tcPr>
            <w:tcW w:w="1564" w:type="dxa"/>
            <w:gridSpan w:val="2"/>
            <w:noWrap/>
            <w:hideMark/>
          </w:tcPr>
          <w:p w14:paraId="552EB011" w14:textId="77777777" w:rsidR="00C600D9" w:rsidRPr="000973F2" w:rsidRDefault="00C600D9" w:rsidP="00107F52">
            <w:pPr>
              <w:keepNext/>
              <w:spacing w:before="40" w:after="4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sz w:val="18"/>
                <w:szCs w:val="18"/>
              </w:rPr>
            </w:pPr>
            <w:r w:rsidRPr="000973F2">
              <w:rPr>
                <w:rFonts w:ascii="Times New Roman" w:eastAsia="Times New Roman" w:hAnsi="Times New Roman" w:cs="Times New Roman"/>
                <w:b/>
                <w:bCs/>
                <w:sz w:val="18"/>
                <w:szCs w:val="18"/>
              </w:rPr>
              <w:t xml:space="preserve">$87.45 </w:t>
            </w:r>
          </w:p>
        </w:tc>
        <w:tc>
          <w:tcPr>
            <w:tcW w:w="1564" w:type="dxa"/>
            <w:gridSpan w:val="2"/>
            <w:noWrap/>
            <w:hideMark/>
          </w:tcPr>
          <w:p w14:paraId="7B254C45" w14:textId="77777777" w:rsidR="00C600D9" w:rsidRPr="000973F2" w:rsidRDefault="00C600D9" w:rsidP="00107F52">
            <w:pPr>
              <w:keepNext/>
              <w:spacing w:before="40" w:after="4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sz w:val="18"/>
                <w:szCs w:val="18"/>
              </w:rPr>
            </w:pPr>
            <w:r w:rsidRPr="000973F2">
              <w:rPr>
                <w:rFonts w:ascii="Times New Roman" w:eastAsia="Times New Roman" w:hAnsi="Times New Roman" w:cs="Times New Roman"/>
                <w:b/>
                <w:bCs/>
                <w:sz w:val="18"/>
                <w:szCs w:val="18"/>
              </w:rPr>
              <w:t xml:space="preserve">$71.45 </w:t>
            </w:r>
          </w:p>
        </w:tc>
        <w:tc>
          <w:tcPr>
            <w:tcW w:w="1564" w:type="dxa"/>
            <w:gridSpan w:val="2"/>
            <w:noWrap/>
            <w:hideMark/>
          </w:tcPr>
          <w:p w14:paraId="60EBF9F0" w14:textId="77777777" w:rsidR="00C600D9" w:rsidRPr="000973F2" w:rsidRDefault="00C600D9" w:rsidP="00107F52">
            <w:pPr>
              <w:keepNext/>
              <w:spacing w:before="40" w:after="4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sz w:val="18"/>
                <w:szCs w:val="18"/>
              </w:rPr>
            </w:pPr>
            <w:r w:rsidRPr="000973F2">
              <w:rPr>
                <w:rFonts w:ascii="Times New Roman" w:eastAsia="Times New Roman" w:hAnsi="Times New Roman" w:cs="Times New Roman"/>
                <w:b/>
                <w:bCs/>
                <w:sz w:val="18"/>
                <w:szCs w:val="18"/>
              </w:rPr>
              <w:t xml:space="preserve">$36.28 </w:t>
            </w:r>
          </w:p>
        </w:tc>
        <w:tc>
          <w:tcPr>
            <w:tcW w:w="1559" w:type="dxa"/>
            <w:gridSpan w:val="2"/>
            <w:vMerge/>
            <w:hideMark/>
          </w:tcPr>
          <w:p w14:paraId="57E0443A" w14:textId="77777777" w:rsidR="00C600D9" w:rsidRPr="000973F2" w:rsidRDefault="00C600D9" w:rsidP="00107F52">
            <w:pPr>
              <w:keepNext/>
              <w:spacing w:before="40" w:after="4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sz w:val="18"/>
                <w:szCs w:val="18"/>
              </w:rPr>
            </w:pPr>
          </w:p>
        </w:tc>
      </w:tr>
      <w:tr w:rsidR="00C600D9" w:rsidRPr="000973F2" w14:paraId="3CCE5E29" w14:textId="77777777" w:rsidTr="00107F52">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1515" w:type="dxa"/>
            <w:vMerge/>
            <w:hideMark/>
          </w:tcPr>
          <w:p w14:paraId="743DC5FE" w14:textId="77777777" w:rsidR="00C600D9" w:rsidRPr="000973F2" w:rsidRDefault="00C600D9" w:rsidP="00107F52">
            <w:pPr>
              <w:keepNext/>
              <w:spacing w:before="40" w:after="40"/>
              <w:rPr>
                <w:rFonts w:ascii="Times New Roman" w:eastAsia="Times New Roman" w:hAnsi="Times New Roman" w:cs="Times New Roman"/>
                <w:b/>
                <w:bCs w:val="0"/>
                <w:sz w:val="18"/>
                <w:szCs w:val="18"/>
              </w:rPr>
            </w:pPr>
          </w:p>
        </w:tc>
        <w:tc>
          <w:tcPr>
            <w:tcW w:w="782" w:type="dxa"/>
            <w:tcMar>
              <w:left w:w="14" w:type="dxa"/>
              <w:right w:w="14" w:type="dxa"/>
            </w:tcMar>
            <w:hideMark/>
          </w:tcPr>
          <w:p w14:paraId="67E61A8E" w14:textId="72138075" w:rsidR="00C600D9" w:rsidRPr="000973F2" w:rsidRDefault="00C600D9" w:rsidP="00107F52">
            <w:pPr>
              <w:keepNext/>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18"/>
                <w:szCs w:val="18"/>
              </w:rPr>
            </w:pPr>
            <w:r w:rsidRPr="000973F2">
              <w:rPr>
                <w:rFonts w:ascii="Times New Roman" w:eastAsia="Times New Roman" w:hAnsi="Times New Roman" w:cs="Times New Roman"/>
                <w:b/>
                <w:bCs/>
                <w:sz w:val="18"/>
                <w:szCs w:val="18"/>
              </w:rPr>
              <w:t xml:space="preserve">Initial </w:t>
            </w:r>
            <w:r w:rsidR="00132320" w:rsidRPr="000973F2">
              <w:rPr>
                <w:rFonts w:ascii="Times New Roman" w:eastAsia="Times New Roman" w:hAnsi="Times New Roman" w:cs="Times New Roman"/>
                <w:b/>
                <w:bCs/>
                <w:sz w:val="18"/>
                <w:szCs w:val="18"/>
              </w:rPr>
              <w:t>Year Hours</w:t>
            </w:r>
          </w:p>
        </w:tc>
        <w:tc>
          <w:tcPr>
            <w:tcW w:w="782" w:type="dxa"/>
            <w:tcMar>
              <w:left w:w="14" w:type="dxa"/>
              <w:right w:w="14" w:type="dxa"/>
            </w:tcMar>
            <w:hideMark/>
          </w:tcPr>
          <w:p w14:paraId="655096AF" w14:textId="72B7EB16" w:rsidR="00C600D9" w:rsidRPr="000973F2" w:rsidRDefault="00C600D9" w:rsidP="00107F52">
            <w:pPr>
              <w:keepNext/>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18"/>
                <w:szCs w:val="18"/>
              </w:rPr>
            </w:pPr>
            <w:r w:rsidRPr="000973F2">
              <w:rPr>
                <w:rFonts w:ascii="Times New Roman" w:eastAsia="Times New Roman" w:hAnsi="Times New Roman" w:cs="Times New Roman"/>
                <w:b/>
                <w:bCs/>
                <w:sz w:val="18"/>
                <w:szCs w:val="18"/>
              </w:rPr>
              <w:t xml:space="preserve">Subseq. </w:t>
            </w:r>
            <w:r w:rsidR="00132320" w:rsidRPr="000973F2">
              <w:rPr>
                <w:rFonts w:ascii="Times New Roman" w:eastAsia="Times New Roman" w:hAnsi="Times New Roman" w:cs="Times New Roman"/>
                <w:b/>
                <w:bCs/>
                <w:sz w:val="18"/>
                <w:szCs w:val="18"/>
              </w:rPr>
              <w:t>Year Hours</w:t>
            </w:r>
          </w:p>
        </w:tc>
        <w:tc>
          <w:tcPr>
            <w:tcW w:w="782" w:type="dxa"/>
            <w:tcMar>
              <w:left w:w="14" w:type="dxa"/>
              <w:right w:w="14" w:type="dxa"/>
            </w:tcMar>
            <w:hideMark/>
          </w:tcPr>
          <w:p w14:paraId="3DFB806A" w14:textId="09EC7D66" w:rsidR="00C600D9" w:rsidRPr="000973F2" w:rsidRDefault="00C600D9" w:rsidP="00107F52">
            <w:pPr>
              <w:keepNext/>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18"/>
                <w:szCs w:val="18"/>
              </w:rPr>
            </w:pPr>
            <w:r w:rsidRPr="000973F2">
              <w:rPr>
                <w:rFonts w:ascii="Times New Roman" w:eastAsia="Times New Roman" w:hAnsi="Times New Roman" w:cs="Times New Roman"/>
                <w:b/>
                <w:bCs/>
                <w:sz w:val="18"/>
                <w:szCs w:val="18"/>
              </w:rPr>
              <w:t xml:space="preserve">Initial </w:t>
            </w:r>
            <w:r w:rsidR="00132320" w:rsidRPr="000973F2">
              <w:rPr>
                <w:rFonts w:ascii="Times New Roman" w:eastAsia="Times New Roman" w:hAnsi="Times New Roman" w:cs="Times New Roman"/>
                <w:b/>
                <w:bCs/>
                <w:sz w:val="18"/>
                <w:szCs w:val="18"/>
              </w:rPr>
              <w:t>Year Hours</w:t>
            </w:r>
          </w:p>
        </w:tc>
        <w:tc>
          <w:tcPr>
            <w:tcW w:w="782" w:type="dxa"/>
            <w:tcMar>
              <w:left w:w="14" w:type="dxa"/>
              <w:right w:w="14" w:type="dxa"/>
            </w:tcMar>
            <w:hideMark/>
          </w:tcPr>
          <w:p w14:paraId="10A6514B" w14:textId="42D2F6C2" w:rsidR="00C600D9" w:rsidRPr="000973F2" w:rsidRDefault="00C600D9" w:rsidP="00107F52">
            <w:pPr>
              <w:keepNext/>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18"/>
                <w:szCs w:val="18"/>
              </w:rPr>
            </w:pPr>
            <w:r w:rsidRPr="000973F2">
              <w:rPr>
                <w:rFonts w:ascii="Times New Roman" w:eastAsia="Times New Roman" w:hAnsi="Times New Roman" w:cs="Times New Roman"/>
                <w:b/>
                <w:bCs/>
                <w:sz w:val="18"/>
                <w:szCs w:val="18"/>
              </w:rPr>
              <w:t xml:space="preserve">Subseq. </w:t>
            </w:r>
            <w:r w:rsidR="00132320" w:rsidRPr="000973F2">
              <w:rPr>
                <w:rFonts w:ascii="Times New Roman" w:eastAsia="Times New Roman" w:hAnsi="Times New Roman" w:cs="Times New Roman"/>
                <w:b/>
                <w:bCs/>
                <w:sz w:val="18"/>
                <w:szCs w:val="18"/>
              </w:rPr>
              <w:t>Year Hours</w:t>
            </w:r>
          </w:p>
        </w:tc>
        <w:tc>
          <w:tcPr>
            <w:tcW w:w="782" w:type="dxa"/>
            <w:tcMar>
              <w:left w:w="14" w:type="dxa"/>
              <w:right w:w="14" w:type="dxa"/>
            </w:tcMar>
            <w:hideMark/>
          </w:tcPr>
          <w:p w14:paraId="4A566578" w14:textId="732CBC23" w:rsidR="00C600D9" w:rsidRPr="000973F2" w:rsidRDefault="00C600D9" w:rsidP="00107F52">
            <w:pPr>
              <w:keepNext/>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18"/>
                <w:szCs w:val="18"/>
              </w:rPr>
            </w:pPr>
            <w:r w:rsidRPr="000973F2">
              <w:rPr>
                <w:rFonts w:ascii="Times New Roman" w:eastAsia="Times New Roman" w:hAnsi="Times New Roman" w:cs="Times New Roman"/>
                <w:b/>
                <w:bCs/>
                <w:sz w:val="18"/>
                <w:szCs w:val="18"/>
              </w:rPr>
              <w:t xml:space="preserve">Initial </w:t>
            </w:r>
            <w:r w:rsidR="00132320" w:rsidRPr="000973F2">
              <w:rPr>
                <w:rFonts w:ascii="Times New Roman" w:eastAsia="Times New Roman" w:hAnsi="Times New Roman" w:cs="Times New Roman"/>
                <w:b/>
                <w:bCs/>
                <w:sz w:val="18"/>
                <w:szCs w:val="18"/>
              </w:rPr>
              <w:t>Year Hours</w:t>
            </w:r>
          </w:p>
        </w:tc>
        <w:tc>
          <w:tcPr>
            <w:tcW w:w="782" w:type="dxa"/>
            <w:tcMar>
              <w:left w:w="14" w:type="dxa"/>
              <w:right w:w="14" w:type="dxa"/>
            </w:tcMar>
            <w:hideMark/>
          </w:tcPr>
          <w:p w14:paraId="0804FCA4" w14:textId="5FF5BF6C" w:rsidR="00C600D9" w:rsidRPr="000973F2" w:rsidRDefault="00C600D9" w:rsidP="00107F52">
            <w:pPr>
              <w:keepNext/>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18"/>
                <w:szCs w:val="18"/>
              </w:rPr>
            </w:pPr>
            <w:r w:rsidRPr="000973F2">
              <w:rPr>
                <w:rFonts w:ascii="Times New Roman" w:eastAsia="Times New Roman" w:hAnsi="Times New Roman" w:cs="Times New Roman"/>
                <w:b/>
                <w:bCs/>
                <w:sz w:val="18"/>
                <w:szCs w:val="18"/>
              </w:rPr>
              <w:t xml:space="preserve">Subseq. </w:t>
            </w:r>
            <w:r w:rsidR="00132320" w:rsidRPr="000973F2">
              <w:rPr>
                <w:rFonts w:ascii="Times New Roman" w:eastAsia="Times New Roman" w:hAnsi="Times New Roman" w:cs="Times New Roman"/>
                <w:b/>
                <w:bCs/>
                <w:sz w:val="18"/>
                <w:szCs w:val="18"/>
              </w:rPr>
              <w:t>Year Hours</w:t>
            </w:r>
          </w:p>
        </w:tc>
        <w:tc>
          <w:tcPr>
            <w:tcW w:w="782" w:type="dxa"/>
            <w:tcMar>
              <w:left w:w="14" w:type="dxa"/>
              <w:right w:w="14" w:type="dxa"/>
            </w:tcMar>
            <w:hideMark/>
          </w:tcPr>
          <w:p w14:paraId="7EC609FF" w14:textId="0E37E06D" w:rsidR="00C600D9" w:rsidRPr="000973F2" w:rsidRDefault="00C600D9" w:rsidP="00107F52">
            <w:pPr>
              <w:keepNext/>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18"/>
                <w:szCs w:val="18"/>
              </w:rPr>
            </w:pPr>
            <w:r w:rsidRPr="000973F2">
              <w:rPr>
                <w:rFonts w:ascii="Times New Roman" w:eastAsia="Times New Roman" w:hAnsi="Times New Roman" w:cs="Times New Roman"/>
                <w:b/>
                <w:bCs/>
                <w:sz w:val="18"/>
                <w:szCs w:val="18"/>
              </w:rPr>
              <w:t xml:space="preserve">Initial </w:t>
            </w:r>
            <w:r w:rsidR="00132320" w:rsidRPr="000973F2">
              <w:rPr>
                <w:rFonts w:ascii="Times New Roman" w:eastAsia="Times New Roman" w:hAnsi="Times New Roman" w:cs="Times New Roman"/>
                <w:b/>
                <w:bCs/>
                <w:sz w:val="18"/>
                <w:szCs w:val="18"/>
              </w:rPr>
              <w:t>Year Hours</w:t>
            </w:r>
          </w:p>
        </w:tc>
        <w:tc>
          <w:tcPr>
            <w:tcW w:w="782" w:type="dxa"/>
            <w:tcMar>
              <w:left w:w="14" w:type="dxa"/>
              <w:right w:w="14" w:type="dxa"/>
            </w:tcMar>
            <w:hideMark/>
          </w:tcPr>
          <w:p w14:paraId="094D171E" w14:textId="4FEB7BA8" w:rsidR="00C600D9" w:rsidRPr="000973F2" w:rsidRDefault="00C600D9" w:rsidP="00107F52">
            <w:pPr>
              <w:keepNext/>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18"/>
                <w:szCs w:val="18"/>
              </w:rPr>
            </w:pPr>
            <w:r w:rsidRPr="000973F2">
              <w:rPr>
                <w:rFonts w:ascii="Times New Roman" w:eastAsia="Times New Roman" w:hAnsi="Times New Roman" w:cs="Times New Roman"/>
                <w:b/>
                <w:bCs/>
                <w:sz w:val="18"/>
                <w:szCs w:val="18"/>
              </w:rPr>
              <w:t xml:space="preserve">Subseq. </w:t>
            </w:r>
            <w:r w:rsidR="00132320" w:rsidRPr="000973F2">
              <w:rPr>
                <w:rFonts w:ascii="Times New Roman" w:eastAsia="Times New Roman" w:hAnsi="Times New Roman" w:cs="Times New Roman"/>
                <w:b/>
                <w:bCs/>
                <w:sz w:val="18"/>
                <w:szCs w:val="18"/>
              </w:rPr>
              <w:t>Year Hours</w:t>
            </w:r>
          </w:p>
        </w:tc>
        <w:tc>
          <w:tcPr>
            <w:tcW w:w="729" w:type="dxa"/>
            <w:tcMar>
              <w:left w:w="14" w:type="dxa"/>
              <w:right w:w="14" w:type="dxa"/>
            </w:tcMar>
            <w:hideMark/>
          </w:tcPr>
          <w:p w14:paraId="6D7C9923" w14:textId="77777777" w:rsidR="00C600D9" w:rsidRPr="000973F2" w:rsidRDefault="00C600D9" w:rsidP="00107F52">
            <w:pPr>
              <w:keepNext/>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18"/>
                <w:szCs w:val="18"/>
              </w:rPr>
            </w:pPr>
            <w:r w:rsidRPr="000973F2">
              <w:rPr>
                <w:rFonts w:ascii="Times New Roman" w:eastAsia="Times New Roman" w:hAnsi="Times New Roman" w:cs="Times New Roman"/>
                <w:b/>
                <w:bCs/>
                <w:sz w:val="18"/>
                <w:szCs w:val="18"/>
              </w:rPr>
              <w:t>Initial Year</w:t>
            </w:r>
          </w:p>
        </w:tc>
        <w:tc>
          <w:tcPr>
            <w:tcW w:w="830" w:type="dxa"/>
            <w:tcMar>
              <w:left w:w="14" w:type="dxa"/>
              <w:right w:w="14" w:type="dxa"/>
            </w:tcMar>
            <w:hideMark/>
          </w:tcPr>
          <w:p w14:paraId="600BB93E" w14:textId="77777777" w:rsidR="00C600D9" w:rsidRPr="000973F2" w:rsidRDefault="00C600D9" w:rsidP="00107F52">
            <w:pPr>
              <w:keepNext/>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18"/>
                <w:szCs w:val="18"/>
              </w:rPr>
            </w:pPr>
            <w:r w:rsidRPr="000973F2">
              <w:rPr>
                <w:rFonts w:ascii="Times New Roman" w:eastAsia="Times New Roman" w:hAnsi="Times New Roman" w:cs="Times New Roman"/>
                <w:b/>
                <w:bCs/>
                <w:sz w:val="18"/>
                <w:szCs w:val="18"/>
              </w:rPr>
              <w:t>Subseq. Year</w:t>
            </w:r>
          </w:p>
        </w:tc>
      </w:tr>
      <w:tr w:rsidR="00F40901" w:rsidRPr="000973F2" w14:paraId="630059E5" w14:textId="77777777" w:rsidTr="00107F52">
        <w:trPr>
          <w:cantSplit/>
        </w:trPr>
        <w:tc>
          <w:tcPr>
            <w:cnfStyle w:val="001000000000" w:firstRow="0" w:lastRow="0" w:firstColumn="1" w:lastColumn="0" w:oddVBand="0" w:evenVBand="0" w:oddHBand="0" w:evenHBand="0" w:firstRowFirstColumn="0" w:firstRowLastColumn="0" w:lastRowFirstColumn="0" w:lastRowLastColumn="0"/>
            <w:tcW w:w="1515" w:type="dxa"/>
            <w:hideMark/>
          </w:tcPr>
          <w:p w14:paraId="53FF0E2E" w14:textId="77777777" w:rsidR="00C600D9" w:rsidRPr="000973F2" w:rsidRDefault="00C600D9" w:rsidP="00107F52">
            <w:pPr>
              <w:keepNext/>
              <w:spacing w:before="40" w:after="4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Planning</w:t>
            </w:r>
          </w:p>
        </w:tc>
        <w:tc>
          <w:tcPr>
            <w:tcW w:w="782" w:type="dxa"/>
            <w:noWrap/>
            <w:hideMark/>
          </w:tcPr>
          <w:p w14:paraId="7ACFD8E4" w14:textId="77777777" w:rsidR="00C600D9" w:rsidRPr="000973F2" w:rsidRDefault="00C600D9" w:rsidP="00107F52">
            <w:pPr>
              <w:keepNext/>
              <w:tabs>
                <w:tab w:val="decimal" w:pos="331"/>
              </w:tabs>
              <w:spacing w:before="40" w:after="4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3</w:t>
            </w:r>
          </w:p>
        </w:tc>
        <w:tc>
          <w:tcPr>
            <w:tcW w:w="782" w:type="dxa"/>
            <w:noWrap/>
            <w:hideMark/>
          </w:tcPr>
          <w:p w14:paraId="12C0AF66" w14:textId="77777777" w:rsidR="00C600D9" w:rsidRPr="000973F2" w:rsidRDefault="00C600D9" w:rsidP="00107F52">
            <w:pPr>
              <w:keepNext/>
              <w:tabs>
                <w:tab w:val="decimal" w:pos="331"/>
              </w:tabs>
              <w:spacing w:before="40" w:after="4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1</w:t>
            </w:r>
          </w:p>
        </w:tc>
        <w:tc>
          <w:tcPr>
            <w:tcW w:w="782" w:type="dxa"/>
            <w:noWrap/>
            <w:hideMark/>
          </w:tcPr>
          <w:p w14:paraId="0515863E" w14:textId="77777777" w:rsidR="00C600D9" w:rsidRPr="000973F2" w:rsidRDefault="00C600D9" w:rsidP="00107F52">
            <w:pPr>
              <w:keepNext/>
              <w:tabs>
                <w:tab w:val="decimal" w:pos="331"/>
              </w:tabs>
              <w:spacing w:before="40" w:after="4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3</w:t>
            </w:r>
          </w:p>
        </w:tc>
        <w:tc>
          <w:tcPr>
            <w:tcW w:w="782" w:type="dxa"/>
            <w:noWrap/>
            <w:hideMark/>
          </w:tcPr>
          <w:p w14:paraId="25CBB61E" w14:textId="77777777" w:rsidR="00C600D9" w:rsidRPr="000973F2" w:rsidRDefault="00C600D9" w:rsidP="00107F52">
            <w:pPr>
              <w:keepNext/>
              <w:tabs>
                <w:tab w:val="decimal" w:pos="331"/>
              </w:tabs>
              <w:spacing w:before="40" w:after="4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1</w:t>
            </w:r>
          </w:p>
        </w:tc>
        <w:tc>
          <w:tcPr>
            <w:tcW w:w="782" w:type="dxa"/>
            <w:noWrap/>
            <w:hideMark/>
          </w:tcPr>
          <w:p w14:paraId="13165C37" w14:textId="77777777" w:rsidR="00C600D9" w:rsidRPr="000973F2" w:rsidRDefault="00C600D9" w:rsidP="00107F52">
            <w:pPr>
              <w:keepNext/>
              <w:tabs>
                <w:tab w:val="decimal" w:pos="331"/>
              </w:tabs>
              <w:spacing w:before="40" w:after="4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3</w:t>
            </w:r>
          </w:p>
        </w:tc>
        <w:tc>
          <w:tcPr>
            <w:tcW w:w="782" w:type="dxa"/>
            <w:noWrap/>
            <w:hideMark/>
          </w:tcPr>
          <w:p w14:paraId="5BDC701D" w14:textId="77777777" w:rsidR="00C600D9" w:rsidRPr="000973F2" w:rsidRDefault="00C600D9" w:rsidP="00107F52">
            <w:pPr>
              <w:keepNext/>
              <w:tabs>
                <w:tab w:val="decimal" w:pos="331"/>
              </w:tabs>
              <w:spacing w:before="40" w:after="4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1</w:t>
            </w:r>
          </w:p>
        </w:tc>
        <w:tc>
          <w:tcPr>
            <w:tcW w:w="782" w:type="dxa"/>
            <w:noWrap/>
            <w:hideMark/>
          </w:tcPr>
          <w:p w14:paraId="32C5E2FA" w14:textId="77777777" w:rsidR="00C600D9" w:rsidRPr="000973F2" w:rsidRDefault="00C600D9" w:rsidP="00107F52">
            <w:pPr>
              <w:keepNext/>
              <w:tabs>
                <w:tab w:val="decimal" w:pos="331"/>
              </w:tabs>
              <w:spacing w:before="40" w:after="4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3</w:t>
            </w:r>
          </w:p>
        </w:tc>
        <w:tc>
          <w:tcPr>
            <w:tcW w:w="782" w:type="dxa"/>
            <w:noWrap/>
            <w:hideMark/>
          </w:tcPr>
          <w:p w14:paraId="6CA14D83" w14:textId="77777777" w:rsidR="00C600D9" w:rsidRPr="000973F2" w:rsidRDefault="00C600D9" w:rsidP="00107F52">
            <w:pPr>
              <w:keepNext/>
              <w:tabs>
                <w:tab w:val="decimal" w:pos="331"/>
              </w:tabs>
              <w:spacing w:before="40" w:after="4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1</w:t>
            </w:r>
          </w:p>
        </w:tc>
        <w:tc>
          <w:tcPr>
            <w:tcW w:w="729" w:type="dxa"/>
            <w:noWrap/>
            <w:hideMark/>
          </w:tcPr>
          <w:p w14:paraId="03277961" w14:textId="77777777" w:rsidR="00C600D9" w:rsidRPr="000973F2" w:rsidRDefault="00C600D9" w:rsidP="00107F52">
            <w:pPr>
              <w:keepNext/>
              <w:tabs>
                <w:tab w:val="decimal" w:pos="496"/>
              </w:tabs>
              <w:spacing w:before="40" w:after="4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 xml:space="preserve">$922 </w:t>
            </w:r>
          </w:p>
        </w:tc>
        <w:tc>
          <w:tcPr>
            <w:tcW w:w="830" w:type="dxa"/>
            <w:noWrap/>
            <w:hideMark/>
          </w:tcPr>
          <w:p w14:paraId="1C68292D" w14:textId="77777777" w:rsidR="00C600D9" w:rsidRPr="000973F2" w:rsidRDefault="00C600D9" w:rsidP="00107F52">
            <w:pPr>
              <w:keepNext/>
              <w:tabs>
                <w:tab w:val="decimal" w:pos="496"/>
              </w:tabs>
              <w:spacing w:before="40" w:after="4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$307</w:t>
            </w:r>
          </w:p>
        </w:tc>
      </w:tr>
      <w:tr w:rsidR="00C600D9" w:rsidRPr="000973F2" w14:paraId="3967E60F" w14:textId="77777777" w:rsidTr="00107F52">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1515" w:type="dxa"/>
            <w:hideMark/>
          </w:tcPr>
          <w:p w14:paraId="1F85A007" w14:textId="77777777" w:rsidR="00C600D9" w:rsidRPr="000973F2" w:rsidRDefault="00C600D9" w:rsidP="00107F52">
            <w:pPr>
              <w:keepNext/>
              <w:spacing w:before="40" w:after="4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QA/QC</w:t>
            </w:r>
          </w:p>
        </w:tc>
        <w:tc>
          <w:tcPr>
            <w:tcW w:w="782" w:type="dxa"/>
            <w:noWrap/>
            <w:hideMark/>
          </w:tcPr>
          <w:p w14:paraId="6458ED5B" w14:textId="77777777" w:rsidR="00C600D9" w:rsidRPr="000973F2" w:rsidRDefault="00C600D9" w:rsidP="00107F52">
            <w:pPr>
              <w:keepNext/>
              <w:tabs>
                <w:tab w:val="decimal" w:pos="331"/>
              </w:tabs>
              <w:spacing w:before="40" w:after="4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0</w:t>
            </w:r>
          </w:p>
        </w:tc>
        <w:tc>
          <w:tcPr>
            <w:tcW w:w="782" w:type="dxa"/>
            <w:noWrap/>
            <w:hideMark/>
          </w:tcPr>
          <w:p w14:paraId="42969A78" w14:textId="77777777" w:rsidR="00C600D9" w:rsidRPr="000973F2" w:rsidRDefault="00C600D9" w:rsidP="00107F52">
            <w:pPr>
              <w:keepNext/>
              <w:tabs>
                <w:tab w:val="decimal" w:pos="331"/>
              </w:tabs>
              <w:spacing w:before="40" w:after="4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0</w:t>
            </w:r>
          </w:p>
        </w:tc>
        <w:tc>
          <w:tcPr>
            <w:tcW w:w="782" w:type="dxa"/>
            <w:noWrap/>
            <w:hideMark/>
          </w:tcPr>
          <w:p w14:paraId="26B0C257" w14:textId="77777777" w:rsidR="00C600D9" w:rsidRPr="000973F2" w:rsidRDefault="00C600D9" w:rsidP="00107F52">
            <w:pPr>
              <w:keepNext/>
              <w:tabs>
                <w:tab w:val="decimal" w:pos="331"/>
              </w:tabs>
              <w:spacing w:before="40" w:after="4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2</w:t>
            </w:r>
          </w:p>
        </w:tc>
        <w:tc>
          <w:tcPr>
            <w:tcW w:w="782" w:type="dxa"/>
            <w:noWrap/>
            <w:hideMark/>
          </w:tcPr>
          <w:p w14:paraId="661C47CA" w14:textId="77777777" w:rsidR="00C600D9" w:rsidRPr="000973F2" w:rsidRDefault="00C600D9" w:rsidP="00107F52">
            <w:pPr>
              <w:keepNext/>
              <w:tabs>
                <w:tab w:val="decimal" w:pos="331"/>
              </w:tabs>
              <w:spacing w:before="40" w:after="4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1</w:t>
            </w:r>
          </w:p>
        </w:tc>
        <w:tc>
          <w:tcPr>
            <w:tcW w:w="782" w:type="dxa"/>
            <w:noWrap/>
            <w:hideMark/>
          </w:tcPr>
          <w:p w14:paraId="65FAF576" w14:textId="77777777" w:rsidR="00C600D9" w:rsidRPr="000973F2" w:rsidRDefault="00C600D9" w:rsidP="00107F52">
            <w:pPr>
              <w:keepNext/>
              <w:tabs>
                <w:tab w:val="decimal" w:pos="331"/>
              </w:tabs>
              <w:spacing w:before="40" w:after="4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1</w:t>
            </w:r>
          </w:p>
        </w:tc>
        <w:tc>
          <w:tcPr>
            <w:tcW w:w="782" w:type="dxa"/>
            <w:noWrap/>
            <w:hideMark/>
          </w:tcPr>
          <w:p w14:paraId="67A78AFA" w14:textId="77777777" w:rsidR="00C600D9" w:rsidRPr="000973F2" w:rsidRDefault="00C600D9" w:rsidP="00107F52">
            <w:pPr>
              <w:keepNext/>
              <w:tabs>
                <w:tab w:val="decimal" w:pos="331"/>
              </w:tabs>
              <w:spacing w:before="40" w:after="4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1</w:t>
            </w:r>
          </w:p>
        </w:tc>
        <w:tc>
          <w:tcPr>
            <w:tcW w:w="782" w:type="dxa"/>
            <w:noWrap/>
            <w:hideMark/>
          </w:tcPr>
          <w:p w14:paraId="218B943B" w14:textId="77777777" w:rsidR="00C600D9" w:rsidRPr="000973F2" w:rsidRDefault="00C600D9" w:rsidP="00107F52">
            <w:pPr>
              <w:keepNext/>
              <w:tabs>
                <w:tab w:val="decimal" w:pos="331"/>
              </w:tabs>
              <w:spacing w:before="40" w:after="4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2</w:t>
            </w:r>
          </w:p>
        </w:tc>
        <w:tc>
          <w:tcPr>
            <w:tcW w:w="782" w:type="dxa"/>
            <w:noWrap/>
            <w:hideMark/>
          </w:tcPr>
          <w:p w14:paraId="02C25522" w14:textId="77777777" w:rsidR="00C600D9" w:rsidRPr="000973F2" w:rsidRDefault="00C600D9" w:rsidP="00107F52">
            <w:pPr>
              <w:keepNext/>
              <w:tabs>
                <w:tab w:val="decimal" w:pos="331"/>
              </w:tabs>
              <w:spacing w:before="40" w:after="4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1</w:t>
            </w:r>
          </w:p>
        </w:tc>
        <w:tc>
          <w:tcPr>
            <w:tcW w:w="729" w:type="dxa"/>
            <w:noWrap/>
            <w:hideMark/>
          </w:tcPr>
          <w:p w14:paraId="7448A794" w14:textId="77777777" w:rsidR="00C600D9" w:rsidRPr="000973F2" w:rsidRDefault="00C600D9" w:rsidP="00107F52">
            <w:pPr>
              <w:keepNext/>
              <w:tabs>
                <w:tab w:val="decimal" w:pos="496"/>
              </w:tabs>
              <w:spacing w:before="40" w:after="4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 xml:space="preserve">$319 </w:t>
            </w:r>
          </w:p>
        </w:tc>
        <w:tc>
          <w:tcPr>
            <w:tcW w:w="830" w:type="dxa"/>
            <w:noWrap/>
            <w:hideMark/>
          </w:tcPr>
          <w:p w14:paraId="2251DBBF" w14:textId="77777777" w:rsidR="00C600D9" w:rsidRPr="000973F2" w:rsidRDefault="00C600D9" w:rsidP="00107F52">
            <w:pPr>
              <w:keepNext/>
              <w:tabs>
                <w:tab w:val="decimal" w:pos="496"/>
              </w:tabs>
              <w:spacing w:before="40" w:after="4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 xml:space="preserve">$195 </w:t>
            </w:r>
          </w:p>
        </w:tc>
      </w:tr>
      <w:tr w:rsidR="00F40901" w:rsidRPr="000973F2" w14:paraId="2BA4F363" w14:textId="77777777" w:rsidTr="00107F52">
        <w:trPr>
          <w:cantSplit/>
        </w:trPr>
        <w:tc>
          <w:tcPr>
            <w:cnfStyle w:val="001000000000" w:firstRow="0" w:lastRow="0" w:firstColumn="1" w:lastColumn="0" w:oddVBand="0" w:evenVBand="0" w:oddHBand="0" w:evenHBand="0" w:firstRowFirstColumn="0" w:firstRowLastColumn="0" w:lastRowFirstColumn="0" w:lastRowLastColumn="0"/>
            <w:tcW w:w="1515" w:type="dxa"/>
            <w:hideMark/>
          </w:tcPr>
          <w:p w14:paraId="61F1A5B7" w14:textId="77777777" w:rsidR="00C600D9" w:rsidRPr="000973F2" w:rsidRDefault="00C600D9" w:rsidP="00107F52">
            <w:pPr>
              <w:keepNext/>
              <w:spacing w:before="40" w:after="4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Recordkeeping</w:t>
            </w:r>
          </w:p>
        </w:tc>
        <w:tc>
          <w:tcPr>
            <w:tcW w:w="782" w:type="dxa"/>
            <w:noWrap/>
            <w:hideMark/>
          </w:tcPr>
          <w:p w14:paraId="0E6F3646" w14:textId="77777777" w:rsidR="00C600D9" w:rsidRPr="000973F2" w:rsidRDefault="00C600D9" w:rsidP="00107F52">
            <w:pPr>
              <w:keepNext/>
              <w:tabs>
                <w:tab w:val="decimal" w:pos="331"/>
              </w:tabs>
              <w:spacing w:before="40" w:after="4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0</w:t>
            </w:r>
          </w:p>
        </w:tc>
        <w:tc>
          <w:tcPr>
            <w:tcW w:w="782" w:type="dxa"/>
            <w:noWrap/>
            <w:hideMark/>
          </w:tcPr>
          <w:p w14:paraId="5B81D845" w14:textId="77777777" w:rsidR="00C600D9" w:rsidRPr="000973F2" w:rsidRDefault="00C600D9" w:rsidP="00107F52">
            <w:pPr>
              <w:keepNext/>
              <w:tabs>
                <w:tab w:val="decimal" w:pos="331"/>
              </w:tabs>
              <w:spacing w:before="40" w:after="4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0</w:t>
            </w:r>
          </w:p>
        </w:tc>
        <w:tc>
          <w:tcPr>
            <w:tcW w:w="782" w:type="dxa"/>
            <w:noWrap/>
            <w:hideMark/>
          </w:tcPr>
          <w:p w14:paraId="1F52BBCA" w14:textId="77777777" w:rsidR="00C600D9" w:rsidRPr="000973F2" w:rsidRDefault="00C600D9" w:rsidP="00107F52">
            <w:pPr>
              <w:keepNext/>
              <w:tabs>
                <w:tab w:val="decimal" w:pos="331"/>
              </w:tabs>
              <w:spacing w:before="40" w:after="4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1</w:t>
            </w:r>
          </w:p>
        </w:tc>
        <w:tc>
          <w:tcPr>
            <w:tcW w:w="782" w:type="dxa"/>
            <w:noWrap/>
            <w:hideMark/>
          </w:tcPr>
          <w:p w14:paraId="43FAFD5D" w14:textId="77777777" w:rsidR="00C600D9" w:rsidRPr="000973F2" w:rsidRDefault="00C600D9" w:rsidP="00107F52">
            <w:pPr>
              <w:keepNext/>
              <w:tabs>
                <w:tab w:val="decimal" w:pos="331"/>
              </w:tabs>
              <w:spacing w:before="40" w:after="4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1</w:t>
            </w:r>
          </w:p>
        </w:tc>
        <w:tc>
          <w:tcPr>
            <w:tcW w:w="782" w:type="dxa"/>
            <w:noWrap/>
            <w:hideMark/>
          </w:tcPr>
          <w:p w14:paraId="0ED6AF7B" w14:textId="77777777" w:rsidR="00C600D9" w:rsidRPr="000973F2" w:rsidRDefault="00C600D9" w:rsidP="00107F52">
            <w:pPr>
              <w:keepNext/>
              <w:tabs>
                <w:tab w:val="decimal" w:pos="331"/>
              </w:tabs>
              <w:spacing w:before="40" w:after="4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13</w:t>
            </w:r>
          </w:p>
        </w:tc>
        <w:tc>
          <w:tcPr>
            <w:tcW w:w="782" w:type="dxa"/>
            <w:noWrap/>
            <w:hideMark/>
          </w:tcPr>
          <w:p w14:paraId="5D16BB3A" w14:textId="77777777" w:rsidR="00C600D9" w:rsidRPr="000973F2" w:rsidRDefault="00C600D9" w:rsidP="00107F52">
            <w:pPr>
              <w:keepNext/>
              <w:tabs>
                <w:tab w:val="decimal" w:pos="331"/>
              </w:tabs>
              <w:spacing w:before="40" w:after="4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13</w:t>
            </w:r>
          </w:p>
        </w:tc>
        <w:tc>
          <w:tcPr>
            <w:tcW w:w="782" w:type="dxa"/>
            <w:noWrap/>
            <w:hideMark/>
          </w:tcPr>
          <w:p w14:paraId="4C198D17" w14:textId="77777777" w:rsidR="00C600D9" w:rsidRPr="000973F2" w:rsidRDefault="00C600D9" w:rsidP="00107F52">
            <w:pPr>
              <w:keepNext/>
              <w:tabs>
                <w:tab w:val="decimal" w:pos="331"/>
              </w:tabs>
              <w:spacing w:before="40" w:after="4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1</w:t>
            </w:r>
          </w:p>
        </w:tc>
        <w:tc>
          <w:tcPr>
            <w:tcW w:w="782" w:type="dxa"/>
            <w:noWrap/>
            <w:hideMark/>
          </w:tcPr>
          <w:p w14:paraId="0B469036" w14:textId="77777777" w:rsidR="00C600D9" w:rsidRPr="000973F2" w:rsidRDefault="00C600D9" w:rsidP="00107F52">
            <w:pPr>
              <w:keepNext/>
              <w:tabs>
                <w:tab w:val="decimal" w:pos="331"/>
              </w:tabs>
              <w:spacing w:before="40" w:after="4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1</w:t>
            </w:r>
          </w:p>
        </w:tc>
        <w:tc>
          <w:tcPr>
            <w:tcW w:w="729" w:type="dxa"/>
            <w:noWrap/>
            <w:hideMark/>
          </w:tcPr>
          <w:p w14:paraId="2D172DD4" w14:textId="77777777" w:rsidR="00C600D9" w:rsidRPr="000973F2" w:rsidRDefault="00C600D9" w:rsidP="00107F52">
            <w:pPr>
              <w:keepNext/>
              <w:tabs>
                <w:tab w:val="decimal" w:pos="496"/>
              </w:tabs>
              <w:spacing w:before="40" w:after="4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 xml:space="preserve">$1,053 </w:t>
            </w:r>
          </w:p>
        </w:tc>
        <w:tc>
          <w:tcPr>
            <w:tcW w:w="830" w:type="dxa"/>
            <w:noWrap/>
            <w:hideMark/>
          </w:tcPr>
          <w:p w14:paraId="6D45D90F" w14:textId="77777777" w:rsidR="00C600D9" w:rsidRPr="000973F2" w:rsidRDefault="00C600D9" w:rsidP="00107F52">
            <w:pPr>
              <w:keepNext/>
              <w:tabs>
                <w:tab w:val="decimal" w:pos="496"/>
              </w:tabs>
              <w:spacing w:before="40" w:after="4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 xml:space="preserve">$1,053 </w:t>
            </w:r>
          </w:p>
        </w:tc>
      </w:tr>
      <w:tr w:rsidR="00C600D9" w:rsidRPr="000973F2" w14:paraId="2541BE7B" w14:textId="77777777" w:rsidTr="00107F52">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1515" w:type="dxa"/>
            <w:hideMark/>
          </w:tcPr>
          <w:p w14:paraId="7219D5D5" w14:textId="77777777" w:rsidR="00C600D9" w:rsidRPr="000973F2" w:rsidRDefault="00C600D9" w:rsidP="00107F52">
            <w:pPr>
              <w:keepNext/>
              <w:spacing w:before="40" w:after="4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Sampling and Analysis (Calculations)</w:t>
            </w:r>
          </w:p>
        </w:tc>
        <w:tc>
          <w:tcPr>
            <w:tcW w:w="782" w:type="dxa"/>
            <w:noWrap/>
            <w:hideMark/>
          </w:tcPr>
          <w:p w14:paraId="642D4769" w14:textId="77777777" w:rsidR="00C600D9" w:rsidRPr="000973F2" w:rsidRDefault="00C600D9" w:rsidP="00107F52">
            <w:pPr>
              <w:keepNext/>
              <w:tabs>
                <w:tab w:val="decimal" w:pos="331"/>
              </w:tabs>
              <w:spacing w:before="40" w:after="4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0</w:t>
            </w:r>
          </w:p>
        </w:tc>
        <w:tc>
          <w:tcPr>
            <w:tcW w:w="782" w:type="dxa"/>
            <w:noWrap/>
            <w:hideMark/>
          </w:tcPr>
          <w:p w14:paraId="38196AE0" w14:textId="77777777" w:rsidR="00C600D9" w:rsidRPr="000973F2" w:rsidRDefault="00C600D9" w:rsidP="00107F52">
            <w:pPr>
              <w:keepNext/>
              <w:tabs>
                <w:tab w:val="decimal" w:pos="331"/>
              </w:tabs>
              <w:spacing w:before="40" w:after="4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0</w:t>
            </w:r>
          </w:p>
        </w:tc>
        <w:tc>
          <w:tcPr>
            <w:tcW w:w="782" w:type="dxa"/>
            <w:noWrap/>
            <w:hideMark/>
          </w:tcPr>
          <w:p w14:paraId="4225E426" w14:textId="77777777" w:rsidR="00C600D9" w:rsidRPr="000973F2" w:rsidRDefault="00C600D9" w:rsidP="00107F52">
            <w:pPr>
              <w:keepNext/>
              <w:tabs>
                <w:tab w:val="decimal" w:pos="331"/>
              </w:tabs>
              <w:spacing w:before="40" w:after="4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2</w:t>
            </w:r>
          </w:p>
        </w:tc>
        <w:tc>
          <w:tcPr>
            <w:tcW w:w="782" w:type="dxa"/>
            <w:noWrap/>
            <w:hideMark/>
          </w:tcPr>
          <w:p w14:paraId="42AE584D" w14:textId="77777777" w:rsidR="00C600D9" w:rsidRPr="000973F2" w:rsidRDefault="00C600D9" w:rsidP="00107F52">
            <w:pPr>
              <w:keepNext/>
              <w:tabs>
                <w:tab w:val="decimal" w:pos="331"/>
              </w:tabs>
              <w:spacing w:before="40" w:after="4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1</w:t>
            </w:r>
          </w:p>
        </w:tc>
        <w:tc>
          <w:tcPr>
            <w:tcW w:w="782" w:type="dxa"/>
            <w:noWrap/>
            <w:hideMark/>
          </w:tcPr>
          <w:p w14:paraId="357E5B4A" w14:textId="77777777" w:rsidR="00C600D9" w:rsidRPr="000973F2" w:rsidRDefault="00C600D9" w:rsidP="00107F52">
            <w:pPr>
              <w:keepNext/>
              <w:tabs>
                <w:tab w:val="decimal" w:pos="331"/>
              </w:tabs>
              <w:spacing w:before="40" w:after="4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2</w:t>
            </w:r>
          </w:p>
        </w:tc>
        <w:tc>
          <w:tcPr>
            <w:tcW w:w="782" w:type="dxa"/>
            <w:noWrap/>
            <w:hideMark/>
          </w:tcPr>
          <w:p w14:paraId="4B80ED24" w14:textId="77777777" w:rsidR="00C600D9" w:rsidRPr="000973F2" w:rsidRDefault="00C600D9" w:rsidP="00107F52">
            <w:pPr>
              <w:keepNext/>
              <w:tabs>
                <w:tab w:val="decimal" w:pos="331"/>
              </w:tabs>
              <w:spacing w:before="40" w:after="4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1</w:t>
            </w:r>
          </w:p>
        </w:tc>
        <w:tc>
          <w:tcPr>
            <w:tcW w:w="782" w:type="dxa"/>
            <w:noWrap/>
            <w:hideMark/>
          </w:tcPr>
          <w:p w14:paraId="2C164DF4" w14:textId="77777777" w:rsidR="00C600D9" w:rsidRPr="000973F2" w:rsidRDefault="00C600D9" w:rsidP="00107F52">
            <w:pPr>
              <w:keepNext/>
              <w:tabs>
                <w:tab w:val="decimal" w:pos="331"/>
              </w:tabs>
              <w:spacing w:before="40" w:after="4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0</w:t>
            </w:r>
          </w:p>
        </w:tc>
        <w:tc>
          <w:tcPr>
            <w:tcW w:w="782" w:type="dxa"/>
            <w:noWrap/>
            <w:hideMark/>
          </w:tcPr>
          <w:p w14:paraId="6EB9553E" w14:textId="77777777" w:rsidR="00C600D9" w:rsidRPr="000973F2" w:rsidRDefault="00C600D9" w:rsidP="00107F52">
            <w:pPr>
              <w:keepNext/>
              <w:tabs>
                <w:tab w:val="decimal" w:pos="331"/>
              </w:tabs>
              <w:spacing w:before="40" w:after="4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0</w:t>
            </w:r>
          </w:p>
        </w:tc>
        <w:tc>
          <w:tcPr>
            <w:tcW w:w="729" w:type="dxa"/>
            <w:noWrap/>
            <w:hideMark/>
          </w:tcPr>
          <w:p w14:paraId="57080FED" w14:textId="77777777" w:rsidR="00C600D9" w:rsidRPr="000973F2" w:rsidRDefault="00C600D9" w:rsidP="00107F52">
            <w:pPr>
              <w:keepNext/>
              <w:tabs>
                <w:tab w:val="decimal" w:pos="496"/>
              </w:tabs>
              <w:spacing w:before="40" w:after="4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$318</w:t>
            </w:r>
          </w:p>
        </w:tc>
        <w:tc>
          <w:tcPr>
            <w:tcW w:w="830" w:type="dxa"/>
            <w:noWrap/>
            <w:hideMark/>
          </w:tcPr>
          <w:p w14:paraId="6B57E038" w14:textId="77777777" w:rsidR="00C600D9" w:rsidRPr="000973F2" w:rsidRDefault="00C600D9" w:rsidP="00107F52">
            <w:pPr>
              <w:keepNext/>
              <w:tabs>
                <w:tab w:val="decimal" w:pos="496"/>
              </w:tabs>
              <w:spacing w:before="40" w:after="4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 xml:space="preserve"> $159</w:t>
            </w:r>
          </w:p>
        </w:tc>
      </w:tr>
      <w:tr w:rsidR="00F40901" w:rsidRPr="000973F2" w14:paraId="3A8F56C8" w14:textId="77777777" w:rsidTr="00107F52">
        <w:trPr>
          <w:cantSplit/>
        </w:trPr>
        <w:tc>
          <w:tcPr>
            <w:cnfStyle w:val="001000000000" w:firstRow="0" w:lastRow="0" w:firstColumn="1" w:lastColumn="0" w:oddVBand="0" w:evenVBand="0" w:oddHBand="0" w:evenHBand="0" w:firstRowFirstColumn="0" w:firstRowLastColumn="0" w:lastRowFirstColumn="0" w:lastRowLastColumn="0"/>
            <w:tcW w:w="1515" w:type="dxa"/>
            <w:hideMark/>
          </w:tcPr>
          <w:p w14:paraId="66352B28" w14:textId="77777777" w:rsidR="00C600D9" w:rsidRPr="000973F2" w:rsidRDefault="00C600D9" w:rsidP="00107F52">
            <w:pPr>
              <w:keepNext/>
              <w:spacing w:before="40" w:after="4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Reporting</w:t>
            </w:r>
          </w:p>
        </w:tc>
        <w:tc>
          <w:tcPr>
            <w:tcW w:w="782" w:type="dxa"/>
            <w:noWrap/>
            <w:hideMark/>
          </w:tcPr>
          <w:p w14:paraId="20C57965" w14:textId="77777777" w:rsidR="00C600D9" w:rsidRPr="000973F2" w:rsidRDefault="00C600D9" w:rsidP="00107F52">
            <w:pPr>
              <w:keepNext/>
              <w:tabs>
                <w:tab w:val="decimal" w:pos="331"/>
              </w:tabs>
              <w:spacing w:before="40" w:after="4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0</w:t>
            </w:r>
          </w:p>
        </w:tc>
        <w:tc>
          <w:tcPr>
            <w:tcW w:w="782" w:type="dxa"/>
            <w:noWrap/>
            <w:hideMark/>
          </w:tcPr>
          <w:p w14:paraId="52CEE5B1" w14:textId="77777777" w:rsidR="00C600D9" w:rsidRPr="000973F2" w:rsidRDefault="00C600D9" w:rsidP="00107F52">
            <w:pPr>
              <w:keepNext/>
              <w:tabs>
                <w:tab w:val="decimal" w:pos="331"/>
              </w:tabs>
              <w:spacing w:before="40" w:after="4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0</w:t>
            </w:r>
          </w:p>
        </w:tc>
        <w:tc>
          <w:tcPr>
            <w:tcW w:w="782" w:type="dxa"/>
            <w:noWrap/>
            <w:hideMark/>
          </w:tcPr>
          <w:p w14:paraId="664E9482" w14:textId="77777777" w:rsidR="00C600D9" w:rsidRPr="000973F2" w:rsidRDefault="00C600D9" w:rsidP="00107F52">
            <w:pPr>
              <w:keepNext/>
              <w:tabs>
                <w:tab w:val="decimal" w:pos="331"/>
              </w:tabs>
              <w:spacing w:before="40" w:after="4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2</w:t>
            </w:r>
          </w:p>
        </w:tc>
        <w:tc>
          <w:tcPr>
            <w:tcW w:w="782" w:type="dxa"/>
            <w:noWrap/>
            <w:hideMark/>
          </w:tcPr>
          <w:p w14:paraId="6FA43DED" w14:textId="77777777" w:rsidR="00C600D9" w:rsidRPr="000973F2" w:rsidRDefault="00C600D9" w:rsidP="00107F52">
            <w:pPr>
              <w:keepNext/>
              <w:tabs>
                <w:tab w:val="decimal" w:pos="331"/>
              </w:tabs>
              <w:spacing w:before="40" w:after="4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2</w:t>
            </w:r>
          </w:p>
        </w:tc>
        <w:tc>
          <w:tcPr>
            <w:tcW w:w="782" w:type="dxa"/>
            <w:noWrap/>
            <w:hideMark/>
          </w:tcPr>
          <w:p w14:paraId="0AE8B339" w14:textId="77777777" w:rsidR="00C600D9" w:rsidRPr="000973F2" w:rsidRDefault="00C600D9" w:rsidP="00107F52">
            <w:pPr>
              <w:keepNext/>
              <w:tabs>
                <w:tab w:val="decimal" w:pos="331"/>
              </w:tabs>
              <w:spacing w:before="40" w:after="4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26</w:t>
            </w:r>
          </w:p>
        </w:tc>
        <w:tc>
          <w:tcPr>
            <w:tcW w:w="782" w:type="dxa"/>
            <w:noWrap/>
            <w:hideMark/>
          </w:tcPr>
          <w:p w14:paraId="1C304A95" w14:textId="77777777" w:rsidR="00C600D9" w:rsidRPr="000973F2" w:rsidRDefault="00C600D9" w:rsidP="00107F52">
            <w:pPr>
              <w:keepNext/>
              <w:tabs>
                <w:tab w:val="decimal" w:pos="331"/>
              </w:tabs>
              <w:spacing w:before="40" w:after="4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26</w:t>
            </w:r>
          </w:p>
        </w:tc>
        <w:tc>
          <w:tcPr>
            <w:tcW w:w="782" w:type="dxa"/>
            <w:noWrap/>
            <w:hideMark/>
          </w:tcPr>
          <w:p w14:paraId="03A9E470" w14:textId="77777777" w:rsidR="00C600D9" w:rsidRPr="000973F2" w:rsidRDefault="00C600D9" w:rsidP="00107F52">
            <w:pPr>
              <w:keepNext/>
              <w:tabs>
                <w:tab w:val="decimal" w:pos="331"/>
              </w:tabs>
              <w:spacing w:before="40" w:after="4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2</w:t>
            </w:r>
          </w:p>
        </w:tc>
        <w:tc>
          <w:tcPr>
            <w:tcW w:w="782" w:type="dxa"/>
            <w:noWrap/>
            <w:hideMark/>
          </w:tcPr>
          <w:p w14:paraId="27AD59E8" w14:textId="77777777" w:rsidR="00C600D9" w:rsidRPr="000973F2" w:rsidRDefault="00C600D9" w:rsidP="00107F52">
            <w:pPr>
              <w:keepNext/>
              <w:tabs>
                <w:tab w:val="decimal" w:pos="331"/>
              </w:tabs>
              <w:spacing w:before="40" w:after="4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2</w:t>
            </w:r>
          </w:p>
        </w:tc>
        <w:tc>
          <w:tcPr>
            <w:tcW w:w="729" w:type="dxa"/>
            <w:noWrap/>
            <w:hideMark/>
          </w:tcPr>
          <w:p w14:paraId="405EDC1E" w14:textId="77777777" w:rsidR="00C600D9" w:rsidRPr="000973F2" w:rsidRDefault="00C600D9" w:rsidP="00107F52">
            <w:pPr>
              <w:keepNext/>
              <w:tabs>
                <w:tab w:val="decimal" w:pos="496"/>
              </w:tabs>
              <w:spacing w:before="40" w:after="4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 xml:space="preserve">$2,105 </w:t>
            </w:r>
          </w:p>
        </w:tc>
        <w:tc>
          <w:tcPr>
            <w:tcW w:w="830" w:type="dxa"/>
            <w:noWrap/>
            <w:hideMark/>
          </w:tcPr>
          <w:p w14:paraId="122F45A4" w14:textId="77777777" w:rsidR="00C600D9" w:rsidRPr="000973F2" w:rsidRDefault="00C600D9" w:rsidP="00107F52">
            <w:pPr>
              <w:keepNext/>
              <w:tabs>
                <w:tab w:val="decimal" w:pos="496"/>
              </w:tabs>
              <w:spacing w:before="40" w:after="4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 xml:space="preserve">$2,105 </w:t>
            </w:r>
          </w:p>
        </w:tc>
      </w:tr>
      <w:tr w:rsidR="00C600D9" w:rsidRPr="000973F2" w14:paraId="150A9166" w14:textId="77777777" w:rsidTr="00107F52">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1515" w:type="dxa"/>
            <w:noWrap/>
            <w:hideMark/>
          </w:tcPr>
          <w:p w14:paraId="280104F5" w14:textId="77777777" w:rsidR="00C600D9" w:rsidRPr="000973F2" w:rsidRDefault="00C600D9" w:rsidP="00107F52">
            <w:pPr>
              <w:keepNext/>
              <w:spacing w:before="40" w:after="40"/>
              <w:rPr>
                <w:rFonts w:ascii="Times New Roman" w:eastAsia="Times New Roman" w:hAnsi="Times New Roman" w:cs="Times New Roman"/>
                <w:b/>
                <w:bCs w:val="0"/>
                <w:sz w:val="18"/>
                <w:szCs w:val="18"/>
              </w:rPr>
            </w:pPr>
            <w:r w:rsidRPr="000973F2">
              <w:rPr>
                <w:rFonts w:ascii="Times New Roman" w:eastAsia="Times New Roman" w:hAnsi="Times New Roman" w:cs="Times New Roman"/>
                <w:b/>
                <w:sz w:val="18"/>
                <w:szCs w:val="18"/>
              </w:rPr>
              <w:t>Total</w:t>
            </w:r>
          </w:p>
        </w:tc>
        <w:tc>
          <w:tcPr>
            <w:tcW w:w="782" w:type="dxa"/>
            <w:noWrap/>
            <w:hideMark/>
          </w:tcPr>
          <w:p w14:paraId="4A27FDB9" w14:textId="77777777" w:rsidR="00C600D9" w:rsidRPr="000973F2" w:rsidRDefault="00C600D9" w:rsidP="00107F52">
            <w:pPr>
              <w:keepNext/>
              <w:tabs>
                <w:tab w:val="decimal" w:pos="331"/>
              </w:tabs>
              <w:spacing w:before="40" w:after="4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18"/>
                <w:szCs w:val="18"/>
              </w:rPr>
            </w:pPr>
            <w:r w:rsidRPr="000973F2">
              <w:rPr>
                <w:rFonts w:ascii="Times New Roman" w:eastAsia="Times New Roman" w:hAnsi="Times New Roman" w:cs="Times New Roman"/>
                <w:b/>
                <w:bCs/>
                <w:sz w:val="18"/>
                <w:szCs w:val="18"/>
              </w:rPr>
              <w:t>3</w:t>
            </w:r>
          </w:p>
        </w:tc>
        <w:tc>
          <w:tcPr>
            <w:tcW w:w="782" w:type="dxa"/>
            <w:noWrap/>
            <w:hideMark/>
          </w:tcPr>
          <w:p w14:paraId="7B3D906C" w14:textId="77777777" w:rsidR="00C600D9" w:rsidRPr="000973F2" w:rsidRDefault="00C600D9" w:rsidP="00107F52">
            <w:pPr>
              <w:keepNext/>
              <w:tabs>
                <w:tab w:val="decimal" w:pos="331"/>
              </w:tabs>
              <w:spacing w:before="40" w:after="4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18"/>
                <w:szCs w:val="18"/>
              </w:rPr>
            </w:pPr>
            <w:r w:rsidRPr="000973F2">
              <w:rPr>
                <w:rFonts w:ascii="Times New Roman" w:eastAsia="Times New Roman" w:hAnsi="Times New Roman" w:cs="Times New Roman"/>
                <w:b/>
                <w:bCs/>
                <w:sz w:val="18"/>
                <w:szCs w:val="18"/>
              </w:rPr>
              <w:t>1</w:t>
            </w:r>
          </w:p>
        </w:tc>
        <w:tc>
          <w:tcPr>
            <w:tcW w:w="782" w:type="dxa"/>
            <w:noWrap/>
            <w:hideMark/>
          </w:tcPr>
          <w:p w14:paraId="03DA86DC" w14:textId="77777777" w:rsidR="00C600D9" w:rsidRPr="000973F2" w:rsidRDefault="00C600D9" w:rsidP="00107F52">
            <w:pPr>
              <w:keepNext/>
              <w:tabs>
                <w:tab w:val="decimal" w:pos="331"/>
              </w:tabs>
              <w:spacing w:before="40" w:after="4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18"/>
                <w:szCs w:val="18"/>
              </w:rPr>
            </w:pPr>
            <w:r w:rsidRPr="000973F2">
              <w:rPr>
                <w:rFonts w:ascii="Times New Roman" w:eastAsia="Times New Roman" w:hAnsi="Times New Roman" w:cs="Times New Roman"/>
                <w:b/>
                <w:bCs/>
                <w:sz w:val="18"/>
                <w:szCs w:val="18"/>
              </w:rPr>
              <w:t>10</w:t>
            </w:r>
          </w:p>
        </w:tc>
        <w:tc>
          <w:tcPr>
            <w:tcW w:w="782" w:type="dxa"/>
            <w:noWrap/>
            <w:hideMark/>
          </w:tcPr>
          <w:p w14:paraId="717450B4" w14:textId="77777777" w:rsidR="00C600D9" w:rsidRPr="000973F2" w:rsidRDefault="00C600D9" w:rsidP="00107F52">
            <w:pPr>
              <w:keepNext/>
              <w:tabs>
                <w:tab w:val="decimal" w:pos="331"/>
              </w:tabs>
              <w:spacing w:before="40" w:after="4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18"/>
                <w:szCs w:val="18"/>
              </w:rPr>
            </w:pPr>
            <w:r w:rsidRPr="000973F2">
              <w:rPr>
                <w:rFonts w:ascii="Times New Roman" w:eastAsia="Times New Roman" w:hAnsi="Times New Roman" w:cs="Times New Roman"/>
                <w:b/>
                <w:bCs/>
                <w:sz w:val="18"/>
                <w:szCs w:val="18"/>
              </w:rPr>
              <w:t>6</w:t>
            </w:r>
          </w:p>
        </w:tc>
        <w:tc>
          <w:tcPr>
            <w:tcW w:w="782" w:type="dxa"/>
            <w:noWrap/>
            <w:hideMark/>
          </w:tcPr>
          <w:p w14:paraId="1648FEBB" w14:textId="77777777" w:rsidR="00C600D9" w:rsidRPr="000973F2" w:rsidRDefault="00C600D9" w:rsidP="00107F52">
            <w:pPr>
              <w:keepNext/>
              <w:tabs>
                <w:tab w:val="decimal" w:pos="331"/>
              </w:tabs>
              <w:spacing w:before="40" w:after="4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18"/>
                <w:szCs w:val="18"/>
              </w:rPr>
            </w:pPr>
            <w:r w:rsidRPr="000973F2">
              <w:rPr>
                <w:rFonts w:ascii="Times New Roman" w:eastAsia="Times New Roman" w:hAnsi="Times New Roman" w:cs="Times New Roman"/>
                <w:b/>
                <w:bCs/>
                <w:sz w:val="18"/>
                <w:szCs w:val="18"/>
              </w:rPr>
              <w:t>45</w:t>
            </w:r>
          </w:p>
        </w:tc>
        <w:tc>
          <w:tcPr>
            <w:tcW w:w="782" w:type="dxa"/>
            <w:noWrap/>
            <w:hideMark/>
          </w:tcPr>
          <w:p w14:paraId="096110CC" w14:textId="77777777" w:rsidR="00C600D9" w:rsidRPr="000973F2" w:rsidRDefault="00C600D9" w:rsidP="00107F52">
            <w:pPr>
              <w:keepNext/>
              <w:tabs>
                <w:tab w:val="decimal" w:pos="331"/>
              </w:tabs>
              <w:spacing w:before="40" w:after="4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18"/>
                <w:szCs w:val="18"/>
              </w:rPr>
            </w:pPr>
            <w:r w:rsidRPr="000973F2">
              <w:rPr>
                <w:rFonts w:ascii="Times New Roman" w:eastAsia="Times New Roman" w:hAnsi="Times New Roman" w:cs="Times New Roman"/>
                <w:b/>
                <w:bCs/>
                <w:sz w:val="18"/>
                <w:szCs w:val="18"/>
              </w:rPr>
              <w:t>42</w:t>
            </w:r>
          </w:p>
        </w:tc>
        <w:tc>
          <w:tcPr>
            <w:tcW w:w="782" w:type="dxa"/>
            <w:noWrap/>
            <w:hideMark/>
          </w:tcPr>
          <w:p w14:paraId="6BCE12CF" w14:textId="77777777" w:rsidR="00C600D9" w:rsidRPr="000973F2" w:rsidRDefault="00C600D9" w:rsidP="00107F52">
            <w:pPr>
              <w:keepNext/>
              <w:tabs>
                <w:tab w:val="decimal" w:pos="331"/>
              </w:tabs>
              <w:spacing w:before="40" w:after="4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18"/>
                <w:szCs w:val="18"/>
              </w:rPr>
            </w:pPr>
            <w:r w:rsidRPr="000973F2">
              <w:rPr>
                <w:rFonts w:ascii="Times New Roman" w:eastAsia="Times New Roman" w:hAnsi="Times New Roman" w:cs="Times New Roman"/>
                <w:b/>
                <w:bCs/>
                <w:sz w:val="18"/>
                <w:szCs w:val="18"/>
              </w:rPr>
              <w:t>8</w:t>
            </w:r>
          </w:p>
        </w:tc>
        <w:tc>
          <w:tcPr>
            <w:tcW w:w="782" w:type="dxa"/>
            <w:noWrap/>
            <w:hideMark/>
          </w:tcPr>
          <w:p w14:paraId="5BB491F3" w14:textId="77777777" w:rsidR="00C600D9" w:rsidRPr="000973F2" w:rsidRDefault="00C600D9" w:rsidP="00107F52">
            <w:pPr>
              <w:keepNext/>
              <w:tabs>
                <w:tab w:val="decimal" w:pos="331"/>
              </w:tabs>
              <w:spacing w:before="40" w:after="4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18"/>
                <w:szCs w:val="18"/>
              </w:rPr>
            </w:pPr>
            <w:r w:rsidRPr="000973F2">
              <w:rPr>
                <w:rFonts w:ascii="Times New Roman" w:eastAsia="Times New Roman" w:hAnsi="Times New Roman" w:cs="Times New Roman"/>
                <w:b/>
                <w:bCs/>
                <w:sz w:val="18"/>
                <w:szCs w:val="18"/>
              </w:rPr>
              <w:t>5</w:t>
            </w:r>
          </w:p>
        </w:tc>
        <w:tc>
          <w:tcPr>
            <w:tcW w:w="729" w:type="dxa"/>
            <w:noWrap/>
            <w:hideMark/>
          </w:tcPr>
          <w:p w14:paraId="394FEFC5" w14:textId="77777777" w:rsidR="00C600D9" w:rsidRPr="000973F2" w:rsidRDefault="00C600D9" w:rsidP="00107F52">
            <w:pPr>
              <w:keepNext/>
              <w:tabs>
                <w:tab w:val="decimal" w:pos="496"/>
              </w:tabs>
              <w:spacing w:before="40" w:after="4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18"/>
                <w:szCs w:val="18"/>
              </w:rPr>
            </w:pPr>
            <w:r w:rsidRPr="000973F2">
              <w:rPr>
                <w:rFonts w:ascii="Times New Roman" w:eastAsia="Times New Roman" w:hAnsi="Times New Roman" w:cs="Times New Roman"/>
                <w:b/>
                <w:bCs/>
                <w:sz w:val="18"/>
                <w:szCs w:val="18"/>
              </w:rPr>
              <w:t xml:space="preserve">$4,717 </w:t>
            </w:r>
          </w:p>
        </w:tc>
        <w:tc>
          <w:tcPr>
            <w:tcW w:w="830" w:type="dxa"/>
            <w:noWrap/>
            <w:hideMark/>
          </w:tcPr>
          <w:p w14:paraId="4AAE1FE6" w14:textId="77777777" w:rsidR="00C600D9" w:rsidRPr="000973F2" w:rsidRDefault="00C600D9" w:rsidP="00107F52">
            <w:pPr>
              <w:keepNext/>
              <w:tabs>
                <w:tab w:val="decimal" w:pos="496"/>
              </w:tabs>
              <w:spacing w:before="40" w:after="4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18"/>
                <w:szCs w:val="18"/>
              </w:rPr>
            </w:pPr>
            <w:r w:rsidRPr="000973F2">
              <w:rPr>
                <w:rFonts w:ascii="Times New Roman" w:eastAsia="Times New Roman" w:hAnsi="Times New Roman" w:cs="Times New Roman"/>
                <w:b/>
                <w:bCs/>
                <w:sz w:val="18"/>
                <w:szCs w:val="18"/>
              </w:rPr>
              <w:t xml:space="preserve">$3,819 </w:t>
            </w:r>
          </w:p>
        </w:tc>
      </w:tr>
    </w:tbl>
    <w:p w14:paraId="5178BD89" w14:textId="77777777" w:rsidR="00C600D9" w:rsidRPr="000973F2" w:rsidRDefault="00C600D9" w:rsidP="00107F52">
      <w:pPr>
        <w:pStyle w:val="AfterTable"/>
        <w:spacing w:after="120"/>
      </w:pPr>
    </w:p>
    <w:p w14:paraId="200C158D" w14:textId="77777777" w:rsidR="00C600D9" w:rsidRPr="000973F2" w:rsidRDefault="00C600D9" w:rsidP="00107F52">
      <w:pPr>
        <w:pStyle w:val="Heading2"/>
      </w:pPr>
      <w:r w:rsidRPr="000973F2">
        <w:t>Capital and O&amp;M Costs for Subpart TT</w:t>
      </w:r>
    </w:p>
    <w:p w14:paraId="0AA38177" w14:textId="4BFEBB61" w:rsidR="00C600D9" w:rsidRPr="000973F2" w:rsidRDefault="00C600D9" w:rsidP="00107F52">
      <w:pPr>
        <w:pStyle w:val="BodyText"/>
      </w:pPr>
      <w:r w:rsidRPr="000973F2">
        <w:t xml:space="preserve">Table </w:t>
      </w:r>
      <w:r w:rsidR="00107F52" w:rsidRPr="000973F2">
        <w:t>TT-</w:t>
      </w:r>
      <w:r w:rsidRPr="000973F2">
        <w:t xml:space="preserve">2 summarizes the capital and </w:t>
      </w:r>
      <w:r w:rsidR="002223B0" w:rsidRPr="000973F2">
        <w:t>O&amp;M</w:t>
      </w:r>
      <w:r w:rsidRPr="000973F2">
        <w:t xml:space="preserve"> costs for Subpart TT. Typical O&amp;M costs related to recordkeeping are discussed in the Cost Appendix Introduction. The largest cost component for Subpart TT is for some facilities to conduct a volatile solids test in order to properly report their waste stream degradable organic carbon (DOC) values. This O&amp;M sampling cost of $95 is only applicable to the initial year of reporting for those facilities, as Subpart TT facilities are only required to perform a volatile solids/DOC test once during their tenure reporting to the program. No capital costs are expected.</w:t>
      </w:r>
    </w:p>
    <w:p w14:paraId="3DAA7165" w14:textId="4775AAAD" w:rsidR="00C600D9" w:rsidRPr="000973F2" w:rsidRDefault="009429AD" w:rsidP="00107F52">
      <w:pPr>
        <w:pStyle w:val="Tabletitle"/>
      </w:pPr>
      <w:r w:rsidRPr="000973F2">
        <w:t xml:space="preserve">Table </w:t>
      </w:r>
      <w:r w:rsidR="00107F52" w:rsidRPr="000973F2">
        <w:t>TT-</w:t>
      </w:r>
      <w:r w:rsidRPr="000973F2">
        <w:t xml:space="preserve">2. Capital and O&amp;M Costs </w:t>
      </w:r>
      <w:r w:rsidR="00B960CC" w:rsidRPr="000973F2">
        <w:t>–</w:t>
      </w:r>
      <w:r w:rsidRPr="000973F2">
        <w:t xml:space="preserve"> Subpart TT</w:t>
      </w:r>
    </w:p>
    <w:tbl>
      <w:tblPr>
        <w:tblStyle w:val="PlainTable1"/>
        <w:tblW w:w="5000" w:type="pct"/>
        <w:jc w:val="left"/>
        <w:tblLayout w:type="fixed"/>
        <w:tblCellMar>
          <w:left w:w="115" w:type="dxa"/>
          <w:right w:w="115" w:type="dxa"/>
        </w:tblCellMar>
        <w:tblLook w:val="04A0" w:firstRow="1" w:lastRow="0" w:firstColumn="1" w:lastColumn="0" w:noHBand="0" w:noVBand="1"/>
      </w:tblPr>
      <w:tblGrid>
        <w:gridCol w:w="1941"/>
        <w:gridCol w:w="1274"/>
        <w:gridCol w:w="1275"/>
        <w:gridCol w:w="1275"/>
        <w:gridCol w:w="1250"/>
        <w:gridCol w:w="1299"/>
        <w:gridCol w:w="1276"/>
      </w:tblGrid>
      <w:tr w:rsidR="00D17312" w:rsidRPr="000973F2" w14:paraId="37CAFEE3" w14:textId="77777777" w:rsidTr="00107F52">
        <w:trPr>
          <w:cnfStyle w:val="100000000000" w:firstRow="1" w:lastRow="0" w:firstColumn="0" w:lastColumn="0" w:oddVBand="0" w:evenVBand="0" w:oddHBand="0" w:evenHBand="0" w:firstRowFirstColumn="0" w:firstRowLastColumn="0" w:lastRowFirstColumn="0" w:lastRowLastColumn="0"/>
          <w:cantSplit/>
          <w:jc w:val="left"/>
        </w:trPr>
        <w:tc>
          <w:tcPr>
            <w:cnfStyle w:val="001000000000" w:firstRow="0" w:lastRow="0" w:firstColumn="1" w:lastColumn="0" w:oddVBand="0" w:evenVBand="0" w:oddHBand="0" w:evenHBand="0" w:firstRowFirstColumn="0" w:firstRowLastColumn="0" w:lastRowFirstColumn="0" w:lastRowLastColumn="0"/>
            <w:tcW w:w="1889" w:type="dxa"/>
            <w:vMerge w:val="restart"/>
            <w:noWrap/>
            <w:hideMark/>
          </w:tcPr>
          <w:p w14:paraId="7CA67FC3" w14:textId="1DA5B06E" w:rsidR="00D17312" w:rsidRPr="000973F2" w:rsidRDefault="00D17312" w:rsidP="00107F52">
            <w:pPr>
              <w:spacing w:before="40" w:after="40"/>
              <w:rPr>
                <w:rFonts w:ascii="Times New Roman" w:eastAsia="Times New Roman" w:hAnsi="Times New Roman" w:cs="Times New Roman"/>
                <w:b w:val="0"/>
                <w:bCs w:val="0"/>
                <w:sz w:val="18"/>
                <w:szCs w:val="18"/>
              </w:rPr>
            </w:pPr>
            <w:r w:rsidRPr="000973F2">
              <w:rPr>
                <w:rFonts w:ascii="Times New Roman" w:eastAsia="Times New Roman" w:hAnsi="Times New Roman" w:cs="Times New Roman"/>
                <w:sz w:val="18"/>
                <w:szCs w:val="18"/>
              </w:rPr>
              <w:t>Activity</w:t>
            </w:r>
          </w:p>
        </w:tc>
        <w:tc>
          <w:tcPr>
            <w:tcW w:w="4936" w:type="dxa"/>
            <w:gridSpan w:val="4"/>
            <w:noWrap/>
            <w:hideMark/>
          </w:tcPr>
          <w:p w14:paraId="1A806809" w14:textId="77777777" w:rsidR="00D17312" w:rsidRPr="000973F2" w:rsidRDefault="00D17312" w:rsidP="00107F52">
            <w:pPr>
              <w:spacing w:before="40" w:after="40"/>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bCs w:val="0"/>
                <w:sz w:val="18"/>
                <w:szCs w:val="18"/>
              </w:rPr>
            </w:pPr>
            <w:r w:rsidRPr="000973F2">
              <w:rPr>
                <w:rFonts w:ascii="Times New Roman" w:eastAsia="Times New Roman" w:hAnsi="Times New Roman" w:cs="Times New Roman"/>
                <w:sz w:val="18"/>
                <w:szCs w:val="18"/>
              </w:rPr>
              <w:t>Cost Categories</w:t>
            </w:r>
          </w:p>
        </w:tc>
        <w:tc>
          <w:tcPr>
            <w:tcW w:w="2505" w:type="dxa"/>
            <w:gridSpan w:val="2"/>
            <w:hideMark/>
          </w:tcPr>
          <w:p w14:paraId="4B23CF0D" w14:textId="77777777" w:rsidR="00D17312" w:rsidRPr="000973F2" w:rsidRDefault="00D17312" w:rsidP="00107F52">
            <w:pPr>
              <w:spacing w:before="40" w:after="40"/>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bCs w:val="0"/>
                <w:sz w:val="18"/>
                <w:szCs w:val="18"/>
              </w:rPr>
            </w:pPr>
            <w:r w:rsidRPr="000973F2">
              <w:rPr>
                <w:rFonts w:ascii="Times New Roman" w:eastAsia="Times New Roman" w:hAnsi="Times New Roman" w:cs="Times New Roman"/>
                <w:sz w:val="18"/>
                <w:szCs w:val="18"/>
              </w:rPr>
              <w:t>Total Capital and O&amp;M Cost per Year per Facility (2017$)</w:t>
            </w:r>
          </w:p>
        </w:tc>
      </w:tr>
      <w:tr w:rsidR="00B1422B" w:rsidRPr="000973F2" w14:paraId="71EDE4D8" w14:textId="77777777" w:rsidTr="00107F52">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1889" w:type="dxa"/>
            <w:vMerge/>
            <w:noWrap/>
            <w:hideMark/>
          </w:tcPr>
          <w:p w14:paraId="01A12A27" w14:textId="50B7D364" w:rsidR="00D17312" w:rsidRPr="000973F2" w:rsidRDefault="00D17312" w:rsidP="00107F52">
            <w:pPr>
              <w:spacing w:before="40" w:after="40"/>
              <w:jc w:val="center"/>
              <w:rPr>
                <w:rFonts w:ascii="Times New Roman" w:eastAsia="Times New Roman" w:hAnsi="Times New Roman" w:cs="Times New Roman"/>
                <w:b/>
                <w:bCs w:val="0"/>
                <w:sz w:val="18"/>
                <w:szCs w:val="18"/>
              </w:rPr>
            </w:pPr>
          </w:p>
        </w:tc>
        <w:tc>
          <w:tcPr>
            <w:tcW w:w="1240" w:type="dxa"/>
            <w:hideMark/>
          </w:tcPr>
          <w:p w14:paraId="1EDACBEC" w14:textId="77777777" w:rsidR="00D17312" w:rsidRPr="000973F2" w:rsidRDefault="00D17312" w:rsidP="00107F52">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18"/>
                <w:szCs w:val="18"/>
              </w:rPr>
            </w:pPr>
            <w:r w:rsidRPr="000973F2">
              <w:rPr>
                <w:rFonts w:ascii="Times New Roman" w:eastAsia="Times New Roman" w:hAnsi="Times New Roman" w:cs="Times New Roman"/>
                <w:b/>
                <w:bCs/>
                <w:sz w:val="18"/>
                <w:szCs w:val="18"/>
              </w:rPr>
              <w:t>Capital Cost (2017$)</w:t>
            </w:r>
          </w:p>
        </w:tc>
        <w:tc>
          <w:tcPr>
            <w:tcW w:w="1240" w:type="dxa"/>
            <w:hideMark/>
          </w:tcPr>
          <w:p w14:paraId="4ACDE797" w14:textId="77777777" w:rsidR="00D17312" w:rsidRPr="000973F2" w:rsidRDefault="00D17312" w:rsidP="00107F52">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18"/>
                <w:szCs w:val="18"/>
              </w:rPr>
            </w:pPr>
            <w:r w:rsidRPr="000973F2">
              <w:rPr>
                <w:rFonts w:ascii="Times New Roman" w:eastAsia="Times New Roman" w:hAnsi="Times New Roman" w:cs="Times New Roman"/>
                <w:b/>
                <w:bCs/>
                <w:sz w:val="18"/>
                <w:szCs w:val="18"/>
              </w:rPr>
              <w:t>Equipment Lifetime</w:t>
            </w:r>
          </w:p>
        </w:tc>
        <w:tc>
          <w:tcPr>
            <w:tcW w:w="1240" w:type="dxa"/>
            <w:hideMark/>
          </w:tcPr>
          <w:p w14:paraId="583A5C71" w14:textId="77777777" w:rsidR="00D17312" w:rsidRPr="000973F2" w:rsidRDefault="00D17312" w:rsidP="00107F52">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18"/>
                <w:szCs w:val="18"/>
              </w:rPr>
            </w:pPr>
            <w:r w:rsidRPr="000973F2">
              <w:rPr>
                <w:rFonts w:ascii="Times New Roman" w:eastAsia="Times New Roman" w:hAnsi="Times New Roman" w:cs="Times New Roman"/>
                <w:b/>
                <w:bCs/>
                <w:sz w:val="18"/>
                <w:szCs w:val="18"/>
              </w:rPr>
              <w:t>Annualized Capital Cost (2017$/year)</w:t>
            </w:r>
          </w:p>
        </w:tc>
        <w:tc>
          <w:tcPr>
            <w:tcW w:w="1216" w:type="dxa"/>
            <w:hideMark/>
          </w:tcPr>
          <w:p w14:paraId="51F92F45" w14:textId="77777777" w:rsidR="00D17312" w:rsidRPr="000973F2" w:rsidRDefault="00D17312" w:rsidP="00107F52">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18"/>
                <w:szCs w:val="18"/>
              </w:rPr>
            </w:pPr>
            <w:r w:rsidRPr="000973F2">
              <w:rPr>
                <w:rFonts w:ascii="Times New Roman" w:eastAsia="Times New Roman" w:hAnsi="Times New Roman" w:cs="Times New Roman"/>
                <w:b/>
                <w:bCs/>
                <w:sz w:val="18"/>
                <w:szCs w:val="18"/>
              </w:rPr>
              <w:t>O&amp;M Costs (2017$/year)</w:t>
            </w:r>
          </w:p>
        </w:tc>
        <w:tc>
          <w:tcPr>
            <w:tcW w:w="1264" w:type="dxa"/>
            <w:hideMark/>
          </w:tcPr>
          <w:p w14:paraId="5F974A33" w14:textId="77777777" w:rsidR="00D17312" w:rsidRPr="000973F2" w:rsidRDefault="00D17312" w:rsidP="00107F52">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18"/>
                <w:szCs w:val="18"/>
              </w:rPr>
            </w:pPr>
            <w:r w:rsidRPr="000973F2">
              <w:rPr>
                <w:rFonts w:ascii="Times New Roman" w:eastAsia="Times New Roman" w:hAnsi="Times New Roman" w:cs="Times New Roman"/>
                <w:b/>
                <w:bCs/>
                <w:sz w:val="18"/>
                <w:szCs w:val="18"/>
              </w:rPr>
              <w:t>Initial Year</w:t>
            </w:r>
          </w:p>
        </w:tc>
        <w:tc>
          <w:tcPr>
            <w:tcW w:w="1241" w:type="dxa"/>
            <w:hideMark/>
          </w:tcPr>
          <w:p w14:paraId="4A066217" w14:textId="77777777" w:rsidR="00D17312" w:rsidRPr="000973F2" w:rsidRDefault="00D17312" w:rsidP="00107F52">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18"/>
                <w:szCs w:val="18"/>
              </w:rPr>
            </w:pPr>
            <w:r w:rsidRPr="000973F2">
              <w:rPr>
                <w:rFonts w:ascii="Times New Roman" w:eastAsia="Times New Roman" w:hAnsi="Times New Roman" w:cs="Times New Roman"/>
                <w:b/>
                <w:bCs/>
                <w:sz w:val="18"/>
                <w:szCs w:val="18"/>
              </w:rPr>
              <w:t>Subseq. Years</w:t>
            </w:r>
          </w:p>
        </w:tc>
      </w:tr>
      <w:tr w:rsidR="00107F52" w:rsidRPr="000973F2" w14:paraId="2DBC9183" w14:textId="77777777" w:rsidTr="00107F52">
        <w:trPr>
          <w:cantSplit/>
        </w:trPr>
        <w:tc>
          <w:tcPr>
            <w:cnfStyle w:val="001000000000" w:firstRow="0" w:lastRow="0" w:firstColumn="1" w:lastColumn="0" w:oddVBand="0" w:evenVBand="0" w:oddHBand="0" w:evenHBand="0" w:firstRowFirstColumn="0" w:firstRowLastColumn="0" w:lastRowFirstColumn="0" w:lastRowLastColumn="0"/>
            <w:tcW w:w="1889" w:type="dxa"/>
            <w:hideMark/>
          </w:tcPr>
          <w:p w14:paraId="4E71202A" w14:textId="77777777" w:rsidR="00107F52" w:rsidRPr="000973F2" w:rsidRDefault="00107F52" w:rsidP="00107F52">
            <w:pPr>
              <w:spacing w:before="40" w:after="4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Equipment (selection, purchase, installation)</w:t>
            </w:r>
          </w:p>
        </w:tc>
        <w:tc>
          <w:tcPr>
            <w:tcW w:w="1240" w:type="dxa"/>
            <w:noWrap/>
            <w:hideMark/>
          </w:tcPr>
          <w:p w14:paraId="64EBC219" w14:textId="74B2BF7F" w:rsidR="00107F52" w:rsidRPr="000973F2" w:rsidRDefault="00107F52" w:rsidP="00107F52">
            <w:pPr>
              <w:spacing w:before="40" w:after="4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w:t>
            </w:r>
          </w:p>
        </w:tc>
        <w:tc>
          <w:tcPr>
            <w:tcW w:w="1240" w:type="dxa"/>
            <w:noWrap/>
          </w:tcPr>
          <w:p w14:paraId="438226ED" w14:textId="6091144D" w:rsidR="00107F52" w:rsidRPr="000973F2" w:rsidRDefault="00107F52" w:rsidP="00107F52">
            <w:pPr>
              <w:spacing w:before="40" w:after="4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w:t>
            </w:r>
          </w:p>
        </w:tc>
        <w:tc>
          <w:tcPr>
            <w:tcW w:w="1240" w:type="dxa"/>
            <w:noWrap/>
            <w:hideMark/>
          </w:tcPr>
          <w:p w14:paraId="731C36E0" w14:textId="115E8469" w:rsidR="00107F52" w:rsidRPr="000973F2" w:rsidRDefault="00107F52" w:rsidP="00107F52">
            <w:pPr>
              <w:spacing w:before="40" w:after="4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w:t>
            </w:r>
          </w:p>
        </w:tc>
        <w:tc>
          <w:tcPr>
            <w:tcW w:w="1216" w:type="dxa"/>
            <w:noWrap/>
            <w:hideMark/>
          </w:tcPr>
          <w:p w14:paraId="1C7214FB" w14:textId="40C90514" w:rsidR="00107F52" w:rsidRPr="000973F2" w:rsidRDefault="00107F52" w:rsidP="00107F52">
            <w:pPr>
              <w:spacing w:before="40" w:after="4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w:t>
            </w:r>
          </w:p>
        </w:tc>
        <w:tc>
          <w:tcPr>
            <w:tcW w:w="1264" w:type="dxa"/>
            <w:noWrap/>
            <w:hideMark/>
          </w:tcPr>
          <w:p w14:paraId="5F9BA059" w14:textId="7E625043" w:rsidR="00107F52" w:rsidRPr="000973F2" w:rsidRDefault="00107F52" w:rsidP="00107F52">
            <w:pPr>
              <w:spacing w:before="40" w:after="4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w:t>
            </w:r>
          </w:p>
        </w:tc>
        <w:tc>
          <w:tcPr>
            <w:tcW w:w="1241" w:type="dxa"/>
            <w:noWrap/>
            <w:hideMark/>
          </w:tcPr>
          <w:p w14:paraId="706354E4" w14:textId="05B6A6AC" w:rsidR="00107F52" w:rsidRPr="000973F2" w:rsidRDefault="00107F52" w:rsidP="00107F52">
            <w:pPr>
              <w:spacing w:before="40" w:after="4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w:t>
            </w:r>
          </w:p>
        </w:tc>
      </w:tr>
      <w:tr w:rsidR="00107F52" w:rsidRPr="000973F2" w14:paraId="0341990A" w14:textId="77777777" w:rsidTr="00107F52">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1889" w:type="dxa"/>
            <w:hideMark/>
          </w:tcPr>
          <w:p w14:paraId="36270A9C" w14:textId="77777777" w:rsidR="00107F52" w:rsidRPr="000973F2" w:rsidRDefault="00107F52" w:rsidP="00107F52">
            <w:pPr>
              <w:spacing w:before="40" w:after="4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Performance testing</w:t>
            </w:r>
          </w:p>
        </w:tc>
        <w:tc>
          <w:tcPr>
            <w:tcW w:w="1240" w:type="dxa"/>
            <w:noWrap/>
            <w:hideMark/>
          </w:tcPr>
          <w:p w14:paraId="12CEC91C" w14:textId="4EBDC08F" w:rsidR="00107F52" w:rsidRPr="000973F2" w:rsidRDefault="00107F52" w:rsidP="00107F52">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w:t>
            </w:r>
          </w:p>
        </w:tc>
        <w:tc>
          <w:tcPr>
            <w:tcW w:w="1240" w:type="dxa"/>
            <w:noWrap/>
          </w:tcPr>
          <w:p w14:paraId="2205E0C2" w14:textId="38C4AC75" w:rsidR="00107F52" w:rsidRPr="000973F2" w:rsidRDefault="00107F52" w:rsidP="00107F52">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w:t>
            </w:r>
          </w:p>
        </w:tc>
        <w:tc>
          <w:tcPr>
            <w:tcW w:w="1240" w:type="dxa"/>
            <w:noWrap/>
            <w:hideMark/>
          </w:tcPr>
          <w:p w14:paraId="568C450C" w14:textId="155D0843" w:rsidR="00107F52" w:rsidRPr="000973F2" w:rsidRDefault="00107F52" w:rsidP="00107F52">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w:t>
            </w:r>
          </w:p>
        </w:tc>
        <w:tc>
          <w:tcPr>
            <w:tcW w:w="1216" w:type="dxa"/>
            <w:noWrap/>
            <w:hideMark/>
          </w:tcPr>
          <w:p w14:paraId="5E41BDA4" w14:textId="4C1E5904" w:rsidR="00107F52" w:rsidRPr="000973F2" w:rsidRDefault="00107F52" w:rsidP="00107F52">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w:t>
            </w:r>
          </w:p>
        </w:tc>
        <w:tc>
          <w:tcPr>
            <w:tcW w:w="1264" w:type="dxa"/>
            <w:noWrap/>
            <w:hideMark/>
          </w:tcPr>
          <w:p w14:paraId="1B152614" w14:textId="5E7C5565" w:rsidR="00107F52" w:rsidRPr="000973F2" w:rsidRDefault="00107F52" w:rsidP="00107F52">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w:t>
            </w:r>
          </w:p>
        </w:tc>
        <w:tc>
          <w:tcPr>
            <w:tcW w:w="1241" w:type="dxa"/>
            <w:noWrap/>
            <w:hideMark/>
          </w:tcPr>
          <w:p w14:paraId="15629D84" w14:textId="5AED32FF" w:rsidR="00107F52" w:rsidRPr="000973F2" w:rsidRDefault="00107F52" w:rsidP="00107F52">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w:t>
            </w:r>
          </w:p>
        </w:tc>
      </w:tr>
      <w:tr w:rsidR="00C600D9" w:rsidRPr="000973F2" w14:paraId="16146EF2" w14:textId="77777777" w:rsidTr="00107F52">
        <w:trPr>
          <w:cantSplit/>
        </w:trPr>
        <w:tc>
          <w:tcPr>
            <w:cnfStyle w:val="001000000000" w:firstRow="0" w:lastRow="0" w:firstColumn="1" w:lastColumn="0" w:oddVBand="0" w:evenVBand="0" w:oddHBand="0" w:evenHBand="0" w:firstRowFirstColumn="0" w:firstRowLastColumn="0" w:lastRowFirstColumn="0" w:lastRowLastColumn="0"/>
            <w:tcW w:w="1889" w:type="dxa"/>
            <w:hideMark/>
          </w:tcPr>
          <w:p w14:paraId="0698BE12" w14:textId="77777777" w:rsidR="00C600D9" w:rsidRPr="000973F2" w:rsidRDefault="00C600D9" w:rsidP="00107F52">
            <w:pPr>
              <w:spacing w:before="40" w:after="4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Recordkeeping</w:t>
            </w:r>
          </w:p>
        </w:tc>
        <w:tc>
          <w:tcPr>
            <w:tcW w:w="1240" w:type="dxa"/>
            <w:noWrap/>
            <w:hideMark/>
          </w:tcPr>
          <w:p w14:paraId="2CC07D2D" w14:textId="77777777" w:rsidR="00C600D9" w:rsidRPr="000973F2" w:rsidRDefault="00C600D9" w:rsidP="00107F52">
            <w:pPr>
              <w:spacing w:before="40" w:after="4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$0</w:t>
            </w:r>
          </w:p>
        </w:tc>
        <w:tc>
          <w:tcPr>
            <w:tcW w:w="1240" w:type="dxa"/>
            <w:noWrap/>
          </w:tcPr>
          <w:p w14:paraId="6F8F0080" w14:textId="77777777" w:rsidR="00C600D9" w:rsidRPr="000973F2" w:rsidRDefault="00C600D9" w:rsidP="00107F52">
            <w:pPr>
              <w:spacing w:before="40" w:after="4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p>
        </w:tc>
        <w:tc>
          <w:tcPr>
            <w:tcW w:w="1240" w:type="dxa"/>
            <w:noWrap/>
            <w:hideMark/>
          </w:tcPr>
          <w:p w14:paraId="5C13254C" w14:textId="77777777" w:rsidR="00C600D9" w:rsidRPr="000973F2" w:rsidRDefault="00C600D9" w:rsidP="00107F52">
            <w:pPr>
              <w:spacing w:before="40" w:after="4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$0</w:t>
            </w:r>
          </w:p>
        </w:tc>
        <w:tc>
          <w:tcPr>
            <w:tcW w:w="1216" w:type="dxa"/>
            <w:noWrap/>
            <w:hideMark/>
          </w:tcPr>
          <w:p w14:paraId="658AC154" w14:textId="77777777" w:rsidR="00C600D9" w:rsidRPr="000973F2" w:rsidRDefault="00C600D9" w:rsidP="00107F52">
            <w:pPr>
              <w:spacing w:before="40" w:after="4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$50</w:t>
            </w:r>
          </w:p>
        </w:tc>
        <w:tc>
          <w:tcPr>
            <w:tcW w:w="1264" w:type="dxa"/>
            <w:noWrap/>
            <w:hideMark/>
          </w:tcPr>
          <w:p w14:paraId="1727A2DD" w14:textId="77777777" w:rsidR="00C600D9" w:rsidRPr="000973F2" w:rsidRDefault="00C600D9" w:rsidP="00107F52">
            <w:pPr>
              <w:spacing w:before="40" w:after="4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$50</w:t>
            </w:r>
          </w:p>
        </w:tc>
        <w:tc>
          <w:tcPr>
            <w:tcW w:w="1241" w:type="dxa"/>
            <w:noWrap/>
            <w:hideMark/>
          </w:tcPr>
          <w:p w14:paraId="669FA89D" w14:textId="77777777" w:rsidR="00C600D9" w:rsidRPr="000973F2" w:rsidRDefault="00C600D9" w:rsidP="00107F52">
            <w:pPr>
              <w:spacing w:before="40" w:after="4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$50</w:t>
            </w:r>
          </w:p>
        </w:tc>
      </w:tr>
      <w:tr w:rsidR="00107F52" w:rsidRPr="000973F2" w14:paraId="5814E738" w14:textId="77777777" w:rsidTr="00107F52">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1889" w:type="dxa"/>
            <w:hideMark/>
          </w:tcPr>
          <w:p w14:paraId="28F10093" w14:textId="77777777" w:rsidR="00107F52" w:rsidRPr="000973F2" w:rsidRDefault="00107F52" w:rsidP="00107F52">
            <w:pPr>
              <w:spacing w:before="40" w:after="4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Travel</w:t>
            </w:r>
          </w:p>
        </w:tc>
        <w:tc>
          <w:tcPr>
            <w:tcW w:w="1240" w:type="dxa"/>
            <w:noWrap/>
            <w:hideMark/>
          </w:tcPr>
          <w:p w14:paraId="40AFC5E5" w14:textId="42109156" w:rsidR="00107F52" w:rsidRPr="000973F2" w:rsidRDefault="00107F52" w:rsidP="00107F52">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w:t>
            </w:r>
          </w:p>
        </w:tc>
        <w:tc>
          <w:tcPr>
            <w:tcW w:w="1240" w:type="dxa"/>
            <w:noWrap/>
          </w:tcPr>
          <w:p w14:paraId="3247A866" w14:textId="266A410F" w:rsidR="00107F52" w:rsidRPr="000973F2" w:rsidRDefault="00107F52" w:rsidP="00107F52">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w:t>
            </w:r>
          </w:p>
        </w:tc>
        <w:tc>
          <w:tcPr>
            <w:tcW w:w="1240" w:type="dxa"/>
            <w:noWrap/>
            <w:hideMark/>
          </w:tcPr>
          <w:p w14:paraId="02143277" w14:textId="0AAC2D5A" w:rsidR="00107F52" w:rsidRPr="000973F2" w:rsidRDefault="00107F52" w:rsidP="00107F52">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w:t>
            </w:r>
          </w:p>
        </w:tc>
        <w:tc>
          <w:tcPr>
            <w:tcW w:w="1216" w:type="dxa"/>
            <w:noWrap/>
            <w:hideMark/>
          </w:tcPr>
          <w:p w14:paraId="5BE0B7CD" w14:textId="553D6B7C" w:rsidR="00107F52" w:rsidRPr="000973F2" w:rsidRDefault="00107F52" w:rsidP="00107F52">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w:t>
            </w:r>
          </w:p>
        </w:tc>
        <w:tc>
          <w:tcPr>
            <w:tcW w:w="1264" w:type="dxa"/>
            <w:noWrap/>
            <w:hideMark/>
          </w:tcPr>
          <w:p w14:paraId="56F812A2" w14:textId="59D0C33F" w:rsidR="00107F52" w:rsidRPr="000973F2" w:rsidRDefault="00107F52" w:rsidP="00107F52">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w:t>
            </w:r>
          </w:p>
        </w:tc>
        <w:tc>
          <w:tcPr>
            <w:tcW w:w="1241" w:type="dxa"/>
            <w:noWrap/>
            <w:hideMark/>
          </w:tcPr>
          <w:p w14:paraId="05EFB58F" w14:textId="395D42E4" w:rsidR="00107F52" w:rsidRPr="000973F2" w:rsidRDefault="00107F52" w:rsidP="00107F52">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w:t>
            </w:r>
          </w:p>
        </w:tc>
      </w:tr>
      <w:tr w:rsidR="00107F52" w:rsidRPr="000973F2" w14:paraId="77A9A5FA" w14:textId="77777777" w:rsidTr="00107F52">
        <w:trPr>
          <w:cantSplit/>
        </w:trPr>
        <w:tc>
          <w:tcPr>
            <w:cnfStyle w:val="001000000000" w:firstRow="0" w:lastRow="0" w:firstColumn="1" w:lastColumn="0" w:oddVBand="0" w:evenVBand="0" w:oddHBand="0" w:evenHBand="0" w:firstRowFirstColumn="0" w:firstRowLastColumn="0" w:lastRowFirstColumn="0" w:lastRowLastColumn="0"/>
            <w:tcW w:w="1889" w:type="dxa"/>
            <w:hideMark/>
          </w:tcPr>
          <w:p w14:paraId="34F738FE" w14:textId="7DFDAC3F" w:rsidR="00107F52" w:rsidRPr="000973F2" w:rsidRDefault="00107F52" w:rsidP="00107F52">
            <w:pPr>
              <w:spacing w:before="40" w:after="4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Sampling and Analysis Costs</w:t>
            </w:r>
          </w:p>
        </w:tc>
        <w:tc>
          <w:tcPr>
            <w:tcW w:w="1240" w:type="dxa"/>
            <w:noWrap/>
            <w:hideMark/>
          </w:tcPr>
          <w:p w14:paraId="0B524676" w14:textId="1018E733" w:rsidR="00107F52" w:rsidRPr="000973F2" w:rsidRDefault="00107F52" w:rsidP="00107F52">
            <w:pPr>
              <w:spacing w:before="40" w:after="4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w:t>
            </w:r>
          </w:p>
        </w:tc>
        <w:tc>
          <w:tcPr>
            <w:tcW w:w="1240" w:type="dxa"/>
            <w:noWrap/>
          </w:tcPr>
          <w:p w14:paraId="6E65DCB4" w14:textId="554E9266" w:rsidR="00107F52" w:rsidRPr="000973F2" w:rsidRDefault="00107F52" w:rsidP="00107F52">
            <w:pPr>
              <w:spacing w:before="40" w:after="4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w:t>
            </w:r>
          </w:p>
        </w:tc>
        <w:tc>
          <w:tcPr>
            <w:tcW w:w="1240" w:type="dxa"/>
            <w:noWrap/>
            <w:hideMark/>
          </w:tcPr>
          <w:p w14:paraId="54D0DC4D" w14:textId="683BED5C" w:rsidR="00107F52" w:rsidRPr="000973F2" w:rsidRDefault="00107F52" w:rsidP="00107F52">
            <w:pPr>
              <w:spacing w:before="40" w:after="4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w:t>
            </w:r>
          </w:p>
        </w:tc>
        <w:tc>
          <w:tcPr>
            <w:tcW w:w="1216" w:type="dxa"/>
            <w:noWrap/>
            <w:hideMark/>
          </w:tcPr>
          <w:p w14:paraId="6BA05A00" w14:textId="3E41DFCE" w:rsidR="00107F52" w:rsidRPr="000973F2" w:rsidRDefault="00107F52" w:rsidP="00107F52">
            <w:pPr>
              <w:spacing w:before="40" w:after="4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w:t>
            </w:r>
          </w:p>
        </w:tc>
        <w:tc>
          <w:tcPr>
            <w:tcW w:w="1264" w:type="dxa"/>
            <w:noWrap/>
            <w:hideMark/>
          </w:tcPr>
          <w:p w14:paraId="01A99EA6" w14:textId="63517A4C" w:rsidR="00107F52" w:rsidRPr="000973F2" w:rsidRDefault="00107F52" w:rsidP="00107F52">
            <w:pPr>
              <w:spacing w:before="40" w:after="4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w:t>
            </w:r>
          </w:p>
        </w:tc>
        <w:tc>
          <w:tcPr>
            <w:tcW w:w="1241" w:type="dxa"/>
            <w:noWrap/>
            <w:hideMark/>
          </w:tcPr>
          <w:p w14:paraId="63380877" w14:textId="16F1015E" w:rsidR="00107F52" w:rsidRPr="000973F2" w:rsidRDefault="00107F52" w:rsidP="00107F52">
            <w:pPr>
              <w:spacing w:before="40" w:after="4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w:t>
            </w:r>
          </w:p>
        </w:tc>
      </w:tr>
      <w:tr w:rsidR="00B1422B" w:rsidRPr="000973F2" w14:paraId="4076C256" w14:textId="77777777" w:rsidTr="00107F52">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1889" w:type="dxa"/>
            <w:hideMark/>
          </w:tcPr>
          <w:p w14:paraId="425170F0" w14:textId="77777777" w:rsidR="00C600D9" w:rsidRPr="000973F2" w:rsidRDefault="00C600D9" w:rsidP="00107F52">
            <w:pPr>
              <w:spacing w:before="40" w:after="40"/>
              <w:rPr>
                <w:rFonts w:ascii="Times New Roman" w:eastAsia="Times New Roman" w:hAnsi="Times New Roman" w:cs="Times New Roman"/>
                <w:b/>
                <w:bCs w:val="0"/>
                <w:sz w:val="18"/>
                <w:szCs w:val="18"/>
              </w:rPr>
            </w:pPr>
            <w:r w:rsidRPr="000973F2">
              <w:rPr>
                <w:rFonts w:ascii="Times New Roman" w:eastAsia="Times New Roman" w:hAnsi="Times New Roman" w:cs="Times New Roman"/>
                <w:b/>
                <w:sz w:val="18"/>
                <w:szCs w:val="18"/>
              </w:rPr>
              <w:t xml:space="preserve">Total </w:t>
            </w:r>
          </w:p>
        </w:tc>
        <w:tc>
          <w:tcPr>
            <w:tcW w:w="1240" w:type="dxa"/>
            <w:noWrap/>
            <w:hideMark/>
          </w:tcPr>
          <w:p w14:paraId="4966909D" w14:textId="77777777" w:rsidR="00C600D9" w:rsidRPr="000973F2" w:rsidRDefault="00C600D9" w:rsidP="00107F52">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$0</w:t>
            </w:r>
          </w:p>
        </w:tc>
        <w:tc>
          <w:tcPr>
            <w:tcW w:w="1240" w:type="dxa"/>
            <w:noWrap/>
          </w:tcPr>
          <w:p w14:paraId="7EC6A050" w14:textId="4AC024E7" w:rsidR="00C600D9" w:rsidRPr="000973F2" w:rsidRDefault="00C600D9" w:rsidP="00107F52">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p>
        </w:tc>
        <w:tc>
          <w:tcPr>
            <w:tcW w:w="1240" w:type="dxa"/>
            <w:noWrap/>
            <w:hideMark/>
          </w:tcPr>
          <w:p w14:paraId="25010FA1" w14:textId="77777777" w:rsidR="00C600D9" w:rsidRPr="000973F2" w:rsidRDefault="00C600D9" w:rsidP="00107F52">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$0</w:t>
            </w:r>
          </w:p>
        </w:tc>
        <w:tc>
          <w:tcPr>
            <w:tcW w:w="1216" w:type="dxa"/>
            <w:noWrap/>
            <w:hideMark/>
          </w:tcPr>
          <w:p w14:paraId="34C162FD" w14:textId="77777777" w:rsidR="00C600D9" w:rsidRPr="000973F2" w:rsidRDefault="00C600D9" w:rsidP="00107F52">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$145</w:t>
            </w:r>
          </w:p>
        </w:tc>
        <w:tc>
          <w:tcPr>
            <w:tcW w:w="1264" w:type="dxa"/>
            <w:noWrap/>
            <w:hideMark/>
          </w:tcPr>
          <w:p w14:paraId="79FF5308" w14:textId="77777777" w:rsidR="00C600D9" w:rsidRPr="000973F2" w:rsidRDefault="00C600D9" w:rsidP="00107F52">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$145</w:t>
            </w:r>
          </w:p>
        </w:tc>
        <w:tc>
          <w:tcPr>
            <w:tcW w:w="1241" w:type="dxa"/>
            <w:noWrap/>
            <w:hideMark/>
          </w:tcPr>
          <w:p w14:paraId="532152EA" w14:textId="77777777" w:rsidR="00C600D9" w:rsidRPr="000973F2" w:rsidRDefault="00C600D9" w:rsidP="00107F52">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$50</w:t>
            </w:r>
          </w:p>
        </w:tc>
      </w:tr>
    </w:tbl>
    <w:p w14:paraId="270A233A" w14:textId="77777777" w:rsidR="00C600D9" w:rsidRPr="000973F2" w:rsidRDefault="00C600D9" w:rsidP="00107F52">
      <w:pPr>
        <w:pStyle w:val="AfterTable"/>
        <w:spacing w:after="120"/>
      </w:pPr>
    </w:p>
    <w:p w14:paraId="624BB056" w14:textId="55A83671" w:rsidR="00C600D9" w:rsidRPr="000973F2" w:rsidRDefault="00C600D9" w:rsidP="00107F52">
      <w:pPr>
        <w:pStyle w:val="Heading2"/>
      </w:pPr>
      <w:r w:rsidRPr="000973F2">
        <w:t>Total Costs for Subpart TT</w:t>
      </w:r>
    </w:p>
    <w:p w14:paraId="7B59D116" w14:textId="42093876" w:rsidR="00C600D9" w:rsidRPr="000973F2" w:rsidRDefault="00C600D9" w:rsidP="00107F52">
      <w:pPr>
        <w:pStyle w:val="BodyText"/>
        <w:rPr>
          <w:color w:val="000000"/>
        </w:rPr>
      </w:pPr>
      <w:r w:rsidRPr="000973F2">
        <w:t xml:space="preserve">The total industry costs related to Subpart TT average approximately $669,000 per year for existing sources and approximately $4,900 per year for new sources, for a total of </w:t>
      </w:r>
      <w:r w:rsidR="008E6C02" w:rsidRPr="000973F2">
        <w:t>$</w:t>
      </w:r>
      <w:r w:rsidR="00AF3F52" w:rsidRPr="000973F2">
        <w:t>674,000</w:t>
      </w:r>
      <w:r w:rsidR="008E6C02" w:rsidRPr="000973F2">
        <w:t xml:space="preserve"> per year and </w:t>
      </w:r>
      <w:r w:rsidRPr="000973F2">
        <w:t>$2,02</w:t>
      </w:r>
      <w:r w:rsidR="0086265B" w:rsidRPr="000973F2">
        <w:t>3</w:t>
      </w:r>
      <w:r w:rsidRPr="000973F2">
        <w:t>,000 over the three-year period of the ICR. Total costs are based on 173 facilities in 2019, 174 in 2020, and 175 in 2021, which accounts for 1 new facility per year.</w:t>
      </w:r>
      <w:r w:rsidRPr="000973F2">
        <w:rPr>
          <w:color w:val="000000"/>
        </w:rPr>
        <w:br w:type="page"/>
      </w:r>
    </w:p>
    <w:p w14:paraId="5AA1726E" w14:textId="76C7D4A4" w:rsidR="00027595" w:rsidRPr="000973F2" w:rsidRDefault="00027595" w:rsidP="00107F52">
      <w:pPr>
        <w:pStyle w:val="Heading1"/>
      </w:pPr>
      <w:bookmarkStart w:id="79" w:name="_Toc10715636"/>
      <w:r w:rsidRPr="000973F2">
        <w:t>Cost Appendix</w:t>
      </w:r>
      <w:r w:rsidR="00C779C1" w:rsidRPr="000973F2">
        <w:t xml:space="preserve"> for</w:t>
      </w:r>
      <w:r w:rsidRPr="000973F2">
        <w:t xml:space="preserve"> Subpart UU – Injection of Carbon Dioxide</w:t>
      </w:r>
      <w:bookmarkEnd w:id="79"/>
    </w:p>
    <w:p w14:paraId="7EAFDAD8" w14:textId="77777777" w:rsidR="00027595" w:rsidRPr="000973F2" w:rsidRDefault="00027595" w:rsidP="00107F52">
      <w:pPr>
        <w:pStyle w:val="Heading2"/>
      </w:pPr>
      <w:r w:rsidRPr="000973F2">
        <w:t>Description of Subpart UU</w:t>
      </w:r>
    </w:p>
    <w:p w14:paraId="3B6B9E75" w14:textId="67DB2D58" w:rsidR="00027595" w:rsidRPr="000973F2" w:rsidRDefault="00027595" w:rsidP="00107F52">
      <w:pPr>
        <w:pStyle w:val="BodyText"/>
      </w:pPr>
      <w:r w:rsidRPr="000973F2">
        <w:t>For purposes of the GHGRP, injection of carbon dioxide (CO</w:t>
      </w:r>
      <w:r w:rsidRPr="000973F2">
        <w:rPr>
          <w:vertAlign w:val="subscript"/>
        </w:rPr>
        <w:t>2</w:t>
      </w:r>
      <w:r w:rsidRPr="000973F2">
        <w:t>) refers to any well or group of wells that inject a CO</w:t>
      </w:r>
      <w:r w:rsidRPr="000973F2">
        <w:rPr>
          <w:vertAlign w:val="subscript"/>
        </w:rPr>
        <w:t>2</w:t>
      </w:r>
      <w:r w:rsidRPr="000973F2">
        <w:t xml:space="preserve"> stream into the subsurface. Subpart UU requires reporting of GHG from facilities that inject </w:t>
      </w:r>
      <w:r w:rsidR="00953736" w:rsidRPr="000973F2">
        <w:t>CO</w:t>
      </w:r>
      <w:r w:rsidR="00953736" w:rsidRPr="000973F2">
        <w:rPr>
          <w:vertAlign w:val="subscript"/>
        </w:rPr>
        <w:t>2</w:t>
      </w:r>
      <w:r w:rsidRPr="000973F2">
        <w:t xml:space="preserve"> underground for the purposes of enhanced oil and gas recovery or any purpose other than geologic sequestration. Injection purposes other than enhanced oil and gas recovery include acid gas injection/disposal and carbon storage research and development. In </w:t>
      </w:r>
      <w:r w:rsidR="002223B0" w:rsidRPr="000973F2">
        <w:t>RY</w:t>
      </w:r>
      <w:r w:rsidRPr="000973F2">
        <w:t>2017, most of the CO</w:t>
      </w:r>
      <w:r w:rsidRPr="000973F2">
        <w:rPr>
          <w:vertAlign w:val="subscript"/>
        </w:rPr>
        <w:t>2</w:t>
      </w:r>
      <w:r w:rsidRPr="000973F2">
        <w:t xml:space="preserve"> injected underground was received for enhanced oil and gas recovery. Acid gas injection/disposal was the second most common end use.</w:t>
      </w:r>
    </w:p>
    <w:p w14:paraId="2AAAD070" w14:textId="06675647" w:rsidR="00027595" w:rsidRPr="000973F2" w:rsidRDefault="00027595" w:rsidP="00107F52">
      <w:pPr>
        <w:pStyle w:val="BodyText"/>
      </w:pPr>
      <w:r w:rsidRPr="000973F2">
        <w:t xml:space="preserve">In </w:t>
      </w:r>
      <w:r w:rsidR="002223B0" w:rsidRPr="000973F2">
        <w:t>RY</w:t>
      </w:r>
      <w:r w:rsidRPr="000973F2">
        <w:t xml:space="preserve">2017, 95 facilities reported for Subpart UU. No new facilities are expected to report during the </w:t>
      </w:r>
      <w:r w:rsidR="002223B0" w:rsidRPr="000973F2">
        <w:t>three-</w:t>
      </w:r>
      <w:r w:rsidRPr="000973F2">
        <w:t>year</w:t>
      </w:r>
      <w:r w:rsidR="002223B0" w:rsidRPr="000973F2">
        <w:t xml:space="preserve"> period covered by this ICR</w:t>
      </w:r>
      <w:r w:rsidRPr="000973F2">
        <w:t>. Initial year costs apply to new facilities; therefore, those costs are zero in the tables below.</w:t>
      </w:r>
    </w:p>
    <w:p w14:paraId="23317E29" w14:textId="77777777" w:rsidR="00027595" w:rsidRPr="000973F2" w:rsidRDefault="00027595" w:rsidP="00107F52">
      <w:pPr>
        <w:pStyle w:val="Heading2"/>
      </w:pPr>
      <w:r w:rsidRPr="000973F2">
        <w:t>Labor Costs for Subpart UU</w:t>
      </w:r>
    </w:p>
    <w:p w14:paraId="3CC1BB4B" w14:textId="7D7F0158" w:rsidR="00027595" w:rsidRPr="000973F2" w:rsidRDefault="00027595" w:rsidP="00107F52">
      <w:pPr>
        <w:pStyle w:val="BodyText"/>
      </w:pPr>
      <w:r w:rsidRPr="000973F2">
        <w:t xml:space="preserve">Table </w:t>
      </w:r>
      <w:r w:rsidR="00107F52" w:rsidRPr="000973F2">
        <w:t>UU-</w:t>
      </w:r>
      <w:r w:rsidRPr="000973F2">
        <w:t xml:space="preserve">1 below includes the labor hours for Subpart UU. Typical activities for each of the labor activities are discussed in the Cost Appendix Introduction. No planning or QA/QC labor hours are expected . Recordkeeping and </w:t>
      </w:r>
      <w:r w:rsidR="002223B0" w:rsidRPr="000973F2">
        <w:t>r</w:t>
      </w:r>
      <w:r w:rsidRPr="000973F2">
        <w:t xml:space="preserve">eporting hours </w:t>
      </w:r>
      <w:r w:rsidR="002E2424" w:rsidRPr="000973F2">
        <w:t xml:space="preserve">are based on </w:t>
      </w:r>
      <w:r w:rsidRPr="000973F2">
        <w:t>the “</w:t>
      </w:r>
      <w:r w:rsidR="002E2424" w:rsidRPr="000973F2">
        <w:t>l</w:t>
      </w:r>
      <w:r w:rsidRPr="000973F2">
        <w:t xml:space="preserve">ow </w:t>
      </w:r>
      <w:r w:rsidR="002E2424" w:rsidRPr="000973F2">
        <w:t>b</w:t>
      </w:r>
      <w:r w:rsidRPr="000973F2">
        <w:t>in”</w:t>
      </w:r>
      <w:r w:rsidR="002E2424" w:rsidRPr="000973F2">
        <w:t xml:space="preserve"> designation </w:t>
      </w:r>
      <w:r w:rsidRPr="000973F2">
        <w:t xml:space="preserve">as discussed in the Cost Appendix Introduction. Sampling and </w:t>
      </w:r>
      <w:r w:rsidR="002223B0" w:rsidRPr="000973F2">
        <w:t>a</w:t>
      </w:r>
      <w:r w:rsidRPr="000973F2">
        <w:t>nalysis (</w:t>
      </w:r>
      <w:r w:rsidR="002223B0" w:rsidRPr="000973F2">
        <w:t>c</w:t>
      </w:r>
      <w:r w:rsidRPr="000973F2">
        <w:t xml:space="preserve">alculations) hours include completion of the measurements and calculations in §98.473 and §98.474, including calculation of </w:t>
      </w:r>
      <w:r w:rsidR="00953736" w:rsidRPr="000973F2">
        <w:t>CO</w:t>
      </w:r>
      <w:r w:rsidR="00953736" w:rsidRPr="000973F2">
        <w:rPr>
          <w:vertAlign w:val="subscript"/>
        </w:rPr>
        <w:t>2</w:t>
      </w:r>
      <w:r w:rsidRPr="000973F2">
        <w:t xml:space="preserve"> injection volumes.</w:t>
      </w:r>
    </w:p>
    <w:p w14:paraId="45D2B242" w14:textId="29CB42C2" w:rsidR="00027595" w:rsidRPr="000973F2" w:rsidRDefault="00015FAC" w:rsidP="00107F52">
      <w:pPr>
        <w:pStyle w:val="Tabletitle"/>
      </w:pPr>
      <w:r w:rsidRPr="000973F2">
        <w:t xml:space="preserve">Table </w:t>
      </w:r>
      <w:r w:rsidR="00107F52" w:rsidRPr="000973F2">
        <w:t>UU-</w:t>
      </w:r>
      <w:r w:rsidRPr="000973F2">
        <w:t xml:space="preserve">1. Labor Costs </w:t>
      </w:r>
      <w:r w:rsidR="00B960CC" w:rsidRPr="000973F2">
        <w:t>–</w:t>
      </w:r>
      <w:r w:rsidRPr="000973F2">
        <w:t xml:space="preserve"> </w:t>
      </w:r>
      <w:r w:rsidR="00027595" w:rsidRPr="000973F2">
        <w:t>Subpart UU</w:t>
      </w:r>
    </w:p>
    <w:tbl>
      <w:tblPr>
        <w:tblStyle w:val="PlainTable1"/>
        <w:tblW w:w="5000" w:type="pct"/>
        <w:jc w:val="left"/>
        <w:tblLayout w:type="fixed"/>
        <w:tblCellMar>
          <w:left w:w="115" w:type="dxa"/>
          <w:right w:w="115" w:type="dxa"/>
        </w:tblCellMar>
        <w:tblLook w:val="04A0" w:firstRow="1" w:lastRow="0" w:firstColumn="1" w:lastColumn="0" w:noHBand="0" w:noVBand="1"/>
      </w:tblPr>
      <w:tblGrid>
        <w:gridCol w:w="1464"/>
        <w:gridCol w:w="797"/>
        <w:gridCol w:w="797"/>
        <w:gridCol w:w="797"/>
        <w:gridCol w:w="798"/>
        <w:gridCol w:w="798"/>
        <w:gridCol w:w="798"/>
        <w:gridCol w:w="798"/>
        <w:gridCol w:w="799"/>
        <w:gridCol w:w="872"/>
        <w:gridCol w:w="872"/>
      </w:tblGrid>
      <w:tr w:rsidR="00150C73" w:rsidRPr="000973F2" w14:paraId="7F59BB58" w14:textId="77777777" w:rsidTr="00107F52">
        <w:trPr>
          <w:cnfStyle w:val="100000000000" w:firstRow="1" w:lastRow="0" w:firstColumn="0" w:lastColumn="0" w:oddVBand="0" w:evenVBand="0" w:oddHBand="0" w:evenHBand="0" w:firstRowFirstColumn="0" w:firstRowLastColumn="0" w:lastRowFirstColumn="0" w:lastRowLastColumn="0"/>
          <w:cantSplit/>
          <w:jc w:val="left"/>
        </w:trPr>
        <w:tc>
          <w:tcPr>
            <w:cnfStyle w:val="001000000000" w:firstRow="0" w:lastRow="0" w:firstColumn="1" w:lastColumn="0" w:oddVBand="0" w:evenVBand="0" w:oddHBand="0" w:evenHBand="0" w:firstRowFirstColumn="0" w:firstRowLastColumn="0" w:lastRowFirstColumn="0" w:lastRowLastColumn="0"/>
            <w:tcW w:w="1425" w:type="dxa"/>
            <w:vMerge w:val="restart"/>
            <w:noWrap/>
            <w:vAlign w:val="top"/>
            <w:hideMark/>
          </w:tcPr>
          <w:p w14:paraId="3F0D79CC" w14:textId="77777777" w:rsidR="00027595" w:rsidRPr="000973F2" w:rsidRDefault="00027595" w:rsidP="009568B3">
            <w:pPr>
              <w:spacing w:before="40" w:after="40"/>
              <w:rPr>
                <w:rFonts w:ascii="Times New Roman" w:eastAsia="Times New Roman" w:hAnsi="Times New Roman" w:cs="Times New Roman"/>
                <w:b w:val="0"/>
                <w:bCs w:val="0"/>
                <w:sz w:val="18"/>
                <w:szCs w:val="18"/>
              </w:rPr>
            </w:pPr>
            <w:r w:rsidRPr="000973F2">
              <w:rPr>
                <w:rFonts w:ascii="Times New Roman" w:eastAsia="Times New Roman" w:hAnsi="Times New Roman" w:cs="Times New Roman"/>
                <w:sz w:val="18"/>
                <w:szCs w:val="18"/>
              </w:rPr>
              <w:t>Activity</w:t>
            </w:r>
          </w:p>
        </w:tc>
        <w:tc>
          <w:tcPr>
            <w:tcW w:w="6209" w:type="dxa"/>
            <w:gridSpan w:val="8"/>
            <w:noWrap/>
            <w:vAlign w:val="top"/>
            <w:hideMark/>
          </w:tcPr>
          <w:p w14:paraId="03066F90" w14:textId="77777777" w:rsidR="00027595" w:rsidRPr="000973F2" w:rsidRDefault="00027595" w:rsidP="009568B3">
            <w:pPr>
              <w:spacing w:before="40" w:after="40"/>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bCs w:val="0"/>
                <w:sz w:val="18"/>
                <w:szCs w:val="18"/>
              </w:rPr>
            </w:pPr>
            <w:r w:rsidRPr="000973F2">
              <w:rPr>
                <w:rFonts w:ascii="Times New Roman" w:eastAsia="Times New Roman" w:hAnsi="Times New Roman" w:cs="Times New Roman"/>
                <w:sz w:val="18"/>
                <w:szCs w:val="18"/>
              </w:rPr>
              <w:t>Labor Rates (per hour)</w:t>
            </w:r>
          </w:p>
        </w:tc>
        <w:tc>
          <w:tcPr>
            <w:tcW w:w="1696" w:type="dxa"/>
            <w:gridSpan w:val="2"/>
            <w:vMerge w:val="restart"/>
            <w:vAlign w:val="top"/>
            <w:hideMark/>
          </w:tcPr>
          <w:p w14:paraId="28F2A2BB" w14:textId="75CCE650" w:rsidR="00027595" w:rsidRPr="000973F2" w:rsidRDefault="00027595" w:rsidP="009568B3">
            <w:pPr>
              <w:spacing w:before="40" w:after="40"/>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bCs w:val="0"/>
                <w:sz w:val="18"/>
                <w:szCs w:val="18"/>
              </w:rPr>
            </w:pPr>
            <w:r w:rsidRPr="000973F2">
              <w:rPr>
                <w:rFonts w:ascii="Times New Roman" w:eastAsia="Times New Roman" w:hAnsi="Times New Roman" w:cs="Times New Roman"/>
                <w:sz w:val="18"/>
                <w:szCs w:val="18"/>
              </w:rPr>
              <w:t>Total Labor Cost per Year per Facility (2017$)</w:t>
            </w:r>
          </w:p>
        </w:tc>
      </w:tr>
      <w:tr w:rsidR="00FA67DC" w:rsidRPr="000973F2" w14:paraId="6898A943" w14:textId="77777777" w:rsidTr="00107F52">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1425" w:type="dxa"/>
            <w:vMerge/>
            <w:hideMark/>
          </w:tcPr>
          <w:p w14:paraId="307526E4" w14:textId="77777777" w:rsidR="00027595" w:rsidRPr="000973F2" w:rsidRDefault="00027595" w:rsidP="009568B3">
            <w:pPr>
              <w:spacing w:before="40" w:after="40"/>
              <w:rPr>
                <w:rFonts w:ascii="Times New Roman" w:eastAsia="Times New Roman" w:hAnsi="Times New Roman" w:cs="Times New Roman"/>
                <w:b/>
                <w:bCs w:val="0"/>
                <w:sz w:val="18"/>
                <w:szCs w:val="18"/>
              </w:rPr>
            </w:pPr>
          </w:p>
        </w:tc>
        <w:tc>
          <w:tcPr>
            <w:tcW w:w="1552" w:type="dxa"/>
            <w:gridSpan w:val="2"/>
            <w:noWrap/>
            <w:hideMark/>
          </w:tcPr>
          <w:p w14:paraId="1961BF7D" w14:textId="77777777" w:rsidR="00027595" w:rsidRPr="000973F2" w:rsidRDefault="00027595" w:rsidP="009568B3">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18"/>
                <w:szCs w:val="18"/>
              </w:rPr>
            </w:pPr>
            <w:r w:rsidRPr="000973F2">
              <w:rPr>
                <w:rFonts w:ascii="Times New Roman" w:eastAsia="Times New Roman" w:hAnsi="Times New Roman" w:cs="Times New Roman"/>
                <w:b/>
                <w:bCs/>
                <w:sz w:val="18"/>
                <w:szCs w:val="18"/>
              </w:rPr>
              <w:t>Lawyer</w:t>
            </w:r>
          </w:p>
        </w:tc>
        <w:tc>
          <w:tcPr>
            <w:tcW w:w="1552" w:type="dxa"/>
            <w:gridSpan w:val="2"/>
            <w:noWrap/>
            <w:hideMark/>
          </w:tcPr>
          <w:p w14:paraId="55FBDCE6" w14:textId="77777777" w:rsidR="00027595" w:rsidRPr="000973F2" w:rsidRDefault="00027595" w:rsidP="009568B3">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18"/>
                <w:szCs w:val="18"/>
              </w:rPr>
            </w:pPr>
            <w:r w:rsidRPr="000973F2">
              <w:rPr>
                <w:rFonts w:ascii="Times New Roman" w:eastAsia="Times New Roman" w:hAnsi="Times New Roman" w:cs="Times New Roman"/>
                <w:b/>
                <w:bCs/>
                <w:sz w:val="18"/>
                <w:szCs w:val="18"/>
              </w:rPr>
              <w:t>Industrial Manager</w:t>
            </w:r>
          </w:p>
        </w:tc>
        <w:tc>
          <w:tcPr>
            <w:tcW w:w="1552" w:type="dxa"/>
            <w:gridSpan w:val="2"/>
            <w:hideMark/>
          </w:tcPr>
          <w:p w14:paraId="3A565020" w14:textId="39EA7FFA" w:rsidR="00027595" w:rsidRPr="000973F2" w:rsidRDefault="00027595" w:rsidP="009568B3">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18"/>
                <w:szCs w:val="18"/>
              </w:rPr>
            </w:pPr>
            <w:r w:rsidRPr="000973F2">
              <w:rPr>
                <w:rFonts w:ascii="Times New Roman" w:eastAsia="Times New Roman" w:hAnsi="Times New Roman" w:cs="Times New Roman"/>
                <w:b/>
                <w:bCs/>
                <w:sz w:val="18"/>
                <w:szCs w:val="18"/>
              </w:rPr>
              <w:t>Industrial Engineer/</w:t>
            </w:r>
            <w:r w:rsidR="009568B3" w:rsidRPr="000973F2">
              <w:rPr>
                <w:rFonts w:ascii="Times New Roman" w:eastAsia="Times New Roman" w:hAnsi="Times New Roman" w:cs="Times New Roman"/>
                <w:b/>
                <w:bCs/>
                <w:sz w:val="18"/>
                <w:szCs w:val="18"/>
              </w:rPr>
              <w:t xml:space="preserve"> </w:t>
            </w:r>
            <w:r w:rsidRPr="000973F2">
              <w:rPr>
                <w:rFonts w:ascii="Times New Roman" w:eastAsia="Times New Roman" w:hAnsi="Times New Roman" w:cs="Times New Roman"/>
                <w:b/>
                <w:bCs/>
                <w:sz w:val="18"/>
                <w:szCs w:val="18"/>
              </w:rPr>
              <w:t>Technician</w:t>
            </w:r>
          </w:p>
        </w:tc>
        <w:tc>
          <w:tcPr>
            <w:tcW w:w="1553" w:type="dxa"/>
            <w:gridSpan w:val="2"/>
            <w:hideMark/>
          </w:tcPr>
          <w:p w14:paraId="1C4CBD09" w14:textId="77777777" w:rsidR="00027595" w:rsidRPr="000973F2" w:rsidRDefault="00027595" w:rsidP="009568B3">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18"/>
                <w:szCs w:val="18"/>
              </w:rPr>
            </w:pPr>
            <w:r w:rsidRPr="000973F2">
              <w:rPr>
                <w:rFonts w:ascii="Times New Roman" w:eastAsia="Times New Roman" w:hAnsi="Times New Roman" w:cs="Times New Roman"/>
                <w:b/>
                <w:bCs/>
                <w:sz w:val="18"/>
                <w:szCs w:val="18"/>
              </w:rPr>
              <w:t>Administrative Support</w:t>
            </w:r>
          </w:p>
        </w:tc>
        <w:tc>
          <w:tcPr>
            <w:tcW w:w="1696" w:type="dxa"/>
            <w:gridSpan w:val="2"/>
            <w:vMerge/>
            <w:hideMark/>
          </w:tcPr>
          <w:p w14:paraId="46FCBAD7" w14:textId="77777777" w:rsidR="00027595" w:rsidRPr="000973F2" w:rsidRDefault="00027595" w:rsidP="009568B3">
            <w:pPr>
              <w:spacing w:before="40" w:after="4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18"/>
                <w:szCs w:val="18"/>
              </w:rPr>
            </w:pPr>
          </w:p>
        </w:tc>
      </w:tr>
      <w:tr w:rsidR="00F00C04" w:rsidRPr="000973F2" w14:paraId="156923AC" w14:textId="77777777" w:rsidTr="00107F52">
        <w:trPr>
          <w:cantSplit/>
        </w:trPr>
        <w:tc>
          <w:tcPr>
            <w:cnfStyle w:val="001000000000" w:firstRow="0" w:lastRow="0" w:firstColumn="1" w:lastColumn="0" w:oddVBand="0" w:evenVBand="0" w:oddHBand="0" w:evenHBand="0" w:firstRowFirstColumn="0" w:firstRowLastColumn="0" w:lastRowFirstColumn="0" w:lastRowLastColumn="0"/>
            <w:tcW w:w="1425" w:type="dxa"/>
            <w:vMerge/>
            <w:hideMark/>
          </w:tcPr>
          <w:p w14:paraId="43A26367" w14:textId="77777777" w:rsidR="00027595" w:rsidRPr="000973F2" w:rsidRDefault="00027595" w:rsidP="009568B3">
            <w:pPr>
              <w:spacing w:before="40" w:after="40"/>
              <w:rPr>
                <w:rFonts w:ascii="Times New Roman" w:eastAsia="Times New Roman" w:hAnsi="Times New Roman" w:cs="Times New Roman"/>
                <w:b/>
                <w:bCs w:val="0"/>
                <w:sz w:val="18"/>
                <w:szCs w:val="18"/>
              </w:rPr>
            </w:pPr>
          </w:p>
        </w:tc>
        <w:tc>
          <w:tcPr>
            <w:tcW w:w="1552" w:type="dxa"/>
            <w:gridSpan w:val="2"/>
            <w:noWrap/>
            <w:hideMark/>
          </w:tcPr>
          <w:p w14:paraId="47CC4E1E" w14:textId="77777777" w:rsidR="00027595" w:rsidRPr="000973F2" w:rsidRDefault="00027595" w:rsidP="009568B3">
            <w:pPr>
              <w:spacing w:before="40" w:after="4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sz w:val="18"/>
                <w:szCs w:val="18"/>
              </w:rPr>
            </w:pPr>
            <w:r w:rsidRPr="000973F2">
              <w:rPr>
                <w:rFonts w:ascii="Times New Roman" w:eastAsia="Times New Roman" w:hAnsi="Times New Roman" w:cs="Times New Roman"/>
                <w:b/>
                <w:bCs/>
                <w:sz w:val="18"/>
                <w:szCs w:val="18"/>
              </w:rPr>
              <w:t xml:space="preserve">$112.23 </w:t>
            </w:r>
          </w:p>
        </w:tc>
        <w:tc>
          <w:tcPr>
            <w:tcW w:w="1552" w:type="dxa"/>
            <w:gridSpan w:val="2"/>
            <w:noWrap/>
            <w:hideMark/>
          </w:tcPr>
          <w:p w14:paraId="03DDBDBA" w14:textId="77777777" w:rsidR="00027595" w:rsidRPr="000973F2" w:rsidRDefault="00027595" w:rsidP="009568B3">
            <w:pPr>
              <w:spacing w:before="40" w:after="4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sz w:val="18"/>
                <w:szCs w:val="18"/>
              </w:rPr>
            </w:pPr>
            <w:r w:rsidRPr="000973F2">
              <w:rPr>
                <w:rFonts w:ascii="Times New Roman" w:eastAsia="Times New Roman" w:hAnsi="Times New Roman" w:cs="Times New Roman"/>
                <w:b/>
                <w:bCs/>
                <w:sz w:val="18"/>
                <w:szCs w:val="18"/>
              </w:rPr>
              <w:t xml:space="preserve">$87.45 </w:t>
            </w:r>
          </w:p>
        </w:tc>
        <w:tc>
          <w:tcPr>
            <w:tcW w:w="1552" w:type="dxa"/>
            <w:gridSpan w:val="2"/>
            <w:noWrap/>
            <w:hideMark/>
          </w:tcPr>
          <w:p w14:paraId="6CC44077" w14:textId="77777777" w:rsidR="00027595" w:rsidRPr="000973F2" w:rsidRDefault="00027595" w:rsidP="009568B3">
            <w:pPr>
              <w:spacing w:before="40" w:after="4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sz w:val="18"/>
                <w:szCs w:val="18"/>
              </w:rPr>
            </w:pPr>
            <w:r w:rsidRPr="000973F2">
              <w:rPr>
                <w:rFonts w:ascii="Times New Roman" w:eastAsia="Times New Roman" w:hAnsi="Times New Roman" w:cs="Times New Roman"/>
                <w:b/>
                <w:bCs/>
                <w:sz w:val="18"/>
                <w:szCs w:val="18"/>
              </w:rPr>
              <w:t xml:space="preserve">$71.45 </w:t>
            </w:r>
          </w:p>
        </w:tc>
        <w:tc>
          <w:tcPr>
            <w:tcW w:w="1553" w:type="dxa"/>
            <w:gridSpan w:val="2"/>
            <w:noWrap/>
            <w:hideMark/>
          </w:tcPr>
          <w:p w14:paraId="3FEA0267" w14:textId="77777777" w:rsidR="00027595" w:rsidRPr="000973F2" w:rsidRDefault="00027595" w:rsidP="009568B3">
            <w:pPr>
              <w:spacing w:before="40" w:after="4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sz w:val="18"/>
                <w:szCs w:val="18"/>
              </w:rPr>
            </w:pPr>
            <w:r w:rsidRPr="000973F2">
              <w:rPr>
                <w:rFonts w:ascii="Times New Roman" w:eastAsia="Times New Roman" w:hAnsi="Times New Roman" w:cs="Times New Roman"/>
                <w:b/>
                <w:bCs/>
                <w:sz w:val="18"/>
                <w:szCs w:val="18"/>
              </w:rPr>
              <w:t xml:space="preserve">$36.28 </w:t>
            </w:r>
          </w:p>
        </w:tc>
        <w:tc>
          <w:tcPr>
            <w:tcW w:w="1696" w:type="dxa"/>
            <w:gridSpan w:val="2"/>
            <w:vMerge/>
            <w:hideMark/>
          </w:tcPr>
          <w:p w14:paraId="0F6AF5EC" w14:textId="77777777" w:rsidR="00027595" w:rsidRPr="000973F2" w:rsidRDefault="00027595" w:rsidP="009568B3">
            <w:pPr>
              <w:spacing w:before="40" w:after="4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sz w:val="18"/>
                <w:szCs w:val="18"/>
              </w:rPr>
            </w:pPr>
          </w:p>
        </w:tc>
      </w:tr>
      <w:tr w:rsidR="008F751E" w:rsidRPr="000973F2" w14:paraId="7A6FC4A8" w14:textId="77777777" w:rsidTr="00107F52">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1425" w:type="dxa"/>
            <w:vMerge/>
            <w:hideMark/>
          </w:tcPr>
          <w:p w14:paraId="7D8A3527" w14:textId="77777777" w:rsidR="00027595" w:rsidRPr="000973F2" w:rsidRDefault="00027595" w:rsidP="009568B3">
            <w:pPr>
              <w:spacing w:before="40" w:after="40"/>
              <w:rPr>
                <w:rFonts w:ascii="Times New Roman" w:eastAsia="Times New Roman" w:hAnsi="Times New Roman" w:cs="Times New Roman"/>
                <w:b/>
                <w:bCs w:val="0"/>
                <w:sz w:val="18"/>
                <w:szCs w:val="18"/>
              </w:rPr>
            </w:pPr>
          </w:p>
        </w:tc>
        <w:tc>
          <w:tcPr>
            <w:tcW w:w="776" w:type="dxa"/>
            <w:tcMar>
              <w:left w:w="14" w:type="dxa"/>
              <w:right w:w="14" w:type="dxa"/>
            </w:tcMar>
            <w:hideMark/>
          </w:tcPr>
          <w:p w14:paraId="626BC60C" w14:textId="7E246032" w:rsidR="00027595" w:rsidRPr="000973F2" w:rsidRDefault="00027595" w:rsidP="009568B3">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18"/>
                <w:szCs w:val="18"/>
              </w:rPr>
            </w:pPr>
            <w:r w:rsidRPr="000973F2">
              <w:rPr>
                <w:rFonts w:ascii="Times New Roman" w:eastAsia="Times New Roman" w:hAnsi="Times New Roman" w:cs="Times New Roman"/>
                <w:b/>
                <w:bCs/>
                <w:sz w:val="18"/>
                <w:szCs w:val="18"/>
              </w:rPr>
              <w:t xml:space="preserve">Initial </w:t>
            </w:r>
            <w:r w:rsidR="00132320" w:rsidRPr="000973F2">
              <w:rPr>
                <w:rFonts w:ascii="Times New Roman" w:eastAsia="Times New Roman" w:hAnsi="Times New Roman" w:cs="Times New Roman"/>
                <w:b/>
                <w:bCs/>
                <w:sz w:val="18"/>
                <w:szCs w:val="18"/>
              </w:rPr>
              <w:t>Year Hours</w:t>
            </w:r>
          </w:p>
        </w:tc>
        <w:tc>
          <w:tcPr>
            <w:tcW w:w="776" w:type="dxa"/>
            <w:tcMar>
              <w:left w:w="14" w:type="dxa"/>
              <w:right w:w="14" w:type="dxa"/>
            </w:tcMar>
            <w:hideMark/>
          </w:tcPr>
          <w:p w14:paraId="315531FB" w14:textId="7ECA6F42" w:rsidR="00027595" w:rsidRPr="000973F2" w:rsidRDefault="00027595" w:rsidP="009568B3">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18"/>
                <w:szCs w:val="18"/>
              </w:rPr>
            </w:pPr>
            <w:r w:rsidRPr="000973F2">
              <w:rPr>
                <w:rFonts w:ascii="Times New Roman" w:eastAsia="Times New Roman" w:hAnsi="Times New Roman" w:cs="Times New Roman"/>
                <w:b/>
                <w:bCs/>
                <w:sz w:val="18"/>
                <w:szCs w:val="18"/>
              </w:rPr>
              <w:t xml:space="preserve">Subseq. </w:t>
            </w:r>
            <w:r w:rsidR="00132320" w:rsidRPr="000973F2">
              <w:rPr>
                <w:rFonts w:ascii="Times New Roman" w:eastAsia="Times New Roman" w:hAnsi="Times New Roman" w:cs="Times New Roman"/>
                <w:b/>
                <w:bCs/>
                <w:sz w:val="18"/>
                <w:szCs w:val="18"/>
              </w:rPr>
              <w:t>Year Hours</w:t>
            </w:r>
          </w:p>
        </w:tc>
        <w:tc>
          <w:tcPr>
            <w:tcW w:w="776" w:type="dxa"/>
            <w:tcMar>
              <w:left w:w="14" w:type="dxa"/>
              <w:right w:w="14" w:type="dxa"/>
            </w:tcMar>
            <w:hideMark/>
          </w:tcPr>
          <w:p w14:paraId="27B367A9" w14:textId="29771904" w:rsidR="00027595" w:rsidRPr="000973F2" w:rsidRDefault="00027595" w:rsidP="009568B3">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18"/>
                <w:szCs w:val="18"/>
              </w:rPr>
            </w:pPr>
            <w:r w:rsidRPr="000973F2">
              <w:rPr>
                <w:rFonts w:ascii="Times New Roman" w:eastAsia="Times New Roman" w:hAnsi="Times New Roman" w:cs="Times New Roman"/>
                <w:b/>
                <w:bCs/>
                <w:sz w:val="18"/>
                <w:szCs w:val="18"/>
              </w:rPr>
              <w:t xml:space="preserve">Initial </w:t>
            </w:r>
            <w:r w:rsidR="00132320" w:rsidRPr="000973F2">
              <w:rPr>
                <w:rFonts w:ascii="Times New Roman" w:eastAsia="Times New Roman" w:hAnsi="Times New Roman" w:cs="Times New Roman"/>
                <w:b/>
                <w:bCs/>
                <w:sz w:val="18"/>
                <w:szCs w:val="18"/>
              </w:rPr>
              <w:t>Year Hours</w:t>
            </w:r>
          </w:p>
        </w:tc>
        <w:tc>
          <w:tcPr>
            <w:tcW w:w="776" w:type="dxa"/>
            <w:tcMar>
              <w:left w:w="14" w:type="dxa"/>
              <w:right w:w="14" w:type="dxa"/>
            </w:tcMar>
            <w:hideMark/>
          </w:tcPr>
          <w:p w14:paraId="1544E420" w14:textId="0D24C38A" w:rsidR="00027595" w:rsidRPr="000973F2" w:rsidRDefault="00027595" w:rsidP="009568B3">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18"/>
                <w:szCs w:val="18"/>
              </w:rPr>
            </w:pPr>
            <w:r w:rsidRPr="000973F2">
              <w:rPr>
                <w:rFonts w:ascii="Times New Roman" w:eastAsia="Times New Roman" w:hAnsi="Times New Roman" w:cs="Times New Roman"/>
                <w:b/>
                <w:bCs/>
                <w:sz w:val="18"/>
                <w:szCs w:val="18"/>
              </w:rPr>
              <w:t xml:space="preserve">Subseq. </w:t>
            </w:r>
            <w:r w:rsidR="00132320" w:rsidRPr="000973F2">
              <w:rPr>
                <w:rFonts w:ascii="Times New Roman" w:eastAsia="Times New Roman" w:hAnsi="Times New Roman" w:cs="Times New Roman"/>
                <w:b/>
                <w:bCs/>
                <w:sz w:val="18"/>
                <w:szCs w:val="18"/>
              </w:rPr>
              <w:t>Year Hours</w:t>
            </w:r>
          </w:p>
        </w:tc>
        <w:tc>
          <w:tcPr>
            <w:tcW w:w="776" w:type="dxa"/>
            <w:tcMar>
              <w:left w:w="14" w:type="dxa"/>
              <w:right w:w="14" w:type="dxa"/>
            </w:tcMar>
            <w:hideMark/>
          </w:tcPr>
          <w:p w14:paraId="36D025AD" w14:textId="5DC6671C" w:rsidR="00027595" w:rsidRPr="000973F2" w:rsidRDefault="00027595" w:rsidP="009568B3">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18"/>
                <w:szCs w:val="18"/>
              </w:rPr>
            </w:pPr>
            <w:r w:rsidRPr="000973F2">
              <w:rPr>
                <w:rFonts w:ascii="Times New Roman" w:eastAsia="Times New Roman" w:hAnsi="Times New Roman" w:cs="Times New Roman"/>
                <w:b/>
                <w:bCs/>
                <w:sz w:val="18"/>
                <w:szCs w:val="18"/>
              </w:rPr>
              <w:t xml:space="preserve">Initial </w:t>
            </w:r>
            <w:r w:rsidR="00132320" w:rsidRPr="000973F2">
              <w:rPr>
                <w:rFonts w:ascii="Times New Roman" w:eastAsia="Times New Roman" w:hAnsi="Times New Roman" w:cs="Times New Roman"/>
                <w:b/>
                <w:bCs/>
                <w:sz w:val="18"/>
                <w:szCs w:val="18"/>
              </w:rPr>
              <w:t>Year Hours</w:t>
            </w:r>
          </w:p>
        </w:tc>
        <w:tc>
          <w:tcPr>
            <w:tcW w:w="776" w:type="dxa"/>
            <w:tcMar>
              <w:left w:w="14" w:type="dxa"/>
              <w:right w:w="14" w:type="dxa"/>
            </w:tcMar>
            <w:hideMark/>
          </w:tcPr>
          <w:p w14:paraId="0790616F" w14:textId="6D960BB7" w:rsidR="00027595" w:rsidRPr="000973F2" w:rsidRDefault="00027595" w:rsidP="009568B3">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18"/>
                <w:szCs w:val="18"/>
              </w:rPr>
            </w:pPr>
            <w:r w:rsidRPr="000973F2">
              <w:rPr>
                <w:rFonts w:ascii="Times New Roman" w:eastAsia="Times New Roman" w:hAnsi="Times New Roman" w:cs="Times New Roman"/>
                <w:b/>
                <w:bCs/>
                <w:sz w:val="18"/>
                <w:szCs w:val="18"/>
              </w:rPr>
              <w:t xml:space="preserve">Subseq. </w:t>
            </w:r>
            <w:r w:rsidR="00132320" w:rsidRPr="000973F2">
              <w:rPr>
                <w:rFonts w:ascii="Times New Roman" w:eastAsia="Times New Roman" w:hAnsi="Times New Roman" w:cs="Times New Roman"/>
                <w:b/>
                <w:bCs/>
                <w:sz w:val="18"/>
                <w:szCs w:val="18"/>
              </w:rPr>
              <w:t>Year Hours</w:t>
            </w:r>
          </w:p>
        </w:tc>
        <w:tc>
          <w:tcPr>
            <w:tcW w:w="776" w:type="dxa"/>
            <w:tcMar>
              <w:left w:w="14" w:type="dxa"/>
              <w:right w:w="14" w:type="dxa"/>
            </w:tcMar>
            <w:hideMark/>
          </w:tcPr>
          <w:p w14:paraId="380B6165" w14:textId="7AFD7616" w:rsidR="00027595" w:rsidRPr="000973F2" w:rsidRDefault="00027595" w:rsidP="009568B3">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18"/>
                <w:szCs w:val="18"/>
              </w:rPr>
            </w:pPr>
            <w:r w:rsidRPr="000973F2">
              <w:rPr>
                <w:rFonts w:ascii="Times New Roman" w:eastAsia="Times New Roman" w:hAnsi="Times New Roman" w:cs="Times New Roman"/>
                <w:b/>
                <w:bCs/>
                <w:sz w:val="18"/>
                <w:szCs w:val="18"/>
              </w:rPr>
              <w:t xml:space="preserve">Initial </w:t>
            </w:r>
            <w:r w:rsidR="00132320" w:rsidRPr="000973F2">
              <w:rPr>
                <w:rFonts w:ascii="Times New Roman" w:eastAsia="Times New Roman" w:hAnsi="Times New Roman" w:cs="Times New Roman"/>
                <w:b/>
                <w:bCs/>
                <w:sz w:val="18"/>
                <w:szCs w:val="18"/>
              </w:rPr>
              <w:t>Year Hours</w:t>
            </w:r>
          </w:p>
        </w:tc>
        <w:tc>
          <w:tcPr>
            <w:tcW w:w="777" w:type="dxa"/>
            <w:tcMar>
              <w:left w:w="14" w:type="dxa"/>
              <w:right w:w="14" w:type="dxa"/>
            </w:tcMar>
            <w:hideMark/>
          </w:tcPr>
          <w:p w14:paraId="5EDEAF01" w14:textId="12FAD96F" w:rsidR="00027595" w:rsidRPr="000973F2" w:rsidRDefault="00027595" w:rsidP="009568B3">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18"/>
                <w:szCs w:val="18"/>
              </w:rPr>
            </w:pPr>
            <w:r w:rsidRPr="000973F2">
              <w:rPr>
                <w:rFonts w:ascii="Times New Roman" w:eastAsia="Times New Roman" w:hAnsi="Times New Roman" w:cs="Times New Roman"/>
                <w:b/>
                <w:bCs/>
                <w:sz w:val="18"/>
                <w:szCs w:val="18"/>
              </w:rPr>
              <w:t xml:space="preserve">Subseq. </w:t>
            </w:r>
            <w:r w:rsidR="00132320" w:rsidRPr="000973F2">
              <w:rPr>
                <w:rFonts w:ascii="Times New Roman" w:eastAsia="Times New Roman" w:hAnsi="Times New Roman" w:cs="Times New Roman"/>
                <w:b/>
                <w:bCs/>
                <w:sz w:val="18"/>
                <w:szCs w:val="18"/>
              </w:rPr>
              <w:t>Year Hours</w:t>
            </w:r>
          </w:p>
        </w:tc>
        <w:tc>
          <w:tcPr>
            <w:tcW w:w="848" w:type="dxa"/>
            <w:tcMar>
              <w:left w:w="14" w:type="dxa"/>
              <w:right w:w="14" w:type="dxa"/>
            </w:tcMar>
            <w:hideMark/>
          </w:tcPr>
          <w:p w14:paraId="1FEC9F91" w14:textId="77777777" w:rsidR="00027595" w:rsidRPr="000973F2" w:rsidRDefault="00027595" w:rsidP="009568B3">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18"/>
                <w:szCs w:val="18"/>
              </w:rPr>
            </w:pPr>
            <w:r w:rsidRPr="000973F2">
              <w:rPr>
                <w:rFonts w:ascii="Times New Roman" w:eastAsia="Times New Roman" w:hAnsi="Times New Roman" w:cs="Times New Roman"/>
                <w:b/>
                <w:bCs/>
                <w:sz w:val="18"/>
                <w:szCs w:val="18"/>
              </w:rPr>
              <w:t>Initial Year</w:t>
            </w:r>
          </w:p>
        </w:tc>
        <w:tc>
          <w:tcPr>
            <w:tcW w:w="848" w:type="dxa"/>
            <w:tcMar>
              <w:left w:w="14" w:type="dxa"/>
              <w:right w:w="14" w:type="dxa"/>
            </w:tcMar>
            <w:hideMark/>
          </w:tcPr>
          <w:p w14:paraId="53B24E39" w14:textId="77777777" w:rsidR="00027595" w:rsidRPr="000973F2" w:rsidRDefault="00027595" w:rsidP="009568B3">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18"/>
                <w:szCs w:val="18"/>
              </w:rPr>
            </w:pPr>
            <w:r w:rsidRPr="000973F2">
              <w:rPr>
                <w:rFonts w:ascii="Times New Roman" w:eastAsia="Times New Roman" w:hAnsi="Times New Roman" w:cs="Times New Roman"/>
                <w:b/>
                <w:bCs/>
                <w:sz w:val="18"/>
                <w:szCs w:val="18"/>
              </w:rPr>
              <w:t>Subseq. Year</w:t>
            </w:r>
          </w:p>
        </w:tc>
      </w:tr>
      <w:tr w:rsidR="00107F52" w:rsidRPr="000973F2" w14:paraId="02DBEE5D" w14:textId="77777777" w:rsidTr="00107F52">
        <w:trPr>
          <w:cantSplit/>
        </w:trPr>
        <w:tc>
          <w:tcPr>
            <w:cnfStyle w:val="001000000000" w:firstRow="0" w:lastRow="0" w:firstColumn="1" w:lastColumn="0" w:oddVBand="0" w:evenVBand="0" w:oddHBand="0" w:evenHBand="0" w:firstRowFirstColumn="0" w:firstRowLastColumn="0" w:lastRowFirstColumn="0" w:lastRowLastColumn="0"/>
            <w:tcW w:w="1425" w:type="dxa"/>
            <w:hideMark/>
          </w:tcPr>
          <w:p w14:paraId="2CD86D13" w14:textId="77777777" w:rsidR="00107F52" w:rsidRPr="000973F2" w:rsidRDefault="00107F52" w:rsidP="009568B3">
            <w:pPr>
              <w:spacing w:before="40" w:after="4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Planning</w:t>
            </w:r>
          </w:p>
        </w:tc>
        <w:tc>
          <w:tcPr>
            <w:tcW w:w="776" w:type="dxa"/>
            <w:noWrap/>
            <w:hideMark/>
          </w:tcPr>
          <w:p w14:paraId="05DD381D" w14:textId="6797379D" w:rsidR="00107F52" w:rsidRPr="000973F2" w:rsidRDefault="00107F52" w:rsidP="009568B3">
            <w:pPr>
              <w:tabs>
                <w:tab w:val="decimal" w:pos="331"/>
              </w:tabs>
              <w:spacing w:before="40" w:after="4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w:t>
            </w:r>
          </w:p>
        </w:tc>
        <w:tc>
          <w:tcPr>
            <w:tcW w:w="776" w:type="dxa"/>
            <w:noWrap/>
            <w:hideMark/>
          </w:tcPr>
          <w:p w14:paraId="12BE6B95" w14:textId="11EF20EF" w:rsidR="00107F52" w:rsidRPr="000973F2" w:rsidRDefault="00107F52" w:rsidP="009568B3">
            <w:pPr>
              <w:tabs>
                <w:tab w:val="decimal" w:pos="331"/>
              </w:tabs>
              <w:spacing w:before="40" w:after="4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w:t>
            </w:r>
          </w:p>
        </w:tc>
        <w:tc>
          <w:tcPr>
            <w:tcW w:w="776" w:type="dxa"/>
            <w:noWrap/>
            <w:hideMark/>
          </w:tcPr>
          <w:p w14:paraId="2E31EBB4" w14:textId="01294CF1" w:rsidR="00107F52" w:rsidRPr="000973F2" w:rsidRDefault="00107F52" w:rsidP="009568B3">
            <w:pPr>
              <w:tabs>
                <w:tab w:val="decimal" w:pos="331"/>
              </w:tabs>
              <w:spacing w:before="40" w:after="4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w:t>
            </w:r>
          </w:p>
        </w:tc>
        <w:tc>
          <w:tcPr>
            <w:tcW w:w="776" w:type="dxa"/>
            <w:noWrap/>
            <w:hideMark/>
          </w:tcPr>
          <w:p w14:paraId="4C2C1130" w14:textId="1DAE9F86" w:rsidR="00107F52" w:rsidRPr="000973F2" w:rsidRDefault="00107F52" w:rsidP="009568B3">
            <w:pPr>
              <w:tabs>
                <w:tab w:val="decimal" w:pos="256"/>
              </w:tabs>
              <w:spacing w:before="40" w:after="4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w:t>
            </w:r>
          </w:p>
        </w:tc>
        <w:tc>
          <w:tcPr>
            <w:tcW w:w="776" w:type="dxa"/>
            <w:noWrap/>
            <w:hideMark/>
          </w:tcPr>
          <w:p w14:paraId="519C2C23" w14:textId="50157444" w:rsidR="00107F52" w:rsidRPr="000973F2" w:rsidRDefault="00107F52" w:rsidP="009568B3">
            <w:pPr>
              <w:tabs>
                <w:tab w:val="decimal" w:pos="331"/>
              </w:tabs>
              <w:spacing w:before="40" w:after="4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w:t>
            </w:r>
          </w:p>
        </w:tc>
        <w:tc>
          <w:tcPr>
            <w:tcW w:w="776" w:type="dxa"/>
            <w:noWrap/>
            <w:hideMark/>
          </w:tcPr>
          <w:p w14:paraId="6F56226A" w14:textId="48F71714" w:rsidR="00107F52" w:rsidRPr="000973F2" w:rsidRDefault="00107F52" w:rsidP="009568B3">
            <w:pPr>
              <w:tabs>
                <w:tab w:val="decimal" w:pos="331"/>
              </w:tabs>
              <w:spacing w:before="40" w:after="4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w:t>
            </w:r>
          </w:p>
        </w:tc>
        <w:tc>
          <w:tcPr>
            <w:tcW w:w="776" w:type="dxa"/>
            <w:noWrap/>
            <w:hideMark/>
          </w:tcPr>
          <w:p w14:paraId="56732555" w14:textId="37080DA9" w:rsidR="00107F52" w:rsidRPr="000973F2" w:rsidRDefault="00107F52" w:rsidP="009568B3">
            <w:pPr>
              <w:tabs>
                <w:tab w:val="decimal" w:pos="331"/>
              </w:tabs>
              <w:spacing w:before="40" w:after="4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w:t>
            </w:r>
          </w:p>
        </w:tc>
        <w:tc>
          <w:tcPr>
            <w:tcW w:w="777" w:type="dxa"/>
            <w:noWrap/>
            <w:hideMark/>
          </w:tcPr>
          <w:p w14:paraId="1A6C0C37" w14:textId="1CB41C66" w:rsidR="00107F52" w:rsidRPr="000973F2" w:rsidRDefault="00107F52" w:rsidP="009568B3">
            <w:pPr>
              <w:tabs>
                <w:tab w:val="decimal" w:pos="331"/>
              </w:tabs>
              <w:spacing w:before="40" w:after="4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w:t>
            </w:r>
          </w:p>
        </w:tc>
        <w:tc>
          <w:tcPr>
            <w:tcW w:w="848" w:type="dxa"/>
            <w:noWrap/>
            <w:hideMark/>
          </w:tcPr>
          <w:p w14:paraId="3E1D67C2" w14:textId="39D45F62" w:rsidR="00107F52" w:rsidRPr="000973F2" w:rsidRDefault="00107F52" w:rsidP="009568B3">
            <w:pPr>
              <w:tabs>
                <w:tab w:val="decimal" w:pos="331"/>
              </w:tabs>
              <w:spacing w:before="40" w:after="4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w:t>
            </w:r>
          </w:p>
        </w:tc>
        <w:tc>
          <w:tcPr>
            <w:tcW w:w="848" w:type="dxa"/>
            <w:noWrap/>
            <w:hideMark/>
          </w:tcPr>
          <w:p w14:paraId="092245C9" w14:textId="29550C5A" w:rsidR="00107F52" w:rsidRPr="000973F2" w:rsidRDefault="00107F52" w:rsidP="009568B3">
            <w:pPr>
              <w:tabs>
                <w:tab w:val="decimal" w:pos="481"/>
              </w:tabs>
              <w:spacing w:before="40" w:after="4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w:t>
            </w:r>
          </w:p>
        </w:tc>
      </w:tr>
      <w:tr w:rsidR="00107F52" w:rsidRPr="000973F2" w14:paraId="0CD23925" w14:textId="77777777" w:rsidTr="00107F52">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1425" w:type="dxa"/>
            <w:hideMark/>
          </w:tcPr>
          <w:p w14:paraId="4A541E0E" w14:textId="77777777" w:rsidR="00107F52" w:rsidRPr="000973F2" w:rsidRDefault="00107F52" w:rsidP="009568B3">
            <w:pPr>
              <w:spacing w:before="40" w:after="4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QA/QC</w:t>
            </w:r>
          </w:p>
        </w:tc>
        <w:tc>
          <w:tcPr>
            <w:tcW w:w="776" w:type="dxa"/>
            <w:noWrap/>
            <w:hideMark/>
          </w:tcPr>
          <w:p w14:paraId="1811E8BD" w14:textId="616A617E" w:rsidR="00107F52" w:rsidRPr="000973F2" w:rsidRDefault="00107F52" w:rsidP="009568B3">
            <w:pPr>
              <w:tabs>
                <w:tab w:val="decimal" w:pos="331"/>
              </w:tabs>
              <w:spacing w:before="40" w:after="4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w:t>
            </w:r>
          </w:p>
        </w:tc>
        <w:tc>
          <w:tcPr>
            <w:tcW w:w="776" w:type="dxa"/>
            <w:noWrap/>
            <w:hideMark/>
          </w:tcPr>
          <w:p w14:paraId="021A697D" w14:textId="2E03F768" w:rsidR="00107F52" w:rsidRPr="000973F2" w:rsidRDefault="00107F52" w:rsidP="009568B3">
            <w:pPr>
              <w:tabs>
                <w:tab w:val="decimal" w:pos="331"/>
              </w:tabs>
              <w:spacing w:before="40" w:after="4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w:t>
            </w:r>
          </w:p>
        </w:tc>
        <w:tc>
          <w:tcPr>
            <w:tcW w:w="776" w:type="dxa"/>
            <w:noWrap/>
            <w:hideMark/>
          </w:tcPr>
          <w:p w14:paraId="4A4D972F" w14:textId="56276DE7" w:rsidR="00107F52" w:rsidRPr="000973F2" w:rsidRDefault="00107F52" w:rsidP="009568B3">
            <w:pPr>
              <w:tabs>
                <w:tab w:val="decimal" w:pos="331"/>
              </w:tabs>
              <w:spacing w:before="40" w:after="4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w:t>
            </w:r>
          </w:p>
        </w:tc>
        <w:tc>
          <w:tcPr>
            <w:tcW w:w="776" w:type="dxa"/>
            <w:noWrap/>
            <w:hideMark/>
          </w:tcPr>
          <w:p w14:paraId="1DADB773" w14:textId="31C125D2" w:rsidR="00107F52" w:rsidRPr="000973F2" w:rsidRDefault="00107F52" w:rsidP="009568B3">
            <w:pPr>
              <w:tabs>
                <w:tab w:val="decimal" w:pos="256"/>
              </w:tabs>
              <w:spacing w:before="40" w:after="4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w:t>
            </w:r>
          </w:p>
        </w:tc>
        <w:tc>
          <w:tcPr>
            <w:tcW w:w="776" w:type="dxa"/>
            <w:noWrap/>
            <w:hideMark/>
          </w:tcPr>
          <w:p w14:paraId="2C638B4C" w14:textId="22F3CB19" w:rsidR="00107F52" w:rsidRPr="000973F2" w:rsidRDefault="00107F52" w:rsidP="009568B3">
            <w:pPr>
              <w:tabs>
                <w:tab w:val="decimal" w:pos="331"/>
              </w:tabs>
              <w:spacing w:before="40" w:after="4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w:t>
            </w:r>
          </w:p>
        </w:tc>
        <w:tc>
          <w:tcPr>
            <w:tcW w:w="776" w:type="dxa"/>
            <w:noWrap/>
            <w:hideMark/>
          </w:tcPr>
          <w:p w14:paraId="01E3B842" w14:textId="2BFB9F57" w:rsidR="00107F52" w:rsidRPr="000973F2" w:rsidRDefault="00107F52" w:rsidP="009568B3">
            <w:pPr>
              <w:tabs>
                <w:tab w:val="decimal" w:pos="331"/>
              </w:tabs>
              <w:spacing w:before="40" w:after="4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w:t>
            </w:r>
          </w:p>
        </w:tc>
        <w:tc>
          <w:tcPr>
            <w:tcW w:w="776" w:type="dxa"/>
            <w:noWrap/>
            <w:hideMark/>
          </w:tcPr>
          <w:p w14:paraId="182060B2" w14:textId="7918054C" w:rsidR="00107F52" w:rsidRPr="000973F2" w:rsidRDefault="00107F52" w:rsidP="009568B3">
            <w:pPr>
              <w:tabs>
                <w:tab w:val="decimal" w:pos="331"/>
              </w:tabs>
              <w:spacing w:before="40" w:after="4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w:t>
            </w:r>
          </w:p>
        </w:tc>
        <w:tc>
          <w:tcPr>
            <w:tcW w:w="777" w:type="dxa"/>
            <w:noWrap/>
            <w:hideMark/>
          </w:tcPr>
          <w:p w14:paraId="2D2A404B" w14:textId="024B1543" w:rsidR="00107F52" w:rsidRPr="000973F2" w:rsidRDefault="00107F52" w:rsidP="009568B3">
            <w:pPr>
              <w:tabs>
                <w:tab w:val="decimal" w:pos="331"/>
              </w:tabs>
              <w:spacing w:before="40" w:after="4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w:t>
            </w:r>
          </w:p>
        </w:tc>
        <w:tc>
          <w:tcPr>
            <w:tcW w:w="848" w:type="dxa"/>
            <w:noWrap/>
            <w:hideMark/>
          </w:tcPr>
          <w:p w14:paraId="48F14D7E" w14:textId="1DEB9600" w:rsidR="00107F52" w:rsidRPr="000973F2" w:rsidRDefault="00107F52" w:rsidP="009568B3">
            <w:pPr>
              <w:tabs>
                <w:tab w:val="decimal" w:pos="331"/>
              </w:tabs>
              <w:spacing w:before="40" w:after="4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w:t>
            </w:r>
          </w:p>
        </w:tc>
        <w:tc>
          <w:tcPr>
            <w:tcW w:w="848" w:type="dxa"/>
            <w:noWrap/>
            <w:hideMark/>
          </w:tcPr>
          <w:p w14:paraId="6C36C937" w14:textId="0D4A0CC2" w:rsidR="00107F52" w:rsidRPr="000973F2" w:rsidRDefault="00107F52" w:rsidP="009568B3">
            <w:pPr>
              <w:tabs>
                <w:tab w:val="decimal" w:pos="481"/>
              </w:tabs>
              <w:spacing w:before="40" w:after="4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w:t>
            </w:r>
          </w:p>
        </w:tc>
      </w:tr>
      <w:tr w:rsidR="00FA67DC" w:rsidRPr="000973F2" w14:paraId="4B8B4A16" w14:textId="77777777" w:rsidTr="00107F52">
        <w:trPr>
          <w:cantSplit/>
        </w:trPr>
        <w:tc>
          <w:tcPr>
            <w:cnfStyle w:val="001000000000" w:firstRow="0" w:lastRow="0" w:firstColumn="1" w:lastColumn="0" w:oddVBand="0" w:evenVBand="0" w:oddHBand="0" w:evenHBand="0" w:firstRowFirstColumn="0" w:firstRowLastColumn="0" w:lastRowFirstColumn="0" w:lastRowLastColumn="0"/>
            <w:tcW w:w="1425" w:type="dxa"/>
            <w:hideMark/>
          </w:tcPr>
          <w:p w14:paraId="77E70526" w14:textId="77777777" w:rsidR="00027595" w:rsidRPr="000973F2" w:rsidRDefault="00027595" w:rsidP="009568B3">
            <w:pPr>
              <w:spacing w:before="40" w:after="4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Recordkeeping</w:t>
            </w:r>
          </w:p>
        </w:tc>
        <w:tc>
          <w:tcPr>
            <w:tcW w:w="776" w:type="dxa"/>
            <w:noWrap/>
            <w:hideMark/>
          </w:tcPr>
          <w:p w14:paraId="74BD724C" w14:textId="77777777" w:rsidR="00027595" w:rsidRPr="000973F2" w:rsidRDefault="00027595" w:rsidP="009568B3">
            <w:pPr>
              <w:tabs>
                <w:tab w:val="decimal" w:pos="331"/>
              </w:tabs>
              <w:spacing w:before="40" w:after="4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hAnsi="Times New Roman" w:cs="Times New Roman"/>
                <w:sz w:val="18"/>
                <w:szCs w:val="18"/>
              </w:rPr>
              <w:t>0</w:t>
            </w:r>
          </w:p>
        </w:tc>
        <w:tc>
          <w:tcPr>
            <w:tcW w:w="776" w:type="dxa"/>
            <w:noWrap/>
            <w:hideMark/>
          </w:tcPr>
          <w:p w14:paraId="22D6B23D" w14:textId="77777777" w:rsidR="00027595" w:rsidRPr="000973F2" w:rsidRDefault="00027595" w:rsidP="009568B3">
            <w:pPr>
              <w:tabs>
                <w:tab w:val="decimal" w:pos="331"/>
              </w:tabs>
              <w:spacing w:before="40" w:after="4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hAnsi="Times New Roman" w:cs="Times New Roman"/>
                <w:sz w:val="18"/>
                <w:szCs w:val="18"/>
              </w:rPr>
              <w:t>0</w:t>
            </w:r>
          </w:p>
        </w:tc>
        <w:tc>
          <w:tcPr>
            <w:tcW w:w="776" w:type="dxa"/>
            <w:noWrap/>
            <w:hideMark/>
          </w:tcPr>
          <w:p w14:paraId="2180A5E7" w14:textId="77777777" w:rsidR="00027595" w:rsidRPr="000973F2" w:rsidRDefault="00027595" w:rsidP="009568B3">
            <w:pPr>
              <w:tabs>
                <w:tab w:val="decimal" w:pos="331"/>
              </w:tabs>
              <w:spacing w:before="40" w:after="4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hAnsi="Times New Roman" w:cs="Times New Roman"/>
                <w:sz w:val="18"/>
                <w:szCs w:val="18"/>
              </w:rPr>
              <w:t>0</w:t>
            </w:r>
          </w:p>
        </w:tc>
        <w:tc>
          <w:tcPr>
            <w:tcW w:w="776" w:type="dxa"/>
            <w:noWrap/>
            <w:hideMark/>
          </w:tcPr>
          <w:p w14:paraId="5F695D4B" w14:textId="77777777" w:rsidR="00027595" w:rsidRPr="000973F2" w:rsidRDefault="00027595" w:rsidP="009568B3">
            <w:pPr>
              <w:tabs>
                <w:tab w:val="decimal" w:pos="256"/>
              </w:tabs>
              <w:spacing w:before="40" w:after="4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hAnsi="Times New Roman" w:cs="Times New Roman"/>
                <w:sz w:val="18"/>
                <w:szCs w:val="18"/>
              </w:rPr>
              <w:t>0.5</w:t>
            </w:r>
          </w:p>
        </w:tc>
        <w:tc>
          <w:tcPr>
            <w:tcW w:w="776" w:type="dxa"/>
            <w:noWrap/>
            <w:hideMark/>
          </w:tcPr>
          <w:p w14:paraId="682CDFEF" w14:textId="77777777" w:rsidR="00027595" w:rsidRPr="000973F2" w:rsidRDefault="00027595" w:rsidP="009568B3">
            <w:pPr>
              <w:tabs>
                <w:tab w:val="decimal" w:pos="331"/>
              </w:tabs>
              <w:spacing w:before="40" w:after="4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hAnsi="Times New Roman" w:cs="Times New Roman"/>
                <w:sz w:val="18"/>
                <w:szCs w:val="18"/>
              </w:rPr>
              <w:t>0</w:t>
            </w:r>
          </w:p>
        </w:tc>
        <w:tc>
          <w:tcPr>
            <w:tcW w:w="776" w:type="dxa"/>
            <w:noWrap/>
            <w:hideMark/>
          </w:tcPr>
          <w:p w14:paraId="1C97BDED" w14:textId="77777777" w:rsidR="00027595" w:rsidRPr="000973F2" w:rsidRDefault="00027595" w:rsidP="009568B3">
            <w:pPr>
              <w:tabs>
                <w:tab w:val="decimal" w:pos="331"/>
              </w:tabs>
              <w:spacing w:before="40" w:after="4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hAnsi="Times New Roman" w:cs="Times New Roman"/>
                <w:sz w:val="18"/>
                <w:szCs w:val="18"/>
              </w:rPr>
              <w:t>2</w:t>
            </w:r>
          </w:p>
        </w:tc>
        <w:tc>
          <w:tcPr>
            <w:tcW w:w="776" w:type="dxa"/>
            <w:noWrap/>
            <w:hideMark/>
          </w:tcPr>
          <w:p w14:paraId="045DE85F" w14:textId="77777777" w:rsidR="00027595" w:rsidRPr="000973F2" w:rsidRDefault="00027595" w:rsidP="009568B3">
            <w:pPr>
              <w:tabs>
                <w:tab w:val="decimal" w:pos="331"/>
              </w:tabs>
              <w:spacing w:before="40" w:after="4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hAnsi="Times New Roman" w:cs="Times New Roman"/>
                <w:sz w:val="18"/>
                <w:szCs w:val="18"/>
              </w:rPr>
              <w:t>0</w:t>
            </w:r>
          </w:p>
        </w:tc>
        <w:tc>
          <w:tcPr>
            <w:tcW w:w="777" w:type="dxa"/>
            <w:noWrap/>
            <w:hideMark/>
          </w:tcPr>
          <w:p w14:paraId="21A82BA0" w14:textId="77777777" w:rsidR="00027595" w:rsidRPr="000973F2" w:rsidRDefault="00027595" w:rsidP="009568B3">
            <w:pPr>
              <w:tabs>
                <w:tab w:val="decimal" w:pos="331"/>
              </w:tabs>
              <w:spacing w:before="40" w:after="4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0.5</w:t>
            </w:r>
          </w:p>
        </w:tc>
        <w:tc>
          <w:tcPr>
            <w:tcW w:w="848" w:type="dxa"/>
            <w:noWrap/>
            <w:hideMark/>
          </w:tcPr>
          <w:p w14:paraId="4B9E6BEC" w14:textId="5DB9BC81" w:rsidR="00027595" w:rsidRPr="000973F2" w:rsidRDefault="00027595" w:rsidP="009568B3">
            <w:pPr>
              <w:tabs>
                <w:tab w:val="decimal" w:pos="331"/>
              </w:tabs>
              <w:spacing w:before="40" w:after="4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hAnsi="Times New Roman" w:cs="Times New Roman"/>
                <w:sz w:val="18"/>
                <w:szCs w:val="18"/>
              </w:rPr>
              <w:t>$0</w:t>
            </w:r>
          </w:p>
        </w:tc>
        <w:tc>
          <w:tcPr>
            <w:tcW w:w="848" w:type="dxa"/>
            <w:noWrap/>
            <w:hideMark/>
          </w:tcPr>
          <w:p w14:paraId="179F0B90" w14:textId="14EA8797" w:rsidR="00027595" w:rsidRPr="000973F2" w:rsidRDefault="00027595" w:rsidP="009568B3">
            <w:pPr>
              <w:tabs>
                <w:tab w:val="decimal" w:pos="481"/>
              </w:tabs>
              <w:spacing w:before="40" w:after="4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hAnsi="Times New Roman" w:cs="Times New Roman"/>
                <w:sz w:val="18"/>
                <w:szCs w:val="18"/>
              </w:rPr>
              <w:t>$205</w:t>
            </w:r>
          </w:p>
        </w:tc>
      </w:tr>
      <w:tr w:rsidR="00FA67DC" w:rsidRPr="000973F2" w14:paraId="5268EB6D" w14:textId="77777777" w:rsidTr="00107F52">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1425" w:type="dxa"/>
            <w:hideMark/>
          </w:tcPr>
          <w:p w14:paraId="39A5FF5D" w14:textId="77777777" w:rsidR="00027595" w:rsidRPr="000973F2" w:rsidRDefault="00027595" w:rsidP="009568B3">
            <w:pPr>
              <w:spacing w:before="40" w:after="4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Sampling and Analysis (Calculations)</w:t>
            </w:r>
          </w:p>
        </w:tc>
        <w:tc>
          <w:tcPr>
            <w:tcW w:w="776" w:type="dxa"/>
            <w:noWrap/>
            <w:hideMark/>
          </w:tcPr>
          <w:p w14:paraId="304276AA" w14:textId="77777777" w:rsidR="00027595" w:rsidRPr="000973F2" w:rsidRDefault="00027595" w:rsidP="009568B3">
            <w:pPr>
              <w:tabs>
                <w:tab w:val="decimal" w:pos="331"/>
              </w:tabs>
              <w:spacing w:before="40" w:after="4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hAnsi="Times New Roman" w:cs="Times New Roman"/>
                <w:sz w:val="18"/>
                <w:szCs w:val="18"/>
              </w:rPr>
              <w:t>0</w:t>
            </w:r>
          </w:p>
        </w:tc>
        <w:tc>
          <w:tcPr>
            <w:tcW w:w="776" w:type="dxa"/>
            <w:noWrap/>
            <w:hideMark/>
          </w:tcPr>
          <w:p w14:paraId="00CF3679" w14:textId="77777777" w:rsidR="00027595" w:rsidRPr="000973F2" w:rsidRDefault="00027595" w:rsidP="009568B3">
            <w:pPr>
              <w:tabs>
                <w:tab w:val="decimal" w:pos="331"/>
              </w:tabs>
              <w:spacing w:before="40" w:after="4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hAnsi="Times New Roman" w:cs="Times New Roman"/>
                <w:sz w:val="18"/>
                <w:szCs w:val="18"/>
              </w:rPr>
              <w:t>0</w:t>
            </w:r>
          </w:p>
        </w:tc>
        <w:tc>
          <w:tcPr>
            <w:tcW w:w="776" w:type="dxa"/>
            <w:noWrap/>
            <w:hideMark/>
          </w:tcPr>
          <w:p w14:paraId="286963D9" w14:textId="77777777" w:rsidR="00027595" w:rsidRPr="000973F2" w:rsidRDefault="00027595" w:rsidP="009568B3">
            <w:pPr>
              <w:tabs>
                <w:tab w:val="decimal" w:pos="331"/>
              </w:tabs>
              <w:spacing w:before="40" w:after="4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hAnsi="Times New Roman" w:cs="Times New Roman"/>
                <w:sz w:val="18"/>
                <w:szCs w:val="18"/>
              </w:rPr>
              <w:t>0</w:t>
            </w:r>
          </w:p>
        </w:tc>
        <w:tc>
          <w:tcPr>
            <w:tcW w:w="776" w:type="dxa"/>
            <w:noWrap/>
            <w:hideMark/>
          </w:tcPr>
          <w:p w14:paraId="6E2855E5" w14:textId="77777777" w:rsidR="00027595" w:rsidRPr="000973F2" w:rsidRDefault="00027595" w:rsidP="009568B3">
            <w:pPr>
              <w:tabs>
                <w:tab w:val="decimal" w:pos="256"/>
              </w:tabs>
              <w:spacing w:before="40" w:after="4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hAnsi="Times New Roman" w:cs="Times New Roman"/>
                <w:sz w:val="18"/>
                <w:szCs w:val="18"/>
              </w:rPr>
              <w:t>1.0</w:t>
            </w:r>
          </w:p>
        </w:tc>
        <w:tc>
          <w:tcPr>
            <w:tcW w:w="776" w:type="dxa"/>
            <w:noWrap/>
            <w:hideMark/>
          </w:tcPr>
          <w:p w14:paraId="1C742446" w14:textId="77777777" w:rsidR="00027595" w:rsidRPr="000973F2" w:rsidRDefault="00027595" w:rsidP="009568B3">
            <w:pPr>
              <w:tabs>
                <w:tab w:val="decimal" w:pos="331"/>
              </w:tabs>
              <w:spacing w:before="40" w:after="4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hAnsi="Times New Roman" w:cs="Times New Roman"/>
                <w:sz w:val="18"/>
                <w:szCs w:val="18"/>
              </w:rPr>
              <w:t>0</w:t>
            </w:r>
          </w:p>
        </w:tc>
        <w:tc>
          <w:tcPr>
            <w:tcW w:w="776" w:type="dxa"/>
            <w:noWrap/>
            <w:hideMark/>
          </w:tcPr>
          <w:p w14:paraId="2EA046DB" w14:textId="77777777" w:rsidR="00027595" w:rsidRPr="000973F2" w:rsidRDefault="00027595" w:rsidP="009568B3">
            <w:pPr>
              <w:tabs>
                <w:tab w:val="decimal" w:pos="331"/>
              </w:tabs>
              <w:spacing w:before="40" w:after="4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hAnsi="Times New Roman" w:cs="Times New Roman"/>
                <w:sz w:val="18"/>
                <w:szCs w:val="18"/>
              </w:rPr>
              <w:t>3</w:t>
            </w:r>
          </w:p>
        </w:tc>
        <w:tc>
          <w:tcPr>
            <w:tcW w:w="776" w:type="dxa"/>
            <w:noWrap/>
            <w:hideMark/>
          </w:tcPr>
          <w:p w14:paraId="55CB0697" w14:textId="77777777" w:rsidR="00027595" w:rsidRPr="000973F2" w:rsidRDefault="00027595" w:rsidP="009568B3">
            <w:pPr>
              <w:tabs>
                <w:tab w:val="decimal" w:pos="331"/>
              </w:tabs>
              <w:spacing w:before="40" w:after="4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hAnsi="Times New Roman" w:cs="Times New Roman"/>
                <w:sz w:val="18"/>
                <w:szCs w:val="18"/>
              </w:rPr>
              <w:t>0</w:t>
            </w:r>
          </w:p>
        </w:tc>
        <w:tc>
          <w:tcPr>
            <w:tcW w:w="777" w:type="dxa"/>
            <w:noWrap/>
            <w:hideMark/>
          </w:tcPr>
          <w:p w14:paraId="68C8B02F" w14:textId="77777777" w:rsidR="00027595" w:rsidRPr="000973F2" w:rsidRDefault="00027595" w:rsidP="009568B3">
            <w:pPr>
              <w:tabs>
                <w:tab w:val="decimal" w:pos="331"/>
              </w:tabs>
              <w:spacing w:before="40" w:after="4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hAnsi="Times New Roman" w:cs="Times New Roman"/>
                <w:sz w:val="18"/>
                <w:szCs w:val="18"/>
              </w:rPr>
              <w:t>0</w:t>
            </w:r>
          </w:p>
        </w:tc>
        <w:tc>
          <w:tcPr>
            <w:tcW w:w="848" w:type="dxa"/>
            <w:noWrap/>
            <w:hideMark/>
          </w:tcPr>
          <w:p w14:paraId="761BF966" w14:textId="3981772E" w:rsidR="00027595" w:rsidRPr="000973F2" w:rsidRDefault="00027595" w:rsidP="009568B3">
            <w:pPr>
              <w:tabs>
                <w:tab w:val="decimal" w:pos="331"/>
              </w:tabs>
              <w:spacing w:before="40" w:after="4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hAnsi="Times New Roman" w:cs="Times New Roman"/>
                <w:sz w:val="18"/>
                <w:szCs w:val="18"/>
              </w:rPr>
              <w:t>$0</w:t>
            </w:r>
          </w:p>
        </w:tc>
        <w:tc>
          <w:tcPr>
            <w:tcW w:w="848" w:type="dxa"/>
            <w:noWrap/>
            <w:hideMark/>
          </w:tcPr>
          <w:p w14:paraId="2A3BC7B3" w14:textId="04605D50" w:rsidR="00027595" w:rsidRPr="000973F2" w:rsidRDefault="00027595" w:rsidP="009568B3">
            <w:pPr>
              <w:tabs>
                <w:tab w:val="decimal" w:pos="481"/>
              </w:tabs>
              <w:spacing w:before="40" w:after="4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hAnsi="Times New Roman" w:cs="Times New Roman"/>
                <w:sz w:val="18"/>
                <w:szCs w:val="18"/>
              </w:rPr>
              <w:t>$302</w:t>
            </w:r>
          </w:p>
        </w:tc>
      </w:tr>
      <w:tr w:rsidR="00150C73" w:rsidRPr="000973F2" w14:paraId="3E731586" w14:textId="77777777" w:rsidTr="00107F52">
        <w:trPr>
          <w:cantSplit/>
        </w:trPr>
        <w:tc>
          <w:tcPr>
            <w:cnfStyle w:val="001000000000" w:firstRow="0" w:lastRow="0" w:firstColumn="1" w:lastColumn="0" w:oddVBand="0" w:evenVBand="0" w:oddHBand="0" w:evenHBand="0" w:firstRowFirstColumn="0" w:firstRowLastColumn="0" w:lastRowFirstColumn="0" w:lastRowLastColumn="0"/>
            <w:tcW w:w="1425" w:type="dxa"/>
            <w:hideMark/>
          </w:tcPr>
          <w:p w14:paraId="1E1CA6CA" w14:textId="77777777" w:rsidR="00027595" w:rsidRPr="000973F2" w:rsidRDefault="00027595" w:rsidP="009568B3">
            <w:pPr>
              <w:spacing w:before="40" w:after="4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Reporting</w:t>
            </w:r>
          </w:p>
        </w:tc>
        <w:tc>
          <w:tcPr>
            <w:tcW w:w="776" w:type="dxa"/>
            <w:noWrap/>
            <w:hideMark/>
          </w:tcPr>
          <w:p w14:paraId="4C376654" w14:textId="77777777" w:rsidR="00027595" w:rsidRPr="000973F2" w:rsidRDefault="00027595" w:rsidP="009568B3">
            <w:pPr>
              <w:tabs>
                <w:tab w:val="decimal" w:pos="331"/>
              </w:tabs>
              <w:spacing w:before="40" w:after="4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hAnsi="Times New Roman" w:cs="Times New Roman"/>
                <w:sz w:val="18"/>
                <w:szCs w:val="18"/>
              </w:rPr>
              <w:t>0</w:t>
            </w:r>
          </w:p>
        </w:tc>
        <w:tc>
          <w:tcPr>
            <w:tcW w:w="776" w:type="dxa"/>
            <w:noWrap/>
            <w:hideMark/>
          </w:tcPr>
          <w:p w14:paraId="045D8148" w14:textId="77777777" w:rsidR="00027595" w:rsidRPr="000973F2" w:rsidRDefault="00027595" w:rsidP="009568B3">
            <w:pPr>
              <w:tabs>
                <w:tab w:val="decimal" w:pos="331"/>
              </w:tabs>
              <w:spacing w:before="40" w:after="4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hAnsi="Times New Roman" w:cs="Times New Roman"/>
                <w:sz w:val="18"/>
                <w:szCs w:val="18"/>
              </w:rPr>
              <w:t>0</w:t>
            </w:r>
          </w:p>
        </w:tc>
        <w:tc>
          <w:tcPr>
            <w:tcW w:w="776" w:type="dxa"/>
            <w:noWrap/>
            <w:hideMark/>
          </w:tcPr>
          <w:p w14:paraId="123555B1" w14:textId="77777777" w:rsidR="00027595" w:rsidRPr="000973F2" w:rsidRDefault="00027595" w:rsidP="009568B3">
            <w:pPr>
              <w:tabs>
                <w:tab w:val="decimal" w:pos="331"/>
              </w:tabs>
              <w:spacing w:before="40" w:after="4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hAnsi="Times New Roman" w:cs="Times New Roman"/>
                <w:sz w:val="18"/>
                <w:szCs w:val="18"/>
              </w:rPr>
              <w:t>0</w:t>
            </w:r>
          </w:p>
        </w:tc>
        <w:tc>
          <w:tcPr>
            <w:tcW w:w="776" w:type="dxa"/>
            <w:noWrap/>
            <w:hideMark/>
          </w:tcPr>
          <w:p w14:paraId="23251310" w14:textId="77777777" w:rsidR="00027595" w:rsidRPr="000973F2" w:rsidRDefault="00027595" w:rsidP="009568B3">
            <w:pPr>
              <w:tabs>
                <w:tab w:val="decimal" w:pos="256"/>
              </w:tabs>
              <w:spacing w:before="40" w:after="4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hAnsi="Times New Roman" w:cs="Times New Roman"/>
                <w:sz w:val="18"/>
                <w:szCs w:val="18"/>
              </w:rPr>
              <w:t>1.0</w:t>
            </w:r>
          </w:p>
        </w:tc>
        <w:tc>
          <w:tcPr>
            <w:tcW w:w="776" w:type="dxa"/>
            <w:noWrap/>
            <w:hideMark/>
          </w:tcPr>
          <w:p w14:paraId="60590349" w14:textId="77777777" w:rsidR="00027595" w:rsidRPr="000973F2" w:rsidRDefault="00027595" w:rsidP="009568B3">
            <w:pPr>
              <w:tabs>
                <w:tab w:val="decimal" w:pos="331"/>
              </w:tabs>
              <w:spacing w:before="40" w:after="4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hAnsi="Times New Roman" w:cs="Times New Roman"/>
                <w:sz w:val="18"/>
                <w:szCs w:val="18"/>
              </w:rPr>
              <w:t>0</w:t>
            </w:r>
          </w:p>
        </w:tc>
        <w:tc>
          <w:tcPr>
            <w:tcW w:w="776" w:type="dxa"/>
            <w:noWrap/>
            <w:hideMark/>
          </w:tcPr>
          <w:p w14:paraId="51DFE361" w14:textId="77777777" w:rsidR="00027595" w:rsidRPr="000973F2" w:rsidRDefault="00027595" w:rsidP="009568B3">
            <w:pPr>
              <w:tabs>
                <w:tab w:val="decimal" w:pos="331"/>
              </w:tabs>
              <w:spacing w:before="40" w:after="4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hAnsi="Times New Roman" w:cs="Times New Roman"/>
                <w:sz w:val="18"/>
                <w:szCs w:val="18"/>
              </w:rPr>
              <w:t>4</w:t>
            </w:r>
          </w:p>
        </w:tc>
        <w:tc>
          <w:tcPr>
            <w:tcW w:w="776" w:type="dxa"/>
            <w:noWrap/>
            <w:hideMark/>
          </w:tcPr>
          <w:p w14:paraId="1522F49B" w14:textId="77777777" w:rsidR="00027595" w:rsidRPr="000973F2" w:rsidRDefault="00027595" w:rsidP="009568B3">
            <w:pPr>
              <w:tabs>
                <w:tab w:val="decimal" w:pos="331"/>
              </w:tabs>
              <w:spacing w:before="40" w:after="4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hAnsi="Times New Roman" w:cs="Times New Roman"/>
                <w:sz w:val="18"/>
                <w:szCs w:val="18"/>
              </w:rPr>
              <w:t>0</w:t>
            </w:r>
          </w:p>
        </w:tc>
        <w:tc>
          <w:tcPr>
            <w:tcW w:w="777" w:type="dxa"/>
            <w:noWrap/>
            <w:hideMark/>
          </w:tcPr>
          <w:p w14:paraId="790E9527" w14:textId="77777777" w:rsidR="00027595" w:rsidRPr="000973F2" w:rsidRDefault="00027595" w:rsidP="009568B3">
            <w:pPr>
              <w:tabs>
                <w:tab w:val="decimal" w:pos="331"/>
              </w:tabs>
              <w:spacing w:before="40" w:after="4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hAnsi="Times New Roman" w:cs="Times New Roman"/>
                <w:sz w:val="18"/>
                <w:szCs w:val="18"/>
              </w:rPr>
              <w:t>1.0</w:t>
            </w:r>
          </w:p>
        </w:tc>
        <w:tc>
          <w:tcPr>
            <w:tcW w:w="848" w:type="dxa"/>
            <w:noWrap/>
            <w:hideMark/>
          </w:tcPr>
          <w:p w14:paraId="3F7CF7DF" w14:textId="36C60324" w:rsidR="00027595" w:rsidRPr="000973F2" w:rsidRDefault="00027595" w:rsidP="009568B3">
            <w:pPr>
              <w:tabs>
                <w:tab w:val="decimal" w:pos="331"/>
              </w:tabs>
              <w:spacing w:before="40" w:after="4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hAnsi="Times New Roman" w:cs="Times New Roman"/>
                <w:sz w:val="18"/>
                <w:szCs w:val="18"/>
              </w:rPr>
              <w:t>$0</w:t>
            </w:r>
          </w:p>
        </w:tc>
        <w:tc>
          <w:tcPr>
            <w:tcW w:w="848" w:type="dxa"/>
            <w:noWrap/>
            <w:hideMark/>
          </w:tcPr>
          <w:p w14:paraId="383E05D9" w14:textId="7FE8750A" w:rsidR="00027595" w:rsidRPr="000973F2" w:rsidRDefault="00027595" w:rsidP="009568B3">
            <w:pPr>
              <w:tabs>
                <w:tab w:val="decimal" w:pos="481"/>
              </w:tabs>
              <w:spacing w:before="40" w:after="4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0973F2">
              <w:rPr>
                <w:rFonts w:ascii="Times New Roman" w:hAnsi="Times New Roman" w:cs="Times New Roman"/>
                <w:sz w:val="18"/>
                <w:szCs w:val="18"/>
              </w:rPr>
              <w:t>$409</w:t>
            </w:r>
          </w:p>
        </w:tc>
      </w:tr>
      <w:tr w:rsidR="008F751E" w:rsidRPr="000973F2" w14:paraId="76A80E04" w14:textId="77777777" w:rsidTr="00107F52">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1425" w:type="dxa"/>
            <w:noWrap/>
            <w:hideMark/>
          </w:tcPr>
          <w:p w14:paraId="600D784A" w14:textId="77777777" w:rsidR="00027595" w:rsidRPr="000973F2" w:rsidRDefault="00027595" w:rsidP="009568B3">
            <w:pPr>
              <w:spacing w:before="40" w:after="40"/>
              <w:rPr>
                <w:rFonts w:ascii="Times New Roman" w:eastAsia="Times New Roman" w:hAnsi="Times New Roman" w:cs="Times New Roman"/>
                <w:b/>
                <w:bCs w:val="0"/>
                <w:sz w:val="18"/>
                <w:szCs w:val="18"/>
              </w:rPr>
            </w:pPr>
            <w:r w:rsidRPr="000973F2">
              <w:rPr>
                <w:rFonts w:ascii="Times New Roman" w:eastAsia="Times New Roman" w:hAnsi="Times New Roman" w:cs="Times New Roman"/>
                <w:b/>
                <w:sz w:val="18"/>
                <w:szCs w:val="18"/>
              </w:rPr>
              <w:t>Total</w:t>
            </w:r>
          </w:p>
        </w:tc>
        <w:tc>
          <w:tcPr>
            <w:tcW w:w="776" w:type="dxa"/>
            <w:noWrap/>
            <w:hideMark/>
          </w:tcPr>
          <w:p w14:paraId="7FCC9B13" w14:textId="77777777" w:rsidR="00027595" w:rsidRPr="000973F2" w:rsidRDefault="00027595" w:rsidP="009568B3">
            <w:pPr>
              <w:tabs>
                <w:tab w:val="decimal" w:pos="331"/>
              </w:tabs>
              <w:spacing w:before="40" w:after="4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18"/>
                <w:szCs w:val="18"/>
              </w:rPr>
            </w:pPr>
            <w:r w:rsidRPr="000973F2">
              <w:rPr>
                <w:rFonts w:ascii="Times New Roman" w:hAnsi="Times New Roman" w:cs="Times New Roman"/>
                <w:b/>
                <w:bCs/>
                <w:sz w:val="18"/>
                <w:szCs w:val="18"/>
              </w:rPr>
              <w:t>0</w:t>
            </w:r>
          </w:p>
        </w:tc>
        <w:tc>
          <w:tcPr>
            <w:tcW w:w="776" w:type="dxa"/>
            <w:noWrap/>
            <w:hideMark/>
          </w:tcPr>
          <w:p w14:paraId="67663331" w14:textId="77777777" w:rsidR="00027595" w:rsidRPr="000973F2" w:rsidRDefault="00027595" w:rsidP="009568B3">
            <w:pPr>
              <w:tabs>
                <w:tab w:val="decimal" w:pos="331"/>
              </w:tabs>
              <w:spacing w:before="40" w:after="4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18"/>
                <w:szCs w:val="18"/>
              </w:rPr>
            </w:pPr>
            <w:r w:rsidRPr="000973F2">
              <w:rPr>
                <w:rFonts w:ascii="Times New Roman" w:hAnsi="Times New Roman" w:cs="Times New Roman"/>
                <w:b/>
                <w:bCs/>
                <w:sz w:val="18"/>
                <w:szCs w:val="18"/>
              </w:rPr>
              <w:t>0</w:t>
            </w:r>
          </w:p>
        </w:tc>
        <w:tc>
          <w:tcPr>
            <w:tcW w:w="776" w:type="dxa"/>
            <w:noWrap/>
            <w:hideMark/>
          </w:tcPr>
          <w:p w14:paraId="56C6D26A" w14:textId="77777777" w:rsidR="00027595" w:rsidRPr="000973F2" w:rsidRDefault="00027595" w:rsidP="009568B3">
            <w:pPr>
              <w:tabs>
                <w:tab w:val="decimal" w:pos="331"/>
              </w:tabs>
              <w:spacing w:before="40" w:after="4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18"/>
                <w:szCs w:val="18"/>
              </w:rPr>
            </w:pPr>
            <w:r w:rsidRPr="000973F2">
              <w:rPr>
                <w:rFonts w:ascii="Times New Roman" w:hAnsi="Times New Roman" w:cs="Times New Roman"/>
                <w:b/>
                <w:bCs/>
                <w:sz w:val="18"/>
                <w:szCs w:val="18"/>
              </w:rPr>
              <w:t>0</w:t>
            </w:r>
          </w:p>
        </w:tc>
        <w:tc>
          <w:tcPr>
            <w:tcW w:w="776" w:type="dxa"/>
            <w:noWrap/>
            <w:hideMark/>
          </w:tcPr>
          <w:p w14:paraId="248310C4" w14:textId="77777777" w:rsidR="00027595" w:rsidRPr="000973F2" w:rsidRDefault="00027595" w:rsidP="009568B3">
            <w:pPr>
              <w:tabs>
                <w:tab w:val="decimal" w:pos="256"/>
              </w:tabs>
              <w:spacing w:before="40" w:after="4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18"/>
                <w:szCs w:val="18"/>
              </w:rPr>
            </w:pPr>
            <w:r w:rsidRPr="000973F2">
              <w:rPr>
                <w:rFonts w:ascii="Times New Roman" w:hAnsi="Times New Roman" w:cs="Times New Roman"/>
                <w:b/>
                <w:bCs/>
                <w:sz w:val="18"/>
                <w:szCs w:val="18"/>
              </w:rPr>
              <w:t>2.5</w:t>
            </w:r>
          </w:p>
        </w:tc>
        <w:tc>
          <w:tcPr>
            <w:tcW w:w="776" w:type="dxa"/>
            <w:noWrap/>
            <w:hideMark/>
          </w:tcPr>
          <w:p w14:paraId="5326E407" w14:textId="77777777" w:rsidR="00027595" w:rsidRPr="000973F2" w:rsidRDefault="00027595" w:rsidP="009568B3">
            <w:pPr>
              <w:tabs>
                <w:tab w:val="decimal" w:pos="331"/>
              </w:tabs>
              <w:spacing w:before="40" w:after="4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18"/>
                <w:szCs w:val="18"/>
              </w:rPr>
            </w:pPr>
            <w:r w:rsidRPr="000973F2">
              <w:rPr>
                <w:rFonts w:ascii="Times New Roman" w:hAnsi="Times New Roman" w:cs="Times New Roman"/>
                <w:b/>
                <w:bCs/>
                <w:sz w:val="18"/>
                <w:szCs w:val="18"/>
              </w:rPr>
              <w:t>0</w:t>
            </w:r>
          </w:p>
        </w:tc>
        <w:tc>
          <w:tcPr>
            <w:tcW w:w="776" w:type="dxa"/>
            <w:noWrap/>
            <w:hideMark/>
          </w:tcPr>
          <w:p w14:paraId="1606BC8F" w14:textId="77777777" w:rsidR="00027595" w:rsidRPr="000973F2" w:rsidRDefault="00027595" w:rsidP="009568B3">
            <w:pPr>
              <w:tabs>
                <w:tab w:val="decimal" w:pos="331"/>
              </w:tabs>
              <w:spacing w:before="40" w:after="4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18"/>
                <w:szCs w:val="18"/>
              </w:rPr>
            </w:pPr>
            <w:r w:rsidRPr="000973F2">
              <w:rPr>
                <w:rFonts w:ascii="Times New Roman" w:hAnsi="Times New Roman" w:cs="Times New Roman"/>
                <w:b/>
                <w:bCs/>
                <w:sz w:val="18"/>
                <w:szCs w:val="18"/>
              </w:rPr>
              <w:t>9</w:t>
            </w:r>
          </w:p>
        </w:tc>
        <w:tc>
          <w:tcPr>
            <w:tcW w:w="776" w:type="dxa"/>
            <w:noWrap/>
            <w:hideMark/>
          </w:tcPr>
          <w:p w14:paraId="1B7C6F87" w14:textId="77777777" w:rsidR="00027595" w:rsidRPr="000973F2" w:rsidRDefault="00027595" w:rsidP="009568B3">
            <w:pPr>
              <w:tabs>
                <w:tab w:val="decimal" w:pos="331"/>
              </w:tabs>
              <w:spacing w:before="40" w:after="4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18"/>
                <w:szCs w:val="18"/>
              </w:rPr>
            </w:pPr>
            <w:r w:rsidRPr="000973F2">
              <w:rPr>
                <w:rFonts w:ascii="Times New Roman" w:hAnsi="Times New Roman" w:cs="Times New Roman"/>
                <w:b/>
                <w:bCs/>
                <w:sz w:val="18"/>
                <w:szCs w:val="18"/>
              </w:rPr>
              <w:t>0</w:t>
            </w:r>
          </w:p>
        </w:tc>
        <w:tc>
          <w:tcPr>
            <w:tcW w:w="777" w:type="dxa"/>
            <w:noWrap/>
            <w:hideMark/>
          </w:tcPr>
          <w:p w14:paraId="0FCF3CA7" w14:textId="77777777" w:rsidR="00027595" w:rsidRPr="000973F2" w:rsidRDefault="00027595" w:rsidP="009568B3">
            <w:pPr>
              <w:tabs>
                <w:tab w:val="decimal" w:pos="331"/>
              </w:tabs>
              <w:spacing w:before="40" w:after="4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18"/>
                <w:szCs w:val="18"/>
              </w:rPr>
            </w:pPr>
            <w:r w:rsidRPr="000973F2">
              <w:rPr>
                <w:rFonts w:ascii="Times New Roman" w:hAnsi="Times New Roman" w:cs="Times New Roman"/>
                <w:b/>
                <w:bCs/>
                <w:sz w:val="18"/>
                <w:szCs w:val="18"/>
              </w:rPr>
              <w:t>1.5</w:t>
            </w:r>
          </w:p>
        </w:tc>
        <w:tc>
          <w:tcPr>
            <w:tcW w:w="848" w:type="dxa"/>
            <w:noWrap/>
            <w:hideMark/>
          </w:tcPr>
          <w:p w14:paraId="1C568566" w14:textId="65735757" w:rsidR="00027595" w:rsidRPr="000973F2" w:rsidRDefault="00027595" w:rsidP="009568B3">
            <w:pPr>
              <w:tabs>
                <w:tab w:val="decimal" w:pos="331"/>
              </w:tabs>
              <w:spacing w:before="40" w:after="4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18"/>
                <w:szCs w:val="18"/>
              </w:rPr>
            </w:pPr>
            <w:r w:rsidRPr="000973F2">
              <w:rPr>
                <w:rFonts w:ascii="Times New Roman" w:hAnsi="Times New Roman" w:cs="Times New Roman"/>
                <w:b/>
                <w:bCs/>
                <w:sz w:val="18"/>
                <w:szCs w:val="18"/>
              </w:rPr>
              <w:t>$0</w:t>
            </w:r>
          </w:p>
        </w:tc>
        <w:tc>
          <w:tcPr>
            <w:tcW w:w="848" w:type="dxa"/>
            <w:noWrap/>
            <w:hideMark/>
          </w:tcPr>
          <w:p w14:paraId="3E484C68" w14:textId="13DEFC91" w:rsidR="00027595" w:rsidRPr="000973F2" w:rsidRDefault="00027595" w:rsidP="009568B3">
            <w:pPr>
              <w:tabs>
                <w:tab w:val="decimal" w:pos="481"/>
              </w:tabs>
              <w:spacing w:before="40" w:after="4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18"/>
                <w:szCs w:val="18"/>
              </w:rPr>
            </w:pPr>
            <w:r w:rsidRPr="000973F2">
              <w:rPr>
                <w:rFonts w:ascii="Times New Roman" w:hAnsi="Times New Roman" w:cs="Times New Roman"/>
                <w:b/>
                <w:bCs/>
                <w:sz w:val="18"/>
                <w:szCs w:val="18"/>
              </w:rPr>
              <w:t>$916</w:t>
            </w:r>
          </w:p>
        </w:tc>
      </w:tr>
    </w:tbl>
    <w:p w14:paraId="282EA04C" w14:textId="77777777" w:rsidR="00027595" w:rsidRPr="000973F2" w:rsidRDefault="00027595" w:rsidP="00C00E4F">
      <w:pPr>
        <w:spacing w:line="240" w:lineRule="auto"/>
        <w:rPr>
          <w:rFonts w:ascii="Times New Roman" w:hAnsi="Times New Roman" w:cs="Times New Roman"/>
          <w:i/>
          <w:sz w:val="24"/>
          <w:szCs w:val="24"/>
        </w:rPr>
      </w:pPr>
      <w:r w:rsidRPr="000973F2">
        <w:rPr>
          <w:rFonts w:ascii="Times New Roman" w:hAnsi="Times New Roman" w:cs="Times New Roman"/>
          <w:i/>
          <w:sz w:val="24"/>
          <w:szCs w:val="24"/>
        </w:rPr>
        <w:br w:type="page"/>
      </w:r>
    </w:p>
    <w:p w14:paraId="1FC84C5E" w14:textId="77777777" w:rsidR="00027595" w:rsidRPr="000973F2" w:rsidRDefault="00027595" w:rsidP="009568B3">
      <w:pPr>
        <w:pStyle w:val="Heading2"/>
      </w:pPr>
      <w:r w:rsidRPr="000973F2">
        <w:t>Capital and O&amp;M Costs for Subpart UU</w:t>
      </w:r>
    </w:p>
    <w:p w14:paraId="622673EF" w14:textId="67975704" w:rsidR="00027595" w:rsidRPr="000973F2" w:rsidRDefault="002223B0" w:rsidP="009568B3">
      <w:pPr>
        <w:pStyle w:val="BodyText"/>
        <w:rPr>
          <w:rFonts w:eastAsia="Times New Roman"/>
          <w:b/>
          <w:bCs/>
        </w:rPr>
      </w:pPr>
      <w:r w:rsidRPr="000973F2">
        <w:t xml:space="preserve">Table </w:t>
      </w:r>
      <w:r w:rsidR="009568B3" w:rsidRPr="000973F2">
        <w:t>UU-</w:t>
      </w:r>
      <w:r w:rsidRPr="000973F2">
        <w:t xml:space="preserve">2 shows the capital and O&amp;M costs expected for Subpart UU. </w:t>
      </w:r>
      <w:r w:rsidR="00027595" w:rsidRPr="000973F2">
        <w:t xml:space="preserve">Facilities </w:t>
      </w:r>
      <w:r w:rsidRPr="000973F2">
        <w:t>are</w:t>
      </w:r>
      <w:r w:rsidR="00027595" w:rsidRPr="000973F2">
        <w:t xml:space="preserve"> only </w:t>
      </w:r>
      <w:r w:rsidRPr="000973F2">
        <w:t xml:space="preserve">expected to </w:t>
      </w:r>
      <w:r w:rsidR="00027595" w:rsidRPr="000973F2">
        <w:t xml:space="preserve">incur O&amp;M costs associated with </w:t>
      </w:r>
      <w:r w:rsidRPr="000973F2">
        <w:t>r</w:t>
      </w:r>
      <w:r w:rsidR="00027595" w:rsidRPr="000973F2">
        <w:t>ecordkeeping, as discussed in the Cost Appendix Introduction. No capital costs are expected.</w:t>
      </w:r>
    </w:p>
    <w:p w14:paraId="79220E73" w14:textId="1D4DC2F6" w:rsidR="00027595" w:rsidRPr="000973F2" w:rsidRDefault="00015FAC" w:rsidP="009568B3">
      <w:pPr>
        <w:pStyle w:val="Tabletitle"/>
      </w:pPr>
      <w:r w:rsidRPr="000973F2">
        <w:t xml:space="preserve">Table </w:t>
      </w:r>
      <w:r w:rsidR="009568B3" w:rsidRPr="000973F2">
        <w:t>UU-</w:t>
      </w:r>
      <w:r w:rsidRPr="000973F2">
        <w:t xml:space="preserve">2. Capital and O&amp;M Costs </w:t>
      </w:r>
      <w:r w:rsidR="00B960CC" w:rsidRPr="000973F2">
        <w:t>–</w:t>
      </w:r>
      <w:r w:rsidRPr="000973F2">
        <w:t xml:space="preserve"> </w:t>
      </w:r>
      <w:r w:rsidR="00027595" w:rsidRPr="000973F2">
        <w:t>Subpart UU</w:t>
      </w:r>
    </w:p>
    <w:tbl>
      <w:tblPr>
        <w:tblStyle w:val="PlainTable1"/>
        <w:tblW w:w="5000" w:type="pct"/>
        <w:jc w:val="left"/>
        <w:tblLayout w:type="fixed"/>
        <w:tblCellMar>
          <w:left w:w="115" w:type="dxa"/>
          <w:right w:w="115" w:type="dxa"/>
        </w:tblCellMar>
        <w:tblLook w:val="04A0" w:firstRow="1" w:lastRow="0" w:firstColumn="1" w:lastColumn="0" w:noHBand="0" w:noVBand="1"/>
      </w:tblPr>
      <w:tblGrid>
        <w:gridCol w:w="2655"/>
        <w:gridCol w:w="1156"/>
        <w:gridCol w:w="1156"/>
        <w:gridCol w:w="1156"/>
        <w:gridCol w:w="1139"/>
        <w:gridCol w:w="1172"/>
        <w:gridCol w:w="1156"/>
      </w:tblGrid>
      <w:tr w:rsidR="00D17312" w:rsidRPr="000973F2" w14:paraId="22B7A1F0" w14:textId="77777777" w:rsidTr="009568B3">
        <w:trPr>
          <w:cnfStyle w:val="100000000000" w:firstRow="1" w:lastRow="0" w:firstColumn="0" w:lastColumn="0" w:oddVBand="0" w:evenVBand="0" w:oddHBand="0" w:evenHBand="0" w:firstRowFirstColumn="0" w:firstRowLastColumn="0" w:lastRowFirstColumn="0" w:lastRowLastColumn="0"/>
          <w:cantSplit/>
          <w:jc w:val="left"/>
        </w:trPr>
        <w:tc>
          <w:tcPr>
            <w:cnfStyle w:val="001000000000" w:firstRow="0" w:lastRow="0" w:firstColumn="1" w:lastColumn="0" w:oddVBand="0" w:evenVBand="0" w:oddHBand="0" w:evenHBand="0" w:firstRowFirstColumn="0" w:firstRowLastColumn="0" w:lastRowFirstColumn="0" w:lastRowLastColumn="0"/>
            <w:tcW w:w="2595" w:type="dxa"/>
            <w:vMerge w:val="restart"/>
            <w:noWrap/>
            <w:vAlign w:val="top"/>
            <w:hideMark/>
          </w:tcPr>
          <w:p w14:paraId="2A9155E1" w14:textId="4BBC7819" w:rsidR="00D17312" w:rsidRPr="000973F2" w:rsidRDefault="00D17312" w:rsidP="009568B3">
            <w:pPr>
              <w:spacing w:before="40" w:after="40"/>
              <w:rPr>
                <w:rFonts w:ascii="Times New Roman" w:eastAsia="Times New Roman" w:hAnsi="Times New Roman" w:cs="Times New Roman"/>
                <w:b w:val="0"/>
                <w:bCs w:val="0"/>
                <w:sz w:val="18"/>
                <w:szCs w:val="18"/>
              </w:rPr>
            </w:pPr>
            <w:r w:rsidRPr="000973F2">
              <w:rPr>
                <w:rFonts w:ascii="Times New Roman" w:eastAsia="Times New Roman" w:hAnsi="Times New Roman" w:cs="Times New Roman"/>
                <w:sz w:val="18"/>
                <w:szCs w:val="18"/>
              </w:rPr>
              <w:t>Activity</w:t>
            </w:r>
          </w:p>
        </w:tc>
        <w:tc>
          <w:tcPr>
            <w:tcW w:w="4500" w:type="dxa"/>
            <w:gridSpan w:val="4"/>
            <w:noWrap/>
            <w:vAlign w:val="top"/>
            <w:hideMark/>
          </w:tcPr>
          <w:p w14:paraId="24985535" w14:textId="77777777" w:rsidR="00D17312" w:rsidRPr="000973F2" w:rsidRDefault="00D17312" w:rsidP="009568B3">
            <w:pPr>
              <w:spacing w:before="40" w:after="40"/>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bCs w:val="0"/>
                <w:sz w:val="18"/>
                <w:szCs w:val="18"/>
              </w:rPr>
            </w:pPr>
            <w:r w:rsidRPr="000973F2">
              <w:rPr>
                <w:rFonts w:ascii="Times New Roman" w:eastAsia="Times New Roman" w:hAnsi="Times New Roman" w:cs="Times New Roman"/>
                <w:sz w:val="18"/>
                <w:szCs w:val="18"/>
              </w:rPr>
              <w:t>Cost Categories</w:t>
            </w:r>
          </w:p>
        </w:tc>
        <w:tc>
          <w:tcPr>
            <w:tcW w:w="2274" w:type="dxa"/>
            <w:gridSpan w:val="2"/>
            <w:vAlign w:val="top"/>
            <w:hideMark/>
          </w:tcPr>
          <w:p w14:paraId="03099C23" w14:textId="77777777" w:rsidR="00D17312" w:rsidRPr="000973F2" w:rsidRDefault="00D17312" w:rsidP="009568B3">
            <w:pPr>
              <w:spacing w:before="40" w:after="40"/>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bCs w:val="0"/>
                <w:sz w:val="18"/>
                <w:szCs w:val="18"/>
              </w:rPr>
            </w:pPr>
            <w:r w:rsidRPr="000973F2">
              <w:rPr>
                <w:rFonts w:ascii="Times New Roman" w:eastAsia="Times New Roman" w:hAnsi="Times New Roman" w:cs="Times New Roman"/>
                <w:sz w:val="18"/>
                <w:szCs w:val="18"/>
              </w:rPr>
              <w:t>Total Capital and O&amp;M Cost per Year per Facility (2017$)</w:t>
            </w:r>
          </w:p>
        </w:tc>
      </w:tr>
      <w:tr w:rsidR="00D17312" w:rsidRPr="000973F2" w14:paraId="0BDB7071" w14:textId="77777777" w:rsidTr="009568B3">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2595" w:type="dxa"/>
            <w:vMerge/>
            <w:noWrap/>
            <w:hideMark/>
          </w:tcPr>
          <w:p w14:paraId="79CC4901" w14:textId="0DA41F82" w:rsidR="00D17312" w:rsidRPr="000973F2" w:rsidRDefault="00D17312" w:rsidP="009568B3">
            <w:pPr>
              <w:spacing w:before="40" w:after="40"/>
              <w:jc w:val="center"/>
              <w:rPr>
                <w:rFonts w:ascii="Times New Roman" w:eastAsia="Times New Roman" w:hAnsi="Times New Roman" w:cs="Times New Roman"/>
                <w:b/>
                <w:bCs w:val="0"/>
                <w:sz w:val="18"/>
                <w:szCs w:val="18"/>
              </w:rPr>
            </w:pPr>
          </w:p>
        </w:tc>
        <w:tc>
          <w:tcPr>
            <w:tcW w:w="1129" w:type="dxa"/>
            <w:hideMark/>
          </w:tcPr>
          <w:p w14:paraId="2D19B3E2" w14:textId="77777777" w:rsidR="00D17312" w:rsidRPr="000973F2" w:rsidRDefault="00D17312" w:rsidP="009568B3">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18"/>
                <w:szCs w:val="18"/>
              </w:rPr>
            </w:pPr>
            <w:r w:rsidRPr="000973F2">
              <w:rPr>
                <w:rFonts w:ascii="Times New Roman" w:eastAsia="Times New Roman" w:hAnsi="Times New Roman" w:cs="Times New Roman"/>
                <w:b/>
                <w:bCs/>
                <w:sz w:val="18"/>
                <w:szCs w:val="18"/>
              </w:rPr>
              <w:t>Capital Cost (2017$)</w:t>
            </w:r>
          </w:p>
        </w:tc>
        <w:tc>
          <w:tcPr>
            <w:tcW w:w="1129" w:type="dxa"/>
            <w:hideMark/>
          </w:tcPr>
          <w:p w14:paraId="4E16BD24" w14:textId="77777777" w:rsidR="00D17312" w:rsidRPr="000973F2" w:rsidRDefault="00D17312" w:rsidP="009568B3">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18"/>
                <w:szCs w:val="18"/>
              </w:rPr>
            </w:pPr>
            <w:r w:rsidRPr="000973F2">
              <w:rPr>
                <w:rFonts w:ascii="Times New Roman" w:eastAsia="Times New Roman" w:hAnsi="Times New Roman" w:cs="Times New Roman"/>
                <w:b/>
                <w:bCs/>
                <w:sz w:val="18"/>
                <w:szCs w:val="18"/>
              </w:rPr>
              <w:t>Equipment Lifetime</w:t>
            </w:r>
          </w:p>
        </w:tc>
        <w:tc>
          <w:tcPr>
            <w:tcW w:w="1129" w:type="dxa"/>
            <w:hideMark/>
          </w:tcPr>
          <w:p w14:paraId="5962F853" w14:textId="53C29C37" w:rsidR="00D17312" w:rsidRPr="000973F2" w:rsidRDefault="00D17312" w:rsidP="009568B3">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18"/>
                <w:szCs w:val="18"/>
              </w:rPr>
            </w:pPr>
            <w:r w:rsidRPr="000973F2">
              <w:rPr>
                <w:rFonts w:ascii="Times New Roman" w:eastAsia="Times New Roman" w:hAnsi="Times New Roman" w:cs="Times New Roman"/>
                <w:b/>
                <w:bCs/>
                <w:sz w:val="18"/>
                <w:szCs w:val="18"/>
              </w:rPr>
              <w:t>Annualized Capital Cost (2017$/</w:t>
            </w:r>
            <w:r w:rsidR="009568B3" w:rsidRPr="000973F2">
              <w:rPr>
                <w:rFonts w:ascii="Times New Roman" w:eastAsia="Times New Roman" w:hAnsi="Times New Roman" w:cs="Times New Roman"/>
                <w:b/>
                <w:bCs/>
                <w:sz w:val="18"/>
                <w:szCs w:val="18"/>
              </w:rPr>
              <w:t xml:space="preserve"> </w:t>
            </w:r>
            <w:r w:rsidRPr="000973F2">
              <w:rPr>
                <w:rFonts w:ascii="Times New Roman" w:eastAsia="Times New Roman" w:hAnsi="Times New Roman" w:cs="Times New Roman"/>
                <w:b/>
                <w:bCs/>
                <w:sz w:val="18"/>
                <w:szCs w:val="18"/>
              </w:rPr>
              <w:t>year)</w:t>
            </w:r>
          </w:p>
        </w:tc>
        <w:tc>
          <w:tcPr>
            <w:tcW w:w="1113" w:type="dxa"/>
            <w:hideMark/>
          </w:tcPr>
          <w:p w14:paraId="44DD77B8" w14:textId="6BEFD1AE" w:rsidR="00D17312" w:rsidRPr="000973F2" w:rsidRDefault="00D17312" w:rsidP="009568B3">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18"/>
                <w:szCs w:val="18"/>
              </w:rPr>
            </w:pPr>
            <w:r w:rsidRPr="000973F2">
              <w:rPr>
                <w:rFonts w:ascii="Times New Roman" w:eastAsia="Times New Roman" w:hAnsi="Times New Roman" w:cs="Times New Roman"/>
                <w:b/>
                <w:bCs/>
                <w:sz w:val="18"/>
                <w:szCs w:val="18"/>
              </w:rPr>
              <w:t>O&amp;M Costs (2017$/</w:t>
            </w:r>
            <w:r w:rsidR="009568B3" w:rsidRPr="000973F2">
              <w:rPr>
                <w:rFonts w:ascii="Times New Roman" w:eastAsia="Times New Roman" w:hAnsi="Times New Roman" w:cs="Times New Roman"/>
                <w:b/>
                <w:bCs/>
                <w:sz w:val="18"/>
                <w:szCs w:val="18"/>
              </w:rPr>
              <w:t xml:space="preserve"> </w:t>
            </w:r>
            <w:r w:rsidRPr="000973F2">
              <w:rPr>
                <w:rFonts w:ascii="Times New Roman" w:eastAsia="Times New Roman" w:hAnsi="Times New Roman" w:cs="Times New Roman"/>
                <w:b/>
                <w:bCs/>
                <w:sz w:val="18"/>
                <w:szCs w:val="18"/>
              </w:rPr>
              <w:t>year)</w:t>
            </w:r>
          </w:p>
        </w:tc>
        <w:tc>
          <w:tcPr>
            <w:tcW w:w="1145" w:type="dxa"/>
            <w:hideMark/>
          </w:tcPr>
          <w:p w14:paraId="7F46B970" w14:textId="577328D1" w:rsidR="00D17312" w:rsidRPr="000973F2" w:rsidRDefault="00D17312" w:rsidP="009568B3">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18"/>
                <w:szCs w:val="18"/>
              </w:rPr>
            </w:pPr>
            <w:r w:rsidRPr="000973F2">
              <w:rPr>
                <w:rFonts w:ascii="Times New Roman" w:eastAsia="Times New Roman" w:hAnsi="Times New Roman" w:cs="Times New Roman"/>
                <w:b/>
                <w:bCs/>
                <w:sz w:val="18"/>
                <w:szCs w:val="18"/>
              </w:rPr>
              <w:t>Initial</w:t>
            </w:r>
            <w:r w:rsidR="009568B3" w:rsidRPr="000973F2">
              <w:rPr>
                <w:rFonts w:ascii="Times New Roman" w:eastAsia="Times New Roman" w:hAnsi="Times New Roman" w:cs="Times New Roman"/>
                <w:b/>
                <w:bCs/>
                <w:sz w:val="18"/>
                <w:szCs w:val="18"/>
              </w:rPr>
              <w:br/>
            </w:r>
            <w:r w:rsidRPr="000973F2">
              <w:rPr>
                <w:rFonts w:ascii="Times New Roman" w:eastAsia="Times New Roman" w:hAnsi="Times New Roman" w:cs="Times New Roman"/>
                <w:b/>
                <w:bCs/>
                <w:sz w:val="18"/>
                <w:szCs w:val="18"/>
              </w:rPr>
              <w:t>Year</w:t>
            </w:r>
          </w:p>
        </w:tc>
        <w:tc>
          <w:tcPr>
            <w:tcW w:w="1129" w:type="dxa"/>
            <w:hideMark/>
          </w:tcPr>
          <w:p w14:paraId="5744F798" w14:textId="77777777" w:rsidR="00D17312" w:rsidRPr="000973F2" w:rsidRDefault="00D17312" w:rsidP="009568B3">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18"/>
                <w:szCs w:val="18"/>
              </w:rPr>
            </w:pPr>
            <w:r w:rsidRPr="000973F2">
              <w:rPr>
                <w:rFonts w:ascii="Times New Roman" w:eastAsia="Times New Roman" w:hAnsi="Times New Roman" w:cs="Times New Roman"/>
                <w:b/>
                <w:bCs/>
                <w:sz w:val="18"/>
                <w:szCs w:val="18"/>
              </w:rPr>
              <w:t>Subseq. Years</w:t>
            </w:r>
          </w:p>
        </w:tc>
      </w:tr>
      <w:tr w:rsidR="009568B3" w:rsidRPr="000973F2" w14:paraId="75FDBDC5" w14:textId="77777777" w:rsidTr="009568B3">
        <w:trPr>
          <w:cantSplit/>
        </w:trPr>
        <w:tc>
          <w:tcPr>
            <w:cnfStyle w:val="001000000000" w:firstRow="0" w:lastRow="0" w:firstColumn="1" w:lastColumn="0" w:oddVBand="0" w:evenVBand="0" w:oddHBand="0" w:evenHBand="0" w:firstRowFirstColumn="0" w:firstRowLastColumn="0" w:lastRowFirstColumn="0" w:lastRowLastColumn="0"/>
            <w:tcW w:w="2595" w:type="dxa"/>
            <w:hideMark/>
          </w:tcPr>
          <w:p w14:paraId="7C7559F1" w14:textId="77777777" w:rsidR="009568B3" w:rsidRPr="000973F2" w:rsidRDefault="009568B3" w:rsidP="009568B3">
            <w:pPr>
              <w:spacing w:before="40" w:after="4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Equipment (selection, purchase, installation)</w:t>
            </w:r>
          </w:p>
        </w:tc>
        <w:tc>
          <w:tcPr>
            <w:tcW w:w="1129" w:type="dxa"/>
            <w:noWrap/>
            <w:hideMark/>
          </w:tcPr>
          <w:p w14:paraId="3D0869E9" w14:textId="0E739CD1" w:rsidR="009568B3" w:rsidRPr="000973F2" w:rsidRDefault="009568B3" w:rsidP="009568B3">
            <w:pPr>
              <w:spacing w:before="40" w:after="4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w:t>
            </w:r>
          </w:p>
        </w:tc>
        <w:tc>
          <w:tcPr>
            <w:tcW w:w="1129" w:type="dxa"/>
            <w:noWrap/>
          </w:tcPr>
          <w:p w14:paraId="06D3F720" w14:textId="0DA3D744" w:rsidR="009568B3" w:rsidRPr="000973F2" w:rsidRDefault="009568B3" w:rsidP="009568B3">
            <w:pPr>
              <w:spacing w:before="40" w:after="4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w:t>
            </w:r>
          </w:p>
        </w:tc>
        <w:tc>
          <w:tcPr>
            <w:tcW w:w="1129" w:type="dxa"/>
            <w:noWrap/>
            <w:hideMark/>
          </w:tcPr>
          <w:p w14:paraId="0CBC342F" w14:textId="28818C87" w:rsidR="009568B3" w:rsidRPr="000973F2" w:rsidRDefault="009568B3" w:rsidP="009568B3">
            <w:pPr>
              <w:spacing w:before="40" w:after="4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w:t>
            </w:r>
          </w:p>
        </w:tc>
        <w:tc>
          <w:tcPr>
            <w:tcW w:w="1113" w:type="dxa"/>
            <w:noWrap/>
            <w:hideMark/>
          </w:tcPr>
          <w:p w14:paraId="2B2AB356" w14:textId="597E2BAA" w:rsidR="009568B3" w:rsidRPr="000973F2" w:rsidRDefault="009568B3" w:rsidP="009568B3">
            <w:pPr>
              <w:spacing w:before="40" w:after="4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w:t>
            </w:r>
          </w:p>
        </w:tc>
        <w:tc>
          <w:tcPr>
            <w:tcW w:w="1145" w:type="dxa"/>
            <w:noWrap/>
            <w:hideMark/>
          </w:tcPr>
          <w:p w14:paraId="202EAFEE" w14:textId="6638ADEF" w:rsidR="009568B3" w:rsidRPr="000973F2" w:rsidRDefault="009568B3" w:rsidP="009568B3">
            <w:pPr>
              <w:spacing w:before="40" w:after="4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w:t>
            </w:r>
          </w:p>
        </w:tc>
        <w:tc>
          <w:tcPr>
            <w:tcW w:w="1129" w:type="dxa"/>
            <w:noWrap/>
            <w:hideMark/>
          </w:tcPr>
          <w:p w14:paraId="3A1FEE17" w14:textId="6B602607" w:rsidR="009568B3" w:rsidRPr="000973F2" w:rsidRDefault="009568B3" w:rsidP="009568B3">
            <w:pPr>
              <w:spacing w:before="40" w:after="4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w:t>
            </w:r>
          </w:p>
        </w:tc>
      </w:tr>
      <w:tr w:rsidR="009568B3" w:rsidRPr="000973F2" w14:paraId="2D8CBFD3" w14:textId="77777777" w:rsidTr="009568B3">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2595" w:type="dxa"/>
            <w:hideMark/>
          </w:tcPr>
          <w:p w14:paraId="22663178" w14:textId="77777777" w:rsidR="009568B3" w:rsidRPr="000973F2" w:rsidRDefault="009568B3" w:rsidP="009568B3">
            <w:pPr>
              <w:spacing w:before="40" w:after="4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Performance testing</w:t>
            </w:r>
          </w:p>
        </w:tc>
        <w:tc>
          <w:tcPr>
            <w:tcW w:w="1129" w:type="dxa"/>
            <w:noWrap/>
            <w:hideMark/>
          </w:tcPr>
          <w:p w14:paraId="458488A8" w14:textId="1A3F68CA" w:rsidR="009568B3" w:rsidRPr="000973F2" w:rsidRDefault="009568B3" w:rsidP="009568B3">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w:t>
            </w:r>
          </w:p>
        </w:tc>
        <w:tc>
          <w:tcPr>
            <w:tcW w:w="1129" w:type="dxa"/>
            <w:noWrap/>
          </w:tcPr>
          <w:p w14:paraId="087B7A7D" w14:textId="618602EC" w:rsidR="009568B3" w:rsidRPr="000973F2" w:rsidRDefault="009568B3" w:rsidP="009568B3">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w:t>
            </w:r>
          </w:p>
        </w:tc>
        <w:tc>
          <w:tcPr>
            <w:tcW w:w="1129" w:type="dxa"/>
            <w:noWrap/>
            <w:hideMark/>
          </w:tcPr>
          <w:p w14:paraId="0416BEA4" w14:textId="40921593" w:rsidR="009568B3" w:rsidRPr="000973F2" w:rsidRDefault="009568B3" w:rsidP="009568B3">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w:t>
            </w:r>
          </w:p>
        </w:tc>
        <w:tc>
          <w:tcPr>
            <w:tcW w:w="1113" w:type="dxa"/>
            <w:noWrap/>
            <w:hideMark/>
          </w:tcPr>
          <w:p w14:paraId="779C5A03" w14:textId="26283527" w:rsidR="009568B3" w:rsidRPr="000973F2" w:rsidRDefault="009568B3" w:rsidP="009568B3">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w:t>
            </w:r>
          </w:p>
        </w:tc>
        <w:tc>
          <w:tcPr>
            <w:tcW w:w="1145" w:type="dxa"/>
            <w:noWrap/>
            <w:hideMark/>
          </w:tcPr>
          <w:p w14:paraId="44362D62" w14:textId="62BBDD41" w:rsidR="009568B3" w:rsidRPr="000973F2" w:rsidRDefault="009568B3" w:rsidP="009568B3">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w:t>
            </w:r>
          </w:p>
        </w:tc>
        <w:tc>
          <w:tcPr>
            <w:tcW w:w="1129" w:type="dxa"/>
            <w:noWrap/>
            <w:hideMark/>
          </w:tcPr>
          <w:p w14:paraId="6D77F206" w14:textId="295E25B9" w:rsidR="009568B3" w:rsidRPr="000973F2" w:rsidRDefault="009568B3" w:rsidP="009568B3">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w:t>
            </w:r>
          </w:p>
        </w:tc>
      </w:tr>
      <w:tr w:rsidR="00027595" w:rsidRPr="000973F2" w14:paraId="416B7A95" w14:textId="77777777" w:rsidTr="009568B3">
        <w:trPr>
          <w:cantSplit/>
        </w:trPr>
        <w:tc>
          <w:tcPr>
            <w:cnfStyle w:val="001000000000" w:firstRow="0" w:lastRow="0" w:firstColumn="1" w:lastColumn="0" w:oddVBand="0" w:evenVBand="0" w:oddHBand="0" w:evenHBand="0" w:firstRowFirstColumn="0" w:firstRowLastColumn="0" w:lastRowFirstColumn="0" w:lastRowLastColumn="0"/>
            <w:tcW w:w="2595" w:type="dxa"/>
            <w:hideMark/>
          </w:tcPr>
          <w:p w14:paraId="0BA7CE02" w14:textId="77777777" w:rsidR="00027595" w:rsidRPr="000973F2" w:rsidRDefault="00027595" w:rsidP="009568B3">
            <w:pPr>
              <w:spacing w:before="40" w:after="4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Recordkeeping</w:t>
            </w:r>
          </w:p>
        </w:tc>
        <w:tc>
          <w:tcPr>
            <w:tcW w:w="1129" w:type="dxa"/>
            <w:noWrap/>
            <w:hideMark/>
          </w:tcPr>
          <w:p w14:paraId="3F96D9B9" w14:textId="77777777" w:rsidR="00027595" w:rsidRPr="000973F2" w:rsidRDefault="00027595" w:rsidP="009568B3">
            <w:pPr>
              <w:spacing w:before="40" w:after="4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$0</w:t>
            </w:r>
          </w:p>
        </w:tc>
        <w:tc>
          <w:tcPr>
            <w:tcW w:w="1129" w:type="dxa"/>
            <w:noWrap/>
          </w:tcPr>
          <w:p w14:paraId="192B747D" w14:textId="091B3C55" w:rsidR="00027595" w:rsidRPr="000973F2" w:rsidRDefault="00027595" w:rsidP="009568B3">
            <w:pPr>
              <w:spacing w:before="40" w:after="4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p>
        </w:tc>
        <w:tc>
          <w:tcPr>
            <w:tcW w:w="1129" w:type="dxa"/>
            <w:noWrap/>
            <w:hideMark/>
          </w:tcPr>
          <w:p w14:paraId="33209090" w14:textId="77777777" w:rsidR="00027595" w:rsidRPr="000973F2" w:rsidRDefault="00027595" w:rsidP="009568B3">
            <w:pPr>
              <w:spacing w:before="40" w:after="4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$0</w:t>
            </w:r>
          </w:p>
        </w:tc>
        <w:tc>
          <w:tcPr>
            <w:tcW w:w="1113" w:type="dxa"/>
            <w:noWrap/>
            <w:hideMark/>
          </w:tcPr>
          <w:p w14:paraId="0356C426" w14:textId="77777777" w:rsidR="00027595" w:rsidRPr="000973F2" w:rsidRDefault="00027595" w:rsidP="009568B3">
            <w:pPr>
              <w:spacing w:before="40" w:after="4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$50</w:t>
            </w:r>
          </w:p>
        </w:tc>
        <w:tc>
          <w:tcPr>
            <w:tcW w:w="1145" w:type="dxa"/>
            <w:noWrap/>
            <w:hideMark/>
          </w:tcPr>
          <w:p w14:paraId="32AFA57F" w14:textId="77777777" w:rsidR="00027595" w:rsidRPr="000973F2" w:rsidRDefault="00027595" w:rsidP="009568B3">
            <w:pPr>
              <w:spacing w:before="40" w:after="4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$0</w:t>
            </w:r>
          </w:p>
        </w:tc>
        <w:tc>
          <w:tcPr>
            <w:tcW w:w="1129" w:type="dxa"/>
            <w:noWrap/>
            <w:hideMark/>
          </w:tcPr>
          <w:p w14:paraId="176CBBC0" w14:textId="77777777" w:rsidR="00027595" w:rsidRPr="000973F2" w:rsidRDefault="00027595" w:rsidP="009568B3">
            <w:pPr>
              <w:spacing w:before="40" w:after="4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$50</w:t>
            </w:r>
          </w:p>
        </w:tc>
      </w:tr>
      <w:tr w:rsidR="009568B3" w:rsidRPr="000973F2" w14:paraId="4C3B04E3" w14:textId="77777777" w:rsidTr="009568B3">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2595" w:type="dxa"/>
            <w:hideMark/>
          </w:tcPr>
          <w:p w14:paraId="534A8B0E" w14:textId="77777777" w:rsidR="009568B3" w:rsidRPr="000973F2" w:rsidRDefault="009568B3" w:rsidP="009568B3">
            <w:pPr>
              <w:spacing w:before="40" w:after="4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Travel</w:t>
            </w:r>
          </w:p>
        </w:tc>
        <w:tc>
          <w:tcPr>
            <w:tcW w:w="1129" w:type="dxa"/>
            <w:noWrap/>
            <w:hideMark/>
          </w:tcPr>
          <w:p w14:paraId="6DC58B9F" w14:textId="30CC838E" w:rsidR="009568B3" w:rsidRPr="000973F2" w:rsidRDefault="009568B3" w:rsidP="009568B3">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w:t>
            </w:r>
          </w:p>
        </w:tc>
        <w:tc>
          <w:tcPr>
            <w:tcW w:w="1129" w:type="dxa"/>
            <w:noWrap/>
          </w:tcPr>
          <w:p w14:paraId="4E8A5669" w14:textId="1D1CF1BC" w:rsidR="009568B3" w:rsidRPr="000973F2" w:rsidRDefault="009568B3" w:rsidP="009568B3">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w:t>
            </w:r>
          </w:p>
        </w:tc>
        <w:tc>
          <w:tcPr>
            <w:tcW w:w="1129" w:type="dxa"/>
            <w:noWrap/>
            <w:hideMark/>
          </w:tcPr>
          <w:p w14:paraId="2C21D988" w14:textId="59732CC8" w:rsidR="009568B3" w:rsidRPr="000973F2" w:rsidRDefault="009568B3" w:rsidP="009568B3">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w:t>
            </w:r>
          </w:p>
        </w:tc>
        <w:tc>
          <w:tcPr>
            <w:tcW w:w="1113" w:type="dxa"/>
            <w:noWrap/>
            <w:hideMark/>
          </w:tcPr>
          <w:p w14:paraId="29A2F2A6" w14:textId="4036DCBB" w:rsidR="009568B3" w:rsidRPr="000973F2" w:rsidRDefault="009568B3" w:rsidP="009568B3">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w:t>
            </w:r>
          </w:p>
        </w:tc>
        <w:tc>
          <w:tcPr>
            <w:tcW w:w="1145" w:type="dxa"/>
            <w:noWrap/>
            <w:hideMark/>
          </w:tcPr>
          <w:p w14:paraId="6B43A5A4" w14:textId="11082809" w:rsidR="009568B3" w:rsidRPr="000973F2" w:rsidRDefault="009568B3" w:rsidP="009568B3">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w:t>
            </w:r>
          </w:p>
        </w:tc>
        <w:tc>
          <w:tcPr>
            <w:tcW w:w="1129" w:type="dxa"/>
            <w:noWrap/>
            <w:hideMark/>
          </w:tcPr>
          <w:p w14:paraId="1D366E87" w14:textId="50BFAAEC" w:rsidR="009568B3" w:rsidRPr="000973F2" w:rsidRDefault="009568B3" w:rsidP="009568B3">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w:t>
            </w:r>
          </w:p>
        </w:tc>
      </w:tr>
      <w:tr w:rsidR="009568B3" w:rsidRPr="000973F2" w14:paraId="3D378CAD" w14:textId="77777777" w:rsidTr="009568B3">
        <w:trPr>
          <w:cantSplit/>
        </w:trPr>
        <w:tc>
          <w:tcPr>
            <w:cnfStyle w:val="001000000000" w:firstRow="0" w:lastRow="0" w:firstColumn="1" w:lastColumn="0" w:oddVBand="0" w:evenVBand="0" w:oddHBand="0" w:evenHBand="0" w:firstRowFirstColumn="0" w:firstRowLastColumn="0" w:lastRowFirstColumn="0" w:lastRowLastColumn="0"/>
            <w:tcW w:w="2595" w:type="dxa"/>
            <w:hideMark/>
          </w:tcPr>
          <w:p w14:paraId="0F375C1F" w14:textId="36462F77" w:rsidR="009568B3" w:rsidRPr="000973F2" w:rsidRDefault="009568B3" w:rsidP="009568B3">
            <w:pPr>
              <w:spacing w:before="40" w:after="4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Sampling and Analysis Costs</w:t>
            </w:r>
          </w:p>
        </w:tc>
        <w:tc>
          <w:tcPr>
            <w:tcW w:w="1129" w:type="dxa"/>
            <w:noWrap/>
            <w:hideMark/>
          </w:tcPr>
          <w:p w14:paraId="59D5DB11" w14:textId="10A4CB6E" w:rsidR="009568B3" w:rsidRPr="000973F2" w:rsidRDefault="009568B3" w:rsidP="009568B3">
            <w:pPr>
              <w:spacing w:before="40" w:after="4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w:t>
            </w:r>
          </w:p>
        </w:tc>
        <w:tc>
          <w:tcPr>
            <w:tcW w:w="1129" w:type="dxa"/>
            <w:noWrap/>
          </w:tcPr>
          <w:p w14:paraId="7C41F1CA" w14:textId="7A728AAA" w:rsidR="009568B3" w:rsidRPr="000973F2" w:rsidRDefault="009568B3" w:rsidP="009568B3">
            <w:pPr>
              <w:spacing w:before="40" w:after="4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w:t>
            </w:r>
          </w:p>
        </w:tc>
        <w:tc>
          <w:tcPr>
            <w:tcW w:w="1129" w:type="dxa"/>
            <w:noWrap/>
            <w:hideMark/>
          </w:tcPr>
          <w:p w14:paraId="08E5D1B1" w14:textId="7038DC77" w:rsidR="009568B3" w:rsidRPr="000973F2" w:rsidRDefault="009568B3" w:rsidP="009568B3">
            <w:pPr>
              <w:spacing w:before="40" w:after="4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w:t>
            </w:r>
          </w:p>
        </w:tc>
        <w:tc>
          <w:tcPr>
            <w:tcW w:w="1113" w:type="dxa"/>
            <w:noWrap/>
            <w:hideMark/>
          </w:tcPr>
          <w:p w14:paraId="73AA17CA" w14:textId="1709FA38" w:rsidR="009568B3" w:rsidRPr="000973F2" w:rsidRDefault="009568B3" w:rsidP="009568B3">
            <w:pPr>
              <w:spacing w:before="40" w:after="4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w:t>
            </w:r>
          </w:p>
        </w:tc>
        <w:tc>
          <w:tcPr>
            <w:tcW w:w="1145" w:type="dxa"/>
            <w:noWrap/>
            <w:hideMark/>
          </w:tcPr>
          <w:p w14:paraId="5F5F8BD4" w14:textId="45C1099B" w:rsidR="009568B3" w:rsidRPr="000973F2" w:rsidRDefault="009568B3" w:rsidP="009568B3">
            <w:pPr>
              <w:spacing w:before="40" w:after="4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w:t>
            </w:r>
          </w:p>
        </w:tc>
        <w:tc>
          <w:tcPr>
            <w:tcW w:w="1129" w:type="dxa"/>
            <w:noWrap/>
            <w:hideMark/>
          </w:tcPr>
          <w:p w14:paraId="6F843022" w14:textId="642507AA" w:rsidR="009568B3" w:rsidRPr="000973F2" w:rsidRDefault="009568B3" w:rsidP="009568B3">
            <w:pPr>
              <w:spacing w:before="40" w:after="4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973F2">
              <w:rPr>
                <w:rFonts w:ascii="Times New Roman" w:eastAsia="Times New Roman" w:hAnsi="Times New Roman" w:cs="Times New Roman"/>
                <w:sz w:val="18"/>
                <w:szCs w:val="18"/>
              </w:rPr>
              <w:t>–</w:t>
            </w:r>
          </w:p>
        </w:tc>
      </w:tr>
      <w:tr w:rsidR="00F40901" w:rsidRPr="000973F2" w14:paraId="46A22E75" w14:textId="77777777" w:rsidTr="00B6531F">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2595" w:type="dxa"/>
            <w:hideMark/>
          </w:tcPr>
          <w:p w14:paraId="171C9A4C" w14:textId="77777777" w:rsidR="00027595" w:rsidRPr="000973F2" w:rsidRDefault="00027595" w:rsidP="009568B3">
            <w:pPr>
              <w:spacing w:before="40" w:after="40"/>
              <w:rPr>
                <w:rFonts w:ascii="Times New Roman" w:eastAsia="Times New Roman" w:hAnsi="Times New Roman" w:cs="Times New Roman"/>
                <w:b/>
                <w:bCs w:val="0"/>
                <w:sz w:val="18"/>
                <w:szCs w:val="18"/>
              </w:rPr>
            </w:pPr>
            <w:r w:rsidRPr="000973F2">
              <w:rPr>
                <w:rFonts w:ascii="Times New Roman" w:eastAsia="Times New Roman" w:hAnsi="Times New Roman" w:cs="Times New Roman"/>
                <w:b/>
                <w:sz w:val="18"/>
                <w:szCs w:val="18"/>
              </w:rPr>
              <w:t>Total</w:t>
            </w:r>
          </w:p>
        </w:tc>
        <w:tc>
          <w:tcPr>
            <w:tcW w:w="1129" w:type="dxa"/>
            <w:noWrap/>
            <w:hideMark/>
          </w:tcPr>
          <w:p w14:paraId="3F581A18" w14:textId="77777777" w:rsidR="00027595" w:rsidRPr="000973F2" w:rsidRDefault="00027595" w:rsidP="009568B3">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sz w:val="18"/>
                <w:szCs w:val="18"/>
              </w:rPr>
            </w:pPr>
            <w:r w:rsidRPr="000973F2">
              <w:rPr>
                <w:rFonts w:ascii="Times New Roman" w:eastAsia="Times New Roman" w:hAnsi="Times New Roman" w:cs="Times New Roman"/>
                <w:b/>
                <w:sz w:val="18"/>
                <w:szCs w:val="18"/>
              </w:rPr>
              <w:t>$0</w:t>
            </w:r>
          </w:p>
        </w:tc>
        <w:tc>
          <w:tcPr>
            <w:tcW w:w="1129" w:type="dxa"/>
            <w:noWrap/>
          </w:tcPr>
          <w:p w14:paraId="31EDE54F" w14:textId="7BA3E1D1" w:rsidR="00027595" w:rsidRPr="000973F2" w:rsidRDefault="00027595" w:rsidP="009568B3">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sz w:val="18"/>
                <w:szCs w:val="18"/>
              </w:rPr>
            </w:pPr>
          </w:p>
        </w:tc>
        <w:tc>
          <w:tcPr>
            <w:tcW w:w="1129" w:type="dxa"/>
            <w:noWrap/>
            <w:hideMark/>
          </w:tcPr>
          <w:p w14:paraId="0E82D255" w14:textId="77777777" w:rsidR="00027595" w:rsidRPr="000973F2" w:rsidRDefault="00027595" w:rsidP="009568B3">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sz w:val="18"/>
                <w:szCs w:val="18"/>
              </w:rPr>
            </w:pPr>
            <w:r w:rsidRPr="000973F2">
              <w:rPr>
                <w:rFonts w:ascii="Times New Roman" w:eastAsia="Times New Roman" w:hAnsi="Times New Roman" w:cs="Times New Roman"/>
                <w:b/>
                <w:sz w:val="18"/>
                <w:szCs w:val="18"/>
              </w:rPr>
              <w:t>$0</w:t>
            </w:r>
          </w:p>
        </w:tc>
        <w:tc>
          <w:tcPr>
            <w:tcW w:w="1113" w:type="dxa"/>
            <w:noWrap/>
            <w:hideMark/>
          </w:tcPr>
          <w:p w14:paraId="4BCBB70F" w14:textId="77777777" w:rsidR="00027595" w:rsidRPr="000973F2" w:rsidRDefault="00027595" w:rsidP="009568B3">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sz w:val="18"/>
                <w:szCs w:val="18"/>
              </w:rPr>
            </w:pPr>
            <w:r w:rsidRPr="000973F2">
              <w:rPr>
                <w:rFonts w:ascii="Times New Roman" w:eastAsia="Times New Roman" w:hAnsi="Times New Roman" w:cs="Times New Roman"/>
                <w:b/>
                <w:sz w:val="18"/>
                <w:szCs w:val="18"/>
              </w:rPr>
              <w:t>$50</w:t>
            </w:r>
          </w:p>
        </w:tc>
        <w:tc>
          <w:tcPr>
            <w:tcW w:w="1145" w:type="dxa"/>
            <w:noWrap/>
            <w:hideMark/>
          </w:tcPr>
          <w:p w14:paraId="613A8C6B" w14:textId="77777777" w:rsidR="00027595" w:rsidRPr="000973F2" w:rsidRDefault="00027595" w:rsidP="009568B3">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sz w:val="18"/>
                <w:szCs w:val="18"/>
              </w:rPr>
            </w:pPr>
            <w:r w:rsidRPr="000973F2">
              <w:rPr>
                <w:rFonts w:ascii="Times New Roman" w:eastAsia="Times New Roman" w:hAnsi="Times New Roman" w:cs="Times New Roman"/>
                <w:b/>
                <w:sz w:val="18"/>
                <w:szCs w:val="18"/>
              </w:rPr>
              <w:t>$0</w:t>
            </w:r>
          </w:p>
        </w:tc>
        <w:tc>
          <w:tcPr>
            <w:tcW w:w="1129" w:type="dxa"/>
            <w:noWrap/>
            <w:hideMark/>
          </w:tcPr>
          <w:p w14:paraId="1E29DA23" w14:textId="77777777" w:rsidR="00027595" w:rsidRPr="000973F2" w:rsidRDefault="00027595" w:rsidP="009568B3">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sz w:val="18"/>
                <w:szCs w:val="18"/>
              </w:rPr>
            </w:pPr>
            <w:r w:rsidRPr="000973F2">
              <w:rPr>
                <w:rFonts w:ascii="Times New Roman" w:eastAsia="Times New Roman" w:hAnsi="Times New Roman" w:cs="Times New Roman"/>
                <w:b/>
                <w:sz w:val="18"/>
                <w:szCs w:val="18"/>
              </w:rPr>
              <w:t>$50</w:t>
            </w:r>
          </w:p>
        </w:tc>
      </w:tr>
    </w:tbl>
    <w:p w14:paraId="56DD0BC1" w14:textId="77777777" w:rsidR="00027595" w:rsidRPr="000973F2" w:rsidRDefault="00027595" w:rsidP="009568B3">
      <w:pPr>
        <w:pStyle w:val="AfterTable"/>
      </w:pPr>
    </w:p>
    <w:p w14:paraId="47D82456" w14:textId="77777777" w:rsidR="00027595" w:rsidRPr="000973F2" w:rsidRDefault="00027595" w:rsidP="009568B3">
      <w:pPr>
        <w:pStyle w:val="Heading2"/>
      </w:pPr>
      <w:r w:rsidRPr="000973F2">
        <w:t>Total Costs for Subpart UU</w:t>
      </w:r>
    </w:p>
    <w:p w14:paraId="703C8F40" w14:textId="622C7713" w:rsidR="00606428" w:rsidRPr="000973F2" w:rsidRDefault="00027595" w:rsidP="009568B3">
      <w:pPr>
        <w:pStyle w:val="BodyText"/>
      </w:pPr>
      <w:r w:rsidRPr="000973F2">
        <w:t>The total industry costs related to Subpart UU are approximately $92,000 per year for a total of $275,000 over the three-year period of the ICR. 95 facilities are expected to report in 2019, 2020, and 2021.</w:t>
      </w:r>
    </w:p>
    <w:sectPr w:rsidR="00606428" w:rsidRPr="000973F2" w:rsidSect="0051376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CE9AFEF" w14:textId="77777777" w:rsidR="000A550C" w:rsidRDefault="000A550C" w:rsidP="00830E92">
      <w:pPr>
        <w:spacing w:after="0" w:line="240" w:lineRule="auto"/>
      </w:pPr>
      <w:r>
        <w:separator/>
      </w:r>
    </w:p>
  </w:endnote>
  <w:endnote w:type="continuationSeparator" w:id="0">
    <w:p w14:paraId="3FE2D2C0" w14:textId="77777777" w:rsidR="000A550C" w:rsidRDefault="000A550C" w:rsidP="00830E92">
      <w:pPr>
        <w:spacing w:after="0" w:line="240" w:lineRule="auto"/>
      </w:pPr>
      <w:r>
        <w:continuationSeparator/>
      </w:r>
    </w:p>
  </w:endnote>
  <w:endnote w:type="continuationNotice" w:id="1">
    <w:p w14:paraId="70A4528E" w14:textId="77777777" w:rsidR="000A550C" w:rsidRDefault="000A550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A00002EF" w:usb1="4000207B" w:usb2="00000000" w:usb3="00000000" w:csb0="0000019F" w:csb1="00000000"/>
  </w:font>
  <w:font w:name="Avenir LT Std 35 Light">
    <w:altName w:val="Calibri"/>
    <w:charset w:val="00"/>
    <w:family w:val="auto"/>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C37BF34" w14:textId="05684C22" w:rsidR="000D7DE6" w:rsidRDefault="00217533" w:rsidP="00B92AFE">
    <w:pPr>
      <w:pStyle w:val="Footer"/>
      <w:jc w:val="center"/>
    </w:pPr>
    <w:r>
      <w:t>Appendix H</w:t>
    </w:r>
    <w:r>
      <w:tab/>
    </w:r>
    <w:r w:rsidR="000D7DE6">
      <w:t xml:space="preserve">Page </w:t>
    </w:r>
    <w:r w:rsidR="000D7DE6">
      <w:rPr>
        <w:b/>
        <w:bCs/>
      </w:rPr>
      <w:fldChar w:fldCharType="begin"/>
    </w:r>
    <w:r w:rsidR="000D7DE6">
      <w:rPr>
        <w:b/>
        <w:bCs/>
      </w:rPr>
      <w:instrText xml:space="preserve"> PAGE  \* Arabic  \* MERGEFORMAT </w:instrText>
    </w:r>
    <w:r w:rsidR="000D7DE6">
      <w:rPr>
        <w:b/>
        <w:bCs/>
      </w:rPr>
      <w:fldChar w:fldCharType="separate"/>
    </w:r>
    <w:r w:rsidR="00A859C1">
      <w:rPr>
        <w:b/>
        <w:bCs/>
        <w:noProof/>
      </w:rPr>
      <w:t>2</w:t>
    </w:r>
    <w:r w:rsidR="000D7DE6">
      <w:rPr>
        <w:b/>
        <w:bCs/>
      </w:rPr>
      <w:fldChar w:fldCharType="end"/>
    </w:r>
    <w:r w:rsidR="000D7DE6">
      <w:t xml:space="preserve"> of </w:t>
    </w:r>
    <w:r w:rsidR="000D7DE6">
      <w:rPr>
        <w:b/>
        <w:bCs/>
      </w:rPr>
      <w:fldChar w:fldCharType="begin"/>
    </w:r>
    <w:r w:rsidR="000D7DE6">
      <w:rPr>
        <w:b/>
        <w:bCs/>
      </w:rPr>
      <w:instrText xml:space="preserve"> NUMPAGES  \* Arabic  \* MERGEFORMAT </w:instrText>
    </w:r>
    <w:r w:rsidR="000D7DE6">
      <w:rPr>
        <w:b/>
        <w:bCs/>
      </w:rPr>
      <w:fldChar w:fldCharType="separate"/>
    </w:r>
    <w:r w:rsidR="00A859C1">
      <w:rPr>
        <w:b/>
        <w:bCs/>
        <w:noProof/>
      </w:rPr>
      <w:t>2</w:t>
    </w:r>
    <w:r w:rsidR="000D7DE6">
      <w:rPr>
        <w:b/>
        <w:bCs/>
      </w:rPr>
      <w:fldChar w:fldCharType="end"/>
    </w:r>
    <w:r>
      <w:rPr>
        <w:b/>
        <w:bCs/>
      </w:rPr>
      <w:tab/>
    </w:r>
    <w:r w:rsidRPr="00217533">
      <w:t>June 2019</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C7A0059" w14:textId="77777777" w:rsidR="000A550C" w:rsidRDefault="000A550C" w:rsidP="00830E92">
      <w:pPr>
        <w:spacing w:after="0" w:line="240" w:lineRule="auto"/>
      </w:pPr>
      <w:r>
        <w:separator/>
      </w:r>
    </w:p>
  </w:footnote>
  <w:footnote w:type="continuationSeparator" w:id="0">
    <w:p w14:paraId="2985C000" w14:textId="77777777" w:rsidR="000A550C" w:rsidRDefault="000A550C" w:rsidP="00830E92">
      <w:pPr>
        <w:spacing w:after="0" w:line="240" w:lineRule="auto"/>
      </w:pPr>
      <w:r>
        <w:continuationSeparator/>
      </w:r>
    </w:p>
  </w:footnote>
  <w:footnote w:type="continuationNotice" w:id="1">
    <w:p w14:paraId="6C004ABF" w14:textId="77777777" w:rsidR="000A550C" w:rsidRDefault="000A550C">
      <w:pPr>
        <w:spacing w:after="0" w:line="240" w:lineRule="auto"/>
      </w:pPr>
    </w:p>
  </w:footnote>
  <w:footnote w:id="2">
    <w:p w14:paraId="11461587" w14:textId="77777777" w:rsidR="000D7DE6" w:rsidRPr="007E1A55" w:rsidRDefault="000D7DE6" w:rsidP="001B195A">
      <w:pPr>
        <w:rPr>
          <w:rFonts w:ascii="Times New Roman" w:hAnsi="Times New Roman" w:cs="Times New Roman"/>
        </w:rPr>
      </w:pPr>
      <w:r w:rsidRPr="008069BB">
        <w:rPr>
          <w:rStyle w:val="FootnoteReference"/>
          <w:rFonts w:ascii="Times New Roman" w:hAnsi="Times New Roman" w:cs="Times New Roman"/>
          <w:sz w:val="20"/>
        </w:rPr>
        <w:footnoteRef/>
      </w:r>
      <w:r w:rsidRPr="007E1A55">
        <w:rPr>
          <w:rFonts w:ascii="Times New Roman" w:hAnsi="Times New Roman" w:cs="Times New Roman"/>
          <w:sz w:val="20"/>
        </w:rPr>
        <w:t xml:space="preserve"> </w:t>
      </w:r>
      <w:r w:rsidRPr="007E1A55">
        <w:rPr>
          <w:rFonts w:ascii="Times New Roman" w:hAnsi="Times New Roman" w:cs="Times New Roman"/>
          <w:i/>
          <w:iCs/>
          <w:sz w:val="20"/>
        </w:rPr>
        <w:t>Semiconductor Industry Association Petition For Reconsideration And Request For Stay Pending Reconsideration Of Subpart I Of The Final Rule</w:t>
      </w:r>
      <w:r>
        <w:rPr>
          <w:rFonts w:ascii="Times New Roman" w:hAnsi="Times New Roman" w:cs="Times New Roman"/>
          <w:i/>
          <w:iCs/>
          <w:sz w:val="20"/>
        </w:rPr>
        <w:t xml:space="preserve"> </w:t>
      </w:r>
      <w:r w:rsidRPr="007E1A55">
        <w:rPr>
          <w:rFonts w:ascii="Times New Roman" w:hAnsi="Times New Roman" w:cs="Times New Roman"/>
          <w:i/>
          <w:iCs/>
          <w:sz w:val="20"/>
        </w:rPr>
        <w:t>For Mandatory Reporting Of Greenhouse Gases</w:t>
      </w:r>
      <w:r w:rsidRPr="007E1A55">
        <w:rPr>
          <w:rFonts w:ascii="Times New Roman" w:hAnsi="Times New Roman" w:cs="Times New Roman"/>
          <w:sz w:val="20"/>
        </w:rPr>
        <w:t xml:space="preserve"> (January 31, 2011)</w:t>
      </w:r>
      <w:r>
        <w:rPr>
          <w:rFonts w:ascii="Times New Roman" w:hAnsi="Times New Roman" w:cs="Times New Roman"/>
          <w:sz w:val="20"/>
        </w:rPr>
        <w:t>.</w:t>
      </w:r>
    </w:p>
  </w:footnote>
  <w:footnote w:id="3">
    <w:p w14:paraId="48B4882D" w14:textId="77777777" w:rsidR="000D7DE6" w:rsidRDefault="000D7DE6" w:rsidP="00486D91">
      <w:pPr>
        <w:pStyle w:val="FootnoteText"/>
      </w:pPr>
      <w:r w:rsidRPr="007E1A55">
        <w:rPr>
          <w:rStyle w:val="FootnoteReference"/>
          <w:szCs w:val="22"/>
        </w:rPr>
        <w:footnoteRef/>
      </w:r>
      <w:r w:rsidRPr="007E1A55">
        <w:t xml:space="preserve"> Reporting of Greenhouse Gases –Revisions to the Electronics Manufacturing Category of the Greenhouse Gas Reporting Rule: EPA’s Responses to Public Comments (August 2013)</w:t>
      </w:r>
      <w:r>
        <w:t>.</w:t>
      </w:r>
    </w:p>
  </w:footnote>
  <w:footnote w:id="4">
    <w:p w14:paraId="7B37D10A" w14:textId="77777777" w:rsidR="000D7DE6" w:rsidRPr="00FD6107" w:rsidRDefault="000D7DE6" w:rsidP="00486D91">
      <w:pPr>
        <w:pStyle w:val="FootnoteText"/>
      </w:pPr>
      <w:r w:rsidRPr="00FD6107">
        <w:rPr>
          <w:rStyle w:val="FootnoteReference"/>
        </w:rPr>
        <w:footnoteRef/>
      </w:r>
      <w:r w:rsidRPr="00FD6107">
        <w:t xml:space="preserve"> Wyoming Analytical Laboratories, Inc. Analytical Services Fee Schedule. July 29, 2016.</w:t>
      </w:r>
    </w:p>
  </w:footnote>
  <w:footnote w:id="5">
    <w:p w14:paraId="42FD2F2B" w14:textId="77777777" w:rsidR="000D7DE6" w:rsidRPr="00242758" w:rsidRDefault="000D7DE6" w:rsidP="00B6531F">
      <w:pPr>
        <w:spacing w:after="0" w:line="240" w:lineRule="auto"/>
        <w:rPr>
          <w:rFonts w:ascii="Times New Roman" w:hAnsi="Times New Roman" w:cs="Times New Roman"/>
          <w:sz w:val="20"/>
          <w:szCs w:val="20"/>
        </w:rPr>
      </w:pPr>
      <w:r w:rsidRPr="00242758">
        <w:rPr>
          <w:rStyle w:val="FootnoteReference"/>
          <w:rFonts w:ascii="Times New Roman" w:hAnsi="Times New Roman" w:cs="Times New Roman"/>
          <w:sz w:val="20"/>
          <w:szCs w:val="20"/>
        </w:rPr>
        <w:footnoteRef/>
      </w:r>
      <w:r w:rsidRPr="00242758">
        <w:rPr>
          <w:rFonts w:ascii="Times New Roman" w:hAnsi="Times New Roman" w:cs="Times New Roman"/>
          <w:sz w:val="20"/>
          <w:szCs w:val="20"/>
        </w:rPr>
        <w:t xml:space="preserve"> In RY2016, seven </w:t>
      </w:r>
      <w:r>
        <w:rPr>
          <w:rFonts w:ascii="Times New Roman" w:hAnsi="Times New Roman" w:cs="Times New Roman"/>
          <w:sz w:val="20"/>
          <w:szCs w:val="20"/>
        </w:rPr>
        <w:t>facilities</w:t>
      </w:r>
      <w:r w:rsidRPr="00242758">
        <w:rPr>
          <w:rFonts w:ascii="Times New Roman" w:hAnsi="Times New Roman" w:cs="Times New Roman"/>
          <w:sz w:val="20"/>
          <w:szCs w:val="20"/>
        </w:rPr>
        <w:t xml:space="preserve"> </w:t>
      </w:r>
      <w:r>
        <w:rPr>
          <w:rFonts w:ascii="Times New Roman" w:hAnsi="Times New Roman" w:cs="Times New Roman"/>
          <w:sz w:val="20"/>
          <w:szCs w:val="20"/>
        </w:rPr>
        <w:t>used</w:t>
      </w:r>
      <w:r w:rsidRPr="00242758">
        <w:rPr>
          <w:rFonts w:ascii="Times New Roman" w:hAnsi="Times New Roman" w:cs="Times New Roman"/>
          <w:sz w:val="20"/>
          <w:szCs w:val="20"/>
        </w:rPr>
        <w:t xml:space="preserve"> only one GHG, one </w:t>
      </w:r>
      <w:r>
        <w:rPr>
          <w:rFonts w:ascii="Times New Roman" w:hAnsi="Times New Roman" w:cs="Times New Roman"/>
          <w:sz w:val="20"/>
          <w:szCs w:val="20"/>
        </w:rPr>
        <w:t>facility</w:t>
      </w:r>
      <w:r w:rsidRPr="00242758">
        <w:rPr>
          <w:rFonts w:ascii="Times New Roman" w:hAnsi="Times New Roman" w:cs="Times New Roman"/>
          <w:sz w:val="20"/>
          <w:szCs w:val="20"/>
        </w:rPr>
        <w:t xml:space="preserve"> </w:t>
      </w:r>
      <w:r>
        <w:rPr>
          <w:rFonts w:ascii="Times New Roman" w:hAnsi="Times New Roman" w:cs="Times New Roman"/>
          <w:sz w:val="20"/>
          <w:szCs w:val="20"/>
        </w:rPr>
        <w:t>used</w:t>
      </w:r>
      <w:r w:rsidRPr="00242758">
        <w:rPr>
          <w:rFonts w:ascii="Times New Roman" w:hAnsi="Times New Roman" w:cs="Times New Roman"/>
          <w:sz w:val="20"/>
          <w:szCs w:val="20"/>
        </w:rPr>
        <w:t xml:space="preserve"> two different GHGs, and two </w:t>
      </w:r>
      <w:r>
        <w:rPr>
          <w:rFonts w:ascii="Times New Roman" w:hAnsi="Times New Roman" w:cs="Times New Roman"/>
          <w:sz w:val="20"/>
          <w:szCs w:val="20"/>
        </w:rPr>
        <w:t xml:space="preserve">facilities used </w:t>
      </w:r>
      <w:r w:rsidRPr="00242758">
        <w:rPr>
          <w:rFonts w:ascii="Times New Roman" w:hAnsi="Times New Roman" w:cs="Times New Roman"/>
          <w:sz w:val="20"/>
          <w:szCs w:val="20"/>
        </w:rPr>
        <w:t xml:space="preserve">three different GHGs. In RY2017, four </w:t>
      </w:r>
      <w:r>
        <w:rPr>
          <w:rFonts w:ascii="Times New Roman" w:hAnsi="Times New Roman" w:cs="Times New Roman"/>
          <w:sz w:val="20"/>
          <w:szCs w:val="20"/>
        </w:rPr>
        <w:t>facilities used</w:t>
      </w:r>
      <w:r w:rsidRPr="00242758">
        <w:rPr>
          <w:rFonts w:ascii="Times New Roman" w:hAnsi="Times New Roman" w:cs="Times New Roman"/>
          <w:sz w:val="20"/>
          <w:szCs w:val="20"/>
        </w:rPr>
        <w:t xml:space="preserve"> only one GHG, one </w:t>
      </w:r>
      <w:r>
        <w:rPr>
          <w:rFonts w:ascii="Times New Roman" w:hAnsi="Times New Roman" w:cs="Times New Roman"/>
          <w:sz w:val="20"/>
          <w:szCs w:val="20"/>
        </w:rPr>
        <w:t>facility</w:t>
      </w:r>
      <w:r w:rsidRPr="00242758">
        <w:rPr>
          <w:rFonts w:ascii="Times New Roman" w:hAnsi="Times New Roman" w:cs="Times New Roman"/>
          <w:sz w:val="20"/>
          <w:szCs w:val="20"/>
        </w:rPr>
        <w:t xml:space="preserve"> used two GHGs, and two </w:t>
      </w:r>
      <w:r>
        <w:rPr>
          <w:rFonts w:ascii="Times New Roman" w:hAnsi="Times New Roman" w:cs="Times New Roman"/>
          <w:sz w:val="20"/>
          <w:szCs w:val="20"/>
        </w:rPr>
        <w:t>facilities</w:t>
      </w:r>
      <w:r w:rsidRPr="00242758">
        <w:rPr>
          <w:rFonts w:ascii="Times New Roman" w:hAnsi="Times New Roman" w:cs="Times New Roman"/>
          <w:sz w:val="20"/>
          <w:szCs w:val="20"/>
        </w:rPr>
        <w:t xml:space="preserve"> used three GHGs. The average for the subpart for RY2016 and RY2017 was </w:t>
      </w:r>
      <w:r>
        <w:rPr>
          <w:rFonts w:ascii="Times New Roman" w:hAnsi="Times New Roman" w:cs="Times New Roman"/>
          <w:sz w:val="20"/>
          <w:szCs w:val="20"/>
        </w:rPr>
        <w:t>2</w:t>
      </w:r>
      <w:r w:rsidRPr="00242758">
        <w:rPr>
          <w:rFonts w:ascii="Times New Roman" w:hAnsi="Times New Roman" w:cs="Times New Roman"/>
          <w:sz w:val="20"/>
          <w:szCs w:val="20"/>
        </w:rPr>
        <w:t xml:space="preserve"> GHGs per </w:t>
      </w:r>
      <w:r>
        <w:rPr>
          <w:rFonts w:ascii="Times New Roman" w:hAnsi="Times New Roman" w:cs="Times New Roman"/>
          <w:sz w:val="20"/>
          <w:szCs w:val="20"/>
        </w:rPr>
        <w:t>facility</w:t>
      </w:r>
      <w:r w:rsidRPr="00242758">
        <w:rPr>
          <w:rFonts w:ascii="Times New Roman" w:hAnsi="Times New Roman" w:cs="Times New Roman"/>
          <w:sz w:val="20"/>
          <w:szCs w:val="20"/>
        </w:rPr>
        <w:t>.</w:t>
      </w:r>
    </w:p>
  </w:footnote>
  <w:footnote w:id="6">
    <w:p w14:paraId="4D42AB78" w14:textId="31FC09FB" w:rsidR="0063791D" w:rsidRDefault="0063791D">
      <w:pPr>
        <w:pStyle w:val="FootnoteText"/>
      </w:pPr>
      <w:r>
        <w:rPr>
          <w:rStyle w:val="FootnoteReference"/>
        </w:rPr>
        <w:footnoteRef/>
      </w:r>
      <w:r>
        <w:t xml:space="preserve"> </w:t>
      </w:r>
      <w:r w:rsidR="00BC7D5D">
        <w:t>In RY2016, seven of the ten Subpart T facilities used Method 1 and three used Method 2 to determine GHG emissions. In RY2017, four of the seven facilities used Method 1 and three used Method 2</w:t>
      </w:r>
    </w:p>
  </w:footnote>
  <w:footnote w:id="7">
    <w:p w14:paraId="1163E520" w14:textId="77777777" w:rsidR="000D7DE6" w:rsidRPr="000650B6" w:rsidRDefault="000D7DE6" w:rsidP="00486D91">
      <w:pPr>
        <w:pStyle w:val="FootnoteText"/>
      </w:pPr>
      <w:r w:rsidRPr="000650B6">
        <w:rPr>
          <w:rStyle w:val="FootnoteReference"/>
        </w:rPr>
        <w:footnoteRef/>
      </w:r>
      <w:r w:rsidRPr="000650B6">
        <w:t xml:space="preserve"> </w:t>
      </w:r>
      <w:r>
        <w:t>C</w:t>
      </w:r>
      <w:r w:rsidRPr="000650B6">
        <w:t>ost of gas chromatography analysis per sample is estimated to be $155 plus $40 shipping and handling (</w:t>
      </w:r>
      <w:r w:rsidRPr="00FD6107">
        <w:t>Wyoming Analytical Laboratories, Inc. Analytical Services Fee Schedule. July 29, 2016</w:t>
      </w:r>
      <w:r>
        <w:t>)</w:t>
      </w:r>
      <w:r w:rsidRPr="000650B6">
        <w:t>.</w:t>
      </w:r>
    </w:p>
  </w:footnote>
  <w:footnote w:id="8">
    <w:p w14:paraId="22838F26" w14:textId="77777777" w:rsidR="000D7DE6" w:rsidRPr="00A8773C" w:rsidRDefault="000D7DE6" w:rsidP="00486D91">
      <w:pPr>
        <w:pStyle w:val="FootnoteText"/>
      </w:pPr>
      <w:r w:rsidRPr="00A8773C">
        <w:rPr>
          <w:rStyle w:val="FootnoteReference"/>
        </w:rPr>
        <w:footnoteRef/>
      </w:r>
      <w:r w:rsidRPr="00A8773C">
        <w:t xml:space="preserve"> 2015 Revisions and Confidentiality Determinations for Data Elements Under the Greenhouse Gas Reporting Rule. Federal Register Volume 81 No. 237, p. 89214-89220 (December 9, 2016).</w:t>
      </w:r>
    </w:p>
  </w:footnote>
  <w:footnote w:id="9">
    <w:p w14:paraId="2C1768C4" w14:textId="77777777" w:rsidR="000D7DE6" w:rsidRDefault="000D7DE6" w:rsidP="00486D91">
      <w:pPr>
        <w:pStyle w:val="FootnoteText"/>
      </w:pPr>
      <w:r w:rsidRPr="00A8773C">
        <w:rPr>
          <w:rStyle w:val="FootnoteReference"/>
        </w:rPr>
        <w:footnoteRef/>
      </w:r>
      <w:r w:rsidRPr="00A8773C">
        <w:t xml:space="preserve"> Available at: https://www.eia.gov/petroleum/refinerycapacity/archive/2016/refcap2016.php</w:t>
      </w:r>
    </w:p>
  </w:footnote>
  <w:footnote w:id="10">
    <w:p w14:paraId="5957FB0A" w14:textId="1BCC3AC4" w:rsidR="000D7DE6" w:rsidRDefault="000D7DE6" w:rsidP="00486D91">
      <w:pPr>
        <w:pStyle w:val="FootnoteText"/>
      </w:pPr>
      <w:r>
        <w:rPr>
          <w:rStyle w:val="FootnoteReference"/>
        </w:rPr>
        <w:footnoteRef/>
      </w:r>
      <w:r>
        <w:t xml:space="preserve"> </w:t>
      </w:r>
      <w:r w:rsidRPr="00ED055E">
        <w:t xml:space="preserve">Wyoming Analytical Laboratories, Inc, Analytical Services Fee Schedule, July 29, 2016. UPL address accessed on 6/16/2018: </w:t>
      </w:r>
      <w:hyperlink r:id="rId1" w:history="1">
        <w:r w:rsidRPr="00E47957">
          <w:rPr>
            <w:rStyle w:val="Hyperlink"/>
          </w:rPr>
          <w:t>http://wal-lab.com/wp-content/uploads/2016/08/Current-Price-List.pdf</w:t>
        </w:r>
      </w:hyperlink>
      <w:r>
        <w:t xml:space="preserve"> </w:t>
      </w:r>
    </w:p>
  </w:footnote>
  <w:footnote w:id="11">
    <w:p w14:paraId="33872799" w14:textId="77777777" w:rsidR="000D7DE6" w:rsidRPr="0080226A" w:rsidRDefault="000D7DE6" w:rsidP="00486D91">
      <w:pPr>
        <w:pStyle w:val="FootnoteText"/>
      </w:pPr>
      <w:r w:rsidRPr="00B012A6">
        <w:rPr>
          <w:rStyle w:val="FootnoteReference"/>
        </w:rPr>
        <w:footnoteRef/>
      </w:r>
      <w:r w:rsidRPr="0080226A">
        <w:t xml:space="preserve"> </w:t>
      </w:r>
      <w:r w:rsidRPr="00E941B8">
        <w:t xml:space="preserve">See document </w:t>
      </w:r>
      <w:r w:rsidRPr="006626EF">
        <w:t>EPA-HQ-OAR-2008-0508-</w:t>
      </w:r>
      <w:r w:rsidRPr="00486D91">
        <w:t>2229</w:t>
      </w:r>
      <w:r w:rsidRPr="006626EF">
        <w:t xml:space="preserve"> at </w:t>
      </w:r>
      <w:hyperlink r:id="rId2" w:history="1">
        <w:r w:rsidRPr="0080226A">
          <w:rPr>
            <w:rStyle w:val="Hyperlink"/>
          </w:rPr>
          <w:t>https://www.regulations.gov/document?D=EPA-HQ-OAR-2008-0508-2229</w:t>
        </w:r>
      </w:hyperlink>
      <w:r w:rsidRPr="0080226A">
        <w:t>.</w:t>
      </w:r>
    </w:p>
  </w:footnote>
  <w:footnote w:id="12">
    <w:p w14:paraId="3F29A082" w14:textId="7725F7C1" w:rsidR="000D7DE6" w:rsidRPr="00486D91" w:rsidRDefault="000D7DE6" w:rsidP="00486D91">
      <w:pPr>
        <w:pStyle w:val="FootnoteText"/>
      </w:pPr>
      <w:r>
        <w:rPr>
          <w:rStyle w:val="FootnoteReference"/>
        </w:rPr>
        <w:footnoteRef/>
      </w:r>
      <w:r>
        <w:t xml:space="preserve"> </w:t>
      </w:r>
      <w:r w:rsidRPr="00ED055E">
        <w:t xml:space="preserve">Wyoming Analytical Laboratories, Inc, Analytical Services Fee Schedule, July 29, 2016. UPL address accessed on 6/16/2018: </w:t>
      </w:r>
      <w:hyperlink r:id="rId3" w:history="1">
        <w:r w:rsidRPr="00E47957">
          <w:rPr>
            <w:rStyle w:val="Hyperlink"/>
          </w:rPr>
          <w:t>http://wal-lab.com/wp-content/uploads/2016/08/Current-Price-List.pdf</w:t>
        </w:r>
      </w:hyperlink>
      <w:r>
        <w:t xml:space="preserve"> </w:t>
      </w:r>
    </w:p>
  </w:footnote>
  <w:footnote w:id="13">
    <w:p w14:paraId="46904A0B" w14:textId="77777777" w:rsidR="000D7DE6" w:rsidRDefault="000D7DE6" w:rsidP="00486D91">
      <w:pPr>
        <w:pStyle w:val="FootnoteText"/>
      </w:pPr>
      <w:r>
        <w:rPr>
          <w:rStyle w:val="FootnoteReference"/>
        </w:rPr>
        <w:footnoteRef/>
      </w:r>
      <w:r>
        <w:t xml:space="preserve"> </w:t>
      </w:r>
      <w:hyperlink r:id="rId4" w:history="1">
        <w:r w:rsidRPr="00E67A6D">
          <w:rPr>
            <w:rStyle w:val="Hyperlink"/>
          </w:rPr>
          <w:t>https://www.thesafetyequipmentstore.com/GFG-7745-030.html</w:t>
        </w:r>
      </w:hyperlink>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7CFC64EA"/>
    <w:lvl w:ilvl="0">
      <w:start w:val="1"/>
      <w:numFmt w:val="decimal"/>
      <w:lvlText w:val="%1."/>
      <w:lvlJc w:val="left"/>
      <w:pPr>
        <w:tabs>
          <w:tab w:val="num" w:pos="1800"/>
        </w:tabs>
        <w:ind w:left="1800" w:hanging="360"/>
      </w:pPr>
    </w:lvl>
  </w:abstractNum>
  <w:abstractNum w:abstractNumId="1">
    <w:nsid w:val="FFFFFF7D"/>
    <w:multiLevelType w:val="singleLevel"/>
    <w:tmpl w:val="E3502AE2"/>
    <w:lvl w:ilvl="0">
      <w:start w:val="1"/>
      <w:numFmt w:val="decimal"/>
      <w:lvlText w:val="%1."/>
      <w:lvlJc w:val="left"/>
      <w:pPr>
        <w:tabs>
          <w:tab w:val="num" w:pos="1440"/>
        </w:tabs>
        <w:ind w:left="1440" w:hanging="360"/>
      </w:pPr>
    </w:lvl>
  </w:abstractNum>
  <w:abstractNum w:abstractNumId="2">
    <w:nsid w:val="FFFFFF7E"/>
    <w:multiLevelType w:val="singleLevel"/>
    <w:tmpl w:val="492480FC"/>
    <w:lvl w:ilvl="0">
      <w:start w:val="1"/>
      <w:numFmt w:val="decimal"/>
      <w:lvlText w:val="%1."/>
      <w:lvlJc w:val="left"/>
      <w:pPr>
        <w:tabs>
          <w:tab w:val="num" w:pos="1080"/>
        </w:tabs>
        <w:ind w:left="1080" w:hanging="360"/>
      </w:pPr>
    </w:lvl>
  </w:abstractNum>
  <w:abstractNum w:abstractNumId="3">
    <w:nsid w:val="FFFFFF7F"/>
    <w:multiLevelType w:val="singleLevel"/>
    <w:tmpl w:val="C82262F8"/>
    <w:lvl w:ilvl="0">
      <w:start w:val="1"/>
      <w:numFmt w:val="decimal"/>
      <w:lvlText w:val="%1."/>
      <w:lvlJc w:val="left"/>
      <w:pPr>
        <w:tabs>
          <w:tab w:val="num" w:pos="720"/>
        </w:tabs>
        <w:ind w:left="720" w:hanging="360"/>
      </w:pPr>
    </w:lvl>
  </w:abstractNum>
  <w:abstractNum w:abstractNumId="4">
    <w:nsid w:val="FFFFFF80"/>
    <w:multiLevelType w:val="singleLevel"/>
    <w:tmpl w:val="19343EC8"/>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19B6A63E"/>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61C07AB6"/>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A426F02C"/>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12464440"/>
    <w:lvl w:ilvl="0">
      <w:start w:val="1"/>
      <w:numFmt w:val="decimal"/>
      <w:lvlText w:val="%1."/>
      <w:lvlJc w:val="left"/>
      <w:pPr>
        <w:tabs>
          <w:tab w:val="num" w:pos="360"/>
        </w:tabs>
        <w:ind w:left="360" w:hanging="360"/>
      </w:pPr>
    </w:lvl>
  </w:abstractNum>
  <w:abstractNum w:abstractNumId="9">
    <w:nsid w:val="FFFFFF89"/>
    <w:multiLevelType w:val="singleLevel"/>
    <w:tmpl w:val="1FF09B62"/>
    <w:lvl w:ilvl="0">
      <w:start w:val="1"/>
      <w:numFmt w:val="bullet"/>
      <w:lvlText w:val=""/>
      <w:lvlJc w:val="left"/>
      <w:pPr>
        <w:tabs>
          <w:tab w:val="num" w:pos="360"/>
        </w:tabs>
        <w:ind w:left="360" w:hanging="360"/>
      </w:pPr>
      <w:rPr>
        <w:rFonts w:ascii="Symbol" w:hAnsi="Symbol" w:hint="default"/>
      </w:rPr>
    </w:lvl>
  </w:abstractNum>
  <w:abstractNum w:abstractNumId="10">
    <w:nsid w:val="033E16F7"/>
    <w:multiLevelType w:val="hybridMultilevel"/>
    <w:tmpl w:val="862CC4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04B66B9F"/>
    <w:multiLevelType w:val="hybridMultilevel"/>
    <w:tmpl w:val="F57654E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0AFE71A8"/>
    <w:multiLevelType w:val="hybridMultilevel"/>
    <w:tmpl w:val="160403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147D46D0"/>
    <w:multiLevelType w:val="hybridMultilevel"/>
    <w:tmpl w:val="4AB435B4"/>
    <w:lvl w:ilvl="0" w:tplc="3ADA1D52">
      <w:start w:val="1"/>
      <w:numFmt w:val="bullet"/>
      <w:pStyle w:val="Bulletlist1"/>
      <w:lvlText w:val=""/>
      <w:lvlJc w:val="left"/>
      <w:pPr>
        <w:ind w:left="720" w:hanging="360"/>
      </w:pPr>
      <w:rPr>
        <w:rFonts w:ascii="Symbol" w:hAnsi="Symbol" w:hint="default"/>
      </w:rPr>
    </w:lvl>
    <w:lvl w:ilvl="1" w:tplc="F42616E4">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16F02E6B"/>
    <w:multiLevelType w:val="hybridMultilevel"/>
    <w:tmpl w:val="EADCA328"/>
    <w:lvl w:ilvl="0" w:tplc="C5F4B4D8">
      <w:start w:val="1"/>
      <w:numFmt w:val="bullet"/>
      <w:pStyle w:val="Bulletlist2"/>
      <w:lvlText w:val="–"/>
      <w:lvlJc w:val="left"/>
      <w:pPr>
        <w:ind w:left="1440" w:hanging="360"/>
      </w:pPr>
      <w:rPr>
        <w:rFonts w:ascii="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nsid w:val="1E031D85"/>
    <w:multiLevelType w:val="hybridMultilevel"/>
    <w:tmpl w:val="0CEE7A7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25BE10B1"/>
    <w:multiLevelType w:val="hybridMultilevel"/>
    <w:tmpl w:val="1DB2B2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45186B13"/>
    <w:multiLevelType w:val="hybridMultilevel"/>
    <w:tmpl w:val="FEB4F2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493E05C2"/>
    <w:multiLevelType w:val="hybridMultilevel"/>
    <w:tmpl w:val="117634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4A945408"/>
    <w:multiLevelType w:val="hybridMultilevel"/>
    <w:tmpl w:val="FB3493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52567E09"/>
    <w:multiLevelType w:val="hybridMultilevel"/>
    <w:tmpl w:val="0ABE6D54"/>
    <w:lvl w:ilvl="0" w:tplc="4B34686A">
      <w:numFmt w:val="bullet"/>
      <w:lvlText w:val="•"/>
      <w:lvlJc w:val="left"/>
      <w:pPr>
        <w:ind w:left="720" w:hanging="720"/>
      </w:pPr>
      <w:rPr>
        <w:rFonts w:ascii="Times New Roman" w:eastAsiaTheme="minorHAnsi"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nsid w:val="602B28A0"/>
    <w:multiLevelType w:val="hybridMultilevel"/>
    <w:tmpl w:val="98D0CC6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6FE50064"/>
    <w:multiLevelType w:val="hybridMultilevel"/>
    <w:tmpl w:val="334063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75201F36"/>
    <w:multiLevelType w:val="hybridMultilevel"/>
    <w:tmpl w:val="390012A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75FB73CB"/>
    <w:multiLevelType w:val="hybridMultilevel"/>
    <w:tmpl w:val="0498A952"/>
    <w:lvl w:ilvl="0" w:tplc="0409000F">
      <w:start w:val="1"/>
      <w:numFmt w:val="decimal"/>
      <w:lvlText w:val="%1."/>
      <w:lvlJc w:val="left"/>
      <w:pPr>
        <w:ind w:left="720" w:hanging="360"/>
      </w:pPr>
      <w:rPr>
        <w:rFonts w:hint="default"/>
      </w:rPr>
    </w:lvl>
    <w:lvl w:ilvl="1" w:tplc="F42616E4">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1"/>
  </w:num>
  <w:num w:numId="2">
    <w:abstractNumId w:val="16"/>
  </w:num>
  <w:num w:numId="3">
    <w:abstractNumId w:val="10"/>
  </w:num>
  <w:num w:numId="4">
    <w:abstractNumId w:val="21"/>
  </w:num>
  <w:num w:numId="5">
    <w:abstractNumId w:val="23"/>
  </w:num>
  <w:num w:numId="6">
    <w:abstractNumId w:val="20"/>
  </w:num>
  <w:num w:numId="7">
    <w:abstractNumId w:val="18"/>
  </w:num>
  <w:num w:numId="8">
    <w:abstractNumId w:val="13"/>
  </w:num>
  <w:num w:numId="9">
    <w:abstractNumId w:val="19"/>
  </w:num>
  <w:num w:numId="10">
    <w:abstractNumId w:val="9"/>
  </w:num>
  <w:num w:numId="11">
    <w:abstractNumId w:val="7"/>
  </w:num>
  <w:num w:numId="12">
    <w:abstractNumId w:val="6"/>
  </w:num>
  <w:num w:numId="13">
    <w:abstractNumId w:val="5"/>
  </w:num>
  <w:num w:numId="14">
    <w:abstractNumId w:val="4"/>
  </w:num>
  <w:num w:numId="15">
    <w:abstractNumId w:val="8"/>
  </w:num>
  <w:num w:numId="16">
    <w:abstractNumId w:val="3"/>
  </w:num>
  <w:num w:numId="17">
    <w:abstractNumId w:val="2"/>
  </w:num>
  <w:num w:numId="18">
    <w:abstractNumId w:val="1"/>
  </w:num>
  <w:num w:numId="19">
    <w:abstractNumId w:val="0"/>
  </w:num>
  <w:num w:numId="20">
    <w:abstractNumId w:val="15"/>
  </w:num>
  <w:num w:numId="21">
    <w:abstractNumId w:val="17"/>
  </w:num>
  <w:num w:numId="22">
    <w:abstractNumId w:val="22"/>
  </w:num>
  <w:num w:numId="23">
    <w:abstractNumId w:val="12"/>
  </w:num>
  <w:num w:numId="24">
    <w:abstractNumId w:val="14"/>
  </w:num>
  <w:num w:numId="25">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A6DB3"/>
    <w:rsid w:val="00001EC1"/>
    <w:rsid w:val="00002786"/>
    <w:rsid w:val="000037A1"/>
    <w:rsid w:val="00007322"/>
    <w:rsid w:val="000074F5"/>
    <w:rsid w:val="0001210A"/>
    <w:rsid w:val="000155DC"/>
    <w:rsid w:val="00015FAC"/>
    <w:rsid w:val="0001708F"/>
    <w:rsid w:val="0001781A"/>
    <w:rsid w:val="00017C1E"/>
    <w:rsid w:val="000211D0"/>
    <w:rsid w:val="00023E6F"/>
    <w:rsid w:val="00025E97"/>
    <w:rsid w:val="00026F90"/>
    <w:rsid w:val="00027595"/>
    <w:rsid w:val="00027C4F"/>
    <w:rsid w:val="00030B07"/>
    <w:rsid w:val="000315C5"/>
    <w:rsid w:val="0003260B"/>
    <w:rsid w:val="00033096"/>
    <w:rsid w:val="00033B65"/>
    <w:rsid w:val="00034890"/>
    <w:rsid w:val="00036136"/>
    <w:rsid w:val="0003716B"/>
    <w:rsid w:val="000372B9"/>
    <w:rsid w:val="000379A4"/>
    <w:rsid w:val="00037F0B"/>
    <w:rsid w:val="0004335F"/>
    <w:rsid w:val="00043746"/>
    <w:rsid w:val="000445F7"/>
    <w:rsid w:val="00047E77"/>
    <w:rsid w:val="00050373"/>
    <w:rsid w:val="00051F9B"/>
    <w:rsid w:val="00052FA5"/>
    <w:rsid w:val="0005470E"/>
    <w:rsid w:val="00054C0B"/>
    <w:rsid w:val="00055A8A"/>
    <w:rsid w:val="000564A0"/>
    <w:rsid w:val="000566D6"/>
    <w:rsid w:val="0006183C"/>
    <w:rsid w:val="000631A2"/>
    <w:rsid w:val="000644ED"/>
    <w:rsid w:val="00065233"/>
    <w:rsid w:val="0007063A"/>
    <w:rsid w:val="00072F4C"/>
    <w:rsid w:val="000773B1"/>
    <w:rsid w:val="000802FB"/>
    <w:rsid w:val="00083B9F"/>
    <w:rsid w:val="00083D26"/>
    <w:rsid w:val="00084F52"/>
    <w:rsid w:val="00091BB1"/>
    <w:rsid w:val="0009278E"/>
    <w:rsid w:val="000936D6"/>
    <w:rsid w:val="00094929"/>
    <w:rsid w:val="00096DD9"/>
    <w:rsid w:val="00097008"/>
    <w:rsid w:val="000973F2"/>
    <w:rsid w:val="00097CA9"/>
    <w:rsid w:val="00097D64"/>
    <w:rsid w:val="000A549D"/>
    <w:rsid w:val="000A550C"/>
    <w:rsid w:val="000A70C9"/>
    <w:rsid w:val="000A7480"/>
    <w:rsid w:val="000B0A73"/>
    <w:rsid w:val="000B1A6E"/>
    <w:rsid w:val="000B25DD"/>
    <w:rsid w:val="000B2849"/>
    <w:rsid w:val="000B2A3F"/>
    <w:rsid w:val="000B4C60"/>
    <w:rsid w:val="000B7C05"/>
    <w:rsid w:val="000C0FCE"/>
    <w:rsid w:val="000C3089"/>
    <w:rsid w:val="000C3298"/>
    <w:rsid w:val="000C5C2A"/>
    <w:rsid w:val="000C6BD5"/>
    <w:rsid w:val="000D0369"/>
    <w:rsid w:val="000D396A"/>
    <w:rsid w:val="000D3BB9"/>
    <w:rsid w:val="000D578F"/>
    <w:rsid w:val="000D741C"/>
    <w:rsid w:val="000D786B"/>
    <w:rsid w:val="000D7DE6"/>
    <w:rsid w:val="000E0430"/>
    <w:rsid w:val="000E05F1"/>
    <w:rsid w:val="000E3216"/>
    <w:rsid w:val="000E41BB"/>
    <w:rsid w:val="000E42CE"/>
    <w:rsid w:val="000F079E"/>
    <w:rsid w:val="000F1A71"/>
    <w:rsid w:val="000F2BC5"/>
    <w:rsid w:val="000F404A"/>
    <w:rsid w:val="000F507E"/>
    <w:rsid w:val="000F72E3"/>
    <w:rsid w:val="0010035F"/>
    <w:rsid w:val="00100DF6"/>
    <w:rsid w:val="00100E9C"/>
    <w:rsid w:val="001013EB"/>
    <w:rsid w:val="0010325E"/>
    <w:rsid w:val="00107F52"/>
    <w:rsid w:val="0011075B"/>
    <w:rsid w:val="001115AA"/>
    <w:rsid w:val="00111D92"/>
    <w:rsid w:val="001146EB"/>
    <w:rsid w:val="00116471"/>
    <w:rsid w:val="00121F32"/>
    <w:rsid w:val="00122518"/>
    <w:rsid w:val="00122A62"/>
    <w:rsid w:val="00122E83"/>
    <w:rsid w:val="0012342A"/>
    <w:rsid w:val="001245B6"/>
    <w:rsid w:val="0012538C"/>
    <w:rsid w:val="00125923"/>
    <w:rsid w:val="0013019B"/>
    <w:rsid w:val="001320B8"/>
    <w:rsid w:val="001320D7"/>
    <w:rsid w:val="00132320"/>
    <w:rsid w:val="00136622"/>
    <w:rsid w:val="00140EF6"/>
    <w:rsid w:val="00141699"/>
    <w:rsid w:val="00141BCE"/>
    <w:rsid w:val="00141F7A"/>
    <w:rsid w:val="0014343B"/>
    <w:rsid w:val="00146C80"/>
    <w:rsid w:val="00147819"/>
    <w:rsid w:val="00150C73"/>
    <w:rsid w:val="001530CE"/>
    <w:rsid w:val="00155224"/>
    <w:rsid w:val="00155CFC"/>
    <w:rsid w:val="00161EED"/>
    <w:rsid w:val="00162779"/>
    <w:rsid w:val="00166095"/>
    <w:rsid w:val="001663F5"/>
    <w:rsid w:val="001668F6"/>
    <w:rsid w:val="00167456"/>
    <w:rsid w:val="00167D46"/>
    <w:rsid w:val="001703C0"/>
    <w:rsid w:val="0017040C"/>
    <w:rsid w:val="0017349F"/>
    <w:rsid w:val="00176D92"/>
    <w:rsid w:val="0018019A"/>
    <w:rsid w:val="00180271"/>
    <w:rsid w:val="001813C6"/>
    <w:rsid w:val="00181E1A"/>
    <w:rsid w:val="001824C4"/>
    <w:rsid w:val="001845B1"/>
    <w:rsid w:val="00184992"/>
    <w:rsid w:val="00184DCA"/>
    <w:rsid w:val="0018658C"/>
    <w:rsid w:val="001872B3"/>
    <w:rsid w:val="00187431"/>
    <w:rsid w:val="00190518"/>
    <w:rsid w:val="00192F0B"/>
    <w:rsid w:val="00193562"/>
    <w:rsid w:val="001A041D"/>
    <w:rsid w:val="001A0E12"/>
    <w:rsid w:val="001A17A0"/>
    <w:rsid w:val="001A325C"/>
    <w:rsid w:val="001A49D5"/>
    <w:rsid w:val="001A5460"/>
    <w:rsid w:val="001A6C7E"/>
    <w:rsid w:val="001A6F13"/>
    <w:rsid w:val="001B195A"/>
    <w:rsid w:val="001B65BE"/>
    <w:rsid w:val="001C2ADD"/>
    <w:rsid w:val="001C2DE7"/>
    <w:rsid w:val="001C374D"/>
    <w:rsid w:val="001C6EC3"/>
    <w:rsid w:val="001C7ED6"/>
    <w:rsid w:val="001D1F06"/>
    <w:rsid w:val="001D3507"/>
    <w:rsid w:val="001D384F"/>
    <w:rsid w:val="001D3E19"/>
    <w:rsid w:val="001D5F7E"/>
    <w:rsid w:val="001D7159"/>
    <w:rsid w:val="001E0A5C"/>
    <w:rsid w:val="001E1F4C"/>
    <w:rsid w:val="001E275F"/>
    <w:rsid w:val="001E33B1"/>
    <w:rsid w:val="001E4ED6"/>
    <w:rsid w:val="001E58F8"/>
    <w:rsid w:val="001F1417"/>
    <w:rsid w:val="001F3A7D"/>
    <w:rsid w:val="001F435D"/>
    <w:rsid w:val="001F4582"/>
    <w:rsid w:val="001F46DC"/>
    <w:rsid w:val="001F5C3A"/>
    <w:rsid w:val="001F5D45"/>
    <w:rsid w:val="001F703B"/>
    <w:rsid w:val="002015F9"/>
    <w:rsid w:val="0020267C"/>
    <w:rsid w:val="0020488C"/>
    <w:rsid w:val="00205403"/>
    <w:rsid w:val="00206831"/>
    <w:rsid w:val="00211C68"/>
    <w:rsid w:val="00212E3B"/>
    <w:rsid w:val="002151C1"/>
    <w:rsid w:val="00217533"/>
    <w:rsid w:val="0022018C"/>
    <w:rsid w:val="002217E9"/>
    <w:rsid w:val="00221C40"/>
    <w:rsid w:val="002221B0"/>
    <w:rsid w:val="002223B0"/>
    <w:rsid w:val="00222EC8"/>
    <w:rsid w:val="00226A69"/>
    <w:rsid w:val="0022766C"/>
    <w:rsid w:val="0023166B"/>
    <w:rsid w:val="0023201B"/>
    <w:rsid w:val="00232CCC"/>
    <w:rsid w:val="00235736"/>
    <w:rsid w:val="0024187B"/>
    <w:rsid w:val="00241E27"/>
    <w:rsid w:val="00242876"/>
    <w:rsid w:val="00243AF3"/>
    <w:rsid w:val="00244586"/>
    <w:rsid w:val="0024621D"/>
    <w:rsid w:val="0024673A"/>
    <w:rsid w:val="00246D7D"/>
    <w:rsid w:val="00247A39"/>
    <w:rsid w:val="002500A3"/>
    <w:rsid w:val="002506E0"/>
    <w:rsid w:val="0025185F"/>
    <w:rsid w:val="00251973"/>
    <w:rsid w:val="00252105"/>
    <w:rsid w:val="0025278A"/>
    <w:rsid w:val="00252A6A"/>
    <w:rsid w:val="002543C6"/>
    <w:rsid w:val="00255F2A"/>
    <w:rsid w:val="002561F6"/>
    <w:rsid w:val="00260534"/>
    <w:rsid w:val="002609AE"/>
    <w:rsid w:val="002649D1"/>
    <w:rsid w:val="00266033"/>
    <w:rsid w:val="00275BB0"/>
    <w:rsid w:val="00276112"/>
    <w:rsid w:val="002765DB"/>
    <w:rsid w:val="0027675D"/>
    <w:rsid w:val="00283895"/>
    <w:rsid w:val="0028722E"/>
    <w:rsid w:val="00287BBC"/>
    <w:rsid w:val="002918B9"/>
    <w:rsid w:val="002920AF"/>
    <w:rsid w:val="00293B72"/>
    <w:rsid w:val="00294C5B"/>
    <w:rsid w:val="002A3992"/>
    <w:rsid w:val="002A3F0C"/>
    <w:rsid w:val="002A3FB3"/>
    <w:rsid w:val="002A42FC"/>
    <w:rsid w:val="002A46EC"/>
    <w:rsid w:val="002A4792"/>
    <w:rsid w:val="002A69EE"/>
    <w:rsid w:val="002A76E2"/>
    <w:rsid w:val="002A7875"/>
    <w:rsid w:val="002A7C1B"/>
    <w:rsid w:val="002B0466"/>
    <w:rsid w:val="002B175F"/>
    <w:rsid w:val="002B2B8A"/>
    <w:rsid w:val="002B30B6"/>
    <w:rsid w:val="002B471A"/>
    <w:rsid w:val="002B5FE4"/>
    <w:rsid w:val="002B7049"/>
    <w:rsid w:val="002C0577"/>
    <w:rsid w:val="002C1A59"/>
    <w:rsid w:val="002C2F2F"/>
    <w:rsid w:val="002C52FA"/>
    <w:rsid w:val="002C5792"/>
    <w:rsid w:val="002C6341"/>
    <w:rsid w:val="002C66C3"/>
    <w:rsid w:val="002D0993"/>
    <w:rsid w:val="002D418B"/>
    <w:rsid w:val="002D521F"/>
    <w:rsid w:val="002E03B4"/>
    <w:rsid w:val="002E19F0"/>
    <w:rsid w:val="002E2424"/>
    <w:rsid w:val="002E3544"/>
    <w:rsid w:val="002E3D4E"/>
    <w:rsid w:val="002E420E"/>
    <w:rsid w:val="002E5C36"/>
    <w:rsid w:val="002E6E01"/>
    <w:rsid w:val="002F2CAA"/>
    <w:rsid w:val="002F523E"/>
    <w:rsid w:val="002F580A"/>
    <w:rsid w:val="002F5D2C"/>
    <w:rsid w:val="002F7E82"/>
    <w:rsid w:val="00302E41"/>
    <w:rsid w:val="003034AF"/>
    <w:rsid w:val="003069D9"/>
    <w:rsid w:val="003070F4"/>
    <w:rsid w:val="00307861"/>
    <w:rsid w:val="0031019E"/>
    <w:rsid w:val="00311F30"/>
    <w:rsid w:val="00312AA6"/>
    <w:rsid w:val="00314DD5"/>
    <w:rsid w:val="00316561"/>
    <w:rsid w:val="00321129"/>
    <w:rsid w:val="00321E40"/>
    <w:rsid w:val="0032360B"/>
    <w:rsid w:val="00330369"/>
    <w:rsid w:val="00331518"/>
    <w:rsid w:val="00333FEB"/>
    <w:rsid w:val="003348FF"/>
    <w:rsid w:val="00334FF1"/>
    <w:rsid w:val="0033557C"/>
    <w:rsid w:val="00335632"/>
    <w:rsid w:val="003362CA"/>
    <w:rsid w:val="003363FF"/>
    <w:rsid w:val="00336CCE"/>
    <w:rsid w:val="00340041"/>
    <w:rsid w:val="00342A5C"/>
    <w:rsid w:val="00342E45"/>
    <w:rsid w:val="00342ED7"/>
    <w:rsid w:val="0034635F"/>
    <w:rsid w:val="00347A9D"/>
    <w:rsid w:val="00351976"/>
    <w:rsid w:val="00356C07"/>
    <w:rsid w:val="00356C95"/>
    <w:rsid w:val="00357440"/>
    <w:rsid w:val="00361080"/>
    <w:rsid w:val="003650D0"/>
    <w:rsid w:val="00366632"/>
    <w:rsid w:val="00367B6B"/>
    <w:rsid w:val="0037184E"/>
    <w:rsid w:val="0037343F"/>
    <w:rsid w:val="003752E2"/>
    <w:rsid w:val="00375D33"/>
    <w:rsid w:val="003768E3"/>
    <w:rsid w:val="00380060"/>
    <w:rsid w:val="00381C51"/>
    <w:rsid w:val="00382336"/>
    <w:rsid w:val="00383FFF"/>
    <w:rsid w:val="00385C8E"/>
    <w:rsid w:val="003966CF"/>
    <w:rsid w:val="003A5981"/>
    <w:rsid w:val="003B058A"/>
    <w:rsid w:val="003B283B"/>
    <w:rsid w:val="003B4CF5"/>
    <w:rsid w:val="003B4D11"/>
    <w:rsid w:val="003B68E4"/>
    <w:rsid w:val="003B77D0"/>
    <w:rsid w:val="003C24D8"/>
    <w:rsid w:val="003C29D6"/>
    <w:rsid w:val="003C2F27"/>
    <w:rsid w:val="003C3444"/>
    <w:rsid w:val="003C60C5"/>
    <w:rsid w:val="003C6B0B"/>
    <w:rsid w:val="003D2894"/>
    <w:rsid w:val="003D49C1"/>
    <w:rsid w:val="003D4EAC"/>
    <w:rsid w:val="003D5B24"/>
    <w:rsid w:val="003E005F"/>
    <w:rsid w:val="003E0F61"/>
    <w:rsid w:val="003E1272"/>
    <w:rsid w:val="003E2499"/>
    <w:rsid w:val="003E51ED"/>
    <w:rsid w:val="003E67C5"/>
    <w:rsid w:val="003F10CB"/>
    <w:rsid w:val="003F2CD3"/>
    <w:rsid w:val="003F42BB"/>
    <w:rsid w:val="003F4AFF"/>
    <w:rsid w:val="003F501C"/>
    <w:rsid w:val="004002F5"/>
    <w:rsid w:val="00400973"/>
    <w:rsid w:val="004037CA"/>
    <w:rsid w:val="00403B5A"/>
    <w:rsid w:val="00405052"/>
    <w:rsid w:val="00406A72"/>
    <w:rsid w:val="00407DA2"/>
    <w:rsid w:val="0041094D"/>
    <w:rsid w:val="00410CC5"/>
    <w:rsid w:val="004130D0"/>
    <w:rsid w:val="00415D17"/>
    <w:rsid w:val="00421E5A"/>
    <w:rsid w:val="004220E6"/>
    <w:rsid w:val="00422E53"/>
    <w:rsid w:val="00426F77"/>
    <w:rsid w:val="00427C61"/>
    <w:rsid w:val="00430EC0"/>
    <w:rsid w:val="00434D26"/>
    <w:rsid w:val="004350F5"/>
    <w:rsid w:val="00436FD8"/>
    <w:rsid w:val="00437A05"/>
    <w:rsid w:val="00442B24"/>
    <w:rsid w:val="00442C56"/>
    <w:rsid w:val="0044431C"/>
    <w:rsid w:val="004447D8"/>
    <w:rsid w:val="00444F50"/>
    <w:rsid w:val="004456EC"/>
    <w:rsid w:val="0044747A"/>
    <w:rsid w:val="00453155"/>
    <w:rsid w:val="00454D61"/>
    <w:rsid w:val="00455015"/>
    <w:rsid w:val="0045616E"/>
    <w:rsid w:val="0045727A"/>
    <w:rsid w:val="00457726"/>
    <w:rsid w:val="00457C5E"/>
    <w:rsid w:val="00460244"/>
    <w:rsid w:val="004605BE"/>
    <w:rsid w:val="004608E5"/>
    <w:rsid w:val="00460A01"/>
    <w:rsid w:val="00461614"/>
    <w:rsid w:val="00462AF2"/>
    <w:rsid w:val="00462DA7"/>
    <w:rsid w:val="00466C7B"/>
    <w:rsid w:val="004671A3"/>
    <w:rsid w:val="004706F7"/>
    <w:rsid w:val="00470775"/>
    <w:rsid w:val="00470CE2"/>
    <w:rsid w:val="00473507"/>
    <w:rsid w:val="00473864"/>
    <w:rsid w:val="00474C42"/>
    <w:rsid w:val="00477424"/>
    <w:rsid w:val="00480FEC"/>
    <w:rsid w:val="0048172C"/>
    <w:rsid w:val="0048392B"/>
    <w:rsid w:val="00485948"/>
    <w:rsid w:val="00485A61"/>
    <w:rsid w:val="00486498"/>
    <w:rsid w:val="00486D91"/>
    <w:rsid w:val="00487CC7"/>
    <w:rsid w:val="0049034F"/>
    <w:rsid w:val="00490F10"/>
    <w:rsid w:val="00492E3B"/>
    <w:rsid w:val="0049353D"/>
    <w:rsid w:val="004948C5"/>
    <w:rsid w:val="004A0A2A"/>
    <w:rsid w:val="004A26EE"/>
    <w:rsid w:val="004A3755"/>
    <w:rsid w:val="004A444B"/>
    <w:rsid w:val="004A451E"/>
    <w:rsid w:val="004A5F25"/>
    <w:rsid w:val="004A7B71"/>
    <w:rsid w:val="004B0E8D"/>
    <w:rsid w:val="004C0AE7"/>
    <w:rsid w:val="004C362B"/>
    <w:rsid w:val="004C44A1"/>
    <w:rsid w:val="004C5B58"/>
    <w:rsid w:val="004C6B77"/>
    <w:rsid w:val="004D00B0"/>
    <w:rsid w:val="004D0729"/>
    <w:rsid w:val="004D220F"/>
    <w:rsid w:val="004D463F"/>
    <w:rsid w:val="004D487D"/>
    <w:rsid w:val="004D5C48"/>
    <w:rsid w:val="004D66F5"/>
    <w:rsid w:val="004E0C2A"/>
    <w:rsid w:val="004E3129"/>
    <w:rsid w:val="004E43C9"/>
    <w:rsid w:val="004E64C7"/>
    <w:rsid w:val="004E6D35"/>
    <w:rsid w:val="004F15FB"/>
    <w:rsid w:val="004F3CD0"/>
    <w:rsid w:val="004F3E14"/>
    <w:rsid w:val="004F4CB1"/>
    <w:rsid w:val="004F677A"/>
    <w:rsid w:val="004F6DBD"/>
    <w:rsid w:val="004F7F8D"/>
    <w:rsid w:val="005003FD"/>
    <w:rsid w:val="00500A8A"/>
    <w:rsid w:val="005012D0"/>
    <w:rsid w:val="005029DF"/>
    <w:rsid w:val="0050360F"/>
    <w:rsid w:val="005062BC"/>
    <w:rsid w:val="00507398"/>
    <w:rsid w:val="00510B00"/>
    <w:rsid w:val="00512C53"/>
    <w:rsid w:val="00512E2E"/>
    <w:rsid w:val="005135FE"/>
    <w:rsid w:val="00513767"/>
    <w:rsid w:val="00515347"/>
    <w:rsid w:val="00515B03"/>
    <w:rsid w:val="00515CBD"/>
    <w:rsid w:val="00515E32"/>
    <w:rsid w:val="00517824"/>
    <w:rsid w:val="00520063"/>
    <w:rsid w:val="00521979"/>
    <w:rsid w:val="00522BEF"/>
    <w:rsid w:val="00526EDA"/>
    <w:rsid w:val="0053288C"/>
    <w:rsid w:val="005339BF"/>
    <w:rsid w:val="00533D42"/>
    <w:rsid w:val="00535338"/>
    <w:rsid w:val="00536922"/>
    <w:rsid w:val="00537A80"/>
    <w:rsid w:val="005432A5"/>
    <w:rsid w:val="0054400A"/>
    <w:rsid w:val="005443E4"/>
    <w:rsid w:val="00552C5A"/>
    <w:rsid w:val="00555520"/>
    <w:rsid w:val="0056034B"/>
    <w:rsid w:val="00560542"/>
    <w:rsid w:val="00561CB5"/>
    <w:rsid w:val="00565CCC"/>
    <w:rsid w:val="0056665F"/>
    <w:rsid w:val="00566E27"/>
    <w:rsid w:val="005670FD"/>
    <w:rsid w:val="005724E3"/>
    <w:rsid w:val="0057351F"/>
    <w:rsid w:val="00574B8A"/>
    <w:rsid w:val="00575122"/>
    <w:rsid w:val="005755FD"/>
    <w:rsid w:val="005828DB"/>
    <w:rsid w:val="00584204"/>
    <w:rsid w:val="005872F5"/>
    <w:rsid w:val="00587B60"/>
    <w:rsid w:val="00592544"/>
    <w:rsid w:val="00592B24"/>
    <w:rsid w:val="00592E34"/>
    <w:rsid w:val="005A0C02"/>
    <w:rsid w:val="005A3F08"/>
    <w:rsid w:val="005A4CA1"/>
    <w:rsid w:val="005A556C"/>
    <w:rsid w:val="005A6B55"/>
    <w:rsid w:val="005A713E"/>
    <w:rsid w:val="005A72E9"/>
    <w:rsid w:val="005A77CE"/>
    <w:rsid w:val="005B011C"/>
    <w:rsid w:val="005B0837"/>
    <w:rsid w:val="005B22C5"/>
    <w:rsid w:val="005B2591"/>
    <w:rsid w:val="005B341F"/>
    <w:rsid w:val="005B6A90"/>
    <w:rsid w:val="005B76DE"/>
    <w:rsid w:val="005C22AC"/>
    <w:rsid w:val="005C2715"/>
    <w:rsid w:val="005C66F4"/>
    <w:rsid w:val="005D29FA"/>
    <w:rsid w:val="005D4A67"/>
    <w:rsid w:val="005D5A62"/>
    <w:rsid w:val="005D6075"/>
    <w:rsid w:val="005D6462"/>
    <w:rsid w:val="005E0A98"/>
    <w:rsid w:val="005E443D"/>
    <w:rsid w:val="005E5878"/>
    <w:rsid w:val="005E6D05"/>
    <w:rsid w:val="005E78BD"/>
    <w:rsid w:val="005F01F6"/>
    <w:rsid w:val="005F1265"/>
    <w:rsid w:val="005F14DD"/>
    <w:rsid w:val="005F401B"/>
    <w:rsid w:val="005F44DC"/>
    <w:rsid w:val="005F52CA"/>
    <w:rsid w:val="005F56BF"/>
    <w:rsid w:val="005F59A8"/>
    <w:rsid w:val="005F65BC"/>
    <w:rsid w:val="00606428"/>
    <w:rsid w:val="0060777B"/>
    <w:rsid w:val="0061120D"/>
    <w:rsid w:val="0061289C"/>
    <w:rsid w:val="0061396C"/>
    <w:rsid w:val="00614E10"/>
    <w:rsid w:val="0061529F"/>
    <w:rsid w:val="0061585D"/>
    <w:rsid w:val="00615ABA"/>
    <w:rsid w:val="00616CDE"/>
    <w:rsid w:val="006173CD"/>
    <w:rsid w:val="00620ADF"/>
    <w:rsid w:val="00621F12"/>
    <w:rsid w:val="006225D4"/>
    <w:rsid w:val="00622B20"/>
    <w:rsid w:val="00622EF9"/>
    <w:rsid w:val="0062417F"/>
    <w:rsid w:val="006255F8"/>
    <w:rsid w:val="00625957"/>
    <w:rsid w:val="0062677D"/>
    <w:rsid w:val="0063018C"/>
    <w:rsid w:val="006305F0"/>
    <w:rsid w:val="006306B1"/>
    <w:rsid w:val="00630C04"/>
    <w:rsid w:val="00630E45"/>
    <w:rsid w:val="00632062"/>
    <w:rsid w:val="00632785"/>
    <w:rsid w:val="006328B0"/>
    <w:rsid w:val="006334BA"/>
    <w:rsid w:val="00636404"/>
    <w:rsid w:val="0063791D"/>
    <w:rsid w:val="00640EF4"/>
    <w:rsid w:val="0064443F"/>
    <w:rsid w:val="00644AB2"/>
    <w:rsid w:val="00647390"/>
    <w:rsid w:val="00647CB9"/>
    <w:rsid w:val="00651B70"/>
    <w:rsid w:val="0065218F"/>
    <w:rsid w:val="0065356C"/>
    <w:rsid w:val="00653714"/>
    <w:rsid w:val="006541EC"/>
    <w:rsid w:val="0065458C"/>
    <w:rsid w:val="0065487B"/>
    <w:rsid w:val="00661EA1"/>
    <w:rsid w:val="00661F03"/>
    <w:rsid w:val="00664812"/>
    <w:rsid w:val="00671A7D"/>
    <w:rsid w:val="00672DFD"/>
    <w:rsid w:val="00675E5A"/>
    <w:rsid w:val="006767C4"/>
    <w:rsid w:val="006772F4"/>
    <w:rsid w:val="00682976"/>
    <w:rsid w:val="0068622D"/>
    <w:rsid w:val="006872CD"/>
    <w:rsid w:val="0069096C"/>
    <w:rsid w:val="006925A7"/>
    <w:rsid w:val="00696D1E"/>
    <w:rsid w:val="006A0C1C"/>
    <w:rsid w:val="006A22E2"/>
    <w:rsid w:val="006A262B"/>
    <w:rsid w:val="006A2BE8"/>
    <w:rsid w:val="006A53C9"/>
    <w:rsid w:val="006A69E8"/>
    <w:rsid w:val="006A6FFF"/>
    <w:rsid w:val="006A77F5"/>
    <w:rsid w:val="006B0E0A"/>
    <w:rsid w:val="006B4132"/>
    <w:rsid w:val="006B55CC"/>
    <w:rsid w:val="006B5E19"/>
    <w:rsid w:val="006B6C52"/>
    <w:rsid w:val="006B6D25"/>
    <w:rsid w:val="006B7F2C"/>
    <w:rsid w:val="006C2304"/>
    <w:rsid w:val="006C4F63"/>
    <w:rsid w:val="006C6CF0"/>
    <w:rsid w:val="006D0010"/>
    <w:rsid w:val="006D06F9"/>
    <w:rsid w:val="006D1AF1"/>
    <w:rsid w:val="006D5587"/>
    <w:rsid w:val="006E0703"/>
    <w:rsid w:val="006E21DB"/>
    <w:rsid w:val="006E60B3"/>
    <w:rsid w:val="006E748E"/>
    <w:rsid w:val="006E7CB7"/>
    <w:rsid w:val="006F0A42"/>
    <w:rsid w:val="006F2F72"/>
    <w:rsid w:val="006F409A"/>
    <w:rsid w:val="006F44A8"/>
    <w:rsid w:val="006F53B3"/>
    <w:rsid w:val="00702890"/>
    <w:rsid w:val="007054A6"/>
    <w:rsid w:val="00706B2E"/>
    <w:rsid w:val="0071032D"/>
    <w:rsid w:val="007137BF"/>
    <w:rsid w:val="0071775F"/>
    <w:rsid w:val="0072037C"/>
    <w:rsid w:val="00720927"/>
    <w:rsid w:val="00721002"/>
    <w:rsid w:val="00721466"/>
    <w:rsid w:val="007214C9"/>
    <w:rsid w:val="007231BF"/>
    <w:rsid w:val="00725279"/>
    <w:rsid w:val="00731D83"/>
    <w:rsid w:val="00731F5F"/>
    <w:rsid w:val="00732D5D"/>
    <w:rsid w:val="007350C7"/>
    <w:rsid w:val="007358DB"/>
    <w:rsid w:val="007376CB"/>
    <w:rsid w:val="0074097D"/>
    <w:rsid w:val="00740BE1"/>
    <w:rsid w:val="007410EC"/>
    <w:rsid w:val="00741D34"/>
    <w:rsid w:val="0074212E"/>
    <w:rsid w:val="007425AB"/>
    <w:rsid w:val="00744C15"/>
    <w:rsid w:val="00746DA2"/>
    <w:rsid w:val="00747702"/>
    <w:rsid w:val="007478B6"/>
    <w:rsid w:val="00752163"/>
    <w:rsid w:val="0075229A"/>
    <w:rsid w:val="007528DE"/>
    <w:rsid w:val="00753F02"/>
    <w:rsid w:val="00753F94"/>
    <w:rsid w:val="007548EE"/>
    <w:rsid w:val="00754E30"/>
    <w:rsid w:val="00755318"/>
    <w:rsid w:val="00755861"/>
    <w:rsid w:val="0075625E"/>
    <w:rsid w:val="0076227A"/>
    <w:rsid w:val="007633EE"/>
    <w:rsid w:val="007638B7"/>
    <w:rsid w:val="00763D12"/>
    <w:rsid w:val="007649D9"/>
    <w:rsid w:val="00764E65"/>
    <w:rsid w:val="00765C1E"/>
    <w:rsid w:val="00767ACC"/>
    <w:rsid w:val="00770A3F"/>
    <w:rsid w:val="00770F92"/>
    <w:rsid w:val="00772F9B"/>
    <w:rsid w:val="00773785"/>
    <w:rsid w:val="00773D8E"/>
    <w:rsid w:val="007741E8"/>
    <w:rsid w:val="00774A44"/>
    <w:rsid w:val="007803D7"/>
    <w:rsid w:val="00780E05"/>
    <w:rsid w:val="00780E7D"/>
    <w:rsid w:val="00783488"/>
    <w:rsid w:val="007859A8"/>
    <w:rsid w:val="00786480"/>
    <w:rsid w:val="00793A24"/>
    <w:rsid w:val="007A599B"/>
    <w:rsid w:val="007A65E0"/>
    <w:rsid w:val="007A6E37"/>
    <w:rsid w:val="007A7070"/>
    <w:rsid w:val="007B00BC"/>
    <w:rsid w:val="007B2A00"/>
    <w:rsid w:val="007B39D2"/>
    <w:rsid w:val="007B434D"/>
    <w:rsid w:val="007B527F"/>
    <w:rsid w:val="007C1A0D"/>
    <w:rsid w:val="007C3275"/>
    <w:rsid w:val="007C4E83"/>
    <w:rsid w:val="007C5F18"/>
    <w:rsid w:val="007C6E2B"/>
    <w:rsid w:val="007D258A"/>
    <w:rsid w:val="007D3795"/>
    <w:rsid w:val="007D5F58"/>
    <w:rsid w:val="007D6F47"/>
    <w:rsid w:val="007E1B75"/>
    <w:rsid w:val="007E27B2"/>
    <w:rsid w:val="007E2B06"/>
    <w:rsid w:val="007E60C9"/>
    <w:rsid w:val="007E7F5C"/>
    <w:rsid w:val="007F08F7"/>
    <w:rsid w:val="007F1119"/>
    <w:rsid w:val="007F2523"/>
    <w:rsid w:val="007F309D"/>
    <w:rsid w:val="007F466B"/>
    <w:rsid w:val="007F7160"/>
    <w:rsid w:val="00805713"/>
    <w:rsid w:val="00807024"/>
    <w:rsid w:val="0081169D"/>
    <w:rsid w:val="00811CBF"/>
    <w:rsid w:val="00812872"/>
    <w:rsid w:val="008128E8"/>
    <w:rsid w:val="00813E5E"/>
    <w:rsid w:val="00813F0B"/>
    <w:rsid w:val="00816BF1"/>
    <w:rsid w:val="00817379"/>
    <w:rsid w:val="00817917"/>
    <w:rsid w:val="008224F5"/>
    <w:rsid w:val="0082381C"/>
    <w:rsid w:val="00824684"/>
    <w:rsid w:val="008266EE"/>
    <w:rsid w:val="0082719C"/>
    <w:rsid w:val="00827CE4"/>
    <w:rsid w:val="00830E92"/>
    <w:rsid w:val="0083119C"/>
    <w:rsid w:val="00831394"/>
    <w:rsid w:val="008348F8"/>
    <w:rsid w:val="00834C45"/>
    <w:rsid w:val="00836FDB"/>
    <w:rsid w:val="008376C1"/>
    <w:rsid w:val="00837C73"/>
    <w:rsid w:val="008401FB"/>
    <w:rsid w:val="008403B1"/>
    <w:rsid w:val="00840B87"/>
    <w:rsid w:val="0084123A"/>
    <w:rsid w:val="008423C5"/>
    <w:rsid w:val="0084264D"/>
    <w:rsid w:val="00844ED4"/>
    <w:rsid w:val="00845109"/>
    <w:rsid w:val="00846B94"/>
    <w:rsid w:val="0085143F"/>
    <w:rsid w:val="00851513"/>
    <w:rsid w:val="00851C5C"/>
    <w:rsid w:val="008548FA"/>
    <w:rsid w:val="0085724F"/>
    <w:rsid w:val="0086139F"/>
    <w:rsid w:val="00861D32"/>
    <w:rsid w:val="0086265B"/>
    <w:rsid w:val="0086415A"/>
    <w:rsid w:val="0086526D"/>
    <w:rsid w:val="008670D5"/>
    <w:rsid w:val="00871D79"/>
    <w:rsid w:val="00873379"/>
    <w:rsid w:val="00873E9F"/>
    <w:rsid w:val="00883590"/>
    <w:rsid w:val="008854F6"/>
    <w:rsid w:val="00885B9F"/>
    <w:rsid w:val="008904C8"/>
    <w:rsid w:val="00890571"/>
    <w:rsid w:val="00891742"/>
    <w:rsid w:val="00892409"/>
    <w:rsid w:val="008924D4"/>
    <w:rsid w:val="00892661"/>
    <w:rsid w:val="008938EC"/>
    <w:rsid w:val="0089574F"/>
    <w:rsid w:val="00895E9A"/>
    <w:rsid w:val="00896D77"/>
    <w:rsid w:val="008A1B80"/>
    <w:rsid w:val="008A2216"/>
    <w:rsid w:val="008A2B1B"/>
    <w:rsid w:val="008A3BDB"/>
    <w:rsid w:val="008A445D"/>
    <w:rsid w:val="008A4A3A"/>
    <w:rsid w:val="008B39AE"/>
    <w:rsid w:val="008B3A4C"/>
    <w:rsid w:val="008B4A57"/>
    <w:rsid w:val="008B7A8F"/>
    <w:rsid w:val="008C2EF5"/>
    <w:rsid w:val="008C3FCE"/>
    <w:rsid w:val="008C60CF"/>
    <w:rsid w:val="008C674F"/>
    <w:rsid w:val="008D2648"/>
    <w:rsid w:val="008D32E6"/>
    <w:rsid w:val="008D49C3"/>
    <w:rsid w:val="008D55C7"/>
    <w:rsid w:val="008D726C"/>
    <w:rsid w:val="008D73F4"/>
    <w:rsid w:val="008E0172"/>
    <w:rsid w:val="008E069A"/>
    <w:rsid w:val="008E0F06"/>
    <w:rsid w:val="008E1CF1"/>
    <w:rsid w:val="008E5614"/>
    <w:rsid w:val="008E6A72"/>
    <w:rsid w:val="008E6C02"/>
    <w:rsid w:val="008F2F77"/>
    <w:rsid w:val="008F390E"/>
    <w:rsid w:val="008F751E"/>
    <w:rsid w:val="009000C8"/>
    <w:rsid w:val="009003B6"/>
    <w:rsid w:val="00902283"/>
    <w:rsid w:val="009022AC"/>
    <w:rsid w:val="0090232A"/>
    <w:rsid w:val="009032BF"/>
    <w:rsid w:val="00906474"/>
    <w:rsid w:val="009068CF"/>
    <w:rsid w:val="009068D7"/>
    <w:rsid w:val="00906956"/>
    <w:rsid w:val="00907F7B"/>
    <w:rsid w:val="00910B1F"/>
    <w:rsid w:val="00914917"/>
    <w:rsid w:val="00916B45"/>
    <w:rsid w:val="00917741"/>
    <w:rsid w:val="00920A2D"/>
    <w:rsid w:val="00922980"/>
    <w:rsid w:val="00923EEC"/>
    <w:rsid w:val="00924B91"/>
    <w:rsid w:val="009252D3"/>
    <w:rsid w:val="00925F04"/>
    <w:rsid w:val="00933B55"/>
    <w:rsid w:val="00936459"/>
    <w:rsid w:val="00937577"/>
    <w:rsid w:val="00941150"/>
    <w:rsid w:val="00941B95"/>
    <w:rsid w:val="0094202F"/>
    <w:rsid w:val="009429AD"/>
    <w:rsid w:val="00942A09"/>
    <w:rsid w:val="00953736"/>
    <w:rsid w:val="0095485C"/>
    <w:rsid w:val="0095570F"/>
    <w:rsid w:val="009568B3"/>
    <w:rsid w:val="00956E22"/>
    <w:rsid w:val="0096063F"/>
    <w:rsid w:val="009637EF"/>
    <w:rsid w:val="00964CF7"/>
    <w:rsid w:val="00964D9E"/>
    <w:rsid w:val="00964E71"/>
    <w:rsid w:val="009663E4"/>
    <w:rsid w:val="00971236"/>
    <w:rsid w:val="009715C7"/>
    <w:rsid w:val="009753A9"/>
    <w:rsid w:val="00977B1C"/>
    <w:rsid w:val="009801BA"/>
    <w:rsid w:val="009807DE"/>
    <w:rsid w:val="00982AC5"/>
    <w:rsid w:val="00983296"/>
    <w:rsid w:val="00984A26"/>
    <w:rsid w:val="009876CC"/>
    <w:rsid w:val="009903E9"/>
    <w:rsid w:val="00991D74"/>
    <w:rsid w:val="00991E45"/>
    <w:rsid w:val="009932F6"/>
    <w:rsid w:val="00993499"/>
    <w:rsid w:val="00996D64"/>
    <w:rsid w:val="009A2506"/>
    <w:rsid w:val="009A2DF9"/>
    <w:rsid w:val="009A3277"/>
    <w:rsid w:val="009A4E0C"/>
    <w:rsid w:val="009A6027"/>
    <w:rsid w:val="009B09D7"/>
    <w:rsid w:val="009B2DD3"/>
    <w:rsid w:val="009B6A65"/>
    <w:rsid w:val="009B6EEC"/>
    <w:rsid w:val="009B7774"/>
    <w:rsid w:val="009C3B79"/>
    <w:rsid w:val="009C40FC"/>
    <w:rsid w:val="009C4191"/>
    <w:rsid w:val="009C43C3"/>
    <w:rsid w:val="009C51A3"/>
    <w:rsid w:val="009C6454"/>
    <w:rsid w:val="009C6AD0"/>
    <w:rsid w:val="009D0E8D"/>
    <w:rsid w:val="009D1ECD"/>
    <w:rsid w:val="009D1FB5"/>
    <w:rsid w:val="009D2E16"/>
    <w:rsid w:val="009D5969"/>
    <w:rsid w:val="009D5DFE"/>
    <w:rsid w:val="009D7861"/>
    <w:rsid w:val="009E0F0E"/>
    <w:rsid w:val="009E14AF"/>
    <w:rsid w:val="009E26F5"/>
    <w:rsid w:val="009E2DBD"/>
    <w:rsid w:val="009E538B"/>
    <w:rsid w:val="009E5495"/>
    <w:rsid w:val="009E555C"/>
    <w:rsid w:val="009E63AC"/>
    <w:rsid w:val="009F1013"/>
    <w:rsid w:val="009F1933"/>
    <w:rsid w:val="009F277A"/>
    <w:rsid w:val="009F2D6E"/>
    <w:rsid w:val="009F5E7A"/>
    <w:rsid w:val="00A043F9"/>
    <w:rsid w:val="00A06884"/>
    <w:rsid w:val="00A10E3E"/>
    <w:rsid w:val="00A12A9D"/>
    <w:rsid w:val="00A143AB"/>
    <w:rsid w:val="00A15CA4"/>
    <w:rsid w:val="00A1651D"/>
    <w:rsid w:val="00A1676F"/>
    <w:rsid w:val="00A17294"/>
    <w:rsid w:val="00A22B19"/>
    <w:rsid w:val="00A316ED"/>
    <w:rsid w:val="00A3263A"/>
    <w:rsid w:val="00A429B9"/>
    <w:rsid w:val="00A43381"/>
    <w:rsid w:val="00A44416"/>
    <w:rsid w:val="00A44E29"/>
    <w:rsid w:val="00A45744"/>
    <w:rsid w:val="00A46D8E"/>
    <w:rsid w:val="00A5681D"/>
    <w:rsid w:val="00A56F3A"/>
    <w:rsid w:val="00A603CA"/>
    <w:rsid w:val="00A60C02"/>
    <w:rsid w:val="00A6244D"/>
    <w:rsid w:val="00A6372B"/>
    <w:rsid w:val="00A64939"/>
    <w:rsid w:val="00A64DDD"/>
    <w:rsid w:val="00A65555"/>
    <w:rsid w:val="00A6693E"/>
    <w:rsid w:val="00A70598"/>
    <w:rsid w:val="00A719F0"/>
    <w:rsid w:val="00A73A20"/>
    <w:rsid w:val="00A74D20"/>
    <w:rsid w:val="00A75314"/>
    <w:rsid w:val="00A75904"/>
    <w:rsid w:val="00A77EEB"/>
    <w:rsid w:val="00A803AF"/>
    <w:rsid w:val="00A806BB"/>
    <w:rsid w:val="00A80FFE"/>
    <w:rsid w:val="00A82883"/>
    <w:rsid w:val="00A84406"/>
    <w:rsid w:val="00A85323"/>
    <w:rsid w:val="00A859C1"/>
    <w:rsid w:val="00A86942"/>
    <w:rsid w:val="00A8773C"/>
    <w:rsid w:val="00A91665"/>
    <w:rsid w:val="00A91B3B"/>
    <w:rsid w:val="00A9433B"/>
    <w:rsid w:val="00A95276"/>
    <w:rsid w:val="00A95CE6"/>
    <w:rsid w:val="00A96CEA"/>
    <w:rsid w:val="00A97A3B"/>
    <w:rsid w:val="00AA229E"/>
    <w:rsid w:val="00AA3568"/>
    <w:rsid w:val="00AA6488"/>
    <w:rsid w:val="00AA6BBE"/>
    <w:rsid w:val="00AA6DB3"/>
    <w:rsid w:val="00AA7564"/>
    <w:rsid w:val="00AA79CA"/>
    <w:rsid w:val="00AA79FE"/>
    <w:rsid w:val="00AB3133"/>
    <w:rsid w:val="00AB4BC2"/>
    <w:rsid w:val="00AB4D15"/>
    <w:rsid w:val="00AB6339"/>
    <w:rsid w:val="00AB6D23"/>
    <w:rsid w:val="00AB6F50"/>
    <w:rsid w:val="00AB7629"/>
    <w:rsid w:val="00AC0326"/>
    <w:rsid w:val="00AC18F5"/>
    <w:rsid w:val="00AC67CA"/>
    <w:rsid w:val="00AD0158"/>
    <w:rsid w:val="00AD3273"/>
    <w:rsid w:val="00AD340F"/>
    <w:rsid w:val="00AD3ADF"/>
    <w:rsid w:val="00AD5834"/>
    <w:rsid w:val="00AD7891"/>
    <w:rsid w:val="00AE014A"/>
    <w:rsid w:val="00AE2094"/>
    <w:rsid w:val="00AE4A1B"/>
    <w:rsid w:val="00AE516A"/>
    <w:rsid w:val="00AE536F"/>
    <w:rsid w:val="00AE54D0"/>
    <w:rsid w:val="00AF0981"/>
    <w:rsid w:val="00AF0B03"/>
    <w:rsid w:val="00AF3F52"/>
    <w:rsid w:val="00AF52B2"/>
    <w:rsid w:val="00B00587"/>
    <w:rsid w:val="00B00E3D"/>
    <w:rsid w:val="00B013A0"/>
    <w:rsid w:val="00B02309"/>
    <w:rsid w:val="00B028E2"/>
    <w:rsid w:val="00B046F0"/>
    <w:rsid w:val="00B054B5"/>
    <w:rsid w:val="00B07096"/>
    <w:rsid w:val="00B07B12"/>
    <w:rsid w:val="00B13D0B"/>
    <w:rsid w:val="00B1422B"/>
    <w:rsid w:val="00B216CD"/>
    <w:rsid w:val="00B23B69"/>
    <w:rsid w:val="00B24E88"/>
    <w:rsid w:val="00B25046"/>
    <w:rsid w:val="00B25EE1"/>
    <w:rsid w:val="00B260CD"/>
    <w:rsid w:val="00B267FE"/>
    <w:rsid w:val="00B3038B"/>
    <w:rsid w:val="00B31285"/>
    <w:rsid w:val="00B32728"/>
    <w:rsid w:val="00B34DAF"/>
    <w:rsid w:val="00B35934"/>
    <w:rsid w:val="00B367FB"/>
    <w:rsid w:val="00B36BC1"/>
    <w:rsid w:val="00B42F50"/>
    <w:rsid w:val="00B4353B"/>
    <w:rsid w:val="00B5025D"/>
    <w:rsid w:val="00B50ADB"/>
    <w:rsid w:val="00B50B30"/>
    <w:rsid w:val="00B519EC"/>
    <w:rsid w:val="00B53CB9"/>
    <w:rsid w:val="00B575A2"/>
    <w:rsid w:val="00B60F5C"/>
    <w:rsid w:val="00B610E7"/>
    <w:rsid w:val="00B61F47"/>
    <w:rsid w:val="00B63BAF"/>
    <w:rsid w:val="00B64386"/>
    <w:rsid w:val="00B6531F"/>
    <w:rsid w:val="00B66052"/>
    <w:rsid w:val="00B73612"/>
    <w:rsid w:val="00B74D05"/>
    <w:rsid w:val="00B75538"/>
    <w:rsid w:val="00B760FC"/>
    <w:rsid w:val="00B76BB0"/>
    <w:rsid w:val="00B81ABA"/>
    <w:rsid w:val="00B82B1A"/>
    <w:rsid w:val="00B861DB"/>
    <w:rsid w:val="00B8690B"/>
    <w:rsid w:val="00B9075E"/>
    <w:rsid w:val="00B91D8A"/>
    <w:rsid w:val="00B926DD"/>
    <w:rsid w:val="00B92AFE"/>
    <w:rsid w:val="00B92E60"/>
    <w:rsid w:val="00B930D0"/>
    <w:rsid w:val="00B93E4B"/>
    <w:rsid w:val="00B960CC"/>
    <w:rsid w:val="00BA1915"/>
    <w:rsid w:val="00BA2CD6"/>
    <w:rsid w:val="00BA2D5C"/>
    <w:rsid w:val="00BA30EB"/>
    <w:rsid w:val="00BA3792"/>
    <w:rsid w:val="00BB0935"/>
    <w:rsid w:val="00BB1078"/>
    <w:rsid w:val="00BB14ED"/>
    <w:rsid w:val="00BB183C"/>
    <w:rsid w:val="00BB2829"/>
    <w:rsid w:val="00BB2E7F"/>
    <w:rsid w:val="00BB30B9"/>
    <w:rsid w:val="00BB79F5"/>
    <w:rsid w:val="00BC23DB"/>
    <w:rsid w:val="00BC7D5D"/>
    <w:rsid w:val="00BD0069"/>
    <w:rsid w:val="00BD05B5"/>
    <w:rsid w:val="00BD06B2"/>
    <w:rsid w:val="00BD1151"/>
    <w:rsid w:val="00BD4AE7"/>
    <w:rsid w:val="00BD6F7A"/>
    <w:rsid w:val="00BE2196"/>
    <w:rsid w:val="00BE419A"/>
    <w:rsid w:val="00BE4849"/>
    <w:rsid w:val="00BE5694"/>
    <w:rsid w:val="00BE7252"/>
    <w:rsid w:val="00BF74AE"/>
    <w:rsid w:val="00C00673"/>
    <w:rsid w:val="00C00E4F"/>
    <w:rsid w:val="00C03519"/>
    <w:rsid w:val="00C128AA"/>
    <w:rsid w:val="00C12E99"/>
    <w:rsid w:val="00C12F95"/>
    <w:rsid w:val="00C13391"/>
    <w:rsid w:val="00C138F1"/>
    <w:rsid w:val="00C1575E"/>
    <w:rsid w:val="00C16CE8"/>
    <w:rsid w:val="00C20A31"/>
    <w:rsid w:val="00C20F02"/>
    <w:rsid w:val="00C21C63"/>
    <w:rsid w:val="00C260F8"/>
    <w:rsid w:val="00C2784E"/>
    <w:rsid w:val="00C3085B"/>
    <w:rsid w:val="00C330E2"/>
    <w:rsid w:val="00C3351C"/>
    <w:rsid w:val="00C33CFD"/>
    <w:rsid w:val="00C37B25"/>
    <w:rsid w:val="00C400BF"/>
    <w:rsid w:val="00C41B5C"/>
    <w:rsid w:val="00C45420"/>
    <w:rsid w:val="00C46487"/>
    <w:rsid w:val="00C501E7"/>
    <w:rsid w:val="00C526FC"/>
    <w:rsid w:val="00C52DF4"/>
    <w:rsid w:val="00C53A22"/>
    <w:rsid w:val="00C53D73"/>
    <w:rsid w:val="00C53E32"/>
    <w:rsid w:val="00C56167"/>
    <w:rsid w:val="00C5658E"/>
    <w:rsid w:val="00C56926"/>
    <w:rsid w:val="00C57A1D"/>
    <w:rsid w:val="00C57C21"/>
    <w:rsid w:val="00C600D9"/>
    <w:rsid w:val="00C61E1A"/>
    <w:rsid w:val="00C6266E"/>
    <w:rsid w:val="00C62E5C"/>
    <w:rsid w:val="00C62F4A"/>
    <w:rsid w:val="00C63C55"/>
    <w:rsid w:val="00C66F28"/>
    <w:rsid w:val="00C734B2"/>
    <w:rsid w:val="00C779C1"/>
    <w:rsid w:val="00C805F3"/>
    <w:rsid w:val="00C8088F"/>
    <w:rsid w:val="00C81741"/>
    <w:rsid w:val="00C8677F"/>
    <w:rsid w:val="00C8766D"/>
    <w:rsid w:val="00C87A15"/>
    <w:rsid w:val="00C908B3"/>
    <w:rsid w:val="00C91FB7"/>
    <w:rsid w:val="00C929CE"/>
    <w:rsid w:val="00C9340B"/>
    <w:rsid w:val="00C95341"/>
    <w:rsid w:val="00C95D3F"/>
    <w:rsid w:val="00CA1857"/>
    <w:rsid w:val="00CA67FD"/>
    <w:rsid w:val="00CA6916"/>
    <w:rsid w:val="00CA6E5F"/>
    <w:rsid w:val="00CB3F99"/>
    <w:rsid w:val="00CB5C21"/>
    <w:rsid w:val="00CB6572"/>
    <w:rsid w:val="00CB6DB1"/>
    <w:rsid w:val="00CB700C"/>
    <w:rsid w:val="00CC0A49"/>
    <w:rsid w:val="00CC266A"/>
    <w:rsid w:val="00CC6C17"/>
    <w:rsid w:val="00CC711E"/>
    <w:rsid w:val="00CC7563"/>
    <w:rsid w:val="00CD46F1"/>
    <w:rsid w:val="00CD5C42"/>
    <w:rsid w:val="00CD7A06"/>
    <w:rsid w:val="00CE02EE"/>
    <w:rsid w:val="00CE3ABF"/>
    <w:rsid w:val="00CE6104"/>
    <w:rsid w:val="00CF0188"/>
    <w:rsid w:val="00CF1D70"/>
    <w:rsid w:val="00CF6306"/>
    <w:rsid w:val="00CF7AE3"/>
    <w:rsid w:val="00D0059E"/>
    <w:rsid w:val="00D01FC8"/>
    <w:rsid w:val="00D02013"/>
    <w:rsid w:val="00D021D6"/>
    <w:rsid w:val="00D03497"/>
    <w:rsid w:val="00D04246"/>
    <w:rsid w:val="00D06B9A"/>
    <w:rsid w:val="00D0747F"/>
    <w:rsid w:val="00D0749F"/>
    <w:rsid w:val="00D11A30"/>
    <w:rsid w:val="00D125A4"/>
    <w:rsid w:val="00D14676"/>
    <w:rsid w:val="00D14A29"/>
    <w:rsid w:val="00D16362"/>
    <w:rsid w:val="00D17312"/>
    <w:rsid w:val="00D177BB"/>
    <w:rsid w:val="00D17C49"/>
    <w:rsid w:val="00D2261D"/>
    <w:rsid w:val="00D22DB8"/>
    <w:rsid w:val="00D2323F"/>
    <w:rsid w:val="00D26559"/>
    <w:rsid w:val="00D266A7"/>
    <w:rsid w:val="00D3165C"/>
    <w:rsid w:val="00D326E7"/>
    <w:rsid w:val="00D33D52"/>
    <w:rsid w:val="00D41862"/>
    <w:rsid w:val="00D41F4B"/>
    <w:rsid w:val="00D43E9C"/>
    <w:rsid w:val="00D443FA"/>
    <w:rsid w:val="00D45837"/>
    <w:rsid w:val="00D461C1"/>
    <w:rsid w:val="00D47101"/>
    <w:rsid w:val="00D471E9"/>
    <w:rsid w:val="00D4772B"/>
    <w:rsid w:val="00D50A92"/>
    <w:rsid w:val="00D510D2"/>
    <w:rsid w:val="00D52633"/>
    <w:rsid w:val="00D640BE"/>
    <w:rsid w:val="00D7070F"/>
    <w:rsid w:val="00D7219D"/>
    <w:rsid w:val="00D72396"/>
    <w:rsid w:val="00D72722"/>
    <w:rsid w:val="00D73E38"/>
    <w:rsid w:val="00D7638B"/>
    <w:rsid w:val="00D7694D"/>
    <w:rsid w:val="00D7792B"/>
    <w:rsid w:val="00D826A6"/>
    <w:rsid w:val="00D856D6"/>
    <w:rsid w:val="00D85966"/>
    <w:rsid w:val="00D87FBF"/>
    <w:rsid w:val="00D90621"/>
    <w:rsid w:val="00D93A91"/>
    <w:rsid w:val="00D9532B"/>
    <w:rsid w:val="00D961E0"/>
    <w:rsid w:val="00D965EC"/>
    <w:rsid w:val="00DA09A1"/>
    <w:rsid w:val="00DA0B85"/>
    <w:rsid w:val="00DA0C42"/>
    <w:rsid w:val="00DA1F36"/>
    <w:rsid w:val="00DA1F84"/>
    <w:rsid w:val="00DA20D3"/>
    <w:rsid w:val="00DA2309"/>
    <w:rsid w:val="00DA26DE"/>
    <w:rsid w:val="00DA48B3"/>
    <w:rsid w:val="00DA4BD6"/>
    <w:rsid w:val="00DA5BE6"/>
    <w:rsid w:val="00DB3004"/>
    <w:rsid w:val="00DB453F"/>
    <w:rsid w:val="00DC03A3"/>
    <w:rsid w:val="00DC3F93"/>
    <w:rsid w:val="00DC5BA6"/>
    <w:rsid w:val="00DC5D61"/>
    <w:rsid w:val="00DC76F5"/>
    <w:rsid w:val="00DD0E29"/>
    <w:rsid w:val="00DD1CE4"/>
    <w:rsid w:val="00DD2DCA"/>
    <w:rsid w:val="00DD34D2"/>
    <w:rsid w:val="00DD3E89"/>
    <w:rsid w:val="00DD42F8"/>
    <w:rsid w:val="00DD5929"/>
    <w:rsid w:val="00DD7B3C"/>
    <w:rsid w:val="00DD7FCA"/>
    <w:rsid w:val="00DD7FD2"/>
    <w:rsid w:val="00DE0C93"/>
    <w:rsid w:val="00DE236B"/>
    <w:rsid w:val="00DE272A"/>
    <w:rsid w:val="00DE2AEF"/>
    <w:rsid w:val="00DE3CE8"/>
    <w:rsid w:val="00DE3FB0"/>
    <w:rsid w:val="00DE403D"/>
    <w:rsid w:val="00DF1684"/>
    <w:rsid w:val="00DF1B10"/>
    <w:rsid w:val="00DF56A3"/>
    <w:rsid w:val="00DF58A5"/>
    <w:rsid w:val="00DF7D46"/>
    <w:rsid w:val="00E01A8F"/>
    <w:rsid w:val="00E03BA6"/>
    <w:rsid w:val="00E06B5E"/>
    <w:rsid w:val="00E11847"/>
    <w:rsid w:val="00E14549"/>
    <w:rsid w:val="00E201DB"/>
    <w:rsid w:val="00E21360"/>
    <w:rsid w:val="00E216A1"/>
    <w:rsid w:val="00E21A33"/>
    <w:rsid w:val="00E22C4D"/>
    <w:rsid w:val="00E23EDD"/>
    <w:rsid w:val="00E26FA2"/>
    <w:rsid w:val="00E27001"/>
    <w:rsid w:val="00E279C8"/>
    <w:rsid w:val="00E3083F"/>
    <w:rsid w:val="00E32CAC"/>
    <w:rsid w:val="00E3385B"/>
    <w:rsid w:val="00E35CB5"/>
    <w:rsid w:val="00E3691C"/>
    <w:rsid w:val="00E4287E"/>
    <w:rsid w:val="00E4332A"/>
    <w:rsid w:val="00E460C2"/>
    <w:rsid w:val="00E468FF"/>
    <w:rsid w:val="00E469BC"/>
    <w:rsid w:val="00E51B57"/>
    <w:rsid w:val="00E5344D"/>
    <w:rsid w:val="00E546CE"/>
    <w:rsid w:val="00E554AD"/>
    <w:rsid w:val="00E55DFD"/>
    <w:rsid w:val="00E56B7B"/>
    <w:rsid w:val="00E62612"/>
    <w:rsid w:val="00E63D1D"/>
    <w:rsid w:val="00E6536B"/>
    <w:rsid w:val="00E71DEE"/>
    <w:rsid w:val="00E72459"/>
    <w:rsid w:val="00E77A62"/>
    <w:rsid w:val="00E84123"/>
    <w:rsid w:val="00E86BE0"/>
    <w:rsid w:val="00E86E23"/>
    <w:rsid w:val="00E878B4"/>
    <w:rsid w:val="00E914FC"/>
    <w:rsid w:val="00E91799"/>
    <w:rsid w:val="00E92B4B"/>
    <w:rsid w:val="00E95E99"/>
    <w:rsid w:val="00E9733C"/>
    <w:rsid w:val="00EA3B25"/>
    <w:rsid w:val="00EA3DA3"/>
    <w:rsid w:val="00EA5D16"/>
    <w:rsid w:val="00EA6BA2"/>
    <w:rsid w:val="00EA6D47"/>
    <w:rsid w:val="00EA7209"/>
    <w:rsid w:val="00EB01F5"/>
    <w:rsid w:val="00EB0792"/>
    <w:rsid w:val="00EB0885"/>
    <w:rsid w:val="00EB13D8"/>
    <w:rsid w:val="00EB2F3A"/>
    <w:rsid w:val="00EB65AA"/>
    <w:rsid w:val="00EB7D6F"/>
    <w:rsid w:val="00EC22EB"/>
    <w:rsid w:val="00EC2C58"/>
    <w:rsid w:val="00EC3ED7"/>
    <w:rsid w:val="00EC70A3"/>
    <w:rsid w:val="00EC75B3"/>
    <w:rsid w:val="00ED055E"/>
    <w:rsid w:val="00ED162A"/>
    <w:rsid w:val="00ED183A"/>
    <w:rsid w:val="00ED1CBD"/>
    <w:rsid w:val="00ED2D0E"/>
    <w:rsid w:val="00ED3030"/>
    <w:rsid w:val="00ED4BCB"/>
    <w:rsid w:val="00EE0727"/>
    <w:rsid w:val="00EE2257"/>
    <w:rsid w:val="00EE2532"/>
    <w:rsid w:val="00EE2F60"/>
    <w:rsid w:val="00EE424D"/>
    <w:rsid w:val="00EE49C0"/>
    <w:rsid w:val="00EE78FC"/>
    <w:rsid w:val="00EF0D39"/>
    <w:rsid w:val="00EF1D4B"/>
    <w:rsid w:val="00EF3062"/>
    <w:rsid w:val="00EF40B6"/>
    <w:rsid w:val="00EF48A8"/>
    <w:rsid w:val="00EF7301"/>
    <w:rsid w:val="00F004F5"/>
    <w:rsid w:val="00F00C04"/>
    <w:rsid w:val="00F02044"/>
    <w:rsid w:val="00F05337"/>
    <w:rsid w:val="00F11F0B"/>
    <w:rsid w:val="00F13BE4"/>
    <w:rsid w:val="00F13D8C"/>
    <w:rsid w:val="00F16569"/>
    <w:rsid w:val="00F17712"/>
    <w:rsid w:val="00F17A78"/>
    <w:rsid w:val="00F17E45"/>
    <w:rsid w:val="00F209FE"/>
    <w:rsid w:val="00F21FBA"/>
    <w:rsid w:val="00F23A6A"/>
    <w:rsid w:val="00F23BDD"/>
    <w:rsid w:val="00F24D60"/>
    <w:rsid w:val="00F302DC"/>
    <w:rsid w:val="00F34D77"/>
    <w:rsid w:val="00F35D80"/>
    <w:rsid w:val="00F40687"/>
    <w:rsid w:val="00F40901"/>
    <w:rsid w:val="00F427B2"/>
    <w:rsid w:val="00F45F43"/>
    <w:rsid w:val="00F47A6D"/>
    <w:rsid w:val="00F5164B"/>
    <w:rsid w:val="00F51C8C"/>
    <w:rsid w:val="00F53C74"/>
    <w:rsid w:val="00F54793"/>
    <w:rsid w:val="00F56E49"/>
    <w:rsid w:val="00F57A82"/>
    <w:rsid w:val="00F64163"/>
    <w:rsid w:val="00F64252"/>
    <w:rsid w:val="00F64728"/>
    <w:rsid w:val="00F66A65"/>
    <w:rsid w:val="00F70BCC"/>
    <w:rsid w:val="00F719AA"/>
    <w:rsid w:val="00F72A9E"/>
    <w:rsid w:val="00F774F8"/>
    <w:rsid w:val="00F825DF"/>
    <w:rsid w:val="00F837AD"/>
    <w:rsid w:val="00F853C9"/>
    <w:rsid w:val="00F8574F"/>
    <w:rsid w:val="00F8656B"/>
    <w:rsid w:val="00F86A36"/>
    <w:rsid w:val="00F86A4A"/>
    <w:rsid w:val="00F91B05"/>
    <w:rsid w:val="00F92C86"/>
    <w:rsid w:val="00F966F2"/>
    <w:rsid w:val="00F9696A"/>
    <w:rsid w:val="00FA67DC"/>
    <w:rsid w:val="00FA74EC"/>
    <w:rsid w:val="00FB111B"/>
    <w:rsid w:val="00FB47A3"/>
    <w:rsid w:val="00FB50E0"/>
    <w:rsid w:val="00FB7ABD"/>
    <w:rsid w:val="00FC1B8E"/>
    <w:rsid w:val="00FC1EBC"/>
    <w:rsid w:val="00FC6425"/>
    <w:rsid w:val="00FC715C"/>
    <w:rsid w:val="00FC7283"/>
    <w:rsid w:val="00FD02DB"/>
    <w:rsid w:val="00FD0AEA"/>
    <w:rsid w:val="00FD3198"/>
    <w:rsid w:val="00FD42AE"/>
    <w:rsid w:val="00FD4FC8"/>
    <w:rsid w:val="00FD5E97"/>
    <w:rsid w:val="00FD7DF8"/>
    <w:rsid w:val="00FE2D2C"/>
    <w:rsid w:val="00FE5692"/>
    <w:rsid w:val="00FF0BF0"/>
    <w:rsid w:val="00FF36E8"/>
    <w:rsid w:val="31B8022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15EB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26F77"/>
  </w:style>
  <w:style w:type="paragraph" w:styleId="Heading1">
    <w:name w:val="heading 1"/>
    <w:basedOn w:val="Normal"/>
    <w:next w:val="Normal"/>
    <w:link w:val="Heading1Char"/>
    <w:uiPriority w:val="9"/>
    <w:qFormat/>
    <w:rsid w:val="00462AF2"/>
    <w:pPr>
      <w:outlineLvl w:val="0"/>
    </w:pPr>
    <w:rPr>
      <w:rFonts w:ascii="Times New Roman" w:hAnsi="Times New Roman" w:cs="Times New Roman"/>
      <w:b/>
      <w:sz w:val="24"/>
    </w:rPr>
  </w:style>
  <w:style w:type="paragraph" w:styleId="Heading2">
    <w:name w:val="heading 2"/>
    <w:basedOn w:val="Header2"/>
    <w:next w:val="Normal"/>
    <w:link w:val="Heading2Char"/>
    <w:uiPriority w:val="9"/>
    <w:unhideWhenUsed/>
    <w:qFormat/>
    <w:rsid w:val="009C4191"/>
    <w:pPr>
      <w:keepNext/>
      <w:outlineLvl w:val="1"/>
    </w:pPr>
  </w:style>
  <w:style w:type="paragraph" w:styleId="Heading3">
    <w:name w:val="heading 3"/>
    <w:basedOn w:val="Normal"/>
    <w:next w:val="Normal"/>
    <w:link w:val="Heading3Char"/>
    <w:uiPriority w:val="9"/>
    <w:unhideWhenUsed/>
    <w:qFormat/>
    <w:rsid w:val="00426F77"/>
    <w:pPr>
      <w:spacing w:line="240" w:lineRule="auto"/>
      <w:outlineLvl w:val="2"/>
    </w:pPr>
    <w:rPr>
      <w:rFonts w:ascii="Times New Roman" w:hAnsi="Times New Roman" w:cs="Times New Roman"/>
      <w:i/>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AA6DB3"/>
    <w:rPr>
      <w:sz w:val="16"/>
      <w:szCs w:val="16"/>
    </w:rPr>
  </w:style>
  <w:style w:type="paragraph" w:styleId="CommentText">
    <w:name w:val="annotation text"/>
    <w:basedOn w:val="Normal"/>
    <w:link w:val="CommentTextChar"/>
    <w:uiPriority w:val="99"/>
    <w:unhideWhenUsed/>
    <w:rsid w:val="00AA6DB3"/>
    <w:pPr>
      <w:spacing w:line="240" w:lineRule="auto"/>
    </w:pPr>
    <w:rPr>
      <w:sz w:val="20"/>
      <w:szCs w:val="20"/>
    </w:rPr>
  </w:style>
  <w:style w:type="character" w:customStyle="1" w:styleId="CommentTextChar">
    <w:name w:val="Comment Text Char"/>
    <w:basedOn w:val="DefaultParagraphFont"/>
    <w:link w:val="CommentText"/>
    <w:uiPriority w:val="99"/>
    <w:rsid w:val="00AA6DB3"/>
    <w:rPr>
      <w:sz w:val="20"/>
      <w:szCs w:val="20"/>
    </w:rPr>
  </w:style>
  <w:style w:type="paragraph" w:styleId="BalloonText">
    <w:name w:val="Balloon Text"/>
    <w:basedOn w:val="Normal"/>
    <w:link w:val="BalloonTextChar"/>
    <w:uiPriority w:val="99"/>
    <w:semiHidden/>
    <w:unhideWhenUsed/>
    <w:rsid w:val="00AA6DB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A6DB3"/>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11075B"/>
    <w:rPr>
      <w:b/>
      <w:bCs/>
    </w:rPr>
  </w:style>
  <w:style w:type="character" w:customStyle="1" w:styleId="CommentSubjectChar">
    <w:name w:val="Comment Subject Char"/>
    <w:basedOn w:val="CommentTextChar"/>
    <w:link w:val="CommentSubject"/>
    <w:uiPriority w:val="99"/>
    <w:semiHidden/>
    <w:rsid w:val="0011075B"/>
    <w:rPr>
      <w:b/>
      <w:bCs/>
      <w:sz w:val="20"/>
      <w:szCs w:val="20"/>
    </w:rPr>
  </w:style>
  <w:style w:type="paragraph" w:styleId="Revision">
    <w:name w:val="Revision"/>
    <w:hidden/>
    <w:uiPriority w:val="99"/>
    <w:semiHidden/>
    <w:rsid w:val="006541EC"/>
    <w:pPr>
      <w:spacing w:after="0" w:line="240" w:lineRule="auto"/>
    </w:pPr>
  </w:style>
  <w:style w:type="character" w:styleId="Hyperlink">
    <w:name w:val="Hyperlink"/>
    <w:basedOn w:val="DefaultParagraphFont"/>
    <w:uiPriority w:val="99"/>
    <w:unhideWhenUsed/>
    <w:rsid w:val="00552C5A"/>
    <w:rPr>
      <w:color w:val="0563C1" w:themeColor="hyperlink"/>
      <w:u w:val="single"/>
    </w:rPr>
  </w:style>
  <w:style w:type="character" w:customStyle="1" w:styleId="UnresolvedMention">
    <w:name w:val="Unresolved Mention"/>
    <w:basedOn w:val="DefaultParagraphFont"/>
    <w:uiPriority w:val="99"/>
    <w:semiHidden/>
    <w:unhideWhenUsed/>
    <w:rsid w:val="00552C5A"/>
    <w:rPr>
      <w:color w:val="605E5C"/>
      <w:shd w:val="clear" w:color="auto" w:fill="E1DFDD"/>
    </w:rPr>
  </w:style>
  <w:style w:type="table" w:styleId="TableGrid">
    <w:name w:val="Table Grid"/>
    <w:basedOn w:val="TableNormal"/>
    <w:uiPriority w:val="39"/>
    <w:rsid w:val="00813F0B"/>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eaderChar">
    <w:name w:val="Header Char"/>
    <w:basedOn w:val="DefaultParagraphFont"/>
    <w:link w:val="Header"/>
    <w:uiPriority w:val="99"/>
    <w:rsid w:val="00813F0B"/>
  </w:style>
  <w:style w:type="paragraph" w:styleId="Header">
    <w:name w:val="header"/>
    <w:basedOn w:val="Normal"/>
    <w:link w:val="HeaderChar"/>
    <w:uiPriority w:val="99"/>
    <w:unhideWhenUsed/>
    <w:rsid w:val="00813F0B"/>
    <w:pPr>
      <w:tabs>
        <w:tab w:val="center" w:pos="4680"/>
        <w:tab w:val="right" w:pos="9360"/>
      </w:tabs>
      <w:spacing w:after="0" w:line="240" w:lineRule="auto"/>
    </w:pPr>
  </w:style>
  <w:style w:type="character" w:customStyle="1" w:styleId="HeaderChar1">
    <w:name w:val="Header Char1"/>
    <w:basedOn w:val="DefaultParagraphFont"/>
    <w:uiPriority w:val="99"/>
    <w:semiHidden/>
    <w:rsid w:val="00813F0B"/>
  </w:style>
  <w:style w:type="character" w:customStyle="1" w:styleId="FooterChar">
    <w:name w:val="Footer Char"/>
    <w:basedOn w:val="DefaultParagraphFont"/>
    <w:link w:val="Footer"/>
    <w:uiPriority w:val="99"/>
    <w:rsid w:val="00B92AFE"/>
    <w:rPr>
      <w:rFonts w:ascii="Times New Roman" w:hAnsi="Times New Roman"/>
    </w:rPr>
  </w:style>
  <w:style w:type="paragraph" w:styleId="Footer">
    <w:name w:val="footer"/>
    <w:basedOn w:val="Normal"/>
    <w:link w:val="FooterChar"/>
    <w:uiPriority w:val="99"/>
    <w:unhideWhenUsed/>
    <w:rsid w:val="00B92AFE"/>
    <w:pPr>
      <w:tabs>
        <w:tab w:val="center" w:pos="4680"/>
        <w:tab w:val="right" w:pos="9360"/>
      </w:tabs>
      <w:spacing w:after="0" w:line="240" w:lineRule="auto"/>
    </w:pPr>
    <w:rPr>
      <w:rFonts w:ascii="Times New Roman" w:hAnsi="Times New Roman"/>
    </w:rPr>
  </w:style>
  <w:style w:type="character" w:customStyle="1" w:styleId="FooterChar1">
    <w:name w:val="Footer Char1"/>
    <w:basedOn w:val="DefaultParagraphFont"/>
    <w:uiPriority w:val="99"/>
    <w:semiHidden/>
    <w:rsid w:val="00813F0B"/>
  </w:style>
  <w:style w:type="paragraph" w:styleId="FootnoteText">
    <w:name w:val="footnote text"/>
    <w:basedOn w:val="Normal"/>
    <w:link w:val="FootnoteTextChar"/>
    <w:uiPriority w:val="99"/>
    <w:unhideWhenUsed/>
    <w:rsid w:val="00486D91"/>
    <w:pPr>
      <w:spacing w:after="0" w:line="240" w:lineRule="auto"/>
    </w:pPr>
    <w:rPr>
      <w:rFonts w:ascii="Times New Roman" w:hAnsi="Times New Roman" w:cs="Times New Roman"/>
      <w:sz w:val="20"/>
      <w:szCs w:val="20"/>
    </w:rPr>
  </w:style>
  <w:style w:type="character" w:customStyle="1" w:styleId="FootnoteTextChar">
    <w:name w:val="Footnote Text Char"/>
    <w:basedOn w:val="DefaultParagraphFont"/>
    <w:link w:val="FootnoteText"/>
    <w:uiPriority w:val="99"/>
    <w:rsid w:val="00486D91"/>
    <w:rPr>
      <w:rFonts w:ascii="Times New Roman" w:hAnsi="Times New Roman" w:cs="Times New Roman"/>
      <w:sz w:val="20"/>
      <w:szCs w:val="20"/>
    </w:rPr>
  </w:style>
  <w:style w:type="character" w:styleId="FootnoteReference">
    <w:name w:val="footnote reference"/>
    <w:basedOn w:val="DefaultParagraphFont"/>
    <w:uiPriority w:val="99"/>
    <w:semiHidden/>
    <w:unhideWhenUsed/>
    <w:rsid w:val="00830E92"/>
    <w:rPr>
      <w:vertAlign w:val="superscript"/>
    </w:rPr>
  </w:style>
  <w:style w:type="paragraph" w:customStyle="1" w:styleId="commentcontentpara">
    <w:name w:val="commentcontentpara"/>
    <w:basedOn w:val="Normal"/>
    <w:rsid w:val="00F40687"/>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F40687"/>
    <w:rPr>
      <w:color w:val="954F72" w:themeColor="followedHyperlink"/>
      <w:u w:val="single"/>
    </w:rPr>
  </w:style>
  <w:style w:type="paragraph" w:styleId="ListParagraph">
    <w:name w:val="List Paragraph"/>
    <w:basedOn w:val="Normal"/>
    <w:uiPriority w:val="34"/>
    <w:qFormat/>
    <w:rsid w:val="005C22AC"/>
    <w:pPr>
      <w:spacing w:after="0" w:line="240" w:lineRule="auto"/>
      <w:ind w:left="720"/>
      <w:contextualSpacing/>
    </w:pPr>
    <w:rPr>
      <w:rFonts w:ascii="Calibri" w:hAnsi="Calibri" w:cs="Times New Roman"/>
    </w:rPr>
  </w:style>
  <w:style w:type="character" w:styleId="SubtleEmphasis">
    <w:name w:val="Subtle Emphasis"/>
    <w:basedOn w:val="DefaultParagraphFont"/>
    <w:uiPriority w:val="19"/>
    <w:qFormat/>
    <w:rsid w:val="009A6027"/>
    <w:rPr>
      <w:i/>
      <w:iCs/>
      <w:color w:val="404040" w:themeColor="text1" w:themeTint="BF"/>
    </w:rPr>
  </w:style>
  <w:style w:type="paragraph" w:styleId="BodyText">
    <w:name w:val="Body Text"/>
    <w:basedOn w:val="Normal"/>
    <w:link w:val="BodyTextChar"/>
    <w:uiPriority w:val="1"/>
    <w:qFormat/>
    <w:rsid w:val="00B92AFE"/>
    <w:pPr>
      <w:spacing w:line="240" w:lineRule="auto"/>
    </w:pPr>
    <w:rPr>
      <w:rFonts w:ascii="Times New Roman" w:hAnsi="Times New Roman" w:cs="Times New Roman"/>
    </w:rPr>
  </w:style>
  <w:style w:type="character" w:customStyle="1" w:styleId="BodyTextChar">
    <w:name w:val="Body Text Char"/>
    <w:basedOn w:val="DefaultParagraphFont"/>
    <w:link w:val="BodyText"/>
    <w:uiPriority w:val="1"/>
    <w:rsid w:val="00B92AFE"/>
    <w:rPr>
      <w:rFonts w:ascii="Times New Roman" w:hAnsi="Times New Roman" w:cs="Times New Roman"/>
    </w:rPr>
  </w:style>
  <w:style w:type="paragraph" w:customStyle="1" w:styleId="GHGRP-SRBodyText">
    <w:name w:val="GHGRP-SR Body Text"/>
    <w:qFormat/>
    <w:rsid w:val="00E86E23"/>
    <w:pPr>
      <w:spacing w:after="240" w:line="240" w:lineRule="auto"/>
    </w:pPr>
    <w:rPr>
      <w:rFonts w:ascii="Cambria" w:eastAsia="Times New Roman" w:hAnsi="Cambria" w:cs="Times New Roman"/>
      <w:szCs w:val="20"/>
    </w:rPr>
  </w:style>
  <w:style w:type="character" w:customStyle="1" w:styleId="Heading1Char">
    <w:name w:val="Heading 1 Char"/>
    <w:basedOn w:val="DefaultParagraphFont"/>
    <w:link w:val="Heading1"/>
    <w:uiPriority w:val="9"/>
    <w:rsid w:val="00462AF2"/>
    <w:rPr>
      <w:rFonts w:ascii="Times New Roman" w:hAnsi="Times New Roman" w:cs="Times New Roman"/>
      <w:b/>
      <w:sz w:val="24"/>
    </w:rPr>
  </w:style>
  <w:style w:type="paragraph" w:styleId="TOCHeading">
    <w:name w:val="TOC Heading"/>
    <w:basedOn w:val="Heading1"/>
    <w:next w:val="Normal"/>
    <w:uiPriority w:val="39"/>
    <w:unhideWhenUsed/>
    <w:qFormat/>
    <w:rsid w:val="00C21C63"/>
    <w:pPr>
      <w:outlineLvl w:val="9"/>
    </w:pPr>
  </w:style>
  <w:style w:type="paragraph" w:styleId="TOC1">
    <w:name w:val="toc 1"/>
    <w:basedOn w:val="Normal"/>
    <w:next w:val="Normal"/>
    <w:autoRedefine/>
    <w:uiPriority w:val="39"/>
    <w:unhideWhenUsed/>
    <w:rsid w:val="00B92AFE"/>
    <w:pPr>
      <w:tabs>
        <w:tab w:val="right" w:leader="dot" w:pos="9350"/>
      </w:tabs>
      <w:spacing w:after="100"/>
      <w:ind w:right="720"/>
    </w:pPr>
    <w:rPr>
      <w:rFonts w:ascii="Times New Roman" w:hAnsi="Times New Roman"/>
    </w:rPr>
  </w:style>
  <w:style w:type="paragraph" w:customStyle="1" w:styleId="AfterTable">
    <w:name w:val="After Table"/>
    <w:basedOn w:val="Normal"/>
    <w:qFormat/>
    <w:rsid w:val="00E71DEE"/>
    <w:pPr>
      <w:spacing w:after="240" w:line="240" w:lineRule="auto"/>
    </w:pPr>
    <w:rPr>
      <w:rFonts w:ascii="Times New Roman" w:hAnsi="Times New Roman" w:cs="Times New Roman"/>
    </w:rPr>
  </w:style>
  <w:style w:type="paragraph" w:customStyle="1" w:styleId="Header1">
    <w:name w:val="Header 1"/>
    <w:basedOn w:val="Normal"/>
    <w:qFormat/>
    <w:rsid w:val="0001781A"/>
    <w:pPr>
      <w:outlineLvl w:val="0"/>
    </w:pPr>
    <w:rPr>
      <w:rFonts w:ascii="Times New Roman" w:hAnsi="Times New Roman" w:cs="Times New Roman"/>
      <w:b/>
    </w:rPr>
  </w:style>
  <w:style w:type="paragraph" w:customStyle="1" w:styleId="Header2">
    <w:name w:val="Header 2"/>
    <w:basedOn w:val="Normal"/>
    <w:qFormat/>
    <w:rsid w:val="0094202F"/>
    <w:pPr>
      <w:spacing w:line="240" w:lineRule="auto"/>
    </w:pPr>
    <w:rPr>
      <w:rFonts w:ascii="Times New Roman" w:hAnsi="Times New Roman" w:cs="Times New Roman"/>
      <w:b/>
      <w:i/>
    </w:rPr>
  </w:style>
  <w:style w:type="paragraph" w:customStyle="1" w:styleId="TableName">
    <w:name w:val="Table Name"/>
    <w:basedOn w:val="Normal"/>
    <w:qFormat/>
    <w:rsid w:val="0001781A"/>
    <w:pPr>
      <w:outlineLvl w:val="2"/>
    </w:pPr>
    <w:rPr>
      <w:rFonts w:ascii="Times New Roman" w:eastAsia="Times New Roman" w:hAnsi="Times New Roman" w:cs="Times New Roman"/>
      <w:b/>
      <w:bCs/>
    </w:rPr>
  </w:style>
  <w:style w:type="paragraph" w:customStyle="1" w:styleId="Header4">
    <w:name w:val="Header 4"/>
    <w:basedOn w:val="Normal"/>
    <w:qFormat/>
    <w:rsid w:val="0001781A"/>
    <w:pPr>
      <w:outlineLvl w:val="3"/>
    </w:pPr>
    <w:rPr>
      <w:rFonts w:ascii="Times New Roman" w:hAnsi="Times New Roman" w:cs="Times New Roman"/>
    </w:rPr>
  </w:style>
  <w:style w:type="character" w:styleId="LineNumber">
    <w:name w:val="line number"/>
    <w:basedOn w:val="DefaultParagraphFont"/>
    <w:uiPriority w:val="99"/>
    <w:semiHidden/>
    <w:unhideWhenUsed/>
    <w:rsid w:val="0001781A"/>
  </w:style>
  <w:style w:type="paragraph" w:styleId="TOC2">
    <w:name w:val="toc 2"/>
    <w:basedOn w:val="Normal"/>
    <w:next w:val="Normal"/>
    <w:autoRedefine/>
    <w:uiPriority w:val="39"/>
    <w:unhideWhenUsed/>
    <w:rsid w:val="00B92AFE"/>
    <w:pPr>
      <w:spacing w:after="100"/>
      <w:ind w:left="216" w:right="720"/>
    </w:pPr>
    <w:rPr>
      <w:rFonts w:ascii="Times New Roman" w:hAnsi="Times New Roman"/>
    </w:rPr>
  </w:style>
  <w:style w:type="table" w:customStyle="1" w:styleId="ListTable4">
    <w:name w:val="List Table 4"/>
    <w:basedOn w:val="TableNormal"/>
    <w:uiPriority w:val="49"/>
    <w:rsid w:val="002A76E2"/>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PlainTable1">
    <w:name w:val="Plain Table 1"/>
    <w:basedOn w:val="TableNormal"/>
    <w:uiPriority w:val="41"/>
    <w:rsid w:val="00F11F0B"/>
    <w:pPr>
      <w:spacing w:after="0" w:line="240" w:lineRule="auto"/>
    </w:pPr>
    <w:tblPr>
      <w:tblStyleRowBandSize w:val="1"/>
      <w:tblStyleColBandSize w:val="1"/>
      <w:tblBorders>
        <w:top w:val="double" w:sz="4" w:space="0" w:color="auto"/>
        <w:left w:val="double" w:sz="4" w:space="0" w:color="auto"/>
        <w:bottom w:val="double" w:sz="4" w:space="0" w:color="auto"/>
        <w:right w:val="double" w:sz="4" w:space="0" w:color="auto"/>
        <w:insideH w:val="dotted" w:sz="4" w:space="0" w:color="auto"/>
        <w:insideV w:val="dotted" w:sz="4" w:space="0" w:color="auto"/>
      </w:tblBorders>
    </w:tblPr>
    <w:tblStylePr w:type="firstRow">
      <w:pPr>
        <w:wordWrap/>
        <w:jc w:val="center"/>
      </w:pPr>
      <w:rPr>
        <w:b/>
        <w:bCs/>
      </w:rPr>
      <w:tblPr>
        <w:jc w:val="center"/>
      </w:tblPr>
      <w:trPr>
        <w:jc w:val="center"/>
      </w:trPr>
      <w:tcPr>
        <w:vAlign w:val="center"/>
      </w:tcPr>
    </w:tblStylePr>
    <w:tblStylePr w:type="lastRow">
      <w:rPr>
        <w:b/>
        <w:bCs/>
      </w:rPr>
      <w:tblPr/>
      <w:tcPr>
        <w:tcBorders>
          <w:top w:val="double" w:sz="4" w:space="0" w:color="BFBFBF" w:themeColor="background1" w:themeShade="BF"/>
        </w:tcBorders>
      </w:tcPr>
    </w:tblStylePr>
    <w:tblStylePr w:type="firstCol">
      <w:rPr>
        <w:b w:val="0"/>
        <w:bCs/>
        <w:i w:val="0"/>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GridTableLight">
    <w:name w:val="Grid Table Light"/>
    <w:basedOn w:val="TableNormal"/>
    <w:uiPriority w:val="40"/>
    <w:rsid w:val="00AD5834"/>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Tabletitle">
    <w:name w:val="Table title"/>
    <w:basedOn w:val="Normal"/>
    <w:qFormat/>
    <w:rsid w:val="007F466B"/>
    <w:pPr>
      <w:keepNext/>
      <w:spacing w:before="240" w:after="60" w:line="240" w:lineRule="auto"/>
    </w:pPr>
    <w:rPr>
      <w:rFonts w:ascii="Times New Roman" w:hAnsi="Times New Roman" w:cs="Times New Roman"/>
      <w:b/>
    </w:rPr>
  </w:style>
  <w:style w:type="paragraph" w:customStyle="1" w:styleId="BodyTextfirst">
    <w:name w:val="Body Text first"/>
    <w:basedOn w:val="BodyText"/>
    <w:qFormat/>
    <w:rsid w:val="0085143F"/>
    <w:pPr>
      <w:spacing w:before="240"/>
    </w:pPr>
  </w:style>
  <w:style w:type="paragraph" w:customStyle="1" w:styleId="Tabletitlecontinued">
    <w:name w:val="Table title continued"/>
    <w:basedOn w:val="Tabletitle"/>
    <w:qFormat/>
    <w:rsid w:val="00252105"/>
  </w:style>
  <w:style w:type="paragraph" w:customStyle="1" w:styleId="Bulletlist1">
    <w:name w:val="Bullet list 1"/>
    <w:basedOn w:val="ListParagraph"/>
    <w:qFormat/>
    <w:rsid w:val="00622EF9"/>
    <w:pPr>
      <w:numPr>
        <w:numId w:val="8"/>
      </w:numPr>
      <w:spacing w:after="80"/>
      <w:contextualSpacing w:val="0"/>
    </w:pPr>
    <w:rPr>
      <w:rFonts w:ascii="Times New Roman" w:hAnsi="Times New Roman"/>
    </w:rPr>
  </w:style>
  <w:style w:type="table" w:customStyle="1" w:styleId="PlainTable5">
    <w:name w:val="Plain Table 5"/>
    <w:basedOn w:val="TableNormal"/>
    <w:uiPriority w:val="45"/>
    <w:rsid w:val="00CD7A06"/>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PlainTable4">
    <w:name w:val="Plain Table 4"/>
    <w:basedOn w:val="TableNormal"/>
    <w:uiPriority w:val="44"/>
    <w:rsid w:val="00CD7A06"/>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3">
    <w:name w:val="Plain Table 3"/>
    <w:basedOn w:val="TableNormal"/>
    <w:uiPriority w:val="43"/>
    <w:rsid w:val="00CD7A06"/>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PlainTable2">
    <w:name w:val="Plain Table 2"/>
    <w:basedOn w:val="TableNormal"/>
    <w:uiPriority w:val="42"/>
    <w:rsid w:val="00CD7A06"/>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TableTheme">
    <w:name w:val="Table Theme"/>
    <w:basedOn w:val="TableNormal"/>
    <w:uiPriority w:val="99"/>
    <w:rsid w:val="00CD7A0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1Light">
    <w:name w:val="Grid Table 1 Light"/>
    <w:basedOn w:val="TableNormal"/>
    <w:uiPriority w:val="46"/>
    <w:rsid w:val="00CD7A06"/>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customStyle="1" w:styleId="Heading2Char">
    <w:name w:val="Heading 2 Char"/>
    <w:basedOn w:val="DefaultParagraphFont"/>
    <w:link w:val="Heading2"/>
    <w:uiPriority w:val="9"/>
    <w:rsid w:val="009C4191"/>
    <w:rPr>
      <w:rFonts w:ascii="Times New Roman" w:hAnsi="Times New Roman" w:cs="Times New Roman"/>
      <w:b/>
      <w:i/>
    </w:rPr>
  </w:style>
  <w:style w:type="paragraph" w:customStyle="1" w:styleId="Bulletlist2">
    <w:name w:val="Bullet list 2"/>
    <w:basedOn w:val="Bulletlist1"/>
    <w:qFormat/>
    <w:rsid w:val="0068622D"/>
    <w:pPr>
      <w:numPr>
        <w:numId w:val="24"/>
      </w:numPr>
      <w:ind w:left="1080"/>
    </w:pPr>
  </w:style>
  <w:style w:type="character" w:customStyle="1" w:styleId="Heading3Char">
    <w:name w:val="Heading 3 Char"/>
    <w:basedOn w:val="DefaultParagraphFont"/>
    <w:link w:val="Heading3"/>
    <w:uiPriority w:val="9"/>
    <w:rsid w:val="00426F77"/>
    <w:rPr>
      <w:rFonts w:ascii="Times New Roman" w:hAnsi="Times New Roman" w:cs="Times New Roman"/>
      <w:i/>
      <w:u w:val="single"/>
    </w:rPr>
  </w:style>
  <w:style w:type="paragraph" w:styleId="TOC3">
    <w:name w:val="toc 3"/>
    <w:basedOn w:val="Normal"/>
    <w:next w:val="Normal"/>
    <w:autoRedefine/>
    <w:uiPriority w:val="39"/>
    <w:unhideWhenUsed/>
    <w:rsid w:val="00D326E7"/>
    <w:pPr>
      <w:spacing w:after="100"/>
      <w:ind w:left="440"/>
    </w:pPr>
  </w:style>
  <w:style w:type="paragraph" w:styleId="TOC4">
    <w:name w:val="toc 4"/>
    <w:basedOn w:val="Normal"/>
    <w:next w:val="Normal"/>
    <w:autoRedefine/>
    <w:uiPriority w:val="39"/>
    <w:unhideWhenUsed/>
    <w:rsid w:val="00D326E7"/>
    <w:pPr>
      <w:spacing w:after="100"/>
      <w:ind w:left="660"/>
    </w:pPr>
    <w:rPr>
      <w:rFonts w:eastAsiaTheme="minorEastAsia"/>
    </w:rPr>
  </w:style>
  <w:style w:type="paragraph" w:styleId="TOC5">
    <w:name w:val="toc 5"/>
    <w:basedOn w:val="Normal"/>
    <w:next w:val="Normal"/>
    <w:autoRedefine/>
    <w:uiPriority w:val="39"/>
    <w:unhideWhenUsed/>
    <w:rsid w:val="00D326E7"/>
    <w:pPr>
      <w:spacing w:after="100"/>
      <w:ind w:left="880"/>
    </w:pPr>
    <w:rPr>
      <w:rFonts w:eastAsiaTheme="minorEastAsia"/>
    </w:rPr>
  </w:style>
  <w:style w:type="paragraph" w:styleId="TOC6">
    <w:name w:val="toc 6"/>
    <w:basedOn w:val="Normal"/>
    <w:next w:val="Normal"/>
    <w:autoRedefine/>
    <w:uiPriority w:val="39"/>
    <w:unhideWhenUsed/>
    <w:rsid w:val="00D326E7"/>
    <w:pPr>
      <w:spacing w:after="100"/>
      <w:ind w:left="1100"/>
    </w:pPr>
    <w:rPr>
      <w:rFonts w:eastAsiaTheme="minorEastAsia"/>
    </w:rPr>
  </w:style>
  <w:style w:type="paragraph" w:styleId="TOC7">
    <w:name w:val="toc 7"/>
    <w:basedOn w:val="Normal"/>
    <w:next w:val="Normal"/>
    <w:autoRedefine/>
    <w:uiPriority w:val="39"/>
    <w:unhideWhenUsed/>
    <w:rsid w:val="00D326E7"/>
    <w:pPr>
      <w:spacing w:after="100"/>
      <w:ind w:left="1320"/>
    </w:pPr>
    <w:rPr>
      <w:rFonts w:eastAsiaTheme="minorEastAsia"/>
    </w:rPr>
  </w:style>
  <w:style w:type="paragraph" w:styleId="TOC8">
    <w:name w:val="toc 8"/>
    <w:basedOn w:val="Normal"/>
    <w:next w:val="Normal"/>
    <w:autoRedefine/>
    <w:uiPriority w:val="39"/>
    <w:unhideWhenUsed/>
    <w:rsid w:val="00D326E7"/>
    <w:pPr>
      <w:spacing w:after="100"/>
      <w:ind w:left="1540"/>
    </w:pPr>
    <w:rPr>
      <w:rFonts w:eastAsiaTheme="minorEastAsia"/>
    </w:rPr>
  </w:style>
  <w:style w:type="paragraph" w:styleId="TOC9">
    <w:name w:val="toc 9"/>
    <w:basedOn w:val="Normal"/>
    <w:next w:val="Normal"/>
    <w:autoRedefine/>
    <w:uiPriority w:val="39"/>
    <w:unhideWhenUsed/>
    <w:rsid w:val="00D326E7"/>
    <w:pPr>
      <w:spacing w:after="100"/>
      <w:ind w:left="1760"/>
    </w:pPr>
    <w:rPr>
      <w:rFonts w:eastAsiaTheme="minorEastAsi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26F77"/>
  </w:style>
  <w:style w:type="paragraph" w:styleId="Heading1">
    <w:name w:val="heading 1"/>
    <w:basedOn w:val="Normal"/>
    <w:next w:val="Normal"/>
    <w:link w:val="Heading1Char"/>
    <w:uiPriority w:val="9"/>
    <w:qFormat/>
    <w:rsid w:val="00462AF2"/>
    <w:pPr>
      <w:outlineLvl w:val="0"/>
    </w:pPr>
    <w:rPr>
      <w:rFonts w:ascii="Times New Roman" w:hAnsi="Times New Roman" w:cs="Times New Roman"/>
      <w:b/>
      <w:sz w:val="24"/>
    </w:rPr>
  </w:style>
  <w:style w:type="paragraph" w:styleId="Heading2">
    <w:name w:val="heading 2"/>
    <w:basedOn w:val="Header2"/>
    <w:next w:val="Normal"/>
    <w:link w:val="Heading2Char"/>
    <w:uiPriority w:val="9"/>
    <w:unhideWhenUsed/>
    <w:qFormat/>
    <w:rsid w:val="009C4191"/>
    <w:pPr>
      <w:keepNext/>
      <w:outlineLvl w:val="1"/>
    </w:pPr>
  </w:style>
  <w:style w:type="paragraph" w:styleId="Heading3">
    <w:name w:val="heading 3"/>
    <w:basedOn w:val="Normal"/>
    <w:next w:val="Normal"/>
    <w:link w:val="Heading3Char"/>
    <w:uiPriority w:val="9"/>
    <w:unhideWhenUsed/>
    <w:qFormat/>
    <w:rsid w:val="00426F77"/>
    <w:pPr>
      <w:spacing w:line="240" w:lineRule="auto"/>
      <w:outlineLvl w:val="2"/>
    </w:pPr>
    <w:rPr>
      <w:rFonts w:ascii="Times New Roman" w:hAnsi="Times New Roman" w:cs="Times New Roman"/>
      <w:i/>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AA6DB3"/>
    <w:rPr>
      <w:sz w:val="16"/>
      <w:szCs w:val="16"/>
    </w:rPr>
  </w:style>
  <w:style w:type="paragraph" w:styleId="CommentText">
    <w:name w:val="annotation text"/>
    <w:basedOn w:val="Normal"/>
    <w:link w:val="CommentTextChar"/>
    <w:uiPriority w:val="99"/>
    <w:unhideWhenUsed/>
    <w:rsid w:val="00AA6DB3"/>
    <w:pPr>
      <w:spacing w:line="240" w:lineRule="auto"/>
    </w:pPr>
    <w:rPr>
      <w:sz w:val="20"/>
      <w:szCs w:val="20"/>
    </w:rPr>
  </w:style>
  <w:style w:type="character" w:customStyle="1" w:styleId="CommentTextChar">
    <w:name w:val="Comment Text Char"/>
    <w:basedOn w:val="DefaultParagraphFont"/>
    <w:link w:val="CommentText"/>
    <w:uiPriority w:val="99"/>
    <w:rsid w:val="00AA6DB3"/>
    <w:rPr>
      <w:sz w:val="20"/>
      <w:szCs w:val="20"/>
    </w:rPr>
  </w:style>
  <w:style w:type="paragraph" w:styleId="BalloonText">
    <w:name w:val="Balloon Text"/>
    <w:basedOn w:val="Normal"/>
    <w:link w:val="BalloonTextChar"/>
    <w:uiPriority w:val="99"/>
    <w:semiHidden/>
    <w:unhideWhenUsed/>
    <w:rsid w:val="00AA6DB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A6DB3"/>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11075B"/>
    <w:rPr>
      <w:b/>
      <w:bCs/>
    </w:rPr>
  </w:style>
  <w:style w:type="character" w:customStyle="1" w:styleId="CommentSubjectChar">
    <w:name w:val="Comment Subject Char"/>
    <w:basedOn w:val="CommentTextChar"/>
    <w:link w:val="CommentSubject"/>
    <w:uiPriority w:val="99"/>
    <w:semiHidden/>
    <w:rsid w:val="0011075B"/>
    <w:rPr>
      <w:b/>
      <w:bCs/>
      <w:sz w:val="20"/>
      <w:szCs w:val="20"/>
    </w:rPr>
  </w:style>
  <w:style w:type="paragraph" w:styleId="Revision">
    <w:name w:val="Revision"/>
    <w:hidden/>
    <w:uiPriority w:val="99"/>
    <w:semiHidden/>
    <w:rsid w:val="006541EC"/>
    <w:pPr>
      <w:spacing w:after="0" w:line="240" w:lineRule="auto"/>
    </w:pPr>
  </w:style>
  <w:style w:type="character" w:styleId="Hyperlink">
    <w:name w:val="Hyperlink"/>
    <w:basedOn w:val="DefaultParagraphFont"/>
    <w:uiPriority w:val="99"/>
    <w:unhideWhenUsed/>
    <w:rsid w:val="00552C5A"/>
    <w:rPr>
      <w:color w:val="0563C1" w:themeColor="hyperlink"/>
      <w:u w:val="single"/>
    </w:rPr>
  </w:style>
  <w:style w:type="character" w:customStyle="1" w:styleId="UnresolvedMention">
    <w:name w:val="Unresolved Mention"/>
    <w:basedOn w:val="DefaultParagraphFont"/>
    <w:uiPriority w:val="99"/>
    <w:semiHidden/>
    <w:unhideWhenUsed/>
    <w:rsid w:val="00552C5A"/>
    <w:rPr>
      <w:color w:val="605E5C"/>
      <w:shd w:val="clear" w:color="auto" w:fill="E1DFDD"/>
    </w:rPr>
  </w:style>
  <w:style w:type="table" w:styleId="TableGrid">
    <w:name w:val="Table Grid"/>
    <w:basedOn w:val="TableNormal"/>
    <w:uiPriority w:val="39"/>
    <w:rsid w:val="00813F0B"/>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eaderChar">
    <w:name w:val="Header Char"/>
    <w:basedOn w:val="DefaultParagraphFont"/>
    <w:link w:val="Header"/>
    <w:uiPriority w:val="99"/>
    <w:rsid w:val="00813F0B"/>
  </w:style>
  <w:style w:type="paragraph" w:styleId="Header">
    <w:name w:val="header"/>
    <w:basedOn w:val="Normal"/>
    <w:link w:val="HeaderChar"/>
    <w:uiPriority w:val="99"/>
    <w:unhideWhenUsed/>
    <w:rsid w:val="00813F0B"/>
    <w:pPr>
      <w:tabs>
        <w:tab w:val="center" w:pos="4680"/>
        <w:tab w:val="right" w:pos="9360"/>
      </w:tabs>
      <w:spacing w:after="0" w:line="240" w:lineRule="auto"/>
    </w:pPr>
  </w:style>
  <w:style w:type="character" w:customStyle="1" w:styleId="HeaderChar1">
    <w:name w:val="Header Char1"/>
    <w:basedOn w:val="DefaultParagraphFont"/>
    <w:uiPriority w:val="99"/>
    <w:semiHidden/>
    <w:rsid w:val="00813F0B"/>
  </w:style>
  <w:style w:type="character" w:customStyle="1" w:styleId="FooterChar">
    <w:name w:val="Footer Char"/>
    <w:basedOn w:val="DefaultParagraphFont"/>
    <w:link w:val="Footer"/>
    <w:uiPriority w:val="99"/>
    <w:rsid w:val="00B92AFE"/>
    <w:rPr>
      <w:rFonts w:ascii="Times New Roman" w:hAnsi="Times New Roman"/>
    </w:rPr>
  </w:style>
  <w:style w:type="paragraph" w:styleId="Footer">
    <w:name w:val="footer"/>
    <w:basedOn w:val="Normal"/>
    <w:link w:val="FooterChar"/>
    <w:uiPriority w:val="99"/>
    <w:unhideWhenUsed/>
    <w:rsid w:val="00B92AFE"/>
    <w:pPr>
      <w:tabs>
        <w:tab w:val="center" w:pos="4680"/>
        <w:tab w:val="right" w:pos="9360"/>
      </w:tabs>
      <w:spacing w:after="0" w:line="240" w:lineRule="auto"/>
    </w:pPr>
    <w:rPr>
      <w:rFonts w:ascii="Times New Roman" w:hAnsi="Times New Roman"/>
    </w:rPr>
  </w:style>
  <w:style w:type="character" w:customStyle="1" w:styleId="FooterChar1">
    <w:name w:val="Footer Char1"/>
    <w:basedOn w:val="DefaultParagraphFont"/>
    <w:uiPriority w:val="99"/>
    <w:semiHidden/>
    <w:rsid w:val="00813F0B"/>
  </w:style>
  <w:style w:type="paragraph" w:styleId="FootnoteText">
    <w:name w:val="footnote text"/>
    <w:basedOn w:val="Normal"/>
    <w:link w:val="FootnoteTextChar"/>
    <w:uiPriority w:val="99"/>
    <w:unhideWhenUsed/>
    <w:rsid w:val="00486D91"/>
    <w:pPr>
      <w:spacing w:after="0" w:line="240" w:lineRule="auto"/>
    </w:pPr>
    <w:rPr>
      <w:rFonts w:ascii="Times New Roman" w:hAnsi="Times New Roman" w:cs="Times New Roman"/>
      <w:sz w:val="20"/>
      <w:szCs w:val="20"/>
    </w:rPr>
  </w:style>
  <w:style w:type="character" w:customStyle="1" w:styleId="FootnoteTextChar">
    <w:name w:val="Footnote Text Char"/>
    <w:basedOn w:val="DefaultParagraphFont"/>
    <w:link w:val="FootnoteText"/>
    <w:uiPriority w:val="99"/>
    <w:rsid w:val="00486D91"/>
    <w:rPr>
      <w:rFonts w:ascii="Times New Roman" w:hAnsi="Times New Roman" w:cs="Times New Roman"/>
      <w:sz w:val="20"/>
      <w:szCs w:val="20"/>
    </w:rPr>
  </w:style>
  <w:style w:type="character" w:styleId="FootnoteReference">
    <w:name w:val="footnote reference"/>
    <w:basedOn w:val="DefaultParagraphFont"/>
    <w:uiPriority w:val="99"/>
    <w:semiHidden/>
    <w:unhideWhenUsed/>
    <w:rsid w:val="00830E92"/>
    <w:rPr>
      <w:vertAlign w:val="superscript"/>
    </w:rPr>
  </w:style>
  <w:style w:type="paragraph" w:customStyle="1" w:styleId="commentcontentpara">
    <w:name w:val="commentcontentpara"/>
    <w:basedOn w:val="Normal"/>
    <w:rsid w:val="00F40687"/>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F40687"/>
    <w:rPr>
      <w:color w:val="954F72" w:themeColor="followedHyperlink"/>
      <w:u w:val="single"/>
    </w:rPr>
  </w:style>
  <w:style w:type="paragraph" w:styleId="ListParagraph">
    <w:name w:val="List Paragraph"/>
    <w:basedOn w:val="Normal"/>
    <w:uiPriority w:val="34"/>
    <w:qFormat/>
    <w:rsid w:val="005C22AC"/>
    <w:pPr>
      <w:spacing w:after="0" w:line="240" w:lineRule="auto"/>
      <w:ind w:left="720"/>
      <w:contextualSpacing/>
    </w:pPr>
    <w:rPr>
      <w:rFonts w:ascii="Calibri" w:hAnsi="Calibri" w:cs="Times New Roman"/>
    </w:rPr>
  </w:style>
  <w:style w:type="character" w:styleId="SubtleEmphasis">
    <w:name w:val="Subtle Emphasis"/>
    <w:basedOn w:val="DefaultParagraphFont"/>
    <w:uiPriority w:val="19"/>
    <w:qFormat/>
    <w:rsid w:val="009A6027"/>
    <w:rPr>
      <w:i/>
      <w:iCs/>
      <w:color w:val="404040" w:themeColor="text1" w:themeTint="BF"/>
    </w:rPr>
  </w:style>
  <w:style w:type="paragraph" w:styleId="BodyText">
    <w:name w:val="Body Text"/>
    <w:basedOn w:val="Normal"/>
    <w:link w:val="BodyTextChar"/>
    <w:uiPriority w:val="1"/>
    <w:qFormat/>
    <w:rsid w:val="00B92AFE"/>
    <w:pPr>
      <w:spacing w:line="240" w:lineRule="auto"/>
    </w:pPr>
    <w:rPr>
      <w:rFonts w:ascii="Times New Roman" w:hAnsi="Times New Roman" w:cs="Times New Roman"/>
    </w:rPr>
  </w:style>
  <w:style w:type="character" w:customStyle="1" w:styleId="BodyTextChar">
    <w:name w:val="Body Text Char"/>
    <w:basedOn w:val="DefaultParagraphFont"/>
    <w:link w:val="BodyText"/>
    <w:uiPriority w:val="1"/>
    <w:rsid w:val="00B92AFE"/>
    <w:rPr>
      <w:rFonts w:ascii="Times New Roman" w:hAnsi="Times New Roman" w:cs="Times New Roman"/>
    </w:rPr>
  </w:style>
  <w:style w:type="paragraph" w:customStyle="1" w:styleId="GHGRP-SRBodyText">
    <w:name w:val="GHGRP-SR Body Text"/>
    <w:qFormat/>
    <w:rsid w:val="00E86E23"/>
    <w:pPr>
      <w:spacing w:after="240" w:line="240" w:lineRule="auto"/>
    </w:pPr>
    <w:rPr>
      <w:rFonts w:ascii="Cambria" w:eastAsia="Times New Roman" w:hAnsi="Cambria" w:cs="Times New Roman"/>
      <w:szCs w:val="20"/>
    </w:rPr>
  </w:style>
  <w:style w:type="character" w:customStyle="1" w:styleId="Heading1Char">
    <w:name w:val="Heading 1 Char"/>
    <w:basedOn w:val="DefaultParagraphFont"/>
    <w:link w:val="Heading1"/>
    <w:uiPriority w:val="9"/>
    <w:rsid w:val="00462AF2"/>
    <w:rPr>
      <w:rFonts w:ascii="Times New Roman" w:hAnsi="Times New Roman" w:cs="Times New Roman"/>
      <w:b/>
      <w:sz w:val="24"/>
    </w:rPr>
  </w:style>
  <w:style w:type="paragraph" w:styleId="TOCHeading">
    <w:name w:val="TOC Heading"/>
    <w:basedOn w:val="Heading1"/>
    <w:next w:val="Normal"/>
    <w:uiPriority w:val="39"/>
    <w:unhideWhenUsed/>
    <w:qFormat/>
    <w:rsid w:val="00C21C63"/>
    <w:pPr>
      <w:outlineLvl w:val="9"/>
    </w:pPr>
  </w:style>
  <w:style w:type="paragraph" w:styleId="TOC1">
    <w:name w:val="toc 1"/>
    <w:basedOn w:val="Normal"/>
    <w:next w:val="Normal"/>
    <w:autoRedefine/>
    <w:uiPriority w:val="39"/>
    <w:unhideWhenUsed/>
    <w:rsid w:val="00B92AFE"/>
    <w:pPr>
      <w:tabs>
        <w:tab w:val="right" w:leader="dot" w:pos="9350"/>
      </w:tabs>
      <w:spacing w:after="100"/>
      <w:ind w:right="720"/>
    </w:pPr>
    <w:rPr>
      <w:rFonts w:ascii="Times New Roman" w:hAnsi="Times New Roman"/>
    </w:rPr>
  </w:style>
  <w:style w:type="paragraph" w:customStyle="1" w:styleId="AfterTable">
    <w:name w:val="After Table"/>
    <w:basedOn w:val="Normal"/>
    <w:qFormat/>
    <w:rsid w:val="00E71DEE"/>
    <w:pPr>
      <w:spacing w:after="240" w:line="240" w:lineRule="auto"/>
    </w:pPr>
    <w:rPr>
      <w:rFonts w:ascii="Times New Roman" w:hAnsi="Times New Roman" w:cs="Times New Roman"/>
    </w:rPr>
  </w:style>
  <w:style w:type="paragraph" w:customStyle="1" w:styleId="Header1">
    <w:name w:val="Header 1"/>
    <w:basedOn w:val="Normal"/>
    <w:qFormat/>
    <w:rsid w:val="0001781A"/>
    <w:pPr>
      <w:outlineLvl w:val="0"/>
    </w:pPr>
    <w:rPr>
      <w:rFonts w:ascii="Times New Roman" w:hAnsi="Times New Roman" w:cs="Times New Roman"/>
      <w:b/>
    </w:rPr>
  </w:style>
  <w:style w:type="paragraph" w:customStyle="1" w:styleId="Header2">
    <w:name w:val="Header 2"/>
    <w:basedOn w:val="Normal"/>
    <w:qFormat/>
    <w:rsid w:val="0094202F"/>
    <w:pPr>
      <w:spacing w:line="240" w:lineRule="auto"/>
    </w:pPr>
    <w:rPr>
      <w:rFonts w:ascii="Times New Roman" w:hAnsi="Times New Roman" w:cs="Times New Roman"/>
      <w:b/>
      <w:i/>
    </w:rPr>
  </w:style>
  <w:style w:type="paragraph" w:customStyle="1" w:styleId="TableName">
    <w:name w:val="Table Name"/>
    <w:basedOn w:val="Normal"/>
    <w:qFormat/>
    <w:rsid w:val="0001781A"/>
    <w:pPr>
      <w:outlineLvl w:val="2"/>
    </w:pPr>
    <w:rPr>
      <w:rFonts w:ascii="Times New Roman" w:eastAsia="Times New Roman" w:hAnsi="Times New Roman" w:cs="Times New Roman"/>
      <w:b/>
      <w:bCs/>
    </w:rPr>
  </w:style>
  <w:style w:type="paragraph" w:customStyle="1" w:styleId="Header4">
    <w:name w:val="Header 4"/>
    <w:basedOn w:val="Normal"/>
    <w:qFormat/>
    <w:rsid w:val="0001781A"/>
    <w:pPr>
      <w:outlineLvl w:val="3"/>
    </w:pPr>
    <w:rPr>
      <w:rFonts w:ascii="Times New Roman" w:hAnsi="Times New Roman" w:cs="Times New Roman"/>
    </w:rPr>
  </w:style>
  <w:style w:type="character" w:styleId="LineNumber">
    <w:name w:val="line number"/>
    <w:basedOn w:val="DefaultParagraphFont"/>
    <w:uiPriority w:val="99"/>
    <w:semiHidden/>
    <w:unhideWhenUsed/>
    <w:rsid w:val="0001781A"/>
  </w:style>
  <w:style w:type="paragraph" w:styleId="TOC2">
    <w:name w:val="toc 2"/>
    <w:basedOn w:val="Normal"/>
    <w:next w:val="Normal"/>
    <w:autoRedefine/>
    <w:uiPriority w:val="39"/>
    <w:unhideWhenUsed/>
    <w:rsid w:val="00B92AFE"/>
    <w:pPr>
      <w:spacing w:after="100"/>
      <w:ind w:left="216" w:right="720"/>
    </w:pPr>
    <w:rPr>
      <w:rFonts w:ascii="Times New Roman" w:hAnsi="Times New Roman"/>
    </w:rPr>
  </w:style>
  <w:style w:type="table" w:customStyle="1" w:styleId="ListTable4">
    <w:name w:val="List Table 4"/>
    <w:basedOn w:val="TableNormal"/>
    <w:uiPriority w:val="49"/>
    <w:rsid w:val="002A76E2"/>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PlainTable1">
    <w:name w:val="Plain Table 1"/>
    <w:basedOn w:val="TableNormal"/>
    <w:uiPriority w:val="41"/>
    <w:rsid w:val="00F11F0B"/>
    <w:pPr>
      <w:spacing w:after="0" w:line="240" w:lineRule="auto"/>
    </w:pPr>
    <w:tblPr>
      <w:tblStyleRowBandSize w:val="1"/>
      <w:tblStyleColBandSize w:val="1"/>
      <w:tblBorders>
        <w:top w:val="double" w:sz="4" w:space="0" w:color="auto"/>
        <w:left w:val="double" w:sz="4" w:space="0" w:color="auto"/>
        <w:bottom w:val="double" w:sz="4" w:space="0" w:color="auto"/>
        <w:right w:val="double" w:sz="4" w:space="0" w:color="auto"/>
        <w:insideH w:val="dotted" w:sz="4" w:space="0" w:color="auto"/>
        <w:insideV w:val="dotted" w:sz="4" w:space="0" w:color="auto"/>
      </w:tblBorders>
    </w:tblPr>
    <w:tblStylePr w:type="firstRow">
      <w:pPr>
        <w:wordWrap/>
        <w:jc w:val="center"/>
      </w:pPr>
      <w:rPr>
        <w:b/>
        <w:bCs/>
      </w:rPr>
      <w:tblPr>
        <w:jc w:val="center"/>
      </w:tblPr>
      <w:trPr>
        <w:jc w:val="center"/>
      </w:trPr>
      <w:tcPr>
        <w:vAlign w:val="center"/>
      </w:tcPr>
    </w:tblStylePr>
    <w:tblStylePr w:type="lastRow">
      <w:rPr>
        <w:b/>
        <w:bCs/>
      </w:rPr>
      <w:tblPr/>
      <w:tcPr>
        <w:tcBorders>
          <w:top w:val="double" w:sz="4" w:space="0" w:color="BFBFBF" w:themeColor="background1" w:themeShade="BF"/>
        </w:tcBorders>
      </w:tcPr>
    </w:tblStylePr>
    <w:tblStylePr w:type="firstCol">
      <w:rPr>
        <w:b w:val="0"/>
        <w:bCs/>
        <w:i w:val="0"/>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GridTableLight">
    <w:name w:val="Grid Table Light"/>
    <w:basedOn w:val="TableNormal"/>
    <w:uiPriority w:val="40"/>
    <w:rsid w:val="00AD5834"/>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Tabletitle">
    <w:name w:val="Table title"/>
    <w:basedOn w:val="Normal"/>
    <w:qFormat/>
    <w:rsid w:val="007F466B"/>
    <w:pPr>
      <w:keepNext/>
      <w:spacing w:before="240" w:after="60" w:line="240" w:lineRule="auto"/>
    </w:pPr>
    <w:rPr>
      <w:rFonts w:ascii="Times New Roman" w:hAnsi="Times New Roman" w:cs="Times New Roman"/>
      <w:b/>
    </w:rPr>
  </w:style>
  <w:style w:type="paragraph" w:customStyle="1" w:styleId="BodyTextfirst">
    <w:name w:val="Body Text first"/>
    <w:basedOn w:val="BodyText"/>
    <w:qFormat/>
    <w:rsid w:val="0085143F"/>
    <w:pPr>
      <w:spacing w:before="240"/>
    </w:pPr>
  </w:style>
  <w:style w:type="paragraph" w:customStyle="1" w:styleId="Tabletitlecontinued">
    <w:name w:val="Table title continued"/>
    <w:basedOn w:val="Tabletitle"/>
    <w:qFormat/>
    <w:rsid w:val="00252105"/>
  </w:style>
  <w:style w:type="paragraph" w:customStyle="1" w:styleId="Bulletlist1">
    <w:name w:val="Bullet list 1"/>
    <w:basedOn w:val="ListParagraph"/>
    <w:qFormat/>
    <w:rsid w:val="00622EF9"/>
    <w:pPr>
      <w:numPr>
        <w:numId w:val="8"/>
      </w:numPr>
      <w:spacing w:after="80"/>
      <w:contextualSpacing w:val="0"/>
    </w:pPr>
    <w:rPr>
      <w:rFonts w:ascii="Times New Roman" w:hAnsi="Times New Roman"/>
    </w:rPr>
  </w:style>
  <w:style w:type="table" w:customStyle="1" w:styleId="PlainTable5">
    <w:name w:val="Plain Table 5"/>
    <w:basedOn w:val="TableNormal"/>
    <w:uiPriority w:val="45"/>
    <w:rsid w:val="00CD7A06"/>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PlainTable4">
    <w:name w:val="Plain Table 4"/>
    <w:basedOn w:val="TableNormal"/>
    <w:uiPriority w:val="44"/>
    <w:rsid w:val="00CD7A06"/>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3">
    <w:name w:val="Plain Table 3"/>
    <w:basedOn w:val="TableNormal"/>
    <w:uiPriority w:val="43"/>
    <w:rsid w:val="00CD7A06"/>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PlainTable2">
    <w:name w:val="Plain Table 2"/>
    <w:basedOn w:val="TableNormal"/>
    <w:uiPriority w:val="42"/>
    <w:rsid w:val="00CD7A06"/>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TableTheme">
    <w:name w:val="Table Theme"/>
    <w:basedOn w:val="TableNormal"/>
    <w:uiPriority w:val="99"/>
    <w:rsid w:val="00CD7A0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1Light">
    <w:name w:val="Grid Table 1 Light"/>
    <w:basedOn w:val="TableNormal"/>
    <w:uiPriority w:val="46"/>
    <w:rsid w:val="00CD7A06"/>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customStyle="1" w:styleId="Heading2Char">
    <w:name w:val="Heading 2 Char"/>
    <w:basedOn w:val="DefaultParagraphFont"/>
    <w:link w:val="Heading2"/>
    <w:uiPriority w:val="9"/>
    <w:rsid w:val="009C4191"/>
    <w:rPr>
      <w:rFonts w:ascii="Times New Roman" w:hAnsi="Times New Roman" w:cs="Times New Roman"/>
      <w:b/>
      <w:i/>
    </w:rPr>
  </w:style>
  <w:style w:type="paragraph" w:customStyle="1" w:styleId="Bulletlist2">
    <w:name w:val="Bullet list 2"/>
    <w:basedOn w:val="Bulletlist1"/>
    <w:qFormat/>
    <w:rsid w:val="0068622D"/>
    <w:pPr>
      <w:numPr>
        <w:numId w:val="24"/>
      </w:numPr>
      <w:ind w:left="1080"/>
    </w:pPr>
  </w:style>
  <w:style w:type="character" w:customStyle="1" w:styleId="Heading3Char">
    <w:name w:val="Heading 3 Char"/>
    <w:basedOn w:val="DefaultParagraphFont"/>
    <w:link w:val="Heading3"/>
    <w:uiPriority w:val="9"/>
    <w:rsid w:val="00426F77"/>
    <w:rPr>
      <w:rFonts w:ascii="Times New Roman" w:hAnsi="Times New Roman" w:cs="Times New Roman"/>
      <w:i/>
      <w:u w:val="single"/>
    </w:rPr>
  </w:style>
  <w:style w:type="paragraph" w:styleId="TOC3">
    <w:name w:val="toc 3"/>
    <w:basedOn w:val="Normal"/>
    <w:next w:val="Normal"/>
    <w:autoRedefine/>
    <w:uiPriority w:val="39"/>
    <w:unhideWhenUsed/>
    <w:rsid w:val="00D326E7"/>
    <w:pPr>
      <w:spacing w:after="100"/>
      <w:ind w:left="440"/>
    </w:pPr>
  </w:style>
  <w:style w:type="paragraph" w:styleId="TOC4">
    <w:name w:val="toc 4"/>
    <w:basedOn w:val="Normal"/>
    <w:next w:val="Normal"/>
    <w:autoRedefine/>
    <w:uiPriority w:val="39"/>
    <w:unhideWhenUsed/>
    <w:rsid w:val="00D326E7"/>
    <w:pPr>
      <w:spacing w:after="100"/>
      <w:ind w:left="660"/>
    </w:pPr>
    <w:rPr>
      <w:rFonts w:eastAsiaTheme="minorEastAsia"/>
    </w:rPr>
  </w:style>
  <w:style w:type="paragraph" w:styleId="TOC5">
    <w:name w:val="toc 5"/>
    <w:basedOn w:val="Normal"/>
    <w:next w:val="Normal"/>
    <w:autoRedefine/>
    <w:uiPriority w:val="39"/>
    <w:unhideWhenUsed/>
    <w:rsid w:val="00D326E7"/>
    <w:pPr>
      <w:spacing w:after="100"/>
      <w:ind w:left="880"/>
    </w:pPr>
    <w:rPr>
      <w:rFonts w:eastAsiaTheme="minorEastAsia"/>
    </w:rPr>
  </w:style>
  <w:style w:type="paragraph" w:styleId="TOC6">
    <w:name w:val="toc 6"/>
    <w:basedOn w:val="Normal"/>
    <w:next w:val="Normal"/>
    <w:autoRedefine/>
    <w:uiPriority w:val="39"/>
    <w:unhideWhenUsed/>
    <w:rsid w:val="00D326E7"/>
    <w:pPr>
      <w:spacing w:after="100"/>
      <w:ind w:left="1100"/>
    </w:pPr>
    <w:rPr>
      <w:rFonts w:eastAsiaTheme="minorEastAsia"/>
    </w:rPr>
  </w:style>
  <w:style w:type="paragraph" w:styleId="TOC7">
    <w:name w:val="toc 7"/>
    <w:basedOn w:val="Normal"/>
    <w:next w:val="Normal"/>
    <w:autoRedefine/>
    <w:uiPriority w:val="39"/>
    <w:unhideWhenUsed/>
    <w:rsid w:val="00D326E7"/>
    <w:pPr>
      <w:spacing w:after="100"/>
      <w:ind w:left="1320"/>
    </w:pPr>
    <w:rPr>
      <w:rFonts w:eastAsiaTheme="minorEastAsia"/>
    </w:rPr>
  </w:style>
  <w:style w:type="paragraph" w:styleId="TOC8">
    <w:name w:val="toc 8"/>
    <w:basedOn w:val="Normal"/>
    <w:next w:val="Normal"/>
    <w:autoRedefine/>
    <w:uiPriority w:val="39"/>
    <w:unhideWhenUsed/>
    <w:rsid w:val="00D326E7"/>
    <w:pPr>
      <w:spacing w:after="100"/>
      <w:ind w:left="1540"/>
    </w:pPr>
    <w:rPr>
      <w:rFonts w:eastAsiaTheme="minorEastAsia"/>
    </w:rPr>
  </w:style>
  <w:style w:type="paragraph" w:styleId="TOC9">
    <w:name w:val="toc 9"/>
    <w:basedOn w:val="Normal"/>
    <w:next w:val="Normal"/>
    <w:autoRedefine/>
    <w:uiPriority w:val="39"/>
    <w:unhideWhenUsed/>
    <w:rsid w:val="00D326E7"/>
    <w:pPr>
      <w:spacing w:after="100"/>
      <w:ind w:left="1760"/>
    </w:pPr>
    <w:rPr>
      <w:rFonts w:eastAsiaTheme="minorEastAsi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913113">
      <w:bodyDiv w:val="1"/>
      <w:marLeft w:val="0"/>
      <w:marRight w:val="0"/>
      <w:marTop w:val="0"/>
      <w:marBottom w:val="0"/>
      <w:divBdr>
        <w:top w:val="none" w:sz="0" w:space="0" w:color="auto"/>
        <w:left w:val="none" w:sz="0" w:space="0" w:color="auto"/>
        <w:bottom w:val="none" w:sz="0" w:space="0" w:color="auto"/>
        <w:right w:val="none" w:sz="0" w:space="0" w:color="auto"/>
      </w:divBdr>
    </w:div>
    <w:div w:id="573976363">
      <w:bodyDiv w:val="1"/>
      <w:marLeft w:val="0"/>
      <w:marRight w:val="0"/>
      <w:marTop w:val="0"/>
      <w:marBottom w:val="0"/>
      <w:divBdr>
        <w:top w:val="none" w:sz="0" w:space="0" w:color="auto"/>
        <w:left w:val="none" w:sz="0" w:space="0" w:color="auto"/>
        <w:bottom w:val="none" w:sz="0" w:space="0" w:color="auto"/>
        <w:right w:val="none" w:sz="0" w:space="0" w:color="auto"/>
      </w:divBdr>
    </w:div>
    <w:div w:id="733964226">
      <w:bodyDiv w:val="1"/>
      <w:marLeft w:val="0"/>
      <w:marRight w:val="0"/>
      <w:marTop w:val="0"/>
      <w:marBottom w:val="0"/>
      <w:divBdr>
        <w:top w:val="none" w:sz="0" w:space="0" w:color="auto"/>
        <w:left w:val="none" w:sz="0" w:space="0" w:color="auto"/>
        <w:bottom w:val="none" w:sz="0" w:space="0" w:color="auto"/>
        <w:right w:val="none" w:sz="0" w:space="0" w:color="auto"/>
      </w:divBdr>
    </w:div>
    <w:div w:id="767433916">
      <w:bodyDiv w:val="1"/>
      <w:marLeft w:val="0"/>
      <w:marRight w:val="0"/>
      <w:marTop w:val="0"/>
      <w:marBottom w:val="0"/>
      <w:divBdr>
        <w:top w:val="none" w:sz="0" w:space="0" w:color="auto"/>
        <w:left w:val="none" w:sz="0" w:space="0" w:color="auto"/>
        <w:bottom w:val="none" w:sz="0" w:space="0" w:color="auto"/>
        <w:right w:val="none" w:sz="0" w:space="0" w:color="auto"/>
      </w:divBdr>
    </w:div>
    <w:div w:id="1291327674">
      <w:bodyDiv w:val="1"/>
      <w:marLeft w:val="0"/>
      <w:marRight w:val="0"/>
      <w:marTop w:val="0"/>
      <w:marBottom w:val="0"/>
      <w:divBdr>
        <w:top w:val="none" w:sz="0" w:space="0" w:color="auto"/>
        <w:left w:val="none" w:sz="0" w:space="0" w:color="auto"/>
        <w:bottom w:val="none" w:sz="0" w:space="0" w:color="auto"/>
        <w:right w:val="none" w:sz="0" w:space="0" w:color="auto"/>
      </w:divBdr>
    </w:div>
    <w:div w:id="14978426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3" Type="http://schemas.openxmlformats.org/officeDocument/2006/relationships/hyperlink" Target="http://wal-lab.com/wp-content/uploads/2016/08/Current-Price-List.pdf" TargetMode="External"/><Relationship Id="rId2" Type="http://schemas.openxmlformats.org/officeDocument/2006/relationships/hyperlink" Target="https://www.regulations.gov/document?D=EPA-HQ-OAR-2008-0508-2229" TargetMode="External"/><Relationship Id="rId1" Type="http://schemas.openxmlformats.org/officeDocument/2006/relationships/hyperlink" Target="http://wal-lab.com/wp-content/uploads/2016/08/Current-Price-List.pdf" TargetMode="External"/><Relationship Id="rId4" Type="http://schemas.openxmlformats.org/officeDocument/2006/relationships/hyperlink" Target="https://www.thesafetyequipmentstore.com/GFG-7745-030.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haredContentType xmlns="Microsoft.SharePoint.Taxonomy.ContentTypeSync" SourceId="29f62856-1543-49d4-a736-4569d363f533" ContentTypeId="0x0101" PreviousValue="false"/>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Source xmlns="http://schemas.microsoft.com/sharepoint/v3/fields" xsi:nil="true"/>
    <Language xmlns="http://schemas.microsoft.com/sharepoint/v3">English</Language>
    <j747ac98061d40f0aa7bd47e1db5675d xmlns="4ffa91fb-a0ff-4ac5-b2db-65c790d184a4">
      <Terms xmlns="http://schemas.microsoft.com/office/infopath/2007/PartnerControls"/>
    </j747ac98061d40f0aa7bd47e1db5675d>
    <e3f09c3df709400db2417a7161762d62 xmlns="4ffa91fb-a0ff-4ac5-b2db-65c790d184a4">
      <Terms xmlns="http://schemas.microsoft.com/office/infopath/2007/PartnerControls"/>
    </e3f09c3df709400db2417a7161762d62>
    <External_x0020_Contributor xmlns="4ffa91fb-a0ff-4ac5-b2db-65c790d184a4" xsi:nil="true"/>
    <TaxKeywordTaxHTField xmlns="4ffa91fb-a0ff-4ac5-b2db-65c790d184a4">
      <Terms xmlns="http://schemas.microsoft.com/office/infopath/2007/PartnerControls"/>
    </TaxKeywordTaxHTField>
    <Record xmlns="4ffa91fb-a0ff-4ac5-b2db-65c790d184a4">Shared</Record>
    <Rights xmlns="4ffa91fb-a0ff-4ac5-b2db-65c790d184a4" xsi:nil="true"/>
    <Document_x0020_Creation_x0020_Date xmlns="4ffa91fb-a0ff-4ac5-b2db-65c790d184a4">2018-12-04T14:33:16+00:00</Document_x0020_Creation_x0020_Date>
    <EPA_x0020_Office xmlns="4ffa91fb-a0ff-4ac5-b2db-65c790d184a4" xsi:nil="true"/>
    <CategoryDescription xmlns="http://schemas.microsoft.com/sharepoint.v3" xsi:nil="true"/>
    <Identifier xmlns="4ffa91fb-a0ff-4ac5-b2db-65c790d184a4" xsi:nil="true"/>
    <_Coverage xmlns="http://schemas.microsoft.com/sharepoint/v3/fields" xsi:nil="true"/>
    <Creator xmlns="4ffa91fb-a0ff-4ac5-b2db-65c790d184a4">
      <UserInfo>
        <DisplayName/>
        <AccountId xsi:nil="true"/>
        <AccountType/>
      </UserInfo>
    </Creator>
    <EPA_x0020_Related_x0020_Documents xmlns="4ffa91fb-a0ff-4ac5-b2db-65c790d184a4" xsi:nil="true"/>
    <EPA_x0020_Contributor xmlns="4ffa91fb-a0ff-4ac5-b2db-65c790d184a4">
      <UserInfo>
        <DisplayName/>
        <AccountId xsi:nil="true"/>
        <AccountType/>
      </UserInfo>
    </EPA_x0020_Contributor>
    <TaxCatchAll xmlns="4ffa91fb-a0ff-4ac5-b2db-65c790d184a4"/>
    <SharedWithUsers xmlns="7d8dd676-26ca-4e08-b90f-b4e0026a58ac">
      <UserInfo>
        <DisplayName>Richardson Fry, Carrie</DisplayName>
        <AccountId>14011</AccountId>
        <AccountType/>
      </UserInfo>
    </SharedWithUser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0A72347C3E16B44487FB416AC8C18764" ma:contentTypeVersion="28" ma:contentTypeDescription="Create a new document." ma:contentTypeScope="" ma:versionID="c1978f7b572f27a915155af5319e1985">
  <xsd:schema xmlns:xsd="http://www.w3.org/2001/XMLSchema" xmlns:xs="http://www.w3.org/2001/XMLSchema" xmlns:p="http://schemas.microsoft.com/office/2006/metadata/properties" xmlns:ns1="http://schemas.microsoft.com/sharepoint/v3" xmlns:ns2="4ffa91fb-a0ff-4ac5-b2db-65c790d184a4" xmlns:ns3="http://schemas.microsoft.com/sharepoint.v3" xmlns:ns4="http://schemas.microsoft.com/sharepoint/v3/fields" xmlns:ns5="7d8dd676-26ca-4e08-b90f-b4e0026a58ac" xmlns:ns6="b5536db3-f794-4651-9300-744cba5f619d" targetNamespace="http://schemas.microsoft.com/office/2006/metadata/properties" ma:root="true" ma:fieldsID="bacc102681b41cb41919114111e7db5d" ns1:_="" ns2:_="" ns3:_="" ns4:_="" ns5:_="" ns6:_="">
    <xsd:import namespace="http://schemas.microsoft.com/sharepoint/v3"/>
    <xsd:import namespace="4ffa91fb-a0ff-4ac5-b2db-65c790d184a4"/>
    <xsd:import namespace="http://schemas.microsoft.com/sharepoint.v3"/>
    <xsd:import namespace="http://schemas.microsoft.com/sharepoint/v3/fields"/>
    <xsd:import namespace="7d8dd676-26ca-4e08-b90f-b4e0026a58ac"/>
    <xsd:import namespace="b5536db3-f794-4651-9300-744cba5f619d"/>
    <xsd:element name="properties">
      <xsd:complexType>
        <xsd:sequence>
          <xsd:element name="documentManagement">
            <xsd:complexType>
              <xsd:all>
                <xsd:element ref="ns2:Document_x0020_Creation_x0020_Date" minOccurs="0"/>
                <xsd:element ref="ns2:Creator" minOccurs="0"/>
                <xsd:element ref="ns2:EPA_x0020_Office" minOccurs="0"/>
                <xsd:element ref="ns2:Record" minOccurs="0"/>
                <xsd:element ref="ns3:CategoryDescription" minOccurs="0"/>
                <xsd:element ref="ns2:Identifier" minOccurs="0"/>
                <xsd:element ref="ns2:EPA_x0020_Contributor" minOccurs="0"/>
                <xsd:element ref="ns2:External_x0020_Contributor" minOccurs="0"/>
                <xsd:element ref="ns4:_Coverage" minOccurs="0"/>
                <xsd:element ref="ns2:EPA_x0020_Related_x0020_Documents" minOccurs="0"/>
                <xsd:element ref="ns4:_Source" minOccurs="0"/>
                <xsd:element ref="ns2:Rights" minOccurs="0"/>
                <xsd:element ref="ns1:Language" minOccurs="0"/>
                <xsd:element ref="ns2:j747ac98061d40f0aa7bd47e1db5675d" minOccurs="0"/>
                <xsd:element ref="ns2:TaxKeywordTaxHTField" minOccurs="0"/>
                <xsd:element ref="ns2:TaxCatchAllLabel" minOccurs="0"/>
                <xsd:element ref="ns2:TaxCatchAll" minOccurs="0"/>
                <xsd:element ref="ns2:e3f09c3df709400db2417a7161762d62" minOccurs="0"/>
                <xsd:element ref="ns5:SharedWithUsers" minOccurs="0"/>
                <xsd:element ref="ns5:SharedWithDetails" minOccurs="0"/>
                <xsd:element ref="ns6:MediaServiceMetadata" minOccurs="0"/>
                <xsd:element ref="ns6:MediaServiceFastMetadata" minOccurs="0"/>
                <xsd:element ref="ns6:MediaServiceEventHashCode" minOccurs="0"/>
                <xsd:element ref="ns6:MediaServiceGenerationTime" minOccurs="0"/>
                <xsd:element ref="ns6:MediaServiceAutoTags" minOccurs="0"/>
                <xsd:element ref="ns6: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Language" ma:index="17" nillable="true" ma:displayName="Language" ma:default="English" ma:description="Select the document language from the drop down." ma:format="Dropdown" ma:internalName="Language" ma:readOnly="false">
      <xsd:simpleType>
        <xsd:restriction base="dms:Choice">
          <xsd:enumeration value="Arabic (Saudi Arabia)"/>
          <xsd:enumeration value="Bulgarian (Bulgaria)"/>
          <xsd:enumeration value="Chinese (Hong Kong S.A.R.)"/>
          <xsd:enumeration value="Chinese (People's Republic of China)"/>
          <xsd:enumeration value="Chinese (Taiwan)"/>
          <xsd:enumeration value="Croatian (Croatia)"/>
          <xsd:enumeration value="Czech (Czech Republic)"/>
          <xsd:enumeration value="Danish (Denmark)"/>
          <xsd:enumeration value="Dutch (Netherlands)"/>
          <xsd:enumeration value="English"/>
          <xsd:enumeration value="Estonian (Estonia)"/>
          <xsd:enumeration value="Finnish (Finland)"/>
          <xsd:enumeration value="French (France)"/>
          <xsd:enumeration value="German (Germany)"/>
          <xsd:enumeration value="Greek (Greece)"/>
          <xsd:enumeration value="Hebrew (Israel)"/>
          <xsd:enumeration value="Hindi (India)"/>
          <xsd:enumeration value="Hungarian (Hungary)"/>
          <xsd:enumeration value="Indonesian (Indonesia)"/>
          <xsd:enumeration value="Italian (Italy)"/>
          <xsd:enumeration value="Japanese (Japan)"/>
          <xsd:enumeration value="Korean (Korea)"/>
          <xsd:enumeration value="Latvian (Latvia)"/>
          <xsd:enumeration value="Lithuanian (Lithuania)"/>
          <xsd:enumeration value="Malay (Malaysia)"/>
          <xsd:enumeration value="Norwegian (Bokmal) (Norway)"/>
          <xsd:enumeration value="Polish (Poland)"/>
          <xsd:enumeration value="Portuguese (Brazil)"/>
          <xsd:enumeration value="Portuguese (Portugal)"/>
          <xsd:enumeration value="Romanian (Romania)"/>
          <xsd:enumeration value="Russian (Russia)"/>
          <xsd:enumeration value="Serbian (Latin) (Serbia)"/>
          <xsd:enumeration value="Slovak (Slovakia)"/>
          <xsd:enumeration value="Slovenian (Slovenia)"/>
          <xsd:enumeration value="Spanish (Spain)"/>
          <xsd:enumeration value="Swedish (Sweden)"/>
          <xsd:enumeration value="Thai (Thailand)"/>
          <xsd:enumeration value="Turkish (Turkey)"/>
          <xsd:enumeration value="Ukrainian (Ukraine)"/>
          <xsd:enumeration value="Urdu (Islamic Republic of Pakistan)"/>
          <xsd:enumeration value="Vietnamese (Vietnam)"/>
        </xsd:restriction>
      </xsd:simpleType>
    </xsd:element>
  </xsd:schema>
  <xsd:schema xmlns:xsd="http://www.w3.org/2001/XMLSchema" xmlns:xs="http://www.w3.org/2001/XMLSchema" xmlns:dms="http://schemas.microsoft.com/office/2006/documentManagement/types" xmlns:pc="http://schemas.microsoft.com/office/infopath/2007/PartnerControls" targetNamespace="4ffa91fb-a0ff-4ac5-b2db-65c790d184a4" elementFormDefault="qualified">
    <xsd:import namespace="http://schemas.microsoft.com/office/2006/documentManagement/types"/>
    <xsd:import namespace="http://schemas.microsoft.com/office/infopath/2007/PartnerControls"/>
    <xsd:element name="Document_x0020_Creation_x0020_Date" ma:index="2" nillable="true" ma:displayName="Document Date" ma:default="[today]" ma:description="Enter the date this document was last modified. The upload date has been entered by default." ma:format="DateOnly" ma:internalName="Document_x0020_Creation_x0020_Date" ma:readOnly="false">
      <xsd:simpleType>
        <xsd:restriction base="dms:DateTime"/>
      </xsd:simpleType>
    </xsd:element>
    <xsd:element name="Creator" ma:index="3" nillable="true" ma:displayName="Creator" ma:description="Enter the person primarily responsible for the document. The name of the person uploading the document has been entered by default." ma:list="UserInfo" ma:SharePointGroup="0" ma:internalName="Creator"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PA_x0020_Office" ma:index="4" nillable="true" ma:displayName="EPA Office" ma:description="Enter the EPA organization primarily responsible for the document. The office of the person uploading the document has been entered by default." ma:internalName="EPA_x0020_Office">
      <xsd:simpleType>
        <xsd:restriction base="dms:Text">
          <xsd:maxLength value="255"/>
        </xsd:restriction>
      </xsd:simpleType>
    </xsd:element>
    <xsd:element name="Record" ma:index="5" nillable="true" ma:displayName="Record" ma:default="Shared" ma:description="For documents that provide evidence of EPA decisions and actions, select &quot;Shared&quot; (open access) or &quot;Private&quot; (restricted access)." ma:format="Dropdown" ma:internalName="Record">
      <xsd:simpleType>
        <xsd:restriction base="dms:Choice">
          <xsd:enumeration value="None"/>
          <xsd:enumeration value="Shared"/>
          <xsd:enumeration value="Private"/>
        </xsd:restriction>
      </xsd:simpleType>
    </xsd:element>
    <xsd:element name="Identifier" ma:index="9" nillable="true" ma:displayName="Identifier" ma:description="Enter all EPA identification numbers applicable to this document, one on each line." ma:internalName="Identifier" ma:readOnly="false">
      <xsd:simpleType>
        <xsd:restriction base="dms:Note">
          <xsd:maxLength value="255"/>
        </xsd:restriction>
      </xsd:simpleType>
    </xsd:element>
    <xsd:element name="EPA_x0020_Contributor" ma:index="11" nillable="true" ma:displayName="EPA Contributor" ma:description="Enter an EPA person who contributed to the creation of the document but is not the primary author." ma:list="UserInfo" ma:SharePointGroup="0" ma:internalName="EPA_x0020_Contributo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xternal_x0020_Contributor" ma:index="12" nillable="true" ma:displayName="External Contributor" ma:description="Enter a non-EPA person who contributed to the creation of the document but is not the primary author." ma:internalName="External_x0020_Contributor" ma:readOnly="false">
      <xsd:simpleType>
        <xsd:restriction base="dms:Note">
          <xsd:maxLength value="255"/>
        </xsd:restriction>
      </xsd:simpleType>
    </xsd:element>
    <xsd:element name="EPA_x0020_Related_x0020_Documents" ma:index="14" nillable="true" ma:displayName="Other Related Documents" ma:description="Enter any related document." ma:internalName="EPA_x0020_Related_x0020_Documents">
      <xsd:simpleType>
        <xsd:restriction base="dms:Note">
          <xsd:maxLength value="255"/>
        </xsd:restriction>
      </xsd:simpleType>
    </xsd:element>
    <xsd:element name="Rights" ma:index="16" nillable="true" ma:displayName="Rights" ma:description="Enter information about intellectual property rights held over the document (e.g. copyright, patent, trademark)." ma:internalName="Rights" ma:readOnly="false">
      <xsd:simpleType>
        <xsd:restriction base="dms:Note">
          <xsd:maxLength value="255"/>
        </xsd:restriction>
      </xsd:simpleType>
    </xsd:element>
    <xsd:element name="j747ac98061d40f0aa7bd47e1db5675d" ma:index="19" nillable="true" ma:taxonomy="true" ma:internalName="j747ac98061d40f0aa7bd47e1db5675d" ma:taxonomyFieldName="Document_x0020_Type" ma:displayName="Document Type" ma:readOnly="false" ma:default="" ma:fieldId="{3747ac98-061d-40f0-aa7b-d47e1db5675d}" ma:sspId="29f62856-1543-49d4-a736-4569d363f533" ma:termSetId="e06cd6a9-a175-4da0-81cb-8dba7aa394ab" ma:anchorId="00000000-0000-0000-0000-000000000000" ma:open="false" ma:isKeyword="false">
      <xsd:complexType>
        <xsd:sequence>
          <xsd:element ref="pc:Terms" minOccurs="0" maxOccurs="1"/>
        </xsd:sequence>
      </xsd:complexType>
    </xsd:element>
    <xsd:element name="TaxKeywordTaxHTField" ma:index="21" nillable="true" ma:taxonomy="true" ma:internalName="TaxKeywordTaxHTField" ma:taxonomyFieldName="TaxKeyword" ma:displayName="Enterprise Keywords" ma:readOnly="false" ma:fieldId="{23f27201-bee3-471e-b2e7-b64fd8b7ca38}" ma:taxonomyMulti="true" ma:sspId="29f62856-1543-49d4-a736-4569d363f533" ma:termSetId="00000000-0000-0000-0000-000000000000" ma:anchorId="00000000-0000-0000-0000-000000000000" ma:open="true" ma:isKeyword="true">
      <xsd:complexType>
        <xsd:sequence>
          <xsd:element ref="pc:Terms" minOccurs="0" maxOccurs="1"/>
        </xsd:sequence>
      </xsd:complexType>
    </xsd:element>
    <xsd:element name="TaxCatchAllLabel" ma:index="23" nillable="true" ma:displayName="Taxonomy Catch All Column1" ma:description="" ma:hidden="true" ma:list="{aec54597-794d-48fd-aaaa-4eaa50f4ff1d}" ma:internalName="TaxCatchAllLabel" ma:readOnly="true" ma:showField="CatchAllDataLabel" ma:web="7d8dd676-26ca-4e08-b90f-b4e0026a58ac">
      <xsd:complexType>
        <xsd:complexContent>
          <xsd:extension base="dms:MultiChoiceLookup">
            <xsd:sequence>
              <xsd:element name="Value" type="dms:Lookup" maxOccurs="unbounded" minOccurs="0" nillable="true"/>
            </xsd:sequence>
          </xsd:extension>
        </xsd:complexContent>
      </xsd:complexType>
    </xsd:element>
    <xsd:element name="TaxCatchAll" ma:index="24" nillable="true" ma:displayName="Taxonomy Catch All Column" ma:description="" ma:hidden="true" ma:list="{aec54597-794d-48fd-aaaa-4eaa50f4ff1d}" ma:internalName="TaxCatchAll" ma:showField="CatchAllData" ma:web="7d8dd676-26ca-4e08-b90f-b4e0026a58ac">
      <xsd:complexType>
        <xsd:complexContent>
          <xsd:extension base="dms:MultiChoiceLookup">
            <xsd:sequence>
              <xsd:element name="Value" type="dms:Lookup" maxOccurs="unbounded" minOccurs="0" nillable="true"/>
            </xsd:sequence>
          </xsd:extension>
        </xsd:complexContent>
      </xsd:complexType>
    </xsd:element>
    <xsd:element name="e3f09c3df709400db2417a7161762d62" ma:index="28" nillable="true" ma:taxonomy="true" ma:internalName="e3f09c3df709400db2417a7161762d62" ma:taxonomyFieldName="EPA_x0020_Subject" ma:displayName="EPA Subject" ma:readOnly="false" ma:default="" ma:fieldId="{e3f09c3d-f709-400d-b241-7a7161762d62}" ma:taxonomyMulti="true" ma:sspId="29f62856-1543-49d4-a736-4569d363f533" ma:termSetId="7a3d4ae0-7e62-45a2-a406-c6a8a6a8eee3"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ategoryDescription" ma:index="6" nillable="true" ma:displayName="Description" ma:description="Enter a brief description." ma:internalName="CategoryDescription" ma:readOnly="fals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Coverage" ma:index="13" nillable="true" ma:displayName="Coverage" ma:description="Enter the geographic location, jurisdiction, or time period for which the document is relevant." ma:internalName="_Coverage" ma:readOnly="false">
      <xsd:simpleType>
        <xsd:restriction base="dms:Text">
          <xsd:maxLength value="255"/>
        </xsd:restriction>
      </xsd:simpleType>
    </xsd:element>
    <xsd:element name="_Source" ma:index="15" nillable="true" ma:displayName="Source" ma:description="Enter a source from which the document is derived." ma:internalName="_Source" ma:readOnly="fals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d8dd676-26ca-4e08-b90f-b4e0026a58ac" elementFormDefault="qualified">
    <xsd:import namespace="http://schemas.microsoft.com/office/2006/documentManagement/types"/>
    <xsd:import namespace="http://schemas.microsoft.com/office/infopath/2007/PartnerControls"/>
    <xsd:element name="SharedWithUsers" ma:index="29"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0"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5536db3-f794-4651-9300-744cba5f619d" elementFormDefault="qualified">
    <xsd:import namespace="http://schemas.microsoft.com/office/2006/documentManagement/types"/>
    <xsd:import namespace="http://schemas.microsoft.com/office/infopath/2007/PartnerControls"/>
    <xsd:element name="MediaServiceMetadata" ma:index="31" nillable="true" ma:displayName="MediaServiceMetadata" ma:description="" ma:hidden="true" ma:internalName="MediaServiceMetadata" ma:readOnly="true">
      <xsd:simpleType>
        <xsd:restriction base="dms:Note"/>
      </xsd:simpleType>
    </xsd:element>
    <xsd:element name="MediaServiceFastMetadata" ma:index="32" nillable="true" ma:displayName="MediaServiceFastMetadata" ma:description="" ma:hidden="true" ma:internalName="MediaServiceFastMetadata" ma:readOnly="true">
      <xsd:simpleType>
        <xsd:restriction base="dms:Note"/>
      </xsd:simpleType>
    </xsd:element>
    <xsd:element name="MediaServiceEventHashCode" ma:index="33" nillable="true" ma:displayName="MediaServiceEventHashCode" ma:hidden="true" ma:internalName="MediaServiceEventHashCode" ma:readOnly="true">
      <xsd:simpleType>
        <xsd:restriction base="dms:Text"/>
      </xsd:simpleType>
    </xsd:element>
    <xsd:element name="MediaServiceGenerationTime" ma:index="34" nillable="true" ma:displayName="MediaServiceGenerationTime" ma:hidden="true" ma:internalName="MediaServiceGenerationTime" ma:readOnly="true">
      <xsd:simpleType>
        <xsd:restriction base="dms:Text"/>
      </xsd:simpleType>
    </xsd:element>
    <xsd:element name="MediaServiceAutoTags" ma:index="35" nillable="true" ma:displayName="Tags" ma:internalName="MediaServiceAutoTags" ma:readOnly="true">
      <xsd:simpleType>
        <xsd:restriction base="dms:Text"/>
      </xsd:simpleType>
    </xsd:element>
    <xsd:element name="MediaServiceOCR" ma:index="36"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5"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F90B8C5-D33D-4E87-8758-F0A57DF4FEB4}">
  <ds:schemaRefs>
    <ds:schemaRef ds:uri="Microsoft.SharePoint.Taxonomy.ContentTypeSync"/>
  </ds:schemaRefs>
</ds:datastoreItem>
</file>

<file path=customXml/itemProps2.xml><?xml version="1.0" encoding="utf-8"?>
<ds:datastoreItem xmlns:ds="http://schemas.openxmlformats.org/officeDocument/2006/customXml" ds:itemID="{7149AEEB-84AC-413D-8604-714F79043A46}">
  <ds:schemaRefs>
    <ds:schemaRef ds:uri="http://schemas.microsoft.com/sharepoint/v3/contenttype/forms"/>
  </ds:schemaRefs>
</ds:datastoreItem>
</file>

<file path=customXml/itemProps3.xml><?xml version="1.0" encoding="utf-8"?>
<ds:datastoreItem xmlns:ds="http://schemas.openxmlformats.org/officeDocument/2006/customXml" ds:itemID="{7802E789-D3F6-44CD-9B6B-4974F8ABDC5D}">
  <ds:schemaRefs>
    <ds:schemaRef ds:uri="http://purl.org/dc/elements/1.1/"/>
    <ds:schemaRef ds:uri="http://schemas.microsoft.com/office/2006/metadata/properties"/>
    <ds:schemaRef ds:uri="7d8dd676-26ca-4e08-b90f-b4e0026a58ac"/>
    <ds:schemaRef ds:uri="http://schemas.microsoft.com/sharepoint/v3"/>
    <ds:schemaRef ds:uri="http://schemas.microsoft.com/sharepoint.v3"/>
    <ds:schemaRef ds:uri="http://schemas.microsoft.com/office/2006/documentManagement/types"/>
    <ds:schemaRef ds:uri="http://schemas.microsoft.com/office/infopath/2007/PartnerControls"/>
    <ds:schemaRef ds:uri="http://purl.org/dc/dcmitype/"/>
    <ds:schemaRef ds:uri="http://schemas.microsoft.com/sharepoint/v3/fields"/>
    <ds:schemaRef ds:uri="http://schemas.openxmlformats.org/package/2006/metadata/core-properties"/>
    <ds:schemaRef ds:uri="b5536db3-f794-4651-9300-744cba5f619d"/>
    <ds:schemaRef ds:uri="4ffa91fb-a0ff-4ac5-b2db-65c790d184a4"/>
    <ds:schemaRef ds:uri="http://www.w3.org/XML/1998/namespace"/>
    <ds:schemaRef ds:uri="http://purl.org/dc/terms/"/>
  </ds:schemaRefs>
</ds:datastoreItem>
</file>

<file path=customXml/itemProps4.xml><?xml version="1.0" encoding="utf-8"?>
<ds:datastoreItem xmlns:ds="http://schemas.openxmlformats.org/officeDocument/2006/customXml" ds:itemID="{433825C5-9BAC-450E-B937-6D9284321F3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4ffa91fb-a0ff-4ac5-b2db-65c790d184a4"/>
    <ds:schemaRef ds:uri="http://schemas.microsoft.com/sharepoint.v3"/>
    <ds:schemaRef ds:uri="http://schemas.microsoft.com/sharepoint/v3/fields"/>
    <ds:schemaRef ds:uri="7d8dd676-26ca-4e08-b90f-b4e0026a58ac"/>
    <ds:schemaRef ds:uri="b5536db3-f794-4651-9300-744cba5f619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A9F887A5-482E-4BDE-86F8-0EA93203E3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52980</Words>
  <Characters>301989</Characters>
  <Application>Microsoft Office Word</Application>
  <DocSecurity>0</DocSecurity>
  <Lines>2516</Lines>
  <Paragraphs>708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354261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Richardson Fry, Carrie</dc:creator>
  <cp:keywords/>
  <dc:description/>
  <cp:lastModifiedBy>SYSTEM</cp:lastModifiedBy>
  <cp:revision>2</cp:revision>
  <cp:lastPrinted>2019-05-31T17:42:00Z</cp:lastPrinted>
  <dcterms:created xsi:type="dcterms:W3CDTF">2019-09-20T10:31:00Z</dcterms:created>
  <dcterms:modified xsi:type="dcterms:W3CDTF">2019-09-20T10:31:00Z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0x0101000A72347C3E16B44487FB416AC8C18764</vt:lpwstr>
  </property>
  <property fmtid="{D5CDD505-2E9C-101B-9397-08002B2CF9AE}" pid="3" name="TaxKeyword">
    <vt:lpwstr/>
  </property>
  <property fmtid="{D5CDD505-2E9C-101B-9397-08002B2CF9AE}" pid="4" name="EPA Subject">
    <vt:lpwstr/>
  </property>
  <property fmtid="{D5CDD505-2E9C-101B-9397-08002B2CF9AE}" pid="5" name="Document Type">
    <vt:lpwstr/>
  </property>
  <property fmtid="{D5CDD505-2E9C-101B-9397-08002B2CF9AE}" pid="6" name="AuthorIds_UIVersion_57344">
    <vt:lpwstr>10089</vt:lpwstr>
  </property>
</Properties>
</file>